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23B79A0" w14:textId="77777777" w:rsidR="00CB5660" w:rsidRPr="00AE4E8D" w:rsidRDefault="00CB5660" w:rsidP="00160FCA">
      <w:pPr>
        <w:pStyle w:val="BHVieta2"/>
        <w:ind w:hanging="1417"/>
        <w:jc w:val="left"/>
        <w:rPr>
          <w:b/>
          <w:lang w:val="es-ES"/>
        </w:rPr>
      </w:pPr>
      <w:bookmarkStart w:id="0" w:name="_Toc414610828"/>
      <w:bookmarkStart w:id="1" w:name="_Toc417389014"/>
      <w:bookmarkStart w:id="2" w:name="_Toc418848309"/>
      <w:bookmarkStart w:id="3" w:name="_Toc420062519"/>
      <w:bookmarkStart w:id="4" w:name="_Toc421039187"/>
      <w:bookmarkStart w:id="5" w:name="_Toc421201298"/>
      <w:bookmarkStart w:id="6" w:name="_Toc423524641"/>
      <w:bookmarkStart w:id="7" w:name="_Toc424148838"/>
      <w:bookmarkStart w:id="8" w:name="_Toc428355088"/>
      <w:bookmarkStart w:id="9" w:name="_Toc430186074"/>
      <w:bookmarkStart w:id="10" w:name="_Toc449010417"/>
      <w:bookmarkStart w:id="11" w:name="_Toc414610835"/>
      <w:r w:rsidRPr="00AE4E8D">
        <w:rPr>
          <w:b/>
          <w:lang w:val="es-ES"/>
        </w:rPr>
        <w:t>PROSPECTO DE</w:t>
      </w:r>
      <w:bookmarkEnd w:id="0"/>
      <w:bookmarkEnd w:id="1"/>
      <w:bookmarkEnd w:id="2"/>
      <w:bookmarkEnd w:id="3"/>
      <w:bookmarkEnd w:id="4"/>
      <w:bookmarkEnd w:id="5"/>
      <w:bookmarkEnd w:id="6"/>
      <w:bookmarkEnd w:id="7"/>
      <w:bookmarkEnd w:id="8"/>
      <w:bookmarkEnd w:id="9"/>
      <w:bookmarkEnd w:id="10"/>
      <w:r w:rsidR="00FE232C" w:rsidRPr="00AE4E8D">
        <w:rPr>
          <w:b/>
          <w:lang w:val="es-ES"/>
        </w:rPr>
        <w:t xml:space="preserve"> ACTUALIZACIÓN</w:t>
      </w:r>
    </w:p>
    <w:p w14:paraId="5EB5BF99" w14:textId="77777777" w:rsidR="00CB5660" w:rsidRPr="00AE4E8D" w:rsidRDefault="00B80D94" w:rsidP="003D6B4F">
      <w:pPr>
        <w:spacing w:after="100" w:afterAutospacing="1"/>
        <w:jc w:val="center"/>
        <w:rPr>
          <w:rFonts w:ascii="Times New Roman" w:hAnsi="Times New Roman"/>
          <w:b/>
          <w:color w:val="000000"/>
          <w:szCs w:val="16"/>
          <w:lang w:val="es-ES" w:eastAsia="es-ES"/>
        </w:rPr>
      </w:pPr>
      <w:r w:rsidRPr="00AE4E8D">
        <w:rPr>
          <w:rFonts w:ascii="Times New Roman" w:hAnsi="Times New Roman"/>
          <w:noProof/>
          <w:sz w:val="16"/>
          <w:szCs w:val="16"/>
          <w:lang w:val="es-ES" w:eastAsia="es-ES"/>
        </w:rPr>
        <w:drawing>
          <wp:inline distT="0" distB="0" distL="0" distR="0" wp14:anchorId="4C0E53EC" wp14:editId="5CB669BC">
            <wp:extent cx="1760220" cy="662940"/>
            <wp:effectExtent l="0" t="0" r="0" b="3810"/>
            <wp:docPr id="3" name="Picture 1" descr="4063_BH_11-0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063_BH_11-05-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60220" cy="662940"/>
                    </a:xfrm>
                    <a:prstGeom prst="rect">
                      <a:avLst/>
                    </a:prstGeom>
                    <a:noFill/>
                    <a:ln>
                      <a:noFill/>
                    </a:ln>
                  </pic:spPr>
                </pic:pic>
              </a:graphicData>
            </a:graphic>
          </wp:inline>
        </w:drawing>
      </w:r>
    </w:p>
    <w:p w14:paraId="7D842D91" w14:textId="77777777" w:rsidR="00CB5660" w:rsidRPr="00AE4E8D" w:rsidRDefault="00CB5660" w:rsidP="00172B63">
      <w:pPr>
        <w:spacing w:after="100" w:afterAutospacing="1"/>
        <w:jc w:val="center"/>
        <w:rPr>
          <w:rFonts w:ascii="Times New Roman" w:hAnsi="Times New Roman"/>
          <w:b/>
          <w:color w:val="000000"/>
          <w:szCs w:val="16"/>
          <w:lang w:val="es-ES" w:eastAsia="es-ES"/>
        </w:rPr>
      </w:pPr>
      <w:r w:rsidRPr="00AE4E8D">
        <w:rPr>
          <w:rFonts w:ascii="Times New Roman" w:hAnsi="Times New Roman"/>
          <w:b/>
          <w:color w:val="000000"/>
          <w:szCs w:val="16"/>
          <w:lang w:val="es-ES" w:eastAsia="es-ES"/>
        </w:rPr>
        <w:t>BANCO HIPOTECARIO S.A.</w:t>
      </w:r>
    </w:p>
    <w:p w14:paraId="52D4FD79" w14:textId="77777777" w:rsidR="00CB5660" w:rsidRPr="00AE4E8D" w:rsidRDefault="00CB5660" w:rsidP="0092065F">
      <w:pPr>
        <w:jc w:val="center"/>
        <w:rPr>
          <w:rFonts w:ascii="Times New Roman" w:hAnsi="Times New Roman"/>
          <w:b/>
          <w:color w:val="000000"/>
          <w:szCs w:val="16"/>
          <w:lang w:val="es-ES" w:eastAsia="es-ES"/>
        </w:rPr>
      </w:pPr>
      <w:r w:rsidRPr="00AE4E8D">
        <w:rPr>
          <w:rFonts w:ascii="Times New Roman" w:hAnsi="Times New Roman"/>
          <w:b/>
          <w:color w:val="000000"/>
          <w:szCs w:val="16"/>
          <w:lang w:val="es-ES" w:eastAsia="es-ES"/>
        </w:rPr>
        <w:t>Programa Global para la Emisión de Obligaciones Negociables Simples (No Convertibles en Acciones),</w:t>
      </w:r>
      <w:r w:rsidR="0092065F" w:rsidRPr="00AE4E8D">
        <w:rPr>
          <w:rFonts w:ascii="Times New Roman" w:hAnsi="Times New Roman"/>
          <w:b/>
          <w:color w:val="000000"/>
          <w:szCs w:val="16"/>
          <w:lang w:val="es-ES" w:eastAsia="es-ES"/>
        </w:rPr>
        <w:t xml:space="preserve"> </w:t>
      </w:r>
      <w:r w:rsidRPr="00AE4E8D">
        <w:rPr>
          <w:rFonts w:ascii="Times New Roman" w:hAnsi="Times New Roman"/>
          <w:b/>
          <w:color w:val="000000"/>
          <w:lang w:val="es-ES"/>
        </w:rPr>
        <w:t xml:space="preserve">Con </w:t>
      </w:r>
      <w:r w:rsidR="001F14D7" w:rsidRPr="00AE4E8D">
        <w:rPr>
          <w:rFonts w:ascii="Times New Roman" w:hAnsi="Times New Roman"/>
          <w:b/>
          <w:color w:val="000000"/>
          <w:lang w:val="es-ES"/>
        </w:rPr>
        <w:t>Garantía Común Sobre el Patrimonio del Banco</w:t>
      </w:r>
      <w:r w:rsidRPr="00AE4E8D">
        <w:rPr>
          <w:rFonts w:ascii="Times New Roman" w:hAnsi="Times New Roman"/>
          <w:b/>
          <w:color w:val="000000"/>
          <w:szCs w:val="16"/>
          <w:lang w:val="es-ES" w:eastAsia="es-ES"/>
        </w:rPr>
        <w:t>, Subordinadas o No.</w:t>
      </w:r>
    </w:p>
    <w:p w14:paraId="500CF714" w14:textId="77777777" w:rsidR="00CB5660" w:rsidRPr="00AE4E8D" w:rsidRDefault="00CB5660" w:rsidP="00172B63">
      <w:pPr>
        <w:jc w:val="center"/>
        <w:rPr>
          <w:rFonts w:ascii="Times New Roman" w:hAnsi="Times New Roman"/>
          <w:b/>
          <w:color w:val="000000"/>
          <w:szCs w:val="16"/>
          <w:lang w:val="es-ES" w:eastAsia="es-ES"/>
        </w:rPr>
      </w:pPr>
    </w:p>
    <w:p w14:paraId="1C6F983A" w14:textId="77777777" w:rsidR="00CB5660" w:rsidRPr="00AE4E8D" w:rsidRDefault="00CB5660" w:rsidP="00172B63">
      <w:pPr>
        <w:spacing w:after="100" w:afterAutospacing="1"/>
        <w:jc w:val="center"/>
        <w:rPr>
          <w:rFonts w:ascii="Times New Roman" w:hAnsi="Times New Roman"/>
          <w:b/>
          <w:color w:val="000000"/>
          <w:szCs w:val="16"/>
          <w:lang w:val="es-ES" w:eastAsia="es-ES"/>
        </w:rPr>
      </w:pPr>
      <w:r w:rsidRPr="00AE4E8D">
        <w:rPr>
          <w:rFonts w:ascii="Times New Roman" w:hAnsi="Times New Roman"/>
          <w:b/>
          <w:color w:val="000000"/>
          <w:szCs w:val="16"/>
          <w:lang w:val="es-ES" w:eastAsia="es-ES"/>
        </w:rPr>
        <w:t>Por un monto nominal hasta US$1.</w:t>
      </w:r>
      <w:r w:rsidR="007E4BBE" w:rsidRPr="00AE4E8D">
        <w:rPr>
          <w:rFonts w:ascii="Times New Roman" w:hAnsi="Times New Roman"/>
          <w:b/>
          <w:color w:val="000000"/>
          <w:szCs w:val="16"/>
          <w:lang w:val="es-ES" w:eastAsia="es-ES"/>
        </w:rPr>
        <w:t>5</w:t>
      </w:r>
      <w:r w:rsidRPr="00AE4E8D">
        <w:rPr>
          <w:rFonts w:ascii="Times New Roman" w:hAnsi="Times New Roman"/>
          <w:b/>
          <w:color w:val="000000"/>
          <w:szCs w:val="16"/>
          <w:lang w:val="es-ES" w:eastAsia="es-ES"/>
        </w:rPr>
        <w:t>00.000.000 (o su equivalente en Pesos</w:t>
      </w:r>
      <w:r w:rsidR="002E5441" w:rsidRPr="00AE4E8D">
        <w:rPr>
          <w:rFonts w:ascii="Times New Roman" w:hAnsi="Times New Roman"/>
        </w:rPr>
        <w:t xml:space="preserve"> </w:t>
      </w:r>
      <w:r w:rsidR="002E5441" w:rsidRPr="00AE4E8D">
        <w:rPr>
          <w:rFonts w:ascii="Times New Roman" w:hAnsi="Times New Roman"/>
          <w:b/>
          <w:color w:val="000000"/>
          <w:szCs w:val="16"/>
          <w:lang w:val="es-ES" w:eastAsia="es-ES"/>
        </w:rPr>
        <w:t>o en otras monedas</w:t>
      </w:r>
      <w:r w:rsidRPr="00AE4E8D">
        <w:rPr>
          <w:rFonts w:ascii="Times New Roman" w:hAnsi="Times New Roman"/>
          <w:b/>
          <w:color w:val="000000"/>
          <w:szCs w:val="16"/>
          <w:lang w:val="es-ES" w:eastAsia="es-ES"/>
        </w:rPr>
        <w:t>).</w:t>
      </w:r>
    </w:p>
    <w:p w14:paraId="002FBA5F" w14:textId="77777777" w:rsidR="00CB5660" w:rsidRPr="00AE4E8D" w:rsidDel="002F40D1" w:rsidRDefault="00CB5660" w:rsidP="006659E6">
      <w:pPr>
        <w:pStyle w:val="BHTexto"/>
        <w:rPr>
          <w:bCs/>
          <w:lang w:val="es-ES"/>
        </w:rPr>
      </w:pPr>
      <w:r w:rsidRPr="00AE4E8D">
        <w:rPr>
          <w:lang w:val="es-ES"/>
        </w:rPr>
        <w:t>Bajo nuestro Programa Global de Emisión de Obligaciones Negociables Simples (No Convertibles en Acciones), Con</w:t>
      </w:r>
      <w:r w:rsidR="001F14D7" w:rsidRPr="00AE4E8D">
        <w:rPr>
          <w:lang w:val="es-ES"/>
        </w:rPr>
        <w:t xml:space="preserve"> Garantía Común Sobre el Patrimonio del Banco</w:t>
      </w:r>
      <w:r w:rsidRPr="00AE4E8D">
        <w:rPr>
          <w:lang w:val="es-ES"/>
        </w:rPr>
        <w:t>, Subordinadas o No, por un monto nominal hasta US$1.</w:t>
      </w:r>
      <w:r w:rsidR="007E4BBE" w:rsidRPr="00AE4E8D">
        <w:rPr>
          <w:lang w:val="es-ES"/>
        </w:rPr>
        <w:t>5</w:t>
      </w:r>
      <w:r w:rsidRPr="00AE4E8D">
        <w:rPr>
          <w:lang w:val="es-ES"/>
        </w:rPr>
        <w:t>00.000.000 (o su equivalente en Pesos</w:t>
      </w:r>
      <w:r w:rsidR="0022684B" w:rsidRPr="00AE4E8D">
        <w:rPr>
          <w:lang w:val="es-ES"/>
        </w:rPr>
        <w:t xml:space="preserve"> o en otras monedas</w:t>
      </w:r>
      <w:r w:rsidRPr="00AE4E8D">
        <w:rPr>
          <w:lang w:val="es-ES"/>
        </w:rPr>
        <w:t>) (al que en adelante se denominará el “</w:t>
      </w:r>
      <w:r w:rsidRPr="00AE4E8D">
        <w:rPr>
          <w:u w:val="single"/>
          <w:lang w:val="es-ES"/>
        </w:rPr>
        <w:t>Programa</w:t>
      </w:r>
      <w:r w:rsidRPr="00AE4E8D">
        <w:rPr>
          <w:lang w:val="es-ES"/>
        </w:rPr>
        <w:t>”), podremos emitir obligaciones negociables en forma periódica, denominadas en Dólares Estadounidenses o su equivalente en Pesos (en adelante en forma indistinta las “</w:t>
      </w:r>
      <w:r w:rsidRPr="00AE4E8D">
        <w:rPr>
          <w:u w:val="single"/>
          <w:lang w:val="es-ES"/>
        </w:rPr>
        <w:t>Obligaciones Negociables</w:t>
      </w:r>
      <w:r w:rsidRPr="00AE4E8D">
        <w:rPr>
          <w:lang w:val="es-ES"/>
        </w:rPr>
        <w:t>”). Dichas Obligaciones Negociables emitidas conforme el Programa serán emitidas en clases (cada una, una “</w:t>
      </w:r>
      <w:r w:rsidRPr="00AE4E8D">
        <w:rPr>
          <w:u w:val="single"/>
          <w:lang w:val="es-ES"/>
        </w:rPr>
        <w:t>Clase</w:t>
      </w:r>
      <w:r w:rsidRPr="00AE4E8D">
        <w:rPr>
          <w:lang w:val="es-ES"/>
        </w:rPr>
        <w:t>”) y cada Clase podrá comprender una o más series (cada una, una “</w:t>
      </w:r>
      <w:r w:rsidRPr="00AE4E8D">
        <w:rPr>
          <w:u w:val="single"/>
          <w:lang w:val="es-ES"/>
        </w:rPr>
        <w:t>Serie</w:t>
      </w:r>
      <w:r w:rsidRPr="00AE4E8D">
        <w:rPr>
          <w:lang w:val="es-ES"/>
        </w:rPr>
        <w:t>”).</w:t>
      </w:r>
    </w:p>
    <w:p w14:paraId="420D850F" w14:textId="77777777" w:rsidR="00CB5660" w:rsidRPr="00AE4E8D" w:rsidRDefault="00CB5660" w:rsidP="006659E6">
      <w:pPr>
        <w:pStyle w:val="BHTexto"/>
        <w:rPr>
          <w:b/>
          <w:i/>
          <w:lang w:val="es-ES"/>
        </w:rPr>
      </w:pPr>
      <w:r w:rsidRPr="00AE4E8D">
        <w:rPr>
          <w:lang w:val="es-ES"/>
        </w:rPr>
        <w:t>Las Obligaciones Negociables emitidas conforme al Programa podrán (i) devengar intereses a una tasa fija, (ii) devengar intereses a una tasa variable, o (iii) ser emitidas con descuento y no devengar intereses. El capital, el vencimiento, la tasa de interés y las fechas de pago de intereses de cada Clase de Obligaciones Negociables emitidas conforme al Programa se describirán en un suplemento de precio de este prospecto (el “</w:t>
      </w:r>
      <w:r w:rsidRPr="00AE4E8D">
        <w:rPr>
          <w:u w:val="single"/>
          <w:lang w:val="es-ES"/>
        </w:rPr>
        <w:t>Prospecto</w:t>
      </w:r>
      <w:r w:rsidRPr="00AE4E8D">
        <w:rPr>
          <w:lang w:val="es-ES"/>
        </w:rPr>
        <w:t>”) relativo a dicha Clase. En el suplemento de precio aplicable a cada Clase se describirán los términos y condiciones específicos aplicables a las Obligaciones Negociables que complementan o modifican a los términos y condiciones generales de las Obligaciones Negociables descriptas en este Prospecto.</w:t>
      </w:r>
      <w:r w:rsidRPr="00AE4E8D">
        <w:rPr>
          <w:b/>
          <w:i/>
          <w:lang w:val="es-ES"/>
        </w:rPr>
        <w:t xml:space="preserve"> </w:t>
      </w:r>
    </w:p>
    <w:p w14:paraId="1BB67349" w14:textId="77777777" w:rsidR="00CB5660" w:rsidRPr="00AE4E8D" w:rsidRDefault="00CB5660" w:rsidP="006659E6">
      <w:pPr>
        <w:pStyle w:val="BHTexto"/>
        <w:rPr>
          <w:b/>
          <w:lang w:val="es-ES"/>
        </w:rPr>
      </w:pPr>
      <w:r w:rsidRPr="00AE4E8D">
        <w:rPr>
          <w:b/>
          <w:lang w:val="es-ES"/>
        </w:rPr>
        <w:t>Oferta Pública autorizada por Resolución Nº16.573 de fecha 24 de mayo de 2011, habiéndose aprobado la ampliación del monto del Programa por Resolución Nº17.805 de fecha 9 de septiembre de 2015</w:t>
      </w:r>
      <w:r w:rsidR="00BD053B" w:rsidRPr="00AE4E8D">
        <w:rPr>
          <w:b/>
          <w:lang w:val="es-ES"/>
        </w:rPr>
        <w:t>,</w:t>
      </w:r>
      <w:r w:rsidRPr="00AE4E8D">
        <w:rPr>
          <w:b/>
          <w:lang w:val="es-ES"/>
        </w:rPr>
        <w:t xml:space="preserve"> la prórroga del Programa</w:t>
      </w:r>
      <w:r w:rsidR="00BD053B" w:rsidRPr="00AE4E8D">
        <w:rPr>
          <w:b/>
          <w:lang w:val="es-ES"/>
        </w:rPr>
        <w:t xml:space="preserve"> y</w:t>
      </w:r>
      <w:r w:rsidRPr="00AE4E8D">
        <w:rPr>
          <w:b/>
          <w:lang w:val="es-ES"/>
        </w:rPr>
        <w:t xml:space="preserve"> la ampliación de su monto por Resolución Nº18.145 de fecha 28 de julio de 2016</w:t>
      </w:r>
      <w:r w:rsidR="00400763" w:rsidRPr="00AE4E8D">
        <w:rPr>
          <w:b/>
          <w:lang w:val="es-ES"/>
        </w:rPr>
        <w:t xml:space="preserve"> y </w:t>
      </w:r>
      <w:r w:rsidR="006E5806" w:rsidRPr="00AE4E8D">
        <w:rPr>
          <w:b/>
          <w:lang w:val="es-ES"/>
        </w:rPr>
        <w:t>una nueva</w:t>
      </w:r>
      <w:r w:rsidR="00400763" w:rsidRPr="00AE4E8D">
        <w:rPr>
          <w:b/>
          <w:lang w:val="es-ES"/>
        </w:rPr>
        <w:t xml:space="preserve"> ampliación de su monto por Resolución Nº</w:t>
      </w:r>
      <w:r w:rsidR="004A4F54" w:rsidRPr="00AE4E8D">
        <w:rPr>
          <w:b/>
          <w:lang w:val="es-ES"/>
        </w:rPr>
        <w:t>18.493</w:t>
      </w:r>
      <w:r w:rsidR="00400763" w:rsidRPr="00AE4E8D">
        <w:rPr>
          <w:b/>
          <w:lang w:val="es-ES"/>
        </w:rPr>
        <w:t xml:space="preserve"> de fecha </w:t>
      </w:r>
      <w:r w:rsidR="004A4F54" w:rsidRPr="00AE4E8D">
        <w:rPr>
          <w:b/>
          <w:lang w:val="es-ES"/>
        </w:rPr>
        <w:t>2</w:t>
      </w:r>
      <w:r w:rsidR="00400763" w:rsidRPr="00AE4E8D">
        <w:rPr>
          <w:b/>
          <w:lang w:val="es-ES"/>
        </w:rPr>
        <w:t xml:space="preserve"> de </w:t>
      </w:r>
      <w:r w:rsidR="00127D94" w:rsidRPr="00AE4E8D">
        <w:rPr>
          <w:b/>
          <w:lang w:val="es-ES"/>
        </w:rPr>
        <w:t>febrero</w:t>
      </w:r>
      <w:r w:rsidR="00400763" w:rsidRPr="00AE4E8D">
        <w:rPr>
          <w:b/>
          <w:lang w:val="es-ES"/>
        </w:rPr>
        <w:t xml:space="preserve"> de 201</w:t>
      </w:r>
      <w:r w:rsidR="00B21EF6" w:rsidRPr="00AE4E8D">
        <w:rPr>
          <w:b/>
          <w:lang w:val="es-ES"/>
        </w:rPr>
        <w:t>7</w:t>
      </w:r>
      <w:r w:rsidRPr="00AE4E8D">
        <w:rPr>
          <w:b/>
          <w:lang w:val="es-ES"/>
        </w:rPr>
        <w:t>, todas ellas de la Comisión Nacional de Valores (“</w:t>
      </w:r>
      <w:r w:rsidRPr="00AE4E8D">
        <w:rPr>
          <w:b/>
          <w:u w:val="single"/>
          <w:lang w:val="es-ES"/>
        </w:rPr>
        <w:t>CNV</w:t>
      </w:r>
      <w:r w:rsidRPr="00AE4E8D">
        <w:rPr>
          <w:b/>
          <w:lang w:val="es-ES"/>
        </w:rPr>
        <w:t>”). Estas autorizaciones sólo significan que se ha cumplido con los requisitos establecidos en materia de información. La CNV no ha emitido juicio sobre los datos contenidos en el Prospecto. La veracidad de la información contable, financiera y económica, así como de toda otra información suministrada en el Prospecto, es exclusiva responsabilidad del órgano de administración de Banco Hipotecario S.A. (en adelante denominado el “</w:t>
      </w:r>
      <w:r w:rsidRPr="00AE4E8D">
        <w:rPr>
          <w:b/>
          <w:u w:val="single"/>
          <w:lang w:val="es-ES"/>
        </w:rPr>
        <w:t>Banco</w:t>
      </w:r>
      <w:r w:rsidRPr="00AE4E8D">
        <w:rPr>
          <w:b/>
          <w:lang w:val="es-ES"/>
        </w:rPr>
        <w:t>” y/o la “</w:t>
      </w:r>
      <w:r w:rsidRPr="00AE4E8D">
        <w:rPr>
          <w:b/>
          <w:u w:val="single"/>
          <w:lang w:val="es-ES"/>
        </w:rPr>
        <w:t>Emisora</w:t>
      </w:r>
      <w:r w:rsidRPr="00AE4E8D">
        <w:rPr>
          <w:b/>
          <w:lang w:val="es-ES"/>
        </w:rPr>
        <w:t>” indistintamente) y, en lo que les atañe, del órgano de fiscalización del Banco y de los auditores en cuanto a sus respectivos informes sobre los estados contables que se acompañan y otras personas responsables contempladas en los artículos 119 y 120 de la Ley N°26.831 de Mercado de Capitales (junto con sus modificatorias y reglamentarias incluyendo, sin limitación, el Decreto N°1023/13, la “</w:t>
      </w:r>
      <w:r w:rsidRPr="00AE4E8D">
        <w:rPr>
          <w:b/>
          <w:u w:val="single"/>
          <w:lang w:val="es-ES"/>
        </w:rPr>
        <w:t>Ley de Mercado de Capitales</w:t>
      </w:r>
      <w:r w:rsidRPr="00AE4E8D">
        <w:rPr>
          <w:b/>
          <w:lang w:val="es-ES"/>
        </w:rPr>
        <w:t>”). El órgano de administración manifiesta, con carácter de declaración jurada, que el presente Prospecto contiene, a la fecha de su publicación, información veraz y suficiente sobre todo hecho relevante que pueda afectar la situación patrimonial, económica y financiera del Banco y de toda otra información que deba ser de conocimiento del público inversor en relación con a la presente emisión, conforme las normas vigentes.</w:t>
      </w:r>
    </w:p>
    <w:p w14:paraId="4171696C" w14:textId="77777777" w:rsidR="00CB5660" w:rsidRPr="00AE4E8D" w:rsidRDefault="00CB5660" w:rsidP="006659E6">
      <w:pPr>
        <w:pStyle w:val="BHTexto"/>
        <w:rPr>
          <w:lang w:val="es-ES"/>
        </w:rPr>
      </w:pPr>
      <w:r w:rsidRPr="00AE4E8D">
        <w:rPr>
          <w:lang w:val="es-ES"/>
        </w:rPr>
        <w:t>Podremos ofrecer las Obligaciones Negociables emitidas bajo el Programa directamente o a través de colocadores y agentes designados periódicamente por nosotros en canje por efectivo o entrega de otros valores</w:t>
      </w:r>
      <w:r w:rsidR="00140213" w:rsidRPr="00AE4E8D">
        <w:rPr>
          <w:lang w:val="es-ES"/>
        </w:rPr>
        <w:t xml:space="preserve"> negociables</w:t>
      </w:r>
      <w:r w:rsidRPr="00AE4E8D">
        <w:rPr>
          <w:lang w:val="es-ES"/>
        </w:rPr>
        <w:t>. Dichos colocadores y agentes estarán identificados en el suplemento de precio aplicable. Este Prospecto no puede emplearse para formalizar ventas de Obligaciones Negociables emitidas bajo el Programa a menos que esté acompañado del suplemento de precio aplicable.</w:t>
      </w:r>
    </w:p>
    <w:p w14:paraId="36E62D06" w14:textId="77777777" w:rsidR="00CB5660" w:rsidRPr="00AE4E8D" w:rsidRDefault="00CB5660" w:rsidP="006659E6">
      <w:pPr>
        <w:pStyle w:val="BHTexto"/>
        <w:rPr>
          <w:lang w:val="es-ES"/>
        </w:rPr>
      </w:pPr>
      <w:r w:rsidRPr="00AE4E8D">
        <w:rPr>
          <w:lang w:val="es-ES"/>
        </w:rPr>
        <w:t xml:space="preserve">Salvo que se especifique lo contrario en el suplemento de precio correspondiente, las Obligaciones Negociables constituirán obligaciones </w:t>
      </w:r>
      <w:r w:rsidR="001F14D7" w:rsidRPr="00AE4E8D">
        <w:rPr>
          <w:lang w:val="es-ES"/>
        </w:rPr>
        <w:t>con garantía común sobre el patrimonio del Banco</w:t>
      </w:r>
      <w:r w:rsidR="0039627F" w:rsidRPr="00AE4E8D">
        <w:rPr>
          <w:lang w:val="es-ES"/>
        </w:rPr>
        <w:t>, subordinadas o no</w:t>
      </w:r>
      <w:r w:rsidRPr="00AE4E8D">
        <w:rPr>
          <w:lang w:val="es-ES"/>
        </w:rPr>
        <w:t xml:space="preserve"> y calificarán al menos </w:t>
      </w:r>
      <w:r w:rsidRPr="00AE4E8D">
        <w:rPr>
          <w:i/>
          <w:lang w:val="es-ES"/>
        </w:rPr>
        <w:t>pari passu</w:t>
      </w:r>
      <w:r w:rsidRPr="00AE4E8D">
        <w:rPr>
          <w:lang w:val="es-ES"/>
        </w:rPr>
        <w:t xml:space="preserve"> sin preferencia entre sí, excepto respecto de ciertas obligaciones a las que las leyes argentinas le otorgan tratamiento preferencial y a excepción de las Obligaciones </w:t>
      </w:r>
      <w:r w:rsidRPr="00AE4E8D">
        <w:rPr>
          <w:lang w:val="es-ES"/>
        </w:rPr>
        <w:lastRenderedPageBreak/>
        <w:t xml:space="preserve">Negociables que se emitan con garantía especial, </w:t>
      </w:r>
      <w:r w:rsidR="0039627F" w:rsidRPr="00AE4E8D">
        <w:rPr>
          <w:lang w:val="es-ES"/>
        </w:rPr>
        <w:t>común</w:t>
      </w:r>
      <w:r w:rsidRPr="00AE4E8D">
        <w:rPr>
          <w:lang w:val="es-ES"/>
        </w:rPr>
        <w:t xml:space="preserve"> o flotante</w:t>
      </w:r>
      <w:r w:rsidR="0039627F" w:rsidRPr="00AE4E8D">
        <w:rPr>
          <w:lang w:val="es-ES"/>
        </w:rPr>
        <w:t xml:space="preserve"> y/o por cualquier otro medio previsto por las normas</w:t>
      </w:r>
      <w:r w:rsidRPr="00AE4E8D">
        <w:rPr>
          <w:lang w:val="es-ES"/>
        </w:rPr>
        <w:t>. Asimismo, podremos emitir Obligaciones Negociables subordinadas, de conformidad con la normativa del Banco Central de la República Argentina (en adelante el “</w:t>
      </w:r>
      <w:r w:rsidRPr="00AE4E8D">
        <w:rPr>
          <w:u w:val="single"/>
          <w:lang w:val="es-ES"/>
        </w:rPr>
        <w:t>BCRA</w:t>
      </w:r>
      <w:r w:rsidRPr="00AE4E8D">
        <w:rPr>
          <w:lang w:val="es-ES"/>
        </w:rPr>
        <w:t>”) vigente en la materia a ese momento.</w:t>
      </w:r>
    </w:p>
    <w:p w14:paraId="375A2263" w14:textId="77777777" w:rsidR="00CB5660" w:rsidRPr="00AE4E8D" w:rsidRDefault="00CB5660" w:rsidP="006659E6">
      <w:pPr>
        <w:pStyle w:val="BHTexto"/>
        <w:rPr>
          <w:lang w:val="es-ES"/>
        </w:rPr>
      </w:pPr>
      <w:r w:rsidRPr="00AE4E8D">
        <w:rPr>
          <w:lang w:val="es-ES"/>
        </w:rPr>
        <w:t xml:space="preserve">Véase </w:t>
      </w:r>
      <w:r w:rsidRPr="00AE4E8D">
        <w:rPr>
          <w:i/>
          <w:lang w:val="es-ES"/>
        </w:rPr>
        <w:t>“Factores de Riesgo”</w:t>
      </w:r>
      <w:r w:rsidRPr="00AE4E8D">
        <w:rPr>
          <w:lang w:val="es-ES"/>
        </w:rPr>
        <w:t xml:space="preserve"> en la página </w:t>
      </w:r>
      <w:r w:rsidR="00A07C6D" w:rsidRPr="00AE4E8D">
        <w:rPr>
          <w:lang w:val="es-ES"/>
        </w:rPr>
        <w:fldChar w:fldCharType="begin"/>
      </w:r>
      <w:r w:rsidR="00A07C6D" w:rsidRPr="00AE4E8D">
        <w:rPr>
          <w:lang w:val="es-ES"/>
        </w:rPr>
        <w:instrText xml:space="preserve"> PAGEREF RF </w:instrText>
      </w:r>
      <w:r w:rsidR="00A07C6D" w:rsidRPr="00AE4E8D">
        <w:rPr>
          <w:lang w:val="es-ES"/>
        </w:rPr>
        <w:fldChar w:fldCharType="separate"/>
      </w:r>
      <w:r w:rsidR="002A450F">
        <w:rPr>
          <w:noProof/>
          <w:lang w:val="es-ES"/>
        </w:rPr>
        <w:t>26</w:t>
      </w:r>
      <w:r w:rsidR="00A07C6D" w:rsidRPr="00AE4E8D">
        <w:rPr>
          <w:lang w:val="es-ES"/>
        </w:rPr>
        <w:fldChar w:fldCharType="end"/>
      </w:r>
      <w:r w:rsidRPr="00AE4E8D">
        <w:rPr>
          <w:lang w:val="es-ES"/>
        </w:rPr>
        <w:t xml:space="preserve"> de este Prospecto para una descripción de ciertos riesgos significativos relacionados con la inversión en las Obligaciones Negociables. </w:t>
      </w:r>
    </w:p>
    <w:p w14:paraId="17E5F653" w14:textId="77777777" w:rsidR="00CB5660" w:rsidRPr="00AE4E8D" w:rsidRDefault="00CB5660" w:rsidP="006659E6">
      <w:pPr>
        <w:pStyle w:val="BHTexto"/>
        <w:rPr>
          <w:lang w:val="es-ES"/>
        </w:rPr>
      </w:pPr>
      <w:r w:rsidRPr="00AE4E8D">
        <w:rPr>
          <w:lang w:val="es-ES"/>
        </w:rPr>
        <w:t>Las Obligaciones Negociables emitidas bajo el Programa no han sido ni serán registradas bajo la Ley de Títulos Valores de 1933 de los Estados Unidos de América, con sus reformas (la “</w:t>
      </w:r>
      <w:r w:rsidRPr="00AE4E8D">
        <w:rPr>
          <w:u w:val="single"/>
          <w:lang w:val="es-ES"/>
        </w:rPr>
        <w:t>Ley de Títulos Valores</w:t>
      </w:r>
      <w:r w:rsidRPr="00AE4E8D">
        <w:rPr>
          <w:lang w:val="es-ES"/>
        </w:rPr>
        <w:t xml:space="preserve">”), bajo las leyes de valores </w:t>
      </w:r>
      <w:r w:rsidR="00BD2106" w:rsidRPr="00AE4E8D">
        <w:rPr>
          <w:lang w:val="es-ES"/>
        </w:rPr>
        <w:t xml:space="preserve">negociables </w:t>
      </w:r>
      <w:r w:rsidRPr="00AE4E8D">
        <w:rPr>
          <w:lang w:val="es-ES"/>
        </w:rPr>
        <w:t xml:space="preserve">de ningún estado ni bajo las leyes de valores </w:t>
      </w:r>
      <w:r w:rsidR="00BD2106" w:rsidRPr="00AE4E8D">
        <w:rPr>
          <w:lang w:val="es-ES"/>
        </w:rPr>
        <w:t xml:space="preserve">negociables </w:t>
      </w:r>
      <w:r w:rsidRPr="00AE4E8D">
        <w:rPr>
          <w:lang w:val="es-ES"/>
        </w:rPr>
        <w:t xml:space="preserve">de cualquier otra jurisdicción (fuera de la Argentina). A menos que las Obligaciones Negociables obtengan dicho registro, éstas podrán ser ofrecidas únicamente en operaciones exentas de registro bajo la Ley de Títulos Valores y las leyes de valores </w:t>
      </w:r>
      <w:r w:rsidR="00BD2106" w:rsidRPr="00AE4E8D">
        <w:rPr>
          <w:lang w:val="es-ES"/>
        </w:rPr>
        <w:t xml:space="preserve">negociables </w:t>
      </w:r>
      <w:r w:rsidRPr="00AE4E8D">
        <w:rPr>
          <w:lang w:val="es-ES"/>
        </w:rPr>
        <w:t>de otras jurisdicciones. En consecuencia, solamente ofreceremos y venderemos Obligaciones Negociables registradas bajo la Ley de Títulos Valores en operaciones exentas de registro bajo dicha ley a “compradores institucionales calificados” (según se definen en la Norma 144A bajo la Ley de Títulos Valores) (“</w:t>
      </w:r>
      <w:r w:rsidRPr="00AE4E8D">
        <w:rPr>
          <w:u w:val="single"/>
          <w:lang w:val="es-ES"/>
        </w:rPr>
        <w:t>Compradores Institucionales Calificados</w:t>
      </w:r>
      <w:r w:rsidRPr="00AE4E8D">
        <w:rPr>
          <w:lang w:val="es-ES"/>
        </w:rPr>
        <w:t xml:space="preserve">”) o a “inversores acreditados” institucionales (según se definen en la Norma 501(a)(1),(2) o (3) bajo la Ley de Títulos Valores) </w:t>
      </w:r>
      <w:r w:rsidR="0022684B" w:rsidRPr="00AE4E8D">
        <w:rPr>
          <w:lang w:val="es-ES"/>
        </w:rPr>
        <w:t>de conformidad con la Norma 144A bajo la Ley de Título Valores (la “</w:t>
      </w:r>
      <w:r w:rsidR="0022684B" w:rsidRPr="00AE4E8D">
        <w:rPr>
          <w:u w:val="single"/>
          <w:lang w:val="es-ES"/>
        </w:rPr>
        <w:t>Norma 144</w:t>
      </w:r>
      <w:r w:rsidR="0022684B" w:rsidRPr="00AE4E8D">
        <w:rPr>
          <w:lang w:val="es-ES"/>
        </w:rPr>
        <w:t xml:space="preserve">”) </w:t>
      </w:r>
      <w:r w:rsidRPr="00AE4E8D">
        <w:rPr>
          <w:lang w:val="es-ES"/>
        </w:rPr>
        <w:t>o fuera de los Estados Unidos de América a personas que no sean estadounidenses en cumplimiento de la Reglamentación S bajo la Ley de Títulos Valores (la “</w:t>
      </w:r>
      <w:r w:rsidRPr="00AE4E8D">
        <w:rPr>
          <w:u w:val="single"/>
          <w:lang w:val="es-ES"/>
        </w:rPr>
        <w:t>Reglamentación S</w:t>
      </w:r>
      <w:r w:rsidRPr="00AE4E8D">
        <w:rPr>
          <w:lang w:val="es-ES"/>
        </w:rPr>
        <w:t xml:space="preserve">”). Para una descripción de ciertas restricciones a la reventa y transferencia de las Obligaciones Negociables, véase </w:t>
      </w:r>
      <w:r w:rsidRPr="00AE4E8D">
        <w:rPr>
          <w:i/>
          <w:lang w:val="es-ES"/>
        </w:rPr>
        <w:t>“Suscripción y Venta”</w:t>
      </w:r>
      <w:r w:rsidRPr="00AE4E8D">
        <w:rPr>
          <w:lang w:val="es-ES"/>
        </w:rPr>
        <w:t xml:space="preserve"> y </w:t>
      </w:r>
      <w:r w:rsidRPr="00AE4E8D">
        <w:rPr>
          <w:i/>
          <w:lang w:val="es-ES"/>
        </w:rPr>
        <w:t>“Restricciones a la Transferencia”</w:t>
      </w:r>
      <w:r w:rsidRPr="00AE4E8D">
        <w:rPr>
          <w:lang w:val="es-ES"/>
        </w:rPr>
        <w:t xml:space="preserve"> en este Prospecto. Cada suplemento de precio detallará los esfuerzos de colocación que serán asumidos conforme las jurisdicciones aplicables</w:t>
      </w:r>
      <w:r w:rsidR="00045C4A" w:rsidRPr="00AE4E8D">
        <w:rPr>
          <w:lang w:val="es-ES"/>
        </w:rPr>
        <w:t xml:space="preserve"> donde se </w:t>
      </w:r>
      <w:r w:rsidR="002A5A31" w:rsidRPr="00AE4E8D">
        <w:rPr>
          <w:lang w:val="es-ES"/>
        </w:rPr>
        <w:t>ofrezcan</w:t>
      </w:r>
      <w:r w:rsidR="00045C4A" w:rsidRPr="00AE4E8D">
        <w:rPr>
          <w:lang w:val="es-ES"/>
        </w:rPr>
        <w:t xml:space="preserve"> las Obligaciones Negociables</w:t>
      </w:r>
      <w:r w:rsidRPr="00AE4E8D">
        <w:rPr>
          <w:lang w:val="es-ES"/>
        </w:rPr>
        <w:t>.</w:t>
      </w:r>
    </w:p>
    <w:p w14:paraId="6C279721" w14:textId="77777777" w:rsidR="00CB5660" w:rsidRPr="00AE4E8D" w:rsidRDefault="00CB5660" w:rsidP="006659E6">
      <w:pPr>
        <w:pStyle w:val="BHTexto"/>
        <w:rPr>
          <w:lang w:val="es-ES"/>
        </w:rPr>
      </w:pPr>
      <w:r w:rsidRPr="00AE4E8D">
        <w:rPr>
          <w:lang w:val="es-ES"/>
        </w:rPr>
        <w:t>Las Obligaciones Negociables emitidas bajo</w:t>
      </w:r>
      <w:r w:rsidR="00A07C6D" w:rsidRPr="00AE4E8D">
        <w:rPr>
          <w:lang w:val="es-ES"/>
        </w:rPr>
        <w:t xml:space="preserve"> el Programa deberán listarse y/</w:t>
      </w:r>
      <w:r w:rsidRPr="00AE4E8D">
        <w:rPr>
          <w:lang w:val="es-ES"/>
        </w:rPr>
        <w:t>o negociarse en uno o más mercados autorizados de la República Argentina (“</w:t>
      </w:r>
      <w:r w:rsidRPr="00AE4E8D">
        <w:rPr>
          <w:u w:val="single"/>
          <w:lang w:val="es-ES"/>
        </w:rPr>
        <w:t>Argentina</w:t>
      </w:r>
      <w:r w:rsidRPr="00AE4E8D">
        <w:rPr>
          <w:lang w:val="es-ES"/>
        </w:rPr>
        <w:t>”) o el exterior, conforme se indique en el suplemento de precio aplicable relativo a cada clase.</w:t>
      </w:r>
    </w:p>
    <w:p w14:paraId="45DDCA0B" w14:textId="77777777" w:rsidR="00CB5660" w:rsidRPr="00AE4E8D" w:rsidRDefault="00CB5660" w:rsidP="006659E6">
      <w:pPr>
        <w:pStyle w:val="BHTexto"/>
        <w:rPr>
          <w:lang w:val="es-ES"/>
        </w:rPr>
      </w:pPr>
      <w:r w:rsidRPr="00AE4E8D">
        <w:rPr>
          <w:lang w:val="es-ES"/>
        </w:rPr>
        <w:t xml:space="preserve">Las Obligaciones Negociables que se emitan bajo el Programa son excluidas del sistema de seguro de garantía de depósitos conforme a la Ley N°24.485, y sus modificatorias (entre ellas la Ley Nº25.089 y los Decretos </w:t>
      </w:r>
      <w:r w:rsidRPr="00AE4E8D">
        <w:rPr>
          <w:lang w:val="es-ES" w:eastAsia="es-AR"/>
        </w:rPr>
        <w:t>Nº538/95 y 540/95)</w:t>
      </w:r>
      <w:r w:rsidRPr="00AE4E8D">
        <w:rPr>
          <w:lang w:val="es-ES"/>
        </w:rPr>
        <w:t>, y no gozarán del derecho de prioridad exclusiva asignado a los depositantes conforme al Artículo 49(e) de la Ley de Entidades Financieras Nº21.526 y sus modificatorias (la “</w:t>
      </w:r>
      <w:r w:rsidRPr="00AE4E8D">
        <w:rPr>
          <w:u w:val="single"/>
          <w:lang w:val="es-ES"/>
        </w:rPr>
        <w:t>Ley de Entidades Financieras</w:t>
      </w:r>
      <w:r w:rsidRPr="00AE4E8D">
        <w:rPr>
          <w:lang w:val="es-ES"/>
        </w:rPr>
        <w:t>”). Las Obligaciones Negociables no están garantizadas por ningún derecho real de garantía flotante ni garantía especial ni por cualquier otro medio o por cualquier otra entidad financiera.</w:t>
      </w:r>
    </w:p>
    <w:p w14:paraId="689CE7FA" w14:textId="77777777" w:rsidR="00CB5660" w:rsidRPr="00AE4E8D" w:rsidRDefault="00CB5660" w:rsidP="006659E6">
      <w:pPr>
        <w:pStyle w:val="BHTexto"/>
        <w:rPr>
          <w:b/>
          <w:lang w:val="es-ES"/>
        </w:rPr>
      </w:pPr>
      <w:r w:rsidRPr="00AE4E8D">
        <w:rPr>
          <w:b/>
          <w:lang w:val="es-ES"/>
        </w:rPr>
        <w:t>CONFORME LO AUTORIZA LA LEY DE MERCADO DE CAPITALES, EL PROGRAMA NO CUENTA CON CALIFICACIÓN DE RIESGO. LAS CALIFICACIONES PODRÁN SER SOLICITADAS AL MOMENTO DE LA EMISIÓN DE CADA SERIE O CLASE, SEGÚN SE DETERMINE EN EL SUPLEMENTO DE PRECIO CORRESPONDIENTE.</w:t>
      </w:r>
    </w:p>
    <w:p w14:paraId="667C55CF" w14:textId="12641B90" w:rsidR="00CB5660" w:rsidRPr="00AE4E8D" w:rsidRDefault="00CB5660" w:rsidP="00172B63">
      <w:pPr>
        <w:autoSpaceDE w:val="0"/>
        <w:autoSpaceDN w:val="0"/>
        <w:adjustRightInd w:val="0"/>
        <w:spacing w:before="80" w:after="80"/>
        <w:jc w:val="center"/>
        <w:rPr>
          <w:rFonts w:ascii="Times New Roman" w:hAnsi="Times New Roman"/>
          <w:lang w:val="es-ES" w:eastAsia="es-AR"/>
        </w:rPr>
      </w:pPr>
      <w:bookmarkStart w:id="12" w:name="_Toc417389015"/>
      <w:bookmarkStart w:id="13" w:name="_Toc418848310"/>
      <w:r w:rsidRPr="00AE4E8D">
        <w:rPr>
          <w:rFonts w:ascii="Times New Roman" w:hAnsi="Times New Roman"/>
          <w:lang w:val="es-ES" w:eastAsia="es-AR"/>
        </w:rPr>
        <w:t xml:space="preserve">La fecha del presente </w:t>
      </w:r>
      <w:r w:rsidR="00602F71" w:rsidRPr="00AE4E8D">
        <w:rPr>
          <w:rFonts w:ascii="Times New Roman" w:hAnsi="Times New Roman"/>
          <w:lang w:val="es-ES" w:eastAsia="es-AR"/>
        </w:rPr>
        <w:t xml:space="preserve">Prospecto es </w:t>
      </w:r>
      <w:r w:rsidR="00DD1DF0">
        <w:rPr>
          <w:rFonts w:ascii="Times New Roman" w:hAnsi="Times New Roman"/>
          <w:lang w:val="es-ES" w:eastAsia="es-AR"/>
        </w:rPr>
        <w:t>20</w:t>
      </w:r>
      <w:r w:rsidR="00241071" w:rsidRPr="00AE4E8D">
        <w:rPr>
          <w:rFonts w:ascii="Times New Roman" w:hAnsi="Times New Roman"/>
          <w:lang w:val="es-ES" w:eastAsia="es-AR"/>
        </w:rPr>
        <w:t xml:space="preserve"> </w:t>
      </w:r>
      <w:r w:rsidRPr="00AE4E8D">
        <w:rPr>
          <w:rFonts w:ascii="Times New Roman" w:hAnsi="Times New Roman"/>
          <w:lang w:val="es-ES" w:eastAsia="es-AR"/>
        </w:rPr>
        <w:t xml:space="preserve">de </w:t>
      </w:r>
      <w:r w:rsidR="00BE0CDF" w:rsidRPr="00AE4E8D">
        <w:rPr>
          <w:rFonts w:ascii="Times New Roman" w:hAnsi="Times New Roman"/>
          <w:lang w:val="es-ES" w:eastAsia="es-AR"/>
        </w:rPr>
        <w:t>octubre</w:t>
      </w:r>
      <w:r w:rsidR="008B7B52" w:rsidRPr="00AE4E8D">
        <w:rPr>
          <w:rFonts w:ascii="Times New Roman" w:hAnsi="Times New Roman"/>
          <w:lang w:val="es-ES" w:eastAsia="es-AR"/>
        </w:rPr>
        <w:t xml:space="preserve"> </w:t>
      </w:r>
      <w:r w:rsidRPr="00AE4E8D">
        <w:rPr>
          <w:rFonts w:ascii="Times New Roman" w:hAnsi="Times New Roman"/>
          <w:lang w:val="es-ES" w:eastAsia="es-AR"/>
        </w:rPr>
        <w:t>de 201</w:t>
      </w:r>
      <w:r w:rsidR="005F5BCA" w:rsidRPr="00AE4E8D">
        <w:rPr>
          <w:rFonts w:ascii="Times New Roman" w:hAnsi="Times New Roman"/>
          <w:lang w:val="es-ES" w:eastAsia="es-AR"/>
        </w:rPr>
        <w:t>7</w:t>
      </w:r>
      <w:r w:rsidR="002A51A2" w:rsidRPr="00AE4E8D">
        <w:rPr>
          <w:rFonts w:ascii="Times New Roman" w:hAnsi="Times New Roman"/>
          <w:lang w:val="es-ES" w:eastAsia="es-AR"/>
        </w:rPr>
        <w:t>.</w:t>
      </w:r>
    </w:p>
    <w:p w14:paraId="4AF4C6EE" w14:textId="77777777" w:rsidR="00CB5660" w:rsidRPr="00AE4E8D" w:rsidRDefault="00CB5660" w:rsidP="00172B63">
      <w:pPr>
        <w:autoSpaceDE w:val="0"/>
        <w:autoSpaceDN w:val="0"/>
        <w:adjustRightInd w:val="0"/>
        <w:spacing w:before="80" w:after="80"/>
        <w:jc w:val="center"/>
        <w:rPr>
          <w:rFonts w:ascii="Times New Roman" w:hAnsi="Times New Roman"/>
          <w:highlight w:val="cyan"/>
          <w:lang w:val="es-ES" w:eastAsia="es-AR"/>
        </w:rPr>
      </w:pPr>
    </w:p>
    <w:p w14:paraId="2B808569" w14:textId="77777777" w:rsidR="00CB5660" w:rsidRPr="00AE4E8D" w:rsidRDefault="00CB5660" w:rsidP="00172B63">
      <w:pPr>
        <w:autoSpaceDE w:val="0"/>
        <w:autoSpaceDN w:val="0"/>
        <w:adjustRightInd w:val="0"/>
        <w:spacing w:before="240" w:after="240"/>
        <w:jc w:val="center"/>
        <w:outlineLvl w:val="0"/>
        <w:rPr>
          <w:rFonts w:ascii="Times New Roman" w:hAnsi="Times New Roman"/>
          <w:b/>
          <w:caps/>
          <w:highlight w:val="cyan"/>
          <w:lang w:val="es-ES" w:eastAsia="es-AR"/>
        </w:rPr>
        <w:sectPr w:rsidR="00CB5660" w:rsidRPr="00AE4E8D" w:rsidSect="00574F35">
          <w:headerReference w:type="even" r:id="rId10"/>
          <w:headerReference w:type="default" r:id="rId11"/>
          <w:footerReference w:type="even" r:id="rId12"/>
          <w:footerReference w:type="default" r:id="rId13"/>
          <w:headerReference w:type="first" r:id="rId14"/>
          <w:footerReference w:type="first" r:id="rId15"/>
          <w:pgSz w:w="11907" w:h="16839" w:code="9"/>
          <w:pgMar w:top="1417" w:right="1701" w:bottom="1417" w:left="1701" w:header="709" w:footer="709" w:gutter="0"/>
          <w:pgNumType w:fmt="lowerRoman" w:start="1"/>
          <w:cols w:space="708"/>
          <w:titlePg/>
          <w:docGrid w:linePitch="360"/>
        </w:sectPr>
      </w:pPr>
    </w:p>
    <w:p w14:paraId="7C8AC4AA" w14:textId="77777777" w:rsidR="002A51A2" w:rsidRPr="00AE4E8D" w:rsidRDefault="002A51A2" w:rsidP="00E00FA7">
      <w:pPr>
        <w:pStyle w:val="BH1Centro"/>
        <w:rPr>
          <w:rFonts w:ascii="Times New Roman" w:hAnsi="Times New Roman"/>
          <w:lang w:val="es-ES"/>
        </w:rPr>
      </w:pPr>
      <w:bookmarkStart w:id="14" w:name="_Toc491249917"/>
      <w:bookmarkStart w:id="15" w:name="_Toc495343614"/>
      <w:bookmarkStart w:id="16" w:name="_Toc495399739"/>
      <w:bookmarkStart w:id="17" w:name="_Toc495399862"/>
      <w:bookmarkStart w:id="18" w:name="_Toc495972955"/>
      <w:r w:rsidRPr="00AE4E8D">
        <w:rPr>
          <w:rFonts w:ascii="Times New Roman" w:hAnsi="Times New Roman"/>
          <w:caps w:val="0"/>
          <w:lang w:val="es-ES"/>
        </w:rPr>
        <w:lastRenderedPageBreak/>
        <w:t>ÍNDICE</w:t>
      </w:r>
      <w:bookmarkEnd w:id="14"/>
      <w:bookmarkEnd w:id="15"/>
      <w:bookmarkEnd w:id="16"/>
      <w:bookmarkEnd w:id="17"/>
      <w:bookmarkEnd w:id="18"/>
    </w:p>
    <w:p w14:paraId="72A79E72" w14:textId="77777777" w:rsidR="00B200E8" w:rsidRPr="00AE4E8D" w:rsidRDefault="002A51A2"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r w:rsidRPr="00AE4E8D">
        <w:rPr>
          <w:rFonts w:ascii="Times New Roman" w:hAnsi="Times New Roman"/>
        </w:rPr>
        <w:fldChar w:fldCharType="begin"/>
      </w:r>
      <w:r w:rsidRPr="00AE4E8D">
        <w:rPr>
          <w:rFonts w:ascii="Times New Roman" w:hAnsi="Times New Roman"/>
        </w:rPr>
        <w:instrText xml:space="preserve"> TOC \o "1-2" \h \z \u </w:instrText>
      </w:r>
      <w:r w:rsidRPr="00AE4E8D">
        <w:rPr>
          <w:rFonts w:ascii="Times New Roman" w:hAnsi="Times New Roman"/>
        </w:rPr>
        <w:fldChar w:fldCharType="separate"/>
      </w:r>
      <w:hyperlink w:anchor="_Toc495972956" w:history="1">
        <w:r w:rsidR="00B200E8" w:rsidRPr="00AE4E8D">
          <w:rPr>
            <w:rStyle w:val="Hipervnculo"/>
            <w:rFonts w:ascii="Times New Roman" w:hAnsi="Times New Roman"/>
          </w:rPr>
          <w:t>ADVERTENCIA AL PÚBLICO INVERSOR</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_Toc495972956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viii</w:t>
        </w:r>
        <w:r w:rsidR="00B200E8" w:rsidRPr="00AE4E8D">
          <w:rPr>
            <w:rFonts w:ascii="Times New Roman" w:hAnsi="Times New Roman"/>
            <w:webHidden/>
          </w:rPr>
          <w:fldChar w:fldCharType="end"/>
        </w:r>
      </w:hyperlink>
    </w:p>
    <w:p w14:paraId="237682D0"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57" w:history="1">
        <w:r w:rsidR="00B200E8" w:rsidRPr="00AE4E8D">
          <w:rPr>
            <w:rStyle w:val="Hipervnculo"/>
            <w:rFonts w:ascii="Times New Roman" w:hAnsi="Times New Roman"/>
          </w:rPr>
          <w:t>ADVERTENCIA AL PÚBLICO INVERSOR</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_Toc495972957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viii</w:t>
        </w:r>
        <w:r w:rsidR="00B200E8" w:rsidRPr="00AE4E8D">
          <w:rPr>
            <w:rFonts w:ascii="Times New Roman" w:hAnsi="Times New Roman"/>
            <w:webHidden/>
          </w:rPr>
          <w:fldChar w:fldCharType="end"/>
        </w:r>
      </w:hyperlink>
    </w:p>
    <w:p w14:paraId="148521BC"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58" w:history="1">
        <w:r w:rsidR="00B200E8" w:rsidRPr="00AE4E8D">
          <w:rPr>
            <w:rStyle w:val="Hipervnculo"/>
            <w:rFonts w:ascii="Times New Roman" w:hAnsi="Times New Roman"/>
          </w:rPr>
          <w:t>DECLARACIONES REFERENTES A HECHOS FUTUROS</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_Toc495972958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ix</w:t>
        </w:r>
        <w:r w:rsidR="00B200E8" w:rsidRPr="00AE4E8D">
          <w:rPr>
            <w:rFonts w:ascii="Times New Roman" w:hAnsi="Times New Roman"/>
            <w:webHidden/>
          </w:rPr>
          <w:fldChar w:fldCharType="end"/>
        </w:r>
      </w:hyperlink>
    </w:p>
    <w:p w14:paraId="526BD74D"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59" w:history="1">
        <w:r w:rsidR="00B200E8" w:rsidRPr="00AE4E8D">
          <w:rPr>
            <w:rStyle w:val="Hipervnculo"/>
            <w:rFonts w:ascii="Times New Roman" w:hAnsi="Times New Roman"/>
          </w:rPr>
          <w:t>INFORMACIÓN DISPONIBLE</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_Toc495972959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x</w:t>
        </w:r>
        <w:r w:rsidR="00B200E8" w:rsidRPr="00AE4E8D">
          <w:rPr>
            <w:rFonts w:ascii="Times New Roman" w:hAnsi="Times New Roman"/>
            <w:webHidden/>
          </w:rPr>
          <w:fldChar w:fldCharType="end"/>
        </w:r>
      </w:hyperlink>
    </w:p>
    <w:p w14:paraId="0E2F930C"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60" w:history="1">
        <w:r w:rsidR="00B200E8" w:rsidRPr="00AE4E8D">
          <w:rPr>
            <w:rStyle w:val="Hipervnculo"/>
            <w:rFonts w:ascii="Times New Roman" w:hAnsi="Times New Roman"/>
          </w:rPr>
          <w:t>PRESENTACIÓN DE INFORMACIÓN CONTABLE Y DE OTRO TIPO</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_Toc495972960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xi</w:t>
        </w:r>
        <w:r w:rsidR="00B200E8" w:rsidRPr="00AE4E8D">
          <w:rPr>
            <w:rFonts w:ascii="Times New Roman" w:hAnsi="Times New Roman"/>
            <w:webHidden/>
          </w:rPr>
          <w:fldChar w:fldCharType="end"/>
        </w:r>
      </w:hyperlink>
    </w:p>
    <w:p w14:paraId="5228E051" w14:textId="77777777" w:rsidR="00B200E8" w:rsidRPr="00AE4E8D" w:rsidRDefault="003676BD" w:rsidP="000400C8">
      <w:pPr>
        <w:pStyle w:val="TDC2"/>
        <w:ind w:right="0"/>
        <w:rPr>
          <w:rFonts w:eastAsiaTheme="minorEastAsia"/>
          <w:lang w:val="es-AR"/>
        </w:rPr>
      </w:pPr>
      <w:hyperlink w:anchor="_Toc495972961" w:history="1">
        <w:r w:rsidR="00B200E8" w:rsidRPr="00AE4E8D">
          <w:rPr>
            <w:rStyle w:val="Hipervnculo"/>
          </w:rPr>
          <w:t>Normas Contables del BCRA</w:t>
        </w:r>
        <w:r w:rsidR="00B200E8" w:rsidRPr="00AE4E8D">
          <w:rPr>
            <w:webHidden/>
          </w:rPr>
          <w:tab/>
        </w:r>
        <w:r w:rsidR="00B200E8" w:rsidRPr="00AE4E8D">
          <w:rPr>
            <w:webHidden/>
          </w:rPr>
          <w:fldChar w:fldCharType="begin"/>
        </w:r>
        <w:r w:rsidR="00B200E8" w:rsidRPr="00AE4E8D">
          <w:rPr>
            <w:webHidden/>
          </w:rPr>
          <w:instrText xml:space="preserve"> PAGEREF _Toc495972961 \h </w:instrText>
        </w:r>
        <w:r w:rsidR="00B200E8" w:rsidRPr="00AE4E8D">
          <w:rPr>
            <w:webHidden/>
          </w:rPr>
        </w:r>
        <w:r w:rsidR="00B200E8" w:rsidRPr="00AE4E8D">
          <w:rPr>
            <w:webHidden/>
          </w:rPr>
          <w:fldChar w:fldCharType="separate"/>
        </w:r>
        <w:r w:rsidR="002A450F">
          <w:rPr>
            <w:webHidden/>
          </w:rPr>
          <w:t>xi</w:t>
        </w:r>
        <w:r w:rsidR="00B200E8" w:rsidRPr="00AE4E8D">
          <w:rPr>
            <w:webHidden/>
          </w:rPr>
          <w:fldChar w:fldCharType="end"/>
        </w:r>
      </w:hyperlink>
    </w:p>
    <w:p w14:paraId="05325CAB" w14:textId="77777777" w:rsidR="00B200E8" w:rsidRPr="00AE4E8D" w:rsidRDefault="003676BD" w:rsidP="000400C8">
      <w:pPr>
        <w:pStyle w:val="TDC2"/>
        <w:ind w:right="0"/>
        <w:rPr>
          <w:rFonts w:eastAsiaTheme="minorEastAsia"/>
          <w:lang w:val="es-AR"/>
        </w:rPr>
      </w:pPr>
      <w:hyperlink w:anchor="_Toc495972962" w:history="1">
        <w:r w:rsidR="00B200E8" w:rsidRPr="00AE4E8D">
          <w:rPr>
            <w:rStyle w:val="Hipervnculo"/>
          </w:rPr>
          <w:t>Estados Contables</w:t>
        </w:r>
        <w:r w:rsidR="00B200E8" w:rsidRPr="00AE4E8D">
          <w:rPr>
            <w:webHidden/>
          </w:rPr>
          <w:tab/>
        </w:r>
        <w:r w:rsidR="00B200E8" w:rsidRPr="00AE4E8D">
          <w:rPr>
            <w:webHidden/>
          </w:rPr>
          <w:fldChar w:fldCharType="begin"/>
        </w:r>
        <w:r w:rsidR="00B200E8" w:rsidRPr="00AE4E8D">
          <w:rPr>
            <w:webHidden/>
          </w:rPr>
          <w:instrText xml:space="preserve"> PAGEREF _Toc495972962 \h </w:instrText>
        </w:r>
        <w:r w:rsidR="00B200E8" w:rsidRPr="00AE4E8D">
          <w:rPr>
            <w:webHidden/>
          </w:rPr>
        </w:r>
        <w:r w:rsidR="00B200E8" w:rsidRPr="00AE4E8D">
          <w:rPr>
            <w:webHidden/>
          </w:rPr>
          <w:fldChar w:fldCharType="separate"/>
        </w:r>
        <w:r w:rsidR="002A450F">
          <w:rPr>
            <w:webHidden/>
          </w:rPr>
          <w:t>xi</w:t>
        </w:r>
        <w:r w:rsidR="00B200E8" w:rsidRPr="00AE4E8D">
          <w:rPr>
            <w:webHidden/>
          </w:rPr>
          <w:fldChar w:fldCharType="end"/>
        </w:r>
      </w:hyperlink>
    </w:p>
    <w:p w14:paraId="7819CC68" w14:textId="77777777" w:rsidR="00B200E8" w:rsidRPr="00AE4E8D" w:rsidRDefault="003676BD" w:rsidP="000400C8">
      <w:pPr>
        <w:pStyle w:val="TDC2"/>
        <w:ind w:right="0"/>
        <w:rPr>
          <w:rFonts w:eastAsiaTheme="minorEastAsia"/>
          <w:lang w:val="es-AR"/>
        </w:rPr>
      </w:pPr>
      <w:hyperlink w:anchor="_Toc495972963" w:history="1">
        <w:r w:rsidR="00B200E8" w:rsidRPr="00AE4E8D">
          <w:rPr>
            <w:rStyle w:val="Hipervnculo"/>
          </w:rPr>
          <w:t>Generalidades</w:t>
        </w:r>
        <w:r w:rsidR="00B200E8" w:rsidRPr="00AE4E8D">
          <w:rPr>
            <w:webHidden/>
          </w:rPr>
          <w:tab/>
        </w:r>
        <w:r w:rsidR="00B200E8" w:rsidRPr="00AE4E8D">
          <w:rPr>
            <w:webHidden/>
          </w:rPr>
          <w:fldChar w:fldCharType="begin"/>
        </w:r>
        <w:r w:rsidR="00B200E8" w:rsidRPr="00AE4E8D">
          <w:rPr>
            <w:webHidden/>
          </w:rPr>
          <w:instrText xml:space="preserve"> PAGEREF _Toc495972963 \h </w:instrText>
        </w:r>
        <w:r w:rsidR="00B200E8" w:rsidRPr="00AE4E8D">
          <w:rPr>
            <w:webHidden/>
          </w:rPr>
        </w:r>
        <w:r w:rsidR="00B200E8" w:rsidRPr="00AE4E8D">
          <w:rPr>
            <w:webHidden/>
          </w:rPr>
          <w:fldChar w:fldCharType="separate"/>
        </w:r>
        <w:r w:rsidR="002A450F">
          <w:rPr>
            <w:webHidden/>
          </w:rPr>
          <w:t>xii</w:t>
        </w:r>
        <w:r w:rsidR="00B200E8" w:rsidRPr="00AE4E8D">
          <w:rPr>
            <w:webHidden/>
          </w:rPr>
          <w:fldChar w:fldCharType="end"/>
        </w:r>
      </w:hyperlink>
    </w:p>
    <w:p w14:paraId="10C3AC24" w14:textId="77777777" w:rsidR="00B200E8" w:rsidRPr="00AE4E8D" w:rsidRDefault="003676BD" w:rsidP="000400C8">
      <w:pPr>
        <w:pStyle w:val="TDC2"/>
        <w:ind w:right="0"/>
        <w:rPr>
          <w:rFonts w:eastAsiaTheme="minorEastAsia"/>
          <w:lang w:val="es-AR"/>
        </w:rPr>
      </w:pPr>
      <w:hyperlink w:anchor="_Toc495972964" w:history="1">
        <w:r w:rsidR="00B200E8" w:rsidRPr="00AE4E8D">
          <w:rPr>
            <w:rStyle w:val="Hipervnculo"/>
          </w:rPr>
          <w:t>Moneda</w:t>
        </w:r>
        <w:r w:rsidR="00B200E8" w:rsidRPr="00AE4E8D">
          <w:rPr>
            <w:webHidden/>
          </w:rPr>
          <w:tab/>
        </w:r>
        <w:r w:rsidR="00B200E8" w:rsidRPr="00AE4E8D">
          <w:rPr>
            <w:webHidden/>
          </w:rPr>
          <w:fldChar w:fldCharType="begin"/>
        </w:r>
        <w:r w:rsidR="00B200E8" w:rsidRPr="00AE4E8D">
          <w:rPr>
            <w:webHidden/>
          </w:rPr>
          <w:instrText xml:space="preserve"> PAGEREF _Toc495972964 \h </w:instrText>
        </w:r>
        <w:r w:rsidR="00B200E8" w:rsidRPr="00AE4E8D">
          <w:rPr>
            <w:webHidden/>
          </w:rPr>
        </w:r>
        <w:r w:rsidR="00B200E8" w:rsidRPr="00AE4E8D">
          <w:rPr>
            <w:webHidden/>
          </w:rPr>
          <w:fldChar w:fldCharType="separate"/>
        </w:r>
        <w:r w:rsidR="002A450F">
          <w:rPr>
            <w:webHidden/>
          </w:rPr>
          <w:t>xii</w:t>
        </w:r>
        <w:r w:rsidR="00B200E8" w:rsidRPr="00AE4E8D">
          <w:rPr>
            <w:webHidden/>
          </w:rPr>
          <w:fldChar w:fldCharType="end"/>
        </w:r>
      </w:hyperlink>
    </w:p>
    <w:p w14:paraId="3DAFAC62" w14:textId="77777777" w:rsidR="00B200E8" w:rsidRPr="00AE4E8D" w:rsidRDefault="003676BD" w:rsidP="000400C8">
      <w:pPr>
        <w:pStyle w:val="TDC2"/>
        <w:ind w:right="0"/>
        <w:rPr>
          <w:rFonts w:eastAsiaTheme="minorEastAsia"/>
          <w:lang w:val="es-AR"/>
        </w:rPr>
      </w:pPr>
      <w:hyperlink w:anchor="_Toc495972965" w:history="1">
        <w:r w:rsidR="00B200E8" w:rsidRPr="00AE4E8D">
          <w:rPr>
            <w:rStyle w:val="Hipervnculo"/>
          </w:rPr>
          <w:t>Redondeo</w:t>
        </w:r>
        <w:r w:rsidR="00B200E8" w:rsidRPr="00AE4E8D">
          <w:rPr>
            <w:webHidden/>
          </w:rPr>
          <w:tab/>
        </w:r>
        <w:r w:rsidR="00B200E8" w:rsidRPr="00AE4E8D">
          <w:rPr>
            <w:webHidden/>
          </w:rPr>
          <w:fldChar w:fldCharType="begin"/>
        </w:r>
        <w:r w:rsidR="00B200E8" w:rsidRPr="00AE4E8D">
          <w:rPr>
            <w:webHidden/>
          </w:rPr>
          <w:instrText xml:space="preserve"> PAGEREF _Toc495972965 \h </w:instrText>
        </w:r>
        <w:r w:rsidR="00B200E8" w:rsidRPr="00AE4E8D">
          <w:rPr>
            <w:webHidden/>
          </w:rPr>
        </w:r>
        <w:r w:rsidR="00B200E8" w:rsidRPr="00AE4E8D">
          <w:rPr>
            <w:webHidden/>
          </w:rPr>
          <w:fldChar w:fldCharType="separate"/>
        </w:r>
        <w:r w:rsidR="002A450F">
          <w:rPr>
            <w:webHidden/>
          </w:rPr>
          <w:t>xii</w:t>
        </w:r>
        <w:r w:rsidR="00B200E8" w:rsidRPr="00AE4E8D">
          <w:rPr>
            <w:webHidden/>
          </w:rPr>
          <w:fldChar w:fldCharType="end"/>
        </w:r>
      </w:hyperlink>
    </w:p>
    <w:p w14:paraId="1774F423" w14:textId="77777777" w:rsidR="00B200E8" w:rsidRPr="00AE4E8D" w:rsidRDefault="003676BD" w:rsidP="000400C8">
      <w:pPr>
        <w:pStyle w:val="TDC2"/>
        <w:ind w:right="0"/>
        <w:rPr>
          <w:rFonts w:eastAsiaTheme="minorEastAsia"/>
          <w:lang w:val="es-AR"/>
        </w:rPr>
      </w:pPr>
      <w:hyperlink w:anchor="_Toc495972966" w:history="1">
        <w:r w:rsidR="00B200E8" w:rsidRPr="00AE4E8D">
          <w:rPr>
            <w:rStyle w:val="Hipervnculo"/>
          </w:rPr>
          <w:t>Datos Económicos y de Mercado</w:t>
        </w:r>
        <w:r w:rsidR="00B200E8" w:rsidRPr="00AE4E8D">
          <w:rPr>
            <w:webHidden/>
          </w:rPr>
          <w:tab/>
        </w:r>
        <w:r w:rsidR="00B200E8" w:rsidRPr="00AE4E8D">
          <w:rPr>
            <w:webHidden/>
          </w:rPr>
          <w:fldChar w:fldCharType="begin"/>
        </w:r>
        <w:r w:rsidR="00B200E8" w:rsidRPr="00AE4E8D">
          <w:rPr>
            <w:webHidden/>
          </w:rPr>
          <w:instrText xml:space="preserve"> PAGEREF _Toc495972966 \h </w:instrText>
        </w:r>
        <w:r w:rsidR="00B200E8" w:rsidRPr="00AE4E8D">
          <w:rPr>
            <w:webHidden/>
          </w:rPr>
        </w:r>
        <w:r w:rsidR="00B200E8" w:rsidRPr="00AE4E8D">
          <w:rPr>
            <w:webHidden/>
          </w:rPr>
          <w:fldChar w:fldCharType="separate"/>
        </w:r>
        <w:r w:rsidR="002A450F">
          <w:rPr>
            <w:webHidden/>
          </w:rPr>
          <w:t>xii</w:t>
        </w:r>
        <w:r w:rsidR="00B200E8" w:rsidRPr="00AE4E8D">
          <w:rPr>
            <w:webHidden/>
          </w:rPr>
          <w:fldChar w:fldCharType="end"/>
        </w:r>
      </w:hyperlink>
    </w:p>
    <w:p w14:paraId="7CC68F98"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67" w:history="1">
        <w:r w:rsidR="00B200E8" w:rsidRPr="00AE4E8D">
          <w:rPr>
            <w:rStyle w:val="Hipervnculo"/>
            <w:rFonts w:ascii="Times New Roman" w:hAnsi="Times New Roman"/>
          </w:rPr>
          <w:t>RESUMEN DEL PROSPECTO</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_Toc495972967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xiv</w:t>
        </w:r>
        <w:r w:rsidR="00B200E8" w:rsidRPr="00AE4E8D">
          <w:rPr>
            <w:rFonts w:ascii="Times New Roman" w:hAnsi="Times New Roman"/>
            <w:webHidden/>
          </w:rPr>
          <w:fldChar w:fldCharType="end"/>
        </w:r>
      </w:hyperlink>
    </w:p>
    <w:p w14:paraId="687FB2DA" w14:textId="77777777" w:rsidR="00B200E8" w:rsidRPr="00AE4E8D" w:rsidRDefault="003676BD" w:rsidP="000400C8">
      <w:pPr>
        <w:pStyle w:val="TDC2"/>
        <w:ind w:right="0"/>
        <w:rPr>
          <w:rFonts w:eastAsiaTheme="minorEastAsia"/>
          <w:lang w:val="es-AR"/>
        </w:rPr>
      </w:pPr>
      <w:hyperlink w:anchor="_Toc495972968" w:history="1">
        <w:r w:rsidR="00B200E8" w:rsidRPr="00AE4E8D">
          <w:rPr>
            <w:rStyle w:val="Hipervnculo"/>
          </w:rPr>
          <w:t>Introducción</w:t>
        </w:r>
        <w:r w:rsidR="00B200E8" w:rsidRPr="00AE4E8D">
          <w:rPr>
            <w:webHidden/>
          </w:rPr>
          <w:tab/>
        </w:r>
        <w:r w:rsidR="00B200E8" w:rsidRPr="00AE4E8D">
          <w:rPr>
            <w:webHidden/>
          </w:rPr>
          <w:fldChar w:fldCharType="begin"/>
        </w:r>
        <w:r w:rsidR="00B200E8" w:rsidRPr="00AE4E8D">
          <w:rPr>
            <w:webHidden/>
          </w:rPr>
          <w:instrText xml:space="preserve"> PAGEREF _Toc495972968 \h </w:instrText>
        </w:r>
        <w:r w:rsidR="00B200E8" w:rsidRPr="00AE4E8D">
          <w:rPr>
            <w:webHidden/>
          </w:rPr>
        </w:r>
        <w:r w:rsidR="00B200E8" w:rsidRPr="00AE4E8D">
          <w:rPr>
            <w:webHidden/>
          </w:rPr>
          <w:fldChar w:fldCharType="separate"/>
        </w:r>
        <w:r w:rsidR="002A450F">
          <w:rPr>
            <w:webHidden/>
          </w:rPr>
          <w:t>xiv</w:t>
        </w:r>
        <w:r w:rsidR="00B200E8" w:rsidRPr="00AE4E8D">
          <w:rPr>
            <w:webHidden/>
          </w:rPr>
          <w:fldChar w:fldCharType="end"/>
        </w:r>
      </w:hyperlink>
    </w:p>
    <w:p w14:paraId="05FD401F" w14:textId="77777777" w:rsidR="00B200E8" w:rsidRPr="00AE4E8D" w:rsidRDefault="003676BD" w:rsidP="000400C8">
      <w:pPr>
        <w:pStyle w:val="TDC2"/>
        <w:ind w:right="0"/>
        <w:rPr>
          <w:rFonts w:eastAsiaTheme="minorEastAsia"/>
          <w:lang w:val="es-AR"/>
        </w:rPr>
      </w:pPr>
      <w:hyperlink w:anchor="_Toc495972969" w:history="1">
        <w:r w:rsidR="00B200E8" w:rsidRPr="00AE4E8D">
          <w:rPr>
            <w:rStyle w:val="Hipervnculo"/>
          </w:rPr>
          <w:t>Estrategia</w:t>
        </w:r>
        <w:r w:rsidR="00B200E8" w:rsidRPr="00AE4E8D">
          <w:rPr>
            <w:webHidden/>
          </w:rPr>
          <w:tab/>
        </w:r>
        <w:r w:rsidR="00B200E8" w:rsidRPr="00AE4E8D">
          <w:rPr>
            <w:webHidden/>
          </w:rPr>
          <w:fldChar w:fldCharType="begin"/>
        </w:r>
        <w:r w:rsidR="00B200E8" w:rsidRPr="00AE4E8D">
          <w:rPr>
            <w:webHidden/>
          </w:rPr>
          <w:instrText xml:space="preserve"> PAGEREF _Toc495972969 \h </w:instrText>
        </w:r>
        <w:r w:rsidR="00B200E8" w:rsidRPr="00AE4E8D">
          <w:rPr>
            <w:webHidden/>
          </w:rPr>
        </w:r>
        <w:r w:rsidR="00B200E8" w:rsidRPr="00AE4E8D">
          <w:rPr>
            <w:webHidden/>
          </w:rPr>
          <w:fldChar w:fldCharType="separate"/>
        </w:r>
        <w:r w:rsidR="002A450F">
          <w:rPr>
            <w:webHidden/>
          </w:rPr>
          <w:t>xv</w:t>
        </w:r>
        <w:r w:rsidR="00B200E8" w:rsidRPr="00AE4E8D">
          <w:rPr>
            <w:webHidden/>
          </w:rPr>
          <w:fldChar w:fldCharType="end"/>
        </w:r>
      </w:hyperlink>
    </w:p>
    <w:p w14:paraId="5F91A074"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70" w:history="1">
        <w:r w:rsidR="00B200E8" w:rsidRPr="00AE4E8D">
          <w:rPr>
            <w:rStyle w:val="Hipervnculo"/>
            <w:rFonts w:ascii="Times New Roman" w:hAnsi="Times New Roman"/>
          </w:rPr>
          <w:t>DATOS SOBRE DIRECTORES, ADMINISTRADORES, GERENTES, ASESORES Y MIEMBROS DEL ÓRGANO DE FISCALIZACIÓN</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_Toc495972970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1</w:t>
        </w:r>
        <w:r w:rsidR="00B200E8" w:rsidRPr="00AE4E8D">
          <w:rPr>
            <w:rFonts w:ascii="Times New Roman" w:hAnsi="Times New Roman"/>
            <w:webHidden/>
          </w:rPr>
          <w:fldChar w:fldCharType="end"/>
        </w:r>
      </w:hyperlink>
    </w:p>
    <w:p w14:paraId="70C56F02" w14:textId="77777777" w:rsidR="00B200E8" w:rsidRPr="00AE4E8D" w:rsidRDefault="003676BD" w:rsidP="000400C8">
      <w:pPr>
        <w:pStyle w:val="TDC2"/>
        <w:ind w:right="0"/>
        <w:rPr>
          <w:rFonts w:eastAsiaTheme="minorEastAsia"/>
          <w:lang w:val="es-AR"/>
        </w:rPr>
      </w:pPr>
      <w:hyperlink w:anchor="_Toc495972971" w:history="1">
        <w:r w:rsidR="00B200E8" w:rsidRPr="00AE4E8D">
          <w:rPr>
            <w:rStyle w:val="Hipervnculo"/>
          </w:rPr>
          <w:t>a) Directorio</w:t>
        </w:r>
        <w:r w:rsidR="00B200E8" w:rsidRPr="00AE4E8D">
          <w:rPr>
            <w:webHidden/>
          </w:rPr>
          <w:tab/>
        </w:r>
        <w:r w:rsidR="00B200E8" w:rsidRPr="00AE4E8D">
          <w:rPr>
            <w:webHidden/>
          </w:rPr>
          <w:fldChar w:fldCharType="begin"/>
        </w:r>
        <w:r w:rsidR="00B200E8" w:rsidRPr="00AE4E8D">
          <w:rPr>
            <w:webHidden/>
          </w:rPr>
          <w:instrText xml:space="preserve"> PAGEREF _Toc495972971 \h </w:instrText>
        </w:r>
        <w:r w:rsidR="00B200E8" w:rsidRPr="00AE4E8D">
          <w:rPr>
            <w:webHidden/>
          </w:rPr>
        </w:r>
        <w:r w:rsidR="00B200E8" w:rsidRPr="00AE4E8D">
          <w:rPr>
            <w:webHidden/>
          </w:rPr>
          <w:fldChar w:fldCharType="separate"/>
        </w:r>
        <w:r w:rsidR="002A450F">
          <w:rPr>
            <w:webHidden/>
          </w:rPr>
          <w:t>1</w:t>
        </w:r>
        <w:r w:rsidR="00B200E8" w:rsidRPr="00AE4E8D">
          <w:rPr>
            <w:webHidden/>
          </w:rPr>
          <w:fldChar w:fldCharType="end"/>
        </w:r>
      </w:hyperlink>
    </w:p>
    <w:p w14:paraId="61409D01" w14:textId="77777777" w:rsidR="00B200E8" w:rsidRPr="00AE4E8D" w:rsidRDefault="003676BD" w:rsidP="000400C8">
      <w:pPr>
        <w:pStyle w:val="TDC2"/>
        <w:ind w:right="0"/>
        <w:rPr>
          <w:rFonts w:eastAsiaTheme="minorEastAsia"/>
          <w:lang w:val="es-AR"/>
        </w:rPr>
      </w:pPr>
      <w:hyperlink w:anchor="_Toc495972972" w:history="1">
        <w:r w:rsidR="00B200E8" w:rsidRPr="00AE4E8D">
          <w:rPr>
            <w:rStyle w:val="Hipervnculo"/>
          </w:rPr>
          <w:t>b) Comisión Fiscalizadora</w:t>
        </w:r>
        <w:r w:rsidR="00B200E8" w:rsidRPr="00AE4E8D">
          <w:rPr>
            <w:webHidden/>
          </w:rPr>
          <w:tab/>
        </w:r>
        <w:r w:rsidR="00B200E8" w:rsidRPr="00AE4E8D">
          <w:rPr>
            <w:webHidden/>
          </w:rPr>
          <w:fldChar w:fldCharType="begin"/>
        </w:r>
        <w:r w:rsidR="00B200E8" w:rsidRPr="00AE4E8D">
          <w:rPr>
            <w:webHidden/>
          </w:rPr>
          <w:instrText xml:space="preserve"> PAGEREF _Toc495972972 \h </w:instrText>
        </w:r>
        <w:r w:rsidR="00B200E8" w:rsidRPr="00AE4E8D">
          <w:rPr>
            <w:webHidden/>
          </w:rPr>
        </w:r>
        <w:r w:rsidR="00B200E8" w:rsidRPr="00AE4E8D">
          <w:rPr>
            <w:webHidden/>
          </w:rPr>
          <w:fldChar w:fldCharType="separate"/>
        </w:r>
        <w:r w:rsidR="002A450F">
          <w:rPr>
            <w:webHidden/>
          </w:rPr>
          <w:t>9</w:t>
        </w:r>
        <w:r w:rsidR="00B200E8" w:rsidRPr="00AE4E8D">
          <w:rPr>
            <w:webHidden/>
          </w:rPr>
          <w:fldChar w:fldCharType="end"/>
        </w:r>
      </w:hyperlink>
    </w:p>
    <w:p w14:paraId="06D4242E" w14:textId="77777777" w:rsidR="00B200E8" w:rsidRPr="00AE4E8D" w:rsidRDefault="003676BD" w:rsidP="000400C8">
      <w:pPr>
        <w:pStyle w:val="TDC2"/>
        <w:ind w:right="0"/>
        <w:rPr>
          <w:rFonts w:eastAsiaTheme="minorEastAsia"/>
          <w:lang w:val="es-AR"/>
        </w:rPr>
      </w:pPr>
      <w:hyperlink w:anchor="_Toc495972973" w:history="1">
        <w:r w:rsidR="00B200E8" w:rsidRPr="00AE4E8D">
          <w:rPr>
            <w:rStyle w:val="Hipervnculo"/>
          </w:rPr>
          <w:t>c) Asesores</w:t>
        </w:r>
        <w:r w:rsidR="00B200E8" w:rsidRPr="00AE4E8D">
          <w:rPr>
            <w:webHidden/>
          </w:rPr>
          <w:tab/>
        </w:r>
        <w:r w:rsidR="00B200E8" w:rsidRPr="00AE4E8D">
          <w:rPr>
            <w:webHidden/>
          </w:rPr>
          <w:fldChar w:fldCharType="begin"/>
        </w:r>
        <w:r w:rsidR="00B200E8" w:rsidRPr="00AE4E8D">
          <w:rPr>
            <w:webHidden/>
          </w:rPr>
          <w:instrText xml:space="preserve"> PAGEREF _Toc495972973 \h </w:instrText>
        </w:r>
        <w:r w:rsidR="00B200E8" w:rsidRPr="00AE4E8D">
          <w:rPr>
            <w:webHidden/>
          </w:rPr>
        </w:r>
        <w:r w:rsidR="00B200E8" w:rsidRPr="00AE4E8D">
          <w:rPr>
            <w:webHidden/>
          </w:rPr>
          <w:fldChar w:fldCharType="separate"/>
        </w:r>
        <w:r w:rsidR="002A450F">
          <w:rPr>
            <w:webHidden/>
          </w:rPr>
          <w:t>12</w:t>
        </w:r>
        <w:r w:rsidR="00B200E8" w:rsidRPr="00AE4E8D">
          <w:rPr>
            <w:webHidden/>
          </w:rPr>
          <w:fldChar w:fldCharType="end"/>
        </w:r>
      </w:hyperlink>
    </w:p>
    <w:p w14:paraId="137CB302" w14:textId="77777777" w:rsidR="00B200E8" w:rsidRPr="00AE4E8D" w:rsidRDefault="003676BD" w:rsidP="000400C8">
      <w:pPr>
        <w:pStyle w:val="TDC2"/>
        <w:ind w:right="0"/>
        <w:rPr>
          <w:rFonts w:eastAsiaTheme="minorEastAsia"/>
          <w:lang w:val="es-AR"/>
        </w:rPr>
      </w:pPr>
      <w:hyperlink w:anchor="_Toc495972974" w:history="1">
        <w:r w:rsidR="00B200E8" w:rsidRPr="00AE4E8D">
          <w:rPr>
            <w:rStyle w:val="Hipervnculo"/>
          </w:rPr>
          <w:t>d) Auditores</w:t>
        </w:r>
        <w:r w:rsidR="00B200E8" w:rsidRPr="00AE4E8D">
          <w:rPr>
            <w:webHidden/>
          </w:rPr>
          <w:tab/>
        </w:r>
        <w:r w:rsidR="00B200E8" w:rsidRPr="00AE4E8D">
          <w:rPr>
            <w:webHidden/>
          </w:rPr>
          <w:fldChar w:fldCharType="begin"/>
        </w:r>
        <w:r w:rsidR="00B200E8" w:rsidRPr="00AE4E8D">
          <w:rPr>
            <w:webHidden/>
          </w:rPr>
          <w:instrText xml:space="preserve"> PAGEREF _Toc495972974 \h </w:instrText>
        </w:r>
        <w:r w:rsidR="00B200E8" w:rsidRPr="00AE4E8D">
          <w:rPr>
            <w:webHidden/>
          </w:rPr>
        </w:r>
        <w:r w:rsidR="00B200E8" w:rsidRPr="00AE4E8D">
          <w:rPr>
            <w:webHidden/>
          </w:rPr>
          <w:fldChar w:fldCharType="separate"/>
        </w:r>
        <w:r w:rsidR="002A450F">
          <w:rPr>
            <w:webHidden/>
          </w:rPr>
          <w:t>12</w:t>
        </w:r>
        <w:r w:rsidR="00B200E8" w:rsidRPr="00AE4E8D">
          <w:rPr>
            <w:webHidden/>
          </w:rPr>
          <w:fldChar w:fldCharType="end"/>
        </w:r>
      </w:hyperlink>
    </w:p>
    <w:p w14:paraId="31EC1358"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75" w:history="1">
        <w:r w:rsidR="00B200E8" w:rsidRPr="00AE4E8D">
          <w:rPr>
            <w:rStyle w:val="Hipervnculo"/>
            <w:rFonts w:ascii="Times New Roman" w:hAnsi="Times New Roman"/>
          </w:rPr>
          <w:t>DATOS ESTADÍSTICOS Y PROGRAMA PREVISTO PARA LA OFERTA</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_Toc495972975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14</w:t>
        </w:r>
        <w:r w:rsidR="00B200E8" w:rsidRPr="00AE4E8D">
          <w:rPr>
            <w:rFonts w:ascii="Times New Roman" w:hAnsi="Times New Roman"/>
            <w:webHidden/>
          </w:rPr>
          <w:fldChar w:fldCharType="end"/>
        </w:r>
      </w:hyperlink>
    </w:p>
    <w:p w14:paraId="48AED29D"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76" w:history="1">
        <w:r w:rsidR="00B200E8" w:rsidRPr="00AE4E8D">
          <w:rPr>
            <w:rStyle w:val="Hipervnculo"/>
            <w:rFonts w:ascii="Times New Roman" w:hAnsi="Times New Roman"/>
          </w:rPr>
          <w:t>INFORMACIÓN CLAVE SOBRE LA EMISORA</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_Toc495972976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20</w:t>
        </w:r>
        <w:r w:rsidR="00B200E8" w:rsidRPr="00AE4E8D">
          <w:rPr>
            <w:rFonts w:ascii="Times New Roman" w:hAnsi="Times New Roman"/>
            <w:webHidden/>
          </w:rPr>
          <w:fldChar w:fldCharType="end"/>
        </w:r>
      </w:hyperlink>
    </w:p>
    <w:p w14:paraId="75D29AFD" w14:textId="77777777" w:rsidR="00B200E8" w:rsidRPr="00AE4E8D" w:rsidRDefault="003676BD" w:rsidP="000400C8">
      <w:pPr>
        <w:pStyle w:val="TDC2"/>
        <w:ind w:right="0"/>
        <w:rPr>
          <w:rFonts w:eastAsiaTheme="minorEastAsia"/>
          <w:lang w:val="es-AR"/>
        </w:rPr>
      </w:pPr>
      <w:hyperlink w:anchor="_Toc495972977" w:history="1">
        <w:r w:rsidR="00B200E8" w:rsidRPr="00AE4E8D">
          <w:rPr>
            <w:rStyle w:val="Hipervnculo"/>
          </w:rPr>
          <w:t>a) Información Contable y Financiera</w:t>
        </w:r>
        <w:r w:rsidR="00B200E8" w:rsidRPr="00AE4E8D">
          <w:rPr>
            <w:webHidden/>
          </w:rPr>
          <w:tab/>
        </w:r>
        <w:r w:rsidR="00B200E8" w:rsidRPr="00AE4E8D">
          <w:rPr>
            <w:webHidden/>
          </w:rPr>
          <w:fldChar w:fldCharType="begin"/>
        </w:r>
        <w:r w:rsidR="00B200E8" w:rsidRPr="00AE4E8D">
          <w:rPr>
            <w:webHidden/>
          </w:rPr>
          <w:instrText xml:space="preserve"> PAGEREF _Toc495972977 \h </w:instrText>
        </w:r>
        <w:r w:rsidR="00B200E8" w:rsidRPr="00AE4E8D">
          <w:rPr>
            <w:webHidden/>
          </w:rPr>
        </w:r>
        <w:r w:rsidR="00B200E8" w:rsidRPr="00AE4E8D">
          <w:rPr>
            <w:webHidden/>
          </w:rPr>
          <w:fldChar w:fldCharType="separate"/>
        </w:r>
        <w:r w:rsidR="002A450F">
          <w:rPr>
            <w:webHidden/>
          </w:rPr>
          <w:t>20</w:t>
        </w:r>
        <w:r w:rsidR="00B200E8" w:rsidRPr="00AE4E8D">
          <w:rPr>
            <w:webHidden/>
          </w:rPr>
          <w:fldChar w:fldCharType="end"/>
        </w:r>
      </w:hyperlink>
    </w:p>
    <w:p w14:paraId="2B90C077" w14:textId="77777777" w:rsidR="00B200E8" w:rsidRPr="00AE4E8D" w:rsidRDefault="003676BD" w:rsidP="000400C8">
      <w:pPr>
        <w:pStyle w:val="TDC2"/>
        <w:ind w:right="0"/>
        <w:rPr>
          <w:rFonts w:eastAsiaTheme="minorEastAsia"/>
          <w:lang w:val="es-AR"/>
        </w:rPr>
      </w:pPr>
      <w:hyperlink w:anchor="_Toc495972978" w:history="1">
        <w:r w:rsidR="00B200E8" w:rsidRPr="00AE4E8D">
          <w:rPr>
            <w:rStyle w:val="Hipervnculo"/>
          </w:rPr>
          <w:t>b) Indicadores</w:t>
        </w:r>
        <w:r w:rsidR="00B200E8" w:rsidRPr="00AE4E8D">
          <w:rPr>
            <w:webHidden/>
          </w:rPr>
          <w:tab/>
        </w:r>
        <w:r w:rsidR="00B200E8" w:rsidRPr="00AE4E8D">
          <w:rPr>
            <w:webHidden/>
          </w:rPr>
          <w:fldChar w:fldCharType="begin"/>
        </w:r>
        <w:r w:rsidR="00B200E8" w:rsidRPr="00AE4E8D">
          <w:rPr>
            <w:webHidden/>
          </w:rPr>
          <w:instrText xml:space="preserve"> PAGEREF _Toc495972978 \h </w:instrText>
        </w:r>
        <w:r w:rsidR="00B200E8" w:rsidRPr="00AE4E8D">
          <w:rPr>
            <w:webHidden/>
          </w:rPr>
        </w:r>
        <w:r w:rsidR="00B200E8" w:rsidRPr="00AE4E8D">
          <w:rPr>
            <w:webHidden/>
          </w:rPr>
          <w:fldChar w:fldCharType="separate"/>
        </w:r>
        <w:r w:rsidR="002A450F">
          <w:rPr>
            <w:webHidden/>
          </w:rPr>
          <w:t>24</w:t>
        </w:r>
        <w:r w:rsidR="00B200E8" w:rsidRPr="00AE4E8D">
          <w:rPr>
            <w:webHidden/>
          </w:rPr>
          <w:fldChar w:fldCharType="end"/>
        </w:r>
      </w:hyperlink>
    </w:p>
    <w:p w14:paraId="6B346613" w14:textId="77777777" w:rsidR="00B200E8" w:rsidRPr="00AE4E8D" w:rsidRDefault="003676BD" w:rsidP="000400C8">
      <w:pPr>
        <w:pStyle w:val="TDC2"/>
        <w:ind w:right="0"/>
        <w:rPr>
          <w:rFonts w:eastAsiaTheme="minorEastAsia"/>
          <w:lang w:val="es-AR"/>
        </w:rPr>
      </w:pPr>
      <w:hyperlink w:anchor="_Toc495972979" w:history="1">
        <w:r w:rsidR="00B200E8" w:rsidRPr="00AE4E8D">
          <w:rPr>
            <w:rStyle w:val="Hipervnculo"/>
          </w:rPr>
          <w:t>c) Capitalización y Endeudamiento</w:t>
        </w:r>
        <w:r w:rsidR="00B200E8" w:rsidRPr="00AE4E8D">
          <w:rPr>
            <w:webHidden/>
          </w:rPr>
          <w:tab/>
        </w:r>
        <w:r w:rsidR="00B200E8" w:rsidRPr="00AE4E8D">
          <w:rPr>
            <w:webHidden/>
          </w:rPr>
          <w:fldChar w:fldCharType="begin"/>
        </w:r>
        <w:r w:rsidR="00B200E8" w:rsidRPr="00AE4E8D">
          <w:rPr>
            <w:webHidden/>
          </w:rPr>
          <w:instrText xml:space="preserve"> PAGEREF _Toc495972979 \h </w:instrText>
        </w:r>
        <w:r w:rsidR="00B200E8" w:rsidRPr="00AE4E8D">
          <w:rPr>
            <w:webHidden/>
          </w:rPr>
        </w:r>
        <w:r w:rsidR="00B200E8" w:rsidRPr="00AE4E8D">
          <w:rPr>
            <w:webHidden/>
          </w:rPr>
          <w:fldChar w:fldCharType="separate"/>
        </w:r>
        <w:r w:rsidR="002A450F">
          <w:rPr>
            <w:webHidden/>
          </w:rPr>
          <w:t>25</w:t>
        </w:r>
        <w:r w:rsidR="00B200E8" w:rsidRPr="00AE4E8D">
          <w:rPr>
            <w:webHidden/>
          </w:rPr>
          <w:fldChar w:fldCharType="end"/>
        </w:r>
      </w:hyperlink>
    </w:p>
    <w:p w14:paraId="543CE6BB" w14:textId="77777777" w:rsidR="00B200E8" w:rsidRPr="00AE4E8D" w:rsidRDefault="003676BD" w:rsidP="000400C8">
      <w:pPr>
        <w:pStyle w:val="TDC2"/>
        <w:ind w:right="0"/>
        <w:rPr>
          <w:rFonts w:eastAsiaTheme="minorEastAsia"/>
          <w:lang w:val="es-AR"/>
        </w:rPr>
      </w:pPr>
      <w:hyperlink w:anchor="_Toc495972980" w:history="1">
        <w:r w:rsidR="00B200E8" w:rsidRPr="00AE4E8D">
          <w:rPr>
            <w:rStyle w:val="Hipervnculo"/>
          </w:rPr>
          <w:t>d) Razones para la Oferta y Destino de los Fondos</w:t>
        </w:r>
        <w:r w:rsidR="00B200E8" w:rsidRPr="00AE4E8D">
          <w:rPr>
            <w:webHidden/>
          </w:rPr>
          <w:tab/>
        </w:r>
        <w:r w:rsidR="00B200E8" w:rsidRPr="00AE4E8D">
          <w:rPr>
            <w:webHidden/>
          </w:rPr>
          <w:fldChar w:fldCharType="begin"/>
        </w:r>
        <w:r w:rsidR="00B200E8" w:rsidRPr="00AE4E8D">
          <w:rPr>
            <w:webHidden/>
          </w:rPr>
          <w:instrText xml:space="preserve"> PAGEREF _Toc495972980 \h </w:instrText>
        </w:r>
        <w:r w:rsidR="00B200E8" w:rsidRPr="00AE4E8D">
          <w:rPr>
            <w:webHidden/>
          </w:rPr>
        </w:r>
        <w:r w:rsidR="00B200E8" w:rsidRPr="00AE4E8D">
          <w:rPr>
            <w:webHidden/>
          </w:rPr>
          <w:fldChar w:fldCharType="separate"/>
        </w:r>
        <w:r w:rsidR="002A450F">
          <w:rPr>
            <w:webHidden/>
          </w:rPr>
          <w:t>26</w:t>
        </w:r>
        <w:r w:rsidR="00B200E8" w:rsidRPr="00AE4E8D">
          <w:rPr>
            <w:webHidden/>
          </w:rPr>
          <w:fldChar w:fldCharType="end"/>
        </w:r>
      </w:hyperlink>
    </w:p>
    <w:p w14:paraId="3F6C6947" w14:textId="77777777" w:rsidR="00B200E8" w:rsidRPr="00AE4E8D" w:rsidRDefault="003676BD" w:rsidP="000400C8">
      <w:pPr>
        <w:pStyle w:val="TDC2"/>
        <w:ind w:right="0"/>
        <w:rPr>
          <w:rFonts w:eastAsiaTheme="minorEastAsia"/>
          <w:lang w:val="es-AR"/>
        </w:rPr>
      </w:pPr>
      <w:hyperlink w:anchor="_Toc495972981" w:history="1">
        <w:r w:rsidR="00B200E8" w:rsidRPr="00AE4E8D">
          <w:rPr>
            <w:rStyle w:val="Hipervnculo"/>
          </w:rPr>
          <w:t>e) Factores de Riesgo</w:t>
        </w:r>
        <w:r w:rsidR="00B200E8" w:rsidRPr="00AE4E8D">
          <w:rPr>
            <w:webHidden/>
          </w:rPr>
          <w:tab/>
        </w:r>
        <w:r w:rsidR="00B200E8" w:rsidRPr="00AE4E8D">
          <w:rPr>
            <w:webHidden/>
          </w:rPr>
          <w:fldChar w:fldCharType="begin"/>
        </w:r>
        <w:r w:rsidR="00B200E8" w:rsidRPr="00AE4E8D">
          <w:rPr>
            <w:webHidden/>
          </w:rPr>
          <w:instrText xml:space="preserve"> PAGEREF _Toc495972981 \h </w:instrText>
        </w:r>
        <w:r w:rsidR="00B200E8" w:rsidRPr="00AE4E8D">
          <w:rPr>
            <w:webHidden/>
          </w:rPr>
        </w:r>
        <w:r w:rsidR="00B200E8" w:rsidRPr="00AE4E8D">
          <w:rPr>
            <w:webHidden/>
          </w:rPr>
          <w:fldChar w:fldCharType="separate"/>
        </w:r>
        <w:r w:rsidR="002A450F">
          <w:rPr>
            <w:webHidden/>
          </w:rPr>
          <w:t>26</w:t>
        </w:r>
        <w:r w:rsidR="00B200E8" w:rsidRPr="00AE4E8D">
          <w:rPr>
            <w:webHidden/>
          </w:rPr>
          <w:fldChar w:fldCharType="end"/>
        </w:r>
      </w:hyperlink>
    </w:p>
    <w:p w14:paraId="3D0F9E5D"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82" w:history="1">
        <w:r w:rsidR="00B200E8" w:rsidRPr="00AE4E8D">
          <w:rPr>
            <w:rStyle w:val="Hipervnculo"/>
            <w:rFonts w:ascii="Times New Roman" w:hAnsi="Times New Roman"/>
            <w:lang w:eastAsia="en-US"/>
          </w:rPr>
          <w:t>INFORMACIÓN SOBRE LA EMISORA</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_Toc495972982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57</w:t>
        </w:r>
        <w:r w:rsidR="00B200E8" w:rsidRPr="00AE4E8D">
          <w:rPr>
            <w:rFonts w:ascii="Times New Roman" w:hAnsi="Times New Roman"/>
            <w:webHidden/>
          </w:rPr>
          <w:fldChar w:fldCharType="end"/>
        </w:r>
      </w:hyperlink>
    </w:p>
    <w:p w14:paraId="1B3B19E6" w14:textId="77777777" w:rsidR="00B200E8" w:rsidRPr="00AE4E8D" w:rsidRDefault="003676BD" w:rsidP="000400C8">
      <w:pPr>
        <w:pStyle w:val="TDC2"/>
        <w:ind w:right="0"/>
        <w:rPr>
          <w:rFonts w:eastAsiaTheme="minorEastAsia"/>
          <w:lang w:val="es-AR"/>
        </w:rPr>
      </w:pPr>
      <w:hyperlink w:anchor="_Toc495972983" w:history="1">
        <w:r w:rsidR="00B200E8" w:rsidRPr="00AE4E8D">
          <w:rPr>
            <w:rStyle w:val="Hipervnculo"/>
          </w:rPr>
          <w:t>a) Historia y Desarrollo del Banco</w:t>
        </w:r>
        <w:r w:rsidR="00B200E8" w:rsidRPr="00AE4E8D">
          <w:rPr>
            <w:webHidden/>
          </w:rPr>
          <w:tab/>
        </w:r>
        <w:r w:rsidR="00B200E8" w:rsidRPr="00AE4E8D">
          <w:rPr>
            <w:webHidden/>
          </w:rPr>
          <w:fldChar w:fldCharType="begin"/>
        </w:r>
        <w:r w:rsidR="00B200E8" w:rsidRPr="00AE4E8D">
          <w:rPr>
            <w:webHidden/>
          </w:rPr>
          <w:instrText xml:space="preserve"> PAGEREF _Toc495972983 \h </w:instrText>
        </w:r>
        <w:r w:rsidR="00B200E8" w:rsidRPr="00AE4E8D">
          <w:rPr>
            <w:webHidden/>
          </w:rPr>
        </w:r>
        <w:r w:rsidR="00B200E8" w:rsidRPr="00AE4E8D">
          <w:rPr>
            <w:webHidden/>
          </w:rPr>
          <w:fldChar w:fldCharType="separate"/>
        </w:r>
        <w:r w:rsidR="002A450F">
          <w:rPr>
            <w:webHidden/>
          </w:rPr>
          <w:t>57</w:t>
        </w:r>
        <w:r w:rsidR="00B200E8" w:rsidRPr="00AE4E8D">
          <w:rPr>
            <w:webHidden/>
          </w:rPr>
          <w:fldChar w:fldCharType="end"/>
        </w:r>
      </w:hyperlink>
    </w:p>
    <w:p w14:paraId="455D444D" w14:textId="77777777" w:rsidR="00B200E8" w:rsidRPr="00AE4E8D" w:rsidRDefault="003676BD" w:rsidP="00E91314">
      <w:pPr>
        <w:pStyle w:val="TDC2"/>
        <w:ind w:left="993" w:right="0"/>
        <w:rPr>
          <w:rFonts w:eastAsiaTheme="minorEastAsia"/>
          <w:lang w:val="es-AR"/>
        </w:rPr>
      </w:pPr>
      <w:hyperlink w:anchor="_Toc495972984" w:history="1">
        <w:r w:rsidR="00B200E8" w:rsidRPr="00AE4E8D">
          <w:rPr>
            <w:rStyle w:val="Hipervnculo"/>
          </w:rPr>
          <w:t>Introducción</w:t>
        </w:r>
        <w:r w:rsidR="00B200E8" w:rsidRPr="00AE4E8D">
          <w:rPr>
            <w:webHidden/>
          </w:rPr>
          <w:tab/>
        </w:r>
        <w:r w:rsidR="00B200E8" w:rsidRPr="00AE4E8D">
          <w:rPr>
            <w:webHidden/>
          </w:rPr>
          <w:fldChar w:fldCharType="begin"/>
        </w:r>
        <w:r w:rsidR="00B200E8" w:rsidRPr="00AE4E8D">
          <w:rPr>
            <w:webHidden/>
          </w:rPr>
          <w:instrText xml:space="preserve"> PAGEREF _Toc495972984 \h </w:instrText>
        </w:r>
        <w:r w:rsidR="00B200E8" w:rsidRPr="00AE4E8D">
          <w:rPr>
            <w:webHidden/>
          </w:rPr>
        </w:r>
        <w:r w:rsidR="00B200E8" w:rsidRPr="00AE4E8D">
          <w:rPr>
            <w:webHidden/>
          </w:rPr>
          <w:fldChar w:fldCharType="separate"/>
        </w:r>
        <w:r w:rsidR="002A450F">
          <w:rPr>
            <w:webHidden/>
          </w:rPr>
          <w:t>57</w:t>
        </w:r>
        <w:r w:rsidR="00B200E8" w:rsidRPr="00AE4E8D">
          <w:rPr>
            <w:webHidden/>
          </w:rPr>
          <w:fldChar w:fldCharType="end"/>
        </w:r>
      </w:hyperlink>
    </w:p>
    <w:p w14:paraId="26121D35" w14:textId="77777777" w:rsidR="00B200E8" w:rsidRPr="00AE4E8D" w:rsidRDefault="003676BD" w:rsidP="00E91314">
      <w:pPr>
        <w:pStyle w:val="TDC2"/>
        <w:ind w:left="993" w:right="0"/>
        <w:rPr>
          <w:rFonts w:eastAsiaTheme="minorEastAsia"/>
          <w:lang w:val="es-AR"/>
        </w:rPr>
      </w:pPr>
      <w:hyperlink w:anchor="_Toc495972985" w:history="1">
        <w:r w:rsidR="00B200E8" w:rsidRPr="00AE4E8D">
          <w:rPr>
            <w:rStyle w:val="Hipervnculo"/>
          </w:rPr>
          <w:t>Estrategia</w:t>
        </w:r>
        <w:r w:rsidR="00B200E8" w:rsidRPr="00AE4E8D">
          <w:rPr>
            <w:webHidden/>
          </w:rPr>
          <w:tab/>
        </w:r>
        <w:r w:rsidR="00B200E8" w:rsidRPr="00AE4E8D">
          <w:rPr>
            <w:webHidden/>
          </w:rPr>
          <w:fldChar w:fldCharType="begin"/>
        </w:r>
        <w:r w:rsidR="00B200E8" w:rsidRPr="00AE4E8D">
          <w:rPr>
            <w:webHidden/>
          </w:rPr>
          <w:instrText xml:space="preserve"> PAGEREF _Toc495972985 \h </w:instrText>
        </w:r>
        <w:r w:rsidR="00B200E8" w:rsidRPr="00AE4E8D">
          <w:rPr>
            <w:webHidden/>
          </w:rPr>
        </w:r>
        <w:r w:rsidR="00B200E8" w:rsidRPr="00AE4E8D">
          <w:rPr>
            <w:webHidden/>
          </w:rPr>
          <w:fldChar w:fldCharType="separate"/>
        </w:r>
        <w:r w:rsidR="002A450F">
          <w:rPr>
            <w:webHidden/>
          </w:rPr>
          <w:t>58</w:t>
        </w:r>
        <w:r w:rsidR="00B200E8" w:rsidRPr="00AE4E8D">
          <w:rPr>
            <w:webHidden/>
          </w:rPr>
          <w:fldChar w:fldCharType="end"/>
        </w:r>
      </w:hyperlink>
    </w:p>
    <w:p w14:paraId="1FF74EED" w14:textId="77777777" w:rsidR="00B200E8" w:rsidRPr="00AE4E8D" w:rsidRDefault="003676BD" w:rsidP="000400C8">
      <w:pPr>
        <w:pStyle w:val="TDC2"/>
        <w:ind w:right="0"/>
        <w:rPr>
          <w:rFonts w:eastAsiaTheme="minorEastAsia"/>
          <w:lang w:val="es-AR"/>
        </w:rPr>
      </w:pPr>
      <w:hyperlink w:anchor="_Toc495972986" w:history="1">
        <w:r w:rsidR="00B200E8" w:rsidRPr="00AE4E8D">
          <w:rPr>
            <w:rStyle w:val="Hipervnculo"/>
          </w:rPr>
          <w:t>b) Descripción de nuestros negocios</w:t>
        </w:r>
        <w:r w:rsidR="00B200E8" w:rsidRPr="00AE4E8D">
          <w:rPr>
            <w:webHidden/>
          </w:rPr>
          <w:tab/>
        </w:r>
        <w:r w:rsidR="00B200E8" w:rsidRPr="00AE4E8D">
          <w:rPr>
            <w:webHidden/>
          </w:rPr>
          <w:fldChar w:fldCharType="begin"/>
        </w:r>
        <w:r w:rsidR="00B200E8" w:rsidRPr="00AE4E8D">
          <w:rPr>
            <w:webHidden/>
          </w:rPr>
          <w:instrText xml:space="preserve"> PAGEREF _Toc495972986 \h </w:instrText>
        </w:r>
        <w:r w:rsidR="00B200E8" w:rsidRPr="00AE4E8D">
          <w:rPr>
            <w:webHidden/>
          </w:rPr>
        </w:r>
        <w:r w:rsidR="00B200E8" w:rsidRPr="00AE4E8D">
          <w:rPr>
            <w:webHidden/>
          </w:rPr>
          <w:fldChar w:fldCharType="separate"/>
        </w:r>
        <w:r w:rsidR="002A450F">
          <w:rPr>
            <w:webHidden/>
          </w:rPr>
          <w:t>59</w:t>
        </w:r>
        <w:r w:rsidR="00B200E8" w:rsidRPr="00AE4E8D">
          <w:rPr>
            <w:webHidden/>
          </w:rPr>
          <w:fldChar w:fldCharType="end"/>
        </w:r>
      </w:hyperlink>
    </w:p>
    <w:p w14:paraId="6D9B9750" w14:textId="77777777" w:rsidR="00B200E8" w:rsidRPr="00AE4E8D" w:rsidRDefault="003676BD" w:rsidP="000400C8">
      <w:pPr>
        <w:pStyle w:val="TDC2"/>
        <w:ind w:right="0"/>
        <w:rPr>
          <w:rFonts w:eastAsiaTheme="minorEastAsia"/>
          <w:lang w:val="es-AR"/>
        </w:rPr>
      </w:pPr>
      <w:hyperlink w:anchor="_Toc495972987" w:history="1">
        <w:r w:rsidR="00B200E8" w:rsidRPr="00AE4E8D">
          <w:rPr>
            <w:rStyle w:val="Hipervnculo"/>
          </w:rPr>
          <w:t>c) Hechos Relevantes</w:t>
        </w:r>
        <w:r w:rsidR="00B200E8" w:rsidRPr="00AE4E8D">
          <w:rPr>
            <w:webHidden/>
          </w:rPr>
          <w:tab/>
        </w:r>
        <w:r w:rsidR="00B200E8" w:rsidRPr="00AE4E8D">
          <w:rPr>
            <w:webHidden/>
          </w:rPr>
          <w:fldChar w:fldCharType="begin"/>
        </w:r>
        <w:r w:rsidR="00B200E8" w:rsidRPr="00AE4E8D">
          <w:rPr>
            <w:webHidden/>
          </w:rPr>
          <w:instrText xml:space="preserve"> PAGEREF _Toc495972987 \h </w:instrText>
        </w:r>
        <w:r w:rsidR="00B200E8" w:rsidRPr="00AE4E8D">
          <w:rPr>
            <w:webHidden/>
          </w:rPr>
        </w:r>
        <w:r w:rsidR="00B200E8" w:rsidRPr="00AE4E8D">
          <w:rPr>
            <w:webHidden/>
          </w:rPr>
          <w:fldChar w:fldCharType="separate"/>
        </w:r>
        <w:r w:rsidR="002A450F">
          <w:rPr>
            <w:webHidden/>
          </w:rPr>
          <w:t>71</w:t>
        </w:r>
        <w:r w:rsidR="00B200E8" w:rsidRPr="00AE4E8D">
          <w:rPr>
            <w:webHidden/>
          </w:rPr>
          <w:fldChar w:fldCharType="end"/>
        </w:r>
      </w:hyperlink>
    </w:p>
    <w:p w14:paraId="0508C144" w14:textId="77777777" w:rsidR="00B200E8" w:rsidRPr="00AE4E8D" w:rsidRDefault="003676BD" w:rsidP="000400C8">
      <w:pPr>
        <w:pStyle w:val="TDC2"/>
        <w:ind w:right="0"/>
        <w:rPr>
          <w:rFonts w:eastAsiaTheme="minorEastAsia"/>
          <w:lang w:val="es-AR"/>
        </w:rPr>
      </w:pPr>
      <w:hyperlink w:anchor="_Toc495972988" w:history="1">
        <w:r w:rsidR="00B200E8" w:rsidRPr="00AE4E8D">
          <w:rPr>
            <w:rStyle w:val="Hipervnculo"/>
          </w:rPr>
          <w:t>d) Estructura y Organización del Banco y su Grupo Económico</w:t>
        </w:r>
        <w:r w:rsidR="00B200E8" w:rsidRPr="00AE4E8D">
          <w:rPr>
            <w:webHidden/>
          </w:rPr>
          <w:tab/>
        </w:r>
        <w:r w:rsidR="00B200E8" w:rsidRPr="00AE4E8D">
          <w:rPr>
            <w:webHidden/>
          </w:rPr>
          <w:fldChar w:fldCharType="begin"/>
        </w:r>
        <w:r w:rsidR="00B200E8" w:rsidRPr="00AE4E8D">
          <w:rPr>
            <w:webHidden/>
          </w:rPr>
          <w:instrText xml:space="preserve"> PAGEREF _Toc495972988 \h </w:instrText>
        </w:r>
        <w:r w:rsidR="00B200E8" w:rsidRPr="00AE4E8D">
          <w:rPr>
            <w:webHidden/>
          </w:rPr>
        </w:r>
        <w:r w:rsidR="00B200E8" w:rsidRPr="00AE4E8D">
          <w:rPr>
            <w:webHidden/>
          </w:rPr>
          <w:fldChar w:fldCharType="separate"/>
        </w:r>
        <w:r w:rsidR="002A450F">
          <w:rPr>
            <w:webHidden/>
          </w:rPr>
          <w:t>72</w:t>
        </w:r>
        <w:r w:rsidR="00B200E8" w:rsidRPr="00AE4E8D">
          <w:rPr>
            <w:webHidden/>
          </w:rPr>
          <w:fldChar w:fldCharType="end"/>
        </w:r>
      </w:hyperlink>
    </w:p>
    <w:p w14:paraId="3BEB0214" w14:textId="77777777" w:rsidR="00B200E8" w:rsidRPr="00AE4E8D" w:rsidRDefault="003676BD" w:rsidP="000400C8">
      <w:pPr>
        <w:pStyle w:val="TDC2"/>
        <w:ind w:right="0"/>
        <w:rPr>
          <w:rFonts w:eastAsiaTheme="minorEastAsia"/>
          <w:lang w:val="es-AR"/>
        </w:rPr>
      </w:pPr>
      <w:hyperlink w:anchor="_Toc495972989" w:history="1">
        <w:r w:rsidR="00B200E8" w:rsidRPr="00AE4E8D">
          <w:rPr>
            <w:rStyle w:val="Hipervnculo"/>
          </w:rPr>
          <w:t>e) Activo Fijo</w:t>
        </w:r>
        <w:r w:rsidR="00B200E8" w:rsidRPr="00AE4E8D">
          <w:rPr>
            <w:webHidden/>
          </w:rPr>
          <w:tab/>
        </w:r>
        <w:r w:rsidR="00B200E8" w:rsidRPr="00AE4E8D">
          <w:rPr>
            <w:webHidden/>
          </w:rPr>
          <w:fldChar w:fldCharType="begin"/>
        </w:r>
        <w:r w:rsidR="00B200E8" w:rsidRPr="00AE4E8D">
          <w:rPr>
            <w:webHidden/>
          </w:rPr>
          <w:instrText xml:space="preserve"> PAGEREF _Toc495972989 \h </w:instrText>
        </w:r>
        <w:r w:rsidR="00B200E8" w:rsidRPr="00AE4E8D">
          <w:rPr>
            <w:webHidden/>
          </w:rPr>
        </w:r>
        <w:r w:rsidR="00B200E8" w:rsidRPr="00AE4E8D">
          <w:rPr>
            <w:webHidden/>
          </w:rPr>
          <w:fldChar w:fldCharType="separate"/>
        </w:r>
        <w:r w:rsidR="002A450F">
          <w:rPr>
            <w:webHidden/>
          </w:rPr>
          <w:t>74</w:t>
        </w:r>
        <w:r w:rsidR="00B200E8" w:rsidRPr="00AE4E8D">
          <w:rPr>
            <w:webHidden/>
          </w:rPr>
          <w:fldChar w:fldCharType="end"/>
        </w:r>
      </w:hyperlink>
    </w:p>
    <w:p w14:paraId="41BB91D5"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2990" w:history="1">
        <w:r w:rsidR="00B200E8" w:rsidRPr="00AE4E8D">
          <w:rPr>
            <w:rStyle w:val="Hipervnculo"/>
            <w:rFonts w:ascii="Times New Roman" w:hAnsi="Times New Roman"/>
          </w:rPr>
          <w:t>INFORMACIÓN ESTADÍSTICA SELECCIONADA</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_Toc495972990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78</w:t>
        </w:r>
        <w:r w:rsidR="00B200E8" w:rsidRPr="00AE4E8D">
          <w:rPr>
            <w:rFonts w:ascii="Times New Roman" w:hAnsi="Times New Roman"/>
            <w:webHidden/>
          </w:rPr>
          <w:fldChar w:fldCharType="end"/>
        </w:r>
      </w:hyperlink>
    </w:p>
    <w:p w14:paraId="53D666AE" w14:textId="77777777" w:rsidR="00B200E8" w:rsidRPr="00AE4E8D" w:rsidRDefault="003676BD" w:rsidP="000400C8">
      <w:pPr>
        <w:pStyle w:val="TDC2"/>
        <w:ind w:right="0"/>
        <w:rPr>
          <w:rFonts w:eastAsiaTheme="minorEastAsia"/>
          <w:lang w:val="es-AR"/>
        </w:rPr>
      </w:pPr>
      <w:hyperlink w:anchor="_Toc495972991" w:history="1">
        <w:r w:rsidR="00B200E8" w:rsidRPr="00AE4E8D">
          <w:rPr>
            <w:rStyle w:val="Hipervnculo"/>
          </w:rPr>
          <w:t>Cambios en los Ingresos y Egresos Netos por Intereses - Análisis del Volumen y la Tasa</w:t>
        </w:r>
        <w:r w:rsidR="00B200E8" w:rsidRPr="00AE4E8D">
          <w:rPr>
            <w:webHidden/>
          </w:rPr>
          <w:tab/>
        </w:r>
        <w:r w:rsidR="00B200E8" w:rsidRPr="00AE4E8D">
          <w:rPr>
            <w:webHidden/>
          </w:rPr>
          <w:fldChar w:fldCharType="begin"/>
        </w:r>
        <w:r w:rsidR="00B200E8" w:rsidRPr="00AE4E8D">
          <w:rPr>
            <w:webHidden/>
          </w:rPr>
          <w:instrText xml:space="preserve"> PAGEREF _Toc495972991 \h </w:instrText>
        </w:r>
        <w:r w:rsidR="00B200E8" w:rsidRPr="00AE4E8D">
          <w:rPr>
            <w:webHidden/>
          </w:rPr>
        </w:r>
        <w:r w:rsidR="00B200E8" w:rsidRPr="00AE4E8D">
          <w:rPr>
            <w:webHidden/>
          </w:rPr>
          <w:fldChar w:fldCharType="separate"/>
        </w:r>
        <w:r w:rsidR="002A450F">
          <w:rPr>
            <w:webHidden/>
          </w:rPr>
          <w:t>85</w:t>
        </w:r>
        <w:r w:rsidR="00B200E8" w:rsidRPr="00AE4E8D">
          <w:rPr>
            <w:webHidden/>
          </w:rPr>
          <w:fldChar w:fldCharType="end"/>
        </w:r>
      </w:hyperlink>
    </w:p>
    <w:p w14:paraId="632DF3EE" w14:textId="77777777" w:rsidR="00B200E8" w:rsidRPr="00AE4E8D" w:rsidRDefault="003676BD" w:rsidP="000400C8">
      <w:pPr>
        <w:pStyle w:val="TDC2"/>
        <w:ind w:right="0"/>
        <w:rPr>
          <w:rFonts w:eastAsiaTheme="minorEastAsia"/>
          <w:lang w:val="es-AR"/>
        </w:rPr>
      </w:pPr>
      <w:hyperlink w:anchor="_Toc495972992" w:history="1">
        <w:r w:rsidR="00B200E8" w:rsidRPr="00AE4E8D">
          <w:rPr>
            <w:rStyle w:val="Hipervnculo"/>
          </w:rPr>
          <w:t>Activos que Devengan Intereses, Margen de Interés Neto y Diferencial de Interés Neto</w:t>
        </w:r>
        <w:r w:rsidR="00B200E8" w:rsidRPr="00AE4E8D">
          <w:rPr>
            <w:webHidden/>
          </w:rPr>
          <w:tab/>
        </w:r>
        <w:r w:rsidR="00B200E8" w:rsidRPr="00AE4E8D">
          <w:rPr>
            <w:webHidden/>
          </w:rPr>
          <w:fldChar w:fldCharType="begin"/>
        </w:r>
        <w:r w:rsidR="00B200E8" w:rsidRPr="00AE4E8D">
          <w:rPr>
            <w:webHidden/>
          </w:rPr>
          <w:instrText xml:space="preserve"> PAGEREF _Toc495972992 \h </w:instrText>
        </w:r>
        <w:r w:rsidR="00B200E8" w:rsidRPr="00AE4E8D">
          <w:rPr>
            <w:webHidden/>
          </w:rPr>
        </w:r>
        <w:r w:rsidR="00B200E8" w:rsidRPr="00AE4E8D">
          <w:rPr>
            <w:webHidden/>
          </w:rPr>
          <w:fldChar w:fldCharType="separate"/>
        </w:r>
        <w:r w:rsidR="002A450F">
          <w:rPr>
            <w:webHidden/>
          </w:rPr>
          <w:t>88</w:t>
        </w:r>
        <w:r w:rsidR="00B200E8" w:rsidRPr="00AE4E8D">
          <w:rPr>
            <w:webHidden/>
          </w:rPr>
          <w:fldChar w:fldCharType="end"/>
        </w:r>
      </w:hyperlink>
    </w:p>
    <w:p w14:paraId="74F3DFAD" w14:textId="77777777" w:rsidR="00B200E8" w:rsidRPr="00AE4E8D" w:rsidRDefault="003676BD" w:rsidP="000400C8">
      <w:pPr>
        <w:pStyle w:val="TDC2"/>
        <w:ind w:right="0"/>
        <w:rPr>
          <w:rFonts w:eastAsiaTheme="minorEastAsia"/>
          <w:lang w:val="es-AR"/>
        </w:rPr>
      </w:pPr>
      <w:hyperlink w:anchor="_Toc495972993" w:history="1">
        <w:r w:rsidR="00B200E8" w:rsidRPr="00AE4E8D">
          <w:rPr>
            <w:rStyle w:val="Hipervnculo"/>
          </w:rPr>
          <w:t>Rendimiento del Patrimonio Neto y del Activo</w:t>
        </w:r>
        <w:r w:rsidR="00B200E8" w:rsidRPr="00AE4E8D">
          <w:rPr>
            <w:webHidden/>
          </w:rPr>
          <w:tab/>
        </w:r>
        <w:r w:rsidR="00B200E8" w:rsidRPr="00AE4E8D">
          <w:rPr>
            <w:webHidden/>
          </w:rPr>
          <w:fldChar w:fldCharType="begin"/>
        </w:r>
        <w:r w:rsidR="00B200E8" w:rsidRPr="00AE4E8D">
          <w:rPr>
            <w:webHidden/>
          </w:rPr>
          <w:instrText xml:space="preserve"> PAGEREF _Toc495972993 \h </w:instrText>
        </w:r>
        <w:r w:rsidR="00B200E8" w:rsidRPr="00AE4E8D">
          <w:rPr>
            <w:webHidden/>
          </w:rPr>
        </w:r>
        <w:r w:rsidR="00B200E8" w:rsidRPr="00AE4E8D">
          <w:rPr>
            <w:webHidden/>
          </w:rPr>
          <w:fldChar w:fldCharType="separate"/>
        </w:r>
        <w:r w:rsidR="002A450F">
          <w:rPr>
            <w:webHidden/>
          </w:rPr>
          <w:t>90</w:t>
        </w:r>
        <w:r w:rsidR="00B200E8" w:rsidRPr="00AE4E8D">
          <w:rPr>
            <w:webHidden/>
          </w:rPr>
          <w:fldChar w:fldCharType="end"/>
        </w:r>
      </w:hyperlink>
    </w:p>
    <w:p w14:paraId="4AD8F778" w14:textId="77777777" w:rsidR="00B200E8" w:rsidRPr="00AE4E8D" w:rsidRDefault="003676BD" w:rsidP="000400C8">
      <w:pPr>
        <w:pStyle w:val="TDC2"/>
        <w:ind w:right="0"/>
        <w:rPr>
          <w:rFonts w:eastAsiaTheme="minorEastAsia"/>
          <w:lang w:val="es-AR"/>
        </w:rPr>
      </w:pPr>
      <w:hyperlink w:anchor="_Toc495972994" w:history="1">
        <w:r w:rsidR="00B200E8" w:rsidRPr="00AE4E8D">
          <w:rPr>
            <w:rStyle w:val="Hipervnculo"/>
          </w:rPr>
          <w:t>Títulos Públicos y Privados</w:t>
        </w:r>
        <w:r w:rsidR="00B200E8" w:rsidRPr="00AE4E8D">
          <w:rPr>
            <w:webHidden/>
          </w:rPr>
          <w:tab/>
        </w:r>
        <w:r w:rsidR="00B200E8" w:rsidRPr="00AE4E8D">
          <w:rPr>
            <w:webHidden/>
          </w:rPr>
          <w:fldChar w:fldCharType="begin"/>
        </w:r>
        <w:r w:rsidR="00B200E8" w:rsidRPr="00AE4E8D">
          <w:rPr>
            <w:webHidden/>
          </w:rPr>
          <w:instrText xml:space="preserve"> PAGEREF _Toc495972994 \h </w:instrText>
        </w:r>
        <w:r w:rsidR="00B200E8" w:rsidRPr="00AE4E8D">
          <w:rPr>
            <w:webHidden/>
          </w:rPr>
        </w:r>
        <w:r w:rsidR="00B200E8" w:rsidRPr="00AE4E8D">
          <w:rPr>
            <w:webHidden/>
          </w:rPr>
          <w:fldChar w:fldCharType="separate"/>
        </w:r>
        <w:r w:rsidR="002A450F">
          <w:rPr>
            <w:webHidden/>
          </w:rPr>
          <w:t>91</w:t>
        </w:r>
        <w:r w:rsidR="00B200E8" w:rsidRPr="00AE4E8D">
          <w:rPr>
            <w:webHidden/>
          </w:rPr>
          <w:fldChar w:fldCharType="end"/>
        </w:r>
      </w:hyperlink>
    </w:p>
    <w:p w14:paraId="009A87BF" w14:textId="77777777" w:rsidR="00B200E8" w:rsidRPr="00AE4E8D" w:rsidRDefault="003676BD" w:rsidP="000400C8">
      <w:pPr>
        <w:pStyle w:val="TDC2"/>
        <w:ind w:right="0"/>
        <w:rPr>
          <w:rFonts w:eastAsiaTheme="minorEastAsia"/>
          <w:lang w:val="es-AR"/>
        </w:rPr>
      </w:pPr>
      <w:hyperlink w:anchor="_Toc495972995" w:history="1">
        <w:r w:rsidR="00B200E8" w:rsidRPr="00AE4E8D">
          <w:rPr>
            <w:rStyle w:val="Hipervnculo"/>
          </w:rPr>
          <w:t>Cartera de Préstamos</w:t>
        </w:r>
        <w:r w:rsidR="00B200E8" w:rsidRPr="00AE4E8D">
          <w:rPr>
            <w:webHidden/>
          </w:rPr>
          <w:tab/>
        </w:r>
        <w:r w:rsidR="00B200E8" w:rsidRPr="00AE4E8D">
          <w:rPr>
            <w:webHidden/>
          </w:rPr>
          <w:fldChar w:fldCharType="begin"/>
        </w:r>
        <w:r w:rsidR="00B200E8" w:rsidRPr="00AE4E8D">
          <w:rPr>
            <w:webHidden/>
          </w:rPr>
          <w:instrText xml:space="preserve"> PAGEREF _Toc495972995 \h </w:instrText>
        </w:r>
        <w:r w:rsidR="00B200E8" w:rsidRPr="00AE4E8D">
          <w:rPr>
            <w:webHidden/>
          </w:rPr>
        </w:r>
        <w:r w:rsidR="00B200E8" w:rsidRPr="00AE4E8D">
          <w:rPr>
            <w:webHidden/>
          </w:rPr>
          <w:fldChar w:fldCharType="separate"/>
        </w:r>
        <w:r w:rsidR="002A450F">
          <w:rPr>
            <w:webHidden/>
          </w:rPr>
          <w:t>96</w:t>
        </w:r>
        <w:r w:rsidR="00B200E8" w:rsidRPr="00AE4E8D">
          <w:rPr>
            <w:webHidden/>
          </w:rPr>
          <w:fldChar w:fldCharType="end"/>
        </w:r>
      </w:hyperlink>
    </w:p>
    <w:p w14:paraId="435652FF" w14:textId="77777777" w:rsidR="00B200E8" w:rsidRPr="00AE4E8D" w:rsidRDefault="003676BD" w:rsidP="000400C8">
      <w:pPr>
        <w:pStyle w:val="TDC2"/>
        <w:ind w:right="0"/>
        <w:rPr>
          <w:rFonts w:eastAsiaTheme="minorEastAsia"/>
          <w:lang w:val="es-AR"/>
        </w:rPr>
      </w:pPr>
      <w:hyperlink w:anchor="_Toc495972996" w:history="1">
        <w:r w:rsidR="00B200E8" w:rsidRPr="00AE4E8D">
          <w:rPr>
            <w:rStyle w:val="Hipervnculo"/>
          </w:rPr>
          <w:t>Garantías</w:t>
        </w:r>
        <w:r w:rsidR="00B200E8" w:rsidRPr="00AE4E8D">
          <w:rPr>
            <w:webHidden/>
          </w:rPr>
          <w:tab/>
        </w:r>
        <w:r w:rsidR="00B200E8" w:rsidRPr="00AE4E8D">
          <w:rPr>
            <w:webHidden/>
          </w:rPr>
          <w:fldChar w:fldCharType="begin"/>
        </w:r>
        <w:r w:rsidR="00B200E8" w:rsidRPr="00AE4E8D">
          <w:rPr>
            <w:webHidden/>
          </w:rPr>
          <w:instrText xml:space="preserve"> PAGEREF _Toc495972996 \h </w:instrText>
        </w:r>
        <w:r w:rsidR="00B200E8" w:rsidRPr="00AE4E8D">
          <w:rPr>
            <w:webHidden/>
          </w:rPr>
        </w:r>
        <w:r w:rsidR="00B200E8" w:rsidRPr="00AE4E8D">
          <w:rPr>
            <w:webHidden/>
          </w:rPr>
          <w:fldChar w:fldCharType="separate"/>
        </w:r>
        <w:r w:rsidR="002A450F">
          <w:rPr>
            <w:webHidden/>
          </w:rPr>
          <w:t>97</w:t>
        </w:r>
        <w:r w:rsidR="00B200E8" w:rsidRPr="00AE4E8D">
          <w:rPr>
            <w:webHidden/>
          </w:rPr>
          <w:fldChar w:fldCharType="end"/>
        </w:r>
      </w:hyperlink>
    </w:p>
    <w:p w14:paraId="61BAEBB5" w14:textId="77777777" w:rsidR="00B200E8" w:rsidRPr="00AE4E8D" w:rsidRDefault="003676BD" w:rsidP="000400C8">
      <w:pPr>
        <w:pStyle w:val="TDC2"/>
        <w:ind w:right="0"/>
        <w:rPr>
          <w:rFonts w:eastAsiaTheme="minorEastAsia"/>
          <w:lang w:val="es-AR"/>
        </w:rPr>
      </w:pPr>
      <w:hyperlink w:anchor="_Toc495972997" w:history="1">
        <w:r w:rsidR="00B200E8" w:rsidRPr="00AE4E8D">
          <w:rPr>
            <w:rStyle w:val="Hipervnculo"/>
          </w:rPr>
          <w:t>Composición de la Cartera de Préstamos por Vencimiento</w:t>
        </w:r>
        <w:r w:rsidR="00B200E8" w:rsidRPr="00AE4E8D">
          <w:rPr>
            <w:webHidden/>
          </w:rPr>
          <w:tab/>
        </w:r>
        <w:r w:rsidR="00B200E8" w:rsidRPr="00AE4E8D">
          <w:rPr>
            <w:webHidden/>
          </w:rPr>
          <w:fldChar w:fldCharType="begin"/>
        </w:r>
        <w:r w:rsidR="00B200E8" w:rsidRPr="00AE4E8D">
          <w:rPr>
            <w:webHidden/>
          </w:rPr>
          <w:instrText xml:space="preserve"> PAGEREF _Toc495972997 \h </w:instrText>
        </w:r>
        <w:r w:rsidR="00B200E8" w:rsidRPr="00AE4E8D">
          <w:rPr>
            <w:webHidden/>
          </w:rPr>
        </w:r>
        <w:r w:rsidR="00B200E8" w:rsidRPr="00AE4E8D">
          <w:rPr>
            <w:webHidden/>
          </w:rPr>
          <w:fldChar w:fldCharType="separate"/>
        </w:r>
        <w:r w:rsidR="002A450F">
          <w:rPr>
            <w:webHidden/>
          </w:rPr>
          <w:t>98</w:t>
        </w:r>
        <w:r w:rsidR="00B200E8" w:rsidRPr="00AE4E8D">
          <w:rPr>
            <w:webHidden/>
          </w:rPr>
          <w:fldChar w:fldCharType="end"/>
        </w:r>
      </w:hyperlink>
    </w:p>
    <w:p w14:paraId="5AF179B6" w14:textId="77777777" w:rsidR="00B200E8" w:rsidRPr="00AE4E8D" w:rsidRDefault="003676BD" w:rsidP="000400C8">
      <w:pPr>
        <w:pStyle w:val="TDC2"/>
        <w:ind w:right="0"/>
        <w:rPr>
          <w:rFonts w:eastAsiaTheme="minorEastAsia"/>
          <w:lang w:val="es-AR"/>
        </w:rPr>
      </w:pPr>
      <w:hyperlink w:anchor="_Toc495972998" w:history="1">
        <w:r w:rsidR="00B200E8" w:rsidRPr="00AE4E8D">
          <w:rPr>
            <w:rStyle w:val="Hipervnculo"/>
          </w:rPr>
          <w:t>Composición de la Cartera de Préstamos por Tasas de Interés</w:t>
        </w:r>
        <w:r w:rsidR="00B200E8" w:rsidRPr="00AE4E8D">
          <w:rPr>
            <w:webHidden/>
          </w:rPr>
          <w:tab/>
        </w:r>
        <w:r w:rsidR="00B200E8" w:rsidRPr="00AE4E8D">
          <w:rPr>
            <w:webHidden/>
          </w:rPr>
          <w:fldChar w:fldCharType="begin"/>
        </w:r>
        <w:r w:rsidR="00B200E8" w:rsidRPr="00AE4E8D">
          <w:rPr>
            <w:webHidden/>
          </w:rPr>
          <w:instrText xml:space="preserve"> PAGEREF _Toc495972998 \h </w:instrText>
        </w:r>
        <w:r w:rsidR="00B200E8" w:rsidRPr="00AE4E8D">
          <w:rPr>
            <w:webHidden/>
          </w:rPr>
        </w:r>
        <w:r w:rsidR="00B200E8" w:rsidRPr="00AE4E8D">
          <w:rPr>
            <w:webHidden/>
          </w:rPr>
          <w:fldChar w:fldCharType="separate"/>
        </w:r>
        <w:r w:rsidR="002A450F">
          <w:rPr>
            <w:webHidden/>
          </w:rPr>
          <w:t>99</w:t>
        </w:r>
        <w:r w:rsidR="00B200E8" w:rsidRPr="00AE4E8D">
          <w:rPr>
            <w:webHidden/>
          </w:rPr>
          <w:fldChar w:fldCharType="end"/>
        </w:r>
      </w:hyperlink>
    </w:p>
    <w:p w14:paraId="7CD717BA" w14:textId="77777777" w:rsidR="00B200E8" w:rsidRPr="00AE4E8D" w:rsidRDefault="003676BD" w:rsidP="000400C8">
      <w:pPr>
        <w:pStyle w:val="TDC2"/>
        <w:ind w:right="0"/>
        <w:rPr>
          <w:rFonts w:eastAsiaTheme="minorEastAsia"/>
          <w:lang w:val="es-AR"/>
        </w:rPr>
      </w:pPr>
      <w:hyperlink w:anchor="_Toc495972999" w:history="1">
        <w:r w:rsidR="00B200E8" w:rsidRPr="00AE4E8D">
          <w:rPr>
            <w:rStyle w:val="Hipervnculo"/>
          </w:rPr>
          <w:t>Préstamos por Actividad Económica</w:t>
        </w:r>
        <w:r w:rsidR="00B200E8" w:rsidRPr="00AE4E8D">
          <w:rPr>
            <w:webHidden/>
          </w:rPr>
          <w:tab/>
        </w:r>
        <w:r w:rsidR="00B200E8" w:rsidRPr="00AE4E8D">
          <w:rPr>
            <w:webHidden/>
          </w:rPr>
          <w:fldChar w:fldCharType="begin"/>
        </w:r>
        <w:r w:rsidR="00B200E8" w:rsidRPr="00AE4E8D">
          <w:rPr>
            <w:webHidden/>
          </w:rPr>
          <w:instrText xml:space="preserve"> PAGEREF _Toc495972999 \h </w:instrText>
        </w:r>
        <w:r w:rsidR="00B200E8" w:rsidRPr="00AE4E8D">
          <w:rPr>
            <w:webHidden/>
          </w:rPr>
        </w:r>
        <w:r w:rsidR="00B200E8" w:rsidRPr="00AE4E8D">
          <w:rPr>
            <w:webHidden/>
          </w:rPr>
          <w:fldChar w:fldCharType="separate"/>
        </w:r>
        <w:r w:rsidR="002A450F">
          <w:rPr>
            <w:webHidden/>
          </w:rPr>
          <w:t>99</w:t>
        </w:r>
        <w:r w:rsidR="00B200E8" w:rsidRPr="00AE4E8D">
          <w:rPr>
            <w:webHidden/>
          </w:rPr>
          <w:fldChar w:fldCharType="end"/>
        </w:r>
      </w:hyperlink>
    </w:p>
    <w:p w14:paraId="62B627E4" w14:textId="77777777" w:rsidR="00B200E8" w:rsidRPr="00AE4E8D" w:rsidRDefault="003676BD" w:rsidP="000400C8">
      <w:pPr>
        <w:pStyle w:val="TDC2"/>
        <w:ind w:right="0"/>
        <w:rPr>
          <w:rFonts w:eastAsiaTheme="minorEastAsia"/>
          <w:lang w:val="es-AR"/>
        </w:rPr>
      </w:pPr>
      <w:hyperlink w:anchor="_Toc495973000" w:history="1">
        <w:r w:rsidR="00B200E8" w:rsidRPr="00AE4E8D">
          <w:rPr>
            <w:rStyle w:val="Hipervnculo"/>
          </w:rPr>
          <w:t>Políticas Crediticias</w:t>
        </w:r>
        <w:r w:rsidR="00B200E8" w:rsidRPr="00AE4E8D">
          <w:rPr>
            <w:webHidden/>
          </w:rPr>
          <w:tab/>
        </w:r>
        <w:r w:rsidR="00B200E8" w:rsidRPr="00AE4E8D">
          <w:rPr>
            <w:webHidden/>
          </w:rPr>
          <w:fldChar w:fldCharType="begin"/>
        </w:r>
        <w:r w:rsidR="00B200E8" w:rsidRPr="00AE4E8D">
          <w:rPr>
            <w:webHidden/>
          </w:rPr>
          <w:instrText xml:space="preserve"> PAGEREF _Toc495973000 \h </w:instrText>
        </w:r>
        <w:r w:rsidR="00B200E8" w:rsidRPr="00AE4E8D">
          <w:rPr>
            <w:webHidden/>
          </w:rPr>
        </w:r>
        <w:r w:rsidR="00B200E8" w:rsidRPr="00AE4E8D">
          <w:rPr>
            <w:webHidden/>
          </w:rPr>
          <w:fldChar w:fldCharType="separate"/>
        </w:r>
        <w:r w:rsidR="002A450F">
          <w:rPr>
            <w:webHidden/>
          </w:rPr>
          <w:t>100</w:t>
        </w:r>
        <w:r w:rsidR="00B200E8" w:rsidRPr="00AE4E8D">
          <w:rPr>
            <w:webHidden/>
          </w:rPr>
          <w:fldChar w:fldCharType="end"/>
        </w:r>
      </w:hyperlink>
    </w:p>
    <w:p w14:paraId="01253045" w14:textId="77777777" w:rsidR="00B200E8" w:rsidRPr="00AE4E8D" w:rsidRDefault="003676BD" w:rsidP="000400C8">
      <w:pPr>
        <w:pStyle w:val="TDC2"/>
        <w:ind w:right="0"/>
        <w:rPr>
          <w:rFonts w:eastAsiaTheme="minorEastAsia"/>
          <w:lang w:val="es-AR"/>
        </w:rPr>
      </w:pPr>
      <w:hyperlink w:anchor="_Toc495973001" w:history="1">
        <w:r w:rsidR="00B200E8" w:rsidRPr="00AE4E8D">
          <w:rPr>
            <w:rStyle w:val="Hipervnculo"/>
          </w:rPr>
          <w:t>Cartera de Préstamos</w:t>
        </w:r>
        <w:r w:rsidR="00B200E8" w:rsidRPr="00AE4E8D">
          <w:rPr>
            <w:webHidden/>
          </w:rPr>
          <w:tab/>
        </w:r>
        <w:r w:rsidR="00B200E8" w:rsidRPr="00AE4E8D">
          <w:rPr>
            <w:webHidden/>
          </w:rPr>
          <w:fldChar w:fldCharType="begin"/>
        </w:r>
        <w:r w:rsidR="00B200E8" w:rsidRPr="00AE4E8D">
          <w:rPr>
            <w:webHidden/>
          </w:rPr>
          <w:instrText xml:space="preserve"> PAGEREF _Toc495973001 \h </w:instrText>
        </w:r>
        <w:r w:rsidR="00B200E8" w:rsidRPr="00AE4E8D">
          <w:rPr>
            <w:webHidden/>
          </w:rPr>
        </w:r>
        <w:r w:rsidR="00B200E8" w:rsidRPr="00AE4E8D">
          <w:rPr>
            <w:webHidden/>
          </w:rPr>
          <w:fldChar w:fldCharType="separate"/>
        </w:r>
        <w:r w:rsidR="002A450F">
          <w:rPr>
            <w:webHidden/>
          </w:rPr>
          <w:t>102</w:t>
        </w:r>
        <w:r w:rsidR="00B200E8" w:rsidRPr="00AE4E8D">
          <w:rPr>
            <w:webHidden/>
          </w:rPr>
          <w:fldChar w:fldCharType="end"/>
        </w:r>
      </w:hyperlink>
    </w:p>
    <w:p w14:paraId="0AB983C3" w14:textId="77777777" w:rsidR="00B200E8" w:rsidRPr="00AE4E8D" w:rsidRDefault="003676BD" w:rsidP="000400C8">
      <w:pPr>
        <w:pStyle w:val="TDC2"/>
        <w:ind w:right="0"/>
        <w:rPr>
          <w:rFonts w:eastAsiaTheme="minorEastAsia"/>
          <w:lang w:val="es-AR"/>
        </w:rPr>
      </w:pPr>
      <w:hyperlink w:anchor="_Toc495973002" w:history="1">
        <w:r w:rsidR="00B200E8" w:rsidRPr="00AE4E8D">
          <w:rPr>
            <w:rStyle w:val="Hipervnculo"/>
          </w:rPr>
          <w:t>Clasificación de Préstamos Comerciales</w:t>
        </w:r>
        <w:r w:rsidR="00B200E8" w:rsidRPr="00AE4E8D">
          <w:rPr>
            <w:webHidden/>
          </w:rPr>
          <w:tab/>
        </w:r>
        <w:r w:rsidR="00B200E8" w:rsidRPr="00AE4E8D">
          <w:rPr>
            <w:webHidden/>
          </w:rPr>
          <w:fldChar w:fldCharType="begin"/>
        </w:r>
        <w:r w:rsidR="00B200E8" w:rsidRPr="00AE4E8D">
          <w:rPr>
            <w:webHidden/>
          </w:rPr>
          <w:instrText xml:space="preserve"> PAGEREF _Toc495973002 \h </w:instrText>
        </w:r>
        <w:r w:rsidR="00B200E8" w:rsidRPr="00AE4E8D">
          <w:rPr>
            <w:webHidden/>
          </w:rPr>
        </w:r>
        <w:r w:rsidR="00B200E8" w:rsidRPr="00AE4E8D">
          <w:rPr>
            <w:webHidden/>
          </w:rPr>
          <w:fldChar w:fldCharType="separate"/>
        </w:r>
        <w:r w:rsidR="002A450F">
          <w:rPr>
            <w:webHidden/>
          </w:rPr>
          <w:t>103</w:t>
        </w:r>
        <w:r w:rsidR="00B200E8" w:rsidRPr="00AE4E8D">
          <w:rPr>
            <w:webHidden/>
          </w:rPr>
          <w:fldChar w:fldCharType="end"/>
        </w:r>
      </w:hyperlink>
    </w:p>
    <w:p w14:paraId="0A008844" w14:textId="77777777" w:rsidR="00B200E8" w:rsidRPr="00AE4E8D" w:rsidRDefault="003676BD" w:rsidP="000400C8">
      <w:pPr>
        <w:pStyle w:val="TDC2"/>
        <w:ind w:right="0"/>
        <w:rPr>
          <w:rFonts w:eastAsiaTheme="minorEastAsia"/>
          <w:lang w:val="es-AR"/>
        </w:rPr>
      </w:pPr>
      <w:hyperlink w:anchor="_Toc495973003" w:history="1">
        <w:r w:rsidR="00B200E8" w:rsidRPr="00AE4E8D">
          <w:rPr>
            <w:rStyle w:val="Hipervnculo"/>
          </w:rPr>
          <w:t>Clasificación de Préstamos para el Consumo y la Vivienda</w:t>
        </w:r>
        <w:r w:rsidR="00B200E8" w:rsidRPr="00AE4E8D">
          <w:rPr>
            <w:webHidden/>
          </w:rPr>
          <w:tab/>
        </w:r>
        <w:r w:rsidR="00B200E8" w:rsidRPr="00AE4E8D">
          <w:rPr>
            <w:webHidden/>
          </w:rPr>
          <w:fldChar w:fldCharType="begin"/>
        </w:r>
        <w:r w:rsidR="00B200E8" w:rsidRPr="00AE4E8D">
          <w:rPr>
            <w:webHidden/>
          </w:rPr>
          <w:instrText xml:space="preserve"> PAGEREF _Toc495973003 \h </w:instrText>
        </w:r>
        <w:r w:rsidR="00B200E8" w:rsidRPr="00AE4E8D">
          <w:rPr>
            <w:webHidden/>
          </w:rPr>
        </w:r>
        <w:r w:rsidR="00B200E8" w:rsidRPr="00AE4E8D">
          <w:rPr>
            <w:webHidden/>
          </w:rPr>
          <w:fldChar w:fldCharType="separate"/>
        </w:r>
        <w:r w:rsidR="002A450F">
          <w:rPr>
            <w:webHidden/>
          </w:rPr>
          <w:t>103</w:t>
        </w:r>
        <w:r w:rsidR="00B200E8" w:rsidRPr="00AE4E8D">
          <w:rPr>
            <w:webHidden/>
          </w:rPr>
          <w:fldChar w:fldCharType="end"/>
        </w:r>
      </w:hyperlink>
    </w:p>
    <w:p w14:paraId="51784F10" w14:textId="77777777" w:rsidR="00B200E8" w:rsidRPr="00AE4E8D" w:rsidRDefault="003676BD" w:rsidP="000400C8">
      <w:pPr>
        <w:pStyle w:val="TDC2"/>
        <w:ind w:right="0"/>
        <w:rPr>
          <w:rFonts w:eastAsiaTheme="minorEastAsia"/>
          <w:lang w:val="es-AR"/>
        </w:rPr>
      </w:pPr>
      <w:hyperlink w:anchor="_Toc495973004" w:history="1">
        <w:r w:rsidR="00B200E8" w:rsidRPr="00AE4E8D">
          <w:rPr>
            <w:rStyle w:val="Hipervnculo"/>
          </w:rPr>
          <w:t>Previsiones de Crédito Mínimas</w:t>
        </w:r>
        <w:r w:rsidR="00B200E8" w:rsidRPr="00AE4E8D">
          <w:rPr>
            <w:webHidden/>
          </w:rPr>
          <w:tab/>
        </w:r>
        <w:r w:rsidR="00B200E8" w:rsidRPr="00AE4E8D">
          <w:rPr>
            <w:webHidden/>
          </w:rPr>
          <w:fldChar w:fldCharType="begin"/>
        </w:r>
        <w:r w:rsidR="00B200E8" w:rsidRPr="00AE4E8D">
          <w:rPr>
            <w:webHidden/>
          </w:rPr>
          <w:instrText xml:space="preserve"> PAGEREF _Toc495973004 \h </w:instrText>
        </w:r>
        <w:r w:rsidR="00B200E8" w:rsidRPr="00AE4E8D">
          <w:rPr>
            <w:webHidden/>
          </w:rPr>
        </w:r>
        <w:r w:rsidR="00B200E8" w:rsidRPr="00AE4E8D">
          <w:rPr>
            <w:webHidden/>
          </w:rPr>
          <w:fldChar w:fldCharType="separate"/>
        </w:r>
        <w:r w:rsidR="002A450F">
          <w:rPr>
            <w:webHidden/>
          </w:rPr>
          <w:t>104</w:t>
        </w:r>
        <w:r w:rsidR="00B200E8" w:rsidRPr="00AE4E8D">
          <w:rPr>
            <w:webHidden/>
          </w:rPr>
          <w:fldChar w:fldCharType="end"/>
        </w:r>
      </w:hyperlink>
    </w:p>
    <w:p w14:paraId="0F7DFD68" w14:textId="77777777" w:rsidR="00B200E8" w:rsidRPr="00AE4E8D" w:rsidRDefault="003676BD" w:rsidP="000400C8">
      <w:pPr>
        <w:pStyle w:val="TDC2"/>
        <w:ind w:right="0"/>
        <w:rPr>
          <w:rFonts w:eastAsiaTheme="minorEastAsia"/>
          <w:lang w:val="es-AR"/>
        </w:rPr>
      </w:pPr>
      <w:hyperlink w:anchor="_Toc495973005" w:history="1">
        <w:r w:rsidR="00B200E8" w:rsidRPr="00AE4E8D">
          <w:rPr>
            <w:rStyle w:val="Hipervnculo"/>
          </w:rPr>
          <w:t>Revisión de Frecuencia Mínima para Clasificación</w:t>
        </w:r>
        <w:r w:rsidR="00B200E8" w:rsidRPr="00AE4E8D">
          <w:rPr>
            <w:webHidden/>
          </w:rPr>
          <w:tab/>
        </w:r>
        <w:r w:rsidR="00B200E8" w:rsidRPr="00AE4E8D">
          <w:rPr>
            <w:webHidden/>
          </w:rPr>
          <w:fldChar w:fldCharType="begin"/>
        </w:r>
        <w:r w:rsidR="00B200E8" w:rsidRPr="00AE4E8D">
          <w:rPr>
            <w:webHidden/>
          </w:rPr>
          <w:instrText xml:space="preserve"> PAGEREF _Toc495973005 \h </w:instrText>
        </w:r>
        <w:r w:rsidR="00B200E8" w:rsidRPr="00AE4E8D">
          <w:rPr>
            <w:webHidden/>
          </w:rPr>
        </w:r>
        <w:r w:rsidR="00B200E8" w:rsidRPr="00AE4E8D">
          <w:rPr>
            <w:webHidden/>
          </w:rPr>
          <w:fldChar w:fldCharType="separate"/>
        </w:r>
        <w:r w:rsidR="002A450F">
          <w:rPr>
            <w:webHidden/>
          </w:rPr>
          <w:t>104</w:t>
        </w:r>
        <w:r w:rsidR="00B200E8" w:rsidRPr="00AE4E8D">
          <w:rPr>
            <w:webHidden/>
          </w:rPr>
          <w:fldChar w:fldCharType="end"/>
        </w:r>
      </w:hyperlink>
    </w:p>
    <w:p w14:paraId="6F6F3FD1" w14:textId="77777777" w:rsidR="00B200E8" w:rsidRPr="00AE4E8D" w:rsidRDefault="003676BD" w:rsidP="000400C8">
      <w:pPr>
        <w:pStyle w:val="TDC2"/>
        <w:ind w:right="0"/>
        <w:rPr>
          <w:rFonts w:eastAsiaTheme="minorEastAsia"/>
          <w:lang w:val="es-AR"/>
        </w:rPr>
      </w:pPr>
      <w:hyperlink w:anchor="_Toc495973006" w:history="1">
        <w:r w:rsidR="00B200E8" w:rsidRPr="00AE4E8D">
          <w:rPr>
            <w:rStyle w:val="Hipervnculo"/>
          </w:rPr>
          <w:t>Previsiones por Incobrabilidad</w:t>
        </w:r>
        <w:r w:rsidR="00B200E8" w:rsidRPr="00AE4E8D">
          <w:rPr>
            <w:webHidden/>
          </w:rPr>
          <w:tab/>
        </w:r>
        <w:r w:rsidR="00B200E8" w:rsidRPr="00AE4E8D">
          <w:rPr>
            <w:webHidden/>
          </w:rPr>
          <w:fldChar w:fldCharType="begin"/>
        </w:r>
        <w:r w:rsidR="00B200E8" w:rsidRPr="00AE4E8D">
          <w:rPr>
            <w:webHidden/>
          </w:rPr>
          <w:instrText xml:space="preserve"> PAGEREF _Toc495973006 \h </w:instrText>
        </w:r>
        <w:r w:rsidR="00B200E8" w:rsidRPr="00AE4E8D">
          <w:rPr>
            <w:webHidden/>
          </w:rPr>
        </w:r>
        <w:r w:rsidR="00B200E8" w:rsidRPr="00AE4E8D">
          <w:rPr>
            <w:webHidden/>
          </w:rPr>
          <w:fldChar w:fldCharType="separate"/>
        </w:r>
        <w:r w:rsidR="002A450F">
          <w:rPr>
            <w:webHidden/>
          </w:rPr>
          <w:t>105</w:t>
        </w:r>
        <w:r w:rsidR="00B200E8" w:rsidRPr="00AE4E8D">
          <w:rPr>
            <w:webHidden/>
          </w:rPr>
          <w:fldChar w:fldCharType="end"/>
        </w:r>
      </w:hyperlink>
    </w:p>
    <w:p w14:paraId="19F0283E" w14:textId="77777777" w:rsidR="00B200E8" w:rsidRPr="00AE4E8D" w:rsidRDefault="003676BD" w:rsidP="000400C8">
      <w:pPr>
        <w:pStyle w:val="TDC2"/>
        <w:ind w:right="0"/>
        <w:rPr>
          <w:rFonts w:eastAsiaTheme="minorEastAsia"/>
          <w:lang w:val="es-AR"/>
        </w:rPr>
      </w:pPr>
      <w:hyperlink w:anchor="_Toc495973007" w:history="1">
        <w:r w:rsidR="00B200E8" w:rsidRPr="00AE4E8D">
          <w:rPr>
            <w:rStyle w:val="Hipervnculo"/>
          </w:rPr>
          <w:t>Clasificación de la Cartera de Préstamos</w:t>
        </w:r>
        <w:r w:rsidR="00B200E8" w:rsidRPr="00AE4E8D">
          <w:rPr>
            <w:webHidden/>
          </w:rPr>
          <w:tab/>
        </w:r>
        <w:r w:rsidR="00B200E8" w:rsidRPr="00AE4E8D">
          <w:rPr>
            <w:webHidden/>
          </w:rPr>
          <w:fldChar w:fldCharType="begin"/>
        </w:r>
        <w:r w:rsidR="00B200E8" w:rsidRPr="00AE4E8D">
          <w:rPr>
            <w:webHidden/>
          </w:rPr>
          <w:instrText xml:space="preserve"> PAGEREF _Toc495973007 \h </w:instrText>
        </w:r>
        <w:r w:rsidR="00B200E8" w:rsidRPr="00AE4E8D">
          <w:rPr>
            <w:webHidden/>
          </w:rPr>
        </w:r>
        <w:r w:rsidR="00B200E8" w:rsidRPr="00AE4E8D">
          <w:rPr>
            <w:webHidden/>
          </w:rPr>
          <w:fldChar w:fldCharType="separate"/>
        </w:r>
        <w:r w:rsidR="002A450F">
          <w:rPr>
            <w:webHidden/>
          </w:rPr>
          <w:t>106</w:t>
        </w:r>
        <w:r w:rsidR="00B200E8" w:rsidRPr="00AE4E8D">
          <w:rPr>
            <w:webHidden/>
          </w:rPr>
          <w:fldChar w:fldCharType="end"/>
        </w:r>
      </w:hyperlink>
    </w:p>
    <w:p w14:paraId="2D449AFB" w14:textId="77777777" w:rsidR="00B200E8" w:rsidRPr="00AE4E8D" w:rsidRDefault="003676BD" w:rsidP="000400C8">
      <w:pPr>
        <w:pStyle w:val="TDC2"/>
        <w:ind w:right="0"/>
        <w:rPr>
          <w:rFonts w:eastAsiaTheme="minorEastAsia"/>
          <w:lang w:val="es-AR"/>
        </w:rPr>
      </w:pPr>
      <w:hyperlink w:anchor="_Toc495973008" w:history="1">
        <w:r w:rsidR="00B200E8" w:rsidRPr="00AE4E8D">
          <w:rPr>
            <w:rStyle w:val="Hipervnculo"/>
          </w:rPr>
          <w:t>Análisis de la Cartera de Préstamos Morosos</w:t>
        </w:r>
        <w:r w:rsidR="00B200E8" w:rsidRPr="00AE4E8D">
          <w:rPr>
            <w:webHidden/>
          </w:rPr>
          <w:tab/>
        </w:r>
        <w:r w:rsidR="00B200E8" w:rsidRPr="00AE4E8D">
          <w:rPr>
            <w:webHidden/>
          </w:rPr>
          <w:fldChar w:fldCharType="begin"/>
        </w:r>
        <w:r w:rsidR="00B200E8" w:rsidRPr="00AE4E8D">
          <w:rPr>
            <w:webHidden/>
          </w:rPr>
          <w:instrText xml:space="preserve"> PAGEREF _Toc495973008 \h </w:instrText>
        </w:r>
        <w:r w:rsidR="00B200E8" w:rsidRPr="00AE4E8D">
          <w:rPr>
            <w:webHidden/>
          </w:rPr>
        </w:r>
        <w:r w:rsidR="00B200E8" w:rsidRPr="00AE4E8D">
          <w:rPr>
            <w:webHidden/>
          </w:rPr>
          <w:fldChar w:fldCharType="separate"/>
        </w:r>
        <w:r w:rsidR="002A450F">
          <w:rPr>
            <w:webHidden/>
          </w:rPr>
          <w:t>108</w:t>
        </w:r>
        <w:r w:rsidR="00B200E8" w:rsidRPr="00AE4E8D">
          <w:rPr>
            <w:webHidden/>
          </w:rPr>
          <w:fldChar w:fldCharType="end"/>
        </w:r>
      </w:hyperlink>
    </w:p>
    <w:p w14:paraId="3BFA5B76" w14:textId="77777777" w:rsidR="00B200E8" w:rsidRPr="00AE4E8D" w:rsidRDefault="003676BD" w:rsidP="000400C8">
      <w:pPr>
        <w:pStyle w:val="TDC2"/>
        <w:ind w:right="0"/>
        <w:rPr>
          <w:rFonts w:eastAsiaTheme="minorEastAsia"/>
          <w:lang w:val="es-AR"/>
        </w:rPr>
      </w:pPr>
      <w:hyperlink w:anchor="_Toc495973009" w:history="1">
        <w:r w:rsidR="00B200E8" w:rsidRPr="00AE4E8D">
          <w:rPr>
            <w:rStyle w:val="Hipervnculo"/>
          </w:rPr>
          <w:t>Análisis de la Previsión por Riesgo de Incobrabilidad de Préstamos</w:t>
        </w:r>
        <w:r w:rsidR="00B200E8" w:rsidRPr="00AE4E8D">
          <w:rPr>
            <w:webHidden/>
          </w:rPr>
          <w:tab/>
        </w:r>
        <w:r w:rsidR="00B200E8" w:rsidRPr="00AE4E8D">
          <w:rPr>
            <w:webHidden/>
          </w:rPr>
          <w:fldChar w:fldCharType="begin"/>
        </w:r>
        <w:r w:rsidR="00B200E8" w:rsidRPr="00AE4E8D">
          <w:rPr>
            <w:webHidden/>
          </w:rPr>
          <w:instrText xml:space="preserve"> PAGEREF _Toc495973009 \h </w:instrText>
        </w:r>
        <w:r w:rsidR="00B200E8" w:rsidRPr="00AE4E8D">
          <w:rPr>
            <w:webHidden/>
          </w:rPr>
        </w:r>
        <w:r w:rsidR="00B200E8" w:rsidRPr="00AE4E8D">
          <w:rPr>
            <w:webHidden/>
          </w:rPr>
          <w:fldChar w:fldCharType="separate"/>
        </w:r>
        <w:r w:rsidR="002A450F">
          <w:rPr>
            <w:webHidden/>
          </w:rPr>
          <w:t>109</w:t>
        </w:r>
        <w:r w:rsidR="00B200E8" w:rsidRPr="00AE4E8D">
          <w:rPr>
            <w:webHidden/>
          </w:rPr>
          <w:fldChar w:fldCharType="end"/>
        </w:r>
      </w:hyperlink>
    </w:p>
    <w:p w14:paraId="0E939443" w14:textId="77777777" w:rsidR="00B200E8" w:rsidRPr="00AE4E8D" w:rsidRDefault="003676BD" w:rsidP="000400C8">
      <w:pPr>
        <w:pStyle w:val="TDC2"/>
        <w:ind w:right="0"/>
        <w:rPr>
          <w:rFonts w:eastAsiaTheme="minorEastAsia"/>
          <w:lang w:val="es-AR"/>
        </w:rPr>
      </w:pPr>
      <w:hyperlink w:anchor="_Toc495973010" w:history="1">
        <w:r w:rsidR="00B200E8" w:rsidRPr="00AE4E8D">
          <w:rPr>
            <w:rStyle w:val="Hipervnculo"/>
          </w:rPr>
          <w:t>Política de Aplicación de Previsiones por Riesgo de Incobrabilidad</w:t>
        </w:r>
        <w:r w:rsidR="00B200E8" w:rsidRPr="00AE4E8D">
          <w:rPr>
            <w:webHidden/>
          </w:rPr>
          <w:tab/>
        </w:r>
        <w:r w:rsidR="00B200E8" w:rsidRPr="00AE4E8D">
          <w:rPr>
            <w:webHidden/>
          </w:rPr>
          <w:fldChar w:fldCharType="begin"/>
        </w:r>
        <w:r w:rsidR="00B200E8" w:rsidRPr="00AE4E8D">
          <w:rPr>
            <w:webHidden/>
          </w:rPr>
          <w:instrText xml:space="preserve"> PAGEREF _Toc495973010 \h </w:instrText>
        </w:r>
        <w:r w:rsidR="00B200E8" w:rsidRPr="00AE4E8D">
          <w:rPr>
            <w:webHidden/>
          </w:rPr>
        </w:r>
        <w:r w:rsidR="00B200E8" w:rsidRPr="00AE4E8D">
          <w:rPr>
            <w:webHidden/>
          </w:rPr>
          <w:fldChar w:fldCharType="separate"/>
        </w:r>
        <w:r w:rsidR="002A450F">
          <w:rPr>
            <w:webHidden/>
          </w:rPr>
          <w:t>109</w:t>
        </w:r>
        <w:r w:rsidR="00B200E8" w:rsidRPr="00AE4E8D">
          <w:rPr>
            <w:webHidden/>
          </w:rPr>
          <w:fldChar w:fldCharType="end"/>
        </w:r>
      </w:hyperlink>
    </w:p>
    <w:p w14:paraId="4EAB9260" w14:textId="77777777" w:rsidR="00B200E8" w:rsidRPr="00AE4E8D" w:rsidRDefault="003676BD" w:rsidP="000400C8">
      <w:pPr>
        <w:pStyle w:val="TDC2"/>
        <w:ind w:right="0"/>
        <w:rPr>
          <w:rFonts w:eastAsiaTheme="minorEastAsia"/>
          <w:lang w:val="es-AR"/>
        </w:rPr>
      </w:pPr>
      <w:hyperlink w:anchor="_Toc495973011" w:history="1">
        <w:r w:rsidR="00B200E8" w:rsidRPr="00AE4E8D">
          <w:rPr>
            <w:rStyle w:val="Hipervnculo"/>
          </w:rPr>
          <w:t>Asignación de la Previsión por Riesgo de Incobrabilidad de Préstamos</w:t>
        </w:r>
        <w:r w:rsidR="00B200E8" w:rsidRPr="00AE4E8D">
          <w:rPr>
            <w:webHidden/>
          </w:rPr>
          <w:tab/>
        </w:r>
        <w:r w:rsidR="00B200E8" w:rsidRPr="00AE4E8D">
          <w:rPr>
            <w:webHidden/>
          </w:rPr>
          <w:fldChar w:fldCharType="begin"/>
        </w:r>
        <w:r w:rsidR="00B200E8" w:rsidRPr="00AE4E8D">
          <w:rPr>
            <w:webHidden/>
          </w:rPr>
          <w:instrText xml:space="preserve"> PAGEREF _Toc495973011 \h </w:instrText>
        </w:r>
        <w:r w:rsidR="00B200E8" w:rsidRPr="00AE4E8D">
          <w:rPr>
            <w:webHidden/>
          </w:rPr>
        </w:r>
        <w:r w:rsidR="00B200E8" w:rsidRPr="00AE4E8D">
          <w:rPr>
            <w:webHidden/>
          </w:rPr>
          <w:fldChar w:fldCharType="separate"/>
        </w:r>
        <w:r w:rsidR="002A450F">
          <w:rPr>
            <w:webHidden/>
          </w:rPr>
          <w:t>110</w:t>
        </w:r>
        <w:r w:rsidR="00B200E8" w:rsidRPr="00AE4E8D">
          <w:rPr>
            <w:webHidden/>
          </w:rPr>
          <w:fldChar w:fldCharType="end"/>
        </w:r>
      </w:hyperlink>
    </w:p>
    <w:p w14:paraId="271B4405" w14:textId="77777777" w:rsidR="00B200E8" w:rsidRPr="00AE4E8D" w:rsidRDefault="003676BD" w:rsidP="000400C8">
      <w:pPr>
        <w:pStyle w:val="TDC2"/>
        <w:ind w:right="0"/>
        <w:rPr>
          <w:rFonts w:eastAsiaTheme="minorEastAsia"/>
          <w:lang w:val="es-AR"/>
        </w:rPr>
      </w:pPr>
      <w:hyperlink w:anchor="_Toc495973012" w:history="1">
        <w:r w:rsidR="00B200E8" w:rsidRPr="00AE4E8D">
          <w:rPr>
            <w:rStyle w:val="Hipervnculo"/>
          </w:rPr>
          <w:t>Composición de los Depósitos</w:t>
        </w:r>
        <w:r w:rsidR="00B200E8" w:rsidRPr="00AE4E8D">
          <w:rPr>
            <w:webHidden/>
          </w:rPr>
          <w:tab/>
        </w:r>
        <w:r w:rsidR="00B200E8" w:rsidRPr="00AE4E8D">
          <w:rPr>
            <w:webHidden/>
          </w:rPr>
          <w:fldChar w:fldCharType="begin"/>
        </w:r>
        <w:r w:rsidR="00B200E8" w:rsidRPr="00AE4E8D">
          <w:rPr>
            <w:webHidden/>
          </w:rPr>
          <w:instrText xml:space="preserve"> PAGEREF _Toc495973012 \h </w:instrText>
        </w:r>
        <w:r w:rsidR="00B200E8" w:rsidRPr="00AE4E8D">
          <w:rPr>
            <w:webHidden/>
          </w:rPr>
        </w:r>
        <w:r w:rsidR="00B200E8" w:rsidRPr="00AE4E8D">
          <w:rPr>
            <w:webHidden/>
          </w:rPr>
          <w:fldChar w:fldCharType="separate"/>
        </w:r>
        <w:r w:rsidR="002A450F">
          <w:rPr>
            <w:webHidden/>
          </w:rPr>
          <w:t>111</w:t>
        </w:r>
        <w:r w:rsidR="00B200E8" w:rsidRPr="00AE4E8D">
          <w:rPr>
            <w:webHidden/>
          </w:rPr>
          <w:fldChar w:fldCharType="end"/>
        </w:r>
      </w:hyperlink>
    </w:p>
    <w:p w14:paraId="5C0D30CF" w14:textId="77777777" w:rsidR="00B200E8" w:rsidRPr="00AE4E8D" w:rsidRDefault="003676BD" w:rsidP="000400C8">
      <w:pPr>
        <w:pStyle w:val="TDC2"/>
        <w:ind w:right="0"/>
        <w:rPr>
          <w:rFonts w:eastAsiaTheme="minorEastAsia"/>
          <w:lang w:val="es-AR"/>
        </w:rPr>
      </w:pPr>
      <w:hyperlink w:anchor="_Toc495973013" w:history="1">
        <w:r w:rsidR="00B200E8" w:rsidRPr="00AE4E8D">
          <w:rPr>
            <w:rStyle w:val="Hipervnculo"/>
          </w:rPr>
          <w:t>Vencimiento de los Depósitos</w:t>
        </w:r>
        <w:r w:rsidR="00B200E8" w:rsidRPr="00AE4E8D">
          <w:rPr>
            <w:webHidden/>
          </w:rPr>
          <w:tab/>
        </w:r>
        <w:r w:rsidR="00B200E8" w:rsidRPr="00AE4E8D">
          <w:rPr>
            <w:webHidden/>
          </w:rPr>
          <w:fldChar w:fldCharType="begin"/>
        </w:r>
        <w:r w:rsidR="00B200E8" w:rsidRPr="00AE4E8D">
          <w:rPr>
            <w:webHidden/>
          </w:rPr>
          <w:instrText xml:space="preserve"> PAGEREF _Toc495973013 \h </w:instrText>
        </w:r>
        <w:r w:rsidR="00B200E8" w:rsidRPr="00AE4E8D">
          <w:rPr>
            <w:webHidden/>
          </w:rPr>
        </w:r>
        <w:r w:rsidR="00B200E8" w:rsidRPr="00AE4E8D">
          <w:rPr>
            <w:webHidden/>
          </w:rPr>
          <w:fldChar w:fldCharType="separate"/>
        </w:r>
        <w:r w:rsidR="002A450F">
          <w:rPr>
            <w:webHidden/>
          </w:rPr>
          <w:t>112</w:t>
        </w:r>
        <w:r w:rsidR="00B200E8" w:rsidRPr="00AE4E8D">
          <w:rPr>
            <w:webHidden/>
          </w:rPr>
          <w:fldChar w:fldCharType="end"/>
        </w:r>
      </w:hyperlink>
    </w:p>
    <w:p w14:paraId="0116497F" w14:textId="77777777" w:rsidR="00B200E8" w:rsidRPr="00AE4E8D" w:rsidRDefault="003676BD" w:rsidP="000400C8">
      <w:pPr>
        <w:pStyle w:val="TDC2"/>
        <w:ind w:right="0"/>
        <w:rPr>
          <w:rFonts w:eastAsiaTheme="minorEastAsia"/>
          <w:lang w:val="es-AR"/>
        </w:rPr>
      </w:pPr>
      <w:hyperlink w:anchor="_Toc495973014" w:history="1">
        <w:r w:rsidR="00B200E8" w:rsidRPr="00AE4E8D">
          <w:rPr>
            <w:rStyle w:val="Hipervnculo"/>
          </w:rPr>
          <w:t>Vencimiento de los Plazos Fijos de Ps.100.000 o mayores</w:t>
        </w:r>
        <w:r w:rsidR="00B200E8" w:rsidRPr="00AE4E8D">
          <w:rPr>
            <w:webHidden/>
          </w:rPr>
          <w:tab/>
        </w:r>
        <w:r w:rsidR="00B200E8" w:rsidRPr="00AE4E8D">
          <w:rPr>
            <w:webHidden/>
          </w:rPr>
          <w:fldChar w:fldCharType="begin"/>
        </w:r>
        <w:r w:rsidR="00B200E8" w:rsidRPr="00AE4E8D">
          <w:rPr>
            <w:webHidden/>
          </w:rPr>
          <w:instrText xml:space="preserve"> PAGEREF _Toc495973014 \h </w:instrText>
        </w:r>
        <w:r w:rsidR="00B200E8" w:rsidRPr="00AE4E8D">
          <w:rPr>
            <w:webHidden/>
          </w:rPr>
        </w:r>
        <w:r w:rsidR="00B200E8" w:rsidRPr="00AE4E8D">
          <w:rPr>
            <w:webHidden/>
          </w:rPr>
          <w:fldChar w:fldCharType="separate"/>
        </w:r>
        <w:r w:rsidR="002A450F">
          <w:rPr>
            <w:webHidden/>
          </w:rPr>
          <w:t>112</w:t>
        </w:r>
        <w:r w:rsidR="00B200E8" w:rsidRPr="00AE4E8D">
          <w:rPr>
            <w:webHidden/>
          </w:rPr>
          <w:fldChar w:fldCharType="end"/>
        </w:r>
      </w:hyperlink>
    </w:p>
    <w:p w14:paraId="4F0E4DE0" w14:textId="77777777" w:rsidR="00B200E8" w:rsidRPr="00AE4E8D" w:rsidRDefault="003676BD" w:rsidP="000400C8">
      <w:pPr>
        <w:pStyle w:val="TDC2"/>
        <w:ind w:right="0"/>
        <w:rPr>
          <w:rFonts w:eastAsiaTheme="minorEastAsia"/>
          <w:lang w:val="es-AR"/>
        </w:rPr>
      </w:pPr>
      <w:hyperlink w:anchor="_Toc495973015" w:history="1">
        <w:r w:rsidR="00B200E8" w:rsidRPr="00AE4E8D">
          <w:rPr>
            <w:rStyle w:val="Hipervnculo"/>
          </w:rPr>
          <w:t>Préstamos de Corto Plazo</w:t>
        </w:r>
        <w:r w:rsidR="00B200E8" w:rsidRPr="00AE4E8D">
          <w:rPr>
            <w:webHidden/>
          </w:rPr>
          <w:tab/>
        </w:r>
        <w:r w:rsidR="00B200E8" w:rsidRPr="00AE4E8D">
          <w:rPr>
            <w:webHidden/>
          </w:rPr>
          <w:fldChar w:fldCharType="begin"/>
        </w:r>
        <w:r w:rsidR="00B200E8" w:rsidRPr="00AE4E8D">
          <w:rPr>
            <w:webHidden/>
          </w:rPr>
          <w:instrText xml:space="preserve"> PAGEREF _Toc495973015 \h </w:instrText>
        </w:r>
        <w:r w:rsidR="00B200E8" w:rsidRPr="00AE4E8D">
          <w:rPr>
            <w:webHidden/>
          </w:rPr>
        </w:r>
        <w:r w:rsidR="00B200E8" w:rsidRPr="00AE4E8D">
          <w:rPr>
            <w:webHidden/>
          </w:rPr>
          <w:fldChar w:fldCharType="separate"/>
        </w:r>
        <w:r w:rsidR="002A450F">
          <w:rPr>
            <w:webHidden/>
          </w:rPr>
          <w:t>112</w:t>
        </w:r>
        <w:r w:rsidR="00B200E8" w:rsidRPr="00AE4E8D">
          <w:rPr>
            <w:webHidden/>
          </w:rPr>
          <w:fldChar w:fldCharType="end"/>
        </w:r>
      </w:hyperlink>
    </w:p>
    <w:p w14:paraId="72CE61D1" w14:textId="77777777" w:rsidR="00B200E8" w:rsidRPr="00AE4E8D" w:rsidRDefault="003676BD" w:rsidP="000400C8">
      <w:pPr>
        <w:pStyle w:val="TDC2"/>
        <w:ind w:right="0"/>
        <w:rPr>
          <w:rFonts w:eastAsiaTheme="minorEastAsia"/>
          <w:lang w:val="es-AR"/>
        </w:rPr>
      </w:pPr>
      <w:hyperlink w:anchor="_Toc495973016" w:history="1">
        <w:r w:rsidR="00B200E8" w:rsidRPr="00AE4E8D">
          <w:rPr>
            <w:rStyle w:val="Hipervnculo"/>
          </w:rPr>
          <w:t>Exceso de Capital Regulatorio</w:t>
        </w:r>
        <w:r w:rsidR="00B200E8" w:rsidRPr="00AE4E8D">
          <w:rPr>
            <w:webHidden/>
          </w:rPr>
          <w:tab/>
        </w:r>
        <w:r w:rsidR="00B200E8" w:rsidRPr="00AE4E8D">
          <w:rPr>
            <w:webHidden/>
          </w:rPr>
          <w:fldChar w:fldCharType="begin"/>
        </w:r>
        <w:r w:rsidR="00B200E8" w:rsidRPr="00AE4E8D">
          <w:rPr>
            <w:webHidden/>
          </w:rPr>
          <w:instrText xml:space="preserve"> PAGEREF _Toc495973016 \h </w:instrText>
        </w:r>
        <w:r w:rsidR="00B200E8" w:rsidRPr="00AE4E8D">
          <w:rPr>
            <w:webHidden/>
          </w:rPr>
        </w:r>
        <w:r w:rsidR="00B200E8" w:rsidRPr="00AE4E8D">
          <w:rPr>
            <w:webHidden/>
          </w:rPr>
          <w:fldChar w:fldCharType="separate"/>
        </w:r>
        <w:r w:rsidR="002A450F">
          <w:rPr>
            <w:webHidden/>
          </w:rPr>
          <w:t>113</w:t>
        </w:r>
        <w:r w:rsidR="00B200E8" w:rsidRPr="00AE4E8D">
          <w:rPr>
            <w:webHidden/>
          </w:rPr>
          <w:fldChar w:fldCharType="end"/>
        </w:r>
      </w:hyperlink>
    </w:p>
    <w:p w14:paraId="728B7341"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17" w:history="1">
        <w:r w:rsidR="00B200E8" w:rsidRPr="00AE4E8D">
          <w:rPr>
            <w:rStyle w:val="Hipervnculo"/>
            <w:rFonts w:ascii="Times New Roman" w:hAnsi="Times New Roman"/>
          </w:rPr>
          <w:t>INFORMACIÓN CONTABLE Y DE OTRA ÍNDOLE SELECCIONADA</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_Toc495973017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114</w:t>
        </w:r>
        <w:r w:rsidR="00B200E8" w:rsidRPr="00AE4E8D">
          <w:rPr>
            <w:rFonts w:ascii="Times New Roman" w:hAnsi="Times New Roman"/>
            <w:webHidden/>
          </w:rPr>
          <w:fldChar w:fldCharType="end"/>
        </w:r>
      </w:hyperlink>
    </w:p>
    <w:p w14:paraId="6AD166D8"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18" w:history="1">
        <w:r w:rsidR="00B200E8" w:rsidRPr="00AE4E8D">
          <w:rPr>
            <w:rStyle w:val="Hipervnculo"/>
            <w:rFonts w:ascii="Times New Roman" w:hAnsi="Times New Roman"/>
          </w:rPr>
          <w:t>RESEÑA Y PERSPECTIVA OPERATIVA FINANCIERA</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_Toc495973018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120</w:t>
        </w:r>
        <w:r w:rsidR="00B200E8" w:rsidRPr="00AE4E8D">
          <w:rPr>
            <w:rFonts w:ascii="Times New Roman" w:hAnsi="Times New Roman"/>
            <w:webHidden/>
          </w:rPr>
          <w:fldChar w:fldCharType="end"/>
        </w:r>
      </w:hyperlink>
    </w:p>
    <w:p w14:paraId="7E634B66" w14:textId="77777777" w:rsidR="00B200E8" w:rsidRPr="00AE4E8D" w:rsidRDefault="003676BD" w:rsidP="000400C8">
      <w:pPr>
        <w:pStyle w:val="TDC2"/>
        <w:ind w:right="0"/>
        <w:rPr>
          <w:rFonts w:eastAsiaTheme="minorEastAsia"/>
          <w:lang w:val="es-AR"/>
        </w:rPr>
      </w:pPr>
      <w:hyperlink w:anchor="_Toc495973019" w:history="1">
        <w:r w:rsidR="00B200E8" w:rsidRPr="00AE4E8D">
          <w:rPr>
            <w:rStyle w:val="Hipervnculo"/>
          </w:rPr>
          <w:t>Principales Factores que afectan nuestro Negocio</w:t>
        </w:r>
        <w:r w:rsidR="00B200E8" w:rsidRPr="00AE4E8D">
          <w:rPr>
            <w:webHidden/>
          </w:rPr>
          <w:tab/>
        </w:r>
        <w:r w:rsidR="00B200E8" w:rsidRPr="00AE4E8D">
          <w:rPr>
            <w:webHidden/>
          </w:rPr>
          <w:fldChar w:fldCharType="begin"/>
        </w:r>
        <w:r w:rsidR="00B200E8" w:rsidRPr="00AE4E8D">
          <w:rPr>
            <w:webHidden/>
          </w:rPr>
          <w:instrText xml:space="preserve"> PAGEREF _Toc495973019 \h </w:instrText>
        </w:r>
        <w:r w:rsidR="00B200E8" w:rsidRPr="00AE4E8D">
          <w:rPr>
            <w:webHidden/>
          </w:rPr>
        </w:r>
        <w:r w:rsidR="00B200E8" w:rsidRPr="00AE4E8D">
          <w:rPr>
            <w:webHidden/>
          </w:rPr>
          <w:fldChar w:fldCharType="separate"/>
        </w:r>
        <w:r w:rsidR="002A450F">
          <w:rPr>
            <w:webHidden/>
          </w:rPr>
          <w:t>120</w:t>
        </w:r>
        <w:r w:rsidR="00B200E8" w:rsidRPr="00AE4E8D">
          <w:rPr>
            <w:webHidden/>
          </w:rPr>
          <w:fldChar w:fldCharType="end"/>
        </w:r>
      </w:hyperlink>
    </w:p>
    <w:p w14:paraId="42508DA7" w14:textId="77777777" w:rsidR="00B200E8" w:rsidRPr="00AE4E8D" w:rsidRDefault="003676BD" w:rsidP="000400C8">
      <w:pPr>
        <w:pStyle w:val="TDC2"/>
        <w:ind w:right="0"/>
        <w:rPr>
          <w:rFonts w:eastAsiaTheme="minorEastAsia"/>
          <w:lang w:val="es-AR"/>
        </w:rPr>
      </w:pPr>
      <w:hyperlink w:anchor="_Toc495973020" w:history="1">
        <w:r w:rsidR="00B200E8" w:rsidRPr="00AE4E8D">
          <w:rPr>
            <w:rStyle w:val="Hipervnculo"/>
          </w:rPr>
          <w:t>Sistema Financiero Argentino</w:t>
        </w:r>
        <w:r w:rsidR="00B200E8" w:rsidRPr="00AE4E8D">
          <w:rPr>
            <w:webHidden/>
          </w:rPr>
          <w:tab/>
        </w:r>
        <w:r w:rsidR="00B200E8" w:rsidRPr="00AE4E8D">
          <w:rPr>
            <w:webHidden/>
          </w:rPr>
          <w:fldChar w:fldCharType="begin"/>
        </w:r>
        <w:r w:rsidR="00B200E8" w:rsidRPr="00AE4E8D">
          <w:rPr>
            <w:webHidden/>
          </w:rPr>
          <w:instrText xml:space="preserve"> PAGEREF _Toc495973020 \h </w:instrText>
        </w:r>
        <w:r w:rsidR="00B200E8" w:rsidRPr="00AE4E8D">
          <w:rPr>
            <w:webHidden/>
          </w:rPr>
        </w:r>
        <w:r w:rsidR="00B200E8" w:rsidRPr="00AE4E8D">
          <w:rPr>
            <w:webHidden/>
          </w:rPr>
          <w:fldChar w:fldCharType="separate"/>
        </w:r>
        <w:r w:rsidR="002A450F">
          <w:rPr>
            <w:webHidden/>
          </w:rPr>
          <w:t>121</w:t>
        </w:r>
        <w:r w:rsidR="00B200E8" w:rsidRPr="00AE4E8D">
          <w:rPr>
            <w:webHidden/>
          </w:rPr>
          <w:fldChar w:fldCharType="end"/>
        </w:r>
      </w:hyperlink>
    </w:p>
    <w:p w14:paraId="2757146A" w14:textId="77777777" w:rsidR="00B200E8" w:rsidRPr="00AE4E8D" w:rsidRDefault="003676BD" w:rsidP="000400C8">
      <w:pPr>
        <w:pStyle w:val="TDC2"/>
        <w:ind w:right="0"/>
        <w:rPr>
          <w:rFonts w:eastAsiaTheme="minorEastAsia"/>
          <w:lang w:val="es-AR"/>
        </w:rPr>
      </w:pPr>
      <w:hyperlink w:anchor="_Toc495973021" w:history="1">
        <w:r w:rsidR="00B200E8" w:rsidRPr="00AE4E8D">
          <w:rPr>
            <w:rStyle w:val="Hipervnculo"/>
          </w:rPr>
          <w:t>Liquidez y Recursos de Capital</w:t>
        </w:r>
        <w:r w:rsidR="00B200E8" w:rsidRPr="00AE4E8D">
          <w:rPr>
            <w:webHidden/>
          </w:rPr>
          <w:tab/>
        </w:r>
        <w:r w:rsidR="00B200E8" w:rsidRPr="00AE4E8D">
          <w:rPr>
            <w:webHidden/>
          </w:rPr>
          <w:fldChar w:fldCharType="begin"/>
        </w:r>
        <w:r w:rsidR="00B200E8" w:rsidRPr="00AE4E8D">
          <w:rPr>
            <w:webHidden/>
          </w:rPr>
          <w:instrText xml:space="preserve"> PAGEREF _Toc495973021 \h </w:instrText>
        </w:r>
        <w:r w:rsidR="00B200E8" w:rsidRPr="00AE4E8D">
          <w:rPr>
            <w:webHidden/>
          </w:rPr>
        </w:r>
        <w:r w:rsidR="00B200E8" w:rsidRPr="00AE4E8D">
          <w:rPr>
            <w:webHidden/>
          </w:rPr>
          <w:fldChar w:fldCharType="separate"/>
        </w:r>
        <w:r w:rsidR="002A450F">
          <w:rPr>
            <w:webHidden/>
          </w:rPr>
          <w:t>144</w:t>
        </w:r>
        <w:r w:rsidR="00B200E8" w:rsidRPr="00AE4E8D">
          <w:rPr>
            <w:webHidden/>
          </w:rPr>
          <w:fldChar w:fldCharType="end"/>
        </w:r>
      </w:hyperlink>
    </w:p>
    <w:p w14:paraId="52B6EAB1"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22" w:history="1">
        <w:r w:rsidR="00B200E8" w:rsidRPr="00AE4E8D">
          <w:rPr>
            <w:rStyle w:val="Hipervnculo"/>
            <w:rFonts w:ascii="Times New Roman" w:hAnsi="Times New Roman"/>
          </w:rPr>
          <w:t>INFORMACIÓN CUANTITATIVA Y CUALITATIVA SOBRE RIESGO DE MERCADO</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_Toc495973022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150</w:t>
        </w:r>
        <w:r w:rsidR="00B200E8" w:rsidRPr="00AE4E8D">
          <w:rPr>
            <w:rFonts w:ascii="Times New Roman" w:hAnsi="Times New Roman"/>
            <w:webHidden/>
          </w:rPr>
          <w:fldChar w:fldCharType="end"/>
        </w:r>
      </w:hyperlink>
    </w:p>
    <w:p w14:paraId="4E566D61" w14:textId="77777777" w:rsidR="00B200E8" w:rsidRPr="00AE4E8D" w:rsidRDefault="003676BD" w:rsidP="000400C8">
      <w:pPr>
        <w:pStyle w:val="TDC2"/>
        <w:ind w:right="0"/>
        <w:rPr>
          <w:rFonts w:eastAsiaTheme="minorEastAsia"/>
          <w:lang w:val="es-AR"/>
        </w:rPr>
      </w:pPr>
      <w:hyperlink w:anchor="_Toc495973023" w:history="1">
        <w:r w:rsidR="00B200E8" w:rsidRPr="00AE4E8D">
          <w:rPr>
            <w:rStyle w:val="Hipervnculo"/>
            <w:rFonts w:eastAsia="Calibri"/>
          </w:rPr>
          <w:t>Riesgo de Mercado</w:t>
        </w:r>
        <w:r w:rsidR="00B200E8" w:rsidRPr="00AE4E8D">
          <w:rPr>
            <w:webHidden/>
          </w:rPr>
          <w:tab/>
        </w:r>
        <w:r w:rsidR="00B200E8" w:rsidRPr="00AE4E8D">
          <w:rPr>
            <w:webHidden/>
          </w:rPr>
          <w:fldChar w:fldCharType="begin"/>
        </w:r>
        <w:r w:rsidR="00B200E8" w:rsidRPr="00AE4E8D">
          <w:rPr>
            <w:webHidden/>
          </w:rPr>
          <w:instrText xml:space="preserve"> PAGEREF _Toc495973023 \h </w:instrText>
        </w:r>
        <w:r w:rsidR="00B200E8" w:rsidRPr="00AE4E8D">
          <w:rPr>
            <w:webHidden/>
          </w:rPr>
        </w:r>
        <w:r w:rsidR="00B200E8" w:rsidRPr="00AE4E8D">
          <w:rPr>
            <w:webHidden/>
          </w:rPr>
          <w:fldChar w:fldCharType="separate"/>
        </w:r>
        <w:r w:rsidR="002A450F">
          <w:rPr>
            <w:webHidden/>
          </w:rPr>
          <w:t>150</w:t>
        </w:r>
        <w:r w:rsidR="00B200E8" w:rsidRPr="00AE4E8D">
          <w:rPr>
            <w:webHidden/>
          </w:rPr>
          <w:fldChar w:fldCharType="end"/>
        </w:r>
      </w:hyperlink>
    </w:p>
    <w:p w14:paraId="64AEFD59" w14:textId="77777777" w:rsidR="00B200E8" w:rsidRPr="00AE4E8D" w:rsidRDefault="003676BD" w:rsidP="000400C8">
      <w:pPr>
        <w:pStyle w:val="TDC2"/>
        <w:ind w:right="0"/>
        <w:rPr>
          <w:rFonts w:eastAsiaTheme="minorEastAsia"/>
          <w:lang w:val="es-AR"/>
        </w:rPr>
      </w:pPr>
      <w:hyperlink w:anchor="_Toc495973024" w:history="1">
        <w:r w:rsidR="00B200E8" w:rsidRPr="00AE4E8D">
          <w:rPr>
            <w:rStyle w:val="Hipervnculo"/>
            <w:rFonts w:eastAsia="Calibri"/>
          </w:rPr>
          <w:t>Riesgo de Tasa de Interés</w:t>
        </w:r>
        <w:r w:rsidR="00B200E8" w:rsidRPr="00AE4E8D">
          <w:rPr>
            <w:webHidden/>
          </w:rPr>
          <w:tab/>
        </w:r>
        <w:r w:rsidR="00B200E8" w:rsidRPr="00AE4E8D">
          <w:rPr>
            <w:webHidden/>
          </w:rPr>
          <w:fldChar w:fldCharType="begin"/>
        </w:r>
        <w:r w:rsidR="00B200E8" w:rsidRPr="00AE4E8D">
          <w:rPr>
            <w:webHidden/>
          </w:rPr>
          <w:instrText xml:space="preserve"> PAGEREF _Toc495973024 \h </w:instrText>
        </w:r>
        <w:r w:rsidR="00B200E8" w:rsidRPr="00AE4E8D">
          <w:rPr>
            <w:webHidden/>
          </w:rPr>
        </w:r>
        <w:r w:rsidR="00B200E8" w:rsidRPr="00AE4E8D">
          <w:rPr>
            <w:webHidden/>
          </w:rPr>
          <w:fldChar w:fldCharType="separate"/>
        </w:r>
        <w:r w:rsidR="002A450F">
          <w:rPr>
            <w:webHidden/>
          </w:rPr>
          <w:t>151</w:t>
        </w:r>
        <w:r w:rsidR="00B200E8" w:rsidRPr="00AE4E8D">
          <w:rPr>
            <w:webHidden/>
          </w:rPr>
          <w:fldChar w:fldCharType="end"/>
        </w:r>
      </w:hyperlink>
    </w:p>
    <w:p w14:paraId="283A3ABE"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25" w:history="1">
        <w:r w:rsidR="00B200E8" w:rsidRPr="00AE4E8D">
          <w:rPr>
            <w:rStyle w:val="Hipervnculo"/>
            <w:rFonts w:ascii="Times New Roman" w:hAnsi="Times New Roman"/>
          </w:rPr>
          <w:t>EL SISTEMA BANCARIO ARGENTINO</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_Toc495973025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152</w:t>
        </w:r>
        <w:r w:rsidR="00B200E8" w:rsidRPr="00AE4E8D">
          <w:rPr>
            <w:rFonts w:ascii="Times New Roman" w:hAnsi="Times New Roman"/>
            <w:webHidden/>
          </w:rPr>
          <w:fldChar w:fldCharType="end"/>
        </w:r>
      </w:hyperlink>
    </w:p>
    <w:p w14:paraId="5CEC44B7" w14:textId="77777777" w:rsidR="00B200E8" w:rsidRPr="00AE4E8D" w:rsidRDefault="003676BD" w:rsidP="000400C8">
      <w:pPr>
        <w:pStyle w:val="TDC2"/>
        <w:ind w:right="0"/>
        <w:rPr>
          <w:rFonts w:eastAsiaTheme="minorEastAsia"/>
          <w:lang w:val="es-AR"/>
        </w:rPr>
      </w:pPr>
      <w:hyperlink w:anchor="_Toc495973026" w:history="1">
        <w:r w:rsidR="00B200E8" w:rsidRPr="00AE4E8D">
          <w:rPr>
            <w:rStyle w:val="Hipervnculo"/>
          </w:rPr>
          <w:t>Panorama General</w:t>
        </w:r>
        <w:r w:rsidR="00B200E8" w:rsidRPr="00AE4E8D">
          <w:rPr>
            <w:webHidden/>
          </w:rPr>
          <w:tab/>
        </w:r>
        <w:r w:rsidR="00B200E8" w:rsidRPr="00AE4E8D">
          <w:rPr>
            <w:webHidden/>
          </w:rPr>
          <w:fldChar w:fldCharType="begin"/>
        </w:r>
        <w:r w:rsidR="00B200E8" w:rsidRPr="00AE4E8D">
          <w:rPr>
            <w:webHidden/>
          </w:rPr>
          <w:instrText xml:space="preserve"> PAGEREF _Toc495973026 \h </w:instrText>
        </w:r>
        <w:r w:rsidR="00B200E8" w:rsidRPr="00AE4E8D">
          <w:rPr>
            <w:webHidden/>
          </w:rPr>
        </w:r>
        <w:r w:rsidR="00B200E8" w:rsidRPr="00AE4E8D">
          <w:rPr>
            <w:webHidden/>
          </w:rPr>
          <w:fldChar w:fldCharType="separate"/>
        </w:r>
        <w:r w:rsidR="002A450F">
          <w:rPr>
            <w:webHidden/>
          </w:rPr>
          <w:t>152</w:t>
        </w:r>
        <w:r w:rsidR="00B200E8" w:rsidRPr="00AE4E8D">
          <w:rPr>
            <w:webHidden/>
          </w:rPr>
          <w:fldChar w:fldCharType="end"/>
        </w:r>
      </w:hyperlink>
    </w:p>
    <w:p w14:paraId="6F151B6F" w14:textId="77777777" w:rsidR="00B200E8" w:rsidRPr="00AE4E8D" w:rsidRDefault="003676BD" w:rsidP="000400C8">
      <w:pPr>
        <w:pStyle w:val="TDC2"/>
        <w:ind w:right="0"/>
        <w:rPr>
          <w:rFonts w:eastAsiaTheme="minorEastAsia"/>
          <w:lang w:val="es-AR"/>
        </w:rPr>
      </w:pPr>
      <w:hyperlink w:anchor="_Toc495973027" w:history="1">
        <w:r w:rsidR="00B200E8" w:rsidRPr="00AE4E8D">
          <w:rPr>
            <w:rStyle w:val="Hipervnculo"/>
          </w:rPr>
          <w:t>Mercado para Servicios Bancarios en Argentina</w:t>
        </w:r>
        <w:r w:rsidR="00B200E8" w:rsidRPr="00AE4E8D">
          <w:rPr>
            <w:webHidden/>
          </w:rPr>
          <w:tab/>
        </w:r>
        <w:r w:rsidR="00B200E8" w:rsidRPr="00AE4E8D">
          <w:rPr>
            <w:webHidden/>
          </w:rPr>
          <w:fldChar w:fldCharType="begin"/>
        </w:r>
        <w:r w:rsidR="00B200E8" w:rsidRPr="00AE4E8D">
          <w:rPr>
            <w:webHidden/>
          </w:rPr>
          <w:instrText xml:space="preserve"> PAGEREF _Toc495973027 \h </w:instrText>
        </w:r>
        <w:r w:rsidR="00B200E8" w:rsidRPr="00AE4E8D">
          <w:rPr>
            <w:webHidden/>
          </w:rPr>
        </w:r>
        <w:r w:rsidR="00B200E8" w:rsidRPr="00AE4E8D">
          <w:rPr>
            <w:webHidden/>
          </w:rPr>
          <w:fldChar w:fldCharType="separate"/>
        </w:r>
        <w:r w:rsidR="002A450F">
          <w:rPr>
            <w:webHidden/>
          </w:rPr>
          <w:t>153</w:t>
        </w:r>
        <w:r w:rsidR="00B200E8" w:rsidRPr="00AE4E8D">
          <w:rPr>
            <w:webHidden/>
          </w:rPr>
          <w:fldChar w:fldCharType="end"/>
        </w:r>
      </w:hyperlink>
    </w:p>
    <w:p w14:paraId="17CA744D" w14:textId="77777777" w:rsidR="00B200E8" w:rsidRPr="00AE4E8D" w:rsidRDefault="003676BD" w:rsidP="000400C8">
      <w:pPr>
        <w:pStyle w:val="TDC2"/>
        <w:ind w:right="0"/>
        <w:rPr>
          <w:rFonts w:eastAsiaTheme="minorEastAsia"/>
          <w:lang w:val="es-AR"/>
        </w:rPr>
      </w:pPr>
      <w:hyperlink w:anchor="_Toc495973028" w:history="1">
        <w:r w:rsidR="00B200E8" w:rsidRPr="00AE4E8D">
          <w:rPr>
            <w:rStyle w:val="Hipervnculo"/>
          </w:rPr>
          <w:t>Competencia</w:t>
        </w:r>
        <w:r w:rsidR="00B200E8" w:rsidRPr="00AE4E8D">
          <w:rPr>
            <w:webHidden/>
          </w:rPr>
          <w:tab/>
        </w:r>
        <w:r w:rsidR="00B200E8" w:rsidRPr="00AE4E8D">
          <w:rPr>
            <w:webHidden/>
          </w:rPr>
          <w:fldChar w:fldCharType="begin"/>
        </w:r>
        <w:r w:rsidR="00B200E8" w:rsidRPr="00AE4E8D">
          <w:rPr>
            <w:webHidden/>
          </w:rPr>
          <w:instrText xml:space="preserve"> PAGEREF _Toc495973028 \h </w:instrText>
        </w:r>
        <w:r w:rsidR="00B200E8" w:rsidRPr="00AE4E8D">
          <w:rPr>
            <w:webHidden/>
          </w:rPr>
        </w:r>
        <w:r w:rsidR="00B200E8" w:rsidRPr="00AE4E8D">
          <w:rPr>
            <w:webHidden/>
          </w:rPr>
          <w:fldChar w:fldCharType="separate"/>
        </w:r>
        <w:r w:rsidR="002A450F">
          <w:rPr>
            <w:webHidden/>
          </w:rPr>
          <w:t>153</w:t>
        </w:r>
        <w:r w:rsidR="00B200E8" w:rsidRPr="00AE4E8D">
          <w:rPr>
            <w:webHidden/>
          </w:rPr>
          <w:fldChar w:fldCharType="end"/>
        </w:r>
      </w:hyperlink>
    </w:p>
    <w:p w14:paraId="4CDC74EE" w14:textId="77777777" w:rsidR="00B200E8" w:rsidRPr="00AE4E8D" w:rsidRDefault="003676BD" w:rsidP="000400C8">
      <w:pPr>
        <w:pStyle w:val="TDC2"/>
        <w:ind w:right="0"/>
        <w:rPr>
          <w:rFonts w:eastAsiaTheme="minorEastAsia"/>
          <w:lang w:val="es-AR"/>
        </w:rPr>
      </w:pPr>
      <w:hyperlink w:anchor="_Toc495973029" w:history="1">
        <w:r w:rsidR="00B200E8" w:rsidRPr="00AE4E8D">
          <w:rPr>
            <w:rStyle w:val="Hipervnculo"/>
          </w:rPr>
          <w:t>Total Préstamos Netos</w:t>
        </w:r>
        <w:r w:rsidR="00B200E8" w:rsidRPr="00AE4E8D">
          <w:rPr>
            <w:webHidden/>
          </w:rPr>
          <w:tab/>
        </w:r>
        <w:r w:rsidR="00B200E8" w:rsidRPr="00AE4E8D">
          <w:rPr>
            <w:webHidden/>
          </w:rPr>
          <w:fldChar w:fldCharType="begin"/>
        </w:r>
        <w:r w:rsidR="00B200E8" w:rsidRPr="00AE4E8D">
          <w:rPr>
            <w:webHidden/>
          </w:rPr>
          <w:instrText xml:space="preserve"> PAGEREF _Toc495973029 \h </w:instrText>
        </w:r>
        <w:r w:rsidR="00B200E8" w:rsidRPr="00AE4E8D">
          <w:rPr>
            <w:webHidden/>
          </w:rPr>
        </w:r>
        <w:r w:rsidR="00B200E8" w:rsidRPr="00AE4E8D">
          <w:rPr>
            <w:webHidden/>
          </w:rPr>
          <w:fldChar w:fldCharType="separate"/>
        </w:r>
        <w:r w:rsidR="002A450F">
          <w:rPr>
            <w:webHidden/>
          </w:rPr>
          <w:t>153</w:t>
        </w:r>
        <w:r w:rsidR="00B200E8" w:rsidRPr="00AE4E8D">
          <w:rPr>
            <w:webHidden/>
          </w:rPr>
          <w:fldChar w:fldCharType="end"/>
        </w:r>
      </w:hyperlink>
    </w:p>
    <w:p w14:paraId="407EA8D3" w14:textId="77777777" w:rsidR="00B200E8" w:rsidRPr="00AE4E8D" w:rsidRDefault="003676BD" w:rsidP="000400C8">
      <w:pPr>
        <w:pStyle w:val="TDC2"/>
        <w:ind w:right="0"/>
        <w:rPr>
          <w:rFonts w:eastAsiaTheme="minorEastAsia"/>
          <w:lang w:val="es-AR"/>
        </w:rPr>
      </w:pPr>
      <w:hyperlink w:anchor="_Toc495973030" w:history="1">
        <w:r w:rsidR="00B200E8" w:rsidRPr="00AE4E8D">
          <w:rPr>
            <w:rStyle w:val="Hipervnculo"/>
          </w:rPr>
          <w:t>Total Activo Neto</w:t>
        </w:r>
        <w:r w:rsidR="00B200E8" w:rsidRPr="00AE4E8D">
          <w:rPr>
            <w:webHidden/>
          </w:rPr>
          <w:tab/>
        </w:r>
        <w:r w:rsidR="00B200E8" w:rsidRPr="00AE4E8D">
          <w:rPr>
            <w:webHidden/>
          </w:rPr>
          <w:fldChar w:fldCharType="begin"/>
        </w:r>
        <w:r w:rsidR="00B200E8" w:rsidRPr="00AE4E8D">
          <w:rPr>
            <w:webHidden/>
          </w:rPr>
          <w:instrText xml:space="preserve"> PAGEREF _Toc495973030 \h </w:instrText>
        </w:r>
        <w:r w:rsidR="00B200E8" w:rsidRPr="00AE4E8D">
          <w:rPr>
            <w:webHidden/>
          </w:rPr>
        </w:r>
        <w:r w:rsidR="00B200E8" w:rsidRPr="00AE4E8D">
          <w:rPr>
            <w:webHidden/>
          </w:rPr>
          <w:fldChar w:fldCharType="separate"/>
        </w:r>
        <w:r w:rsidR="002A450F">
          <w:rPr>
            <w:webHidden/>
          </w:rPr>
          <w:t>154</w:t>
        </w:r>
        <w:r w:rsidR="00B200E8" w:rsidRPr="00AE4E8D">
          <w:rPr>
            <w:webHidden/>
          </w:rPr>
          <w:fldChar w:fldCharType="end"/>
        </w:r>
      </w:hyperlink>
    </w:p>
    <w:p w14:paraId="561F82BD" w14:textId="77777777" w:rsidR="00B200E8" w:rsidRPr="00AE4E8D" w:rsidRDefault="003676BD" w:rsidP="000400C8">
      <w:pPr>
        <w:pStyle w:val="TDC2"/>
        <w:ind w:right="0"/>
        <w:rPr>
          <w:rFonts w:eastAsiaTheme="minorEastAsia"/>
          <w:lang w:val="es-AR"/>
        </w:rPr>
      </w:pPr>
      <w:hyperlink w:anchor="_Toc495973031" w:history="1">
        <w:r w:rsidR="00B200E8" w:rsidRPr="00AE4E8D">
          <w:rPr>
            <w:rStyle w:val="Hipervnculo"/>
          </w:rPr>
          <w:t>Calidad de Cartera</w:t>
        </w:r>
        <w:r w:rsidR="00B200E8" w:rsidRPr="00AE4E8D">
          <w:rPr>
            <w:webHidden/>
          </w:rPr>
          <w:tab/>
        </w:r>
        <w:r w:rsidR="00B200E8" w:rsidRPr="00AE4E8D">
          <w:rPr>
            <w:webHidden/>
          </w:rPr>
          <w:fldChar w:fldCharType="begin"/>
        </w:r>
        <w:r w:rsidR="00B200E8" w:rsidRPr="00AE4E8D">
          <w:rPr>
            <w:webHidden/>
          </w:rPr>
          <w:instrText xml:space="preserve"> PAGEREF _Toc495973031 \h </w:instrText>
        </w:r>
        <w:r w:rsidR="00B200E8" w:rsidRPr="00AE4E8D">
          <w:rPr>
            <w:webHidden/>
          </w:rPr>
        </w:r>
        <w:r w:rsidR="00B200E8" w:rsidRPr="00AE4E8D">
          <w:rPr>
            <w:webHidden/>
          </w:rPr>
          <w:fldChar w:fldCharType="separate"/>
        </w:r>
        <w:r w:rsidR="002A450F">
          <w:rPr>
            <w:webHidden/>
          </w:rPr>
          <w:t>154</w:t>
        </w:r>
        <w:r w:rsidR="00B200E8" w:rsidRPr="00AE4E8D">
          <w:rPr>
            <w:webHidden/>
          </w:rPr>
          <w:fldChar w:fldCharType="end"/>
        </w:r>
      </w:hyperlink>
    </w:p>
    <w:p w14:paraId="11E76F92" w14:textId="77777777" w:rsidR="00B200E8" w:rsidRPr="00AE4E8D" w:rsidRDefault="003676BD" w:rsidP="000400C8">
      <w:pPr>
        <w:pStyle w:val="TDC2"/>
        <w:ind w:right="0"/>
        <w:rPr>
          <w:rFonts w:eastAsiaTheme="minorEastAsia"/>
          <w:lang w:val="es-AR"/>
        </w:rPr>
      </w:pPr>
      <w:hyperlink w:anchor="_Toc495973032" w:history="1">
        <w:r w:rsidR="00B200E8" w:rsidRPr="00AE4E8D">
          <w:rPr>
            <w:rStyle w:val="Hipervnculo"/>
          </w:rPr>
          <w:t>Depósitos</w:t>
        </w:r>
        <w:r w:rsidR="00B200E8" w:rsidRPr="00AE4E8D">
          <w:rPr>
            <w:webHidden/>
          </w:rPr>
          <w:tab/>
        </w:r>
        <w:r w:rsidR="00B200E8" w:rsidRPr="00AE4E8D">
          <w:rPr>
            <w:webHidden/>
          </w:rPr>
          <w:fldChar w:fldCharType="begin"/>
        </w:r>
        <w:r w:rsidR="00B200E8" w:rsidRPr="00AE4E8D">
          <w:rPr>
            <w:webHidden/>
          </w:rPr>
          <w:instrText xml:space="preserve"> PAGEREF _Toc495973032 \h </w:instrText>
        </w:r>
        <w:r w:rsidR="00B200E8" w:rsidRPr="00AE4E8D">
          <w:rPr>
            <w:webHidden/>
          </w:rPr>
        </w:r>
        <w:r w:rsidR="00B200E8" w:rsidRPr="00AE4E8D">
          <w:rPr>
            <w:webHidden/>
          </w:rPr>
          <w:fldChar w:fldCharType="separate"/>
        </w:r>
        <w:r w:rsidR="002A450F">
          <w:rPr>
            <w:webHidden/>
          </w:rPr>
          <w:t>155</w:t>
        </w:r>
        <w:r w:rsidR="00B200E8" w:rsidRPr="00AE4E8D">
          <w:rPr>
            <w:webHidden/>
          </w:rPr>
          <w:fldChar w:fldCharType="end"/>
        </w:r>
      </w:hyperlink>
    </w:p>
    <w:p w14:paraId="76AFDE85" w14:textId="77777777" w:rsidR="00B200E8" w:rsidRPr="00AE4E8D" w:rsidRDefault="003676BD" w:rsidP="000400C8">
      <w:pPr>
        <w:pStyle w:val="TDC2"/>
        <w:ind w:right="0"/>
        <w:rPr>
          <w:rFonts w:eastAsiaTheme="minorEastAsia"/>
          <w:lang w:val="es-AR"/>
        </w:rPr>
      </w:pPr>
      <w:hyperlink w:anchor="_Toc495973033" w:history="1">
        <w:r w:rsidR="00B200E8" w:rsidRPr="00AE4E8D">
          <w:rPr>
            <w:rStyle w:val="Hipervnculo"/>
          </w:rPr>
          <w:t>Patrimonio Neto</w:t>
        </w:r>
        <w:r w:rsidR="00B200E8" w:rsidRPr="00AE4E8D">
          <w:rPr>
            <w:webHidden/>
          </w:rPr>
          <w:tab/>
        </w:r>
        <w:r w:rsidR="00B200E8" w:rsidRPr="00AE4E8D">
          <w:rPr>
            <w:webHidden/>
          </w:rPr>
          <w:fldChar w:fldCharType="begin"/>
        </w:r>
        <w:r w:rsidR="00B200E8" w:rsidRPr="00AE4E8D">
          <w:rPr>
            <w:webHidden/>
          </w:rPr>
          <w:instrText xml:space="preserve"> PAGEREF _Toc495973033 \h </w:instrText>
        </w:r>
        <w:r w:rsidR="00B200E8" w:rsidRPr="00AE4E8D">
          <w:rPr>
            <w:webHidden/>
          </w:rPr>
        </w:r>
        <w:r w:rsidR="00B200E8" w:rsidRPr="00AE4E8D">
          <w:rPr>
            <w:webHidden/>
          </w:rPr>
          <w:fldChar w:fldCharType="separate"/>
        </w:r>
        <w:r w:rsidR="002A450F">
          <w:rPr>
            <w:webHidden/>
          </w:rPr>
          <w:t>156</w:t>
        </w:r>
        <w:r w:rsidR="00B200E8" w:rsidRPr="00AE4E8D">
          <w:rPr>
            <w:webHidden/>
          </w:rPr>
          <w:fldChar w:fldCharType="end"/>
        </w:r>
      </w:hyperlink>
    </w:p>
    <w:p w14:paraId="53F89425" w14:textId="77777777" w:rsidR="00B200E8" w:rsidRPr="00AE4E8D" w:rsidRDefault="003676BD" w:rsidP="000400C8">
      <w:pPr>
        <w:pStyle w:val="TDC2"/>
        <w:ind w:right="0"/>
        <w:rPr>
          <w:rFonts w:eastAsiaTheme="minorEastAsia"/>
          <w:lang w:val="es-AR"/>
        </w:rPr>
      </w:pPr>
      <w:hyperlink w:anchor="_Toc495973034" w:history="1">
        <w:r w:rsidR="00B200E8" w:rsidRPr="00AE4E8D">
          <w:rPr>
            <w:rStyle w:val="Hipervnculo"/>
          </w:rPr>
          <w:t>Retorno sobre Activos</w:t>
        </w:r>
        <w:r w:rsidR="00B200E8" w:rsidRPr="00AE4E8D">
          <w:rPr>
            <w:webHidden/>
          </w:rPr>
          <w:tab/>
        </w:r>
        <w:r w:rsidR="00B200E8" w:rsidRPr="00AE4E8D">
          <w:rPr>
            <w:webHidden/>
          </w:rPr>
          <w:fldChar w:fldCharType="begin"/>
        </w:r>
        <w:r w:rsidR="00B200E8" w:rsidRPr="00AE4E8D">
          <w:rPr>
            <w:webHidden/>
          </w:rPr>
          <w:instrText xml:space="preserve"> PAGEREF _Toc495973034 \h </w:instrText>
        </w:r>
        <w:r w:rsidR="00B200E8" w:rsidRPr="00AE4E8D">
          <w:rPr>
            <w:webHidden/>
          </w:rPr>
        </w:r>
        <w:r w:rsidR="00B200E8" w:rsidRPr="00AE4E8D">
          <w:rPr>
            <w:webHidden/>
          </w:rPr>
          <w:fldChar w:fldCharType="separate"/>
        </w:r>
        <w:r w:rsidR="002A450F">
          <w:rPr>
            <w:webHidden/>
          </w:rPr>
          <w:t>156</w:t>
        </w:r>
        <w:r w:rsidR="00B200E8" w:rsidRPr="00AE4E8D">
          <w:rPr>
            <w:webHidden/>
          </w:rPr>
          <w:fldChar w:fldCharType="end"/>
        </w:r>
      </w:hyperlink>
    </w:p>
    <w:p w14:paraId="025824CA" w14:textId="77777777" w:rsidR="00B200E8" w:rsidRPr="00AE4E8D" w:rsidRDefault="003676BD" w:rsidP="000400C8">
      <w:pPr>
        <w:pStyle w:val="TDC2"/>
        <w:ind w:right="0"/>
        <w:rPr>
          <w:rFonts w:eastAsiaTheme="minorEastAsia"/>
          <w:lang w:val="es-AR"/>
        </w:rPr>
      </w:pPr>
      <w:hyperlink w:anchor="_Toc495973035" w:history="1">
        <w:r w:rsidR="00B200E8" w:rsidRPr="00AE4E8D">
          <w:rPr>
            <w:rStyle w:val="Hipervnculo"/>
          </w:rPr>
          <w:t>Retorno sobre Patrimonio Neto</w:t>
        </w:r>
        <w:r w:rsidR="00B200E8" w:rsidRPr="00AE4E8D">
          <w:rPr>
            <w:webHidden/>
          </w:rPr>
          <w:tab/>
        </w:r>
        <w:r w:rsidR="00B200E8" w:rsidRPr="00AE4E8D">
          <w:rPr>
            <w:webHidden/>
          </w:rPr>
          <w:fldChar w:fldCharType="begin"/>
        </w:r>
        <w:r w:rsidR="00B200E8" w:rsidRPr="00AE4E8D">
          <w:rPr>
            <w:webHidden/>
          </w:rPr>
          <w:instrText xml:space="preserve"> PAGEREF _Toc495973035 \h </w:instrText>
        </w:r>
        <w:r w:rsidR="00B200E8" w:rsidRPr="00AE4E8D">
          <w:rPr>
            <w:webHidden/>
          </w:rPr>
        </w:r>
        <w:r w:rsidR="00B200E8" w:rsidRPr="00AE4E8D">
          <w:rPr>
            <w:webHidden/>
          </w:rPr>
          <w:fldChar w:fldCharType="separate"/>
        </w:r>
        <w:r w:rsidR="002A450F">
          <w:rPr>
            <w:webHidden/>
          </w:rPr>
          <w:t>157</w:t>
        </w:r>
        <w:r w:rsidR="00B200E8" w:rsidRPr="00AE4E8D">
          <w:rPr>
            <w:webHidden/>
          </w:rPr>
          <w:fldChar w:fldCharType="end"/>
        </w:r>
      </w:hyperlink>
    </w:p>
    <w:p w14:paraId="0A880897" w14:textId="77777777" w:rsidR="00B200E8" w:rsidRPr="00AE4E8D" w:rsidRDefault="003676BD" w:rsidP="000400C8">
      <w:pPr>
        <w:pStyle w:val="TDC2"/>
        <w:ind w:right="0"/>
        <w:rPr>
          <w:rFonts w:eastAsiaTheme="minorEastAsia"/>
          <w:lang w:val="es-AR"/>
        </w:rPr>
      </w:pPr>
      <w:hyperlink w:anchor="_Toc495973036" w:history="1">
        <w:r w:rsidR="00B200E8" w:rsidRPr="00AE4E8D">
          <w:rPr>
            <w:rStyle w:val="Hipervnculo"/>
          </w:rPr>
          <w:t>Redes de Sucursales</w:t>
        </w:r>
        <w:r w:rsidR="00B200E8" w:rsidRPr="00AE4E8D">
          <w:rPr>
            <w:webHidden/>
          </w:rPr>
          <w:tab/>
        </w:r>
        <w:r w:rsidR="00B200E8" w:rsidRPr="00AE4E8D">
          <w:rPr>
            <w:webHidden/>
          </w:rPr>
          <w:fldChar w:fldCharType="begin"/>
        </w:r>
        <w:r w:rsidR="00B200E8" w:rsidRPr="00AE4E8D">
          <w:rPr>
            <w:webHidden/>
          </w:rPr>
          <w:instrText xml:space="preserve"> PAGEREF _Toc495973036 \h </w:instrText>
        </w:r>
        <w:r w:rsidR="00B200E8" w:rsidRPr="00AE4E8D">
          <w:rPr>
            <w:webHidden/>
          </w:rPr>
        </w:r>
        <w:r w:rsidR="00B200E8" w:rsidRPr="00AE4E8D">
          <w:rPr>
            <w:webHidden/>
          </w:rPr>
          <w:fldChar w:fldCharType="separate"/>
        </w:r>
        <w:r w:rsidR="002A450F">
          <w:rPr>
            <w:webHidden/>
          </w:rPr>
          <w:t>157</w:t>
        </w:r>
        <w:r w:rsidR="00B200E8" w:rsidRPr="00AE4E8D">
          <w:rPr>
            <w:webHidden/>
          </w:rPr>
          <w:fldChar w:fldCharType="end"/>
        </w:r>
      </w:hyperlink>
    </w:p>
    <w:p w14:paraId="1FBE4CF8"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37" w:history="1">
        <w:r w:rsidR="00B200E8" w:rsidRPr="00AE4E8D">
          <w:rPr>
            <w:rStyle w:val="Hipervnculo"/>
            <w:rFonts w:ascii="Times New Roman" w:hAnsi="Times New Roman"/>
          </w:rPr>
          <w:t>DATOS SOBRE DIRECTORES, ADMINISTRADORES, GERENTES, ASESORES Y MIEMBROS DEL ÓRGANO DE FISCALIZACIÓN</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_Toc495973037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159</w:t>
        </w:r>
        <w:r w:rsidR="00B200E8" w:rsidRPr="00AE4E8D">
          <w:rPr>
            <w:rFonts w:ascii="Times New Roman" w:hAnsi="Times New Roman"/>
            <w:webHidden/>
          </w:rPr>
          <w:fldChar w:fldCharType="end"/>
        </w:r>
      </w:hyperlink>
    </w:p>
    <w:p w14:paraId="629B94D5" w14:textId="77777777" w:rsidR="00B200E8" w:rsidRPr="00AE4E8D" w:rsidRDefault="003676BD" w:rsidP="000400C8">
      <w:pPr>
        <w:pStyle w:val="TDC2"/>
        <w:ind w:right="0"/>
        <w:rPr>
          <w:rFonts w:eastAsiaTheme="minorEastAsia"/>
          <w:lang w:val="es-AR"/>
        </w:rPr>
      </w:pPr>
      <w:hyperlink w:anchor="_Toc495973038" w:history="1">
        <w:r w:rsidR="00B200E8" w:rsidRPr="00AE4E8D">
          <w:rPr>
            <w:rStyle w:val="Hipervnculo"/>
          </w:rPr>
          <w:t>a) Directorio</w:t>
        </w:r>
        <w:r w:rsidR="00B200E8" w:rsidRPr="00AE4E8D">
          <w:rPr>
            <w:webHidden/>
          </w:rPr>
          <w:tab/>
        </w:r>
        <w:r w:rsidR="00B200E8" w:rsidRPr="00AE4E8D">
          <w:rPr>
            <w:webHidden/>
          </w:rPr>
          <w:fldChar w:fldCharType="begin"/>
        </w:r>
        <w:r w:rsidR="00B200E8" w:rsidRPr="00AE4E8D">
          <w:rPr>
            <w:webHidden/>
          </w:rPr>
          <w:instrText xml:space="preserve"> PAGEREF _Toc495973038 \h </w:instrText>
        </w:r>
        <w:r w:rsidR="00B200E8" w:rsidRPr="00AE4E8D">
          <w:rPr>
            <w:webHidden/>
          </w:rPr>
        </w:r>
        <w:r w:rsidR="00B200E8" w:rsidRPr="00AE4E8D">
          <w:rPr>
            <w:webHidden/>
          </w:rPr>
          <w:fldChar w:fldCharType="separate"/>
        </w:r>
        <w:r w:rsidR="002A450F">
          <w:rPr>
            <w:webHidden/>
          </w:rPr>
          <w:t>159</w:t>
        </w:r>
        <w:r w:rsidR="00B200E8" w:rsidRPr="00AE4E8D">
          <w:rPr>
            <w:webHidden/>
          </w:rPr>
          <w:fldChar w:fldCharType="end"/>
        </w:r>
      </w:hyperlink>
    </w:p>
    <w:p w14:paraId="05A99CAA" w14:textId="77777777" w:rsidR="00B200E8" w:rsidRPr="00AE4E8D" w:rsidRDefault="003676BD" w:rsidP="000400C8">
      <w:pPr>
        <w:pStyle w:val="TDC2"/>
        <w:ind w:right="0"/>
        <w:rPr>
          <w:rFonts w:eastAsiaTheme="minorEastAsia"/>
          <w:lang w:val="es-AR"/>
        </w:rPr>
      </w:pPr>
      <w:hyperlink w:anchor="_Toc495973039" w:history="1">
        <w:r w:rsidR="00B200E8" w:rsidRPr="00AE4E8D">
          <w:rPr>
            <w:rStyle w:val="Hipervnculo"/>
          </w:rPr>
          <w:t>b) Comisión Fiscalizadora</w:t>
        </w:r>
        <w:r w:rsidR="00B200E8" w:rsidRPr="00AE4E8D">
          <w:rPr>
            <w:webHidden/>
          </w:rPr>
          <w:tab/>
        </w:r>
        <w:r w:rsidR="00B200E8" w:rsidRPr="00AE4E8D">
          <w:rPr>
            <w:webHidden/>
          </w:rPr>
          <w:fldChar w:fldCharType="begin"/>
        </w:r>
        <w:r w:rsidR="00B200E8" w:rsidRPr="00AE4E8D">
          <w:rPr>
            <w:webHidden/>
          </w:rPr>
          <w:instrText xml:space="preserve"> PAGEREF _Toc495973039 \h </w:instrText>
        </w:r>
        <w:r w:rsidR="00B200E8" w:rsidRPr="00AE4E8D">
          <w:rPr>
            <w:webHidden/>
          </w:rPr>
        </w:r>
        <w:r w:rsidR="00B200E8" w:rsidRPr="00AE4E8D">
          <w:rPr>
            <w:webHidden/>
          </w:rPr>
          <w:fldChar w:fldCharType="separate"/>
        </w:r>
        <w:r w:rsidR="002A450F">
          <w:rPr>
            <w:webHidden/>
          </w:rPr>
          <w:t>167</w:t>
        </w:r>
        <w:r w:rsidR="00B200E8" w:rsidRPr="00AE4E8D">
          <w:rPr>
            <w:webHidden/>
          </w:rPr>
          <w:fldChar w:fldCharType="end"/>
        </w:r>
      </w:hyperlink>
    </w:p>
    <w:p w14:paraId="56EBE97E" w14:textId="77777777" w:rsidR="00B200E8" w:rsidRPr="00AE4E8D" w:rsidRDefault="003676BD" w:rsidP="000400C8">
      <w:pPr>
        <w:pStyle w:val="TDC2"/>
        <w:ind w:right="0"/>
        <w:rPr>
          <w:rFonts w:eastAsiaTheme="minorEastAsia"/>
          <w:lang w:val="es-AR"/>
        </w:rPr>
      </w:pPr>
      <w:hyperlink w:anchor="_Toc495973040" w:history="1">
        <w:r w:rsidR="00B200E8" w:rsidRPr="00AE4E8D">
          <w:rPr>
            <w:rStyle w:val="Hipervnculo"/>
          </w:rPr>
          <w:t>c) Remuneración</w:t>
        </w:r>
        <w:r w:rsidR="00B200E8" w:rsidRPr="00AE4E8D">
          <w:rPr>
            <w:webHidden/>
          </w:rPr>
          <w:tab/>
        </w:r>
        <w:r w:rsidR="00B200E8" w:rsidRPr="00AE4E8D">
          <w:rPr>
            <w:webHidden/>
          </w:rPr>
          <w:fldChar w:fldCharType="begin"/>
        </w:r>
        <w:r w:rsidR="00B200E8" w:rsidRPr="00AE4E8D">
          <w:rPr>
            <w:webHidden/>
          </w:rPr>
          <w:instrText xml:space="preserve"> PAGEREF _Toc495973040 \h </w:instrText>
        </w:r>
        <w:r w:rsidR="00B200E8" w:rsidRPr="00AE4E8D">
          <w:rPr>
            <w:webHidden/>
          </w:rPr>
        </w:r>
        <w:r w:rsidR="00B200E8" w:rsidRPr="00AE4E8D">
          <w:rPr>
            <w:webHidden/>
          </w:rPr>
          <w:fldChar w:fldCharType="separate"/>
        </w:r>
        <w:r w:rsidR="002A450F">
          <w:rPr>
            <w:webHidden/>
          </w:rPr>
          <w:t>170</w:t>
        </w:r>
        <w:r w:rsidR="00B200E8" w:rsidRPr="00AE4E8D">
          <w:rPr>
            <w:webHidden/>
          </w:rPr>
          <w:fldChar w:fldCharType="end"/>
        </w:r>
      </w:hyperlink>
    </w:p>
    <w:p w14:paraId="33696868" w14:textId="77777777" w:rsidR="00B200E8" w:rsidRPr="00AE4E8D" w:rsidRDefault="003676BD" w:rsidP="000400C8">
      <w:pPr>
        <w:pStyle w:val="TDC2"/>
        <w:ind w:right="0"/>
        <w:rPr>
          <w:rFonts w:eastAsiaTheme="minorEastAsia"/>
          <w:lang w:val="es-AR"/>
        </w:rPr>
      </w:pPr>
      <w:hyperlink w:anchor="_Toc495973041" w:history="1">
        <w:r w:rsidR="00B200E8" w:rsidRPr="00AE4E8D">
          <w:rPr>
            <w:rStyle w:val="Hipervnculo"/>
          </w:rPr>
          <w:t>d) Otra Información Relativa al Órgano de Administración, Fiscalización y Comités Especiales</w:t>
        </w:r>
        <w:r w:rsidR="00B200E8" w:rsidRPr="00AE4E8D">
          <w:rPr>
            <w:webHidden/>
          </w:rPr>
          <w:tab/>
        </w:r>
        <w:r w:rsidR="00B200E8" w:rsidRPr="00AE4E8D">
          <w:rPr>
            <w:webHidden/>
          </w:rPr>
          <w:fldChar w:fldCharType="begin"/>
        </w:r>
        <w:r w:rsidR="00B200E8" w:rsidRPr="00AE4E8D">
          <w:rPr>
            <w:webHidden/>
          </w:rPr>
          <w:instrText xml:space="preserve"> PAGEREF _Toc495973041 \h </w:instrText>
        </w:r>
        <w:r w:rsidR="00B200E8" w:rsidRPr="00AE4E8D">
          <w:rPr>
            <w:webHidden/>
          </w:rPr>
        </w:r>
        <w:r w:rsidR="00B200E8" w:rsidRPr="00AE4E8D">
          <w:rPr>
            <w:webHidden/>
          </w:rPr>
          <w:fldChar w:fldCharType="separate"/>
        </w:r>
        <w:r w:rsidR="002A450F">
          <w:rPr>
            <w:webHidden/>
          </w:rPr>
          <w:t>171</w:t>
        </w:r>
        <w:r w:rsidR="00B200E8" w:rsidRPr="00AE4E8D">
          <w:rPr>
            <w:webHidden/>
          </w:rPr>
          <w:fldChar w:fldCharType="end"/>
        </w:r>
      </w:hyperlink>
    </w:p>
    <w:p w14:paraId="6DD72B41" w14:textId="77777777" w:rsidR="00B200E8" w:rsidRPr="00AE4E8D" w:rsidRDefault="003676BD" w:rsidP="000400C8">
      <w:pPr>
        <w:pStyle w:val="TDC2"/>
        <w:ind w:right="0"/>
        <w:rPr>
          <w:rFonts w:eastAsiaTheme="minorEastAsia"/>
          <w:lang w:val="es-AR"/>
        </w:rPr>
      </w:pPr>
      <w:hyperlink w:anchor="_Toc495973042" w:history="1">
        <w:r w:rsidR="00B200E8" w:rsidRPr="00AE4E8D">
          <w:rPr>
            <w:rStyle w:val="Hipervnculo"/>
          </w:rPr>
          <w:t>e) Empleados</w:t>
        </w:r>
        <w:r w:rsidR="00B200E8" w:rsidRPr="00AE4E8D">
          <w:rPr>
            <w:webHidden/>
          </w:rPr>
          <w:tab/>
        </w:r>
        <w:r w:rsidR="00B200E8" w:rsidRPr="00AE4E8D">
          <w:rPr>
            <w:webHidden/>
          </w:rPr>
          <w:fldChar w:fldCharType="begin"/>
        </w:r>
        <w:r w:rsidR="00B200E8" w:rsidRPr="00AE4E8D">
          <w:rPr>
            <w:webHidden/>
          </w:rPr>
          <w:instrText xml:space="preserve"> PAGEREF _Toc495973042 \h </w:instrText>
        </w:r>
        <w:r w:rsidR="00B200E8" w:rsidRPr="00AE4E8D">
          <w:rPr>
            <w:webHidden/>
          </w:rPr>
        </w:r>
        <w:r w:rsidR="00B200E8" w:rsidRPr="00AE4E8D">
          <w:rPr>
            <w:webHidden/>
          </w:rPr>
          <w:fldChar w:fldCharType="separate"/>
        </w:r>
        <w:r w:rsidR="002A450F">
          <w:rPr>
            <w:webHidden/>
          </w:rPr>
          <w:t>177</w:t>
        </w:r>
        <w:r w:rsidR="00B200E8" w:rsidRPr="00AE4E8D">
          <w:rPr>
            <w:webHidden/>
          </w:rPr>
          <w:fldChar w:fldCharType="end"/>
        </w:r>
      </w:hyperlink>
    </w:p>
    <w:p w14:paraId="72A355C5" w14:textId="77777777" w:rsidR="00B200E8" w:rsidRPr="00AE4E8D" w:rsidRDefault="003676BD" w:rsidP="000400C8">
      <w:pPr>
        <w:pStyle w:val="TDC2"/>
        <w:ind w:right="0"/>
        <w:rPr>
          <w:rFonts w:eastAsiaTheme="minorEastAsia"/>
          <w:lang w:val="es-AR"/>
        </w:rPr>
      </w:pPr>
      <w:hyperlink w:anchor="_Toc495973043" w:history="1">
        <w:r w:rsidR="00B200E8" w:rsidRPr="00AE4E8D">
          <w:rPr>
            <w:rStyle w:val="Hipervnculo"/>
          </w:rPr>
          <w:t>f) Propiedad accionaria</w:t>
        </w:r>
        <w:r w:rsidR="00B200E8" w:rsidRPr="00AE4E8D">
          <w:rPr>
            <w:webHidden/>
          </w:rPr>
          <w:tab/>
        </w:r>
        <w:r w:rsidR="00B200E8" w:rsidRPr="00AE4E8D">
          <w:rPr>
            <w:webHidden/>
          </w:rPr>
          <w:fldChar w:fldCharType="begin"/>
        </w:r>
        <w:r w:rsidR="00B200E8" w:rsidRPr="00AE4E8D">
          <w:rPr>
            <w:webHidden/>
          </w:rPr>
          <w:instrText xml:space="preserve"> PAGEREF _Toc495973043 \h </w:instrText>
        </w:r>
        <w:r w:rsidR="00B200E8" w:rsidRPr="00AE4E8D">
          <w:rPr>
            <w:webHidden/>
          </w:rPr>
        </w:r>
        <w:r w:rsidR="00B200E8" w:rsidRPr="00AE4E8D">
          <w:rPr>
            <w:webHidden/>
          </w:rPr>
          <w:fldChar w:fldCharType="separate"/>
        </w:r>
        <w:r w:rsidR="002A450F">
          <w:rPr>
            <w:webHidden/>
          </w:rPr>
          <w:t>177</w:t>
        </w:r>
        <w:r w:rsidR="00B200E8" w:rsidRPr="00AE4E8D">
          <w:rPr>
            <w:webHidden/>
          </w:rPr>
          <w:fldChar w:fldCharType="end"/>
        </w:r>
      </w:hyperlink>
    </w:p>
    <w:p w14:paraId="7F1E5BD3"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44" w:history="1">
        <w:r w:rsidR="00B200E8" w:rsidRPr="00AE4E8D">
          <w:rPr>
            <w:rStyle w:val="Hipervnculo"/>
            <w:rFonts w:ascii="Times New Roman" w:hAnsi="Times New Roman"/>
          </w:rPr>
          <w:t>ACCIONISTAS PRINCIPALES Y TRANSACCIONES CON PARTES RELACIONADAS</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_Toc495973044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179</w:t>
        </w:r>
        <w:r w:rsidR="00B200E8" w:rsidRPr="00AE4E8D">
          <w:rPr>
            <w:rFonts w:ascii="Times New Roman" w:hAnsi="Times New Roman"/>
            <w:webHidden/>
          </w:rPr>
          <w:fldChar w:fldCharType="end"/>
        </w:r>
      </w:hyperlink>
    </w:p>
    <w:p w14:paraId="4AB5B832" w14:textId="77777777" w:rsidR="00B200E8" w:rsidRPr="00AE4E8D" w:rsidRDefault="003676BD" w:rsidP="000400C8">
      <w:pPr>
        <w:pStyle w:val="TDC2"/>
        <w:ind w:right="0"/>
        <w:rPr>
          <w:rFonts w:eastAsiaTheme="minorEastAsia"/>
          <w:lang w:val="es-AR"/>
        </w:rPr>
      </w:pPr>
      <w:hyperlink w:anchor="_Toc495973045" w:history="1">
        <w:r w:rsidR="00B200E8" w:rsidRPr="00AE4E8D">
          <w:rPr>
            <w:rStyle w:val="Hipervnculo"/>
          </w:rPr>
          <w:t>a) Accionistas Principales</w:t>
        </w:r>
        <w:r w:rsidR="00B200E8" w:rsidRPr="00AE4E8D">
          <w:rPr>
            <w:webHidden/>
          </w:rPr>
          <w:tab/>
        </w:r>
        <w:r w:rsidR="00B200E8" w:rsidRPr="00AE4E8D">
          <w:rPr>
            <w:webHidden/>
          </w:rPr>
          <w:fldChar w:fldCharType="begin"/>
        </w:r>
        <w:r w:rsidR="00B200E8" w:rsidRPr="00AE4E8D">
          <w:rPr>
            <w:webHidden/>
          </w:rPr>
          <w:instrText xml:space="preserve"> PAGEREF _Toc495973045 \h </w:instrText>
        </w:r>
        <w:r w:rsidR="00B200E8" w:rsidRPr="00AE4E8D">
          <w:rPr>
            <w:webHidden/>
          </w:rPr>
        </w:r>
        <w:r w:rsidR="00B200E8" w:rsidRPr="00AE4E8D">
          <w:rPr>
            <w:webHidden/>
          </w:rPr>
          <w:fldChar w:fldCharType="separate"/>
        </w:r>
        <w:r w:rsidR="002A450F">
          <w:rPr>
            <w:webHidden/>
          </w:rPr>
          <w:t>179</w:t>
        </w:r>
        <w:r w:rsidR="00B200E8" w:rsidRPr="00AE4E8D">
          <w:rPr>
            <w:webHidden/>
          </w:rPr>
          <w:fldChar w:fldCharType="end"/>
        </w:r>
      </w:hyperlink>
    </w:p>
    <w:p w14:paraId="38682A76" w14:textId="77777777" w:rsidR="00B200E8" w:rsidRPr="00AE4E8D" w:rsidRDefault="003676BD" w:rsidP="000400C8">
      <w:pPr>
        <w:pStyle w:val="TDC2"/>
        <w:ind w:right="0"/>
        <w:rPr>
          <w:rFonts w:eastAsiaTheme="minorEastAsia"/>
          <w:lang w:val="es-AR"/>
        </w:rPr>
      </w:pPr>
      <w:hyperlink w:anchor="_Toc495973046" w:history="1">
        <w:r w:rsidR="00B200E8" w:rsidRPr="00AE4E8D">
          <w:rPr>
            <w:rStyle w:val="Hipervnculo"/>
          </w:rPr>
          <w:t>b) Transacciones con Partes Relacionadas</w:t>
        </w:r>
        <w:r w:rsidR="00B200E8" w:rsidRPr="00AE4E8D">
          <w:rPr>
            <w:webHidden/>
          </w:rPr>
          <w:tab/>
        </w:r>
        <w:r w:rsidR="00B200E8" w:rsidRPr="00AE4E8D">
          <w:rPr>
            <w:webHidden/>
          </w:rPr>
          <w:fldChar w:fldCharType="begin"/>
        </w:r>
        <w:r w:rsidR="00B200E8" w:rsidRPr="00AE4E8D">
          <w:rPr>
            <w:webHidden/>
          </w:rPr>
          <w:instrText xml:space="preserve"> PAGEREF _Toc495973046 \h </w:instrText>
        </w:r>
        <w:r w:rsidR="00B200E8" w:rsidRPr="00AE4E8D">
          <w:rPr>
            <w:webHidden/>
          </w:rPr>
        </w:r>
        <w:r w:rsidR="00B200E8" w:rsidRPr="00AE4E8D">
          <w:rPr>
            <w:webHidden/>
          </w:rPr>
          <w:fldChar w:fldCharType="separate"/>
        </w:r>
        <w:r w:rsidR="002A450F">
          <w:rPr>
            <w:webHidden/>
          </w:rPr>
          <w:t>181</w:t>
        </w:r>
        <w:r w:rsidR="00B200E8" w:rsidRPr="00AE4E8D">
          <w:rPr>
            <w:webHidden/>
          </w:rPr>
          <w:fldChar w:fldCharType="end"/>
        </w:r>
      </w:hyperlink>
    </w:p>
    <w:p w14:paraId="0F31B19C"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47" w:history="1">
        <w:r w:rsidR="00B200E8" w:rsidRPr="00AE4E8D">
          <w:rPr>
            <w:rStyle w:val="Hipervnculo"/>
            <w:rFonts w:ascii="Times New Roman" w:hAnsi="Times New Roman"/>
          </w:rPr>
          <w:t>MARCO REGULATORIO DEL SISTEMA FINANCIERO ARGENTINO</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_Toc495973047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184</w:t>
        </w:r>
        <w:r w:rsidR="00B200E8" w:rsidRPr="00AE4E8D">
          <w:rPr>
            <w:rFonts w:ascii="Times New Roman" w:hAnsi="Times New Roman"/>
            <w:webHidden/>
          </w:rPr>
          <w:fldChar w:fldCharType="end"/>
        </w:r>
      </w:hyperlink>
    </w:p>
    <w:p w14:paraId="00775EC1" w14:textId="77777777" w:rsidR="00B200E8" w:rsidRPr="00AE4E8D" w:rsidRDefault="003676BD" w:rsidP="000400C8">
      <w:pPr>
        <w:pStyle w:val="TDC2"/>
        <w:ind w:right="0"/>
        <w:rPr>
          <w:rFonts w:eastAsiaTheme="minorEastAsia"/>
          <w:lang w:val="es-AR"/>
        </w:rPr>
      </w:pPr>
      <w:hyperlink w:anchor="_Toc495973048" w:history="1">
        <w:r w:rsidR="00B200E8" w:rsidRPr="00AE4E8D">
          <w:rPr>
            <w:rStyle w:val="Hipervnculo"/>
          </w:rPr>
          <w:t>El Sistema Bancario Argentino</w:t>
        </w:r>
        <w:r w:rsidR="00B200E8" w:rsidRPr="00AE4E8D">
          <w:rPr>
            <w:webHidden/>
          </w:rPr>
          <w:tab/>
        </w:r>
        <w:r w:rsidR="00B200E8" w:rsidRPr="00AE4E8D">
          <w:rPr>
            <w:webHidden/>
          </w:rPr>
          <w:fldChar w:fldCharType="begin"/>
        </w:r>
        <w:r w:rsidR="00B200E8" w:rsidRPr="00AE4E8D">
          <w:rPr>
            <w:webHidden/>
          </w:rPr>
          <w:instrText xml:space="preserve"> PAGEREF _Toc495973048 \h </w:instrText>
        </w:r>
        <w:r w:rsidR="00B200E8" w:rsidRPr="00AE4E8D">
          <w:rPr>
            <w:webHidden/>
          </w:rPr>
        </w:r>
        <w:r w:rsidR="00B200E8" w:rsidRPr="00AE4E8D">
          <w:rPr>
            <w:webHidden/>
          </w:rPr>
          <w:fldChar w:fldCharType="separate"/>
        </w:r>
        <w:r w:rsidR="002A450F">
          <w:rPr>
            <w:webHidden/>
          </w:rPr>
          <w:t>184</w:t>
        </w:r>
        <w:r w:rsidR="00B200E8" w:rsidRPr="00AE4E8D">
          <w:rPr>
            <w:webHidden/>
          </w:rPr>
          <w:fldChar w:fldCharType="end"/>
        </w:r>
      </w:hyperlink>
    </w:p>
    <w:p w14:paraId="7E7AC49D" w14:textId="77777777" w:rsidR="00B200E8" w:rsidRPr="00AE4E8D" w:rsidRDefault="003676BD" w:rsidP="000400C8">
      <w:pPr>
        <w:pStyle w:val="TDC2"/>
        <w:ind w:right="0"/>
        <w:rPr>
          <w:rFonts w:eastAsiaTheme="minorEastAsia"/>
          <w:lang w:val="es-AR"/>
        </w:rPr>
      </w:pPr>
      <w:hyperlink w:anchor="_Toc495973049" w:history="1">
        <w:r w:rsidR="00B200E8" w:rsidRPr="00AE4E8D">
          <w:rPr>
            <w:rStyle w:val="Hipervnculo"/>
          </w:rPr>
          <w:t>Regulación del Sistema Bancario Argentino</w:t>
        </w:r>
        <w:r w:rsidR="00B200E8" w:rsidRPr="00AE4E8D">
          <w:rPr>
            <w:webHidden/>
          </w:rPr>
          <w:tab/>
        </w:r>
        <w:r w:rsidR="00B200E8" w:rsidRPr="00AE4E8D">
          <w:rPr>
            <w:webHidden/>
          </w:rPr>
          <w:fldChar w:fldCharType="begin"/>
        </w:r>
        <w:r w:rsidR="00B200E8" w:rsidRPr="00AE4E8D">
          <w:rPr>
            <w:webHidden/>
          </w:rPr>
          <w:instrText xml:space="preserve"> PAGEREF _Toc495973049 \h </w:instrText>
        </w:r>
        <w:r w:rsidR="00B200E8" w:rsidRPr="00AE4E8D">
          <w:rPr>
            <w:webHidden/>
          </w:rPr>
        </w:r>
        <w:r w:rsidR="00B200E8" w:rsidRPr="00AE4E8D">
          <w:rPr>
            <w:webHidden/>
          </w:rPr>
          <w:fldChar w:fldCharType="separate"/>
        </w:r>
        <w:r w:rsidR="002A450F">
          <w:rPr>
            <w:webHidden/>
          </w:rPr>
          <w:t>184</w:t>
        </w:r>
        <w:r w:rsidR="00B200E8" w:rsidRPr="00AE4E8D">
          <w:rPr>
            <w:webHidden/>
          </w:rPr>
          <w:fldChar w:fldCharType="end"/>
        </w:r>
      </w:hyperlink>
    </w:p>
    <w:p w14:paraId="46D5A536"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50" w:history="1">
        <w:r w:rsidR="00B200E8" w:rsidRPr="00AE4E8D">
          <w:rPr>
            <w:rStyle w:val="Hipervnculo"/>
            <w:rFonts w:ascii="Times New Roman" w:hAnsi="Times New Roman"/>
          </w:rPr>
          <w:t>EL SISTEMA ARGENTINO DE SEGUROS Y SU REGLAMENTACIÓN</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_Toc495973050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222</w:t>
        </w:r>
        <w:r w:rsidR="00B200E8" w:rsidRPr="00AE4E8D">
          <w:rPr>
            <w:rFonts w:ascii="Times New Roman" w:hAnsi="Times New Roman"/>
            <w:webHidden/>
          </w:rPr>
          <w:fldChar w:fldCharType="end"/>
        </w:r>
      </w:hyperlink>
    </w:p>
    <w:p w14:paraId="0D2FD679" w14:textId="77777777" w:rsidR="00B200E8" w:rsidRPr="00AE4E8D" w:rsidRDefault="003676BD" w:rsidP="000400C8">
      <w:pPr>
        <w:pStyle w:val="TDC2"/>
        <w:ind w:right="0"/>
        <w:rPr>
          <w:rFonts w:eastAsiaTheme="minorEastAsia"/>
          <w:lang w:val="es-AR"/>
        </w:rPr>
      </w:pPr>
      <w:hyperlink w:anchor="_Toc495973051" w:history="1">
        <w:r w:rsidR="00B200E8" w:rsidRPr="00AE4E8D">
          <w:rPr>
            <w:rStyle w:val="Hipervnculo"/>
          </w:rPr>
          <w:t>La Industria de Seguros</w:t>
        </w:r>
        <w:r w:rsidR="00B200E8" w:rsidRPr="00AE4E8D">
          <w:rPr>
            <w:webHidden/>
          </w:rPr>
          <w:tab/>
        </w:r>
        <w:r w:rsidR="00B200E8" w:rsidRPr="00AE4E8D">
          <w:rPr>
            <w:webHidden/>
          </w:rPr>
          <w:fldChar w:fldCharType="begin"/>
        </w:r>
        <w:r w:rsidR="00B200E8" w:rsidRPr="00AE4E8D">
          <w:rPr>
            <w:webHidden/>
          </w:rPr>
          <w:instrText xml:space="preserve"> PAGEREF _Toc495973051 \h </w:instrText>
        </w:r>
        <w:r w:rsidR="00B200E8" w:rsidRPr="00AE4E8D">
          <w:rPr>
            <w:webHidden/>
          </w:rPr>
        </w:r>
        <w:r w:rsidR="00B200E8" w:rsidRPr="00AE4E8D">
          <w:rPr>
            <w:webHidden/>
          </w:rPr>
          <w:fldChar w:fldCharType="separate"/>
        </w:r>
        <w:r w:rsidR="002A450F">
          <w:rPr>
            <w:webHidden/>
          </w:rPr>
          <w:t>222</w:t>
        </w:r>
        <w:r w:rsidR="00B200E8" w:rsidRPr="00AE4E8D">
          <w:rPr>
            <w:webHidden/>
          </w:rPr>
          <w:fldChar w:fldCharType="end"/>
        </w:r>
      </w:hyperlink>
    </w:p>
    <w:p w14:paraId="7F4388DD" w14:textId="77777777" w:rsidR="00B200E8" w:rsidRPr="00AE4E8D" w:rsidRDefault="003676BD" w:rsidP="000400C8">
      <w:pPr>
        <w:pStyle w:val="TDC2"/>
        <w:ind w:right="0"/>
        <w:rPr>
          <w:rFonts w:eastAsiaTheme="minorEastAsia"/>
          <w:lang w:val="es-AR"/>
        </w:rPr>
      </w:pPr>
      <w:hyperlink w:anchor="_Toc495973052" w:history="1">
        <w:r w:rsidR="00B200E8" w:rsidRPr="00AE4E8D">
          <w:rPr>
            <w:rStyle w:val="Hipervnculo"/>
          </w:rPr>
          <w:t>Superintendencia de Seguros de la Nación</w:t>
        </w:r>
        <w:r w:rsidR="00B200E8" w:rsidRPr="00AE4E8D">
          <w:rPr>
            <w:webHidden/>
          </w:rPr>
          <w:tab/>
        </w:r>
        <w:r w:rsidR="00B200E8" w:rsidRPr="00AE4E8D">
          <w:rPr>
            <w:webHidden/>
          </w:rPr>
          <w:fldChar w:fldCharType="begin"/>
        </w:r>
        <w:r w:rsidR="00B200E8" w:rsidRPr="00AE4E8D">
          <w:rPr>
            <w:webHidden/>
          </w:rPr>
          <w:instrText xml:space="preserve"> PAGEREF _Toc495973052 \h </w:instrText>
        </w:r>
        <w:r w:rsidR="00B200E8" w:rsidRPr="00AE4E8D">
          <w:rPr>
            <w:webHidden/>
          </w:rPr>
        </w:r>
        <w:r w:rsidR="00B200E8" w:rsidRPr="00AE4E8D">
          <w:rPr>
            <w:webHidden/>
          </w:rPr>
          <w:fldChar w:fldCharType="separate"/>
        </w:r>
        <w:r w:rsidR="002A450F">
          <w:rPr>
            <w:webHidden/>
          </w:rPr>
          <w:t>222</w:t>
        </w:r>
        <w:r w:rsidR="00B200E8" w:rsidRPr="00AE4E8D">
          <w:rPr>
            <w:webHidden/>
          </w:rPr>
          <w:fldChar w:fldCharType="end"/>
        </w:r>
      </w:hyperlink>
    </w:p>
    <w:p w14:paraId="5CE68D3B" w14:textId="77777777" w:rsidR="00B200E8" w:rsidRPr="00AE4E8D" w:rsidRDefault="003676BD" w:rsidP="000400C8">
      <w:pPr>
        <w:pStyle w:val="TDC2"/>
        <w:ind w:right="0"/>
        <w:rPr>
          <w:rFonts w:eastAsiaTheme="minorEastAsia"/>
          <w:lang w:val="es-AR"/>
        </w:rPr>
      </w:pPr>
      <w:hyperlink w:anchor="_Toc495973053" w:history="1">
        <w:r w:rsidR="00B200E8" w:rsidRPr="00AE4E8D">
          <w:rPr>
            <w:rStyle w:val="Hipervnculo"/>
          </w:rPr>
          <w:t>Reservas Requeridas</w:t>
        </w:r>
        <w:r w:rsidR="00B200E8" w:rsidRPr="00AE4E8D">
          <w:rPr>
            <w:webHidden/>
          </w:rPr>
          <w:tab/>
        </w:r>
        <w:r w:rsidR="00B200E8" w:rsidRPr="00AE4E8D">
          <w:rPr>
            <w:webHidden/>
          </w:rPr>
          <w:fldChar w:fldCharType="begin"/>
        </w:r>
        <w:r w:rsidR="00B200E8" w:rsidRPr="00AE4E8D">
          <w:rPr>
            <w:webHidden/>
          </w:rPr>
          <w:instrText xml:space="preserve"> PAGEREF _Toc495973053 \h </w:instrText>
        </w:r>
        <w:r w:rsidR="00B200E8" w:rsidRPr="00AE4E8D">
          <w:rPr>
            <w:webHidden/>
          </w:rPr>
        </w:r>
        <w:r w:rsidR="00B200E8" w:rsidRPr="00AE4E8D">
          <w:rPr>
            <w:webHidden/>
          </w:rPr>
          <w:fldChar w:fldCharType="separate"/>
        </w:r>
        <w:r w:rsidR="002A450F">
          <w:rPr>
            <w:webHidden/>
          </w:rPr>
          <w:t>223</w:t>
        </w:r>
        <w:r w:rsidR="00B200E8" w:rsidRPr="00AE4E8D">
          <w:rPr>
            <w:webHidden/>
          </w:rPr>
          <w:fldChar w:fldCharType="end"/>
        </w:r>
      </w:hyperlink>
    </w:p>
    <w:p w14:paraId="13C4EF85" w14:textId="77777777" w:rsidR="00B200E8" w:rsidRPr="00AE4E8D" w:rsidRDefault="003676BD" w:rsidP="000400C8">
      <w:pPr>
        <w:pStyle w:val="TDC2"/>
        <w:ind w:right="0"/>
        <w:rPr>
          <w:rFonts w:eastAsiaTheme="minorEastAsia"/>
          <w:lang w:val="es-AR"/>
        </w:rPr>
      </w:pPr>
      <w:hyperlink w:anchor="_Toc495973054" w:history="1">
        <w:r w:rsidR="00B200E8" w:rsidRPr="00AE4E8D">
          <w:rPr>
            <w:rStyle w:val="Hipervnculo"/>
          </w:rPr>
          <w:t>Requisitos de Capital Mínimo</w:t>
        </w:r>
        <w:r w:rsidR="00B200E8" w:rsidRPr="00AE4E8D">
          <w:rPr>
            <w:webHidden/>
          </w:rPr>
          <w:tab/>
        </w:r>
        <w:r w:rsidR="00B200E8" w:rsidRPr="00AE4E8D">
          <w:rPr>
            <w:webHidden/>
          </w:rPr>
          <w:fldChar w:fldCharType="begin"/>
        </w:r>
        <w:r w:rsidR="00B200E8" w:rsidRPr="00AE4E8D">
          <w:rPr>
            <w:webHidden/>
          </w:rPr>
          <w:instrText xml:space="preserve"> PAGEREF _Toc495973054 \h </w:instrText>
        </w:r>
        <w:r w:rsidR="00B200E8" w:rsidRPr="00AE4E8D">
          <w:rPr>
            <w:webHidden/>
          </w:rPr>
        </w:r>
        <w:r w:rsidR="00B200E8" w:rsidRPr="00AE4E8D">
          <w:rPr>
            <w:webHidden/>
          </w:rPr>
          <w:fldChar w:fldCharType="separate"/>
        </w:r>
        <w:r w:rsidR="002A450F">
          <w:rPr>
            <w:webHidden/>
          </w:rPr>
          <w:t>224</w:t>
        </w:r>
        <w:r w:rsidR="00B200E8" w:rsidRPr="00AE4E8D">
          <w:rPr>
            <w:webHidden/>
          </w:rPr>
          <w:fldChar w:fldCharType="end"/>
        </w:r>
      </w:hyperlink>
    </w:p>
    <w:p w14:paraId="0525880D"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55" w:history="1">
        <w:r w:rsidR="00B200E8" w:rsidRPr="00AE4E8D">
          <w:rPr>
            <w:rStyle w:val="Hipervnculo"/>
            <w:rFonts w:ascii="Times New Roman" w:hAnsi="Times New Roman"/>
          </w:rPr>
          <w:t>INFORMACIÓN CONTABLE</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_Toc495973055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226</w:t>
        </w:r>
        <w:r w:rsidR="00B200E8" w:rsidRPr="00AE4E8D">
          <w:rPr>
            <w:rFonts w:ascii="Times New Roman" w:hAnsi="Times New Roman"/>
            <w:webHidden/>
          </w:rPr>
          <w:fldChar w:fldCharType="end"/>
        </w:r>
      </w:hyperlink>
    </w:p>
    <w:p w14:paraId="0BE1202F" w14:textId="77777777" w:rsidR="00B200E8" w:rsidRPr="00AE4E8D" w:rsidRDefault="003676BD" w:rsidP="000400C8">
      <w:pPr>
        <w:pStyle w:val="TDC2"/>
        <w:ind w:right="0"/>
        <w:rPr>
          <w:rFonts w:eastAsiaTheme="minorEastAsia"/>
          <w:lang w:val="es-AR"/>
        </w:rPr>
      </w:pPr>
      <w:hyperlink w:anchor="_Toc495973056" w:history="1">
        <w:r w:rsidR="00B200E8" w:rsidRPr="00AE4E8D">
          <w:rPr>
            <w:rStyle w:val="Hipervnculo"/>
          </w:rPr>
          <w:t>a) Estados contables y otra información contable</w:t>
        </w:r>
        <w:r w:rsidR="00B200E8" w:rsidRPr="00AE4E8D">
          <w:rPr>
            <w:webHidden/>
          </w:rPr>
          <w:tab/>
        </w:r>
        <w:r w:rsidR="00B200E8" w:rsidRPr="00AE4E8D">
          <w:rPr>
            <w:webHidden/>
          </w:rPr>
          <w:fldChar w:fldCharType="begin"/>
        </w:r>
        <w:r w:rsidR="00B200E8" w:rsidRPr="00AE4E8D">
          <w:rPr>
            <w:webHidden/>
          </w:rPr>
          <w:instrText xml:space="preserve"> PAGEREF _Toc495973056 \h </w:instrText>
        </w:r>
        <w:r w:rsidR="00B200E8" w:rsidRPr="00AE4E8D">
          <w:rPr>
            <w:webHidden/>
          </w:rPr>
        </w:r>
        <w:r w:rsidR="00B200E8" w:rsidRPr="00AE4E8D">
          <w:rPr>
            <w:webHidden/>
          </w:rPr>
          <w:fldChar w:fldCharType="separate"/>
        </w:r>
        <w:r w:rsidR="002A450F">
          <w:rPr>
            <w:webHidden/>
          </w:rPr>
          <w:t>226</w:t>
        </w:r>
        <w:r w:rsidR="00B200E8" w:rsidRPr="00AE4E8D">
          <w:rPr>
            <w:webHidden/>
          </w:rPr>
          <w:fldChar w:fldCharType="end"/>
        </w:r>
      </w:hyperlink>
    </w:p>
    <w:p w14:paraId="569C6D29" w14:textId="77777777" w:rsidR="00B200E8" w:rsidRPr="00AE4E8D" w:rsidRDefault="003676BD" w:rsidP="000400C8">
      <w:pPr>
        <w:pStyle w:val="TDC2"/>
        <w:ind w:right="0"/>
        <w:rPr>
          <w:rFonts w:eastAsiaTheme="minorEastAsia"/>
          <w:lang w:val="es-AR"/>
        </w:rPr>
      </w:pPr>
      <w:hyperlink w:anchor="_Toc495973057" w:history="1">
        <w:r w:rsidR="00B200E8" w:rsidRPr="00AE4E8D">
          <w:rPr>
            <w:rStyle w:val="Hipervnculo"/>
          </w:rPr>
          <w:t>b) Cambios Significativos</w:t>
        </w:r>
        <w:r w:rsidR="00B200E8" w:rsidRPr="00AE4E8D">
          <w:rPr>
            <w:webHidden/>
          </w:rPr>
          <w:tab/>
        </w:r>
        <w:r w:rsidR="00B200E8" w:rsidRPr="00AE4E8D">
          <w:rPr>
            <w:webHidden/>
          </w:rPr>
          <w:fldChar w:fldCharType="begin"/>
        </w:r>
        <w:r w:rsidR="00B200E8" w:rsidRPr="00AE4E8D">
          <w:rPr>
            <w:webHidden/>
          </w:rPr>
          <w:instrText xml:space="preserve"> PAGEREF _Toc495973057 \h </w:instrText>
        </w:r>
        <w:r w:rsidR="00B200E8" w:rsidRPr="00AE4E8D">
          <w:rPr>
            <w:webHidden/>
          </w:rPr>
        </w:r>
        <w:r w:rsidR="00B200E8" w:rsidRPr="00AE4E8D">
          <w:rPr>
            <w:webHidden/>
          </w:rPr>
          <w:fldChar w:fldCharType="separate"/>
        </w:r>
        <w:r w:rsidR="002A450F">
          <w:rPr>
            <w:webHidden/>
          </w:rPr>
          <w:t>230</w:t>
        </w:r>
        <w:r w:rsidR="00B200E8" w:rsidRPr="00AE4E8D">
          <w:rPr>
            <w:webHidden/>
          </w:rPr>
          <w:fldChar w:fldCharType="end"/>
        </w:r>
      </w:hyperlink>
    </w:p>
    <w:p w14:paraId="4A149FAD"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58" w:history="1">
        <w:r w:rsidR="00B200E8" w:rsidRPr="00AE4E8D">
          <w:rPr>
            <w:rStyle w:val="Hipervnculo"/>
            <w:rFonts w:ascii="Times New Roman" w:hAnsi="Times New Roman"/>
          </w:rPr>
          <w:t>DE LA OFERTA Y LA NEGOCIACIÓN</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_Toc495973058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231</w:t>
        </w:r>
        <w:r w:rsidR="00B200E8" w:rsidRPr="00AE4E8D">
          <w:rPr>
            <w:rFonts w:ascii="Times New Roman" w:hAnsi="Times New Roman"/>
            <w:webHidden/>
          </w:rPr>
          <w:fldChar w:fldCharType="end"/>
        </w:r>
      </w:hyperlink>
    </w:p>
    <w:p w14:paraId="143E8B43" w14:textId="77777777" w:rsidR="00B200E8" w:rsidRPr="00AE4E8D" w:rsidRDefault="003676BD" w:rsidP="000400C8">
      <w:pPr>
        <w:pStyle w:val="TDC2"/>
        <w:ind w:right="0"/>
        <w:rPr>
          <w:rFonts w:eastAsiaTheme="minorEastAsia"/>
          <w:lang w:val="es-AR"/>
        </w:rPr>
      </w:pPr>
      <w:hyperlink w:anchor="_Toc495973059" w:history="1">
        <w:r w:rsidR="00B200E8" w:rsidRPr="00AE4E8D">
          <w:rPr>
            <w:rStyle w:val="Hipervnculo"/>
          </w:rPr>
          <w:t>a) Descripción de las Obligaciones Negociables</w:t>
        </w:r>
        <w:r w:rsidR="00B200E8" w:rsidRPr="00AE4E8D">
          <w:rPr>
            <w:webHidden/>
          </w:rPr>
          <w:tab/>
        </w:r>
        <w:r w:rsidR="00B200E8" w:rsidRPr="00AE4E8D">
          <w:rPr>
            <w:webHidden/>
          </w:rPr>
          <w:fldChar w:fldCharType="begin"/>
        </w:r>
        <w:r w:rsidR="00B200E8" w:rsidRPr="00AE4E8D">
          <w:rPr>
            <w:webHidden/>
          </w:rPr>
          <w:instrText xml:space="preserve"> PAGEREF _Toc495973059 \h </w:instrText>
        </w:r>
        <w:r w:rsidR="00B200E8" w:rsidRPr="00AE4E8D">
          <w:rPr>
            <w:webHidden/>
          </w:rPr>
        </w:r>
        <w:r w:rsidR="00B200E8" w:rsidRPr="00AE4E8D">
          <w:rPr>
            <w:webHidden/>
          </w:rPr>
          <w:fldChar w:fldCharType="separate"/>
        </w:r>
        <w:r w:rsidR="002A450F">
          <w:rPr>
            <w:webHidden/>
          </w:rPr>
          <w:t>231</w:t>
        </w:r>
        <w:r w:rsidR="00B200E8" w:rsidRPr="00AE4E8D">
          <w:rPr>
            <w:webHidden/>
          </w:rPr>
          <w:fldChar w:fldCharType="end"/>
        </w:r>
      </w:hyperlink>
    </w:p>
    <w:p w14:paraId="3E7153E5" w14:textId="77777777" w:rsidR="00B200E8" w:rsidRPr="00AE4E8D" w:rsidRDefault="003676BD" w:rsidP="000400C8">
      <w:pPr>
        <w:pStyle w:val="TDC2"/>
        <w:ind w:right="0"/>
        <w:rPr>
          <w:rFonts w:eastAsiaTheme="minorEastAsia"/>
          <w:lang w:val="es-AR"/>
        </w:rPr>
      </w:pPr>
      <w:hyperlink w:anchor="_Toc495973060" w:history="1">
        <w:r w:rsidR="00B200E8" w:rsidRPr="00AE4E8D">
          <w:rPr>
            <w:rStyle w:val="Hipervnculo"/>
          </w:rPr>
          <w:t>b) Plan de Distribución</w:t>
        </w:r>
        <w:r w:rsidR="00B200E8" w:rsidRPr="00AE4E8D">
          <w:rPr>
            <w:webHidden/>
          </w:rPr>
          <w:tab/>
        </w:r>
        <w:r w:rsidR="00B200E8" w:rsidRPr="00AE4E8D">
          <w:rPr>
            <w:webHidden/>
          </w:rPr>
          <w:fldChar w:fldCharType="begin"/>
        </w:r>
        <w:r w:rsidR="00B200E8" w:rsidRPr="00AE4E8D">
          <w:rPr>
            <w:webHidden/>
          </w:rPr>
          <w:instrText xml:space="preserve"> PAGEREF _Toc495973060 \h </w:instrText>
        </w:r>
        <w:r w:rsidR="00B200E8" w:rsidRPr="00AE4E8D">
          <w:rPr>
            <w:webHidden/>
          </w:rPr>
        </w:r>
        <w:r w:rsidR="00B200E8" w:rsidRPr="00AE4E8D">
          <w:rPr>
            <w:webHidden/>
          </w:rPr>
          <w:fldChar w:fldCharType="separate"/>
        </w:r>
        <w:r w:rsidR="002A450F">
          <w:rPr>
            <w:webHidden/>
          </w:rPr>
          <w:t>249</w:t>
        </w:r>
        <w:r w:rsidR="00B200E8" w:rsidRPr="00AE4E8D">
          <w:rPr>
            <w:webHidden/>
          </w:rPr>
          <w:fldChar w:fldCharType="end"/>
        </w:r>
      </w:hyperlink>
    </w:p>
    <w:p w14:paraId="1CAC47C5"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61" w:history="1">
        <w:r w:rsidR="00B200E8" w:rsidRPr="00AE4E8D">
          <w:rPr>
            <w:rStyle w:val="Hipervnculo"/>
            <w:rFonts w:ascii="Times New Roman" w:hAnsi="Times New Roman"/>
          </w:rPr>
          <w:t>SUSCRIPCIÓN Y VENTA</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_Toc495973061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250</w:t>
        </w:r>
        <w:r w:rsidR="00B200E8" w:rsidRPr="00AE4E8D">
          <w:rPr>
            <w:rFonts w:ascii="Times New Roman" w:hAnsi="Times New Roman"/>
            <w:webHidden/>
          </w:rPr>
          <w:fldChar w:fldCharType="end"/>
        </w:r>
      </w:hyperlink>
    </w:p>
    <w:p w14:paraId="184A004C" w14:textId="77777777" w:rsidR="00B200E8" w:rsidRPr="00AE4E8D" w:rsidRDefault="003676BD" w:rsidP="000400C8">
      <w:pPr>
        <w:pStyle w:val="TDC2"/>
        <w:ind w:right="0"/>
        <w:rPr>
          <w:rFonts w:eastAsiaTheme="minorEastAsia"/>
          <w:lang w:val="es-AR"/>
        </w:rPr>
      </w:pPr>
      <w:hyperlink w:anchor="_Toc495973062" w:history="1">
        <w:r w:rsidR="00B200E8" w:rsidRPr="00AE4E8D">
          <w:rPr>
            <w:rStyle w:val="Hipervnculo"/>
          </w:rPr>
          <w:t>Estados Unidos de América</w:t>
        </w:r>
        <w:r w:rsidR="00B200E8" w:rsidRPr="00AE4E8D">
          <w:rPr>
            <w:webHidden/>
          </w:rPr>
          <w:tab/>
        </w:r>
        <w:r w:rsidR="00B200E8" w:rsidRPr="00AE4E8D">
          <w:rPr>
            <w:webHidden/>
          </w:rPr>
          <w:fldChar w:fldCharType="begin"/>
        </w:r>
        <w:r w:rsidR="00B200E8" w:rsidRPr="00AE4E8D">
          <w:rPr>
            <w:webHidden/>
          </w:rPr>
          <w:instrText xml:space="preserve"> PAGEREF _Toc495973062 \h </w:instrText>
        </w:r>
        <w:r w:rsidR="00B200E8" w:rsidRPr="00AE4E8D">
          <w:rPr>
            <w:webHidden/>
          </w:rPr>
        </w:r>
        <w:r w:rsidR="00B200E8" w:rsidRPr="00AE4E8D">
          <w:rPr>
            <w:webHidden/>
          </w:rPr>
          <w:fldChar w:fldCharType="separate"/>
        </w:r>
        <w:r w:rsidR="002A450F">
          <w:rPr>
            <w:webHidden/>
          </w:rPr>
          <w:t>251</w:t>
        </w:r>
        <w:r w:rsidR="00B200E8" w:rsidRPr="00AE4E8D">
          <w:rPr>
            <w:webHidden/>
          </w:rPr>
          <w:fldChar w:fldCharType="end"/>
        </w:r>
      </w:hyperlink>
    </w:p>
    <w:p w14:paraId="69FA3222" w14:textId="77777777" w:rsidR="00B200E8" w:rsidRPr="00AE4E8D" w:rsidRDefault="003676BD" w:rsidP="000400C8">
      <w:pPr>
        <w:pStyle w:val="TDC2"/>
        <w:ind w:right="0"/>
        <w:rPr>
          <w:rFonts w:eastAsiaTheme="minorEastAsia"/>
          <w:lang w:val="es-AR"/>
        </w:rPr>
      </w:pPr>
      <w:hyperlink w:anchor="_Toc495973063" w:history="1">
        <w:r w:rsidR="00B200E8" w:rsidRPr="00AE4E8D">
          <w:rPr>
            <w:rStyle w:val="Hipervnculo"/>
          </w:rPr>
          <w:t>Argentina</w:t>
        </w:r>
        <w:r w:rsidR="00B200E8" w:rsidRPr="00AE4E8D">
          <w:rPr>
            <w:webHidden/>
          </w:rPr>
          <w:tab/>
        </w:r>
        <w:r w:rsidR="00B200E8" w:rsidRPr="00AE4E8D">
          <w:rPr>
            <w:webHidden/>
          </w:rPr>
          <w:fldChar w:fldCharType="begin"/>
        </w:r>
        <w:r w:rsidR="00B200E8" w:rsidRPr="00AE4E8D">
          <w:rPr>
            <w:webHidden/>
          </w:rPr>
          <w:instrText xml:space="preserve"> PAGEREF _Toc495973063 \h </w:instrText>
        </w:r>
        <w:r w:rsidR="00B200E8" w:rsidRPr="00AE4E8D">
          <w:rPr>
            <w:webHidden/>
          </w:rPr>
        </w:r>
        <w:r w:rsidR="00B200E8" w:rsidRPr="00AE4E8D">
          <w:rPr>
            <w:webHidden/>
          </w:rPr>
          <w:fldChar w:fldCharType="separate"/>
        </w:r>
        <w:r w:rsidR="002A450F">
          <w:rPr>
            <w:webHidden/>
          </w:rPr>
          <w:t>252</w:t>
        </w:r>
        <w:r w:rsidR="00B200E8" w:rsidRPr="00AE4E8D">
          <w:rPr>
            <w:webHidden/>
          </w:rPr>
          <w:fldChar w:fldCharType="end"/>
        </w:r>
      </w:hyperlink>
    </w:p>
    <w:p w14:paraId="3E6229FA" w14:textId="77777777" w:rsidR="00B200E8" w:rsidRPr="00AE4E8D" w:rsidRDefault="003676BD" w:rsidP="000400C8">
      <w:pPr>
        <w:pStyle w:val="TDC2"/>
        <w:ind w:right="0"/>
        <w:rPr>
          <w:rFonts w:eastAsiaTheme="minorEastAsia"/>
          <w:lang w:val="es-AR"/>
        </w:rPr>
      </w:pPr>
      <w:hyperlink w:anchor="_Toc495973064" w:history="1">
        <w:r w:rsidR="00B200E8" w:rsidRPr="00AE4E8D">
          <w:rPr>
            <w:rStyle w:val="Hipervnculo"/>
          </w:rPr>
          <w:t>Área Económica Europea</w:t>
        </w:r>
        <w:r w:rsidR="00B200E8" w:rsidRPr="00AE4E8D">
          <w:rPr>
            <w:webHidden/>
          </w:rPr>
          <w:tab/>
        </w:r>
        <w:r w:rsidR="00B200E8" w:rsidRPr="00AE4E8D">
          <w:rPr>
            <w:webHidden/>
          </w:rPr>
          <w:fldChar w:fldCharType="begin"/>
        </w:r>
        <w:r w:rsidR="00B200E8" w:rsidRPr="00AE4E8D">
          <w:rPr>
            <w:webHidden/>
          </w:rPr>
          <w:instrText xml:space="preserve"> PAGEREF _Toc495973064 \h </w:instrText>
        </w:r>
        <w:r w:rsidR="00B200E8" w:rsidRPr="00AE4E8D">
          <w:rPr>
            <w:webHidden/>
          </w:rPr>
        </w:r>
        <w:r w:rsidR="00B200E8" w:rsidRPr="00AE4E8D">
          <w:rPr>
            <w:webHidden/>
          </w:rPr>
          <w:fldChar w:fldCharType="separate"/>
        </w:r>
        <w:r w:rsidR="002A450F">
          <w:rPr>
            <w:webHidden/>
          </w:rPr>
          <w:t>253</w:t>
        </w:r>
        <w:r w:rsidR="00B200E8" w:rsidRPr="00AE4E8D">
          <w:rPr>
            <w:webHidden/>
          </w:rPr>
          <w:fldChar w:fldCharType="end"/>
        </w:r>
      </w:hyperlink>
    </w:p>
    <w:p w14:paraId="56F13DAD" w14:textId="77777777" w:rsidR="00B200E8" w:rsidRPr="00AE4E8D" w:rsidRDefault="003676BD" w:rsidP="000400C8">
      <w:pPr>
        <w:pStyle w:val="TDC2"/>
        <w:ind w:right="0"/>
        <w:rPr>
          <w:rFonts w:eastAsiaTheme="minorEastAsia"/>
          <w:lang w:val="es-AR"/>
        </w:rPr>
      </w:pPr>
      <w:hyperlink w:anchor="_Toc495973065" w:history="1">
        <w:r w:rsidR="00B200E8" w:rsidRPr="00AE4E8D">
          <w:rPr>
            <w:rStyle w:val="Hipervnculo"/>
          </w:rPr>
          <w:t>Reino Unido</w:t>
        </w:r>
        <w:r w:rsidR="00B200E8" w:rsidRPr="00AE4E8D">
          <w:rPr>
            <w:webHidden/>
          </w:rPr>
          <w:tab/>
        </w:r>
        <w:r w:rsidR="00B200E8" w:rsidRPr="00AE4E8D">
          <w:rPr>
            <w:webHidden/>
          </w:rPr>
          <w:fldChar w:fldCharType="begin"/>
        </w:r>
        <w:r w:rsidR="00B200E8" w:rsidRPr="00AE4E8D">
          <w:rPr>
            <w:webHidden/>
          </w:rPr>
          <w:instrText xml:space="preserve"> PAGEREF _Toc495973065 \h </w:instrText>
        </w:r>
        <w:r w:rsidR="00B200E8" w:rsidRPr="00AE4E8D">
          <w:rPr>
            <w:webHidden/>
          </w:rPr>
        </w:r>
        <w:r w:rsidR="00B200E8" w:rsidRPr="00AE4E8D">
          <w:rPr>
            <w:webHidden/>
          </w:rPr>
          <w:fldChar w:fldCharType="separate"/>
        </w:r>
        <w:r w:rsidR="002A450F">
          <w:rPr>
            <w:webHidden/>
          </w:rPr>
          <w:t>253</w:t>
        </w:r>
        <w:r w:rsidR="00B200E8" w:rsidRPr="00AE4E8D">
          <w:rPr>
            <w:webHidden/>
          </w:rPr>
          <w:fldChar w:fldCharType="end"/>
        </w:r>
      </w:hyperlink>
    </w:p>
    <w:p w14:paraId="7FD7F83A" w14:textId="77777777" w:rsidR="00B200E8" w:rsidRPr="00AE4E8D" w:rsidRDefault="003676BD" w:rsidP="000400C8">
      <w:pPr>
        <w:pStyle w:val="TDC2"/>
        <w:ind w:right="0"/>
        <w:rPr>
          <w:rFonts w:eastAsiaTheme="minorEastAsia"/>
          <w:lang w:val="es-AR"/>
        </w:rPr>
      </w:pPr>
      <w:hyperlink w:anchor="_Toc495973066" w:history="1">
        <w:r w:rsidR="00B200E8" w:rsidRPr="00AE4E8D">
          <w:rPr>
            <w:rStyle w:val="Hipervnculo"/>
          </w:rPr>
          <w:t>Canadá</w:t>
        </w:r>
        <w:r w:rsidR="00B200E8" w:rsidRPr="00AE4E8D">
          <w:rPr>
            <w:webHidden/>
          </w:rPr>
          <w:tab/>
        </w:r>
        <w:r w:rsidR="00B200E8" w:rsidRPr="00AE4E8D">
          <w:rPr>
            <w:webHidden/>
          </w:rPr>
          <w:fldChar w:fldCharType="begin"/>
        </w:r>
        <w:r w:rsidR="00B200E8" w:rsidRPr="00AE4E8D">
          <w:rPr>
            <w:webHidden/>
          </w:rPr>
          <w:instrText xml:space="preserve"> PAGEREF _Toc495973066 \h </w:instrText>
        </w:r>
        <w:r w:rsidR="00B200E8" w:rsidRPr="00AE4E8D">
          <w:rPr>
            <w:webHidden/>
          </w:rPr>
        </w:r>
        <w:r w:rsidR="00B200E8" w:rsidRPr="00AE4E8D">
          <w:rPr>
            <w:webHidden/>
          </w:rPr>
          <w:fldChar w:fldCharType="separate"/>
        </w:r>
        <w:r w:rsidR="002A450F">
          <w:rPr>
            <w:webHidden/>
          </w:rPr>
          <w:t>254</w:t>
        </w:r>
        <w:r w:rsidR="00B200E8" w:rsidRPr="00AE4E8D">
          <w:rPr>
            <w:webHidden/>
          </w:rPr>
          <w:fldChar w:fldCharType="end"/>
        </w:r>
      </w:hyperlink>
    </w:p>
    <w:p w14:paraId="1B5AB5DE" w14:textId="77777777" w:rsidR="00B200E8" w:rsidRPr="00AE4E8D" w:rsidRDefault="003676BD" w:rsidP="000400C8">
      <w:pPr>
        <w:pStyle w:val="TDC2"/>
        <w:ind w:right="0"/>
        <w:rPr>
          <w:rFonts w:eastAsiaTheme="minorEastAsia"/>
          <w:lang w:val="es-AR"/>
        </w:rPr>
      </w:pPr>
      <w:hyperlink w:anchor="_Toc495973067" w:history="1">
        <w:r w:rsidR="00B200E8" w:rsidRPr="00AE4E8D">
          <w:rPr>
            <w:rStyle w:val="Hipervnculo"/>
          </w:rPr>
          <w:t>Otras Jurisdicciones</w:t>
        </w:r>
        <w:r w:rsidR="00B200E8" w:rsidRPr="00AE4E8D">
          <w:rPr>
            <w:webHidden/>
          </w:rPr>
          <w:tab/>
        </w:r>
        <w:r w:rsidR="00B200E8" w:rsidRPr="00AE4E8D">
          <w:rPr>
            <w:webHidden/>
          </w:rPr>
          <w:fldChar w:fldCharType="begin"/>
        </w:r>
        <w:r w:rsidR="00B200E8" w:rsidRPr="00AE4E8D">
          <w:rPr>
            <w:webHidden/>
          </w:rPr>
          <w:instrText xml:space="preserve"> PAGEREF _Toc495973067 \h </w:instrText>
        </w:r>
        <w:r w:rsidR="00B200E8" w:rsidRPr="00AE4E8D">
          <w:rPr>
            <w:webHidden/>
          </w:rPr>
        </w:r>
        <w:r w:rsidR="00B200E8" w:rsidRPr="00AE4E8D">
          <w:rPr>
            <w:webHidden/>
          </w:rPr>
          <w:fldChar w:fldCharType="separate"/>
        </w:r>
        <w:r w:rsidR="002A450F">
          <w:rPr>
            <w:webHidden/>
          </w:rPr>
          <w:t>254</w:t>
        </w:r>
        <w:r w:rsidR="00B200E8" w:rsidRPr="00AE4E8D">
          <w:rPr>
            <w:webHidden/>
          </w:rPr>
          <w:fldChar w:fldCharType="end"/>
        </w:r>
      </w:hyperlink>
    </w:p>
    <w:p w14:paraId="01FFD59A" w14:textId="77777777" w:rsidR="00B200E8" w:rsidRPr="00AE4E8D" w:rsidRDefault="003676BD" w:rsidP="000400C8">
      <w:pPr>
        <w:pStyle w:val="TDC1"/>
        <w:tabs>
          <w:tab w:val="clear" w:pos="8931"/>
          <w:tab w:val="right" w:leader="dot" w:pos="8505"/>
        </w:tabs>
        <w:spacing w:before="100" w:after="100"/>
        <w:ind w:right="0"/>
        <w:rPr>
          <w:rFonts w:ascii="Times New Roman" w:eastAsiaTheme="minorEastAsia" w:hAnsi="Times New Roman"/>
          <w:b w:val="0"/>
          <w:bCs w:val="0"/>
          <w:caps w:val="0"/>
          <w:lang w:val="es-AR"/>
        </w:rPr>
      </w:pPr>
      <w:hyperlink w:anchor="_Toc495973068" w:history="1">
        <w:r w:rsidR="00B200E8" w:rsidRPr="00AE4E8D">
          <w:rPr>
            <w:rStyle w:val="Hipervnculo"/>
            <w:rFonts w:ascii="Times New Roman" w:hAnsi="Times New Roman"/>
          </w:rPr>
          <w:t>INFORMACIÓN ADICIONAL</w:t>
        </w:r>
        <w:r w:rsidR="00B200E8" w:rsidRPr="00AE4E8D">
          <w:rPr>
            <w:rFonts w:ascii="Times New Roman" w:hAnsi="Times New Roman"/>
            <w:webHidden/>
          </w:rPr>
          <w:tab/>
        </w:r>
        <w:r w:rsidR="00B200E8" w:rsidRPr="00AE4E8D">
          <w:rPr>
            <w:rFonts w:ascii="Times New Roman" w:hAnsi="Times New Roman"/>
            <w:webHidden/>
          </w:rPr>
          <w:fldChar w:fldCharType="begin"/>
        </w:r>
        <w:r w:rsidR="00B200E8" w:rsidRPr="00AE4E8D">
          <w:rPr>
            <w:rFonts w:ascii="Times New Roman" w:hAnsi="Times New Roman"/>
            <w:webHidden/>
          </w:rPr>
          <w:instrText xml:space="preserve"> PAGEREF _Toc495973068 \h </w:instrText>
        </w:r>
        <w:r w:rsidR="00B200E8" w:rsidRPr="00AE4E8D">
          <w:rPr>
            <w:rFonts w:ascii="Times New Roman" w:hAnsi="Times New Roman"/>
            <w:webHidden/>
          </w:rPr>
        </w:r>
        <w:r w:rsidR="00B200E8" w:rsidRPr="00AE4E8D">
          <w:rPr>
            <w:rFonts w:ascii="Times New Roman" w:hAnsi="Times New Roman"/>
            <w:webHidden/>
          </w:rPr>
          <w:fldChar w:fldCharType="separate"/>
        </w:r>
        <w:r w:rsidR="002A450F">
          <w:rPr>
            <w:rFonts w:ascii="Times New Roman" w:hAnsi="Times New Roman"/>
            <w:webHidden/>
          </w:rPr>
          <w:t>255</w:t>
        </w:r>
        <w:r w:rsidR="00B200E8" w:rsidRPr="00AE4E8D">
          <w:rPr>
            <w:rFonts w:ascii="Times New Roman" w:hAnsi="Times New Roman"/>
            <w:webHidden/>
          </w:rPr>
          <w:fldChar w:fldCharType="end"/>
        </w:r>
      </w:hyperlink>
    </w:p>
    <w:p w14:paraId="4EB22127" w14:textId="77777777" w:rsidR="00B200E8" w:rsidRPr="00AE4E8D" w:rsidRDefault="003676BD" w:rsidP="000400C8">
      <w:pPr>
        <w:pStyle w:val="TDC2"/>
        <w:ind w:right="0"/>
        <w:rPr>
          <w:rFonts w:eastAsiaTheme="minorEastAsia"/>
          <w:lang w:val="es-AR"/>
        </w:rPr>
      </w:pPr>
      <w:hyperlink w:anchor="_Toc495973069" w:history="1">
        <w:r w:rsidR="00B200E8" w:rsidRPr="00AE4E8D">
          <w:rPr>
            <w:rStyle w:val="Hipervnculo"/>
          </w:rPr>
          <w:t>a) Descripción del Capital Social</w:t>
        </w:r>
        <w:r w:rsidR="00B200E8" w:rsidRPr="00AE4E8D">
          <w:rPr>
            <w:webHidden/>
          </w:rPr>
          <w:tab/>
        </w:r>
        <w:r w:rsidR="00B200E8" w:rsidRPr="00AE4E8D">
          <w:rPr>
            <w:webHidden/>
          </w:rPr>
          <w:fldChar w:fldCharType="begin"/>
        </w:r>
        <w:r w:rsidR="00B200E8" w:rsidRPr="00AE4E8D">
          <w:rPr>
            <w:webHidden/>
          </w:rPr>
          <w:instrText xml:space="preserve"> PAGEREF _Toc495973069 \h </w:instrText>
        </w:r>
        <w:r w:rsidR="00B200E8" w:rsidRPr="00AE4E8D">
          <w:rPr>
            <w:webHidden/>
          </w:rPr>
        </w:r>
        <w:r w:rsidR="00B200E8" w:rsidRPr="00AE4E8D">
          <w:rPr>
            <w:webHidden/>
          </w:rPr>
          <w:fldChar w:fldCharType="separate"/>
        </w:r>
        <w:r w:rsidR="002A450F">
          <w:rPr>
            <w:webHidden/>
          </w:rPr>
          <w:t>255</w:t>
        </w:r>
        <w:r w:rsidR="00B200E8" w:rsidRPr="00AE4E8D">
          <w:rPr>
            <w:webHidden/>
          </w:rPr>
          <w:fldChar w:fldCharType="end"/>
        </w:r>
      </w:hyperlink>
    </w:p>
    <w:p w14:paraId="22AEB575" w14:textId="77777777" w:rsidR="00B200E8" w:rsidRPr="00AE4E8D" w:rsidRDefault="003676BD" w:rsidP="000400C8">
      <w:pPr>
        <w:pStyle w:val="TDC2"/>
        <w:ind w:right="0"/>
        <w:rPr>
          <w:rFonts w:eastAsiaTheme="minorEastAsia"/>
          <w:lang w:val="es-AR"/>
        </w:rPr>
      </w:pPr>
      <w:hyperlink w:anchor="_Toc495973070" w:history="1">
        <w:r w:rsidR="00B200E8" w:rsidRPr="00AE4E8D">
          <w:rPr>
            <w:rStyle w:val="Hipervnculo"/>
          </w:rPr>
          <w:t>b) Acta Constitutiva y Estatuto</w:t>
        </w:r>
        <w:r w:rsidR="00B200E8" w:rsidRPr="00AE4E8D">
          <w:rPr>
            <w:webHidden/>
          </w:rPr>
          <w:tab/>
        </w:r>
        <w:r w:rsidR="00B200E8" w:rsidRPr="00AE4E8D">
          <w:rPr>
            <w:webHidden/>
          </w:rPr>
          <w:fldChar w:fldCharType="begin"/>
        </w:r>
        <w:r w:rsidR="00B200E8" w:rsidRPr="00AE4E8D">
          <w:rPr>
            <w:webHidden/>
          </w:rPr>
          <w:instrText xml:space="preserve"> PAGEREF _Toc495973070 \h </w:instrText>
        </w:r>
        <w:r w:rsidR="00B200E8" w:rsidRPr="00AE4E8D">
          <w:rPr>
            <w:webHidden/>
          </w:rPr>
        </w:r>
        <w:r w:rsidR="00B200E8" w:rsidRPr="00AE4E8D">
          <w:rPr>
            <w:webHidden/>
          </w:rPr>
          <w:fldChar w:fldCharType="separate"/>
        </w:r>
        <w:r w:rsidR="002A450F">
          <w:rPr>
            <w:webHidden/>
          </w:rPr>
          <w:t>259</w:t>
        </w:r>
        <w:r w:rsidR="00B200E8" w:rsidRPr="00AE4E8D">
          <w:rPr>
            <w:webHidden/>
          </w:rPr>
          <w:fldChar w:fldCharType="end"/>
        </w:r>
      </w:hyperlink>
    </w:p>
    <w:p w14:paraId="2373FD48" w14:textId="77777777" w:rsidR="00B200E8" w:rsidRPr="00AE4E8D" w:rsidRDefault="003676BD" w:rsidP="000400C8">
      <w:pPr>
        <w:pStyle w:val="TDC2"/>
        <w:ind w:right="0"/>
        <w:rPr>
          <w:rFonts w:eastAsiaTheme="minorEastAsia"/>
          <w:lang w:val="es-AR"/>
        </w:rPr>
      </w:pPr>
      <w:hyperlink w:anchor="_Toc495973071" w:history="1">
        <w:r w:rsidR="00B200E8" w:rsidRPr="00AE4E8D">
          <w:rPr>
            <w:rStyle w:val="Hipervnculo"/>
          </w:rPr>
          <w:t>c) Contratos Importantes</w:t>
        </w:r>
        <w:r w:rsidR="00B200E8" w:rsidRPr="00AE4E8D">
          <w:rPr>
            <w:webHidden/>
          </w:rPr>
          <w:tab/>
        </w:r>
        <w:r w:rsidR="00B200E8" w:rsidRPr="00AE4E8D">
          <w:rPr>
            <w:webHidden/>
          </w:rPr>
          <w:fldChar w:fldCharType="begin"/>
        </w:r>
        <w:r w:rsidR="00B200E8" w:rsidRPr="00AE4E8D">
          <w:rPr>
            <w:webHidden/>
          </w:rPr>
          <w:instrText xml:space="preserve"> PAGEREF _Toc495973071 \h </w:instrText>
        </w:r>
        <w:r w:rsidR="00B200E8" w:rsidRPr="00AE4E8D">
          <w:rPr>
            <w:webHidden/>
          </w:rPr>
        </w:r>
        <w:r w:rsidR="00B200E8" w:rsidRPr="00AE4E8D">
          <w:rPr>
            <w:webHidden/>
          </w:rPr>
          <w:fldChar w:fldCharType="separate"/>
        </w:r>
        <w:r w:rsidR="002A450F">
          <w:rPr>
            <w:webHidden/>
          </w:rPr>
          <w:t>267</w:t>
        </w:r>
        <w:r w:rsidR="00B200E8" w:rsidRPr="00AE4E8D">
          <w:rPr>
            <w:webHidden/>
          </w:rPr>
          <w:fldChar w:fldCharType="end"/>
        </w:r>
      </w:hyperlink>
    </w:p>
    <w:p w14:paraId="33C87A57" w14:textId="77777777" w:rsidR="00B200E8" w:rsidRPr="00AE4E8D" w:rsidRDefault="003676BD" w:rsidP="000400C8">
      <w:pPr>
        <w:pStyle w:val="TDC2"/>
        <w:ind w:right="0"/>
        <w:rPr>
          <w:rFonts w:eastAsiaTheme="minorEastAsia"/>
          <w:lang w:val="es-AR"/>
        </w:rPr>
      </w:pPr>
      <w:hyperlink w:anchor="_Toc495973072" w:history="1">
        <w:r w:rsidR="00B200E8" w:rsidRPr="00AE4E8D">
          <w:rPr>
            <w:rStyle w:val="Hipervnculo"/>
          </w:rPr>
          <w:t>d) Controles de Cambio</w:t>
        </w:r>
        <w:r w:rsidR="00B200E8" w:rsidRPr="00AE4E8D">
          <w:rPr>
            <w:webHidden/>
          </w:rPr>
          <w:tab/>
        </w:r>
        <w:r w:rsidR="00B200E8" w:rsidRPr="00AE4E8D">
          <w:rPr>
            <w:webHidden/>
          </w:rPr>
          <w:fldChar w:fldCharType="begin"/>
        </w:r>
        <w:r w:rsidR="00B200E8" w:rsidRPr="00AE4E8D">
          <w:rPr>
            <w:webHidden/>
          </w:rPr>
          <w:instrText xml:space="preserve"> PAGEREF _Toc495973072 \h </w:instrText>
        </w:r>
        <w:r w:rsidR="00B200E8" w:rsidRPr="00AE4E8D">
          <w:rPr>
            <w:webHidden/>
          </w:rPr>
        </w:r>
        <w:r w:rsidR="00B200E8" w:rsidRPr="00AE4E8D">
          <w:rPr>
            <w:webHidden/>
          </w:rPr>
          <w:fldChar w:fldCharType="separate"/>
        </w:r>
        <w:r w:rsidR="002A450F">
          <w:rPr>
            <w:webHidden/>
          </w:rPr>
          <w:t>267</w:t>
        </w:r>
        <w:r w:rsidR="00B200E8" w:rsidRPr="00AE4E8D">
          <w:rPr>
            <w:webHidden/>
          </w:rPr>
          <w:fldChar w:fldCharType="end"/>
        </w:r>
      </w:hyperlink>
    </w:p>
    <w:p w14:paraId="2D0A2483" w14:textId="77777777" w:rsidR="00B200E8" w:rsidRPr="00AE4E8D" w:rsidRDefault="003676BD" w:rsidP="000400C8">
      <w:pPr>
        <w:pStyle w:val="TDC2"/>
        <w:ind w:right="0"/>
        <w:rPr>
          <w:rFonts w:eastAsiaTheme="minorEastAsia"/>
          <w:lang w:val="es-AR"/>
        </w:rPr>
      </w:pPr>
      <w:hyperlink w:anchor="_Toc495973073" w:history="1">
        <w:r w:rsidR="00B200E8" w:rsidRPr="00AE4E8D">
          <w:rPr>
            <w:rStyle w:val="Hipervnculo"/>
          </w:rPr>
          <w:t>e) Tratamiento Impositivo</w:t>
        </w:r>
        <w:r w:rsidR="00B200E8" w:rsidRPr="00AE4E8D">
          <w:rPr>
            <w:webHidden/>
          </w:rPr>
          <w:tab/>
        </w:r>
        <w:r w:rsidR="00B200E8" w:rsidRPr="00AE4E8D">
          <w:rPr>
            <w:webHidden/>
          </w:rPr>
          <w:fldChar w:fldCharType="begin"/>
        </w:r>
        <w:r w:rsidR="00B200E8" w:rsidRPr="00AE4E8D">
          <w:rPr>
            <w:webHidden/>
          </w:rPr>
          <w:instrText xml:space="preserve"> PAGEREF _Toc495973073 \h </w:instrText>
        </w:r>
        <w:r w:rsidR="00B200E8" w:rsidRPr="00AE4E8D">
          <w:rPr>
            <w:webHidden/>
          </w:rPr>
        </w:r>
        <w:r w:rsidR="00B200E8" w:rsidRPr="00AE4E8D">
          <w:rPr>
            <w:webHidden/>
          </w:rPr>
          <w:fldChar w:fldCharType="separate"/>
        </w:r>
        <w:r w:rsidR="002A450F">
          <w:rPr>
            <w:webHidden/>
          </w:rPr>
          <w:t>274</w:t>
        </w:r>
        <w:r w:rsidR="00B200E8" w:rsidRPr="00AE4E8D">
          <w:rPr>
            <w:webHidden/>
          </w:rPr>
          <w:fldChar w:fldCharType="end"/>
        </w:r>
      </w:hyperlink>
    </w:p>
    <w:p w14:paraId="7927854F" w14:textId="77777777" w:rsidR="00B200E8" w:rsidRPr="00AE4E8D" w:rsidRDefault="003676BD" w:rsidP="000400C8">
      <w:pPr>
        <w:pStyle w:val="TDC2"/>
        <w:ind w:right="0"/>
        <w:rPr>
          <w:rFonts w:eastAsiaTheme="minorEastAsia"/>
          <w:lang w:val="es-AR"/>
        </w:rPr>
      </w:pPr>
      <w:hyperlink w:anchor="_Toc495973074" w:history="1">
        <w:r w:rsidR="00B200E8" w:rsidRPr="00AE4E8D">
          <w:rPr>
            <w:rStyle w:val="Hipervnculo"/>
          </w:rPr>
          <w:t>f) Dividendos y Agentes Pagadores</w:t>
        </w:r>
        <w:r w:rsidR="00B200E8" w:rsidRPr="00AE4E8D">
          <w:rPr>
            <w:webHidden/>
          </w:rPr>
          <w:tab/>
        </w:r>
        <w:r w:rsidR="00B200E8" w:rsidRPr="00AE4E8D">
          <w:rPr>
            <w:webHidden/>
          </w:rPr>
          <w:fldChar w:fldCharType="begin"/>
        </w:r>
        <w:r w:rsidR="00B200E8" w:rsidRPr="00AE4E8D">
          <w:rPr>
            <w:webHidden/>
          </w:rPr>
          <w:instrText xml:space="preserve"> PAGEREF _Toc495973074 \h </w:instrText>
        </w:r>
        <w:r w:rsidR="00B200E8" w:rsidRPr="00AE4E8D">
          <w:rPr>
            <w:webHidden/>
          </w:rPr>
        </w:r>
        <w:r w:rsidR="00B200E8" w:rsidRPr="00AE4E8D">
          <w:rPr>
            <w:webHidden/>
          </w:rPr>
          <w:fldChar w:fldCharType="separate"/>
        </w:r>
        <w:r w:rsidR="002A450F">
          <w:rPr>
            <w:webHidden/>
          </w:rPr>
          <w:t>280</w:t>
        </w:r>
        <w:r w:rsidR="00B200E8" w:rsidRPr="00AE4E8D">
          <w:rPr>
            <w:webHidden/>
          </w:rPr>
          <w:fldChar w:fldCharType="end"/>
        </w:r>
      </w:hyperlink>
    </w:p>
    <w:p w14:paraId="7C323217" w14:textId="77777777" w:rsidR="00B200E8" w:rsidRPr="00AE4E8D" w:rsidRDefault="003676BD" w:rsidP="000400C8">
      <w:pPr>
        <w:pStyle w:val="TDC2"/>
        <w:ind w:right="0"/>
        <w:rPr>
          <w:rFonts w:eastAsiaTheme="minorEastAsia"/>
          <w:lang w:val="es-AR"/>
        </w:rPr>
      </w:pPr>
      <w:hyperlink w:anchor="_Toc495973075" w:history="1">
        <w:r w:rsidR="00B200E8" w:rsidRPr="00AE4E8D">
          <w:rPr>
            <w:rStyle w:val="Hipervnculo"/>
          </w:rPr>
          <w:t>g) Declaración por Parte de Expertos</w:t>
        </w:r>
        <w:r w:rsidR="00B200E8" w:rsidRPr="00AE4E8D">
          <w:rPr>
            <w:webHidden/>
          </w:rPr>
          <w:tab/>
        </w:r>
        <w:r w:rsidR="00B200E8" w:rsidRPr="00AE4E8D">
          <w:rPr>
            <w:webHidden/>
          </w:rPr>
          <w:fldChar w:fldCharType="begin"/>
        </w:r>
        <w:r w:rsidR="00B200E8" w:rsidRPr="00AE4E8D">
          <w:rPr>
            <w:webHidden/>
          </w:rPr>
          <w:instrText xml:space="preserve"> PAGEREF _Toc495973075 \h </w:instrText>
        </w:r>
        <w:r w:rsidR="00B200E8" w:rsidRPr="00AE4E8D">
          <w:rPr>
            <w:webHidden/>
          </w:rPr>
        </w:r>
        <w:r w:rsidR="00B200E8" w:rsidRPr="00AE4E8D">
          <w:rPr>
            <w:webHidden/>
          </w:rPr>
          <w:fldChar w:fldCharType="separate"/>
        </w:r>
        <w:r w:rsidR="002A450F">
          <w:rPr>
            <w:webHidden/>
          </w:rPr>
          <w:t>281</w:t>
        </w:r>
        <w:r w:rsidR="00B200E8" w:rsidRPr="00AE4E8D">
          <w:rPr>
            <w:webHidden/>
          </w:rPr>
          <w:fldChar w:fldCharType="end"/>
        </w:r>
      </w:hyperlink>
    </w:p>
    <w:p w14:paraId="2CB88914" w14:textId="77777777" w:rsidR="00B200E8" w:rsidRPr="00AE4E8D" w:rsidRDefault="003676BD" w:rsidP="000400C8">
      <w:pPr>
        <w:pStyle w:val="TDC2"/>
        <w:ind w:right="0"/>
        <w:rPr>
          <w:rFonts w:eastAsiaTheme="minorEastAsia"/>
          <w:lang w:val="es-AR"/>
        </w:rPr>
      </w:pPr>
      <w:hyperlink w:anchor="_Toc495973076" w:history="1">
        <w:r w:rsidR="00B200E8" w:rsidRPr="00AE4E8D">
          <w:rPr>
            <w:rStyle w:val="Hipervnculo"/>
          </w:rPr>
          <w:t>h) Documentos a Disposición</w:t>
        </w:r>
        <w:r w:rsidR="00B200E8" w:rsidRPr="00AE4E8D">
          <w:rPr>
            <w:webHidden/>
          </w:rPr>
          <w:tab/>
        </w:r>
        <w:r w:rsidR="00B200E8" w:rsidRPr="00AE4E8D">
          <w:rPr>
            <w:webHidden/>
          </w:rPr>
          <w:fldChar w:fldCharType="begin"/>
        </w:r>
        <w:r w:rsidR="00B200E8" w:rsidRPr="00AE4E8D">
          <w:rPr>
            <w:webHidden/>
          </w:rPr>
          <w:instrText xml:space="preserve"> PAGEREF _Toc495973076 \h </w:instrText>
        </w:r>
        <w:r w:rsidR="00B200E8" w:rsidRPr="00AE4E8D">
          <w:rPr>
            <w:webHidden/>
          </w:rPr>
        </w:r>
        <w:r w:rsidR="00B200E8" w:rsidRPr="00AE4E8D">
          <w:rPr>
            <w:webHidden/>
          </w:rPr>
          <w:fldChar w:fldCharType="separate"/>
        </w:r>
        <w:r w:rsidR="002A450F">
          <w:rPr>
            <w:webHidden/>
          </w:rPr>
          <w:t>281</w:t>
        </w:r>
        <w:r w:rsidR="00B200E8" w:rsidRPr="00AE4E8D">
          <w:rPr>
            <w:webHidden/>
          </w:rPr>
          <w:fldChar w:fldCharType="end"/>
        </w:r>
      </w:hyperlink>
    </w:p>
    <w:p w14:paraId="3E6F8D52" w14:textId="77777777" w:rsidR="00CB5660" w:rsidRPr="00AE4E8D" w:rsidRDefault="002A51A2" w:rsidP="000400C8">
      <w:pPr>
        <w:pStyle w:val="BH1Centro"/>
        <w:tabs>
          <w:tab w:val="right" w:leader="dot" w:pos="8505"/>
        </w:tabs>
        <w:spacing w:before="100" w:after="100"/>
        <w:outlineLvl w:val="9"/>
        <w:rPr>
          <w:rFonts w:ascii="Times New Roman" w:hAnsi="Times New Roman"/>
          <w:lang w:val="es-ES"/>
        </w:rPr>
      </w:pPr>
      <w:r w:rsidRPr="00AE4E8D">
        <w:rPr>
          <w:rFonts w:ascii="Times New Roman" w:hAnsi="Times New Roman"/>
          <w:lang w:val="es-ES"/>
        </w:rPr>
        <w:fldChar w:fldCharType="end"/>
      </w:r>
      <w:r w:rsidR="00CB5660" w:rsidRPr="00AE4E8D">
        <w:rPr>
          <w:rFonts w:ascii="Times New Roman" w:hAnsi="Times New Roman"/>
          <w:highlight w:val="cyan"/>
          <w:lang w:val="es-ES"/>
        </w:rPr>
        <w:br w:type="page"/>
      </w:r>
      <w:bookmarkStart w:id="19" w:name="_Toc420062521"/>
      <w:bookmarkStart w:id="20" w:name="_Toc421201300"/>
      <w:bookmarkStart w:id="21" w:name="_Toc449010418"/>
      <w:bookmarkStart w:id="22" w:name="_Toc487734728"/>
      <w:r w:rsidR="00CB5660" w:rsidRPr="00AE4E8D">
        <w:rPr>
          <w:rFonts w:ascii="Times New Roman" w:hAnsi="Times New Roman"/>
          <w:lang w:val="es-ES"/>
        </w:rPr>
        <w:lastRenderedPageBreak/>
        <w:t>AVISOS IMPORTANTES</w:t>
      </w:r>
      <w:bookmarkEnd w:id="19"/>
      <w:bookmarkEnd w:id="20"/>
      <w:bookmarkEnd w:id="21"/>
      <w:bookmarkEnd w:id="22"/>
    </w:p>
    <w:p w14:paraId="588D6073" w14:textId="77777777" w:rsidR="00CB5660" w:rsidRPr="00AE4E8D" w:rsidRDefault="00CB5660" w:rsidP="00E00FA7">
      <w:pPr>
        <w:pStyle w:val="BHTexto"/>
        <w:rPr>
          <w:lang w:val="es-ES"/>
        </w:rPr>
      </w:pPr>
      <w:r w:rsidRPr="00AE4E8D">
        <w:rPr>
          <w:lang w:val="es-ES"/>
        </w:rPr>
        <w:t>La creación del Programa fue aprobada por nuestra asamblea de accionistas celebrada el 23 de mayo de 2008, habiéndose renovado las facultades delegadas en el Directorio en las asambleas celebradas el 30 de abril de 2010, 27 de marzo de 2012</w:t>
      </w:r>
      <w:r w:rsidR="00E7436B" w:rsidRPr="00AE4E8D">
        <w:rPr>
          <w:lang w:val="es-ES"/>
        </w:rPr>
        <w:t>,</w:t>
      </w:r>
      <w:r w:rsidRPr="00AE4E8D">
        <w:rPr>
          <w:lang w:val="es-ES"/>
        </w:rPr>
        <w:t xml:space="preserve"> 24 de marzo de 2014</w:t>
      </w:r>
      <w:r w:rsidR="00E7436B" w:rsidRPr="00AE4E8D">
        <w:rPr>
          <w:lang w:val="es-ES"/>
        </w:rPr>
        <w:t xml:space="preserve"> y 13 de abril de 2016</w:t>
      </w:r>
      <w:r w:rsidRPr="00AE4E8D">
        <w:rPr>
          <w:lang w:val="es-ES"/>
        </w:rPr>
        <w:t>. El Programa fue originariamente aprobado por la asamblea de accionistas por un monto máximo en circulación de hasta US$2.000.000.000. El Directorio, haciendo uso de las facultades delegadas, resolvió con fecha 9 de febrero de 2011 reducir el monto del Programa por un monto en circulación de hasta US$500.000.000. Posteriormente, por resolución de fecha 6 de mayo de 2015, resolvió ampliarlo por hasta la suma de US$800.000.000</w:t>
      </w:r>
      <w:r w:rsidR="007E4BBE" w:rsidRPr="00AE4E8D">
        <w:rPr>
          <w:lang w:val="es-ES"/>
        </w:rPr>
        <w:t xml:space="preserve">. </w:t>
      </w:r>
      <w:r w:rsidR="00437B98" w:rsidRPr="00AE4E8D">
        <w:rPr>
          <w:lang w:val="es-ES"/>
        </w:rPr>
        <w:t>Luego</w:t>
      </w:r>
      <w:r w:rsidR="007E4BBE" w:rsidRPr="00AE4E8D">
        <w:rPr>
          <w:lang w:val="es-ES"/>
        </w:rPr>
        <w:t xml:space="preserve"> por resolución de fecha 15 de junio de 2016, el Directorio aprobó el aumento del monto del Programa por hasta US$1.000.000.000. Finalmente</w:t>
      </w:r>
      <w:r w:rsidRPr="00AE4E8D">
        <w:rPr>
          <w:lang w:val="es-ES"/>
        </w:rPr>
        <w:t xml:space="preserve">, mediante resolución de fecha </w:t>
      </w:r>
      <w:r w:rsidR="0093654F" w:rsidRPr="00AE4E8D">
        <w:rPr>
          <w:lang w:val="es-ES"/>
        </w:rPr>
        <w:t>9</w:t>
      </w:r>
      <w:r w:rsidRPr="00AE4E8D">
        <w:rPr>
          <w:lang w:val="es-ES"/>
        </w:rPr>
        <w:t xml:space="preserve"> de </w:t>
      </w:r>
      <w:r w:rsidR="0093654F" w:rsidRPr="00AE4E8D">
        <w:rPr>
          <w:lang w:val="es-ES"/>
        </w:rPr>
        <w:t>noviembre</w:t>
      </w:r>
      <w:r w:rsidRPr="00AE4E8D">
        <w:rPr>
          <w:lang w:val="es-ES"/>
        </w:rPr>
        <w:t xml:space="preserve"> de 2016, resolvió aumentarlo en US$</w:t>
      </w:r>
      <w:r w:rsidR="007E4BBE" w:rsidRPr="00AE4E8D">
        <w:rPr>
          <w:lang w:val="es-ES"/>
        </w:rPr>
        <w:t>5</w:t>
      </w:r>
      <w:r w:rsidRPr="00AE4E8D">
        <w:rPr>
          <w:lang w:val="es-ES"/>
        </w:rPr>
        <w:t xml:space="preserve">00.000.000 (o su equivalente en Pesos) adicionales, como consecuencia de lo cual el monto del Programa </w:t>
      </w:r>
      <w:r w:rsidR="00D34803" w:rsidRPr="00AE4E8D">
        <w:rPr>
          <w:lang w:val="es-ES"/>
        </w:rPr>
        <w:t>ascendió</w:t>
      </w:r>
      <w:r w:rsidRPr="00AE4E8D">
        <w:rPr>
          <w:lang w:val="es-ES"/>
        </w:rPr>
        <w:t xml:space="preserve"> a la suma de US$1.</w:t>
      </w:r>
      <w:r w:rsidR="007E4BBE" w:rsidRPr="00AE4E8D">
        <w:rPr>
          <w:lang w:val="es-ES"/>
        </w:rPr>
        <w:t>5</w:t>
      </w:r>
      <w:r w:rsidRPr="00AE4E8D">
        <w:rPr>
          <w:lang w:val="es-ES"/>
        </w:rPr>
        <w:t>00.000.000 (o su equivalente en Pesos).</w:t>
      </w:r>
      <w:r w:rsidR="00333121" w:rsidRPr="00AE4E8D" w:rsidDel="00333121">
        <w:rPr>
          <w:lang w:val="es-ES"/>
        </w:rPr>
        <w:t xml:space="preserve"> </w:t>
      </w:r>
      <w:r w:rsidRPr="00AE4E8D">
        <w:rPr>
          <w:lang w:val="es-ES"/>
        </w:rPr>
        <w:t>En la asamblea de accionistas celebrada el 13 de abril de 2016 y</w:t>
      </w:r>
      <w:r w:rsidR="00437B98" w:rsidRPr="00AE4E8D">
        <w:rPr>
          <w:lang w:val="es-ES"/>
        </w:rPr>
        <w:t xml:space="preserve"> por</w:t>
      </w:r>
      <w:r w:rsidRPr="00AE4E8D">
        <w:rPr>
          <w:lang w:val="es-ES"/>
        </w:rPr>
        <w:t xml:space="preserve"> resolución del Directorio de fecha 11 de mayo de 2016 se resolvió aprobar la solicitud de prórroga del Programa.</w:t>
      </w:r>
      <w:r w:rsidR="00437B98" w:rsidRPr="00AE4E8D">
        <w:rPr>
          <w:lang w:val="es-ES"/>
        </w:rPr>
        <w:t xml:space="preserve"> Con fecha </w:t>
      </w:r>
      <w:r w:rsidR="007E1FB8" w:rsidRPr="00AE4E8D">
        <w:rPr>
          <w:lang w:val="es-ES"/>
        </w:rPr>
        <w:t>9</w:t>
      </w:r>
      <w:r w:rsidR="00437B98" w:rsidRPr="00AE4E8D">
        <w:rPr>
          <w:lang w:val="es-ES"/>
        </w:rPr>
        <w:t xml:space="preserve"> de </w:t>
      </w:r>
      <w:r w:rsidR="007E1FB8" w:rsidRPr="00AE4E8D">
        <w:rPr>
          <w:lang w:val="es-ES"/>
        </w:rPr>
        <w:t>agosto</w:t>
      </w:r>
      <w:r w:rsidR="00437B98" w:rsidRPr="00AE4E8D">
        <w:rPr>
          <w:lang w:val="es-ES"/>
        </w:rPr>
        <w:t xml:space="preserve"> de 2017, el Directorio del Banco decidió actualizar el presente Prospecto.</w:t>
      </w:r>
    </w:p>
    <w:p w14:paraId="42B9F791" w14:textId="77777777" w:rsidR="00CB5660" w:rsidRPr="00AE4E8D" w:rsidRDefault="00CB5660" w:rsidP="00E00FA7">
      <w:pPr>
        <w:pStyle w:val="BHTexto"/>
        <w:rPr>
          <w:lang w:val="es-ES"/>
        </w:rPr>
      </w:pPr>
      <w:r w:rsidRPr="00AE4E8D">
        <w:rPr>
          <w:b/>
          <w:lang w:val="es-ES"/>
        </w:rPr>
        <w:t>Oferta Pública autorizada por Resolución Nº16.573 de fecha 24 de mayo de 2011, habiéndose aprobado la ampliación del monto del Programa por Resolución Nº17.805 de fecha 9 de septiembre de 2015</w:t>
      </w:r>
      <w:r w:rsidR="00437B98" w:rsidRPr="00AE4E8D">
        <w:rPr>
          <w:b/>
          <w:lang w:val="es-ES"/>
        </w:rPr>
        <w:t>,</w:t>
      </w:r>
      <w:r w:rsidRPr="00AE4E8D">
        <w:rPr>
          <w:b/>
          <w:lang w:val="es-ES"/>
        </w:rPr>
        <w:t xml:space="preserve"> la prórroga del Programa </w:t>
      </w:r>
      <w:r w:rsidR="00437B98" w:rsidRPr="00AE4E8D">
        <w:rPr>
          <w:b/>
          <w:lang w:val="es-ES"/>
        </w:rPr>
        <w:t xml:space="preserve">y </w:t>
      </w:r>
      <w:r w:rsidRPr="00AE4E8D">
        <w:rPr>
          <w:b/>
          <w:lang w:val="es-ES"/>
        </w:rPr>
        <w:t>la ampliación de su monto por Resolución Nº18.145 de fecha 28 de julio de 2016</w:t>
      </w:r>
      <w:r w:rsidR="00400763" w:rsidRPr="00AE4E8D">
        <w:rPr>
          <w:b/>
          <w:lang w:val="es-ES"/>
        </w:rPr>
        <w:t xml:space="preserve"> y </w:t>
      </w:r>
      <w:r w:rsidR="006E5806" w:rsidRPr="00AE4E8D">
        <w:rPr>
          <w:b/>
          <w:lang w:val="es-ES"/>
        </w:rPr>
        <w:t>una nueva</w:t>
      </w:r>
      <w:r w:rsidR="00400763" w:rsidRPr="00AE4E8D">
        <w:rPr>
          <w:b/>
          <w:lang w:val="es-ES"/>
        </w:rPr>
        <w:t xml:space="preserve"> ampliación de</w:t>
      </w:r>
      <w:r w:rsidR="006E5806" w:rsidRPr="00AE4E8D">
        <w:rPr>
          <w:b/>
          <w:lang w:val="es-ES"/>
        </w:rPr>
        <w:t xml:space="preserve"> su</w:t>
      </w:r>
      <w:r w:rsidR="00400763" w:rsidRPr="00AE4E8D">
        <w:rPr>
          <w:b/>
          <w:lang w:val="es-ES"/>
        </w:rPr>
        <w:t xml:space="preserve"> monto por Resolución Nº</w:t>
      </w:r>
      <w:r w:rsidR="004A4F54" w:rsidRPr="00AE4E8D">
        <w:rPr>
          <w:b/>
          <w:lang w:val="es-ES"/>
        </w:rPr>
        <w:t>18.493</w:t>
      </w:r>
      <w:r w:rsidR="00400763" w:rsidRPr="00AE4E8D">
        <w:rPr>
          <w:b/>
          <w:lang w:val="es-ES"/>
        </w:rPr>
        <w:t xml:space="preserve"> de fecha </w:t>
      </w:r>
      <w:r w:rsidR="004A4F54" w:rsidRPr="00AE4E8D">
        <w:rPr>
          <w:b/>
          <w:lang w:val="es-ES"/>
        </w:rPr>
        <w:t>2</w:t>
      </w:r>
      <w:r w:rsidR="00400763" w:rsidRPr="00AE4E8D">
        <w:rPr>
          <w:b/>
          <w:lang w:val="es-ES"/>
        </w:rPr>
        <w:t xml:space="preserve"> de </w:t>
      </w:r>
      <w:r w:rsidR="00127D94" w:rsidRPr="00AE4E8D">
        <w:rPr>
          <w:b/>
          <w:lang w:val="es-ES"/>
        </w:rPr>
        <w:t>febrero</w:t>
      </w:r>
      <w:r w:rsidR="00400763" w:rsidRPr="00AE4E8D">
        <w:rPr>
          <w:b/>
          <w:lang w:val="es-ES"/>
        </w:rPr>
        <w:t xml:space="preserve"> de 201</w:t>
      </w:r>
      <w:r w:rsidR="00B21EF6" w:rsidRPr="00AE4E8D">
        <w:rPr>
          <w:b/>
          <w:lang w:val="es-ES"/>
        </w:rPr>
        <w:t>7</w:t>
      </w:r>
      <w:r w:rsidRPr="00AE4E8D">
        <w:rPr>
          <w:b/>
          <w:lang w:val="es-ES"/>
        </w:rPr>
        <w:t>, todas ellas de la CNV. Estas autorizaciones sólo significan que se ha cumplido con los requisitos establecidos en materia de información. La CNV no ha emitido juicio sobre los datos contenidos en el Prospecto. La veracidad de la información contable, financiera y económica, así como de toda otra información suministrada en el Prospecto, es exclusiva responsabilidad del órgano de administración del Banco y, en lo que les atañe, del órgano de fiscalización del Banco y de los auditores en cuanto a sus respectivos informes sobre los estados contables que se acompañan y otras personas responsables contempladas en los artículos 119 y 120 de la Ley de Mercado de Capitales. El órgano de administración manifiesta, con carácter de declaración jurada, que el presente Prospecto contiene, a la fecha de su publicación, información veraz y suficiente sobre todo hecho relevante que pueda afectar la situación patrimonial, económica y financiera del Banco y de toda otra información que deba ser de conocimiento del público inversor en relación con a la presente emisión, conforme las normas vigentes.</w:t>
      </w:r>
    </w:p>
    <w:p w14:paraId="735B3CB4" w14:textId="77777777" w:rsidR="00CB5660" w:rsidRPr="00AE4E8D" w:rsidRDefault="00CB5660" w:rsidP="00E00FA7">
      <w:pPr>
        <w:pStyle w:val="BHTexto"/>
        <w:rPr>
          <w:lang w:val="es-ES"/>
        </w:rPr>
      </w:pPr>
      <w:r w:rsidRPr="00AE4E8D">
        <w:rPr>
          <w:lang w:val="es-ES"/>
        </w:rPr>
        <w:t>Las Obligaciones Negociables calificarán como “Obligaciones Negociables” emitidas en virtud de la Ley Nº23.576, modificada por la Ley Nº23.962 (la “</w:t>
      </w:r>
      <w:r w:rsidRPr="00AE4E8D">
        <w:rPr>
          <w:u w:val="single"/>
          <w:lang w:val="es-ES"/>
        </w:rPr>
        <w:t>Ley de Obligaciones Negociables</w:t>
      </w:r>
      <w:r w:rsidRPr="00AE4E8D">
        <w:rPr>
          <w:lang w:val="es-ES"/>
        </w:rPr>
        <w:t>”), emitidas y colocadas de acuerdo con dicha ley</w:t>
      </w:r>
      <w:r w:rsidR="00480492" w:rsidRPr="00AE4E8D">
        <w:rPr>
          <w:lang w:val="es-ES"/>
        </w:rPr>
        <w:t xml:space="preserve"> y la Ley Nº19.550 y sus modificatorias (la “</w:t>
      </w:r>
      <w:r w:rsidR="00480492" w:rsidRPr="00AE4E8D">
        <w:rPr>
          <w:u w:val="single"/>
          <w:lang w:val="es-ES"/>
        </w:rPr>
        <w:t>Ley General de Sociedades Argentina</w:t>
      </w:r>
      <w:r w:rsidR="00480492" w:rsidRPr="00AE4E8D">
        <w:rPr>
          <w:lang w:val="es-ES"/>
        </w:rPr>
        <w:t>”)</w:t>
      </w:r>
      <w:r w:rsidRPr="00AE4E8D">
        <w:rPr>
          <w:lang w:val="es-ES"/>
        </w:rPr>
        <w:t>, la Ley de Mercado de Capitales y las Resoluciones Generales Nº622/2013 y Nº664/2016 de la CNV y sus complementarias y modificatorias (las “</w:t>
      </w:r>
      <w:r w:rsidRPr="00AE4E8D">
        <w:rPr>
          <w:u w:val="single"/>
          <w:lang w:val="es-ES"/>
        </w:rPr>
        <w:t>Normas de la CNV</w:t>
      </w:r>
      <w:r w:rsidRPr="00AE4E8D">
        <w:rPr>
          <w:lang w:val="es-ES"/>
        </w:rPr>
        <w:t>”) y toda otra regulación aplicable emanada de la CNV, y tendrán los beneficios allí previstos, y estarán sujetas a sus requisitos de procedimiento.</w:t>
      </w:r>
    </w:p>
    <w:p w14:paraId="0E34CD17" w14:textId="77777777" w:rsidR="00CB5660" w:rsidRPr="00AE4E8D" w:rsidRDefault="00CB5660" w:rsidP="00E00FA7">
      <w:pPr>
        <w:pStyle w:val="BHTexto"/>
        <w:rPr>
          <w:lang w:val="es-ES"/>
        </w:rPr>
      </w:pPr>
      <w:r w:rsidRPr="00AE4E8D">
        <w:rPr>
          <w:lang w:val="es-ES"/>
        </w:rPr>
        <w:t>Las Obligaciones Negociables que se emitan bajo el Programa son excluidas del sistema de seguro de garantía de depósitos conforme a la Ley N°24.485, y sus modificatorias (</w:t>
      </w:r>
      <w:r w:rsidRPr="00AE4E8D">
        <w:rPr>
          <w:lang w:val="es-ES" w:eastAsia="es-AR"/>
        </w:rPr>
        <w:t>entre ellas la Ley Nº25.089 y los Decretos Nº538/95 y 540/95)</w:t>
      </w:r>
      <w:r w:rsidRPr="00AE4E8D">
        <w:rPr>
          <w:lang w:val="es-ES"/>
        </w:rPr>
        <w:t>, y no gozarán del derecho de prioridad exclusiva asignado a los depositantes conforme al Artículo 49(e) de la Ley de Entidades Financieras, y sus modificatorias. Las Obligaciones Negociables no están garantizadas por ningún derecho real ni por cualquier otra entidad financiera o persona. Ni la Argentina ni ninguna dependencia gubernamental o subdivisión política de ella garantizan de ningún modo nuestras obligaciones respecto de las Obligaciones Negociables ni de otro modo las respaldan.</w:t>
      </w:r>
    </w:p>
    <w:p w14:paraId="1AAC9D09" w14:textId="77777777" w:rsidR="00CB5660" w:rsidRPr="00AE4E8D" w:rsidRDefault="00CB5660" w:rsidP="00E00FA7">
      <w:pPr>
        <w:pStyle w:val="BHTexto"/>
        <w:rPr>
          <w:color w:val="212121"/>
          <w:lang w:val="es-ES"/>
        </w:rPr>
      </w:pPr>
      <w:r w:rsidRPr="00AE4E8D">
        <w:rPr>
          <w:lang w:val="es-ES"/>
        </w:rPr>
        <w:t xml:space="preserve">La información provista en este Prospecto o en cualquier suplemento de precio relativo a la Argentina y su economía se basa </w:t>
      </w:r>
      <w:r w:rsidR="00877C14" w:rsidRPr="00AE4E8D">
        <w:rPr>
          <w:lang w:val="es-ES"/>
        </w:rPr>
        <w:t xml:space="preserve">y se basará </w:t>
      </w:r>
      <w:r w:rsidRPr="00AE4E8D">
        <w:rPr>
          <w:lang w:val="es-ES"/>
        </w:rPr>
        <w:t xml:space="preserve">en información de dominio público </w:t>
      </w:r>
      <w:r w:rsidR="00877C14" w:rsidRPr="00AE4E8D">
        <w:rPr>
          <w:lang w:val="es-ES"/>
        </w:rPr>
        <w:t xml:space="preserve">publicada por el gobierno </w:t>
      </w:r>
      <w:r w:rsidR="00B71CA5" w:rsidRPr="00AE4E8D">
        <w:rPr>
          <w:lang w:val="es-ES"/>
        </w:rPr>
        <w:t>argentino</w:t>
      </w:r>
      <w:r w:rsidR="00877C14" w:rsidRPr="00AE4E8D">
        <w:rPr>
          <w:lang w:val="es-ES"/>
        </w:rPr>
        <w:t xml:space="preserve"> y sus agencias gubernamentales, </w:t>
      </w:r>
      <w:r w:rsidRPr="00AE4E8D">
        <w:rPr>
          <w:lang w:val="es-ES"/>
        </w:rPr>
        <w:t xml:space="preserve">y ni nosotros ni ningún colocador o agente relacionado con la emisión de las Obligaciones Negociables realizamos ninguna manifestación o garantía en tal sentido. </w:t>
      </w:r>
    </w:p>
    <w:p w14:paraId="6B112627" w14:textId="77777777" w:rsidR="00CB5660" w:rsidRPr="00AE4E8D" w:rsidRDefault="00CB5660" w:rsidP="00E00FA7">
      <w:pPr>
        <w:pStyle w:val="BHTexto"/>
        <w:rPr>
          <w:lang w:val="es-ES"/>
        </w:rPr>
      </w:pPr>
      <w:r w:rsidRPr="00AE4E8D">
        <w:rPr>
          <w:lang w:val="es-ES"/>
        </w:rPr>
        <w:t>Conforme a la Ley N°24.587 de Nominatividad de los Títulos Valores Privados ("</w:t>
      </w:r>
      <w:r w:rsidRPr="00AE4E8D">
        <w:rPr>
          <w:u w:val="single"/>
          <w:lang w:val="es-ES"/>
        </w:rPr>
        <w:t>Ley de Nominatividad de los Títulos Valores Privados</w:t>
      </w:r>
      <w:r w:rsidRPr="00AE4E8D">
        <w:rPr>
          <w:lang w:val="es-ES"/>
        </w:rPr>
        <w:t xml:space="preserve">"), las empresas argentinas no están autorizadas a emitir títulos cartulares al portador a menos que se encuentren autorizadas por la CNV a ser colocados por oferta pública en Argentina y estén representados por títulos globales o individuales, registrados o depositados en sistemas de depositarios comunes autorizados por la CNV. En consecuencia, en tanto las disposiciones de la mencionada ley resulten aplicables, sólo emitiremos Obligaciones Negociables nominativas no </w:t>
      </w:r>
      <w:r w:rsidRPr="00AE4E8D">
        <w:rPr>
          <w:lang w:val="es-ES"/>
        </w:rPr>
        <w:lastRenderedPageBreak/>
        <w:t>endosables ("</w:t>
      </w:r>
      <w:r w:rsidRPr="00AE4E8D">
        <w:rPr>
          <w:u w:val="single"/>
          <w:lang w:val="es-ES"/>
        </w:rPr>
        <w:t>Obligaciones Negociables Nominativas</w:t>
      </w:r>
      <w:r w:rsidRPr="00AE4E8D">
        <w:rPr>
          <w:lang w:val="es-ES"/>
        </w:rPr>
        <w:t xml:space="preserve">") o depositadas en un custodio o sistema de compensación, no canjeables por Obligaciones Negociables cartulares al portador. </w:t>
      </w:r>
    </w:p>
    <w:p w14:paraId="0BF195BD" w14:textId="77777777" w:rsidR="00CB5660" w:rsidRPr="00AE4E8D" w:rsidRDefault="00CB5660" w:rsidP="00E00FA7">
      <w:pPr>
        <w:pStyle w:val="BHTexto"/>
        <w:rPr>
          <w:lang w:val="es-ES"/>
        </w:rPr>
      </w:pPr>
      <w:r w:rsidRPr="00AE4E8D">
        <w:rPr>
          <w:lang w:val="es-ES"/>
        </w:rPr>
        <w:t xml:space="preserve">Se interpretará que toda persona estadounidense que adquiera o reciba Obligaciones Negociables en ofertas de canje que lleven una leyenda restrictiva (i) declara que adquiere o recibe de otro modo las Obligaciones Negociables por su propia cuenta o en beneficio de una cuenta respecto de la cual ejerce exclusivas facultades de decisión en materia de inversiones, y que ella o la mencionada cuenta es un </w:t>
      </w:r>
      <w:r w:rsidR="00D34803" w:rsidRPr="00AE4E8D">
        <w:rPr>
          <w:lang w:val="es-ES"/>
        </w:rPr>
        <w:t>comprador institucional calificado (“</w:t>
      </w:r>
      <w:r w:rsidRPr="00AE4E8D">
        <w:rPr>
          <w:u w:val="single"/>
          <w:lang w:val="es-ES"/>
        </w:rPr>
        <w:t>Comprador Institucional Calificado</w:t>
      </w:r>
      <w:r w:rsidR="00D34803" w:rsidRPr="00AE4E8D">
        <w:rPr>
          <w:u w:val="single"/>
          <w:lang w:val="es-ES"/>
        </w:rPr>
        <w:t>”)</w:t>
      </w:r>
      <w:r w:rsidRPr="00AE4E8D">
        <w:rPr>
          <w:lang w:val="es-ES"/>
        </w:rPr>
        <w:t xml:space="preserve"> o un inversor acreditado institucional (salvo que el suplemento de precio aplicable no prevea ventas o transferencias a inversores acreditados institucionales), y (ii) reconoce que las Obligaciones Negociables no han sido y no serán registradas conforme a la Ley de Títulos Valores y no podrán ser re-ofrecidas, revendidas, prendadas o transferidas de otro modo, salvo (A) en cumplimiento de la Norma 144A bajo la Ley de Títulos Valores a una persona que el vendedor razonablemente considere que es un Comprador Institucional Calificado, (B) fuera de los Estados Unidos de América, en cumplimiento de la Reglamentación S, o (C) de conformidad con una exención de registro en virtud de la Ley de Títulos Valores prevista en la Norma 144A bajo dicha ley (en caso de disponerse de ella), y en cada caso de acuerdo con cualquier ley de valores </w:t>
      </w:r>
      <w:r w:rsidR="00140213" w:rsidRPr="00AE4E8D">
        <w:rPr>
          <w:lang w:val="es-ES"/>
        </w:rPr>
        <w:t xml:space="preserve">negociables </w:t>
      </w:r>
      <w:r w:rsidRPr="00AE4E8D">
        <w:rPr>
          <w:lang w:val="es-ES"/>
        </w:rPr>
        <w:t xml:space="preserve">aplicable de cualquier estado de los Estados Unidos </w:t>
      </w:r>
      <w:r w:rsidR="009C3D02" w:rsidRPr="00AE4E8D">
        <w:rPr>
          <w:lang w:val="es-ES"/>
        </w:rPr>
        <w:t xml:space="preserve">de América </w:t>
      </w:r>
      <w:r w:rsidRPr="00AE4E8D">
        <w:rPr>
          <w:lang w:val="es-ES"/>
        </w:rPr>
        <w:t xml:space="preserve">o cualquier otra jurisdicción. Se considerará que toda persona que adquiera o de otro modo obtenga Obligaciones Negociables vendidas fuera de los Estados Unidos de América por acogimiento a la Reglamentación S ha declarado que no adquiere las Obligaciones Negociables con el propósito de su reventa, distribución u otra forma de enajenación efectuada a una persona estadounidense o dentro de los Estados Unidos de América. Para una descripción de estas y algunas otras restricciones a las ofertas y ventas de las Obligaciones Negociables y la distribución de este Prospecto, véase </w:t>
      </w:r>
      <w:r w:rsidRPr="00AE4E8D">
        <w:rPr>
          <w:i/>
          <w:lang w:val="es-ES"/>
        </w:rPr>
        <w:t>“Suscripción y Venta”</w:t>
      </w:r>
      <w:r w:rsidRPr="00AE4E8D">
        <w:rPr>
          <w:lang w:val="es-ES"/>
        </w:rPr>
        <w:t xml:space="preserve"> y </w:t>
      </w:r>
      <w:r w:rsidRPr="00AE4E8D">
        <w:rPr>
          <w:i/>
          <w:lang w:val="es-ES"/>
        </w:rPr>
        <w:t>“Restricciones a la Transferencia”</w:t>
      </w:r>
      <w:r w:rsidRPr="00AE4E8D">
        <w:rPr>
          <w:lang w:val="es-ES"/>
        </w:rPr>
        <w:t>. Las restricciones adicionales, en caso de existir, se describirán en el suplemento de precio pertinente.</w:t>
      </w:r>
    </w:p>
    <w:p w14:paraId="4E0A38F8" w14:textId="77777777" w:rsidR="00CB5660" w:rsidRPr="00AE4E8D" w:rsidRDefault="00CB5660" w:rsidP="00E00FA7">
      <w:pPr>
        <w:pStyle w:val="BHTexto"/>
        <w:rPr>
          <w:lang w:val="es-ES"/>
        </w:rPr>
      </w:pPr>
      <w:r w:rsidRPr="00AE4E8D">
        <w:rPr>
          <w:lang w:val="es-ES"/>
        </w:rPr>
        <w:t>Ni este Prospecto ni ninguna otra información suministrada en relación con el Programa,</w:t>
      </w:r>
      <w:r w:rsidR="00B71CA5" w:rsidRPr="00AE4E8D">
        <w:rPr>
          <w:lang w:val="es-ES"/>
        </w:rPr>
        <w:t xml:space="preserve"> incluyendo cualquier suplemento de precio,</w:t>
      </w:r>
      <w:r w:rsidRPr="00AE4E8D">
        <w:rPr>
          <w:lang w:val="es-ES"/>
        </w:rPr>
        <w:t xml:space="preserve"> debe ser considerado respecto de que cualquier destinatario como una recomendación de parte nuestra, ni de los colocadores o agentes para comprar alguna de las Obligaciones Negociables. Aconsejamos a los inversores realizar, y consideramos que éstos han realizado, su propia investigación independiente de la situación patrimonial y asuntos financieros, y su propia evaluación de nuestra capacidad crediticia o la legalidad de su inversión. El contenido del Prospecto y/o del suplemento de precio aplicable no debe ser interpretado como asesoramiento legal, comercial, financiero, impositivo y/o de otro tipo. Se lo aconseja a consultar a sus propios abogados, contadores o asesores comerciales respecto de las cuestiones legales, impositivas, comerciales, financieras y relacionadas asociadas a la inversión en nuestras Obligaciones Negociables.</w:t>
      </w:r>
    </w:p>
    <w:p w14:paraId="79385C9B" w14:textId="77777777" w:rsidR="00CB5660" w:rsidRPr="00AE4E8D" w:rsidRDefault="00CB5660" w:rsidP="00E00FA7">
      <w:pPr>
        <w:pStyle w:val="BHTexto"/>
        <w:rPr>
          <w:lang w:val="es-ES"/>
        </w:rPr>
      </w:pPr>
      <w:r w:rsidRPr="00AE4E8D">
        <w:rPr>
          <w:lang w:val="es-ES"/>
        </w:rPr>
        <w:t xml:space="preserve">Las Obligaciones Negociables no han sido aprobadas o recomendadas por ninguna comisión de valores federal o estatal de Estados Unidos </w:t>
      </w:r>
      <w:r w:rsidR="009C3D02" w:rsidRPr="00AE4E8D">
        <w:rPr>
          <w:lang w:val="es-ES"/>
        </w:rPr>
        <w:t xml:space="preserve">de América </w:t>
      </w:r>
      <w:r w:rsidRPr="00AE4E8D">
        <w:rPr>
          <w:lang w:val="es-ES"/>
        </w:rPr>
        <w:t xml:space="preserve">o cualquier otra autoridad regulatoria de Estados Unidos </w:t>
      </w:r>
      <w:r w:rsidR="009C3D02" w:rsidRPr="00AE4E8D">
        <w:rPr>
          <w:lang w:val="es-ES"/>
        </w:rPr>
        <w:t xml:space="preserve">de América </w:t>
      </w:r>
      <w:r w:rsidRPr="00AE4E8D">
        <w:rPr>
          <w:lang w:val="es-ES"/>
        </w:rPr>
        <w:t>o Argentina, o cualquier otra entidad regulatoria</w:t>
      </w:r>
      <w:r w:rsidR="00CE0B1E" w:rsidRPr="00AE4E8D">
        <w:rPr>
          <w:lang w:val="es-ES"/>
        </w:rPr>
        <w:t xml:space="preserve"> de </w:t>
      </w:r>
      <w:r w:rsidR="00D2474B" w:rsidRPr="00AE4E8D">
        <w:rPr>
          <w:lang w:val="es-ES"/>
        </w:rPr>
        <w:t>otra</w:t>
      </w:r>
      <w:r w:rsidR="00CE0B1E" w:rsidRPr="00AE4E8D">
        <w:rPr>
          <w:lang w:val="es-ES"/>
        </w:rPr>
        <w:t xml:space="preserve"> jurisdicción</w:t>
      </w:r>
      <w:r w:rsidRPr="00AE4E8D">
        <w:rPr>
          <w:lang w:val="es-ES"/>
        </w:rPr>
        <w:t>. Además, las mencionadas autoridades no han evaluado los méritos de cualquier oferta o confirmado la exactitud o determinado la idoneidad de este Prospecto o cualquier suplemento de precio. La distribución de este Prospecto por nosotros y/o cualquier colocador no deberá ser interpretada como (i) una oferta para comprar o vender las Obligaciones Negociables en una jurisdicción donde ello esté prohibido y/o (ii) una recomendación para invertir en las Obligaciones Negociables. Cualquier manifestación en contrario es un delito penal en los Estados Unidos</w:t>
      </w:r>
      <w:r w:rsidR="009C3D02" w:rsidRPr="00AE4E8D">
        <w:rPr>
          <w:lang w:val="es-ES"/>
        </w:rPr>
        <w:t xml:space="preserve"> de América</w:t>
      </w:r>
      <w:r w:rsidRPr="00AE4E8D">
        <w:rPr>
          <w:lang w:val="es-ES"/>
        </w:rPr>
        <w:t>.</w:t>
      </w:r>
    </w:p>
    <w:p w14:paraId="02459056" w14:textId="77777777" w:rsidR="00CB5660" w:rsidRPr="00AE4E8D" w:rsidRDefault="00CB5660" w:rsidP="00E00FA7">
      <w:pPr>
        <w:pStyle w:val="BHTexto"/>
        <w:rPr>
          <w:lang w:val="es-ES"/>
        </w:rPr>
      </w:pPr>
      <w:r w:rsidRPr="00AE4E8D">
        <w:rPr>
          <w:lang w:val="es-ES"/>
        </w:rPr>
        <w:t>Los potenciales inversores sólo deben basarse en información contenida en este Prospecto</w:t>
      </w:r>
      <w:r w:rsidR="00881D65" w:rsidRPr="00AE4E8D">
        <w:rPr>
          <w:lang w:val="es-ES"/>
        </w:rPr>
        <w:t xml:space="preserve"> y en el suplemento de precio aplicable</w:t>
      </w:r>
      <w:r w:rsidRPr="00AE4E8D">
        <w:rPr>
          <w:lang w:val="es-ES"/>
        </w:rPr>
        <w:t>. No hemos autorizado a ninguna otra persona a proveerles información diferente o adicional, ni lo han hecho los colocadores y agentes. Si alguna persona les provee información diferente o inconsistente, no deben basarse en ella. Nosotros y los agentes colocadores no asumimos responsabilidad alguna por la información que otros puedan proveerles. Deben asumir que la información incluida en este Prospecto es exacta a la fecha de emisión de este Prospecto, impresa en la carátula, y no a cualquier otra fecha. Los negocios, situación patrimonial, resultados de nuestras operaciones y nuestras perspectivas pueden haber cambiado desde dicha fecha. Ni la entrega de este Prospecto ni del suplemento de precio aplicable ni ninguna venta realizada conforme al presente o en virtud del mismo implica que la información aquí o allí contenida es correcta en cualquier fecha posterior a la fecha de la portada de este Prospecto y del suplemento de precio aplicable.</w:t>
      </w:r>
    </w:p>
    <w:p w14:paraId="41BEE79E" w14:textId="77777777" w:rsidR="00CB5660" w:rsidRPr="00AE4E8D" w:rsidRDefault="00CB5660" w:rsidP="00E00FA7">
      <w:pPr>
        <w:pStyle w:val="BHTexto"/>
        <w:rPr>
          <w:i/>
          <w:lang w:val="es-ES"/>
        </w:rPr>
      </w:pPr>
      <w:r w:rsidRPr="00AE4E8D">
        <w:rPr>
          <w:lang w:val="es-ES"/>
        </w:rPr>
        <w:t xml:space="preserve">Este Prospecto y/o cualquier suplemento de precio aplicable no constituye una oferta para la venta o invitación a realizar ofertas de compra de ninguna Obligación Negociable en ninguna jurisdicción a ninguna persona a la que sea ilícito realizar la oferta o invitación en dicha jurisdicción y este Prospecto y/o cualquier suplemento de precio aplicable no constituye una invitación a suscribir o comprar Obligaciones Negociables. La distribución de este Prospecto o cualquier parte de éste, incluido el </w:t>
      </w:r>
      <w:r w:rsidRPr="00AE4E8D">
        <w:rPr>
          <w:lang w:val="es-ES"/>
        </w:rPr>
        <w:lastRenderedPageBreak/>
        <w:t xml:space="preserve">suplemento de precio, y la oferta, venta y entrega de las Obligaciones Negociables en ciertas jurisdicciones puede ser restringida por ley. Deberá cumplir con todas las leyes y regulaciones aplicables vigentes en cualquier jurisdicción en la que compre, ofrezca o venda las Obligaciones Negociables o posea o distribuya el presente Prospecto y/o cualquier suplemento de precio y deba obtener cualquier aprobación, autorización o permiso requerido para la compra, oferta o venta de las Obligaciones Negociables bajo las leyes y regulaciones vigentes en cualquier jurisdicción a la cual usted esté sujeto o en la cual realice tales compras, ofertas o ventas, y ni nosotros ni ninguno de los colocadores tendrá responsabilidad alguna al respecto. Nosotros y los colocadores requerimos que las personas que tomen conocimiento de este Prospecto, se informen respecto de tales restricciones y las observen. Para una descripción de algunas otras restricciones a las ofertas, ventas y entregas de Obligaciones Negociables y la distribución de este Prospecto y otro material de oferta relativo a las Obligaciones Negociables, véase </w:t>
      </w:r>
      <w:r w:rsidRPr="00AE4E8D">
        <w:rPr>
          <w:i/>
          <w:lang w:val="es-ES"/>
        </w:rPr>
        <w:t>"Restricciones a la Transferencia".</w:t>
      </w:r>
    </w:p>
    <w:p w14:paraId="53C870F7" w14:textId="77777777" w:rsidR="00CB5660" w:rsidRPr="00AE4E8D" w:rsidRDefault="00CB5660" w:rsidP="00E00FA7">
      <w:pPr>
        <w:pStyle w:val="BHTexto"/>
        <w:rPr>
          <w:lang w:val="es-ES"/>
        </w:rPr>
      </w:pPr>
      <w:r w:rsidRPr="00AE4E8D">
        <w:rPr>
          <w:color w:val="212121"/>
          <w:lang w:val="es-ES" w:eastAsia="es-AR"/>
        </w:rPr>
        <w:t xml:space="preserve">Este Prospecto está destinado exclusivamente a solicitar manifestaciones de interés por parte de inversores calificados respecto de las Obligaciones Negociables y no pretende resumir todos los términos, condiciones, pactos y otras disposiciones relativas a los términos y condiciones de las Obligaciones Negociables contenidas en el contrato aplicable o contrato de colocación, en su caso, suscrito en relación con la emisión de las Obligaciones Negociables como se describe aquí y en otros documentos de la transacción aquí descriptos. La información de mercado en este Prospecto ha sido obtenida por nosotros de fuentes de acceso público que consideramos confiables. Asumimos la responsabilidad por haber tomado correctamente y reproducido dicha información. A pesar de cualquier investigación que los compradores iniciales pueden haber llevado a cabo con respecto a la información contenida en este Prospecto, los compradores iniciales no aceptan ninguna responsabilidad en relación con la información contenida en este Prospecto o su distribución o con respecto a </w:t>
      </w:r>
      <w:r w:rsidRPr="00AE4E8D">
        <w:rPr>
          <w:lang w:val="es-ES"/>
        </w:rPr>
        <w:t>cualquier otra información proporcionada por nosotros o en nuestro nombre.</w:t>
      </w:r>
    </w:p>
    <w:p w14:paraId="4BA29908" w14:textId="77777777" w:rsidR="00CB5660" w:rsidRPr="00AE4E8D" w:rsidRDefault="00CB5660" w:rsidP="00E00FA7">
      <w:pPr>
        <w:pStyle w:val="BHTexto"/>
        <w:rPr>
          <w:color w:val="212121"/>
          <w:lang w:val="es-ES" w:eastAsia="es-AR"/>
        </w:rPr>
      </w:pPr>
      <w:r w:rsidRPr="00AE4E8D">
        <w:rPr>
          <w:lang w:val="es-ES"/>
        </w:rPr>
        <w:t xml:space="preserve">En este Prospecto, a menos que las circunstancias indiquen lo contrario, las referencias al “Banco”, </w:t>
      </w:r>
      <w:r w:rsidRPr="00AE4E8D">
        <w:rPr>
          <w:color w:val="212121"/>
          <w:lang w:val="es-ES"/>
        </w:rPr>
        <w:t>“</w:t>
      </w:r>
      <w:r w:rsidRPr="00AE4E8D">
        <w:rPr>
          <w:color w:val="212121"/>
          <w:lang w:val="es-ES" w:eastAsia="es-AR"/>
        </w:rPr>
        <w:t>nosotros” y “nuestro” son a Banco Hipotecario S.A. y sus subsidiarias sobre bases consolidadas.</w:t>
      </w:r>
    </w:p>
    <w:p w14:paraId="37D5B7ED" w14:textId="77777777" w:rsidR="00CB5660" w:rsidRPr="00AE4E8D" w:rsidRDefault="00CB5660" w:rsidP="00E00FA7">
      <w:pPr>
        <w:pStyle w:val="BH1Centro"/>
        <w:rPr>
          <w:rFonts w:ascii="Times New Roman" w:hAnsi="Times New Roman"/>
          <w:lang w:val="es-ES"/>
        </w:rPr>
      </w:pPr>
      <w:bookmarkStart w:id="23" w:name="_Toc449010419"/>
      <w:bookmarkStart w:id="24" w:name="_Toc487734729"/>
      <w:bookmarkStart w:id="25" w:name="_Toc495343615"/>
      <w:bookmarkStart w:id="26" w:name="_Toc495399740"/>
      <w:bookmarkStart w:id="27" w:name="_Toc495399863"/>
      <w:bookmarkStart w:id="28" w:name="_Toc495972956"/>
      <w:r w:rsidRPr="00AE4E8D">
        <w:rPr>
          <w:rFonts w:ascii="Times New Roman" w:hAnsi="Times New Roman"/>
          <w:lang w:val="es-ES"/>
        </w:rPr>
        <w:t>ADVERTENCIA AL PÚBLICO INVERSOR</w:t>
      </w:r>
      <w:bookmarkEnd w:id="23"/>
      <w:bookmarkEnd w:id="24"/>
      <w:bookmarkEnd w:id="25"/>
      <w:bookmarkEnd w:id="26"/>
      <w:bookmarkEnd w:id="27"/>
      <w:bookmarkEnd w:id="28"/>
    </w:p>
    <w:p w14:paraId="1CFDC7C8" w14:textId="77777777" w:rsidR="00CB5660" w:rsidRPr="00AE4E8D" w:rsidRDefault="00CB5660" w:rsidP="00E00FA7">
      <w:pPr>
        <w:pStyle w:val="BHTexto"/>
        <w:rPr>
          <w:lang w:val="es-ES"/>
        </w:rPr>
      </w:pPr>
      <w:r w:rsidRPr="00AE4E8D">
        <w:rPr>
          <w:lang w:val="es-ES"/>
        </w:rPr>
        <w:t>De conformidad con lo previsto en la Comunicación “A” 5390, en el caso de que hagamos uso de redescuentos o adelantos del BCRA para situaciones transitorias de iliquidez, no podremos adquirir valores negociables emitidos por nosotros, incluyendo las Obligaciones Negociables, aun cuando haya transcurrido el plazo mínimo de 30 días desde la fecha de emisión, última negociación o transferencia, mientras se mantengan vigentes aquellas facilidades.</w:t>
      </w:r>
    </w:p>
    <w:p w14:paraId="4EE5FE79" w14:textId="77777777" w:rsidR="00CB5660" w:rsidRPr="00AE4E8D" w:rsidRDefault="00CB5660" w:rsidP="00E00FA7">
      <w:pPr>
        <w:pStyle w:val="BHTexto"/>
        <w:rPr>
          <w:lang w:val="es-ES"/>
        </w:rPr>
      </w:pPr>
      <w:r w:rsidRPr="00AE4E8D">
        <w:rPr>
          <w:lang w:val="es-ES"/>
        </w:rPr>
        <w:t>Asimismo, no podremos comprar para su posterior recolocación nuestras propias emisiones de deuda subordinada que haya sido o sea considerada a los fines de la determinación de la responsabilidad patrimonial computable.</w:t>
      </w:r>
    </w:p>
    <w:p w14:paraId="68605859" w14:textId="77777777" w:rsidR="00CB5660" w:rsidRPr="00AE4E8D" w:rsidRDefault="00CB5660" w:rsidP="00E00FA7">
      <w:pPr>
        <w:pStyle w:val="BHTexto"/>
        <w:rPr>
          <w:lang w:val="es-ES"/>
        </w:rPr>
      </w:pPr>
      <w:r w:rsidRPr="00AE4E8D">
        <w:rPr>
          <w:lang w:val="es-ES"/>
        </w:rPr>
        <w:t>En caso de emitir deuda subordinada, admitida para determinar la responsabilidad patrimonial computable, o convertible en acciones del Banco no podremos recibir títulos o documentos que representen dicha deuda subordinada en garantía de financiaciones o como contragarantía de avales otorgados a favor de terceros o de responsabilidades eventuales asumidas por cuenta de terceros.</w:t>
      </w:r>
    </w:p>
    <w:p w14:paraId="532A39DA" w14:textId="77777777" w:rsidR="00CB5660" w:rsidRPr="00AE4E8D" w:rsidRDefault="00CB5660" w:rsidP="00164743">
      <w:pPr>
        <w:pStyle w:val="BH1Centro"/>
        <w:rPr>
          <w:rFonts w:ascii="Times New Roman" w:hAnsi="Times New Roman"/>
          <w:lang w:val="es-ES"/>
        </w:rPr>
      </w:pPr>
      <w:bookmarkStart w:id="29" w:name="_Toc414610829"/>
      <w:bookmarkStart w:id="30" w:name="_Toc417389016"/>
      <w:bookmarkStart w:id="31" w:name="_Toc418848311"/>
      <w:bookmarkStart w:id="32" w:name="_Toc449010420"/>
      <w:bookmarkStart w:id="33" w:name="_Toc487734730"/>
      <w:bookmarkStart w:id="34" w:name="_Toc495972957"/>
      <w:bookmarkStart w:id="35" w:name="_Toc495399864"/>
      <w:r w:rsidRPr="00AE4E8D">
        <w:rPr>
          <w:rFonts w:ascii="Times New Roman" w:hAnsi="Times New Roman"/>
          <w:lang w:val="es-ES"/>
        </w:rPr>
        <w:t>ADVERTENCIA AL PÚBLICO INVERSOR</w:t>
      </w:r>
      <w:bookmarkEnd w:id="29"/>
      <w:bookmarkEnd w:id="30"/>
      <w:bookmarkEnd w:id="31"/>
      <w:bookmarkEnd w:id="32"/>
      <w:bookmarkEnd w:id="33"/>
      <w:bookmarkEnd w:id="34"/>
      <w:bookmarkEnd w:id="35"/>
    </w:p>
    <w:p w14:paraId="15FA5323" w14:textId="77777777" w:rsidR="00CB5660" w:rsidRPr="00AE4E8D" w:rsidRDefault="00CB5660" w:rsidP="00EC0AAC">
      <w:pPr>
        <w:pStyle w:val="BHTexto"/>
        <w:rPr>
          <w:lang w:val="es-ES"/>
        </w:rPr>
      </w:pPr>
      <w:bookmarkStart w:id="36" w:name="_Toc420062523"/>
      <w:bookmarkStart w:id="37" w:name="_Toc421201301"/>
      <w:bookmarkStart w:id="38" w:name="_Toc449010421"/>
      <w:bookmarkStart w:id="39" w:name="_Toc170617810"/>
      <w:bookmarkStart w:id="40" w:name="_Toc170643800"/>
      <w:bookmarkStart w:id="41" w:name="_Toc414610831"/>
      <w:bookmarkEnd w:id="12"/>
      <w:bookmarkEnd w:id="13"/>
      <w:r w:rsidRPr="00AE4E8D">
        <w:rPr>
          <w:lang w:val="es-ES"/>
        </w:rPr>
        <w:t xml:space="preserve">En relación con la emisión de Obligaciones Negociables, los </w:t>
      </w:r>
      <w:r w:rsidR="00D34803" w:rsidRPr="00AE4E8D">
        <w:rPr>
          <w:lang w:val="es-ES"/>
        </w:rPr>
        <w:t>c</w:t>
      </w:r>
      <w:r w:rsidRPr="00AE4E8D">
        <w:rPr>
          <w:lang w:val="es-ES"/>
        </w:rPr>
        <w:t>olocadores, si los hubiera, o cualquier persona que actúe en nombre suyo podrá, una vez que las Obligaciones Negociables ingresen en la negociación secundaria, podrán realizar operaciones destinadas a estabilizar el precio de mercado de dichos valores, únicamente a través de los sistemas informáticos de negociación por interferencia de ofertas que aseguren la prioridad precio tiempo, garantizados por el Mercado y/o la Cámara Compensadora en su caso, de conformidad con lo establecido en la Ley de Mercado de Capitales, y el artículo 12 de la Sección IV del Capítulo IV, del Título VI de las Normas de CNV (incorporado a las Normas de la CNV por la Resolución General 662/2016). En virtud del mencionado artículo, las operaciones de estabilización deben cumplir con las siguientes condiciones:</w:t>
      </w:r>
    </w:p>
    <w:p w14:paraId="3F54319E" w14:textId="77777777" w:rsidR="00CB5660" w:rsidRPr="00AE4E8D" w:rsidRDefault="00CB5660" w:rsidP="000668B5">
      <w:pPr>
        <w:pStyle w:val="BHVieta2"/>
        <w:numPr>
          <w:ilvl w:val="0"/>
          <w:numId w:val="57"/>
        </w:numPr>
        <w:ind w:left="1418"/>
        <w:rPr>
          <w:lang w:val="es-ES"/>
        </w:rPr>
      </w:pPr>
      <w:r w:rsidRPr="00AE4E8D">
        <w:rPr>
          <w:lang w:val="es-ES"/>
        </w:rPr>
        <w:t>El prospecto correspondiente a la oferta pública debe incluir una advertencia dirigida a los inversores en la que se describa la posibilidad de realizar operaciones de estabilización, su duración y sus condiciones.</w:t>
      </w:r>
    </w:p>
    <w:p w14:paraId="1C005451" w14:textId="77777777" w:rsidR="00CB5660" w:rsidRPr="00AE4E8D" w:rsidRDefault="00CB5660" w:rsidP="000668B5">
      <w:pPr>
        <w:pStyle w:val="BHVieta2"/>
        <w:numPr>
          <w:ilvl w:val="0"/>
          <w:numId w:val="57"/>
        </w:numPr>
        <w:ind w:left="1418"/>
        <w:rPr>
          <w:lang w:val="es-ES"/>
        </w:rPr>
      </w:pPr>
      <w:r w:rsidRPr="00AE4E8D">
        <w:rPr>
          <w:lang w:val="es-ES"/>
        </w:rPr>
        <w:lastRenderedPageBreak/>
        <w:t>Las operaciones de estabilización solo podrán ser realizadas por agentes que hayan participado en la organización y coordinación de la colocación y distribución de la emisión.</w:t>
      </w:r>
    </w:p>
    <w:p w14:paraId="53AF59B4" w14:textId="77777777" w:rsidR="00CB5660" w:rsidRPr="00AE4E8D" w:rsidRDefault="00CB5660" w:rsidP="000668B5">
      <w:pPr>
        <w:pStyle w:val="BHVieta2"/>
        <w:numPr>
          <w:ilvl w:val="0"/>
          <w:numId w:val="57"/>
        </w:numPr>
        <w:ind w:left="1418"/>
        <w:rPr>
          <w:lang w:val="es-ES"/>
        </w:rPr>
      </w:pPr>
      <w:r w:rsidRPr="00AE4E8D">
        <w:rPr>
          <w:lang w:val="es-ES"/>
        </w:rPr>
        <w:t>No pueden exceder el plazo de los primeros treinta (30) días corridos posteriores siguientes al primer día en el cual se inició la negociación secundaria de los títulos en el mercado.</w:t>
      </w:r>
    </w:p>
    <w:p w14:paraId="091123AA" w14:textId="77777777" w:rsidR="00CB5660" w:rsidRPr="00AE4E8D" w:rsidRDefault="00CB5660" w:rsidP="000668B5">
      <w:pPr>
        <w:pStyle w:val="BHVieta2"/>
        <w:numPr>
          <w:ilvl w:val="0"/>
          <w:numId w:val="57"/>
        </w:numPr>
        <w:ind w:left="1418"/>
        <w:rPr>
          <w:lang w:val="es-ES"/>
        </w:rPr>
      </w:pPr>
      <w:r w:rsidRPr="00AE4E8D">
        <w:rPr>
          <w:lang w:val="es-ES"/>
        </w:rPr>
        <w:t>Las operaciones de estabilización podrán ser destinadas a evitar o moderar alteraciones bruscas en el precio de los valores negociables que hayan sido objetos de la colocación primaria por medio del sistema de formación de libro o por subasta o licitación pública.</w:t>
      </w:r>
    </w:p>
    <w:p w14:paraId="7191D8FE" w14:textId="77777777" w:rsidR="00CB5660" w:rsidRPr="00AE4E8D" w:rsidRDefault="00CB5660" w:rsidP="000668B5">
      <w:pPr>
        <w:pStyle w:val="BHVieta2"/>
        <w:numPr>
          <w:ilvl w:val="0"/>
          <w:numId w:val="57"/>
        </w:numPr>
        <w:ind w:left="1418"/>
        <w:rPr>
          <w:lang w:val="es-ES"/>
        </w:rPr>
      </w:pPr>
      <w:r w:rsidRPr="00AE4E8D">
        <w:rPr>
          <w:lang w:val="es-ES"/>
        </w:rPr>
        <w:t>Ninguna de las operaciones de estabilización llevadas a cabo dentro del plazo autorizado se realizarán a precios más altos que los negociados en los mercados, en operaciones celebradas entre partes no vinculadas con actividades de organización, colocación y distribución.</w:t>
      </w:r>
    </w:p>
    <w:p w14:paraId="033E76DF" w14:textId="77777777" w:rsidR="00CB5660" w:rsidRPr="00AE4E8D" w:rsidRDefault="00CB5660" w:rsidP="000668B5">
      <w:pPr>
        <w:pStyle w:val="BHVieta2"/>
        <w:numPr>
          <w:ilvl w:val="0"/>
          <w:numId w:val="57"/>
        </w:numPr>
        <w:ind w:left="1418"/>
        <w:rPr>
          <w:lang w:val="es-ES"/>
        </w:rPr>
      </w:pPr>
      <w:r w:rsidRPr="00AE4E8D">
        <w:rPr>
          <w:lang w:val="es-ES"/>
        </w:rPr>
        <w:t xml:space="preserve">Los agentes que realicen operaciones en los términos aquí indicados, deberán informar a los mercados la individualización de las mismas. Los mercados deberán hacer públicas las operaciones de estabilización, ya fuere en cada operación individual, o al final de la jornada de negociación. </w:t>
      </w:r>
    </w:p>
    <w:p w14:paraId="0E630063" w14:textId="77777777" w:rsidR="00CB5660" w:rsidRPr="00AE4E8D" w:rsidRDefault="00CB5660" w:rsidP="00164743">
      <w:pPr>
        <w:pStyle w:val="BH1Centro"/>
        <w:rPr>
          <w:rFonts w:ascii="Times New Roman" w:hAnsi="Times New Roman"/>
          <w:lang w:val="es-ES"/>
        </w:rPr>
      </w:pPr>
      <w:bookmarkStart w:id="42" w:name="_Toc487734731"/>
      <w:bookmarkStart w:id="43" w:name="_Toc495972958"/>
      <w:bookmarkStart w:id="44" w:name="_Toc495399865"/>
      <w:r w:rsidRPr="00AE4E8D">
        <w:rPr>
          <w:rFonts w:ascii="Times New Roman" w:hAnsi="Times New Roman"/>
          <w:lang w:val="es-ES"/>
        </w:rPr>
        <w:t>DECLARACIONES REFERENTES A HECHOS FUTUROS</w:t>
      </w:r>
      <w:bookmarkEnd w:id="36"/>
      <w:bookmarkEnd w:id="37"/>
      <w:bookmarkEnd w:id="38"/>
      <w:bookmarkEnd w:id="42"/>
      <w:bookmarkEnd w:id="43"/>
      <w:bookmarkEnd w:id="44"/>
    </w:p>
    <w:p w14:paraId="0712925D" w14:textId="77777777" w:rsidR="00CB5660" w:rsidRPr="00AE4E8D" w:rsidRDefault="00CB5660" w:rsidP="00164743">
      <w:pPr>
        <w:pStyle w:val="BHTexto"/>
        <w:rPr>
          <w:lang w:val="es-ES"/>
        </w:rPr>
      </w:pPr>
      <w:r w:rsidRPr="00AE4E8D">
        <w:rPr>
          <w:lang w:val="es-ES"/>
        </w:rPr>
        <w:t>En el presente Prospecto se han incluido declaraciones referentes a hechos futuros tal como se lo define en la Sección 27A de la Ley de Títulos Valores de Estados Unidos de América y en la Sección 21E de la Ley de Mercados de Valores de 1934 de los Estados Unidos de América, con sus modificaciones (la “</w:t>
      </w:r>
      <w:r w:rsidRPr="00AE4E8D">
        <w:rPr>
          <w:u w:val="single"/>
          <w:lang w:val="es-ES"/>
        </w:rPr>
        <w:t>Ley de Mercados</w:t>
      </w:r>
      <w:r w:rsidRPr="00AE4E8D">
        <w:rPr>
          <w:lang w:val="es-ES"/>
        </w:rPr>
        <w:t xml:space="preserve">”), principalmente en las secciones tituladas </w:t>
      </w:r>
      <w:r w:rsidRPr="00AE4E8D">
        <w:rPr>
          <w:i/>
          <w:lang w:val="es-ES"/>
        </w:rPr>
        <w:t>“Resumen del Prospecto”</w:t>
      </w:r>
      <w:r w:rsidRPr="00AE4E8D">
        <w:rPr>
          <w:lang w:val="es-ES"/>
        </w:rPr>
        <w:t xml:space="preserve">, </w:t>
      </w:r>
      <w:r w:rsidRPr="00AE4E8D">
        <w:rPr>
          <w:i/>
          <w:lang w:val="es-ES"/>
        </w:rPr>
        <w:t>“Factores de Riesgo”</w:t>
      </w:r>
      <w:r w:rsidRPr="00AE4E8D">
        <w:rPr>
          <w:lang w:val="es-ES"/>
        </w:rPr>
        <w:t xml:space="preserve">, </w:t>
      </w:r>
      <w:r w:rsidRPr="00AE4E8D">
        <w:rPr>
          <w:i/>
          <w:lang w:val="es-ES"/>
        </w:rPr>
        <w:t>“Reseña y Perspectiva Operativa Financiera”,</w:t>
      </w:r>
      <w:r w:rsidRPr="00AE4E8D">
        <w:rPr>
          <w:lang w:val="es-ES"/>
        </w:rPr>
        <w:t xml:space="preserve"> </w:t>
      </w:r>
      <w:r w:rsidRPr="00AE4E8D">
        <w:rPr>
          <w:i/>
          <w:lang w:val="es-ES"/>
        </w:rPr>
        <w:t xml:space="preserve">“Historia y desarrollo del Banco” </w:t>
      </w:r>
      <w:r w:rsidRPr="00AE4E8D">
        <w:rPr>
          <w:lang w:val="es-ES"/>
        </w:rPr>
        <w:t xml:space="preserve">y </w:t>
      </w:r>
      <w:r w:rsidRPr="00AE4E8D">
        <w:rPr>
          <w:i/>
          <w:lang w:val="es-ES"/>
        </w:rPr>
        <w:t>“Descripción de nuestros negocios”</w:t>
      </w:r>
      <w:r w:rsidRPr="00AE4E8D">
        <w:rPr>
          <w:lang w:val="es-ES"/>
        </w:rPr>
        <w:t>. Tales declaraciones a futuro se basan fundamentalmente en opiniones, expectativas y proyecciones actuales respecto de los acontecimientos y las tendencias financieras que afecten o puedan afectar nuestros negocios, resultados de operaciones y perspectivas del negocio. Todas las declaraciones que no sean informaciones de hechos históricos incluidos en este Prospecto</w:t>
      </w:r>
      <w:r w:rsidR="00CB7F7E" w:rsidRPr="00AE4E8D">
        <w:rPr>
          <w:lang w:val="es-ES"/>
        </w:rPr>
        <w:t xml:space="preserve"> y en el suplemento de precio aplicable</w:t>
      </w:r>
      <w:r w:rsidRPr="00AE4E8D">
        <w:rPr>
          <w:lang w:val="es-ES"/>
        </w:rPr>
        <w:t>, incluyendo declaraciones sobre nuestra situación patrimonial futura, estrategia comercial, presupuestos, proyecciones de costos y planes y objetivos de la administración respecto de operaciones futuras constituyen declaraciones referentes a hechos futuros. Además, este tipo de declaraciones puede ser identificado en general mediante el uso de términos tales como “puede”, “podrá”, “prevé”, “tiene intención de”, “estima”, “anticipa”, “cree”, “planea”, “afirma” “considera” o “continúa”, o cualquiera de tales expresiones en negativo, variaciones de tales términos o terminología similar. Si bien consideramos que las estimaciones reflejadas en las mismas son razonables, no podemos dar garantías en relación con dichas declaraciones. Debido a que tales declaraciones están sujetas a riesgos e incertidumbres, los resultados reales pueden diferir de manera considerable y adversa de aquellos expresados o implícitos en tales declaraciones referentes a hechos futuros. Algunos de los factores que podrían hacer variar sustancialmente y en forma adversa los resultados reales son, sin limitación, los siguientes:</w:t>
      </w:r>
    </w:p>
    <w:p w14:paraId="6E85AD55" w14:textId="77777777" w:rsidR="00CB5660" w:rsidRPr="00AE4E8D" w:rsidRDefault="00CB5660" w:rsidP="00FA3175">
      <w:pPr>
        <w:pStyle w:val="BHVieta2"/>
        <w:numPr>
          <w:ilvl w:val="0"/>
          <w:numId w:val="49"/>
        </w:numPr>
        <w:ind w:left="1418"/>
        <w:rPr>
          <w:lang w:val="es-ES"/>
        </w:rPr>
      </w:pPr>
      <w:r w:rsidRPr="00AE4E8D">
        <w:rPr>
          <w:lang w:val="es-ES"/>
        </w:rPr>
        <w:t>cambios económicos generales, financieros, comerciales, políticos, legales, sociales, o de cualquier otra índole en la Argentina o en otros países de América Latina o cambios en los mercados desarrollados o emergentes</w:t>
      </w:r>
      <w:r w:rsidR="0096044C" w:rsidRPr="00AE4E8D">
        <w:rPr>
          <w:lang w:val="es-ES"/>
        </w:rPr>
        <w:t xml:space="preserve"> o fronterizos</w:t>
      </w:r>
      <w:r w:rsidRPr="00AE4E8D">
        <w:rPr>
          <w:lang w:val="es-ES"/>
        </w:rPr>
        <w:t>;</w:t>
      </w:r>
    </w:p>
    <w:p w14:paraId="195794E3" w14:textId="77777777" w:rsidR="00CB5660" w:rsidRPr="00AE4E8D" w:rsidRDefault="00CB5660" w:rsidP="00FA3175">
      <w:pPr>
        <w:pStyle w:val="BHVieta2"/>
        <w:numPr>
          <w:ilvl w:val="0"/>
          <w:numId w:val="49"/>
        </w:numPr>
        <w:ind w:left="1418"/>
        <w:rPr>
          <w:lang w:val="es-ES"/>
        </w:rPr>
      </w:pPr>
      <w:r w:rsidRPr="00AE4E8D">
        <w:rPr>
          <w:lang w:val="es-ES"/>
        </w:rPr>
        <w:t>bajas en los mercado</w:t>
      </w:r>
      <w:r w:rsidR="006465B5" w:rsidRPr="00AE4E8D">
        <w:rPr>
          <w:lang w:val="es-ES"/>
        </w:rPr>
        <w:t>s</w:t>
      </w:r>
      <w:r w:rsidRPr="00AE4E8D">
        <w:rPr>
          <w:lang w:val="es-ES"/>
        </w:rPr>
        <w:t xml:space="preserve"> de capitales y cambios en los mercados de capitales en general que puedan afectar políticas o actitudes hacia la Argentina o las empresas argentinas o valores </w:t>
      </w:r>
      <w:r w:rsidR="00140213" w:rsidRPr="00AE4E8D">
        <w:rPr>
          <w:lang w:val="es-ES"/>
        </w:rPr>
        <w:t xml:space="preserve">negociables </w:t>
      </w:r>
      <w:r w:rsidRPr="00AE4E8D">
        <w:rPr>
          <w:lang w:val="es-ES"/>
        </w:rPr>
        <w:t>emitidos por compañías argentinas, incluyendo políticas o actitudes relacionadas con préstamos o inversiones;</w:t>
      </w:r>
    </w:p>
    <w:p w14:paraId="4FF77772" w14:textId="77777777" w:rsidR="00CB5660" w:rsidRPr="00AE4E8D" w:rsidRDefault="00CB5660" w:rsidP="00FA3175">
      <w:pPr>
        <w:pStyle w:val="BHVieta2"/>
        <w:numPr>
          <w:ilvl w:val="0"/>
          <w:numId w:val="49"/>
        </w:numPr>
        <w:ind w:left="1418"/>
        <w:rPr>
          <w:lang w:val="es-ES"/>
        </w:rPr>
      </w:pPr>
      <w:r w:rsidRPr="00AE4E8D">
        <w:rPr>
          <w:lang w:val="es-ES"/>
        </w:rPr>
        <w:t>incremento de la inflación;</w:t>
      </w:r>
    </w:p>
    <w:p w14:paraId="63AE25FB" w14:textId="77777777" w:rsidR="00CB5660" w:rsidRPr="00AE4E8D" w:rsidRDefault="00CB5660" w:rsidP="00FA3175">
      <w:pPr>
        <w:pStyle w:val="BHVieta2"/>
        <w:numPr>
          <w:ilvl w:val="0"/>
          <w:numId w:val="49"/>
        </w:numPr>
        <w:ind w:left="1418"/>
        <w:rPr>
          <w:lang w:val="es-ES"/>
        </w:rPr>
      </w:pPr>
      <w:r w:rsidRPr="00AE4E8D">
        <w:rPr>
          <w:lang w:val="es-ES"/>
        </w:rPr>
        <w:t xml:space="preserve">devaluación </w:t>
      </w:r>
      <w:r w:rsidR="00CB7F7E" w:rsidRPr="00AE4E8D">
        <w:rPr>
          <w:lang w:val="es-ES"/>
        </w:rPr>
        <w:t xml:space="preserve">o depreciación </w:t>
      </w:r>
      <w:r w:rsidRPr="00AE4E8D">
        <w:rPr>
          <w:lang w:val="es-ES"/>
        </w:rPr>
        <w:t>del Peso argentino</w:t>
      </w:r>
      <w:r w:rsidR="00CB7F7E" w:rsidRPr="00AE4E8D">
        <w:rPr>
          <w:lang w:val="es-ES"/>
        </w:rPr>
        <w:t xml:space="preserve"> contra otras monedas, especialmente contra el </w:t>
      </w:r>
      <w:r w:rsidR="00407AEC" w:rsidRPr="00AE4E8D">
        <w:rPr>
          <w:lang w:val="es-ES"/>
        </w:rPr>
        <w:t>D</w:t>
      </w:r>
      <w:r w:rsidR="00CB7F7E" w:rsidRPr="00AE4E8D">
        <w:rPr>
          <w:lang w:val="es-ES"/>
        </w:rPr>
        <w:t xml:space="preserve">ólar </w:t>
      </w:r>
      <w:r w:rsidR="00407AEC" w:rsidRPr="00AE4E8D">
        <w:rPr>
          <w:lang w:val="es-ES"/>
        </w:rPr>
        <w:t>Estadounidense</w:t>
      </w:r>
      <w:r w:rsidRPr="00AE4E8D">
        <w:rPr>
          <w:lang w:val="es-ES"/>
        </w:rPr>
        <w:t>;</w:t>
      </w:r>
    </w:p>
    <w:p w14:paraId="2AF3F8A9" w14:textId="77777777" w:rsidR="00CB5660" w:rsidRPr="00AE4E8D" w:rsidRDefault="00CB5660" w:rsidP="00FA3175">
      <w:pPr>
        <w:pStyle w:val="BHVieta2"/>
        <w:numPr>
          <w:ilvl w:val="0"/>
          <w:numId w:val="49"/>
        </w:numPr>
        <w:ind w:left="1418"/>
        <w:rPr>
          <w:lang w:val="es-ES"/>
        </w:rPr>
      </w:pPr>
      <w:r w:rsidRPr="00AE4E8D">
        <w:rPr>
          <w:lang w:val="es-ES"/>
        </w:rPr>
        <w:t>aumentos en las tasas de interés y en el costo de los depósitos, que puedan afectar negativamente los márgenes financieros;</w:t>
      </w:r>
    </w:p>
    <w:p w14:paraId="6C972324" w14:textId="77777777" w:rsidR="00CB5660" w:rsidRPr="00AE4E8D" w:rsidRDefault="00CB5660" w:rsidP="00FA3175">
      <w:pPr>
        <w:pStyle w:val="BHVieta2"/>
        <w:numPr>
          <w:ilvl w:val="0"/>
          <w:numId w:val="49"/>
        </w:numPr>
        <w:ind w:left="1418"/>
        <w:rPr>
          <w:lang w:val="es-ES"/>
        </w:rPr>
      </w:pPr>
      <w:r w:rsidRPr="00AE4E8D">
        <w:rPr>
          <w:lang w:val="es-ES"/>
        </w:rPr>
        <w:t>intervención y regulación estatal (incluyendo regulación bancaria e impositiva);</w:t>
      </w:r>
    </w:p>
    <w:p w14:paraId="7D2BFB4F" w14:textId="77777777" w:rsidR="00CB5660" w:rsidRPr="00AE4E8D" w:rsidRDefault="00CB5660" w:rsidP="00FA3175">
      <w:pPr>
        <w:pStyle w:val="BHVieta2"/>
        <w:numPr>
          <w:ilvl w:val="0"/>
          <w:numId w:val="49"/>
        </w:numPr>
        <w:ind w:left="1418"/>
        <w:rPr>
          <w:lang w:val="es-ES"/>
        </w:rPr>
      </w:pPr>
      <w:r w:rsidRPr="00AE4E8D">
        <w:rPr>
          <w:lang w:val="es-ES"/>
        </w:rPr>
        <w:lastRenderedPageBreak/>
        <w:t>controles de cambio, restricciones a las transferencias al exterior y restricciones al ingreso de capitales;</w:t>
      </w:r>
    </w:p>
    <w:p w14:paraId="1B5500CF" w14:textId="77777777" w:rsidR="00CB5660" w:rsidRPr="00AE4E8D" w:rsidRDefault="00CB5660" w:rsidP="00FA3175">
      <w:pPr>
        <w:pStyle w:val="BHVieta2"/>
        <w:numPr>
          <w:ilvl w:val="0"/>
          <w:numId w:val="49"/>
        </w:numPr>
        <w:ind w:left="1418"/>
        <w:rPr>
          <w:lang w:val="es-ES"/>
        </w:rPr>
      </w:pPr>
      <w:r w:rsidRPr="00AE4E8D">
        <w:rPr>
          <w:lang w:val="es-ES"/>
        </w:rPr>
        <w:t>fallos adversos en disputas o procesos legales o regulatorios;</w:t>
      </w:r>
    </w:p>
    <w:p w14:paraId="270CC976" w14:textId="77777777" w:rsidR="00CB5660" w:rsidRPr="00AE4E8D" w:rsidRDefault="00CB5660" w:rsidP="00FA3175">
      <w:pPr>
        <w:pStyle w:val="BHVieta2"/>
        <w:numPr>
          <w:ilvl w:val="0"/>
          <w:numId w:val="49"/>
        </w:numPr>
        <w:ind w:left="1418"/>
        <w:rPr>
          <w:lang w:val="es-ES"/>
        </w:rPr>
      </w:pPr>
      <w:r w:rsidRPr="00AE4E8D">
        <w:rPr>
          <w:lang w:val="es-ES"/>
        </w:rPr>
        <w:t>riesgo crediticio y otros riesgos inherentes al otorgamiento de créditos, tales como aumento en la morosidad de prestatarios y otros incumplimientos;</w:t>
      </w:r>
    </w:p>
    <w:p w14:paraId="3099798D" w14:textId="77777777" w:rsidR="00CB5660" w:rsidRPr="00AE4E8D" w:rsidRDefault="00CB5660" w:rsidP="00FA3175">
      <w:pPr>
        <w:pStyle w:val="BHVieta2"/>
        <w:numPr>
          <w:ilvl w:val="0"/>
          <w:numId w:val="49"/>
        </w:numPr>
        <w:ind w:left="1418"/>
        <w:rPr>
          <w:lang w:val="es-ES"/>
        </w:rPr>
      </w:pPr>
      <w:r w:rsidRPr="00AE4E8D">
        <w:rPr>
          <w:lang w:val="es-ES"/>
        </w:rPr>
        <w:t>aumentos en las previsiones por incobrabilidad;</w:t>
      </w:r>
    </w:p>
    <w:p w14:paraId="0AD8ED38" w14:textId="77777777" w:rsidR="00CB5660" w:rsidRPr="00AE4E8D" w:rsidRDefault="00CB5660" w:rsidP="00FA3175">
      <w:pPr>
        <w:pStyle w:val="BHVieta2"/>
        <w:numPr>
          <w:ilvl w:val="0"/>
          <w:numId w:val="49"/>
        </w:numPr>
        <w:ind w:left="1418"/>
        <w:rPr>
          <w:lang w:val="es-ES"/>
        </w:rPr>
      </w:pPr>
      <w:r w:rsidRPr="00AE4E8D">
        <w:rPr>
          <w:lang w:val="es-ES"/>
        </w:rPr>
        <w:t>fluctuaciones y baja del valor de la deuda pública argentina;</w:t>
      </w:r>
    </w:p>
    <w:p w14:paraId="3F112C66" w14:textId="77777777" w:rsidR="00CB5660" w:rsidRPr="00AE4E8D" w:rsidRDefault="00CB5660" w:rsidP="00FA3175">
      <w:pPr>
        <w:pStyle w:val="BHVieta2"/>
        <w:numPr>
          <w:ilvl w:val="0"/>
          <w:numId w:val="49"/>
        </w:numPr>
        <w:ind w:left="1418"/>
        <w:rPr>
          <w:lang w:val="es-ES"/>
        </w:rPr>
      </w:pPr>
      <w:r w:rsidRPr="00AE4E8D">
        <w:rPr>
          <w:lang w:val="es-ES"/>
        </w:rPr>
        <w:t>disminución de los depósitos, pérdida de clientes y caída de los ingresos;</w:t>
      </w:r>
    </w:p>
    <w:p w14:paraId="10E12198" w14:textId="77777777" w:rsidR="00CB5660" w:rsidRPr="00AE4E8D" w:rsidRDefault="00CB5660" w:rsidP="00FA3175">
      <w:pPr>
        <w:pStyle w:val="BHVieta2"/>
        <w:numPr>
          <w:ilvl w:val="0"/>
          <w:numId w:val="49"/>
        </w:numPr>
        <w:ind w:left="1418"/>
        <w:rPr>
          <w:lang w:val="es-ES"/>
        </w:rPr>
      </w:pPr>
      <w:r w:rsidRPr="00AE4E8D">
        <w:rPr>
          <w:lang w:val="es-ES"/>
        </w:rPr>
        <w:t>competencia en el mercado bancario, financiero y otros relacionados, y pérdida de participación de mercado;</w:t>
      </w:r>
    </w:p>
    <w:p w14:paraId="27D28436" w14:textId="77777777" w:rsidR="00CB5660" w:rsidRPr="00AE4E8D" w:rsidRDefault="00CB5660" w:rsidP="00FA3175">
      <w:pPr>
        <w:pStyle w:val="BHVieta2"/>
        <w:numPr>
          <w:ilvl w:val="0"/>
          <w:numId w:val="49"/>
        </w:numPr>
        <w:ind w:left="1418"/>
        <w:rPr>
          <w:lang w:val="es-ES"/>
        </w:rPr>
      </w:pPr>
      <w:r w:rsidRPr="00AE4E8D">
        <w:rPr>
          <w:lang w:val="es-ES"/>
        </w:rPr>
        <w:t>aumento del costo de financiación o nuestra incapacidad de contraer deuda en condiciones atractivas;</w:t>
      </w:r>
    </w:p>
    <w:p w14:paraId="5226C3BD" w14:textId="77777777" w:rsidR="00CB5660" w:rsidRPr="00AE4E8D" w:rsidRDefault="00CB5660" w:rsidP="00FA3175">
      <w:pPr>
        <w:pStyle w:val="BHVieta2"/>
        <w:numPr>
          <w:ilvl w:val="0"/>
          <w:numId w:val="49"/>
        </w:numPr>
        <w:ind w:left="1418"/>
        <w:rPr>
          <w:lang w:val="es-ES"/>
        </w:rPr>
      </w:pPr>
      <w:r w:rsidRPr="00AE4E8D">
        <w:rPr>
          <w:lang w:val="es-ES"/>
        </w:rPr>
        <w:t>cambios tecnológicos, cambios en los hábitos de consumo y ahorro de consumidores, e incapacidad de implementar nuevas tecnologías;</w:t>
      </w:r>
    </w:p>
    <w:p w14:paraId="34300560" w14:textId="77777777" w:rsidR="00CB5660" w:rsidRPr="00AE4E8D" w:rsidRDefault="00CB5660" w:rsidP="00FA3175">
      <w:pPr>
        <w:pStyle w:val="BHVieta2"/>
        <w:numPr>
          <w:ilvl w:val="0"/>
          <w:numId w:val="49"/>
        </w:numPr>
        <w:ind w:left="1418"/>
        <w:rPr>
          <w:lang w:val="es-ES"/>
        </w:rPr>
      </w:pPr>
      <w:r w:rsidRPr="00AE4E8D">
        <w:rPr>
          <w:lang w:val="es-ES"/>
        </w:rPr>
        <w:t>efectos de la crisis global financiera y económica;</w:t>
      </w:r>
    </w:p>
    <w:p w14:paraId="314AF3F1" w14:textId="77777777" w:rsidR="00CB5660" w:rsidRPr="00AE4E8D" w:rsidRDefault="00CB5660" w:rsidP="00FA3175">
      <w:pPr>
        <w:pStyle w:val="BHVieta2"/>
        <w:numPr>
          <w:ilvl w:val="0"/>
          <w:numId w:val="49"/>
        </w:numPr>
        <w:ind w:left="1418"/>
        <w:rPr>
          <w:lang w:val="es-ES"/>
        </w:rPr>
      </w:pPr>
      <w:r w:rsidRPr="00AE4E8D">
        <w:rPr>
          <w:lang w:val="es-ES"/>
        </w:rPr>
        <w:t>restricciones al suministro de energía que pudieran afectar negativamente la economía Argentina;</w:t>
      </w:r>
    </w:p>
    <w:p w14:paraId="237D23A4" w14:textId="77777777" w:rsidR="00CB5660" w:rsidRPr="00AE4E8D" w:rsidRDefault="00CB5660" w:rsidP="00FA3175">
      <w:pPr>
        <w:pStyle w:val="BHVieta2"/>
        <w:numPr>
          <w:ilvl w:val="0"/>
          <w:numId w:val="49"/>
        </w:numPr>
        <w:ind w:left="1418"/>
        <w:rPr>
          <w:lang w:val="es-ES"/>
        </w:rPr>
      </w:pPr>
      <w:r w:rsidRPr="00AE4E8D">
        <w:rPr>
          <w:lang w:val="es-ES"/>
        </w:rPr>
        <w:t>leyes de defensa del consumidor pueden limitar la vigencia de algunos de nuestros derechos;</w:t>
      </w:r>
    </w:p>
    <w:p w14:paraId="12CD222C" w14:textId="77777777" w:rsidR="00CB5660" w:rsidRPr="00AE4E8D" w:rsidRDefault="00CB5660" w:rsidP="00FA3175">
      <w:pPr>
        <w:pStyle w:val="BHVieta2"/>
        <w:numPr>
          <w:ilvl w:val="0"/>
          <w:numId w:val="49"/>
        </w:numPr>
        <w:ind w:left="1418"/>
        <w:rPr>
          <w:lang w:val="es-ES"/>
        </w:rPr>
      </w:pPr>
      <w:r w:rsidRPr="00AE4E8D">
        <w:rPr>
          <w:lang w:val="es-ES"/>
        </w:rPr>
        <w:t>el impacto de las acciones llevadas a cabo por nuestros competidores y otras terceras personas;</w:t>
      </w:r>
    </w:p>
    <w:p w14:paraId="62A4B26C" w14:textId="77777777" w:rsidR="00CB5660" w:rsidRPr="00AE4E8D" w:rsidRDefault="00CB5660" w:rsidP="00FA3175">
      <w:pPr>
        <w:pStyle w:val="BHVieta2"/>
        <w:numPr>
          <w:ilvl w:val="0"/>
          <w:numId w:val="49"/>
        </w:numPr>
        <w:ind w:left="1418"/>
        <w:rPr>
          <w:lang w:val="es-ES"/>
        </w:rPr>
      </w:pPr>
      <w:r w:rsidRPr="00AE4E8D">
        <w:rPr>
          <w:lang w:val="es-ES"/>
        </w:rPr>
        <w:t>acciones de clase contra entidades financieras por monto indeterminado pueden afectar la rentabilidad del sistema financiero y la nuestra en particular;</w:t>
      </w:r>
    </w:p>
    <w:p w14:paraId="635DBB2A" w14:textId="77777777" w:rsidR="00CB5660" w:rsidRPr="00AE4E8D" w:rsidRDefault="00CB5660" w:rsidP="00FA3175">
      <w:pPr>
        <w:pStyle w:val="BHVieta2"/>
        <w:numPr>
          <w:ilvl w:val="0"/>
          <w:numId w:val="49"/>
        </w:numPr>
        <w:ind w:left="1418"/>
        <w:rPr>
          <w:lang w:val="es-ES"/>
        </w:rPr>
      </w:pPr>
      <w:r w:rsidRPr="00AE4E8D">
        <w:rPr>
          <w:lang w:val="es-ES"/>
        </w:rPr>
        <w:t>incapacidad de retener cierto personal y la habilidad de contratar nuevo personal clave;</w:t>
      </w:r>
    </w:p>
    <w:p w14:paraId="1DE2239C" w14:textId="77777777" w:rsidR="00CB5660" w:rsidRPr="00AE4E8D" w:rsidRDefault="00CB5660" w:rsidP="00FA3175">
      <w:pPr>
        <w:pStyle w:val="BHVieta2"/>
        <w:numPr>
          <w:ilvl w:val="0"/>
          <w:numId w:val="49"/>
        </w:numPr>
        <w:ind w:left="1418"/>
        <w:rPr>
          <w:lang w:val="es-ES"/>
        </w:rPr>
      </w:pPr>
      <w:r w:rsidRPr="00AE4E8D">
        <w:rPr>
          <w:lang w:val="es-ES"/>
        </w:rPr>
        <w:t>modificaciones en las leyes y regulaciones gubernamentales aplicables, particularmente las regulaciones del BCRA y las Normas de la CNV y otras regulaciones, relacionadas con nosotros y nuestros préstamos y demás actividades, cuestiones impositivas y condiciones de mercado (incluyendo actividades fiduciarias);</w:t>
      </w:r>
      <w:r w:rsidR="00407AEC" w:rsidRPr="00AE4E8D">
        <w:rPr>
          <w:lang w:val="es-ES"/>
        </w:rPr>
        <w:t xml:space="preserve"> y</w:t>
      </w:r>
    </w:p>
    <w:p w14:paraId="077CD9FD" w14:textId="77777777" w:rsidR="00CB5660" w:rsidRPr="00AE4E8D" w:rsidRDefault="00CB5660" w:rsidP="00FA3175">
      <w:pPr>
        <w:pStyle w:val="BHVieta2"/>
        <w:numPr>
          <w:ilvl w:val="0"/>
          <w:numId w:val="49"/>
        </w:numPr>
        <w:ind w:left="1418"/>
        <w:rPr>
          <w:lang w:val="es-ES"/>
        </w:rPr>
      </w:pPr>
      <w:r w:rsidRPr="00AE4E8D">
        <w:rPr>
          <w:lang w:val="es-ES"/>
        </w:rPr>
        <w:t>otros factores de riesgo analizados en la sección “</w:t>
      </w:r>
      <w:r w:rsidRPr="00AE4E8D">
        <w:rPr>
          <w:i/>
          <w:lang w:val="es-ES"/>
        </w:rPr>
        <w:t>Factores de Riesgo</w:t>
      </w:r>
      <w:r w:rsidRPr="00AE4E8D">
        <w:rPr>
          <w:lang w:val="es-ES"/>
        </w:rPr>
        <w:t xml:space="preserve">” a partir de la página </w:t>
      </w:r>
      <w:r w:rsidR="00A07C6D" w:rsidRPr="00AE4E8D">
        <w:rPr>
          <w:lang w:val="es-ES"/>
        </w:rPr>
        <w:fldChar w:fldCharType="begin"/>
      </w:r>
      <w:r w:rsidR="00A07C6D" w:rsidRPr="00AE4E8D">
        <w:rPr>
          <w:lang w:val="es-ES"/>
        </w:rPr>
        <w:instrText xml:space="preserve"> PAGEREF RF </w:instrText>
      </w:r>
      <w:r w:rsidR="00A07C6D" w:rsidRPr="00AE4E8D">
        <w:rPr>
          <w:lang w:val="es-ES"/>
        </w:rPr>
        <w:fldChar w:fldCharType="separate"/>
      </w:r>
      <w:r w:rsidR="002A450F">
        <w:rPr>
          <w:noProof/>
          <w:lang w:val="es-ES"/>
        </w:rPr>
        <w:t>26</w:t>
      </w:r>
      <w:r w:rsidR="00A07C6D" w:rsidRPr="00AE4E8D">
        <w:rPr>
          <w:lang w:val="es-ES"/>
        </w:rPr>
        <w:fldChar w:fldCharType="end"/>
      </w:r>
      <w:r w:rsidR="00A07C6D" w:rsidRPr="00AE4E8D">
        <w:rPr>
          <w:lang w:val="es-ES"/>
        </w:rPr>
        <w:t xml:space="preserve"> </w:t>
      </w:r>
      <w:r w:rsidRPr="00AE4E8D">
        <w:rPr>
          <w:lang w:val="es-ES"/>
        </w:rPr>
        <w:t>del presente.</w:t>
      </w:r>
    </w:p>
    <w:p w14:paraId="5BC368DE" w14:textId="77777777" w:rsidR="00CB5660" w:rsidRPr="00AE4E8D" w:rsidRDefault="00CB5660" w:rsidP="006659E6">
      <w:pPr>
        <w:pStyle w:val="BHTexto"/>
        <w:rPr>
          <w:lang w:val="es-ES"/>
        </w:rPr>
      </w:pPr>
      <w:r w:rsidRPr="00AE4E8D">
        <w:rPr>
          <w:lang w:val="es-ES"/>
        </w:rPr>
        <w:t>Tales declaraciones no deben tenerse en cuenta en mayor medida de lo apropiado, ya que las mismas son válidas únicamente a la fecha en que fueron formuladas. Estas declaraciones precautorias deben ser consideradas en relación con cualquier declaración referente a hechos futuros verbal o escrita que podamos emitir en el futuro. No asumimos ninguna obligación de difundir públicamente las modificaciones a tales declaraciones referentes a hechos futuros con posterioridad a la finalización de esta oferta a fin de reflejar hechos o circunstancias posteriores o el acaecimiento de hechos no previstos.</w:t>
      </w:r>
    </w:p>
    <w:p w14:paraId="729B020F" w14:textId="77777777" w:rsidR="00CB5660" w:rsidRPr="00AE4E8D" w:rsidRDefault="00CB5660" w:rsidP="006659E6">
      <w:pPr>
        <w:pStyle w:val="BHTexto"/>
        <w:rPr>
          <w:lang w:val="es-ES"/>
        </w:rPr>
      </w:pPr>
      <w:r w:rsidRPr="00AE4E8D">
        <w:rPr>
          <w:lang w:val="es-ES"/>
        </w:rPr>
        <w:t>A la luz de tales riesgos e incertidumbres, la información a futuro, eventos y circunstancias analizadas en este Prospecto podrían no ocurrir. Ninguna de tales declaraciones sobre hechos futuros es garantía de rendimiento futuro. Como resultado, los potenciales inversores no deben tomar una decisión de inversión basada en algunas declaraciones de hechos futuros contenidas en este Prospecto y/o cualquier suplemento de precio.</w:t>
      </w:r>
    </w:p>
    <w:p w14:paraId="3FAAEB7E" w14:textId="77777777" w:rsidR="00CB5660" w:rsidRPr="00AE4E8D" w:rsidRDefault="00CB5660">
      <w:pPr>
        <w:pStyle w:val="BH1Centro"/>
        <w:rPr>
          <w:rFonts w:ascii="Times New Roman" w:hAnsi="Times New Roman"/>
          <w:lang w:val="es-ES"/>
        </w:rPr>
      </w:pPr>
      <w:bookmarkStart w:id="45" w:name="_Toc170617812"/>
      <w:bookmarkStart w:id="46" w:name="_Toc170643802"/>
      <w:bookmarkStart w:id="47" w:name="_Toc414610834"/>
      <w:bookmarkStart w:id="48" w:name="_Toc420062524"/>
      <w:bookmarkStart w:id="49" w:name="_Toc421201302"/>
      <w:bookmarkStart w:id="50" w:name="_Toc449010422"/>
      <w:bookmarkStart w:id="51" w:name="_Toc487734732"/>
      <w:bookmarkStart w:id="52" w:name="_Toc495972959"/>
      <w:bookmarkStart w:id="53" w:name="_Toc495399866"/>
      <w:bookmarkEnd w:id="39"/>
      <w:bookmarkEnd w:id="40"/>
      <w:bookmarkEnd w:id="41"/>
      <w:r w:rsidRPr="00AE4E8D">
        <w:rPr>
          <w:rFonts w:ascii="Times New Roman" w:hAnsi="Times New Roman"/>
          <w:lang w:val="es-ES"/>
        </w:rPr>
        <w:t>INFORMACIÓN DISPONIBLE</w:t>
      </w:r>
      <w:bookmarkEnd w:id="45"/>
      <w:bookmarkEnd w:id="46"/>
      <w:bookmarkEnd w:id="47"/>
      <w:bookmarkEnd w:id="48"/>
      <w:bookmarkEnd w:id="49"/>
      <w:bookmarkEnd w:id="50"/>
      <w:bookmarkEnd w:id="51"/>
      <w:bookmarkEnd w:id="52"/>
      <w:bookmarkEnd w:id="53"/>
      <w:r w:rsidRPr="00AE4E8D">
        <w:rPr>
          <w:rFonts w:ascii="Times New Roman" w:hAnsi="Times New Roman"/>
          <w:lang w:val="es-ES"/>
        </w:rPr>
        <w:t xml:space="preserve"> </w:t>
      </w:r>
    </w:p>
    <w:p w14:paraId="1B1905EF" w14:textId="77777777" w:rsidR="00CB5660" w:rsidRPr="00AE4E8D" w:rsidRDefault="00CB5660" w:rsidP="006659E6">
      <w:pPr>
        <w:pStyle w:val="BHTexto"/>
        <w:rPr>
          <w:lang w:val="es-ES"/>
        </w:rPr>
      </w:pPr>
      <w:r w:rsidRPr="00AE4E8D">
        <w:rPr>
          <w:lang w:val="es-ES"/>
        </w:rPr>
        <w:t xml:space="preserve">A fin de permitir el cumplimiento de la Norma 144A en relación con las reventas de Obligaciones Negociables que constituyen “Obligaciones Negociables restringidas”, suministraremos a solicitud del tenedor de una Obligación Negociable o de un futuro comprador designado por dicho tenedor, la información que debe entregarse en virtud de la Norma 144A(d)(4) bajo la Ley de Títulos Valores, a menos que al momento de dicha solicitud, seamos una sociedad sujeta a los requisitos de información bajo el artículo 13 o el artículo 15(d) de la Ley de Mercados o estemos presentando a la Comisión de </w:t>
      </w:r>
      <w:r w:rsidRPr="00AE4E8D">
        <w:rPr>
          <w:lang w:val="es-ES"/>
        </w:rPr>
        <w:lastRenderedPageBreak/>
        <w:t>Valores y Mercados de los Estados Unidos de América (la “</w:t>
      </w:r>
      <w:r w:rsidRPr="00AE4E8D">
        <w:rPr>
          <w:u w:val="single"/>
          <w:lang w:val="es-ES"/>
        </w:rPr>
        <w:t>SEC</w:t>
      </w:r>
      <w:r w:rsidRPr="00AE4E8D">
        <w:rPr>
          <w:lang w:val="es-ES"/>
        </w:rPr>
        <w:t xml:space="preserve">”) la información requerida por la Norma 12g-3-2(b) bajo la Ley de Mercados. </w:t>
      </w:r>
    </w:p>
    <w:p w14:paraId="2A056E67" w14:textId="77777777" w:rsidR="0086239E" w:rsidRPr="00AE4E8D" w:rsidRDefault="00CB5660" w:rsidP="00474216">
      <w:pPr>
        <w:pStyle w:val="BH1Centro"/>
        <w:jc w:val="both"/>
        <w:outlineLvl w:val="9"/>
        <w:rPr>
          <w:rFonts w:ascii="Times New Roman" w:hAnsi="Times New Roman"/>
          <w:b w:val="0"/>
          <w:caps w:val="0"/>
          <w:lang w:val="es-ES"/>
        </w:rPr>
      </w:pPr>
      <w:r w:rsidRPr="00AE4E8D">
        <w:rPr>
          <w:rFonts w:ascii="Times New Roman" w:hAnsi="Times New Roman"/>
          <w:b w:val="0"/>
          <w:caps w:val="0"/>
          <w:lang w:val="es-ES"/>
        </w:rPr>
        <w:t xml:space="preserve">Podrán obtenerse copias en español de este Prospecto, de los suplementos de Prospecto y de cada suplemento de precio correspondiente a las clases a emitirse bajo el mismo, en el domicilio del Banco, sito en Reconquista 151 (C1003ABC), Ciudad Autónoma de Buenos Aires, Argentina y en el sitio web del Banco </w:t>
      </w:r>
      <w:hyperlink r:id="rId16" w:history="1">
        <w:r w:rsidRPr="00AE4E8D">
          <w:rPr>
            <w:rFonts w:ascii="Times New Roman" w:hAnsi="Times New Roman"/>
            <w:b w:val="0"/>
            <w:caps w:val="0"/>
            <w:lang w:val="es-ES"/>
          </w:rPr>
          <w:t>http://www.hipotecario.com.ar</w:t>
        </w:r>
      </w:hyperlink>
      <w:r w:rsidRPr="00AE4E8D">
        <w:rPr>
          <w:rFonts w:ascii="Times New Roman" w:hAnsi="Times New Roman"/>
          <w:b w:val="0"/>
          <w:caps w:val="0"/>
          <w:lang w:val="es-ES"/>
        </w:rPr>
        <w:t xml:space="preserve">. Asimismo, cualquier consulta podrá ser dirigida a Relación con Inversores vía telefónica al (+5411) 4347-5122 o por correo electrónico a </w:t>
      </w:r>
      <w:hyperlink r:id="rId17" w:history="1">
        <w:r w:rsidRPr="00AE4E8D">
          <w:rPr>
            <w:rStyle w:val="Hipervnculo"/>
            <w:rFonts w:ascii="Times New Roman" w:hAnsi="Times New Roman"/>
            <w:b w:val="0"/>
            <w:caps w:val="0"/>
            <w:lang w:val="es-ES"/>
          </w:rPr>
          <w:t>tgodino@hipotecario.com.ar</w:t>
        </w:r>
      </w:hyperlink>
      <w:r w:rsidRPr="00AE4E8D">
        <w:rPr>
          <w:rFonts w:ascii="Times New Roman" w:hAnsi="Times New Roman"/>
          <w:b w:val="0"/>
          <w:caps w:val="0"/>
          <w:lang w:val="es-ES"/>
        </w:rPr>
        <w:t xml:space="preserve">. Finalmente, el presente Prospecto, los avisos relacionados con la emisión y los estados contables que se mencionan en el mismo, están disponibles en el sitio de Internet de la CNV </w:t>
      </w:r>
      <w:hyperlink r:id="rId18" w:history="1">
        <w:r w:rsidRPr="00AE4E8D">
          <w:rPr>
            <w:rStyle w:val="Hipervnculo"/>
            <w:rFonts w:ascii="Times New Roman" w:hAnsi="Times New Roman"/>
            <w:b w:val="0"/>
            <w:caps w:val="0"/>
            <w:lang w:val="es-ES"/>
          </w:rPr>
          <w:t>www.cnv.gob.ar</w:t>
        </w:r>
      </w:hyperlink>
      <w:r w:rsidRPr="00AE4E8D">
        <w:rPr>
          <w:rFonts w:ascii="Times New Roman" w:hAnsi="Times New Roman"/>
          <w:b w:val="0"/>
          <w:caps w:val="0"/>
          <w:lang w:val="es-ES"/>
        </w:rPr>
        <w:t>, en el ítem “Información Financiera”. Asimismo, se encontrarán a disposición en los mercados donde estén listadas o se negocien las Obligaciones Negociables (entre ellos, sin limitación, en el caso del Mercado Abierto Electrónico (el “</w:t>
      </w:r>
      <w:r w:rsidRPr="00AE4E8D">
        <w:rPr>
          <w:rFonts w:ascii="Times New Roman" w:hAnsi="Times New Roman"/>
          <w:b w:val="0"/>
          <w:u w:val="single"/>
          <w:lang w:val="es-ES"/>
        </w:rPr>
        <w:t>MAE</w:t>
      </w:r>
      <w:r w:rsidRPr="00AE4E8D">
        <w:rPr>
          <w:rFonts w:ascii="Times New Roman" w:hAnsi="Times New Roman"/>
          <w:b w:val="0"/>
          <w:caps w:val="0"/>
          <w:lang w:val="es-ES"/>
        </w:rPr>
        <w:t xml:space="preserve">”): </w:t>
      </w:r>
      <w:hyperlink r:id="rId19" w:history="1">
        <w:r w:rsidRPr="00AE4E8D">
          <w:rPr>
            <w:rFonts w:ascii="Times New Roman" w:hAnsi="Times New Roman"/>
            <w:b w:val="0"/>
            <w:caps w:val="0"/>
            <w:lang w:val="es-ES"/>
          </w:rPr>
          <w:t>www.mae.com.ar</w:t>
        </w:r>
      </w:hyperlink>
      <w:r w:rsidRPr="00AE4E8D">
        <w:rPr>
          <w:rFonts w:ascii="Times New Roman" w:hAnsi="Times New Roman"/>
          <w:b w:val="0"/>
          <w:caps w:val="0"/>
          <w:lang w:val="es-ES"/>
        </w:rPr>
        <w:t xml:space="preserve"> y en el caso de </w:t>
      </w:r>
      <w:r w:rsidR="0013533F" w:rsidRPr="00AE4E8D">
        <w:rPr>
          <w:rFonts w:ascii="Times New Roman" w:hAnsi="Times New Roman"/>
          <w:b w:val="0"/>
          <w:caps w:val="0"/>
          <w:lang w:val="es-ES"/>
        </w:rPr>
        <w:t>Bolsas y Mercados Argentinos</w:t>
      </w:r>
      <w:r w:rsidRPr="00AE4E8D">
        <w:rPr>
          <w:rFonts w:ascii="Times New Roman" w:hAnsi="Times New Roman"/>
          <w:b w:val="0"/>
          <w:caps w:val="0"/>
          <w:lang w:val="es-ES"/>
        </w:rPr>
        <w:t xml:space="preserve"> S.A. (“</w:t>
      </w:r>
      <w:r w:rsidR="0013533F" w:rsidRPr="00AE4E8D">
        <w:rPr>
          <w:rFonts w:ascii="Times New Roman" w:hAnsi="Times New Roman"/>
          <w:b w:val="0"/>
          <w:caps w:val="0"/>
          <w:u w:val="single"/>
          <w:lang w:val="es-ES"/>
        </w:rPr>
        <w:t>BYMA</w:t>
      </w:r>
      <w:r w:rsidRPr="00AE4E8D">
        <w:rPr>
          <w:rFonts w:ascii="Times New Roman" w:hAnsi="Times New Roman"/>
          <w:b w:val="0"/>
          <w:caps w:val="0"/>
          <w:lang w:val="es-ES"/>
        </w:rPr>
        <w:t xml:space="preserve">”): </w:t>
      </w:r>
      <w:hyperlink r:id="rId20" w:history="1">
        <w:r w:rsidRPr="00AE4E8D">
          <w:rPr>
            <w:rFonts w:ascii="Times New Roman" w:hAnsi="Times New Roman"/>
            <w:b w:val="0"/>
            <w:caps w:val="0"/>
            <w:lang w:val="es-ES"/>
          </w:rPr>
          <w:t>www.bolsar.com.ar</w:t>
        </w:r>
      </w:hyperlink>
      <w:r w:rsidRPr="00AE4E8D">
        <w:rPr>
          <w:rFonts w:ascii="Times New Roman" w:hAnsi="Times New Roman"/>
          <w:b w:val="0"/>
          <w:caps w:val="0"/>
          <w:lang w:val="es-ES"/>
        </w:rPr>
        <w:t>).</w:t>
      </w:r>
      <w:bookmarkStart w:id="54" w:name="_Toc420062525"/>
      <w:bookmarkStart w:id="55" w:name="_Toc421201303"/>
      <w:bookmarkStart w:id="56" w:name="_Toc449010423"/>
    </w:p>
    <w:p w14:paraId="2D693152" w14:textId="77777777" w:rsidR="00CB5660" w:rsidRPr="00AE4E8D" w:rsidRDefault="00CB5660">
      <w:pPr>
        <w:pStyle w:val="BH1Centro"/>
        <w:rPr>
          <w:rFonts w:ascii="Times New Roman" w:hAnsi="Times New Roman"/>
          <w:lang w:val="es-ES"/>
        </w:rPr>
      </w:pPr>
      <w:bookmarkStart w:id="57" w:name="_Toc487734733"/>
      <w:bookmarkStart w:id="58" w:name="_Toc495972960"/>
      <w:bookmarkStart w:id="59" w:name="_Toc495399867"/>
      <w:r w:rsidRPr="00AE4E8D">
        <w:rPr>
          <w:rFonts w:ascii="Times New Roman" w:hAnsi="Times New Roman"/>
          <w:lang w:val="es-ES"/>
        </w:rPr>
        <w:t>PRESENTACIÓN DE INFORMACIÓN CONTABLE Y DE OTRO TIPO</w:t>
      </w:r>
      <w:bookmarkEnd w:id="54"/>
      <w:bookmarkEnd w:id="55"/>
      <w:bookmarkEnd w:id="56"/>
      <w:bookmarkEnd w:id="57"/>
      <w:bookmarkEnd w:id="58"/>
      <w:bookmarkEnd w:id="59"/>
    </w:p>
    <w:p w14:paraId="3795F0B4" w14:textId="77777777" w:rsidR="00CB5660" w:rsidRPr="00AE4E8D" w:rsidRDefault="00CB5660">
      <w:pPr>
        <w:pStyle w:val="BH2Izquierda"/>
        <w:rPr>
          <w:lang w:val="es-ES"/>
        </w:rPr>
      </w:pPr>
      <w:bookmarkStart w:id="60" w:name="_Toc421201304"/>
      <w:bookmarkStart w:id="61" w:name="_Toc495972961"/>
      <w:bookmarkStart w:id="62" w:name="_Toc495399868"/>
      <w:bookmarkStart w:id="63" w:name="_Toc420062526"/>
      <w:r w:rsidRPr="00AE4E8D">
        <w:rPr>
          <w:lang w:val="es-ES"/>
        </w:rPr>
        <w:t>Normas Contables del BCRA</w:t>
      </w:r>
      <w:bookmarkEnd w:id="60"/>
      <w:bookmarkEnd w:id="61"/>
      <w:bookmarkEnd w:id="62"/>
      <w:r w:rsidRPr="00AE4E8D">
        <w:rPr>
          <w:lang w:val="es-ES"/>
        </w:rPr>
        <w:t xml:space="preserve"> </w:t>
      </w:r>
      <w:bookmarkEnd w:id="63"/>
    </w:p>
    <w:p w14:paraId="0E400209" w14:textId="53BB3A10" w:rsidR="00CB5660" w:rsidRPr="00AE4E8D" w:rsidRDefault="00CB5660" w:rsidP="00383413">
      <w:pPr>
        <w:pStyle w:val="BHTexto"/>
        <w:rPr>
          <w:w w:val="0"/>
          <w:lang w:val="es-AR"/>
        </w:rPr>
      </w:pPr>
      <w:r w:rsidRPr="00AE4E8D">
        <w:rPr>
          <w:lang w:val="es-ES"/>
        </w:rPr>
        <w:t>Preparamos nuestros estados contables de acuerdo con normas contables establecidas por el BCRA denominadas en el presente las “Normas Contables del BCRA”, mediante Circular CONAU 1, complementarias y modificatorias, las que difieren en ciertos aspectos importantes de las normas contables profesionales vigentes en Argentina, a las cuales nos referimos como los “PCGA de Argentina”, y con las Normas Internacionales de Información Financiera a las cuales nos referimos como “NIIF”.</w:t>
      </w:r>
      <w:r w:rsidRPr="00AE4E8D">
        <w:rPr>
          <w:w w:val="0"/>
          <w:lang w:val="es-ES"/>
        </w:rPr>
        <w:t xml:space="preserve"> </w:t>
      </w:r>
      <w:bookmarkStart w:id="64" w:name="_DV_M137"/>
      <w:bookmarkStart w:id="65" w:name="_DV_M138"/>
      <w:bookmarkEnd w:id="64"/>
      <w:bookmarkEnd w:id="65"/>
      <w:r w:rsidRPr="00AE4E8D">
        <w:rPr>
          <w:w w:val="0"/>
          <w:lang w:val="es-ES"/>
        </w:rPr>
        <w:t>Nuestros estados contables auditados no incluyen una conciliación con NIIF de nuestro patrimonio neto ni de nuestros resultados netos</w:t>
      </w:r>
      <w:r w:rsidR="006C5DF7">
        <w:rPr>
          <w:lang w:val="es-ES" w:eastAsia="es-AR"/>
        </w:rPr>
        <w:t>, sin embargo</w:t>
      </w:r>
      <w:r w:rsidR="006C5DF7" w:rsidRPr="006C5DF7">
        <w:rPr>
          <w:lang w:val="es-ES" w:eastAsia="es-AR"/>
        </w:rPr>
        <w:t xml:space="preserve"> </w:t>
      </w:r>
      <w:r w:rsidR="006C5DF7" w:rsidRPr="00AE4E8D">
        <w:rPr>
          <w:lang w:val="es-ES" w:eastAsia="es-AR"/>
        </w:rPr>
        <w:t xml:space="preserve">nuestros estados contables </w:t>
      </w:r>
      <w:r w:rsidR="006C5DF7">
        <w:rPr>
          <w:lang w:val="es-ES" w:eastAsia="es-AR"/>
        </w:rPr>
        <w:t xml:space="preserve">no </w:t>
      </w:r>
      <w:r w:rsidR="006C5DF7" w:rsidRPr="00AE4E8D">
        <w:rPr>
          <w:lang w:val="es-ES" w:eastAsia="es-AR"/>
        </w:rPr>
        <w:t>auditados</w:t>
      </w:r>
      <w:r w:rsidR="006C5DF7">
        <w:rPr>
          <w:lang w:val="es-ES" w:eastAsia="es-AR"/>
        </w:rPr>
        <w:t xml:space="preserve"> contienen dicha conciliación</w:t>
      </w:r>
      <w:r w:rsidRPr="00AE4E8D">
        <w:rPr>
          <w:w w:val="0"/>
          <w:lang w:val="es-ES"/>
        </w:rPr>
        <w:t>. Los inversores potenciales deben consultar con sus propios asesores profesionales para comprender las diferencias entre nuestras políticas contables y los PCGA de Argentina y NIIF, y cómo esas diferencias afectan la información contable del presente.</w:t>
      </w:r>
      <w:r w:rsidR="00910A34" w:rsidRPr="00AE4E8D">
        <w:rPr>
          <w:w w:val="0"/>
          <w:lang w:val="es-ES"/>
        </w:rPr>
        <w:t xml:space="preserve"> </w:t>
      </w:r>
      <w:r w:rsidR="00383413" w:rsidRPr="00AE4E8D">
        <w:rPr>
          <w:lang w:val="es-ES" w:eastAsia="es-AR"/>
        </w:rPr>
        <w:t xml:space="preserve">En 2014, el </w:t>
      </w:r>
      <w:r w:rsidR="004D7B80">
        <w:rPr>
          <w:lang w:val="es-ES" w:eastAsia="es-AR"/>
        </w:rPr>
        <w:t>BCRA</w:t>
      </w:r>
      <w:r w:rsidR="00383413" w:rsidRPr="00AE4E8D">
        <w:rPr>
          <w:lang w:val="es-ES" w:eastAsia="es-AR"/>
        </w:rPr>
        <w:t xml:space="preserve"> emitió la Comunicación "A" 5541, que proporcionó una hoja de ruta para la convergencia del régimen informativo y contable existente de acuerdo con las </w:t>
      </w:r>
      <w:r w:rsidR="004D7B80">
        <w:rPr>
          <w:lang w:val="es-ES" w:eastAsia="es-AR"/>
        </w:rPr>
        <w:t>Normas Contables</w:t>
      </w:r>
      <w:r w:rsidR="00383413" w:rsidRPr="00AE4E8D">
        <w:rPr>
          <w:lang w:val="es-ES" w:eastAsia="es-AR"/>
        </w:rPr>
        <w:t xml:space="preserve"> del BCRA y las NIIF. Además, en diciembre de 2016, el </w:t>
      </w:r>
      <w:r w:rsidR="004D7B80">
        <w:rPr>
          <w:lang w:val="es-ES" w:eastAsia="es-AR"/>
        </w:rPr>
        <w:t>BCRA</w:t>
      </w:r>
      <w:r w:rsidR="00383413" w:rsidRPr="00AE4E8D">
        <w:rPr>
          <w:lang w:val="es-ES" w:eastAsia="es-AR"/>
        </w:rPr>
        <w:t xml:space="preserve"> emitió la Comunicación "A" 6114, que estableció los criterios que deberían ser tomados en consideración por las entidades financieras en el marco de convergencia a partir del 1 de enero de 2018. </w:t>
      </w:r>
      <w:r w:rsidR="00910A34" w:rsidRPr="00AE4E8D">
        <w:rPr>
          <w:w w:val="0"/>
          <w:lang w:val="es-ES"/>
        </w:rPr>
        <w:t xml:space="preserve">Para más información, </w:t>
      </w:r>
      <w:r w:rsidR="002A5A31" w:rsidRPr="00AE4E8D">
        <w:rPr>
          <w:w w:val="0"/>
          <w:lang w:val="es-ES"/>
        </w:rPr>
        <w:t>vé</w:t>
      </w:r>
      <w:r w:rsidR="00910A34" w:rsidRPr="00AE4E8D">
        <w:rPr>
          <w:w w:val="0"/>
          <w:lang w:val="es-ES"/>
        </w:rPr>
        <w:t>ase “</w:t>
      </w:r>
      <w:r w:rsidR="00910A34" w:rsidRPr="00AE4E8D">
        <w:rPr>
          <w:i/>
          <w:w w:val="0"/>
          <w:lang w:val="es-ES"/>
        </w:rPr>
        <w:t xml:space="preserve">Información Clave </w:t>
      </w:r>
      <w:r w:rsidR="002A5A31" w:rsidRPr="00AE4E8D">
        <w:rPr>
          <w:i/>
          <w:w w:val="0"/>
          <w:lang w:val="es-ES"/>
        </w:rPr>
        <w:t>sobre</w:t>
      </w:r>
      <w:r w:rsidR="00910A34" w:rsidRPr="00AE4E8D">
        <w:rPr>
          <w:i/>
          <w:w w:val="0"/>
          <w:lang w:val="es-ES"/>
        </w:rPr>
        <w:t xml:space="preserve"> la Emisora</w:t>
      </w:r>
      <w:r w:rsidR="00910A34" w:rsidRPr="00AE4E8D">
        <w:rPr>
          <w:i/>
          <w:lang w:val="es-ES"/>
        </w:rPr>
        <w:t>–</w:t>
      </w:r>
      <w:r w:rsidR="00910A34" w:rsidRPr="00AE4E8D">
        <w:rPr>
          <w:i/>
          <w:w w:val="0"/>
          <w:lang w:val="es-ES"/>
        </w:rPr>
        <w:t xml:space="preserve">a) Información Contable y Financiera” </w:t>
      </w:r>
      <w:r w:rsidR="00910A34" w:rsidRPr="00AE4E8D">
        <w:rPr>
          <w:w w:val="0"/>
          <w:lang w:val="es-ES"/>
        </w:rPr>
        <w:t xml:space="preserve">y la Nota </w:t>
      </w:r>
      <w:r w:rsidR="001D2931" w:rsidRPr="00AE4E8D">
        <w:rPr>
          <w:w w:val="0"/>
          <w:lang w:val="es-ES"/>
        </w:rPr>
        <w:t>4</w:t>
      </w:r>
      <w:r w:rsidR="00910A34" w:rsidRPr="00AE4E8D">
        <w:rPr>
          <w:w w:val="0"/>
          <w:lang w:val="es-ES"/>
        </w:rPr>
        <w:t xml:space="preserve"> </w:t>
      </w:r>
      <w:r w:rsidR="00383413" w:rsidRPr="00AE4E8D">
        <w:rPr>
          <w:i/>
          <w:w w:val="0"/>
          <w:lang w:val="es-ES"/>
        </w:rPr>
        <w:t>“</w:t>
      </w:r>
      <w:r w:rsidR="00DF765D">
        <w:rPr>
          <w:i/>
          <w:w w:val="0"/>
          <w:lang w:val="es-ES"/>
        </w:rPr>
        <w:t>Conciliació</w:t>
      </w:r>
      <w:r w:rsidR="0044695C" w:rsidRPr="00AE4E8D">
        <w:rPr>
          <w:i/>
          <w:w w:val="0"/>
          <w:lang w:val="es-ES"/>
        </w:rPr>
        <w:t>n de saldos con el marco contable para la convergencia hacia las NIIF</w:t>
      </w:r>
      <w:r w:rsidR="00383413" w:rsidRPr="00AE4E8D">
        <w:rPr>
          <w:i/>
          <w:w w:val="0"/>
          <w:lang w:val="es-ES"/>
        </w:rPr>
        <w:t>”</w:t>
      </w:r>
      <w:r w:rsidR="00383413" w:rsidRPr="00AE4E8D">
        <w:rPr>
          <w:w w:val="0"/>
          <w:lang w:val="es-ES"/>
        </w:rPr>
        <w:t xml:space="preserve"> </w:t>
      </w:r>
      <w:r w:rsidR="00910A34" w:rsidRPr="00AE4E8D">
        <w:rPr>
          <w:w w:val="0"/>
          <w:lang w:val="es-ES"/>
        </w:rPr>
        <w:t xml:space="preserve">de nuestros </w:t>
      </w:r>
      <w:r w:rsidR="00910A34" w:rsidRPr="00AE4E8D">
        <w:rPr>
          <w:lang w:val="es-ES"/>
        </w:rPr>
        <w:t xml:space="preserve">estados contables intermedios consolidados no auditados </w:t>
      </w:r>
      <w:r w:rsidR="00FE0C7C">
        <w:rPr>
          <w:lang w:val="es-ES"/>
        </w:rPr>
        <w:t>a</w:t>
      </w:r>
      <w:r w:rsidR="00910A34" w:rsidRPr="00AE4E8D">
        <w:rPr>
          <w:w w:val="0"/>
          <w:lang w:val="es-ES"/>
        </w:rPr>
        <w:t>l 30 de junio de 2017.</w:t>
      </w:r>
    </w:p>
    <w:p w14:paraId="489AC22D" w14:textId="77777777" w:rsidR="00CB5660" w:rsidRPr="00AE4E8D" w:rsidRDefault="00CB5660" w:rsidP="009450BC">
      <w:pPr>
        <w:pStyle w:val="BHTexto"/>
        <w:rPr>
          <w:highlight w:val="cyan"/>
          <w:lang w:val="es-ES"/>
        </w:rPr>
      </w:pPr>
      <w:r w:rsidRPr="00AE4E8D">
        <w:rPr>
          <w:lang w:val="es-ES"/>
        </w:rPr>
        <w:t>A partir del 1 de enero de 1995, y de acuerdo con la Resolución Nº388 de la Superintendencia de Entidades Financieras y Cambiarias del BCRA (en adelante la “</w:t>
      </w:r>
      <w:r w:rsidRPr="00AE4E8D">
        <w:rPr>
          <w:u w:val="single"/>
          <w:lang w:val="es-ES"/>
        </w:rPr>
        <w:t>Superintendencia de Entidades Financieras</w:t>
      </w:r>
      <w:r w:rsidRPr="00AE4E8D">
        <w:rPr>
          <w:lang w:val="es-ES"/>
        </w:rPr>
        <w:t xml:space="preserve">”), descontinuamos nuestra práctica de ajustar nuestros estados contables por inflación. Desde el 1 de enero de 2002, sin embargo, como consecuencia de la aplicación de la Comunicación “A” 3702 del BCRA, que estableció la derogación de todo régimen que no permitiera a las entidades financieras ajustar sus saldos contables a valores corrientes al cierre del ejercicio, habiéndose reiniciado la aplicación del ajuste por inflación. El 25 de marzo de 2003, en virtud del Decreto Nº664/03, se eliminó el requisito de que los estados contables sean confeccionados en moneda constante, con vigencia para los períodos contables posteriores al 1 de marzo de 2003, y el 8 de abril de 2003 el BCRA dictó la Comunicación “A” 3921 discontinuando el ajuste por inflación a partir del 1 de marzo de 2003. En consecuencia, nuestros estados contables al 31 de diciembre de </w:t>
      </w:r>
      <w:r w:rsidR="00ED1A22" w:rsidRPr="00AE4E8D">
        <w:rPr>
          <w:lang w:val="es-ES"/>
        </w:rPr>
        <w:t xml:space="preserve">2016, </w:t>
      </w:r>
      <w:r w:rsidRPr="00AE4E8D">
        <w:rPr>
          <w:lang w:val="es-ES"/>
        </w:rPr>
        <w:t>2015, 2014</w:t>
      </w:r>
      <w:r w:rsidR="00611B76" w:rsidRPr="00AE4E8D">
        <w:rPr>
          <w:lang w:val="es-ES"/>
        </w:rPr>
        <w:t>,</w:t>
      </w:r>
      <w:r w:rsidRPr="00AE4E8D">
        <w:rPr>
          <w:lang w:val="es-ES"/>
        </w:rPr>
        <w:t xml:space="preserve"> 2013</w:t>
      </w:r>
      <w:r w:rsidR="00611B76" w:rsidRPr="00AE4E8D">
        <w:rPr>
          <w:lang w:val="es-ES"/>
        </w:rPr>
        <w:t xml:space="preserve"> y 2012</w:t>
      </w:r>
      <w:r w:rsidRPr="00AE4E8D">
        <w:rPr>
          <w:lang w:val="es-ES"/>
        </w:rPr>
        <w:t xml:space="preserve"> no incluyen los efectos de la inflación. Nuestros estados contables individuales y consolidados al 31 de diciembre de 201</w:t>
      </w:r>
      <w:r w:rsidR="00ED1A22" w:rsidRPr="00AE4E8D">
        <w:rPr>
          <w:lang w:val="es-ES"/>
        </w:rPr>
        <w:t>6</w:t>
      </w:r>
      <w:r w:rsidRPr="00AE4E8D">
        <w:rPr>
          <w:lang w:val="es-ES"/>
        </w:rPr>
        <w:t xml:space="preserve"> preparados de acuerdo con las Normas Contables del BCRA y con las normas contables vigentes en la Ciudad Autónoma de Buenos Aires, consideran todos los hechos y circunstancias significativas que son de nuestro conocimiento.</w:t>
      </w:r>
    </w:p>
    <w:p w14:paraId="741806F2" w14:textId="77777777" w:rsidR="00CB5660" w:rsidRPr="00AE4E8D" w:rsidRDefault="00CB5660">
      <w:pPr>
        <w:pStyle w:val="BH2Izquierda"/>
        <w:rPr>
          <w:lang w:val="es-ES"/>
        </w:rPr>
      </w:pPr>
      <w:bookmarkStart w:id="66" w:name="_Toc420062527"/>
      <w:bookmarkStart w:id="67" w:name="_Toc421201305"/>
      <w:bookmarkStart w:id="68" w:name="_Toc495972962"/>
      <w:bookmarkStart w:id="69" w:name="_Toc495399869"/>
      <w:r w:rsidRPr="00AE4E8D">
        <w:rPr>
          <w:lang w:val="es-ES"/>
        </w:rPr>
        <w:t>Estados Contables</w:t>
      </w:r>
      <w:bookmarkEnd w:id="66"/>
      <w:bookmarkEnd w:id="67"/>
      <w:bookmarkEnd w:id="68"/>
      <w:bookmarkEnd w:id="69"/>
    </w:p>
    <w:p w14:paraId="58CF6082" w14:textId="77777777" w:rsidR="00CB5660" w:rsidRPr="00AE4E8D" w:rsidRDefault="00CB5660" w:rsidP="006659E6">
      <w:pPr>
        <w:pStyle w:val="BHTexto"/>
        <w:rPr>
          <w:lang w:val="es-ES"/>
        </w:rPr>
      </w:pPr>
      <w:r w:rsidRPr="00AE4E8D">
        <w:rPr>
          <w:lang w:val="es-ES"/>
        </w:rPr>
        <w:t>Este Prospecto contiene:</w:t>
      </w:r>
    </w:p>
    <w:p w14:paraId="26B638F7" w14:textId="104B2495" w:rsidR="00CB5660" w:rsidRPr="00AE4E8D" w:rsidRDefault="00CB5660" w:rsidP="00FE0C7C">
      <w:pPr>
        <w:pStyle w:val="BHVieta2"/>
        <w:numPr>
          <w:ilvl w:val="0"/>
          <w:numId w:val="50"/>
        </w:numPr>
        <w:ind w:left="1418"/>
        <w:rPr>
          <w:lang w:val="es-ES"/>
        </w:rPr>
      </w:pPr>
      <w:r w:rsidRPr="00AE4E8D">
        <w:rPr>
          <w:lang w:val="es-ES"/>
        </w:rPr>
        <w:t xml:space="preserve">nuestros estados contables consolidados auditados </w:t>
      </w:r>
      <w:r w:rsidR="0086239E" w:rsidRPr="00AE4E8D">
        <w:rPr>
          <w:lang w:val="es-ES"/>
        </w:rPr>
        <w:t xml:space="preserve">del Banco </w:t>
      </w:r>
      <w:r w:rsidR="00FE0C7C" w:rsidRPr="00FE0C7C">
        <w:rPr>
          <w:lang w:val="es-ES"/>
        </w:rPr>
        <w:t>al 31 de diciembre de 2016 y 2015 y al 31 de diciembre de 2015 y 2014</w:t>
      </w:r>
      <w:r w:rsidRPr="00AE4E8D">
        <w:rPr>
          <w:lang w:val="es-ES"/>
        </w:rPr>
        <w:t xml:space="preserve">. Nuestros estados contables consolidados auditados incluidos en este Prospecto han sido auditados por nuestros </w:t>
      </w:r>
      <w:r w:rsidRPr="00AE4E8D">
        <w:rPr>
          <w:lang w:val="es-ES"/>
        </w:rPr>
        <w:lastRenderedPageBreak/>
        <w:t xml:space="preserve">auditores externos, Price Waterhouse &amp; Co. S.R.L., Ciudad Autónoma de Buenos Aires, Argentina, firma miembro de PricewaterhouseCoopers, un estudio de contadores públicos matriculados independientes, cuyo informe se incluye en el presente; </w:t>
      </w:r>
    </w:p>
    <w:p w14:paraId="37B41820" w14:textId="0BC7F313" w:rsidR="004227A8" w:rsidRPr="00AE4E8D" w:rsidRDefault="00216D90" w:rsidP="000400C8">
      <w:pPr>
        <w:pStyle w:val="BHVieta2"/>
        <w:numPr>
          <w:ilvl w:val="0"/>
          <w:numId w:val="50"/>
        </w:numPr>
        <w:ind w:left="1418"/>
        <w:rPr>
          <w:lang w:val="es-ES"/>
        </w:rPr>
      </w:pPr>
      <w:r w:rsidRPr="00AE4E8D">
        <w:rPr>
          <w:lang w:val="es-ES"/>
        </w:rPr>
        <w:t xml:space="preserve">nuestros estados contables </w:t>
      </w:r>
      <w:r w:rsidR="00DB770A" w:rsidRPr="00AE4E8D">
        <w:rPr>
          <w:lang w:val="es-ES"/>
        </w:rPr>
        <w:t xml:space="preserve">intermedios </w:t>
      </w:r>
      <w:r w:rsidRPr="00AE4E8D">
        <w:rPr>
          <w:lang w:val="es-ES"/>
        </w:rPr>
        <w:t xml:space="preserve">consolidados no auditados </w:t>
      </w:r>
      <w:r w:rsidR="00FE0C7C">
        <w:rPr>
          <w:lang w:val="es-ES"/>
        </w:rPr>
        <w:t>a</w:t>
      </w:r>
      <w:r w:rsidRPr="00AE4E8D">
        <w:rPr>
          <w:lang w:val="es-ES"/>
        </w:rPr>
        <w:t>l 30 de junio de 2017</w:t>
      </w:r>
      <w:r w:rsidR="00AC27E3" w:rsidRPr="00AE4E8D">
        <w:t xml:space="preserve"> </w:t>
      </w:r>
      <w:r w:rsidR="00AC27E3" w:rsidRPr="00AE4E8D">
        <w:rPr>
          <w:lang w:val="es-ES"/>
        </w:rPr>
        <w:t>y para los seis meses finalizado</w:t>
      </w:r>
      <w:r w:rsidR="00DF765D">
        <w:rPr>
          <w:lang w:val="es-ES"/>
        </w:rPr>
        <w:t>s el 30 de junio de 2016 y 2017; y</w:t>
      </w:r>
    </w:p>
    <w:p w14:paraId="130E468A" w14:textId="77777777" w:rsidR="00CB5660" w:rsidRPr="00AE4E8D" w:rsidRDefault="004227A8" w:rsidP="007E1FB8">
      <w:pPr>
        <w:pStyle w:val="BHVieta2"/>
        <w:numPr>
          <w:ilvl w:val="0"/>
          <w:numId w:val="50"/>
        </w:numPr>
        <w:ind w:left="1418"/>
        <w:rPr>
          <w:lang w:val="es-ES"/>
        </w:rPr>
      </w:pPr>
      <w:r w:rsidRPr="00AE4E8D">
        <w:rPr>
          <w:lang w:val="es-ES"/>
        </w:rPr>
        <w:t>n</w:t>
      </w:r>
      <w:r w:rsidR="00216D90" w:rsidRPr="00AE4E8D">
        <w:rPr>
          <w:lang w:val="es-ES"/>
        </w:rPr>
        <w:t>os referimos a nuestros estados contables consolidados auditados y a nuestros estados contables intermedios consolidados no auditados en forma conjunta como nuestros “estados contables”. La información contable y financiera incluida en el presente Prospecto, refleja nuestro patrimonio neto y el resultado de nuestras operaciones consolidadas, incluyendo la consolidación de BACS Banco de Crédito y Securitización S.A. (“</w:t>
      </w:r>
      <w:r w:rsidR="00216D90" w:rsidRPr="00AE4E8D">
        <w:rPr>
          <w:u w:val="single"/>
          <w:lang w:val="es-ES"/>
        </w:rPr>
        <w:t>BACS</w:t>
      </w:r>
      <w:r w:rsidR="00216D90" w:rsidRPr="00AE4E8D">
        <w:rPr>
          <w:lang w:val="es-ES"/>
        </w:rPr>
        <w:t>”), BHN Sociedad de Inversión S.A. (“</w:t>
      </w:r>
      <w:r w:rsidR="00216D90" w:rsidRPr="00AE4E8D">
        <w:rPr>
          <w:u w:val="single"/>
          <w:lang w:val="es-ES"/>
        </w:rPr>
        <w:t>BHN Sociedad de Inversión</w:t>
      </w:r>
      <w:r w:rsidR="00216D90" w:rsidRPr="00AE4E8D">
        <w:rPr>
          <w:lang w:val="es-ES"/>
        </w:rPr>
        <w:t>”), BH Valores S.A. (“</w:t>
      </w:r>
      <w:r w:rsidR="00216D90" w:rsidRPr="00AE4E8D">
        <w:rPr>
          <w:u w:val="single"/>
          <w:lang w:val="es-ES"/>
        </w:rPr>
        <w:t>BH Valores</w:t>
      </w:r>
      <w:r w:rsidR="00216D90" w:rsidRPr="00AE4E8D">
        <w:rPr>
          <w:lang w:val="es-ES"/>
        </w:rPr>
        <w:t>”) y Tarshop S.A. (“</w:t>
      </w:r>
      <w:r w:rsidR="00216D90" w:rsidRPr="00AE4E8D">
        <w:rPr>
          <w:u w:val="single"/>
          <w:lang w:val="es-ES"/>
        </w:rPr>
        <w:t>Tarshop</w:t>
      </w:r>
      <w:r w:rsidR="00216D90" w:rsidRPr="00AE4E8D">
        <w:rPr>
          <w:lang w:val="es-ES"/>
        </w:rPr>
        <w:t>”) por el ejercicio económico finalizado al 31 de diciembre de 2016, 2015 y 2014 y para los seis meses finalizados al 30 de junio de 2017 y 2016.</w:t>
      </w:r>
    </w:p>
    <w:p w14:paraId="25B4D77A" w14:textId="77777777" w:rsidR="00CB5660" w:rsidRPr="00AE4E8D" w:rsidRDefault="00CB5660">
      <w:pPr>
        <w:pStyle w:val="BH2Izquierda"/>
        <w:rPr>
          <w:lang w:val="es-ES"/>
        </w:rPr>
      </w:pPr>
      <w:bookmarkStart w:id="70" w:name="_Toc112831423"/>
      <w:bookmarkStart w:id="71" w:name="_Toc420062528"/>
      <w:bookmarkStart w:id="72" w:name="_Toc421201306"/>
      <w:bookmarkStart w:id="73" w:name="_Toc495972963"/>
      <w:bookmarkStart w:id="74" w:name="_Toc495399870"/>
      <w:r w:rsidRPr="00AE4E8D">
        <w:rPr>
          <w:lang w:val="es-ES"/>
        </w:rPr>
        <w:t>Generalidades</w:t>
      </w:r>
      <w:bookmarkEnd w:id="70"/>
      <w:bookmarkEnd w:id="71"/>
      <w:bookmarkEnd w:id="72"/>
      <w:bookmarkEnd w:id="73"/>
      <w:bookmarkEnd w:id="74"/>
    </w:p>
    <w:p w14:paraId="25BB37C4" w14:textId="77777777" w:rsidR="00CB5660" w:rsidRPr="00AE4E8D" w:rsidRDefault="00CB5660" w:rsidP="006659E6">
      <w:pPr>
        <w:pStyle w:val="BHTexto"/>
        <w:rPr>
          <w:lang w:val="es-ES"/>
        </w:rPr>
      </w:pPr>
      <w:r w:rsidRPr="00AE4E8D">
        <w:rPr>
          <w:lang w:val="es-ES"/>
        </w:rPr>
        <w:t>El término “Argentina” alude a la República Argentina. Los términos “Gobierno Argentino” o el “Gobierno” aluden al gobierno federal de Argentina, y el término “BCRA” alude al Banco Central de la República Argentina.</w:t>
      </w:r>
    </w:p>
    <w:p w14:paraId="1A5728E1" w14:textId="77777777" w:rsidR="00CB5660" w:rsidRPr="00AE4E8D" w:rsidRDefault="00CB5660">
      <w:pPr>
        <w:pStyle w:val="BH2Izquierda"/>
        <w:rPr>
          <w:lang w:val="es-ES"/>
        </w:rPr>
      </w:pPr>
      <w:bookmarkStart w:id="75" w:name="_Toc420062529"/>
      <w:bookmarkStart w:id="76" w:name="_Toc421201307"/>
      <w:bookmarkStart w:id="77" w:name="_Toc495972964"/>
      <w:bookmarkStart w:id="78" w:name="_Toc495399871"/>
      <w:r w:rsidRPr="00AE4E8D">
        <w:rPr>
          <w:lang w:val="es-ES"/>
        </w:rPr>
        <w:t>Moneda</w:t>
      </w:r>
      <w:bookmarkEnd w:id="75"/>
      <w:bookmarkEnd w:id="76"/>
      <w:bookmarkEnd w:id="77"/>
      <w:bookmarkEnd w:id="78"/>
    </w:p>
    <w:p w14:paraId="1CC80EF1" w14:textId="77777777" w:rsidR="00CB5660" w:rsidRPr="00AE4E8D" w:rsidRDefault="00CB5660" w:rsidP="006659E6">
      <w:pPr>
        <w:pStyle w:val="BHTexto"/>
        <w:rPr>
          <w:lang w:val="es-ES"/>
        </w:rPr>
      </w:pPr>
      <w:r w:rsidRPr="00AE4E8D">
        <w:rPr>
          <w:lang w:val="es-ES"/>
        </w:rPr>
        <w:t>A menos que se especifique lo contrario o el contexto requiera algo diferente, las referencias en este Prospecto a “Peso”, “Pesos”</w:t>
      </w:r>
      <w:r w:rsidR="00236232" w:rsidRPr="00AE4E8D">
        <w:rPr>
          <w:lang w:val="es-ES"/>
        </w:rPr>
        <w:t xml:space="preserve"> o</w:t>
      </w:r>
      <w:r w:rsidRPr="00AE4E8D">
        <w:rPr>
          <w:lang w:val="es-ES"/>
        </w:rPr>
        <w:t xml:space="preserve"> “Ps.” son a Pesos argentinos, la moneda oficial argentina, y las referencia a “Dólar”, “Dólares”, “Dólares Estadounidenses” o “US$” son a Dólares Estadounidenses.</w:t>
      </w:r>
    </w:p>
    <w:p w14:paraId="41F1E6CD" w14:textId="77777777" w:rsidR="00CB5660" w:rsidRPr="00AE4E8D" w:rsidRDefault="00CB5660" w:rsidP="006659E6">
      <w:pPr>
        <w:pStyle w:val="BHTexto"/>
        <w:rPr>
          <w:lang w:val="es-ES"/>
        </w:rPr>
      </w:pPr>
      <w:r w:rsidRPr="00AE4E8D">
        <w:rPr>
          <w:lang w:val="es-ES"/>
        </w:rPr>
        <w:t xml:space="preserve">Este Prospecto contiene conversiones de montos en Pesos a Dólares a tipos de cambio específicos solo para la conveniencia del lector. Salvo indicación en contrario, valuamos nuestros activos y pasivos en moneda extranjera al tipo de cambio relevante a cada fecha o al cierre del período pertinente según el tipo de cambio de referencia para el Dólar del BCRA. En el caso del Dólar Estadounidense, </w:t>
      </w:r>
      <w:r w:rsidR="00BF2662" w:rsidRPr="00AE4E8D">
        <w:rPr>
          <w:lang w:val="es-ES"/>
        </w:rPr>
        <w:t>a</w:t>
      </w:r>
      <w:r w:rsidRPr="00AE4E8D">
        <w:rPr>
          <w:lang w:val="es-ES"/>
        </w:rPr>
        <w:t xml:space="preserve">l </w:t>
      </w:r>
      <w:r w:rsidR="00885BDE" w:rsidRPr="00AE4E8D">
        <w:rPr>
          <w:lang w:val="es-ES"/>
        </w:rPr>
        <w:t>31 de diciembre</w:t>
      </w:r>
      <w:r w:rsidRPr="00AE4E8D">
        <w:rPr>
          <w:lang w:val="es-ES"/>
        </w:rPr>
        <w:t xml:space="preserve"> de 2016, la </w:t>
      </w:r>
      <w:r w:rsidR="001E6B2F" w:rsidRPr="00AE4E8D">
        <w:rPr>
          <w:lang w:val="es-ES"/>
        </w:rPr>
        <w:t>cotización</w:t>
      </w:r>
      <w:r w:rsidRPr="00AE4E8D">
        <w:rPr>
          <w:lang w:val="es-ES"/>
        </w:rPr>
        <w:t xml:space="preserve"> reportada por el mercado libre de cambio era de Ps.</w:t>
      </w:r>
      <w:r w:rsidR="001E6B2F" w:rsidRPr="00AE4E8D">
        <w:rPr>
          <w:lang w:val="es-ES"/>
        </w:rPr>
        <w:t>15</w:t>
      </w:r>
      <w:proofErr w:type="gramStart"/>
      <w:r w:rsidR="001E6B2F" w:rsidRPr="00AE4E8D">
        <w:rPr>
          <w:lang w:val="es-ES"/>
        </w:rPr>
        <w:t>,</w:t>
      </w:r>
      <w:r w:rsidR="00885BDE" w:rsidRPr="00AE4E8D">
        <w:rPr>
          <w:lang w:val="es-ES"/>
        </w:rPr>
        <w:t>8502</w:t>
      </w:r>
      <w:proofErr w:type="gramEnd"/>
      <w:r w:rsidRPr="00AE4E8D">
        <w:rPr>
          <w:lang w:val="es-ES"/>
        </w:rPr>
        <w:t xml:space="preserve"> = US$1,00.</w:t>
      </w:r>
      <w:r w:rsidR="00802C3B" w:rsidRPr="00AE4E8D">
        <w:rPr>
          <w:lang w:val="es-ES"/>
        </w:rPr>
        <w:t xml:space="preserve"> Al 3</w:t>
      </w:r>
      <w:r w:rsidR="00216D90" w:rsidRPr="00AE4E8D">
        <w:rPr>
          <w:lang w:val="es-ES"/>
        </w:rPr>
        <w:t>0</w:t>
      </w:r>
      <w:r w:rsidR="00802C3B" w:rsidRPr="00AE4E8D">
        <w:rPr>
          <w:lang w:val="es-ES"/>
        </w:rPr>
        <w:t xml:space="preserve"> de </w:t>
      </w:r>
      <w:r w:rsidR="00216D90" w:rsidRPr="00AE4E8D">
        <w:rPr>
          <w:lang w:val="es-ES"/>
        </w:rPr>
        <w:t>junio</w:t>
      </w:r>
      <w:r w:rsidR="00802C3B" w:rsidRPr="00AE4E8D">
        <w:rPr>
          <w:lang w:val="es-ES"/>
        </w:rPr>
        <w:t xml:space="preserve"> de 2017 y </w:t>
      </w:r>
      <w:r w:rsidR="0085031D">
        <w:rPr>
          <w:lang w:val="es-ES"/>
        </w:rPr>
        <w:t>18</w:t>
      </w:r>
      <w:r w:rsidR="00082B18" w:rsidRPr="00AE4E8D">
        <w:rPr>
          <w:lang w:val="es-ES"/>
        </w:rPr>
        <w:t xml:space="preserve"> </w:t>
      </w:r>
      <w:r w:rsidR="00802C3B" w:rsidRPr="00AE4E8D">
        <w:rPr>
          <w:lang w:val="es-ES"/>
        </w:rPr>
        <w:t xml:space="preserve">de </w:t>
      </w:r>
      <w:r w:rsidR="00BE0CDF" w:rsidRPr="00AE4E8D">
        <w:rPr>
          <w:lang w:val="es-ES"/>
        </w:rPr>
        <w:t>octubre</w:t>
      </w:r>
      <w:r w:rsidR="008B7B52" w:rsidRPr="00AE4E8D">
        <w:rPr>
          <w:lang w:val="es-ES"/>
        </w:rPr>
        <w:t xml:space="preserve"> </w:t>
      </w:r>
      <w:r w:rsidR="00802C3B" w:rsidRPr="00AE4E8D">
        <w:rPr>
          <w:lang w:val="es-ES"/>
        </w:rPr>
        <w:t xml:space="preserve">de 2017, las cotizaciones reportadas por el mercado libre de cambio eran de </w:t>
      </w:r>
      <w:r w:rsidR="00216D90" w:rsidRPr="00AE4E8D">
        <w:rPr>
          <w:lang w:val="es-ES"/>
        </w:rPr>
        <w:t>Ps.16</w:t>
      </w:r>
      <w:proofErr w:type="gramStart"/>
      <w:r w:rsidR="00216D90" w:rsidRPr="00AE4E8D">
        <w:rPr>
          <w:lang w:val="es-ES"/>
        </w:rPr>
        <w:t>,5985</w:t>
      </w:r>
      <w:proofErr w:type="gramEnd"/>
      <w:r w:rsidR="00216D90" w:rsidRPr="00AE4E8D">
        <w:rPr>
          <w:lang w:val="es-ES"/>
        </w:rPr>
        <w:t xml:space="preserve"> </w:t>
      </w:r>
      <w:r w:rsidR="00802C3B" w:rsidRPr="00AE4E8D">
        <w:rPr>
          <w:lang w:val="es-ES"/>
        </w:rPr>
        <w:t>= US$</w:t>
      </w:r>
      <w:r w:rsidR="00C15E04" w:rsidRPr="00AE4E8D">
        <w:rPr>
          <w:lang w:val="es-ES"/>
        </w:rPr>
        <w:t>1,00</w:t>
      </w:r>
      <w:r w:rsidR="00802C3B" w:rsidRPr="00AE4E8D">
        <w:rPr>
          <w:lang w:val="es-ES"/>
        </w:rPr>
        <w:t xml:space="preserve"> y Ps.</w:t>
      </w:r>
      <w:r w:rsidR="0085031D" w:rsidRPr="0085031D">
        <w:rPr>
          <w:lang w:val="es-ES"/>
        </w:rPr>
        <w:t>17</w:t>
      </w:r>
      <w:r w:rsidR="0085031D">
        <w:rPr>
          <w:lang w:val="es-ES"/>
        </w:rPr>
        <w:t>,</w:t>
      </w:r>
      <w:r w:rsidR="0085031D" w:rsidRPr="0085031D">
        <w:rPr>
          <w:lang w:val="es-ES"/>
        </w:rPr>
        <w:t>3250</w:t>
      </w:r>
      <w:r w:rsidR="00802C3B" w:rsidRPr="00AE4E8D">
        <w:rPr>
          <w:lang w:val="es-ES"/>
        </w:rPr>
        <w:t xml:space="preserve"> = US</w:t>
      </w:r>
      <w:r w:rsidR="002A51A2" w:rsidRPr="00AE4E8D">
        <w:rPr>
          <w:lang w:val="es-ES"/>
        </w:rPr>
        <w:t>$1,00.</w:t>
      </w:r>
    </w:p>
    <w:p w14:paraId="7830299A" w14:textId="77777777" w:rsidR="00CB5660" w:rsidRPr="00AE4E8D" w:rsidRDefault="00CB5660" w:rsidP="006659E6">
      <w:pPr>
        <w:pStyle w:val="BHTexto"/>
        <w:rPr>
          <w:lang w:val="es-ES"/>
        </w:rPr>
      </w:pPr>
      <w:r w:rsidRPr="00AE4E8D">
        <w:rPr>
          <w:lang w:val="es-ES"/>
        </w:rPr>
        <w:t xml:space="preserve">No debe interpretarse que la conversión de montos monetarios contenida en este Prospecto constituye una declaración de que las sumas en Pesos efectivamente representan montos en Dólares Estadounidenses o que cualquier persona podría convertir las sumas en Pesos a sumas en Dólares Estadounidenses a la paridad indicada o a cualquier otra. Véase </w:t>
      </w:r>
      <w:r w:rsidRPr="00AE4E8D">
        <w:rPr>
          <w:i/>
          <w:lang w:val="es-ES"/>
        </w:rPr>
        <w:t>“Tipos de Cambio”</w:t>
      </w:r>
      <w:r w:rsidRPr="00AE4E8D">
        <w:rPr>
          <w:lang w:val="es-ES"/>
        </w:rPr>
        <w:t xml:space="preserve"> para tener información acerca de las novedades recientes en materia de paridad cambiaria.</w:t>
      </w:r>
    </w:p>
    <w:p w14:paraId="6AB8DEB2" w14:textId="77777777" w:rsidR="00CB5660" w:rsidRPr="00AE4E8D" w:rsidRDefault="00CB5660" w:rsidP="00164743">
      <w:pPr>
        <w:pStyle w:val="BH2Izquierda"/>
        <w:rPr>
          <w:b w:val="0"/>
          <w:lang w:val="es-ES"/>
        </w:rPr>
      </w:pPr>
      <w:bookmarkStart w:id="79" w:name="_Toc420062530"/>
      <w:bookmarkStart w:id="80" w:name="_Toc421201308"/>
      <w:bookmarkStart w:id="81" w:name="_Toc495972965"/>
      <w:bookmarkStart w:id="82" w:name="_Toc495399872"/>
      <w:r w:rsidRPr="00AE4E8D">
        <w:rPr>
          <w:lang w:val="es-ES"/>
        </w:rPr>
        <w:t>Redondeo</w:t>
      </w:r>
      <w:bookmarkEnd w:id="79"/>
      <w:bookmarkEnd w:id="80"/>
      <w:bookmarkEnd w:id="81"/>
      <w:bookmarkEnd w:id="82"/>
    </w:p>
    <w:p w14:paraId="51444647" w14:textId="77777777" w:rsidR="00CB5660" w:rsidRPr="00AE4E8D" w:rsidRDefault="00CB5660" w:rsidP="00164743">
      <w:pPr>
        <w:pStyle w:val="BHTexto"/>
        <w:rPr>
          <w:lang w:val="es-ES"/>
        </w:rPr>
      </w:pPr>
      <w:r w:rsidRPr="00AE4E8D">
        <w:rPr>
          <w:lang w:val="es-ES"/>
        </w:rPr>
        <w:t>Algunos montos que aparecen en este Prospecto (incluyendo montos porcentuales) y en nuestros estados contables han sido objeto de redondeo para facilitar su presentación. En consecuencia, las cifras indicadas para la misma categoría presentadas en las diferentes tablas o partes de este Prospecto y en nuestros estados contables pueden variar levemente, y las cifras indicadas como totales en algunas tablas pueden no ser la suma aritmética de las cifras que las preceden. Asimismo, cierta información sobre participación de mercado y de otra índole incluida en el presente proviene de información sobre el sistema bancario argentino publicada por el BCRA. La información publicada por el BCRA en relación con préstamos no incluye información sobre prestamistas no bancarios, tales como institutos provinciales para la vivienda y otras entidades no bancarias.</w:t>
      </w:r>
    </w:p>
    <w:p w14:paraId="4348F60C" w14:textId="77777777" w:rsidR="00CB5660" w:rsidRPr="00AE4E8D" w:rsidRDefault="00CB5660" w:rsidP="00164743">
      <w:pPr>
        <w:pStyle w:val="BH2Izquierda"/>
        <w:rPr>
          <w:b w:val="0"/>
          <w:lang w:val="es-ES"/>
        </w:rPr>
      </w:pPr>
      <w:bookmarkStart w:id="83" w:name="_Toc420062531"/>
      <w:bookmarkStart w:id="84" w:name="_Toc421201309"/>
      <w:bookmarkStart w:id="85" w:name="_Toc495972966"/>
      <w:bookmarkStart w:id="86" w:name="_Toc495399873"/>
      <w:r w:rsidRPr="00AE4E8D">
        <w:rPr>
          <w:lang w:val="es-ES"/>
        </w:rPr>
        <w:t>Datos Económicos y de Mercado</w:t>
      </w:r>
      <w:bookmarkEnd w:id="83"/>
      <w:bookmarkEnd w:id="84"/>
      <w:bookmarkEnd w:id="85"/>
      <w:bookmarkEnd w:id="86"/>
    </w:p>
    <w:p w14:paraId="6114058C" w14:textId="77777777" w:rsidR="00CB5660" w:rsidRPr="00AE4E8D" w:rsidRDefault="00CB5660" w:rsidP="00164743">
      <w:pPr>
        <w:pStyle w:val="BHTexto"/>
        <w:rPr>
          <w:lang w:val="es-ES"/>
        </w:rPr>
      </w:pPr>
      <w:r w:rsidRPr="00AE4E8D">
        <w:rPr>
          <w:lang w:val="es-ES"/>
        </w:rPr>
        <w:t>En este Prospecto, a menos que se indique lo contrario, los datos macroeconómicos relacionados con la economía argentina se basan en información publicada por el Instituto Nacional de Estadísticas y Censos (“</w:t>
      </w:r>
      <w:r w:rsidRPr="00AE4E8D">
        <w:rPr>
          <w:u w:val="single"/>
          <w:lang w:val="es-ES"/>
        </w:rPr>
        <w:t>INDEC</w:t>
      </w:r>
      <w:r w:rsidRPr="00AE4E8D">
        <w:rPr>
          <w:lang w:val="es-ES"/>
        </w:rPr>
        <w:t xml:space="preserve">”), y todos los datos sobre participaciones de mercado y de otro tipo relacionados con el sistema financiero argentino se basan en información publicada por el BCRA. </w:t>
      </w:r>
      <w:r w:rsidRPr="00AE4E8D">
        <w:rPr>
          <w:lang w:val="es-ES" w:eastAsia="es-AR"/>
        </w:rPr>
        <w:t xml:space="preserve">Véase </w:t>
      </w:r>
      <w:r w:rsidRPr="00AE4E8D">
        <w:rPr>
          <w:i/>
          <w:lang w:val="es-ES" w:eastAsia="es-AR"/>
        </w:rPr>
        <w:t>“Factores de Riesgo</w:t>
      </w:r>
      <w:r w:rsidRPr="00AE4E8D">
        <w:rPr>
          <w:i/>
          <w:color w:val="212121"/>
          <w:lang w:val="es-ES" w:eastAsia="es-AR"/>
        </w:rPr>
        <w:t>—</w:t>
      </w:r>
      <w:r w:rsidRPr="00AE4E8D">
        <w:rPr>
          <w:i/>
          <w:lang w:val="es-ES" w:eastAsia="es-AR"/>
        </w:rPr>
        <w:lastRenderedPageBreak/>
        <w:t>Riesgos Relacionados con la Argentina</w:t>
      </w:r>
      <w:r w:rsidRPr="00AE4E8D">
        <w:rPr>
          <w:i/>
          <w:color w:val="212121"/>
          <w:lang w:val="es-ES" w:eastAsia="es-AR"/>
        </w:rPr>
        <w:t>—</w:t>
      </w:r>
      <w:r w:rsidRPr="00AE4E8D">
        <w:rPr>
          <w:i/>
          <w:lang w:val="es-ES" w:eastAsia="es-AR"/>
        </w:rPr>
        <w:t>Existe preocupación acerca de la exactitud de las estadísticas oficiales de inflación de la Argentina”.</w:t>
      </w:r>
    </w:p>
    <w:p w14:paraId="5825A7DF" w14:textId="77777777" w:rsidR="00CB5660" w:rsidRPr="00AE4E8D" w:rsidRDefault="00CB5660" w:rsidP="00172B63">
      <w:pPr>
        <w:autoSpaceDE w:val="0"/>
        <w:autoSpaceDN w:val="0"/>
        <w:adjustRightInd w:val="0"/>
        <w:spacing w:before="120" w:after="120"/>
        <w:jc w:val="both"/>
        <w:rPr>
          <w:rFonts w:ascii="Times New Roman" w:hAnsi="Times New Roman"/>
          <w:highlight w:val="cyan"/>
          <w:lang w:val="es-ES" w:eastAsia="es-AR"/>
        </w:rPr>
      </w:pPr>
    </w:p>
    <w:p w14:paraId="37A5F1F3" w14:textId="77777777" w:rsidR="00CB5660" w:rsidRPr="00AE4E8D" w:rsidRDefault="00CB5660" w:rsidP="00172B63">
      <w:pPr>
        <w:autoSpaceDE w:val="0"/>
        <w:autoSpaceDN w:val="0"/>
        <w:adjustRightInd w:val="0"/>
        <w:spacing w:before="120" w:after="120"/>
        <w:jc w:val="both"/>
        <w:rPr>
          <w:rFonts w:ascii="Times New Roman" w:hAnsi="Times New Roman"/>
          <w:highlight w:val="cyan"/>
          <w:lang w:val="es-ES" w:eastAsia="es-AR"/>
        </w:rPr>
        <w:sectPr w:rsidR="00CB5660" w:rsidRPr="00AE4E8D" w:rsidSect="00574F35">
          <w:footerReference w:type="default" r:id="rId21"/>
          <w:pgSz w:w="11907" w:h="16839" w:code="9"/>
          <w:pgMar w:top="1417" w:right="1701" w:bottom="1417" w:left="1701" w:header="709" w:footer="709" w:gutter="0"/>
          <w:pgNumType w:fmt="lowerRoman"/>
          <w:cols w:space="708"/>
          <w:docGrid w:linePitch="360"/>
        </w:sectPr>
      </w:pPr>
    </w:p>
    <w:p w14:paraId="743FCC3E" w14:textId="77777777" w:rsidR="00CB5660" w:rsidRPr="00AE4E8D" w:rsidRDefault="00CB5660" w:rsidP="00172B63">
      <w:pPr>
        <w:autoSpaceDE w:val="0"/>
        <w:autoSpaceDN w:val="0"/>
        <w:adjustRightInd w:val="0"/>
        <w:spacing w:before="240" w:after="240"/>
        <w:jc w:val="center"/>
        <w:outlineLvl w:val="0"/>
        <w:rPr>
          <w:rFonts w:ascii="Times New Roman" w:hAnsi="Times New Roman"/>
          <w:b/>
          <w:caps/>
          <w:lang w:val="es-ES" w:eastAsia="es-AR"/>
        </w:rPr>
      </w:pPr>
      <w:r w:rsidRPr="00AE4E8D">
        <w:rPr>
          <w:rFonts w:ascii="Times New Roman" w:hAnsi="Times New Roman"/>
          <w:highlight w:val="cyan"/>
          <w:lang w:val="es-ES" w:eastAsia="es-AR"/>
        </w:rPr>
        <w:lastRenderedPageBreak/>
        <w:br w:type="page"/>
      </w:r>
      <w:bookmarkStart w:id="87" w:name="_Toc420062532"/>
      <w:bookmarkStart w:id="88" w:name="_Toc421201310"/>
      <w:bookmarkStart w:id="89" w:name="_Toc449010424"/>
      <w:bookmarkStart w:id="90" w:name="_Toc487734734"/>
      <w:bookmarkStart w:id="91" w:name="_Toc495972967"/>
      <w:bookmarkStart w:id="92" w:name="_Toc495399874"/>
      <w:r w:rsidRPr="00AE4E8D">
        <w:rPr>
          <w:rFonts w:ascii="Times New Roman" w:hAnsi="Times New Roman"/>
          <w:b/>
          <w:caps/>
          <w:lang w:val="es-ES" w:eastAsia="es-AR"/>
        </w:rPr>
        <w:lastRenderedPageBreak/>
        <w:t>RESUMEN DEL PROSPECTO</w:t>
      </w:r>
      <w:bookmarkEnd w:id="11"/>
      <w:bookmarkEnd w:id="87"/>
      <w:bookmarkEnd w:id="88"/>
      <w:bookmarkEnd w:id="89"/>
      <w:bookmarkEnd w:id="90"/>
      <w:bookmarkEnd w:id="91"/>
      <w:bookmarkEnd w:id="92"/>
    </w:p>
    <w:p w14:paraId="4E8B65FA" w14:textId="77777777" w:rsidR="00CB5660" w:rsidRPr="00AE4E8D" w:rsidRDefault="00CB5660" w:rsidP="006659E6">
      <w:pPr>
        <w:pStyle w:val="BHTexto"/>
        <w:rPr>
          <w:i/>
          <w:lang w:val="es-ES"/>
        </w:rPr>
      </w:pPr>
      <w:bookmarkStart w:id="93" w:name="_Toc414610836"/>
      <w:r w:rsidRPr="00AE4E8D">
        <w:rPr>
          <w:i/>
          <w:lang w:val="es-ES"/>
        </w:rPr>
        <w:t>Este resumen destaca información seleccionada en relación con nosotros y no incluye toda la información que un inversor debiera considerar antes de tomar una decisión de inversión. Para una comprensión detallada, lo instamos a leer cuidadosamente este documento en su totalidad, incluyendo la información contenida en “Factores de Riesgo”, “Comentarios y Análisis de la Dirección sobre la Situación Patrimonial y los Resultados de las Operaciones”, “Descripción de nuestros negocios”, nuestros estados contables y el suplemento de precio adjunto al presente en relación con las Obligaciones Negociables.</w:t>
      </w:r>
    </w:p>
    <w:p w14:paraId="54D4009C" w14:textId="77777777" w:rsidR="00CB5660" w:rsidRPr="00AE4E8D" w:rsidRDefault="00CB5660" w:rsidP="00172B63">
      <w:pPr>
        <w:keepNext/>
        <w:autoSpaceDE w:val="0"/>
        <w:autoSpaceDN w:val="0"/>
        <w:adjustRightInd w:val="0"/>
        <w:spacing w:before="240" w:after="240"/>
        <w:outlineLvl w:val="1"/>
        <w:rPr>
          <w:rFonts w:ascii="Times New Roman" w:hAnsi="Times New Roman"/>
          <w:b/>
          <w:lang w:val="es-ES" w:eastAsia="es-AR"/>
        </w:rPr>
      </w:pPr>
      <w:bookmarkStart w:id="94" w:name="_Toc420062533"/>
      <w:bookmarkStart w:id="95" w:name="_Toc421201311"/>
      <w:bookmarkStart w:id="96" w:name="_Toc495972968"/>
      <w:bookmarkStart w:id="97" w:name="_Toc495399875"/>
      <w:r w:rsidRPr="00AE4E8D">
        <w:rPr>
          <w:rFonts w:ascii="Times New Roman" w:hAnsi="Times New Roman"/>
          <w:b/>
          <w:lang w:val="es-ES" w:eastAsia="es-AR"/>
        </w:rPr>
        <w:t>Introducción</w:t>
      </w:r>
      <w:bookmarkEnd w:id="94"/>
      <w:bookmarkEnd w:id="95"/>
      <w:bookmarkEnd w:id="96"/>
      <w:bookmarkEnd w:id="97"/>
    </w:p>
    <w:p w14:paraId="642843E0" w14:textId="77777777" w:rsidR="00CB5660" w:rsidRPr="00AE4E8D" w:rsidRDefault="00CB5660" w:rsidP="006659E6">
      <w:pPr>
        <w:pStyle w:val="BHTexto"/>
        <w:rPr>
          <w:lang w:val="es-ES"/>
        </w:rPr>
      </w:pPr>
      <w:r w:rsidRPr="00AE4E8D">
        <w:rPr>
          <w:lang w:val="es-ES"/>
        </w:rPr>
        <w:t xml:space="preserve">Fuimos creados en 1886 por el Gobierno Argentino y privatizados en 1999. Somos un banco comercial que brinda servicios de banca universal ofreciendo una amplia variedad de productos y actividades bancarias, como préstamos </w:t>
      </w:r>
      <w:r w:rsidR="00AB045F" w:rsidRPr="00AE4E8D">
        <w:rPr>
          <w:lang w:val="es-ES"/>
        </w:rPr>
        <w:t xml:space="preserve">de consumo </w:t>
      </w:r>
      <w:r w:rsidRPr="00AE4E8D">
        <w:rPr>
          <w:lang w:val="es-ES"/>
        </w:rPr>
        <w:t xml:space="preserve">y corporativos, </w:t>
      </w:r>
      <w:r w:rsidR="00AB045F" w:rsidRPr="00AE4E8D">
        <w:rPr>
          <w:lang w:val="es-ES"/>
        </w:rPr>
        <w:t>cajas de ahorro</w:t>
      </w:r>
      <w:r w:rsidRPr="00AE4E8D">
        <w:rPr>
          <w:lang w:val="es-ES"/>
        </w:rPr>
        <w:t>, tarjetas de crédito y débito, y servicios financieros relacionados a particulares, pequeñas y medianas empresas (“</w:t>
      </w:r>
      <w:r w:rsidRPr="00AE4E8D">
        <w:rPr>
          <w:u w:val="single"/>
          <w:lang w:val="es-ES"/>
        </w:rPr>
        <w:t>PyME</w:t>
      </w:r>
      <w:r w:rsidRPr="00AE4E8D">
        <w:rPr>
          <w:lang w:val="es-ES"/>
        </w:rPr>
        <w:t xml:space="preserve">”) y grandes empresas. Todas nuestras operaciones están ubicadas en la Argentina, donde operamos a través de una red nacional con </w:t>
      </w:r>
      <w:r w:rsidR="00885BDE" w:rsidRPr="00AE4E8D">
        <w:rPr>
          <w:lang w:val="es-ES"/>
        </w:rPr>
        <w:t>65</w:t>
      </w:r>
      <w:r w:rsidR="0003102A" w:rsidRPr="00AE4E8D">
        <w:rPr>
          <w:lang w:val="es-ES"/>
        </w:rPr>
        <w:t xml:space="preserve"> </w:t>
      </w:r>
      <w:r w:rsidRPr="00AE4E8D">
        <w:rPr>
          <w:lang w:val="es-ES"/>
        </w:rPr>
        <w:t xml:space="preserve">sucursales en todas las 23 provincias y la Ciudad Autónoma de Buenos Aires y 15 puntos de venta adicionales a lo largo de la Argentina. Procuramos distinguirnos de otras entidades financieras argentinas concentrándonos en las soluciones para la vivienda y préstamos al consumo dado que consideramos que ofrecen oportunidades atractivas de crecimiento continuo. </w:t>
      </w:r>
    </w:p>
    <w:p w14:paraId="77C0D518" w14:textId="77777777" w:rsidR="00CB5660" w:rsidRPr="00AE4E8D" w:rsidRDefault="0044695C" w:rsidP="006659E6">
      <w:pPr>
        <w:pStyle w:val="BHTexto"/>
        <w:rPr>
          <w:lang w:val="es-ES"/>
        </w:rPr>
      </w:pPr>
      <w:r w:rsidRPr="00AE4E8D">
        <w:rPr>
          <w:lang w:val="es-ES"/>
        </w:rPr>
        <w:t xml:space="preserve">Históricamente hemos sido líderes en el otorgamiento de préstamos hipotecarios y prestadores de servicios de seguros vinculados con hipotecas y servicios asociados a los préstamos hipotecarios de acuerdo con información del BCRA. </w:t>
      </w:r>
      <w:r w:rsidR="00CB5660" w:rsidRPr="00AE4E8D">
        <w:rPr>
          <w:lang w:val="es-ES"/>
        </w:rPr>
        <w:t xml:space="preserve">Al </w:t>
      </w:r>
      <w:r w:rsidR="00885BDE" w:rsidRPr="00AE4E8D">
        <w:rPr>
          <w:lang w:val="es-ES"/>
        </w:rPr>
        <w:t>3</w:t>
      </w:r>
      <w:r w:rsidR="001A439C" w:rsidRPr="00AE4E8D">
        <w:rPr>
          <w:lang w:val="es-ES"/>
        </w:rPr>
        <w:t>0</w:t>
      </w:r>
      <w:r w:rsidR="00885BDE" w:rsidRPr="00AE4E8D">
        <w:rPr>
          <w:lang w:val="es-ES"/>
        </w:rPr>
        <w:t xml:space="preserve"> de </w:t>
      </w:r>
      <w:r w:rsidR="00236232" w:rsidRPr="00AE4E8D">
        <w:rPr>
          <w:lang w:val="es-ES"/>
        </w:rPr>
        <w:t xml:space="preserve">junio </w:t>
      </w:r>
      <w:r w:rsidR="00CB5660" w:rsidRPr="00AE4E8D">
        <w:rPr>
          <w:lang w:val="es-ES"/>
        </w:rPr>
        <w:t>de 201</w:t>
      </w:r>
      <w:r w:rsidR="00F573FB" w:rsidRPr="00AE4E8D">
        <w:rPr>
          <w:lang w:val="es-ES"/>
        </w:rPr>
        <w:t>7</w:t>
      </w:r>
      <w:r w:rsidR="00CB5660" w:rsidRPr="00AE4E8D">
        <w:rPr>
          <w:lang w:val="es-ES"/>
        </w:rPr>
        <w:t xml:space="preserve">, </w:t>
      </w:r>
      <w:r w:rsidR="002A5A31" w:rsidRPr="00AE4E8D">
        <w:rPr>
          <w:lang w:val="es-ES"/>
        </w:rPr>
        <w:t>éramos</w:t>
      </w:r>
      <w:r w:rsidR="00CB5660" w:rsidRPr="00AE4E8D">
        <w:rPr>
          <w:lang w:val="es-ES"/>
        </w:rPr>
        <w:t xml:space="preserve"> el décimo </w:t>
      </w:r>
      <w:r w:rsidR="00236232" w:rsidRPr="00AE4E8D">
        <w:rPr>
          <w:lang w:val="es-ES"/>
        </w:rPr>
        <w:t xml:space="preserve">cuarto </w:t>
      </w:r>
      <w:r w:rsidR="00CB5660" w:rsidRPr="00AE4E8D">
        <w:rPr>
          <w:lang w:val="es-ES"/>
        </w:rPr>
        <w:t>banco argentino</w:t>
      </w:r>
      <w:r w:rsidR="00AB045F" w:rsidRPr="00AE4E8D">
        <w:rPr>
          <w:lang w:val="es-ES"/>
        </w:rPr>
        <w:t xml:space="preserve"> más grande</w:t>
      </w:r>
      <w:r w:rsidR="00CB5660" w:rsidRPr="00AE4E8D">
        <w:rPr>
          <w:lang w:val="es-ES"/>
        </w:rPr>
        <w:t xml:space="preserve"> en términos de patrimonio neto, con un patrimonio neto de </w:t>
      </w:r>
      <w:r w:rsidR="00C46247" w:rsidRPr="00AE4E8D">
        <w:rPr>
          <w:lang w:val="es-ES"/>
        </w:rPr>
        <w:t xml:space="preserve">Ps. </w:t>
      </w:r>
      <w:r w:rsidR="00355EC1" w:rsidRPr="00AE4E8D">
        <w:rPr>
          <w:lang w:val="es-ES"/>
        </w:rPr>
        <w:t>6.</w:t>
      </w:r>
      <w:r w:rsidR="00236232" w:rsidRPr="00AE4E8D">
        <w:rPr>
          <w:lang w:val="es-ES"/>
        </w:rPr>
        <w:t>681</w:t>
      </w:r>
      <w:r w:rsidR="001A439C" w:rsidRPr="00AE4E8D">
        <w:rPr>
          <w:lang w:val="es-ES"/>
        </w:rPr>
        <w:t>,2</w:t>
      </w:r>
      <w:r w:rsidR="00CB5660" w:rsidRPr="00AE4E8D">
        <w:rPr>
          <w:lang w:val="es-ES"/>
        </w:rPr>
        <w:t xml:space="preserve"> millones y el décimo </w:t>
      </w:r>
      <w:r w:rsidR="009506A1" w:rsidRPr="00AE4E8D">
        <w:rPr>
          <w:lang w:val="es-ES"/>
        </w:rPr>
        <w:t>quinto</w:t>
      </w:r>
      <w:r w:rsidR="0003102A" w:rsidRPr="00AE4E8D">
        <w:rPr>
          <w:lang w:val="es-ES"/>
        </w:rPr>
        <w:t xml:space="preserve"> </w:t>
      </w:r>
      <w:r w:rsidR="00CB5660" w:rsidRPr="00AE4E8D">
        <w:rPr>
          <w:lang w:val="es-ES"/>
        </w:rPr>
        <w:t xml:space="preserve">en términos de activos (básicos), contando con activos por </w:t>
      </w:r>
      <w:r w:rsidR="00C46247" w:rsidRPr="00AE4E8D">
        <w:rPr>
          <w:lang w:val="es-ES"/>
        </w:rPr>
        <w:t xml:space="preserve">Ps. </w:t>
      </w:r>
      <w:r w:rsidR="00236232" w:rsidRPr="00AE4E8D">
        <w:rPr>
          <w:lang w:val="es-ES"/>
        </w:rPr>
        <w:t>49.272,0</w:t>
      </w:r>
      <w:r w:rsidR="00CB5660" w:rsidRPr="00AE4E8D">
        <w:rPr>
          <w:lang w:val="es-ES"/>
        </w:rPr>
        <w:t xml:space="preserve"> millones.</w:t>
      </w:r>
      <w:r w:rsidR="001C79F8" w:rsidRPr="00AE4E8D">
        <w:rPr>
          <w:lang w:val="es-ES"/>
        </w:rPr>
        <w:t xml:space="preserve"> </w:t>
      </w:r>
    </w:p>
    <w:p w14:paraId="3BBBE910" w14:textId="77777777" w:rsidR="00CB5660" w:rsidRPr="00AE4E8D" w:rsidRDefault="00CB5660" w:rsidP="006659E6">
      <w:pPr>
        <w:pStyle w:val="BHTexto"/>
        <w:rPr>
          <w:lang w:val="es-AR"/>
        </w:rPr>
      </w:pPr>
      <w:r w:rsidRPr="00AE4E8D">
        <w:rPr>
          <w:lang w:val="es-ES"/>
        </w:rPr>
        <w:t>Nuestro resultado neto para los años finalizados el 31 de diciembre de 2014</w:t>
      </w:r>
      <w:r w:rsidR="00885BDE" w:rsidRPr="00AE4E8D">
        <w:rPr>
          <w:lang w:val="es-ES"/>
        </w:rPr>
        <w:t>,</w:t>
      </w:r>
      <w:r w:rsidRPr="00AE4E8D">
        <w:rPr>
          <w:lang w:val="es-ES"/>
        </w:rPr>
        <w:t xml:space="preserve"> 2015</w:t>
      </w:r>
      <w:r w:rsidR="00885BDE" w:rsidRPr="00AE4E8D">
        <w:rPr>
          <w:lang w:val="es-ES"/>
        </w:rPr>
        <w:t xml:space="preserve"> y 2016</w:t>
      </w:r>
      <w:r w:rsidRPr="00AE4E8D">
        <w:rPr>
          <w:lang w:val="es-ES"/>
        </w:rPr>
        <w:t xml:space="preserve"> </w:t>
      </w:r>
      <w:r w:rsidR="00F573FB" w:rsidRPr="00AE4E8D">
        <w:rPr>
          <w:lang w:val="es-ES"/>
        </w:rPr>
        <w:t>y para el período finalizado el 3</w:t>
      </w:r>
      <w:r w:rsidR="001A439C" w:rsidRPr="00AE4E8D">
        <w:rPr>
          <w:lang w:val="es-ES"/>
        </w:rPr>
        <w:t>0</w:t>
      </w:r>
      <w:r w:rsidR="00F573FB" w:rsidRPr="00AE4E8D">
        <w:rPr>
          <w:lang w:val="es-ES"/>
        </w:rPr>
        <w:t xml:space="preserve"> de </w:t>
      </w:r>
      <w:r w:rsidR="001A439C" w:rsidRPr="00AE4E8D">
        <w:rPr>
          <w:lang w:val="es-ES"/>
        </w:rPr>
        <w:t>junio</w:t>
      </w:r>
      <w:r w:rsidR="00F573FB" w:rsidRPr="00AE4E8D">
        <w:rPr>
          <w:lang w:val="es-ES"/>
        </w:rPr>
        <w:t xml:space="preserve"> de 2017 </w:t>
      </w:r>
      <w:r w:rsidRPr="00AE4E8D">
        <w:rPr>
          <w:lang w:val="es-ES"/>
        </w:rPr>
        <w:t>fue de Ps.550</w:t>
      </w:r>
      <w:proofErr w:type="gramStart"/>
      <w:r w:rsidRPr="00AE4E8D">
        <w:rPr>
          <w:lang w:val="es-ES"/>
        </w:rPr>
        <w:t>,0</w:t>
      </w:r>
      <w:proofErr w:type="gramEnd"/>
      <w:r w:rsidRPr="00AE4E8D">
        <w:rPr>
          <w:lang w:val="es-ES"/>
        </w:rPr>
        <w:t xml:space="preserve"> millones, Ps.1.085,8 millones</w:t>
      </w:r>
      <w:r w:rsidR="00F573FB" w:rsidRPr="00AE4E8D">
        <w:rPr>
          <w:lang w:val="es-ES"/>
        </w:rPr>
        <w:t>,</w:t>
      </w:r>
      <w:r w:rsidRPr="00AE4E8D">
        <w:rPr>
          <w:lang w:val="es-ES"/>
        </w:rPr>
        <w:t xml:space="preserve"> Ps.</w:t>
      </w:r>
      <w:r w:rsidR="00885BDE" w:rsidRPr="00AE4E8D">
        <w:rPr>
          <w:lang w:val="es-ES"/>
        </w:rPr>
        <w:t>615,3</w:t>
      </w:r>
      <w:r w:rsidRPr="00AE4E8D">
        <w:rPr>
          <w:lang w:val="es-ES"/>
        </w:rPr>
        <w:t xml:space="preserve"> millones</w:t>
      </w:r>
      <w:r w:rsidR="00F573FB" w:rsidRPr="00AE4E8D">
        <w:rPr>
          <w:lang w:val="es-ES"/>
        </w:rPr>
        <w:t xml:space="preserve"> y Ps.</w:t>
      </w:r>
      <w:r w:rsidR="001A439C" w:rsidRPr="00AE4E8D">
        <w:rPr>
          <w:lang w:val="es-ES"/>
        </w:rPr>
        <w:t>625</w:t>
      </w:r>
      <w:r w:rsidR="00355EC1" w:rsidRPr="00AE4E8D">
        <w:rPr>
          <w:lang w:val="es-ES"/>
        </w:rPr>
        <w:t>,</w:t>
      </w:r>
      <w:r w:rsidR="001A439C" w:rsidRPr="00AE4E8D">
        <w:rPr>
          <w:lang w:val="es-ES"/>
        </w:rPr>
        <w:t>0</w:t>
      </w:r>
      <w:r w:rsidR="00CE017C" w:rsidRPr="00AE4E8D">
        <w:rPr>
          <w:lang w:val="es-ES"/>
        </w:rPr>
        <w:t xml:space="preserve"> millones</w:t>
      </w:r>
      <w:r w:rsidRPr="00AE4E8D">
        <w:rPr>
          <w:lang w:val="es-ES"/>
        </w:rPr>
        <w:t>, respectivamente, representando un retorno sobre el patrimonio neto promedio de 13,3%, 22,1%</w:t>
      </w:r>
      <w:r w:rsidR="00665753" w:rsidRPr="00AE4E8D">
        <w:rPr>
          <w:lang w:val="es-ES"/>
        </w:rPr>
        <w:t>,</w:t>
      </w:r>
      <w:r w:rsidRPr="00AE4E8D">
        <w:rPr>
          <w:lang w:val="es-ES"/>
        </w:rPr>
        <w:t xml:space="preserve"> </w:t>
      </w:r>
      <w:r w:rsidR="00885BDE" w:rsidRPr="00AE4E8D">
        <w:rPr>
          <w:lang w:val="es-ES"/>
        </w:rPr>
        <w:t>10,7</w:t>
      </w:r>
      <w:r w:rsidRPr="00AE4E8D">
        <w:rPr>
          <w:lang w:val="es-ES"/>
        </w:rPr>
        <w:t>%</w:t>
      </w:r>
      <w:r w:rsidR="00665753" w:rsidRPr="00AE4E8D">
        <w:rPr>
          <w:lang w:val="es-ES"/>
        </w:rPr>
        <w:t xml:space="preserve"> y </w:t>
      </w:r>
      <w:r w:rsidR="001A439C" w:rsidRPr="00AE4E8D">
        <w:rPr>
          <w:lang w:val="es-ES"/>
        </w:rPr>
        <w:t>19</w:t>
      </w:r>
      <w:r w:rsidR="002577A4" w:rsidRPr="00AE4E8D">
        <w:rPr>
          <w:lang w:val="es-ES"/>
        </w:rPr>
        <w:t>,</w:t>
      </w:r>
      <w:r w:rsidR="001A439C" w:rsidRPr="00AE4E8D">
        <w:rPr>
          <w:lang w:val="es-ES"/>
        </w:rPr>
        <w:t>63</w:t>
      </w:r>
      <w:r w:rsidR="00665753" w:rsidRPr="00AE4E8D">
        <w:rPr>
          <w:lang w:val="es-ES"/>
        </w:rPr>
        <w:t>%</w:t>
      </w:r>
      <w:r w:rsidRPr="00AE4E8D">
        <w:rPr>
          <w:lang w:val="es-ES"/>
        </w:rPr>
        <w:t>, respectivamente y un retorno sobre el promedio de activos del 2,1%, 3,1%</w:t>
      </w:r>
      <w:r w:rsidR="001E2E14" w:rsidRPr="00AE4E8D">
        <w:rPr>
          <w:lang w:val="es-ES"/>
        </w:rPr>
        <w:t>,</w:t>
      </w:r>
      <w:r w:rsidRPr="00AE4E8D">
        <w:rPr>
          <w:lang w:val="es-ES"/>
        </w:rPr>
        <w:t xml:space="preserve"> 1,</w:t>
      </w:r>
      <w:r w:rsidR="00885BDE" w:rsidRPr="00AE4E8D">
        <w:rPr>
          <w:lang w:val="es-ES"/>
        </w:rPr>
        <w:t>3</w:t>
      </w:r>
      <w:r w:rsidRPr="00AE4E8D">
        <w:rPr>
          <w:lang w:val="es-ES"/>
        </w:rPr>
        <w:t>%</w:t>
      </w:r>
      <w:r w:rsidR="001E2E14" w:rsidRPr="00AE4E8D">
        <w:rPr>
          <w:lang w:val="es-ES"/>
        </w:rPr>
        <w:t xml:space="preserve"> y </w:t>
      </w:r>
      <w:r w:rsidR="003C64E8" w:rsidRPr="00AE4E8D">
        <w:rPr>
          <w:lang w:val="es-ES"/>
        </w:rPr>
        <w:t>2</w:t>
      </w:r>
      <w:r w:rsidR="002577A4" w:rsidRPr="00AE4E8D">
        <w:rPr>
          <w:lang w:val="es-ES"/>
        </w:rPr>
        <w:t>,</w:t>
      </w:r>
      <w:r w:rsidR="003C64E8" w:rsidRPr="00AE4E8D">
        <w:rPr>
          <w:lang w:val="es-ES"/>
        </w:rPr>
        <w:t>3</w:t>
      </w:r>
      <w:r w:rsidR="001E2E14" w:rsidRPr="00AE4E8D">
        <w:rPr>
          <w:lang w:val="es-ES"/>
        </w:rPr>
        <w:t>%</w:t>
      </w:r>
      <w:r w:rsidRPr="00AE4E8D">
        <w:rPr>
          <w:lang w:val="es-ES"/>
        </w:rPr>
        <w:t xml:space="preserve">, respectivamente. Al </w:t>
      </w:r>
      <w:r w:rsidR="00885BDE" w:rsidRPr="00AE4E8D">
        <w:rPr>
          <w:lang w:val="es-ES"/>
        </w:rPr>
        <w:t>3</w:t>
      </w:r>
      <w:r w:rsidR="003C64E8" w:rsidRPr="00AE4E8D">
        <w:rPr>
          <w:lang w:val="es-ES"/>
        </w:rPr>
        <w:t>0</w:t>
      </w:r>
      <w:r w:rsidR="00885BDE" w:rsidRPr="00AE4E8D">
        <w:rPr>
          <w:lang w:val="es-ES"/>
        </w:rPr>
        <w:t xml:space="preserve"> de </w:t>
      </w:r>
      <w:r w:rsidR="003C64E8" w:rsidRPr="00AE4E8D">
        <w:rPr>
          <w:lang w:val="es-ES"/>
        </w:rPr>
        <w:t>junio</w:t>
      </w:r>
      <w:r w:rsidRPr="00AE4E8D">
        <w:rPr>
          <w:lang w:val="es-ES"/>
        </w:rPr>
        <w:t xml:space="preserve"> de 201</w:t>
      </w:r>
      <w:r w:rsidR="00F573FB" w:rsidRPr="00AE4E8D">
        <w:rPr>
          <w:lang w:val="es-ES"/>
        </w:rPr>
        <w:t>7</w:t>
      </w:r>
      <w:r w:rsidRPr="00AE4E8D">
        <w:rPr>
          <w:lang w:val="es-ES"/>
        </w:rPr>
        <w:t xml:space="preserve"> teníamos Ps.</w:t>
      </w:r>
      <w:r w:rsidR="002577A4" w:rsidRPr="00AE4E8D">
        <w:rPr>
          <w:lang w:val="es-ES"/>
        </w:rPr>
        <w:t>6.</w:t>
      </w:r>
      <w:r w:rsidR="003C64E8" w:rsidRPr="00AE4E8D">
        <w:rPr>
          <w:lang w:val="es-ES"/>
        </w:rPr>
        <w:t>681</w:t>
      </w:r>
      <w:proofErr w:type="gramStart"/>
      <w:r w:rsidR="003C64E8" w:rsidRPr="00AE4E8D">
        <w:rPr>
          <w:lang w:val="es-ES"/>
        </w:rPr>
        <w:t>,</w:t>
      </w:r>
      <w:r w:rsidR="001602E0" w:rsidRPr="00AE4E8D">
        <w:rPr>
          <w:lang w:val="es-ES"/>
        </w:rPr>
        <w:t>2</w:t>
      </w:r>
      <w:proofErr w:type="gramEnd"/>
      <w:r w:rsidRPr="00AE4E8D">
        <w:rPr>
          <w:lang w:val="es-ES"/>
        </w:rPr>
        <w:t xml:space="preserve"> millones de patrimonio neto y activos por Ps.</w:t>
      </w:r>
      <w:r w:rsidR="002577A4" w:rsidRPr="00AE4E8D">
        <w:rPr>
          <w:lang w:val="es-ES"/>
        </w:rPr>
        <w:t>5</w:t>
      </w:r>
      <w:r w:rsidR="003C64E8" w:rsidRPr="00AE4E8D">
        <w:rPr>
          <w:lang w:val="es-ES"/>
        </w:rPr>
        <w:t>5.261,9</w:t>
      </w:r>
      <w:r w:rsidRPr="00AE4E8D">
        <w:rPr>
          <w:lang w:val="es-ES"/>
        </w:rPr>
        <w:t xml:space="preserve"> millones.</w:t>
      </w:r>
      <w:r w:rsidR="00574F35" w:rsidRPr="00AE4E8D">
        <w:rPr>
          <w:lang w:val="es-ES"/>
        </w:rPr>
        <w:t xml:space="preserve"> </w:t>
      </w:r>
    </w:p>
    <w:p w14:paraId="32E8E1A8" w14:textId="77777777" w:rsidR="00CB5660" w:rsidRPr="00AE4E8D" w:rsidRDefault="00CB5660" w:rsidP="00B07A6E">
      <w:pPr>
        <w:pStyle w:val="BHTexto"/>
        <w:rPr>
          <w:lang w:val="es-ES"/>
        </w:rPr>
      </w:pPr>
      <w:r w:rsidRPr="00AE4E8D">
        <w:rPr>
          <w:lang w:val="es-ES"/>
        </w:rPr>
        <w:t>En línea con nuestra estrategia de continuar diversificando nuestra cartera de préstamos, hemos incrementado los préstamos no-hipotecarios de</w:t>
      </w:r>
      <w:r w:rsidR="00C46247" w:rsidRPr="00AE4E8D">
        <w:rPr>
          <w:lang w:val="es-ES"/>
        </w:rPr>
        <w:t xml:space="preserve"> </w:t>
      </w:r>
      <w:r w:rsidRPr="00AE4E8D">
        <w:rPr>
          <w:lang w:val="es-ES"/>
        </w:rPr>
        <w:t>Ps.14.845,9 millones al 31 de diciembre de 2014, a Ps.</w:t>
      </w:r>
      <w:r w:rsidRPr="00AE4E8D">
        <w:rPr>
          <w:lang w:val="es-ES" w:eastAsia="es-AR"/>
        </w:rPr>
        <w:t>17.944,7</w:t>
      </w:r>
      <w:r w:rsidRPr="00AE4E8D">
        <w:rPr>
          <w:lang w:val="es-ES"/>
        </w:rPr>
        <w:t xml:space="preserve"> millones al 31 de diciembre de 2015</w:t>
      </w:r>
      <w:r w:rsidR="001E2E14" w:rsidRPr="00AE4E8D">
        <w:rPr>
          <w:lang w:val="es-ES"/>
        </w:rPr>
        <w:t>,</w:t>
      </w:r>
      <w:r w:rsidRPr="00AE4E8D">
        <w:rPr>
          <w:lang w:val="es-ES"/>
        </w:rPr>
        <w:t xml:space="preserve"> a Ps.</w:t>
      </w:r>
      <w:r w:rsidR="00885BDE" w:rsidRPr="00AE4E8D">
        <w:rPr>
          <w:lang w:val="es-ES"/>
        </w:rPr>
        <w:t>24.305,4</w:t>
      </w:r>
      <w:r w:rsidRPr="00AE4E8D">
        <w:rPr>
          <w:lang w:val="es-ES"/>
        </w:rPr>
        <w:t xml:space="preserve"> millones al </w:t>
      </w:r>
      <w:r w:rsidR="00885BDE" w:rsidRPr="00AE4E8D">
        <w:rPr>
          <w:lang w:val="es-ES"/>
        </w:rPr>
        <w:t>31 de diciembre</w:t>
      </w:r>
      <w:r w:rsidRPr="00AE4E8D">
        <w:rPr>
          <w:lang w:val="es-ES"/>
        </w:rPr>
        <w:t xml:space="preserve"> de 2016 </w:t>
      </w:r>
      <w:r w:rsidR="001E2E14" w:rsidRPr="00AE4E8D">
        <w:rPr>
          <w:lang w:val="es-ES"/>
        </w:rPr>
        <w:t xml:space="preserve">y </w:t>
      </w:r>
      <w:r w:rsidR="00712504" w:rsidRPr="00AE4E8D">
        <w:rPr>
          <w:lang w:val="es-ES"/>
        </w:rPr>
        <w:t>a</w:t>
      </w:r>
      <w:r w:rsidR="001E2E14" w:rsidRPr="00AE4E8D">
        <w:rPr>
          <w:lang w:val="es-ES"/>
        </w:rPr>
        <w:t xml:space="preserve"> Ps.</w:t>
      </w:r>
      <w:r w:rsidR="002577A4" w:rsidRPr="00AE4E8D">
        <w:rPr>
          <w:lang w:val="es-ES"/>
        </w:rPr>
        <w:t>2</w:t>
      </w:r>
      <w:r w:rsidR="00611CD5" w:rsidRPr="00AE4E8D">
        <w:rPr>
          <w:lang w:val="es-ES"/>
        </w:rPr>
        <w:t>8.147,3</w:t>
      </w:r>
      <w:r w:rsidR="001E2E14" w:rsidRPr="00AE4E8D">
        <w:rPr>
          <w:lang w:val="es-ES"/>
        </w:rPr>
        <w:t xml:space="preserve"> millones al</w:t>
      </w:r>
      <w:r w:rsidR="00712504" w:rsidRPr="00AE4E8D">
        <w:rPr>
          <w:lang w:val="es-ES"/>
        </w:rPr>
        <w:t xml:space="preserve"> 3</w:t>
      </w:r>
      <w:r w:rsidR="003C64E8" w:rsidRPr="00AE4E8D">
        <w:rPr>
          <w:lang w:val="es-ES"/>
        </w:rPr>
        <w:t>0</w:t>
      </w:r>
      <w:r w:rsidR="00712504" w:rsidRPr="00AE4E8D">
        <w:rPr>
          <w:lang w:val="es-ES"/>
        </w:rPr>
        <w:t xml:space="preserve"> de </w:t>
      </w:r>
      <w:r w:rsidR="003C64E8" w:rsidRPr="00AE4E8D">
        <w:rPr>
          <w:lang w:val="es-ES"/>
        </w:rPr>
        <w:t>junio</w:t>
      </w:r>
      <w:r w:rsidR="00712504" w:rsidRPr="00AE4E8D">
        <w:rPr>
          <w:lang w:val="es-ES"/>
        </w:rPr>
        <w:t xml:space="preserve"> de 2017, </w:t>
      </w:r>
      <w:r w:rsidRPr="00AE4E8D">
        <w:rPr>
          <w:lang w:val="es-ES"/>
        </w:rPr>
        <w:t>incrementando la participación sobre el total de nuestra cartera de préstamos al sector privado no financiero</w:t>
      </w:r>
      <w:r w:rsidR="007B6EF5" w:rsidRPr="00AE4E8D">
        <w:rPr>
          <w:lang w:val="es-ES"/>
        </w:rPr>
        <w:t xml:space="preserve"> </w:t>
      </w:r>
      <w:r w:rsidRPr="00AE4E8D">
        <w:rPr>
          <w:lang w:val="es-ES"/>
        </w:rPr>
        <w:t>del 3</w:t>
      </w:r>
      <w:r w:rsidR="00A3077A" w:rsidRPr="00AE4E8D">
        <w:rPr>
          <w:lang w:val="es-ES"/>
        </w:rPr>
        <w:t>0</w:t>
      </w:r>
      <w:r w:rsidRPr="00AE4E8D">
        <w:rPr>
          <w:lang w:val="es-ES"/>
        </w:rPr>
        <w:t xml:space="preserve"> de </w:t>
      </w:r>
      <w:r w:rsidR="00A3077A" w:rsidRPr="00AE4E8D">
        <w:rPr>
          <w:lang w:val="es-ES"/>
        </w:rPr>
        <w:t>junio</w:t>
      </w:r>
      <w:r w:rsidRPr="00AE4E8D">
        <w:rPr>
          <w:lang w:val="es-ES"/>
        </w:rPr>
        <w:t xml:space="preserve"> de 201</w:t>
      </w:r>
      <w:r w:rsidR="001E2E14" w:rsidRPr="00AE4E8D">
        <w:rPr>
          <w:lang w:val="es-ES"/>
        </w:rPr>
        <w:t>6</w:t>
      </w:r>
      <w:r w:rsidRPr="00AE4E8D">
        <w:rPr>
          <w:lang w:val="es-ES"/>
        </w:rPr>
        <w:t xml:space="preserve"> al </w:t>
      </w:r>
      <w:r w:rsidR="00885BDE" w:rsidRPr="00AE4E8D">
        <w:rPr>
          <w:lang w:val="es-ES"/>
        </w:rPr>
        <w:t>3</w:t>
      </w:r>
      <w:r w:rsidR="00611CD5" w:rsidRPr="00AE4E8D">
        <w:rPr>
          <w:lang w:val="es-ES"/>
        </w:rPr>
        <w:t>0</w:t>
      </w:r>
      <w:r w:rsidR="00885BDE" w:rsidRPr="00AE4E8D">
        <w:rPr>
          <w:lang w:val="es-ES"/>
        </w:rPr>
        <w:t xml:space="preserve"> de </w:t>
      </w:r>
      <w:r w:rsidR="00611CD5" w:rsidRPr="00AE4E8D">
        <w:rPr>
          <w:lang w:val="es-ES"/>
        </w:rPr>
        <w:t>junio</w:t>
      </w:r>
      <w:r w:rsidR="00DB42CA" w:rsidRPr="00AE4E8D">
        <w:rPr>
          <w:lang w:val="es-ES"/>
        </w:rPr>
        <w:t xml:space="preserve"> </w:t>
      </w:r>
      <w:r w:rsidRPr="00AE4E8D">
        <w:rPr>
          <w:lang w:val="es-ES"/>
        </w:rPr>
        <w:t>de 201</w:t>
      </w:r>
      <w:r w:rsidR="00712504" w:rsidRPr="00AE4E8D">
        <w:rPr>
          <w:lang w:val="es-ES"/>
        </w:rPr>
        <w:t>7</w:t>
      </w:r>
      <w:r w:rsidRPr="00AE4E8D">
        <w:rPr>
          <w:lang w:val="es-ES"/>
        </w:rPr>
        <w:t xml:space="preserve"> de </w:t>
      </w:r>
      <w:r w:rsidR="00D34803" w:rsidRPr="00AE4E8D">
        <w:rPr>
          <w:lang w:val="es-ES"/>
        </w:rPr>
        <w:t>8</w:t>
      </w:r>
      <w:r w:rsidR="009C5B04" w:rsidRPr="00AE4E8D">
        <w:rPr>
          <w:lang w:val="es-ES"/>
        </w:rPr>
        <w:t>8,1</w:t>
      </w:r>
      <w:r w:rsidRPr="00AE4E8D">
        <w:rPr>
          <w:lang w:val="es-ES"/>
        </w:rPr>
        <w:t xml:space="preserve">% al </w:t>
      </w:r>
      <w:r w:rsidR="009C5B04" w:rsidRPr="00AE4E8D">
        <w:rPr>
          <w:lang w:val="es-ES"/>
        </w:rPr>
        <w:t>89,9</w:t>
      </w:r>
      <w:r w:rsidRPr="00AE4E8D">
        <w:rPr>
          <w:lang w:val="es-ES"/>
        </w:rPr>
        <w:t xml:space="preserve">%, respectivamente. Los préstamos en situación irregular </w:t>
      </w:r>
      <w:r w:rsidR="00585CC3" w:rsidRPr="00AE4E8D">
        <w:rPr>
          <w:lang w:val="es-ES"/>
        </w:rPr>
        <w:t xml:space="preserve">como un porcentaje sobre </w:t>
      </w:r>
      <w:r w:rsidRPr="00AE4E8D">
        <w:rPr>
          <w:lang w:val="es-ES"/>
        </w:rPr>
        <w:t xml:space="preserve">el total de nuestra cartera </w:t>
      </w:r>
      <w:r w:rsidR="00585CC3" w:rsidRPr="00AE4E8D">
        <w:rPr>
          <w:lang w:val="es-ES"/>
        </w:rPr>
        <w:t>eran</w:t>
      </w:r>
      <w:r w:rsidRPr="00AE4E8D">
        <w:rPr>
          <w:lang w:val="es-ES"/>
        </w:rPr>
        <w:t xml:space="preserve"> el 2,3% al 31 de diciembre de 2014, </w:t>
      </w:r>
      <w:r w:rsidRPr="00AE4E8D">
        <w:rPr>
          <w:lang w:val="es-ES" w:eastAsia="es-AR"/>
        </w:rPr>
        <w:t>2,0</w:t>
      </w:r>
      <w:r w:rsidRPr="00AE4E8D">
        <w:rPr>
          <w:lang w:val="es-ES"/>
        </w:rPr>
        <w:t>% al 31 de diciembre de 2015</w:t>
      </w:r>
      <w:r w:rsidR="005B3529" w:rsidRPr="00AE4E8D">
        <w:rPr>
          <w:lang w:val="es-ES"/>
        </w:rPr>
        <w:t>,</w:t>
      </w:r>
      <w:r w:rsidRPr="00AE4E8D">
        <w:rPr>
          <w:lang w:val="es-ES"/>
        </w:rPr>
        <w:t xml:space="preserve"> 2,</w:t>
      </w:r>
      <w:r w:rsidR="00885BDE" w:rsidRPr="00AE4E8D">
        <w:rPr>
          <w:lang w:val="es-ES"/>
        </w:rPr>
        <w:t>7</w:t>
      </w:r>
      <w:r w:rsidRPr="00AE4E8D">
        <w:rPr>
          <w:lang w:val="es-ES"/>
        </w:rPr>
        <w:t xml:space="preserve">% al </w:t>
      </w:r>
      <w:r w:rsidR="00885BDE" w:rsidRPr="00AE4E8D">
        <w:rPr>
          <w:lang w:val="es-ES"/>
        </w:rPr>
        <w:t>31 de diciembre</w:t>
      </w:r>
      <w:r w:rsidRPr="00AE4E8D">
        <w:rPr>
          <w:lang w:val="es-ES"/>
        </w:rPr>
        <w:t xml:space="preserve"> de 2016</w:t>
      </w:r>
      <w:r w:rsidR="00712504" w:rsidRPr="00AE4E8D">
        <w:rPr>
          <w:lang w:val="es-ES"/>
        </w:rPr>
        <w:t xml:space="preserve"> y </w:t>
      </w:r>
      <w:r w:rsidR="005B3529" w:rsidRPr="00AE4E8D">
        <w:rPr>
          <w:lang w:val="es-ES"/>
        </w:rPr>
        <w:t>2,9</w:t>
      </w:r>
      <w:r w:rsidR="00712504" w:rsidRPr="00AE4E8D">
        <w:rPr>
          <w:lang w:val="es-ES"/>
        </w:rPr>
        <w:t>% al 3</w:t>
      </w:r>
      <w:r w:rsidR="00761950" w:rsidRPr="00AE4E8D">
        <w:rPr>
          <w:lang w:val="es-ES"/>
        </w:rPr>
        <w:t>0</w:t>
      </w:r>
      <w:r w:rsidR="00712504" w:rsidRPr="00AE4E8D">
        <w:rPr>
          <w:lang w:val="es-ES"/>
        </w:rPr>
        <w:t xml:space="preserve"> de </w:t>
      </w:r>
      <w:r w:rsidR="00611CD5" w:rsidRPr="00AE4E8D">
        <w:rPr>
          <w:lang w:val="es-ES"/>
        </w:rPr>
        <w:t>junio</w:t>
      </w:r>
      <w:r w:rsidR="00712504" w:rsidRPr="00AE4E8D">
        <w:rPr>
          <w:lang w:val="es-ES"/>
        </w:rPr>
        <w:t xml:space="preserve"> de 2017</w:t>
      </w:r>
      <w:r w:rsidR="001E2E14" w:rsidRPr="00AE4E8D">
        <w:rPr>
          <w:lang w:val="es-ES"/>
        </w:rPr>
        <w:t>.</w:t>
      </w:r>
      <w:r w:rsidRPr="00AE4E8D">
        <w:rPr>
          <w:lang w:val="es-ES"/>
        </w:rPr>
        <w:t xml:space="preserve"> </w:t>
      </w:r>
    </w:p>
    <w:p w14:paraId="2B25B184" w14:textId="77777777" w:rsidR="00CB5660" w:rsidRPr="00AE4E8D" w:rsidRDefault="00585CC3" w:rsidP="006659E6">
      <w:pPr>
        <w:pStyle w:val="BHTexto"/>
        <w:rPr>
          <w:lang w:val="es-ES"/>
        </w:rPr>
      </w:pPr>
      <w:r w:rsidRPr="00AE4E8D">
        <w:rPr>
          <w:lang w:val="es-ES"/>
        </w:rPr>
        <w:t xml:space="preserve">En los </w:t>
      </w:r>
      <w:r w:rsidR="00793898" w:rsidRPr="00AE4E8D">
        <w:rPr>
          <w:lang w:val="es-ES"/>
        </w:rPr>
        <w:t>últimos años</w:t>
      </w:r>
      <w:r w:rsidRPr="00AE4E8D">
        <w:rPr>
          <w:lang w:val="es-ES"/>
        </w:rPr>
        <w:t xml:space="preserve"> </w:t>
      </w:r>
      <w:r w:rsidR="00CB5660" w:rsidRPr="00AE4E8D">
        <w:rPr>
          <w:lang w:val="es-ES"/>
        </w:rPr>
        <w:t xml:space="preserve">hemos diversificado nuestras bases de financiación y nos convertimos en uno de los más frecuentes emisores de deuda corporativa en la Argentina, en relación a nuestro fondeo total mediante el desarrollo de nuestra presencia en el mercado de capitales local e internacional así como también incrementando nuestra base de depósitos. Nuestra deuda financiera en el total del fondeo era de </w:t>
      </w:r>
      <w:r w:rsidR="005A6623" w:rsidRPr="00AE4E8D">
        <w:rPr>
          <w:lang w:val="es-ES"/>
        </w:rPr>
        <w:t>19,9</w:t>
      </w:r>
      <w:r w:rsidR="00CB5660" w:rsidRPr="00AE4E8D">
        <w:rPr>
          <w:lang w:val="es-ES"/>
        </w:rPr>
        <w:t xml:space="preserve">% al 31 de diciembre de 2014, </w:t>
      </w:r>
      <w:r w:rsidR="00CB5660" w:rsidRPr="00AE4E8D">
        <w:rPr>
          <w:lang w:val="es-ES" w:eastAsia="es-AR"/>
        </w:rPr>
        <w:t>27,</w:t>
      </w:r>
      <w:r w:rsidR="005A6623" w:rsidRPr="00AE4E8D">
        <w:rPr>
          <w:lang w:val="es-ES" w:eastAsia="es-AR"/>
        </w:rPr>
        <w:t>2</w:t>
      </w:r>
      <w:r w:rsidR="00CB5660" w:rsidRPr="00AE4E8D">
        <w:rPr>
          <w:lang w:val="es-ES"/>
        </w:rPr>
        <w:t>% al 31 de diciembre de 2015</w:t>
      </w:r>
      <w:r w:rsidR="002D2BD2" w:rsidRPr="00AE4E8D">
        <w:rPr>
          <w:lang w:val="es-ES"/>
        </w:rPr>
        <w:t>,</w:t>
      </w:r>
      <w:r w:rsidR="00CB5660" w:rsidRPr="00AE4E8D">
        <w:rPr>
          <w:lang w:val="es-ES"/>
        </w:rPr>
        <w:t xml:space="preserve"> </w:t>
      </w:r>
      <w:r w:rsidR="007555DE" w:rsidRPr="00AE4E8D">
        <w:rPr>
          <w:lang w:val="es-ES"/>
        </w:rPr>
        <w:t>4</w:t>
      </w:r>
      <w:r w:rsidR="005A6623" w:rsidRPr="00AE4E8D">
        <w:rPr>
          <w:lang w:val="es-ES"/>
        </w:rPr>
        <w:t>7,2</w:t>
      </w:r>
      <w:r w:rsidR="00CB5660" w:rsidRPr="00AE4E8D">
        <w:rPr>
          <w:lang w:val="es-ES"/>
        </w:rPr>
        <w:t xml:space="preserve">% al </w:t>
      </w:r>
      <w:r w:rsidR="00885BDE" w:rsidRPr="00AE4E8D">
        <w:rPr>
          <w:lang w:val="es-ES"/>
        </w:rPr>
        <w:t>31 de diciembre</w:t>
      </w:r>
      <w:r w:rsidR="00DB42CA" w:rsidRPr="00AE4E8D">
        <w:rPr>
          <w:lang w:val="es-ES"/>
        </w:rPr>
        <w:t xml:space="preserve"> </w:t>
      </w:r>
      <w:r w:rsidR="00CB5660" w:rsidRPr="00AE4E8D">
        <w:rPr>
          <w:lang w:val="es-ES"/>
        </w:rPr>
        <w:t>de 2016</w:t>
      </w:r>
      <w:r w:rsidR="008E23D1" w:rsidRPr="00AE4E8D">
        <w:rPr>
          <w:lang w:val="es-ES"/>
        </w:rPr>
        <w:t xml:space="preserve"> </w:t>
      </w:r>
      <w:r w:rsidR="002D2BD2" w:rsidRPr="00AE4E8D">
        <w:rPr>
          <w:lang w:val="es-ES"/>
        </w:rPr>
        <w:t>y</w:t>
      </w:r>
      <w:r w:rsidR="00712504" w:rsidRPr="00AE4E8D">
        <w:rPr>
          <w:lang w:val="es-ES"/>
        </w:rPr>
        <w:t xml:space="preserve"> </w:t>
      </w:r>
      <w:r w:rsidR="005B3529" w:rsidRPr="00AE4E8D">
        <w:rPr>
          <w:lang w:val="es-ES"/>
        </w:rPr>
        <w:t>4</w:t>
      </w:r>
      <w:r w:rsidR="005A6623" w:rsidRPr="00AE4E8D">
        <w:rPr>
          <w:lang w:val="es-ES"/>
        </w:rPr>
        <w:t>9,4</w:t>
      </w:r>
      <w:r w:rsidR="00712504" w:rsidRPr="00AE4E8D">
        <w:rPr>
          <w:lang w:val="es-ES"/>
        </w:rPr>
        <w:t>% al 3</w:t>
      </w:r>
      <w:r w:rsidR="00B51176" w:rsidRPr="00AE4E8D">
        <w:rPr>
          <w:lang w:val="es-ES"/>
        </w:rPr>
        <w:t>0</w:t>
      </w:r>
      <w:r w:rsidR="00712504" w:rsidRPr="00AE4E8D">
        <w:rPr>
          <w:lang w:val="es-ES"/>
        </w:rPr>
        <w:t xml:space="preserve"> de </w:t>
      </w:r>
      <w:r w:rsidR="00B51176" w:rsidRPr="00AE4E8D">
        <w:rPr>
          <w:lang w:val="es-ES"/>
        </w:rPr>
        <w:t>junio</w:t>
      </w:r>
      <w:r w:rsidR="00712504" w:rsidRPr="00AE4E8D">
        <w:rPr>
          <w:lang w:val="es-ES"/>
        </w:rPr>
        <w:t xml:space="preserve"> de 2017</w:t>
      </w:r>
      <w:r w:rsidR="00CB5660" w:rsidRPr="00AE4E8D">
        <w:rPr>
          <w:lang w:val="es-ES"/>
        </w:rPr>
        <w:t xml:space="preserve">. </w:t>
      </w:r>
    </w:p>
    <w:p w14:paraId="6017D35E" w14:textId="77777777" w:rsidR="00CB5660" w:rsidRPr="00AE4E8D" w:rsidRDefault="00CB5660" w:rsidP="002C69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40" w:lineRule="atLeast"/>
        <w:jc w:val="both"/>
        <w:rPr>
          <w:rFonts w:ascii="Times New Roman" w:hAnsi="Times New Roman"/>
          <w:color w:val="212121"/>
          <w:lang w:val="es-ES" w:eastAsia="es-AR"/>
        </w:rPr>
      </w:pPr>
      <w:r w:rsidRPr="00AE4E8D">
        <w:rPr>
          <w:rFonts w:ascii="Times New Roman" w:hAnsi="Times New Roman"/>
          <w:color w:val="212121"/>
          <w:lang w:val="es-ES" w:eastAsia="es-AR"/>
        </w:rPr>
        <w:t>Nuestras subsidiarias incluyen a BACS, un banco especializado en banca de inversión, securitización y administración de activos, BHN Vida S.A. (“</w:t>
      </w:r>
      <w:r w:rsidRPr="00AE4E8D">
        <w:rPr>
          <w:rFonts w:ascii="Times New Roman" w:hAnsi="Times New Roman"/>
          <w:color w:val="212121"/>
          <w:u w:val="single"/>
          <w:lang w:val="es-ES" w:eastAsia="es-AR"/>
        </w:rPr>
        <w:t>BHN Vida</w:t>
      </w:r>
      <w:r w:rsidRPr="00AE4E8D">
        <w:rPr>
          <w:rFonts w:ascii="Times New Roman" w:hAnsi="Times New Roman"/>
          <w:color w:val="212121"/>
          <w:lang w:val="es-ES" w:eastAsia="es-AR"/>
        </w:rPr>
        <w:t>”), una compañía de seguros de vida, BHN Seguros Generales S.A. (“</w:t>
      </w:r>
      <w:r w:rsidRPr="00AE4E8D">
        <w:rPr>
          <w:rFonts w:ascii="Times New Roman" w:hAnsi="Times New Roman"/>
          <w:color w:val="212121"/>
          <w:u w:val="single"/>
          <w:lang w:val="es-ES" w:eastAsia="es-AR"/>
        </w:rPr>
        <w:t>BHN Seguros Generales</w:t>
      </w:r>
      <w:r w:rsidRPr="00AE4E8D">
        <w:rPr>
          <w:rFonts w:ascii="Times New Roman" w:hAnsi="Times New Roman"/>
          <w:color w:val="212121"/>
          <w:lang w:val="es-ES" w:eastAsia="es-AR"/>
        </w:rPr>
        <w:t>”), compañía de seguros de incendio para propietarios de viviendas y Tarshop, una empresa especializada en la venta de productos de financiación al consumo y de adelantos en efectivo a clientes no bancarizados.</w:t>
      </w:r>
    </w:p>
    <w:p w14:paraId="0D14A2C1" w14:textId="77777777" w:rsidR="00CB5660" w:rsidRPr="00AE4E8D" w:rsidRDefault="00CB5660" w:rsidP="002C69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40" w:lineRule="atLeast"/>
        <w:jc w:val="both"/>
        <w:rPr>
          <w:rFonts w:ascii="Times New Roman" w:hAnsi="Times New Roman"/>
          <w:i/>
          <w:color w:val="212121"/>
          <w:lang w:val="es-ES" w:eastAsia="es-AR"/>
        </w:rPr>
      </w:pPr>
      <w:r w:rsidRPr="00AE4E8D">
        <w:rPr>
          <w:rFonts w:ascii="Times New Roman" w:hAnsi="Times New Roman"/>
          <w:color w:val="212121"/>
          <w:lang w:val="es-ES" w:eastAsia="es-AR"/>
        </w:rPr>
        <w:t>Nuestros accionistas principales son el Gobierno Argentino e IRSA Inversiones y Representaciones Sociedad Anónima (“</w:t>
      </w:r>
      <w:r w:rsidRPr="00AE4E8D">
        <w:rPr>
          <w:rFonts w:ascii="Times New Roman" w:hAnsi="Times New Roman"/>
          <w:color w:val="212121"/>
          <w:u w:val="single"/>
          <w:lang w:val="es-ES" w:eastAsia="es-AR"/>
        </w:rPr>
        <w:t>IRSA</w:t>
      </w:r>
      <w:r w:rsidRPr="00AE4E8D">
        <w:rPr>
          <w:rFonts w:ascii="Times New Roman" w:hAnsi="Times New Roman"/>
          <w:color w:val="212121"/>
          <w:lang w:val="es-ES" w:eastAsia="es-AR"/>
        </w:rPr>
        <w:t xml:space="preserve">”) una empresa de desarrollo inmobiliario líder en la Argentina, </w:t>
      </w:r>
      <w:r w:rsidR="00585CC3" w:rsidRPr="00AE4E8D">
        <w:rPr>
          <w:rFonts w:ascii="Times New Roman" w:hAnsi="Times New Roman"/>
          <w:color w:val="212121"/>
          <w:lang w:val="es-ES" w:eastAsia="es-AR"/>
        </w:rPr>
        <w:t xml:space="preserve">cuyas acciones están </w:t>
      </w:r>
      <w:r w:rsidRPr="00AE4E8D">
        <w:rPr>
          <w:rFonts w:ascii="Times New Roman" w:hAnsi="Times New Roman"/>
          <w:color w:val="212121"/>
          <w:lang w:val="es-ES" w:eastAsia="es-AR"/>
        </w:rPr>
        <w:t>listada</w:t>
      </w:r>
      <w:r w:rsidR="00585CC3" w:rsidRPr="00AE4E8D">
        <w:rPr>
          <w:rFonts w:ascii="Times New Roman" w:hAnsi="Times New Roman"/>
          <w:color w:val="212121"/>
          <w:lang w:val="es-ES" w:eastAsia="es-AR"/>
        </w:rPr>
        <w:t>s</w:t>
      </w:r>
      <w:r w:rsidRPr="00AE4E8D">
        <w:rPr>
          <w:rFonts w:ascii="Times New Roman" w:hAnsi="Times New Roman"/>
          <w:color w:val="212121"/>
          <w:lang w:val="es-ES" w:eastAsia="es-AR"/>
        </w:rPr>
        <w:t xml:space="preserve"> en </w:t>
      </w:r>
      <w:r w:rsidR="0013533F" w:rsidRPr="00AE4E8D">
        <w:rPr>
          <w:rFonts w:ascii="Times New Roman" w:hAnsi="Times New Roman"/>
          <w:color w:val="212121"/>
          <w:lang w:val="es-ES" w:eastAsia="es-AR"/>
        </w:rPr>
        <w:t>BYMA</w:t>
      </w:r>
      <w:r w:rsidRPr="00AE4E8D">
        <w:rPr>
          <w:rFonts w:ascii="Times New Roman" w:hAnsi="Times New Roman"/>
          <w:color w:val="212121"/>
          <w:lang w:val="es-ES" w:eastAsia="es-AR"/>
        </w:rPr>
        <w:t xml:space="preserve"> y en la New York Stock Exchange (“</w:t>
      </w:r>
      <w:r w:rsidRPr="00AE4E8D">
        <w:rPr>
          <w:rFonts w:ascii="Times New Roman" w:hAnsi="Times New Roman"/>
          <w:color w:val="212121"/>
          <w:u w:val="single"/>
          <w:lang w:val="es-ES" w:eastAsia="es-AR"/>
        </w:rPr>
        <w:t>NYSE</w:t>
      </w:r>
      <w:r w:rsidRPr="00AE4E8D">
        <w:rPr>
          <w:rFonts w:ascii="Times New Roman" w:hAnsi="Times New Roman"/>
          <w:color w:val="212121"/>
          <w:lang w:val="es-ES" w:eastAsia="es-AR"/>
        </w:rPr>
        <w:t xml:space="preserve">”). Véase </w:t>
      </w:r>
      <w:r w:rsidRPr="00AE4E8D">
        <w:rPr>
          <w:rFonts w:ascii="Times New Roman" w:hAnsi="Times New Roman"/>
          <w:i/>
          <w:color w:val="212121"/>
          <w:lang w:val="es-ES" w:eastAsia="es-AR"/>
        </w:rPr>
        <w:t>“ACCIONISTAS PRINCIPALES Y TRANSACCIONES CON PARTES RELACIONADAS—a) Accionistas Principales”.</w:t>
      </w:r>
    </w:p>
    <w:p w14:paraId="6BB48547" w14:textId="77777777" w:rsidR="00CB5660" w:rsidRPr="00AE4E8D" w:rsidRDefault="00CB5660" w:rsidP="006659E6">
      <w:pPr>
        <w:pStyle w:val="BH2Izquierda"/>
        <w:rPr>
          <w:lang w:val="es-ES"/>
        </w:rPr>
      </w:pPr>
      <w:bookmarkStart w:id="98" w:name="_Toc420062534"/>
      <w:bookmarkStart w:id="99" w:name="_Toc421201312"/>
      <w:bookmarkStart w:id="100" w:name="_Toc495972969"/>
      <w:bookmarkStart w:id="101" w:name="_Toc495399876"/>
      <w:r w:rsidRPr="00AE4E8D">
        <w:rPr>
          <w:lang w:val="es-ES"/>
        </w:rPr>
        <w:lastRenderedPageBreak/>
        <w:t>Estrategia</w:t>
      </w:r>
      <w:bookmarkEnd w:id="98"/>
      <w:bookmarkEnd w:id="99"/>
      <w:bookmarkEnd w:id="100"/>
      <w:bookmarkEnd w:id="101"/>
    </w:p>
    <w:p w14:paraId="0769D35B" w14:textId="77777777" w:rsidR="00CB5660" w:rsidRPr="00AE4E8D" w:rsidRDefault="00CB5660" w:rsidP="006659E6">
      <w:pPr>
        <w:pStyle w:val="BHTexto"/>
        <w:rPr>
          <w:lang w:val="es-ES"/>
        </w:rPr>
      </w:pPr>
      <w:r w:rsidRPr="00AE4E8D">
        <w:rPr>
          <w:lang w:val="es-ES"/>
        </w:rPr>
        <w:t xml:space="preserve">En 2004 comenzamos a reorientar nuestra estructura de negocios, desarrollando y lanzando nuevos productos, modernizando nuestros sistemas y transformando nuestros objetivos de mercado. Ello nos ha permitido evolucionar de ser una entidad financiera enfocada </w:t>
      </w:r>
      <w:r w:rsidR="00585CC3" w:rsidRPr="00AE4E8D">
        <w:rPr>
          <w:lang w:val="es-ES"/>
        </w:rPr>
        <w:t xml:space="preserve">principalmente </w:t>
      </w:r>
      <w:r w:rsidRPr="00AE4E8D">
        <w:rPr>
          <w:lang w:val="es-ES"/>
        </w:rPr>
        <w:t>en la comercialización de créditos hipotecarios a ser un banco comercial que ofrece una amplia gama de servicios. Pretendemos continuar en el fortalecimiento de nuestra posición como un banco</w:t>
      </w:r>
      <w:r w:rsidR="00236232" w:rsidRPr="00AE4E8D">
        <w:rPr>
          <w:lang w:val="es-ES"/>
        </w:rPr>
        <w:t xml:space="preserve"> comercial</w:t>
      </w:r>
      <w:r w:rsidRPr="00AE4E8D">
        <w:rPr>
          <w:lang w:val="es-ES"/>
        </w:rPr>
        <w:t xml:space="preserve"> líder en la Argentina a través de las siguientes iniciativas estratégicas:</w:t>
      </w:r>
    </w:p>
    <w:p w14:paraId="01DE0688" w14:textId="77777777" w:rsidR="00CB5660" w:rsidRPr="00AE4E8D" w:rsidRDefault="00CB5660" w:rsidP="006659E6">
      <w:pPr>
        <w:pStyle w:val="BHTexto"/>
        <w:rPr>
          <w:lang w:val="es-ES"/>
        </w:rPr>
      </w:pPr>
      <w:r w:rsidRPr="00AE4E8D">
        <w:rPr>
          <w:lang w:val="es-ES"/>
        </w:rPr>
        <w:t xml:space="preserve">Los principales ejes de acción de nuestra estrategia están orientados a: </w:t>
      </w:r>
    </w:p>
    <w:p w14:paraId="3DAD32EC" w14:textId="77777777" w:rsidR="00CB5660" w:rsidRPr="00AE4E8D" w:rsidRDefault="00CB5660" w:rsidP="00933012">
      <w:pPr>
        <w:pStyle w:val="BHVieta2"/>
        <w:numPr>
          <w:ilvl w:val="0"/>
          <w:numId w:val="51"/>
        </w:numPr>
        <w:rPr>
          <w:lang w:val="es-ES"/>
        </w:rPr>
      </w:pPr>
      <w:r w:rsidRPr="00AE4E8D">
        <w:rPr>
          <w:i/>
          <w:lang w:val="es-ES"/>
        </w:rPr>
        <w:t>Continuar enfocados en el otorgamiento de préstamos al consumo</w:t>
      </w:r>
      <w:r w:rsidRPr="00AE4E8D">
        <w:rPr>
          <w:lang w:val="es-ES"/>
        </w:rPr>
        <w:t xml:space="preserve">. Hemos intentado continuar mejorando el alcance y la calidad de los servicios financieros brindados a nuestros clientes y aspiramos a obtener nuevos clientes. </w:t>
      </w:r>
      <w:r w:rsidRPr="00AE4E8D">
        <w:rPr>
          <w:rStyle w:val="hps"/>
          <w:lang w:val="es-ES"/>
        </w:rPr>
        <w:t>Continuaremos con el marketing directo</w:t>
      </w:r>
      <w:r w:rsidRPr="00AE4E8D">
        <w:rPr>
          <w:lang w:val="es-ES"/>
        </w:rPr>
        <w:t xml:space="preserve"> </w:t>
      </w:r>
      <w:r w:rsidRPr="00AE4E8D">
        <w:rPr>
          <w:rStyle w:val="hps"/>
          <w:lang w:val="es-ES"/>
        </w:rPr>
        <w:t>para obtener nuevos</w:t>
      </w:r>
      <w:r w:rsidRPr="00AE4E8D">
        <w:rPr>
          <w:lang w:val="es-ES"/>
        </w:rPr>
        <w:t xml:space="preserve"> </w:t>
      </w:r>
      <w:r w:rsidRPr="00AE4E8D">
        <w:rPr>
          <w:rStyle w:val="hps"/>
          <w:lang w:val="es-ES"/>
        </w:rPr>
        <w:t>clientes</w:t>
      </w:r>
      <w:r w:rsidRPr="00AE4E8D">
        <w:rPr>
          <w:lang w:val="es-ES"/>
        </w:rPr>
        <w:t xml:space="preserve">, </w:t>
      </w:r>
      <w:r w:rsidRPr="00AE4E8D">
        <w:rPr>
          <w:rStyle w:val="hps"/>
          <w:lang w:val="es-ES"/>
        </w:rPr>
        <w:t>mejorando</w:t>
      </w:r>
      <w:r w:rsidRPr="00AE4E8D">
        <w:rPr>
          <w:lang w:val="es-ES"/>
        </w:rPr>
        <w:t xml:space="preserve"> </w:t>
      </w:r>
      <w:r w:rsidRPr="00AE4E8D">
        <w:rPr>
          <w:rStyle w:val="hps"/>
          <w:lang w:val="es-ES"/>
        </w:rPr>
        <w:t>el procesamiento de</w:t>
      </w:r>
      <w:r w:rsidRPr="00AE4E8D">
        <w:rPr>
          <w:lang w:val="es-ES"/>
        </w:rPr>
        <w:t xml:space="preserve"> </w:t>
      </w:r>
      <w:r w:rsidRPr="00AE4E8D">
        <w:rPr>
          <w:rStyle w:val="hps"/>
          <w:lang w:val="es-ES"/>
        </w:rPr>
        <w:t>base de datos para</w:t>
      </w:r>
      <w:r w:rsidRPr="00AE4E8D">
        <w:rPr>
          <w:lang w:val="es-ES"/>
        </w:rPr>
        <w:t xml:space="preserve"> </w:t>
      </w:r>
      <w:r w:rsidRPr="00AE4E8D">
        <w:rPr>
          <w:rStyle w:val="hps"/>
          <w:lang w:val="es-ES"/>
        </w:rPr>
        <w:t>identificar a los clientes</w:t>
      </w:r>
      <w:r w:rsidRPr="00AE4E8D">
        <w:rPr>
          <w:lang w:val="es-ES"/>
        </w:rPr>
        <w:t xml:space="preserve"> </w:t>
      </w:r>
      <w:r w:rsidRPr="00AE4E8D">
        <w:rPr>
          <w:rStyle w:val="hps"/>
          <w:lang w:val="es-ES"/>
        </w:rPr>
        <w:t>potenciales.</w:t>
      </w:r>
      <w:r w:rsidRPr="00AE4E8D">
        <w:rPr>
          <w:lang w:val="es-ES"/>
        </w:rPr>
        <w:t xml:space="preserve"> </w:t>
      </w:r>
      <w:r w:rsidRPr="00AE4E8D">
        <w:rPr>
          <w:rStyle w:val="hps"/>
          <w:lang w:val="es-ES"/>
        </w:rPr>
        <w:t>Continuaremos desarrollando</w:t>
      </w:r>
      <w:r w:rsidRPr="00AE4E8D">
        <w:rPr>
          <w:lang w:val="es-ES"/>
        </w:rPr>
        <w:t xml:space="preserve"> </w:t>
      </w:r>
      <w:r w:rsidRPr="00AE4E8D">
        <w:rPr>
          <w:rStyle w:val="hps"/>
          <w:i/>
          <w:lang w:val="es-ES"/>
        </w:rPr>
        <w:t>e-channels</w:t>
      </w:r>
      <w:r w:rsidRPr="00AE4E8D">
        <w:rPr>
          <w:i/>
          <w:lang w:val="es-ES"/>
        </w:rPr>
        <w:t xml:space="preserve"> </w:t>
      </w:r>
      <w:r w:rsidRPr="00AE4E8D">
        <w:rPr>
          <w:rStyle w:val="hps"/>
          <w:lang w:val="es-ES"/>
        </w:rPr>
        <w:t>con el fin de</w:t>
      </w:r>
      <w:r w:rsidRPr="00AE4E8D">
        <w:rPr>
          <w:lang w:val="es-ES"/>
        </w:rPr>
        <w:t xml:space="preserve"> </w:t>
      </w:r>
      <w:r w:rsidRPr="00AE4E8D">
        <w:rPr>
          <w:rStyle w:val="hps"/>
          <w:lang w:val="es-ES"/>
        </w:rPr>
        <w:t>mejorar</w:t>
      </w:r>
      <w:r w:rsidRPr="00AE4E8D">
        <w:rPr>
          <w:lang w:val="es-ES"/>
        </w:rPr>
        <w:t xml:space="preserve"> </w:t>
      </w:r>
      <w:r w:rsidRPr="00AE4E8D">
        <w:rPr>
          <w:rStyle w:val="hps"/>
          <w:lang w:val="es-ES"/>
        </w:rPr>
        <w:t>nuestra capacidad de distribución</w:t>
      </w:r>
      <w:r w:rsidRPr="00AE4E8D">
        <w:rPr>
          <w:lang w:val="es-ES"/>
        </w:rPr>
        <w:t xml:space="preserve"> como </w:t>
      </w:r>
      <w:r w:rsidRPr="00AE4E8D">
        <w:rPr>
          <w:rStyle w:val="hps"/>
          <w:i/>
          <w:lang w:val="es-ES"/>
        </w:rPr>
        <w:t>home banking</w:t>
      </w:r>
      <w:r w:rsidRPr="00AE4E8D">
        <w:rPr>
          <w:lang w:val="es-ES"/>
        </w:rPr>
        <w:t xml:space="preserve"> </w:t>
      </w:r>
      <w:r w:rsidRPr="00AE4E8D">
        <w:rPr>
          <w:rStyle w:val="hps"/>
          <w:lang w:val="es-ES"/>
        </w:rPr>
        <w:t>y banca</w:t>
      </w:r>
      <w:r w:rsidRPr="00AE4E8D">
        <w:rPr>
          <w:lang w:val="es-ES"/>
        </w:rPr>
        <w:t xml:space="preserve"> </w:t>
      </w:r>
      <w:r w:rsidRPr="00AE4E8D">
        <w:rPr>
          <w:rStyle w:val="hps"/>
          <w:lang w:val="es-ES"/>
        </w:rPr>
        <w:t>móvil.</w:t>
      </w:r>
    </w:p>
    <w:p w14:paraId="38876553" w14:textId="77777777" w:rsidR="00CB5660" w:rsidRPr="00AE4E8D" w:rsidRDefault="00CB5660" w:rsidP="00933012">
      <w:pPr>
        <w:pStyle w:val="BHVieta2"/>
        <w:numPr>
          <w:ilvl w:val="0"/>
          <w:numId w:val="51"/>
        </w:numPr>
        <w:rPr>
          <w:lang w:val="es-ES"/>
        </w:rPr>
      </w:pPr>
      <w:r w:rsidRPr="00AE4E8D">
        <w:rPr>
          <w:i/>
          <w:lang w:val="es-ES"/>
        </w:rPr>
        <w:t xml:space="preserve">Continuar </w:t>
      </w:r>
      <w:r w:rsidR="00BD622B" w:rsidRPr="00AE4E8D">
        <w:rPr>
          <w:i/>
          <w:lang w:val="es-ES"/>
        </w:rPr>
        <w:t>desarrollando nuestro</w:t>
      </w:r>
      <w:r w:rsidRPr="00AE4E8D">
        <w:rPr>
          <w:i/>
          <w:lang w:val="es-ES"/>
        </w:rPr>
        <w:t xml:space="preserve"> negocio de banca empresas</w:t>
      </w:r>
      <w:r w:rsidRPr="00AE4E8D">
        <w:rPr>
          <w:lang w:val="es-ES"/>
        </w:rPr>
        <w:t xml:space="preserve">. Hemos intentado complementar las actividades financieras de consumo con un portafolio sustancial de préstamos comerciales. Procuramos identificar emprendedores con alto potencial y mantener un rol activo en su desarrollo a través del otorgamiento de créditos, gestión de efectivos y demás servicios de banca comercial y asistirlos para que obtengan acceso a los mercados de capitales. </w:t>
      </w:r>
      <w:r w:rsidRPr="00AE4E8D">
        <w:rPr>
          <w:rStyle w:val="hps"/>
          <w:lang w:val="es-ES"/>
        </w:rPr>
        <w:t>Aumentaremos nuestra exposición a los</w:t>
      </w:r>
      <w:r w:rsidRPr="00AE4E8D">
        <w:rPr>
          <w:lang w:val="es-ES"/>
        </w:rPr>
        <w:t xml:space="preserve"> </w:t>
      </w:r>
      <w:r w:rsidRPr="00AE4E8D">
        <w:rPr>
          <w:rStyle w:val="hps"/>
          <w:lang w:val="es-ES"/>
        </w:rPr>
        <w:t>sectores económicos</w:t>
      </w:r>
      <w:r w:rsidRPr="00AE4E8D">
        <w:rPr>
          <w:lang w:val="es-ES"/>
        </w:rPr>
        <w:t xml:space="preserve"> </w:t>
      </w:r>
      <w:r w:rsidRPr="00AE4E8D">
        <w:rPr>
          <w:rStyle w:val="hps"/>
          <w:lang w:val="es-ES"/>
        </w:rPr>
        <w:t>que consideramos</w:t>
      </w:r>
      <w:r w:rsidRPr="00AE4E8D">
        <w:rPr>
          <w:lang w:val="es-ES"/>
        </w:rPr>
        <w:t xml:space="preserve"> </w:t>
      </w:r>
      <w:r w:rsidRPr="00AE4E8D">
        <w:rPr>
          <w:rStyle w:val="hps"/>
          <w:lang w:val="es-ES"/>
        </w:rPr>
        <w:t xml:space="preserve">tienen grandes expectativas de </w:t>
      </w:r>
      <w:r w:rsidR="00585CC3" w:rsidRPr="00AE4E8D">
        <w:rPr>
          <w:rStyle w:val="hps"/>
          <w:lang w:val="es-ES"/>
        </w:rPr>
        <w:t xml:space="preserve">continuo </w:t>
      </w:r>
      <w:r w:rsidRPr="00AE4E8D">
        <w:rPr>
          <w:rStyle w:val="hps"/>
          <w:lang w:val="es-ES"/>
        </w:rPr>
        <w:t>crecimiento</w:t>
      </w:r>
      <w:r w:rsidRPr="00AE4E8D">
        <w:rPr>
          <w:lang w:val="es-ES"/>
        </w:rPr>
        <w:t xml:space="preserve">. </w:t>
      </w:r>
    </w:p>
    <w:p w14:paraId="3D46E69D" w14:textId="77777777" w:rsidR="00CB5660" w:rsidRPr="00AE4E8D" w:rsidRDefault="00CB5660" w:rsidP="00933012">
      <w:pPr>
        <w:pStyle w:val="BHVieta2"/>
        <w:numPr>
          <w:ilvl w:val="0"/>
          <w:numId w:val="51"/>
        </w:numPr>
        <w:rPr>
          <w:lang w:val="es-ES"/>
        </w:rPr>
      </w:pPr>
      <w:r w:rsidRPr="00AE4E8D">
        <w:rPr>
          <w:i/>
          <w:lang w:val="es-ES"/>
        </w:rPr>
        <w:t>Banca Universal apalancada sobre la solución a la vivienda</w:t>
      </w:r>
      <w:r w:rsidRPr="00AE4E8D">
        <w:rPr>
          <w:lang w:val="es-ES"/>
        </w:rPr>
        <w:t>. Pretendemos mantener nuestra posición de liderazgo en el mercado hipotecario y ofrecer una amplia gama de productos que satisfagan las necesidades financieras hipotecarias de nuestros clientes. Adicionalmente, a los tradicionales créditos hipotecarios y de las actividades de securitización, pretendemos aprovechar las nuevas oportunidades que se presenten en el sector financiero hipotecario, tales como actuar en calidad de fiduciario en el Programa Crédito Argentino del Bicentenario para la Vivienda Única Familiar (“</w:t>
      </w:r>
      <w:r w:rsidRPr="00AE4E8D">
        <w:rPr>
          <w:u w:val="single"/>
          <w:lang w:val="es-ES"/>
        </w:rPr>
        <w:t>PROCREAR</w:t>
      </w:r>
      <w:r w:rsidRPr="00AE4E8D">
        <w:rPr>
          <w:lang w:val="es-ES"/>
        </w:rPr>
        <w:t>”) patrocinado por el Gobierno Argentino y convertirnos en un importante referente en el nuevo mercado de hipotecas ajustado por inflación, que implica el otorgamiento de hasta 200.000 créditos hipotecarios a individuos y la construcción de nuevos desarrollos urbanísticos.</w:t>
      </w:r>
      <w:r w:rsidRPr="00AE4E8D" w:rsidDel="004B0BD6">
        <w:rPr>
          <w:lang w:val="es-ES"/>
        </w:rPr>
        <w:t xml:space="preserve"> </w:t>
      </w:r>
    </w:p>
    <w:p w14:paraId="6409D71F" w14:textId="77777777" w:rsidR="00CB5660" w:rsidRPr="00AE4E8D" w:rsidRDefault="00CB5660" w:rsidP="00933012">
      <w:pPr>
        <w:pStyle w:val="BHVieta2"/>
        <w:numPr>
          <w:ilvl w:val="0"/>
          <w:numId w:val="51"/>
        </w:numPr>
        <w:rPr>
          <w:lang w:val="es-ES"/>
        </w:rPr>
      </w:pPr>
      <w:r w:rsidRPr="00AE4E8D">
        <w:rPr>
          <w:i/>
          <w:lang w:val="es-ES"/>
        </w:rPr>
        <w:t>Diversificación de fuentes de financiamiento</w:t>
      </w:r>
      <w:r w:rsidRPr="00AE4E8D">
        <w:rPr>
          <w:lang w:val="es-ES"/>
        </w:rPr>
        <w:t>. Tenemos la intención de continuar mejorando nuestro mix de fondeo mediante la diversificación de nuestra financiación a corto plazo y mejorar la financiación a largo plazo a fin de converger con los estándares de la industria y aprovechar las oportunidades del mercado de capitales. En este sentido vamos a seguir centrándonos en la atracción de depósitos a la vista y en la emisión de deuda en los mercados de capitales.</w:t>
      </w:r>
    </w:p>
    <w:p w14:paraId="688EA20A" w14:textId="77777777" w:rsidR="00CB5660" w:rsidRPr="00AE4E8D" w:rsidRDefault="00CB5660" w:rsidP="0044695C">
      <w:pPr>
        <w:pStyle w:val="BHVieta2"/>
        <w:numPr>
          <w:ilvl w:val="0"/>
          <w:numId w:val="51"/>
        </w:numPr>
        <w:rPr>
          <w:lang w:val="es-ES"/>
        </w:rPr>
      </w:pPr>
      <w:r w:rsidRPr="00AE4E8D">
        <w:rPr>
          <w:rStyle w:val="hps"/>
          <w:i/>
          <w:lang w:val="es-ES"/>
        </w:rPr>
        <w:t>Rigurosidad en la gestión del riesgo</w:t>
      </w:r>
      <w:r w:rsidRPr="00AE4E8D">
        <w:rPr>
          <w:rStyle w:val="hps"/>
          <w:lang w:val="es-ES"/>
        </w:rPr>
        <w:t>.</w:t>
      </w:r>
      <w:r w:rsidRPr="00AE4E8D">
        <w:rPr>
          <w:lang w:val="es-ES"/>
        </w:rPr>
        <w:t xml:space="preserve"> </w:t>
      </w:r>
      <w:r w:rsidRPr="00AE4E8D">
        <w:rPr>
          <w:rStyle w:val="hps"/>
          <w:lang w:val="es-ES"/>
        </w:rPr>
        <w:t>Nuestras políticas de crédito</w:t>
      </w:r>
      <w:r w:rsidRPr="00AE4E8D">
        <w:rPr>
          <w:lang w:val="es-ES"/>
        </w:rPr>
        <w:t xml:space="preserve"> </w:t>
      </w:r>
      <w:r w:rsidRPr="00AE4E8D">
        <w:rPr>
          <w:rStyle w:val="hps"/>
          <w:lang w:val="es-ES"/>
        </w:rPr>
        <w:t>y de gestión de riesgos</w:t>
      </w:r>
      <w:r w:rsidRPr="00AE4E8D">
        <w:rPr>
          <w:lang w:val="es-ES"/>
        </w:rPr>
        <w:t xml:space="preserve"> </w:t>
      </w:r>
      <w:r w:rsidRPr="00AE4E8D">
        <w:rPr>
          <w:rStyle w:val="hps"/>
          <w:lang w:val="es-ES"/>
        </w:rPr>
        <w:t>rigurosas</w:t>
      </w:r>
      <w:r w:rsidRPr="00AE4E8D">
        <w:rPr>
          <w:lang w:val="es-ES"/>
        </w:rPr>
        <w:t xml:space="preserve"> </w:t>
      </w:r>
      <w:r w:rsidRPr="00AE4E8D">
        <w:rPr>
          <w:rStyle w:val="hps"/>
          <w:lang w:val="es-ES"/>
        </w:rPr>
        <w:t>son esenciales para la</w:t>
      </w:r>
      <w:r w:rsidRPr="00AE4E8D">
        <w:rPr>
          <w:lang w:val="es-ES"/>
        </w:rPr>
        <w:t xml:space="preserve"> </w:t>
      </w:r>
      <w:r w:rsidRPr="00AE4E8D">
        <w:rPr>
          <w:rStyle w:val="hps"/>
          <w:lang w:val="es-ES"/>
        </w:rPr>
        <w:t>implementación exitosa de</w:t>
      </w:r>
      <w:r w:rsidRPr="00AE4E8D">
        <w:rPr>
          <w:lang w:val="es-ES"/>
        </w:rPr>
        <w:t xml:space="preserve"> </w:t>
      </w:r>
      <w:r w:rsidRPr="00AE4E8D">
        <w:rPr>
          <w:rStyle w:val="hps"/>
          <w:lang w:val="es-ES"/>
        </w:rPr>
        <w:t>nuestra estrategia de negocios</w:t>
      </w:r>
      <w:r w:rsidRPr="00AE4E8D">
        <w:rPr>
          <w:lang w:val="es-ES"/>
        </w:rPr>
        <w:t xml:space="preserve">. </w:t>
      </w:r>
      <w:r w:rsidRPr="00AE4E8D">
        <w:rPr>
          <w:rStyle w:val="hps"/>
          <w:lang w:val="es-ES"/>
        </w:rPr>
        <w:t>Buscamos</w:t>
      </w:r>
      <w:r w:rsidRPr="00AE4E8D">
        <w:rPr>
          <w:lang w:val="es-ES"/>
        </w:rPr>
        <w:t xml:space="preserve"> </w:t>
      </w:r>
      <w:r w:rsidRPr="00AE4E8D">
        <w:rPr>
          <w:rStyle w:val="hps"/>
          <w:lang w:val="es-ES"/>
        </w:rPr>
        <w:t>la mejora continua de</w:t>
      </w:r>
      <w:r w:rsidRPr="00AE4E8D">
        <w:rPr>
          <w:lang w:val="es-ES"/>
        </w:rPr>
        <w:t xml:space="preserve"> </w:t>
      </w:r>
      <w:r w:rsidR="00BD622B" w:rsidRPr="00AE4E8D">
        <w:rPr>
          <w:rStyle w:val="hps"/>
          <w:lang w:val="es-ES"/>
        </w:rPr>
        <w:t>nuestra</w:t>
      </w:r>
      <w:r w:rsidRPr="00AE4E8D">
        <w:rPr>
          <w:rStyle w:val="hps"/>
          <w:lang w:val="es-ES"/>
        </w:rPr>
        <w:t>s</w:t>
      </w:r>
      <w:r w:rsidR="00BD622B" w:rsidRPr="00AE4E8D">
        <w:rPr>
          <w:rStyle w:val="hps"/>
          <w:lang w:val="es-ES"/>
        </w:rPr>
        <w:t xml:space="preserve"> políticas y</w:t>
      </w:r>
      <w:r w:rsidRPr="00AE4E8D">
        <w:rPr>
          <w:rStyle w:val="hps"/>
          <w:lang w:val="es-ES"/>
        </w:rPr>
        <w:t xml:space="preserve"> procesos</w:t>
      </w:r>
      <w:r w:rsidRPr="00AE4E8D">
        <w:rPr>
          <w:lang w:val="es-ES"/>
        </w:rPr>
        <w:t xml:space="preserve"> </w:t>
      </w:r>
      <w:r w:rsidRPr="00AE4E8D">
        <w:rPr>
          <w:rStyle w:val="hps"/>
          <w:lang w:val="es-ES"/>
        </w:rPr>
        <w:t>de gestión de riesgos</w:t>
      </w:r>
      <w:r w:rsidRPr="00AE4E8D">
        <w:rPr>
          <w:lang w:val="es-ES"/>
        </w:rPr>
        <w:t xml:space="preserve"> </w:t>
      </w:r>
      <w:r w:rsidRPr="00AE4E8D">
        <w:rPr>
          <w:rStyle w:val="hps"/>
          <w:lang w:val="es-ES"/>
        </w:rPr>
        <w:t>y</w:t>
      </w:r>
      <w:r w:rsidRPr="00AE4E8D">
        <w:rPr>
          <w:lang w:val="es-ES"/>
        </w:rPr>
        <w:t xml:space="preserve"> de </w:t>
      </w:r>
      <w:r w:rsidRPr="00AE4E8D">
        <w:rPr>
          <w:rStyle w:val="hps"/>
          <w:lang w:val="es-ES"/>
        </w:rPr>
        <w:t>calidad de los activos</w:t>
      </w:r>
      <w:r w:rsidRPr="00AE4E8D">
        <w:rPr>
          <w:lang w:val="es-ES"/>
        </w:rPr>
        <w:t xml:space="preserve"> </w:t>
      </w:r>
      <w:r w:rsidRPr="00AE4E8D">
        <w:rPr>
          <w:rStyle w:val="hps"/>
          <w:lang w:val="es-ES"/>
        </w:rPr>
        <w:t>en general</w:t>
      </w:r>
      <w:r w:rsidRPr="00AE4E8D">
        <w:rPr>
          <w:lang w:val="es-ES"/>
        </w:rPr>
        <w:t xml:space="preserve"> </w:t>
      </w:r>
      <w:r w:rsidRPr="00AE4E8D">
        <w:rPr>
          <w:rStyle w:val="hps"/>
          <w:lang w:val="es-ES"/>
        </w:rPr>
        <w:t>mediante la adopción y</w:t>
      </w:r>
      <w:r w:rsidRPr="00AE4E8D">
        <w:rPr>
          <w:lang w:val="es-ES"/>
        </w:rPr>
        <w:t xml:space="preserve"> </w:t>
      </w:r>
      <w:r w:rsidRPr="00AE4E8D">
        <w:rPr>
          <w:rStyle w:val="hps"/>
          <w:lang w:val="es-ES"/>
        </w:rPr>
        <w:t>la adhesión a</w:t>
      </w:r>
      <w:r w:rsidRPr="00AE4E8D">
        <w:rPr>
          <w:lang w:val="es-ES"/>
        </w:rPr>
        <w:t xml:space="preserve"> </w:t>
      </w:r>
      <w:r w:rsidRPr="00AE4E8D">
        <w:rPr>
          <w:rStyle w:val="hps"/>
          <w:lang w:val="es-ES"/>
        </w:rPr>
        <w:t>las mejores prácticas internacionales</w:t>
      </w:r>
      <w:r w:rsidRPr="00AE4E8D">
        <w:rPr>
          <w:lang w:val="es-ES"/>
        </w:rPr>
        <w:t xml:space="preserve">. </w:t>
      </w:r>
      <w:r w:rsidRPr="00AE4E8D">
        <w:rPr>
          <w:rStyle w:val="hps"/>
          <w:lang w:val="es-ES"/>
        </w:rPr>
        <w:t>También tenemos la intención</w:t>
      </w:r>
      <w:r w:rsidRPr="00AE4E8D">
        <w:rPr>
          <w:lang w:val="es-ES"/>
        </w:rPr>
        <w:t xml:space="preserve"> </w:t>
      </w:r>
      <w:r w:rsidRPr="00AE4E8D">
        <w:rPr>
          <w:rStyle w:val="hps"/>
          <w:lang w:val="es-ES"/>
        </w:rPr>
        <w:t>de centrarnos en</w:t>
      </w:r>
      <w:r w:rsidRPr="00AE4E8D">
        <w:rPr>
          <w:lang w:val="es-ES"/>
        </w:rPr>
        <w:t xml:space="preserve"> </w:t>
      </w:r>
      <w:r w:rsidRPr="00AE4E8D">
        <w:rPr>
          <w:rStyle w:val="hps"/>
          <w:lang w:val="es-ES"/>
        </w:rPr>
        <w:t>el seguimiento de los</w:t>
      </w:r>
      <w:r w:rsidRPr="00AE4E8D">
        <w:rPr>
          <w:lang w:val="es-ES"/>
        </w:rPr>
        <w:t xml:space="preserve"> </w:t>
      </w:r>
      <w:r w:rsidRPr="00AE4E8D">
        <w:rPr>
          <w:rStyle w:val="hps"/>
          <w:lang w:val="es-ES"/>
        </w:rPr>
        <w:t>riesgos</w:t>
      </w:r>
      <w:r w:rsidRPr="00AE4E8D">
        <w:rPr>
          <w:lang w:val="es-ES"/>
        </w:rPr>
        <w:t xml:space="preserve"> </w:t>
      </w:r>
      <w:r w:rsidRPr="00AE4E8D">
        <w:rPr>
          <w:rStyle w:val="hps"/>
          <w:lang w:val="es-ES"/>
        </w:rPr>
        <w:t>y la rentabilidad de</w:t>
      </w:r>
      <w:r w:rsidRPr="00AE4E8D">
        <w:rPr>
          <w:lang w:val="es-ES"/>
        </w:rPr>
        <w:t xml:space="preserve"> </w:t>
      </w:r>
      <w:r w:rsidRPr="00AE4E8D">
        <w:rPr>
          <w:rStyle w:val="hps"/>
          <w:lang w:val="es-ES"/>
        </w:rPr>
        <w:t>nuestras unidades de negocio</w:t>
      </w:r>
      <w:r w:rsidRPr="00AE4E8D">
        <w:rPr>
          <w:lang w:val="es-ES"/>
        </w:rPr>
        <w:t xml:space="preserve"> </w:t>
      </w:r>
      <w:r w:rsidRPr="00AE4E8D">
        <w:rPr>
          <w:rStyle w:val="hps"/>
          <w:lang w:val="es-ES"/>
        </w:rPr>
        <w:t>(aplicando modelos</w:t>
      </w:r>
      <w:r w:rsidRPr="00AE4E8D">
        <w:rPr>
          <w:lang w:val="es-ES"/>
        </w:rPr>
        <w:t xml:space="preserve"> </w:t>
      </w:r>
      <w:r w:rsidRPr="00AE4E8D">
        <w:rPr>
          <w:rStyle w:val="hps"/>
          <w:lang w:val="es-ES"/>
        </w:rPr>
        <w:t>RAROC</w:t>
      </w:r>
      <w:r w:rsidRPr="00AE4E8D">
        <w:rPr>
          <w:lang w:val="es-ES"/>
        </w:rPr>
        <w:t xml:space="preserve">), originando </w:t>
      </w:r>
      <w:r w:rsidRPr="00AE4E8D">
        <w:rPr>
          <w:rStyle w:val="hps"/>
          <w:lang w:val="es-ES"/>
        </w:rPr>
        <w:t>nuevos préstamos</w:t>
      </w:r>
      <w:r w:rsidRPr="00AE4E8D">
        <w:rPr>
          <w:lang w:val="es-ES"/>
        </w:rPr>
        <w:t xml:space="preserve"> </w:t>
      </w:r>
      <w:r w:rsidRPr="00AE4E8D">
        <w:rPr>
          <w:rStyle w:val="hps"/>
          <w:lang w:val="es-ES"/>
        </w:rPr>
        <w:t>selectivamente</w:t>
      </w:r>
      <w:r w:rsidRPr="00AE4E8D">
        <w:rPr>
          <w:lang w:val="es-ES"/>
        </w:rPr>
        <w:t xml:space="preserve">, realizando acciones </w:t>
      </w:r>
      <w:r w:rsidRPr="00AE4E8D">
        <w:rPr>
          <w:rStyle w:val="hps"/>
          <w:lang w:val="es-ES"/>
        </w:rPr>
        <w:t>segmentadas</w:t>
      </w:r>
      <w:r w:rsidRPr="00AE4E8D">
        <w:rPr>
          <w:lang w:val="es-ES"/>
        </w:rPr>
        <w:t xml:space="preserve"> </w:t>
      </w:r>
      <w:r w:rsidRPr="00AE4E8D">
        <w:rPr>
          <w:rStyle w:val="hps"/>
          <w:lang w:val="es-ES"/>
        </w:rPr>
        <w:t>en nuestra cartera</w:t>
      </w:r>
      <w:r w:rsidRPr="00AE4E8D">
        <w:rPr>
          <w:lang w:val="es-ES"/>
        </w:rPr>
        <w:t xml:space="preserve"> </w:t>
      </w:r>
      <w:r w:rsidRPr="00AE4E8D">
        <w:rPr>
          <w:rStyle w:val="hps"/>
          <w:lang w:val="es-ES"/>
        </w:rPr>
        <w:t>de banca minorista para compatibilizar adecuadamente los riesgos del cliente con el precio del préstamo y manteniendo un portafolio de préstamos corporativos bien diversificado. Asimismo, cumplimos con Basilea II y nos encontramos en proceso de implementaci</w:t>
      </w:r>
      <w:r w:rsidR="00424061" w:rsidRPr="00AE4E8D">
        <w:rPr>
          <w:rStyle w:val="hps"/>
          <w:lang w:val="es-ES"/>
        </w:rPr>
        <w:t>ó</w:t>
      </w:r>
      <w:r w:rsidRPr="00AE4E8D">
        <w:rPr>
          <w:rStyle w:val="hps"/>
          <w:lang w:val="es-ES"/>
        </w:rPr>
        <w:t>n de Basilea III</w:t>
      </w:r>
      <w:r w:rsidR="0044695C" w:rsidRPr="00AE4E8D">
        <w:rPr>
          <w:rStyle w:val="hps"/>
          <w:lang w:val="es-ES"/>
        </w:rPr>
        <w:t>, de conformidad con el cronograma de implementación establecido por el BCRA</w:t>
      </w:r>
      <w:r w:rsidRPr="00AE4E8D">
        <w:rPr>
          <w:rStyle w:val="hps"/>
          <w:lang w:val="es-ES"/>
        </w:rPr>
        <w:t>.</w:t>
      </w:r>
    </w:p>
    <w:p w14:paraId="42EB5B69" w14:textId="77777777" w:rsidR="00CB5660" w:rsidRPr="00AE4E8D" w:rsidRDefault="00CB5660" w:rsidP="00933012">
      <w:pPr>
        <w:pStyle w:val="BHVieta2"/>
        <w:numPr>
          <w:ilvl w:val="0"/>
          <w:numId w:val="51"/>
        </w:numPr>
        <w:rPr>
          <w:lang w:val="es-ES"/>
        </w:rPr>
      </w:pPr>
      <w:r w:rsidRPr="00AE4E8D">
        <w:rPr>
          <w:i/>
          <w:lang w:val="es-ES"/>
        </w:rPr>
        <w:t>Mejorar la rentabilidad mejorando la fidelidad de nuestros clientes</w:t>
      </w:r>
      <w:r w:rsidRPr="00AE4E8D">
        <w:rPr>
          <w:lang w:val="es-ES"/>
        </w:rPr>
        <w:t xml:space="preserve">. Buscamos expandir y fortalecer la relación con nuestros clientes actuales, los que creemos </w:t>
      </w:r>
      <w:r w:rsidRPr="00AE4E8D">
        <w:rPr>
          <w:lang w:val="es-ES"/>
        </w:rPr>
        <w:lastRenderedPageBreak/>
        <w:t>representan una fuente estable y constante de ingresos y de oportunidades de crecimiento futuro. Pretendemos posicionarnos como el proveedor de diversos servicios financieros preferido de nuestros clientes por medio de la venta cruzada de una amplia gama de servicios y la oferta de multi-productos y enfocándonos en incrementar los ingresos provenientes de comisiones.</w:t>
      </w:r>
    </w:p>
    <w:p w14:paraId="5A1E95B2" w14:textId="77777777" w:rsidR="00CB5660" w:rsidRPr="00AE4E8D" w:rsidRDefault="00CB5660" w:rsidP="00933012">
      <w:pPr>
        <w:pStyle w:val="BHVieta2"/>
        <w:numPr>
          <w:ilvl w:val="0"/>
          <w:numId w:val="51"/>
        </w:numPr>
        <w:rPr>
          <w:lang w:val="es-ES"/>
        </w:rPr>
      </w:pPr>
      <w:r w:rsidRPr="00AE4E8D">
        <w:rPr>
          <w:i/>
          <w:lang w:val="es-ES"/>
        </w:rPr>
        <w:t>Actividades promocionales para reforzar nuestra marca</w:t>
      </w:r>
      <w:r w:rsidRPr="00AE4E8D">
        <w:rPr>
          <w:lang w:val="es-ES"/>
        </w:rPr>
        <w:t>. Intentamos hacer énfasis en las actividades de promoción y campañas de fidelidad a fin de seguir promoviendo nuestra imagen como banco contemporáneo, simple e inclusivo. Lo hacemos por medio del uso creativo de las redes sociales y estrategias de marketing diseñadas para posicionarnos como un banco moderno y atractivo para una clientela más joven.</w:t>
      </w:r>
    </w:p>
    <w:p w14:paraId="6261C399" w14:textId="77777777" w:rsidR="00CB5660" w:rsidRPr="00AE4E8D" w:rsidRDefault="00D06739" w:rsidP="00D06739">
      <w:pPr>
        <w:pStyle w:val="BHVieta2"/>
        <w:numPr>
          <w:ilvl w:val="0"/>
          <w:numId w:val="51"/>
        </w:numPr>
        <w:rPr>
          <w:lang w:val="es-ES"/>
        </w:rPr>
      </w:pPr>
      <w:r w:rsidRPr="00AE4E8D">
        <w:rPr>
          <w:i/>
          <w:lang w:val="es-ES"/>
        </w:rPr>
        <w:t>Aprovechar las oportunidades de mercado</w:t>
      </w:r>
      <w:r w:rsidR="00CB5660" w:rsidRPr="00AE4E8D">
        <w:rPr>
          <w:lang w:val="es-ES"/>
        </w:rPr>
        <w:t xml:space="preserve">. Hemos </w:t>
      </w:r>
      <w:r w:rsidR="00236232" w:rsidRPr="00AE4E8D">
        <w:rPr>
          <w:lang w:val="es-ES"/>
        </w:rPr>
        <w:t>continuado con nuestra</w:t>
      </w:r>
      <w:r w:rsidR="00CB5660" w:rsidRPr="00AE4E8D">
        <w:rPr>
          <w:lang w:val="es-ES"/>
        </w:rPr>
        <w:t xml:space="preserve"> reorganización interna, </w:t>
      </w:r>
      <w:r w:rsidR="00BD622B" w:rsidRPr="00AE4E8D">
        <w:rPr>
          <w:lang w:val="es-ES"/>
        </w:rPr>
        <w:t>optimizando</w:t>
      </w:r>
      <w:r w:rsidR="00CB5660" w:rsidRPr="00AE4E8D">
        <w:rPr>
          <w:lang w:val="es-ES"/>
        </w:rPr>
        <w:t xml:space="preserve"> la cantidad de empleados en ciertas áreas no centrales para mejorar </w:t>
      </w:r>
      <w:r w:rsidR="00BD622B" w:rsidRPr="00AE4E8D">
        <w:rPr>
          <w:lang w:val="es-ES"/>
        </w:rPr>
        <w:t xml:space="preserve">la </w:t>
      </w:r>
      <w:r w:rsidR="00CB5660" w:rsidRPr="00AE4E8D">
        <w:rPr>
          <w:lang w:val="es-ES"/>
        </w:rPr>
        <w:t>eficiencia</w:t>
      </w:r>
      <w:r w:rsidR="00BD622B" w:rsidRPr="00AE4E8D">
        <w:rPr>
          <w:lang w:val="es-ES"/>
        </w:rPr>
        <w:t xml:space="preserve"> operativa</w:t>
      </w:r>
      <w:r w:rsidR="00236232" w:rsidRPr="00AE4E8D">
        <w:rPr>
          <w:lang w:val="es-ES"/>
        </w:rPr>
        <w:t xml:space="preserve"> y la rentabilidad</w:t>
      </w:r>
      <w:r w:rsidR="00CB5660" w:rsidRPr="00AE4E8D">
        <w:rPr>
          <w:lang w:val="es-ES"/>
        </w:rPr>
        <w:t xml:space="preserve">. </w:t>
      </w:r>
      <w:r w:rsidR="00236232" w:rsidRPr="00AE4E8D">
        <w:rPr>
          <w:lang w:val="es-ES"/>
        </w:rPr>
        <w:t>Nuestra reorganización interna se encuentra en su etapa final</w:t>
      </w:r>
      <w:r w:rsidRPr="00AE4E8D">
        <w:rPr>
          <w:lang w:val="es-ES"/>
        </w:rPr>
        <w:t xml:space="preserve"> y se espera que esté completa en </w:t>
      </w:r>
      <w:r w:rsidR="004D7B80">
        <w:rPr>
          <w:lang w:val="es-ES"/>
        </w:rPr>
        <w:t>2018</w:t>
      </w:r>
      <w:r w:rsidR="00236232" w:rsidRPr="00AE4E8D">
        <w:rPr>
          <w:lang w:val="es-ES"/>
        </w:rPr>
        <w:t xml:space="preserve">. </w:t>
      </w:r>
      <w:r w:rsidR="00CB5660" w:rsidRPr="00AE4E8D">
        <w:rPr>
          <w:lang w:val="es-ES"/>
        </w:rPr>
        <w:t xml:space="preserve">Asimismo, nos encontramos continuamente explorando la posibilidad de adquirir selectivamente otros bancos o entidades financieras a los fines de mejorar nuestros canales de distribución, diversificar nuestra fuente de financiación y aprovechar las sinergias operacionales; no </w:t>
      </w:r>
      <w:r w:rsidR="00793898" w:rsidRPr="00AE4E8D">
        <w:rPr>
          <w:lang w:val="es-ES"/>
        </w:rPr>
        <w:t>obstante,</w:t>
      </w:r>
      <w:r w:rsidR="00CB5660" w:rsidRPr="00AE4E8D">
        <w:rPr>
          <w:lang w:val="es-ES"/>
        </w:rPr>
        <w:t xml:space="preserve"> no podemos asegurar que seremos capaces de ello.</w:t>
      </w:r>
    </w:p>
    <w:p w14:paraId="5B99C109" w14:textId="77777777" w:rsidR="00CB5660" w:rsidRPr="00AE4E8D" w:rsidRDefault="00CB5660" w:rsidP="006659E6">
      <w:pPr>
        <w:pStyle w:val="BHTexto"/>
        <w:rPr>
          <w:w w:val="0"/>
          <w:lang w:val="es-ES"/>
        </w:rPr>
      </w:pPr>
    </w:p>
    <w:p w14:paraId="348F6B29" w14:textId="77777777" w:rsidR="00CB5660" w:rsidRPr="00AE4E8D" w:rsidRDefault="00CB5660" w:rsidP="00172B63">
      <w:pPr>
        <w:keepNext/>
        <w:keepLines/>
        <w:autoSpaceDE w:val="0"/>
        <w:autoSpaceDN w:val="0"/>
        <w:adjustRightInd w:val="0"/>
        <w:spacing w:before="240" w:after="240"/>
        <w:jc w:val="center"/>
        <w:outlineLvl w:val="0"/>
        <w:rPr>
          <w:rFonts w:ascii="Times New Roman" w:hAnsi="Times New Roman"/>
          <w:b/>
          <w:caps/>
          <w:lang w:val="es-ES" w:eastAsia="es-AR"/>
        </w:rPr>
        <w:sectPr w:rsidR="00CB5660" w:rsidRPr="00AE4E8D" w:rsidSect="00574F35">
          <w:headerReference w:type="default" r:id="rId22"/>
          <w:type w:val="continuous"/>
          <w:pgSz w:w="11907" w:h="16839" w:code="9"/>
          <w:pgMar w:top="1417" w:right="1701" w:bottom="1417" w:left="1701" w:header="709" w:footer="709" w:gutter="0"/>
          <w:pgBorders w:offsetFrom="page">
            <w:top w:val="single" w:sz="4" w:space="24" w:color="auto"/>
            <w:left w:val="single" w:sz="4" w:space="24" w:color="auto"/>
            <w:bottom w:val="single" w:sz="4" w:space="24" w:color="auto"/>
            <w:right w:val="single" w:sz="4" w:space="24" w:color="auto"/>
          </w:pgBorders>
          <w:pgNumType w:fmt="lowerRoman"/>
          <w:cols w:space="708"/>
          <w:docGrid w:linePitch="360"/>
        </w:sectPr>
      </w:pPr>
      <w:bookmarkStart w:id="102" w:name="_Toc420062535"/>
    </w:p>
    <w:p w14:paraId="7D0EC527" w14:textId="77777777" w:rsidR="000924EA" w:rsidRPr="00AE4E8D" w:rsidRDefault="000924EA" w:rsidP="000924EA">
      <w:pPr>
        <w:pStyle w:val="BH1Centro"/>
        <w:rPr>
          <w:rFonts w:ascii="Times New Roman" w:hAnsi="Times New Roman"/>
          <w:highlight w:val="cyan"/>
          <w:lang w:val="es-ES"/>
        </w:rPr>
      </w:pPr>
      <w:bookmarkStart w:id="103" w:name="_Toc495972970"/>
      <w:bookmarkStart w:id="104" w:name="_Toc495399877"/>
      <w:bookmarkStart w:id="105" w:name="_Toc449010425"/>
      <w:bookmarkStart w:id="106" w:name="_Toc487734735"/>
      <w:bookmarkStart w:id="107" w:name="_Toc414610839"/>
      <w:bookmarkStart w:id="108" w:name="_Toc420062541"/>
      <w:bookmarkStart w:id="109" w:name="_Toc421201319"/>
      <w:bookmarkEnd w:id="93"/>
      <w:bookmarkEnd w:id="102"/>
      <w:r w:rsidRPr="00AE4E8D">
        <w:rPr>
          <w:rFonts w:ascii="Times New Roman" w:hAnsi="Times New Roman"/>
          <w:lang w:val="es-ES"/>
        </w:rPr>
        <w:lastRenderedPageBreak/>
        <w:t>DATOS SOBRE DIRECTORES, ADMINISTRADORES, GERENTES, ASESORES Y MIEMBROS DEL ÓRGANO DE FISCALIZACIÓN</w:t>
      </w:r>
      <w:bookmarkEnd w:id="103"/>
      <w:bookmarkEnd w:id="104"/>
    </w:p>
    <w:p w14:paraId="3AAE7163" w14:textId="77777777" w:rsidR="000924EA" w:rsidRPr="00AE4E8D" w:rsidRDefault="000924EA" w:rsidP="000924EA">
      <w:pPr>
        <w:keepNext/>
        <w:autoSpaceDE w:val="0"/>
        <w:autoSpaceDN w:val="0"/>
        <w:adjustRightInd w:val="0"/>
        <w:spacing w:before="240" w:after="240"/>
        <w:outlineLvl w:val="1"/>
        <w:rPr>
          <w:rFonts w:ascii="Times New Roman" w:hAnsi="Times New Roman"/>
          <w:b/>
          <w:lang w:val="es-ES" w:eastAsia="es-AR"/>
        </w:rPr>
      </w:pPr>
      <w:bookmarkStart w:id="110" w:name="_Toc495972971"/>
      <w:bookmarkStart w:id="111" w:name="_Toc495399878"/>
      <w:r w:rsidRPr="00AE4E8D">
        <w:rPr>
          <w:rFonts w:ascii="Times New Roman" w:hAnsi="Times New Roman"/>
          <w:b/>
          <w:lang w:val="es-ES" w:eastAsia="es-AR"/>
        </w:rPr>
        <w:t>a) Directorio</w:t>
      </w:r>
      <w:bookmarkEnd w:id="110"/>
      <w:bookmarkEnd w:id="111"/>
    </w:p>
    <w:p w14:paraId="5140C57F" w14:textId="77777777" w:rsidR="000924EA" w:rsidRPr="00AE4E8D" w:rsidRDefault="000924EA" w:rsidP="000924EA">
      <w:pPr>
        <w:pStyle w:val="BHTexto"/>
        <w:rPr>
          <w:lang w:val="es-ES"/>
        </w:rPr>
      </w:pPr>
      <w:r w:rsidRPr="00AE4E8D">
        <w:rPr>
          <w:lang w:val="es-ES"/>
        </w:rPr>
        <w:t>Estamos administrados por un Directorio. Los miembros del Directorio son elegidos por nuestros accionistas en oportunidad de la Asamblea General Ordinaria. Se desempeñan en sus cargos por mandatos de dos ejercicios, pudiendo ser reelectos indefinidamente. Los directores están a cargo de la conducción de nuestra administración. El Comité Ejecutivo que lleva a cabo nuestras actividades regulares, está supervisado por el Directorio. El Directorio está integrado por:</w:t>
      </w:r>
    </w:p>
    <w:p w14:paraId="3CE56D82" w14:textId="77777777" w:rsidR="000924EA" w:rsidRPr="00AE4E8D" w:rsidRDefault="000924EA" w:rsidP="000924EA">
      <w:pPr>
        <w:pStyle w:val="BHTexto"/>
        <w:numPr>
          <w:ilvl w:val="0"/>
          <w:numId w:val="76"/>
        </w:numPr>
        <w:rPr>
          <w:lang w:val="es-ES"/>
        </w:rPr>
      </w:pPr>
      <w:r w:rsidRPr="00AE4E8D">
        <w:rPr>
          <w:lang w:val="es-ES"/>
        </w:rPr>
        <w:t>dos miembros titulares y sus respectivos suplentes, que representan a las acciones Clase A;</w:t>
      </w:r>
    </w:p>
    <w:p w14:paraId="48A6DBEF" w14:textId="77777777" w:rsidR="000924EA" w:rsidRPr="00AE4E8D" w:rsidRDefault="000924EA" w:rsidP="000924EA">
      <w:pPr>
        <w:pStyle w:val="BHTexto"/>
        <w:numPr>
          <w:ilvl w:val="0"/>
          <w:numId w:val="76"/>
        </w:numPr>
        <w:rPr>
          <w:lang w:val="es-ES"/>
        </w:rPr>
      </w:pPr>
      <w:r w:rsidRPr="00AE4E8D">
        <w:rPr>
          <w:lang w:val="es-ES"/>
        </w:rPr>
        <w:t>un miembro titular y su respectivo suplente, que representa a las acciones Clase B;</w:t>
      </w:r>
    </w:p>
    <w:p w14:paraId="44503325" w14:textId="77777777" w:rsidR="000924EA" w:rsidRPr="00AE4E8D" w:rsidRDefault="000924EA" w:rsidP="000924EA">
      <w:pPr>
        <w:pStyle w:val="BHTexto"/>
        <w:numPr>
          <w:ilvl w:val="0"/>
          <w:numId w:val="76"/>
        </w:numPr>
        <w:rPr>
          <w:lang w:val="es-ES"/>
        </w:rPr>
      </w:pPr>
      <w:r w:rsidRPr="00AE4E8D">
        <w:rPr>
          <w:lang w:val="es-ES"/>
        </w:rPr>
        <w:t>un miembro titular y su respectivo suplente, que representa a las acciones Clase C; y</w:t>
      </w:r>
    </w:p>
    <w:p w14:paraId="53C6EBAE" w14:textId="77777777" w:rsidR="000924EA" w:rsidRPr="00AE4E8D" w:rsidRDefault="000924EA" w:rsidP="000924EA">
      <w:pPr>
        <w:pStyle w:val="BHTexto"/>
        <w:numPr>
          <w:ilvl w:val="0"/>
          <w:numId w:val="76"/>
        </w:numPr>
        <w:rPr>
          <w:lang w:val="es-ES"/>
        </w:rPr>
      </w:pPr>
      <w:r w:rsidRPr="00AE4E8D">
        <w:rPr>
          <w:lang w:val="es-ES"/>
        </w:rPr>
        <w:t>nueve miembros titulares y sus respectivos suplentes, que representan a las acciones Clase D.</w:t>
      </w:r>
    </w:p>
    <w:p w14:paraId="114C58DE" w14:textId="77777777" w:rsidR="000924EA" w:rsidRPr="00AE4E8D" w:rsidRDefault="000924EA" w:rsidP="000924EA">
      <w:pPr>
        <w:pStyle w:val="BH3Izquierda"/>
        <w:rPr>
          <w:lang w:val="es-ES"/>
        </w:rPr>
      </w:pPr>
      <w:r w:rsidRPr="00AE4E8D">
        <w:rPr>
          <w:lang w:val="es-ES"/>
        </w:rPr>
        <w:t>Deberes y responsabilidades de los directores</w:t>
      </w:r>
    </w:p>
    <w:p w14:paraId="38F9EA48" w14:textId="77777777" w:rsidR="000924EA" w:rsidRPr="00AE4E8D" w:rsidRDefault="000924EA" w:rsidP="000924EA">
      <w:pPr>
        <w:pStyle w:val="BHTexto"/>
        <w:rPr>
          <w:lang w:val="es-ES"/>
        </w:rPr>
      </w:pPr>
      <w:r w:rsidRPr="00AE4E8D">
        <w:rPr>
          <w:lang w:val="es-ES"/>
        </w:rPr>
        <w:t>Conforme a la ley, los directores tienen la obligación de desempeñar sus funciones con la lealtad y la diligencia de un buen hombre de negocios. Los directores son mancomunada y solidariamente responsables ante nosotros, los accionistas y terceros por el mal desempeño de su cargo, la violación de la ley, nuestro Estatuto o reglamentaciones emitidas por nosotros, en su caso, y por cualquier daño originado por fraude, abuso de autoridad o culpa grave. La Ley de Mercado de Capitales ha establecido ciertas obligaciones en relación con el deber de lealtad de un director de una sociedad sujeta al régimen de oferta pública. Los siguientes actos se considerarán incluidos en el deber de lealtad: (i) la prohibición de hacer uso de los activos sociales e información confidencial con fines privados; (ii) la prohibición de aprovechar o hacer que otro aproveche, ya sea por acto o por omisión, las oportunidades de negocio de la sociedad; (iii) la obligación de ejercer sus facultades únicamente para los fines para los que la ley, los Estatutos, la asamblea o el Directorio se las hayan concedido; y (iv) la obligación de velar escrupulosamente para que su actuación nunca incurra en conflicto de intereses, directo o indirecto, con los de la sociedad. En caso de duda acerca del cumplimiento del deber de lealtad, la carga de la prueba corresponde al director. Bajo la ley argentina, nuestro Estatuto o una resolución de la asamblea de accionistas pueden asignar funciones específicas a un director. En tales casos, la responsabilidad de un director se determinará con relación al desempeño de dichas funciones, siempre que se cumplan determinados requisitos técnicos. La ley argentina prohíbe a los directores dedicarse a actividades que se encuentren en competencia con las nuestras sin la autorización expresa de los accionistas. Cualquier director debe informar al Directorio de cualquier conflicto de intereses que pueda existir en una operación propuesta y debe abstenerse de votar en relación con ella.</w:t>
      </w:r>
    </w:p>
    <w:p w14:paraId="669D9762" w14:textId="77777777" w:rsidR="000924EA" w:rsidRPr="00AE4E8D" w:rsidRDefault="000924EA" w:rsidP="000924EA">
      <w:pPr>
        <w:pStyle w:val="BHTexto"/>
        <w:rPr>
          <w:lang w:val="es-ES"/>
        </w:rPr>
      </w:pPr>
      <w:r w:rsidRPr="00AE4E8D">
        <w:rPr>
          <w:lang w:val="es-ES"/>
        </w:rPr>
        <w:t>Un director, no obstante su presencia en una reunión en la cual se adoptó una resolución o que tomare conocimiento de dicha resolución, no será responsable si existe constancia escrita de su oposición a la misma y ha notificado su oposición a la Comisión Fiscalizadora antes de que sea presentada alguna queja contra él ante el Directorio, la Comisión Fiscalizadora, una asamblea de accionistas, un organismo gubernamental competente o los tribunales. Con excepción del caso de nuestra disolución obligatoria o quiebra, la aprobación del desempeño de un director por los accionistas extingue cualquier responsabilidad del director con nosotros, siempre que los accionistas titulares de por lo menos el 5% de nuestro capital no presenten objeciones y en tanto y en cuanto dicha responsabilidad no sea consecuencia de una violación de la ley o de nuestro Estatuto.</w:t>
      </w:r>
    </w:p>
    <w:p w14:paraId="46C57287" w14:textId="77777777" w:rsidR="000924EA" w:rsidRPr="00AE4E8D" w:rsidRDefault="000924EA" w:rsidP="000924EA">
      <w:pPr>
        <w:pStyle w:val="BHTexto"/>
        <w:rPr>
          <w:lang w:val="es-ES"/>
        </w:rPr>
      </w:pPr>
      <w:r w:rsidRPr="00AE4E8D">
        <w:rPr>
          <w:lang w:val="es-ES"/>
        </w:rPr>
        <w:t>Podemos iniciar acciones contra los directores con el voto mayoritario de los accionistas. Si pasados tres meses desde que los accionistas aprobaron la interposición de la acción, no la hubiéramos iniciado, cualquier accionista podrá iniciarla en nuestro nombre y por nuestra cuenta.</w:t>
      </w:r>
    </w:p>
    <w:p w14:paraId="1FC77C69" w14:textId="77777777" w:rsidR="000924EA" w:rsidRPr="00AE4E8D" w:rsidRDefault="000924EA" w:rsidP="000924EA">
      <w:pPr>
        <w:pStyle w:val="BHTexto"/>
        <w:rPr>
          <w:lang w:val="es-ES"/>
        </w:rPr>
      </w:pPr>
      <w:r w:rsidRPr="00AE4E8D">
        <w:rPr>
          <w:lang w:val="es-ES"/>
        </w:rPr>
        <w:t xml:space="preserve">En virtud de nuestro Estatuto, indemnizaremos a todos los directores, miembros de la Comisión Fiscalizadora y la gerencia ejecutiva y senior, tanto actuales como anteriores, por cualquier pasivo incurrido por cualquiera de tales personas con relación a la defensa de cualquier cuestión, juicio o procedimiento en el que puedan estar involucrados como resultado de la oferta pública, colocación o negociación de nuestras acciones. Esta indemnización incluye todo pago de daños y perjuicios establecidos en sentencias judiciales cubiertos por las pólizas de seguros vigentes, salvo cuando la condena al director, miembro de la Comisión Fiscalizadora, gerente, ex director, ex síndico o ex gerente </w:t>
      </w:r>
      <w:r w:rsidRPr="00AE4E8D">
        <w:rPr>
          <w:lang w:val="es-ES"/>
        </w:rPr>
        <w:lastRenderedPageBreak/>
        <w:t>haya sido como consecuencia de la comisión de un acto ilícito intencional o culpa grave de su parte en el cumplimiento de sus obligaciones. Podemos contratar un seguro por responsabilidad de los directores y la administración con respecto a tales pérdidas, en cuyo caso la indemnización se limitará a los pasivos que superen o que no estén cubiertos de otro modo por dicho seguro.</w:t>
      </w:r>
    </w:p>
    <w:p w14:paraId="42FC9A0B" w14:textId="77777777" w:rsidR="000924EA" w:rsidRPr="00AE4E8D" w:rsidRDefault="000924EA" w:rsidP="000924EA">
      <w:pPr>
        <w:pStyle w:val="BHTexto"/>
        <w:rPr>
          <w:lang w:val="es-ES" w:eastAsia="es-ES"/>
        </w:rPr>
      </w:pPr>
      <w:r w:rsidRPr="00AE4E8D">
        <w:rPr>
          <w:lang w:val="es-ES" w:eastAsia="es-ES"/>
        </w:rPr>
        <w:t>En el siguiente cuadro se indican los miembros actuales de nuestro Directorio:</w:t>
      </w:r>
    </w:p>
    <w:tbl>
      <w:tblPr>
        <w:tblpPr w:leftFromText="142" w:rightFromText="142" w:vertAnchor="text" w:tblpXSpec="center" w:tblpY="1"/>
        <w:tblOverlap w:val="never"/>
        <w:tblW w:w="9975" w:type="dxa"/>
        <w:tblLayout w:type="fixed"/>
        <w:tblCellMar>
          <w:left w:w="0" w:type="dxa"/>
          <w:right w:w="0" w:type="dxa"/>
        </w:tblCellMar>
        <w:tblLook w:val="00A0" w:firstRow="1" w:lastRow="0" w:firstColumn="1" w:lastColumn="0" w:noHBand="0" w:noVBand="0"/>
      </w:tblPr>
      <w:tblGrid>
        <w:gridCol w:w="1417"/>
        <w:gridCol w:w="851"/>
        <w:gridCol w:w="1134"/>
        <w:gridCol w:w="1106"/>
        <w:gridCol w:w="1984"/>
        <w:gridCol w:w="709"/>
        <w:gridCol w:w="542"/>
        <w:gridCol w:w="1045"/>
        <w:gridCol w:w="1187"/>
      </w:tblGrid>
      <w:tr w:rsidR="003B5193" w:rsidRPr="00AE4E8D" w14:paraId="46B8D43B" w14:textId="77777777" w:rsidTr="00232C94">
        <w:trPr>
          <w:trHeight w:val="538"/>
          <w:tblHeader/>
        </w:trPr>
        <w:tc>
          <w:tcPr>
            <w:tcW w:w="1417"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6FAE5FED"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Nombre y Apellido</w:t>
            </w:r>
          </w:p>
        </w:tc>
        <w:tc>
          <w:tcPr>
            <w:tcW w:w="851"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0FA2EF54"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N° de</w:t>
            </w:r>
          </w:p>
          <w:p w14:paraId="78C4101A"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Documento</w:t>
            </w:r>
          </w:p>
        </w:tc>
        <w:tc>
          <w:tcPr>
            <w:tcW w:w="1134" w:type="dxa"/>
            <w:tcBorders>
              <w:top w:val="single" w:sz="4" w:space="0" w:color="auto"/>
              <w:bottom w:val="single" w:sz="4" w:space="0" w:color="auto"/>
            </w:tcBorders>
            <w:shd w:val="clear" w:color="auto" w:fill="FFFFFF"/>
            <w:tcMar>
              <w:top w:w="15" w:type="dxa"/>
              <w:left w:w="15" w:type="dxa"/>
              <w:bottom w:w="0" w:type="dxa"/>
              <w:right w:w="15" w:type="dxa"/>
            </w:tcMar>
            <w:vAlign w:val="center"/>
          </w:tcPr>
          <w:p w14:paraId="14AAA431"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Fecha de Nacimiento</w:t>
            </w:r>
          </w:p>
        </w:tc>
        <w:tc>
          <w:tcPr>
            <w:tcW w:w="1106" w:type="dxa"/>
            <w:tcBorders>
              <w:top w:val="single" w:sz="4" w:space="0" w:color="auto"/>
              <w:bottom w:val="single" w:sz="4" w:space="0" w:color="auto"/>
            </w:tcBorders>
            <w:shd w:val="clear" w:color="auto" w:fill="FFFFFF"/>
            <w:tcMar>
              <w:top w:w="15" w:type="dxa"/>
              <w:left w:w="15" w:type="dxa"/>
              <w:bottom w:w="0" w:type="dxa"/>
              <w:right w:w="15" w:type="dxa"/>
            </w:tcMar>
            <w:vAlign w:val="center"/>
          </w:tcPr>
          <w:p w14:paraId="7169B142"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CUIL/CUIT</w:t>
            </w:r>
          </w:p>
        </w:tc>
        <w:tc>
          <w:tcPr>
            <w:tcW w:w="1984"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7EC2196C"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Domicilio</w:t>
            </w:r>
          </w:p>
        </w:tc>
        <w:tc>
          <w:tcPr>
            <w:tcW w:w="709"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77564C87"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Cargo</w:t>
            </w:r>
          </w:p>
        </w:tc>
        <w:tc>
          <w:tcPr>
            <w:tcW w:w="542"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44C2C078"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Clase</w:t>
            </w:r>
          </w:p>
        </w:tc>
        <w:tc>
          <w:tcPr>
            <w:tcW w:w="1045"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7E5E84F2"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Mandato</w:t>
            </w:r>
          </w:p>
        </w:tc>
        <w:tc>
          <w:tcPr>
            <w:tcW w:w="1187" w:type="dxa"/>
            <w:tcBorders>
              <w:top w:val="single" w:sz="4" w:space="0" w:color="auto"/>
              <w:bottom w:val="single" w:sz="4" w:space="0" w:color="auto"/>
            </w:tcBorders>
            <w:shd w:val="clear" w:color="auto" w:fill="FFFFFF"/>
            <w:vAlign w:val="center"/>
          </w:tcPr>
          <w:p w14:paraId="0B1F3174"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Fecha desde la que ocupa el cargo</w:t>
            </w:r>
          </w:p>
        </w:tc>
      </w:tr>
      <w:tr w:rsidR="000924EA" w:rsidRPr="00AE4E8D" w14:paraId="492B48A4" w14:textId="77777777" w:rsidTr="000400C8">
        <w:trPr>
          <w:trHeight w:val="65"/>
        </w:trPr>
        <w:tc>
          <w:tcPr>
            <w:tcW w:w="1417" w:type="dxa"/>
            <w:tcBorders>
              <w:top w:val="single" w:sz="4" w:space="0" w:color="auto"/>
            </w:tcBorders>
            <w:noWrap/>
            <w:tcMar>
              <w:top w:w="15" w:type="dxa"/>
              <w:left w:w="15" w:type="dxa"/>
              <w:bottom w:w="0" w:type="dxa"/>
              <w:right w:w="15" w:type="dxa"/>
            </w:tcMar>
            <w:vAlign w:val="center"/>
          </w:tcPr>
          <w:p w14:paraId="3BB2B1E7"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Eduardo Sergio Elsztain</w:t>
            </w:r>
          </w:p>
        </w:tc>
        <w:tc>
          <w:tcPr>
            <w:tcW w:w="851" w:type="dxa"/>
            <w:tcBorders>
              <w:top w:val="single" w:sz="4" w:space="0" w:color="auto"/>
            </w:tcBorders>
            <w:noWrap/>
            <w:tcMar>
              <w:top w:w="15" w:type="dxa"/>
              <w:left w:w="15" w:type="dxa"/>
              <w:bottom w:w="0" w:type="dxa"/>
              <w:right w:w="15" w:type="dxa"/>
            </w:tcMar>
            <w:vAlign w:val="center"/>
          </w:tcPr>
          <w:p w14:paraId="515FB5E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14.014.114</w:t>
            </w:r>
          </w:p>
        </w:tc>
        <w:tc>
          <w:tcPr>
            <w:tcW w:w="1134" w:type="dxa"/>
            <w:tcBorders>
              <w:top w:val="single" w:sz="4" w:space="0" w:color="auto"/>
            </w:tcBorders>
            <w:tcMar>
              <w:top w:w="15" w:type="dxa"/>
              <w:left w:w="15" w:type="dxa"/>
              <w:bottom w:w="0" w:type="dxa"/>
              <w:right w:w="15" w:type="dxa"/>
            </w:tcMar>
            <w:vAlign w:val="center"/>
          </w:tcPr>
          <w:p w14:paraId="5FD2F1C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26/01/1960</w:t>
            </w:r>
          </w:p>
        </w:tc>
        <w:tc>
          <w:tcPr>
            <w:tcW w:w="1106" w:type="dxa"/>
            <w:tcBorders>
              <w:top w:val="single" w:sz="4" w:space="0" w:color="auto"/>
            </w:tcBorders>
            <w:tcMar>
              <w:top w:w="15" w:type="dxa"/>
              <w:left w:w="15" w:type="dxa"/>
              <w:bottom w:w="0" w:type="dxa"/>
              <w:right w:w="15" w:type="dxa"/>
            </w:tcMar>
            <w:vAlign w:val="center"/>
          </w:tcPr>
          <w:p w14:paraId="3A915CD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20-14010114-4</w:t>
            </w:r>
          </w:p>
        </w:tc>
        <w:tc>
          <w:tcPr>
            <w:tcW w:w="1984" w:type="dxa"/>
            <w:tcBorders>
              <w:top w:val="single" w:sz="4" w:space="0" w:color="auto"/>
            </w:tcBorders>
            <w:noWrap/>
            <w:tcMar>
              <w:top w:w="15" w:type="dxa"/>
              <w:left w:w="15" w:type="dxa"/>
              <w:bottom w:w="0" w:type="dxa"/>
              <w:right w:w="15" w:type="dxa"/>
            </w:tcMar>
            <w:vAlign w:val="center"/>
          </w:tcPr>
          <w:p w14:paraId="75A39B3D"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Bolívar 108,</w:t>
            </w:r>
            <w:r w:rsidR="00793898">
              <w:rPr>
                <w:rFonts w:ascii="Times New Roman" w:hAnsi="Times New Roman"/>
                <w:color w:val="000000"/>
                <w:sz w:val="16"/>
                <w:szCs w:val="16"/>
                <w:lang w:val="es-ES" w:eastAsia="es-AR"/>
              </w:rPr>
              <w:t xml:space="preserve"> </w:t>
            </w:r>
            <w:r w:rsidRPr="00AE4E8D">
              <w:rPr>
                <w:rFonts w:ascii="Times New Roman" w:hAnsi="Times New Roman"/>
                <w:color w:val="000000"/>
                <w:sz w:val="16"/>
                <w:szCs w:val="16"/>
                <w:lang w:val="es-ES" w:eastAsia="es-AR"/>
              </w:rPr>
              <w:t>CABA</w:t>
            </w:r>
          </w:p>
        </w:tc>
        <w:tc>
          <w:tcPr>
            <w:tcW w:w="709" w:type="dxa"/>
            <w:tcBorders>
              <w:top w:val="single" w:sz="4" w:space="0" w:color="auto"/>
            </w:tcBorders>
            <w:noWrap/>
            <w:tcMar>
              <w:top w:w="15" w:type="dxa"/>
              <w:left w:w="15" w:type="dxa"/>
              <w:bottom w:w="0" w:type="dxa"/>
              <w:right w:w="15" w:type="dxa"/>
            </w:tcMar>
            <w:vAlign w:val="center"/>
          </w:tcPr>
          <w:p w14:paraId="20876C0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Presidente</w:t>
            </w:r>
          </w:p>
        </w:tc>
        <w:tc>
          <w:tcPr>
            <w:tcW w:w="542" w:type="dxa"/>
            <w:tcBorders>
              <w:top w:val="single" w:sz="4" w:space="0" w:color="auto"/>
            </w:tcBorders>
            <w:noWrap/>
            <w:tcMar>
              <w:top w:w="15" w:type="dxa"/>
              <w:left w:w="15" w:type="dxa"/>
              <w:bottom w:w="0" w:type="dxa"/>
              <w:right w:w="15" w:type="dxa"/>
            </w:tcMar>
            <w:vAlign w:val="center"/>
          </w:tcPr>
          <w:p w14:paraId="0647D53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tcBorders>
              <w:top w:val="single" w:sz="4" w:space="0" w:color="auto"/>
            </w:tcBorders>
            <w:noWrap/>
            <w:tcMar>
              <w:top w:w="15" w:type="dxa"/>
              <w:left w:w="15" w:type="dxa"/>
              <w:bottom w:w="0" w:type="dxa"/>
              <w:right w:w="15" w:type="dxa"/>
            </w:tcMar>
            <w:vAlign w:val="center"/>
          </w:tcPr>
          <w:p w14:paraId="0CCB207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67A9DA6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tcBorders>
              <w:top w:val="single" w:sz="4" w:space="0" w:color="auto"/>
            </w:tcBorders>
            <w:vAlign w:val="center"/>
          </w:tcPr>
          <w:p w14:paraId="7A2DC6A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15/03/1999</w:t>
            </w:r>
          </w:p>
        </w:tc>
      </w:tr>
      <w:tr w:rsidR="000924EA" w:rsidRPr="00AE4E8D" w14:paraId="1FCFC8FB" w14:textId="77777777" w:rsidTr="000400C8">
        <w:trPr>
          <w:trHeight w:val="228"/>
        </w:trPr>
        <w:tc>
          <w:tcPr>
            <w:tcW w:w="1417" w:type="dxa"/>
            <w:noWrap/>
            <w:tcMar>
              <w:top w:w="15" w:type="dxa"/>
              <w:left w:w="15" w:type="dxa"/>
              <w:bottom w:w="0" w:type="dxa"/>
              <w:right w:w="15" w:type="dxa"/>
            </w:tcMar>
            <w:vAlign w:val="center"/>
          </w:tcPr>
          <w:p w14:paraId="1C8E902D"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Mario Blejer</w:t>
            </w:r>
          </w:p>
        </w:tc>
        <w:tc>
          <w:tcPr>
            <w:tcW w:w="851" w:type="dxa"/>
            <w:noWrap/>
            <w:tcMar>
              <w:top w:w="15" w:type="dxa"/>
              <w:left w:w="15" w:type="dxa"/>
              <w:bottom w:w="0" w:type="dxa"/>
              <w:right w:w="15" w:type="dxa"/>
            </w:tcMar>
            <w:vAlign w:val="center"/>
          </w:tcPr>
          <w:p w14:paraId="243DC49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4.619.694</w:t>
            </w:r>
          </w:p>
        </w:tc>
        <w:tc>
          <w:tcPr>
            <w:tcW w:w="1134" w:type="dxa"/>
            <w:tcMar>
              <w:top w:w="15" w:type="dxa"/>
              <w:left w:w="15" w:type="dxa"/>
              <w:bottom w:w="0" w:type="dxa"/>
              <w:right w:w="15" w:type="dxa"/>
            </w:tcMar>
            <w:vAlign w:val="center"/>
          </w:tcPr>
          <w:p w14:paraId="70ABE88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11/06/1948</w:t>
            </w:r>
          </w:p>
        </w:tc>
        <w:tc>
          <w:tcPr>
            <w:tcW w:w="1106" w:type="dxa"/>
            <w:tcMar>
              <w:top w:w="15" w:type="dxa"/>
              <w:left w:w="15" w:type="dxa"/>
              <w:bottom w:w="0" w:type="dxa"/>
              <w:right w:w="15" w:type="dxa"/>
            </w:tcMar>
            <w:vAlign w:val="center"/>
          </w:tcPr>
          <w:p w14:paraId="0E04D08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20-04619694-6</w:t>
            </w:r>
          </w:p>
        </w:tc>
        <w:tc>
          <w:tcPr>
            <w:tcW w:w="1984" w:type="dxa"/>
            <w:noWrap/>
            <w:tcMar>
              <w:top w:w="15" w:type="dxa"/>
              <w:left w:w="15" w:type="dxa"/>
              <w:bottom w:w="0" w:type="dxa"/>
              <w:right w:w="15" w:type="dxa"/>
            </w:tcMar>
            <w:vAlign w:val="center"/>
          </w:tcPr>
          <w:p w14:paraId="69BF745F"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70E0515A"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689DD8A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Vice</w:t>
            </w:r>
          </w:p>
          <w:p w14:paraId="0A8DCC0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Presidente</w:t>
            </w:r>
          </w:p>
        </w:tc>
        <w:tc>
          <w:tcPr>
            <w:tcW w:w="542" w:type="dxa"/>
            <w:noWrap/>
            <w:tcMar>
              <w:top w:w="15" w:type="dxa"/>
              <w:left w:w="15" w:type="dxa"/>
              <w:bottom w:w="0" w:type="dxa"/>
              <w:right w:w="15" w:type="dxa"/>
            </w:tcMar>
            <w:vAlign w:val="center"/>
          </w:tcPr>
          <w:p w14:paraId="7CD9BD7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4846D85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60E69EE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 xml:space="preserve"> 31/12/2018</w:t>
            </w:r>
          </w:p>
        </w:tc>
        <w:tc>
          <w:tcPr>
            <w:tcW w:w="1187" w:type="dxa"/>
            <w:vAlign w:val="center"/>
          </w:tcPr>
          <w:p w14:paraId="0A6A01B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12/05/2010</w:t>
            </w:r>
          </w:p>
        </w:tc>
      </w:tr>
      <w:tr w:rsidR="000924EA" w:rsidRPr="00AE4E8D" w14:paraId="5C39B734" w14:textId="77777777" w:rsidTr="000400C8">
        <w:trPr>
          <w:trHeight w:val="228"/>
        </w:trPr>
        <w:tc>
          <w:tcPr>
            <w:tcW w:w="1417" w:type="dxa"/>
            <w:noWrap/>
            <w:tcMar>
              <w:top w:w="15" w:type="dxa"/>
              <w:left w:w="15" w:type="dxa"/>
              <w:bottom w:w="0" w:type="dxa"/>
              <w:right w:w="15" w:type="dxa"/>
            </w:tcMar>
            <w:vAlign w:val="center"/>
          </w:tcPr>
          <w:p w14:paraId="015E0B52"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Francisco Guillermo Susmel (*)</w:t>
            </w:r>
          </w:p>
        </w:tc>
        <w:tc>
          <w:tcPr>
            <w:tcW w:w="851" w:type="dxa"/>
            <w:noWrap/>
            <w:tcMar>
              <w:top w:w="15" w:type="dxa"/>
              <w:left w:w="15" w:type="dxa"/>
              <w:bottom w:w="0" w:type="dxa"/>
              <w:right w:w="15" w:type="dxa"/>
            </w:tcMar>
            <w:vAlign w:val="center"/>
          </w:tcPr>
          <w:p w14:paraId="0FE4FCD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11.987.329</w:t>
            </w:r>
          </w:p>
        </w:tc>
        <w:tc>
          <w:tcPr>
            <w:tcW w:w="1134" w:type="dxa"/>
            <w:tcMar>
              <w:top w:w="15" w:type="dxa"/>
              <w:left w:w="15" w:type="dxa"/>
              <w:bottom w:w="0" w:type="dxa"/>
              <w:right w:w="15" w:type="dxa"/>
            </w:tcMar>
            <w:vAlign w:val="center"/>
          </w:tcPr>
          <w:p w14:paraId="5EC58D5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10/02/1958</w:t>
            </w:r>
          </w:p>
        </w:tc>
        <w:tc>
          <w:tcPr>
            <w:tcW w:w="1106" w:type="dxa"/>
            <w:tcMar>
              <w:top w:w="15" w:type="dxa"/>
              <w:left w:w="15" w:type="dxa"/>
              <w:bottom w:w="0" w:type="dxa"/>
              <w:right w:w="15" w:type="dxa"/>
            </w:tcMar>
            <w:vAlign w:val="center"/>
          </w:tcPr>
          <w:p w14:paraId="5BCC2CE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20-11987329-1</w:t>
            </w:r>
          </w:p>
        </w:tc>
        <w:tc>
          <w:tcPr>
            <w:tcW w:w="1984" w:type="dxa"/>
            <w:noWrap/>
            <w:tcMar>
              <w:top w:w="15" w:type="dxa"/>
              <w:left w:w="15" w:type="dxa"/>
              <w:bottom w:w="0" w:type="dxa"/>
              <w:right w:w="15" w:type="dxa"/>
            </w:tcMar>
            <w:vAlign w:val="center"/>
          </w:tcPr>
          <w:p w14:paraId="42E306BD"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1A864752"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2C6AD34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938375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1CB0CC3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w:t>
            </w:r>
          </w:p>
        </w:tc>
        <w:tc>
          <w:tcPr>
            <w:tcW w:w="1045" w:type="dxa"/>
            <w:noWrap/>
            <w:tcMar>
              <w:top w:w="15" w:type="dxa"/>
              <w:left w:w="15" w:type="dxa"/>
              <w:bottom w:w="0" w:type="dxa"/>
              <w:right w:w="15" w:type="dxa"/>
            </w:tcMar>
            <w:vAlign w:val="center"/>
          </w:tcPr>
          <w:p w14:paraId="459652B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 xml:space="preserve">04/04/2017 – 31/12/2018 </w:t>
            </w:r>
          </w:p>
        </w:tc>
        <w:tc>
          <w:tcPr>
            <w:tcW w:w="1187" w:type="dxa"/>
            <w:vAlign w:val="center"/>
          </w:tcPr>
          <w:p w14:paraId="32F0D57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w:t>
            </w:r>
          </w:p>
        </w:tc>
      </w:tr>
      <w:tr w:rsidR="000924EA" w:rsidRPr="00AE4E8D" w14:paraId="5FA7DD69" w14:textId="77777777" w:rsidTr="000400C8">
        <w:trPr>
          <w:trHeight w:val="228"/>
        </w:trPr>
        <w:tc>
          <w:tcPr>
            <w:tcW w:w="1417" w:type="dxa"/>
            <w:noWrap/>
            <w:tcMar>
              <w:top w:w="15" w:type="dxa"/>
              <w:left w:w="15" w:type="dxa"/>
              <w:bottom w:w="0" w:type="dxa"/>
              <w:right w:w="15" w:type="dxa"/>
            </w:tcMar>
            <w:vAlign w:val="center"/>
          </w:tcPr>
          <w:p w14:paraId="2D362D98"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Juan Rubén Jure (*)</w:t>
            </w:r>
          </w:p>
        </w:tc>
        <w:tc>
          <w:tcPr>
            <w:tcW w:w="851" w:type="dxa"/>
            <w:noWrap/>
            <w:tcMar>
              <w:top w:w="15" w:type="dxa"/>
              <w:left w:w="15" w:type="dxa"/>
              <w:bottom w:w="0" w:type="dxa"/>
              <w:right w:w="15" w:type="dxa"/>
            </w:tcMar>
            <w:vAlign w:val="center"/>
          </w:tcPr>
          <w:p w14:paraId="127FE2A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20.283.683</w:t>
            </w:r>
          </w:p>
        </w:tc>
        <w:tc>
          <w:tcPr>
            <w:tcW w:w="1134" w:type="dxa"/>
            <w:tcMar>
              <w:top w:w="15" w:type="dxa"/>
              <w:left w:w="15" w:type="dxa"/>
              <w:bottom w:w="0" w:type="dxa"/>
              <w:right w:w="15" w:type="dxa"/>
            </w:tcMar>
            <w:vAlign w:val="center"/>
          </w:tcPr>
          <w:p w14:paraId="4F280B7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26/04/1968</w:t>
            </w:r>
          </w:p>
        </w:tc>
        <w:tc>
          <w:tcPr>
            <w:tcW w:w="1106" w:type="dxa"/>
            <w:tcMar>
              <w:top w:w="15" w:type="dxa"/>
              <w:left w:w="15" w:type="dxa"/>
              <w:bottom w:w="0" w:type="dxa"/>
              <w:right w:w="15" w:type="dxa"/>
            </w:tcMar>
            <w:vAlign w:val="center"/>
          </w:tcPr>
          <w:p w14:paraId="4E4CE7C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20-202836683-7</w:t>
            </w:r>
          </w:p>
        </w:tc>
        <w:tc>
          <w:tcPr>
            <w:tcW w:w="1984" w:type="dxa"/>
            <w:noWrap/>
            <w:tcMar>
              <w:top w:w="15" w:type="dxa"/>
              <w:left w:w="15" w:type="dxa"/>
              <w:bottom w:w="0" w:type="dxa"/>
              <w:right w:w="15" w:type="dxa"/>
            </w:tcMar>
            <w:vAlign w:val="center"/>
          </w:tcPr>
          <w:p w14:paraId="776416A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55C502D1"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0209EE2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5202536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3E45FB8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w:t>
            </w:r>
          </w:p>
        </w:tc>
        <w:tc>
          <w:tcPr>
            <w:tcW w:w="1045" w:type="dxa"/>
            <w:noWrap/>
            <w:tcMar>
              <w:top w:w="15" w:type="dxa"/>
              <w:left w:w="15" w:type="dxa"/>
              <w:bottom w:w="0" w:type="dxa"/>
              <w:right w:w="15" w:type="dxa"/>
            </w:tcMar>
            <w:vAlign w:val="center"/>
          </w:tcPr>
          <w:p w14:paraId="1DCF062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 xml:space="preserve">04/04/2017 – 31/12/2018 </w:t>
            </w:r>
          </w:p>
        </w:tc>
        <w:tc>
          <w:tcPr>
            <w:tcW w:w="1187" w:type="dxa"/>
            <w:vAlign w:val="center"/>
          </w:tcPr>
          <w:p w14:paraId="2A2B715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w:t>
            </w:r>
          </w:p>
        </w:tc>
      </w:tr>
      <w:tr w:rsidR="000924EA" w:rsidRPr="00AE4E8D" w14:paraId="0E3180B9" w14:textId="77777777" w:rsidTr="000400C8">
        <w:trPr>
          <w:trHeight w:val="228"/>
        </w:trPr>
        <w:tc>
          <w:tcPr>
            <w:tcW w:w="1417" w:type="dxa"/>
            <w:noWrap/>
            <w:tcMar>
              <w:top w:w="15" w:type="dxa"/>
              <w:left w:w="15" w:type="dxa"/>
              <w:bottom w:w="0" w:type="dxa"/>
              <w:right w:w="15" w:type="dxa"/>
            </w:tcMar>
            <w:vAlign w:val="center"/>
          </w:tcPr>
          <w:p w14:paraId="45E5F7EF"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Fernando Recalde</w:t>
            </w:r>
          </w:p>
        </w:tc>
        <w:tc>
          <w:tcPr>
            <w:tcW w:w="851" w:type="dxa"/>
            <w:noWrap/>
            <w:tcMar>
              <w:top w:w="15" w:type="dxa"/>
              <w:left w:w="15" w:type="dxa"/>
              <w:bottom w:w="0" w:type="dxa"/>
              <w:right w:w="15" w:type="dxa"/>
            </w:tcMar>
            <w:vAlign w:val="center"/>
          </w:tcPr>
          <w:p w14:paraId="2265702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93.792.217</w:t>
            </w:r>
          </w:p>
        </w:tc>
        <w:tc>
          <w:tcPr>
            <w:tcW w:w="1134" w:type="dxa"/>
            <w:tcMar>
              <w:top w:w="15" w:type="dxa"/>
              <w:left w:w="15" w:type="dxa"/>
              <w:bottom w:w="0" w:type="dxa"/>
              <w:right w:w="15" w:type="dxa"/>
            </w:tcMar>
            <w:vAlign w:val="center"/>
          </w:tcPr>
          <w:p w14:paraId="288C6A5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04/07/1964</w:t>
            </w:r>
          </w:p>
        </w:tc>
        <w:tc>
          <w:tcPr>
            <w:tcW w:w="1106" w:type="dxa"/>
            <w:tcMar>
              <w:top w:w="15" w:type="dxa"/>
              <w:left w:w="15" w:type="dxa"/>
              <w:bottom w:w="0" w:type="dxa"/>
              <w:right w:w="15" w:type="dxa"/>
            </w:tcMar>
            <w:vAlign w:val="center"/>
          </w:tcPr>
          <w:p w14:paraId="2DD7CA0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20-93792217-6</w:t>
            </w:r>
          </w:p>
        </w:tc>
        <w:tc>
          <w:tcPr>
            <w:tcW w:w="1984" w:type="dxa"/>
            <w:noWrap/>
            <w:tcMar>
              <w:top w:w="15" w:type="dxa"/>
              <w:left w:w="15" w:type="dxa"/>
              <w:bottom w:w="0" w:type="dxa"/>
              <w:right w:w="15" w:type="dxa"/>
            </w:tcMar>
            <w:vAlign w:val="center"/>
          </w:tcPr>
          <w:p w14:paraId="4A6EE44F"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1B397C26"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075C824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02FF2B7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12338B9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B</w:t>
            </w:r>
          </w:p>
        </w:tc>
        <w:tc>
          <w:tcPr>
            <w:tcW w:w="1045" w:type="dxa"/>
            <w:noWrap/>
            <w:tcMar>
              <w:top w:w="15" w:type="dxa"/>
              <w:left w:w="15" w:type="dxa"/>
              <w:bottom w:w="0" w:type="dxa"/>
              <w:right w:w="15" w:type="dxa"/>
            </w:tcMar>
            <w:vAlign w:val="center"/>
          </w:tcPr>
          <w:p w14:paraId="5E7ED00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 31/12/2017</w:t>
            </w:r>
          </w:p>
        </w:tc>
        <w:tc>
          <w:tcPr>
            <w:tcW w:w="1187" w:type="dxa"/>
            <w:vAlign w:val="center"/>
          </w:tcPr>
          <w:p w14:paraId="41FFD23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w:t>
            </w:r>
          </w:p>
        </w:tc>
      </w:tr>
      <w:tr w:rsidR="000924EA" w:rsidRPr="00AE4E8D" w14:paraId="4EED57BA" w14:textId="77777777" w:rsidTr="000400C8">
        <w:trPr>
          <w:trHeight w:val="228"/>
        </w:trPr>
        <w:tc>
          <w:tcPr>
            <w:tcW w:w="1417" w:type="dxa"/>
            <w:noWrap/>
            <w:tcMar>
              <w:top w:w="15" w:type="dxa"/>
              <w:left w:w="15" w:type="dxa"/>
              <w:bottom w:w="0" w:type="dxa"/>
              <w:right w:w="15" w:type="dxa"/>
            </w:tcMar>
            <w:vAlign w:val="center"/>
          </w:tcPr>
          <w:p w14:paraId="1C23F7C6"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Martín Juan Lanfranco</w:t>
            </w:r>
            <w:r w:rsidR="00793898">
              <w:rPr>
                <w:rFonts w:ascii="Times New Roman" w:hAnsi="Times New Roman"/>
                <w:color w:val="000000"/>
                <w:sz w:val="16"/>
                <w:szCs w:val="16"/>
                <w:lang w:val="es-ES" w:eastAsia="es-AR"/>
              </w:rPr>
              <w:t xml:space="preserve"> </w:t>
            </w:r>
            <w:r w:rsidRPr="00AE4E8D">
              <w:rPr>
                <w:rFonts w:ascii="Times New Roman" w:hAnsi="Times New Roman"/>
                <w:color w:val="000000"/>
                <w:sz w:val="16"/>
                <w:szCs w:val="16"/>
                <w:lang w:val="es-ES" w:eastAsia="es-AR"/>
              </w:rPr>
              <w:t>(**)</w:t>
            </w:r>
          </w:p>
        </w:tc>
        <w:tc>
          <w:tcPr>
            <w:tcW w:w="851" w:type="dxa"/>
            <w:noWrap/>
            <w:tcMar>
              <w:top w:w="15" w:type="dxa"/>
              <w:left w:w="15" w:type="dxa"/>
              <w:bottom w:w="0" w:type="dxa"/>
              <w:right w:w="15" w:type="dxa"/>
            </w:tcMar>
            <w:vAlign w:val="center"/>
          </w:tcPr>
          <w:p w14:paraId="2AE5341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18.011.037</w:t>
            </w:r>
          </w:p>
        </w:tc>
        <w:tc>
          <w:tcPr>
            <w:tcW w:w="1134" w:type="dxa"/>
            <w:tcMar>
              <w:top w:w="15" w:type="dxa"/>
              <w:left w:w="15" w:type="dxa"/>
              <w:bottom w:w="0" w:type="dxa"/>
              <w:right w:w="15" w:type="dxa"/>
            </w:tcMar>
            <w:vAlign w:val="center"/>
          </w:tcPr>
          <w:p w14:paraId="360CCD1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04/05/1966</w:t>
            </w:r>
          </w:p>
        </w:tc>
        <w:tc>
          <w:tcPr>
            <w:tcW w:w="1106" w:type="dxa"/>
            <w:tcMar>
              <w:top w:w="15" w:type="dxa"/>
              <w:left w:w="15" w:type="dxa"/>
              <w:bottom w:w="0" w:type="dxa"/>
              <w:right w:w="15" w:type="dxa"/>
            </w:tcMar>
            <w:vAlign w:val="center"/>
          </w:tcPr>
          <w:p w14:paraId="2424F10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20-18011037-3</w:t>
            </w:r>
          </w:p>
        </w:tc>
        <w:tc>
          <w:tcPr>
            <w:tcW w:w="1984" w:type="dxa"/>
            <w:noWrap/>
            <w:tcMar>
              <w:top w:w="15" w:type="dxa"/>
              <w:left w:w="15" w:type="dxa"/>
              <w:bottom w:w="0" w:type="dxa"/>
              <w:right w:w="15" w:type="dxa"/>
            </w:tcMar>
            <w:vAlign w:val="center"/>
          </w:tcPr>
          <w:p w14:paraId="383F752E"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Esmeralda 135, CABA</w:t>
            </w:r>
          </w:p>
        </w:tc>
        <w:tc>
          <w:tcPr>
            <w:tcW w:w="709" w:type="dxa"/>
            <w:noWrap/>
            <w:tcMar>
              <w:top w:w="15" w:type="dxa"/>
              <w:left w:w="15" w:type="dxa"/>
              <w:bottom w:w="0" w:type="dxa"/>
              <w:right w:w="15" w:type="dxa"/>
            </w:tcMar>
            <w:vAlign w:val="center"/>
          </w:tcPr>
          <w:p w14:paraId="757F452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2E8D6C3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027C917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w:t>
            </w:r>
          </w:p>
        </w:tc>
        <w:tc>
          <w:tcPr>
            <w:tcW w:w="1045" w:type="dxa"/>
            <w:noWrap/>
            <w:tcMar>
              <w:top w:w="15" w:type="dxa"/>
              <w:left w:w="15" w:type="dxa"/>
              <w:bottom w:w="0" w:type="dxa"/>
              <w:right w:w="15" w:type="dxa"/>
            </w:tcMar>
            <w:vAlign w:val="center"/>
          </w:tcPr>
          <w:p w14:paraId="7FE5006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28/04/2017 – 31/12/2017</w:t>
            </w:r>
          </w:p>
        </w:tc>
        <w:tc>
          <w:tcPr>
            <w:tcW w:w="1187" w:type="dxa"/>
            <w:vAlign w:val="center"/>
          </w:tcPr>
          <w:p w14:paraId="0F4E6E6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28/04/2017</w:t>
            </w:r>
          </w:p>
        </w:tc>
      </w:tr>
      <w:tr w:rsidR="000924EA" w:rsidRPr="00AE4E8D" w14:paraId="71F1B3E7" w14:textId="77777777" w:rsidTr="000400C8">
        <w:trPr>
          <w:trHeight w:val="228"/>
        </w:trPr>
        <w:tc>
          <w:tcPr>
            <w:tcW w:w="1417" w:type="dxa"/>
            <w:noWrap/>
            <w:tcMar>
              <w:top w:w="15" w:type="dxa"/>
              <w:left w:w="15" w:type="dxa"/>
              <w:bottom w:w="0" w:type="dxa"/>
              <w:right w:w="15" w:type="dxa"/>
            </w:tcMar>
            <w:vAlign w:val="center"/>
          </w:tcPr>
          <w:p w14:paraId="024B6845"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Mauricio Elías Wior</w:t>
            </w:r>
          </w:p>
        </w:tc>
        <w:tc>
          <w:tcPr>
            <w:tcW w:w="851" w:type="dxa"/>
            <w:noWrap/>
            <w:tcMar>
              <w:top w:w="15" w:type="dxa"/>
              <w:left w:w="15" w:type="dxa"/>
              <w:bottom w:w="0" w:type="dxa"/>
              <w:right w:w="15" w:type="dxa"/>
            </w:tcMar>
            <w:vAlign w:val="center"/>
          </w:tcPr>
          <w:p w14:paraId="21EBCF8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12.746.435</w:t>
            </w:r>
          </w:p>
        </w:tc>
        <w:tc>
          <w:tcPr>
            <w:tcW w:w="1134" w:type="dxa"/>
            <w:tcMar>
              <w:top w:w="15" w:type="dxa"/>
              <w:left w:w="15" w:type="dxa"/>
              <w:bottom w:w="0" w:type="dxa"/>
              <w:right w:w="15" w:type="dxa"/>
            </w:tcMar>
            <w:vAlign w:val="center"/>
          </w:tcPr>
          <w:p w14:paraId="6E85F55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23/10/1956</w:t>
            </w:r>
          </w:p>
        </w:tc>
        <w:tc>
          <w:tcPr>
            <w:tcW w:w="1106" w:type="dxa"/>
            <w:tcMar>
              <w:top w:w="15" w:type="dxa"/>
              <w:left w:w="15" w:type="dxa"/>
              <w:bottom w:w="0" w:type="dxa"/>
              <w:right w:w="15" w:type="dxa"/>
            </w:tcMar>
            <w:vAlign w:val="center"/>
          </w:tcPr>
          <w:p w14:paraId="2422066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23-12746435-9</w:t>
            </w:r>
          </w:p>
        </w:tc>
        <w:tc>
          <w:tcPr>
            <w:tcW w:w="1984" w:type="dxa"/>
            <w:noWrap/>
            <w:tcMar>
              <w:top w:w="15" w:type="dxa"/>
              <w:left w:w="15" w:type="dxa"/>
              <w:bottom w:w="0" w:type="dxa"/>
              <w:right w:w="15" w:type="dxa"/>
            </w:tcMar>
            <w:vAlign w:val="center"/>
          </w:tcPr>
          <w:p w14:paraId="485BE08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07C074DB"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7D4FADA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74C6C7E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08F08F2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0FB0FD6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13F6F6C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0466AC6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06/03/2008</w:t>
            </w:r>
          </w:p>
        </w:tc>
      </w:tr>
      <w:tr w:rsidR="000924EA" w:rsidRPr="00AE4E8D" w14:paraId="547205FA" w14:textId="77777777" w:rsidTr="000400C8">
        <w:trPr>
          <w:trHeight w:val="228"/>
        </w:trPr>
        <w:tc>
          <w:tcPr>
            <w:tcW w:w="1417" w:type="dxa"/>
            <w:noWrap/>
            <w:tcMar>
              <w:top w:w="15" w:type="dxa"/>
              <w:left w:w="15" w:type="dxa"/>
              <w:bottom w:w="0" w:type="dxa"/>
              <w:right w:w="15" w:type="dxa"/>
            </w:tcMar>
            <w:vAlign w:val="center"/>
          </w:tcPr>
          <w:p w14:paraId="608F8ABE"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Saúl Zang</w:t>
            </w:r>
          </w:p>
        </w:tc>
        <w:tc>
          <w:tcPr>
            <w:tcW w:w="851" w:type="dxa"/>
            <w:noWrap/>
            <w:tcMar>
              <w:top w:w="15" w:type="dxa"/>
              <w:left w:w="15" w:type="dxa"/>
              <w:bottom w:w="0" w:type="dxa"/>
              <w:right w:w="15" w:type="dxa"/>
            </w:tcMar>
            <w:vAlign w:val="center"/>
          </w:tcPr>
          <w:p w14:paraId="7DCA958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4.533.949</w:t>
            </w:r>
          </w:p>
        </w:tc>
        <w:tc>
          <w:tcPr>
            <w:tcW w:w="1134" w:type="dxa"/>
            <w:tcMar>
              <w:top w:w="15" w:type="dxa"/>
              <w:left w:w="15" w:type="dxa"/>
              <w:bottom w:w="0" w:type="dxa"/>
              <w:right w:w="15" w:type="dxa"/>
            </w:tcMar>
            <w:vAlign w:val="center"/>
          </w:tcPr>
          <w:p w14:paraId="5FD75B9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30/12/1945</w:t>
            </w:r>
          </w:p>
        </w:tc>
        <w:tc>
          <w:tcPr>
            <w:tcW w:w="1106" w:type="dxa"/>
            <w:tcMar>
              <w:top w:w="15" w:type="dxa"/>
              <w:left w:w="15" w:type="dxa"/>
              <w:bottom w:w="0" w:type="dxa"/>
              <w:right w:w="15" w:type="dxa"/>
            </w:tcMar>
            <w:vAlign w:val="center"/>
          </w:tcPr>
          <w:p w14:paraId="63E0CFD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20-04533949-2</w:t>
            </w:r>
          </w:p>
        </w:tc>
        <w:tc>
          <w:tcPr>
            <w:tcW w:w="1984" w:type="dxa"/>
            <w:noWrap/>
            <w:tcMar>
              <w:top w:w="15" w:type="dxa"/>
              <w:left w:w="15" w:type="dxa"/>
              <w:bottom w:w="0" w:type="dxa"/>
              <w:right w:w="15" w:type="dxa"/>
            </w:tcMar>
            <w:vAlign w:val="center"/>
          </w:tcPr>
          <w:p w14:paraId="4293841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Florida 537 piso 18°,</w:t>
            </w:r>
          </w:p>
          <w:p w14:paraId="303E42CA"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5F95053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72F5F3E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609AFED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352E9BB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5818F57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508D368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15/03/1999</w:t>
            </w:r>
          </w:p>
        </w:tc>
      </w:tr>
      <w:tr w:rsidR="000924EA" w:rsidRPr="00AE4E8D" w14:paraId="502FF4C6" w14:textId="77777777" w:rsidTr="000400C8">
        <w:trPr>
          <w:trHeight w:val="228"/>
        </w:trPr>
        <w:tc>
          <w:tcPr>
            <w:tcW w:w="1417" w:type="dxa"/>
            <w:noWrap/>
            <w:tcMar>
              <w:top w:w="15" w:type="dxa"/>
              <w:left w:w="15" w:type="dxa"/>
              <w:bottom w:w="0" w:type="dxa"/>
              <w:right w:w="15" w:type="dxa"/>
            </w:tcMar>
            <w:vAlign w:val="center"/>
          </w:tcPr>
          <w:p w14:paraId="355C2A5A"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Ernesto Manuel Viñes</w:t>
            </w:r>
          </w:p>
        </w:tc>
        <w:tc>
          <w:tcPr>
            <w:tcW w:w="851" w:type="dxa"/>
            <w:noWrap/>
            <w:tcMar>
              <w:top w:w="15" w:type="dxa"/>
              <w:left w:w="15" w:type="dxa"/>
              <w:bottom w:w="0" w:type="dxa"/>
              <w:right w:w="15" w:type="dxa"/>
            </w:tcMar>
            <w:vAlign w:val="center"/>
          </w:tcPr>
          <w:p w14:paraId="2BD1931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4.596.798</w:t>
            </w:r>
          </w:p>
        </w:tc>
        <w:tc>
          <w:tcPr>
            <w:tcW w:w="1134" w:type="dxa"/>
            <w:tcMar>
              <w:top w:w="15" w:type="dxa"/>
              <w:left w:w="15" w:type="dxa"/>
              <w:bottom w:w="0" w:type="dxa"/>
              <w:right w:w="15" w:type="dxa"/>
            </w:tcMar>
            <w:vAlign w:val="center"/>
          </w:tcPr>
          <w:p w14:paraId="2203BAE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05/02/1944</w:t>
            </w:r>
          </w:p>
        </w:tc>
        <w:tc>
          <w:tcPr>
            <w:tcW w:w="1106" w:type="dxa"/>
            <w:tcMar>
              <w:top w:w="15" w:type="dxa"/>
              <w:left w:w="15" w:type="dxa"/>
              <w:bottom w:w="0" w:type="dxa"/>
              <w:right w:w="15" w:type="dxa"/>
            </w:tcMar>
            <w:vAlign w:val="center"/>
          </w:tcPr>
          <w:p w14:paraId="0425436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20-04596798-1</w:t>
            </w:r>
          </w:p>
        </w:tc>
        <w:tc>
          <w:tcPr>
            <w:tcW w:w="1984" w:type="dxa"/>
            <w:noWrap/>
            <w:tcMar>
              <w:top w:w="15" w:type="dxa"/>
              <w:left w:w="15" w:type="dxa"/>
              <w:bottom w:w="0" w:type="dxa"/>
              <w:right w:w="15" w:type="dxa"/>
            </w:tcMar>
            <w:vAlign w:val="center"/>
          </w:tcPr>
          <w:p w14:paraId="24985F7A"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04938B9D"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2B5FB3A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17C725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6E3BA84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01B2C35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41FCD90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1C1E445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03/10/2002</w:t>
            </w:r>
          </w:p>
        </w:tc>
      </w:tr>
      <w:tr w:rsidR="000924EA" w:rsidRPr="00AE4E8D" w14:paraId="32C13A55" w14:textId="77777777" w:rsidTr="000400C8">
        <w:trPr>
          <w:trHeight w:val="228"/>
        </w:trPr>
        <w:tc>
          <w:tcPr>
            <w:tcW w:w="1417" w:type="dxa"/>
            <w:noWrap/>
            <w:tcMar>
              <w:top w:w="15" w:type="dxa"/>
              <w:left w:w="15" w:type="dxa"/>
              <w:bottom w:w="0" w:type="dxa"/>
              <w:right w:w="15" w:type="dxa"/>
            </w:tcMar>
            <w:vAlign w:val="center"/>
          </w:tcPr>
          <w:p w14:paraId="5ACE3ADA"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Gabriel Adolfo Gregorio Reznik</w:t>
            </w:r>
          </w:p>
        </w:tc>
        <w:tc>
          <w:tcPr>
            <w:tcW w:w="851" w:type="dxa"/>
            <w:noWrap/>
            <w:tcMar>
              <w:top w:w="15" w:type="dxa"/>
              <w:left w:w="15" w:type="dxa"/>
              <w:bottom w:w="0" w:type="dxa"/>
              <w:right w:w="15" w:type="dxa"/>
            </w:tcMar>
            <w:vAlign w:val="center"/>
          </w:tcPr>
          <w:p w14:paraId="34B49EC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12.945.351</w:t>
            </w:r>
          </w:p>
        </w:tc>
        <w:tc>
          <w:tcPr>
            <w:tcW w:w="1134" w:type="dxa"/>
            <w:tcMar>
              <w:top w:w="15" w:type="dxa"/>
              <w:left w:w="15" w:type="dxa"/>
              <w:bottom w:w="0" w:type="dxa"/>
              <w:right w:w="15" w:type="dxa"/>
            </w:tcMar>
            <w:vAlign w:val="center"/>
          </w:tcPr>
          <w:p w14:paraId="103B18A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18/11/1958</w:t>
            </w:r>
          </w:p>
        </w:tc>
        <w:tc>
          <w:tcPr>
            <w:tcW w:w="1106" w:type="dxa"/>
            <w:tcMar>
              <w:top w:w="15" w:type="dxa"/>
              <w:left w:w="15" w:type="dxa"/>
              <w:bottom w:w="0" w:type="dxa"/>
              <w:right w:w="15" w:type="dxa"/>
            </w:tcMar>
            <w:vAlign w:val="center"/>
          </w:tcPr>
          <w:p w14:paraId="462C62A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20-12945351-7</w:t>
            </w:r>
          </w:p>
        </w:tc>
        <w:tc>
          <w:tcPr>
            <w:tcW w:w="1984" w:type="dxa"/>
            <w:noWrap/>
            <w:tcMar>
              <w:top w:w="15" w:type="dxa"/>
              <w:left w:w="15" w:type="dxa"/>
              <w:bottom w:w="0" w:type="dxa"/>
              <w:right w:w="15" w:type="dxa"/>
            </w:tcMar>
            <w:vAlign w:val="center"/>
          </w:tcPr>
          <w:p w14:paraId="2FD27BAA"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38DEE30E"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59B94FB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3533680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102AEB3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598ECE4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568BB10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4813982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15/08/2002</w:t>
            </w:r>
          </w:p>
        </w:tc>
      </w:tr>
      <w:tr w:rsidR="000924EA" w:rsidRPr="00AE4E8D" w14:paraId="6ED78449" w14:textId="77777777" w:rsidTr="000400C8">
        <w:trPr>
          <w:trHeight w:val="228"/>
        </w:trPr>
        <w:tc>
          <w:tcPr>
            <w:tcW w:w="1417" w:type="dxa"/>
            <w:noWrap/>
            <w:tcMar>
              <w:top w:w="15" w:type="dxa"/>
              <w:left w:w="15" w:type="dxa"/>
              <w:bottom w:w="0" w:type="dxa"/>
              <w:right w:w="15" w:type="dxa"/>
            </w:tcMar>
            <w:vAlign w:val="center"/>
          </w:tcPr>
          <w:p w14:paraId="39E795C3"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Jacobo Julio Dreizzen</w:t>
            </w:r>
          </w:p>
        </w:tc>
        <w:tc>
          <w:tcPr>
            <w:tcW w:w="851" w:type="dxa"/>
            <w:noWrap/>
            <w:tcMar>
              <w:top w:w="15" w:type="dxa"/>
              <w:left w:w="15" w:type="dxa"/>
              <w:bottom w:w="0" w:type="dxa"/>
              <w:right w:w="15" w:type="dxa"/>
            </w:tcMar>
            <w:vAlign w:val="center"/>
          </w:tcPr>
          <w:p w14:paraId="04692D3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11.955.534</w:t>
            </w:r>
          </w:p>
        </w:tc>
        <w:tc>
          <w:tcPr>
            <w:tcW w:w="1134" w:type="dxa"/>
            <w:tcMar>
              <w:top w:w="15" w:type="dxa"/>
              <w:left w:w="15" w:type="dxa"/>
              <w:bottom w:w="0" w:type="dxa"/>
              <w:right w:w="15" w:type="dxa"/>
            </w:tcMar>
            <w:vAlign w:val="center"/>
          </w:tcPr>
          <w:p w14:paraId="51F9370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13/10/1955</w:t>
            </w:r>
          </w:p>
        </w:tc>
        <w:tc>
          <w:tcPr>
            <w:tcW w:w="1106" w:type="dxa"/>
            <w:tcMar>
              <w:top w:w="15" w:type="dxa"/>
              <w:left w:w="15" w:type="dxa"/>
              <w:bottom w:w="0" w:type="dxa"/>
              <w:right w:w="15" w:type="dxa"/>
            </w:tcMar>
            <w:vAlign w:val="center"/>
          </w:tcPr>
          <w:p w14:paraId="60C003E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20-11955534-6</w:t>
            </w:r>
          </w:p>
        </w:tc>
        <w:tc>
          <w:tcPr>
            <w:tcW w:w="1984" w:type="dxa"/>
            <w:noWrap/>
            <w:tcMar>
              <w:top w:w="15" w:type="dxa"/>
              <w:left w:w="15" w:type="dxa"/>
              <w:bottom w:w="0" w:type="dxa"/>
              <w:right w:w="15" w:type="dxa"/>
            </w:tcMar>
            <w:vAlign w:val="center"/>
          </w:tcPr>
          <w:p w14:paraId="41623C9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70BA2804"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309E1B2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3C83E6F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2B40054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5217E23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794F2FC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6DE7C0A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07/07/2004</w:t>
            </w:r>
          </w:p>
        </w:tc>
      </w:tr>
      <w:tr w:rsidR="000924EA" w:rsidRPr="00AE4E8D" w14:paraId="504D2343" w14:textId="77777777" w:rsidTr="000400C8">
        <w:trPr>
          <w:trHeight w:val="228"/>
        </w:trPr>
        <w:tc>
          <w:tcPr>
            <w:tcW w:w="1417" w:type="dxa"/>
            <w:noWrap/>
            <w:tcMar>
              <w:top w:w="15" w:type="dxa"/>
              <w:left w:w="15" w:type="dxa"/>
              <w:bottom w:w="0" w:type="dxa"/>
              <w:right w:w="15" w:type="dxa"/>
            </w:tcMar>
            <w:vAlign w:val="center"/>
          </w:tcPr>
          <w:p w14:paraId="5CFAE3D2"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Pablo Daniel Vergara del Carril</w:t>
            </w:r>
          </w:p>
        </w:tc>
        <w:tc>
          <w:tcPr>
            <w:tcW w:w="851" w:type="dxa"/>
            <w:noWrap/>
            <w:tcMar>
              <w:top w:w="15" w:type="dxa"/>
              <w:left w:w="15" w:type="dxa"/>
              <w:bottom w:w="0" w:type="dxa"/>
              <w:right w:w="15" w:type="dxa"/>
            </w:tcMar>
            <w:vAlign w:val="center"/>
          </w:tcPr>
          <w:p w14:paraId="2002E08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17.839.402</w:t>
            </w:r>
          </w:p>
        </w:tc>
        <w:tc>
          <w:tcPr>
            <w:tcW w:w="1134" w:type="dxa"/>
            <w:tcMar>
              <w:top w:w="15" w:type="dxa"/>
              <w:left w:w="15" w:type="dxa"/>
              <w:bottom w:w="0" w:type="dxa"/>
              <w:right w:w="15" w:type="dxa"/>
            </w:tcMar>
            <w:vAlign w:val="center"/>
          </w:tcPr>
          <w:p w14:paraId="296BA05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03/10/1965</w:t>
            </w:r>
          </w:p>
        </w:tc>
        <w:tc>
          <w:tcPr>
            <w:tcW w:w="1106" w:type="dxa"/>
            <w:tcMar>
              <w:top w:w="15" w:type="dxa"/>
              <w:left w:w="15" w:type="dxa"/>
              <w:bottom w:w="0" w:type="dxa"/>
              <w:right w:w="15" w:type="dxa"/>
            </w:tcMar>
            <w:vAlign w:val="center"/>
          </w:tcPr>
          <w:p w14:paraId="20F1E2A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23-17839402-9</w:t>
            </w:r>
          </w:p>
        </w:tc>
        <w:tc>
          <w:tcPr>
            <w:tcW w:w="1984" w:type="dxa"/>
            <w:noWrap/>
            <w:tcMar>
              <w:top w:w="15" w:type="dxa"/>
              <w:left w:w="15" w:type="dxa"/>
              <w:bottom w:w="0" w:type="dxa"/>
              <w:right w:w="15" w:type="dxa"/>
            </w:tcMar>
            <w:vAlign w:val="center"/>
          </w:tcPr>
          <w:p w14:paraId="7A91B081"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Florida 537 piso 18°,</w:t>
            </w:r>
          </w:p>
          <w:p w14:paraId="422D44C4"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5DB3EF7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5AF58C8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191D060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097C7B4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07932D7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3444D93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17/09/2002</w:t>
            </w:r>
          </w:p>
        </w:tc>
      </w:tr>
      <w:tr w:rsidR="000924EA" w:rsidRPr="00AE4E8D" w14:paraId="42A7A0E7" w14:textId="77777777" w:rsidTr="000400C8">
        <w:trPr>
          <w:trHeight w:val="228"/>
        </w:trPr>
        <w:tc>
          <w:tcPr>
            <w:tcW w:w="1417" w:type="dxa"/>
            <w:noWrap/>
            <w:tcMar>
              <w:top w:w="15" w:type="dxa"/>
              <w:left w:w="15" w:type="dxa"/>
              <w:bottom w:w="0" w:type="dxa"/>
              <w:right w:w="15" w:type="dxa"/>
            </w:tcMar>
            <w:vAlign w:val="center"/>
          </w:tcPr>
          <w:p w14:paraId="3A4EA1D9"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Carlos Bernardo Pisula</w:t>
            </w:r>
          </w:p>
        </w:tc>
        <w:tc>
          <w:tcPr>
            <w:tcW w:w="851" w:type="dxa"/>
            <w:noWrap/>
            <w:tcMar>
              <w:top w:w="15" w:type="dxa"/>
              <w:left w:w="15" w:type="dxa"/>
              <w:bottom w:w="0" w:type="dxa"/>
              <w:right w:w="15" w:type="dxa"/>
            </w:tcMar>
            <w:vAlign w:val="center"/>
          </w:tcPr>
          <w:p w14:paraId="75A3D9D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4.699.992</w:t>
            </w:r>
          </w:p>
        </w:tc>
        <w:tc>
          <w:tcPr>
            <w:tcW w:w="1134" w:type="dxa"/>
            <w:tcMar>
              <w:top w:w="15" w:type="dxa"/>
              <w:left w:w="15" w:type="dxa"/>
              <w:bottom w:w="0" w:type="dxa"/>
              <w:right w:w="15" w:type="dxa"/>
            </w:tcMar>
            <w:vAlign w:val="center"/>
          </w:tcPr>
          <w:p w14:paraId="29EA2A4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16/12/1948</w:t>
            </w:r>
          </w:p>
        </w:tc>
        <w:tc>
          <w:tcPr>
            <w:tcW w:w="1106" w:type="dxa"/>
            <w:tcMar>
              <w:top w:w="15" w:type="dxa"/>
              <w:left w:w="15" w:type="dxa"/>
              <w:bottom w:w="0" w:type="dxa"/>
              <w:right w:w="15" w:type="dxa"/>
            </w:tcMar>
            <w:vAlign w:val="center"/>
          </w:tcPr>
          <w:p w14:paraId="176415B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20-04699992-5</w:t>
            </w:r>
          </w:p>
        </w:tc>
        <w:tc>
          <w:tcPr>
            <w:tcW w:w="1984" w:type="dxa"/>
            <w:noWrap/>
            <w:tcMar>
              <w:top w:w="15" w:type="dxa"/>
              <w:left w:w="15" w:type="dxa"/>
              <w:bottom w:w="0" w:type="dxa"/>
              <w:right w:w="15" w:type="dxa"/>
            </w:tcMar>
            <w:vAlign w:val="center"/>
          </w:tcPr>
          <w:p w14:paraId="75A120D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41757D0C"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534AFDF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7EFDC6F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68C6001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0EFD510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271A9D5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4312C8A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02/05/2003</w:t>
            </w:r>
          </w:p>
        </w:tc>
      </w:tr>
      <w:tr w:rsidR="000924EA" w:rsidRPr="00AE4E8D" w14:paraId="5EAB3E8D" w14:textId="77777777" w:rsidTr="000400C8">
        <w:trPr>
          <w:trHeight w:val="228"/>
        </w:trPr>
        <w:tc>
          <w:tcPr>
            <w:tcW w:w="1417" w:type="dxa"/>
            <w:noWrap/>
            <w:tcMar>
              <w:top w:w="15" w:type="dxa"/>
              <w:left w:w="15" w:type="dxa"/>
              <w:bottom w:w="0" w:type="dxa"/>
              <w:right w:w="15" w:type="dxa"/>
            </w:tcMar>
            <w:vAlign w:val="center"/>
          </w:tcPr>
          <w:p w14:paraId="33D4A4A5"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Claudio Aníbal Ersinger</w:t>
            </w:r>
          </w:p>
        </w:tc>
        <w:tc>
          <w:tcPr>
            <w:tcW w:w="851" w:type="dxa"/>
            <w:noWrap/>
            <w:tcMar>
              <w:top w:w="15" w:type="dxa"/>
              <w:left w:w="15" w:type="dxa"/>
              <w:bottom w:w="0" w:type="dxa"/>
              <w:right w:w="15" w:type="dxa"/>
            </w:tcMar>
            <w:vAlign w:val="center"/>
          </w:tcPr>
          <w:p w14:paraId="7FBD28E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16.226.593</w:t>
            </w:r>
          </w:p>
        </w:tc>
        <w:tc>
          <w:tcPr>
            <w:tcW w:w="1134" w:type="dxa"/>
            <w:tcMar>
              <w:top w:w="15" w:type="dxa"/>
              <w:left w:w="15" w:type="dxa"/>
              <w:bottom w:w="0" w:type="dxa"/>
              <w:right w:w="15" w:type="dxa"/>
            </w:tcMar>
            <w:vAlign w:val="center"/>
          </w:tcPr>
          <w:p w14:paraId="16D7136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15/01/1963</w:t>
            </w:r>
          </w:p>
        </w:tc>
        <w:tc>
          <w:tcPr>
            <w:tcW w:w="1106" w:type="dxa"/>
            <w:tcMar>
              <w:top w:w="15" w:type="dxa"/>
              <w:left w:w="15" w:type="dxa"/>
              <w:bottom w:w="0" w:type="dxa"/>
              <w:right w:w="15" w:type="dxa"/>
            </w:tcMar>
            <w:vAlign w:val="center"/>
          </w:tcPr>
          <w:p w14:paraId="540FA55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20-16226593-9</w:t>
            </w:r>
          </w:p>
        </w:tc>
        <w:tc>
          <w:tcPr>
            <w:tcW w:w="1984" w:type="dxa"/>
            <w:noWrap/>
            <w:tcMar>
              <w:top w:w="15" w:type="dxa"/>
              <w:left w:w="15" w:type="dxa"/>
              <w:bottom w:w="0" w:type="dxa"/>
              <w:right w:w="15" w:type="dxa"/>
            </w:tcMar>
            <w:vAlign w:val="center"/>
          </w:tcPr>
          <w:p w14:paraId="7746D56A"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73764967"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1BEAE50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D61646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3C55D75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w:t>
            </w:r>
          </w:p>
        </w:tc>
        <w:tc>
          <w:tcPr>
            <w:tcW w:w="1045" w:type="dxa"/>
            <w:noWrap/>
            <w:tcMar>
              <w:top w:w="15" w:type="dxa"/>
              <w:left w:w="15" w:type="dxa"/>
              <w:bottom w:w="0" w:type="dxa"/>
              <w:right w:w="15" w:type="dxa"/>
            </w:tcMar>
            <w:vAlign w:val="center"/>
          </w:tcPr>
          <w:p w14:paraId="44327A6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5F8F50F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1821AB0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w:t>
            </w:r>
          </w:p>
        </w:tc>
      </w:tr>
      <w:tr w:rsidR="000924EA" w:rsidRPr="00AE4E8D" w14:paraId="22AF18D3" w14:textId="77777777" w:rsidTr="000400C8">
        <w:trPr>
          <w:trHeight w:val="228"/>
        </w:trPr>
        <w:tc>
          <w:tcPr>
            <w:tcW w:w="1417" w:type="dxa"/>
            <w:noWrap/>
            <w:tcMar>
              <w:top w:w="15" w:type="dxa"/>
              <w:left w:w="15" w:type="dxa"/>
              <w:bottom w:w="0" w:type="dxa"/>
              <w:right w:w="15" w:type="dxa"/>
            </w:tcMar>
            <w:vAlign w:val="center"/>
          </w:tcPr>
          <w:p w14:paraId="6A8B8F98"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Francisco José Fares</w:t>
            </w:r>
          </w:p>
        </w:tc>
        <w:tc>
          <w:tcPr>
            <w:tcW w:w="851" w:type="dxa"/>
            <w:noWrap/>
            <w:tcMar>
              <w:top w:w="15" w:type="dxa"/>
              <w:left w:w="15" w:type="dxa"/>
              <w:bottom w:w="0" w:type="dxa"/>
              <w:right w:w="15" w:type="dxa"/>
            </w:tcMar>
            <w:vAlign w:val="center"/>
          </w:tcPr>
          <w:p w14:paraId="0710BB6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16.624.085</w:t>
            </w:r>
          </w:p>
        </w:tc>
        <w:tc>
          <w:tcPr>
            <w:tcW w:w="1134" w:type="dxa"/>
            <w:tcMar>
              <w:top w:w="15" w:type="dxa"/>
              <w:left w:w="15" w:type="dxa"/>
              <w:bottom w:w="0" w:type="dxa"/>
              <w:right w:w="15" w:type="dxa"/>
            </w:tcMar>
            <w:vAlign w:val="center"/>
          </w:tcPr>
          <w:p w14:paraId="27F1F13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21/02/1964</w:t>
            </w:r>
          </w:p>
        </w:tc>
        <w:tc>
          <w:tcPr>
            <w:tcW w:w="1106" w:type="dxa"/>
            <w:tcMar>
              <w:top w:w="15" w:type="dxa"/>
              <w:left w:w="15" w:type="dxa"/>
              <w:bottom w:w="0" w:type="dxa"/>
              <w:right w:w="15" w:type="dxa"/>
            </w:tcMar>
            <w:vAlign w:val="center"/>
          </w:tcPr>
          <w:p w14:paraId="07C0084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23-16624085-9</w:t>
            </w:r>
          </w:p>
        </w:tc>
        <w:tc>
          <w:tcPr>
            <w:tcW w:w="1984" w:type="dxa"/>
            <w:noWrap/>
            <w:tcMar>
              <w:top w:w="15" w:type="dxa"/>
              <w:left w:w="15" w:type="dxa"/>
              <w:bottom w:w="0" w:type="dxa"/>
              <w:right w:w="15" w:type="dxa"/>
            </w:tcMar>
            <w:vAlign w:val="center"/>
          </w:tcPr>
          <w:p w14:paraId="6D095258"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19A8E4AB"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7F5940C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E16BEC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69A2946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w:t>
            </w:r>
          </w:p>
        </w:tc>
        <w:tc>
          <w:tcPr>
            <w:tcW w:w="1045" w:type="dxa"/>
            <w:noWrap/>
            <w:tcMar>
              <w:top w:w="15" w:type="dxa"/>
              <w:left w:w="15" w:type="dxa"/>
              <w:bottom w:w="0" w:type="dxa"/>
              <w:right w:w="15" w:type="dxa"/>
            </w:tcMar>
            <w:vAlign w:val="center"/>
          </w:tcPr>
          <w:p w14:paraId="1D248D7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1E53B16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0BC86A9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w:t>
            </w:r>
          </w:p>
        </w:tc>
      </w:tr>
      <w:tr w:rsidR="000924EA" w:rsidRPr="00AE4E8D" w14:paraId="7AB5DB2D" w14:textId="77777777" w:rsidTr="000400C8">
        <w:trPr>
          <w:trHeight w:val="228"/>
        </w:trPr>
        <w:tc>
          <w:tcPr>
            <w:tcW w:w="1417" w:type="dxa"/>
            <w:noWrap/>
            <w:tcMar>
              <w:top w:w="15" w:type="dxa"/>
              <w:left w:w="15" w:type="dxa"/>
              <w:bottom w:w="0" w:type="dxa"/>
              <w:right w:w="15" w:type="dxa"/>
            </w:tcMar>
            <w:vAlign w:val="center"/>
          </w:tcPr>
          <w:p w14:paraId="32581FEF"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Gabriel Quintela</w:t>
            </w:r>
          </w:p>
        </w:tc>
        <w:tc>
          <w:tcPr>
            <w:tcW w:w="851" w:type="dxa"/>
            <w:noWrap/>
            <w:tcMar>
              <w:top w:w="15" w:type="dxa"/>
              <w:left w:w="15" w:type="dxa"/>
              <w:bottom w:w="0" w:type="dxa"/>
              <w:right w:w="15" w:type="dxa"/>
            </w:tcMar>
            <w:vAlign w:val="center"/>
          </w:tcPr>
          <w:p w14:paraId="79CDE00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17.635.978</w:t>
            </w:r>
          </w:p>
        </w:tc>
        <w:tc>
          <w:tcPr>
            <w:tcW w:w="1134" w:type="dxa"/>
            <w:tcMar>
              <w:top w:w="15" w:type="dxa"/>
              <w:left w:w="15" w:type="dxa"/>
              <w:bottom w:w="0" w:type="dxa"/>
              <w:right w:w="15" w:type="dxa"/>
            </w:tcMar>
            <w:vAlign w:val="center"/>
          </w:tcPr>
          <w:p w14:paraId="6A183BF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24/01/1966</w:t>
            </w:r>
          </w:p>
        </w:tc>
        <w:tc>
          <w:tcPr>
            <w:tcW w:w="1106" w:type="dxa"/>
            <w:tcMar>
              <w:top w:w="15" w:type="dxa"/>
              <w:left w:w="15" w:type="dxa"/>
              <w:bottom w:w="0" w:type="dxa"/>
              <w:right w:w="15" w:type="dxa"/>
            </w:tcMar>
            <w:vAlign w:val="center"/>
          </w:tcPr>
          <w:p w14:paraId="3EC1614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20-17635978-2</w:t>
            </w:r>
          </w:p>
        </w:tc>
        <w:tc>
          <w:tcPr>
            <w:tcW w:w="1984" w:type="dxa"/>
            <w:noWrap/>
            <w:tcMar>
              <w:top w:w="15" w:type="dxa"/>
              <w:left w:w="15" w:type="dxa"/>
              <w:bottom w:w="0" w:type="dxa"/>
              <w:right w:w="15" w:type="dxa"/>
            </w:tcMar>
            <w:vAlign w:val="center"/>
          </w:tcPr>
          <w:p w14:paraId="1BBCAB0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2FF99F5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1662426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529AC1B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1607325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B</w:t>
            </w:r>
          </w:p>
        </w:tc>
        <w:tc>
          <w:tcPr>
            <w:tcW w:w="1045" w:type="dxa"/>
            <w:noWrap/>
            <w:tcMar>
              <w:top w:w="15" w:type="dxa"/>
              <w:left w:w="15" w:type="dxa"/>
              <w:bottom w:w="0" w:type="dxa"/>
              <w:right w:w="15" w:type="dxa"/>
            </w:tcMar>
            <w:vAlign w:val="center"/>
          </w:tcPr>
          <w:p w14:paraId="2D234D2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 –</w:t>
            </w:r>
          </w:p>
          <w:p w14:paraId="3E52F22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0F20DC7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w:t>
            </w:r>
          </w:p>
        </w:tc>
      </w:tr>
      <w:tr w:rsidR="000924EA" w:rsidRPr="00AE4E8D" w14:paraId="7F7F46A4" w14:textId="77777777" w:rsidTr="000400C8">
        <w:trPr>
          <w:trHeight w:val="228"/>
        </w:trPr>
        <w:tc>
          <w:tcPr>
            <w:tcW w:w="1417" w:type="dxa"/>
            <w:noWrap/>
            <w:tcMar>
              <w:top w:w="15" w:type="dxa"/>
              <w:left w:w="15" w:type="dxa"/>
              <w:bottom w:w="0" w:type="dxa"/>
              <w:right w:w="15" w:type="dxa"/>
            </w:tcMar>
            <w:vAlign w:val="center"/>
          </w:tcPr>
          <w:p w14:paraId="2DA63E6A"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Sandra Alonso</w:t>
            </w:r>
          </w:p>
        </w:tc>
        <w:tc>
          <w:tcPr>
            <w:tcW w:w="851" w:type="dxa"/>
            <w:noWrap/>
            <w:tcMar>
              <w:top w:w="15" w:type="dxa"/>
              <w:left w:w="15" w:type="dxa"/>
              <w:bottom w:w="0" w:type="dxa"/>
              <w:right w:w="15" w:type="dxa"/>
            </w:tcMar>
            <w:vAlign w:val="center"/>
          </w:tcPr>
          <w:p w14:paraId="5DB54617"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17.956.575</w:t>
            </w:r>
          </w:p>
        </w:tc>
        <w:tc>
          <w:tcPr>
            <w:tcW w:w="1134" w:type="dxa"/>
            <w:tcMar>
              <w:top w:w="15" w:type="dxa"/>
              <w:left w:w="15" w:type="dxa"/>
              <w:bottom w:w="0" w:type="dxa"/>
              <w:right w:w="15" w:type="dxa"/>
            </w:tcMar>
            <w:vAlign w:val="center"/>
          </w:tcPr>
          <w:p w14:paraId="0E4EDB8A"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22/03/1967</w:t>
            </w:r>
          </w:p>
        </w:tc>
        <w:tc>
          <w:tcPr>
            <w:tcW w:w="1106" w:type="dxa"/>
            <w:tcMar>
              <w:top w:w="15" w:type="dxa"/>
              <w:left w:w="15" w:type="dxa"/>
              <w:bottom w:w="0" w:type="dxa"/>
              <w:right w:w="15" w:type="dxa"/>
            </w:tcMar>
            <w:vAlign w:val="center"/>
          </w:tcPr>
          <w:p w14:paraId="0249084A"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27-17956575-2</w:t>
            </w:r>
          </w:p>
        </w:tc>
        <w:tc>
          <w:tcPr>
            <w:tcW w:w="1984" w:type="dxa"/>
            <w:noWrap/>
            <w:tcMar>
              <w:top w:w="15" w:type="dxa"/>
              <w:left w:w="15" w:type="dxa"/>
              <w:bottom w:w="0" w:type="dxa"/>
              <w:right w:w="15" w:type="dxa"/>
            </w:tcMar>
            <w:vAlign w:val="center"/>
          </w:tcPr>
          <w:p w14:paraId="46CFB97A"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2A0B58D0" w14:textId="77777777" w:rsidR="000924EA" w:rsidRPr="00AE4E8D" w:rsidDel="00F748A1"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105AE5B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0A2BD2F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4E48D84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w:t>
            </w:r>
          </w:p>
        </w:tc>
        <w:tc>
          <w:tcPr>
            <w:tcW w:w="1045" w:type="dxa"/>
            <w:noWrap/>
            <w:tcMar>
              <w:top w:w="15" w:type="dxa"/>
              <w:left w:w="15" w:type="dxa"/>
              <w:bottom w:w="0" w:type="dxa"/>
              <w:right w:w="15" w:type="dxa"/>
            </w:tcMar>
            <w:vAlign w:val="center"/>
          </w:tcPr>
          <w:p w14:paraId="5B9EA68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 –</w:t>
            </w:r>
          </w:p>
          <w:p w14:paraId="7067C82F"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58779AEC"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w:t>
            </w:r>
          </w:p>
        </w:tc>
      </w:tr>
      <w:tr w:rsidR="000924EA" w:rsidRPr="00AE4E8D" w14:paraId="1138D159" w14:textId="77777777" w:rsidTr="000400C8">
        <w:trPr>
          <w:trHeight w:val="228"/>
        </w:trPr>
        <w:tc>
          <w:tcPr>
            <w:tcW w:w="1417" w:type="dxa"/>
            <w:noWrap/>
            <w:tcMar>
              <w:top w:w="15" w:type="dxa"/>
              <w:left w:w="15" w:type="dxa"/>
              <w:bottom w:w="0" w:type="dxa"/>
              <w:right w:w="15" w:type="dxa"/>
            </w:tcMar>
            <w:vAlign w:val="center"/>
          </w:tcPr>
          <w:p w14:paraId="50C60BE5"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Gustavo Daniel Efkhanian</w:t>
            </w:r>
          </w:p>
        </w:tc>
        <w:tc>
          <w:tcPr>
            <w:tcW w:w="851" w:type="dxa"/>
            <w:noWrap/>
            <w:tcMar>
              <w:top w:w="15" w:type="dxa"/>
              <w:left w:w="15" w:type="dxa"/>
              <w:bottom w:w="0" w:type="dxa"/>
              <w:right w:w="15" w:type="dxa"/>
            </w:tcMar>
            <w:vAlign w:val="center"/>
          </w:tcPr>
          <w:p w14:paraId="58C3360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17.012.120</w:t>
            </w:r>
          </w:p>
        </w:tc>
        <w:tc>
          <w:tcPr>
            <w:tcW w:w="1134" w:type="dxa"/>
            <w:tcMar>
              <w:top w:w="15" w:type="dxa"/>
              <w:left w:w="15" w:type="dxa"/>
              <w:bottom w:w="0" w:type="dxa"/>
              <w:right w:w="15" w:type="dxa"/>
            </w:tcMar>
            <w:vAlign w:val="center"/>
          </w:tcPr>
          <w:p w14:paraId="53FC31E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28/10/1964</w:t>
            </w:r>
          </w:p>
        </w:tc>
        <w:tc>
          <w:tcPr>
            <w:tcW w:w="1106" w:type="dxa"/>
            <w:tcMar>
              <w:top w:w="15" w:type="dxa"/>
              <w:left w:w="15" w:type="dxa"/>
              <w:bottom w:w="0" w:type="dxa"/>
              <w:right w:w="15" w:type="dxa"/>
            </w:tcMar>
            <w:vAlign w:val="center"/>
          </w:tcPr>
          <w:p w14:paraId="0D12A3A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20-17012120-2</w:t>
            </w:r>
          </w:p>
        </w:tc>
        <w:tc>
          <w:tcPr>
            <w:tcW w:w="1984" w:type="dxa"/>
            <w:noWrap/>
            <w:tcMar>
              <w:top w:w="15" w:type="dxa"/>
              <w:left w:w="15" w:type="dxa"/>
              <w:bottom w:w="0" w:type="dxa"/>
              <w:right w:w="15" w:type="dxa"/>
            </w:tcMar>
            <w:vAlign w:val="center"/>
          </w:tcPr>
          <w:p w14:paraId="1F1D6E34"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4719724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36418F7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0C28BBB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11B72BC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3B16931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6C1666A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326CC11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03/02/2000</w:t>
            </w:r>
          </w:p>
        </w:tc>
      </w:tr>
      <w:tr w:rsidR="000924EA" w:rsidRPr="00AE4E8D" w14:paraId="4F7F7C66" w14:textId="77777777" w:rsidTr="000400C8">
        <w:trPr>
          <w:trHeight w:val="228"/>
        </w:trPr>
        <w:tc>
          <w:tcPr>
            <w:tcW w:w="1417" w:type="dxa"/>
            <w:noWrap/>
            <w:tcMar>
              <w:top w:w="15" w:type="dxa"/>
              <w:left w:w="15" w:type="dxa"/>
              <w:bottom w:w="0" w:type="dxa"/>
              <w:right w:w="15" w:type="dxa"/>
            </w:tcMar>
            <w:vAlign w:val="center"/>
          </w:tcPr>
          <w:p w14:paraId="4BC40113"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Daniel Ricardo Elsztain</w:t>
            </w:r>
          </w:p>
        </w:tc>
        <w:tc>
          <w:tcPr>
            <w:tcW w:w="851" w:type="dxa"/>
            <w:noWrap/>
            <w:tcMar>
              <w:top w:w="15" w:type="dxa"/>
              <w:left w:w="15" w:type="dxa"/>
              <w:bottom w:w="0" w:type="dxa"/>
              <w:right w:w="15" w:type="dxa"/>
            </w:tcMar>
            <w:vAlign w:val="center"/>
          </w:tcPr>
          <w:p w14:paraId="396A032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23.086.679</w:t>
            </w:r>
          </w:p>
        </w:tc>
        <w:tc>
          <w:tcPr>
            <w:tcW w:w="1134" w:type="dxa"/>
            <w:tcMar>
              <w:top w:w="15" w:type="dxa"/>
              <w:left w:w="15" w:type="dxa"/>
              <w:bottom w:w="0" w:type="dxa"/>
              <w:right w:w="15" w:type="dxa"/>
            </w:tcMar>
            <w:vAlign w:val="center"/>
          </w:tcPr>
          <w:p w14:paraId="3307D36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22/12/1972</w:t>
            </w:r>
          </w:p>
        </w:tc>
        <w:tc>
          <w:tcPr>
            <w:tcW w:w="1106" w:type="dxa"/>
            <w:tcMar>
              <w:top w:w="15" w:type="dxa"/>
              <w:left w:w="15" w:type="dxa"/>
              <w:bottom w:w="0" w:type="dxa"/>
              <w:right w:w="15" w:type="dxa"/>
            </w:tcMar>
            <w:vAlign w:val="center"/>
          </w:tcPr>
          <w:p w14:paraId="4E46B16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20-23086679-2</w:t>
            </w:r>
          </w:p>
        </w:tc>
        <w:tc>
          <w:tcPr>
            <w:tcW w:w="1984" w:type="dxa"/>
            <w:noWrap/>
            <w:tcMar>
              <w:top w:w="15" w:type="dxa"/>
              <w:left w:w="15" w:type="dxa"/>
              <w:bottom w:w="0" w:type="dxa"/>
              <w:right w:w="15" w:type="dxa"/>
            </w:tcMar>
            <w:vAlign w:val="center"/>
          </w:tcPr>
          <w:p w14:paraId="0911584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Moreno 877 piso 22°,</w:t>
            </w:r>
          </w:p>
          <w:p w14:paraId="797344D2"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5624279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4410D80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553B5EA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61AB00A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784544F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14745F7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06/03/2008</w:t>
            </w:r>
          </w:p>
        </w:tc>
      </w:tr>
      <w:tr w:rsidR="000924EA" w:rsidRPr="00AE4E8D" w14:paraId="11FC8E53" w14:textId="77777777" w:rsidTr="000400C8">
        <w:trPr>
          <w:trHeight w:val="228"/>
        </w:trPr>
        <w:tc>
          <w:tcPr>
            <w:tcW w:w="1417" w:type="dxa"/>
            <w:noWrap/>
            <w:tcMar>
              <w:top w:w="15" w:type="dxa"/>
              <w:left w:w="15" w:type="dxa"/>
              <w:bottom w:w="0" w:type="dxa"/>
              <w:right w:w="15" w:type="dxa"/>
            </w:tcMar>
            <w:vAlign w:val="center"/>
          </w:tcPr>
          <w:p w14:paraId="68D42DEB"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Andrés Fabián Ocampo</w:t>
            </w:r>
          </w:p>
        </w:tc>
        <w:tc>
          <w:tcPr>
            <w:tcW w:w="851" w:type="dxa"/>
            <w:noWrap/>
            <w:tcMar>
              <w:top w:w="15" w:type="dxa"/>
              <w:left w:w="15" w:type="dxa"/>
              <w:bottom w:w="0" w:type="dxa"/>
              <w:right w:w="15" w:type="dxa"/>
            </w:tcMar>
            <w:vAlign w:val="center"/>
          </w:tcPr>
          <w:p w14:paraId="2EF27A8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12.454.604</w:t>
            </w:r>
          </w:p>
        </w:tc>
        <w:tc>
          <w:tcPr>
            <w:tcW w:w="1134" w:type="dxa"/>
            <w:tcMar>
              <w:top w:w="15" w:type="dxa"/>
              <w:left w:w="15" w:type="dxa"/>
              <w:bottom w:w="0" w:type="dxa"/>
              <w:right w:w="15" w:type="dxa"/>
            </w:tcMar>
            <w:vAlign w:val="center"/>
          </w:tcPr>
          <w:p w14:paraId="27540F1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09/11/1956</w:t>
            </w:r>
          </w:p>
        </w:tc>
        <w:tc>
          <w:tcPr>
            <w:tcW w:w="1106" w:type="dxa"/>
            <w:tcMar>
              <w:top w:w="15" w:type="dxa"/>
              <w:left w:w="15" w:type="dxa"/>
              <w:bottom w:w="0" w:type="dxa"/>
              <w:right w:w="15" w:type="dxa"/>
            </w:tcMar>
            <w:vAlign w:val="center"/>
          </w:tcPr>
          <w:p w14:paraId="5ED3FB6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20-124546045-5</w:t>
            </w:r>
          </w:p>
        </w:tc>
        <w:tc>
          <w:tcPr>
            <w:tcW w:w="1984" w:type="dxa"/>
            <w:noWrap/>
            <w:tcMar>
              <w:top w:w="15" w:type="dxa"/>
              <w:left w:w="15" w:type="dxa"/>
              <w:bottom w:w="0" w:type="dxa"/>
              <w:right w:w="15" w:type="dxa"/>
            </w:tcMar>
            <w:vAlign w:val="center"/>
          </w:tcPr>
          <w:p w14:paraId="0561CADD"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13B0253A"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6790EA9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3D84E93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2EF2CF1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33FED05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518A60A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44ABE85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06/03/2008</w:t>
            </w:r>
          </w:p>
        </w:tc>
      </w:tr>
      <w:tr w:rsidR="000924EA" w:rsidRPr="00AE4E8D" w14:paraId="7ACBA348" w14:textId="77777777" w:rsidTr="000400C8">
        <w:trPr>
          <w:trHeight w:val="228"/>
        </w:trPr>
        <w:tc>
          <w:tcPr>
            <w:tcW w:w="1417" w:type="dxa"/>
            <w:noWrap/>
            <w:tcMar>
              <w:top w:w="15" w:type="dxa"/>
              <w:left w:w="15" w:type="dxa"/>
              <w:bottom w:w="0" w:type="dxa"/>
              <w:right w:w="15" w:type="dxa"/>
            </w:tcMar>
            <w:vAlign w:val="center"/>
          </w:tcPr>
          <w:p w14:paraId="20ECB549"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Mario César Parrado</w:t>
            </w:r>
          </w:p>
        </w:tc>
        <w:tc>
          <w:tcPr>
            <w:tcW w:w="851" w:type="dxa"/>
            <w:noWrap/>
            <w:tcMar>
              <w:top w:w="15" w:type="dxa"/>
              <w:left w:w="15" w:type="dxa"/>
              <w:bottom w:w="0" w:type="dxa"/>
              <w:right w:w="15" w:type="dxa"/>
            </w:tcMar>
            <w:vAlign w:val="center"/>
          </w:tcPr>
          <w:p w14:paraId="33F36EA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92.005.026</w:t>
            </w:r>
          </w:p>
        </w:tc>
        <w:tc>
          <w:tcPr>
            <w:tcW w:w="1134" w:type="dxa"/>
            <w:tcMar>
              <w:top w:w="15" w:type="dxa"/>
              <w:left w:w="15" w:type="dxa"/>
              <w:bottom w:w="0" w:type="dxa"/>
              <w:right w:w="15" w:type="dxa"/>
            </w:tcMar>
            <w:vAlign w:val="center"/>
          </w:tcPr>
          <w:p w14:paraId="1CE92BA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11/04/1959</w:t>
            </w:r>
          </w:p>
        </w:tc>
        <w:tc>
          <w:tcPr>
            <w:tcW w:w="1106" w:type="dxa"/>
            <w:tcMar>
              <w:top w:w="15" w:type="dxa"/>
              <w:left w:w="15" w:type="dxa"/>
              <w:bottom w:w="0" w:type="dxa"/>
              <w:right w:w="15" w:type="dxa"/>
            </w:tcMar>
            <w:vAlign w:val="center"/>
          </w:tcPr>
          <w:p w14:paraId="383B77F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20-92005026-4</w:t>
            </w:r>
          </w:p>
        </w:tc>
        <w:tc>
          <w:tcPr>
            <w:tcW w:w="1984" w:type="dxa"/>
            <w:noWrap/>
            <w:tcMar>
              <w:top w:w="15" w:type="dxa"/>
              <w:left w:w="15" w:type="dxa"/>
              <w:bottom w:w="0" w:type="dxa"/>
              <w:right w:w="15" w:type="dxa"/>
            </w:tcMar>
            <w:vAlign w:val="center"/>
          </w:tcPr>
          <w:p w14:paraId="5C76D6BC"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Rosales 2620 2° piso 4°,</w:t>
            </w:r>
          </w:p>
          <w:p w14:paraId="5618E27B"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13B5700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3296E91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62784A6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3BCB3CB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7EE5168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359D9E3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16/04/2009</w:t>
            </w:r>
          </w:p>
        </w:tc>
      </w:tr>
      <w:tr w:rsidR="000924EA" w:rsidRPr="00AE4E8D" w14:paraId="51E2A567" w14:textId="77777777" w:rsidTr="000400C8">
        <w:trPr>
          <w:trHeight w:val="228"/>
        </w:trPr>
        <w:tc>
          <w:tcPr>
            <w:tcW w:w="1417" w:type="dxa"/>
            <w:noWrap/>
            <w:tcMar>
              <w:top w:w="15" w:type="dxa"/>
              <w:left w:w="15" w:type="dxa"/>
              <w:bottom w:w="0" w:type="dxa"/>
              <w:right w:w="15" w:type="dxa"/>
            </w:tcMar>
            <w:vAlign w:val="center"/>
          </w:tcPr>
          <w:p w14:paraId="7143F24C"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Federico León Bensadón</w:t>
            </w:r>
          </w:p>
        </w:tc>
        <w:tc>
          <w:tcPr>
            <w:tcW w:w="851" w:type="dxa"/>
            <w:noWrap/>
            <w:tcMar>
              <w:top w:w="15" w:type="dxa"/>
              <w:left w:w="15" w:type="dxa"/>
              <w:bottom w:w="0" w:type="dxa"/>
              <w:right w:w="15" w:type="dxa"/>
            </w:tcMar>
            <w:vAlign w:val="center"/>
          </w:tcPr>
          <w:p w14:paraId="56B3323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4.100.916</w:t>
            </w:r>
          </w:p>
        </w:tc>
        <w:tc>
          <w:tcPr>
            <w:tcW w:w="1134" w:type="dxa"/>
            <w:tcMar>
              <w:top w:w="15" w:type="dxa"/>
              <w:left w:w="15" w:type="dxa"/>
              <w:bottom w:w="0" w:type="dxa"/>
              <w:right w:w="15" w:type="dxa"/>
            </w:tcMar>
            <w:vAlign w:val="center"/>
          </w:tcPr>
          <w:p w14:paraId="339B25E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bCs/>
                <w:sz w:val="16"/>
                <w:szCs w:val="16"/>
                <w:lang w:val="es-ES" w:eastAsia="es-AR"/>
              </w:rPr>
              <w:t>17/01/1933</w:t>
            </w:r>
          </w:p>
        </w:tc>
        <w:tc>
          <w:tcPr>
            <w:tcW w:w="1106" w:type="dxa"/>
            <w:tcMar>
              <w:top w:w="15" w:type="dxa"/>
              <w:left w:w="15" w:type="dxa"/>
              <w:bottom w:w="0" w:type="dxa"/>
              <w:right w:w="15" w:type="dxa"/>
            </w:tcMar>
            <w:vAlign w:val="center"/>
          </w:tcPr>
          <w:p w14:paraId="6209DD4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20-04100916-1</w:t>
            </w:r>
          </w:p>
        </w:tc>
        <w:tc>
          <w:tcPr>
            <w:tcW w:w="1984" w:type="dxa"/>
            <w:noWrap/>
            <w:tcMar>
              <w:top w:w="15" w:type="dxa"/>
              <w:left w:w="15" w:type="dxa"/>
              <w:bottom w:w="0" w:type="dxa"/>
              <w:right w:w="15" w:type="dxa"/>
            </w:tcMar>
            <w:vAlign w:val="center"/>
          </w:tcPr>
          <w:p w14:paraId="2F7B5FF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Florida 15 Piso 9°,</w:t>
            </w:r>
          </w:p>
          <w:p w14:paraId="2B1C3DED"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7580685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5A30AB9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1834EC1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41514B4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66C29DD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532F1FC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22/08/2002</w:t>
            </w:r>
          </w:p>
        </w:tc>
      </w:tr>
      <w:tr w:rsidR="000924EA" w:rsidRPr="00AE4E8D" w14:paraId="3CD561C7" w14:textId="77777777" w:rsidTr="000400C8">
        <w:trPr>
          <w:trHeight w:val="228"/>
        </w:trPr>
        <w:tc>
          <w:tcPr>
            <w:tcW w:w="1417" w:type="dxa"/>
            <w:noWrap/>
            <w:tcMar>
              <w:top w:w="15" w:type="dxa"/>
              <w:left w:w="15" w:type="dxa"/>
              <w:bottom w:w="0" w:type="dxa"/>
              <w:right w:w="15" w:type="dxa"/>
            </w:tcMar>
            <w:vAlign w:val="center"/>
          </w:tcPr>
          <w:p w14:paraId="7EF03C47"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Vacante (***)</w:t>
            </w:r>
          </w:p>
        </w:tc>
        <w:tc>
          <w:tcPr>
            <w:tcW w:w="851" w:type="dxa"/>
            <w:noWrap/>
            <w:tcMar>
              <w:top w:w="15" w:type="dxa"/>
              <w:left w:w="15" w:type="dxa"/>
              <w:bottom w:w="0" w:type="dxa"/>
              <w:right w:w="15" w:type="dxa"/>
            </w:tcMar>
            <w:vAlign w:val="center"/>
          </w:tcPr>
          <w:p w14:paraId="6145642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34" w:type="dxa"/>
            <w:tcMar>
              <w:top w:w="15" w:type="dxa"/>
              <w:left w:w="15" w:type="dxa"/>
              <w:bottom w:w="0" w:type="dxa"/>
              <w:right w:w="15" w:type="dxa"/>
            </w:tcMar>
            <w:vAlign w:val="center"/>
          </w:tcPr>
          <w:p w14:paraId="3E202FD1" w14:textId="77777777" w:rsidR="000924EA" w:rsidRPr="00AE4E8D" w:rsidRDefault="000924EA" w:rsidP="00232C94">
            <w:pPr>
              <w:autoSpaceDE w:val="0"/>
              <w:autoSpaceDN w:val="0"/>
              <w:adjustRightInd w:val="0"/>
              <w:spacing w:line="26" w:lineRule="atLeast"/>
              <w:jc w:val="center"/>
              <w:rPr>
                <w:rFonts w:ascii="Times New Roman" w:hAnsi="Times New Roman"/>
                <w:bCs/>
                <w:sz w:val="16"/>
                <w:szCs w:val="16"/>
                <w:lang w:val="es-ES" w:eastAsia="es-AR"/>
              </w:rPr>
            </w:pPr>
          </w:p>
        </w:tc>
        <w:tc>
          <w:tcPr>
            <w:tcW w:w="1106" w:type="dxa"/>
            <w:tcMar>
              <w:top w:w="15" w:type="dxa"/>
              <w:left w:w="15" w:type="dxa"/>
              <w:bottom w:w="0" w:type="dxa"/>
              <w:right w:w="15" w:type="dxa"/>
            </w:tcMar>
            <w:vAlign w:val="center"/>
          </w:tcPr>
          <w:p w14:paraId="73D7443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984" w:type="dxa"/>
            <w:noWrap/>
            <w:tcMar>
              <w:top w:w="15" w:type="dxa"/>
              <w:left w:w="15" w:type="dxa"/>
              <w:bottom w:w="0" w:type="dxa"/>
              <w:right w:w="15" w:type="dxa"/>
            </w:tcMar>
            <w:vAlign w:val="center"/>
          </w:tcPr>
          <w:p w14:paraId="24618D7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p>
        </w:tc>
        <w:tc>
          <w:tcPr>
            <w:tcW w:w="709" w:type="dxa"/>
            <w:noWrap/>
            <w:tcMar>
              <w:top w:w="15" w:type="dxa"/>
              <w:left w:w="15" w:type="dxa"/>
              <w:bottom w:w="0" w:type="dxa"/>
              <w:right w:w="15" w:type="dxa"/>
            </w:tcMar>
            <w:vAlign w:val="center"/>
          </w:tcPr>
          <w:p w14:paraId="4D7BBAD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EBC541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39F33C8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436664D5" w14:textId="77777777" w:rsidR="000924EA" w:rsidRPr="00AE4E8D" w:rsidDel="00D27DF6"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87" w:type="dxa"/>
            <w:vAlign w:val="center"/>
          </w:tcPr>
          <w:p w14:paraId="4A370C0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r>
      <w:tr w:rsidR="000924EA" w:rsidRPr="00AE4E8D" w14:paraId="47F2D630" w14:textId="77777777" w:rsidTr="000400C8">
        <w:trPr>
          <w:trHeight w:val="228"/>
        </w:trPr>
        <w:tc>
          <w:tcPr>
            <w:tcW w:w="1417" w:type="dxa"/>
            <w:noWrap/>
            <w:tcMar>
              <w:top w:w="15" w:type="dxa"/>
              <w:left w:w="15" w:type="dxa"/>
              <w:bottom w:w="0" w:type="dxa"/>
              <w:right w:w="15" w:type="dxa"/>
            </w:tcMar>
            <w:vAlign w:val="center"/>
          </w:tcPr>
          <w:p w14:paraId="6114E516"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Vacante (***)</w:t>
            </w:r>
          </w:p>
        </w:tc>
        <w:tc>
          <w:tcPr>
            <w:tcW w:w="851" w:type="dxa"/>
            <w:noWrap/>
            <w:tcMar>
              <w:top w:w="15" w:type="dxa"/>
              <w:left w:w="15" w:type="dxa"/>
              <w:bottom w:w="0" w:type="dxa"/>
              <w:right w:w="15" w:type="dxa"/>
            </w:tcMar>
            <w:vAlign w:val="center"/>
          </w:tcPr>
          <w:p w14:paraId="79A5560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34" w:type="dxa"/>
            <w:tcMar>
              <w:top w:w="15" w:type="dxa"/>
              <w:left w:w="15" w:type="dxa"/>
              <w:bottom w:w="0" w:type="dxa"/>
              <w:right w:w="15" w:type="dxa"/>
            </w:tcMar>
            <w:vAlign w:val="center"/>
          </w:tcPr>
          <w:p w14:paraId="56E15C79" w14:textId="77777777" w:rsidR="000924EA" w:rsidRPr="00AE4E8D" w:rsidRDefault="000924EA" w:rsidP="00232C94">
            <w:pPr>
              <w:autoSpaceDE w:val="0"/>
              <w:autoSpaceDN w:val="0"/>
              <w:adjustRightInd w:val="0"/>
              <w:spacing w:line="26" w:lineRule="atLeast"/>
              <w:jc w:val="center"/>
              <w:rPr>
                <w:rFonts w:ascii="Times New Roman" w:hAnsi="Times New Roman"/>
                <w:bCs/>
                <w:sz w:val="16"/>
                <w:szCs w:val="16"/>
                <w:lang w:val="es-ES" w:eastAsia="es-AR"/>
              </w:rPr>
            </w:pPr>
          </w:p>
        </w:tc>
        <w:tc>
          <w:tcPr>
            <w:tcW w:w="1106" w:type="dxa"/>
            <w:tcMar>
              <w:top w:w="15" w:type="dxa"/>
              <w:left w:w="15" w:type="dxa"/>
              <w:bottom w:w="0" w:type="dxa"/>
              <w:right w:w="15" w:type="dxa"/>
            </w:tcMar>
            <w:vAlign w:val="center"/>
          </w:tcPr>
          <w:p w14:paraId="1EA56E6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984" w:type="dxa"/>
            <w:noWrap/>
            <w:tcMar>
              <w:top w:w="15" w:type="dxa"/>
              <w:left w:w="15" w:type="dxa"/>
              <w:bottom w:w="0" w:type="dxa"/>
              <w:right w:w="15" w:type="dxa"/>
            </w:tcMar>
            <w:vAlign w:val="center"/>
          </w:tcPr>
          <w:p w14:paraId="4B88C366"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p>
        </w:tc>
        <w:tc>
          <w:tcPr>
            <w:tcW w:w="709" w:type="dxa"/>
            <w:noWrap/>
            <w:tcMar>
              <w:top w:w="15" w:type="dxa"/>
              <w:left w:w="15" w:type="dxa"/>
              <w:bottom w:w="0" w:type="dxa"/>
              <w:right w:w="15" w:type="dxa"/>
            </w:tcMar>
            <w:vAlign w:val="center"/>
          </w:tcPr>
          <w:p w14:paraId="58BD0E6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67DF346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78EB28B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7085DCA1" w14:textId="77777777" w:rsidR="000924EA" w:rsidRPr="00AE4E8D" w:rsidDel="00D27DF6"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87" w:type="dxa"/>
            <w:vAlign w:val="center"/>
          </w:tcPr>
          <w:p w14:paraId="5A6DF8E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r>
      <w:tr w:rsidR="000924EA" w:rsidRPr="00AE4E8D" w14:paraId="7A0F86FA" w14:textId="77777777" w:rsidTr="000400C8">
        <w:trPr>
          <w:trHeight w:val="228"/>
        </w:trPr>
        <w:tc>
          <w:tcPr>
            <w:tcW w:w="1417" w:type="dxa"/>
            <w:noWrap/>
            <w:tcMar>
              <w:top w:w="15" w:type="dxa"/>
              <w:left w:w="15" w:type="dxa"/>
              <w:bottom w:w="0" w:type="dxa"/>
              <w:right w:w="15" w:type="dxa"/>
            </w:tcMar>
            <w:vAlign w:val="center"/>
          </w:tcPr>
          <w:p w14:paraId="4A0FDD95"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Vacante (***)</w:t>
            </w:r>
          </w:p>
        </w:tc>
        <w:tc>
          <w:tcPr>
            <w:tcW w:w="851" w:type="dxa"/>
            <w:noWrap/>
            <w:tcMar>
              <w:top w:w="15" w:type="dxa"/>
              <w:left w:w="15" w:type="dxa"/>
              <w:bottom w:w="0" w:type="dxa"/>
              <w:right w:w="15" w:type="dxa"/>
            </w:tcMar>
            <w:vAlign w:val="center"/>
          </w:tcPr>
          <w:p w14:paraId="5DB4776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34" w:type="dxa"/>
            <w:tcMar>
              <w:top w:w="15" w:type="dxa"/>
              <w:left w:w="15" w:type="dxa"/>
              <w:bottom w:w="0" w:type="dxa"/>
              <w:right w:w="15" w:type="dxa"/>
            </w:tcMar>
            <w:vAlign w:val="center"/>
          </w:tcPr>
          <w:p w14:paraId="6F5618FD" w14:textId="77777777" w:rsidR="000924EA" w:rsidRPr="00AE4E8D" w:rsidRDefault="000924EA" w:rsidP="00232C94">
            <w:pPr>
              <w:autoSpaceDE w:val="0"/>
              <w:autoSpaceDN w:val="0"/>
              <w:adjustRightInd w:val="0"/>
              <w:spacing w:line="26" w:lineRule="atLeast"/>
              <w:jc w:val="center"/>
              <w:rPr>
                <w:rFonts w:ascii="Times New Roman" w:hAnsi="Times New Roman"/>
                <w:bCs/>
                <w:sz w:val="16"/>
                <w:szCs w:val="16"/>
                <w:lang w:val="es-ES" w:eastAsia="es-AR"/>
              </w:rPr>
            </w:pPr>
          </w:p>
        </w:tc>
        <w:tc>
          <w:tcPr>
            <w:tcW w:w="1106" w:type="dxa"/>
            <w:tcMar>
              <w:top w:w="15" w:type="dxa"/>
              <w:left w:w="15" w:type="dxa"/>
              <w:bottom w:w="0" w:type="dxa"/>
              <w:right w:w="15" w:type="dxa"/>
            </w:tcMar>
            <w:vAlign w:val="center"/>
          </w:tcPr>
          <w:p w14:paraId="550988F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984" w:type="dxa"/>
            <w:noWrap/>
            <w:tcMar>
              <w:top w:w="15" w:type="dxa"/>
              <w:left w:w="15" w:type="dxa"/>
              <w:bottom w:w="0" w:type="dxa"/>
              <w:right w:w="15" w:type="dxa"/>
            </w:tcMar>
            <w:vAlign w:val="center"/>
          </w:tcPr>
          <w:p w14:paraId="69D72FBC"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p>
        </w:tc>
        <w:tc>
          <w:tcPr>
            <w:tcW w:w="709" w:type="dxa"/>
            <w:noWrap/>
            <w:tcMar>
              <w:top w:w="15" w:type="dxa"/>
              <w:left w:w="15" w:type="dxa"/>
              <w:bottom w:w="0" w:type="dxa"/>
              <w:right w:w="15" w:type="dxa"/>
            </w:tcMar>
            <w:vAlign w:val="center"/>
          </w:tcPr>
          <w:p w14:paraId="7F4F233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A0833E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47BCF7A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37763C87" w14:textId="77777777" w:rsidR="000924EA" w:rsidRPr="00AE4E8D" w:rsidDel="00D27DF6"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87" w:type="dxa"/>
            <w:vAlign w:val="center"/>
          </w:tcPr>
          <w:p w14:paraId="4DFCE5F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r>
      <w:tr w:rsidR="000924EA" w:rsidRPr="00AE4E8D" w14:paraId="350EA5C7" w14:textId="77777777" w:rsidTr="000400C8">
        <w:trPr>
          <w:trHeight w:val="228"/>
        </w:trPr>
        <w:tc>
          <w:tcPr>
            <w:tcW w:w="1417" w:type="dxa"/>
            <w:noWrap/>
            <w:tcMar>
              <w:top w:w="15" w:type="dxa"/>
              <w:left w:w="15" w:type="dxa"/>
              <w:bottom w:w="0" w:type="dxa"/>
              <w:right w:w="15" w:type="dxa"/>
            </w:tcMar>
            <w:vAlign w:val="center"/>
          </w:tcPr>
          <w:p w14:paraId="40BA18E2"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Vacante (***)</w:t>
            </w:r>
          </w:p>
        </w:tc>
        <w:tc>
          <w:tcPr>
            <w:tcW w:w="851" w:type="dxa"/>
            <w:noWrap/>
            <w:tcMar>
              <w:top w:w="15" w:type="dxa"/>
              <w:left w:w="15" w:type="dxa"/>
              <w:bottom w:w="0" w:type="dxa"/>
              <w:right w:w="15" w:type="dxa"/>
            </w:tcMar>
            <w:vAlign w:val="center"/>
          </w:tcPr>
          <w:p w14:paraId="3E597DE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34" w:type="dxa"/>
            <w:tcMar>
              <w:top w:w="15" w:type="dxa"/>
              <w:left w:w="15" w:type="dxa"/>
              <w:bottom w:w="0" w:type="dxa"/>
              <w:right w:w="15" w:type="dxa"/>
            </w:tcMar>
            <w:vAlign w:val="center"/>
          </w:tcPr>
          <w:p w14:paraId="0A3EEA2C" w14:textId="77777777" w:rsidR="000924EA" w:rsidRPr="00AE4E8D" w:rsidRDefault="000924EA" w:rsidP="00232C94">
            <w:pPr>
              <w:autoSpaceDE w:val="0"/>
              <w:autoSpaceDN w:val="0"/>
              <w:adjustRightInd w:val="0"/>
              <w:spacing w:line="26" w:lineRule="atLeast"/>
              <w:jc w:val="center"/>
              <w:rPr>
                <w:rFonts w:ascii="Times New Roman" w:hAnsi="Times New Roman"/>
                <w:bCs/>
                <w:sz w:val="16"/>
                <w:szCs w:val="16"/>
                <w:lang w:val="es-ES" w:eastAsia="es-AR"/>
              </w:rPr>
            </w:pPr>
          </w:p>
        </w:tc>
        <w:tc>
          <w:tcPr>
            <w:tcW w:w="1106" w:type="dxa"/>
            <w:tcMar>
              <w:top w:w="15" w:type="dxa"/>
              <w:left w:w="15" w:type="dxa"/>
              <w:bottom w:w="0" w:type="dxa"/>
              <w:right w:w="15" w:type="dxa"/>
            </w:tcMar>
            <w:vAlign w:val="center"/>
          </w:tcPr>
          <w:p w14:paraId="2AAA4DC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984" w:type="dxa"/>
            <w:noWrap/>
            <w:tcMar>
              <w:top w:w="15" w:type="dxa"/>
              <w:left w:w="15" w:type="dxa"/>
              <w:bottom w:w="0" w:type="dxa"/>
              <w:right w:w="15" w:type="dxa"/>
            </w:tcMar>
            <w:vAlign w:val="center"/>
          </w:tcPr>
          <w:p w14:paraId="6275F90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p>
        </w:tc>
        <w:tc>
          <w:tcPr>
            <w:tcW w:w="709" w:type="dxa"/>
            <w:noWrap/>
            <w:tcMar>
              <w:top w:w="15" w:type="dxa"/>
              <w:left w:w="15" w:type="dxa"/>
              <w:bottom w:w="0" w:type="dxa"/>
              <w:right w:w="15" w:type="dxa"/>
            </w:tcMar>
            <w:vAlign w:val="center"/>
          </w:tcPr>
          <w:p w14:paraId="62DF241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25782FB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0ECB638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2BB55EE0" w14:textId="77777777" w:rsidR="000924EA" w:rsidRPr="00AE4E8D" w:rsidDel="00D27DF6"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87" w:type="dxa"/>
            <w:vAlign w:val="center"/>
          </w:tcPr>
          <w:p w14:paraId="6805796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r>
    </w:tbl>
    <w:p w14:paraId="0DFAA2D4" w14:textId="77777777" w:rsidR="000924EA" w:rsidRPr="00AE4E8D" w:rsidRDefault="000924EA" w:rsidP="000924EA">
      <w:pPr>
        <w:autoSpaceDE w:val="0"/>
        <w:autoSpaceDN w:val="0"/>
        <w:adjustRightInd w:val="0"/>
        <w:spacing w:before="120" w:after="120"/>
        <w:ind w:left="709"/>
        <w:jc w:val="both"/>
        <w:rPr>
          <w:rFonts w:ascii="Times New Roman" w:hAnsi="Times New Roman"/>
          <w:sz w:val="18"/>
          <w:szCs w:val="18"/>
          <w:lang w:val="es-ES" w:eastAsia="es-ES"/>
        </w:rPr>
      </w:pPr>
      <w:r w:rsidRPr="00AE4E8D">
        <w:rPr>
          <w:rFonts w:ascii="Times New Roman" w:hAnsi="Times New Roman"/>
          <w:sz w:val="18"/>
          <w:szCs w:val="18"/>
          <w:lang w:val="es-ES" w:eastAsia="es-ES"/>
        </w:rPr>
        <w:t>(*) Directores Titulares por la Clase “A” nombrados el 4 de abril de 2017 por el Estado Nacional, en uso de las facultades conferidas por el art. 24 inciso d) del Estatuto Social del Banco Hipotecario S.A. La designación se encuentra pendiente de aprobación por el BCRA, de conformidad con la Comunicación “A” 4490.</w:t>
      </w:r>
    </w:p>
    <w:p w14:paraId="63456931" w14:textId="77777777" w:rsidR="000924EA" w:rsidRPr="00AE4E8D" w:rsidRDefault="000924EA" w:rsidP="000924EA">
      <w:pPr>
        <w:autoSpaceDE w:val="0"/>
        <w:autoSpaceDN w:val="0"/>
        <w:adjustRightInd w:val="0"/>
        <w:spacing w:before="120" w:after="120"/>
        <w:ind w:left="709"/>
        <w:jc w:val="both"/>
        <w:rPr>
          <w:rFonts w:ascii="Times New Roman" w:hAnsi="Times New Roman"/>
          <w:sz w:val="18"/>
          <w:szCs w:val="18"/>
          <w:lang w:val="es-ES" w:eastAsia="es-ES"/>
        </w:rPr>
      </w:pPr>
      <w:r w:rsidRPr="00AE4E8D">
        <w:rPr>
          <w:rFonts w:ascii="Times New Roman" w:hAnsi="Times New Roman"/>
          <w:sz w:val="18"/>
          <w:szCs w:val="18"/>
          <w:lang w:val="es-ES" w:eastAsia="es-ES"/>
        </w:rPr>
        <w:t>(**) Director Titular por la Clase “C” nombrado el 28 de abril de 2017. La designación se encuentra pendiente de aprobación por el BCRA, de conformidad con la Comunicación “A” 4490.</w:t>
      </w:r>
    </w:p>
    <w:p w14:paraId="78E17642" w14:textId="77777777" w:rsidR="000924EA" w:rsidRPr="00AE4E8D" w:rsidRDefault="000924EA" w:rsidP="000924EA">
      <w:pPr>
        <w:autoSpaceDE w:val="0"/>
        <w:autoSpaceDN w:val="0"/>
        <w:adjustRightInd w:val="0"/>
        <w:spacing w:before="120" w:after="120"/>
        <w:ind w:left="709"/>
        <w:jc w:val="both"/>
        <w:rPr>
          <w:rFonts w:ascii="Times New Roman" w:hAnsi="Times New Roman"/>
          <w:sz w:val="18"/>
          <w:szCs w:val="18"/>
          <w:lang w:val="es-ES" w:eastAsia="es-ES"/>
        </w:rPr>
      </w:pPr>
      <w:r w:rsidRPr="00AE4E8D">
        <w:rPr>
          <w:rFonts w:ascii="Times New Roman" w:hAnsi="Times New Roman"/>
          <w:sz w:val="18"/>
          <w:szCs w:val="18"/>
          <w:lang w:val="es-ES" w:eastAsia="es-ES"/>
        </w:rPr>
        <w:lastRenderedPageBreak/>
        <w:t>(***) Con fecha 4 de abril de 2017, la Asambleas Especiales de Accionistas Clase “A”, “B”, “C” y “D” resolvieron postergar la elección de los directores suplentes.</w:t>
      </w:r>
    </w:p>
    <w:p w14:paraId="7C82ACAC" w14:textId="77777777" w:rsidR="000924EA" w:rsidRPr="00AE4E8D" w:rsidRDefault="000924EA" w:rsidP="000924EA">
      <w:pPr>
        <w:pStyle w:val="BHTexto"/>
        <w:rPr>
          <w:highlight w:val="cyan"/>
          <w:lang w:val="es-ES" w:eastAsia="es-AR"/>
        </w:rPr>
      </w:pPr>
      <w:r w:rsidRPr="00AE4E8D">
        <w:rPr>
          <w:lang w:val="es-ES"/>
        </w:rPr>
        <w:t xml:space="preserve">A continuación se presentan breves descripciones biográficas de nuestros directores titulares y suplentes: </w:t>
      </w:r>
    </w:p>
    <w:p w14:paraId="3C273580" w14:textId="77777777" w:rsidR="000924EA" w:rsidRPr="00AE4E8D" w:rsidRDefault="000924EA" w:rsidP="000924EA">
      <w:pPr>
        <w:pStyle w:val="BHTexto"/>
        <w:rPr>
          <w:lang w:val="es-ES"/>
        </w:rPr>
      </w:pPr>
      <w:r w:rsidRPr="00AE4E8D">
        <w:rPr>
          <w:b/>
          <w:i/>
          <w:lang w:val="es-ES"/>
        </w:rPr>
        <w:t>Eduardo Sergio Elsztain.</w:t>
      </w:r>
      <w:r w:rsidRPr="00AE4E8D">
        <w:rPr>
          <w:lang w:val="es-ES"/>
        </w:rPr>
        <w:t xml:space="preserve"> El Sr. Elsztain estudió ciencias económicas en la Universidad de Buenos Aires, es nuestro presidente, asimismo es el presidente de IRSA Inversiones y Representaciones Sociedad Anónima, IRSA Propiedades Comerciales S.A., Cresud S.A.C.I.F. y A., Tarshop S.A, BACS Banco de Crédito y Securitización S.A., IDBD Development Corporation LTD, y BrasilAgro Companhia Brasilera de Propiedades Agrícolas, entre otras compañías. Es también presidente de la Fundación IRSA, que promueve la educación y el desarrollo profesional de jóvenes a través su programa Puerta 18, Museo de los Niños Abasto y Alto Rosario. Es además, miembro del Comité Asesor Global de Endeavor que promueve el desarrollo de emprendedores de alto impacto. </w:t>
      </w:r>
    </w:p>
    <w:p w14:paraId="473C4272" w14:textId="77777777" w:rsidR="000924EA" w:rsidRPr="00AE4E8D" w:rsidRDefault="000924EA" w:rsidP="000924EA">
      <w:pPr>
        <w:pStyle w:val="BHTexto"/>
        <w:rPr>
          <w:lang w:val="es-ES"/>
        </w:rPr>
      </w:pPr>
      <w:r w:rsidRPr="00AE4E8D">
        <w:rPr>
          <w:b/>
          <w:i/>
          <w:lang w:val="es-ES"/>
        </w:rPr>
        <w:t>Mario Blejer.</w:t>
      </w:r>
      <w:r w:rsidRPr="00AE4E8D">
        <w:rPr>
          <w:lang w:val="es-ES"/>
        </w:rPr>
        <w:t xml:space="preserve"> El Sr. Blejer obtuvo su doctorado en economía en la Universidad de Chicago. Se ha desempeñado como Consejero Senior del FMI en los Departamentos de Europa y Asia desde 1980 hasta 2001. Ha sido también vicepresidente y presidente del BCRA entre 2001 y 2002. Además se desempeñó como director del Centro de Estudios de Banca Central del Bank of England desde 2003 hasta 2008 y Asesor del Gobernador del Bank of England en el mismo período. Actualmente, el Sr. Blejer es director titular de IRSA Inversiones y Representaciones Sociedad Anónima, entre otras compañías. Además fue Consejero Externo del consejo de Política Monetaria del Banco Central de Mauritius y es Profesor de Posgrado en la Universidad Torcuato Di Tella.</w:t>
      </w:r>
    </w:p>
    <w:p w14:paraId="6DCDEC2C" w14:textId="77777777" w:rsidR="00BC0EA5" w:rsidRPr="00AE4E8D" w:rsidRDefault="00BC0EA5" w:rsidP="00BC0EA5">
      <w:pPr>
        <w:pStyle w:val="BHTexto"/>
        <w:rPr>
          <w:lang w:val="es-ES"/>
        </w:rPr>
      </w:pPr>
      <w:r w:rsidRPr="00AE4E8D">
        <w:rPr>
          <w:b/>
          <w:i/>
          <w:lang w:val="es-ES"/>
        </w:rPr>
        <w:t>Francisco Guillermo Susmel.</w:t>
      </w:r>
      <w:r w:rsidRPr="00AE4E8D">
        <w:rPr>
          <w:lang w:val="es-ES"/>
        </w:rPr>
        <w:t xml:space="preserve"> El Sr. Susmel obtuvo el título de Licenciado en Derecho de la Universidad de Buenos Aires y obtuvo un LL.M. </w:t>
      </w:r>
      <w:proofErr w:type="gramStart"/>
      <w:r w:rsidRPr="00AE4E8D">
        <w:rPr>
          <w:lang w:val="es-ES"/>
        </w:rPr>
        <w:t>de</w:t>
      </w:r>
      <w:proofErr w:type="gramEnd"/>
      <w:r w:rsidRPr="00AE4E8D">
        <w:rPr>
          <w:lang w:val="es-ES"/>
        </w:rPr>
        <w:t xml:space="preserve"> Harvard Law School. Fue Vicepresidente de la Comisión Nacional de Valores hasta 1996 y Subsecretario de Bancos y Seguros en el Ministerio de Economía y Obras y Servicios Públicos. Se desempeñó como consultor del Banco Interamericano de Desarrollo y de Banco Centroamericano de Integración Económica. En 1997 fue nombrado Vicepresidente Ejecutivo, Gerente General y Director del Banco Hipotecario, un rol que tuvo hasta el año 2000. Entre 2002 y 2003 fue Vicepresidente del directorio de todas las sociedades del grupo CTI Holdings S.A. y desde 2003 hasta 2011 fue presidente del Directorio de Rio Bravo Inversiones S.A.</w:t>
      </w:r>
    </w:p>
    <w:p w14:paraId="0FEA4F3F" w14:textId="77777777" w:rsidR="000924EA" w:rsidRPr="00AE4E8D" w:rsidRDefault="000924EA" w:rsidP="000924EA">
      <w:pPr>
        <w:pStyle w:val="BHTexto"/>
        <w:rPr>
          <w:lang w:val="es-ES"/>
        </w:rPr>
      </w:pPr>
      <w:r w:rsidRPr="00AE4E8D">
        <w:rPr>
          <w:b/>
          <w:i/>
          <w:lang w:val="es-ES"/>
        </w:rPr>
        <w:t xml:space="preserve">Juan Rubén Jure. </w:t>
      </w:r>
      <w:r w:rsidRPr="00AE4E8D">
        <w:rPr>
          <w:lang w:val="es-ES"/>
        </w:rPr>
        <w:t>El Sr. Jure se desempeñó en la actividad privada como titular de la Agencia Publicitaria y de Diseño “J &amp; S”, hasta el año 2000. Fue Subsecretario de Comunicación de la Municipalidad de Rio Cuarto desde 1998 hasta el año 2000. Fue miembro del Concejo Deliberante de la ciudad de Rio Cuarto entre los años 2000 y 2004 y fue su Presidente hasta 2008. Fue electo Intendente Municipal de la Ciudad de Rio Cuarto en el año 2008 y reelecto por el siguiente periodo hasta el año 2016.</w:t>
      </w:r>
    </w:p>
    <w:p w14:paraId="2AEECFB9" w14:textId="77777777" w:rsidR="000924EA" w:rsidRPr="00AE4E8D" w:rsidRDefault="000924EA" w:rsidP="000924EA">
      <w:pPr>
        <w:pStyle w:val="BHTexto"/>
        <w:rPr>
          <w:lang w:val="es-ES"/>
        </w:rPr>
      </w:pPr>
      <w:r w:rsidRPr="00AE4E8D">
        <w:rPr>
          <w:b/>
          <w:i/>
          <w:lang w:val="es-ES"/>
        </w:rPr>
        <w:t>Fernando Recalde</w:t>
      </w:r>
      <w:r w:rsidRPr="00AE4E8D">
        <w:rPr>
          <w:lang w:val="es-ES"/>
        </w:rPr>
        <w:t>. El Sr. Recalde estudió administración de empresas en UC College, Cranford, Nueva Jersey. Se desempeñó como Oficial de Crédito y Analista de Tesorería en Banco de Bogotá Trust Co en Nueva York entre los años 1987 y 1992. Fue Analista, Vicepresidente y Director en las áreas de Mercado de Capitales, Trading y Distribución en Merrill Lynch Nueva York y Buenos Aires desde 1992 y hasta 2012, cuando se retiró como Presidente de su filial en Argentina, habiéndose desempeñado en diferentes funciones en las áreas de Renta Fija y Variable. Fue también Director en MAE y actuó como responsable de Merrill Lynch ante Rofex y Director de Merrill Lynch Valores. Desde 2012 y hasta 2015 fue Portfolio Manager y miembro del Comité de Inversiones de Galileo, SGFCI y luego en Cima, SGFCI, donde actuó como Director hasta asumir como Director General de Inversiones en el Fondo de Garantía de Sustentabilidad de ANSES donde permanece como Asesor.</w:t>
      </w:r>
    </w:p>
    <w:p w14:paraId="26A3A9A6" w14:textId="77777777" w:rsidR="000924EA" w:rsidRPr="00AE4E8D" w:rsidRDefault="000924EA" w:rsidP="000924EA">
      <w:pPr>
        <w:pStyle w:val="BHTexto"/>
        <w:rPr>
          <w:b/>
          <w:i/>
          <w:lang w:val="es-ES"/>
        </w:rPr>
      </w:pPr>
      <w:r w:rsidRPr="00AE4E8D">
        <w:rPr>
          <w:b/>
          <w:i/>
          <w:lang w:val="es-ES"/>
        </w:rPr>
        <w:t>Martín Juan Lanfranco</w:t>
      </w:r>
      <w:r w:rsidRPr="00AE4E8D">
        <w:rPr>
          <w:lang w:val="es-ES"/>
        </w:rPr>
        <w:t>. El Sr. Lanfranco obtuvo el título de Licenciado en Derecho de la Universidad de Buenos Aires y cursó el Master en Derecho Empresario en la Universidad Austral. Es socio del Estudio Lanfranco &amp; Detry. Entre los años 2003 y 2004 se desempeñó como Asesor de Presidencia en el BCRA; desde 2008 hasta 2010 fue Director de Corporación Antiguo Madero S.A. y luego, entre 2014 y 2016, Síndico. Fue Director Nacional de Empresas con Participación del Estado desde el año 2016 hasta ser designado director de Banco Hipotecario S.A.</w:t>
      </w:r>
      <w:r w:rsidRPr="00AE4E8D">
        <w:rPr>
          <w:b/>
          <w:i/>
          <w:lang w:val="es-ES"/>
        </w:rPr>
        <w:t xml:space="preserve"> </w:t>
      </w:r>
    </w:p>
    <w:p w14:paraId="6FB01D0B" w14:textId="77777777" w:rsidR="000924EA" w:rsidRPr="00AE4E8D" w:rsidRDefault="000924EA" w:rsidP="000924EA">
      <w:pPr>
        <w:pStyle w:val="BHTexto"/>
        <w:rPr>
          <w:lang w:val="es-ES"/>
        </w:rPr>
      </w:pPr>
      <w:r w:rsidRPr="00AE4E8D">
        <w:rPr>
          <w:b/>
          <w:i/>
          <w:lang w:val="es-ES"/>
        </w:rPr>
        <w:t>Mauricio Elías Wior.</w:t>
      </w:r>
      <w:r w:rsidRPr="00AE4E8D">
        <w:rPr>
          <w:lang w:val="es-ES"/>
        </w:rPr>
        <w:t xml:space="preserve"> El Sr. Wior obtuvo el título en Economía, Administración de Empresas y Contador en la Universidad de Tel Aviv en Israel y luego una Maestría en Administración de Empresas conferida por la misma institución. Se desempeñó como presidente de Movición y como Vicepresidente Regional para América Latina de Bellsouth hasta el 2005. Es director de IRSA Inversiones y Representaciones Sociedad Anónima y de TGLT S.A.</w:t>
      </w:r>
    </w:p>
    <w:p w14:paraId="525723BC" w14:textId="77777777" w:rsidR="000924EA" w:rsidRPr="00AE4E8D" w:rsidRDefault="000924EA" w:rsidP="000924EA">
      <w:pPr>
        <w:pStyle w:val="BHTexto"/>
        <w:rPr>
          <w:lang w:val="es-ES"/>
        </w:rPr>
      </w:pPr>
      <w:r w:rsidRPr="00AE4E8D">
        <w:rPr>
          <w:b/>
          <w:i/>
          <w:lang w:val="es-ES"/>
        </w:rPr>
        <w:t>Saúl Zang.</w:t>
      </w:r>
      <w:r w:rsidRPr="00AE4E8D">
        <w:rPr>
          <w:lang w:val="es-ES"/>
        </w:rPr>
        <w:t xml:space="preserve"> El Sr. Zang obtuvo el título de Abogado en la Universidad de Buenos Aires. Es miembro de la International Bar Association (Asociación Internacional de Abogados) y de la Interamerican Federation </w:t>
      </w:r>
      <w:r w:rsidRPr="00AE4E8D">
        <w:rPr>
          <w:lang w:val="es-ES"/>
        </w:rPr>
        <w:lastRenderedPageBreak/>
        <w:t>of Lawyers (Federación Interamericana de Abogados). Es socio fundador de Zang, Bergel &amp; Viñes Abogados. Es Vicepresidente de IRSA Inversiones y Representaciones Sociedad Anónima, IRSA Propiedades Comerciales S.A., Puerto Retiro y Fibesa, asimismo, es Vicepresidente Primero de Cresud S.A.C.I.F. y A., entre otras compañías. El Sr. Zang es director de Nuevas Fronteras S.A., Tarshop S.A, BACS Banco de Crédito y Securitización S.A., IDBD Development Corporation LTD y BrasilAgro Companhia Brasilera de Propiedades Agrícolas, entre otras compañías.</w:t>
      </w:r>
    </w:p>
    <w:p w14:paraId="7402BD22" w14:textId="77777777" w:rsidR="000924EA" w:rsidRPr="00AE4E8D" w:rsidRDefault="000924EA" w:rsidP="000924EA">
      <w:pPr>
        <w:pStyle w:val="BHTexto"/>
        <w:rPr>
          <w:lang w:val="es-ES"/>
        </w:rPr>
      </w:pPr>
      <w:r w:rsidRPr="00AE4E8D">
        <w:rPr>
          <w:b/>
          <w:i/>
          <w:lang w:val="es-ES"/>
        </w:rPr>
        <w:t>Ernesto Manuel Viñes</w:t>
      </w:r>
      <w:r w:rsidRPr="00AE4E8D">
        <w:rPr>
          <w:b/>
          <w:lang w:val="es-ES"/>
        </w:rPr>
        <w:t>.</w:t>
      </w:r>
      <w:r w:rsidRPr="00AE4E8D">
        <w:rPr>
          <w:lang w:val="es-ES"/>
        </w:rPr>
        <w:t xml:space="preserve"> El Sr. Viñes obtuvo el título de Abogado en la Universidad de Buenos Aires donde también realizó estudios de postgrado. Ha sido funcionario judicial y subsecretario de Estado. Actualmente, el Sr. Viñes se desempeña como nuestro director a cargo del área legal. Fue socio fundador de Zang, Bergel &amp; Viñes Abogados.</w:t>
      </w:r>
    </w:p>
    <w:p w14:paraId="281EB963" w14:textId="77777777" w:rsidR="000924EA" w:rsidRPr="00AE4E8D" w:rsidRDefault="000924EA" w:rsidP="000924EA">
      <w:pPr>
        <w:pStyle w:val="BHTexto"/>
        <w:rPr>
          <w:lang w:val="es-ES"/>
        </w:rPr>
      </w:pPr>
      <w:r w:rsidRPr="00AE4E8D">
        <w:rPr>
          <w:b/>
          <w:i/>
          <w:lang w:val="es-ES"/>
        </w:rPr>
        <w:t>Gabriel Adolfo Gregorio Reznik.</w:t>
      </w:r>
      <w:r w:rsidRPr="00AE4E8D">
        <w:rPr>
          <w:lang w:val="es-ES"/>
        </w:rPr>
        <w:t xml:space="preserve"> El Sr. Reznik obtuvo el título de Ingeniero Civil de la Universidad de Buenos Aires y ha cursado un Máster en Dirección de Empresas Inmobiliarias y Constructoras en la Escuela Politécnica de Madrid, España. El Sr. Reznik es nuestro director titular desde junio de 2002. También se ha desempeñado como director y Gerente del Departamento Técnico de IRSA Inversiones y Representaciones Sociedad Anónima y como Director de Emprendimientos Recoleta S.A. Actualmente es también director de Cresud S.A.C.I.F. y A. e IRSA Inversiones y Representaciones Sociedad Anónima. El Sr. Reznik ha sido responsable del control de la ejecución de proyectos de ingeniería de IRSA Inversiones y Representaciones Sociedad Anónima e IRSA Propiedades Comerciales S.A., así como del área de mantenimiento y operación de los edificios de oficina. </w:t>
      </w:r>
    </w:p>
    <w:p w14:paraId="3DBAE481" w14:textId="77777777" w:rsidR="000924EA" w:rsidRPr="00AE4E8D" w:rsidRDefault="000924EA" w:rsidP="000924EA">
      <w:pPr>
        <w:pStyle w:val="BHTexto"/>
        <w:rPr>
          <w:lang w:val="es-ES"/>
        </w:rPr>
      </w:pPr>
      <w:r w:rsidRPr="00AE4E8D">
        <w:rPr>
          <w:b/>
          <w:i/>
          <w:lang w:val="es-ES"/>
        </w:rPr>
        <w:t>Jacobo Julio Dreizzen.</w:t>
      </w:r>
      <w:r w:rsidRPr="00AE4E8D">
        <w:rPr>
          <w:lang w:val="es-ES"/>
        </w:rPr>
        <w:t xml:space="preserve"> El Sr. Dreizzen obtuvo el título de Licenciado en Economía en la Universidad de Buenos Aires. Asimismo, obtuvo un Máster en Economía en la Universidad Católica de Río de Janeiro. En el año 1986 fue Director Ejecutivo alterno del FMI. En 1987 fue asesor en la presidencia del BCRA, para luego desempeñarse como Director de dicho ente rector (1987-1989). De 1990 a 1999 se desempeñó como Director Ejecutivo de Galicia Capital Markets, subsidiaria del Banco de Galicia que desarrollaba el negocio de banca de inversión y mercado de capitales. Del 2000 al 2001 fue Subsecretario de Finanzas del Ministerio de Economía. Fue asesor del BID (2002), del PNUD (2005) y de la CAF (2005). De 2002 al 2005 se desempeñó como Presidente de Constellation, fondo de inversiones. Fue CFO de IMPSA SA de 2006 a 2016. En el área docente, el Sr. Dreizzen es Profesor de Finanzas Corporativas en el Programa de Posgrado de Mercado de Capitales de la Universidad de Buenos Aires desde 1993 y en la Maestría en Finanzas de la Universidad Torcuato Di Tella desde 2015.</w:t>
      </w:r>
    </w:p>
    <w:p w14:paraId="45DD0506" w14:textId="77777777" w:rsidR="000924EA" w:rsidRPr="00AE4E8D" w:rsidRDefault="000924EA" w:rsidP="000924EA">
      <w:pPr>
        <w:pStyle w:val="BHTexto"/>
        <w:rPr>
          <w:lang w:val="es-ES"/>
        </w:rPr>
      </w:pPr>
      <w:r w:rsidRPr="00AE4E8D">
        <w:rPr>
          <w:b/>
          <w:i/>
          <w:lang w:val="es-ES"/>
        </w:rPr>
        <w:t>Pablo Daniel Vergara del Carril.</w:t>
      </w:r>
      <w:r w:rsidRPr="00AE4E8D">
        <w:rPr>
          <w:lang w:val="es-ES"/>
        </w:rPr>
        <w:t xml:space="preserve"> El Sr. Vergara del Carril obtuvo el título de Abogado en la Universidad Católica de Buenos Aires, donde es profesor de Derecho Comercial y Derecho Contractual. También enseña Derecho Empresarial, Contractual y Mercado de Capitales en cursos de postgrado. El Sr. Vergara del Carril es miembro del Consejo Consultivo de Asesoramiento Jurídico de la Cámara de Sociedades Anónimas y también Vicepresidente del Comité de Derecho de la Competencia del Colegio de Abogados de la Ciudad Autónoma de Buenos Aires. Es director de Emprendimiento Recoleta S.A. y Nuevas Fronteras S.A., y director suplente de IRSA Propiedades Comerciales S.A. Es socio de Zang, Bergel &amp; Viñes Abogados.</w:t>
      </w:r>
    </w:p>
    <w:p w14:paraId="4B16A10E" w14:textId="77777777" w:rsidR="000924EA" w:rsidRPr="00AE4E8D" w:rsidRDefault="000924EA" w:rsidP="000924EA">
      <w:pPr>
        <w:pStyle w:val="BHTexto"/>
        <w:rPr>
          <w:lang w:val="es-ES"/>
        </w:rPr>
      </w:pPr>
      <w:r w:rsidRPr="00AE4E8D">
        <w:rPr>
          <w:b/>
          <w:i/>
          <w:lang w:val="es-ES"/>
        </w:rPr>
        <w:t>Carlos Bernardo Písula.</w:t>
      </w:r>
      <w:r w:rsidRPr="00AE4E8D">
        <w:rPr>
          <w:lang w:val="es-ES"/>
        </w:rPr>
        <w:t xml:space="preserve"> El Sr. Písula obtuvo el título de Contador Público en la Universidad Nacional de Buenos Aires en el año 1973 donde realizó posteriormente estudios de perfeccionamiento y especialización. El Sr. Písula integra nuestro Directorio en representación de las acciones clase D. Es presidente del Comité de Auditoría conformando también el Comité de Riesgo y Créditos del mismo. Participa de diferentes comisiones en la Cámara Argentina de la Construcción y del Instituto de Estadística y Registro de la Industria de la Construcción IERIC como integrante del Comité Ejecutivo. Integra también el Directorio de distintas empresas vinculadas con la construcción y venta de inmuebles.</w:t>
      </w:r>
    </w:p>
    <w:p w14:paraId="3E2D62D0" w14:textId="77777777" w:rsidR="000924EA" w:rsidRPr="00AE4E8D" w:rsidRDefault="000924EA" w:rsidP="000924EA">
      <w:pPr>
        <w:pStyle w:val="BHTexto"/>
        <w:rPr>
          <w:lang w:val="es-ES"/>
        </w:rPr>
      </w:pPr>
      <w:r w:rsidRPr="00AE4E8D">
        <w:rPr>
          <w:b/>
          <w:i/>
          <w:lang w:val="es-ES"/>
        </w:rPr>
        <w:t>Claudio Aníbal Ersinger.</w:t>
      </w:r>
      <w:r w:rsidRPr="00AE4E8D">
        <w:rPr>
          <w:lang w:val="es-ES"/>
        </w:rPr>
        <w:t xml:space="preserve"> El Sr. Ersinger obtuvo el título de Médico veterinario en la Universidad Nacional del Centro de la Provincia de Buenos Aires. El Sr. Ersinger tiene una amplia experiencia en la administración de empresas agropecuarias, adicionalmente se desempeña como miembro titular por el Honorable Consejo Deliberante de Tandil de la Comisión Municipal de Gestión Territorial desde el 2009 y como Presidente de bloque de dicho Consejo desde el 2013.</w:t>
      </w:r>
    </w:p>
    <w:p w14:paraId="6E349F66" w14:textId="77777777" w:rsidR="000924EA" w:rsidRPr="00AE4E8D" w:rsidRDefault="000924EA" w:rsidP="000924EA">
      <w:pPr>
        <w:pStyle w:val="BHTexto"/>
        <w:rPr>
          <w:b/>
          <w:i/>
          <w:lang w:val="es-ES"/>
        </w:rPr>
      </w:pPr>
      <w:r w:rsidRPr="00AE4E8D">
        <w:rPr>
          <w:b/>
          <w:i/>
          <w:lang w:val="es-ES"/>
        </w:rPr>
        <w:t>Francisco José Fares.</w:t>
      </w:r>
      <w:r w:rsidRPr="00AE4E8D">
        <w:rPr>
          <w:lang w:val="es-ES"/>
        </w:rPr>
        <w:t xml:space="preserve"> El Sr. Fares se desempeña en la actividad privada relacionada al comercio, adicionalmente cuenta con una amplia trayectoria política entre las cuales se destacan su desempeño como asesor de la Presidencia del Senado de la Provincia de Buenos Aires y su función como Secretario de Turismo y Producción de la Municipalidad de Chascomús entre 2011 y 2015.</w:t>
      </w:r>
    </w:p>
    <w:p w14:paraId="73D40416" w14:textId="77777777" w:rsidR="000924EA" w:rsidRPr="00AE4E8D" w:rsidRDefault="000924EA" w:rsidP="000924EA">
      <w:pPr>
        <w:pStyle w:val="BHTexto"/>
        <w:rPr>
          <w:lang w:val="es-ES"/>
        </w:rPr>
      </w:pPr>
      <w:r w:rsidRPr="00AE4E8D">
        <w:rPr>
          <w:b/>
          <w:i/>
          <w:lang w:val="es-ES"/>
        </w:rPr>
        <w:lastRenderedPageBreak/>
        <w:t>Gabriel Quintela.</w:t>
      </w:r>
      <w:r w:rsidRPr="00AE4E8D">
        <w:rPr>
          <w:lang w:val="es-ES"/>
        </w:rPr>
        <w:t xml:space="preserve"> El Sr. Quintela es Contador Público y Licenciado en Economía con especialización en Moneda y Finanzas egresado de la Universidad de Buenos Aires. Desde el año 2008 el Sr. Quintela es coordinador de valuación de cartera del Fondo de Garantía de Sustentabilidad.</w:t>
      </w:r>
    </w:p>
    <w:p w14:paraId="27ADBFE6" w14:textId="77777777" w:rsidR="000924EA" w:rsidRPr="00AE4E8D" w:rsidRDefault="000924EA" w:rsidP="000924EA">
      <w:pPr>
        <w:pStyle w:val="BHTexto"/>
        <w:rPr>
          <w:b/>
          <w:i/>
          <w:lang w:val="es-ES"/>
        </w:rPr>
      </w:pPr>
      <w:r w:rsidRPr="00AE4E8D">
        <w:rPr>
          <w:b/>
          <w:i/>
          <w:lang w:val="es-ES"/>
        </w:rPr>
        <w:t>Sandra Alonso.</w:t>
      </w:r>
      <w:r w:rsidRPr="00AE4E8D">
        <w:rPr>
          <w:lang w:val="es-ES"/>
        </w:rPr>
        <w:t xml:space="preserve"> </w:t>
      </w:r>
      <w:proofErr w:type="gramStart"/>
      <w:r w:rsidRPr="00AE4E8D">
        <w:rPr>
          <w:lang w:val="es-ES"/>
        </w:rPr>
        <w:t>La</w:t>
      </w:r>
      <w:proofErr w:type="gramEnd"/>
      <w:r w:rsidRPr="00AE4E8D">
        <w:rPr>
          <w:lang w:val="es-ES"/>
        </w:rPr>
        <w:t xml:space="preserve"> Sra. Alonso obtuvo el título de técnica en administración agraria y realizó estudios de Administración de Empresas PyME en la Universidad Nacional del Centro. </w:t>
      </w:r>
      <w:proofErr w:type="gramStart"/>
      <w:r w:rsidRPr="00AE4E8D">
        <w:rPr>
          <w:lang w:val="es-ES"/>
        </w:rPr>
        <w:t>La</w:t>
      </w:r>
      <w:proofErr w:type="gramEnd"/>
      <w:r w:rsidRPr="00AE4E8D">
        <w:rPr>
          <w:lang w:val="es-ES"/>
        </w:rPr>
        <w:t xml:space="preserve"> Sra. Alonso fue supervisora regional de Claro Argentina hasta 2015 en donde adquirió experiencia en atención al cliente.</w:t>
      </w:r>
    </w:p>
    <w:p w14:paraId="4FA7906D" w14:textId="77777777" w:rsidR="000924EA" w:rsidRPr="00AE4E8D" w:rsidRDefault="000924EA" w:rsidP="000924EA">
      <w:pPr>
        <w:pStyle w:val="BHTexto"/>
        <w:rPr>
          <w:lang w:val="es-ES"/>
        </w:rPr>
      </w:pPr>
      <w:r w:rsidRPr="00AE4E8D">
        <w:rPr>
          <w:b/>
          <w:i/>
          <w:lang w:val="es-ES"/>
        </w:rPr>
        <w:t>Gustavo Daniel Efkhanian.</w:t>
      </w:r>
      <w:r w:rsidRPr="00AE4E8D">
        <w:rPr>
          <w:lang w:val="es-ES"/>
        </w:rPr>
        <w:t xml:space="preserve"> El Sr. Efkhanian obtuvo el título de Licenciado en Economía en la Universidad Nacional de Córdoba. En 2005 obtuvo un Master en Derecho Empresario en la Universidad Torcuato Di Tella. El Sr. Efkhanian se desempeñó como nuestro director ejecutivo desde 1997 hasta 1999, y se desempeña como nuestro director desde 1993, habiendo ocupado diversos cargos en el Banco desde 1991. El Sr. Efkhanian supervisa cuestiones relacionadas con negocios corporativos. Con anterioridad a ello, el Sr. Efkhanian fue nuestro asesor, designado por el gobierno en ocasión de la reestructuración de 1989-1993. El Sr. Efkhanian también ha prestado servicios como director suplente del Banco de Inversión y Comercio Exterior S.A. Desde 1988 a 1991, fue Economista del Instituto de Estudios Económicos de la Realidad Argentina y Latinoamericana. Actualmente es nuestro director suplente y Gerente de Área Riesgo y Controlling.</w:t>
      </w:r>
    </w:p>
    <w:p w14:paraId="6A5C9670" w14:textId="77777777" w:rsidR="000924EA" w:rsidRPr="00AE4E8D" w:rsidRDefault="000924EA" w:rsidP="000924EA">
      <w:pPr>
        <w:pStyle w:val="BHTexto"/>
        <w:rPr>
          <w:lang w:val="es-ES"/>
        </w:rPr>
      </w:pPr>
      <w:r w:rsidRPr="00AE4E8D">
        <w:rPr>
          <w:b/>
          <w:i/>
          <w:lang w:val="es-ES"/>
        </w:rPr>
        <w:t>Daniel Ricardo Elsztain.</w:t>
      </w:r>
      <w:r w:rsidRPr="00AE4E8D">
        <w:rPr>
          <w:lang w:val="es-ES"/>
        </w:rPr>
        <w:t xml:space="preserve"> El Sr. Elsztain obtuvo el título de Licenciado en Economía de la Universidad de Torcuato Di Tella y un Máster en Administración de Empresas en el IAE. Actualmente se desempaña como Chief Operating Officer de IRSA Inversiones y Representaciones Sociedad Anónima, y como director en IRSA Propiedades Comerciales S.A., IRSA Inversiones y Representaciones Sociedad Anónima y Supertel Hospitality Inc., entre otras compañías. El Sr. Elsztain es hermano de nuestro presidente Eduardo S. Elsztain. </w:t>
      </w:r>
    </w:p>
    <w:p w14:paraId="7D0435A7" w14:textId="77777777" w:rsidR="000924EA" w:rsidRPr="00AE4E8D" w:rsidRDefault="000924EA" w:rsidP="000924EA">
      <w:pPr>
        <w:pStyle w:val="BHTexto"/>
        <w:rPr>
          <w:lang w:val="es-ES"/>
        </w:rPr>
      </w:pPr>
      <w:r w:rsidRPr="00AE4E8D">
        <w:rPr>
          <w:b/>
          <w:i/>
          <w:lang w:val="es-ES"/>
        </w:rPr>
        <w:t>Andrés Fabián Ocampo.</w:t>
      </w:r>
      <w:r w:rsidRPr="00AE4E8D">
        <w:rPr>
          <w:lang w:val="es-ES"/>
        </w:rPr>
        <w:t xml:space="preserve"> El Sr. Ocampo obtuvo el título de Abogado en la Facultad de Derecho y Ciencias Políticas de la Universidad Católica Argentina. Realizó estudios de postgrado en el Instituto de Altos Estudios Empresariales de la Universidad Austral en el Programa de Alta Dirección y en Finanzas Operativas, y en la Universidad Argentina de la Empresa en Derecho Bancario.</w:t>
      </w:r>
    </w:p>
    <w:p w14:paraId="258B483F" w14:textId="77777777" w:rsidR="000924EA" w:rsidRPr="00AE4E8D" w:rsidRDefault="000924EA" w:rsidP="000924EA">
      <w:pPr>
        <w:pStyle w:val="BHTexto"/>
        <w:rPr>
          <w:lang w:val="es-ES"/>
        </w:rPr>
      </w:pPr>
      <w:r w:rsidRPr="00AE4E8D">
        <w:rPr>
          <w:b/>
          <w:i/>
          <w:lang w:val="es-ES"/>
        </w:rPr>
        <w:t>Mario César Parrado.</w:t>
      </w:r>
      <w:r w:rsidRPr="00AE4E8D">
        <w:rPr>
          <w:lang w:val="es-ES"/>
        </w:rPr>
        <w:t xml:space="preserve"> El Sr. Parrado obtuvo el título de Licenciado en Administración de Empresas en la Universidad Argentina de la Empresa. Tiene más de veinte años de experiencia en la actividad financiera, habiéndose desempeñado, entre otros cargos, como presidente de The Boston Investment Group, director de BankBoston Argentina y director de Fleet International Advisors S.A.</w:t>
      </w:r>
    </w:p>
    <w:p w14:paraId="6B5F6709" w14:textId="77777777" w:rsidR="000924EA" w:rsidRPr="00AE4E8D" w:rsidRDefault="000924EA" w:rsidP="000924EA">
      <w:pPr>
        <w:pStyle w:val="BHTexto"/>
        <w:rPr>
          <w:lang w:val="es-ES" w:eastAsia="es-AR"/>
        </w:rPr>
      </w:pPr>
      <w:r w:rsidRPr="00AE4E8D">
        <w:rPr>
          <w:b/>
          <w:i/>
          <w:lang w:val="es-ES"/>
        </w:rPr>
        <w:t>Federico León Bensadón.</w:t>
      </w:r>
      <w:r w:rsidRPr="00AE4E8D">
        <w:rPr>
          <w:lang w:val="es-ES"/>
        </w:rPr>
        <w:t xml:space="preserve"> El Sr. Bensadón obtuvo el título de Ingeniero Civil en la Universidad de Buenos Aires en 1957. Fue director titular por las acciones Clase C desde septiembre de 2002 hasta marzo de 2012, y desde entonces es director suplente. Es miembro del Directorio de las siguientes Sociedades: Telemetrix S.A. (Costa Salguero), Emaco S.A; Edilcenter S.A; Rafoy S.A., DR S.A., entre otras. También es Tesorero de la Cámara Argentina de la Construcción.</w:t>
      </w:r>
    </w:p>
    <w:p w14:paraId="4600AF6B" w14:textId="77777777" w:rsidR="000924EA" w:rsidRPr="00AE4E8D" w:rsidRDefault="000924EA" w:rsidP="000924EA">
      <w:pPr>
        <w:pStyle w:val="BHTexto"/>
        <w:rPr>
          <w:lang w:val="es-ES" w:eastAsia="es-AR"/>
        </w:rPr>
      </w:pPr>
      <w:r w:rsidRPr="00AE4E8D">
        <w:rPr>
          <w:lang w:val="es-ES" w:eastAsia="es-AR"/>
        </w:rPr>
        <w:t xml:space="preserve">La tabla que se muestra a continuación expone el número de nuestras acciones en poder de nuestros directores al 30 de junio de 2017: </w:t>
      </w:r>
    </w:p>
    <w:tbl>
      <w:tblPr>
        <w:tblW w:w="5000" w:type="pct"/>
        <w:jc w:val="center"/>
        <w:tblCellMar>
          <w:left w:w="115" w:type="dxa"/>
          <w:right w:w="115" w:type="dxa"/>
        </w:tblCellMar>
        <w:tblLook w:val="00A0" w:firstRow="1" w:lastRow="0" w:firstColumn="1" w:lastColumn="0" w:noHBand="0" w:noVBand="0"/>
      </w:tblPr>
      <w:tblGrid>
        <w:gridCol w:w="4287"/>
        <w:gridCol w:w="3176"/>
        <w:gridCol w:w="1272"/>
      </w:tblGrid>
      <w:tr w:rsidR="000924EA" w:rsidRPr="00AE4E8D" w14:paraId="79AD9E33" w14:textId="77777777" w:rsidTr="000400C8">
        <w:trPr>
          <w:trHeight w:val="255"/>
          <w:tblHeader/>
          <w:jc w:val="center"/>
        </w:trPr>
        <w:tc>
          <w:tcPr>
            <w:tcW w:w="2454" w:type="pct"/>
            <w:vAlign w:val="bottom"/>
          </w:tcPr>
          <w:p w14:paraId="23566C1F" w14:textId="77777777" w:rsidR="000924EA" w:rsidRPr="00AE4E8D" w:rsidRDefault="000924EA" w:rsidP="00232C94">
            <w:pPr>
              <w:pBdr>
                <w:bottom w:val="single" w:sz="4" w:space="1" w:color="auto"/>
              </w:pBdr>
              <w:rPr>
                <w:rFonts w:ascii="Times New Roman" w:hAnsi="Times New Roman"/>
                <w:b/>
                <w:i/>
                <w:color w:val="000000"/>
                <w:lang w:val="es-ES"/>
              </w:rPr>
            </w:pPr>
            <w:r w:rsidRPr="00AE4E8D">
              <w:rPr>
                <w:rFonts w:ascii="Times New Roman" w:hAnsi="Times New Roman"/>
                <w:b/>
                <w:lang w:val="es-ES"/>
              </w:rPr>
              <w:t>Director</w:t>
            </w:r>
          </w:p>
        </w:tc>
        <w:tc>
          <w:tcPr>
            <w:tcW w:w="1818" w:type="pct"/>
            <w:vAlign w:val="bottom"/>
          </w:tcPr>
          <w:p w14:paraId="457EA958" w14:textId="77777777" w:rsidR="000924EA" w:rsidRPr="00AE4E8D" w:rsidRDefault="000924EA" w:rsidP="00232C94">
            <w:pPr>
              <w:pBdr>
                <w:bottom w:val="single" w:sz="4" w:space="1" w:color="auto"/>
              </w:pBdr>
              <w:jc w:val="center"/>
              <w:rPr>
                <w:rFonts w:ascii="Times New Roman" w:hAnsi="Times New Roman"/>
                <w:b/>
                <w:i/>
                <w:color w:val="000000"/>
                <w:lang w:val="es-ES"/>
              </w:rPr>
            </w:pPr>
            <w:r w:rsidRPr="00AE4E8D">
              <w:rPr>
                <w:rFonts w:ascii="Times New Roman" w:hAnsi="Times New Roman"/>
                <w:b/>
                <w:lang w:val="es-ES"/>
              </w:rPr>
              <w:t>Número de acciones</w:t>
            </w:r>
          </w:p>
        </w:tc>
        <w:tc>
          <w:tcPr>
            <w:tcW w:w="728" w:type="pct"/>
            <w:vAlign w:val="bottom"/>
          </w:tcPr>
          <w:p w14:paraId="273364C5" w14:textId="77777777" w:rsidR="000924EA" w:rsidRPr="00AE4E8D" w:rsidRDefault="000924EA" w:rsidP="00232C94">
            <w:pPr>
              <w:pBdr>
                <w:bottom w:val="single" w:sz="4" w:space="1" w:color="auto"/>
              </w:pBdr>
              <w:jc w:val="center"/>
              <w:rPr>
                <w:rFonts w:ascii="Times New Roman" w:hAnsi="Times New Roman"/>
                <w:b/>
                <w:i/>
                <w:color w:val="000000"/>
                <w:lang w:val="es-ES"/>
              </w:rPr>
            </w:pPr>
            <w:r w:rsidRPr="00AE4E8D">
              <w:rPr>
                <w:rFonts w:ascii="Times New Roman" w:hAnsi="Times New Roman"/>
                <w:b/>
                <w:lang w:val="es-ES"/>
              </w:rPr>
              <w:t>Clase</w:t>
            </w:r>
          </w:p>
        </w:tc>
      </w:tr>
      <w:tr w:rsidR="000924EA" w:rsidRPr="00AE4E8D" w14:paraId="55CAF311" w14:textId="77777777" w:rsidTr="000400C8">
        <w:trPr>
          <w:jc w:val="center"/>
        </w:trPr>
        <w:tc>
          <w:tcPr>
            <w:tcW w:w="2454" w:type="pct"/>
            <w:vAlign w:val="bottom"/>
          </w:tcPr>
          <w:p w14:paraId="149AF30E" w14:textId="77777777" w:rsidR="000924EA" w:rsidRPr="00AE4E8D" w:rsidRDefault="000924EA" w:rsidP="00232C94">
            <w:pPr>
              <w:tabs>
                <w:tab w:val="right" w:leader="dot" w:pos="4473"/>
              </w:tabs>
              <w:ind w:left="144" w:hanging="144"/>
              <w:jc w:val="both"/>
              <w:rPr>
                <w:rFonts w:ascii="Times New Roman" w:hAnsi="Times New Roman"/>
                <w:lang w:val="es-ES"/>
              </w:rPr>
            </w:pPr>
            <w:r w:rsidRPr="00AE4E8D">
              <w:rPr>
                <w:rFonts w:ascii="Times New Roman" w:hAnsi="Times New Roman"/>
                <w:lang w:val="es-ES"/>
              </w:rPr>
              <w:t>Elsztain, Eduardo Sergio</w:t>
            </w:r>
            <w:r w:rsidRPr="00AE4E8D">
              <w:rPr>
                <w:rFonts w:ascii="Times New Roman" w:hAnsi="Times New Roman"/>
                <w:lang w:val="es-ES"/>
              </w:rPr>
              <w:tab/>
            </w:r>
          </w:p>
        </w:tc>
        <w:tc>
          <w:tcPr>
            <w:tcW w:w="1818" w:type="pct"/>
            <w:vAlign w:val="bottom"/>
          </w:tcPr>
          <w:p w14:paraId="176B228D" w14:textId="77777777" w:rsidR="000924EA" w:rsidRPr="00AE4E8D" w:rsidRDefault="000924EA" w:rsidP="00232C94">
            <w:pPr>
              <w:tabs>
                <w:tab w:val="decimal" w:pos="1773"/>
              </w:tabs>
              <w:rPr>
                <w:rFonts w:ascii="Times New Roman" w:hAnsi="Times New Roman"/>
                <w:lang w:val="es-ES"/>
              </w:rPr>
            </w:pPr>
            <w:r w:rsidRPr="00AE4E8D">
              <w:rPr>
                <w:rFonts w:ascii="Times New Roman" w:hAnsi="Times New Roman"/>
                <w:lang w:val="es-ES"/>
              </w:rPr>
              <w:t>5.000</w:t>
            </w:r>
          </w:p>
        </w:tc>
        <w:tc>
          <w:tcPr>
            <w:tcW w:w="728" w:type="pct"/>
            <w:vAlign w:val="bottom"/>
          </w:tcPr>
          <w:p w14:paraId="04193320" w14:textId="77777777" w:rsidR="000924EA" w:rsidRPr="00AE4E8D" w:rsidRDefault="000924EA" w:rsidP="00232C94">
            <w:pPr>
              <w:jc w:val="center"/>
              <w:rPr>
                <w:rFonts w:ascii="Times New Roman" w:hAnsi="Times New Roman"/>
                <w:lang w:val="es-ES"/>
              </w:rPr>
            </w:pPr>
            <w:r w:rsidRPr="00AE4E8D">
              <w:rPr>
                <w:rFonts w:ascii="Times New Roman" w:hAnsi="Times New Roman"/>
                <w:lang w:val="es-ES"/>
              </w:rPr>
              <w:t>D</w:t>
            </w:r>
          </w:p>
        </w:tc>
      </w:tr>
      <w:tr w:rsidR="000924EA" w:rsidRPr="00AE4E8D" w14:paraId="07331034" w14:textId="77777777" w:rsidTr="000400C8">
        <w:trPr>
          <w:trHeight w:val="255"/>
          <w:jc w:val="center"/>
        </w:trPr>
        <w:tc>
          <w:tcPr>
            <w:tcW w:w="2454" w:type="pct"/>
            <w:vAlign w:val="bottom"/>
          </w:tcPr>
          <w:p w14:paraId="65DBC5F7" w14:textId="77777777" w:rsidR="000924EA" w:rsidRPr="00AE4E8D" w:rsidRDefault="000924EA" w:rsidP="00232C94">
            <w:pPr>
              <w:tabs>
                <w:tab w:val="right" w:leader="dot" w:pos="4473"/>
              </w:tabs>
              <w:ind w:left="144" w:hanging="144"/>
              <w:jc w:val="both"/>
              <w:rPr>
                <w:rFonts w:ascii="Times New Roman" w:hAnsi="Times New Roman"/>
                <w:lang w:val="es-ES"/>
              </w:rPr>
            </w:pPr>
            <w:r w:rsidRPr="00AE4E8D">
              <w:rPr>
                <w:rFonts w:ascii="Times New Roman" w:hAnsi="Times New Roman"/>
                <w:lang w:val="es-ES"/>
              </w:rPr>
              <w:t>Vergara del Carril, Pablo</w:t>
            </w:r>
            <w:r w:rsidRPr="00AE4E8D">
              <w:rPr>
                <w:rFonts w:ascii="Times New Roman" w:hAnsi="Times New Roman"/>
                <w:lang w:val="es-ES"/>
              </w:rPr>
              <w:tab/>
            </w:r>
          </w:p>
        </w:tc>
        <w:tc>
          <w:tcPr>
            <w:tcW w:w="1818" w:type="pct"/>
            <w:vAlign w:val="bottom"/>
          </w:tcPr>
          <w:p w14:paraId="3B46790F" w14:textId="77777777" w:rsidR="000924EA" w:rsidRPr="00AE4E8D" w:rsidRDefault="000924EA" w:rsidP="00232C94">
            <w:pPr>
              <w:tabs>
                <w:tab w:val="decimal" w:pos="1773"/>
              </w:tabs>
              <w:rPr>
                <w:rFonts w:ascii="Times New Roman" w:hAnsi="Times New Roman"/>
                <w:lang w:val="es-ES"/>
              </w:rPr>
            </w:pPr>
            <w:r w:rsidRPr="00AE4E8D">
              <w:rPr>
                <w:rFonts w:ascii="Times New Roman" w:hAnsi="Times New Roman"/>
                <w:lang w:val="es-ES"/>
              </w:rPr>
              <w:t>27.000</w:t>
            </w:r>
          </w:p>
        </w:tc>
        <w:tc>
          <w:tcPr>
            <w:tcW w:w="728" w:type="pct"/>
            <w:vAlign w:val="bottom"/>
          </w:tcPr>
          <w:p w14:paraId="199F169C" w14:textId="77777777" w:rsidR="000924EA" w:rsidRPr="00AE4E8D" w:rsidRDefault="000924EA" w:rsidP="00232C94">
            <w:pPr>
              <w:jc w:val="center"/>
              <w:rPr>
                <w:rFonts w:ascii="Times New Roman" w:hAnsi="Times New Roman"/>
                <w:lang w:val="es-ES"/>
              </w:rPr>
            </w:pPr>
            <w:r w:rsidRPr="00AE4E8D">
              <w:rPr>
                <w:rFonts w:ascii="Times New Roman" w:hAnsi="Times New Roman"/>
                <w:lang w:val="es-ES"/>
              </w:rPr>
              <w:t>D</w:t>
            </w:r>
          </w:p>
        </w:tc>
      </w:tr>
      <w:tr w:rsidR="000924EA" w:rsidRPr="00AE4E8D" w14:paraId="48BD8A21" w14:textId="77777777" w:rsidTr="000400C8">
        <w:trPr>
          <w:trHeight w:val="255"/>
          <w:jc w:val="center"/>
        </w:trPr>
        <w:tc>
          <w:tcPr>
            <w:tcW w:w="2454" w:type="pct"/>
            <w:vAlign w:val="bottom"/>
          </w:tcPr>
          <w:p w14:paraId="4D0150D7" w14:textId="77777777" w:rsidR="000924EA" w:rsidRPr="00AE4E8D" w:rsidRDefault="000924EA" w:rsidP="00232C94">
            <w:pPr>
              <w:tabs>
                <w:tab w:val="right" w:leader="dot" w:pos="4473"/>
              </w:tabs>
              <w:ind w:left="144" w:hanging="144"/>
              <w:jc w:val="both"/>
              <w:rPr>
                <w:rFonts w:ascii="Times New Roman" w:hAnsi="Times New Roman"/>
                <w:lang w:val="es-ES"/>
              </w:rPr>
            </w:pPr>
            <w:r w:rsidRPr="00AE4E8D">
              <w:rPr>
                <w:rFonts w:ascii="Times New Roman" w:hAnsi="Times New Roman"/>
                <w:lang w:val="es-ES"/>
              </w:rPr>
              <w:t>Ocampo, Andrés</w:t>
            </w:r>
            <w:r w:rsidRPr="00AE4E8D">
              <w:rPr>
                <w:rFonts w:ascii="Times New Roman" w:hAnsi="Times New Roman"/>
                <w:lang w:val="es-ES"/>
              </w:rPr>
              <w:tab/>
            </w:r>
          </w:p>
        </w:tc>
        <w:tc>
          <w:tcPr>
            <w:tcW w:w="1818" w:type="pct"/>
            <w:vAlign w:val="bottom"/>
          </w:tcPr>
          <w:p w14:paraId="4687198D" w14:textId="77777777" w:rsidR="000924EA" w:rsidRPr="00AE4E8D" w:rsidRDefault="000924EA" w:rsidP="00232C94">
            <w:pPr>
              <w:tabs>
                <w:tab w:val="decimal" w:pos="1773"/>
              </w:tabs>
              <w:rPr>
                <w:rFonts w:ascii="Times New Roman" w:hAnsi="Times New Roman"/>
                <w:lang w:val="es-ES"/>
              </w:rPr>
            </w:pPr>
            <w:r w:rsidRPr="00AE4E8D">
              <w:rPr>
                <w:rFonts w:ascii="Times New Roman" w:hAnsi="Times New Roman"/>
                <w:lang w:val="es-ES"/>
              </w:rPr>
              <w:t>100</w:t>
            </w:r>
          </w:p>
        </w:tc>
        <w:tc>
          <w:tcPr>
            <w:tcW w:w="728" w:type="pct"/>
            <w:vAlign w:val="bottom"/>
          </w:tcPr>
          <w:p w14:paraId="47EC2112" w14:textId="77777777" w:rsidR="000924EA" w:rsidRPr="00AE4E8D" w:rsidRDefault="000924EA" w:rsidP="00232C94">
            <w:pPr>
              <w:jc w:val="center"/>
              <w:rPr>
                <w:rFonts w:ascii="Times New Roman" w:hAnsi="Times New Roman"/>
                <w:szCs w:val="24"/>
                <w:lang w:val="es-ES" w:eastAsia="es-AR"/>
              </w:rPr>
            </w:pPr>
            <w:r w:rsidRPr="00AE4E8D">
              <w:rPr>
                <w:rFonts w:ascii="Times New Roman" w:hAnsi="Times New Roman"/>
                <w:lang w:val="es-ES"/>
              </w:rPr>
              <w:t>D</w:t>
            </w:r>
          </w:p>
        </w:tc>
      </w:tr>
    </w:tbl>
    <w:p w14:paraId="2A68DE9E" w14:textId="77777777" w:rsidR="000924EA" w:rsidRPr="00AE4E8D" w:rsidRDefault="000924EA" w:rsidP="000924EA">
      <w:pPr>
        <w:pStyle w:val="BH3Izquierda"/>
        <w:rPr>
          <w:lang w:val="es-ES"/>
        </w:rPr>
      </w:pPr>
      <w:r w:rsidRPr="00AE4E8D">
        <w:rPr>
          <w:lang w:val="es-ES"/>
        </w:rPr>
        <w:t xml:space="preserve">Contratos de Trabajo con Directores </w:t>
      </w:r>
    </w:p>
    <w:p w14:paraId="143129F2" w14:textId="77777777" w:rsidR="000924EA" w:rsidRPr="00AE4E8D" w:rsidRDefault="000924EA" w:rsidP="000924EA">
      <w:pPr>
        <w:pStyle w:val="BHTexto"/>
        <w:rPr>
          <w:lang w:val="es-ES"/>
        </w:rPr>
      </w:pPr>
      <w:r w:rsidRPr="00AE4E8D">
        <w:rPr>
          <w:lang w:val="es-ES"/>
        </w:rPr>
        <w:t>Hemos celebrado contratos de trabajo con uno de nuestros directores titulares. El director Ernesto Manuel Viñes desempeña funciones ejecutivas y/o administrativas, por lo que se lo considera nuestro empleado.</w:t>
      </w:r>
    </w:p>
    <w:p w14:paraId="3D22D486" w14:textId="77777777" w:rsidR="000924EA" w:rsidRPr="00AE4E8D" w:rsidRDefault="000924EA" w:rsidP="000924EA">
      <w:pPr>
        <w:pStyle w:val="BH3Izquierda"/>
        <w:rPr>
          <w:lang w:val="es-ES"/>
        </w:rPr>
      </w:pPr>
      <w:r w:rsidRPr="00AE4E8D">
        <w:rPr>
          <w:lang w:val="es-ES"/>
        </w:rPr>
        <w:t>Comité Ejecutivo</w:t>
      </w:r>
    </w:p>
    <w:p w14:paraId="7C3FE793" w14:textId="77777777" w:rsidR="000924EA" w:rsidRPr="00AE4E8D" w:rsidRDefault="000924EA" w:rsidP="000924EA">
      <w:pPr>
        <w:pStyle w:val="BHTexto"/>
        <w:rPr>
          <w:color w:val="000000"/>
          <w:szCs w:val="24"/>
          <w:lang w:val="es-ES"/>
        </w:rPr>
      </w:pPr>
      <w:r w:rsidRPr="00AE4E8D">
        <w:rPr>
          <w:color w:val="000000"/>
          <w:lang w:val="es-ES"/>
        </w:rPr>
        <w:t xml:space="preserve">El Estatuto social contempla en su artículo 19, el funcionamiento de un Comité Ejecutivo. </w:t>
      </w:r>
      <w:r w:rsidRPr="00AE4E8D">
        <w:rPr>
          <w:lang w:val="es-ES"/>
        </w:rPr>
        <w:t xml:space="preserve">El objeto general del Comité Ejecutivo es supervisar el giro ordinario de nuestros negocios y está compuesto de entre un mínimo de cinco y un máximo de nueve directores elegidos por los accionistas Clase D y una cantidad igual o menor de directores suplentes de la misma clase de acciones que determine el Directorio. </w:t>
      </w:r>
      <w:r w:rsidRPr="00AE4E8D">
        <w:rPr>
          <w:color w:val="000000"/>
          <w:szCs w:val="24"/>
          <w:lang w:val="es-ES"/>
        </w:rPr>
        <w:t>A su vez, cuando fuera convocado al mismo podrá participar el Gerente General con voz pero sin voto.</w:t>
      </w:r>
    </w:p>
    <w:p w14:paraId="3AA3FCDF" w14:textId="77777777" w:rsidR="000924EA" w:rsidRPr="00AE4E8D" w:rsidRDefault="000924EA" w:rsidP="000924EA">
      <w:pPr>
        <w:pStyle w:val="BHTexto"/>
        <w:rPr>
          <w:color w:val="000000"/>
          <w:szCs w:val="24"/>
          <w:lang w:val="es-ES"/>
        </w:rPr>
      </w:pPr>
      <w:r w:rsidRPr="00AE4E8D">
        <w:rPr>
          <w:color w:val="000000"/>
          <w:szCs w:val="24"/>
          <w:lang w:val="es-ES"/>
        </w:rPr>
        <w:lastRenderedPageBreak/>
        <w:t>La designación de los miembros del Comité Ejecutivo así como cualquier modificación en la integración de éste, ya fuere por renuncia, licencia, incorporación o sustitución de sus miembros, o cualquier otra causa, una vez considerada por el Directorio debe ser comunicada al BCRA y a la CNV en los plazos establecidos en la normativa vigente.</w:t>
      </w:r>
    </w:p>
    <w:p w14:paraId="4028C443" w14:textId="77777777" w:rsidR="000924EA" w:rsidRPr="00AE4E8D" w:rsidRDefault="000924EA" w:rsidP="000924EA">
      <w:pPr>
        <w:pStyle w:val="BHTexto"/>
        <w:rPr>
          <w:color w:val="000000"/>
          <w:szCs w:val="24"/>
          <w:lang w:val="es-ES"/>
        </w:rPr>
      </w:pPr>
      <w:r w:rsidRPr="00AE4E8D">
        <w:rPr>
          <w:color w:val="000000"/>
          <w:szCs w:val="24"/>
          <w:lang w:val="es-ES"/>
        </w:rPr>
        <w:t>El Comité Ejecutivo debe reunirse al menos una vez al mes y toda vez que el presidente del Directorio convoque a reunión y tendrá conforme a nuestro Estatuto, los deberes y facultades que en el mismo se describen y que se detallan en el “Reglamento de Funcionamiento del Comité Ejecutivo” que se enuncia en el Código de Gobierno Societario.</w:t>
      </w:r>
    </w:p>
    <w:p w14:paraId="76FE2297" w14:textId="77777777" w:rsidR="000924EA" w:rsidRPr="00AE4E8D" w:rsidRDefault="000924EA" w:rsidP="000924EA">
      <w:pPr>
        <w:pStyle w:val="BHTexto"/>
        <w:rPr>
          <w:lang w:val="es-ES"/>
        </w:rPr>
      </w:pPr>
      <w:r w:rsidRPr="00AE4E8D">
        <w:rPr>
          <w:lang w:val="es-ES"/>
        </w:rPr>
        <w:t>Conforme a nuestro Estatuto, los deberes y facultades del Comité Ejecutivo incluyen (i) dirigir el giro ordinario de nuestras actividades así como cualquier asunto delegado al mismo por el Directorio; (ii) desarrollar políticas comerciales, crediticias y financieras sujeto a la aprobación del Directorio; (iii) crear, mantener y reestructurar nuestra administración; (iv) crear comités especiales, aprobar su estructura o nivel de funciones y determinar el alcance de sus funciones; (v) nombrar gerentes generales, el vicepresidente ejecutivo y otros miembros de la Gerencia Senior; (vi) proponer al Directorio la creación de sucursales, agencias u oficinas representativas dentro o fuera de Argentina, (vii) supervisar la administración de nuestras subsidiarias; (viii) presentar para la consideración del Directorio régimen de contrataciones, presupuestos anuales, estimaciones de gastos e inversiones, niveles de endeudamiento necesarios y planes de acción; (ix) aprobar novaciones, refinanciaciones, remisiones de deuda, etc., cuando sea necesario para el giro ordinario de nuestros negocios sociales; y (x) dictar su propio reglamento interno.</w:t>
      </w:r>
    </w:p>
    <w:p w14:paraId="0E81FC69" w14:textId="77777777" w:rsidR="000924EA" w:rsidRPr="00AE4E8D" w:rsidRDefault="000924EA" w:rsidP="000924EA">
      <w:pPr>
        <w:pStyle w:val="BHTexto"/>
        <w:rPr>
          <w:color w:val="000000"/>
          <w:lang w:val="es-ES"/>
        </w:rPr>
      </w:pPr>
      <w:r w:rsidRPr="00AE4E8D">
        <w:rPr>
          <w:color w:val="000000"/>
          <w:lang w:val="es-ES"/>
        </w:rPr>
        <w:t>Los actuales miembros del Comité Ejecutivo son:</w:t>
      </w:r>
    </w:p>
    <w:tbl>
      <w:tblPr>
        <w:tblW w:w="5000" w:type="pct"/>
        <w:jc w:val="center"/>
        <w:tblLook w:val="00A0" w:firstRow="1" w:lastRow="0" w:firstColumn="1" w:lastColumn="0" w:noHBand="0" w:noVBand="0"/>
      </w:tblPr>
      <w:tblGrid>
        <w:gridCol w:w="4360"/>
        <w:gridCol w:w="4361"/>
      </w:tblGrid>
      <w:tr w:rsidR="000924EA" w:rsidRPr="00AE4E8D" w14:paraId="75DBE86E" w14:textId="77777777" w:rsidTr="000400C8">
        <w:trPr>
          <w:tblHeader/>
          <w:jc w:val="center"/>
        </w:trPr>
        <w:tc>
          <w:tcPr>
            <w:tcW w:w="2500" w:type="pct"/>
          </w:tcPr>
          <w:p w14:paraId="2BBCFDDF" w14:textId="77777777" w:rsidR="000924EA" w:rsidRPr="00AE4E8D" w:rsidRDefault="000924EA" w:rsidP="00232C94">
            <w:pPr>
              <w:pBdr>
                <w:bottom w:val="single" w:sz="4" w:space="0" w:color="auto"/>
              </w:pBdr>
              <w:rPr>
                <w:rFonts w:ascii="Times New Roman" w:hAnsi="Times New Roman"/>
                <w:b/>
                <w:lang w:val="es-ES"/>
              </w:rPr>
            </w:pPr>
            <w:r w:rsidRPr="00AE4E8D">
              <w:rPr>
                <w:rFonts w:ascii="Times New Roman" w:hAnsi="Times New Roman"/>
                <w:b/>
                <w:lang w:val="es-ES"/>
              </w:rPr>
              <w:t>Nombre</w:t>
            </w:r>
          </w:p>
        </w:tc>
        <w:tc>
          <w:tcPr>
            <w:tcW w:w="2500" w:type="pct"/>
          </w:tcPr>
          <w:p w14:paraId="0C64108F" w14:textId="77777777" w:rsidR="000924EA" w:rsidRPr="00AE4E8D" w:rsidRDefault="000924EA" w:rsidP="00232C94">
            <w:pPr>
              <w:pBdr>
                <w:bottom w:val="single" w:sz="4" w:space="0" w:color="auto"/>
              </w:pBdr>
              <w:rPr>
                <w:rFonts w:ascii="Times New Roman" w:hAnsi="Times New Roman"/>
                <w:b/>
                <w:lang w:val="es-ES"/>
              </w:rPr>
            </w:pPr>
            <w:r w:rsidRPr="00AE4E8D">
              <w:rPr>
                <w:rFonts w:ascii="Times New Roman" w:hAnsi="Times New Roman"/>
                <w:b/>
                <w:lang w:val="es-ES"/>
              </w:rPr>
              <w:t>Cargo</w:t>
            </w:r>
          </w:p>
        </w:tc>
      </w:tr>
      <w:tr w:rsidR="000924EA" w:rsidRPr="00AE4E8D" w14:paraId="052D4224" w14:textId="77777777" w:rsidTr="000400C8">
        <w:trPr>
          <w:jc w:val="center"/>
        </w:trPr>
        <w:tc>
          <w:tcPr>
            <w:tcW w:w="2500" w:type="pct"/>
          </w:tcPr>
          <w:p w14:paraId="1070C3CB" w14:textId="77777777" w:rsidR="000924EA" w:rsidRPr="00AE4E8D" w:rsidRDefault="000924EA" w:rsidP="00232C94">
            <w:pPr>
              <w:tabs>
                <w:tab w:val="right" w:leader="do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Eduardo Sergio Elsztain</w:t>
            </w:r>
          </w:p>
        </w:tc>
        <w:tc>
          <w:tcPr>
            <w:tcW w:w="2500" w:type="pct"/>
          </w:tcPr>
          <w:p w14:paraId="5113F1BA" w14:textId="77777777" w:rsidR="000924EA" w:rsidRPr="00AE4E8D" w:rsidRDefault="000924EA" w:rsidP="00232C94">
            <w:pPr>
              <w:rPr>
                <w:rFonts w:ascii="Times New Roman" w:hAnsi="Times New Roman"/>
                <w:lang w:val="es-ES"/>
              </w:rPr>
            </w:pPr>
            <w:r w:rsidRPr="00AE4E8D">
              <w:rPr>
                <w:rFonts w:ascii="Times New Roman" w:hAnsi="Times New Roman"/>
                <w:lang w:val="es-ES"/>
              </w:rPr>
              <w:t>Presidente</w:t>
            </w:r>
          </w:p>
        </w:tc>
      </w:tr>
      <w:tr w:rsidR="000924EA" w:rsidRPr="00AE4E8D" w14:paraId="079EC819" w14:textId="77777777" w:rsidTr="000400C8">
        <w:trPr>
          <w:jc w:val="center"/>
        </w:trPr>
        <w:tc>
          <w:tcPr>
            <w:tcW w:w="2500" w:type="pct"/>
          </w:tcPr>
          <w:p w14:paraId="344F2330"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Saúl Zang</w:t>
            </w:r>
          </w:p>
        </w:tc>
        <w:tc>
          <w:tcPr>
            <w:tcW w:w="2500" w:type="pct"/>
          </w:tcPr>
          <w:p w14:paraId="5B05C68C"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Miembro titular</w:t>
            </w:r>
          </w:p>
        </w:tc>
      </w:tr>
      <w:tr w:rsidR="000924EA" w:rsidRPr="00AE4E8D" w14:paraId="4F626FC5" w14:textId="77777777" w:rsidTr="000400C8">
        <w:trPr>
          <w:jc w:val="center"/>
        </w:trPr>
        <w:tc>
          <w:tcPr>
            <w:tcW w:w="2500" w:type="pct"/>
          </w:tcPr>
          <w:p w14:paraId="716F1563"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Mario Blejer</w:t>
            </w:r>
          </w:p>
        </w:tc>
        <w:tc>
          <w:tcPr>
            <w:tcW w:w="2500" w:type="pct"/>
          </w:tcPr>
          <w:p w14:paraId="4D945A8B"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Miembro titular</w:t>
            </w:r>
          </w:p>
        </w:tc>
      </w:tr>
      <w:tr w:rsidR="000924EA" w:rsidRPr="00AE4E8D" w14:paraId="54A6D70C" w14:textId="77777777" w:rsidTr="000400C8">
        <w:trPr>
          <w:jc w:val="center"/>
        </w:trPr>
        <w:tc>
          <w:tcPr>
            <w:tcW w:w="2500" w:type="pct"/>
          </w:tcPr>
          <w:p w14:paraId="0E66BA47"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Ernesto Manuel Viñes</w:t>
            </w:r>
          </w:p>
        </w:tc>
        <w:tc>
          <w:tcPr>
            <w:tcW w:w="2500" w:type="pct"/>
          </w:tcPr>
          <w:p w14:paraId="1604E3E0"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Miembro titular</w:t>
            </w:r>
          </w:p>
        </w:tc>
      </w:tr>
      <w:tr w:rsidR="000924EA" w:rsidRPr="00AE4E8D" w14:paraId="7A14F075" w14:textId="77777777" w:rsidTr="000400C8">
        <w:trPr>
          <w:jc w:val="center"/>
        </w:trPr>
        <w:tc>
          <w:tcPr>
            <w:tcW w:w="2500" w:type="pct"/>
          </w:tcPr>
          <w:p w14:paraId="1F94DCED"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Pablo Daniel Vergara del Carril</w:t>
            </w:r>
          </w:p>
        </w:tc>
        <w:tc>
          <w:tcPr>
            <w:tcW w:w="2500" w:type="pct"/>
          </w:tcPr>
          <w:p w14:paraId="2CEC235A"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Miembro titular</w:t>
            </w:r>
          </w:p>
        </w:tc>
      </w:tr>
      <w:tr w:rsidR="000924EA" w:rsidRPr="00AE4E8D" w14:paraId="3F70B858" w14:textId="77777777" w:rsidTr="000400C8">
        <w:trPr>
          <w:jc w:val="center"/>
        </w:trPr>
        <w:tc>
          <w:tcPr>
            <w:tcW w:w="2500" w:type="pct"/>
          </w:tcPr>
          <w:p w14:paraId="1059C4A0"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Gabriel Adolfo Gregorio Reznik</w:t>
            </w:r>
          </w:p>
        </w:tc>
        <w:tc>
          <w:tcPr>
            <w:tcW w:w="2500" w:type="pct"/>
          </w:tcPr>
          <w:p w14:paraId="5ED8D503"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Miembro titular</w:t>
            </w:r>
          </w:p>
        </w:tc>
      </w:tr>
      <w:tr w:rsidR="000924EA" w:rsidRPr="00AE4E8D" w14:paraId="68DC1D6E" w14:textId="77777777" w:rsidTr="000400C8">
        <w:trPr>
          <w:jc w:val="center"/>
        </w:trPr>
        <w:tc>
          <w:tcPr>
            <w:tcW w:w="2500" w:type="pct"/>
          </w:tcPr>
          <w:p w14:paraId="625CE328"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Mauricio Elías Wior</w:t>
            </w:r>
          </w:p>
        </w:tc>
        <w:tc>
          <w:tcPr>
            <w:tcW w:w="2500" w:type="pct"/>
          </w:tcPr>
          <w:p w14:paraId="2083518C" w14:textId="77777777" w:rsidR="000924EA" w:rsidRPr="00AE4E8D" w:rsidRDefault="000924EA" w:rsidP="00232C94">
            <w:pPr>
              <w:tabs>
                <w:tab w:val="left" w:pos="0"/>
                <w:tab w:val="right" w:leader="dot" w:pos="4560"/>
              </w:tabs>
              <w:spacing w:before="100" w:beforeAutospacing="1" w:after="100" w:afterAutospacing="1"/>
              <w:ind w:left="144" w:hanging="144"/>
              <w:rPr>
                <w:rFonts w:ascii="Times New Roman" w:hAnsi="Times New Roman"/>
                <w:lang w:val="es-ES"/>
              </w:rPr>
            </w:pPr>
            <w:r w:rsidRPr="00AE4E8D">
              <w:rPr>
                <w:rFonts w:ascii="Times New Roman" w:hAnsi="Times New Roman"/>
                <w:lang w:val="es-ES"/>
              </w:rPr>
              <w:t>Miembro suplente</w:t>
            </w:r>
          </w:p>
        </w:tc>
      </w:tr>
    </w:tbl>
    <w:p w14:paraId="5F62004B" w14:textId="77777777" w:rsidR="000924EA" w:rsidRPr="00AE4E8D" w:rsidRDefault="000924EA" w:rsidP="000924EA">
      <w:pPr>
        <w:pStyle w:val="BH3Izquierda"/>
        <w:rPr>
          <w:w w:val="0"/>
          <w:lang w:val="es-ES"/>
        </w:rPr>
      </w:pPr>
      <w:r w:rsidRPr="00AE4E8D">
        <w:rPr>
          <w:w w:val="0"/>
          <w:lang w:val="es-ES"/>
        </w:rPr>
        <w:t>Elección de los Directores y Reuniones de Directorio</w:t>
      </w:r>
    </w:p>
    <w:p w14:paraId="4DB21656" w14:textId="77777777" w:rsidR="000924EA" w:rsidRPr="00AE4E8D" w:rsidRDefault="000924EA" w:rsidP="000924EA">
      <w:pPr>
        <w:pStyle w:val="BHTexto"/>
        <w:rPr>
          <w:lang w:val="es-ES"/>
        </w:rPr>
      </w:pPr>
      <w:r w:rsidRPr="00AE4E8D">
        <w:rPr>
          <w:lang w:val="es-ES"/>
        </w:rPr>
        <w:t>Nuestros directores serán designados por períodos escalonados de dos años, salvo que se los designe para reemplazar a un director previamente designado. Luego de la implementación del Programa de Propiedad Participada (“</w:t>
      </w:r>
      <w:r w:rsidRPr="00AE4E8D">
        <w:rPr>
          <w:u w:val="single"/>
          <w:lang w:val="es-ES"/>
        </w:rPr>
        <w:t>PPP</w:t>
      </w:r>
      <w:r w:rsidRPr="00AE4E8D">
        <w:rPr>
          <w:lang w:val="es-ES"/>
        </w:rPr>
        <w:t xml:space="preserve">”), los tenedores de acciones Clase B tendrán derecho a elegir a un director titular y a un suplente, mientras dichas acciones representen más del 2,0% de nuestro capital accionario en circulación en la fecha de convocatoria de la asamblea de Accionistas. Al producirse la transferencia de las acciones Clase C a determinadas empresas dedicadas a la construcción de viviendas o a actividades inmobiliarias, los tenedores de acciones Clase C tendrán derecho a elegir a un director titular y a un suplente mientras dichas acciones representen más del 3,0% de nuestro capital en circulación en la fecha de convocatoria de la asamblea de accionistas. Hasta que se cumplan las condiciones antedichas, dichos </w:t>
      </w:r>
      <w:proofErr w:type="gramStart"/>
      <w:r w:rsidRPr="00AE4E8D">
        <w:rPr>
          <w:lang w:val="es-ES"/>
        </w:rPr>
        <w:t>directores</w:t>
      </w:r>
      <w:proofErr w:type="gramEnd"/>
      <w:r w:rsidRPr="00AE4E8D">
        <w:rPr>
          <w:lang w:val="es-ES"/>
        </w:rPr>
        <w:t xml:space="preserve"> serán elegidos por el gobierno Nacional. Si el porcentaje de nuestro capital representado por acciones Clase B o Clase C se reduce al 2,0% o 3,0% o menos, respectivamente, los tenedores de dichas clases tendrán derecho a votar conjuntamente con los accionistas Clase D. Los tenedores de acciones Clase D tienen derecho a elegir nueve directores y sus respectivos suplentes. En tanto, como mínimo una acción Clase A se encuentre en circulación, los tenedores de esa clase tendrán derecho a elegir dos directores titulares y dos suplentes.</w:t>
      </w:r>
    </w:p>
    <w:p w14:paraId="440FB9F5" w14:textId="77777777" w:rsidR="000924EA" w:rsidRPr="00AE4E8D" w:rsidRDefault="000924EA" w:rsidP="000924EA">
      <w:pPr>
        <w:pStyle w:val="BHTexto"/>
        <w:rPr>
          <w:lang w:val="es-ES"/>
        </w:rPr>
      </w:pPr>
      <w:r w:rsidRPr="00AE4E8D">
        <w:rPr>
          <w:lang w:val="es-ES"/>
        </w:rPr>
        <w:t>En general, los directores son designados por el voto de la mayoría dentro de cada clase de acciones. La determinación del porcentaje de nuestro capital representado por cada clase de acciones se efectuará en cada caso en relación con el capital en circulación a la fecha de la asamblea de accionistas en la cual se celebrará la elección en cuestión. En caso de que no se encuentre representada ninguna acción de una clase determinada en una asamblea de accionistas en segunda convocatoria a efectos de elegir directores, los directores titulares y suplentes que dicha clase tenga derecho a designar serán elegidos por los tenedores de las otras clases de acciones que votarán como una única clase, salvo cuando no asista ningún accionista en una asamblea de accionistas Clase A, en cuyo caso los miembros de la Comisión Fiscalizadora elegidos por los accionistas Clase A designarán a los directores titulares y suplentes que los tenedores de acciones Clase A tengan derecho a designar.</w:t>
      </w:r>
    </w:p>
    <w:p w14:paraId="2A5DC83E" w14:textId="77777777" w:rsidR="000924EA" w:rsidRPr="00AE4E8D" w:rsidRDefault="000924EA" w:rsidP="000924EA">
      <w:pPr>
        <w:pStyle w:val="BHTexto"/>
        <w:rPr>
          <w:lang w:val="es-ES"/>
        </w:rPr>
      </w:pPr>
      <w:r w:rsidRPr="00AE4E8D">
        <w:rPr>
          <w:lang w:val="es-ES"/>
        </w:rPr>
        <w:lastRenderedPageBreak/>
        <w:t>Cualquiera o todos los directores elegidos por los tenedores de una clase determinada de acciones podrán ser removidos sin causa por mayoría simple de las acciones de dicha clase presentes en una asamblea ordinaria de accionistas, siempre que dicha remoción esté prevista en el orden del día de dicha asamblea. Cualesquiera directores removidos de esta manera serán reemplazados por suplentes de la misma clase en el orden en que hayan sido elegidos dichos suplentes, hasta que se haya celebrado una elección para su reemplazo (esta elección podrá tener lugar en la misma asamblea en que se dispone la remoción).</w:t>
      </w:r>
    </w:p>
    <w:p w14:paraId="6AD7BD00" w14:textId="77777777" w:rsidR="000924EA" w:rsidRPr="00AE4E8D" w:rsidRDefault="000924EA" w:rsidP="000924EA">
      <w:pPr>
        <w:pStyle w:val="BHTexto"/>
        <w:rPr>
          <w:lang w:val="es-ES"/>
        </w:rPr>
      </w:pPr>
      <w:r w:rsidRPr="00AE4E8D">
        <w:rPr>
          <w:lang w:val="es-ES"/>
        </w:rPr>
        <w:t>Cualquier accionista o grupo de accionistas que sea titular de más del 3,0% de las acciones Clase D podrá exigir que enviemos una lista de candidatos para la elección de directores de dicha clase, propuesta por dicho accionista o grupo a cada tenedor de acciones Clase D. Por otra parte, el Directorio podrá proponer una lista de candidatos para la elección de directores por cada clase de acciones, y dicha lista será enviada a cada tenedor de acciones juntamente con cualquiera de las listas propuestas por los accionistas según se describe en la oración anterior. Cualquier accionista presente en una asamblea podrá proponer candidatos para que sean elegidos como directores. Si cualquier accionista se opusiere a la elección de directores por el sistema de lista completa, todos los directores serán elegidos en forma individual, y se considerará que cada candidato incluido en una lista ha sido nominado en forma individual. Si ninguna lista de candidatos o candidato individual, según corresponda, obtiene la mayoría de los votos Clase D presentes en la asamblea, los accionistas Clase D elegirán a una de las dos listas o candidatos individuales, según corresponda, que hayan obtenido más votos en la elección anterior.</w:t>
      </w:r>
    </w:p>
    <w:p w14:paraId="717A97F7" w14:textId="77777777" w:rsidR="000924EA" w:rsidRPr="00AE4E8D" w:rsidRDefault="000924EA" w:rsidP="000924EA">
      <w:pPr>
        <w:pStyle w:val="BHTexto"/>
        <w:rPr>
          <w:lang w:val="es-ES"/>
        </w:rPr>
      </w:pPr>
      <w:r w:rsidRPr="00AE4E8D">
        <w:rPr>
          <w:lang w:val="es-ES"/>
        </w:rPr>
        <w:t>La ley exige que la mayoría de nuestros directores sean residentes de la Argentina. Todos los directores deben constituir domicilio legal en Argentina para el envío de notificaciones referidas a sus funciones. Además los directores deben reunir ciertos requisitos de idoneidad y experiencia impuestos por el BCRA antes de obtener la aprobación para iniciar su mandato.</w:t>
      </w:r>
    </w:p>
    <w:p w14:paraId="0724DF63" w14:textId="77777777" w:rsidR="000924EA" w:rsidRPr="00AE4E8D" w:rsidRDefault="000924EA" w:rsidP="000924EA">
      <w:pPr>
        <w:pStyle w:val="BHTexto"/>
        <w:rPr>
          <w:b/>
          <w:szCs w:val="24"/>
          <w:lang w:val="es-ES"/>
        </w:rPr>
      </w:pPr>
      <w:r w:rsidRPr="00AE4E8D">
        <w:rPr>
          <w:lang w:val="es-ES"/>
        </w:rPr>
        <w:t>El Estatuto exige que el Directorio y el Comité Ejecutivo se reúnan por lo menos una vez al mes. El presidente del Directorio podrá convocar a reunión de Directorio en cualquier momento y deberá convocar a dicha reunión cuando cualquier director así lo requiera. El Directorio sesiona con la participación de la mayoría de sus miembros, y en caso de que no se cuente con dicho quórum una hora después de la hora fijada para una reunión convocada regularmente, el presidente, o quien actúe en su lugar en dicha reunión, podrá invitar a los suplentes de la misma clase a la que pertenecen los directores ausentes a incorporarse a la reunión a fin de alcanzar el quórum mínimo. Las resoluciones deben ser adoptadas por la mayoría de los directores presentes (salvo en caso de que el director tenga un conflicto de intereses con la sociedad), no obstante, el presidente, o quien actúe en su lugar, tendrá derecho a emitir el voto decisivo en caso de empate. Debido a que existe elección de directores por clase, no existe voto acumulativo para la elección de directores, en tanto existan distintas clases de acciones.</w:t>
      </w:r>
    </w:p>
    <w:p w14:paraId="2C9A87CC" w14:textId="77777777" w:rsidR="000924EA" w:rsidRPr="00AE4E8D" w:rsidRDefault="000924EA" w:rsidP="000924EA">
      <w:pPr>
        <w:keepNext/>
        <w:autoSpaceDE w:val="0"/>
        <w:autoSpaceDN w:val="0"/>
        <w:adjustRightInd w:val="0"/>
        <w:spacing w:before="240" w:after="240"/>
        <w:outlineLvl w:val="2"/>
        <w:rPr>
          <w:rFonts w:ascii="Times New Roman" w:hAnsi="Times New Roman"/>
          <w:b/>
          <w:lang w:val="es-ES" w:eastAsia="es-AR"/>
        </w:rPr>
      </w:pPr>
      <w:r w:rsidRPr="00AE4E8D">
        <w:rPr>
          <w:rFonts w:ascii="Times New Roman" w:hAnsi="Times New Roman"/>
          <w:b/>
          <w:lang w:val="es-ES" w:eastAsia="es-AR"/>
        </w:rPr>
        <w:t>Gerencia de Primera Línea</w:t>
      </w:r>
    </w:p>
    <w:p w14:paraId="3F5864BE" w14:textId="77777777" w:rsidR="000924EA" w:rsidRPr="00AE4E8D" w:rsidRDefault="000924EA" w:rsidP="000924EA">
      <w:pPr>
        <w:autoSpaceDE w:val="0"/>
        <w:autoSpaceDN w:val="0"/>
        <w:adjustRightInd w:val="0"/>
        <w:spacing w:before="120" w:after="120"/>
        <w:jc w:val="both"/>
        <w:rPr>
          <w:rFonts w:ascii="Times New Roman" w:hAnsi="Times New Roman"/>
          <w:lang w:val="es-ES" w:eastAsia="es-ES"/>
        </w:rPr>
      </w:pPr>
      <w:r w:rsidRPr="00AE4E8D">
        <w:rPr>
          <w:rFonts w:ascii="Times New Roman" w:hAnsi="Times New Roman"/>
          <w:lang w:val="es-ES" w:eastAsia="es-AR"/>
        </w:rPr>
        <w:t>Nuestra Gerencia de Primera Línea está integrada por los siguientes:</w:t>
      </w:r>
    </w:p>
    <w:tbl>
      <w:tblPr>
        <w:tblW w:w="10181" w:type="dxa"/>
        <w:jc w:val="center"/>
        <w:tblLook w:val="00A0" w:firstRow="1" w:lastRow="0" w:firstColumn="1" w:lastColumn="0" w:noHBand="0" w:noVBand="0"/>
      </w:tblPr>
      <w:tblGrid>
        <w:gridCol w:w="1623"/>
        <w:gridCol w:w="1906"/>
        <w:gridCol w:w="1140"/>
        <w:gridCol w:w="1406"/>
        <w:gridCol w:w="1370"/>
        <w:gridCol w:w="1365"/>
        <w:gridCol w:w="1371"/>
      </w:tblGrid>
      <w:tr w:rsidR="000924EA" w:rsidRPr="00AE4E8D" w14:paraId="10577A61" w14:textId="77777777" w:rsidTr="000400C8">
        <w:trPr>
          <w:trHeight w:val="730"/>
          <w:tblHeader/>
          <w:jc w:val="center"/>
        </w:trPr>
        <w:tc>
          <w:tcPr>
            <w:tcW w:w="1623" w:type="dxa"/>
            <w:tcBorders>
              <w:top w:val="single" w:sz="4" w:space="0" w:color="auto"/>
              <w:bottom w:val="single" w:sz="4" w:space="0" w:color="auto"/>
            </w:tcBorders>
            <w:vAlign w:val="center"/>
          </w:tcPr>
          <w:p w14:paraId="3D1D9960"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b/>
                <w:sz w:val="16"/>
                <w:szCs w:val="16"/>
                <w:lang w:val="es-ES" w:eastAsia="es-ES"/>
              </w:rPr>
            </w:pPr>
            <w:r w:rsidRPr="00AE4E8D">
              <w:rPr>
                <w:rFonts w:ascii="Times New Roman" w:hAnsi="Times New Roman"/>
                <w:b/>
                <w:sz w:val="16"/>
                <w:szCs w:val="16"/>
                <w:lang w:val="es-ES" w:eastAsia="es-ES"/>
              </w:rPr>
              <w:t>Nombre</w:t>
            </w:r>
          </w:p>
        </w:tc>
        <w:tc>
          <w:tcPr>
            <w:tcW w:w="1906" w:type="dxa"/>
            <w:tcBorders>
              <w:top w:val="single" w:sz="4" w:space="0" w:color="auto"/>
              <w:bottom w:val="single" w:sz="4" w:space="0" w:color="auto"/>
            </w:tcBorders>
            <w:vAlign w:val="center"/>
          </w:tcPr>
          <w:p w14:paraId="3391D53D" w14:textId="77777777" w:rsidR="000924EA" w:rsidRPr="00AE4E8D" w:rsidRDefault="000924EA" w:rsidP="00232C94">
            <w:pPr>
              <w:widowControl w:val="0"/>
              <w:tabs>
                <w:tab w:val="right" w:leader="dot" w:pos="5310"/>
              </w:tabs>
              <w:autoSpaceDE w:val="0"/>
              <w:autoSpaceDN w:val="0"/>
              <w:adjustRightInd w:val="0"/>
              <w:ind w:left="17"/>
              <w:jc w:val="center"/>
              <w:rPr>
                <w:rFonts w:ascii="Times New Roman" w:hAnsi="Times New Roman"/>
                <w:b/>
                <w:sz w:val="16"/>
                <w:szCs w:val="16"/>
                <w:lang w:val="es-ES" w:eastAsia="es-ES"/>
              </w:rPr>
            </w:pPr>
            <w:r w:rsidRPr="00AE4E8D">
              <w:rPr>
                <w:rFonts w:ascii="Times New Roman" w:hAnsi="Times New Roman"/>
                <w:b/>
                <w:sz w:val="16"/>
                <w:szCs w:val="16"/>
                <w:lang w:val="es-ES" w:eastAsia="es-ES"/>
              </w:rPr>
              <w:t>Cargo</w:t>
            </w:r>
          </w:p>
        </w:tc>
        <w:tc>
          <w:tcPr>
            <w:tcW w:w="0" w:type="auto"/>
            <w:tcBorders>
              <w:top w:val="single" w:sz="4" w:space="0" w:color="auto"/>
              <w:bottom w:val="single" w:sz="4" w:space="0" w:color="auto"/>
            </w:tcBorders>
            <w:vAlign w:val="center"/>
          </w:tcPr>
          <w:p w14:paraId="7CAE4512"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b/>
                <w:sz w:val="16"/>
                <w:szCs w:val="16"/>
                <w:lang w:val="es-ES" w:eastAsia="es-ES"/>
              </w:rPr>
            </w:pPr>
            <w:r w:rsidRPr="00AE4E8D">
              <w:rPr>
                <w:rFonts w:ascii="Times New Roman" w:hAnsi="Times New Roman"/>
                <w:b/>
                <w:sz w:val="16"/>
                <w:szCs w:val="16"/>
                <w:lang w:val="es-ES" w:eastAsia="es-ES"/>
              </w:rPr>
              <w:t>DNI</w:t>
            </w:r>
          </w:p>
        </w:tc>
        <w:tc>
          <w:tcPr>
            <w:tcW w:w="1406" w:type="dxa"/>
            <w:tcBorders>
              <w:top w:val="single" w:sz="4" w:space="0" w:color="auto"/>
              <w:bottom w:val="single" w:sz="4" w:space="0" w:color="auto"/>
            </w:tcBorders>
            <w:vAlign w:val="center"/>
          </w:tcPr>
          <w:p w14:paraId="449CC16B"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b/>
                <w:sz w:val="16"/>
                <w:szCs w:val="16"/>
                <w:lang w:val="es-ES" w:eastAsia="es-ES"/>
              </w:rPr>
            </w:pPr>
            <w:r w:rsidRPr="00AE4E8D">
              <w:rPr>
                <w:rFonts w:ascii="Times New Roman" w:hAnsi="Times New Roman"/>
                <w:b/>
                <w:bCs/>
                <w:color w:val="000000"/>
                <w:sz w:val="16"/>
                <w:szCs w:val="16"/>
                <w:lang w:val="es-ES" w:eastAsia="es-ES"/>
              </w:rPr>
              <w:t>CUIL/CUIT</w:t>
            </w:r>
          </w:p>
        </w:tc>
        <w:tc>
          <w:tcPr>
            <w:tcW w:w="1370" w:type="dxa"/>
            <w:tcBorders>
              <w:top w:val="single" w:sz="4" w:space="0" w:color="auto"/>
              <w:bottom w:val="single" w:sz="4" w:space="0" w:color="auto"/>
            </w:tcBorders>
            <w:vAlign w:val="center"/>
          </w:tcPr>
          <w:p w14:paraId="4CB505B4" w14:textId="77777777" w:rsidR="000924EA" w:rsidRPr="00AE4E8D" w:rsidRDefault="000924EA" w:rsidP="00232C94">
            <w:pPr>
              <w:widowControl w:val="0"/>
              <w:tabs>
                <w:tab w:val="right" w:leader="dot" w:pos="5310"/>
              </w:tabs>
              <w:autoSpaceDE w:val="0"/>
              <w:autoSpaceDN w:val="0"/>
              <w:adjustRightInd w:val="0"/>
              <w:ind w:left="69"/>
              <w:jc w:val="center"/>
              <w:rPr>
                <w:rFonts w:ascii="Times New Roman" w:hAnsi="Times New Roman"/>
                <w:b/>
                <w:bCs/>
                <w:color w:val="000000"/>
                <w:sz w:val="16"/>
                <w:szCs w:val="16"/>
                <w:lang w:val="es-ES" w:eastAsia="es-ES"/>
              </w:rPr>
            </w:pPr>
            <w:r w:rsidRPr="00AE4E8D">
              <w:rPr>
                <w:rFonts w:ascii="Times New Roman" w:hAnsi="Times New Roman"/>
                <w:b/>
                <w:bCs/>
                <w:color w:val="000000"/>
                <w:sz w:val="16"/>
                <w:szCs w:val="16"/>
                <w:lang w:val="es-ES" w:eastAsia="es-ES"/>
              </w:rPr>
              <w:t>Fecha de nacimiento</w:t>
            </w:r>
          </w:p>
        </w:tc>
        <w:tc>
          <w:tcPr>
            <w:tcW w:w="1365" w:type="dxa"/>
            <w:tcBorders>
              <w:top w:val="single" w:sz="4" w:space="0" w:color="auto"/>
              <w:bottom w:val="single" w:sz="4" w:space="0" w:color="auto"/>
            </w:tcBorders>
            <w:vAlign w:val="center"/>
          </w:tcPr>
          <w:p w14:paraId="57A8B071" w14:textId="77777777" w:rsidR="000924EA" w:rsidRPr="00AE4E8D" w:rsidRDefault="000924EA" w:rsidP="00232C94">
            <w:pPr>
              <w:widowControl w:val="0"/>
              <w:tabs>
                <w:tab w:val="right" w:leader="dot" w:pos="5310"/>
              </w:tabs>
              <w:autoSpaceDE w:val="0"/>
              <w:autoSpaceDN w:val="0"/>
              <w:adjustRightInd w:val="0"/>
              <w:ind w:left="91"/>
              <w:jc w:val="center"/>
              <w:rPr>
                <w:rFonts w:ascii="Times New Roman" w:hAnsi="Times New Roman"/>
                <w:b/>
                <w:bCs/>
                <w:color w:val="000000"/>
                <w:sz w:val="16"/>
                <w:szCs w:val="16"/>
                <w:lang w:val="es-ES" w:eastAsia="es-ES"/>
              </w:rPr>
            </w:pPr>
            <w:r w:rsidRPr="00AE4E8D">
              <w:rPr>
                <w:rFonts w:ascii="Times New Roman" w:hAnsi="Times New Roman"/>
                <w:b/>
                <w:bCs/>
                <w:color w:val="000000"/>
                <w:sz w:val="16"/>
                <w:szCs w:val="16"/>
                <w:lang w:val="es-ES" w:eastAsia="es-ES"/>
              </w:rPr>
              <w:t>Domicilio</w:t>
            </w:r>
          </w:p>
        </w:tc>
        <w:tc>
          <w:tcPr>
            <w:tcW w:w="1371" w:type="dxa"/>
            <w:tcBorders>
              <w:top w:val="single" w:sz="4" w:space="0" w:color="auto"/>
              <w:bottom w:val="single" w:sz="4" w:space="0" w:color="auto"/>
            </w:tcBorders>
            <w:vAlign w:val="center"/>
          </w:tcPr>
          <w:p w14:paraId="7D85C806"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b/>
                <w:bCs/>
                <w:color w:val="000000"/>
                <w:sz w:val="16"/>
                <w:szCs w:val="16"/>
                <w:lang w:val="es-ES" w:eastAsia="es-ES"/>
              </w:rPr>
            </w:pPr>
            <w:r w:rsidRPr="00AE4E8D">
              <w:rPr>
                <w:rFonts w:ascii="Times New Roman" w:hAnsi="Times New Roman"/>
                <w:b/>
                <w:bCs/>
                <w:color w:val="000000"/>
                <w:sz w:val="16"/>
                <w:szCs w:val="16"/>
                <w:lang w:val="es-ES" w:eastAsia="es-ES"/>
              </w:rPr>
              <w:t>Fecha de designación en el cargo</w:t>
            </w:r>
          </w:p>
        </w:tc>
      </w:tr>
      <w:tr w:rsidR="000924EA" w:rsidRPr="00AE4E8D" w14:paraId="11100B48" w14:textId="77777777" w:rsidTr="000400C8">
        <w:trPr>
          <w:trHeight w:val="556"/>
          <w:jc w:val="center"/>
        </w:trPr>
        <w:tc>
          <w:tcPr>
            <w:tcW w:w="1623" w:type="dxa"/>
            <w:vAlign w:val="center"/>
          </w:tcPr>
          <w:p w14:paraId="06FE99CF"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Manuel Herrera</w:t>
            </w:r>
          </w:p>
        </w:tc>
        <w:tc>
          <w:tcPr>
            <w:tcW w:w="1906" w:type="dxa"/>
            <w:vAlign w:val="center"/>
          </w:tcPr>
          <w:p w14:paraId="705F4102"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General</w:t>
            </w:r>
          </w:p>
        </w:tc>
        <w:tc>
          <w:tcPr>
            <w:tcW w:w="0" w:type="auto"/>
            <w:vAlign w:val="center"/>
          </w:tcPr>
          <w:p w14:paraId="114DED61"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92.761.368</w:t>
            </w:r>
          </w:p>
        </w:tc>
        <w:tc>
          <w:tcPr>
            <w:tcW w:w="1406" w:type="dxa"/>
            <w:vAlign w:val="center"/>
          </w:tcPr>
          <w:p w14:paraId="75985B41"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23-92761368-9</w:t>
            </w:r>
          </w:p>
        </w:tc>
        <w:tc>
          <w:tcPr>
            <w:tcW w:w="1370" w:type="dxa"/>
            <w:vAlign w:val="center"/>
          </w:tcPr>
          <w:p w14:paraId="70F1D594"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04/11/1966</w:t>
            </w:r>
          </w:p>
        </w:tc>
        <w:tc>
          <w:tcPr>
            <w:tcW w:w="1365" w:type="dxa"/>
            <w:vAlign w:val="center"/>
          </w:tcPr>
          <w:p w14:paraId="089B9078"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Tte. Gral. Perón 525, CABA.</w:t>
            </w:r>
          </w:p>
        </w:tc>
        <w:tc>
          <w:tcPr>
            <w:tcW w:w="1371" w:type="dxa"/>
            <w:vAlign w:val="center"/>
          </w:tcPr>
          <w:p w14:paraId="53020F41"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04/04/2017</w:t>
            </w:r>
          </w:p>
        </w:tc>
      </w:tr>
      <w:tr w:rsidR="000924EA" w:rsidRPr="00AE4E8D" w14:paraId="6C451727" w14:textId="77777777" w:rsidTr="000400C8">
        <w:trPr>
          <w:trHeight w:val="556"/>
          <w:jc w:val="center"/>
        </w:trPr>
        <w:tc>
          <w:tcPr>
            <w:tcW w:w="1623" w:type="dxa"/>
            <w:vAlign w:val="center"/>
          </w:tcPr>
          <w:p w14:paraId="2F8D7464"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Gerardo Rovner</w:t>
            </w:r>
          </w:p>
        </w:tc>
        <w:tc>
          <w:tcPr>
            <w:tcW w:w="1906" w:type="dxa"/>
            <w:vAlign w:val="center"/>
          </w:tcPr>
          <w:p w14:paraId="60B6F2BF"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Auditoría Corporativa</w:t>
            </w:r>
          </w:p>
        </w:tc>
        <w:tc>
          <w:tcPr>
            <w:tcW w:w="0" w:type="auto"/>
            <w:vAlign w:val="center"/>
          </w:tcPr>
          <w:p w14:paraId="658B8218"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17.730.181</w:t>
            </w:r>
          </w:p>
        </w:tc>
        <w:tc>
          <w:tcPr>
            <w:tcW w:w="1406" w:type="dxa"/>
            <w:vAlign w:val="center"/>
          </w:tcPr>
          <w:p w14:paraId="340AC476"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20-17730181-8</w:t>
            </w:r>
          </w:p>
        </w:tc>
        <w:tc>
          <w:tcPr>
            <w:tcW w:w="1370" w:type="dxa"/>
            <w:vAlign w:val="center"/>
          </w:tcPr>
          <w:p w14:paraId="1C1FB25E"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30/01/1965</w:t>
            </w:r>
          </w:p>
        </w:tc>
        <w:tc>
          <w:tcPr>
            <w:tcW w:w="1365" w:type="dxa"/>
            <w:vAlign w:val="center"/>
          </w:tcPr>
          <w:p w14:paraId="070A8F47"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3B274314"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01/02/2012</w:t>
            </w:r>
          </w:p>
        </w:tc>
      </w:tr>
      <w:tr w:rsidR="000924EA" w:rsidRPr="00AE4E8D" w14:paraId="2EC5A2E2" w14:textId="77777777" w:rsidTr="000400C8">
        <w:trPr>
          <w:trHeight w:val="556"/>
          <w:jc w:val="center"/>
        </w:trPr>
        <w:tc>
          <w:tcPr>
            <w:tcW w:w="1623" w:type="dxa"/>
            <w:vAlign w:val="center"/>
          </w:tcPr>
          <w:p w14:paraId="3196188C"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Ernesto Manuel Viñes</w:t>
            </w:r>
          </w:p>
        </w:tc>
        <w:tc>
          <w:tcPr>
            <w:tcW w:w="1906" w:type="dxa"/>
            <w:vAlign w:val="center"/>
          </w:tcPr>
          <w:p w14:paraId="6638838E"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Legal</w:t>
            </w:r>
          </w:p>
        </w:tc>
        <w:tc>
          <w:tcPr>
            <w:tcW w:w="0" w:type="auto"/>
            <w:vAlign w:val="center"/>
          </w:tcPr>
          <w:p w14:paraId="211BD07B"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4.596.798</w:t>
            </w:r>
          </w:p>
        </w:tc>
        <w:tc>
          <w:tcPr>
            <w:tcW w:w="1406" w:type="dxa"/>
            <w:vAlign w:val="center"/>
          </w:tcPr>
          <w:p w14:paraId="4319B5C2"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sz w:val="16"/>
                <w:szCs w:val="16"/>
                <w:lang w:val="es-ES" w:eastAsia="es-ES"/>
              </w:rPr>
            </w:pPr>
            <w:r w:rsidRPr="00AE4E8D">
              <w:rPr>
                <w:rFonts w:ascii="Times New Roman" w:hAnsi="Times New Roman"/>
                <w:color w:val="333333"/>
                <w:sz w:val="16"/>
                <w:szCs w:val="16"/>
                <w:lang w:val="es-ES" w:eastAsia="es-ES"/>
              </w:rPr>
              <w:t>20-04596798-1</w:t>
            </w:r>
          </w:p>
        </w:tc>
        <w:tc>
          <w:tcPr>
            <w:tcW w:w="1370" w:type="dxa"/>
            <w:vAlign w:val="center"/>
          </w:tcPr>
          <w:p w14:paraId="4C5E9A5C"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05/02/1944</w:t>
            </w:r>
          </w:p>
        </w:tc>
        <w:tc>
          <w:tcPr>
            <w:tcW w:w="1365" w:type="dxa"/>
            <w:vAlign w:val="center"/>
          </w:tcPr>
          <w:p w14:paraId="64548ED1"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1AF7C823"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01/10/2003</w:t>
            </w:r>
          </w:p>
        </w:tc>
      </w:tr>
      <w:tr w:rsidR="000924EA" w:rsidRPr="00AE4E8D" w14:paraId="5706C1F7" w14:textId="77777777" w:rsidTr="000400C8">
        <w:trPr>
          <w:trHeight w:val="541"/>
          <w:jc w:val="center"/>
        </w:trPr>
        <w:tc>
          <w:tcPr>
            <w:tcW w:w="1623" w:type="dxa"/>
            <w:vAlign w:val="center"/>
          </w:tcPr>
          <w:p w14:paraId="6F068C78"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Tomás Godino</w:t>
            </w:r>
          </w:p>
        </w:tc>
        <w:tc>
          <w:tcPr>
            <w:tcW w:w="1906" w:type="dxa"/>
            <w:vAlign w:val="center"/>
          </w:tcPr>
          <w:p w14:paraId="6947C5A9"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Finanzas</w:t>
            </w:r>
          </w:p>
        </w:tc>
        <w:tc>
          <w:tcPr>
            <w:tcW w:w="0" w:type="auto"/>
            <w:vAlign w:val="center"/>
          </w:tcPr>
          <w:p w14:paraId="0176DE28"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28.285.026</w:t>
            </w:r>
          </w:p>
        </w:tc>
        <w:tc>
          <w:tcPr>
            <w:tcW w:w="1406" w:type="dxa"/>
            <w:vAlign w:val="center"/>
          </w:tcPr>
          <w:p w14:paraId="48355E60"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333333"/>
                <w:sz w:val="16"/>
                <w:szCs w:val="16"/>
                <w:lang w:val="es-ES" w:eastAsia="es-ES"/>
              </w:rPr>
              <w:t>20-</w:t>
            </w:r>
            <w:r w:rsidRPr="00AE4E8D">
              <w:rPr>
                <w:rFonts w:ascii="Times New Roman" w:hAnsi="Times New Roman"/>
                <w:sz w:val="16"/>
                <w:szCs w:val="16"/>
                <w:lang w:val="es-ES" w:eastAsia="es-ES"/>
              </w:rPr>
              <w:t>28.285.026</w:t>
            </w:r>
            <w:r w:rsidRPr="00AE4E8D">
              <w:rPr>
                <w:rFonts w:ascii="Times New Roman" w:hAnsi="Times New Roman"/>
                <w:color w:val="333333"/>
                <w:sz w:val="16"/>
                <w:szCs w:val="16"/>
                <w:lang w:val="es-ES" w:eastAsia="es-ES"/>
              </w:rPr>
              <w:t>-6</w:t>
            </w:r>
          </w:p>
        </w:tc>
        <w:tc>
          <w:tcPr>
            <w:tcW w:w="1370" w:type="dxa"/>
            <w:vAlign w:val="center"/>
          </w:tcPr>
          <w:p w14:paraId="42726B68"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02/10/1980</w:t>
            </w:r>
          </w:p>
        </w:tc>
        <w:tc>
          <w:tcPr>
            <w:tcW w:w="1365" w:type="dxa"/>
            <w:vAlign w:val="center"/>
          </w:tcPr>
          <w:p w14:paraId="3A8F549D"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27ADF117"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14/06/2017</w:t>
            </w:r>
          </w:p>
        </w:tc>
      </w:tr>
      <w:tr w:rsidR="000924EA" w:rsidRPr="00AE4E8D" w14:paraId="007F478C" w14:textId="77777777" w:rsidTr="000400C8">
        <w:trPr>
          <w:trHeight w:val="541"/>
          <w:jc w:val="center"/>
        </w:trPr>
        <w:tc>
          <w:tcPr>
            <w:tcW w:w="1623" w:type="dxa"/>
            <w:vAlign w:val="center"/>
          </w:tcPr>
          <w:p w14:paraId="394C0CED"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Alejandro Sokol</w:t>
            </w:r>
          </w:p>
        </w:tc>
        <w:tc>
          <w:tcPr>
            <w:tcW w:w="1906" w:type="dxa"/>
            <w:vAlign w:val="center"/>
          </w:tcPr>
          <w:p w14:paraId="3598C507"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Riesgo</w:t>
            </w:r>
          </w:p>
        </w:tc>
        <w:tc>
          <w:tcPr>
            <w:tcW w:w="0" w:type="auto"/>
            <w:vAlign w:val="center"/>
          </w:tcPr>
          <w:p w14:paraId="40CB6AB8"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21.475.838</w:t>
            </w:r>
          </w:p>
        </w:tc>
        <w:tc>
          <w:tcPr>
            <w:tcW w:w="1406" w:type="dxa"/>
            <w:vAlign w:val="center"/>
          </w:tcPr>
          <w:p w14:paraId="56C9F221"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20-21475838-6</w:t>
            </w:r>
          </w:p>
        </w:tc>
        <w:tc>
          <w:tcPr>
            <w:tcW w:w="1370" w:type="dxa"/>
            <w:vAlign w:val="center"/>
          </w:tcPr>
          <w:p w14:paraId="1C5ABB4D"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29/01/1970</w:t>
            </w:r>
          </w:p>
        </w:tc>
        <w:tc>
          <w:tcPr>
            <w:tcW w:w="1365" w:type="dxa"/>
            <w:vAlign w:val="center"/>
          </w:tcPr>
          <w:p w14:paraId="5FD02E3F"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508B0658"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14/06/2017</w:t>
            </w:r>
          </w:p>
        </w:tc>
      </w:tr>
      <w:tr w:rsidR="000924EA" w:rsidRPr="00AE4E8D" w14:paraId="5D96237F" w14:textId="77777777" w:rsidTr="000400C8">
        <w:trPr>
          <w:trHeight w:val="669"/>
          <w:jc w:val="center"/>
        </w:trPr>
        <w:tc>
          <w:tcPr>
            <w:tcW w:w="1623" w:type="dxa"/>
            <w:vAlign w:val="center"/>
          </w:tcPr>
          <w:p w14:paraId="2DE876B7"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Mariano Cané</w:t>
            </w:r>
          </w:p>
        </w:tc>
        <w:tc>
          <w:tcPr>
            <w:tcW w:w="1906" w:type="dxa"/>
            <w:vAlign w:val="center"/>
          </w:tcPr>
          <w:p w14:paraId="4A1F0E71"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de Área Planeamiento y Control de Gestión</w:t>
            </w:r>
          </w:p>
        </w:tc>
        <w:tc>
          <w:tcPr>
            <w:tcW w:w="0" w:type="auto"/>
            <w:vAlign w:val="center"/>
          </w:tcPr>
          <w:p w14:paraId="2479E0BA"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24.788.305</w:t>
            </w:r>
          </w:p>
        </w:tc>
        <w:tc>
          <w:tcPr>
            <w:tcW w:w="1406" w:type="dxa"/>
            <w:vAlign w:val="center"/>
          </w:tcPr>
          <w:p w14:paraId="72AF0F4B"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20-24788305-4</w:t>
            </w:r>
          </w:p>
        </w:tc>
        <w:tc>
          <w:tcPr>
            <w:tcW w:w="1370" w:type="dxa"/>
            <w:vAlign w:val="center"/>
          </w:tcPr>
          <w:p w14:paraId="40EA9447"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23/12/1975</w:t>
            </w:r>
          </w:p>
        </w:tc>
        <w:tc>
          <w:tcPr>
            <w:tcW w:w="1365" w:type="dxa"/>
            <w:vAlign w:val="center"/>
          </w:tcPr>
          <w:p w14:paraId="02472E28"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7FC25725"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14/06/2017</w:t>
            </w:r>
          </w:p>
        </w:tc>
      </w:tr>
      <w:tr w:rsidR="000924EA" w:rsidRPr="00AE4E8D" w14:paraId="57466B82" w14:textId="77777777" w:rsidTr="000400C8">
        <w:trPr>
          <w:trHeight w:val="541"/>
          <w:jc w:val="center"/>
        </w:trPr>
        <w:tc>
          <w:tcPr>
            <w:tcW w:w="1623" w:type="dxa"/>
            <w:vAlign w:val="center"/>
          </w:tcPr>
          <w:p w14:paraId="63DCB60C"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Ignacio Uranga</w:t>
            </w:r>
          </w:p>
        </w:tc>
        <w:tc>
          <w:tcPr>
            <w:tcW w:w="1906" w:type="dxa"/>
            <w:vAlign w:val="center"/>
          </w:tcPr>
          <w:p w14:paraId="2540CE51"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de Área Banca Empresa</w:t>
            </w:r>
          </w:p>
        </w:tc>
        <w:tc>
          <w:tcPr>
            <w:tcW w:w="0" w:type="auto"/>
            <w:vAlign w:val="center"/>
          </w:tcPr>
          <w:p w14:paraId="4237B8BE"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20.956.135</w:t>
            </w:r>
          </w:p>
        </w:tc>
        <w:tc>
          <w:tcPr>
            <w:tcW w:w="1406" w:type="dxa"/>
            <w:vAlign w:val="center"/>
          </w:tcPr>
          <w:p w14:paraId="6EB71727"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20-20.956.135-3</w:t>
            </w:r>
          </w:p>
        </w:tc>
        <w:tc>
          <w:tcPr>
            <w:tcW w:w="1370" w:type="dxa"/>
            <w:vAlign w:val="center"/>
          </w:tcPr>
          <w:p w14:paraId="010033F9"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17/07/1969</w:t>
            </w:r>
          </w:p>
        </w:tc>
        <w:tc>
          <w:tcPr>
            <w:tcW w:w="1365" w:type="dxa"/>
            <w:vAlign w:val="center"/>
          </w:tcPr>
          <w:p w14:paraId="7FD69438"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Tte. Gral. Perón 525, CABA.</w:t>
            </w:r>
          </w:p>
        </w:tc>
        <w:tc>
          <w:tcPr>
            <w:tcW w:w="1371" w:type="dxa"/>
            <w:vAlign w:val="center"/>
          </w:tcPr>
          <w:p w14:paraId="66013475"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14/06/2017</w:t>
            </w:r>
          </w:p>
        </w:tc>
      </w:tr>
      <w:tr w:rsidR="000924EA" w:rsidRPr="00AE4E8D" w14:paraId="7078CDC4" w14:textId="77777777" w:rsidTr="000400C8">
        <w:trPr>
          <w:trHeight w:val="541"/>
          <w:jc w:val="center"/>
        </w:trPr>
        <w:tc>
          <w:tcPr>
            <w:tcW w:w="1623" w:type="dxa"/>
            <w:vAlign w:val="center"/>
          </w:tcPr>
          <w:p w14:paraId="43972F7F"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lastRenderedPageBreak/>
              <w:t>Guillermo Mansilla</w:t>
            </w:r>
          </w:p>
        </w:tc>
        <w:tc>
          <w:tcPr>
            <w:tcW w:w="1906" w:type="dxa"/>
            <w:vAlign w:val="center"/>
          </w:tcPr>
          <w:p w14:paraId="1A05E9BD"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de Área Banca Minorista</w:t>
            </w:r>
          </w:p>
        </w:tc>
        <w:tc>
          <w:tcPr>
            <w:tcW w:w="0" w:type="auto"/>
            <w:vAlign w:val="center"/>
          </w:tcPr>
          <w:p w14:paraId="6FE4BFE3"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eastAsia="es-ES"/>
              </w:rPr>
              <w:t>25.430.836</w:t>
            </w:r>
          </w:p>
        </w:tc>
        <w:tc>
          <w:tcPr>
            <w:tcW w:w="1406" w:type="dxa"/>
            <w:vAlign w:val="center"/>
          </w:tcPr>
          <w:p w14:paraId="35A26B90"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20-25430836-7</w:t>
            </w:r>
          </w:p>
        </w:tc>
        <w:tc>
          <w:tcPr>
            <w:tcW w:w="1370" w:type="dxa"/>
            <w:vAlign w:val="center"/>
          </w:tcPr>
          <w:p w14:paraId="33055625"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15/08/1976</w:t>
            </w:r>
          </w:p>
        </w:tc>
        <w:tc>
          <w:tcPr>
            <w:tcW w:w="1365" w:type="dxa"/>
            <w:vAlign w:val="center"/>
          </w:tcPr>
          <w:p w14:paraId="6EC69351"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CABA.</w:t>
            </w:r>
          </w:p>
        </w:tc>
        <w:tc>
          <w:tcPr>
            <w:tcW w:w="1371" w:type="dxa"/>
            <w:vAlign w:val="center"/>
          </w:tcPr>
          <w:p w14:paraId="530E8E60"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14/06/2017</w:t>
            </w:r>
          </w:p>
        </w:tc>
      </w:tr>
      <w:tr w:rsidR="000924EA" w:rsidRPr="00AE4E8D" w14:paraId="3E7D72DC" w14:textId="77777777" w:rsidTr="000400C8">
        <w:trPr>
          <w:trHeight w:val="541"/>
          <w:jc w:val="center"/>
        </w:trPr>
        <w:tc>
          <w:tcPr>
            <w:tcW w:w="1623" w:type="dxa"/>
            <w:vAlign w:val="center"/>
          </w:tcPr>
          <w:p w14:paraId="657AD0B0"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Favio Gabriel Podjarny</w:t>
            </w:r>
          </w:p>
        </w:tc>
        <w:tc>
          <w:tcPr>
            <w:tcW w:w="1906" w:type="dxa"/>
            <w:vAlign w:val="center"/>
          </w:tcPr>
          <w:p w14:paraId="33A4CCC6"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Servicios Corporativos</w:t>
            </w:r>
          </w:p>
        </w:tc>
        <w:tc>
          <w:tcPr>
            <w:tcW w:w="0" w:type="auto"/>
            <w:vAlign w:val="center"/>
          </w:tcPr>
          <w:p w14:paraId="5450A3CA"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17.140.517</w:t>
            </w:r>
          </w:p>
        </w:tc>
        <w:tc>
          <w:tcPr>
            <w:tcW w:w="1406" w:type="dxa"/>
            <w:vAlign w:val="center"/>
          </w:tcPr>
          <w:p w14:paraId="34A870BF"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20-17140517-4</w:t>
            </w:r>
          </w:p>
        </w:tc>
        <w:tc>
          <w:tcPr>
            <w:tcW w:w="1370" w:type="dxa"/>
            <w:vAlign w:val="center"/>
          </w:tcPr>
          <w:p w14:paraId="3CFA2C99"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01/07/1964</w:t>
            </w:r>
          </w:p>
        </w:tc>
        <w:tc>
          <w:tcPr>
            <w:tcW w:w="1365" w:type="dxa"/>
            <w:vAlign w:val="center"/>
          </w:tcPr>
          <w:p w14:paraId="648DC1EC"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CABA.</w:t>
            </w:r>
          </w:p>
        </w:tc>
        <w:tc>
          <w:tcPr>
            <w:tcW w:w="1371" w:type="dxa"/>
            <w:vAlign w:val="center"/>
          </w:tcPr>
          <w:p w14:paraId="2D555A7F"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01/06/2010</w:t>
            </w:r>
          </w:p>
        </w:tc>
      </w:tr>
      <w:tr w:rsidR="000924EA" w:rsidRPr="00AE4E8D" w14:paraId="5A0ECBFA" w14:textId="77777777" w:rsidTr="000400C8">
        <w:trPr>
          <w:trHeight w:val="556"/>
          <w:jc w:val="center"/>
        </w:trPr>
        <w:tc>
          <w:tcPr>
            <w:tcW w:w="1623" w:type="dxa"/>
            <w:vAlign w:val="center"/>
          </w:tcPr>
          <w:p w14:paraId="6DAC28A7"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Sebastián Argibay Molina</w:t>
            </w:r>
          </w:p>
        </w:tc>
        <w:tc>
          <w:tcPr>
            <w:tcW w:w="1906" w:type="dxa"/>
            <w:vAlign w:val="center"/>
          </w:tcPr>
          <w:p w14:paraId="00A07A7E"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Desarrollo Organizacional y Calidad</w:t>
            </w:r>
          </w:p>
        </w:tc>
        <w:tc>
          <w:tcPr>
            <w:tcW w:w="0" w:type="auto"/>
            <w:vAlign w:val="center"/>
          </w:tcPr>
          <w:p w14:paraId="2787F5F0"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24.227.378</w:t>
            </w:r>
          </w:p>
        </w:tc>
        <w:tc>
          <w:tcPr>
            <w:tcW w:w="1406" w:type="dxa"/>
            <w:vAlign w:val="center"/>
          </w:tcPr>
          <w:p w14:paraId="25F2BA94"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20-24227378-9</w:t>
            </w:r>
          </w:p>
        </w:tc>
        <w:tc>
          <w:tcPr>
            <w:tcW w:w="1370" w:type="dxa"/>
            <w:vAlign w:val="center"/>
          </w:tcPr>
          <w:p w14:paraId="6BEC7C31"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10/10/1974</w:t>
            </w:r>
          </w:p>
        </w:tc>
        <w:tc>
          <w:tcPr>
            <w:tcW w:w="1365" w:type="dxa"/>
            <w:vAlign w:val="center"/>
          </w:tcPr>
          <w:p w14:paraId="6A6563BD"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CABA.</w:t>
            </w:r>
          </w:p>
        </w:tc>
        <w:tc>
          <w:tcPr>
            <w:tcW w:w="1371" w:type="dxa"/>
            <w:vAlign w:val="center"/>
          </w:tcPr>
          <w:p w14:paraId="4EB03C86"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01/06/2013</w:t>
            </w:r>
          </w:p>
        </w:tc>
      </w:tr>
      <w:tr w:rsidR="000924EA" w:rsidRPr="00AE4E8D" w14:paraId="1E7E30B5" w14:textId="77777777" w:rsidTr="000400C8">
        <w:trPr>
          <w:trHeight w:val="556"/>
          <w:jc w:val="center"/>
        </w:trPr>
        <w:tc>
          <w:tcPr>
            <w:tcW w:w="1623" w:type="dxa"/>
            <w:vAlign w:val="center"/>
          </w:tcPr>
          <w:p w14:paraId="04B413DC"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Javier Eduardo Varani</w:t>
            </w:r>
          </w:p>
        </w:tc>
        <w:tc>
          <w:tcPr>
            <w:tcW w:w="1906" w:type="dxa"/>
            <w:vAlign w:val="center"/>
          </w:tcPr>
          <w:p w14:paraId="0B6A90D4"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Relaciones Institucionales</w:t>
            </w:r>
          </w:p>
        </w:tc>
        <w:tc>
          <w:tcPr>
            <w:tcW w:w="0" w:type="auto"/>
            <w:vAlign w:val="center"/>
          </w:tcPr>
          <w:p w14:paraId="1242C772"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17.203.766</w:t>
            </w:r>
          </w:p>
        </w:tc>
        <w:tc>
          <w:tcPr>
            <w:tcW w:w="1406" w:type="dxa"/>
            <w:vAlign w:val="center"/>
          </w:tcPr>
          <w:p w14:paraId="26EA1D42"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20-17203766-7</w:t>
            </w:r>
          </w:p>
        </w:tc>
        <w:tc>
          <w:tcPr>
            <w:tcW w:w="1370" w:type="dxa"/>
            <w:vAlign w:val="center"/>
          </w:tcPr>
          <w:p w14:paraId="7E713355"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31/12/1964</w:t>
            </w:r>
          </w:p>
        </w:tc>
        <w:tc>
          <w:tcPr>
            <w:tcW w:w="1365" w:type="dxa"/>
            <w:vAlign w:val="center"/>
          </w:tcPr>
          <w:p w14:paraId="57CB3339"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sz w:val="16"/>
                <w:szCs w:val="16"/>
                <w:lang w:val="es-ES" w:eastAsia="es-ES"/>
              </w:rPr>
            </w:pPr>
            <w:r w:rsidRPr="00AE4E8D">
              <w:rPr>
                <w:rFonts w:ascii="Times New Roman" w:hAnsi="Times New Roman"/>
                <w:color w:val="000000"/>
                <w:sz w:val="16"/>
                <w:szCs w:val="16"/>
                <w:lang w:val="es-ES" w:eastAsia="es-ES"/>
              </w:rPr>
              <w:t>Reconquista 151, CABA.</w:t>
            </w:r>
          </w:p>
        </w:tc>
        <w:tc>
          <w:tcPr>
            <w:tcW w:w="1371" w:type="dxa"/>
            <w:vAlign w:val="center"/>
          </w:tcPr>
          <w:p w14:paraId="2978E88D"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01/09/2011</w:t>
            </w:r>
          </w:p>
        </w:tc>
      </w:tr>
      <w:tr w:rsidR="000924EA" w:rsidRPr="00AE4E8D" w14:paraId="1A49256D" w14:textId="77777777" w:rsidTr="000400C8">
        <w:trPr>
          <w:trHeight w:val="556"/>
          <w:jc w:val="center"/>
        </w:trPr>
        <w:tc>
          <w:tcPr>
            <w:tcW w:w="1623" w:type="dxa"/>
            <w:vAlign w:val="center"/>
          </w:tcPr>
          <w:p w14:paraId="6A1F4E2B"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Esteban Vainer</w:t>
            </w:r>
          </w:p>
        </w:tc>
        <w:tc>
          <w:tcPr>
            <w:tcW w:w="1906" w:type="dxa"/>
            <w:vAlign w:val="center"/>
          </w:tcPr>
          <w:p w14:paraId="4E06AD39"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de Área Unidad Integral para Desarrollo de la Vivienda</w:t>
            </w:r>
          </w:p>
        </w:tc>
        <w:tc>
          <w:tcPr>
            <w:tcW w:w="0" w:type="auto"/>
            <w:vAlign w:val="center"/>
          </w:tcPr>
          <w:p w14:paraId="7130493B"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22.431.651</w:t>
            </w:r>
          </w:p>
        </w:tc>
        <w:tc>
          <w:tcPr>
            <w:tcW w:w="1406" w:type="dxa"/>
            <w:vAlign w:val="center"/>
          </w:tcPr>
          <w:p w14:paraId="6476615B"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20-22431651-9</w:t>
            </w:r>
          </w:p>
        </w:tc>
        <w:tc>
          <w:tcPr>
            <w:tcW w:w="1370" w:type="dxa"/>
            <w:vAlign w:val="center"/>
          </w:tcPr>
          <w:p w14:paraId="2C81C2E4"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11/10/1971</w:t>
            </w:r>
          </w:p>
        </w:tc>
        <w:tc>
          <w:tcPr>
            <w:tcW w:w="1365" w:type="dxa"/>
            <w:vAlign w:val="center"/>
          </w:tcPr>
          <w:p w14:paraId="091E6EB6"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Tte. Gral. Perón 525, CABA.</w:t>
            </w:r>
          </w:p>
        </w:tc>
        <w:tc>
          <w:tcPr>
            <w:tcW w:w="1371" w:type="dxa"/>
            <w:vAlign w:val="center"/>
          </w:tcPr>
          <w:p w14:paraId="6F89F356"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10/05/2017</w:t>
            </w:r>
          </w:p>
        </w:tc>
      </w:tr>
    </w:tbl>
    <w:p w14:paraId="032D91C1" w14:textId="77777777" w:rsidR="000924EA" w:rsidRPr="00AE4E8D" w:rsidRDefault="000924EA" w:rsidP="000924EA">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A continuación se agrega una breve síntesis biográfica de los gerentes de primera línea que no forman parte de nuestro Directorio: </w:t>
      </w:r>
    </w:p>
    <w:p w14:paraId="063D53B6"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Manuel Herrera.</w:t>
      </w:r>
      <w:r w:rsidRPr="00AE4E8D">
        <w:rPr>
          <w:rFonts w:ascii="Times New Roman" w:hAnsi="Times New Roman"/>
          <w:lang w:val="es-ES"/>
        </w:rPr>
        <w:t xml:space="preserve"> El Sr. Herrera obtuvo el título de Licenciado en Administración de Empresas en la Universidad Católica Argentina habiendo cursado estudios de postgrado en la Universidad de Harvard. Se incorporó al Banco en el año 2009. El Sr. Herrera aporta más de 15 años de experiencia en el mercado financiero argentino y de Estados Unidos de América. Anteriormente, estuvo a cargo de diversas áreas dentro de la banca corporativa y de inversión de Bank Boston Argentina.</w:t>
      </w:r>
    </w:p>
    <w:p w14:paraId="79C1223E"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Gerardo Rovner.</w:t>
      </w:r>
      <w:r w:rsidRPr="00AE4E8D">
        <w:rPr>
          <w:rFonts w:ascii="Times New Roman" w:hAnsi="Times New Roman"/>
          <w:lang w:val="es-ES"/>
        </w:rPr>
        <w:t xml:space="preserve"> El Sr. Rovner obtuvo el título de Licenciado en Economía en la Universidad de Buenos Aires, trabaja con nosotros desde hace 21 años, en los cuales se desempeñó como gerente en las áreas de políticas de riesgo, gestión de cobranza, y riesgos operativos, entre otros. En febrero de 2012 fue designado como Gerente de Área de Auditoría Interna. </w:t>
      </w:r>
    </w:p>
    <w:p w14:paraId="014B8D0B"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Tomás Godino</w:t>
      </w:r>
      <w:r w:rsidRPr="00AE4E8D">
        <w:rPr>
          <w:rFonts w:ascii="Times New Roman" w:hAnsi="Times New Roman"/>
        </w:rPr>
        <w:t xml:space="preserve">. </w:t>
      </w:r>
      <w:r w:rsidRPr="00AE4E8D">
        <w:rPr>
          <w:rFonts w:ascii="Times New Roman" w:hAnsi="Times New Roman"/>
          <w:lang w:val="es-ES"/>
        </w:rPr>
        <w:t xml:space="preserve">El Sr. Godino obtuvo el título de Contador Público en la Universidad de Buenos Aires y realizó una maestría en finanzas en la Universidad del CEMA. Trabajó hasta el 2006 en la firma PwC en el área de auditoría. Desde entonces hasta la actualidad se desempeña en la gerencia de finanzas de Banco Hipotecario SA, donde ha ocupado el cargo de Gerente de Mercado de Capitales y posteriormente fue nombrado Gerente de Finanzas en 2017. </w:t>
      </w:r>
    </w:p>
    <w:p w14:paraId="4A6E922C"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Alejandro Sokol.</w:t>
      </w:r>
      <w:r w:rsidRPr="00AE4E8D">
        <w:rPr>
          <w:rFonts w:ascii="Times New Roman" w:hAnsi="Times New Roman"/>
          <w:lang w:val="es-ES"/>
        </w:rPr>
        <w:t xml:space="preserve"> El Sr. Sokol es graduado de la Universidad de Buenos Aires de Ciencias Económicas, habiendo cursado las carreras de actuario y la licenciatura en economía. Se incorporó al Banco en el año 2009. El Sr. Sokol aporta más de 20 años de experiencia en el mercado financiero, habiendo desarrollado funciones tanto en el ámbito local como internacional en empresas tales como BankBoston, Deloitte and Touche e IRSA.</w:t>
      </w:r>
    </w:p>
    <w:p w14:paraId="0EEA7E27"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Guillermo Mansilla.</w:t>
      </w:r>
      <w:r w:rsidRPr="00AE4E8D">
        <w:rPr>
          <w:rFonts w:ascii="Times New Roman" w:hAnsi="Times New Roman"/>
          <w:lang w:val="es-ES"/>
        </w:rPr>
        <w:t xml:space="preserve"> El Sr. Mansilla obtuvo el título de Contador Público en la Universidad Argentina de Empresas y un Máster en Administración de Empresas en la Universidad Católica de Córdoba. Se incorporó al Banco el 7 de noviembre de 2016. Cuenta con una amplia trayectoria en la Industria de Servicios Financieros, liderando diferentes áreas comerciales y de servicios correspondientes a la Banca Minorista y Banca Empresas. Antes de sunirse al Banco, su última experiencia laboral fue en el Banco Comafi, donde se desempeñó como Gerente Comercial.</w:t>
      </w:r>
    </w:p>
    <w:p w14:paraId="54F646C7"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Ignacio Uranga.</w:t>
      </w:r>
      <w:r w:rsidRPr="00AE4E8D">
        <w:rPr>
          <w:rFonts w:ascii="Times New Roman" w:hAnsi="Times New Roman"/>
          <w:lang w:val="es-ES"/>
        </w:rPr>
        <w:t xml:space="preserve"> El Sr. Uranga obtuvo el título de Licenciado en Administración de Empresas en la Universidad Católica Argentina. Realizó un MBA en la Universidad del CEMA. Se incorporó al banco en el año 2013. El Sr. Uranga tiene más de 15 años de experiencia en el mercado financiero. Antes de unirse al Banco, estuvo a cargo de la gerencia de finanzas de Edesur, gerente de finanzas de Arcos Dorados Latinoamérica y director de tesorería del Tejar.</w:t>
      </w:r>
    </w:p>
    <w:p w14:paraId="07062B5F" w14:textId="77777777" w:rsidR="000924EA" w:rsidRPr="00AE4E8D" w:rsidRDefault="000924EA" w:rsidP="000924EA">
      <w:pPr>
        <w:autoSpaceDE w:val="0"/>
        <w:autoSpaceDN w:val="0"/>
        <w:adjustRightInd w:val="0"/>
        <w:spacing w:before="120" w:after="120"/>
        <w:jc w:val="both"/>
        <w:rPr>
          <w:rFonts w:ascii="Times New Roman" w:hAnsi="Times New Roman"/>
          <w:b/>
          <w:lang w:val="es-ES"/>
        </w:rPr>
      </w:pPr>
      <w:r w:rsidRPr="00AE4E8D">
        <w:rPr>
          <w:rFonts w:ascii="Times New Roman" w:hAnsi="Times New Roman"/>
          <w:b/>
          <w:i/>
          <w:lang w:val="es-ES"/>
        </w:rPr>
        <w:t xml:space="preserve">Mariano Cané. </w:t>
      </w:r>
      <w:r w:rsidRPr="00AE4E8D">
        <w:rPr>
          <w:rFonts w:ascii="Times New Roman" w:hAnsi="Times New Roman"/>
          <w:lang w:val="es-ES"/>
        </w:rPr>
        <w:t>El Sr. Cané de Estrada obtuvo los títulos de Licenciado en Economía y Master en Finanzas de la Universidad Torcuato Di Tella. El Sr. Cané de Estrada aporta más de 20 años de experiencia orientada al mercado financiero de Argentina, EEUU y Europa, habiéndose desempeñado en diversas posiciones gerenciales de portfolio management, risk management y análisis de negocios, incluyendo roles en el Grupo IRSA y en la Organización Techint. En 2012 se ha incorporado al Banco Hipotecario como Gerente de Administración de Activos y Pasivos, y actualmente ocupa el cargo de Gerente de Área de Planeamiento y Control de Gestión.</w:t>
      </w:r>
    </w:p>
    <w:p w14:paraId="12BA7E48" w14:textId="77777777" w:rsidR="000924EA" w:rsidRPr="00AE4E8D" w:rsidRDefault="000924EA" w:rsidP="000924EA">
      <w:pPr>
        <w:autoSpaceDE w:val="0"/>
        <w:autoSpaceDN w:val="0"/>
        <w:adjustRightInd w:val="0"/>
        <w:spacing w:before="120" w:after="120"/>
        <w:jc w:val="both"/>
        <w:rPr>
          <w:rFonts w:ascii="Times New Roman" w:hAnsi="Times New Roman"/>
          <w:i/>
          <w:lang w:val="es-ES"/>
        </w:rPr>
      </w:pPr>
      <w:r w:rsidRPr="00AE4E8D">
        <w:rPr>
          <w:rFonts w:ascii="Times New Roman" w:hAnsi="Times New Roman"/>
          <w:b/>
          <w:i/>
          <w:lang w:val="es-ES"/>
        </w:rPr>
        <w:lastRenderedPageBreak/>
        <w:t>Sebastián Argibay Molina</w:t>
      </w:r>
      <w:r w:rsidRPr="00AE4E8D">
        <w:rPr>
          <w:rFonts w:ascii="Times New Roman" w:hAnsi="Times New Roman"/>
          <w:b/>
          <w:lang w:val="es-ES"/>
        </w:rPr>
        <w:t>.</w:t>
      </w:r>
      <w:r w:rsidRPr="00AE4E8D">
        <w:rPr>
          <w:rFonts w:ascii="Times New Roman" w:hAnsi="Times New Roman"/>
          <w:lang w:val="es-ES"/>
        </w:rPr>
        <w:t xml:space="preserve"> El Sr. Argibay Molina obtuvo el título de Licenciado en Administración de Empresas en la Universidad de Belgrano y realizó un Posgrado en Gerenciamiento Bancario en la Universidad Torcuato Di Tella. Ingresó al Banco en 1999 y actualmente se desempeña como Gerente del Área de Desarrollo Organizacional y Calidad. Anteriormente, el Sr. Argibay Molina desempeñó distintas funciones. Antes de ingresar al Banco, desarrolló su carrera en consultoría en Coopers &amp; Lybrand (fusionada posteriormente con Price Waterhouse). </w:t>
      </w:r>
    </w:p>
    <w:p w14:paraId="178B4E6D"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Favio Gabriel Podjarny.</w:t>
      </w:r>
      <w:r w:rsidRPr="00AE4E8D">
        <w:rPr>
          <w:rFonts w:ascii="Times New Roman" w:hAnsi="Times New Roman"/>
          <w:lang w:val="es-ES"/>
        </w:rPr>
        <w:t xml:space="preserve"> El Sr. Podjarny ingresó al Banco en diciembre de 2005. Actualmente es el Gerente de Área de Servicios Corporativos. Se desempeñó como Representante del Directorio de IRSA Inversiones y Representaciones Sociedad Anónima, a cargo del Proyecto Abril Club de Campo. Previamente fue director del Centro de Empleo y Emprendimientos Ariel Job Center siendo el responsable de la administración y gestión general de la organización. También estuvo a cargo de la dirección integral de la Sociedad Hebraica Argentina bajo el cargo de director ejecutivo de la Entidad.</w:t>
      </w:r>
    </w:p>
    <w:p w14:paraId="564C5CE6"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 xml:space="preserve">Javier Eduardo Varani. </w:t>
      </w:r>
      <w:r w:rsidRPr="00AE4E8D">
        <w:rPr>
          <w:rFonts w:ascii="Times New Roman" w:hAnsi="Times New Roman"/>
          <w:lang w:val="es-ES"/>
        </w:rPr>
        <w:t>El Sr. Varani ingresó al Banco en junio de 2005 como gerente de Relaciones Institucionales. Previamente se desempeñó en el área de prensa y de asuntos institucionales de Telecom Argentina y de Telecom Personal. Fue concejal en Vicente López (Provincia de Buenos Aires) en el período 1995/1999. Especializado en asuntos municipales, ejerce la docencia universitaria.</w:t>
      </w:r>
    </w:p>
    <w:p w14:paraId="4A94D153" w14:textId="77777777" w:rsidR="000924EA" w:rsidRPr="00AE4E8D" w:rsidRDefault="000924EA" w:rsidP="000924EA">
      <w:pPr>
        <w:autoSpaceDE w:val="0"/>
        <w:autoSpaceDN w:val="0"/>
        <w:adjustRightInd w:val="0"/>
        <w:spacing w:before="120" w:after="120"/>
        <w:jc w:val="both"/>
        <w:rPr>
          <w:rFonts w:ascii="Times New Roman" w:hAnsi="Times New Roman"/>
          <w:b/>
          <w:i/>
          <w:lang w:val="es-ES"/>
        </w:rPr>
      </w:pPr>
      <w:r w:rsidRPr="00AE4E8D">
        <w:rPr>
          <w:rFonts w:ascii="Times New Roman" w:hAnsi="Times New Roman"/>
          <w:b/>
          <w:i/>
          <w:lang w:val="es-ES"/>
        </w:rPr>
        <w:t xml:space="preserve">Esteban Vainer. </w:t>
      </w:r>
      <w:r w:rsidRPr="00AE4E8D">
        <w:rPr>
          <w:rFonts w:ascii="Times New Roman" w:hAnsi="Times New Roman"/>
          <w:lang w:val="es-ES"/>
        </w:rPr>
        <w:t>El Sr. Vainer obtuvo los títulos de Máster en Dirección de Empresas IAE y Licenciado en Administración de Empresas UADE. Se incorporó al Banco en el año 2004 como Gerente de área Banca Minorista hasta marzo del 2016, fecha en la que paso a la Administración Pública desempeñando el cargo de Director Nacional de Inversiones dependiente del Ministerio de Comunicaciones de la Nación hasta abril 2017. Desde entonces fue reincorporado el Banco y se desempeña el cargo de Gerente de área Unidad Desarrollo Integral Vivienda.</w:t>
      </w:r>
    </w:p>
    <w:p w14:paraId="4A2F3AF6" w14:textId="77777777" w:rsidR="000924EA" w:rsidRPr="00AE4E8D" w:rsidRDefault="000924EA" w:rsidP="000924EA">
      <w:pPr>
        <w:keepNext/>
        <w:autoSpaceDE w:val="0"/>
        <w:autoSpaceDN w:val="0"/>
        <w:adjustRightInd w:val="0"/>
        <w:spacing w:before="240" w:after="240"/>
        <w:outlineLvl w:val="1"/>
        <w:rPr>
          <w:rFonts w:ascii="Times New Roman" w:hAnsi="Times New Roman"/>
          <w:b/>
          <w:lang w:val="es-ES" w:eastAsia="es-AR"/>
        </w:rPr>
      </w:pPr>
      <w:bookmarkStart w:id="112" w:name="_Toc495972972"/>
      <w:bookmarkStart w:id="113" w:name="_Toc495399879"/>
      <w:r w:rsidRPr="00AE4E8D">
        <w:rPr>
          <w:rFonts w:ascii="Times New Roman" w:hAnsi="Times New Roman"/>
          <w:b/>
          <w:lang w:val="es-ES" w:eastAsia="es-AR"/>
        </w:rPr>
        <w:t>b) Comisión Fiscalizadora</w:t>
      </w:r>
      <w:bookmarkEnd w:id="112"/>
      <w:bookmarkEnd w:id="113"/>
      <w:r w:rsidRPr="00AE4E8D">
        <w:rPr>
          <w:rFonts w:ascii="Times New Roman" w:hAnsi="Times New Roman"/>
          <w:b/>
          <w:lang w:val="es-ES" w:eastAsia="es-AR"/>
        </w:rPr>
        <w:t xml:space="preserve"> </w:t>
      </w:r>
    </w:p>
    <w:p w14:paraId="10F5D918" w14:textId="77777777" w:rsidR="000924EA" w:rsidRPr="00AE4E8D" w:rsidRDefault="000924EA" w:rsidP="000924EA">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artículo 20 de nuestro Estatuto dispone que la Comisión Fiscalizadora esté integrada por cinco miembros titulares y cinco suplentes. Conforme al inciso b) del mencionado artículo 20 de nuestro Estatuto, los miembros de la Comisión Fiscalizadora son elegidos de la siguiente manera: tres miembros titulares y tres suplentes de la Comisión Fiscalizadora serán elegidos en forma conjunta por las acciones Clase C y Clase D; un titular y un suplente serán elegidos por las acciones Clase B (en la medida en que dichas acciones representen más del 2,0% de nuestro capital accionario) y un miembro titular y un suplente serán elegidos por las acciones Clase A. Los Síndicos titulares y suplentes se designan por períodos de dos años. De conformidad con la ley sólo los abogados y contadores matriculados podrán desempeñarse como síndicos de una sociedad anónima argentina.</w:t>
      </w:r>
    </w:p>
    <w:p w14:paraId="42962C82" w14:textId="77777777" w:rsidR="000924EA" w:rsidRPr="00AE4E8D" w:rsidRDefault="000924EA" w:rsidP="000924EA">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Si las acciones Clase B no representan el 2,0% de nuestro capital social y las acciones Clase C no representen el 3,0% de nuestro capital social, los miembros de la Comisión Fiscalizadora serán reducidos a tres miembros titulares y tres suplentes. Dos miembros titulares y dos suplentes serán elegidos en forma conjunta por las acciones Clase B, C y D, y un miembro titular y un suplente serán elegidos por las acciones Clase A.</w:t>
      </w:r>
    </w:p>
    <w:p w14:paraId="16365950" w14:textId="77777777" w:rsidR="000924EA" w:rsidRPr="00AE4E8D" w:rsidRDefault="000924EA" w:rsidP="000924EA">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Las reuniones pueden ser convocadas por cualquiera de los Síndicos y se celebran con la presencia de la mayoría absoluta de sus miembros, adoptándose las resoluciones por mayoría de votos. De conformidad con el artículo 294 de la Ley General de Sociedades Argentina, los principales deberes y facultades de la Comisión Fiscalizadora consisten en (i) supervisar e inspeccionar los libros y registros societarios toda vez que sea necesario, pero como mínimo trimestralmente; (ii) asistir a las reuniones del Directorio, del Comité Ejecutivo y las asambleas de accionistas; (iii) preparar un informe anual sobre nuestra situación financiera y presentarla a los accionistas en la asamblea anual ordinaria; (iv) proveer determinada información relativa a nosotros a solicitud escrita de cualquier accionista titular de como mínimo el 2,0% de nuestro capital en circulación; (v) convocar a asamblea extraordinaria de accionistas cuando sea necesario, por iniciativa propia o a solicitud de los accionistas, o a asamblea ordinaria si el Directorio no lo hace; (vi) incluir asuntos para el orden del día de cualquier asamblea en que deba estar presente la Comisión Fiscalizadora; (vii) supervisar y controlar nuestro cumplimiento de todas las leyes y reglamentaciones, nuestro Estatuto y las decisiones de los accionistas; (viii) investigar las quejas escritas presentadas por accionistas titulares de como mínimo el 2,0% de nuestro capital; (ix) solicitar nuestra disolución judicial y supervisar el proceso; (x) designar directores cuando no quede ninguno en el Directorio y los accionistas no hayan designado a sus sustitutos; y (xi) solicitar intervención judicial en circunstancias extraordinarias, tales como hechos delictivos por parte de los funcionarios ejecutivos que representen una amenaza para nosotros. En el desempeño de estas funciones, la Comisión Fiscalizadora no controla nuestras operaciones.</w:t>
      </w:r>
    </w:p>
    <w:p w14:paraId="3E0CFC9F" w14:textId="77777777" w:rsidR="000924EA" w:rsidRPr="00AE4E8D" w:rsidRDefault="000924EA" w:rsidP="000924EA">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lastRenderedPageBreak/>
        <w:t>Actualmente la Comisión Fiscalizadora está compuesta por cinco síndicos titulares y cinco síndicos suplentes:</w:t>
      </w:r>
    </w:p>
    <w:tbl>
      <w:tblPr>
        <w:tblW w:w="5000" w:type="pct"/>
        <w:jc w:val="center"/>
        <w:tblCellMar>
          <w:left w:w="70" w:type="dxa"/>
          <w:right w:w="70" w:type="dxa"/>
        </w:tblCellMar>
        <w:tblLook w:val="0000" w:firstRow="0" w:lastRow="0" w:firstColumn="0" w:lastColumn="0" w:noHBand="0" w:noVBand="0"/>
      </w:tblPr>
      <w:tblGrid>
        <w:gridCol w:w="1350"/>
        <w:gridCol w:w="700"/>
        <w:gridCol w:w="818"/>
        <w:gridCol w:w="1074"/>
        <w:gridCol w:w="980"/>
        <w:gridCol w:w="1243"/>
        <w:gridCol w:w="991"/>
        <w:gridCol w:w="1489"/>
      </w:tblGrid>
      <w:tr w:rsidR="000924EA" w:rsidRPr="00AE4E8D" w14:paraId="2908CC6F" w14:textId="77777777" w:rsidTr="000400C8">
        <w:trPr>
          <w:trHeight w:val="372"/>
          <w:tblHeader/>
          <w:jc w:val="center"/>
        </w:trPr>
        <w:tc>
          <w:tcPr>
            <w:tcW w:w="781" w:type="pct"/>
            <w:tcBorders>
              <w:top w:val="single" w:sz="4" w:space="0" w:color="auto"/>
              <w:bottom w:val="single" w:sz="4" w:space="0" w:color="auto"/>
            </w:tcBorders>
            <w:vAlign w:val="center"/>
          </w:tcPr>
          <w:p w14:paraId="13444033"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b/>
                <w:sz w:val="16"/>
                <w:szCs w:val="16"/>
                <w:lang w:val="es-ES" w:eastAsia="es-ES"/>
              </w:rPr>
            </w:pPr>
            <w:r w:rsidRPr="00AE4E8D">
              <w:rPr>
                <w:rFonts w:ascii="Times New Roman" w:hAnsi="Times New Roman"/>
                <w:b/>
                <w:sz w:val="16"/>
                <w:szCs w:val="16"/>
                <w:lang w:val="es-ES" w:eastAsia="es-ES"/>
              </w:rPr>
              <w:t>Nombre</w:t>
            </w:r>
          </w:p>
        </w:tc>
        <w:tc>
          <w:tcPr>
            <w:tcW w:w="405" w:type="pct"/>
            <w:tcBorders>
              <w:top w:val="single" w:sz="4" w:space="0" w:color="auto"/>
              <w:bottom w:val="single" w:sz="4" w:space="0" w:color="auto"/>
            </w:tcBorders>
            <w:vAlign w:val="center"/>
          </w:tcPr>
          <w:p w14:paraId="3C5F8F3D"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Cargo</w:t>
            </w:r>
          </w:p>
        </w:tc>
        <w:tc>
          <w:tcPr>
            <w:tcW w:w="473" w:type="pct"/>
            <w:tcBorders>
              <w:top w:val="single" w:sz="4" w:space="0" w:color="auto"/>
              <w:bottom w:val="single" w:sz="4" w:space="0" w:color="auto"/>
            </w:tcBorders>
            <w:vAlign w:val="center"/>
          </w:tcPr>
          <w:p w14:paraId="3906DF2B"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Clase</w:t>
            </w:r>
          </w:p>
        </w:tc>
        <w:tc>
          <w:tcPr>
            <w:tcW w:w="621" w:type="pct"/>
            <w:tcBorders>
              <w:top w:val="single" w:sz="4" w:space="0" w:color="auto"/>
              <w:bottom w:val="single" w:sz="4" w:space="0" w:color="auto"/>
            </w:tcBorders>
            <w:vAlign w:val="center"/>
          </w:tcPr>
          <w:p w14:paraId="57AC3D73"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Vencimiento de Mandato</w:t>
            </w:r>
          </w:p>
        </w:tc>
        <w:tc>
          <w:tcPr>
            <w:tcW w:w="567" w:type="pct"/>
            <w:tcBorders>
              <w:top w:val="single" w:sz="4" w:space="0" w:color="auto"/>
              <w:bottom w:val="single" w:sz="4" w:space="0" w:color="auto"/>
            </w:tcBorders>
            <w:vAlign w:val="center"/>
          </w:tcPr>
          <w:p w14:paraId="05BE53E6"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DNI</w:t>
            </w:r>
          </w:p>
        </w:tc>
        <w:tc>
          <w:tcPr>
            <w:tcW w:w="719" w:type="pct"/>
            <w:tcBorders>
              <w:top w:val="single" w:sz="4" w:space="0" w:color="auto"/>
              <w:bottom w:val="single" w:sz="4" w:space="0" w:color="auto"/>
            </w:tcBorders>
            <w:vAlign w:val="center"/>
          </w:tcPr>
          <w:p w14:paraId="71A56057"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CUIL/CUIT</w:t>
            </w:r>
          </w:p>
        </w:tc>
        <w:tc>
          <w:tcPr>
            <w:tcW w:w="573" w:type="pct"/>
            <w:tcBorders>
              <w:top w:val="single" w:sz="4" w:space="0" w:color="auto"/>
              <w:bottom w:val="single" w:sz="4" w:space="0" w:color="auto"/>
            </w:tcBorders>
            <w:vAlign w:val="center"/>
          </w:tcPr>
          <w:p w14:paraId="706DD5E0"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b/>
                <w:sz w:val="16"/>
                <w:szCs w:val="16"/>
                <w:lang w:val="es-ES" w:eastAsia="es-ES"/>
              </w:rPr>
            </w:pPr>
            <w:r w:rsidRPr="00AE4E8D">
              <w:rPr>
                <w:rFonts w:ascii="Times New Roman" w:hAnsi="Times New Roman"/>
                <w:b/>
                <w:sz w:val="16"/>
                <w:szCs w:val="16"/>
                <w:lang w:val="es-ES" w:eastAsia="es-ES"/>
              </w:rPr>
              <w:t>Domicilio</w:t>
            </w:r>
          </w:p>
        </w:tc>
        <w:tc>
          <w:tcPr>
            <w:tcW w:w="861" w:type="pct"/>
            <w:tcBorders>
              <w:top w:val="single" w:sz="4" w:space="0" w:color="auto"/>
              <w:bottom w:val="single" w:sz="4" w:space="0" w:color="auto"/>
            </w:tcBorders>
            <w:vAlign w:val="center"/>
          </w:tcPr>
          <w:p w14:paraId="40B2DE59"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b/>
                <w:sz w:val="16"/>
                <w:szCs w:val="16"/>
                <w:lang w:val="es-ES" w:eastAsia="es-ES"/>
              </w:rPr>
            </w:pPr>
            <w:r w:rsidRPr="00AE4E8D">
              <w:rPr>
                <w:rFonts w:ascii="Times New Roman" w:hAnsi="Times New Roman"/>
                <w:b/>
                <w:sz w:val="16"/>
                <w:szCs w:val="16"/>
                <w:lang w:val="es-ES" w:eastAsia="es-ES"/>
              </w:rPr>
              <w:t>Fecha desde la que ocupa el cargo</w:t>
            </w:r>
          </w:p>
        </w:tc>
      </w:tr>
      <w:tr w:rsidR="000924EA" w:rsidRPr="00AE4E8D" w14:paraId="688009B9" w14:textId="77777777" w:rsidTr="000400C8">
        <w:trPr>
          <w:trHeight w:val="382"/>
          <w:jc w:val="center"/>
        </w:trPr>
        <w:tc>
          <w:tcPr>
            <w:tcW w:w="781" w:type="pct"/>
            <w:vAlign w:val="center"/>
          </w:tcPr>
          <w:p w14:paraId="51977878"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 xml:space="preserve">Francisco Daniel González </w:t>
            </w:r>
          </w:p>
        </w:tc>
        <w:tc>
          <w:tcPr>
            <w:tcW w:w="405" w:type="pct"/>
            <w:vAlign w:val="center"/>
          </w:tcPr>
          <w:p w14:paraId="3AF56BA3"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742F1019"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A</w:t>
            </w:r>
          </w:p>
        </w:tc>
        <w:tc>
          <w:tcPr>
            <w:tcW w:w="621" w:type="pct"/>
            <w:vAlign w:val="center"/>
          </w:tcPr>
          <w:p w14:paraId="4C897EA6"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51CC91FA" w14:textId="77777777" w:rsidR="000924EA" w:rsidRPr="00AE4E8D" w:rsidRDefault="000924EA" w:rsidP="00232C94">
            <w:pPr>
              <w:widowControl w:val="0"/>
              <w:tabs>
                <w:tab w:val="right" w:leader="dot" w:pos="5310"/>
              </w:tabs>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8.474.624</w:t>
            </w:r>
          </w:p>
        </w:tc>
        <w:tc>
          <w:tcPr>
            <w:tcW w:w="719" w:type="pct"/>
            <w:vAlign w:val="center"/>
          </w:tcPr>
          <w:p w14:paraId="3008FE56"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20-08474624-0</w:t>
            </w:r>
          </w:p>
        </w:tc>
        <w:tc>
          <w:tcPr>
            <w:tcW w:w="573" w:type="pct"/>
            <w:vAlign w:val="center"/>
          </w:tcPr>
          <w:p w14:paraId="6411ECE7"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Corrientes 381, CABA.</w:t>
            </w:r>
          </w:p>
        </w:tc>
        <w:tc>
          <w:tcPr>
            <w:tcW w:w="861" w:type="pct"/>
            <w:vAlign w:val="center"/>
          </w:tcPr>
          <w:p w14:paraId="1EBA3495"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31/03/2015</w:t>
            </w:r>
          </w:p>
        </w:tc>
      </w:tr>
      <w:tr w:rsidR="000924EA" w:rsidRPr="00AE4E8D" w14:paraId="55296CD8" w14:textId="77777777" w:rsidTr="000400C8">
        <w:trPr>
          <w:trHeight w:val="382"/>
          <w:jc w:val="center"/>
        </w:trPr>
        <w:tc>
          <w:tcPr>
            <w:tcW w:w="781" w:type="pct"/>
            <w:vAlign w:val="center"/>
          </w:tcPr>
          <w:p w14:paraId="1301F6FF"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Héctor Oscar Ivancich</w:t>
            </w:r>
          </w:p>
        </w:tc>
        <w:tc>
          <w:tcPr>
            <w:tcW w:w="405" w:type="pct"/>
            <w:vAlign w:val="center"/>
          </w:tcPr>
          <w:p w14:paraId="4D6D409E"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7354DF23"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B</w:t>
            </w:r>
          </w:p>
        </w:tc>
        <w:tc>
          <w:tcPr>
            <w:tcW w:w="621" w:type="pct"/>
            <w:vAlign w:val="center"/>
          </w:tcPr>
          <w:p w14:paraId="1A013794"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3BBDF7F7" w14:textId="77777777" w:rsidR="000924EA" w:rsidRPr="00AE4E8D" w:rsidRDefault="000924EA" w:rsidP="00232C94">
            <w:pPr>
              <w:widowControl w:val="0"/>
              <w:tabs>
                <w:tab w:val="right" w:leader="dot" w:pos="5310"/>
              </w:tabs>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4.532.118</w:t>
            </w:r>
          </w:p>
        </w:tc>
        <w:tc>
          <w:tcPr>
            <w:tcW w:w="719" w:type="pct"/>
            <w:vAlign w:val="center"/>
          </w:tcPr>
          <w:p w14:paraId="01DE9859"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20-04532118-6</w:t>
            </w:r>
          </w:p>
        </w:tc>
        <w:tc>
          <w:tcPr>
            <w:tcW w:w="573" w:type="pct"/>
            <w:vAlign w:val="center"/>
          </w:tcPr>
          <w:p w14:paraId="53874B19"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Corrientes 381, CABA.</w:t>
            </w:r>
          </w:p>
        </w:tc>
        <w:tc>
          <w:tcPr>
            <w:tcW w:w="861" w:type="pct"/>
            <w:vAlign w:val="center"/>
          </w:tcPr>
          <w:p w14:paraId="0858E3D7"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31/03/2015</w:t>
            </w:r>
          </w:p>
        </w:tc>
      </w:tr>
      <w:tr w:rsidR="000924EA" w:rsidRPr="00AE4E8D" w14:paraId="62F56C94" w14:textId="77777777" w:rsidTr="000400C8">
        <w:trPr>
          <w:trHeight w:val="382"/>
          <w:jc w:val="center"/>
        </w:trPr>
        <w:tc>
          <w:tcPr>
            <w:tcW w:w="781" w:type="pct"/>
            <w:vAlign w:val="center"/>
          </w:tcPr>
          <w:p w14:paraId="31418E16"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José Daniel Abelovich</w:t>
            </w:r>
          </w:p>
        </w:tc>
        <w:tc>
          <w:tcPr>
            <w:tcW w:w="405" w:type="pct"/>
            <w:vAlign w:val="center"/>
          </w:tcPr>
          <w:p w14:paraId="3AF49FE2"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55A67C4A"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6EFAFEE4"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2E117321"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12.076.652</w:t>
            </w:r>
          </w:p>
        </w:tc>
        <w:tc>
          <w:tcPr>
            <w:tcW w:w="719" w:type="pct"/>
            <w:vAlign w:val="center"/>
          </w:tcPr>
          <w:p w14:paraId="6E7A8E08"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20-12076652-0</w:t>
            </w:r>
          </w:p>
        </w:tc>
        <w:tc>
          <w:tcPr>
            <w:tcW w:w="573" w:type="pct"/>
            <w:vAlign w:val="center"/>
          </w:tcPr>
          <w:p w14:paraId="6EA7A8F6"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sz w:val="16"/>
                <w:szCs w:val="16"/>
                <w:lang w:val="es-ES" w:eastAsia="es-ES"/>
              </w:rPr>
            </w:pPr>
            <w:r w:rsidRPr="00AE4E8D">
              <w:rPr>
                <w:rFonts w:ascii="Times New Roman" w:hAnsi="Times New Roman"/>
                <w:color w:val="000000"/>
                <w:sz w:val="16"/>
                <w:szCs w:val="16"/>
                <w:lang w:val="es-ES" w:eastAsia="es-ES"/>
              </w:rPr>
              <w:t>25 de mayo 596 piso 8°, CABA.</w:t>
            </w:r>
          </w:p>
        </w:tc>
        <w:tc>
          <w:tcPr>
            <w:tcW w:w="861" w:type="pct"/>
            <w:vAlign w:val="center"/>
          </w:tcPr>
          <w:p w14:paraId="3109E07A"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17/05/2001</w:t>
            </w:r>
          </w:p>
        </w:tc>
      </w:tr>
      <w:tr w:rsidR="000924EA" w:rsidRPr="00AE4E8D" w14:paraId="43E54236" w14:textId="77777777" w:rsidTr="000400C8">
        <w:trPr>
          <w:trHeight w:val="382"/>
          <w:jc w:val="center"/>
        </w:trPr>
        <w:tc>
          <w:tcPr>
            <w:tcW w:w="781" w:type="pct"/>
            <w:vAlign w:val="center"/>
          </w:tcPr>
          <w:p w14:paraId="7C5355CF"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Marcelo Héctor Fuxman</w:t>
            </w:r>
          </w:p>
        </w:tc>
        <w:tc>
          <w:tcPr>
            <w:tcW w:w="405" w:type="pct"/>
            <w:vAlign w:val="center"/>
          </w:tcPr>
          <w:p w14:paraId="240FE38E"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10999415"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6ED2A6C5"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2254B5CD"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11.889.826</w:t>
            </w:r>
          </w:p>
        </w:tc>
        <w:tc>
          <w:tcPr>
            <w:tcW w:w="719" w:type="pct"/>
            <w:vAlign w:val="center"/>
          </w:tcPr>
          <w:p w14:paraId="26CF320C"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20-11889826-6</w:t>
            </w:r>
          </w:p>
        </w:tc>
        <w:tc>
          <w:tcPr>
            <w:tcW w:w="573" w:type="pct"/>
            <w:vAlign w:val="center"/>
          </w:tcPr>
          <w:p w14:paraId="75BFAF27"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sz w:val="16"/>
                <w:szCs w:val="16"/>
                <w:lang w:val="es-ES" w:eastAsia="es-ES"/>
              </w:rPr>
            </w:pPr>
            <w:r w:rsidRPr="00AE4E8D">
              <w:rPr>
                <w:rFonts w:ascii="Times New Roman" w:hAnsi="Times New Roman"/>
                <w:color w:val="000000"/>
                <w:sz w:val="16"/>
                <w:szCs w:val="16"/>
                <w:lang w:val="es-ES" w:eastAsia="es-ES"/>
              </w:rPr>
              <w:t>25 de mayo 596 piso 8°, CABA.</w:t>
            </w:r>
          </w:p>
        </w:tc>
        <w:tc>
          <w:tcPr>
            <w:tcW w:w="861" w:type="pct"/>
            <w:vAlign w:val="center"/>
          </w:tcPr>
          <w:p w14:paraId="55AF5F3B"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17/05/2001</w:t>
            </w:r>
          </w:p>
        </w:tc>
      </w:tr>
      <w:tr w:rsidR="000924EA" w:rsidRPr="00AE4E8D" w14:paraId="09E7D2CE" w14:textId="77777777" w:rsidTr="000400C8">
        <w:trPr>
          <w:trHeight w:val="382"/>
          <w:jc w:val="center"/>
        </w:trPr>
        <w:tc>
          <w:tcPr>
            <w:tcW w:w="781" w:type="pct"/>
            <w:vAlign w:val="center"/>
          </w:tcPr>
          <w:p w14:paraId="4D29DB0C"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Ricardo Flammini</w:t>
            </w:r>
          </w:p>
        </w:tc>
        <w:tc>
          <w:tcPr>
            <w:tcW w:w="405" w:type="pct"/>
            <w:vAlign w:val="center"/>
          </w:tcPr>
          <w:p w14:paraId="59C5357F"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7DA236AE"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5318A07B"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72D15E7B"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4.351.316</w:t>
            </w:r>
          </w:p>
        </w:tc>
        <w:tc>
          <w:tcPr>
            <w:tcW w:w="719" w:type="pct"/>
            <w:vAlign w:val="center"/>
          </w:tcPr>
          <w:p w14:paraId="65227FAE"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20-04351316-9</w:t>
            </w:r>
          </w:p>
        </w:tc>
        <w:tc>
          <w:tcPr>
            <w:tcW w:w="573" w:type="pct"/>
            <w:vAlign w:val="center"/>
          </w:tcPr>
          <w:p w14:paraId="77891EBC"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861" w:type="pct"/>
            <w:vAlign w:val="center"/>
          </w:tcPr>
          <w:p w14:paraId="626CFB0B"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30/05/2003</w:t>
            </w:r>
          </w:p>
        </w:tc>
      </w:tr>
      <w:tr w:rsidR="000924EA" w:rsidRPr="00AE4E8D" w14:paraId="19DF275E" w14:textId="77777777" w:rsidTr="000400C8">
        <w:trPr>
          <w:trHeight w:val="382"/>
          <w:jc w:val="center"/>
        </w:trPr>
        <w:tc>
          <w:tcPr>
            <w:tcW w:w="781" w:type="pct"/>
            <w:vAlign w:val="center"/>
          </w:tcPr>
          <w:p w14:paraId="1D8EDB57"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Marcelo Eduardo Couvin (*)</w:t>
            </w:r>
          </w:p>
        </w:tc>
        <w:tc>
          <w:tcPr>
            <w:tcW w:w="405" w:type="pct"/>
            <w:vAlign w:val="center"/>
          </w:tcPr>
          <w:p w14:paraId="0C815C6B"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59C3371B"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A</w:t>
            </w:r>
          </w:p>
        </w:tc>
        <w:tc>
          <w:tcPr>
            <w:tcW w:w="621" w:type="pct"/>
            <w:vAlign w:val="center"/>
          </w:tcPr>
          <w:p w14:paraId="3125F687"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186F6C37"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12.588.247</w:t>
            </w:r>
          </w:p>
        </w:tc>
        <w:tc>
          <w:tcPr>
            <w:tcW w:w="719" w:type="pct"/>
            <w:vAlign w:val="center"/>
          </w:tcPr>
          <w:p w14:paraId="0597454A"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20-12588247-2</w:t>
            </w:r>
          </w:p>
        </w:tc>
        <w:tc>
          <w:tcPr>
            <w:tcW w:w="573" w:type="pct"/>
            <w:vAlign w:val="center"/>
          </w:tcPr>
          <w:p w14:paraId="1749CA0E"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sz w:val="16"/>
                <w:szCs w:val="16"/>
                <w:lang w:val="es-ES" w:eastAsia="es-ES"/>
              </w:rPr>
            </w:pPr>
            <w:r w:rsidRPr="00AE4E8D">
              <w:rPr>
                <w:rFonts w:ascii="Times New Roman" w:hAnsi="Times New Roman"/>
                <w:color w:val="000000"/>
                <w:sz w:val="16"/>
                <w:szCs w:val="16"/>
                <w:lang w:val="es-ES" w:eastAsia="es-ES"/>
              </w:rPr>
              <w:t>Corrientes 381, CABA</w:t>
            </w:r>
          </w:p>
        </w:tc>
        <w:tc>
          <w:tcPr>
            <w:tcW w:w="861" w:type="pct"/>
            <w:vAlign w:val="center"/>
          </w:tcPr>
          <w:p w14:paraId="04D927F9"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04/04/2017</w:t>
            </w:r>
          </w:p>
        </w:tc>
      </w:tr>
      <w:tr w:rsidR="000924EA" w:rsidRPr="00AE4E8D" w14:paraId="1CC37B83" w14:textId="77777777" w:rsidTr="000400C8">
        <w:trPr>
          <w:trHeight w:val="369"/>
          <w:jc w:val="center"/>
        </w:trPr>
        <w:tc>
          <w:tcPr>
            <w:tcW w:w="781" w:type="pct"/>
            <w:vAlign w:val="center"/>
          </w:tcPr>
          <w:p w14:paraId="20F6058F"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Gabriel Andrés Carretero</w:t>
            </w:r>
          </w:p>
        </w:tc>
        <w:tc>
          <w:tcPr>
            <w:tcW w:w="405" w:type="pct"/>
            <w:vAlign w:val="center"/>
          </w:tcPr>
          <w:p w14:paraId="19401292"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4A1539CA"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B</w:t>
            </w:r>
          </w:p>
        </w:tc>
        <w:tc>
          <w:tcPr>
            <w:tcW w:w="621" w:type="pct"/>
            <w:vAlign w:val="center"/>
          </w:tcPr>
          <w:p w14:paraId="2B56D08D"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3C8B86B7"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sz w:val="16"/>
                <w:szCs w:val="16"/>
                <w:lang w:val="es-ES" w:eastAsia="es-ES"/>
              </w:rPr>
              <w:t>4.125.903</w:t>
            </w:r>
          </w:p>
        </w:tc>
        <w:tc>
          <w:tcPr>
            <w:tcW w:w="719" w:type="pct"/>
            <w:vAlign w:val="center"/>
          </w:tcPr>
          <w:p w14:paraId="4FBBFDFC"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20-04125903-6</w:t>
            </w:r>
          </w:p>
        </w:tc>
        <w:tc>
          <w:tcPr>
            <w:tcW w:w="573" w:type="pct"/>
            <w:vAlign w:val="center"/>
          </w:tcPr>
          <w:p w14:paraId="7A0B8EC6"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sz w:val="16"/>
                <w:szCs w:val="16"/>
                <w:lang w:val="es-ES" w:eastAsia="es-ES"/>
              </w:rPr>
            </w:pPr>
            <w:r w:rsidRPr="00AE4E8D">
              <w:rPr>
                <w:rFonts w:ascii="Times New Roman" w:hAnsi="Times New Roman"/>
                <w:color w:val="000000"/>
                <w:sz w:val="16"/>
                <w:szCs w:val="16"/>
                <w:lang w:val="es-ES" w:eastAsia="es-ES"/>
              </w:rPr>
              <w:t>Corrientes 381, CABA.</w:t>
            </w:r>
          </w:p>
        </w:tc>
        <w:tc>
          <w:tcPr>
            <w:tcW w:w="861" w:type="pct"/>
            <w:vAlign w:val="center"/>
          </w:tcPr>
          <w:p w14:paraId="28714727"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13/04/2016</w:t>
            </w:r>
          </w:p>
        </w:tc>
      </w:tr>
      <w:tr w:rsidR="000924EA" w:rsidRPr="00AE4E8D" w14:paraId="17D66C84" w14:textId="77777777" w:rsidTr="000400C8">
        <w:trPr>
          <w:trHeight w:val="369"/>
          <w:jc w:val="center"/>
        </w:trPr>
        <w:tc>
          <w:tcPr>
            <w:tcW w:w="781" w:type="pct"/>
            <w:vAlign w:val="center"/>
          </w:tcPr>
          <w:p w14:paraId="126609FD"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Roberto Murmis</w:t>
            </w:r>
          </w:p>
        </w:tc>
        <w:tc>
          <w:tcPr>
            <w:tcW w:w="405" w:type="pct"/>
            <w:vAlign w:val="center"/>
          </w:tcPr>
          <w:p w14:paraId="6F99E7A1"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7E57F895"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0FE857F4"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5F82EDCD"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13.120.813</w:t>
            </w:r>
          </w:p>
        </w:tc>
        <w:tc>
          <w:tcPr>
            <w:tcW w:w="719" w:type="pct"/>
            <w:vAlign w:val="center"/>
          </w:tcPr>
          <w:p w14:paraId="3CE9BA39"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20-13120813-9</w:t>
            </w:r>
          </w:p>
        </w:tc>
        <w:tc>
          <w:tcPr>
            <w:tcW w:w="573" w:type="pct"/>
            <w:vAlign w:val="center"/>
          </w:tcPr>
          <w:p w14:paraId="6D99F3FF"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25 de mayo 596, CABA.</w:t>
            </w:r>
          </w:p>
        </w:tc>
        <w:tc>
          <w:tcPr>
            <w:tcW w:w="861" w:type="pct"/>
            <w:vAlign w:val="center"/>
          </w:tcPr>
          <w:p w14:paraId="46326EEE"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24/04/2013</w:t>
            </w:r>
          </w:p>
        </w:tc>
      </w:tr>
      <w:tr w:rsidR="000924EA" w:rsidRPr="00AE4E8D" w14:paraId="0489CCCD" w14:textId="77777777" w:rsidTr="000400C8">
        <w:trPr>
          <w:trHeight w:val="382"/>
          <w:jc w:val="center"/>
        </w:trPr>
        <w:tc>
          <w:tcPr>
            <w:tcW w:w="781" w:type="pct"/>
            <w:vAlign w:val="center"/>
          </w:tcPr>
          <w:p w14:paraId="180DC571"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Alicia Rigueira</w:t>
            </w:r>
          </w:p>
        </w:tc>
        <w:tc>
          <w:tcPr>
            <w:tcW w:w="405" w:type="pct"/>
            <w:vAlign w:val="center"/>
          </w:tcPr>
          <w:p w14:paraId="635C5072"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678721CB"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462856AA"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1491A382" w14:textId="77777777" w:rsidR="000924EA" w:rsidRPr="00AE4E8D" w:rsidRDefault="000924EA" w:rsidP="00232C94">
            <w:pPr>
              <w:widowControl w:val="0"/>
              <w:tabs>
                <w:tab w:val="right" w:leader="dot" w:pos="5310"/>
              </w:tabs>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AR"/>
              </w:rPr>
              <w:t>10.181.131</w:t>
            </w:r>
          </w:p>
        </w:tc>
        <w:tc>
          <w:tcPr>
            <w:tcW w:w="719" w:type="pct"/>
            <w:vAlign w:val="center"/>
          </w:tcPr>
          <w:p w14:paraId="323A6D59"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AR"/>
              </w:rPr>
              <w:t>27-10181131-5</w:t>
            </w:r>
          </w:p>
        </w:tc>
        <w:tc>
          <w:tcPr>
            <w:tcW w:w="573" w:type="pct"/>
            <w:vAlign w:val="center"/>
          </w:tcPr>
          <w:p w14:paraId="0681AEE0"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25 de mayo 596 piso 8°, CABA.</w:t>
            </w:r>
          </w:p>
        </w:tc>
        <w:tc>
          <w:tcPr>
            <w:tcW w:w="861" w:type="pct"/>
            <w:vAlign w:val="center"/>
          </w:tcPr>
          <w:p w14:paraId="381E7C0D"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31/03/2015</w:t>
            </w:r>
          </w:p>
        </w:tc>
      </w:tr>
      <w:tr w:rsidR="000924EA" w:rsidRPr="00AE4E8D" w14:paraId="52CC6F41" w14:textId="77777777" w:rsidTr="000400C8">
        <w:trPr>
          <w:trHeight w:val="382"/>
          <w:jc w:val="center"/>
        </w:trPr>
        <w:tc>
          <w:tcPr>
            <w:tcW w:w="781" w:type="pct"/>
            <w:vAlign w:val="center"/>
          </w:tcPr>
          <w:p w14:paraId="3582924A"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Noemí Cohn</w:t>
            </w:r>
          </w:p>
        </w:tc>
        <w:tc>
          <w:tcPr>
            <w:tcW w:w="405" w:type="pct"/>
            <w:vAlign w:val="center"/>
          </w:tcPr>
          <w:p w14:paraId="6D32F51A"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56F1C694"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145BF768"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272F09E1"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13.081.575</w:t>
            </w:r>
          </w:p>
        </w:tc>
        <w:tc>
          <w:tcPr>
            <w:tcW w:w="719" w:type="pct"/>
            <w:vAlign w:val="center"/>
          </w:tcPr>
          <w:p w14:paraId="529ABFF3"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27-13081575-3</w:t>
            </w:r>
          </w:p>
        </w:tc>
        <w:tc>
          <w:tcPr>
            <w:tcW w:w="573" w:type="pct"/>
            <w:vAlign w:val="center"/>
          </w:tcPr>
          <w:p w14:paraId="15C2A47F"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25 de mayo 596 piso 8°, CABA.</w:t>
            </w:r>
          </w:p>
        </w:tc>
        <w:tc>
          <w:tcPr>
            <w:tcW w:w="861" w:type="pct"/>
            <w:vAlign w:val="center"/>
          </w:tcPr>
          <w:p w14:paraId="672D6018"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24/04/2013</w:t>
            </w:r>
          </w:p>
        </w:tc>
      </w:tr>
    </w:tbl>
    <w:p w14:paraId="07D4F818" w14:textId="77777777" w:rsidR="000924EA" w:rsidRPr="00AE4E8D" w:rsidRDefault="000924EA" w:rsidP="000924EA">
      <w:pPr>
        <w:autoSpaceDE w:val="0"/>
        <w:autoSpaceDN w:val="0"/>
        <w:adjustRightInd w:val="0"/>
        <w:spacing w:before="120" w:after="120"/>
        <w:ind w:left="709"/>
        <w:jc w:val="both"/>
        <w:rPr>
          <w:rFonts w:ascii="Times New Roman" w:hAnsi="Times New Roman"/>
          <w:sz w:val="18"/>
          <w:szCs w:val="18"/>
          <w:lang w:val="es-ES" w:eastAsia="es-AR"/>
        </w:rPr>
      </w:pPr>
      <w:r w:rsidRPr="00AE4E8D">
        <w:rPr>
          <w:rFonts w:ascii="Times New Roman" w:hAnsi="Times New Roman"/>
          <w:sz w:val="18"/>
          <w:szCs w:val="18"/>
          <w:lang w:val="es-ES" w:eastAsia="es-ES"/>
        </w:rPr>
        <w:t>(*) Síndico Suplente por la Clase “A” nombrados el 4 de abril de 2017. Su designación se encuentra pendiente de aprobación por el BCRA, de conformidad con la Comunicación “A” 4490.</w:t>
      </w:r>
    </w:p>
    <w:p w14:paraId="103E5E47" w14:textId="77777777" w:rsidR="000924EA" w:rsidRPr="00AE4E8D" w:rsidRDefault="000924EA" w:rsidP="000924EA">
      <w:pPr>
        <w:pStyle w:val="BHTexto"/>
        <w:rPr>
          <w:lang w:val="es-ES"/>
        </w:rPr>
      </w:pPr>
      <w:r w:rsidRPr="00AE4E8D">
        <w:rPr>
          <w:lang w:val="es-ES"/>
        </w:rPr>
        <w:t xml:space="preserve">A continuación se incluye una breve síntesis biográfica de los miembros de nuestra Comisión Fiscalizadora: </w:t>
      </w:r>
    </w:p>
    <w:p w14:paraId="43B38E0E" w14:textId="77777777" w:rsidR="000924EA" w:rsidRPr="00AE4E8D" w:rsidRDefault="000924EA" w:rsidP="000924EA">
      <w:pPr>
        <w:pStyle w:val="BHTexto"/>
        <w:rPr>
          <w:lang w:val="es-ES"/>
        </w:rPr>
      </w:pPr>
      <w:r w:rsidRPr="00AE4E8D">
        <w:rPr>
          <w:b/>
          <w:i/>
          <w:lang w:val="es-ES"/>
        </w:rPr>
        <w:t>Francisco Daniel González.</w:t>
      </w:r>
      <w:r w:rsidRPr="00AE4E8D">
        <w:rPr>
          <w:lang w:val="es-ES"/>
        </w:rPr>
        <w:t xml:space="preserve"> El Sr. González obtuvo el título de Contador Público en la Universidad de Buenos Aires. Desde 1995, es funcionario de la Sindicatura General de la Nación. Además, es miembro de nuestra Comisión Fiscalizadora desde el 31 de marzo de 2015. El Sr. González también es miembro titular de las Comisiones Fiscalizadoras de: Compañía Administradora del Mercado Mayorista Eléctrico S.A. (CAMMESA), de Papel Prensa S.A. y de COVIARA Empresa del Estado. Fue auditor en la Auditoría General de la Nación entre 1993 y 1994.</w:t>
      </w:r>
    </w:p>
    <w:p w14:paraId="5A5D74C5" w14:textId="77777777" w:rsidR="000924EA" w:rsidRPr="00AE4E8D" w:rsidRDefault="000924EA" w:rsidP="000924EA">
      <w:pPr>
        <w:pStyle w:val="BHTexto"/>
        <w:rPr>
          <w:lang w:val="es-ES"/>
        </w:rPr>
      </w:pPr>
      <w:r w:rsidRPr="00AE4E8D">
        <w:rPr>
          <w:b/>
          <w:i/>
          <w:lang w:val="es-ES"/>
        </w:rPr>
        <w:t>Héctor Oscar Ivancich</w:t>
      </w:r>
      <w:r w:rsidRPr="00AE4E8D">
        <w:rPr>
          <w:b/>
          <w:lang w:val="es-ES"/>
        </w:rPr>
        <w:t>.</w:t>
      </w:r>
      <w:r w:rsidRPr="00AE4E8D">
        <w:rPr>
          <w:lang w:val="es-ES"/>
        </w:rPr>
        <w:t xml:space="preserve"> El Sr. Ivancich obtuvo el título de Abogado en la Universidad de Buenos Aires y, actualmente, pertenece a la Sindicatura General de la Nación y es miembro de nuestra Comisión Fiscalizadora desde el 31 de marzo de 2015. Además, es miembro de la Comisión Fiscalizadora del Centro de Ensayos de Alta Tecnología S.A. - CEATSA, Lotería Nacional SE, Educ.ar SE y Contenidos Públicos SE.</w:t>
      </w:r>
    </w:p>
    <w:p w14:paraId="4E55808F" w14:textId="77777777" w:rsidR="000924EA" w:rsidRPr="00AE4E8D" w:rsidRDefault="000924EA" w:rsidP="000924EA">
      <w:pPr>
        <w:pStyle w:val="BHTexto"/>
        <w:rPr>
          <w:lang w:val="es-ES"/>
        </w:rPr>
      </w:pPr>
      <w:r w:rsidRPr="00AE4E8D">
        <w:rPr>
          <w:b/>
          <w:i/>
          <w:lang w:val="es-ES"/>
        </w:rPr>
        <w:t>José D. Abelovich.</w:t>
      </w:r>
      <w:r w:rsidRPr="00AE4E8D">
        <w:rPr>
          <w:lang w:val="es-ES"/>
        </w:rPr>
        <w:t xml:space="preserve"> El Sr. Abelovich obtuvo el título de Contador Público en la Universidad de Buenos Aires. Es miembro fundador y socio de Abelovich, Polano &amp; Asociados S.R.L. un estudio miembro de Nexia International. Anteriormente fue gerente de Harteneck, López y Cía/Coopers &amp; Lybrand y se ha desempeñado como asesor senior de Argentina para las Naciones Unidas y el Banco Mundial. Es miembro de las Comisiones Fiscalizadoras de Cresud S.A.C.I.F. y A., IRSA Inversiones y Representaciones Sociedad Anónima, IRSA Propiedades Comerciales S.A., Hoteles Argentinos, e Inversora Bolívar, entre otras sociedades.</w:t>
      </w:r>
    </w:p>
    <w:p w14:paraId="4131C35E" w14:textId="77777777" w:rsidR="000924EA" w:rsidRPr="00AE4E8D" w:rsidRDefault="000924EA" w:rsidP="000924EA">
      <w:pPr>
        <w:pStyle w:val="BHTexto"/>
        <w:rPr>
          <w:lang w:val="es-ES"/>
        </w:rPr>
      </w:pPr>
      <w:r w:rsidRPr="00AE4E8D">
        <w:rPr>
          <w:b/>
          <w:i/>
          <w:lang w:val="es-ES"/>
        </w:rPr>
        <w:t>Marcelo Héctor Fuxman.</w:t>
      </w:r>
      <w:r w:rsidRPr="00AE4E8D">
        <w:rPr>
          <w:lang w:val="es-ES"/>
        </w:rPr>
        <w:t xml:space="preserve"> El Sr. Fuxman obtuvo el título de Contador Público en la Universidad de Buenos Aires. Es socio de Abelovich, Polano &amp; Asociados S.R.L. un estudio miembro de Nexia International. También es miembro de la Comisión Fiscalizadora de Cresud S.A.C.I.F. y A., IRSA Inversiones y Representaciones Sociedad Anónima e IRSA Propiedades Comerciales S.A., entre otras sociedades.</w:t>
      </w:r>
    </w:p>
    <w:p w14:paraId="2D20C9B0" w14:textId="77777777" w:rsidR="000924EA" w:rsidRPr="00AE4E8D" w:rsidRDefault="000924EA" w:rsidP="000924EA">
      <w:pPr>
        <w:pStyle w:val="BHTexto"/>
        <w:rPr>
          <w:lang w:val="es-ES"/>
        </w:rPr>
      </w:pPr>
      <w:r w:rsidRPr="00AE4E8D">
        <w:rPr>
          <w:b/>
          <w:i/>
          <w:lang w:val="es-ES"/>
        </w:rPr>
        <w:t>Ricardo Flammini.</w:t>
      </w:r>
      <w:r w:rsidRPr="00AE4E8D">
        <w:rPr>
          <w:lang w:val="es-ES"/>
        </w:rPr>
        <w:t xml:space="preserve"> El Sr. Flammini obtuvo el título de Contador Público en la Universidad Nacional de La Plata. Es miembro de nuestra Comisión Fiscalizadora desde el 30 de mayo de 2003 por un período de </w:t>
      </w:r>
      <w:r w:rsidRPr="00AE4E8D">
        <w:rPr>
          <w:lang w:val="es-ES"/>
        </w:rPr>
        <w:lastRenderedPageBreak/>
        <w:t>dos años y anteriormente desde su constitución en septiembre de 1997 hasta agosto de 2001. Se desempeñó como Contador Fiscal Auditor del Tribunal de Cuentas de la Nación desde 1957 a 1976 y fue miembro de la ex Corporación de Empresas Nacionales, ex SIGEP y SIGEN desde 1976 hasta agosto de 2001, habiéndose desempeñado como Síndico titular en Segba S.A., Hidronor S.A., YPF S.A., YCF S.E., Encotesa, Intercargo S.A., Banco Caja de Ahorro S.A., Pellegrini S.A., Gerente de Fondos Comunes de Inversión, Nación Bursátil Sociedad de Bolsa S.A., Garantizar S.G.R. y Nación AFJP; en la actualidad ocupa los cargos de Síndico titular en: BACS Banco de Crédito y Securitización S.A., BHN Sociedad de Inversión S.A., BHN Vida S.A., BHN Seguros Generales S.A. y Tarshop S.A.</w:t>
      </w:r>
    </w:p>
    <w:p w14:paraId="5DE624ED" w14:textId="77777777" w:rsidR="000924EA" w:rsidRPr="00AE4E8D" w:rsidRDefault="000924EA" w:rsidP="000924EA">
      <w:pPr>
        <w:pStyle w:val="BHTexto"/>
        <w:rPr>
          <w:lang w:val="es-ES"/>
        </w:rPr>
      </w:pPr>
      <w:r w:rsidRPr="00AE4E8D">
        <w:rPr>
          <w:b/>
          <w:i/>
          <w:lang w:val="es-ES"/>
        </w:rPr>
        <w:t xml:space="preserve">Marcelo Eduardo Couvin. </w:t>
      </w:r>
      <w:r w:rsidRPr="00AE4E8D">
        <w:rPr>
          <w:lang w:val="es-ES"/>
        </w:rPr>
        <w:t>El Sr. Couvin obtuvo el título de Contador Público en la Universidad de Buenos Aires. Tiene un Post</w:t>
      </w:r>
      <w:r w:rsidR="006C7F40" w:rsidRPr="00AE4E8D">
        <w:rPr>
          <w:lang w:val="es-ES"/>
        </w:rPr>
        <w:t>g</w:t>
      </w:r>
      <w:r w:rsidRPr="00AE4E8D">
        <w:rPr>
          <w:lang w:val="es-ES"/>
        </w:rPr>
        <w:t xml:space="preserve">rado en Administración Financiera </w:t>
      </w:r>
      <w:r w:rsidR="006C7F40" w:rsidRPr="00AE4E8D">
        <w:rPr>
          <w:lang w:val="es-ES"/>
        </w:rPr>
        <w:t>en la Asociación Argentina de Presupuesto Público ASAP UBA</w:t>
      </w:r>
      <w:r w:rsidRPr="00AE4E8D">
        <w:rPr>
          <w:lang w:val="es-ES"/>
        </w:rPr>
        <w:t xml:space="preserve"> y un Master en Dirección y Gestión de Servicios de Salud </w:t>
      </w:r>
      <w:r w:rsidR="006C7F40" w:rsidRPr="00AE4E8D">
        <w:rPr>
          <w:lang w:val="es-ES"/>
        </w:rPr>
        <w:t>en Universidad de Alacalá de Henares, España (Organización Iberoamericana de Seguridad Social OISS)</w:t>
      </w:r>
      <w:r w:rsidRPr="00AE4E8D">
        <w:rPr>
          <w:lang w:val="es-ES"/>
        </w:rPr>
        <w:t>. Entre los años 2004 y 2010, fue Síndico General del Instituto Nacional de Servicios Sociales para Jubilados y Pensionados; luego estuvo a cargo de la Unidad de Auditoría Interna de la Administración Nacional de Aviación Civil (ANAC). Desde el año 2016 es Síndico integrante de la Comisión Fiscalizadora de la Empresa Argentina de Navegación Aérea S.A, de Intercargo S.A. y de la Dirección General de Fabricaciones Militares. Se ha desempeñado como Síndico en el Ministerio del Interior, en la Secretaría de Industria, Comercio y Minería, en el Ministerio de Defensa, en la Dirección General de Fabricaciones Militares, en Tandanor y en TAMSE.</w:t>
      </w:r>
    </w:p>
    <w:p w14:paraId="61237695" w14:textId="77777777" w:rsidR="000924EA" w:rsidRPr="00AE4E8D" w:rsidRDefault="000924EA" w:rsidP="000924EA">
      <w:pPr>
        <w:pStyle w:val="BHTexto"/>
        <w:rPr>
          <w:lang w:val="es-ES"/>
        </w:rPr>
      </w:pPr>
      <w:r w:rsidRPr="00AE4E8D">
        <w:rPr>
          <w:b/>
          <w:i/>
          <w:lang w:val="es-ES"/>
        </w:rPr>
        <w:t>Gabriel Carretero</w:t>
      </w:r>
      <w:r w:rsidRPr="00AE4E8D">
        <w:rPr>
          <w:lang w:val="es-ES"/>
        </w:rPr>
        <w:t>. El Sr. Carretero obtuvo el título de Contador Público en la Universidad Nacional de La Plata. Es Síndico Suplente de nuestra Comisión Fiscalizadora desde el 13 de abril de 2016 por un período de dos años. Se desempeñó como Contador Fiscal Auditor del Tribunal de Cuentas de la Nación desde 1957 a 1976 y fue integrante de la Corporación de Empresas Nacionales, ex SIGEP y actualmente de la Sindicatura General de la Nación.</w:t>
      </w:r>
    </w:p>
    <w:p w14:paraId="28890DD8" w14:textId="77777777" w:rsidR="000924EA" w:rsidRPr="00AE4E8D" w:rsidRDefault="000924EA" w:rsidP="000924EA">
      <w:pPr>
        <w:pStyle w:val="BHTexto"/>
        <w:rPr>
          <w:lang w:val="es-ES"/>
        </w:rPr>
      </w:pPr>
      <w:r w:rsidRPr="00AE4E8D">
        <w:rPr>
          <w:b/>
          <w:i/>
          <w:lang w:val="es-ES"/>
        </w:rPr>
        <w:t>Roberto Murmis.</w:t>
      </w:r>
      <w:r w:rsidRPr="00AE4E8D">
        <w:rPr>
          <w:lang w:val="es-ES"/>
        </w:rPr>
        <w:t xml:space="preserve"> El Sr. Murmis obtuvo el título de Contador Público en la Universidad de Buenos Aires. El Sr. Murmis es socio de Abelovich, Polano &amp; Asociados S.R.L. un estudio miembro de Nexia International. El Sr. Murmis se desempeñó como asesor de la Secretaría de Ingresos Públicos del Ministerio de Economía de la Nación. Además, es miembro de la Comisión Fiscalizadora de Cresud S.A.C.I.F. y A., IRSA Inversiones y Representaciones Sociedad Anónima, Futuros y Opciones S.A. y Llao Llao Resorts S.A.</w:t>
      </w:r>
    </w:p>
    <w:p w14:paraId="2CE4D789" w14:textId="77777777" w:rsidR="000924EA" w:rsidRPr="00AE4E8D" w:rsidRDefault="000924EA" w:rsidP="000924EA">
      <w:pPr>
        <w:pStyle w:val="BHTexto"/>
        <w:rPr>
          <w:lang w:val="es-ES"/>
        </w:rPr>
      </w:pPr>
      <w:r w:rsidRPr="00AE4E8D">
        <w:rPr>
          <w:b/>
          <w:i/>
          <w:lang w:val="es-ES"/>
        </w:rPr>
        <w:t>Alicia Rigueira.</w:t>
      </w:r>
      <w:r w:rsidRPr="00AE4E8D">
        <w:rPr>
          <w:lang w:val="es-ES"/>
        </w:rPr>
        <w:t xml:space="preserve"> La Sra. Rigueira obtuvo el título de Contador Público en la Universidad de Buenos Aires. Es gerente de auditoría en Abelovich Polano y Asociados S.R.L., una firma miembro de Nexia International. Anteriormente, trabajó como gerente en Harteneck López y Cía (Correspondiente a Coopers &amp; Lybrand). Además, es miembro suplente de las Comisiones Fiscalizadoras de Llao Llao Resorts S.A., Hoteles Argentinos S.A. y Nuevas Fronteras S.A.</w:t>
      </w:r>
    </w:p>
    <w:p w14:paraId="622D61DB" w14:textId="77777777" w:rsidR="000924EA" w:rsidRPr="00AE4E8D" w:rsidRDefault="000924EA" w:rsidP="000924EA">
      <w:pPr>
        <w:pStyle w:val="BHTexto"/>
        <w:rPr>
          <w:lang w:val="es-ES"/>
        </w:rPr>
      </w:pPr>
      <w:r w:rsidRPr="00AE4E8D">
        <w:rPr>
          <w:b/>
          <w:i/>
          <w:lang w:val="es-ES"/>
        </w:rPr>
        <w:t>Noemí Cohn.</w:t>
      </w:r>
      <w:r w:rsidRPr="00AE4E8D">
        <w:rPr>
          <w:lang w:val="es-ES"/>
        </w:rPr>
        <w:t xml:space="preserve"> La Sra. Cohn obtuvo el título de Contador Público en la Universidad de Buenos Aires. Es socia de Abelovich, Polano &amp; Asociados S.R.L., una firma miembro de Nexia International, y se desempeña en el área de auditoría. La Sra. Cohn trabajó en el área de auditoría de Harteneck, López and Company, Coopers &amp; Lybrand en Argentina y en Los Ángeles, California. La Sra. Cohn es integrante de las Comisiones Fiscalizadoras de Cresud S.A.C.I.F. y A., IRSA Inversiones y Representaciones Sociedad Anónima e IRSA Propiedades Comerciales S.A., entre otras sociedades.</w:t>
      </w:r>
    </w:p>
    <w:p w14:paraId="02100C84" w14:textId="77777777" w:rsidR="000924EA" w:rsidRPr="00AE4E8D" w:rsidRDefault="000924EA" w:rsidP="000924EA">
      <w:pPr>
        <w:keepNext/>
        <w:autoSpaceDE w:val="0"/>
        <w:autoSpaceDN w:val="0"/>
        <w:adjustRightInd w:val="0"/>
        <w:spacing w:before="240" w:after="240"/>
        <w:outlineLvl w:val="2"/>
        <w:rPr>
          <w:rFonts w:ascii="Times New Roman" w:hAnsi="Times New Roman"/>
          <w:b/>
          <w:lang w:val="es-ES" w:eastAsia="es-AR"/>
        </w:rPr>
      </w:pPr>
      <w:r w:rsidRPr="00AE4E8D">
        <w:rPr>
          <w:rFonts w:ascii="Times New Roman" w:hAnsi="Times New Roman"/>
          <w:b/>
          <w:lang w:val="es-ES" w:eastAsia="es-AR"/>
        </w:rPr>
        <w:t>Independencia de los directores y la Comisión Fiscalizadora</w:t>
      </w:r>
    </w:p>
    <w:p w14:paraId="3CBCE464" w14:textId="77777777" w:rsidR="000924EA" w:rsidRPr="00AE4E8D" w:rsidRDefault="000924EA" w:rsidP="000924EA">
      <w:pPr>
        <w:pStyle w:val="BHTexto"/>
        <w:rPr>
          <w:lang w:val="es-ES"/>
        </w:rPr>
      </w:pPr>
      <w:r w:rsidRPr="00AE4E8D">
        <w:rPr>
          <w:lang w:val="es-ES"/>
        </w:rPr>
        <w:t>De conformidad con los términos de las Normas de la CNV, los miembros del directorio o la comisión fiscalizadora de una sociedad sujeta al régimen de oferta pública, como nosotros, deben notificar a la CNV dentro de los 10 días a partir de su elección, si dichos miembros revisten el carácter de independientes. A los fines de las Normas de la CNV, un director no se considera independiente en ciertas situaciones, incluyendo en los casos en los que un director (i) posee una participación del 35% en una sociedad, o una participación menor si dicho director tiene derecho a designar uno o más directores de una sociedad (en adelante una “</w:t>
      </w:r>
      <w:r w:rsidRPr="00AE4E8D">
        <w:rPr>
          <w:u w:val="single"/>
          <w:lang w:val="es-ES"/>
        </w:rPr>
        <w:t>Participación Significativa</w:t>
      </w:r>
      <w:r w:rsidRPr="00AE4E8D">
        <w:rPr>
          <w:lang w:val="es-ES"/>
        </w:rPr>
        <w:t xml:space="preserve">”) o posee una participación significativa en una sociedad que tiene una participación significativa en la sociedad o influencia significativa sobre la sociedad, (ii) depende de accionistas, o está de otra forma vinculado a accionistas, que poseen una participación significativa en la sociedad o en otras sociedades en las que estos accionistas tienen directa o indirectamente una participación significativa o influencia significativa, (iii) es o ha sido en los tres años anteriores empleado de la sociedad, (iv) mantiene una relación profesional o es miembro de una sociedad que mantiene relaciones profesionales con, o recibe una remuneración (distinta de la recibida en contraprestación por sus funciones como director) de una sociedad o accionistas de la misma que poseen </w:t>
      </w:r>
      <w:r w:rsidRPr="00AE4E8D">
        <w:rPr>
          <w:lang w:val="es-ES"/>
        </w:rPr>
        <w:lastRenderedPageBreak/>
        <w:t>una participación o influencia directa o indirecta o influencia significativa en la misma, o con sociedades en las cuales éstas también tienen directa o indirectamente una participación o influencia significativas, (v) directa o indirectamente vende productos o brinda servicios a la sociedad o a accionistas de la misma que poseen directa o indirectamente una participación o influencia significativas, por montos mayores a su remuneración como miembro del órgano de administración; o (vi) es cónyuge o pariente (hasta el segundo grado de afinidad o el cuarto grado de consanguinidad) de personas que, si fuesen miembros del órgano de administración, no serían independientes en los términos de las normas mencionadas anteriormente.</w:t>
      </w:r>
    </w:p>
    <w:p w14:paraId="3592B243" w14:textId="77777777" w:rsidR="000924EA" w:rsidRPr="00AE4E8D" w:rsidRDefault="000924EA" w:rsidP="000924EA">
      <w:pPr>
        <w:pStyle w:val="BHTexto"/>
        <w:rPr>
          <w:lang w:val="es-ES"/>
        </w:rPr>
      </w:pPr>
      <w:r w:rsidRPr="00AE4E8D">
        <w:rPr>
          <w:lang w:val="es-ES"/>
        </w:rPr>
        <w:t>Los directores titulares Carlos Bernardo Písula, Jacobo Julio Dreizzen, Francisco Guillermo Susmel, Francisco Rubén Jure, Fernando Recalde y Martín Juan Lanfranco y los directores suplentes Federico León Bensadón, Claudio Aníbal Ersinger, Francisco José Fares, Gabriel Quintela y Sandra Alonso son independientes bajo las resoluciones aplicables de la CNV. Los directores titulares Eduardo Sergio Elsztain, Saúl Zang, Ernesto Manuel Viñes, Gabriel Gregorio Reznik, Pablo Vergara del Carril, Mauricio Elías Wior y Mario Blejer, y los directores suplentes Ricardo Daniel Elsztain, Gustavo Daniel Efkhanian, Andrés Ocampo y Mario César Parrado no revisten el carácter de independientes en los términos de las Normas de la CNV.</w:t>
      </w:r>
    </w:p>
    <w:p w14:paraId="57CD8E54" w14:textId="77777777" w:rsidR="000924EA" w:rsidRPr="00AE4E8D" w:rsidRDefault="000924EA" w:rsidP="000924EA">
      <w:pPr>
        <w:pStyle w:val="BHTexto"/>
        <w:rPr>
          <w:lang w:val="es-ES"/>
        </w:rPr>
      </w:pPr>
      <w:r w:rsidRPr="00AE4E8D">
        <w:rPr>
          <w:lang w:val="es-ES"/>
        </w:rPr>
        <w:t>Los síndicos titulares Francisco Daniel González y Héctor Oscar Ivancich y los síndicos suplentes Marcelo Eduardo Couvin y Gabriel Andrés Carretero, designados por la Sindicatura General de la Nación, son independientes. Los síndicos titulares José Daniel Abelovich, Marcelo Héctor Fuxman y Ricardo Flammini y los síndicos suplentes Roberto Murmis, Noemí Cohn y Alicia Rigueira son independientes de acuerdo con las Normas de la CNV.</w:t>
      </w:r>
    </w:p>
    <w:p w14:paraId="03DA0C21" w14:textId="77777777" w:rsidR="000924EA" w:rsidRPr="00AE4E8D" w:rsidRDefault="000924EA" w:rsidP="000924EA">
      <w:pPr>
        <w:pStyle w:val="BH2Izquierda"/>
        <w:rPr>
          <w:lang w:val="es-ES"/>
        </w:rPr>
      </w:pPr>
      <w:bookmarkStart w:id="114" w:name="_Toc495972973"/>
      <w:bookmarkStart w:id="115" w:name="_Toc495399880"/>
      <w:r w:rsidRPr="00AE4E8D">
        <w:rPr>
          <w:lang w:val="es-ES"/>
        </w:rPr>
        <w:t>c) Asesores</w:t>
      </w:r>
      <w:bookmarkEnd w:id="114"/>
      <w:bookmarkEnd w:id="115"/>
    </w:p>
    <w:p w14:paraId="5F0FF8C5" w14:textId="77777777" w:rsidR="000924EA" w:rsidRPr="00AE4E8D" w:rsidRDefault="000924EA" w:rsidP="000924EA">
      <w:pPr>
        <w:pStyle w:val="BHTexto"/>
        <w:rPr>
          <w:lang w:val="es-ES"/>
        </w:rPr>
      </w:pPr>
      <w:r w:rsidRPr="00AE4E8D">
        <w:rPr>
          <w:lang w:val="es-ES"/>
        </w:rPr>
        <w:t>Las cuestiones legales, contables, financieras e impositivas del Banco son atendidas a través de nuestros equipos internos. En lo que respecta a cuestiones legales, nuestros principales asesores externos son Zang, Bergel &amp; Viñes Abogados, cuyas oficinas se encuentran en la calle Florida 537, piso 18 (C1005AAK) Ciudad Autónoma de Buenos Aires. Saúl Zang, Ernesto Viñes y Pablo Vergara del Carril, son directores del Banco y asimismo, son socios de Zang, Bergel &amp; Viñes Abogados. Para la presente emisión hemos contratado los servicios de asesores contables y legales, los cuales son prestados por Zang, Bergel &amp; Viñes Abogados y nuestros auditores que se detallan en el título “d) Auditores” siguiente.</w:t>
      </w:r>
    </w:p>
    <w:p w14:paraId="02C792E8" w14:textId="77777777" w:rsidR="000924EA" w:rsidRPr="00AE4E8D" w:rsidRDefault="000924EA" w:rsidP="000924EA">
      <w:pPr>
        <w:pStyle w:val="BH2Izquierda"/>
        <w:rPr>
          <w:lang w:val="es-ES"/>
        </w:rPr>
      </w:pPr>
      <w:bookmarkStart w:id="116" w:name="_Toc495972974"/>
      <w:bookmarkStart w:id="117" w:name="_Toc414610840"/>
      <w:bookmarkStart w:id="118" w:name="_Toc420062542"/>
      <w:bookmarkStart w:id="119" w:name="_Toc421201320"/>
      <w:bookmarkStart w:id="120" w:name="_Toc495399881"/>
      <w:r w:rsidRPr="00AE4E8D">
        <w:rPr>
          <w:lang w:val="es-ES"/>
        </w:rPr>
        <w:t>d) Auditores</w:t>
      </w:r>
      <w:bookmarkEnd w:id="116"/>
      <w:bookmarkEnd w:id="117"/>
      <w:bookmarkEnd w:id="118"/>
      <w:bookmarkEnd w:id="119"/>
      <w:bookmarkEnd w:id="120"/>
    </w:p>
    <w:p w14:paraId="3D5B92FE" w14:textId="77777777" w:rsidR="000924EA" w:rsidRPr="00AE4E8D" w:rsidRDefault="000924EA" w:rsidP="000924EA">
      <w:pPr>
        <w:pStyle w:val="BHTexto"/>
        <w:rPr>
          <w:lang w:val="es-ES"/>
        </w:rPr>
      </w:pPr>
      <w:r w:rsidRPr="00AE4E8D">
        <w:rPr>
          <w:lang w:val="es-ES"/>
        </w:rPr>
        <w:t xml:space="preserve">Nuestros estados contables auditados incluidos en este Prospecto, han sido oportunamente auditados por Price Waterhouse&amp;Co. S.R.L., miembro de la firma PricewaterhouseCoopers, un estudio de contadores públicos matriculados independientes, según se indica en sus informes que aparecen en el presente, están matriculados en el Consejo Profesional de Ciencias Económicas de la Ciudad Autónoma de Buenos Aires, Tomo 1, Folio 17, y con domicilio en Bouchard 557 Piso 8° (C1106ABG) Ciudad Autónoma de Buenos Aires, Argentina. En las Asambleas de Accionistas de fecha 30 de abril de 2010, fueron designados los contadores Norberto F. Montero C.P.C.E. Ciudad Autónoma de Buenos Aires, Tomo 167 – Folio 179) y Carlos Horacio Rivarola C.P.C.E. Ciudad Autónoma de Buenos Aires, Tomo 124 – Folio 225 como auditores externos titular y suplente respectivamente. En la Asamblea General Ordinaria de Accionistas de fecha 24 de abril de 2013, fue reelecto el contador Marcelo Alejandro Trama en el carácter de auditor externo titular y fue designado el contador Daniel Hugo Cravino C.P.C.E. Ciudad Autónoma de Buenos Aires, Tomo 94 – Folio 111 en carácter de auditor externo suplente. En la Asamblea General Ordinaria de Accionistas de fecha 24 de abril de 2014, fue reelecto el contador Marcelo Alejandro Trama en el carácter de auditor externo titular y fue reelecto el contador Daniel Hugo Cravino en carácter de auditor externo suplente. En la Asamblea General Ordinaria de Accionistas de fecha 31 de marzo de 2015, fue reelecto el contador Marcelo Alejandro Trama en el carácter de auditor externo titular y fue reelecto el contador Daniel Lopez Lado en carácter de auditor externo suplente. En la Asamblea General Ordinaria de Accionistas de fecha 13 de abril de 2016, se eligió al contador Diego Luis Sisto C.P.C.E. Ciudad Autónoma de Buenos Aires, Tomo 274 – Folio 12 en el carácter de auditor externo titular y fue reelecto el contador Daniel Hugo Cravino en carácter de auditor externo suplente. En la Asamblea General Ordinaria de Accionistas de fecha 4 de abril de 2017, fue reelecto el contador Diego Luis Sisto como auditor externo titular y se eligió al contador Daniel López Lado como auditor externo suplente. </w:t>
      </w:r>
    </w:p>
    <w:p w14:paraId="7D22E367" w14:textId="77777777" w:rsidR="000924EA" w:rsidRPr="00AE4E8D" w:rsidRDefault="000924EA" w:rsidP="000924EA">
      <w:pPr>
        <w:pStyle w:val="BHTexto"/>
        <w:rPr>
          <w:lang w:val="es-ES"/>
        </w:rPr>
      </w:pPr>
      <w:r w:rsidRPr="00AE4E8D">
        <w:rPr>
          <w:lang w:val="es-ES"/>
        </w:rPr>
        <w:t>A continuación los datos de los auditores:</w:t>
      </w:r>
    </w:p>
    <w:tbl>
      <w:tblPr>
        <w:tblW w:w="5000" w:type="pct"/>
        <w:jc w:val="center"/>
        <w:tblLook w:val="00A0" w:firstRow="1" w:lastRow="0" w:firstColumn="1" w:lastColumn="0" w:noHBand="0" w:noVBand="0"/>
      </w:tblPr>
      <w:tblGrid>
        <w:gridCol w:w="2257"/>
        <w:gridCol w:w="1955"/>
        <w:gridCol w:w="1840"/>
        <w:gridCol w:w="2669"/>
      </w:tblGrid>
      <w:tr w:rsidR="000924EA" w:rsidRPr="00AE4E8D" w14:paraId="1319DE68" w14:textId="77777777" w:rsidTr="000400C8">
        <w:trPr>
          <w:trHeight w:val="320"/>
          <w:jc w:val="center"/>
        </w:trPr>
        <w:tc>
          <w:tcPr>
            <w:tcW w:w="1294" w:type="pct"/>
            <w:tcBorders>
              <w:top w:val="single" w:sz="4" w:space="0" w:color="auto"/>
              <w:bottom w:val="single" w:sz="4" w:space="0" w:color="auto"/>
            </w:tcBorders>
            <w:noWrap/>
            <w:vAlign w:val="center"/>
          </w:tcPr>
          <w:p w14:paraId="3E7AE20D" w14:textId="77777777" w:rsidR="000924EA" w:rsidRPr="00AE4E8D" w:rsidRDefault="000924EA" w:rsidP="00232C94">
            <w:pPr>
              <w:keepLines/>
              <w:jc w:val="center"/>
              <w:rPr>
                <w:rFonts w:ascii="Times New Roman" w:hAnsi="Times New Roman"/>
                <w:b/>
                <w:color w:val="000000"/>
                <w:lang w:val="es-ES"/>
              </w:rPr>
            </w:pPr>
            <w:r w:rsidRPr="00AE4E8D">
              <w:rPr>
                <w:rFonts w:ascii="Times New Roman" w:hAnsi="Times New Roman"/>
                <w:b/>
                <w:color w:val="000000"/>
                <w:lang w:val="es-ES"/>
              </w:rPr>
              <w:t>Nombre</w:t>
            </w:r>
          </w:p>
        </w:tc>
        <w:tc>
          <w:tcPr>
            <w:tcW w:w="1121" w:type="pct"/>
            <w:tcBorders>
              <w:top w:val="single" w:sz="4" w:space="0" w:color="auto"/>
              <w:bottom w:val="single" w:sz="4" w:space="0" w:color="auto"/>
            </w:tcBorders>
            <w:noWrap/>
            <w:vAlign w:val="center"/>
          </w:tcPr>
          <w:p w14:paraId="0B3EDB7A" w14:textId="77777777" w:rsidR="000924EA" w:rsidRPr="00AE4E8D" w:rsidRDefault="000924EA" w:rsidP="00232C94">
            <w:pPr>
              <w:keepLines/>
              <w:jc w:val="center"/>
              <w:rPr>
                <w:rFonts w:ascii="Times New Roman" w:hAnsi="Times New Roman"/>
                <w:b/>
                <w:color w:val="000000"/>
                <w:lang w:val="es-ES"/>
              </w:rPr>
            </w:pPr>
            <w:r w:rsidRPr="00AE4E8D">
              <w:rPr>
                <w:rFonts w:ascii="Times New Roman" w:hAnsi="Times New Roman"/>
                <w:b/>
                <w:color w:val="000000"/>
                <w:lang w:val="es-ES"/>
              </w:rPr>
              <w:t>DNI</w:t>
            </w:r>
          </w:p>
        </w:tc>
        <w:tc>
          <w:tcPr>
            <w:tcW w:w="1055" w:type="pct"/>
            <w:tcBorders>
              <w:top w:val="single" w:sz="4" w:space="0" w:color="auto"/>
              <w:bottom w:val="single" w:sz="4" w:space="0" w:color="auto"/>
            </w:tcBorders>
            <w:noWrap/>
            <w:vAlign w:val="center"/>
          </w:tcPr>
          <w:p w14:paraId="05768721" w14:textId="77777777" w:rsidR="000924EA" w:rsidRPr="00AE4E8D" w:rsidRDefault="000924EA" w:rsidP="00232C94">
            <w:pPr>
              <w:keepLines/>
              <w:jc w:val="center"/>
              <w:rPr>
                <w:rFonts w:ascii="Times New Roman" w:hAnsi="Times New Roman"/>
                <w:b/>
                <w:color w:val="000000"/>
                <w:lang w:val="es-ES"/>
              </w:rPr>
            </w:pPr>
            <w:r w:rsidRPr="00AE4E8D">
              <w:rPr>
                <w:rFonts w:ascii="Times New Roman" w:hAnsi="Times New Roman"/>
                <w:b/>
                <w:color w:val="000000"/>
                <w:lang w:val="es-ES"/>
              </w:rPr>
              <w:t>CUIT / CUIL</w:t>
            </w:r>
          </w:p>
        </w:tc>
        <w:tc>
          <w:tcPr>
            <w:tcW w:w="1530" w:type="pct"/>
            <w:tcBorders>
              <w:top w:val="single" w:sz="4" w:space="0" w:color="auto"/>
              <w:bottom w:val="single" w:sz="4" w:space="0" w:color="auto"/>
            </w:tcBorders>
            <w:noWrap/>
            <w:vAlign w:val="center"/>
          </w:tcPr>
          <w:p w14:paraId="2F2AAC1F" w14:textId="77777777" w:rsidR="000924EA" w:rsidRPr="00AE4E8D" w:rsidRDefault="000924EA" w:rsidP="00232C94">
            <w:pPr>
              <w:keepLines/>
              <w:jc w:val="center"/>
              <w:rPr>
                <w:rFonts w:ascii="Times New Roman" w:hAnsi="Times New Roman"/>
                <w:b/>
                <w:color w:val="000000"/>
                <w:lang w:val="es-ES"/>
              </w:rPr>
            </w:pPr>
            <w:r w:rsidRPr="00AE4E8D">
              <w:rPr>
                <w:rFonts w:ascii="Times New Roman" w:hAnsi="Times New Roman"/>
                <w:b/>
                <w:color w:val="000000"/>
                <w:lang w:val="es-ES"/>
              </w:rPr>
              <w:t>Domicilio</w:t>
            </w:r>
          </w:p>
        </w:tc>
      </w:tr>
      <w:tr w:rsidR="000924EA" w:rsidRPr="00AE4E8D" w14:paraId="157E6AE9" w14:textId="77777777" w:rsidTr="000400C8">
        <w:trPr>
          <w:trHeight w:val="289"/>
          <w:jc w:val="center"/>
        </w:trPr>
        <w:tc>
          <w:tcPr>
            <w:tcW w:w="1294" w:type="pct"/>
            <w:tcBorders>
              <w:top w:val="single" w:sz="4" w:space="0" w:color="auto"/>
            </w:tcBorders>
            <w:noWrap/>
            <w:vAlign w:val="center"/>
          </w:tcPr>
          <w:p w14:paraId="6275F7A6" w14:textId="77777777" w:rsidR="000924EA" w:rsidRPr="00AE4E8D" w:rsidRDefault="000924EA" w:rsidP="00232C94">
            <w:pPr>
              <w:keepLines/>
              <w:rPr>
                <w:rFonts w:ascii="Times New Roman" w:hAnsi="Times New Roman"/>
                <w:color w:val="000000"/>
                <w:lang w:val="es-ES"/>
              </w:rPr>
            </w:pPr>
            <w:r w:rsidRPr="00AE4E8D">
              <w:rPr>
                <w:rFonts w:ascii="Times New Roman" w:hAnsi="Times New Roman"/>
                <w:color w:val="000000"/>
                <w:lang w:val="es-ES"/>
              </w:rPr>
              <w:lastRenderedPageBreak/>
              <w:t xml:space="preserve">Diego Luis Sisto </w:t>
            </w:r>
          </w:p>
        </w:tc>
        <w:tc>
          <w:tcPr>
            <w:tcW w:w="1121" w:type="pct"/>
            <w:tcBorders>
              <w:top w:val="single" w:sz="4" w:space="0" w:color="auto"/>
            </w:tcBorders>
            <w:noWrap/>
            <w:vAlign w:val="center"/>
          </w:tcPr>
          <w:p w14:paraId="62AA7A2A" w14:textId="77777777" w:rsidR="000924EA" w:rsidRPr="00AE4E8D" w:rsidRDefault="000924EA" w:rsidP="00232C94">
            <w:pPr>
              <w:keepLines/>
              <w:jc w:val="center"/>
              <w:rPr>
                <w:rFonts w:ascii="Times New Roman" w:hAnsi="Times New Roman"/>
                <w:lang w:val="es-ES"/>
              </w:rPr>
            </w:pPr>
            <w:r w:rsidRPr="00AE4E8D">
              <w:rPr>
                <w:rFonts w:ascii="Times New Roman" w:hAnsi="Times New Roman"/>
                <w:lang w:val="es-ES"/>
              </w:rPr>
              <w:t>22.293.085</w:t>
            </w:r>
          </w:p>
        </w:tc>
        <w:tc>
          <w:tcPr>
            <w:tcW w:w="1055" w:type="pct"/>
            <w:tcBorders>
              <w:top w:val="single" w:sz="4" w:space="0" w:color="auto"/>
            </w:tcBorders>
            <w:noWrap/>
            <w:vAlign w:val="center"/>
          </w:tcPr>
          <w:p w14:paraId="411D7573" w14:textId="77777777" w:rsidR="000924EA" w:rsidRPr="00AE4E8D" w:rsidRDefault="000924EA" w:rsidP="00232C94">
            <w:pPr>
              <w:keepLines/>
              <w:jc w:val="center"/>
              <w:rPr>
                <w:rFonts w:ascii="Times New Roman" w:hAnsi="Times New Roman"/>
                <w:lang w:val="es-ES"/>
              </w:rPr>
            </w:pPr>
            <w:r w:rsidRPr="00AE4E8D">
              <w:rPr>
                <w:rFonts w:ascii="Times New Roman" w:hAnsi="Times New Roman"/>
                <w:lang w:val="es-ES"/>
              </w:rPr>
              <w:t>20-22293085-6</w:t>
            </w:r>
          </w:p>
        </w:tc>
        <w:tc>
          <w:tcPr>
            <w:tcW w:w="1530" w:type="pct"/>
            <w:tcBorders>
              <w:top w:val="single" w:sz="4" w:space="0" w:color="auto"/>
            </w:tcBorders>
            <w:noWrap/>
            <w:vAlign w:val="center"/>
          </w:tcPr>
          <w:p w14:paraId="222F8E9A" w14:textId="77777777" w:rsidR="000924EA" w:rsidRPr="00AE4E8D" w:rsidRDefault="000924EA" w:rsidP="00232C94">
            <w:pPr>
              <w:keepLines/>
              <w:jc w:val="center"/>
              <w:rPr>
                <w:rFonts w:ascii="Times New Roman" w:hAnsi="Times New Roman"/>
                <w:lang w:val="es-ES"/>
              </w:rPr>
            </w:pPr>
            <w:r w:rsidRPr="00AE4E8D">
              <w:rPr>
                <w:rFonts w:ascii="Times New Roman" w:hAnsi="Times New Roman"/>
                <w:lang w:val="es-ES"/>
              </w:rPr>
              <w:t>Bouchard 557 CABA</w:t>
            </w:r>
          </w:p>
        </w:tc>
      </w:tr>
      <w:tr w:rsidR="000924EA" w:rsidRPr="00AE4E8D" w14:paraId="6342CD26" w14:textId="77777777" w:rsidTr="000400C8">
        <w:trPr>
          <w:trHeight w:val="289"/>
          <w:jc w:val="center"/>
        </w:trPr>
        <w:tc>
          <w:tcPr>
            <w:tcW w:w="1294" w:type="pct"/>
            <w:noWrap/>
            <w:vAlign w:val="center"/>
          </w:tcPr>
          <w:p w14:paraId="2DD832A1" w14:textId="77777777" w:rsidR="000924EA" w:rsidRPr="00AE4E8D" w:rsidRDefault="000924EA" w:rsidP="00232C94">
            <w:pPr>
              <w:keepLines/>
              <w:rPr>
                <w:rFonts w:ascii="Times New Roman" w:hAnsi="Times New Roman"/>
                <w:color w:val="000000"/>
                <w:lang w:val="es-ES"/>
              </w:rPr>
            </w:pPr>
            <w:r w:rsidRPr="00AE4E8D">
              <w:rPr>
                <w:rFonts w:ascii="Times New Roman" w:hAnsi="Times New Roman"/>
                <w:color w:val="000000"/>
                <w:lang w:val="es-ES"/>
              </w:rPr>
              <w:t>Daniel Lopez Lado</w:t>
            </w:r>
          </w:p>
        </w:tc>
        <w:tc>
          <w:tcPr>
            <w:tcW w:w="1121" w:type="pct"/>
            <w:noWrap/>
            <w:vAlign w:val="center"/>
          </w:tcPr>
          <w:p w14:paraId="5A1B16FD" w14:textId="77777777" w:rsidR="000924EA" w:rsidRPr="00AE4E8D" w:rsidRDefault="000924EA" w:rsidP="00232C94">
            <w:pPr>
              <w:keepLines/>
              <w:jc w:val="center"/>
              <w:rPr>
                <w:rFonts w:ascii="Times New Roman" w:hAnsi="Times New Roman"/>
                <w:lang w:val="es-ES"/>
              </w:rPr>
            </w:pPr>
            <w:r w:rsidRPr="00AE4E8D">
              <w:rPr>
                <w:rFonts w:ascii="Times New Roman" w:hAnsi="Times New Roman"/>
                <w:lang w:val="es-ES"/>
              </w:rPr>
              <w:t>14.800.999</w:t>
            </w:r>
          </w:p>
        </w:tc>
        <w:tc>
          <w:tcPr>
            <w:tcW w:w="1055" w:type="pct"/>
            <w:noWrap/>
            <w:vAlign w:val="center"/>
          </w:tcPr>
          <w:p w14:paraId="5C4DD335" w14:textId="77777777" w:rsidR="000924EA" w:rsidRPr="00AE4E8D" w:rsidRDefault="000924EA" w:rsidP="00232C94">
            <w:pPr>
              <w:keepLines/>
              <w:jc w:val="center"/>
              <w:rPr>
                <w:rFonts w:ascii="Times New Roman" w:hAnsi="Times New Roman"/>
                <w:lang w:val="es-ES"/>
              </w:rPr>
            </w:pPr>
            <w:r w:rsidRPr="00AE4E8D">
              <w:rPr>
                <w:rFonts w:ascii="Times New Roman" w:hAnsi="Times New Roman"/>
                <w:lang w:val="es-ES"/>
              </w:rPr>
              <w:t>20-14800999-7</w:t>
            </w:r>
          </w:p>
        </w:tc>
        <w:tc>
          <w:tcPr>
            <w:tcW w:w="1530" w:type="pct"/>
            <w:noWrap/>
            <w:vAlign w:val="center"/>
          </w:tcPr>
          <w:p w14:paraId="30AC764A" w14:textId="77777777" w:rsidR="000924EA" w:rsidRPr="00AE4E8D" w:rsidRDefault="000924EA" w:rsidP="00232C94">
            <w:pPr>
              <w:keepLines/>
              <w:jc w:val="center"/>
              <w:rPr>
                <w:rFonts w:ascii="Times New Roman" w:hAnsi="Times New Roman"/>
                <w:lang w:val="es-ES" w:eastAsia="es-AR"/>
              </w:rPr>
            </w:pPr>
            <w:r w:rsidRPr="00AE4E8D">
              <w:rPr>
                <w:rFonts w:ascii="Times New Roman" w:hAnsi="Times New Roman"/>
                <w:lang w:val="es-ES"/>
              </w:rPr>
              <w:t>Bouchard 557 CABA</w:t>
            </w:r>
          </w:p>
        </w:tc>
      </w:tr>
    </w:tbl>
    <w:p w14:paraId="14C50399" w14:textId="77777777" w:rsidR="000924EA" w:rsidRDefault="000924EA" w:rsidP="000924EA">
      <w:pPr>
        <w:pStyle w:val="BHTexto"/>
        <w:rPr>
          <w:lang w:val="es-ES"/>
        </w:rPr>
      </w:pPr>
      <w:r w:rsidRPr="00AE4E8D">
        <w:rPr>
          <w:lang w:val="es-ES"/>
        </w:rPr>
        <w:t xml:space="preserve">Nuestros estados contables reflejan razonablemente, en todos sus aspectos significativos, nuestra situación patrimonial al 31 de diciembre de 2016, los resultados de nuestras operaciones y el flujo de efectivo y sus equivalentes por el ejercicio económico finalizados en esa fecha, y las variaciones en nuestro patrimonio neto por el ejercicio económico finalizado el 31 de diciembre de 2016, de acuerdo con las Normas Contables del BCRA y, excepto por el desvío a las normas contables profesionales indicado en el párrafo 3, con las normas contables vigentes en la Ciudad Autónoma de Buenos Aires. </w:t>
      </w:r>
      <w:bookmarkStart w:id="121" w:name="_GoBack"/>
      <w:bookmarkEnd w:id="121"/>
      <w:r w:rsidRPr="00AE4E8D">
        <w:rPr>
          <w:lang w:val="es-ES"/>
        </w:rPr>
        <w:t xml:space="preserve">Dichas normas difieren en ciertos aspectos, de las normas contables profesionales vigentes. En las notas a los estados contables, hemos identificado y cuantificado el efecto sobre los estados contables derivado de los diferentes criterios de valuación y exposición. </w:t>
      </w:r>
    </w:p>
    <w:p w14:paraId="19F38DB7" w14:textId="77777777" w:rsidR="00723B67" w:rsidRPr="00FA407B" w:rsidRDefault="00723B67" w:rsidP="00723B67">
      <w:pPr>
        <w:pStyle w:val="BHTexto"/>
        <w:rPr>
          <w:lang w:val="es-AR"/>
        </w:rPr>
      </w:pPr>
      <w:r w:rsidRPr="00B832BB">
        <w:rPr>
          <w:lang w:val="es-AR"/>
        </w:rPr>
        <w:t>Con respecto a la información financiera no auditada de Banco Hipotecario S.A. por los períodos de seis meses finalizados el 30 de junio de 2017 y 2016, incluidos en este Prospecto, Price Waterhouse &amp; Co. S.R.L. informaron que han aplicado procedimientos limitados de acuerdo con estándares profesionales para la revisión de dicha información. Sin embargo, su informe separado del 10 de agosto de 2017 que aparece aquí (que incluyen un énfasis en el párrafo sobre a) las diferencias entre las Reglas del Banco Central y ciertos aspectos con las normas contables profesionales vigentes en la Ciudad Autónoma de Buenos Aires y el hecho que el Banco actualmente está llevando a cabo una revisión completa de sus sistemas contables en preparación para su adopción oportuna de las NIIF) declara que no auditó y que no expresa una opinión sobre esa información financiera no auditada. En consecuencia, el grado de confianza en su informe sobre dicha información debería restringirse a la luz de la naturaleza limitada de los procedimientos de revisión aplicados.</w:t>
      </w:r>
    </w:p>
    <w:p w14:paraId="4903D99C" w14:textId="77777777" w:rsidR="00723B67" w:rsidRPr="00723B67" w:rsidRDefault="00723B67" w:rsidP="000924EA">
      <w:pPr>
        <w:pStyle w:val="BHTexto"/>
        <w:rPr>
          <w:lang w:val="es-AR"/>
        </w:rPr>
      </w:pPr>
    </w:p>
    <w:bookmarkEnd w:id="105"/>
    <w:bookmarkEnd w:id="106"/>
    <w:bookmarkEnd w:id="107"/>
    <w:bookmarkEnd w:id="108"/>
    <w:bookmarkEnd w:id="109"/>
    <w:p w14:paraId="6527C16C" w14:textId="77777777" w:rsidR="005C363D" w:rsidRPr="00AE4E8D" w:rsidRDefault="005C363D" w:rsidP="005C363D">
      <w:pPr>
        <w:pStyle w:val="BH1Centro"/>
        <w:rPr>
          <w:rFonts w:ascii="Times New Roman" w:hAnsi="Times New Roman"/>
          <w:lang w:val="es-ES"/>
        </w:rPr>
      </w:pPr>
      <w:r w:rsidRPr="00AE4E8D">
        <w:rPr>
          <w:rFonts w:ascii="Times New Roman" w:hAnsi="Times New Roman"/>
          <w:highlight w:val="cyan"/>
          <w:lang w:val="es-ES"/>
        </w:rPr>
        <w:br w:type="page"/>
      </w:r>
      <w:bookmarkStart w:id="122" w:name="_Toc495972975"/>
      <w:bookmarkStart w:id="123" w:name="_Toc495399882"/>
      <w:r w:rsidRPr="00AE4E8D">
        <w:rPr>
          <w:rFonts w:ascii="Times New Roman" w:hAnsi="Times New Roman"/>
          <w:lang w:val="es-ES"/>
        </w:rPr>
        <w:lastRenderedPageBreak/>
        <w:t>DATOS ESTADÍSTICOS Y PROGRAMA PREVISTO PARA LA OFERTA</w:t>
      </w:r>
      <w:bookmarkEnd w:id="122"/>
      <w:bookmarkEnd w:id="123"/>
    </w:p>
    <w:p w14:paraId="413438F5" w14:textId="77777777" w:rsidR="005C363D" w:rsidRPr="00AE4E8D" w:rsidRDefault="005C363D" w:rsidP="005C363D">
      <w:pPr>
        <w:autoSpaceDE w:val="0"/>
        <w:autoSpaceDN w:val="0"/>
        <w:adjustRightInd w:val="0"/>
        <w:spacing w:before="120" w:after="120"/>
        <w:jc w:val="both"/>
        <w:rPr>
          <w:rFonts w:ascii="Times New Roman" w:hAnsi="Times New Roman"/>
          <w:i/>
          <w:lang w:val="es-ES" w:eastAsia="es-AR"/>
        </w:rPr>
      </w:pPr>
      <w:r w:rsidRPr="00AE4E8D">
        <w:rPr>
          <w:rFonts w:ascii="Times New Roman" w:hAnsi="Times New Roman"/>
          <w:i/>
          <w:lang w:val="es-ES" w:eastAsia="es-AR"/>
        </w:rPr>
        <w:t>Este resumen detalla información importante sobre este Programa. Se recomienda leer este Prospecto</w:t>
      </w:r>
      <w:r w:rsidR="00DC317A" w:rsidRPr="00AE4E8D">
        <w:rPr>
          <w:rFonts w:ascii="Times New Roman" w:hAnsi="Times New Roman"/>
          <w:i/>
          <w:lang w:val="es-ES" w:eastAsia="es-AR"/>
        </w:rPr>
        <w:t xml:space="preserve"> y cualquier suplemento de precio relativo a la emisión de Obligaciones Negociables</w:t>
      </w:r>
      <w:r w:rsidRPr="00AE4E8D">
        <w:rPr>
          <w:rFonts w:ascii="Times New Roman" w:hAnsi="Times New Roman"/>
          <w:i/>
          <w:lang w:val="es-ES" w:eastAsia="es-AR"/>
        </w:rPr>
        <w:t xml:space="preserve"> en su totalidad. Los términos y condiciones contenidos bajo el presente título rigen para las Obligaciones Negociables a ser emitidas en el marco del Programa, sin perjuicio de lo cual los respectivos suplementos de precio establecerán los términos y condiciones específicos de las Obligaciones Negociables en particular que se emitan, los cuales reemplazarán, complementarán y/o modificarán los presentes términos y condiciones generales, siempre con el debido resguardo del interés de los inversores.</w:t>
      </w:r>
    </w:p>
    <w:p w14:paraId="0B79D7FD" w14:textId="77777777" w:rsidR="005C363D" w:rsidRPr="00AE4E8D" w:rsidRDefault="005C363D" w:rsidP="005C363D">
      <w:pPr>
        <w:autoSpaceDE w:val="0"/>
        <w:autoSpaceDN w:val="0"/>
        <w:adjustRightInd w:val="0"/>
        <w:spacing w:before="120" w:after="120"/>
        <w:jc w:val="both"/>
        <w:rPr>
          <w:rFonts w:ascii="Times New Roman" w:hAnsi="Times New Roman"/>
          <w:i/>
          <w:lang w:val="es-ES" w:eastAsia="es-AR"/>
        </w:rPr>
      </w:pPr>
      <w:r w:rsidRPr="00AE4E8D">
        <w:rPr>
          <w:rFonts w:ascii="Times New Roman" w:hAnsi="Times New Roman"/>
          <w:i/>
          <w:lang w:val="es-ES" w:eastAsia="es-AR"/>
        </w:rPr>
        <w:t>En este Prospecto, las referencias a "Obligaciones Negociables" son a toda Obligación Negociable que el Banco emita bajo el Programa, a menos que el contexto exija lo contrario.</w:t>
      </w:r>
    </w:p>
    <w:tbl>
      <w:tblPr>
        <w:tblW w:w="5000" w:type="pct"/>
        <w:jc w:val="center"/>
        <w:tblCellMar>
          <w:left w:w="70" w:type="dxa"/>
          <w:right w:w="70" w:type="dxa"/>
        </w:tblCellMar>
        <w:tblLook w:val="0000" w:firstRow="0" w:lastRow="0" w:firstColumn="0" w:lastColumn="0" w:noHBand="0" w:noVBand="0"/>
      </w:tblPr>
      <w:tblGrid>
        <w:gridCol w:w="3196"/>
        <w:gridCol w:w="5439"/>
        <w:gridCol w:w="10"/>
      </w:tblGrid>
      <w:tr w:rsidR="005C363D" w:rsidRPr="00AE4E8D" w14:paraId="716D0A32" w14:textId="77777777" w:rsidTr="000400C8">
        <w:trPr>
          <w:jc w:val="center"/>
        </w:trPr>
        <w:tc>
          <w:tcPr>
            <w:tcW w:w="1848" w:type="pct"/>
          </w:tcPr>
          <w:p w14:paraId="5C5FB53D"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Emisor</w:t>
            </w:r>
            <w:r w:rsidRPr="00AE4E8D">
              <w:rPr>
                <w:rFonts w:ascii="Times New Roman" w:hAnsi="Times New Roman"/>
                <w:i/>
                <w:lang w:val="es-ES" w:eastAsia="es-AR"/>
              </w:rPr>
              <w:tab/>
            </w:r>
          </w:p>
        </w:tc>
        <w:tc>
          <w:tcPr>
            <w:tcW w:w="3152" w:type="pct"/>
            <w:gridSpan w:val="2"/>
          </w:tcPr>
          <w:p w14:paraId="5EB8C511" w14:textId="77777777" w:rsidR="005C363D" w:rsidRPr="00AE4E8D" w:rsidRDefault="005C363D" w:rsidP="00E8320E">
            <w:pPr>
              <w:pStyle w:val="BHTexto"/>
              <w:rPr>
                <w:lang w:val="es-ES" w:eastAsia="es-AR"/>
              </w:rPr>
            </w:pPr>
            <w:r w:rsidRPr="00AE4E8D">
              <w:rPr>
                <w:lang w:val="es-ES" w:eastAsia="es-AR"/>
              </w:rPr>
              <w:t>Banco Hipotecario S.A.</w:t>
            </w:r>
          </w:p>
        </w:tc>
      </w:tr>
      <w:tr w:rsidR="005C363D" w:rsidRPr="00AE4E8D" w14:paraId="42EB2267" w14:textId="77777777" w:rsidTr="000400C8">
        <w:trPr>
          <w:jc w:val="center"/>
        </w:trPr>
        <w:tc>
          <w:tcPr>
            <w:tcW w:w="1848" w:type="pct"/>
          </w:tcPr>
          <w:p w14:paraId="7F2D0504"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Colocadores</w:t>
            </w:r>
            <w:r w:rsidRPr="00AE4E8D">
              <w:rPr>
                <w:rFonts w:ascii="Times New Roman" w:hAnsi="Times New Roman"/>
                <w:i/>
                <w:lang w:val="es-ES" w:eastAsia="es-AR"/>
              </w:rPr>
              <w:tab/>
            </w:r>
          </w:p>
        </w:tc>
        <w:tc>
          <w:tcPr>
            <w:tcW w:w="3152" w:type="pct"/>
            <w:gridSpan w:val="2"/>
          </w:tcPr>
          <w:p w14:paraId="7D26572C" w14:textId="77777777" w:rsidR="005C363D" w:rsidRPr="00AE4E8D" w:rsidRDefault="005C363D" w:rsidP="00E8320E">
            <w:pPr>
              <w:pStyle w:val="BHTexto"/>
              <w:rPr>
                <w:lang w:val="es-ES" w:eastAsia="es-AR"/>
              </w:rPr>
            </w:pPr>
            <w:r w:rsidRPr="00AE4E8D">
              <w:rPr>
                <w:lang w:val="es-ES" w:eastAsia="es-AR"/>
              </w:rPr>
              <w:t xml:space="preserve">Las Obligaciones Negociables podrán ser ofrecidas directamente por el Banco o a través de los colocadores y/o agentes que oportunamente se designe a tal fin en cada suplemento de precio aplicable. El presente Prospecto no podrá ser utilizado para realizar ventas de Obligaciones Negociables de no estar acompañado por el suplemento de precio respectivo. </w:t>
            </w:r>
          </w:p>
        </w:tc>
      </w:tr>
      <w:tr w:rsidR="005C363D" w:rsidRPr="00AE4E8D" w14:paraId="60D2F802" w14:textId="77777777" w:rsidTr="000400C8">
        <w:trPr>
          <w:jc w:val="center"/>
        </w:trPr>
        <w:tc>
          <w:tcPr>
            <w:tcW w:w="1848" w:type="pct"/>
          </w:tcPr>
          <w:p w14:paraId="5193A727"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Monto del Programa</w:t>
            </w:r>
            <w:r w:rsidRPr="00AE4E8D">
              <w:rPr>
                <w:rFonts w:ascii="Times New Roman" w:hAnsi="Times New Roman"/>
                <w:i/>
                <w:lang w:val="es-ES" w:eastAsia="es-AR"/>
              </w:rPr>
              <w:tab/>
            </w:r>
          </w:p>
        </w:tc>
        <w:tc>
          <w:tcPr>
            <w:tcW w:w="3152" w:type="pct"/>
            <w:gridSpan w:val="2"/>
          </w:tcPr>
          <w:p w14:paraId="288065ED" w14:textId="77777777" w:rsidR="005C363D" w:rsidRPr="00AE4E8D" w:rsidRDefault="005C363D" w:rsidP="00E8320E">
            <w:pPr>
              <w:pStyle w:val="BHTexto"/>
              <w:rPr>
                <w:lang w:val="es-ES" w:eastAsia="es-AR"/>
              </w:rPr>
            </w:pPr>
            <w:r w:rsidRPr="00AE4E8D">
              <w:rPr>
                <w:lang w:val="es-ES" w:eastAsia="es-AR"/>
              </w:rPr>
              <w:t>El Banco podrá emitir Obligaciones Negociables siempre que el monto en circulación bajo el Programa no exceda en ningún momento el monto nominal máximo de US$1.500.000.000 (o su equivalente en Pesos o en otras monedas).</w:t>
            </w:r>
          </w:p>
        </w:tc>
      </w:tr>
      <w:tr w:rsidR="005C363D" w:rsidRPr="00AE4E8D" w14:paraId="3C90283E" w14:textId="77777777" w:rsidTr="000400C8">
        <w:trPr>
          <w:jc w:val="center"/>
        </w:trPr>
        <w:tc>
          <w:tcPr>
            <w:tcW w:w="1848" w:type="pct"/>
          </w:tcPr>
          <w:p w14:paraId="18814670"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Duración del Programa</w:t>
            </w:r>
            <w:r w:rsidRPr="00AE4E8D">
              <w:rPr>
                <w:rFonts w:ascii="Times New Roman" w:hAnsi="Times New Roman"/>
                <w:i/>
                <w:lang w:val="es-ES" w:eastAsia="es-AR"/>
              </w:rPr>
              <w:tab/>
            </w:r>
          </w:p>
        </w:tc>
        <w:tc>
          <w:tcPr>
            <w:tcW w:w="3152" w:type="pct"/>
            <w:gridSpan w:val="2"/>
          </w:tcPr>
          <w:p w14:paraId="3277E4C5" w14:textId="77777777" w:rsidR="005C363D" w:rsidRPr="00AE4E8D" w:rsidRDefault="005C363D" w:rsidP="00E8320E">
            <w:pPr>
              <w:pStyle w:val="BHTexto"/>
              <w:rPr>
                <w:lang w:val="es-ES" w:eastAsia="es-AR"/>
              </w:rPr>
            </w:pPr>
            <w:r w:rsidRPr="00AE4E8D">
              <w:rPr>
                <w:lang w:val="es-ES" w:eastAsia="es-AR"/>
              </w:rPr>
              <w:t xml:space="preserve">Cinco años a partir de la autorización otorgada por la CNV para la prórroga de la vigencia del Programa de fecha 28 de julio de 2016. </w:t>
            </w:r>
          </w:p>
        </w:tc>
      </w:tr>
      <w:tr w:rsidR="005C363D" w:rsidRPr="00AE4E8D" w14:paraId="1C1FD021" w14:textId="77777777" w:rsidTr="000400C8">
        <w:trPr>
          <w:jc w:val="center"/>
        </w:trPr>
        <w:tc>
          <w:tcPr>
            <w:tcW w:w="1848" w:type="pct"/>
          </w:tcPr>
          <w:p w14:paraId="0164A1BA"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Emisión en Clases</w:t>
            </w:r>
            <w:r w:rsidRPr="00AE4E8D">
              <w:rPr>
                <w:rFonts w:ascii="Times New Roman" w:hAnsi="Times New Roman"/>
                <w:i/>
                <w:lang w:val="es-ES" w:eastAsia="es-AR"/>
              </w:rPr>
              <w:tab/>
            </w:r>
          </w:p>
        </w:tc>
        <w:tc>
          <w:tcPr>
            <w:tcW w:w="3152" w:type="pct"/>
            <w:gridSpan w:val="2"/>
          </w:tcPr>
          <w:p w14:paraId="0C9D0FD3" w14:textId="77777777" w:rsidR="005C363D" w:rsidRPr="00AE4E8D" w:rsidRDefault="005C363D" w:rsidP="00E8320E">
            <w:pPr>
              <w:pStyle w:val="BHTexto"/>
              <w:rPr>
                <w:lang w:val="es-ES" w:eastAsia="es-AR"/>
              </w:rPr>
            </w:pPr>
            <w:r w:rsidRPr="00AE4E8D">
              <w:rPr>
                <w:lang w:val="es-ES" w:eastAsia="es-AR"/>
              </w:rPr>
              <w:t>El Banco podrá emitir Obligaciones Negociables en Clases. Dentro de cada Clase, el Banco podrá emitir series y/o tramos de Obligaciones Negociables, que se amortizarán dentro de los plazos previstos por la normativa vigente aplicable, siempre que el monto de capital en circulación de las Obligaciones Negociables bajo el Programa no exceda el monto nominal máximo de US$1.500.000.000 (o su equivalente en Pesos o en otras monedas).</w:t>
            </w:r>
          </w:p>
          <w:p w14:paraId="0074CE6D" w14:textId="77777777" w:rsidR="005C363D" w:rsidRPr="00AE4E8D" w:rsidRDefault="005C363D" w:rsidP="00E8320E">
            <w:pPr>
              <w:pStyle w:val="BHTexto"/>
              <w:rPr>
                <w:lang w:val="es-ES" w:eastAsia="es-AR"/>
              </w:rPr>
            </w:pPr>
            <w:r w:rsidRPr="00AE4E8D">
              <w:rPr>
                <w:lang w:val="es-ES" w:eastAsia="es-AR"/>
              </w:rPr>
              <w:t>El Banco establecerá los términos específicos de cada Clase y/o Serie en un suplemento de precio al Prospecto.</w:t>
            </w:r>
          </w:p>
        </w:tc>
      </w:tr>
      <w:tr w:rsidR="005C363D" w:rsidRPr="00AE4E8D" w14:paraId="11DABA51" w14:textId="77777777" w:rsidTr="000400C8">
        <w:trPr>
          <w:jc w:val="center"/>
        </w:trPr>
        <w:tc>
          <w:tcPr>
            <w:tcW w:w="1848" w:type="pct"/>
          </w:tcPr>
          <w:p w14:paraId="0B803761" w14:textId="77777777" w:rsidR="005C363D" w:rsidRPr="00AE4E8D" w:rsidRDefault="005C363D" w:rsidP="00793898">
            <w:pPr>
              <w:widowControl w:val="0"/>
              <w:tabs>
                <w:tab w:val="left" w:leader="dot" w:pos="3004"/>
                <w:tab w:val="right" w:leader="dot" w:pos="5310"/>
              </w:tabs>
              <w:autoSpaceDE w:val="0"/>
              <w:autoSpaceDN w:val="0"/>
              <w:adjustRightInd w:val="0"/>
              <w:spacing w:before="120"/>
              <w:rPr>
                <w:rFonts w:ascii="Times New Roman" w:hAnsi="Times New Roman"/>
                <w:b/>
                <w:lang w:val="es-ES"/>
              </w:rPr>
            </w:pPr>
            <w:r w:rsidRPr="00AE4E8D">
              <w:rPr>
                <w:rFonts w:ascii="Times New Roman" w:hAnsi="Times New Roman"/>
                <w:b/>
                <w:lang w:val="es-ES"/>
              </w:rPr>
              <w:t>Emisiones Adicionales de</w:t>
            </w:r>
            <w:r w:rsidRPr="00AE4E8D">
              <w:rPr>
                <w:rFonts w:ascii="Times New Roman" w:hAnsi="Times New Roman"/>
                <w:i/>
                <w:lang w:val="es-ES" w:eastAsia="es-AR"/>
              </w:rPr>
              <w:tab/>
            </w:r>
          </w:p>
          <w:p w14:paraId="50D9401B" w14:textId="77777777" w:rsidR="005C363D" w:rsidRPr="00AE4E8D" w:rsidRDefault="005C363D" w:rsidP="00793898">
            <w:pPr>
              <w:widowControl w:val="0"/>
              <w:tabs>
                <w:tab w:val="left" w:leader="dot" w:pos="3004"/>
                <w:tab w:val="right" w:leader="dot" w:pos="5310"/>
              </w:tabs>
              <w:autoSpaceDE w:val="0"/>
              <w:autoSpaceDN w:val="0"/>
              <w:adjustRightInd w:val="0"/>
              <w:spacing w:after="120"/>
              <w:rPr>
                <w:rFonts w:ascii="Times New Roman" w:hAnsi="Times New Roman"/>
                <w:b/>
                <w:lang w:val="es-ES"/>
              </w:rPr>
            </w:pPr>
            <w:r w:rsidRPr="00AE4E8D">
              <w:rPr>
                <w:rFonts w:ascii="Times New Roman" w:hAnsi="Times New Roman"/>
                <w:b/>
                <w:lang w:val="es-ES"/>
              </w:rPr>
              <w:t xml:space="preserve">Obligaciones Negociables </w:t>
            </w:r>
          </w:p>
        </w:tc>
        <w:tc>
          <w:tcPr>
            <w:tcW w:w="3152" w:type="pct"/>
            <w:gridSpan w:val="2"/>
          </w:tcPr>
          <w:p w14:paraId="397D2AAB" w14:textId="77777777" w:rsidR="005C363D" w:rsidRPr="00AE4E8D" w:rsidRDefault="005C363D" w:rsidP="00E8320E">
            <w:pPr>
              <w:pStyle w:val="BHTexto"/>
              <w:rPr>
                <w:lang w:val="es-ES" w:eastAsia="es-AR"/>
              </w:rPr>
            </w:pPr>
            <w:r w:rsidRPr="00AE4E8D">
              <w:rPr>
                <w:lang w:val="es-ES" w:eastAsia="es-AR"/>
              </w:rPr>
              <w:t xml:space="preserve">Si las reglamentaciones bancarias de la Argentina y las Normas de la CNV así lo permiten, el Banco podrá periódicamente, sin el consentimiento de los tenedores de Obligaciones Negociables en circulación y/o notificación previa alguna en tal sentido, emitir Obligaciones Negociables adicionales de la misma Clase o de una Clase nueva. </w:t>
            </w:r>
          </w:p>
        </w:tc>
      </w:tr>
      <w:tr w:rsidR="005C363D" w:rsidRPr="00AE4E8D" w14:paraId="054EDFCF" w14:textId="77777777" w:rsidTr="000400C8">
        <w:trPr>
          <w:jc w:val="center"/>
        </w:trPr>
        <w:tc>
          <w:tcPr>
            <w:tcW w:w="1848" w:type="pct"/>
          </w:tcPr>
          <w:p w14:paraId="0F2A60E3"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Rango</w:t>
            </w:r>
            <w:r w:rsidRPr="00AE4E8D">
              <w:rPr>
                <w:rFonts w:ascii="Times New Roman" w:hAnsi="Times New Roman"/>
                <w:i/>
                <w:lang w:val="es-ES" w:eastAsia="es-AR"/>
              </w:rPr>
              <w:tab/>
            </w:r>
          </w:p>
        </w:tc>
        <w:tc>
          <w:tcPr>
            <w:tcW w:w="3152" w:type="pct"/>
            <w:gridSpan w:val="2"/>
          </w:tcPr>
          <w:p w14:paraId="67D3A56D" w14:textId="77777777" w:rsidR="005C363D" w:rsidRPr="00AE4E8D" w:rsidRDefault="005C363D" w:rsidP="00E8320E">
            <w:pPr>
              <w:pStyle w:val="BHTexto"/>
              <w:rPr>
                <w:lang w:val="es-ES" w:eastAsia="es-AR"/>
              </w:rPr>
            </w:pPr>
            <w:r w:rsidRPr="00AE4E8D">
              <w:rPr>
                <w:lang w:val="es-ES" w:eastAsia="es-AR"/>
              </w:rPr>
              <w:t>Las Obligaciones Negociables emitidas en virtud de este Programa calificarán como Obligaciones Negociables simples no convertibles en acciones según la ley argentina y serán emitidas de conformidad y cumpliendo con todos los requisitos de la Ley de Obligaciones Negociables y las demás leyes y normativa argentinas aplicables.</w:t>
            </w:r>
          </w:p>
          <w:p w14:paraId="3D7E32F2" w14:textId="77777777" w:rsidR="005C363D" w:rsidRPr="00AE4E8D" w:rsidRDefault="005C363D" w:rsidP="00E8320E">
            <w:pPr>
              <w:pStyle w:val="BHTexto"/>
              <w:rPr>
                <w:lang w:val="es-ES" w:eastAsia="es-AR"/>
              </w:rPr>
            </w:pPr>
            <w:r w:rsidRPr="00AE4E8D">
              <w:rPr>
                <w:lang w:val="es-ES" w:eastAsia="es-AR"/>
              </w:rPr>
              <w:t xml:space="preserve">Las Obligaciones Negociables podrán constituir obligaciones incondicionales, directas, simples, subordinadas o no del Banco con </w:t>
            </w:r>
            <w:r w:rsidRPr="00AE4E8D">
              <w:rPr>
                <w:lang w:val="es-ES"/>
              </w:rPr>
              <w:t>garantía especial, común o flotante y/o por cualquier otro medio previsto por las normas</w:t>
            </w:r>
            <w:r w:rsidRPr="00AE4E8D">
              <w:rPr>
                <w:lang w:val="es-ES" w:eastAsia="es-AR"/>
              </w:rPr>
              <w:t xml:space="preserve">, y tendrán al menos igual prioridad </w:t>
            </w:r>
            <w:r w:rsidRPr="00AE4E8D">
              <w:rPr>
                <w:lang w:val="es-ES" w:eastAsia="es-AR"/>
              </w:rPr>
              <w:lastRenderedPageBreak/>
              <w:t>de pago que toda su otra deuda no garantizada y no subordinada, presente y futura (salvo las obligaciones que gozan de preferencia por ley o de puro derecho), según se indique en el suplemento de precio respectivo (incluyendo prioridad de los depósitos).</w:t>
            </w:r>
          </w:p>
          <w:p w14:paraId="2D753A6B" w14:textId="77777777" w:rsidR="005C363D" w:rsidRPr="00AE4E8D" w:rsidRDefault="005C363D" w:rsidP="00E8320E">
            <w:pPr>
              <w:pStyle w:val="BHTexto"/>
              <w:rPr>
                <w:lang w:val="es-ES" w:eastAsia="es-AR"/>
              </w:rPr>
            </w:pPr>
            <w:r w:rsidRPr="00AE4E8D">
              <w:rPr>
                <w:lang w:val="es-ES" w:eastAsia="es-AR"/>
              </w:rPr>
              <w:t>Si así lo especificara el respectivo suplemento de precio, el Banco podrá emitir obligaciones negociables subordinadas al pago de la deuda no subordinada del Banco, de acuerdo lo establecen las normas aplicables (en tal caso, de acuerdo con las normas del BCRA, el Banco no podrá recibir documentos en garantía de financiaciones o como contragarantía de avales otorgados a favor de terceros o de responsabilidades eventuales asumidas por cuenta de terceros), al pago de la deuda no garantizada y no subordinada del Banco</w:t>
            </w:r>
            <w:r w:rsidRPr="00AE4E8D">
              <w:rPr>
                <w:lang w:val="es-ES"/>
              </w:rPr>
              <w:t xml:space="preserve"> </w:t>
            </w:r>
            <w:r w:rsidRPr="00AE4E8D">
              <w:rPr>
                <w:lang w:val="es-ES" w:eastAsia="es-AR"/>
              </w:rPr>
              <w:t xml:space="preserve">(distinta de las obligaciones previstas por el estatuto o por la ley) (incluyendo depósitos). </w:t>
            </w:r>
          </w:p>
        </w:tc>
      </w:tr>
      <w:tr w:rsidR="005C363D" w:rsidRPr="00AE4E8D" w14:paraId="5E4D62ED" w14:textId="77777777" w:rsidTr="000400C8">
        <w:trPr>
          <w:jc w:val="center"/>
        </w:trPr>
        <w:tc>
          <w:tcPr>
            <w:tcW w:w="1848" w:type="pct"/>
          </w:tcPr>
          <w:p w14:paraId="3DECBFDF" w14:textId="77777777" w:rsidR="005C363D" w:rsidRPr="00AE4E8D" w:rsidRDefault="005C363D" w:rsidP="00793898">
            <w:pPr>
              <w:widowControl w:val="0"/>
              <w:tabs>
                <w:tab w:val="left" w:leader="dot" w:pos="3004"/>
                <w:tab w:val="right" w:leader="dot" w:pos="5310"/>
              </w:tabs>
              <w:autoSpaceDE w:val="0"/>
              <w:autoSpaceDN w:val="0"/>
              <w:adjustRightInd w:val="0"/>
              <w:spacing w:before="120"/>
              <w:rPr>
                <w:rFonts w:ascii="Times New Roman" w:hAnsi="Times New Roman"/>
                <w:b/>
                <w:lang w:val="es-ES"/>
              </w:rPr>
            </w:pPr>
            <w:r w:rsidRPr="00AE4E8D">
              <w:rPr>
                <w:rFonts w:ascii="Times New Roman" w:hAnsi="Times New Roman"/>
                <w:b/>
                <w:lang w:val="es-ES"/>
              </w:rPr>
              <w:lastRenderedPageBreak/>
              <w:t xml:space="preserve">Colocación de las </w:t>
            </w:r>
            <w:r w:rsidRPr="00AE4E8D">
              <w:rPr>
                <w:rFonts w:ascii="Times New Roman" w:hAnsi="Times New Roman"/>
                <w:i/>
                <w:lang w:val="es-ES" w:eastAsia="es-AR"/>
              </w:rPr>
              <w:tab/>
            </w:r>
          </w:p>
          <w:p w14:paraId="3E89A647" w14:textId="77777777" w:rsidR="005C363D" w:rsidRPr="00AE4E8D" w:rsidRDefault="005C363D" w:rsidP="00793898">
            <w:pPr>
              <w:widowControl w:val="0"/>
              <w:tabs>
                <w:tab w:val="left" w:leader="dot" w:pos="3004"/>
                <w:tab w:val="right" w:leader="dot" w:pos="5310"/>
              </w:tabs>
              <w:autoSpaceDE w:val="0"/>
              <w:autoSpaceDN w:val="0"/>
              <w:adjustRightInd w:val="0"/>
              <w:rPr>
                <w:rFonts w:ascii="Times New Roman" w:hAnsi="Times New Roman"/>
                <w:b/>
                <w:lang w:val="es-ES"/>
              </w:rPr>
            </w:pPr>
            <w:r w:rsidRPr="00AE4E8D">
              <w:rPr>
                <w:rFonts w:ascii="Times New Roman" w:hAnsi="Times New Roman"/>
                <w:b/>
                <w:lang w:val="es-ES"/>
              </w:rPr>
              <w:t xml:space="preserve">Obligaciones </w:t>
            </w:r>
          </w:p>
          <w:p w14:paraId="41BCCA95" w14:textId="77777777" w:rsidR="005C363D" w:rsidRPr="00AE4E8D" w:rsidRDefault="005C363D" w:rsidP="00793898">
            <w:pPr>
              <w:widowControl w:val="0"/>
              <w:tabs>
                <w:tab w:val="left" w:leader="dot" w:pos="3004"/>
                <w:tab w:val="right" w:leader="dot" w:pos="5310"/>
              </w:tabs>
              <w:autoSpaceDE w:val="0"/>
              <w:autoSpaceDN w:val="0"/>
              <w:adjustRightInd w:val="0"/>
              <w:rPr>
                <w:rFonts w:ascii="Times New Roman" w:hAnsi="Times New Roman"/>
                <w:b/>
                <w:lang w:val="es-ES"/>
              </w:rPr>
            </w:pPr>
            <w:r w:rsidRPr="00AE4E8D">
              <w:rPr>
                <w:rFonts w:ascii="Times New Roman" w:hAnsi="Times New Roman"/>
                <w:b/>
                <w:lang w:val="es-ES"/>
              </w:rPr>
              <w:t>Negociables</w:t>
            </w:r>
          </w:p>
        </w:tc>
        <w:tc>
          <w:tcPr>
            <w:tcW w:w="3152" w:type="pct"/>
            <w:gridSpan w:val="2"/>
          </w:tcPr>
          <w:p w14:paraId="02B49957" w14:textId="77777777" w:rsidR="005C363D" w:rsidRPr="00AE4E8D" w:rsidRDefault="005C363D" w:rsidP="00E8320E">
            <w:pPr>
              <w:pStyle w:val="BHTexto"/>
              <w:rPr>
                <w:lang w:val="es-ES" w:eastAsia="es-AR"/>
              </w:rPr>
            </w:pPr>
            <w:r w:rsidRPr="00AE4E8D">
              <w:rPr>
                <w:lang w:val="es-ES" w:eastAsia="es-AR"/>
              </w:rPr>
              <w:t xml:space="preserve">Cada oferta pública de Obligaciones Negociables en Argentina y cada colocación de Obligaciones Negociables se realizarán de acuerdo con las disposiciones de la Ley de Mercado de Capitales, y las Normas de la CNV y otras leyes y/o reglamentaciones aplicables y </w:t>
            </w:r>
            <w:r w:rsidRPr="00AE4E8D">
              <w:rPr>
                <w:lang w:val="es-ES" w:eastAsia="es-ES"/>
              </w:rPr>
              <w:t>mediante los mecanismos autorizados por Resolución N°662/2016 de la CNV (formación de libro o subasta o licitación pública)</w:t>
            </w:r>
            <w:r w:rsidRPr="00AE4E8D">
              <w:rPr>
                <w:lang w:val="es-ES" w:eastAsia="es-AR"/>
              </w:rPr>
              <w:t>. Este Prospecto estará disponible para el público de Argentina.</w:t>
            </w:r>
          </w:p>
          <w:p w14:paraId="656B3E99" w14:textId="77777777" w:rsidR="005C363D" w:rsidRPr="00AE4E8D" w:rsidRDefault="005C363D" w:rsidP="00E8320E">
            <w:pPr>
              <w:pStyle w:val="BHTexto"/>
              <w:rPr>
                <w:lang w:val="es-ES" w:eastAsia="es-AR"/>
              </w:rPr>
            </w:pPr>
            <w:r w:rsidRPr="00AE4E8D">
              <w:rPr>
                <w:lang w:val="es-ES" w:eastAsia="es-AR"/>
              </w:rPr>
              <w:t xml:space="preserve">Las Obligaciones Negociables no han sido </w:t>
            </w:r>
            <w:r w:rsidR="00DC317A" w:rsidRPr="00AE4E8D">
              <w:rPr>
                <w:lang w:val="es-ES" w:eastAsia="es-AR"/>
              </w:rPr>
              <w:t xml:space="preserve">y no serán </w:t>
            </w:r>
            <w:r w:rsidRPr="00AE4E8D">
              <w:rPr>
                <w:lang w:val="es-ES" w:eastAsia="es-AR"/>
              </w:rPr>
              <w:t xml:space="preserve">registradas bajo la Ley de Títulos Valores, las leyes de valores negociables de ningún estado ni las leyes de valores negociables de cualquier otra jurisdicción (excepto Argentina) y no podrán ofrecerse ni venderse en los Estados Unidos de América ni a personas Estadounidenses (según se definen en la Reglamentación S) salvo en operaciones exentas de o no sujetas a los requisitos de registro de la Ley de Títulos Valores. En consecuencia, el Banco únicamente ofrecerá y venderá Obligaciones Negociables en operaciones exentas de registro bajo la Ley de Títulos Valores a </w:t>
            </w:r>
            <w:r w:rsidRPr="00AE4E8D">
              <w:rPr>
                <w:lang w:val="es-ES"/>
              </w:rPr>
              <w:t>Compradores Institucionales Calificados</w:t>
            </w:r>
            <w:r w:rsidRPr="00AE4E8D">
              <w:rPr>
                <w:lang w:val="es-ES" w:eastAsia="es-AR"/>
              </w:rPr>
              <w:t xml:space="preserve"> o a “inversores institucionales acreditados” (como se define en la Norma 501(a) (1), (2) o (3) conforme la Ley de Títulos Valores) en cumplimiento de la Norma 144A o fuera de los Estados Unidos de América a personas no Estadounidenses en cumplimiento de la Reglamentación S. Sin perjuicio de lo anterior, cada suplemento de precio detallará los esfuerzos de colocación a realizar en función de las jurisdicciones aplicables.</w:t>
            </w:r>
          </w:p>
        </w:tc>
      </w:tr>
      <w:tr w:rsidR="005C363D" w:rsidRPr="00AE4E8D" w14:paraId="632F0556" w14:textId="77777777" w:rsidTr="000400C8">
        <w:trPr>
          <w:jc w:val="center"/>
        </w:trPr>
        <w:tc>
          <w:tcPr>
            <w:tcW w:w="1848" w:type="pct"/>
          </w:tcPr>
          <w:p w14:paraId="59D90BCB"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Amortización</w:t>
            </w:r>
            <w:r w:rsidRPr="00AE4E8D">
              <w:rPr>
                <w:rFonts w:ascii="Times New Roman" w:hAnsi="Times New Roman"/>
                <w:i/>
                <w:lang w:val="es-ES" w:eastAsia="es-AR"/>
              </w:rPr>
              <w:tab/>
            </w:r>
          </w:p>
        </w:tc>
        <w:tc>
          <w:tcPr>
            <w:tcW w:w="3152" w:type="pct"/>
            <w:gridSpan w:val="2"/>
          </w:tcPr>
          <w:p w14:paraId="76A64196" w14:textId="77777777" w:rsidR="005C363D" w:rsidRPr="00AE4E8D" w:rsidRDefault="005C363D" w:rsidP="00E8320E">
            <w:pPr>
              <w:pStyle w:val="BHTexto"/>
              <w:rPr>
                <w:lang w:val="es-ES" w:eastAsia="es-AR"/>
              </w:rPr>
            </w:pPr>
            <w:r w:rsidRPr="00AE4E8D">
              <w:rPr>
                <w:lang w:val="es-ES"/>
              </w:rPr>
              <w:t>El Banco podrá emitir Obligaciones Negociables, cuya amortización sea en su totalidad al vencimiento, o con plazos periódicos de amortización, como se especificará en el suplemento de precio aplicable, como por ejemplo anual, semestral, trimestral, etc.</w:t>
            </w:r>
          </w:p>
        </w:tc>
      </w:tr>
      <w:tr w:rsidR="005C363D" w:rsidRPr="00AE4E8D" w14:paraId="24D5D42F" w14:textId="77777777" w:rsidTr="000400C8">
        <w:trPr>
          <w:jc w:val="center"/>
        </w:trPr>
        <w:tc>
          <w:tcPr>
            <w:tcW w:w="1848" w:type="pct"/>
          </w:tcPr>
          <w:p w14:paraId="1DEC992C"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 xml:space="preserve">Precio de Emisión </w:t>
            </w:r>
            <w:r w:rsidRPr="00AE4E8D">
              <w:rPr>
                <w:rFonts w:ascii="Times New Roman" w:hAnsi="Times New Roman"/>
                <w:i/>
                <w:lang w:val="es-ES" w:eastAsia="es-AR"/>
              </w:rPr>
              <w:tab/>
            </w:r>
          </w:p>
        </w:tc>
        <w:tc>
          <w:tcPr>
            <w:tcW w:w="3152" w:type="pct"/>
            <w:gridSpan w:val="2"/>
          </w:tcPr>
          <w:p w14:paraId="18BCFA2A" w14:textId="77777777" w:rsidR="005C363D" w:rsidRPr="00AE4E8D" w:rsidRDefault="005C363D" w:rsidP="00E8320E">
            <w:pPr>
              <w:pStyle w:val="BHTexto"/>
              <w:rPr>
                <w:lang w:val="es-ES" w:eastAsia="es-AR"/>
              </w:rPr>
            </w:pPr>
            <w:r w:rsidRPr="00AE4E8D">
              <w:rPr>
                <w:lang w:val="es-ES"/>
              </w:rPr>
              <w:t>El Banco podrá emitir Obligaciones Negociables a su valor nominal o con descuento o prima de su valor nominal, según se detalle en el respectivo suplemento de precio.</w:t>
            </w:r>
          </w:p>
        </w:tc>
      </w:tr>
      <w:tr w:rsidR="005C363D" w:rsidRPr="00AE4E8D" w14:paraId="0C17989A" w14:textId="77777777" w:rsidTr="000400C8">
        <w:trPr>
          <w:jc w:val="center"/>
        </w:trPr>
        <w:tc>
          <w:tcPr>
            <w:tcW w:w="1848" w:type="pct"/>
          </w:tcPr>
          <w:p w14:paraId="3A39C805"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Monedas</w:t>
            </w:r>
            <w:r w:rsidRPr="00AE4E8D">
              <w:rPr>
                <w:rFonts w:ascii="Times New Roman" w:hAnsi="Times New Roman"/>
                <w:i/>
                <w:lang w:val="es-ES" w:eastAsia="es-AR"/>
              </w:rPr>
              <w:tab/>
            </w:r>
          </w:p>
        </w:tc>
        <w:tc>
          <w:tcPr>
            <w:tcW w:w="3152" w:type="pct"/>
            <w:gridSpan w:val="2"/>
          </w:tcPr>
          <w:p w14:paraId="55BB4374" w14:textId="77777777" w:rsidR="005C363D" w:rsidRPr="00AE4E8D" w:rsidRDefault="005C363D" w:rsidP="00E8320E">
            <w:pPr>
              <w:pStyle w:val="BHTexto"/>
              <w:rPr>
                <w:lang w:val="es-ES" w:eastAsia="es-AR"/>
              </w:rPr>
            </w:pPr>
            <w:r w:rsidRPr="00AE4E8D">
              <w:rPr>
                <w:lang w:val="es-ES" w:eastAsia="es-AR"/>
              </w:rPr>
              <w:t>El Banco podrá emitir Obligaciones Negociables en Dólares Estadounidenses o en Pesos, conforme el Banco así lo determine en el suplemento de precio aplicable.</w:t>
            </w:r>
          </w:p>
        </w:tc>
      </w:tr>
      <w:tr w:rsidR="005C363D" w:rsidRPr="00AE4E8D" w14:paraId="5DB3B1B6" w14:textId="77777777" w:rsidTr="000400C8">
        <w:trPr>
          <w:jc w:val="center"/>
        </w:trPr>
        <w:tc>
          <w:tcPr>
            <w:tcW w:w="1848" w:type="pct"/>
          </w:tcPr>
          <w:p w14:paraId="00460F29"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Vencimientos</w:t>
            </w:r>
            <w:r w:rsidRPr="00AE4E8D">
              <w:rPr>
                <w:rFonts w:ascii="Times New Roman" w:hAnsi="Times New Roman"/>
                <w:i/>
                <w:lang w:val="es-ES" w:eastAsia="es-AR"/>
              </w:rPr>
              <w:tab/>
            </w:r>
          </w:p>
        </w:tc>
        <w:tc>
          <w:tcPr>
            <w:tcW w:w="3152" w:type="pct"/>
            <w:gridSpan w:val="2"/>
          </w:tcPr>
          <w:p w14:paraId="1AC048C0" w14:textId="77777777" w:rsidR="005C363D" w:rsidRPr="00AE4E8D" w:rsidRDefault="005C363D" w:rsidP="00E8320E">
            <w:pPr>
              <w:pStyle w:val="BHTexto"/>
              <w:rPr>
                <w:lang w:val="es-ES" w:eastAsia="es-AR"/>
              </w:rPr>
            </w:pPr>
            <w:r w:rsidRPr="00AE4E8D">
              <w:rPr>
                <w:lang w:val="es-ES" w:eastAsia="es-AR"/>
              </w:rPr>
              <w:t xml:space="preserve">Las Obligaciones Negociables se emitirán conforme los plazos y vencimientos que el Banco determine en el suplemento de precio aplicable a cada Clase y/o Serie, todo ello, sujeto al cumplimiento </w:t>
            </w:r>
            <w:r w:rsidRPr="00AE4E8D">
              <w:rPr>
                <w:lang w:val="es-ES" w:eastAsia="es-AR"/>
              </w:rPr>
              <w:lastRenderedPageBreak/>
              <w:t>de los requisitos legales y regulatorios aplicables a cada momento. El vencimiento de las Obligaciones Negociables nunca podrá ser menor de 30 días, ni mayor a 30 años a partir de la fecha de emisión.</w:t>
            </w:r>
          </w:p>
        </w:tc>
      </w:tr>
      <w:tr w:rsidR="005C363D" w:rsidRPr="00AE4E8D" w14:paraId="25D7095A" w14:textId="77777777" w:rsidTr="000400C8">
        <w:trPr>
          <w:jc w:val="center"/>
        </w:trPr>
        <w:tc>
          <w:tcPr>
            <w:tcW w:w="1848" w:type="pct"/>
          </w:tcPr>
          <w:p w14:paraId="51B571AD"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lastRenderedPageBreak/>
              <w:t>Fecha de Emisión</w:t>
            </w:r>
            <w:r w:rsidRPr="00AE4E8D">
              <w:rPr>
                <w:rFonts w:ascii="Times New Roman" w:hAnsi="Times New Roman"/>
                <w:i/>
                <w:lang w:val="es-ES" w:eastAsia="es-AR"/>
              </w:rPr>
              <w:tab/>
            </w:r>
          </w:p>
        </w:tc>
        <w:tc>
          <w:tcPr>
            <w:tcW w:w="3152" w:type="pct"/>
            <w:gridSpan w:val="2"/>
          </w:tcPr>
          <w:p w14:paraId="38D6DC87" w14:textId="77777777" w:rsidR="005C363D" w:rsidRPr="00AE4E8D" w:rsidRDefault="005C363D" w:rsidP="00E8320E">
            <w:pPr>
              <w:pStyle w:val="BHTexto"/>
              <w:rPr>
                <w:lang w:val="es-ES" w:eastAsia="es-AR"/>
              </w:rPr>
            </w:pPr>
            <w:r w:rsidRPr="00AE4E8D">
              <w:rPr>
                <w:color w:val="000000"/>
                <w:lang w:val="es-ES"/>
              </w:rPr>
              <w:t xml:space="preserve">La Fecha de Emisión </w:t>
            </w:r>
            <w:r w:rsidRPr="00AE4E8D">
              <w:rPr>
                <w:lang w:val="es-ES"/>
              </w:rPr>
              <w:t>será la que se especifique en el suplemento de precio aplicable.</w:t>
            </w:r>
          </w:p>
        </w:tc>
      </w:tr>
      <w:tr w:rsidR="005C363D" w:rsidRPr="00AE4E8D" w14:paraId="530636ED" w14:textId="77777777" w:rsidTr="000400C8">
        <w:trPr>
          <w:jc w:val="center"/>
        </w:trPr>
        <w:tc>
          <w:tcPr>
            <w:tcW w:w="1848" w:type="pct"/>
          </w:tcPr>
          <w:p w14:paraId="458E8129"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Intereses</w:t>
            </w:r>
            <w:r w:rsidRPr="00AE4E8D">
              <w:rPr>
                <w:rFonts w:ascii="Times New Roman" w:hAnsi="Times New Roman"/>
                <w:i/>
                <w:lang w:val="es-ES" w:eastAsia="es-AR"/>
              </w:rPr>
              <w:tab/>
            </w:r>
          </w:p>
        </w:tc>
        <w:tc>
          <w:tcPr>
            <w:tcW w:w="3152" w:type="pct"/>
            <w:gridSpan w:val="2"/>
          </w:tcPr>
          <w:p w14:paraId="06FDD5F8" w14:textId="77777777" w:rsidR="005C363D" w:rsidRPr="00AE4E8D" w:rsidRDefault="005C363D" w:rsidP="00C936DD">
            <w:pPr>
              <w:pStyle w:val="BHTexto"/>
              <w:rPr>
                <w:lang w:val="es-ES" w:eastAsia="es-AR"/>
              </w:rPr>
            </w:pPr>
            <w:r w:rsidRPr="00AE4E8D">
              <w:rPr>
                <w:lang w:val="es-ES" w:eastAsia="es-AR"/>
              </w:rPr>
              <w:t>Las Obligaciones Negociables podrán devengar intereses a una tasa fija o con un margen por sobre o por debajo de una tasa variable en base a la LIBOR, las tasas del Tesoro de los Estados Unidos de América o cualquier otra tasa base, según el Banco detallará en el respectivo suplemento de precio y en base a lo permitido por las leyes y regulaciones aplicables argentinas, incluyendo sin limitación, la tasa de descuento de las LEBAC (según se define en “</w:t>
            </w:r>
            <w:r w:rsidRPr="00AE4E8D">
              <w:rPr>
                <w:i/>
                <w:lang w:val="es-ES" w:eastAsia="es-AR"/>
              </w:rPr>
              <w:t>Descripción de las Obligaciones Negociables</w:t>
            </w:r>
            <w:r w:rsidRPr="00AE4E8D">
              <w:rPr>
                <w:lang w:val="es-ES" w:eastAsia="es-AR"/>
              </w:rPr>
              <w:t>”), la tasa BADLAR (según se define en “</w:t>
            </w:r>
            <w:r w:rsidRPr="00AE4E8D">
              <w:rPr>
                <w:i/>
                <w:lang w:val="es-ES" w:eastAsia="es-AR"/>
              </w:rPr>
              <w:t>Descripción de las Obligaciones Negociables</w:t>
            </w:r>
            <w:r w:rsidRPr="00AE4E8D">
              <w:rPr>
                <w:lang w:val="es-ES" w:eastAsia="es-AR"/>
              </w:rPr>
              <w:t>”) y el Coeficiente de Estabilización de Referencia (“</w:t>
            </w:r>
            <w:r w:rsidRPr="00AE4E8D">
              <w:rPr>
                <w:u w:val="single"/>
                <w:lang w:val="es-ES" w:eastAsia="es-AR"/>
              </w:rPr>
              <w:t>CER</w:t>
            </w:r>
            <w:r w:rsidRPr="00AE4E8D">
              <w:rPr>
                <w:lang w:val="es-ES" w:eastAsia="es-AR"/>
              </w:rPr>
              <w:t>”). El Banco también podrá emitir Obligaciones Negociables que no devenguen intereses, según pudiera especificar el respectivo suplemento de precio.</w:t>
            </w:r>
          </w:p>
        </w:tc>
      </w:tr>
      <w:tr w:rsidR="005C363D" w:rsidRPr="00AE4E8D" w14:paraId="701C8FC4" w14:textId="77777777" w:rsidTr="000400C8">
        <w:trPr>
          <w:jc w:val="center"/>
        </w:trPr>
        <w:tc>
          <w:tcPr>
            <w:tcW w:w="1848" w:type="pct"/>
          </w:tcPr>
          <w:p w14:paraId="307605E7"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Rescate</w:t>
            </w:r>
            <w:r w:rsidRPr="00AE4E8D">
              <w:rPr>
                <w:rFonts w:ascii="Times New Roman" w:hAnsi="Times New Roman"/>
                <w:i/>
                <w:lang w:val="es-ES" w:eastAsia="es-AR"/>
              </w:rPr>
              <w:tab/>
            </w:r>
          </w:p>
        </w:tc>
        <w:tc>
          <w:tcPr>
            <w:tcW w:w="3152" w:type="pct"/>
            <w:gridSpan w:val="2"/>
          </w:tcPr>
          <w:p w14:paraId="3ACD46A9" w14:textId="77777777" w:rsidR="005C363D" w:rsidRPr="00AE4E8D" w:rsidRDefault="005C363D" w:rsidP="00E8320E">
            <w:pPr>
              <w:pStyle w:val="BHTexto"/>
              <w:rPr>
                <w:lang w:val="es-ES" w:eastAsia="es-AR"/>
              </w:rPr>
            </w:pPr>
            <w:r w:rsidRPr="00AE4E8D">
              <w:rPr>
                <w:lang w:val="es-ES" w:eastAsia="es-AR"/>
              </w:rPr>
              <w:t>El respectivo suplemento de precio podrá disponer que las Obligaciones Negociables de una Clase sean rescatadas en forma total o parcial (i) a opción del Banco; y/o (ii) a opción del tenedor, al precio o a los precios especificados en el suplemento de precio aplicable.</w:t>
            </w:r>
            <w:r w:rsidRPr="00AE4E8D">
              <w:rPr>
                <w:lang w:val="es-ES"/>
              </w:rPr>
              <w:t xml:space="preserve"> El rescate parcial será realizado a pro rata en bloque o de otra forma, sin perjuicio de lo cual, los respectivos suplementos de precio establecerán los procedimientos de rescate específicos de las obligaciones negociables que se emitan en particular, los cuales reemplazarán, complementarán y/o modificarán los presentes términos y condiciones generales, siempre con el debido resguardo del interés de los inversores. En todos los casos de rescate, se garantizará el trato igualitario entre los inversores. Asimismo se informa que toda notificación que el Banco realice a los tenedores, será efectuada a través de la Autopista de Información Financiera (“</w:t>
            </w:r>
            <w:r w:rsidRPr="00AE4E8D">
              <w:rPr>
                <w:u w:val="single"/>
                <w:lang w:val="es-ES"/>
              </w:rPr>
              <w:t>AIF</w:t>
            </w:r>
            <w:r w:rsidRPr="00AE4E8D">
              <w:rPr>
                <w:lang w:val="es-ES"/>
              </w:rPr>
              <w:t>”) de la CNV, como “Hecho Relevante”.</w:t>
            </w:r>
          </w:p>
        </w:tc>
      </w:tr>
      <w:tr w:rsidR="005C363D" w:rsidRPr="00AE4E8D" w14:paraId="47C9E11E" w14:textId="77777777" w:rsidTr="000400C8">
        <w:trPr>
          <w:jc w:val="center"/>
        </w:trPr>
        <w:tc>
          <w:tcPr>
            <w:tcW w:w="1848" w:type="pct"/>
          </w:tcPr>
          <w:p w14:paraId="12C45242" w14:textId="77777777" w:rsidR="005C363D" w:rsidRPr="00AE4E8D" w:rsidRDefault="005C363D" w:rsidP="00793898">
            <w:pPr>
              <w:widowControl w:val="0"/>
              <w:tabs>
                <w:tab w:val="left" w:leader="dot" w:pos="3004"/>
                <w:tab w:val="right" w:leader="dot" w:pos="5310"/>
              </w:tabs>
              <w:autoSpaceDE w:val="0"/>
              <w:autoSpaceDN w:val="0"/>
              <w:adjustRightInd w:val="0"/>
              <w:spacing w:before="120"/>
              <w:rPr>
                <w:rFonts w:ascii="Times New Roman" w:hAnsi="Times New Roman"/>
                <w:b/>
                <w:lang w:val="es-ES" w:eastAsia="es-AR"/>
              </w:rPr>
            </w:pPr>
            <w:r w:rsidRPr="00AE4E8D">
              <w:rPr>
                <w:rFonts w:ascii="Times New Roman" w:hAnsi="Times New Roman"/>
                <w:b/>
                <w:lang w:val="es-ES" w:eastAsia="es-AR"/>
              </w:rPr>
              <w:t>Rescate por Cuestiones</w:t>
            </w:r>
            <w:r w:rsidRPr="00AE4E8D">
              <w:rPr>
                <w:rFonts w:ascii="Times New Roman" w:hAnsi="Times New Roman"/>
                <w:i/>
                <w:lang w:val="es-ES" w:eastAsia="es-AR"/>
              </w:rPr>
              <w:tab/>
            </w:r>
          </w:p>
          <w:p w14:paraId="109471CA" w14:textId="77777777" w:rsidR="005C363D" w:rsidRPr="00AE4E8D" w:rsidRDefault="005C363D" w:rsidP="00793898">
            <w:pPr>
              <w:widowControl w:val="0"/>
              <w:tabs>
                <w:tab w:val="left" w:leader="dot" w:pos="3004"/>
                <w:tab w:val="right" w:leader="dot" w:pos="5310"/>
              </w:tabs>
              <w:autoSpaceDE w:val="0"/>
              <w:autoSpaceDN w:val="0"/>
              <w:adjustRightInd w:val="0"/>
              <w:spacing w:after="120"/>
              <w:rPr>
                <w:rFonts w:ascii="Times New Roman" w:hAnsi="Times New Roman"/>
                <w:b/>
                <w:lang w:val="es-ES"/>
              </w:rPr>
            </w:pPr>
            <w:r w:rsidRPr="00AE4E8D">
              <w:rPr>
                <w:rFonts w:ascii="Times New Roman" w:hAnsi="Times New Roman"/>
                <w:b/>
                <w:lang w:val="es-ES" w:eastAsia="es-AR"/>
              </w:rPr>
              <w:t>Impositivas</w:t>
            </w:r>
          </w:p>
        </w:tc>
        <w:tc>
          <w:tcPr>
            <w:tcW w:w="3152" w:type="pct"/>
            <w:gridSpan w:val="2"/>
          </w:tcPr>
          <w:p w14:paraId="29DE149F" w14:textId="77777777" w:rsidR="005C363D" w:rsidRPr="00AE4E8D" w:rsidRDefault="005C363D" w:rsidP="00E8320E">
            <w:pPr>
              <w:pStyle w:val="BHTexto"/>
              <w:rPr>
                <w:lang w:val="es-ES" w:eastAsia="es-AR"/>
              </w:rPr>
            </w:pPr>
            <w:r w:rsidRPr="00AE4E8D">
              <w:rPr>
                <w:lang w:val="es-ES"/>
              </w:rPr>
              <w:t xml:space="preserve">Las Obligaciones Negociables podrán ser rescatadas a opción del Banco en su totalidad, pero no en forma parcial, a un precio igual al 100% del valor nominal más intereses devengados e impagos en caso de ocurrir ciertos acontecimientos fiscales en Argentina. Véase </w:t>
            </w:r>
            <w:r w:rsidRPr="00AE4E8D">
              <w:rPr>
                <w:i/>
                <w:lang w:val="es-ES"/>
              </w:rPr>
              <w:t xml:space="preserve">“Descripción de las obligaciones negociables—Rescate y compra—Rescate por Cuestiones Impositivas”. </w:t>
            </w:r>
            <w:r w:rsidRPr="00AE4E8D">
              <w:rPr>
                <w:lang w:val="es-ES"/>
              </w:rPr>
              <w:t>En todos los casos de rescate, se garantizará el trato igualitario entre los inversores. Se informa que toda notificación que el Banco realice a los tenedores, será efectuada a través de la AIF de la CNV, como un “Hecho Relevante”.</w:t>
            </w:r>
          </w:p>
        </w:tc>
      </w:tr>
      <w:tr w:rsidR="005C363D" w:rsidRPr="00AE4E8D" w14:paraId="06385701" w14:textId="77777777" w:rsidTr="000400C8">
        <w:trPr>
          <w:jc w:val="center"/>
        </w:trPr>
        <w:tc>
          <w:tcPr>
            <w:tcW w:w="1848" w:type="pct"/>
          </w:tcPr>
          <w:p w14:paraId="26CE0F12"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Compromisos</w:t>
            </w:r>
            <w:r w:rsidRPr="00AE4E8D">
              <w:rPr>
                <w:rFonts w:ascii="Times New Roman" w:hAnsi="Times New Roman"/>
                <w:i/>
                <w:lang w:val="es-ES" w:eastAsia="es-AR"/>
              </w:rPr>
              <w:tab/>
            </w:r>
          </w:p>
        </w:tc>
        <w:tc>
          <w:tcPr>
            <w:tcW w:w="3152" w:type="pct"/>
            <w:gridSpan w:val="2"/>
          </w:tcPr>
          <w:p w14:paraId="4A24F0D7" w14:textId="77777777" w:rsidR="005C363D" w:rsidRPr="00AE4E8D" w:rsidRDefault="005C363D" w:rsidP="00E8320E">
            <w:pPr>
              <w:pStyle w:val="BHTexto"/>
              <w:rPr>
                <w:lang w:val="es-ES" w:eastAsia="es-AR"/>
              </w:rPr>
            </w:pPr>
            <w:r w:rsidRPr="00AE4E8D">
              <w:rPr>
                <w:lang w:val="es-ES" w:eastAsia="es-AR"/>
              </w:rPr>
              <w:t>El Banco podrá asumir compromisos en relación con una Clase y/o Serie de Obligaciones Negociables en particular a ser emitidas, las cuales se especificarán en el suplemento de precio aplicable a cada Clase y/o Serie.</w:t>
            </w:r>
          </w:p>
        </w:tc>
      </w:tr>
      <w:tr w:rsidR="005C363D" w:rsidRPr="00AE4E8D" w14:paraId="3A059E4E" w14:textId="77777777" w:rsidTr="000400C8">
        <w:trPr>
          <w:jc w:val="center"/>
        </w:trPr>
        <w:tc>
          <w:tcPr>
            <w:tcW w:w="1848" w:type="pct"/>
          </w:tcPr>
          <w:p w14:paraId="3A6E6E3F"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Destino de los Fondos</w:t>
            </w:r>
            <w:r w:rsidRPr="00AE4E8D">
              <w:rPr>
                <w:rFonts w:ascii="Times New Roman" w:hAnsi="Times New Roman"/>
                <w:i/>
                <w:lang w:val="es-ES"/>
              </w:rPr>
              <w:tab/>
            </w:r>
          </w:p>
        </w:tc>
        <w:tc>
          <w:tcPr>
            <w:tcW w:w="3152" w:type="pct"/>
            <w:gridSpan w:val="2"/>
          </w:tcPr>
          <w:p w14:paraId="39883929" w14:textId="77777777" w:rsidR="005C363D" w:rsidRPr="00AE4E8D" w:rsidRDefault="005C363D" w:rsidP="00E8320E">
            <w:pPr>
              <w:pStyle w:val="BHTexto"/>
              <w:rPr>
                <w:lang w:val="es-ES" w:eastAsia="es-AR"/>
              </w:rPr>
            </w:pPr>
            <w:r w:rsidRPr="00AE4E8D">
              <w:rPr>
                <w:lang w:val="es-ES" w:eastAsia="es-AR"/>
              </w:rPr>
              <w:t xml:space="preserve">El Banco empleará los fondos netos provenientes de la emisión de las Obligaciones Negociables en cumplimiento de los requisitos establecidos en el artículo 36 de la Ley de Obligaciones Negociables, la Comunicación “A” 3046, modificada y </w:t>
            </w:r>
            <w:r w:rsidRPr="00AE4E8D">
              <w:rPr>
                <w:lang w:val="es-ES" w:eastAsia="es-AR"/>
              </w:rPr>
              <w:lastRenderedPageBreak/>
              <w:t xml:space="preserve">complementada por la Comunicación “A” 5571 del BCRA y demás normativa aplicable conforme se especifique en el suplemento de precio pertinente emitido en relación con la Clase de Obligaciones Negociables respectiva. Bajo las leyes y reglamentaciones argentinas vigentes, el destino de los fondos está restringido a ciertos fines, entre ellos integración de capital de trabajo en la Argentina, la inversión en activos físicos ubicados en la Argentina, la refinanciación de deuda, aportes de capital en sociedades controladas o vinculadas, siempre que éstas últimas destinen los fondos de dicho aporte para los fines antes mencionados, o el otorgamiento de préstamos de acuerdo con las reglamentaciones del BCRA y a las Normas Contables del BCRA, y siempre que los fondos resultantes de dichos préstamos sean destinados a uno de los fines antes mencionados. Véase </w:t>
            </w:r>
            <w:r w:rsidRPr="00AE4E8D">
              <w:rPr>
                <w:i/>
                <w:lang w:val="es-ES" w:eastAsia="es-AR"/>
              </w:rPr>
              <w:t>“Razones para la Oferta y Destino de los Fondos”</w:t>
            </w:r>
            <w:r w:rsidRPr="00AE4E8D">
              <w:rPr>
                <w:lang w:val="es-ES" w:eastAsia="es-AR"/>
              </w:rPr>
              <w:t>.</w:t>
            </w:r>
          </w:p>
        </w:tc>
      </w:tr>
      <w:tr w:rsidR="005C363D" w:rsidRPr="00AE4E8D" w14:paraId="581C13A6" w14:textId="77777777" w:rsidTr="000400C8">
        <w:trPr>
          <w:jc w:val="center"/>
        </w:trPr>
        <w:tc>
          <w:tcPr>
            <w:tcW w:w="1848" w:type="pct"/>
          </w:tcPr>
          <w:p w14:paraId="0496E9F6" w14:textId="77777777" w:rsidR="005C363D" w:rsidRPr="00AE4E8D" w:rsidRDefault="005C363D" w:rsidP="00793898">
            <w:pPr>
              <w:widowControl w:val="0"/>
              <w:tabs>
                <w:tab w:val="left" w:leader="dot" w:pos="3004"/>
                <w:tab w:val="right" w:leader="dot" w:pos="5310"/>
              </w:tabs>
              <w:autoSpaceDE w:val="0"/>
              <w:autoSpaceDN w:val="0"/>
              <w:adjustRightInd w:val="0"/>
              <w:spacing w:before="120"/>
              <w:rPr>
                <w:rFonts w:ascii="Times New Roman" w:hAnsi="Times New Roman"/>
                <w:b/>
                <w:lang w:val="es-ES"/>
              </w:rPr>
            </w:pPr>
            <w:r w:rsidRPr="00AE4E8D">
              <w:rPr>
                <w:rFonts w:ascii="Times New Roman" w:hAnsi="Times New Roman"/>
                <w:b/>
                <w:lang w:val="es-ES"/>
              </w:rPr>
              <w:lastRenderedPageBreak/>
              <w:t>Retenciones Fiscales,</w:t>
            </w:r>
            <w:r w:rsidRPr="00AE4E8D">
              <w:rPr>
                <w:rFonts w:ascii="Times New Roman" w:hAnsi="Times New Roman"/>
                <w:i/>
                <w:lang w:val="es-ES" w:eastAsia="es-AR"/>
              </w:rPr>
              <w:tab/>
            </w:r>
          </w:p>
          <w:p w14:paraId="2C9A2AC1" w14:textId="77777777" w:rsidR="005C363D" w:rsidRPr="00AE4E8D" w:rsidRDefault="005C363D" w:rsidP="00793898">
            <w:pPr>
              <w:widowControl w:val="0"/>
              <w:tabs>
                <w:tab w:val="left" w:leader="dot" w:pos="3004"/>
                <w:tab w:val="right" w:leader="dot" w:pos="5310"/>
              </w:tabs>
              <w:autoSpaceDE w:val="0"/>
              <w:autoSpaceDN w:val="0"/>
              <w:adjustRightInd w:val="0"/>
              <w:rPr>
                <w:rFonts w:ascii="Times New Roman" w:hAnsi="Times New Roman"/>
                <w:b/>
                <w:lang w:val="es-ES"/>
              </w:rPr>
            </w:pPr>
            <w:r w:rsidRPr="00AE4E8D">
              <w:rPr>
                <w:rFonts w:ascii="Times New Roman" w:hAnsi="Times New Roman"/>
                <w:b/>
                <w:lang w:val="es-ES"/>
              </w:rPr>
              <w:t>Montos Adicionales</w:t>
            </w:r>
          </w:p>
        </w:tc>
        <w:tc>
          <w:tcPr>
            <w:tcW w:w="3152" w:type="pct"/>
            <w:gridSpan w:val="2"/>
          </w:tcPr>
          <w:p w14:paraId="31670448" w14:textId="77777777" w:rsidR="005C363D" w:rsidRPr="00AE4E8D" w:rsidRDefault="005C363D" w:rsidP="00E8320E">
            <w:pPr>
              <w:pStyle w:val="BHTexto"/>
              <w:rPr>
                <w:lang w:val="es-ES" w:eastAsia="es-AR"/>
              </w:rPr>
            </w:pPr>
            <w:r w:rsidRPr="00AE4E8D">
              <w:rPr>
                <w:lang w:val="es-ES"/>
              </w:rPr>
              <w:t xml:space="preserve">El Banco realizará los pagos respecto de las Obligaciones Negociables sin retención o deducción de impuestos u otras cargas públicas fijadas por Argentina, o cualquier subdivisión política o autoridad fiscal de tal jurisdicción. Si cualquier retención o deducción es requerida, sujeto a ciertas excepciones, pagará los Montos Adicionales necesarios para que los tenedores reciban el mismo monto que habrían recibido respecto de pagos sobre las obligaciones negociables de no haberse practicado tales retenciones o deducciones. Véase </w:t>
            </w:r>
            <w:r w:rsidRPr="00AE4E8D">
              <w:rPr>
                <w:i/>
                <w:lang w:val="es-ES"/>
              </w:rPr>
              <w:t>“Descripción de las Obligaciones Negociables—Montos Adicionales”.</w:t>
            </w:r>
          </w:p>
        </w:tc>
      </w:tr>
      <w:tr w:rsidR="005C363D" w:rsidRPr="00AE4E8D" w14:paraId="7D5BBFD1" w14:textId="77777777" w:rsidTr="000400C8">
        <w:trPr>
          <w:jc w:val="center"/>
        </w:trPr>
        <w:tc>
          <w:tcPr>
            <w:tcW w:w="1848" w:type="pct"/>
          </w:tcPr>
          <w:p w14:paraId="482AAACF"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Denominaciones</w:t>
            </w:r>
            <w:r w:rsidRPr="00AE4E8D">
              <w:rPr>
                <w:rFonts w:ascii="Times New Roman" w:hAnsi="Times New Roman"/>
                <w:i/>
                <w:lang w:val="es-ES" w:eastAsia="es-AR"/>
              </w:rPr>
              <w:tab/>
            </w:r>
          </w:p>
        </w:tc>
        <w:tc>
          <w:tcPr>
            <w:tcW w:w="3152" w:type="pct"/>
            <w:gridSpan w:val="2"/>
          </w:tcPr>
          <w:p w14:paraId="27E7A96F" w14:textId="77777777" w:rsidR="005C363D" w:rsidRPr="00AE4E8D" w:rsidRDefault="005C363D" w:rsidP="0079210E">
            <w:pPr>
              <w:pStyle w:val="BHTexto"/>
              <w:rPr>
                <w:lang w:val="es-ES" w:eastAsia="es-AR"/>
              </w:rPr>
            </w:pPr>
            <w:r w:rsidRPr="00AE4E8D">
              <w:rPr>
                <w:lang w:val="es-ES"/>
              </w:rPr>
              <w:t>Las Obligaciones Negociables que emitiremos ser</w:t>
            </w:r>
            <w:r w:rsidR="0079210E" w:rsidRPr="00AE4E8D">
              <w:rPr>
                <w:lang w:val="es-ES"/>
              </w:rPr>
              <w:t>á</w:t>
            </w:r>
            <w:r w:rsidRPr="00AE4E8D">
              <w:rPr>
                <w:lang w:val="es-ES"/>
              </w:rPr>
              <w:t>n en las denominaciones mínimas que se describan en el respectivo suplemento de precio. Se deja constancia que el Banco podrá adecuar el monto mínimo de las Obligaciones Negociables establecido por las normas del BCRA, mediante la Comunicación “A” 5841 y modificatorias, el cual actualmente es de Ps.1.000.000.</w:t>
            </w:r>
          </w:p>
        </w:tc>
      </w:tr>
      <w:tr w:rsidR="005C363D" w:rsidRPr="00AE4E8D" w14:paraId="62DAE70F" w14:textId="77777777" w:rsidTr="000400C8">
        <w:trPr>
          <w:jc w:val="center"/>
        </w:trPr>
        <w:tc>
          <w:tcPr>
            <w:tcW w:w="1848" w:type="pct"/>
          </w:tcPr>
          <w:p w14:paraId="43DAB37B" w14:textId="77777777" w:rsidR="005C363D" w:rsidRPr="00AE4E8D" w:rsidRDefault="005C363D" w:rsidP="00793898">
            <w:pPr>
              <w:widowControl w:val="0"/>
              <w:tabs>
                <w:tab w:val="left" w:leader="dot" w:pos="3004"/>
                <w:tab w:val="right" w:leader="dot" w:pos="5310"/>
              </w:tabs>
              <w:autoSpaceDE w:val="0"/>
              <w:autoSpaceDN w:val="0"/>
              <w:adjustRightInd w:val="0"/>
              <w:spacing w:before="120"/>
              <w:rPr>
                <w:rFonts w:ascii="Times New Roman" w:hAnsi="Times New Roman"/>
                <w:b/>
                <w:lang w:val="es-ES"/>
              </w:rPr>
            </w:pPr>
            <w:r w:rsidRPr="00AE4E8D">
              <w:rPr>
                <w:rFonts w:ascii="Times New Roman" w:hAnsi="Times New Roman"/>
                <w:b/>
                <w:lang w:val="es-ES"/>
              </w:rPr>
              <w:t>Forma</w:t>
            </w:r>
            <w:r w:rsidRPr="00AE4E8D">
              <w:rPr>
                <w:rFonts w:ascii="Times New Roman" w:hAnsi="Times New Roman"/>
                <w:i/>
                <w:lang w:val="es-ES"/>
              </w:rPr>
              <w:tab/>
            </w:r>
          </w:p>
        </w:tc>
        <w:tc>
          <w:tcPr>
            <w:tcW w:w="3152" w:type="pct"/>
            <w:gridSpan w:val="2"/>
          </w:tcPr>
          <w:p w14:paraId="38244795" w14:textId="77777777" w:rsidR="005C363D" w:rsidRPr="00AE4E8D" w:rsidRDefault="005C363D" w:rsidP="00E8320E">
            <w:pPr>
              <w:pStyle w:val="BHTexto"/>
              <w:rPr>
                <w:lang w:val="es-ES" w:eastAsia="es-AR"/>
              </w:rPr>
            </w:pPr>
            <w:r w:rsidRPr="00AE4E8D">
              <w:rPr>
                <w:lang w:val="es-ES" w:eastAsia="es-AR"/>
              </w:rPr>
              <w:t xml:space="preserve">A menos que las leyes aplicables permitan otra forma y así se indique en el respectivo suplemento de precio, las Obligaciones Negociables se emitirán en forma nominativa sin cupones de interés. A menos que las leyes aplicables permitan lo contrario, emitiremos Obligaciones Negociables en </w:t>
            </w:r>
            <w:proofErr w:type="gramStart"/>
            <w:r w:rsidRPr="00AE4E8D">
              <w:rPr>
                <w:lang w:val="es-ES" w:eastAsia="es-AR"/>
              </w:rPr>
              <w:t>forma nominativa o depositadas</w:t>
            </w:r>
            <w:proofErr w:type="gramEnd"/>
            <w:r w:rsidRPr="00AE4E8D">
              <w:rPr>
                <w:lang w:val="es-ES" w:eastAsia="es-AR"/>
              </w:rPr>
              <w:t xml:space="preserve"> en un custodio o sistema de compensación, no canjeables por Obligaciones Negociables al portador cartulares, según se determine en el respectivo suplemento de precio. Cualquier Obligación Negociable vendida en los Estados Unidos de América a </w:t>
            </w:r>
            <w:r w:rsidRPr="00AE4E8D">
              <w:rPr>
                <w:lang w:val="es-ES"/>
              </w:rPr>
              <w:t xml:space="preserve">Compradores Institucionales Calificados </w:t>
            </w:r>
            <w:r w:rsidRPr="00AE4E8D">
              <w:rPr>
                <w:lang w:val="es-ES" w:eastAsia="es-AR"/>
              </w:rPr>
              <w:t xml:space="preserve">en base a la Norma 144A, estará representada por una o más Obligaciones Negociables Globales bajo la Norma 144A. Cualquier Obligación Negociable vendida fuera de los Estados Unidos de América a personas no Estadounidenses en cumplimiento de la Reglamentación S serán representadas por una o más Obligaciones Negociables globales de la Reglamentación S. Véase </w:t>
            </w:r>
            <w:r w:rsidRPr="00AE4E8D">
              <w:rPr>
                <w:i/>
                <w:lang w:val="es-ES" w:eastAsia="es-AR"/>
              </w:rPr>
              <w:t>“Descripción de las Obligaciones Negociables—Forma y denominación”</w:t>
            </w:r>
            <w:r w:rsidRPr="00AE4E8D">
              <w:rPr>
                <w:lang w:val="es-ES" w:eastAsia="es-AR"/>
              </w:rPr>
              <w:t xml:space="preserve">. </w:t>
            </w:r>
          </w:p>
        </w:tc>
      </w:tr>
      <w:tr w:rsidR="005C363D" w:rsidRPr="00AE4E8D" w14:paraId="1A1C5EFB" w14:textId="77777777" w:rsidTr="000400C8">
        <w:trPr>
          <w:jc w:val="center"/>
        </w:trPr>
        <w:tc>
          <w:tcPr>
            <w:tcW w:w="1848" w:type="pct"/>
          </w:tcPr>
          <w:p w14:paraId="02DF12AE" w14:textId="77777777" w:rsidR="005C363D" w:rsidRPr="00AE4E8D" w:rsidRDefault="005C363D" w:rsidP="00793898">
            <w:pPr>
              <w:widowControl w:val="0"/>
              <w:tabs>
                <w:tab w:val="left" w:leader="dot" w:pos="3004"/>
                <w:tab w:val="right" w:leader="dot" w:pos="5310"/>
              </w:tabs>
              <w:autoSpaceDE w:val="0"/>
              <w:autoSpaceDN w:val="0"/>
              <w:adjustRightInd w:val="0"/>
              <w:spacing w:before="120"/>
              <w:rPr>
                <w:rFonts w:ascii="Times New Roman" w:hAnsi="Times New Roman"/>
                <w:b/>
                <w:lang w:val="es-ES"/>
              </w:rPr>
            </w:pPr>
            <w:r w:rsidRPr="00AE4E8D">
              <w:rPr>
                <w:rFonts w:ascii="Times New Roman" w:hAnsi="Times New Roman"/>
                <w:b/>
                <w:lang w:val="es-ES"/>
              </w:rPr>
              <w:t>Restricciones a la</w:t>
            </w:r>
            <w:r w:rsidRPr="00AE4E8D">
              <w:rPr>
                <w:rFonts w:ascii="Times New Roman" w:hAnsi="Times New Roman"/>
                <w:i/>
                <w:lang w:val="es-ES" w:eastAsia="es-AR"/>
              </w:rPr>
              <w:tab/>
            </w:r>
          </w:p>
          <w:p w14:paraId="42DC43B9" w14:textId="77777777" w:rsidR="005C363D" w:rsidRPr="00AE4E8D" w:rsidRDefault="005C363D" w:rsidP="00793898">
            <w:pPr>
              <w:widowControl w:val="0"/>
              <w:tabs>
                <w:tab w:val="left" w:leader="dot" w:pos="3004"/>
                <w:tab w:val="right" w:leader="dot" w:pos="5310"/>
              </w:tabs>
              <w:autoSpaceDE w:val="0"/>
              <w:autoSpaceDN w:val="0"/>
              <w:adjustRightInd w:val="0"/>
              <w:rPr>
                <w:rFonts w:ascii="Times New Roman" w:hAnsi="Times New Roman"/>
                <w:b/>
                <w:lang w:val="es-ES"/>
              </w:rPr>
            </w:pPr>
            <w:r w:rsidRPr="00AE4E8D">
              <w:rPr>
                <w:rFonts w:ascii="Times New Roman" w:hAnsi="Times New Roman"/>
                <w:b/>
                <w:lang w:val="es-ES"/>
              </w:rPr>
              <w:t>Venta</w:t>
            </w:r>
          </w:p>
        </w:tc>
        <w:tc>
          <w:tcPr>
            <w:tcW w:w="3152" w:type="pct"/>
            <w:gridSpan w:val="2"/>
          </w:tcPr>
          <w:p w14:paraId="171EF7FD" w14:textId="77777777" w:rsidR="005C363D" w:rsidRPr="00AE4E8D" w:rsidRDefault="005C363D" w:rsidP="00E8320E">
            <w:pPr>
              <w:pStyle w:val="BHTexto"/>
              <w:rPr>
                <w:lang w:val="es-ES"/>
              </w:rPr>
            </w:pPr>
            <w:r w:rsidRPr="00AE4E8D">
              <w:rPr>
                <w:lang w:val="es-ES" w:eastAsia="es-AR"/>
              </w:rPr>
              <w:t>Existen restricciones a la venta de Obligaciones Negociables y la distribución de este Prospecto, cualquier suplemento de precio y cualquier otro material de oferta. Véase “Suscripción y Venta” y “Restricciones a la Transferencia”. Las restricciones adicionales a la venta se describirán en el respectivo suplemento de precio, según corresponda.</w:t>
            </w:r>
          </w:p>
        </w:tc>
      </w:tr>
      <w:tr w:rsidR="005C363D" w:rsidRPr="00AE4E8D" w14:paraId="263254FF" w14:textId="77777777" w:rsidTr="000400C8">
        <w:trPr>
          <w:jc w:val="center"/>
        </w:trPr>
        <w:tc>
          <w:tcPr>
            <w:tcW w:w="1848" w:type="pct"/>
          </w:tcPr>
          <w:p w14:paraId="4D749441" w14:textId="77777777" w:rsidR="005C363D" w:rsidRPr="00AE4E8D" w:rsidRDefault="005C363D" w:rsidP="00793898">
            <w:pPr>
              <w:widowControl w:val="0"/>
              <w:tabs>
                <w:tab w:val="left" w:leader="dot" w:pos="3004"/>
                <w:tab w:val="right" w:leader="dot" w:pos="5310"/>
              </w:tabs>
              <w:autoSpaceDE w:val="0"/>
              <w:autoSpaceDN w:val="0"/>
              <w:adjustRightInd w:val="0"/>
              <w:spacing w:before="120"/>
              <w:rPr>
                <w:rFonts w:ascii="Times New Roman" w:hAnsi="Times New Roman"/>
                <w:b/>
                <w:lang w:val="es-ES"/>
              </w:rPr>
            </w:pPr>
            <w:r w:rsidRPr="00AE4E8D">
              <w:rPr>
                <w:rFonts w:ascii="Times New Roman" w:hAnsi="Times New Roman"/>
                <w:b/>
                <w:lang w:val="es-ES"/>
              </w:rPr>
              <w:lastRenderedPageBreak/>
              <w:t>Restricciones a la</w:t>
            </w:r>
            <w:r w:rsidRPr="00AE4E8D">
              <w:rPr>
                <w:rFonts w:ascii="Times New Roman" w:hAnsi="Times New Roman"/>
                <w:i/>
                <w:lang w:val="es-ES" w:eastAsia="es-AR"/>
              </w:rPr>
              <w:tab/>
            </w:r>
          </w:p>
          <w:p w14:paraId="0C686FFC" w14:textId="77777777" w:rsidR="005C363D" w:rsidRPr="00AE4E8D" w:rsidRDefault="005C363D" w:rsidP="00793898">
            <w:pPr>
              <w:widowControl w:val="0"/>
              <w:tabs>
                <w:tab w:val="left" w:leader="dot" w:pos="3004"/>
                <w:tab w:val="right" w:leader="dot" w:pos="5310"/>
              </w:tabs>
              <w:autoSpaceDE w:val="0"/>
              <w:autoSpaceDN w:val="0"/>
              <w:adjustRightInd w:val="0"/>
              <w:rPr>
                <w:rFonts w:ascii="Times New Roman" w:hAnsi="Times New Roman"/>
                <w:b/>
                <w:lang w:val="es-ES"/>
              </w:rPr>
            </w:pPr>
            <w:r w:rsidRPr="00AE4E8D">
              <w:rPr>
                <w:rFonts w:ascii="Times New Roman" w:hAnsi="Times New Roman"/>
                <w:b/>
                <w:lang w:val="es-ES"/>
              </w:rPr>
              <w:t>Transferencia</w:t>
            </w:r>
          </w:p>
        </w:tc>
        <w:tc>
          <w:tcPr>
            <w:tcW w:w="3152" w:type="pct"/>
            <w:gridSpan w:val="2"/>
          </w:tcPr>
          <w:p w14:paraId="1D9CDF61" w14:textId="77777777" w:rsidR="005C363D" w:rsidRPr="00AE4E8D" w:rsidRDefault="005C363D" w:rsidP="00E8320E">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eastAsia="es-AR"/>
              </w:rPr>
              <w:t xml:space="preserve">El Banco no ha registrado las Obligaciones Negociables en los términos de la Ley de Títulos Valores estadounidense, por lo que no podrán ser transferidas salvo en cumplimiento de ciertas restricciones a la transferencia. </w:t>
            </w:r>
          </w:p>
        </w:tc>
      </w:tr>
      <w:tr w:rsidR="005C363D" w:rsidRPr="00AE4E8D" w14:paraId="176D6BD6" w14:textId="77777777" w:rsidTr="000400C8">
        <w:trPr>
          <w:jc w:val="center"/>
        </w:trPr>
        <w:tc>
          <w:tcPr>
            <w:tcW w:w="1848" w:type="pct"/>
          </w:tcPr>
          <w:p w14:paraId="73F37C6C" w14:textId="77777777" w:rsidR="005C363D" w:rsidRPr="00AE4E8D" w:rsidRDefault="005C363D" w:rsidP="00793898">
            <w:pPr>
              <w:widowControl w:val="0"/>
              <w:tabs>
                <w:tab w:val="left" w:leader="dot" w:pos="3004"/>
                <w:tab w:val="right" w:leader="dot" w:pos="5310"/>
              </w:tabs>
              <w:autoSpaceDE w:val="0"/>
              <w:autoSpaceDN w:val="0"/>
              <w:adjustRightInd w:val="0"/>
              <w:spacing w:before="120"/>
              <w:rPr>
                <w:rFonts w:ascii="Times New Roman" w:hAnsi="Times New Roman"/>
                <w:b/>
                <w:lang w:val="es-ES"/>
              </w:rPr>
            </w:pPr>
            <w:r w:rsidRPr="00AE4E8D">
              <w:rPr>
                <w:rFonts w:ascii="Times New Roman" w:hAnsi="Times New Roman"/>
                <w:b/>
                <w:lang w:val="es-ES"/>
              </w:rPr>
              <w:t>Derechos de Registro</w:t>
            </w:r>
            <w:r w:rsidRPr="00AE4E8D">
              <w:rPr>
                <w:rFonts w:ascii="Times New Roman" w:hAnsi="Times New Roman"/>
                <w:i/>
                <w:lang w:val="es-ES" w:eastAsia="es-AR"/>
              </w:rPr>
              <w:tab/>
            </w:r>
          </w:p>
        </w:tc>
        <w:tc>
          <w:tcPr>
            <w:tcW w:w="3152" w:type="pct"/>
            <w:gridSpan w:val="2"/>
          </w:tcPr>
          <w:p w14:paraId="5EF92781" w14:textId="77777777" w:rsidR="005C363D" w:rsidRPr="00AE4E8D" w:rsidRDefault="005C363D" w:rsidP="00E8320E">
            <w:pPr>
              <w:pStyle w:val="BHTexto"/>
              <w:rPr>
                <w:lang w:val="es-ES" w:eastAsia="es-AR"/>
              </w:rPr>
            </w:pPr>
            <w:r w:rsidRPr="00AE4E8D">
              <w:rPr>
                <w:lang w:val="es-ES"/>
              </w:rPr>
              <w:t>De así especificarlo el respectivo suplemento de precio, el Banco podrá otorgar derechos de registro a los tenedores de una Clase de Obligaciones Negociables.</w:t>
            </w:r>
          </w:p>
        </w:tc>
      </w:tr>
      <w:tr w:rsidR="005C363D" w:rsidRPr="00AE4E8D" w14:paraId="36E46D30" w14:textId="77777777" w:rsidTr="000400C8">
        <w:trPr>
          <w:jc w:val="center"/>
        </w:trPr>
        <w:tc>
          <w:tcPr>
            <w:tcW w:w="1848" w:type="pct"/>
          </w:tcPr>
          <w:p w14:paraId="5BCEC0C4"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 xml:space="preserve">Listado y Negociación </w:t>
            </w:r>
            <w:r w:rsidRPr="00AE4E8D">
              <w:rPr>
                <w:rFonts w:ascii="Times New Roman" w:hAnsi="Times New Roman"/>
                <w:i/>
                <w:lang w:val="es-ES" w:eastAsia="es-AR"/>
              </w:rPr>
              <w:tab/>
            </w:r>
          </w:p>
        </w:tc>
        <w:tc>
          <w:tcPr>
            <w:tcW w:w="3152" w:type="pct"/>
            <w:gridSpan w:val="2"/>
          </w:tcPr>
          <w:p w14:paraId="25C5F8BF" w14:textId="77777777" w:rsidR="005C363D" w:rsidRPr="00AE4E8D" w:rsidRDefault="005C363D" w:rsidP="00176047">
            <w:pPr>
              <w:pStyle w:val="BHTexto"/>
              <w:rPr>
                <w:lang w:val="es-ES"/>
              </w:rPr>
            </w:pPr>
            <w:r w:rsidRPr="00AE4E8D">
              <w:rPr>
                <w:lang w:val="es-ES"/>
              </w:rPr>
              <w:t>Las Obligaciones Negociables de una clase, serán listadas en uno o más mercados autorizados por la CNV. A tal fin, podremos solicitar que las Obligaciones Negociables de una clase sean admitidas para su listado en la Bolsa de Valores de Luxemburgo para su negociación en el mercado Euro MTF y para que sean listadas en BYMA, así como en cualquier otro mercado autorizado del país o del exterior. Sin embargo, no podremos asegurar que est</w:t>
            </w:r>
            <w:r w:rsidR="00176047" w:rsidRPr="00AE4E8D">
              <w:rPr>
                <w:lang w:val="es-ES"/>
              </w:rPr>
              <w:t>a</w:t>
            </w:r>
            <w:r w:rsidRPr="00AE4E8D">
              <w:rPr>
                <w:lang w:val="es-ES"/>
              </w:rPr>
              <w:t>s solicitudes, aun realizadas, sean aprobadas. Adicionalmente podremos emitir, en el marco de este Programa, Obligaciones Negociables que no sean listadas en ningún mercado autorizado y el suplemento de precio correspondiente a una clase especificará si las Obligaciones Negociables de esa clase serán listadas en cualquier otro mercado de valores autorizado.</w:t>
            </w:r>
          </w:p>
        </w:tc>
      </w:tr>
      <w:tr w:rsidR="005C363D" w:rsidRPr="00AE4E8D" w14:paraId="3284B034" w14:textId="77777777" w:rsidTr="000400C8">
        <w:trPr>
          <w:jc w:val="center"/>
        </w:trPr>
        <w:tc>
          <w:tcPr>
            <w:tcW w:w="1848" w:type="pct"/>
          </w:tcPr>
          <w:p w14:paraId="743D8DF2"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Acción Ejecutiva</w:t>
            </w:r>
            <w:r w:rsidRPr="00AE4E8D">
              <w:rPr>
                <w:rFonts w:ascii="Times New Roman" w:hAnsi="Times New Roman"/>
                <w:i/>
                <w:lang w:val="es-ES" w:eastAsia="es-AR"/>
              </w:rPr>
              <w:tab/>
            </w:r>
          </w:p>
        </w:tc>
        <w:tc>
          <w:tcPr>
            <w:tcW w:w="3152" w:type="pct"/>
            <w:gridSpan w:val="2"/>
          </w:tcPr>
          <w:p w14:paraId="787B7000" w14:textId="77777777" w:rsidR="005C363D" w:rsidRPr="00AE4E8D" w:rsidRDefault="005C363D" w:rsidP="002A5A31">
            <w:pPr>
              <w:pStyle w:val="BHTexto"/>
              <w:rPr>
                <w:lang w:val="es-ES" w:eastAsia="es-AR"/>
              </w:rPr>
            </w:pPr>
            <w:r w:rsidRPr="00AE4E8D">
              <w:rPr>
                <w:lang w:val="es-ES" w:eastAsia="es-AR"/>
              </w:rPr>
              <w:t xml:space="preserve">De conformidad con el artículo 29 de la Ley de Obligaciones Negociables, los títulos que revisten el carácter de obligaciones negociables otorgan a sus titulares el derecho de iniciar acción ejecutiva: por lo tanto, de acuerdo con el Artículo 129 de la Ley de Mercado de Capitales, cualquier depositario de las Obligaciones Negociables se </w:t>
            </w:r>
            <w:r w:rsidR="002A5A31" w:rsidRPr="00AE4E8D">
              <w:rPr>
                <w:lang w:val="es-ES" w:eastAsia="es-AR"/>
              </w:rPr>
              <w:t>encontrará</w:t>
            </w:r>
            <w:r w:rsidRPr="00AE4E8D">
              <w:rPr>
                <w:lang w:val="es-ES" w:eastAsia="es-AR"/>
              </w:rPr>
              <w:t xml:space="preserve"> habilitado para expedir certificados respecto de las Obligaciones Negociables representadas por títulos globales, a favor de cualquier titular beneficiario. Estos certificados habilitan a sus titulares beneficiarios a demandar judicialmente ante cualquier tribunal competente en la Argentina, incluyendo la vía ejecutiva, con el fin de obtener cualquier suma adeudada y en circulación bajo las Obligaciones Negociables.</w:t>
            </w:r>
          </w:p>
        </w:tc>
      </w:tr>
      <w:tr w:rsidR="005C363D" w:rsidRPr="00AE4E8D" w14:paraId="158FB682" w14:textId="77777777" w:rsidTr="000400C8">
        <w:trPr>
          <w:jc w:val="center"/>
        </w:trPr>
        <w:tc>
          <w:tcPr>
            <w:tcW w:w="1848" w:type="pct"/>
          </w:tcPr>
          <w:p w14:paraId="27688CA4"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Ley Aplicable</w:t>
            </w:r>
            <w:r w:rsidRPr="00AE4E8D">
              <w:rPr>
                <w:rFonts w:ascii="Times New Roman" w:hAnsi="Times New Roman"/>
                <w:i/>
                <w:lang w:val="es-ES" w:eastAsia="es-AR"/>
              </w:rPr>
              <w:tab/>
            </w:r>
          </w:p>
        </w:tc>
        <w:tc>
          <w:tcPr>
            <w:tcW w:w="3152" w:type="pct"/>
            <w:gridSpan w:val="2"/>
          </w:tcPr>
          <w:p w14:paraId="70E82992" w14:textId="77777777" w:rsidR="005C363D" w:rsidRPr="00AE4E8D" w:rsidRDefault="005C363D" w:rsidP="00E8320E">
            <w:pPr>
              <w:pStyle w:val="BHTexto"/>
              <w:rPr>
                <w:lang w:val="es-ES" w:eastAsia="es-AR"/>
              </w:rPr>
            </w:pPr>
            <w:r w:rsidRPr="00AE4E8D">
              <w:rPr>
                <w:lang w:val="es-ES" w:eastAsia="es-AR"/>
              </w:rPr>
              <w:t>La Ley de Obligaciones Negociables establece los requisitos para que las Obligaciones Negociables revistan tal carácter, y dicha ley, junto con la Ley General de Sociedades Argentina y modificatorias, y demás leyes y reglamentaciones argentinas regirán nuestra capacidad y autoridad societaria para emitir y entregar las Obligaciones Negociables, y la autorización de la CNV para la creación del Programa y la oferta de las Obligaciones Negociables en Argentina. Todas las demás cuestiones relacionadas con los términos y condiciones del Programa y las Obligaciones Negociables se rigen y se regirán, de ser aplicable, por y deberán ser interpretadas de conformidad con, las leyes de la Argentina. Sin embargo, las cuestiones relacionadas con las Obligaciones Negociables se regirán por las leyes del Estado de Nueva York o por las leyes argentinas o por las leyes de cualquier otra jurisdicción, si así se especificara en el suplemento de precio correspondiente y, en ese caso, deberán ser interpretadas de conformidad con las mismas.</w:t>
            </w:r>
          </w:p>
        </w:tc>
      </w:tr>
      <w:tr w:rsidR="005C363D" w:rsidRPr="00AE4E8D" w14:paraId="1BA32A20" w14:textId="77777777" w:rsidTr="000400C8">
        <w:trPr>
          <w:jc w:val="center"/>
        </w:trPr>
        <w:tc>
          <w:tcPr>
            <w:tcW w:w="1848" w:type="pct"/>
          </w:tcPr>
          <w:p w14:paraId="4559656E"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Jurisdicción</w:t>
            </w:r>
            <w:r w:rsidRPr="00AE4E8D">
              <w:rPr>
                <w:rFonts w:ascii="Times New Roman" w:hAnsi="Times New Roman"/>
                <w:i/>
                <w:lang w:val="es-ES" w:eastAsia="es-AR"/>
              </w:rPr>
              <w:tab/>
            </w:r>
          </w:p>
        </w:tc>
        <w:tc>
          <w:tcPr>
            <w:tcW w:w="3152" w:type="pct"/>
            <w:gridSpan w:val="2"/>
          </w:tcPr>
          <w:p w14:paraId="1194FC63" w14:textId="77777777" w:rsidR="005C363D" w:rsidRPr="00AE4E8D" w:rsidRDefault="005C363D" w:rsidP="00E8320E">
            <w:pPr>
              <w:pStyle w:val="BHTexto"/>
              <w:rPr>
                <w:lang w:val="es-ES" w:eastAsia="es-AR"/>
              </w:rPr>
            </w:pPr>
            <w:r w:rsidRPr="00AE4E8D">
              <w:rPr>
                <w:lang w:val="es-ES" w:eastAsia="es-ES"/>
              </w:rPr>
              <w:t xml:space="preserve">En caso que las Obligaciones Negociables se listen en BYMA, el Banco se someterá irrevocablemente a la jurisdicción del Tribunal de Arbitraje General de la Bolsa de Comercio de Buenos Aires (en ejercicio de las facultades delegadas por ByMA a la BCBA en </w:t>
            </w:r>
            <w:r w:rsidRPr="00AE4E8D">
              <w:rPr>
                <w:lang w:val="es-ES" w:eastAsia="es-ES"/>
              </w:rPr>
              <w:lastRenderedPageBreak/>
              <w:t>virtud de la Resolución Nº18.629) en sus relaciones con los tenedores de las Obligaciones Negociables, todo ello es en virtud de la delegación de facultades otorgadas por el Mercado de Valores S.A. a la BCBA en materia de constitución de Tribunales Arbitrales, de conformidad con lo dispuesto en la Resolución Nº 17.501 de la CNV. Sin perjuicio de ello, de conformidad con el Artículo 46 de la Ley de Mercado de Capitales, los tenedores podrán someter sus controversias en relación con las Obligaciones Negociables a la jurisdicción no exclusiva del Tribunal Arbitral de la BCBA o el que se cree en el futuro de conformidad con el artículo 46 de la Ley de Mercado de Capitales o bien a la de los tribunales judiciales en lo comercial ubicados en la Ciudad Autónoma de Buenos Aires, a opción exclusiva del tenedor en cuestión. A su vez, en los casos en que las normas vigentes establezcan la acumulación de acciones entabladas con idéntica finalidad ante un solo tribunal, la acumulación se efectuará ante el tribunal judicial. Sin perjuicio de ello, el Banco se someterá irrevocablemente a la jurisdicción no exclusiva de los tribunales judiciales competentes con asiento en la Ciudad Autónoma de Buenos Aires, incluidos los juzgados de primera instancia en lo comercial, o si fuese el caso, a cualquier tribunal que se indique en el correspondiente Suplemento de Precio en conexión con dicha acción.</w:t>
            </w:r>
          </w:p>
        </w:tc>
      </w:tr>
      <w:tr w:rsidR="005C363D" w:rsidRPr="00AE4E8D" w14:paraId="4F8666C5" w14:textId="77777777" w:rsidTr="000400C8">
        <w:trPr>
          <w:jc w:val="center"/>
        </w:trPr>
        <w:tc>
          <w:tcPr>
            <w:tcW w:w="1848" w:type="pct"/>
          </w:tcPr>
          <w:p w14:paraId="5D93BE07"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lastRenderedPageBreak/>
              <w:t>Sistemas de Compensación</w:t>
            </w:r>
            <w:r w:rsidRPr="00AE4E8D">
              <w:rPr>
                <w:rFonts w:ascii="Times New Roman" w:hAnsi="Times New Roman"/>
                <w:i/>
                <w:lang w:val="es-ES" w:eastAsia="es-AR"/>
              </w:rPr>
              <w:tab/>
            </w:r>
          </w:p>
        </w:tc>
        <w:tc>
          <w:tcPr>
            <w:tcW w:w="3152" w:type="pct"/>
            <w:gridSpan w:val="2"/>
          </w:tcPr>
          <w:p w14:paraId="07EDF96C" w14:textId="77777777" w:rsidR="005C363D" w:rsidRPr="00AE4E8D" w:rsidRDefault="005C363D" w:rsidP="00E8320E">
            <w:pPr>
              <w:pStyle w:val="BHTexto"/>
              <w:rPr>
                <w:lang w:val="es-ES" w:eastAsia="es-AR"/>
              </w:rPr>
            </w:pPr>
            <w:r w:rsidRPr="00AE4E8D">
              <w:rPr>
                <w:lang w:val="es-ES" w:eastAsia="es-AR"/>
              </w:rPr>
              <w:t>Se indicarán en el respectivo suplemento de precio de cada Clase en caso de ser aplicable.</w:t>
            </w:r>
          </w:p>
        </w:tc>
      </w:tr>
      <w:tr w:rsidR="005C363D" w:rsidRPr="00AE4E8D" w14:paraId="305AFD32" w14:textId="77777777" w:rsidTr="000400C8">
        <w:trPr>
          <w:jc w:val="center"/>
        </w:trPr>
        <w:tc>
          <w:tcPr>
            <w:tcW w:w="1848" w:type="pct"/>
          </w:tcPr>
          <w:p w14:paraId="722178CB"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Fiduciarios y Agentes</w:t>
            </w:r>
            <w:r w:rsidRPr="00AE4E8D">
              <w:rPr>
                <w:rFonts w:ascii="Times New Roman" w:hAnsi="Times New Roman"/>
                <w:i/>
                <w:lang w:val="es-ES" w:eastAsia="es-AR"/>
              </w:rPr>
              <w:tab/>
            </w:r>
          </w:p>
        </w:tc>
        <w:tc>
          <w:tcPr>
            <w:tcW w:w="3152" w:type="pct"/>
            <w:gridSpan w:val="2"/>
          </w:tcPr>
          <w:p w14:paraId="0923ECCD" w14:textId="77777777" w:rsidR="005C363D" w:rsidRPr="00AE4E8D" w:rsidRDefault="005C363D" w:rsidP="00E8320E">
            <w:pPr>
              <w:pStyle w:val="BHTexto"/>
              <w:rPr>
                <w:lang w:val="es-ES" w:eastAsia="es-AR"/>
              </w:rPr>
            </w:pPr>
            <w:r w:rsidRPr="00AE4E8D">
              <w:rPr>
                <w:lang w:val="es-ES" w:eastAsia="es-AR"/>
              </w:rPr>
              <w:t xml:space="preserve">Las Obligaciones Negociables podrán ser emitidas en el marco de contratos de fideicomiso y/o de contratos de agencia. Tales fiduciarios y/o agentes desempeñarán funciones solamente respecto de las Clases de Obligaciones Negociables que se especifiquen en el respectivo suplemento de precio y tendrán los derechos y obligaciones que allí se indiquen. </w:t>
            </w:r>
          </w:p>
          <w:p w14:paraId="42401B10" w14:textId="77777777" w:rsidR="005C363D" w:rsidRPr="00AE4E8D" w:rsidRDefault="005C363D" w:rsidP="00E8320E">
            <w:pPr>
              <w:pStyle w:val="BHTexto"/>
              <w:rPr>
                <w:b/>
                <w:bCs/>
                <w:lang w:val="es-ES" w:eastAsia="es-AR"/>
              </w:rPr>
            </w:pPr>
            <w:r w:rsidRPr="00AE4E8D">
              <w:rPr>
                <w:lang w:val="es-ES" w:eastAsia="es-AR"/>
              </w:rPr>
              <w:t>La designación de fiduciarios y agentes se detallará en el suplemento de precio aplicable.</w:t>
            </w:r>
          </w:p>
        </w:tc>
      </w:tr>
      <w:tr w:rsidR="005C363D" w:rsidRPr="00AE4E8D" w14:paraId="5296FD9E" w14:textId="77777777" w:rsidTr="000400C8">
        <w:trPr>
          <w:gridAfter w:val="1"/>
          <w:wAfter w:w="6" w:type="pct"/>
          <w:jc w:val="center"/>
        </w:trPr>
        <w:tc>
          <w:tcPr>
            <w:tcW w:w="1848" w:type="pct"/>
          </w:tcPr>
          <w:p w14:paraId="2DB02C79" w14:textId="77777777" w:rsidR="005C363D" w:rsidRPr="00AE4E8D" w:rsidRDefault="005C363D" w:rsidP="00793898">
            <w:pPr>
              <w:widowControl w:val="0"/>
              <w:tabs>
                <w:tab w:val="left" w:leader="dot" w:pos="3004"/>
                <w:tab w:val="right" w:leader="dot" w:pos="5310"/>
              </w:tabs>
              <w:autoSpaceDE w:val="0"/>
              <w:autoSpaceDN w:val="0"/>
              <w:adjustRightInd w:val="0"/>
              <w:spacing w:before="120" w:after="120"/>
              <w:rPr>
                <w:rFonts w:ascii="Times New Roman" w:hAnsi="Times New Roman"/>
                <w:b/>
                <w:lang w:val="es-ES"/>
              </w:rPr>
            </w:pPr>
            <w:r w:rsidRPr="00AE4E8D">
              <w:rPr>
                <w:rFonts w:ascii="Times New Roman" w:hAnsi="Times New Roman"/>
                <w:b/>
                <w:lang w:val="es-ES"/>
              </w:rPr>
              <w:t>Factores de Riesgo</w:t>
            </w:r>
            <w:r w:rsidRPr="00AE4E8D">
              <w:rPr>
                <w:rFonts w:ascii="Times New Roman" w:hAnsi="Times New Roman"/>
                <w:i/>
                <w:lang w:val="es-ES" w:eastAsia="es-AR"/>
              </w:rPr>
              <w:tab/>
            </w:r>
          </w:p>
        </w:tc>
        <w:tc>
          <w:tcPr>
            <w:tcW w:w="3146" w:type="pct"/>
          </w:tcPr>
          <w:p w14:paraId="5AA6F878" w14:textId="77777777" w:rsidR="005C363D" w:rsidRPr="00AE4E8D" w:rsidRDefault="005C363D" w:rsidP="00E8320E">
            <w:pPr>
              <w:pStyle w:val="BHTexto"/>
              <w:rPr>
                <w:lang w:val="es-ES" w:eastAsia="es-AR"/>
              </w:rPr>
            </w:pPr>
            <w:r w:rsidRPr="00AE4E8D">
              <w:rPr>
                <w:lang w:val="es-ES" w:eastAsia="es-AR"/>
              </w:rPr>
              <w:t xml:space="preserve">Véase </w:t>
            </w:r>
            <w:r w:rsidRPr="00AE4E8D">
              <w:rPr>
                <w:i/>
                <w:lang w:val="es-ES" w:eastAsia="es-AR"/>
              </w:rPr>
              <w:t>“Factores de Riesgo”</w:t>
            </w:r>
            <w:r w:rsidRPr="00AE4E8D">
              <w:rPr>
                <w:lang w:val="es-ES" w:eastAsia="es-AR"/>
              </w:rPr>
              <w:t xml:space="preserve"> a partir de la página </w:t>
            </w:r>
            <w:r w:rsidRPr="00AE4E8D">
              <w:rPr>
                <w:lang w:val="es-ES" w:eastAsia="es-AR"/>
              </w:rPr>
              <w:fldChar w:fldCharType="begin"/>
            </w:r>
            <w:r w:rsidRPr="00AE4E8D">
              <w:rPr>
                <w:lang w:val="es-ES" w:eastAsia="es-AR"/>
              </w:rPr>
              <w:instrText xml:space="preserve"> PAGEREF RF </w:instrText>
            </w:r>
            <w:r w:rsidRPr="00AE4E8D">
              <w:rPr>
                <w:lang w:val="es-ES" w:eastAsia="es-AR"/>
              </w:rPr>
              <w:fldChar w:fldCharType="separate"/>
            </w:r>
            <w:r w:rsidR="002A450F">
              <w:rPr>
                <w:noProof/>
                <w:lang w:val="es-ES" w:eastAsia="es-AR"/>
              </w:rPr>
              <w:t>26</w:t>
            </w:r>
            <w:r w:rsidRPr="00AE4E8D">
              <w:rPr>
                <w:lang w:val="es-ES" w:eastAsia="es-AR"/>
              </w:rPr>
              <w:fldChar w:fldCharType="end"/>
            </w:r>
            <w:r w:rsidRPr="00AE4E8D">
              <w:rPr>
                <w:lang w:val="es-ES" w:eastAsia="es-AR"/>
              </w:rPr>
              <w:t xml:space="preserve"> del presente Prospecto y la sección similar aplicable del suplemento de precio, para obtener una descripción de los principales riesgos involucrados de una inversión en las Obligaciones Negociables. </w:t>
            </w:r>
          </w:p>
        </w:tc>
      </w:tr>
    </w:tbl>
    <w:p w14:paraId="058C7111" w14:textId="77777777" w:rsidR="005C363D" w:rsidRPr="00AE4E8D" w:rsidRDefault="005C363D" w:rsidP="005C363D">
      <w:pPr>
        <w:pStyle w:val="BH1Centro"/>
        <w:rPr>
          <w:rFonts w:ascii="Times New Roman" w:hAnsi="Times New Roman"/>
          <w:lang w:val="es-ES"/>
        </w:rPr>
      </w:pPr>
      <w:r w:rsidRPr="00AE4E8D">
        <w:rPr>
          <w:rFonts w:ascii="Times New Roman" w:hAnsi="Times New Roman"/>
          <w:lang w:val="es-ES"/>
        </w:rPr>
        <w:br w:type="page"/>
      </w:r>
      <w:bookmarkStart w:id="124" w:name="_Toc495972976"/>
      <w:bookmarkStart w:id="125" w:name="_Toc495399883"/>
      <w:r w:rsidRPr="00AE4E8D">
        <w:rPr>
          <w:rFonts w:ascii="Times New Roman" w:hAnsi="Times New Roman"/>
          <w:lang w:val="es-ES"/>
        </w:rPr>
        <w:lastRenderedPageBreak/>
        <w:t>INFORMACIÓN CLAVE SOBRE LA EMISORA</w:t>
      </w:r>
      <w:bookmarkEnd w:id="124"/>
      <w:bookmarkEnd w:id="125"/>
    </w:p>
    <w:p w14:paraId="77DA4468" w14:textId="77777777" w:rsidR="005C363D" w:rsidRPr="00AE4E8D" w:rsidRDefault="005C363D" w:rsidP="005C363D">
      <w:pPr>
        <w:pStyle w:val="BH2Izquierda"/>
        <w:rPr>
          <w:lang w:val="es-ES"/>
        </w:rPr>
      </w:pPr>
      <w:bookmarkStart w:id="126" w:name="_Toc495972977"/>
      <w:bookmarkStart w:id="127" w:name="_Toc495399884"/>
      <w:r w:rsidRPr="00AE4E8D">
        <w:rPr>
          <w:lang w:val="es-ES"/>
        </w:rPr>
        <w:t>a) Información Contable y Financiera</w:t>
      </w:r>
      <w:bookmarkEnd w:id="126"/>
      <w:bookmarkEnd w:id="127"/>
    </w:p>
    <w:p w14:paraId="0B7F4292" w14:textId="77777777" w:rsidR="005C363D" w:rsidRPr="00AE4E8D" w:rsidRDefault="005C363D" w:rsidP="005C363D">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Los siguientes cuadros presentan nuestra información contable y de otra índole consolidada seleccionada y por los ejercicios finalizados el 31 de diciembre de 2012, 2013, 2014, 2015 y 2016 y a dichas fechas y para los períodos de seis meses finalizados al 30 de junio de 2016 y 2017 y a dichas fechas. Esta información debe leerse junto con, y está condicionada en su totalidad por referencia a, los estados contables incluidos en este Prospecto y en las secciones tituladas </w:t>
      </w:r>
      <w:r w:rsidRPr="00AE4E8D">
        <w:rPr>
          <w:rFonts w:ascii="Times New Roman" w:hAnsi="Times New Roman"/>
          <w:i/>
          <w:lang w:val="es-ES" w:eastAsia="es-AR"/>
        </w:rPr>
        <w:t>“Reseña y Perspectiva Operativa Financiera"</w:t>
      </w:r>
      <w:r w:rsidRPr="00AE4E8D">
        <w:rPr>
          <w:rFonts w:ascii="Times New Roman" w:hAnsi="Times New Roman"/>
          <w:lang w:val="es-ES" w:eastAsia="es-AR"/>
        </w:rPr>
        <w:t xml:space="preserve"> e </w:t>
      </w:r>
      <w:r w:rsidRPr="00AE4E8D">
        <w:rPr>
          <w:rFonts w:ascii="Times New Roman" w:hAnsi="Times New Roman"/>
          <w:i/>
          <w:lang w:val="es-ES" w:eastAsia="es-AR"/>
        </w:rPr>
        <w:t>“Información Estadística Seleccionada”</w:t>
      </w:r>
      <w:r w:rsidRPr="00AE4E8D">
        <w:rPr>
          <w:rFonts w:ascii="Times New Roman" w:hAnsi="Times New Roman"/>
          <w:lang w:val="es-ES" w:eastAsia="es-AR"/>
        </w:rPr>
        <w:t xml:space="preserve">. </w:t>
      </w:r>
    </w:p>
    <w:p w14:paraId="2C298706" w14:textId="77777777" w:rsidR="005C363D" w:rsidRPr="00AE4E8D" w:rsidRDefault="005C363D" w:rsidP="005C363D">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La información contable consolidada seleccionada al 31 de diciembre de 2014, 2015 y 2016, y para cada uno de los ejercicios finalizados el 31 de diciembre de 2014, 2015 y 2016 deriva de nuestros estados contables consolidados incluidos en este Prospecto, que han sido auditados por Price Waterhouse &amp; Co. S.R.L. El informe de Price Waterhouse &amp; Co. S.R.L. sobre nuestros estados contables consolidados auditados se incluye en otra sección de este Prospecto. </w:t>
      </w:r>
      <w:r w:rsidRPr="00AE4E8D">
        <w:rPr>
          <w:rFonts w:ascii="Times New Roman" w:hAnsi="Times New Roman"/>
          <w:lang w:val="es-ES"/>
        </w:rPr>
        <w:t>El resumen de la información contable consolidada al 31 de diciembre de 2012 y 2013 y para el ejercicio finalizado el 31 de diciembre de 2012 y 2013 deriva de los estados contables consolidados auditados que no se incluyen en este Prospecto.</w:t>
      </w:r>
      <w:r w:rsidRPr="00AE4E8D">
        <w:rPr>
          <w:rFonts w:ascii="Times New Roman" w:hAnsi="Times New Roman"/>
          <w:lang w:val="es-ES" w:eastAsia="es-AR"/>
        </w:rPr>
        <w:t xml:space="preserve"> </w:t>
      </w:r>
    </w:p>
    <w:p w14:paraId="502DBC8F" w14:textId="77777777" w:rsidR="005C363D" w:rsidRPr="00AE4E8D" w:rsidRDefault="005C363D" w:rsidP="005C363D">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La información contable consolidada a partir de y para los </w:t>
      </w:r>
      <w:r w:rsidRPr="00AE4E8D">
        <w:rPr>
          <w:rFonts w:ascii="Times New Roman" w:hAnsi="Times New Roman"/>
          <w:lang w:val="es-ES" w:eastAsia="es-AR"/>
        </w:rPr>
        <w:t xml:space="preserve">períodos de </w:t>
      </w:r>
      <w:r w:rsidRPr="00AE4E8D">
        <w:rPr>
          <w:rFonts w:ascii="Times New Roman" w:hAnsi="Times New Roman"/>
          <w:lang w:val="es-ES"/>
        </w:rPr>
        <w:t>seis meses finalizados el 30 de junio de 2016 y 2017 deriva de nuestros estados contables consolidados no auditados intermedios incluidos en este Prospecto.</w:t>
      </w:r>
      <w:r w:rsidRPr="00AE4E8D" w:rsidDel="004956B9">
        <w:rPr>
          <w:rFonts w:ascii="Times New Roman" w:hAnsi="Times New Roman"/>
          <w:lang w:val="es-ES"/>
        </w:rPr>
        <w:t xml:space="preserve"> </w:t>
      </w:r>
      <w:r w:rsidRPr="00AE4E8D">
        <w:rPr>
          <w:rFonts w:ascii="Times New Roman" w:hAnsi="Times New Roman"/>
          <w:lang w:val="es-ES"/>
        </w:rPr>
        <w:t>Los resultados de las operaciones para los seis meses finalizados el 30 de junio de 2017 no necesariamente indican los resultados a ser esperados para el ejercicio finalizado el 31 de diciembre de 2017 ni para ningún otro período.</w:t>
      </w:r>
    </w:p>
    <w:p w14:paraId="05A78974" w14:textId="4F26031D" w:rsidR="005C363D" w:rsidRPr="00AE4E8D" w:rsidRDefault="005C363D" w:rsidP="00AA20EC">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Nuestros estados contables auditados y no auditados han sido confeccionados de conformidad con las Normas Contables del BCRA</w:t>
      </w:r>
      <w:r w:rsidRPr="00AE4E8D" w:rsidDel="004E53D9">
        <w:rPr>
          <w:rFonts w:ascii="Times New Roman" w:hAnsi="Times New Roman"/>
          <w:lang w:val="es-ES" w:eastAsia="es-AR"/>
        </w:rPr>
        <w:t xml:space="preserve"> </w:t>
      </w:r>
      <w:r w:rsidRPr="00AE4E8D">
        <w:rPr>
          <w:rFonts w:ascii="Times New Roman" w:hAnsi="Times New Roman"/>
          <w:lang w:val="es-ES" w:eastAsia="es-AR"/>
        </w:rPr>
        <w:t>las cuales difieren en determinados aspectos significativos de los PCGA de Argentina y NIIF. Nuestros estados contables auditados no incluyen una conciliación con NIIF de nuestro patrimonio neto o el resultado neto</w:t>
      </w:r>
      <w:r w:rsidR="006C5DF7">
        <w:rPr>
          <w:rFonts w:ascii="Times New Roman" w:hAnsi="Times New Roman"/>
          <w:lang w:val="es-ES" w:eastAsia="es-AR"/>
        </w:rPr>
        <w:t>, sin embargo</w:t>
      </w:r>
      <w:r w:rsidR="006C5DF7" w:rsidRPr="006C5DF7">
        <w:rPr>
          <w:rFonts w:ascii="Times New Roman" w:hAnsi="Times New Roman"/>
          <w:lang w:val="es-ES" w:eastAsia="es-AR"/>
        </w:rPr>
        <w:t xml:space="preserve"> </w:t>
      </w:r>
      <w:r w:rsidR="006C5DF7" w:rsidRPr="00AE4E8D">
        <w:rPr>
          <w:rFonts w:ascii="Times New Roman" w:hAnsi="Times New Roman"/>
          <w:lang w:val="es-ES" w:eastAsia="es-AR"/>
        </w:rPr>
        <w:t xml:space="preserve">nuestros estados contables </w:t>
      </w:r>
      <w:r w:rsidR="006C5DF7">
        <w:rPr>
          <w:rFonts w:ascii="Times New Roman" w:hAnsi="Times New Roman"/>
          <w:lang w:val="es-ES" w:eastAsia="es-AR"/>
        </w:rPr>
        <w:t xml:space="preserve">no </w:t>
      </w:r>
      <w:r w:rsidR="006C5DF7" w:rsidRPr="00AE4E8D">
        <w:rPr>
          <w:rFonts w:ascii="Times New Roman" w:hAnsi="Times New Roman"/>
          <w:lang w:val="es-ES" w:eastAsia="es-AR"/>
        </w:rPr>
        <w:t>auditados</w:t>
      </w:r>
      <w:r w:rsidR="006C5DF7">
        <w:rPr>
          <w:rFonts w:ascii="Times New Roman" w:hAnsi="Times New Roman"/>
          <w:lang w:val="es-ES" w:eastAsia="es-AR"/>
        </w:rPr>
        <w:t xml:space="preserve"> contienen dicha conciliación</w:t>
      </w:r>
      <w:r w:rsidRPr="00AE4E8D">
        <w:rPr>
          <w:rFonts w:ascii="Times New Roman" w:hAnsi="Times New Roman"/>
          <w:lang w:val="es-ES" w:eastAsia="es-AR"/>
        </w:rPr>
        <w:t>. Los inversores interesados en las Obligaciones Negociables emitidas bajo este Programa deberían consultar a sus asesores profesionales para un mejor entendimiento de las diferencias entre l</w:t>
      </w:r>
      <w:r w:rsidR="008F2477" w:rsidRPr="00AE4E8D">
        <w:rPr>
          <w:rFonts w:ascii="Times New Roman" w:hAnsi="Times New Roman"/>
          <w:lang w:val="es-ES" w:eastAsia="es-AR"/>
        </w:rPr>
        <w:t>o</w:t>
      </w:r>
      <w:r w:rsidRPr="00AE4E8D">
        <w:rPr>
          <w:rFonts w:ascii="Times New Roman" w:hAnsi="Times New Roman"/>
          <w:lang w:val="es-ES" w:eastAsia="es-AR"/>
        </w:rPr>
        <w:t>s principios contables utilizados por nosotros y los PCGA de Argentina y NIIF, y la forma en que dichas diferencias afectan nuestra información financiera aquí contenida y en cualquier suplemento de precio.</w:t>
      </w:r>
      <w:r w:rsidR="00AA20EC" w:rsidRPr="00AE4E8D">
        <w:rPr>
          <w:rFonts w:ascii="Times New Roman" w:hAnsi="Times New Roman"/>
          <w:lang w:val="es-ES" w:eastAsia="es-AR"/>
        </w:rPr>
        <w:t xml:space="preserve"> En 2014, el </w:t>
      </w:r>
      <w:r w:rsidR="004D7B80">
        <w:rPr>
          <w:rFonts w:ascii="Times New Roman" w:hAnsi="Times New Roman"/>
          <w:lang w:val="es-ES" w:eastAsia="es-AR"/>
        </w:rPr>
        <w:t>BCRA</w:t>
      </w:r>
      <w:r w:rsidR="00AA20EC" w:rsidRPr="00AE4E8D">
        <w:rPr>
          <w:rFonts w:ascii="Times New Roman" w:hAnsi="Times New Roman"/>
          <w:lang w:val="es-ES" w:eastAsia="es-AR"/>
        </w:rPr>
        <w:t xml:space="preserve"> emitió la Comunicación "A" 5541, que proporcionó una hoja de ruta para </w:t>
      </w:r>
      <w:r w:rsidR="003C5B79" w:rsidRPr="00AE4E8D">
        <w:rPr>
          <w:rFonts w:ascii="Times New Roman" w:hAnsi="Times New Roman"/>
          <w:lang w:val="es-ES" w:eastAsia="es-AR"/>
        </w:rPr>
        <w:t xml:space="preserve">la convergencia del régimen informativo y contable </w:t>
      </w:r>
      <w:r w:rsidR="00383413" w:rsidRPr="00AE4E8D">
        <w:rPr>
          <w:rFonts w:ascii="Times New Roman" w:hAnsi="Times New Roman"/>
          <w:lang w:val="es-ES" w:eastAsia="es-AR"/>
        </w:rPr>
        <w:t xml:space="preserve">existente de acuerdo con las </w:t>
      </w:r>
      <w:r w:rsidR="004D7B80" w:rsidRPr="00AE4E8D">
        <w:rPr>
          <w:rFonts w:ascii="Times New Roman" w:hAnsi="Times New Roman"/>
          <w:lang w:val="es-ES" w:eastAsia="es-AR"/>
        </w:rPr>
        <w:t xml:space="preserve">Normas </w:t>
      </w:r>
      <w:r w:rsidR="004D7B80">
        <w:rPr>
          <w:rFonts w:ascii="Times New Roman" w:hAnsi="Times New Roman"/>
          <w:lang w:val="es-ES" w:eastAsia="es-AR"/>
        </w:rPr>
        <w:t xml:space="preserve">Contables </w:t>
      </w:r>
      <w:r w:rsidR="00383413" w:rsidRPr="00AE4E8D">
        <w:rPr>
          <w:rFonts w:ascii="Times New Roman" w:hAnsi="Times New Roman"/>
          <w:lang w:val="es-ES" w:eastAsia="es-AR"/>
        </w:rPr>
        <w:t xml:space="preserve">del BCRA y </w:t>
      </w:r>
      <w:r w:rsidR="00AA20EC" w:rsidRPr="00AE4E8D">
        <w:rPr>
          <w:rFonts w:ascii="Times New Roman" w:hAnsi="Times New Roman"/>
          <w:lang w:val="es-ES" w:eastAsia="es-AR"/>
        </w:rPr>
        <w:t xml:space="preserve">las NIIF. Además, en diciembre de 2016, el </w:t>
      </w:r>
      <w:r w:rsidR="004D7B80">
        <w:rPr>
          <w:rFonts w:ascii="Times New Roman" w:hAnsi="Times New Roman"/>
          <w:lang w:val="es-ES" w:eastAsia="es-AR"/>
        </w:rPr>
        <w:t>BCRA</w:t>
      </w:r>
      <w:r w:rsidR="00AA20EC" w:rsidRPr="00AE4E8D">
        <w:rPr>
          <w:rFonts w:ascii="Times New Roman" w:hAnsi="Times New Roman"/>
          <w:lang w:val="es-ES" w:eastAsia="es-AR"/>
        </w:rPr>
        <w:t xml:space="preserve"> emitió la Comunicación "A" 6114, que estableció los criterios que deberían ser tomados en consideración por las </w:t>
      </w:r>
      <w:r w:rsidR="003C5B79" w:rsidRPr="00AE4E8D">
        <w:rPr>
          <w:rFonts w:ascii="Times New Roman" w:hAnsi="Times New Roman"/>
          <w:lang w:val="es-ES" w:eastAsia="es-AR"/>
        </w:rPr>
        <w:t>entidades</w:t>
      </w:r>
      <w:r w:rsidR="00AA20EC" w:rsidRPr="00AE4E8D">
        <w:rPr>
          <w:rFonts w:ascii="Times New Roman" w:hAnsi="Times New Roman"/>
          <w:lang w:val="es-ES" w:eastAsia="es-AR"/>
        </w:rPr>
        <w:t xml:space="preserve"> financieras en el marco de convergencia a partir del 1 de enero de 2018. Actualmente estamos llevando a cabo una revisión completa de nuestro</w:t>
      </w:r>
      <w:r w:rsidR="003C5B79" w:rsidRPr="00AE4E8D">
        <w:rPr>
          <w:rFonts w:ascii="Times New Roman" w:hAnsi="Times New Roman"/>
          <w:lang w:val="es-ES" w:eastAsia="es-AR"/>
        </w:rPr>
        <w:t>s</w:t>
      </w:r>
      <w:r w:rsidR="00AA20EC" w:rsidRPr="00AE4E8D">
        <w:rPr>
          <w:rFonts w:ascii="Times New Roman" w:hAnsi="Times New Roman"/>
          <w:lang w:val="es-ES" w:eastAsia="es-AR"/>
        </w:rPr>
        <w:t xml:space="preserve"> sistemas de contabilidad </w:t>
      </w:r>
      <w:r w:rsidR="002A5A31" w:rsidRPr="00AE4E8D">
        <w:rPr>
          <w:rFonts w:ascii="Times New Roman" w:hAnsi="Times New Roman"/>
          <w:lang w:val="es-ES" w:eastAsia="es-AR"/>
        </w:rPr>
        <w:t>preparándonos</w:t>
      </w:r>
      <w:r w:rsidR="00AA20EC" w:rsidRPr="00AE4E8D">
        <w:rPr>
          <w:rFonts w:ascii="Times New Roman" w:hAnsi="Times New Roman"/>
          <w:lang w:val="es-ES" w:eastAsia="es-AR"/>
        </w:rPr>
        <w:t xml:space="preserve"> para nuestra </w:t>
      </w:r>
      <w:r w:rsidR="003C5B79" w:rsidRPr="00AE4E8D">
        <w:rPr>
          <w:rFonts w:ascii="Times New Roman" w:hAnsi="Times New Roman"/>
          <w:lang w:val="es-ES" w:eastAsia="es-AR"/>
        </w:rPr>
        <w:t xml:space="preserve">oportuna </w:t>
      </w:r>
      <w:r w:rsidR="00AA20EC" w:rsidRPr="00AE4E8D">
        <w:rPr>
          <w:rFonts w:ascii="Times New Roman" w:hAnsi="Times New Roman"/>
          <w:lang w:val="es-ES" w:eastAsia="es-AR"/>
        </w:rPr>
        <w:t>adopción de las normas contables IFRS.</w:t>
      </w:r>
    </w:p>
    <w:p w14:paraId="0750CFE8" w14:textId="77777777" w:rsidR="005C363D" w:rsidRPr="00AE4E8D" w:rsidRDefault="005C363D" w:rsidP="005C363D">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A partir del 1 de enero de 1995, y de acuerdo con la Resolución N°388 de la Superintendencia de Entidades Financieras, interrumpimos nuestra práctica anterior de ajustar los resultados presentados en nuestros estados contables para que reflejen los efectos de la inflación. Desde el 1 de enero de 2002 nosotros hemos reiniciado el ajuste de nuestros resultados para que reflejen los efectos de la inflación como consecuencia de la aplicación de la Comunicación "A" 3702, que derogó todo régimen que no permitiera a las empresas ajustar sus saldos contables a los valores corrientes al cierre del ejercicio. El 25 de marzo de 2003, en virtud del Decreto Nº664/03, se eliminó el requisito que exigía que los estados contables sean confeccionados en moneda constante, con vigencia para los períodos contables iniciados a partir del 1 de marzo de 2003, y el 8 de abril de 2003, el BCRA emitió la Comunicación "A" 3921 por la que se suspende la contabilización de la inflación con vigencia a partir del 1 de marzo de 2003. </w:t>
      </w:r>
      <w:r w:rsidRPr="00AE4E8D">
        <w:rPr>
          <w:rFonts w:ascii="Times New Roman" w:hAnsi="Times New Roman"/>
          <w:lang w:val="es-ES"/>
        </w:rPr>
        <w:t>Por lo tanto, nuestros estados contables auditados al 31 de diciembre de 2012, 2013, 2014</w:t>
      </w:r>
      <w:r w:rsidRPr="00AE4E8D">
        <w:rPr>
          <w:rFonts w:ascii="Times New Roman" w:hAnsi="Times New Roman"/>
          <w:lang w:val="es-ES" w:eastAsia="es-AR"/>
        </w:rPr>
        <w:t>,</w:t>
      </w:r>
      <w:r w:rsidRPr="00AE4E8D">
        <w:rPr>
          <w:rFonts w:ascii="Times New Roman" w:hAnsi="Times New Roman"/>
          <w:lang w:val="es-ES"/>
        </w:rPr>
        <w:t xml:space="preserve"> 2015</w:t>
      </w:r>
      <w:r w:rsidRPr="00AE4E8D">
        <w:rPr>
          <w:rFonts w:ascii="Times New Roman" w:hAnsi="Times New Roman"/>
          <w:lang w:val="es-ES" w:eastAsia="es-AR"/>
        </w:rPr>
        <w:t xml:space="preserve"> y 2016</w:t>
      </w:r>
      <w:r w:rsidRPr="00AE4E8D">
        <w:rPr>
          <w:rFonts w:ascii="Times New Roman" w:hAnsi="Times New Roman"/>
          <w:lang w:val="es-ES"/>
        </w:rPr>
        <w:t>, no incluyen los efectos de la inflación.</w:t>
      </w:r>
    </w:p>
    <w:p w14:paraId="4244A390" w14:textId="77777777" w:rsidR="005C363D" w:rsidRPr="00AE4E8D" w:rsidRDefault="005C363D" w:rsidP="005C363D">
      <w:pPr>
        <w:pStyle w:val="BHTexto"/>
        <w:rPr>
          <w:lang w:val="es-ES" w:eastAsia="es-AR"/>
        </w:rPr>
      </w:pPr>
      <w:r w:rsidRPr="00AE4E8D">
        <w:rPr>
          <w:lang w:val="es-ES" w:eastAsia="es-AR"/>
        </w:rPr>
        <w:t xml:space="preserve">El tipo de cambio utilizado a los fines de la conversión de los montos en </w:t>
      </w:r>
      <w:r w:rsidR="00845924" w:rsidRPr="00AE4E8D">
        <w:rPr>
          <w:lang w:val="es-ES" w:eastAsia="es-AR"/>
        </w:rPr>
        <w:t>Pesos a Dólares Estadounidenses</w:t>
      </w:r>
      <w:r w:rsidRPr="00AE4E8D">
        <w:rPr>
          <w:lang w:val="es-ES" w:eastAsia="es-AR"/>
        </w:rPr>
        <w:t xml:space="preserve"> (i) al 31 de diciembre de 2016 fue de Ps.15</w:t>
      </w:r>
      <w:proofErr w:type="gramStart"/>
      <w:r w:rsidRPr="00AE4E8D">
        <w:rPr>
          <w:lang w:val="es-ES" w:eastAsia="es-AR"/>
        </w:rPr>
        <w:t>,8502</w:t>
      </w:r>
      <w:proofErr w:type="gramEnd"/>
      <w:r w:rsidRPr="00AE4E8D">
        <w:rPr>
          <w:lang w:val="es-ES" w:eastAsia="es-AR"/>
        </w:rPr>
        <w:t xml:space="preserve"> por US$1,00 y (ii) al 30 de junio de 2017 fue de Ps.16,5985 por US$1,00, en cada caso de acuerdo con el Tipo de Cambio de Referencia publicado por el BCRA para dicha fecha. V</w:t>
      </w:r>
      <w:r w:rsidR="0079210E" w:rsidRPr="00AE4E8D">
        <w:rPr>
          <w:lang w:val="es-ES" w:eastAsia="es-AR"/>
        </w:rPr>
        <w:t>é</w:t>
      </w:r>
      <w:r w:rsidRPr="00AE4E8D">
        <w:rPr>
          <w:lang w:val="es-ES" w:eastAsia="es-AR"/>
        </w:rPr>
        <w:t>ase “</w:t>
      </w:r>
      <w:r w:rsidRPr="00AE4E8D">
        <w:rPr>
          <w:i/>
          <w:lang w:val="es-ES"/>
        </w:rPr>
        <w:t>Información Adicional–d) Controles de Cambio”</w:t>
      </w:r>
      <w:r w:rsidRPr="00AE4E8D">
        <w:rPr>
          <w:lang w:val="es-ES"/>
        </w:rPr>
        <w:t>.</w:t>
      </w:r>
      <w:r w:rsidRPr="00AE4E8D" w:rsidDel="008E7B2D">
        <w:rPr>
          <w:lang w:val="es-ES"/>
        </w:rPr>
        <w:t xml:space="preserve"> </w:t>
      </w:r>
    </w:p>
    <w:p w14:paraId="5E43B290" w14:textId="77777777" w:rsidR="005C363D" w:rsidRPr="00AE4E8D" w:rsidRDefault="005C363D" w:rsidP="005C363D">
      <w:pPr>
        <w:autoSpaceDE w:val="0"/>
        <w:autoSpaceDN w:val="0"/>
        <w:adjustRightInd w:val="0"/>
        <w:spacing w:before="120" w:after="120"/>
        <w:jc w:val="both"/>
        <w:rPr>
          <w:rFonts w:ascii="Times New Roman" w:hAnsi="Times New Roman"/>
          <w:lang w:val="es-ES" w:eastAsia="es-AR"/>
        </w:rPr>
      </w:pPr>
    </w:p>
    <w:p w14:paraId="662623B0" w14:textId="77777777" w:rsidR="005C363D" w:rsidRPr="00AE4E8D" w:rsidRDefault="005C363D" w:rsidP="005C363D">
      <w:pPr>
        <w:autoSpaceDE w:val="0"/>
        <w:autoSpaceDN w:val="0"/>
        <w:adjustRightInd w:val="0"/>
        <w:spacing w:before="120" w:after="120"/>
        <w:jc w:val="both"/>
        <w:rPr>
          <w:rFonts w:ascii="Times New Roman" w:hAnsi="Times New Roman"/>
          <w:lang w:val="es-ES" w:eastAsia="es-AR"/>
        </w:rPr>
        <w:sectPr w:rsidR="005C363D" w:rsidRPr="00AE4E8D" w:rsidSect="00574F35">
          <w:pgSz w:w="11907" w:h="16839" w:code="9"/>
          <w:pgMar w:top="1417" w:right="1701" w:bottom="1417" w:left="1701" w:header="720" w:footer="720" w:gutter="0"/>
          <w:pgNumType w:start="1"/>
          <w:cols w:space="720"/>
          <w:titlePg/>
          <w:docGrid w:linePitch="360"/>
        </w:sectPr>
      </w:pPr>
    </w:p>
    <w:tbl>
      <w:tblPr>
        <w:tblpPr w:leftFromText="180" w:rightFromText="180" w:vertAnchor="text" w:horzAnchor="margin" w:tblpY="-312"/>
        <w:tblW w:w="5010" w:type="pct"/>
        <w:tblLook w:val="04A0" w:firstRow="1" w:lastRow="0" w:firstColumn="1" w:lastColumn="0" w:noHBand="0" w:noVBand="1"/>
      </w:tblPr>
      <w:tblGrid>
        <w:gridCol w:w="4202"/>
        <w:gridCol w:w="936"/>
        <w:gridCol w:w="222"/>
        <w:gridCol w:w="936"/>
        <w:gridCol w:w="222"/>
        <w:gridCol w:w="936"/>
        <w:gridCol w:w="222"/>
        <w:gridCol w:w="936"/>
        <w:gridCol w:w="222"/>
        <w:gridCol w:w="936"/>
        <w:gridCol w:w="222"/>
        <w:gridCol w:w="932"/>
        <w:gridCol w:w="222"/>
        <w:gridCol w:w="936"/>
        <w:gridCol w:w="222"/>
        <w:gridCol w:w="925"/>
        <w:gridCol w:w="12"/>
        <w:gridCol w:w="211"/>
        <w:gridCol w:w="13"/>
        <w:gridCol w:w="846"/>
        <w:gridCol w:w="10"/>
      </w:tblGrid>
      <w:tr w:rsidR="003B5193" w:rsidRPr="00AE4E8D" w14:paraId="476334B4" w14:textId="77777777" w:rsidTr="00E8320E">
        <w:trPr>
          <w:gridAfter w:val="1"/>
          <w:wAfter w:w="4" w:type="pct"/>
          <w:trHeight w:val="273"/>
        </w:trPr>
        <w:tc>
          <w:tcPr>
            <w:tcW w:w="1253" w:type="pct"/>
            <w:tcBorders>
              <w:top w:val="nil"/>
              <w:left w:val="nil"/>
              <w:bottom w:val="nil"/>
              <w:right w:val="nil"/>
            </w:tcBorders>
            <w:shd w:val="clear" w:color="auto" w:fill="auto"/>
            <w:noWrap/>
            <w:vAlign w:val="bottom"/>
            <w:hideMark/>
          </w:tcPr>
          <w:p w14:paraId="60340DEC" w14:textId="77777777" w:rsidR="005C363D" w:rsidRPr="00AE4E8D" w:rsidRDefault="005C363D" w:rsidP="00E8320E">
            <w:pPr>
              <w:spacing w:before="40" w:after="40"/>
              <w:jc w:val="center"/>
              <w:rPr>
                <w:rFonts w:ascii="Times New Roman" w:hAnsi="Times New Roman"/>
                <w:sz w:val="16"/>
                <w:lang w:val="es-ES"/>
              </w:rPr>
            </w:pPr>
          </w:p>
        </w:tc>
        <w:tc>
          <w:tcPr>
            <w:tcW w:w="2442" w:type="pct"/>
            <w:gridSpan w:val="11"/>
            <w:tcBorders>
              <w:top w:val="nil"/>
              <w:left w:val="nil"/>
              <w:bottom w:val="single" w:sz="8" w:space="0" w:color="auto"/>
              <w:right w:val="nil"/>
            </w:tcBorders>
            <w:shd w:val="clear" w:color="auto" w:fill="auto"/>
            <w:vAlign w:val="center"/>
            <w:hideMark/>
          </w:tcPr>
          <w:p w14:paraId="480701A8"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Al 31 de diciembre de</w:t>
            </w:r>
          </w:p>
        </w:tc>
        <w:tc>
          <w:tcPr>
            <w:tcW w:w="78" w:type="pct"/>
            <w:tcBorders>
              <w:top w:val="nil"/>
              <w:left w:val="nil"/>
              <w:bottom w:val="nil"/>
              <w:right w:val="nil"/>
            </w:tcBorders>
            <w:shd w:val="clear" w:color="auto" w:fill="auto"/>
            <w:vAlign w:val="center"/>
            <w:hideMark/>
          </w:tcPr>
          <w:p w14:paraId="4FD76B96" w14:textId="77777777" w:rsidR="005C363D" w:rsidRPr="00AE4E8D" w:rsidRDefault="005C363D" w:rsidP="00E8320E">
            <w:pPr>
              <w:spacing w:before="40" w:after="40"/>
              <w:jc w:val="center"/>
              <w:rPr>
                <w:rFonts w:ascii="Times New Roman" w:hAnsi="Times New Roman"/>
                <w:b/>
                <w:color w:val="000000"/>
                <w:sz w:val="16"/>
                <w:lang w:val="es-ES"/>
              </w:rPr>
            </w:pPr>
          </w:p>
        </w:tc>
        <w:tc>
          <w:tcPr>
            <w:tcW w:w="1223" w:type="pct"/>
            <w:gridSpan w:val="7"/>
            <w:tcBorders>
              <w:top w:val="nil"/>
              <w:left w:val="nil"/>
              <w:bottom w:val="single" w:sz="8" w:space="0" w:color="auto"/>
              <w:right w:val="nil"/>
            </w:tcBorders>
            <w:shd w:val="clear" w:color="auto" w:fill="auto"/>
            <w:vAlign w:val="center"/>
            <w:hideMark/>
          </w:tcPr>
          <w:p w14:paraId="1647465E"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Al 30 de junio de</w:t>
            </w:r>
          </w:p>
        </w:tc>
      </w:tr>
      <w:tr w:rsidR="003B5193" w:rsidRPr="00AE4E8D" w14:paraId="111FFC23" w14:textId="77777777" w:rsidTr="00E8320E">
        <w:trPr>
          <w:trHeight w:val="223"/>
        </w:trPr>
        <w:tc>
          <w:tcPr>
            <w:tcW w:w="1253" w:type="pct"/>
            <w:tcBorders>
              <w:top w:val="nil"/>
              <w:left w:val="nil"/>
              <w:bottom w:val="nil"/>
              <w:right w:val="nil"/>
            </w:tcBorders>
            <w:shd w:val="clear" w:color="auto" w:fill="auto"/>
            <w:noWrap/>
            <w:vAlign w:val="bottom"/>
            <w:hideMark/>
          </w:tcPr>
          <w:p w14:paraId="43E9ABD7" w14:textId="77777777" w:rsidR="005C363D" w:rsidRPr="00AE4E8D" w:rsidRDefault="005C363D" w:rsidP="00E8320E">
            <w:pPr>
              <w:spacing w:before="40" w:after="40"/>
              <w:jc w:val="center"/>
              <w:rPr>
                <w:rFonts w:ascii="Times New Roman" w:hAnsi="Times New Roman"/>
                <w:sz w:val="16"/>
                <w:lang w:val="es-ES"/>
              </w:rPr>
            </w:pPr>
          </w:p>
        </w:tc>
        <w:tc>
          <w:tcPr>
            <w:tcW w:w="328" w:type="pct"/>
            <w:tcBorders>
              <w:top w:val="nil"/>
              <w:left w:val="nil"/>
              <w:bottom w:val="single" w:sz="8" w:space="0" w:color="auto"/>
              <w:right w:val="nil"/>
            </w:tcBorders>
            <w:shd w:val="clear" w:color="auto" w:fill="auto"/>
            <w:noWrap/>
            <w:vAlign w:val="center"/>
            <w:hideMark/>
          </w:tcPr>
          <w:p w14:paraId="767237C3"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2012</w:t>
            </w:r>
          </w:p>
        </w:tc>
        <w:tc>
          <w:tcPr>
            <w:tcW w:w="78" w:type="pct"/>
            <w:tcBorders>
              <w:top w:val="nil"/>
              <w:left w:val="nil"/>
              <w:bottom w:val="nil"/>
              <w:right w:val="nil"/>
            </w:tcBorders>
            <w:shd w:val="clear" w:color="auto" w:fill="auto"/>
            <w:noWrap/>
            <w:vAlign w:val="center"/>
            <w:hideMark/>
          </w:tcPr>
          <w:p w14:paraId="16D219D2" w14:textId="77777777" w:rsidR="005C363D" w:rsidRPr="00AE4E8D" w:rsidRDefault="005C363D" w:rsidP="00E8320E">
            <w:pPr>
              <w:spacing w:before="40" w:after="40"/>
              <w:jc w:val="center"/>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15354903"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2013</w:t>
            </w:r>
          </w:p>
        </w:tc>
        <w:tc>
          <w:tcPr>
            <w:tcW w:w="78" w:type="pct"/>
            <w:tcBorders>
              <w:top w:val="nil"/>
              <w:left w:val="nil"/>
              <w:bottom w:val="nil"/>
              <w:right w:val="nil"/>
            </w:tcBorders>
            <w:shd w:val="clear" w:color="auto" w:fill="auto"/>
            <w:noWrap/>
            <w:vAlign w:val="center"/>
            <w:hideMark/>
          </w:tcPr>
          <w:p w14:paraId="383EA2A6" w14:textId="77777777" w:rsidR="005C363D" w:rsidRPr="00AE4E8D" w:rsidRDefault="005C363D" w:rsidP="00E8320E">
            <w:pPr>
              <w:spacing w:before="40" w:after="40"/>
              <w:jc w:val="center"/>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55F29ABD"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2014</w:t>
            </w:r>
          </w:p>
        </w:tc>
        <w:tc>
          <w:tcPr>
            <w:tcW w:w="78" w:type="pct"/>
            <w:tcBorders>
              <w:top w:val="nil"/>
              <w:left w:val="nil"/>
              <w:bottom w:val="nil"/>
              <w:right w:val="nil"/>
            </w:tcBorders>
            <w:shd w:val="clear" w:color="auto" w:fill="auto"/>
            <w:noWrap/>
            <w:vAlign w:val="center"/>
            <w:hideMark/>
          </w:tcPr>
          <w:p w14:paraId="572715BB" w14:textId="77777777" w:rsidR="005C363D" w:rsidRPr="00AE4E8D" w:rsidRDefault="005C363D" w:rsidP="00E8320E">
            <w:pPr>
              <w:spacing w:before="40" w:after="40"/>
              <w:jc w:val="center"/>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1179954E"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2015</w:t>
            </w:r>
          </w:p>
        </w:tc>
        <w:tc>
          <w:tcPr>
            <w:tcW w:w="83" w:type="pct"/>
            <w:tcBorders>
              <w:top w:val="nil"/>
              <w:left w:val="nil"/>
              <w:bottom w:val="nil"/>
              <w:right w:val="nil"/>
            </w:tcBorders>
            <w:shd w:val="clear" w:color="auto" w:fill="auto"/>
            <w:noWrap/>
            <w:vAlign w:val="center"/>
            <w:hideMark/>
          </w:tcPr>
          <w:p w14:paraId="00619A2C" w14:textId="77777777" w:rsidR="005C363D" w:rsidRPr="00AE4E8D" w:rsidRDefault="005C363D" w:rsidP="00E8320E">
            <w:pPr>
              <w:spacing w:before="40" w:after="40"/>
              <w:jc w:val="center"/>
              <w:rPr>
                <w:rFonts w:ascii="Times New Roman" w:hAnsi="Times New Roman"/>
                <w:color w:val="000000"/>
                <w:sz w:val="16"/>
                <w:lang w:val="es-ES"/>
              </w:rPr>
            </w:pPr>
          </w:p>
        </w:tc>
        <w:tc>
          <w:tcPr>
            <w:tcW w:w="406" w:type="pct"/>
            <w:tcBorders>
              <w:top w:val="nil"/>
              <w:left w:val="nil"/>
              <w:bottom w:val="single" w:sz="8" w:space="0" w:color="auto"/>
              <w:right w:val="nil"/>
            </w:tcBorders>
            <w:shd w:val="clear" w:color="auto" w:fill="auto"/>
            <w:noWrap/>
            <w:vAlign w:val="center"/>
            <w:hideMark/>
          </w:tcPr>
          <w:p w14:paraId="3B642C61"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9" w:type="pct"/>
            <w:tcBorders>
              <w:top w:val="nil"/>
              <w:left w:val="nil"/>
              <w:bottom w:val="nil"/>
              <w:right w:val="nil"/>
            </w:tcBorders>
            <w:shd w:val="clear" w:color="auto" w:fill="auto"/>
            <w:noWrap/>
            <w:vAlign w:val="center"/>
            <w:hideMark/>
          </w:tcPr>
          <w:p w14:paraId="0D074708" w14:textId="77777777" w:rsidR="005C363D" w:rsidRPr="00AE4E8D" w:rsidRDefault="005C363D" w:rsidP="00E8320E">
            <w:pPr>
              <w:spacing w:before="40" w:after="40"/>
              <w:jc w:val="center"/>
              <w:rPr>
                <w:rFonts w:ascii="Times New Roman" w:hAnsi="Times New Roman"/>
                <w:color w:val="000000"/>
                <w:sz w:val="16"/>
                <w:lang w:val="es-ES"/>
              </w:rPr>
            </w:pPr>
          </w:p>
        </w:tc>
        <w:tc>
          <w:tcPr>
            <w:tcW w:w="327" w:type="pct"/>
            <w:tcBorders>
              <w:top w:val="nil"/>
              <w:left w:val="nil"/>
              <w:bottom w:val="single" w:sz="8" w:space="0" w:color="auto"/>
              <w:right w:val="nil"/>
            </w:tcBorders>
            <w:shd w:val="clear" w:color="auto" w:fill="auto"/>
            <w:noWrap/>
            <w:vAlign w:val="center"/>
            <w:hideMark/>
          </w:tcPr>
          <w:p w14:paraId="6B3CABD6"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nil"/>
              <w:left w:val="nil"/>
              <w:bottom w:val="nil"/>
              <w:right w:val="nil"/>
            </w:tcBorders>
            <w:shd w:val="clear" w:color="auto" w:fill="auto"/>
            <w:vAlign w:val="center"/>
            <w:hideMark/>
          </w:tcPr>
          <w:p w14:paraId="119917D9" w14:textId="77777777" w:rsidR="005C363D" w:rsidRPr="00AE4E8D" w:rsidRDefault="005C363D" w:rsidP="00E8320E">
            <w:pPr>
              <w:spacing w:before="40" w:after="40"/>
              <w:jc w:val="center"/>
              <w:rPr>
                <w:rFonts w:ascii="Times New Roman" w:hAnsi="Times New Roman"/>
                <w:b/>
                <w:color w:val="000000"/>
                <w:sz w:val="16"/>
                <w:lang w:val="es-ES"/>
              </w:rPr>
            </w:pPr>
          </w:p>
        </w:tc>
        <w:tc>
          <w:tcPr>
            <w:tcW w:w="332" w:type="pct"/>
            <w:tcBorders>
              <w:top w:val="nil"/>
              <w:left w:val="nil"/>
              <w:bottom w:val="single" w:sz="8" w:space="0" w:color="auto"/>
              <w:right w:val="nil"/>
            </w:tcBorders>
            <w:shd w:val="clear" w:color="auto" w:fill="auto"/>
            <w:vAlign w:val="center"/>
            <w:hideMark/>
          </w:tcPr>
          <w:p w14:paraId="393490E9"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nil"/>
              <w:left w:val="nil"/>
              <w:bottom w:val="nil"/>
              <w:right w:val="nil"/>
            </w:tcBorders>
            <w:shd w:val="clear" w:color="auto" w:fill="auto"/>
            <w:vAlign w:val="center"/>
            <w:hideMark/>
          </w:tcPr>
          <w:p w14:paraId="30A81383" w14:textId="77777777" w:rsidR="005C363D" w:rsidRPr="00AE4E8D" w:rsidRDefault="005C363D" w:rsidP="00E8320E">
            <w:pPr>
              <w:spacing w:before="40" w:after="40"/>
              <w:jc w:val="center"/>
              <w:rPr>
                <w:rFonts w:ascii="Times New Roman" w:hAnsi="Times New Roman"/>
                <w:b/>
                <w:color w:val="000000"/>
                <w:sz w:val="16"/>
                <w:lang w:val="es-ES"/>
              </w:rPr>
            </w:pPr>
          </w:p>
        </w:tc>
        <w:tc>
          <w:tcPr>
            <w:tcW w:w="340" w:type="pct"/>
            <w:gridSpan w:val="2"/>
            <w:tcBorders>
              <w:top w:val="nil"/>
              <w:left w:val="nil"/>
              <w:bottom w:val="single" w:sz="8" w:space="0" w:color="auto"/>
              <w:right w:val="nil"/>
            </w:tcBorders>
            <w:shd w:val="clear" w:color="auto" w:fill="auto"/>
            <w:vAlign w:val="center"/>
            <w:hideMark/>
          </w:tcPr>
          <w:p w14:paraId="3B014C67"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c>
          <w:tcPr>
            <w:tcW w:w="78" w:type="pct"/>
            <w:gridSpan w:val="2"/>
            <w:tcBorders>
              <w:top w:val="nil"/>
              <w:left w:val="nil"/>
              <w:bottom w:val="nil"/>
              <w:right w:val="nil"/>
            </w:tcBorders>
            <w:shd w:val="clear" w:color="auto" w:fill="auto"/>
            <w:vAlign w:val="center"/>
            <w:hideMark/>
          </w:tcPr>
          <w:p w14:paraId="3BDCCDA8" w14:textId="77777777" w:rsidR="005C363D" w:rsidRPr="00AE4E8D" w:rsidRDefault="005C363D" w:rsidP="00E8320E">
            <w:pPr>
              <w:spacing w:before="40" w:after="40"/>
              <w:jc w:val="center"/>
              <w:rPr>
                <w:rFonts w:ascii="Times New Roman" w:hAnsi="Times New Roman"/>
                <w:b/>
                <w:color w:val="000000"/>
                <w:sz w:val="16"/>
                <w:lang w:val="es-ES"/>
              </w:rPr>
            </w:pPr>
          </w:p>
        </w:tc>
        <w:tc>
          <w:tcPr>
            <w:tcW w:w="400" w:type="pct"/>
            <w:gridSpan w:val="2"/>
            <w:tcBorders>
              <w:top w:val="nil"/>
              <w:left w:val="nil"/>
              <w:bottom w:val="single" w:sz="8" w:space="0" w:color="auto"/>
              <w:right w:val="nil"/>
            </w:tcBorders>
            <w:shd w:val="clear" w:color="auto" w:fill="auto"/>
            <w:vAlign w:val="center"/>
            <w:hideMark/>
          </w:tcPr>
          <w:p w14:paraId="20CA6F63" w14:textId="77777777" w:rsidR="005C363D" w:rsidRPr="00AE4E8D" w:rsidRDefault="005C363D" w:rsidP="00E8320E">
            <w:pPr>
              <w:spacing w:before="40" w:after="40"/>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r>
      <w:tr w:rsidR="003B5193" w:rsidRPr="00AE4E8D" w14:paraId="5DABDEFA" w14:textId="77777777" w:rsidTr="00E8320E">
        <w:trPr>
          <w:gridAfter w:val="1"/>
          <w:wAfter w:w="4" w:type="pct"/>
          <w:trHeight w:val="210"/>
        </w:trPr>
        <w:tc>
          <w:tcPr>
            <w:tcW w:w="1253" w:type="pct"/>
            <w:vMerge w:val="restart"/>
            <w:tcBorders>
              <w:top w:val="nil"/>
              <w:left w:val="nil"/>
              <w:bottom w:val="nil"/>
              <w:right w:val="nil"/>
            </w:tcBorders>
            <w:shd w:val="clear" w:color="auto" w:fill="auto"/>
            <w:noWrap/>
            <w:vAlign w:val="bottom"/>
            <w:hideMark/>
          </w:tcPr>
          <w:p w14:paraId="13189605" w14:textId="77777777" w:rsidR="005C363D" w:rsidRPr="00AE4E8D" w:rsidRDefault="005C363D" w:rsidP="000400C8">
            <w:pPr>
              <w:rPr>
                <w:rFonts w:ascii="Times New Roman" w:hAnsi="Times New Roman"/>
                <w:sz w:val="16"/>
                <w:lang w:val="es-ES"/>
              </w:rPr>
            </w:pPr>
          </w:p>
        </w:tc>
        <w:tc>
          <w:tcPr>
            <w:tcW w:w="2115" w:type="pct"/>
            <w:gridSpan w:val="10"/>
            <w:vMerge w:val="restart"/>
            <w:tcBorders>
              <w:top w:val="nil"/>
              <w:left w:val="nil"/>
              <w:bottom w:val="nil"/>
              <w:right w:val="nil"/>
            </w:tcBorders>
            <w:shd w:val="clear" w:color="auto" w:fill="auto"/>
            <w:vAlign w:val="center"/>
            <w:hideMark/>
          </w:tcPr>
          <w:p w14:paraId="31400659" w14:textId="77777777" w:rsidR="005C363D" w:rsidRPr="00AE4E8D" w:rsidRDefault="005C363D" w:rsidP="000400C8">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327" w:type="pct"/>
            <w:tcBorders>
              <w:top w:val="nil"/>
              <w:left w:val="nil"/>
              <w:bottom w:val="nil"/>
              <w:right w:val="nil"/>
            </w:tcBorders>
            <w:shd w:val="clear" w:color="auto" w:fill="auto"/>
            <w:noWrap/>
            <w:vAlign w:val="center"/>
            <w:hideMark/>
          </w:tcPr>
          <w:p w14:paraId="00405795" w14:textId="77777777" w:rsidR="005C363D" w:rsidRPr="00AE4E8D" w:rsidRDefault="005C363D" w:rsidP="000400C8">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c>
          <w:tcPr>
            <w:tcW w:w="78" w:type="pct"/>
            <w:vMerge w:val="restart"/>
            <w:tcBorders>
              <w:top w:val="nil"/>
              <w:left w:val="nil"/>
              <w:bottom w:val="nil"/>
              <w:right w:val="nil"/>
            </w:tcBorders>
            <w:shd w:val="clear" w:color="auto" w:fill="auto"/>
            <w:vAlign w:val="center"/>
            <w:hideMark/>
          </w:tcPr>
          <w:p w14:paraId="3F6C9B0A" w14:textId="77777777" w:rsidR="005C363D" w:rsidRPr="00AE4E8D" w:rsidRDefault="005C363D" w:rsidP="000400C8">
            <w:pPr>
              <w:jc w:val="center"/>
              <w:rPr>
                <w:rFonts w:ascii="Times New Roman" w:hAnsi="Times New Roman"/>
                <w:color w:val="000000"/>
                <w:sz w:val="16"/>
                <w:lang w:val="es-ES"/>
              </w:rPr>
            </w:pPr>
          </w:p>
        </w:tc>
        <w:tc>
          <w:tcPr>
            <w:tcW w:w="746" w:type="pct"/>
            <w:gridSpan w:val="3"/>
            <w:vMerge w:val="restart"/>
            <w:tcBorders>
              <w:top w:val="single" w:sz="8" w:space="0" w:color="auto"/>
              <w:left w:val="nil"/>
              <w:bottom w:val="nil"/>
              <w:right w:val="nil"/>
            </w:tcBorders>
            <w:shd w:val="clear" w:color="auto" w:fill="auto"/>
            <w:vAlign w:val="center"/>
            <w:hideMark/>
          </w:tcPr>
          <w:p w14:paraId="4484930B" w14:textId="77777777" w:rsidR="005C363D" w:rsidRPr="00AE4E8D" w:rsidRDefault="005C363D" w:rsidP="000400C8">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78" w:type="pct"/>
            <w:gridSpan w:val="2"/>
            <w:vMerge w:val="restart"/>
            <w:tcBorders>
              <w:top w:val="nil"/>
              <w:left w:val="nil"/>
              <w:bottom w:val="nil"/>
              <w:right w:val="nil"/>
            </w:tcBorders>
            <w:shd w:val="clear" w:color="auto" w:fill="auto"/>
            <w:vAlign w:val="center"/>
            <w:hideMark/>
          </w:tcPr>
          <w:p w14:paraId="2D09EF01" w14:textId="77777777" w:rsidR="005C363D" w:rsidRPr="00AE4E8D" w:rsidRDefault="005C363D" w:rsidP="000400C8">
            <w:pPr>
              <w:jc w:val="center"/>
              <w:rPr>
                <w:rFonts w:ascii="Times New Roman" w:hAnsi="Times New Roman"/>
                <w:color w:val="000000"/>
                <w:sz w:val="16"/>
                <w:lang w:val="es-ES"/>
              </w:rPr>
            </w:pPr>
          </w:p>
        </w:tc>
        <w:tc>
          <w:tcPr>
            <w:tcW w:w="399" w:type="pct"/>
            <w:gridSpan w:val="2"/>
            <w:tcBorders>
              <w:top w:val="nil"/>
              <w:left w:val="nil"/>
              <w:bottom w:val="nil"/>
              <w:right w:val="nil"/>
            </w:tcBorders>
            <w:shd w:val="clear" w:color="auto" w:fill="auto"/>
            <w:vAlign w:val="center"/>
            <w:hideMark/>
          </w:tcPr>
          <w:p w14:paraId="7122C351" w14:textId="77777777" w:rsidR="005C363D" w:rsidRPr="00AE4E8D" w:rsidRDefault="005C363D" w:rsidP="000400C8">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r>
      <w:tr w:rsidR="003B5193" w:rsidRPr="00AE4E8D" w14:paraId="0D942658" w14:textId="77777777" w:rsidTr="000400C8">
        <w:trPr>
          <w:gridAfter w:val="1"/>
          <w:wAfter w:w="4" w:type="pct"/>
          <w:trHeight w:val="347"/>
        </w:trPr>
        <w:tc>
          <w:tcPr>
            <w:tcW w:w="1253" w:type="pct"/>
            <w:vMerge/>
            <w:tcBorders>
              <w:top w:val="nil"/>
              <w:left w:val="nil"/>
              <w:bottom w:val="nil"/>
              <w:right w:val="nil"/>
            </w:tcBorders>
            <w:vAlign w:val="center"/>
            <w:hideMark/>
          </w:tcPr>
          <w:p w14:paraId="25961408" w14:textId="77777777" w:rsidR="005C363D" w:rsidRPr="00AE4E8D" w:rsidRDefault="005C363D" w:rsidP="000400C8">
            <w:pPr>
              <w:rPr>
                <w:rFonts w:ascii="Times New Roman" w:hAnsi="Times New Roman"/>
                <w:sz w:val="16"/>
                <w:lang w:val="es-ES"/>
              </w:rPr>
            </w:pPr>
          </w:p>
        </w:tc>
        <w:tc>
          <w:tcPr>
            <w:tcW w:w="2115" w:type="pct"/>
            <w:gridSpan w:val="10"/>
            <w:vMerge/>
            <w:tcBorders>
              <w:top w:val="nil"/>
              <w:left w:val="nil"/>
              <w:bottom w:val="nil"/>
              <w:right w:val="nil"/>
            </w:tcBorders>
            <w:vAlign w:val="center"/>
            <w:hideMark/>
          </w:tcPr>
          <w:p w14:paraId="098B5060" w14:textId="77777777" w:rsidR="005C363D" w:rsidRPr="00AE4E8D" w:rsidRDefault="005C363D" w:rsidP="000400C8">
            <w:pPr>
              <w:jc w:val="center"/>
              <w:rPr>
                <w:rFonts w:ascii="Times New Roman" w:hAnsi="Times New Roman"/>
                <w:color w:val="000000"/>
                <w:sz w:val="16"/>
                <w:lang w:val="es-ES"/>
              </w:rPr>
            </w:pPr>
          </w:p>
        </w:tc>
        <w:tc>
          <w:tcPr>
            <w:tcW w:w="327" w:type="pct"/>
            <w:tcBorders>
              <w:top w:val="nil"/>
              <w:left w:val="nil"/>
              <w:bottom w:val="nil"/>
              <w:right w:val="nil"/>
            </w:tcBorders>
            <w:shd w:val="clear" w:color="auto" w:fill="auto"/>
            <w:noWrap/>
            <w:vAlign w:val="center"/>
            <w:hideMark/>
          </w:tcPr>
          <w:p w14:paraId="409721B5" w14:textId="77777777" w:rsidR="005C363D" w:rsidRPr="00AE4E8D" w:rsidRDefault="005C363D" w:rsidP="000400C8">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c>
          <w:tcPr>
            <w:tcW w:w="78" w:type="pct"/>
            <w:vMerge/>
            <w:tcBorders>
              <w:top w:val="nil"/>
              <w:left w:val="nil"/>
              <w:bottom w:val="nil"/>
              <w:right w:val="nil"/>
            </w:tcBorders>
            <w:vAlign w:val="center"/>
            <w:hideMark/>
          </w:tcPr>
          <w:p w14:paraId="00F4E464" w14:textId="77777777" w:rsidR="005C363D" w:rsidRPr="00AE4E8D" w:rsidRDefault="005C363D" w:rsidP="000400C8">
            <w:pPr>
              <w:jc w:val="center"/>
              <w:rPr>
                <w:rFonts w:ascii="Times New Roman" w:hAnsi="Times New Roman"/>
                <w:color w:val="000000"/>
                <w:sz w:val="16"/>
                <w:lang w:val="es-ES"/>
              </w:rPr>
            </w:pPr>
          </w:p>
        </w:tc>
        <w:tc>
          <w:tcPr>
            <w:tcW w:w="746" w:type="pct"/>
            <w:gridSpan w:val="3"/>
            <w:vMerge/>
            <w:tcBorders>
              <w:top w:val="single" w:sz="8" w:space="0" w:color="auto"/>
              <w:left w:val="nil"/>
              <w:bottom w:val="nil"/>
              <w:right w:val="nil"/>
            </w:tcBorders>
            <w:vAlign w:val="center"/>
            <w:hideMark/>
          </w:tcPr>
          <w:p w14:paraId="4DEA7651" w14:textId="77777777" w:rsidR="005C363D" w:rsidRPr="00AE4E8D" w:rsidRDefault="005C363D" w:rsidP="000400C8">
            <w:pPr>
              <w:jc w:val="center"/>
              <w:rPr>
                <w:rFonts w:ascii="Times New Roman" w:hAnsi="Times New Roman"/>
                <w:color w:val="000000"/>
                <w:sz w:val="16"/>
                <w:lang w:val="es-ES"/>
              </w:rPr>
            </w:pPr>
          </w:p>
        </w:tc>
        <w:tc>
          <w:tcPr>
            <w:tcW w:w="78" w:type="pct"/>
            <w:gridSpan w:val="2"/>
            <w:vMerge/>
            <w:tcBorders>
              <w:top w:val="nil"/>
              <w:left w:val="nil"/>
              <w:bottom w:val="nil"/>
              <w:right w:val="nil"/>
            </w:tcBorders>
            <w:vAlign w:val="center"/>
            <w:hideMark/>
          </w:tcPr>
          <w:p w14:paraId="36C9DECA" w14:textId="77777777" w:rsidR="005C363D" w:rsidRPr="00AE4E8D" w:rsidRDefault="005C363D" w:rsidP="000400C8">
            <w:pPr>
              <w:jc w:val="center"/>
              <w:rPr>
                <w:rFonts w:ascii="Times New Roman" w:hAnsi="Times New Roman"/>
                <w:color w:val="000000"/>
                <w:sz w:val="16"/>
                <w:lang w:val="es-ES"/>
              </w:rPr>
            </w:pPr>
          </w:p>
        </w:tc>
        <w:tc>
          <w:tcPr>
            <w:tcW w:w="399" w:type="pct"/>
            <w:gridSpan w:val="2"/>
            <w:tcBorders>
              <w:top w:val="nil"/>
              <w:left w:val="nil"/>
              <w:bottom w:val="nil"/>
              <w:right w:val="nil"/>
            </w:tcBorders>
            <w:shd w:val="clear" w:color="auto" w:fill="auto"/>
            <w:vAlign w:val="center"/>
            <w:hideMark/>
          </w:tcPr>
          <w:p w14:paraId="7974B6C2" w14:textId="77777777" w:rsidR="005C363D" w:rsidRPr="00AE4E8D" w:rsidRDefault="005C363D" w:rsidP="000400C8">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r>
      <w:tr w:rsidR="003B5193" w:rsidRPr="00AE4E8D" w14:paraId="47A75B3A" w14:textId="77777777" w:rsidTr="00E8320E">
        <w:trPr>
          <w:trHeight w:val="371"/>
        </w:trPr>
        <w:tc>
          <w:tcPr>
            <w:tcW w:w="1253" w:type="pct"/>
            <w:tcBorders>
              <w:top w:val="nil"/>
              <w:left w:val="nil"/>
              <w:bottom w:val="nil"/>
              <w:right w:val="nil"/>
            </w:tcBorders>
            <w:shd w:val="clear" w:color="auto" w:fill="auto"/>
            <w:vAlign w:val="center"/>
            <w:hideMark/>
          </w:tcPr>
          <w:p w14:paraId="078FA6CF" w14:textId="77777777" w:rsidR="005C363D" w:rsidRPr="00AE4E8D" w:rsidRDefault="005C363D" w:rsidP="00E8320E">
            <w:pPr>
              <w:spacing w:before="40" w:after="40"/>
              <w:rPr>
                <w:rFonts w:ascii="Times New Roman" w:hAnsi="Times New Roman"/>
                <w:b/>
                <w:color w:val="000000"/>
                <w:sz w:val="16"/>
                <w:lang w:val="es-ES"/>
              </w:rPr>
            </w:pPr>
            <w:r w:rsidRPr="00AE4E8D">
              <w:rPr>
                <w:rFonts w:ascii="Times New Roman" w:hAnsi="Times New Roman"/>
                <w:b/>
                <w:color w:val="000000"/>
                <w:sz w:val="16"/>
                <w:lang w:val="es-ES"/>
              </w:rPr>
              <w:t>ESTADO DE SITUACIÓN PATRIMONIAL CONSOLIDADO</w:t>
            </w:r>
          </w:p>
        </w:tc>
        <w:tc>
          <w:tcPr>
            <w:tcW w:w="328" w:type="pct"/>
            <w:tcBorders>
              <w:top w:val="nil"/>
              <w:left w:val="nil"/>
              <w:bottom w:val="nil"/>
              <w:right w:val="nil"/>
            </w:tcBorders>
            <w:shd w:val="clear" w:color="auto" w:fill="auto"/>
            <w:noWrap/>
            <w:vAlign w:val="center"/>
            <w:hideMark/>
          </w:tcPr>
          <w:p w14:paraId="2CFF0674"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4EA74CE8" w14:textId="77777777" w:rsidR="005C363D" w:rsidRPr="00AE4E8D" w:rsidRDefault="005C363D" w:rsidP="00E8320E">
            <w:pPr>
              <w:spacing w:before="40"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33E460A"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07119460" w14:textId="77777777" w:rsidR="005C363D" w:rsidRPr="00AE4E8D" w:rsidRDefault="005C363D" w:rsidP="00E8320E">
            <w:pPr>
              <w:spacing w:before="40"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875D6D5"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6BBF7D70" w14:textId="77777777" w:rsidR="005C363D" w:rsidRPr="00AE4E8D" w:rsidRDefault="005C363D" w:rsidP="00E8320E">
            <w:pPr>
              <w:spacing w:before="40"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C3C1AF7" w14:textId="77777777" w:rsidR="005C363D" w:rsidRPr="00AE4E8D" w:rsidRDefault="005C363D" w:rsidP="00E8320E">
            <w:pPr>
              <w:spacing w:before="40" w:after="40"/>
              <w:jc w:val="center"/>
              <w:rPr>
                <w:rFonts w:ascii="Times New Roman" w:hAnsi="Times New Roman"/>
                <w:color w:val="000000"/>
                <w:sz w:val="16"/>
                <w:lang w:val="es-ES"/>
              </w:rPr>
            </w:pPr>
          </w:p>
        </w:tc>
        <w:tc>
          <w:tcPr>
            <w:tcW w:w="83" w:type="pct"/>
            <w:tcBorders>
              <w:top w:val="nil"/>
              <w:left w:val="nil"/>
              <w:bottom w:val="nil"/>
              <w:right w:val="nil"/>
            </w:tcBorders>
            <w:shd w:val="clear" w:color="auto" w:fill="auto"/>
            <w:vAlign w:val="center"/>
            <w:hideMark/>
          </w:tcPr>
          <w:p w14:paraId="18E33127" w14:textId="77777777" w:rsidR="005C363D" w:rsidRPr="00AE4E8D" w:rsidRDefault="005C363D" w:rsidP="00E8320E">
            <w:pPr>
              <w:spacing w:before="40" w:after="40"/>
              <w:jc w:val="center"/>
              <w:rPr>
                <w:rFonts w:ascii="Times New Roman" w:hAnsi="Times New Roman"/>
                <w:color w:val="000000"/>
                <w:sz w:val="16"/>
                <w:lang w:val="es-ES"/>
              </w:rPr>
            </w:pPr>
          </w:p>
        </w:tc>
        <w:tc>
          <w:tcPr>
            <w:tcW w:w="406" w:type="pct"/>
            <w:tcBorders>
              <w:top w:val="nil"/>
              <w:left w:val="nil"/>
              <w:bottom w:val="nil"/>
              <w:right w:val="nil"/>
            </w:tcBorders>
            <w:shd w:val="clear" w:color="auto" w:fill="auto"/>
            <w:noWrap/>
            <w:vAlign w:val="bottom"/>
            <w:hideMark/>
          </w:tcPr>
          <w:p w14:paraId="5EE15A37" w14:textId="77777777" w:rsidR="005C363D" w:rsidRPr="00AE4E8D" w:rsidRDefault="005C363D" w:rsidP="00E8320E">
            <w:pPr>
              <w:spacing w:before="40" w:after="40"/>
              <w:jc w:val="center"/>
              <w:rPr>
                <w:rFonts w:ascii="Times New Roman" w:hAnsi="Times New Roman"/>
                <w:sz w:val="16"/>
                <w:lang w:val="es-ES"/>
              </w:rPr>
            </w:pPr>
          </w:p>
        </w:tc>
        <w:tc>
          <w:tcPr>
            <w:tcW w:w="79" w:type="pct"/>
            <w:tcBorders>
              <w:top w:val="nil"/>
              <w:left w:val="nil"/>
              <w:bottom w:val="nil"/>
              <w:right w:val="nil"/>
            </w:tcBorders>
            <w:shd w:val="clear" w:color="auto" w:fill="auto"/>
            <w:noWrap/>
            <w:vAlign w:val="bottom"/>
            <w:hideMark/>
          </w:tcPr>
          <w:p w14:paraId="064EE0E7" w14:textId="77777777" w:rsidR="005C363D" w:rsidRPr="00AE4E8D" w:rsidRDefault="005C363D" w:rsidP="00E8320E">
            <w:pPr>
              <w:spacing w:before="40" w:after="40"/>
              <w:jc w:val="center"/>
              <w:rPr>
                <w:rFonts w:ascii="Times New Roman" w:hAnsi="Times New Roman"/>
                <w:sz w:val="16"/>
                <w:lang w:val="es-ES"/>
              </w:rPr>
            </w:pPr>
          </w:p>
        </w:tc>
        <w:tc>
          <w:tcPr>
            <w:tcW w:w="327" w:type="pct"/>
            <w:tcBorders>
              <w:top w:val="nil"/>
              <w:left w:val="nil"/>
              <w:bottom w:val="nil"/>
              <w:right w:val="nil"/>
            </w:tcBorders>
            <w:shd w:val="clear" w:color="auto" w:fill="auto"/>
            <w:noWrap/>
            <w:vAlign w:val="bottom"/>
            <w:hideMark/>
          </w:tcPr>
          <w:p w14:paraId="1B16A722" w14:textId="77777777" w:rsidR="005C363D" w:rsidRPr="00AE4E8D" w:rsidRDefault="005C363D" w:rsidP="00E8320E">
            <w:pPr>
              <w:spacing w:before="40" w:after="40"/>
              <w:jc w:val="center"/>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4F167315" w14:textId="77777777" w:rsidR="005C363D" w:rsidRPr="00AE4E8D" w:rsidRDefault="005C363D" w:rsidP="00E8320E">
            <w:pPr>
              <w:spacing w:before="40" w:after="40"/>
              <w:jc w:val="center"/>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2B49BB28"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469DAECB" w14:textId="77777777" w:rsidR="005C363D" w:rsidRPr="00AE4E8D" w:rsidRDefault="005C363D" w:rsidP="00E8320E">
            <w:pPr>
              <w:spacing w:before="40" w:after="40"/>
              <w:jc w:val="center"/>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2A47839B"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14908D54" w14:textId="77777777" w:rsidR="005C363D" w:rsidRPr="00AE4E8D" w:rsidRDefault="005C363D" w:rsidP="00E8320E">
            <w:pPr>
              <w:spacing w:before="40" w:after="40"/>
              <w:jc w:val="center"/>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088A95F4" w14:textId="77777777" w:rsidR="005C363D" w:rsidRPr="00AE4E8D" w:rsidRDefault="005C363D" w:rsidP="00E8320E">
            <w:pPr>
              <w:spacing w:before="40" w:after="40"/>
              <w:jc w:val="center"/>
              <w:rPr>
                <w:rFonts w:ascii="Times New Roman" w:hAnsi="Times New Roman"/>
                <w:color w:val="000000"/>
                <w:sz w:val="16"/>
                <w:lang w:val="es-ES"/>
              </w:rPr>
            </w:pPr>
          </w:p>
        </w:tc>
      </w:tr>
      <w:tr w:rsidR="003B5193" w:rsidRPr="00AE4E8D" w14:paraId="52EC0643" w14:textId="77777777" w:rsidTr="00E8320E">
        <w:trPr>
          <w:trHeight w:val="210"/>
        </w:trPr>
        <w:tc>
          <w:tcPr>
            <w:tcW w:w="1253" w:type="pct"/>
            <w:tcBorders>
              <w:top w:val="nil"/>
              <w:left w:val="nil"/>
              <w:bottom w:val="nil"/>
              <w:right w:val="nil"/>
            </w:tcBorders>
            <w:shd w:val="clear" w:color="auto" w:fill="auto"/>
            <w:noWrap/>
            <w:vAlign w:val="center"/>
            <w:hideMark/>
          </w:tcPr>
          <w:p w14:paraId="7A6392A3" w14:textId="77777777" w:rsidR="005C363D" w:rsidRPr="00AE4E8D" w:rsidRDefault="005C363D" w:rsidP="00E8320E">
            <w:pPr>
              <w:spacing w:before="40" w:after="40"/>
              <w:rPr>
                <w:rFonts w:ascii="Times New Roman" w:hAnsi="Times New Roman"/>
                <w:i/>
                <w:color w:val="000000"/>
                <w:sz w:val="16"/>
                <w:lang w:val="es-ES"/>
              </w:rPr>
            </w:pPr>
            <w:r w:rsidRPr="00AE4E8D">
              <w:rPr>
                <w:rFonts w:ascii="Times New Roman" w:hAnsi="Times New Roman"/>
                <w:i/>
                <w:color w:val="000000"/>
                <w:sz w:val="16"/>
                <w:lang w:val="es-ES"/>
              </w:rPr>
              <w:t>Activo:</w:t>
            </w:r>
          </w:p>
        </w:tc>
        <w:tc>
          <w:tcPr>
            <w:tcW w:w="328" w:type="pct"/>
            <w:tcBorders>
              <w:top w:val="nil"/>
              <w:left w:val="nil"/>
              <w:bottom w:val="nil"/>
              <w:right w:val="nil"/>
            </w:tcBorders>
            <w:shd w:val="clear" w:color="auto" w:fill="auto"/>
            <w:noWrap/>
            <w:vAlign w:val="center"/>
            <w:hideMark/>
          </w:tcPr>
          <w:p w14:paraId="58FD7DDC"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0FD24A80" w14:textId="77777777" w:rsidR="005C363D" w:rsidRPr="00AE4E8D" w:rsidRDefault="005C363D" w:rsidP="00E8320E">
            <w:pPr>
              <w:spacing w:before="40"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180C15B"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3868406" w14:textId="77777777" w:rsidR="005C363D" w:rsidRPr="00AE4E8D" w:rsidRDefault="005C363D" w:rsidP="00E8320E">
            <w:pPr>
              <w:spacing w:before="40"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A8383FE"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26B6864" w14:textId="77777777" w:rsidR="005C363D" w:rsidRPr="00AE4E8D" w:rsidRDefault="005C363D" w:rsidP="00E8320E">
            <w:pPr>
              <w:spacing w:before="40"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D9071E3" w14:textId="77777777" w:rsidR="005C363D" w:rsidRPr="00AE4E8D" w:rsidRDefault="005C363D" w:rsidP="00E8320E">
            <w:pPr>
              <w:spacing w:before="40" w:after="40"/>
              <w:jc w:val="center"/>
              <w:rPr>
                <w:rFonts w:ascii="Times New Roman" w:hAnsi="Times New Roman"/>
                <w:color w:val="000000"/>
                <w:sz w:val="16"/>
                <w:lang w:val="es-ES"/>
              </w:rPr>
            </w:pPr>
          </w:p>
        </w:tc>
        <w:tc>
          <w:tcPr>
            <w:tcW w:w="83" w:type="pct"/>
            <w:tcBorders>
              <w:top w:val="nil"/>
              <w:left w:val="nil"/>
              <w:bottom w:val="nil"/>
              <w:right w:val="nil"/>
            </w:tcBorders>
            <w:shd w:val="clear" w:color="auto" w:fill="auto"/>
            <w:vAlign w:val="center"/>
            <w:hideMark/>
          </w:tcPr>
          <w:p w14:paraId="696DD5B9" w14:textId="77777777" w:rsidR="005C363D" w:rsidRPr="00AE4E8D" w:rsidRDefault="005C363D" w:rsidP="00E8320E">
            <w:pPr>
              <w:spacing w:before="40" w:after="40"/>
              <w:jc w:val="center"/>
              <w:rPr>
                <w:rFonts w:ascii="Times New Roman" w:hAnsi="Times New Roman"/>
                <w:color w:val="000000"/>
                <w:sz w:val="16"/>
                <w:lang w:val="es-ES"/>
              </w:rPr>
            </w:pPr>
          </w:p>
        </w:tc>
        <w:tc>
          <w:tcPr>
            <w:tcW w:w="406" w:type="pct"/>
            <w:tcBorders>
              <w:top w:val="nil"/>
              <w:left w:val="nil"/>
              <w:bottom w:val="nil"/>
              <w:right w:val="nil"/>
            </w:tcBorders>
            <w:shd w:val="clear" w:color="auto" w:fill="auto"/>
            <w:noWrap/>
            <w:vAlign w:val="bottom"/>
            <w:hideMark/>
          </w:tcPr>
          <w:p w14:paraId="35AD0641" w14:textId="77777777" w:rsidR="005C363D" w:rsidRPr="00AE4E8D" w:rsidRDefault="005C363D" w:rsidP="00E8320E">
            <w:pPr>
              <w:spacing w:before="40" w:after="40"/>
              <w:jc w:val="center"/>
              <w:rPr>
                <w:rFonts w:ascii="Times New Roman" w:hAnsi="Times New Roman"/>
                <w:sz w:val="16"/>
                <w:lang w:val="es-ES"/>
              </w:rPr>
            </w:pPr>
          </w:p>
        </w:tc>
        <w:tc>
          <w:tcPr>
            <w:tcW w:w="79" w:type="pct"/>
            <w:tcBorders>
              <w:top w:val="nil"/>
              <w:left w:val="nil"/>
              <w:bottom w:val="nil"/>
              <w:right w:val="nil"/>
            </w:tcBorders>
            <w:shd w:val="clear" w:color="auto" w:fill="auto"/>
            <w:noWrap/>
            <w:vAlign w:val="bottom"/>
            <w:hideMark/>
          </w:tcPr>
          <w:p w14:paraId="49D5C29B" w14:textId="77777777" w:rsidR="005C363D" w:rsidRPr="00AE4E8D" w:rsidRDefault="005C363D" w:rsidP="00E8320E">
            <w:pPr>
              <w:spacing w:before="40" w:after="40"/>
              <w:jc w:val="center"/>
              <w:rPr>
                <w:rFonts w:ascii="Times New Roman" w:hAnsi="Times New Roman"/>
                <w:sz w:val="16"/>
                <w:lang w:val="es-ES"/>
              </w:rPr>
            </w:pPr>
          </w:p>
        </w:tc>
        <w:tc>
          <w:tcPr>
            <w:tcW w:w="327" w:type="pct"/>
            <w:tcBorders>
              <w:top w:val="nil"/>
              <w:left w:val="nil"/>
              <w:bottom w:val="nil"/>
              <w:right w:val="nil"/>
            </w:tcBorders>
            <w:shd w:val="clear" w:color="auto" w:fill="auto"/>
            <w:noWrap/>
            <w:vAlign w:val="bottom"/>
            <w:hideMark/>
          </w:tcPr>
          <w:p w14:paraId="289789BB" w14:textId="77777777" w:rsidR="005C363D" w:rsidRPr="00AE4E8D" w:rsidRDefault="005C363D" w:rsidP="00E8320E">
            <w:pPr>
              <w:spacing w:before="40" w:after="40"/>
              <w:jc w:val="center"/>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588B811B" w14:textId="77777777" w:rsidR="005C363D" w:rsidRPr="00AE4E8D" w:rsidRDefault="005C363D" w:rsidP="00E8320E">
            <w:pPr>
              <w:spacing w:before="40" w:after="40"/>
              <w:jc w:val="center"/>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7AE4CF28"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36EC3661" w14:textId="77777777" w:rsidR="005C363D" w:rsidRPr="00AE4E8D" w:rsidRDefault="005C363D" w:rsidP="00E8320E">
            <w:pPr>
              <w:spacing w:before="40" w:after="40"/>
              <w:jc w:val="center"/>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1EEF0307" w14:textId="77777777" w:rsidR="005C363D" w:rsidRPr="00AE4E8D" w:rsidRDefault="005C363D" w:rsidP="00E8320E">
            <w:pPr>
              <w:spacing w:before="40" w:after="40"/>
              <w:jc w:val="center"/>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5253EA93" w14:textId="77777777" w:rsidR="005C363D" w:rsidRPr="00AE4E8D" w:rsidRDefault="005C363D" w:rsidP="00E8320E">
            <w:pPr>
              <w:spacing w:before="40" w:after="40"/>
              <w:jc w:val="center"/>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785AEABB" w14:textId="77777777" w:rsidR="005C363D" w:rsidRPr="00AE4E8D" w:rsidRDefault="005C363D" w:rsidP="00E8320E">
            <w:pPr>
              <w:spacing w:before="40" w:after="40"/>
              <w:jc w:val="center"/>
              <w:rPr>
                <w:rFonts w:ascii="Times New Roman" w:hAnsi="Times New Roman"/>
                <w:color w:val="000000"/>
                <w:sz w:val="16"/>
                <w:lang w:val="es-ES"/>
              </w:rPr>
            </w:pPr>
          </w:p>
        </w:tc>
      </w:tr>
      <w:tr w:rsidR="003B5193" w:rsidRPr="00AE4E8D" w14:paraId="6A1525F5" w14:textId="77777777" w:rsidTr="00E8320E">
        <w:trPr>
          <w:trHeight w:val="210"/>
        </w:trPr>
        <w:tc>
          <w:tcPr>
            <w:tcW w:w="1253" w:type="pct"/>
            <w:tcBorders>
              <w:top w:val="nil"/>
              <w:left w:val="nil"/>
              <w:bottom w:val="nil"/>
              <w:right w:val="nil"/>
            </w:tcBorders>
            <w:shd w:val="clear" w:color="auto" w:fill="auto"/>
            <w:noWrap/>
            <w:vAlign w:val="center"/>
            <w:hideMark/>
          </w:tcPr>
          <w:p w14:paraId="43B91BC5" w14:textId="77777777" w:rsidR="005C363D" w:rsidRPr="00AE4E8D" w:rsidRDefault="005C363D" w:rsidP="00E8320E">
            <w:pPr>
              <w:tabs>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Disponibilidades</w:t>
            </w:r>
          </w:p>
        </w:tc>
        <w:tc>
          <w:tcPr>
            <w:tcW w:w="328" w:type="pct"/>
            <w:tcBorders>
              <w:top w:val="nil"/>
              <w:left w:val="nil"/>
              <w:bottom w:val="nil"/>
              <w:right w:val="nil"/>
            </w:tcBorders>
            <w:shd w:val="clear" w:color="auto" w:fill="auto"/>
            <w:noWrap/>
            <w:vAlign w:val="center"/>
            <w:hideMark/>
          </w:tcPr>
          <w:p w14:paraId="2F6B2FD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1.450.494</w:t>
            </w:r>
          </w:p>
        </w:tc>
        <w:tc>
          <w:tcPr>
            <w:tcW w:w="78" w:type="pct"/>
            <w:tcBorders>
              <w:top w:val="nil"/>
              <w:left w:val="nil"/>
              <w:bottom w:val="nil"/>
              <w:right w:val="nil"/>
            </w:tcBorders>
            <w:shd w:val="clear" w:color="auto" w:fill="auto"/>
            <w:vAlign w:val="center"/>
            <w:hideMark/>
          </w:tcPr>
          <w:p w14:paraId="3E16BAF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910A07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2.240.567</w:t>
            </w:r>
          </w:p>
        </w:tc>
        <w:tc>
          <w:tcPr>
            <w:tcW w:w="78" w:type="pct"/>
            <w:tcBorders>
              <w:top w:val="nil"/>
              <w:left w:val="nil"/>
              <w:bottom w:val="nil"/>
              <w:right w:val="nil"/>
            </w:tcBorders>
            <w:shd w:val="clear" w:color="auto" w:fill="auto"/>
            <w:vAlign w:val="center"/>
            <w:hideMark/>
          </w:tcPr>
          <w:p w14:paraId="5DE8577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571059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5.368.514</w:t>
            </w:r>
          </w:p>
        </w:tc>
        <w:tc>
          <w:tcPr>
            <w:tcW w:w="78" w:type="pct"/>
            <w:tcBorders>
              <w:top w:val="nil"/>
              <w:left w:val="nil"/>
              <w:bottom w:val="nil"/>
              <w:right w:val="nil"/>
            </w:tcBorders>
            <w:shd w:val="clear" w:color="auto" w:fill="auto"/>
            <w:vAlign w:val="center"/>
            <w:hideMark/>
          </w:tcPr>
          <w:p w14:paraId="4BF1428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191535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6.378.793</w:t>
            </w:r>
          </w:p>
        </w:tc>
        <w:tc>
          <w:tcPr>
            <w:tcW w:w="83" w:type="pct"/>
            <w:tcBorders>
              <w:top w:val="nil"/>
              <w:left w:val="nil"/>
              <w:bottom w:val="nil"/>
              <w:right w:val="nil"/>
            </w:tcBorders>
            <w:shd w:val="clear" w:color="auto" w:fill="auto"/>
            <w:noWrap/>
            <w:vAlign w:val="center"/>
            <w:hideMark/>
          </w:tcPr>
          <w:p w14:paraId="3F36E97A"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8A7C1F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7.188.279</w:t>
            </w:r>
          </w:p>
        </w:tc>
        <w:tc>
          <w:tcPr>
            <w:tcW w:w="79" w:type="pct"/>
            <w:tcBorders>
              <w:top w:val="nil"/>
              <w:left w:val="nil"/>
              <w:bottom w:val="nil"/>
              <w:right w:val="nil"/>
            </w:tcBorders>
            <w:shd w:val="clear" w:color="auto" w:fill="auto"/>
            <w:noWrap/>
            <w:vAlign w:val="center"/>
            <w:hideMark/>
          </w:tcPr>
          <w:p w14:paraId="16C9F5F5"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CED72D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453.513</w:t>
            </w:r>
          </w:p>
        </w:tc>
        <w:tc>
          <w:tcPr>
            <w:tcW w:w="78" w:type="pct"/>
            <w:tcBorders>
              <w:top w:val="nil"/>
              <w:left w:val="nil"/>
              <w:bottom w:val="nil"/>
              <w:right w:val="nil"/>
            </w:tcBorders>
            <w:shd w:val="clear" w:color="auto" w:fill="auto"/>
            <w:vAlign w:val="center"/>
            <w:hideMark/>
          </w:tcPr>
          <w:p w14:paraId="1C5AD2AF"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35148B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3.301.840</w:t>
            </w:r>
          </w:p>
        </w:tc>
        <w:tc>
          <w:tcPr>
            <w:tcW w:w="78" w:type="pct"/>
            <w:tcBorders>
              <w:top w:val="nil"/>
              <w:left w:val="nil"/>
              <w:bottom w:val="nil"/>
              <w:right w:val="nil"/>
            </w:tcBorders>
            <w:shd w:val="clear" w:color="auto" w:fill="auto"/>
            <w:vAlign w:val="center"/>
          </w:tcPr>
          <w:p w14:paraId="406020E0"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2D9FD4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3.435.303</w:t>
            </w:r>
          </w:p>
        </w:tc>
        <w:tc>
          <w:tcPr>
            <w:tcW w:w="78" w:type="pct"/>
            <w:gridSpan w:val="2"/>
            <w:tcBorders>
              <w:top w:val="nil"/>
              <w:left w:val="nil"/>
              <w:bottom w:val="nil"/>
              <w:right w:val="nil"/>
            </w:tcBorders>
            <w:shd w:val="clear" w:color="auto" w:fill="auto"/>
            <w:vAlign w:val="center"/>
          </w:tcPr>
          <w:p w14:paraId="3FD666B5"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F2F066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206.965 </w:t>
            </w:r>
          </w:p>
        </w:tc>
      </w:tr>
      <w:tr w:rsidR="003B5193" w:rsidRPr="00AE4E8D" w14:paraId="2DE5746B" w14:textId="77777777" w:rsidTr="00E8320E">
        <w:trPr>
          <w:trHeight w:val="210"/>
        </w:trPr>
        <w:tc>
          <w:tcPr>
            <w:tcW w:w="1253" w:type="pct"/>
            <w:tcBorders>
              <w:top w:val="nil"/>
              <w:left w:val="nil"/>
              <w:bottom w:val="nil"/>
              <w:right w:val="nil"/>
            </w:tcBorders>
            <w:shd w:val="clear" w:color="auto" w:fill="auto"/>
            <w:noWrap/>
            <w:vAlign w:val="center"/>
            <w:hideMark/>
          </w:tcPr>
          <w:p w14:paraId="485E1CF7"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Títulos públicos y privados (2)</w:t>
            </w:r>
          </w:p>
        </w:tc>
        <w:tc>
          <w:tcPr>
            <w:tcW w:w="328" w:type="pct"/>
            <w:tcBorders>
              <w:top w:val="nil"/>
              <w:left w:val="nil"/>
              <w:bottom w:val="nil"/>
              <w:right w:val="nil"/>
            </w:tcBorders>
            <w:shd w:val="clear" w:color="auto" w:fill="auto"/>
            <w:noWrap/>
            <w:vAlign w:val="center"/>
            <w:hideMark/>
          </w:tcPr>
          <w:p w14:paraId="5D8A1E5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2.078.936</w:t>
            </w:r>
          </w:p>
        </w:tc>
        <w:tc>
          <w:tcPr>
            <w:tcW w:w="78" w:type="pct"/>
            <w:tcBorders>
              <w:top w:val="nil"/>
              <w:left w:val="nil"/>
              <w:bottom w:val="nil"/>
              <w:right w:val="nil"/>
            </w:tcBorders>
            <w:shd w:val="clear" w:color="auto" w:fill="auto"/>
            <w:vAlign w:val="center"/>
            <w:hideMark/>
          </w:tcPr>
          <w:p w14:paraId="16BA33E4"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0656E3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1.740.587</w:t>
            </w:r>
          </w:p>
        </w:tc>
        <w:tc>
          <w:tcPr>
            <w:tcW w:w="78" w:type="pct"/>
            <w:tcBorders>
              <w:top w:val="nil"/>
              <w:left w:val="nil"/>
              <w:bottom w:val="nil"/>
              <w:right w:val="nil"/>
            </w:tcBorders>
            <w:shd w:val="clear" w:color="auto" w:fill="auto"/>
            <w:vAlign w:val="center"/>
            <w:hideMark/>
          </w:tcPr>
          <w:p w14:paraId="4E42439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F28E61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4.518.035</w:t>
            </w:r>
          </w:p>
        </w:tc>
        <w:tc>
          <w:tcPr>
            <w:tcW w:w="78" w:type="pct"/>
            <w:tcBorders>
              <w:top w:val="nil"/>
              <w:left w:val="nil"/>
              <w:bottom w:val="nil"/>
              <w:right w:val="nil"/>
            </w:tcBorders>
            <w:shd w:val="clear" w:color="auto" w:fill="auto"/>
            <w:vAlign w:val="center"/>
            <w:hideMark/>
          </w:tcPr>
          <w:p w14:paraId="3F107CA4"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68A697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5.446.262</w:t>
            </w:r>
          </w:p>
        </w:tc>
        <w:tc>
          <w:tcPr>
            <w:tcW w:w="83" w:type="pct"/>
            <w:tcBorders>
              <w:top w:val="nil"/>
              <w:left w:val="nil"/>
              <w:bottom w:val="nil"/>
              <w:right w:val="nil"/>
            </w:tcBorders>
            <w:shd w:val="clear" w:color="auto" w:fill="auto"/>
            <w:noWrap/>
            <w:vAlign w:val="center"/>
            <w:hideMark/>
          </w:tcPr>
          <w:p w14:paraId="36FC8B17"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1170C64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4.997.612</w:t>
            </w:r>
          </w:p>
        </w:tc>
        <w:tc>
          <w:tcPr>
            <w:tcW w:w="79" w:type="pct"/>
            <w:tcBorders>
              <w:top w:val="nil"/>
              <w:left w:val="nil"/>
              <w:bottom w:val="nil"/>
              <w:right w:val="nil"/>
            </w:tcBorders>
            <w:shd w:val="clear" w:color="auto" w:fill="auto"/>
            <w:noWrap/>
            <w:vAlign w:val="center"/>
            <w:hideMark/>
          </w:tcPr>
          <w:p w14:paraId="2E72575F"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38EB45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315.303</w:t>
            </w:r>
          </w:p>
        </w:tc>
        <w:tc>
          <w:tcPr>
            <w:tcW w:w="78" w:type="pct"/>
            <w:tcBorders>
              <w:top w:val="nil"/>
              <w:left w:val="nil"/>
              <w:bottom w:val="nil"/>
              <w:right w:val="nil"/>
            </w:tcBorders>
            <w:shd w:val="clear" w:color="auto" w:fill="auto"/>
            <w:vAlign w:val="center"/>
            <w:hideMark/>
          </w:tcPr>
          <w:p w14:paraId="44A99632"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8F3CA5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5.269.499</w:t>
            </w:r>
          </w:p>
        </w:tc>
        <w:tc>
          <w:tcPr>
            <w:tcW w:w="78" w:type="pct"/>
            <w:tcBorders>
              <w:top w:val="nil"/>
              <w:left w:val="nil"/>
              <w:bottom w:val="nil"/>
              <w:right w:val="nil"/>
            </w:tcBorders>
            <w:shd w:val="clear" w:color="auto" w:fill="auto"/>
            <w:vAlign w:val="center"/>
          </w:tcPr>
          <w:p w14:paraId="7BA54A35"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F1CC9B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8.082.099</w:t>
            </w:r>
          </w:p>
        </w:tc>
        <w:tc>
          <w:tcPr>
            <w:tcW w:w="78" w:type="pct"/>
            <w:gridSpan w:val="2"/>
            <w:tcBorders>
              <w:top w:val="nil"/>
              <w:left w:val="nil"/>
              <w:bottom w:val="nil"/>
              <w:right w:val="nil"/>
            </w:tcBorders>
            <w:shd w:val="clear" w:color="auto" w:fill="auto"/>
            <w:vAlign w:val="center"/>
          </w:tcPr>
          <w:p w14:paraId="5E735210"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9200ED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486.917 </w:t>
            </w:r>
          </w:p>
        </w:tc>
      </w:tr>
      <w:tr w:rsidR="003B5193" w:rsidRPr="00AE4E8D" w14:paraId="359EAE07" w14:textId="77777777" w:rsidTr="00E8320E">
        <w:trPr>
          <w:trHeight w:val="210"/>
        </w:trPr>
        <w:tc>
          <w:tcPr>
            <w:tcW w:w="1253" w:type="pct"/>
            <w:tcBorders>
              <w:top w:val="nil"/>
              <w:left w:val="nil"/>
              <w:bottom w:val="nil"/>
              <w:right w:val="nil"/>
            </w:tcBorders>
            <w:shd w:val="clear" w:color="auto" w:fill="auto"/>
            <w:vAlign w:val="center"/>
            <w:hideMark/>
          </w:tcPr>
          <w:p w14:paraId="56AFF673" w14:textId="77777777" w:rsidR="005C363D" w:rsidRPr="00AE4E8D" w:rsidRDefault="005C363D" w:rsidP="00E8320E">
            <w:pPr>
              <w:tabs>
                <w:tab w:val="left" w:pos="3261"/>
                <w:tab w:val="left" w:pos="3355"/>
              </w:tabs>
              <w:spacing w:before="40" w:after="40"/>
              <w:rPr>
                <w:rFonts w:ascii="Times New Roman" w:hAnsi="Times New Roman"/>
                <w:i/>
                <w:color w:val="000000"/>
                <w:sz w:val="16"/>
                <w:lang w:val="es-ES"/>
              </w:rPr>
            </w:pPr>
            <w:r w:rsidRPr="00AE4E8D">
              <w:rPr>
                <w:rFonts w:ascii="Times New Roman" w:hAnsi="Times New Roman"/>
                <w:i/>
                <w:color w:val="000000"/>
                <w:sz w:val="16"/>
                <w:lang w:val="es-ES"/>
              </w:rPr>
              <w:t>Préstamos:</w:t>
            </w:r>
          </w:p>
        </w:tc>
        <w:tc>
          <w:tcPr>
            <w:tcW w:w="328" w:type="pct"/>
            <w:tcBorders>
              <w:top w:val="nil"/>
              <w:left w:val="nil"/>
              <w:bottom w:val="nil"/>
              <w:right w:val="nil"/>
            </w:tcBorders>
            <w:shd w:val="clear" w:color="auto" w:fill="auto"/>
            <w:noWrap/>
            <w:vAlign w:val="center"/>
            <w:hideMark/>
          </w:tcPr>
          <w:p w14:paraId="378E81DB"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71186D7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12D9127"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5C26744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A47FCAB"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46B51864"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C75A03A" w14:textId="77777777" w:rsidR="005C363D" w:rsidRPr="00AE4E8D" w:rsidRDefault="005C363D"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hideMark/>
          </w:tcPr>
          <w:p w14:paraId="37909A20"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41759B49" w14:textId="77777777" w:rsidR="005C363D" w:rsidRPr="00AE4E8D" w:rsidRDefault="005C363D"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hideMark/>
          </w:tcPr>
          <w:p w14:paraId="57D31B4E"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8CB6CBB"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0F172345"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5B0BFAC"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68B5E666"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554CABF"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tcPr>
          <w:p w14:paraId="40F2C63F"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CAC35F4" w14:textId="77777777" w:rsidR="005C363D" w:rsidRPr="00AE4E8D" w:rsidRDefault="005C363D" w:rsidP="00E8320E">
            <w:pPr>
              <w:spacing w:before="40" w:after="40"/>
              <w:jc w:val="right"/>
              <w:rPr>
                <w:rFonts w:ascii="Times New Roman" w:hAnsi="Times New Roman"/>
                <w:color w:val="000000"/>
                <w:sz w:val="16"/>
                <w:lang w:val="es-ES"/>
              </w:rPr>
            </w:pPr>
          </w:p>
        </w:tc>
      </w:tr>
      <w:tr w:rsidR="003B5193" w:rsidRPr="00AE4E8D" w14:paraId="27B7E91C" w14:textId="77777777" w:rsidTr="00E8320E">
        <w:trPr>
          <w:trHeight w:val="210"/>
        </w:trPr>
        <w:tc>
          <w:tcPr>
            <w:tcW w:w="1253" w:type="pct"/>
            <w:tcBorders>
              <w:top w:val="nil"/>
              <w:left w:val="nil"/>
              <w:bottom w:val="nil"/>
              <w:right w:val="nil"/>
            </w:tcBorders>
            <w:shd w:val="clear" w:color="auto" w:fill="auto"/>
            <w:vAlign w:val="center"/>
            <w:hideMark/>
          </w:tcPr>
          <w:p w14:paraId="23871AF6"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Al sector público no financiero</w:t>
            </w:r>
          </w:p>
        </w:tc>
        <w:tc>
          <w:tcPr>
            <w:tcW w:w="328" w:type="pct"/>
            <w:tcBorders>
              <w:top w:val="nil"/>
              <w:left w:val="nil"/>
              <w:bottom w:val="nil"/>
              <w:right w:val="nil"/>
            </w:tcBorders>
            <w:shd w:val="clear" w:color="auto" w:fill="auto"/>
            <w:noWrap/>
            <w:vAlign w:val="center"/>
            <w:hideMark/>
          </w:tcPr>
          <w:p w14:paraId="11220FB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91.806</w:t>
            </w:r>
          </w:p>
        </w:tc>
        <w:tc>
          <w:tcPr>
            <w:tcW w:w="78" w:type="pct"/>
            <w:tcBorders>
              <w:top w:val="nil"/>
              <w:left w:val="nil"/>
              <w:bottom w:val="nil"/>
              <w:right w:val="nil"/>
            </w:tcBorders>
            <w:shd w:val="clear" w:color="auto" w:fill="auto"/>
            <w:vAlign w:val="center"/>
            <w:hideMark/>
          </w:tcPr>
          <w:p w14:paraId="62C253E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41965A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139.373</w:t>
            </w:r>
          </w:p>
        </w:tc>
        <w:tc>
          <w:tcPr>
            <w:tcW w:w="78" w:type="pct"/>
            <w:tcBorders>
              <w:top w:val="nil"/>
              <w:left w:val="nil"/>
              <w:bottom w:val="nil"/>
              <w:right w:val="nil"/>
            </w:tcBorders>
            <w:shd w:val="clear" w:color="auto" w:fill="auto"/>
            <w:vAlign w:val="center"/>
            <w:hideMark/>
          </w:tcPr>
          <w:p w14:paraId="6D5DECB1"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right w:val="nil"/>
            </w:tcBorders>
            <w:shd w:val="clear" w:color="auto" w:fill="auto"/>
            <w:noWrap/>
            <w:vAlign w:val="center"/>
            <w:hideMark/>
          </w:tcPr>
          <w:p w14:paraId="474E3C8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112.131</w:t>
            </w:r>
          </w:p>
        </w:tc>
        <w:tc>
          <w:tcPr>
            <w:tcW w:w="78" w:type="pct"/>
            <w:tcBorders>
              <w:top w:val="nil"/>
              <w:left w:val="nil"/>
              <w:right w:val="nil"/>
            </w:tcBorders>
            <w:shd w:val="clear" w:color="auto" w:fill="auto"/>
            <w:vAlign w:val="center"/>
            <w:hideMark/>
          </w:tcPr>
          <w:p w14:paraId="1F742AF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right w:val="nil"/>
            </w:tcBorders>
            <w:shd w:val="clear" w:color="auto" w:fill="auto"/>
            <w:noWrap/>
            <w:vAlign w:val="center"/>
            <w:hideMark/>
          </w:tcPr>
          <w:p w14:paraId="46A0C9C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46.999</w:t>
            </w:r>
          </w:p>
        </w:tc>
        <w:tc>
          <w:tcPr>
            <w:tcW w:w="83" w:type="pct"/>
            <w:tcBorders>
              <w:top w:val="nil"/>
              <w:left w:val="nil"/>
              <w:bottom w:val="nil"/>
              <w:right w:val="nil"/>
            </w:tcBorders>
            <w:shd w:val="clear" w:color="auto" w:fill="auto"/>
            <w:noWrap/>
            <w:vAlign w:val="center"/>
            <w:hideMark/>
          </w:tcPr>
          <w:p w14:paraId="2169A9CB"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6DA383B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153.032</w:t>
            </w:r>
          </w:p>
        </w:tc>
        <w:tc>
          <w:tcPr>
            <w:tcW w:w="79" w:type="pct"/>
            <w:tcBorders>
              <w:top w:val="nil"/>
              <w:left w:val="nil"/>
              <w:bottom w:val="nil"/>
              <w:right w:val="nil"/>
            </w:tcBorders>
            <w:shd w:val="clear" w:color="auto" w:fill="auto"/>
            <w:noWrap/>
            <w:vAlign w:val="center"/>
            <w:hideMark/>
          </w:tcPr>
          <w:p w14:paraId="35003149"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36F8D7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9.655</w:t>
            </w:r>
          </w:p>
        </w:tc>
        <w:tc>
          <w:tcPr>
            <w:tcW w:w="78" w:type="pct"/>
            <w:tcBorders>
              <w:top w:val="nil"/>
              <w:left w:val="nil"/>
              <w:bottom w:val="nil"/>
              <w:right w:val="nil"/>
            </w:tcBorders>
            <w:shd w:val="clear" w:color="auto" w:fill="auto"/>
            <w:vAlign w:val="center"/>
            <w:hideMark/>
          </w:tcPr>
          <w:p w14:paraId="4993072A"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2886B68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165.019</w:t>
            </w:r>
          </w:p>
        </w:tc>
        <w:tc>
          <w:tcPr>
            <w:tcW w:w="78" w:type="pct"/>
            <w:tcBorders>
              <w:top w:val="nil"/>
              <w:left w:val="nil"/>
              <w:bottom w:val="nil"/>
              <w:right w:val="nil"/>
            </w:tcBorders>
            <w:shd w:val="clear" w:color="auto" w:fill="auto"/>
            <w:vAlign w:val="center"/>
          </w:tcPr>
          <w:p w14:paraId="5315B5A2"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2E5D81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129.474</w:t>
            </w:r>
          </w:p>
        </w:tc>
        <w:tc>
          <w:tcPr>
            <w:tcW w:w="78" w:type="pct"/>
            <w:gridSpan w:val="2"/>
            <w:tcBorders>
              <w:top w:val="nil"/>
              <w:left w:val="nil"/>
              <w:bottom w:val="nil"/>
              <w:right w:val="nil"/>
            </w:tcBorders>
            <w:shd w:val="clear" w:color="auto" w:fill="auto"/>
            <w:vAlign w:val="center"/>
          </w:tcPr>
          <w:p w14:paraId="46A02587"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8CC7BD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7.800 </w:t>
            </w:r>
          </w:p>
        </w:tc>
      </w:tr>
      <w:tr w:rsidR="003B5193" w:rsidRPr="00AE4E8D" w14:paraId="2C755B77" w14:textId="77777777" w:rsidTr="00E8320E">
        <w:trPr>
          <w:trHeight w:val="210"/>
        </w:trPr>
        <w:tc>
          <w:tcPr>
            <w:tcW w:w="1253" w:type="pct"/>
            <w:tcBorders>
              <w:top w:val="nil"/>
              <w:left w:val="nil"/>
              <w:bottom w:val="nil"/>
              <w:right w:val="nil"/>
            </w:tcBorders>
            <w:shd w:val="clear" w:color="auto" w:fill="auto"/>
            <w:vAlign w:val="center"/>
            <w:hideMark/>
          </w:tcPr>
          <w:p w14:paraId="55769044"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Al sector financiero</w:t>
            </w:r>
          </w:p>
        </w:tc>
        <w:tc>
          <w:tcPr>
            <w:tcW w:w="328" w:type="pct"/>
            <w:tcBorders>
              <w:top w:val="nil"/>
              <w:left w:val="nil"/>
              <w:bottom w:val="nil"/>
              <w:right w:val="nil"/>
            </w:tcBorders>
            <w:shd w:val="clear" w:color="auto" w:fill="auto"/>
            <w:noWrap/>
            <w:vAlign w:val="center"/>
            <w:hideMark/>
          </w:tcPr>
          <w:p w14:paraId="40896A4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391.343</w:t>
            </w:r>
          </w:p>
        </w:tc>
        <w:tc>
          <w:tcPr>
            <w:tcW w:w="78" w:type="pct"/>
            <w:tcBorders>
              <w:top w:val="nil"/>
              <w:left w:val="nil"/>
              <w:bottom w:val="nil"/>
              <w:right w:val="nil"/>
            </w:tcBorders>
            <w:shd w:val="clear" w:color="auto" w:fill="auto"/>
            <w:vAlign w:val="center"/>
            <w:hideMark/>
          </w:tcPr>
          <w:p w14:paraId="72BEFD0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3FD200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379.308</w:t>
            </w:r>
          </w:p>
        </w:tc>
        <w:tc>
          <w:tcPr>
            <w:tcW w:w="78" w:type="pct"/>
            <w:tcBorders>
              <w:top w:val="nil"/>
              <w:left w:val="nil"/>
              <w:bottom w:val="nil"/>
              <w:right w:val="nil"/>
            </w:tcBorders>
            <w:shd w:val="clear" w:color="auto" w:fill="auto"/>
            <w:vAlign w:val="center"/>
            <w:hideMark/>
          </w:tcPr>
          <w:p w14:paraId="40C362F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2B8B28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339.190</w:t>
            </w:r>
          </w:p>
        </w:tc>
        <w:tc>
          <w:tcPr>
            <w:tcW w:w="78" w:type="pct"/>
            <w:tcBorders>
              <w:top w:val="nil"/>
              <w:left w:val="nil"/>
              <w:bottom w:val="nil"/>
              <w:right w:val="nil"/>
            </w:tcBorders>
            <w:shd w:val="clear" w:color="auto" w:fill="auto"/>
            <w:vAlign w:val="center"/>
            <w:hideMark/>
          </w:tcPr>
          <w:p w14:paraId="22A627E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B56C07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198.130</w:t>
            </w:r>
          </w:p>
        </w:tc>
        <w:tc>
          <w:tcPr>
            <w:tcW w:w="83" w:type="pct"/>
            <w:tcBorders>
              <w:top w:val="nil"/>
              <w:left w:val="nil"/>
              <w:bottom w:val="nil"/>
              <w:right w:val="nil"/>
            </w:tcBorders>
            <w:shd w:val="clear" w:color="auto" w:fill="auto"/>
            <w:noWrap/>
            <w:vAlign w:val="center"/>
            <w:hideMark/>
          </w:tcPr>
          <w:p w14:paraId="2A223108"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CBFC24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636.950</w:t>
            </w:r>
          </w:p>
        </w:tc>
        <w:tc>
          <w:tcPr>
            <w:tcW w:w="79" w:type="pct"/>
            <w:tcBorders>
              <w:top w:val="nil"/>
              <w:left w:val="nil"/>
              <w:bottom w:val="nil"/>
              <w:right w:val="nil"/>
            </w:tcBorders>
            <w:shd w:val="clear" w:color="auto" w:fill="auto"/>
            <w:noWrap/>
            <w:vAlign w:val="center"/>
            <w:hideMark/>
          </w:tcPr>
          <w:p w14:paraId="638D8E89"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8A20F2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40.186</w:t>
            </w:r>
          </w:p>
        </w:tc>
        <w:tc>
          <w:tcPr>
            <w:tcW w:w="78" w:type="pct"/>
            <w:tcBorders>
              <w:top w:val="nil"/>
              <w:left w:val="nil"/>
              <w:bottom w:val="nil"/>
              <w:right w:val="nil"/>
            </w:tcBorders>
            <w:shd w:val="clear" w:color="auto" w:fill="auto"/>
            <w:vAlign w:val="center"/>
            <w:hideMark/>
          </w:tcPr>
          <w:p w14:paraId="0C2B84BD"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7C90040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472.777</w:t>
            </w:r>
          </w:p>
        </w:tc>
        <w:tc>
          <w:tcPr>
            <w:tcW w:w="78" w:type="pct"/>
            <w:tcBorders>
              <w:top w:val="nil"/>
              <w:left w:val="nil"/>
              <w:bottom w:val="nil"/>
              <w:right w:val="nil"/>
            </w:tcBorders>
            <w:shd w:val="clear" w:color="auto" w:fill="auto"/>
            <w:vAlign w:val="center"/>
          </w:tcPr>
          <w:p w14:paraId="3BF75151"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9F7631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518.403</w:t>
            </w:r>
          </w:p>
        </w:tc>
        <w:tc>
          <w:tcPr>
            <w:tcW w:w="78" w:type="pct"/>
            <w:gridSpan w:val="2"/>
            <w:tcBorders>
              <w:top w:val="nil"/>
              <w:left w:val="nil"/>
              <w:bottom w:val="nil"/>
              <w:right w:val="nil"/>
            </w:tcBorders>
            <w:shd w:val="clear" w:color="auto" w:fill="auto"/>
            <w:vAlign w:val="center"/>
          </w:tcPr>
          <w:p w14:paraId="42A090CA"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24DF7AC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31.232 </w:t>
            </w:r>
          </w:p>
        </w:tc>
      </w:tr>
      <w:tr w:rsidR="003B5193" w:rsidRPr="00AE4E8D" w14:paraId="0E5AB2BA" w14:textId="77777777" w:rsidTr="00E8320E">
        <w:trPr>
          <w:trHeight w:val="210"/>
        </w:trPr>
        <w:tc>
          <w:tcPr>
            <w:tcW w:w="1253" w:type="pct"/>
            <w:tcBorders>
              <w:top w:val="nil"/>
              <w:left w:val="nil"/>
              <w:bottom w:val="nil"/>
              <w:right w:val="nil"/>
            </w:tcBorders>
            <w:shd w:val="clear" w:color="auto" w:fill="auto"/>
            <w:vAlign w:val="center"/>
          </w:tcPr>
          <w:p w14:paraId="2D42A8CB"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Al sector privado no financiero y residentes en el exterior</w:t>
            </w:r>
          </w:p>
        </w:tc>
        <w:tc>
          <w:tcPr>
            <w:tcW w:w="328" w:type="pct"/>
            <w:tcBorders>
              <w:top w:val="nil"/>
              <w:left w:val="nil"/>
              <w:bottom w:val="nil"/>
              <w:right w:val="nil"/>
            </w:tcBorders>
            <w:shd w:val="clear" w:color="auto" w:fill="auto"/>
            <w:noWrap/>
            <w:vAlign w:val="center"/>
          </w:tcPr>
          <w:p w14:paraId="71522EF0"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78DF9A0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35260871"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0F1EAC8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26CE3401"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4FADC63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589AA44B" w14:textId="77777777" w:rsidR="005C363D" w:rsidRPr="00AE4E8D" w:rsidRDefault="005C363D"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tcPr>
          <w:p w14:paraId="3F9DA970"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tcPr>
          <w:p w14:paraId="1E79FF83" w14:textId="77777777" w:rsidR="005C363D" w:rsidRPr="00AE4E8D" w:rsidRDefault="005C363D"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tcPr>
          <w:p w14:paraId="494C058D"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tcPr>
          <w:p w14:paraId="047DDE93"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6BD0538A"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221C06E"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53E019FF"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75223E7"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tcPr>
          <w:p w14:paraId="05382DB6"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573E5BF5" w14:textId="77777777" w:rsidR="005C363D" w:rsidRPr="00AE4E8D" w:rsidRDefault="005C363D" w:rsidP="00E8320E">
            <w:pPr>
              <w:spacing w:before="40" w:after="40"/>
              <w:jc w:val="right"/>
              <w:rPr>
                <w:rFonts w:ascii="Times New Roman" w:hAnsi="Times New Roman"/>
                <w:color w:val="000000"/>
                <w:sz w:val="16"/>
                <w:lang w:val="es-ES"/>
              </w:rPr>
            </w:pPr>
          </w:p>
        </w:tc>
      </w:tr>
      <w:tr w:rsidR="003B5193" w:rsidRPr="00AE4E8D" w14:paraId="6323FD62" w14:textId="77777777" w:rsidTr="00E8320E">
        <w:trPr>
          <w:trHeight w:val="210"/>
        </w:trPr>
        <w:tc>
          <w:tcPr>
            <w:tcW w:w="1253" w:type="pct"/>
            <w:tcBorders>
              <w:top w:val="nil"/>
              <w:left w:val="nil"/>
              <w:bottom w:val="nil"/>
              <w:right w:val="nil"/>
            </w:tcBorders>
            <w:shd w:val="clear" w:color="auto" w:fill="auto"/>
            <w:vAlign w:val="center"/>
            <w:hideMark/>
          </w:tcPr>
          <w:p w14:paraId="4887528D"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Adelantos</w:t>
            </w:r>
          </w:p>
        </w:tc>
        <w:tc>
          <w:tcPr>
            <w:tcW w:w="328" w:type="pct"/>
            <w:tcBorders>
              <w:top w:val="nil"/>
              <w:left w:val="nil"/>
              <w:bottom w:val="nil"/>
              <w:right w:val="nil"/>
            </w:tcBorders>
            <w:shd w:val="clear" w:color="auto" w:fill="auto"/>
            <w:noWrap/>
            <w:vAlign w:val="center"/>
            <w:hideMark/>
          </w:tcPr>
          <w:p w14:paraId="0A76C1E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1.031.178</w:t>
            </w:r>
          </w:p>
        </w:tc>
        <w:tc>
          <w:tcPr>
            <w:tcW w:w="78" w:type="pct"/>
            <w:tcBorders>
              <w:top w:val="nil"/>
              <w:left w:val="nil"/>
              <w:bottom w:val="nil"/>
              <w:right w:val="nil"/>
            </w:tcBorders>
            <w:shd w:val="clear" w:color="auto" w:fill="auto"/>
            <w:vAlign w:val="center"/>
            <w:hideMark/>
          </w:tcPr>
          <w:p w14:paraId="08FA0DE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BF4B70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792.178</w:t>
            </w:r>
          </w:p>
        </w:tc>
        <w:tc>
          <w:tcPr>
            <w:tcW w:w="78" w:type="pct"/>
            <w:tcBorders>
              <w:top w:val="nil"/>
              <w:left w:val="nil"/>
              <w:bottom w:val="nil"/>
              <w:right w:val="nil"/>
            </w:tcBorders>
            <w:shd w:val="clear" w:color="auto" w:fill="auto"/>
            <w:vAlign w:val="center"/>
            <w:hideMark/>
          </w:tcPr>
          <w:p w14:paraId="761E6C6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8314B6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1.173.527</w:t>
            </w:r>
          </w:p>
        </w:tc>
        <w:tc>
          <w:tcPr>
            <w:tcW w:w="78" w:type="pct"/>
            <w:tcBorders>
              <w:top w:val="nil"/>
              <w:left w:val="nil"/>
              <w:bottom w:val="nil"/>
              <w:right w:val="nil"/>
            </w:tcBorders>
            <w:shd w:val="clear" w:color="auto" w:fill="auto"/>
            <w:vAlign w:val="center"/>
            <w:hideMark/>
          </w:tcPr>
          <w:p w14:paraId="6626EA9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E0173F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493.226</w:t>
            </w:r>
          </w:p>
        </w:tc>
        <w:tc>
          <w:tcPr>
            <w:tcW w:w="83" w:type="pct"/>
            <w:tcBorders>
              <w:top w:val="nil"/>
              <w:left w:val="nil"/>
              <w:bottom w:val="nil"/>
              <w:right w:val="nil"/>
            </w:tcBorders>
            <w:shd w:val="clear" w:color="auto" w:fill="auto"/>
            <w:noWrap/>
            <w:vAlign w:val="center"/>
            <w:hideMark/>
          </w:tcPr>
          <w:p w14:paraId="18CAF33F"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CE27EF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290.153</w:t>
            </w:r>
          </w:p>
        </w:tc>
        <w:tc>
          <w:tcPr>
            <w:tcW w:w="79" w:type="pct"/>
            <w:tcBorders>
              <w:top w:val="nil"/>
              <w:left w:val="nil"/>
              <w:bottom w:val="nil"/>
              <w:right w:val="nil"/>
            </w:tcBorders>
            <w:shd w:val="clear" w:color="auto" w:fill="auto"/>
            <w:noWrap/>
            <w:vAlign w:val="center"/>
            <w:hideMark/>
          </w:tcPr>
          <w:p w14:paraId="582EBE93"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451E14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18.306</w:t>
            </w:r>
          </w:p>
        </w:tc>
        <w:tc>
          <w:tcPr>
            <w:tcW w:w="78" w:type="pct"/>
            <w:tcBorders>
              <w:top w:val="nil"/>
              <w:left w:val="nil"/>
              <w:bottom w:val="nil"/>
              <w:right w:val="nil"/>
            </w:tcBorders>
            <w:shd w:val="clear" w:color="auto" w:fill="auto"/>
            <w:vAlign w:val="center"/>
            <w:hideMark/>
          </w:tcPr>
          <w:p w14:paraId="243B118B"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91CCB4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890.819</w:t>
            </w:r>
          </w:p>
        </w:tc>
        <w:tc>
          <w:tcPr>
            <w:tcW w:w="78" w:type="pct"/>
            <w:tcBorders>
              <w:top w:val="nil"/>
              <w:left w:val="nil"/>
              <w:bottom w:val="nil"/>
              <w:right w:val="nil"/>
            </w:tcBorders>
            <w:shd w:val="clear" w:color="auto" w:fill="auto"/>
            <w:vAlign w:val="center"/>
          </w:tcPr>
          <w:p w14:paraId="30B01F97"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FB8BCC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546.129</w:t>
            </w:r>
          </w:p>
        </w:tc>
        <w:tc>
          <w:tcPr>
            <w:tcW w:w="78" w:type="pct"/>
            <w:gridSpan w:val="2"/>
            <w:tcBorders>
              <w:top w:val="nil"/>
              <w:left w:val="nil"/>
              <w:bottom w:val="nil"/>
              <w:right w:val="nil"/>
            </w:tcBorders>
            <w:shd w:val="clear" w:color="auto" w:fill="auto"/>
            <w:vAlign w:val="center"/>
          </w:tcPr>
          <w:p w14:paraId="1D2FA8E4"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86EF11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32.902 </w:t>
            </w:r>
          </w:p>
        </w:tc>
      </w:tr>
      <w:tr w:rsidR="003B5193" w:rsidRPr="00AE4E8D" w14:paraId="2F84B54F" w14:textId="77777777" w:rsidTr="00E8320E">
        <w:trPr>
          <w:trHeight w:val="210"/>
        </w:trPr>
        <w:tc>
          <w:tcPr>
            <w:tcW w:w="1253" w:type="pct"/>
            <w:tcBorders>
              <w:top w:val="nil"/>
              <w:left w:val="nil"/>
              <w:bottom w:val="nil"/>
              <w:right w:val="nil"/>
            </w:tcBorders>
            <w:shd w:val="clear" w:color="auto" w:fill="auto"/>
            <w:vAlign w:val="center"/>
            <w:hideMark/>
          </w:tcPr>
          <w:p w14:paraId="76BC865E"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Documentos</w:t>
            </w:r>
          </w:p>
        </w:tc>
        <w:tc>
          <w:tcPr>
            <w:tcW w:w="328" w:type="pct"/>
            <w:tcBorders>
              <w:top w:val="nil"/>
              <w:left w:val="nil"/>
              <w:bottom w:val="nil"/>
              <w:right w:val="nil"/>
            </w:tcBorders>
            <w:shd w:val="clear" w:color="auto" w:fill="auto"/>
            <w:noWrap/>
            <w:vAlign w:val="center"/>
            <w:hideMark/>
          </w:tcPr>
          <w:p w14:paraId="397BC85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229.629</w:t>
            </w:r>
          </w:p>
        </w:tc>
        <w:tc>
          <w:tcPr>
            <w:tcW w:w="78" w:type="pct"/>
            <w:tcBorders>
              <w:top w:val="nil"/>
              <w:left w:val="nil"/>
              <w:bottom w:val="nil"/>
              <w:right w:val="nil"/>
            </w:tcBorders>
            <w:shd w:val="clear" w:color="auto" w:fill="auto"/>
            <w:vAlign w:val="center"/>
            <w:hideMark/>
          </w:tcPr>
          <w:p w14:paraId="5CC0DB83"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DB215B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371.267</w:t>
            </w:r>
          </w:p>
        </w:tc>
        <w:tc>
          <w:tcPr>
            <w:tcW w:w="78" w:type="pct"/>
            <w:tcBorders>
              <w:top w:val="nil"/>
              <w:left w:val="nil"/>
              <w:bottom w:val="nil"/>
              <w:right w:val="nil"/>
            </w:tcBorders>
            <w:shd w:val="clear" w:color="auto" w:fill="auto"/>
            <w:vAlign w:val="center"/>
            <w:hideMark/>
          </w:tcPr>
          <w:p w14:paraId="63F8FC1A"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1EC68C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369.360</w:t>
            </w:r>
          </w:p>
        </w:tc>
        <w:tc>
          <w:tcPr>
            <w:tcW w:w="78" w:type="pct"/>
            <w:tcBorders>
              <w:top w:val="nil"/>
              <w:left w:val="nil"/>
              <w:bottom w:val="nil"/>
              <w:right w:val="nil"/>
            </w:tcBorders>
            <w:shd w:val="clear" w:color="auto" w:fill="auto"/>
            <w:vAlign w:val="center"/>
            <w:hideMark/>
          </w:tcPr>
          <w:p w14:paraId="457D8E3D"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CC6871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310.407</w:t>
            </w:r>
          </w:p>
        </w:tc>
        <w:tc>
          <w:tcPr>
            <w:tcW w:w="83" w:type="pct"/>
            <w:tcBorders>
              <w:top w:val="nil"/>
              <w:left w:val="nil"/>
              <w:bottom w:val="nil"/>
              <w:right w:val="nil"/>
            </w:tcBorders>
            <w:shd w:val="clear" w:color="auto" w:fill="auto"/>
            <w:noWrap/>
            <w:vAlign w:val="center"/>
            <w:hideMark/>
          </w:tcPr>
          <w:p w14:paraId="673A2BEA"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DB39BD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687.965</w:t>
            </w:r>
          </w:p>
        </w:tc>
        <w:tc>
          <w:tcPr>
            <w:tcW w:w="79" w:type="pct"/>
            <w:tcBorders>
              <w:top w:val="nil"/>
              <w:left w:val="nil"/>
              <w:bottom w:val="nil"/>
              <w:right w:val="nil"/>
            </w:tcBorders>
            <w:shd w:val="clear" w:color="auto" w:fill="auto"/>
            <w:noWrap/>
            <w:vAlign w:val="center"/>
            <w:hideMark/>
          </w:tcPr>
          <w:p w14:paraId="2E6DFC78"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C7B430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43.404</w:t>
            </w:r>
          </w:p>
        </w:tc>
        <w:tc>
          <w:tcPr>
            <w:tcW w:w="78" w:type="pct"/>
            <w:tcBorders>
              <w:top w:val="nil"/>
              <w:left w:val="nil"/>
              <w:bottom w:val="nil"/>
              <w:right w:val="nil"/>
            </w:tcBorders>
            <w:shd w:val="clear" w:color="auto" w:fill="auto"/>
            <w:vAlign w:val="center"/>
            <w:hideMark/>
          </w:tcPr>
          <w:p w14:paraId="2FC6A581"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72C8106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390.408</w:t>
            </w:r>
          </w:p>
        </w:tc>
        <w:tc>
          <w:tcPr>
            <w:tcW w:w="78" w:type="pct"/>
            <w:tcBorders>
              <w:top w:val="nil"/>
              <w:left w:val="nil"/>
              <w:bottom w:val="nil"/>
              <w:right w:val="nil"/>
            </w:tcBorders>
            <w:shd w:val="clear" w:color="auto" w:fill="auto"/>
            <w:vAlign w:val="center"/>
          </w:tcPr>
          <w:p w14:paraId="002AA873"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F8CF3A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933.292</w:t>
            </w:r>
          </w:p>
        </w:tc>
        <w:tc>
          <w:tcPr>
            <w:tcW w:w="78" w:type="pct"/>
            <w:gridSpan w:val="2"/>
            <w:tcBorders>
              <w:top w:val="nil"/>
              <w:left w:val="nil"/>
              <w:bottom w:val="nil"/>
              <w:right w:val="nil"/>
            </w:tcBorders>
            <w:shd w:val="clear" w:color="auto" w:fill="auto"/>
            <w:vAlign w:val="center"/>
          </w:tcPr>
          <w:p w14:paraId="5D6C507E"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F58DF8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56.227 </w:t>
            </w:r>
          </w:p>
        </w:tc>
      </w:tr>
      <w:tr w:rsidR="003B5193" w:rsidRPr="00AE4E8D" w14:paraId="355DB86D" w14:textId="77777777" w:rsidTr="00E8320E">
        <w:trPr>
          <w:trHeight w:val="210"/>
        </w:trPr>
        <w:tc>
          <w:tcPr>
            <w:tcW w:w="1253" w:type="pct"/>
            <w:tcBorders>
              <w:top w:val="nil"/>
              <w:left w:val="nil"/>
              <w:bottom w:val="nil"/>
              <w:right w:val="nil"/>
            </w:tcBorders>
            <w:shd w:val="clear" w:color="auto" w:fill="auto"/>
            <w:vAlign w:val="center"/>
            <w:hideMark/>
          </w:tcPr>
          <w:p w14:paraId="112C5B10"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Hipotecarios</w:t>
            </w:r>
          </w:p>
        </w:tc>
        <w:tc>
          <w:tcPr>
            <w:tcW w:w="328" w:type="pct"/>
            <w:tcBorders>
              <w:top w:val="nil"/>
              <w:left w:val="nil"/>
              <w:bottom w:val="nil"/>
              <w:right w:val="nil"/>
            </w:tcBorders>
            <w:shd w:val="clear" w:color="auto" w:fill="auto"/>
            <w:noWrap/>
            <w:vAlign w:val="center"/>
            <w:hideMark/>
          </w:tcPr>
          <w:p w14:paraId="6DAE339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1.868.330</w:t>
            </w:r>
          </w:p>
        </w:tc>
        <w:tc>
          <w:tcPr>
            <w:tcW w:w="78" w:type="pct"/>
            <w:tcBorders>
              <w:top w:val="nil"/>
              <w:left w:val="nil"/>
              <w:bottom w:val="nil"/>
              <w:right w:val="nil"/>
            </w:tcBorders>
            <w:shd w:val="clear" w:color="auto" w:fill="auto"/>
            <w:vAlign w:val="center"/>
            <w:hideMark/>
          </w:tcPr>
          <w:p w14:paraId="4EFE7D0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40F468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2.220.627</w:t>
            </w:r>
          </w:p>
        </w:tc>
        <w:tc>
          <w:tcPr>
            <w:tcW w:w="78" w:type="pct"/>
            <w:tcBorders>
              <w:top w:val="nil"/>
              <w:left w:val="nil"/>
              <w:bottom w:val="nil"/>
              <w:right w:val="nil"/>
            </w:tcBorders>
            <w:shd w:val="clear" w:color="auto" w:fill="auto"/>
            <w:vAlign w:val="center"/>
            <w:hideMark/>
          </w:tcPr>
          <w:p w14:paraId="2912038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31E6BB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2.349.468</w:t>
            </w:r>
          </w:p>
        </w:tc>
        <w:tc>
          <w:tcPr>
            <w:tcW w:w="78" w:type="pct"/>
            <w:tcBorders>
              <w:top w:val="nil"/>
              <w:left w:val="nil"/>
              <w:bottom w:val="nil"/>
              <w:right w:val="nil"/>
            </w:tcBorders>
            <w:shd w:val="clear" w:color="auto" w:fill="auto"/>
            <w:vAlign w:val="center"/>
            <w:hideMark/>
          </w:tcPr>
          <w:p w14:paraId="3117609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8E1462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2.631.874</w:t>
            </w:r>
          </w:p>
        </w:tc>
        <w:tc>
          <w:tcPr>
            <w:tcW w:w="83" w:type="pct"/>
            <w:tcBorders>
              <w:top w:val="nil"/>
              <w:left w:val="nil"/>
              <w:bottom w:val="nil"/>
              <w:right w:val="nil"/>
            </w:tcBorders>
            <w:shd w:val="clear" w:color="auto" w:fill="auto"/>
            <w:noWrap/>
            <w:vAlign w:val="center"/>
            <w:hideMark/>
          </w:tcPr>
          <w:p w14:paraId="254D93C6"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C2AD69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2.744.734</w:t>
            </w:r>
          </w:p>
        </w:tc>
        <w:tc>
          <w:tcPr>
            <w:tcW w:w="79" w:type="pct"/>
            <w:tcBorders>
              <w:top w:val="nil"/>
              <w:left w:val="nil"/>
              <w:bottom w:val="nil"/>
              <w:right w:val="nil"/>
            </w:tcBorders>
            <w:shd w:val="clear" w:color="auto" w:fill="auto"/>
            <w:noWrap/>
            <w:vAlign w:val="center"/>
            <w:hideMark/>
          </w:tcPr>
          <w:p w14:paraId="02773986"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2E674E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173.167</w:t>
            </w:r>
          </w:p>
        </w:tc>
        <w:tc>
          <w:tcPr>
            <w:tcW w:w="78" w:type="pct"/>
            <w:tcBorders>
              <w:top w:val="nil"/>
              <w:left w:val="nil"/>
              <w:bottom w:val="nil"/>
              <w:right w:val="nil"/>
            </w:tcBorders>
            <w:shd w:val="clear" w:color="auto" w:fill="auto"/>
            <w:vAlign w:val="center"/>
            <w:hideMark/>
          </w:tcPr>
          <w:p w14:paraId="4E20076E"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DC9F05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2.469.806</w:t>
            </w:r>
          </w:p>
        </w:tc>
        <w:tc>
          <w:tcPr>
            <w:tcW w:w="78" w:type="pct"/>
            <w:tcBorders>
              <w:top w:val="nil"/>
              <w:left w:val="nil"/>
              <w:bottom w:val="nil"/>
              <w:right w:val="nil"/>
            </w:tcBorders>
            <w:shd w:val="clear" w:color="auto" w:fill="auto"/>
            <w:vAlign w:val="center"/>
          </w:tcPr>
          <w:p w14:paraId="0714EF61"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930063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3.168.830</w:t>
            </w:r>
          </w:p>
        </w:tc>
        <w:tc>
          <w:tcPr>
            <w:tcW w:w="78" w:type="pct"/>
            <w:gridSpan w:val="2"/>
            <w:tcBorders>
              <w:top w:val="nil"/>
              <w:left w:val="nil"/>
              <w:bottom w:val="nil"/>
              <w:right w:val="nil"/>
            </w:tcBorders>
            <w:shd w:val="clear" w:color="auto" w:fill="auto"/>
            <w:vAlign w:val="center"/>
          </w:tcPr>
          <w:p w14:paraId="526AA193"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5FC5767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190.911 </w:t>
            </w:r>
          </w:p>
        </w:tc>
      </w:tr>
      <w:tr w:rsidR="003B5193" w:rsidRPr="00AE4E8D" w14:paraId="2B794402" w14:textId="77777777" w:rsidTr="00E8320E">
        <w:trPr>
          <w:trHeight w:val="210"/>
        </w:trPr>
        <w:tc>
          <w:tcPr>
            <w:tcW w:w="1253" w:type="pct"/>
            <w:tcBorders>
              <w:top w:val="nil"/>
              <w:left w:val="nil"/>
              <w:bottom w:val="nil"/>
              <w:right w:val="nil"/>
            </w:tcBorders>
            <w:shd w:val="clear" w:color="auto" w:fill="auto"/>
            <w:vAlign w:val="center"/>
            <w:hideMark/>
          </w:tcPr>
          <w:p w14:paraId="6778EC3C"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Prendarios</w:t>
            </w:r>
          </w:p>
        </w:tc>
        <w:tc>
          <w:tcPr>
            <w:tcW w:w="328" w:type="pct"/>
            <w:tcBorders>
              <w:top w:val="nil"/>
              <w:left w:val="nil"/>
              <w:bottom w:val="nil"/>
              <w:right w:val="nil"/>
            </w:tcBorders>
            <w:shd w:val="clear" w:color="auto" w:fill="auto"/>
            <w:noWrap/>
            <w:vAlign w:val="center"/>
            <w:hideMark/>
          </w:tcPr>
          <w:p w14:paraId="250BB44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55.346</w:t>
            </w:r>
          </w:p>
        </w:tc>
        <w:tc>
          <w:tcPr>
            <w:tcW w:w="78" w:type="pct"/>
            <w:tcBorders>
              <w:top w:val="nil"/>
              <w:left w:val="nil"/>
              <w:bottom w:val="nil"/>
              <w:right w:val="nil"/>
            </w:tcBorders>
            <w:shd w:val="clear" w:color="auto" w:fill="auto"/>
            <w:vAlign w:val="center"/>
            <w:hideMark/>
          </w:tcPr>
          <w:p w14:paraId="4D10ED8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D74273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42.460</w:t>
            </w:r>
          </w:p>
        </w:tc>
        <w:tc>
          <w:tcPr>
            <w:tcW w:w="78" w:type="pct"/>
            <w:tcBorders>
              <w:top w:val="nil"/>
              <w:left w:val="nil"/>
              <w:bottom w:val="nil"/>
              <w:right w:val="nil"/>
            </w:tcBorders>
            <w:shd w:val="clear" w:color="auto" w:fill="auto"/>
            <w:vAlign w:val="center"/>
            <w:hideMark/>
          </w:tcPr>
          <w:p w14:paraId="0C100E3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EFD38A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103.576</w:t>
            </w:r>
          </w:p>
        </w:tc>
        <w:tc>
          <w:tcPr>
            <w:tcW w:w="78" w:type="pct"/>
            <w:tcBorders>
              <w:top w:val="nil"/>
              <w:left w:val="nil"/>
              <w:bottom w:val="nil"/>
              <w:right w:val="nil"/>
            </w:tcBorders>
            <w:shd w:val="clear" w:color="auto" w:fill="auto"/>
            <w:vAlign w:val="center"/>
            <w:hideMark/>
          </w:tcPr>
          <w:p w14:paraId="33734A1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8EF268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427.857</w:t>
            </w:r>
          </w:p>
        </w:tc>
        <w:tc>
          <w:tcPr>
            <w:tcW w:w="83" w:type="pct"/>
            <w:tcBorders>
              <w:top w:val="nil"/>
              <w:left w:val="nil"/>
              <w:bottom w:val="nil"/>
              <w:right w:val="nil"/>
            </w:tcBorders>
            <w:shd w:val="clear" w:color="auto" w:fill="auto"/>
            <w:noWrap/>
            <w:vAlign w:val="center"/>
            <w:hideMark/>
          </w:tcPr>
          <w:p w14:paraId="39A51940"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DC685C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640.365</w:t>
            </w:r>
          </w:p>
        </w:tc>
        <w:tc>
          <w:tcPr>
            <w:tcW w:w="79" w:type="pct"/>
            <w:tcBorders>
              <w:top w:val="nil"/>
              <w:left w:val="nil"/>
              <w:bottom w:val="nil"/>
              <w:right w:val="nil"/>
            </w:tcBorders>
            <w:shd w:val="clear" w:color="auto" w:fill="auto"/>
            <w:noWrap/>
            <w:vAlign w:val="center"/>
            <w:hideMark/>
          </w:tcPr>
          <w:p w14:paraId="1407728C"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CC2285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40.401</w:t>
            </w:r>
          </w:p>
        </w:tc>
        <w:tc>
          <w:tcPr>
            <w:tcW w:w="78" w:type="pct"/>
            <w:tcBorders>
              <w:top w:val="nil"/>
              <w:left w:val="nil"/>
              <w:bottom w:val="nil"/>
              <w:right w:val="nil"/>
            </w:tcBorders>
            <w:shd w:val="clear" w:color="auto" w:fill="auto"/>
            <w:vAlign w:val="center"/>
            <w:hideMark/>
          </w:tcPr>
          <w:p w14:paraId="3F93913D"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B37AB0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367.452</w:t>
            </w:r>
          </w:p>
        </w:tc>
        <w:tc>
          <w:tcPr>
            <w:tcW w:w="78" w:type="pct"/>
            <w:tcBorders>
              <w:top w:val="nil"/>
              <w:left w:val="nil"/>
              <w:bottom w:val="nil"/>
              <w:right w:val="nil"/>
            </w:tcBorders>
            <w:shd w:val="clear" w:color="auto" w:fill="auto"/>
            <w:vAlign w:val="center"/>
          </w:tcPr>
          <w:p w14:paraId="41A7F0AC"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2C8CFD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236.800</w:t>
            </w:r>
          </w:p>
        </w:tc>
        <w:tc>
          <w:tcPr>
            <w:tcW w:w="78" w:type="pct"/>
            <w:gridSpan w:val="2"/>
            <w:tcBorders>
              <w:top w:val="nil"/>
              <w:left w:val="nil"/>
              <w:bottom w:val="nil"/>
              <w:right w:val="nil"/>
            </w:tcBorders>
            <w:shd w:val="clear" w:color="auto" w:fill="auto"/>
            <w:vAlign w:val="center"/>
          </w:tcPr>
          <w:p w14:paraId="4CDB929A"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E93E9B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14.266 </w:t>
            </w:r>
          </w:p>
        </w:tc>
      </w:tr>
      <w:tr w:rsidR="003B5193" w:rsidRPr="00AE4E8D" w14:paraId="457086BF" w14:textId="77777777" w:rsidTr="00E8320E">
        <w:trPr>
          <w:trHeight w:val="210"/>
        </w:trPr>
        <w:tc>
          <w:tcPr>
            <w:tcW w:w="1253" w:type="pct"/>
            <w:tcBorders>
              <w:top w:val="nil"/>
              <w:left w:val="nil"/>
              <w:bottom w:val="nil"/>
              <w:right w:val="nil"/>
            </w:tcBorders>
            <w:shd w:val="clear" w:color="auto" w:fill="auto"/>
            <w:vAlign w:val="center"/>
            <w:hideMark/>
          </w:tcPr>
          <w:p w14:paraId="6632BB3E"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Personales</w:t>
            </w:r>
          </w:p>
        </w:tc>
        <w:tc>
          <w:tcPr>
            <w:tcW w:w="328" w:type="pct"/>
            <w:tcBorders>
              <w:top w:val="nil"/>
              <w:left w:val="nil"/>
              <w:bottom w:val="nil"/>
              <w:right w:val="nil"/>
            </w:tcBorders>
            <w:shd w:val="clear" w:color="auto" w:fill="auto"/>
            <w:noWrap/>
            <w:vAlign w:val="center"/>
            <w:hideMark/>
          </w:tcPr>
          <w:p w14:paraId="4346346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1.199.211</w:t>
            </w:r>
          </w:p>
        </w:tc>
        <w:tc>
          <w:tcPr>
            <w:tcW w:w="78" w:type="pct"/>
            <w:tcBorders>
              <w:top w:val="nil"/>
              <w:left w:val="nil"/>
              <w:bottom w:val="nil"/>
              <w:right w:val="nil"/>
            </w:tcBorders>
            <w:shd w:val="clear" w:color="auto" w:fill="auto"/>
            <w:vAlign w:val="center"/>
            <w:hideMark/>
          </w:tcPr>
          <w:p w14:paraId="77554F6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ED4D3A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1.822.810</w:t>
            </w:r>
          </w:p>
        </w:tc>
        <w:tc>
          <w:tcPr>
            <w:tcW w:w="78" w:type="pct"/>
            <w:tcBorders>
              <w:top w:val="nil"/>
              <w:left w:val="nil"/>
              <w:bottom w:val="nil"/>
              <w:right w:val="nil"/>
            </w:tcBorders>
            <w:shd w:val="clear" w:color="auto" w:fill="auto"/>
            <w:vAlign w:val="center"/>
            <w:hideMark/>
          </w:tcPr>
          <w:p w14:paraId="65C96DF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B8D4A1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2.354.793</w:t>
            </w:r>
          </w:p>
        </w:tc>
        <w:tc>
          <w:tcPr>
            <w:tcW w:w="78" w:type="pct"/>
            <w:tcBorders>
              <w:top w:val="nil"/>
              <w:left w:val="nil"/>
              <w:bottom w:val="nil"/>
              <w:right w:val="nil"/>
            </w:tcBorders>
            <w:shd w:val="clear" w:color="auto" w:fill="auto"/>
            <w:vAlign w:val="center"/>
            <w:hideMark/>
          </w:tcPr>
          <w:p w14:paraId="7660439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60F20E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2.970.468</w:t>
            </w:r>
          </w:p>
        </w:tc>
        <w:tc>
          <w:tcPr>
            <w:tcW w:w="83" w:type="pct"/>
            <w:tcBorders>
              <w:top w:val="nil"/>
              <w:left w:val="nil"/>
              <w:bottom w:val="nil"/>
              <w:right w:val="nil"/>
            </w:tcBorders>
            <w:shd w:val="clear" w:color="auto" w:fill="auto"/>
            <w:noWrap/>
            <w:vAlign w:val="center"/>
            <w:hideMark/>
          </w:tcPr>
          <w:p w14:paraId="6D6EE8CE"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52E6165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4.611.052</w:t>
            </w:r>
          </w:p>
        </w:tc>
        <w:tc>
          <w:tcPr>
            <w:tcW w:w="79" w:type="pct"/>
            <w:tcBorders>
              <w:top w:val="nil"/>
              <w:left w:val="nil"/>
              <w:bottom w:val="nil"/>
              <w:right w:val="nil"/>
            </w:tcBorders>
            <w:shd w:val="clear" w:color="auto" w:fill="auto"/>
            <w:noWrap/>
            <w:vAlign w:val="center"/>
            <w:hideMark/>
          </w:tcPr>
          <w:p w14:paraId="5FF37925"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A7B581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290.914</w:t>
            </w:r>
          </w:p>
        </w:tc>
        <w:tc>
          <w:tcPr>
            <w:tcW w:w="78" w:type="pct"/>
            <w:tcBorders>
              <w:top w:val="nil"/>
              <w:left w:val="nil"/>
              <w:bottom w:val="nil"/>
              <w:right w:val="nil"/>
            </w:tcBorders>
            <w:shd w:val="clear" w:color="auto" w:fill="auto"/>
            <w:vAlign w:val="center"/>
            <w:hideMark/>
          </w:tcPr>
          <w:p w14:paraId="08EFF195"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7813989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3.149.503</w:t>
            </w:r>
          </w:p>
        </w:tc>
        <w:tc>
          <w:tcPr>
            <w:tcW w:w="78" w:type="pct"/>
            <w:tcBorders>
              <w:top w:val="nil"/>
              <w:left w:val="nil"/>
              <w:bottom w:val="nil"/>
              <w:right w:val="nil"/>
            </w:tcBorders>
            <w:shd w:val="clear" w:color="auto" w:fill="auto"/>
            <w:vAlign w:val="center"/>
          </w:tcPr>
          <w:p w14:paraId="22D12921"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D2395D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5.784.096</w:t>
            </w:r>
          </w:p>
        </w:tc>
        <w:tc>
          <w:tcPr>
            <w:tcW w:w="78" w:type="pct"/>
            <w:gridSpan w:val="2"/>
            <w:tcBorders>
              <w:top w:val="nil"/>
              <w:left w:val="nil"/>
              <w:bottom w:val="nil"/>
              <w:right w:val="nil"/>
            </w:tcBorders>
            <w:shd w:val="clear" w:color="auto" w:fill="auto"/>
            <w:vAlign w:val="center"/>
          </w:tcPr>
          <w:p w14:paraId="6938B53E"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F8DFEB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348.471 </w:t>
            </w:r>
          </w:p>
        </w:tc>
      </w:tr>
      <w:tr w:rsidR="003B5193" w:rsidRPr="00AE4E8D" w14:paraId="09EC420B" w14:textId="77777777" w:rsidTr="00E8320E">
        <w:trPr>
          <w:trHeight w:val="210"/>
        </w:trPr>
        <w:tc>
          <w:tcPr>
            <w:tcW w:w="1253" w:type="pct"/>
            <w:tcBorders>
              <w:top w:val="nil"/>
              <w:left w:val="nil"/>
              <w:bottom w:val="nil"/>
              <w:right w:val="nil"/>
            </w:tcBorders>
            <w:shd w:val="clear" w:color="auto" w:fill="auto"/>
            <w:vAlign w:val="center"/>
            <w:hideMark/>
          </w:tcPr>
          <w:p w14:paraId="08EE1AF1"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Tarjetas de crédito</w:t>
            </w:r>
          </w:p>
        </w:tc>
        <w:tc>
          <w:tcPr>
            <w:tcW w:w="328" w:type="pct"/>
            <w:tcBorders>
              <w:top w:val="nil"/>
              <w:left w:val="nil"/>
              <w:bottom w:val="nil"/>
              <w:right w:val="nil"/>
            </w:tcBorders>
            <w:shd w:val="clear" w:color="auto" w:fill="auto"/>
            <w:noWrap/>
            <w:vAlign w:val="center"/>
            <w:hideMark/>
          </w:tcPr>
          <w:p w14:paraId="318C42F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3.551.203</w:t>
            </w:r>
          </w:p>
        </w:tc>
        <w:tc>
          <w:tcPr>
            <w:tcW w:w="78" w:type="pct"/>
            <w:tcBorders>
              <w:top w:val="nil"/>
              <w:left w:val="nil"/>
              <w:bottom w:val="nil"/>
              <w:right w:val="nil"/>
            </w:tcBorders>
            <w:shd w:val="clear" w:color="auto" w:fill="auto"/>
            <w:vAlign w:val="center"/>
            <w:hideMark/>
          </w:tcPr>
          <w:p w14:paraId="6CF1555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163EE7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5.181.068</w:t>
            </w:r>
          </w:p>
        </w:tc>
        <w:tc>
          <w:tcPr>
            <w:tcW w:w="78" w:type="pct"/>
            <w:tcBorders>
              <w:top w:val="nil"/>
              <w:left w:val="nil"/>
              <w:bottom w:val="nil"/>
              <w:right w:val="nil"/>
            </w:tcBorders>
            <w:shd w:val="clear" w:color="auto" w:fill="auto"/>
            <w:vAlign w:val="center"/>
            <w:hideMark/>
          </w:tcPr>
          <w:p w14:paraId="71C0B28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88E010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7.155.260</w:t>
            </w:r>
          </w:p>
        </w:tc>
        <w:tc>
          <w:tcPr>
            <w:tcW w:w="78" w:type="pct"/>
            <w:tcBorders>
              <w:top w:val="nil"/>
              <w:left w:val="nil"/>
              <w:bottom w:val="nil"/>
              <w:right w:val="nil"/>
            </w:tcBorders>
            <w:shd w:val="clear" w:color="auto" w:fill="auto"/>
            <w:vAlign w:val="center"/>
            <w:hideMark/>
          </w:tcPr>
          <w:p w14:paraId="4ACAEF1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6442FD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9.903.383</w:t>
            </w:r>
          </w:p>
        </w:tc>
        <w:tc>
          <w:tcPr>
            <w:tcW w:w="83" w:type="pct"/>
            <w:tcBorders>
              <w:top w:val="nil"/>
              <w:left w:val="nil"/>
              <w:bottom w:val="nil"/>
              <w:right w:val="nil"/>
            </w:tcBorders>
            <w:shd w:val="clear" w:color="auto" w:fill="auto"/>
            <w:noWrap/>
            <w:vAlign w:val="center"/>
            <w:hideMark/>
          </w:tcPr>
          <w:p w14:paraId="60ECDC38"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9C92D4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12.663.403</w:t>
            </w:r>
          </w:p>
        </w:tc>
        <w:tc>
          <w:tcPr>
            <w:tcW w:w="79" w:type="pct"/>
            <w:tcBorders>
              <w:top w:val="nil"/>
              <w:left w:val="nil"/>
              <w:bottom w:val="nil"/>
              <w:right w:val="nil"/>
            </w:tcBorders>
            <w:shd w:val="clear" w:color="auto" w:fill="auto"/>
            <w:noWrap/>
            <w:vAlign w:val="center"/>
            <w:hideMark/>
          </w:tcPr>
          <w:p w14:paraId="35D9F972"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0643545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798.943</w:t>
            </w:r>
          </w:p>
        </w:tc>
        <w:tc>
          <w:tcPr>
            <w:tcW w:w="78" w:type="pct"/>
            <w:tcBorders>
              <w:top w:val="nil"/>
              <w:left w:val="nil"/>
              <w:bottom w:val="nil"/>
              <w:right w:val="nil"/>
            </w:tcBorders>
            <w:shd w:val="clear" w:color="auto" w:fill="auto"/>
            <w:vAlign w:val="center"/>
            <w:hideMark/>
          </w:tcPr>
          <w:p w14:paraId="60087EB3"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0F1901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10.573.083</w:t>
            </w:r>
          </w:p>
        </w:tc>
        <w:tc>
          <w:tcPr>
            <w:tcW w:w="78" w:type="pct"/>
            <w:tcBorders>
              <w:top w:val="nil"/>
              <w:left w:val="nil"/>
              <w:bottom w:val="nil"/>
              <w:right w:val="nil"/>
            </w:tcBorders>
            <w:shd w:val="clear" w:color="auto" w:fill="auto"/>
            <w:vAlign w:val="center"/>
          </w:tcPr>
          <w:p w14:paraId="0E318DE3"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E1CF48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13.178.322</w:t>
            </w:r>
          </w:p>
        </w:tc>
        <w:tc>
          <w:tcPr>
            <w:tcW w:w="78" w:type="pct"/>
            <w:gridSpan w:val="2"/>
            <w:tcBorders>
              <w:top w:val="nil"/>
              <w:left w:val="nil"/>
              <w:bottom w:val="nil"/>
              <w:right w:val="nil"/>
            </w:tcBorders>
            <w:shd w:val="clear" w:color="auto" w:fill="auto"/>
            <w:vAlign w:val="center"/>
          </w:tcPr>
          <w:p w14:paraId="57DE1904"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E7281D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793.947 </w:t>
            </w:r>
          </w:p>
        </w:tc>
      </w:tr>
      <w:tr w:rsidR="003B5193" w:rsidRPr="00AE4E8D" w14:paraId="004CFF00" w14:textId="77777777" w:rsidTr="00E8320E">
        <w:trPr>
          <w:trHeight w:val="210"/>
        </w:trPr>
        <w:tc>
          <w:tcPr>
            <w:tcW w:w="1253" w:type="pct"/>
            <w:tcBorders>
              <w:top w:val="nil"/>
              <w:left w:val="nil"/>
              <w:bottom w:val="nil"/>
              <w:right w:val="nil"/>
            </w:tcBorders>
            <w:shd w:val="clear" w:color="auto" w:fill="auto"/>
            <w:vAlign w:val="center"/>
            <w:hideMark/>
          </w:tcPr>
          <w:p w14:paraId="47AE5C2A"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Cobros no aplicados</w:t>
            </w:r>
          </w:p>
        </w:tc>
        <w:tc>
          <w:tcPr>
            <w:tcW w:w="328" w:type="pct"/>
            <w:tcBorders>
              <w:top w:val="nil"/>
              <w:left w:val="nil"/>
              <w:bottom w:val="nil"/>
              <w:right w:val="nil"/>
            </w:tcBorders>
            <w:shd w:val="clear" w:color="auto" w:fill="auto"/>
            <w:noWrap/>
            <w:vAlign w:val="center"/>
            <w:hideMark/>
          </w:tcPr>
          <w:p w14:paraId="07128BA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(1.723)</w:t>
            </w:r>
          </w:p>
        </w:tc>
        <w:tc>
          <w:tcPr>
            <w:tcW w:w="78" w:type="pct"/>
            <w:tcBorders>
              <w:top w:val="nil"/>
              <w:left w:val="nil"/>
              <w:bottom w:val="nil"/>
              <w:right w:val="nil"/>
            </w:tcBorders>
            <w:shd w:val="clear" w:color="auto" w:fill="auto"/>
            <w:vAlign w:val="center"/>
            <w:hideMark/>
          </w:tcPr>
          <w:p w14:paraId="6D836731"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51ABC7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(8.007)</w:t>
            </w:r>
          </w:p>
        </w:tc>
        <w:tc>
          <w:tcPr>
            <w:tcW w:w="78" w:type="pct"/>
            <w:tcBorders>
              <w:top w:val="nil"/>
              <w:left w:val="nil"/>
              <w:bottom w:val="nil"/>
              <w:right w:val="nil"/>
            </w:tcBorders>
            <w:shd w:val="clear" w:color="auto" w:fill="auto"/>
            <w:vAlign w:val="center"/>
            <w:hideMark/>
          </w:tcPr>
          <w:p w14:paraId="4DBDBA4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2A0692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(34.565)</w:t>
            </w:r>
          </w:p>
        </w:tc>
        <w:tc>
          <w:tcPr>
            <w:tcW w:w="78" w:type="pct"/>
            <w:tcBorders>
              <w:top w:val="nil"/>
              <w:left w:val="nil"/>
              <w:bottom w:val="nil"/>
              <w:right w:val="nil"/>
            </w:tcBorders>
            <w:shd w:val="clear" w:color="auto" w:fill="auto"/>
            <w:vAlign w:val="center"/>
            <w:hideMark/>
          </w:tcPr>
          <w:p w14:paraId="5EEF90FA"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799B86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(169.487)</w:t>
            </w:r>
          </w:p>
        </w:tc>
        <w:tc>
          <w:tcPr>
            <w:tcW w:w="83" w:type="pct"/>
            <w:tcBorders>
              <w:top w:val="nil"/>
              <w:left w:val="nil"/>
              <w:bottom w:val="nil"/>
              <w:right w:val="nil"/>
            </w:tcBorders>
            <w:shd w:val="clear" w:color="auto" w:fill="auto"/>
            <w:noWrap/>
            <w:vAlign w:val="center"/>
            <w:hideMark/>
          </w:tcPr>
          <w:p w14:paraId="4F449313"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14CB0E3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(1.166)</w:t>
            </w:r>
          </w:p>
        </w:tc>
        <w:tc>
          <w:tcPr>
            <w:tcW w:w="79" w:type="pct"/>
            <w:tcBorders>
              <w:top w:val="nil"/>
              <w:left w:val="nil"/>
              <w:bottom w:val="nil"/>
              <w:right w:val="nil"/>
            </w:tcBorders>
            <w:shd w:val="clear" w:color="auto" w:fill="auto"/>
            <w:noWrap/>
            <w:vAlign w:val="center"/>
            <w:hideMark/>
          </w:tcPr>
          <w:p w14:paraId="4CECB39C"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2FB355E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(74)</w:t>
            </w:r>
          </w:p>
        </w:tc>
        <w:tc>
          <w:tcPr>
            <w:tcW w:w="78" w:type="pct"/>
            <w:tcBorders>
              <w:top w:val="nil"/>
              <w:left w:val="nil"/>
              <w:bottom w:val="nil"/>
              <w:right w:val="nil"/>
            </w:tcBorders>
            <w:shd w:val="clear" w:color="auto" w:fill="auto"/>
            <w:vAlign w:val="center"/>
            <w:hideMark/>
          </w:tcPr>
          <w:p w14:paraId="0DF2ED17"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B7E35F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(40.484)</w:t>
            </w:r>
          </w:p>
        </w:tc>
        <w:tc>
          <w:tcPr>
            <w:tcW w:w="78" w:type="pct"/>
            <w:tcBorders>
              <w:top w:val="nil"/>
              <w:left w:val="nil"/>
              <w:bottom w:val="nil"/>
              <w:right w:val="nil"/>
            </w:tcBorders>
            <w:shd w:val="clear" w:color="auto" w:fill="auto"/>
            <w:vAlign w:val="center"/>
          </w:tcPr>
          <w:p w14:paraId="73EA124F"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5CD540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(43.274)</w:t>
            </w:r>
          </w:p>
        </w:tc>
        <w:tc>
          <w:tcPr>
            <w:tcW w:w="78" w:type="pct"/>
            <w:gridSpan w:val="2"/>
            <w:tcBorders>
              <w:top w:val="nil"/>
              <w:left w:val="nil"/>
              <w:bottom w:val="nil"/>
              <w:right w:val="nil"/>
            </w:tcBorders>
            <w:shd w:val="clear" w:color="auto" w:fill="auto"/>
            <w:vAlign w:val="center"/>
          </w:tcPr>
          <w:p w14:paraId="611CE5E8"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2CACE7F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 (2.607)</w:t>
            </w:r>
          </w:p>
        </w:tc>
      </w:tr>
      <w:tr w:rsidR="003B5193" w:rsidRPr="00AE4E8D" w14:paraId="4D0D602B" w14:textId="77777777" w:rsidTr="00E8320E">
        <w:trPr>
          <w:trHeight w:val="210"/>
        </w:trPr>
        <w:tc>
          <w:tcPr>
            <w:tcW w:w="1253" w:type="pct"/>
            <w:tcBorders>
              <w:top w:val="nil"/>
              <w:left w:val="nil"/>
              <w:bottom w:val="nil"/>
              <w:right w:val="nil"/>
            </w:tcBorders>
            <w:shd w:val="clear" w:color="auto" w:fill="auto"/>
            <w:vAlign w:val="center"/>
            <w:hideMark/>
          </w:tcPr>
          <w:p w14:paraId="24DF62EA"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Otros préstamos</w:t>
            </w:r>
          </w:p>
        </w:tc>
        <w:tc>
          <w:tcPr>
            <w:tcW w:w="328" w:type="pct"/>
            <w:tcBorders>
              <w:top w:val="nil"/>
              <w:left w:val="nil"/>
              <w:bottom w:val="nil"/>
              <w:right w:val="nil"/>
            </w:tcBorders>
            <w:shd w:val="clear" w:color="auto" w:fill="auto"/>
            <w:noWrap/>
            <w:vAlign w:val="center"/>
            <w:hideMark/>
          </w:tcPr>
          <w:p w14:paraId="28E2828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1.538.527</w:t>
            </w:r>
          </w:p>
        </w:tc>
        <w:tc>
          <w:tcPr>
            <w:tcW w:w="78" w:type="pct"/>
            <w:tcBorders>
              <w:top w:val="nil"/>
              <w:left w:val="nil"/>
              <w:bottom w:val="nil"/>
              <w:right w:val="nil"/>
            </w:tcBorders>
            <w:shd w:val="clear" w:color="auto" w:fill="auto"/>
            <w:vAlign w:val="center"/>
            <w:hideMark/>
          </w:tcPr>
          <w:p w14:paraId="14B63CE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E4B24D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2.380.749</w:t>
            </w:r>
          </w:p>
        </w:tc>
        <w:tc>
          <w:tcPr>
            <w:tcW w:w="78" w:type="pct"/>
            <w:tcBorders>
              <w:top w:val="nil"/>
              <w:left w:val="nil"/>
              <w:bottom w:val="nil"/>
              <w:right w:val="nil"/>
            </w:tcBorders>
            <w:shd w:val="clear" w:color="auto" w:fill="auto"/>
            <w:vAlign w:val="center"/>
            <w:hideMark/>
          </w:tcPr>
          <w:p w14:paraId="13D0109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018255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3.536.442</w:t>
            </w:r>
          </w:p>
        </w:tc>
        <w:tc>
          <w:tcPr>
            <w:tcW w:w="78" w:type="pct"/>
            <w:tcBorders>
              <w:top w:val="nil"/>
              <w:left w:val="nil"/>
              <w:bottom w:val="nil"/>
              <w:right w:val="nil"/>
            </w:tcBorders>
            <w:shd w:val="clear" w:color="auto" w:fill="auto"/>
            <w:vAlign w:val="center"/>
            <w:hideMark/>
          </w:tcPr>
          <w:p w14:paraId="295DBAA6"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BCE3AB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3.778.237</w:t>
            </w:r>
          </w:p>
        </w:tc>
        <w:tc>
          <w:tcPr>
            <w:tcW w:w="83" w:type="pct"/>
            <w:tcBorders>
              <w:top w:val="nil"/>
              <w:left w:val="nil"/>
              <w:bottom w:val="nil"/>
              <w:right w:val="nil"/>
            </w:tcBorders>
            <w:shd w:val="clear" w:color="auto" w:fill="auto"/>
            <w:noWrap/>
            <w:vAlign w:val="center"/>
            <w:hideMark/>
          </w:tcPr>
          <w:p w14:paraId="01AE3740"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138A466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5.166.467</w:t>
            </w:r>
          </w:p>
        </w:tc>
        <w:tc>
          <w:tcPr>
            <w:tcW w:w="79" w:type="pct"/>
            <w:tcBorders>
              <w:top w:val="nil"/>
              <w:left w:val="nil"/>
              <w:bottom w:val="nil"/>
              <w:right w:val="nil"/>
            </w:tcBorders>
            <w:shd w:val="clear" w:color="auto" w:fill="auto"/>
            <w:noWrap/>
            <w:vAlign w:val="center"/>
            <w:hideMark/>
          </w:tcPr>
          <w:p w14:paraId="3ABBA115"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B1F6DE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325.956</w:t>
            </w:r>
          </w:p>
        </w:tc>
        <w:tc>
          <w:tcPr>
            <w:tcW w:w="78" w:type="pct"/>
            <w:tcBorders>
              <w:top w:val="nil"/>
              <w:left w:val="nil"/>
              <w:bottom w:val="nil"/>
              <w:right w:val="nil"/>
            </w:tcBorders>
            <w:shd w:val="clear" w:color="auto" w:fill="auto"/>
            <w:vAlign w:val="center"/>
            <w:hideMark/>
          </w:tcPr>
          <w:p w14:paraId="0FC9325C"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49DA04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3.782.110</w:t>
            </w:r>
          </w:p>
        </w:tc>
        <w:tc>
          <w:tcPr>
            <w:tcW w:w="78" w:type="pct"/>
            <w:tcBorders>
              <w:top w:val="nil"/>
              <w:left w:val="nil"/>
              <w:bottom w:val="nil"/>
              <w:right w:val="nil"/>
            </w:tcBorders>
            <w:shd w:val="clear" w:color="auto" w:fill="auto"/>
            <w:vAlign w:val="center"/>
          </w:tcPr>
          <w:p w14:paraId="1E1BA29C"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539FF1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7.282.108</w:t>
            </w:r>
          </w:p>
        </w:tc>
        <w:tc>
          <w:tcPr>
            <w:tcW w:w="78" w:type="pct"/>
            <w:gridSpan w:val="2"/>
            <w:tcBorders>
              <w:top w:val="nil"/>
              <w:left w:val="nil"/>
              <w:bottom w:val="nil"/>
              <w:right w:val="nil"/>
            </w:tcBorders>
            <w:shd w:val="clear" w:color="auto" w:fill="auto"/>
            <w:vAlign w:val="center"/>
          </w:tcPr>
          <w:p w14:paraId="3CFB9C40"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BA6120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438.721 </w:t>
            </w:r>
          </w:p>
        </w:tc>
      </w:tr>
      <w:tr w:rsidR="003B5193" w:rsidRPr="00AE4E8D" w14:paraId="1812AC9A" w14:textId="77777777" w:rsidTr="00E8320E">
        <w:trPr>
          <w:trHeight w:val="210"/>
        </w:trPr>
        <w:tc>
          <w:tcPr>
            <w:tcW w:w="1253" w:type="pct"/>
            <w:tcBorders>
              <w:top w:val="nil"/>
              <w:left w:val="nil"/>
              <w:bottom w:val="nil"/>
              <w:right w:val="nil"/>
            </w:tcBorders>
            <w:shd w:val="clear" w:color="auto" w:fill="auto"/>
            <w:vAlign w:val="center"/>
            <w:hideMark/>
          </w:tcPr>
          <w:p w14:paraId="152F271E"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Intereses y diferencias de cotización devengados a cobrar</w:t>
            </w:r>
          </w:p>
        </w:tc>
        <w:tc>
          <w:tcPr>
            <w:tcW w:w="328" w:type="pct"/>
            <w:tcBorders>
              <w:top w:val="nil"/>
              <w:left w:val="nil"/>
              <w:bottom w:val="nil"/>
              <w:right w:val="nil"/>
            </w:tcBorders>
            <w:shd w:val="clear" w:color="auto" w:fill="auto"/>
            <w:noWrap/>
            <w:vAlign w:val="center"/>
            <w:hideMark/>
          </w:tcPr>
          <w:p w14:paraId="4CFC670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87.837</w:t>
            </w:r>
          </w:p>
        </w:tc>
        <w:tc>
          <w:tcPr>
            <w:tcW w:w="78" w:type="pct"/>
            <w:tcBorders>
              <w:top w:val="nil"/>
              <w:left w:val="nil"/>
              <w:bottom w:val="nil"/>
              <w:right w:val="nil"/>
            </w:tcBorders>
            <w:shd w:val="clear" w:color="auto" w:fill="auto"/>
            <w:vAlign w:val="center"/>
            <w:hideMark/>
          </w:tcPr>
          <w:p w14:paraId="0A09CCD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505192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144.807</w:t>
            </w:r>
          </w:p>
        </w:tc>
        <w:tc>
          <w:tcPr>
            <w:tcW w:w="78" w:type="pct"/>
            <w:tcBorders>
              <w:top w:val="nil"/>
              <w:left w:val="nil"/>
              <w:bottom w:val="nil"/>
              <w:right w:val="nil"/>
            </w:tcBorders>
            <w:shd w:val="clear" w:color="auto" w:fill="auto"/>
            <w:vAlign w:val="center"/>
            <w:hideMark/>
          </w:tcPr>
          <w:p w14:paraId="1FA278A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6FAB0A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213.947</w:t>
            </w:r>
          </w:p>
        </w:tc>
        <w:tc>
          <w:tcPr>
            <w:tcW w:w="78" w:type="pct"/>
            <w:tcBorders>
              <w:top w:val="nil"/>
              <w:left w:val="nil"/>
              <w:bottom w:val="nil"/>
              <w:right w:val="nil"/>
            </w:tcBorders>
            <w:shd w:val="clear" w:color="auto" w:fill="auto"/>
            <w:vAlign w:val="center"/>
            <w:hideMark/>
          </w:tcPr>
          <w:p w14:paraId="4A589DC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4AAFA8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260.161</w:t>
            </w:r>
          </w:p>
        </w:tc>
        <w:tc>
          <w:tcPr>
            <w:tcW w:w="83" w:type="pct"/>
            <w:tcBorders>
              <w:top w:val="nil"/>
              <w:left w:val="nil"/>
              <w:bottom w:val="nil"/>
              <w:right w:val="nil"/>
            </w:tcBorders>
            <w:shd w:val="clear" w:color="auto" w:fill="auto"/>
            <w:noWrap/>
            <w:vAlign w:val="center"/>
            <w:hideMark/>
          </w:tcPr>
          <w:p w14:paraId="6E5A995C"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4BA49B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293.006</w:t>
            </w:r>
          </w:p>
        </w:tc>
        <w:tc>
          <w:tcPr>
            <w:tcW w:w="79" w:type="pct"/>
            <w:tcBorders>
              <w:top w:val="nil"/>
              <w:left w:val="nil"/>
              <w:bottom w:val="nil"/>
              <w:right w:val="nil"/>
            </w:tcBorders>
            <w:shd w:val="clear" w:color="auto" w:fill="auto"/>
            <w:noWrap/>
            <w:vAlign w:val="center"/>
            <w:hideMark/>
          </w:tcPr>
          <w:p w14:paraId="19AAF5E2"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EA7910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18.486</w:t>
            </w:r>
          </w:p>
        </w:tc>
        <w:tc>
          <w:tcPr>
            <w:tcW w:w="78" w:type="pct"/>
            <w:tcBorders>
              <w:top w:val="nil"/>
              <w:left w:val="nil"/>
              <w:bottom w:val="nil"/>
              <w:right w:val="nil"/>
            </w:tcBorders>
            <w:shd w:val="clear" w:color="auto" w:fill="auto"/>
            <w:vAlign w:val="center"/>
            <w:hideMark/>
          </w:tcPr>
          <w:p w14:paraId="0D72AC28"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343376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265.836</w:t>
            </w:r>
          </w:p>
        </w:tc>
        <w:tc>
          <w:tcPr>
            <w:tcW w:w="78" w:type="pct"/>
            <w:tcBorders>
              <w:top w:val="nil"/>
              <w:left w:val="nil"/>
              <w:bottom w:val="nil"/>
              <w:right w:val="nil"/>
            </w:tcBorders>
            <w:shd w:val="clear" w:color="auto" w:fill="auto"/>
            <w:vAlign w:val="center"/>
          </w:tcPr>
          <w:p w14:paraId="44B0243C"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346ADAC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278.622</w:t>
            </w:r>
          </w:p>
        </w:tc>
        <w:tc>
          <w:tcPr>
            <w:tcW w:w="78" w:type="pct"/>
            <w:gridSpan w:val="2"/>
            <w:tcBorders>
              <w:top w:val="nil"/>
              <w:left w:val="nil"/>
              <w:bottom w:val="nil"/>
              <w:right w:val="nil"/>
            </w:tcBorders>
            <w:shd w:val="clear" w:color="auto" w:fill="auto"/>
            <w:vAlign w:val="center"/>
          </w:tcPr>
          <w:p w14:paraId="0257F1FE"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2EB4DC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16.786 </w:t>
            </w:r>
          </w:p>
        </w:tc>
      </w:tr>
      <w:tr w:rsidR="003B5193" w:rsidRPr="00AE4E8D" w14:paraId="794E00C8" w14:textId="77777777" w:rsidTr="00E8320E">
        <w:trPr>
          <w:trHeight w:val="210"/>
        </w:trPr>
        <w:tc>
          <w:tcPr>
            <w:tcW w:w="1253" w:type="pct"/>
            <w:tcBorders>
              <w:top w:val="nil"/>
              <w:left w:val="nil"/>
              <w:bottom w:val="nil"/>
              <w:right w:val="nil"/>
            </w:tcBorders>
            <w:shd w:val="clear" w:color="auto" w:fill="auto"/>
            <w:vAlign w:val="center"/>
          </w:tcPr>
          <w:p w14:paraId="1F743EFF"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rPr>
              <w:t>Total préstamos a</w:t>
            </w:r>
            <w:r w:rsidRPr="00AE4E8D">
              <w:rPr>
                <w:rFonts w:ascii="Times New Roman" w:hAnsi="Times New Roman"/>
                <w:color w:val="000000"/>
                <w:sz w:val="16"/>
                <w:lang w:val="es-ES"/>
              </w:rPr>
              <w:t>l sector privado no financiero y residentes en el exterior</w:t>
            </w:r>
          </w:p>
        </w:tc>
        <w:tc>
          <w:tcPr>
            <w:tcW w:w="328" w:type="pct"/>
            <w:tcBorders>
              <w:top w:val="nil"/>
              <w:left w:val="nil"/>
              <w:bottom w:val="nil"/>
              <w:right w:val="nil"/>
            </w:tcBorders>
            <w:shd w:val="clear" w:color="auto" w:fill="auto"/>
            <w:noWrap/>
            <w:vAlign w:val="center"/>
          </w:tcPr>
          <w:p w14:paraId="49A1918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9.544.383</w:t>
            </w:r>
          </w:p>
        </w:tc>
        <w:tc>
          <w:tcPr>
            <w:tcW w:w="78" w:type="pct"/>
            <w:tcBorders>
              <w:top w:val="nil"/>
              <w:left w:val="nil"/>
              <w:bottom w:val="nil"/>
              <w:right w:val="nil"/>
            </w:tcBorders>
            <w:shd w:val="clear" w:color="auto" w:fill="auto"/>
            <w:vAlign w:val="center"/>
          </w:tcPr>
          <w:p w14:paraId="5659987A"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463B5A6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12.928.639</w:t>
            </w:r>
          </w:p>
        </w:tc>
        <w:tc>
          <w:tcPr>
            <w:tcW w:w="78" w:type="pct"/>
            <w:tcBorders>
              <w:top w:val="nil"/>
              <w:left w:val="nil"/>
              <w:bottom w:val="nil"/>
              <w:right w:val="nil"/>
            </w:tcBorders>
            <w:shd w:val="clear" w:color="auto" w:fill="auto"/>
            <w:vAlign w:val="center"/>
          </w:tcPr>
          <w:p w14:paraId="6E07482D"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2868D9B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17.195.344</w:t>
            </w:r>
          </w:p>
        </w:tc>
        <w:tc>
          <w:tcPr>
            <w:tcW w:w="78" w:type="pct"/>
            <w:tcBorders>
              <w:top w:val="nil"/>
              <w:left w:val="nil"/>
              <w:bottom w:val="nil"/>
              <w:right w:val="nil"/>
            </w:tcBorders>
            <w:shd w:val="clear" w:color="auto" w:fill="auto"/>
            <w:vAlign w:val="center"/>
          </w:tcPr>
          <w:p w14:paraId="5975F70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1D91EF4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20.576.555</w:t>
            </w:r>
          </w:p>
        </w:tc>
        <w:tc>
          <w:tcPr>
            <w:tcW w:w="83" w:type="pct"/>
            <w:tcBorders>
              <w:top w:val="nil"/>
              <w:left w:val="nil"/>
              <w:bottom w:val="nil"/>
              <w:right w:val="nil"/>
            </w:tcBorders>
            <w:shd w:val="clear" w:color="auto" w:fill="auto"/>
            <w:noWrap/>
            <w:vAlign w:val="center"/>
          </w:tcPr>
          <w:p w14:paraId="029551AF"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tcPr>
          <w:p w14:paraId="356B66B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27.050.101</w:t>
            </w:r>
          </w:p>
        </w:tc>
        <w:tc>
          <w:tcPr>
            <w:tcW w:w="79" w:type="pct"/>
            <w:tcBorders>
              <w:top w:val="nil"/>
              <w:left w:val="nil"/>
              <w:bottom w:val="nil"/>
              <w:right w:val="nil"/>
            </w:tcBorders>
            <w:shd w:val="clear" w:color="auto" w:fill="auto"/>
            <w:noWrap/>
            <w:vAlign w:val="center"/>
          </w:tcPr>
          <w:p w14:paraId="7450408A"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tcPr>
          <w:p w14:paraId="45C8D89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1.706.609</w:t>
            </w:r>
          </w:p>
        </w:tc>
        <w:tc>
          <w:tcPr>
            <w:tcW w:w="78" w:type="pct"/>
            <w:tcBorders>
              <w:top w:val="nil"/>
              <w:left w:val="nil"/>
              <w:bottom w:val="nil"/>
              <w:right w:val="nil"/>
            </w:tcBorders>
            <w:shd w:val="clear" w:color="auto" w:fill="auto"/>
            <w:vAlign w:val="center"/>
          </w:tcPr>
          <w:p w14:paraId="452A907E"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CF617F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21.809.409</w:t>
            </w:r>
          </w:p>
        </w:tc>
        <w:tc>
          <w:tcPr>
            <w:tcW w:w="78" w:type="pct"/>
            <w:tcBorders>
              <w:top w:val="nil"/>
              <w:left w:val="nil"/>
              <w:bottom w:val="nil"/>
              <w:right w:val="nil"/>
            </w:tcBorders>
            <w:shd w:val="clear" w:color="auto" w:fill="auto"/>
            <w:vAlign w:val="center"/>
          </w:tcPr>
          <w:p w14:paraId="5802A25E"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81BD41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31.316.146</w:t>
            </w:r>
          </w:p>
        </w:tc>
        <w:tc>
          <w:tcPr>
            <w:tcW w:w="78" w:type="pct"/>
            <w:gridSpan w:val="2"/>
            <w:tcBorders>
              <w:top w:val="nil"/>
              <w:left w:val="nil"/>
              <w:bottom w:val="nil"/>
              <w:right w:val="nil"/>
            </w:tcBorders>
            <w:shd w:val="clear" w:color="auto" w:fill="auto"/>
            <w:vAlign w:val="center"/>
          </w:tcPr>
          <w:p w14:paraId="5EA4CF1F"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3AAC4D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1.886.685 </w:t>
            </w:r>
          </w:p>
        </w:tc>
      </w:tr>
      <w:tr w:rsidR="003B5193" w:rsidRPr="00AE4E8D" w14:paraId="5F9BA52D" w14:textId="77777777" w:rsidTr="00E8320E">
        <w:trPr>
          <w:trHeight w:val="210"/>
        </w:trPr>
        <w:tc>
          <w:tcPr>
            <w:tcW w:w="1253" w:type="pct"/>
            <w:tcBorders>
              <w:top w:val="nil"/>
              <w:left w:val="nil"/>
              <w:bottom w:val="nil"/>
              <w:right w:val="nil"/>
            </w:tcBorders>
            <w:shd w:val="clear" w:color="auto" w:fill="auto"/>
            <w:vAlign w:val="center"/>
            <w:hideMark/>
          </w:tcPr>
          <w:p w14:paraId="4080FDF4"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Intereses documentados</w:t>
            </w:r>
          </w:p>
        </w:tc>
        <w:tc>
          <w:tcPr>
            <w:tcW w:w="328" w:type="pct"/>
            <w:tcBorders>
              <w:top w:val="nil"/>
              <w:left w:val="nil"/>
              <w:bottom w:val="nil"/>
              <w:right w:val="nil"/>
            </w:tcBorders>
            <w:shd w:val="clear" w:color="auto" w:fill="auto"/>
            <w:noWrap/>
            <w:vAlign w:val="center"/>
            <w:hideMark/>
          </w:tcPr>
          <w:p w14:paraId="2F9B58E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(15.155)</w:t>
            </w:r>
          </w:p>
        </w:tc>
        <w:tc>
          <w:tcPr>
            <w:tcW w:w="78" w:type="pct"/>
            <w:tcBorders>
              <w:top w:val="nil"/>
              <w:left w:val="nil"/>
              <w:bottom w:val="nil"/>
              <w:right w:val="nil"/>
            </w:tcBorders>
            <w:shd w:val="clear" w:color="auto" w:fill="auto"/>
            <w:vAlign w:val="center"/>
            <w:hideMark/>
          </w:tcPr>
          <w:p w14:paraId="75AD5E0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6FDAF9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(19.320)</w:t>
            </w:r>
          </w:p>
        </w:tc>
        <w:tc>
          <w:tcPr>
            <w:tcW w:w="78" w:type="pct"/>
            <w:tcBorders>
              <w:top w:val="nil"/>
              <w:left w:val="nil"/>
              <w:bottom w:val="nil"/>
              <w:right w:val="nil"/>
            </w:tcBorders>
            <w:shd w:val="clear" w:color="auto" w:fill="auto"/>
            <w:vAlign w:val="center"/>
            <w:hideMark/>
          </w:tcPr>
          <w:p w14:paraId="1D4583A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ED9658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(26.464)</w:t>
            </w:r>
          </w:p>
        </w:tc>
        <w:tc>
          <w:tcPr>
            <w:tcW w:w="78" w:type="pct"/>
            <w:tcBorders>
              <w:top w:val="nil"/>
              <w:left w:val="nil"/>
              <w:bottom w:val="nil"/>
              <w:right w:val="nil"/>
            </w:tcBorders>
            <w:shd w:val="clear" w:color="auto" w:fill="auto"/>
            <w:vAlign w:val="center"/>
            <w:hideMark/>
          </w:tcPr>
          <w:p w14:paraId="4519CD0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9DB7A9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(29.571)</w:t>
            </w:r>
          </w:p>
        </w:tc>
        <w:tc>
          <w:tcPr>
            <w:tcW w:w="83" w:type="pct"/>
            <w:tcBorders>
              <w:top w:val="nil"/>
              <w:left w:val="nil"/>
              <w:bottom w:val="nil"/>
              <w:right w:val="nil"/>
            </w:tcBorders>
            <w:shd w:val="clear" w:color="auto" w:fill="auto"/>
            <w:noWrap/>
            <w:vAlign w:val="center"/>
            <w:hideMark/>
          </w:tcPr>
          <w:p w14:paraId="43FA7554"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A73F12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(45.878)</w:t>
            </w:r>
          </w:p>
        </w:tc>
        <w:tc>
          <w:tcPr>
            <w:tcW w:w="79" w:type="pct"/>
            <w:tcBorders>
              <w:top w:val="nil"/>
              <w:left w:val="nil"/>
              <w:bottom w:val="nil"/>
              <w:right w:val="nil"/>
            </w:tcBorders>
            <w:shd w:val="clear" w:color="auto" w:fill="auto"/>
            <w:noWrap/>
            <w:vAlign w:val="center"/>
            <w:hideMark/>
          </w:tcPr>
          <w:p w14:paraId="4CF6621E"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231EFEB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(2.894)</w:t>
            </w:r>
          </w:p>
        </w:tc>
        <w:tc>
          <w:tcPr>
            <w:tcW w:w="78" w:type="pct"/>
            <w:tcBorders>
              <w:top w:val="nil"/>
              <w:left w:val="nil"/>
              <w:bottom w:val="nil"/>
              <w:right w:val="nil"/>
            </w:tcBorders>
            <w:shd w:val="clear" w:color="auto" w:fill="auto"/>
            <w:vAlign w:val="center"/>
            <w:hideMark/>
          </w:tcPr>
          <w:p w14:paraId="771EF9A3"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7A5BDAC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(39.124)</w:t>
            </w:r>
          </w:p>
        </w:tc>
        <w:tc>
          <w:tcPr>
            <w:tcW w:w="78" w:type="pct"/>
            <w:tcBorders>
              <w:top w:val="nil"/>
              <w:left w:val="nil"/>
              <w:bottom w:val="nil"/>
              <w:right w:val="nil"/>
            </w:tcBorders>
            <w:shd w:val="clear" w:color="auto" w:fill="auto"/>
            <w:vAlign w:val="center"/>
          </w:tcPr>
          <w:p w14:paraId="30E4C1CF"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2EC00F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(48.779)</w:t>
            </w:r>
          </w:p>
        </w:tc>
        <w:tc>
          <w:tcPr>
            <w:tcW w:w="78" w:type="pct"/>
            <w:gridSpan w:val="2"/>
            <w:tcBorders>
              <w:top w:val="nil"/>
              <w:left w:val="nil"/>
              <w:bottom w:val="nil"/>
              <w:right w:val="nil"/>
            </w:tcBorders>
            <w:shd w:val="clear" w:color="auto" w:fill="auto"/>
            <w:vAlign w:val="center"/>
          </w:tcPr>
          <w:p w14:paraId="42EE94C5"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55CE1F8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 (2.939)</w:t>
            </w:r>
          </w:p>
        </w:tc>
      </w:tr>
      <w:tr w:rsidR="003B5193" w:rsidRPr="00AE4E8D" w14:paraId="255FC587" w14:textId="77777777" w:rsidTr="00E8320E">
        <w:trPr>
          <w:trHeight w:val="210"/>
        </w:trPr>
        <w:tc>
          <w:tcPr>
            <w:tcW w:w="1253" w:type="pct"/>
            <w:tcBorders>
              <w:top w:val="nil"/>
              <w:left w:val="nil"/>
              <w:bottom w:val="nil"/>
              <w:right w:val="nil"/>
            </w:tcBorders>
            <w:shd w:val="clear" w:color="auto" w:fill="auto"/>
            <w:vAlign w:val="center"/>
            <w:hideMark/>
          </w:tcPr>
          <w:p w14:paraId="711C9F37"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Previsiones</w:t>
            </w:r>
          </w:p>
        </w:tc>
        <w:tc>
          <w:tcPr>
            <w:tcW w:w="328" w:type="pct"/>
            <w:tcBorders>
              <w:top w:val="nil"/>
              <w:left w:val="nil"/>
              <w:bottom w:val="nil"/>
              <w:right w:val="nil"/>
            </w:tcBorders>
            <w:shd w:val="clear" w:color="auto" w:fill="auto"/>
            <w:noWrap/>
            <w:vAlign w:val="center"/>
            <w:hideMark/>
          </w:tcPr>
          <w:p w14:paraId="7214E21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(273.101)</w:t>
            </w:r>
          </w:p>
        </w:tc>
        <w:tc>
          <w:tcPr>
            <w:tcW w:w="78" w:type="pct"/>
            <w:tcBorders>
              <w:top w:val="nil"/>
              <w:left w:val="nil"/>
              <w:bottom w:val="nil"/>
              <w:right w:val="nil"/>
            </w:tcBorders>
            <w:shd w:val="clear" w:color="auto" w:fill="auto"/>
            <w:vAlign w:val="center"/>
            <w:hideMark/>
          </w:tcPr>
          <w:p w14:paraId="26324F6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31D853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(308.632)</w:t>
            </w:r>
          </w:p>
        </w:tc>
        <w:tc>
          <w:tcPr>
            <w:tcW w:w="78" w:type="pct"/>
            <w:tcBorders>
              <w:top w:val="nil"/>
              <w:left w:val="nil"/>
              <w:bottom w:val="nil"/>
              <w:right w:val="nil"/>
            </w:tcBorders>
            <w:shd w:val="clear" w:color="auto" w:fill="auto"/>
            <w:vAlign w:val="center"/>
            <w:hideMark/>
          </w:tcPr>
          <w:p w14:paraId="4E8CD53D"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BDD76F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(407.140)</w:t>
            </w:r>
          </w:p>
        </w:tc>
        <w:tc>
          <w:tcPr>
            <w:tcW w:w="78" w:type="pct"/>
            <w:tcBorders>
              <w:top w:val="nil"/>
              <w:left w:val="nil"/>
              <w:bottom w:val="nil"/>
              <w:right w:val="nil"/>
            </w:tcBorders>
            <w:shd w:val="clear" w:color="auto" w:fill="auto"/>
            <w:vAlign w:val="center"/>
            <w:hideMark/>
          </w:tcPr>
          <w:p w14:paraId="4A2A2B4A"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ECB80E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(451.751)</w:t>
            </w:r>
          </w:p>
        </w:tc>
        <w:tc>
          <w:tcPr>
            <w:tcW w:w="83" w:type="pct"/>
            <w:tcBorders>
              <w:top w:val="nil"/>
              <w:left w:val="nil"/>
              <w:bottom w:val="nil"/>
              <w:right w:val="nil"/>
            </w:tcBorders>
            <w:shd w:val="clear" w:color="auto" w:fill="auto"/>
            <w:noWrap/>
            <w:vAlign w:val="center"/>
            <w:hideMark/>
          </w:tcPr>
          <w:p w14:paraId="701C577C"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A5513C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(676.141)</w:t>
            </w:r>
          </w:p>
        </w:tc>
        <w:tc>
          <w:tcPr>
            <w:tcW w:w="79" w:type="pct"/>
            <w:tcBorders>
              <w:top w:val="nil"/>
              <w:left w:val="nil"/>
              <w:bottom w:val="nil"/>
              <w:right w:val="nil"/>
            </w:tcBorders>
            <w:shd w:val="clear" w:color="auto" w:fill="auto"/>
            <w:noWrap/>
            <w:vAlign w:val="center"/>
            <w:hideMark/>
          </w:tcPr>
          <w:p w14:paraId="7CE48A23"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694608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(42.658)</w:t>
            </w:r>
          </w:p>
        </w:tc>
        <w:tc>
          <w:tcPr>
            <w:tcW w:w="78" w:type="pct"/>
            <w:tcBorders>
              <w:top w:val="nil"/>
              <w:left w:val="nil"/>
              <w:bottom w:val="nil"/>
              <w:right w:val="nil"/>
            </w:tcBorders>
            <w:shd w:val="clear" w:color="auto" w:fill="auto"/>
            <w:vAlign w:val="center"/>
            <w:hideMark/>
          </w:tcPr>
          <w:p w14:paraId="654889D6"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2ADCD2A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(493.536)</w:t>
            </w:r>
          </w:p>
        </w:tc>
        <w:tc>
          <w:tcPr>
            <w:tcW w:w="78" w:type="pct"/>
            <w:tcBorders>
              <w:top w:val="nil"/>
              <w:left w:val="nil"/>
              <w:bottom w:val="nil"/>
              <w:right w:val="nil"/>
            </w:tcBorders>
            <w:shd w:val="clear" w:color="auto" w:fill="auto"/>
            <w:vAlign w:val="center"/>
          </w:tcPr>
          <w:p w14:paraId="748AFAF4"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2CA671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(796.546)</w:t>
            </w:r>
          </w:p>
        </w:tc>
        <w:tc>
          <w:tcPr>
            <w:tcW w:w="78" w:type="pct"/>
            <w:gridSpan w:val="2"/>
            <w:tcBorders>
              <w:top w:val="nil"/>
              <w:left w:val="nil"/>
              <w:bottom w:val="nil"/>
              <w:right w:val="nil"/>
            </w:tcBorders>
            <w:shd w:val="clear" w:color="auto" w:fill="auto"/>
            <w:vAlign w:val="center"/>
          </w:tcPr>
          <w:p w14:paraId="79E2A2C4"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68B343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 (47.989)</w:t>
            </w:r>
          </w:p>
        </w:tc>
      </w:tr>
      <w:tr w:rsidR="003B5193" w:rsidRPr="00AE4E8D" w14:paraId="7F076F83" w14:textId="77777777" w:rsidTr="00E8320E">
        <w:trPr>
          <w:trHeight w:val="210"/>
        </w:trPr>
        <w:tc>
          <w:tcPr>
            <w:tcW w:w="1253" w:type="pct"/>
            <w:tcBorders>
              <w:top w:val="nil"/>
              <w:left w:val="nil"/>
              <w:bottom w:val="nil"/>
              <w:right w:val="nil"/>
            </w:tcBorders>
            <w:shd w:val="clear" w:color="auto" w:fill="auto"/>
            <w:vAlign w:val="center"/>
            <w:hideMark/>
          </w:tcPr>
          <w:p w14:paraId="66299CD0" w14:textId="77777777" w:rsidR="005C363D" w:rsidRPr="00AE4E8D" w:rsidRDefault="005C363D"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Préstamos (neto de previsiones)</w:t>
            </w:r>
          </w:p>
        </w:tc>
        <w:tc>
          <w:tcPr>
            <w:tcW w:w="328" w:type="pct"/>
            <w:tcBorders>
              <w:top w:val="nil"/>
              <w:left w:val="nil"/>
              <w:bottom w:val="nil"/>
              <w:right w:val="nil"/>
            </w:tcBorders>
            <w:shd w:val="clear" w:color="auto" w:fill="auto"/>
            <w:noWrap/>
            <w:vAlign w:val="center"/>
            <w:hideMark/>
          </w:tcPr>
          <w:p w14:paraId="6571D06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9.754.431</w:t>
            </w:r>
          </w:p>
        </w:tc>
        <w:tc>
          <w:tcPr>
            <w:tcW w:w="78" w:type="pct"/>
            <w:tcBorders>
              <w:top w:val="nil"/>
              <w:left w:val="nil"/>
              <w:bottom w:val="nil"/>
              <w:right w:val="nil"/>
            </w:tcBorders>
            <w:shd w:val="clear" w:color="auto" w:fill="auto"/>
            <w:vAlign w:val="center"/>
            <w:hideMark/>
          </w:tcPr>
          <w:p w14:paraId="5A55988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0CA207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13.138.688</w:t>
            </w:r>
          </w:p>
        </w:tc>
        <w:tc>
          <w:tcPr>
            <w:tcW w:w="78" w:type="pct"/>
            <w:tcBorders>
              <w:top w:val="nil"/>
              <w:left w:val="nil"/>
              <w:bottom w:val="nil"/>
              <w:right w:val="nil"/>
            </w:tcBorders>
            <w:shd w:val="clear" w:color="auto" w:fill="auto"/>
            <w:vAlign w:val="center"/>
            <w:hideMark/>
          </w:tcPr>
          <w:p w14:paraId="054CDE9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102DF8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17.239.525</w:t>
            </w:r>
          </w:p>
        </w:tc>
        <w:tc>
          <w:tcPr>
            <w:tcW w:w="78" w:type="pct"/>
            <w:tcBorders>
              <w:top w:val="nil"/>
              <w:left w:val="nil"/>
              <w:bottom w:val="nil"/>
              <w:right w:val="nil"/>
            </w:tcBorders>
            <w:shd w:val="clear" w:color="auto" w:fill="auto"/>
            <w:vAlign w:val="center"/>
            <w:hideMark/>
          </w:tcPr>
          <w:p w14:paraId="164708A1"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E22CB4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20.369.933</w:t>
            </w:r>
          </w:p>
        </w:tc>
        <w:tc>
          <w:tcPr>
            <w:tcW w:w="83" w:type="pct"/>
            <w:tcBorders>
              <w:top w:val="nil"/>
              <w:left w:val="nil"/>
              <w:bottom w:val="nil"/>
              <w:right w:val="nil"/>
            </w:tcBorders>
            <w:shd w:val="clear" w:color="auto" w:fill="auto"/>
            <w:noWrap/>
            <w:vAlign w:val="center"/>
            <w:hideMark/>
          </w:tcPr>
          <w:p w14:paraId="57DC2A05"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444DE8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27.163.942</w:t>
            </w:r>
          </w:p>
        </w:tc>
        <w:tc>
          <w:tcPr>
            <w:tcW w:w="79" w:type="pct"/>
            <w:tcBorders>
              <w:top w:val="nil"/>
              <w:left w:val="nil"/>
              <w:bottom w:val="nil"/>
              <w:right w:val="nil"/>
            </w:tcBorders>
            <w:shd w:val="clear" w:color="auto" w:fill="auto"/>
            <w:noWrap/>
            <w:vAlign w:val="center"/>
            <w:hideMark/>
          </w:tcPr>
          <w:p w14:paraId="5118C8CA"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EDBC3A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1.713.792</w:t>
            </w:r>
          </w:p>
        </w:tc>
        <w:tc>
          <w:tcPr>
            <w:tcW w:w="78" w:type="pct"/>
            <w:tcBorders>
              <w:top w:val="nil"/>
              <w:left w:val="nil"/>
              <w:bottom w:val="nil"/>
              <w:right w:val="nil"/>
            </w:tcBorders>
            <w:shd w:val="clear" w:color="auto" w:fill="auto"/>
            <w:vAlign w:val="center"/>
            <w:hideMark/>
          </w:tcPr>
          <w:p w14:paraId="0FECAD97"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5CC32E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21.953.669</w:t>
            </w:r>
          </w:p>
        </w:tc>
        <w:tc>
          <w:tcPr>
            <w:tcW w:w="78" w:type="pct"/>
            <w:tcBorders>
              <w:top w:val="nil"/>
              <w:left w:val="nil"/>
              <w:bottom w:val="nil"/>
              <w:right w:val="nil"/>
            </w:tcBorders>
            <w:shd w:val="clear" w:color="auto" w:fill="auto"/>
            <w:vAlign w:val="center"/>
          </w:tcPr>
          <w:p w14:paraId="05C89DFC"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C61818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31.167.477</w:t>
            </w:r>
          </w:p>
        </w:tc>
        <w:tc>
          <w:tcPr>
            <w:tcW w:w="78" w:type="pct"/>
            <w:gridSpan w:val="2"/>
            <w:tcBorders>
              <w:top w:val="nil"/>
              <w:left w:val="nil"/>
              <w:bottom w:val="nil"/>
              <w:right w:val="nil"/>
            </w:tcBorders>
            <w:shd w:val="clear" w:color="auto" w:fill="auto"/>
            <w:vAlign w:val="center"/>
          </w:tcPr>
          <w:p w14:paraId="43B2B544"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9E0C58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1.877.729</w:t>
            </w:r>
          </w:p>
        </w:tc>
      </w:tr>
      <w:tr w:rsidR="003B5193" w:rsidRPr="00AE4E8D" w14:paraId="4074B262" w14:textId="77777777" w:rsidTr="00E8320E">
        <w:trPr>
          <w:trHeight w:val="210"/>
        </w:trPr>
        <w:tc>
          <w:tcPr>
            <w:tcW w:w="1253" w:type="pct"/>
            <w:tcBorders>
              <w:top w:val="nil"/>
              <w:left w:val="nil"/>
              <w:bottom w:val="nil"/>
              <w:right w:val="nil"/>
            </w:tcBorders>
            <w:shd w:val="clear" w:color="auto" w:fill="auto"/>
            <w:noWrap/>
            <w:vAlign w:val="center"/>
            <w:hideMark/>
          </w:tcPr>
          <w:p w14:paraId="5B4DE4C2"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Otros créditos por intermediación financiera</w:t>
            </w:r>
          </w:p>
        </w:tc>
        <w:tc>
          <w:tcPr>
            <w:tcW w:w="328" w:type="pct"/>
            <w:tcBorders>
              <w:top w:val="nil"/>
              <w:left w:val="nil"/>
              <w:bottom w:val="nil"/>
              <w:right w:val="nil"/>
            </w:tcBorders>
            <w:shd w:val="clear" w:color="auto" w:fill="auto"/>
            <w:noWrap/>
            <w:vAlign w:val="center"/>
            <w:hideMark/>
          </w:tcPr>
          <w:p w14:paraId="564DBD2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1.695.702</w:t>
            </w:r>
          </w:p>
        </w:tc>
        <w:tc>
          <w:tcPr>
            <w:tcW w:w="78" w:type="pct"/>
            <w:tcBorders>
              <w:top w:val="nil"/>
              <w:left w:val="nil"/>
              <w:bottom w:val="nil"/>
              <w:right w:val="nil"/>
            </w:tcBorders>
            <w:shd w:val="clear" w:color="auto" w:fill="auto"/>
            <w:vAlign w:val="center"/>
            <w:hideMark/>
          </w:tcPr>
          <w:p w14:paraId="7F5EFA8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9BDFA0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1.824.334</w:t>
            </w:r>
          </w:p>
        </w:tc>
        <w:tc>
          <w:tcPr>
            <w:tcW w:w="78" w:type="pct"/>
            <w:tcBorders>
              <w:top w:val="nil"/>
              <w:left w:val="nil"/>
              <w:bottom w:val="nil"/>
              <w:right w:val="nil"/>
            </w:tcBorders>
            <w:shd w:val="clear" w:color="auto" w:fill="auto"/>
            <w:vAlign w:val="center"/>
            <w:hideMark/>
          </w:tcPr>
          <w:p w14:paraId="082F1CB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26E724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2.366.225</w:t>
            </w:r>
          </w:p>
        </w:tc>
        <w:tc>
          <w:tcPr>
            <w:tcW w:w="78" w:type="pct"/>
            <w:tcBorders>
              <w:top w:val="nil"/>
              <w:left w:val="nil"/>
              <w:bottom w:val="nil"/>
              <w:right w:val="nil"/>
            </w:tcBorders>
            <w:shd w:val="clear" w:color="auto" w:fill="auto"/>
            <w:vAlign w:val="center"/>
            <w:hideMark/>
          </w:tcPr>
          <w:p w14:paraId="3222CBA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BECD3C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4.553.256</w:t>
            </w:r>
          </w:p>
        </w:tc>
        <w:tc>
          <w:tcPr>
            <w:tcW w:w="83" w:type="pct"/>
            <w:tcBorders>
              <w:top w:val="nil"/>
              <w:left w:val="nil"/>
              <w:bottom w:val="nil"/>
              <w:right w:val="nil"/>
            </w:tcBorders>
            <w:shd w:val="clear" w:color="auto" w:fill="auto"/>
            <w:noWrap/>
            <w:vAlign w:val="center"/>
            <w:hideMark/>
          </w:tcPr>
          <w:p w14:paraId="4784BBDA"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4A27762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9.262.132</w:t>
            </w:r>
          </w:p>
        </w:tc>
        <w:tc>
          <w:tcPr>
            <w:tcW w:w="79" w:type="pct"/>
            <w:tcBorders>
              <w:top w:val="nil"/>
              <w:left w:val="nil"/>
              <w:bottom w:val="nil"/>
              <w:right w:val="nil"/>
            </w:tcBorders>
            <w:shd w:val="clear" w:color="auto" w:fill="auto"/>
            <w:noWrap/>
            <w:vAlign w:val="center"/>
            <w:hideMark/>
          </w:tcPr>
          <w:p w14:paraId="66EBCB51"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EE3E1E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584.354</w:t>
            </w:r>
          </w:p>
        </w:tc>
        <w:tc>
          <w:tcPr>
            <w:tcW w:w="78" w:type="pct"/>
            <w:tcBorders>
              <w:top w:val="nil"/>
              <w:left w:val="nil"/>
              <w:bottom w:val="nil"/>
              <w:right w:val="nil"/>
            </w:tcBorders>
            <w:shd w:val="clear" w:color="auto" w:fill="auto"/>
            <w:vAlign w:val="center"/>
            <w:hideMark/>
          </w:tcPr>
          <w:p w14:paraId="075D4D75"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2171376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6.841.589</w:t>
            </w:r>
          </w:p>
        </w:tc>
        <w:tc>
          <w:tcPr>
            <w:tcW w:w="78" w:type="pct"/>
            <w:tcBorders>
              <w:top w:val="nil"/>
              <w:left w:val="nil"/>
              <w:bottom w:val="nil"/>
              <w:right w:val="nil"/>
            </w:tcBorders>
            <w:shd w:val="clear" w:color="auto" w:fill="auto"/>
            <w:vAlign w:val="center"/>
          </w:tcPr>
          <w:p w14:paraId="0F664EB8"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2E6B17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7.942.975</w:t>
            </w:r>
          </w:p>
        </w:tc>
        <w:tc>
          <w:tcPr>
            <w:tcW w:w="78" w:type="pct"/>
            <w:gridSpan w:val="2"/>
            <w:tcBorders>
              <w:top w:val="nil"/>
              <w:left w:val="nil"/>
              <w:bottom w:val="nil"/>
              <w:right w:val="nil"/>
            </w:tcBorders>
            <w:shd w:val="clear" w:color="auto" w:fill="auto"/>
            <w:vAlign w:val="center"/>
          </w:tcPr>
          <w:p w14:paraId="473262FE"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30C786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478.536</w:t>
            </w:r>
          </w:p>
        </w:tc>
      </w:tr>
      <w:tr w:rsidR="003B5193" w:rsidRPr="00AE4E8D" w14:paraId="17D02844" w14:textId="77777777" w:rsidTr="00E8320E">
        <w:trPr>
          <w:trHeight w:val="210"/>
        </w:trPr>
        <w:tc>
          <w:tcPr>
            <w:tcW w:w="1253" w:type="pct"/>
            <w:tcBorders>
              <w:top w:val="nil"/>
              <w:left w:val="nil"/>
              <w:bottom w:val="nil"/>
              <w:right w:val="nil"/>
            </w:tcBorders>
            <w:shd w:val="clear" w:color="auto" w:fill="auto"/>
            <w:noWrap/>
            <w:vAlign w:val="center"/>
            <w:hideMark/>
          </w:tcPr>
          <w:p w14:paraId="57EC29D9"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Créditos por arrendamientos financieros</w:t>
            </w:r>
          </w:p>
        </w:tc>
        <w:tc>
          <w:tcPr>
            <w:tcW w:w="328" w:type="pct"/>
            <w:tcBorders>
              <w:top w:val="nil"/>
              <w:left w:val="nil"/>
              <w:bottom w:val="nil"/>
              <w:right w:val="nil"/>
            </w:tcBorders>
            <w:shd w:val="clear" w:color="auto" w:fill="auto"/>
            <w:noWrap/>
            <w:vAlign w:val="center"/>
            <w:hideMark/>
          </w:tcPr>
          <w:p w14:paraId="1A0E584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10.810</w:t>
            </w:r>
          </w:p>
        </w:tc>
        <w:tc>
          <w:tcPr>
            <w:tcW w:w="78" w:type="pct"/>
            <w:tcBorders>
              <w:top w:val="nil"/>
              <w:left w:val="nil"/>
              <w:bottom w:val="nil"/>
              <w:right w:val="nil"/>
            </w:tcBorders>
            <w:shd w:val="clear" w:color="auto" w:fill="auto"/>
            <w:vAlign w:val="center"/>
            <w:hideMark/>
          </w:tcPr>
          <w:p w14:paraId="335D6B9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1F56AD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58.851</w:t>
            </w:r>
          </w:p>
        </w:tc>
        <w:tc>
          <w:tcPr>
            <w:tcW w:w="78" w:type="pct"/>
            <w:tcBorders>
              <w:top w:val="nil"/>
              <w:left w:val="nil"/>
              <w:bottom w:val="nil"/>
              <w:right w:val="nil"/>
            </w:tcBorders>
            <w:shd w:val="clear" w:color="auto" w:fill="auto"/>
            <w:vAlign w:val="center"/>
            <w:hideMark/>
          </w:tcPr>
          <w:p w14:paraId="5F1115B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D7B1C9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107.520</w:t>
            </w:r>
          </w:p>
        </w:tc>
        <w:tc>
          <w:tcPr>
            <w:tcW w:w="78" w:type="pct"/>
            <w:tcBorders>
              <w:top w:val="nil"/>
              <w:left w:val="nil"/>
              <w:bottom w:val="nil"/>
              <w:right w:val="nil"/>
            </w:tcBorders>
            <w:shd w:val="clear" w:color="auto" w:fill="auto"/>
            <w:vAlign w:val="center"/>
            <w:hideMark/>
          </w:tcPr>
          <w:p w14:paraId="6704CA8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DD9CE8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130.251</w:t>
            </w:r>
          </w:p>
        </w:tc>
        <w:tc>
          <w:tcPr>
            <w:tcW w:w="83" w:type="pct"/>
            <w:tcBorders>
              <w:top w:val="nil"/>
              <w:left w:val="nil"/>
              <w:bottom w:val="nil"/>
              <w:right w:val="nil"/>
            </w:tcBorders>
            <w:shd w:val="clear" w:color="auto" w:fill="auto"/>
            <w:noWrap/>
            <w:vAlign w:val="center"/>
            <w:hideMark/>
          </w:tcPr>
          <w:p w14:paraId="67D4905E"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60B34DF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157.409</w:t>
            </w:r>
          </w:p>
        </w:tc>
        <w:tc>
          <w:tcPr>
            <w:tcW w:w="79" w:type="pct"/>
            <w:tcBorders>
              <w:top w:val="nil"/>
              <w:left w:val="nil"/>
              <w:bottom w:val="nil"/>
              <w:right w:val="nil"/>
            </w:tcBorders>
            <w:shd w:val="clear" w:color="auto" w:fill="auto"/>
            <w:noWrap/>
            <w:vAlign w:val="center"/>
            <w:hideMark/>
          </w:tcPr>
          <w:p w14:paraId="59C42666"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501ED1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9.931</w:t>
            </w:r>
          </w:p>
        </w:tc>
        <w:tc>
          <w:tcPr>
            <w:tcW w:w="78" w:type="pct"/>
            <w:tcBorders>
              <w:top w:val="nil"/>
              <w:left w:val="nil"/>
              <w:bottom w:val="nil"/>
              <w:right w:val="nil"/>
            </w:tcBorders>
            <w:shd w:val="clear" w:color="auto" w:fill="auto"/>
            <w:vAlign w:val="center"/>
            <w:hideMark/>
          </w:tcPr>
          <w:p w14:paraId="45F0B975"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F07A94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135.302</w:t>
            </w:r>
          </w:p>
        </w:tc>
        <w:tc>
          <w:tcPr>
            <w:tcW w:w="78" w:type="pct"/>
            <w:tcBorders>
              <w:top w:val="nil"/>
              <w:left w:val="nil"/>
              <w:bottom w:val="nil"/>
              <w:right w:val="nil"/>
            </w:tcBorders>
            <w:shd w:val="clear" w:color="auto" w:fill="auto"/>
            <w:vAlign w:val="center"/>
          </w:tcPr>
          <w:p w14:paraId="23F4DDBC"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3EB34D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164.605</w:t>
            </w:r>
          </w:p>
        </w:tc>
        <w:tc>
          <w:tcPr>
            <w:tcW w:w="78" w:type="pct"/>
            <w:gridSpan w:val="2"/>
            <w:tcBorders>
              <w:top w:val="nil"/>
              <w:left w:val="nil"/>
              <w:bottom w:val="nil"/>
              <w:right w:val="nil"/>
            </w:tcBorders>
            <w:shd w:val="clear" w:color="auto" w:fill="auto"/>
            <w:vAlign w:val="center"/>
          </w:tcPr>
          <w:p w14:paraId="7156D0C7"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2A9456B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9.917</w:t>
            </w:r>
          </w:p>
        </w:tc>
      </w:tr>
      <w:tr w:rsidR="003B5193" w:rsidRPr="00AE4E8D" w14:paraId="4CF40109" w14:textId="77777777" w:rsidTr="00E8320E">
        <w:trPr>
          <w:trHeight w:val="210"/>
        </w:trPr>
        <w:tc>
          <w:tcPr>
            <w:tcW w:w="1253" w:type="pct"/>
            <w:tcBorders>
              <w:top w:val="nil"/>
              <w:left w:val="nil"/>
              <w:bottom w:val="nil"/>
              <w:right w:val="nil"/>
            </w:tcBorders>
            <w:shd w:val="clear" w:color="auto" w:fill="auto"/>
            <w:noWrap/>
            <w:vAlign w:val="center"/>
            <w:hideMark/>
          </w:tcPr>
          <w:p w14:paraId="27A5747F"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Participaciones en otras sociedades</w:t>
            </w:r>
          </w:p>
        </w:tc>
        <w:tc>
          <w:tcPr>
            <w:tcW w:w="328" w:type="pct"/>
            <w:tcBorders>
              <w:top w:val="nil"/>
              <w:left w:val="nil"/>
              <w:bottom w:val="nil"/>
              <w:right w:val="nil"/>
            </w:tcBorders>
            <w:shd w:val="clear" w:color="auto" w:fill="auto"/>
            <w:noWrap/>
            <w:vAlign w:val="center"/>
            <w:hideMark/>
          </w:tcPr>
          <w:p w14:paraId="1173040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4.066</w:t>
            </w:r>
          </w:p>
        </w:tc>
        <w:tc>
          <w:tcPr>
            <w:tcW w:w="78" w:type="pct"/>
            <w:tcBorders>
              <w:top w:val="nil"/>
              <w:left w:val="nil"/>
              <w:bottom w:val="nil"/>
              <w:right w:val="nil"/>
            </w:tcBorders>
            <w:shd w:val="clear" w:color="auto" w:fill="auto"/>
            <w:vAlign w:val="center"/>
            <w:hideMark/>
          </w:tcPr>
          <w:p w14:paraId="046E5CD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8ED0F0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19.241</w:t>
            </w:r>
          </w:p>
        </w:tc>
        <w:tc>
          <w:tcPr>
            <w:tcW w:w="78" w:type="pct"/>
            <w:tcBorders>
              <w:top w:val="nil"/>
              <w:left w:val="nil"/>
              <w:bottom w:val="nil"/>
              <w:right w:val="nil"/>
            </w:tcBorders>
            <w:shd w:val="clear" w:color="auto" w:fill="auto"/>
            <w:vAlign w:val="center"/>
            <w:hideMark/>
          </w:tcPr>
          <w:p w14:paraId="59658436"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68DE63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47.918</w:t>
            </w:r>
          </w:p>
        </w:tc>
        <w:tc>
          <w:tcPr>
            <w:tcW w:w="78" w:type="pct"/>
            <w:tcBorders>
              <w:top w:val="nil"/>
              <w:left w:val="nil"/>
              <w:bottom w:val="nil"/>
              <w:right w:val="nil"/>
            </w:tcBorders>
            <w:shd w:val="clear" w:color="auto" w:fill="auto"/>
            <w:vAlign w:val="center"/>
            <w:hideMark/>
          </w:tcPr>
          <w:p w14:paraId="2CC549E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7B039A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112.858</w:t>
            </w:r>
          </w:p>
        </w:tc>
        <w:tc>
          <w:tcPr>
            <w:tcW w:w="83" w:type="pct"/>
            <w:tcBorders>
              <w:top w:val="nil"/>
              <w:left w:val="nil"/>
              <w:bottom w:val="nil"/>
              <w:right w:val="nil"/>
            </w:tcBorders>
            <w:shd w:val="clear" w:color="auto" w:fill="auto"/>
            <w:noWrap/>
            <w:vAlign w:val="center"/>
            <w:hideMark/>
          </w:tcPr>
          <w:p w14:paraId="2EA040EA"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54E71FE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101.020</w:t>
            </w:r>
          </w:p>
        </w:tc>
        <w:tc>
          <w:tcPr>
            <w:tcW w:w="79" w:type="pct"/>
            <w:tcBorders>
              <w:top w:val="nil"/>
              <w:left w:val="nil"/>
              <w:bottom w:val="nil"/>
              <w:right w:val="nil"/>
            </w:tcBorders>
            <w:shd w:val="clear" w:color="auto" w:fill="auto"/>
            <w:noWrap/>
            <w:vAlign w:val="center"/>
            <w:hideMark/>
          </w:tcPr>
          <w:p w14:paraId="41BFEB63"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AB6023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6.373</w:t>
            </w:r>
          </w:p>
        </w:tc>
        <w:tc>
          <w:tcPr>
            <w:tcW w:w="78" w:type="pct"/>
            <w:tcBorders>
              <w:top w:val="nil"/>
              <w:left w:val="nil"/>
              <w:bottom w:val="nil"/>
              <w:right w:val="nil"/>
            </w:tcBorders>
            <w:shd w:val="clear" w:color="auto" w:fill="auto"/>
            <w:vAlign w:val="center"/>
            <w:hideMark/>
          </w:tcPr>
          <w:p w14:paraId="337FDC3C"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B30C52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129.698</w:t>
            </w:r>
          </w:p>
        </w:tc>
        <w:tc>
          <w:tcPr>
            <w:tcW w:w="78" w:type="pct"/>
            <w:tcBorders>
              <w:top w:val="nil"/>
              <w:left w:val="nil"/>
              <w:bottom w:val="nil"/>
              <w:right w:val="nil"/>
            </w:tcBorders>
            <w:shd w:val="clear" w:color="auto" w:fill="auto"/>
            <w:vAlign w:val="center"/>
          </w:tcPr>
          <w:p w14:paraId="2907934D"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2AAC4A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103.120</w:t>
            </w:r>
          </w:p>
        </w:tc>
        <w:tc>
          <w:tcPr>
            <w:tcW w:w="78" w:type="pct"/>
            <w:gridSpan w:val="2"/>
            <w:tcBorders>
              <w:top w:val="nil"/>
              <w:left w:val="nil"/>
              <w:bottom w:val="nil"/>
              <w:right w:val="nil"/>
            </w:tcBorders>
            <w:shd w:val="clear" w:color="auto" w:fill="auto"/>
            <w:vAlign w:val="center"/>
          </w:tcPr>
          <w:p w14:paraId="0C47A9D8"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44B6F2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6.213</w:t>
            </w:r>
          </w:p>
        </w:tc>
      </w:tr>
      <w:tr w:rsidR="003B5193" w:rsidRPr="00AE4E8D" w14:paraId="734945BD" w14:textId="77777777" w:rsidTr="00E8320E">
        <w:trPr>
          <w:trHeight w:val="210"/>
        </w:trPr>
        <w:tc>
          <w:tcPr>
            <w:tcW w:w="1253" w:type="pct"/>
            <w:tcBorders>
              <w:top w:val="nil"/>
              <w:left w:val="nil"/>
              <w:bottom w:val="nil"/>
              <w:right w:val="nil"/>
            </w:tcBorders>
            <w:shd w:val="clear" w:color="auto" w:fill="auto"/>
            <w:noWrap/>
            <w:vAlign w:val="center"/>
            <w:hideMark/>
          </w:tcPr>
          <w:p w14:paraId="47D89641"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Créditos diversos</w:t>
            </w:r>
          </w:p>
        </w:tc>
        <w:tc>
          <w:tcPr>
            <w:tcW w:w="328" w:type="pct"/>
            <w:tcBorders>
              <w:top w:val="nil"/>
              <w:left w:val="nil"/>
              <w:bottom w:val="nil"/>
              <w:right w:val="nil"/>
            </w:tcBorders>
            <w:shd w:val="clear" w:color="auto" w:fill="auto"/>
            <w:noWrap/>
            <w:vAlign w:val="center"/>
            <w:hideMark/>
          </w:tcPr>
          <w:p w14:paraId="5B09093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760.833</w:t>
            </w:r>
          </w:p>
        </w:tc>
        <w:tc>
          <w:tcPr>
            <w:tcW w:w="78" w:type="pct"/>
            <w:tcBorders>
              <w:top w:val="nil"/>
              <w:left w:val="nil"/>
              <w:bottom w:val="nil"/>
              <w:right w:val="nil"/>
            </w:tcBorders>
            <w:shd w:val="clear" w:color="auto" w:fill="auto"/>
            <w:vAlign w:val="center"/>
            <w:hideMark/>
          </w:tcPr>
          <w:p w14:paraId="04B449E6"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3839CC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993.319</w:t>
            </w:r>
          </w:p>
        </w:tc>
        <w:tc>
          <w:tcPr>
            <w:tcW w:w="78" w:type="pct"/>
            <w:tcBorders>
              <w:top w:val="nil"/>
              <w:left w:val="nil"/>
              <w:bottom w:val="nil"/>
              <w:right w:val="nil"/>
            </w:tcBorders>
            <w:shd w:val="clear" w:color="auto" w:fill="auto"/>
            <w:vAlign w:val="center"/>
            <w:hideMark/>
          </w:tcPr>
          <w:p w14:paraId="3B2235D1"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A775D4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1.134.524</w:t>
            </w:r>
          </w:p>
        </w:tc>
        <w:tc>
          <w:tcPr>
            <w:tcW w:w="78" w:type="pct"/>
            <w:tcBorders>
              <w:top w:val="nil"/>
              <w:left w:val="nil"/>
              <w:bottom w:val="nil"/>
              <w:right w:val="nil"/>
            </w:tcBorders>
            <w:shd w:val="clear" w:color="auto" w:fill="auto"/>
            <w:vAlign w:val="center"/>
            <w:hideMark/>
          </w:tcPr>
          <w:p w14:paraId="404167A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832076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1.673.600</w:t>
            </w:r>
          </w:p>
        </w:tc>
        <w:tc>
          <w:tcPr>
            <w:tcW w:w="83" w:type="pct"/>
            <w:tcBorders>
              <w:top w:val="nil"/>
              <w:left w:val="nil"/>
              <w:bottom w:val="nil"/>
              <w:right w:val="nil"/>
            </w:tcBorders>
            <w:shd w:val="clear" w:color="auto" w:fill="auto"/>
            <w:noWrap/>
            <w:vAlign w:val="center"/>
            <w:hideMark/>
          </w:tcPr>
          <w:p w14:paraId="2252A175"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5708D15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1.974.182</w:t>
            </w:r>
          </w:p>
        </w:tc>
        <w:tc>
          <w:tcPr>
            <w:tcW w:w="79" w:type="pct"/>
            <w:tcBorders>
              <w:top w:val="nil"/>
              <w:left w:val="nil"/>
              <w:bottom w:val="nil"/>
              <w:right w:val="nil"/>
            </w:tcBorders>
            <w:shd w:val="clear" w:color="auto" w:fill="auto"/>
            <w:noWrap/>
            <w:vAlign w:val="center"/>
            <w:hideMark/>
          </w:tcPr>
          <w:p w14:paraId="08537CD4"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05E8876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124.552</w:t>
            </w:r>
          </w:p>
        </w:tc>
        <w:tc>
          <w:tcPr>
            <w:tcW w:w="78" w:type="pct"/>
            <w:tcBorders>
              <w:top w:val="nil"/>
              <w:left w:val="nil"/>
              <w:bottom w:val="nil"/>
              <w:right w:val="nil"/>
            </w:tcBorders>
            <w:shd w:val="clear" w:color="auto" w:fill="auto"/>
            <w:vAlign w:val="center"/>
            <w:hideMark/>
          </w:tcPr>
          <w:p w14:paraId="449FC267"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FF1BB8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1.748.707</w:t>
            </w:r>
          </w:p>
        </w:tc>
        <w:tc>
          <w:tcPr>
            <w:tcW w:w="78" w:type="pct"/>
            <w:tcBorders>
              <w:top w:val="nil"/>
              <w:left w:val="nil"/>
              <w:bottom w:val="nil"/>
              <w:right w:val="nil"/>
            </w:tcBorders>
            <w:shd w:val="clear" w:color="auto" w:fill="auto"/>
            <w:vAlign w:val="center"/>
          </w:tcPr>
          <w:p w14:paraId="37B479F8"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1B7FAF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2.074.134</w:t>
            </w:r>
          </w:p>
        </w:tc>
        <w:tc>
          <w:tcPr>
            <w:tcW w:w="78" w:type="pct"/>
            <w:gridSpan w:val="2"/>
            <w:tcBorders>
              <w:top w:val="nil"/>
              <w:left w:val="nil"/>
              <w:bottom w:val="nil"/>
              <w:right w:val="nil"/>
            </w:tcBorders>
            <w:shd w:val="clear" w:color="auto" w:fill="auto"/>
            <w:vAlign w:val="center"/>
          </w:tcPr>
          <w:p w14:paraId="2A235702"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28CD9E9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124.959</w:t>
            </w:r>
          </w:p>
        </w:tc>
      </w:tr>
      <w:tr w:rsidR="003B5193" w:rsidRPr="00AE4E8D" w14:paraId="3B7988BA" w14:textId="77777777" w:rsidTr="00E8320E">
        <w:trPr>
          <w:trHeight w:val="210"/>
        </w:trPr>
        <w:tc>
          <w:tcPr>
            <w:tcW w:w="1253" w:type="pct"/>
            <w:tcBorders>
              <w:top w:val="nil"/>
              <w:left w:val="nil"/>
              <w:bottom w:val="nil"/>
              <w:right w:val="nil"/>
            </w:tcBorders>
            <w:shd w:val="clear" w:color="auto" w:fill="auto"/>
            <w:noWrap/>
            <w:vAlign w:val="center"/>
            <w:hideMark/>
          </w:tcPr>
          <w:p w14:paraId="5D0569C8"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Bienes de Uso</w:t>
            </w:r>
          </w:p>
        </w:tc>
        <w:tc>
          <w:tcPr>
            <w:tcW w:w="328" w:type="pct"/>
            <w:tcBorders>
              <w:top w:val="nil"/>
              <w:left w:val="nil"/>
              <w:bottom w:val="nil"/>
              <w:right w:val="nil"/>
            </w:tcBorders>
            <w:shd w:val="clear" w:color="auto" w:fill="auto"/>
            <w:noWrap/>
            <w:vAlign w:val="center"/>
            <w:hideMark/>
          </w:tcPr>
          <w:p w14:paraId="33B7FCE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109.819</w:t>
            </w:r>
          </w:p>
        </w:tc>
        <w:tc>
          <w:tcPr>
            <w:tcW w:w="78" w:type="pct"/>
            <w:tcBorders>
              <w:top w:val="nil"/>
              <w:left w:val="nil"/>
              <w:bottom w:val="nil"/>
              <w:right w:val="nil"/>
            </w:tcBorders>
            <w:shd w:val="clear" w:color="auto" w:fill="auto"/>
            <w:vAlign w:val="center"/>
            <w:hideMark/>
          </w:tcPr>
          <w:p w14:paraId="346D8B8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98D6AB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122.684</w:t>
            </w:r>
          </w:p>
        </w:tc>
        <w:tc>
          <w:tcPr>
            <w:tcW w:w="78" w:type="pct"/>
            <w:tcBorders>
              <w:top w:val="nil"/>
              <w:left w:val="nil"/>
              <w:bottom w:val="nil"/>
              <w:right w:val="nil"/>
            </w:tcBorders>
            <w:shd w:val="clear" w:color="auto" w:fill="auto"/>
            <w:vAlign w:val="center"/>
            <w:hideMark/>
          </w:tcPr>
          <w:p w14:paraId="7143D7AD"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2B608F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165.159</w:t>
            </w:r>
          </w:p>
        </w:tc>
        <w:tc>
          <w:tcPr>
            <w:tcW w:w="78" w:type="pct"/>
            <w:tcBorders>
              <w:top w:val="nil"/>
              <w:left w:val="nil"/>
              <w:bottom w:val="nil"/>
              <w:right w:val="nil"/>
            </w:tcBorders>
            <w:shd w:val="clear" w:color="auto" w:fill="auto"/>
            <w:vAlign w:val="center"/>
            <w:hideMark/>
          </w:tcPr>
          <w:p w14:paraId="2C822AE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8B54EA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242.810</w:t>
            </w:r>
          </w:p>
        </w:tc>
        <w:tc>
          <w:tcPr>
            <w:tcW w:w="83" w:type="pct"/>
            <w:tcBorders>
              <w:top w:val="nil"/>
              <w:left w:val="nil"/>
              <w:bottom w:val="nil"/>
              <w:right w:val="nil"/>
            </w:tcBorders>
            <w:shd w:val="clear" w:color="auto" w:fill="auto"/>
            <w:noWrap/>
            <w:vAlign w:val="center"/>
            <w:hideMark/>
          </w:tcPr>
          <w:p w14:paraId="7E96B82D"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72484F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390.228</w:t>
            </w:r>
          </w:p>
        </w:tc>
        <w:tc>
          <w:tcPr>
            <w:tcW w:w="79" w:type="pct"/>
            <w:tcBorders>
              <w:top w:val="nil"/>
              <w:left w:val="nil"/>
              <w:bottom w:val="nil"/>
              <w:right w:val="nil"/>
            </w:tcBorders>
            <w:shd w:val="clear" w:color="auto" w:fill="auto"/>
            <w:noWrap/>
            <w:vAlign w:val="center"/>
            <w:hideMark/>
          </w:tcPr>
          <w:p w14:paraId="4F0CEF49"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E44A65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24.620</w:t>
            </w:r>
          </w:p>
        </w:tc>
        <w:tc>
          <w:tcPr>
            <w:tcW w:w="78" w:type="pct"/>
            <w:tcBorders>
              <w:top w:val="nil"/>
              <w:left w:val="nil"/>
              <w:bottom w:val="nil"/>
              <w:right w:val="nil"/>
            </w:tcBorders>
            <w:shd w:val="clear" w:color="auto" w:fill="auto"/>
            <w:vAlign w:val="center"/>
            <w:hideMark/>
          </w:tcPr>
          <w:p w14:paraId="6AAE9493"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686A8F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317.098</w:t>
            </w:r>
          </w:p>
        </w:tc>
        <w:tc>
          <w:tcPr>
            <w:tcW w:w="78" w:type="pct"/>
            <w:tcBorders>
              <w:top w:val="nil"/>
              <w:left w:val="nil"/>
              <w:bottom w:val="nil"/>
              <w:right w:val="nil"/>
            </w:tcBorders>
            <w:shd w:val="clear" w:color="auto" w:fill="auto"/>
            <w:vAlign w:val="center"/>
          </w:tcPr>
          <w:p w14:paraId="370DC6BB"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68DBF1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437.640</w:t>
            </w:r>
          </w:p>
        </w:tc>
        <w:tc>
          <w:tcPr>
            <w:tcW w:w="78" w:type="pct"/>
            <w:gridSpan w:val="2"/>
            <w:tcBorders>
              <w:top w:val="nil"/>
              <w:left w:val="nil"/>
              <w:bottom w:val="nil"/>
              <w:right w:val="nil"/>
            </w:tcBorders>
            <w:shd w:val="clear" w:color="auto" w:fill="auto"/>
            <w:vAlign w:val="center"/>
          </w:tcPr>
          <w:p w14:paraId="26E88FF4"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2E738C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26.366</w:t>
            </w:r>
          </w:p>
        </w:tc>
      </w:tr>
      <w:tr w:rsidR="003B5193" w:rsidRPr="00AE4E8D" w14:paraId="793C7646" w14:textId="77777777" w:rsidTr="00E8320E">
        <w:trPr>
          <w:trHeight w:val="210"/>
        </w:trPr>
        <w:tc>
          <w:tcPr>
            <w:tcW w:w="1253" w:type="pct"/>
            <w:tcBorders>
              <w:top w:val="nil"/>
              <w:left w:val="nil"/>
              <w:bottom w:val="nil"/>
              <w:right w:val="nil"/>
            </w:tcBorders>
            <w:shd w:val="clear" w:color="auto" w:fill="auto"/>
            <w:noWrap/>
            <w:vAlign w:val="center"/>
            <w:hideMark/>
          </w:tcPr>
          <w:p w14:paraId="407F1306"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Bienes Diversos</w:t>
            </w:r>
          </w:p>
        </w:tc>
        <w:tc>
          <w:tcPr>
            <w:tcW w:w="328" w:type="pct"/>
            <w:tcBorders>
              <w:top w:val="nil"/>
              <w:left w:val="nil"/>
              <w:bottom w:val="nil"/>
              <w:right w:val="nil"/>
            </w:tcBorders>
            <w:shd w:val="clear" w:color="auto" w:fill="auto"/>
            <w:noWrap/>
            <w:vAlign w:val="center"/>
            <w:hideMark/>
          </w:tcPr>
          <w:p w14:paraId="6609A3A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40.216</w:t>
            </w:r>
          </w:p>
        </w:tc>
        <w:tc>
          <w:tcPr>
            <w:tcW w:w="78" w:type="pct"/>
            <w:tcBorders>
              <w:top w:val="nil"/>
              <w:left w:val="nil"/>
              <w:bottom w:val="nil"/>
              <w:right w:val="nil"/>
            </w:tcBorders>
            <w:shd w:val="clear" w:color="auto" w:fill="auto"/>
            <w:vAlign w:val="center"/>
            <w:hideMark/>
          </w:tcPr>
          <w:p w14:paraId="1AD7E24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711C3B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47.508</w:t>
            </w:r>
          </w:p>
        </w:tc>
        <w:tc>
          <w:tcPr>
            <w:tcW w:w="78" w:type="pct"/>
            <w:tcBorders>
              <w:top w:val="nil"/>
              <w:left w:val="nil"/>
              <w:bottom w:val="nil"/>
              <w:right w:val="nil"/>
            </w:tcBorders>
            <w:shd w:val="clear" w:color="auto" w:fill="auto"/>
            <w:vAlign w:val="center"/>
            <w:hideMark/>
          </w:tcPr>
          <w:p w14:paraId="2F8E4D93"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142D12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59.790</w:t>
            </w:r>
          </w:p>
        </w:tc>
        <w:tc>
          <w:tcPr>
            <w:tcW w:w="78" w:type="pct"/>
            <w:tcBorders>
              <w:top w:val="nil"/>
              <w:left w:val="nil"/>
              <w:bottom w:val="nil"/>
              <w:right w:val="nil"/>
            </w:tcBorders>
            <w:shd w:val="clear" w:color="auto" w:fill="auto"/>
            <w:vAlign w:val="center"/>
            <w:hideMark/>
          </w:tcPr>
          <w:p w14:paraId="7B5F7DD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96BA0C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65.120</w:t>
            </w:r>
          </w:p>
        </w:tc>
        <w:tc>
          <w:tcPr>
            <w:tcW w:w="83" w:type="pct"/>
            <w:tcBorders>
              <w:top w:val="nil"/>
              <w:left w:val="nil"/>
              <w:bottom w:val="nil"/>
              <w:right w:val="nil"/>
            </w:tcBorders>
            <w:shd w:val="clear" w:color="auto" w:fill="auto"/>
            <w:noWrap/>
            <w:vAlign w:val="center"/>
            <w:hideMark/>
          </w:tcPr>
          <w:p w14:paraId="510411D1"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42C4DC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296.068</w:t>
            </w:r>
          </w:p>
        </w:tc>
        <w:tc>
          <w:tcPr>
            <w:tcW w:w="79" w:type="pct"/>
            <w:tcBorders>
              <w:top w:val="nil"/>
              <w:left w:val="nil"/>
              <w:bottom w:val="nil"/>
              <w:right w:val="nil"/>
            </w:tcBorders>
            <w:shd w:val="clear" w:color="auto" w:fill="auto"/>
            <w:noWrap/>
            <w:vAlign w:val="center"/>
            <w:hideMark/>
          </w:tcPr>
          <w:p w14:paraId="52AF9BE3"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5FC24D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18.679</w:t>
            </w:r>
          </w:p>
        </w:tc>
        <w:tc>
          <w:tcPr>
            <w:tcW w:w="78" w:type="pct"/>
            <w:tcBorders>
              <w:top w:val="nil"/>
              <w:left w:val="nil"/>
              <w:bottom w:val="nil"/>
              <w:right w:val="nil"/>
            </w:tcBorders>
            <w:shd w:val="clear" w:color="auto" w:fill="auto"/>
            <w:vAlign w:val="center"/>
            <w:hideMark/>
          </w:tcPr>
          <w:p w14:paraId="251E09A0"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C63F77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253.467</w:t>
            </w:r>
          </w:p>
        </w:tc>
        <w:tc>
          <w:tcPr>
            <w:tcW w:w="78" w:type="pct"/>
            <w:tcBorders>
              <w:top w:val="nil"/>
              <w:left w:val="nil"/>
              <w:bottom w:val="nil"/>
              <w:right w:val="nil"/>
            </w:tcBorders>
            <w:shd w:val="clear" w:color="auto" w:fill="auto"/>
            <w:vAlign w:val="center"/>
          </w:tcPr>
          <w:p w14:paraId="7219A735"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D309CA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1.267.042</w:t>
            </w:r>
          </w:p>
        </w:tc>
        <w:tc>
          <w:tcPr>
            <w:tcW w:w="78" w:type="pct"/>
            <w:gridSpan w:val="2"/>
            <w:tcBorders>
              <w:top w:val="nil"/>
              <w:left w:val="nil"/>
              <w:bottom w:val="nil"/>
              <w:right w:val="nil"/>
            </w:tcBorders>
            <w:shd w:val="clear" w:color="auto" w:fill="auto"/>
            <w:vAlign w:val="center"/>
          </w:tcPr>
          <w:p w14:paraId="2CF7A5F0"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3A5C32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76.335</w:t>
            </w:r>
          </w:p>
        </w:tc>
      </w:tr>
      <w:tr w:rsidR="003B5193" w:rsidRPr="00AE4E8D" w14:paraId="47663331" w14:textId="77777777" w:rsidTr="00E8320E">
        <w:trPr>
          <w:trHeight w:val="210"/>
        </w:trPr>
        <w:tc>
          <w:tcPr>
            <w:tcW w:w="1253" w:type="pct"/>
            <w:tcBorders>
              <w:top w:val="nil"/>
              <w:left w:val="nil"/>
              <w:bottom w:val="nil"/>
              <w:right w:val="nil"/>
            </w:tcBorders>
            <w:shd w:val="clear" w:color="auto" w:fill="auto"/>
            <w:noWrap/>
            <w:vAlign w:val="center"/>
            <w:hideMark/>
          </w:tcPr>
          <w:p w14:paraId="1F9243BB"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Bienes Intangibles</w:t>
            </w:r>
          </w:p>
        </w:tc>
        <w:tc>
          <w:tcPr>
            <w:tcW w:w="328" w:type="pct"/>
            <w:tcBorders>
              <w:top w:val="nil"/>
              <w:left w:val="nil"/>
              <w:bottom w:val="nil"/>
              <w:right w:val="nil"/>
            </w:tcBorders>
            <w:shd w:val="clear" w:color="auto" w:fill="auto"/>
            <w:noWrap/>
            <w:vAlign w:val="center"/>
            <w:hideMark/>
          </w:tcPr>
          <w:p w14:paraId="493D30C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96.602</w:t>
            </w:r>
          </w:p>
        </w:tc>
        <w:tc>
          <w:tcPr>
            <w:tcW w:w="78" w:type="pct"/>
            <w:tcBorders>
              <w:top w:val="nil"/>
              <w:left w:val="nil"/>
              <w:bottom w:val="nil"/>
              <w:right w:val="nil"/>
            </w:tcBorders>
            <w:shd w:val="clear" w:color="auto" w:fill="auto"/>
            <w:vAlign w:val="center"/>
            <w:hideMark/>
          </w:tcPr>
          <w:p w14:paraId="4B8525F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E0DA51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198.587</w:t>
            </w:r>
          </w:p>
        </w:tc>
        <w:tc>
          <w:tcPr>
            <w:tcW w:w="78" w:type="pct"/>
            <w:tcBorders>
              <w:top w:val="nil"/>
              <w:left w:val="nil"/>
              <w:bottom w:val="nil"/>
              <w:right w:val="nil"/>
            </w:tcBorders>
            <w:shd w:val="clear" w:color="auto" w:fill="auto"/>
            <w:vAlign w:val="center"/>
            <w:hideMark/>
          </w:tcPr>
          <w:p w14:paraId="7C82ED3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5D462D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342.928</w:t>
            </w:r>
          </w:p>
        </w:tc>
        <w:tc>
          <w:tcPr>
            <w:tcW w:w="78" w:type="pct"/>
            <w:tcBorders>
              <w:top w:val="nil"/>
              <w:left w:val="nil"/>
              <w:bottom w:val="nil"/>
              <w:right w:val="nil"/>
            </w:tcBorders>
            <w:shd w:val="clear" w:color="auto" w:fill="auto"/>
            <w:vAlign w:val="center"/>
            <w:hideMark/>
          </w:tcPr>
          <w:p w14:paraId="7FE029D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5B3151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478.219</w:t>
            </w:r>
          </w:p>
        </w:tc>
        <w:tc>
          <w:tcPr>
            <w:tcW w:w="83" w:type="pct"/>
            <w:tcBorders>
              <w:top w:val="nil"/>
              <w:left w:val="nil"/>
              <w:bottom w:val="nil"/>
              <w:right w:val="nil"/>
            </w:tcBorders>
            <w:shd w:val="clear" w:color="auto" w:fill="auto"/>
            <w:noWrap/>
            <w:vAlign w:val="center"/>
            <w:hideMark/>
          </w:tcPr>
          <w:p w14:paraId="523D25D7"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EE1871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567.364</w:t>
            </w:r>
          </w:p>
        </w:tc>
        <w:tc>
          <w:tcPr>
            <w:tcW w:w="79" w:type="pct"/>
            <w:tcBorders>
              <w:top w:val="nil"/>
              <w:left w:val="nil"/>
              <w:bottom w:val="nil"/>
              <w:right w:val="nil"/>
            </w:tcBorders>
            <w:shd w:val="clear" w:color="auto" w:fill="auto"/>
            <w:noWrap/>
            <w:vAlign w:val="center"/>
            <w:hideMark/>
          </w:tcPr>
          <w:p w14:paraId="7D076878"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203FC6D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35.795</w:t>
            </w:r>
          </w:p>
        </w:tc>
        <w:tc>
          <w:tcPr>
            <w:tcW w:w="78" w:type="pct"/>
            <w:tcBorders>
              <w:top w:val="nil"/>
              <w:left w:val="nil"/>
              <w:bottom w:val="nil"/>
              <w:right w:val="nil"/>
            </w:tcBorders>
            <w:shd w:val="clear" w:color="auto" w:fill="auto"/>
            <w:vAlign w:val="center"/>
            <w:hideMark/>
          </w:tcPr>
          <w:p w14:paraId="49BD157B"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75EDD98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552.755</w:t>
            </w:r>
          </w:p>
        </w:tc>
        <w:tc>
          <w:tcPr>
            <w:tcW w:w="78" w:type="pct"/>
            <w:tcBorders>
              <w:top w:val="nil"/>
              <w:left w:val="nil"/>
              <w:bottom w:val="nil"/>
              <w:right w:val="nil"/>
            </w:tcBorders>
            <w:shd w:val="clear" w:color="auto" w:fill="auto"/>
            <w:vAlign w:val="center"/>
          </w:tcPr>
          <w:p w14:paraId="40C046E6"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B6CBA7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574.566</w:t>
            </w:r>
          </w:p>
        </w:tc>
        <w:tc>
          <w:tcPr>
            <w:tcW w:w="78" w:type="pct"/>
            <w:gridSpan w:val="2"/>
            <w:tcBorders>
              <w:top w:val="nil"/>
              <w:left w:val="nil"/>
              <w:bottom w:val="nil"/>
              <w:right w:val="nil"/>
            </w:tcBorders>
            <w:shd w:val="clear" w:color="auto" w:fill="auto"/>
            <w:vAlign w:val="center"/>
          </w:tcPr>
          <w:p w14:paraId="05399FE7"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EB8176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34.616</w:t>
            </w:r>
          </w:p>
        </w:tc>
      </w:tr>
      <w:tr w:rsidR="003B5193" w:rsidRPr="00AE4E8D" w14:paraId="281D501B" w14:textId="77777777" w:rsidTr="00E8320E">
        <w:trPr>
          <w:trHeight w:val="223"/>
        </w:trPr>
        <w:tc>
          <w:tcPr>
            <w:tcW w:w="1253" w:type="pct"/>
            <w:tcBorders>
              <w:top w:val="nil"/>
              <w:left w:val="nil"/>
              <w:bottom w:val="nil"/>
              <w:right w:val="nil"/>
            </w:tcBorders>
            <w:shd w:val="clear" w:color="auto" w:fill="auto"/>
            <w:noWrap/>
            <w:vAlign w:val="center"/>
            <w:hideMark/>
          </w:tcPr>
          <w:p w14:paraId="36C6ACCD"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Partidas pendientes de imputación</w:t>
            </w:r>
          </w:p>
        </w:tc>
        <w:tc>
          <w:tcPr>
            <w:tcW w:w="328" w:type="pct"/>
            <w:tcBorders>
              <w:top w:val="nil"/>
              <w:left w:val="nil"/>
              <w:bottom w:val="single" w:sz="8" w:space="0" w:color="auto"/>
              <w:right w:val="nil"/>
            </w:tcBorders>
            <w:shd w:val="clear" w:color="auto" w:fill="auto"/>
            <w:noWrap/>
            <w:vAlign w:val="center"/>
            <w:hideMark/>
          </w:tcPr>
          <w:p w14:paraId="7EE011A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1.765</w:t>
            </w:r>
          </w:p>
        </w:tc>
        <w:tc>
          <w:tcPr>
            <w:tcW w:w="78" w:type="pct"/>
            <w:tcBorders>
              <w:top w:val="nil"/>
              <w:left w:val="nil"/>
              <w:bottom w:val="nil"/>
              <w:right w:val="nil"/>
            </w:tcBorders>
            <w:shd w:val="clear" w:color="auto" w:fill="auto"/>
            <w:vAlign w:val="center"/>
            <w:hideMark/>
          </w:tcPr>
          <w:p w14:paraId="75133EE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7E6176D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3.527</w:t>
            </w:r>
          </w:p>
        </w:tc>
        <w:tc>
          <w:tcPr>
            <w:tcW w:w="78" w:type="pct"/>
            <w:tcBorders>
              <w:top w:val="nil"/>
              <w:left w:val="nil"/>
              <w:bottom w:val="nil"/>
              <w:right w:val="nil"/>
            </w:tcBorders>
            <w:shd w:val="clear" w:color="auto" w:fill="auto"/>
            <w:vAlign w:val="center"/>
            <w:hideMark/>
          </w:tcPr>
          <w:p w14:paraId="7C18FC3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6591537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1.373</w:t>
            </w:r>
          </w:p>
        </w:tc>
        <w:tc>
          <w:tcPr>
            <w:tcW w:w="78" w:type="pct"/>
            <w:tcBorders>
              <w:top w:val="nil"/>
              <w:left w:val="nil"/>
              <w:bottom w:val="nil"/>
              <w:right w:val="nil"/>
            </w:tcBorders>
            <w:shd w:val="clear" w:color="auto" w:fill="auto"/>
            <w:vAlign w:val="center"/>
            <w:hideMark/>
          </w:tcPr>
          <w:p w14:paraId="133B51E6"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65C1A65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6.797</w:t>
            </w:r>
          </w:p>
        </w:tc>
        <w:tc>
          <w:tcPr>
            <w:tcW w:w="83" w:type="pct"/>
            <w:tcBorders>
              <w:top w:val="nil"/>
              <w:left w:val="nil"/>
              <w:bottom w:val="nil"/>
              <w:right w:val="nil"/>
            </w:tcBorders>
            <w:shd w:val="clear" w:color="auto" w:fill="auto"/>
            <w:noWrap/>
            <w:vAlign w:val="center"/>
            <w:hideMark/>
          </w:tcPr>
          <w:p w14:paraId="511743E0"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single" w:sz="8" w:space="0" w:color="auto"/>
              <w:right w:val="nil"/>
            </w:tcBorders>
            <w:shd w:val="clear" w:color="auto" w:fill="auto"/>
            <w:noWrap/>
            <w:vAlign w:val="center"/>
            <w:hideMark/>
          </w:tcPr>
          <w:p w14:paraId="0493D44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9.874</w:t>
            </w:r>
          </w:p>
        </w:tc>
        <w:tc>
          <w:tcPr>
            <w:tcW w:w="79" w:type="pct"/>
            <w:tcBorders>
              <w:top w:val="nil"/>
              <w:left w:val="nil"/>
              <w:bottom w:val="nil"/>
              <w:right w:val="nil"/>
            </w:tcBorders>
            <w:shd w:val="clear" w:color="auto" w:fill="auto"/>
            <w:noWrap/>
            <w:vAlign w:val="center"/>
            <w:hideMark/>
          </w:tcPr>
          <w:p w14:paraId="36434A7C"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single" w:sz="8" w:space="0" w:color="auto"/>
              <w:right w:val="nil"/>
            </w:tcBorders>
            <w:shd w:val="clear" w:color="auto" w:fill="auto"/>
            <w:noWrap/>
            <w:vAlign w:val="center"/>
            <w:hideMark/>
          </w:tcPr>
          <w:p w14:paraId="4E8D54B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623</w:t>
            </w:r>
          </w:p>
        </w:tc>
        <w:tc>
          <w:tcPr>
            <w:tcW w:w="78" w:type="pct"/>
            <w:tcBorders>
              <w:top w:val="nil"/>
              <w:left w:val="nil"/>
              <w:bottom w:val="nil"/>
              <w:right w:val="nil"/>
            </w:tcBorders>
            <w:shd w:val="clear" w:color="auto" w:fill="auto"/>
            <w:vAlign w:val="center"/>
            <w:hideMark/>
          </w:tcPr>
          <w:p w14:paraId="1EF77F8B"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single" w:sz="8" w:space="0" w:color="auto"/>
              <w:right w:val="nil"/>
            </w:tcBorders>
            <w:shd w:val="clear" w:color="auto" w:fill="auto"/>
            <w:vAlign w:val="center"/>
          </w:tcPr>
          <w:p w14:paraId="17E4BE8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23.705</w:t>
            </w:r>
          </w:p>
        </w:tc>
        <w:tc>
          <w:tcPr>
            <w:tcW w:w="78" w:type="pct"/>
            <w:tcBorders>
              <w:top w:val="nil"/>
              <w:left w:val="nil"/>
              <w:bottom w:val="nil"/>
              <w:right w:val="nil"/>
            </w:tcBorders>
            <w:shd w:val="clear" w:color="auto" w:fill="auto"/>
            <w:vAlign w:val="center"/>
          </w:tcPr>
          <w:p w14:paraId="3D6E2260"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single" w:sz="8" w:space="0" w:color="auto"/>
              <w:right w:val="nil"/>
            </w:tcBorders>
            <w:shd w:val="clear" w:color="auto" w:fill="auto"/>
            <w:vAlign w:val="center"/>
          </w:tcPr>
          <w:p w14:paraId="452994D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12.897</w:t>
            </w:r>
          </w:p>
        </w:tc>
        <w:tc>
          <w:tcPr>
            <w:tcW w:w="78" w:type="pct"/>
            <w:gridSpan w:val="2"/>
            <w:tcBorders>
              <w:top w:val="nil"/>
              <w:left w:val="nil"/>
              <w:bottom w:val="nil"/>
              <w:right w:val="nil"/>
            </w:tcBorders>
            <w:shd w:val="clear" w:color="auto" w:fill="auto"/>
            <w:vAlign w:val="center"/>
          </w:tcPr>
          <w:p w14:paraId="673FDF62"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single" w:sz="8" w:space="0" w:color="auto"/>
              <w:right w:val="nil"/>
            </w:tcBorders>
            <w:shd w:val="clear" w:color="auto" w:fill="auto"/>
            <w:vAlign w:val="center"/>
          </w:tcPr>
          <w:p w14:paraId="1869A64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777</w:t>
            </w:r>
          </w:p>
        </w:tc>
      </w:tr>
      <w:tr w:rsidR="003B5193" w:rsidRPr="00AE4E8D" w14:paraId="478AA9E9" w14:textId="77777777" w:rsidTr="00E8320E">
        <w:trPr>
          <w:trHeight w:val="210"/>
        </w:trPr>
        <w:tc>
          <w:tcPr>
            <w:tcW w:w="1253" w:type="pct"/>
            <w:tcBorders>
              <w:top w:val="nil"/>
              <w:left w:val="nil"/>
              <w:bottom w:val="nil"/>
              <w:right w:val="nil"/>
            </w:tcBorders>
            <w:shd w:val="clear" w:color="auto" w:fill="auto"/>
            <w:noWrap/>
            <w:vAlign w:val="center"/>
            <w:hideMark/>
          </w:tcPr>
          <w:p w14:paraId="0796F2E1"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Total activo</w:t>
            </w:r>
          </w:p>
        </w:tc>
        <w:tc>
          <w:tcPr>
            <w:tcW w:w="328" w:type="pct"/>
            <w:tcBorders>
              <w:top w:val="nil"/>
              <w:left w:val="nil"/>
              <w:bottom w:val="nil"/>
              <w:right w:val="nil"/>
            </w:tcBorders>
            <w:shd w:val="clear" w:color="auto" w:fill="auto"/>
            <w:noWrap/>
            <w:vAlign w:val="center"/>
            <w:hideMark/>
          </w:tcPr>
          <w:p w14:paraId="44F057C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16.003.674</w:t>
            </w:r>
          </w:p>
        </w:tc>
        <w:tc>
          <w:tcPr>
            <w:tcW w:w="78" w:type="pct"/>
            <w:tcBorders>
              <w:top w:val="nil"/>
              <w:left w:val="nil"/>
              <w:bottom w:val="nil"/>
              <w:right w:val="nil"/>
            </w:tcBorders>
            <w:shd w:val="clear" w:color="auto" w:fill="auto"/>
            <w:vAlign w:val="center"/>
            <w:hideMark/>
          </w:tcPr>
          <w:p w14:paraId="5363AC41"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1D4205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20.387.893</w:t>
            </w:r>
          </w:p>
        </w:tc>
        <w:tc>
          <w:tcPr>
            <w:tcW w:w="78" w:type="pct"/>
            <w:tcBorders>
              <w:top w:val="nil"/>
              <w:left w:val="nil"/>
              <w:bottom w:val="nil"/>
              <w:right w:val="nil"/>
            </w:tcBorders>
            <w:shd w:val="clear" w:color="auto" w:fill="auto"/>
            <w:vAlign w:val="center"/>
            <w:hideMark/>
          </w:tcPr>
          <w:p w14:paraId="31E9849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68F9C2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31.351.511</w:t>
            </w:r>
          </w:p>
        </w:tc>
        <w:tc>
          <w:tcPr>
            <w:tcW w:w="78" w:type="pct"/>
            <w:tcBorders>
              <w:top w:val="nil"/>
              <w:left w:val="nil"/>
              <w:bottom w:val="nil"/>
              <w:right w:val="nil"/>
            </w:tcBorders>
            <w:shd w:val="clear" w:color="auto" w:fill="auto"/>
            <w:vAlign w:val="center"/>
            <w:hideMark/>
          </w:tcPr>
          <w:p w14:paraId="2E661FB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EDC8FD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39.457.899</w:t>
            </w:r>
          </w:p>
        </w:tc>
        <w:tc>
          <w:tcPr>
            <w:tcW w:w="83" w:type="pct"/>
            <w:tcBorders>
              <w:top w:val="nil"/>
              <w:left w:val="nil"/>
              <w:bottom w:val="nil"/>
              <w:right w:val="nil"/>
            </w:tcBorders>
            <w:shd w:val="clear" w:color="auto" w:fill="auto"/>
            <w:noWrap/>
            <w:vAlign w:val="center"/>
            <w:hideMark/>
          </w:tcPr>
          <w:p w14:paraId="0E881B4E"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168C492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52.108.110</w:t>
            </w:r>
          </w:p>
        </w:tc>
        <w:tc>
          <w:tcPr>
            <w:tcW w:w="79" w:type="pct"/>
            <w:tcBorders>
              <w:top w:val="nil"/>
              <w:left w:val="nil"/>
              <w:bottom w:val="nil"/>
              <w:right w:val="nil"/>
            </w:tcBorders>
            <w:shd w:val="clear" w:color="auto" w:fill="auto"/>
            <w:noWrap/>
            <w:vAlign w:val="center"/>
            <w:hideMark/>
          </w:tcPr>
          <w:p w14:paraId="1EDEC0B3"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293459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3.287.536</w:t>
            </w:r>
          </w:p>
        </w:tc>
        <w:tc>
          <w:tcPr>
            <w:tcW w:w="78" w:type="pct"/>
            <w:tcBorders>
              <w:top w:val="nil"/>
              <w:left w:val="nil"/>
              <w:bottom w:val="nil"/>
              <w:right w:val="nil"/>
            </w:tcBorders>
            <w:shd w:val="clear" w:color="auto" w:fill="auto"/>
            <w:vAlign w:val="center"/>
            <w:hideMark/>
          </w:tcPr>
          <w:p w14:paraId="46E21616"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A762E7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40.527.329</w:t>
            </w:r>
          </w:p>
        </w:tc>
        <w:tc>
          <w:tcPr>
            <w:tcW w:w="78" w:type="pct"/>
            <w:tcBorders>
              <w:top w:val="nil"/>
              <w:left w:val="nil"/>
              <w:bottom w:val="nil"/>
              <w:right w:val="nil"/>
            </w:tcBorders>
            <w:shd w:val="clear" w:color="auto" w:fill="auto"/>
            <w:vAlign w:val="center"/>
          </w:tcPr>
          <w:p w14:paraId="52E1A1B0"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3504AC9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55.261.858</w:t>
            </w:r>
          </w:p>
        </w:tc>
        <w:tc>
          <w:tcPr>
            <w:tcW w:w="78" w:type="pct"/>
            <w:gridSpan w:val="2"/>
            <w:tcBorders>
              <w:top w:val="nil"/>
              <w:left w:val="nil"/>
              <w:bottom w:val="nil"/>
              <w:right w:val="nil"/>
            </w:tcBorders>
            <w:shd w:val="clear" w:color="auto" w:fill="auto"/>
            <w:vAlign w:val="center"/>
          </w:tcPr>
          <w:p w14:paraId="0F5DD38E"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D89B8F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3.329.328</w:t>
            </w:r>
          </w:p>
        </w:tc>
      </w:tr>
      <w:tr w:rsidR="003B5193" w:rsidRPr="00AE4E8D" w14:paraId="19E92FA5" w14:textId="77777777" w:rsidTr="00E8320E">
        <w:trPr>
          <w:trHeight w:val="210"/>
        </w:trPr>
        <w:tc>
          <w:tcPr>
            <w:tcW w:w="1253" w:type="pct"/>
            <w:tcBorders>
              <w:top w:val="nil"/>
              <w:left w:val="nil"/>
              <w:bottom w:val="nil"/>
              <w:right w:val="nil"/>
            </w:tcBorders>
            <w:shd w:val="clear" w:color="auto" w:fill="auto"/>
            <w:noWrap/>
            <w:vAlign w:val="bottom"/>
            <w:hideMark/>
          </w:tcPr>
          <w:p w14:paraId="2DA52DFB" w14:textId="77777777" w:rsidR="005C363D" w:rsidRPr="00AE4E8D" w:rsidRDefault="005C363D" w:rsidP="00E8320E">
            <w:pPr>
              <w:tabs>
                <w:tab w:val="left" w:pos="3261"/>
              </w:tabs>
              <w:spacing w:before="40" w:after="40"/>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34E1C3F6"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54277CA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9E6B731"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730E8B1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FFA1B31"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08F1DEC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1FC1FB5" w14:textId="77777777" w:rsidR="005C363D" w:rsidRPr="00AE4E8D" w:rsidRDefault="005C363D"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hideMark/>
          </w:tcPr>
          <w:p w14:paraId="00592B10"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vAlign w:val="center"/>
            <w:hideMark/>
          </w:tcPr>
          <w:p w14:paraId="77D5C326" w14:textId="77777777" w:rsidR="005C363D" w:rsidRPr="00AE4E8D" w:rsidRDefault="005C363D"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hideMark/>
          </w:tcPr>
          <w:p w14:paraId="5EAC8DCD"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CC8E996" w14:textId="77777777" w:rsidR="005C363D" w:rsidRPr="00AE4E8D" w:rsidRDefault="005C363D" w:rsidP="00E8320E">
            <w:pPr>
              <w:spacing w:before="40" w:after="40"/>
              <w:jc w:val="right"/>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62B5D97C"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75655A83"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4C4E4614"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71E35C15"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3A508445"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3DEF219C" w14:textId="77777777" w:rsidR="005C363D" w:rsidRPr="00AE4E8D" w:rsidRDefault="005C363D" w:rsidP="00E8320E">
            <w:pPr>
              <w:spacing w:before="40" w:after="40"/>
              <w:jc w:val="right"/>
              <w:rPr>
                <w:rFonts w:ascii="Times New Roman" w:hAnsi="Times New Roman"/>
                <w:color w:val="000000"/>
                <w:sz w:val="16"/>
                <w:lang w:val="es-ES"/>
              </w:rPr>
            </w:pPr>
          </w:p>
        </w:tc>
      </w:tr>
      <w:tr w:rsidR="003B5193" w:rsidRPr="00AE4E8D" w14:paraId="37BB58B9" w14:textId="77777777" w:rsidTr="00E8320E">
        <w:trPr>
          <w:trHeight w:val="210"/>
        </w:trPr>
        <w:tc>
          <w:tcPr>
            <w:tcW w:w="1253" w:type="pct"/>
            <w:tcBorders>
              <w:top w:val="nil"/>
              <w:left w:val="nil"/>
              <w:bottom w:val="nil"/>
              <w:right w:val="nil"/>
            </w:tcBorders>
            <w:shd w:val="clear" w:color="auto" w:fill="auto"/>
            <w:noWrap/>
            <w:vAlign w:val="center"/>
            <w:hideMark/>
          </w:tcPr>
          <w:p w14:paraId="21D59BD8" w14:textId="77777777" w:rsidR="005C363D" w:rsidRPr="00AE4E8D" w:rsidRDefault="005C363D" w:rsidP="00E8320E">
            <w:pPr>
              <w:tabs>
                <w:tab w:val="left" w:pos="3261"/>
              </w:tabs>
              <w:spacing w:before="40" w:after="40"/>
              <w:rPr>
                <w:rFonts w:ascii="Times New Roman" w:hAnsi="Times New Roman"/>
                <w:b/>
                <w:color w:val="000000"/>
                <w:sz w:val="16"/>
                <w:lang w:val="es-ES"/>
              </w:rPr>
            </w:pPr>
            <w:r w:rsidRPr="00AE4E8D">
              <w:rPr>
                <w:rFonts w:ascii="Times New Roman" w:hAnsi="Times New Roman"/>
                <w:b/>
                <w:color w:val="000000"/>
                <w:sz w:val="16"/>
                <w:lang w:val="es-ES"/>
              </w:rPr>
              <w:t>Pasivo</w:t>
            </w:r>
          </w:p>
        </w:tc>
        <w:tc>
          <w:tcPr>
            <w:tcW w:w="328" w:type="pct"/>
            <w:tcBorders>
              <w:top w:val="nil"/>
              <w:left w:val="nil"/>
              <w:bottom w:val="nil"/>
              <w:right w:val="nil"/>
            </w:tcBorders>
            <w:shd w:val="clear" w:color="auto" w:fill="auto"/>
            <w:noWrap/>
            <w:vAlign w:val="center"/>
            <w:hideMark/>
          </w:tcPr>
          <w:p w14:paraId="1AC86B36"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5C5C3D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EF7FFE7"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6B211C1A"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04013D1"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65453B3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BFDF51E" w14:textId="77777777" w:rsidR="005C363D" w:rsidRPr="00AE4E8D" w:rsidRDefault="005C363D"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hideMark/>
          </w:tcPr>
          <w:p w14:paraId="48B13998"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vAlign w:val="center"/>
            <w:hideMark/>
          </w:tcPr>
          <w:p w14:paraId="51FB50D0" w14:textId="77777777" w:rsidR="005C363D" w:rsidRPr="00AE4E8D" w:rsidRDefault="005C363D"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hideMark/>
          </w:tcPr>
          <w:p w14:paraId="3158182D"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BA43D4F" w14:textId="77777777" w:rsidR="005C363D" w:rsidRPr="00AE4E8D" w:rsidRDefault="005C363D" w:rsidP="00E8320E">
            <w:pPr>
              <w:spacing w:before="40" w:after="40"/>
              <w:jc w:val="right"/>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06D0B3B4"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0F8AB61E"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57795970"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656914E5"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0B539506"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2088B603" w14:textId="77777777" w:rsidR="005C363D" w:rsidRPr="00AE4E8D" w:rsidRDefault="005C363D" w:rsidP="00E8320E">
            <w:pPr>
              <w:spacing w:before="40" w:after="40"/>
              <w:jc w:val="right"/>
              <w:rPr>
                <w:rFonts w:ascii="Times New Roman" w:hAnsi="Times New Roman"/>
                <w:color w:val="000000"/>
                <w:sz w:val="16"/>
                <w:lang w:val="es-ES"/>
              </w:rPr>
            </w:pPr>
          </w:p>
        </w:tc>
      </w:tr>
      <w:tr w:rsidR="003B5193" w:rsidRPr="00AE4E8D" w14:paraId="23706B4C" w14:textId="77777777" w:rsidTr="00E8320E">
        <w:trPr>
          <w:trHeight w:val="210"/>
        </w:trPr>
        <w:tc>
          <w:tcPr>
            <w:tcW w:w="1253" w:type="pct"/>
            <w:tcBorders>
              <w:top w:val="nil"/>
              <w:left w:val="nil"/>
              <w:bottom w:val="nil"/>
              <w:right w:val="nil"/>
            </w:tcBorders>
            <w:shd w:val="clear" w:color="auto" w:fill="auto"/>
            <w:vAlign w:val="center"/>
            <w:hideMark/>
          </w:tcPr>
          <w:p w14:paraId="29477D90" w14:textId="77777777" w:rsidR="005C363D" w:rsidRPr="00AE4E8D" w:rsidRDefault="005C363D" w:rsidP="00E8320E">
            <w:pPr>
              <w:tabs>
                <w:tab w:val="left" w:pos="3261"/>
              </w:tabs>
              <w:spacing w:before="40" w:after="40"/>
              <w:rPr>
                <w:rFonts w:ascii="Times New Roman" w:hAnsi="Times New Roman"/>
                <w:i/>
                <w:color w:val="000000"/>
                <w:sz w:val="16"/>
                <w:lang w:val="es-ES"/>
              </w:rPr>
            </w:pPr>
            <w:r w:rsidRPr="00AE4E8D">
              <w:rPr>
                <w:rFonts w:ascii="Times New Roman" w:hAnsi="Times New Roman"/>
                <w:i/>
                <w:color w:val="000000"/>
                <w:sz w:val="16"/>
                <w:lang w:val="es-ES"/>
              </w:rPr>
              <w:t>Depósitos:</w:t>
            </w:r>
          </w:p>
        </w:tc>
        <w:tc>
          <w:tcPr>
            <w:tcW w:w="328" w:type="pct"/>
            <w:tcBorders>
              <w:top w:val="nil"/>
              <w:left w:val="nil"/>
              <w:bottom w:val="nil"/>
              <w:right w:val="nil"/>
            </w:tcBorders>
            <w:shd w:val="clear" w:color="auto" w:fill="auto"/>
            <w:noWrap/>
            <w:vAlign w:val="center"/>
            <w:hideMark/>
          </w:tcPr>
          <w:p w14:paraId="36A8B450"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011A20F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26FEE56"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7B173913"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4F57F6B"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9260CE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3C9DC5F" w14:textId="77777777" w:rsidR="005C363D" w:rsidRPr="00AE4E8D" w:rsidRDefault="005C363D"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hideMark/>
          </w:tcPr>
          <w:p w14:paraId="52181C46"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vAlign w:val="center"/>
            <w:hideMark/>
          </w:tcPr>
          <w:p w14:paraId="02019BA0" w14:textId="77777777" w:rsidR="005C363D" w:rsidRPr="00AE4E8D" w:rsidRDefault="005C363D"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hideMark/>
          </w:tcPr>
          <w:p w14:paraId="12BBF5B6"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FCDFD84" w14:textId="77777777" w:rsidR="005C363D" w:rsidRPr="00AE4E8D" w:rsidRDefault="005C363D" w:rsidP="00E8320E">
            <w:pPr>
              <w:spacing w:before="40" w:after="40"/>
              <w:jc w:val="right"/>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2C839CDA"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50252040"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3B5314E9"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7D560A6E"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68DB0B5B"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364F8364" w14:textId="77777777" w:rsidR="005C363D" w:rsidRPr="00AE4E8D" w:rsidRDefault="005C363D" w:rsidP="00E8320E">
            <w:pPr>
              <w:spacing w:before="40" w:after="40"/>
              <w:jc w:val="right"/>
              <w:rPr>
                <w:rFonts w:ascii="Times New Roman" w:hAnsi="Times New Roman"/>
                <w:color w:val="000000"/>
                <w:sz w:val="16"/>
                <w:lang w:val="es-ES"/>
              </w:rPr>
            </w:pPr>
          </w:p>
        </w:tc>
      </w:tr>
      <w:tr w:rsidR="003B5193" w:rsidRPr="00AE4E8D" w14:paraId="0E545333" w14:textId="77777777" w:rsidTr="00E8320E">
        <w:trPr>
          <w:trHeight w:val="210"/>
        </w:trPr>
        <w:tc>
          <w:tcPr>
            <w:tcW w:w="1253" w:type="pct"/>
            <w:tcBorders>
              <w:top w:val="nil"/>
              <w:left w:val="nil"/>
              <w:bottom w:val="nil"/>
              <w:right w:val="nil"/>
            </w:tcBorders>
            <w:shd w:val="clear" w:color="auto" w:fill="auto"/>
            <w:vAlign w:val="center"/>
            <w:hideMark/>
          </w:tcPr>
          <w:p w14:paraId="2AD0FF87"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Sector Público no Financiero</w:t>
            </w:r>
          </w:p>
        </w:tc>
        <w:tc>
          <w:tcPr>
            <w:tcW w:w="328" w:type="pct"/>
            <w:tcBorders>
              <w:top w:val="nil"/>
              <w:left w:val="nil"/>
              <w:bottom w:val="nil"/>
              <w:right w:val="nil"/>
            </w:tcBorders>
            <w:shd w:val="clear" w:color="auto" w:fill="auto"/>
            <w:noWrap/>
            <w:vAlign w:val="center"/>
            <w:hideMark/>
          </w:tcPr>
          <w:p w14:paraId="2EE7AB5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2.990.892</w:t>
            </w:r>
          </w:p>
        </w:tc>
        <w:tc>
          <w:tcPr>
            <w:tcW w:w="78" w:type="pct"/>
            <w:tcBorders>
              <w:top w:val="nil"/>
              <w:left w:val="nil"/>
              <w:bottom w:val="nil"/>
              <w:right w:val="nil"/>
            </w:tcBorders>
            <w:shd w:val="clear" w:color="auto" w:fill="auto"/>
            <w:vAlign w:val="center"/>
            <w:hideMark/>
          </w:tcPr>
          <w:p w14:paraId="08A6206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834B39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4.142.809</w:t>
            </w:r>
          </w:p>
        </w:tc>
        <w:tc>
          <w:tcPr>
            <w:tcW w:w="78" w:type="pct"/>
            <w:tcBorders>
              <w:top w:val="nil"/>
              <w:left w:val="nil"/>
              <w:bottom w:val="nil"/>
              <w:right w:val="nil"/>
            </w:tcBorders>
            <w:shd w:val="clear" w:color="auto" w:fill="auto"/>
            <w:vAlign w:val="center"/>
            <w:hideMark/>
          </w:tcPr>
          <w:p w14:paraId="48DA112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0D0DD9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9.100.822</w:t>
            </w:r>
          </w:p>
        </w:tc>
        <w:tc>
          <w:tcPr>
            <w:tcW w:w="78" w:type="pct"/>
            <w:tcBorders>
              <w:top w:val="nil"/>
              <w:left w:val="nil"/>
              <w:bottom w:val="nil"/>
              <w:right w:val="nil"/>
            </w:tcBorders>
            <w:shd w:val="clear" w:color="auto" w:fill="auto"/>
            <w:vAlign w:val="center"/>
            <w:hideMark/>
          </w:tcPr>
          <w:p w14:paraId="17D183D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BBC439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6.819.957</w:t>
            </w:r>
          </w:p>
        </w:tc>
        <w:tc>
          <w:tcPr>
            <w:tcW w:w="83" w:type="pct"/>
            <w:tcBorders>
              <w:top w:val="nil"/>
              <w:left w:val="nil"/>
              <w:bottom w:val="nil"/>
              <w:right w:val="nil"/>
            </w:tcBorders>
            <w:shd w:val="clear" w:color="auto" w:fill="auto"/>
            <w:noWrap/>
            <w:vAlign w:val="center"/>
            <w:hideMark/>
          </w:tcPr>
          <w:p w14:paraId="607A12A8"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462A9B3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2.536.836</w:t>
            </w:r>
          </w:p>
        </w:tc>
        <w:tc>
          <w:tcPr>
            <w:tcW w:w="79" w:type="pct"/>
            <w:tcBorders>
              <w:top w:val="nil"/>
              <w:left w:val="nil"/>
              <w:bottom w:val="nil"/>
              <w:right w:val="nil"/>
            </w:tcBorders>
            <w:shd w:val="clear" w:color="auto" w:fill="auto"/>
            <w:noWrap/>
            <w:vAlign w:val="center"/>
            <w:hideMark/>
          </w:tcPr>
          <w:p w14:paraId="6B913AD6"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D8B03E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160.051</w:t>
            </w:r>
          </w:p>
        </w:tc>
        <w:tc>
          <w:tcPr>
            <w:tcW w:w="78" w:type="pct"/>
            <w:tcBorders>
              <w:top w:val="nil"/>
              <w:left w:val="nil"/>
              <w:bottom w:val="nil"/>
              <w:right w:val="nil"/>
            </w:tcBorders>
            <w:shd w:val="clear" w:color="auto" w:fill="auto"/>
            <w:vAlign w:val="center"/>
            <w:hideMark/>
          </w:tcPr>
          <w:p w14:paraId="19208404"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F75468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3.534.868 </w:t>
            </w:r>
          </w:p>
        </w:tc>
        <w:tc>
          <w:tcPr>
            <w:tcW w:w="78" w:type="pct"/>
            <w:tcBorders>
              <w:top w:val="nil"/>
              <w:left w:val="nil"/>
              <w:bottom w:val="nil"/>
              <w:right w:val="nil"/>
            </w:tcBorders>
            <w:shd w:val="clear" w:color="auto" w:fill="auto"/>
            <w:vAlign w:val="center"/>
          </w:tcPr>
          <w:p w14:paraId="2120526F"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007438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2.853.776</w:t>
            </w:r>
          </w:p>
        </w:tc>
        <w:tc>
          <w:tcPr>
            <w:tcW w:w="78" w:type="pct"/>
            <w:gridSpan w:val="2"/>
            <w:tcBorders>
              <w:top w:val="nil"/>
              <w:left w:val="nil"/>
              <w:bottom w:val="nil"/>
              <w:right w:val="nil"/>
            </w:tcBorders>
            <w:shd w:val="clear" w:color="auto" w:fill="auto"/>
            <w:vAlign w:val="center"/>
          </w:tcPr>
          <w:p w14:paraId="61B6EF74"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20D2BC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171.930 </w:t>
            </w:r>
          </w:p>
        </w:tc>
      </w:tr>
      <w:tr w:rsidR="003B5193" w:rsidRPr="00AE4E8D" w14:paraId="3152D367" w14:textId="77777777" w:rsidTr="00E8320E">
        <w:trPr>
          <w:trHeight w:val="210"/>
        </w:trPr>
        <w:tc>
          <w:tcPr>
            <w:tcW w:w="1253" w:type="pct"/>
            <w:tcBorders>
              <w:top w:val="nil"/>
              <w:left w:val="nil"/>
              <w:bottom w:val="nil"/>
              <w:right w:val="nil"/>
            </w:tcBorders>
            <w:shd w:val="clear" w:color="auto" w:fill="auto"/>
            <w:vAlign w:val="center"/>
            <w:hideMark/>
          </w:tcPr>
          <w:p w14:paraId="540874F6"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Sector Financiero</w:t>
            </w:r>
          </w:p>
        </w:tc>
        <w:tc>
          <w:tcPr>
            <w:tcW w:w="328" w:type="pct"/>
            <w:tcBorders>
              <w:top w:val="nil"/>
              <w:left w:val="nil"/>
              <w:bottom w:val="nil"/>
              <w:right w:val="nil"/>
            </w:tcBorders>
            <w:shd w:val="clear" w:color="auto" w:fill="auto"/>
            <w:noWrap/>
            <w:vAlign w:val="center"/>
            <w:hideMark/>
          </w:tcPr>
          <w:p w14:paraId="637BEC5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8.563</w:t>
            </w:r>
          </w:p>
        </w:tc>
        <w:tc>
          <w:tcPr>
            <w:tcW w:w="78" w:type="pct"/>
            <w:tcBorders>
              <w:top w:val="nil"/>
              <w:left w:val="nil"/>
              <w:bottom w:val="nil"/>
              <w:right w:val="nil"/>
            </w:tcBorders>
            <w:shd w:val="clear" w:color="auto" w:fill="auto"/>
            <w:vAlign w:val="center"/>
            <w:hideMark/>
          </w:tcPr>
          <w:p w14:paraId="2427945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D71837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8.109</w:t>
            </w:r>
          </w:p>
        </w:tc>
        <w:tc>
          <w:tcPr>
            <w:tcW w:w="78" w:type="pct"/>
            <w:tcBorders>
              <w:top w:val="nil"/>
              <w:left w:val="nil"/>
              <w:bottom w:val="nil"/>
              <w:right w:val="nil"/>
            </w:tcBorders>
            <w:shd w:val="clear" w:color="auto" w:fill="auto"/>
            <w:vAlign w:val="center"/>
            <w:hideMark/>
          </w:tcPr>
          <w:p w14:paraId="26CCAA1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4A53F7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7.416</w:t>
            </w:r>
          </w:p>
        </w:tc>
        <w:tc>
          <w:tcPr>
            <w:tcW w:w="78" w:type="pct"/>
            <w:tcBorders>
              <w:top w:val="nil"/>
              <w:left w:val="nil"/>
              <w:bottom w:val="nil"/>
              <w:right w:val="nil"/>
            </w:tcBorders>
            <w:shd w:val="clear" w:color="auto" w:fill="auto"/>
            <w:vAlign w:val="center"/>
            <w:hideMark/>
          </w:tcPr>
          <w:p w14:paraId="2280AAA6"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D1F63C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8.361</w:t>
            </w:r>
          </w:p>
        </w:tc>
        <w:tc>
          <w:tcPr>
            <w:tcW w:w="83" w:type="pct"/>
            <w:tcBorders>
              <w:top w:val="nil"/>
              <w:left w:val="nil"/>
              <w:bottom w:val="nil"/>
              <w:right w:val="nil"/>
            </w:tcBorders>
            <w:shd w:val="clear" w:color="auto" w:fill="auto"/>
            <w:noWrap/>
            <w:vAlign w:val="center"/>
            <w:hideMark/>
          </w:tcPr>
          <w:p w14:paraId="78443324"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6B6AE87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6.394</w:t>
            </w:r>
          </w:p>
        </w:tc>
        <w:tc>
          <w:tcPr>
            <w:tcW w:w="79" w:type="pct"/>
            <w:tcBorders>
              <w:top w:val="nil"/>
              <w:left w:val="nil"/>
              <w:bottom w:val="nil"/>
              <w:right w:val="nil"/>
            </w:tcBorders>
            <w:shd w:val="clear" w:color="auto" w:fill="auto"/>
            <w:noWrap/>
            <w:vAlign w:val="center"/>
            <w:hideMark/>
          </w:tcPr>
          <w:p w14:paraId="7F64BE6C"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6EA210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403</w:t>
            </w:r>
          </w:p>
        </w:tc>
        <w:tc>
          <w:tcPr>
            <w:tcW w:w="78" w:type="pct"/>
            <w:tcBorders>
              <w:top w:val="nil"/>
              <w:left w:val="nil"/>
              <w:bottom w:val="nil"/>
              <w:right w:val="nil"/>
            </w:tcBorders>
            <w:shd w:val="clear" w:color="auto" w:fill="auto"/>
            <w:vAlign w:val="center"/>
            <w:hideMark/>
          </w:tcPr>
          <w:p w14:paraId="6F02FE9C"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0EE8F6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6.385 </w:t>
            </w:r>
          </w:p>
        </w:tc>
        <w:tc>
          <w:tcPr>
            <w:tcW w:w="78" w:type="pct"/>
            <w:tcBorders>
              <w:top w:val="nil"/>
              <w:left w:val="nil"/>
              <w:bottom w:val="nil"/>
              <w:right w:val="nil"/>
            </w:tcBorders>
            <w:shd w:val="clear" w:color="auto" w:fill="auto"/>
            <w:vAlign w:val="center"/>
          </w:tcPr>
          <w:p w14:paraId="3B00F9AD"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F773AB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6.676</w:t>
            </w:r>
          </w:p>
        </w:tc>
        <w:tc>
          <w:tcPr>
            <w:tcW w:w="78" w:type="pct"/>
            <w:gridSpan w:val="2"/>
            <w:tcBorders>
              <w:top w:val="nil"/>
              <w:left w:val="nil"/>
              <w:bottom w:val="nil"/>
              <w:right w:val="nil"/>
            </w:tcBorders>
            <w:shd w:val="clear" w:color="auto" w:fill="auto"/>
            <w:vAlign w:val="center"/>
          </w:tcPr>
          <w:p w14:paraId="0C14424B"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03FF97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402 </w:t>
            </w:r>
          </w:p>
        </w:tc>
      </w:tr>
      <w:tr w:rsidR="003B5193" w:rsidRPr="00AE4E8D" w14:paraId="55C05EBF" w14:textId="77777777" w:rsidTr="00E8320E">
        <w:trPr>
          <w:trHeight w:val="210"/>
        </w:trPr>
        <w:tc>
          <w:tcPr>
            <w:tcW w:w="1253" w:type="pct"/>
            <w:tcBorders>
              <w:top w:val="nil"/>
              <w:left w:val="nil"/>
              <w:bottom w:val="nil"/>
              <w:right w:val="nil"/>
            </w:tcBorders>
            <w:shd w:val="clear" w:color="auto" w:fill="auto"/>
            <w:vAlign w:val="center"/>
            <w:hideMark/>
          </w:tcPr>
          <w:p w14:paraId="5184E997"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Sector Privado no Financiero y Residentes en el exterior</w:t>
            </w:r>
          </w:p>
        </w:tc>
        <w:tc>
          <w:tcPr>
            <w:tcW w:w="328" w:type="pct"/>
            <w:tcBorders>
              <w:top w:val="nil"/>
              <w:left w:val="nil"/>
              <w:bottom w:val="nil"/>
              <w:right w:val="nil"/>
            </w:tcBorders>
            <w:shd w:val="clear" w:color="auto" w:fill="auto"/>
            <w:noWrap/>
            <w:vAlign w:val="center"/>
          </w:tcPr>
          <w:p w14:paraId="73021F8B"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3381019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772705D9"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2F1849A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51CF1E6E"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11CF3EBA"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56A6141A" w14:textId="77777777" w:rsidR="005C363D" w:rsidRPr="00AE4E8D" w:rsidRDefault="005C363D"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tcPr>
          <w:p w14:paraId="3C5DFB91"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tcPr>
          <w:p w14:paraId="7C88C682" w14:textId="77777777" w:rsidR="005C363D" w:rsidRPr="00AE4E8D" w:rsidRDefault="005C363D"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tcPr>
          <w:p w14:paraId="26346B74"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tcPr>
          <w:p w14:paraId="440B0F4A"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77567507"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AD48401"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55D8FAF2"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01FF4ED" w14:textId="77777777" w:rsidR="005C363D" w:rsidRPr="00AE4E8D" w:rsidRDefault="005C363D"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tcPr>
          <w:p w14:paraId="6503E7DC"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61E2D2DD" w14:textId="77777777" w:rsidR="005C363D" w:rsidRPr="00AE4E8D" w:rsidRDefault="005C363D" w:rsidP="00E8320E">
            <w:pPr>
              <w:spacing w:before="40" w:after="40"/>
              <w:jc w:val="right"/>
              <w:rPr>
                <w:rFonts w:ascii="Times New Roman" w:hAnsi="Times New Roman"/>
                <w:color w:val="000000"/>
                <w:sz w:val="16"/>
                <w:lang w:val="es-ES"/>
              </w:rPr>
            </w:pPr>
          </w:p>
        </w:tc>
      </w:tr>
      <w:tr w:rsidR="003B5193" w:rsidRPr="00AE4E8D" w14:paraId="00D0F8A5" w14:textId="77777777" w:rsidTr="00E8320E">
        <w:trPr>
          <w:trHeight w:val="210"/>
        </w:trPr>
        <w:tc>
          <w:tcPr>
            <w:tcW w:w="1253" w:type="pct"/>
            <w:tcBorders>
              <w:top w:val="nil"/>
              <w:left w:val="nil"/>
              <w:bottom w:val="nil"/>
              <w:right w:val="nil"/>
            </w:tcBorders>
            <w:shd w:val="clear" w:color="auto" w:fill="auto"/>
            <w:vAlign w:val="center"/>
            <w:hideMark/>
          </w:tcPr>
          <w:p w14:paraId="4FFFA5E5"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Cuentas Corrientes</w:t>
            </w:r>
          </w:p>
        </w:tc>
        <w:tc>
          <w:tcPr>
            <w:tcW w:w="328" w:type="pct"/>
            <w:tcBorders>
              <w:top w:val="nil"/>
              <w:left w:val="nil"/>
              <w:bottom w:val="nil"/>
              <w:right w:val="nil"/>
            </w:tcBorders>
            <w:shd w:val="clear" w:color="auto" w:fill="auto"/>
            <w:noWrap/>
            <w:vAlign w:val="center"/>
            <w:hideMark/>
          </w:tcPr>
          <w:p w14:paraId="1D8C1A3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595.564</w:t>
            </w:r>
          </w:p>
        </w:tc>
        <w:tc>
          <w:tcPr>
            <w:tcW w:w="78" w:type="pct"/>
            <w:tcBorders>
              <w:top w:val="nil"/>
              <w:left w:val="nil"/>
              <w:bottom w:val="nil"/>
              <w:right w:val="nil"/>
            </w:tcBorders>
            <w:shd w:val="clear" w:color="auto" w:fill="auto"/>
            <w:vAlign w:val="center"/>
            <w:hideMark/>
          </w:tcPr>
          <w:p w14:paraId="22D733A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4E689C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526.413</w:t>
            </w:r>
          </w:p>
        </w:tc>
        <w:tc>
          <w:tcPr>
            <w:tcW w:w="78" w:type="pct"/>
            <w:tcBorders>
              <w:top w:val="nil"/>
              <w:left w:val="nil"/>
              <w:bottom w:val="nil"/>
              <w:right w:val="nil"/>
            </w:tcBorders>
            <w:shd w:val="clear" w:color="auto" w:fill="auto"/>
            <w:vAlign w:val="center"/>
            <w:hideMark/>
          </w:tcPr>
          <w:p w14:paraId="0B4082E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4EA386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760.533</w:t>
            </w:r>
          </w:p>
        </w:tc>
        <w:tc>
          <w:tcPr>
            <w:tcW w:w="78" w:type="pct"/>
            <w:tcBorders>
              <w:top w:val="nil"/>
              <w:left w:val="nil"/>
              <w:bottom w:val="nil"/>
              <w:right w:val="nil"/>
            </w:tcBorders>
            <w:shd w:val="clear" w:color="auto" w:fill="auto"/>
            <w:vAlign w:val="center"/>
            <w:hideMark/>
          </w:tcPr>
          <w:p w14:paraId="688182A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B7E415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648.295</w:t>
            </w:r>
          </w:p>
        </w:tc>
        <w:tc>
          <w:tcPr>
            <w:tcW w:w="83" w:type="pct"/>
            <w:tcBorders>
              <w:top w:val="nil"/>
              <w:left w:val="nil"/>
              <w:bottom w:val="nil"/>
              <w:right w:val="nil"/>
            </w:tcBorders>
            <w:shd w:val="clear" w:color="auto" w:fill="auto"/>
            <w:noWrap/>
            <w:vAlign w:val="center"/>
            <w:hideMark/>
          </w:tcPr>
          <w:p w14:paraId="459CBBE8"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8E19A4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881.421</w:t>
            </w:r>
          </w:p>
        </w:tc>
        <w:tc>
          <w:tcPr>
            <w:tcW w:w="79" w:type="pct"/>
            <w:tcBorders>
              <w:top w:val="nil"/>
              <w:left w:val="nil"/>
              <w:bottom w:val="nil"/>
              <w:right w:val="nil"/>
            </w:tcBorders>
            <w:shd w:val="clear" w:color="auto" w:fill="auto"/>
            <w:noWrap/>
            <w:vAlign w:val="center"/>
            <w:hideMark/>
          </w:tcPr>
          <w:p w14:paraId="71E9992B"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29A609F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55.609</w:t>
            </w:r>
          </w:p>
        </w:tc>
        <w:tc>
          <w:tcPr>
            <w:tcW w:w="78" w:type="pct"/>
            <w:tcBorders>
              <w:top w:val="nil"/>
              <w:left w:val="nil"/>
              <w:bottom w:val="nil"/>
              <w:right w:val="nil"/>
            </w:tcBorders>
            <w:shd w:val="clear" w:color="auto" w:fill="auto"/>
            <w:vAlign w:val="center"/>
            <w:hideMark/>
          </w:tcPr>
          <w:p w14:paraId="61D958F7"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A36EED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653.078 </w:t>
            </w:r>
          </w:p>
        </w:tc>
        <w:tc>
          <w:tcPr>
            <w:tcW w:w="78" w:type="pct"/>
            <w:tcBorders>
              <w:top w:val="nil"/>
              <w:left w:val="nil"/>
              <w:bottom w:val="nil"/>
              <w:right w:val="nil"/>
            </w:tcBorders>
            <w:shd w:val="clear" w:color="auto" w:fill="auto"/>
            <w:vAlign w:val="center"/>
          </w:tcPr>
          <w:p w14:paraId="5874C820"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32E6BA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830.078</w:t>
            </w:r>
          </w:p>
        </w:tc>
        <w:tc>
          <w:tcPr>
            <w:tcW w:w="78" w:type="pct"/>
            <w:gridSpan w:val="2"/>
            <w:tcBorders>
              <w:top w:val="nil"/>
              <w:left w:val="nil"/>
              <w:bottom w:val="nil"/>
              <w:right w:val="nil"/>
            </w:tcBorders>
            <w:shd w:val="clear" w:color="auto" w:fill="auto"/>
            <w:vAlign w:val="center"/>
          </w:tcPr>
          <w:p w14:paraId="76E50BC8"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C01EC3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50.009 </w:t>
            </w:r>
          </w:p>
        </w:tc>
      </w:tr>
      <w:tr w:rsidR="003B5193" w:rsidRPr="00AE4E8D" w14:paraId="23EE55FB" w14:textId="77777777" w:rsidTr="00E8320E">
        <w:trPr>
          <w:trHeight w:val="210"/>
        </w:trPr>
        <w:tc>
          <w:tcPr>
            <w:tcW w:w="1253" w:type="pct"/>
            <w:tcBorders>
              <w:top w:val="nil"/>
              <w:left w:val="nil"/>
              <w:bottom w:val="nil"/>
              <w:right w:val="nil"/>
            </w:tcBorders>
            <w:shd w:val="clear" w:color="auto" w:fill="auto"/>
            <w:vAlign w:val="center"/>
            <w:hideMark/>
          </w:tcPr>
          <w:p w14:paraId="6BDF778E"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Cajas de Ahorro</w:t>
            </w:r>
          </w:p>
        </w:tc>
        <w:tc>
          <w:tcPr>
            <w:tcW w:w="328" w:type="pct"/>
            <w:tcBorders>
              <w:top w:val="nil"/>
              <w:left w:val="nil"/>
              <w:bottom w:val="nil"/>
              <w:right w:val="nil"/>
            </w:tcBorders>
            <w:shd w:val="clear" w:color="auto" w:fill="auto"/>
            <w:noWrap/>
            <w:vAlign w:val="center"/>
            <w:hideMark/>
          </w:tcPr>
          <w:p w14:paraId="76FA637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741.892</w:t>
            </w:r>
          </w:p>
        </w:tc>
        <w:tc>
          <w:tcPr>
            <w:tcW w:w="78" w:type="pct"/>
            <w:tcBorders>
              <w:top w:val="nil"/>
              <w:left w:val="nil"/>
              <w:bottom w:val="nil"/>
              <w:right w:val="nil"/>
            </w:tcBorders>
            <w:shd w:val="clear" w:color="auto" w:fill="auto"/>
            <w:vAlign w:val="center"/>
            <w:hideMark/>
          </w:tcPr>
          <w:p w14:paraId="7EC6D2B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C8F053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1.443.467</w:t>
            </w:r>
          </w:p>
        </w:tc>
        <w:tc>
          <w:tcPr>
            <w:tcW w:w="78" w:type="pct"/>
            <w:tcBorders>
              <w:top w:val="nil"/>
              <w:left w:val="nil"/>
              <w:bottom w:val="nil"/>
              <w:right w:val="nil"/>
            </w:tcBorders>
            <w:shd w:val="clear" w:color="auto" w:fill="auto"/>
            <w:vAlign w:val="center"/>
            <w:hideMark/>
          </w:tcPr>
          <w:p w14:paraId="05C7A1C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6968C9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2.479.643</w:t>
            </w:r>
          </w:p>
        </w:tc>
        <w:tc>
          <w:tcPr>
            <w:tcW w:w="78" w:type="pct"/>
            <w:tcBorders>
              <w:top w:val="nil"/>
              <w:left w:val="nil"/>
              <w:bottom w:val="nil"/>
              <w:right w:val="nil"/>
            </w:tcBorders>
            <w:shd w:val="clear" w:color="auto" w:fill="auto"/>
            <w:vAlign w:val="center"/>
            <w:hideMark/>
          </w:tcPr>
          <w:p w14:paraId="689B436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775D77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2.502.529</w:t>
            </w:r>
          </w:p>
        </w:tc>
        <w:tc>
          <w:tcPr>
            <w:tcW w:w="83" w:type="pct"/>
            <w:tcBorders>
              <w:top w:val="nil"/>
              <w:left w:val="nil"/>
              <w:bottom w:val="nil"/>
              <w:right w:val="nil"/>
            </w:tcBorders>
            <w:shd w:val="clear" w:color="auto" w:fill="auto"/>
            <w:noWrap/>
            <w:vAlign w:val="center"/>
            <w:hideMark/>
          </w:tcPr>
          <w:p w14:paraId="6ED85655"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C74F41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3.329.855</w:t>
            </w:r>
          </w:p>
        </w:tc>
        <w:tc>
          <w:tcPr>
            <w:tcW w:w="79" w:type="pct"/>
            <w:tcBorders>
              <w:top w:val="nil"/>
              <w:left w:val="nil"/>
              <w:bottom w:val="nil"/>
              <w:right w:val="nil"/>
            </w:tcBorders>
            <w:shd w:val="clear" w:color="auto" w:fill="auto"/>
            <w:noWrap/>
            <w:vAlign w:val="center"/>
            <w:hideMark/>
          </w:tcPr>
          <w:p w14:paraId="2DC5D27B"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928795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210.083</w:t>
            </w:r>
          </w:p>
        </w:tc>
        <w:tc>
          <w:tcPr>
            <w:tcW w:w="78" w:type="pct"/>
            <w:tcBorders>
              <w:top w:val="nil"/>
              <w:left w:val="nil"/>
              <w:bottom w:val="nil"/>
              <w:right w:val="nil"/>
            </w:tcBorders>
            <w:shd w:val="clear" w:color="auto" w:fill="auto"/>
            <w:vAlign w:val="center"/>
            <w:hideMark/>
          </w:tcPr>
          <w:p w14:paraId="40C41BCE"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E6B8AD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2.848.403 </w:t>
            </w:r>
          </w:p>
        </w:tc>
        <w:tc>
          <w:tcPr>
            <w:tcW w:w="78" w:type="pct"/>
            <w:tcBorders>
              <w:top w:val="nil"/>
              <w:left w:val="nil"/>
              <w:bottom w:val="nil"/>
              <w:right w:val="nil"/>
            </w:tcBorders>
            <w:shd w:val="clear" w:color="auto" w:fill="auto"/>
            <w:vAlign w:val="center"/>
          </w:tcPr>
          <w:p w14:paraId="3EB98417"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E0D2C1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4.099.010</w:t>
            </w:r>
          </w:p>
        </w:tc>
        <w:tc>
          <w:tcPr>
            <w:tcW w:w="78" w:type="pct"/>
            <w:gridSpan w:val="2"/>
            <w:tcBorders>
              <w:top w:val="nil"/>
              <w:left w:val="nil"/>
              <w:bottom w:val="nil"/>
              <w:right w:val="nil"/>
            </w:tcBorders>
            <w:shd w:val="clear" w:color="auto" w:fill="auto"/>
            <w:vAlign w:val="center"/>
          </w:tcPr>
          <w:p w14:paraId="0A623280"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438039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246.951 </w:t>
            </w:r>
          </w:p>
        </w:tc>
      </w:tr>
      <w:tr w:rsidR="003B5193" w:rsidRPr="00AE4E8D" w14:paraId="051322E3" w14:textId="77777777" w:rsidTr="00E8320E">
        <w:trPr>
          <w:trHeight w:val="210"/>
        </w:trPr>
        <w:tc>
          <w:tcPr>
            <w:tcW w:w="1253" w:type="pct"/>
            <w:tcBorders>
              <w:top w:val="nil"/>
              <w:left w:val="nil"/>
              <w:bottom w:val="nil"/>
              <w:right w:val="nil"/>
            </w:tcBorders>
            <w:shd w:val="clear" w:color="auto" w:fill="auto"/>
            <w:vAlign w:val="center"/>
            <w:hideMark/>
          </w:tcPr>
          <w:p w14:paraId="09653290"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Plazo Fijo</w:t>
            </w:r>
          </w:p>
        </w:tc>
        <w:tc>
          <w:tcPr>
            <w:tcW w:w="328" w:type="pct"/>
            <w:tcBorders>
              <w:top w:val="nil"/>
              <w:left w:val="nil"/>
              <w:bottom w:val="nil"/>
              <w:right w:val="nil"/>
            </w:tcBorders>
            <w:shd w:val="clear" w:color="auto" w:fill="auto"/>
            <w:noWrap/>
            <w:vAlign w:val="center"/>
            <w:hideMark/>
          </w:tcPr>
          <w:p w14:paraId="0A51708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3.355.131</w:t>
            </w:r>
          </w:p>
        </w:tc>
        <w:tc>
          <w:tcPr>
            <w:tcW w:w="78" w:type="pct"/>
            <w:tcBorders>
              <w:top w:val="nil"/>
              <w:left w:val="nil"/>
              <w:bottom w:val="nil"/>
              <w:right w:val="nil"/>
            </w:tcBorders>
            <w:shd w:val="clear" w:color="auto" w:fill="auto"/>
            <w:vAlign w:val="center"/>
            <w:hideMark/>
          </w:tcPr>
          <w:p w14:paraId="7156464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5D1FE5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4.265.680</w:t>
            </w:r>
          </w:p>
        </w:tc>
        <w:tc>
          <w:tcPr>
            <w:tcW w:w="78" w:type="pct"/>
            <w:tcBorders>
              <w:top w:val="nil"/>
              <w:left w:val="nil"/>
              <w:bottom w:val="nil"/>
              <w:right w:val="nil"/>
            </w:tcBorders>
            <w:shd w:val="clear" w:color="auto" w:fill="auto"/>
            <w:vAlign w:val="center"/>
            <w:hideMark/>
          </w:tcPr>
          <w:p w14:paraId="3416F11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F2C2D5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4.983.820</w:t>
            </w:r>
          </w:p>
        </w:tc>
        <w:tc>
          <w:tcPr>
            <w:tcW w:w="78" w:type="pct"/>
            <w:tcBorders>
              <w:top w:val="nil"/>
              <w:left w:val="nil"/>
              <w:bottom w:val="nil"/>
              <w:right w:val="nil"/>
            </w:tcBorders>
            <w:shd w:val="clear" w:color="auto" w:fill="auto"/>
            <w:vAlign w:val="center"/>
            <w:hideMark/>
          </w:tcPr>
          <w:p w14:paraId="0CD4339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3CC826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8.489.757</w:t>
            </w:r>
          </w:p>
        </w:tc>
        <w:tc>
          <w:tcPr>
            <w:tcW w:w="83" w:type="pct"/>
            <w:tcBorders>
              <w:top w:val="nil"/>
              <w:left w:val="nil"/>
              <w:bottom w:val="nil"/>
              <w:right w:val="nil"/>
            </w:tcBorders>
            <w:shd w:val="clear" w:color="auto" w:fill="auto"/>
            <w:noWrap/>
            <w:vAlign w:val="center"/>
            <w:hideMark/>
          </w:tcPr>
          <w:p w14:paraId="17B43D28"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89AEBC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10.613.088</w:t>
            </w:r>
          </w:p>
        </w:tc>
        <w:tc>
          <w:tcPr>
            <w:tcW w:w="79" w:type="pct"/>
            <w:tcBorders>
              <w:top w:val="nil"/>
              <w:left w:val="nil"/>
              <w:bottom w:val="nil"/>
              <w:right w:val="nil"/>
            </w:tcBorders>
            <w:shd w:val="clear" w:color="auto" w:fill="auto"/>
            <w:noWrap/>
            <w:vAlign w:val="center"/>
            <w:hideMark/>
          </w:tcPr>
          <w:p w14:paraId="6A54906D"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935A31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669.587</w:t>
            </w:r>
          </w:p>
        </w:tc>
        <w:tc>
          <w:tcPr>
            <w:tcW w:w="78" w:type="pct"/>
            <w:tcBorders>
              <w:top w:val="nil"/>
              <w:left w:val="nil"/>
              <w:bottom w:val="nil"/>
              <w:right w:val="nil"/>
            </w:tcBorders>
            <w:shd w:val="clear" w:color="auto" w:fill="auto"/>
            <w:vAlign w:val="center"/>
            <w:hideMark/>
          </w:tcPr>
          <w:p w14:paraId="29BEFFCD"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F682FC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9.385.282 </w:t>
            </w:r>
          </w:p>
        </w:tc>
        <w:tc>
          <w:tcPr>
            <w:tcW w:w="78" w:type="pct"/>
            <w:tcBorders>
              <w:top w:val="nil"/>
              <w:left w:val="nil"/>
              <w:bottom w:val="nil"/>
              <w:right w:val="nil"/>
            </w:tcBorders>
            <w:shd w:val="clear" w:color="auto" w:fill="auto"/>
            <w:vAlign w:val="center"/>
          </w:tcPr>
          <w:p w14:paraId="7AFD594D"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457DCC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10.542.773</w:t>
            </w:r>
          </w:p>
        </w:tc>
        <w:tc>
          <w:tcPr>
            <w:tcW w:w="78" w:type="pct"/>
            <w:gridSpan w:val="2"/>
            <w:tcBorders>
              <w:top w:val="nil"/>
              <w:left w:val="nil"/>
              <w:bottom w:val="nil"/>
              <w:right w:val="nil"/>
            </w:tcBorders>
            <w:shd w:val="clear" w:color="auto" w:fill="auto"/>
            <w:vAlign w:val="center"/>
          </w:tcPr>
          <w:p w14:paraId="19BD973C"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95FA39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635.164 </w:t>
            </w:r>
          </w:p>
        </w:tc>
      </w:tr>
      <w:tr w:rsidR="003B5193" w:rsidRPr="00AE4E8D" w14:paraId="715FF85A" w14:textId="77777777" w:rsidTr="00E8320E">
        <w:trPr>
          <w:trHeight w:val="210"/>
        </w:trPr>
        <w:tc>
          <w:tcPr>
            <w:tcW w:w="1253" w:type="pct"/>
            <w:tcBorders>
              <w:top w:val="nil"/>
              <w:left w:val="nil"/>
              <w:bottom w:val="nil"/>
              <w:right w:val="nil"/>
            </w:tcBorders>
            <w:shd w:val="clear" w:color="auto" w:fill="auto"/>
            <w:vAlign w:val="center"/>
            <w:hideMark/>
          </w:tcPr>
          <w:p w14:paraId="4A2E01D5"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Cuentas de Inversión</w:t>
            </w:r>
          </w:p>
        </w:tc>
        <w:tc>
          <w:tcPr>
            <w:tcW w:w="328" w:type="pct"/>
            <w:tcBorders>
              <w:top w:val="nil"/>
              <w:left w:val="nil"/>
              <w:bottom w:val="nil"/>
              <w:right w:val="nil"/>
            </w:tcBorders>
            <w:shd w:val="clear" w:color="auto" w:fill="auto"/>
            <w:noWrap/>
            <w:vAlign w:val="center"/>
            <w:hideMark/>
          </w:tcPr>
          <w:p w14:paraId="6209180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160.035</w:t>
            </w:r>
          </w:p>
        </w:tc>
        <w:tc>
          <w:tcPr>
            <w:tcW w:w="78" w:type="pct"/>
            <w:tcBorders>
              <w:top w:val="nil"/>
              <w:left w:val="nil"/>
              <w:bottom w:val="nil"/>
              <w:right w:val="nil"/>
            </w:tcBorders>
            <w:shd w:val="clear" w:color="auto" w:fill="auto"/>
            <w:vAlign w:val="center"/>
            <w:hideMark/>
          </w:tcPr>
          <w:p w14:paraId="11EBA19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7A381B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304.241</w:t>
            </w:r>
          </w:p>
        </w:tc>
        <w:tc>
          <w:tcPr>
            <w:tcW w:w="78" w:type="pct"/>
            <w:tcBorders>
              <w:top w:val="nil"/>
              <w:left w:val="nil"/>
              <w:bottom w:val="nil"/>
              <w:right w:val="nil"/>
            </w:tcBorders>
            <w:shd w:val="clear" w:color="auto" w:fill="auto"/>
            <w:vAlign w:val="center"/>
            <w:hideMark/>
          </w:tcPr>
          <w:p w14:paraId="76B40B1D"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41B5C3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713.438</w:t>
            </w:r>
          </w:p>
        </w:tc>
        <w:tc>
          <w:tcPr>
            <w:tcW w:w="78" w:type="pct"/>
            <w:tcBorders>
              <w:top w:val="nil"/>
              <w:left w:val="nil"/>
              <w:bottom w:val="nil"/>
              <w:right w:val="nil"/>
            </w:tcBorders>
            <w:shd w:val="clear" w:color="auto" w:fill="auto"/>
            <w:vAlign w:val="center"/>
            <w:hideMark/>
          </w:tcPr>
          <w:p w14:paraId="58AE37A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E99AAA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1.550.115</w:t>
            </w:r>
          </w:p>
        </w:tc>
        <w:tc>
          <w:tcPr>
            <w:tcW w:w="83" w:type="pct"/>
            <w:tcBorders>
              <w:top w:val="nil"/>
              <w:left w:val="nil"/>
              <w:bottom w:val="nil"/>
              <w:right w:val="nil"/>
            </w:tcBorders>
            <w:shd w:val="clear" w:color="auto" w:fill="auto"/>
            <w:noWrap/>
            <w:vAlign w:val="center"/>
            <w:hideMark/>
          </w:tcPr>
          <w:p w14:paraId="5834B038"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8592F3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1.013.895</w:t>
            </w:r>
          </w:p>
        </w:tc>
        <w:tc>
          <w:tcPr>
            <w:tcW w:w="79" w:type="pct"/>
            <w:tcBorders>
              <w:top w:val="nil"/>
              <w:left w:val="nil"/>
              <w:bottom w:val="nil"/>
              <w:right w:val="nil"/>
            </w:tcBorders>
            <w:shd w:val="clear" w:color="auto" w:fill="auto"/>
            <w:noWrap/>
            <w:vAlign w:val="center"/>
            <w:hideMark/>
          </w:tcPr>
          <w:p w14:paraId="1075D0F0"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2DD4D4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63.967</w:t>
            </w:r>
          </w:p>
        </w:tc>
        <w:tc>
          <w:tcPr>
            <w:tcW w:w="78" w:type="pct"/>
            <w:tcBorders>
              <w:top w:val="nil"/>
              <w:left w:val="nil"/>
              <w:bottom w:val="nil"/>
              <w:right w:val="nil"/>
            </w:tcBorders>
            <w:shd w:val="clear" w:color="auto" w:fill="auto"/>
            <w:vAlign w:val="center"/>
            <w:hideMark/>
          </w:tcPr>
          <w:p w14:paraId="4EE93D5B"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4E3B33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944.845 </w:t>
            </w:r>
          </w:p>
        </w:tc>
        <w:tc>
          <w:tcPr>
            <w:tcW w:w="78" w:type="pct"/>
            <w:tcBorders>
              <w:top w:val="nil"/>
              <w:left w:val="nil"/>
              <w:bottom w:val="nil"/>
              <w:right w:val="nil"/>
            </w:tcBorders>
            <w:shd w:val="clear" w:color="auto" w:fill="auto"/>
            <w:vAlign w:val="center"/>
          </w:tcPr>
          <w:p w14:paraId="0E5FE336"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F9C3D0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1.108.741</w:t>
            </w:r>
          </w:p>
        </w:tc>
        <w:tc>
          <w:tcPr>
            <w:tcW w:w="78" w:type="pct"/>
            <w:gridSpan w:val="2"/>
            <w:tcBorders>
              <w:top w:val="nil"/>
              <w:left w:val="nil"/>
              <w:bottom w:val="nil"/>
              <w:right w:val="nil"/>
            </w:tcBorders>
            <w:shd w:val="clear" w:color="auto" w:fill="auto"/>
            <w:vAlign w:val="center"/>
          </w:tcPr>
          <w:p w14:paraId="77DCED2F"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184092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66.798 </w:t>
            </w:r>
          </w:p>
        </w:tc>
      </w:tr>
      <w:tr w:rsidR="003B5193" w:rsidRPr="00AE4E8D" w14:paraId="1890CCE4" w14:textId="77777777" w:rsidTr="00E8320E">
        <w:trPr>
          <w:trHeight w:val="210"/>
        </w:trPr>
        <w:tc>
          <w:tcPr>
            <w:tcW w:w="1253" w:type="pct"/>
            <w:tcBorders>
              <w:top w:val="nil"/>
              <w:left w:val="nil"/>
              <w:bottom w:val="nil"/>
              <w:right w:val="nil"/>
            </w:tcBorders>
            <w:shd w:val="clear" w:color="auto" w:fill="auto"/>
            <w:vAlign w:val="center"/>
            <w:hideMark/>
          </w:tcPr>
          <w:p w14:paraId="09C79726"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Otros</w:t>
            </w:r>
          </w:p>
        </w:tc>
        <w:tc>
          <w:tcPr>
            <w:tcW w:w="328" w:type="pct"/>
            <w:tcBorders>
              <w:top w:val="nil"/>
              <w:left w:val="nil"/>
              <w:bottom w:val="nil"/>
              <w:right w:val="nil"/>
            </w:tcBorders>
            <w:shd w:val="clear" w:color="auto" w:fill="auto"/>
            <w:noWrap/>
            <w:vAlign w:val="center"/>
            <w:hideMark/>
          </w:tcPr>
          <w:p w14:paraId="48FE496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101.650</w:t>
            </w:r>
          </w:p>
        </w:tc>
        <w:tc>
          <w:tcPr>
            <w:tcW w:w="78" w:type="pct"/>
            <w:tcBorders>
              <w:top w:val="nil"/>
              <w:left w:val="nil"/>
              <w:bottom w:val="nil"/>
              <w:right w:val="nil"/>
            </w:tcBorders>
            <w:shd w:val="clear" w:color="auto" w:fill="auto"/>
            <w:vAlign w:val="center"/>
            <w:hideMark/>
          </w:tcPr>
          <w:p w14:paraId="5E538C0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630A41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126.748</w:t>
            </w:r>
          </w:p>
        </w:tc>
        <w:tc>
          <w:tcPr>
            <w:tcW w:w="78" w:type="pct"/>
            <w:tcBorders>
              <w:top w:val="nil"/>
              <w:left w:val="nil"/>
              <w:bottom w:val="nil"/>
              <w:right w:val="nil"/>
            </w:tcBorders>
            <w:shd w:val="clear" w:color="auto" w:fill="auto"/>
            <w:vAlign w:val="center"/>
            <w:hideMark/>
          </w:tcPr>
          <w:p w14:paraId="5312F5B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96A648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156.068</w:t>
            </w:r>
          </w:p>
        </w:tc>
        <w:tc>
          <w:tcPr>
            <w:tcW w:w="78" w:type="pct"/>
            <w:tcBorders>
              <w:top w:val="nil"/>
              <w:left w:val="nil"/>
              <w:bottom w:val="nil"/>
              <w:right w:val="nil"/>
            </w:tcBorders>
            <w:shd w:val="clear" w:color="auto" w:fill="auto"/>
            <w:vAlign w:val="center"/>
            <w:hideMark/>
          </w:tcPr>
          <w:p w14:paraId="219E3A4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E2D621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171.906</w:t>
            </w:r>
          </w:p>
        </w:tc>
        <w:tc>
          <w:tcPr>
            <w:tcW w:w="83" w:type="pct"/>
            <w:tcBorders>
              <w:top w:val="nil"/>
              <w:left w:val="nil"/>
              <w:bottom w:val="nil"/>
              <w:right w:val="nil"/>
            </w:tcBorders>
            <w:shd w:val="clear" w:color="auto" w:fill="auto"/>
            <w:noWrap/>
            <w:vAlign w:val="center"/>
            <w:hideMark/>
          </w:tcPr>
          <w:p w14:paraId="3E1A13EE"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97B750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318.055</w:t>
            </w:r>
          </w:p>
        </w:tc>
        <w:tc>
          <w:tcPr>
            <w:tcW w:w="79" w:type="pct"/>
            <w:tcBorders>
              <w:top w:val="nil"/>
              <w:left w:val="nil"/>
              <w:bottom w:val="nil"/>
              <w:right w:val="nil"/>
            </w:tcBorders>
            <w:shd w:val="clear" w:color="auto" w:fill="auto"/>
            <w:noWrap/>
            <w:vAlign w:val="center"/>
            <w:hideMark/>
          </w:tcPr>
          <w:p w14:paraId="6045E9D5"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5286B1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20.066</w:t>
            </w:r>
          </w:p>
        </w:tc>
        <w:tc>
          <w:tcPr>
            <w:tcW w:w="78" w:type="pct"/>
            <w:tcBorders>
              <w:top w:val="nil"/>
              <w:left w:val="nil"/>
              <w:bottom w:val="nil"/>
              <w:right w:val="nil"/>
            </w:tcBorders>
            <w:shd w:val="clear" w:color="auto" w:fill="auto"/>
            <w:vAlign w:val="center"/>
            <w:hideMark/>
          </w:tcPr>
          <w:p w14:paraId="2AA23677"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2C1041A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167.199 </w:t>
            </w:r>
          </w:p>
        </w:tc>
        <w:tc>
          <w:tcPr>
            <w:tcW w:w="78" w:type="pct"/>
            <w:tcBorders>
              <w:top w:val="nil"/>
              <w:left w:val="nil"/>
              <w:bottom w:val="nil"/>
              <w:right w:val="nil"/>
            </w:tcBorders>
            <w:shd w:val="clear" w:color="auto" w:fill="auto"/>
            <w:vAlign w:val="center"/>
          </w:tcPr>
          <w:p w14:paraId="06B490DF"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8267AA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238.943</w:t>
            </w:r>
          </w:p>
        </w:tc>
        <w:tc>
          <w:tcPr>
            <w:tcW w:w="78" w:type="pct"/>
            <w:gridSpan w:val="2"/>
            <w:tcBorders>
              <w:top w:val="nil"/>
              <w:left w:val="nil"/>
              <w:bottom w:val="nil"/>
              <w:right w:val="nil"/>
            </w:tcBorders>
            <w:shd w:val="clear" w:color="auto" w:fill="auto"/>
            <w:vAlign w:val="center"/>
          </w:tcPr>
          <w:p w14:paraId="573B2E21"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465984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14.395 </w:t>
            </w:r>
          </w:p>
        </w:tc>
      </w:tr>
      <w:tr w:rsidR="003B5193" w:rsidRPr="00AE4E8D" w14:paraId="2D9319BE" w14:textId="77777777" w:rsidTr="00E8320E">
        <w:trPr>
          <w:trHeight w:val="223"/>
        </w:trPr>
        <w:tc>
          <w:tcPr>
            <w:tcW w:w="1253" w:type="pct"/>
            <w:tcBorders>
              <w:top w:val="nil"/>
              <w:left w:val="nil"/>
              <w:bottom w:val="nil"/>
              <w:right w:val="nil"/>
            </w:tcBorders>
            <w:shd w:val="clear" w:color="auto" w:fill="auto"/>
            <w:vAlign w:val="center"/>
            <w:hideMark/>
          </w:tcPr>
          <w:p w14:paraId="06111788"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Intereses y diferencias de cotización a pagar</w:t>
            </w:r>
          </w:p>
        </w:tc>
        <w:tc>
          <w:tcPr>
            <w:tcW w:w="328" w:type="pct"/>
            <w:tcBorders>
              <w:top w:val="nil"/>
              <w:left w:val="nil"/>
              <w:bottom w:val="single" w:sz="8" w:space="0" w:color="auto"/>
              <w:right w:val="nil"/>
            </w:tcBorders>
            <w:shd w:val="clear" w:color="auto" w:fill="auto"/>
            <w:noWrap/>
            <w:vAlign w:val="center"/>
            <w:hideMark/>
          </w:tcPr>
          <w:p w14:paraId="58C0619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57.402</w:t>
            </w:r>
          </w:p>
        </w:tc>
        <w:tc>
          <w:tcPr>
            <w:tcW w:w="78" w:type="pct"/>
            <w:tcBorders>
              <w:top w:val="nil"/>
              <w:left w:val="nil"/>
              <w:bottom w:val="nil"/>
              <w:right w:val="nil"/>
            </w:tcBorders>
            <w:shd w:val="clear" w:color="auto" w:fill="auto"/>
            <w:vAlign w:val="center"/>
            <w:hideMark/>
          </w:tcPr>
          <w:p w14:paraId="676BFB7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349B3E3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72.327</w:t>
            </w:r>
          </w:p>
        </w:tc>
        <w:tc>
          <w:tcPr>
            <w:tcW w:w="78" w:type="pct"/>
            <w:tcBorders>
              <w:top w:val="nil"/>
              <w:left w:val="nil"/>
              <w:bottom w:val="nil"/>
              <w:right w:val="nil"/>
            </w:tcBorders>
            <w:shd w:val="clear" w:color="auto" w:fill="auto"/>
            <w:vAlign w:val="center"/>
            <w:hideMark/>
          </w:tcPr>
          <w:p w14:paraId="42AE244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2DB2E4B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132.373</w:t>
            </w:r>
          </w:p>
        </w:tc>
        <w:tc>
          <w:tcPr>
            <w:tcW w:w="78" w:type="pct"/>
            <w:tcBorders>
              <w:top w:val="nil"/>
              <w:left w:val="nil"/>
              <w:bottom w:val="nil"/>
              <w:right w:val="nil"/>
            </w:tcBorders>
            <w:shd w:val="clear" w:color="auto" w:fill="auto"/>
            <w:vAlign w:val="center"/>
            <w:hideMark/>
          </w:tcPr>
          <w:p w14:paraId="42FD961A"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157437D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201.293</w:t>
            </w:r>
          </w:p>
        </w:tc>
        <w:tc>
          <w:tcPr>
            <w:tcW w:w="83" w:type="pct"/>
            <w:tcBorders>
              <w:top w:val="nil"/>
              <w:left w:val="nil"/>
              <w:bottom w:val="nil"/>
              <w:right w:val="nil"/>
            </w:tcBorders>
            <w:shd w:val="clear" w:color="auto" w:fill="auto"/>
            <w:noWrap/>
            <w:vAlign w:val="center"/>
            <w:hideMark/>
          </w:tcPr>
          <w:p w14:paraId="268E14A2"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single" w:sz="8" w:space="0" w:color="auto"/>
              <w:right w:val="nil"/>
            </w:tcBorders>
            <w:shd w:val="clear" w:color="auto" w:fill="auto"/>
            <w:noWrap/>
            <w:vAlign w:val="center"/>
            <w:hideMark/>
          </w:tcPr>
          <w:p w14:paraId="33BA5E2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285.448</w:t>
            </w:r>
          </w:p>
        </w:tc>
        <w:tc>
          <w:tcPr>
            <w:tcW w:w="79" w:type="pct"/>
            <w:tcBorders>
              <w:top w:val="nil"/>
              <w:left w:val="nil"/>
              <w:bottom w:val="nil"/>
              <w:right w:val="nil"/>
            </w:tcBorders>
            <w:shd w:val="clear" w:color="auto" w:fill="auto"/>
            <w:noWrap/>
            <w:vAlign w:val="center"/>
            <w:hideMark/>
          </w:tcPr>
          <w:p w14:paraId="0FBB973A"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single" w:sz="8" w:space="0" w:color="auto"/>
              <w:right w:val="nil"/>
            </w:tcBorders>
            <w:shd w:val="clear" w:color="auto" w:fill="auto"/>
            <w:noWrap/>
            <w:vAlign w:val="center"/>
            <w:hideMark/>
          </w:tcPr>
          <w:p w14:paraId="2AA54C5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18.009</w:t>
            </w:r>
          </w:p>
        </w:tc>
        <w:tc>
          <w:tcPr>
            <w:tcW w:w="78" w:type="pct"/>
            <w:tcBorders>
              <w:top w:val="nil"/>
              <w:left w:val="nil"/>
              <w:bottom w:val="nil"/>
              <w:right w:val="nil"/>
            </w:tcBorders>
            <w:shd w:val="clear" w:color="auto" w:fill="auto"/>
            <w:vAlign w:val="center"/>
            <w:hideMark/>
          </w:tcPr>
          <w:p w14:paraId="226F396B"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single" w:sz="8" w:space="0" w:color="auto"/>
              <w:right w:val="nil"/>
            </w:tcBorders>
            <w:shd w:val="clear" w:color="auto" w:fill="auto"/>
            <w:vAlign w:val="center"/>
          </w:tcPr>
          <w:p w14:paraId="1FFA891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253.473 </w:t>
            </w:r>
          </w:p>
        </w:tc>
        <w:tc>
          <w:tcPr>
            <w:tcW w:w="78" w:type="pct"/>
            <w:tcBorders>
              <w:top w:val="nil"/>
              <w:left w:val="nil"/>
              <w:bottom w:val="nil"/>
              <w:right w:val="nil"/>
            </w:tcBorders>
            <w:shd w:val="clear" w:color="auto" w:fill="auto"/>
            <w:vAlign w:val="center"/>
          </w:tcPr>
          <w:p w14:paraId="696A6C01"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single" w:sz="8" w:space="0" w:color="auto"/>
              <w:right w:val="nil"/>
            </w:tcBorders>
            <w:shd w:val="clear" w:color="auto" w:fill="auto"/>
            <w:vAlign w:val="center"/>
          </w:tcPr>
          <w:p w14:paraId="32BE601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202.978</w:t>
            </w:r>
          </w:p>
        </w:tc>
        <w:tc>
          <w:tcPr>
            <w:tcW w:w="78" w:type="pct"/>
            <w:gridSpan w:val="2"/>
            <w:tcBorders>
              <w:top w:val="nil"/>
              <w:left w:val="nil"/>
              <w:bottom w:val="nil"/>
              <w:right w:val="nil"/>
            </w:tcBorders>
            <w:shd w:val="clear" w:color="auto" w:fill="auto"/>
            <w:vAlign w:val="center"/>
          </w:tcPr>
          <w:p w14:paraId="4C794A9D"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single" w:sz="8" w:space="0" w:color="auto"/>
              <w:right w:val="nil"/>
            </w:tcBorders>
            <w:shd w:val="clear" w:color="auto" w:fill="auto"/>
            <w:vAlign w:val="center"/>
          </w:tcPr>
          <w:p w14:paraId="6430575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12.229 </w:t>
            </w:r>
          </w:p>
        </w:tc>
      </w:tr>
      <w:tr w:rsidR="003B5193" w:rsidRPr="00AE4E8D" w14:paraId="7E124327" w14:textId="77777777" w:rsidTr="00E8320E">
        <w:trPr>
          <w:trHeight w:val="210"/>
        </w:trPr>
        <w:tc>
          <w:tcPr>
            <w:tcW w:w="1253" w:type="pct"/>
            <w:tcBorders>
              <w:top w:val="nil"/>
              <w:left w:val="nil"/>
              <w:bottom w:val="nil"/>
              <w:right w:val="nil"/>
            </w:tcBorders>
            <w:shd w:val="clear" w:color="auto" w:fill="auto"/>
            <w:noWrap/>
            <w:vAlign w:val="center"/>
          </w:tcPr>
          <w:p w14:paraId="7F4F5AE5"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Total Sector Privado no Financiero y Residentes en el exterior</w:t>
            </w:r>
          </w:p>
        </w:tc>
        <w:tc>
          <w:tcPr>
            <w:tcW w:w="328" w:type="pct"/>
            <w:tcBorders>
              <w:top w:val="nil"/>
              <w:left w:val="nil"/>
              <w:bottom w:val="nil"/>
              <w:right w:val="nil"/>
            </w:tcBorders>
            <w:shd w:val="clear" w:color="auto" w:fill="auto"/>
            <w:noWrap/>
            <w:vAlign w:val="center"/>
          </w:tcPr>
          <w:p w14:paraId="225F115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5.011.674</w:t>
            </w:r>
          </w:p>
        </w:tc>
        <w:tc>
          <w:tcPr>
            <w:tcW w:w="78" w:type="pct"/>
            <w:tcBorders>
              <w:top w:val="nil"/>
              <w:left w:val="nil"/>
              <w:bottom w:val="nil"/>
              <w:right w:val="nil"/>
            </w:tcBorders>
            <w:shd w:val="clear" w:color="auto" w:fill="auto"/>
            <w:vAlign w:val="center"/>
          </w:tcPr>
          <w:p w14:paraId="3428B36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187697B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6.738.876</w:t>
            </w:r>
          </w:p>
        </w:tc>
        <w:tc>
          <w:tcPr>
            <w:tcW w:w="78" w:type="pct"/>
            <w:tcBorders>
              <w:top w:val="nil"/>
              <w:left w:val="nil"/>
              <w:bottom w:val="nil"/>
              <w:right w:val="nil"/>
            </w:tcBorders>
            <w:shd w:val="clear" w:color="auto" w:fill="auto"/>
            <w:vAlign w:val="center"/>
          </w:tcPr>
          <w:p w14:paraId="18A6E42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558C81F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9.225.875</w:t>
            </w:r>
          </w:p>
        </w:tc>
        <w:tc>
          <w:tcPr>
            <w:tcW w:w="78" w:type="pct"/>
            <w:tcBorders>
              <w:top w:val="nil"/>
              <w:left w:val="nil"/>
              <w:bottom w:val="nil"/>
              <w:right w:val="nil"/>
            </w:tcBorders>
            <w:shd w:val="clear" w:color="auto" w:fill="auto"/>
            <w:vAlign w:val="center"/>
          </w:tcPr>
          <w:p w14:paraId="0A63B97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2ECF4CB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13.563.895</w:t>
            </w:r>
          </w:p>
        </w:tc>
        <w:tc>
          <w:tcPr>
            <w:tcW w:w="83" w:type="pct"/>
            <w:tcBorders>
              <w:top w:val="nil"/>
              <w:left w:val="nil"/>
              <w:bottom w:val="nil"/>
              <w:right w:val="nil"/>
            </w:tcBorders>
            <w:shd w:val="clear" w:color="auto" w:fill="auto"/>
            <w:noWrap/>
            <w:vAlign w:val="center"/>
          </w:tcPr>
          <w:p w14:paraId="61C0038A"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tcPr>
          <w:p w14:paraId="1E54C24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16.441.762</w:t>
            </w:r>
          </w:p>
        </w:tc>
        <w:tc>
          <w:tcPr>
            <w:tcW w:w="79" w:type="pct"/>
            <w:tcBorders>
              <w:top w:val="nil"/>
              <w:left w:val="nil"/>
              <w:bottom w:val="nil"/>
              <w:right w:val="nil"/>
            </w:tcBorders>
            <w:shd w:val="clear" w:color="auto" w:fill="auto"/>
            <w:noWrap/>
            <w:vAlign w:val="center"/>
          </w:tcPr>
          <w:p w14:paraId="34AD6B38"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tcPr>
          <w:p w14:paraId="7BF705E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1.037.322</w:t>
            </w:r>
          </w:p>
        </w:tc>
        <w:tc>
          <w:tcPr>
            <w:tcW w:w="78" w:type="pct"/>
            <w:tcBorders>
              <w:top w:val="nil"/>
              <w:left w:val="nil"/>
              <w:bottom w:val="nil"/>
              <w:right w:val="nil"/>
            </w:tcBorders>
            <w:shd w:val="clear" w:color="auto" w:fill="auto"/>
            <w:vAlign w:val="center"/>
          </w:tcPr>
          <w:p w14:paraId="4EA96DF7"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54EC85D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14.252.280 </w:t>
            </w:r>
          </w:p>
        </w:tc>
        <w:tc>
          <w:tcPr>
            <w:tcW w:w="78" w:type="pct"/>
            <w:tcBorders>
              <w:top w:val="nil"/>
              <w:left w:val="nil"/>
              <w:bottom w:val="nil"/>
              <w:right w:val="nil"/>
            </w:tcBorders>
            <w:shd w:val="clear" w:color="auto" w:fill="auto"/>
            <w:vAlign w:val="center"/>
          </w:tcPr>
          <w:p w14:paraId="10D7F655"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811D13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17.022.523</w:t>
            </w:r>
          </w:p>
        </w:tc>
        <w:tc>
          <w:tcPr>
            <w:tcW w:w="78" w:type="pct"/>
            <w:gridSpan w:val="2"/>
            <w:tcBorders>
              <w:top w:val="nil"/>
              <w:left w:val="nil"/>
              <w:bottom w:val="nil"/>
              <w:right w:val="nil"/>
            </w:tcBorders>
            <w:shd w:val="clear" w:color="auto" w:fill="auto"/>
            <w:vAlign w:val="center"/>
          </w:tcPr>
          <w:p w14:paraId="6E9385D0"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2C81792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1.025.546 </w:t>
            </w:r>
          </w:p>
        </w:tc>
      </w:tr>
      <w:tr w:rsidR="003B5193" w:rsidRPr="00AE4E8D" w14:paraId="320A59CB" w14:textId="77777777" w:rsidTr="00E8320E">
        <w:trPr>
          <w:trHeight w:val="210"/>
        </w:trPr>
        <w:tc>
          <w:tcPr>
            <w:tcW w:w="1253" w:type="pct"/>
            <w:tcBorders>
              <w:top w:val="nil"/>
              <w:left w:val="nil"/>
              <w:bottom w:val="nil"/>
              <w:right w:val="nil"/>
            </w:tcBorders>
            <w:shd w:val="clear" w:color="auto" w:fill="auto"/>
            <w:noWrap/>
            <w:vAlign w:val="center"/>
            <w:hideMark/>
          </w:tcPr>
          <w:p w14:paraId="1DA73BE3"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Total Depósitos</w:t>
            </w:r>
          </w:p>
        </w:tc>
        <w:tc>
          <w:tcPr>
            <w:tcW w:w="328" w:type="pct"/>
            <w:tcBorders>
              <w:top w:val="nil"/>
              <w:left w:val="nil"/>
              <w:bottom w:val="nil"/>
              <w:right w:val="nil"/>
            </w:tcBorders>
            <w:shd w:val="clear" w:color="auto" w:fill="auto"/>
            <w:noWrap/>
            <w:vAlign w:val="center"/>
            <w:hideMark/>
          </w:tcPr>
          <w:p w14:paraId="33B12BB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8.011.129</w:t>
            </w:r>
          </w:p>
        </w:tc>
        <w:tc>
          <w:tcPr>
            <w:tcW w:w="78" w:type="pct"/>
            <w:tcBorders>
              <w:top w:val="nil"/>
              <w:left w:val="nil"/>
              <w:bottom w:val="nil"/>
              <w:right w:val="nil"/>
            </w:tcBorders>
            <w:shd w:val="clear" w:color="auto" w:fill="auto"/>
            <w:vAlign w:val="center"/>
            <w:hideMark/>
          </w:tcPr>
          <w:p w14:paraId="2EE7B4F2"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A15861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10.889.794</w:t>
            </w:r>
          </w:p>
        </w:tc>
        <w:tc>
          <w:tcPr>
            <w:tcW w:w="78" w:type="pct"/>
            <w:tcBorders>
              <w:top w:val="nil"/>
              <w:left w:val="nil"/>
              <w:bottom w:val="nil"/>
              <w:right w:val="nil"/>
            </w:tcBorders>
            <w:shd w:val="clear" w:color="auto" w:fill="auto"/>
            <w:vAlign w:val="center"/>
            <w:hideMark/>
          </w:tcPr>
          <w:p w14:paraId="76C6534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175E81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18.334.113</w:t>
            </w:r>
          </w:p>
        </w:tc>
        <w:tc>
          <w:tcPr>
            <w:tcW w:w="78" w:type="pct"/>
            <w:tcBorders>
              <w:top w:val="nil"/>
              <w:left w:val="nil"/>
              <w:bottom w:val="nil"/>
              <w:right w:val="nil"/>
            </w:tcBorders>
            <w:shd w:val="clear" w:color="auto" w:fill="auto"/>
            <w:vAlign w:val="center"/>
            <w:hideMark/>
          </w:tcPr>
          <w:p w14:paraId="1354B83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42B8F8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20.392.213</w:t>
            </w:r>
          </w:p>
        </w:tc>
        <w:tc>
          <w:tcPr>
            <w:tcW w:w="83" w:type="pct"/>
            <w:tcBorders>
              <w:top w:val="nil"/>
              <w:left w:val="nil"/>
              <w:bottom w:val="nil"/>
              <w:right w:val="nil"/>
            </w:tcBorders>
            <w:shd w:val="clear" w:color="auto" w:fill="auto"/>
            <w:noWrap/>
            <w:vAlign w:val="center"/>
            <w:hideMark/>
          </w:tcPr>
          <w:p w14:paraId="062E6326"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C9E5D4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18.984.992</w:t>
            </w:r>
          </w:p>
        </w:tc>
        <w:tc>
          <w:tcPr>
            <w:tcW w:w="79" w:type="pct"/>
            <w:tcBorders>
              <w:top w:val="nil"/>
              <w:left w:val="nil"/>
              <w:bottom w:val="nil"/>
              <w:right w:val="nil"/>
            </w:tcBorders>
            <w:shd w:val="clear" w:color="auto" w:fill="auto"/>
            <w:noWrap/>
            <w:vAlign w:val="center"/>
            <w:hideMark/>
          </w:tcPr>
          <w:p w14:paraId="226C6626"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39789F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1.197.776</w:t>
            </w:r>
          </w:p>
        </w:tc>
        <w:tc>
          <w:tcPr>
            <w:tcW w:w="78" w:type="pct"/>
            <w:tcBorders>
              <w:top w:val="nil"/>
              <w:left w:val="nil"/>
              <w:bottom w:val="nil"/>
              <w:right w:val="nil"/>
            </w:tcBorders>
            <w:shd w:val="clear" w:color="auto" w:fill="auto"/>
            <w:vAlign w:val="center"/>
            <w:hideMark/>
          </w:tcPr>
          <w:p w14:paraId="57955BA4"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7E98D4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17.793.533 </w:t>
            </w:r>
          </w:p>
        </w:tc>
        <w:tc>
          <w:tcPr>
            <w:tcW w:w="78" w:type="pct"/>
            <w:tcBorders>
              <w:top w:val="nil"/>
              <w:left w:val="nil"/>
              <w:bottom w:val="nil"/>
              <w:right w:val="nil"/>
            </w:tcBorders>
            <w:shd w:val="clear" w:color="auto" w:fill="auto"/>
            <w:vAlign w:val="center"/>
          </w:tcPr>
          <w:p w14:paraId="75DDA971"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3BA4D4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19.882.975</w:t>
            </w:r>
          </w:p>
        </w:tc>
        <w:tc>
          <w:tcPr>
            <w:tcW w:w="78" w:type="pct"/>
            <w:gridSpan w:val="2"/>
            <w:tcBorders>
              <w:top w:val="nil"/>
              <w:left w:val="nil"/>
              <w:bottom w:val="nil"/>
              <w:right w:val="nil"/>
            </w:tcBorders>
            <w:shd w:val="clear" w:color="auto" w:fill="auto"/>
            <w:vAlign w:val="center"/>
          </w:tcPr>
          <w:p w14:paraId="2D33BF77"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544F8D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1.197.878 </w:t>
            </w:r>
          </w:p>
        </w:tc>
      </w:tr>
      <w:tr w:rsidR="003B5193" w:rsidRPr="00AE4E8D" w14:paraId="7DE8352A" w14:textId="77777777" w:rsidTr="00E8320E">
        <w:trPr>
          <w:trHeight w:val="210"/>
        </w:trPr>
        <w:tc>
          <w:tcPr>
            <w:tcW w:w="1253" w:type="pct"/>
            <w:tcBorders>
              <w:top w:val="nil"/>
              <w:left w:val="nil"/>
              <w:bottom w:val="nil"/>
              <w:right w:val="nil"/>
            </w:tcBorders>
            <w:shd w:val="clear" w:color="auto" w:fill="auto"/>
            <w:noWrap/>
            <w:vAlign w:val="center"/>
            <w:hideMark/>
          </w:tcPr>
          <w:p w14:paraId="5223A1DA"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Otras obligaciones por intermediación financiera (3)</w:t>
            </w:r>
          </w:p>
        </w:tc>
        <w:tc>
          <w:tcPr>
            <w:tcW w:w="328" w:type="pct"/>
            <w:tcBorders>
              <w:top w:val="nil"/>
              <w:left w:val="nil"/>
              <w:bottom w:val="nil"/>
              <w:right w:val="nil"/>
            </w:tcBorders>
            <w:shd w:val="clear" w:color="auto" w:fill="auto"/>
            <w:noWrap/>
            <w:vAlign w:val="center"/>
            <w:hideMark/>
          </w:tcPr>
          <w:p w14:paraId="3C05119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3.539.730</w:t>
            </w:r>
          </w:p>
        </w:tc>
        <w:tc>
          <w:tcPr>
            <w:tcW w:w="78" w:type="pct"/>
            <w:tcBorders>
              <w:top w:val="nil"/>
              <w:left w:val="nil"/>
              <w:bottom w:val="nil"/>
              <w:right w:val="nil"/>
            </w:tcBorders>
            <w:shd w:val="clear" w:color="auto" w:fill="auto"/>
            <w:vAlign w:val="center"/>
            <w:hideMark/>
          </w:tcPr>
          <w:p w14:paraId="2981CA0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330D43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4.137.110</w:t>
            </w:r>
          </w:p>
        </w:tc>
        <w:tc>
          <w:tcPr>
            <w:tcW w:w="78" w:type="pct"/>
            <w:tcBorders>
              <w:top w:val="nil"/>
              <w:left w:val="nil"/>
              <w:bottom w:val="nil"/>
              <w:right w:val="nil"/>
            </w:tcBorders>
            <w:shd w:val="clear" w:color="auto" w:fill="auto"/>
            <w:vAlign w:val="center"/>
            <w:hideMark/>
          </w:tcPr>
          <w:p w14:paraId="334977F4"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48B93C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6.475.372</w:t>
            </w:r>
          </w:p>
        </w:tc>
        <w:tc>
          <w:tcPr>
            <w:tcW w:w="78" w:type="pct"/>
            <w:tcBorders>
              <w:top w:val="nil"/>
              <w:left w:val="nil"/>
              <w:bottom w:val="nil"/>
              <w:right w:val="nil"/>
            </w:tcBorders>
            <w:shd w:val="clear" w:color="auto" w:fill="auto"/>
            <w:vAlign w:val="center"/>
            <w:hideMark/>
          </w:tcPr>
          <w:p w14:paraId="19B1CFE1"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580AB4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10.924.747</w:t>
            </w:r>
          </w:p>
        </w:tc>
        <w:tc>
          <w:tcPr>
            <w:tcW w:w="83" w:type="pct"/>
            <w:tcBorders>
              <w:top w:val="nil"/>
              <w:left w:val="nil"/>
              <w:bottom w:val="nil"/>
              <w:right w:val="nil"/>
            </w:tcBorders>
            <w:shd w:val="clear" w:color="auto" w:fill="auto"/>
            <w:noWrap/>
            <w:vAlign w:val="center"/>
            <w:hideMark/>
          </w:tcPr>
          <w:p w14:paraId="44369F26"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E845A0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24.187.338</w:t>
            </w:r>
          </w:p>
        </w:tc>
        <w:tc>
          <w:tcPr>
            <w:tcW w:w="79" w:type="pct"/>
            <w:tcBorders>
              <w:top w:val="nil"/>
              <w:left w:val="nil"/>
              <w:bottom w:val="nil"/>
              <w:right w:val="nil"/>
            </w:tcBorders>
            <w:shd w:val="clear" w:color="auto" w:fill="auto"/>
            <w:noWrap/>
            <w:vAlign w:val="center"/>
            <w:hideMark/>
          </w:tcPr>
          <w:p w14:paraId="367ECDF5"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9AFFCF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1.525.996</w:t>
            </w:r>
          </w:p>
        </w:tc>
        <w:tc>
          <w:tcPr>
            <w:tcW w:w="78" w:type="pct"/>
            <w:tcBorders>
              <w:top w:val="nil"/>
              <w:left w:val="nil"/>
              <w:bottom w:val="nil"/>
              <w:right w:val="nil"/>
            </w:tcBorders>
            <w:shd w:val="clear" w:color="auto" w:fill="auto"/>
            <w:vAlign w:val="center"/>
            <w:hideMark/>
          </w:tcPr>
          <w:p w14:paraId="2F880B63"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1299A4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14.448.191 </w:t>
            </w:r>
          </w:p>
        </w:tc>
        <w:tc>
          <w:tcPr>
            <w:tcW w:w="78" w:type="pct"/>
            <w:tcBorders>
              <w:top w:val="nil"/>
              <w:left w:val="nil"/>
              <w:bottom w:val="nil"/>
              <w:right w:val="nil"/>
            </w:tcBorders>
            <w:shd w:val="clear" w:color="auto" w:fill="auto"/>
            <w:vAlign w:val="center"/>
          </w:tcPr>
          <w:p w14:paraId="041049F2"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FF18C9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25.753.785</w:t>
            </w:r>
          </w:p>
        </w:tc>
        <w:tc>
          <w:tcPr>
            <w:tcW w:w="78" w:type="pct"/>
            <w:gridSpan w:val="2"/>
            <w:tcBorders>
              <w:top w:val="nil"/>
              <w:left w:val="nil"/>
              <w:bottom w:val="nil"/>
              <w:right w:val="nil"/>
            </w:tcBorders>
            <w:shd w:val="clear" w:color="auto" w:fill="auto"/>
            <w:vAlign w:val="center"/>
          </w:tcPr>
          <w:p w14:paraId="70AABE10"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614A63E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1.551.573 </w:t>
            </w:r>
          </w:p>
        </w:tc>
      </w:tr>
      <w:tr w:rsidR="003B5193" w:rsidRPr="00AE4E8D" w14:paraId="27A8A96A" w14:textId="77777777" w:rsidTr="00E8320E">
        <w:trPr>
          <w:trHeight w:val="210"/>
        </w:trPr>
        <w:tc>
          <w:tcPr>
            <w:tcW w:w="1253" w:type="pct"/>
            <w:tcBorders>
              <w:top w:val="nil"/>
              <w:left w:val="nil"/>
              <w:bottom w:val="nil"/>
              <w:right w:val="nil"/>
            </w:tcBorders>
            <w:shd w:val="clear" w:color="auto" w:fill="auto"/>
            <w:noWrap/>
            <w:vAlign w:val="center"/>
            <w:hideMark/>
          </w:tcPr>
          <w:p w14:paraId="504C83B1"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Obligaciones diversas</w:t>
            </w:r>
          </w:p>
        </w:tc>
        <w:tc>
          <w:tcPr>
            <w:tcW w:w="328" w:type="pct"/>
            <w:tcBorders>
              <w:top w:val="nil"/>
              <w:left w:val="nil"/>
              <w:bottom w:val="nil"/>
              <w:right w:val="nil"/>
            </w:tcBorders>
            <w:shd w:val="clear" w:color="auto" w:fill="auto"/>
            <w:noWrap/>
            <w:vAlign w:val="center"/>
            <w:hideMark/>
          </w:tcPr>
          <w:p w14:paraId="22650BD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726.885</w:t>
            </w:r>
          </w:p>
        </w:tc>
        <w:tc>
          <w:tcPr>
            <w:tcW w:w="78" w:type="pct"/>
            <w:tcBorders>
              <w:top w:val="nil"/>
              <w:left w:val="nil"/>
              <w:bottom w:val="nil"/>
              <w:right w:val="nil"/>
            </w:tcBorders>
            <w:shd w:val="clear" w:color="auto" w:fill="auto"/>
            <w:vAlign w:val="center"/>
            <w:hideMark/>
          </w:tcPr>
          <w:p w14:paraId="19834E0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D5655F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1.173.058</w:t>
            </w:r>
          </w:p>
        </w:tc>
        <w:tc>
          <w:tcPr>
            <w:tcW w:w="78" w:type="pct"/>
            <w:tcBorders>
              <w:top w:val="nil"/>
              <w:left w:val="nil"/>
              <w:bottom w:val="nil"/>
              <w:right w:val="nil"/>
            </w:tcBorders>
            <w:shd w:val="clear" w:color="auto" w:fill="auto"/>
            <w:vAlign w:val="center"/>
            <w:hideMark/>
          </w:tcPr>
          <w:p w14:paraId="542CA744"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019C0E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1.781.556</w:t>
            </w:r>
          </w:p>
        </w:tc>
        <w:tc>
          <w:tcPr>
            <w:tcW w:w="78" w:type="pct"/>
            <w:tcBorders>
              <w:top w:val="nil"/>
              <w:left w:val="nil"/>
              <w:bottom w:val="nil"/>
              <w:right w:val="nil"/>
            </w:tcBorders>
            <w:shd w:val="clear" w:color="auto" w:fill="auto"/>
            <w:vAlign w:val="center"/>
            <w:hideMark/>
          </w:tcPr>
          <w:p w14:paraId="070B5384"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88F956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2.200.842</w:t>
            </w:r>
          </w:p>
        </w:tc>
        <w:tc>
          <w:tcPr>
            <w:tcW w:w="83" w:type="pct"/>
            <w:tcBorders>
              <w:top w:val="nil"/>
              <w:left w:val="nil"/>
              <w:bottom w:val="nil"/>
              <w:right w:val="nil"/>
            </w:tcBorders>
            <w:shd w:val="clear" w:color="auto" w:fill="auto"/>
            <w:noWrap/>
            <w:vAlign w:val="center"/>
            <w:hideMark/>
          </w:tcPr>
          <w:p w14:paraId="1762FE23"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4BBC524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2.220.193</w:t>
            </w:r>
          </w:p>
        </w:tc>
        <w:tc>
          <w:tcPr>
            <w:tcW w:w="79" w:type="pct"/>
            <w:tcBorders>
              <w:top w:val="nil"/>
              <w:left w:val="nil"/>
              <w:bottom w:val="nil"/>
              <w:right w:val="nil"/>
            </w:tcBorders>
            <w:shd w:val="clear" w:color="auto" w:fill="auto"/>
            <w:noWrap/>
            <w:vAlign w:val="center"/>
            <w:hideMark/>
          </w:tcPr>
          <w:p w14:paraId="12ACD478"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0B5FCA4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140.074</w:t>
            </w:r>
          </w:p>
        </w:tc>
        <w:tc>
          <w:tcPr>
            <w:tcW w:w="78" w:type="pct"/>
            <w:tcBorders>
              <w:top w:val="nil"/>
              <w:left w:val="nil"/>
              <w:bottom w:val="nil"/>
              <w:right w:val="nil"/>
            </w:tcBorders>
            <w:shd w:val="clear" w:color="auto" w:fill="auto"/>
            <w:vAlign w:val="center"/>
            <w:hideMark/>
          </w:tcPr>
          <w:p w14:paraId="74E0A31E"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8DEAA1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1.841.404</w:t>
            </w:r>
          </w:p>
        </w:tc>
        <w:tc>
          <w:tcPr>
            <w:tcW w:w="78" w:type="pct"/>
            <w:tcBorders>
              <w:top w:val="nil"/>
              <w:left w:val="nil"/>
              <w:bottom w:val="nil"/>
              <w:right w:val="nil"/>
            </w:tcBorders>
            <w:shd w:val="clear" w:color="auto" w:fill="auto"/>
            <w:vAlign w:val="center"/>
          </w:tcPr>
          <w:p w14:paraId="4130E9E2"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C896AA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2.242.471</w:t>
            </w:r>
          </w:p>
        </w:tc>
        <w:tc>
          <w:tcPr>
            <w:tcW w:w="78" w:type="pct"/>
            <w:gridSpan w:val="2"/>
            <w:tcBorders>
              <w:top w:val="nil"/>
              <w:left w:val="nil"/>
              <w:bottom w:val="nil"/>
              <w:right w:val="nil"/>
            </w:tcBorders>
            <w:shd w:val="clear" w:color="auto" w:fill="auto"/>
            <w:vAlign w:val="center"/>
          </w:tcPr>
          <w:p w14:paraId="0ECD638F"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871251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135.101</w:t>
            </w:r>
          </w:p>
        </w:tc>
      </w:tr>
      <w:tr w:rsidR="003B5193" w:rsidRPr="00AE4E8D" w14:paraId="5D595CAE" w14:textId="77777777" w:rsidTr="00E8320E">
        <w:trPr>
          <w:trHeight w:val="210"/>
        </w:trPr>
        <w:tc>
          <w:tcPr>
            <w:tcW w:w="1253" w:type="pct"/>
            <w:tcBorders>
              <w:top w:val="nil"/>
              <w:left w:val="nil"/>
              <w:bottom w:val="nil"/>
              <w:right w:val="nil"/>
            </w:tcBorders>
            <w:shd w:val="clear" w:color="auto" w:fill="auto"/>
            <w:noWrap/>
            <w:vAlign w:val="center"/>
            <w:hideMark/>
          </w:tcPr>
          <w:p w14:paraId="0C781B0E"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Previsiones</w:t>
            </w:r>
          </w:p>
        </w:tc>
        <w:tc>
          <w:tcPr>
            <w:tcW w:w="328" w:type="pct"/>
            <w:tcBorders>
              <w:top w:val="nil"/>
              <w:left w:val="nil"/>
              <w:bottom w:val="nil"/>
              <w:right w:val="nil"/>
            </w:tcBorders>
            <w:shd w:val="clear" w:color="auto" w:fill="auto"/>
            <w:noWrap/>
            <w:vAlign w:val="center"/>
            <w:hideMark/>
          </w:tcPr>
          <w:p w14:paraId="76B2AFD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158.274</w:t>
            </w:r>
          </w:p>
        </w:tc>
        <w:tc>
          <w:tcPr>
            <w:tcW w:w="78" w:type="pct"/>
            <w:tcBorders>
              <w:top w:val="nil"/>
              <w:left w:val="nil"/>
              <w:bottom w:val="nil"/>
              <w:right w:val="nil"/>
            </w:tcBorders>
            <w:shd w:val="clear" w:color="auto" w:fill="auto"/>
            <w:vAlign w:val="center"/>
            <w:hideMark/>
          </w:tcPr>
          <w:p w14:paraId="4011B1F0"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1E4196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148.340</w:t>
            </w:r>
          </w:p>
        </w:tc>
        <w:tc>
          <w:tcPr>
            <w:tcW w:w="78" w:type="pct"/>
            <w:tcBorders>
              <w:top w:val="nil"/>
              <w:left w:val="nil"/>
              <w:bottom w:val="nil"/>
              <w:right w:val="nil"/>
            </w:tcBorders>
            <w:shd w:val="clear" w:color="auto" w:fill="auto"/>
            <w:vAlign w:val="center"/>
            <w:hideMark/>
          </w:tcPr>
          <w:p w14:paraId="26AE8C3C"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146A62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236.117</w:t>
            </w:r>
          </w:p>
        </w:tc>
        <w:tc>
          <w:tcPr>
            <w:tcW w:w="78" w:type="pct"/>
            <w:tcBorders>
              <w:top w:val="nil"/>
              <w:left w:val="nil"/>
              <w:bottom w:val="nil"/>
              <w:right w:val="nil"/>
            </w:tcBorders>
            <w:shd w:val="clear" w:color="auto" w:fill="auto"/>
            <w:vAlign w:val="center"/>
            <w:hideMark/>
          </w:tcPr>
          <w:p w14:paraId="5E60F42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883F2D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257.233</w:t>
            </w:r>
          </w:p>
        </w:tc>
        <w:tc>
          <w:tcPr>
            <w:tcW w:w="83" w:type="pct"/>
            <w:tcBorders>
              <w:top w:val="nil"/>
              <w:left w:val="nil"/>
              <w:bottom w:val="nil"/>
              <w:right w:val="nil"/>
            </w:tcBorders>
            <w:shd w:val="clear" w:color="auto" w:fill="auto"/>
            <w:noWrap/>
            <w:vAlign w:val="center"/>
            <w:hideMark/>
          </w:tcPr>
          <w:p w14:paraId="0907ADB9"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6A04B9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325.847</w:t>
            </w:r>
          </w:p>
        </w:tc>
        <w:tc>
          <w:tcPr>
            <w:tcW w:w="79" w:type="pct"/>
            <w:tcBorders>
              <w:top w:val="nil"/>
              <w:left w:val="nil"/>
              <w:bottom w:val="nil"/>
              <w:right w:val="nil"/>
            </w:tcBorders>
            <w:shd w:val="clear" w:color="auto" w:fill="auto"/>
            <w:noWrap/>
            <w:vAlign w:val="center"/>
            <w:hideMark/>
          </w:tcPr>
          <w:p w14:paraId="4E813207"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D6923A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20.558</w:t>
            </w:r>
          </w:p>
        </w:tc>
        <w:tc>
          <w:tcPr>
            <w:tcW w:w="78" w:type="pct"/>
            <w:tcBorders>
              <w:top w:val="nil"/>
              <w:left w:val="nil"/>
              <w:bottom w:val="nil"/>
              <w:right w:val="nil"/>
            </w:tcBorders>
            <w:shd w:val="clear" w:color="auto" w:fill="auto"/>
            <w:vAlign w:val="center"/>
            <w:hideMark/>
          </w:tcPr>
          <w:p w14:paraId="55891009"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63911B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300.059</w:t>
            </w:r>
          </w:p>
        </w:tc>
        <w:tc>
          <w:tcPr>
            <w:tcW w:w="78" w:type="pct"/>
            <w:tcBorders>
              <w:top w:val="nil"/>
              <w:left w:val="nil"/>
              <w:bottom w:val="nil"/>
              <w:right w:val="nil"/>
            </w:tcBorders>
            <w:shd w:val="clear" w:color="auto" w:fill="auto"/>
            <w:vAlign w:val="center"/>
          </w:tcPr>
          <w:p w14:paraId="5669A1A0"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D6A528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348.821</w:t>
            </w:r>
          </w:p>
        </w:tc>
        <w:tc>
          <w:tcPr>
            <w:tcW w:w="78" w:type="pct"/>
            <w:gridSpan w:val="2"/>
            <w:tcBorders>
              <w:top w:val="nil"/>
              <w:left w:val="nil"/>
              <w:bottom w:val="nil"/>
              <w:right w:val="nil"/>
            </w:tcBorders>
            <w:shd w:val="clear" w:color="auto" w:fill="auto"/>
            <w:vAlign w:val="center"/>
          </w:tcPr>
          <w:p w14:paraId="62ED42AF"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324298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21.015</w:t>
            </w:r>
          </w:p>
        </w:tc>
      </w:tr>
      <w:tr w:rsidR="003B5193" w:rsidRPr="00AE4E8D" w14:paraId="7F91505B" w14:textId="77777777" w:rsidTr="00E8320E">
        <w:trPr>
          <w:trHeight w:val="210"/>
        </w:trPr>
        <w:tc>
          <w:tcPr>
            <w:tcW w:w="1253" w:type="pct"/>
            <w:tcBorders>
              <w:top w:val="nil"/>
              <w:left w:val="nil"/>
              <w:bottom w:val="nil"/>
              <w:right w:val="nil"/>
            </w:tcBorders>
            <w:shd w:val="clear" w:color="auto" w:fill="auto"/>
            <w:noWrap/>
            <w:vAlign w:val="center"/>
            <w:hideMark/>
          </w:tcPr>
          <w:p w14:paraId="48457419"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Partidas pendientes de imputación</w:t>
            </w:r>
          </w:p>
        </w:tc>
        <w:tc>
          <w:tcPr>
            <w:tcW w:w="328" w:type="pct"/>
            <w:tcBorders>
              <w:top w:val="nil"/>
              <w:left w:val="nil"/>
              <w:bottom w:val="nil"/>
              <w:right w:val="nil"/>
            </w:tcBorders>
            <w:shd w:val="clear" w:color="auto" w:fill="auto"/>
            <w:noWrap/>
            <w:vAlign w:val="center"/>
            <w:hideMark/>
          </w:tcPr>
          <w:p w14:paraId="2B83CAB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43.637</w:t>
            </w:r>
          </w:p>
        </w:tc>
        <w:tc>
          <w:tcPr>
            <w:tcW w:w="78" w:type="pct"/>
            <w:tcBorders>
              <w:top w:val="nil"/>
              <w:left w:val="nil"/>
              <w:bottom w:val="nil"/>
              <w:right w:val="nil"/>
            </w:tcBorders>
            <w:shd w:val="clear" w:color="auto" w:fill="auto"/>
            <w:vAlign w:val="center"/>
            <w:hideMark/>
          </w:tcPr>
          <w:p w14:paraId="7A04639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56E3A0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121.345</w:t>
            </w:r>
          </w:p>
        </w:tc>
        <w:tc>
          <w:tcPr>
            <w:tcW w:w="78" w:type="pct"/>
            <w:tcBorders>
              <w:top w:val="nil"/>
              <w:left w:val="nil"/>
              <w:bottom w:val="nil"/>
              <w:right w:val="nil"/>
            </w:tcBorders>
            <w:shd w:val="clear" w:color="auto" w:fill="auto"/>
            <w:vAlign w:val="center"/>
            <w:hideMark/>
          </w:tcPr>
          <w:p w14:paraId="40B5F19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F022B2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59.855</w:t>
            </w:r>
          </w:p>
        </w:tc>
        <w:tc>
          <w:tcPr>
            <w:tcW w:w="78" w:type="pct"/>
            <w:tcBorders>
              <w:top w:val="nil"/>
              <w:left w:val="nil"/>
              <w:bottom w:val="nil"/>
              <w:right w:val="nil"/>
            </w:tcBorders>
            <w:shd w:val="clear" w:color="auto" w:fill="auto"/>
            <w:vAlign w:val="center"/>
            <w:hideMark/>
          </w:tcPr>
          <w:p w14:paraId="313DAC2A"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602A7E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45.467</w:t>
            </w:r>
          </w:p>
        </w:tc>
        <w:tc>
          <w:tcPr>
            <w:tcW w:w="83" w:type="pct"/>
            <w:tcBorders>
              <w:top w:val="nil"/>
              <w:left w:val="nil"/>
              <w:bottom w:val="nil"/>
              <w:right w:val="nil"/>
            </w:tcBorders>
            <w:shd w:val="clear" w:color="auto" w:fill="auto"/>
            <w:noWrap/>
            <w:vAlign w:val="center"/>
            <w:hideMark/>
          </w:tcPr>
          <w:p w14:paraId="4EF0A1FC"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083228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38.967</w:t>
            </w:r>
          </w:p>
        </w:tc>
        <w:tc>
          <w:tcPr>
            <w:tcW w:w="79" w:type="pct"/>
            <w:tcBorders>
              <w:top w:val="nil"/>
              <w:left w:val="nil"/>
              <w:bottom w:val="nil"/>
              <w:right w:val="nil"/>
            </w:tcBorders>
            <w:shd w:val="clear" w:color="auto" w:fill="auto"/>
            <w:noWrap/>
            <w:vAlign w:val="center"/>
            <w:hideMark/>
          </w:tcPr>
          <w:p w14:paraId="41D16B8A"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A1771B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2.458</w:t>
            </w:r>
          </w:p>
        </w:tc>
        <w:tc>
          <w:tcPr>
            <w:tcW w:w="78" w:type="pct"/>
            <w:tcBorders>
              <w:top w:val="nil"/>
              <w:left w:val="nil"/>
              <w:bottom w:val="nil"/>
              <w:right w:val="nil"/>
            </w:tcBorders>
            <w:shd w:val="clear" w:color="auto" w:fill="auto"/>
            <w:vAlign w:val="center"/>
            <w:hideMark/>
          </w:tcPr>
          <w:p w14:paraId="1071491A"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50E2DF4"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76.448</w:t>
            </w:r>
          </w:p>
        </w:tc>
        <w:tc>
          <w:tcPr>
            <w:tcW w:w="78" w:type="pct"/>
            <w:tcBorders>
              <w:top w:val="nil"/>
              <w:left w:val="nil"/>
              <w:bottom w:val="nil"/>
              <w:right w:val="nil"/>
            </w:tcBorders>
            <w:shd w:val="clear" w:color="auto" w:fill="auto"/>
            <w:vAlign w:val="center"/>
          </w:tcPr>
          <w:p w14:paraId="6C05DCBA"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37F1CBC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52.031</w:t>
            </w:r>
          </w:p>
        </w:tc>
        <w:tc>
          <w:tcPr>
            <w:tcW w:w="78" w:type="pct"/>
            <w:gridSpan w:val="2"/>
            <w:tcBorders>
              <w:top w:val="nil"/>
              <w:left w:val="nil"/>
              <w:bottom w:val="nil"/>
              <w:right w:val="nil"/>
            </w:tcBorders>
            <w:shd w:val="clear" w:color="auto" w:fill="auto"/>
            <w:vAlign w:val="center"/>
          </w:tcPr>
          <w:p w14:paraId="52233CAD"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2CDB993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3.135</w:t>
            </w:r>
          </w:p>
        </w:tc>
      </w:tr>
      <w:tr w:rsidR="003B5193" w:rsidRPr="00AE4E8D" w14:paraId="31DD82C0" w14:textId="77777777" w:rsidTr="00E8320E">
        <w:trPr>
          <w:trHeight w:val="210"/>
        </w:trPr>
        <w:tc>
          <w:tcPr>
            <w:tcW w:w="1253" w:type="pct"/>
            <w:tcBorders>
              <w:top w:val="nil"/>
              <w:left w:val="nil"/>
              <w:bottom w:val="nil"/>
              <w:right w:val="nil"/>
            </w:tcBorders>
            <w:shd w:val="clear" w:color="auto" w:fill="auto"/>
            <w:noWrap/>
            <w:vAlign w:val="center"/>
            <w:hideMark/>
          </w:tcPr>
          <w:p w14:paraId="04C4A58E"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Obligaciones negociables subordinadas</w:t>
            </w:r>
          </w:p>
        </w:tc>
        <w:tc>
          <w:tcPr>
            <w:tcW w:w="328" w:type="pct"/>
            <w:tcBorders>
              <w:top w:val="nil"/>
              <w:left w:val="nil"/>
              <w:bottom w:val="nil"/>
              <w:right w:val="nil"/>
            </w:tcBorders>
            <w:shd w:val="clear" w:color="auto" w:fill="auto"/>
            <w:noWrap/>
            <w:vAlign w:val="center"/>
            <w:hideMark/>
          </w:tcPr>
          <w:p w14:paraId="070FDAA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78" w:type="pct"/>
            <w:tcBorders>
              <w:top w:val="nil"/>
              <w:left w:val="nil"/>
              <w:bottom w:val="nil"/>
              <w:right w:val="nil"/>
            </w:tcBorders>
            <w:shd w:val="clear" w:color="auto" w:fill="auto"/>
            <w:vAlign w:val="center"/>
            <w:hideMark/>
          </w:tcPr>
          <w:p w14:paraId="0645117E"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2BCBEC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78" w:type="pct"/>
            <w:tcBorders>
              <w:top w:val="nil"/>
              <w:left w:val="nil"/>
              <w:bottom w:val="nil"/>
              <w:right w:val="nil"/>
            </w:tcBorders>
            <w:shd w:val="clear" w:color="auto" w:fill="auto"/>
            <w:vAlign w:val="center"/>
            <w:hideMark/>
          </w:tcPr>
          <w:p w14:paraId="3DF0A8DF"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48B4A2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78" w:type="pct"/>
            <w:tcBorders>
              <w:top w:val="nil"/>
              <w:left w:val="nil"/>
              <w:bottom w:val="nil"/>
              <w:right w:val="nil"/>
            </w:tcBorders>
            <w:shd w:val="clear" w:color="auto" w:fill="auto"/>
            <w:vAlign w:val="center"/>
            <w:hideMark/>
          </w:tcPr>
          <w:p w14:paraId="7EA89D8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5AFF1F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110.622</w:t>
            </w:r>
          </w:p>
        </w:tc>
        <w:tc>
          <w:tcPr>
            <w:tcW w:w="83" w:type="pct"/>
            <w:tcBorders>
              <w:top w:val="nil"/>
              <w:left w:val="nil"/>
              <w:bottom w:val="nil"/>
              <w:right w:val="nil"/>
            </w:tcBorders>
            <w:shd w:val="clear" w:color="auto" w:fill="auto"/>
            <w:noWrap/>
            <w:vAlign w:val="center"/>
            <w:hideMark/>
          </w:tcPr>
          <w:p w14:paraId="69E2C4A2"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B9E594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136.838</w:t>
            </w:r>
          </w:p>
        </w:tc>
        <w:tc>
          <w:tcPr>
            <w:tcW w:w="79" w:type="pct"/>
            <w:tcBorders>
              <w:top w:val="nil"/>
              <w:left w:val="nil"/>
              <w:bottom w:val="nil"/>
              <w:right w:val="nil"/>
            </w:tcBorders>
            <w:shd w:val="clear" w:color="auto" w:fill="auto"/>
            <w:noWrap/>
            <w:vAlign w:val="center"/>
            <w:hideMark/>
          </w:tcPr>
          <w:p w14:paraId="44D33415"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581F42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8.633</w:t>
            </w:r>
          </w:p>
        </w:tc>
        <w:tc>
          <w:tcPr>
            <w:tcW w:w="78" w:type="pct"/>
            <w:tcBorders>
              <w:top w:val="nil"/>
              <w:left w:val="nil"/>
              <w:bottom w:val="nil"/>
              <w:right w:val="nil"/>
            </w:tcBorders>
            <w:shd w:val="clear" w:color="auto" w:fill="auto"/>
            <w:vAlign w:val="center"/>
            <w:hideMark/>
          </w:tcPr>
          <w:p w14:paraId="1581476E"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B9DFBC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121.245</w:t>
            </w:r>
          </w:p>
        </w:tc>
        <w:tc>
          <w:tcPr>
            <w:tcW w:w="78" w:type="pct"/>
            <w:tcBorders>
              <w:top w:val="nil"/>
              <w:left w:val="nil"/>
              <w:bottom w:val="nil"/>
              <w:right w:val="nil"/>
            </w:tcBorders>
            <w:shd w:val="clear" w:color="auto" w:fill="auto"/>
            <w:vAlign w:val="center"/>
          </w:tcPr>
          <w:p w14:paraId="16D12A09"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14650D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78" w:type="pct"/>
            <w:gridSpan w:val="2"/>
            <w:tcBorders>
              <w:top w:val="nil"/>
              <w:left w:val="nil"/>
              <w:bottom w:val="nil"/>
              <w:right w:val="nil"/>
            </w:tcBorders>
            <w:shd w:val="clear" w:color="auto" w:fill="auto"/>
            <w:vAlign w:val="center"/>
          </w:tcPr>
          <w:p w14:paraId="31984370"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95FF8E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r>
      <w:tr w:rsidR="003B5193" w:rsidRPr="00AE4E8D" w14:paraId="70EB9C8A" w14:textId="77777777" w:rsidTr="00E8320E">
        <w:trPr>
          <w:trHeight w:val="223"/>
        </w:trPr>
        <w:tc>
          <w:tcPr>
            <w:tcW w:w="1253" w:type="pct"/>
            <w:tcBorders>
              <w:top w:val="nil"/>
              <w:left w:val="nil"/>
              <w:bottom w:val="nil"/>
              <w:right w:val="nil"/>
            </w:tcBorders>
            <w:shd w:val="clear" w:color="auto" w:fill="auto"/>
            <w:noWrap/>
            <w:vAlign w:val="center"/>
            <w:hideMark/>
          </w:tcPr>
          <w:p w14:paraId="19EDD3BF"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Participación no controlante</w:t>
            </w:r>
          </w:p>
        </w:tc>
        <w:tc>
          <w:tcPr>
            <w:tcW w:w="328" w:type="pct"/>
            <w:tcBorders>
              <w:top w:val="nil"/>
              <w:left w:val="nil"/>
              <w:bottom w:val="single" w:sz="8" w:space="0" w:color="auto"/>
              <w:right w:val="nil"/>
            </w:tcBorders>
            <w:shd w:val="clear" w:color="auto" w:fill="auto"/>
            <w:noWrap/>
            <w:vAlign w:val="center"/>
            <w:hideMark/>
          </w:tcPr>
          <w:p w14:paraId="53E1119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68.034</w:t>
            </w:r>
          </w:p>
        </w:tc>
        <w:tc>
          <w:tcPr>
            <w:tcW w:w="78" w:type="pct"/>
            <w:tcBorders>
              <w:top w:val="nil"/>
              <w:left w:val="nil"/>
              <w:bottom w:val="nil"/>
              <w:right w:val="nil"/>
            </w:tcBorders>
            <w:shd w:val="clear" w:color="auto" w:fill="auto"/>
            <w:vAlign w:val="center"/>
            <w:hideMark/>
          </w:tcPr>
          <w:p w14:paraId="7C6D9BF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140503B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71.311</w:t>
            </w:r>
          </w:p>
        </w:tc>
        <w:tc>
          <w:tcPr>
            <w:tcW w:w="78" w:type="pct"/>
            <w:tcBorders>
              <w:top w:val="nil"/>
              <w:left w:val="nil"/>
              <w:bottom w:val="nil"/>
              <w:right w:val="nil"/>
            </w:tcBorders>
            <w:shd w:val="clear" w:color="auto" w:fill="auto"/>
            <w:vAlign w:val="center"/>
            <w:hideMark/>
          </w:tcPr>
          <w:p w14:paraId="1F6D1558"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36D8A6D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67.591</w:t>
            </w:r>
          </w:p>
        </w:tc>
        <w:tc>
          <w:tcPr>
            <w:tcW w:w="78" w:type="pct"/>
            <w:tcBorders>
              <w:top w:val="nil"/>
              <w:left w:val="nil"/>
              <w:bottom w:val="nil"/>
              <w:right w:val="nil"/>
            </w:tcBorders>
            <w:shd w:val="clear" w:color="auto" w:fill="auto"/>
            <w:vAlign w:val="center"/>
            <w:hideMark/>
          </w:tcPr>
          <w:p w14:paraId="30853FBA"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02EA903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85.871</w:t>
            </w:r>
          </w:p>
        </w:tc>
        <w:tc>
          <w:tcPr>
            <w:tcW w:w="83" w:type="pct"/>
            <w:tcBorders>
              <w:top w:val="nil"/>
              <w:left w:val="nil"/>
              <w:bottom w:val="nil"/>
              <w:right w:val="nil"/>
            </w:tcBorders>
            <w:shd w:val="clear" w:color="auto" w:fill="auto"/>
            <w:noWrap/>
            <w:vAlign w:val="center"/>
            <w:hideMark/>
          </w:tcPr>
          <w:p w14:paraId="7BAAAEE5"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single" w:sz="8" w:space="0" w:color="auto"/>
              <w:right w:val="nil"/>
            </w:tcBorders>
            <w:shd w:val="clear" w:color="auto" w:fill="auto"/>
            <w:noWrap/>
            <w:vAlign w:val="center"/>
            <w:hideMark/>
          </w:tcPr>
          <w:p w14:paraId="5E04742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157.707</w:t>
            </w:r>
          </w:p>
        </w:tc>
        <w:tc>
          <w:tcPr>
            <w:tcW w:w="79" w:type="pct"/>
            <w:tcBorders>
              <w:top w:val="nil"/>
              <w:left w:val="nil"/>
              <w:bottom w:val="nil"/>
              <w:right w:val="nil"/>
            </w:tcBorders>
            <w:shd w:val="clear" w:color="auto" w:fill="auto"/>
            <w:noWrap/>
            <w:vAlign w:val="center"/>
            <w:hideMark/>
          </w:tcPr>
          <w:p w14:paraId="6BE857AD"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single" w:sz="8" w:space="0" w:color="auto"/>
              <w:right w:val="nil"/>
            </w:tcBorders>
            <w:shd w:val="clear" w:color="auto" w:fill="auto"/>
            <w:noWrap/>
            <w:vAlign w:val="center"/>
            <w:hideMark/>
          </w:tcPr>
          <w:p w14:paraId="4B78767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9.950</w:t>
            </w:r>
          </w:p>
        </w:tc>
        <w:tc>
          <w:tcPr>
            <w:tcW w:w="78" w:type="pct"/>
            <w:tcBorders>
              <w:top w:val="nil"/>
              <w:left w:val="nil"/>
              <w:bottom w:val="nil"/>
              <w:right w:val="nil"/>
            </w:tcBorders>
            <w:shd w:val="clear" w:color="auto" w:fill="auto"/>
            <w:vAlign w:val="center"/>
            <w:hideMark/>
          </w:tcPr>
          <w:p w14:paraId="6764AAC9"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single" w:sz="8" w:space="0" w:color="auto"/>
              <w:right w:val="nil"/>
            </w:tcBorders>
            <w:shd w:val="clear" w:color="auto" w:fill="auto"/>
            <w:vAlign w:val="center"/>
          </w:tcPr>
          <w:p w14:paraId="1BF8C3C7"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130.207</w:t>
            </w:r>
          </w:p>
        </w:tc>
        <w:tc>
          <w:tcPr>
            <w:tcW w:w="78" w:type="pct"/>
            <w:tcBorders>
              <w:top w:val="nil"/>
              <w:left w:val="nil"/>
              <w:bottom w:val="nil"/>
              <w:right w:val="nil"/>
            </w:tcBorders>
            <w:shd w:val="clear" w:color="auto" w:fill="auto"/>
            <w:vAlign w:val="center"/>
          </w:tcPr>
          <w:p w14:paraId="317B6C35"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single" w:sz="8" w:space="0" w:color="auto"/>
              <w:right w:val="nil"/>
            </w:tcBorders>
            <w:shd w:val="clear" w:color="auto" w:fill="auto"/>
            <w:vAlign w:val="center"/>
          </w:tcPr>
          <w:p w14:paraId="66F2E898"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300.570</w:t>
            </w:r>
          </w:p>
        </w:tc>
        <w:tc>
          <w:tcPr>
            <w:tcW w:w="78" w:type="pct"/>
            <w:gridSpan w:val="2"/>
            <w:tcBorders>
              <w:top w:val="nil"/>
              <w:left w:val="nil"/>
              <w:bottom w:val="nil"/>
              <w:right w:val="nil"/>
            </w:tcBorders>
            <w:shd w:val="clear" w:color="auto" w:fill="auto"/>
            <w:vAlign w:val="center"/>
          </w:tcPr>
          <w:p w14:paraId="0FD20A08"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single" w:sz="8" w:space="0" w:color="auto"/>
              <w:right w:val="nil"/>
            </w:tcBorders>
            <w:shd w:val="clear" w:color="auto" w:fill="auto"/>
            <w:vAlign w:val="center"/>
          </w:tcPr>
          <w:p w14:paraId="07D77D39"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18.108</w:t>
            </w:r>
          </w:p>
        </w:tc>
      </w:tr>
      <w:tr w:rsidR="003B5193" w:rsidRPr="00AE4E8D" w14:paraId="49065463" w14:textId="77777777" w:rsidTr="00E8320E">
        <w:trPr>
          <w:trHeight w:val="210"/>
        </w:trPr>
        <w:tc>
          <w:tcPr>
            <w:tcW w:w="1253" w:type="pct"/>
            <w:tcBorders>
              <w:top w:val="nil"/>
              <w:left w:val="nil"/>
              <w:bottom w:val="nil"/>
              <w:right w:val="nil"/>
            </w:tcBorders>
            <w:shd w:val="clear" w:color="auto" w:fill="auto"/>
            <w:noWrap/>
            <w:vAlign w:val="center"/>
            <w:hideMark/>
          </w:tcPr>
          <w:p w14:paraId="19E15A1D"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Total pasivo</w:t>
            </w:r>
          </w:p>
        </w:tc>
        <w:tc>
          <w:tcPr>
            <w:tcW w:w="328" w:type="pct"/>
            <w:tcBorders>
              <w:top w:val="nil"/>
              <w:left w:val="nil"/>
              <w:bottom w:val="nil"/>
              <w:right w:val="nil"/>
            </w:tcBorders>
            <w:shd w:val="clear" w:color="auto" w:fill="auto"/>
            <w:noWrap/>
            <w:vAlign w:val="center"/>
            <w:hideMark/>
          </w:tcPr>
          <w:p w14:paraId="754AC74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12.547.689</w:t>
            </w:r>
          </w:p>
        </w:tc>
        <w:tc>
          <w:tcPr>
            <w:tcW w:w="78" w:type="pct"/>
            <w:tcBorders>
              <w:top w:val="nil"/>
              <w:left w:val="nil"/>
              <w:bottom w:val="nil"/>
              <w:right w:val="nil"/>
            </w:tcBorders>
            <w:shd w:val="clear" w:color="auto" w:fill="auto"/>
            <w:vAlign w:val="center"/>
            <w:hideMark/>
          </w:tcPr>
          <w:p w14:paraId="50CCBAB9"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9243ED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16.540.958</w:t>
            </w:r>
          </w:p>
        </w:tc>
        <w:tc>
          <w:tcPr>
            <w:tcW w:w="78" w:type="pct"/>
            <w:tcBorders>
              <w:top w:val="nil"/>
              <w:left w:val="nil"/>
              <w:bottom w:val="nil"/>
              <w:right w:val="nil"/>
            </w:tcBorders>
            <w:shd w:val="clear" w:color="auto" w:fill="auto"/>
            <w:vAlign w:val="center"/>
            <w:hideMark/>
          </w:tcPr>
          <w:p w14:paraId="5E8AE28B"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121C9B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26.954.604</w:t>
            </w:r>
          </w:p>
        </w:tc>
        <w:tc>
          <w:tcPr>
            <w:tcW w:w="78" w:type="pct"/>
            <w:tcBorders>
              <w:top w:val="nil"/>
              <w:left w:val="nil"/>
              <w:bottom w:val="nil"/>
              <w:right w:val="nil"/>
            </w:tcBorders>
            <w:shd w:val="clear" w:color="auto" w:fill="auto"/>
            <w:vAlign w:val="center"/>
            <w:hideMark/>
          </w:tcPr>
          <w:p w14:paraId="58431A96"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15FC86E"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34.016.995</w:t>
            </w:r>
          </w:p>
        </w:tc>
        <w:tc>
          <w:tcPr>
            <w:tcW w:w="83" w:type="pct"/>
            <w:tcBorders>
              <w:top w:val="nil"/>
              <w:left w:val="nil"/>
              <w:bottom w:val="nil"/>
              <w:right w:val="nil"/>
            </w:tcBorders>
            <w:shd w:val="clear" w:color="auto" w:fill="auto"/>
            <w:noWrap/>
            <w:vAlign w:val="center"/>
            <w:hideMark/>
          </w:tcPr>
          <w:p w14:paraId="7298F8ED"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1929B8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46.051.882</w:t>
            </w:r>
          </w:p>
        </w:tc>
        <w:tc>
          <w:tcPr>
            <w:tcW w:w="79" w:type="pct"/>
            <w:tcBorders>
              <w:top w:val="nil"/>
              <w:left w:val="nil"/>
              <w:bottom w:val="nil"/>
              <w:right w:val="nil"/>
            </w:tcBorders>
            <w:shd w:val="clear" w:color="auto" w:fill="auto"/>
            <w:noWrap/>
            <w:vAlign w:val="center"/>
            <w:hideMark/>
          </w:tcPr>
          <w:p w14:paraId="20664904"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0F0BDB60"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2.905.445</w:t>
            </w:r>
          </w:p>
        </w:tc>
        <w:tc>
          <w:tcPr>
            <w:tcW w:w="78" w:type="pct"/>
            <w:tcBorders>
              <w:top w:val="nil"/>
              <w:left w:val="nil"/>
              <w:bottom w:val="nil"/>
              <w:right w:val="nil"/>
            </w:tcBorders>
            <w:shd w:val="clear" w:color="auto" w:fill="auto"/>
            <w:vAlign w:val="center"/>
            <w:hideMark/>
          </w:tcPr>
          <w:p w14:paraId="54EB98D6"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D5334F6"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34.711.087</w:t>
            </w:r>
          </w:p>
        </w:tc>
        <w:tc>
          <w:tcPr>
            <w:tcW w:w="78" w:type="pct"/>
            <w:tcBorders>
              <w:top w:val="nil"/>
              <w:left w:val="nil"/>
              <w:bottom w:val="nil"/>
              <w:right w:val="nil"/>
            </w:tcBorders>
            <w:shd w:val="clear" w:color="auto" w:fill="auto"/>
            <w:vAlign w:val="center"/>
          </w:tcPr>
          <w:p w14:paraId="2C23BECC"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25B74A5"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48.580.653</w:t>
            </w:r>
          </w:p>
        </w:tc>
        <w:tc>
          <w:tcPr>
            <w:tcW w:w="78" w:type="pct"/>
            <w:gridSpan w:val="2"/>
            <w:tcBorders>
              <w:top w:val="nil"/>
              <w:left w:val="nil"/>
              <w:bottom w:val="nil"/>
              <w:right w:val="nil"/>
            </w:tcBorders>
            <w:shd w:val="clear" w:color="auto" w:fill="auto"/>
            <w:vAlign w:val="center"/>
          </w:tcPr>
          <w:p w14:paraId="3996C44B"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67F54FE1"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2.926.810</w:t>
            </w:r>
          </w:p>
        </w:tc>
      </w:tr>
      <w:tr w:rsidR="003B5193" w:rsidRPr="00AE4E8D" w14:paraId="74470AFE" w14:textId="77777777" w:rsidTr="00E8320E">
        <w:trPr>
          <w:trHeight w:val="210"/>
        </w:trPr>
        <w:tc>
          <w:tcPr>
            <w:tcW w:w="1253" w:type="pct"/>
            <w:tcBorders>
              <w:top w:val="nil"/>
              <w:left w:val="nil"/>
              <w:bottom w:val="nil"/>
              <w:right w:val="nil"/>
            </w:tcBorders>
            <w:shd w:val="clear" w:color="auto" w:fill="auto"/>
            <w:noWrap/>
            <w:vAlign w:val="center"/>
            <w:hideMark/>
          </w:tcPr>
          <w:p w14:paraId="12E03827" w14:textId="77777777" w:rsidR="005C363D" w:rsidRPr="00AE4E8D" w:rsidRDefault="005C363D"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Patrimonio neto</w:t>
            </w:r>
          </w:p>
        </w:tc>
        <w:tc>
          <w:tcPr>
            <w:tcW w:w="328" w:type="pct"/>
            <w:tcBorders>
              <w:top w:val="nil"/>
              <w:left w:val="nil"/>
              <w:bottom w:val="nil"/>
              <w:right w:val="nil"/>
            </w:tcBorders>
            <w:shd w:val="clear" w:color="auto" w:fill="auto"/>
            <w:noWrap/>
            <w:vAlign w:val="center"/>
            <w:hideMark/>
          </w:tcPr>
          <w:p w14:paraId="3ED6F00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3.455.985</w:t>
            </w:r>
          </w:p>
        </w:tc>
        <w:tc>
          <w:tcPr>
            <w:tcW w:w="78" w:type="pct"/>
            <w:tcBorders>
              <w:top w:val="nil"/>
              <w:left w:val="nil"/>
              <w:bottom w:val="nil"/>
              <w:right w:val="nil"/>
            </w:tcBorders>
            <w:shd w:val="clear" w:color="auto" w:fill="auto"/>
            <w:vAlign w:val="center"/>
            <w:hideMark/>
          </w:tcPr>
          <w:p w14:paraId="56C24D46"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71B5A62"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3.846.935</w:t>
            </w:r>
          </w:p>
        </w:tc>
        <w:tc>
          <w:tcPr>
            <w:tcW w:w="78" w:type="pct"/>
            <w:tcBorders>
              <w:top w:val="nil"/>
              <w:left w:val="nil"/>
              <w:bottom w:val="nil"/>
              <w:right w:val="nil"/>
            </w:tcBorders>
            <w:shd w:val="clear" w:color="auto" w:fill="auto"/>
            <w:vAlign w:val="center"/>
            <w:hideMark/>
          </w:tcPr>
          <w:p w14:paraId="6F674747"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8265B5D"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4.396.907</w:t>
            </w:r>
          </w:p>
        </w:tc>
        <w:tc>
          <w:tcPr>
            <w:tcW w:w="78" w:type="pct"/>
            <w:tcBorders>
              <w:top w:val="nil"/>
              <w:left w:val="nil"/>
              <w:bottom w:val="nil"/>
              <w:right w:val="nil"/>
            </w:tcBorders>
            <w:shd w:val="clear" w:color="auto" w:fill="auto"/>
            <w:vAlign w:val="center"/>
            <w:hideMark/>
          </w:tcPr>
          <w:p w14:paraId="228BE045" w14:textId="77777777" w:rsidR="005C363D" w:rsidRPr="00AE4E8D" w:rsidRDefault="005C363D"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B27769A"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5.440.904</w:t>
            </w:r>
          </w:p>
        </w:tc>
        <w:tc>
          <w:tcPr>
            <w:tcW w:w="83" w:type="pct"/>
            <w:tcBorders>
              <w:top w:val="nil"/>
              <w:left w:val="nil"/>
              <w:bottom w:val="nil"/>
              <w:right w:val="nil"/>
            </w:tcBorders>
            <w:shd w:val="clear" w:color="auto" w:fill="auto"/>
            <w:noWrap/>
            <w:vAlign w:val="center"/>
            <w:hideMark/>
          </w:tcPr>
          <w:p w14:paraId="63FDF358" w14:textId="77777777" w:rsidR="005C363D" w:rsidRPr="00AE4E8D" w:rsidRDefault="005C363D"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06D6B7C"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6.056.228</w:t>
            </w:r>
          </w:p>
        </w:tc>
        <w:tc>
          <w:tcPr>
            <w:tcW w:w="79" w:type="pct"/>
            <w:tcBorders>
              <w:top w:val="nil"/>
              <w:left w:val="nil"/>
              <w:bottom w:val="nil"/>
              <w:right w:val="nil"/>
            </w:tcBorders>
            <w:shd w:val="clear" w:color="auto" w:fill="auto"/>
            <w:noWrap/>
            <w:vAlign w:val="center"/>
            <w:hideMark/>
          </w:tcPr>
          <w:p w14:paraId="20C138D5" w14:textId="77777777" w:rsidR="005C363D" w:rsidRPr="00AE4E8D" w:rsidRDefault="005C363D"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2FAE137B"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382.092</w:t>
            </w:r>
          </w:p>
        </w:tc>
        <w:tc>
          <w:tcPr>
            <w:tcW w:w="78" w:type="pct"/>
            <w:tcBorders>
              <w:top w:val="nil"/>
              <w:left w:val="nil"/>
              <w:bottom w:val="nil"/>
              <w:right w:val="nil"/>
            </w:tcBorders>
            <w:shd w:val="clear" w:color="auto" w:fill="auto"/>
            <w:vAlign w:val="center"/>
            <w:hideMark/>
          </w:tcPr>
          <w:p w14:paraId="442E0FD4" w14:textId="77777777" w:rsidR="005C363D" w:rsidRPr="00AE4E8D" w:rsidRDefault="005C363D"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622100F"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5.816.242</w:t>
            </w:r>
          </w:p>
        </w:tc>
        <w:tc>
          <w:tcPr>
            <w:tcW w:w="78" w:type="pct"/>
            <w:tcBorders>
              <w:top w:val="nil"/>
              <w:left w:val="nil"/>
              <w:bottom w:val="nil"/>
              <w:right w:val="nil"/>
            </w:tcBorders>
            <w:shd w:val="clear" w:color="auto" w:fill="auto"/>
            <w:vAlign w:val="center"/>
          </w:tcPr>
          <w:p w14:paraId="53CED355" w14:textId="77777777" w:rsidR="005C363D" w:rsidRPr="00AE4E8D" w:rsidRDefault="005C363D"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08E537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6.681.205</w:t>
            </w:r>
          </w:p>
        </w:tc>
        <w:tc>
          <w:tcPr>
            <w:tcW w:w="78" w:type="pct"/>
            <w:gridSpan w:val="2"/>
            <w:tcBorders>
              <w:top w:val="nil"/>
              <w:left w:val="nil"/>
              <w:bottom w:val="nil"/>
              <w:right w:val="nil"/>
            </w:tcBorders>
            <w:shd w:val="clear" w:color="auto" w:fill="auto"/>
            <w:vAlign w:val="center"/>
          </w:tcPr>
          <w:p w14:paraId="2F242803" w14:textId="77777777" w:rsidR="005C363D" w:rsidRPr="00AE4E8D" w:rsidRDefault="005C363D"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91FCEA3" w14:textId="77777777" w:rsidR="005C363D" w:rsidRPr="00AE4E8D" w:rsidRDefault="005C363D"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402.519</w:t>
            </w:r>
          </w:p>
        </w:tc>
      </w:tr>
    </w:tbl>
    <w:p w14:paraId="647DB2EC" w14:textId="77777777" w:rsidR="005C363D" w:rsidRPr="00AE4E8D" w:rsidRDefault="005C363D" w:rsidP="005C363D">
      <w:pPr>
        <w:autoSpaceDE w:val="0"/>
        <w:autoSpaceDN w:val="0"/>
        <w:adjustRightInd w:val="0"/>
        <w:spacing w:before="120" w:after="120"/>
        <w:jc w:val="center"/>
        <w:rPr>
          <w:rFonts w:ascii="Times New Roman" w:hAnsi="Times New Roman"/>
          <w:sz w:val="16"/>
          <w:lang w:val="es-ES"/>
        </w:rPr>
      </w:pPr>
    </w:p>
    <w:p w14:paraId="4546034B" w14:textId="77777777" w:rsidR="005C363D" w:rsidRPr="00AE4E8D" w:rsidRDefault="005C363D" w:rsidP="005C363D">
      <w:pPr>
        <w:autoSpaceDE w:val="0"/>
        <w:autoSpaceDN w:val="0"/>
        <w:adjustRightInd w:val="0"/>
        <w:spacing w:before="120" w:after="120"/>
        <w:jc w:val="center"/>
        <w:rPr>
          <w:rFonts w:ascii="Times New Roman" w:hAnsi="Times New Roman"/>
          <w:lang w:val="es-ES" w:eastAsia="es-AR"/>
        </w:rPr>
        <w:sectPr w:rsidR="005C363D" w:rsidRPr="00AE4E8D" w:rsidSect="000400C8">
          <w:pgSz w:w="16839" w:h="11907" w:orient="landscape" w:code="9"/>
          <w:pgMar w:top="1568" w:right="1418" w:bottom="1134" w:left="1418" w:header="720" w:footer="385" w:gutter="0"/>
          <w:cols w:space="720"/>
          <w:titlePg/>
          <w:docGrid w:linePitch="360"/>
        </w:sectPr>
      </w:pPr>
    </w:p>
    <w:tbl>
      <w:tblPr>
        <w:tblW w:w="5000" w:type="pct"/>
        <w:tblLook w:val="04A0" w:firstRow="1" w:lastRow="0" w:firstColumn="1" w:lastColumn="0" w:noHBand="0" w:noVBand="1"/>
      </w:tblPr>
      <w:tblGrid>
        <w:gridCol w:w="3104"/>
        <w:gridCol w:w="963"/>
        <w:gridCol w:w="222"/>
        <w:gridCol w:w="963"/>
        <w:gridCol w:w="222"/>
        <w:gridCol w:w="1701"/>
        <w:gridCol w:w="222"/>
        <w:gridCol w:w="963"/>
        <w:gridCol w:w="222"/>
        <w:gridCol w:w="963"/>
        <w:gridCol w:w="222"/>
        <w:gridCol w:w="932"/>
        <w:gridCol w:w="222"/>
        <w:gridCol w:w="1048"/>
        <w:gridCol w:w="222"/>
        <w:gridCol w:w="963"/>
        <w:gridCol w:w="222"/>
        <w:gridCol w:w="843"/>
      </w:tblGrid>
      <w:tr w:rsidR="003B5193" w:rsidRPr="00AE4E8D" w14:paraId="3AF58A27" w14:textId="77777777" w:rsidTr="00E8320E">
        <w:trPr>
          <w:trHeight w:val="239"/>
        </w:trPr>
        <w:tc>
          <w:tcPr>
            <w:tcW w:w="1091" w:type="pct"/>
            <w:tcBorders>
              <w:top w:val="nil"/>
              <w:left w:val="nil"/>
              <w:bottom w:val="nil"/>
              <w:right w:val="nil"/>
            </w:tcBorders>
            <w:shd w:val="clear" w:color="auto" w:fill="auto"/>
            <w:noWrap/>
            <w:vAlign w:val="center"/>
          </w:tcPr>
          <w:p w14:paraId="29F91BE1" w14:textId="77777777" w:rsidR="005C363D" w:rsidRPr="00AE4E8D" w:rsidRDefault="005C363D" w:rsidP="00E8320E">
            <w:pPr>
              <w:jc w:val="center"/>
              <w:rPr>
                <w:rFonts w:ascii="Times New Roman" w:hAnsi="Times New Roman"/>
                <w:color w:val="000000"/>
                <w:sz w:val="16"/>
                <w:lang w:val="es-ES"/>
              </w:rPr>
            </w:pPr>
          </w:p>
        </w:tc>
        <w:tc>
          <w:tcPr>
            <w:tcW w:w="339" w:type="pct"/>
            <w:tcBorders>
              <w:top w:val="nil"/>
              <w:left w:val="nil"/>
              <w:bottom w:val="single" w:sz="4" w:space="0" w:color="auto"/>
              <w:right w:val="nil"/>
            </w:tcBorders>
            <w:shd w:val="clear" w:color="auto" w:fill="auto"/>
            <w:noWrap/>
            <w:vAlign w:val="center"/>
          </w:tcPr>
          <w:p w14:paraId="54AF5317" w14:textId="77777777" w:rsidR="005C363D" w:rsidRPr="00AE4E8D" w:rsidRDefault="005C363D" w:rsidP="00E8320E">
            <w:pPr>
              <w:jc w:val="center"/>
              <w:rPr>
                <w:rFonts w:ascii="Times New Roman" w:hAnsi="Times New Roman"/>
                <w:b/>
                <w:color w:val="000000"/>
                <w:sz w:val="16"/>
                <w:lang w:val="es-ES"/>
              </w:rPr>
            </w:pPr>
          </w:p>
        </w:tc>
        <w:tc>
          <w:tcPr>
            <w:tcW w:w="78" w:type="pct"/>
            <w:tcBorders>
              <w:top w:val="nil"/>
              <w:left w:val="nil"/>
              <w:bottom w:val="single" w:sz="4" w:space="0" w:color="auto"/>
              <w:right w:val="nil"/>
            </w:tcBorders>
            <w:shd w:val="clear" w:color="auto" w:fill="auto"/>
            <w:noWrap/>
            <w:vAlign w:val="center"/>
          </w:tcPr>
          <w:p w14:paraId="651376B7" w14:textId="77777777" w:rsidR="005C363D" w:rsidRPr="00AE4E8D" w:rsidRDefault="005C363D" w:rsidP="00E8320E">
            <w:pPr>
              <w:jc w:val="center"/>
              <w:rPr>
                <w:rFonts w:ascii="Times New Roman" w:hAnsi="Times New Roman"/>
                <w:color w:val="000000"/>
                <w:sz w:val="16"/>
                <w:lang w:val="es-ES"/>
              </w:rPr>
            </w:pPr>
          </w:p>
        </w:tc>
        <w:tc>
          <w:tcPr>
            <w:tcW w:w="339" w:type="pct"/>
            <w:tcBorders>
              <w:top w:val="nil"/>
              <w:left w:val="nil"/>
              <w:bottom w:val="single" w:sz="4" w:space="0" w:color="auto"/>
              <w:right w:val="nil"/>
            </w:tcBorders>
            <w:shd w:val="clear" w:color="auto" w:fill="auto"/>
            <w:noWrap/>
            <w:vAlign w:val="center"/>
          </w:tcPr>
          <w:p w14:paraId="36BE30C2" w14:textId="77777777" w:rsidR="005C363D" w:rsidRPr="00AE4E8D" w:rsidRDefault="005C363D" w:rsidP="00E8320E">
            <w:pPr>
              <w:jc w:val="center"/>
              <w:rPr>
                <w:rFonts w:ascii="Times New Roman" w:hAnsi="Times New Roman"/>
                <w:b/>
                <w:color w:val="000000"/>
                <w:sz w:val="16"/>
                <w:lang w:val="es-ES"/>
              </w:rPr>
            </w:pPr>
          </w:p>
        </w:tc>
        <w:tc>
          <w:tcPr>
            <w:tcW w:w="78" w:type="pct"/>
            <w:tcBorders>
              <w:top w:val="nil"/>
              <w:left w:val="nil"/>
              <w:bottom w:val="single" w:sz="4" w:space="0" w:color="auto"/>
              <w:right w:val="nil"/>
            </w:tcBorders>
            <w:shd w:val="clear" w:color="auto" w:fill="auto"/>
            <w:noWrap/>
            <w:vAlign w:val="center"/>
          </w:tcPr>
          <w:p w14:paraId="396159FE" w14:textId="77777777" w:rsidR="005C363D" w:rsidRPr="00AE4E8D" w:rsidRDefault="005C363D" w:rsidP="00E8320E">
            <w:pPr>
              <w:jc w:val="center"/>
              <w:rPr>
                <w:rFonts w:ascii="Times New Roman" w:hAnsi="Times New Roman"/>
                <w:color w:val="000000"/>
                <w:sz w:val="16"/>
                <w:lang w:val="es-ES"/>
              </w:rPr>
            </w:pPr>
          </w:p>
        </w:tc>
        <w:tc>
          <w:tcPr>
            <w:tcW w:w="598" w:type="pct"/>
            <w:tcBorders>
              <w:top w:val="nil"/>
              <w:left w:val="nil"/>
              <w:bottom w:val="single" w:sz="4" w:space="0" w:color="auto"/>
              <w:right w:val="nil"/>
            </w:tcBorders>
            <w:shd w:val="clear" w:color="auto" w:fill="auto"/>
            <w:noWrap/>
            <w:vAlign w:val="center"/>
          </w:tcPr>
          <w:p w14:paraId="66C6451B"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31 de diciembre de</w:t>
            </w:r>
          </w:p>
        </w:tc>
        <w:tc>
          <w:tcPr>
            <w:tcW w:w="78" w:type="pct"/>
            <w:tcBorders>
              <w:top w:val="nil"/>
              <w:left w:val="nil"/>
              <w:bottom w:val="single" w:sz="4" w:space="0" w:color="auto"/>
              <w:right w:val="nil"/>
            </w:tcBorders>
            <w:shd w:val="clear" w:color="auto" w:fill="auto"/>
            <w:noWrap/>
            <w:vAlign w:val="center"/>
          </w:tcPr>
          <w:p w14:paraId="5F5602DC" w14:textId="77777777" w:rsidR="005C363D" w:rsidRPr="00AE4E8D" w:rsidRDefault="005C363D" w:rsidP="00E8320E">
            <w:pPr>
              <w:jc w:val="center"/>
              <w:rPr>
                <w:rFonts w:ascii="Times New Roman" w:hAnsi="Times New Roman"/>
                <w:color w:val="000000"/>
                <w:sz w:val="16"/>
                <w:lang w:val="es-ES"/>
              </w:rPr>
            </w:pPr>
          </w:p>
        </w:tc>
        <w:tc>
          <w:tcPr>
            <w:tcW w:w="339" w:type="pct"/>
            <w:tcBorders>
              <w:top w:val="nil"/>
              <w:left w:val="nil"/>
              <w:bottom w:val="single" w:sz="4" w:space="0" w:color="auto"/>
              <w:right w:val="nil"/>
            </w:tcBorders>
            <w:shd w:val="clear" w:color="auto" w:fill="auto"/>
            <w:noWrap/>
            <w:vAlign w:val="center"/>
          </w:tcPr>
          <w:p w14:paraId="01B89AE7" w14:textId="77777777" w:rsidR="005C363D" w:rsidRPr="00AE4E8D" w:rsidRDefault="005C363D" w:rsidP="00E8320E">
            <w:pPr>
              <w:jc w:val="center"/>
              <w:rPr>
                <w:rFonts w:ascii="Times New Roman" w:hAnsi="Times New Roman"/>
                <w:b/>
                <w:color w:val="000000"/>
                <w:sz w:val="16"/>
                <w:lang w:val="es-ES"/>
              </w:rPr>
            </w:pPr>
          </w:p>
        </w:tc>
        <w:tc>
          <w:tcPr>
            <w:tcW w:w="78" w:type="pct"/>
            <w:tcBorders>
              <w:top w:val="nil"/>
              <w:left w:val="nil"/>
              <w:bottom w:val="single" w:sz="4" w:space="0" w:color="auto"/>
              <w:right w:val="nil"/>
            </w:tcBorders>
            <w:shd w:val="clear" w:color="auto" w:fill="auto"/>
            <w:noWrap/>
            <w:vAlign w:val="center"/>
          </w:tcPr>
          <w:p w14:paraId="221B2F64" w14:textId="77777777" w:rsidR="005C363D" w:rsidRPr="00AE4E8D" w:rsidRDefault="005C363D" w:rsidP="00E8320E">
            <w:pPr>
              <w:jc w:val="center"/>
              <w:rPr>
                <w:rFonts w:ascii="Times New Roman" w:hAnsi="Times New Roman"/>
                <w:color w:val="000000"/>
                <w:sz w:val="16"/>
                <w:lang w:val="es-ES"/>
              </w:rPr>
            </w:pPr>
          </w:p>
        </w:tc>
        <w:tc>
          <w:tcPr>
            <w:tcW w:w="339" w:type="pct"/>
            <w:tcBorders>
              <w:top w:val="nil"/>
              <w:left w:val="nil"/>
              <w:bottom w:val="single" w:sz="4" w:space="0" w:color="auto"/>
              <w:right w:val="nil"/>
            </w:tcBorders>
            <w:shd w:val="clear" w:color="auto" w:fill="auto"/>
            <w:noWrap/>
            <w:vAlign w:val="center"/>
          </w:tcPr>
          <w:p w14:paraId="07F5CDE6" w14:textId="77777777" w:rsidR="005C363D" w:rsidRPr="00AE4E8D" w:rsidRDefault="005C363D" w:rsidP="00E8320E">
            <w:pPr>
              <w:jc w:val="center"/>
              <w:rPr>
                <w:rFonts w:ascii="Times New Roman" w:hAnsi="Times New Roman"/>
                <w:b/>
                <w:color w:val="000000"/>
                <w:sz w:val="16"/>
                <w:lang w:val="es-ES"/>
              </w:rPr>
            </w:pPr>
          </w:p>
        </w:tc>
        <w:tc>
          <w:tcPr>
            <w:tcW w:w="78" w:type="pct"/>
            <w:tcBorders>
              <w:top w:val="nil"/>
              <w:left w:val="nil"/>
              <w:bottom w:val="single" w:sz="4" w:space="0" w:color="auto"/>
              <w:right w:val="nil"/>
            </w:tcBorders>
            <w:shd w:val="clear" w:color="auto" w:fill="auto"/>
            <w:noWrap/>
            <w:vAlign w:val="center"/>
          </w:tcPr>
          <w:p w14:paraId="7BE8AE5E" w14:textId="77777777" w:rsidR="005C363D" w:rsidRPr="00AE4E8D" w:rsidRDefault="005C363D" w:rsidP="00E8320E">
            <w:pPr>
              <w:jc w:val="center"/>
              <w:rPr>
                <w:rFonts w:ascii="Times New Roman" w:hAnsi="Times New Roman"/>
                <w:color w:val="000000"/>
                <w:sz w:val="16"/>
                <w:lang w:val="es-ES"/>
              </w:rPr>
            </w:pPr>
          </w:p>
        </w:tc>
        <w:tc>
          <w:tcPr>
            <w:tcW w:w="328" w:type="pct"/>
            <w:tcBorders>
              <w:top w:val="nil"/>
              <w:left w:val="nil"/>
              <w:bottom w:val="single" w:sz="4" w:space="0" w:color="auto"/>
              <w:right w:val="nil"/>
            </w:tcBorders>
            <w:shd w:val="clear" w:color="auto" w:fill="auto"/>
            <w:noWrap/>
            <w:vAlign w:val="center"/>
          </w:tcPr>
          <w:p w14:paraId="287646BC" w14:textId="77777777" w:rsidR="005C363D" w:rsidRPr="00AE4E8D" w:rsidRDefault="005C363D" w:rsidP="00E8320E">
            <w:pPr>
              <w:jc w:val="center"/>
              <w:rPr>
                <w:rFonts w:ascii="Times New Roman" w:hAnsi="Times New Roman"/>
                <w:b/>
                <w:color w:val="000000"/>
                <w:sz w:val="16"/>
                <w:lang w:val="es-ES"/>
              </w:rPr>
            </w:pPr>
          </w:p>
        </w:tc>
        <w:tc>
          <w:tcPr>
            <w:tcW w:w="78" w:type="pct"/>
            <w:tcBorders>
              <w:top w:val="nil"/>
              <w:left w:val="nil"/>
              <w:bottom w:val="nil"/>
              <w:right w:val="nil"/>
            </w:tcBorders>
            <w:shd w:val="clear" w:color="auto" w:fill="auto"/>
            <w:noWrap/>
            <w:vAlign w:val="bottom"/>
          </w:tcPr>
          <w:p w14:paraId="5C845411" w14:textId="77777777" w:rsidR="005C363D" w:rsidRPr="00AE4E8D" w:rsidRDefault="005C363D" w:rsidP="00E8320E">
            <w:pPr>
              <w:jc w:val="center"/>
              <w:rPr>
                <w:rFonts w:ascii="Times New Roman" w:hAnsi="Times New Roman"/>
                <w:sz w:val="16"/>
                <w:lang w:val="es-ES"/>
              </w:rPr>
            </w:pPr>
          </w:p>
        </w:tc>
        <w:tc>
          <w:tcPr>
            <w:tcW w:w="1160" w:type="pct"/>
            <w:gridSpan w:val="5"/>
            <w:tcBorders>
              <w:top w:val="nil"/>
              <w:left w:val="nil"/>
              <w:bottom w:val="single" w:sz="4" w:space="0" w:color="auto"/>
              <w:right w:val="nil"/>
            </w:tcBorders>
            <w:shd w:val="clear" w:color="auto" w:fill="auto"/>
            <w:vAlign w:val="center"/>
          </w:tcPr>
          <w:p w14:paraId="5B99EBBD"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30 de junio de</w:t>
            </w:r>
          </w:p>
        </w:tc>
      </w:tr>
      <w:tr w:rsidR="003B5193" w:rsidRPr="00AE4E8D" w14:paraId="3F3FA585" w14:textId="77777777" w:rsidTr="00E8320E">
        <w:trPr>
          <w:trHeight w:val="239"/>
        </w:trPr>
        <w:tc>
          <w:tcPr>
            <w:tcW w:w="1091" w:type="pct"/>
            <w:tcBorders>
              <w:top w:val="nil"/>
              <w:left w:val="nil"/>
              <w:bottom w:val="nil"/>
              <w:right w:val="nil"/>
            </w:tcBorders>
            <w:shd w:val="clear" w:color="auto" w:fill="auto"/>
            <w:noWrap/>
            <w:vAlign w:val="center"/>
            <w:hideMark/>
          </w:tcPr>
          <w:p w14:paraId="78C1C17F" w14:textId="77777777" w:rsidR="005C363D" w:rsidRPr="00AE4E8D" w:rsidRDefault="005C363D" w:rsidP="00E8320E">
            <w:pPr>
              <w:jc w:val="center"/>
              <w:rPr>
                <w:rFonts w:ascii="Times New Roman" w:hAnsi="Times New Roman"/>
                <w:color w:val="000000"/>
                <w:sz w:val="16"/>
                <w:lang w:val="es-ES"/>
              </w:rPr>
            </w:pPr>
          </w:p>
        </w:tc>
        <w:tc>
          <w:tcPr>
            <w:tcW w:w="339" w:type="pct"/>
            <w:tcBorders>
              <w:top w:val="single" w:sz="4" w:space="0" w:color="auto"/>
              <w:left w:val="nil"/>
              <w:bottom w:val="single" w:sz="8" w:space="0" w:color="auto"/>
              <w:right w:val="nil"/>
            </w:tcBorders>
            <w:shd w:val="clear" w:color="auto" w:fill="auto"/>
            <w:noWrap/>
            <w:vAlign w:val="center"/>
            <w:hideMark/>
          </w:tcPr>
          <w:p w14:paraId="3C292258"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2012</w:t>
            </w:r>
          </w:p>
        </w:tc>
        <w:tc>
          <w:tcPr>
            <w:tcW w:w="78" w:type="pct"/>
            <w:tcBorders>
              <w:top w:val="single" w:sz="4" w:space="0" w:color="auto"/>
              <w:left w:val="nil"/>
              <w:bottom w:val="nil"/>
              <w:right w:val="nil"/>
            </w:tcBorders>
            <w:shd w:val="clear" w:color="auto" w:fill="auto"/>
            <w:noWrap/>
            <w:vAlign w:val="center"/>
            <w:hideMark/>
          </w:tcPr>
          <w:p w14:paraId="11175187" w14:textId="77777777" w:rsidR="005C363D" w:rsidRPr="00AE4E8D" w:rsidRDefault="005C363D" w:rsidP="00E8320E">
            <w:pPr>
              <w:jc w:val="center"/>
              <w:rPr>
                <w:rFonts w:ascii="Times New Roman" w:hAnsi="Times New Roman"/>
                <w:color w:val="000000"/>
                <w:sz w:val="16"/>
                <w:lang w:val="es-ES"/>
              </w:rPr>
            </w:pPr>
          </w:p>
        </w:tc>
        <w:tc>
          <w:tcPr>
            <w:tcW w:w="339" w:type="pct"/>
            <w:tcBorders>
              <w:top w:val="single" w:sz="4" w:space="0" w:color="auto"/>
              <w:left w:val="nil"/>
              <w:bottom w:val="single" w:sz="8" w:space="0" w:color="auto"/>
              <w:right w:val="nil"/>
            </w:tcBorders>
            <w:shd w:val="clear" w:color="auto" w:fill="auto"/>
            <w:noWrap/>
            <w:vAlign w:val="center"/>
            <w:hideMark/>
          </w:tcPr>
          <w:p w14:paraId="469F6D6D"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2013</w:t>
            </w:r>
          </w:p>
        </w:tc>
        <w:tc>
          <w:tcPr>
            <w:tcW w:w="78" w:type="pct"/>
            <w:tcBorders>
              <w:top w:val="single" w:sz="4" w:space="0" w:color="auto"/>
              <w:left w:val="nil"/>
              <w:bottom w:val="nil"/>
              <w:right w:val="nil"/>
            </w:tcBorders>
            <w:shd w:val="clear" w:color="auto" w:fill="auto"/>
            <w:noWrap/>
            <w:vAlign w:val="center"/>
            <w:hideMark/>
          </w:tcPr>
          <w:p w14:paraId="6D35D014" w14:textId="77777777" w:rsidR="005C363D" w:rsidRPr="00AE4E8D" w:rsidRDefault="005C363D" w:rsidP="00E8320E">
            <w:pPr>
              <w:jc w:val="center"/>
              <w:rPr>
                <w:rFonts w:ascii="Times New Roman" w:hAnsi="Times New Roman"/>
                <w:color w:val="000000"/>
                <w:sz w:val="16"/>
                <w:lang w:val="es-ES"/>
              </w:rPr>
            </w:pPr>
          </w:p>
        </w:tc>
        <w:tc>
          <w:tcPr>
            <w:tcW w:w="598" w:type="pct"/>
            <w:tcBorders>
              <w:top w:val="single" w:sz="4" w:space="0" w:color="auto"/>
              <w:left w:val="nil"/>
              <w:bottom w:val="single" w:sz="8" w:space="0" w:color="auto"/>
              <w:right w:val="nil"/>
            </w:tcBorders>
            <w:shd w:val="clear" w:color="auto" w:fill="auto"/>
            <w:noWrap/>
            <w:vAlign w:val="center"/>
            <w:hideMark/>
          </w:tcPr>
          <w:p w14:paraId="447C752B"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2014</w:t>
            </w:r>
          </w:p>
        </w:tc>
        <w:tc>
          <w:tcPr>
            <w:tcW w:w="78" w:type="pct"/>
            <w:tcBorders>
              <w:top w:val="single" w:sz="4" w:space="0" w:color="auto"/>
              <w:left w:val="nil"/>
              <w:bottom w:val="nil"/>
              <w:right w:val="nil"/>
            </w:tcBorders>
            <w:shd w:val="clear" w:color="auto" w:fill="auto"/>
            <w:noWrap/>
            <w:vAlign w:val="center"/>
            <w:hideMark/>
          </w:tcPr>
          <w:p w14:paraId="75A7CDA8" w14:textId="77777777" w:rsidR="005C363D" w:rsidRPr="00AE4E8D" w:rsidRDefault="005C363D" w:rsidP="00E8320E">
            <w:pPr>
              <w:jc w:val="center"/>
              <w:rPr>
                <w:rFonts w:ascii="Times New Roman" w:hAnsi="Times New Roman"/>
                <w:color w:val="000000"/>
                <w:sz w:val="16"/>
                <w:lang w:val="es-ES"/>
              </w:rPr>
            </w:pPr>
          </w:p>
        </w:tc>
        <w:tc>
          <w:tcPr>
            <w:tcW w:w="339" w:type="pct"/>
            <w:tcBorders>
              <w:top w:val="single" w:sz="4" w:space="0" w:color="auto"/>
              <w:left w:val="nil"/>
              <w:bottom w:val="single" w:sz="8" w:space="0" w:color="auto"/>
              <w:right w:val="nil"/>
            </w:tcBorders>
            <w:shd w:val="clear" w:color="auto" w:fill="auto"/>
            <w:noWrap/>
            <w:vAlign w:val="center"/>
            <w:hideMark/>
          </w:tcPr>
          <w:p w14:paraId="41899A78"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2015</w:t>
            </w:r>
          </w:p>
        </w:tc>
        <w:tc>
          <w:tcPr>
            <w:tcW w:w="78" w:type="pct"/>
            <w:tcBorders>
              <w:top w:val="single" w:sz="4" w:space="0" w:color="auto"/>
              <w:left w:val="nil"/>
              <w:bottom w:val="nil"/>
              <w:right w:val="nil"/>
            </w:tcBorders>
            <w:shd w:val="clear" w:color="auto" w:fill="auto"/>
            <w:noWrap/>
            <w:vAlign w:val="center"/>
            <w:hideMark/>
          </w:tcPr>
          <w:p w14:paraId="56F7D1EC" w14:textId="77777777" w:rsidR="005C363D" w:rsidRPr="00AE4E8D" w:rsidRDefault="005C363D" w:rsidP="00E8320E">
            <w:pPr>
              <w:jc w:val="center"/>
              <w:rPr>
                <w:rFonts w:ascii="Times New Roman" w:hAnsi="Times New Roman"/>
                <w:color w:val="000000"/>
                <w:sz w:val="16"/>
                <w:lang w:val="es-ES"/>
              </w:rPr>
            </w:pPr>
          </w:p>
        </w:tc>
        <w:tc>
          <w:tcPr>
            <w:tcW w:w="339" w:type="pct"/>
            <w:tcBorders>
              <w:top w:val="single" w:sz="4" w:space="0" w:color="auto"/>
              <w:left w:val="nil"/>
              <w:bottom w:val="single" w:sz="8" w:space="0" w:color="auto"/>
              <w:right w:val="nil"/>
            </w:tcBorders>
            <w:shd w:val="clear" w:color="auto" w:fill="auto"/>
            <w:noWrap/>
            <w:vAlign w:val="center"/>
            <w:hideMark/>
          </w:tcPr>
          <w:p w14:paraId="7C3D2CE3"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single" w:sz="4" w:space="0" w:color="auto"/>
              <w:left w:val="nil"/>
              <w:bottom w:val="nil"/>
              <w:right w:val="nil"/>
            </w:tcBorders>
            <w:shd w:val="clear" w:color="auto" w:fill="auto"/>
            <w:noWrap/>
            <w:vAlign w:val="center"/>
            <w:hideMark/>
          </w:tcPr>
          <w:p w14:paraId="51EFFEB8" w14:textId="77777777" w:rsidR="005C363D" w:rsidRPr="00AE4E8D" w:rsidRDefault="005C363D" w:rsidP="00E8320E">
            <w:pPr>
              <w:jc w:val="center"/>
              <w:rPr>
                <w:rFonts w:ascii="Times New Roman" w:hAnsi="Times New Roman"/>
                <w:color w:val="000000"/>
                <w:sz w:val="16"/>
                <w:lang w:val="es-ES"/>
              </w:rPr>
            </w:pPr>
          </w:p>
        </w:tc>
        <w:tc>
          <w:tcPr>
            <w:tcW w:w="328" w:type="pct"/>
            <w:tcBorders>
              <w:top w:val="single" w:sz="4" w:space="0" w:color="auto"/>
              <w:left w:val="nil"/>
              <w:bottom w:val="single" w:sz="8" w:space="0" w:color="auto"/>
              <w:right w:val="nil"/>
            </w:tcBorders>
            <w:shd w:val="clear" w:color="auto" w:fill="auto"/>
            <w:noWrap/>
            <w:vAlign w:val="center"/>
            <w:hideMark/>
          </w:tcPr>
          <w:p w14:paraId="7F0BB53A"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nil"/>
              <w:left w:val="nil"/>
              <w:bottom w:val="nil"/>
              <w:right w:val="nil"/>
            </w:tcBorders>
            <w:shd w:val="clear" w:color="auto" w:fill="auto"/>
            <w:noWrap/>
            <w:vAlign w:val="bottom"/>
            <w:hideMark/>
          </w:tcPr>
          <w:p w14:paraId="7F3470D8" w14:textId="77777777" w:rsidR="005C363D" w:rsidRPr="00AE4E8D" w:rsidRDefault="005C363D" w:rsidP="00E8320E">
            <w:pPr>
              <w:jc w:val="center"/>
              <w:rPr>
                <w:rFonts w:ascii="Times New Roman" w:hAnsi="Times New Roman"/>
                <w:sz w:val="16"/>
                <w:lang w:val="es-ES"/>
              </w:rPr>
            </w:pPr>
          </w:p>
        </w:tc>
        <w:tc>
          <w:tcPr>
            <w:tcW w:w="369" w:type="pct"/>
            <w:tcBorders>
              <w:top w:val="single" w:sz="4" w:space="0" w:color="auto"/>
              <w:left w:val="nil"/>
              <w:bottom w:val="single" w:sz="8" w:space="0" w:color="auto"/>
              <w:right w:val="nil"/>
            </w:tcBorders>
            <w:shd w:val="clear" w:color="auto" w:fill="auto"/>
            <w:vAlign w:val="center"/>
            <w:hideMark/>
          </w:tcPr>
          <w:p w14:paraId="19DA1B90"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single" w:sz="4" w:space="0" w:color="auto"/>
              <w:left w:val="nil"/>
              <w:bottom w:val="nil"/>
              <w:right w:val="nil"/>
            </w:tcBorders>
            <w:shd w:val="clear" w:color="auto" w:fill="auto"/>
            <w:vAlign w:val="center"/>
            <w:hideMark/>
          </w:tcPr>
          <w:p w14:paraId="5F6017FC" w14:textId="77777777" w:rsidR="005C363D" w:rsidRPr="00AE4E8D" w:rsidRDefault="005C363D" w:rsidP="00E8320E">
            <w:pPr>
              <w:jc w:val="center"/>
              <w:rPr>
                <w:rFonts w:ascii="Times New Roman" w:hAnsi="Times New Roman"/>
                <w:b/>
                <w:color w:val="000000"/>
                <w:sz w:val="16"/>
                <w:lang w:val="es-ES"/>
              </w:rPr>
            </w:pPr>
          </w:p>
        </w:tc>
        <w:tc>
          <w:tcPr>
            <w:tcW w:w="339" w:type="pct"/>
            <w:tcBorders>
              <w:top w:val="single" w:sz="4" w:space="0" w:color="auto"/>
              <w:left w:val="nil"/>
              <w:bottom w:val="single" w:sz="8" w:space="0" w:color="auto"/>
              <w:right w:val="nil"/>
            </w:tcBorders>
            <w:shd w:val="clear" w:color="auto" w:fill="auto"/>
            <w:vAlign w:val="center"/>
            <w:hideMark/>
          </w:tcPr>
          <w:p w14:paraId="048512FD"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c>
          <w:tcPr>
            <w:tcW w:w="78" w:type="pct"/>
            <w:tcBorders>
              <w:top w:val="single" w:sz="4" w:space="0" w:color="auto"/>
              <w:left w:val="nil"/>
              <w:bottom w:val="nil"/>
              <w:right w:val="nil"/>
            </w:tcBorders>
            <w:shd w:val="clear" w:color="auto" w:fill="auto"/>
            <w:vAlign w:val="center"/>
            <w:hideMark/>
          </w:tcPr>
          <w:p w14:paraId="003631BB" w14:textId="77777777" w:rsidR="005C363D" w:rsidRPr="00AE4E8D" w:rsidRDefault="005C363D" w:rsidP="00E8320E">
            <w:pPr>
              <w:jc w:val="center"/>
              <w:rPr>
                <w:rFonts w:ascii="Times New Roman" w:hAnsi="Times New Roman"/>
                <w:b/>
                <w:color w:val="000000"/>
                <w:sz w:val="16"/>
                <w:lang w:val="es-ES"/>
              </w:rPr>
            </w:pPr>
          </w:p>
        </w:tc>
        <w:tc>
          <w:tcPr>
            <w:tcW w:w="296" w:type="pct"/>
            <w:tcBorders>
              <w:top w:val="single" w:sz="4" w:space="0" w:color="auto"/>
              <w:left w:val="nil"/>
              <w:bottom w:val="single" w:sz="8" w:space="0" w:color="auto"/>
              <w:right w:val="nil"/>
            </w:tcBorders>
            <w:shd w:val="clear" w:color="auto" w:fill="auto"/>
            <w:vAlign w:val="center"/>
            <w:hideMark/>
          </w:tcPr>
          <w:p w14:paraId="3A1E80CA"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r>
      <w:tr w:rsidR="003B5193" w:rsidRPr="00AE4E8D" w14:paraId="5A5833FE" w14:textId="77777777" w:rsidTr="00E8320E">
        <w:trPr>
          <w:trHeight w:val="225"/>
        </w:trPr>
        <w:tc>
          <w:tcPr>
            <w:tcW w:w="1091" w:type="pct"/>
            <w:vMerge w:val="restart"/>
            <w:tcBorders>
              <w:top w:val="nil"/>
              <w:left w:val="nil"/>
              <w:bottom w:val="nil"/>
              <w:right w:val="nil"/>
            </w:tcBorders>
            <w:shd w:val="clear" w:color="auto" w:fill="auto"/>
            <w:noWrap/>
            <w:vAlign w:val="center"/>
            <w:hideMark/>
          </w:tcPr>
          <w:p w14:paraId="07BDA2E8" w14:textId="77777777" w:rsidR="005C363D" w:rsidRPr="00AE4E8D" w:rsidRDefault="005C363D" w:rsidP="00E8320E">
            <w:pPr>
              <w:jc w:val="center"/>
              <w:rPr>
                <w:rFonts w:ascii="Times New Roman" w:hAnsi="Times New Roman"/>
                <w:color w:val="000000"/>
                <w:sz w:val="16"/>
                <w:lang w:val="es-ES"/>
              </w:rPr>
            </w:pPr>
          </w:p>
        </w:tc>
        <w:tc>
          <w:tcPr>
            <w:tcW w:w="2265" w:type="pct"/>
            <w:gridSpan w:val="9"/>
            <w:vMerge w:val="restart"/>
            <w:tcBorders>
              <w:top w:val="nil"/>
              <w:left w:val="nil"/>
              <w:bottom w:val="nil"/>
              <w:right w:val="nil"/>
            </w:tcBorders>
            <w:shd w:val="clear" w:color="auto" w:fill="auto"/>
            <w:vAlign w:val="center"/>
            <w:hideMark/>
          </w:tcPr>
          <w:p w14:paraId="111F4B9E"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78" w:type="pct"/>
            <w:vMerge w:val="restart"/>
            <w:tcBorders>
              <w:top w:val="nil"/>
              <w:left w:val="nil"/>
              <w:bottom w:val="nil"/>
              <w:right w:val="nil"/>
            </w:tcBorders>
            <w:shd w:val="clear" w:color="auto" w:fill="auto"/>
            <w:vAlign w:val="center"/>
            <w:hideMark/>
          </w:tcPr>
          <w:p w14:paraId="78A49BC0" w14:textId="77777777" w:rsidR="005C363D" w:rsidRPr="00AE4E8D" w:rsidRDefault="005C363D" w:rsidP="00E8320E">
            <w:pPr>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DF80D29"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c>
          <w:tcPr>
            <w:tcW w:w="78" w:type="pct"/>
            <w:tcBorders>
              <w:top w:val="nil"/>
              <w:left w:val="nil"/>
              <w:bottom w:val="nil"/>
              <w:right w:val="nil"/>
            </w:tcBorders>
            <w:shd w:val="clear" w:color="auto" w:fill="auto"/>
            <w:noWrap/>
            <w:vAlign w:val="bottom"/>
            <w:hideMark/>
          </w:tcPr>
          <w:p w14:paraId="101DB3D7" w14:textId="77777777" w:rsidR="005C363D" w:rsidRPr="00AE4E8D" w:rsidRDefault="005C363D" w:rsidP="00E8320E">
            <w:pPr>
              <w:jc w:val="center"/>
              <w:rPr>
                <w:rFonts w:ascii="Times New Roman" w:hAnsi="Times New Roman"/>
                <w:sz w:val="16"/>
                <w:lang w:val="es-ES"/>
              </w:rPr>
            </w:pPr>
          </w:p>
        </w:tc>
        <w:tc>
          <w:tcPr>
            <w:tcW w:w="785" w:type="pct"/>
            <w:gridSpan w:val="3"/>
            <w:vMerge w:val="restart"/>
            <w:tcBorders>
              <w:top w:val="single" w:sz="8" w:space="0" w:color="auto"/>
              <w:left w:val="nil"/>
              <w:bottom w:val="nil"/>
              <w:right w:val="nil"/>
            </w:tcBorders>
            <w:shd w:val="clear" w:color="auto" w:fill="auto"/>
            <w:vAlign w:val="center"/>
            <w:hideMark/>
          </w:tcPr>
          <w:p w14:paraId="5E88FFB1"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78" w:type="pct"/>
            <w:vMerge w:val="restart"/>
            <w:tcBorders>
              <w:top w:val="nil"/>
              <w:left w:val="nil"/>
              <w:bottom w:val="nil"/>
              <w:right w:val="nil"/>
            </w:tcBorders>
            <w:shd w:val="clear" w:color="auto" w:fill="auto"/>
            <w:vAlign w:val="center"/>
            <w:hideMark/>
          </w:tcPr>
          <w:p w14:paraId="48C6192B" w14:textId="77777777" w:rsidR="005C363D" w:rsidRPr="00AE4E8D" w:rsidRDefault="005C363D" w:rsidP="00E8320E">
            <w:pPr>
              <w:jc w:val="center"/>
              <w:rPr>
                <w:rFonts w:ascii="Times New Roman" w:hAnsi="Times New Roman"/>
                <w:color w:val="000000"/>
                <w:sz w:val="16"/>
                <w:lang w:val="es-ES"/>
              </w:rPr>
            </w:pPr>
          </w:p>
        </w:tc>
        <w:tc>
          <w:tcPr>
            <w:tcW w:w="296" w:type="pct"/>
            <w:tcBorders>
              <w:top w:val="nil"/>
              <w:left w:val="nil"/>
              <w:bottom w:val="nil"/>
              <w:right w:val="nil"/>
            </w:tcBorders>
            <w:shd w:val="clear" w:color="auto" w:fill="auto"/>
            <w:vAlign w:val="center"/>
            <w:hideMark/>
          </w:tcPr>
          <w:p w14:paraId="72C067BA"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r>
      <w:tr w:rsidR="003B5193" w:rsidRPr="00AE4E8D" w14:paraId="02E1B57E" w14:textId="77777777" w:rsidTr="00E8320E">
        <w:trPr>
          <w:trHeight w:val="225"/>
        </w:trPr>
        <w:tc>
          <w:tcPr>
            <w:tcW w:w="1091" w:type="pct"/>
            <w:vMerge/>
            <w:tcBorders>
              <w:top w:val="nil"/>
              <w:left w:val="nil"/>
              <w:bottom w:val="nil"/>
              <w:right w:val="nil"/>
            </w:tcBorders>
            <w:vAlign w:val="center"/>
            <w:hideMark/>
          </w:tcPr>
          <w:p w14:paraId="04CF86FF" w14:textId="77777777" w:rsidR="005C363D" w:rsidRPr="00AE4E8D" w:rsidRDefault="005C363D" w:rsidP="00E8320E">
            <w:pPr>
              <w:jc w:val="center"/>
              <w:rPr>
                <w:rFonts w:ascii="Times New Roman" w:hAnsi="Times New Roman"/>
                <w:color w:val="000000"/>
                <w:sz w:val="16"/>
                <w:lang w:val="es-ES"/>
              </w:rPr>
            </w:pPr>
          </w:p>
        </w:tc>
        <w:tc>
          <w:tcPr>
            <w:tcW w:w="2265" w:type="pct"/>
            <w:gridSpan w:val="9"/>
            <w:vMerge/>
            <w:tcBorders>
              <w:top w:val="nil"/>
              <w:left w:val="nil"/>
              <w:bottom w:val="nil"/>
              <w:right w:val="nil"/>
            </w:tcBorders>
            <w:vAlign w:val="center"/>
            <w:hideMark/>
          </w:tcPr>
          <w:p w14:paraId="287A9172" w14:textId="77777777" w:rsidR="005C363D" w:rsidRPr="00AE4E8D" w:rsidRDefault="005C363D" w:rsidP="00E8320E">
            <w:pPr>
              <w:jc w:val="center"/>
              <w:rPr>
                <w:rFonts w:ascii="Times New Roman" w:hAnsi="Times New Roman"/>
                <w:color w:val="000000"/>
                <w:sz w:val="16"/>
                <w:lang w:val="es-ES"/>
              </w:rPr>
            </w:pPr>
          </w:p>
        </w:tc>
        <w:tc>
          <w:tcPr>
            <w:tcW w:w="78" w:type="pct"/>
            <w:vMerge/>
            <w:tcBorders>
              <w:top w:val="nil"/>
              <w:left w:val="nil"/>
              <w:bottom w:val="nil"/>
              <w:right w:val="nil"/>
            </w:tcBorders>
            <w:vAlign w:val="center"/>
            <w:hideMark/>
          </w:tcPr>
          <w:p w14:paraId="012A8DB9" w14:textId="77777777" w:rsidR="005C363D" w:rsidRPr="00AE4E8D" w:rsidRDefault="005C363D" w:rsidP="00E8320E">
            <w:pPr>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88B9460"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c>
          <w:tcPr>
            <w:tcW w:w="78" w:type="pct"/>
            <w:tcBorders>
              <w:top w:val="nil"/>
              <w:left w:val="nil"/>
              <w:bottom w:val="nil"/>
              <w:right w:val="nil"/>
            </w:tcBorders>
            <w:shd w:val="clear" w:color="auto" w:fill="auto"/>
            <w:noWrap/>
            <w:vAlign w:val="bottom"/>
            <w:hideMark/>
          </w:tcPr>
          <w:p w14:paraId="7DC7FA1E" w14:textId="77777777" w:rsidR="005C363D" w:rsidRPr="00AE4E8D" w:rsidRDefault="005C363D" w:rsidP="00E8320E">
            <w:pPr>
              <w:jc w:val="center"/>
              <w:rPr>
                <w:rFonts w:ascii="Times New Roman" w:hAnsi="Times New Roman"/>
                <w:sz w:val="16"/>
                <w:lang w:val="es-ES"/>
              </w:rPr>
            </w:pPr>
          </w:p>
        </w:tc>
        <w:tc>
          <w:tcPr>
            <w:tcW w:w="785" w:type="pct"/>
            <w:gridSpan w:val="3"/>
            <w:vMerge/>
            <w:tcBorders>
              <w:top w:val="nil"/>
              <w:left w:val="nil"/>
              <w:bottom w:val="nil"/>
              <w:right w:val="nil"/>
            </w:tcBorders>
            <w:vAlign w:val="center"/>
            <w:hideMark/>
          </w:tcPr>
          <w:p w14:paraId="7BD354FE" w14:textId="77777777" w:rsidR="005C363D" w:rsidRPr="00AE4E8D" w:rsidRDefault="005C363D" w:rsidP="00E8320E">
            <w:pPr>
              <w:jc w:val="center"/>
              <w:rPr>
                <w:rFonts w:ascii="Times New Roman" w:hAnsi="Times New Roman"/>
                <w:color w:val="000000"/>
                <w:sz w:val="16"/>
                <w:lang w:val="es-ES"/>
              </w:rPr>
            </w:pPr>
          </w:p>
        </w:tc>
        <w:tc>
          <w:tcPr>
            <w:tcW w:w="78" w:type="pct"/>
            <w:vMerge/>
            <w:tcBorders>
              <w:top w:val="nil"/>
              <w:left w:val="nil"/>
              <w:bottom w:val="nil"/>
              <w:right w:val="nil"/>
            </w:tcBorders>
            <w:vAlign w:val="center"/>
            <w:hideMark/>
          </w:tcPr>
          <w:p w14:paraId="75709D77" w14:textId="77777777" w:rsidR="005C363D" w:rsidRPr="00AE4E8D" w:rsidRDefault="005C363D" w:rsidP="00E8320E">
            <w:pPr>
              <w:jc w:val="center"/>
              <w:rPr>
                <w:rFonts w:ascii="Times New Roman" w:hAnsi="Times New Roman"/>
                <w:color w:val="000000"/>
                <w:sz w:val="16"/>
                <w:lang w:val="es-ES"/>
              </w:rPr>
            </w:pPr>
          </w:p>
        </w:tc>
        <w:tc>
          <w:tcPr>
            <w:tcW w:w="296" w:type="pct"/>
            <w:tcBorders>
              <w:top w:val="nil"/>
              <w:left w:val="nil"/>
              <w:bottom w:val="nil"/>
              <w:right w:val="nil"/>
            </w:tcBorders>
            <w:shd w:val="clear" w:color="auto" w:fill="auto"/>
            <w:vAlign w:val="center"/>
            <w:hideMark/>
          </w:tcPr>
          <w:p w14:paraId="7C55CE8B"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r>
      <w:tr w:rsidR="003B5193" w:rsidRPr="00AE4E8D" w14:paraId="41A140D7" w14:textId="77777777" w:rsidTr="00E8320E">
        <w:trPr>
          <w:trHeight w:val="425"/>
        </w:trPr>
        <w:tc>
          <w:tcPr>
            <w:tcW w:w="1091" w:type="pct"/>
            <w:tcBorders>
              <w:top w:val="nil"/>
              <w:left w:val="nil"/>
              <w:bottom w:val="nil"/>
              <w:right w:val="nil"/>
            </w:tcBorders>
            <w:shd w:val="clear" w:color="auto" w:fill="auto"/>
            <w:vAlign w:val="center"/>
            <w:hideMark/>
          </w:tcPr>
          <w:p w14:paraId="27FC5427" w14:textId="77777777" w:rsidR="005C363D" w:rsidRPr="00AE4E8D" w:rsidRDefault="005C363D" w:rsidP="00E8320E">
            <w:pPr>
              <w:rPr>
                <w:rFonts w:ascii="Times New Roman" w:hAnsi="Times New Roman"/>
                <w:b/>
                <w:color w:val="000000"/>
                <w:sz w:val="16"/>
                <w:lang w:val="es-ES"/>
              </w:rPr>
            </w:pPr>
            <w:r w:rsidRPr="00AE4E8D">
              <w:rPr>
                <w:rFonts w:ascii="Times New Roman" w:hAnsi="Times New Roman"/>
                <w:b/>
                <w:color w:val="000000"/>
                <w:sz w:val="16"/>
                <w:lang w:val="es-ES"/>
              </w:rPr>
              <w:t>ESTADO DE RESULTADOS CONSOLIDADO</w:t>
            </w:r>
          </w:p>
        </w:tc>
        <w:tc>
          <w:tcPr>
            <w:tcW w:w="339" w:type="pct"/>
            <w:tcBorders>
              <w:top w:val="nil"/>
              <w:left w:val="nil"/>
              <w:bottom w:val="nil"/>
              <w:right w:val="nil"/>
            </w:tcBorders>
            <w:shd w:val="clear" w:color="auto" w:fill="auto"/>
            <w:noWrap/>
            <w:vAlign w:val="center"/>
            <w:hideMark/>
          </w:tcPr>
          <w:p w14:paraId="16352A8C" w14:textId="77777777" w:rsidR="005C363D" w:rsidRPr="00AE4E8D" w:rsidRDefault="005C363D"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0AE0731" w14:textId="77777777" w:rsidR="005C363D" w:rsidRPr="00AE4E8D" w:rsidRDefault="005C363D" w:rsidP="00E8320E">
            <w:pPr>
              <w:jc w:val="center"/>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7F569D77" w14:textId="77777777" w:rsidR="005C363D" w:rsidRPr="00AE4E8D" w:rsidRDefault="005C363D"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38E3E70D" w14:textId="77777777" w:rsidR="005C363D" w:rsidRPr="00AE4E8D" w:rsidRDefault="005C363D" w:rsidP="00E8320E">
            <w:pPr>
              <w:jc w:val="center"/>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1A23AB47" w14:textId="77777777" w:rsidR="005C363D" w:rsidRPr="00AE4E8D" w:rsidRDefault="005C363D"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656E7631" w14:textId="77777777" w:rsidR="005C363D" w:rsidRPr="00AE4E8D" w:rsidRDefault="005C363D" w:rsidP="00E8320E">
            <w:pPr>
              <w:jc w:val="center"/>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59B926DE" w14:textId="77777777" w:rsidR="005C363D" w:rsidRPr="00AE4E8D" w:rsidRDefault="005C363D"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2F14F029" w14:textId="77777777" w:rsidR="005C363D" w:rsidRPr="00AE4E8D" w:rsidRDefault="005C363D" w:rsidP="00E8320E">
            <w:pPr>
              <w:jc w:val="center"/>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514E22BF" w14:textId="77777777" w:rsidR="005C363D" w:rsidRPr="00AE4E8D" w:rsidRDefault="005C363D"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3D97C8A9" w14:textId="77777777" w:rsidR="005C363D" w:rsidRPr="00AE4E8D" w:rsidRDefault="005C363D" w:rsidP="00E8320E">
            <w:pPr>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2F9DBFB" w14:textId="77777777" w:rsidR="005C363D" w:rsidRPr="00AE4E8D" w:rsidRDefault="005C363D"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noWrap/>
            <w:vAlign w:val="bottom"/>
            <w:hideMark/>
          </w:tcPr>
          <w:p w14:paraId="4678E4D4" w14:textId="77777777" w:rsidR="005C363D" w:rsidRPr="00AE4E8D" w:rsidRDefault="005C363D" w:rsidP="00E8320E">
            <w:pPr>
              <w:jc w:val="center"/>
              <w:rPr>
                <w:rFonts w:ascii="Times New Roman" w:hAnsi="Times New Roman"/>
                <w:sz w:val="16"/>
                <w:lang w:val="es-ES"/>
              </w:rPr>
            </w:pPr>
          </w:p>
        </w:tc>
        <w:tc>
          <w:tcPr>
            <w:tcW w:w="369" w:type="pct"/>
            <w:tcBorders>
              <w:top w:val="nil"/>
              <w:left w:val="nil"/>
              <w:bottom w:val="nil"/>
              <w:right w:val="nil"/>
            </w:tcBorders>
            <w:shd w:val="clear" w:color="auto" w:fill="auto"/>
            <w:noWrap/>
            <w:vAlign w:val="bottom"/>
            <w:hideMark/>
          </w:tcPr>
          <w:p w14:paraId="26EF7F26" w14:textId="77777777" w:rsidR="005C363D" w:rsidRPr="00AE4E8D" w:rsidRDefault="005C363D" w:rsidP="00E8320E">
            <w:pPr>
              <w:jc w:val="center"/>
              <w:rPr>
                <w:rFonts w:ascii="Times New Roman" w:hAnsi="Times New Roman"/>
                <w:sz w:val="16"/>
                <w:lang w:val="es-ES"/>
              </w:rPr>
            </w:pPr>
          </w:p>
        </w:tc>
        <w:tc>
          <w:tcPr>
            <w:tcW w:w="78" w:type="pct"/>
            <w:tcBorders>
              <w:top w:val="nil"/>
              <w:left w:val="nil"/>
              <w:bottom w:val="nil"/>
              <w:right w:val="nil"/>
            </w:tcBorders>
            <w:shd w:val="clear" w:color="auto" w:fill="auto"/>
            <w:noWrap/>
            <w:vAlign w:val="bottom"/>
            <w:hideMark/>
          </w:tcPr>
          <w:p w14:paraId="4CED8F06" w14:textId="77777777" w:rsidR="005C363D" w:rsidRPr="00AE4E8D" w:rsidRDefault="005C363D" w:rsidP="00E8320E">
            <w:pPr>
              <w:jc w:val="center"/>
              <w:rPr>
                <w:rFonts w:ascii="Times New Roman" w:hAnsi="Times New Roman"/>
                <w:sz w:val="16"/>
                <w:lang w:val="es-ES"/>
              </w:rPr>
            </w:pPr>
          </w:p>
        </w:tc>
        <w:tc>
          <w:tcPr>
            <w:tcW w:w="339" w:type="pct"/>
            <w:tcBorders>
              <w:top w:val="nil"/>
              <w:left w:val="nil"/>
              <w:bottom w:val="nil"/>
              <w:right w:val="nil"/>
            </w:tcBorders>
            <w:shd w:val="clear" w:color="auto" w:fill="auto"/>
            <w:noWrap/>
            <w:vAlign w:val="bottom"/>
            <w:hideMark/>
          </w:tcPr>
          <w:p w14:paraId="5094B830" w14:textId="77777777" w:rsidR="005C363D" w:rsidRPr="00AE4E8D" w:rsidRDefault="005C363D" w:rsidP="00E8320E">
            <w:pPr>
              <w:jc w:val="center"/>
              <w:rPr>
                <w:rFonts w:ascii="Times New Roman" w:hAnsi="Times New Roman"/>
                <w:sz w:val="16"/>
                <w:lang w:val="es-ES"/>
              </w:rPr>
            </w:pPr>
          </w:p>
        </w:tc>
        <w:tc>
          <w:tcPr>
            <w:tcW w:w="78" w:type="pct"/>
            <w:tcBorders>
              <w:top w:val="nil"/>
              <w:left w:val="nil"/>
              <w:bottom w:val="nil"/>
              <w:right w:val="nil"/>
            </w:tcBorders>
            <w:shd w:val="clear" w:color="auto" w:fill="auto"/>
            <w:noWrap/>
            <w:vAlign w:val="bottom"/>
            <w:hideMark/>
          </w:tcPr>
          <w:p w14:paraId="746AEF90" w14:textId="77777777" w:rsidR="005C363D" w:rsidRPr="00AE4E8D" w:rsidRDefault="005C363D" w:rsidP="00E8320E">
            <w:pPr>
              <w:jc w:val="center"/>
              <w:rPr>
                <w:rFonts w:ascii="Times New Roman" w:hAnsi="Times New Roman"/>
                <w:sz w:val="16"/>
                <w:lang w:val="es-ES"/>
              </w:rPr>
            </w:pPr>
          </w:p>
        </w:tc>
        <w:tc>
          <w:tcPr>
            <w:tcW w:w="296" w:type="pct"/>
            <w:tcBorders>
              <w:top w:val="nil"/>
              <w:left w:val="nil"/>
              <w:bottom w:val="nil"/>
              <w:right w:val="nil"/>
            </w:tcBorders>
            <w:shd w:val="clear" w:color="auto" w:fill="auto"/>
            <w:noWrap/>
            <w:vAlign w:val="bottom"/>
            <w:hideMark/>
          </w:tcPr>
          <w:p w14:paraId="45755741" w14:textId="77777777" w:rsidR="005C363D" w:rsidRPr="00AE4E8D" w:rsidRDefault="005C363D" w:rsidP="00E8320E">
            <w:pPr>
              <w:jc w:val="center"/>
              <w:rPr>
                <w:rFonts w:ascii="Times New Roman" w:hAnsi="Times New Roman"/>
                <w:sz w:val="16"/>
                <w:lang w:val="es-ES"/>
              </w:rPr>
            </w:pPr>
          </w:p>
        </w:tc>
      </w:tr>
      <w:tr w:rsidR="003B5193" w:rsidRPr="00AE4E8D" w14:paraId="2B7B9C91" w14:textId="77777777" w:rsidTr="00E8320E">
        <w:trPr>
          <w:trHeight w:val="225"/>
        </w:trPr>
        <w:tc>
          <w:tcPr>
            <w:tcW w:w="1091" w:type="pct"/>
            <w:tcBorders>
              <w:top w:val="nil"/>
              <w:left w:val="nil"/>
              <w:bottom w:val="nil"/>
              <w:right w:val="nil"/>
            </w:tcBorders>
            <w:shd w:val="clear" w:color="auto" w:fill="auto"/>
            <w:noWrap/>
            <w:vAlign w:val="center"/>
            <w:hideMark/>
          </w:tcPr>
          <w:p w14:paraId="624144FB"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Ingresos financieros</w:t>
            </w:r>
          </w:p>
        </w:tc>
        <w:tc>
          <w:tcPr>
            <w:tcW w:w="339" w:type="pct"/>
            <w:tcBorders>
              <w:top w:val="nil"/>
              <w:left w:val="nil"/>
              <w:bottom w:val="nil"/>
              <w:right w:val="nil"/>
            </w:tcBorders>
            <w:shd w:val="clear" w:color="auto" w:fill="auto"/>
            <w:noWrap/>
            <w:vAlign w:val="center"/>
            <w:hideMark/>
          </w:tcPr>
          <w:p w14:paraId="7D0038F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2.180.725</w:t>
            </w:r>
          </w:p>
        </w:tc>
        <w:tc>
          <w:tcPr>
            <w:tcW w:w="78" w:type="pct"/>
            <w:tcBorders>
              <w:top w:val="nil"/>
              <w:left w:val="nil"/>
              <w:bottom w:val="nil"/>
              <w:right w:val="nil"/>
            </w:tcBorders>
            <w:shd w:val="clear" w:color="auto" w:fill="auto"/>
            <w:vAlign w:val="center"/>
            <w:hideMark/>
          </w:tcPr>
          <w:p w14:paraId="0C95FECD"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715CB23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3.232.073</w:t>
            </w:r>
          </w:p>
        </w:tc>
        <w:tc>
          <w:tcPr>
            <w:tcW w:w="78" w:type="pct"/>
            <w:tcBorders>
              <w:top w:val="nil"/>
              <w:left w:val="nil"/>
              <w:bottom w:val="nil"/>
              <w:right w:val="nil"/>
            </w:tcBorders>
            <w:shd w:val="clear" w:color="auto" w:fill="auto"/>
            <w:vAlign w:val="center"/>
            <w:hideMark/>
          </w:tcPr>
          <w:p w14:paraId="0C2F086F"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0363536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5.294.899</w:t>
            </w:r>
          </w:p>
        </w:tc>
        <w:tc>
          <w:tcPr>
            <w:tcW w:w="78" w:type="pct"/>
            <w:tcBorders>
              <w:top w:val="nil"/>
              <w:left w:val="nil"/>
              <w:bottom w:val="nil"/>
              <w:right w:val="nil"/>
            </w:tcBorders>
            <w:shd w:val="clear" w:color="auto" w:fill="auto"/>
            <w:vAlign w:val="center"/>
            <w:hideMark/>
          </w:tcPr>
          <w:p w14:paraId="14828DE7"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6F8A8C5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7.246.612</w:t>
            </w:r>
          </w:p>
        </w:tc>
        <w:tc>
          <w:tcPr>
            <w:tcW w:w="78" w:type="pct"/>
            <w:tcBorders>
              <w:top w:val="nil"/>
              <w:left w:val="nil"/>
              <w:bottom w:val="nil"/>
              <w:right w:val="nil"/>
            </w:tcBorders>
            <w:shd w:val="clear" w:color="auto" w:fill="auto"/>
            <w:noWrap/>
            <w:vAlign w:val="bottom"/>
            <w:hideMark/>
          </w:tcPr>
          <w:p w14:paraId="3136D301"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1F49885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9.377.958</w:t>
            </w:r>
          </w:p>
        </w:tc>
        <w:tc>
          <w:tcPr>
            <w:tcW w:w="78" w:type="pct"/>
            <w:tcBorders>
              <w:top w:val="nil"/>
              <w:left w:val="nil"/>
              <w:bottom w:val="nil"/>
              <w:right w:val="nil"/>
            </w:tcBorders>
            <w:shd w:val="clear" w:color="auto" w:fill="auto"/>
            <w:noWrap/>
            <w:vAlign w:val="bottom"/>
            <w:hideMark/>
          </w:tcPr>
          <w:p w14:paraId="62FFFCD8"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1193CDC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591.662</w:t>
            </w:r>
          </w:p>
        </w:tc>
        <w:tc>
          <w:tcPr>
            <w:tcW w:w="78" w:type="pct"/>
            <w:tcBorders>
              <w:top w:val="nil"/>
              <w:left w:val="nil"/>
              <w:bottom w:val="nil"/>
              <w:right w:val="nil"/>
            </w:tcBorders>
            <w:shd w:val="clear" w:color="auto" w:fill="auto"/>
            <w:noWrap/>
            <w:vAlign w:val="bottom"/>
            <w:hideMark/>
          </w:tcPr>
          <w:p w14:paraId="6E490C13"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0361202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4.743.515</w:t>
            </w:r>
          </w:p>
        </w:tc>
        <w:tc>
          <w:tcPr>
            <w:tcW w:w="78" w:type="pct"/>
            <w:tcBorders>
              <w:top w:val="nil"/>
              <w:left w:val="nil"/>
              <w:bottom w:val="nil"/>
              <w:right w:val="nil"/>
            </w:tcBorders>
            <w:shd w:val="clear" w:color="auto" w:fill="auto"/>
            <w:noWrap/>
            <w:vAlign w:val="bottom"/>
          </w:tcPr>
          <w:p w14:paraId="401A42C4"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4A803C8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5.331.279</w:t>
            </w:r>
          </w:p>
        </w:tc>
        <w:tc>
          <w:tcPr>
            <w:tcW w:w="78" w:type="pct"/>
            <w:tcBorders>
              <w:top w:val="nil"/>
              <w:left w:val="nil"/>
              <w:bottom w:val="nil"/>
              <w:right w:val="nil"/>
            </w:tcBorders>
            <w:shd w:val="clear" w:color="auto" w:fill="auto"/>
            <w:noWrap/>
            <w:vAlign w:val="bottom"/>
          </w:tcPr>
          <w:p w14:paraId="34A00E3F"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7B4F479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321.190</w:t>
            </w:r>
          </w:p>
        </w:tc>
      </w:tr>
      <w:tr w:rsidR="003B5193" w:rsidRPr="00AE4E8D" w14:paraId="20743005" w14:textId="77777777" w:rsidTr="00E8320E">
        <w:trPr>
          <w:trHeight w:val="239"/>
        </w:trPr>
        <w:tc>
          <w:tcPr>
            <w:tcW w:w="1091" w:type="pct"/>
            <w:tcBorders>
              <w:top w:val="nil"/>
              <w:left w:val="nil"/>
              <w:bottom w:val="nil"/>
              <w:right w:val="nil"/>
            </w:tcBorders>
            <w:shd w:val="clear" w:color="auto" w:fill="auto"/>
            <w:noWrap/>
            <w:vAlign w:val="center"/>
            <w:hideMark/>
          </w:tcPr>
          <w:p w14:paraId="40323F9E"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Egresos financieros</w:t>
            </w:r>
          </w:p>
        </w:tc>
        <w:tc>
          <w:tcPr>
            <w:tcW w:w="339" w:type="pct"/>
            <w:tcBorders>
              <w:top w:val="nil"/>
              <w:left w:val="nil"/>
              <w:bottom w:val="nil"/>
              <w:right w:val="nil"/>
            </w:tcBorders>
            <w:shd w:val="clear" w:color="auto" w:fill="auto"/>
            <w:noWrap/>
            <w:vAlign w:val="center"/>
            <w:hideMark/>
          </w:tcPr>
          <w:p w14:paraId="62BF5B2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(1.138.629)</w:t>
            </w:r>
          </w:p>
        </w:tc>
        <w:tc>
          <w:tcPr>
            <w:tcW w:w="78" w:type="pct"/>
            <w:tcBorders>
              <w:top w:val="nil"/>
              <w:left w:val="nil"/>
              <w:bottom w:val="nil"/>
              <w:right w:val="nil"/>
            </w:tcBorders>
            <w:shd w:val="clear" w:color="auto" w:fill="auto"/>
            <w:vAlign w:val="center"/>
            <w:hideMark/>
          </w:tcPr>
          <w:p w14:paraId="6219B1D3"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0EC7DBC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(1.602.511)</w:t>
            </w:r>
          </w:p>
        </w:tc>
        <w:tc>
          <w:tcPr>
            <w:tcW w:w="78" w:type="pct"/>
            <w:tcBorders>
              <w:top w:val="nil"/>
              <w:left w:val="nil"/>
              <w:bottom w:val="nil"/>
              <w:right w:val="nil"/>
            </w:tcBorders>
            <w:shd w:val="clear" w:color="auto" w:fill="auto"/>
            <w:vAlign w:val="center"/>
            <w:hideMark/>
          </w:tcPr>
          <w:p w14:paraId="2445FE0A"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single" w:sz="8" w:space="0" w:color="auto"/>
              <w:right w:val="nil"/>
            </w:tcBorders>
            <w:shd w:val="clear" w:color="auto" w:fill="auto"/>
            <w:noWrap/>
            <w:vAlign w:val="center"/>
            <w:hideMark/>
          </w:tcPr>
          <w:p w14:paraId="2C2F7C5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(2.973.378)</w:t>
            </w:r>
          </w:p>
        </w:tc>
        <w:tc>
          <w:tcPr>
            <w:tcW w:w="78" w:type="pct"/>
            <w:tcBorders>
              <w:top w:val="nil"/>
              <w:left w:val="nil"/>
              <w:bottom w:val="nil"/>
              <w:right w:val="nil"/>
            </w:tcBorders>
            <w:shd w:val="clear" w:color="auto" w:fill="auto"/>
            <w:vAlign w:val="center"/>
            <w:hideMark/>
          </w:tcPr>
          <w:p w14:paraId="34C19349"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013C192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(4.212.131)</w:t>
            </w:r>
          </w:p>
        </w:tc>
        <w:tc>
          <w:tcPr>
            <w:tcW w:w="78" w:type="pct"/>
            <w:tcBorders>
              <w:top w:val="nil"/>
              <w:left w:val="nil"/>
              <w:bottom w:val="nil"/>
              <w:right w:val="nil"/>
            </w:tcBorders>
            <w:shd w:val="clear" w:color="auto" w:fill="auto"/>
            <w:noWrap/>
            <w:vAlign w:val="bottom"/>
            <w:hideMark/>
          </w:tcPr>
          <w:p w14:paraId="799DF1DD"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hideMark/>
          </w:tcPr>
          <w:p w14:paraId="3B549F6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(6.558.578)</w:t>
            </w:r>
          </w:p>
        </w:tc>
        <w:tc>
          <w:tcPr>
            <w:tcW w:w="78" w:type="pct"/>
            <w:tcBorders>
              <w:top w:val="nil"/>
              <w:left w:val="nil"/>
              <w:bottom w:val="nil"/>
              <w:right w:val="nil"/>
            </w:tcBorders>
            <w:shd w:val="clear" w:color="auto" w:fill="auto"/>
            <w:noWrap/>
            <w:vAlign w:val="bottom"/>
            <w:hideMark/>
          </w:tcPr>
          <w:p w14:paraId="3874EC71"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single" w:sz="8" w:space="0" w:color="auto"/>
              <w:right w:val="nil"/>
            </w:tcBorders>
            <w:shd w:val="clear" w:color="auto" w:fill="auto"/>
            <w:noWrap/>
            <w:vAlign w:val="center"/>
            <w:hideMark/>
          </w:tcPr>
          <w:p w14:paraId="789F8EB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(413.785)</w:t>
            </w:r>
          </w:p>
        </w:tc>
        <w:tc>
          <w:tcPr>
            <w:tcW w:w="78" w:type="pct"/>
            <w:tcBorders>
              <w:top w:val="nil"/>
              <w:left w:val="nil"/>
              <w:bottom w:val="nil"/>
              <w:right w:val="nil"/>
            </w:tcBorders>
            <w:shd w:val="clear" w:color="auto" w:fill="auto"/>
            <w:noWrap/>
            <w:vAlign w:val="bottom"/>
            <w:hideMark/>
          </w:tcPr>
          <w:p w14:paraId="1C327F90"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single" w:sz="8" w:space="0" w:color="auto"/>
              <w:right w:val="nil"/>
            </w:tcBorders>
            <w:shd w:val="clear" w:color="auto" w:fill="auto"/>
            <w:noWrap/>
            <w:vAlign w:val="center"/>
          </w:tcPr>
          <w:p w14:paraId="585467A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(3.276.656)</w:t>
            </w:r>
          </w:p>
        </w:tc>
        <w:tc>
          <w:tcPr>
            <w:tcW w:w="78" w:type="pct"/>
            <w:tcBorders>
              <w:top w:val="nil"/>
              <w:left w:val="nil"/>
              <w:bottom w:val="nil"/>
              <w:right w:val="nil"/>
            </w:tcBorders>
            <w:shd w:val="clear" w:color="auto" w:fill="auto"/>
            <w:noWrap/>
            <w:vAlign w:val="bottom"/>
          </w:tcPr>
          <w:p w14:paraId="3918DE7D"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tcPr>
          <w:p w14:paraId="0A1C281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(3.440.399)</w:t>
            </w:r>
          </w:p>
        </w:tc>
        <w:tc>
          <w:tcPr>
            <w:tcW w:w="78" w:type="pct"/>
            <w:tcBorders>
              <w:top w:val="nil"/>
              <w:left w:val="nil"/>
              <w:bottom w:val="nil"/>
              <w:right w:val="nil"/>
            </w:tcBorders>
            <w:shd w:val="clear" w:color="auto" w:fill="auto"/>
            <w:noWrap/>
            <w:vAlign w:val="bottom"/>
          </w:tcPr>
          <w:p w14:paraId="7539F907"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single" w:sz="8" w:space="0" w:color="auto"/>
              <w:right w:val="nil"/>
            </w:tcBorders>
            <w:shd w:val="clear" w:color="auto" w:fill="auto"/>
            <w:noWrap/>
            <w:vAlign w:val="center"/>
          </w:tcPr>
          <w:p w14:paraId="4C136E1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(207.272)</w:t>
            </w:r>
          </w:p>
        </w:tc>
      </w:tr>
      <w:tr w:rsidR="003B5193" w:rsidRPr="00AE4E8D" w14:paraId="03EA87E9" w14:textId="77777777" w:rsidTr="00E8320E">
        <w:trPr>
          <w:trHeight w:val="239"/>
        </w:trPr>
        <w:tc>
          <w:tcPr>
            <w:tcW w:w="1091" w:type="pct"/>
            <w:tcBorders>
              <w:top w:val="nil"/>
              <w:left w:val="nil"/>
              <w:bottom w:val="nil"/>
              <w:right w:val="nil"/>
            </w:tcBorders>
            <w:shd w:val="clear" w:color="auto" w:fill="auto"/>
            <w:noWrap/>
            <w:vAlign w:val="center"/>
            <w:hideMark/>
          </w:tcPr>
          <w:p w14:paraId="2462EF5C"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Margen financiero neto</w:t>
            </w:r>
          </w:p>
        </w:tc>
        <w:tc>
          <w:tcPr>
            <w:tcW w:w="339" w:type="pct"/>
            <w:tcBorders>
              <w:top w:val="single" w:sz="8" w:space="0" w:color="auto"/>
              <w:left w:val="nil"/>
              <w:bottom w:val="single" w:sz="8" w:space="0" w:color="auto"/>
              <w:right w:val="nil"/>
            </w:tcBorders>
            <w:shd w:val="clear" w:color="auto" w:fill="auto"/>
            <w:noWrap/>
            <w:vAlign w:val="center"/>
            <w:hideMark/>
          </w:tcPr>
          <w:p w14:paraId="0285511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1.042.096</w:t>
            </w:r>
          </w:p>
        </w:tc>
        <w:tc>
          <w:tcPr>
            <w:tcW w:w="78" w:type="pct"/>
            <w:tcBorders>
              <w:top w:val="nil"/>
              <w:left w:val="nil"/>
              <w:bottom w:val="nil"/>
              <w:right w:val="nil"/>
            </w:tcBorders>
            <w:shd w:val="clear" w:color="auto" w:fill="auto"/>
            <w:vAlign w:val="center"/>
            <w:hideMark/>
          </w:tcPr>
          <w:p w14:paraId="4F84FA28"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3B7DB4B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1.629.562</w:t>
            </w:r>
          </w:p>
        </w:tc>
        <w:tc>
          <w:tcPr>
            <w:tcW w:w="78" w:type="pct"/>
            <w:tcBorders>
              <w:top w:val="nil"/>
              <w:left w:val="nil"/>
              <w:bottom w:val="nil"/>
              <w:right w:val="nil"/>
            </w:tcBorders>
            <w:shd w:val="clear" w:color="auto" w:fill="auto"/>
            <w:vAlign w:val="center"/>
            <w:hideMark/>
          </w:tcPr>
          <w:p w14:paraId="608A9557"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single" w:sz="8" w:space="0" w:color="auto"/>
              <w:right w:val="nil"/>
            </w:tcBorders>
            <w:shd w:val="clear" w:color="auto" w:fill="auto"/>
            <w:noWrap/>
            <w:vAlign w:val="center"/>
            <w:hideMark/>
          </w:tcPr>
          <w:p w14:paraId="3F9001A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2.321.521</w:t>
            </w:r>
          </w:p>
        </w:tc>
        <w:tc>
          <w:tcPr>
            <w:tcW w:w="78" w:type="pct"/>
            <w:tcBorders>
              <w:top w:val="nil"/>
              <w:left w:val="nil"/>
              <w:bottom w:val="nil"/>
              <w:right w:val="nil"/>
            </w:tcBorders>
            <w:shd w:val="clear" w:color="auto" w:fill="auto"/>
            <w:vAlign w:val="center"/>
            <w:hideMark/>
          </w:tcPr>
          <w:p w14:paraId="129CFFE0"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2C10E66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3.034.481</w:t>
            </w:r>
          </w:p>
        </w:tc>
        <w:tc>
          <w:tcPr>
            <w:tcW w:w="78" w:type="pct"/>
            <w:tcBorders>
              <w:top w:val="nil"/>
              <w:left w:val="nil"/>
              <w:bottom w:val="nil"/>
              <w:right w:val="nil"/>
            </w:tcBorders>
            <w:shd w:val="clear" w:color="auto" w:fill="auto"/>
            <w:noWrap/>
            <w:vAlign w:val="bottom"/>
            <w:hideMark/>
          </w:tcPr>
          <w:p w14:paraId="1F64CA54"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hideMark/>
          </w:tcPr>
          <w:p w14:paraId="78B2AD1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2.819.380</w:t>
            </w:r>
          </w:p>
        </w:tc>
        <w:tc>
          <w:tcPr>
            <w:tcW w:w="78" w:type="pct"/>
            <w:tcBorders>
              <w:top w:val="nil"/>
              <w:left w:val="nil"/>
              <w:bottom w:val="nil"/>
              <w:right w:val="nil"/>
            </w:tcBorders>
            <w:shd w:val="clear" w:color="auto" w:fill="auto"/>
            <w:noWrap/>
            <w:vAlign w:val="bottom"/>
            <w:hideMark/>
          </w:tcPr>
          <w:p w14:paraId="79A81F01"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single" w:sz="8" w:space="0" w:color="auto"/>
              <w:right w:val="nil"/>
            </w:tcBorders>
            <w:shd w:val="clear" w:color="auto" w:fill="auto"/>
            <w:noWrap/>
            <w:vAlign w:val="center"/>
            <w:hideMark/>
          </w:tcPr>
          <w:p w14:paraId="41BA51B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177.877</w:t>
            </w:r>
          </w:p>
        </w:tc>
        <w:tc>
          <w:tcPr>
            <w:tcW w:w="78" w:type="pct"/>
            <w:tcBorders>
              <w:top w:val="nil"/>
              <w:left w:val="nil"/>
              <w:bottom w:val="nil"/>
              <w:right w:val="nil"/>
            </w:tcBorders>
            <w:shd w:val="clear" w:color="auto" w:fill="auto"/>
            <w:noWrap/>
            <w:vAlign w:val="bottom"/>
            <w:hideMark/>
          </w:tcPr>
          <w:p w14:paraId="23DE9A8D"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single" w:sz="8" w:space="0" w:color="auto"/>
              <w:right w:val="nil"/>
            </w:tcBorders>
            <w:shd w:val="clear" w:color="auto" w:fill="auto"/>
            <w:noWrap/>
            <w:vAlign w:val="center"/>
          </w:tcPr>
          <w:p w14:paraId="2DDBD35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1.466.859</w:t>
            </w:r>
          </w:p>
        </w:tc>
        <w:tc>
          <w:tcPr>
            <w:tcW w:w="78" w:type="pct"/>
            <w:tcBorders>
              <w:top w:val="nil"/>
              <w:left w:val="nil"/>
              <w:bottom w:val="nil"/>
              <w:right w:val="nil"/>
            </w:tcBorders>
            <w:shd w:val="clear" w:color="auto" w:fill="auto"/>
            <w:noWrap/>
            <w:vAlign w:val="bottom"/>
          </w:tcPr>
          <w:p w14:paraId="65485CD7"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tcPr>
          <w:p w14:paraId="241E9DF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1.890.880</w:t>
            </w:r>
          </w:p>
        </w:tc>
        <w:tc>
          <w:tcPr>
            <w:tcW w:w="78" w:type="pct"/>
            <w:tcBorders>
              <w:top w:val="nil"/>
              <w:left w:val="nil"/>
              <w:bottom w:val="nil"/>
              <w:right w:val="nil"/>
            </w:tcBorders>
            <w:shd w:val="clear" w:color="auto" w:fill="auto"/>
            <w:noWrap/>
            <w:vAlign w:val="bottom"/>
          </w:tcPr>
          <w:p w14:paraId="459DE75D"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single" w:sz="8" w:space="0" w:color="auto"/>
              <w:right w:val="nil"/>
            </w:tcBorders>
            <w:shd w:val="clear" w:color="auto" w:fill="auto"/>
            <w:noWrap/>
            <w:vAlign w:val="center"/>
          </w:tcPr>
          <w:p w14:paraId="55C1B93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113.919</w:t>
            </w:r>
          </w:p>
        </w:tc>
      </w:tr>
      <w:tr w:rsidR="003B5193" w:rsidRPr="00AE4E8D" w14:paraId="73F99D30" w14:textId="77777777" w:rsidTr="00E8320E">
        <w:trPr>
          <w:trHeight w:val="225"/>
        </w:trPr>
        <w:tc>
          <w:tcPr>
            <w:tcW w:w="1091" w:type="pct"/>
            <w:tcBorders>
              <w:top w:val="nil"/>
              <w:left w:val="nil"/>
              <w:bottom w:val="nil"/>
              <w:right w:val="nil"/>
            </w:tcBorders>
            <w:shd w:val="clear" w:color="auto" w:fill="auto"/>
            <w:noWrap/>
            <w:vAlign w:val="center"/>
            <w:hideMark/>
          </w:tcPr>
          <w:p w14:paraId="576CB9D4"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Cargo por incobrabilidad</w:t>
            </w:r>
          </w:p>
        </w:tc>
        <w:tc>
          <w:tcPr>
            <w:tcW w:w="339" w:type="pct"/>
            <w:tcBorders>
              <w:top w:val="nil"/>
              <w:left w:val="nil"/>
              <w:bottom w:val="nil"/>
              <w:right w:val="nil"/>
            </w:tcBorders>
            <w:shd w:val="clear" w:color="auto" w:fill="auto"/>
            <w:noWrap/>
            <w:vAlign w:val="center"/>
            <w:hideMark/>
          </w:tcPr>
          <w:p w14:paraId="0121DF1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(200.922)</w:t>
            </w:r>
          </w:p>
        </w:tc>
        <w:tc>
          <w:tcPr>
            <w:tcW w:w="78" w:type="pct"/>
            <w:tcBorders>
              <w:top w:val="nil"/>
              <w:left w:val="nil"/>
              <w:bottom w:val="nil"/>
              <w:right w:val="nil"/>
            </w:tcBorders>
            <w:shd w:val="clear" w:color="auto" w:fill="auto"/>
            <w:vAlign w:val="center"/>
            <w:hideMark/>
          </w:tcPr>
          <w:p w14:paraId="0B7876D6"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7739E6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(264.290)</w:t>
            </w:r>
          </w:p>
        </w:tc>
        <w:tc>
          <w:tcPr>
            <w:tcW w:w="78" w:type="pct"/>
            <w:tcBorders>
              <w:top w:val="nil"/>
              <w:left w:val="nil"/>
              <w:bottom w:val="nil"/>
              <w:right w:val="nil"/>
            </w:tcBorders>
            <w:shd w:val="clear" w:color="auto" w:fill="auto"/>
            <w:vAlign w:val="center"/>
            <w:hideMark/>
          </w:tcPr>
          <w:p w14:paraId="199180CC"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7E06CEF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(343.437)</w:t>
            </w:r>
          </w:p>
        </w:tc>
        <w:tc>
          <w:tcPr>
            <w:tcW w:w="78" w:type="pct"/>
            <w:tcBorders>
              <w:top w:val="nil"/>
              <w:left w:val="nil"/>
              <w:bottom w:val="nil"/>
              <w:right w:val="nil"/>
            </w:tcBorders>
            <w:shd w:val="clear" w:color="auto" w:fill="auto"/>
            <w:vAlign w:val="center"/>
            <w:hideMark/>
          </w:tcPr>
          <w:p w14:paraId="663F9CEE"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317456F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(354.179)</w:t>
            </w:r>
          </w:p>
        </w:tc>
        <w:tc>
          <w:tcPr>
            <w:tcW w:w="78" w:type="pct"/>
            <w:tcBorders>
              <w:top w:val="nil"/>
              <w:left w:val="nil"/>
              <w:bottom w:val="nil"/>
              <w:right w:val="nil"/>
            </w:tcBorders>
            <w:shd w:val="clear" w:color="auto" w:fill="auto"/>
            <w:noWrap/>
            <w:vAlign w:val="bottom"/>
            <w:hideMark/>
          </w:tcPr>
          <w:p w14:paraId="573908E9"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4217C1E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(466.365)</w:t>
            </w:r>
          </w:p>
        </w:tc>
        <w:tc>
          <w:tcPr>
            <w:tcW w:w="78" w:type="pct"/>
            <w:tcBorders>
              <w:top w:val="nil"/>
              <w:left w:val="nil"/>
              <w:bottom w:val="nil"/>
              <w:right w:val="nil"/>
            </w:tcBorders>
            <w:shd w:val="clear" w:color="auto" w:fill="auto"/>
            <w:noWrap/>
            <w:vAlign w:val="bottom"/>
            <w:hideMark/>
          </w:tcPr>
          <w:p w14:paraId="2476FDBC"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03F0D2F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(29.423)</w:t>
            </w:r>
          </w:p>
        </w:tc>
        <w:tc>
          <w:tcPr>
            <w:tcW w:w="78" w:type="pct"/>
            <w:tcBorders>
              <w:top w:val="nil"/>
              <w:left w:val="nil"/>
              <w:bottom w:val="nil"/>
              <w:right w:val="nil"/>
            </w:tcBorders>
            <w:shd w:val="clear" w:color="auto" w:fill="auto"/>
            <w:noWrap/>
            <w:vAlign w:val="bottom"/>
            <w:hideMark/>
          </w:tcPr>
          <w:p w14:paraId="48DA1403"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713E9F7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(200.792)</w:t>
            </w:r>
          </w:p>
        </w:tc>
        <w:tc>
          <w:tcPr>
            <w:tcW w:w="78" w:type="pct"/>
            <w:tcBorders>
              <w:top w:val="nil"/>
              <w:left w:val="nil"/>
              <w:bottom w:val="nil"/>
              <w:right w:val="nil"/>
            </w:tcBorders>
            <w:shd w:val="clear" w:color="auto" w:fill="auto"/>
            <w:noWrap/>
            <w:vAlign w:val="bottom"/>
          </w:tcPr>
          <w:p w14:paraId="0A78730C"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49E24C8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(379.680)</w:t>
            </w:r>
          </w:p>
        </w:tc>
        <w:tc>
          <w:tcPr>
            <w:tcW w:w="78" w:type="pct"/>
            <w:tcBorders>
              <w:top w:val="nil"/>
              <w:left w:val="nil"/>
              <w:bottom w:val="nil"/>
              <w:right w:val="nil"/>
            </w:tcBorders>
            <w:shd w:val="clear" w:color="auto" w:fill="auto"/>
            <w:noWrap/>
            <w:vAlign w:val="bottom"/>
          </w:tcPr>
          <w:p w14:paraId="099EC797"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2B5B989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(22.874)</w:t>
            </w:r>
          </w:p>
        </w:tc>
      </w:tr>
      <w:tr w:rsidR="003B5193" w:rsidRPr="00AE4E8D" w14:paraId="67EF8E9E" w14:textId="77777777" w:rsidTr="00E8320E">
        <w:trPr>
          <w:trHeight w:val="225"/>
        </w:trPr>
        <w:tc>
          <w:tcPr>
            <w:tcW w:w="1091" w:type="pct"/>
            <w:tcBorders>
              <w:top w:val="nil"/>
              <w:left w:val="nil"/>
              <w:bottom w:val="nil"/>
              <w:right w:val="nil"/>
            </w:tcBorders>
            <w:shd w:val="clear" w:color="auto" w:fill="auto"/>
            <w:noWrap/>
            <w:vAlign w:val="center"/>
            <w:hideMark/>
          </w:tcPr>
          <w:p w14:paraId="4A102D74"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Ingresos por Servicios</w:t>
            </w:r>
          </w:p>
        </w:tc>
        <w:tc>
          <w:tcPr>
            <w:tcW w:w="339" w:type="pct"/>
            <w:tcBorders>
              <w:top w:val="nil"/>
              <w:left w:val="nil"/>
              <w:bottom w:val="nil"/>
              <w:right w:val="nil"/>
            </w:tcBorders>
            <w:shd w:val="clear" w:color="auto" w:fill="auto"/>
            <w:noWrap/>
            <w:vAlign w:val="center"/>
            <w:hideMark/>
          </w:tcPr>
          <w:p w14:paraId="69AC8E1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1.172.154</w:t>
            </w:r>
          </w:p>
        </w:tc>
        <w:tc>
          <w:tcPr>
            <w:tcW w:w="78" w:type="pct"/>
            <w:tcBorders>
              <w:top w:val="nil"/>
              <w:left w:val="nil"/>
              <w:bottom w:val="nil"/>
              <w:right w:val="nil"/>
            </w:tcBorders>
            <w:shd w:val="clear" w:color="auto" w:fill="auto"/>
            <w:vAlign w:val="center"/>
            <w:hideMark/>
          </w:tcPr>
          <w:p w14:paraId="1BD3BEC2"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549C70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1.737.320</w:t>
            </w:r>
          </w:p>
        </w:tc>
        <w:tc>
          <w:tcPr>
            <w:tcW w:w="78" w:type="pct"/>
            <w:tcBorders>
              <w:top w:val="nil"/>
              <w:left w:val="nil"/>
              <w:bottom w:val="nil"/>
              <w:right w:val="nil"/>
            </w:tcBorders>
            <w:shd w:val="clear" w:color="auto" w:fill="auto"/>
            <w:vAlign w:val="center"/>
            <w:hideMark/>
          </w:tcPr>
          <w:p w14:paraId="1A6469DA"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193D86A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2.609.450</w:t>
            </w:r>
          </w:p>
        </w:tc>
        <w:tc>
          <w:tcPr>
            <w:tcW w:w="78" w:type="pct"/>
            <w:tcBorders>
              <w:top w:val="nil"/>
              <w:left w:val="nil"/>
              <w:bottom w:val="nil"/>
              <w:right w:val="nil"/>
            </w:tcBorders>
            <w:shd w:val="clear" w:color="auto" w:fill="auto"/>
            <w:vAlign w:val="center"/>
            <w:hideMark/>
          </w:tcPr>
          <w:p w14:paraId="686429FB"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65AB768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3.934.395</w:t>
            </w:r>
          </w:p>
        </w:tc>
        <w:tc>
          <w:tcPr>
            <w:tcW w:w="78" w:type="pct"/>
            <w:tcBorders>
              <w:top w:val="nil"/>
              <w:left w:val="nil"/>
              <w:bottom w:val="nil"/>
              <w:right w:val="nil"/>
            </w:tcBorders>
            <w:shd w:val="clear" w:color="auto" w:fill="auto"/>
            <w:noWrap/>
            <w:vAlign w:val="bottom"/>
            <w:hideMark/>
          </w:tcPr>
          <w:p w14:paraId="7DEFB611"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7028A8E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5.139.888</w:t>
            </w:r>
          </w:p>
        </w:tc>
        <w:tc>
          <w:tcPr>
            <w:tcW w:w="78" w:type="pct"/>
            <w:tcBorders>
              <w:top w:val="nil"/>
              <w:left w:val="nil"/>
              <w:bottom w:val="nil"/>
              <w:right w:val="nil"/>
            </w:tcBorders>
            <w:shd w:val="clear" w:color="auto" w:fill="auto"/>
            <w:noWrap/>
            <w:vAlign w:val="bottom"/>
            <w:hideMark/>
          </w:tcPr>
          <w:p w14:paraId="62E39F92"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516D8A2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324.279</w:t>
            </w:r>
          </w:p>
        </w:tc>
        <w:tc>
          <w:tcPr>
            <w:tcW w:w="78" w:type="pct"/>
            <w:tcBorders>
              <w:top w:val="nil"/>
              <w:left w:val="nil"/>
              <w:bottom w:val="nil"/>
              <w:right w:val="nil"/>
            </w:tcBorders>
            <w:shd w:val="clear" w:color="auto" w:fill="auto"/>
            <w:noWrap/>
            <w:vAlign w:val="bottom"/>
            <w:hideMark/>
          </w:tcPr>
          <w:p w14:paraId="725A5D33"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0FB6559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2.258.673</w:t>
            </w:r>
          </w:p>
        </w:tc>
        <w:tc>
          <w:tcPr>
            <w:tcW w:w="78" w:type="pct"/>
            <w:tcBorders>
              <w:top w:val="nil"/>
              <w:left w:val="nil"/>
              <w:bottom w:val="nil"/>
              <w:right w:val="nil"/>
            </w:tcBorders>
            <w:shd w:val="clear" w:color="auto" w:fill="auto"/>
            <w:noWrap/>
            <w:vAlign w:val="bottom"/>
          </w:tcPr>
          <w:p w14:paraId="60FEDA52"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2C0A72C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2.922.960</w:t>
            </w:r>
          </w:p>
        </w:tc>
        <w:tc>
          <w:tcPr>
            <w:tcW w:w="78" w:type="pct"/>
            <w:tcBorders>
              <w:top w:val="nil"/>
              <w:left w:val="nil"/>
              <w:bottom w:val="nil"/>
              <w:right w:val="nil"/>
            </w:tcBorders>
            <w:shd w:val="clear" w:color="auto" w:fill="auto"/>
            <w:noWrap/>
            <w:vAlign w:val="bottom"/>
          </w:tcPr>
          <w:p w14:paraId="27E200DB"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24478CC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176.098</w:t>
            </w:r>
          </w:p>
        </w:tc>
      </w:tr>
      <w:tr w:rsidR="003B5193" w:rsidRPr="00AE4E8D" w14:paraId="5425F7EC" w14:textId="77777777" w:rsidTr="00E8320E">
        <w:trPr>
          <w:trHeight w:val="225"/>
        </w:trPr>
        <w:tc>
          <w:tcPr>
            <w:tcW w:w="1091" w:type="pct"/>
            <w:tcBorders>
              <w:top w:val="nil"/>
              <w:left w:val="nil"/>
              <w:bottom w:val="nil"/>
              <w:right w:val="nil"/>
            </w:tcBorders>
            <w:shd w:val="clear" w:color="auto" w:fill="auto"/>
            <w:noWrap/>
            <w:vAlign w:val="center"/>
            <w:hideMark/>
          </w:tcPr>
          <w:p w14:paraId="6C3F40AD"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Egresos por servicios</w:t>
            </w:r>
          </w:p>
        </w:tc>
        <w:tc>
          <w:tcPr>
            <w:tcW w:w="339" w:type="pct"/>
            <w:tcBorders>
              <w:top w:val="nil"/>
              <w:left w:val="nil"/>
              <w:bottom w:val="nil"/>
              <w:right w:val="nil"/>
            </w:tcBorders>
            <w:shd w:val="clear" w:color="auto" w:fill="auto"/>
            <w:noWrap/>
            <w:vAlign w:val="center"/>
            <w:hideMark/>
          </w:tcPr>
          <w:p w14:paraId="51A121A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(191.331)</w:t>
            </w:r>
          </w:p>
        </w:tc>
        <w:tc>
          <w:tcPr>
            <w:tcW w:w="78" w:type="pct"/>
            <w:tcBorders>
              <w:top w:val="nil"/>
              <w:left w:val="nil"/>
              <w:bottom w:val="nil"/>
              <w:right w:val="nil"/>
            </w:tcBorders>
            <w:shd w:val="clear" w:color="auto" w:fill="auto"/>
            <w:vAlign w:val="center"/>
            <w:hideMark/>
          </w:tcPr>
          <w:p w14:paraId="2D953121"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4F8A859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(518.039)</w:t>
            </w:r>
          </w:p>
        </w:tc>
        <w:tc>
          <w:tcPr>
            <w:tcW w:w="78" w:type="pct"/>
            <w:tcBorders>
              <w:top w:val="nil"/>
              <w:left w:val="nil"/>
              <w:bottom w:val="nil"/>
              <w:right w:val="nil"/>
            </w:tcBorders>
            <w:shd w:val="clear" w:color="auto" w:fill="auto"/>
            <w:vAlign w:val="center"/>
            <w:hideMark/>
          </w:tcPr>
          <w:p w14:paraId="10330FED"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11F6C16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(699.632)</w:t>
            </w:r>
          </w:p>
        </w:tc>
        <w:tc>
          <w:tcPr>
            <w:tcW w:w="78" w:type="pct"/>
            <w:tcBorders>
              <w:top w:val="nil"/>
              <w:left w:val="nil"/>
              <w:bottom w:val="nil"/>
              <w:right w:val="nil"/>
            </w:tcBorders>
            <w:shd w:val="clear" w:color="auto" w:fill="auto"/>
            <w:vAlign w:val="center"/>
            <w:hideMark/>
          </w:tcPr>
          <w:p w14:paraId="426753A1"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110029F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(908.820)</w:t>
            </w:r>
          </w:p>
        </w:tc>
        <w:tc>
          <w:tcPr>
            <w:tcW w:w="78" w:type="pct"/>
            <w:tcBorders>
              <w:top w:val="nil"/>
              <w:left w:val="nil"/>
              <w:bottom w:val="nil"/>
              <w:right w:val="nil"/>
            </w:tcBorders>
            <w:shd w:val="clear" w:color="auto" w:fill="auto"/>
            <w:noWrap/>
            <w:vAlign w:val="bottom"/>
            <w:hideMark/>
          </w:tcPr>
          <w:p w14:paraId="4E55F650"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52D74D4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(1.251.453)</w:t>
            </w:r>
          </w:p>
        </w:tc>
        <w:tc>
          <w:tcPr>
            <w:tcW w:w="78" w:type="pct"/>
            <w:tcBorders>
              <w:top w:val="nil"/>
              <w:left w:val="nil"/>
              <w:bottom w:val="nil"/>
              <w:right w:val="nil"/>
            </w:tcBorders>
            <w:shd w:val="clear" w:color="auto" w:fill="auto"/>
            <w:noWrap/>
            <w:vAlign w:val="bottom"/>
            <w:hideMark/>
          </w:tcPr>
          <w:p w14:paraId="28BB8990"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3D990FB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(78.955)</w:t>
            </w:r>
          </w:p>
        </w:tc>
        <w:tc>
          <w:tcPr>
            <w:tcW w:w="78" w:type="pct"/>
            <w:tcBorders>
              <w:top w:val="nil"/>
              <w:left w:val="nil"/>
              <w:bottom w:val="nil"/>
              <w:right w:val="nil"/>
            </w:tcBorders>
            <w:shd w:val="clear" w:color="auto" w:fill="auto"/>
            <w:noWrap/>
            <w:vAlign w:val="bottom"/>
            <w:hideMark/>
          </w:tcPr>
          <w:p w14:paraId="33FC8E03"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7AE0DB3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(524.909)</w:t>
            </w:r>
          </w:p>
        </w:tc>
        <w:tc>
          <w:tcPr>
            <w:tcW w:w="78" w:type="pct"/>
            <w:tcBorders>
              <w:top w:val="nil"/>
              <w:left w:val="nil"/>
              <w:bottom w:val="nil"/>
              <w:right w:val="nil"/>
            </w:tcBorders>
            <w:shd w:val="clear" w:color="auto" w:fill="auto"/>
            <w:noWrap/>
            <w:vAlign w:val="bottom"/>
          </w:tcPr>
          <w:p w14:paraId="1F468375"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6F2DD51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(645.011)</w:t>
            </w:r>
          </w:p>
        </w:tc>
        <w:tc>
          <w:tcPr>
            <w:tcW w:w="78" w:type="pct"/>
            <w:tcBorders>
              <w:top w:val="nil"/>
              <w:left w:val="nil"/>
              <w:bottom w:val="nil"/>
              <w:right w:val="nil"/>
            </w:tcBorders>
            <w:shd w:val="clear" w:color="auto" w:fill="auto"/>
            <w:noWrap/>
            <w:vAlign w:val="bottom"/>
          </w:tcPr>
          <w:p w14:paraId="4C54353C"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558B180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(38.860)</w:t>
            </w:r>
          </w:p>
        </w:tc>
      </w:tr>
      <w:tr w:rsidR="003B5193" w:rsidRPr="00AE4E8D" w14:paraId="27962F5C" w14:textId="77777777" w:rsidTr="00E8320E">
        <w:trPr>
          <w:trHeight w:val="225"/>
        </w:trPr>
        <w:tc>
          <w:tcPr>
            <w:tcW w:w="1091" w:type="pct"/>
            <w:tcBorders>
              <w:top w:val="nil"/>
              <w:left w:val="nil"/>
              <w:bottom w:val="nil"/>
              <w:right w:val="nil"/>
            </w:tcBorders>
            <w:shd w:val="clear" w:color="auto" w:fill="auto"/>
            <w:noWrap/>
            <w:vAlign w:val="center"/>
            <w:hideMark/>
          </w:tcPr>
          <w:p w14:paraId="4FA4ECBA"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Gastos administrativos</w:t>
            </w:r>
          </w:p>
        </w:tc>
        <w:tc>
          <w:tcPr>
            <w:tcW w:w="339" w:type="pct"/>
            <w:tcBorders>
              <w:top w:val="nil"/>
              <w:left w:val="nil"/>
              <w:bottom w:val="nil"/>
              <w:right w:val="nil"/>
            </w:tcBorders>
            <w:shd w:val="clear" w:color="auto" w:fill="auto"/>
            <w:noWrap/>
            <w:vAlign w:val="center"/>
            <w:hideMark/>
          </w:tcPr>
          <w:p w14:paraId="051A8D2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(1.440.391)</w:t>
            </w:r>
          </w:p>
        </w:tc>
        <w:tc>
          <w:tcPr>
            <w:tcW w:w="78" w:type="pct"/>
            <w:tcBorders>
              <w:top w:val="nil"/>
              <w:left w:val="nil"/>
              <w:bottom w:val="nil"/>
              <w:right w:val="nil"/>
            </w:tcBorders>
            <w:shd w:val="clear" w:color="auto" w:fill="auto"/>
            <w:vAlign w:val="center"/>
            <w:hideMark/>
          </w:tcPr>
          <w:p w14:paraId="66A645D1"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13D160A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(1.896.956)</w:t>
            </w:r>
          </w:p>
        </w:tc>
        <w:tc>
          <w:tcPr>
            <w:tcW w:w="78" w:type="pct"/>
            <w:tcBorders>
              <w:top w:val="nil"/>
              <w:left w:val="nil"/>
              <w:bottom w:val="nil"/>
              <w:right w:val="nil"/>
            </w:tcBorders>
            <w:shd w:val="clear" w:color="auto" w:fill="auto"/>
            <w:vAlign w:val="center"/>
            <w:hideMark/>
          </w:tcPr>
          <w:p w14:paraId="6275DEED"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5EF6186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(2.855.738)</w:t>
            </w:r>
          </w:p>
        </w:tc>
        <w:tc>
          <w:tcPr>
            <w:tcW w:w="78" w:type="pct"/>
            <w:tcBorders>
              <w:top w:val="nil"/>
              <w:left w:val="nil"/>
              <w:bottom w:val="nil"/>
              <w:right w:val="nil"/>
            </w:tcBorders>
            <w:shd w:val="clear" w:color="auto" w:fill="auto"/>
            <w:vAlign w:val="center"/>
            <w:hideMark/>
          </w:tcPr>
          <w:p w14:paraId="22129C8E"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3F0CC07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(3.952.592)</w:t>
            </w:r>
          </w:p>
        </w:tc>
        <w:tc>
          <w:tcPr>
            <w:tcW w:w="78" w:type="pct"/>
            <w:tcBorders>
              <w:top w:val="nil"/>
              <w:left w:val="nil"/>
              <w:bottom w:val="nil"/>
              <w:right w:val="nil"/>
            </w:tcBorders>
            <w:shd w:val="clear" w:color="auto" w:fill="auto"/>
            <w:noWrap/>
            <w:vAlign w:val="bottom"/>
            <w:hideMark/>
          </w:tcPr>
          <w:p w14:paraId="674056A4"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2A48C15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(5.014.461)</w:t>
            </w:r>
          </w:p>
        </w:tc>
        <w:tc>
          <w:tcPr>
            <w:tcW w:w="78" w:type="pct"/>
            <w:tcBorders>
              <w:top w:val="nil"/>
              <w:left w:val="nil"/>
              <w:bottom w:val="nil"/>
              <w:right w:val="nil"/>
            </w:tcBorders>
            <w:shd w:val="clear" w:color="auto" w:fill="auto"/>
            <w:noWrap/>
            <w:vAlign w:val="bottom"/>
            <w:hideMark/>
          </w:tcPr>
          <w:p w14:paraId="442F33A7"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61DD54D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(316.366)</w:t>
            </w:r>
          </w:p>
        </w:tc>
        <w:tc>
          <w:tcPr>
            <w:tcW w:w="78" w:type="pct"/>
            <w:tcBorders>
              <w:top w:val="nil"/>
              <w:left w:val="nil"/>
              <w:bottom w:val="nil"/>
              <w:right w:val="nil"/>
            </w:tcBorders>
            <w:shd w:val="clear" w:color="auto" w:fill="auto"/>
            <w:noWrap/>
            <w:vAlign w:val="bottom"/>
            <w:hideMark/>
          </w:tcPr>
          <w:p w14:paraId="030CF81B"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2396CD2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(2.343.889)</w:t>
            </w:r>
          </w:p>
        </w:tc>
        <w:tc>
          <w:tcPr>
            <w:tcW w:w="78" w:type="pct"/>
            <w:tcBorders>
              <w:top w:val="nil"/>
              <w:left w:val="nil"/>
              <w:bottom w:val="nil"/>
              <w:right w:val="nil"/>
            </w:tcBorders>
            <w:shd w:val="clear" w:color="auto" w:fill="auto"/>
            <w:noWrap/>
            <w:vAlign w:val="bottom"/>
          </w:tcPr>
          <w:p w14:paraId="6B49CEA6"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0989B9F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(2.812.407)</w:t>
            </w:r>
          </w:p>
        </w:tc>
        <w:tc>
          <w:tcPr>
            <w:tcW w:w="78" w:type="pct"/>
            <w:tcBorders>
              <w:top w:val="nil"/>
              <w:left w:val="nil"/>
              <w:bottom w:val="nil"/>
              <w:right w:val="nil"/>
            </w:tcBorders>
            <w:shd w:val="clear" w:color="auto" w:fill="auto"/>
            <w:noWrap/>
            <w:vAlign w:val="bottom"/>
          </w:tcPr>
          <w:p w14:paraId="03AFA507"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045AB9C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(169.437)</w:t>
            </w:r>
          </w:p>
        </w:tc>
      </w:tr>
      <w:tr w:rsidR="003B5193" w:rsidRPr="00AE4E8D" w14:paraId="23CE57CC" w14:textId="77777777" w:rsidTr="00E8320E">
        <w:trPr>
          <w:trHeight w:val="225"/>
        </w:trPr>
        <w:tc>
          <w:tcPr>
            <w:tcW w:w="1091" w:type="pct"/>
            <w:tcBorders>
              <w:top w:val="nil"/>
              <w:left w:val="nil"/>
              <w:bottom w:val="nil"/>
              <w:right w:val="nil"/>
            </w:tcBorders>
            <w:shd w:val="clear" w:color="auto" w:fill="auto"/>
            <w:noWrap/>
            <w:vAlign w:val="center"/>
            <w:hideMark/>
          </w:tcPr>
          <w:p w14:paraId="47A3A002"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Resultado neto por intermediación financiera</w:t>
            </w:r>
          </w:p>
        </w:tc>
        <w:tc>
          <w:tcPr>
            <w:tcW w:w="339" w:type="pct"/>
            <w:tcBorders>
              <w:top w:val="nil"/>
              <w:left w:val="nil"/>
              <w:bottom w:val="nil"/>
              <w:right w:val="nil"/>
            </w:tcBorders>
            <w:shd w:val="clear" w:color="auto" w:fill="auto"/>
            <w:noWrap/>
            <w:vAlign w:val="center"/>
            <w:hideMark/>
          </w:tcPr>
          <w:p w14:paraId="6B3E406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381.606</w:t>
            </w:r>
          </w:p>
        </w:tc>
        <w:tc>
          <w:tcPr>
            <w:tcW w:w="78" w:type="pct"/>
            <w:tcBorders>
              <w:top w:val="nil"/>
              <w:left w:val="nil"/>
              <w:bottom w:val="nil"/>
              <w:right w:val="nil"/>
            </w:tcBorders>
            <w:shd w:val="clear" w:color="auto" w:fill="auto"/>
            <w:vAlign w:val="center"/>
            <w:hideMark/>
          </w:tcPr>
          <w:p w14:paraId="4E3A44F4"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C7416B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687.597</w:t>
            </w:r>
          </w:p>
        </w:tc>
        <w:tc>
          <w:tcPr>
            <w:tcW w:w="78" w:type="pct"/>
            <w:tcBorders>
              <w:top w:val="nil"/>
              <w:left w:val="nil"/>
              <w:bottom w:val="nil"/>
              <w:right w:val="nil"/>
            </w:tcBorders>
            <w:shd w:val="clear" w:color="auto" w:fill="auto"/>
            <w:vAlign w:val="center"/>
            <w:hideMark/>
          </w:tcPr>
          <w:p w14:paraId="7C9733CD"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4FAB45D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1.032.164</w:t>
            </w:r>
          </w:p>
        </w:tc>
        <w:tc>
          <w:tcPr>
            <w:tcW w:w="78" w:type="pct"/>
            <w:tcBorders>
              <w:top w:val="nil"/>
              <w:left w:val="nil"/>
              <w:bottom w:val="nil"/>
              <w:right w:val="nil"/>
            </w:tcBorders>
            <w:shd w:val="clear" w:color="auto" w:fill="auto"/>
            <w:vAlign w:val="center"/>
            <w:hideMark/>
          </w:tcPr>
          <w:p w14:paraId="78A256FD"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06F00F9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1.753.285</w:t>
            </w:r>
          </w:p>
        </w:tc>
        <w:tc>
          <w:tcPr>
            <w:tcW w:w="78" w:type="pct"/>
            <w:tcBorders>
              <w:top w:val="nil"/>
              <w:left w:val="nil"/>
              <w:bottom w:val="nil"/>
              <w:right w:val="nil"/>
            </w:tcBorders>
            <w:shd w:val="clear" w:color="auto" w:fill="auto"/>
            <w:noWrap/>
            <w:vAlign w:val="bottom"/>
            <w:hideMark/>
          </w:tcPr>
          <w:p w14:paraId="4293BC7F"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38B3326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1.226.989</w:t>
            </w:r>
          </w:p>
        </w:tc>
        <w:tc>
          <w:tcPr>
            <w:tcW w:w="78" w:type="pct"/>
            <w:tcBorders>
              <w:top w:val="nil"/>
              <w:left w:val="nil"/>
              <w:bottom w:val="nil"/>
              <w:right w:val="nil"/>
            </w:tcBorders>
            <w:shd w:val="clear" w:color="auto" w:fill="auto"/>
            <w:noWrap/>
            <w:vAlign w:val="bottom"/>
            <w:hideMark/>
          </w:tcPr>
          <w:p w14:paraId="4DA139DD"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3D359FB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77.412</w:t>
            </w:r>
          </w:p>
        </w:tc>
        <w:tc>
          <w:tcPr>
            <w:tcW w:w="78" w:type="pct"/>
            <w:tcBorders>
              <w:top w:val="nil"/>
              <w:left w:val="nil"/>
              <w:bottom w:val="nil"/>
              <w:right w:val="nil"/>
            </w:tcBorders>
            <w:shd w:val="clear" w:color="auto" w:fill="auto"/>
            <w:noWrap/>
            <w:vAlign w:val="bottom"/>
            <w:hideMark/>
          </w:tcPr>
          <w:p w14:paraId="4D3CED72"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356E109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655.942</w:t>
            </w:r>
          </w:p>
        </w:tc>
        <w:tc>
          <w:tcPr>
            <w:tcW w:w="78" w:type="pct"/>
            <w:tcBorders>
              <w:top w:val="nil"/>
              <w:left w:val="nil"/>
              <w:bottom w:val="nil"/>
              <w:right w:val="nil"/>
            </w:tcBorders>
            <w:shd w:val="clear" w:color="auto" w:fill="auto"/>
            <w:noWrap/>
            <w:vAlign w:val="bottom"/>
          </w:tcPr>
          <w:p w14:paraId="5A7E88EE"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4357EEC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976.742</w:t>
            </w:r>
          </w:p>
        </w:tc>
        <w:tc>
          <w:tcPr>
            <w:tcW w:w="78" w:type="pct"/>
            <w:tcBorders>
              <w:top w:val="nil"/>
              <w:left w:val="nil"/>
              <w:bottom w:val="nil"/>
              <w:right w:val="nil"/>
            </w:tcBorders>
            <w:shd w:val="clear" w:color="auto" w:fill="auto"/>
            <w:noWrap/>
            <w:vAlign w:val="bottom"/>
          </w:tcPr>
          <w:p w14:paraId="1F6FF361"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24D894B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58.845</w:t>
            </w:r>
          </w:p>
        </w:tc>
      </w:tr>
      <w:tr w:rsidR="003B5193" w:rsidRPr="00AE4E8D" w14:paraId="35125665" w14:textId="77777777" w:rsidTr="00E8320E">
        <w:trPr>
          <w:trHeight w:val="225"/>
        </w:trPr>
        <w:tc>
          <w:tcPr>
            <w:tcW w:w="1091" w:type="pct"/>
            <w:tcBorders>
              <w:top w:val="nil"/>
              <w:left w:val="nil"/>
              <w:bottom w:val="nil"/>
              <w:right w:val="nil"/>
            </w:tcBorders>
            <w:shd w:val="clear" w:color="auto" w:fill="auto"/>
            <w:noWrap/>
            <w:vAlign w:val="center"/>
            <w:hideMark/>
          </w:tcPr>
          <w:p w14:paraId="3E0AF7BD"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Utilidades diversas</w:t>
            </w:r>
          </w:p>
        </w:tc>
        <w:tc>
          <w:tcPr>
            <w:tcW w:w="339" w:type="pct"/>
            <w:tcBorders>
              <w:top w:val="nil"/>
              <w:left w:val="nil"/>
              <w:bottom w:val="nil"/>
              <w:right w:val="nil"/>
            </w:tcBorders>
            <w:shd w:val="clear" w:color="auto" w:fill="auto"/>
            <w:noWrap/>
            <w:vAlign w:val="center"/>
            <w:hideMark/>
          </w:tcPr>
          <w:p w14:paraId="45CEE43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209.427</w:t>
            </w:r>
          </w:p>
        </w:tc>
        <w:tc>
          <w:tcPr>
            <w:tcW w:w="78" w:type="pct"/>
            <w:tcBorders>
              <w:top w:val="nil"/>
              <w:left w:val="nil"/>
              <w:bottom w:val="nil"/>
              <w:right w:val="nil"/>
            </w:tcBorders>
            <w:shd w:val="clear" w:color="auto" w:fill="auto"/>
            <w:vAlign w:val="center"/>
            <w:hideMark/>
          </w:tcPr>
          <w:p w14:paraId="2D1570DD"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A979D3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177.082</w:t>
            </w:r>
          </w:p>
        </w:tc>
        <w:tc>
          <w:tcPr>
            <w:tcW w:w="78" w:type="pct"/>
            <w:tcBorders>
              <w:top w:val="nil"/>
              <w:left w:val="nil"/>
              <w:bottom w:val="nil"/>
              <w:right w:val="nil"/>
            </w:tcBorders>
            <w:shd w:val="clear" w:color="auto" w:fill="auto"/>
            <w:vAlign w:val="center"/>
            <w:hideMark/>
          </w:tcPr>
          <w:p w14:paraId="1575F82E"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69BEC9F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280.534</w:t>
            </w:r>
          </w:p>
        </w:tc>
        <w:tc>
          <w:tcPr>
            <w:tcW w:w="78" w:type="pct"/>
            <w:tcBorders>
              <w:top w:val="nil"/>
              <w:left w:val="nil"/>
              <w:bottom w:val="nil"/>
              <w:right w:val="nil"/>
            </w:tcBorders>
            <w:shd w:val="clear" w:color="auto" w:fill="auto"/>
            <w:vAlign w:val="center"/>
            <w:hideMark/>
          </w:tcPr>
          <w:p w14:paraId="5756C69F"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370E9CF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494.984</w:t>
            </w:r>
          </w:p>
        </w:tc>
        <w:tc>
          <w:tcPr>
            <w:tcW w:w="78" w:type="pct"/>
            <w:tcBorders>
              <w:top w:val="nil"/>
              <w:left w:val="nil"/>
              <w:bottom w:val="nil"/>
              <w:right w:val="nil"/>
            </w:tcBorders>
            <w:shd w:val="clear" w:color="auto" w:fill="auto"/>
            <w:noWrap/>
            <w:vAlign w:val="bottom"/>
            <w:hideMark/>
          </w:tcPr>
          <w:p w14:paraId="46A7F24A"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3406DCD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512.526</w:t>
            </w:r>
          </w:p>
        </w:tc>
        <w:tc>
          <w:tcPr>
            <w:tcW w:w="78" w:type="pct"/>
            <w:tcBorders>
              <w:top w:val="nil"/>
              <w:left w:val="nil"/>
              <w:bottom w:val="nil"/>
              <w:right w:val="nil"/>
            </w:tcBorders>
            <w:shd w:val="clear" w:color="auto" w:fill="auto"/>
            <w:noWrap/>
            <w:vAlign w:val="bottom"/>
            <w:hideMark/>
          </w:tcPr>
          <w:p w14:paraId="06523943"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1B6B721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32.335</w:t>
            </w:r>
          </w:p>
        </w:tc>
        <w:tc>
          <w:tcPr>
            <w:tcW w:w="78" w:type="pct"/>
            <w:tcBorders>
              <w:top w:val="nil"/>
              <w:left w:val="nil"/>
              <w:bottom w:val="nil"/>
              <w:right w:val="nil"/>
            </w:tcBorders>
            <w:shd w:val="clear" w:color="auto" w:fill="auto"/>
            <w:noWrap/>
            <w:vAlign w:val="bottom"/>
            <w:hideMark/>
          </w:tcPr>
          <w:p w14:paraId="0403CEE5"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2124DD1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336.400</w:t>
            </w:r>
          </w:p>
        </w:tc>
        <w:tc>
          <w:tcPr>
            <w:tcW w:w="78" w:type="pct"/>
            <w:tcBorders>
              <w:top w:val="nil"/>
              <w:left w:val="nil"/>
              <w:bottom w:val="nil"/>
              <w:right w:val="nil"/>
            </w:tcBorders>
            <w:shd w:val="clear" w:color="auto" w:fill="auto"/>
            <w:noWrap/>
            <w:vAlign w:val="bottom"/>
          </w:tcPr>
          <w:p w14:paraId="1E419FA8"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5696B8A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339.341</w:t>
            </w:r>
          </w:p>
        </w:tc>
        <w:tc>
          <w:tcPr>
            <w:tcW w:w="78" w:type="pct"/>
            <w:tcBorders>
              <w:top w:val="nil"/>
              <w:left w:val="nil"/>
              <w:bottom w:val="nil"/>
              <w:right w:val="nil"/>
            </w:tcBorders>
            <w:shd w:val="clear" w:color="auto" w:fill="auto"/>
            <w:noWrap/>
            <w:vAlign w:val="bottom"/>
          </w:tcPr>
          <w:p w14:paraId="6F361F6D"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0A608D1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20.444</w:t>
            </w:r>
          </w:p>
        </w:tc>
      </w:tr>
      <w:tr w:rsidR="003B5193" w:rsidRPr="00AE4E8D" w14:paraId="617FCFDB" w14:textId="77777777" w:rsidTr="00E8320E">
        <w:trPr>
          <w:trHeight w:val="225"/>
        </w:trPr>
        <w:tc>
          <w:tcPr>
            <w:tcW w:w="1091" w:type="pct"/>
            <w:tcBorders>
              <w:top w:val="nil"/>
              <w:left w:val="nil"/>
              <w:bottom w:val="nil"/>
              <w:right w:val="nil"/>
            </w:tcBorders>
            <w:shd w:val="clear" w:color="auto" w:fill="auto"/>
            <w:noWrap/>
            <w:vAlign w:val="center"/>
            <w:hideMark/>
          </w:tcPr>
          <w:p w14:paraId="1B8937C3"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Pérdidas diversas</w:t>
            </w:r>
          </w:p>
        </w:tc>
        <w:tc>
          <w:tcPr>
            <w:tcW w:w="339" w:type="pct"/>
            <w:tcBorders>
              <w:top w:val="nil"/>
              <w:left w:val="nil"/>
              <w:bottom w:val="nil"/>
              <w:right w:val="nil"/>
            </w:tcBorders>
            <w:shd w:val="clear" w:color="auto" w:fill="auto"/>
            <w:noWrap/>
            <w:vAlign w:val="center"/>
            <w:hideMark/>
          </w:tcPr>
          <w:p w14:paraId="7A2CE9D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(182.761)</w:t>
            </w:r>
          </w:p>
        </w:tc>
        <w:tc>
          <w:tcPr>
            <w:tcW w:w="78" w:type="pct"/>
            <w:tcBorders>
              <w:top w:val="nil"/>
              <w:left w:val="nil"/>
              <w:bottom w:val="nil"/>
              <w:right w:val="nil"/>
            </w:tcBorders>
            <w:shd w:val="clear" w:color="auto" w:fill="auto"/>
            <w:vAlign w:val="center"/>
            <w:hideMark/>
          </w:tcPr>
          <w:p w14:paraId="28149BB4"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39A608C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(242.428)</w:t>
            </w:r>
          </w:p>
        </w:tc>
        <w:tc>
          <w:tcPr>
            <w:tcW w:w="78" w:type="pct"/>
            <w:tcBorders>
              <w:top w:val="nil"/>
              <w:left w:val="nil"/>
              <w:bottom w:val="nil"/>
              <w:right w:val="nil"/>
            </w:tcBorders>
            <w:shd w:val="clear" w:color="auto" w:fill="auto"/>
            <w:vAlign w:val="center"/>
            <w:hideMark/>
          </w:tcPr>
          <w:p w14:paraId="31AAAF14"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7C0B595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(361.738)</w:t>
            </w:r>
          </w:p>
        </w:tc>
        <w:tc>
          <w:tcPr>
            <w:tcW w:w="78" w:type="pct"/>
            <w:tcBorders>
              <w:top w:val="nil"/>
              <w:left w:val="nil"/>
              <w:bottom w:val="nil"/>
              <w:right w:val="nil"/>
            </w:tcBorders>
            <w:shd w:val="clear" w:color="auto" w:fill="auto"/>
            <w:vAlign w:val="center"/>
            <w:hideMark/>
          </w:tcPr>
          <w:p w14:paraId="5A7079D0"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7FDF46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(546.633)</w:t>
            </w:r>
          </w:p>
        </w:tc>
        <w:tc>
          <w:tcPr>
            <w:tcW w:w="78" w:type="pct"/>
            <w:tcBorders>
              <w:top w:val="nil"/>
              <w:left w:val="nil"/>
              <w:bottom w:val="nil"/>
              <w:right w:val="nil"/>
            </w:tcBorders>
            <w:shd w:val="clear" w:color="auto" w:fill="auto"/>
            <w:noWrap/>
            <w:vAlign w:val="bottom"/>
            <w:hideMark/>
          </w:tcPr>
          <w:p w14:paraId="54961D6F"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1DF41B7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(593.351)</w:t>
            </w:r>
          </w:p>
        </w:tc>
        <w:tc>
          <w:tcPr>
            <w:tcW w:w="78" w:type="pct"/>
            <w:tcBorders>
              <w:top w:val="nil"/>
              <w:left w:val="nil"/>
              <w:bottom w:val="nil"/>
              <w:right w:val="nil"/>
            </w:tcBorders>
            <w:shd w:val="clear" w:color="auto" w:fill="auto"/>
            <w:noWrap/>
            <w:vAlign w:val="bottom"/>
            <w:hideMark/>
          </w:tcPr>
          <w:p w14:paraId="38CF8764"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0C89E04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(37.435)</w:t>
            </w:r>
          </w:p>
        </w:tc>
        <w:tc>
          <w:tcPr>
            <w:tcW w:w="78" w:type="pct"/>
            <w:tcBorders>
              <w:top w:val="nil"/>
              <w:left w:val="nil"/>
              <w:bottom w:val="nil"/>
              <w:right w:val="nil"/>
            </w:tcBorders>
            <w:shd w:val="clear" w:color="auto" w:fill="auto"/>
            <w:noWrap/>
            <w:vAlign w:val="bottom"/>
            <w:hideMark/>
          </w:tcPr>
          <w:p w14:paraId="206D81D9"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241B1FF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(367.693)</w:t>
            </w:r>
          </w:p>
        </w:tc>
        <w:tc>
          <w:tcPr>
            <w:tcW w:w="78" w:type="pct"/>
            <w:tcBorders>
              <w:top w:val="nil"/>
              <w:left w:val="nil"/>
              <w:bottom w:val="nil"/>
              <w:right w:val="nil"/>
            </w:tcBorders>
            <w:shd w:val="clear" w:color="auto" w:fill="auto"/>
            <w:noWrap/>
            <w:vAlign w:val="bottom"/>
          </w:tcPr>
          <w:p w14:paraId="3FA57702"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49D3576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(366.591)</w:t>
            </w:r>
          </w:p>
        </w:tc>
        <w:tc>
          <w:tcPr>
            <w:tcW w:w="78" w:type="pct"/>
            <w:tcBorders>
              <w:top w:val="nil"/>
              <w:left w:val="nil"/>
              <w:bottom w:val="nil"/>
              <w:right w:val="nil"/>
            </w:tcBorders>
            <w:shd w:val="clear" w:color="auto" w:fill="auto"/>
            <w:noWrap/>
            <w:vAlign w:val="bottom"/>
          </w:tcPr>
          <w:p w14:paraId="4BCBDAEF"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669AF39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(22.086)</w:t>
            </w:r>
          </w:p>
        </w:tc>
      </w:tr>
      <w:tr w:rsidR="003B5193" w:rsidRPr="00AE4E8D" w14:paraId="7BB50D55" w14:textId="77777777" w:rsidTr="00E8320E">
        <w:trPr>
          <w:trHeight w:val="225"/>
        </w:trPr>
        <w:tc>
          <w:tcPr>
            <w:tcW w:w="1091" w:type="pct"/>
            <w:tcBorders>
              <w:top w:val="nil"/>
              <w:left w:val="nil"/>
              <w:bottom w:val="nil"/>
              <w:right w:val="nil"/>
            </w:tcBorders>
            <w:shd w:val="clear" w:color="auto" w:fill="auto"/>
            <w:noWrap/>
            <w:vAlign w:val="center"/>
            <w:hideMark/>
          </w:tcPr>
          <w:p w14:paraId="7F55E2E4"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Impuesto a las ganancias</w:t>
            </w:r>
          </w:p>
        </w:tc>
        <w:tc>
          <w:tcPr>
            <w:tcW w:w="339" w:type="pct"/>
            <w:tcBorders>
              <w:top w:val="nil"/>
              <w:left w:val="nil"/>
              <w:bottom w:val="nil"/>
              <w:right w:val="nil"/>
            </w:tcBorders>
            <w:shd w:val="clear" w:color="auto" w:fill="auto"/>
            <w:noWrap/>
            <w:vAlign w:val="center"/>
            <w:hideMark/>
          </w:tcPr>
          <w:p w14:paraId="1CEE38F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(55.096)</w:t>
            </w:r>
          </w:p>
        </w:tc>
        <w:tc>
          <w:tcPr>
            <w:tcW w:w="78" w:type="pct"/>
            <w:tcBorders>
              <w:top w:val="nil"/>
              <w:left w:val="nil"/>
              <w:bottom w:val="nil"/>
              <w:right w:val="nil"/>
            </w:tcBorders>
            <w:shd w:val="clear" w:color="auto" w:fill="auto"/>
            <w:vAlign w:val="center"/>
            <w:hideMark/>
          </w:tcPr>
          <w:p w14:paraId="7A0C4A8C"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4494CF8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(194.123)</w:t>
            </w:r>
          </w:p>
        </w:tc>
        <w:tc>
          <w:tcPr>
            <w:tcW w:w="78" w:type="pct"/>
            <w:tcBorders>
              <w:top w:val="nil"/>
              <w:left w:val="nil"/>
              <w:bottom w:val="nil"/>
              <w:right w:val="nil"/>
            </w:tcBorders>
            <w:shd w:val="clear" w:color="auto" w:fill="auto"/>
            <w:vAlign w:val="center"/>
            <w:hideMark/>
          </w:tcPr>
          <w:p w14:paraId="1BE9380B"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5D17CFF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(426.641)</w:t>
            </w:r>
          </w:p>
        </w:tc>
        <w:tc>
          <w:tcPr>
            <w:tcW w:w="78" w:type="pct"/>
            <w:tcBorders>
              <w:top w:val="nil"/>
              <w:left w:val="nil"/>
              <w:bottom w:val="nil"/>
              <w:right w:val="nil"/>
            </w:tcBorders>
            <w:shd w:val="clear" w:color="auto" w:fill="auto"/>
            <w:vAlign w:val="center"/>
            <w:hideMark/>
          </w:tcPr>
          <w:p w14:paraId="75922BFE"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03AE936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(618.899)</w:t>
            </w:r>
          </w:p>
        </w:tc>
        <w:tc>
          <w:tcPr>
            <w:tcW w:w="78" w:type="pct"/>
            <w:tcBorders>
              <w:top w:val="nil"/>
              <w:left w:val="nil"/>
              <w:bottom w:val="nil"/>
              <w:right w:val="nil"/>
            </w:tcBorders>
            <w:shd w:val="clear" w:color="auto" w:fill="auto"/>
            <w:noWrap/>
            <w:vAlign w:val="bottom"/>
            <w:hideMark/>
          </w:tcPr>
          <w:p w14:paraId="5B58BD7D"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766A48A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(516.179)</w:t>
            </w:r>
          </w:p>
        </w:tc>
        <w:tc>
          <w:tcPr>
            <w:tcW w:w="78" w:type="pct"/>
            <w:tcBorders>
              <w:top w:val="nil"/>
              <w:left w:val="nil"/>
              <w:bottom w:val="nil"/>
              <w:right w:val="nil"/>
            </w:tcBorders>
            <w:shd w:val="clear" w:color="auto" w:fill="auto"/>
            <w:noWrap/>
            <w:vAlign w:val="bottom"/>
            <w:hideMark/>
          </w:tcPr>
          <w:p w14:paraId="66727CF2"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51302C0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(32.566)</w:t>
            </w:r>
          </w:p>
        </w:tc>
        <w:tc>
          <w:tcPr>
            <w:tcW w:w="78" w:type="pct"/>
            <w:tcBorders>
              <w:top w:val="nil"/>
              <w:left w:val="nil"/>
              <w:bottom w:val="nil"/>
              <w:right w:val="nil"/>
            </w:tcBorders>
            <w:shd w:val="clear" w:color="auto" w:fill="auto"/>
            <w:noWrap/>
            <w:vAlign w:val="bottom"/>
            <w:hideMark/>
          </w:tcPr>
          <w:p w14:paraId="4014DEE8"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7BB83B2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(251.700)</w:t>
            </w:r>
          </w:p>
        </w:tc>
        <w:tc>
          <w:tcPr>
            <w:tcW w:w="78" w:type="pct"/>
            <w:tcBorders>
              <w:top w:val="nil"/>
              <w:left w:val="nil"/>
              <w:bottom w:val="nil"/>
              <w:right w:val="nil"/>
            </w:tcBorders>
            <w:shd w:val="clear" w:color="auto" w:fill="auto"/>
            <w:noWrap/>
            <w:vAlign w:val="bottom"/>
          </w:tcPr>
          <w:p w14:paraId="65C13A73"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40EC497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(279.627)</w:t>
            </w:r>
          </w:p>
        </w:tc>
        <w:tc>
          <w:tcPr>
            <w:tcW w:w="78" w:type="pct"/>
            <w:tcBorders>
              <w:top w:val="nil"/>
              <w:left w:val="nil"/>
              <w:bottom w:val="nil"/>
              <w:right w:val="nil"/>
            </w:tcBorders>
            <w:shd w:val="clear" w:color="auto" w:fill="auto"/>
            <w:noWrap/>
            <w:vAlign w:val="bottom"/>
          </w:tcPr>
          <w:p w14:paraId="43CBEF9D"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01B4448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(16.847)</w:t>
            </w:r>
          </w:p>
        </w:tc>
      </w:tr>
      <w:tr w:rsidR="003B5193" w:rsidRPr="00AE4E8D" w14:paraId="0CC62202" w14:textId="77777777" w:rsidTr="00E8320E">
        <w:trPr>
          <w:trHeight w:val="239"/>
        </w:trPr>
        <w:tc>
          <w:tcPr>
            <w:tcW w:w="1091" w:type="pct"/>
            <w:tcBorders>
              <w:top w:val="nil"/>
              <w:left w:val="nil"/>
              <w:bottom w:val="nil"/>
              <w:right w:val="nil"/>
            </w:tcBorders>
            <w:shd w:val="clear" w:color="auto" w:fill="auto"/>
            <w:noWrap/>
            <w:vAlign w:val="center"/>
            <w:hideMark/>
          </w:tcPr>
          <w:p w14:paraId="6BCD7B7A"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Participación no controlante</w:t>
            </w:r>
          </w:p>
        </w:tc>
        <w:tc>
          <w:tcPr>
            <w:tcW w:w="339" w:type="pct"/>
            <w:tcBorders>
              <w:top w:val="nil"/>
              <w:left w:val="nil"/>
              <w:bottom w:val="nil"/>
              <w:right w:val="nil"/>
            </w:tcBorders>
            <w:shd w:val="clear" w:color="auto" w:fill="auto"/>
            <w:noWrap/>
            <w:vAlign w:val="center"/>
            <w:hideMark/>
          </w:tcPr>
          <w:p w14:paraId="4506E2F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(9.569)</w:t>
            </w:r>
          </w:p>
        </w:tc>
        <w:tc>
          <w:tcPr>
            <w:tcW w:w="78" w:type="pct"/>
            <w:tcBorders>
              <w:top w:val="nil"/>
              <w:left w:val="nil"/>
              <w:bottom w:val="nil"/>
              <w:right w:val="nil"/>
            </w:tcBorders>
            <w:shd w:val="clear" w:color="auto" w:fill="auto"/>
            <w:vAlign w:val="center"/>
            <w:hideMark/>
          </w:tcPr>
          <w:p w14:paraId="343F04DD"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70AA5CE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(7.178)</w:t>
            </w:r>
          </w:p>
        </w:tc>
        <w:tc>
          <w:tcPr>
            <w:tcW w:w="78" w:type="pct"/>
            <w:tcBorders>
              <w:top w:val="nil"/>
              <w:left w:val="nil"/>
              <w:bottom w:val="nil"/>
              <w:right w:val="nil"/>
            </w:tcBorders>
            <w:shd w:val="clear" w:color="auto" w:fill="auto"/>
            <w:vAlign w:val="center"/>
            <w:hideMark/>
          </w:tcPr>
          <w:p w14:paraId="52BB538D"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single" w:sz="8" w:space="0" w:color="auto"/>
              <w:right w:val="nil"/>
            </w:tcBorders>
            <w:shd w:val="clear" w:color="auto" w:fill="auto"/>
            <w:noWrap/>
            <w:vAlign w:val="center"/>
            <w:hideMark/>
          </w:tcPr>
          <w:p w14:paraId="77811A4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25.653</w:t>
            </w:r>
          </w:p>
        </w:tc>
        <w:tc>
          <w:tcPr>
            <w:tcW w:w="78" w:type="pct"/>
            <w:tcBorders>
              <w:top w:val="nil"/>
              <w:left w:val="nil"/>
              <w:bottom w:val="nil"/>
              <w:right w:val="nil"/>
            </w:tcBorders>
            <w:shd w:val="clear" w:color="auto" w:fill="auto"/>
            <w:vAlign w:val="center"/>
            <w:hideMark/>
          </w:tcPr>
          <w:p w14:paraId="2ED99EF0"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6DB316F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3.077</w:t>
            </w:r>
          </w:p>
        </w:tc>
        <w:tc>
          <w:tcPr>
            <w:tcW w:w="78" w:type="pct"/>
            <w:tcBorders>
              <w:top w:val="nil"/>
              <w:left w:val="nil"/>
              <w:bottom w:val="nil"/>
              <w:right w:val="nil"/>
            </w:tcBorders>
            <w:shd w:val="clear" w:color="auto" w:fill="auto"/>
            <w:noWrap/>
            <w:vAlign w:val="bottom"/>
            <w:hideMark/>
          </w:tcPr>
          <w:p w14:paraId="0A849092"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hideMark/>
          </w:tcPr>
          <w:p w14:paraId="1AAAE35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(14.657)</w:t>
            </w:r>
          </w:p>
        </w:tc>
        <w:tc>
          <w:tcPr>
            <w:tcW w:w="78" w:type="pct"/>
            <w:tcBorders>
              <w:top w:val="nil"/>
              <w:left w:val="nil"/>
              <w:bottom w:val="nil"/>
              <w:right w:val="nil"/>
            </w:tcBorders>
            <w:shd w:val="clear" w:color="auto" w:fill="auto"/>
            <w:noWrap/>
            <w:vAlign w:val="bottom"/>
            <w:hideMark/>
          </w:tcPr>
          <w:p w14:paraId="28DF6FB2"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single" w:sz="8" w:space="0" w:color="auto"/>
              <w:right w:val="nil"/>
            </w:tcBorders>
            <w:shd w:val="clear" w:color="auto" w:fill="auto"/>
            <w:noWrap/>
            <w:vAlign w:val="center"/>
            <w:hideMark/>
          </w:tcPr>
          <w:p w14:paraId="1ECCCE4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(925)</w:t>
            </w:r>
          </w:p>
        </w:tc>
        <w:tc>
          <w:tcPr>
            <w:tcW w:w="78" w:type="pct"/>
            <w:tcBorders>
              <w:top w:val="nil"/>
              <w:left w:val="nil"/>
              <w:bottom w:val="nil"/>
              <w:right w:val="nil"/>
            </w:tcBorders>
            <w:shd w:val="clear" w:color="auto" w:fill="auto"/>
            <w:noWrap/>
            <w:vAlign w:val="bottom"/>
            <w:hideMark/>
          </w:tcPr>
          <w:p w14:paraId="3211CEEF"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single" w:sz="8" w:space="0" w:color="auto"/>
              <w:right w:val="nil"/>
            </w:tcBorders>
            <w:shd w:val="clear" w:color="auto" w:fill="auto"/>
            <w:noWrap/>
            <w:vAlign w:val="center"/>
          </w:tcPr>
          <w:p w14:paraId="703C848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2.393</w:t>
            </w:r>
          </w:p>
        </w:tc>
        <w:tc>
          <w:tcPr>
            <w:tcW w:w="78" w:type="pct"/>
            <w:tcBorders>
              <w:top w:val="nil"/>
              <w:left w:val="nil"/>
              <w:bottom w:val="nil"/>
              <w:right w:val="nil"/>
            </w:tcBorders>
            <w:shd w:val="clear" w:color="auto" w:fill="auto"/>
            <w:noWrap/>
            <w:vAlign w:val="bottom"/>
          </w:tcPr>
          <w:p w14:paraId="5CB644B4"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tcPr>
          <w:p w14:paraId="577696D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(44.892)</w:t>
            </w:r>
          </w:p>
        </w:tc>
        <w:tc>
          <w:tcPr>
            <w:tcW w:w="78" w:type="pct"/>
            <w:tcBorders>
              <w:top w:val="nil"/>
              <w:left w:val="nil"/>
              <w:bottom w:val="nil"/>
              <w:right w:val="nil"/>
            </w:tcBorders>
            <w:shd w:val="clear" w:color="auto" w:fill="auto"/>
            <w:noWrap/>
            <w:vAlign w:val="bottom"/>
          </w:tcPr>
          <w:p w14:paraId="7B849934"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single" w:sz="8" w:space="0" w:color="auto"/>
              <w:right w:val="nil"/>
            </w:tcBorders>
            <w:shd w:val="clear" w:color="auto" w:fill="auto"/>
            <w:noWrap/>
            <w:vAlign w:val="center"/>
          </w:tcPr>
          <w:p w14:paraId="28F6527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(2.705)</w:t>
            </w:r>
          </w:p>
        </w:tc>
      </w:tr>
      <w:tr w:rsidR="003B5193" w:rsidRPr="00AE4E8D" w14:paraId="61F7790A" w14:textId="77777777" w:rsidTr="00E8320E">
        <w:trPr>
          <w:trHeight w:val="225"/>
        </w:trPr>
        <w:tc>
          <w:tcPr>
            <w:tcW w:w="1091" w:type="pct"/>
            <w:tcBorders>
              <w:top w:val="nil"/>
              <w:left w:val="nil"/>
              <w:bottom w:val="nil"/>
              <w:right w:val="nil"/>
            </w:tcBorders>
            <w:shd w:val="clear" w:color="auto" w:fill="auto"/>
            <w:noWrap/>
            <w:vAlign w:val="center"/>
            <w:hideMark/>
          </w:tcPr>
          <w:p w14:paraId="28134F7D"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Resultado Neto</w:t>
            </w:r>
          </w:p>
        </w:tc>
        <w:tc>
          <w:tcPr>
            <w:tcW w:w="339" w:type="pct"/>
            <w:tcBorders>
              <w:top w:val="single" w:sz="8" w:space="0" w:color="auto"/>
              <w:left w:val="nil"/>
              <w:bottom w:val="nil"/>
              <w:right w:val="nil"/>
            </w:tcBorders>
            <w:shd w:val="clear" w:color="auto" w:fill="auto"/>
            <w:noWrap/>
            <w:vAlign w:val="center"/>
            <w:hideMark/>
          </w:tcPr>
          <w:p w14:paraId="07DD410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343.607</w:t>
            </w:r>
          </w:p>
        </w:tc>
        <w:tc>
          <w:tcPr>
            <w:tcW w:w="78" w:type="pct"/>
            <w:tcBorders>
              <w:top w:val="nil"/>
              <w:left w:val="nil"/>
              <w:bottom w:val="nil"/>
              <w:right w:val="nil"/>
            </w:tcBorders>
            <w:shd w:val="clear" w:color="auto" w:fill="auto"/>
            <w:vAlign w:val="center"/>
            <w:hideMark/>
          </w:tcPr>
          <w:p w14:paraId="4E159D56"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E41D19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420.950</w:t>
            </w:r>
          </w:p>
        </w:tc>
        <w:tc>
          <w:tcPr>
            <w:tcW w:w="78" w:type="pct"/>
            <w:tcBorders>
              <w:top w:val="nil"/>
              <w:left w:val="nil"/>
              <w:bottom w:val="nil"/>
              <w:right w:val="nil"/>
            </w:tcBorders>
            <w:shd w:val="clear" w:color="auto" w:fill="auto"/>
            <w:vAlign w:val="center"/>
            <w:hideMark/>
          </w:tcPr>
          <w:p w14:paraId="2E139163" w14:textId="77777777" w:rsidR="005C363D" w:rsidRPr="00AE4E8D" w:rsidRDefault="005C363D"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3FBD478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549.972</w:t>
            </w:r>
          </w:p>
        </w:tc>
        <w:tc>
          <w:tcPr>
            <w:tcW w:w="78" w:type="pct"/>
            <w:tcBorders>
              <w:top w:val="nil"/>
              <w:left w:val="nil"/>
              <w:bottom w:val="nil"/>
              <w:right w:val="nil"/>
            </w:tcBorders>
            <w:shd w:val="clear" w:color="auto" w:fill="auto"/>
            <w:vAlign w:val="center"/>
            <w:hideMark/>
          </w:tcPr>
          <w:p w14:paraId="5B6DC13C" w14:textId="77777777" w:rsidR="005C363D" w:rsidRPr="00AE4E8D" w:rsidRDefault="005C363D"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1C9B07A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1.085.814</w:t>
            </w:r>
          </w:p>
        </w:tc>
        <w:tc>
          <w:tcPr>
            <w:tcW w:w="78" w:type="pct"/>
            <w:tcBorders>
              <w:top w:val="nil"/>
              <w:left w:val="nil"/>
              <w:bottom w:val="nil"/>
              <w:right w:val="nil"/>
            </w:tcBorders>
            <w:shd w:val="clear" w:color="auto" w:fill="auto"/>
            <w:noWrap/>
            <w:vAlign w:val="bottom"/>
            <w:hideMark/>
          </w:tcPr>
          <w:p w14:paraId="0282020B"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5095081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615.328</w:t>
            </w:r>
          </w:p>
        </w:tc>
        <w:tc>
          <w:tcPr>
            <w:tcW w:w="78" w:type="pct"/>
            <w:tcBorders>
              <w:top w:val="nil"/>
              <w:left w:val="nil"/>
              <w:bottom w:val="nil"/>
              <w:right w:val="nil"/>
            </w:tcBorders>
            <w:shd w:val="clear" w:color="auto" w:fill="auto"/>
            <w:noWrap/>
            <w:vAlign w:val="bottom"/>
            <w:hideMark/>
          </w:tcPr>
          <w:p w14:paraId="0063EE4B" w14:textId="77777777" w:rsidR="005C363D" w:rsidRPr="00AE4E8D" w:rsidRDefault="005C363D"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14B9638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38.821</w:t>
            </w:r>
          </w:p>
        </w:tc>
        <w:tc>
          <w:tcPr>
            <w:tcW w:w="78" w:type="pct"/>
            <w:tcBorders>
              <w:top w:val="nil"/>
              <w:left w:val="nil"/>
              <w:bottom w:val="nil"/>
              <w:right w:val="nil"/>
            </w:tcBorders>
            <w:shd w:val="clear" w:color="auto" w:fill="auto"/>
            <w:noWrap/>
            <w:vAlign w:val="bottom"/>
            <w:hideMark/>
          </w:tcPr>
          <w:p w14:paraId="272AFE71" w14:textId="77777777" w:rsidR="005C363D" w:rsidRPr="00AE4E8D" w:rsidRDefault="005C363D"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37700E3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375.342</w:t>
            </w:r>
          </w:p>
        </w:tc>
        <w:tc>
          <w:tcPr>
            <w:tcW w:w="78" w:type="pct"/>
            <w:tcBorders>
              <w:top w:val="nil"/>
              <w:left w:val="nil"/>
              <w:bottom w:val="nil"/>
              <w:right w:val="nil"/>
            </w:tcBorders>
            <w:shd w:val="clear" w:color="auto" w:fill="auto"/>
            <w:noWrap/>
            <w:vAlign w:val="bottom"/>
          </w:tcPr>
          <w:p w14:paraId="60DD7BB7" w14:textId="77777777" w:rsidR="005C363D" w:rsidRPr="00AE4E8D" w:rsidRDefault="005C363D"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2BDFF65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624.973</w:t>
            </w:r>
          </w:p>
        </w:tc>
        <w:tc>
          <w:tcPr>
            <w:tcW w:w="78" w:type="pct"/>
            <w:tcBorders>
              <w:top w:val="nil"/>
              <w:left w:val="nil"/>
              <w:bottom w:val="nil"/>
              <w:right w:val="nil"/>
            </w:tcBorders>
            <w:shd w:val="clear" w:color="auto" w:fill="auto"/>
            <w:noWrap/>
            <w:vAlign w:val="bottom"/>
          </w:tcPr>
          <w:p w14:paraId="49FB5AA6" w14:textId="77777777" w:rsidR="005C363D" w:rsidRPr="00AE4E8D" w:rsidRDefault="005C363D"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4AD17EB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37.652</w:t>
            </w:r>
          </w:p>
        </w:tc>
      </w:tr>
    </w:tbl>
    <w:p w14:paraId="6DEB5BCE" w14:textId="77777777" w:rsidR="005C363D" w:rsidRPr="00AE4E8D" w:rsidRDefault="005C363D" w:rsidP="005C363D">
      <w:pPr>
        <w:autoSpaceDE w:val="0"/>
        <w:autoSpaceDN w:val="0"/>
        <w:adjustRightInd w:val="0"/>
        <w:spacing w:before="120" w:after="120"/>
        <w:jc w:val="both"/>
        <w:rPr>
          <w:rFonts w:ascii="Times New Roman" w:hAnsi="Times New Roman"/>
          <w:sz w:val="16"/>
          <w:lang w:val="es-ES" w:eastAsia="es-AR"/>
        </w:rPr>
      </w:pPr>
    </w:p>
    <w:tbl>
      <w:tblPr>
        <w:tblW w:w="14441" w:type="dxa"/>
        <w:jc w:val="center"/>
        <w:tblLook w:val="04A0" w:firstRow="1" w:lastRow="0" w:firstColumn="1" w:lastColumn="0" w:noHBand="0" w:noVBand="1"/>
      </w:tblPr>
      <w:tblGrid>
        <w:gridCol w:w="3191"/>
        <w:gridCol w:w="1077"/>
        <w:gridCol w:w="222"/>
        <w:gridCol w:w="963"/>
        <w:gridCol w:w="222"/>
        <w:gridCol w:w="856"/>
        <w:gridCol w:w="222"/>
        <w:gridCol w:w="963"/>
        <w:gridCol w:w="222"/>
        <w:gridCol w:w="1337"/>
        <w:gridCol w:w="222"/>
        <w:gridCol w:w="1299"/>
        <w:gridCol w:w="222"/>
        <w:gridCol w:w="994"/>
        <w:gridCol w:w="222"/>
        <w:gridCol w:w="994"/>
        <w:gridCol w:w="222"/>
        <w:gridCol w:w="994"/>
      </w:tblGrid>
      <w:tr w:rsidR="003B5193" w:rsidRPr="00AE4E8D" w14:paraId="42764635" w14:textId="77777777" w:rsidTr="007C68FE">
        <w:trPr>
          <w:trHeight w:val="258"/>
          <w:jc w:val="center"/>
        </w:trPr>
        <w:tc>
          <w:tcPr>
            <w:tcW w:w="3191" w:type="dxa"/>
            <w:tcBorders>
              <w:top w:val="nil"/>
              <w:left w:val="nil"/>
              <w:bottom w:val="nil"/>
              <w:right w:val="nil"/>
            </w:tcBorders>
            <w:shd w:val="clear" w:color="auto" w:fill="auto"/>
            <w:noWrap/>
            <w:vAlign w:val="center"/>
            <w:hideMark/>
          </w:tcPr>
          <w:p w14:paraId="792DF29B" w14:textId="77777777" w:rsidR="005C363D" w:rsidRPr="00AE4E8D" w:rsidRDefault="005C363D" w:rsidP="00E8320E">
            <w:pPr>
              <w:jc w:val="center"/>
              <w:rPr>
                <w:rFonts w:ascii="Times New Roman" w:hAnsi="Times New Roman"/>
                <w:color w:val="000000"/>
                <w:sz w:val="16"/>
                <w:lang w:val="es-ES"/>
              </w:rPr>
            </w:pPr>
          </w:p>
        </w:tc>
        <w:tc>
          <w:tcPr>
            <w:tcW w:w="7602" w:type="dxa"/>
            <w:gridSpan w:val="11"/>
            <w:tcBorders>
              <w:top w:val="nil"/>
              <w:left w:val="nil"/>
              <w:bottom w:val="single" w:sz="8" w:space="0" w:color="auto"/>
              <w:right w:val="nil"/>
            </w:tcBorders>
            <w:shd w:val="clear" w:color="auto" w:fill="auto"/>
            <w:vAlign w:val="center"/>
            <w:hideMark/>
          </w:tcPr>
          <w:p w14:paraId="72C11F6A"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31 de diciembre de</w:t>
            </w:r>
          </w:p>
        </w:tc>
        <w:tc>
          <w:tcPr>
            <w:tcW w:w="222" w:type="dxa"/>
            <w:tcBorders>
              <w:top w:val="nil"/>
              <w:left w:val="nil"/>
              <w:bottom w:val="nil"/>
              <w:right w:val="nil"/>
            </w:tcBorders>
            <w:shd w:val="clear" w:color="auto" w:fill="auto"/>
            <w:noWrap/>
            <w:vAlign w:val="bottom"/>
            <w:hideMark/>
          </w:tcPr>
          <w:p w14:paraId="75DF1021" w14:textId="77777777" w:rsidR="005C363D" w:rsidRPr="00AE4E8D" w:rsidRDefault="005C363D" w:rsidP="00E8320E">
            <w:pPr>
              <w:jc w:val="center"/>
              <w:rPr>
                <w:rFonts w:ascii="Times New Roman" w:hAnsi="Times New Roman"/>
                <w:sz w:val="16"/>
                <w:lang w:val="es-ES"/>
              </w:rPr>
            </w:pPr>
          </w:p>
        </w:tc>
        <w:tc>
          <w:tcPr>
            <w:tcW w:w="3426" w:type="dxa"/>
            <w:gridSpan w:val="5"/>
            <w:tcBorders>
              <w:top w:val="nil"/>
              <w:left w:val="nil"/>
              <w:bottom w:val="single" w:sz="8" w:space="0" w:color="auto"/>
              <w:right w:val="nil"/>
            </w:tcBorders>
            <w:shd w:val="clear" w:color="auto" w:fill="auto"/>
            <w:vAlign w:val="center"/>
            <w:hideMark/>
          </w:tcPr>
          <w:p w14:paraId="097AAE1D"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30 de junio de</w:t>
            </w:r>
          </w:p>
        </w:tc>
      </w:tr>
      <w:tr w:rsidR="003B5193" w:rsidRPr="00AE4E8D" w14:paraId="4FA8A29A" w14:textId="77777777" w:rsidTr="007C68FE">
        <w:trPr>
          <w:trHeight w:val="258"/>
          <w:jc w:val="center"/>
        </w:trPr>
        <w:tc>
          <w:tcPr>
            <w:tcW w:w="3191" w:type="dxa"/>
            <w:tcBorders>
              <w:top w:val="nil"/>
              <w:left w:val="nil"/>
              <w:bottom w:val="nil"/>
              <w:right w:val="nil"/>
            </w:tcBorders>
            <w:shd w:val="clear" w:color="auto" w:fill="auto"/>
            <w:noWrap/>
            <w:vAlign w:val="center"/>
            <w:hideMark/>
          </w:tcPr>
          <w:p w14:paraId="4E703785" w14:textId="77777777" w:rsidR="005C363D" w:rsidRPr="00AE4E8D" w:rsidRDefault="005C363D" w:rsidP="00E8320E">
            <w:pPr>
              <w:jc w:val="center"/>
              <w:rPr>
                <w:rFonts w:ascii="Times New Roman" w:hAnsi="Times New Roman"/>
                <w:color w:val="000000"/>
                <w:sz w:val="16"/>
                <w:lang w:val="es-ES"/>
              </w:rPr>
            </w:pPr>
          </w:p>
        </w:tc>
        <w:tc>
          <w:tcPr>
            <w:tcW w:w="1077" w:type="dxa"/>
            <w:tcBorders>
              <w:top w:val="nil"/>
              <w:left w:val="nil"/>
              <w:bottom w:val="single" w:sz="8" w:space="0" w:color="auto"/>
              <w:right w:val="nil"/>
            </w:tcBorders>
            <w:shd w:val="clear" w:color="auto" w:fill="auto"/>
            <w:noWrap/>
            <w:vAlign w:val="center"/>
            <w:hideMark/>
          </w:tcPr>
          <w:p w14:paraId="420EC21B"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2012</w:t>
            </w:r>
          </w:p>
        </w:tc>
        <w:tc>
          <w:tcPr>
            <w:tcW w:w="222" w:type="dxa"/>
            <w:tcBorders>
              <w:top w:val="nil"/>
              <w:left w:val="nil"/>
              <w:bottom w:val="nil"/>
              <w:right w:val="nil"/>
            </w:tcBorders>
            <w:shd w:val="clear" w:color="auto" w:fill="auto"/>
            <w:noWrap/>
            <w:vAlign w:val="center"/>
            <w:hideMark/>
          </w:tcPr>
          <w:p w14:paraId="4B396903" w14:textId="77777777" w:rsidR="005C363D" w:rsidRPr="00AE4E8D" w:rsidRDefault="005C363D" w:rsidP="00E8320E">
            <w:pPr>
              <w:jc w:val="center"/>
              <w:rPr>
                <w:rFonts w:ascii="Times New Roman" w:hAnsi="Times New Roman"/>
                <w:color w:val="000000"/>
                <w:sz w:val="16"/>
                <w:lang w:val="es-ES"/>
              </w:rPr>
            </w:pPr>
          </w:p>
        </w:tc>
        <w:tc>
          <w:tcPr>
            <w:tcW w:w="962" w:type="dxa"/>
            <w:tcBorders>
              <w:top w:val="nil"/>
              <w:left w:val="nil"/>
              <w:bottom w:val="single" w:sz="8" w:space="0" w:color="auto"/>
              <w:right w:val="nil"/>
            </w:tcBorders>
            <w:shd w:val="clear" w:color="auto" w:fill="auto"/>
            <w:noWrap/>
            <w:vAlign w:val="center"/>
            <w:hideMark/>
          </w:tcPr>
          <w:p w14:paraId="747E84CF"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2013</w:t>
            </w:r>
          </w:p>
        </w:tc>
        <w:tc>
          <w:tcPr>
            <w:tcW w:w="222" w:type="dxa"/>
            <w:tcBorders>
              <w:top w:val="nil"/>
              <w:left w:val="nil"/>
              <w:bottom w:val="nil"/>
              <w:right w:val="nil"/>
            </w:tcBorders>
            <w:shd w:val="clear" w:color="auto" w:fill="auto"/>
            <w:noWrap/>
            <w:vAlign w:val="center"/>
            <w:hideMark/>
          </w:tcPr>
          <w:p w14:paraId="34B9E88B" w14:textId="77777777" w:rsidR="005C363D" w:rsidRPr="00AE4E8D" w:rsidRDefault="005C363D" w:rsidP="00E8320E">
            <w:pPr>
              <w:jc w:val="center"/>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5B1AF356"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2014</w:t>
            </w:r>
          </w:p>
        </w:tc>
        <w:tc>
          <w:tcPr>
            <w:tcW w:w="222" w:type="dxa"/>
            <w:tcBorders>
              <w:top w:val="nil"/>
              <w:left w:val="nil"/>
              <w:bottom w:val="nil"/>
              <w:right w:val="nil"/>
            </w:tcBorders>
            <w:shd w:val="clear" w:color="auto" w:fill="auto"/>
            <w:noWrap/>
            <w:vAlign w:val="center"/>
            <w:hideMark/>
          </w:tcPr>
          <w:p w14:paraId="33F61817" w14:textId="77777777" w:rsidR="005C363D" w:rsidRPr="00AE4E8D" w:rsidRDefault="005C363D" w:rsidP="00E8320E">
            <w:pPr>
              <w:jc w:val="center"/>
              <w:rPr>
                <w:rFonts w:ascii="Times New Roman" w:hAnsi="Times New Roman"/>
                <w:color w:val="000000"/>
                <w:sz w:val="16"/>
                <w:lang w:val="es-ES"/>
              </w:rPr>
            </w:pPr>
          </w:p>
        </w:tc>
        <w:tc>
          <w:tcPr>
            <w:tcW w:w="962" w:type="dxa"/>
            <w:tcBorders>
              <w:top w:val="nil"/>
              <w:left w:val="nil"/>
              <w:bottom w:val="single" w:sz="8" w:space="0" w:color="auto"/>
              <w:right w:val="nil"/>
            </w:tcBorders>
            <w:shd w:val="clear" w:color="auto" w:fill="auto"/>
            <w:noWrap/>
            <w:vAlign w:val="center"/>
            <w:hideMark/>
          </w:tcPr>
          <w:p w14:paraId="0306E8C6"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2015</w:t>
            </w:r>
          </w:p>
        </w:tc>
        <w:tc>
          <w:tcPr>
            <w:tcW w:w="222" w:type="dxa"/>
            <w:tcBorders>
              <w:top w:val="nil"/>
              <w:left w:val="nil"/>
              <w:bottom w:val="nil"/>
              <w:right w:val="nil"/>
            </w:tcBorders>
            <w:shd w:val="clear" w:color="auto" w:fill="auto"/>
            <w:noWrap/>
            <w:vAlign w:val="center"/>
            <w:hideMark/>
          </w:tcPr>
          <w:p w14:paraId="3B1CB32B" w14:textId="77777777" w:rsidR="005C363D" w:rsidRPr="00AE4E8D" w:rsidRDefault="005C363D" w:rsidP="00E8320E">
            <w:pPr>
              <w:jc w:val="center"/>
              <w:rPr>
                <w:rFonts w:ascii="Times New Roman" w:hAnsi="Times New Roman"/>
                <w:color w:val="000000"/>
                <w:sz w:val="16"/>
                <w:lang w:val="es-ES"/>
              </w:rPr>
            </w:pPr>
          </w:p>
        </w:tc>
        <w:tc>
          <w:tcPr>
            <w:tcW w:w="1337" w:type="dxa"/>
            <w:tcBorders>
              <w:top w:val="nil"/>
              <w:left w:val="nil"/>
              <w:bottom w:val="single" w:sz="8" w:space="0" w:color="auto"/>
              <w:right w:val="nil"/>
            </w:tcBorders>
            <w:shd w:val="clear" w:color="auto" w:fill="auto"/>
            <w:noWrap/>
            <w:vAlign w:val="center"/>
            <w:hideMark/>
          </w:tcPr>
          <w:p w14:paraId="57125E26"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22" w:type="dxa"/>
            <w:tcBorders>
              <w:top w:val="nil"/>
              <w:left w:val="nil"/>
              <w:bottom w:val="nil"/>
              <w:right w:val="nil"/>
            </w:tcBorders>
            <w:shd w:val="clear" w:color="auto" w:fill="auto"/>
            <w:noWrap/>
            <w:vAlign w:val="center"/>
            <w:hideMark/>
          </w:tcPr>
          <w:p w14:paraId="76B2CD5D" w14:textId="77777777" w:rsidR="005C363D" w:rsidRPr="00AE4E8D" w:rsidRDefault="005C363D" w:rsidP="00E8320E">
            <w:pPr>
              <w:jc w:val="center"/>
              <w:rPr>
                <w:rFonts w:ascii="Times New Roman" w:hAnsi="Times New Roman"/>
                <w:color w:val="000000"/>
                <w:sz w:val="16"/>
                <w:lang w:val="es-ES"/>
              </w:rPr>
            </w:pPr>
          </w:p>
        </w:tc>
        <w:tc>
          <w:tcPr>
            <w:tcW w:w="1299" w:type="dxa"/>
            <w:tcBorders>
              <w:top w:val="nil"/>
              <w:left w:val="nil"/>
              <w:bottom w:val="single" w:sz="8" w:space="0" w:color="auto"/>
              <w:right w:val="nil"/>
            </w:tcBorders>
            <w:shd w:val="clear" w:color="auto" w:fill="auto"/>
            <w:noWrap/>
            <w:vAlign w:val="center"/>
            <w:hideMark/>
          </w:tcPr>
          <w:p w14:paraId="447D68C3"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22" w:type="dxa"/>
            <w:tcBorders>
              <w:top w:val="nil"/>
              <w:left w:val="nil"/>
              <w:bottom w:val="nil"/>
              <w:right w:val="nil"/>
            </w:tcBorders>
            <w:shd w:val="clear" w:color="auto" w:fill="auto"/>
            <w:noWrap/>
            <w:vAlign w:val="bottom"/>
            <w:hideMark/>
          </w:tcPr>
          <w:p w14:paraId="1A28E3F9" w14:textId="77777777" w:rsidR="005C363D" w:rsidRPr="00AE4E8D" w:rsidRDefault="005C363D" w:rsidP="00E8320E">
            <w:pPr>
              <w:jc w:val="center"/>
              <w:rPr>
                <w:rFonts w:ascii="Times New Roman" w:hAnsi="Times New Roman"/>
                <w:sz w:val="16"/>
                <w:lang w:val="es-ES"/>
              </w:rPr>
            </w:pPr>
          </w:p>
        </w:tc>
        <w:tc>
          <w:tcPr>
            <w:tcW w:w="994" w:type="dxa"/>
            <w:tcBorders>
              <w:top w:val="nil"/>
              <w:left w:val="nil"/>
              <w:bottom w:val="single" w:sz="8" w:space="0" w:color="auto"/>
              <w:right w:val="nil"/>
            </w:tcBorders>
            <w:shd w:val="clear" w:color="auto" w:fill="auto"/>
            <w:vAlign w:val="center"/>
            <w:hideMark/>
          </w:tcPr>
          <w:p w14:paraId="2DBE86D9"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22" w:type="dxa"/>
            <w:tcBorders>
              <w:top w:val="nil"/>
              <w:left w:val="nil"/>
              <w:bottom w:val="nil"/>
              <w:right w:val="nil"/>
            </w:tcBorders>
            <w:shd w:val="clear" w:color="auto" w:fill="auto"/>
            <w:vAlign w:val="center"/>
            <w:hideMark/>
          </w:tcPr>
          <w:p w14:paraId="0147FFF0" w14:textId="77777777" w:rsidR="005C363D" w:rsidRPr="00AE4E8D" w:rsidRDefault="005C363D" w:rsidP="00E8320E">
            <w:pPr>
              <w:jc w:val="center"/>
              <w:rPr>
                <w:rFonts w:ascii="Times New Roman" w:hAnsi="Times New Roman"/>
                <w:b/>
                <w:color w:val="000000"/>
                <w:sz w:val="16"/>
                <w:lang w:val="es-ES"/>
              </w:rPr>
            </w:pPr>
          </w:p>
        </w:tc>
        <w:tc>
          <w:tcPr>
            <w:tcW w:w="994" w:type="dxa"/>
            <w:tcBorders>
              <w:top w:val="nil"/>
              <w:left w:val="nil"/>
              <w:bottom w:val="single" w:sz="8" w:space="0" w:color="auto"/>
              <w:right w:val="nil"/>
            </w:tcBorders>
            <w:shd w:val="clear" w:color="auto" w:fill="auto"/>
            <w:vAlign w:val="center"/>
            <w:hideMark/>
          </w:tcPr>
          <w:p w14:paraId="42324A24"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c>
          <w:tcPr>
            <w:tcW w:w="222" w:type="dxa"/>
            <w:tcBorders>
              <w:top w:val="nil"/>
              <w:left w:val="nil"/>
              <w:bottom w:val="nil"/>
              <w:right w:val="nil"/>
            </w:tcBorders>
            <w:shd w:val="clear" w:color="auto" w:fill="auto"/>
            <w:vAlign w:val="center"/>
            <w:hideMark/>
          </w:tcPr>
          <w:p w14:paraId="1E532A83" w14:textId="77777777" w:rsidR="005C363D" w:rsidRPr="00AE4E8D" w:rsidRDefault="005C363D" w:rsidP="00E8320E">
            <w:pPr>
              <w:jc w:val="center"/>
              <w:rPr>
                <w:rFonts w:ascii="Times New Roman" w:hAnsi="Times New Roman"/>
                <w:b/>
                <w:color w:val="000000"/>
                <w:sz w:val="16"/>
                <w:lang w:val="es-ES"/>
              </w:rPr>
            </w:pPr>
          </w:p>
        </w:tc>
        <w:tc>
          <w:tcPr>
            <w:tcW w:w="994" w:type="dxa"/>
            <w:tcBorders>
              <w:top w:val="nil"/>
              <w:left w:val="nil"/>
              <w:bottom w:val="single" w:sz="8" w:space="0" w:color="auto"/>
              <w:right w:val="nil"/>
            </w:tcBorders>
            <w:shd w:val="clear" w:color="auto" w:fill="auto"/>
            <w:vAlign w:val="center"/>
            <w:hideMark/>
          </w:tcPr>
          <w:p w14:paraId="7792A3F3"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r>
      <w:tr w:rsidR="003B5193" w:rsidRPr="00AE4E8D" w14:paraId="6D79FC75" w14:textId="77777777" w:rsidTr="007C68FE">
        <w:trPr>
          <w:trHeight w:val="243"/>
          <w:jc w:val="center"/>
        </w:trPr>
        <w:tc>
          <w:tcPr>
            <w:tcW w:w="3191" w:type="dxa"/>
            <w:vMerge w:val="restart"/>
            <w:tcBorders>
              <w:top w:val="nil"/>
              <w:left w:val="nil"/>
              <w:bottom w:val="nil"/>
              <w:right w:val="nil"/>
            </w:tcBorders>
            <w:shd w:val="clear" w:color="auto" w:fill="auto"/>
            <w:noWrap/>
            <w:vAlign w:val="center"/>
            <w:hideMark/>
          </w:tcPr>
          <w:p w14:paraId="1372DB92" w14:textId="77777777" w:rsidR="005C363D" w:rsidRPr="00AE4E8D" w:rsidRDefault="005C363D" w:rsidP="00E8320E">
            <w:pPr>
              <w:jc w:val="center"/>
              <w:rPr>
                <w:rFonts w:ascii="Times New Roman" w:hAnsi="Times New Roman"/>
                <w:color w:val="000000"/>
                <w:sz w:val="16"/>
                <w:lang w:val="es-ES"/>
              </w:rPr>
            </w:pPr>
          </w:p>
        </w:tc>
        <w:tc>
          <w:tcPr>
            <w:tcW w:w="6081" w:type="dxa"/>
            <w:gridSpan w:val="9"/>
            <w:vMerge w:val="restart"/>
            <w:tcBorders>
              <w:top w:val="nil"/>
              <w:left w:val="nil"/>
              <w:bottom w:val="nil"/>
              <w:right w:val="nil"/>
            </w:tcBorders>
            <w:shd w:val="clear" w:color="auto" w:fill="auto"/>
            <w:vAlign w:val="center"/>
            <w:hideMark/>
          </w:tcPr>
          <w:p w14:paraId="385E198D"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222" w:type="dxa"/>
            <w:vMerge w:val="restart"/>
            <w:tcBorders>
              <w:top w:val="nil"/>
              <w:left w:val="nil"/>
              <w:bottom w:val="nil"/>
              <w:right w:val="nil"/>
            </w:tcBorders>
            <w:shd w:val="clear" w:color="auto" w:fill="auto"/>
            <w:vAlign w:val="center"/>
            <w:hideMark/>
          </w:tcPr>
          <w:p w14:paraId="0D0701D4" w14:textId="77777777" w:rsidR="005C363D" w:rsidRPr="00AE4E8D" w:rsidRDefault="005C363D" w:rsidP="00E8320E">
            <w:pPr>
              <w:jc w:val="center"/>
              <w:rPr>
                <w:rFonts w:ascii="Times New Roman" w:hAnsi="Times New Roman"/>
                <w:color w:val="000000"/>
                <w:sz w:val="16"/>
                <w:lang w:val="es-ES"/>
              </w:rPr>
            </w:pPr>
          </w:p>
        </w:tc>
        <w:tc>
          <w:tcPr>
            <w:tcW w:w="1299" w:type="dxa"/>
            <w:tcBorders>
              <w:top w:val="nil"/>
              <w:left w:val="nil"/>
              <w:bottom w:val="nil"/>
              <w:right w:val="nil"/>
            </w:tcBorders>
            <w:shd w:val="clear" w:color="auto" w:fill="auto"/>
            <w:noWrap/>
            <w:vAlign w:val="center"/>
            <w:hideMark/>
          </w:tcPr>
          <w:p w14:paraId="60DDE00E"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c>
          <w:tcPr>
            <w:tcW w:w="222" w:type="dxa"/>
            <w:tcBorders>
              <w:top w:val="nil"/>
              <w:left w:val="nil"/>
              <w:bottom w:val="nil"/>
              <w:right w:val="nil"/>
            </w:tcBorders>
            <w:shd w:val="clear" w:color="auto" w:fill="auto"/>
            <w:noWrap/>
            <w:vAlign w:val="bottom"/>
            <w:hideMark/>
          </w:tcPr>
          <w:p w14:paraId="3AE96236" w14:textId="77777777" w:rsidR="005C363D" w:rsidRPr="00AE4E8D" w:rsidRDefault="005C363D" w:rsidP="00E8320E">
            <w:pPr>
              <w:jc w:val="center"/>
              <w:rPr>
                <w:rFonts w:ascii="Times New Roman" w:hAnsi="Times New Roman"/>
                <w:sz w:val="16"/>
                <w:lang w:val="es-ES"/>
              </w:rPr>
            </w:pPr>
          </w:p>
        </w:tc>
        <w:tc>
          <w:tcPr>
            <w:tcW w:w="2210" w:type="dxa"/>
            <w:gridSpan w:val="3"/>
            <w:vMerge w:val="restart"/>
            <w:tcBorders>
              <w:top w:val="single" w:sz="8" w:space="0" w:color="auto"/>
              <w:left w:val="nil"/>
              <w:bottom w:val="nil"/>
              <w:right w:val="nil"/>
            </w:tcBorders>
            <w:shd w:val="clear" w:color="auto" w:fill="auto"/>
            <w:vAlign w:val="center"/>
            <w:hideMark/>
          </w:tcPr>
          <w:p w14:paraId="26698564"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222" w:type="dxa"/>
            <w:vMerge w:val="restart"/>
            <w:tcBorders>
              <w:top w:val="nil"/>
              <w:left w:val="nil"/>
              <w:bottom w:val="nil"/>
              <w:right w:val="nil"/>
            </w:tcBorders>
            <w:shd w:val="clear" w:color="auto" w:fill="auto"/>
            <w:vAlign w:val="center"/>
            <w:hideMark/>
          </w:tcPr>
          <w:p w14:paraId="392F03A7" w14:textId="77777777" w:rsidR="005C363D" w:rsidRPr="00AE4E8D" w:rsidRDefault="005C363D" w:rsidP="00E8320E">
            <w:pPr>
              <w:jc w:val="center"/>
              <w:rPr>
                <w:rFonts w:ascii="Times New Roman" w:hAnsi="Times New Roman"/>
                <w:color w:val="000000"/>
                <w:sz w:val="16"/>
                <w:lang w:val="es-ES"/>
              </w:rPr>
            </w:pPr>
          </w:p>
        </w:tc>
        <w:tc>
          <w:tcPr>
            <w:tcW w:w="994" w:type="dxa"/>
            <w:tcBorders>
              <w:top w:val="nil"/>
              <w:left w:val="nil"/>
              <w:bottom w:val="nil"/>
              <w:right w:val="nil"/>
            </w:tcBorders>
            <w:shd w:val="clear" w:color="auto" w:fill="auto"/>
            <w:vAlign w:val="center"/>
            <w:hideMark/>
          </w:tcPr>
          <w:p w14:paraId="5BABEB98"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r>
      <w:tr w:rsidR="005C363D" w:rsidRPr="00AE4E8D" w14:paraId="5AE095CA" w14:textId="77777777" w:rsidTr="007C68FE">
        <w:trPr>
          <w:trHeight w:val="243"/>
          <w:jc w:val="center"/>
        </w:trPr>
        <w:tc>
          <w:tcPr>
            <w:tcW w:w="3191" w:type="dxa"/>
            <w:vMerge/>
            <w:tcBorders>
              <w:top w:val="nil"/>
              <w:left w:val="nil"/>
              <w:bottom w:val="nil"/>
              <w:right w:val="nil"/>
            </w:tcBorders>
            <w:vAlign w:val="center"/>
            <w:hideMark/>
          </w:tcPr>
          <w:p w14:paraId="7BD71753" w14:textId="77777777" w:rsidR="005C363D" w:rsidRPr="00AE4E8D" w:rsidRDefault="005C363D" w:rsidP="00E8320E">
            <w:pPr>
              <w:jc w:val="center"/>
              <w:rPr>
                <w:rFonts w:ascii="Times New Roman" w:hAnsi="Times New Roman"/>
                <w:color w:val="000000"/>
                <w:sz w:val="16"/>
                <w:lang w:val="es-ES"/>
              </w:rPr>
            </w:pPr>
          </w:p>
        </w:tc>
        <w:tc>
          <w:tcPr>
            <w:tcW w:w="6081" w:type="dxa"/>
            <w:gridSpan w:val="9"/>
            <w:vMerge/>
            <w:tcBorders>
              <w:top w:val="nil"/>
              <w:left w:val="nil"/>
              <w:bottom w:val="nil"/>
              <w:right w:val="nil"/>
            </w:tcBorders>
            <w:vAlign w:val="center"/>
            <w:hideMark/>
          </w:tcPr>
          <w:p w14:paraId="05A6D10E" w14:textId="77777777" w:rsidR="005C363D" w:rsidRPr="00AE4E8D" w:rsidRDefault="005C363D" w:rsidP="00E8320E">
            <w:pPr>
              <w:jc w:val="center"/>
              <w:rPr>
                <w:rFonts w:ascii="Times New Roman" w:hAnsi="Times New Roman"/>
                <w:color w:val="000000"/>
                <w:sz w:val="16"/>
                <w:lang w:val="es-ES"/>
              </w:rPr>
            </w:pPr>
          </w:p>
        </w:tc>
        <w:tc>
          <w:tcPr>
            <w:tcW w:w="222" w:type="dxa"/>
            <w:vMerge/>
            <w:tcBorders>
              <w:top w:val="nil"/>
              <w:left w:val="nil"/>
              <w:bottom w:val="nil"/>
              <w:right w:val="nil"/>
            </w:tcBorders>
            <w:vAlign w:val="center"/>
            <w:hideMark/>
          </w:tcPr>
          <w:p w14:paraId="6BAEA9F9" w14:textId="77777777" w:rsidR="005C363D" w:rsidRPr="00AE4E8D" w:rsidRDefault="005C363D" w:rsidP="00E8320E">
            <w:pPr>
              <w:jc w:val="center"/>
              <w:rPr>
                <w:rFonts w:ascii="Times New Roman" w:hAnsi="Times New Roman"/>
                <w:color w:val="000000"/>
                <w:sz w:val="16"/>
                <w:lang w:val="es-ES"/>
              </w:rPr>
            </w:pPr>
          </w:p>
        </w:tc>
        <w:tc>
          <w:tcPr>
            <w:tcW w:w="1299" w:type="dxa"/>
            <w:tcBorders>
              <w:top w:val="nil"/>
              <w:left w:val="nil"/>
              <w:bottom w:val="nil"/>
              <w:right w:val="nil"/>
            </w:tcBorders>
            <w:shd w:val="clear" w:color="auto" w:fill="auto"/>
            <w:noWrap/>
            <w:vAlign w:val="center"/>
            <w:hideMark/>
          </w:tcPr>
          <w:p w14:paraId="26BBB5E3"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c>
          <w:tcPr>
            <w:tcW w:w="222" w:type="dxa"/>
            <w:tcBorders>
              <w:top w:val="nil"/>
              <w:left w:val="nil"/>
              <w:bottom w:val="nil"/>
              <w:right w:val="nil"/>
            </w:tcBorders>
            <w:shd w:val="clear" w:color="auto" w:fill="auto"/>
            <w:noWrap/>
            <w:vAlign w:val="bottom"/>
            <w:hideMark/>
          </w:tcPr>
          <w:p w14:paraId="0A3D85D5" w14:textId="77777777" w:rsidR="005C363D" w:rsidRPr="00AE4E8D" w:rsidRDefault="005C363D" w:rsidP="00E8320E">
            <w:pPr>
              <w:jc w:val="center"/>
              <w:rPr>
                <w:rFonts w:ascii="Times New Roman" w:hAnsi="Times New Roman"/>
                <w:sz w:val="16"/>
                <w:lang w:val="es-ES"/>
              </w:rPr>
            </w:pPr>
          </w:p>
        </w:tc>
        <w:tc>
          <w:tcPr>
            <w:tcW w:w="2210" w:type="dxa"/>
            <w:gridSpan w:val="3"/>
            <w:vMerge/>
            <w:tcBorders>
              <w:top w:val="nil"/>
              <w:left w:val="nil"/>
              <w:bottom w:val="nil"/>
              <w:right w:val="nil"/>
            </w:tcBorders>
            <w:vAlign w:val="center"/>
            <w:hideMark/>
          </w:tcPr>
          <w:p w14:paraId="7543F0FA" w14:textId="77777777" w:rsidR="005C363D" w:rsidRPr="00AE4E8D" w:rsidRDefault="005C363D" w:rsidP="00E8320E">
            <w:pPr>
              <w:jc w:val="center"/>
              <w:rPr>
                <w:rFonts w:ascii="Times New Roman" w:hAnsi="Times New Roman"/>
                <w:color w:val="000000"/>
                <w:sz w:val="16"/>
                <w:lang w:val="es-ES"/>
              </w:rPr>
            </w:pPr>
          </w:p>
        </w:tc>
        <w:tc>
          <w:tcPr>
            <w:tcW w:w="222" w:type="dxa"/>
            <w:vMerge/>
            <w:tcBorders>
              <w:top w:val="nil"/>
              <w:left w:val="nil"/>
              <w:bottom w:val="nil"/>
              <w:right w:val="nil"/>
            </w:tcBorders>
            <w:vAlign w:val="center"/>
            <w:hideMark/>
          </w:tcPr>
          <w:p w14:paraId="4A80944A" w14:textId="77777777" w:rsidR="005C363D" w:rsidRPr="00AE4E8D" w:rsidRDefault="005C363D" w:rsidP="00E8320E">
            <w:pPr>
              <w:jc w:val="center"/>
              <w:rPr>
                <w:rFonts w:ascii="Times New Roman" w:hAnsi="Times New Roman"/>
                <w:color w:val="000000"/>
                <w:sz w:val="16"/>
                <w:lang w:val="es-ES"/>
              </w:rPr>
            </w:pPr>
          </w:p>
        </w:tc>
        <w:tc>
          <w:tcPr>
            <w:tcW w:w="994" w:type="dxa"/>
            <w:tcBorders>
              <w:top w:val="nil"/>
              <w:left w:val="nil"/>
              <w:bottom w:val="nil"/>
              <w:right w:val="nil"/>
            </w:tcBorders>
            <w:shd w:val="clear" w:color="auto" w:fill="auto"/>
            <w:vAlign w:val="center"/>
            <w:hideMark/>
          </w:tcPr>
          <w:p w14:paraId="41C5C342"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r>
      <w:tr w:rsidR="003B5193" w:rsidRPr="00AE4E8D" w14:paraId="0D3C3D0C" w14:textId="77777777" w:rsidTr="007C68FE">
        <w:trPr>
          <w:trHeight w:val="243"/>
          <w:jc w:val="center"/>
        </w:trPr>
        <w:tc>
          <w:tcPr>
            <w:tcW w:w="3191" w:type="dxa"/>
            <w:tcBorders>
              <w:top w:val="nil"/>
              <w:left w:val="nil"/>
              <w:bottom w:val="nil"/>
              <w:right w:val="nil"/>
            </w:tcBorders>
            <w:shd w:val="clear" w:color="auto" w:fill="auto"/>
            <w:noWrap/>
            <w:vAlign w:val="center"/>
            <w:hideMark/>
          </w:tcPr>
          <w:p w14:paraId="74DF45EA" w14:textId="77777777" w:rsidR="005C363D" w:rsidRPr="00AE4E8D" w:rsidRDefault="005C363D" w:rsidP="00E8320E">
            <w:pPr>
              <w:rPr>
                <w:rFonts w:ascii="Times New Roman" w:hAnsi="Times New Roman"/>
                <w:b/>
                <w:color w:val="000000"/>
                <w:sz w:val="16"/>
                <w:lang w:val="es-ES"/>
              </w:rPr>
            </w:pPr>
            <w:r w:rsidRPr="00AE4E8D">
              <w:rPr>
                <w:rFonts w:ascii="Times New Roman" w:hAnsi="Times New Roman"/>
                <w:b/>
                <w:color w:val="000000"/>
                <w:sz w:val="16"/>
                <w:lang w:val="es-ES"/>
              </w:rPr>
              <w:t>ESTADO DE FLUJO DE EFECTIVO</w:t>
            </w:r>
          </w:p>
        </w:tc>
        <w:tc>
          <w:tcPr>
            <w:tcW w:w="1077" w:type="dxa"/>
            <w:tcBorders>
              <w:top w:val="nil"/>
              <w:left w:val="nil"/>
              <w:bottom w:val="nil"/>
              <w:right w:val="nil"/>
            </w:tcBorders>
            <w:shd w:val="clear" w:color="auto" w:fill="auto"/>
            <w:noWrap/>
            <w:vAlign w:val="center"/>
            <w:hideMark/>
          </w:tcPr>
          <w:p w14:paraId="348A128D" w14:textId="77777777" w:rsidR="005C363D" w:rsidRPr="00AE4E8D" w:rsidRDefault="005C363D"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2FF67E78" w14:textId="77777777" w:rsidR="005C363D" w:rsidRPr="00AE4E8D" w:rsidRDefault="005C363D" w:rsidP="00E8320E">
            <w:pPr>
              <w:jc w:val="center"/>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1E5E93DE" w14:textId="77777777" w:rsidR="005C363D" w:rsidRPr="00AE4E8D" w:rsidRDefault="005C363D"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2D5B700F" w14:textId="77777777" w:rsidR="005C363D" w:rsidRPr="00AE4E8D" w:rsidRDefault="005C363D" w:rsidP="00E8320E">
            <w:pPr>
              <w:jc w:val="cente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7E6C312" w14:textId="77777777" w:rsidR="005C363D" w:rsidRPr="00AE4E8D" w:rsidRDefault="005C363D"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5AD6584A" w14:textId="77777777" w:rsidR="005C363D" w:rsidRPr="00AE4E8D" w:rsidRDefault="005C363D" w:rsidP="00E8320E">
            <w:pPr>
              <w:jc w:val="center"/>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6C05E50C" w14:textId="77777777" w:rsidR="005C363D" w:rsidRPr="00AE4E8D" w:rsidRDefault="005C363D"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3930F937" w14:textId="77777777" w:rsidR="005C363D" w:rsidRPr="00AE4E8D" w:rsidRDefault="005C363D" w:rsidP="00E8320E">
            <w:pPr>
              <w:jc w:val="center"/>
              <w:rPr>
                <w:rFonts w:ascii="Times New Roman" w:hAnsi="Times New Roman"/>
                <w:color w:val="000000"/>
                <w:sz w:val="16"/>
                <w:lang w:val="es-ES"/>
              </w:rPr>
            </w:pPr>
          </w:p>
        </w:tc>
        <w:tc>
          <w:tcPr>
            <w:tcW w:w="1337" w:type="dxa"/>
            <w:tcBorders>
              <w:top w:val="nil"/>
              <w:left w:val="nil"/>
              <w:bottom w:val="nil"/>
              <w:right w:val="nil"/>
            </w:tcBorders>
            <w:shd w:val="clear" w:color="auto" w:fill="auto"/>
            <w:noWrap/>
            <w:vAlign w:val="center"/>
            <w:hideMark/>
          </w:tcPr>
          <w:p w14:paraId="26D59690" w14:textId="77777777" w:rsidR="005C363D" w:rsidRPr="00AE4E8D" w:rsidRDefault="005C363D"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6AFDD525" w14:textId="77777777" w:rsidR="005C363D" w:rsidRPr="00AE4E8D" w:rsidRDefault="005C363D" w:rsidP="00E8320E">
            <w:pPr>
              <w:jc w:val="center"/>
              <w:rPr>
                <w:rFonts w:ascii="Times New Roman" w:hAnsi="Times New Roman"/>
                <w:color w:val="000000"/>
                <w:sz w:val="16"/>
                <w:lang w:val="es-ES"/>
              </w:rPr>
            </w:pPr>
          </w:p>
        </w:tc>
        <w:tc>
          <w:tcPr>
            <w:tcW w:w="1299" w:type="dxa"/>
            <w:tcBorders>
              <w:top w:val="nil"/>
              <w:left w:val="nil"/>
              <w:bottom w:val="nil"/>
              <w:right w:val="nil"/>
            </w:tcBorders>
            <w:shd w:val="clear" w:color="auto" w:fill="auto"/>
            <w:noWrap/>
            <w:vAlign w:val="center"/>
            <w:hideMark/>
          </w:tcPr>
          <w:p w14:paraId="26E6ED8B" w14:textId="77777777" w:rsidR="005C363D" w:rsidRPr="00AE4E8D" w:rsidRDefault="005C363D"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0433C624" w14:textId="77777777" w:rsidR="005C363D" w:rsidRPr="00AE4E8D" w:rsidRDefault="005C363D" w:rsidP="00E8320E">
            <w:pPr>
              <w:jc w:val="center"/>
              <w:rPr>
                <w:rFonts w:ascii="Times New Roman" w:hAnsi="Times New Roman"/>
                <w:sz w:val="16"/>
                <w:lang w:val="es-ES"/>
              </w:rPr>
            </w:pPr>
          </w:p>
        </w:tc>
        <w:tc>
          <w:tcPr>
            <w:tcW w:w="994" w:type="dxa"/>
            <w:tcBorders>
              <w:top w:val="nil"/>
              <w:left w:val="nil"/>
              <w:bottom w:val="nil"/>
              <w:right w:val="nil"/>
            </w:tcBorders>
            <w:shd w:val="clear" w:color="auto" w:fill="auto"/>
            <w:noWrap/>
            <w:vAlign w:val="bottom"/>
            <w:hideMark/>
          </w:tcPr>
          <w:p w14:paraId="514501FC" w14:textId="77777777" w:rsidR="005C363D" w:rsidRPr="00AE4E8D" w:rsidRDefault="005C363D" w:rsidP="00E8320E">
            <w:pPr>
              <w:jc w:val="center"/>
              <w:rPr>
                <w:rFonts w:ascii="Times New Roman" w:hAnsi="Times New Roman"/>
                <w:sz w:val="16"/>
                <w:lang w:val="es-ES"/>
              </w:rPr>
            </w:pPr>
          </w:p>
        </w:tc>
        <w:tc>
          <w:tcPr>
            <w:tcW w:w="222" w:type="dxa"/>
            <w:tcBorders>
              <w:top w:val="nil"/>
              <w:left w:val="nil"/>
              <w:bottom w:val="nil"/>
              <w:right w:val="nil"/>
            </w:tcBorders>
            <w:shd w:val="clear" w:color="auto" w:fill="auto"/>
            <w:noWrap/>
            <w:vAlign w:val="bottom"/>
            <w:hideMark/>
          </w:tcPr>
          <w:p w14:paraId="5F69EF25" w14:textId="77777777" w:rsidR="005C363D" w:rsidRPr="00AE4E8D" w:rsidRDefault="005C363D" w:rsidP="00E8320E">
            <w:pPr>
              <w:jc w:val="center"/>
              <w:rPr>
                <w:rFonts w:ascii="Times New Roman" w:hAnsi="Times New Roman"/>
                <w:sz w:val="16"/>
                <w:lang w:val="es-ES"/>
              </w:rPr>
            </w:pPr>
          </w:p>
        </w:tc>
        <w:tc>
          <w:tcPr>
            <w:tcW w:w="994" w:type="dxa"/>
            <w:tcBorders>
              <w:top w:val="nil"/>
              <w:left w:val="nil"/>
              <w:bottom w:val="nil"/>
              <w:right w:val="nil"/>
            </w:tcBorders>
            <w:shd w:val="clear" w:color="auto" w:fill="auto"/>
            <w:noWrap/>
            <w:vAlign w:val="bottom"/>
            <w:hideMark/>
          </w:tcPr>
          <w:p w14:paraId="7E084D08" w14:textId="77777777" w:rsidR="005C363D" w:rsidRPr="00AE4E8D" w:rsidRDefault="005C363D" w:rsidP="00E8320E">
            <w:pPr>
              <w:jc w:val="center"/>
              <w:rPr>
                <w:rFonts w:ascii="Times New Roman" w:hAnsi="Times New Roman"/>
                <w:sz w:val="16"/>
                <w:lang w:val="es-ES"/>
              </w:rPr>
            </w:pPr>
          </w:p>
        </w:tc>
        <w:tc>
          <w:tcPr>
            <w:tcW w:w="222" w:type="dxa"/>
            <w:tcBorders>
              <w:top w:val="nil"/>
              <w:left w:val="nil"/>
              <w:bottom w:val="nil"/>
              <w:right w:val="nil"/>
            </w:tcBorders>
            <w:shd w:val="clear" w:color="auto" w:fill="auto"/>
            <w:noWrap/>
            <w:vAlign w:val="bottom"/>
            <w:hideMark/>
          </w:tcPr>
          <w:p w14:paraId="1F803002" w14:textId="77777777" w:rsidR="005C363D" w:rsidRPr="00AE4E8D" w:rsidRDefault="005C363D" w:rsidP="00E8320E">
            <w:pPr>
              <w:jc w:val="center"/>
              <w:rPr>
                <w:rFonts w:ascii="Times New Roman" w:hAnsi="Times New Roman"/>
                <w:sz w:val="16"/>
                <w:lang w:val="es-ES"/>
              </w:rPr>
            </w:pPr>
          </w:p>
        </w:tc>
        <w:tc>
          <w:tcPr>
            <w:tcW w:w="994" w:type="dxa"/>
            <w:tcBorders>
              <w:top w:val="nil"/>
              <w:left w:val="nil"/>
              <w:bottom w:val="nil"/>
              <w:right w:val="nil"/>
            </w:tcBorders>
            <w:shd w:val="clear" w:color="auto" w:fill="auto"/>
            <w:noWrap/>
            <w:vAlign w:val="bottom"/>
            <w:hideMark/>
          </w:tcPr>
          <w:p w14:paraId="13BE7932" w14:textId="77777777" w:rsidR="005C363D" w:rsidRPr="00AE4E8D" w:rsidRDefault="005C363D" w:rsidP="00E8320E">
            <w:pPr>
              <w:jc w:val="center"/>
              <w:rPr>
                <w:rFonts w:ascii="Times New Roman" w:hAnsi="Times New Roman"/>
                <w:sz w:val="16"/>
                <w:lang w:val="es-ES"/>
              </w:rPr>
            </w:pPr>
          </w:p>
        </w:tc>
      </w:tr>
      <w:tr w:rsidR="003B5193" w:rsidRPr="00AE4E8D" w14:paraId="420FD069" w14:textId="77777777" w:rsidTr="007C68FE">
        <w:trPr>
          <w:trHeight w:val="243"/>
          <w:jc w:val="center"/>
        </w:trPr>
        <w:tc>
          <w:tcPr>
            <w:tcW w:w="3191" w:type="dxa"/>
            <w:tcBorders>
              <w:top w:val="nil"/>
              <w:left w:val="nil"/>
              <w:bottom w:val="nil"/>
              <w:right w:val="nil"/>
            </w:tcBorders>
            <w:shd w:val="clear" w:color="auto" w:fill="auto"/>
            <w:noWrap/>
            <w:vAlign w:val="center"/>
            <w:hideMark/>
          </w:tcPr>
          <w:p w14:paraId="5AFEAC95"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Efectivo al Inicio</w:t>
            </w:r>
          </w:p>
        </w:tc>
        <w:tc>
          <w:tcPr>
            <w:tcW w:w="1077" w:type="dxa"/>
            <w:tcBorders>
              <w:top w:val="nil"/>
              <w:left w:val="nil"/>
              <w:bottom w:val="nil"/>
              <w:right w:val="nil"/>
            </w:tcBorders>
            <w:shd w:val="clear" w:color="auto" w:fill="auto"/>
            <w:noWrap/>
            <w:vAlign w:val="center"/>
            <w:hideMark/>
          </w:tcPr>
          <w:p w14:paraId="772FA4F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658.005</w:t>
            </w:r>
          </w:p>
        </w:tc>
        <w:tc>
          <w:tcPr>
            <w:tcW w:w="222" w:type="dxa"/>
            <w:tcBorders>
              <w:top w:val="nil"/>
              <w:left w:val="nil"/>
              <w:bottom w:val="nil"/>
              <w:right w:val="nil"/>
            </w:tcBorders>
            <w:shd w:val="clear" w:color="auto" w:fill="auto"/>
            <w:vAlign w:val="center"/>
            <w:hideMark/>
          </w:tcPr>
          <w:p w14:paraId="79D7C96D"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665761F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1.409.328</w:t>
            </w:r>
          </w:p>
        </w:tc>
        <w:tc>
          <w:tcPr>
            <w:tcW w:w="222" w:type="dxa"/>
            <w:tcBorders>
              <w:top w:val="nil"/>
              <w:left w:val="nil"/>
              <w:bottom w:val="nil"/>
              <w:right w:val="nil"/>
            </w:tcBorders>
            <w:shd w:val="clear" w:color="auto" w:fill="auto"/>
            <w:vAlign w:val="center"/>
            <w:hideMark/>
          </w:tcPr>
          <w:p w14:paraId="41572FCE" w14:textId="77777777" w:rsidR="005C363D" w:rsidRPr="00AE4E8D" w:rsidRDefault="005C363D" w:rsidP="00E8320E">
            <w:pPr>
              <w:jc w:val="right"/>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8D1C63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2.240.567</w:t>
            </w:r>
          </w:p>
        </w:tc>
        <w:tc>
          <w:tcPr>
            <w:tcW w:w="222" w:type="dxa"/>
            <w:tcBorders>
              <w:top w:val="nil"/>
              <w:left w:val="nil"/>
              <w:bottom w:val="nil"/>
              <w:right w:val="nil"/>
            </w:tcBorders>
            <w:shd w:val="clear" w:color="auto" w:fill="auto"/>
            <w:vAlign w:val="center"/>
            <w:hideMark/>
          </w:tcPr>
          <w:p w14:paraId="32ADA6F6"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4AEAFEB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5.368.514</w:t>
            </w:r>
          </w:p>
        </w:tc>
        <w:tc>
          <w:tcPr>
            <w:tcW w:w="222" w:type="dxa"/>
            <w:tcBorders>
              <w:top w:val="nil"/>
              <w:left w:val="nil"/>
              <w:bottom w:val="nil"/>
              <w:right w:val="nil"/>
            </w:tcBorders>
            <w:shd w:val="clear" w:color="auto" w:fill="auto"/>
            <w:noWrap/>
            <w:vAlign w:val="bottom"/>
            <w:hideMark/>
          </w:tcPr>
          <w:p w14:paraId="34397F2E" w14:textId="77777777" w:rsidR="005C363D" w:rsidRPr="00AE4E8D" w:rsidRDefault="005C363D" w:rsidP="00E8320E">
            <w:pPr>
              <w:jc w:val="right"/>
              <w:rPr>
                <w:rFonts w:ascii="Times New Roman" w:hAnsi="Times New Roman"/>
                <w:sz w:val="16"/>
                <w:lang w:val="es-ES"/>
              </w:rPr>
            </w:pPr>
          </w:p>
        </w:tc>
        <w:tc>
          <w:tcPr>
            <w:tcW w:w="1337" w:type="dxa"/>
            <w:tcBorders>
              <w:top w:val="nil"/>
              <w:left w:val="nil"/>
              <w:bottom w:val="nil"/>
              <w:right w:val="nil"/>
            </w:tcBorders>
            <w:shd w:val="clear" w:color="auto" w:fill="auto"/>
            <w:noWrap/>
            <w:vAlign w:val="center"/>
            <w:hideMark/>
          </w:tcPr>
          <w:p w14:paraId="1CD0C80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6.378.793</w:t>
            </w:r>
          </w:p>
        </w:tc>
        <w:tc>
          <w:tcPr>
            <w:tcW w:w="222" w:type="dxa"/>
            <w:tcBorders>
              <w:top w:val="nil"/>
              <w:left w:val="nil"/>
              <w:bottom w:val="nil"/>
              <w:right w:val="nil"/>
            </w:tcBorders>
            <w:shd w:val="clear" w:color="auto" w:fill="auto"/>
            <w:vAlign w:val="center"/>
            <w:hideMark/>
          </w:tcPr>
          <w:p w14:paraId="10957BFF" w14:textId="77777777" w:rsidR="005C363D" w:rsidRPr="00AE4E8D" w:rsidRDefault="005C363D" w:rsidP="00E8320E">
            <w:pPr>
              <w:jc w:val="right"/>
              <w:rPr>
                <w:rFonts w:ascii="Times New Roman" w:hAnsi="Times New Roman"/>
                <w:color w:val="000000"/>
                <w:sz w:val="16"/>
                <w:lang w:val="es-ES"/>
              </w:rPr>
            </w:pPr>
          </w:p>
        </w:tc>
        <w:tc>
          <w:tcPr>
            <w:tcW w:w="1299" w:type="dxa"/>
            <w:tcBorders>
              <w:top w:val="nil"/>
              <w:left w:val="nil"/>
              <w:bottom w:val="nil"/>
              <w:right w:val="nil"/>
            </w:tcBorders>
            <w:shd w:val="clear" w:color="auto" w:fill="auto"/>
            <w:noWrap/>
            <w:vAlign w:val="center"/>
            <w:hideMark/>
          </w:tcPr>
          <w:p w14:paraId="51C2B0D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402.442</w:t>
            </w:r>
          </w:p>
        </w:tc>
        <w:tc>
          <w:tcPr>
            <w:tcW w:w="222" w:type="dxa"/>
            <w:tcBorders>
              <w:top w:val="nil"/>
              <w:left w:val="nil"/>
              <w:bottom w:val="nil"/>
              <w:right w:val="nil"/>
            </w:tcBorders>
            <w:shd w:val="clear" w:color="auto" w:fill="auto"/>
            <w:noWrap/>
            <w:vAlign w:val="bottom"/>
            <w:hideMark/>
          </w:tcPr>
          <w:p w14:paraId="3507F636"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0D7D4CF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6.378.793</w:t>
            </w:r>
          </w:p>
        </w:tc>
        <w:tc>
          <w:tcPr>
            <w:tcW w:w="222" w:type="dxa"/>
            <w:tcBorders>
              <w:top w:val="nil"/>
              <w:left w:val="nil"/>
              <w:bottom w:val="nil"/>
              <w:right w:val="nil"/>
            </w:tcBorders>
            <w:shd w:val="clear" w:color="auto" w:fill="auto"/>
            <w:noWrap/>
            <w:vAlign w:val="bottom"/>
          </w:tcPr>
          <w:p w14:paraId="1AFF3172"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4B18AA5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7.188.279</w:t>
            </w:r>
          </w:p>
        </w:tc>
        <w:tc>
          <w:tcPr>
            <w:tcW w:w="222" w:type="dxa"/>
            <w:tcBorders>
              <w:top w:val="nil"/>
              <w:left w:val="nil"/>
              <w:bottom w:val="nil"/>
              <w:right w:val="nil"/>
            </w:tcBorders>
            <w:shd w:val="clear" w:color="auto" w:fill="auto"/>
            <w:noWrap/>
            <w:vAlign w:val="bottom"/>
          </w:tcPr>
          <w:p w14:paraId="0C4BDA33"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54FE7D0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433.068</w:t>
            </w:r>
          </w:p>
        </w:tc>
      </w:tr>
      <w:tr w:rsidR="003B5193" w:rsidRPr="00AE4E8D" w14:paraId="0C9176DF" w14:textId="77777777" w:rsidTr="007C68FE">
        <w:trPr>
          <w:trHeight w:val="243"/>
          <w:jc w:val="center"/>
        </w:trPr>
        <w:tc>
          <w:tcPr>
            <w:tcW w:w="3191" w:type="dxa"/>
            <w:tcBorders>
              <w:top w:val="nil"/>
              <w:left w:val="nil"/>
              <w:bottom w:val="nil"/>
              <w:right w:val="nil"/>
            </w:tcBorders>
            <w:shd w:val="clear" w:color="auto" w:fill="auto"/>
            <w:noWrap/>
            <w:vAlign w:val="center"/>
            <w:hideMark/>
          </w:tcPr>
          <w:p w14:paraId="73BB1592"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Flujo de efectivo derivado de actividades operativas</w:t>
            </w:r>
          </w:p>
        </w:tc>
        <w:tc>
          <w:tcPr>
            <w:tcW w:w="1077" w:type="dxa"/>
            <w:tcBorders>
              <w:top w:val="nil"/>
              <w:left w:val="nil"/>
              <w:bottom w:val="nil"/>
              <w:right w:val="nil"/>
            </w:tcBorders>
            <w:shd w:val="clear" w:color="auto" w:fill="auto"/>
            <w:noWrap/>
            <w:vAlign w:val="center"/>
            <w:hideMark/>
          </w:tcPr>
          <w:p w14:paraId="6B37828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(285.781)</w:t>
            </w:r>
          </w:p>
        </w:tc>
        <w:tc>
          <w:tcPr>
            <w:tcW w:w="222" w:type="dxa"/>
            <w:tcBorders>
              <w:top w:val="nil"/>
              <w:left w:val="nil"/>
              <w:bottom w:val="nil"/>
              <w:right w:val="nil"/>
            </w:tcBorders>
            <w:shd w:val="clear" w:color="auto" w:fill="auto"/>
            <w:noWrap/>
            <w:vAlign w:val="center"/>
            <w:hideMark/>
          </w:tcPr>
          <w:p w14:paraId="4B97D5C1"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1AF01D1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(1.358.932)</w:t>
            </w:r>
          </w:p>
        </w:tc>
        <w:tc>
          <w:tcPr>
            <w:tcW w:w="222" w:type="dxa"/>
            <w:tcBorders>
              <w:top w:val="nil"/>
              <w:left w:val="nil"/>
              <w:bottom w:val="nil"/>
              <w:right w:val="nil"/>
            </w:tcBorders>
            <w:shd w:val="clear" w:color="auto" w:fill="auto"/>
            <w:vAlign w:val="center"/>
            <w:hideMark/>
          </w:tcPr>
          <w:p w14:paraId="0897C163" w14:textId="77777777" w:rsidR="005C363D" w:rsidRPr="00AE4E8D" w:rsidRDefault="005C363D" w:rsidP="00E8320E">
            <w:pPr>
              <w:jc w:val="right"/>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0E2ACE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(760.949)</w:t>
            </w:r>
          </w:p>
        </w:tc>
        <w:tc>
          <w:tcPr>
            <w:tcW w:w="222" w:type="dxa"/>
            <w:tcBorders>
              <w:top w:val="nil"/>
              <w:left w:val="nil"/>
              <w:bottom w:val="nil"/>
              <w:right w:val="nil"/>
            </w:tcBorders>
            <w:shd w:val="clear" w:color="auto" w:fill="auto"/>
            <w:vAlign w:val="center"/>
            <w:hideMark/>
          </w:tcPr>
          <w:p w14:paraId="530F439A"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0BA13B3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(4.484.366)</w:t>
            </w:r>
          </w:p>
        </w:tc>
        <w:tc>
          <w:tcPr>
            <w:tcW w:w="222" w:type="dxa"/>
            <w:tcBorders>
              <w:top w:val="nil"/>
              <w:left w:val="nil"/>
              <w:bottom w:val="nil"/>
              <w:right w:val="nil"/>
            </w:tcBorders>
            <w:shd w:val="clear" w:color="auto" w:fill="auto"/>
            <w:noWrap/>
            <w:vAlign w:val="bottom"/>
            <w:hideMark/>
          </w:tcPr>
          <w:p w14:paraId="4368B53F" w14:textId="77777777" w:rsidR="005C363D" w:rsidRPr="00AE4E8D" w:rsidRDefault="005C363D" w:rsidP="00E8320E">
            <w:pPr>
              <w:jc w:val="right"/>
              <w:rPr>
                <w:rFonts w:ascii="Times New Roman" w:hAnsi="Times New Roman"/>
                <w:sz w:val="16"/>
                <w:lang w:val="es-ES"/>
              </w:rPr>
            </w:pPr>
          </w:p>
        </w:tc>
        <w:tc>
          <w:tcPr>
            <w:tcW w:w="1337" w:type="dxa"/>
            <w:tcBorders>
              <w:top w:val="nil"/>
              <w:left w:val="nil"/>
              <w:bottom w:val="nil"/>
              <w:right w:val="nil"/>
            </w:tcBorders>
            <w:shd w:val="clear" w:color="auto" w:fill="auto"/>
            <w:noWrap/>
            <w:vAlign w:val="center"/>
            <w:hideMark/>
          </w:tcPr>
          <w:p w14:paraId="22FE01B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(10.397.007)</w:t>
            </w:r>
          </w:p>
        </w:tc>
        <w:tc>
          <w:tcPr>
            <w:tcW w:w="222" w:type="dxa"/>
            <w:tcBorders>
              <w:top w:val="nil"/>
              <w:left w:val="nil"/>
              <w:bottom w:val="nil"/>
              <w:right w:val="nil"/>
            </w:tcBorders>
            <w:shd w:val="clear" w:color="auto" w:fill="auto"/>
            <w:vAlign w:val="center"/>
            <w:hideMark/>
          </w:tcPr>
          <w:p w14:paraId="05938193" w14:textId="77777777" w:rsidR="005C363D" w:rsidRPr="00AE4E8D" w:rsidRDefault="005C363D" w:rsidP="00E8320E">
            <w:pPr>
              <w:jc w:val="right"/>
              <w:rPr>
                <w:rFonts w:ascii="Times New Roman" w:hAnsi="Times New Roman"/>
                <w:color w:val="000000"/>
                <w:sz w:val="16"/>
                <w:lang w:val="es-ES"/>
              </w:rPr>
            </w:pPr>
          </w:p>
        </w:tc>
        <w:tc>
          <w:tcPr>
            <w:tcW w:w="1299" w:type="dxa"/>
            <w:tcBorders>
              <w:top w:val="nil"/>
              <w:left w:val="nil"/>
              <w:bottom w:val="nil"/>
              <w:right w:val="nil"/>
            </w:tcBorders>
            <w:shd w:val="clear" w:color="auto" w:fill="auto"/>
            <w:noWrap/>
            <w:vAlign w:val="center"/>
            <w:hideMark/>
          </w:tcPr>
          <w:p w14:paraId="06DEA69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(655.954)</w:t>
            </w:r>
          </w:p>
        </w:tc>
        <w:tc>
          <w:tcPr>
            <w:tcW w:w="222" w:type="dxa"/>
            <w:tcBorders>
              <w:top w:val="nil"/>
              <w:left w:val="nil"/>
              <w:bottom w:val="nil"/>
              <w:right w:val="nil"/>
            </w:tcBorders>
            <w:shd w:val="clear" w:color="auto" w:fill="auto"/>
            <w:noWrap/>
            <w:vAlign w:val="bottom"/>
            <w:hideMark/>
          </w:tcPr>
          <w:p w14:paraId="26A8CB10"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3482FC1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(6.319.923)</w:t>
            </w:r>
          </w:p>
        </w:tc>
        <w:tc>
          <w:tcPr>
            <w:tcW w:w="222" w:type="dxa"/>
            <w:tcBorders>
              <w:top w:val="nil"/>
              <w:left w:val="nil"/>
              <w:bottom w:val="nil"/>
              <w:right w:val="nil"/>
            </w:tcBorders>
            <w:shd w:val="clear" w:color="auto" w:fill="auto"/>
            <w:noWrap/>
            <w:vAlign w:val="bottom"/>
          </w:tcPr>
          <w:p w14:paraId="200E62BD"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62EEB8B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(7.274.004)</w:t>
            </w:r>
          </w:p>
        </w:tc>
        <w:tc>
          <w:tcPr>
            <w:tcW w:w="222" w:type="dxa"/>
            <w:tcBorders>
              <w:top w:val="nil"/>
              <w:left w:val="nil"/>
              <w:bottom w:val="nil"/>
              <w:right w:val="nil"/>
            </w:tcBorders>
            <w:shd w:val="clear" w:color="auto" w:fill="auto"/>
            <w:noWrap/>
            <w:vAlign w:val="bottom"/>
          </w:tcPr>
          <w:p w14:paraId="7B3105F7"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22BECB7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(438.233)</w:t>
            </w:r>
          </w:p>
        </w:tc>
      </w:tr>
      <w:tr w:rsidR="003B5193" w:rsidRPr="00AE4E8D" w14:paraId="0ACCF039" w14:textId="77777777" w:rsidTr="007C68FE">
        <w:trPr>
          <w:trHeight w:val="243"/>
          <w:jc w:val="center"/>
        </w:trPr>
        <w:tc>
          <w:tcPr>
            <w:tcW w:w="3191" w:type="dxa"/>
            <w:tcBorders>
              <w:top w:val="nil"/>
              <w:left w:val="nil"/>
              <w:bottom w:val="nil"/>
              <w:right w:val="nil"/>
            </w:tcBorders>
            <w:shd w:val="clear" w:color="auto" w:fill="auto"/>
            <w:noWrap/>
            <w:vAlign w:val="center"/>
            <w:hideMark/>
          </w:tcPr>
          <w:p w14:paraId="4389F12C"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Flujo de efectivo usado en actividades de inversión</w:t>
            </w:r>
          </w:p>
        </w:tc>
        <w:tc>
          <w:tcPr>
            <w:tcW w:w="1077" w:type="dxa"/>
            <w:tcBorders>
              <w:top w:val="nil"/>
              <w:left w:val="nil"/>
              <w:bottom w:val="nil"/>
              <w:right w:val="nil"/>
            </w:tcBorders>
            <w:shd w:val="clear" w:color="auto" w:fill="auto"/>
            <w:noWrap/>
            <w:vAlign w:val="center"/>
            <w:hideMark/>
          </w:tcPr>
          <w:p w14:paraId="1DF60C9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(8.044)</w:t>
            </w:r>
          </w:p>
        </w:tc>
        <w:tc>
          <w:tcPr>
            <w:tcW w:w="222" w:type="dxa"/>
            <w:tcBorders>
              <w:top w:val="nil"/>
              <w:left w:val="nil"/>
              <w:bottom w:val="nil"/>
              <w:right w:val="nil"/>
            </w:tcBorders>
            <w:shd w:val="clear" w:color="auto" w:fill="auto"/>
            <w:noWrap/>
            <w:vAlign w:val="center"/>
            <w:hideMark/>
          </w:tcPr>
          <w:p w14:paraId="034E9E88"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7A24836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(20.157)</w:t>
            </w:r>
          </w:p>
        </w:tc>
        <w:tc>
          <w:tcPr>
            <w:tcW w:w="222" w:type="dxa"/>
            <w:tcBorders>
              <w:top w:val="nil"/>
              <w:left w:val="nil"/>
              <w:bottom w:val="nil"/>
              <w:right w:val="nil"/>
            </w:tcBorders>
            <w:shd w:val="clear" w:color="auto" w:fill="auto"/>
            <w:vAlign w:val="center"/>
            <w:hideMark/>
          </w:tcPr>
          <w:p w14:paraId="65D2B308" w14:textId="77777777" w:rsidR="005C363D" w:rsidRPr="00AE4E8D" w:rsidRDefault="005C363D" w:rsidP="00E8320E">
            <w:pPr>
              <w:jc w:val="right"/>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F2B20E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(54.757)</w:t>
            </w:r>
          </w:p>
        </w:tc>
        <w:tc>
          <w:tcPr>
            <w:tcW w:w="222" w:type="dxa"/>
            <w:tcBorders>
              <w:top w:val="nil"/>
              <w:left w:val="nil"/>
              <w:bottom w:val="nil"/>
              <w:right w:val="nil"/>
            </w:tcBorders>
            <w:shd w:val="clear" w:color="auto" w:fill="auto"/>
            <w:vAlign w:val="center"/>
            <w:hideMark/>
          </w:tcPr>
          <w:p w14:paraId="149B414D"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2324DD9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(124.937)</w:t>
            </w:r>
          </w:p>
        </w:tc>
        <w:tc>
          <w:tcPr>
            <w:tcW w:w="222" w:type="dxa"/>
            <w:tcBorders>
              <w:top w:val="nil"/>
              <w:left w:val="nil"/>
              <w:bottom w:val="nil"/>
              <w:right w:val="nil"/>
            </w:tcBorders>
            <w:shd w:val="clear" w:color="auto" w:fill="auto"/>
            <w:noWrap/>
            <w:vAlign w:val="bottom"/>
            <w:hideMark/>
          </w:tcPr>
          <w:p w14:paraId="5855FA04" w14:textId="77777777" w:rsidR="005C363D" w:rsidRPr="00AE4E8D" w:rsidRDefault="005C363D" w:rsidP="00E8320E">
            <w:pPr>
              <w:jc w:val="right"/>
              <w:rPr>
                <w:rFonts w:ascii="Times New Roman" w:hAnsi="Times New Roman"/>
                <w:sz w:val="16"/>
                <w:lang w:val="es-ES"/>
              </w:rPr>
            </w:pPr>
          </w:p>
        </w:tc>
        <w:tc>
          <w:tcPr>
            <w:tcW w:w="1337" w:type="dxa"/>
            <w:tcBorders>
              <w:top w:val="nil"/>
              <w:left w:val="nil"/>
              <w:bottom w:val="nil"/>
              <w:right w:val="nil"/>
            </w:tcBorders>
            <w:shd w:val="clear" w:color="auto" w:fill="auto"/>
            <w:noWrap/>
            <w:vAlign w:val="center"/>
            <w:hideMark/>
          </w:tcPr>
          <w:p w14:paraId="7565579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(378.366)</w:t>
            </w:r>
          </w:p>
        </w:tc>
        <w:tc>
          <w:tcPr>
            <w:tcW w:w="222" w:type="dxa"/>
            <w:tcBorders>
              <w:top w:val="nil"/>
              <w:left w:val="nil"/>
              <w:bottom w:val="nil"/>
              <w:right w:val="nil"/>
            </w:tcBorders>
            <w:shd w:val="clear" w:color="auto" w:fill="auto"/>
            <w:vAlign w:val="center"/>
            <w:hideMark/>
          </w:tcPr>
          <w:p w14:paraId="4BDD805D" w14:textId="77777777" w:rsidR="005C363D" w:rsidRPr="00AE4E8D" w:rsidRDefault="005C363D" w:rsidP="00E8320E">
            <w:pPr>
              <w:jc w:val="right"/>
              <w:rPr>
                <w:rFonts w:ascii="Times New Roman" w:hAnsi="Times New Roman"/>
                <w:color w:val="000000"/>
                <w:sz w:val="16"/>
                <w:lang w:val="es-ES"/>
              </w:rPr>
            </w:pPr>
          </w:p>
        </w:tc>
        <w:tc>
          <w:tcPr>
            <w:tcW w:w="1299" w:type="dxa"/>
            <w:tcBorders>
              <w:top w:val="nil"/>
              <w:left w:val="nil"/>
              <w:bottom w:val="nil"/>
              <w:right w:val="nil"/>
            </w:tcBorders>
            <w:shd w:val="clear" w:color="auto" w:fill="auto"/>
            <w:noWrap/>
            <w:vAlign w:val="center"/>
            <w:hideMark/>
          </w:tcPr>
          <w:p w14:paraId="0B92413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(23.871)</w:t>
            </w:r>
          </w:p>
        </w:tc>
        <w:tc>
          <w:tcPr>
            <w:tcW w:w="222" w:type="dxa"/>
            <w:tcBorders>
              <w:top w:val="nil"/>
              <w:left w:val="nil"/>
              <w:bottom w:val="nil"/>
              <w:right w:val="nil"/>
            </w:tcBorders>
            <w:shd w:val="clear" w:color="auto" w:fill="auto"/>
            <w:noWrap/>
            <w:vAlign w:val="bottom"/>
            <w:hideMark/>
          </w:tcPr>
          <w:p w14:paraId="04DD5F49"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3B9D27B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(262.635)</w:t>
            </w:r>
          </w:p>
        </w:tc>
        <w:tc>
          <w:tcPr>
            <w:tcW w:w="222" w:type="dxa"/>
            <w:tcBorders>
              <w:top w:val="nil"/>
              <w:left w:val="nil"/>
              <w:bottom w:val="nil"/>
              <w:right w:val="nil"/>
            </w:tcBorders>
            <w:shd w:val="clear" w:color="auto" w:fill="auto"/>
            <w:noWrap/>
            <w:vAlign w:val="bottom"/>
          </w:tcPr>
          <w:p w14:paraId="170A9505"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0C03910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(1.018.386)</w:t>
            </w:r>
          </w:p>
        </w:tc>
        <w:tc>
          <w:tcPr>
            <w:tcW w:w="222" w:type="dxa"/>
            <w:tcBorders>
              <w:top w:val="nil"/>
              <w:left w:val="nil"/>
              <w:bottom w:val="nil"/>
              <w:right w:val="nil"/>
            </w:tcBorders>
            <w:shd w:val="clear" w:color="auto" w:fill="auto"/>
            <w:noWrap/>
            <w:vAlign w:val="bottom"/>
          </w:tcPr>
          <w:p w14:paraId="7FDE589B"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0FFA279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(61.354)</w:t>
            </w:r>
          </w:p>
        </w:tc>
      </w:tr>
      <w:tr w:rsidR="003B5193" w:rsidRPr="00AE4E8D" w14:paraId="503621F3" w14:textId="77777777" w:rsidTr="007C68FE">
        <w:trPr>
          <w:trHeight w:val="243"/>
          <w:jc w:val="center"/>
        </w:trPr>
        <w:tc>
          <w:tcPr>
            <w:tcW w:w="3191" w:type="dxa"/>
            <w:tcBorders>
              <w:top w:val="nil"/>
              <w:left w:val="nil"/>
              <w:bottom w:val="nil"/>
              <w:right w:val="nil"/>
            </w:tcBorders>
            <w:shd w:val="clear" w:color="auto" w:fill="auto"/>
            <w:noWrap/>
            <w:vAlign w:val="center"/>
            <w:hideMark/>
          </w:tcPr>
          <w:p w14:paraId="7328688F"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Flujo de efectivo usado en actividades de financiación</w:t>
            </w:r>
          </w:p>
        </w:tc>
        <w:tc>
          <w:tcPr>
            <w:tcW w:w="1077" w:type="dxa"/>
            <w:tcBorders>
              <w:top w:val="nil"/>
              <w:left w:val="nil"/>
              <w:bottom w:val="nil"/>
              <w:right w:val="nil"/>
            </w:tcBorders>
            <w:shd w:val="clear" w:color="auto" w:fill="auto"/>
            <w:noWrap/>
            <w:vAlign w:val="center"/>
            <w:hideMark/>
          </w:tcPr>
          <w:p w14:paraId="70403C7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165.203</w:t>
            </w:r>
          </w:p>
        </w:tc>
        <w:tc>
          <w:tcPr>
            <w:tcW w:w="222" w:type="dxa"/>
            <w:tcBorders>
              <w:top w:val="nil"/>
              <w:left w:val="nil"/>
              <w:bottom w:val="nil"/>
              <w:right w:val="nil"/>
            </w:tcBorders>
            <w:shd w:val="clear" w:color="auto" w:fill="auto"/>
            <w:vAlign w:val="center"/>
            <w:hideMark/>
          </w:tcPr>
          <w:p w14:paraId="6B5BBD0D"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39707B4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604.752</w:t>
            </w:r>
          </w:p>
        </w:tc>
        <w:tc>
          <w:tcPr>
            <w:tcW w:w="222" w:type="dxa"/>
            <w:tcBorders>
              <w:top w:val="nil"/>
              <w:left w:val="nil"/>
              <w:bottom w:val="nil"/>
              <w:right w:val="nil"/>
            </w:tcBorders>
            <w:shd w:val="clear" w:color="auto" w:fill="auto"/>
            <w:vAlign w:val="center"/>
            <w:hideMark/>
          </w:tcPr>
          <w:p w14:paraId="2B355D3B" w14:textId="77777777" w:rsidR="005C363D" w:rsidRPr="00AE4E8D" w:rsidRDefault="005C363D" w:rsidP="00E8320E">
            <w:pPr>
              <w:jc w:val="right"/>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9467A8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1.698.654</w:t>
            </w:r>
          </w:p>
        </w:tc>
        <w:tc>
          <w:tcPr>
            <w:tcW w:w="222" w:type="dxa"/>
            <w:tcBorders>
              <w:top w:val="nil"/>
              <w:left w:val="nil"/>
              <w:bottom w:val="nil"/>
              <w:right w:val="nil"/>
            </w:tcBorders>
            <w:shd w:val="clear" w:color="auto" w:fill="auto"/>
            <w:vAlign w:val="center"/>
            <w:hideMark/>
          </w:tcPr>
          <w:p w14:paraId="5FD640B6"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397D798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2.773.584</w:t>
            </w:r>
          </w:p>
        </w:tc>
        <w:tc>
          <w:tcPr>
            <w:tcW w:w="222" w:type="dxa"/>
            <w:tcBorders>
              <w:top w:val="nil"/>
              <w:left w:val="nil"/>
              <w:bottom w:val="nil"/>
              <w:right w:val="nil"/>
            </w:tcBorders>
            <w:shd w:val="clear" w:color="auto" w:fill="auto"/>
            <w:noWrap/>
            <w:vAlign w:val="bottom"/>
            <w:hideMark/>
          </w:tcPr>
          <w:p w14:paraId="1DAB3F94" w14:textId="77777777" w:rsidR="005C363D" w:rsidRPr="00AE4E8D" w:rsidRDefault="005C363D" w:rsidP="00E8320E">
            <w:pPr>
              <w:jc w:val="right"/>
              <w:rPr>
                <w:rFonts w:ascii="Times New Roman" w:hAnsi="Times New Roman"/>
                <w:sz w:val="16"/>
                <w:lang w:val="es-ES"/>
              </w:rPr>
            </w:pPr>
          </w:p>
        </w:tc>
        <w:tc>
          <w:tcPr>
            <w:tcW w:w="1337" w:type="dxa"/>
            <w:tcBorders>
              <w:top w:val="nil"/>
              <w:left w:val="nil"/>
              <w:bottom w:val="nil"/>
              <w:right w:val="nil"/>
            </w:tcBorders>
            <w:shd w:val="clear" w:color="auto" w:fill="auto"/>
            <w:noWrap/>
            <w:vAlign w:val="center"/>
            <w:hideMark/>
          </w:tcPr>
          <w:p w14:paraId="4DB2D1F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9.034.850</w:t>
            </w:r>
          </w:p>
        </w:tc>
        <w:tc>
          <w:tcPr>
            <w:tcW w:w="222" w:type="dxa"/>
            <w:tcBorders>
              <w:top w:val="nil"/>
              <w:left w:val="nil"/>
              <w:bottom w:val="nil"/>
              <w:right w:val="nil"/>
            </w:tcBorders>
            <w:shd w:val="clear" w:color="auto" w:fill="auto"/>
            <w:vAlign w:val="center"/>
            <w:hideMark/>
          </w:tcPr>
          <w:p w14:paraId="602D5887" w14:textId="77777777" w:rsidR="005C363D" w:rsidRPr="00AE4E8D" w:rsidRDefault="005C363D" w:rsidP="00E8320E">
            <w:pPr>
              <w:jc w:val="right"/>
              <w:rPr>
                <w:rFonts w:ascii="Times New Roman" w:hAnsi="Times New Roman"/>
                <w:color w:val="000000"/>
                <w:sz w:val="16"/>
                <w:lang w:val="es-ES"/>
              </w:rPr>
            </w:pPr>
          </w:p>
        </w:tc>
        <w:tc>
          <w:tcPr>
            <w:tcW w:w="1299" w:type="dxa"/>
            <w:tcBorders>
              <w:top w:val="nil"/>
              <w:left w:val="nil"/>
              <w:bottom w:val="nil"/>
              <w:right w:val="nil"/>
            </w:tcBorders>
            <w:shd w:val="clear" w:color="auto" w:fill="auto"/>
            <w:noWrap/>
            <w:vAlign w:val="center"/>
            <w:hideMark/>
          </w:tcPr>
          <w:p w14:paraId="46AA198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570.015</w:t>
            </w:r>
          </w:p>
        </w:tc>
        <w:tc>
          <w:tcPr>
            <w:tcW w:w="222" w:type="dxa"/>
            <w:tcBorders>
              <w:top w:val="nil"/>
              <w:left w:val="nil"/>
              <w:bottom w:val="nil"/>
              <w:right w:val="nil"/>
            </w:tcBorders>
            <w:shd w:val="clear" w:color="auto" w:fill="auto"/>
            <w:noWrap/>
            <w:vAlign w:val="bottom"/>
            <w:hideMark/>
          </w:tcPr>
          <w:p w14:paraId="06A2D5EC"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2FF56BD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2.218.617</w:t>
            </w:r>
          </w:p>
        </w:tc>
        <w:tc>
          <w:tcPr>
            <w:tcW w:w="222" w:type="dxa"/>
            <w:tcBorders>
              <w:top w:val="nil"/>
              <w:left w:val="nil"/>
              <w:bottom w:val="nil"/>
              <w:right w:val="nil"/>
            </w:tcBorders>
            <w:shd w:val="clear" w:color="auto" w:fill="auto"/>
            <w:noWrap/>
            <w:vAlign w:val="bottom"/>
          </w:tcPr>
          <w:p w14:paraId="7536FE47"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59C5EE9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2.684.877</w:t>
            </w:r>
          </w:p>
        </w:tc>
        <w:tc>
          <w:tcPr>
            <w:tcW w:w="222" w:type="dxa"/>
            <w:tcBorders>
              <w:top w:val="nil"/>
              <w:left w:val="nil"/>
              <w:bottom w:val="nil"/>
              <w:right w:val="nil"/>
            </w:tcBorders>
            <w:shd w:val="clear" w:color="auto" w:fill="auto"/>
            <w:noWrap/>
            <w:vAlign w:val="bottom"/>
          </w:tcPr>
          <w:p w14:paraId="195E056C"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4702C46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161.754</w:t>
            </w:r>
          </w:p>
        </w:tc>
      </w:tr>
      <w:tr w:rsidR="003B5193" w:rsidRPr="00AE4E8D" w14:paraId="75A2665B" w14:textId="77777777" w:rsidTr="007C68FE">
        <w:trPr>
          <w:trHeight w:val="258"/>
          <w:jc w:val="center"/>
        </w:trPr>
        <w:tc>
          <w:tcPr>
            <w:tcW w:w="3191" w:type="dxa"/>
            <w:tcBorders>
              <w:top w:val="nil"/>
              <w:left w:val="nil"/>
              <w:bottom w:val="nil"/>
              <w:right w:val="nil"/>
            </w:tcBorders>
            <w:shd w:val="clear" w:color="auto" w:fill="auto"/>
            <w:noWrap/>
            <w:vAlign w:val="center"/>
            <w:hideMark/>
          </w:tcPr>
          <w:p w14:paraId="47C14264"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Resultados financieros y por tenencia del efectivo y sus equivalentes (incluyendo intereses y resultados monetarios)</w:t>
            </w:r>
          </w:p>
        </w:tc>
        <w:tc>
          <w:tcPr>
            <w:tcW w:w="1077" w:type="dxa"/>
            <w:tcBorders>
              <w:top w:val="nil"/>
              <w:left w:val="nil"/>
              <w:bottom w:val="single" w:sz="8" w:space="0" w:color="auto"/>
              <w:right w:val="nil"/>
            </w:tcBorders>
            <w:shd w:val="clear" w:color="auto" w:fill="auto"/>
            <w:noWrap/>
            <w:vAlign w:val="center"/>
            <w:hideMark/>
          </w:tcPr>
          <w:p w14:paraId="5C1CCB5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879.945</w:t>
            </w:r>
          </w:p>
        </w:tc>
        <w:tc>
          <w:tcPr>
            <w:tcW w:w="222" w:type="dxa"/>
            <w:tcBorders>
              <w:top w:val="nil"/>
              <w:left w:val="nil"/>
              <w:bottom w:val="nil"/>
              <w:right w:val="nil"/>
            </w:tcBorders>
            <w:shd w:val="clear" w:color="auto" w:fill="auto"/>
            <w:vAlign w:val="center"/>
            <w:hideMark/>
          </w:tcPr>
          <w:p w14:paraId="57B2DB92"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single" w:sz="8" w:space="0" w:color="auto"/>
              <w:right w:val="nil"/>
            </w:tcBorders>
            <w:shd w:val="clear" w:color="auto" w:fill="auto"/>
            <w:noWrap/>
            <w:vAlign w:val="center"/>
            <w:hideMark/>
          </w:tcPr>
          <w:p w14:paraId="039E44A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1.605.576</w:t>
            </w:r>
          </w:p>
        </w:tc>
        <w:tc>
          <w:tcPr>
            <w:tcW w:w="222" w:type="dxa"/>
            <w:tcBorders>
              <w:top w:val="nil"/>
              <w:left w:val="nil"/>
              <w:bottom w:val="nil"/>
              <w:right w:val="nil"/>
            </w:tcBorders>
            <w:shd w:val="clear" w:color="auto" w:fill="auto"/>
            <w:vAlign w:val="center"/>
            <w:hideMark/>
          </w:tcPr>
          <w:p w14:paraId="69BBD776" w14:textId="77777777" w:rsidR="005C363D" w:rsidRPr="00AE4E8D" w:rsidRDefault="005C363D" w:rsidP="00E8320E">
            <w:pPr>
              <w:jc w:val="right"/>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6645B73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2.244.999</w:t>
            </w:r>
          </w:p>
        </w:tc>
        <w:tc>
          <w:tcPr>
            <w:tcW w:w="222" w:type="dxa"/>
            <w:tcBorders>
              <w:top w:val="nil"/>
              <w:left w:val="nil"/>
              <w:bottom w:val="nil"/>
              <w:right w:val="nil"/>
            </w:tcBorders>
            <w:shd w:val="clear" w:color="auto" w:fill="auto"/>
            <w:vAlign w:val="center"/>
            <w:hideMark/>
          </w:tcPr>
          <w:p w14:paraId="1B9186CE"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single" w:sz="8" w:space="0" w:color="auto"/>
              <w:right w:val="nil"/>
            </w:tcBorders>
            <w:shd w:val="clear" w:color="auto" w:fill="auto"/>
            <w:noWrap/>
            <w:vAlign w:val="center"/>
            <w:hideMark/>
          </w:tcPr>
          <w:p w14:paraId="38ED428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2.845.998</w:t>
            </w:r>
          </w:p>
        </w:tc>
        <w:tc>
          <w:tcPr>
            <w:tcW w:w="222" w:type="dxa"/>
            <w:tcBorders>
              <w:top w:val="nil"/>
              <w:left w:val="nil"/>
              <w:bottom w:val="nil"/>
              <w:right w:val="nil"/>
            </w:tcBorders>
            <w:shd w:val="clear" w:color="auto" w:fill="auto"/>
            <w:noWrap/>
            <w:vAlign w:val="bottom"/>
            <w:hideMark/>
          </w:tcPr>
          <w:p w14:paraId="011F4ADC" w14:textId="77777777" w:rsidR="005C363D" w:rsidRPr="00AE4E8D" w:rsidRDefault="005C363D" w:rsidP="00E8320E">
            <w:pPr>
              <w:jc w:val="right"/>
              <w:rPr>
                <w:rFonts w:ascii="Times New Roman" w:hAnsi="Times New Roman"/>
                <w:sz w:val="16"/>
                <w:lang w:val="es-ES"/>
              </w:rPr>
            </w:pPr>
          </w:p>
        </w:tc>
        <w:tc>
          <w:tcPr>
            <w:tcW w:w="1337" w:type="dxa"/>
            <w:tcBorders>
              <w:top w:val="nil"/>
              <w:left w:val="nil"/>
              <w:bottom w:val="single" w:sz="8" w:space="0" w:color="auto"/>
              <w:right w:val="nil"/>
            </w:tcBorders>
            <w:shd w:val="clear" w:color="auto" w:fill="auto"/>
            <w:noWrap/>
            <w:vAlign w:val="center"/>
            <w:hideMark/>
          </w:tcPr>
          <w:p w14:paraId="2887846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2.550.009</w:t>
            </w:r>
          </w:p>
        </w:tc>
        <w:tc>
          <w:tcPr>
            <w:tcW w:w="222" w:type="dxa"/>
            <w:tcBorders>
              <w:top w:val="nil"/>
              <w:left w:val="nil"/>
              <w:bottom w:val="nil"/>
              <w:right w:val="nil"/>
            </w:tcBorders>
            <w:shd w:val="clear" w:color="auto" w:fill="auto"/>
            <w:vAlign w:val="center"/>
            <w:hideMark/>
          </w:tcPr>
          <w:p w14:paraId="71EF633E" w14:textId="77777777" w:rsidR="005C363D" w:rsidRPr="00AE4E8D" w:rsidRDefault="005C363D" w:rsidP="00E8320E">
            <w:pPr>
              <w:jc w:val="right"/>
              <w:rPr>
                <w:rFonts w:ascii="Times New Roman" w:hAnsi="Times New Roman"/>
                <w:color w:val="000000"/>
                <w:sz w:val="16"/>
                <w:lang w:val="es-ES"/>
              </w:rPr>
            </w:pPr>
          </w:p>
        </w:tc>
        <w:tc>
          <w:tcPr>
            <w:tcW w:w="1299" w:type="dxa"/>
            <w:tcBorders>
              <w:top w:val="nil"/>
              <w:left w:val="nil"/>
              <w:bottom w:val="single" w:sz="8" w:space="0" w:color="auto"/>
              <w:right w:val="nil"/>
            </w:tcBorders>
            <w:shd w:val="clear" w:color="auto" w:fill="auto"/>
            <w:noWrap/>
            <w:vAlign w:val="center"/>
            <w:hideMark/>
          </w:tcPr>
          <w:p w14:paraId="07BF489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160.882</w:t>
            </w:r>
          </w:p>
        </w:tc>
        <w:tc>
          <w:tcPr>
            <w:tcW w:w="222" w:type="dxa"/>
            <w:tcBorders>
              <w:top w:val="nil"/>
              <w:left w:val="nil"/>
              <w:bottom w:val="nil"/>
              <w:right w:val="nil"/>
            </w:tcBorders>
            <w:shd w:val="clear" w:color="auto" w:fill="auto"/>
            <w:noWrap/>
            <w:vAlign w:val="bottom"/>
            <w:hideMark/>
          </w:tcPr>
          <w:p w14:paraId="50505285"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single" w:sz="8" w:space="0" w:color="auto"/>
              <w:right w:val="nil"/>
            </w:tcBorders>
            <w:shd w:val="clear" w:color="auto" w:fill="auto"/>
            <w:noWrap/>
            <w:vAlign w:val="center"/>
          </w:tcPr>
          <w:p w14:paraId="347AA2B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1.286.988</w:t>
            </w:r>
          </w:p>
        </w:tc>
        <w:tc>
          <w:tcPr>
            <w:tcW w:w="222" w:type="dxa"/>
            <w:tcBorders>
              <w:top w:val="nil"/>
              <w:left w:val="nil"/>
              <w:bottom w:val="nil"/>
              <w:right w:val="nil"/>
            </w:tcBorders>
            <w:shd w:val="clear" w:color="auto" w:fill="auto"/>
            <w:noWrap/>
            <w:vAlign w:val="bottom"/>
          </w:tcPr>
          <w:p w14:paraId="5FC11D9F"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single" w:sz="8" w:space="0" w:color="auto"/>
              <w:right w:val="nil"/>
            </w:tcBorders>
            <w:shd w:val="clear" w:color="auto" w:fill="auto"/>
            <w:noWrap/>
            <w:vAlign w:val="center"/>
          </w:tcPr>
          <w:p w14:paraId="0E9A401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1.854.537</w:t>
            </w:r>
          </w:p>
        </w:tc>
        <w:tc>
          <w:tcPr>
            <w:tcW w:w="222" w:type="dxa"/>
            <w:tcBorders>
              <w:top w:val="nil"/>
              <w:left w:val="nil"/>
              <w:bottom w:val="nil"/>
              <w:right w:val="nil"/>
            </w:tcBorders>
            <w:shd w:val="clear" w:color="auto" w:fill="auto"/>
            <w:noWrap/>
            <w:vAlign w:val="bottom"/>
          </w:tcPr>
          <w:p w14:paraId="4E9A9331"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single" w:sz="8" w:space="0" w:color="auto"/>
              <w:right w:val="nil"/>
            </w:tcBorders>
            <w:shd w:val="clear" w:color="auto" w:fill="auto"/>
            <w:noWrap/>
            <w:vAlign w:val="center"/>
          </w:tcPr>
          <w:p w14:paraId="1B0DA5E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111.730</w:t>
            </w:r>
          </w:p>
        </w:tc>
      </w:tr>
      <w:tr w:rsidR="003B5193" w:rsidRPr="00AE4E8D" w14:paraId="2F460505" w14:textId="77777777" w:rsidTr="007C68FE">
        <w:trPr>
          <w:trHeight w:val="258"/>
          <w:jc w:val="center"/>
        </w:trPr>
        <w:tc>
          <w:tcPr>
            <w:tcW w:w="3191" w:type="dxa"/>
            <w:tcBorders>
              <w:top w:val="nil"/>
              <w:left w:val="nil"/>
              <w:bottom w:val="nil"/>
              <w:right w:val="nil"/>
            </w:tcBorders>
            <w:shd w:val="clear" w:color="auto" w:fill="auto"/>
            <w:noWrap/>
            <w:vAlign w:val="center"/>
            <w:hideMark/>
          </w:tcPr>
          <w:p w14:paraId="723DB049"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Aumento / (disminución) neta del efectivo</w:t>
            </w:r>
          </w:p>
        </w:tc>
        <w:tc>
          <w:tcPr>
            <w:tcW w:w="1077" w:type="dxa"/>
            <w:tcBorders>
              <w:top w:val="nil"/>
              <w:left w:val="nil"/>
              <w:bottom w:val="single" w:sz="8" w:space="0" w:color="auto"/>
              <w:right w:val="nil"/>
            </w:tcBorders>
            <w:shd w:val="clear" w:color="auto" w:fill="auto"/>
            <w:noWrap/>
            <w:vAlign w:val="center"/>
            <w:hideMark/>
          </w:tcPr>
          <w:p w14:paraId="43A0CAD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751.323</w:t>
            </w:r>
          </w:p>
        </w:tc>
        <w:tc>
          <w:tcPr>
            <w:tcW w:w="222" w:type="dxa"/>
            <w:tcBorders>
              <w:top w:val="nil"/>
              <w:left w:val="nil"/>
              <w:bottom w:val="nil"/>
              <w:right w:val="nil"/>
            </w:tcBorders>
            <w:shd w:val="clear" w:color="auto" w:fill="auto"/>
            <w:vAlign w:val="center"/>
            <w:hideMark/>
          </w:tcPr>
          <w:p w14:paraId="0A9290B8"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single" w:sz="8" w:space="0" w:color="auto"/>
              <w:right w:val="nil"/>
            </w:tcBorders>
            <w:shd w:val="clear" w:color="auto" w:fill="auto"/>
            <w:noWrap/>
            <w:vAlign w:val="center"/>
            <w:hideMark/>
          </w:tcPr>
          <w:p w14:paraId="33C6AAE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831.239</w:t>
            </w:r>
          </w:p>
        </w:tc>
        <w:tc>
          <w:tcPr>
            <w:tcW w:w="222" w:type="dxa"/>
            <w:tcBorders>
              <w:top w:val="nil"/>
              <w:left w:val="nil"/>
              <w:bottom w:val="nil"/>
              <w:right w:val="nil"/>
            </w:tcBorders>
            <w:shd w:val="clear" w:color="auto" w:fill="auto"/>
            <w:vAlign w:val="center"/>
            <w:hideMark/>
          </w:tcPr>
          <w:p w14:paraId="679815E5" w14:textId="77777777" w:rsidR="005C363D" w:rsidRPr="00AE4E8D" w:rsidRDefault="005C363D" w:rsidP="00E8320E">
            <w:pPr>
              <w:jc w:val="right"/>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508CDD3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3.127.947</w:t>
            </w:r>
          </w:p>
        </w:tc>
        <w:tc>
          <w:tcPr>
            <w:tcW w:w="222" w:type="dxa"/>
            <w:tcBorders>
              <w:top w:val="nil"/>
              <w:left w:val="nil"/>
              <w:bottom w:val="nil"/>
              <w:right w:val="nil"/>
            </w:tcBorders>
            <w:shd w:val="clear" w:color="auto" w:fill="auto"/>
            <w:vAlign w:val="center"/>
            <w:hideMark/>
          </w:tcPr>
          <w:p w14:paraId="470E62F6"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single" w:sz="8" w:space="0" w:color="auto"/>
              <w:right w:val="nil"/>
            </w:tcBorders>
            <w:shd w:val="clear" w:color="auto" w:fill="auto"/>
            <w:noWrap/>
            <w:vAlign w:val="center"/>
            <w:hideMark/>
          </w:tcPr>
          <w:p w14:paraId="0DF7601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1.010.279</w:t>
            </w:r>
          </w:p>
        </w:tc>
        <w:tc>
          <w:tcPr>
            <w:tcW w:w="222" w:type="dxa"/>
            <w:tcBorders>
              <w:top w:val="nil"/>
              <w:left w:val="nil"/>
              <w:bottom w:val="nil"/>
              <w:right w:val="nil"/>
            </w:tcBorders>
            <w:shd w:val="clear" w:color="auto" w:fill="auto"/>
            <w:noWrap/>
            <w:vAlign w:val="bottom"/>
            <w:hideMark/>
          </w:tcPr>
          <w:p w14:paraId="662F3630" w14:textId="77777777" w:rsidR="005C363D" w:rsidRPr="00AE4E8D" w:rsidRDefault="005C363D" w:rsidP="00E8320E">
            <w:pPr>
              <w:jc w:val="right"/>
              <w:rPr>
                <w:rFonts w:ascii="Times New Roman" w:hAnsi="Times New Roman"/>
                <w:sz w:val="16"/>
                <w:lang w:val="es-ES"/>
              </w:rPr>
            </w:pPr>
          </w:p>
        </w:tc>
        <w:tc>
          <w:tcPr>
            <w:tcW w:w="1337" w:type="dxa"/>
            <w:tcBorders>
              <w:top w:val="nil"/>
              <w:left w:val="nil"/>
              <w:bottom w:val="single" w:sz="8" w:space="0" w:color="auto"/>
              <w:right w:val="nil"/>
            </w:tcBorders>
            <w:shd w:val="clear" w:color="auto" w:fill="auto"/>
            <w:noWrap/>
            <w:vAlign w:val="center"/>
            <w:hideMark/>
          </w:tcPr>
          <w:p w14:paraId="3C3EC0B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809.486</w:t>
            </w:r>
          </w:p>
        </w:tc>
        <w:tc>
          <w:tcPr>
            <w:tcW w:w="222" w:type="dxa"/>
            <w:tcBorders>
              <w:top w:val="nil"/>
              <w:left w:val="nil"/>
              <w:bottom w:val="nil"/>
              <w:right w:val="nil"/>
            </w:tcBorders>
            <w:shd w:val="clear" w:color="auto" w:fill="auto"/>
            <w:vAlign w:val="center"/>
            <w:hideMark/>
          </w:tcPr>
          <w:p w14:paraId="4E7491FC" w14:textId="77777777" w:rsidR="005C363D" w:rsidRPr="00AE4E8D" w:rsidRDefault="005C363D" w:rsidP="00E8320E">
            <w:pPr>
              <w:jc w:val="right"/>
              <w:rPr>
                <w:rFonts w:ascii="Times New Roman" w:hAnsi="Times New Roman"/>
                <w:color w:val="000000"/>
                <w:sz w:val="16"/>
                <w:lang w:val="es-ES"/>
              </w:rPr>
            </w:pPr>
          </w:p>
        </w:tc>
        <w:tc>
          <w:tcPr>
            <w:tcW w:w="1299" w:type="dxa"/>
            <w:tcBorders>
              <w:top w:val="nil"/>
              <w:left w:val="nil"/>
              <w:bottom w:val="single" w:sz="8" w:space="0" w:color="auto"/>
              <w:right w:val="nil"/>
            </w:tcBorders>
            <w:shd w:val="clear" w:color="auto" w:fill="auto"/>
            <w:noWrap/>
            <w:vAlign w:val="center"/>
            <w:hideMark/>
          </w:tcPr>
          <w:p w14:paraId="6911586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51.071</w:t>
            </w:r>
          </w:p>
        </w:tc>
        <w:tc>
          <w:tcPr>
            <w:tcW w:w="222" w:type="dxa"/>
            <w:tcBorders>
              <w:top w:val="nil"/>
              <w:left w:val="nil"/>
              <w:bottom w:val="nil"/>
              <w:right w:val="nil"/>
            </w:tcBorders>
            <w:shd w:val="clear" w:color="auto" w:fill="auto"/>
            <w:noWrap/>
            <w:vAlign w:val="bottom"/>
            <w:hideMark/>
          </w:tcPr>
          <w:p w14:paraId="59791174"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single" w:sz="8" w:space="0" w:color="auto"/>
              <w:right w:val="nil"/>
            </w:tcBorders>
            <w:shd w:val="clear" w:color="auto" w:fill="auto"/>
            <w:noWrap/>
            <w:vAlign w:val="center"/>
          </w:tcPr>
          <w:p w14:paraId="149F652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(3.076.953)</w:t>
            </w:r>
          </w:p>
        </w:tc>
        <w:tc>
          <w:tcPr>
            <w:tcW w:w="222" w:type="dxa"/>
            <w:tcBorders>
              <w:top w:val="nil"/>
              <w:left w:val="nil"/>
              <w:bottom w:val="nil"/>
              <w:right w:val="nil"/>
            </w:tcBorders>
            <w:shd w:val="clear" w:color="auto" w:fill="auto"/>
            <w:noWrap/>
            <w:vAlign w:val="bottom"/>
          </w:tcPr>
          <w:p w14:paraId="41F89D74"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single" w:sz="8" w:space="0" w:color="auto"/>
              <w:right w:val="nil"/>
            </w:tcBorders>
            <w:shd w:val="clear" w:color="auto" w:fill="auto"/>
            <w:noWrap/>
            <w:vAlign w:val="center"/>
          </w:tcPr>
          <w:p w14:paraId="79BD308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(3.752.976)</w:t>
            </w:r>
          </w:p>
        </w:tc>
        <w:tc>
          <w:tcPr>
            <w:tcW w:w="222" w:type="dxa"/>
            <w:tcBorders>
              <w:top w:val="nil"/>
              <w:left w:val="nil"/>
              <w:bottom w:val="nil"/>
              <w:right w:val="nil"/>
            </w:tcBorders>
            <w:shd w:val="clear" w:color="auto" w:fill="auto"/>
            <w:noWrap/>
            <w:vAlign w:val="bottom"/>
          </w:tcPr>
          <w:p w14:paraId="69FB6629"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single" w:sz="8" w:space="0" w:color="auto"/>
              <w:right w:val="nil"/>
            </w:tcBorders>
            <w:shd w:val="clear" w:color="auto" w:fill="auto"/>
            <w:noWrap/>
            <w:vAlign w:val="center"/>
          </w:tcPr>
          <w:p w14:paraId="6C8B18D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(226.103)</w:t>
            </w:r>
          </w:p>
        </w:tc>
      </w:tr>
      <w:tr w:rsidR="003B5193" w:rsidRPr="00AE4E8D" w14:paraId="4B5BBB57" w14:textId="77777777" w:rsidTr="007C68FE">
        <w:trPr>
          <w:trHeight w:val="243"/>
          <w:jc w:val="center"/>
        </w:trPr>
        <w:tc>
          <w:tcPr>
            <w:tcW w:w="3191" w:type="dxa"/>
            <w:tcBorders>
              <w:top w:val="nil"/>
              <w:left w:val="nil"/>
              <w:bottom w:val="nil"/>
              <w:right w:val="nil"/>
            </w:tcBorders>
            <w:shd w:val="clear" w:color="auto" w:fill="auto"/>
            <w:noWrap/>
            <w:vAlign w:val="center"/>
            <w:hideMark/>
          </w:tcPr>
          <w:p w14:paraId="2C3B5AC6"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Efectivo al Cierre</w:t>
            </w:r>
          </w:p>
        </w:tc>
        <w:tc>
          <w:tcPr>
            <w:tcW w:w="1077" w:type="dxa"/>
            <w:tcBorders>
              <w:top w:val="nil"/>
              <w:left w:val="nil"/>
              <w:bottom w:val="nil"/>
              <w:right w:val="nil"/>
            </w:tcBorders>
            <w:shd w:val="clear" w:color="auto" w:fill="auto"/>
            <w:noWrap/>
            <w:vAlign w:val="center"/>
            <w:hideMark/>
          </w:tcPr>
          <w:p w14:paraId="7C161C1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1.409.328</w:t>
            </w:r>
          </w:p>
        </w:tc>
        <w:tc>
          <w:tcPr>
            <w:tcW w:w="222" w:type="dxa"/>
            <w:tcBorders>
              <w:top w:val="nil"/>
              <w:left w:val="nil"/>
              <w:bottom w:val="nil"/>
              <w:right w:val="nil"/>
            </w:tcBorders>
            <w:shd w:val="clear" w:color="auto" w:fill="auto"/>
            <w:vAlign w:val="center"/>
            <w:hideMark/>
          </w:tcPr>
          <w:p w14:paraId="7741A1F5"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2BEF25F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2.240.567</w:t>
            </w:r>
          </w:p>
        </w:tc>
        <w:tc>
          <w:tcPr>
            <w:tcW w:w="222" w:type="dxa"/>
            <w:tcBorders>
              <w:top w:val="nil"/>
              <w:left w:val="nil"/>
              <w:bottom w:val="nil"/>
              <w:right w:val="nil"/>
            </w:tcBorders>
            <w:shd w:val="clear" w:color="auto" w:fill="auto"/>
            <w:vAlign w:val="center"/>
            <w:hideMark/>
          </w:tcPr>
          <w:p w14:paraId="10907F93" w14:textId="77777777" w:rsidR="005C363D" w:rsidRPr="00AE4E8D" w:rsidRDefault="005C363D" w:rsidP="00E8320E">
            <w:pPr>
              <w:jc w:val="right"/>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27AF42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5.368.514</w:t>
            </w:r>
          </w:p>
        </w:tc>
        <w:tc>
          <w:tcPr>
            <w:tcW w:w="222" w:type="dxa"/>
            <w:tcBorders>
              <w:top w:val="nil"/>
              <w:left w:val="nil"/>
              <w:bottom w:val="nil"/>
              <w:right w:val="nil"/>
            </w:tcBorders>
            <w:shd w:val="clear" w:color="auto" w:fill="auto"/>
            <w:vAlign w:val="center"/>
            <w:hideMark/>
          </w:tcPr>
          <w:p w14:paraId="11F48C01" w14:textId="77777777" w:rsidR="005C363D" w:rsidRPr="00AE4E8D" w:rsidRDefault="005C363D" w:rsidP="00E8320E">
            <w:pPr>
              <w:jc w:val="right"/>
              <w:rPr>
                <w:rFonts w:ascii="Times New Roman" w:hAnsi="Times New Roman"/>
                <w:color w:val="000000"/>
                <w:sz w:val="16"/>
                <w:lang w:val="es-ES"/>
              </w:rPr>
            </w:pPr>
          </w:p>
        </w:tc>
        <w:tc>
          <w:tcPr>
            <w:tcW w:w="962" w:type="dxa"/>
            <w:tcBorders>
              <w:top w:val="nil"/>
              <w:left w:val="nil"/>
              <w:bottom w:val="nil"/>
              <w:right w:val="nil"/>
            </w:tcBorders>
            <w:shd w:val="clear" w:color="auto" w:fill="auto"/>
            <w:noWrap/>
            <w:vAlign w:val="center"/>
            <w:hideMark/>
          </w:tcPr>
          <w:p w14:paraId="6DABB90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6.378.793</w:t>
            </w:r>
          </w:p>
        </w:tc>
        <w:tc>
          <w:tcPr>
            <w:tcW w:w="222" w:type="dxa"/>
            <w:tcBorders>
              <w:top w:val="nil"/>
              <w:left w:val="nil"/>
              <w:bottom w:val="nil"/>
              <w:right w:val="nil"/>
            </w:tcBorders>
            <w:shd w:val="clear" w:color="auto" w:fill="auto"/>
            <w:noWrap/>
            <w:vAlign w:val="bottom"/>
            <w:hideMark/>
          </w:tcPr>
          <w:p w14:paraId="6FE76537" w14:textId="77777777" w:rsidR="005C363D" w:rsidRPr="00AE4E8D" w:rsidRDefault="005C363D" w:rsidP="00E8320E">
            <w:pPr>
              <w:jc w:val="right"/>
              <w:rPr>
                <w:rFonts w:ascii="Times New Roman" w:hAnsi="Times New Roman"/>
                <w:sz w:val="16"/>
                <w:lang w:val="es-ES"/>
              </w:rPr>
            </w:pPr>
          </w:p>
        </w:tc>
        <w:tc>
          <w:tcPr>
            <w:tcW w:w="1337" w:type="dxa"/>
            <w:tcBorders>
              <w:top w:val="nil"/>
              <w:left w:val="nil"/>
              <w:bottom w:val="nil"/>
              <w:right w:val="nil"/>
            </w:tcBorders>
            <w:shd w:val="clear" w:color="auto" w:fill="auto"/>
            <w:noWrap/>
            <w:vAlign w:val="center"/>
            <w:hideMark/>
          </w:tcPr>
          <w:p w14:paraId="1B22D70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7.188.279</w:t>
            </w:r>
          </w:p>
        </w:tc>
        <w:tc>
          <w:tcPr>
            <w:tcW w:w="222" w:type="dxa"/>
            <w:tcBorders>
              <w:top w:val="nil"/>
              <w:left w:val="nil"/>
              <w:bottom w:val="nil"/>
              <w:right w:val="nil"/>
            </w:tcBorders>
            <w:shd w:val="clear" w:color="auto" w:fill="auto"/>
            <w:vAlign w:val="center"/>
            <w:hideMark/>
          </w:tcPr>
          <w:p w14:paraId="22A11977" w14:textId="77777777" w:rsidR="005C363D" w:rsidRPr="00AE4E8D" w:rsidRDefault="005C363D" w:rsidP="00E8320E">
            <w:pPr>
              <w:jc w:val="right"/>
              <w:rPr>
                <w:rFonts w:ascii="Times New Roman" w:hAnsi="Times New Roman"/>
                <w:color w:val="000000"/>
                <w:sz w:val="16"/>
                <w:lang w:val="es-ES"/>
              </w:rPr>
            </w:pPr>
          </w:p>
        </w:tc>
        <w:tc>
          <w:tcPr>
            <w:tcW w:w="1299" w:type="dxa"/>
            <w:tcBorders>
              <w:top w:val="nil"/>
              <w:left w:val="nil"/>
              <w:bottom w:val="nil"/>
              <w:right w:val="nil"/>
            </w:tcBorders>
            <w:shd w:val="clear" w:color="auto" w:fill="auto"/>
            <w:noWrap/>
            <w:vAlign w:val="center"/>
            <w:hideMark/>
          </w:tcPr>
          <w:p w14:paraId="195ABAD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453.513</w:t>
            </w:r>
          </w:p>
        </w:tc>
        <w:tc>
          <w:tcPr>
            <w:tcW w:w="222" w:type="dxa"/>
            <w:tcBorders>
              <w:top w:val="nil"/>
              <w:left w:val="nil"/>
              <w:bottom w:val="nil"/>
              <w:right w:val="nil"/>
            </w:tcBorders>
            <w:shd w:val="clear" w:color="auto" w:fill="auto"/>
            <w:noWrap/>
            <w:vAlign w:val="bottom"/>
            <w:hideMark/>
          </w:tcPr>
          <w:p w14:paraId="48BF281E"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6872E87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3.301.840</w:t>
            </w:r>
          </w:p>
        </w:tc>
        <w:tc>
          <w:tcPr>
            <w:tcW w:w="222" w:type="dxa"/>
            <w:tcBorders>
              <w:top w:val="nil"/>
              <w:left w:val="nil"/>
              <w:bottom w:val="nil"/>
              <w:right w:val="nil"/>
            </w:tcBorders>
            <w:shd w:val="clear" w:color="auto" w:fill="auto"/>
            <w:noWrap/>
            <w:vAlign w:val="bottom"/>
          </w:tcPr>
          <w:p w14:paraId="1B4C9704"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644A250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3.435.303</w:t>
            </w:r>
          </w:p>
        </w:tc>
        <w:tc>
          <w:tcPr>
            <w:tcW w:w="222" w:type="dxa"/>
            <w:tcBorders>
              <w:top w:val="nil"/>
              <w:left w:val="nil"/>
              <w:bottom w:val="nil"/>
              <w:right w:val="nil"/>
            </w:tcBorders>
            <w:shd w:val="clear" w:color="auto" w:fill="auto"/>
            <w:noWrap/>
            <w:vAlign w:val="bottom"/>
          </w:tcPr>
          <w:p w14:paraId="0B7A8C2E" w14:textId="77777777" w:rsidR="005C363D" w:rsidRPr="00AE4E8D" w:rsidRDefault="005C363D" w:rsidP="00E8320E">
            <w:pPr>
              <w:jc w:val="right"/>
              <w:rPr>
                <w:rFonts w:ascii="Times New Roman" w:hAnsi="Times New Roman"/>
                <w:sz w:val="16"/>
                <w:lang w:val="es-ES"/>
              </w:rPr>
            </w:pPr>
          </w:p>
        </w:tc>
        <w:tc>
          <w:tcPr>
            <w:tcW w:w="994" w:type="dxa"/>
            <w:tcBorders>
              <w:top w:val="nil"/>
              <w:left w:val="nil"/>
              <w:bottom w:val="nil"/>
              <w:right w:val="nil"/>
            </w:tcBorders>
            <w:shd w:val="clear" w:color="auto" w:fill="auto"/>
            <w:noWrap/>
            <w:vAlign w:val="center"/>
          </w:tcPr>
          <w:p w14:paraId="77607B0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206.965</w:t>
            </w:r>
          </w:p>
        </w:tc>
      </w:tr>
    </w:tbl>
    <w:p w14:paraId="192EDAB0" w14:textId="77777777" w:rsidR="005C363D" w:rsidRPr="00AE4E8D" w:rsidRDefault="005C363D" w:rsidP="005C363D">
      <w:pPr>
        <w:autoSpaceDE w:val="0"/>
        <w:autoSpaceDN w:val="0"/>
        <w:adjustRightInd w:val="0"/>
        <w:spacing w:before="120" w:after="120"/>
        <w:jc w:val="both"/>
        <w:rPr>
          <w:rFonts w:ascii="Times New Roman" w:hAnsi="Times New Roman"/>
          <w:highlight w:val="cyan"/>
          <w:lang w:val="es-ES" w:eastAsia="es-AR"/>
        </w:rPr>
        <w:sectPr w:rsidR="005C363D" w:rsidRPr="00AE4E8D" w:rsidSect="00A87439">
          <w:pgSz w:w="16839" w:h="11907" w:orient="landscape" w:code="9"/>
          <w:pgMar w:top="1701" w:right="1418" w:bottom="1134" w:left="1418" w:header="720" w:footer="385" w:gutter="0"/>
          <w:cols w:space="720"/>
          <w:titlePg/>
          <w:docGrid w:linePitch="360"/>
        </w:sectPr>
      </w:pPr>
    </w:p>
    <w:p w14:paraId="358862DC" w14:textId="77777777" w:rsidR="005C363D" w:rsidRPr="00AE4E8D" w:rsidRDefault="005C363D" w:rsidP="0088297A">
      <w:pPr>
        <w:pStyle w:val="BH2Izquierda"/>
      </w:pPr>
      <w:bookmarkStart w:id="128" w:name="_Toc495972978"/>
      <w:bookmarkStart w:id="129" w:name="_Toc495399885"/>
      <w:r w:rsidRPr="00AE4E8D">
        <w:lastRenderedPageBreak/>
        <w:t>b) Indicadores</w:t>
      </w:r>
      <w:bookmarkEnd w:id="128"/>
      <w:bookmarkEnd w:id="129"/>
      <w:r w:rsidRPr="00AE4E8D">
        <w:t xml:space="preserve"> </w:t>
      </w:r>
    </w:p>
    <w:tbl>
      <w:tblPr>
        <w:tblW w:w="9962" w:type="dxa"/>
        <w:jc w:val="center"/>
        <w:tblLook w:val="04A0" w:firstRow="1" w:lastRow="0" w:firstColumn="1" w:lastColumn="0" w:noHBand="0" w:noVBand="1"/>
      </w:tblPr>
      <w:tblGrid>
        <w:gridCol w:w="2694"/>
        <w:gridCol w:w="790"/>
        <w:gridCol w:w="222"/>
        <w:gridCol w:w="855"/>
        <w:gridCol w:w="222"/>
        <w:gridCol w:w="855"/>
        <w:gridCol w:w="222"/>
        <w:gridCol w:w="855"/>
        <w:gridCol w:w="222"/>
        <w:gridCol w:w="855"/>
        <w:gridCol w:w="222"/>
        <w:gridCol w:w="887"/>
        <w:gridCol w:w="256"/>
        <w:gridCol w:w="805"/>
      </w:tblGrid>
      <w:tr w:rsidR="003B5193" w:rsidRPr="00AE4E8D" w14:paraId="3C86C65F" w14:textId="77777777" w:rsidTr="00E8320E">
        <w:trPr>
          <w:trHeight w:val="279"/>
          <w:jc w:val="center"/>
        </w:trPr>
        <w:tc>
          <w:tcPr>
            <w:tcW w:w="2694" w:type="dxa"/>
            <w:tcBorders>
              <w:top w:val="nil"/>
              <w:left w:val="nil"/>
              <w:bottom w:val="nil"/>
              <w:right w:val="nil"/>
            </w:tcBorders>
            <w:shd w:val="clear" w:color="auto" w:fill="auto"/>
            <w:noWrap/>
            <w:vAlign w:val="center"/>
            <w:hideMark/>
          </w:tcPr>
          <w:p w14:paraId="4C45725B" w14:textId="77777777" w:rsidR="005C363D" w:rsidRPr="00AE4E8D" w:rsidRDefault="005C363D" w:rsidP="00E8320E">
            <w:pPr>
              <w:jc w:val="both"/>
              <w:rPr>
                <w:rFonts w:ascii="Times New Roman" w:hAnsi="Times New Roman"/>
                <w:color w:val="000000"/>
                <w:sz w:val="16"/>
                <w:lang w:val="es-ES"/>
              </w:rPr>
            </w:pPr>
          </w:p>
        </w:tc>
        <w:tc>
          <w:tcPr>
            <w:tcW w:w="5098" w:type="dxa"/>
            <w:gridSpan w:val="9"/>
            <w:tcBorders>
              <w:top w:val="nil"/>
              <w:left w:val="nil"/>
              <w:bottom w:val="single" w:sz="8" w:space="0" w:color="auto"/>
              <w:right w:val="nil"/>
            </w:tcBorders>
            <w:shd w:val="clear" w:color="auto" w:fill="auto"/>
            <w:vAlign w:val="center"/>
            <w:hideMark/>
          </w:tcPr>
          <w:p w14:paraId="1F40DE22"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31 de diciembre de</w:t>
            </w:r>
          </w:p>
        </w:tc>
        <w:tc>
          <w:tcPr>
            <w:tcW w:w="222" w:type="dxa"/>
            <w:tcBorders>
              <w:top w:val="nil"/>
              <w:left w:val="nil"/>
              <w:bottom w:val="nil"/>
              <w:right w:val="nil"/>
            </w:tcBorders>
            <w:shd w:val="clear" w:color="auto" w:fill="auto"/>
            <w:noWrap/>
            <w:vAlign w:val="bottom"/>
            <w:hideMark/>
          </w:tcPr>
          <w:p w14:paraId="1696865C" w14:textId="77777777" w:rsidR="005C363D" w:rsidRPr="00AE4E8D" w:rsidRDefault="005C363D" w:rsidP="00E8320E">
            <w:pPr>
              <w:rPr>
                <w:rFonts w:ascii="Times New Roman" w:hAnsi="Times New Roman"/>
                <w:sz w:val="16"/>
                <w:lang w:val="es-ES"/>
              </w:rPr>
            </w:pPr>
          </w:p>
        </w:tc>
        <w:tc>
          <w:tcPr>
            <w:tcW w:w="1948" w:type="dxa"/>
            <w:gridSpan w:val="3"/>
            <w:tcBorders>
              <w:top w:val="nil"/>
              <w:left w:val="nil"/>
              <w:bottom w:val="single" w:sz="8" w:space="0" w:color="auto"/>
              <w:right w:val="nil"/>
            </w:tcBorders>
            <w:shd w:val="clear" w:color="auto" w:fill="auto"/>
            <w:vAlign w:val="center"/>
            <w:hideMark/>
          </w:tcPr>
          <w:p w14:paraId="27AD4041"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30 de junio de</w:t>
            </w:r>
          </w:p>
        </w:tc>
      </w:tr>
      <w:tr w:rsidR="003B5193" w:rsidRPr="00AE4E8D" w14:paraId="56696344" w14:textId="77777777" w:rsidTr="00E8320E">
        <w:trPr>
          <w:trHeight w:val="279"/>
          <w:jc w:val="center"/>
        </w:trPr>
        <w:tc>
          <w:tcPr>
            <w:tcW w:w="2694" w:type="dxa"/>
            <w:tcBorders>
              <w:top w:val="nil"/>
              <w:left w:val="nil"/>
              <w:bottom w:val="nil"/>
              <w:right w:val="nil"/>
            </w:tcBorders>
            <w:shd w:val="clear" w:color="auto" w:fill="auto"/>
            <w:noWrap/>
            <w:vAlign w:val="center"/>
            <w:hideMark/>
          </w:tcPr>
          <w:p w14:paraId="1974EC4D" w14:textId="77777777" w:rsidR="005C363D" w:rsidRPr="00AE4E8D" w:rsidRDefault="005C363D" w:rsidP="00E8320E">
            <w:pPr>
              <w:rPr>
                <w:rFonts w:ascii="Times New Roman" w:hAnsi="Times New Roman"/>
                <w:color w:val="000000"/>
                <w:sz w:val="16"/>
                <w:lang w:val="es-ES"/>
              </w:rPr>
            </w:pPr>
          </w:p>
        </w:tc>
        <w:tc>
          <w:tcPr>
            <w:tcW w:w="790" w:type="dxa"/>
            <w:tcBorders>
              <w:top w:val="nil"/>
              <w:left w:val="nil"/>
              <w:bottom w:val="single" w:sz="8" w:space="0" w:color="auto"/>
              <w:right w:val="nil"/>
            </w:tcBorders>
            <w:shd w:val="clear" w:color="auto" w:fill="auto"/>
            <w:noWrap/>
            <w:vAlign w:val="center"/>
            <w:hideMark/>
          </w:tcPr>
          <w:p w14:paraId="359A0BE2"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2012</w:t>
            </w:r>
          </w:p>
        </w:tc>
        <w:tc>
          <w:tcPr>
            <w:tcW w:w="222" w:type="dxa"/>
            <w:tcBorders>
              <w:top w:val="nil"/>
              <w:left w:val="nil"/>
              <w:bottom w:val="nil"/>
              <w:right w:val="nil"/>
            </w:tcBorders>
            <w:shd w:val="clear" w:color="auto" w:fill="auto"/>
            <w:noWrap/>
            <w:vAlign w:val="center"/>
            <w:hideMark/>
          </w:tcPr>
          <w:p w14:paraId="71C6A2A2"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6C5A1044"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2013</w:t>
            </w:r>
          </w:p>
        </w:tc>
        <w:tc>
          <w:tcPr>
            <w:tcW w:w="222" w:type="dxa"/>
            <w:tcBorders>
              <w:top w:val="nil"/>
              <w:left w:val="nil"/>
              <w:bottom w:val="nil"/>
              <w:right w:val="nil"/>
            </w:tcBorders>
            <w:shd w:val="clear" w:color="auto" w:fill="auto"/>
            <w:noWrap/>
            <w:vAlign w:val="center"/>
            <w:hideMark/>
          </w:tcPr>
          <w:p w14:paraId="562F04CD"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64D80F4D"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2014</w:t>
            </w:r>
          </w:p>
        </w:tc>
        <w:tc>
          <w:tcPr>
            <w:tcW w:w="222" w:type="dxa"/>
            <w:tcBorders>
              <w:top w:val="nil"/>
              <w:left w:val="nil"/>
              <w:bottom w:val="nil"/>
              <w:right w:val="nil"/>
            </w:tcBorders>
            <w:shd w:val="clear" w:color="auto" w:fill="auto"/>
            <w:noWrap/>
            <w:vAlign w:val="center"/>
            <w:hideMark/>
          </w:tcPr>
          <w:p w14:paraId="4FCFED37"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76CC3490"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2015</w:t>
            </w:r>
          </w:p>
        </w:tc>
        <w:tc>
          <w:tcPr>
            <w:tcW w:w="222" w:type="dxa"/>
            <w:tcBorders>
              <w:top w:val="nil"/>
              <w:left w:val="nil"/>
              <w:bottom w:val="nil"/>
              <w:right w:val="nil"/>
            </w:tcBorders>
            <w:shd w:val="clear" w:color="auto" w:fill="auto"/>
            <w:noWrap/>
            <w:vAlign w:val="center"/>
            <w:hideMark/>
          </w:tcPr>
          <w:p w14:paraId="1309737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6CA09A4A"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22" w:type="dxa"/>
            <w:tcBorders>
              <w:top w:val="nil"/>
              <w:left w:val="nil"/>
              <w:bottom w:val="nil"/>
              <w:right w:val="nil"/>
            </w:tcBorders>
            <w:shd w:val="clear" w:color="auto" w:fill="auto"/>
            <w:noWrap/>
            <w:vAlign w:val="bottom"/>
            <w:hideMark/>
          </w:tcPr>
          <w:p w14:paraId="684BE9D7" w14:textId="77777777" w:rsidR="005C363D" w:rsidRPr="00AE4E8D" w:rsidRDefault="005C363D" w:rsidP="00E8320E">
            <w:pPr>
              <w:rPr>
                <w:rFonts w:ascii="Times New Roman" w:hAnsi="Times New Roman"/>
                <w:sz w:val="16"/>
                <w:lang w:val="es-ES"/>
              </w:rPr>
            </w:pPr>
          </w:p>
        </w:tc>
        <w:tc>
          <w:tcPr>
            <w:tcW w:w="887" w:type="dxa"/>
            <w:tcBorders>
              <w:top w:val="nil"/>
              <w:left w:val="nil"/>
              <w:bottom w:val="single" w:sz="8" w:space="0" w:color="auto"/>
              <w:right w:val="nil"/>
            </w:tcBorders>
            <w:shd w:val="clear" w:color="auto" w:fill="auto"/>
            <w:vAlign w:val="center"/>
            <w:hideMark/>
          </w:tcPr>
          <w:p w14:paraId="4356B8BE"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56" w:type="dxa"/>
            <w:tcBorders>
              <w:top w:val="nil"/>
              <w:left w:val="nil"/>
              <w:bottom w:val="single" w:sz="8" w:space="0" w:color="auto"/>
              <w:right w:val="nil"/>
            </w:tcBorders>
            <w:shd w:val="clear" w:color="auto" w:fill="auto"/>
            <w:vAlign w:val="center"/>
            <w:hideMark/>
          </w:tcPr>
          <w:p w14:paraId="70FA307B"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 </w:t>
            </w:r>
          </w:p>
        </w:tc>
        <w:tc>
          <w:tcPr>
            <w:tcW w:w="805" w:type="dxa"/>
            <w:tcBorders>
              <w:top w:val="nil"/>
              <w:left w:val="nil"/>
              <w:bottom w:val="single" w:sz="8" w:space="0" w:color="auto"/>
              <w:right w:val="nil"/>
            </w:tcBorders>
            <w:shd w:val="clear" w:color="auto" w:fill="auto"/>
            <w:vAlign w:val="center"/>
            <w:hideMark/>
          </w:tcPr>
          <w:p w14:paraId="4922C842" w14:textId="77777777" w:rsidR="005C363D" w:rsidRPr="00AE4E8D" w:rsidRDefault="005C363D"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r>
      <w:tr w:rsidR="005C363D" w:rsidRPr="00AE4E8D" w14:paraId="6B2DD0AC" w14:textId="77777777" w:rsidTr="000400C8">
        <w:trPr>
          <w:trHeight w:val="264"/>
          <w:jc w:val="center"/>
        </w:trPr>
        <w:tc>
          <w:tcPr>
            <w:tcW w:w="2694" w:type="dxa"/>
            <w:vMerge w:val="restart"/>
            <w:tcBorders>
              <w:top w:val="nil"/>
              <w:left w:val="nil"/>
              <w:bottom w:val="nil"/>
              <w:right w:val="nil"/>
            </w:tcBorders>
            <w:shd w:val="clear" w:color="auto" w:fill="auto"/>
            <w:noWrap/>
            <w:vAlign w:val="center"/>
            <w:hideMark/>
          </w:tcPr>
          <w:p w14:paraId="241218FF" w14:textId="77777777" w:rsidR="005C363D" w:rsidRPr="00AE4E8D" w:rsidRDefault="005C363D" w:rsidP="00E8320E">
            <w:pPr>
              <w:rPr>
                <w:rFonts w:ascii="Times New Roman" w:hAnsi="Times New Roman"/>
                <w:color w:val="000000"/>
                <w:sz w:val="16"/>
                <w:lang w:val="es-ES"/>
              </w:rPr>
            </w:pPr>
          </w:p>
        </w:tc>
        <w:tc>
          <w:tcPr>
            <w:tcW w:w="5098" w:type="dxa"/>
            <w:gridSpan w:val="9"/>
            <w:vMerge w:val="restart"/>
            <w:tcBorders>
              <w:top w:val="nil"/>
              <w:left w:val="nil"/>
              <w:bottom w:val="nil"/>
              <w:right w:val="nil"/>
            </w:tcBorders>
            <w:shd w:val="clear" w:color="auto" w:fill="auto"/>
            <w:vAlign w:val="center"/>
            <w:hideMark/>
          </w:tcPr>
          <w:p w14:paraId="6555BAB0"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222" w:type="dxa"/>
            <w:tcBorders>
              <w:top w:val="nil"/>
              <w:left w:val="nil"/>
              <w:bottom w:val="nil"/>
              <w:right w:val="nil"/>
            </w:tcBorders>
            <w:shd w:val="clear" w:color="auto" w:fill="auto"/>
            <w:noWrap/>
            <w:vAlign w:val="bottom"/>
            <w:hideMark/>
          </w:tcPr>
          <w:p w14:paraId="24E7D9CA" w14:textId="77777777" w:rsidR="005C363D" w:rsidRPr="00AE4E8D" w:rsidRDefault="005C363D" w:rsidP="00E8320E">
            <w:pPr>
              <w:rPr>
                <w:rFonts w:ascii="Times New Roman" w:hAnsi="Times New Roman"/>
                <w:sz w:val="16"/>
                <w:lang w:val="es-ES"/>
              </w:rPr>
            </w:pPr>
          </w:p>
        </w:tc>
        <w:tc>
          <w:tcPr>
            <w:tcW w:w="1948" w:type="dxa"/>
            <w:gridSpan w:val="3"/>
            <w:vMerge w:val="restart"/>
            <w:tcBorders>
              <w:top w:val="single" w:sz="8" w:space="0" w:color="auto"/>
              <w:left w:val="nil"/>
              <w:bottom w:val="nil"/>
              <w:right w:val="nil"/>
            </w:tcBorders>
            <w:shd w:val="clear" w:color="auto" w:fill="auto"/>
            <w:vAlign w:val="center"/>
            <w:hideMark/>
          </w:tcPr>
          <w:p w14:paraId="6D9AEAC7" w14:textId="77777777" w:rsidR="005C363D" w:rsidRPr="00AE4E8D" w:rsidRDefault="005C363D"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r>
      <w:tr w:rsidR="005C363D" w:rsidRPr="00AE4E8D" w14:paraId="0315EE8F" w14:textId="77777777" w:rsidTr="000400C8">
        <w:trPr>
          <w:trHeight w:val="264"/>
          <w:jc w:val="center"/>
        </w:trPr>
        <w:tc>
          <w:tcPr>
            <w:tcW w:w="2694" w:type="dxa"/>
            <w:vMerge/>
            <w:tcBorders>
              <w:top w:val="nil"/>
              <w:left w:val="nil"/>
              <w:bottom w:val="nil"/>
              <w:right w:val="nil"/>
            </w:tcBorders>
            <w:vAlign w:val="center"/>
            <w:hideMark/>
          </w:tcPr>
          <w:p w14:paraId="57AB4467" w14:textId="77777777" w:rsidR="005C363D" w:rsidRPr="00AE4E8D" w:rsidRDefault="005C363D" w:rsidP="00E8320E">
            <w:pPr>
              <w:rPr>
                <w:rFonts w:ascii="Times New Roman" w:hAnsi="Times New Roman"/>
                <w:color w:val="000000"/>
                <w:sz w:val="16"/>
                <w:lang w:val="es-ES"/>
              </w:rPr>
            </w:pPr>
          </w:p>
        </w:tc>
        <w:tc>
          <w:tcPr>
            <w:tcW w:w="5098" w:type="dxa"/>
            <w:gridSpan w:val="9"/>
            <w:vMerge/>
            <w:tcBorders>
              <w:top w:val="nil"/>
              <w:left w:val="nil"/>
              <w:bottom w:val="nil"/>
              <w:right w:val="nil"/>
            </w:tcBorders>
            <w:vAlign w:val="center"/>
            <w:hideMark/>
          </w:tcPr>
          <w:p w14:paraId="606C0F3D"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2C917F9D" w14:textId="77777777" w:rsidR="005C363D" w:rsidRPr="00AE4E8D" w:rsidRDefault="005C363D" w:rsidP="00E8320E">
            <w:pPr>
              <w:rPr>
                <w:rFonts w:ascii="Times New Roman" w:hAnsi="Times New Roman"/>
                <w:sz w:val="16"/>
                <w:lang w:val="es-ES"/>
              </w:rPr>
            </w:pPr>
          </w:p>
        </w:tc>
        <w:tc>
          <w:tcPr>
            <w:tcW w:w="1948" w:type="dxa"/>
            <w:gridSpan w:val="3"/>
            <w:vMerge/>
            <w:tcBorders>
              <w:top w:val="nil"/>
              <w:left w:val="nil"/>
              <w:bottom w:val="nil"/>
              <w:right w:val="nil"/>
            </w:tcBorders>
            <w:vAlign w:val="center"/>
            <w:hideMark/>
          </w:tcPr>
          <w:p w14:paraId="64D96574" w14:textId="77777777" w:rsidR="005C363D" w:rsidRPr="00AE4E8D" w:rsidRDefault="005C363D" w:rsidP="00E8320E">
            <w:pPr>
              <w:rPr>
                <w:rFonts w:ascii="Times New Roman" w:hAnsi="Times New Roman"/>
                <w:color w:val="000000"/>
                <w:sz w:val="16"/>
                <w:lang w:val="es-ES"/>
              </w:rPr>
            </w:pPr>
          </w:p>
        </w:tc>
      </w:tr>
      <w:tr w:rsidR="003B5193" w:rsidRPr="00AE4E8D" w14:paraId="5187F6DA" w14:textId="77777777" w:rsidTr="00E8320E">
        <w:trPr>
          <w:trHeight w:val="264"/>
          <w:jc w:val="center"/>
        </w:trPr>
        <w:tc>
          <w:tcPr>
            <w:tcW w:w="2694" w:type="dxa"/>
            <w:tcBorders>
              <w:top w:val="nil"/>
              <w:left w:val="nil"/>
              <w:bottom w:val="nil"/>
              <w:right w:val="nil"/>
            </w:tcBorders>
            <w:shd w:val="clear" w:color="auto" w:fill="auto"/>
            <w:noWrap/>
            <w:vAlign w:val="center"/>
            <w:hideMark/>
          </w:tcPr>
          <w:p w14:paraId="7B6D8823" w14:textId="77777777" w:rsidR="005C363D" w:rsidRPr="00AE4E8D" w:rsidRDefault="005C363D" w:rsidP="00E8320E">
            <w:pPr>
              <w:rPr>
                <w:rFonts w:ascii="Times New Roman" w:hAnsi="Times New Roman"/>
                <w:b/>
                <w:color w:val="000000"/>
                <w:sz w:val="16"/>
                <w:lang w:val="es-ES"/>
              </w:rPr>
            </w:pPr>
            <w:r w:rsidRPr="00AE4E8D">
              <w:rPr>
                <w:rFonts w:ascii="Times New Roman" w:hAnsi="Times New Roman"/>
                <w:b/>
                <w:color w:val="000000"/>
                <w:sz w:val="16"/>
                <w:lang w:val="es-ES"/>
              </w:rPr>
              <w:t>ÍNDICES SELECCIONADOS</w:t>
            </w:r>
            <w:r w:rsidRPr="00AE4E8D">
              <w:rPr>
                <w:rFonts w:ascii="Times New Roman" w:hAnsi="Times New Roman"/>
                <w:color w:val="000000"/>
                <w:sz w:val="16"/>
                <w:lang w:val="es-ES"/>
              </w:rPr>
              <w:t xml:space="preserve"> (4)</w:t>
            </w:r>
          </w:p>
        </w:tc>
        <w:tc>
          <w:tcPr>
            <w:tcW w:w="790" w:type="dxa"/>
            <w:tcBorders>
              <w:top w:val="nil"/>
              <w:left w:val="nil"/>
              <w:bottom w:val="nil"/>
              <w:right w:val="nil"/>
            </w:tcBorders>
            <w:shd w:val="clear" w:color="auto" w:fill="auto"/>
            <w:noWrap/>
            <w:vAlign w:val="center"/>
            <w:hideMark/>
          </w:tcPr>
          <w:p w14:paraId="340C9CA8"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2E29FD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B1AC789"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3D6590BC"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C6E5E73"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312A6008"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1B2EF4B"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0892E8AA"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06F48220"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6D30BA39"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bottom"/>
            <w:hideMark/>
          </w:tcPr>
          <w:p w14:paraId="01650A2E" w14:textId="77777777" w:rsidR="005C363D" w:rsidRPr="00AE4E8D" w:rsidRDefault="005C363D" w:rsidP="00E8320E">
            <w:pPr>
              <w:rPr>
                <w:rFonts w:ascii="Times New Roman" w:hAnsi="Times New Roman"/>
                <w:sz w:val="16"/>
                <w:lang w:val="es-ES"/>
              </w:rPr>
            </w:pPr>
          </w:p>
        </w:tc>
        <w:tc>
          <w:tcPr>
            <w:tcW w:w="256" w:type="dxa"/>
            <w:tcBorders>
              <w:top w:val="nil"/>
              <w:left w:val="nil"/>
              <w:bottom w:val="nil"/>
              <w:right w:val="nil"/>
            </w:tcBorders>
            <w:shd w:val="clear" w:color="auto" w:fill="auto"/>
            <w:noWrap/>
            <w:vAlign w:val="bottom"/>
            <w:hideMark/>
          </w:tcPr>
          <w:p w14:paraId="1C4448BA"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bottom"/>
            <w:hideMark/>
          </w:tcPr>
          <w:p w14:paraId="02A6BC06" w14:textId="77777777" w:rsidR="005C363D" w:rsidRPr="00AE4E8D" w:rsidRDefault="005C363D" w:rsidP="00E8320E">
            <w:pPr>
              <w:rPr>
                <w:rFonts w:ascii="Times New Roman" w:hAnsi="Times New Roman"/>
                <w:sz w:val="16"/>
                <w:lang w:val="es-ES"/>
              </w:rPr>
            </w:pPr>
          </w:p>
        </w:tc>
      </w:tr>
      <w:tr w:rsidR="003B5193" w:rsidRPr="00AE4E8D" w14:paraId="736FA3B5" w14:textId="77777777" w:rsidTr="00E8320E">
        <w:trPr>
          <w:trHeight w:val="264"/>
          <w:jc w:val="center"/>
        </w:trPr>
        <w:tc>
          <w:tcPr>
            <w:tcW w:w="2694" w:type="dxa"/>
            <w:tcBorders>
              <w:top w:val="nil"/>
              <w:left w:val="nil"/>
              <w:bottom w:val="nil"/>
              <w:right w:val="nil"/>
            </w:tcBorders>
            <w:shd w:val="clear" w:color="auto" w:fill="auto"/>
            <w:vAlign w:val="center"/>
            <w:hideMark/>
          </w:tcPr>
          <w:p w14:paraId="6815E206" w14:textId="77777777" w:rsidR="005C363D" w:rsidRPr="00AE4E8D" w:rsidRDefault="005C363D" w:rsidP="00E8320E">
            <w:pPr>
              <w:rPr>
                <w:rFonts w:ascii="Times New Roman" w:hAnsi="Times New Roman"/>
                <w:b/>
                <w:color w:val="000000"/>
                <w:sz w:val="16"/>
                <w:lang w:val="es-ES"/>
              </w:rPr>
            </w:pPr>
            <w:r w:rsidRPr="00AE4E8D">
              <w:rPr>
                <w:rFonts w:ascii="Times New Roman" w:hAnsi="Times New Roman"/>
                <w:b/>
                <w:color w:val="000000"/>
                <w:sz w:val="16"/>
                <w:lang w:val="es-ES"/>
              </w:rPr>
              <w:t>Rentabilidad</w:t>
            </w:r>
          </w:p>
        </w:tc>
        <w:tc>
          <w:tcPr>
            <w:tcW w:w="790" w:type="dxa"/>
            <w:tcBorders>
              <w:top w:val="nil"/>
              <w:left w:val="nil"/>
              <w:bottom w:val="nil"/>
              <w:right w:val="nil"/>
            </w:tcBorders>
            <w:shd w:val="clear" w:color="auto" w:fill="auto"/>
            <w:noWrap/>
            <w:vAlign w:val="center"/>
            <w:hideMark/>
          </w:tcPr>
          <w:p w14:paraId="2A8CEAA8"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B12E6C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F2C3F87"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F8DF2C9"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3A7F392"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5D37E6E7"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4A214F8"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190B3AE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EDF43FF"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3640818D"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bottom"/>
            <w:hideMark/>
          </w:tcPr>
          <w:p w14:paraId="63B6D7FC" w14:textId="77777777" w:rsidR="005C363D" w:rsidRPr="00AE4E8D" w:rsidRDefault="005C363D" w:rsidP="00E8320E">
            <w:pPr>
              <w:rPr>
                <w:rFonts w:ascii="Times New Roman" w:hAnsi="Times New Roman"/>
                <w:sz w:val="16"/>
                <w:lang w:val="es-ES"/>
              </w:rPr>
            </w:pPr>
          </w:p>
        </w:tc>
        <w:tc>
          <w:tcPr>
            <w:tcW w:w="256" w:type="dxa"/>
            <w:tcBorders>
              <w:top w:val="nil"/>
              <w:left w:val="nil"/>
              <w:bottom w:val="nil"/>
              <w:right w:val="nil"/>
            </w:tcBorders>
            <w:shd w:val="clear" w:color="auto" w:fill="auto"/>
            <w:noWrap/>
            <w:vAlign w:val="bottom"/>
            <w:hideMark/>
          </w:tcPr>
          <w:p w14:paraId="7888CF9C"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bottom"/>
            <w:hideMark/>
          </w:tcPr>
          <w:p w14:paraId="3391978C" w14:textId="77777777" w:rsidR="005C363D" w:rsidRPr="00AE4E8D" w:rsidRDefault="005C363D" w:rsidP="00E8320E">
            <w:pPr>
              <w:rPr>
                <w:rFonts w:ascii="Times New Roman" w:hAnsi="Times New Roman"/>
                <w:sz w:val="16"/>
                <w:lang w:val="es-ES"/>
              </w:rPr>
            </w:pPr>
          </w:p>
        </w:tc>
      </w:tr>
      <w:tr w:rsidR="003B5193" w:rsidRPr="00AE4E8D" w14:paraId="18FA8C18" w14:textId="77777777" w:rsidTr="00E8320E">
        <w:trPr>
          <w:trHeight w:val="264"/>
          <w:jc w:val="center"/>
        </w:trPr>
        <w:tc>
          <w:tcPr>
            <w:tcW w:w="2694" w:type="dxa"/>
            <w:tcBorders>
              <w:top w:val="nil"/>
              <w:left w:val="nil"/>
              <w:bottom w:val="nil"/>
              <w:right w:val="nil"/>
            </w:tcBorders>
            <w:shd w:val="clear" w:color="auto" w:fill="auto"/>
            <w:vAlign w:val="center"/>
            <w:hideMark/>
          </w:tcPr>
          <w:p w14:paraId="1CE84C65"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Retorno sobre activos promedio (5) </w:t>
            </w:r>
          </w:p>
        </w:tc>
        <w:tc>
          <w:tcPr>
            <w:tcW w:w="790" w:type="dxa"/>
            <w:tcBorders>
              <w:top w:val="nil"/>
              <w:left w:val="nil"/>
              <w:bottom w:val="nil"/>
              <w:right w:val="nil"/>
            </w:tcBorders>
            <w:shd w:val="clear" w:color="auto" w:fill="auto"/>
            <w:noWrap/>
            <w:vAlign w:val="center"/>
            <w:hideMark/>
          </w:tcPr>
          <w:p w14:paraId="16C7791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2,39%</w:t>
            </w:r>
          </w:p>
        </w:tc>
        <w:tc>
          <w:tcPr>
            <w:tcW w:w="222" w:type="dxa"/>
            <w:tcBorders>
              <w:top w:val="nil"/>
              <w:left w:val="nil"/>
              <w:bottom w:val="nil"/>
              <w:right w:val="nil"/>
            </w:tcBorders>
            <w:shd w:val="clear" w:color="auto" w:fill="auto"/>
            <w:noWrap/>
            <w:vAlign w:val="center"/>
            <w:hideMark/>
          </w:tcPr>
          <w:p w14:paraId="7D7C2164"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E19FD9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2,31%</w:t>
            </w:r>
          </w:p>
        </w:tc>
        <w:tc>
          <w:tcPr>
            <w:tcW w:w="222" w:type="dxa"/>
            <w:tcBorders>
              <w:top w:val="nil"/>
              <w:left w:val="nil"/>
              <w:bottom w:val="nil"/>
              <w:right w:val="nil"/>
            </w:tcBorders>
            <w:shd w:val="clear" w:color="auto" w:fill="auto"/>
            <w:noWrap/>
            <w:vAlign w:val="center"/>
            <w:hideMark/>
          </w:tcPr>
          <w:p w14:paraId="6621E12B"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CC8169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2,13%</w:t>
            </w:r>
          </w:p>
        </w:tc>
        <w:tc>
          <w:tcPr>
            <w:tcW w:w="222" w:type="dxa"/>
            <w:tcBorders>
              <w:top w:val="nil"/>
              <w:left w:val="nil"/>
              <w:bottom w:val="nil"/>
              <w:right w:val="nil"/>
            </w:tcBorders>
            <w:shd w:val="clear" w:color="auto" w:fill="auto"/>
            <w:noWrap/>
            <w:vAlign w:val="center"/>
            <w:hideMark/>
          </w:tcPr>
          <w:p w14:paraId="6318B018"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5287CD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3,07%</w:t>
            </w:r>
          </w:p>
        </w:tc>
        <w:tc>
          <w:tcPr>
            <w:tcW w:w="222" w:type="dxa"/>
            <w:tcBorders>
              <w:top w:val="nil"/>
              <w:left w:val="nil"/>
              <w:bottom w:val="nil"/>
              <w:right w:val="nil"/>
            </w:tcBorders>
            <w:shd w:val="clear" w:color="auto" w:fill="auto"/>
            <w:noWrap/>
            <w:vAlign w:val="center"/>
            <w:hideMark/>
          </w:tcPr>
          <w:p w14:paraId="3D4ACC3A"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7989B1C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1,34%</w:t>
            </w:r>
          </w:p>
        </w:tc>
        <w:tc>
          <w:tcPr>
            <w:tcW w:w="222" w:type="dxa"/>
            <w:tcBorders>
              <w:top w:val="nil"/>
              <w:left w:val="nil"/>
              <w:bottom w:val="nil"/>
              <w:right w:val="nil"/>
            </w:tcBorders>
            <w:shd w:val="clear" w:color="auto" w:fill="auto"/>
            <w:noWrap/>
            <w:vAlign w:val="bottom"/>
            <w:hideMark/>
          </w:tcPr>
          <w:p w14:paraId="3275D791"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6DDB990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1,88%</w:t>
            </w:r>
          </w:p>
        </w:tc>
        <w:tc>
          <w:tcPr>
            <w:tcW w:w="256" w:type="dxa"/>
            <w:tcBorders>
              <w:top w:val="nil"/>
              <w:left w:val="nil"/>
              <w:bottom w:val="nil"/>
              <w:right w:val="nil"/>
            </w:tcBorders>
            <w:shd w:val="clear" w:color="auto" w:fill="auto"/>
            <w:noWrap/>
            <w:vAlign w:val="bottom"/>
          </w:tcPr>
          <w:p w14:paraId="1C8AD36D"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14DDB87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2,33%</w:t>
            </w:r>
          </w:p>
        </w:tc>
      </w:tr>
      <w:tr w:rsidR="003B5193" w:rsidRPr="00AE4E8D" w14:paraId="3804F80C" w14:textId="77777777" w:rsidTr="00E8320E">
        <w:trPr>
          <w:trHeight w:val="264"/>
          <w:jc w:val="center"/>
        </w:trPr>
        <w:tc>
          <w:tcPr>
            <w:tcW w:w="2694" w:type="dxa"/>
            <w:tcBorders>
              <w:top w:val="nil"/>
              <w:left w:val="nil"/>
              <w:bottom w:val="nil"/>
              <w:right w:val="nil"/>
            </w:tcBorders>
            <w:shd w:val="clear" w:color="auto" w:fill="auto"/>
            <w:vAlign w:val="center"/>
            <w:hideMark/>
          </w:tcPr>
          <w:p w14:paraId="5EDD268B"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Retorno sobre patrimonio neto promedio (6) </w:t>
            </w:r>
          </w:p>
        </w:tc>
        <w:tc>
          <w:tcPr>
            <w:tcW w:w="790" w:type="dxa"/>
            <w:tcBorders>
              <w:top w:val="nil"/>
              <w:left w:val="nil"/>
              <w:bottom w:val="nil"/>
              <w:right w:val="nil"/>
            </w:tcBorders>
            <w:shd w:val="clear" w:color="auto" w:fill="auto"/>
            <w:noWrap/>
            <w:vAlign w:val="center"/>
            <w:hideMark/>
          </w:tcPr>
          <w:p w14:paraId="651C9AA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10,31%</w:t>
            </w:r>
          </w:p>
        </w:tc>
        <w:tc>
          <w:tcPr>
            <w:tcW w:w="222" w:type="dxa"/>
            <w:tcBorders>
              <w:top w:val="nil"/>
              <w:left w:val="nil"/>
              <w:bottom w:val="nil"/>
              <w:right w:val="nil"/>
            </w:tcBorders>
            <w:shd w:val="clear" w:color="auto" w:fill="auto"/>
            <w:noWrap/>
            <w:vAlign w:val="center"/>
            <w:hideMark/>
          </w:tcPr>
          <w:p w14:paraId="1566EC8A"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88D301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11,53%</w:t>
            </w:r>
          </w:p>
        </w:tc>
        <w:tc>
          <w:tcPr>
            <w:tcW w:w="222" w:type="dxa"/>
            <w:tcBorders>
              <w:top w:val="nil"/>
              <w:left w:val="nil"/>
              <w:bottom w:val="nil"/>
              <w:right w:val="nil"/>
            </w:tcBorders>
            <w:shd w:val="clear" w:color="auto" w:fill="auto"/>
            <w:noWrap/>
            <w:vAlign w:val="center"/>
            <w:hideMark/>
          </w:tcPr>
          <w:p w14:paraId="4B7BBB6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4D1235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13,34%</w:t>
            </w:r>
          </w:p>
        </w:tc>
        <w:tc>
          <w:tcPr>
            <w:tcW w:w="222" w:type="dxa"/>
            <w:tcBorders>
              <w:top w:val="nil"/>
              <w:left w:val="nil"/>
              <w:bottom w:val="nil"/>
              <w:right w:val="nil"/>
            </w:tcBorders>
            <w:shd w:val="clear" w:color="auto" w:fill="auto"/>
            <w:noWrap/>
            <w:vAlign w:val="center"/>
            <w:hideMark/>
          </w:tcPr>
          <w:p w14:paraId="464611BB"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9230B3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22,07%</w:t>
            </w:r>
          </w:p>
        </w:tc>
        <w:tc>
          <w:tcPr>
            <w:tcW w:w="222" w:type="dxa"/>
            <w:tcBorders>
              <w:top w:val="nil"/>
              <w:left w:val="nil"/>
              <w:bottom w:val="nil"/>
              <w:right w:val="nil"/>
            </w:tcBorders>
            <w:shd w:val="clear" w:color="auto" w:fill="auto"/>
            <w:noWrap/>
            <w:vAlign w:val="center"/>
            <w:hideMark/>
          </w:tcPr>
          <w:p w14:paraId="20717C52"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3CBB12A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10,70%</w:t>
            </w:r>
          </w:p>
        </w:tc>
        <w:tc>
          <w:tcPr>
            <w:tcW w:w="222" w:type="dxa"/>
            <w:tcBorders>
              <w:top w:val="nil"/>
              <w:left w:val="nil"/>
              <w:bottom w:val="nil"/>
              <w:right w:val="nil"/>
            </w:tcBorders>
            <w:shd w:val="clear" w:color="auto" w:fill="auto"/>
            <w:noWrap/>
            <w:vAlign w:val="bottom"/>
            <w:hideMark/>
          </w:tcPr>
          <w:p w14:paraId="6FC69735"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30A3BB9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13,34%</w:t>
            </w:r>
          </w:p>
        </w:tc>
        <w:tc>
          <w:tcPr>
            <w:tcW w:w="256" w:type="dxa"/>
            <w:tcBorders>
              <w:top w:val="nil"/>
              <w:left w:val="nil"/>
              <w:bottom w:val="nil"/>
              <w:right w:val="nil"/>
            </w:tcBorders>
            <w:shd w:val="clear" w:color="auto" w:fill="auto"/>
            <w:noWrap/>
            <w:vAlign w:val="bottom"/>
          </w:tcPr>
          <w:p w14:paraId="1460B36D"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5CD0241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19,63%</w:t>
            </w:r>
          </w:p>
        </w:tc>
      </w:tr>
      <w:tr w:rsidR="003B5193" w:rsidRPr="00AE4E8D" w14:paraId="5BEDF1B8" w14:textId="77777777" w:rsidTr="00E8320E">
        <w:trPr>
          <w:trHeight w:val="264"/>
          <w:jc w:val="center"/>
        </w:trPr>
        <w:tc>
          <w:tcPr>
            <w:tcW w:w="2694" w:type="dxa"/>
            <w:tcBorders>
              <w:top w:val="nil"/>
              <w:left w:val="nil"/>
              <w:bottom w:val="nil"/>
              <w:right w:val="nil"/>
            </w:tcBorders>
            <w:shd w:val="clear" w:color="auto" w:fill="auto"/>
            <w:vAlign w:val="center"/>
            <w:hideMark/>
          </w:tcPr>
          <w:p w14:paraId="31ACA39A"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Margen Financiero Neto</w:t>
            </w:r>
            <w:r w:rsidRPr="00AE4E8D">
              <w:rPr>
                <w:rFonts w:ascii="Times New Roman" w:hAnsi="Times New Roman"/>
                <w:color w:val="000000"/>
                <w:sz w:val="16"/>
                <w:vertAlign w:val="superscript"/>
                <w:lang w:val="es-ES"/>
              </w:rPr>
              <w:t xml:space="preserve"> </w:t>
            </w:r>
            <w:r w:rsidRPr="00AE4E8D">
              <w:rPr>
                <w:rFonts w:ascii="Times New Roman" w:hAnsi="Times New Roman"/>
                <w:color w:val="000000"/>
                <w:sz w:val="16"/>
                <w:lang w:val="es-ES"/>
              </w:rPr>
              <w:t xml:space="preserve">(7) </w:t>
            </w:r>
          </w:p>
        </w:tc>
        <w:tc>
          <w:tcPr>
            <w:tcW w:w="790" w:type="dxa"/>
            <w:tcBorders>
              <w:top w:val="nil"/>
              <w:left w:val="nil"/>
              <w:bottom w:val="nil"/>
              <w:right w:val="nil"/>
            </w:tcBorders>
            <w:shd w:val="clear" w:color="auto" w:fill="auto"/>
            <w:noWrap/>
            <w:vAlign w:val="center"/>
            <w:hideMark/>
          </w:tcPr>
          <w:p w14:paraId="470D0A1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7,24%</w:t>
            </w:r>
          </w:p>
        </w:tc>
        <w:tc>
          <w:tcPr>
            <w:tcW w:w="222" w:type="dxa"/>
            <w:tcBorders>
              <w:top w:val="nil"/>
              <w:left w:val="nil"/>
              <w:bottom w:val="nil"/>
              <w:right w:val="nil"/>
            </w:tcBorders>
            <w:shd w:val="clear" w:color="auto" w:fill="auto"/>
            <w:noWrap/>
            <w:vAlign w:val="center"/>
            <w:hideMark/>
          </w:tcPr>
          <w:p w14:paraId="5A49B2BB"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85A929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8,96%</w:t>
            </w:r>
          </w:p>
        </w:tc>
        <w:tc>
          <w:tcPr>
            <w:tcW w:w="222" w:type="dxa"/>
            <w:tcBorders>
              <w:top w:val="nil"/>
              <w:left w:val="nil"/>
              <w:bottom w:val="nil"/>
              <w:right w:val="nil"/>
            </w:tcBorders>
            <w:shd w:val="clear" w:color="auto" w:fill="auto"/>
            <w:noWrap/>
            <w:vAlign w:val="center"/>
            <w:hideMark/>
          </w:tcPr>
          <w:p w14:paraId="25B77358"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9D0B67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8,97%</w:t>
            </w:r>
          </w:p>
        </w:tc>
        <w:tc>
          <w:tcPr>
            <w:tcW w:w="222" w:type="dxa"/>
            <w:tcBorders>
              <w:top w:val="nil"/>
              <w:left w:val="nil"/>
              <w:bottom w:val="nil"/>
              <w:right w:val="nil"/>
            </w:tcBorders>
            <w:shd w:val="clear" w:color="auto" w:fill="auto"/>
            <w:noWrap/>
            <w:vAlign w:val="center"/>
            <w:hideMark/>
          </w:tcPr>
          <w:p w14:paraId="26F39465"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990B8E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8,57%</w:t>
            </w:r>
          </w:p>
        </w:tc>
        <w:tc>
          <w:tcPr>
            <w:tcW w:w="222" w:type="dxa"/>
            <w:tcBorders>
              <w:top w:val="nil"/>
              <w:left w:val="nil"/>
              <w:bottom w:val="nil"/>
              <w:right w:val="nil"/>
            </w:tcBorders>
            <w:shd w:val="clear" w:color="auto" w:fill="auto"/>
            <w:noWrap/>
            <w:vAlign w:val="center"/>
            <w:hideMark/>
          </w:tcPr>
          <w:p w14:paraId="7011C044"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7409EEC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6,16%</w:t>
            </w:r>
          </w:p>
        </w:tc>
        <w:tc>
          <w:tcPr>
            <w:tcW w:w="222" w:type="dxa"/>
            <w:tcBorders>
              <w:top w:val="nil"/>
              <w:left w:val="nil"/>
              <w:bottom w:val="nil"/>
              <w:right w:val="nil"/>
            </w:tcBorders>
            <w:shd w:val="clear" w:color="auto" w:fill="auto"/>
            <w:noWrap/>
            <w:vAlign w:val="bottom"/>
            <w:hideMark/>
          </w:tcPr>
          <w:p w14:paraId="3C1B49A6"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7DE5460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7,34%</w:t>
            </w:r>
          </w:p>
        </w:tc>
        <w:tc>
          <w:tcPr>
            <w:tcW w:w="256" w:type="dxa"/>
            <w:tcBorders>
              <w:top w:val="nil"/>
              <w:left w:val="nil"/>
              <w:bottom w:val="nil"/>
              <w:right w:val="nil"/>
            </w:tcBorders>
            <w:shd w:val="clear" w:color="auto" w:fill="auto"/>
            <w:noWrap/>
            <w:vAlign w:val="bottom"/>
          </w:tcPr>
          <w:p w14:paraId="5FBCB437"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655A800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7,04%</w:t>
            </w:r>
          </w:p>
        </w:tc>
      </w:tr>
      <w:tr w:rsidR="003B5193" w:rsidRPr="00AE4E8D" w14:paraId="7C13D0E2" w14:textId="77777777" w:rsidTr="00E8320E">
        <w:trPr>
          <w:trHeight w:val="264"/>
          <w:jc w:val="center"/>
        </w:trPr>
        <w:tc>
          <w:tcPr>
            <w:tcW w:w="2694" w:type="dxa"/>
            <w:tcBorders>
              <w:top w:val="nil"/>
              <w:left w:val="nil"/>
              <w:bottom w:val="nil"/>
              <w:right w:val="nil"/>
            </w:tcBorders>
            <w:shd w:val="clear" w:color="auto" w:fill="auto"/>
            <w:vAlign w:val="center"/>
            <w:hideMark/>
          </w:tcPr>
          <w:p w14:paraId="525EF8A2"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Eficiencia</w:t>
            </w:r>
            <w:r w:rsidRPr="00AE4E8D">
              <w:rPr>
                <w:rFonts w:ascii="Times New Roman" w:hAnsi="Times New Roman"/>
                <w:color w:val="000000"/>
                <w:sz w:val="16"/>
                <w:vertAlign w:val="superscript"/>
                <w:lang w:val="es-ES"/>
              </w:rPr>
              <w:t xml:space="preserve"> </w:t>
            </w:r>
            <w:r w:rsidRPr="00AE4E8D">
              <w:rPr>
                <w:rFonts w:ascii="Times New Roman" w:hAnsi="Times New Roman"/>
                <w:color w:val="000000"/>
                <w:sz w:val="16"/>
                <w:lang w:val="es-ES"/>
              </w:rPr>
              <w:t xml:space="preserve">(8) </w:t>
            </w:r>
          </w:p>
        </w:tc>
        <w:tc>
          <w:tcPr>
            <w:tcW w:w="790" w:type="dxa"/>
            <w:tcBorders>
              <w:top w:val="nil"/>
              <w:left w:val="nil"/>
              <w:bottom w:val="nil"/>
              <w:right w:val="nil"/>
            </w:tcBorders>
            <w:shd w:val="clear" w:color="auto" w:fill="auto"/>
            <w:noWrap/>
            <w:vAlign w:val="center"/>
            <w:hideMark/>
          </w:tcPr>
          <w:p w14:paraId="2075420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71,20%</w:t>
            </w:r>
          </w:p>
        </w:tc>
        <w:tc>
          <w:tcPr>
            <w:tcW w:w="222" w:type="dxa"/>
            <w:tcBorders>
              <w:top w:val="nil"/>
              <w:left w:val="nil"/>
              <w:bottom w:val="nil"/>
              <w:right w:val="nil"/>
            </w:tcBorders>
            <w:shd w:val="clear" w:color="auto" w:fill="auto"/>
            <w:noWrap/>
            <w:vAlign w:val="center"/>
            <w:hideMark/>
          </w:tcPr>
          <w:p w14:paraId="4D73FFCE"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629712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66,59%</w:t>
            </w:r>
          </w:p>
        </w:tc>
        <w:tc>
          <w:tcPr>
            <w:tcW w:w="222" w:type="dxa"/>
            <w:tcBorders>
              <w:top w:val="nil"/>
              <w:left w:val="nil"/>
              <w:bottom w:val="nil"/>
              <w:right w:val="nil"/>
            </w:tcBorders>
            <w:shd w:val="clear" w:color="auto" w:fill="auto"/>
            <w:noWrap/>
            <w:vAlign w:val="center"/>
            <w:hideMark/>
          </w:tcPr>
          <w:p w14:paraId="2EE7C868"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CFFF76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67,49%</w:t>
            </w:r>
          </w:p>
        </w:tc>
        <w:tc>
          <w:tcPr>
            <w:tcW w:w="222" w:type="dxa"/>
            <w:tcBorders>
              <w:top w:val="nil"/>
              <w:left w:val="nil"/>
              <w:bottom w:val="nil"/>
              <w:right w:val="nil"/>
            </w:tcBorders>
            <w:shd w:val="clear" w:color="auto" w:fill="auto"/>
            <w:noWrap/>
            <w:vAlign w:val="center"/>
            <w:hideMark/>
          </w:tcPr>
          <w:p w14:paraId="52C2F80B"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CB29EB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65,22%</w:t>
            </w:r>
          </w:p>
        </w:tc>
        <w:tc>
          <w:tcPr>
            <w:tcW w:w="222" w:type="dxa"/>
            <w:tcBorders>
              <w:top w:val="nil"/>
              <w:left w:val="nil"/>
              <w:bottom w:val="nil"/>
              <w:right w:val="nil"/>
            </w:tcBorders>
            <w:shd w:val="clear" w:color="auto" w:fill="auto"/>
            <w:noWrap/>
            <w:vAlign w:val="center"/>
            <w:hideMark/>
          </w:tcPr>
          <w:p w14:paraId="0B803285"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01ECFD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74,76%</w:t>
            </w:r>
          </w:p>
        </w:tc>
        <w:tc>
          <w:tcPr>
            <w:tcW w:w="222" w:type="dxa"/>
            <w:tcBorders>
              <w:top w:val="nil"/>
              <w:left w:val="nil"/>
              <w:bottom w:val="nil"/>
              <w:right w:val="nil"/>
            </w:tcBorders>
            <w:shd w:val="clear" w:color="auto" w:fill="auto"/>
            <w:noWrap/>
            <w:vAlign w:val="bottom"/>
            <w:hideMark/>
          </w:tcPr>
          <w:p w14:paraId="4918356F"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0C6C45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73,23%</w:t>
            </w:r>
          </w:p>
        </w:tc>
        <w:tc>
          <w:tcPr>
            <w:tcW w:w="256" w:type="dxa"/>
            <w:tcBorders>
              <w:top w:val="nil"/>
              <w:left w:val="nil"/>
              <w:bottom w:val="nil"/>
              <w:right w:val="nil"/>
            </w:tcBorders>
            <w:shd w:val="clear" w:color="auto" w:fill="auto"/>
            <w:noWrap/>
            <w:vAlign w:val="bottom"/>
          </w:tcPr>
          <w:p w14:paraId="2467B984"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3A44CA5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67,46%</w:t>
            </w:r>
          </w:p>
        </w:tc>
      </w:tr>
      <w:tr w:rsidR="003B5193" w:rsidRPr="00AE4E8D" w14:paraId="208B5198" w14:textId="77777777" w:rsidTr="00E8320E">
        <w:trPr>
          <w:trHeight w:val="264"/>
          <w:jc w:val="center"/>
        </w:trPr>
        <w:tc>
          <w:tcPr>
            <w:tcW w:w="2694" w:type="dxa"/>
            <w:tcBorders>
              <w:top w:val="nil"/>
              <w:left w:val="nil"/>
              <w:bottom w:val="nil"/>
              <w:right w:val="nil"/>
            </w:tcBorders>
            <w:shd w:val="clear" w:color="auto" w:fill="auto"/>
            <w:vAlign w:val="center"/>
            <w:hideMark/>
          </w:tcPr>
          <w:p w14:paraId="1F41676A" w14:textId="77777777" w:rsidR="005C363D" w:rsidRPr="00AE4E8D" w:rsidRDefault="005C363D" w:rsidP="00E8320E">
            <w:pPr>
              <w:rPr>
                <w:rFonts w:ascii="Times New Roman" w:hAnsi="Times New Roman"/>
                <w:color w:val="000000"/>
                <w:sz w:val="16"/>
                <w:lang w:val="es-ES"/>
              </w:rPr>
            </w:pPr>
          </w:p>
        </w:tc>
        <w:tc>
          <w:tcPr>
            <w:tcW w:w="790" w:type="dxa"/>
            <w:tcBorders>
              <w:top w:val="nil"/>
              <w:left w:val="nil"/>
              <w:bottom w:val="nil"/>
              <w:right w:val="nil"/>
            </w:tcBorders>
            <w:shd w:val="clear" w:color="auto" w:fill="auto"/>
            <w:noWrap/>
            <w:vAlign w:val="center"/>
            <w:hideMark/>
          </w:tcPr>
          <w:p w14:paraId="2B2903FB"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5F8A900B"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1C4EA5C"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5A5FA8A2"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2D52732"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64D628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1CAE709"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200E0B01"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5C8EAD2"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17E562BE"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5609CE71" w14:textId="77777777" w:rsidR="005C363D" w:rsidRPr="00AE4E8D" w:rsidRDefault="005C363D"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5141A076"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5DB5BFC8" w14:textId="77777777" w:rsidR="005C363D" w:rsidRPr="00AE4E8D" w:rsidRDefault="005C363D" w:rsidP="00E8320E">
            <w:pPr>
              <w:rPr>
                <w:rFonts w:ascii="Times New Roman" w:hAnsi="Times New Roman"/>
                <w:color w:val="000000"/>
                <w:sz w:val="16"/>
                <w:lang w:val="es-ES"/>
              </w:rPr>
            </w:pPr>
          </w:p>
        </w:tc>
      </w:tr>
      <w:tr w:rsidR="003B5193" w:rsidRPr="00AE4E8D" w14:paraId="6C1A457C" w14:textId="77777777" w:rsidTr="00E8320E">
        <w:trPr>
          <w:trHeight w:val="264"/>
          <w:jc w:val="center"/>
        </w:trPr>
        <w:tc>
          <w:tcPr>
            <w:tcW w:w="2694" w:type="dxa"/>
            <w:tcBorders>
              <w:top w:val="nil"/>
              <w:left w:val="nil"/>
              <w:bottom w:val="nil"/>
              <w:right w:val="nil"/>
            </w:tcBorders>
            <w:shd w:val="clear" w:color="auto" w:fill="auto"/>
            <w:vAlign w:val="center"/>
            <w:hideMark/>
          </w:tcPr>
          <w:p w14:paraId="1BC60A50" w14:textId="77777777" w:rsidR="005C363D" w:rsidRPr="00AE4E8D" w:rsidRDefault="005C363D" w:rsidP="00E8320E">
            <w:pPr>
              <w:rPr>
                <w:rFonts w:ascii="Times New Roman" w:hAnsi="Times New Roman"/>
                <w:b/>
                <w:color w:val="000000"/>
                <w:sz w:val="16"/>
                <w:lang w:val="es-ES"/>
              </w:rPr>
            </w:pPr>
            <w:r w:rsidRPr="00AE4E8D">
              <w:rPr>
                <w:rFonts w:ascii="Times New Roman" w:hAnsi="Times New Roman"/>
                <w:b/>
                <w:color w:val="000000"/>
                <w:sz w:val="16"/>
                <w:lang w:val="es-ES"/>
              </w:rPr>
              <w:t>Capital</w:t>
            </w:r>
          </w:p>
        </w:tc>
        <w:tc>
          <w:tcPr>
            <w:tcW w:w="790" w:type="dxa"/>
            <w:tcBorders>
              <w:top w:val="nil"/>
              <w:left w:val="nil"/>
              <w:bottom w:val="nil"/>
              <w:right w:val="nil"/>
            </w:tcBorders>
            <w:shd w:val="clear" w:color="auto" w:fill="auto"/>
            <w:noWrap/>
            <w:vAlign w:val="center"/>
            <w:hideMark/>
          </w:tcPr>
          <w:p w14:paraId="17866D97"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1B26FB1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17C8FC1"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2A3C17E"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F42EB92"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05540FFE"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4F62F7C"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38861F7"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2232A3B"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2A17E9AF"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726CA6A7" w14:textId="77777777" w:rsidR="005C363D" w:rsidRPr="00AE4E8D" w:rsidRDefault="005C363D"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4D424AD4"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033D9218" w14:textId="77777777" w:rsidR="005C363D" w:rsidRPr="00AE4E8D" w:rsidRDefault="005C363D" w:rsidP="00E8320E">
            <w:pPr>
              <w:rPr>
                <w:rFonts w:ascii="Times New Roman" w:hAnsi="Times New Roman"/>
                <w:color w:val="000000"/>
                <w:sz w:val="16"/>
                <w:lang w:val="es-ES"/>
              </w:rPr>
            </w:pPr>
          </w:p>
        </w:tc>
      </w:tr>
      <w:tr w:rsidR="003B5193" w:rsidRPr="00AE4E8D" w14:paraId="625F887B" w14:textId="77777777" w:rsidTr="00E8320E">
        <w:trPr>
          <w:trHeight w:val="264"/>
          <w:jc w:val="center"/>
        </w:trPr>
        <w:tc>
          <w:tcPr>
            <w:tcW w:w="2694" w:type="dxa"/>
            <w:tcBorders>
              <w:top w:val="nil"/>
              <w:left w:val="nil"/>
              <w:bottom w:val="nil"/>
              <w:right w:val="nil"/>
            </w:tcBorders>
            <w:shd w:val="clear" w:color="auto" w:fill="auto"/>
            <w:vAlign w:val="center"/>
            <w:hideMark/>
          </w:tcPr>
          <w:p w14:paraId="46E88AAE"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Patrimonio neto total como % de activo total </w:t>
            </w:r>
          </w:p>
        </w:tc>
        <w:tc>
          <w:tcPr>
            <w:tcW w:w="790" w:type="dxa"/>
            <w:tcBorders>
              <w:top w:val="nil"/>
              <w:left w:val="nil"/>
              <w:bottom w:val="nil"/>
              <w:right w:val="nil"/>
            </w:tcBorders>
            <w:shd w:val="clear" w:color="auto" w:fill="auto"/>
            <w:noWrap/>
            <w:vAlign w:val="center"/>
            <w:hideMark/>
          </w:tcPr>
          <w:p w14:paraId="621CFD8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21,59%</w:t>
            </w:r>
          </w:p>
        </w:tc>
        <w:tc>
          <w:tcPr>
            <w:tcW w:w="222" w:type="dxa"/>
            <w:tcBorders>
              <w:top w:val="nil"/>
              <w:left w:val="nil"/>
              <w:bottom w:val="nil"/>
              <w:right w:val="nil"/>
            </w:tcBorders>
            <w:shd w:val="clear" w:color="auto" w:fill="auto"/>
            <w:noWrap/>
            <w:vAlign w:val="center"/>
            <w:hideMark/>
          </w:tcPr>
          <w:p w14:paraId="0D3695A9"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2182CA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18,87%</w:t>
            </w:r>
          </w:p>
        </w:tc>
        <w:tc>
          <w:tcPr>
            <w:tcW w:w="222" w:type="dxa"/>
            <w:tcBorders>
              <w:top w:val="nil"/>
              <w:left w:val="nil"/>
              <w:bottom w:val="nil"/>
              <w:right w:val="nil"/>
            </w:tcBorders>
            <w:shd w:val="clear" w:color="auto" w:fill="auto"/>
            <w:noWrap/>
            <w:vAlign w:val="center"/>
            <w:hideMark/>
          </w:tcPr>
          <w:p w14:paraId="74765F67"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C36F6F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14,02%</w:t>
            </w:r>
          </w:p>
        </w:tc>
        <w:tc>
          <w:tcPr>
            <w:tcW w:w="222" w:type="dxa"/>
            <w:tcBorders>
              <w:top w:val="nil"/>
              <w:left w:val="nil"/>
              <w:bottom w:val="nil"/>
              <w:right w:val="nil"/>
            </w:tcBorders>
            <w:shd w:val="clear" w:color="auto" w:fill="auto"/>
            <w:noWrap/>
            <w:vAlign w:val="center"/>
            <w:hideMark/>
          </w:tcPr>
          <w:p w14:paraId="63AD5EE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D1FE4B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13,79%</w:t>
            </w:r>
          </w:p>
        </w:tc>
        <w:tc>
          <w:tcPr>
            <w:tcW w:w="222" w:type="dxa"/>
            <w:tcBorders>
              <w:top w:val="nil"/>
              <w:left w:val="nil"/>
              <w:bottom w:val="nil"/>
              <w:right w:val="nil"/>
            </w:tcBorders>
            <w:shd w:val="clear" w:color="auto" w:fill="auto"/>
            <w:noWrap/>
            <w:vAlign w:val="center"/>
            <w:hideMark/>
          </w:tcPr>
          <w:p w14:paraId="1B9738C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1369BF0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11,62%</w:t>
            </w:r>
          </w:p>
        </w:tc>
        <w:tc>
          <w:tcPr>
            <w:tcW w:w="222" w:type="dxa"/>
            <w:tcBorders>
              <w:top w:val="nil"/>
              <w:left w:val="nil"/>
              <w:bottom w:val="nil"/>
              <w:right w:val="nil"/>
            </w:tcBorders>
            <w:shd w:val="clear" w:color="auto" w:fill="auto"/>
            <w:noWrap/>
            <w:vAlign w:val="bottom"/>
            <w:hideMark/>
          </w:tcPr>
          <w:p w14:paraId="5AD31543"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6EE3866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14,35%</w:t>
            </w:r>
          </w:p>
        </w:tc>
        <w:tc>
          <w:tcPr>
            <w:tcW w:w="256" w:type="dxa"/>
            <w:tcBorders>
              <w:top w:val="nil"/>
              <w:left w:val="nil"/>
              <w:bottom w:val="nil"/>
              <w:right w:val="nil"/>
            </w:tcBorders>
            <w:shd w:val="clear" w:color="auto" w:fill="auto"/>
            <w:noWrap/>
            <w:vAlign w:val="bottom"/>
          </w:tcPr>
          <w:p w14:paraId="29A70551"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0783B26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12,09%</w:t>
            </w:r>
            <w:r w:rsidRPr="00AE4E8D" w:rsidDel="00FE5A43">
              <w:rPr>
                <w:rFonts w:ascii="Times New Roman" w:hAnsi="Times New Roman"/>
                <w:color w:val="000000"/>
                <w:sz w:val="16"/>
                <w:lang w:val="es-ES"/>
              </w:rPr>
              <w:t xml:space="preserve"> </w:t>
            </w:r>
          </w:p>
        </w:tc>
      </w:tr>
      <w:tr w:rsidR="003B5193" w:rsidRPr="00AE4E8D" w14:paraId="6DAE15D1" w14:textId="77777777" w:rsidTr="00E8320E">
        <w:trPr>
          <w:trHeight w:val="264"/>
          <w:jc w:val="center"/>
        </w:trPr>
        <w:tc>
          <w:tcPr>
            <w:tcW w:w="2694" w:type="dxa"/>
            <w:tcBorders>
              <w:top w:val="nil"/>
              <w:left w:val="nil"/>
              <w:bottom w:val="nil"/>
              <w:right w:val="nil"/>
            </w:tcBorders>
            <w:shd w:val="clear" w:color="auto" w:fill="auto"/>
            <w:noWrap/>
            <w:vAlign w:val="center"/>
            <w:hideMark/>
          </w:tcPr>
          <w:p w14:paraId="0603D4F1"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Patrimonio neto total como % de pasivo total </w:t>
            </w:r>
          </w:p>
        </w:tc>
        <w:tc>
          <w:tcPr>
            <w:tcW w:w="790" w:type="dxa"/>
            <w:tcBorders>
              <w:top w:val="nil"/>
              <w:left w:val="nil"/>
              <w:bottom w:val="nil"/>
              <w:right w:val="nil"/>
            </w:tcBorders>
            <w:shd w:val="clear" w:color="auto" w:fill="auto"/>
            <w:noWrap/>
            <w:vAlign w:val="center"/>
            <w:hideMark/>
          </w:tcPr>
          <w:p w14:paraId="5C0CD77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27,69%</w:t>
            </w:r>
          </w:p>
        </w:tc>
        <w:tc>
          <w:tcPr>
            <w:tcW w:w="222" w:type="dxa"/>
            <w:tcBorders>
              <w:top w:val="nil"/>
              <w:left w:val="nil"/>
              <w:bottom w:val="nil"/>
              <w:right w:val="nil"/>
            </w:tcBorders>
            <w:shd w:val="clear" w:color="auto" w:fill="auto"/>
            <w:noWrap/>
            <w:vAlign w:val="center"/>
            <w:hideMark/>
          </w:tcPr>
          <w:p w14:paraId="73B41AF2"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F7AA0C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23,36%</w:t>
            </w:r>
          </w:p>
        </w:tc>
        <w:tc>
          <w:tcPr>
            <w:tcW w:w="222" w:type="dxa"/>
            <w:tcBorders>
              <w:top w:val="nil"/>
              <w:left w:val="nil"/>
              <w:bottom w:val="nil"/>
              <w:right w:val="nil"/>
            </w:tcBorders>
            <w:shd w:val="clear" w:color="auto" w:fill="auto"/>
            <w:noWrap/>
            <w:vAlign w:val="center"/>
            <w:hideMark/>
          </w:tcPr>
          <w:p w14:paraId="7E763393"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7A58D5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16,35%</w:t>
            </w:r>
          </w:p>
        </w:tc>
        <w:tc>
          <w:tcPr>
            <w:tcW w:w="222" w:type="dxa"/>
            <w:tcBorders>
              <w:top w:val="nil"/>
              <w:left w:val="nil"/>
              <w:bottom w:val="nil"/>
              <w:right w:val="nil"/>
            </w:tcBorders>
            <w:shd w:val="clear" w:color="auto" w:fill="auto"/>
            <w:noWrap/>
            <w:vAlign w:val="center"/>
            <w:hideMark/>
          </w:tcPr>
          <w:p w14:paraId="452BC454"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B17AB2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16,04%</w:t>
            </w:r>
          </w:p>
        </w:tc>
        <w:tc>
          <w:tcPr>
            <w:tcW w:w="222" w:type="dxa"/>
            <w:tcBorders>
              <w:top w:val="nil"/>
              <w:left w:val="nil"/>
              <w:bottom w:val="nil"/>
              <w:right w:val="nil"/>
            </w:tcBorders>
            <w:shd w:val="clear" w:color="auto" w:fill="auto"/>
            <w:noWrap/>
            <w:vAlign w:val="center"/>
            <w:hideMark/>
          </w:tcPr>
          <w:p w14:paraId="160E9CF7"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49A86B6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13,20%</w:t>
            </w:r>
          </w:p>
        </w:tc>
        <w:tc>
          <w:tcPr>
            <w:tcW w:w="222" w:type="dxa"/>
            <w:tcBorders>
              <w:top w:val="nil"/>
              <w:left w:val="nil"/>
              <w:bottom w:val="nil"/>
              <w:right w:val="nil"/>
            </w:tcBorders>
            <w:shd w:val="clear" w:color="auto" w:fill="auto"/>
            <w:noWrap/>
            <w:vAlign w:val="bottom"/>
            <w:hideMark/>
          </w:tcPr>
          <w:p w14:paraId="5D2C0BD4"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7DCEA89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16,82%</w:t>
            </w:r>
          </w:p>
        </w:tc>
        <w:tc>
          <w:tcPr>
            <w:tcW w:w="256" w:type="dxa"/>
            <w:tcBorders>
              <w:top w:val="nil"/>
              <w:left w:val="nil"/>
              <w:bottom w:val="nil"/>
              <w:right w:val="nil"/>
            </w:tcBorders>
            <w:shd w:val="clear" w:color="auto" w:fill="auto"/>
            <w:noWrap/>
            <w:vAlign w:val="bottom"/>
          </w:tcPr>
          <w:p w14:paraId="7C25B9BC"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4E53534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13,84%</w:t>
            </w:r>
            <w:r w:rsidRPr="00AE4E8D" w:rsidDel="00FE5A43">
              <w:rPr>
                <w:rFonts w:ascii="Times New Roman" w:hAnsi="Times New Roman"/>
                <w:color w:val="000000"/>
                <w:sz w:val="16"/>
                <w:lang w:val="es-ES"/>
              </w:rPr>
              <w:t xml:space="preserve"> </w:t>
            </w:r>
          </w:p>
        </w:tc>
      </w:tr>
      <w:tr w:rsidR="003B5193" w:rsidRPr="00AE4E8D" w14:paraId="57559852" w14:textId="77777777" w:rsidTr="00E8320E">
        <w:trPr>
          <w:trHeight w:val="264"/>
          <w:jc w:val="center"/>
        </w:trPr>
        <w:tc>
          <w:tcPr>
            <w:tcW w:w="2694" w:type="dxa"/>
            <w:tcBorders>
              <w:top w:val="nil"/>
              <w:left w:val="nil"/>
              <w:bottom w:val="nil"/>
              <w:right w:val="nil"/>
            </w:tcBorders>
            <w:shd w:val="clear" w:color="auto" w:fill="auto"/>
            <w:noWrap/>
            <w:vAlign w:val="center"/>
            <w:hideMark/>
          </w:tcPr>
          <w:p w14:paraId="4A87E305"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Otros activos como % de activos (9) </w:t>
            </w:r>
          </w:p>
        </w:tc>
        <w:tc>
          <w:tcPr>
            <w:tcW w:w="790" w:type="dxa"/>
            <w:tcBorders>
              <w:top w:val="nil"/>
              <w:left w:val="nil"/>
              <w:bottom w:val="nil"/>
              <w:right w:val="nil"/>
            </w:tcBorders>
            <w:shd w:val="clear" w:color="auto" w:fill="auto"/>
            <w:noWrap/>
            <w:vAlign w:val="center"/>
            <w:hideMark/>
          </w:tcPr>
          <w:p w14:paraId="5A1D067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6,33%</w:t>
            </w:r>
          </w:p>
        </w:tc>
        <w:tc>
          <w:tcPr>
            <w:tcW w:w="222" w:type="dxa"/>
            <w:tcBorders>
              <w:top w:val="nil"/>
              <w:left w:val="nil"/>
              <w:bottom w:val="nil"/>
              <w:right w:val="nil"/>
            </w:tcBorders>
            <w:shd w:val="clear" w:color="auto" w:fill="auto"/>
            <w:noWrap/>
            <w:vAlign w:val="center"/>
            <w:hideMark/>
          </w:tcPr>
          <w:p w14:paraId="268DE04B"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BE267A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6,79%</w:t>
            </w:r>
          </w:p>
        </w:tc>
        <w:tc>
          <w:tcPr>
            <w:tcW w:w="222" w:type="dxa"/>
            <w:tcBorders>
              <w:top w:val="nil"/>
              <w:left w:val="nil"/>
              <w:bottom w:val="nil"/>
              <w:right w:val="nil"/>
            </w:tcBorders>
            <w:shd w:val="clear" w:color="auto" w:fill="auto"/>
            <w:noWrap/>
            <w:vAlign w:val="center"/>
            <w:hideMark/>
          </w:tcPr>
          <w:p w14:paraId="27AF334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75015A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5,59%</w:t>
            </w:r>
          </w:p>
        </w:tc>
        <w:tc>
          <w:tcPr>
            <w:tcW w:w="222" w:type="dxa"/>
            <w:tcBorders>
              <w:top w:val="nil"/>
              <w:left w:val="nil"/>
              <w:bottom w:val="nil"/>
              <w:right w:val="nil"/>
            </w:tcBorders>
            <w:shd w:val="clear" w:color="auto" w:fill="auto"/>
            <w:noWrap/>
            <w:vAlign w:val="center"/>
            <w:hideMark/>
          </w:tcPr>
          <w:p w14:paraId="265C3543"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A7413A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6,54%</w:t>
            </w:r>
          </w:p>
        </w:tc>
        <w:tc>
          <w:tcPr>
            <w:tcW w:w="222" w:type="dxa"/>
            <w:tcBorders>
              <w:top w:val="nil"/>
              <w:left w:val="nil"/>
              <w:bottom w:val="nil"/>
              <w:right w:val="nil"/>
            </w:tcBorders>
            <w:shd w:val="clear" w:color="auto" w:fill="auto"/>
            <w:noWrap/>
            <w:vAlign w:val="center"/>
            <w:hideMark/>
          </w:tcPr>
          <w:p w14:paraId="122285A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16DE99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6,41%</w:t>
            </w:r>
          </w:p>
        </w:tc>
        <w:tc>
          <w:tcPr>
            <w:tcW w:w="222" w:type="dxa"/>
            <w:tcBorders>
              <w:top w:val="nil"/>
              <w:left w:val="nil"/>
              <w:bottom w:val="nil"/>
              <w:right w:val="nil"/>
            </w:tcBorders>
            <w:shd w:val="clear" w:color="auto" w:fill="auto"/>
            <w:noWrap/>
            <w:vAlign w:val="bottom"/>
            <w:hideMark/>
          </w:tcPr>
          <w:p w14:paraId="00A6960E"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11D74EE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7,47%</w:t>
            </w:r>
          </w:p>
        </w:tc>
        <w:tc>
          <w:tcPr>
            <w:tcW w:w="256" w:type="dxa"/>
            <w:tcBorders>
              <w:top w:val="nil"/>
              <w:left w:val="nil"/>
              <w:bottom w:val="nil"/>
              <w:right w:val="nil"/>
            </w:tcBorders>
            <w:shd w:val="clear" w:color="auto" w:fill="auto"/>
            <w:noWrap/>
            <w:vAlign w:val="bottom"/>
          </w:tcPr>
          <w:p w14:paraId="0BFB007D"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374E711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8,09%</w:t>
            </w:r>
          </w:p>
        </w:tc>
      </w:tr>
      <w:tr w:rsidR="003B5193" w:rsidRPr="00AE4E8D" w14:paraId="5BDDE21D" w14:textId="77777777" w:rsidTr="00E8320E">
        <w:trPr>
          <w:trHeight w:val="264"/>
          <w:jc w:val="center"/>
        </w:trPr>
        <w:tc>
          <w:tcPr>
            <w:tcW w:w="2694" w:type="dxa"/>
            <w:tcBorders>
              <w:top w:val="nil"/>
              <w:left w:val="nil"/>
              <w:bottom w:val="nil"/>
              <w:right w:val="nil"/>
            </w:tcBorders>
            <w:shd w:val="clear" w:color="auto" w:fill="auto"/>
            <w:noWrap/>
            <w:vAlign w:val="center"/>
            <w:hideMark/>
          </w:tcPr>
          <w:p w14:paraId="09C167D8" w14:textId="77777777" w:rsidR="005C363D" w:rsidRPr="00AE4E8D" w:rsidRDefault="005C363D" w:rsidP="00E8320E">
            <w:pPr>
              <w:rPr>
                <w:rFonts w:ascii="Times New Roman" w:hAnsi="Times New Roman"/>
                <w:color w:val="000000"/>
                <w:sz w:val="16"/>
                <w:lang w:val="es-ES"/>
              </w:rPr>
            </w:pPr>
          </w:p>
        </w:tc>
        <w:tc>
          <w:tcPr>
            <w:tcW w:w="790" w:type="dxa"/>
            <w:tcBorders>
              <w:top w:val="nil"/>
              <w:left w:val="nil"/>
              <w:bottom w:val="nil"/>
              <w:right w:val="nil"/>
            </w:tcBorders>
            <w:shd w:val="clear" w:color="auto" w:fill="auto"/>
            <w:noWrap/>
            <w:vAlign w:val="center"/>
            <w:hideMark/>
          </w:tcPr>
          <w:p w14:paraId="5BB98C14"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83FC775"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1D3DECC"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817055B"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6357EAE"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D498E2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9E08B06"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6423905"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65927ED5"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4018A1B2"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0C000E39" w14:textId="77777777" w:rsidR="005C363D" w:rsidRPr="00AE4E8D" w:rsidRDefault="005C363D"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792E4B0A"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0001B087" w14:textId="77777777" w:rsidR="005C363D" w:rsidRPr="00AE4E8D" w:rsidRDefault="005C363D" w:rsidP="00E8320E">
            <w:pPr>
              <w:rPr>
                <w:rFonts w:ascii="Times New Roman" w:hAnsi="Times New Roman"/>
                <w:color w:val="000000"/>
                <w:sz w:val="16"/>
                <w:lang w:val="es-ES"/>
              </w:rPr>
            </w:pPr>
          </w:p>
        </w:tc>
      </w:tr>
      <w:tr w:rsidR="003B5193" w:rsidRPr="00AE4E8D" w14:paraId="0D46A372" w14:textId="77777777" w:rsidTr="00E8320E">
        <w:trPr>
          <w:trHeight w:val="264"/>
          <w:jc w:val="center"/>
        </w:trPr>
        <w:tc>
          <w:tcPr>
            <w:tcW w:w="2694" w:type="dxa"/>
            <w:tcBorders>
              <w:top w:val="nil"/>
              <w:left w:val="nil"/>
              <w:bottom w:val="nil"/>
              <w:right w:val="nil"/>
            </w:tcBorders>
            <w:shd w:val="clear" w:color="auto" w:fill="auto"/>
            <w:vAlign w:val="center"/>
            <w:hideMark/>
          </w:tcPr>
          <w:p w14:paraId="6A385FC8" w14:textId="77777777" w:rsidR="005C363D" w:rsidRPr="00AE4E8D" w:rsidRDefault="005C363D" w:rsidP="00E8320E">
            <w:pPr>
              <w:rPr>
                <w:rFonts w:ascii="Times New Roman" w:hAnsi="Times New Roman"/>
                <w:b/>
                <w:color w:val="000000"/>
                <w:sz w:val="16"/>
                <w:lang w:val="es-ES"/>
              </w:rPr>
            </w:pPr>
            <w:r w:rsidRPr="00AE4E8D">
              <w:rPr>
                <w:rFonts w:ascii="Times New Roman" w:hAnsi="Times New Roman"/>
                <w:b/>
                <w:color w:val="000000"/>
                <w:sz w:val="16"/>
                <w:lang w:val="es-ES"/>
              </w:rPr>
              <w:t>Liquidez</w:t>
            </w:r>
          </w:p>
        </w:tc>
        <w:tc>
          <w:tcPr>
            <w:tcW w:w="790" w:type="dxa"/>
            <w:tcBorders>
              <w:top w:val="nil"/>
              <w:left w:val="nil"/>
              <w:bottom w:val="nil"/>
              <w:right w:val="nil"/>
            </w:tcBorders>
            <w:shd w:val="clear" w:color="auto" w:fill="auto"/>
            <w:noWrap/>
            <w:vAlign w:val="center"/>
            <w:hideMark/>
          </w:tcPr>
          <w:p w14:paraId="0FBF5CEB"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3B5C4E02"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F2963C3"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51E52327"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E827DE9"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4F253F51"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2FAE0F0"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4D94413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4B968F48"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6A038EC0"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25885489" w14:textId="77777777" w:rsidR="005C363D" w:rsidRPr="00AE4E8D" w:rsidRDefault="005C363D"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7A1FDE1D"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3398F047" w14:textId="77777777" w:rsidR="005C363D" w:rsidRPr="00AE4E8D" w:rsidRDefault="005C363D" w:rsidP="00E8320E">
            <w:pPr>
              <w:rPr>
                <w:rFonts w:ascii="Times New Roman" w:hAnsi="Times New Roman"/>
                <w:color w:val="000000"/>
                <w:sz w:val="16"/>
                <w:lang w:val="es-ES"/>
              </w:rPr>
            </w:pPr>
          </w:p>
        </w:tc>
      </w:tr>
      <w:tr w:rsidR="003B5193" w:rsidRPr="00AE4E8D" w14:paraId="215292AF" w14:textId="77777777" w:rsidTr="00E8320E">
        <w:trPr>
          <w:trHeight w:val="340"/>
          <w:jc w:val="center"/>
        </w:trPr>
        <w:tc>
          <w:tcPr>
            <w:tcW w:w="2694" w:type="dxa"/>
            <w:tcBorders>
              <w:top w:val="nil"/>
              <w:left w:val="nil"/>
              <w:bottom w:val="nil"/>
              <w:right w:val="nil"/>
            </w:tcBorders>
            <w:shd w:val="clear" w:color="auto" w:fill="auto"/>
            <w:vAlign w:val="center"/>
            <w:hideMark/>
          </w:tcPr>
          <w:p w14:paraId="69F9031C"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Disponibilidades más títulos públicos y privados como % de depósitos </w:t>
            </w:r>
          </w:p>
        </w:tc>
        <w:tc>
          <w:tcPr>
            <w:tcW w:w="790" w:type="dxa"/>
            <w:tcBorders>
              <w:top w:val="nil"/>
              <w:left w:val="nil"/>
              <w:bottom w:val="nil"/>
              <w:right w:val="nil"/>
            </w:tcBorders>
            <w:shd w:val="clear" w:color="auto" w:fill="auto"/>
            <w:noWrap/>
            <w:vAlign w:val="center"/>
            <w:hideMark/>
          </w:tcPr>
          <w:p w14:paraId="10F939F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44,06%</w:t>
            </w:r>
          </w:p>
        </w:tc>
        <w:tc>
          <w:tcPr>
            <w:tcW w:w="222" w:type="dxa"/>
            <w:tcBorders>
              <w:top w:val="nil"/>
              <w:left w:val="nil"/>
              <w:bottom w:val="nil"/>
              <w:right w:val="nil"/>
            </w:tcBorders>
            <w:shd w:val="clear" w:color="auto" w:fill="auto"/>
            <w:noWrap/>
            <w:vAlign w:val="center"/>
            <w:hideMark/>
          </w:tcPr>
          <w:p w14:paraId="44309430"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6B1D3C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36,56%</w:t>
            </w:r>
          </w:p>
        </w:tc>
        <w:tc>
          <w:tcPr>
            <w:tcW w:w="222" w:type="dxa"/>
            <w:tcBorders>
              <w:top w:val="nil"/>
              <w:left w:val="nil"/>
              <w:bottom w:val="nil"/>
              <w:right w:val="nil"/>
            </w:tcBorders>
            <w:shd w:val="clear" w:color="auto" w:fill="auto"/>
            <w:noWrap/>
            <w:vAlign w:val="center"/>
            <w:hideMark/>
          </w:tcPr>
          <w:p w14:paraId="3F1620B5"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EF1880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53,92%</w:t>
            </w:r>
          </w:p>
        </w:tc>
        <w:tc>
          <w:tcPr>
            <w:tcW w:w="222" w:type="dxa"/>
            <w:tcBorders>
              <w:top w:val="nil"/>
              <w:left w:val="nil"/>
              <w:bottom w:val="nil"/>
              <w:right w:val="nil"/>
            </w:tcBorders>
            <w:shd w:val="clear" w:color="auto" w:fill="auto"/>
            <w:noWrap/>
            <w:vAlign w:val="center"/>
            <w:hideMark/>
          </w:tcPr>
          <w:p w14:paraId="22FD8C28"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3F692C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57,99%</w:t>
            </w:r>
          </w:p>
        </w:tc>
        <w:tc>
          <w:tcPr>
            <w:tcW w:w="222" w:type="dxa"/>
            <w:tcBorders>
              <w:top w:val="nil"/>
              <w:left w:val="nil"/>
              <w:bottom w:val="nil"/>
              <w:right w:val="nil"/>
            </w:tcBorders>
            <w:shd w:val="clear" w:color="auto" w:fill="auto"/>
            <w:noWrap/>
            <w:vAlign w:val="center"/>
            <w:hideMark/>
          </w:tcPr>
          <w:p w14:paraId="556AAC1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7859FF9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64,19%</w:t>
            </w:r>
          </w:p>
        </w:tc>
        <w:tc>
          <w:tcPr>
            <w:tcW w:w="222" w:type="dxa"/>
            <w:tcBorders>
              <w:top w:val="nil"/>
              <w:left w:val="nil"/>
              <w:bottom w:val="nil"/>
              <w:right w:val="nil"/>
            </w:tcBorders>
            <w:shd w:val="clear" w:color="auto" w:fill="auto"/>
            <w:noWrap/>
            <w:vAlign w:val="bottom"/>
            <w:hideMark/>
          </w:tcPr>
          <w:p w14:paraId="2FAF5E5C"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75C3B7E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48,17%</w:t>
            </w:r>
          </w:p>
        </w:tc>
        <w:tc>
          <w:tcPr>
            <w:tcW w:w="256" w:type="dxa"/>
            <w:tcBorders>
              <w:top w:val="nil"/>
              <w:left w:val="nil"/>
              <w:bottom w:val="nil"/>
              <w:right w:val="nil"/>
            </w:tcBorders>
            <w:shd w:val="clear" w:color="auto" w:fill="auto"/>
            <w:noWrap/>
            <w:vAlign w:val="bottom"/>
          </w:tcPr>
          <w:p w14:paraId="7071FF03"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605112F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57,93%</w:t>
            </w:r>
          </w:p>
        </w:tc>
      </w:tr>
      <w:tr w:rsidR="003B5193" w:rsidRPr="00AE4E8D" w14:paraId="28BBD27F" w14:textId="77777777" w:rsidTr="00E8320E">
        <w:trPr>
          <w:trHeight w:val="264"/>
          <w:jc w:val="center"/>
        </w:trPr>
        <w:tc>
          <w:tcPr>
            <w:tcW w:w="2694" w:type="dxa"/>
            <w:tcBorders>
              <w:top w:val="nil"/>
              <w:left w:val="nil"/>
              <w:bottom w:val="nil"/>
              <w:right w:val="nil"/>
            </w:tcBorders>
            <w:shd w:val="clear" w:color="auto" w:fill="auto"/>
            <w:vAlign w:val="center"/>
            <w:hideMark/>
          </w:tcPr>
          <w:p w14:paraId="77D21970"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Préstamos netos como % de depósitos </w:t>
            </w:r>
          </w:p>
        </w:tc>
        <w:tc>
          <w:tcPr>
            <w:tcW w:w="790" w:type="dxa"/>
            <w:tcBorders>
              <w:top w:val="nil"/>
              <w:left w:val="nil"/>
              <w:bottom w:val="nil"/>
              <w:right w:val="nil"/>
            </w:tcBorders>
            <w:shd w:val="clear" w:color="auto" w:fill="auto"/>
            <w:noWrap/>
            <w:vAlign w:val="center"/>
            <w:hideMark/>
          </w:tcPr>
          <w:p w14:paraId="5226E40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122,12%</w:t>
            </w:r>
          </w:p>
        </w:tc>
        <w:tc>
          <w:tcPr>
            <w:tcW w:w="222" w:type="dxa"/>
            <w:tcBorders>
              <w:top w:val="nil"/>
              <w:left w:val="nil"/>
              <w:bottom w:val="nil"/>
              <w:right w:val="nil"/>
            </w:tcBorders>
            <w:shd w:val="clear" w:color="auto" w:fill="auto"/>
            <w:noWrap/>
            <w:vAlign w:val="center"/>
            <w:hideMark/>
          </w:tcPr>
          <w:p w14:paraId="3906FAF9"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BD6E3C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120,65%</w:t>
            </w:r>
          </w:p>
        </w:tc>
        <w:tc>
          <w:tcPr>
            <w:tcW w:w="222" w:type="dxa"/>
            <w:tcBorders>
              <w:top w:val="nil"/>
              <w:left w:val="nil"/>
              <w:bottom w:val="nil"/>
              <w:right w:val="nil"/>
            </w:tcBorders>
            <w:shd w:val="clear" w:color="auto" w:fill="auto"/>
            <w:noWrap/>
            <w:vAlign w:val="center"/>
            <w:hideMark/>
          </w:tcPr>
          <w:p w14:paraId="5DEDCB92"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6A77E4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94,03%</w:t>
            </w:r>
          </w:p>
        </w:tc>
        <w:tc>
          <w:tcPr>
            <w:tcW w:w="222" w:type="dxa"/>
            <w:tcBorders>
              <w:top w:val="nil"/>
              <w:left w:val="nil"/>
              <w:bottom w:val="nil"/>
              <w:right w:val="nil"/>
            </w:tcBorders>
            <w:shd w:val="clear" w:color="auto" w:fill="auto"/>
            <w:noWrap/>
            <w:vAlign w:val="center"/>
            <w:hideMark/>
          </w:tcPr>
          <w:p w14:paraId="62A516C7"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267C31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99,89%</w:t>
            </w:r>
          </w:p>
        </w:tc>
        <w:tc>
          <w:tcPr>
            <w:tcW w:w="222" w:type="dxa"/>
            <w:tcBorders>
              <w:top w:val="nil"/>
              <w:left w:val="nil"/>
              <w:bottom w:val="nil"/>
              <w:right w:val="nil"/>
            </w:tcBorders>
            <w:shd w:val="clear" w:color="auto" w:fill="auto"/>
            <w:noWrap/>
            <w:vAlign w:val="center"/>
            <w:hideMark/>
          </w:tcPr>
          <w:p w14:paraId="11B3E0F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3CC9F93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143,</w:t>
            </w:r>
            <w:r w:rsidRPr="00AE4E8D">
              <w:rPr>
                <w:rFonts w:ascii="Times New Roman" w:hAnsi="Times New Roman"/>
                <w:color w:val="000000"/>
                <w:sz w:val="16"/>
                <w:szCs w:val="16"/>
                <w:lang w:val="es-ES"/>
              </w:rPr>
              <w:t>96</w:t>
            </w:r>
            <w:r w:rsidRPr="00AE4E8D">
              <w:rPr>
                <w:rFonts w:ascii="Times New Roman" w:hAnsi="Times New Roman"/>
                <w:color w:val="000000"/>
                <w:sz w:val="16"/>
                <w:lang w:val="es-ES"/>
              </w:rPr>
              <w:t>%</w:t>
            </w:r>
          </w:p>
        </w:tc>
        <w:tc>
          <w:tcPr>
            <w:tcW w:w="222" w:type="dxa"/>
            <w:tcBorders>
              <w:top w:val="nil"/>
              <w:left w:val="nil"/>
              <w:bottom w:val="nil"/>
              <w:right w:val="nil"/>
            </w:tcBorders>
            <w:shd w:val="clear" w:color="auto" w:fill="auto"/>
            <w:noWrap/>
            <w:vAlign w:val="bottom"/>
            <w:hideMark/>
          </w:tcPr>
          <w:p w14:paraId="2B6B51A8"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F287239"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124,19%</w:t>
            </w:r>
          </w:p>
        </w:tc>
        <w:tc>
          <w:tcPr>
            <w:tcW w:w="256" w:type="dxa"/>
            <w:tcBorders>
              <w:top w:val="nil"/>
              <w:left w:val="nil"/>
              <w:bottom w:val="nil"/>
              <w:right w:val="nil"/>
            </w:tcBorders>
            <w:shd w:val="clear" w:color="auto" w:fill="auto"/>
            <w:noWrap/>
            <w:vAlign w:val="bottom"/>
          </w:tcPr>
          <w:p w14:paraId="5DB2C687"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2E77105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157,62%</w:t>
            </w:r>
          </w:p>
        </w:tc>
      </w:tr>
      <w:tr w:rsidR="003B5193" w:rsidRPr="00AE4E8D" w14:paraId="0AB86147" w14:textId="77777777" w:rsidTr="00E8320E">
        <w:trPr>
          <w:trHeight w:val="264"/>
          <w:jc w:val="center"/>
        </w:trPr>
        <w:tc>
          <w:tcPr>
            <w:tcW w:w="2694" w:type="dxa"/>
            <w:tcBorders>
              <w:top w:val="nil"/>
              <w:left w:val="nil"/>
              <w:bottom w:val="nil"/>
              <w:right w:val="nil"/>
            </w:tcBorders>
            <w:shd w:val="clear" w:color="auto" w:fill="auto"/>
            <w:vAlign w:val="center"/>
            <w:hideMark/>
          </w:tcPr>
          <w:p w14:paraId="48871EA3" w14:textId="77777777" w:rsidR="005C363D" w:rsidRPr="00AE4E8D" w:rsidRDefault="005C363D" w:rsidP="00E8320E">
            <w:pPr>
              <w:rPr>
                <w:rFonts w:ascii="Times New Roman" w:hAnsi="Times New Roman"/>
                <w:b/>
                <w:color w:val="000000"/>
                <w:sz w:val="16"/>
                <w:lang w:val="es-ES"/>
              </w:rPr>
            </w:pPr>
            <w:r w:rsidRPr="00AE4E8D">
              <w:rPr>
                <w:rFonts w:ascii="Times New Roman" w:hAnsi="Times New Roman"/>
                <w:b/>
                <w:color w:val="000000"/>
                <w:sz w:val="16"/>
                <w:lang w:val="es-ES"/>
              </w:rPr>
              <w:t>Calidad de Cartera</w:t>
            </w:r>
          </w:p>
        </w:tc>
        <w:tc>
          <w:tcPr>
            <w:tcW w:w="790" w:type="dxa"/>
            <w:tcBorders>
              <w:top w:val="nil"/>
              <w:left w:val="nil"/>
              <w:bottom w:val="nil"/>
              <w:right w:val="nil"/>
            </w:tcBorders>
            <w:shd w:val="clear" w:color="auto" w:fill="auto"/>
            <w:noWrap/>
            <w:vAlign w:val="center"/>
            <w:hideMark/>
          </w:tcPr>
          <w:p w14:paraId="02AF3E84"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17FE05A1"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72AA366"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09CB2320"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10F3666"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4FA6D499"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E36E0DA"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2A5CDAEC"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47474D66"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15712EB4"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32197167" w14:textId="77777777" w:rsidR="005C363D" w:rsidRPr="00AE4E8D" w:rsidRDefault="005C363D"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1520573C"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14BF51F8" w14:textId="77777777" w:rsidR="005C363D" w:rsidRPr="00AE4E8D" w:rsidRDefault="005C363D" w:rsidP="00E8320E">
            <w:pPr>
              <w:rPr>
                <w:rFonts w:ascii="Times New Roman" w:hAnsi="Times New Roman"/>
                <w:color w:val="000000"/>
                <w:sz w:val="16"/>
                <w:lang w:val="es-ES"/>
              </w:rPr>
            </w:pPr>
          </w:p>
        </w:tc>
      </w:tr>
      <w:tr w:rsidR="003B5193" w:rsidRPr="00AE4E8D" w14:paraId="61A41F19" w14:textId="77777777" w:rsidTr="00E8320E">
        <w:trPr>
          <w:trHeight w:val="264"/>
          <w:jc w:val="center"/>
        </w:trPr>
        <w:tc>
          <w:tcPr>
            <w:tcW w:w="2694" w:type="dxa"/>
            <w:tcBorders>
              <w:top w:val="nil"/>
              <w:left w:val="nil"/>
              <w:bottom w:val="nil"/>
              <w:right w:val="nil"/>
            </w:tcBorders>
            <w:shd w:val="clear" w:color="auto" w:fill="auto"/>
            <w:vAlign w:val="center"/>
            <w:hideMark/>
          </w:tcPr>
          <w:p w14:paraId="5E788D86"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Préstamos en situación irregular como % de préstamos totales </w:t>
            </w:r>
          </w:p>
        </w:tc>
        <w:tc>
          <w:tcPr>
            <w:tcW w:w="790" w:type="dxa"/>
            <w:tcBorders>
              <w:top w:val="nil"/>
              <w:left w:val="nil"/>
              <w:bottom w:val="nil"/>
              <w:right w:val="nil"/>
            </w:tcBorders>
            <w:shd w:val="clear" w:color="auto" w:fill="auto"/>
            <w:noWrap/>
            <w:vAlign w:val="center"/>
            <w:hideMark/>
          </w:tcPr>
          <w:p w14:paraId="51DA386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2,31%</w:t>
            </w:r>
          </w:p>
        </w:tc>
        <w:tc>
          <w:tcPr>
            <w:tcW w:w="222" w:type="dxa"/>
            <w:tcBorders>
              <w:top w:val="nil"/>
              <w:left w:val="nil"/>
              <w:bottom w:val="nil"/>
              <w:right w:val="nil"/>
            </w:tcBorders>
            <w:shd w:val="clear" w:color="auto" w:fill="auto"/>
            <w:noWrap/>
            <w:vAlign w:val="center"/>
            <w:hideMark/>
          </w:tcPr>
          <w:p w14:paraId="3BB1ADE4"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A68D6B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2,17%</w:t>
            </w:r>
          </w:p>
        </w:tc>
        <w:tc>
          <w:tcPr>
            <w:tcW w:w="222" w:type="dxa"/>
            <w:tcBorders>
              <w:top w:val="nil"/>
              <w:left w:val="nil"/>
              <w:bottom w:val="nil"/>
              <w:right w:val="nil"/>
            </w:tcBorders>
            <w:shd w:val="clear" w:color="auto" w:fill="auto"/>
            <w:noWrap/>
            <w:vAlign w:val="center"/>
            <w:hideMark/>
          </w:tcPr>
          <w:p w14:paraId="130166D3"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7D25F4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2,34%</w:t>
            </w:r>
          </w:p>
        </w:tc>
        <w:tc>
          <w:tcPr>
            <w:tcW w:w="222" w:type="dxa"/>
            <w:tcBorders>
              <w:top w:val="nil"/>
              <w:left w:val="nil"/>
              <w:bottom w:val="nil"/>
              <w:right w:val="nil"/>
            </w:tcBorders>
            <w:shd w:val="clear" w:color="auto" w:fill="auto"/>
            <w:noWrap/>
            <w:vAlign w:val="center"/>
            <w:hideMark/>
          </w:tcPr>
          <w:p w14:paraId="1C9F051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B92D6F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1,98%</w:t>
            </w:r>
          </w:p>
        </w:tc>
        <w:tc>
          <w:tcPr>
            <w:tcW w:w="222" w:type="dxa"/>
            <w:tcBorders>
              <w:top w:val="nil"/>
              <w:left w:val="nil"/>
              <w:bottom w:val="nil"/>
              <w:right w:val="nil"/>
            </w:tcBorders>
            <w:shd w:val="clear" w:color="auto" w:fill="auto"/>
            <w:noWrap/>
            <w:vAlign w:val="center"/>
            <w:hideMark/>
          </w:tcPr>
          <w:p w14:paraId="6B4E7203"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3B78CF9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2,66%</w:t>
            </w:r>
          </w:p>
        </w:tc>
        <w:tc>
          <w:tcPr>
            <w:tcW w:w="222" w:type="dxa"/>
            <w:tcBorders>
              <w:top w:val="nil"/>
              <w:left w:val="nil"/>
              <w:bottom w:val="nil"/>
              <w:right w:val="nil"/>
            </w:tcBorders>
            <w:shd w:val="clear" w:color="auto" w:fill="auto"/>
            <w:noWrap/>
            <w:vAlign w:val="bottom"/>
            <w:hideMark/>
          </w:tcPr>
          <w:p w14:paraId="24C04F96"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00B9F9C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2,13%</w:t>
            </w:r>
          </w:p>
        </w:tc>
        <w:tc>
          <w:tcPr>
            <w:tcW w:w="256" w:type="dxa"/>
            <w:tcBorders>
              <w:top w:val="nil"/>
              <w:left w:val="nil"/>
              <w:bottom w:val="nil"/>
              <w:right w:val="nil"/>
            </w:tcBorders>
            <w:shd w:val="clear" w:color="auto" w:fill="auto"/>
            <w:noWrap/>
            <w:vAlign w:val="bottom"/>
          </w:tcPr>
          <w:p w14:paraId="79AFD0F5"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68F03167"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2,94%</w:t>
            </w:r>
          </w:p>
        </w:tc>
      </w:tr>
      <w:tr w:rsidR="003B5193" w:rsidRPr="00AE4E8D" w14:paraId="12122423" w14:textId="77777777" w:rsidTr="00E8320E">
        <w:trPr>
          <w:trHeight w:val="340"/>
          <w:jc w:val="center"/>
        </w:trPr>
        <w:tc>
          <w:tcPr>
            <w:tcW w:w="2694" w:type="dxa"/>
            <w:tcBorders>
              <w:top w:val="nil"/>
              <w:left w:val="nil"/>
              <w:bottom w:val="nil"/>
              <w:right w:val="nil"/>
            </w:tcBorders>
            <w:shd w:val="clear" w:color="auto" w:fill="auto"/>
            <w:vAlign w:val="center"/>
            <w:hideMark/>
          </w:tcPr>
          <w:p w14:paraId="7049E463"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Préstamos de consumo en situación irregular como % de préstamos de consumo totales (10) </w:t>
            </w:r>
          </w:p>
        </w:tc>
        <w:tc>
          <w:tcPr>
            <w:tcW w:w="790" w:type="dxa"/>
            <w:tcBorders>
              <w:top w:val="nil"/>
              <w:left w:val="nil"/>
              <w:bottom w:val="nil"/>
              <w:right w:val="nil"/>
            </w:tcBorders>
            <w:shd w:val="clear" w:color="auto" w:fill="auto"/>
            <w:noWrap/>
            <w:vAlign w:val="center"/>
            <w:hideMark/>
          </w:tcPr>
          <w:p w14:paraId="5DCB8FC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3,20%</w:t>
            </w:r>
          </w:p>
        </w:tc>
        <w:tc>
          <w:tcPr>
            <w:tcW w:w="222" w:type="dxa"/>
            <w:tcBorders>
              <w:top w:val="nil"/>
              <w:left w:val="nil"/>
              <w:bottom w:val="nil"/>
              <w:right w:val="nil"/>
            </w:tcBorders>
            <w:shd w:val="clear" w:color="auto" w:fill="auto"/>
            <w:noWrap/>
            <w:vAlign w:val="center"/>
            <w:hideMark/>
          </w:tcPr>
          <w:p w14:paraId="655832E3"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3A52DF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3,15%</w:t>
            </w:r>
          </w:p>
        </w:tc>
        <w:tc>
          <w:tcPr>
            <w:tcW w:w="222" w:type="dxa"/>
            <w:tcBorders>
              <w:top w:val="nil"/>
              <w:left w:val="nil"/>
              <w:bottom w:val="nil"/>
              <w:right w:val="nil"/>
            </w:tcBorders>
            <w:shd w:val="clear" w:color="auto" w:fill="auto"/>
            <w:noWrap/>
            <w:vAlign w:val="center"/>
            <w:hideMark/>
          </w:tcPr>
          <w:p w14:paraId="72E248F4"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E15B71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3,41%</w:t>
            </w:r>
          </w:p>
        </w:tc>
        <w:tc>
          <w:tcPr>
            <w:tcW w:w="222" w:type="dxa"/>
            <w:tcBorders>
              <w:top w:val="nil"/>
              <w:left w:val="nil"/>
              <w:bottom w:val="nil"/>
              <w:right w:val="nil"/>
            </w:tcBorders>
            <w:shd w:val="clear" w:color="auto" w:fill="auto"/>
            <w:noWrap/>
            <w:vAlign w:val="center"/>
            <w:hideMark/>
          </w:tcPr>
          <w:p w14:paraId="521EEB1D"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72EA31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2,58%</w:t>
            </w:r>
          </w:p>
        </w:tc>
        <w:tc>
          <w:tcPr>
            <w:tcW w:w="222" w:type="dxa"/>
            <w:tcBorders>
              <w:top w:val="nil"/>
              <w:left w:val="nil"/>
              <w:bottom w:val="nil"/>
              <w:right w:val="nil"/>
            </w:tcBorders>
            <w:shd w:val="clear" w:color="auto" w:fill="auto"/>
            <w:noWrap/>
            <w:vAlign w:val="center"/>
            <w:hideMark/>
          </w:tcPr>
          <w:p w14:paraId="23324307"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A422F7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3,78%</w:t>
            </w:r>
          </w:p>
        </w:tc>
        <w:tc>
          <w:tcPr>
            <w:tcW w:w="222" w:type="dxa"/>
            <w:tcBorders>
              <w:top w:val="nil"/>
              <w:left w:val="nil"/>
              <w:bottom w:val="nil"/>
              <w:right w:val="nil"/>
            </w:tcBorders>
            <w:shd w:val="clear" w:color="auto" w:fill="auto"/>
            <w:noWrap/>
            <w:vAlign w:val="bottom"/>
            <w:hideMark/>
          </w:tcPr>
          <w:p w14:paraId="38230254"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321D292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3,05%</w:t>
            </w:r>
          </w:p>
        </w:tc>
        <w:tc>
          <w:tcPr>
            <w:tcW w:w="256" w:type="dxa"/>
            <w:tcBorders>
              <w:top w:val="nil"/>
              <w:left w:val="nil"/>
              <w:bottom w:val="nil"/>
              <w:right w:val="nil"/>
            </w:tcBorders>
            <w:shd w:val="clear" w:color="auto" w:fill="auto"/>
            <w:noWrap/>
            <w:vAlign w:val="bottom"/>
          </w:tcPr>
          <w:p w14:paraId="23C0B8CD"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337E5F1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4,42%</w:t>
            </w:r>
          </w:p>
        </w:tc>
      </w:tr>
      <w:tr w:rsidR="003B5193" w:rsidRPr="00AE4E8D" w14:paraId="49418651" w14:textId="77777777" w:rsidTr="00E8320E">
        <w:trPr>
          <w:trHeight w:val="340"/>
          <w:jc w:val="center"/>
        </w:trPr>
        <w:tc>
          <w:tcPr>
            <w:tcW w:w="2694" w:type="dxa"/>
            <w:tcBorders>
              <w:top w:val="nil"/>
              <w:left w:val="nil"/>
              <w:bottom w:val="nil"/>
              <w:right w:val="nil"/>
            </w:tcBorders>
            <w:shd w:val="clear" w:color="auto" w:fill="auto"/>
            <w:vAlign w:val="center"/>
            <w:hideMark/>
          </w:tcPr>
          <w:p w14:paraId="5D010A16"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Préstamos comerciales en situación irregular como % de préstamos comerciales totales (11) </w:t>
            </w:r>
          </w:p>
        </w:tc>
        <w:tc>
          <w:tcPr>
            <w:tcW w:w="790" w:type="dxa"/>
            <w:tcBorders>
              <w:top w:val="nil"/>
              <w:left w:val="nil"/>
              <w:bottom w:val="nil"/>
              <w:right w:val="nil"/>
            </w:tcBorders>
            <w:shd w:val="clear" w:color="auto" w:fill="auto"/>
            <w:noWrap/>
            <w:vAlign w:val="center"/>
            <w:hideMark/>
          </w:tcPr>
          <w:p w14:paraId="0BECD0C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0,57%</w:t>
            </w:r>
          </w:p>
        </w:tc>
        <w:tc>
          <w:tcPr>
            <w:tcW w:w="222" w:type="dxa"/>
            <w:tcBorders>
              <w:top w:val="nil"/>
              <w:left w:val="nil"/>
              <w:bottom w:val="nil"/>
              <w:right w:val="nil"/>
            </w:tcBorders>
            <w:shd w:val="clear" w:color="auto" w:fill="auto"/>
            <w:noWrap/>
            <w:vAlign w:val="center"/>
            <w:hideMark/>
          </w:tcPr>
          <w:p w14:paraId="171118AA"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5EBED1B"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0,51%</w:t>
            </w:r>
          </w:p>
        </w:tc>
        <w:tc>
          <w:tcPr>
            <w:tcW w:w="222" w:type="dxa"/>
            <w:tcBorders>
              <w:top w:val="nil"/>
              <w:left w:val="nil"/>
              <w:bottom w:val="nil"/>
              <w:right w:val="nil"/>
            </w:tcBorders>
            <w:shd w:val="clear" w:color="auto" w:fill="auto"/>
            <w:noWrap/>
            <w:vAlign w:val="center"/>
            <w:hideMark/>
          </w:tcPr>
          <w:p w14:paraId="46F3D2E4"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2EE4382"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0,58%</w:t>
            </w:r>
          </w:p>
        </w:tc>
        <w:tc>
          <w:tcPr>
            <w:tcW w:w="222" w:type="dxa"/>
            <w:tcBorders>
              <w:top w:val="nil"/>
              <w:left w:val="nil"/>
              <w:bottom w:val="nil"/>
              <w:right w:val="nil"/>
            </w:tcBorders>
            <w:shd w:val="clear" w:color="auto" w:fill="auto"/>
            <w:noWrap/>
            <w:vAlign w:val="center"/>
            <w:hideMark/>
          </w:tcPr>
          <w:p w14:paraId="59A07B10"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C9DEE6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0,67%</w:t>
            </w:r>
          </w:p>
        </w:tc>
        <w:tc>
          <w:tcPr>
            <w:tcW w:w="222" w:type="dxa"/>
            <w:tcBorders>
              <w:top w:val="nil"/>
              <w:left w:val="nil"/>
              <w:bottom w:val="nil"/>
              <w:right w:val="nil"/>
            </w:tcBorders>
            <w:shd w:val="clear" w:color="auto" w:fill="auto"/>
            <w:noWrap/>
            <w:vAlign w:val="center"/>
            <w:hideMark/>
          </w:tcPr>
          <w:p w14:paraId="51D0AEBA"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4DCBFB6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0,25%</w:t>
            </w:r>
          </w:p>
        </w:tc>
        <w:tc>
          <w:tcPr>
            <w:tcW w:w="222" w:type="dxa"/>
            <w:tcBorders>
              <w:top w:val="nil"/>
              <w:left w:val="nil"/>
              <w:bottom w:val="nil"/>
              <w:right w:val="nil"/>
            </w:tcBorders>
            <w:shd w:val="clear" w:color="auto" w:fill="auto"/>
            <w:noWrap/>
            <w:vAlign w:val="bottom"/>
            <w:hideMark/>
          </w:tcPr>
          <w:p w14:paraId="25784C20"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130D39D3"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0,28%</w:t>
            </w:r>
          </w:p>
        </w:tc>
        <w:tc>
          <w:tcPr>
            <w:tcW w:w="256" w:type="dxa"/>
            <w:tcBorders>
              <w:top w:val="nil"/>
              <w:left w:val="nil"/>
              <w:bottom w:val="nil"/>
              <w:right w:val="nil"/>
            </w:tcBorders>
            <w:shd w:val="clear" w:color="auto" w:fill="auto"/>
            <w:noWrap/>
            <w:vAlign w:val="bottom"/>
          </w:tcPr>
          <w:p w14:paraId="7D701117"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4F4C9D7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0,08%</w:t>
            </w:r>
          </w:p>
        </w:tc>
      </w:tr>
      <w:tr w:rsidR="003B5193" w:rsidRPr="00AE4E8D" w14:paraId="27E79624" w14:textId="77777777" w:rsidTr="00E8320E">
        <w:trPr>
          <w:trHeight w:val="264"/>
          <w:jc w:val="center"/>
        </w:trPr>
        <w:tc>
          <w:tcPr>
            <w:tcW w:w="2694" w:type="dxa"/>
            <w:tcBorders>
              <w:top w:val="nil"/>
              <w:left w:val="nil"/>
              <w:bottom w:val="nil"/>
              <w:right w:val="nil"/>
            </w:tcBorders>
            <w:shd w:val="clear" w:color="auto" w:fill="auto"/>
            <w:vAlign w:val="center"/>
            <w:hideMark/>
          </w:tcPr>
          <w:p w14:paraId="71CAB215"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Previsiones como % de préstamos totales </w:t>
            </w:r>
          </w:p>
        </w:tc>
        <w:tc>
          <w:tcPr>
            <w:tcW w:w="790" w:type="dxa"/>
            <w:tcBorders>
              <w:top w:val="nil"/>
              <w:left w:val="nil"/>
              <w:bottom w:val="nil"/>
              <w:right w:val="nil"/>
            </w:tcBorders>
            <w:shd w:val="clear" w:color="auto" w:fill="auto"/>
            <w:noWrap/>
            <w:vAlign w:val="center"/>
            <w:hideMark/>
          </w:tcPr>
          <w:p w14:paraId="081EB59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2,37%</w:t>
            </w:r>
          </w:p>
        </w:tc>
        <w:tc>
          <w:tcPr>
            <w:tcW w:w="222" w:type="dxa"/>
            <w:tcBorders>
              <w:top w:val="nil"/>
              <w:left w:val="nil"/>
              <w:bottom w:val="nil"/>
              <w:right w:val="nil"/>
            </w:tcBorders>
            <w:shd w:val="clear" w:color="auto" w:fill="auto"/>
            <w:noWrap/>
            <w:vAlign w:val="center"/>
            <w:hideMark/>
          </w:tcPr>
          <w:p w14:paraId="1D29DD64"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A1F164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2,20%</w:t>
            </w:r>
          </w:p>
        </w:tc>
        <w:tc>
          <w:tcPr>
            <w:tcW w:w="222" w:type="dxa"/>
            <w:tcBorders>
              <w:top w:val="nil"/>
              <w:left w:val="nil"/>
              <w:bottom w:val="nil"/>
              <w:right w:val="nil"/>
            </w:tcBorders>
            <w:shd w:val="clear" w:color="auto" w:fill="auto"/>
            <w:noWrap/>
            <w:vAlign w:val="center"/>
            <w:hideMark/>
          </w:tcPr>
          <w:p w14:paraId="45A575A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7A08BA5"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2,24%</w:t>
            </w:r>
          </w:p>
        </w:tc>
        <w:tc>
          <w:tcPr>
            <w:tcW w:w="222" w:type="dxa"/>
            <w:tcBorders>
              <w:top w:val="nil"/>
              <w:left w:val="nil"/>
              <w:bottom w:val="nil"/>
              <w:right w:val="nil"/>
            </w:tcBorders>
            <w:shd w:val="clear" w:color="auto" w:fill="auto"/>
            <w:noWrap/>
            <w:vAlign w:val="center"/>
            <w:hideMark/>
          </w:tcPr>
          <w:p w14:paraId="651A274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762F0F8"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2,09%</w:t>
            </w:r>
          </w:p>
        </w:tc>
        <w:tc>
          <w:tcPr>
            <w:tcW w:w="222" w:type="dxa"/>
            <w:tcBorders>
              <w:top w:val="nil"/>
              <w:left w:val="nil"/>
              <w:bottom w:val="nil"/>
              <w:right w:val="nil"/>
            </w:tcBorders>
            <w:shd w:val="clear" w:color="auto" w:fill="auto"/>
            <w:noWrap/>
            <w:vAlign w:val="center"/>
            <w:hideMark/>
          </w:tcPr>
          <w:p w14:paraId="69C329D1"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7F281AF4"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2,49%</w:t>
            </w:r>
          </w:p>
        </w:tc>
        <w:tc>
          <w:tcPr>
            <w:tcW w:w="222" w:type="dxa"/>
            <w:tcBorders>
              <w:top w:val="nil"/>
              <w:left w:val="nil"/>
              <w:bottom w:val="nil"/>
              <w:right w:val="nil"/>
            </w:tcBorders>
            <w:shd w:val="clear" w:color="auto" w:fill="auto"/>
            <w:noWrap/>
            <w:vAlign w:val="bottom"/>
            <w:hideMark/>
          </w:tcPr>
          <w:p w14:paraId="409EEF49"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2C4EAC0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2,12%</w:t>
            </w:r>
          </w:p>
        </w:tc>
        <w:tc>
          <w:tcPr>
            <w:tcW w:w="256" w:type="dxa"/>
            <w:tcBorders>
              <w:top w:val="nil"/>
              <w:left w:val="nil"/>
              <w:bottom w:val="nil"/>
              <w:right w:val="nil"/>
            </w:tcBorders>
            <w:shd w:val="clear" w:color="auto" w:fill="auto"/>
            <w:noWrap/>
            <w:vAlign w:val="bottom"/>
          </w:tcPr>
          <w:p w14:paraId="612B0ABF"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4B4818A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2,45%</w:t>
            </w:r>
          </w:p>
        </w:tc>
      </w:tr>
      <w:tr w:rsidR="003B5193" w:rsidRPr="00AE4E8D" w14:paraId="2A8AF248" w14:textId="77777777" w:rsidTr="00E8320E">
        <w:trPr>
          <w:trHeight w:val="264"/>
          <w:jc w:val="center"/>
        </w:trPr>
        <w:tc>
          <w:tcPr>
            <w:tcW w:w="2694" w:type="dxa"/>
            <w:tcBorders>
              <w:top w:val="nil"/>
              <w:left w:val="nil"/>
              <w:bottom w:val="nil"/>
              <w:right w:val="nil"/>
            </w:tcBorders>
            <w:shd w:val="clear" w:color="auto" w:fill="auto"/>
            <w:vAlign w:val="center"/>
            <w:hideMark/>
          </w:tcPr>
          <w:p w14:paraId="7A77AF21"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Previsiones como % de préstamos en situación irregular (12) </w:t>
            </w:r>
          </w:p>
        </w:tc>
        <w:tc>
          <w:tcPr>
            <w:tcW w:w="790" w:type="dxa"/>
            <w:tcBorders>
              <w:top w:val="nil"/>
              <w:left w:val="nil"/>
              <w:bottom w:val="nil"/>
              <w:right w:val="nil"/>
            </w:tcBorders>
            <w:shd w:val="clear" w:color="auto" w:fill="auto"/>
            <w:noWrap/>
            <w:vAlign w:val="center"/>
            <w:hideMark/>
          </w:tcPr>
          <w:p w14:paraId="5C866CD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102,64%</w:t>
            </w:r>
          </w:p>
        </w:tc>
        <w:tc>
          <w:tcPr>
            <w:tcW w:w="222" w:type="dxa"/>
            <w:tcBorders>
              <w:top w:val="nil"/>
              <w:left w:val="nil"/>
              <w:bottom w:val="nil"/>
              <w:right w:val="nil"/>
            </w:tcBorders>
            <w:shd w:val="clear" w:color="auto" w:fill="auto"/>
            <w:noWrap/>
            <w:vAlign w:val="center"/>
            <w:hideMark/>
          </w:tcPr>
          <w:p w14:paraId="2C0A44A8"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0F89EA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101,62%</w:t>
            </w:r>
          </w:p>
        </w:tc>
        <w:tc>
          <w:tcPr>
            <w:tcW w:w="222" w:type="dxa"/>
            <w:tcBorders>
              <w:top w:val="nil"/>
              <w:left w:val="nil"/>
              <w:bottom w:val="nil"/>
              <w:right w:val="nil"/>
            </w:tcBorders>
            <w:shd w:val="clear" w:color="auto" w:fill="auto"/>
            <w:noWrap/>
            <w:vAlign w:val="center"/>
            <w:hideMark/>
          </w:tcPr>
          <w:p w14:paraId="7CEA1F70"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CC4F82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95,89%</w:t>
            </w:r>
          </w:p>
        </w:tc>
        <w:tc>
          <w:tcPr>
            <w:tcW w:w="222" w:type="dxa"/>
            <w:tcBorders>
              <w:top w:val="nil"/>
              <w:left w:val="nil"/>
              <w:bottom w:val="nil"/>
              <w:right w:val="nil"/>
            </w:tcBorders>
            <w:shd w:val="clear" w:color="auto" w:fill="auto"/>
            <w:noWrap/>
            <w:vAlign w:val="center"/>
            <w:hideMark/>
          </w:tcPr>
          <w:p w14:paraId="6B71FD83"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F176DA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105,84%</w:t>
            </w:r>
          </w:p>
        </w:tc>
        <w:tc>
          <w:tcPr>
            <w:tcW w:w="222" w:type="dxa"/>
            <w:tcBorders>
              <w:top w:val="nil"/>
              <w:left w:val="nil"/>
              <w:bottom w:val="nil"/>
              <w:right w:val="nil"/>
            </w:tcBorders>
            <w:shd w:val="clear" w:color="auto" w:fill="auto"/>
            <w:noWrap/>
            <w:vAlign w:val="center"/>
            <w:hideMark/>
          </w:tcPr>
          <w:p w14:paraId="10D631E1"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04443D8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89,19%</w:t>
            </w:r>
          </w:p>
        </w:tc>
        <w:tc>
          <w:tcPr>
            <w:tcW w:w="222" w:type="dxa"/>
            <w:tcBorders>
              <w:top w:val="nil"/>
              <w:left w:val="nil"/>
              <w:bottom w:val="nil"/>
              <w:right w:val="nil"/>
            </w:tcBorders>
            <w:shd w:val="clear" w:color="auto" w:fill="auto"/>
            <w:noWrap/>
            <w:vAlign w:val="bottom"/>
            <w:hideMark/>
          </w:tcPr>
          <w:p w14:paraId="48F97E78"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2675A94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99,58%</w:t>
            </w:r>
          </w:p>
        </w:tc>
        <w:tc>
          <w:tcPr>
            <w:tcW w:w="256" w:type="dxa"/>
            <w:tcBorders>
              <w:top w:val="nil"/>
              <w:left w:val="nil"/>
              <w:bottom w:val="nil"/>
              <w:right w:val="nil"/>
            </w:tcBorders>
            <w:shd w:val="clear" w:color="auto" w:fill="auto"/>
            <w:noWrap/>
            <w:vAlign w:val="bottom"/>
          </w:tcPr>
          <w:p w14:paraId="0AEC8B13"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2FA00FC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83,22%</w:t>
            </w:r>
          </w:p>
        </w:tc>
      </w:tr>
      <w:tr w:rsidR="003B5193" w:rsidRPr="00AE4E8D" w14:paraId="1E8C27F2" w14:textId="77777777" w:rsidTr="00E8320E">
        <w:trPr>
          <w:trHeight w:val="264"/>
          <w:jc w:val="center"/>
        </w:trPr>
        <w:tc>
          <w:tcPr>
            <w:tcW w:w="2694" w:type="dxa"/>
            <w:tcBorders>
              <w:top w:val="nil"/>
              <w:left w:val="nil"/>
              <w:bottom w:val="nil"/>
              <w:right w:val="nil"/>
            </w:tcBorders>
            <w:shd w:val="clear" w:color="auto" w:fill="auto"/>
            <w:vAlign w:val="center"/>
            <w:hideMark/>
          </w:tcPr>
          <w:p w14:paraId="2F7D8096" w14:textId="77777777" w:rsidR="005C363D" w:rsidRPr="00AE4E8D" w:rsidRDefault="005C363D" w:rsidP="00E8320E">
            <w:pPr>
              <w:rPr>
                <w:rFonts w:ascii="Times New Roman" w:hAnsi="Times New Roman"/>
                <w:b/>
                <w:color w:val="000000"/>
                <w:sz w:val="16"/>
                <w:lang w:val="es-ES"/>
              </w:rPr>
            </w:pPr>
            <w:r w:rsidRPr="00AE4E8D">
              <w:rPr>
                <w:rFonts w:ascii="Times New Roman" w:hAnsi="Times New Roman"/>
                <w:b/>
                <w:color w:val="000000"/>
                <w:sz w:val="16"/>
                <w:lang w:val="es-ES"/>
              </w:rPr>
              <w:t>INFORMACIÓN ADICIONAL</w:t>
            </w:r>
          </w:p>
        </w:tc>
        <w:tc>
          <w:tcPr>
            <w:tcW w:w="790" w:type="dxa"/>
            <w:tcBorders>
              <w:top w:val="nil"/>
              <w:left w:val="nil"/>
              <w:bottom w:val="nil"/>
              <w:right w:val="nil"/>
            </w:tcBorders>
            <w:shd w:val="clear" w:color="auto" w:fill="auto"/>
            <w:noWrap/>
            <w:vAlign w:val="center"/>
            <w:hideMark/>
          </w:tcPr>
          <w:p w14:paraId="7CBAB874"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224342AA"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9612570"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EE5FD92"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83DB99C"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43065AFB"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5DD29B2"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0957BA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31B6E99A"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512C8AB1"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34D188A9" w14:textId="77777777" w:rsidR="005C363D" w:rsidRPr="00AE4E8D" w:rsidRDefault="005C363D"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6574857F"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42324BA1" w14:textId="77777777" w:rsidR="005C363D" w:rsidRPr="00AE4E8D" w:rsidRDefault="005C363D" w:rsidP="00E8320E">
            <w:pPr>
              <w:rPr>
                <w:rFonts w:ascii="Times New Roman" w:hAnsi="Times New Roman"/>
                <w:color w:val="000000"/>
                <w:sz w:val="16"/>
                <w:lang w:val="es-ES"/>
              </w:rPr>
            </w:pPr>
          </w:p>
        </w:tc>
      </w:tr>
      <w:tr w:rsidR="003B5193" w:rsidRPr="00AE4E8D" w14:paraId="086EDA1A" w14:textId="77777777" w:rsidTr="00E8320E">
        <w:trPr>
          <w:trHeight w:val="264"/>
          <w:jc w:val="center"/>
        </w:trPr>
        <w:tc>
          <w:tcPr>
            <w:tcW w:w="2694" w:type="dxa"/>
            <w:tcBorders>
              <w:top w:val="nil"/>
              <w:left w:val="nil"/>
              <w:bottom w:val="nil"/>
              <w:right w:val="nil"/>
            </w:tcBorders>
            <w:shd w:val="clear" w:color="auto" w:fill="auto"/>
            <w:vAlign w:val="center"/>
            <w:hideMark/>
          </w:tcPr>
          <w:p w14:paraId="01E53B32" w14:textId="77777777" w:rsidR="005C363D" w:rsidRPr="00AE4E8D" w:rsidRDefault="005C363D" w:rsidP="00E8320E">
            <w:pPr>
              <w:rPr>
                <w:rFonts w:ascii="Times New Roman" w:hAnsi="Times New Roman"/>
                <w:b/>
                <w:color w:val="000000"/>
                <w:sz w:val="16"/>
                <w:lang w:val="es-ES"/>
              </w:rPr>
            </w:pPr>
            <w:r w:rsidRPr="00AE4E8D">
              <w:rPr>
                <w:rFonts w:ascii="Times New Roman" w:hAnsi="Times New Roman"/>
                <w:b/>
                <w:color w:val="000000"/>
                <w:sz w:val="16"/>
                <w:lang w:val="es-ES"/>
              </w:rPr>
              <w:t>Operaciones</w:t>
            </w:r>
          </w:p>
        </w:tc>
        <w:tc>
          <w:tcPr>
            <w:tcW w:w="790" w:type="dxa"/>
            <w:tcBorders>
              <w:top w:val="nil"/>
              <w:left w:val="nil"/>
              <w:bottom w:val="nil"/>
              <w:right w:val="nil"/>
            </w:tcBorders>
            <w:shd w:val="clear" w:color="auto" w:fill="auto"/>
            <w:noWrap/>
            <w:vAlign w:val="center"/>
            <w:hideMark/>
          </w:tcPr>
          <w:p w14:paraId="521C9D31"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2EC74B34"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E9CD1AC"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51248DC6"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25FBA0D"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2D714563"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D7FB770"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57AD37AD"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2B3DC895" w14:textId="77777777" w:rsidR="005C363D" w:rsidRPr="00AE4E8D" w:rsidRDefault="005C363D"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7C44C2B5"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74EE9E00" w14:textId="77777777" w:rsidR="005C363D" w:rsidRPr="00AE4E8D" w:rsidRDefault="005C363D"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013056C5"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367D8548" w14:textId="77777777" w:rsidR="005C363D" w:rsidRPr="00AE4E8D" w:rsidRDefault="005C363D" w:rsidP="00E8320E">
            <w:pPr>
              <w:rPr>
                <w:rFonts w:ascii="Times New Roman" w:hAnsi="Times New Roman"/>
                <w:color w:val="000000"/>
                <w:sz w:val="16"/>
                <w:lang w:val="es-ES"/>
              </w:rPr>
            </w:pPr>
          </w:p>
        </w:tc>
      </w:tr>
      <w:tr w:rsidR="003B5193" w:rsidRPr="00AE4E8D" w14:paraId="088838DE" w14:textId="77777777" w:rsidTr="00E8320E">
        <w:trPr>
          <w:trHeight w:val="264"/>
          <w:jc w:val="center"/>
        </w:trPr>
        <w:tc>
          <w:tcPr>
            <w:tcW w:w="2694" w:type="dxa"/>
            <w:tcBorders>
              <w:top w:val="nil"/>
              <w:left w:val="nil"/>
              <w:bottom w:val="nil"/>
              <w:right w:val="nil"/>
            </w:tcBorders>
            <w:shd w:val="clear" w:color="auto" w:fill="auto"/>
            <w:vAlign w:val="center"/>
            <w:hideMark/>
          </w:tcPr>
          <w:p w14:paraId="1FB1C634"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Cantidad de sucursales </w:t>
            </w:r>
          </w:p>
        </w:tc>
        <w:tc>
          <w:tcPr>
            <w:tcW w:w="790" w:type="dxa"/>
            <w:tcBorders>
              <w:top w:val="nil"/>
              <w:left w:val="nil"/>
              <w:bottom w:val="nil"/>
              <w:right w:val="nil"/>
            </w:tcBorders>
            <w:shd w:val="clear" w:color="auto" w:fill="auto"/>
            <w:vAlign w:val="center"/>
            <w:hideMark/>
          </w:tcPr>
          <w:p w14:paraId="020D798F"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55</w:t>
            </w:r>
          </w:p>
        </w:tc>
        <w:tc>
          <w:tcPr>
            <w:tcW w:w="222" w:type="dxa"/>
            <w:tcBorders>
              <w:top w:val="nil"/>
              <w:left w:val="nil"/>
              <w:bottom w:val="nil"/>
              <w:right w:val="nil"/>
            </w:tcBorders>
            <w:shd w:val="clear" w:color="auto" w:fill="auto"/>
            <w:noWrap/>
            <w:vAlign w:val="center"/>
            <w:hideMark/>
          </w:tcPr>
          <w:p w14:paraId="59FD0D0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BEAD57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60</w:t>
            </w:r>
          </w:p>
        </w:tc>
        <w:tc>
          <w:tcPr>
            <w:tcW w:w="222" w:type="dxa"/>
            <w:tcBorders>
              <w:top w:val="nil"/>
              <w:left w:val="nil"/>
              <w:bottom w:val="nil"/>
              <w:right w:val="nil"/>
            </w:tcBorders>
            <w:shd w:val="clear" w:color="auto" w:fill="auto"/>
            <w:noWrap/>
            <w:vAlign w:val="center"/>
            <w:hideMark/>
          </w:tcPr>
          <w:p w14:paraId="5B0B0420"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0AA22A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60</w:t>
            </w:r>
          </w:p>
        </w:tc>
        <w:tc>
          <w:tcPr>
            <w:tcW w:w="222" w:type="dxa"/>
            <w:tcBorders>
              <w:top w:val="nil"/>
              <w:left w:val="nil"/>
              <w:bottom w:val="nil"/>
              <w:right w:val="nil"/>
            </w:tcBorders>
            <w:shd w:val="clear" w:color="auto" w:fill="auto"/>
            <w:noWrap/>
            <w:vAlign w:val="center"/>
            <w:hideMark/>
          </w:tcPr>
          <w:p w14:paraId="2A014BFF"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0ECD46D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62</w:t>
            </w:r>
          </w:p>
        </w:tc>
        <w:tc>
          <w:tcPr>
            <w:tcW w:w="222" w:type="dxa"/>
            <w:tcBorders>
              <w:top w:val="nil"/>
              <w:left w:val="nil"/>
              <w:bottom w:val="nil"/>
              <w:right w:val="nil"/>
            </w:tcBorders>
            <w:shd w:val="clear" w:color="auto" w:fill="auto"/>
            <w:noWrap/>
            <w:vAlign w:val="center"/>
            <w:hideMark/>
          </w:tcPr>
          <w:p w14:paraId="74243BDD"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2D19743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65</w:t>
            </w:r>
          </w:p>
        </w:tc>
        <w:tc>
          <w:tcPr>
            <w:tcW w:w="222" w:type="dxa"/>
            <w:tcBorders>
              <w:top w:val="nil"/>
              <w:left w:val="nil"/>
              <w:bottom w:val="nil"/>
              <w:right w:val="nil"/>
            </w:tcBorders>
            <w:shd w:val="clear" w:color="auto" w:fill="auto"/>
            <w:noWrap/>
            <w:vAlign w:val="bottom"/>
            <w:hideMark/>
          </w:tcPr>
          <w:p w14:paraId="448D11D1"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vAlign w:val="center"/>
          </w:tcPr>
          <w:p w14:paraId="72F1479A"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62</w:t>
            </w:r>
          </w:p>
        </w:tc>
        <w:tc>
          <w:tcPr>
            <w:tcW w:w="256" w:type="dxa"/>
            <w:tcBorders>
              <w:top w:val="nil"/>
              <w:left w:val="nil"/>
              <w:bottom w:val="nil"/>
              <w:right w:val="nil"/>
            </w:tcBorders>
            <w:shd w:val="clear" w:color="auto" w:fill="auto"/>
            <w:noWrap/>
            <w:vAlign w:val="bottom"/>
          </w:tcPr>
          <w:p w14:paraId="2D54E67E"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vAlign w:val="center"/>
          </w:tcPr>
          <w:p w14:paraId="2D1B39E1"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65</w:t>
            </w:r>
          </w:p>
        </w:tc>
      </w:tr>
      <w:tr w:rsidR="003B5193" w:rsidRPr="00AE4E8D" w14:paraId="2033CE25" w14:textId="77777777" w:rsidTr="00E8320E">
        <w:trPr>
          <w:trHeight w:val="264"/>
          <w:jc w:val="center"/>
        </w:trPr>
        <w:tc>
          <w:tcPr>
            <w:tcW w:w="2694" w:type="dxa"/>
            <w:tcBorders>
              <w:top w:val="nil"/>
              <w:left w:val="nil"/>
              <w:bottom w:val="nil"/>
              <w:right w:val="nil"/>
            </w:tcBorders>
            <w:shd w:val="clear" w:color="auto" w:fill="auto"/>
            <w:vAlign w:val="center"/>
            <w:hideMark/>
          </w:tcPr>
          <w:p w14:paraId="6CFA651A" w14:textId="77777777" w:rsidR="005C363D" w:rsidRPr="00AE4E8D" w:rsidRDefault="005C363D" w:rsidP="00E8320E">
            <w:pPr>
              <w:rPr>
                <w:rFonts w:ascii="Times New Roman" w:hAnsi="Times New Roman"/>
                <w:color w:val="000000"/>
                <w:sz w:val="16"/>
                <w:lang w:val="es-ES"/>
              </w:rPr>
            </w:pPr>
            <w:r w:rsidRPr="00AE4E8D">
              <w:rPr>
                <w:rFonts w:ascii="Times New Roman" w:hAnsi="Times New Roman"/>
                <w:color w:val="000000"/>
                <w:sz w:val="16"/>
                <w:lang w:val="es-ES"/>
              </w:rPr>
              <w:t xml:space="preserve">Cantidad de empleados </w:t>
            </w:r>
          </w:p>
        </w:tc>
        <w:tc>
          <w:tcPr>
            <w:tcW w:w="790" w:type="dxa"/>
            <w:tcBorders>
              <w:top w:val="nil"/>
              <w:left w:val="nil"/>
              <w:bottom w:val="nil"/>
              <w:right w:val="nil"/>
            </w:tcBorders>
            <w:shd w:val="clear" w:color="auto" w:fill="auto"/>
            <w:vAlign w:val="center"/>
            <w:hideMark/>
          </w:tcPr>
          <w:p w14:paraId="5D05891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1.980</w:t>
            </w:r>
          </w:p>
        </w:tc>
        <w:tc>
          <w:tcPr>
            <w:tcW w:w="222" w:type="dxa"/>
            <w:tcBorders>
              <w:top w:val="nil"/>
              <w:left w:val="nil"/>
              <w:bottom w:val="nil"/>
              <w:right w:val="nil"/>
            </w:tcBorders>
            <w:shd w:val="clear" w:color="auto" w:fill="auto"/>
            <w:noWrap/>
            <w:vAlign w:val="center"/>
            <w:hideMark/>
          </w:tcPr>
          <w:p w14:paraId="3868E789"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2B8744BE"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2.488</w:t>
            </w:r>
          </w:p>
        </w:tc>
        <w:tc>
          <w:tcPr>
            <w:tcW w:w="222" w:type="dxa"/>
            <w:tcBorders>
              <w:top w:val="nil"/>
              <w:left w:val="nil"/>
              <w:bottom w:val="nil"/>
              <w:right w:val="nil"/>
            </w:tcBorders>
            <w:shd w:val="clear" w:color="auto" w:fill="auto"/>
            <w:noWrap/>
            <w:vAlign w:val="center"/>
            <w:hideMark/>
          </w:tcPr>
          <w:p w14:paraId="7F64FBEB"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602170D6"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2.608</w:t>
            </w:r>
          </w:p>
        </w:tc>
        <w:tc>
          <w:tcPr>
            <w:tcW w:w="222" w:type="dxa"/>
            <w:tcBorders>
              <w:top w:val="nil"/>
              <w:left w:val="nil"/>
              <w:bottom w:val="nil"/>
              <w:right w:val="nil"/>
            </w:tcBorders>
            <w:shd w:val="clear" w:color="auto" w:fill="auto"/>
            <w:noWrap/>
            <w:vAlign w:val="center"/>
            <w:hideMark/>
          </w:tcPr>
          <w:p w14:paraId="7DF2B55A"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6324485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2.494</w:t>
            </w:r>
          </w:p>
        </w:tc>
        <w:tc>
          <w:tcPr>
            <w:tcW w:w="222" w:type="dxa"/>
            <w:tcBorders>
              <w:top w:val="nil"/>
              <w:left w:val="nil"/>
              <w:bottom w:val="nil"/>
              <w:right w:val="nil"/>
            </w:tcBorders>
            <w:shd w:val="clear" w:color="auto" w:fill="auto"/>
            <w:noWrap/>
            <w:vAlign w:val="center"/>
            <w:hideMark/>
          </w:tcPr>
          <w:p w14:paraId="01F70067" w14:textId="77777777" w:rsidR="005C363D" w:rsidRPr="00AE4E8D" w:rsidRDefault="005C363D"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7BD73300"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2.184</w:t>
            </w:r>
          </w:p>
        </w:tc>
        <w:tc>
          <w:tcPr>
            <w:tcW w:w="222" w:type="dxa"/>
            <w:tcBorders>
              <w:top w:val="nil"/>
              <w:left w:val="nil"/>
              <w:bottom w:val="nil"/>
              <w:right w:val="nil"/>
            </w:tcBorders>
            <w:shd w:val="clear" w:color="auto" w:fill="auto"/>
            <w:noWrap/>
            <w:vAlign w:val="bottom"/>
            <w:hideMark/>
          </w:tcPr>
          <w:p w14:paraId="09CC8110" w14:textId="77777777" w:rsidR="005C363D" w:rsidRPr="00AE4E8D" w:rsidRDefault="005C363D" w:rsidP="00E8320E">
            <w:pPr>
              <w:rPr>
                <w:rFonts w:ascii="Times New Roman" w:hAnsi="Times New Roman"/>
                <w:sz w:val="16"/>
                <w:lang w:val="es-ES"/>
              </w:rPr>
            </w:pPr>
          </w:p>
        </w:tc>
        <w:tc>
          <w:tcPr>
            <w:tcW w:w="887" w:type="dxa"/>
            <w:tcBorders>
              <w:top w:val="nil"/>
              <w:left w:val="nil"/>
              <w:bottom w:val="nil"/>
              <w:right w:val="nil"/>
            </w:tcBorders>
            <w:shd w:val="clear" w:color="auto" w:fill="auto"/>
            <w:vAlign w:val="center"/>
          </w:tcPr>
          <w:p w14:paraId="0580092D"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2.366</w:t>
            </w:r>
          </w:p>
        </w:tc>
        <w:tc>
          <w:tcPr>
            <w:tcW w:w="256" w:type="dxa"/>
            <w:tcBorders>
              <w:top w:val="nil"/>
              <w:left w:val="nil"/>
              <w:bottom w:val="nil"/>
              <w:right w:val="nil"/>
            </w:tcBorders>
            <w:shd w:val="clear" w:color="auto" w:fill="auto"/>
            <w:noWrap/>
            <w:vAlign w:val="bottom"/>
          </w:tcPr>
          <w:p w14:paraId="1BECA5F8" w14:textId="77777777" w:rsidR="005C363D" w:rsidRPr="00AE4E8D" w:rsidRDefault="005C363D" w:rsidP="00E8320E">
            <w:pPr>
              <w:rPr>
                <w:rFonts w:ascii="Times New Roman" w:hAnsi="Times New Roman"/>
                <w:sz w:val="16"/>
                <w:lang w:val="es-ES"/>
              </w:rPr>
            </w:pPr>
          </w:p>
        </w:tc>
        <w:tc>
          <w:tcPr>
            <w:tcW w:w="805" w:type="dxa"/>
            <w:tcBorders>
              <w:top w:val="nil"/>
              <w:left w:val="nil"/>
              <w:bottom w:val="nil"/>
              <w:right w:val="nil"/>
            </w:tcBorders>
            <w:shd w:val="clear" w:color="auto" w:fill="auto"/>
            <w:vAlign w:val="center"/>
          </w:tcPr>
          <w:p w14:paraId="60A7CB6C" w14:textId="77777777" w:rsidR="005C363D" w:rsidRPr="00AE4E8D" w:rsidRDefault="005C363D" w:rsidP="00E8320E">
            <w:pPr>
              <w:jc w:val="right"/>
              <w:rPr>
                <w:rFonts w:ascii="Times New Roman" w:hAnsi="Times New Roman"/>
                <w:color w:val="000000"/>
                <w:sz w:val="16"/>
                <w:lang w:val="es-ES"/>
              </w:rPr>
            </w:pPr>
            <w:r w:rsidRPr="00AE4E8D">
              <w:rPr>
                <w:rFonts w:ascii="Times New Roman" w:hAnsi="Times New Roman"/>
                <w:color w:val="000000"/>
                <w:sz w:val="16"/>
                <w:lang w:val="es-ES"/>
              </w:rPr>
              <w:t>2.</w:t>
            </w:r>
            <w:r w:rsidRPr="00AE4E8D">
              <w:rPr>
                <w:rFonts w:ascii="Times New Roman" w:hAnsi="Times New Roman"/>
                <w:color w:val="000000"/>
                <w:sz w:val="16"/>
                <w:szCs w:val="16"/>
                <w:lang w:val="es-ES"/>
              </w:rPr>
              <w:t>092</w:t>
            </w:r>
          </w:p>
        </w:tc>
      </w:tr>
    </w:tbl>
    <w:p w14:paraId="7E782818" w14:textId="77777777" w:rsidR="005C363D" w:rsidRPr="00AE4E8D" w:rsidRDefault="005C363D" w:rsidP="005C363D">
      <w:pPr>
        <w:numPr>
          <w:ilvl w:val="0"/>
          <w:numId w:val="47"/>
        </w:numPr>
        <w:tabs>
          <w:tab w:val="clear" w:pos="2204"/>
          <w:tab w:val="num" w:pos="567"/>
        </w:tabs>
        <w:autoSpaceDE w:val="0"/>
        <w:autoSpaceDN w:val="0"/>
        <w:adjustRightInd w:val="0"/>
        <w:spacing w:before="24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El tipo de cambio utilizado a los fines de la conversión de los saldos al 31 de diciembre de 2016 y 30 de junio de 2017 fue Ps. 15,8502 = US$1,00 y Ps.16</w:t>
      </w:r>
      <w:proofErr w:type="gramStart"/>
      <w:r w:rsidRPr="00AE4E8D">
        <w:rPr>
          <w:rFonts w:ascii="Times New Roman" w:hAnsi="Times New Roman"/>
          <w:sz w:val="16"/>
          <w:szCs w:val="16"/>
          <w:lang w:val="es-ES" w:eastAsia="es-AR"/>
        </w:rPr>
        <w:t>,5985</w:t>
      </w:r>
      <w:proofErr w:type="gramEnd"/>
      <w:r w:rsidRPr="00AE4E8D">
        <w:rPr>
          <w:rFonts w:ascii="Times New Roman" w:hAnsi="Times New Roman"/>
          <w:sz w:val="16"/>
          <w:szCs w:val="16"/>
          <w:lang w:val="es-ES" w:eastAsia="es-AR"/>
        </w:rPr>
        <w:t xml:space="preserve"> = US$1,00, respectivamente, de acuerdo al Tipo de Cambio de Referencia publicado por el BCRA para cada fecha.</w:t>
      </w:r>
    </w:p>
    <w:p w14:paraId="62A72BEF"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Incluye Ps.972</w:t>
      </w:r>
      <w:proofErr w:type="gramStart"/>
      <w:r w:rsidRPr="00AE4E8D">
        <w:rPr>
          <w:rFonts w:ascii="Times New Roman" w:hAnsi="Times New Roman"/>
          <w:sz w:val="16"/>
          <w:szCs w:val="16"/>
          <w:lang w:val="es-ES" w:eastAsia="es-AR"/>
        </w:rPr>
        <w:t>,1</w:t>
      </w:r>
      <w:proofErr w:type="gramEnd"/>
      <w:r w:rsidRPr="00AE4E8D">
        <w:rPr>
          <w:rFonts w:ascii="Times New Roman" w:hAnsi="Times New Roman"/>
          <w:sz w:val="16"/>
          <w:szCs w:val="16"/>
          <w:lang w:val="es-ES" w:eastAsia="es-AR"/>
        </w:rPr>
        <w:t xml:space="preserve"> millones, Ps.29,9 millones, Ps.2.422,2 millones, Ps.1.295,6 millones, Ps.1.116,9 millones, Ps.1.295,6 millones y Ps.3.606,0 millones de instrumentos emitidos por el BCRA al 31 de diciembre de 2012, 2013, 2014, 2015 y 2016, y al 30 de junio de 2016 y 2017, respectivamente.</w:t>
      </w:r>
    </w:p>
    <w:p w14:paraId="424D5C8C"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Incluye obligaciones negociables no subordinadas por Ps.2.013</w:t>
      </w:r>
      <w:proofErr w:type="gramStart"/>
      <w:r w:rsidRPr="00AE4E8D">
        <w:rPr>
          <w:rFonts w:ascii="Times New Roman" w:hAnsi="Times New Roman"/>
          <w:sz w:val="16"/>
          <w:szCs w:val="16"/>
          <w:lang w:val="es-ES" w:eastAsia="es-AR"/>
        </w:rPr>
        <w:t>,7</w:t>
      </w:r>
      <w:proofErr w:type="gramEnd"/>
      <w:r w:rsidRPr="00AE4E8D">
        <w:rPr>
          <w:rFonts w:ascii="Times New Roman" w:hAnsi="Times New Roman"/>
          <w:sz w:val="16"/>
          <w:szCs w:val="16"/>
          <w:lang w:val="es-ES" w:eastAsia="es-AR"/>
        </w:rPr>
        <w:t xml:space="preserve"> millones, Ps.2.660,1 millones, Ps.4.347,1 millones, Ps.7.010,0 millones, 16.018,7 millones, Ps.9.720,8 millones y Ps.18.703,6 millones al 31 de diciembre de 2012, 2013, 2014, 2015 y 2016, y al 30 de junio de 2016 y 2017, respectivamente.</w:t>
      </w:r>
    </w:p>
    <w:p w14:paraId="2CE42FD7"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Los Índices Seleccionados fueron elaborados de acuerdo a las Normas Contables del BCRA. En virtud de tales normas no se efectúa el desagregado de: activo corriente y activo no corriente, y de pasivo corriente y pasivo no corriente, razón por la cual no es posible efectuar el cálculo de índices tales como el de “Inmovilización de capital”, lo que difiere en relación a las Normas de la CNV y los PCGA de Argentina.</w:t>
      </w:r>
    </w:p>
    <w:p w14:paraId="490C21CC"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Corresponde al resultado neto (anualizado en el caso de los ratios al 30 de junio de 2016 y 2017) como porcentaje del activo promedio total. El activo promedio es el promedio simple entre el saldo del activo consolidado al comienzo del período (tomándose como comienzo del período el 31 de diciembre del año anterior) y el saldo del activo consolidado al finalizar el período, según surge de los estados contables consolidados.</w:t>
      </w:r>
    </w:p>
    <w:p w14:paraId="71796F04"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Corresponde al resultado neto (anualizado en el caso de los ratios al 30 de junio de 2016 y 2017) como porcentaje del patrimonio neto promedio total. El patrimonio neto promedio es el promedio simple entre el saldo del patrimonio neto consolidado al comienzo del período (tomándose como comienzo del período el 31 de diciembre del año anterior) y el saldo del patrimonio neto consolidado al finalizar el período, según surge de los estados contables consolidados.</w:t>
      </w:r>
    </w:p>
    <w:p w14:paraId="5AA4D979"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lastRenderedPageBreak/>
        <w:t>Corresponde al ingreso financiero neto (anualizado en el caso de los ratios al 30 de junio de 2016 y 2017) como porcentaje de los activos promedio.</w:t>
      </w:r>
    </w:p>
    <w:p w14:paraId="0137DBE4"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Corresponde a los gastos de administración sobre la sumatoria de ingreso financiero neto, ingresos netos por seguros y otros ingresos netos por servicios.</w:t>
      </w:r>
    </w:p>
    <w:p w14:paraId="56FB60A4"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 xml:space="preserve">Otros Activos corresponde a la sumatoria de los rubros “Participaciones en otras Sociedades”, “Créditos Diversos”, “Bienes de Uso”, “Bienes Diversos”, “Bienes Intangibles” y “Partidas Pendientes de Imputación”. </w:t>
      </w:r>
    </w:p>
    <w:p w14:paraId="04B750DE"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“Préstamos al consumo” comprende nuestra cartera de Préstamos hipotecarios, Préstamos personales, y Préstamos por Tarjeta de crédito del Banco. Los Préstamos al consumo en situación irregular comprenden los Préstamos clasificados como de “Riesgo medio”, “Riesgo alto”, “Irrecuperables” e “Irrecuperables por disposición técnica” según las normas de clasificación de préstamos del BCRA.</w:t>
      </w:r>
    </w:p>
    <w:p w14:paraId="07A61910"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 xml:space="preserve">“Préstamos comerciales” comprende préstamos por adelantos, préstamos por documentos, préstamos prendarios y otros préstamos. Los préstamos comerciales en situación irregular comprenden los préstamos clasificados como “Con problemas”, “Con alto riesgo de insolvencia”, “Irrecuperables” e “Irrecuperables por Disposición Técnica” según las normas de clasificación de préstamos del BCRA. </w:t>
      </w:r>
    </w:p>
    <w:p w14:paraId="0A1C2813" w14:textId="77777777" w:rsidR="005C363D" w:rsidRPr="00AE4E8D" w:rsidRDefault="005C363D" w:rsidP="005C363D">
      <w:pPr>
        <w:numPr>
          <w:ilvl w:val="0"/>
          <w:numId w:val="47"/>
        </w:numPr>
        <w:tabs>
          <w:tab w:val="clear" w:pos="2204"/>
          <w:tab w:val="num" w:pos="567"/>
        </w:tabs>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Comprende previsiones como porcentaje de préstamos al consumo y comerciales en situación irregular que están clasificados como “Con problemas”, “Con alto riesgo de insolvencia”, “Irrecuperables” e “Irrecuperables por disposición técnica” de acuerdo con las normas de clasificación de préstamos del BCRA.</w:t>
      </w:r>
    </w:p>
    <w:p w14:paraId="753A0949" w14:textId="77777777" w:rsidR="00AF1863" w:rsidRPr="00AE4E8D" w:rsidRDefault="00AF1863" w:rsidP="00AF1863">
      <w:pPr>
        <w:pStyle w:val="BH2Izquierda"/>
        <w:jc w:val="both"/>
        <w:rPr>
          <w:lang w:val="es-ES"/>
        </w:rPr>
      </w:pPr>
      <w:bookmarkStart w:id="130" w:name="_Toc495972979"/>
      <w:bookmarkStart w:id="131" w:name="_Toc495399886"/>
      <w:bookmarkStart w:id="132" w:name="_Toc414610844"/>
      <w:r w:rsidRPr="00AE4E8D">
        <w:rPr>
          <w:lang w:val="es-ES"/>
        </w:rPr>
        <w:t>c) Capitalización y Endeudamiento</w:t>
      </w:r>
      <w:bookmarkEnd w:id="130"/>
      <w:bookmarkEnd w:id="131"/>
    </w:p>
    <w:p w14:paraId="4E83320D" w14:textId="77777777" w:rsidR="00AF1863" w:rsidRPr="00AE4E8D" w:rsidRDefault="00AF1863" w:rsidP="00AF1863">
      <w:pPr>
        <w:pStyle w:val="BHTexto"/>
        <w:rPr>
          <w:lang w:val="es-ES"/>
        </w:rPr>
      </w:pPr>
      <w:r w:rsidRPr="00AE4E8D">
        <w:rPr>
          <w:lang w:val="es-ES"/>
        </w:rPr>
        <w:t>En el siguiente cuadro se detalla la capitalización y el endeudamiento del Banco al 30 de junio de 2017, en miles de Pesos y Dólares Estadounidenses, presentada de acuerdo con las Normas Contables del BCRA. Este cuadro debe leerse junto con</w:t>
      </w:r>
      <w:r w:rsidR="00F9545C">
        <w:rPr>
          <w:lang w:val="es-ES"/>
        </w:rPr>
        <w:t>,</w:t>
      </w:r>
      <w:r w:rsidRPr="00AE4E8D">
        <w:rPr>
          <w:lang w:val="es-ES"/>
        </w:rPr>
        <w:t xml:space="preserve"> </w:t>
      </w:r>
      <w:r w:rsidR="00F9545C" w:rsidRPr="00AE4E8D">
        <w:rPr>
          <w:lang w:val="es-ES"/>
        </w:rPr>
        <w:t>y está condicionado</w:t>
      </w:r>
      <w:r w:rsidR="00F9545C">
        <w:rPr>
          <w:lang w:val="es-ES"/>
        </w:rPr>
        <w:t xml:space="preserve"> a,</w:t>
      </w:r>
      <w:r w:rsidR="00F9545C" w:rsidRPr="00AE4E8D">
        <w:rPr>
          <w:lang w:val="es-ES"/>
        </w:rPr>
        <w:t xml:space="preserve"> </w:t>
      </w:r>
      <w:r w:rsidRPr="00AE4E8D">
        <w:rPr>
          <w:lang w:val="es-ES"/>
        </w:rPr>
        <w:t xml:space="preserve">el capítulo </w:t>
      </w:r>
      <w:r w:rsidRPr="00AE4E8D">
        <w:rPr>
          <w:i/>
          <w:lang w:val="es-ES"/>
        </w:rPr>
        <w:t>“Reseña y Perspectiva Operativa Financiera”</w:t>
      </w:r>
      <w:r w:rsidR="00F9545C">
        <w:rPr>
          <w:lang w:val="es-ES"/>
        </w:rPr>
        <w:t>,</w:t>
      </w:r>
      <w:r w:rsidRPr="00AE4E8D">
        <w:rPr>
          <w:lang w:val="es-ES"/>
        </w:rPr>
        <w:t xml:space="preserve"> nuestros estados contables incluidos en este Prospecto</w:t>
      </w:r>
      <w:r w:rsidR="00F9545C">
        <w:rPr>
          <w:lang w:val="es-ES"/>
        </w:rPr>
        <w:t xml:space="preserve"> </w:t>
      </w:r>
      <w:r w:rsidR="00F9545C" w:rsidRPr="00F9545C">
        <w:rPr>
          <w:lang w:val="es-ES"/>
        </w:rPr>
        <w:t xml:space="preserve">y la información relacionada incluida en cualquier suplemento de </w:t>
      </w:r>
      <w:r w:rsidR="00F9545C">
        <w:rPr>
          <w:lang w:val="es-ES"/>
        </w:rPr>
        <w:t>precio relacionado</w:t>
      </w:r>
      <w:r w:rsidRPr="00AE4E8D">
        <w:rPr>
          <w:lang w:val="es-ES"/>
        </w:rPr>
        <w:t xml:space="preserve">. </w:t>
      </w:r>
    </w:p>
    <w:tbl>
      <w:tblPr>
        <w:tblW w:w="5000" w:type="pct"/>
        <w:jc w:val="center"/>
        <w:tblLook w:val="04A0" w:firstRow="1" w:lastRow="0" w:firstColumn="1" w:lastColumn="0" w:noHBand="0" w:noVBand="1"/>
      </w:tblPr>
      <w:tblGrid>
        <w:gridCol w:w="2763"/>
        <w:gridCol w:w="3063"/>
        <w:gridCol w:w="2895"/>
      </w:tblGrid>
      <w:tr w:rsidR="00AF1863" w:rsidRPr="00AE4E8D" w14:paraId="0F224A10" w14:textId="77777777" w:rsidTr="000400C8">
        <w:trPr>
          <w:trHeight w:val="304"/>
          <w:jc w:val="center"/>
        </w:trPr>
        <w:tc>
          <w:tcPr>
            <w:tcW w:w="1584" w:type="pct"/>
            <w:tcBorders>
              <w:top w:val="nil"/>
              <w:left w:val="nil"/>
              <w:bottom w:val="nil"/>
              <w:right w:val="nil"/>
            </w:tcBorders>
            <w:shd w:val="clear" w:color="auto" w:fill="auto"/>
            <w:noWrap/>
            <w:vAlign w:val="bottom"/>
            <w:hideMark/>
          </w:tcPr>
          <w:p w14:paraId="1A23F25E" w14:textId="77777777" w:rsidR="00AF1863" w:rsidRPr="00AE4E8D" w:rsidRDefault="00AF1863" w:rsidP="00AF1863">
            <w:pPr>
              <w:rPr>
                <w:rFonts w:ascii="Times New Roman" w:hAnsi="Times New Roman"/>
                <w:sz w:val="18"/>
                <w:szCs w:val="18"/>
                <w:lang w:val="es-ES"/>
              </w:rPr>
            </w:pPr>
          </w:p>
        </w:tc>
        <w:tc>
          <w:tcPr>
            <w:tcW w:w="3416" w:type="pct"/>
            <w:gridSpan w:val="2"/>
            <w:tcBorders>
              <w:top w:val="nil"/>
              <w:left w:val="nil"/>
              <w:bottom w:val="single" w:sz="8" w:space="0" w:color="auto"/>
              <w:right w:val="nil"/>
            </w:tcBorders>
            <w:shd w:val="clear" w:color="auto" w:fill="auto"/>
            <w:noWrap/>
            <w:vAlign w:val="center"/>
            <w:hideMark/>
          </w:tcPr>
          <w:p w14:paraId="7015CB39" w14:textId="77777777" w:rsidR="00AF1863" w:rsidRPr="00AE4E8D" w:rsidRDefault="00AF1863" w:rsidP="00AF1863">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Al 30 de junio de 2017</w:t>
            </w:r>
          </w:p>
        </w:tc>
      </w:tr>
      <w:tr w:rsidR="00AF1863" w:rsidRPr="00AE4E8D" w14:paraId="52D65337" w14:textId="77777777" w:rsidTr="000400C8">
        <w:trPr>
          <w:trHeight w:val="304"/>
          <w:jc w:val="center"/>
        </w:trPr>
        <w:tc>
          <w:tcPr>
            <w:tcW w:w="1584" w:type="pct"/>
            <w:tcBorders>
              <w:top w:val="nil"/>
              <w:left w:val="nil"/>
              <w:bottom w:val="nil"/>
              <w:right w:val="nil"/>
            </w:tcBorders>
            <w:shd w:val="clear" w:color="auto" w:fill="auto"/>
            <w:noWrap/>
            <w:vAlign w:val="bottom"/>
            <w:hideMark/>
          </w:tcPr>
          <w:p w14:paraId="31800122" w14:textId="77777777" w:rsidR="00AF1863" w:rsidRPr="00AE4E8D" w:rsidRDefault="00AF1863" w:rsidP="00AF1863">
            <w:pPr>
              <w:rPr>
                <w:rFonts w:ascii="Times New Roman" w:hAnsi="Times New Roman"/>
                <w:sz w:val="18"/>
                <w:szCs w:val="18"/>
                <w:lang w:val="es-ES"/>
              </w:rPr>
            </w:pPr>
          </w:p>
        </w:tc>
        <w:tc>
          <w:tcPr>
            <w:tcW w:w="1756" w:type="pct"/>
            <w:tcBorders>
              <w:top w:val="nil"/>
              <w:left w:val="nil"/>
              <w:bottom w:val="single" w:sz="8" w:space="0" w:color="auto"/>
              <w:right w:val="nil"/>
            </w:tcBorders>
            <w:shd w:val="clear" w:color="auto" w:fill="auto"/>
            <w:noWrap/>
            <w:vAlign w:val="center"/>
            <w:hideMark/>
          </w:tcPr>
          <w:p w14:paraId="16B84D78" w14:textId="77777777" w:rsidR="003C5B79" w:rsidRPr="00AE4E8D" w:rsidRDefault="00AF1863" w:rsidP="00AF1863">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miles de Ps.</w:t>
            </w:r>
            <w:r w:rsidR="003C5B79" w:rsidRPr="00AE4E8D">
              <w:rPr>
                <w:rFonts w:ascii="Times New Roman" w:hAnsi="Times New Roman"/>
                <w:color w:val="000000"/>
                <w:sz w:val="18"/>
                <w:szCs w:val="18"/>
                <w:lang w:val="es-ES"/>
              </w:rPr>
              <w:t xml:space="preserve"> </w:t>
            </w:r>
          </w:p>
          <w:p w14:paraId="3780BF73" w14:textId="77777777" w:rsidR="00AF1863" w:rsidRPr="00AE4E8D" w:rsidRDefault="003C5B79" w:rsidP="00AF1863">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(no auditados)</w:t>
            </w:r>
          </w:p>
        </w:tc>
        <w:tc>
          <w:tcPr>
            <w:tcW w:w="1660" w:type="pct"/>
            <w:tcBorders>
              <w:top w:val="nil"/>
              <w:left w:val="nil"/>
              <w:bottom w:val="single" w:sz="8" w:space="0" w:color="auto"/>
              <w:right w:val="nil"/>
            </w:tcBorders>
            <w:shd w:val="clear" w:color="auto" w:fill="auto"/>
            <w:noWrap/>
            <w:vAlign w:val="center"/>
            <w:hideMark/>
          </w:tcPr>
          <w:p w14:paraId="613D63DC" w14:textId="77777777" w:rsidR="00AF1863" w:rsidRPr="00AE4E8D" w:rsidRDefault="00AF1863" w:rsidP="00AF1863">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miles de US$(1)</w:t>
            </w:r>
          </w:p>
          <w:p w14:paraId="0B2CDAE6" w14:textId="77777777" w:rsidR="003C5B79" w:rsidRPr="00AE4E8D" w:rsidRDefault="003C5B79" w:rsidP="00AF1863">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(no auditados)</w:t>
            </w:r>
          </w:p>
        </w:tc>
      </w:tr>
      <w:tr w:rsidR="00AF1863" w:rsidRPr="00AE4E8D" w14:paraId="01765BE6" w14:textId="77777777" w:rsidTr="000400C8">
        <w:trPr>
          <w:trHeight w:val="288"/>
          <w:jc w:val="center"/>
        </w:trPr>
        <w:tc>
          <w:tcPr>
            <w:tcW w:w="1584" w:type="pct"/>
            <w:tcBorders>
              <w:top w:val="nil"/>
              <w:left w:val="nil"/>
              <w:bottom w:val="nil"/>
              <w:right w:val="nil"/>
            </w:tcBorders>
            <w:shd w:val="clear" w:color="auto" w:fill="auto"/>
            <w:noWrap/>
            <w:vAlign w:val="bottom"/>
            <w:hideMark/>
          </w:tcPr>
          <w:p w14:paraId="03433E86" w14:textId="77777777" w:rsidR="00AF1863" w:rsidRPr="00AE4E8D" w:rsidRDefault="00AF1863" w:rsidP="00AF1863">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Deuda de corto plazo (2)</w:t>
            </w:r>
            <w:r w:rsidRPr="00AE4E8D">
              <w:rPr>
                <w:rFonts w:ascii="Times New Roman" w:hAnsi="Times New Roman"/>
                <w:color w:val="000000"/>
                <w:sz w:val="18"/>
                <w:szCs w:val="18"/>
                <w:lang w:val="es-ES"/>
              </w:rPr>
              <w:t xml:space="preserve"> </w:t>
            </w:r>
          </w:p>
        </w:tc>
        <w:tc>
          <w:tcPr>
            <w:tcW w:w="1756" w:type="pct"/>
            <w:tcBorders>
              <w:top w:val="nil"/>
              <w:left w:val="nil"/>
              <w:bottom w:val="nil"/>
              <w:right w:val="nil"/>
            </w:tcBorders>
            <w:shd w:val="clear" w:color="auto" w:fill="auto"/>
            <w:noWrap/>
            <w:vAlign w:val="bottom"/>
            <w:hideMark/>
          </w:tcPr>
          <w:p w14:paraId="45C2507A" w14:textId="77777777" w:rsidR="00AF1863" w:rsidRPr="00AE4E8D" w:rsidRDefault="00AF1863" w:rsidP="00AF1863">
            <w:pPr>
              <w:rPr>
                <w:rFonts w:ascii="Times New Roman" w:hAnsi="Times New Roman"/>
                <w:sz w:val="18"/>
                <w:szCs w:val="18"/>
                <w:lang w:val="es-ES"/>
              </w:rPr>
            </w:pPr>
          </w:p>
        </w:tc>
        <w:tc>
          <w:tcPr>
            <w:tcW w:w="1660" w:type="pct"/>
            <w:tcBorders>
              <w:top w:val="nil"/>
              <w:left w:val="nil"/>
              <w:bottom w:val="nil"/>
              <w:right w:val="nil"/>
            </w:tcBorders>
            <w:shd w:val="clear" w:color="auto" w:fill="auto"/>
            <w:noWrap/>
            <w:vAlign w:val="bottom"/>
            <w:hideMark/>
          </w:tcPr>
          <w:p w14:paraId="4A964232" w14:textId="77777777" w:rsidR="00AF1863" w:rsidRPr="00AE4E8D" w:rsidRDefault="00AF1863" w:rsidP="00AF1863">
            <w:pPr>
              <w:rPr>
                <w:rFonts w:ascii="Times New Roman" w:hAnsi="Times New Roman"/>
                <w:sz w:val="18"/>
                <w:szCs w:val="18"/>
                <w:lang w:val="es-ES"/>
              </w:rPr>
            </w:pPr>
          </w:p>
        </w:tc>
      </w:tr>
      <w:tr w:rsidR="00AF1863" w:rsidRPr="00AE4E8D" w14:paraId="3233F155" w14:textId="77777777" w:rsidTr="000400C8">
        <w:trPr>
          <w:trHeight w:val="288"/>
          <w:jc w:val="center"/>
        </w:trPr>
        <w:tc>
          <w:tcPr>
            <w:tcW w:w="1584" w:type="pct"/>
            <w:tcBorders>
              <w:top w:val="nil"/>
              <w:left w:val="nil"/>
              <w:bottom w:val="nil"/>
              <w:right w:val="nil"/>
            </w:tcBorders>
            <w:shd w:val="clear" w:color="auto" w:fill="auto"/>
            <w:noWrap/>
            <w:vAlign w:val="bottom"/>
            <w:hideMark/>
          </w:tcPr>
          <w:p w14:paraId="34B030F7" w14:textId="77777777" w:rsidR="00AF1863" w:rsidRPr="00AE4E8D" w:rsidRDefault="00AF1863" w:rsidP="00AF1863">
            <w:pPr>
              <w:rPr>
                <w:rFonts w:ascii="Times New Roman" w:hAnsi="Times New Roman"/>
                <w:sz w:val="18"/>
                <w:szCs w:val="18"/>
                <w:lang w:val="es-ES"/>
              </w:rPr>
            </w:pPr>
          </w:p>
        </w:tc>
        <w:tc>
          <w:tcPr>
            <w:tcW w:w="1756" w:type="pct"/>
            <w:tcBorders>
              <w:top w:val="nil"/>
              <w:left w:val="nil"/>
              <w:bottom w:val="nil"/>
              <w:right w:val="nil"/>
            </w:tcBorders>
            <w:shd w:val="clear" w:color="auto" w:fill="auto"/>
            <w:noWrap/>
            <w:vAlign w:val="bottom"/>
            <w:hideMark/>
          </w:tcPr>
          <w:p w14:paraId="6653463A" w14:textId="77777777" w:rsidR="00AF1863" w:rsidRPr="00AE4E8D" w:rsidRDefault="00AF1863" w:rsidP="00AF1863">
            <w:pPr>
              <w:rPr>
                <w:rFonts w:ascii="Times New Roman" w:hAnsi="Times New Roman"/>
                <w:sz w:val="18"/>
                <w:szCs w:val="18"/>
                <w:lang w:val="es-ES"/>
              </w:rPr>
            </w:pPr>
          </w:p>
        </w:tc>
        <w:tc>
          <w:tcPr>
            <w:tcW w:w="1660" w:type="pct"/>
            <w:tcBorders>
              <w:top w:val="nil"/>
              <w:left w:val="nil"/>
              <w:bottom w:val="nil"/>
              <w:right w:val="nil"/>
            </w:tcBorders>
            <w:shd w:val="clear" w:color="auto" w:fill="auto"/>
            <w:noWrap/>
            <w:vAlign w:val="bottom"/>
            <w:hideMark/>
          </w:tcPr>
          <w:p w14:paraId="23BA03E3" w14:textId="77777777" w:rsidR="00AF1863" w:rsidRPr="00AE4E8D" w:rsidRDefault="00AF1863" w:rsidP="00AF1863">
            <w:pPr>
              <w:rPr>
                <w:rFonts w:ascii="Times New Roman" w:hAnsi="Times New Roman"/>
                <w:sz w:val="18"/>
                <w:szCs w:val="18"/>
                <w:lang w:val="es-ES"/>
              </w:rPr>
            </w:pPr>
          </w:p>
        </w:tc>
      </w:tr>
      <w:tr w:rsidR="00AF1863" w:rsidRPr="00AE4E8D" w14:paraId="45E55ED2"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0DBE29DE"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Depósitos </w:t>
            </w:r>
          </w:p>
        </w:tc>
        <w:tc>
          <w:tcPr>
            <w:tcW w:w="1756" w:type="pct"/>
            <w:tcBorders>
              <w:top w:val="nil"/>
              <w:left w:val="nil"/>
              <w:bottom w:val="nil"/>
              <w:right w:val="nil"/>
            </w:tcBorders>
            <w:shd w:val="clear" w:color="auto" w:fill="auto"/>
            <w:noWrap/>
            <w:vAlign w:val="bottom"/>
          </w:tcPr>
          <w:p w14:paraId="5358D0E9" w14:textId="77777777" w:rsidR="00AF1863" w:rsidRPr="00AE4E8D" w:rsidRDefault="009820CB" w:rsidP="009820CB">
            <w:pPr>
              <w:jc w:val="right"/>
              <w:rPr>
                <w:rFonts w:ascii="Times New Roman" w:hAnsi="Times New Roman"/>
                <w:sz w:val="18"/>
                <w:szCs w:val="18"/>
                <w:lang w:val="es-ES"/>
              </w:rPr>
            </w:pPr>
            <w:r w:rsidRPr="00AE4E8D">
              <w:rPr>
                <w:rFonts w:ascii="Times New Roman" w:hAnsi="Times New Roman"/>
                <w:sz w:val="18"/>
                <w:szCs w:val="18"/>
                <w:lang w:val="es-ES"/>
              </w:rPr>
              <w:t>19.657.688</w:t>
            </w:r>
          </w:p>
        </w:tc>
        <w:tc>
          <w:tcPr>
            <w:tcW w:w="1660" w:type="pct"/>
            <w:tcBorders>
              <w:top w:val="nil"/>
              <w:left w:val="nil"/>
              <w:bottom w:val="nil"/>
              <w:right w:val="nil"/>
            </w:tcBorders>
            <w:shd w:val="clear" w:color="auto" w:fill="auto"/>
            <w:noWrap/>
            <w:vAlign w:val="bottom"/>
          </w:tcPr>
          <w:p w14:paraId="11535B61"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1.184.305</w:t>
            </w:r>
          </w:p>
        </w:tc>
      </w:tr>
      <w:tr w:rsidR="00AF1863" w:rsidRPr="00AE4E8D" w14:paraId="06944733"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0B737C2E"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Obligaciones negociables </w:t>
            </w:r>
          </w:p>
        </w:tc>
        <w:tc>
          <w:tcPr>
            <w:tcW w:w="1756" w:type="pct"/>
            <w:tcBorders>
              <w:top w:val="nil"/>
              <w:left w:val="nil"/>
              <w:bottom w:val="nil"/>
              <w:right w:val="nil"/>
            </w:tcBorders>
            <w:shd w:val="clear" w:color="auto" w:fill="auto"/>
            <w:noWrap/>
            <w:vAlign w:val="bottom"/>
          </w:tcPr>
          <w:p w14:paraId="686F94AD" w14:textId="77777777" w:rsidR="00AF1863" w:rsidRPr="00AE4E8D" w:rsidRDefault="009820CB" w:rsidP="009820CB">
            <w:pPr>
              <w:jc w:val="right"/>
              <w:rPr>
                <w:rFonts w:ascii="Times New Roman" w:hAnsi="Times New Roman"/>
                <w:sz w:val="18"/>
                <w:szCs w:val="18"/>
                <w:lang w:val="es-ES"/>
              </w:rPr>
            </w:pPr>
            <w:r w:rsidRPr="00AE4E8D">
              <w:rPr>
                <w:rFonts w:ascii="Times New Roman" w:hAnsi="Times New Roman"/>
                <w:sz w:val="18"/>
                <w:szCs w:val="18"/>
                <w:lang w:val="es-ES"/>
              </w:rPr>
              <w:t>2.426.264</w:t>
            </w:r>
          </w:p>
        </w:tc>
        <w:tc>
          <w:tcPr>
            <w:tcW w:w="1660" w:type="pct"/>
            <w:tcBorders>
              <w:top w:val="nil"/>
              <w:left w:val="nil"/>
              <w:bottom w:val="nil"/>
              <w:right w:val="nil"/>
            </w:tcBorders>
            <w:shd w:val="clear" w:color="auto" w:fill="auto"/>
            <w:noWrap/>
            <w:vAlign w:val="bottom"/>
          </w:tcPr>
          <w:p w14:paraId="1BA791E2" w14:textId="77777777" w:rsidR="00AF1863" w:rsidRPr="00AE4E8D" w:rsidRDefault="009820CB" w:rsidP="009820CB">
            <w:pPr>
              <w:jc w:val="right"/>
              <w:rPr>
                <w:rFonts w:ascii="Times New Roman" w:hAnsi="Times New Roman"/>
                <w:sz w:val="18"/>
                <w:szCs w:val="18"/>
                <w:lang w:val="es-ES"/>
              </w:rPr>
            </w:pPr>
            <w:r w:rsidRPr="00AE4E8D">
              <w:rPr>
                <w:rFonts w:ascii="Times New Roman" w:hAnsi="Times New Roman"/>
                <w:sz w:val="18"/>
                <w:szCs w:val="18"/>
                <w:lang w:val="es-ES"/>
              </w:rPr>
              <w:t>146.174</w:t>
            </w:r>
          </w:p>
        </w:tc>
      </w:tr>
      <w:tr w:rsidR="00AF1863" w:rsidRPr="00AE4E8D" w14:paraId="1B49BC77"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017C1692"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Entidades financieras </w:t>
            </w:r>
          </w:p>
        </w:tc>
        <w:tc>
          <w:tcPr>
            <w:tcW w:w="1756" w:type="pct"/>
            <w:tcBorders>
              <w:top w:val="nil"/>
              <w:left w:val="nil"/>
              <w:bottom w:val="nil"/>
              <w:right w:val="nil"/>
            </w:tcBorders>
            <w:shd w:val="clear" w:color="auto" w:fill="auto"/>
            <w:noWrap/>
            <w:vAlign w:val="bottom"/>
          </w:tcPr>
          <w:p w14:paraId="107A8482"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416.511</w:t>
            </w:r>
          </w:p>
        </w:tc>
        <w:tc>
          <w:tcPr>
            <w:tcW w:w="1660" w:type="pct"/>
            <w:tcBorders>
              <w:top w:val="nil"/>
              <w:left w:val="nil"/>
              <w:bottom w:val="nil"/>
              <w:right w:val="nil"/>
            </w:tcBorders>
            <w:shd w:val="clear" w:color="auto" w:fill="auto"/>
            <w:noWrap/>
            <w:vAlign w:val="bottom"/>
          </w:tcPr>
          <w:p w14:paraId="473A1BCF"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25.093</w:t>
            </w:r>
          </w:p>
        </w:tc>
      </w:tr>
      <w:tr w:rsidR="00AF1863" w:rsidRPr="00AE4E8D" w14:paraId="7D101529"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76CFDE5E"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a pagar </w:t>
            </w:r>
          </w:p>
        </w:tc>
        <w:tc>
          <w:tcPr>
            <w:tcW w:w="1756" w:type="pct"/>
            <w:tcBorders>
              <w:top w:val="nil"/>
              <w:left w:val="nil"/>
              <w:bottom w:val="nil"/>
              <w:right w:val="nil"/>
            </w:tcBorders>
            <w:shd w:val="clear" w:color="auto" w:fill="auto"/>
            <w:noWrap/>
            <w:vAlign w:val="bottom"/>
          </w:tcPr>
          <w:p w14:paraId="1F92C4BF"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827.787</w:t>
            </w:r>
          </w:p>
        </w:tc>
        <w:tc>
          <w:tcPr>
            <w:tcW w:w="1660" w:type="pct"/>
            <w:tcBorders>
              <w:top w:val="nil"/>
              <w:left w:val="nil"/>
              <w:bottom w:val="nil"/>
              <w:right w:val="nil"/>
            </w:tcBorders>
            <w:shd w:val="clear" w:color="auto" w:fill="auto"/>
            <w:noWrap/>
            <w:vAlign w:val="bottom"/>
          </w:tcPr>
          <w:p w14:paraId="5C928BF5" w14:textId="77777777" w:rsidR="00AF1863" w:rsidRPr="00AE4E8D" w:rsidRDefault="00AF1863" w:rsidP="007C0A8B">
            <w:pPr>
              <w:jc w:val="right"/>
              <w:rPr>
                <w:rFonts w:ascii="Times New Roman" w:hAnsi="Times New Roman"/>
                <w:sz w:val="18"/>
                <w:szCs w:val="18"/>
                <w:lang w:val="es-ES"/>
              </w:rPr>
            </w:pPr>
            <w:r w:rsidRPr="00AE4E8D">
              <w:rPr>
                <w:rFonts w:ascii="Times New Roman" w:hAnsi="Times New Roman"/>
                <w:sz w:val="18"/>
                <w:szCs w:val="18"/>
                <w:lang w:val="es-ES"/>
              </w:rPr>
              <w:t>49.</w:t>
            </w:r>
            <w:r w:rsidR="007C0A8B" w:rsidRPr="00AE4E8D">
              <w:rPr>
                <w:rFonts w:ascii="Times New Roman" w:hAnsi="Times New Roman"/>
                <w:sz w:val="18"/>
                <w:szCs w:val="18"/>
                <w:lang w:val="es-ES"/>
              </w:rPr>
              <w:t>871</w:t>
            </w:r>
          </w:p>
        </w:tc>
      </w:tr>
      <w:tr w:rsidR="00AF1863" w:rsidRPr="00AE4E8D" w14:paraId="1CB62B02"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6D08B9F5"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Total deuda de corto plazo </w:t>
            </w:r>
          </w:p>
        </w:tc>
        <w:tc>
          <w:tcPr>
            <w:tcW w:w="1756" w:type="pct"/>
            <w:tcBorders>
              <w:top w:val="nil"/>
              <w:left w:val="nil"/>
              <w:bottom w:val="nil"/>
              <w:right w:val="nil"/>
            </w:tcBorders>
            <w:shd w:val="clear" w:color="auto" w:fill="auto"/>
            <w:noWrap/>
            <w:vAlign w:val="bottom"/>
          </w:tcPr>
          <w:p w14:paraId="02D2D3C9" w14:textId="77777777" w:rsidR="00AF1863" w:rsidRPr="00AE4E8D" w:rsidRDefault="009820CB" w:rsidP="007C0A8B">
            <w:pPr>
              <w:jc w:val="right"/>
              <w:rPr>
                <w:rFonts w:ascii="Times New Roman" w:hAnsi="Times New Roman"/>
                <w:b/>
                <w:sz w:val="18"/>
                <w:szCs w:val="18"/>
                <w:lang w:val="es-ES"/>
              </w:rPr>
            </w:pPr>
            <w:r w:rsidRPr="00AE4E8D">
              <w:rPr>
                <w:rFonts w:ascii="Times New Roman" w:hAnsi="Times New Roman"/>
                <w:b/>
                <w:sz w:val="18"/>
                <w:szCs w:val="18"/>
                <w:lang w:val="es-ES"/>
              </w:rPr>
              <w:t>23.328.</w:t>
            </w:r>
            <w:r w:rsidR="007C0A8B" w:rsidRPr="00AE4E8D">
              <w:rPr>
                <w:rFonts w:ascii="Times New Roman" w:hAnsi="Times New Roman"/>
                <w:b/>
                <w:sz w:val="18"/>
                <w:szCs w:val="18"/>
                <w:lang w:val="es-ES"/>
              </w:rPr>
              <w:t>250</w:t>
            </w:r>
          </w:p>
        </w:tc>
        <w:tc>
          <w:tcPr>
            <w:tcW w:w="1660" w:type="pct"/>
            <w:tcBorders>
              <w:top w:val="nil"/>
              <w:left w:val="nil"/>
              <w:bottom w:val="nil"/>
              <w:right w:val="nil"/>
            </w:tcBorders>
            <w:shd w:val="clear" w:color="auto" w:fill="auto"/>
            <w:noWrap/>
            <w:vAlign w:val="bottom"/>
          </w:tcPr>
          <w:p w14:paraId="6D136929" w14:textId="77777777" w:rsidR="00AF1863" w:rsidRPr="00AE4E8D" w:rsidRDefault="009820CB" w:rsidP="009820CB">
            <w:pPr>
              <w:jc w:val="right"/>
              <w:rPr>
                <w:rFonts w:ascii="Times New Roman" w:hAnsi="Times New Roman"/>
                <w:b/>
                <w:sz w:val="18"/>
                <w:szCs w:val="18"/>
                <w:lang w:val="es-ES"/>
              </w:rPr>
            </w:pPr>
            <w:r w:rsidRPr="00AE4E8D">
              <w:rPr>
                <w:rFonts w:ascii="Times New Roman" w:hAnsi="Times New Roman"/>
                <w:b/>
                <w:sz w:val="18"/>
                <w:szCs w:val="18"/>
                <w:lang w:val="es-ES"/>
              </w:rPr>
              <w:t>1.405.443</w:t>
            </w:r>
          </w:p>
        </w:tc>
      </w:tr>
      <w:tr w:rsidR="00AF1863" w:rsidRPr="00AE4E8D" w14:paraId="49AA3880"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139C9F81" w14:textId="77777777" w:rsidR="00AF1863" w:rsidRPr="00AE4E8D" w:rsidRDefault="00AF1863" w:rsidP="00AF1863">
            <w:pPr>
              <w:jc w:val="both"/>
              <w:rPr>
                <w:rFonts w:ascii="Times New Roman" w:hAnsi="Times New Roman"/>
                <w:color w:val="000000"/>
                <w:sz w:val="18"/>
                <w:szCs w:val="18"/>
                <w:lang w:val="es-ES"/>
              </w:rPr>
            </w:pPr>
          </w:p>
        </w:tc>
        <w:tc>
          <w:tcPr>
            <w:tcW w:w="1756" w:type="pct"/>
            <w:tcBorders>
              <w:top w:val="nil"/>
              <w:left w:val="nil"/>
              <w:bottom w:val="nil"/>
              <w:right w:val="nil"/>
            </w:tcBorders>
            <w:shd w:val="clear" w:color="auto" w:fill="auto"/>
            <w:noWrap/>
            <w:vAlign w:val="bottom"/>
          </w:tcPr>
          <w:p w14:paraId="7A9FDF0B" w14:textId="77777777" w:rsidR="00AF1863" w:rsidRPr="00AE4E8D" w:rsidRDefault="00AF1863" w:rsidP="00AF1863">
            <w:pPr>
              <w:jc w:val="right"/>
              <w:rPr>
                <w:rFonts w:ascii="Times New Roman" w:hAnsi="Times New Roman"/>
                <w:sz w:val="18"/>
                <w:szCs w:val="18"/>
                <w:lang w:val="es-ES"/>
              </w:rPr>
            </w:pPr>
          </w:p>
        </w:tc>
        <w:tc>
          <w:tcPr>
            <w:tcW w:w="1660" w:type="pct"/>
            <w:tcBorders>
              <w:top w:val="nil"/>
              <w:left w:val="nil"/>
              <w:bottom w:val="nil"/>
              <w:right w:val="nil"/>
            </w:tcBorders>
            <w:shd w:val="clear" w:color="auto" w:fill="auto"/>
            <w:noWrap/>
            <w:vAlign w:val="bottom"/>
          </w:tcPr>
          <w:p w14:paraId="623C9843" w14:textId="77777777" w:rsidR="00AF1863" w:rsidRPr="00AE4E8D" w:rsidRDefault="00AF1863" w:rsidP="00AF1863">
            <w:pPr>
              <w:jc w:val="right"/>
              <w:rPr>
                <w:rFonts w:ascii="Times New Roman" w:hAnsi="Times New Roman"/>
                <w:sz w:val="18"/>
                <w:szCs w:val="18"/>
                <w:lang w:val="es-ES"/>
              </w:rPr>
            </w:pPr>
          </w:p>
        </w:tc>
      </w:tr>
      <w:tr w:rsidR="00AF1863" w:rsidRPr="00AE4E8D" w14:paraId="6BC9D3BB"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22467180" w14:textId="77777777" w:rsidR="00AF1863" w:rsidRPr="00AE4E8D" w:rsidRDefault="00AF1863" w:rsidP="00AF1863">
            <w:pPr>
              <w:jc w:val="both"/>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Deuda de largo plazo (2)</w:t>
            </w:r>
          </w:p>
        </w:tc>
        <w:tc>
          <w:tcPr>
            <w:tcW w:w="1756" w:type="pct"/>
            <w:tcBorders>
              <w:top w:val="nil"/>
              <w:left w:val="nil"/>
              <w:bottom w:val="nil"/>
              <w:right w:val="nil"/>
            </w:tcBorders>
            <w:shd w:val="clear" w:color="auto" w:fill="auto"/>
            <w:noWrap/>
            <w:vAlign w:val="bottom"/>
          </w:tcPr>
          <w:p w14:paraId="037CFDAA" w14:textId="77777777" w:rsidR="00AF1863" w:rsidRPr="00AE4E8D" w:rsidRDefault="00AF1863" w:rsidP="00AF1863">
            <w:pPr>
              <w:jc w:val="right"/>
              <w:rPr>
                <w:rFonts w:ascii="Times New Roman" w:hAnsi="Times New Roman"/>
                <w:sz w:val="18"/>
                <w:szCs w:val="18"/>
                <w:lang w:val="es-ES"/>
              </w:rPr>
            </w:pPr>
          </w:p>
        </w:tc>
        <w:tc>
          <w:tcPr>
            <w:tcW w:w="1660" w:type="pct"/>
            <w:tcBorders>
              <w:top w:val="nil"/>
              <w:left w:val="nil"/>
              <w:bottom w:val="nil"/>
              <w:right w:val="nil"/>
            </w:tcBorders>
            <w:shd w:val="clear" w:color="auto" w:fill="auto"/>
            <w:noWrap/>
            <w:vAlign w:val="bottom"/>
          </w:tcPr>
          <w:p w14:paraId="6D1C2524" w14:textId="77777777" w:rsidR="00AF1863" w:rsidRPr="00AE4E8D" w:rsidRDefault="00AF1863" w:rsidP="00AF1863">
            <w:pPr>
              <w:jc w:val="right"/>
              <w:rPr>
                <w:rFonts w:ascii="Times New Roman" w:hAnsi="Times New Roman"/>
                <w:sz w:val="18"/>
                <w:szCs w:val="18"/>
                <w:lang w:val="es-ES"/>
              </w:rPr>
            </w:pPr>
          </w:p>
        </w:tc>
      </w:tr>
      <w:tr w:rsidR="00AF1863" w:rsidRPr="00AE4E8D" w14:paraId="12895708"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38CC9E4D"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Depósitos </w:t>
            </w:r>
          </w:p>
        </w:tc>
        <w:tc>
          <w:tcPr>
            <w:tcW w:w="1756" w:type="pct"/>
            <w:tcBorders>
              <w:top w:val="nil"/>
              <w:left w:val="nil"/>
              <w:bottom w:val="nil"/>
              <w:right w:val="nil"/>
            </w:tcBorders>
            <w:shd w:val="clear" w:color="auto" w:fill="auto"/>
            <w:noWrap/>
            <w:vAlign w:val="bottom"/>
          </w:tcPr>
          <w:p w14:paraId="1CE1C312" w14:textId="77777777" w:rsidR="00AF1863" w:rsidRPr="00AE4E8D" w:rsidRDefault="009820CB" w:rsidP="009820CB">
            <w:pPr>
              <w:jc w:val="right"/>
              <w:rPr>
                <w:rFonts w:ascii="Times New Roman" w:hAnsi="Times New Roman"/>
                <w:sz w:val="18"/>
                <w:szCs w:val="18"/>
                <w:lang w:val="es-ES"/>
              </w:rPr>
            </w:pPr>
            <w:r w:rsidRPr="00AE4E8D">
              <w:rPr>
                <w:rFonts w:ascii="Times New Roman" w:hAnsi="Times New Roman"/>
                <w:sz w:val="18"/>
                <w:szCs w:val="18"/>
                <w:lang w:val="es-ES"/>
              </w:rPr>
              <w:t>22.309</w:t>
            </w:r>
          </w:p>
        </w:tc>
        <w:tc>
          <w:tcPr>
            <w:tcW w:w="1660" w:type="pct"/>
            <w:tcBorders>
              <w:top w:val="nil"/>
              <w:left w:val="nil"/>
              <w:bottom w:val="nil"/>
              <w:right w:val="nil"/>
            </w:tcBorders>
            <w:shd w:val="clear" w:color="auto" w:fill="auto"/>
            <w:noWrap/>
            <w:vAlign w:val="bottom"/>
          </w:tcPr>
          <w:p w14:paraId="1C054DE0"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1.344</w:t>
            </w:r>
          </w:p>
        </w:tc>
      </w:tr>
      <w:tr w:rsidR="00AF1863" w:rsidRPr="00AE4E8D" w14:paraId="459D2FA8"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39DC7A6A"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Obligaciones negociables </w:t>
            </w:r>
          </w:p>
        </w:tc>
        <w:tc>
          <w:tcPr>
            <w:tcW w:w="1756" w:type="pct"/>
            <w:tcBorders>
              <w:top w:val="nil"/>
              <w:left w:val="nil"/>
              <w:bottom w:val="nil"/>
              <w:right w:val="nil"/>
            </w:tcBorders>
            <w:shd w:val="clear" w:color="auto" w:fill="auto"/>
            <w:noWrap/>
            <w:vAlign w:val="bottom"/>
          </w:tcPr>
          <w:p w14:paraId="5A510A4D" w14:textId="77777777" w:rsidR="00AF1863" w:rsidRPr="00AE4E8D" w:rsidRDefault="009820CB" w:rsidP="009820CB">
            <w:pPr>
              <w:jc w:val="right"/>
              <w:rPr>
                <w:rFonts w:ascii="Times New Roman" w:hAnsi="Times New Roman"/>
                <w:sz w:val="18"/>
                <w:szCs w:val="18"/>
                <w:lang w:val="es-ES"/>
              </w:rPr>
            </w:pPr>
            <w:r w:rsidRPr="00AE4E8D">
              <w:rPr>
                <w:rFonts w:ascii="Times New Roman" w:hAnsi="Times New Roman"/>
                <w:sz w:val="18"/>
                <w:szCs w:val="18"/>
                <w:lang w:val="es-ES"/>
              </w:rPr>
              <w:t>16.277.293</w:t>
            </w:r>
          </w:p>
        </w:tc>
        <w:tc>
          <w:tcPr>
            <w:tcW w:w="1660" w:type="pct"/>
            <w:tcBorders>
              <w:top w:val="nil"/>
              <w:left w:val="nil"/>
              <w:bottom w:val="nil"/>
              <w:right w:val="nil"/>
            </w:tcBorders>
            <w:shd w:val="clear" w:color="auto" w:fill="auto"/>
            <w:noWrap/>
            <w:vAlign w:val="bottom"/>
          </w:tcPr>
          <w:p w14:paraId="720504FC" w14:textId="77777777" w:rsidR="00AF1863" w:rsidRPr="00AE4E8D" w:rsidRDefault="009820CB" w:rsidP="009820CB">
            <w:pPr>
              <w:jc w:val="right"/>
              <w:rPr>
                <w:rFonts w:ascii="Times New Roman" w:hAnsi="Times New Roman"/>
                <w:sz w:val="18"/>
                <w:szCs w:val="18"/>
                <w:lang w:val="es-ES"/>
              </w:rPr>
            </w:pPr>
            <w:r w:rsidRPr="00AE4E8D">
              <w:rPr>
                <w:rFonts w:ascii="Times New Roman" w:hAnsi="Times New Roman"/>
                <w:sz w:val="18"/>
                <w:szCs w:val="18"/>
                <w:lang w:val="es-ES"/>
              </w:rPr>
              <w:t>980.648</w:t>
            </w:r>
          </w:p>
        </w:tc>
      </w:tr>
      <w:tr w:rsidR="00AF1863" w:rsidRPr="00AE4E8D" w14:paraId="468E86CD"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3A3A2077"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Total deuda de largo plazo</w:t>
            </w:r>
            <w:r w:rsidR="00EB3492" w:rsidRPr="00AE4E8D">
              <w:rPr>
                <w:rFonts w:ascii="Times New Roman" w:hAnsi="Times New Roman"/>
                <w:color w:val="000000"/>
                <w:sz w:val="18"/>
                <w:szCs w:val="18"/>
                <w:lang w:val="es-ES"/>
              </w:rPr>
              <w:t xml:space="preserve"> </w:t>
            </w:r>
          </w:p>
        </w:tc>
        <w:tc>
          <w:tcPr>
            <w:tcW w:w="1756" w:type="pct"/>
            <w:tcBorders>
              <w:top w:val="nil"/>
              <w:left w:val="nil"/>
              <w:bottom w:val="nil"/>
              <w:right w:val="nil"/>
            </w:tcBorders>
            <w:shd w:val="clear" w:color="auto" w:fill="auto"/>
            <w:noWrap/>
            <w:vAlign w:val="bottom"/>
          </w:tcPr>
          <w:p w14:paraId="62FC464D" w14:textId="77777777" w:rsidR="00AF1863" w:rsidRPr="00AE4E8D" w:rsidRDefault="009820CB" w:rsidP="009820CB">
            <w:pPr>
              <w:jc w:val="right"/>
              <w:rPr>
                <w:rFonts w:ascii="Times New Roman" w:hAnsi="Times New Roman"/>
                <w:b/>
                <w:sz w:val="18"/>
                <w:szCs w:val="18"/>
                <w:lang w:val="es-ES"/>
              </w:rPr>
            </w:pPr>
            <w:r w:rsidRPr="00AE4E8D">
              <w:rPr>
                <w:rFonts w:ascii="Times New Roman" w:hAnsi="Times New Roman"/>
                <w:b/>
                <w:sz w:val="18"/>
                <w:szCs w:val="18"/>
                <w:lang w:val="es-ES"/>
              </w:rPr>
              <w:t>16.299.602</w:t>
            </w:r>
          </w:p>
        </w:tc>
        <w:tc>
          <w:tcPr>
            <w:tcW w:w="1660" w:type="pct"/>
            <w:tcBorders>
              <w:top w:val="nil"/>
              <w:left w:val="nil"/>
              <w:bottom w:val="nil"/>
              <w:right w:val="nil"/>
            </w:tcBorders>
            <w:shd w:val="clear" w:color="auto" w:fill="auto"/>
            <w:noWrap/>
            <w:vAlign w:val="bottom"/>
          </w:tcPr>
          <w:p w14:paraId="0321E659" w14:textId="77777777" w:rsidR="00AF1863" w:rsidRPr="00AE4E8D" w:rsidRDefault="009820CB" w:rsidP="009820CB">
            <w:pPr>
              <w:jc w:val="right"/>
              <w:rPr>
                <w:rFonts w:ascii="Times New Roman" w:hAnsi="Times New Roman"/>
                <w:b/>
                <w:sz w:val="18"/>
                <w:szCs w:val="18"/>
                <w:lang w:val="es-ES"/>
              </w:rPr>
            </w:pPr>
            <w:r w:rsidRPr="00AE4E8D">
              <w:rPr>
                <w:rFonts w:ascii="Times New Roman" w:hAnsi="Times New Roman"/>
                <w:b/>
                <w:sz w:val="18"/>
                <w:szCs w:val="18"/>
                <w:lang w:val="es-ES"/>
              </w:rPr>
              <w:t>981.992</w:t>
            </w:r>
          </w:p>
        </w:tc>
      </w:tr>
      <w:tr w:rsidR="00AF1863" w:rsidRPr="00AE4E8D" w14:paraId="41048B5E"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64D62F3A" w14:textId="77777777" w:rsidR="00AF1863" w:rsidRPr="00AE4E8D" w:rsidRDefault="00AF1863" w:rsidP="00AF1863">
            <w:pPr>
              <w:jc w:val="both"/>
              <w:rPr>
                <w:rFonts w:ascii="Times New Roman" w:hAnsi="Times New Roman"/>
                <w:color w:val="000000"/>
                <w:sz w:val="18"/>
                <w:szCs w:val="18"/>
                <w:lang w:val="es-ES"/>
              </w:rPr>
            </w:pPr>
          </w:p>
        </w:tc>
        <w:tc>
          <w:tcPr>
            <w:tcW w:w="1756" w:type="pct"/>
            <w:tcBorders>
              <w:top w:val="nil"/>
              <w:left w:val="nil"/>
              <w:bottom w:val="nil"/>
              <w:right w:val="nil"/>
            </w:tcBorders>
            <w:shd w:val="clear" w:color="auto" w:fill="auto"/>
            <w:noWrap/>
            <w:vAlign w:val="bottom"/>
          </w:tcPr>
          <w:p w14:paraId="07DEC33A" w14:textId="77777777" w:rsidR="00AF1863" w:rsidRPr="00AE4E8D" w:rsidRDefault="00AF1863" w:rsidP="00AF1863">
            <w:pPr>
              <w:jc w:val="right"/>
              <w:rPr>
                <w:rFonts w:ascii="Times New Roman" w:hAnsi="Times New Roman"/>
                <w:sz w:val="18"/>
                <w:szCs w:val="18"/>
                <w:lang w:val="es-ES"/>
              </w:rPr>
            </w:pPr>
          </w:p>
        </w:tc>
        <w:tc>
          <w:tcPr>
            <w:tcW w:w="1660" w:type="pct"/>
            <w:tcBorders>
              <w:top w:val="nil"/>
              <w:left w:val="nil"/>
              <w:bottom w:val="nil"/>
              <w:right w:val="nil"/>
            </w:tcBorders>
            <w:shd w:val="clear" w:color="auto" w:fill="auto"/>
            <w:noWrap/>
            <w:vAlign w:val="bottom"/>
          </w:tcPr>
          <w:p w14:paraId="07F444EA" w14:textId="77777777" w:rsidR="00AF1863" w:rsidRPr="00AE4E8D" w:rsidRDefault="00AF1863" w:rsidP="00AF1863">
            <w:pPr>
              <w:jc w:val="right"/>
              <w:rPr>
                <w:rFonts w:ascii="Times New Roman" w:hAnsi="Times New Roman"/>
                <w:sz w:val="18"/>
                <w:szCs w:val="18"/>
                <w:lang w:val="es-ES"/>
              </w:rPr>
            </w:pPr>
          </w:p>
        </w:tc>
      </w:tr>
      <w:tr w:rsidR="00AF1863" w:rsidRPr="00AE4E8D" w14:paraId="754890EB"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66635E20" w14:textId="77777777" w:rsidR="00AF1863" w:rsidRPr="00AE4E8D" w:rsidRDefault="00AF1863" w:rsidP="00AF1863">
            <w:pPr>
              <w:jc w:val="both"/>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Capital:</w:t>
            </w:r>
            <w:r w:rsidRPr="00AE4E8D">
              <w:rPr>
                <w:rFonts w:ascii="Times New Roman" w:hAnsi="Times New Roman"/>
                <w:color w:val="000000"/>
                <w:sz w:val="18"/>
                <w:szCs w:val="18"/>
                <w:lang w:val="es-ES"/>
              </w:rPr>
              <w:t xml:space="preserve"> </w:t>
            </w:r>
          </w:p>
        </w:tc>
        <w:tc>
          <w:tcPr>
            <w:tcW w:w="1756" w:type="pct"/>
            <w:tcBorders>
              <w:top w:val="nil"/>
              <w:left w:val="nil"/>
              <w:bottom w:val="nil"/>
              <w:right w:val="nil"/>
            </w:tcBorders>
            <w:shd w:val="clear" w:color="auto" w:fill="auto"/>
            <w:noWrap/>
            <w:vAlign w:val="bottom"/>
          </w:tcPr>
          <w:p w14:paraId="0D1EEEAF" w14:textId="77777777" w:rsidR="00AF1863" w:rsidRPr="00AE4E8D" w:rsidRDefault="00AF1863" w:rsidP="00AF1863">
            <w:pPr>
              <w:jc w:val="right"/>
              <w:rPr>
                <w:rFonts w:ascii="Times New Roman" w:hAnsi="Times New Roman"/>
                <w:sz w:val="18"/>
                <w:szCs w:val="18"/>
                <w:lang w:val="es-ES"/>
              </w:rPr>
            </w:pPr>
          </w:p>
        </w:tc>
        <w:tc>
          <w:tcPr>
            <w:tcW w:w="1660" w:type="pct"/>
            <w:tcBorders>
              <w:top w:val="nil"/>
              <w:left w:val="nil"/>
              <w:bottom w:val="nil"/>
              <w:right w:val="nil"/>
            </w:tcBorders>
            <w:shd w:val="clear" w:color="auto" w:fill="auto"/>
            <w:noWrap/>
            <w:vAlign w:val="bottom"/>
          </w:tcPr>
          <w:p w14:paraId="76B7691E" w14:textId="77777777" w:rsidR="00AF1863" w:rsidRPr="00AE4E8D" w:rsidRDefault="00AF1863" w:rsidP="00AF1863">
            <w:pPr>
              <w:jc w:val="right"/>
              <w:rPr>
                <w:rFonts w:ascii="Times New Roman" w:hAnsi="Times New Roman"/>
                <w:sz w:val="18"/>
                <w:szCs w:val="18"/>
                <w:lang w:val="es-ES"/>
              </w:rPr>
            </w:pPr>
          </w:p>
        </w:tc>
      </w:tr>
      <w:tr w:rsidR="00AF1863" w:rsidRPr="00AE4E8D" w14:paraId="6BA6F96C"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7BEC6C4C"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Capital social (3) </w:t>
            </w:r>
          </w:p>
        </w:tc>
        <w:tc>
          <w:tcPr>
            <w:tcW w:w="1756" w:type="pct"/>
            <w:tcBorders>
              <w:top w:val="nil"/>
              <w:left w:val="nil"/>
              <w:bottom w:val="nil"/>
              <w:right w:val="nil"/>
            </w:tcBorders>
            <w:shd w:val="clear" w:color="auto" w:fill="auto"/>
            <w:noWrap/>
            <w:vAlign w:val="bottom"/>
          </w:tcPr>
          <w:p w14:paraId="38039339"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1.500.000</w:t>
            </w:r>
          </w:p>
        </w:tc>
        <w:tc>
          <w:tcPr>
            <w:tcW w:w="1660" w:type="pct"/>
            <w:tcBorders>
              <w:top w:val="nil"/>
              <w:left w:val="nil"/>
              <w:bottom w:val="nil"/>
              <w:right w:val="nil"/>
            </w:tcBorders>
            <w:shd w:val="clear" w:color="auto" w:fill="auto"/>
            <w:noWrap/>
            <w:vAlign w:val="bottom"/>
          </w:tcPr>
          <w:p w14:paraId="7C33D608"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90.370</w:t>
            </w:r>
          </w:p>
        </w:tc>
      </w:tr>
      <w:tr w:rsidR="00AF1863" w:rsidRPr="00AE4E8D" w14:paraId="54C0B6AE"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7FBBA2A3"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Aportes no capitalizados </w:t>
            </w:r>
          </w:p>
        </w:tc>
        <w:tc>
          <w:tcPr>
            <w:tcW w:w="1756" w:type="pct"/>
            <w:tcBorders>
              <w:top w:val="nil"/>
              <w:left w:val="nil"/>
              <w:bottom w:val="nil"/>
              <w:right w:val="nil"/>
            </w:tcBorders>
            <w:shd w:val="clear" w:color="auto" w:fill="auto"/>
            <w:noWrap/>
            <w:vAlign w:val="bottom"/>
          </w:tcPr>
          <w:p w14:paraId="5C5B3189"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834</w:t>
            </w:r>
          </w:p>
        </w:tc>
        <w:tc>
          <w:tcPr>
            <w:tcW w:w="1660" w:type="pct"/>
            <w:tcBorders>
              <w:top w:val="nil"/>
              <w:left w:val="nil"/>
              <w:bottom w:val="nil"/>
              <w:right w:val="nil"/>
            </w:tcBorders>
            <w:shd w:val="clear" w:color="auto" w:fill="auto"/>
            <w:noWrap/>
            <w:vAlign w:val="bottom"/>
          </w:tcPr>
          <w:p w14:paraId="31884B62"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50</w:t>
            </w:r>
          </w:p>
        </w:tc>
      </w:tr>
      <w:tr w:rsidR="00AF1863" w:rsidRPr="00AE4E8D" w14:paraId="1E1615E3"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002D2761"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Ajustes al patrimonio </w:t>
            </w:r>
          </w:p>
        </w:tc>
        <w:tc>
          <w:tcPr>
            <w:tcW w:w="1756" w:type="pct"/>
            <w:tcBorders>
              <w:top w:val="nil"/>
              <w:left w:val="nil"/>
              <w:bottom w:val="nil"/>
              <w:right w:val="nil"/>
            </w:tcBorders>
            <w:shd w:val="clear" w:color="auto" w:fill="auto"/>
            <w:noWrap/>
            <w:vAlign w:val="bottom"/>
          </w:tcPr>
          <w:p w14:paraId="5F4C5282"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717.115</w:t>
            </w:r>
          </w:p>
        </w:tc>
        <w:tc>
          <w:tcPr>
            <w:tcW w:w="1660" w:type="pct"/>
            <w:tcBorders>
              <w:top w:val="nil"/>
              <w:left w:val="nil"/>
              <w:bottom w:val="nil"/>
              <w:right w:val="nil"/>
            </w:tcBorders>
            <w:shd w:val="clear" w:color="auto" w:fill="auto"/>
            <w:noWrap/>
            <w:vAlign w:val="bottom"/>
          </w:tcPr>
          <w:p w14:paraId="0E062DC2"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43.204</w:t>
            </w:r>
          </w:p>
        </w:tc>
      </w:tr>
      <w:tr w:rsidR="00AF1863" w:rsidRPr="00AE4E8D" w14:paraId="2D51F441"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505277F6"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Reserva legal (4) </w:t>
            </w:r>
          </w:p>
        </w:tc>
        <w:tc>
          <w:tcPr>
            <w:tcW w:w="1756" w:type="pct"/>
            <w:tcBorders>
              <w:top w:val="nil"/>
              <w:left w:val="nil"/>
              <w:bottom w:val="nil"/>
              <w:right w:val="nil"/>
            </w:tcBorders>
            <w:shd w:val="clear" w:color="auto" w:fill="auto"/>
            <w:noWrap/>
            <w:vAlign w:val="bottom"/>
          </w:tcPr>
          <w:p w14:paraId="06D0F1AF"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1.129.962</w:t>
            </w:r>
          </w:p>
        </w:tc>
        <w:tc>
          <w:tcPr>
            <w:tcW w:w="1660" w:type="pct"/>
            <w:tcBorders>
              <w:top w:val="nil"/>
              <w:left w:val="nil"/>
              <w:bottom w:val="nil"/>
              <w:right w:val="nil"/>
            </w:tcBorders>
            <w:shd w:val="clear" w:color="auto" w:fill="auto"/>
            <w:noWrap/>
            <w:vAlign w:val="bottom"/>
          </w:tcPr>
          <w:p w14:paraId="18D48DD5"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68.076</w:t>
            </w:r>
          </w:p>
        </w:tc>
      </w:tr>
      <w:tr w:rsidR="00AF1863" w:rsidRPr="00AE4E8D" w14:paraId="4EFD7E6A"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3C142D37"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Otras reservas </w:t>
            </w:r>
          </w:p>
        </w:tc>
        <w:tc>
          <w:tcPr>
            <w:tcW w:w="1756" w:type="pct"/>
            <w:tcBorders>
              <w:top w:val="nil"/>
              <w:left w:val="nil"/>
              <w:bottom w:val="nil"/>
              <w:right w:val="nil"/>
            </w:tcBorders>
            <w:shd w:val="clear" w:color="auto" w:fill="auto"/>
            <w:noWrap/>
            <w:vAlign w:val="bottom"/>
          </w:tcPr>
          <w:p w14:paraId="6D177B62"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1.052.465</w:t>
            </w:r>
          </w:p>
        </w:tc>
        <w:tc>
          <w:tcPr>
            <w:tcW w:w="1660" w:type="pct"/>
            <w:tcBorders>
              <w:top w:val="nil"/>
              <w:left w:val="nil"/>
              <w:bottom w:val="nil"/>
              <w:right w:val="nil"/>
            </w:tcBorders>
            <w:shd w:val="clear" w:color="auto" w:fill="auto"/>
            <w:noWrap/>
            <w:vAlign w:val="bottom"/>
          </w:tcPr>
          <w:p w14:paraId="38E547BA"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63.407</w:t>
            </w:r>
          </w:p>
        </w:tc>
      </w:tr>
      <w:tr w:rsidR="00AF1863" w:rsidRPr="00AE4E8D" w14:paraId="24F339C6"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6DE78C29" w14:textId="77777777" w:rsidR="00AF1863" w:rsidRPr="00AE4E8D" w:rsidRDefault="00AF1863" w:rsidP="00AF1863">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Resultado acumulado </w:t>
            </w:r>
          </w:p>
        </w:tc>
        <w:tc>
          <w:tcPr>
            <w:tcW w:w="1756" w:type="pct"/>
            <w:tcBorders>
              <w:top w:val="nil"/>
              <w:left w:val="nil"/>
              <w:bottom w:val="nil"/>
              <w:right w:val="nil"/>
            </w:tcBorders>
            <w:shd w:val="clear" w:color="auto" w:fill="auto"/>
            <w:noWrap/>
            <w:vAlign w:val="bottom"/>
          </w:tcPr>
          <w:p w14:paraId="66F8F10F"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2.280.829</w:t>
            </w:r>
          </w:p>
        </w:tc>
        <w:tc>
          <w:tcPr>
            <w:tcW w:w="1660" w:type="pct"/>
            <w:tcBorders>
              <w:top w:val="nil"/>
              <w:left w:val="nil"/>
              <w:bottom w:val="nil"/>
              <w:right w:val="nil"/>
            </w:tcBorders>
            <w:shd w:val="clear" w:color="auto" w:fill="auto"/>
            <w:noWrap/>
            <w:vAlign w:val="bottom"/>
          </w:tcPr>
          <w:p w14:paraId="7744C980"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137.412</w:t>
            </w:r>
          </w:p>
        </w:tc>
      </w:tr>
      <w:tr w:rsidR="00AF1863" w:rsidRPr="00AE4E8D" w14:paraId="6E131589"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21FC2797" w14:textId="77777777" w:rsidR="00AF1863" w:rsidRPr="00AE4E8D" w:rsidRDefault="00AF1863" w:rsidP="00AF1863">
            <w:pPr>
              <w:jc w:val="both"/>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Total patrimonio neto</w:t>
            </w:r>
            <w:r w:rsidRPr="00AE4E8D">
              <w:rPr>
                <w:rFonts w:ascii="Times New Roman" w:hAnsi="Times New Roman"/>
                <w:color w:val="000000"/>
                <w:sz w:val="18"/>
                <w:szCs w:val="18"/>
                <w:lang w:val="es-ES"/>
              </w:rPr>
              <w:t xml:space="preserve"> </w:t>
            </w:r>
          </w:p>
        </w:tc>
        <w:tc>
          <w:tcPr>
            <w:tcW w:w="1756" w:type="pct"/>
            <w:tcBorders>
              <w:top w:val="nil"/>
              <w:left w:val="nil"/>
              <w:bottom w:val="nil"/>
              <w:right w:val="nil"/>
            </w:tcBorders>
            <w:shd w:val="clear" w:color="auto" w:fill="auto"/>
            <w:noWrap/>
            <w:vAlign w:val="bottom"/>
          </w:tcPr>
          <w:p w14:paraId="61878A58" w14:textId="77777777" w:rsidR="00AF1863" w:rsidRPr="00AE4E8D" w:rsidRDefault="00AF1863" w:rsidP="00AF1863">
            <w:pPr>
              <w:jc w:val="right"/>
              <w:rPr>
                <w:rFonts w:ascii="Times New Roman" w:hAnsi="Times New Roman"/>
                <w:b/>
                <w:sz w:val="18"/>
                <w:szCs w:val="18"/>
                <w:lang w:val="es-ES"/>
              </w:rPr>
            </w:pPr>
            <w:r w:rsidRPr="00AE4E8D">
              <w:rPr>
                <w:rFonts w:ascii="Times New Roman" w:hAnsi="Times New Roman"/>
                <w:b/>
                <w:sz w:val="18"/>
                <w:szCs w:val="18"/>
                <w:lang w:val="es-ES"/>
              </w:rPr>
              <w:t>6.681.205</w:t>
            </w:r>
          </w:p>
        </w:tc>
        <w:tc>
          <w:tcPr>
            <w:tcW w:w="1660" w:type="pct"/>
            <w:tcBorders>
              <w:top w:val="nil"/>
              <w:left w:val="nil"/>
              <w:bottom w:val="nil"/>
              <w:right w:val="nil"/>
            </w:tcBorders>
            <w:shd w:val="clear" w:color="auto" w:fill="auto"/>
            <w:noWrap/>
            <w:vAlign w:val="bottom"/>
          </w:tcPr>
          <w:p w14:paraId="27D33E8B" w14:textId="77777777" w:rsidR="00AF1863" w:rsidRPr="00AE4E8D" w:rsidRDefault="00AF1863" w:rsidP="00AF1863">
            <w:pPr>
              <w:jc w:val="right"/>
              <w:rPr>
                <w:rFonts w:ascii="Times New Roman" w:hAnsi="Times New Roman"/>
                <w:b/>
                <w:sz w:val="18"/>
                <w:szCs w:val="18"/>
                <w:lang w:val="es-ES"/>
              </w:rPr>
            </w:pPr>
            <w:r w:rsidRPr="00AE4E8D">
              <w:rPr>
                <w:rFonts w:ascii="Times New Roman" w:hAnsi="Times New Roman"/>
                <w:b/>
                <w:sz w:val="18"/>
                <w:szCs w:val="18"/>
                <w:lang w:val="es-ES"/>
              </w:rPr>
              <w:t>402.519</w:t>
            </w:r>
          </w:p>
        </w:tc>
      </w:tr>
      <w:tr w:rsidR="00AF1863" w:rsidRPr="00AE4E8D" w14:paraId="47E02803"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6D2E2E11" w14:textId="77777777" w:rsidR="00AF1863" w:rsidRPr="00AE4E8D" w:rsidRDefault="00AF1863" w:rsidP="00AF1863">
            <w:pPr>
              <w:jc w:val="both"/>
              <w:rPr>
                <w:rFonts w:ascii="Times New Roman" w:hAnsi="Times New Roman"/>
                <w:b/>
                <w:bCs/>
                <w:color w:val="000000"/>
                <w:sz w:val="18"/>
                <w:szCs w:val="18"/>
                <w:lang w:val="es-ES"/>
              </w:rPr>
            </w:pPr>
          </w:p>
        </w:tc>
        <w:tc>
          <w:tcPr>
            <w:tcW w:w="1756" w:type="pct"/>
            <w:tcBorders>
              <w:top w:val="nil"/>
              <w:left w:val="nil"/>
              <w:bottom w:val="nil"/>
              <w:right w:val="nil"/>
            </w:tcBorders>
            <w:shd w:val="clear" w:color="auto" w:fill="auto"/>
            <w:noWrap/>
            <w:vAlign w:val="bottom"/>
          </w:tcPr>
          <w:p w14:paraId="1FAA2169" w14:textId="77777777" w:rsidR="00AF1863" w:rsidRPr="00AE4E8D" w:rsidRDefault="00AF1863" w:rsidP="00AF1863">
            <w:pPr>
              <w:jc w:val="right"/>
              <w:rPr>
                <w:rFonts w:ascii="Times New Roman" w:hAnsi="Times New Roman"/>
                <w:sz w:val="18"/>
                <w:szCs w:val="18"/>
                <w:lang w:val="es-ES"/>
              </w:rPr>
            </w:pPr>
          </w:p>
        </w:tc>
        <w:tc>
          <w:tcPr>
            <w:tcW w:w="1660" w:type="pct"/>
            <w:tcBorders>
              <w:top w:val="nil"/>
              <w:left w:val="nil"/>
              <w:bottom w:val="nil"/>
              <w:right w:val="nil"/>
            </w:tcBorders>
            <w:shd w:val="clear" w:color="auto" w:fill="auto"/>
            <w:noWrap/>
            <w:vAlign w:val="bottom"/>
          </w:tcPr>
          <w:p w14:paraId="5CD08DE3" w14:textId="77777777" w:rsidR="00AF1863" w:rsidRPr="00AE4E8D" w:rsidRDefault="00AF1863" w:rsidP="00AF1863">
            <w:pPr>
              <w:jc w:val="right"/>
              <w:rPr>
                <w:rFonts w:ascii="Times New Roman" w:hAnsi="Times New Roman"/>
                <w:sz w:val="18"/>
                <w:szCs w:val="18"/>
                <w:lang w:val="es-ES"/>
              </w:rPr>
            </w:pPr>
          </w:p>
        </w:tc>
      </w:tr>
      <w:tr w:rsidR="00AF1863" w:rsidRPr="00AE4E8D" w14:paraId="1E8352AA" w14:textId="77777777" w:rsidTr="000400C8">
        <w:trPr>
          <w:trHeight w:val="288"/>
          <w:jc w:val="center"/>
        </w:trPr>
        <w:tc>
          <w:tcPr>
            <w:tcW w:w="1584" w:type="pct"/>
            <w:tcBorders>
              <w:top w:val="nil"/>
              <w:left w:val="nil"/>
              <w:bottom w:val="nil"/>
              <w:right w:val="nil"/>
            </w:tcBorders>
            <w:shd w:val="clear" w:color="auto" w:fill="auto"/>
            <w:noWrap/>
            <w:vAlign w:val="center"/>
            <w:hideMark/>
          </w:tcPr>
          <w:p w14:paraId="7D6BE02A" w14:textId="77777777" w:rsidR="00AF1863" w:rsidRPr="00AE4E8D" w:rsidRDefault="00AF1863" w:rsidP="00AF1863">
            <w:pPr>
              <w:jc w:val="both"/>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Capitalización total</w:t>
            </w:r>
            <w:r w:rsidRPr="00AE4E8D">
              <w:rPr>
                <w:rFonts w:ascii="Times New Roman" w:hAnsi="Times New Roman"/>
                <w:color w:val="000000"/>
                <w:sz w:val="18"/>
                <w:szCs w:val="18"/>
                <w:lang w:val="es-ES"/>
              </w:rPr>
              <w:t xml:space="preserve"> </w:t>
            </w:r>
          </w:p>
        </w:tc>
        <w:tc>
          <w:tcPr>
            <w:tcW w:w="1756" w:type="pct"/>
            <w:tcBorders>
              <w:top w:val="nil"/>
              <w:left w:val="nil"/>
              <w:bottom w:val="nil"/>
              <w:right w:val="nil"/>
            </w:tcBorders>
            <w:shd w:val="clear" w:color="auto" w:fill="auto"/>
            <w:noWrap/>
            <w:vAlign w:val="bottom"/>
          </w:tcPr>
          <w:p w14:paraId="2E83ACBC"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46.309.057</w:t>
            </w:r>
          </w:p>
        </w:tc>
        <w:tc>
          <w:tcPr>
            <w:tcW w:w="1660" w:type="pct"/>
            <w:tcBorders>
              <w:top w:val="nil"/>
              <w:left w:val="nil"/>
              <w:bottom w:val="nil"/>
              <w:right w:val="nil"/>
            </w:tcBorders>
            <w:shd w:val="clear" w:color="auto" w:fill="auto"/>
            <w:noWrap/>
            <w:vAlign w:val="bottom"/>
          </w:tcPr>
          <w:p w14:paraId="0C867D58" w14:textId="77777777" w:rsidR="00AF1863" w:rsidRPr="00AE4E8D" w:rsidRDefault="00AF1863" w:rsidP="00AF1863">
            <w:pPr>
              <w:jc w:val="right"/>
              <w:rPr>
                <w:rFonts w:ascii="Times New Roman" w:hAnsi="Times New Roman"/>
                <w:sz w:val="18"/>
                <w:szCs w:val="18"/>
                <w:lang w:val="es-ES"/>
              </w:rPr>
            </w:pPr>
            <w:r w:rsidRPr="00AE4E8D">
              <w:rPr>
                <w:rFonts w:ascii="Times New Roman" w:hAnsi="Times New Roman"/>
                <w:sz w:val="18"/>
                <w:szCs w:val="18"/>
                <w:lang w:val="es-ES"/>
              </w:rPr>
              <w:t>2.789.954</w:t>
            </w:r>
          </w:p>
        </w:tc>
      </w:tr>
      <w:tr w:rsidR="00AF1863" w:rsidRPr="00AE4E8D" w14:paraId="7AAD6964" w14:textId="77777777" w:rsidTr="000400C8">
        <w:trPr>
          <w:trHeight w:val="288"/>
          <w:jc w:val="center"/>
        </w:trPr>
        <w:tc>
          <w:tcPr>
            <w:tcW w:w="1584" w:type="pct"/>
            <w:tcBorders>
              <w:top w:val="nil"/>
              <w:left w:val="nil"/>
              <w:bottom w:val="nil"/>
              <w:right w:val="nil"/>
            </w:tcBorders>
            <w:shd w:val="clear" w:color="auto" w:fill="auto"/>
            <w:noWrap/>
            <w:vAlign w:val="center"/>
          </w:tcPr>
          <w:p w14:paraId="2F07185A" w14:textId="77777777" w:rsidR="00AF1863" w:rsidRPr="00AE4E8D" w:rsidRDefault="00AF1863" w:rsidP="00AF1863">
            <w:pPr>
              <w:jc w:val="both"/>
              <w:rPr>
                <w:rFonts w:ascii="Times New Roman" w:hAnsi="Times New Roman"/>
                <w:b/>
                <w:bCs/>
                <w:color w:val="000000"/>
                <w:sz w:val="18"/>
                <w:szCs w:val="18"/>
                <w:lang w:val="es-ES"/>
              </w:rPr>
            </w:pPr>
          </w:p>
        </w:tc>
        <w:tc>
          <w:tcPr>
            <w:tcW w:w="1756" w:type="pct"/>
            <w:tcBorders>
              <w:top w:val="nil"/>
              <w:left w:val="nil"/>
              <w:bottom w:val="nil"/>
              <w:right w:val="nil"/>
            </w:tcBorders>
            <w:shd w:val="clear" w:color="auto" w:fill="auto"/>
            <w:noWrap/>
            <w:vAlign w:val="bottom"/>
          </w:tcPr>
          <w:p w14:paraId="3E3E114F" w14:textId="77777777" w:rsidR="00AF1863" w:rsidRPr="00AE4E8D" w:rsidRDefault="00AF1863" w:rsidP="00AF1863">
            <w:pPr>
              <w:jc w:val="right"/>
              <w:rPr>
                <w:rFonts w:ascii="Times New Roman" w:hAnsi="Times New Roman"/>
                <w:sz w:val="18"/>
                <w:szCs w:val="18"/>
                <w:lang w:val="es-ES"/>
              </w:rPr>
            </w:pPr>
          </w:p>
        </w:tc>
        <w:tc>
          <w:tcPr>
            <w:tcW w:w="1660" w:type="pct"/>
            <w:tcBorders>
              <w:top w:val="nil"/>
              <w:left w:val="nil"/>
              <w:bottom w:val="nil"/>
              <w:right w:val="nil"/>
            </w:tcBorders>
            <w:shd w:val="clear" w:color="auto" w:fill="auto"/>
            <w:noWrap/>
            <w:vAlign w:val="bottom"/>
          </w:tcPr>
          <w:p w14:paraId="6E2ACAA7" w14:textId="77777777" w:rsidR="00AF1863" w:rsidRPr="00AE4E8D" w:rsidRDefault="00AF1863" w:rsidP="00AF1863">
            <w:pPr>
              <w:jc w:val="right"/>
              <w:rPr>
                <w:rFonts w:ascii="Times New Roman" w:hAnsi="Times New Roman"/>
                <w:sz w:val="18"/>
                <w:szCs w:val="18"/>
                <w:lang w:val="es-ES"/>
              </w:rPr>
            </w:pPr>
          </w:p>
        </w:tc>
      </w:tr>
    </w:tbl>
    <w:p w14:paraId="69B123ED" w14:textId="77777777" w:rsidR="00AF1863" w:rsidRPr="00AE4E8D" w:rsidRDefault="00AF1863" w:rsidP="00933012">
      <w:pPr>
        <w:numPr>
          <w:ilvl w:val="0"/>
          <w:numId w:val="45"/>
        </w:numPr>
        <w:autoSpaceDE w:val="0"/>
        <w:autoSpaceDN w:val="0"/>
        <w:adjustRightInd w:val="0"/>
        <w:jc w:val="both"/>
        <w:rPr>
          <w:rFonts w:ascii="Times New Roman" w:hAnsi="Times New Roman"/>
          <w:lang w:val="es-ES" w:eastAsia="es-AR"/>
        </w:rPr>
      </w:pPr>
      <w:r w:rsidRPr="00AE4E8D">
        <w:rPr>
          <w:rFonts w:ascii="Times New Roman" w:hAnsi="Times New Roman"/>
          <w:color w:val="000000"/>
          <w:sz w:val="16"/>
          <w:szCs w:val="16"/>
          <w:lang w:val="es-ES" w:eastAsia="es-AR"/>
        </w:rPr>
        <w:t xml:space="preserve">El tipo de cambio utilizado a los fines de la conversión de los </w:t>
      </w:r>
      <w:r w:rsidR="005C363D" w:rsidRPr="00AE4E8D">
        <w:rPr>
          <w:rFonts w:ascii="Times New Roman" w:hAnsi="Times New Roman"/>
          <w:color w:val="000000"/>
          <w:sz w:val="16"/>
          <w:szCs w:val="16"/>
          <w:lang w:val="es-ES" w:eastAsia="es-AR"/>
        </w:rPr>
        <w:t xml:space="preserve">montos </w:t>
      </w:r>
      <w:r w:rsidRPr="00AE4E8D">
        <w:rPr>
          <w:rFonts w:ascii="Times New Roman" w:hAnsi="Times New Roman"/>
          <w:color w:val="000000"/>
          <w:sz w:val="16"/>
          <w:szCs w:val="16"/>
          <w:lang w:val="es-ES" w:eastAsia="es-AR"/>
        </w:rPr>
        <w:t>al 30 de junio</w:t>
      </w:r>
      <w:r w:rsidRPr="00AE4E8D">
        <w:rPr>
          <w:rFonts w:ascii="Times New Roman" w:hAnsi="Times New Roman"/>
          <w:sz w:val="16"/>
          <w:szCs w:val="16"/>
          <w:lang w:val="es-ES" w:eastAsia="es-AR"/>
        </w:rPr>
        <w:t xml:space="preserve"> de 2017 fue Ps.16</w:t>
      </w:r>
      <w:proofErr w:type="gramStart"/>
      <w:r w:rsidRPr="00AE4E8D">
        <w:rPr>
          <w:rFonts w:ascii="Times New Roman" w:hAnsi="Times New Roman"/>
          <w:sz w:val="16"/>
          <w:szCs w:val="16"/>
          <w:lang w:val="es-ES" w:eastAsia="es-AR"/>
        </w:rPr>
        <w:t>,5985</w:t>
      </w:r>
      <w:proofErr w:type="gramEnd"/>
      <w:r w:rsidRPr="00AE4E8D">
        <w:rPr>
          <w:rFonts w:ascii="Times New Roman" w:hAnsi="Times New Roman"/>
          <w:sz w:val="16"/>
          <w:szCs w:val="16"/>
          <w:lang w:val="es-ES" w:eastAsia="es-AR"/>
        </w:rPr>
        <w:t xml:space="preserve"> = US$1,00, de acuerdo al tipo de cambio de referencia publicado por el BCRA a esa fecha.</w:t>
      </w:r>
    </w:p>
    <w:p w14:paraId="4BBC2C04" w14:textId="77777777" w:rsidR="00AF1863" w:rsidRPr="00AE4E8D" w:rsidRDefault="00AF1863" w:rsidP="00933012">
      <w:pPr>
        <w:numPr>
          <w:ilvl w:val="0"/>
          <w:numId w:val="45"/>
        </w:numPr>
        <w:autoSpaceDE w:val="0"/>
        <w:autoSpaceDN w:val="0"/>
        <w:adjustRightInd w:val="0"/>
        <w:jc w:val="both"/>
        <w:rPr>
          <w:rFonts w:ascii="Times New Roman" w:hAnsi="Times New Roman"/>
          <w:lang w:val="es-ES" w:eastAsia="es-AR"/>
        </w:rPr>
      </w:pPr>
      <w:r w:rsidRPr="00AE4E8D">
        <w:rPr>
          <w:rFonts w:ascii="Times New Roman" w:hAnsi="Times New Roman"/>
          <w:color w:val="000000"/>
          <w:w w:val="0"/>
          <w:sz w:val="16"/>
          <w:szCs w:val="16"/>
          <w:lang w:val="es-ES" w:eastAsia="es-AR"/>
        </w:rPr>
        <w:t>Deuda a corto plazo es deuda que tiene un vencimiento residual menor o igual a un año desde la fecha de cierre del balance. Deuda a largo plazo es toda otra deuda que exceda ese plazo.</w:t>
      </w:r>
    </w:p>
    <w:p w14:paraId="0CF16508" w14:textId="77777777" w:rsidR="00AF1863" w:rsidRPr="00AE4E8D" w:rsidRDefault="00AF1863" w:rsidP="00933012">
      <w:pPr>
        <w:numPr>
          <w:ilvl w:val="0"/>
          <w:numId w:val="45"/>
        </w:numPr>
        <w:autoSpaceDE w:val="0"/>
        <w:autoSpaceDN w:val="0"/>
        <w:adjustRightInd w:val="0"/>
        <w:jc w:val="both"/>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Incluye capital suscripto e integrado por 1.500.000.000 de acciones ordinarias con un valor nominal de Ps.1 por acción.</w:t>
      </w:r>
    </w:p>
    <w:p w14:paraId="23BD93A3" w14:textId="77777777" w:rsidR="00AF1863" w:rsidRPr="00AE4E8D" w:rsidRDefault="00AF1863" w:rsidP="00933012">
      <w:pPr>
        <w:numPr>
          <w:ilvl w:val="0"/>
          <w:numId w:val="45"/>
        </w:numPr>
        <w:autoSpaceDE w:val="0"/>
        <w:autoSpaceDN w:val="0"/>
        <w:adjustRightInd w:val="0"/>
        <w:jc w:val="both"/>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lastRenderedPageBreak/>
        <w:t xml:space="preserve">Consiste principalmente de reservas legales no distribuibles que son establecidas conforme a las reglamentaciones del BCRA por un monto anual igual </w:t>
      </w:r>
      <w:r w:rsidRPr="00AE4E8D">
        <w:rPr>
          <w:rFonts w:ascii="Times New Roman" w:hAnsi="Times New Roman"/>
          <w:color w:val="000000"/>
          <w:sz w:val="16"/>
          <w:lang w:val="es-ES"/>
        </w:rPr>
        <w:t>al 20,0%</w:t>
      </w:r>
      <w:r w:rsidRPr="00AE4E8D">
        <w:rPr>
          <w:rFonts w:ascii="Times New Roman" w:hAnsi="Times New Roman"/>
          <w:color w:val="000000"/>
          <w:sz w:val="16"/>
          <w:szCs w:val="16"/>
          <w:lang w:val="es-ES" w:eastAsia="es-AR"/>
        </w:rPr>
        <w:t xml:space="preserve"> de la ganancia neta más ajuste de ejercicios anteriores. Las reservas de utilidades solamente pueden utilizarse durante los períodos en los que el Banco tenga pérdidas netas y haya agotado sus reservas. En consecuencia, no podrán distribuirse dividendos si la reserva legal ha sido afectada.</w:t>
      </w:r>
    </w:p>
    <w:p w14:paraId="3AD5A2BE" w14:textId="77777777" w:rsidR="00CB5660" w:rsidRPr="00AE4E8D" w:rsidRDefault="00CB5660" w:rsidP="006659E6">
      <w:pPr>
        <w:pStyle w:val="BH2Izquierda"/>
        <w:rPr>
          <w:lang w:val="es-ES"/>
        </w:rPr>
      </w:pPr>
      <w:bookmarkStart w:id="133" w:name="_Toc414610846"/>
      <w:bookmarkStart w:id="134" w:name="_Toc420062548"/>
      <w:bookmarkStart w:id="135" w:name="_Toc421201326"/>
      <w:bookmarkStart w:id="136" w:name="_Toc495972980"/>
      <w:bookmarkStart w:id="137" w:name="_Toc495399887"/>
      <w:bookmarkStart w:id="138" w:name="_Toc414610847"/>
      <w:bookmarkEnd w:id="132"/>
      <w:r w:rsidRPr="00AE4E8D">
        <w:rPr>
          <w:lang w:val="es-ES"/>
        </w:rPr>
        <w:t>d) Razones para la Oferta y Destino de los Fondos</w:t>
      </w:r>
      <w:bookmarkEnd w:id="133"/>
      <w:bookmarkEnd w:id="134"/>
      <w:bookmarkEnd w:id="135"/>
      <w:bookmarkEnd w:id="136"/>
      <w:bookmarkEnd w:id="137"/>
    </w:p>
    <w:p w14:paraId="30D1144A" w14:textId="77777777" w:rsidR="00CB5660" w:rsidRPr="00AE4E8D" w:rsidRDefault="00CB5660" w:rsidP="0063210E">
      <w:pPr>
        <w:pStyle w:val="BHTexto"/>
        <w:rPr>
          <w:lang w:val="es-ES"/>
        </w:rPr>
      </w:pPr>
      <w:r w:rsidRPr="00AE4E8D">
        <w:rPr>
          <w:lang w:val="es-ES"/>
        </w:rPr>
        <w:t xml:space="preserve">Utilizaremos el producido neto proveniente de la emisión de Obligaciones Negociables en cumplimiento de los requisitos del Artículo 36 de la Ley de Obligaciones Negociables, la Comunicación “A” 3046 del BCRA, modificada y complementada por la Comunicación “A” 5571, junto con sus modificatorias, complementarias y demás regulaciones aplicables, según especifique el respectivo suplemento de precio. </w:t>
      </w:r>
    </w:p>
    <w:p w14:paraId="60041660" w14:textId="77777777" w:rsidR="00CB5660" w:rsidRPr="00AE4E8D" w:rsidRDefault="00CB5660" w:rsidP="0063210E">
      <w:pPr>
        <w:pStyle w:val="BHTexto"/>
        <w:rPr>
          <w:lang w:val="es-ES"/>
        </w:rPr>
      </w:pPr>
      <w:r w:rsidRPr="00AE4E8D">
        <w:rPr>
          <w:lang w:val="es-ES"/>
        </w:rPr>
        <w:t>El Artículo 36 de la Ley de Obligaciones Negociables y la referida Comunicación del BCRA exigen que destinemos tales fondos a:</w:t>
      </w:r>
    </w:p>
    <w:p w14:paraId="17DB4342" w14:textId="77777777" w:rsidR="00CB5660" w:rsidRPr="00AE4E8D" w:rsidRDefault="00CB5660" w:rsidP="000668B5">
      <w:pPr>
        <w:pStyle w:val="BHTexto"/>
        <w:numPr>
          <w:ilvl w:val="0"/>
          <w:numId w:val="85"/>
        </w:numPr>
        <w:rPr>
          <w:lang w:val="es-ES"/>
        </w:rPr>
      </w:pPr>
      <w:r w:rsidRPr="00AE4E8D">
        <w:rPr>
          <w:lang w:val="es-ES"/>
        </w:rPr>
        <w:t>capital de trabajo en Argentina;</w:t>
      </w:r>
    </w:p>
    <w:p w14:paraId="51B00169" w14:textId="77777777" w:rsidR="00CB5660" w:rsidRPr="00AE4E8D" w:rsidRDefault="00CB5660" w:rsidP="000668B5">
      <w:pPr>
        <w:pStyle w:val="BHTexto"/>
        <w:numPr>
          <w:ilvl w:val="0"/>
          <w:numId w:val="85"/>
        </w:numPr>
        <w:rPr>
          <w:lang w:val="es-ES"/>
        </w:rPr>
      </w:pPr>
      <w:r w:rsidRPr="00AE4E8D">
        <w:rPr>
          <w:lang w:val="es-ES"/>
        </w:rPr>
        <w:t>inversiones en activos físicos ubicados en Argentina;</w:t>
      </w:r>
    </w:p>
    <w:p w14:paraId="6832E917" w14:textId="77777777" w:rsidR="00CB5660" w:rsidRPr="00AE4E8D" w:rsidRDefault="00CB5660" w:rsidP="000668B5">
      <w:pPr>
        <w:pStyle w:val="BHTexto"/>
        <w:numPr>
          <w:ilvl w:val="0"/>
          <w:numId w:val="85"/>
        </w:numPr>
        <w:rPr>
          <w:lang w:val="es-ES"/>
        </w:rPr>
      </w:pPr>
      <w:r w:rsidRPr="00AE4E8D">
        <w:rPr>
          <w:lang w:val="es-ES"/>
        </w:rPr>
        <w:t>refinanciación de deuda pendiente de pago;</w:t>
      </w:r>
    </w:p>
    <w:p w14:paraId="0425104B" w14:textId="77777777" w:rsidR="00CB5660" w:rsidRPr="00AE4E8D" w:rsidRDefault="00CB5660" w:rsidP="000668B5">
      <w:pPr>
        <w:pStyle w:val="BHTexto"/>
        <w:numPr>
          <w:ilvl w:val="0"/>
          <w:numId w:val="85"/>
        </w:numPr>
        <w:rPr>
          <w:lang w:val="es-ES"/>
        </w:rPr>
      </w:pPr>
      <w:r w:rsidRPr="00AE4E8D">
        <w:rPr>
          <w:lang w:val="es-ES"/>
        </w:rPr>
        <w:t>aportes de capital a una sociedad controlada o vinculada, si los utilizara a los fines mencionados, o</w:t>
      </w:r>
    </w:p>
    <w:p w14:paraId="1CEEC72B" w14:textId="77777777" w:rsidR="00CB5660" w:rsidRPr="00AE4E8D" w:rsidRDefault="00CB5660" w:rsidP="000668B5">
      <w:pPr>
        <w:pStyle w:val="BHTexto"/>
        <w:numPr>
          <w:ilvl w:val="0"/>
          <w:numId w:val="85"/>
        </w:numPr>
        <w:rPr>
          <w:lang w:val="es-ES"/>
        </w:rPr>
      </w:pPr>
      <w:r w:rsidRPr="00AE4E8D">
        <w:rPr>
          <w:lang w:val="es-ES"/>
        </w:rPr>
        <w:t>el otorgamiento de préstamos de acuerdo con las reglamentaciones del BCRA y a las Normas Contables del BCRA, siempre que dichos préstamos sean destinados para los fines antes mencionados.</w:t>
      </w:r>
    </w:p>
    <w:p w14:paraId="0F5B7FC3" w14:textId="77777777" w:rsidR="00CB5660" w:rsidRPr="00AE4E8D" w:rsidRDefault="00CB5660" w:rsidP="0063210E">
      <w:pPr>
        <w:pStyle w:val="BHTexto"/>
        <w:rPr>
          <w:lang w:val="es-ES"/>
        </w:rPr>
      </w:pPr>
      <w:r w:rsidRPr="00AE4E8D">
        <w:rPr>
          <w:lang w:val="es-ES"/>
        </w:rPr>
        <w:t>Pendiente su aplicación conforme lo especificado anteriormente, podremos invertir los fondos derivados de las Obligaciones Negociables en títulos públicos e inversiones de corto plazo.</w:t>
      </w:r>
    </w:p>
    <w:p w14:paraId="444105BA" w14:textId="77777777" w:rsidR="007725C3" w:rsidRPr="00AE4E8D" w:rsidRDefault="007725C3" w:rsidP="007725C3">
      <w:pPr>
        <w:keepNext/>
        <w:autoSpaceDE w:val="0"/>
        <w:autoSpaceDN w:val="0"/>
        <w:adjustRightInd w:val="0"/>
        <w:spacing w:before="240" w:after="240"/>
        <w:outlineLvl w:val="1"/>
        <w:rPr>
          <w:rFonts w:ascii="Times New Roman" w:hAnsi="Times New Roman"/>
          <w:b/>
          <w:lang w:val="es-ES" w:eastAsia="es-AR"/>
        </w:rPr>
      </w:pPr>
      <w:bookmarkStart w:id="139" w:name="_Toc495972981"/>
      <w:bookmarkStart w:id="140" w:name="_Toc495399888"/>
      <w:bookmarkStart w:id="141" w:name="_Toc420062549"/>
      <w:bookmarkStart w:id="142" w:name="_Toc421201327"/>
      <w:bookmarkEnd w:id="138"/>
      <w:r w:rsidRPr="00AE4E8D">
        <w:rPr>
          <w:rFonts w:ascii="Times New Roman" w:hAnsi="Times New Roman"/>
          <w:b/>
          <w:lang w:val="es-ES" w:eastAsia="es-AR"/>
        </w:rPr>
        <w:t xml:space="preserve">e) </w:t>
      </w:r>
      <w:bookmarkStart w:id="143" w:name="RF"/>
      <w:r w:rsidRPr="00AE4E8D">
        <w:rPr>
          <w:rFonts w:ascii="Times New Roman" w:hAnsi="Times New Roman"/>
          <w:b/>
          <w:lang w:val="es-ES" w:eastAsia="es-AR"/>
        </w:rPr>
        <w:t>Factores de Riesgo</w:t>
      </w:r>
      <w:bookmarkEnd w:id="139"/>
      <w:bookmarkEnd w:id="140"/>
      <w:bookmarkEnd w:id="143"/>
      <w:r w:rsidRPr="00AE4E8D">
        <w:rPr>
          <w:rFonts w:ascii="Times New Roman" w:hAnsi="Times New Roman"/>
          <w:b/>
          <w:lang w:val="es-ES" w:eastAsia="es-AR"/>
        </w:rPr>
        <w:t xml:space="preserve"> </w:t>
      </w:r>
    </w:p>
    <w:p w14:paraId="0D8578A8" w14:textId="77777777" w:rsidR="007725C3" w:rsidRPr="00AE4E8D" w:rsidRDefault="007725C3" w:rsidP="0075075F">
      <w:pPr>
        <w:pStyle w:val="BHTexto"/>
        <w:rPr>
          <w:lang w:val="es-ES"/>
        </w:rPr>
      </w:pPr>
      <w:r w:rsidRPr="00AE4E8D">
        <w:rPr>
          <w:lang w:val="es-ES"/>
        </w:rPr>
        <w:t xml:space="preserve">Previamente a invertir en las Obligaciones Negociables, el inversor debería considerar cuidadosamente los riesgos descriptos en la presente sección así como en el resto de la información incluida en el suplemento de precio correspondiente y en este Prospecto. Los negocios pueden verse negativamente afectados si surgen riesgos e incertidumbres adicionales que no conocemos actualmente, o que a la fecha de este Prospecto o del suplemento de precio correspondiente no fueron considerados como importantes. En general, las inversiones en los títulos de emisores de un mercado emergente </w:t>
      </w:r>
      <w:r w:rsidR="00BF2D3F" w:rsidRPr="00AE4E8D">
        <w:rPr>
          <w:lang w:val="es-ES"/>
        </w:rPr>
        <w:t xml:space="preserve">o fronterizo </w:t>
      </w:r>
      <w:r w:rsidRPr="00AE4E8D">
        <w:rPr>
          <w:lang w:val="es-ES"/>
        </w:rPr>
        <w:t>como la Argentina están expuestas a un grado de riesgo mayor que una inversión en los títulos de emisores de los Estados Unidos de América y de otros mercados.</w:t>
      </w:r>
    </w:p>
    <w:p w14:paraId="54726E77" w14:textId="77777777" w:rsidR="0028095B" w:rsidRPr="00AE4E8D" w:rsidRDefault="0028095B" w:rsidP="0028095B">
      <w:pPr>
        <w:keepNext/>
        <w:autoSpaceDE w:val="0"/>
        <w:autoSpaceDN w:val="0"/>
        <w:adjustRightInd w:val="0"/>
        <w:spacing w:before="240" w:after="240"/>
        <w:jc w:val="both"/>
        <w:outlineLvl w:val="2"/>
        <w:rPr>
          <w:rFonts w:ascii="Times New Roman" w:hAnsi="Times New Roman"/>
          <w:b/>
          <w:lang w:val="es-ES"/>
        </w:rPr>
      </w:pPr>
      <w:r w:rsidRPr="00AE4E8D">
        <w:rPr>
          <w:rFonts w:ascii="Times New Roman" w:hAnsi="Times New Roman"/>
          <w:b/>
          <w:lang w:val="es-ES"/>
        </w:rPr>
        <w:t>Riesgos Relacionados con la Argentina</w:t>
      </w:r>
    </w:p>
    <w:p w14:paraId="4504B63A"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Dependemos de las condiciones macroeconómicas y políticas de Argentina</w:t>
      </w:r>
    </w:p>
    <w:p w14:paraId="60CFB798" w14:textId="77777777" w:rsidR="0028095B" w:rsidRPr="00AE4E8D" w:rsidRDefault="0028095B" w:rsidP="0028095B">
      <w:pPr>
        <w:pStyle w:val="BHTexto"/>
        <w:rPr>
          <w:lang w:val="es-ES"/>
        </w:rPr>
      </w:pPr>
      <w:r w:rsidRPr="00AE4E8D">
        <w:rPr>
          <w:lang w:val="es-ES"/>
        </w:rPr>
        <w:t>Estamos expuestos a las condiciones económicas y políticas de Argentina, considerando que a la fecha de este Prospecto, casi todos nuestros activos totales se encuentran situados en Argentina y que nuestras actividades se realizan en Argentina.</w:t>
      </w:r>
    </w:p>
    <w:p w14:paraId="1BC32AF9" w14:textId="77777777" w:rsidR="0028095B" w:rsidRPr="00AE4E8D" w:rsidRDefault="0028095B" w:rsidP="0028095B">
      <w:pPr>
        <w:pStyle w:val="BHTexto"/>
        <w:rPr>
          <w:lang w:val="es-ES"/>
        </w:rPr>
      </w:pPr>
      <w:r w:rsidRPr="00AE4E8D">
        <w:rPr>
          <w:lang w:val="es-ES"/>
        </w:rPr>
        <w:t>La economía argentina ha experimentado una volatilidad significativa en las últimas décadas, caracterizada por períodos de crecimiento bajo o negativo, altos y variables niveles de inflación y devaluación monetaria.</w:t>
      </w:r>
      <w:r w:rsidRPr="00AE4E8D">
        <w:t xml:space="preserve"> </w:t>
      </w:r>
      <w:r w:rsidRPr="00AE4E8D">
        <w:rPr>
          <w:lang w:val="es-ES"/>
        </w:rPr>
        <w:t xml:space="preserve">A pesar de una recuperación significativa después de la crisis de 2001-2002, ha </w:t>
      </w:r>
      <w:r w:rsidR="0079210E" w:rsidRPr="00AE4E8D">
        <w:rPr>
          <w:lang w:val="es-ES"/>
        </w:rPr>
        <w:t>experimenta</w:t>
      </w:r>
      <w:r w:rsidRPr="00AE4E8D">
        <w:rPr>
          <w:lang w:val="es-ES"/>
        </w:rPr>
        <w:t xml:space="preserve">do una alta inflación y </w:t>
      </w:r>
      <w:r w:rsidR="00A85CFA">
        <w:rPr>
          <w:lang w:val="es-ES"/>
        </w:rPr>
        <w:t>la economìa</w:t>
      </w:r>
      <w:r w:rsidRPr="00AE4E8D">
        <w:rPr>
          <w:lang w:val="es-ES"/>
        </w:rPr>
        <w:t xml:space="preserve"> </w:t>
      </w:r>
      <w:r w:rsidR="00A85CFA" w:rsidRPr="00AE4E8D">
        <w:rPr>
          <w:lang w:val="es-ES"/>
        </w:rPr>
        <w:t xml:space="preserve">se ha estancado </w:t>
      </w:r>
      <w:r w:rsidRPr="00AE4E8D">
        <w:rPr>
          <w:lang w:val="es-ES"/>
        </w:rPr>
        <w:t xml:space="preserve">en los últimos años. Durante el 2014 la economía argentina ha mostrado signos de desaceleración debido al aumento en el tipo de cambio aplicable y la baja en los precios de los </w:t>
      </w:r>
      <w:r w:rsidRPr="00AE4E8D">
        <w:rPr>
          <w:i/>
          <w:lang w:val="es-ES"/>
        </w:rPr>
        <w:t>commodities</w:t>
      </w:r>
      <w:r w:rsidRPr="00AE4E8D">
        <w:rPr>
          <w:lang w:val="es-ES"/>
        </w:rPr>
        <w:t>. En los últimos años, el Gobierno ha tomado ciertas medidas para contener la inflación y atraer inversiones de capital en varios sectores críticos para el crecimiento económico y el desarrollo, en particular el sector energético. En ese sentido, después de asumir su cargo el 10 de diciembre de 2015, la administración Macri introdujo importantes reformas económicas y políticas destinadas a estabilizar la economía, reducir los desequilibrios macroeconómicos, eliminar la distorsión del mercado y fomentar el crecimiento económico. Sin embargo, en los últimos años el Gobierno ha tomado ciertas medidas para contener la inflación y atraer inversiones de capital, en varios sectores, en particular el sector energético.</w:t>
      </w:r>
    </w:p>
    <w:p w14:paraId="29544363" w14:textId="77777777" w:rsidR="0028095B" w:rsidRPr="00AE4E8D" w:rsidRDefault="0028095B" w:rsidP="0028095B">
      <w:pPr>
        <w:pStyle w:val="BHTexto"/>
        <w:rPr>
          <w:lang w:val="es-ES"/>
        </w:rPr>
      </w:pPr>
      <w:r w:rsidRPr="00AE4E8D">
        <w:rPr>
          <w:lang w:val="es-ES"/>
        </w:rPr>
        <w:lastRenderedPageBreak/>
        <w:t>Asimismo, en marzo de 2014, el gobierno argentino anunció un nuevo método de cálculo del PBI de acuerdo a lo solicitado por el Fondo Monetario Internacional (el “</w:t>
      </w:r>
      <w:r w:rsidRPr="00AE4E8D">
        <w:rPr>
          <w:u w:val="single"/>
          <w:lang w:val="es-ES"/>
        </w:rPr>
        <w:t>FMI</w:t>
      </w:r>
      <w:r w:rsidRPr="00AE4E8D">
        <w:rPr>
          <w:lang w:val="es-ES"/>
        </w:rPr>
        <w:t xml:space="preserve">”) (utilizando 2004 como año de referencia en lugar de 1993). El 29 de junio de 2016 fue publicada una reestimación de toda la serie de PBI con base en los precios de 2004, siendo que el crecimiento de la economía bajo esta nueva estimación fue de 2,4% en 2013, -2,5% en 2014, 2,5% en 2015 y -2,1% en 2016. De acuerdo con el INDEC, el crecimiento del segundo trimestre de 2017 comparado con el mismo período de año anterior fue del 2,7%. </w:t>
      </w:r>
    </w:p>
    <w:p w14:paraId="20A9F7E5" w14:textId="77777777" w:rsidR="0028095B" w:rsidRPr="00AE4E8D" w:rsidRDefault="0028095B" w:rsidP="0028095B">
      <w:pPr>
        <w:pStyle w:val="BHTexto"/>
        <w:rPr>
          <w:lang w:val="es-ES"/>
        </w:rPr>
      </w:pPr>
      <w:r w:rsidRPr="00AE4E8D">
        <w:rPr>
          <w:lang w:val="es-ES"/>
        </w:rPr>
        <w:t xml:space="preserve">El 22 de febrero de 2017, el Ministro de Hacienda Nicolás Dujovne anunció las metas fiscales para el período 2017-2019, ratificando el objetivo previsto en el presupuesto de 2017 –que establecía un déficit primario de 4,2% del PBI para 2017–, y anunciando una meta de -3,2% para 2018 y de -2,2% para 2019. Asimismo, anunció metas trimestrales en porcentaje del PBI para el ejercicio 2017, de 0,6% para el primer trimestre; 2,0% para el segundo, 3,2% para el tercero y 4,2% para el último. Las metas para el primer y segundo trimestre fueron alcanzadas. </w:t>
      </w:r>
    </w:p>
    <w:p w14:paraId="3397D83F" w14:textId="77777777" w:rsidR="0028095B" w:rsidRPr="00AE4E8D" w:rsidRDefault="0028095B" w:rsidP="0028095B">
      <w:pPr>
        <w:pStyle w:val="BHTexto"/>
        <w:rPr>
          <w:lang w:val="es-ES"/>
        </w:rPr>
      </w:pPr>
      <w:r w:rsidRPr="00AE4E8D">
        <w:rPr>
          <w:lang w:val="es-ES"/>
        </w:rPr>
        <w:t>El 25 de octubre de 2015 se celebraron elecciones presidenciales y legislativas en Argentina, y el 22 de noviembre de 2015 se realizó un ballotage entre los dos primeros candidatos presidenciales, en el que resultó electo el Sr. Mauricio Macri como Presidente de Argentina. El gobierno de Macri asumió el 10 de diciembre de 2015. El Gobierno de Macri anunció una agenda política con el fin de adoptar medidas que favorezcan al mercado y diseñadas para garantizar un crecimiento macroeconómico a largo plazo, incluida la reducción del déficit fiscal, la eliminación de las restricciones sobre el ingreso de capitales y al acceso al mercado de cambios, la corrección de las tarifas de energía y transporte y la obtención de financiación a través del mercado de capitales.</w:t>
      </w:r>
    </w:p>
    <w:p w14:paraId="634FAA5F" w14:textId="77777777" w:rsidR="0028095B" w:rsidRPr="00AE4E8D" w:rsidRDefault="0028095B" w:rsidP="0028095B">
      <w:pPr>
        <w:pStyle w:val="BHTexto"/>
        <w:rPr>
          <w:rFonts w:eastAsiaTheme="minorHAnsi"/>
          <w:lang w:val="es-ES"/>
        </w:rPr>
      </w:pPr>
      <w:r w:rsidRPr="00AE4E8D">
        <w:rPr>
          <w:rFonts w:eastAsiaTheme="minorHAnsi"/>
          <w:lang w:val="es-ES"/>
        </w:rPr>
        <w:t>El gobierno de Macri adoptó las siguientes reformas económicas y políticas clave a la fecha del presente:</w:t>
      </w:r>
    </w:p>
    <w:p w14:paraId="0247F547" w14:textId="77777777" w:rsidR="0028095B" w:rsidRPr="00AE4E8D" w:rsidRDefault="0028095B" w:rsidP="0028095B">
      <w:pPr>
        <w:pStyle w:val="BHTexto"/>
        <w:rPr>
          <w:rFonts w:eastAsiaTheme="minorHAnsi"/>
          <w:lang w:val="es-ES"/>
        </w:rPr>
      </w:pPr>
      <w:r w:rsidRPr="00AE4E8D">
        <w:rPr>
          <w:rFonts w:eastAsiaTheme="minorHAnsi"/>
          <w:i/>
          <w:lang w:val="es-ES"/>
        </w:rPr>
        <w:t>Reformas en el INDEC</w:t>
      </w:r>
      <w:r w:rsidRPr="00AE4E8D">
        <w:rPr>
          <w:rFonts w:eastAsiaTheme="minorHAnsi"/>
          <w:lang w:val="es-ES"/>
        </w:rPr>
        <w:t>. El presidente Macri designó al Sr. Jorge Todesca al frente del INDEC, quien anteriormente se desempeñaba como director de una consultora privada. El 8 de enero de 2016, el gobierno argentino declaró un estado de emergencia administrativa en el sistema estadístico nacional y en el INDEC, hasta el 31 de diciembre de 2016. Durante 2016, el INDEC implementó determinadas reformas metodológicas y corrigió determinadas estadísticas macroeconómicas en base a estas reformas. Luego de declarada la emergencia, el INDEC dejó de publicar datos estadísticos hasta que finalizara el reordenamiento de su estructura técnica y administrativa. Durante la implementación de estas reformas, sin embargo, el INDEC utilizó cifras oficiales del Índice de Precios al Consumidor (“IPC”) y otras estadísticas publicadas por la Provincia de San Luis y la Ciudad de Buenos Aires. El 29 de junio de 2016, el INDEC publicó un nuevo cálculo del PBI para los años 2004 a 2015. El 31 de agosto de 2016, el Comité Ejecutivo del FMI se reunió para analizar el progreso alcanzado por Argentina en cuanto a la mejora de la calidad de la información oficial sobre PBI e IPC y destacó el importante progreso alcanzado respecto de la exactitud de las estadísticas de Argentina. El 10 de noviembre de 2016, el FMI levantó la censura al país respecto de esta información. Los inversores pueden encontrar la información publicada del INDEC en www.indec.gov.ar/novedades.</w:t>
      </w:r>
    </w:p>
    <w:p w14:paraId="1D995473" w14:textId="77777777" w:rsidR="0028095B" w:rsidRPr="00AE4E8D" w:rsidRDefault="0028095B" w:rsidP="0028095B">
      <w:pPr>
        <w:pStyle w:val="BHTexto"/>
        <w:rPr>
          <w:rFonts w:eastAsiaTheme="minorHAnsi"/>
          <w:lang w:val="es-ES"/>
        </w:rPr>
      </w:pPr>
      <w:r w:rsidRPr="00AE4E8D">
        <w:rPr>
          <w:rFonts w:eastAsiaTheme="minorHAnsi"/>
          <w:i/>
          <w:lang w:val="es-ES"/>
        </w:rPr>
        <w:t>Acuerdo con los holdouts</w:t>
      </w:r>
      <w:r w:rsidRPr="00AE4E8D">
        <w:rPr>
          <w:rFonts w:eastAsiaTheme="minorHAnsi"/>
          <w:lang w:val="es-ES"/>
        </w:rPr>
        <w:t>. El gobierno argentino electo en noviembre de 2015 acordó con sustancialmente todos los holdouts acreedores de deuda soberana argentina (en términos de reclamos) que no habían participado en las reestructuraciones de deuda previas y recuperó el acceso a los mercados de capitales internacionales, emitiendo varias nuevas series de títulos desde que accedió al gobierno.</w:t>
      </w:r>
    </w:p>
    <w:p w14:paraId="1E498757" w14:textId="77777777" w:rsidR="0028095B" w:rsidRPr="00AE4E8D" w:rsidRDefault="0028095B" w:rsidP="0028095B">
      <w:pPr>
        <w:pStyle w:val="BHTexto"/>
        <w:rPr>
          <w:rFonts w:eastAsiaTheme="minorHAnsi"/>
          <w:lang w:val="es-ES"/>
        </w:rPr>
      </w:pPr>
      <w:r w:rsidRPr="00AE4E8D">
        <w:rPr>
          <w:rFonts w:eastAsiaTheme="minorHAnsi"/>
          <w:i/>
          <w:lang w:val="es-ES"/>
        </w:rPr>
        <w:t>Reformas cambiarias</w:t>
      </w:r>
      <w:r w:rsidRPr="00AE4E8D">
        <w:rPr>
          <w:rFonts w:eastAsiaTheme="minorHAnsi"/>
          <w:lang w:val="es-ES"/>
        </w:rPr>
        <w:t xml:space="preserve">. Asimismo, el gobierno de Macri eliminó una parte significativa de las restricciones cambiarias, incluidos ciertos controles monetarios implementados por el gobierno de Kirchner. Mediante la Comunicación “A” 6037 y la Comunicación “A” 6244 del </w:t>
      </w:r>
      <w:r w:rsidR="004D7B80">
        <w:rPr>
          <w:rFonts w:eastAsiaTheme="minorHAnsi"/>
          <w:lang w:val="es-ES"/>
        </w:rPr>
        <w:t>BCRA</w:t>
      </w:r>
      <w:r w:rsidRPr="00AE4E8D">
        <w:rPr>
          <w:rFonts w:eastAsiaTheme="minorHAnsi"/>
          <w:lang w:val="es-ES"/>
        </w:rPr>
        <w:t xml:space="preserve"> de fechas 8 de agosto de 2016 y 19 de mayo de 2017, respectivamente, modificó significativamente las normas cambiarias vigentes y eliminó el conjunto de restricciones para el acceso al Mercado Único y Libre de Cambios (“</w:t>
      </w:r>
      <w:r w:rsidRPr="00AE4E8D">
        <w:rPr>
          <w:rFonts w:eastAsiaTheme="minorHAnsi"/>
          <w:u w:val="single"/>
          <w:lang w:val="es-ES"/>
        </w:rPr>
        <w:t>MULC</w:t>
      </w:r>
      <w:r w:rsidRPr="00AE4E8D">
        <w:rPr>
          <w:rFonts w:eastAsiaTheme="minorHAnsi"/>
          <w:lang w:val="es-ES"/>
        </w:rPr>
        <w:t>”). Entre las principales medidas adoptadas a la fecha de este prospecto se encuentran:</w:t>
      </w:r>
    </w:p>
    <w:p w14:paraId="05D9CAA2" w14:textId="77777777" w:rsidR="0028095B" w:rsidRPr="00AE4E8D" w:rsidRDefault="0028095B" w:rsidP="0028095B">
      <w:pPr>
        <w:pStyle w:val="BHTexto"/>
        <w:numPr>
          <w:ilvl w:val="0"/>
          <w:numId w:val="88"/>
        </w:numPr>
        <w:rPr>
          <w:rFonts w:eastAsiaTheme="minorHAnsi"/>
          <w:lang w:val="es-ES"/>
        </w:rPr>
      </w:pPr>
      <w:r w:rsidRPr="00AE4E8D">
        <w:rPr>
          <w:rFonts w:eastAsiaTheme="minorHAnsi"/>
          <w:lang w:val="es-ES"/>
        </w:rPr>
        <w:t>el restablecimiento del derecho de los residentes argentinos de comprar y remitir divisas al exterior sin límite y sin destino específico (atesoramiento);</w:t>
      </w:r>
    </w:p>
    <w:p w14:paraId="0F3F5AE8" w14:textId="77777777" w:rsidR="0028095B" w:rsidRPr="00AE4E8D" w:rsidRDefault="0028095B" w:rsidP="0028095B">
      <w:pPr>
        <w:pStyle w:val="BHTexto"/>
        <w:numPr>
          <w:ilvl w:val="0"/>
          <w:numId w:val="88"/>
        </w:numPr>
        <w:rPr>
          <w:rFonts w:eastAsiaTheme="minorHAnsi"/>
          <w:lang w:val="es-ES"/>
        </w:rPr>
      </w:pPr>
      <w:r w:rsidRPr="00AE4E8D">
        <w:rPr>
          <w:rFonts w:eastAsiaTheme="minorHAnsi"/>
          <w:lang w:val="es-ES"/>
        </w:rPr>
        <w:t>la eliminación del depósito obligatorio, intransferible y no remunerativo exigido anteriormente en relación con ciertas operaciones que involucraban ingresos de moneda extranjera, con la reducción del encaje de 30 a 0%;</w:t>
      </w:r>
    </w:p>
    <w:p w14:paraId="0C8F36A6" w14:textId="77777777" w:rsidR="0028095B" w:rsidRPr="00AE4E8D" w:rsidRDefault="0028095B" w:rsidP="0028095B">
      <w:pPr>
        <w:pStyle w:val="BHTexto"/>
        <w:numPr>
          <w:ilvl w:val="0"/>
          <w:numId w:val="88"/>
        </w:numPr>
        <w:rPr>
          <w:rFonts w:eastAsiaTheme="minorHAnsi"/>
          <w:lang w:val="es-ES"/>
        </w:rPr>
      </w:pPr>
      <w:r w:rsidRPr="00AE4E8D">
        <w:rPr>
          <w:rFonts w:eastAsiaTheme="minorHAnsi"/>
          <w:lang w:val="es-ES"/>
        </w:rPr>
        <w:t>la eliminación del requisito de transferir y liquidar a través del MULC los fondos resultantes de la nueva deuda financiera externa incurrida por el sector financiero externo, el sector privado no financiero y los gobiernos locales; y</w:t>
      </w:r>
    </w:p>
    <w:p w14:paraId="6D3032E7" w14:textId="77777777" w:rsidR="0028095B" w:rsidRPr="00AE4E8D" w:rsidRDefault="0028095B" w:rsidP="0028095B">
      <w:pPr>
        <w:pStyle w:val="BHTexto"/>
        <w:numPr>
          <w:ilvl w:val="0"/>
          <w:numId w:val="88"/>
        </w:numPr>
        <w:rPr>
          <w:rFonts w:eastAsiaTheme="minorHAnsi"/>
          <w:lang w:val="es-ES"/>
        </w:rPr>
      </w:pPr>
      <w:r w:rsidRPr="00AE4E8D">
        <w:rPr>
          <w:rFonts w:eastAsiaTheme="minorHAnsi"/>
          <w:lang w:val="es-ES"/>
        </w:rPr>
        <w:lastRenderedPageBreak/>
        <w:t>la eliminación del requisito de que los fondos derivados de las emisiones de deuda deban ser retenidos durante un plazo mínimo de 365 días calendario.</w:t>
      </w:r>
    </w:p>
    <w:p w14:paraId="6D1DB563" w14:textId="77777777" w:rsidR="0028095B" w:rsidRPr="00AE4E8D" w:rsidRDefault="0028095B" w:rsidP="0028095B">
      <w:pPr>
        <w:pStyle w:val="BHTexto"/>
        <w:rPr>
          <w:rFonts w:eastAsiaTheme="minorHAnsi"/>
          <w:color w:val="333333"/>
          <w:lang w:val="es-ES"/>
        </w:rPr>
      </w:pPr>
      <w:r w:rsidRPr="00AE4E8D">
        <w:rPr>
          <w:rFonts w:eastAsiaTheme="minorHAnsi"/>
          <w:i/>
          <w:lang w:val="es-ES"/>
        </w:rPr>
        <w:t>Reformas en las operaciones de comercio exterior</w:t>
      </w:r>
      <w:r w:rsidRPr="00AE4E8D">
        <w:rPr>
          <w:rFonts w:eastAsiaTheme="minorHAnsi"/>
          <w:lang w:val="es-ES"/>
        </w:rPr>
        <w:t xml:space="preserve">. </w:t>
      </w:r>
      <w:r w:rsidRPr="00AE4E8D">
        <w:rPr>
          <w:rFonts w:eastAsiaTheme="minorHAnsi"/>
          <w:lang w:val="es-ES" w:eastAsia="es-ES"/>
        </w:rPr>
        <w:t>El gobierno de Macri eliminó las retenciones a las exportaciones de trigo, maíz, carne y productos regionales y redujo las retenciones a las exportaciones de soja en un 5%, al 30%. Además, se eliminó la retención del 5% sobre la mayoría de las exportaciones industriales. En relación con los pagos de importaciones de bienes y servicios, el gobierno de Macri anunció la eliminación gradual de los topes para acceder al MULC en el caso de operaciones originadas con anterioridad al 17 de diciembre de 2015. No se aplican topes de montos a las operaciones originadas con posterioridad al 17 de diciembre de 2015</w:t>
      </w:r>
      <w:r w:rsidRPr="00AE4E8D">
        <w:rPr>
          <w:rFonts w:eastAsiaTheme="minorHAnsi"/>
          <w:color w:val="333333"/>
          <w:lang w:val="es-ES"/>
        </w:rPr>
        <w:t>.</w:t>
      </w:r>
    </w:p>
    <w:p w14:paraId="27C47F57" w14:textId="77777777" w:rsidR="0028095B" w:rsidRPr="00AE4E8D" w:rsidRDefault="0028095B" w:rsidP="0028095B">
      <w:pPr>
        <w:pStyle w:val="BHTexto"/>
        <w:rPr>
          <w:rFonts w:eastAsiaTheme="minorHAnsi"/>
          <w:color w:val="333333"/>
          <w:lang w:val="es-ES"/>
        </w:rPr>
      </w:pPr>
      <w:r w:rsidRPr="00AE4E8D">
        <w:rPr>
          <w:rFonts w:eastAsiaTheme="minorHAnsi"/>
          <w:i/>
          <w:iCs/>
          <w:lang w:val="es-ES" w:eastAsia="es-ES"/>
        </w:rPr>
        <w:t xml:space="preserve">Estado de emergencia y reformas en el sistema eléctrico nacional. </w:t>
      </w:r>
      <w:r w:rsidRPr="00AE4E8D">
        <w:rPr>
          <w:rFonts w:eastAsiaTheme="minorHAnsi"/>
          <w:iCs/>
          <w:lang w:val="es-ES" w:eastAsia="es-ES"/>
        </w:rPr>
        <w:t>Luego de años de una inversión muy limitada en el sector energético, así como el congelamiento sostenido de las tarifas de electricidad y gas natural desde la crisis económica de 2001-</w:t>
      </w:r>
      <w:r w:rsidRPr="00AE4E8D">
        <w:rPr>
          <w:rFonts w:eastAsia="MS Mincho"/>
          <w:lang w:val="es-ES" w:eastAsia="es-ES"/>
        </w:rPr>
        <w:t xml:space="preserve">2002, Argentina comenzó a experimentar una escasez energética en 2011. En respuesta a la creciente crisis energética, el </w:t>
      </w:r>
      <w:r w:rsidRPr="00AE4E8D">
        <w:rPr>
          <w:rFonts w:eastAsiaTheme="minorHAnsi"/>
          <w:lang w:val="es-ES" w:eastAsia="es-ES"/>
        </w:rPr>
        <w:t>gobierno de Macri declaró el estado de emergencia del sistema eléctrico nacional, con efectos hasta el 31 de diciembre de 2017. El estado de emergencia permite al Gobierno tomar medidas destinadas a garantizar el suministro de electricidad dentro del país, tales como la instrucción al Ministerio de Energía y Minería de la Nación de diseñar e implementar, con la cooperación de todos los organismos públicos federales, un programa coordinado para garantizar la calidad y seguridad del sistema eléctrico. Asimismo, mediante la Resolución Nº 6/2016 del Ministerio de Energía y Minería y la Resolución Nº 1/2016 del Ente Nacional Regulador de la Electricidad, el gobierno de Macri anunció la eliminación de una parte de los subsidios vigentes y un aumento sustancial de las tarifas de electricidad. Como resultado, los precios promedio de las tarifas de electricidad han aumentado y podrían incrementarse aún más en el futuro. Mediante la corrección de las tarifas, la modificación del marco regulatorio y la eliminación de la función del Gobierno como un participante activo del mercado, el gobierno de Macri pretende corregir las distorsiones en el sector de la energía y estimular la inversión. Sin embargo, varias de las iniciativas políticas del gobierno de Macri han sido objetadas ante los tribunales argentinos y dieron lugar a medidas cautelares o resoluciones adversas, las cuales podrían reducir la efectividad de las medidas tomadas por la actual administración</w:t>
      </w:r>
      <w:r w:rsidRPr="00AE4E8D">
        <w:rPr>
          <w:rFonts w:eastAsiaTheme="minorHAnsi"/>
          <w:color w:val="333333"/>
          <w:lang w:val="es-ES"/>
        </w:rPr>
        <w:t>.</w:t>
      </w:r>
    </w:p>
    <w:p w14:paraId="3856077F" w14:textId="77777777" w:rsidR="0028095B" w:rsidRPr="00AE4E8D" w:rsidRDefault="0028095B" w:rsidP="0028095B">
      <w:pPr>
        <w:pStyle w:val="BHTexto"/>
        <w:rPr>
          <w:rFonts w:eastAsiaTheme="minorHAnsi"/>
          <w:lang w:val="es-ES"/>
        </w:rPr>
      </w:pPr>
      <w:r w:rsidRPr="00AE4E8D">
        <w:rPr>
          <w:rFonts w:eastAsiaTheme="minorHAnsi"/>
          <w:i/>
          <w:lang w:val="es-ES"/>
        </w:rPr>
        <w:t>Aumentos de tarifas</w:t>
      </w:r>
      <w:r w:rsidRPr="00AE4E8D">
        <w:rPr>
          <w:rFonts w:eastAsiaTheme="minorHAnsi"/>
          <w:lang w:val="es-ES"/>
        </w:rPr>
        <w:t>. Con el objetivo de alentar a las empresas a invertir y mejorar los servicios que ofrecen y permitir al Gobierno asistir a los más necesitados, el gobierno de Macri comenzó a actualizar las tarifas de servicios de electricidad, transporte, gas y agua. Cada uno de los aumentos tarifarios anunciados contempla una tarifa social, destinada a ayudar a los grupos más vulnerables, incluidos los beneficiarios de programas sociales, jubilados y pensionados que perciben hasta dos jubilaciones mínimas, trabajadores que cobran hasta dos salarios mínimos, personas con discapacidad, personas inscriptas en el programas de Monotributo Social, personal doméstico y personas que perciben el seguro por desempleo.</w:t>
      </w:r>
    </w:p>
    <w:p w14:paraId="576A5346" w14:textId="77777777" w:rsidR="0028095B" w:rsidRPr="00AE4E8D" w:rsidRDefault="0028095B" w:rsidP="0028095B">
      <w:pPr>
        <w:pStyle w:val="BHTexto"/>
        <w:rPr>
          <w:rFonts w:eastAsiaTheme="minorHAnsi"/>
          <w:lang w:val="es-ES"/>
        </w:rPr>
      </w:pPr>
      <w:r w:rsidRPr="00AE4E8D">
        <w:rPr>
          <w:rFonts w:eastAsiaTheme="minorHAnsi"/>
          <w:lang w:val="es-ES"/>
        </w:rPr>
        <w:t>El 18 de agosto de 2016, la Corte Suprema de Justicia de la Nación confirmó, en “Centro de Estudios para la Promoción de la Igualdad y la Solidaridad c/Ministerio de Energía y Minería”, las medidas dictadas en las instancias anteriores que suspendían los aumentos tarifarios del gas, e instruyó al Ministerio de Energía y Minería conducir una audiencia pública no vinculante antes de sancionar tales aumentos. Dicha audiencia pública se llevó a cabo el 16 de septiembre del 2016, En concordancia con lo dictaminado por la Corte Suprema, el Ente Nacional Regulador del Gas (“</w:t>
      </w:r>
      <w:r w:rsidRPr="00AE4E8D">
        <w:rPr>
          <w:rFonts w:eastAsiaTheme="minorHAnsi"/>
          <w:u w:val="single"/>
          <w:lang w:val="es-ES"/>
        </w:rPr>
        <w:t>Enargas</w:t>
      </w:r>
      <w:r w:rsidRPr="00AE4E8D">
        <w:rPr>
          <w:rFonts w:eastAsiaTheme="minorHAnsi"/>
          <w:lang w:val="es-ES"/>
        </w:rPr>
        <w:t>”) dictó las Resoluciones N° 3960 y 3961, ordenando retrotraer el valor de las tarifas al 31 de marzo del 2016, e implementando un sistema de pago en cuotas para las facturas vencidas.</w:t>
      </w:r>
    </w:p>
    <w:p w14:paraId="250990DA" w14:textId="77777777" w:rsidR="0028095B" w:rsidRPr="00AE4E8D" w:rsidRDefault="0028095B" w:rsidP="0028095B">
      <w:pPr>
        <w:pStyle w:val="BHTexto"/>
        <w:rPr>
          <w:rFonts w:eastAsiaTheme="minorHAnsi"/>
          <w:lang w:val="es-ES"/>
        </w:rPr>
      </w:pPr>
      <w:r w:rsidRPr="00AE4E8D">
        <w:rPr>
          <w:rFonts w:eastAsiaTheme="minorHAnsi"/>
          <w:i/>
          <w:lang w:val="es-ES"/>
        </w:rPr>
        <w:t>Régimen de Sinceramiento Fiscal</w:t>
      </w:r>
      <w:r w:rsidRPr="00AE4E8D">
        <w:rPr>
          <w:rFonts w:eastAsiaTheme="minorHAnsi"/>
          <w:lang w:val="es-ES"/>
        </w:rPr>
        <w:t xml:space="preserve">. En julio de 2016, se sancionó el Régimen de Sinceramiento Fiscal a fin de promover la declaración voluntaria de activos de residentes argentinos. La ley permitió a los residentes en Argentina que son dueños de los fondos no declarados o bienes que se encuentren en Argentina o en el exterior (i) declarar dicha propiedad hasta el 31 de marzo, 2017 sin ser procesados por evasión fiscal ni tener que pagar las obligaciones impositivas pendientes respecto de dichos activos, siempre que demostraran que se encontraban en poder de los activos antes de una cierta fecha de corte, y (ii) mantener los bienes declarados fuera de Argentina sin tener que repatriarlos. En el caso de efectivo no depositado en cuentas bancarias antes de las fechas de corte especificadas, dichos montos deberán ser informados y depositados antes del 31 de octubre de 2016 en cuentas especiales abiertas en entidades financieras argentinas. Dependiendo del monto declarado y en cuán pronto fue declarado, la elección de invertir en determinados títulos valores y el método de pago utilizado, aquellos que se acogieran al régimen de sinceramiento fiscal pagaron un impuesto especial con una alícuota de entre 0% y 15% sobre el total del monto declarado. Alternativamente, pudieron invertir un monto equivalente en títulos públicos argentinos o en un fondo que financiará, entre otras cosas, proyectos de infraestructura y pequeñas y medianas empresas en general. Los contribuyentes pudieron optar por invertir en determinados títulos valores y </w:t>
      </w:r>
      <w:r w:rsidRPr="00AE4E8D">
        <w:rPr>
          <w:rFonts w:eastAsiaTheme="minorHAnsi"/>
          <w:lang w:val="es-ES"/>
        </w:rPr>
        <w:lastRenderedPageBreak/>
        <w:t>reducir las alícuotas que resulten pagaderas al informar los activos no declarados previamente hasta el 31 de marzo de 2017.</w:t>
      </w:r>
    </w:p>
    <w:p w14:paraId="7B06CEAA" w14:textId="77777777" w:rsidR="0028095B" w:rsidRPr="00AE4E8D" w:rsidRDefault="0028095B" w:rsidP="0028095B">
      <w:pPr>
        <w:pStyle w:val="BHTexto"/>
        <w:rPr>
          <w:rFonts w:eastAsiaTheme="minorHAnsi"/>
          <w:lang w:val="es-ES"/>
        </w:rPr>
      </w:pPr>
      <w:r w:rsidRPr="00AE4E8D">
        <w:rPr>
          <w:rFonts w:eastAsiaTheme="minorHAnsi"/>
          <w:i/>
          <w:lang w:val="es-ES"/>
        </w:rPr>
        <w:t>Política fiscal.</w:t>
      </w:r>
      <w:r w:rsidRPr="00AE4E8D">
        <w:rPr>
          <w:rFonts w:eastAsiaTheme="minorHAnsi"/>
          <w:lang w:val="es-ES"/>
        </w:rPr>
        <w:t xml:space="preserve"> </w:t>
      </w:r>
      <w:r w:rsidR="00722A8A" w:rsidRPr="00AE4E8D">
        <w:rPr>
          <w:rFonts w:eastAsiaTheme="minorHAnsi"/>
          <w:lang w:val="es-ES"/>
        </w:rPr>
        <w:t>En 2015</w:t>
      </w:r>
      <w:r w:rsidR="00A85CFA">
        <w:rPr>
          <w:rFonts w:eastAsiaTheme="minorHAnsi"/>
          <w:lang w:val="es-ES"/>
        </w:rPr>
        <w:t>,</w:t>
      </w:r>
      <w:r w:rsidR="00722A8A" w:rsidRPr="00AE4E8D">
        <w:rPr>
          <w:rFonts w:eastAsiaTheme="minorHAnsi"/>
          <w:lang w:val="es-ES"/>
        </w:rPr>
        <w:t xml:space="preserve"> el déficit fiscal fue de 5,4% del PBI. El gobierno de Macri tomó medidas para reducir el déficit fiscal primario en aproximadamente un 0,6% del PBI durante 2016 a través de una serie de medidas fiscales y de otro tipo, e intentó reducir el déficit fiscal primario en 2016 a un objetivo del 4,8% del PBI a través de la eliminación de los subsidios y la restructuración de ciertos gastos. Sin embargo, el déficit fiscal primario a octubre de 2016 aumentó un 183,9% en comparación con el mismo período de 2015, mientras que el déficit fiscal primario total a enero de 2016 registró un aumento del 69,1% en comparación con el mismo período de 2015, lo que representaba un 75% del objetivo asumido para 2016. La intención del gobierno de Macri es lograr un presupuesto primario equilibrado en 2019</w:t>
      </w:r>
      <w:r w:rsidRPr="00AE4E8D">
        <w:rPr>
          <w:rFonts w:eastAsiaTheme="minorHAnsi"/>
          <w:lang w:val="es-ES"/>
        </w:rPr>
        <w:t>.</w:t>
      </w:r>
    </w:p>
    <w:p w14:paraId="4F3336EF" w14:textId="77777777" w:rsidR="0028095B" w:rsidRPr="00AE4E8D" w:rsidRDefault="0028095B" w:rsidP="0028095B">
      <w:pPr>
        <w:pStyle w:val="BHTexto"/>
        <w:rPr>
          <w:lang w:val="es-ES"/>
        </w:rPr>
      </w:pPr>
      <w:r w:rsidRPr="00AE4E8D">
        <w:rPr>
          <w:rFonts w:eastAsiaTheme="minorHAnsi"/>
          <w:i/>
          <w:lang w:val="es-ES"/>
        </w:rPr>
        <w:t>Corrección de desequilibrios monetarios.</w:t>
      </w:r>
      <w:r w:rsidRPr="00AE4E8D">
        <w:rPr>
          <w:rFonts w:eastAsiaTheme="minorHAnsi"/>
          <w:lang w:val="es-ES"/>
        </w:rPr>
        <w:t xml:space="preserve"> </w:t>
      </w:r>
      <w:r w:rsidRPr="00AE4E8D">
        <w:rPr>
          <w:lang w:val="es-ES"/>
        </w:rPr>
        <w:t>El gobierno de Macri anunció la adopción de un régimen de metas de inflación en paralelo con un régimen de flotación del tipo de cambio y fijó las metas de inflación para los próximos cuatro años. El BCRA ha aumentado los esfuerzos de estabilización para reducir el exceso de desequilibrios monetarios y redujo la tasa de interés en pesos para contrarrestar la presión inflacionaria.</w:t>
      </w:r>
    </w:p>
    <w:p w14:paraId="7ACF4D4E" w14:textId="77777777" w:rsidR="0028095B" w:rsidRPr="00AE4E8D" w:rsidRDefault="0028095B" w:rsidP="0028095B">
      <w:pPr>
        <w:pStyle w:val="BHTexto"/>
        <w:rPr>
          <w:lang w:val="es-ES"/>
        </w:rPr>
      </w:pPr>
      <w:r w:rsidRPr="00AE4E8D">
        <w:rPr>
          <w:lang w:val="es-ES"/>
        </w:rPr>
        <w:t>Si bien algunas medidas resultaron en una mayor inflación, se ha registrado un aumento en la demanda de pesos y el recupero del crédito apunta hacia una normalización gradual de las condiciones macroeconómicas. A este fin, el acceso a la financiación externa podría tener un efecto positivo, mediante la reducción significativa de la monetización del déficit fiscal sin necesidad de un drástico ajuste fiscal que pondría en riesgo el crecimiento económico. En forma simultánea, el ingreso sostenido de capital extranjero generaría una mayor oferta de divisas en el MULC, que limitaría la depreciación del peso y su impacto directo sobre la inflación. Esto, a su vez, aumentaría la demanda de saldos reales en pesos, permitiendo una reducción de las tasas de interés y una reanimación adicional de la demanda de crédito y la actividad económica.</w:t>
      </w:r>
    </w:p>
    <w:p w14:paraId="7DD5AB68" w14:textId="77777777" w:rsidR="0028095B" w:rsidRPr="00AE4E8D" w:rsidRDefault="0028095B" w:rsidP="0028095B">
      <w:pPr>
        <w:pStyle w:val="BHTexto"/>
        <w:rPr>
          <w:lang w:val="es-ES"/>
        </w:rPr>
      </w:pPr>
      <w:r w:rsidRPr="00AE4E8D">
        <w:rPr>
          <w:lang w:val="es-ES"/>
        </w:rPr>
        <w:t>A la fecha de este Prospecto, no se puede predecir el impacto que tendrán las medidas adoptadas por el gobierno de Macri en la economía del país en su totalidad y en el sector bancario y financiero en particular. Además, los partidos políticos opositores conservaron la mayoría de las bancas en el Congreso de la Nación en las últimas elecciones, lo que requerirá al gobierno de Macri procurar el apoyo político de la oposición a fin de implementar sus propuestas, lo que crea mayor incertidumbre respecto de la capacidad del gobierno de Macri de llevar a cabo efectivamente las medidas de su agenda política.</w:t>
      </w:r>
    </w:p>
    <w:p w14:paraId="091DC193" w14:textId="77777777" w:rsidR="0028095B" w:rsidRPr="00AE4E8D" w:rsidRDefault="0028095B" w:rsidP="0028095B">
      <w:pPr>
        <w:pStyle w:val="BHTexto"/>
        <w:rPr>
          <w:lang w:val="es-ES"/>
        </w:rPr>
      </w:pPr>
      <w:r w:rsidRPr="00AE4E8D">
        <w:rPr>
          <w:lang w:val="es-ES"/>
        </w:rPr>
        <w:t>Mayores tasas de inflación, cualquier caída en los índices de crecimiento del PBI y/u otros acontecimientos económicos, sociales y políticos futuros en Argentina, la falta de estabilidad y la competitividad del peso frente a otras monedas extranjeras, y la disminución de los niveles de confianza entre los consumidores y los inversores nacionales e internacionales, entre otros factores, incluidas las elecciones recientes, podrían afectar en forma significativamente adversa el desarrollo de la economía argentina lo que podría afectar adversamente nuestra situación financiera o el resultado de las operaciones.</w:t>
      </w:r>
    </w:p>
    <w:p w14:paraId="5597E391" w14:textId="77777777" w:rsidR="0028095B" w:rsidRPr="00AE4E8D" w:rsidRDefault="0028095B" w:rsidP="0028095B">
      <w:pPr>
        <w:pStyle w:val="BH4Cursiva"/>
      </w:pPr>
      <w:r w:rsidRPr="00AE4E8D">
        <w:t>La persistencia de la inflación podría tener un efecto adverso en la economía</w:t>
      </w:r>
    </w:p>
    <w:p w14:paraId="3F02103C" w14:textId="77777777" w:rsidR="0028095B" w:rsidRPr="00AE4E8D" w:rsidRDefault="00AB7FDF" w:rsidP="0028095B">
      <w:pPr>
        <w:pStyle w:val="BHTexto"/>
        <w:rPr>
          <w:rFonts w:eastAsia="SimSun"/>
          <w:color w:val="212121"/>
          <w:lang w:val="es-ES"/>
        </w:rPr>
      </w:pPr>
      <w:r w:rsidRPr="00AE4E8D">
        <w:rPr>
          <w:rFonts w:eastAsia="SimSun"/>
          <w:lang w:val="es-ES"/>
        </w:rPr>
        <w:t xml:space="preserve">Según el INDEC, el índice de precios al consumidor aumentó 23,9% y 10,9% en 2014 y 2013, respectivamente. Según el índice de precios al consumidor de la Ciudad Buenos Aires, la inflación en 2015 fue de 26,9%. </w:t>
      </w:r>
      <w:r w:rsidR="0028095B" w:rsidRPr="00AE4E8D">
        <w:rPr>
          <w:rFonts w:eastAsia="SimSun"/>
          <w:lang w:val="es-ES"/>
        </w:rPr>
        <w:t>Las estimaciones privadas informaron en promedio tasas de inflación anuales sustancialmente mayores a las publicadas por el INDEC para dichos períodos. La mejor información disponible para el 2016 es la medición anual para el índice de precios al consumidor la realizada por la Ciudad Autónoma de Buenos Aires, la cual fue de 41%. La incertidumbre respecto de las tasas de inflación futuras generadas en el pasado ha retrasado cualquier recuperación potencial del mercado de créditos a largo plazo. Véase “</w:t>
      </w:r>
      <w:r w:rsidR="0028095B" w:rsidRPr="00AE4E8D">
        <w:rPr>
          <w:rFonts w:eastAsia="SimSun"/>
          <w:i/>
          <w:lang w:val="es-ES"/>
        </w:rPr>
        <w:t>Existe preocupación acerca de la exactitud de las estadísticas oficiales de inflación de la Argentina</w:t>
      </w:r>
      <w:r w:rsidR="0028095B" w:rsidRPr="00AE4E8D">
        <w:rPr>
          <w:rFonts w:eastAsia="SimSun"/>
          <w:lang w:val="es-ES"/>
        </w:rPr>
        <w:t>”.</w:t>
      </w:r>
    </w:p>
    <w:p w14:paraId="4D35B07A" w14:textId="77777777" w:rsidR="0028095B" w:rsidRPr="00AE4E8D" w:rsidRDefault="0028095B" w:rsidP="0028095B">
      <w:pPr>
        <w:pStyle w:val="BHTexto"/>
        <w:rPr>
          <w:lang w:val="es-ES"/>
        </w:rPr>
      </w:pPr>
      <w:r w:rsidRPr="00AE4E8D">
        <w:rPr>
          <w:lang w:val="es-ES"/>
        </w:rPr>
        <w:t>Históricamente, la inflación afectó sustancialmente la economía Argentina y la capacidad del Gobierno Argentino de establecer condiciones que conduzcan al crecimiento estable. Un entorno de alta inflación podría también socavar la competitividad de Argentina en los mercados internacionales y afectar negativamente la actividad económica y el empleo, así como nuestros negocios y los resultados de nuestras operaciones. En particular, el margen sobre nuestros servicios se ve impactado por el aumento de nuestros costos para la provisión de dichos servicios, influenciado por la inflación de los salarios, así como por otros factores.</w:t>
      </w:r>
    </w:p>
    <w:p w14:paraId="1FC01AA1" w14:textId="77777777" w:rsidR="0028095B" w:rsidRPr="00AE4E8D" w:rsidRDefault="0028095B" w:rsidP="0028095B">
      <w:pPr>
        <w:pStyle w:val="BHTexto"/>
        <w:rPr>
          <w:lang w:val="es-ES"/>
        </w:rPr>
      </w:pPr>
      <w:r w:rsidRPr="00AE4E8D">
        <w:rPr>
          <w:lang w:val="es-ES"/>
        </w:rPr>
        <w:t xml:space="preserve">La alta inflación también podría afectar de modo negativo el nivel de actividad económica, el empleo, los salarios reales, el consumo y las tasas de interés. Asimismo, la dilución de los efectos positivos de la </w:t>
      </w:r>
      <w:r w:rsidRPr="00AE4E8D">
        <w:rPr>
          <w:lang w:val="es-ES"/>
        </w:rPr>
        <w:lastRenderedPageBreak/>
        <w:t>devaluación del Peso en los sectores orientados a la exportación de la economía argentina podría reducir el nivel de actividad económica del país. A su vez, una porción de la deuda soberana del país se ajusta a través del Coeficiente de Estabilización de Referencia (“</w:t>
      </w:r>
      <w:r w:rsidRPr="00AE4E8D">
        <w:rPr>
          <w:u w:val="single"/>
          <w:lang w:val="es-ES"/>
        </w:rPr>
        <w:t>CER</w:t>
      </w:r>
      <w:r w:rsidRPr="00AE4E8D">
        <w:rPr>
          <w:lang w:val="es-ES"/>
        </w:rPr>
        <w:t xml:space="preserve">”), que es un índice de la moneda que está fuertemente ligada a la inflación. Por lo tanto, cualquier aumento significativo de la inflación podría provocar un aumento de la deuda de Argentina y en consecuencia, en las obligaciones financieras del país. </w:t>
      </w:r>
    </w:p>
    <w:p w14:paraId="27CA51F4" w14:textId="77777777" w:rsidR="0028095B" w:rsidRPr="00AE4E8D" w:rsidRDefault="0028095B" w:rsidP="0028095B">
      <w:pPr>
        <w:pStyle w:val="BHTexto"/>
        <w:rPr>
          <w:lang w:val="es-ES"/>
        </w:rPr>
      </w:pPr>
      <w:r w:rsidRPr="00AE4E8D">
        <w:rPr>
          <w:lang w:val="es-ES"/>
        </w:rPr>
        <w:t>En los últimos años el Gobierno Argentino ha tomado ciertas medidas para controlar la inflación, como ser la implementación de un programa de precios cuidados, que obliga los supermercados a ofrecer ciertos productos a un precio determinado por el Gobierno Argentino, y acuerdos sectoriales para implementar aumentos de salarios. Adicionalmente, el Gobierno Argentino sancionó la Ley Nº26.991 (“</w:t>
      </w:r>
      <w:r w:rsidRPr="00AE4E8D">
        <w:rPr>
          <w:u w:val="single"/>
          <w:lang w:val="es-ES"/>
        </w:rPr>
        <w:t>Ley de Abastecimiento</w:t>
      </w:r>
      <w:r w:rsidRPr="00AE4E8D">
        <w:rPr>
          <w:lang w:val="es-ES"/>
        </w:rPr>
        <w:t>”), que permite al Gobierno Argentino intervenir en ciertos mercados cuando considere que cualquier parte de los mismos intenta imponer precios o restricciones al suministro. La Ley de Abastecimiento impone, entre otras sanciones pecuniarias, la suspensión, la toma de operaciones y confiscación de bienes.</w:t>
      </w:r>
    </w:p>
    <w:p w14:paraId="17B6D1B7" w14:textId="77777777" w:rsidR="0028095B" w:rsidRPr="00AE4E8D" w:rsidRDefault="0028095B" w:rsidP="0028095B">
      <w:pPr>
        <w:pStyle w:val="BHTexto"/>
        <w:rPr>
          <w:lang w:val="es-ES"/>
        </w:rPr>
      </w:pPr>
      <w:r w:rsidRPr="00AE4E8D">
        <w:rPr>
          <w:lang w:val="es-ES"/>
        </w:rPr>
        <w:t>El gobierno de Macri ha anunciado e implementado una serie de medidas para moderar los altos niveles de inflación. Entre ellas, se encuentran la continuación de los programas de control de precios, el fortalecimiento de la Comisión Nacional para la Defensa de la Competencia y la implementación de un plan monetario orientado a reducir el ritmo de expansión de la base monetaria.</w:t>
      </w:r>
    </w:p>
    <w:p w14:paraId="5B980550" w14:textId="77777777" w:rsidR="0028095B" w:rsidRPr="00AE4E8D" w:rsidRDefault="0028095B" w:rsidP="0028095B">
      <w:pPr>
        <w:pStyle w:val="BHTexto"/>
        <w:rPr>
          <w:lang w:val="es-ES"/>
        </w:rPr>
      </w:pPr>
      <w:r w:rsidRPr="00AE4E8D">
        <w:rPr>
          <w:lang w:val="es-ES"/>
        </w:rPr>
        <w:t>A pesar de las medidas adoptadas por el gobierno del Presidente Macri, las tasas de inflación aún se mantienen altas y podría afectar negativamente la economía argentina, trasladando estas consecuencias a los negocios del Banco. Véase “</w:t>
      </w:r>
      <w:r w:rsidRPr="00AE4E8D">
        <w:rPr>
          <w:i/>
          <w:lang w:val="es-ES"/>
        </w:rPr>
        <w:t>Factores de Riesgo—Dependemos de las condiciones macroeconómicas y políticas de Argentina</w:t>
      </w:r>
      <w:r w:rsidRPr="00AE4E8D">
        <w:rPr>
          <w:lang w:val="es-ES"/>
        </w:rPr>
        <w:t>”.</w:t>
      </w:r>
    </w:p>
    <w:p w14:paraId="7210B1DD" w14:textId="77777777" w:rsidR="0028095B" w:rsidRPr="00AE4E8D" w:rsidRDefault="0028095B" w:rsidP="0028095B">
      <w:pPr>
        <w:pStyle w:val="BH4Cursiva"/>
      </w:pPr>
      <w:r w:rsidRPr="00AE4E8D">
        <w:t>Existe preocupación acerca de la exactitud de las estadísticas oficiales de inflación de la Argentina</w:t>
      </w:r>
    </w:p>
    <w:p w14:paraId="05846965" w14:textId="77777777" w:rsidR="0028095B" w:rsidRPr="00AE4E8D" w:rsidRDefault="0028095B" w:rsidP="0028095B">
      <w:pPr>
        <w:pStyle w:val="BHTexto"/>
        <w:rPr>
          <w:lang w:val="es-ES"/>
        </w:rPr>
      </w:pPr>
      <w:r w:rsidRPr="00AE4E8D">
        <w:rPr>
          <w:lang w:val="es-ES"/>
        </w:rPr>
        <w:t>En enero de 2007, el INDEC modificó la metodología utilizada para calcular el índice de precios al consumidor (el “</w:t>
      </w:r>
      <w:r w:rsidRPr="00AE4E8D">
        <w:rPr>
          <w:u w:val="single"/>
          <w:lang w:val="es-ES"/>
        </w:rPr>
        <w:t>IPC</w:t>
      </w:r>
      <w:r w:rsidRPr="00AE4E8D">
        <w:rPr>
          <w:lang w:val="es-ES"/>
        </w:rPr>
        <w:t>”), el cual se calculaba como un promedio mensual de una canasta ponderada de bienes y servicios al consumidor que reflejaba el patrón de consumo de los hogares argentinos. Cuando el INDEC adoptó el referido cambio de metodología, el Gobierno Argentino también reemplazó, a varios funcionarios claves del INDEC, provocando denuncias por intromisión gubernamental por parte del personal técnico de la institución. Además, el FMI solicitó a Argentina la clarificación de sus tasas de inflación en varios momentos.</w:t>
      </w:r>
    </w:p>
    <w:p w14:paraId="43CBEFC7" w14:textId="77777777" w:rsidR="0028095B" w:rsidRPr="00AE4E8D" w:rsidRDefault="0028095B" w:rsidP="0028095B">
      <w:pPr>
        <w:pStyle w:val="BHTexto"/>
        <w:rPr>
          <w:lang w:val="es-ES"/>
        </w:rPr>
      </w:pPr>
      <w:r w:rsidRPr="00AE4E8D">
        <w:rPr>
          <w:lang w:val="es-ES"/>
        </w:rPr>
        <w:t>El 23 de noviembre de 2010, el Gobierno Argentino inició una consulta al FMI solicitando asistencia técnica para elaborar un nuevo índice de precios nacional, con el fin de modernizar el sistema estadístico actual. En el primer trimestre de 2011, un equipo técnico del FMI comenzó a trabajar en forma conjunta con el INDEC a los fines de crear el nuevo índice. Sin perjuicio de tales esfuerzos, los informes publicados por el FMI establecieron que su equipo también utilizó medidas de inflación alternativas para la observación macroeconómica, incluyendo datos producidos por fuentes privadas, y dichas mediciones mostraron tasas de inflación considerablemente superiores a las emitidas por el INDEC desde el 2007. En consecuencia, el FMI instó a Argentina a adoptar medidas para la mejora de la calidad de los datos utilizados por el INDEC. En una reunión celebrada el 1 de febrero de 2013, el Comité Ejecutivo del FMI destacó que los avances en la implementación de las medidas correctivas desde septiembre de 2012 no habían sido suficientes. Como resultado, el FMI emitió una declaración de censura contra la Argentina por el incumplimiento de sus obligaciones respecto del FMI y la instó a adoptar medidas correctivas para hacer frente a la inexactitud de los datos de inflación y PBI sin más demora.</w:t>
      </w:r>
    </w:p>
    <w:p w14:paraId="01BA85F4" w14:textId="77777777" w:rsidR="0028095B" w:rsidRPr="00AE4E8D" w:rsidRDefault="0028095B" w:rsidP="0028095B">
      <w:pPr>
        <w:pStyle w:val="BHTexto"/>
        <w:rPr>
          <w:lang w:val="es-ES"/>
        </w:rPr>
      </w:pPr>
      <w:r w:rsidRPr="00AE4E8D">
        <w:rPr>
          <w:lang w:val="es-ES"/>
        </w:rPr>
        <w:t>A los fines de mejorar la calidad de los datos oficiales, se estableció un nuevo índice de precios al consumidor (el “</w:t>
      </w:r>
      <w:r w:rsidRPr="00AE4E8D">
        <w:rPr>
          <w:u w:val="single"/>
          <w:lang w:val="es-ES"/>
        </w:rPr>
        <w:t>IPCNu</w:t>
      </w:r>
      <w:r w:rsidRPr="00AE4E8D">
        <w:rPr>
          <w:lang w:val="es-ES"/>
        </w:rPr>
        <w:t xml:space="preserve">”) el 13 de febrero de 2014. Para el año finalizado el 31 de diciembre de 2014, el IPCNu fue del 23,9%. El IPCNu representó el primer indicador nacional para medir los cambios en los precios de consumo final de los hogares. Mientras que el índice de precios anterior sólo medía la inflación en el Gran Buenos Aires, el IPCNu se calcula midiendo los precios de bienes en todos los centros urbanos de las 23 provincias argentinas y en la Ciudad Autónoma de Buenos Aires. El 15 de diciembre de 2014, el FMI reconoció el progreso de las autoridades Argentinas a los fines de remediar la provisión inadecuada de datos, pero demoró la evaluación definitiva del nuevo índice. </w:t>
      </w:r>
    </w:p>
    <w:p w14:paraId="6BB1A141" w14:textId="77777777" w:rsidR="0028095B" w:rsidRPr="00AE4E8D" w:rsidRDefault="0028095B" w:rsidP="0028095B">
      <w:pPr>
        <w:pStyle w:val="BHTexto"/>
        <w:rPr>
          <w:lang w:val="es-ES"/>
        </w:rPr>
      </w:pPr>
      <w:r w:rsidRPr="00AE4E8D">
        <w:rPr>
          <w:lang w:val="es-ES"/>
        </w:rPr>
        <w:t xml:space="preserve">El 8 de enero de 2016, ante la imposibilidad del INDEC de producir datos estadísticos confiables, particularmente respecto del IPC, PBI y los datos de comercio exterior, datos de pobreza y desempleo, el gobierno de Macri declaró el estado de emergencia administrativa para la estadística nacional y el INDEC. El INDEC suspendió todas las publicaciones relativas a datos estadísticos hasta que se complete </w:t>
      </w:r>
      <w:r w:rsidRPr="00AE4E8D">
        <w:rPr>
          <w:lang w:val="es-ES"/>
        </w:rPr>
        <w:lastRenderedPageBreak/>
        <w:t xml:space="preserve">el proceso de reorganización técnica y la recomposición de la estructura administrativa del INDEC para recuperar su capacidad de brindar información estadística completa y confiable. </w:t>
      </w:r>
    </w:p>
    <w:p w14:paraId="18841CA0" w14:textId="77777777" w:rsidR="0028095B" w:rsidRPr="00AE4E8D" w:rsidRDefault="0028095B" w:rsidP="0028095B">
      <w:pPr>
        <w:pStyle w:val="BHTexto"/>
        <w:rPr>
          <w:lang w:val="es-ES"/>
        </w:rPr>
      </w:pPr>
      <w:r w:rsidRPr="00AE4E8D">
        <w:rPr>
          <w:lang w:val="es-ES"/>
        </w:rPr>
        <w:t xml:space="preserve">Luego de este proceso de reorganización y recuperación, el INDEC comenzó a reanudar progresivamente la publicación de datos oficiales. Con respecto a esto, en junio de 2016, el INDEC reinició la publicación de índices e informó que la inflación de mayo, junio, julio, agosto, septiembre, octubre, noviembre y diciembre fue del 4,2%, 3,1%, 2,0%, 0,2%, 1,1%, 2,4%, 1,6% y 1,2%, respectivamente. A principios de 2017, las estadísticas en materia de inflación comenzaron a mostrar una tendencia de desaceleración estable en sus índices de acuerdo con las políticas de metas de inflación del BCRA. Los índices de inflación publicados por el INDEC para enero, febrero, marzo, abril, mayo, junio, julio, agosto y septiembre de 2017 fueron de 1,3%, 2,5%, 2,4% 2,6%, 1,3%, 1,2%, 1,7%, 1,4% y </w:t>
      </w:r>
      <w:r w:rsidR="00BA135D" w:rsidRPr="00AE4E8D">
        <w:rPr>
          <w:lang w:val="es-ES"/>
        </w:rPr>
        <w:t>1,9</w:t>
      </w:r>
      <w:r w:rsidRPr="00AE4E8D">
        <w:rPr>
          <w:lang w:val="es-ES"/>
        </w:rPr>
        <w:t xml:space="preserve">%, respectivamente. </w:t>
      </w:r>
    </w:p>
    <w:p w14:paraId="098606FE" w14:textId="77777777" w:rsidR="00B31969" w:rsidRDefault="00B31969" w:rsidP="00B31969">
      <w:pPr>
        <w:pStyle w:val="BHTexto"/>
      </w:pPr>
      <w:r>
        <w:t>El proyecto de Ley de Presupuesto para el ejercicio fiscal 2018 contempla metas de variación IPC de entre 10% y 12% para 2018. Asimismo, el 29 de junio de 2016 fue publicada una reestimación de toda la serie de PBI con base 2004, siendo que el crecimiento de la economía bajo esta nueva estimación fue de 2,4% en 2013, -2,5% en 2014, 2,5% en 2015 y -2,1% en de 2016. La baja interanual del PBI en los primeros 3 trimestres de 2016 fue del 2,4</w:t>
      </w:r>
      <w:r w:rsidRPr="00810F57">
        <w:t>%. Por último, el PBI informado por el INDEC para el segundo trimestre del año 2017 creció un 2,7% respecto de igual trimestre del año 2016, y el PBI en el primer semestre del 2017 comparado con igual semestre del año anterior fue 1,6% superior.</w:t>
      </w:r>
      <w:r w:rsidRPr="00AE4E8D">
        <w:t xml:space="preserve"> </w:t>
      </w:r>
    </w:p>
    <w:p w14:paraId="169EAE34" w14:textId="77777777" w:rsidR="0028095B" w:rsidRPr="00AE4E8D" w:rsidRDefault="0028095B" w:rsidP="0028095B">
      <w:pPr>
        <w:pStyle w:val="BHTexto"/>
        <w:rPr>
          <w:lang w:val="es-ES"/>
        </w:rPr>
      </w:pPr>
      <w:r w:rsidRPr="00AE4E8D">
        <w:rPr>
          <w:lang w:val="es-ES"/>
        </w:rPr>
        <w:t xml:space="preserve">El 9 de noviembre de 2016, el FMI luego de analizar el progreso de Argentina en el mejoramiento de la calidad de los datos oficiales sobre el IPC, resolvió levantar la “moción de censura” que fuera impuesta en el año 2013, concluyendo que el IPC de Argentina se ajustaba a las normas internacionales. </w:t>
      </w:r>
    </w:p>
    <w:p w14:paraId="608DCE4A" w14:textId="77777777" w:rsidR="0028095B" w:rsidRPr="00AE4E8D" w:rsidRDefault="0028095B" w:rsidP="0028095B">
      <w:pPr>
        <w:pStyle w:val="BHTexto"/>
        <w:rPr>
          <w:lang w:val="es-ES"/>
        </w:rPr>
      </w:pPr>
      <w:r w:rsidRPr="00AE4E8D">
        <w:rPr>
          <w:lang w:val="es-ES"/>
        </w:rPr>
        <w:t>A pesar de ello, no podemos garantizar que en el futuro no vuelva a existir incertidumbre en relación con la exactitud de los indicadores económicos y que, consecuentemente, esta circunstancia afecte negativamente la economía argentina y, por lo tanto, los resultados del Banco. Si a pesar de los cambios introducidos en el INDEC por el nuevo Gobierno, continúan existiendo diferencias entre las cifras publicadas por dicho organismo y las informadas por consultoras privadas, habría una importante baja en la confianza en la economía argentina, lo que podría impactar en los resultados del Banco.</w:t>
      </w:r>
    </w:p>
    <w:p w14:paraId="3B2FDF13"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La capacidad de la Argentina de obtener financiación de los mercados internacionales está limitada, y tal hecho podría afectar su capacidad de implementar reformas y políticas públicas e impulsar el crecimiento económico</w:t>
      </w:r>
    </w:p>
    <w:p w14:paraId="368DAED9" w14:textId="77777777" w:rsidR="0028095B" w:rsidRPr="00AE4E8D" w:rsidRDefault="0028095B" w:rsidP="0028095B">
      <w:pPr>
        <w:autoSpaceDE w:val="0"/>
        <w:autoSpaceDN w:val="0"/>
        <w:adjustRightInd w:val="0"/>
        <w:spacing w:before="120" w:after="120"/>
        <w:jc w:val="both"/>
        <w:rPr>
          <w:rFonts w:ascii="Times New Roman" w:hAnsi="Times New Roman"/>
          <w:lang w:val="es-ES" w:eastAsia="x-none"/>
        </w:rPr>
      </w:pPr>
      <w:r w:rsidRPr="00AE4E8D">
        <w:rPr>
          <w:rFonts w:ascii="Times New Roman" w:hAnsi="Times New Roman"/>
          <w:lang w:val="es-ES" w:eastAsia="x-none"/>
        </w:rPr>
        <w:t>La cesación de pagos de 2001 de Argentina y el fracaso de reestructurar totalmente su deuda soberana y negociar con los holdouts ha limitado y podría continuar limitando la capacidad de Argentina de acceder al mercado internacional de capitales. En 2005, Argentina reestructuró parte de la deuda soberana que había estado en cesación de pagos y canceló toda su deuda con el FMI. Adicionalmente, en junio de 2010, la Argentina completó la renegociación con aproximadamente un 67% de los bonos en estado de cesación de pagos que no habían sido cambiados en la reestructuración del 2005. Como resultado de la reestructuración del 2005 y del 2010, Argentina ha reestructurado aproximadamente el 92,1% de su deuda en estado de cesación de pagos que era elegible para la reestructuración (los “</w:t>
      </w:r>
      <w:r w:rsidRPr="00AE4E8D">
        <w:rPr>
          <w:rFonts w:ascii="Times New Roman" w:hAnsi="Times New Roman"/>
          <w:u w:val="single"/>
          <w:lang w:val="es-ES" w:eastAsia="x-none"/>
        </w:rPr>
        <w:t>Canjes de Deuda</w:t>
      </w:r>
      <w:r w:rsidRPr="00AE4E8D">
        <w:rPr>
          <w:rFonts w:ascii="Times New Roman" w:hAnsi="Times New Roman"/>
          <w:lang w:val="es-ES" w:eastAsia="x-none"/>
        </w:rPr>
        <w:t xml:space="preserve">”). Ciertos tenedores de bonos que no participaron en esa reestructuración, interpusieron acciones legales contra Argentina en diferentes países, incluyendo los Estados Unidos de América, Italia, Alemania y Japón. </w:t>
      </w:r>
    </w:p>
    <w:p w14:paraId="74799797" w14:textId="77777777" w:rsidR="0028095B" w:rsidRPr="00AE4E8D" w:rsidRDefault="0028095B" w:rsidP="0028095B">
      <w:pPr>
        <w:spacing w:before="120" w:after="200"/>
        <w:jc w:val="both"/>
        <w:rPr>
          <w:rFonts w:ascii="Times New Roman" w:hAnsi="Times New Roman"/>
          <w:lang w:val="es-ES" w:eastAsia="x-none"/>
        </w:rPr>
      </w:pPr>
      <w:r w:rsidRPr="00AE4E8D">
        <w:rPr>
          <w:rFonts w:ascii="Times New Roman" w:hAnsi="Times New Roman"/>
          <w:lang w:val="es-ES" w:eastAsia="x-none"/>
        </w:rPr>
        <w:t xml:space="preserve">Como resultado del litigio presentado por los </w:t>
      </w:r>
      <w:r w:rsidRPr="00AE4E8D">
        <w:rPr>
          <w:rFonts w:ascii="Times New Roman" w:hAnsi="Times New Roman"/>
          <w:i/>
          <w:lang w:val="es-ES" w:eastAsia="x-none"/>
        </w:rPr>
        <w:t>holdouts</w:t>
      </w:r>
      <w:r w:rsidRPr="00AE4E8D">
        <w:rPr>
          <w:rFonts w:ascii="Times New Roman" w:hAnsi="Times New Roman"/>
          <w:lang w:val="es-ES" w:eastAsia="x-none"/>
        </w:rPr>
        <w:t xml:space="preserve"> y sus esfuerzos de embargar bienes soberanos de Argentina situados en los Estados Unidos de América y otras jurisdicciones, la capacidad de Argentina para acceder a los mercados internacionales de capitales fue muy limitada.</w:t>
      </w:r>
    </w:p>
    <w:p w14:paraId="77B9771C" w14:textId="77777777" w:rsidR="0028095B" w:rsidRPr="00AE4E8D" w:rsidRDefault="0028095B" w:rsidP="0028095B">
      <w:pPr>
        <w:spacing w:after="120"/>
        <w:jc w:val="both"/>
        <w:rPr>
          <w:rFonts w:ascii="Times New Roman" w:hAnsi="Times New Roman"/>
          <w:lang w:val="es-ES"/>
        </w:rPr>
      </w:pPr>
      <w:r w:rsidRPr="00AE4E8D">
        <w:rPr>
          <w:rFonts w:ascii="Times New Roman" w:hAnsi="Times New Roman"/>
          <w:lang w:val="es-ES"/>
        </w:rPr>
        <w:t>Durante el mes de febrero de 2016, el mediador Daniel Pollack de la cámara federal estadounidense fue el encargado de confirmar un acuerdo entre el Gobierno Nacional y los </w:t>
      </w:r>
      <w:hyperlink r:id="rId23" w:history="1">
        <w:r w:rsidRPr="00AE4E8D">
          <w:rPr>
            <w:rFonts w:ascii="Times New Roman" w:hAnsi="Times New Roman"/>
            <w:i/>
            <w:lang w:val="es-ES"/>
          </w:rPr>
          <w:t>holdouts</w:t>
        </w:r>
      </w:hyperlink>
      <w:r w:rsidRPr="00AE4E8D">
        <w:rPr>
          <w:rFonts w:ascii="Times New Roman" w:hAnsi="Times New Roman"/>
          <w:lang w:val="es-ES"/>
        </w:rPr>
        <w:t xml:space="preserve">. En un comunicado oficial, el </w:t>
      </w:r>
      <w:r w:rsidRPr="00AE4E8D">
        <w:rPr>
          <w:rFonts w:ascii="Times New Roman" w:hAnsi="Times New Roman"/>
          <w:i/>
          <w:lang w:val="es-ES"/>
        </w:rPr>
        <w:t>special master</w:t>
      </w:r>
      <w:r w:rsidRPr="00AE4E8D">
        <w:rPr>
          <w:rFonts w:ascii="Times New Roman" w:hAnsi="Times New Roman"/>
          <w:lang w:val="es-ES"/>
        </w:rPr>
        <w:t xml:space="preserve"> anunció un "principio de acuerdo" de US$4.653 millones con los fondos Elliot Management, Aurelius Capital, Davidson Kempner y Bracebridge Capital. La quita sobre la sentencia fue del 25%, y el monto final implicó los capitales y los intereses, como así también honorarios legales y gastos por los fondos durante todo el litigio. Aunque este acuerdo no representó el final del litigio, ya que para que el acuerdo se consumase, la Argentina debió cumplir con los requisitos impuestos por el juez neoyorquino Thomas Griesa. En primer lugar, el acuerdo se aprobó por el Congreso argentino. Además, se derogó la Ley Nº 26.017 (la “</w:t>
      </w:r>
      <w:r w:rsidRPr="00AE4E8D">
        <w:rPr>
          <w:rFonts w:ascii="Times New Roman" w:hAnsi="Times New Roman"/>
          <w:u w:val="single"/>
          <w:lang w:val="es-ES"/>
        </w:rPr>
        <w:t>Ley Cerrojo</w:t>
      </w:r>
      <w:r w:rsidRPr="00AE4E8D">
        <w:rPr>
          <w:rFonts w:ascii="Times New Roman" w:hAnsi="Times New Roman"/>
          <w:lang w:val="es-ES"/>
        </w:rPr>
        <w:t>”) y la Ley de Pago Soberano, que impedía pagarles a bonistas que no habían entrado a los canjes de 2005 y 2010.</w:t>
      </w:r>
    </w:p>
    <w:p w14:paraId="211B65BC" w14:textId="77777777" w:rsidR="0028095B" w:rsidRPr="00AE4E8D" w:rsidRDefault="0028095B" w:rsidP="0028095B">
      <w:pPr>
        <w:autoSpaceDE w:val="0"/>
        <w:autoSpaceDN w:val="0"/>
        <w:adjustRightInd w:val="0"/>
        <w:spacing w:before="120" w:after="120"/>
        <w:jc w:val="both"/>
        <w:rPr>
          <w:rFonts w:ascii="Times New Roman" w:hAnsi="Times New Roman"/>
          <w:lang w:val="es-ES" w:eastAsia="x-none"/>
        </w:rPr>
      </w:pPr>
      <w:r w:rsidRPr="00AE4E8D">
        <w:rPr>
          <w:rFonts w:ascii="Times New Roman" w:hAnsi="Times New Roman"/>
          <w:lang w:val="es-ES" w:eastAsia="x-none"/>
        </w:rPr>
        <w:t xml:space="preserve">En el mes de marzo de 2016, al inicio de las sesiones del Congreso, el Gobierno Nacional presentó un proyecto de ley para finalmente acordar con los </w:t>
      </w:r>
      <w:r w:rsidRPr="00AE4E8D">
        <w:rPr>
          <w:rFonts w:ascii="Times New Roman" w:hAnsi="Times New Roman"/>
          <w:i/>
          <w:lang w:val="es-ES" w:eastAsia="x-none"/>
        </w:rPr>
        <w:t>holdouts</w:t>
      </w:r>
      <w:r w:rsidRPr="00AE4E8D">
        <w:rPr>
          <w:rFonts w:ascii="Times New Roman" w:hAnsi="Times New Roman"/>
          <w:lang w:val="es-ES" w:eastAsia="x-none"/>
        </w:rPr>
        <w:t xml:space="preserve">. A fines de marzo de 2016, el Congreso argentino aprobó la ley presentada por el Gobierno Nacional y el 1 de abril de 2016 la Ley 27.249 fue </w:t>
      </w:r>
      <w:r w:rsidRPr="00AE4E8D">
        <w:rPr>
          <w:rFonts w:ascii="Times New Roman" w:hAnsi="Times New Roman"/>
          <w:lang w:val="es-ES" w:eastAsia="x-none"/>
        </w:rPr>
        <w:lastRenderedPageBreak/>
        <w:t xml:space="preserve">promulgada. Ésta ley autorizó al Gobierno Argentino a pagar en efectivo hasta US$11.600 millones a los </w:t>
      </w:r>
      <w:r w:rsidRPr="00AE4E8D">
        <w:rPr>
          <w:rFonts w:ascii="Times New Roman" w:hAnsi="Times New Roman"/>
          <w:i/>
          <w:lang w:val="es-ES" w:eastAsia="x-none"/>
        </w:rPr>
        <w:t xml:space="preserve">holdouts. </w:t>
      </w:r>
      <w:r w:rsidRPr="00AE4E8D">
        <w:rPr>
          <w:rFonts w:ascii="Times New Roman" w:hAnsi="Times New Roman"/>
          <w:lang w:val="es-ES" w:eastAsia="x-none"/>
        </w:rPr>
        <w:t xml:space="preserve">Los fondos requeridos para dicho pago provinieron de la emisión de deuda en los mercados de capitales internacionales por el Gobierno Argentino. Entre otras disposiciones, la nueva ley derogó la Ley Cerrojo y la Ley de Pago Soberano. </w:t>
      </w:r>
    </w:p>
    <w:p w14:paraId="331A9AD0" w14:textId="77777777" w:rsidR="0028095B" w:rsidRPr="00AE4E8D" w:rsidRDefault="0028095B" w:rsidP="0028095B">
      <w:pPr>
        <w:spacing w:before="120" w:after="200"/>
        <w:jc w:val="both"/>
        <w:rPr>
          <w:rFonts w:ascii="Times New Roman" w:hAnsi="Times New Roman"/>
          <w:lang w:val="es-ES" w:eastAsia="x-none"/>
        </w:rPr>
      </w:pPr>
      <w:r w:rsidRPr="00AE4E8D">
        <w:rPr>
          <w:rFonts w:ascii="Times New Roman" w:hAnsi="Times New Roman"/>
          <w:lang w:val="es-ES" w:eastAsia="x-none"/>
        </w:rPr>
        <w:t xml:space="preserve">A inicios de abril de 2016, el mediador Daniel Pollack anunció que el Gobierno Argentino había llegado a un acuerdo con otros </w:t>
      </w:r>
      <w:r w:rsidRPr="00AE4E8D">
        <w:rPr>
          <w:rFonts w:ascii="Times New Roman" w:hAnsi="Times New Roman"/>
          <w:i/>
          <w:lang w:val="es-ES" w:eastAsia="x-none"/>
        </w:rPr>
        <w:t>holdouts</w:t>
      </w:r>
      <w:r w:rsidRPr="00AE4E8D">
        <w:rPr>
          <w:rFonts w:ascii="Times New Roman" w:hAnsi="Times New Roman"/>
          <w:lang w:val="es-ES" w:eastAsia="x-none"/>
        </w:rPr>
        <w:t xml:space="preserve">. Como resultado de ello, el Gobierno Argentino ha llegado a acuerdos con aproximadamente el 90% de los acreedores que no habían participado de los Canjes de Deuda. El 13 de abril de 2016, la Corte de Apelaciones levantó las restricciones a la Argentina para cumplir con sus obligaciones de deuda. </w:t>
      </w:r>
    </w:p>
    <w:p w14:paraId="1EB1FC46" w14:textId="77777777" w:rsidR="0028095B" w:rsidRPr="00AE4E8D" w:rsidRDefault="0028095B" w:rsidP="0028095B">
      <w:pPr>
        <w:spacing w:before="120" w:after="200"/>
        <w:jc w:val="both"/>
        <w:rPr>
          <w:rFonts w:ascii="Times New Roman" w:hAnsi="Times New Roman"/>
          <w:lang w:val="es-ES" w:eastAsia="x-none"/>
        </w:rPr>
      </w:pPr>
      <w:r w:rsidRPr="00AE4E8D">
        <w:rPr>
          <w:rFonts w:ascii="Times New Roman" w:hAnsi="Times New Roman"/>
          <w:lang w:val="es-ES" w:eastAsia="x-none"/>
        </w:rPr>
        <w:t xml:space="preserve">En abril de 2016, emitió bonos US$15,0 mil millones. El 22 de abril de 2016, el gobierno pagó las sumas acordadas con los </w:t>
      </w:r>
      <w:r w:rsidRPr="00AE4E8D">
        <w:rPr>
          <w:rFonts w:ascii="Times New Roman" w:hAnsi="Times New Roman"/>
          <w:i/>
          <w:lang w:val="es-ES" w:eastAsia="x-none"/>
        </w:rPr>
        <w:t xml:space="preserve">holdouts </w:t>
      </w:r>
      <w:r w:rsidRPr="00AE4E8D">
        <w:rPr>
          <w:rFonts w:ascii="Times New Roman" w:hAnsi="Times New Roman"/>
          <w:lang w:val="es-ES" w:eastAsia="x-none"/>
        </w:rPr>
        <w:t>y la corte estadounidense todas las sanciones impuestas previamente. Desde entonces y hasta el 31 de diciembre de 2016, Argentina emitió deuda soberana por US$45.800 millones en el mercado de capitales.</w:t>
      </w:r>
    </w:p>
    <w:p w14:paraId="2D27D3AF" w14:textId="77777777" w:rsidR="0028095B" w:rsidRPr="00AE4E8D" w:rsidRDefault="0028095B" w:rsidP="0028095B">
      <w:pPr>
        <w:spacing w:before="120" w:after="200"/>
        <w:jc w:val="both"/>
        <w:rPr>
          <w:rFonts w:ascii="Times New Roman" w:hAnsi="Times New Roman"/>
          <w:lang w:val="es-ES" w:eastAsia="x-none"/>
        </w:rPr>
      </w:pPr>
      <w:r w:rsidRPr="00AE4E8D">
        <w:rPr>
          <w:rFonts w:ascii="Times New Roman" w:hAnsi="Times New Roman"/>
          <w:lang w:val="es-ES" w:eastAsia="x-none"/>
        </w:rPr>
        <w:t>El 15 de abril de 2016 la agencia calificadora de deuda Moody's elevó la nota crediticia de la Argentina, tras el acuerdo con los </w:t>
      </w:r>
      <w:r w:rsidRPr="00AE4E8D">
        <w:rPr>
          <w:rFonts w:ascii="Times New Roman" w:hAnsi="Times New Roman"/>
          <w:i/>
          <w:lang w:val="es-ES" w:eastAsia="x-none"/>
        </w:rPr>
        <w:t>holdouts</w:t>
      </w:r>
      <w:r w:rsidRPr="00AE4E8D">
        <w:rPr>
          <w:rFonts w:ascii="Times New Roman" w:hAnsi="Times New Roman"/>
          <w:lang w:val="es-ES" w:eastAsia="x-none"/>
        </w:rPr>
        <w:t xml:space="preserve">, de "Caa1" a "B3". La calificación de los bonos bajo legislación extranjera y de los bonos reestructurados bajo legislación local en moneda extranjera también </w:t>
      </w:r>
      <w:proofErr w:type="gramStart"/>
      <w:r w:rsidRPr="00AE4E8D">
        <w:rPr>
          <w:rFonts w:ascii="Times New Roman" w:hAnsi="Times New Roman"/>
          <w:lang w:val="es-ES" w:eastAsia="x-none"/>
        </w:rPr>
        <w:t>fueron</w:t>
      </w:r>
      <w:proofErr w:type="gramEnd"/>
      <w:r w:rsidRPr="00AE4E8D">
        <w:rPr>
          <w:rFonts w:ascii="Times New Roman" w:hAnsi="Times New Roman"/>
          <w:lang w:val="es-ES" w:eastAsia="x-none"/>
        </w:rPr>
        <w:t xml:space="preserve"> subidos a "B3" desde "Caa2".</w:t>
      </w:r>
    </w:p>
    <w:p w14:paraId="6BF0BAA3" w14:textId="77777777" w:rsidR="0028095B" w:rsidRPr="00AE4E8D" w:rsidRDefault="0028095B" w:rsidP="0028095B">
      <w:pPr>
        <w:keepNext/>
        <w:autoSpaceDE w:val="0"/>
        <w:autoSpaceDN w:val="0"/>
        <w:adjustRightInd w:val="0"/>
        <w:spacing w:after="120"/>
        <w:jc w:val="both"/>
        <w:outlineLvl w:val="3"/>
        <w:rPr>
          <w:rFonts w:ascii="Times New Roman" w:hAnsi="Times New Roman"/>
          <w:lang w:val="es-ES" w:eastAsia="es-ES"/>
        </w:rPr>
      </w:pPr>
      <w:r w:rsidRPr="00AE4E8D">
        <w:rPr>
          <w:rFonts w:ascii="Times New Roman" w:hAnsi="Times New Roman"/>
          <w:lang w:val="es-ES" w:eastAsia="x-none"/>
        </w:rPr>
        <w:t xml:space="preserve">A la fecha del presente Prospecto, continúan en varias jurisdicciones juicios iniciados por los </w:t>
      </w:r>
      <w:r w:rsidRPr="00AE4E8D">
        <w:rPr>
          <w:rFonts w:ascii="Times New Roman" w:hAnsi="Times New Roman"/>
          <w:i/>
          <w:lang w:val="es-ES"/>
        </w:rPr>
        <w:t>holdouts</w:t>
      </w:r>
      <w:r w:rsidRPr="00AE4E8D">
        <w:rPr>
          <w:rFonts w:ascii="Times New Roman" w:hAnsi="Times New Roman"/>
          <w:lang w:val="es-ES" w:eastAsia="x-none"/>
        </w:rPr>
        <w:t xml:space="preserve"> y otros acreedores internacionales que no aceptaron la oferta de pago de Argentina, aunque la dimensión de los reclamos involucrados ha disminuido considerablemente. Las potenciales consecuencias de fallos de distintos juzgados posiblemente inconsistentes son poco claras</w:t>
      </w:r>
      <w:r w:rsidRPr="00AE4E8D">
        <w:rPr>
          <w:rFonts w:ascii="Times New Roman" w:hAnsi="Times New Roman"/>
          <w:lang w:val="es-ES" w:eastAsia="es-ES"/>
        </w:rPr>
        <w:t xml:space="preserve"> y otras decisiones adversas podrían afectar negativamente la capacidad del Gobierno de emitir valores negociables u obtener términos favorables cuando surja la necesidad de acceder a los mercados de capitales internacionales y, en consecuencia, nuestra capacidad de acceso a estos mercados también podría ser limitada.</w:t>
      </w:r>
    </w:p>
    <w:p w14:paraId="0D34E5CC"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Los accionistas extranjeros de sociedades que operen en Argentina han presentado demandas contra Argentina que han derivado o podrían derivar en laudos arbitrales y/o en otras órdenes judiciales contra Argentina y sus activos y restringir sus recursos financieros.</w:t>
      </w:r>
    </w:p>
    <w:p w14:paraId="416069D9" w14:textId="77777777" w:rsidR="0028095B" w:rsidRPr="00AE4E8D" w:rsidRDefault="0028095B" w:rsidP="0028095B">
      <w:pPr>
        <w:keepNext/>
        <w:autoSpaceDE w:val="0"/>
        <w:autoSpaceDN w:val="0"/>
        <w:adjustRightInd w:val="0"/>
        <w:spacing w:after="120"/>
        <w:jc w:val="both"/>
        <w:outlineLvl w:val="3"/>
        <w:rPr>
          <w:rFonts w:ascii="Times New Roman" w:hAnsi="Times New Roman"/>
          <w:lang w:val="es-ES" w:eastAsia="x-none"/>
        </w:rPr>
      </w:pPr>
      <w:r w:rsidRPr="00AE4E8D">
        <w:rPr>
          <w:rFonts w:ascii="Times New Roman" w:hAnsi="Times New Roman"/>
          <w:lang w:val="es-ES" w:eastAsia="x-none"/>
        </w:rPr>
        <w:t>En respuesta a las medidas de emergencia implementadas por el gobierno argentino durante la crisis económica de 2001-2002, una serie de demandas fueron presentadas ante el Centro Internacional de Arreglo de Diferencias Relativas a Inversiones ("</w:t>
      </w:r>
      <w:r w:rsidRPr="00AE4E8D">
        <w:rPr>
          <w:rFonts w:ascii="Times New Roman" w:hAnsi="Times New Roman"/>
          <w:u w:val="single"/>
          <w:lang w:val="es-ES"/>
        </w:rPr>
        <w:t>CIADI</w:t>
      </w:r>
      <w:r w:rsidRPr="00AE4E8D">
        <w:rPr>
          <w:rFonts w:ascii="Times New Roman" w:hAnsi="Times New Roman"/>
          <w:lang w:val="es-ES" w:eastAsia="x-none"/>
        </w:rPr>
        <w:t xml:space="preserve">") contra Argentina. Los demandantes alegan que las medidas de emergencia eran incompatibles con las normas de tratamiento justo y equitativo establecidas en diversos tratados bilaterales de inversión de los que Argentina era parte en ese momento. </w:t>
      </w:r>
    </w:p>
    <w:p w14:paraId="2AC98027" w14:textId="77777777" w:rsidR="0028095B" w:rsidRPr="00AE4E8D" w:rsidRDefault="0028095B" w:rsidP="0028095B">
      <w:pPr>
        <w:keepNext/>
        <w:autoSpaceDE w:val="0"/>
        <w:autoSpaceDN w:val="0"/>
        <w:adjustRightInd w:val="0"/>
        <w:spacing w:after="120"/>
        <w:jc w:val="both"/>
        <w:outlineLvl w:val="3"/>
        <w:rPr>
          <w:rFonts w:ascii="Times New Roman" w:hAnsi="Times New Roman"/>
          <w:lang w:val="es-ES" w:eastAsia="x-none"/>
        </w:rPr>
      </w:pPr>
      <w:r w:rsidRPr="00AE4E8D">
        <w:rPr>
          <w:rFonts w:ascii="Times New Roman" w:hAnsi="Times New Roman"/>
          <w:lang w:val="es-ES" w:eastAsia="x-none"/>
        </w:rPr>
        <w:t>Los demandantes también han presentado demandas ante los tribunales de arbitraje de conformidad con las normas de la Comisión de las Naciones Unidas para el Derecho Mercantil Internacional (“</w:t>
      </w:r>
      <w:r w:rsidRPr="00AE4E8D">
        <w:rPr>
          <w:rFonts w:ascii="Times New Roman" w:hAnsi="Times New Roman"/>
          <w:u w:val="single"/>
          <w:lang w:val="es-ES"/>
        </w:rPr>
        <w:t>CNUDMI</w:t>
      </w:r>
      <w:r w:rsidRPr="00AE4E8D">
        <w:rPr>
          <w:rFonts w:ascii="Times New Roman" w:hAnsi="Times New Roman"/>
          <w:lang w:val="es-ES" w:eastAsia="x-none"/>
        </w:rPr>
        <w:t>") y con las normas de la Cámara de Comercio Internacional ("</w:t>
      </w:r>
      <w:r w:rsidRPr="00AE4E8D">
        <w:rPr>
          <w:rFonts w:ascii="Times New Roman" w:hAnsi="Times New Roman"/>
          <w:u w:val="single"/>
          <w:lang w:val="es-ES"/>
        </w:rPr>
        <w:t>ICC</w:t>
      </w:r>
      <w:r w:rsidRPr="00AE4E8D">
        <w:rPr>
          <w:rFonts w:ascii="Times New Roman" w:hAnsi="Times New Roman"/>
          <w:lang w:val="es-ES" w:eastAsia="x-none"/>
        </w:rPr>
        <w:t>"). A la fecha del presente prospecto, no hay certeza de que Argentina logre que estos casos sean desestimados, o que en caso de que el laudo sea favorable para los demandantes, logre la anulación de dichos laudos. Los reclamos pendientes ante el CIADI y otros tribunales arbitrales podrían dar lugar a nuevos laudos en contra de Argentina, lo cual podría tener un efecto sustancial adverso sobre nuestra capacidad de acceder al crédito o a los mercados de capitales internacionales.</w:t>
      </w:r>
      <w:r w:rsidRPr="00AE4E8D">
        <w:rPr>
          <w:rFonts w:ascii="Times New Roman" w:hAnsi="Times New Roman"/>
          <w:lang w:val="es-ES"/>
        </w:rPr>
        <w:t xml:space="preserve"> Véase </w:t>
      </w:r>
      <w:r w:rsidRPr="00AE4E8D">
        <w:rPr>
          <w:rFonts w:ascii="Times New Roman" w:hAnsi="Times New Roman"/>
          <w:i/>
          <w:lang w:val="es-ES"/>
        </w:rPr>
        <w:t>“Factores de Riesgo—La capacidad de la Argentina de obtener financiación de los mercados internacionales está limitada, y tal hecho podría afectar su capacidad de implementar reformas y políticas públicas e impulsar el crecimiento económico”</w:t>
      </w:r>
      <w:r w:rsidRPr="00AE4E8D">
        <w:rPr>
          <w:rFonts w:ascii="Times New Roman" w:hAnsi="Times New Roman"/>
          <w:lang w:val="es-ES"/>
        </w:rPr>
        <w:t>.</w:t>
      </w:r>
    </w:p>
    <w:p w14:paraId="0F46153D"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La reforma de la Carta Orgánica del BCRA y la Ley de Convertibilidad pueden afectar adversamente la economía argentina</w:t>
      </w:r>
    </w:p>
    <w:p w14:paraId="0EA97A10" w14:textId="77777777" w:rsidR="0028095B" w:rsidRPr="00AE4E8D" w:rsidRDefault="0028095B" w:rsidP="0028095B">
      <w:pPr>
        <w:pStyle w:val="BHTexto"/>
        <w:rPr>
          <w:lang w:val="es-ES"/>
        </w:rPr>
      </w:pPr>
      <w:r w:rsidRPr="00AE4E8D">
        <w:rPr>
          <w:lang w:val="es-ES"/>
        </w:rPr>
        <w:t>El 22 de marzo de 2012, el Congreso Nacional sancionó la Ley Nº26.739, que modificó la carta orgánica del BCRA (la “</w:t>
      </w:r>
      <w:r w:rsidRPr="00AE4E8D">
        <w:rPr>
          <w:u w:val="single"/>
          <w:lang w:val="es-ES"/>
        </w:rPr>
        <w:t>Carta Orgánica del BCRA</w:t>
      </w:r>
      <w:r w:rsidRPr="00AE4E8D">
        <w:rPr>
          <w:lang w:val="es-ES"/>
        </w:rPr>
        <w:t>”) y la Ley Nº23.298 (la “</w:t>
      </w:r>
      <w:r w:rsidRPr="00AE4E8D">
        <w:rPr>
          <w:u w:val="single"/>
          <w:lang w:val="es-ES"/>
        </w:rPr>
        <w:t>Ley de Convertibilidad</w:t>
      </w:r>
      <w:r w:rsidRPr="00AE4E8D">
        <w:rPr>
          <w:lang w:val="es-ES"/>
        </w:rPr>
        <w:t>”). Esta nueva ley modifica los objetivos del BCRA (establecidos en su carta orgánica) incluyendo un mandato centrado promover programas de equidad social, además de desarrollar la estabilidad de la política monetaria y financiera.</w:t>
      </w:r>
    </w:p>
    <w:p w14:paraId="16BC746F" w14:textId="77777777" w:rsidR="0028095B" w:rsidRPr="00AE4E8D" w:rsidRDefault="0028095B" w:rsidP="0028095B">
      <w:pPr>
        <w:pStyle w:val="BHTexto"/>
        <w:rPr>
          <w:lang w:val="es-ES"/>
        </w:rPr>
      </w:pPr>
      <w:r w:rsidRPr="00AE4E8D">
        <w:rPr>
          <w:lang w:val="es-ES"/>
        </w:rPr>
        <w:t>Un componente clave de la reforma de la Carta Orgánica del BCRA está asociado al uso de las reservas internacionales, las cuales en enero del 2011 vieron un tope record histórico de US$52,6 miles de millones. En virtud de la reforma, las reservas del BCRA pueden ser puestas a disposición del Gobierno Argentino</w:t>
      </w:r>
      <w:r w:rsidRPr="00AE4E8D" w:rsidDel="00C4593B">
        <w:rPr>
          <w:lang w:val="es-ES"/>
        </w:rPr>
        <w:t xml:space="preserve"> </w:t>
      </w:r>
      <w:r w:rsidRPr="00AE4E8D">
        <w:rPr>
          <w:lang w:val="es-ES"/>
        </w:rPr>
        <w:t xml:space="preserve">para cancelar una deuda o para financiar el gasto público. Durante 2013, las reservas en Dólares Estadounidenses que el Gobierno Argentino poseía en el BCRA disminuyeron </w:t>
      </w:r>
      <w:r w:rsidRPr="00AE4E8D">
        <w:rPr>
          <w:lang w:val="es-ES"/>
        </w:rPr>
        <w:lastRenderedPageBreak/>
        <w:t xml:space="preserve">significativamente, de US$43,3 miles de millones en 2012 a US$30,6 miles de millones en 2013, mientras que en 2014 aumentaron levemente a US$31,4 miles de millones al 31 de diciembre de 2014. Las reservas del BCRA en moneda extranjera cerraron el 31 de diciembre de 2015 en US$25,5 miles de millones y han aumentado a US$ 47,9 miles de millones al 30 de junio de 2017. La ampliación de los fines para los cuales pueden usarse las reservas del BCRA por parte del Gobierno Argentino podría causar que la economía argentina sea más vulnerable a la inflación o a shocks externos, pudiendo afectar adversamente nuestras condiciones financieras y los resultados de nuestras operaciones. </w:t>
      </w:r>
    </w:p>
    <w:p w14:paraId="56CB77C7"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Fluctuaciones significativas del valor del Peso podrían afectar de modo adverso la economía argentina así como nuestro desempeño financiero</w:t>
      </w:r>
    </w:p>
    <w:p w14:paraId="56BEE2A3" w14:textId="77777777" w:rsidR="0028095B" w:rsidRPr="00AE4E8D" w:rsidRDefault="0028095B" w:rsidP="0028095B">
      <w:pPr>
        <w:pStyle w:val="BHTexto"/>
        <w:rPr>
          <w:lang w:val="es-ES"/>
        </w:rPr>
      </w:pPr>
      <w:r w:rsidRPr="00AE4E8D">
        <w:rPr>
          <w:lang w:val="es-ES"/>
        </w:rPr>
        <w:t>A pesar de que la depreciación del Peso en 2002 tuvo un efecto positivo en la competitividad de determinados sectores de la economía argentina, también tuvo un impacto negativo de gran alcance en la economía argentina y en la situación patrimonial de las empresas y particulares. La devaluación del Peso ha tenido un impacto negativo en la capacidad de las empresas argentinas para honrar sus obligaciones de deuda en moneda extranjera, inicialmente derivó en niveles de inflación muy altos, redujo los sueldos reales de manera considerable, tuvo un impacto negativo en aquellas actividades cuyo éxito depende de la demanda interna, como es el caso de las industrias de servicios públicos y el sector financiero y afectó de modo adverso la capacidad del Gobierno Argentino</w:t>
      </w:r>
      <w:r w:rsidRPr="00AE4E8D" w:rsidDel="00C4593B">
        <w:rPr>
          <w:lang w:val="es-ES"/>
        </w:rPr>
        <w:t xml:space="preserve"> </w:t>
      </w:r>
      <w:r w:rsidRPr="00AE4E8D">
        <w:rPr>
          <w:lang w:val="es-ES"/>
        </w:rPr>
        <w:t>de pagar sus obligaciones de deuda externa.</w:t>
      </w:r>
    </w:p>
    <w:p w14:paraId="74095CC8" w14:textId="77777777" w:rsidR="0028095B" w:rsidRPr="00AE4E8D" w:rsidRDefault="0028095B" w:rsidP="0028095B">
      <w:pPr>
        <w:pStyle w:val="BHTexto"/>
        <w:rPr>
          <w:lang w:val="es-ES"/>
        </w:rPr>
      </w:pPr>
      <w:r w:rsidRPr="00AE4E8D">
        <w:rPr>
          <w:lang w:val="es-ES"/>
        </w:rPr>
        <w:t xml:space="preserve">Desde el endurecimiento de los controles cambiarios a fines de 2011, y con la introducción de medidas que limitaron el acceso a las divisas por parte de empresas privadas y personas humanas (tales como la obligación de obtener la autorización de las autoridades impositivas para acceder al mercado cambiario), el tipo de cambio implícito, según lo reflejado en las cotizaciones de los títulos argentinos que se negociaban en los mercados extranjeros en comparación con las correspondientes cotizaciones del mercado local, aumentaron significativamente respecto del tipo de cambio oficial. </w:t>
      </w:r>
    </w:p>
    <w:p w14:paraId="26394F22" w14:textId="77777777" w:rsidR="0028095B" w:rsidRPr="00AE4E8D" w:rsidRDefault="0028095B" w:rsidP="0028095B">
      <w:pPr>
        <w:pStyle w:val="BHTexto"/>
        <w:rPr>
          <w:lang w:val="es-ES"/>
        </w:rPr>
      </w:pPr>
      <w:r w:rsidRPr="00AE4E8D">
        <w:rPr>
          <w:lang w:val="es-ES"/>
        </w:rPr>
        <w:t>En diciembre de 2015, como consecuencia de las medidas adoptadas por las nuevas autoridades del Gobierno Argentino se modificaron ciertas restricciones de la normativa cambiaria, como consecuencia de lo cual el valor de la moneda se depreció el 17 de diciembre de 2015 en un valor cercano al 40% en un solo día, hasta llegar a Ps.13</w:t>
      </w:r>
      <w:proofErr w:type="gramStart"/>
      <w:r w:rsidRPr="00AE4E8D">
        <w:rPr>
          <w:lang w:val="es-ES"/>
        </w:rPr>
        <w:t>,76</w:t>
      </w:r>
      <w:proofErr w:type="gramEnd"/>
      <w:r w:rsidRPr="00AE4E8D">
        <w:rPr>
          <w:lang w:val="es-ES"/>
        </w:rPr>
        <w:t xml:space="preserve"> </w:t>
      </w:r>
      <w:r w:rsidRPr="00AE4E8D">
        <w:rPr>
          <w:rFonts w:eastAsia="MS Mincho"/>
          <w:lang w:val="es-ES" w:eastAsia="es-ES"/>
        </w:rPr>
        <w:t>por US$1,00</w:t>
      </w:r>
      <w:r w:rsidRPr="00AE4E8D">
        <w:rPr>
          <w:lang w:val="es-ES"/>
        </w:rPr>
        <w:t>. Las medidas de control cambiario pueden limitar nuestra capacidad para mitigar el riesgo derivado de nuestra exposición al dólar estadounidense. No podemos predecir el impacto de estos cambios en nuestras condiciones financieras y los resultados de nuestras operaciones.</w:t>
      </w:r>
    </w:p>
    <w:p w14:paraId="7F9D832B" w14:textId="77777777" w:rsidR="0028095B" w:rsidRPr="00AE4E8D" w:rsidRDefault="0028095B" w:rsidP="0028095B">
      <w:pPr>
        <w:pStyle w:val="BHTexto"/>
        <w:rPr>
          <w:lang w:val="es-ES"/>
        </w:rPr>
      </w:pPr>
      <w:r w:rsidRPr="00AE4E8D">
        <w:rPr>
          <w:lang w:val="es-ES"/>
        </w:rPr>
        <w:t>La depreciación del con relación a otras monedas (especialmente el dólar estadounidense) podría provocar un efecto adverso significativo sobre nuestros negocios y el resultado de nuestras operaciones debido a nuestra exposición a obligaciones de deuda en Dólares Estadounidenses.</w:t>
      </w:r>
    </w:p>
    <w:p w14:paraId="58BE152F" w14:textId="77777777" w:rsidR="0028095B" w:rsidRPr="00AE4E8D" w:rsidRDefault="0028095B" w:rsidP="0028095B">
      <w:pPr>
        <w:pStyle w:val="BHTexto"/>
        <w:rPr>
          <w:lang w:val="es-ES"/>
        </w:rPr>
      </w:pPr>
      <w:r w:rsidRPr="00AE4E8D">
        <w:rPr>
          <w:lang w:val="es-ES"/>
        </w:rPr>
        <w:t>Por otro lado, una apreciación del Peso frente al Dólar Estadounidense impacta adversamente sobre la situación patrimonial de las entidades cuyos activos denominados en moneda extranjera superan sus pasivos denominados en moneda extranjera. Por otra parte, en el corto plazo, una apreciación real significativa del Peso podría afectar negativamente las exportaciones y podría resultar en una desaceleración del crecimiento económico. Esto que podría tener un efecto negativo en el crecimiento del PBI y del empleo y podría reducir los ingresos del sector público de Argentina reduciendo las recaudaciones impositivas en términos reales, dado su fuerte sustento actual en los impuestos sobre las exportaciones. La apreciación del Peso frente al Dólar Estadounidense podría tener un efecto adverso en la economía argentina y nuestros negocios.</w:t>
      </w:r>
    </w:p>
    <w:p w14:paraId="0F3FA2FD"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Ciertas medidas a ser tomadas por el Gobierno Argentino podrían afectar de modo adverso a la economía argentina y, por ende, a nuestro negocio, nuestra condición financiera y los resultados de nuestras operaciones</w:t>
      </w:r>
    </w:p>
    <w:p w14:paraId="175C8181" w14:textId="77777777" w:rsidR="0028095B" w:rsidRPr="00AE4E8D" w:rsidRDefault="0028095B" w:rsidP="0028095B">
      <w:pPr>
        <w:pStyle w:val="BHTexto"/>
        <w:rPr>
          <w:lang w:val="es-ES"/>
        </w:rPr>
      </w:pPr>
      <w:r w:rsidRPr="00AE4E8D">
        <w:rPr>
          <w:lang w:val="es-ES"/>
        </w:rPr>
        <w:t>Previo a diciembre de 2015, el Gobierno Argentino incrementó su intervención directa en la economía, por medio de la implementación o cambio de leyes y normas, como ser: nacionalizaciones, o expropiaciones; restricciones sobre la producción, importaciones y exportaciones; restricciones al tipo de cambio y/o transferencias; controles de precio directos e indirectos, incrementos de impuestos, cambios en la interpretación o aplicación de leyes impositivas y otros reclamos o desafíos impositivos retroactivos; cancelación de derechos contractuales; y demoras o negativas de aprobación por parte del Gobierno Argentino, entre otras.</w:t>
      </w:r>
    </w:p>
    <w:p w14:paraId="52E0F12D" w14:textId="77777777" w:rsidR="0028095B" w:rsidRPr="00AE4E8D" w:rsidRDefault="0028095B" w:rsidP="0028095B">
      <w:pPr>
        <w:pStyle w:val="BHTexto"/>
        <w:rPr>
          <w:lang w:val="es-ES"/>
        </w:rPr>
      </w:pPr>
      <w:r w:rsidRPr="00AE4E8D">
        <w:rPr>
          <w:lang w:val="es-ES"/>
        </w:rPr>
        <w:t>En noviembre de 2008, el Gobierno Argentino sancionó la Ley Nº26.425 que determinó la nacionalización de las Administradoras de Fondos de Jubilaciones y Pensiones (las “</w:t>
      </w:r>
      <w:r w:rsidRPr="00AE4E8D">
        <w:rPr>
          <w:u w:val="single"/>
          <w:lang w:val="es-ES"/>
        </w:rPr>
        <w:t>AFJP</w:t>
      </w:r>
      <w:r w:rsidRPr="00AE4E8D">
        <w:rPr>
          <w:lang w:val="es-ES"/>
        </w:rPr>
        <w:t xml:space="preserve">”). A partir de abril de 2012, el Gobierno Argentino decidió la nacionalización de YPF S.A. e impuso cambios significativos en la operatoria de las empresas petroleras, principalmente a través de la promulgación de </w:t>
      </w:r>
      <w:r w:rsidRPr="00AE4E8D">
        <w:rPr>
          <w:lang w:val="es-ES"/>
        </w:rPr>
        <w:lastRenderedPageBreak/>
        <w:t>la Ley Nº26.714 y del Decreto Nº1277/2012. En febrero de 2014, el Gobierno Argentino y Repsol S.A. (ex accionista principal de YPF S.A.) anunciaron el arribo a un acuerdo sobre los términos de la indemnización a ser pagada a Repsol por la expropiación de sus acciones de YPF S.A. Tal indemnización ascendió a la suma de US$5.000 millones a ser pagada mediante la entrega de bonos argentinos con distintos vencimientos. El 23 de abril de 2014, el acuerdo con Repsol fue aprobado por el Congreso argentino, y en consecuencia, el 8 de mayo de 2014, Repsol S.A. recibió los respectivos bonos del Gobierno Argentino.</w:t>
      </w:r>
    </w:p>
    <w:p w14:paraId="1A9137D9" w14:textId="77777777" w:rsidR="0028095B" w:rsidRPr="00AE4E8D" w:rsidRDefault="0028095B" w:rsidP="0028095B">
      <w:pPr>
        <w:pStyle w:val="BHTexto"/>
        <w:rPr>
          <w:b/>
          <w:i/>
          <w:lang w:val="es-ES"/>
        </w:rPr>
      </w:pPr>
      <w:r w:rsidRPr="00AE4E8D">
        <w:rPr>
          <w:lang w:val="es-ES"/>
        </w:rPr>
        <w:t xml:space="preserve">Existen otros ejemplos de intervención estatal por parte del Gobierno anterior al del Presidente Mauricio Macri. En diciembre de 2012 y agosto de 2013, el Congreso argentino impuso nuevas reglamentaciones sobre los mercados de capitales locales. Las reglamentaciones establecen en general una mayor intervención en los mercados de capitales por parte del Gobierno Argentino, autorizando por ejemplo a la CNV a designar veedores con facultades para vetar las decisiones del directorio de empresas admitidas al régimen de oferta pública bajo ciertas circunstancias y suspender al directorio por un plazo de hasta 180 días. El 16 de noviembre de 2016, el Gobierno envió a la Cámara de Diputados un proyecto de ley proponiendo la modificación a la Ley de Mercado de Capitales, que de ser finalmente aprobada, dejaría sin efecto la facultad de intervención que actualmente tiene la CNV. A la fecha de este Prospecto, el proyecto aún permanece pendiente. Para más información véase, </w:t>
      </w:r>
      <w:r w:rsidRPr="00AE4E8D">
        <w:rPr>
          <w:i/>
          <w:lang w:val="es-ES"/>
        </w:rPr>
        <w:t>“Factores de Riesgo - Las posibles consecuencias del nuevo proyecto de Ley de Mercado de Capitales”.</w:t>
      </w:r>
    </w:p>
    <w:p w14:paraId="501833E8" w14:textId="77777777" w:rsidR="0028095B" w:rsidRPr="00AE4E8D" w:rsidRDefault="0028095B" w:rsidP="0028095B">
      <w:pPr>
        <w:pStyle w:val="BHTexto"/>
        <w:rPr>
          <w:lang w:val="es-ES"/>
        </w:rPr>
      </w:pPr>
      <w:r w:rsidRPr="00AE4E8D">
        <w:rPr>
          <w:lang w:val="es-ES"/>
        </w:rPr>
        <w:t>No podemos asegurar que estas u otras medidas similares adoptadas por el Gobierno Argentino, no tendrán un efecto importante adverso en la economía argentina y, en consecuencia, afecten adversamente nuestra situación financiera, nuestros resultados operativos y el valor de mercado de nuestros valores negociables.</w:t>
      </w:r>
    </w:p>
    <w:p w14:paraId="4B8C2E56" w14:textId="77777777" w:rsidR="0028095B" w:rsidRPr="00AE4E8D" w:rsidRDefault="0028095B" w:rsidP="0028095B">
      <w:pPr>
        <w:pStyle w:val="BHTexto"/>
        <w:rPr>
          <w:lang w:val="es-ES"/>
        </w:rPr>
      </w:pPr>
      <w:r w:rsidRPr="00AE4E8D">
        <w:rPr>
          <w:lang w:val="es-ES"/>
        </w:rPr>
        <w:t xml:space="preserve">Las elecciones legislativas </w:t>
      </w:r>
      <w:r w:rsidR="00AD5830">
        <w:rPr>
          <w:lang w:val="es-ES"/>
        </w:rPr>
        <w:t xml:space="preserve">a </w:t>
      </w:r>
      <w:r w:rsidRPr="00AE4E8D">
        <w:rPr>
          <w:lang w:val="es-ES"/>
        </w:rPr>
        <w:t>realizar</w:t>
      </w:r>
      <w:r w:rsidR="00AD5830">
        <w:rPr>
          <w:lang w:val="es-ES"/>
        </w:rPr>
        <w:t xml:space="preserve">se </w:t>
      </w:r>
      <w:r w:rsidRPr="00AE4E8D">
        <w:rPr>
          <w:lang w:val="es-ES"/>
        </w:rPr>
        <w:t xml:space="preserve">el 22 de octubre de 2017 </w:t>
      </w:r>
      <w:r w:rsidR="00AD5830">
        <w:rPr>
          <w:lang w:val="es-ES"/>
        </w:rPr>
        <w:t xml:space="preserve">podrían </w:t>
      </w:r>
      <w:r w:rsidRPr="00AE4E8D">
        <w:rPr>
          <w:lang w:val="es-ES"/>
        </w:rPr>
        <w:t>generar</w:t>
      </w:r>
      <w:r w:rsidR="00AD5830">
        <w:rPr>
          <w:lang w:val="es-ES"/>
        </w:rPr>
        <w:t xml:space="preserve"> cambio</w:t>
      </w:r>
      <w:r w:rsidR="006D3FCD">
        <w:rPr>
          <w:lang w:val="es-ES"/>
        </w:rPr>
        <w:t>s</w:t>
      </w:r>
      <w:r w:rsidR="00AD5830">
        <w:rPr>
          <w:lang w:val="es-ES"/>
        </w:rPr>
        <w:t xml:space="preserve"> en la distribución de las bancas </w:t>
      </w:r>
      <w:r w:rsidR="00AD5830" w:rsidRPr="00AE4E8D">
        <w:rPr>
          <w:lang w:val="es-ES"/>
        </w:rPr>
        <w:t>de diputados y senadores en el Congreso</w:t>
      </w:r>
      <w:r w:rsidR="00AD5830">
        <w:rPr>
          <w:lang w:val="es-ES"/>
        </w:rPr>
        <w:t xml:space="preserve"> y</w:t>
      </w:r>
      <w:r w:rsidR="00AB7D79">
        <w:rPr>
          <w:lang w:val="es-ES"/>
        </w:rPr>
        <w:t>,</w:t>
      </w:r>
      <w:r w:rsidR="00AD5830">
        <w:rPr>
          <w:lang w:val="es-ES"/>
        </w:rPr>
        <w:t xml:space="preserve"> como resultado de ello, </w:t>
      </w:r>
      <w:r w:rsidRPr="00AE4E8D">
        <w:rPr>
          <w:lang w:val="es-ES"/>
        </w:rPr>
        <w:t xml:space="preserve">el </w:t>
      </w:r>
      <w:r w:rsidR="00AD5830">
        <w:rPr>
          <w:lang w:val="es-ES"/>
        </w:rPr>
        <w:t xml:space="preserve">nuevo </w:t>
      </w:r>
      <w:r w:rsidRPr="00AE4E8D">
        <w:rPr>
          <w:lang w:val="es-ES"/>
        </w:rPr>
        <w:t xml:space="preserve">Congreso de la Nación podría aprobar cambios legislativos que </w:t>
      </w:r>
      <w:r w:rsidR="006D3FCD">
        <w:rPr>
          <w:lang w:val="es-ES"/>
        </w:rPr>
        <w:t>afecten</w:t>
      </w:r>
      <w:r w:rsidRPr="00AE4E8D">
        <w:rPr>
          <w:lang w:val="es-ES"/>
        </w:rPr>
        <w:t xml:space="preserve"> negativamente a la economía argentina. No podemos asegurar que las políticas que pueda implementar la administración de Macri no afecten negativamente a nuestra empresa, los resultados de las operaciones o la situación financiera. La incapacidad del gobierno argentino para implementar de manera efectiva su agenda podría afectar negativamente la economía y, por lo tanto, los resultados de nuestras operaciones.</w:t>
      </w:r>
    </w:p>
    <w:p w14:paraId="5BDA7806"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El Gobierno Argentino podría establecer una suba de salarios a los empleados del sector privado, lo que incrementaría nuestros costos de explotación</w:t>
      </w:r>
    </w:p>
    <w:p w14:paraId="673B75C3" w14:textId="77777777" w:rsidR="00C248D4" w:rsidRPr="00AE4E8D" w:rsidRDefault="0028095B" w:rsidP="0028095B">
      <w:pPr>
        <w:pStyle w:val="BHTexto"/>
        <w:rPr>
          <w:lang w:val="es-ES"/>
        </w:rPr>
      </w:pPr>
      <w:r w:rsidRPr="00AE4E8D">
        <w:rPr>
          <w:lang w:val="es-ES"/>
        </w:rPr>
        <w:t>En el pasado, el Gobierno Argentino aprobó leyes, regulaciones y decretos obligando a las compañías del sector privado a mantener niveles de salario mínimo y proveer beneficios específicos a los empleados, lo que podría repetirse en el futuro. Luego de la crisis económica los empleadores de los sectores público y privado han experimentado una significativa presión de sus empleados y los sindicatos a los fines de incrementar los salarios y proveer beneficios adicionales para empleados. En agosto de 2012, el Gobierno Argentino estableció un aumento del 25% en el salario mínimo vital y móvil, a Ps.2.875, con efectos a partir de febrero de 2013. El Gobierno Argentino aumentó el salario mensual mínimo a Ps.3.300 en agosto de 2013, a Ps.3.600 en enero de 2014, a Ps.4.400 en septiembre de 2014, a Ps.4.716 en enero de 2015, a Ps.5.588 en agosto de 2015, y a Ps.6.060 a partir de enero de 2016. En mayo de 2016, el Gobierno anunció u aumento al salario mínimo, vital y móvil de 33% en tres cuotas y se estableció que en enero de 2017 alcance los Ps.8.060. El nuevo valor que representa un aumento de ese ingreso de un 24% y eleva el actual a Ps.8.060 en tres tramos. Los montos para los trabajadores mensualizados que cumplen la jornada legal completa de trabajo serán actualizados de la siguiente manera, según detalla la medida: Ps.8060 a partir del 1º de julio de 2017, Ps.9.500 desde el 1º de enero del 2018 y Ps.10.000 en julio de 2018, un incremento del 24% comparado con el mínimo anterior. Debido a los altos niveles de inflación actuales, los empleadores tanto del sector público como del privado continúan experimentando una gran presión por parte de los sindicatos y de sus empleados para lograr incrementos salariales. Durante el año 2014, varios sindicatos acordaron con las asociaciones de empleadores sobre incrementos salariales de entre un 25% y un 30%. En junio de 2015 el sindicato y la Asociación de Bancos Públicos y Privados de la República de Argentina (“</w:t>
      </w:r>
      <w:r w:rsidRPr="00AE4E8D">
        <w:rPr>
          <w:u w:val="single"/>
          <w:lang w:val="es-ES"/>
        </w:rPr>
        <w:t>ABAPPRA</w:t>
      </w:r>
      <w:r w:rsidRPr="00AE4E8D">
        <w:rPr>
          <w:lang w:val="es-ES"/>
        </w:rPr>
        <w:t xml:space="preserve">”) llegaron a un acuerdo en virtud del cual los salarios de los empleados bancarios deberán incrementarse en un 27.8% desde el 1 de enero de 2015 y, asimismo, los empleados recibirán una suma compensatoria por los montos pagados por impuesto a las ganancias. Las negociaciones salariales para los empleados bancarios correspondientes al año 2016 han finalizado acordándose un aumento del 33% para todo el año. El 16 de febrero de 2017, luego de acordar con el Ministerio de Trabajo las negociaciones salariales, el aumento salarial paritario quedo acordado en 24,3% acumulativo y retroactivo al 1° de enero último. </w:t>
      </w:r>
      <w:r w:rsidR="00442363" w:rsidRPr="00AE4E8D">
        <w:rPr>
          <w:lang w:val="es-ES"/>
        </w:rPr>
        <w:t xml:space="preserve">El 27 de junio de 2017 se aprobó que el salario mensual mínimo de los empleados mensualizados que cumplen la jornada legal completa de trabajo sea de </w:t>
      </w:r>
      <w:r w:rsidR="00442363" w:rsidRPr="00AE4E8D">
        <w:rPr>
          <w:lang w:val="es-ES"/>
        </w:rPr>
        <w:lastRenderedPageBreak/>
        <w:t>Ps.8.860, que sigue vigente en octubre de 2017. El aumento a Ps.9.500 en enero de 2018 y a Ps.10.000 en julio de 2018 fue ratificado el 27 de junio de 2017</w:t>
      </w:r>
      <w:r w:rsidRPr="00AE4E8D">
        <w:rPr>
          <w:lang w:val="es-ES"/>
        </w:rPr>
        <w:t xml:space="preserve">. </w:t>
      </w:r>
    </w:p>
    <w:p w14:paraId="6F21B625" w14:textId="77777777" w:rsidR="0028095B" w:rsidRPr="00AE4E8D" w:rsidRDefault="0028095B" w:rsidP="0028095B">
      <w:pPr>
        <w:pStyle w:val="BHTexto"/>
        <w:rPr>
          <w:lang w:val="es-ES"/>
        </w:rPr>
      </w:pPr>
      <w:r w:rsidRPr="00AE4E8D">
        <w:rPr>
          <w:lang w:val="es-ES"/>
        </w:rPr>
        <w:t>Es posible que el Gobierno Argentino</w:t>
      </w:r>
      <w:r w:rsidRPr="00AE4E8D" w:rsidDel="00C4593B">
        <w:rPr>
          <w:lang w:val="es-ES"/>
        </w:rPr>
        <w:t xml:space="preserve"> </w:t>
      </w:r>
      <w:r w:rsidRPr="00AE4E8D">
        <w:rPr>
          <w:lang w:val="es-ES"/>
        </w:rPr>
        <w:t>pueda adoptar medidas ordenando incrementos de salarios y/o la provisión de beneficios adicionales para empleados en el futuro. Tales medidas podrían tener un efecto importante y adverso sobre nuestro negocio, resultados de nuestras operaciones y condición económica.</w:t>
      </w:r>
    </w:p>
    <w:p w14:paraId="7B559064" w14:textId="77777777" w:rsidR="0028095B" w:rsidRPr="00AE4E8D" w:rsidRDefault="0028095B" w:rsidP="0028095B">
      <w:pPr>
        <w:pStyle w:val="BHTexto"/>
        <w:rPr>
          <w:lang w:val="es-ES"/>
        </w:rPr>
      </w:pPr>
      <w:r w:rsidRPr="00AE4E8D">
        <w:rPr>
          <w:lang w:val="es-ES"/>
        </w:rPr>
        <w:t>Al 30 de junio de 2017, el 56,17% de nuestros empleados estaban sindicalizados, y podríamos incurrir en mayores costos laborales e interrupciones en nuestras operaciones en caso de huelga u otro paro laboral. Además, cualquier nuevo convenio colectivo podría tener términos más cortos que nuestros acuerdos anteriores y, si no podemos negociar convenios colectivos en términos aceptables para nosotros, podríamos estar sujetos a un aumento significativo en los costos laborales, deterioro de las relaciones con los empleados, desaceleración o paros de trabajo, que podrían tener un efecto adverso significativo sobre nosotros y sobre el precio de mercado de las Obligaciones Negociables.</w:t>
      </w:r>
    </w:p>
    <w:p w14:paraId="1C913C59"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Los controles cambiarios y las restricciones a las transferencias al exterior así como las restricciones al ingreso de capitales, si fueran reimpuestas, podrían limitar la disponibilidad de crédito internacional</w:t>
      </w:r>
    </w:p>
    <w:p w14:paraId="0AC4EB17" w14:textId="77777777" w:rsidR="0028095B" w:rsidRPr="00AE4E8D" w:rsidRDefault="0028095B" w:rsidP="0028095B">
      <w:pPr>
        <w:pStyle w:val="BHTexto"/>
        <w:rPr>
          <w:lang w:val="es-ES"/>
        </w:rPr>
      </w:pPr>
      <w:r w:rsidRPr="00AE4E8D">
        <w:rPr>
          <w:lang w:val="es-ES"/>
        </w:rPr>
        <w:t>Hasta diciembre de 2015, muchas de las restricciones de controles cambiarios limitaban el acceso al Mercado Cambiario (“</w:t>
      </w:r>
      <w:r w:rsidRPr="00AE4E8D">
        <w:rPr>
          <w:u w:val="single"/>
          <w:lang w:val="es-ES"/>
        </w:rPr>
        <w:t>Mercado Único y Libre de Cambios</w:t>
      </w:r>
      <w:r w:rsidRPr="00AE4E8D">
        <w:rPr>
          <w:lang w:val="es-ES"/>
        </w:rPr>
        <w:t>” o “</w:t>
      </w:r>
      <w:r w:rsidRPr="00AE4E8D">
        <w:rPr>
          <w:u w:val="single"/>
          <w:lang w:val="es-ES"/>
        </w:rPr>
        <w:t>MULC</w:t>
      </w:r>
      <w:r w:rsidRPr="00AE4E8D">
        <w:rPr>
          <w:lang w:val="es-ES"/>
        </w:rPr>
        <w:t>”), sin embargo, en diciembre de 2015 el gobierno del Presidente Macri anunció ciertas reformas al mercado cambiario con la intención de proporcionar una mayor flexibilidad y facilidad para el acceso al mercado de moneda extranjera para las personas y las entidades del sector privado. Es así, que el 16 de diciembre de 2015, las nuevas autoridades gubernamentales emitieron la Comunicación “A” 5850 del BCRA, levantando gran parte de las restricciones existentes, tales como el libre acceso al MULC para la compra de moneda extranjera para fines generales sin necesidad de autorización previa del BCRA o la Administración Federal de Ingresos Públicos (la “</w:t>
      </w:r>
      <w:r w:rsidRPr="00AE4E8D">
        <w:rPr>
          <w:u w:val="single"/>
          <w:lang w:val="es-ES"/>
        </w:rPr>
        <w:t>AFIP</w:t>
      </w:r>
      <w:r w:rsidRPr="00AE4E8D">
        <w:rPr>
          <w:lang w:val="es-ES"/>
        </w:rPr>
        <w:t>”) y eliminando el requisito del depósito obligatorio del 30% de ciertos fondos remitidos a la Argentina. Hacia fines de 2016, las restricciones en control de cambios que quedaban fueron también levantadas vía la Comunicación “A” 6037 y “A” 6150 del BCRA, permitiendo así el libre acceso al MULC. En virtud de la Resolución E 1/2017 del Ministerio de Hacienda y la Comunicación “A” 6150, modificada por la comunicación “A” 6244 del BCRA, se eliminó la obligación que exigía a los no residentes que realizaran inversiones de portafolio en el país destinada a tenencia de activos financieros del sector privado a mantener por un período de 120 días de permanencia los fondos en el país. A partir de dicha resolución y de lo dispuesto en la Comunicación “A” 6244 y sus modificaciones del BCRA, no hay restricciones de ingreso y egreso en el MULC.</w:t>
      </w:r>
    </w:p>
    <w:p w14:paraId="3F7B9325" w14:textId="77777777" w:rsidR="0028095B" w:rsidRPr="00AE4E8D" w:rsidRDefault="0028095B" w:rsidP="0028095B">
      <w:pPr>
        <w:pStyle w:val="BHTexto"/>
        <w:rPr>
          <w:lang w:val="es-ES"/>
        </w:rPr>
      </w:pPr>
      <w:r w:rsidRPr="00AE4E8D">
        <w:rPr>
          <w:lang w:val="es-ES"/>
        </w:rPr>
        <w:t>Debido a la eliminación de la obligación de ingreso y liquidación de montos en moneda extranjera originados en la exportación de servicios a no residentes mediante el MULC, en la medida que no formen parte del valor FOB y/o CyF de bienes exportados; la eliminación de la exigencia de un período mínimo de tenencia (72 horas hábiles) en relación con la compra y venta de títulos públicos autorizados a negociar en los diferentes mercados bursátiles locales e internacionales; y la eliminación del requisito de entrada obligatoria y la liquidación de los fondos resultantes de los flujos de endeudamiento externo, principal y accesorios, ya no son necesarios para entrar en el mercado local cambiario. Sin embargo, los resultados de las entradas de capital en el mercado local de cambios deben ser acreditados en una cuenta abierta por una entidad financiera local.</w:t>
      </w:r>
    </w:p>
    <w:p w14:paraId="02C8B85B" w14:textId="77777777" w:rsidR="0028095B" w:rsidRPr="00AE4E8D" w:rsidRDefault="0028095B" w:rsidP="0028095B">
      <w:pPr>
        <w:pStyle w:val="BHTexto"/>
        <w:rPr>
          <w:lang w:val="es-ES"/>
        </w:rPr>
      </w:pPr>
      <w:r w:rsidRPr="00AE4E8D">
        <w:rPr>
          <w:lang w:val="es-ES"/>
        </w:rPr>
        <w:t xml:space="preserve">Sin perjuicio de la libre accesibilidad que existe hoy en el MULC, el gobierno argentino podría, en el futuro, imponer controles adicionales en el mercado de capitales y en los flujos de capitales desde y hacia Argentina, en respuesta a la fuga de capitales o la depreciación del peso. Estas restricciones pueden tener un efecto negativo en la economía y en nuestro negocio si se impusieran en un ambiente económico donde el acceso al capital local es limitado. Para más información véase, </w:t>
      </w:r>
      <w:r w:rsidRPr="00AE4E8D">
        <w:rPr>
          <w:i/>
          <w:lang w:val="es-ES"/>
        </w:rPr>
        <w:t>“Información Adicional–d) Controles de Cambio”</w:t>
      </w:r>
      <w:r w:rsidRPr="00AE4E8D">
        <w:rPr>
          <w:lang w:val="es-ES"/>
        </w:rPr>
        <w:t>.</w:t>
      </w:r>
      <w:r w:rsidRPr="00AE4E8D" w:rsidDel="008E7B2D">
        <w:rPr>
          <w:lang w:val="es-ES"/>
        </w:rPr>
        <w:t xml:space="preserve"> </w:t>
      </w:r>
    </w:p>
    <w:p w14:paraId="69551A3A"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La economía argentina podría verse afectada de modo adverso por los acontecimientos económicos de otros mercados globales</w:t>
      </w:r>
    </w:p>
    <w:p w14:paraId="00DC127F" w14:textId="77777777" w:rsidR="0028095B" w:rsidRPr="00AE4E8D" w:rsidRDefault="0028095B" w:rsidP="0028095B">
      <w:pPr>
        <w:pStyle w:val="BHTexto"/>
        <w:rPr>
          <w:lang w:val="es-ES"/>
        </w:rPr>
      </w:pPr>
      <w:r w:rsidRPr="00AE4E8D">
        <w:rPr>
          <w:lang w:val="es-ES"/>
        </w:rPr>
        <w:t xml:space="preserve">Los mercados financieros y de valores negociables de Argentina están influenciados, en diversos grados, por la situación económica y financiera de otros mercados globales. El escenario internacional muestra señales contradictorias de crecimiento global, junto con una gran incertidumbre financiera y cambiaria. La mayoría de las economías emergentes han sido afectadas por el cambio en la política monetaria de Estados Unidos de América, dando lugar a la abrupta enajenación de posiciones de activos especulativos, depreciaciones y mayor volatilidad en el valor de sus monedas y altas tasas de interés. La apreciación general del Dólar Estadounidense resultante de una política monetaria más restrictiva contribuyó a la caída del precio internacional de las materias primas, aumentando las dificultades de los países </w:t>
      </w:r>
      <w:r w:rsidRPr="00AE4E8D">
        <w:rPr>
          <w:lang w:val="es-ES"/>
        </w:rPr>
        <w:lastRenderedPageBreak/>
        <w:t>emergentes que son exportadores de estos productos. Existe incertidumbre mundial sobre el grado de recuperación económica en Estados Unidos de América, sin señales positivas importantes de otros países desarrollados y mayor riesgo de una desaceleración general en los países emergentes, en especial China.</w:t>
      </w:r>
    </w:p>
    <w:p w14:paraId="15BE3A14" w14:textId="77777777" w:rsidR="0028095B" w:rsidRPr="00AE4E8D" w:rsidRDefault="0028095B" w:rsidP="0028095B">
      <w:pPr>
        <w:pStyle w:val="BHTexto"/>
        <w:rPr>
          <w:lang w:val="es-ES"/>
        </w:rPr>
      </w:pPr>
      <w:r w:rsidRPr="00AE4E8D">
        <w:rPr>
          <w:lang w:val="es-ES"/>
        </w:rPr>
        <w:t>Por otra parte, los recientes desafíos enfrentados por la Unión Europea para estabilizar las economías de algunos de sus miembros, tales como Grecia han tenido implicancias internacionales que afectaron la estabilidad de los mercados financieros globales, lo que ha obstaculizado a las economías a nivel mundial. Los ministros de finanzas de la zona euro, en una reunión celebrada en agosto de 2015, acordaron un tercer acuerdo de rescate para Grecia, que requirió la aprobación de varios países como Alemania, uno de sus principales acreedores.</w:t>
      </w:r>
    </w:p>
    <w:p w14:paraId="3DC6BDA0" w14:textId="77777777" w:rsidR="0028095B" w:rsidRPr="00AE4E8D" w:rsidRDefault="0028095B" w:rsidP="0028095B">
      <w:pPr>
        <w:pStyle w:val="BHTexto"/>
        <w:rPr>
          <w:lang w:val="es-ES"/>
        </w:rPr>
      </w:pPr>
      <w:r w:rsidRPr="00AE4E8D">
        <w:rPr>
          <w:lang w:val="es-ES"/>
        </w:rPr>
        <w:t>Si bien las condiciones económicas varían de un país a otro, la percepción que los inversores tienen de los acontecimientos que se producen en un país podría afectar sustancialmente el flujo de capitales hacia otros países. Las reacciones de los inversores internacionales respecto de los hechos que ocurren en un mercado a veces reflejan un efecto “contagio” por el cual toda una región o clase de inversión se ve desfavorecida gracias a los inversores internacionales. La Argentina podría verse afectada por hechos negativos económicos o financieros ocurridos en otros países, que a su vez pueden causar un efecto adverso en nuestra situación financiera y resultado de operaciones. Menores flujos de capitales y baja en los precios de valores negociables afectan negativamente la economía real de un país a través de mayores tasas de interés o volatilidad de la moneda. La economía argentina se vio impactada de modo adverso por los acontecimientos políticos y económicos que tuvieron lugar en diversas economías emergentes durante la década del 90, incluyendo los de México de 1994, el colapso de diversas economías asiáticas entre 1997 y 1998, la crisis económica de Rusia en 1998 y la devaluación brasileña en enero de 1999.</w:t>
      </w:r>
    </w:p>
    <w:p w14:paraId="0C65767C" w14:textId="77777777" w:rsidR="0028095B" w:rsidRPr="00AE4E8D" w:rsidRDefault="0028095B" w:rsidP="0028095B">
      <w:pPr>
        <w:pStyle w:val="BHTexto"/>
        <w:rPr>
          <w:lang w:val="es-ES"/>
        </w:rPr>
      </w:pPr>
      <w:r w:rsidRPr="00AE4E8D">
        <w:rPr>
          <w:lang w:val="es-ES"/>
        </w:rPr>
        <w:t xml:space="preserve">Además, la Argentina se ve afectada por acontecimientos en las economías de sus principales socios comerciales, como Brasil, que ha devaluado su moneda a principios de febrero de 2015, haciendo que el real sufra la depreciación más pronunciada de la década. En febrero de 2016, Standard &amp; Poors rebajó la calificación crediticia de Brasil a BB. Dicha baja en la calificación fue seguida por la agencia Fitch Rating y Moody’s en diciembre de 2015 y febrero de 2016, respectivamente, la cual también rebajó la calificación de Brasil a BB+ y Ba2, para dichos años respectivamente. Por otra parte, Argentina también puede verse afectada por otros países que tienen influencia sobre los ciclos económicos mundiales, como Estados Unidos de América o China. En particular, China ha devaluado el yuan significativamente desde fines de 2015, lo que ha afectado adversamente a varias empresas con una sustancial exposición a ese país. La devaluación del yuan ha continuado en los primeros meses del 2016 y la economía china se ha desacelerado. </w:t>
      </w:r>
    </w:p>
    <w:p w14:paraId="2B7F3CA1" w14:textId="77777777" w:rsidR="0028095B" w:rsidRPr="00AE4E8D" w:rsidRDefault="0028095B" w:rsidP="0028095B">
      <w:pPr>
        <w:pStyle w:val="BHTexto"/>
        <w:rPr>
          <w:lang w:val="es-ES"/>
        </w:rPr>
      </w:pPr>
      <w:r w:rsidRPr="00AE4E8D">
        <w:rPr>
          <w:lang w:val="es-ES"/>
        </w:rPr>
        <w:t xml:space="preserve">Si las tasas de interés aumentan significativamente en economías desarrolladas, incluyendo Estados Unidos de América, Argentina y otras economías de mercados emergentes y fronterizos podrían encontrar más dificultoso y caro acceder a préstamos de capital y refinanciar su deuda existente, lo cual podría afectar negativamente su crecimiento económico. Asimismo, si estos países en desarrollo, que también son socios comerciales de la Argentina, caen en recesión, la economía argentina sería afectada por una caída en las exportaciones. Todos estos factores tendrán un impacto negativo en nosotros, nuestro negocio, operaciones, condiciones financieras y perspectivas. </w:t>
      </w:r>
    </w:p>
    <w:p w14:paraId="4B45AE33" w14:textId="77777777" w:rsidR="0028095B" w:rsidRPr="00AE4E8D" w:rsidRDefault="0028095B" w:rsidP="0028095B">
      <w:pPr>
        <w:pStyle w:val="BHTexto"/>
        <w:rPr>
          <w:lang w:val="es-ES"/>
        </w:rPr>
      </w:pPr>
      <w:r w:rsidRPr="00AE4E8D">
        <w:rPr>
          <w:lang w:val="es-ES"/>
        </w:rPr>
        <w:t xml:space="preserve">En un </w:t>
      </w:r>
      <w:r w:rsidRPr="00AE4E8D">
        <w:rPr>
          <w:i/>
          <w:lang w:val="es-ES"/>
        </w:rPr>
        <w:t>referéndum</w:t>
      </w:r>
      <w:r w:rsidRPr="00AE4E8D">
        <w:rPr>
          <w:lang w:val="es-ES"/>
        </w:rPr>
        <w:t xml:space="preserve"> no vinculante, celebrado el 23 de junio de 2016, se consultó a los ciudadanos del Reino Unido sobre si correspondía seguir perteneciendo a la Unión Europea. La mayoría de los votantes aprobó la salida del Reino Unido de la Unión Europea. El </w:t>
      </w:r>
      <w:r w:rsidRPr="00AE4E8D">
        <w:rPr>
          <w:i/>
          <w:lang w:val="es-ES"/>
        </w:rPr>
        <w:t>rederéndum</w:t>
      </w:r>
      <w:r w:rsidRPr="00AE4E8D">
        <w:rPr>
          <w:lang w:val="es-ES"/>
        </w:rPr>
        <w:t>, fue denominado “</w:t>
      </w:r>
      <w:r w:rsidRPr="00AE4E8D">
        <w:rPr>
          <w:i/>
          <w:lang w:val="es-ES"/>
        </w:rPr>
        <w:t>Brexit</w:t>
      </w:r>
      <w:r w:rsidRPr="00AE4E8D">
        <w:rPr>
          <w:lang w:val="es-ES"/>
        </w:rPr>
        <w:t>” por su abreviatura en inglés que significa la salida del Reino Unido de la Unión Europea (en adelante, "</w:t>
      </w:r>
      <w:r w:rsidRPr="00AE4E8D">
        <w:rPr>
          <w:u w:val="single"/>
          <w:lang w:val="es-ES"/>
        </w:rPr>
        <w:t>Brexit</w:t>
      </w:r>
      <w:r w:rsidRPr="00AE4E8D">
        <w:rPr>
          <w:lang w:val="es-ES"/>
        </w:rPr>
        <w:t xml:space="preserve">") La salida del Reino Unido de la Unión Europea podría ocurrir con posterioridad, o posiblemente al mismo tiempo en el que se lleve a cabo un proceso de negociación con respecto a los futuros términos de la relación del Reino Unido con la Unión Europea, lo que podría dar lugar a que el Reino Unido pierda acceso a ciertos beneficios del mercado único de la Unión Europea y a formar parte de los acuerdos comerciales globales suscriptos por la Unión Europea en nombre de sus miembros. Las negociaciones por la salida del Reino Unido de la Unión Europea comenzaron a principios de 2017 y se indica que la fecha probable para la partida definitiva sería en diciembre de 2018. </w:t>
      </w:r>
    </w:p>
    <w:p w14:paraId="4B38BFD4" w14:textId="77777777" w:rsidR="0028095B" w:rsidRPr="00AE4E8D" w:rsidRDefault="0028095B" w:rsidP="0028095B">
      <w:pPr>
        <w:pStyle w:val="BHTexto"/>
        <w:rPr>
          <w:lang w:val="es-ES"/>
        </w:rPr>
      </w:pPr>
      <w:r w:rsidRPr="00AE4E8D">
        <w:rPr>
          <w:lang w:val="es-ES"/>
        </w:rPr>
        <w:t xml:space="preserve">Como consecuencia de los resultados favorables al Brexit, Londres dejaría de esta forma, de ser el centro financiero de Europa. Es así, que algunos bancos ya han anunciado en los medios el traspaso de muchos de sus puestos de trabajo a Europa continental o Irlanda, y se perfilaría a Alemania como la plaza financiera de Europa que podría reemplazar a Londres. </w:t>
      </w:r>
    </w:p>
    <w:p w14:paraId="5B241808" w14:textId="77777777" w:rsidR="0028095B" w:rsidRPr="00AE4E8D" w:rsidRDefault="0028095B" w:rsidP="0028095B">
      <w:pPr>
        <w:pStyle w:val="BHTexto"/>
        <w:rPr>
          <w:lang w:val="es-ES"/>
        </w:rPr>
      </w:pPr>
      <w:r w:rsidRPr="00AE4E8D">
        <w:rPr>
          <w:lang w:val="es-ES"/>
        </w:rPr>
        <w:t xml:space="preserve">Las posibles consecuencias negativas del "Brexit", comprenderían una crisis económica en Reino Unido con la posibilidad de que se produzca una recesión a corto plazo, una disminución de inversión en los servicios públicos e inversión extranjera. El mayor impacto del Brexit sería sobre el Reino Unido. Sin </w:t>
      </w:r>
      <w:r w:rsidRPr="00AE4E8D">
        <w:rPr>
          <w:lang w:val="es-ES"/>
        </w:rPr>
        <w:lastRenderedPageBreak/>
        <w:t>embargo, algunos piensan que el impacto podría ser también significativo sobre los demás estados miembros.</w:t>
      </w:r>
    </w:p>
    <w:p w14:paraId="12BAD9F4" w14:textId="77777777" w:rsidR="0028095B" w:rsidRPr="00AE4E8D" w:rsidRDefault="0028095B" w:rsidP="0028095B">
      <w:pPr>
        <w:pStyle w:val="BHTexto"/>
        <w:rPr>
          <w:lang w:val="es-ES"/>
        </w:rPr>
      </w:pPr>
      <w:r w:rsidRPr="00AE4E8D">
        <w:rPr>
          <w:lang w:val="es-ES"/>
        </w:rPr>
        <w:t xml:space="preserve">Las consecuencias del Brexit en Argentina, en principio, están relacionadas con el debilitamiento de la libra y el euro, lo cual ha producido una importante revalorización del dólar en todo el mundo. Con una apreciación del dólar y una mayor aversión al riesgo, habría un efecto negativo en el precio de las materias primas, lo que se vería reflejado en los productos que exporta la Argentina a Europa. Otra de las consecuencias directas de la salida de Gran Bretaña (que igualmente será un proceso que durará alrededor de dos años) será la baja en los precios de la mayoría de las </w:t>
      </w:r>
      <w:r w:rsidRPr="00AE4E8D">
        <w:rPr>
          <w:i/>
          <w:lang w:val="es-ES"/>
        </w:rPr>
        <w:t>commodities</w:t>
      </w:r>
      <w:r w:rsidRPr="00AE4E8D">
        <w:rPr>
          <w:lang w:val="es-ES"/>
        </w:rPr>
        <w:t xml:space="preserve">, un factor que, aunque no debería mantenerse a mediano plazo ya que se dará simplemente por la incertidumbre inicial del mercado, de mantenerse podría afectar al país. El comercio bilateral podría resentirse, pero es poco significativo, ya que hoy el Reino Unido actualmente sólo representa alrededor del 1% del total argentino, tanto de importaciones como de exportaciones. Además, se estima que con el Brexit se complicarían las posibilidades para que la Argentina emita deuda, ya que se encarecería el financiamiento para obtener fondos para afrontar el déficit y las obras públicas como consecuencia de una mayor volatilidad, sumado a ello, las aspiraciones a recibir inversiones internacionales por parte del Gobierno se podrían postergar por esta razón. </w:t>
      </w:r>
    </w:p>
    <w:p w14:paraId="2EC2500A" w14:textId="77777777" w:rsidR="00B31969" w:rsidRPr="002C0E15" w:rsidRDefault="00B31969" w:rsidP="00B31969">
      <w:pPr>
        <w:pStyle w:val="BHTexto"/>
      </w:pPr>
      <w:r>
        <w:t>Donald Trump fue elegido presidente el 8 de noviembre de 2016 y asumió el cargo el 20 de enero de 2017. La elección de esta nueva administración ha generado volatilidad en los mercados de capitales mundiales. La nueva administración ha propuesto una reforma tributaria y ha prometido una política más proteccionista; sin embargo, a la fecha de este Prospecto, sigue sin estar clara la naturaleza de las políticas que se implementarán. El efecto de la elección de Trump en la economía global es incierto, pero si la nueva administración adopta más políticas proteccionistas, se espera que tal escenario no sea favorable para los mercados emergentes.</w:t>
      </w:r>
    </w:p>
    <w:p w14:paraId="5B1218E5" w14:textId="77777777" w:rsidR="0028095B" w:rsidRPr="00AE4E8D" w:rsidRDefault="0028095B" w:rsidP="0028095B">
      <w:pPr>
        <w:pStyle w:val="BHTexto"/>
        <w:rPr>
          <w:lang w:val="es-ES"/>
        </w:rPr>
      </w:pPr>
      <w:r w:rsidRPr="00AE4E8D">
        <w:rPr>
          <w:lang w:val="es-ES"/>
        </w:rPr>
        <w:t>El efecto de las condiciones económicas globales sobre la Argentina podría causar una reducción en las exportaciones y en la inversión extranjera directa, y una disminución de los impuestos nacionales y la imposibilidad de acceder a los mercados de capitales internacionales, que podrían afectar adversamente nuestros negocios y resultados de operaciones.</w:t>
      </w:r>
    </w:p>
    <w:p w14:paraId="6051F4B6"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La baja en los precios internacionales de las principales exportaciones de commodities de Argentina podría tener un efecto negativo sobre el crecimiento de Argentina</w:t>
      </w:r>
    </w:p>
    <w:p w14:paraId="4325DD0F" w14:textId="77777777" w:rsidR="0028095B" w:rsidRPr="00AE4E8D" w:rsidRDefault="0028095B" w:rsidP="0028095B">
      <w:pPr>
        <w:pStyle w:val="BHTexto"/>
        <w:rPr>
          <w:lang w:val="es-ES"/>
        </w:rPr>
      </w:pPr>
      <w:r w:rsidRPr="00AE4E8D">
        <w:rPr>
          <w:lang w:val="es-ES"/>
        </w:rPr>
        <w:t xml:space="preserve">Los altos precios de los </w:t>
      </w:r>
      <w:r w:rsidRPr="00AE4E8D">
        <w:rPr>
          <w:i/>
          <w:lang w:val="es-ES"/>
        </w:rPr>
        <w:t>commodities</w:t>
      </w:r>
      <w:r w:rsidRPr="00AE4E8D">
        <w:rPr>
          <w:lang w:val="es-ES"/>
        </w:rPr>
        <w:t xml:space="preserve"> han sido un aporte significativo al aumento de las exportaciones argentinas desde el tercer trimestre de 2002 así como a los ingresos públicos derivados de los impuestos a la exportación (las denominadas retenciones, las cuales fueron modificadas en diciembre de 2015 aplicándose una reducción del tributo a la exportación que se pagan los productos a la soja y se han eliminado las aplicables al trigo, maíz, sorgo y girasol en busca de fortalecer la producción agrícola). Sin embargo, la dependencia en la exportación de ciertos </w:t>
      </w:r>
      <w:r w:rsidRPr="00AE4E8D">
        <w:rPr>
          <w:i/>
          <w:lang w:val="es-ES"/>
        </w:rPr>
        <w:t>commodities</w:t>
      </w:r>
      <w:r w:rsidRPr="00AE4E8D">
        <w:rPr>
          <w:lang w:val="es-ES"/>
        </w:rPr>
        <w:t>, tales como la soja, ha tornado más vulnerable a la economía argentina a las fluctuaciones en sus precios.</w:t>
      </w:r>
    </w:p>
    <w:p w14:paraId="1E9E545B" w14:textId="77777777" w:rsidR="0028095B" w:rsidRPr="00AE4E8D" w:rsidRDefault="0028095B" w:rsidP="0028095B">
      <w:pPr>
        <w:pStyle w:val="BHTexto"/>
        <w:rPr>
          <w:lang w:val="es-ES"/>
        </w:rPr>
      </w:pPr>
      <w:r w:rsidRPr="00AE4E8D">
        <w:rPr>
          <w:lang w:val="es-ES"/>
        </w:rPr>
        <w:t xml:space="preserve">Si los precios internacionales de los </w:t>
      </w:r>
      <w:r w:rsidRPr="00AE4E8D">
        <w:rPr>
          <w:i/>
          <w:lang w:val="es-ES"/>
        </w:rPr>
        <w:t xml:space="preserve">commodities </w:t>
      </w:r>
      <w:r w:rsidRPr="00AE4E8D">
        <w:rPr>
          <w:lang w:val="es-ES"/>
        </w:rPr>
        <w:t xml:space="preserve">caen, los ingresos del Gobierno Argentino se reducirían significativamente, afectando gravemente a la actividad económica de Argentina. En consecuencia, la baja de los precios internacionales de los </w:t>
      </w:r>
      <w:r w:rsidRPr="00AE4E8D">
        <w:rPr>
          <w:i/>
          <w:lang w:val="es-ES"/>
        </w:rPr>
        <w:t>commodities</w:t>
      </w:r>
      <w:r w:rsidRPr="00AE4E8D">
        <w:rPr>
          <w:lang w:val="es-ES"/>
        </w:rPr>
        <w:t xml:space="preserve"> podría afectar negativamente a la economía de Argentina, produciendo a su vez un impacto negativo en nuestra situación patrimonial y los resultados de nuestras operaciones.</w:t>
      </w:r>
    </w:p>
    <w:p w14:paraId="3B16DA9C" w14:textId="77777777" w:rsidR="0028095B" w:rsidRPr="00AE4E8D" w:rsidRDefault="0028095B" w:rsidP="0028095B">
      <w:pPr>
        <w:pStyle w:val="BHTexto"/>
        <w:rPr>
          <w:lang w:val="es-ES"/>
        </w:rPr>
      </w:pPr>
      <w:r w:rsidRPr="00AE4E8D">
        <w:rPr>
          <w:lang w:val="es-ES"/>
        </w:rPr>
        <w:t xml:space="preserve">Asimismo, las condiciones climáticas adversas pueden afectar la producción de </w:t>
      </w:r>
      <w:r w:rsidRPr="00AE4E8D">
        <w:rPr>
          <w:i/>
          <w:lang w:val="es-ES"/>
        </w:rPr>
        <w:t>commodities</w:t>
      </w:r>
      <w:r w:rsidRPr="00AE4E8D">
        <w:rPr>
          <w:lang w:val="es-ES"/>
        </w:rPr>
        <w:t xml:space="preserve"> por parte del sector agrícola, que representa una parte importante de los ingresos por exportación de Argentina. Estas circunstancias podrían tener un impacto negativo sobre los niveles de ingresos públicos, la disponibilidad de divisas y la capacidad del Gobierno Argentino</w:t>
      </w:r>
      <w:r w:rsidRPr="00AE4E8D" w:rsidDel="00C4593B">
        <w:rPr>
          <w:lang w:val="es-ES"/>
        </w:rPr>
        <w:t xml:space="preserve"> </w:t>
      </w:r>
      <w:r w:rsidRPr="00AE4E8D">
        <w:rPr>
          <w:lang w:val="es-ES"/>
        </w:rPr>
        <w:t>de atender su deuda soberana, y generar presiones recesivas o inflacionarias, dependiendo de la reacción del Gobierno Argentino. Cualquiera de estos resultados podría afectar negativamente el crecimiento de la economía argentina, y por ende nuestros negocios, situación patrimonial y resultados de las operaciones.</w:t>
      </w:r>
    </w:p>
    <w:p w14:paraId="76CD6B4F"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Las restricciones en el abastecimiento de energía podrían afectar adversamente la economía argentina</w:t>
      </w:r>
    </w:p>
    <w:p w14:paraId="419AB155" w14:textId="77777777" w:rsidR="0028095B" w:rsidRPr="00AE4E8D" w:rsidRDefault="0028095B" w:rsidP="0028095B">
      <w:pPr>
        <w:pStyle w:val="BHTexto"/>
        <w:rPr>
          <w:lang w:val="es-ES"/>
        </w:rPr>
      </w:pPr>
      <w:r w:rsidRPr="00AE4E8D">
        <w:rPr>
          <w:lang w:val="es-ES"/>
        </w:rPr>
        <w:t xml:space="preserve">Como resultado de varios años de recesión, de la pesificación y del congelamiento de las tarifas del gas natural y de la electricidad en Argentina, se ha producido en los últimos años una falta de inversión en la capacidad de abastecimiento y transporte del gas natural y electricidad. Asimismo, la demanda local de gas natural y electricidad ha aumentado sustancialmente, ello debido a una recuperación de las condiciones económicas y a las limitaciones en los precios lo cual ha generado la adopción de medidas de gobierno que implicaron desabastecimiento para la industria y/o incremento en los costos. En particular, Argentina ha estado importando gas natural para compensar la escasez en la producción local. A fin de </w:t>
      </w:r>
      <w:r w:rsidRPr="00AE4E8D">
        <w:rPr>
          <w:lang w:val="es-ES"/>
        </w:rPr>
        <w:lastRenderedPageBreak/>
        <w:t>pagar las importaciones de gas natural, el gobierno argentino ha utilizado frecuentemente las reservas del BCRA debido a la falta de ingreso de divisas derivadas de inversiones. Si el gobierno no puede pagar las importaciones de gas natural destinadas a la producción de electricidad, los negocios y las industrias podrían verse afectados en forma adversa.</w:t>
      </w:r>
    </w:p>
    <w:p w14:paraId="6691D8A0" w14:textId="77777777" w:rsidR="0028095B" w:rsidRPr="00AE4E8D" w:rsidRDefault="0028095B" w:rsidP="0028095B">
      <w:pPr>
        <w:pStyle w:val="BHTexto"/>
        <w:rPr>
          <w:lang w:val="es-ES"/>
        </w:rPr>
      </w:pPr>
      <w:r w:rsidRPr="00AE4E8D">
        <w:rPr>
          <w:lang w:val="es-ES"/>
        </w:rPr>
        <w:t>El gobierno argentino ha tomado una serie de medidas para aliviar el impacto a corto plazo de la falta de energía en los usuarios residenciales e industriales. Si estas medidas resultan ser insuficientes, o si la inversión requerida para incrementar la capacidad de producción y transporte de gas natural y la capacidad de generación y transporte de energía, en el mediano y largo plazo, no se efectuara a tiempo, la actividad económica argentina se podría ver seriamente afectada.</w:t>
      </w:r>
    </w:p>
    <w:p w14:paraId="04306EA9" w14:textId="77777777" w:rsidR="0028095B" w:rsidRPr="00AE4E8D" w:rsidRDefault="0028095B" w:rsidP="0028095B">
      <w:pPr>
        <w:pStyle w:val="BHTexto"/>
        <w:rPr>
          <w:lang w:val="es-ES"/>
        </w:rPr>
      </w:pPr>
      <w:r w:rsidRPr="00AE4E8D">
        <w:rPr>
          <w:lang w:val="es-ES"/>
        </w:rPr>
        <w:t>Como primer paso de estas medidas, se eliminaron los subsidios sobre las tarifas de energía a las industrias y a los consumidores de altos ingresos. Por otra parte, desde 2011 se implementaron una serie de aumentos de tarifas y reducción de subsidios, principalmente entre las industrias y consumidores de altos ingresos. El 17 de diciembre de 2015 y luego de la publicación del Decreto Nº 134/2015, el gobierno de Macri declaró la Emergencia del Sistema Eléctrico Nacional hasta el 31 de diciembre de 2017, e instruyó al Ministerio de Energía y Minería para que prepare y proponga medidas y garantice el suministro de electricidad en condiciones técnicas adecuadas. Dentro de este contexto, y a través de la Resolución Nº 06/2016 del Ministerio de Energía y Minería de enero de 2016, se fijaron los nuevos precios estacionales de referencia para la potencia y energía en el “Mercado Eléctrico Mayorista” (MEM) para el período comprendido entre el 1º de febrero de 2016 y el 30 de abril de 2016. El objetivo de la mencionada resolución era ajustar la calidad y seguridad del suministro de electricidad y garantizar la prestación del servicio público eléctrico bajo condiciones técnicas y económicas adecuadas.</w:t>
      </w:r>
    </w:p>
    <w:p w14:paraId="5111F886" w14:textId="77777777" w:rsidR="0028095B" w:rsidRPr="00AE4E8D" w:rsidRDefault="0028095B" w:rsidP="0028095B">
      <w:pPr>
        <w:pStyle w:val="BHTexto"/>
        <w:rPr>
          <w:lang w:val="es-ES"/>
        </w:rPr>
      </w:pPr>
      <w:r w:rsidRPr="00AE4E8D">
        <w:rPr>
          <w:lang w:val="es-ES"/>
        </w:rPr>
        <w:t xml:space="preserve">En febrero de 2016, el gobierno argentino reviso el cuadro de tarifas de electricidad y gas y eliminó los subsidios de estos servicios públicos, que hubiera dado lugar a aumentos de un 500% o más en los costos de energía, salvo en la tarifa de determinados consumidores de bajos ingresos. Mediante la corrección de las tarifas, la modificación del marco regulatorio y la reducción de la participación del gobierno federal en el sector energético, el gobierno de Macri intenta corregir las distorsiones en el sector energético y realizar las inversiones necesarias. En julio de 2016, un tribunal federal de la ciudad de La Plata suspendió el aumento de la tarifa de gas en toda la Provincia de Buenos Aires. Además, el 3 de agosto de 2016, un tribunal federal de San Martín suspendió el aumento de las tarifas de gas en todo el país hasta la celebración de una audiencia pública para discutir dicho aumento tarifario. El caso fue apelado ante la Corte Suprema, y el 18 de agosto de 2016, la Corte Suprema resolvió que el aumento de la tarifa de gas de los usuarios residenciales no podía imponerse sin la realización de una audiencia pública. El 16 de septiembre de 2016 se llevó a cabo la audiencia pública en dónde se acordó que la tarifa de gas se incrementaría en aproximadamente un 200% en octubre de 2016, con aumentos semestrales hasta 2019. </w:t>
      </w:r>
    </w:p>
    <w:p w14:paraId="3978102F" w14:textId="77777777" w:rsidR="0028095B" w:rsidRPr="00AE4E8D" w:rsidRDefault="0028095B" w:rsidP="0028095B">
      <w:pPr>
        <w:pStyle w:val="BHTexto"/>
        <w:rPr>
          <w:lang w:val="es-ES"/>
        </w:rPr>
      </w:pPr>
      <w:r w:rsidRPr="00AE4E8D">
        <w:rPr>
          <w:lang w:val="es-ES"/>
        </w:rPr>
        <w:t xml:space="preserve">En cuanto a los demás servicios, incluida la electricidad, el 28 de octubre de 2016 se llevó a cabo una audiencia pública para considerar un aumento de las tarifas del 31% solicitado por los distribuidores de energía. Con posterioridad, el gobierno anunció aumentos en las tarifas de electricidad que causarán una suba en las facturas de entre 60% y 148%. El 31 de marzo de 2017, el Ministerio de Energía y Minería informó un nuevo cuadro de tarifas con aumentos de aproximadamente </w:t>
      </w:r>
      <w:r w:rsidR="00C248D4" w:rsidRPr="00AE4E8D">
        <w:rPr>
          <w:lang w:val="es-ES"/>
        </w:rPr>
        <w:t>24</w:t>
      </w:r>
      <w:r w:rsidRPr="00AE4E8D">
        <w:rPr>
          <w:lang w:val="es-ES"/>
        </w:rPr>
        <w:t>% respecto del suministro de gas natural por, y que tendrá dos ajustes adicionales en noviembre y en abril de 2018. Esta modificación en el marco regulatorio y la fijación de nuevos valores económicos para el suministro de gas y electricidad podría modificar nuestra estructura de costos y aumentar los costos operativos y por servicios públicos de los activos fijos.</w:t>
      </w:r>
    </w:p>
    <w:p w14:paraId="4E11BD4E" w14:textId="77777777" w:rsidR="0028095B" w:rsidRPr="00AE4E8D" w:rsidRDefault="0028095B" w:rsidP="0028095B">
      <w:pPr>
        <w:autoSpaceDE w:val="0"/>
        <w:autoSpaceDN w:val="0"/>
        <w:adjustRightInd w:val="0"/>
        <w:spacing w:before="120" w:after="120"/>
        <w:jc w:val="both"/>
        <w:rPr>
          <w:rFonts w:ascii="Times New Roman" w:hAnsi="Times New Roman"/>
          <w:b/>
          <w:i/>
          <w:lang w:val="es-ES"/>
        </w:rPr>
      </w:pPr>
      <w:r w:rsidRPr="00AE4E8D">
        <w:rPr>
          <w:rFonts w:ascii="Times New Roman" w:hAnsi="Times New Roman"/>
          <w:b/>
          <w:i/>
          <w:lang w:val="es-ES"/>
        </w:rPr>
        <w:t>El alto gasto público podría dar lugar a consecuencias adversas para la economía de Argentina</w:t>
      </w:r>
    </w:p>
    <w:p w14:paraId="19983833" w14:textId="77777777" w:rsidR="0028095B" w:rsidRPr="00AE4E8D" w:rsidRDefault="0028095B" w:rsidP="0028095B">
      <w:pPr>
        <w:pStyle w:val="BHTexto"/>
        <w:rPr>
          <w:lang w:val="es-ES"/>
        </w:rPr>
      </w:pPr>
      <w:r w:rsidRPr="00AE4E8D">
        <w:rPr>
          <w:lang w:val="es-ES"/>
        </w:rPr>
        <w:t>Durante los últimos años, el Gobierno Argentino aumentó significativamente el gasto público. En 2014, el gasto del sector público aumentó un 43% anual y el Gobierno Argentino</w:t>
      </w:r>
      <w:r w:rsidRPr="00AE4E8D" w:rsidDel="00C4593B">
        <w:rPr>
          <w:lang w:val="es-ES"/>
        </w:rPr>
        <w:t xml:space="preserve"> </w:t>
      </w:r>
      <w:r w:rsidRPr="00AE4E8D">
        <w:rPr>
          <w:lang w:val="es-ES"/>
        </w:rPr>
        <w:t>informó un déficit fiscal primario del 0,9%. Durante los años recientes, el Gobierno Argentino recurrió al BCRA y a la ANSES para financiar parte de sus necesidades de fondeo. En 2015, la tendencia continuó como resultado fiscal primario muestra un déficit de 5,4% al 31 de diciembre de 2015. El Gobierno Argentino que asumió en diciembre de 2015 ha comenzado a ajustar sus políticas en materia de subsidios, en especial las relacionadas con la energía, electricidad y gas, agua y transporte público. Al 31 de diciembre de 2016 el resultado fiscal primario fue de Ps.359.382 millones, lo cual representa un déficit del 4,6% del PBI. Asimismo, para los primeros siete meses del año el déficit acumulado se ubicó en 1,7% del PBI, mientras que la meta acumulativa para el tercer trimestre es 3,2% del PBI. Los cambios en estas políticas podrían impactar en forma significativa y adversa sobre la capacidad de compra de los consumidores y la actividad económica y dar lugar a un aumento de precios.</w:t>
      </w:r>
    </w:p>
    <w:p w14:paraId="7FB0AE5A" w14:textId="77777777" w:rsidR="0028095B" w:rsidRPr="00AE4E8D" w:rsidRDefault="0028095B" w:rsidP="0028095B">
      <w:pPr>
        <w:pStyle w:val="BHTexto"/>
        <w:rPr>
          <w:lang w:val="es-ES"/>
        </w:rPr>
      </w:pPr>
      <w:r w:rsidRPr="00AE4E8D">
        <w:rPr>
          <w:lang w:val="es-ES"/>
        </w:rPr>
        <w:lastRenderedPageBreak/>
        <w:t>Asimismo, la balanza fiscal primaria podría verse afectada negativamente en el futuro si el gasto público continúa aumentando a una tasa mayor que los ingresos debido a subsidios a sectores de ingresos más bajos, beneficios previsionales, asistencia financiera a las provincias con problemas financieros, mayor gasto en obras públicas y subsidios a los sectores de la energía y el transporte. Un mayor deterioro de las cuentas fiscales podría afectar negativamente la capacidad del Gobierno Argentino</w:t>
      </w:r>
      <w:r w:rsidRPr="00AE4E8D" w:rsidDel="00C4593B">
        <w:rPr>
          <w:lang w:val="es-ES"/>
        </w:rPr>
        <w:t xml:space="preserve"> </w:t>
      </w:r>
      <w:r w:rsidRPr="00AE4E8D">
        <w:rPr>
          <w:lang w:val="es-ES"/>
        </w:rPr>
        <w:t>de acceder a los mercados financieros de largo plazo y a su vez provocar un acceso más limitado a dichos mercados por parte de las empresas argentinas.</w:t>
      </w:r>
    </w:p>
    <w:p w14:paraId="381DAAE2" w14:textId="77777777" w:rsidR="0028095B" w:rsidRPr="00AE4E8D" w:rsidRDefault="0028095B" w:rsidP="0028095B">
      <w:pPr>
        <w:autoSpaceDE w:val="0"/>
        <w:autoSpaceDN w:val="0"/>
        <w:adjustRightInd w:val="0"/>
        <w:spacing w:before="120" w:after="120"/>
        <w:jc w:val="both"/>
        <w:rPr>
          <w:rFonts w:ascii="Times New Roman" w:hAnsi="Times New Roman"/>
          <w:b/>
          <w:i/>
          <w:lang w:val="es-ES"/>
        </w:rPr>
      </w:pPr>
      <w:r w:rsidRPr="00AE4E8D">
        <w:rPr>
          <w:rFonts w:ascii="Times New Roman" w:hAnsi="Times New Roman"/>
          <w:b/>
          <w:i/>
          <w:lang w:val="es-ES"/>
        </w:rPr>
        <w:t>Las posibles consecuencias del nuevo proyecto de Ley de Mercado de Capitales</w:t>
      </w:r>
    </w:p>
    <w:p w14:paraId="65316110" w14:textId="77777777" w:rsidR="0028095B" w:rsidRPr="00AE4E8D" w:rsidRDefault="0028095B" w:rsidP="0028095B">
      <w:pPr>
        <w:pStyle w:val="BHTexto"/>
        <w:rPr>
          <w:lang w:val="es-ES"/>
        </w:rPr>
      </w:pPr>
      <w:r w:rsidRPr="00AE4E8D">
        <w:rPr>
          <w:lang w:val="es-ES"/>
        </w:rPr>
        <w:t xml:space="preserve">El 16 de noviembre de 2016, el Poder Ejecutivo Nacional puso a consideración de la Cámara de Diputados un proyecto de ley proponiendo la modificación a la Ley de Mercado de Capitales, la Ley Nº 24.083 de Fondos Comunes de Inversión y la Ley Nº 23.576 de Obligaciones Negociables, entre otras. Actualmente, el Banco se encuentra analizando junto con sus asesores legales el impacto que la nueva legislación podría tener sobre sus negocios y sobre la situación patrimonial del Banco y no podemos asegurar el efecto que tendrá sobre nosotros. A la fecha del presente Prospecto, el proyecto de ley aún no ha sido aprobado por el Congreso. </w:t>
      </w:r>
    </w:p>
    <w:p w14:paraId="32658F29" w14:textId="77777777" w:rsidR="0028095B" w:rsidRPr="00AE4E8D" w:rsidRDefault="0028095B" w:rsidP="0028095B">
      <w:pPr>
        <w:keepNext/>
        <w:keepLines/>
        <w:spacing w:after="120" w:line="276" w:lineRule="auto"/>
        <w:jc w:val="both"/>
        <w:outlineLvl w:val="3"/>
        <w:rPr>
          <w:rFonts w:ascii="Times New Roman" w:hAnsi="Times New Roman"/>
          <w:b/>
          <w:i/>
          <w:lang w:val="es-ES"/>
        </w:rPr>
      </w:pPr>
      <w:r w:rsidRPr="00AE4E8D">
        <w:rPr>
          <w:rFonts w:ascii="Times New Roman" w:hAnsi="Times New Roman"/>
          <w:b/>
          <w:i/>
          <w:lang w:val="es-ES"/>
        </w:rPr>
        <w:t>Las próximas elecciones legislativas podrían afectar la capacidad del gobierno de llevar adelante su política de reforma económica.</w:t>
      </w:r>
    </w:p>
    <w:p w14:paraId="7D31E465" w14:textId="77777777" w:rsidR="0028095B" w:rsidRPr="00AE4E8D" w:rsidRDefault="0028095B" w:rsidP="0028095B">
      <w:pPr>
        <w:pStyle w:val="BHTexto"/>
        <w:rPr>
          <w:lang w:val="es-ES"/>
        </w:rPr>
      </w:pPr>
      <w:r w:rsidRPr="00AE4E8D">
        <w:rPr>
          <w:lang w:val="es-ES"/>
        </w:rPr>
        <w:t xml:space="preserve">Las elecciones legislativas a llevarse a cabo el 22 de octubre de 2017 podrían ocasionar que el gobierno actual reduzca su número de diputados y senadores en el Congreso. Ello podría impedir o limitar al gobierno de Macri continuar sus reformas e implementar efectivamente reformas económicas o reaccionar de forma apropiada en futuras circunstancias económicas. La imposibilidad del gobierno de llevar adelante su agenda política podría afectar negativamente las condiciones </w:t>
      </w:r>
      <w:r w:rsidR="0079210E" w:rsidRPr="00AE4E8D">
        <w:rPr>
          <w:lang w:val="es-ES"/>
        </w:rPr>
        <w:t>financieras</w:t>
      </w:r>
      <w:r w:rsidRPr="00AE4E8D">
        <w:rPr>
          <w:lang w:val="es-ES"/>
        </w:rPr>
        <w:t xml:space="preserve"> y la economía argentina y, por lo tanto, nuestro negocio, condiciones </w:t>
      </w:r>
      <w:r w:rsidR="0079210E" w:rsidRPr="00AE4E8D">
        <w:rPr>
          <w:lang w:val="es-ES"/>
        </w:rPr>
        <w:t>financieras</w:t>
      </w:r>
      <w:r w:rsidRPr="00AE4E8D">
        <w:rPr>
          <w:lang w:val="es-ES"/>
        </w:rPr>
        <w:t xml:space="preserve"> y resultados de nuestras operaciones.</w:t>
      </w:r>
    </w:p>
    <w:p w14:paraId="7E13E1FC" w14:textId="77777777" w:rsidR="0028095B" w:rsidRPr="00AE4E8D" w:rsidRDefault="0028095B" w:rsidP="0028095B">
      <w:pPr>
        <w:pStyle w:val="BH3Izquierda"/>
        <w:rPr>
          <w:lang w:val="es-ES"/>
        </w:rPr>
      </w:pPr>
      <w:r w:rsidRPr="00AE4E8D">
        <w:rPr>
          <w:lang w:val="es-ES"/>
        </w:rPr>
        <w:t>Riesgos Relacionados con el Sistema Financiero Argentino</w:t>
      </w:r>
    </w:p>
    <w:p w14:paraId="5BD184F2" w14:textId="77777777" w:rsidR="0028095B" w:rsidRPr="00AE4E8D" w:rsidRDefault="0028095B" w:rsidP="0028095B">
      <w:pPr>
        <w:pStyle w:val="BH4Cursiva"/>
      </w:pPr>
      <w:r w:rsidRPr="00AE4E8D">
        <w:t xml:space="preserve">La estructura de corto plazo de la base de depósitos del sistema financiero argentino, incluyendo la nuestra, podría ocasionar una reducción en los niveles de liquidez y limitar la expansión a largo plazo de la intermediación financiera </w:t>
      </w:r>
    </w:p>
    <w:p w14:paraId="0FE61042" w14:textId="77777777" w:rsidR="0028095B" w:rsidRPr="00AE4E8D" w:rsidRDefault="0028095B" w:rsidP="0028095B">
      <w:pPr>
        <w:pStyle w:val="BHTexto"/>
        <w:rPr>
          <w:lang w:val="es-ES"/>
        </w:rPr>
      </w:pPr>
      <w:r w:rsidRPr="00AE4E8D">
        <w:rPr>
          <w:lang w:val="es-ES"/>
        </w:rPr>
        <w:t>Con posterioridad a la crisis de Argentina, el volumen de actividad financiera respecto de depósitos y originación de préstamos se vio severamente reducido. Entre 2003 y 2007, se produjo una recuperación creciente y paulatina en los niveles de depósitos. Pero debido a la crisis financiera mundial, estos niveles se redujeron durante 2008 sólo para mejorar durante la última mitad de 2009 hasta la actualidad. El crecimiento del sistema financiero argentino depende fuertemente de los niveles de depósitos, debido a la pequeña dimensión de sus mercados de capitales y la falta de financiamiento financiero durante los últimos años. En el mediano plazo, el crecimiento del crédito podría depender del crecimiento de los niveles de depósitos. Durante 2011-2013, la disponibilidad de crédito pudo crecer a una tasa más alta que los depósitos, consumiendo los excedentes de liquidez de las entidades financieras. Sin perjuicio de ello, en 2014 este escenario comenzó a cambiar, y depósitos considerables empezaron a crecer a una tasa más alta que los créditos. Durante 2015, la liquidez del sistema financiero argentino era razonable, debido al alto nivel de encajes obligatorios de las entidades financieras argentinas, entre otras inversiones de corto plazo, que representaban más del 50% del total de depósitos. Asimismo, las restricciones a la compra de moneda extranjera que operaron hasta diciembre del 2015, naturalmente redujeron la volatilidad de los depósitos en moneda local. En la actualidad, debido a que la mayoría de los depósitos son a corto plazo, gran parte de los créditos son a corto plazo, y existe una pequeña proporción de líneas de crédito de largo plazo, tales como las hipotecas. Si bien en la actualidad los niveles de liquidez son razonables, no puede asegurarse que estos niveles no se reducirán debido a un escenario económico negativo en el futuro que pueda afectar adversamente el negocio del Banco, más allá de que el Banco haya tomado y siga tomando medidas adecuadas para evitar la iliquidez y la dependencia del BCRA. Por ende, existe todavía un riesgo de bajos niveles de liquidez que podría aumentar el costo de fondeo en caso de un retiro de un monto significativo de la base de depósitos del sistema financiero y limitar la expansión a largo plazo de la intermediación financiera, incluyendo la nuestra.</w:t>
      </w:r>
    </w:p>
    <w:p w14:paraId="080A6D60" w14:textId="77777777" w:rsidR="0028095B" w:rsidRPr="00AE4E8D" w:rsidRDefault="0028095B" w:rsidP="0028095B">
      <w:pPr>
        <w:pStyle w:val="BH4Cursiva"/>
      </w:pPr>
      <w:r w:rsidRPr="00AE4E8D">
        <w:t>Las medidas que el gobierno pueda adoptar en el futuro podrían afectar negativamente a la economía y las operaciones de las entidades financieras</w:t>
      </w:r>
    </w:p>
    <w:p w14:paraId="1312B499" w14:textId="77777777" w:rsidR="0028095B" w:rsidRPr="00AE4E8D" w:rsidRDefault="0028095B" w:rsidP="0028095B">
      <w:pPr>
        <w:pStyle w:val="BHTexto"/>
        <w:rPr>
          <w:lang w:val="es-ES"/>
        </w:rPr>
      </w:pPr>
      <w:r w:rsidRPr="00AE4E8D">
        <w:rPr>
          <w:lang w:val="es-ES"/>
        </w:rPr>
        <w:t xml:space="preserve">El Gobierno Argentino ha ejercido históricamente gran influencia sobre la economía, y las entidades financieras, en particular, han operado en un entorno altamente regulado. No es posible asegurar que en el </w:t>
      </w:r>
      <w:r w:rsidRPr="00AE4E8D">
        <w:rPr>
          <w:lang w:val="es-ES"/>
        </w:rPr>
        <w:lastRenderedPageBreak/>
        <w:t>futuro no se modificarán las leyes y reglamentaciones que actualmente rigen la economía o el sector bancario o de que nuevas leyes no nos afectaran negativamente. No es posible garantizar que tales cambios no afectarán negativamente nuestros negocios, nuestra situación patrimonial o los resultados de nuestras operaciones y nuestra capacidad de honrar nuestras obligaciones de deuda en moneda extranjera, incluyendo las Obligaciones Negociables.</w:t>
      </w:r>
    </w:p>
    <w:p w14:paraId="4FA71850" w14:textId="77777777" w:rsidR="0028095B" w:rsidRPr="00AE4E8D" w:rsidRDefault="0028095B" w:rsidP="0028095B">
      <w:pPr>
        <w:pStyle w:val="BHTexto"/>
        <w:rPr>
          <w:lang w:val="es-ES"/>
        </w:rPr>
      </w:pPr>
      <w:r w:rsidRPr="00AE4E8D">
        <w:rPr>
          <w:lang w:val="es-ES"/>
        </w:rPr>
        <w:t>Una reforma considerable a la Ley de Entidades Financieras podría afectar sustancialmente al sistema financiero argentino. Diferentes proyectos para reformar la Ley de Entidades Financieras han sido presentados en el Congreso Nacional. En caso que alguna de las reformas a la Ley de Entidades Financieras sea sancionada, o que la Ley de Entidades Financieras vigente sea modificada en cualquier otro sentido de manera sustancial, no es posible predecir el impacto que producirían las posteriores modificaciones a las reglamentaciones sobre las entidades financieras en general, nuestros negocios, nuestra situación patrimonial o los resultados de nuestras operaciones.</w:t>
      </w:r>
    </w:p>
    <w:p w14:paraId="585CA0E2" w14:textId="77777777" w:rsidR="0028095B" w:rsidRPr="00AE4E8D" w:rsidRDefault="0028095B" w:rsidP="0028095B">
      <w:pPr>
        <w:pStyle w:val="BHTexto"/>
        <w:rPr>
          <w:lang w:val="es-ES"/>
        </w:rPr>
      </w:pPr>
      <w:r w:rsidRPr="00AE4E8D">
        <w:rPr>
          <w:lang w:val="es-ES"/>
        </w:rPr>
        <w:t>Adicionalmente, en marzo de 2012 se sancionó la Ley N°26.739 para reformar la Carta Orgánica del BCRA, cuyos ejes principales son: (i) ampliar la misión del BCRA (estableciendo como obligación de dicha entidad el velar por la estabilidad financiera y el desarrollo económico con equidad social); (ii) modificar la obligación de mantener una relación equivalente entre la base monetaria y la cantidad de reservas internacionales; (iii) establecer que será el directorio de la institución quien definirá el nivel de reservas que garantice el normal funcionamiento del mercado cambiario tomando en consideración la evolución de las cuentas externas; (iv) facultar a la autoridad monetaria para regular y a orientar el crédito a través de las instituciones del sistema financiero, de forma tal de "promover la inversión productiva de largo plazo”.</w:t>
      </w:r>
    </w:p>
    <w:p w14:paraId="7494E68C" w14:textId="77777777" w:rsidR="0028095B" w:rsidRPr="00AE4E8D" w:rsidRDefault="0028095B" w:rsidP="0028095B">
      <w:pPr>
        <w:pStyle w:val="BHTexto"/>
        <w:rPr>
          <w:lang w:val="es-ES"/>
        </w:rPr>
      </w:pPr>
      <w:r w:rsidRPr="00AE4E8D">
        <w:rPr>
          <w:lang w:val="es-ES"/>
        </w:rPr>
        <w:t>Por otra parte, de acuerdo con la Ley N°26.994, sancionada por el Congreso Argentino el 1 de octubre de 2014, el 1 de agosto de 2015 entró en vigencia un nuevo Código Civil y Comercial (el “</w:t>
      </w:r>
      <w:r w:rsidRPr="00AE4E8D">
        <w:rPr>
          <w:u w:val="single"/>
          <w:lang w:val="es-ES"/>
        </w:rPr>
        <w:t>Código Civil y Comercial</w:t>
      </w:r>
      <w:r w:rsidRPr="00AE4E8D">
        <w:rPr>
          <w:lang w:val="es-ES"/>
        </w:rPr>
        <w:t xml:space="preserve">”). Entre otras cosas, el Código Civil y Comercial modifica el régimen aplicable a las disposiciones contractuales relativas a las obligaciones de pago en moneda extranjera estableciendo que las obligaciones de pago en moneda extranjera pueden cancelarse en Pesos. Esto modifica el régimen legal, en virtud del cual los deudores sólo podían cancelar sus obligaciones de pago en moneda extranjera realizando el pago en la divisa específica acordada en sus contratos; sin perjuicio de ello, está todavía en discusión si la opción de cancelar en Pesos una obligación en moneda extranjera puede ser dispensada por el deudor. </w:t>
      </w:r>
    </w:p>
    <w:p w14:paraId="0F5D9102" w14:textId="77777777" w:rsidR="0028095B" w:rsidRPr="00AE4E8D" w:rsidRDefault="0028095B" w:rsidP="0028095B">
      <w:pPr>
        <w:pStyle w:val="BHTexto"/>
        <w:rPr>
          <w:lang w:val="es-ES"/>
        </w:rPr>
      </w:pPr>
      <w:r w:rsidRPr="00AE4E8D">
        <w:rPr>
          <w:lang w:val="es-ES"/>
        </w:rPr>
        <w:t>No es posible asegurar que las leyes y reglamentaciones actuales o futuras (incluyendo específicamente la reforma de la Ley de Entidades Financieras y la modificación de la Carta Orgánica del BCRA) no originarán costos significativos para nosotros o no tendrán un efecto negativo sobre nuestros negocios, nuestra capacidad financiera o el resultado de nuestras operaciones.</w:t>
      </w:r>
    </w:p>
    <w:p w14:paraId="1390AEDB" w14:textId="77777777" w:rsidR="0028095B" w:rsidRPr="00AE4E8D" w:rsidRDefault="0028095B" w:rsidP="0028095B">
      <w:pPr>
        <w:pStyle w:val="BHTexto"/>
        <w:rPr>
          <w:b/>
          <w:i/>
          <w:lang w:val="es-ES"/>
        </w:rPr>
      </w:pPr>
      <w:r w:rsidRPr="00AE4E8D">
        <w:rPr>
          <w:b/>
          <w:i/>
          <w:lang w:val="es-ES"/>
        </w:rPr>
        <w:t>Incertidumbres derivadas de la convergencia del marco contable aplicable hacia las normas contables NIIF</w:t>
      </w:r>
    </w:p>
    <w:p w14:paraId="3090B2B8" w14:textId="77777777" w:rsidR="0028095B" w:rsidRPr="00AE4E8D" w:rsidRDefault="0028095B" w:rsidP="0028095B">
      <w:pPr>
        <w:pStyle w:val="BHTexto"/>
        <w:rPr>
          <w:lang w:val="es-ES"/>
        </w:rPr>
      </w:pPr>
      <w:r w:rsidRPr="00AE4E8D">
        <w:rPr>
          <w:lang w:val="es-ES"/>
        </w:rPr>
        <w:t xml:space="preserve">Como resultado de los requisitos del BCRA, a partir del 1º de enero de 2018, esperamos que se nos solicite que preparemos nuestros estados financieros consolidados de acuerdo con las NIIF con ciertos criterios de medición y exposición específicamente establecidos por el BCRA. Luego de nuestra adopción de las NIIF, nuestros resultados de las operaciones podrían diferir significativamente de los resultados que informamos en las </w:t>
      </w:r>
      <w:r w:rsidR="004D7B80" w:rsidRPr="00AE4E8D">
        <w:rPr>
          <w:lang w:val="es-ES"/>
        </w:rPr>
        <w:t>Normas Contables del BCRA</w:t>
      </w:r>
      <w:r w:rsidRPr="00AE4E8D">
        <w:rPr>
          <w:lang w:val="es-ES"/>
        </w:rPr>
        <w:t>. Para una conciliación de cierta información financiera a partir del 30 de junio de 2017 de</w:t>
      </w:r>
      <w:r w:rsidR="001D2931" w:rsidRPr="00AE4E8D">
        <w:rPr>
          <w:lang w:val="es-ES"/>
        </w:rPr>
        <w:t xml:space="preserve"> </w:t>
      </w:r>
      <w:r w:rsidRPr="00AE4E8D">
        <w:rPr>
          <w:lang w:val="es-ES"/>
        </w:rPr>
        <w:t>l</w:t>
      </w:r>
      <w:r w:rsidR="001D2931" w:rsidRPr="00AE4E8D">
        <w:rPr>
          <w:lang w:val="es-ES"/>
        </w:rPr>
        <w:t>as</w:t>
      </w:r>
      <w:r w:rsidRPr="00AE4E8D">
        <w:rPr>
          <w:lang w:val="es-ES"/>
        </w:rPr>
        <w:t xml:space="preserve"> </w:t>
      </w:r>
      <w:r w:rsidR="004D7B80" w:rsidRPr="00AE4E8D">
        <w:rPr>
          <w:lang w:val="es-ES"/>
        </w:rPr>
        <w:t xml:space="preserve">Normas Contables del BCRA </w:t>
      </w:r>
      <w:r w:rsidRPr="00AE4E8D">
        <w:rPr>
          <w:lang w:val="es-ES"/>
        </w:rPr>
        <w:t xml:space="preserve">a las NIIF, véase la Nota </w:t>
      </w:r>
      <w:r w:rsidR="001D2931" w:rsidRPr="00AE4E8D">
        <w:rPr>
          <w:lang w:val="es-ES"/>
        </w:rPr>
        <w:t>4</w:t>
      </w:r>
      <w:r w:rsidRPr="00AE4E8D">
        <w:rPr>
          <w:lang w:val="es-ES"/>
        </w:rPr>
        <w:t xml:space="preserve"> a nuestros estados financieros consolidados no auditados a partir del 30 de junio de 2017.</w:t>
      </w:r>
    </w:p>
    <w:p w14:paraId="3A25084C" w14:textId="77777777" w:rsidR="0028095B" w:rsidRPr="00AE4E8D" w:rsidRDefault="0028095B" w:rsidP="0028095B">
      <w:pPr>
        <w:pStyle w:val="BHTexto"/>
        <w:rPr>
          <w:lang w:val="es-ES"/>
        </w:rPr>
      </w:pPr>
      <w:r w:rsidRPr="00AE4E8D">
        <w:rPr>
          <w:lang w:val="es-ES"/>
        </w:rPr>
        <w:t xml:space="preserve">En consecuencia, actualmente estamos adaptando nuestros sistemas contables para que cumplan con los requisitos que se aplicarán a nuestra adopción de las normas contables NIIF. Por lo tanto, los elementos y figuras contenidos en dicha Nota </w:t>
      </w:r>
      <w:r w:rsidR="001D2931" w:rsidRPr="00AE4E8D">
        <w:rPr>
          <w:lang w:val="es-ES"/>
        </w:rPr>
        <w:t>4</w:t>
      </w:r>
      <w:r w:rsidRPr="00AE4E8D">
        <w:rPr>
          <w:lang w:val="es-ES"/>
        </w:rPr>
        <w:t xml:space="preserve"> podrían cambiar. Si antes del 31 de diciembre de 2018 las normas vigentes cambian nuevamente, estos elementos y cifras también deberían ser actualizados.</w:t>
      </w:r>
    </w:p>
    <w:p w14:paraId="39BC2214" w14:textId="77777777" w:rsidR="0028095B" w:rsidRPr="00AE4E8D" w:rsidRDefault="0028095B" w:rsidP="0028095B">
      <w:pPr>
        <w:pStyle w:val="BHTexto"/>
        <w:rPr>
          <w:lang w:val="es-ES"/>
        </w:rPr>
      </w:pPr>
      <w:r w:rsidRPr="00AE4E8D">
        <w:rPr>
          <w:lang w:val="es-ES"/>
        </w:rPr>
        <w:t>Estas y otras medidas regulatorias futuras posibles podrían afectar adversamente nuestro negocio y podrían generar incertidumbre con respecto a nuestra posición financiera futura y los resultados de nuestras operaciones.</w:t>
      </w:r>
    </w:p>
    <w:p w14:paraId="01742446" w14:textId="77777777" w:rsidR="0028095B" w:rsidRPr="00AE4E8D" w:rsidRDefault="0028095B" w:rsidP="0028095B">
      <w:pPr>
        <w:pStyle w:val="BH4Cursiva"/>
      </w:pPr>
      <w:r w:rsidRPr="00AE4E8D">
        <w:t>La estabilidad del sistema financiero depende de la capacidad de las entidades financieras, incluyendo la nuestra, para mantener y aumentar la confianza de los depositantes</w:t>
      </w:r>
    </w:p>
    <w:p w14:paraId="5FA03E16" w14:textId="77777777" w:rsidR="0028095B" w:rsidRPr="00AE4E8D" w:rsidRDefault="0028095B" w:rsidP="0028095B">
      <w:pPr>
        <w:pStyle w:val="BHTexto"/>
        <w:rPr>
          <w:lang w:val="es-ES"/>
        </w:rPr>
      </w:pPr>
      <w:r w:rsidRPr="00AE4E8D">
        <w:rPr>
          <w:lang w:val="es-ES"/>
        </w:rPr>
        <w:t xml:space="preserve">Las medidas implementadas por el Gobierno Argentino a fines de 2001 y principios de 2002, en particular las restricciones impuestas a los depositantes en relación con la posibilidad de retirar libremente fondos de los bancos y la pesificación y reestructuración de sus depósitos, fueron fuertemente rechazadas por los </w:t>
      </w:r>
      <w:r w:rsidRPr="00AE4E8D">
        <w:rPr>
          <w:lang w:val="es-ES"/>
        </w:rPr>
        <w:lastRenderedPageBreak/>
        <w:t xml:space="preserve">depositantes debido a las pérdidas en sus ahorro, y debilitaron la confianza de éstos últimos en el sistema financiero argentino y en todas las entidades financieras con operaciones en Argentina. </w:t>
      </w:r>
    </w:p>
    <w:p w14:paraId="217AB5BA" w14:textId="77777777" w:rsidR="0028095B" w:rsidRPr="00AE4E8D" w:rsidRDefault="0028095B" w:rsidP="0028095B">
      <w:pPr>
        <w:pStyle w:val="BHTexto"/>
        <w:rPr>
          <w:lang w:val="es-ES"/>
        </w:rPr>
      </w:pPr>
      <w:r w:rsidRPr="00AE4E8D">
        <w:rPr>
          <w:lang w:val="es-ES"/>
        </w:rPr>
        <w:t>Si los depositantes retiran nuevamente su dinero de los bancos en el futuro, podría producirse un impacto negativo importante en la forma en que las entidades financieras, incluidos nosotros, realizan sus negocios, y sobre su capacidad de operar como intermediarios financieros. La pérdida de confianza en los mercados financieros internacionales también puede afectar la confianza de los depositantes argentinos en los bancos locales.</w:t>
      </w:r>
    </w:p>
    <w:p w14:paraId="7B9A5671" w14:textId="77777777" w:rsidR="0028095B" w:rsidRPr="00AE4E8D" w:rsidRDefault="0028095B" w:rsidP="0028095B">
      <w:pPr>
        <w:pStyle w:val="BHTexto"/>
        <w:rPr>
          <w:lang w:val="es-ES"/>
        </w:rPr>
      </w:pPr>
      <w:r w:rsidRPr="00AE4E8D">
        <w:rPr>
          <w:lang w:val="es-ES"/>
        </w:rPr>
        <w:t>En el futuro, una situación económica adversa, aún si no estuviera relacionada con el sistema financiero, podría dar lugar a un retiro masivo de capitales de los bancos locales por parte de los depositantes, como una alternativa para proteger sus activos de posibles crisis. El retiro masivo de depósitos podría provocar problemas de liquidez en el sector financiero y, en consecuencia, una contracción en la oferta de créditos.</w:t>
      </w:r>
    </w:p>
    <w:p w14:paraId="6AF31DE4" w14:textId="77777777" w:rsidR="0028095B" w:rsidRPr="00AE4E8D" w:rsidRDefault="0028095B" w:rsidP="0028095B">
      <w:pPr>
        <w:pStyle w:val="BHTexto"/>
        <w:rPr>
          <w:lang w:val="es-ES"/>
        </w:rPr>
      </w:pPr>
      <w:r w:rsidRPr="00AE4E8D">
        <w:rPr>
          <w:lang w:val="es-ES"/>
        </w:rPr>
        <w:t>El acaecimiento de cualquiera de los hechos antes enunciados podría tener un efecto significativo y adverso sobre nuestros gastos y negocios, los resultados de nuestras operaciones y nuestra situación patrimonial.</w:t>
      </w:r>
    </w:p>
    <w:p w14:paraId="0BCEA2F3" w14:textId="77777777" w:rsidR="0028095B" w:rsidRPr="00AE4E8D" w:rsidRDefault="0028095B" w:rsidP="0028095B">
      <w:pPr>
        <w:pStyle w:val="BH4Cursiva"/>
      </w:pPr>
      <w:r w:rsidRPr="00AE4E8D">
        <w:t>La calidad de los activos de las instituciones financieras está expuesta a la deuda del sector público no financiero y del BCRA</w:t>
      </w:r>
    </w:p>
    <w:p w14:paraId="114E0624" w14:textId="77777777" w:rsidR="0028095B" w:rsidRPr="00AE4E8D" w:rsidRDefault="0028095B" w:rsidP="0028095B">
      <w:pPr>
        <w:pStyle w:val="BHTexto"/>
        <w:rPr>
          <w:lang w:val="es-ES"/>
        </w:rPr>
      </w:pPr>
      <w:r w:rsidRPr="00AE4E8D">
        <w:rPr>
          <w:lang w:val="es-ES"/>
        </w:rPr>
        <w:t>Las entidades financieras cuentan con una cartera importante de bonos de gobiernos provinciales y del Gobierno Argentino, como así también de préstamos otorgados a dichos gobiernos. La exposición del sistema financiero a la deuda del sector público no financiero ha disminuido año tras año, de 49,0% de los activos totales en 2002 a 10,3% en 2015, 9,2% en 2016 y</w:t>
      </w:r>
      <w:r w:rsidRPr="00AE4E8D">
        <w:rPr>
          <w:lang w:val="es-ES" w:eastAsia="es-AR"/>
        </w:rPr>
        <w:t xml:space="preserve"> 9,6%</w:t>
      </w:r>
      <w:r w:rsidRPr="00AE4E8D">
        <w:rPr>
          <w:lang w:val="es-ES"/>
        </w:rPr>
        <w:t xml:space="preserve"> al </w:t>
      </w:r>
      <w:r w:rsidRPr="00AE4E8D">
        <w:rPr>
          <w:lang w:val="es-ES" w:eastAsia="es-AR"/>
        </w:rPr>
        <w:t>30</w:t>
      </w:r>
      <w:r w:rsidRPr="00AE4E8D">
        <w:rPr>
          <w:lang w:val="es-ES"/>
        </w:rPr>
        <w:t xml:space="preserve"> junio de 2017. En cierta medida, el valor de los activos en poder de bancos argentinos, como así también su capacidad de generación de ingresos, depende de la solvencia crediticia del sector público no financiero argentino, que a su vez depende de la capacidad del Gobierno Argentino de promover el crecimiento económico sustentable a largo plazo, generar ingresos fiscales y controlar el gasto público.</w:t>
      </w:r>
    </w:p>
    <w:p w14:paraId="794E5FF4" w14:textId="77777777" w:rsidR="0028095B" w:rsidRPr="00AE4E8D" w:rsidRDefault="0028095B" w:rsidP="0028095B">
      <w:pPr>
        <w:pStyle w:val="BHTexto"/>
        <w:rPr>
          <w:lang w:val="es-ES"/>
        </w:rPr>
      </w:pPr>
      <w:r w:rsidRPr="00AE4E8D">
        <w:rPr>
          <w:lang w:val="es-ES"/>
        </w:rPr>
        <w:t xml:space="preserve">Además, las entidades financieras poseen valores emitidos por el BCRA en sus carteras, que por lo general son activos a corto plazo. Al </w:t>
      </w:r>
      <w:r w:rsidRPr="00AE4E8D">
        <w:rPr>
          <w:lang w:val="es-ES" w:eastAsia="es-AR"/>
        </w:rPr>
        <w:t>30</w:t>
      </w:r>
      <w:r w:rsidRPr="00AE4E8D">
        <w:rPr>
          <w:lang w:val="es-ES"/>
        </w:rPr>
        <w:t xml:space="preserve"> de junio de 2017, dichos valores emitidos por el BCRA representan el 27,67% de los activos totales del sistema financiero argentino. Al </w:t>
      </w:r>
      <w:r w:rsidRPr="00AE4E8D">
        <w:rPr>
          <w:lang w:val="es-ES" w:eastAsia="es-AR"/>
        </w:rPr>
        <w:t>30</w:t>
      </w:r>
      <w:r w:rsidRPr="00AE4E8D">
        <w:rPr>
          <w:lang w:val="es-ES"/>
        </w:rPr>
        <w:t xml:space="preserve"> de junio de 2017, nuestra exposición total al sector público fue de Ps.3.122,1 millones, alcanzando el 6,3% de nuestros activos (básicos) no consolidados en esa fecha, y nuestra exposición a los títulos emitidos por el BCRA fue de Ps. 3.306,8 millones, lo que representó el 6,3% de nuestros activos (básicos) al </w:t>
      </w:r>
      <w:r w:rsidRPr="00AE4E8D">
        <w:rPr>
          <w:lang w:val="es-ES" w:eastAsia="es-AR"/>
        </w:rPr>
        <w:t>30</w:t>
      </w:r>
      <w:r w:rsidRPr="00AE4E8D">
        <w:rPr>
          <w:lang w:val="es-ES"/>
        </w:rPr>
        <w:t xml:space="preserve"> de junio de 2017. </w:t>
      </w:r>
    </w:p>
    <w:p w14:paraId="4EC3FB6A" w14:textId="77777777" w:rsidR="0028095B" w:rsidRPr="00AE4E8D" w:rsidRDefault="0028095B" w:rsidP="0028095B">
      <w:pPr>
        <w:pStyle w:val="BH4Cursiva"/>
      </w:pPr>
      <w:r w:rsidRPr="00AE4E8D">
        <w:t>La Ley de Defensa del Consumidor puede limitar algunos de nuestros derechos</w:t>
      </w:r>
    </w:p>
    <w:p w14:paraId="4F910160" w14:textId="77777777" w:rsidR="0028095B" w:rsidRPr="00AE4E8D" w:rsidRDefault="0028095B" w:rsidP="0028095B">
      <w:pPr>
        <w:pStyle w:val="BHTexto"/>
        <w:rPr>
          <w:lang w:val="es-ES"/>
        </w:rPr>
      </w:pPr>
      <w:r w:rsidRPr="00AE4E8D">
        <w:rPr>
          <w:lang w:val="es-ES"/>
        </w:rPr>
        <w:t>La Ley N°24.240 y sus normas modificatorias y complementarias (la “</w:t>
      </w:r>
      <w:r w:rsidRPr="00AE4E8D">
        <w:rPr>
          <w:u w:val="single"/>
          <w:lang w:val="es-ES"/>
        </w:rPr>
        <w:t>Ley de Defensa del Consumidor</w:t>
      </w:r>
      <w:r w:rsidRPr="00AE4E8D">
        <w:rPr>
          <w:lang w:val="es-ES"/>
        </w:rPr>
        <w:t>”) establece una serie de normas y principios para la defensa de los consumidores, entre ellos nuestros clientes. La Ley de Defensa del Consumidor fue reformada por la Ley Nº26.361 el 12 de marzo de 2008, ampliando su alcance y las penalidades asociadas a la violación de sus normas. Por otra parte, la Ley Nº25.065 (modificada por la Ley Nº26.010 y la Ley Nº26.361, la “</w:t>
      </w:r>
      <w:r w:rsidRPr="00AE4E8D">
        <w:rPr>
          <w:u w:val="single"/>
          <w:lang w:val="es-ES"/>
        </w:rPr>
        <w:t>Ley de Tarjetas de Crédito</w:t>
      </w:r>
      <w:r w:rsidRPr="00AE4E8D">
        <w:rPr>
          <w:lang w:val="es-ES"/>
        </w:rPr>
        <w:t>”) también fija normas de política pública destinadas a proteger a los tenedores de tarjetas de crédito.</w:t>
      </w:r>
    </w:p>
    <w:p w14:paraId="08EEA0FC" w14:textId="77777777" w:rsidR="0028095B" w:rsidRPr="00AE4E8D" w:rsidRDefault="0028095B" w:rsidP="0028095B">
      <w:pPr>
        <w:pStyle w:val="BHTexto"/>
        <w:rPr>
          <w:lang w:val="es-ES"/>
        </w:rPr>
      </w:pPr>
      <w:r w:rsidRPr="00AE4E8D">
        <w:rPr>
          <w:lang w:val="es-ES"/>
        </w:rPr>
        <w:t>Adicionalmente, a partir de la sanción de la Comunicación “A” 5388 del 2013, el BCRA ha dictado una serie de comunicaciones orientadas a la prevención de los usuarios de servicios financieros.</w:t>
      </w:r>
    </w:p>
    <w:p w14:paraId="45A2A69C" w14:textId="77777777" w:rsidR="0028095B" w:rsidRPr="00AE4E8D" w:rsidRDefault="0028095B" w:rsidP="0028095B">
      <w:pPr>
        <w:pStyle w:val="BHTexto"/>
        <w:rPr>
          <w:lang w:val="es-ES"/>
        </w:rPr>
      </w:pPr>
      <w:r w:rsidRPr="00AE4E8D">
        <w:rPr>
          <w:lang w:val="es-ES"/>
        </w:rPr>
        <w:t>El Código Civil y Comercial contiene un capítulo de protección al consumidor que establece que las reglas que regulan las relaciones de consumo deberán ser aplicadas e interpretadas de acuerdo con el principio protectorio y que los contratos de consumo deberán ser interpretados en el sentido más favorable al consumidor. Asimismo, el Código Civil y Comercial contiene un capítulo específico que regula los contratos bancarios.</w:t>
      </w:r>
    </w:p>
    <w:p w14:paraId="0BDE77F5" w14:textId="77777777" w:rsidR="0028095B" w:rsidRPr="00AE4E8D" w:rsidRDefault="0028095B" w:rsidP="0028095B">
      <w:pPr>
        <w:pStyle w:val="BHTexto"/>
        <w:rPr>
          <w:lang w:val="es-ES"/>
        </w:rPr>
      </w:pPr>
      <w:r w:rsidRPr="00AE4E8D">
        <w:rPr>
          <w:lang w:val="es-ES"/>
        </w:rPr>
        <w:t xml:space="preserve">La aplicación de la Ley de Defensa del Consumidor y la Ley de Tarjetas de Crédito por parte de las autoridades administrativas y los tribunales a nivel federal, provincial y municipal ha aumentado. Si fuésemos declarados responsables de violaciones a cualquiera de las disposiciones de la Ley de Defensa del Consumidor o la Ley de Tarjetas de Crédito, las potenciales multas podrían limitar algunos de nuestros derechos, por ejemplo, con respecto a nuestra capacidad de cobrar pagos vencidos de servicios y financiación provista por nosotros, y afectar negativamente los resultados de nuestras operaciones. No podemos asegurar que los fallos judiciales y administrativos basados en las normas citadas o las medidas adoptadas por las autoridades de aplicación no aumentarán el grado de protección brindado a nuestros deudores y otros clientes en el futuro, o que no favorecerán los reclamos interpuestos por grupos o </w:t>
      </w:r>
      <w:r w:rsidRPr="00AE4E8D">
        <w:rPr>
          <w:lang w:val="es-ES"/>
        </w:rPr>
        <w:lastRenderedPageBreak/>
        <w:t>asociaciones de consumidores. Ello podría impedir o restringir la cobranza de pagos, lo cual podría tener un efecto adverso sobre nuestros negocios y los resultados de nuestras operaciones.</w:t>
      </w:r>
    </w:p>
    <w:p w14:paraId="70AC97D7" w14:textId="77777777" w:rsidR="0028095B" w:rsidRPr="00AE4E8D" w:rsidRDefault="0028095B" w:rsidP="0028095B">
      <w:pPr>
        <w:pStyle w:val="BH4Cursiva"/>
      </w:pPr>
      <w:r w:rsidRPr="00AE4E8D">
        <w:t>Las acciones colectivas contra entidades financieras por montos indeterminados pueden afectar la rentabilidad del sistema financiero</w:t>
      </w:r>
    </w:p>
    <w:p w14:paraId="284A08E5" w14:textId="77777777" w:rsidR="0028095B" w:rsidRPr="00AE4E8D" w:rsidRDefault="0028095B" w:rsidP="0028095B">
      <w:pPr>
        <w:pStyle w:val="BHTexto"/>
        <w:rPr>
          <w:lang w:val="es-ES"/>
        </w:rPr>
      </w:pPr>
      <w:r w:rsidRPr="00AE4E8D">
        <w:rPr>
          <w:lang w:val="es-ES"/>
        </w:rPr>
        <w:t>Ciertas organizaciones públicas y privadas han iniciado acciones colectivas contra entidades financieras en la Argentina, incluyendo a la nuestra. La Constitución Nacional y la Ley de Defensa al Consumidor incluyen algunas disposiciones en relación a las acciones colectivas, pero sólo disposiciones respecto a las normas de procedimiento para iniciar y resolver casos de acciones colectivas son limitadas. Los tribunales argentinos han reconocido acciones colectivas en algunos casos, incluyendo diversas demandas contra entidades financieras iniciadas en defensa de “intereses colectivos” tales como cargos excesivos sobre los productos, las tasas de interés y relacionados, sobre los cuales los actores han buscado la imposición de daños punitivos y el reparto de ganancias. Si los actores de las acciones obtuvieran sentencias contrarias a las entidades financieras, su éxito tendría un impacto adverso sobre la industria financiera en general y sobre nuestro negocio, condiciones financieras y resultados de operaciones.</w:t>
      </w:r>
    </w:p>
    <w:p w14:paraId="3B440159" w14:textId="77777777" w:rsidR="0028095B" w:rsidRPr="00AE4E8D" w:rsidRDefault="0028095B" w:rsidP="0028095B">
      <w:pPr>
        <w:pStyle w:val="BH4Cursiva"/>
      </w:pPr>
      <w:r w:rsidRPr="00AE4E8D">
        <w:t>Operamos en un entorno altamente regulado y nuestras operaciones se encuentran sujetas a las regulaciones y medidas adoptadas por diversas dependencias regulatorias</w:t>
      </w:r>
    </w:p>
    <w:p w14:paraId="3AF48A1A" w14:textId="77777777" w:rsidR="0028095B" w:rsidRPr="00AE4E8D" w:rsidRDefault="0028095B" w:rsidP="0028095B">
      <w:pPr>
        <w:pStyle w:val="BHTexto"/>
        <w:rPr>
          <w:lang w:val="es-ES"/>
        </w:rPr>
      </w:pPr>
      <w:r w:rsidRPr="00AE4E8D">
        <w:rPr>
          <w:lang w:val="es-ES"/>
        </w:rPr>
        <w:t>Las entidades financieras se encuentran sujetas a una importante cantidad de regulaciones en relación con funciones que históricamente fueron determinadas por el BCRA y otras autoridades regulatorias. El BCRA podría sancionarnos ante cualquier incumplimiento de las reglamentaciones aplicables. De igual modo, la CNV, que autoriza la oferta de títulos y regula los mercados de capitales de Argentina, tiene autoridad para imponernos sanciones y a nuestro Directorio por violaciones a normas de gobierno corporativo establecidas en las leyes de mercados de capitales y en las Normas de la CNV. La Unidad de Información Financiera (“</w:t>
      </w:r>
      <w:r w:rsidRPr="00AE4E8D">
        <w:rPr>
          <w:u w:val="single"/>
          <w:lang w:val="es-ES"/>
        </w:rPr>
        <w:t>UIF</w:t>
      </w:r>
      <w:r w:rsidRPr="00AE4E8D">
        <w:rPr>
          <w:lang w:val="es-ES"/>
        </w:rPr>
        <w:t>”) perteneciente al Ministerio de Finanzas de la Nación, reglamenta las materias relativas a la prevención del lavado de activos y tiene facultades para supervisar el modo en que las entidades financieras cumplen con dicha reglamentación y para, eventualmente, imponer sanciones.</w:t>
      </w:r>
    </w:p>
    <w:p w14:paraId="5262C7F5" w14:textId="77777777" w:rsidR="0028095B" w:rsidRPr="00AE4E8D" w:rsidRDefault="0028095B" w:rsidP="0028095B">
      <w:pPr>
        <w:pStyle w:val="BHTexto"/>
        <w:rPr>
          <w:lang w:val="es-ES"/>
        </w:rPr>
      </w:pPr>
      <w:r w:rsidRPr="00AE4E8D">
        <w:rPr>
          <w:lang w:val="es-ES"/>
        </w:rPr>
        <w:t xml:space="preserve">No es posible asegurar que ninguna de tales dependencias regulatorias iniciará una acción en contra del Banco, sus accionistas o directores e impondrá sanciones en consecuencia. Sin perjuicio de ello, y además del cumplimiento de la política “Conozca a su Cliente” hemos adoptado otras políticas y procedimientos para dar cumplimiento a sus obligaciones de acuerdo a las reglamentaciones vigentes. </w:t>
      </w:r>
    </w:p>
    <w:p w14:paraId="329DEAE8" w14:textId="77777777" w:rsidR="0028095B" w:rsidRPr="00AE4E8D" w:rsidRDefault="0028095B" w:rsidP="0028095B">
      <w:pPr>
        <w:pStyle w:val="BHTexto"/>
        <w:rPr>
          <w:lang w:val="es-ES"/>
        </w:rPr>
      </w:pPr>
      <w:r w:rsidRPr="00AE4E8D">
        <w:rPr>
          <w:lang w:val="es-ES"/>
        </w:rPr>
        <w:t>Además de las regulaciones específicas de nuestra industria, estamos sujetos a una gran variedad de regulaciones nacionales, provinciales y municipales y a supervisión generalmente aplicable a empresas que operan en la Argentina, incluidas leyes y regulaciones relativas a cuestiones laborales, previsionales, de salud, de defensa del consumidor, medioambiente, competencia y controles de precios. No podemos asegurar que la legislación y regulaciones vigentes actualmente o las dictadas en el futuro no nos demanden gastos importantes, o de otro modo tengan un efecto adverso sobre nuestras operaciones consolidadas.</w:t>
      </w:r>
    </w:p>
    <w:p w14:paraId="6F498525" w14:textId="77777777" w:rsidR="0028095B" w:rsidRPr="00AE4E8D" w:rsidRDefault="0028095B" w:rsidP="0028095B">
      <w:pPr>
        <w:pStyle w:val="BH4Cursiva"/>
      </w:pPr>
      <w:r w:rsidRPr="00AE4E8D">
        <w:t xml:space="preserve">Un marco regulatorio altamente impredecible podría afectar a la economía del país en general a las entidades financieras </w:t>
      </w:r>
      <w:r w:rsidRPr="00AE4E8D">
        <w:rPr>
          <w:lang w:val="es-ES"/>
        </w:rPr>
        <w:t xml:space="preserve">incluyéndonos </w:t>
      </w:r>
      <w:r w:rsidRPr="00AE4E8D">
        <w:t>a nosotros</w:t>
      </w:r>
    </w:p>
    <w:p w14:paraId="7285C57D" w14:textId="77777777" w:rsidR="0028095B" w:rsidRPr="00AE4E8D" w:rsidRDefault="0028095B" w:rsidP="0028095B">
      <w:pPr>
        <w:pStyle w:val="BHTexto"/>
        <w:rPr>
          <w:lang w:val="es-ES"/>
        </w:rPr>
      </w:pPr>
      <w:r w:rsidRPr="00AE4E8D">
        <w:rPr>
          <w:lang w:val="es-ES"/>
        </w:rPr>
        <w:t>En ciertas ocasiones, el Gobierno ha promulgado varias leyes que modifican el marco regulatorio para las entidades financieras. En este sentido, las Comunicaciones “A” 5272 y 5827 del BCRA, de fecha 1 de febrero de 2012 y 10 de noviembre de 2015, respectivamente, aumentaron los requisitos de capital para las entidades financieras que desarrollan actividades en Argentina. Estas Comunicaciones exigen ciertos niveles de capitales mínimos requeridos para hacer frente a los riesgos operativos y la distribución de dividendos, así como un buffer de capital adicional equivalente al 75% del capital total requerido. El BCRA ha indicado que estos nuevos requisitos se basan en la medición de riesgo de crédito requerida por el acuerdo de Basilea II.</w:t>
      </w:r>
    </w:p>
    <w:p w14:paraId="10F63FBA" w14:textId="77777777" w:rsidR="0028095B" w:rsidRPr="00AE4E8D" w:rsidRDefault="0028095B" w:rsidP="0028095B">
      <w:pPr>
        <w:pStyle w:val="BHTexto"/>
        <w:rPr>
          <w:lang w:val="es-ES"/>
        </w:rPr>
      </w:pPr>
      <w:r w:rsidRPr="00AE4E8D">
        <w:rPr>
          <w:lang w:val="es-ES"/>
        </w:rPr>
        <w:t>Asimismo, el Congreso modificó la carta orgánica del BCRA para, entre otras medidas, el uso de las reservas del BCRA para la cancelación de deuda pública y la implementación de políticas por parte del BCRA para intervenir en la fijación de las tasas de interés y los términos de los préstamos a las entidades financieras.</w:t>
      </w:r>
    </w:p>
    <w:p w14:paraId="51F78B06" w14:textId="77777777" w:rsidR="0028095B" w:rsidRPr="00AE4E8D" w:rsidRDefault="0028095B" w:rsidP="0028095B">
      <w:pPr>
        <w:pStyle w:val="BHTexto"/>
        <w:rPr>
          <w:lang w:val="es-ES"/>
        </w:rPr>
      </w:pPr>
      <w:r w:rsidRPr="00AE4E8D">
        <w:rPr>
          <w:lang w:val="es-ES"/>
        </w:rPr>
        <w:t>Otras medidas adoptadas por el BCRA son las siguientes:</w:t>
      </w:r>
    </w:p>
    <w:p w14:paraId="209D57D2" w14:textId="77777777" w:rsidR="0028095B" w:rsidRPr="00AE4E8D" w:rsidRDefault="0028095B" w:rsidP="0028095B">
      <w:pPr>
        <w:pStyle w:val="BHTexto"/>
        <w:numPr>
          <w:ilvl w:val="0"/>
          <w:numId w:val="88"/>
        </w:numPr>
        <w:rPr>
          <w:lang w:val="es-ES"/>
        </w:rPr>
      </w:pPr>
      <w:r w:rsidRPr="00AE4E8D">
        <w:rPr>
          <w:lang w:val="es-ES"/>
        </w:rPr>
        <w:t xml:space="preserve">Comunicación “A” 5460 (1 de octubre de 2013) brindó amplia protección a los consumidores de servicios financieros, incluyendo, entre otros aspectos, la regulación de los honorarios y comisiones cobrados por las entidades financieras por los servicios brindados. En tal sentido, los honorarios y comisiones deben representar un costo real, directo y demostrable y deben tener </w:t>
      </w:r>
      <w:r w:rsidRPr="00AE4E8D">
        <w:rPr>
          <w:lang w:val="es-ES"/>
        </w:rPr>
        <w:lastRenderedPageBreak/>
        <w:t>justificación técnica y económica. Asimismo, la Comunicación “A” 5514, modificada por la Comunicación “A” 5990, estableció una excepción a la aplicación de la Comunicación “A” 5460 para ciertos contratos de crédito con garantía prendaria celebrados hasta el 30 de septiembre de 2013.</w:t>
      </w:r>
    </w:p>
    <w:p w14:paraId="4F3EE9AE" w14:textId="77777777" w:rsidR="0028095B" w:rsidRPr="00AE4E8D" w:rsidRDefault="0028095B" w:rsidP="0028095B">
      <w:pPr>
        <w:pStyle w:val="BHTexto"/>
        <w:numPr>
          <w:ilvl w:val="0"/>
          <w:numId w:val="88"/>
        </w:numPr>
        <w:rPr>
          <w:lang w:val="es-ES"/>
        </w:rPr>
      </w:pPr>
      <w:r w:rsidRPr="00AE4E8D">
        <w:rPr>
          <w:lang w:val="es-ES"/>
        </w:rPr>
        <w:t>Comunicación “A” 5536 (4 de febrero de 2014) que limitó la posición de moneda extranjera de las entidades financieras hasta un 30% de la responsabilidad patrimonial computable de cada entidad. El 4 de agosto de 2014, el BCRA dictó la Comunicación “A” 5611 por la que redujo dicho tope al 15%.</w:t>
      </w:r>
    </w:p>
    <w:p w14:paraId="3B97A29C" w14:textId="77777777" w:rsidR="0028095B" w:rsidRPr="00AE4E8D" w:rsidRDefault="0028095B" w:rsidP="0028095B">
      <w:pPr>
        <w:pStyle w:val="BHTexto"/>
        <w:numPr>
          <w:ilvl w:val="0"/>
          <w:numId w:val="88"/>
        </w:numPr>
        <w:rPr>
          <w:lang w:val="es-ES"/>
        </w:rPr>
      </w:pPr>
      <w:r w:rsidRPr="00AE4E8D">
        <w:rPr>
          <w:lang w:val="es-ES"/>
        </w:rPr>
        <w:t>Comunicación “A” 5590 (14 junio de 2014) estableció que la tasa de interés de las financiaciones otorgadas por entidades financieras no pueden superar el resultado que surja de multiplicar la tasa de retorno interna de las Letras del BCRA (“</w:t>
      </w:r>
      <w:r w:rsidRPr="00AE4E8D">
        <w:rPr>
          <w:u w:val="single"/>
          <w:lang w:val="es-ES"/>
        </w:rPr>
        <w:t>LEBAC</w:t>
      </w:r>
      <w:r w:rsidRPr="00AE4E8D">
        <w:rPr>
          <w:lang w:val="es-ES"/>
        </w:rPr>
        <w:t xml:space="preserve">”) con vencimiento a 90 días por un factor fijado entre 1.25 y 2 dependiendo del tipo de financiación específico involucrado y el tipo de entidad financiera. </w:t>
      </w:r>
    </w:p>
    <w:p w14:paraId="434611D0" w14:textId="77777777" w:rsidR="0028095B" w:rsidRPr="00AE4E8D" w:rsidRDefault="0028095B" w:rsidP="0028095B">
      <w:pPr>
        <w:pStyle w:val="BHTexto"/>
        <w:numPr>
          <w:ilvl w:val="0"/>
          <w:numId w:val="204"/>
        </w:numPr>
        <w:rPr>
          <w:lang w:val="es-ES"/>
        </w:rPr>
      </w:pPr>
      <w:r w:rsidRPr="00AE4E8D">
        <w:rPr>
          <w:lang w:val="es-ES"/>
        </w:rPr>
        <w:t>Comunicación “A” 5593 y “A” 5603 por medio de las cuales obligó a las entidades financieras no reguladas por el BCRA (cooperativas, mutuales, prestamistas, tarjetas no bancarias y de comercios, etc.) a anotarse en dos registros, uno para “Empresas no financieras emisoras de tarjetas de crédito y/o compra” y otro para “Otros proveedores no financieros de crédito” y a aplicar una tasa de no más del 54% anual (Lebac a 90 días por 2) si pretenden fondearse con dinero de bancos (préstamos o fideicomisos financieros). Si trabajan con fondos propios no tendrán tope para la tasa que cobran.</w:t>
      </w:r>
    </w:p>
    <w:p w14:paraId="72263BEA" w14:textId="77777777" w:rsidR="0028095B" w:rsidRPr="00AE4E8D" w:rsidRDefault="0028095B" w:rsidP="0028095B">
      <w:pPr>
        <w:pStyle w:val="BHTexto"/>
        <w:numPr>
          <w:ilvl w:val="0"/>
          <w:numId w:val="204"/>
        </w:numPr>
        <w:rPr>
          <w:lang w:val="es-ES"/>
        </w:rPr>
      </w:pPr>
      <w:r w:rsidRPr="00AE4E8D">
        <w:rPr>
          <w:lang w:val="es-ES"/>
        </w:rPr>
        <w:t>Comunicación “A” 5627 (septiembre de 2014), mediante la cual dispuso que la posición global neta en moneda extranjera de las entidades bancarias no pueda superar el 20 por ciento de la responsabilidad patrimonial computable de cada entidad. Dicha decisión implica una reducción de 10 puntos porcentuales respecto al 30 por ciento vigente hasta el momento, e impuesto en febrero del mismo año. La medida abarca tanto la moneda líquida como los títulos denominados en dólares estadounidenses de las entidades financieras.</w:t>
      </w:r>
    </w:p>
    <w:p w14:paraId="3FD57AAA" w14:textId="77777777" w:rsidR="0028095B" w:rsidRPr="00AE4E8D" w:rsidRDefault="0028095B" w:rsidP="0028095B">
      <w:pPr>
        <w:pStyle w:val="BHTexto"/>
        <w:numPr>
          <w:ilvl w:val="0"/>
          <w:numId w:val="204"/>
        </w:numPr>
        <w:rPr>
          <w:lang w:val="es-ES"/>
        </w:rPr>
      </w:pPr>
      <w:r w:rsidRPr="00AE4E8D">
        <w:rPr>
          <w:lang w:val="es-ES"/>
        </w:rPr>
        <w:t>Comunicación “A” 5640 (6 de octubre de 2014), a través de la cual estableció una tasa de interés mínima (la cual no podrá ser inferior al producto entre la tasa de interés pasiva de referencia y un coeficiente establecido para cada plazo) para las imposiciones en pesos de personas humanas cuyo importe no supere lo cubierto por el Fondo de Garantía de los Depósitos.</w:t>
      </w:r>
    </w:p>
    <w:p w14:paraId="7BCFB2EE" w14:textId="77777777" w:rsidR="0028095B" w:rsidRPr="00AE4E8D" w:rsidRDefault="0028095B" w:rsidP="0028095B">
      <w:pPr>
        <w:pStyle w:val="BHTexto"/>
        <w:numPr>
          <w:ilvl w:val="0"/>
          <w:numId w:val="204"/>
        </w:numPr>
        <w:rPr>
          <w:lang w:val="es-ES"/>
        </w:rPr>
      </w:pPr>
      <w:r w:rsidRPr="00AE4E8D">
        <w:rPr>
          <w:lang w:val="es-ES"/>
        </w:rPr>
        <w:t>Comunicación “A” 5641 (6 de octubre de 2014), modificada por las Comunicaciones “A” 5659 y “A” 5943, la cual modificó el importe de la garantía de los depósitos alcanzados por el Fondo de Garantía de los Depósitos hasta la suma de Ps.450.000 y el aporte destinado a dicho fondo pasó del 0,015% al 0,06% del promedio mensual de saldos diarios sobre el total de los depósitos.</w:t>
      </w:r>
    </w:p>
    <w:p w14:paraId="6A10593B" w14:textId="77777777" w:rsidR="0028095B" w:rsidRPr="00AE4E8D" w:rsidRDefault="0028095B" w:rsidP="0028095B">
      <w:pPr>
        <w:pStyle w:val="BHTexto"/>
        <w:numPr>
          <w:ilvl w:val="0"/>
          <w:numId w:val="204"/>
        </w:numPr>
        <w:rPr>
          <w:lang w:val="es-ES"/>
        </w:rPr>
      </w:pPr>
      <w:r w:rsidRPr="00AE4E8D">
        <w:rPr>
          <w:lang w:val="es-ES"/>
        </w:rPr>
        <w:t xml:space="preserve">Comunicación “A” 5689 (8 de enero de 2015) dispuso que los bancos deberán considerar en sus estados financieros como “pérdidas” todas las sanciones recibidas de cualquier organismo de control, aun cuando existiesen medidas judiciales que les hubieran permitido suspender el pago. Dicha exigencia también es aplicable a las denuncias penales con sentencia judicial de primera instancia, debiendo los bancos exponer y hacer previsiones por el 100% de estas multas en sus estados contables, e informarlas por notas, en sus balances. </w:t>
      </w:r>
    </w:p>
    <w:p w14:paraId="103C278B" w14:textId="77777777" w:rsidR="0028095B" w:rsidRPr="00AE4E8D" w:rsidRDefault="0028095B" w:rsidP="0028095B">
      <w:pPr>
        <w:pStyle w:val="BHTexto"/>
        <w:numPr>
          <w:ilvl w:val="0"/>
          <w:numId w:val="204"/>
        </w:numPr>
        <w:rPr>
          <w:lang w:val="es-ES"/>
        </w:rPr>
      </w:pPr>
      <w:r w:rsidRPr="00AE4E8D">
        <w:rPr>
          <w:lang w:val="es-ES"/>
        </w:rPr>
        <w:t>Comunicación “A” 5747 (24 de abril de 2015), que extendió las líneas de créditos para inversión productiva. Para mayor información ver “Marco Regulatorio del Sistema Financiero Argentino”.</w:t>
      </w:r>
    </w:p>
    <w:p w14:paraId="6EC5C3AE" w14:textId="77777777" w:rsidR="0028095B" w:rsidRPr="00AE4E8D" w:rsidRDefault="0028095B" w:rsidP="0028095B">
      <w:pPr>
        <w:pStyle w:val="BHTexto"/>
        <w:numPr>
          <w:ilvl w:val="0"/>
          <w:numId w:val="204"/>
        </w:numPr>
        <w:rPr>
          <w:lang w:val="es-ES"/>
        </w:rPr>
      </w:pPr>
      <w:r w:rsidRPr="00AE4E8D">
        <w:rPr>
          <w:lang w:val="es-ES"/>
        </w:rPr>
        <w:t>Comunicación “A” 5781 (23 de julio de 2015), que estableció un tipo mínimo de interés que va desde 91% a 99% de la Tasa Lebac aplicable (el cual se determina en función del plazo con que fueron realizados los depósitos) que los bancos deben ofrecer para depósitos y balances diarios de hasta Ps.1.000.000.</w:t>
      </w:r>
    </w:p>
    <w:p w14:paraId="33F0CF4A" w14:textId="77777777" w:rsidR="0028095B" w:rsidRPr="00AE4E8D" w:rsidRDefault="0028095B" w:rsidP="0028095B">
      <w:pPr>
        <w:pStyle w:val="BHTexto"/>
        <w:numPr>
          <w:ilvl w:val="0"/>
          <w:numId w:val="204"/>
        </w:numPr>
        <w:rPr>
          <w:lang w:val="es-ES"/>
        </w:rPr>
      </w:pPr>
      <w:r w:rsidRPr="00AE4E8D">
        <w:rPr>
          <w:lang w:val="es-ES"/>
        </w:rPr>
        <w:t>Luego de múltiples ajustes regulatorios al límite y metodología permitidos a ser utilizados para calcular la posición global neta negativa de las instituciones, el BCRA emitió Comunicación "A" 6233 (28 de abril de 2017, entrando en vigencia el 1º de mayo de 2017),</w:t>
      </w:r>
      <w:r w:rsidR="0079210E" w:rsidRPr="00AE4E8D">
        <w:rPr>
          <w:lang w:val="es-ES"/>
        </w:rPr>
        <w:t xml:space="preserve"> </w:t>
      </w:r>
      <w:r w:rsidRPr="00AE4E8D">
        <w:rPr>
          <w:lang w:val="es-ES"/>
        </w:rPr>
        <w:t>mediante la cual se simplificó tanto el límite como el cálculo para su determinación disponiendo que dicha</w:t>
      </w:r>
      <w:r w:rsidR="0079210E" w:rsidRPr="00AE4E8D">
        <w:rPr>
          <w:lang w:val="es-ES"/>
        </w:rPr>
        <w:t xml:space="preserve"> </w:t>
      </w:r>
      <w:r w:rsidRPr="00AE4E8D">
        <w:rPr>
          <w:lang w:val="es-ES"/>
        </w:rPr>
        <w:t>posición –en promedio mensual de saldos diarios convertidos a pesos al tipo de cambio de referencia– no podrá superar el 30% de la responsabilidad patrimonial computable o los recursos propios líquidos de las entidades financieras, ambos del mes anterior, lo que sea menor.</w:t>
      </w:r>
      <w:r w:rsidR="0079210E" w:rsidRPr="00AE4E8D">
        <w:rPr>
          <w:lang w:val="es-ES"/>
        </w:rPr>
        <w:t xml:space="preserve"> </w:t>
      </w:r>
      <w:r w:rsidRPr="00AE4E8D">
        <w:rPr>
          <w:lang w:val="es-ES"/>
        </w:rPr>
        <w:t xml:space="preserve">Se entiende por recursos propios líquidos al exceso de responsabilidad patrimonial computable respecto de los </w:t>
      </w:r>
      <w:r w:rsidRPr="00AE4E8D">
        <w:rPr>
          <w:lang w:val="es-ES"/>
        </w:rPr>
        <w:lastRenderedPageBreak/>
        <w:t>activos inmovilizados y otros conceptos, computables de acuerdo con las normas sobre “Relación para los activos inmovilizados y otros conceptos”.</w:t>
      </w:r>
    </w:p>
    <w:p w14:paraId="384D2512" w14:textId="77777777" w:rsidR="0028095B" w:rsidRPr="00AE4E8D" w:rsidRDefault="0028095B" w:rsidP="0028095B">
      <w:pPr>
        <w:pStyle w:val="BHTexto"/>
        <w:numPr>
          <w:ilvl w:val="0"/>
          <w:numId w:val="204"/>
        </w:numPr>
        <w:rPr>
          <w:lang w:val="es-ES"/>
        </w:rPr>
      </w:pPr>
      <w:r w:rsidRPr="00AE4E8D">
        <w:rPr>
          <w:lang w:val="es-ES"/>
        </w:rPr>
        <w:t>Comunicación “A” 5853 (diciembre de 2015) derogó todas las regulaciones relativas a los límites en las tasas de interés fueron removidos y, como resultado, serán libremente negociadas entre las entidades financieras y sus clientes. Para las operaciones realizadas con posterioridad al 17 de diciembre de 2015, si las operaciones fueron acordadas antes de dicha fecha, las mismas deberán cumplir con lo dispuesto por la Comunicación "A" 5849. Asimismo, la Comunicación "A" 5853 fue derogada por la Comunicación "A" 5891 (la cual fue finalmente modificada por la Comunicación “A” 5990).</w:t>
      </w:r>
    </w:p>
    <w:p w14:paraId="0293FF8E" w14:textId="77777777" w:rsidR="0028095B" w:rsidRPr="00AE4E8D" w:rsidRDefault="0028095B" w:rsidP="0028095B">
      <w:pPr>
        <w:pStyle w:val="BHTexto"/>
        <w:numPr>
          <w:ilvl w:val="0"/>
          <w:numId w:val="204"/>
        </w:numPr>
        <w:rPr>
          <w:lang w:val="es-ES"/>
        </w:rPr>
      </w:pPr>
      <w:r w:rsidRPr="00AE4E8D">
        <w:rPr>
          <w:lang w:val="es-ES"/>
        </w:rPr>
        <w:t>Comunicación “A” 6212 (1º de abril de 2017), previó una reducción gradual de las tarifas de tarjetas de crédito y débito y redujo las comisiones para las ventas con tarjetas de crédito a 2,0% para el 2017, a 1.85% para el 2018, a 1,65% para el 2019, a 1,50% para el 2020 y 1,30% para el 2021 en adelante. Las comisiones por ventas de tarjetas de débito se redujeron al 1,0% para 2017, al 0,90% para el 2018, al 0,80% para el 2019, al 0,70% para el 2020 y 0,60% para el 2021 en adelante.</w:t>
      </w:r>
    </w:p>
    <w:p w14:paraId="02BFA02A" w14:textId="77777777" w:rsidR="0028095B" w:rsidRPr="00AE4E8D" w:rsidRDefault="0028095B" w:rsidP="0028095B">
      <w:pPr>
        <w:pStyle w:val="BHTexto"/>
        <w:rPr>
          <w:lang w:val="es-ES"/>
        </w:rPr>
      </w:pPr>
      <w:r w:rsidRPr="00AE4E8D">
        <w:rPr>
          <w:lang w:val="es-ES"/>
        </w:rPr>
        <w:t>Las leyes y reglamentaciones que actualmente rigen la economía y el sector financiero podrían cambiar en el futuro. No es posible asegurar que los cambios en las reglamentaciones y políticas del Gobierno Argentino no afectarán negativamente a las entidades financieras de Argentina, incluidos nosotros, nuestros negocios, situación patrimonial, los resultados de nuestras operaciones o nuestra capacidad de atender al servicio de la deuda externa denominada en moneda extranjera. Un marco regulatorio inestable podría imponer importantes limitaciones a las actividades del sistema financiero, incluidos nosotros, generando incertidumbre sobre nuestra situación patrimonial futura y los resultados de nuestras operaciones.</w:t>
      </w:r>
    </w:p>
    <w:p w14:paraId="0C7019DE" w14:textId="77777777" w:rsidR="0028095B" w:rsidRPr="00AE4E8D" w:rsidRDefault="0028095B" w:rsidP="0028095B">
      <w:pPr>
        <w:pStyle w:val="BH4Cursiva"/>
      </w:pPr>
      <w:r w:rsidRPr="00AE4E8D">
        <w:t>Si la implementación por parte de Argentina de ciertas recomendaciones para luchar contra el lavado de dinero y combatir la financiación del terrorismo (“</w:t>
      </w:r>
      <w:r w:rsidRPr="00AE4E8D">
        <w:rPr>
          <w:u w:val="single"/>
        </w:rPr>
        <w:t>AML/CFT</w:t>
      </w:r>
      <w:r w:rsidRPr="00AE4E8D">
        <w:t>”, según sus siglas en inglés) fuera insuficiente o incorrecta, Argentina podría tener dificultades para obtener financiación internacional o atraer inversiones extranjeras directas</w:t>
      </w:r>
    </w:p>
    <w:p w14:paraId="439D2360" w14:textId="77777777" w:rsidR="0028095B" w:rsidRPr="00AE4E8D" w:rsidRDefault="0028095B" w:rsidP="0028095B">
      <w:pPr>
        <w:pStyle w:val="BHTexto"/>
        <w:rPr>
          <w:lang w:val="es-ES"/>
        </w:rPr>
      </w:pPr>
      <w:r w:rsidRPr="00AE4E8D">
        <w:rPr>
          <w:lang w:val="es-ES"/>
        </w:rPr>
        <w:t>En octubre de 2010, el Grupo de Acción Financiera (“</w:t>
      </w:r>
      <w:r w:rsidRPr="00AE4E8D">
        <w:rPr>
          <w:u w:val="single"/>
          <w:lang w:val="es-ES"/>
        </w:rPr>
        <w:t>GAFI</w:t>
      </w:r>
      <w:r w:rsidRPr="00AE4E8D">
        <w:rPr>
          <w:lang w:val="es-ES"/>
        </w:rPr>
        <w:t>”) emitió un Informe de Evaluación Mutua (el “</w:t>
      </w:r>
      <w:r w:rsidRPr="00AE4E8D">
        <w:rPr>
          <w:u w:val="single"/>
          <w:lang w:val="es-ES"/>
        </w:rPr>
        <w:t>Informe Mutuo</w:t>
      </w:r>
      <w:r w:rsidRPr="00AE4E8D">
        <w:rPr>
          <w:lang w:val="es-ES"/>
        </w:rPr>
        <w:t xml:space="preserve">”) para luchar contra el lavado de dinero y combatir la financiación del terrorismo en Argentina, incluyendo la evaluación de Argentina al momento de la visita </w:t>
      </w:r>
      <w:r w:rsidRPr="00AE4E8D">
        <w:rPr>
          <w:i/>
          <w:lang w:val="es-ES"/>
        </w:rPr>
        <w:t>in situ</w:t>
      </w:r>
      <w:r w:rsidRPr="00AE4E8D">
        <w:rPr>
          <w:lang w:val="es-ES"/>
        </w:rPr>
        <w:t>, realizada en noviembre de 2009. Este informe indicó que desde la última evaluación, finalizada en junio de 2004, Argentina no había progresado adecuadamente en enfrentar una serie de deficiencias identificadas en ese momento, y desde entonces el GAFI ha colocado a Argentina en un proceso de monitoreo más estricto.</w:t>
      </w:r>
    </w:p>
    <w:p w14:paraId="7E62E1E5" w14:textId="77777777" w:rsidR="0028095B" w:rsidRPr="00AE4E8D" w:rsidRDefault="0028095B" w:rsidP="0028095B">
      <w:pPr>
        <w:pStyle w:val="BHTexto"/>
        <w:rPr>
          <w:lang w:val="es-ES"/>
        </w:rPr>
      </w:pPr>
      <w:r w:rsidRPr="00AE4E8D">
        <w:rPr>
          <w:lang w:val="es-ES"/>
        </w:rPr>
        <w:t>Asimismo, en febrero de 2011, Argentina, representada por el Ministro de Justicia, asistió al Plenario del GAFI en París, con el objeto de presentar un plan de acción preliminar. El GAFI concedió una prórroga para la implementación de los cambios. En junio de 2011, Argentina asumió el compromiso de trabajar en un alto nivel político con el GAFI para abordar sus deficiencias en materia de AML/CFT. En cumplimiento de las recomendaciones realizadas por el GAFI sobre prevención del lavado de dinero, el 1º de junio de 2011 el Congreso sancionó la Ley Nº26.683. Bajo esta ley, el lavado de dinero es ahora un delito en sí, y el auto-lavado de dinero también se considera un delito.</w:t>
      </w:r>
    </w:p>
    <w:p w14:paraId="32811BE2" w14:textId="77777777" w:rsidR="0028095B" w:rsidRPr="00AE4E8D" w:rsidRDefault="0028095B" w:rsidP="0028095B">
      <w:pPr>
        <w:pStyle w:val="BHTexto"/>
        <w:rPr>
          <w:lang w:val="es-ES"/>
        </w:rPr>
      </w:pPr>
      <w:r w:rsidRPr="00AE4E8D">
        <w:rPr>
          <w:lang w:val="es-ES"/>
        </w:rPr>
        <w:t>Adicionalmente, en junio de 2012 la reunión plenaria del GAFI celebrada en Roma destacó el progreso realizado por Argentina pero también instó al país a avanzar más en lo referente a las deficiencias de AML/CFT.</w:t>
      </w:r>
    </w:p>
    <w:p w14:paraId="1E177329" w14:textId="77777777" w:rsidR="0028095B" w:rsidRPr="00AE4E8D" w:rsidRDefault="0028095B" w:rsidP="0028095B">
      <w:pPr>
        <w:pStyle w:val="BHTexto"/>
        <w:rPr>
          <w:lang w:val="es-ES"/>
        </w:rPr>
      </w:pPr>
      <w:r w:rsidRPr="00AE4E8D">
        <w:rPr>
          <w:lang w:val="es-ES"/>
        </w:rPr>
        <w:t>No obstante las mejoras realizadas por Argentina, en octubre de 2012 el GAFI determinó que aún continuaban ciertas deficiencias de AML/CFT estratégicas, y que Argentina sería objeto de monitoreo permanente.</w:t>
      </w:r>
    </w:p>
    <w:p w14:paraId="04A9BF5E" w14:textId="77777777" w:rsidR="0028095B" w:rsidRPr="00AE4E8D" w:rsidRDefault="0028095B" w:rsidP="0028095B">
      <w:pPr>
        <w:pStyle w:val="BHTexto"/>
        <w:rPr>
          <w:lang w:val="es-ES"/>
        </w:rPr>
      </w:pPr>
      <w:r w:rsidRPr="00AE4E8D">
        <w:rPr>
          <w:lang w:val="es-ES"/>
        </w:rPr>
        <w:t xml:space="preserve">Desde octubre de 2013, Argentina ha dado pasos en pos de mejorar su régimen de AML/CFT, que incluyen la sanción de nuevas reglamentaciones que establecen requisitos más estrictos respecto de la información de operaciones sospechosas y amplían las facultades del ente regulador del sector financiero para aplicar sanciones por deficiencias de AML/CFT. Dicho avance ha sido reconocido por el GAFI. En este sentido, el GAFI (de acuerdo con su informe del 27 de junio de 2014) indicó que Argentina había realizado un importante avance en enfrentar las deficiencias de sus medidas sobre AML/CFT identificadas en el Informe Mutuo, y que luego de la adopción de dichas medidas, Argentina había fortalecido su margo legal y regulatorio, incluyendo entre otras disposiciones (i) la reforma e incremento de las sanciones por lavado de dinero, al ampliar el ámbito de partes informantes cubierto y transferir la supervisión de AML/CFT a la UIF; (ii) aumentar las sanciones por financiación del terrorismo, en </w:t>
      </w:r>
      <w:r w:rsidRPr="00AE4E8D">
        <w:rPr>
          <w:lang w:val="es-ES"/>
        </w:rPr>
        <w:lastRenderedPageBreak/>
        <w:t>especial criminalizando la financiación de actos terroristas, de terroristas y de organizaciones terroristas; (iii) emitir, a través de la UIF, una serie de resoluciones sobre debida diligencia del cliente (DDC) y requisitos de registro así como otras medidas sobre AML/CFT a ser adoptadas por las partes informantes; y (iv) crear un marco para cumplir con las Resoluciones Nº1267 y Nº1373 del Consejo de Seguridad de Naciones Unidas. Como resultado de dicho avance, el Plenario del GAFI decidió que Argentina había tomado medias suficientes para el cumplimiento técnico de las recomendaciones clave y principales para ser removida del proceso de monitoreo. Asimismo, el 24 de octubre de 2014, el GAFI elogió el importante avance realizado por Argentina para mejorar su régimen de AML/CFT, y destacó que Argentina había establecido el marco legal y regulatorio para cumplir los compromisos de su plan de acción respecto de las deficiencias estratégicas que el GAFI había identificado previamente en junio de 2011 y declaró que Argentina no estaría más sujeta al proceso de monitoreo de cumplimiento de las normas sobre AML/CFT del GAFI y que Argentina trabajaría con el GAFI y el Grupo de Acción Financiera de América del Sur (“</w:t>
      </w:r>
      <w:r w:rsidRPr="00AE4E8D">
        <w:rPr>
          <w:u w:val="single"/>
          <w:lang w:val="es-ES"/>
        </w:rPr>
        <w:t>GAFISUD</w:t>
      </w:r>
      <w:r w:rsidRPr="00AE4E8D">
        <w:rPr>
          <w:lang w:val="es-ES"/>
        </w:rPr>
        <w:t>”) en el seguimiento del amplio espectro de cuestiones de AML/CFT identificadas en su Informe Mutuo.</w:t>
      </w:r>
    </w:p>
    <w:p w14:paraId="7F1F39F5" w14:textId="77777777" w:rsidR="0028095B" w:rsidRPr="00AE4E8D" w:rsidRDefault="0028095B" w:rsidP="0028095B">
      <w:pPr>
        <w:pStyle w:val="BHTexto"/>
        <w:rPr>
          <w:lang w:val="es-ES"/>
        </w:rPr>
      </w:pPr>
      <w:r w:rsidRPr="00AE4E8D">
        <w:rPr>
          <w:lang w:val="es-ES"/>
        </w:rPr>
        <w:t>En febrero de 2016 se creó el "Programa de Coordinación Nacional para el Combate del Lavado de Activos y la Financiación del Terrorismo" mediante el Decreto Nº 360/2016 del Poder Ejecutivo Nacional como instrumento del Ministerio de Justicia y Derechos Humanos</w:t>
      </w:r>
      <w:r w:rsidR="00A85CFA">
        <w:rPr>
          <w:lang w:val="es-ES"/>
        </w:rPr>
        <w:t>, encargado</w:t>
      </w:r>
      <w:r w:rsidRPr="00AE4E8D">
        <w:rPr>
          <w:lang w:val="es-ES"/>
        </w:rPr>
        <w:t xml:space="preserve"> de reorganizar, coordinar y fortalecer el sistema nacional para el combate del lavado de dinero y la financiación del terrorismo, tomando en consideración los riesgos específicos que podrían </w:t>
      </w:r>
      <w:r w:rsidR="00A85CFA">
        <w:rPr>
          <w:lang w:val="es-ES"/>
        </w:rPr>
        <w:t>impactar</w:t>
      </w:r>
      <w:r w:rsidRPr="00AE4E8D">
        <w:rPr>
          <w:lang w:val="es-ES"/>
        </w:rPr>
        <w:t xml:space="preserve"> en Argentina y </w:t>
      </w:r>
      <w:r w:rsidR="00A85CFA">
        <w:rPr>
          <w:lang w:val="es-ES"/>
        </w:rPr>
        <w:t>el énfasis</w:t>
      </w:r>
      <w:r w:rsidRPr="00AE4E8D">
        <w:rPr>
          <w:lang w:val="es-ES"/>
        </w:rPr>
        <w:t xml:space="preserve"> global de</w:t>
      </w:r>
      <w:r w:rsidR="00A85CFA">
        <w:rPr>
          <w:lang w:val="es-ES"/>
        </w:rPr>
        <w:t xml:space="preserve"> desarrollar</w:t>
      </w:r>
      <w:r w:rsidRPr="00AE4E8D">
        <w:rPr>
          <w:lang w:val="es-ES"/>
        </w:rPr>
        <w:t xml:space="preserve"> un cumplimiento más efectivo reglamentos y las normas del GAFI. Además, se modificaron las normas pertinentes </w:t>
      </w:r>
      <w:r w:rsidR="00A85CFA">
        <w:rPr>
          <w:lang w:val="es-ES"/>
        </w:rPr>
        <w:t xml:space="preserve">para designar al </w:t>
      </w:r>
      <w:r w:rsidRPr="00AE4E8D">
        <w:rPr>
          <w:lang w:val="es-ES"/>
        </w:rPr>
        <w:t xml:space="preserve">Ministerio de Justicia y Derechos Humanos </w:t>
      </w:r>
      <w:r w:rsidR="00636AAD">
        <w:rPr>
          <w:lang w:val="es-ES"/>
        </w:rPr>
        <w:t xml:space="preserve">como coordinador a nivel nacional de </w:t>
      </w:r>
      <w:r w:rsidRPr="00AE4E8D">
        <w:rPr>
          <w:lang w:val="es-ES"/>
        </w:rPr>
        <w:t xml:space="preserve">las agencias y entidades públicas y privadas con competencia en esta materia, mientras que la UIF </w:t>
      </w:r>
      <w:r w:rsidR="00636AAD">
        <w:rPr>
          <w:lang w:val="es-ES"/>
        </w:rPr>
        <w:t>coordinará actividades relacionadas con temas financieros</w:t>
      </w:r>
      <w:r w:rsidRPr="00AE4E8D">
        <w:rPr>
          <w:lang w:val="es-ES"/>
        </w:rPr>
        <w:t>.</w:t>
      </w:r>
    </w:p>
    <w:p w14:paraId="6BFF70C6" w14:textId="77777777" w:rsidR="0028095B" w:rsidRPr="00AE4E8D" w:rsidRDefault="0028095B" w:rsidP="00636AAD">
      <w:pPr>
        <w:pStyle w:val="BHTexto"/>
        <w:rPr>
          <w:lang w:val="es-ES"/>
        </w:rPr>
      </w:pPr>
      <w:r w:rsidRPr="00AE4E8D">
        <w:rPr>
          <w:lang w:val="es-ES"/>
        </w:rPr>
        <w:t xml:space="preserve">Recientemente, en el contexto del programa de divulgación voluntaria bajo el régimen de sinceramiento fiscal argentino, la Ley N° 27.260 y su decreto reglamentario N° 895/2016 aclararon que la UIF tiene el poder de comunicar información a otras </w:t>
      </w:r>
      <w:r w:rsidR="00636AAD">
        <w:rPr>
          <w:lang w:val="es-ES"/>
        </w:rPr>
        <w:t xml:space="preserve">agencias que se encarguen de </w:t>
      </w:r>
      <w:r w:rsidRPr="00AE4E8D">
        <w:rPr>
          <w:lang w:val="es-ES"/>
        </w:rPr>
        <w:t>inteli</w:t>
      </w:r>
      <w:r w:rsidR="00636AAD">
        <w:rPr>
          <w:lang w:val="es-ES"/>
        </w:rPr>
        <w:t>gencia pública e investigación si</w:t>
      </w:r>
      <w:r w:rsidRPr="00AE4E8D">
        <w:rPr>
          <w:lang w:val="es-ES"/>
        </w:rPr>
        <w:t xml:space="preserve"> la UIF </w:t>
      </w:r>
      <w:r w:rsidR="00636AAD">
        <w:rPr>
          <w:lang w:val="es-ES"/>
        </w:rPr>
        <w:t>cuenta con</w:t>
      </w:r>
      <w:r w:rsidRPr="00AE4E8D">
        <w:rPr>
          <w:lang w:val="es-ES"/>
        </w:rPr>
        <w:t xml:space="preserve"> evidencia confiable </w:t>
      </w:r>
      <w:r w:rsidR="00636AAD">
        <w:rPr>
          <w:lang w:val="es-ES"/>
        </w:rPr>
        <w:t>de que han sido cometidos</w:t>
      </w:r>
      <w:r w:rsidRPr="00AE4E8D">
        <w:rPr>
          <w:lang w:val="es-ES"/>
        </w:rPr>
        <w:t xml:space="preserve"> crímenes bajo la Ley de Lavado de Activos. Además, de conformidad con la Resolución UIF Nº 92/2016, los agentes informadores deben implementar un sistema especial de gestión de riesgos</w:t>
      </w:r>
      <w:r w:rsidR="00636AAD">
        <w:rPr>
          <w:lang w:val="es-ES"/>
        </w:rPr>
        <w:t xml:space="preserve"> para abordar el cumplimiento de la ley así como reportar l</w:t>
      </w:r>
      <w:r w:rsidRPr="00AE4E8D">
        <w:rPr>
          <w:lang w:val="es-ES"/>
        </w:rPr>
        <w:t xml:space="preserve">as operaciones realizadas bajo </w:t>
      </w:r>
      <w:r w:rsidR="00636AAD">
        <w:rPr>
          <w:lang w:val="es-ES"/>
        </w:rPr>
        <w:t>e</w:t>
      </w:r>
      <w:r w:rsidRPr="00AE4E8D">
        <w:rPr>
          <w:lang w:val="es-ES"/>
        </w:rPr>
        <w:t>l régimen de sinceramiento fiscal.</w:t>
      </w:r>
    </w:p>
    <w:p w14:paraId="41965709" w14:textId="77777777" w:rsidR="0028095B" w:rsidRPr="00AE4E8D" w:rsidRDefault="0028095B" w:rsidP="0028095B">
      <w:pPr>
        <w:pStyle w:val="BHTexto"/>
        <w:rPr>
          <w:lang w:val="es-ES"/>
        </w:rPr>
      </w:pPr>
      <w:r w:rsidRPr="00AE4E8D">
        <w:rPr>
          <w:lang w:val="es-ES"/>
        </w:rPr>
        <w:t>Si bien Argentina ha realizado importantes mejoras en sus reglamentaciones sobre AML/CFT y ha dejado de estar sujeta al proceso de cumplimiento de AML/CFT global permanente, no pueden brindarse garantías de que Argentina continuará cumpliendo con las normas internacionales sobre AML/CFT en el futuro, o que la Argentina no estará sujeta al proceso global de monitoreo permanente de cumplimiento de las normas sobre AML/CFT del GAFI, lo cual podría afectar negativamente la capacidad de Argentina de obtener financiación de los mercados internacionales y atraer inversiones extranjeras.</w:t>
      </w:r>
    </w:p>
    <w:p w14:paraId="3F95DEE5" w14:textId="77777777" w:rsidR="0028095B" w:rsidRPr="00AE4E8D" w:rsidRDefault="0028095B" w:rsidP="0028095B">
      <w:pPr>
        <w:pStyle w:val="BH3Izquierda"/>
        <w:rPr>
          <w:lang w:val="es-ES"/>
        </w:rPr>
      </w:pPr>
      <w:r w:rsidRPr="00AE4E8D">
        <w:rPr>
          <w:lang w:val="es-ES"/>
        </w:rPr>
        <w:t>Riesgos Relacionados con Nuestros Negocios</w:t>
      </w:r>
    </w:p>
    <w:p w14:paraId="7394BCDF" w14:textId="77777777" w:rsidR="0028095B" w:rsidRPr="00AE4E8D" w:rsidRDefault="0028095B" w:rsidP="0028095B">
      <w:pPr>
        <w:keepNext/>
        <w:autoSpaceDE w:val="0"/>
        <w:autoSpaceDN w:val="0"/>
        <w:adjustRightInd w:val="0"/>
        <w:spacing w:after="120"/>
        <w:jc w:val="both"/>
        <w:outlineLvl w:val="3"/>
        <w:rPr>
          <w:rStyle w:val="BH4CursivaCar"/>
          <w:lang w:val="es-ES"/>
        </w:rPr>
      </w:pPr>
      <w:r w:rsidRPr="00AE4E8D">
        <w:rPr>
          <w:rStyle w:val="BH4CursivaCar"/>
          <w:lang w:val="es-ES"/>
        </w:rPr>
        <w:t>La calidad de nuestra cartera de préstamos podría deteriorarse si el sector privado argentino continúa</w:t>
      </w:r>
      <w:r w:rsidRPr="00AE4E8D">
        <w:rPr>
          <w:rFonts w:ascii="Times New Roman" w:hAnsi="Times New Roman"/>
          <w:b/>
          <w:i/>
          <w:lang w:val="es-ES"/>
        </w:rPr>
        <w:t xml:space="preserve"> </w:t>
      </w:r>
      <w:r w:rsidRPr="00AE4E8D">
        <w:rPr>
          <w:rStyle w:val="BH4CursivaCar"/>
          <w:lang w:val="es-ES"/>
        </w:rPr>
        <w:t>viéndose afectado en caso de una merma en el nivel de actividad</w:t>
      </w:r>
    </w:p>
    <w:p w14:paraId="2C1EB45E" w14:textId="77777777" w:rsidR="0028095B" w:rsidRPr="00AE4E8D" w:rsidRDefault="0028095B" w:rsidP="0028095B">
      <w:pPr>
        <w:pStyle w:val="BHTexto"/>
        <w:rPr>
          <w:lang w:val="es-ES"/>
        </w:rPr>
      </w:pPr>
      <w:r w:rsidRPr="00AE4E8D">
        <w:rPr>
          <w:lang w:val="es-ES"/>
        </w:rPr>
        <w:t>Nuestra cartera de préstamos está concentrada en los segmentos sensibles a la recesión, dependiendo en gran medida de las condiciones económicas locales e internacionales. Esta situación podría afectar la calidad crediticia de nuestra cartera de préstamos y nuestros resultados operativos.</w:t>
      </w:r>
    </w:p>
    <w:p w14:paraId="30FA4FA5" w14:textId="77777777" w:rsidR="0028095B" w:rsidRPr="00AE4E8D" w:rsidRDefault="0028095B" w:rsidP="0028095B">
      <w:pPr>
        <w:pStyle w:val="BH4Cursiva"/>
      </w:pPr>
      <w:r w:rsidRPr="00AE4E8D">
        <w:t>Una mayor competencia y fusiones en la industria bancaria podrían afectarnos de manera adversa</w:t>
      </w:r>
    </w:p>
    <w:p w14:paraId="0DCE2A16" w14:textId="77777777" w:rsidR="0028095B" w:rsidRPr="00AE4E8D" w:rsidRDefault="0028095B" w:rsidP="0028095B">
      <w:pPr>
        <w:autoSpaceDE w:val="0"/>
        <w:autoSpaceDN w:val="0"/>
        <w:adjustRightInd w:val="0"/>
        <w:spacing w:before="120" w:after="120"/>
        <w:jc w:val="both"/>
        <w:rPr>
          <w:rStyle w:val="BHTextoCar"/>
          <w:lang w:val="es-ES"/>
        </w:rPr>
      </w:pPr>
      <w:r w:rsidRPr="00AE4E8D">
        <w:rPr>
          <w:rFonts w:ascii="Times New Roman" w:hAnsi="Times New Roman"/>
          <w:lang w:val="es-ES"/>
        </w:rPr>
        <w:t xml:space="preserve">Esperamos que aumente la competencia en el sector bancario. Si la tendencia hacia la disminución de los </w:t>
      </w:r>
      <w:r w:rsidRPr="00AE4E8D">
        <w:rPr>
          <w:rStyle w:val="BHTextoCar"/>
          <w:lang w:val="es-ES"/>
        </w:rPr>
        <w:t>márgenes no es compensada por aumentos en los volúmenes de préstamos, las pérdidas resultantes podrían dar lugar fusiones en la industria. Las fusiones pueden derivar en la constitución de bancos más grandes y más fuertes, que pueden tener mayores recursos que el nuestro. En consecuencia, aunque la demanda de productos y servicios financieros continúe creciendo en el mercado, la competencia puede afectar de manera adversa los resultados de nuestras operaciones disminuyendo los márgenes netos y comisiones que podemos generar. Para mayor información véase “El Sistema Bancario Argentino”.</w:t>
      </w:r>
    </w:p>
    <w:p w14:paraId="393149DC" w14:textId="77777777" w:rsidR="0028095B" w:rsidRPr="00AE4E8D" w:rsidRDefault="0028095B" w:rsidP="0028095B">
      <w:pPr>
        <w:pStyle w:val="BH4Cursiva"/>
      </w:pPr>
      <w:r w:rsidRPr="00AE4E8D">
        <w:lastRenderedPageBreak/>
        <w:t>La reducción de los márgenes entre las tasas de interés recibidas por préstamos y las pagadas sobre los depósitos sin los correspondientes incrementos en los volúmenes de préstamos podría afectar en forma adversa nuestra rentabilidad</w:t>
      </w:r>
    </w:p>
    <w:p w14:paraId="32EB5BC8" w14:textId="77777777" w:rsidR="0028095B" w:rsidRPr="00AE4E8D" w:rsidRDefault="0028095B" w:rsidP="0028095B">
      <w:pPr>
        <w:pStyle w:val="BHTexto"/>
        <w:rPr>
          <w:lang w:val="es-ES"/>
        </w:rPr>
      </w:pPr>
      <w:r w:rsidRPr="00AE4E8D">
        <w:rPr>
          <w:lang w:val="es-ES"/>
        </w:rPr>
        <w:t>El margen del sistema financiero argentino entre las tasas de interés de préstamos y depósitos podría verse afectado como consecuencia de una mayor competencia en el sector bancario y de políticas monetarias restrictivas impuestas por el Gobierno Argentino en respuesta al contexto inflacionario.</w:t>
      </w:r>
    </w:p>
    <w:p w14:paraId="0A2CDFDA" w14:textId="77777777" w:rsidR="0028095B" w:rsidRPr="00AE4E8D" w:rsidRDefault="0028095B" w:rsidP="0028095B">
      <w:pPr>
        <w:pStyle w:val="BHTexto"/>
        <w:rPr>
          <w:lang w:val="es-ES"/>
        </w:rPr>
      </w:pPr>
      <w:r w:rsidRPr="00AE4E8D">
        <w:rPr>
          <w:lang w:val="es-ES"/>
        </w:rPr>
        <w:t>Desde 2009, los márgenes de las tasas de interés en todo el sistema financiero argentino han aumentado en forma generalizada. Este aumento fue sostenido por una demanda constante de préstamos de consumo en los últimos años. En 2013 y 2014, las tasas pasivas y activas aumentaron significativamente. Sin embargo, el margen de interés neto del sistema financiero argentino permaneció estable debido al gran crecimiento de las carteras de préstamos y depósitos.</w:t>
      </w:r>
    </w:p>
    <w:p w14:paraId="769459A7" w14:textId="77777777" w:rsidR="0028095B" w:rsidRPr="00AE4E8D" w:rsidRDefault="0028095B" w:rsidP="0028095B">
      <w:pPr>
        <w:pStyle w:val="BHTexto"/>
        <w:rPr>
          <w:lang w:val="es-ES"/>
        </w:rPr>
      </w:pPr>
      <w:r w:rsidRPr="00AE4E8D">
        <w:rPr>
          <w:lang w:val="es-ES"/>
        </w:rPr>
        <w:t>En junio de 2014, el BCRA estableció un sistema de tasas activas de referencia máximas para préstamos de consumo y préstamos garantizados, y en octubre de 2014, fijó un nuevo mecanismo de reglamentación estableciendo una base de depósitos mínima para ciertos depósitos de personas humanas. A partir del 17 de diciembre de 2015 estos límites fueron eliminados por la nueva administración.</w:t>
      </w:r>
    </w:p>
    <w:p w14:paraId="344042FF" w14:textId="77777777" w:rsidR="0028095B" w:rsidRPr="00AE4E8D" w:rsidRDefault="0028095B" w:rsidP="0028095B">
      <w:pPr>
        <w:pStyle w:val="BHTexto"/>
        <w:rPr>
          <w:lang w:val="es-ES"/>
        </w:rPr>
      </w:pPr>
      <w:r w:rsidRPr="00AE4E8D">
        <w:rPr>
          <w:lang w:val="es-ES"/>
        </w:rPr>
        <w:t>No es posible asegurar que se mantendrán estables los márgenes de tasa de interés a menos que se produzcan aumentos en los préstamos o una reducción adicional de costos. La reversión de esta tendencia o nuevas reglamentaciones que impongan tasas activas de referencia máximas, podrían afectar negativamente nuestra rentabilidad.</w:t>
      </w:r>
    </w:p>
    <w:p w14:paraId="2056F6B2" w14:textId="77777777" w:rsidR="0028095B" w:rsidRPr="00AE4E8D" w:rsidRDefault="0028095B" w:rsidP="0028095B">
      <w:pPr>
        <w:pStyle w:val="BH4Cursiva"/>
      </w:pPr>
      <w:r w:rsidRPr="00AE4E8D">
        <w:t>El BCRA podría objetar nuestra actividad aseguradora</w:t>
      </w:r>
    </w:p>
    <w:p w14:paraId="4342DE22" w14:textId="77777777" w:rsidR="0028095B" w:rsidRPr="00AE4E8D" w:rsidRDefault="0028095B" w:rsidP="0028095B">
      <w:pPr>
        <w:pStyle w:val="BHTexto"/>
        <w:rPr>
          <w:lang w:val="es-ES"/>
        </w:rPr>
      </w:pPr>
      <w:r w:rsidRPr="00AE4E8D">
        <w:rPr>
          <w:lang w:val="es-ES"/>
        </w:rPr>
        <w:t>El 2 de diciembre de 2015, el Banco tomó conocimiento de una observación de la Superintendencia de Entidades Financieras del BCRA relacionada con la participación del 100% directa e indirecta que Banco Hipotecario S.A. detenta sobre las compañías BHN Vida S.A. y BHN Seguros Generales S.A., alegando la aplicación de las normas sobre graduación del crédito que limitan al 12,5% la participación en el capital y votos de otras empresas. El Banco ha planteado la revisión de dicha observación en virtud de que se trata de una actividad autorizada, por la Ley de Privatización N° 24.855 (“</w:t>
      </w:r>
      <w:r w:rsidRPr="00AE4E8D">
        <w:rPr>
          <w:u w:val="single"/>
          <w:lang w:val="es-ES"/>
        </w:rPr>
        <w:t>Ley de Privatización</w:t>
      </w:r>
      <w:r w:rsidRPr="00AE4E8D">
        <w:rPr>
          <w:lang w:val="es-ES"/>
        </w:rPr>
        <w:t>”) y sus disposiciones reglamentarias, especialmente el Decreto N° 1394/98. Al 30 de junio de 2017</w:t>
      </w:r>
      <w:r w:rsidRPr="00AE4E8D">
        <w:rPr>
          <w:lang w:val="es-ES" w:eastAsia="es-AR"/>
        </w:rPr>
        <w:t>,</w:t>
      </w:r>
      <w:r w:rsidRPr="00AE4E8D">
        <w:rPr>
          <w:lang w:val="es-ES"/>
        </w:rPr>
        <w:t xml:space="preserve"> el Banco ha intercambiado notas con el BCRA, encontrándose dicha revisión pendiente de decisión por parte de la autoridad máxima de dicha entidad. Recientemente, la Procuración General del Tesoro emitió un dictamen favorable en línea con las fundaciones del Banco sosteniendo, entre otras consideraciones, que las Reglas de Basilea permitieron la actividad aseguradora de los bancos. Hemos enviado este informe al </w:t>
      </w:r>
      <w:r w:rsidR="004D7B80">
        <w:rPr>
          <w:lang w:val="es-ES"/>
        </w:rPr>
        <w:t>BCRA</w:t>
      </w:r>
      <w:r w:rsidRPr="00AE4E8D">
        <w:rPr>
          <w:lang w:val="es-ES"/>
        </w:rPr>
        <w:t xml:space="preserve"> para resolver el problema. Consideramos que nuestros argumentos son sólidos para rebatir la objeción del BCRA y que queda por delante agotar las vías administrativas y judiciales, en caso que se resolviera desfavorablemente, podría verse afectado el resultado de nuestras operaciones. </w:t>
      </w:r>
    </w:p>
    <w:p w14:paraId="7750A586" w14:textId="77777777" w:rsidR="0028095B" w:rsidRPr="00AE4E8D" w:rsidRDefault="0028095B" w:rsidP="0028095B">
      <w:pPr>
        <w:keepNext/>
        <w:autoSpaceDE w:val="0"/>
        <w:autoSpaceDN w:val="0"/>
        <w:adjustRightInd w:val="0"/>
        <w:spacing w:after="120"/>
        <w:jc w:val="both"/>
        <w:outlineLvl w:val="3"/>
        <w:rPr>
          <w:rStyle w:val="BH4CursivaCar"/>
          <w:lang w:val="es-ES"/>
        </w:rPr>
      </w:pPr>
      <w:r w:rsidRPr="00AE4E8D">
        <w:rPr>
          <w:rFonts w:ascii="Times New Roman" w:hAnsi="Times New Roman"/>
          <w:b/>
          <w:i/>
          <w:lang w:val="es-ES"/>
        </w:rPr>
        <w:t xml:space="preserve">Las diferencias en las normas contables entre Argentina y ciertos países con mercados de capitales </w:t>
      </w:r>
      <w:r w:rsidRPr="00AE4E8D">
        <w:rPr>
          <w:rStyle w:val="BH4CursivaCar"/>
          <w:lang w:val="es-ES"/>
        </w:rPr>
        <w:t>desarrollados, como Estados Unidos de América, pueden dificultar la comparación de nuestros estados contables y los informados por empresas de esos países</w:t>
      </w:r>
    </w:p>
    <w:p w14:paraId="6BEB0A73" w14:textId="77777777" w:rsidR="0028095B" w:rsidRPr="00AE4E8D" w:rsidRDefault="0028095B" w:rsidP="00550B89">
      <w:pPr>
        <w:pStyle w:val="BHTexto"/>
        <w:rPr>
          <w:lang w:val="es-ES"/>
        </w:rPr>
      </w:pPr>
      <w:r w:rsidRPr="00AE4E8D">
        <w:rPr>
          <w:lang w:val="es-ES"/>
        </w:rPr>
        <w:t xml:space="preserve">La información de dominio público sobre nosotros en la Argentina se expone de modo diferente que aquella propia de las empresas bajo el régimen de la oferta pública registradas en ciertos países con mercados de capitales desarrollados, como Estados Unidos de América. Excepto que se indique lo contrario en el presente, preparamos nuestros estados contables de conformidad con las Normas Contables del BCRA, que difieren en ciertos aspectos significativos de los PCGA de Argentina y NIIF. Por ende, nuestros estados contables y utilidades informadas no son directamente comparables con las de los bancos de Estados Unidos de América. </w:t>
      </w:r>
      <w:r w:rsidR="00550B89" w:rsidRPr="00550B89">
        <w:rPr>
          <w:lang w:val="es-ES"/>
        </w:rPr>
        <w:t xml:space="preserve">Hemos comenzado a tomar medidas diseñadas para garantizar el cumplimiento de los requisitos para la convergencia </w:t>
      </w:r>
      <w:r w:rsidRPr="00AE4E8D">
        <w:rPr>
          <w:lang w:val="es-ES"/>
        </w:rPr>
        <w:t>hacia las</w:t>
      </w:r>
      <w:r w:rsidR="00550B89">
        <w:rPr>
          <w:lang w:val="es-ES"/>
        </w:rPr>
        <w:t xml:space="preserve"> normas contables</w:t>
      </w:r>
      <w:r w:rsidRPr="00AE4E8D">
        <w:rPr>
          <w:lang w:val="es-ES"/>
        </w:rPr>
        <w:t xml:space="preserve"> NIIF de acuerdo con las </w:t>
      </w:r>
      <w:r w:rsidR="00550B89">
        <w:rPr>
          <w:lang w:val="es-ES"/>
        </w:rPr>
        <w:t>Normas Contables</w:t>
      </w:r>
      <w:r w:rsidRPr="00AE4E8D">
        <w:rPr>
          <w:lang w:val="es-ES"/>
        </w:rPr>
        <w:t xml:space="preserve"> del BCRA. Véase "Resumen Financiero y Otra Información" y la Nota </w:t>
      </w:r>
      <w:r w:rsidR="001D2931" w:rsidRPr="00AE4E8D">
        <w:rPr>
          <w:lang w:val="es-ES"/>
        </w:rPr>
        <w:t>4</w:t>
      </w:r>
      <w:r w:rsidRPr="00AE4E8D">
        <w:rPr>
          <w:lang w:val="es-ES"/>
        </w:rPr>
        <w:t xml:space="preserve"> “Conciliación de los saldos al marco contable aplicable para la convergencia hacia las NIIF” de nuestros estados financieros no auditados para el período de seis meses finalizado el 30 de junio de 2017 para una descripción de la convergencia </w:t>
      </w:r>
      <w:r w:rsidR="00550B89">
        <w:rPr>
          <w:lang w:val="es-ES"/>
        </w:rPr>
        <w:t xml:space="preserve">a normas contables NIIF </w:t>
      </w:r>
      <w:r w:rsidRPr="00AE4E8D">
        <w:rPr>
          <w:lang w:val="es-ES"/>
        </w:rPr>
        <w:t xml:space="preserve">de acuerdo con las </w:t>
      </w:r>
      <w:r w:rsidR="00550B89">
        <w:rPr>
          <w:lang w:val="es-ES"/>
        </w:rPr>
        <w:t xml:space="preserve">Normas Contables del </w:t>
      </w:r>
      <w:r w:rsidR="004D7B80">
        <w:rPr>
          <w:lang w:val="es-ES"/>
        </w:rPr>
        <w:t>BCRA</w:t>
      </w:r>
      <w:r w:rsidRPr="00AE4E8D">
        <w:rPr>
          <w:lang w:val="es-ES"/>
        </w:rPr>
        <w:t>.</w:t>
      </w:r>
    </w:p>
    <w:p w14:paraId="32FCD8E3" w14:textId="77777777" w:rsidR="0028095B" w:rsidRPr="00AE4E8D" w:rsidRDefault="0028095B" w:rsidP="0028095B">
      <w:pPr>
        <w:pStyle w:val="BH4Cursiva"/>
      </w:pPr>
      <w:r w:rsidRPr="00AE4E8D">
        <w:t>Debido al descalce de activos y pasivos en términos de moneda extranjera, tenemos una significativa exposición a la moneda extranjera</w:t>
      </w:r>
    </w:p>
    <w:p w14:paraId="291940BA" w14:textId="77777777" w:rsidR="0028095B" w:rsidRPr="00AE4E8D" w:rsidRDefault="0028095B" w:rsidP="0028095B">
      <w:pPr>
        <w:pStyle w:val="BHTexto"/>
        <w:rPr>
          <w:lang w:val="es-ES"/>
        </w:rPr>
      </w:pPr>
      <w:r w:rsidRPr="00AE4E8D">
        <w:rPr>
          <w:lang w:val="es-ES"/>
        </w:rPr>
        <w:t xml:space="preserve">Nuestros pasivos en moneda extranjera superaban al 30 de junio de 2017 a nuestros activos en moneda extranjera por Ps. 1.324,6 millones (tomando en cuenta compras y ventas a término valuadas a precio de mercado). Con el fin de cubrir dicha exposición, mantenemos posiciones de futuros de cambio concertados en el mercado local. Cualquier potencial descalce nos podría exponer a un riesgo de </w:t>
      </w:r>
      <w:r w:rsidRPr="00AE4E8D">
        <w:rPr>
          <w:lang w:val="es-ES"/>
        </w:rPr>
        <w:lastRenderedPageBreak/>
        <w:t xml:space="preserve">volatilidad del tipo de cambio que podría afectar de modo negativo nuestros resultados financieros ante la volatilidad en el valor del Peso. Por ejemplo, una disminución en nuestra capacidad para mantener una posición adecuada en futuros de moneda extranjera, debido a cambios en las regulaciones o en las condiciones de mercado, podrían incrementar el potencial descalce incrementando la exposición en moneda extranjera. </w:t>
      </w:r>
    </w:p>
    <w:p w14:paraId="48D4E541" w14:textId="77777777" w:rsidR="0028095B" w:rsidRPr="00AE4E8D" w:rsidRDefault="0028095B" w:rsidP="0028095B">
      <w:pPr>
        <w:pStyle w:val="BH4Cursiva"/>
      </w:pPr>
      <w:r w:rsidRPr="00AE4E8D">
        <w:t>El crecimiento de nuestra cartera de préstamos podría exponernos a mayores niveles de incobrabilidad de préstamos</w:t>
      </w:r>
    </w:p>
    <w:p w14:paraId="2A6BC59B" w14:textId="77777777" w:rsidR="0028095B" w:rsidRPr="00AE4E8D" w:rsidRDefault="0028095B" w:rsidP="0028095B">
      <w:pPr>
        <w:pStyle w:val="BHTexto"/>
        <w:rPr>
          <w:lang w:val="es-ES"/>
        </w:rPr>
      </w:pPr>
      <w:r w:rsidRPr="00AE4E8D">
        <w:rPr>
          <w:lang w:val="es-ES"/>
        </w:rPr>
        <w:t>Durante el período comprendido entre el 31 de diciembre de 2013 y el 30 de junio de 2017, nuestra cartera de préstamos al sector privado no financiero y residentes del exterior creció 142,2%, de Ps.12.928,6 millones al 31 de diciembre de 2013 a Ps. 31.316,1 millones al 30 de junio de 2017. Durante ese período, nuestra cartera de préstamos corporativos creció 150,2%, de Ps.3.578</w:t>
      </w:r>
      <w:proofErr w:type="gramStart"/>
      <w:r w:rsidRPr="00AE4E8D">
        <w:rPr>
          <w:lang w:val="es-ES"/>
        </w:rPr>
        <w:t>,6</w:t>
      </w:r>
      <w:proofErr w:type="gramEnd"/>
      <w:r w:rsidRPr="00AE4E8D">
        <w:rPr>
          <w:lang w:val="es-ES"/>
        </w:rPr>
        <w:t xml:space="preserve"> millones a Ps. 8.955,1 millones, y nuestra cartera de préstamos de consumo aumentó 170,7%, de Ps.7.003,9 millones a Ps. 18.962,4 millones. La expansión de nuestra cartera de préstamos (en especial en los segmentos comerciales y de consumo) podría exponernos a </w:t>
      </w:r>
      <w:proofErr w:type="gramStart"/>
      <w:r w:rsidRPr="00AE4E8D">
        <w:rPr>
          <w:lang w:val="es-ES"/>
        </w:rPr>
        <w:t>un mayores niveles</w:t>
      </w:r>
      <w:proofErr w:type="gramEnd"/>
      <w:r w:rsidRPr="00AE4E8D">
        <w:rPr>
          <w:lang w:val="es-ES"/>
        </w:rPr>
        <w:t xml:space="preserve"> de incobrabilidad de préstamos y obligarnos a establecer mayores niveles de previsiones por incobrabilidad, en particular si nuestros préstamos a prestatarios en ciertas industrias más riesgosas no tienen el desempeño esperado. </w:t>
      </w:r>
    </w:p>
    <w:p w14:paraId="0388A0BB" w14:textId="77777777" w:rsidR="0028095B" w:rsidRPr="00AE4E8D" w:rsidRDefault="0028095B" w:rsidP="0028095B">
      <w:pPr>
        <w:pStyle w:val="BH4Cursiva"/>
      </w:pPr>
      <w:r w:rsidRPr="00AE4E8D">
        <w:t>Nuestra exposición a personas humanas podría dar lugar a mayores niveles de morosidad, previsiones por riesgo de incobrabilidad y castigos</w:t>
      </w:r>
    </w:p>
    <w:p w14:paraId="2B8ADC1C" w14:textId="77777777" w:rsidR="0028095B" w:rsidRPr="00AE4E8D" w:rsidRDefault="0028095B" w:rsidP="0028095B">
      <w:pPr>
        <w:pStyle w:val="BHTexto"/>
        <w:rPr>
          <w:lang w:val="es-ES"/>
        </w:rPr>
      </w:pPr>
      <w:r w:rsidRPr="00AE4E8D">
        <w:rPr>
          <w:lang w:val="es-ES"/>
        </w:rPr>
        <w:t xml:space="preserve">La gran mayoría de nuestros préstamos consiste de personas humanas en los segmentos de ingresos medios-bajos a ingresos medios de la población argentina. Al 30 de junio de 2017, los préstamos a personas humanas representaron el 61,6% de nuestra cartera de préstamos a dicha fecha. Asimismo, uno de los importantes aspectos de nuestra estrategia consiste en aumentar el volumen de préstamos y la prestación de otros servicios a estos segmentos de clientes y captar clientes nuevos dentro de esta categoría. La calidad de nuestra cartera de préstamos a personas humanas depende en gran medida de la situación económica imperante periódicamente en Argentina. Las personas de ingresos medios-bajos a medios son más proclives a ser afectadas más severamente por los acontecimientos adversos de la economía argentina que las grandes empresas y las personas de ingresos altos. Por ende, la actividad crediticia dentro de estos segmentos representa un grado de riesgo mayor que en otros segmentos de mercado. En consecuencia, podríamos experimentar mayores niveles de morosidad, generando mayores previsiones por incobrabilidad. En consecuencia, no puede garantizarse que los niveles de morosidad pasados y los castigos subsiguientes no sean significativamente mayores en el futuro. </w:t>
      </w:r>
    </w:p>
    <w:p w14:paraId="092ADE2A" w14:textId="77777777" w:rsidR="0028095B" w:rsidRPr="00AE4E8D" w:rsidRDefault="0028095B" w:rsidP="0028095B">
      <w:pPr>
        <w:pStyle w:val="BH4Cursiva"/>
      </w:pPr>
      <w:r w:rsidRPr="00AE4E8D">
        <w:t>La sociedad controlada Tarshop S.A. ha tenido resultados negativos y se encuentra en proceso de readecuación de sus operaciones.</w:t>
      </w:r>
    </w:p>
    <w:p w14:paraId="4C99A961" w14:textId="77777777" w:rsidR="0028095B" w:rsidRPr="00AE4E8D" w:rsidRDefault="0028095B" w:rsidP="0028095B">
      <w:pPr>
        <w:pStyle w:val="BHTexto"/>
      </w:pPr>
      <w:r w:rsidRPr="00AE4E8D">
        <w:t>Tarshop S.A., ha tenido resultados negativos</w:t>
      </w:r>
      <w:r w:rsidRPr="00AE4E8D">
        <w:rPr>
          <w:lang w:val="es-ES"/>
        </w:rPr>
        <w:t xml:space="preserve"> </w:t>
      </w:r>
      <w:r w:rsidRPr="00AE4E8D">
        <w:t xml:space="preserve">para los ejercicios anuales 2014, 2015 y 2016 por </w:t>
      </w:r>
      <w:r w:rsidRPr="00AE4E8D">
        <w:rPr>
          <w:lang w:val="es-ES"/>
        </w:rPr>
        <w:t>Ps.</w:t>
      </w:r>
      <w:r w:rsidRPr="00AE4E8D">
        <w:t>111</w:t>
      </w:r>
      <w:r w:rsidRPr="00AE4E8D">
        <w:rPr>
          <w:lang w:val="es-ES"/>
        </w:rPr>
        <w:t>,</w:t>
      </w:r>
      <w:r w:rsidRPr="00AE4E8D">
        <w:t>0</w:t>
      </w:r>
      <w:r w:rsidRPr="00AE4E8D">
        <w:rPr>
          <w:lang w:val="es-ES"/>
        </w:rPr>
        <w:t xml:space="preserve"> millones</w:t>
      </w:r>
      <w:r w:rsidRPr="00AE4E8D">
        <w:t xml:space="preserve">, </w:t>
      </w:r>
      <w:r w:rsidRPr="00AE4E8D">
        <w:rPr>
          <w:lang w:val="es-ES"/>
        </w:rPr>
        <w:t>Ps.</w:t>
      </w:r>
      <w:r w:rsidRPr="00AE4E8D">
        <w:t>70</w:t>
      </w:r>
      <w:r w:rsidRPr="00AE4E8D">
        <w:rPr>
          <w:lang w:val="es-ES"/>
        </w:rPr>
        <w:t>,4 millones</w:t>
      </w:r>
      <w:r w:rsidRPr="00AE4E8D">
        <w:t xml:space="preserve"> y </w:t>
      </w:r>
      <w:r w:rsidRPr="00AE4E8D">
        <w:rPr>
          <w:lang w:val="es-ES"/>
        </w:rPr>
        <w:t xml:space="preserve">Ps. </w:t>
      </w:r>
      <w:r w:rsidRPr="00AE4E8D">
        <w:t>4</w:t>
      </w:r>
      <w:r w:rsidRPr="00AE4E8D">
        <w:rPr>
          <w:lang w:val="es-ES"/>
        </w:rPr>
        <w:t>,1 millones</w:t>
      </w:r>
      <w:r w:rsidRPr="00AE4E8D">
        <w:t xml:space="preserve">, respectivamente, y por las sumas de </w:t>
      </w:r>
      <w:r w:rsidRPr="00AE4E8D">
        <w:rPr>
          <w:lang w:val="es-ES"/>
        </w:rPr>
        <w:t>Ps.</w:t>
      </w:r>
      <w:r w:rsidRPr="00AE4E8D">
        <w:t>95</w:t>
      </w:r>
      <w:r w:rsidRPr="00AE4E8D">
        <w:rPr>
          <w:lang w:val="es-ES"/>
        </w:rPr>
        <w:t>,</w:t>
      </w:r>
      <w:r w:rsidRPr="00AE4E8D">
        <w:t>9</w:t>
      </w:r>
      <w:r w:rsidRPr="00AE4E8D">
        <w:rPr>
          <w:lang w:val="es-ES"/>
        </w:rPr>
        <w:t xml:space="preserve"> millones</w:t>
      </w:r>
      <w:r w:rsidRPr="00AE4E8D">
        <w:t xml:space="preserve"> y (</w:t>
      </w:r>
      <w:r w:rsidRPr="00AE4E8D">
        <w:rPr>
          <w:lang w:val="es-ES"/>
        </w:rPr>
        <w:t>Ps.</w:t>
      </w:r>
      <w:r w:rsidRPr="00AE4E8D">
        <w:t>65</w:t>
      </w:r>
      <w:r w:rsidRPr="00AE4E8D">
        <w:rPr>
          <w:lang w:val="es-ES"/>
        </w:rPr>
        <w:t>,</w:t>
      </w:r>
      <w:r w:rsidRPr="00AE4E8D">
        <w:t>8</w:t>
      </w:r>
      <w:r w:rsidRPr="00AE4E8D">
        <w:rPr>
          <w:lang w:val="es-ES"/>
        </w:rPr>
        <w:t>) millones</w:t>
      </w:r>
      <w:r w:rsidRPr="00AE4E8D">
        <w:t>, para los períodos de seis meses finalizados al 30 de junio de 2016 y 30 de junio de 2017, respectivamente. Asimismo, sus activos ascendí</w:t>
      </w:r>
      <w:r w:rsidRPr="00AE4E8D">
        <w:rPr>
          <w:lang w:val="es-ES"/>
        </w:rPr>
        <w:t>an</w:t>
      </w:r>
      <w:r w:rsidRPr="00AE4E8D">
        <w:t xml:space="preserve"> a </w:t>
      </w:r>
      <w:r w:rsidRPr="00AE4E8D">
        <w:rPr>
          <w:lang w:val="es-ES"/>
        </w:rPr>
        <w:t>Ps.</w:t>
      </w:r>
      <w:r w:rsidRPr="00AE4E8D">
        <w:t>1.545</w:t>
      </w:r>
      <w:r w:rsidRPr="00AE4E8D">
        <w:rPr>
          <w:lang w:val="es-ES"/>
        </w:rPr>
        <w:t>,</w:t>
      </w:r>
      <w:r w:rsidRPr="00AE4E8D">
        <w:t>5</w:t>
      </w:r>
      <w:r w:rsidRPr="00AE4E8D">
        <w:rPr>
          <w:lang w:val="es-AR"/>
        </w:rPr>
        <w:t xml:space="preserve"> millones</w:t>
      </w:r>
      <w:r w:rsidRPr="00AE4E8D">
        <w:t xml:space="preserve">, </w:t>
      </w:r>
      <w:r w:rsidRPr="00AE4E8D">
        <w:rPr>
          <w:lang w:val="es-ES"/>
        </w:rPr>
        <w:t>Ps.</w:t>
      </w:r>
      <w:r w:rsidRPr="00AE4E8D">
        <w:t>3.317</w:t>
      </w:r>
      <w:r w:rsidRPr="00AE4E8D">
        <w:rPr>
          <w:lang w:val="es-ES"/>
        </w:rPr>
        <w:t>,</w:t>
      </w:r>
      <w:r w:rsidRPr="00AE4E8D">
        <w:t xml:space="preserve">6 </w:t>
      </w:r>
      <w:r w:rsidRPr="00AE4E8D">
        <w:rPr>
          <w:lang w:val="es-ES"/>
        </w:rPr>
        <w:t xml:space="preserve">millones </w:t>
      </w:r>
      <w:r w:rsidRPr="00AE4E8D">
        <w:t xml:space="preserve">y </w:t>
      </w:r>
      <w:r w:rsidRPr="00AE4E8D">
        <w:rPr>
          <w:lang w:val="es-ES"/>
        </w:rPr>
        <w:t>Ps.</w:t>
      </w:r>
      <w:r w:rsidRPr="00AE4E8D">
        <w:t>5.341</w:t>
      </w:r>
      <w:r w:rsidRPr="00AE4E8D">
        <w:rPr>
          <w:lang w:val="es-ES"/>
        </w:rPr>
        <w:t>,</w:t>
      </w:r>
      <w:r w:rsidRPr="00AE4E8D">
        <w:t>8</w:t>
      </w:r>
      <w:r w:rsidRPr="00AE4E8D">
        <w:rPr>
          <w:lang w:val="es-AR"/>
        </w:rPr>
        <w:t xml:space="preserve"> millones</w:t>
      </w:r>
      <w:r w:rsidRPr="00AE4E8D">
        <w:t xml:space="preserve">, para los ejercicios anuales 2014, 2015 y 2016 respectivamente, y a las sumas de </w:t>
      </w:r>
      <w:r w:rsidRPr="00AE4E8D">
        <w:rPr>
          <w:lang w:val="es-ES"/>
        </w:rPr>
        <w:t>Ps.</w:t>
      </w:r>
      <w:r w:rsidRPr="00AE4E8D">
        <w:t>4.562</w:t>
      </w:r>
      <w:r w:rsidRPr="00AE4E8D">
        <w:rPr>
          <w:lang w:val="es-ES"/>
        </w:rPr>
        <w:t>,</w:t>
      </w:r>
      <w:r w:rsidRPr="00AE4E8D">
        <w:t>.7</w:t>
      </w:r>
      <w:r w:rsidRPr="00AE4E8D">
        <w:rPr>
          <w:lang w:val="es-ES"/>
        </w:rPr>
        <w:t xml:space="preserve"> millones</w:t>
      </w:r>
      <w:r w:rsidRPr="00AE4E8D">
        <w:t xml:space="preserve"> y </w:t>
      </w:r>
      <w:r w:rsidRPr="00AE4E8D">
        <w:rPr>
          <w:lang w:val="es-ES"/>
        </w:rPr>
        <w:t>Ps.</w:t>
      </w:r>
      <w:r w:rsidRPr="00AE4E8D">
        <w:t>5.885</w:t>
      </w:r>
      <w:r w:rsidRPr="00AE4E8D">
        <w:rPr>
          <w:lang w:val="es-ES"/>
        </w:rPr>
        <w:t>,1 millones</w:t>
      </w:r>
      <w:r w:rsidRPr="00AE4E8D">
        <w:t xml:space="preserve">, para los períodos de seis meses finalizados al 30 de junio de 2016 y 30 de junio de 2017, respectivamente. El patrimonio neto de Tarshop S.A. </w:t>
      </w:r>
      <w:r w:rsidRPr="00AE4E8D">
        <w:rPr>
          <w:lang w:val="es-ES"/>
        </w:rPr>
        <w:t>ascendía</w:t>
      </w:r>
      <w:r w:rsidRPr="00AE4E8D">
        <w:t xml:space="preserve"> a </w:t>
      </w:r>
      <w:r w:rsidRPr="00AE4E8D">
        <w:rPr>
          <w:lang w:val="es-ES"/>
        </w:rPr>
        <w:t>Ps.</w:t>
      </w:r>
      <w:r w:rsidRPr="00AE4E8D">
        <w:t>188</w:t>
      </w:r>
      <w:r w:rsidRPr="00AE4E8D">
        <w:rPr>
          <w:lang w:val="es-ES"/>
        </w:rPr>
        <w:t>,8</w:t>
      </w:r>
      <w:r w:rsidRPr="00AE4E8D">
        <w:rPr>
          <w:lang w:val="es-AR"/>
        </w:rPr>
        <w:t xml:space="preserve"> millones</w:t>
      </w:r>
      <w:r w:rsidRPr="00AE4E8D">
        <w:t xml:space="preserve">, </w:t>
      </w:r>
      <w:r w:rsidRPr="00AE4E8D">
        <w:rPr>
          <w:lang w:val="es-ES"/>
        </w:rPr>
        <w:t>Ps.</w:t>
      </w:r>
      <w:r w:rsidRPr="00AE4E8D">
        <w:t>223</w:t>
      </w:r>
      <w:r w:rsidRPr="00AE4E8D">
        <w:rPr>
          <w:lang w:val="es-ES"/>
        </w:rPr>
        <w:t>,</w:t>
      </w:r>
      <w:r w:rsidRPr="00AE4E8D">
        <w:t>4</w:t>
      </w:r>
      <w:r w:rsidRPr="00AE4E8D">
        <w:rPr>
          <w:lang w:val="es-AR"/>
        </w:rPr>
        <w:t xml:space="preserve"> millones</w:t>
      </w:r>
      <w:r w:rsidRPr="00AE4E8D">
        <w:t xml:space="preserve"> y </w:t>
      </w:r>
      <w:r w:rsidRPr="00AE4E8D">
        <w:rPr>
          <w:lang w:val="es-ES"/>
        </w:rPr>
        <w:t>Ps.</w:t>
      </w:r>
      <w:r w:rsidRPr="00AE4E8D">
        <w:t>469</w:t>
      </w:r>
      <w:r w:rsidRPr="00AE4E8D">
        <w:rPr>
          <w:lang w:val="es-ES"/>
        </w:rPr>
        <w:t>,</w:t>
      </w:r>
      <w:r w:rsidRPr="00AE4E8D">
        <w:t>3</w:t>
      </w:r>
      <w:r w:rsidRPr="00AE4E8D">
        <w:rPr>
          <w:lang w:val="es-AR"/>
        </w:rPr>
        <w:t xml:space="preserve"> millones</w:t>
      </w:r>
      <w:r w:rsidRPr="00AE4E8D">
        <w:t xml:space="preserve">, para los mismos períodos anuales, respectivamente, y a las sumas de </w:t>
      </w:r>
      <w:r w:rsidRPr="00AE4E8D">
        <w:rPr>
          <w:lang w:val="es-ES"/>
        </w:rPr>
        <w:t>Ps.</w:t>
      </w:r>
      <w:r w:rsidRPr="00AE4E8D">
        <w:t>377</w:t>
      </w:r>
      <w:r w:rsidRPr="00AE4E8D">
        <w:rPr>
          <w:lang w:val="es-ES"/>
        </w:rPr>
        <w:t>,5 millones</w:t>
      </w:r>
      <w:r w:rsidRPr="00AE4E8D">
        <w:t xml:space="preserve"> y </w:t>
      </w:r>
      <w:r w:rsidRPr="00AE4E8D">
        <w:rPr>
          <w:lang w:val="es-ES"/>
        </w:rPr>
        <w:t>Ps.</w:t>
      </w:r>
      <w:r w:rsidRPr="00AE4E8D">
        <w:t>403</w:t>
      </w:r>
      <w:r w:rsidRPr="00AE4E8D">
        <w:rPr>
          <w:lang w:val="es-ES"/>
        </w:rPr>
        <w:t>,5 millones</w:t>
      </w:r>
      <w:r w:rsidRPr="00AE4E8D">
        <w:t>, respectivamente, para el período de seis meses antedicho.</w:t>
      </w:r>
    </w:p>
    <w:p w14:paraId="3E03C9F3" w14:textId="77777777" w:rsidR="0028095B" w:rsidRPr="00AE4E8D" w:rsidRDefault="0028095B" w:rsidP="0028095B">
      <w:pPr>
        <w:pStyle w:val="BHTexto"/>
      </w:pPr>
      <w:r w:rsidRPr="00AE4E8D">
        <w:t>La sociedad controlada Tarshop S.A. se encuentra en proceso de readecuación de su negocio y sus operaciones, habiendo incorporando, entre otros, la comercialización de la “Tarjeta Visa Tarshop” a su set de productos financieros y el otorgamiento de préstamos personales a partir de junio de 2016. Desde el año 2016, Tarshop S.A. ha llevado adelante un programa de reducción de gastos y reorganización corporativa, lo cual ha resultado en una reducción significativa en los gastos administrativos de la misma.</w:t>
      </w:r>
    </w:p>
    <w:p w14:paraId="326755B5" w14:textId="77777777" w:rsidR="0028095B" w:rsidRPr="00AE4E8D" w:rsidRDefault="0028095B" w:rsidP="0028095B">
      <w:pPr>
        <w:pStyle w:val="BHTexto"/>
      </w:pPr>
      <w:r w:rsidRPr="00AE4E8D">
        <w:t>Con el propósito de que Tarshop S.A. contara con recursos suficientes para continuar con sus actividades y desarrollar su plan de negocios, nosotros</w:t>
      </w:r>
      <w:r w:rsidRPr="00AE4E8D">
        <w:rPr>
          <w:lang w:val="es-ES"/>
        </w:rPr>
        <w:t xml:space="preserve"> </w:t>
      </w:r>
      <w:r w:rsidRPr="00AE4E8D">
        <w:t xml:space="preserve">(titular del 80% del capital social de Tarshop S.A.) e IRSA Propiedades Comerciales S.A. (titular del 20% del capital social), han realizado, en forma proporcional a sus tenencias accionarias, aportes de capital de </w:t>
      </w:r>
      <w:r w:rsidRPr="00AE4E8D">
        <w:rPr>
          <w:lang w:val="es-ES"/>
        </w:rPr>
        <w:t>Ps.</w:t>
      </w:r>
      <w:r w:rsidRPr="00AE4E8D">
        <w:t>110</w:t>
      </w:r>
      <w:r w:rsidRPr="00AE4E8D">
        <w:rPr>
          <w:lang w:val="es-ES"/>
        </w:rPr>
        <w:t xml:space="preserve"> millones</w:t>
      </w:r>
      <w:r w:rsidRPr="00AE4E8D">
        <w:t xml:space="preserve">, </w:t>
      </w:r>
      <w:r w:rsidRPr="00AE4E8D">
        <w:rPr>
          <w:lang w:val="es-ES"/>
        </w:rPr>
        <w:t>Ps.</w:t>
      </w:r>
      <w:r w:rsidRPr="00AE4E8D">
        <w:t>105</w:t>
      </w:r>
      <w:r w:rsidRPr="00AE4E8D">
        <w:rPr>
          <w:lang w:val="es-ES"/>
        </w:rPr>
        <w:t xml:space="preserve"> millones</w:t>
      </w:r>
      <w:r w:rsidRPr="00AE4E8D">
        <w:t xml:space="preserve"> y </w:t>
      </w:r>
      <w:r w:rsidRPr="00AE4E8D">
        <w:rPr>
          <w:lang w:val="es-ES"/>
        </w:rPr>
        <w:t>Ps.</w:t>
      </w:r>
      <w:r w:rsidRPr="00AE4E8D">
        <w:t>250</w:t>
      </w:r>
      <w:r w:rsidRPr="00AE4E8D">
        <w:rPr>
          <w:lang w:val="es-ES"/>
        </w:rPr>
        <w:t xml:space="preserve"> millones</w:t>
      </w:r>
      <w:r w:rsidRPr="00AE4E8D">
        <w:t xml:space="preserve"> durante 2014, 2015 y 2016, respectivamente.</w:t>
      </w:r>
    </w:p>
    <w:p w14:paraId="414FBFD8" w14:textId="77777777" w:rsidR="0028095B" w:rsidRPr="00AE4E8D" w:rsidRDefault="0028095B" w:rsidP="0028095B">
      <w:pPr>
        <w:pStyle w:val="BHTexto"/>
      </w:pPr>
      <w:r w:rsidRPr="00AE4E8D">
        <w:t xml:space="preserve">A pesar de las medidas adoptadas para mitigar los resultados negativos que arrojó Tarshop S.A., no podemos predecir cuál será el impacto que éstas tendrán en los resultados de Tarshop S.A. y, a su vez, en </w:t>
      </w:r>
      <w:r w:rsidRPr="00AE4E8D">
        <w:lastRenderedPageBreak/>
        <w:t>nuestra condición financiera y resultados de las operaciones. El fracaso de estas medidas podría exponernos a riesgo reputacional.</w:t>
      </w:r>
    </w:p>
    <w:p w14:paraId="2B7F9910" w14:textId="77777777" w:rsidR="0028095B" w:rsidRPr="00AE4E8D" w:rsidRDefault="0028095B" w:rsidP="0028095B">
      <w:pPr>
        <w:pStyle w:val="BH4Cursiva"/>
      </w:pPr>
      <w:r w:rsidRPr="00AE4E8D">
        <w:t xml:space="preserve">Nuestras obligaciones como Fiduciario del Fideicomiso Procrear </w:t>
      </w:r>
      <w:r w:rsidRPr="00AE4E8D">
        <w:rPr>
          <w:lang w:val="es-ES"/>
        </w:rPr>
        <w:t>podrían exponernos a riesgo reputacional</w:t>
      </w:r>
      <w:r w:rsidRPr="00AE4E8D">
        <w:t xml:space="preserve"> </w:t>
      </w:r>
    </w:p>
    <w:p w14:paraId="591FBB40" w14:textId="77777777" w:rsidR="0028095B" w:rsidRPr="00AE4E8D" w:rsidRDefault="0028095B" w:rsidP="0028095B">
      <w:pPr>
        <w:pStyle w:val="BHTexto"/>
        <w:rPr>
          <w:i/>
          <w:lang w:val="es-ES"/>
        </w:rPr>
      </w:pPr>
      <w:r w:rsidRPr="00AE4E8D">
        <w:rPr>
          <w:lang w:val="es-ES"/>
        </w:rPr>
        <w:t xml:space="preserve">Actualmente actuamos como Fiduciario en el Fidecomiso Procrear, que pretende facilitar el acceso a soluciones habitacionales por medio de la provisión de créditos hipotecarios para la construcción y desarrollo de complejos urbanos en Argentina. Bajo los términos y condiciones del Fideicomiso Procrear todos los deberes y obligaciones bajo el fideicomiso deben ser satisfechos con los bienes fideicomitidos. Sin embargo, si el Fideicomiso Procrear no cumpliera con sus obligaciones, nuestra reputación podría resultar afectada. Asimismo, si el Gobierno Argentino decide terminar con el Fideicomiso Procrear y/o terminar su rol de Fiduciario en el Fideicomiso Procrear, esto podría afectar al resultado de nuestras operaciones. Para más información véase </w:t>
      </w:r>
      <w:r w:rsidRPr="00AE4E8D">
        <w:rPr>
          <w:i/>
          <w:lang w:val="es-ES"/>
        </w:rPr>
        <w:t>“Información sobre la Emisora—Descripción de nuestros negocios—Actividad Fiduciaria: Programa PROCREAR”.</w:t>
      </w:r>
    </w:p>
    <w:p w14:paraId="315F682F" w14:textId="77777777" w:rsidR="0028095B" w:rsidRPr="00AE4E8D" w:rsidRDefault="0028095B" w:rsidP="0028095B">
      <w:pPr>
        <w:pStyle w:val="BH4Cursiva"/>
      </w:pPr>
      <w:r w:rsidRPr="00AE4E8D">
        <w:t>Las políticas relativas al Fideicomiso Procrear podrían sufrir modificaciones</w:t>
      </w:r>
    </w:p>
    <w:p w14:paraId="342C9610" w14:textId="77777777" w:rsidR="0028095B" w:rsidRPr="00AE4E8D" w:rsidRDefault="0028095B" w:rsidP="0028095B">
      <w:pPr>
        <w:pStyle w:val="BHTexto"/>
        <w:rPr>
          <w:lang w:val="es-ES"/>
        </w:rPr>
      </w:pPr>
      <w:r w:rsidRPr="00AE4E8D">
        <w:rPr>
          <w:lang w:val="es-ES"/>
        </w:rPr>
        <w:t>El gobierno de Mauricio Macri se encuentra realizando revisiones a las políticas relativas al otorgamiento de créditos hipotecarios, con el objetivo de generar nuevas alternativas de crédito. Como consecuencia, el Gobierno implementó modificaciones al Fideicomiso Procrear. Con fecha 7 de marzo de 2017, a través del Decreto Nº146/2017, el Presidente Mauricio Macri relanzó el programa Procrear con modificaciones que mejorarán su implementación y como consecuencia se produjo el pasó del programa de la órbita de la ANSES a la del Ministerio del Interior, Obras Públicas y Vivienda. Dichas modificaciones impactarán en el funcionamiento de Procrear.</w:t>
      </w:r>
    </w:p>
    <w:p w14:paraId="2D85A620" w14:textId="77777777" w:rsidR="0028095B" w:rsidRPr="00AE4E8D" w:rsidRDefault="0028095B" w:rsidP="0028095B">
      <w:pPr>
        <w:pStyle w:val="BHTexto"/>
        <w:rPr>
          <w:lang w:val="es-ES"/>
        </w:rPr>
      </w:pPr>
      <w:r w:rsidRPr="00AE4E8D">
        <w:rPr>
          <w:lang w:val="es-ES"/>
        </w:rPr>
        <w:t>En relación con la revisión de las políticas mencionadas anteriormente, el Gobierno aprobó un nuevo programa llamado "Procrear Solución Casa Propia", que está diseñado para permitir a miles de famil</w:t>
      </w:r>
      <w:r w:rsidR="00F9545C">
        <w:rPr>
          <w:lang w:val="es-ES"/>
        </w:rPr>
        <w:t>ias acceder a su primer hogar. L</w:t>
      </w:r>
      <w:r w:rsidRPr="00AE4E8D">
        <w:rPr>
          <w:lang w:val="es-ES"/>
        </w:rPr>
        <w:t xml:space="preserve">as familias elegibles </w:t>
      </w:r>
      <w:r w:rsidR="00F9545C">
        <w:rPr>
          <w:lang w:val="es-ES"/>
        </w:rPr>
        <w:t>son</w:t>
      </w:r>
      <w:r w:rsidRPr="00AE4E8D">
        <w:rPr>
          <w:lang w:val="es-ES"/>
        </w:rPr>
        <w:t xml:space="preserve"> seleccionadas a través de un sistema de puntaje objetivo destinado a priorizar a las familias más necesitadas, de acuerdo con su estado socioeconómico (usando parámetros como el número de hijos dependientes menores, discapacidad, inundaciones y otros). Este programa combina un préstamo hipotecario del sistema financiero ajustado por el CER, un porcentaje del ahorro de los hogares y un subsidio del gobierno federal, a través de procreación. Dado que se espera que el Fideicomiso PROCREAR reciba contribuciones adicionales para financiar el nuevo programa de subsidio, el desempeño del Fideicomiso PROCREAR no debería verse afectado. Sin embargo, no podemos garantizar que el programa se desarrolle de la misma manera en el futuro o si se hacen más modificaciones. Para más información, ver </w:t>
      </w:r>
      <w:r w:rsidRPr="00AE4E8D">
        <w:rPr>
          <w:i/>
          <w:lang w:val="es-ES"/>
        </w:rPr>
        <w:t>“Información sobre la Emisora—Descripción de nuestros negocios—Actividad Fiduciaria: Programa PROCREAR”.</w:t>
      </w:r>
    </w:p>
    <w:p w14:paraId="7B42E9F2" w14:textId="77777777" w:rsidR="0028095B" w:rsidRPr="00AE4E8D" w:rsidRDefault="0028095B" w:rsidP="0028095B">
      <w:pPr>
        <w:pStyle w:val="BH4Cursiva"/>
      </w:pPr>
      <w:r w:rsidRPr="00AE4E8D">
        <w:t>El Gobierno Argentino podría prevalecer en las Asambleas Generales de Accionistas</w:t>
      </w:r>
    </w:p>
    <w:p w14:paraId="5115DE53" w14:textId="77777777" w:rsidR="0028095B" w:rsidRPr="00AE4E8D" w:rsidRDefault="0028095B" w:rsidP="0028095B">
      <w:pPr>
        <w:pStyle w:val="BHTexto"/>
        <w:rPr>
          <w:lang w:val="es-ES"/>
        </w:rPr>
      </w:pPr>
      <w:r w:rsidRPr="00AE4E8D">
        <w:rPr>
          <w:lang w:val="es-ES"/>
        </w:rPr>
        <w:t>Conforme a la Ley de Privatización, no existen restricciones a la capacidad del Gobierno Argentino de disponer de sus acciones Clase A y todas esas acciones menos una podrían ser vendidas a terceros a través de la oferta pública. Nuestro Estatuto establece que si en algún momento las acciones Clase A representan menos del 42% del total de nuestras acciones con derecho a voto, las acciones Clase D automáticamente pierden sus derechos de triple voto, lo cual podría derivar en la pérdida de control de los principales accionistas. Si esto ocurriera y si el Gobierno Argentino retuviera un número suficiente de acciones Clase A, el Gobierno Argentino podría prevalecer en las Asambleas de Accionistas (salvo para ciertas decisiones que requieren mayorías calificadas) y por ende podría ejercer el control efectivo sobre las decisiones que deban someterse a consideración de la Asamblea.</w:t>
      </w:r>
    </w:p>
    <w:p w14:paraId="4EFF0844" w14:textId="77777777" w:rsidR="0028095B" w:rsidRPr="00AE4E8D" w:rsidRDefault="0028095B" w:rsidP="0028095B">
      <w:pPr>
        <w:pStyle w:val="BH4Cursiva"/>
      </w:pPr>
      <w:r w:rsidRPr="00AE4E8D">
        <w:t>En el futuro podríamos considerar nuevas oportunidades de negocio, las cuales podrían no ser exitosas</w:t>
      </w:r>
    </w:p>
    <w:p w14:paraId="28ED0B0C" w14:textId="77777777" w:rsidR="0028095B" w:rsidRPr="00AE4E8D" w:rsidRDefault="0028095B" w:rsidP="0028095B">
      <w:pPr>
        <w:autoSpaceDE w:val="0"/>
        <w:autoSpaceDN w:val="0"/>
        <w:adjustRightInd w:val="0"/>
        <w:spacing w:before="120" w:after="120"/>
        <w:jc w:val="both"/>
        <w:rPr>
          <w:rStyle w:val="BHTextoCar"/>
          <w:lang w:val="es-ES"/>
        </w:rPr>
      </w:pPr>
      <w:r w:rsidRPr="00AE4E8D">
        <w:rPr>
          <w:rFonts w:ascii="Times New Roman" w:hAnsi="Times New Roman"/>
          <w:lang w:val="es-ES"/>
        </w:rPr>
        <w:t xml:space="preserve">En los últimos años, hemos considerado algunas adquisiciones o combinaciones de negocios y prevemos </w:t>
      </w:r>
      <w:r w:rsidRPr="00AE4E8D">
        <w:rPr>
          <w:rStyle w:val="BHTextoCar"/>
          <w:lang w:val="es-ES"/>
        </w:rPr>
        <w:t xml:space="preserve">continuar considerando adquisiciones que ofrezcan oportunidades atractivas y que sean congruentes con nuestra estrategia comercial. Sin embargo, no podemos asegurar que tales negocios puedan resultar finalmente sustentables o que podremos concretar adquisiciones de entidades financieras en condiciones favorables. Asimismo, nuestra capacidad de obtener los efectos deseados como resultado de dichas adquisiciones dependerá en parte de nuestra capacidad de completar exitosamente la integración de dichos negocios. La integración de los negocios adquiridos conlleva importantes riesgos, entre ellos dificultades imprevistas en la integración de las operaciones y los sistemas; problemas inherentes a la asimilación o retención de los empleados de los negocios adquiridos; desafíos relativos a la conservación de los clientes de los negocios adquiridos; pasivos o contingencias imprevistos relativos a los negocios </w:t>
      </w:r>
      <w:r w:rsidRPr="00AE4E8D">
        <w:rPr>
          <w:rStyle w:val="BHTextoCar"/>
          <w:lang w:val="es-ES"/>
        </w:rPr>
        <w:lastRenderedPageBreak/>
        <w:t>adquiridos; y la probabilidad de que la dirección desvíe su atención de las cuestiones comerciales diarias para concentrarse en las actividades de integración y la solución de los problemas relacionados.</w:t>
      </w:r>
    </w:p>
    <w:p w14:paraId="28CD85E1" w14:textId="77777777" w:rsidR="0028095B" w:rsidRPr="00AE4E8D" w:rsidRDefault="0028095B" w:rsidP="0028095B">
      <w:pPr>
        <w:pStyle w:val="BH4Cursiva"/>
      </w:pPr>
      <w:r w:rsidRPr="00AE4E8D">
        <w:t>Podríamos incurrir en pérdidas asociadas con los riesgos a los cuales se encuentran sometidas nuestras contrapartes</w:t>
      </w:r>
    </w:p>
    <w:p w14:paraId="6F95DD41" w14:textId="77777777" w:rsidR="0028095B" w:rsidRPr="00AE4E8D" w:rsidRDefault="0028095B" w:rsidP="0028095B">
      <w:pPr>
        <w:pStyle w:val="BHTexto"/>
        <w:rPr>
          <w:lang w:val="es-ES"/>
        </w:rPr>
      </w:pPr>
      <w:r w:rsidRPr="00AE4E8D">
        <w:rPr>
          <w:lang w:val="es-ES"/>
        </w:rPr>
        <w:t xml:space="preserve">Podríamos incurrir en pérdidas si alguna de nuestras contrapartes incumpliera sus obligaciones contractuales debido a quiebra, falta de liquidez, falla operativa u otra razón que sea exclusivamente atribuible a aquella contraparte. Este riesgo podría surgir, por ejemplo, de la celebración de contratos de reaseguro o contratos de crédito en base a los cuales tales contrapartes tuvieran obligaciones de realizarnos pagos y no pudieran realizarlos, llevando a cabo operaciones en el mercado de cambios (u otros mercados) que no sean liquidadas en el momento especificado debido al incumplimiento de la contraparte, cámara compensadora u otro intermediario financiero. Podríamos contratar con contrapartes en la industria de los servicios financieros, incluyendo </w:t>
      </w:r>
      <w:r w:rsidRPr="00AE4E8D">
        <w:rPr>
          <w:i/>
          <w:lang w:val="es-ES"/>
        </w:rPr>
        <w:t>brokers</w:t>
      </w:r>
      <w:r w:rsidRPr="00AE4E8D">
        <w:rPr>
          <w:lang w:val="es-ES"/>
        </w:rPr>
        <w:t xml:space="preserve"> y agentes de colocación, bancos comerciales, bancos de inversión, mutuales y fondos de inversión y otros clientes institucionales, y el incumplimiento de sus obligaciones contractuales podría afectarnos adversamente.</w:t>
      </w:r>
    </w:p>
    <w:p w14:paraId="6356029E" w14:textId="77777777" w:rsidR="0028095B" w:rsidRPr="00AE4E8D" w:rsidRDefault="0028095B" w:rsidP="0028095B">
      <w:pPr>
        <w:pStyle w:val="BH4Cursiva"/>
      </w:pPr>
      <w:r w:rsidRPr="00AE4E8D">
        <w:t>Nuestra capacidad de generar fondos depende de muchos factores ajenos a nuestro control, y podríamos no ser capaces de generar los fondos requeridos para el servicio de nuestra deuda</w:t>
      </w:r>
    </w:p>
    <w:p w14:paraId="75AF58E9" w14:textId="77777777" w:rsidR="0028095B" w:rsidRPr="00AE4E8D" w:rsidRDefault="0028095B" w:rsidP="0028095B">
      <w:pPr>
        <w:pStyle w:val="BHTexto"/>
        <w:rPr>
          <w:lang w:val="es-ES"/>
        </w:rPr>
      </w:pPr>
      <w:r w:rsidRPr="00AE4E8D">
        <w:rPr>
          <w:lang w:val="es-ES"/>
        </w:rPr>
        <w:t>Nuestra capacidad de realizar pagos programados respecto de las Obligaciones Negociables y de cumplir con nuestras obligaciones de servicio de deuda o de refinanciar nuestra deuda depende de nuestro futuro desempeño operativo y financiero y nuestra capacidad de generar fondos. Esto se verá afectado por nuestra capacidad para implementar exitosamente nuestra estrategia de negocios, así como de factores económicos, financieros, competitivos, regulatorios, técnicos y otros factores generales que son ajenos a nosotros. Si no podemos generar fondos suficientes para cumplir con nuestras obligaciones de servicio de deuda o financiar nuestras otras necesidades comerciales, entre otras cosas, podremos vernos obligados a refinanciar la totalidad o una parte de nuestra deuda, incluyendo las Obligaciones Negociables, obtener financiación adicional, demorar las inversiones de capital o vender activos.</w:t>
      </w:r>
    </w:p>
    <w:p w14:paraId="62F2E9F7" w14:textId="77777777" w:rsidR="0028095B" w:rsidRPr="00AE4E8D" w:rsidRDefault="0028095B" w:rsidP="0028095B">
      <w:pPr>
        <w:pStyle w:val="BHTexto"/>
        <w:rPr>
          <w:lang w:val="es-ES"/>
        </w:rPr>
      </w:pPr>
      <w:r w:rsidRPr="00AE4E8D">
        <w:rPr>
          <w:lang w:val="es-ES"/>
        </w:rPr>
        <w:t xml:space="preserve">Podría suceder que no podamos generar fondos suficientes a través de cualquiera de los siguientes medios. Si no podemos refinanciar nuestra deuda, obtener financiación adicional, vender activos en términos comercialmente favorables o de cualquier otra forma, podríamos vernos imposibilitados de satisfacer nuestras obligaciones de deuda, incluyendo las Obligaciones Negociables. Si esto ocurriera, los acreedores de la deuda respectiva </w:t>
      </w:r>
      <w:proofErr w:type="gramStart"/>
      <w:r w:rsidRPr="00AE4E8D">
        <w:rPr>
          <w:lang w:val="es-ES"/>
        </w:rPr>
        <w:t>podrían</w:t>
      </w:r>
      <w:proofErr w:type="gramEnd"/>
      <w:r w:rsidRPr="00AE4E8D">
        <w:rPr>
          <w:lang w:val="es-ES"/>
        </w:rPr>
        <w:t xml:space="preserve"> declarar la caducidad anticipada del monto total de dicha deuda Nuestros activos podrían no ser suficientes para pagar dichos montos. Véase </w:t>
      </w:r>
      <w:r w:rsidRPr="00AE4E8D">
        <w:rPr>
          <w:i/>
          <w:lang w:val="es-ES"/>
        </w:rPr>
        <w:t>“Reseña y Perspectiva Operativa Financiera”</w:t>
      </w:r>
      <w:r w:rsidRPr="00AE4E8D">
        <w:rPr>
          <w:lang w:val="es-ES"/>
        </w:rPr>
        <w:t>.</w:t>
      </w:r>
    </w:p>
    <w:p w14:paraId="1C06845F" w14:textId="77777777" w:rsidR="0028095B" w:rsidRPr="00AE4E8D" w:rsidRDefault="0028095B" w:rsidP="0028095B">
      <w:pPr>
        <w:pStyle w:val="BH4Cursiva"/>
      </w:pPr>
      <w:r w:rsidRPr="00AE4E8D">
        <w:t>Si no cumplimos con todas las leyes y reglamentaciones bancarias y bursátiles aplicables o no detectamos actividades de lavado de dinero y otras actividades ilegales o inapropiadas en forma integral u oportuna, nuestros intereses comerciales y reputación podrían verse afectados</w:t>
      </w:r>
    </w:p>
    <w:p w14:paraId="4110E99B" w14:textId="77777777" w:rsidR="0028095B" w:rsidRPr="00AE4E8D" w:rsidRDefault="0028095B" w:rsidP="0028095B">
      <w:pPr>
        <w:pStyle w:val="BHTexto"/>
        <w:rPr>
          <w:lang w:val="es-ES"/>
        </w:rPr>
      </w:pPr>
      <w:r w:rsidRPr="00AE4E8D">
        <w:rPr>
          <w:lang w:val="es-ES"/>
        </w:rPr>
        <w:t>Debemos cumplir con todas las leyes y normas bancarias y bursátiles aplicables en Argentina. En los últimos años, el Gobierno Argentino y los organismos públicos correspondientes han modificado las políticas y mecanismos de control de la actividad financiera, así como los parámetros en torno a las sanciones monetarias y disciplinarias que pueden afectar los resultados de nuestras operaciones, nuestra capacidad financiera y nuestra reputación.</w:t>
      </w:r>
    </w:p>
    <w:p w14:paraId="40DEC8E2" w14:textId="77777777" w:rsidR="0028095B" w:rsidRPr="00AE4E8D" w:rsidRDefault="0028095B" w:rsidP="0028095B">
      <w:pPr>
        <w:pStyle w:val="BHTexto"/>
        <w:rPr>
          <w:lang w:val="es-ES"/>
        </w:rPr>
      </w:pPr>
      <w:r w:rsidRPr="00AE4E8D">
        <w:rPr>
          <w:lang w:val="es-ES"/>
        </w:rPr>
        <w:t>Por ejemplo, el 29 de noviembre de 2012 el Congreso argentino sancionó la Ley de Mercado de Capitales, que modificó el régimen de oferta pública establecido por la Ley Nº17.811, con sus modificaciones. Una de las reformas más importantes introducidas por dicha ley se refiere a las facultades de la CNV. La incorporación del artículo 20 genera preocupación en el mercado, en particular entre las sociedades que cotizan en bolsa, dado que faculta a la CNV a (i) designar supervisores con facultades para vetar resoluciones adoptadas por el directorio de una compañía; y (ii) inhabilitar al directorio de una compañía por un plazo de 180 días cuando, a criterio de la CNV, se afecten los intereses de los accionistas minoritarios y/o los tenedores de títulos. Asimismo, de acuerdo con el artículo 51 de la Ley de Mercado de Capitales, la CNV podrá suspender a los agentes de intermediación registrados en forma preventiva, tal como fue el caso de varias entidades del sistema financiero durante el primer trimestre de 2015.</w:t>
      </w:r>
    </w:p>
    <w:p w14:paraId="3DCD5D52" w14:textId="77777777" w:rsidR="0028095B" w:rsidRPr="00AE4E8D" w:rsidRDefault="0028095B" w:rsidP="0028095B">
      <w:pPr>
        <w:pStyle w:val="BHTexto"/>
        <w:rPr>
          <w:lang w:val="es-ES"/>
        </w:rPr>
      </w:pPr>
      <w:r w:rsidRPr="00AE4E8D">
        <w:rPr>
          <w:lang w:val="es-ES"/>
        </w:rPr>
        <w:t xml:space="preserve">Asimismo, las leyes y reglamentaciones de lucha contra el lavado de dinero requieren, entre otras cosas, que adoptemos e implementemos políticas y procedimientos de control que contemplen los principios de “conozca a su cliente” a fin de cumplir con las normas aplicables y de reporte de operaciones sospechosas o inusuales a las autoridades regulatorias aplicables. Si bien hemos adoptado políticas y procedimientos tendientes a detectar e impedir el uso de nuestra red para actividades de lavado de dinero y por parte de </w:t>
      </w:r>
      <w:r w:rsidRPr="00AE4E8D">
        <w:rPr>
          <w:lang w:val="es-ES"/>
        </w:rPr>
        <w:lastRenderedPageBreak/>
        <w:t>terroristas, organizaciones terroristas y otros tipos de organizaciones, dichas políticas y procedimientos podrían no eliminar totalmente el riesgo de haber sido o ser actualmente utilizados por otras partes, sin nuestro conocimiento, para participar de actividades relacionadas con lavado de dinero u otras actividades ilegales.</w:t>
      </w:r>
    </w:p>
    <w:p w14:paraId="0A81D6C1" w14:textId="77777777" w:rsidR="0028095B" w:rsidRPr="00AE4E8D" w:rsidRDefault="0028095B" w:rsidP="0028095B">
      <w:pPr>
        <w:pStyle w:val="BHTexto"/>
        <w:rPr>
          <w:lang w:val="es-ES"/>
        </w:rPr>
      </w:pPr>
      <w:r w:rsidRPr="00AE4E8D">
        <w:rPr>
          <w:lang w:val="es-ES"/>
        </w:rPr>
        <w:t xml:space="preserve">En la medida que no cumplamos con las leyes y reglamentaciones bancarias y bursátiles o no detectemos actividades ilegales desde el punto de vista de la lucha contra el lavado de dinero o de otra forma, los organismos públicos correspondientes (incluyendo el BCRA, la CNV y la UIF) están autorizados y facultados a imponernos multas, suspensiones y otras penalidades. </w:t>
      </w:r>
      <w:r w:rsidRPr="00AE4E8D">
        <w:rPr>
          <w:rFonts w:eastAsiaTheme="minorHAnsi"/>
          <w:szCs w:val="22"/>
          <w:lang w:val="es-ES" w:eastAsia="es-AR"/>
        </w:rPr>
        <w:t>Específicamente, de conformidad con la Comunicación “A” 5785 (tal como fuera modificada), las sanciones impuestas por el BCRA, la UIF, la CNV y/o la Superintendencia de Seguros de la Nación que recaigan sobre entidades financieras y/o sus autoridades, ponderadas en forma separada o conjuntamente, podrán dar lugar a la revocación de las autorizaciones conferidas cuando, a juicio del Directorio del BCRA, se hubieren producido cambios fundamentales en las condiciones necesarias para conservar dicha autorización, incluyendo cambios en la idoneidad, experiencia, probidad moral o integridad de los miembros de sus órganos de administración (de directores, consejeros o autoridades equivalentes), de gobierno (accionistas, socios o equivalentes), de fiscalización (por síndicos e integrantes del consejo de vigilancia o equivalentes) e integrantes (demás individuos, tales como gerentes).</w:t>
      </w:r>
    </w:p>
    <w:p w14:paraId="321853ED" w14:textId="77777777" w:rsidR="0028095B" w:rsidRPr="00AE4E8D" w:rsidRDefault="0028095B" w:rsidP="0028095B">
      <w:pPr>
        <w:pStyle w:val="BHTexto"/>
        <w:rPr>
          <w:lang w:val="es-ES"/>
        </w:rPr>
      </w:pPr>
      <w:r w:rsidRPr="00AE4E8D">
        <w:rPr>
          <w:lang w:val="es-ES"/>
        </w:rPr>
        <w:t>Si cualquier organismo gubernamental determina la imposición de multas en virtud del incumplimiento de dichas regulaciones, nuestros negocios, reputación, situación patrimonial y resultados de nuestras operaciones pueden verse negativamente afectados.</w:t>
      </w:r>
    </w:p>
    <w:p w14:paraId="6A586C35" w14:textId="77777777" w:rsidR="0028095B" w:rsidRPr="00AE4E8D" w:rsidRDefault="0028095B" w:rsidP="0028095B">
      <w:pPr>
        <w:pStyle w:val="BH4Cursiva"/>
      </w:pPr>
      <w:r w:rsidRPr="00AE4E8D">
        <w:t>Los efectos de la legislación que restringe nuestra capacidad de llevar adelante procesos de ejecución hipotecaria podrían afectarnos negativamente</w:t>
      </w:r>
    </w:p>
    <w:p w14:paraId="5D3C2789" w14:textId="77777777" w:rsidR="0028095B" w:rsidRPr="00AE4E8D" w:rsidRDefault="0028095B" w:rsidP="0028095B">
      <w:pPr>
        <w:pStyle w:val="BHTexto"/>
        <w:rPr>
          <w:lang w:val="es-ES"/>
        </w:rPr>
      </w:pPr>
      <w:r w:rsidRPr="00AE4E8D">
        <w:rPr>
          <w:lang w:val="es-ES"/>
        </w:rPr>
        <w:t>Nuestra capacidad de llevar adelante hasta su conclusión los procesos de ejecución tendientes a cobrar los créditos hipotecarios en situación irregular repercute sobre nuestras actividades. El 13 de diciembre de 2006, de acuerdo con la Ley N°26.177, se creó la “Unidad de Reestructuración” a fin de permitir la reestructuración entre los deudores y el ex Banco Hipotecario Nacional de todos los créditos hipotecarios otorgados antes de la entrada en vigencia de la Ley de Convertibilidad.</w:t>
      </w:r>
    </w:p>
    <w:p w14:paraId="67C59D64" w14:textId="77777777" w:rsidR="0028095B" w:rsidRPr="00AE4E8D" w:rsidRDefault="0028095B" w:rsidP="0028095B">
      <w:pPr>
        <w:pStyle w:val="BHTexto"/>
        <w:rPr>
          <w:lang w:val="es-ES"/>
        </w:rPr>
      </w:pPr>
      <w:r w:rsidRPr="00AE4E8D">
        <w:rPr>
          <w:lang w:val="es-ES"/>
        </w:rPr>
        <w:t>La Ley N°26.313, denominada la “Ley de Reestructuración de Créditos Hipotecarios Pre-convertibilidad”, fue sancionada por el Congreso Argentino el 21 de noviembre de 2007 y promulgada parcialmente el 6 de diciembre de 2007 con el objeto de establecer el procedimiento a seguir para la reestructuración de los créditos hipotecarios bajo el alcance del artículo 23 de la Ley del Sistema de Refinanciación de Hipotecas de acuerdo con las pautas fijadas por la Ley de la Unidad de Reestructuración. A tal fin, se estableció un nuevo recalculo para ciertos créditos hipotecarios originados por el ex Banco Hipotecario Nacional antes del 1 de abril de 1991.</w:t>
      </w:r>
    </w:p>
    <w:p w14:paraId="2333F160" w14:textId="77777777" w:rsidR="0028095B" w:rsidRPr="00AE4E8D" w:rsidRDefault="0028095B" w:rsidP="0028095B">
      <w:pPr>
        <w:pStyle w:val="BHTexto"/>
        <w:rPr>
          <w:lang w:val="es-ES"/>
        </w:rPr>
      </w:pPr>
      <w:r w:rsidRPr="00AE4E8D">
        <w:rPr>
          <w:lang w:val="es-ES"/>
        </w:rPr>
        <w:t>El Decreto N°2107/08 del Poder Ejecutivo dictado el 19 de diciembre de 2008 regula la Ley de Reestructuración de Créditos Hipotecarios Pre-convertibilidad y establece que el recalculo de la deuda se aplica a los créditos hipotecarios individuales derivados de operatorias globales vigentes al 31 de diciembre de 2008 y acordados antes del 1 de abril de 1991, que hayan estado en situación irregular al menos desde noviembre de 2007 y que continuaran impagos al 31 de diciembre de 2008. Asimismo, el Decreto N°1366/10 del Poder Ejecutivo, publicado el 21 de septiembre de 2010, amplió el universo de créditos pre-convertibilidad sujetos a restructuración a fin de incluir los créditos hipotecarios individuales no originados en operatorias globales en la medida que cumplan los demás requisitos impuestos por el Decreto N°2107/08 del Poder Ejecutivo. Asimismo, la Ley N°26.313 y sus decretos reglamentarios también condonaron las deudas por créditos hipotecarios otorgados antes de la Ley de Convertibilidad en la medida que hubieran sido otorgados para hacer frente a situaciones de emergencia y en tanto cumplan con el requisito de retraso en el pago impuesto a los créditos sujetos a recalculo.</w:t>
      </w:r>
    </w:p>
    <w:p w14:paraId="1ABFC6DF" w14:textId="77777777" w:rsidR="0028095B" w:rsidRPr="00AE4E8D" w:rsidRDefault="0028095B" w:rsidP="0028095B">
      <w:pPr>
        <w:pStyle w:val="BHTexto"/>
        <w:rPr>
          <w:lang w:val="es-ES"/>
        </w:rPr>
      </w:pPr>
      <w:r w:rsidRPr="00AE4E8D">
        <w:rPr>
          <w:lang w:val="es-ES"/>
        </w:rPr>
        <w:t>Sujeto a la supervisión del BCRA, hemos implementado el recalculo de los créditos hipotecarios bajo el alcance de las normas antes mencionadas ajustando el valor de las nuevas cuotas a un monto máximo no mayor a 20% del ingreso familiar. En este sentido, estimamos que existen suficientes previsiones por incobrabilidad para hacer frente a cualquier impacto económico adverso resultante de la cartera involucrada.</w:t>
      </w:r>
    </w:p>
    <w:p w14:paraId="4A3D0811" w14:textId="77777777" w:rsidR="0028095B" w:rsidRPr="00AE4E8D" w:rsidRDefault="0028095B" w:rsidP="0028095B">
      <w:pPr>
        <w:pStyle w:val="BHTexto"/>
        <w:rPr>
          <w:lang w:val="es-ES"/>
        </w:rPr>
      </w:pPr>
      <w:r w:rsidRPr="00AE4E8D">
        <w:rPr>
          <w:lang w:val="es-ES"/>
        </w:rPr>
        <w:t>No es posible asegurar que el gobierno argentino no sancionará nuevas leyes que restrinjan nuestra capacidad de hacer valer nuestros derechos como acreedores y/o que establezcan una condición o una reducción del capital sobre los montos impagos en nuestra cartera de créditos hipotecarios. Dicha circunstancia podría tener un serio efecto negativo sobre nuestra situación patrimonial y los resultados de nuestras operaciones.</w:t>
      </w:r>
    </w:p>
    <w:p w14:paraId="226B50B7" w14:textId="77777777" w:rsidR="0028095B" w:rsidRPr="00AE4E8D" w:rsidRDefault="0028095B" w:rsidP="0028095B">
      <w:pPr>
        <w:pStyle w:val="BH4Cursiva"/>
      </w:pPr>
      <w:r w:rsidRPr="00AE4E8D">
        <w:lastRenderedPageBreak/>
        <w:t>Nuestras estimaciones y reservas constituidas por riesgo crediticio y riesgo de incobrabilidad podrían resultar inexactas y/o insuficientes, lo que podría afectar seria y negativamente nuestra situación patrimonial y los resultados de nuestras operaciones</w:t>
      </w:r>
    </w:p>
    <w:p w14:paraId="0A043C79" w14:textId="77777777" w:rsidR="0028095B" w:rsidRPr="00AE4E8D" w:rsidRDefault="0028095B" w:rsidP="0028095B">
      <w:pPr>
        <w:pStyle w:val="BHTexto"/>
        <w:rPr>
          <w:lang w:val="es-ES"/>
        </w:rPr>
      </w:pPr>
      <w:r w:rsidRPr="00AE4E8D">
        <w:rPr>
          <w:lang w:val="es-ES"/>
        </w:rPr>
        <w:t>Varios de nuestros productos nos exponen a riesgo crediticio, entre ellos, los préstamos de consumo, los préstamos comerciales y otros créditos. Las variaciones en los niveles de ingresos de nuestros prestatarios, el aumento de la inflación o el incremento en las tasas de interés podrían tener un efecto negativo sobre la calidad de nuestra cartera de préstamos, forzándonos a aumentar las previsiones por riesgo de incobrabilidad y dando lugar a menores utilidades o pérdidas.</w:t>
      </w:r>
    </w:p>
    <w:p w14:paraId="5F90A614" w14:textId="77777777" w:rsidR="0028095B" w:rsidRPr="00AE4E8D" w:rsidRDefault="0028095B" w:rsidP="0028095B">
      <w:pPr>
        <w:pStyle w:val="BHTexto"/>
        <w:rPr>
          <w:lang w:val="es-ES"/>
        </w:rPr>
      </w:pPr>
      <w:r w:rsidRPr="00AE4E8D">
        <w:rPr>
          <w:lang w:val="es-ES"/>
        </w:rPr>
        <w:t>Estimamos y establecemos reservas por riesgo crediticio y riesgo de incobrabilidad. Este proceso involucra determinaciones subjetivas y complejas, entre ellas proyecciones de condiciones económicas y presunciones sobre la capacidad de nuestros prestatarios de cancelar sus préstamos. Podríamos no detectar estos riesgos en forma oportuna antes de que ocurran, o debido a limitaciones en los recursos o herramientas disponibles, nuestros empleados podrían no ser capaces de implementar nuestro sistema de gestión de riesgo crediticio efectivamente, aumentando así nuestra exposición al riesgo crediticio.</w:t>
      </w:r>
    </w:p>
    <w:p w14:paraId="4B4028FA" w14:textId="77777777" w:rsidR="0028095B" w:rsidRPr="00AE4E8D" w:rsidRDefault="0028095B" w:rsidP="0028095B">
      <w:pPr>
        <w:pStyle w:val="BHTexto"/>
        <w:rPr>
          <w:lang w:val="es-ES"/>
        </w:rPr>
      </w:pPr>
      <w:r w:rsidRPr="00AE4E8D">
        <w:rPr>
          <w:lang w:val="es-ES"/>
        </w:rPr>
        <w:t>Si en el futuro no pudiéramos controlar efectivamente el nivel de los préstamos en situación irregular o de baja calidad crediticia, o si nuestras previsiones por riesgo de incobrabilidad fueran insuficientes para cubrir las pérdidas por préstamos futuras, nuestra situación patrimonial y los resultados de nuestras operaciones podrían verse seria y negativamente afectados.</w:t>
      </w:r>
    </w:p>
    <w:p w14:paraId="7770E53F" w14:textId="77777777" w:rsidR="0028095B" w:rsidRPr="00AE4E8D" w:rsidRDefault="0028095B" w:rsidP="002809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0" w:lineRule="atLeast"/>
        <w:rPr>
          <w:rFonts w:ascii="Times New Roman" w:hAnsi="Times New Roman"/>
          <w:b/>
          <w:i/>
          <w:lang w:val="es-ES"/>
        </w:rPr>
      </w:pPr>
      <w:r w:rsidRPr="00AE4E8D">
        <w:rPr>
          <w:rFonts w:ascii="Times New Roman" w:hAnsi="Times New Roman"/>
          <w:b/>
          <w:i/>
          <w:lang w:val="es-ES"/>
        </w:rPr>
        <w:t>Ciertas propuestas de modificaciones legales podrían tener impacto en los servicios y comisiones que cobran las entidades financieras.</w:t>
      </w:r>
    </w:p>
    <w:p w14:paraId="41178757" w14:textId="77777777" w:rsidR="0028095B" w:rsidRPr="00AE4E8D" w:rsidRDefault="0028095B" w:rsidP="0028095B">
      <w:pPr>
        <w:pStyle w:val="BHTexto"/>
        <w:rPr>
          <w:lang w:val="es-ES"/>
        </w:rPr>
      </w:pPr>
      <w:r w:rsidRPr="00AE4E8D">
        <w:rPr>
          <w:lang w:val="es-ES"/>
        </w:rPr>
        <w:t xml:space="preserve">El Banco percibe ingresos provenientes de las comisiones que cobra a comerciantes en relación a transacciones efectuadas tarjetas de crédito. Un cambio en la legislación aplicable que estipulara un límite en las comisiones que las entidades financieras pueden cobrar a los comerciantes podría reducir los ingresos del Banco. Con fecha 8 de septiembre de 2016, se dio media sanción del Congreso a una norma que propone reducir las comisiones por ventas con tarjetas de crédito de 3% a 1,5%, y las comisiones por ventas con tarjetas de débito de 1,5% a 0,5%. A pesar de que dicho proyecto de ley no ha sido aprobado a la fecha del presente Prospecto, el 31 de marzo de 2017, el BCRA dictó la Comunicación "A" 6212 que establece una reducción gradual de las tasas de intercambio para operaciones con de tarjetas de crédito y débito y limita las comisiones por las ventas con tarjetas de crédito. Para mayor información véase “Riesgos Relacionados con el Sistema Financiero Argentino—Un marco regulatorio altamente impredecible podría afectar adversamente la economía argentina en general y el sector financiero, incluidos a nosotros”. </w:t>
      </w:r>
    </w:p>
    <w:p w14:paraId="3EAFEC59" w14:textId="77777777" w:rsidR="0028095B" w:rsidRPr="00AE4E8D" w:rsidRDefault="0028095B" w:rsidP="0028095B">
      <w:pPr>
        <w:pStyle w:val="BHTexto"/>
        <w:rPr>
          <w:lang w:val="es-ES"/>
        </w:rPr>
      </w:pPr>
      <w:r w:rsidRPr="00AE4E8D">
        <w:rPr>
          <w:lang w:val="es-ES"/>
        </w:rPr>
        <w:t>La aplicación de los límites establecidos por el BCRA y cualquier reducción adicional en las comisiones por ventas con tarjetas de crédito y débito podría afectar negativamente nuestra rentabilidad, situación financiera y resultado de operaciones.</w:t>
      </w:r>
    </w:p>
    <w:p w14:paraId="7E0AE0B4"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Los cambios en las condiciones de mercado, y los riesgos asociados, podrían afectar seria y negativamente nuestra situación patrimonial y los resultados de nuestras operaciones</w:t>
      </w:r>
    </w:p>
    <w:p w14:paraId="025B5972" w14:textId="77777777" w:rsidR="0028095B" w:rsidRPr="00AE4E8D" w:rsidRDefault="0028095B" w:rsidP="0028095B">
      <w:pPr>
        <w:pStyle w:val="BHTexto"/>
        <w:rPr>
          <w:lang w:val="es-ES"/>
        </w:rPr>
      </w:pPr>
      <w:r w:rsidRPr="00AE4E8D">
        <w:rPr>
          <w:lang w:val="es-ES"/>
        </w:rPr>
        <w:t xml:space="preserve">Estamos directa e indirectamente afectados por cambios en las condiciones de mercado. El riesgo de mercado, o el riesgo de que el valor de los activos y pasivos o ingresos se vea negativamente afectado por variaciones en las condiciones de mercado, </w:t>
      </w:r>
      <w:proofErr w:type="gramStart"/>
      <w:r w:rsidRPr="00AE4E8D">
        <w:rPr>
          <w:lang w:val="es-ES"/>
        </w:rPr>
        <w:t>es</w:t>
      </w:r>
      <w:proofErr w:type="gramEnd"/>
      <w:r w:rsidRPr="00AE4E8D">
        <w:rPr>
          <w:lang w:val="es-ES"/>
        </w:rPr>
        <w:t xml:space="preserve"> inherente a los productos e instrumentos asociados a nuestras operaciones, entre ellas los préstamos, depósitos, valores negociables, bonos, deuda a largo plazo y préstamos de corto plazo. Nuestra situación patrimonial y los resultados de nuestras operaciones pueden verse afectados por cambios en las condiciones de mercado, incluyendo las fluctuaciones en las tasas de interés y los tipos de cambio, los precios de los valores negociables, cambios en la volatilidad implícita de las tasas de interés y los tipos de cambio, entre otros.</w:t>
      </w:r>
    </w:p>
    <w:p w14:paraId="05832E3A"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Podrían producirse hechos en el ámbito de la seguridad informática que afectarían negativamente nuestra reputación y situación patrimonial y los resultados de nuestras operaciones</w:t>
      </w:r>
    </w:p>
    <w:p w14:paraId="14912950" w14:textId="77777777" w:rsidR="0028095B" w:rsidRPr="00AE4E8D" w:rsidRDefault="0028095B" w:rsidP="0028095B">
      <w:pPr>
        <w:pStyle w:val="BHTexto"/>
        <w:rPr>
          <w:lang w:val="es-ES"/>
        </w:rPr>
      </w:pPr>
      <w:r w:rsidRPr="00AE4E8D">
        <w:rPr>
          <w:lang w:val="es-ES"/>
        </w:rPr>
        <w:t xml:space="preserve">Tenemos acceso a una gran cantidad de información financiera confidencial y controlamos importantes activos financieros pertenecientes a nuestros clientes y nuestros. Asimismo, brindamos a nuestros clientes acceso remoto continuo a sus cuentas y la posibilidad de transferir activos financieros significativos en forma electrónica. En consecuencia, la seguridad informática es un riesgo importante para nosotros. Los incidentes en materia de seguridad informática, tales como el ingreso ilegal a computadoras, </w:t>
      </w:r>
      <w:r w:rsidRPr="00AE4E8D">
        <w:rPr>
          <w:i/>
          <w:lang w:val="es-ES"/>
        </w:rPr>
        <w:t>phishing</w:t>
      </w:r>
      <w:r w:rsidRPr="00AE4E8D">
        <w:rPr>
          <w:lang w:val="es-ES"/>
        </w:rPr>
        <w:t>, robo de identidad y otras alteraciones podrían afectar negativamente la seguridad de la información almacenada y transmitida a través de nuestros sistemas informáticos e infraestructura de red, haciendo que los clientes reales y potenciales se abstengan de realizar negocios con nosotros.</w:t>
      </w:r>
    </w:p>
    <w:p w14:paraId="1FEA9C0D" w14:textId="77777777" w:rsidR="0028095B" w:rsidRPr="00AE4E8D" w:rsidRDefault="0028095B" w:rsidP="0028095B">
      <w:pPr>
        <w:pStyle w:val="BHTexto"/>
        <w:rPr>
          <w:lang w:val="es-ES"/>
        </w:rPr>
      </w:pPr>
      <w:r w:rsidRPr="00AE4E8D">
        <w:rPr>
          <w:lang w:val="es-ES"/>
        </w:rPr>
        <w:lastRenderedPageBreak/>
        <w:t>Asimismo, los planes de contingencia existentes podrían no ser suficientes para cubrir los pasivos asociados con tales hechos y, por ende, la cobertura de seguros aplicable podría ser inadecuada, impidiéndonos recibir una indemnización total por las pérdidas sufridas como resultado de dicha alteración.</w:t>
      </w:r>
    </w:p>
    <w:p w14:paraId="06715995" w14:textId="77777777" w:rsidR="0028095B" w:rsidRPr="00AE4E8D" w:rsidRDefault="0028095B" w:rsidP="0028095B">
      <w:pPr>
        <w:pStyle w:val="BHTexto"/>
        <w:rPr>
          <w:lang w:val="es-ES"/>
        </w:rPr>
      </w:pPr>
      <w:r w:rsidRPr="00AE4E8D">
        <w:rPr>
          <w:lang w:val="es-ES"/>
        </w:rPr>
        <w:t>Si bien prevemos continuar implementando dispositivos de seguridad tecnológica y estableciendo procedimientos operativos para impedir dichos daños, no podemos asegurar que todos nuestros sistemas están libres de vulnerabilidad y que estas medidas de seguridad tendrán éxito. Si sucediera cualquiera de estos hechos, ello podría dañar nuestra reputación, acarrear serios costos y afectar nuestras operaciones, así como los resultados de nuestras operaciones y nuestra situación patrimonial.</w:t>
      </w:r>
    </w:p>
    <w:p w14:paraId="45866376"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La alteración o falla en cualquiera de nuestros sistemas informáticos podría afectar negativamente nuestro negocio</w:t>
      </w:r>
    </w:p>
    <w:p w14:paraId="4FA27C25" w14:textId="77777777" w:rsidR="0028095B" w:rsidRPr="00AE4E8D" w:rsidRDefault="0028095B" w:rsidP="0028095B">
      <w:pPr>
        <w:pStyle w:val="BHTexto"/>
        <w:rPr>
          <w:lang w:val="es-ES"/>
        </w:rPr>
      </w:pPr>
      <w:r w:rsidRPr="00AE4E8D">
        <w:rPr>
          <w:lang w:val="es-ES"/>
        </w:rPr>
        <w:t>Dependemos del funcionamiento eficiente e ininterrumpido de plataformas y redes de procesamiento de datos, comunicaciones e intercambio de información basadas en Internet, entre ellos los sistemas relacionados con el funcionamiento de nuestra red de cajeros automáticos. Nuestras operaciones dependen de nuestra capacidad de manejar nuestros sistemas informáticos y de comunicaciones en forma eficiente e ininterrumpida. Nuestras comunicaciones, sistemas o transacciones podrían verse dañados o alterados en caso de incendio, inundaciones, fallas en el suministro de energía eléctrica, desperfectos en las telecomunicaciones, virus informáticos, robo electrónico o físico y hechos o alteraciones similares. Asimismo, nuestros sistemas informáticos y operaciones pueden sufrir si sus proveedores no cumplen con la entrega puntual de los productos o deciden dar por finalizada su relación con el Banco.</w:t>
      </w:r>
    </w:p>
    <w:p w14:paraId="27818A88" w14:textId="77777777" w:rsidR="0028095B" w:rsidRPr="00AE4E8D" w:rsidRDefault="0028095B" w:rsidP="0028095B">
      <w:pPr>
        <w:pStyle w:val="BHTexto"/>
        <w:rPr>
          <w:lang w:val="es-ES"/>
        </w:rPr>
      </w:pPr>
      <w:r w:rsidRPr="00AE4E8D">
        <w:rPr>
          <w:lang w:val="es-ES"/>
        </w:rPr>
        <w:t>Cualquiera de los hechos antes descriptos podría causar alteraciones en nuestros sistemas informáticos, demoras y pérdida de datos críticos, e impedirnos operar en niveles óptimos. Asimismo, los planes de contingencia vigentes podrían no ser suficientes para cubrir todos esos hechos, por lo cual esto podría significar que la cobertura de seguros aplicable fuera limitada o inadecuada, impidiéndonos recibir una indemnización plena por las pérdidas sufridas debido a dicha alteración. Por otra parte, nuestro plan de recupero de pérdidas podría no ser suficiente para prevenir los daños resultantes de todos los casos, y nuestra cobertura de seguros podría ser inadecuada para cubrir las pérdidas causadas por interrupciones. Si ocurriera cualquiera de estas circunstancias, nuestra reputación, negocios, resultados operativos y situación patrimonial podrían verse negativamente afectados.</w:t>
      </w:r>
    </w:p>
    <w:p w14:paraId="2FAC5D3F" w14:textId="77777777" w:rsidR="0028095B" w:rsidRPr="00AE4E8D" w:rsidRDefault="0028095B" w:rsidP="0028095B">
      <w:pPr>
        <w:pStyle w:val="BHTexto"/>
        <w:rPr>
          <w:b/>
          <w:i/>
          <w:lang w:val="es-ES"/>
        </w:rPr>
      </w:pPr>
      <w:r w:rsidRPr="00AE4E8D">
        <w:rPr>
          <w:b/>
          <w:i/>
          <w:lang w:val="es-ES"/>
        </w:rPr>
        <w:t>Los riesgos no contemplados en nuestras pólizas de seguros pueden afectarnos de manera sustancialmente adversa</w:t>
      </w:r>
    </w:p>
    <w:p w14:paraId="02820B90" w14:textId="77777777" w:rsidR="0028095B" w:rsidRPr="00AE4E8D" w:rsidRDefault="0028095B" w:rsidP="0028095B">
      <w:pPr>
        <w:pStyle w:val="BHTexto"/>
        <w:rPr>
          <w:lang w:val="es-ES"/>
        </w:rPr>
      </w:pPr>
      <w:r w:rsidRPr="00AE4E8D">
        <w:rPr>
          <w:lang w:val="es-ES"/>
        </w:rPr>
        <w:t xml:space="preserve">Mantenemos seguros por cantidades que consideramos adecuadas para cubrir los riesgos relacionados con nuestras operaciones. Sin embargo, es posible que los términos y condiciones de nuestras pólizas de seguros no cubran un evento específico o incidente, o puede cubrir sólo una parte de las pérdidas en las que podamos incurrir. Si ocurren eventos no asegurados con respecto a un parte significativa de nuestras operaciones, o si debemos pagar deducibles altos como parte de esa cobertura, esos eventos podrían tener un efecto adverso sustancial en nuestras condiciones financieras y resultados de operaciones. Además, si no podemos renovar nuestras pólizas de seguros periódicamente o se producen pérdidas u otras responsabilidades que no están cubiertas por los seguros o que excedan sus límites, podríamos estar sujetos a costos adicionales significativos e inesperados que </w:t>
      </w:r>
      <w:proofErr w:type="gramStart"/>
      <w:r w:rsidRPr="00AE4E8D">
        <w:rPr>
          <w:lang w:val="es-ES"/>
        </w:rPr>
        <w:t>podrían</w:t>
      </w:r>
      <w:proofErr w:type="gramEnd"/>
      <w:r w:rsidRPr="00AE4E8D">
        <w:rPr>
          <w:lang w:val="es-ES"/>
        </w:rPr>
        <w:t xml:space="preserve"> afectarnos de manera sustancialmente adversa.</w:t>
      </w:r>
    </w:p>
    <w:p w14:paraId="52024657" w14:textId="77777777" w:rsidR="0028095B" w:rsidRPr="00AE4E8D" w:rsidRDefault="0028095B" w:rsidP="0028095B">
      <w:pPr>
        <w:pStyle w:val="BHTexto"/>
        <w:rPr>
          <w:b/>
          <w:i/>
          <w:lang w:val="es-ES"/>
        </w:rPr>
      </w:pPr>
      <w:r w:rsidRPr="00AE4E8D">
        <w:rPr>
          <w:b/>
          <w:i/>
          <w:lang w:val="es-ES"/>
        </w:rPr>
        <w:t>Estamos sujetos a litigios y otros procedimientos legales, administrativos y regulatorio</w:t>
      </w:r>
    </w:p>
    <w:p w14:paraId="3C5145D5" w14:textId="77777777" w:rsidR="0028095B" w:rsidRPr="00AE4E8D" w:rsidRDefault="0028095B" w:rsidP="0028095B">
      <w:pPr>
        <w:pStyle w:val="BHTexto"/>
        <w:rPr>
          <w:lang w:val="es-ES"/>
        </w:rPr>
      </w:pPr>
      <w:r w:rsidRPr="00AE4E8D">
        <w:rPr>
          <w:lang w:val="es-ES"/>
        </w:rPr>
        <w:t xml:space="preserve">Somos parte en litigios y otros procedimientos legales relacionados con </w:t>
      </w:r>
      <w:proofErr w:type="gramStart"/>
      <w:r w:rsidRPr="00AE4E8D">
        <w:rPr>
          <w:lang w:val="es-ES"/>
        </w:rPr>
        <w:t>las</w:t>
      </w:r>
      <w:proofErr w:type="gramEnd"/>
      <w:r w:rsidRPr="00AE4E8D">
        <w:rPr>
          <w:lang w:val="es-ES"/>
        </w:rPr>
        <w:t xml:space="preserve"> reclamos resultantes del curso normal de las operaciones de nuestro negocio. Véase "Información sobre la Emisora—Litigios". Los litigios están sujetos a incertidumbres inherentes y eventuales fallos desfavorables. Además, nuestro negocio y nuestras actividades ocurren el sector muy regulado y la incertidumbre sobre la evolución del régimen regulatorio puede generar costos de cumplimiento sustanciales y someternos a acciones de cumplimiento normativo, multas y sanciones.</w:t>
      </w:r>
      <w:r w:rsidRPr="00AE4E8D">
        <w:t xml:space="preserve"> </w:t>
      </w:r>
    </w:p>
    <w:p w14:paraId="14F0DF23" w14:textId="77777777" w:rsidR="0028095B" w:rsidRPr="00AE4E8D" w:rsidRDefault="0028095B" w:rsidP="0028095B">
      <w:pPr>
        <w:pStyle w:val="BHTexto"/>
        <w:rPr>
          <w:lang w:val="es-ES"/>
        </w:rPr>
      </w:pPr>
      <w:r w:rsidRPr="00AE4E8D">
        <w:rPr>
          <w:lang w:val="es-ES"/>
        </w:rPr>
        <w:t>No podemos asegurarle que los procedimientos actuales u otros procedimientos legales, administrativos y regulatorios no afectarán sustancial y negativamente nuestra capacidad de conducir nuestro negocio de la manera que esperamos o afectar negativamente nuestros resultados de operaciones y posición financiera en caso de que se produzca una decisión desfavorable. Si bien tenemos la intención de defender nuestras posiciones vigorosamente cuando se presentan procedimientos o las autoridades impongan multas, no puede haber seguridad de que tendremos éxito en dicha defensa. En consecuencia, podremos en el futuro estar sujetos al pago de multas y evaluaciones que podrían ser significativas en cantidad, lo que podría afectarnos de manera sustancialmente negativa.</w:t>
      </w:r>
    </w:p>
    <w:p w14:paraId="77AD049F" w14:textId="77777777" w:rsidR="0028095B" w:rsidRPr="00AE4E8D" w:rsidRDefault="0028095B" w:rsidP="0028095B">
      <w:pPr>
        <w:pStyle w:val="BHTexto"/>
        <w:rPr>
          <w:lang w:val="es-ES"/>
        </w:rPr>
      </w:pPr>
      <w:r w:rsidRPr="00AE4E8D">
        <w:rPr>
          <w:b/>
          <w:i/>
          <w:lang w:val="es-ES"/>
        </w:rPr>
        <w:lastRenderedPageBreak/>
        <w:t>El gobierno argentino podría prevalecer en nuestras asambleas de accionistas</w:t>
      </w:r>
    </w:p>
    <w:p w14:paraId="43974FD5" w14:textId="77777777" w:rsidR="0028095B" w:rsidRPr="00AE4E8D" w:rsidRDefault="0028095B" w:rsidP="0028095B">
      <w:pPr>
        <w:pStyle w:val="BHTexto"/>
        <w:rPr>
          <w:lang w:val="es-ES"/>
        </w:rPr>
      </w:pPr>
      <w:r w:rsidRPr="00AE4E8D">
        <w:rPr>
          <w:lang w:val="es-ES"/>
        </w:rPr>
        <w:t>En virtud de la Ley N°23.696 (la "Ley de Privatización"), no existen restricciones a la capacidad del gobierno argentino para disponer de sus acciones Clase A y todas esas acciones menos una podrían ser vendidas a terceros mediante oferta pública. Nuestros estatutos establecen que si en cualquier momento las acciones de Clase A llegaran a representar menos del 42% de nuestras acciones con derecho de voto, las acciones Clase D perderán automáticamente su derecho de voto triple, lo que podría hacer que nuestros principales accionistas pierdan el control del Banco. Si tal situación se materializa y si el gobierno argentino retiene un número suficiente de acciones Clase A, el gobierno argentino podría prevalecer en las asambleas de accionistas (a excepción de algunas decisiones que requieren mayorías calificadas) y, por lo tanto, podría ejercer un control efectivo o real sobre las decisiones que deben ser sometidas a consideración en cualquier reunión de nuestros accionistas.</w:t>
      </w:r>
    </w:p>
    <w:p w14:paraId="1EDE72D3" w14:textId="77777777" w:rsidR="0028095B" w:rsidRPr="00AE4E8D" w:rsidRDefault="0028095B" w:rsidP="0028095B">
      <w:pPr>
        <w:pStyle w:val="BHTexto"/>
        <w:rPr>
          <w:b/>
          <w:i/>
          <w:lang w:val="es-ES"/>
        </w:rPr>
      </w:pPr>
      <w:r w:rsidRPr="00AE4E8D">
        <w:rPr>
          <w:b/>
          <w:i/>
          <w:lang w:val="es-ES"/>
        </w:rPr>
        <w:t>Nos vemos sometidos a las decisiones tomadas por nuestro órgano de administración y accionistas y, al tomar tales decisiones, estos intereses pueden no estar alineados con los de los titulares de las Obligaciones Negociables ofrecidas mediante el presente Prospecto</w:t>
      </w:r>
    </w:p>
    <w:p w14:paraId="56E7D753" w14:textId="77777777" w:rsidR="0028095B" w:rsidRPr="00AE4E8D" w:rsidRDefault="0028095B" w:rsidP="0028095B">
      <w:pPr>
        <w:pStyle w:val="BHTexto"/>
        <w:rPr>
          <w:lang w:val="es-ES"/>
        </w:rPr>
      </w:pPr>
      <w:r w:rsidRPr="00AE4E8D">
        <w:rPr>
          <w:lang w:val="es-ES"/>
        </w:rPr>
        <w:t>Podríamos vernos afectados por una serie de decisiones, incluidas las decisiones de gestión tomadas por nosotros, así como las decisiones tomadas por nuestros accionistas de conformidad con la Ley General de Sociedades. No tenemos la obligación de considerar los intereses de los titulares de las Obligaciones Negociables que se ofrecen aquí (o cualquier otra serie de nuestro endeudamiento que pueda estar pendiente) en relación con nuestras decisiones estratégicas generales. Además, los tenedores de las Obligaciones Negociables pueden no tener reclamo alguno contra nosotros o nuestros accionistas en relación con las decisiones que afectan el negocio y nuestras operaciones.</w:t>
      </w:r>
    </w:p>
    <w:p w14:paraId="173C80B8" w14:textId="77777777" w:rsidR="0028095B" w:rsidRPr="00AE4E8D" w:rsidRDefault="0028095B" w:rsidP="0028095B">
      <w:pPr>
        <w:pStyle w:val="BH3Izquierda"/>
        <w:rPr>
          <w:lang w:val="es-ES"/>
        </w:rPr>
      </w:pPr>
      <w:r w:rsidRPr="00AE4E8D">
        <w:rPr>
          <w:lang w:val="es-ES"/>
        </w:rPr>
        <w:t>Riesgos Relacionados con las Obligaciones Negociables</w:t>
      </w:r>
    </w:p>
    <w:p w14:paraId="0722C619" w14:textId="77777777" w:rsidR="0028095B" w:rsidRPr="00AE4E8D" w:rsidRDefault="0028095B" w:rsidP="0028095B">
      <w:pPr>
        <w:pStyle w:val="BH4Cursiva"/>
      </w:pPr>
      <w:r w:rsidRPr="00AE4E8D">
        <w:t>En el supuesto de nuestra quiebra, las Obligaciones Negociables darán prioridad a los créditos de depositantes y otros acreedores privilegiados</w:t>
      </w:r>
    </w:p>
    <w:p w14:paraId="5C1669D9" w14:textId="77777777" w:rsidR="0028095B" w:rsidRPr="00AE4E8D" w:rsidRDefault="0028095B" w:rsidP="0028095B">
      <w:pPr>
        <w:pStyle w:val="BHTexto"/>
        <w:rPr>
          <w:lang w:val="es-ES"/>
        </w:rPr>
      </w:pPr>
      <w:r w:rsidRPr="00AE4E8D">
        <w:rPr>
          <w:lang w:val="es-ES"/>
        </w:rPr>
        <w:t xml:space="preserve">La Ley de Entidades Financieras, con sus modificaciones, establece que en el supuesto de quiebra o liquidación, todos los depositantes, ya sean personas humanas o jurídicas, y sin perjuicio del tipo, monto o moneda de sus depósitos, tendrán un privilegio general y absoluto respecto de cualquier otro acreedor nuestro, incluidos los tenedores de las Obligaciones Negociables, excepto los acreedores laborales, los acreedores garantizados con prenda o hipoteca, o las líneas otorgadas por el BCRA o el fondo de liquidez bancaria argentino (según la definición del Decreto Nº32/2001) y garantizados con una garantía prendaria o hipotecaria, a ser pagados con el 100% del producido de la liquidación de nuestros activos. </w:t>
      </w:r>
    </w:p>
    <w:p w14:paraId="62E78F95" w14:textId="77777777" w:rsidR="0028095B" w:rsidRPr="00AE4E8D" w:rsidRDefault="0028095B" w:rsidP="0028095B">
      <w:pPr>
        <w:pStyle w:val="BHTexto"/>
        <w:rPr>
          <w:lang w:val="es-ES"/>
        </w:rPr>
      </w:pPr>
      <w:r w:rsidRPr="00AE4E8D">
        <w:rPr>
          <w:lang w:val="es-ES"/>
        </w:rPr>
        <w:t>Asimismo, los titulares de cualquier tipo de depósitos tendrán derecho de prioridad especial con respecto a nuestros acreedores remanentes del Banco, incluyendo a los tenedores de las Obligaciones Negociables, excepto con respecto a créditos laborales y créditos garantizados con prenda o hipoteca, que se pagarán con (i) nuestros fondos en poder del BCRA a modo de reservas; (ii) otros fondos existentes a la fecha en que se revoque su habilitación; o (iii) los fondos de la transferencia obligatoria de nuestros activos según lo determinado por el BCRA, en el siguiente orden de prioridad: (a) depósitos de hasta Ps.50.000 por persona o sociedad (considerando todos los importes de esa persona/sociedad depositados en una entidad financiera) o el monto equivalente en moneda extranjera, confiriéndole un derecho de prioridad a una persona por depósito (en el caso de más de un titular de cuenta, el monto se prorratea entre dichos titulares de cuenta); (b) todos los depósitos que superen los Ps.50.000 o su equivalente en moneda extranjera, por los montos que excedan dicho importe; y (c) pasivos derivados de las facilidades crediticias recibidas por nosotros, que afectan directamente el comercio internacional. Además, conforme al artículo 53 de la Ley de Entidades Financieras, todo crédito del BCRA tendrá prioridad sobre otros acreedores, incluyendo a los tenedores de Obligaciones Negociables, excepto los acreedores garantizados con prenda o hipoteca, ciertos acreedores laborales y depositantes (en los términos descriptos precedentemente), líneas otorgadas en virtud de la Carta Orgánica del BCRA (redescuentos otorgados a entidades financieras en el supuesto de falta temporaria de liquidez, anticipos a entidades financieras bajo un bono, cesión de bonos, prenda o cesión especial de ciertos activos) y líneas otorgadas por el fondo de liquidez bancaria y garantizadas por una garantía prendaria o hipotecaria.</w:t>
      </w:r>
    </w:p>
    <w:p w14:paraId="687C3A97"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Por ser una entidad financiera, todo procedimiento de insolvencia que contra nosotros estaría sujeto a la intervención del BCRA, lo que podría limitar los recursos disponibles y demorar el recupero de los créditos de los obligacionistas</w:t>
      </w:r>
    </w:p>
    <w:p w14:paraId="00E0AF8A" w14:textId="77777777" w:rsidR="0028095B" w:rsidRPr="00AE4E8D" w:rsidRDefault="0028095B" w:rsidP="0028095B">
      <w:pPr>
        <w:autoSpaceDE w:val="0"/>
        <w:autoSpaceDN w:val="0"/>
        <w:adjustRightInd w:val="0"/>
        <w:spacing w:before="120" w:after="120"/>
        <w:jc w:val="both"/>
        <w:rPr>
          <w:rStyle w:val="BHTextoCar"/>
          <w:lang w:val="es-ES"/>
        </w:rPr>
      </w:pPr>
      <w:r w:rsidRPr="00AE4E8D">
        <w:rPr>
          <w:rFonts w:ascii="Times New Roman" w:hAnsi="Times New Roman"/>
          <w:lang w:val="es-ES"/>
        </w:rPr>
        <w:t xml:space="preserve">En caso de nuestra insolvencia, no pasaríamos automáticamente a ser objeto de un proceso de insolvencia </w:t>
      </w:r>
      <w:r w:rsidRPr="00AE4E8D">
        <w:rPr>
          <w:rStyle w:val="BHTextoCar"/>
          <w:lang w:val="es-ES"/>
        </w:rPr>
        <w:t xml:space="preserve">bajo la Ley Nº24.522 (la “Ley de Concursos y Quiebras de Argentina”). Por el contrario, seríamos objeto </w:t>
      </w:r>
      <w:r w:rsidRPr="00AE4E8D">
        <w:rPr>
          <w:rStyle w:val="BHTextoCar"/>
          <w:lang w:val="es-ES"/>
        </w:rPr>
        <w:lastRenderedPageBreak/>
        <w:t>de un procedimiento administrativo previo, de acuerdo con la Ley de Entidades Financieras, en virtud del cual el BCRA intervendría mediante la designación de un interventor, nos solicitaría la presentación de un plan de regularización, transferiría ciertos activos y pasivos y posiblemente y suspendería o revocaría nuestra habilitación para operar como una entidad bancaria. Sólo después de la revocación de dicha habilitación, podríamos ser objeto de un proceso para la declaración de quiebra y/o liquidación judicial de conformidad con la Ley de Concursos y Quiebras de Argentina. En consecuencia, los tenedores de las Obligaciones Negociables recibirían los montos de sus créditos con mayores demoras que si lo hicieran en el marco de un proceso de quiebra ordinario desarrollado en Argentina (distinto de un proceso de quiebra de una entidad financiera), o en Estados Unidos de América.</w:t>
      </w:r>
    </w:p>
    <w:p w14:paraId="46BAFE33" w14:textId="77777777" w:rsidR="0028095B" w:rsidRPr="00AE4E8D" w:rsidRDefault="0028095B" w:rsidP="0028095B">
      <w:pPr>
        <w:pStyle w:val="BH4Cursiva"/>
      </w:pPr>
      <w:r w:rsidRPr="00AE4E8D">
        <w:t>Nuestras Obligaciones Negociables no estarán garantizadas, y estarán efectivamente subordinadas a nuestra deuda garantizada</w:t>
      </w:r>
    </w:p>
    <w:p w14:paraId="0EB6C5CB" w14:textId="77777777" w:rsidR="0028095B" w:rsidRPr="00AE4E8D" w:rsidRDefault="0028095B" w:rsidP="0028095B">
      <w:pPr>
        <w:pStyle w:val="BHTexto"/>
        <w:rPr>
          <w:lang w:val="es-ES"/>
        </w:rPr>
      </w:pPr>
      <w:r w:rsidRPr="00AE4E8D">
        <w:rPr>
          <w:lang w:val="es-ES"/>
        </w:rPr>
        <w:t>Las Obligaciones Negociables no estarán garantizadas con ninguno de nuestros bienes. De conformidad con el contrato de fideicomiso o el contrato de colocación, en su caso, que rige las Obligaciones Negociables, estamos autorizados a incurrir en un importante monto de deuda garantizada adicional, y no existe un límite para el monto de deuda garantizada que nuestras subsidiarias pueden incurrir. Los créditos de los acreedores de nuestra deuda garantizada serán de rango efectivamente mayor que los créditos de los tenedores de las Obligaciones Negociables, en la medida del valor de los activos que garantizan la deuda garantizada.</w:t>
      </w:r>
    </w:p>
    <w:p w14:paraId="14CEC4D4" w14:textId="77777777" w:rsidR="0028095B" w:rsidRPr="00AE4E8D" w:rsidRDefault="0028095B" w:rsidP="0028095B">
      <w:pPr>
        <w:pStyle w:val="BHTexto"/>
        <w:rPr>
          <w:lang w:val="es-ES"/>
        </w:rPr>
      </w:pPr>
      <w:r w:rsidRPr="00AE4E8D">
        <w:rPr>
          <w:lang w:val="es-ES"/>
        </w:rPr>
        <w:t>Si fuésemos declarados en quiebra o fuésemos objeto de una liquidación, o si se acelera el vencimiento del pago de cualquier deuda garantizada, los prestamistas de dicha deuda tendrían derecho a ejercer los recursos que se encuentran a disposición de un prestamista garantizado. En consecuencia, el prestamista tendrá prioridad sobre cualquier reclamo de pago bajo las Obligaciones Negociables no garantizadas hasta el valor de los activos que constituyen su garantía. Si ello ocurriera, podría no haber activos remanentes para satisfacer los reclamos de los tenedores de las Obligaciones Negociables no garantizadas. Asimismo, si existieran activos remanentes luego del pago a estos prestamistas, dichos activos remanentes estarían a disposición de los acreedores que gozan de preferencia en virtud de la ley y podrían ser insuficientes para satisfacer los reclamos de los tenedores de las Obligaciones Negociables no garantizadas y los tenedores de otra deuda no garantizada, entre ellos los acreedores comerciales, que tienen igual rango de prioridad que los tenedores de las Obligaciones Negociables.</w:t>
      </w:r>
    </w:p>
    <w:p w14:paraId="5B61C8D0" w14:textId="77777777" w:rsidR="0028095B" w:rsidRPr="00AE4E8D" w:rsidRDefault="0028095B" w:rsidP="0028095B">
      <w:pPr>
        <w:pStyle w:val="BHTexto"/>
        <w:rPr>
          <w:lang w:val="es-ES"/>
        </w:rPr>
      </w:pPr>
      <w:r w:rsidRPr="00AE4E8D">
        <w:rPr>
          <w:lang w:val="es-ES"/>
        </w:rPr>
        <w:t>Adicionalmente, nuestros acreedores podrían tener valores negociables u otros instrumentos bajo ley argentina que les confieran derecho a embargar nuestros activos al inicio de procedimientos judiciales en la jurisdicción respectiva, embargos que podrían resultar en preferencias que beneficien a tales acreedores en comparación con los derechos de los tenedores de las Obligaciones Negociables.</w:t>
      </w:r>
    </w:p>
    <w:p w14:paraId="5161BE8F" w14:textId="77777777" w:rsidR="0028095B" w:rsidRPr="00AE4E8D" w:rsidRDefault="0028095B" w:rsidP="0028095B">
      <w:pPr>
        <w:pStyle w:val="BH4Cursiva"/>
      </w:pPr>
      <w:r w:rsidRPr="00AE4E8D">
        <w:t>Es posible que no se desarrolle un mercado activo para las Obligaciones Negociables</w:t>
      </w:r>
    </w:p>
    <w:p w14:paraId="2DD85C7A" w14:textId="77777777" w:rsidR="0028095B" w:rsidRPr="00AE4E8D" w:rsidRDefault="0028095B" w:rsidP="0028095B">
      <w:pPr>
        <w:pStyle w:val="BHTexto"/>
        <w:rPr>
          <w:lang w:val="es-ES"/>
        </w:rPr>
      </w:pPr>
      <w:r w:rsidRPr="00AE4E8D">
        <w:rPr>
          <w:lang w:val="es-ES"/>
        </w:rPr>
        <w:t xml:space="preserve">Las Obligaciones Negociables bajo este Programa constituyen valores negociables nuevos para los que no existe actualmente un mercado de negociación activo. Podemos solicitar que las Obligaciones Negociables de una clase se listen en la Bolsa de Comercio de Luxemburgo para su negociación en el Euro MTF y en BYMA y para que las Obligaciones Negociables sean admitidas para su negociación en el MAE, pero no podemos garantizar que, de ser efectuadas, esas solicitudes serán aprobadas. </w:t>
      </w:r>
    </w:p>
    <w:p w14:paraId="606076B5" w14:textId="77777777" w:rsidR="0028095B" w:rsidRPr="00AE4E8D" w:rsidRDefault="0028095B" w:rsidP="0028095B">
      <w:pPr>
        <w:pStyle w:val="BHTexto"/>
        <w:rPr>
          <w:lang w:val="es-ES"/>
        </w:rPr>
      </w:pPr>
      <w:r w:rsidRPr="00AE4E8D">
        <w:rPr>
          <w:lang w:val="es-ES"/>
        </w:rPr>
        <w:t>Las Obligaciones Negociables se negociaran luego de su emisión inicial, puede suceder que se negocien con un descuento sobre su precio de oferta inicial, dependiendo de las tasas de interés vigentes, el mercado para valores negociables similares, la situación económica general y nuestro desempeño financiero.</w:t>
      </w:r>
    </w:p>
    <w:p w14:paraId="6FB6D50B" w14:textId="77777777" w:rsidR="0028095B" w:rsidRPr="00AE4E8D" w:rsidRDefault="0028095B" w:rsidP="0028095B">
      <w:pPr>
        <w:pStyle w:val="BHTexto"/>
        <w:rPr>
          <w:lang w:val="es-ES"/>
        </w:rPr>
      </w:pPr>
      <w:r w:rsidRPr="00AE4E8D">
        <w:rPr>
          <w:lang w:val="es-ES"/>
        </w:rPr>
        <w:t>No puede garantizarse que se desarrollará un mercado de negociación activo para las Obligaciones Negociables de cualquier clase, o que, en caso de desarrollarse, éste se mantendrá. Si no se desarrolla o no se mantiene un mercado de negociación activo para las Obligaciones Negociables, los tenedores de las Obligaciones Negociables podrán tener dificultades para revender las Obligaciones Negociables o podrían verse imposibilitados de venderlas o de hacerlo a un precio atractivo o en absoluto. Asimismo, aun cuando se desarrolle un mercado, la liquidez de cualquier mercado para las Obligaciones Negociables dependerá de la cantidad de tenedores de Obligaciones Negociables, el interés de los agentes intermediarios en crear un mercado para las Obligaciones Negociables y otros factores; por ende, a pesar de desarrollarse un mercado para las Obligaciones Negociables, éste podría no ser líquido. Asimismo, si se negocian las Obligaciones Negociables, éstas podrán negociarse con un descuento sobre su precio de oferta inicial, dependiendo de las tasas de interés vigentes, el mercado para valores negociables similares, la situación económica general y nuestro desempeño y perspectivas económicas y otros factores.</w:t>
      </w:r>
    </w:p>
    <w:p w14:paraId="5417F849" w14:textId="77777777" w:rsidR="0028095B" w:rsidRPr="00AE4E8D" w:rsidRDefault="0028095B" w:rsidP="0028095B">
      <w:pPr>
        <w:pStyle w:val="BH4Cursiva"/>
      </w:pPr>
      <w:r w:rsidRPr="00AE4E8D">
        <w:lastRenderedPageBreak/>
        <w:t>Los controles cambiarios y las restricciones a las remesas al exterior, si se reimpusieran, podrían afectar la capacidad de los inversores de recibir pagos respecto de las Obligaciones Negociables</w:t>
      </w:r>
    </w:p>
    <w:p w14:paraId="369CFAF0" w14:textId="77777777" w:rsidR="0028095B" w:rsidRPr="00AE4E8D" w:rsidRDefault="0028095B" w:rsidP="0028095B">
      <w:pPr>
        <w:pStyle w:val="BHTexto"/>
        <w:rPr>
          <w:lang w:val="es-ES"/>
        </w:rPr>
      </w:pPr>
      <w:r w:rsidRPr="00AE4E8D">
        <w:rPr>
          <w:lang w:val="es-ES"/>
        </w:rPr>
        <w:t>Durante 2001 y 2002, la Argentina impuso controles cambiarios y restricciones a la transferencia que limitaron sustancialmente la capacidad de las empresas de mantener divisas o efectuar pagos al exterior. Estas restricciones estuvieron vigentes hasta diciembre de 2015, momento en que comenzaron a derogarse sustancialmente. Hacia el final de 2016, las restricciones restantes que impedían el libre acceso a TIULC fueron derogadas. A pesar de la libre accesibilidad que existe actualmente en el TIULC, el Gobierno puede imponer en el futuro controles adicionales sobre el mercado de divisas y sobre los flujos de capital desde y hacia Argentina, en respuesta a la fuga de capitales o una depreciación del peso. Estas restricciones podrían tener un efecto negativo en la economía y en nuestro negocio</w:t>
      </w:r>
      <w:r w:rsidRPr="00AE4E8D">
        <w:t xml:space="preserve"> </w:t>
      </w:r>
      <w:r w:rsidRPr="00AE4E8D">
        <w:rPr>
          <w:lang w:val="es-ES"/>
        </w:rPr>
        <w:t xml:space="preserve">y, por lo tanto, en su capacidad para recibir pagos bajo las Obligaciones Negociables si se impusieran en un entorno económico donde el acceso al capital local está restringido. Para mayo detalle ver la sección </w:t>
      </w:r>
      <w:r w:rsidRPr="00AE4E8D">
        <w:rPr>
          <w:i/>
          <w:lang w:val="es-ES"/>
        </w:rPr>
        <w:t xml:space="preserve">“Controles de Cambio” </w:t>
      </w:r>
      <w:r w:rsidRPr="00AE4E8D">
        <w:rPr>
          <w:lang w:val="es-ES"/>
        </w:rPr>
        <w:t>de este Prospecto.</w:t>
      </w:r>
    </w:p>
    <w:p w14:paraId="3F538AAD" w14:textId="77777777" w:rsidR="0028095B" w:rsidRPr="00AE4E8D" w:rsidRDefault="0028095B" w:rsidP="0028095B">
      <w:pPr>
        <w:pStyle w:val="BH4Cursiva"/>
      </w:pPr>
      <w:r w:rsidRPr="00AE4E8D">
        <w:t>Las Obligaciones Negociables estarán sujetas a restricciones a la transferencia que podrían limitar nuestra capacidad de revender sus Obligaciones Negociables</w:t>
      </w:r>
    </w:p>
    <w:p w14:paraId="02FBDF40" w14:textId="77777777" w:rsidR="0028095B" w:rsidRPr="00AE4E8D" w:rsidRDefault="0028095B" w:rsidP="0028095B">
      <w:pPr>
        <w:pStyle w:val="BHTexto"/>
        <w:rPr>
          <w:lang w:val="es-ES"/>
        </w:rPr>
      </w:pPr>
      <w:r w:rsidRPr="00AE4E8D">
        <w:rPr>
          <w:lang w:val="es-ES"/>
        </w:rPr>
        <w:t xml:space="preserve">Las Obligaciones Negociables no han sido ni serán registradas bajo la Ley de Títulos Valores ni ninguna ley estadual en materia de valores negociables, y no podrán ser alteradas o vendidas dentro de los Estados Unidos de América ni a favor o para beneficio de ninguna persona estadounidense, salvo en operaciones que se encuentren exentas del requisito de registro de la Ley de Títulos Valores estadounidense o no sujetas al mismo. Tales excepciones incluyen ofertas y ventas ocurridas fuera de los Estados Unidos de América en cumplimiento de la Reglamentación S y de acuerdo con las leyes aplicables en materia de valores negociables de cualquier otra jurisdicción y ventas a compradores institucionales calificados según la definición de la Norma de 144A. Para un análisis de ciertas restricciones a la reventa y transferencia, véase </w:t>
      </w:r>
      <w:r w:rsidRPr="00AE4E8D">
        <w:rPr>
          <w:i/>
          <w:lang w:val="es-ES"/>
        </w:rPr>
        <w:t>“Suscripción y Venta”</w:t>
      </w:r>
      <w:r w:rsidRPr="00AE4E8D">
        <w:rPr>
          <w:lang w:val="es-ES"/>
        </w:rPr>
        <w:t xml:space="preserve"> y </w:t>
      </w:r>
      <w:r w:rsidRPr="00AE4E8D">
        <w:rPr>
          <w:i/>
          <w:lang w:val="es-ES"/>
        </w:rPr>
        <w:t>“Restricciones a la Transferencia”.</w:t>
      </w:r>
      <w:r w:rsidRPr="00AE4E8D">
        <w:rPr>
          <w:lang w:val="es-ES"/>
        </w:rPr>
        <w:t xml:space="preserve"> En consecuencia, un tenedor de Obligaciones Negociables deberá estar en condiciones de afrontar el riesgo económico de su inversión en las Obligaciones Negociables durante todo su plazo.</w:t>
      </w:r>
    </w:p>
    <w:p w14:paraId="13B049E8" w14:textId="77777777" w:rsidR="0028095B" w:rsidRPr="00AE4E8D" w:rsidRDefault="0028095B" w:rsidP="0028095B">
      <w:pPr>
        <w:pStyle w:val="BH4Cursiva"/>
      </w:pPr>
      <w:r w:rsidRPr="00AE4E8D">
        <w:t>Los acontecimientos de otros países pueden afectar negativamente el valor de mercado de las Obligaciones Negociables</w:t>
      </w:r>
    </w:p>
    <w:p w14:paraId="6D1010D6" w14:textId="77777777" w:rsidR="0028095B" w:rsidRPr="00AE4E8D" w:rsidRDefault="0028095B" w:rsidP="0028095B">
      <w:pPr>
        <w:pStyle w:val="BHTexto"/>
        <w:rPr>
          <w:lang w:val="es-ES"/>
        </w:rPr>
      </w:pPr>
      <w:r w:rsidRPr="00AE4E8D">
        <w:rPr>
          <w:lang w:val="es-ES"/>
        </w:rPr>
        <w:t>El precio de mercado de las Obligaciones Negociables podrá verse afectado negativamente por los sucesos en los mercados financieros internacionales y la situación económica mundial. Los mercados bursátiles de la Argentina se encuentran influenciados en cierta medida por las condiciones económicas y financieras de otros países, en especial en América Latina y otros mercados emergentes y fronterizos. Si bien las condiciones económicas son diferentes en cada país, la reacción de los inversores a los acontecimientos de otros países puede afectar los títulos de las emisoras de otros países, entre ellos Argentina. No podemos garantizar que el mercado de valores negociables de emisoras argentinas no se ve afectado negativamente por hechos ocurridos en otras jurisdicciones o que dichos acontecimientos no tendrán un impacto negativo sobre el valor de mercado de las Obligaciones Negociables. Por ejemplo, un incremento en las tasas de interés en un país desarrollado, como sería Estados Unidos, o un evento negativo en un mercado emergente podrían provocar salidas significativas de capital de Argentina y reducir el precio de las Obligaciones Negociables.</w:t>
      </w:r>
    </w:p>
    <w:p w14:paraId="1C62E47F" w14:textId="77777777" w:rsidR="0028095B" w:rsidRPr="00AE4E8D" w:rsidRDefault="0028095B" w:rsidP="0028095B">
      <w:pPr>
        <w:pStyle w:val="BH4Cursiva"/>
      </w:pPr>
      <w:r w:rsidRPr="00AE4E8D">
        <w:t>No es posible garantizar que las calificaciones de riesgo de las Obligaciones Negociables no serán reducidas, suspendidas o retiradas por las sociedades calificadoras</w:t>
      </w:r>
    </w:p>
    <w:p w14:paraId="18E48E44" w14:textId="77777777" w:rsidR="0028095B" w:rsidRPr="00AE4E8D" w:rsidRDefault="0028095B" w:rsidP="0028095B">
      <w:pPr>
        <w:pStyle w:val="BHTexto"/>
        <w:rPr>
          <w:lang w:val="es-ES"/>
        </w:rPr>
      </w:pPr>
      <w:r w:rsidRPr="00AE4E8D">
        <w:rPr>
          <w:lang w:val="es-ES"/>
        </w:rPr>
        <w:t>Las calificaciones de riesgo de las Obligaciones Negociables pueden cambiar después de su emisión. Dichas calificaciones tienen un alcance limitado y no abordan todos los riesgos importantes relativos a una inversión en las Obligaciones Negociables, sino que reflejan únicamente las visiones de las sociedades calificadoras al momento de emitir las calificaciones. Asimismo, los métodos de asignación de calificaciones empleadas por las sociedades calificadoras argentinas pueden diferir en aspectos importantes de las empleadas por las sociedades calificadoras de los Estados Unidos de América u otros países. Las calificaciones de las Obligaciones Negociables no constituyen una recomendación para comprar, vender o detentar las Obligaciones Negociables, y las calificaciones no contienen comentarios sobre precios de mercado o la adecuación para un inversor en particular. Puede obtenerse una explicación sobre la significancia de estas calificaciones mediante consulta a las sociedades calificadoras. No es posible garantizar que dichas calificaciones de riesgo continuarán vigentes durante un plazo determinado o que dichas calificaciones no serán reducidas, suspendidas o retiradas de plano por las sociedades calificadoras, si a su juicio las circunstancias así lo ameritan. La baja, suspensión o el retiro de dichas calificaciones puede tener un efecto adverso sobre el precio de mercado y la comerciabilidad de las Obligaciones Negociables.</w:t>
      </w:r>
    </w:p>
    <w:p w14:paraId="13328E0A" w14:textId="77777777" w:rsidR="0028095B" w:rsidRPr="00AE4E8D" w:rsidRDefault="0028095B" w:rsidP="0028095B">
      <w:pPr>
        <w:pStyle w:val="BHTexto"/>
        <w:rPr>
          <w:lang w:val="es-ES"/>
        </w:rPr>
      </w:pPr>
      <w:r w:rsidRPr="00AE4E8D">
        <w:rPr>
          <w:lang w:val="es-ES"/>
        </w:rPr>
        <w:lastRenderedPageBreak/>
        <w:t>Los acontecimientos negativos en los negocios, los resultados de las operaciones y la situación patrimonial u otros factores podrían hacer que las sociedades calificadoras bajen sus calificaciones de riesgo o las perspectivas de las calificaciones de nuestra deuda de corto y largo plazo, y en consecuencia podrían afectar nuestra capacidad de captar nuevo financiamiento o refinanciar nuestras deudas actuales y aumentar nuestros costos de emisión de nuevos instrumentos de deuda. Cualquiera de estos factores podría afectar nuestros negocios.</w:t>
      </w:r>
    </w:p>
    <w:p w14:paraId="157FC61D" w14:textId="77777777" w:rsidR="0028095B" w:rsidRPr="00AE4E8D" w:rsidRDefault="0028095B" w:rsidP="0028095B">
      <w:pPr>
        <w:pStyle w:val="BH4Cursiva"/>
      </w:pPr>
      <w:r w:rsidRPr="00AE4E8D">
        <w:t>Podremos rescatar las Obligaciones Negociables antes del vencimiento</w:t>
      </w:r>
    </w:p>
    <w:p w14:paraId="61E00E04" w14:textId="77777777" w:rsidR="0028095B" w:rsidRPr="00AE4E8D" w:rsidRDefault="0028095B" w:rsidP="0028095B">
      <w:pPr>
        <w:pStyle w:val="BHTexto"/>
        <w:rPr>
          <w:lang w:val="es-ES"/>
        </w:rPr>
      </w:pPr>
      <w:r w:rsidRPr="00AE4E8D">
        <w:rPr>
          <w:lang w:val="es-ES"/>
        </w:rPr>
        <w:t>Las Obligaciones Negociables podrán ser rescatadas a nuestra opción en caso de producirse ciertos cambios en los impuestos argentinos, y si el suplemento de precio aplicable así lo especificara, las Obligaciones Negociables también podrán ser rescatadas a nuestra opción por cualquier otra razón, siempre observando el trato igualitario entre todos los tenedores de Obligaciones Negociables de una misma clase o serie. Podremos optar por rescatar dichas Obligaciones Negociables en circunstancias en las cuales las tasas de interés vigentes sean relativamente bajas. En consecuencia, un inversor podría no estar en posición de reinvertir los fondos provenientes del rescate en un valor negociable similar a una tasa de interés efectiva tan alta como la de las Obligaciones Negociables.</w:t>
      </w:r>
    </w:p>
    <w:p w14:paraId="6B86943B" w14:textId="77777777" w:rsidR="0028095B" w:rsidRPr="00AE4E8D" w:rsidRDefault="0028095B" w:rsidP="0028095B">
      <w:pPr>
        <w:keepNext/>
        <w:autoSpaceDE w:val="0"/>
        <w:autoSpaceDN w:val="0"/>
        <w:adjustRightInd w:val="0"/>
        <w:spacing w:after="120"/>
        <w:jc w:val="both"/>
        <w:outlineLvl w:val="3"/>
        <w:rPr>
          <w:rStyle w:val="BH4CursivaCar"/>
          <w:lang w:val="es-ES"/>
        </w:rPr>
      </w:pPr>
      <w:r w:rsidRPr="00AE4E8D">
        <w:rPr>
          <w:rFonts w:ascii="Times New Roman" w:hAnsi="Times New Roman"/>
          <w:b/>
          <w:i/>
          <w:lang w:val="es-ES"/>
        </w:rPr>
        <w:t xml:space="preserve">Los tenedores de Obligaciones Negociables podrían encontrar dificultad en obtener el cumplimiento de </w:t>
      </w:r>
      <w:r w:rsidRPr="00AE4E8D">
        <w:rPr>
          <w:rStyle w:val="BH4CursivaCar"/>
          <w:lang w:val="es-ES"/>
        </w:rPr>
        <w:t>acciones de responsabilidad civil contra nosotros o nuestros directores, funcionarios y personas controlantes</w:t>
      </w:r>
    </w:p>
    <w:p w14:paraId="24F1810A" w14:textId="77777777" w:rsidR="0028095B" w:rsidRPr="00AE4E8D" w:rsidRDefault="0028095B" w:rsidP="0028095B">
      <w:pPr>
        <w:pStyle w:val="BHTexto"/>
        <w:rPr>
          <w:lang w:val="es-ES"/>
        </w:rPr>
      </w:pPr>
      <w:r w:rsidRPr="00AE4E8D">
        <w:rPr>
          <w:lang w:val="es-ES"/>
        </w:rPr>
        <w:t>Hemos sido constituidos según las leyes de Argentina y nuestro domicilio social se encuentra ubicado en la Ciudad Autónoma de Buenos Aires, Argentina. La mayoría de nuestros directores, funcionarios y personas controlantes residen fuera de Estados Unidos de América. Asimismo, todo o una parte sustancial de nuestros activos y de nuestros directores, funcionarios y personas controlantes se encuentran ubicados fuera de Estados Unidos de América. Como resultado, podrá ser difícil para los tenedores de Obligaciones Negociables correr traslado de notificaciones en los Estados Unidos de América a tales personas o exigir el cumplimiento de sentencias en su contra, incluida cualquier acción basada en la responsabilidad civil según las leyes de valores negociables federales Estadounidenses. En base a la opinión de nuestros asesores legales argentinos, existen dudas respecto de la exigibilidad contra dichas personas en Argentina, ya sea en acciones originales o en acciones para ejecutar sentencias de tribunales Estadounidenses, de responsabilidades basadas únicamente en las leyes de valores negociables federales Estadounidenses.</w:t>
      </w:r>
    </w:p>
    <w:p w14:paraId="5FF01BCC" w14:textId="77777777" w:rsidR="0028095B" w:rsidRPr="00AE4E8D" w:rsidRDefault="0028095B" w:rsidP="0028095B">
      <w:pPr>
        <w:pStyle w:val="BH4Cursiva"/>
      </w:pPr>
      <w:r w:rsidRPr="00AE4E8D">
        <w:t>Las obligaciones contraídas en virtud de las Obligaciones Negociables están efectivamente subordinadas a ciertos pasivos con privilegios previstos por ley</w:t>
      </w:r>
    </w:p>
    <w:p w14:paraId="19673FAC" w14:textId="77777777" w:rsidR="0028095B" w:rsidRPr="00AE4E8D" w:rsidRDefault="0028095B" w:rsidP="0028095B">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lang w:val="es-ES"/>
        </w:rPr>
        <w:t xml:space="preserve">Conforme a la Ley de Quiebras de Argentina, las obligaciones bajo las Obligaciones Negociables están </w:t>
      </w:r>
      <w:r w:rsidRPr="00AE4E8D">
        <w:rPr>
          <w:rStyle w:val="BHTextoCar"/>
          <w:lang w:val="es-ES"/>
        </w:rPr>
        <w:t>subordinadas a ciertos privilegios legales. En caso de liquidación, tales créditos con privilegios legales, incluyendo, a título ilustrativo, créditos laborales, créditos derivados de obligaciones garantizadas, pagos de aportes previsionales, impuestos y honorarios y gastos causídicos tendrán preferencia sobre otros créditos, incluyendo los créditos de cualquier persona que invierta en las Obligaciones Negociables. Asimismo, las obligaciones bajo las Obligaciones Negociables serán de rango inferior respecto de algunas de nuestras obligaciones a la vista frente a nuestros depositantes.</w:t>
      </w:r>
    </w:p>
    <w:p w14:paraId="290265CE" w14:textId="77777777" w:rsidR="000924EA" w:rsidRPr="00AE4E8D" w:rsidRDefault="000924EA" w:rsidP="000924EA">
      <w:pPr>
        <w:keepNext/>
        <w:autoSpaceDE w:val="0"/>
        <w:autoSpaceDN w:val="0"/>
        <w:adjustRightInd w:val="0"/>
        <w:spacing w:after="120"/>
        <w:jc w:val="both"/>
        <w:outlineLvl w:val="3"/>
        <w:rPr>
          <w:rFonts w:ascii="Times New Roman" w:hAnsi="Times New Roman"/>
          <w:b/>
          <w:i/>
          <w:lang w:val="es-ES"/>
        </w:rPr>
      </w:pPr>
    </w:p>
    <w:p w14:paraId="5C084BC7" w14:textId="77777777" w:rsidR="007725C3" w:rsidRPr="00AE4E8D" w:rsidRDefault="007725C3" w:rsidP="007725C3">
      <w:pPr>
        <w:keepNext/>
        <w:autoSpaceDE w:val="0"/>
        <w:autoSpaceDN w:val="0"/>
        <w:adjustRightInd w:val="0"/>
        <w:spacing w:after="120"/>
        <w:jc w:val="both"/>
        <w:outlineLvl w:val="3"/>
        <w:rPr>
          <w:rFonts w:ascii="Times New Roman" w:hAnsi="Times New Roman"/>
          <w:b/>
          <w:i/>
          <w:lang w:val="es-ES"/>
        </w:rPr>
      </w:pPr>
    </w:p>
    <w:p w14:paraId="454FF71F" w14:textId="77777777" w:rsidR="00CB5660" w:rsidRPr="00AE4E8D" w:rsidRDefault="00D54396" w:rsidP="008511C0">
      <w:pPr>
        <w:pStyle w:val="BH1Centro"/>
        <w:rPr>
          <w:rFonts w:ascii="Times New Roman" w:hAnsi="Times New Roman"/>
          <w:caps w:val="0"/>
          <w:lang w:val="es-ES" w:eastAsia="en-US"/>
        </w:rPr>
      </w:pPr>
      <w:bookmarkStart w:id="144" w:name="_DV_M376"/>
      <w:bookmarkStart w:id="145" w:name="_DV_M47"/>
      <w:bookmarkStart w:id="146" w:name="_DV_M50"/>
      <w:bookmarkStart w:id="147" w:name="_DV_M714"/>
      <w:bookmarkStart w:id="148" w:name="_DV_M226"/>
      <w:bookmarkStart w:id="149" w:name="_DV_M227"/>
      <w:bookmarkStart w:id="150" w:name="_DV_M228"/>
      <w:bookmarkStart w:id="151" w:name="_Toc414610852"/>
      <w:bookmarkStart w:id="152" w:name="_Toc420062554"/>
      <w:bookmarkStart w:id="153" w:name="_Toc421201332"/>
      <w:bookmarkStart w:id="154" w:name="_Toc449010428"/>
      <w:bookmarkEnd w:id="141"/>
      <w:bookmarkEnd w:id="142"/>
      <w:bookmarkEnd w:id="144"/>
      <w:bookmarkEnd w:id="145"/>
      <w:bookmarkEnd w:id="146"/>
      <w:bookmarkEnd w:id="147"/>
      <w:bookmarkEnd w:id="148"/>
      <w:bookmarkEnd w:id="149"/>
      <w:bookmarkEnd w:id="150"/>
      <w:r w:rsidRPr="00AE4E8D">
        <w:rPr>
          <w:rFonts w:ascii="Times New Roman" w:hAnsi="Times New Roman"/>
          <w:b w:val="0"/>
          <w:caps w:val="0"/>
          <w:highlight w:val="cyan"/>
          <w:lang w:val="es-ES" w:eastAsia="en-US"/>
        </w:rPr>
        <w:br w:type="page"/>
      </w:r>
      <w:bookmarkStart w:id="155" w:name="_Toc487734738"/>
      <w:bookmarkStart w:id="156" w:name="_Toc495972982"/>
      <w:bookmarkStart w:id="157" w:name="_Toc495399889"/>
      <w:r w:rsidR="00CB5660" w:rsidRPr="00AE4E8D">
        <w:rPr>
          <w:rFonts w:ascii="Times New Roman" w:hAnsi="Times New Roman"/>
          <w:caps w:val="0"/>
          <w:lang w:val="es-ES" w:eastAsia="en-US"/>
        </w:rPr>
        <w:lastRenderedPageBreak/>
        <w:t>INFORMACIÓN SOBRE LA EMISOR</w:t>
      </w:r>
      <w:bookmarkEnd w:id="151"/>
      <w:bookmarkEnd w:id="152"/>
      <w:bookmarkEnd w:id="153"/>
      <w:r w:rsidR="00CB5660" w:rsidRPr="00AE4E8D">
        <w:rPr>
          <w:rFonts w:ascii="Times New Roman" w:hAnsi="Times New Roman"/>
          <w:caps w:val="0"/>
          <w:lang w:val="es-ES" w:eastAsia="en-US"/>
        </w:rPr>
        <w:t>A</w:t>
      </w:r>
      <w:bookmarkEnd w:id="154"/>
      <w:bookmarkEnd w:id="155"/>
      <w:bookmarkEnd w:id="156"/>
      <w:bookmarkEnd w:id="157"/>
    </w:p>
    <w:p w14:paraId="27C83455" w14:textId="77777777" w:rsidR="00CB5660" w:rsidRPr="00AE4E8D" w:rsidRDefault="00CB5660" w:rsidP="006659E6">
      <w:pPr>
        <w:pStyle w:val="BH2Izquierda"/>
        <w:rPr>
          <w:lang w:val="es-ES"/>
        </w:rPr>
      </w:pPr>
      <w:bookmarkStart w:id="158" w:name="_Toc414610853"/>
      <w:bookmarkStart w:id="159" w:name="_Toc420062555"/>
      <w:bookmarkStart w:id="160" w:name="_Toc421201333"/>
      <w:bookmarkStart w:id="161" w:name="_Toc495972983"/>
      <w:bookmarkStart w:id="162" w:name="_Toc495399890"/>
      <w:r w:rsidRPr="00AE4E8D">
        <w:rPr>
          <w:lang w:val="es-ES"/>
        </w:rPr>
        <w:t>a</w:t>
      </w:r>
      <w:r w:rsidRPr="00AE4E8D">
        <w:rPr>
          <w:caps/>
          <w:lang w:val="es-ES"/>
        </w:rPr>
        <w:t xml:space="preserve">) </w:t>
      </w:r>
      <w:r w:rsidRPr="00AE4E8D">
        <w:rPr>
          <w:lang w:val="es-ES"/>
        </w:rPr>
        <w:t>Historia y Desarrollo del Banco</w:t>
      </w:r>
      <w:bookmarkEnd w:id="158"/>
      <w:bookmarkEnd w:id="159"/>
      <w:bookmarkEnd w:id="160"/>
      <w:bookmarkEnd w:id="161"/>
      <w:bookmarkEnd w:id="162"/>
    </w:p>
    <w:p w14:paraId="468C7313" w14:textId="77777777" w:rsidR="00CB5660" w:rsidRPr="00AE4E8D" w:rsidRDefault="00CB5660" w:rsidP="006659E6">
      <w:pPr>
        <w:pStyle w:val="BHTexto"/>
        <w:rPr>
          <w:lang w:val="es-ES"/>
        </w:rPr>
      </w:pPr>
      <w:r w:rsidRPr="00AE4E8D">
        <w:rPr>
          <w:lang w:val="es-ES"/>
        </w:rPr>
        <w:t>Datos sobre la Emisora:</w:t>
      </w:r>
    </w:p>
    <w:p w14:paraId="152783B6" w14:textId="77777777" w:rsidR="00CB5660" w:rsidRPr="00AE4E8D" w:rsidRDefault="00CB5660" w:rsidP="003D6B4F">
      <w:pPr>
        <w:pStyle w:val="BHVietaTxt"/>
        <w:ind w:left="1418"/>
        <w:rPr>
          <w:rFonts w:ascii="Times New Roman" w:hAnsi="Times New Roman"/>
          <w:lang w:val="es-ES"/>
        </w:rPr>
      </w:pPr>
      <w:r w:rsidRPr="00AE4E8D">
        <w:rPr>
          <w:rFonts w:ascii="Times New Roman" w:hAnsi="Times New Roman"/>
          <w:lang w:val="es-ES"/>
        </w:rPr>
        <w:t>Denominación: Banco Hipotecario S.A.</w:t>
      </w:r>
    </w:p>
    <w:p w14:paraId="27F48E7F" w14:textId="77777777" w:rsidR="00CB5660" w:rsidRPr="00AE4E8D" w:rsidRDefault="00CB5660" w:rsidP="003D6B4F">
      <w:pPr>
        <w:pStyle w:val="BHVietaTxt"/>
        <w:ind w:left="1418"/>
        <w:rPr>
          <w:rFonts w:ascii="Times New Roman" w:hAnsi="Times New Roman"/>
          <w:lang w:val="es-ES"/>
        </w:rPr>
      </w:pPr>
      <w:r w:rsidRPr="00AE4E8D">
        <w:rPr>
          <w:rFonts w:ascii="Times New Roman" w:hAnsi="Times New Roman"/>
          <w:lang w:val="es-ES"/>
        </w:rPr>
        <w:t>C.U.I.T N°30-50001107-2.</w:t>
      </w:r>
    </w:p>
    <w:p w14:paraId="6C0B6C82" w14:textId="77777777" w:rsidR="00CB5660" w:rsidRPr="00AE4E8D" w:rsidRDefault="00CB5660" w:rsidP="003D6B4F">
      <w:pPr>
        <w:pStyle w:val="BHVietaTxt"/>
        <w:ind w:left="1418"/>
        <w:rPr>
          <w:rFonts w:ascii="Times New Roman" w:hAnsi="Times New Roman"/>
          <w:lang w:val="es-ES"/>
        </w:rPr>
      </w:pPr>
      <w:r w:rsidRPr="00AE4E8D">
        <w:rPr>
          <w:rFonts w:ascii="Times New Roman" w:hAnsi="Times New Roman"/>
          <w:lang w:val="es-ES"/>
        </w:rPr>
        <w:t xml:space="preserve">Inscripto en el Registro Público de Comercio de la Ciudad Autónoma de Buenos Aires en el Registro Público de Comercio el 23 de octubre de 1997, bajo el número 12.296, libro 122, Tomo A de Sociedades Anónimas, con duración hasta el 23 de octubre de 2097. </w:t>
      </w:r>
    </w:p>
    <w:p w14:paraId="0D4EB748" w14:textId="77777777" w:rsidR="00CB5660" w:rsidRPr="00AE4E8D" w:rsidRDefault="00CB5660" w:rsidP="003D6B4F">
      <w:pPr>
        <w:pStyle w:val="BHVietaTxt"/>
        <w:ind w:left="1418"/>
        <w:rPr>
          <w:rFonts w:ascii="Times New Roman" w:hAnsi="Times New Roman"/>
          <w:lang w:val="es-ES"/>
        </w:rPr>
      </w:pPr>
      <w:r w:rsidRPr="00AE4E8D">
        <w:rPr>
          <w:rFonts w:ascii="Times New Roman" w:hAnsi="Times New Roman"/>
          <w:lang w:val="es-ES"/>
        </w:rPr>
        <w:t xml:space="preserve">Domicilio legal: Reconquista 151 (C1003ABC), Ciudad Autónoma de Buenos Aires. </w:t>
      </w:r>
    </w:p>
    <w:p w14:paraId="1FDA08F8" w14:textId="77777777" w:rsidR="00CB5660" w:rsidRPr="00AE4E8D" w:rsidRDefault="00CB5660" w:rsidP="00FD7FBC">
      <w:pPr>
        <w:pStyle w:val="BHVietaTxt"/>
        <w:ind w:left="1418"/>
        <w:rPr>
          <w:rFonts w:ascii="Times New Roman" w:hAnsi="Times New Roman"/>
          <w:lang w:val="es-ES"/>
        </w:rPr>
      </w:pPr>
      <w:r w:rsidRPr="00AE4E8D">
        <w:rPr>
          <w:rFonts w:ascii="Times New Roman" w:hAnsi="Times New Roman"/>
          <w:lang w:val="es-ES"/>
        </w:rPr>
        <w:t>Teléfono: +54 (11) 4347-5122.</w:t>
      </w:r>
    </w:p>
    <w:p w14:paraId="0A96D455" w14:textId="77777777" w:rsidR="00CB5660" w:rsidRPr="00AE4E8D" w:rsidRDefault="00CB5660" w:rsidP="00FD7FBC">
      <w:pPr>
        <w:pStyle w:val="BHVietaTxt"/>
        <w:ind w:left="1418"/>
        <w:rPr>
          <w:rFonts w:ascii="Times New Roman" w:hAnsi="Times New Roman"/>
          <w:lang w:val="es-ES"/>
        </w:rPr>
      </w:pPr>
      <w:r w:rsidRPr="00AE4E8D">
        <w:rPr>
          <w:rFonts w:ascii="Times New Roman" w:hAnsi="Times New Roman"/>
          <w:lang w:val="es-ES"/>
        </w:rPr>
        <w:t>Fax: +54 (11) 4347-5874.</w:t>
      </w:r>
    </w:p>
    <w:p w14:paraId="575C8A3C" w14:textId="77777777" w:rsidR="00CB5660" w:rsidRPr="00AE4E8D" w:rsidRDefault="00CB5660" w:rsidP="00FD7FBC">
      <w:pPr>
        <w:pStyle w:val="BHVietaTxt"/>
        <w:ind w:left="1418"/>
        <w:rPr>
          <w:rFonts w:ascii="Times New Roman" w:hAnsi="Times New Roman"/>
          <w:lang w:val="pt-PT"/>
        </w:rPr>
      </w:pPr>
      <w:r w:rsidRPr="00AE4E8D">
        <w:rPr>
          <w:rFonts w:ascii="Times New Roman" w:hAnsi="Times New Roman"/>
          <w:lang w:val="pt-PT"/>
        </w:rPr>
        <w:t xml:space="preserve">E-mail: </w:t>
      </w:r>
      <w:hyperlink r:id="rId24" w:history="1">
        <w:r w:rsidRPr="00AE4E8D">
          <w:rPr>
            <w:rFonts w:ascii="Times New Roman" w:hAnsi="Times New Roman"/>
            <w:lang w:val="pt-PT"/>
          </w:rPr>
          <w:t>tgodino@hipotecario.com.ar</w:t>
        </w:r>
      </w:hyperlink>
    </w:p>
    <w:p w14:paraId="142FF2F8" w14:textId="77777777" w:rsidR="00CB5660" w:rsidRPr="00AE4E8D" w:rsidRDefault="00CB5660" w:rsidP="003D6B4F">
      <w:pPr>
        <w:pStyle w:val="BHVietaTxt"/>
        <w:ind w:left="1418"/>
        <w:rPr>
          <w:rFonts w:ascii="Times New Roman" w:hAnsi="Times New Roman"/>
          <w:lang w:val="es-ES"/>
        </w:rPr>
      </w:pPr>
      <w:r w:rsidRPr="00AE4E8D">
        <w:rPr>
          <w:rFonts w:ascii="Times New Roman" w:hAnsi="Times New Roman"/>
          <w:lang w:val="es-ES"/>
        </w:rPr>
        <w:t>Capital Social: Ps.1.500.000.000.</w:t>
      </w:r>
    </w:p>
    <w:p w14:paraId="0E88DF66" w14:textId="77777777" w:rsidR="00CB5660" w:rsidRPr="00AE4E8D" w:rsidRDefault="00CB5660" w:rsidP="00A9161E">
      <w:pPr>
        <w:keepNext/>
        <w:autoSpaceDE w:val="0"/>
        <w:autoSpaceDN w:val="0"/>
        <w:adjustRightInd w:val="0"/>
        <w:spacing w:before="240" w:after="240"/>
        <w:outlineLvl w:val="1"/>
        <w:rPr>
          <w:rFonts w:ascii="Times New Roman" w:hAnsi="Times New Roman"/>
          <w:b/>
          <w:lang w:val="es-ES" w:eastAsia="es-AR"/>
        </w:rPr>
      </w:pPr>
      <w:bookmarkStart w:id="163" w:name="_Toc491268277"/>
      <w:bookmarkStart w:id="164" w:name="_Toc491775341"/>
      <w:bookmarkStart w:id="165" w:name="_Toc495972984"/>
      <w:bookmarkStart w:id="166" w:name="_Toc495399891"/>
      <w:bookmarkStart w:id="167" w:name="_Toc421201337"/>
      <w:bookmarkStart w:id="168" w:name="_Toc414610856"/>
      <w:bookmarkStart w:id="169" w:name="_Toc420062558"/>
      <w:r w:rsidRPr="00AE4E8D">
        <w:rPr>
          <w:rFonts w:ascii="Times New Roman" w:hAnsi="Times New Roman"/>
          <w:b/>
          <w:lang w:val="es-ES" w:eastAsia="es-AR"/>
        </w:rPr>
        <w:t>Introducción</w:t>
      </w:r>
      <w:bookmarkEnd w:id="163"/>
      <w:bookmarkEnd w:id="164"/>
      <w:bookmarkEnd w:id="165"/>
      <w:bookmarkEnd w:id="166"/>
    </w:p>
    <w:p w14:paraId="33EF1496" w14:textId="77777777" w:rsidR="009B2848" w:rsidRPr="00AE4E8D" w:rsidRDefault="009B2848" w:rsidP="009B2848">
      <w:pPr>
        <w:pStyle w:val="BHTexto"/>
        <w:rPr>
          <w:lang w:val="es-ES"/>
        </w:rPr>
      </w:pPr>
      <w:r w:rsidRPr="00AE4E8D">
        <w:rPr>
          <w:lang w:val="es-ES"/>
        </w:rPr>
        <w:t>Fuimos creados en 1886 por el Gobierno Argentino y privatizados en 1999. Somos un banco comercial que brinda servicios de banca universal ofreciendo una amplia variedad de productos y actividades bancarias, como préstamos de consumo y corporativos, cajas de ahorro, tarjetas de crédito y débito, y servicios financieros relacionados a particulares, pequeñas y medianas empresas (“</w:t>
      </w:r>
      <w:r w:rsidRPr="00AE4E8D">
        <w:rPr>
          <w:u w:val="single"/>
          <w:lang w:val="es-ES"/>
        </w:rPr>
        <w:t>PyME</w:t>
      </w:r>
      <w:r w:rsidRPr="00AE4E8D">
        <w:rPr>
          <w:lang w:val="es-ES"/>
        </w:rPr>
        <w:t xml:space="preserve">”) y grandes empresas. Todas nuestras operaciones están ubicadas en la Argentina, donde operamos a través de una red nacional con 65 sucursales en todas las 23 provincias y la Ciudad Autónoma de Buenos Aires y 15 puntos de venta adicionales a lo largo de la Argentina. Procuramos distinguirnos de otras entidades financieras argentinas concentrándonos en las soluciones para la vivienda y préstamos al consumo dado que consideramos que ofrecen oportunidades atractivas de crecimiento continuo. </w:t>
      </w:r>
    </w:p>
    <w:p w14:paraId="75F591BC" w14:textId="77777777" w:rsidR="009B2848" w:rsidRPr="00AE4E8D" w:rsidRDefault="0044695C" w:rsidP="009B2848">
      <w:pPr>
        <w:pStyle w:val="BHTexto"/>
        <w:rPr>
          <w:lang w:val="es-ES"/>
        </w:rPr>
      </w:pPr>
      <w:r w:rsidRPr="00AE4E8D">
        <w:rPr>
          <w:lang w:val="es-ES"/>
        </w:rPr>
        <w:t xml:space="preserve">Históricamente hemos sido líderes en el otorgamiento de préstamos hipotecarios y prestadores de servicios de seguros vinculados con hipotecas y servicios asociados a los préstamos hipotecarios de acuerdo con información del BCRA. </w:t>
      </w:r>
      <w:r w:rsidR="009B2848" w:rsidRPr="00AE4E8D">
        <w:rPr>
          <w:lang w:val="es-ES"/>
        </w:rPr>
        <w:t xml:space="preserve">Al 30 de junio de 2017, </w:t>
      </w:r>
      <w:r w:rsidR="002A5A31" w:rsidRPr="00AE4E8D">
        <w:rPr>
          <w:lang w:val="es-ES"/>
        </w:rPr>
        <w:t>éramos</w:t>
      </w:r>
      <w:r w:rsidR="009B2848" w:rsidRPr="00AE4E8D">
        <w:rPr>
          <w:lang w:val="es-ES"/>
        </w:rPr>
        <w:t xml:space="preserve"> el décimo cuarto banco argentino más grande en términos de patrimonio neto, con un patrimonio neto de Ps. 6.681,2 millones y el décimo quinto en términos de activos (básicos), contando con activos por Ps. 49.272,0 millones. </w:t>
      </w:r>
    </w:p>
    <w:p w14:paraId="68E4D1EE" w14:textId="77777777" w:rsidR="009B2848" w:rsidRPr="00AE4E8D" w:rsidRDefault="009B2848" w:rsidP="009B2848">
      <w:pPr>
        <w:pStyle w:val="BHTexto"/>
        <w:rPr>
          <w:lang w:val="es-AR"/>
        </w:rPr>
      </w:pPr>
      <w:r w:rsidRPr="00AE4E8D">
        <w:rPr>
          <w:lang w:val="es-ES"/>
        </w:rPr>
        <w:t>Nuestro resultado neto para los años finalizados el 31 de diciembre de 2014, 2015 y 2016 y para el período finalizado el 30 de junio de 2017 fue de Ps.550</w:t>
      </w:r>
      <w:proofErr w:type="gramStart"/>
      <w:r w:rsidRPr="00AE4E8D">
        <w:rPr>
          <w:lang w:val="es-ES"/>
        </w:rPr>
        <w:t>,0</w:t>
      </w:r>
      <w:proofErr w:type="gramEnd"/>
      <w:r w:rsidRPr="00AE4E8D">
        <w:rPr>
          <w:lang w:val="es-ES"/>
        </w:rPr>
        <w:t xml:space="preserve"> millones, Ps.1.085,8 millones, Ps.615,3 millones y Ps.625,0 millones, respectivamente, representando un retorno sobre el patrimonio neto promedio de 13,3%, 22,1%, 10,7% y 19,63%, respectivamente y un retorno sobre el promedio de activos del 2,1%, 3,1%, 1,3% y 2,3%, respectivamente. Al 30 de junio de 2017 teníamos Ps.6.681</w:t>
      </w:r>
      <w:proofErr w:type="gramStart"/>
      <w:r w:rsidRPr="00AE4E8D">
        <w:rPr>
          <w:lang w:val="es-ES"/>
        </w:rPr>
        <w:t>,2</w:t>
      </w:r>
      <w:proofErr w:type="gramEnd"/>
      <w:r w:rsidRPr="00AE4E8D">
        <w:rPr>
          <w:lang w:val="es-ES"/>
        </w:rPr>
        <w:t xml:space="preserve"> millones de patrimonio neto y activos por Ps.55.261,9 millones. </w:t>
      </w:r>
    </w:p>
    <w:p w14:paraId="2D568263" w14:textId="77777777" w:rsidR="009B2848" w:rsidRPr="00AE4E8D" w:rsidRDefault="009B2848" w:rsidP="009B2848">
      <w:pPr>
        <w:pStyle w:val="BHTexto"/>
        <w:rPr>
          <w:lang w:val="es-ES"/>
        </w:rPr>
      </w:pPr>
      <w:r w:rsidRPr="00AE4E8D">
        <w:rPr>
          <w:lang w:val="es-ES"/>
        </w:rPr>
        <w:t>En línea con nuestra estrategia de continuar diversificando nuestra cartera de préstamos, hemos incrementado los préstamos no-hipotecarios de Ps.14.845,9 millones al 31 de diciembre de 2014, a Ps.</w:t>
      </w:r>
      <w:r w:rsidRPr="00AE4E8D">
        <w:rPr>
          <w:lang w:val="es-ES" w:eastAsia="es-AR"/>
        </w:rPr>
        <w:t>17.944,7</w:t>
      </w:r>
      <w:r w:rsidRPr="00AE4E8D">
        <w:rPr>
          <w:lang w:val="es-ES"/>
        </w:rPr>
        <w:t xml:space="preserve"> millones al 31 de diciembre de 2015, a Ps.24.305,4 millones al 31 de diciembre de 2016 y a Ps.28.147,3 millones al 30 de junio de 2017, incrementando la participación sobre el total de nuestra cartera de préstamos al sector privado no financiero del 30 de junio de 2016 al 30 de junio de 2017 de 88,1% al 89,9%, respectivamente. Los préstamos en situación irregular como un porcentaje sobre el total de nuestra cartera eran el 2,3% al 31 de diciembre de 2014, </w:t>
      </w:r>
      <w:r w:rsidRPr="00AE4E8D">
        <w:rPr>
          <w:lang w:val="es-ES" w:eastAsia="es-AR"/>
        </w:rPr>
        <w:t>2,0</w:t>
      </w:r>
      <w:r w:rsidRPr="00AE4E8D">
        <w:rPr>
          <w:lang w:val="es-ES"/>
        </w:rPr>
        <w:t xml:space="preserve">% al 31 de diciembre de 2015, 2,7% al 31 de diciembre de 2016 y 2,9% al 30 de junio de 2017. </w:t>
      </w:r>
    </w:p>
    <w:p w14:paraId="6AD4CB28" w14:textId="77777777" w:rsidR="009B2848" w:rsidRPr="00AE4E8D" w:rsidRDefault="009B2848" w:rsidP="009B2848">
      <w:pPr>
        <w:pStyle w:val="BHTexto"/>
        <w:rPr>
          <w:lang w:val="es-ES"/>
        </w:rPr>
      </w:pPr>
      <w:r w:rsidRPr="00AE4E8D">
        <w:rPr>
          <w:lang w:val="es-ES"/>
        </w:rPr>
        <w:t xml:space="preserve">En los último años hemos diversificado nuestras bases de financiación y nos convertimos en uno de los más frecuentes emisores de deuda corporativa en la Argentina, en relación a nuestro fondeo total mediante el desarrollo de nuestra presencia en el mercado de capitales local e internacional así como también incrementando nuestra base de depósitos. Nuestra deuda financiera en el total del fondeo era de 19,9% al 31 de diciembre de 2014, </w:t>
      </w:r>
      <w:r w:rsidRPr="00AE4E8D">
        <w:rPr>
          <w:lang w:val="es-ES" w:eastAsia="es-AR"/>
        </w:rPr>
        <w:t>27,2</w:t>
      </w:r>
      <w:r w:rsidRPr="00AE4E8D">
        <w:rPr>
          <w:lang w:val="es-ES"/>
        </w:rPr>
        <w:t xml:space="preserve">% al 31 de diciembre de 2015, 47,2% al 31 de diciembre de 2016 y 49,4% al 30 de junio de 2017. </w:t>
      </w:r>
    </w:p>
    <w:p w14:paraId="0082AA68" w14:textId="77777777" w:rsidR="009B2848" w:rsidRPr="00AE4E8D" w:rsidRDefault="009B2848" w:rsidP="009B28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40" w:lineRule="atLeast"/>
        <w:jc w:val="both"/>
        <w:rPr>
          <w:rFonts w:ascii="Times New Roman" w:hAnsi="Times New Roman"/>
          <w:color w:val="212121"/>
          <w:lang w:val="es-ES" w:eastAsia="es-AR"/>
        </w:rPr>
      </w:pPr>
      <w:r w:rsidRPr="00AE4E8D">
        <w:rPr>
          <w:rFonts w:ascii="Times New Roman" w:hAnsi="Times New Roman"/>
          <w:color w:val="212121"/>
          <w:lang w:val="es-ES" w:eastAsia="es-AR"/>
        </w:rPr>
        <w:lastRenderedPageBreak/>
        <w:t>Nuestras subsidiarias incluyen a BACS, un banco especializado en banca de inversión, securitización y administración de activos, BHN Vida S.A. (“</w:t>
      </w:r>
      <w:r w:rsidRPr="00AE4E8D">
        <w:rPr>
          <w:rFonts w:ascii="Times New Roman" w:hAnsi="Times New Roman"/>
          <w:color w:val="212121"/>
          <w:u w:val="single"/>
          <w:lang w:val="es-ES" w:eastAsia="es-AR"/>
        </w:rPr>
        <w:t>BHN Vida</w:t>
      </w:r>
      <w:r w:rsidRPr="00AE4E8D">
        <w:rPr>
          <w:rFonts w:ascii="Times New Roman" w:hAnsi="Times New Roman"/>
          <w:color w:val="212121"/>
          <w:lang w:val="es-ES" w:eastAsia="es-AR"/>
        </w:rPr>
        <w:t>”), una compañía de seguros de vida, BHN Seguros Generales S.A. (“</w:t>
      </w:r>
      <w:r w:rsidRPr="00AE4E8D">
        <w:rPr>
          <w:rFonts w:ascii="Times New Roman" w:hAnsi="Times New Roman"/>
          <w:color w:val="212121"/>
          <w:u w:val="single"/>
          <w:lang w:val="es-ES" w:eastAsia="es-AR"/>
        </w:rPr>
        <w:t>BHN Seguros Generales</w:t>
      </w:r>
      <w:r w:rsidRPr="00AE4E8D">
        <w:rPr>
          <w:rFonts w:ascii="Times New Roman" w:hAnsi="Times New Roman"/>
          <w:color w:val="212121"/>
          <w:lang w:val="es-ES" w:eastAsia="es-AR"/>
        </w:rPr>
        <w:t>”), compañía de seguros de incendio para propietarios de viviendas y Tarshop, una empresa especializada en la venta de productos de financiación al consumo y de adelantos en efectivo a clientes no bancarizados.</w:t>
      </w:r>
    </w:p>
    <w:p w14:paraId="2FD00869" w14:textId="77777777" w:rsidR="009B2848" w:rsidRPr="00AE4E8D" w:rsidRDefault="009B2848" w:rsidP="009B28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40" w:lineRule="atLeast"/>
        <w:jc w:val="both"/>
        <w:rPr>
          <w:rFonts w:ascii="Times New Roman" w:hAnsi="Times New Roman"/>
          <w:i/>
          <w:color w:val="212121"/>
          <w:lang w:val="es-ES" w:eastAsia="es-AR"/>
        </w:rPr>
      </w:pPr>
      <w:r w:rsidRPr="00AE4E8D">
        <w:rPr>
          <w:rFonts w:ascii="Times New Roman" w:hAnsi="Times New Roman"/>
          <w:color w:val="212121"/>
          <w:lang w:val="es-ES" w:eastAsia="es-AR"/>
        </w:rPr>
        <w:t>Nuestros accionistas principales son el Gobierno Argentino e IRSA Inversiones y Representaciones Sociedad Anónima (“</w:t>
      </w:r>
      <w:r w:rsidRPr="00AE4E8D">
        <w:rPr>
          <w:rFonts w:ascii="Times New Roman" w:hAnsi="Times New Roman"/>
          <w:color w:val="212121"/>
          <w:u w:val="single"/>
          <w:lang w:val="es-ES" w:eastAsia="es-AR"/>
        </w:rPr>
        <w:t>IRSA</w:t>
      </w:r>
      <w:r w:rsidRPr="00AE4E8D">
        <w:rPr>
          <w:rFonts w:ascii="Times New Roman" w:hAnsi="Times New Roman"/>
          <w:color w:val="212121"/>
          <w:lang w:val="es-ES" w:eastAsia="es-AR"/>
        </w:rPr>
        <w:t>”) una empresa de desarrollo inmobiliario líder en la Argentina, cuyas acciones están listadas en BYMA y en la New York Stock Exchange (“</w:t>
      </w:r>
      <w:r w:rsidRPr="00AE4E8D">
        <w:rPr>
          <w:rFonts w:ascii="Times New Roman" w:hAnsi="Times New Roman"/>
          <w:color w:val="212121"/>
          <w:u w:val="single"/>
          <w:lang w:val="es-ES" w:eastAsia="es-AR"/>
        </w:rPr>
        <w:t>NYSE</w:t>
      </w:r>
      <w:r w:rsidRPr="00AE4E8D">
        <w:rPr>
          <w:rFonts w:ascii="Times New Roman" w:hAnsi="Times New Roman"/>
          <w:color w:val="212121"/>
          <w:lang w:val="es-ES" w:eastAsia="es-AR"/>
        </w:rPr>
        <w:t xml:space="preserve">”). Véase </w:t>
      </w:r>
      <w:r w:rsidRPr="00AE4E8D">
        <w:rPr>
          <w:rFonts w:ascii="Times New Roman" w:hAnsi="Times New Roman"/>
          <w:i/>
          <w:color w:val="212121"/>
          <w:lang w:val="es-ES" w:eastAsia="es-AR"/>
        </w:rPr>
        <w:t>“ACCIONISTAS PRINCIPALES Y TRANSACCIONES CON PARTES RELACIONADAS—a) Accionistas Principales”.</w:t>
      </w:r>
    </w:p>
    <w:p w14:paraId="5ADF7990" w14:textId="77777777" w:rsidR="009B2848" w:rsidRPr="00AE4E8D" w:rsidRDefault="009B2848" w:rsidP="009B2848">
      <w:pPr>
        <w:pStyle w:val="BH2Izquierda"/>
        <w:rPr>
          <w:lang w:val="es-ES"/>
        </w:rPr>
      </w:pPr>
      <w:bookmarkStart w:id="170" w:name="_Toc495972985"/>
      <w:bookmarkStart w:id="171" w:name="_Toc495399892"/>
      <w:r w:rsidRPr="00AE4E8D">
        <w:rPr>
          <w:lang w:val="es-ES"/>
        </w:rPr>
        <w:t>Estrategia</w:t>
      </w:r>
      <w:bookmarkEnd w:id="170"/>
      <w:bookmarkEnd w:id="171"/>
    </w:p>
    <w:p w14:paraId="4A47715A" w14:textId="77777777" w:rsidR="009B2848" w:rsidRPr="00AE4E8D" w:rsidRDefault="009B2848" w:rsidP="009B2848">
      <w:pPr>
        <w:pStyle w:val="BHTexto"/>
        <w:rPr>
          <w:lang w:val="es-ES"/>
        </w:rPr>
      </w:pPr>
      <w:r w:rsidRPr="00AE4E8D">
        <w:rPr>
          <w:lang w:val="es-ES"/>
        </w:rPr>
        <w:t>En 2004 comenzamos a reorientar nuestra estructura de negocios, desarrollando y lanzando nuevos productos, modernizando nuestros sistemas y transformando nuestros objetivos de mercado. Ello nos ha permitido evolucionar de ser una entidad financiera enfocada principalmente en la comercialización de créditos hipotecarios a ser un banco comercial que ofrece una amplia gama de servicios. Pretendemos continuar en el fortalecimiento de nuestra posición como un banco comercial líder en la Argentina a través de las siguientes iniciativas estratégicas:</w:t>
      </w:r>
    </w:p>
    <w:p w14:paraId="31D4585F" w14:textId="77777777" w:rsidR="009B2848" w:rsidRPr="00AE4E8D" w:rsidRDefault="009B2848" w:rsidP="009B2848">
      <w:pPr>
        <w:pStyle w:val="BHTexto"/>
        <w:rPr>
          <w:lang w:val="es-ES"/>
        </w:rPr>
      </w:pPr>
      <w:r w:rsidRPr="00AE4E8D">
        <w:rPr>
          <w:lang w:val="es-ES"/>
        </w:rPr>
        <w:t xml:space="preserve">Los principales ejes de acción de nuestra estrategia están orientados a: </w:t>
      </w:r>
    </w:p>
    <w:p w14:paraId="3A4F03B6" w14:textId="77777777" w:rsidR="009B2848" w:rsidRPr="00AE4E8D" w:rsidRDefault="009B2848" w:rsidP="009B2848">
      <w:pPr>
        <w:pStyle w:val="BHVieta2"/>
        <w:numPr>
          <w:ilvl w:val="0"/>
          <w:numId w:val="51"/>
        </w:numPr>
        <w:rPr>
          <w:lang w:val="es-ES"/>
        </w:rPr>
      </w:pPr>
      <w:r w:rsidRPr="00AE4E8D">
        <w:rPr>
          <w:i/>
          <w:lang w:val="es-ES"/>
        </w:rPr>
        <w:t>Continuar enfocados en el otorgamiento de préstamos al consumo</w:t>
      </w:r>
      <w:r w:rsidRPr="00AE4E8D">
        <w:rPr>
          <w:lang w:val="es-ES"/>
        </w:rPr>
        <w:t xml:space="preserve">. Hemos intentado continuar mejorando el alcance y la calidad de los servicios financieros brindados a nuestros clientes y aspiramos a obtener nuevos clientes. </w:t>
      </w:r>
      <w:r w:rsidRPr="00AE4E8D">
        <w:rPr>
          <w:rStyle w:val="hps"/>
          <w:lang w:val="es-ES"/>
        </w:rPr>
        <w:t>Continuaremos con el marketing directo</w:t>
      </w:r>
      <w:r w:rsidRPr="00AE4E8D">
        <w:rPr>
          <w:lang w:val="es-ES"/>
        </w:rPr>
        <w:t xml:space="preserve"> </w:t>
      </w:r>
      <w:r w:rsidRPr="00AE4E8D">
        <w:rPr>
          <w:rStyle w:val="hps"/>
          <w:lang w:val="es-ES"/>
        </w:rPr>
        <w:t>para obtener nuevos</w:t>
      </w:r>
      <w:r w:rsidRPr="00AE4E8D">
        <w:rPr>
          <w:lang w:val="es-ES"/>
        </w:rPr>
        <w:t xml:space="preserve"> </w:t>
      </w:r>
      <w:r w:rsidRPr="00AE4E8D">
        <w:rPr>
          <w:rStyle w:val="hps"/>
          <w:lang w:val="es-ES"/>
        </w:rPr>
        <w:t>clientes</w:t>
      </w:r>
      <w:r w:rsidRPr="00AE4E8D">
        <w:rPr>
          <w:lang w:val="es-ES"/>
        </w:rPr>
        <w:t xml:space="preserve">, </w:t>
      </w:r>
      <w:r w:rsidRPr="00AE4E8D">
        <w:rPr>
          <w:rStyle w:val="hps"/>
          <w:lang w:val="es-ES"/>
        </w:rPr>
        <w:t>mejorando</w:t>
      </w:r>
      <w:r w:rsidRPr="00AE4E8D">
        <w:rPr>
          <w:lang w:val="es-ES"/>
        </w:rPr>
        <w:t xml:space="preserve"> </w:t>
      </w:r>
      <w:r w:rsidRPr="00AE4E8D">
        <w:rPr>
          <w:rStyle w:val="hps"/>
          <w:lang w:val="es-ES"/>
        </w:rPr>
        <w:t>el procesamiento de</w:t>
      </w:r>
      <w:r w:rsidRPr="00AE4E8D">
        <w:rPr>
          <w:lang w:val="es-ES"/>
        </w:rPr>
        <w:t xml:space="preserve"> </w:t>
      </w:r>
      <w:r w:rsidRPr="00AE4E8D">
        <w:rPr>
          <w:rStyle w:val="hps"/>
          <w:lang w:val="es-ES"/>
        </w:rPr>
        <w:t>base de datos para</w:t>
      </w:r>
      <w:r w:rsidRPr="00AE4E8D">
        <w:rPr>
          <w:lang w:val="es-ES"/>
        </w:rPr>
        <w:t xml:space="preserve"> </w:t>
      </w:r>
      <w:r w:rsidRPr="00AE4E8D">
        <w:rPr>
          <w:rStyle w:val="hps"/>
          <w:lang w:val="es-ES"/>
        </w:rPr>
        <w:t>identificar a los clientes</w:t>
      </w:r>
      <w:r w:rsidRPr="00AE4E8D">
        <w:rPr>
          <w:lang w:val="es-ES"/>
        </w:rPr>
        <w:t xml:space="preserve"> </w:t>
      </w:r>
      <w:r w:rsidRPr="00AE4E8D">
        <w:rPr>
          <w:rStyle w:val="hps"/>
          <w:lang w:val="es-ES"/>
        </w:rPr>
        <w:t>potenciales.</w:t>
      </w:r>
      <w:r w:rsidRPr="00AE4E8D">
        <w:rPr>
          <w:lang w:val="es-ES"/>
        </w:rPr>
        <w:t xml:space="preserve"> </w:t>
      </w:r>
      <w:r w:rsidRPr="00AE4E8D">
        <w:rPr>
          <w:rStyle w:val="hps"/>
          <w:lang w:val="es-ES"/>
        </w:rPr>
        <w:t>Continuaremos desarrollando</w:t>
      </w:r>
      <w:r w:rsidRPr="00AE4E8D">
        <w:rPr>
          <w:lang w:val="es-ES"/>
        </w:rPr>
        <w:t xml:space="preserve"> </w:t>
      </w:r>
      <w:r w:rsidRPr="00AE4E8D">
        <w:rPr>
          <w:rStyle w:val="hps"/>
          <w:i/>
          <w:lang w:val="es-ES"/>
        </w:rPr>
        <w:t>e-channels</w:t>
      </w:r>
      <w:r w:rsidRPr="00AE4E8D">
        <w:rPr>
          <w:i/>
          <w:lang w:val="es-ES"/>
        </w:rPr>
        <w:t xml:space="preserve"> </w:t>
      </w:r>
      <w:r w:rsidRPr="00AE4E8D">
        <w:rPr>
          <w:rStyle w:val="hps"/>
          <w:lang w:val="es-ES"/>
        </w:rPr>
        <w:t>con el fin de</w:t>
      </w:r>
      <w:r w:rsidRPr="00AE4E8D">
        <w:rPr>
          <w:lang w:val="es-ES"/>
        </w:rPr>
        <w:t xml:space="preserve"> </w:t>
      </w:r>
      <w:r w:rsidRPr="00AE4E8D">
        <w:rPr>
          <w:rStyle w:val="hps"/>
          <w:lang w:val="es-ES"/>
        </w:rPr>
        <w:t>mejorar</w:t>
      </w:r>
      <w:r w:rsidRPr="00AE4E8D">
        <w:rPr>
          <w:lang w:val="es-ES"/>
        </w:rPr>
        <w:t xml:space="preserve"> </w:t>
      </w:r>
      <w:r w:rsidRPr="00AE4E8D">
        <w:rPr>
          <w:rStyle w:val="hps"/>
          <w:lang w:val="es-ES"/>
        </w:rPr>
        <w:t>nuestra capacidad de distribución</w:t>
      </w:r>
      <w:r w:rsidRPr="00AE4E8D">
        <w:rPr>
          <w:lang w:val="es-ES"/>
        </w:rPr>
        <w:t xml:space="preserve"> como </w:t>
      </w:r>
      <w:r w:rsidRPr="00AE4E8D">
        <w:rPr>
          <w:rStyle w:val="hps"/>
          <w:i/>
          <w:lang w:val="es-ES"/>
        </w:rPr>
        <w:t>home banking</w:t>
      </w:r>
      <w:r w:rsidRPr="00AE4E8D">
        <w:rPr>
          <w:lang w:val="es-ES"/>
        </w:rPr>
        <w:t xml:space="preserve"> </w:t>
      </w:r>
      <w:r w:rsidRPr="00AE4E8D">
        <w:rPr>
          <w:rStyle w:val="hps"/>
          <w:lang w:val="es-ES"/>
        </w:rPr>
        <w:t>y banca</w:t>
      </w:r>
      <w:r w:rsidRPr="00AE4E8D">
        <w:rPr>
          <w:lang w:val="es-ES"/>
        </w:rPr>
        <w:t xml:space="preserve"> </w:t>
      </w:r>
      <w:r w:rsidRPr="00AE4E8D">
        <w:rPr>
          <w:rStyle w:val="hps"/>
          <w:lang w:val="es-ES"/>
        </w:rPr>
        <w:t>móvil.</w:t>
      </w:r>
    </w:p>
    <w:p w14:paraId="044E36BC" w14:textId="77777777" w:rsidR="009B2848" w:rsidRPr="00AE4E8D" w:rsidRDefault="009B2848" w:rsidP="009B2848">
      <w:pPr>
        <w:pStyle w:val="BHVieta2"/>
        <w:numPr>
          <w:ilvl w:val="0"/>
          <w:numId w:val="51"/>
        </w:numPr>
        <w:rPr>
          <w:lang w:val="es-ES"/>
        </w:rPr>
      </w:pPr>
      <w:r w:rsidRPr="00AE4E8D">
        <w:rPr>
          <w:i/>
          <w:lang w:val="es-ES"/>
        </w:rPr>
        <w:t>Continuar desarrollando nuestro negocio de banca empresas</w:t>
      </w:r>
      <w:r w:rsidRPr="00AE4E8D">
        <w:rPr>
          <w:lang w:val="es-ES"/>
        </w:rPr>
        <w:t xml:space="preserve">. Hemos intentado complementar las actividades financieras de consumo con un portafolio sustancial de préstamos comerciales. Procuramos identificar emprendedores con alto potencial y mantener un rol activo en su desarrollo a través del otorgamiento de créditos, gestión de efectivos y demás servicios de banca comercial y asistirlos para que obtengan acceso a los mercados de capitales. </w:t>
      </w:r>
      <w:r w:rsidRPr="00AE4E8D">
        <w:rPr>
          <w:rStyle w:val="hps"/>
          <w:lang w:val="es-ES"/>
        </w:rPr>
        <w:t>Aumentaremos nuestra exposición a los</w:t>
      </w:r>
      <w:r w:rsidRPr="00AE4E8D">
        <w:rPr>
          <w:lang w:val="es-ES"/>
        </w:rPr>
        <w:t xml:space="preserve"> </w:t>
      </w:r>
      <w:r w:rsidRPr="00AE4E8D">
        <w:rPr>
          <w:rStyle w:val="hps"/>
          <w:lang w:val="es-ES"/>
        </w:rPr>
        <w:t>sectores económicos</w:t>
      </w:r>
      <w:r w:rsidRPr="00AE4E8D">
        <w:rPr>
          <w:lang w:val="es-ES"/>
        </w:rPr>
        <w:t xml:space="preserve"> </w:t>
      </w:r>
      <w:r w:rsidRPr="00AE4E8D">
        <w:rPr>
          <w:rStyle w:val="hps"/>
          <w:lang w:val="es-ES"/>
        </w:rPr>
        <w:t>que consideramos</w:t>
      </w:r>
      <w:r w:rsidRPr="00AE4E8D">
        <w:rPr>
          <w:lang w:val="es-ES"/>
        </w:rPr>
        <w:t xml:space="preserve"> </w:t>
      </w:r>
      <w:r w:rsidRPr="00AE4E8D">
        <w:rPr>
          <w:rStyle w:val="hps"/>
          <w:lang w:val="es-ES"/>
        </w:rPr>
        <w:t>tienen grandes expectativas de continuo crecimiento</w:t>
      </w:r>
      <w:r w:rsidRPr="00AE4E8D">
        <w:rPr>
          <w:lang w:val="es-ES"/>
        </w:rPr>
        <w:t xml:space="preserve">. </w:t>
      </w:r>
    </w:p>
    <w:p w14:paraId="47968710" w14:textId="77777777" w:rsidR="009B2848" w:rsidRPr="00AE4E8D" w:rsidRDefault="009B2848" w:rsidP="009B2848">
      <w:pPr>
        <w:pStyle w:val="BHVieta2"/>
        <w:numPr>
          <w:ilvl w:val="0"/>
          <w:numId w:val="51"/>
        </w:numPr>
        <w:rPr>
          <w:lang w:val="es-ES"/>
        </w:rPr>
      </w:pPr>
      <w:r w:rsidRPr="00AE4E8D">
        <w:rPr>
          <w:i/>
          <w:lang w:val="es-ES"/>
        </w:rPr>
        <w:t>Banca Universal apalancada sobre la solución a la vivienda</w:t>
      </w:r>
      <w:r w:rsidRPr="00AE4E8D">
        <w:rPr>
          <w:lang w:val="es-ES"/>
        </w:rPr>
        <w:t>. Pretendemos mantener nuestra posición de liderazgo en el mercado hipotecario y ofrecer una amplia gama de productos que satisfagan las necesidades financieras hipotecarias de nuestros clientes. Adicionalmente, a los tradicionales créditos hipotecarios y de las actividades de securitización, pretendemos aprovechar las nuevas oportunidades que se presenten en el sector financiero hipotecario, tales como actuar en calidad de fiduciario en el Programa Crédito Argentino del Bicentenario para la Vivienda Única Familiar (“</w:t>
      </w:r>
      <w:r w:rsidRPr="00AE4E8D">
        <w:rPr>
          <w:u w:val="single"/>
          <w:lang w:val="es-ES"/>
        </w:rPr>
        <w:t>PROCREAR</w:t>
      </w:r>
      <w:r w:rsidRPr="00AE4E8D">
        <w:rPr>
          <w:lang w:val="es-ES"/>
        </w:rPr>
        <w:t>”) patrocinado por el Gobierno Argentino y convertirnos en un importante referente en el nuevo mercado de hipotecas ajustado por inflación, que implica el otorgamiento de hasta 200.000 créditos hipotecarios a individuos y la construcción de nuevos desarrollos urbanísticos.</w:t>
      </w:r>
      <w:r w:rsidRPr="00AE4E8D" w:rsidDel="004B0BD6">
        <w:rPr>
          <w:lang w:val="es-ES"/>
        </w:rPr>
        <w:t xml:space="preserve"> </w:t>
      </w:r>
    </w:p>
    <w:p w14:paraId="74C85690" w14:textId="77777777" w:rsidR="009B2848" w:rsidRPr="00AE4E8D" w:rsidRDefault="009B2848" w:rsidP="009B2848">
      <w:pPr>
        <w:pStyle w:val="BHVieta2"/>
        <w:numPr>
          <w:ilvl w:val="0"/>
          <w:numId w:val="51"/>
        </w:numPr>
        <w:rPr>
          <w:lang w:val="es-ES"/>
        </w:rPr>
      </w:pPr>
      <w:r w:rsidRPr="00AE4E8D">
        <w:rPr>
          <w:i/>
          <w:lang w:val="es-ES"/>
        </w:rPr>
        <w:t>Diversificación de fuentes de financiamiento</w:t>
      </w:r>
      <w:r w:rsidRPr="00AE4E8D">
        <w:rPr>
          <w:lang w:val="es-ES"/>
        </w:rPr>
        <w:t>. Tenemos la intención de continuar mejorando nuestro mix de fondeo mediante la diversificación de nuestra financiación a corto plazo y mejorar la financiación a largo plazo a fin de converger con los estándares de la industria y aprovechar las oportunidades del mercado de capitales. En este sentido vamos a seguir centrándonos en la atracción de depósitos a la vista y en la emisión de deuda en los mercados de capitales.</w:t>
      </w:r>
    </w:p>
    <w:p w14:paraId="44ADC5C7" w14:textId="77777777" w:rsidR="009B2848" w:rsidRPr="00AE4E8D" w:rsidRDefault="009B2848" w:rsidP="009B2848">
      <w:pPr>
        <w:pStyle w:val="BHVieta2"/>
        <w:numPr>
          <w:ilvl w:val="0"/>
          <w:numId w:val="51"/>
        </w:numPr>
        <w:rPr>
          <w:lang w:val="es-ES"/>
        </w:rPr>
      </w:pPr>
      <w:r w:rsidRPr="00AE4E8D">
        <w:rPr>
          <w:rStyle w:val="hps"/>
          <w:i/>
          <w:lang w:val="es-ES"/>
        </w:rPr>
        <w:t>Rigurosidad en la gestión del riesgo</w:t>
      </w:r>
      <w:r w:rsidRPr="00AE4E8D">
        <w:rPr>
          <w:rStyle w:val="hps"/>
          <w:lang w:val="es-ES"/>
        </w:rPr>
        <w:t>.</w:t>
      </w:r>
      <w:r w:rsidRPr="00AE4E8D">
        <w:rPr>
          <w:lang w:val="es-ES"/>
        </w:rPr>
        <w:t xml:space="preserve"> </w:t>
      </w:r>
      <w:r w:rsidRPr="00AE4E8D">
        <w:rPr>
          <w:rStyle w:val="hps"/>
          <w:lang w:val="es-ES"/>
        </w:rPr>
        <w:t>Nuestras políticas de crédito</w:t>
      </w:r>
      <w:r w:rsidRPr="00AE4E8D">
        <w:rPr>
          <w:lang w:val="es-ES"/>
        </w:rPr>
        <w:t xml:space="preserve"> </w:t>
      </w:r>
      <w:r w:rsidRPr="00AE4E8D">
        <w:rPr>
          <w:rStyle w:val="hps"/>
          <w:lang w:val="es-ES"/>
        </w:rPr>
        <w:t>y de gestión de riesgos</w:t>
      </w:r>
      <w:r w:rsidRPr="00AE4E8D">
        <w:rPr>
          <w:lang w:val="es-ES"/>
        </w:rPr>
        <w:t xml:space="preserve"> </w:t>
      </w:r>
      <w:r w:rsidRPr="00AE4E8D">
        <w:rPr>
          <w:rStyle w:val="hps"/>
          <w:lang w:val="es-ES"/>
        </w:rPr>
        <w:t>rigurosas</w:t>
      </w:r>
      <w:r w:rsidRPr="00AE4E8D">
        <w:rPr>
          <w:lang w:val="es-ES"/>
        </w:rPr>
        <w:t xml:space="preserve"> </w:t>
      </w:r>
      <w:r w:rsidRPr="00AE4E8D">
        <w:rPr>
          <w:rStyle w:val="hps"/>
          <w:lang w:val="es-ES"/>
        </w:rPr>
        <w:t>son esenciales para la</w:t>
      </w:r>
      <w:r w:rsidRPr="00AE4E8D">
        <w:rPr>
          <w:lang w:val="es-ES"/>
        </w:rPr>
        <w:t xml:space="preserve"> </w:t>
      </w:r>
      <w:r w:rsidRPr="00AE4E8D">
        <w:rPr>
          <w:rStyle w:val="hps"/>
          <w:lang w:val="es-ES"/>
        </w:rPr>
        <w:t>implementación exitosa de</w:t>
      </w:r>
      <w:r w:rsidRPr="00AE4E8D">
        <w:rPr>
          <w:lang w:val="es-ES"/>
        </w:rPr>
        <w:t xml:space="preserve"> </w:t>
      </w:r>
      <w:r w:rsidRPr="00AE4E8D">
        <w:rPr>
          <w:rStyle w:val="hps"/>
          <w:lang w:val="es-ES"/>
        </w:rPr>
        <w:t>nuestra estrategia de negocios</w:t>
      </w:r>
      <w:r w:rsidRPr="00AE4E8D">
        <w:rPr>
          <w:lang w:val="es-ES"/>
        </w:rPr>
        <w:t xml:space="preserve">. </w:t>
      </w:r>
      <w:r w:rsidRPr="00AE4E8D">
        <w:rPr>
          <w:rStyle w:val="hps"/>
          <w:lang w:val="es-ES"/>
        </w:rPr>
        <w:t>Buscamos</w:t>
      </w:r>
      <w:r w:rsidRPr="00AE4E8D">
        <w:rPr>
          <w:lang w:val="es-ES"/>
        </w:rPr>
        <w:t xml:space="preserve"> </w:t>
      </w:r>
      <w:r w:rsidRPr="00AE4E8D">
        <w:rPr>
          <w:rStyle w:val="hps"/>
          <w:lang w:val="es-ES"/>
        </w:rPr>
        <w:t>la mejora continua de</w:t>
      </w:r>
      <w:r w:rsidRPr="00AE4E8D">
        <w:rPr>
          <w:lang w:val="es-ES"/>
        </w:rPr>
        <w:t xml:space="preserve"> </w:t>
      </w:r>
      <w:r w:rsidRPr="00AE4E8D">
        <w:rPr>
          <w:rStyle w:val="hps"/>
          <w:lang w:val="es-ES"/>
        </w:rPr>
        <w:t>nuestras políticas y procesos</w:t>
      </w:r>
      <w:r w:rsidRPr="00AE4E8D">
        <w:rPr>
          <w:lang w:val="es-ES"/>
        </w:rPr>
        <w:t xml:space="preserve"> </w:t>
      </w:r>
      <w:r w:rsidRPr="00AE4E8D">
        <w:rPr>
          <w:rStyle w:val="hps"/>
          <w:lang w:val="es-ES"/>
        </w:rPr>
        <w:t>de gestión de riesgos</w:t>
      </w:r>
      <w:r w:rsidRPr="00AE4E8D">
        <w:rPr>
          <w:lang w:val="es-ES"/>
        </w:rPr>
        <w:t xml:space="preserve"> </w:t>
      </w:r>
      <w:r w:rsidRPr="00AE4E8D">
        <w:rPr>
          <w:rStyle w:val="hps"/>
          <w:lang w:val="es-ES"/>
        </w:rPr>
        <w:t>y</w:t>
      </w:r>
      <w:r w:rsidRPr="00AE4E8D">
        <w:rPr>
          <w:lang w:val="es-ES"/>
        </w:rPr>
        <w:t xml:space="preserve"> de </w:t>
      </w:r>
      <w:r w:rsidRPr="00AE4E8D">
        <w:rPr>
          <w:rStyle w:val="hps"/>
          <w:lang w:val="es-ES"/>
        </w:rPr>
        <w:t>calidad de los activos</w:t>
      </w:r>
      <w:r w:rsidRPr="00AE4E8D">
        <w:rPr>
          <w:lang w:val="es-ES"/>
        </w:rPr>
        <w:t xml:space="preserve"> </w:t>
      </w:r>
      <w:r w:rsidRPr="00AE4E8D">
        <w:rPr>
          <w:rStyle w:val="hps"/>
          <w:lang w:val="es-ES"/>
        </w:rPr>
        <w:t>en general</w:t>
      </w:r>
      <w:r w:rsidRPr="00AE4E8D">
        <w:rPr>
          <w:lang w:val="es-ES"/>
        </w:rPr>
        <w:t xml:space="preserve"> </w:t>
      </w:r>
      <w:r w:rsidRPr="00AE4E8D">
        <w:rPr>
          <w:rStyle w:val="hps"/>
          <w:lang w:val="es-ES"/>
        </w:rPr>
        <w:t>mediante la adopción y</w:t>
      </w:r>
      <w:r w:rsidRPr="00AE4E8D">
        <w:rPr>
          <w:lang w:val="es-ES"/>
        </w:rPr>
        <w:t xml:space="preserve"> </w:t>
      </w:r>
      <w:r w:rsidRPr="00AE4E8D">
        <w:rPr>
          <w:rStyle w:val="hps"/>
          <w:lang w:val="es-ES"/>
        </w:rPr>
        <w:t>la adhesión a</w:t>
      </w:r>
      <w:r w:rsidRPr="00AE4E8D">
        <w:rPr>
          <w:lang w:val="es-ES"/>
        </w:rPr>
        <w:t xml:space="preserve"> </w:t>
      </w:r>
      <w:r w:rsidRPr="00AE4E8D">
        <w:rPr>
          <w:rStyle w:val="hps"/>
          <w:lang w:val="es-ES"/>
        </w:rPr>
        <w:t>las mejores prácticas internacionales</w:t>
      </w:r>
      <w:r w:rsidRPr="00AE4E8D">
        <w:rPr>
          <w:lang w:val="es-ES"/>
        </w:rPr>
        <w:t xml:space="preserve">. </w:t>
      </w:r>
      <w:r w:rsidRPr="00AE4E8D">
        <w:rPr>
          <w:rStyle w:val="hps"/>
          <w:lang w:val="es-ES"/>
        </w:rPr>
        <w:t xml:space="preserve">También tenemos la </w:t>
      </w:r>
      <w:r w:rsidRPr="00AE4E8D">
        <w:rPr>
          <w:rStyle w:val="hps"/>
          <w:lang w:val="es-ES"/>
        </w:rPr>
        <w:lastRenderedPageBreak/>
        <w:t>intención</w:t>
      </w:r>
      <w:r w:rsidRPr="00AE4E8D">
        <w:rPr>
          <w:lang w:val="es-ES"/>
        </w:rPr>
        <w:t xml:space="preserve"> </w:t>
      </w:r>
      <w:r w:rsidRPr="00AE4E8D">
        <w:rPr>
          <w:rStyle w:val="hps"/>
          <w:lang w:val="es-ES"/>
        </w:rPr>
        <w:t>de centrarnos en</w:t>
      </w:r>
      <w:r w:rsidRPr="00AE4E8D">
        <w:rPr>
          <w:lang w:val="es-ES"/>
        </w:rPr>
        <w:t xml:space="preserve"> </w:t>
      </w:r>
      <w:r w:rsidRPr="00AE4E8D">
        <w:rPr>
          <w:rStyle w:val="hps"/>
          <w:lang w:val="es-ES"/>
        </w:rPr>
        <w:t>el seguimiento de los</w:t>
      </w:r>
      <w:r w:rsidRPr="00AE4E8D">
        <w:rPr>
          <w:lang w:val="es-ES"/>
        </w:rPr>
        <w:t xml:space="preserve"> </w:t>
      </w:r>
      <w:r w:rsidRPr="00AE4E8D">
        <w:rPr>
          <w:rStyle w:val="hps"/>
          <w:lang w:val="es-ES"/>
        </w:rPr>
        <w:t>riesgos</w:t>
      </w:r>
      <w:r w:rsidRPr="00AE4E8D">
        <w:rPr>
          <w:lang w:val="es-ES"/>
        </w:rPr>
        <w:t xml:space="preserve"> </w:t>
      </w:r>
      <w:r w:rsidRPr="00AE4E8D">
        <w:rPr>
          <w:rStyle w:val="hps"/>
          <w:lang w:val="es-ES"/>
        </w:rPr>
        <w:t>y la rentabilidad de</w:t>
      </w:r>
      <w:r w:rsidRPr="00AE4E8D">
        <w:rPr>
          <w:lang w:val="es-ES"/>
        </w:rPr>
        <w:t xml:space="preserve"> </w:t>
      </w:r>
      <w:r w:rsidRPr="00AE4E8D">
        <w:rPr>
          <w:rStyle w:val="hps"/>
          <w:lang w:val="es-ES"/>
        </w:rPr>
        <w:t>nuestras unidades de negocio</w:t>
      </w:r>
      <w:r w:rsidRPr="00AE4E8D">
        <w:rPr>
          <w:lang w:val="es-ES"/>
        </w:rPr>
        <w:t xml:space="preserve"> </w:t>
      </w:r>
      <w:r w:rsidRPr="00AE4E8D">
        <w:rPr>
          <w:rStyle w:val="hps"/>
          <w:lang w:val="es-ES"/>
        </w:rPr>
        <w:t>(aplicando modelos</w:t>
      </w:r>
      <w:r w:rsidRPr="00AE4E8D">
        <w:rPr>
          <w:lang w:val="es-ES"/>
        </w:rPr>
        <w:t xml:space="preserve"> </w:t>
      </w:r>
      <w:r w:rsidRPr="00AE4E8D">
        <w:rPr>
          <w:rStyle w:val="hps"/>
          <w:lang w:val="es-ES"/>
        </w:rPr>
        <w:t>RAROC</w:t>
      </w:r>
      <w:r w:rsidRPr="00AE4E8D">
        <w:rPr>
          <w:lang w:val="es-ES"/>
        </w:rPr>
        <w:t xml:space="preserve">), originando </w:t>
      </w:r>
      <w:r w:rsidRPr="00AE4E8D">
        <w:rPr>
          <w:rStyle w:val="hps"/>
          <w:lang w:val="es-ES"/>
        </w:rPr>
        <w:t>nuevos préstamos</w:t>
      </w:r>
      <w:r w:rsidRPr="00AE4E8D">
        <w:rPr>
          <w:lang w:val="es-ES"/>
        </w:rPr>
        <w:t xml:space="preserve"> </w:t>
      </w:r>
      <w:r w:rsidRPr="00AE4E8D">
        <w:rPr>
          <w:rStyle w:val="hps"/>
          <w:lang w:val="es-ES"/>
        </w:rPr>
        <w:t>selectivamente</w:t>
      </w:r>
      <w:r w:rsidRPr="00AE4E8D">
        <w:rPr>
          <w:lang w:val="es-ES"/>
        </w:rPr>
        <w:t xml:space="preserve">, realizando acciones </w:t>
      </w:r>
      <w:r w:rsidRPr="00AE4E8D">
        <w:rPr>
          <w:rStyle w:val="hps"/>
          <w:lang w:val="es-ES"/>
        </w:rPr>
        <w:t>segmentadas</w:t>
      </w:r>
      <w:r w:rsidRPr="00AE4E8D">
        <w:rPr>
          <w:lang w:val="es-ES"/>
        </w:rPr>
        <w:t xml:space="preserve"> </w:t>
      </w:r>
      <w:r w:rsidRPr="00AE4E8D">
        <w:rPr>
          <w:rStyle w:val="hps"/>
          <w:lang w:val="es-ES"/>
        </w:rPr>
        <w:t>en nuestra cartera</w:t>
      </w:r>
      <w:r w:rsidRPr="00AE4E8D">
        <w:rPr>
          <w:lang w:val="es-ES"/>
        </w:rPr>
        <w:t xml:space="preserve"> </w:t>
      </w:r>
      <w:r w:rsidRPr="00AE4E8D">
        <w:rPr>
          <w:rStyle w:val="hps"/>
          <w:lang w:val="es-ES"/>
        </w:rPr>
        <w:t>de banca minorista para compatibilizar adecuadamente los riesgos del cliente con el precio del préstamo y manteniendo un portafolio de préstamos corporativos bien diversificado. Asimismo, cumplimos con Basilea II y nos encontramos en proceso de implementación de Basilea III</w:t>
      </w:r>
      <w:r w:rsidR="00D06739" w:rsidRPr="00AE4E8D">
        <w:rPr>
          <w:rStyle w:val="hps"/>
          <w:lang w:val="es-ES"/>
        </w:rPr>
        <w:t>, de conformidad con el cronograma de implementación establecido por el BCRA</w:t>
      </w:r>
      <w:r w:rsidRPr="00AE4E8D">
        <w:rPr>
          <w:rStyle w:val="hps"/>
          <w:lang w:val="es-ES"/>
        </w:rPr>
        <w:t>.</w:t>
      </w:r>
    </w:p>
    <w:p w14:paraId="598939AF" w14:textId="77777777" w:rsidR="009B2848" w:rsidRPr="00AE4E8D" w:rsidRDefault="009B2848" w:rsidP="009B2848">
      <w:pPr>
        <w:pStyle w:val="BHVieta2"/>
        <w:numPr>
          <w:ilvl w:val="0"/>
          <w:numId w:val="51"/>
        </w:numPr>
        <w:rPr>
          <w:lang w:val="es-ES"/>
        </w:rPr>
      </w:pPr>
      <w:r w:rsidRPr="00AE4E8D">
        <w:rPr>
          <w:i/>
          <w:lang w:val="es-ES"/>
        </w:rPr>
        <w:t>Mejorar la rentabilidad mejorando la fidelidad de nuestros clientes</w:t>
      </w:r>
      <w:r w:rsidRPr="00AE4E8D">
        <w:rPr>
          <w:lang w:val="es-ES"/>
        </w:rPr>
        <w:t>. Buscamos expandir y fortalecer la relación con nuestros clientes actuales, los que creemos representan una fuente estable y constante de ingresos y de oportunidades de crecimiento futuro. Pretendemos posicionarnos como el proveedor de diversos servicios financieros preferido de nuestros clientes por medio de la venta cruzada de una amplia gama de servicios y la oferta de multi-productos y enfocándonos en incrementar los ingresos provenientes de comisiones.</w:t>
      </w:r>
    </w:p>
    <w:p w14:paraId="0076D8FA" w14:textId="77777777" w:rsidR="009B2848" w:rsidRPr="00AE4E8D" w:rsidRDefault="009B2848" w:rsidP="009B2848">
      <w:pPr>
        <w:pStyle w:val="BHVieta2"/>
        <w:numPr>
          <w:ilvl w:val="0"/>
          <w:numId w:val="51"/>
        </w:numPr>
        <w:rPr>
          <w:lang w:val="es-ES"/>
        </w:rPr>
      </w:pPr>
      <w:r w:rsidRPr="00AE4E8D">
        <w:rPr>
          <w:i/>
          <w:lang w:val="es-ES"/>
        </w:rPr>
        <w:t>Actividades promocionales para reforzar nuestra marca</w:t>
      </w:r>
      <w:r w:rsidRPr="00AE4E8D">
        <w:rPr>
          <w:lang w:val="es-ES"/>
        </w:rPr>
        <w:t>. Intentamos hacer énfasis en las actividades de promoción y campañas de fidelidad a fin de seguir promoviendo nuestra imagen como banco contemporáneo, simple e inclusivo. Lo hacemos por medio del uso creativo de las redes sociales y estrategias de marketing diseñadas para posicionarnos como un banco moderno y atractivo para una clientela más joven.</w:t>
      </w:r>
    </w:p>
    <w:p w14:paraId="6A6E9F99" w14:textId="77777777" w:rsidR="008858F5" w:rsidRPr="00AE4E8D" w:rsidRDefault="00D06739" w:rsidP="008858F5">
      <w:pPr>
        <w:pStyle w:val="BHVieta2"/>
        <w:numPr>
          <w:ilvl w:val="0"/>
          <w:numId w:val="51"/>
        </w:numPr>
        <w:rPr>
          <w:lang w:val="es-ES"/>
        </w:rPr>
      </w:pPr>
      <w:r w:rsidRPr="00AE4E8D">
        <w:rPr>
          <w:i/>
          <w:lang w:val="es-ES"/>
        </w:rPr>
        <w:t>Aprovechar las oportunidades de mercado</w:t>
      </w:r>
      <w:r w:rsidR="009B2848" w:rsidRPr="00AE4E8D">
        <w:rPr>
          <w:lang w:val="es-ES"/>
        </w:rPr>
        <w:t>. Hemos continuado con nuestra reorganización interna, optimizando la cantidad de empleados en ciertas áreas no centrales para mejorar la eficiencia operativa y la rentabilidad. Nuestra reorganización interna se encuentra en su etapa final</w:t>
      </w:r>
      <w:r w:rsidRPr="00AE4E8D">
        <w:rPr>
          <w:lang w:val="es-ES"/>
        </w:rPr>
        <w:t xml:space="preserve"> y se espera que esté completa</w:t>
      </w:r>
      <w:r w:rsidR="0079210E" w:rsidRPr="00AE4E8D">
        <w:rPr>
          <w:lang w:val="es-ES"/>
        </w:rPr>
        <w:t xml:space="preserve"> </w:t>
      </w:r>
      <w:r w:rsidRPr="00AE4E8D">
        <w:rPr>
          <w:lang w:val="es-ES"/>
        </w:rPr>
        <w:t xml:space="preserve">en </w:t>
      </w:r>
      <w:r w:rsidR="004D7B80">
        <w:rPr>
          <w:lang w:val="es-ES"/>
        </w:rPr>
        <w:t>2018</w:t>
      </w:r>
      <w:r w:rsidR="009B2848" w:rsidRPr="00AE4E8D">
        <w:rPr>
          <w:lang w:val="es-ES"/>
        </w:rPr>
        <w:t>. Asimismo, nos encontramos continuamente explorando la posibilidad de adquirir selectivamente otros bancos o entidades financieras a los fines de mejorar nuestros canales de distribución, diversificar nuestra fuente de financiación y aprovechar las sinergias operacionales; no obstante no podemos asegurar que seremos capaces de ello</w:t>
      </w:r>
      <w:r w:rsidR="008858F5" w:rsidRPr="00AE4E8D">
        <w:rPr>
          <w:lang w:val="es-ES"/>
        </w:rPr>
        <w:t>.</w:t>
      </w:r>
    </w:p>
    <w:p w14:paraId="30ED93F0" w14:textId="77777777" w:rsidR="009F00AE" w:rsidRPr="00AE4E8D" w:rsidRDefault="009F00AE" w:rsidP="009F00AE">
      <w:pPr>
        <w:pStyle w:val="BH2Izquierda"/>
        <w:rPr>
          <w:lang w:val="es-ES"/>
        </w:rPr>
      </w:pPr>
      <w:bookmarkStart w:id="172" w:name="_Toc495972986"/>
      <w:bookmarkStart w:id="173" w:name="_Toc495399893"/>
      <w:r w:rsidRPr="00AE4E8D">
        <w:rPr>
          <w:lang w:val="es-ES"/>
        </w:rPr>
        <w:t>b) Descripción de nuestros negocios</w:t>
      </w:r>
      <w:bookmarkEnd w:id="172"/>
      <w:bookmarkEnd w:id="173"/>
      <w:r w:rsidRPr="00AE4E8D">
        <w:rPr>
          <w:lang w:val="es-ES"/>
        </w:rPr>
        <w:t xml:space="preserve"> </w:t>
      </w:r>
    </w:p>
    <w:p w14:paraId="25513DF3" w14:textId="77777777" w:rsidR="009F00AE" w:rsidRPr="00AE4E8D" w:rsidRDefault="009F00AE" w:rsidP="009F00AE">
      <w:pPr>
        <w:pStyle w:val="BH3Izquierda"/>
        <w:rPr>
          <w:lang w:val="es-ES"/>
        </w:rPr>
      </w:pPr>
      <w:bookmarkStart w:id="174" w:name="_Toc414610857"/>
      <w:bookmarkStart w:id="175" w:name="_Toc420062559"/>
      <w:bookmarkStart w:id="176" w:name="_Toc421201338"/>
      <w:r w:rsidRPr="00AE4E8D">
        <w:rPr>
          <w:lang w:val="es-ES"/>
        </w:rPr>
        <w:t>Líneas de Negocios</w:t>
      </w:r>
      <w:bookmarkEnd w:id="174"/>
      <w:bookmarkEnd w:id="175"/>
      <w:bookmarkEnd w:id="176"/>
    </w:p>
    <w:p w14:paraId="38C24C00" w14:textId="77777777" w:rsidR="009F00AE" w:rsidRPr="00AE4E8D" w:rsidRDefault="009F00AE" w:rsidP="009F00AE">
      <w:pPr>
        <w:pStyle w:val="BH3Izquierda"/>
        <w:rPr>
          <w:lang w:val="es-ES"/>
        </w:rPr>
      </w:pPr>
      <w:r w:rsidRPr="00AE4E8D">
        <w:rPr>
          <w:lang w:val="es-ES"/>
        </w:rPr>
        <w:t xml:space="preserve">Cartera de Préstamos </w:t>
      </w:r>
    </w:p>
    <w:p w14:paraId="10EA62BC" w14:textId="77777777" w:rsidR="00AF1863" w:rsidRPr="00AE4E8D" w:rsidRDefault="00AF1863" w:rsidP="00AF1863">
      <w:pPr>
        <w:pStyle w:val="BHTexto"/>
        <w:widowControl w:val="0"/>
        <w:rPr>
          <w:lang w:val="es-ES"/>
        </w:rPr>
      </w:pPr>
      <w:bookmarkStart w:id="177" w:name="_Toc421201339"/>
      <w:bookmarkEnd w:id="167"/>
      <w:bookmarkEnd w:id="168"/>
      <w:bookmarkEnd w:id="169"/>
      <w:r w:rsidRPr="00AE4E8D">
        <w:rPr>
          <w:lang w:val="es-ES"/>
        </w:rPr>
        <w:t>El siguiente cuadro incluye un detalle de nuestra cartera de préstamos a las fechas indicadas:</w:t>
      </w:r>
    </w:p>
    <w:tbl>
      <w:tblPr>
        <w:tblW w:w="5000" w:type="pct"/>
        <w:tblLook w:val="04A0" w:firstRow="1" w:lastRow="0" w:firstColumn="1" w:lastColumn="0" w:noHBand="0" w:noVBand="1"/>
      </w:tblPr>
      <w:tblGrid>
        <w:gridCol w:w="2347"/>
        <w:gridCol w:w="802"/>
        <w:gridCol w:w="249"/>
        <w:gridCol w:w="839"/>
        <w:gridCol w:w="248"/>
        <w:gridCol w:w="825"/>
        <w:gridCol w:w="77"/>
        <w:gridCol w:w="248"/>
        <w:gridCol w:w="747"/>
        <w:gridCol w:w="291"/>
        <w:gridCol w:w="893"/>
        <w:gridCol w:w="300"/>
        <w:gridCol w:w="855"/>
      </w:tblGrid>
      <w:tr w:rsidR="000400C8" w:rsidRPr="00AE4E8D" w14:paraId="463D2BC7" w14:textId="77777777" w:rsidTr="002A5A31">
        <w:trPr>
          <w:trHeight w:val="244"/>
        </w:trPr>
        <w:tc>
          <w:tcPr>
            <w:tcW w:w="1346" w:type="pct"/>
            <w:tcBorders>
              <w:top w:val="nil"/>
              <w:left w:val="nil"/>
              <w:bottom w:val="nil"/>
              <w:right w:val="nil"/>
            </w:tcBorders>
            <w:shd w:val="clear" w:color="auto" w:fill="auto"/>
            <w:noWrap/>
            <w:vAlign w:val="center"/>
            <w:hideMark/>
          </w:tcPr>
          <w:p w14:paraId="0ADA8BC2" w14:textId="77777777" w:rsidR="000400C8" w:rsidRPr="00AE4E8D" w:rsidRDefault="000400C8" w:rsidP="00AF1863">
            <w:pPr>
              <w:rPr>
                <w:rFonts w:ascii="Times New Roman" w:hAnsi="Times New Roman"/>
                <w:color w:val="000000"/>
                <w:sz w:val="12"/>
                <w:szCs w:val="12"/>
                <w:lang w:val="es-ES"/>
              </w:rPr>
            </w:pPr>
          </w:p>
        </w:tc>
        <w:tc>
          <w:tcPr>
            <w:tcW w:w="2295" w:type="pct"/>
            <w:gridSpan w:val="8"/>
            <w:tcBorders>
              <w:top w:val="nil"/>
              <w:left w:val="nil"/>
              <w:bottom w:val="single" w:sz="8" w:space="0" w:color="auto"/>
              <w:right w:val="nil"/>
            </w:tcBorders>
            <w:shd w:val="clear" w:color="auto" w:fill="auto"/>
            <w:vAlign w:val="center"/>
          </w:tcPr>
          <w:p w14:paraId="7D30538F" w14:textId="77777777" w:rsidR="000400C8" w:rsidRPr="00AE4E8D" w:rsidRDefault="000400C8" w:rsidP="00B200E8">
            <w:pPr>
              <w:jc w:val="center"/>
              <w:rPr>
                <w:rFonts w:ascii="Times New Roman" w:hAnsi="Times New Roman"/>
                <w:sz w:val="12"/>
                <w:lang w:val="es-ES"/>
              </w:rPr>
            </w:pPr>
            <w:r w:rsidRPr="00AE4E8D">
              <w:rPr>
                <w:rFonts w:ascii="Times New Roman" w:hAnsi="Times New Roman"/>
                <w:b/>
                <w:bCs/>
                <w:color w:val="000000"/>
                <w:sz w:val="12"/>
                <w:szCs w:val="12"/>
                <w:lang w:val="es-ES"/>
              </w:rPr>
              <w:t>Al 31 de diciembre</w:t>
            </w:r>
          </w:p>
        </w:tc>
        <w:tc>
          <w:tcPr>
            <w:tcW w:w="167" w:type="pct"/>
            <w:tcBorders>
              <w:top w:val="nil"/>
              <w:left w:val="nil"/>
              <w:bottom w:val="nil"/>
              <w:right w:val="nil"/>
            </w:tcBorders>
            <w:shd w:val="clear" w:color="auto" w:fill="auto"/>
            <w:vAlign w:val="center"/>
            <w:hideMark/>
          </w:tcPr>
          <w:p w14:paraId="42029D18" w14:textId="77777777" w:rsidR="000400C8" w:rsidRPr="00AE4E8D" w:rsidRDefault="000400C8" w:rsidP="000400C8">
            <w:pPr>
              <w:rPr>
                <w:rFonts w:ascii="Times New Roman" w:hAnsi="Times New Roman"/>
                <w:sz w:val="12"/>
                <w:lang w:val="es-ES"/>
              </w:rPr>
            </w:pPr>
          </w:p>
        </w:tc>
        <w:tc>
          <w:tcPr>
            <w:tcW w:w="1191" w:type="pct"/>
            <w:gridSpan w:val="3"/>
            <w:tcBorders>
              <w:top w:val="nil"/>
              <w:left w:val="nil"/>
              <w:bottom w:val="single" w:sz="8" w:space="0" w:color="auto"/>
              <w:right w:val="nil"/>
            </w:tcBorders>
            <w:shd w:val="clear" w:color="auto" w:fill="auto"/>
            <w:vAlign w:val="center"/>
            <w:hideMark/>
          </w:tcPr>
          <w:p w14:paraId="79517D34" w14:textId="77777777" w:rsidR="000400C8" w:rsidRPr="00AE4E8D" w:rsidRDefault="000400C8" w:rsidP="00AF1863">
            <w:pPr>
              <w:jc w:val="cente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Al 30 de junio</w:t>
            </w:r>
          </w:p>
        </w:tc>
      </w:tr>
      <w:tr w:rsidR="000400C8" w:rsidRPr="00AE4E8D" w14:paraId="147777EB" w14:textId="77777777" w:rsidTr="002A5A31">
        <w:trPr>
          <w:cantSplit/>
          <w:trHeight w:val="244"/>
        </w:trPr>
        <w:tc>
          <w:tcPr>
            <w:tcW w:w="1346" w:type="pct"/>
            <w:tcBorders>
              <w:top w:val="nil"/>
              <w:left w:val="nil"/>
              <w:bottom w:val="nil"/>
              <w:right w:val="nil"/>
            </w:tcBorders>
            <w:shd w:val="clear" w:color="auto" w:fill="auto"/>
            <w:noWrap/>
            <w:vAlign w:val="center"/>
            <w:hideMark/>
          </w:tcPr>
          <w:p w14:paraId="33C53CBF" w14:textId="77777777" w:rsidR="000400C8" w:rsidRPr="00AE4E8D" w:rsidRDefault="000400C8" w:rsidP="00AF1863">
            <w:pPr>
              <w:rPr>
                <w:rFonts w:ascii="Times New Roman" w:hAnsi="Times New Roman"/>
                <w:color w:val="000000"/>
                <w:sz w:val="12"/>
                <w:szCs w:val="12"/>
                <w:lang w:val="es-ES"/>
              </w:rPr>
            </w:pPr>
          </w:p>
        </w:tc>
        <w:tc>
          <w:tcPr>
            <w:tcW w:w="460" w:type="pct"/>
            <w:tcBorders>
              <w:top w:val="nil"/>
              <w:left w:val="nil"/>
              <w:bottom w:val="single" w:sz="8" w:space="0" w:color="auto"/>
              <w:right w:val="nil"/>
            </w:tcBorders>
            <w:shd w:val="clear" w:color="auto" w:fill="auto"/>
            <w:noWrap/>
            <w:vAlign w:val="center"/>
            <w:hideMark/>
          </w:tcPr>
          <w:p w14:paraId="30B841DB" w14:textId="77777777" w:rsidR="000400C8" w:rsidRPr="00AE4E8D" w:rsidRDefault="000400C8" w:rsidP="00AF1863">
            <w:pPr>
              <w:jc w:val="cente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2014</w:t>
            </w:r>
          </w:p>
        </w:tc>
        <w:tc>
          <w:tcPr>
            <w:tcW w:w="143" w:type="pct"/>
            <w:tcBorders>
              <w:top w:val="nil"/>
              <w:left w:val="nil"/>
              <w:bottom w:val="nil"/>
              <w:right w:val="nil"/>
            </w:tcBorders>
            <w:shd w:val="clear" w:color="auto" w:fill="auto"/>
            <w:noWrap/>
            <w:vAlign w:val="center"/>
            <w:hideMark/>
          </w:tcPr>
          <w:p w14:paraId="27C33990" w14:textId="77777777" w:rsidR="000400C8" w:rsidRPr="00AE4E8D" w:rsidRDefault="000400C8" w:rsidP="00AF1863">
            <w:pPr>
              <w:jc w:val="center"/>
              <w:rPr>
                <w:rFonts w:ascii="Times New Roman" w:hAnsi="Times New Roman"/>
                <w:b/>
                <w:bCs/>
                <w:color w:val="000000"/>
                <w:sz w:val="12"/>
                <w:szCs w:val="12"/>
                <w:lang w:val="es-ES"/>
              </w:rPr>
            </w:pPr>
          </w:p>
        </w:tc>
        <w:tc>
          <w:tcPr>
            <w:tcW w:w="481" w:type="pct"/>
            <w:tcBorders>
              <w:top w:val="nil"/>
              <w:left w:val="nil"/>
              <w:bottom w:val="single" w:sz="8" w:space="0" w:color="auto"/>
              <w:right w:val="nil"/>
            </w:tcBorders>
            <w:shd w:val="clear" w:color="auto" w:fill="auto"/>
            <w:noWrap/>
            <w:vAlign w:val="center"/>
            <w:hideMark/>
          </w:tcPr>
          <w:p w14:paraId="07841C56" w14:textId="77777777" w:rsidR="000400C8" w:rsidRPr="00AE4E8D" w:rsidRDefault="000400C8" w:rsidP="00AF1863">
            <w:pPr>
              <w:jc w:val="cente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2015</w:t>
            </w:r>
          </w:p>
        </w:tc>
        <w:tc>
          <w:tcPr>
            <w:tcW w:w="142" w:type="pct"/>
            <w:tcBorders>
              <w:top w:val="nil"/>
              <w:left w:val="nil"/>
              <w:bottom w:val="nil"/>
              <w:right w:val="nil"/>
            </w:tcBorders>
            <w:shd w:val="clear" w:color="auto" w:fill="auto"/>
            <w:noWrap/>
            <w:vAlign w:val="center"/>
            <w:hideMark/>
          </w:tcPr>
          <w:p w14:paraId="723FCC9B" w14:textId="77777777" w:rsidR="000400C8" w:rsidRPr="00AE4E8D" w:rsidRDefault="000400C8" w:rsidP="00AF1863">
            <w:pPr>
              <w:jc w:val="center"/>
              <w:rPr>
                <w:rFonts w:ascii="Times New Roman" w:hAnsi="Times New Roman"/>
                <w:b/>
                <w:bCs/>
                <w:color w:val="000000"/>
                <w:sz w:val="12"/>
                <w:szCs w:val="12"/>
                <w:lang w:val="es-ES"/>
              </w:rPr>
            </w:pPr>
          </w:p>
        </w:tc>
        <w:tc>
          <w:tcPr>
            <w:tcW w:w="517" w:type="pct"/>
            <w:gridSpan w:val="2"/>
            <w:tcBorders>
              <w:top w:val="single" w:sz="8" w:space="0" w:color="auto"/>
              <w:left w:val="nil"/>
              <w:bottom w:val="single" w:sz="8" w:space="0" w:color="auto"/>
            </w:tcBorders>
            <w:shd w:val="clear" w:color="auto" w:fill="auto"/>
            <w:vAlign w:val="center"/>
            <w:hideMark/>
          </w:tcPr>
          <w:p w14:paraId="14994D73" w14:textId="77777777" w:rsidR="000400C8" w:rsidRPr="00AE4E8D" w:rsidRDefault="000400C8" w:rsidP="00AF1863">
            <w:pPr>
              <w:jc w:val="cente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2016</w:t>
            </w:r>
          </w:p>
        </w:tc>
        <w:tc>
          <w:tcPr>
            <w:tcW w:w="142" w:type="pct"/>
            <w:shd w:val="clear" w:color="auto" w:fill="auto"/>
            <w:vAlign w:val="center"/>
            <w:hideMark/>
          </w:tcPr>
          <w:p w14:paraId="583CE10F" w14:textId="77777777" w:rsidR="000400C8" w:rsidRPr="00AE4E8D" w:rsidRDefault="000400C8" w:rsidP="00AF1863">
            <w:pPr>
              <w:jc w:val="cente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 </w:t>
            </w:r>
          </w:p>
        </w:tc>
        <w:tc>
          <w:tcPr>
            <w:tcW w:w="411" w:type="pct"/>
            <w:tcBorders>
              <w:top w:val="single" w:sz="8" w:space="0" w:color="auto"/>
              <w:left w:val="nil"/>
              <w:bottom w:val="single" w:sz="8" w:space="0" w:color="auto"/>
              <w:right w:val="nil"/>
            </w:tcBorders>
            <w:shd w:val="clear" w:color="auto" w:fill="auto"/>
            <w:vAlign w:val="center"/>
            <w:hideMark/>
          </w:tcPr>
          <w:p w14:paraId="3292E3B4" w14:textId="77777777" w:rsidR="000400C8" w:rsidRPr="00AE4E8D" w:rsidRDefault="000400C8" w:rsidP="00AF1863">
            <w:pPr>
              <w:jc w:val="cente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2016</w:t>
            </w:r>
          </w:p>
        </w:tc>
        <w:tc>
          <w:tcPr>
            <w:tcW w:w="167" w:type="pct"/>
            <w:tcBorders>
              <w:top w:val="nil"/>
              <w:left w:val="nil"/>
              <w:bottom w:val="nil"/>
              <w:right w:val="nil"/>
            </w:tcBorders>
            <w:shd w:val="clear" w:color="auto" w:fill="auto"/>
            <w:vAlign w:val="center"/>
            <w:hideMark/>
          </w:tcPr>
          <w:p w14:paraId="48362F68" w14:textId="77777777" w:rsidR="000400C8" w:rsidRPr="00AE4E8D" w:rsidRDefault="000400C8" w:rsidP="00AF1863">
            <w:pPr>
              <w:jc w:val="center"/>
              <w:rPr>
                <w:rFonts w:ascii="Times New Roman" w:hAnsi="Times New Roman"/>
                <w:b/>
                <w:bCs/>
                <w:color w:val="000000"/>
                <w:sz w:val="12"/>
                <w:szCs w:val="12"/>
                <w:lang w:val="es-ES"/>
              </w:rPr>
            </w:pPr>
          </w:p>
        </w:tc>
        <w:tc>
          <w:tcPr>
            <w:tcW w:w="512" w:type="pct"/>
            <w:tcBorders>
              <w:top w:val="nil"/>
              <w:left w:val="nil"/>
              <w:bottom w:val="single" w:sz="8" w:space="0" w:color="auto"/>
              <w:right w:val="nil"/>
            </w:tcBorders>
            <w:shd w:val="clear" w:color="auto" w:fill="auto"/>
            <w:vAlign w:val="center"/>
            <w:hideMark/>
          </w:tcPr>
          <w:p w14:paraId="61C57967" w14:textId="77777777" w:rsidR="000400C8" w:rsidRPr="00AE4E8D" w:rsidRDefault="000400C8" w:rsidP="00AF1863">
            <w:pPr>
              <w:jc w:val="cente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2017</w:t>
            </w:r>
          </w:p>
        </w:tc>
        <w:tc>
          <w:tcPr>
            <w:tcW w:w="172" w:type="pct"/>
            <w:tcBorders>
              <w:top w:val="nil"/>
              <w:left w:val="nil"/>
              <w:bottom w:val="single" w:sz="8" w:space="0" w:color="auto"/>
              <w:right w:val="nil"/>
            </w:tcBorders>
            <w:shd w:val="clear" w:color="auto" w:fill="auto"/>
            <w:vAlign w:val="center"/>
            <w:hideMark/>
          </w:tcPr>
          <w:p w14:paraId="6FCF4F57" w14:textId="77777777" w:rsidR="000400C8" w:rsidRPr="00AE4E8D" w:rsidRDefault="000400C8" w:rsidP="00AF1863">
            <w:pPr>
              <w:jc w:val="cente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 </w:t>
            </w:r>
          </w:p>
        </w:tc>
        <w:tc>
          <w:tcPr>
            <w:tcW w:w="507" w:type="pct"/>
            <w:tcBorders>
              <w:top w:val="nil"/>
              <w:left w:val="nil"/>
              <w:bottom w:val="single" w:sz="8" w:space="0" w:color="auto"/>
              <w:right w:val="nil"/>
            </w:tcBorders>
            <w:shd w:val="clear" w:color="auto" w:fill="auto"/>
            <w:vAlign w:val="center"/>
            <w:hideMark/>
          </w:tcPr>
          <w:p w14:paraId="7F239E29" w14:textId="77777777" w:rsidR="000400C8" w:rsidRPr="00AE4E8D" w:rsidRDefault="000400C8" w:rsidP="00AF1863">
            <w:pPr>
              <w:jc w:val="cente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2017</w:t>
            </w:r>
          </w:p>
        </w:tc>
      </w:tr>
      <w:tr w:rsidR="000400C8" w:rsidRPr="00AE4E8D" w14:paraId="210EDE12" w14:textId="77777777" w:rsidTr="002A5A31">
        <w:trPr>
          <w:cantSplit/>
          <w:trHeight w:val="231"/>
        </w:trPr>
        <w:tc>
          <w:tcPr>
            <w:tcW w:w="1346" w:type="pct"/>
            <w:vMerge w:val="restart"/>
            <w:tcBorders>
              <w:top w:val="nil"/>
              <w:left w:val="nil"/>
              <w:bottom w:val="nil"/>
              <w:right w:val="nil"/>
            </w:tcBorders>
            <w:shd w:val="clear" w:color="auto" w:fill="auto"/>
            <w:vAlign w:val="center"/>
            <w:hideMark/>
          </w:tcPr>
          <w:p w14:paraId="464030F0" w14:textId="77777777" w:rsidR="000400C8" w:rsidRPr="00AE4E8D" w:rsidRDefault="000400C8" w:rsidP="00AF1863">
            <w:pPr>
              <w:rPr>
                <w:rFonts w:ascii="Times New Roman" w:hAnsi="Times New Roman"/>
                <w:color w:val="000000"/>
                <w:sz w:val="12"/>
                <w:szCs w:val="12"/>
                <w:lang w:val="es-ES"/>
              </w:rPr>
            </w:pPr>
          </w:p>
        </w:tc>
        <w:tc>
          <w:tcPr>
            <w:tcW w:w="1699" w:type="pct"/>
            <w:gridSpan w:val="5"/>
            <w:vMerge w:val="restart"/>
            <w:tcBorders>
              <w:top w:val="nil"/>
              <w:left w:val="nil"/>
              <w:right w:val="nil"/>
            </w:tcBorders>
            <w:shd w:val="clear" w:color="auto" w:fill="auto"/>
            <w:vAlign w:val="center"/>
          </w:tcPr>
          <w:p w14:paraId="27A2345E" w14:textId="77777777" w:rsidR="000400C8" w:rsidRPr="00AE4E8D" w:rsidRDefault="000400C8" w:rsidP="00AF1863">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(en miles de Pesos)</w:t>
            </w:r>
          </w:p>
          <w:p w14:paraId="14BFB113" w14:textId="77777777" w:rsidR="000400C8" w:rsidRPr="00AE4E8D" w:rsidRDefault="000400C8" w:rsidP="00AF1863">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 </w:t>
            </w:r>
          </w:p>
        </w:tc>
        <w:tc>
          <w:tcPr>
            <w:tcW w:w="169" w:type="pct"/>
            <w:gridSpan w:val="2"/>
            <w:vMerge w:val="restart"/>
            <w:tcBorders>
              <w:top w:val="nil"/>
              <w:left w:val="nil"/>
              <w:bottom w:val="nil"/>
              <w:right w:val="nil"/>
            </w:tcBorders>
            <w:shd w:val="clear" w:color="auto" w:fill="auto"/>
            <w:vAlign w:val="center"/>
            <w:hideMark/>
          </w:tcPr>
          <w:p w14:paraId="18F8DEDA" w14:textId="77777777" w:rsidR="000400C8" w:rsidRPr="00AE4E8D" w:rsidRDefault="000400C8" w:rsidP="000400C8">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 </w:t>
            </w:r>
          </w:p>
        </w:tc>
        <w:tc>
          <w:tcPr>
            <w:tcW w:w="428" w:type="pct"/>
            <w:tcBorders>
              <w:top w:val="nil"/>
              <w:left w:val="nil"/>
              <w:bottom w:val="nil"/>
              <w:right w:val="nil"/>
            </w:tcBorders>
            <w:shd w:val="clear" w:color="auto" w:fill="auto"/>
            <w:vAlign w:val="center"/>
            <w:hideMark/>
          </w:tcPr>
          <w:p w14:paraId="1E8A0679" w14:textId="77777777" w:rsidR="000400C8" w:rsidRPr="00AE4E8D" w:rsidRDefault="000400C8" w:rsidP="00AF1863">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(en miles de</w:t>
            </w:r>
          </w:p>
        </w:tc>
        <w:tc>
          <w:tcPr>
            <w:tcW w:w="167" w:type="pct"/>
            <w:tcBorders>
              <w:top w:val="nil"/>
              <w:left w:val="nil"/>
              <w:bottom w:val="nil"/>
              <w:right w:val="nil"/>
            </w:tcBorders>
            <w:shd w:val="clear" w:color="auto" w:fill="auto"/>
            <w:vAlign w:val="center"/>
            <w:hideMark/>
          </w:tcPr>
          <w:p w14:paraId="3027090E" w14:textId="77777777" w:rsidR="000400C8" w:rsidRPr="00AE4E8D" w:rsidRDefault="000400C8" w:rsidP="00AF1863">
            <w:pPr>
              <w:jc w:val="center"/>
              <w:rPr>
                <w:rFonts w:ascii="Times New Roman" w:hAnsi="Times New Roman"/>
                <w:color w:val="000000"/>
                <w:sz w:val="12"/>
                <w:szCs w:val="12"/>
                <w:lang w:val="es-ES"/>
              </w:rPr>
            </w:pPr>
          </w:p>
        </w:tc>
        <w:tc>
          <w:tcPr>
            <w:tcW w:w="512" w:type="pct"/>
            <w:vMerge w:val="restart"/>
            <w:tcBorders>
              <w:top w:val="nil"/>
              <w:left w:val="nil"/>
              <w:bottom w:val="nil"/>
              <w:right w:val="nil"/>
            </w:tcBorders>
            <w:shd w:val="clear" w:color="auto" w:fill="auto"/>
            <w:vAlign w:val="center"/>
            <w:hideMark/>
          </w:tcPr>
          <w:p w14:paraId="6493214B" w14:textId="77777777" w:rsidR="000400C8" w:rsidRPr="00AE4E8D" w:rsidRDefault="000400C8" w:rsidP="00AF1863">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 </w:t>
            </w:r>
          </w:p>
        </w:tc>
        <w:tc>
          <w:tcPr>
            <w:tcW w:w="172" w:type="pct"/>
            <w:vMerge w:val="restart"/>
            <w:tcBorders>
              <w:top w:val="nil"/>
              <w:left w:val="nil"/>
              <w:bottom w:val="nil"/>
              <w:right w:val="nil"/>
            </w:tcBorders>
            <w:shd w:val="clear" w:color="auto" w:fill="auto"/>
            <w:vAlign w:val="center"/>
            <w:hideMark/>
          </w:tcPr>
          <w:p w14:paraId="7B7137D3" w14:textId="77777777" w:rsidR="000400C8" w:rsidRPr="00AE4E8D" w:rsidRDefault="000400C8" w:rsidP="00AF1863">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 </w:t>
            </w:r>
          </w:p>
        </w:tc>
        <w:tc>
          <w:tcPr>
            <w:tcW w:w="507" w:type="pct"/>
            <w:tcBorders>
              <w:top w:val="nil"/>
              <w:left w:val="nil"/>
              <w:bottom w:val="nil"/>
              <w:right w:val="nil"/>
            </w:tcBorders>
            <w:shd w:val="clear" w:color="auto" w:fill="auto"/>
            <w:vAlign w:val="center"/>
            <w:hideMark/>
          </w:tcPr>
          <w:p w14:paraId="417783FA" w14:textId="77777777" w:rsidR="000400C8" w:rsidRPr="00AE4E8D" w:rsidRDefault="000400C8" w:rsidP="00AF1863">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(en miles de</w:t>
            </w:r>
          </w:p>
        </w:tc>
      </w:tr>
      <w:tr w:rsidR="000400C8" w:rsidRPr="00AE4E8D" w14:paraId="18ACED7E" w14:textId="77777777" w:rsidTr="002A5A31">
        <w:trPr>
          <w:trHeight w:val="231"/>
        </w:trPr>
        <w:tc>
          <w:tcPr>
            <w:tcW w:w="1346" w:type="pct"/>
            <w:vMerge/>
            <w:tcBorders>
              <w:top w:val="nil"/>
              <w:left w:val="nil"/>
              <w:bottom w:val="nil"/>
              <w:right w:val="nil"/>
            </w:tcBorders>
            <w:vAlign w:val="center"/>
            <w:hideMark/>
          </w:tcPr>
          <w:p w14:paraId="526A209F" w14:textId="77777777" w:rsidR="000400C8" w:rsidRPr="00AE4E8D" w:rsidRDefault="000400C8" w:rsidP="00AF1863">
            <w:pPr>
              <w:rPr>
                <w:rFonts w:ascii="Times New Roman" w:hAnsi="Times New Roman"/>
                <w:color w:val="000000"/>
                <w:sz w:val="12"/>
                <w:szCs w:val="12"/>
                <w:lang w:val="es-ES"/>
              </w:rPr>
            </w:pPr>
          </w:p>
        </w:tc>
        <w:tc>
          <w:tcPr>
            <w:tcW w:w="1699" w:type="pct"/>
            <w:gridSpan w:val="5"/>
            <w:vMerge/>
            <w:tcBorders>
              <w:left w:val="nil"/>
              <w:bottom w:val="nil"/>
              <w:right w:val="nil"/>
            </w:tcBorders>
            <w:vAlign w:val="center"/>
          </w:tcPr>
          <w:p w14:paraId="4C72438F" w14:textId="77777777" w:rsidR="000400C8" w:rsidRPr="00AE4E8D" w:rsidRDefault="000400C8" w:rsidP="00AF1863">
            <w:pPr>
              <w:rPr>
                <w:rFonts w:ascii="Times New Roman" w:hAnsi="Times New Roman"/>
                <w:color w:val="000000"/>
                <w:sz w:val="12"/>
                <w:szCs w:val="12"/>
                <w:lang w:val="es-ES"/>
              </w:rPr>
            </w:pPr>
          </w:p>
        </w:tc>
        <w:tc>
          <w:tcPr>
            <w:tcW w:w="169" w:type="pct"/>
            <w:gridSpan w:val="2"/>
            <w:vMerge/>
            <w:tcBorders>
              <w:top w:val="nil"/>
              <w:left w:val="nil"/>
              <w:bottom w:val="nil"/>
              <w:right w:val="nil"/>
            </w:tcBorders>
            <w:vAlign w:val="center"/>
            <w:hideMark/>
          </w:tcPr>
          <w:p w14:paraId="5696AFF2" w14:textId="77777777" w:rsidR="000400C8" w:rsidRPr="00AE4E8D" w:rsidRDefault="000400C8" w:rsidP="00AF1863">
            <w:pPr>
              <w:rPr>
                <w:rFonts w:ascii="Times New Roman" w:hAnsi="Times New Roman"/>
                <w:color w:val="000000"/>
                <w:sz w:val="12"/>
                <w:szCs w:val="12"/>
                <w:lang w:val="es-ES"/>
              </w:rPr>
            </w:pPr>
          </w:p>
        </w:tc>
        <w:tc>
          <w:tcPr>
            <w:tcW w:w="428" w:type="pct"/>
            <w:tcBorders>
              <w:top w:val="nil"/>
              <w:left w:val="nil"/>
              <w:bottom w:val="nil"/>
              <w:right w:val="nil"/>
            </w:tcBorders>
            <w:shd w:val="clear" w:color="auto" w:fill="auto"/>
            <w:vAlign w:val="center"/>
            <w:hideMark/>
          </w:tcPr>
          <w:p w14:paraId="6DE8BF70" w14:textId="77777777" w:rsidR="000400C8" w:rsidRPr="00AE4E8D" w:rsidRDefault="000400C8" w:rsidP="00AF1863">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US$ (1))</w:t>
            </w:r>
          </w:p>
        </w:tc>
        <w:tc>
          <w:tcPr>
            <w:tcW w:w="167" w:type="pct"/>
            <w:tcBorders>
              <w:top w:val="nil"/>
              <w:left w:val="nil"/>
              <w:bottom w:val="nil"/>
              <w:right w:val="nil"/>
            </w:tcBorders>
            <w:shd w:val="clear" w:color="auto" w:fill="auto"/>
            <w:vAlign w:val="center"/>
            <w:hideMark/>
          </w:tcPr>
          <w:p w14:paraId="15051471" w14:textId="77777777" w:rsidR="000400C8" w:rsidRPr="00AE4E8D" w:rsidRDefault="000400C8" w:rsidP="00AF1863">
            <w:pPr>
              <w:jc w:val="center"/>
              <w:rPr>
                <w:rFonts w:ascii="Times New Roman" w:hAnsi="Times New Roman"/>
                <w:color w:val="000000"/>
                <w:sz w:val="12"/>
                <w:szCs w:val="12"/>
                <w:lang w:val="es-ES"/>
              </w:rPr>
            </w:pPr>
          </w:p>
        </w:tc>
        <w:tc>
          <w:tcPr>
            <w:tcW w:w="512" w:type="pct"/>
            <w:vMerge/>
            <w:tcBorders>
              <w:top w:val="nil"/>
              <w:left w:val="nil"/>
              <w:bottom w:val="nil"/>
              <w:right w:val="nil"/>
            </w:tcBorders>
            <w:vAlign w:val="center"/>
            <w:hideMark/>
          </w:tcPr>
          <w:p w14:paraId="7EEDE420" w14:textId="77777777" w:rsidR="000400C8" w:rsidRPr="00AE4E8D" w:rsidRDefault="000400C8" w:rsidP="00AF1863">
            <w:pPr>
              <w:rPr>
                <w:rFonts w:ascii="Times New Roman" w:hAnsi="Times New Roman"/>
                <w:color w:val="000000"/>
                <w:sz w:val="12"/>
                <w:szCs w:val="12"/>
                <w:lang w:val="es-ES"/>
              </w:rPr>
            </w:pPr>
          </w:p>
        </w:tc>
        <w:tc>
          <w:tcPr>
            <w:tcW w:w="172" w:type="pct"/>
            <w:vMerge/>
            <w:tcBorders>
              <w:top w:val="nil"/>
              <w:left w:val="nil"/>
              <w:bottom w:val="nil"/>
              <w:right w:val="nil"/>
            </w:tcBorders>
            <w:vAlign w:val="center"/>
            <w:hideMark/>
          </w:tcPr>
          <w:p w14:paraId="07559EDB" w14:textId="77777777" w:rsidR="000400C8" w:rsidRPr="00AE4E8D" w:rsidRDefault="000400C8" w:rsidP="00AF1863">
            <w:pPr>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hideMark/>
          </w:tcPr>
          <w:p w14:paraId="7ABBFB84" w14:textId="77777777" w:rsidR="000400C8" w:rsidRPr="00AE4E8D" w:rsidRDefault="000400C8" w:rsidP="00AF1863">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US$ (1))</w:t>
            </w:r>
          </w:p>
        </w:tc>
      </w:tr>
      <w:tr w:rsidR="000400C8" w:rsidRPr="00AE4E8D" w14:paraId="625D66C8" w14:textId="77777777" w:rsidTr="002A5A31">
        <w:trPr>
          <w:cantSplit/>
          <w:trHeight w:val="231"/>
        </w:trPr>
        <w:tc>
          <w:tcPr>
            <w:tcW w:w="1346" w:type="pct"/>
            <w:tcBorders>
              <w:top w:val="nil"/>
              <w:left w:val="nil"/>
              <w:bottom w:val="nil"/>
              <w:right w:val="nil"/>
            </w:tcBorders>
            <w:shd w:val="clear" w:color="auto" w:fill="auto"/>
            <w:vAlign w:val="center"/>
            <w:hideMark/>
          </w:tcPr>
          <w:p w14:paraId="3D1FBC09" w14:textId="77777777" w:rsidR="000400C8" w:rsidRPr="00AE4E8D" w:rsidRDefault="000400C8" w:rsidP="00AF1863">
            <w:pPr>
              <w:rPr>
                <w:rFonts w:ascii="Times New Roman" w:hAnsi="Times New Roman"/>
                <w:b/>
                <w:bCs/>
                <w:color w:val="000000"/>
                <w:sz w:val="12"/>
                <w:szCs w:val="12"/>
                <w:lang w:val="es-ES"/>
              </w:rPr>
            </w:pPr>
            <w:r w:rsidRPr="00AE4E8D">
              <w:rPr>
                <w:rFonts w:ascii="Times New Roman" w:hAnsi="Times New Roman"/>
                <w:b/>
                <w:bCs/>
                <w:color w:val="000000"/>
                <w:sz w:val="12"/>
                <w:szCs w:val="12"/>
                <w:lang w:val="es-ES"/>
              </w:rPr>
              <w:t>Cartera de Préstamos</w:t>
            </w:r>
          </w:p>
        </w:tc>
        <w:tc>
          <w:tcPr>
            <w:tcW w:w="460" w:type="pct"/>
            <w:tcBorders>
              <w:top w:val="nil"/>
              <w:left w:val="nil"/>
              <w:bottom w:val="nil"/>
              <w:right w:val="nil"/>
            </w:tcBorders>
            <w:shd w:val="clear" w:color="auto" w:fill="auto"/>
            <w:noWrap/>
            <w:vAlign w:val="center"/>
            <w:hideMark/>
          </w:tcPr>
          <w:p w14:paraId="057D8721" w14:textId="77777777" w:rsidR="000400C8" w:rsidRPr="00AE4E8D" w:rsidRDefault="000400C8" w:rsidP="00AF1863">
            <w:pPr>
              <w:rPr>
                <w:rFonts w:ascii="Times New Roman" w:hAnsi="Times New Roman"/>
                <w:color w:val="000000"/>
                <w:sz w:val="12"/>
                <w:szCs w:val="12"/>
                <w:lang w:val="es-ES"/>
              </w:rPr>
            </w:pPr>
          </w:p>
        </w:tc>
        <w:tc>
          <w:tcPr>
            <w:tcW w:w="143" w:type="pct"/>
            <w:tcBorders>
              <w:top w:val="nil"/>
              <w:left w:val="nil"/>
              <w:bottom w:val="nil"/>
              <w:right w:val="nil"/>
            </w:tcBorders>
            <w:shd w:val="clear" w:color="auto" w:fill="auto"/>
            <w:vAlign w:val="center"/>
            <w:hideMark/>
          </w:tcPr>
          <w:p w14:paraId="3BB5B902" w14:textId="77777777" w:rsidR="000400C8" w:rsidRPr="00AE4E8D" w:rsidRDefault="000400C8" w:rsidP="00AF1863">
            <w:pPr>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45874829" w14:textId="77777777" w:rsidR="000400C8" w:rsidRPr="00AE4E8D" w:rsidRDefault="000400C8" w:rsidP="00AF1863">
            <w:pPr>
              <w:rPr>
                <w:rFonts w:ascii="Times New Roman" w:hAnsi="Times New Roman"/>
                <w:color w:val="000000"/>
                <w:sz w:val="12"/>
                <w:szCs w:val="12"/>
                <w:lang w:val="es-ES"/>
              </w:rPr>
            </w:pPr>
          </w:p>
        </w:tc>
        <w:tc>
          <w:tcPr>
            <w:tcW w:w="142" w:type="pct"/>
            <w:tcBorders>
              <w:top w:val="nil"/>
              <w:left w:val="nil"/>
              <w:bottom w:val="nil"/>
              <w:right w:val="nil"/>
            </w:tcBorders>
            <w:shd w:val="clear" w:color="auto" w:fill="auto"/>
            <w:vAlign w:val="center"/>
            <w:hideMark/>
          </w:tcPr>
          <w:p w14:paraId="71E81CD7" w14:textId="77777777" w:rsidR="000400C8" w:rsidRPr="00AE4E8D" w:rsidRDefault="000400C8" w:rsidP="00AF1863">
            <w:pPr>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70A75D09" w14:textId="77777777" w:rsidR="000400C8" w:rsidRPr="00AE4E8D" w:rsidRDefault="000400C8" w:rsidP="00AF1863">
            <w:pPr>
              <w:rPr>
                <w:rFonts w:ascii="Times New Roman" w:hAnsi="Times New Roman"/>
                <w:color w:val="000000"/>
                <w:sz w:val="12"/>
                <w:szCs w:val="12"/>
                <w:lang w:val="es-ES"/>
              </w:rPr>
            </w:pPr>
          </w:p>
        </w:tc>
        <w:tc>
          <w:tcPr>
            <w:tcW w:w="142" w:type="pct"/>
            <w:tcBorders>
              <w:top w:val="nil"/>
              <w:left w:val="nil"/>
              <w:bottom w:val="nil"/>
              <w:right w:val="nil"/>
            </w:tcBorders>
            <w:shd w:val="clear" w:color="auto" w:fill="auto"/>
            <w:vAlign w:val="center"/>
            <w:hideMark/>
          </w:tcPr>
          <w:p w14:paraId="5FA92910" w14:textId="77777777" w:rsidR="000400C8" w:rsidRPr="00AE4E8D" w:rsidRDefault="000400C8" w:rsidP="00AF1863">
            <w:pPr>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77994252" w14:textId="77777777" w:rsidR="000400C8" w:rsidRPr="00AE4E8D" w:rsidRDefault="000400C8" w:rsidP="00AF1863">
            <w:pPr>
              <w:rPr>
                <w:rFonts w:ascii="Times New Roman" w:hAnsi="Times New Roman"/>
                <w:color w:val="000000"/>
                <w:sz w:val="12"/>
                <w:szCs w:val="12"/>
                <w:lang w:val="es-ES"/>
              </w:rPr>
            </w:pPr>
          </w:p>
        </w:tc>
        <w:tc>
          <w:tcPr>
            <w:tcW w:w="167" w:type="pct"/>
            <w:tcBorders>
              <w:top w:val="nil"/>
              <w:left w:val="nil"/>
              <w:bottom w:val="nil"/>
              <w:right w:val="nil"/>
            </w:tcBorders>
            <w:shd w:val="clear" w:color="auto" w:fill="auto"/>
            <w:vAlign w:val="center"/>
            <w:hideMark/>
          </w:tcPr>
          <w:p w14:paraId="4D923920" w14:textId="77777777" w:rsidR="000400C8" w:rsidRPr="00AE4E8D" w:rsidRDefault="000400C8" w:rsidP="00AF1863">
            <w:pPr>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hideMark/>
          </w:tcPr>
          <w:p w14:paraId="7DA66BD8" w14:textId="77777777" w:rsidR="000400C8" w:rsidRPr="00AE4E8D" w:rsidRDefault="000400C8" w:rsidP="00AF1863">
            <w:pPr>
              <w:rPr>
                <w:rFonts w:ascii="Times New Roman" w:hAnsi="Times New Roman"/>
                <w:color w:val="000000"/>
                <w:sz w:val="12"/>
                <w:szCs w:val="12"/>
                <w:lang w:val="es-ES"/>
              </w:rPr>
            </w:pPr>
          </w:p>
        </w:tc>
        <w:tc>
          <w:tcPr>
            <w:tcW w:w="172" w:type="pct"/>
            <w:tcBorders>
              <w:top w:val="nil"/>
              <w:left w:val="nil"/>
              <w:bottom w:val="nil"/>
              <w:right w:val="nil"/>
            </w:tcBorders>
            <w:shd w:val="clear" w:color="auto" w:fill="auto"/>
            <w:vAlign w:val="center"/>
            <w:hideMark/>
          </w:tcPr>
          <w:p w14:paraId="74843AE5" w14:textId="77777777" w:rsidR="000400C8" w:rsidRPr="00AE4E8D" w:rsidRDefault="000400C8" w:rsidP="00AF1863">
            <w:pPr>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hideMark/>
          </w:tcPr>
          <w:p w14:paraId="0FD46618" w14:textId="77777777" w:rsidR="000400C8" w:rsidRPr="00AE4E8D" w:rsidRDefault="000400C8" w:rsidP="00AF1863">
            <w:pPr>
              <w:rPr>
                <w:rFonts w:ascii="Times New Roman" w:hAnsi="Times New Roman"/>
                <w:color w:val="000000"/>
                <w:sz w:val="12"/>
                <w:szCs w:val="12"/>
                <w:lang w:val="es-ES"/>
              </w:rPr>
            </w:pPr>
          </w:p>
        </w:tc>
      </w:tr>
      <w:tr w:rsidR="000400C8" w:rsidRPr="00AE4E8D" w14:paraId="38D1CDA0" w14:textId="77777777" w:rsidTr="002A5A31">
        <w:trPr>
          <w:cantSplit/>
          <w:trHeight w:val="231"/>
        </w:trPr>
        <w:tc>
          <w:tcPr>
            <w:tcW w:w="1346" w:type="pct"/>
            <w:tcBorders>
              <w:top w:val="nil"/>
              <w:left w:val="nil"/>
              <w:bottom w:val="nil"/>
              <w:right w:val="nil"/>
            </w:tcBorders>
            <w:shd w:val="clear" w:color="auto" w:fill="auto"/>
            <w:vAlign w:val="center"/>
            <w:hideMark/>
          </w:tcPr>
          <w:p w14:paraId="343CEC1C"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Al sector público no financiero </w:t>
            </w:r>
          </w:p>
        </w:tc>
        <w:tc>
          <w:tcPr>
            <w:tcW w:w="460" w:type="pct"/>
            <w:tcBorders>
              <w:top w:val="nil"/>
              <w:left w:val="nil"/>
              <w:bottom w:val="nil"/>
              <w:right w:val="nil"/>
            </w:tcBorders>
            <w:shd w:val="clear" w:color="auto" w:fill="auto"/>
            <w:noWrap/>
            <w:vAlign w:val="center"/>
            <w:hideMark/>
          </w:tcPr>
          <w:p w14:paraId="203AC5C4"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112.131</w:t>
            </w:r>
          </w:p>
        </w:tc>
        <w:tc>
          <w:tcPr>
            <w:tcW w:w="143" w:type="pct"/>
            <w:tcBorders>
              <w:top w:val="nil"/>
              <w:left w:val="nil"/>
              <w:bottom w:val="nil"/>
              <w:right w:val="nil"/>
            </w:tcBorders>
            <w:shd w:val="clear" w:color="auto" w:fill="auto"/>
            <w:noWrap/>
            <w:vAlign w:val="center"/>
            <w:hideMark/>
          </w:tcPr>
          <w:p w14:paraId="09C1B0A5"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66A26582"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46.999</w:t>
            </w:r>
          </w:p>
        </w:tc>
        <w:tc>
          <w:tcPr>
            <w:tcW w:w="142" w:type="pct"/>
            <w:tcBorders>
              <w:top w:val="nil"/>
              <w:left w:val="nil"/>
              <w:bottom w:val="nil"/>
              <w:right w:val="nil"/>
            </w:tcBorders>
            <w:shd w:val="clear" w:color="auto" w:fill="auto"/>
            <w:noWrap/>
            <w:vAlign w:val="center"/>
            <w:hideMark/>
          </w:tcPr>
          <w:p w14:paraId="7F1D1592"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19D19114"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153.032</w:t>
            </w:r>
          </w:p>
        </w:tc>
        <w:tc>
          <w:tcPr>
            <w:tcW w:w="142" w:type="pct"/>
            <w:tcBorders>
              <w:top w:val="nil"/>
              <w:left w:val="nil"/>
              <w:bottom w:val="nil"/>
              <w:right w:val="nil"/>
            </w:tcBorders>
            <w:shd w:val="clear" w:color="auto" w:fill="auto"/>
            <w:vAlign w:val="center"/>
            <w:hideMark/>
          </w:tcPr>
          <w:p w14:paraId="17B77CAB"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75365BC6"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9.655</w:t>
            </w:r>
          </w:p>
        </w:tc>
        <w:tc>
          <w:tcPr>
            <w:tcW w:w="167" w:type="pct"/>
            <w:tcBorders>
              <w:top w:val="nil"/>
              <w:left w:val="nil"/>
              <w:bottom w:val="nil"/>
              <w:right w:val="nil"/>
            </w:tcBorders>
            <w:shd w:val="clear" w:color="auto" w:fill="auto"/>
            <w:vAlign w:val="center"/>
            <w:hideMark/>
          </w:tcPr>
          <w:p w14:paraId="416BA8DA"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5A3978A7" w14:textId="77777777" w:rsidR="000400C8" w:rsidRPr="00AE4E8D" w:rsidRDefault="000400C8" w:rsidP="00AF1863">
            <w:pPr>
              <w:ind w:right="37"/>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129.474</w:t>
            </w:r>
          </w:p>
        </w:tc>
        <w:tc>
          <w:tcPr>
            <w:tcW w:w="172" w:type="pct"/>
            <w:tcBorders>
              <w:top w:val="nil"/>
              <w:left w:val="nil"/>
              <w:bottom w:val="nil"/>
              <w:right w:val="nil"/>
            </w:tcBorders>
            <w:shd w:val="clear" w:color="auto" w:fill="auto"/>
            <w:vAlign w:val="center"/>
          </w:tcPr>
          <w:p w14:paraId="69D6871E"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660A6BAE"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7.800 </w:t>
            </w:r>
          </w:p>
        </w:tc>
      </w:tr>
      <w:tr w:rsidR="000400C8" w:rsidRPr="00AE4E8D" w14:paraId="4664C5F1" w14:textId="77777777" w:rsidTr="002A5A31">
        <w:trPr>
          <w:cantSplit/>
          <w:trHeight w:val="231"/>
        </w:trPr>
        <w:tc>
          <w:tcPr>
            <w:tcW w:w="1346" w:type="pct"/>
            <w:tcBorders>
              <w:top w:val="nil"/>
              <w:left w:val="nil"/>
              <w:bottom w:val="nil"/>
              <w:right w:val="nil"/>
            </w:tcBorders>
            <w:shd w:val="clear" w:color="auto" w:fill="auto"/>
            <w:vAlign w:val="center"/>
            <w:hideMark/>
          </w:tcPr>
          <w:p w14:paraId="63CA3DAD"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Al sector financiero </w:t>
            </w:r>
          </w:p>
        </w:tc>
        <w:tc>
          <w:tcPr>
            <w:tcW w:w="460" w:type="pct"/>
            <w:tcBorders>
              <w:top w:val="nil"/>
              <w:left w:val="nil"/>
              <w:bottom w:val="nil"/>
              <w:right w:val="nil"/>
            </w:tcBorders>
            <w:shd w:val="clear" w:color="auto" w:fill="auto"/>
            <w:noWrap/>
            <w:vAlign w:val="center"/>
            <w:hideMark/>
          </w:tcPr>
          <w:p w14:paraId="60AD0BC8"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339.190</w:t>
            </w:r>
          </w:p>
        </w:tc>
        <w:tc>
          <w:tcPr>
            <w:tcW w:w="143" w:type="pct"/>
            <w:tcBorders>
              <w:top w:val="nil"/>
              <w:left w:val="nil"/>
              <w:bottom w:val="nil"/>
              <w:right w:val="nil"/>
            </w:tcBorders>
            <w:shd w:val="clear" w:color="auto" w:fill="auto"/>
            <w:noWrap/>
            <w:vAlign w:val="center"/>
            <w:hideMark/>
          </w:tcPr>
          <w:p w14:paraId="69A9F41C"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3806CB10"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198.130</w:t>
            </w:r>
          </w:p>
        </w:tc>
        <w:tc>
          <w:tcPr>
            <w:tcW w:w="142" w:type="pct"/>
            <w:tcBorders>
              <w:top w:val="nil"/>
              <w:left w:val="nil"/>
              <w:bottom w:val="nil"/>
              <w:right w:val="nil"/>
            </w:tcBorders>
            <w:shd w:val="clear" w:color="auto" w:fill="auto"/>
            <w:noWrap/>
            <w:vAlign w:val="center"/>
            <w:hideMark/>
          </w:tcPr>
          <w:p w14:paraId="77A8E612"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258F48C3"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636.950</w:t>
            </w:r>
          </w:p>
        </w:tc>
        <w:tc>
          <w:tcPr>
            <w:tcW w:w="142" w:type="pct"/>
            <w:tcBorders>
              <w:top w:val="nil"/>
              <w:left w:val="nil"/>
              <w:bottom w:val="nil"/>
              <w:right w:val="nil"/>
            </w:tcBorders>
            <w:shd w:val="clear" w:color="auto" w:fill="auto"/>
            <w:vAlign w:val="center"/>
            <w:hideMark/>
          </w:tcPr>
          <w:p w14:paraId="04E71D03"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3150AA19"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40.186</w:t>
            </w:r>
          </w:p>
        </w:tc>
        <w:tc>
          <w:tcPr>
            <w:tcW w:w="167" w:type="pct"/>
            <w:tcBorders>
              <w:top w:val="nil"/>
              <w:left w:val="nil"/>
              <w:bottom w:val="nil"/>
              <w:right w:val="nil"/>
            </w:tcBorders>
            <w:shd w:val="clear" w:color="auto" w:fill="auto"/>
            <w:vAlign w:val="center"/>
            <w:hideMark/>
          </w:tcPr>
          <w:p w14:paraId="7E9A48C9"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7FE740B3"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518.403</w:t>
            </w:r>
          </w:p>
        </w:tc>
        <w:tc>
          <w:tcPr>
            <w:tcW w:w="172" w:type="pct"/>
            <w:tcBorders>
              <w:top w:val="nil"/>
              <w:left w:val="nil"/>
              <w:bottom w:val="nil"/>
              <w:right w:val="nil"/>
            </w:tcBorders>
            <w:shd w:val="clear" w:color="auto" w:fill="auto"/>
            <w:vAlign w:val="center"/>
          </w:tcPr>
          <w:p w14:paraId="65AA12A1"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4899913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31.232 </w:t>
            </w:r>
          </w:p>
        </w:tc>
      </w:tr>
      <w:tr w:rsidR="000400C8" w:rsidRPr="00AE4E8D" w14:paraId="7FF1674B" w14:textId="77777777" w:rsidTr="002A5A31">
        <w:trPr>
          <w:cantSplit/>
          <w:trHeight w:val="298"/>
        </w:trPr>
        <w:tc>
          <w:tcPr>
            <w:tcW w:w="1346" w:type="pct"/>
            <w:tcBorders>
              <w:top w:val="nil"/>
              <w:left w:val="nil"/>
              <w:bottom w:val="nil"/>
              <w:right w:val="nil"/>
            </w:tcBorders>
            <w:shd w:val="clear" w:color="auto" w:fill="auto"/>
            <w:vAlign w:val="center"/>
            <w:hideMark/>
          </w:tcPr>
          <w:p w14:paraId="230A9C06"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Al sector privado no financiero y residentes en el exterior </w:t>
            </w:r>
          </w:p>
        </w:tc>
        <w:tc>
          <w:tcPr>
            <w:tcW w:w="460" w:type="pct"/>
            <w:tcBorders>
              <w:top w:val="nil"/>
              <w:left w:val="nil"/>
              <w:bottom w:val="nil"/>
              <w:right w:val="nil"/>
            </w:tcBorders>
            <w:shd w:val="clear" w:color="auto" w:fill="auto"/>
            <w:noWrap/>
            <w:vAlign w:val="center"/>
            <w:hideMark/>
          </w:tcPr>
          <w:p w14:paraId="6910541D" w14:textId="77777777" w:rsidR="000400C8" w:rsidRPr="00AE4E8D" w:rsidRDefault="000400C8" w:rsidP="00AF1863">
            <w:pPr>
              <w:jc w:val="right"/>
              <w:rPr>
                <w:rFonts w:ascii="Times New Roman" w:hAnsi="Times New Roman"/>
                <w:color w:val="000000"/>
                <w:sz w:val="12"/>
                <w:szCs w:val="12"/>
                <w:lang w:val="es-ES"/>
              </w:rPr>
            </w:pPr>
          </w:p>
        </w:tc>
        <w:tc>
          <w:tcPr>
            <w:tcW w:w="143" w:type="pct"/>
            <w:tcBorders>
              <w:top w:val="nil"/>
              <w:left w:val="nil"/>
              <w:bottom w:val="nil"/>
              <w:right w:val="nil"/>
            </w:tcBorders>
            <w:shd w:val="clear" w:color="auto" w:fill="auto"/>
            <w:noWrap/>
            <w:vAlign w:val="center"/>
            <w:hideMark/>
          </w:tcPr>
          <w:p w14:paraId="3277D6BF"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3A761AAE" w14:textId="77777777" w:rsidR="000400C8" w:rsidRPr="00AE4E8D" w:rsidRDefault="000400C8" w:rsidP="00AF1863">
            <w:pPr>
              <w:jc w:val="right"/>
              <w:rPr>
                <w:rFonts w:ascii="Times New Roman" w:hAnsi="Times New Roman"/>
                <w:color w:val="000000"/>
                <w:sz w:val="12"/>
                <w:szCs w:val="12"/>
                <w:lang w:val="es-ES"/>
              </w:rPr>
            </w:pPr>
          </w:p>
        </w:tc>
        <w:tc>
          <w:tcPr>
            <w:tcW w:w="142" w:type="pct"/>
            <w:tcBorders>
              <w:top w:val="nil"/>
              <w:left w:val="nil"/>
              <w:bottom w:val="nil"/>
              <w:right w:val="nil"/>
            </w:tcBorders>
            <w:shd w:val="clear" w:color="auto" w:fill="auto"/>
            <w:noWrap/>
            <w:vAlign w:val="center"/>
            <w:hideMark/>
          </w:tcPr>
          <w:p w14:paraId="5FEA4F04"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3AE62312" w14:textId="77777777" w:rsidR="000400C8" w:rsidRPr="00AE4E8D" w:rsidRDefault="000400C8" w:rsidP="00AF1863">
            <w:pPr>
              <w:jc w:val="right"/>
              <w:rPr>
                <w:rFonts w:ascii="Times New Roman" w:hAnsi="Times New Roman"/>
                <w:color w:val="000000"/>
                <w:sz w:val="12"/>
                <w:szCs w:val="12"/>
                <w:lang w:val="es-ES"/>
              </w:rPr>
            </w:pPr>
          </w:p>
        </w:tc>
        <w:tc>
          <w:tcPr>
            <w:tcW w:w="142" w:type="pct"/>
            <w:tcBorders>
              <w:top w:val="nil"/>
              <w:left w:val="nil"/>
              <w:bottom w:val="nil"/>
              <w:right w:val="nil"/>
            </w:tcBorders>
            <w:shd w:val="clear" w:color="auto" w:fill="auto"/>
            <w:vAlign w:val="center"/>
            <w:hideMark/>
          </w:tcPr>
          <w:p w14:paraId="29DC427B"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01EF3377" w14:textId="77777777" w:rsidR="000400C8" w:rsidRPr="00AE4E8D" w:rsidRDefault="000400C8" w:rsidP="00AF1863">
            <w:pPr>
              <w:jc w:val="right"/>
              <w:rPr>
                <w:rFonts w:ascii="Times New Roman" w:hAnsi="Times New Roman"/>
                <w:color w:val="000000"/>
                <w:sz w:val="12"/>
                <w:szCs w:val="12"/>
                <w:lang w:val="es-ES"/>
              </w:rPr>
            </w:pPr>
          </w:p>
        </w:tc>
        <w:tc>
          <w:tcPr>
            <w:tcW w:w="167" w:type="pct"/>
            <w:tcBorders>
              <w:top w:val="nil"/>
              <w:left w:val="nil"/>
              <w:bottom w:val="nil"/>
              <w:right w:val="nil"/>
            </w:tcBorders>
            <w:shd w:val="clear" w:color="auto" w:fill="auto"/>
            <w:vAlign w:val="center"/>
            <w:hideMark/>
          </w:tcPr>
          <w:p w14:paraId="50961A58"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297D9211" w14:textId="77777777" w:rsidR="000400C8" w:rsidRPr="00AE4E8D" w:rsidRDefault="000400C8" w:rsidP="00AF1863">
            <w:pPr>
              <w:jc w:val="right"/>
              <w:rPr>
                <w:rFonts w:ascii="Times New Roman" w:hAnsi="Times New Roman"/>
                <w:color w:val="000000"/>
                <w:sz w:val="12"/>
                <w:szCs w:val="12"/>
                <w:lang w:val="es-ES"/>
              </w:rPr>
            </w:pPr>
          </w:p>
        </w:tc>
        <w:tc>
          <w:tcPr>
            <w:tcW w:w="172" w:type="pct"/>
            <w:tcBorders>
              <w:top w:val="nil"/>
              <w:left w:val="nil"/>
              <w:bottom w:val="nil"/>
              <w:right w:val="nil"/>
            </w:tcBorders>
            <w:shd w:val="clear" w:color="auto" w:fill="auto"/>
            <w:vAlign w:val="center"/>
          </w:tcPr>
          <w:p w14:paraId="51595677"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6B56E739" w14:textId="77777777" w:rsidR="000400C8" w:rsidRPr="00AE4E8D" w:rsidRDefault="000400C8" w:rsidP="00AF1863">
            <w:pPr>
              <w:jc w:val="right"/>
              <w:rPr>
                <w:rFonts w:ascii="Times New Roman" w:hAnsi="Times New Roman"/>
                <w:color w:val="000000"/>
                <w:sz w:val="12"/>
                <w:szCs w:val="12"/>
                <w:lang w:val="es-ES"/>
              </w:rPr>
            </w:pPr>
          </w:p>
        </w:tc>
      </w:tr>
      <w:tr w:rsidR="000400C8" w:rsidRPr="00AE4E8D" w14:paraId="6CBC47C0" w14:textId="77777777" w:rsidTr="002A5A31">
        <w:trPr>
          <w:cantSplit/>
          <w:trHeight w:val="231"/>
        </w:trPr>
        <w:tc>
          <w:tcPr>
            <w:tcW w:w="1346" w:type="pct"/>
            <w:tcBorders>
              <w:top w:val="nil"/>
              <w:left w:val="nil"/>
              <w:bottom w:val="nil"/>
              <w:right w:val="nil"/>
            </w:tcBorders>
            <w:shd w:val="clear" w:color="auto" w:fill="auto"/>
            <w:vAlign w:val="center"/>
            <w:hideMark/>
          </w:tcPr>
          <w:p w14:paraId="6B14B688"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Adelantos </w:t>
            </w:r>
          </w:p>
        </w:tc>
        <w:tc>
          <w:tcPr>
            <w:tcW w:w="460" w:type="pct"/>
            <w:tcBorders>
              <w:top w:val="nil"/>
              <w:left w:val="nil"/>
              <w:bottom w:val="nil"/>
              <w:right w:val="nil"/>
            </w:tcBorders>
            <w:shd w:val="clear" w:color="auto" w:fill="auto"/>
            <w:noWrap/>
            <w:vAlign w:val="center"/>
            <w:hideMark/>
          </w:tcPr>
          <w:p w14:paraId="14AB7D3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1.173.527</w:t>
            </w:r>
          </w:p>
        </w:tc>
        <w:tc>
          <w:tcPr>
            <w:tcW w:w="143" w:type="pct"/>
            <w:tcBorders>
              <w:top w:val="nil"/>
              <w:left w:val="nil"/>
              <w:bottom w:val="nil"/>
              <w:right w:val="nil"/>
            </w:tcBorders>
            <w:shd w:val="clear" w:color="auto" w:fill="auto"/>
            <w:noWrap/>
            <w:vAlign w:val="center"/>
            <w:hideMark/>
          </w:tcPr>
          <w:p w14:paraId="11EF598F"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264B8DBB"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493.226</w:t>
            </w:r>
          </w:p>
        </w:tc>
        <w:tc>
          <w:tcPr>
            <w:tcW w:w="142" w:type="pct"/>
            <w:tcBorders>
              <w:top w:val="nil"/>
              <w:left w:val="nil"/>
              <w:bottom w:val="nil"/>
              <w:right w:val="nil"/>
            </w:tcBorders>
            <w:shd w:val="clear" w:color="auto" w:fill="auto"/>
            <w:noWrap/>
            <w:vAlign w:val="center"/>
            <w:hideMark/>
          </w:tcPr>
          <w:p w14:paraId="3B88FD0D"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1160A575"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290.153</w:t>
            </w:r>
          </w:p>
        </w:tc>
        <w:tc>
          <w:tcPr>
            <w:tcW w:w="142" w:type="pct"/>
            <w:tcBorders>
              <w:top w:val="nil"/>
              <w:left w:val="nil"/>
              <w:bottom w:val="nil"/>
              <w:right w:val="nil"/>
            </w:tcBorders>
            <w:shd w:val="clear" w:color="auto" w:fill="auto"/>
            <w:vAlign w:val="center"/>
            <w:hideMark/>
          </w:tcPr>
          <w:p w14:paraId="43B822CA"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0A1B7C73"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18.306</w:t>
            </w:r>
          </w:p>
        </w:tc>
        <w:tc>
          <w:tcPr>
            <w:tcW w:w="167" w:type="pct"/>
            <w:tcBorders>
              <w:top w:val="nil"/>
              <w:left w:val="nil"/>
              <w:bottom w:val="nil"/>
              <w:right w:val="nil"/>
            </w:tcBorders>
            <w:shd w:val="clear" w:color="auto" w:fill="auto"/>
            <w:vAlign w:val="center"/>
            <w:hideMark/>
          </w:tcPr>
          <w:p w14:paraId="5B81EBD1"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224098EE"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546.129</w:t>
            </w:r>
          </w:p>
        </w:tc>
        <w:tc>
          <w:tcPr>
            <w:tcW w:w="172" w:type="pct"/>
            <w:tcBorders>
              <w:top w:val="nil"/>
              <w:left w:val="nil"/>
              <w:bottom w:val="nil"/>
              <w:right w:val="nil"/>
            </w:tcBorders>
            <w:shd w:val="clear" w:color="auto" w:fill="auto"/>
            <w:vAlign w:val="center"/>
          </w:tcPr>
          <w:p w14:paraId="23379A6F"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272C621A"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32.902 </w:t>
            </w:r>
          </w:p>
        </w:tc>
      </w:tr>
      <w:tr w:rsidR="000400C8" w:rsidRPr="00AE4E8D" w14:paraId="4A28DCBD" w14:textId="77777777" w:rsidTr="002A5A31">
        <w:trPr>
          <w:cantSplit/>
          <w:trHeight w:val="231"/>
        </w:trPr>
        <w:tc>
          <w:tcPr>
            <w:tcW w:w="1346" w:type="pct"/>
            <w:tcBorders>
              <w:top w:val="nil"/>
              <w:left w:val="nil"/>
              <w:bottom w:val="nil"/>
              <w:right w:val="nil"/>
            </w:tcBorders>
            <w:shd w:val="clear" w:color="auto" w:fill="auto"/>
            <w:vAlign w:val="center"/>
            <w:hideMark/>
          </w:tcPr>
          <w:p w14:paraId="0E197575"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Documentos </w:t>
            </w:r>
          </w:p>
        </w:tc>
        <w:tc>
          <w:tcPr>
            <w:tcW w:w="460" w:type="pct"/>
            <w:tcBorders>
              <w:top w:val="nil"/>
              <w:left w:val="nil"/>
              <w:bottom w:val="nil"/>
              <w:right w:val="nil"/>
            </w:tcBorders>
            <w:shd w:val="clear" w:color="auto" w:fill="auto"/>
            <w:noWrap/>
            <w:vAlign w:val="center"/>
            <w:hideMark/>
          </w:tcPr>
          <w:p w14:paraId="01BBC1C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369.360</w:t>
            </w:r>
          </w:p>
        </w:tc>
        <w:tc>
          <w:tcPr>
            <w:tcW w:w="143" w:type="pct"/>
            <w:tcBorders>
              <w:top w:val="nil"/>
              <w:left w:val="nil"/>
              <w:bottom w:val="nil"/>
              <w:right w:val="nil"/>
            </w:tcBorders>
            <w:shd w:val="clear" w:color="auto" w:fill="auto"/>
            <w:noWrap/>
            <w:vAlign w:val="center"/>
            <w:hideMark/>
          </w:tcPr>
          <w:p w14:paraId="1B05B295"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44A0B5F4"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310.407</w:t>
            </w:r>
          </w:p>
        </w:tc>
        <w:tc>
          <w:tcPr>
            <w:tcW w:w="142" w:type="pct"/>
            <w:tcBorders>
              <w:top w:val="nil"/>
              <w:left w:val="nil"/>
              <w:bottom w:val="nil"/>
              <w:right w:val="nil"/>
            </w:tcBorders>
            <w:shd w:val="clear" w:color="auto" w:fill="auto"/>
            <w:noWrap/>
            <w:vAlign w:val="center"/>
            <w:hideMark/>
          </w:tcPr>
          <w:p w14:paraId="6471287B"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642AE48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687.965</w:t>
            </w:r>
          </w:p>
        </w:tc>
        <w:tc>
          <w:tcPr>
            <w:tcW w:w="142" w:type="pct"/>
            <w:tcBorders>
              <w:top w:val="nil"/>
              <w:left w:val="nil"/>
              <w:bottom w:val="nil"/>
              <w:right w:val="nil"/>
            </w:tcBorders>
            <w:shd w:val="clear" w:color="auto" w:fill="auto"/>
            <w:vAlign w:val="center"/>
            <w:hideMark/>
          </w:tcPr>
          <w:p w14:paraId="5C8DF3D2"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4CCFA4E4"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43.404</w:t>
            </w:r>
          </w:p>
        </w:tc>
        <w:tc>
          <w:tcPr>
            <w:tcW w:w="167" w:type="pct"/>
            <w:tcBorders>
              <w:top w:val="nil"/>
              <w:left w:val="nil"/>
              <w:bottom w:val="nil"/>
              <w:right w:val="nil"/>
            </w:tcBorders>
            <w:shd w:val="clear" w:color="auto" w:fill="auto"/>
            <w:vAlign w:val="center"/>
            <w:hideMark/>
          </w:tcPr>
          <w:p w14:paraId="54F5A45B"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6EAF159E"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933.292</w:t>
            </w:r>
          </w:p>
        </w:tc>
        <w:tc>
          <w:tcPr>
            <w:tcW w:w="172" w:type="pct"/>
            <w:tcBorders>
              <w:top w:val="nil"/>
              <w:left w:val="nil"/>
              <w:bottom w:val="nil"/>
              <w:right w:val="nil"/>
            </w:tcBorders>
            <w:shd w:val="clear" w:color="auto" w:fill="auto"/>
            <w:vAlign w:val="center"/>
          </w:tcPr>
          <w:p w14:paraId="4DDD3114"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39B0AEA6"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56.227 </w:t>
            </w:r>
          </w:p>
        </w:tc>
      </w:tr>
      <w:tr w:rsidR="000400C8" w:rsidRPr="00AE4E8D" w14:paraId="4D285C96" w14:textId="77777777" w:rsidTr="002A5A31">
        <w:trPr>
          <w:cantSplit/>
          <w:trHeight w:val="231"/>
        </w:trPr>
        <w:tc>
          <w:tcPr>
            <w:tcW w:w="1346" w:type="pct"/>
            <w:tcBorders>
              <w:top w:val="nil"/>
              <w:left w:val="nil"/>
              <w:bottom w:val="nil"/>
              <w:right w:val="nil"/>
            </w:tcBorders>
            <w:shd w:val="clear" w:color="auto" w:fill="auto"/>
            <w:vAlign w:val="center"/>
            <w:hideMark/>
          </w:tcPr>
          <w:p w14:paraId="1CA90E9C"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Hipotecarios </w:t>
            </w:r>
          </w:p>
        </w:tc>
        <w:tc>
          <w:tcPr>
            <w:tcW w:w="460" w:type="pct"/>
            <w:tcBorders>
              <w:top w:val="nil"/>
              <w:left w:val="nil"/>
              <w:bottom w:val="nil"/>
              <w:right w:val="nil"/>
            </w:tcBorders>
            <w:shd w:val="clear" w:color="auto" w:fill="auto"/>
            <w:noWrap/>
            <w:vAlign w:val="center"/>
            <w:hideMark/>
          </w:tcPr>
          <w:p w14:paraId="1CA2493F"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2.349.468</w:t>
            </w:r>
          </w:p>
        </w:tc>
        <w:tc>
          <w:tcPr>
            <w:tcW w:w="143" w:type="pct"/>
            <w:tcBorders>
              <w:top w:val="nil"/>
              <w:left w:val="nil"/>
              <w:bottom w:val="nil"/>
              <w:right w:val="nil"/>
            </w:tcBorders>
            <w:shd w:val="clear" w:color="auto" w:fill="auto"/>
            <w:noWrap/>
            <w:vAlign w:val="center"/>
            <w:hideMark/>
          </w:tcPr>
          <w:p w14:paraId="18E0AFCF"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7EC55B55"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2.631.874</w:t>
            </w:r>
          </w:p>
        </w:tc>
        <w:tc>
          <w:tcPr>
            <w:tcW w:w="142" w:type="pct"/>
            <w:tcBorders>
              <w:top w:val="nil"/>
              <w:left w:val="nil"/>
              <w:bottom w:val="nil"/>
              <w:right w:val="nil"/>
            </w:tcBorders>
            <w:shd w:val="clear" w:color="auto" w:fill="auto"/>
            <w:noWrap/>
            <w:vAlign w:val="center"/>
            <w:hideMark/>
          </w:tcPr>
          <w:p w14:paraId="744DC27D"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662B23ED"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2.744.734</w:t>
            </w:r>
          </w:p>
        </w:tc>
        <w:tc>
          <w:tcPr>
            <w:tcW w:w="142" w:type="pct"/>
            <w:tcBorders>
              <w:top w:val="nil"/>
              <w:left w:val="nil"/>
              <w:bottom w:val="nil"/>
              <w:right w:val="nil"/>
            </w:tcBorders>
            <w:shd w:val="clear" w:color="auto" w:fill="auto"/>
            <w:vAlign w:val="center"/>
            <w:hideMark/>
          </w:tcPr>
          <w:p w14:paraId="200E384E"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5C92CFD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173.167</w:t>
            </w:r>
          </w:p>
        </w:tc>
        <w:tc>
          <w:tcPr>
            <w:tcW w:w="167" w:type="pct"/>
            <w:tcBorders>
              <w:top w:val="nil"/>
              <w:left w:val="nil"/>
              <w:bottom w:val="nil"/>
              <w:right w:val="nil"/>
            </w:tcBorders>
            <w:shd w:val="clear" w:color="auto" w:fill="auto"/>
            <w:vAlign w:val="center"/>
            <w:hideMark/>
          </w:tcPr>
          <w:p w14:paraId="073B69B5"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0D5303FF"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3.168.830</w:t>
            </w:r>
          </w:p>
        </w:tc>
        <w:tc>
          <w:tcPr>
            <w:tcW w:w="172" w:type="pct"/>
            <w:tcBorders>
              <w:top w:val="nil"/>
              <w:left w:val="nil"/>
              <w:bottom w:val="nil"/>
              <w:right w:val="nil"/>
            </w:tcBorders>
            <w:shd w:val="clear" w:color="auto" w:fill="auto"/>
            <w:vAlign w:val="center"/>
          </w:tcPr>
          <w:p w14:paraId="44CD0CCD"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0970F309"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190.911 </w:t>
            </w:r>
          </w:p>
        </w:tc>
      </w:tr>
      <w:tr w:rsidR="000400C8" w:rsidRPr="00AE4E8D" w14:paraId="2492613D" w14:textId="77777777" w:rsidTr="002A5A31">
        <w:trPr>
          <w:cantSplit/>
          <w:trHeight w:val="231"/>
        </w:trPr>
        <w:tc>
          <w:tcPr>
            <w:tcW w:w="1346" w:type="pct"/>
            <w:tcBorders>
              <w:top w:val="nil"/>
              <w:left w:val="nil"/>
              <w:bottom w:val="nil"/>
              <w:right w:val="nil"/>
            </w:tcBorders>
            <w:shd w:val="clear" w:color="auto" w:fill="auto"/>
            <w:vAlign w:val="center"/>
            <w:hideMark/>
          </w:tcPr>
          <w:p w14:paraId="2074C8CD"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Prendarios </w:t>
            </w:r>
          </w:p>
        </w:tc>
        <w:tc>
          <w:tcPr>
            <w:tcW w:w="460" w:type="pct"/>
            <w:tcBorders>
              <w:top w:val="nil"/>
              <w:left w:val="nil"/>
              <w:bottom w:val="nil"/>
              <w:right w:val="nil"/>
            </w:tcBorders>
            <w:shd w:val="clear" w:color="auto" w:fill="auto"/>
            <w:noWrap/>
            <w:vAlign w:val="center"/>
            <w:hideMark/>
          </w:tcPr>
          <w:p w14:paraId="3B481FF0"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103.576</w:t>
            </w:r>
          </w:p>
        </w:tc>
        <w:tc>
          <w:tcPr>
            <w:tcW w:w="143" w:type="pct"/>
            <w:tcBorders>
              <w:top w:val="nil"/>
              <w:left w:val="nil"/>
              <w:bottom w:val="nil"/>
              <w:right w:val="nil"/>
            </w:tcBorders>
            <w:shd w:val="clear" w:color="auto" w:fill="auto"/>
            <w:noWrap/>
            <w:vAlign w:val="center"/>
            <w:hideMark/>
          </w:tcPr>
          <w:p w14:paraId="58FE0E41"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2575CC2D"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427.857</w:t>
            </w:r>
          </w:p>
        </w:tc>
        <w:tc>
          <w:tcPr>
            <w:tcW w:w="142" w:type="pct"/>
            <w:tcBorders>
              <w:top w:val="nil"/>
              <w:left w:val="nil"/>
              <w:bottom w:val="nil"/>
              <w:right w:val="nil"/>
            </w:tcBorders>
            <w:shd w:val="clear" w:color="auto" w:fill="auto"/>
            <w:noWrap/>
            <w:vAlign w:val="center"/>
            <w:hideMark/>
          </w:tcPr>
          <w:p w14:paraId="332697CA"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6A99F81F"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640.365</w:t>
            </w:r>
          </w:p>
        </w:tc>
        <w:tc>
          <w:tcPr>
            <w:tcW w:w="142" w:type="pct"/>
            <w:tcBorders>
              <w:top w:val="nil"/>
              <w:left w:val="nil"/>
              <w:bottom w:val="nil"/>
              <w:right w:val="nil"/>
            </w:tcBorders>
            <w:shd w:val="clear" w:color="auto" w:fill="auto"/>
            <w:vAlign w:val="center"/>
            <w:hideMark/>
          </w:tcPr>
          <w:p w14:paraId="2FD0B200"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744983B0"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40.401</w:t>
            </w:r>
          </w:p>
        </w:tc>
        <w:tc>
          <w:tcPr>
            <w:tcW w:w="167" w:type="pct"/>
            <w:tcBorders>
              <w:top w:val="nil"/>
              <w:left w:val="nil"/>
              <w:bottom w:val="nil"/>
              <w:right w:val="nil"/>
            </w:tcBorders>
            <w:shd w:val="clear" w:color="auto" w:fill="auto"/>
            <w:vAlign w:val="center"/>
            <w:hideMark/>
          </w:tcPr>
          <w:p w14:paraId="434DE109"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1DBEF7E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236.800</w:t>
            </w:r>
          </w:p>
        </w:tc>
        <w:tc>
          <w:tcPr>
            <w:tcW w:w="172" w:type="pct"/>
            <w:tcBorders>
              <w:top w:val="nil"/>
              <w:left w:val="nil"/>
              <w:bottom w:val="nil"/>
              <w:right w:val="nil"/>
            </w:tcBorders>
            <w:shd w:val="clear" w:color="auto" w:fill="auto"/>
            <w:vAlign w:val="center"/>
          </w:tcPr>
          <w:p w14:paraId="42392665"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2582C37D"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14.266 </w:t>
            </w:r>
          </w:p>
        </w:tc>
      </w:tr>
      <w:tr w:rsidR="000400C8" w:rsidRPr="00AE4E8D" w14:paraId="327FE4A6" w14:textId="77777777" w:rsidTr="002A5A31">
        <w:trPr>
          <w:cantSplit/>
          <w:trHeight w:val="231"/>
        </w:trPr>
        <w:tc>
          <w:tcPr>
            <w:tcW w:w="1346" w:type="pct"/>
            <w:tcBorders>
              <w:top w:val="nil"/>
              <w:left w:val="nil"/>
              <w:bottom w:val="nil"/>
              <w:right w:val="nil"/>
            </w:tcBorders>
            <w:shd w:val="clear" w:color="auto" w:fill="auto"/>
            <w:vAlign w:val="center"/>
            <w:hideMark/>
          </w:tcPr>
          <w:p w14:paraId="1EA917EF"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Personales </w:t>
            </w:r>
          </w:p>
        </w:tc>
        <w:tc>
          <w:tcPr>
            <w:tcW w:w="460" w:type="pct"/>
            <w:tcBorders>
              <w:top w:val="nil"/>
              <w:left w:val="nil"/>
              <w:bottom w:val="nil"/>
              <w:right w:val="nil"/>
            </w:tcBorders>
            <w:shd w:val="clear" w:color="auto" w:fill="auto"/>
            <w:noWrap/>
            <w:vAlign w:val="center"/>
            <w:hideMark/>
          </w:tcPr>
          <w:p w14:paraId="5807FD32"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2.354.793</w:t>
            </w:r>
          </w:p>
        </w:tc>
        <w:tc>
          <w:tcPr>
            <w:tcW w:w="143" w:type="pct"/>
            <w:tcBorders>
              <w:top w:val="nil"/>
              <w:left w:val="nil"/>
              <w:bottom w:val="nil"/>
              <w:right w:val="nil"/>
            </w:tcBorders>
            <w:shd w:val="clear" w:color="auto" w:fill="auto"/>
            <w:noWrap/>
            <w:vAlign w:val="center"/>
            <w:hideMark/>
          </w:tcPr>
          <w:p w14:paraId="45894B0B"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3F10C3B5"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2.970.468</w:t>
            </w:r>
          </w:p>
        </w:tc>
        <w:tc>
          <w:tcPr>
            <w:tcW w:w="142" w:type="pct"/>
            <w:tcBorders>
              <w:top w:val="nil"/>
              <w:left w:val="nil"/>
              <w:bottom w:val="nil"/>
              <w:right w:val="nil"/>
            </w:tcBorders>
            <w:shd w:val="clear" w:color="auto" w:fill="auto"/>
            <w:noWrap/>
            <w:vAlign w:val="center"/>
            <w:hideMark/>
          </w:tcPr>
          <w:p w14:paraId="0130C103"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466943CA"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4.611.052</w:t>
            </w:r>
          </w:p>
        </w:tc>
        <w:tc>
          <w:tcPr>
            <w:tcW w:w="142" w:type="pct"/>
            <w:tcBorders>
              <w:top w:val="nil"/>
              <w:left w:val="nil"/>
              <w:bottom w:val="nil"/>
              <w:right w:val="nil"/>
            </w:tcBorders>
            <w:shd w:val="clear" w:color="auto" w:fill="auto"/>
            <w:vAlign w:val="center"/>
            <w:hideMark/>
          </w:tcPr>
          <w:p w14:paraId="4F5A82F6"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5E5EEFDB"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290.914</w:t>
            </w:r>
          </w:p>
        </w:tc>
        <w:tc>
          <w:tcPr>
            <w:tcW w:w="167" w:type="pct"/>
            <w:tcBorders>
              <w:top w:val="nil"/>
              <w:left w:val="nil"/>
              <w:bottom w:val="nil"/>
              <w:right w:val="nil"/>
            </w:tcBorders>
            <w:shd w:val="clear" w:color="auto" w:fill="auto"/>
            <w:vAlign w:val="center"/>
            <w:hideMark/>
          </w:tcPr>
          <w:p w14:paraId="7B249240"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450B9E75"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5.784.096</w:t>
            </w:r>
          </w:p>
        </w:tc>
        <w:tc>
          <w:tcPr>
            <w:tcW w:w="172" w:type="pct"/>
            <w:tcBorders>
              <w:top w:val="nil"/>
              <w:left w:val="nil"/>
              <w:bottom w:val="nil"/>
              <w:right w:val="nil"/>
            </w:tcBorders>
            <w:shd w:val="clear" w:color="auto" w:fill="auto"/>
            <w:vAlign w:val="center"/>
          </w:tcPr>
          <w:p w14:paraId="69CAB60F"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20B74933"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348.471 </w:t>
            </w:r>
          </w:p>
        </w:tc>
      </w:tr>
      <w:tr w:rsidR="000400C8" w:rsidRPr="00AE4E8D" w14:paraId="11631501" w14:textId="77777777" w:rsidTr="002A5A31">
        <w:trPr>
          <w:cantSplit/>
          <w:trHeight w:val="231"/>
        </w:trPr>
        <w:tc>
          <w:tcPr>
            <w:tcW w:w="1346" w:type="pct"/>
            <w:tcBorders>
              <w:top w:val="nil"/>
              <w:left w:val="nil"/>
              <w:bottom w:val="nil"/>
              <w:right w:val="nil"/>
            </w:tcBorders>
            <w:shd w:val="clear" w:color="auto" w:fill="auto"/>
            <w:vAlign w:val="center"/>
            <w:hideMark/>
          </w:tcPr>
          <w:p w14:paraId="6F7373D7"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Préstamos por tarjeta de crédito </w:t>
            </w:r>
          </w:p>
        </w:tc>
        <w:tc>
          <w:tcPr>
            <w:tcW w:w="460" w:type="pct"/>
            <w:tcBorders>
              <w:top w:val="nil"/>
              <w:left w:val="nil"/>
              <w:bottom w:val="nil"/>
              <w:right w:val="nil"/>
            </w:tcBorders>
            <w:shd w:val="clear" w:color="auto" w:fill="auto"/>
            <w:noWrap/>
            <w:vAlign w:val="center"/>
            <w:hideMark/>
          </w:tcPr>
          <w:p w14:paraId="3B300082"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7.155.260</w:t>
            </w:r>
          </w:p>
        </w:tc>
        <w:tc>
          <w:tcPr>
            <w:tcW w:w="143" w:type="pct"/>
            <w:tcBorders>
              <w:top w:val="nil"/>
              <w:left w:val="nil"/>
              <w:bottom w:val="nil"/>
              <w:right w:val="nil"/>
            </w:tcBorders>
            <w:shd w:val="clear" w:color="auto" w:fill="auto"/>
            <w:noWrap/>
            <w:vAlign w:val="center"/>
            <w:hideMark/>
          </w:tcPr>
          <w:p w14:paraId="3B904961"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295BD306"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9.903.383</w:t>
            </w:r>
          </w:p>
        </w:tc>
        <w:tc>
          <w:tcPr>
            <w:tcW w:w="142" w:type="pct"/>
            <w:tcBorders>
              <w:top w:val="nil"/>
              <w:left w:val="nil"/>
              <w:bottom w:val="nil"/>
              <w:right w:val="nil"/>
            </w:tcBorders>
            <w:shd w:val="clear" w:color="auto" w:fill="auto"/>
            <w:noWrap/>
            <w:vAlign w:val="center"/>
            <w:hideMark/>
          </w:tcPr>
          <w:p w14:paraId="42BB5D47"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28F64D4D"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12.663.403</w:t>
            </w:r>
          </w:p>
        </w:tc>
        <w:tc>
          <w:tcPr>
            <w:tcW w:w="142" w:type="pct"/>
            <w:tcBorders>
              <w:top w:val="nil"/>
              <w:left w:val="nil"/>
              <w:bottom w:val="nil"/>
              <w:right w:val="nil"/>
            </w:tcBorders>
            <w:shd w:val="clear" w:color="auto" w:fill="auto"/>
            <w:vAlign w:val="center"/>
            <w:hideMark/>
          </w:tcPr>
          <w:p w14:paraId="0C005B04"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04B06C58"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798.943</w:t>
            </w:r>
          </w:p>
        </w:tc>
        <w:tc>
          <w:tcPr>
            <w:tcW w:w="167" w:type="pct"/>
            <w:tcBorders>
              <w:top w:val="nil"/>
              <w:left w:val="nil"/>
              <w:bottom w:val="nil"/>
              <w:right w:val="nil"/>
            </w:tcBorders>
            <w:shd w:val="clear" w:color="auto" w:fill="auto"/>
            <w:vAlign w:val="center"/>
            <w:hideMark/>
          </w:tcPr>
          <w:p w14:paraId="7F390ECF"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4AFA06CC"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13.178.322</w:t>
            </w:r>
          </w:p>
        </w:tc>
        <w:tc>
          <w:tcPr>
            <w:tcW w:w="172" w:type="pct"/>
            <w:tcBorders>
              <w:top w:val="nil"/>
              <w:left w:val="nil"/>
              <w:bottom w:val="nil"/>
              <w:right w:val="nil"/>
            </w:tcBorders>
            <w:shd w:val="clear" w:color="auto" w:fill="auto"/>
            <w:vAlign w:val="center"/>
          </w:tcPr>
          <w:p w14:paraId="74E393A7"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59A45BD0"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793.947 </w:t>
            </w:r>
          </w:p>
        </w:tc>
      </w:tr>
      <w:tr w:rsidR="000400C8" w:rsidRPr="00AE4E8D" w14:paraId="135F6E3C" w14:textId="77777777" w:rsidTr="002A5A31">
        <w:trPr>
          <w:cantSplit/>
          <w:trHeight w:val="231"/>
        </w:trPr>
        <w:tc>
          <w:tcPr>
            <w:tcW w:w="1346" w:type="pct"/>
            <w:tcBorders>
              <w:top w:val="nil"/>
              <w:left w:val="nil"/>
              <w:bottom w:val="nil"/>
              <w:right w:val="nil"/>
            </w:tcBorders>
            <w:shd w:val="clear" w:color="auto" w:fill="auto"/>
            <w:vAlign w:val="center"/>
            <w:hideMark/>
          </w:tcPr>
          <w:p w14:paraId="2129840F"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Cobros no aplicados </w:t>
            </w:r>
          </w:p>
        </w:tc>
        <w:tc>
          <w:tcPr>
            <w:tcW w:w="460" w:type="pct"/>
            <w:tcBorders>
              <w:top w:val="nil"/>
              <w:left w:val="nil"/>
              <w:bottom w:val="nil"/>
              <w:right w:val="nil"/>
            </w:tcBorders>
            <w:shd w:val="clear" w:color="auto" w:fill="auto"/>
            <w:noWrap/>
            <w:vAlign w:val="center"/>
            <w:hideMark/>
          </w:tcPr>
          <w:p w14:paraId="50BBEBDF"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(34.565)</w:t>
            </w:r>
          </w:p>
        </w:tc>
        <w:tc>
          <w:tcPr>
            <w:tcW w:w="143" w:type="pct"/>
            <w:tcBorders>
              <w:top w:val="nil"/>
              <w:left w:val="nil"/>
              <w:bottom w:val="nil"/>
              <w:right w:val="nil"/>
            </w:tcBorders>
            <w:shd w:val="clear" w:color="auto" w:fill="auto"/>
            <w:noWrap/>
            <w:vAlign w:val="center"/>
            <w:hideMark/>
          </w:tcPr>
          <w:p w14:paraId="54549B3C"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4CD422BD"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(169.487)</w:t>
            </w:r>
          </w:p>
        </w:tc>
        <w:tc>
          <w:tcPr>
            <w:tcW w:w="142" w:type="pct"/>
            <w:tcBorders>
              <w:top w:val="nil"/>
              <w:left w:val="nil"/>
              <w:bottom w:val="nil"/>
              <w:right w:val="nil"/>
            </w:tcBorders>
            <w:shd w:val="clear" w:color="auto" w:fill="auto"/>
            <w:noWrap/>
            <w:vAlign w:val="center"/>
            <w:hideMark/>
          </w:tcPr>
          <w:p w14:paraId="0145939E"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653CB78A"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(1.166)</w:t>
            </w:r>
          </w:p>
        </w:tc>
        <w:tc>
          <w:tcPr>
            <w:tcW w:w="142" w:type="pct"/>
            <w:tcBorders>
              <w:top w:val="nil"/>
              <w:left w:val="nil"/>
              <w:bottom w:val="nil"/>
              <w:right w:val="nil"/>
            </w:tcBorders>
            <w:shd w:val="clear" w:color="auto" w:fill="auto"/>
            <w:vAlign w:val="center"/>
            <w:hideMark/>
          </w:tcPr>
          <w:p w14:paraId="655A0A3D"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4A47BB0C"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(74)</w:t>
            </w:r>
          </w:p>
        </w:tc>
        <w:tc>
          <w:tcPr>
            <w:tcW w:w="167" w:type="pct"/>
            <w:tcBorders>
              <w:top w:val="nil"/>
              <w:left w:val="nil"/>
              <w:bottom w:val="nil"/>
              <w:right w:val="nil"/>
            </w:tcBorders>
            <w:shd w:val="clear" w:color="auto" w:fill="auto"/>
            <w:vAlign w:val="center"/>
            <w:hideMark/>
          </w:tcPr>
          <w:p w14:paraId="3CDFA2FC"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6A7C7F6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(43.274)</w:t>
            </w:r>
          </w:p>
        </w:tc>
        <w:tc>
          <w:tcPr>
            <w:tcW w:w="172" w:type="pct"/>
            <w:tcBorders>
              <w:top w:val="nil"/>
              <w:left w:val="nil"/>
              <w:bottom w:val="nil"/>
              <w:right w:val="nil"/>
            </w:tcBorders>
            <w:shd w:val="clear" w:color="auto" w:fill="auto"/>
            <w:vAlign w:val="center"/>
          </w:tcPr>
          <w:p w14:paraId="453074CC"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6EFDA2E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 (2.607)</w:t>
            </w:r>
          </w:p>
        </w:tc>
      </w:tr>
      <w:tr w:rsidR="000400C8" w:rsidRPr="00AE4E8D" w14:paraId="3E6D6DF8" w14:textId="77777777" w:rsidTr="002A5A31">
        <w:trPr>
          <w:cantSplit/>
          <w:trHeight w:val="231"/>
        </w:trPr>
        <w:tc>
          <w:tcPr>
            <w:tcW w:w="1346" w:type="pct"/>
            <w:tcBorders>
              <w:top w:val="nil"/>
              <w:left w:val="nil"/>
              <w:bottom w:val="nil"/>
              <w:right w:val="nil"/>
            </w:tcBorders>
            <w:shd w:val="clear" w:color="auto" w:fill="auto"/>
            <w:vAlign w:val="center"/>
            <w:hideMark/>
          </w:tcPr>
          <w:p w14:paraId="4F14A014"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Otros préstamos </w:t>
            </w:r>
          </w:p>
        </w:tc>
        <w:tc>
          <w:tcPr>
            <w:tcW w:w="460" w:type="pct"/>
            <w:tcBorders>
              <w:top w:val="nil"/>
              <w:left w:val="nil"/>
              <w:bottom w:val="nil"/>
              <w:right w:val="nil"/>
            </w:tcBorders>
            <w:shd w:val="clear" w:color="auto" w:fill="auto"/>
            <w:noWrap/>
            <w:vAlign w:val="center"/>
            <w:hideMark/>
          </w:tcPr>
          <w:p w14:paraId="654E0684"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3.536.442</w:t>
            </w:r>
          </w:p>
        </w:tc>
        <w:tc>
          <w:tcPr>
            <w:tcW w:w="143" w:type="pct"/>
            <w:tcBorders>
              <w:top w:val="nil"/>
              <w:left w:val="nil"/>
              <w:bottom w:val="nil"/>
              <w:right w:val="nil"/>
            </w:tcBorders>
            <w:shd w:val="clear" w:color="auto" w:fill="auto"/>
            <w:noWrap/>
            <w:vAlign w:val="center"/>
            <w:hideMark/>
          </w:tcPr>
          <w:p w14:paraId="7D5CDB54"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6E571C80"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3.778.237</w:t>
            </w:r>
          </w:p>
        </w:tc>
        <w:tc>
          <w:tcPr>
            <w:tcW w:w="142" w:type="pct"/>
            <w:tcBorders>
              <w:top w:val="nil"/>
              <w:left w:val="nil"/>
              <w:bottom w:val="nil"/>
              <w:right w:val="nil"/>
            </w:tcBorders>
            <w:shd w:val="clear" w:color="auto" w:fill="auto"/>
            <w:noWrap/>
            <w:vAlign w:val="center"/>
            <w:hideMark/>
          </w:tcPr>
          <w:p w14:paraId="1EED456D"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0F8D21DF"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5.166.467</w:t>
            </w:r>
          </w:p>
        </w:tc>
        <w:tc>
          <w:tcPr>
            <w:tcW w:w="142" w:type="pct"/>
            <w:tcBorders>
              <w:top w:val="nil"/>
              <w:left w:val="nil"/>
              <w:bottom w:val="nil"/>
              <w:right w:val="nil"/>
            </w:tcBorders>
            <w:shd w:val="clear" w:color="auto" w:fill="auto"/>
            <w:vAlign w:val="center"/>
            <w:hideMark/>
          </w:tcPr>
          <w:p w14:paraId="34590F20"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57A6116B"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325.956</w:t>
            </w:r>
          </w:p>
        </w:tc>
        <w:tc>
          <w:tcPr>
            <w:tcW w:w="167" w:type="pct"/>
            <w:tcBorders>
              <w:top w:val="nil"/>
              <w:left w:val="nil"/>
              <w:bottom w:val="nil"/>
              <w:right w:val="nil"/>
            </w:tcBorders>
            <w:shd w:val="clear" w:color="auto" w:fill="auto"/>
            <w:vAlign w:val="center"/>
            <w:hideMark/>
          </w:tcPr>
          <w:p w14:paraId="18F72B10"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5D3BBB95"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7.282.108</w:t>
            </w:r>
          </w:p>
        </w:tc>
        <w:tc>
          <w:tcPr>
            <w:tcW w:w="172" w:type="pct"/>
            <w:tcBorders>
              <w:top w:val="nil"/>
              <w:left w:val="nil"/>
              <w:bottom w:val="nil"/>
              <w:right w:val="nil"/>
            </w:tcBorders>
            <w:shd w:val="clear" w:color="auto" w:fill="auto"/>
            <w:vAlign w:val="center"/>
          </w:tcPr>
          <w:p w14:paraId="57983ADD"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0617142B"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438.721 </w:t>
            </w:r>
          </w:p>
        </w:tc>
      </w:tr>
      <w:tr w:rsidR="000400C8" w:rsidRPr="00AE4E8D" w14:paraId="17094163" w14:textId="77777777" w:rsidTr="002A5A31">
        <w:trPr>
          <w:cantSplit/>
          <w:trHeight w:val="298"/>
        </w:trPr>
        <w:tc>
          <w:tcPr>
            <w:tcW w:w="1346" w:type="pct"/>
            <w:tcBorders>
              <w:top w:val="nil"/>
              <w:left w:val="nil"/>
              <w:bottom w:val="nil"/>
              <w:right w:val="nil"/>
            </w:tcBorders>
            <w:shd w:val="clear" w:color="auto" w:fill="auto"/>
            <w:vAlign w:val="center"/>
            <w:hideMark/>
          </w:tcPr>
          <w:p w14:paraId="07208D5A"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Intereses y diferencias de cotización devengados a cobrar </w:t>
            </w:r>
          </w:p>
        </w:tc>
        <w:tc>
          <w:tcPr>
            <w:tcW w:w="460" w:type="pct"/>
            <w:tcBorders>
              <w:top w:val="nil"/>
              <w:left w:val="nil"/>
              <w:bottom w:val="nil"/>
              <w:right w:val="nil"/>
            </w:tcBorders>
            <w:shd w:val="clear" w:color="auto" w:fill="auto"/>
            <w:noWrap/>
            <w:vAlign w:val="center"/>
            <w:hideMark/>
          </w:tcPr>
          <w:p w14:paraId="06DB6966"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213.947</w:t>
            </w:r>
          </w:p>
        </w:tc>
        <w:tc>
          <w:tcPr>
            <w:tcW w:w="143" w:type="pct"/>
            <w:tcBorders>
              <w:top w:val="nil"/>
              <w:left w:val="nil"/>
              <w:bottom w:val="nil"/>
              <w:right w:val="nil"/>
            </w:tcBorders>
            <w:shd w:val="clear" w:color="auto" w:fill="auto"/>
            <w:noWrap/>
            <w:vAlign w:val="center"/>
            <w:hideMark/>
          </w:tcPr>
          <w:p w14:paraId="2A672E45"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5366DA18"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260.161</w:t>
            </w:r>
          </w:p>
        </w:tc>
        <w:tc>
          <w:tcPr>
            <w:tcW w:w="142" w:type="pct"/>
            <w:tcBorders>
              <w:top w:val="nil"/>
              <w:left w:val="nil"/>
              <w:bottom w:val="nil"/>
              <w:right w:val="nil"/>
            </w:tcBorders>
            <w:shd w:val="clear" w:color="auto" w:fill="auto"/>
            <w:noWrap/>
            <w:vAlign w:val="center"/>
            <w:hideMark/>
          </w:tcPr>
          <w:p w14:paraId="2BC99A12"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702865B9"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293.006</w:t>
            </w:r>
          </w:p>
        </w:tc>
        <w:tc>
          <w:tcPr>
            <w:tcW w:w="142" w:type="pct"/>
            <w:tcBorders>
              <w:top w:val="nil"/>
              <w:left w:val="nil"/>
              <w:bottom w:val="nil"/>
              <w:right w:val="nil"/>
            </w:tcBorders>
            <w:shd w:val="clear" w:color="auto" w:fill="auto"/>
            <w:vAlign w:val="center"/>
            <w:hideMark/>
          </w:tcPr>
          <w:p w14:paraId="58D36B75"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41CE4E15"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18.486</w:t>
            </w:r>
          </w:p>
        </w:tc>
        <w:tc>
          <w:tcPr>
            <w:tcW w:w="167" w:type="pct"/>
            <w:tcBorders>
              <w:top w:val="nil"/>
              <w:left w:val="nil"/>
              <w:bottom w:val="nil"/>
              <w:right w:val="nil"/>
            </w:tcBorders>
            <w:shd w:val="clear" w:color="auto" w:fill="auto"/>
            <w:vAlign w:val="center"/>
            <w:hideMark/>
          </w:tcPr>
          <w:p w14:paraId="229648A8"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7A6E246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278.622</w:t>
            </w:r>
          </w:p>
        </w:tc>
        <w:tc>
          <w:tcPr>
            <w:tcW w:w="172" w:type="pct"/>
            <w:tcBorders>
              <w:top w:val="nil"/>
              <w:left w:val="nil"/>
              <w:bottom w:val="nil"/>
              <w:right w:val="nil"/>
            </w:tcBorders>
            <w:shd w:val="clear" w:color="auto" w:fill="auto"/>
            <w:vAlign w:val="center"/>
          </w:tcPr>
          <w:p w14:paraId="6E7684C9"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53D1146B"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16.786 </w:t>
            </w:r>
          </w:p>
        </w:tc>
      </w:tr>
      <w:tr w:rsidR="000400C8" w:rsidRPr="00AE4E8D" w14:paraId="19E5DEA9" w14:textId="77777777" w:rsidTr="002A5A31">
        <w:trPr>
          <w:cantSplit/>
          <w:trHeight w:val="244"/>
        </w:trPr>
        <w:tc>
          <w:tcPr>
            <w:tcW w:w="1346" w:type="pct"/>
            <w:tcBorders>
              <w:top w:val="nil"/>
              <w:left w:val="nil"/>
              <w:bottom w:val="nil"/>
              <w:right w:val="nil"/>
            </w:tcBorders>
            <w:shd w:val="clear" w:color="auto" w:fill="auto"/>
            <w:vAlign w:val="center"/>
            <w:hideMark/>
          </w:tcPr>
          <w:p w14:paraId="591E37BF" w14:textId="77777777" w:rsidR="000400C8" w:rsidRPr="00AE4E8D" w:rsidRDefault="000400C8" w:rsidP="00AF1863">
            <w:pPr>
              <w:ind w:left="284"/>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Intereses documentados </w:t>
            </w:r>
          </w:p>
        </w:tc>
        <w:tc>
          <w:tcPr>
            <w:tcW w:w="460" w:type="pct"/>
            <w:tcBorders>
              <w:top w:val="nil"/>
              <w:left w:val="nil"/>
              <w:bottom w:val="single" w:sz="8" w:space="0" w:color="auto"/>
              <w:right w:val="nil"/>
            </w:tcBorders>
            <w:shd w:val="clear" w:color="auto" w:fill="auto"/>
            <w:noWrap/>
            <w:vAlign w:val="center"/>
            <w:hideMark/>
          </w:tcPr>
          <w:p w14:paraId="774D90D8"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(26.464)</w:t>
            </w:r>
          </w:p>
        </w:tc>
        <w:tc>
          <w:tcPr>
            <w:tcW w:w="143" w:type="pct"/>
            <w:tcBorders>
              <w:top w:val="nil"/>
              <w:left w:val="nil"/>
              <w:bottom w:val="nil"/>
              <w:right w:val="nil"/>
            </w:tcBorders>
            <w:shd w:val="clear" w:color="auto" w:fill="auto"/>
            <w:noWrap/>
            <w:vAlign w:val="center"/>
            <w:hideMark/>
          </w:tcPr>
          <w:p w14:paraId="75BAB556"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single" w:sz="8" w:space="0" w:color="auto"/>
              <w:right w:val="nil"/>
            </w:tcBorders>
            <w:shd w:val="clear" w:color="auto" w:fill="auto"/>
            <w:noWrap/>
            <w:vAlign w:val="center"/>
            <w:hideMark/>
          </w:tcPr>
          <w:p w14:paraId="16CBA2A6"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(29.571)</w:t>
            </w:r>
          </w:p>
        </w:tc>
        <w:tc>
          <w:tcPr>
            <w:tcW w:w="142" w:type="pct"/>
            <w:tcBorders>
              <w:top w:val="nil"/>
              <w:left w:val="nil"/>
              <w:bottom w:val="nil"/>
              <w:right w:val="nil"/>
            </w:tcBorders>
            <w:shd w:val="clear" w:color="auto" w:fill="auto"/>
            <w:noWrap/>
            <w:vAlign w:val="center"/>
            <w:hideMark/>
          </w:tcPr>
          <w:p w14:paraId="1D2B7E44"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single" w:sz="8" w:space="0" w:color="auto"/>
              <w:right w:val="nil"/>
            </w:tcBorders>
            <w:shd w:val="clear" w:color="auto" w:fill="auto"/>
            <w:vAlign w:val="center"/>
            <w:hideMark/>
          </w:tcPr>
          <w:p w14:paraId="2897C6E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(45.878)</w:t>
            </w:r>
          </w:p>
        </w:tc>
        <w:tc>
          <w:tcPr>
            <w:tcW w:w="142" w:type="pct"/>
            <w:tcBorders>
              <w:top w:val="nil"/>
              <w:left w:val="nil"/>
              <w:bottom w:val="single" w:sz="8" w:space="0" w:color="auto"/>
              <w:right w:val="nil"/>
            </w:tcBorders>
            <w:shd w:val="clear" w:color="auto" w:fill="auto"/>
            <w:vAlign w:val="center"/>
          </w:tcPr>
          <w:p w14:paraId="61B566D9"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single" w:sz="8" w:space="0" w:color="auto"/>
              <w:right w:val="nil"/>
            </w:tcBorders>
            <w:shd w:val="clear" w:color="auto" w:fill="auto"/>
            <w:vAlign w:val="center"/>
            <w:hideMark/>
          </w:tcPr>
          <w:p w14:paraId="07378D1E"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(2.894)</w:t>
            </w:r>
          </w:p>
        </w:tc>
        <w:tc>
          <w:tcPr>
            <w:tcW w:w="167" w:type="pct"/>
            <w:tcBorders>
              <w:top w:val="nil"/>
              <w:left w:val="nil"/>
              <w:bottom w:val="nil"/>
              <w:right w:val="nil"/>
            </w:tcBorders>
            <w:shd w:val="clear" w:color="auto" w:fill="auto"/>
            <w:vAlign w:val="center"/>
            <w:hideMark/>
          </w:tcPr>
          <w:p w14:paraId="792D7C28"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single" w:sz="8" w:space="0" w:color="auto"/>
              <w:right w:val="nil"/>
            </w:tcBorders>
            <w:shd w:val="clear" w:color="auto" w:fill="auto"/>
            <w:vAlign w:val="center"/>
          </w:tcPr>
          <w:p w14:paraId="6100F693"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(48.779)</w:t>
            </w:r>
          </w:p>
        </w:tc>
        <w:tc>
          <w:tcPr>
            <w:tcW w:w="172" w:type="pct"/>
            <w:tcBorders>
              <w:top w:val="nil"/>
              <w:left w:val="nil"/>
              <w:bottom w:val="nil"/>
              <w:right w:val="nil"/>
            </w:tcBorders>
            <w:shd w:val="clear" w:color="auto" w:fill="auto"/>
            <w:vAlign w:val="center"/>
          </w:tcPr>
          <w:p w14:paraId="7D0062E7"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single" w:sz="8" w:space="0" w:color="auto"/>
              <w:right w:val="nil"/>
            </w:tcBorders>
            <w:shd w:val="clear" w:color="auto" w:fill="auto"/>
            <w:vAlign w:val="center"/>
          </w:tcPr>
          <w:p w14:paraId="12DF41A4"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 (2.939)</w:t>
            </w:r>
          </w:p>
        </w:tc>
      </w:tr>
      <w:tr w:rsidR="000400C8" w:rsidRPr="00AE4E8D" w14:paraId="3420339A" w14:textId="77777777" w:rsidTr="002A5A31">
        <w:trPr>
          <w:cantSplit/>
          <w:trHeight w:val="298"/>
        </w:trPr>
        <w:tc>
          <w:tcPr>
            <w:tcW w:w="1346" w:type="pct"/>
            <w:tcBorders>
              <w:top w:val="nil"/>
              <w:left w:val="nil"/>
              <w:bottom w:val="nil"/>
              <w:right w:val="nil"/>
            </w:tcBorders>
            <w:shd w:val="clear" w:color="auto" w:fill="auto"/>
            <w:vAlign w:val="center"/>
            <w:hideMark/>
          </w:tcPr>
          <w:p w14:paraId="229BC812"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lastRenderedPageBreak/>
              <w:t xml:space="preserve">Total Préstamos al sector privado no financiero y residentes en el exterior </w:t>
            </w:r>
          </w:p>
        </w:tc>
        <w:tc>
          <w:tcPr>
            <w:tcW w:w="460" w:type="pct"/>
            <w:tcBorders>
              <w:top w:val="nil"/>
              <w:left w:val="nil"/>
              <w:bottom w:val="nil"/>
              <w:right w:val="nil"/>
            </w:tcBorders>
            <w:shd w:val="clear" w:color="auto" w:fill="auto"/>
            <w:noWrap/>
            <w:vAlign w:val="center"/>
            <w:hideMark/>
          </w:tcPr>
          <w:p w14:paraId="4D5729BD"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17.195.344</w:t>
            </w:r>
          </w:p>
        </w:tc>
        <w:tc>
          <w:tcPr>
            <w:tcW w:w="143" w:type="pct"/>
            <w:tcBorders>
              <w:top w:val="nil"/>
              <w:left w:val="nil"/>
              <w:bottom w:val="nil"/>
              <w:right w:val="nil"/>
            </w:tcBorders>
            <w:shd w:val="clear" w:color="auto" w:fill="auto"/>
            <w:noWrap/>
            <w:vAlign w:val="center"/>
            <w:hideMark/>
          </w:tcPr>
          <w:p w14:paraId="23E91147"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3F488D8F"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20.576.555</w:t>
            </w:r>
          </w:p>
        </w:tc>
        <w:tc>
          <w:tcPr>
            <w:tcW w:w="142" w:type="pct"/>
            <w:tcBorders>
              <w:top w:val="nil"/>
              <w:left w:val="nil"/>
              <w:bottom w:val="nil"/>
              <w:right w:val="nil"/>
            </w:tcBorders>
            <w:shd w:val="clear" w:color="auto" w:fill="auto"/>
            <w:noWrap/>
            <w:vAlign w:val="center"/>
            <w:hideMark/>
          </w:tcPr>
          <w:p w14:paraId="5D6B8CB3" w14:textId="77777777" w:rsidR="000400C8" w:rsidRPr="00AE4E8D" w:rsidRDefault="000400C8" w:rsidP="00AF1863">
            <w:pPr>
              <w:jc w:val="center"/>
              <w:rPr>
                <w:rFonts w:ascii="Times New Roman" w:hAnsi="Times New Roman"/>
                <w:color w:val="000000"/>
                <w:sz w:val="12"/>
                <w:szCs w:val="12"/>
                <w:lang w:val="es-ES"/>
              </w:rPr>
            </w:pPr>
          </w:p>
        </w:tc>
        <w:tc>
          <w:tcPr>
            <w:tcW w:w="517" w:type="pct"/>
            <w:gridSpan w:val="2"/>
            <w:tcBorders>
              <w:top w:val="single" w:sz="8" w:space="0" w:color="auto"/>
              <w:left w:val="nil"/>
              <w:bottom w:val="nil"/>
              <w:right w:val="nil"/>
            </w:tcBorders>
            <w:shd w:val="clear" w:color="auto" w:fill="auto"/>
            <w:vAlign w:val="center"/>
            <w:hideMark/>
          </w:tcPr>
          <w:p w14:paraId="0201A27F" w14:textId="77777777" w:rsidR="000400C8" w:rsidRPr="00AE4E8D" w:rsidRDefault="000400C8" w:rsidP="00AF1863">
            <w:pPr>
              <w:jc w:val="center"/>
              <w:rPr>
                <w:rFonts w:ascii="Times New Roman" w:hAnsi="Times New Roman"/>
                <w:color w:val="000000"/>
                <w:sz w:val="12"/>
                <w:szCs w:val="12"/>
                <w:lang w:val="es-ES"/>
              </w:rPr>
            </w:pPr>
            <w:r w:rsidRPr="00AE4E8D">
              <w:rPr>
                <w:rFonts w:ascii="Times New Roman" w:hAnsi="Times New Roman"/>
                <w:color w:val="000000"/>
                <w:sz w:val="12"/>
                <w:szCs w:val="12"/>
                <w:lang w:val="es-ES"/>
              </w:rPr>
              <w:t>27.050.101</w:t>
            </w:r>
          </w:p>
        </w:tc>
        <w:tc>
          <w:tcPr>
            <w:tcW w:w="142" w:type="pct"/>
            <w:tcBorders>
              <w:top w:val="nil"/>
              <w:left w:val="nil"/>
              <w:bottom w:val="nil"/>
              <w:right w:val="nil"/>
            </w:tcBorders>
            <w:shd w:val="clear" w:color="auto" w:fill="auto"/>
            <w:vAlign w:val="center"/>
          </w:tcPr>
          <w:p w14:paraId="13C39218" w14:textId="77777777" w:rsidR="000400C8" w:rsidRPr="00AE4E8D" w:rsidRDefault="000400C8" w:rsidP="00AF1863">
            <w:pPr>
              <w:jc w:val="center"/>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50C85FC9"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1.706.609</w:t>
            </w:r>
          </w:p>
        </w:tc>
        <w:tc>
          <w:tcPr>
            <w:tcW w:w="167" w:type="pct"/>
            <w:tcBorders>
              <w:top w:val="nil"/>
              <w:left w:val="nil"/>
              <w:bottom w:val="nil"/>
              <w:right w:val="nil"/>
            </w:tcBorders>
            <w:shd w:val="clear" w:color="auto" w:fill="auto"/>
            <w:vAlign w:val="center"/>
            <w:hideMark/>
          </w:tcPr>
          <w:p w14:paraId="320F9449"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1AB88E70"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31.316.146</w:t>
            </w:r>
          </w:p>
        </w:tc>
        <w:tc>
          <w:tcPr>
            <w:tcW w:w="172" w:type="pct"/>
            <w:tcBorders>
              <w:top w:val="nil"/>
              <w:left w:val="nil"/>
              <w:bottom w:val="nil"/>
              <w:right w:val="nil"/>
            </w:tcBorders>
            <w:shd w:val="clear" w:color="auto" w:fill="auto"/>
            <w:vAlign w:val="center"/>
          </w:tcPr>
          <w:p w14:paraId="353D10F7"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02C0A90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1.886.685 </w:t>
            </w:r>
          </w:p>
        </w:tc>
      </w:tr>
      <w:tr w:rsidR="000400C8" w:rsidRPr="00AE4E8D" w14:paraId="1E3EF501" w14:textId="77777777" w:rsidTr="002A5A31">
        <w:trPr>
          <w:cantSplit/>
          <w:trHeight w:val="244"/>
        </w:trPr>
        <w:tc>
          <w:tcPr>
            <w:tcW w:w="1346" w:type="pct"/>
            <w:tcBorders>
              <w:top w:val="nil"/>
              <w:left w:val="nil"/>
              <w:bottom w:val="nil"/>
              <w:right w:val="nil"/>
            </w:tcBorders>
            <w:shd w:val="clear" w:color="auto" w:fill="auto"/>
            <w:vAlign w:val="center"/>
            <w:hideMark/>
          </w:tcPr>
          <w:p w14:paraId="5268632D"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Previsiones </w:t>
            </w:r>
          </w:p>
        </w:tc>
        <w:tc>
          <w:tcPr>
            <w:tcW w:w="460" w:type="pct"/>
            <w:tcBorders>
              <w:top w:val="nil"/>
              <w:left w:val="nil"/>
              <w:bottom w:val="single" w:sz="8" w:space="0" w:color="auto"/>
              <w:right w:val="nil"/>
            </w:tcBorders>
            <w:shd w:val="clear" w:color="auto" w:fill="auto"/>
            <w:noWrap/>
            <w:vAlign w:val="center"/>
            <w:hideMark/>
          </w:tcPr>
          <w:p w14:paraId="09B1AA1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(407.140)</w:t>
            </w:r>
          </w:p>
        </w:tc>
        <w:tc>
          <w:tcPr>
            <w:tcW w:w="143" w:type="pct"/>
            <w:tcBorders>
              <w:top w:val="nil"/>
              <w:left w:val="nil"/>
              <w:bottom w:val="nil"/>
              <w:right w:val="nil"/>
            </w:tcBorders>
            <w:shd w:val="clear" w:color="auto" w:fill="auto"/>
            <w:noWrap/>
            <w:vAlign w:val="center"/>
            <w:hideMark/>
          </w:tcPr>
          <w:p w14:paraId="7FD6E7AE"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single" w:sz="8" w:space="0" w:color="auto"/>
              <w:right w:val="nil"/>
            </w:tcBorders>
            <w:shd w:val="clear" w:color="auto" w:fill="auto"/>
            <w:noWrap/>
            <w:vAlign w:val="center"/>
            <w:hideMark/>
          </w:tcPr>
          <w:p w14:paraId="7282E84E"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(451.751)</w:t>
            </w:r>
          </w:p>
        </w:tc>
        <w:tc>
          <w:tcPr>
            <w:tcW w:w="142" w:type="pct"/>
            <w:tcBorders>
              <w:top w:val="nil"/>
              <w:left w:val="nil"/>
              <w:bottom w:val="nil"/>
              <w:right w:val="nil"/>
            </w:tcBorders>
            <w:shd w:val="clear" w:color="auto" w:fill="auto"/>
            <w:noWrap/>
            <w:vAlign w:val="center"/>
            <w:hideMark/>
          </w:tcPr>
          <w:p w14:paraId="23170055"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single" w:sz="8" w:space="0" w:color="auto"/>
              <w:right w:val="nil"/>
            </w:tcBorders>
            <w:shd w:val="clear" w:color="auto" w:fill="auto"/>
            <w:vAlign w:val="center"/>
            <w:hideMark/>
          </w:tcPr>
          <w:p w14:paraId="44748A6E"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(676.141)</w:t>
            </w:r>
          </w:p>
        </w:tc>
        <w:tc>
          <w:tcPr>
            <w:tcW w:w="142" w:type="pct"/>
            <w:tcBorders>
              <w:top w:val="nil"/>
              <w:left w:val="nil"/>
              <w:bottom w:val="single" w:sz="8" w:space="0" w:color="auto"/>
              <w:right w:val="nil"/>
            </w:tcBorders>
            <w:shd w:val="clear" w:color="auto" w:fill="auto"/>
            <w:vAlign w:val="center"/>
          </w:tcPr>
          <w:p w14:paraId="45EF77BA"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single" w:sz="8" w:space="0" w:color="auto"/>
              <w:right w:val="nil"/>
            </w:tcBorders>
            <w:shd w:val="clear" w:color="auto" w:fill="auto"/>
            <w:vAlign w:val="center"/>
            <w:hideMark/>
          </w:tcPr>
          <w:p w14:paraId="0ED0E54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(42.658)</w:t>
            </w:r>
          </w:p>
        </w:tc>
        <w:tc>
          <w:tcPr>
            <w:tcW w:w="167" w:type="pct"/>
            <w:tcBorders>
              <w:top w:val="nil"/>
              <w:left w:val="nil"/>
              <w:bottom w:val="nil"/>
              <w:right w:val="nil"/>
            </w:tcBorders>
            <w:shd w:val="clear" w:color="auto" w:fill="auto"/>
            <w:vAlign w:val="center"/>
            <w:hideMark/>
          </w:tcPr>
          <w:p w14:paraId="7EF88BF0"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single" w:sz="8" w:space="0" w:color="auto"/>
              <w:right w:val="nil"/>
            </w:tcBorders>
            <w:shd w:val="clear" w:color="auto" w:fill="auto"/>
            <w:vAlign w:val="center"/>
          </w:tcPr>
          <w:p w14:paraId="201D6A6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(796.546)</w:t>
            </w:r>
          </w:p>
        </w:tc>
        <w:tc>
          <w:tcPr>
            <w:tcW w:w="172" w:type="pct"/>
            <w:tcBorders>
              <w:top w:val="nil"/>
              <w:left w:val="nil"/>
              <w:bottom w:val="nil"/>
              <w:right w:val="nil"/>
            </w:tcBorders>
            <w:shd w:val="clear" w:color="auto" w:fill="auto"/>
            <w:vAlign w:val="center"/>
          </w:tcPr>
          <w:p w14:paraId="2387C0C5"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single" w:sz="8" w:space="0" w:color="auto"/>
              <w:right w:val="nil"/>
            </w:tcBorders>
            <w:shd w:val="clear" w:color="auto" w:fill="auto"/>
            <w:vAlign w:val="center"/>
          </w:tcPr>
          <w:p w14:paraId="29FB06C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 (47.989)</w:t>
            </w:r>
          </w:p>
        </w:tc>
      </w:tr>
      <w:tr w:rsidR="000400C8" w:rsidRPr="00AE4E8D" w14:paraId="6F99D259" w14:textId="77777777" w:rsidTr="002A5A31">
        <w:trPr>
          <w:cantSplit/>
          <w:trHeight w:val="231"/>
        </w:trPr>
        <w:tc>
          <w:tcPr>
            <w:tcW w:w="1346" w:type="pct"/>
            <w:tcBorders>
              <w:top w:val="nil"/>
              <w:left w:val="nil"/>
              <w:bottom w:val="nil"/>
              <w:right w:val="nil"/>
            </w:tcBorders>
            <w:shd w:val="clear" w:color="auto" w:fill="auto"/>
            <w:vAlign w:val="center"/>
            <w:hideMark/>
          </w:tcPr>
          <w:p w14:paraId="7049E780"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Préstamos netos de previsiones </w:t>
            </w:r>
          </w:p>
        </w:tc>
        <w:tc>
          <w:tcPr>
            <w:tcW w:w="460" w:type="pct"/>
            <w:tcBorders>
              <w:top w:val="nil"/>
              <w:left w:val="nil"/>
              <w:bottom w:val="nil"/>
              <w:right w:val="nil"/>
            </w:tcBorders>
            <w:shd w:val="clear" w:color="auto" w:fill="auto"/>
            <w:noWrap/>
            <w:vAlign w:val="center"/>
            <w:hideMark/>
          </w:tcPr>
          <w:p w14:paraId="5E4305EB"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17.239.525</w:t>
            </w:r>
          </w:p>
        </w:tc>
        <w:tc>
          <w:tcPr>
            <w:tcW w:w="143" w:type="pct"/>
            <w:tcBorders>
              <w:top w:val="nil"/>
              <w:left w:val="nil"/>
              <w:bottom w:val="nil"/>
              <w:right w:val="nil"/>
            </w:tcBorders>
            <w:shd w:val="clear" w:color="auto" w:fill="auto"/>
            <w:noWrap/>
            <w:vAlign w:val="center"/>
            <w:hideMark/>
          </w:tcPr>
          <w:p w14:paraId="4C470247"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5B2F4BF0"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20.369.933</w:t>
            </w:r>
          </w:p>
        </w:tc>
        <w:tc>
          <w:tcPr>
            <w:tcW w:w="142" w:type="pct"/>
            <w:tcBorders>
              <w:top w:val="nil"/>
              <w:left w:val="nil"/>
              <w:bottom w:val="nil"/>
              <w:right w:val="nil"/>
            </w:tcBorders>
            <w:shd w:val="clear" w:color="auto" w:fill="auto"/>
            <w:noWrap/>
            <w:vAlign w:val="center"/>
            <w:hideMark/>
          </w:tcPr>
          <w:p w14:paraId="4081107A"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single" w:sz="8" w:space="0" w:color="auto"/>
              <w:left w:val="nil"/>
              <w:bottom w:val="nil"/>
              <w:right w:val="nil"/>
            </w:tcBorders>
            <w:shd w:val="clear" w:color="auto" w:fill="auto"/>
            <w:vAlign w:val="center"/>
            <w:hideMark/>
          </w:tcPr>
          <w:p w14:paraId="3261ED7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27.163.942</w:t>
            </w:r>
          </w:p>
        </w:tc>
        <w:tc>
          <w:tcPr>
            <w:tcW w:w="142" w:type="pct"/>
            <w:tcBorders>
              <w:top w:val="nil"/>
              <w:left w:val="nil"/>
              <w:bottom w:val="nil"/>
              <w:right w:val="nil"/>
            </w:tcBorders>
            <w:shd w:val="clear" w:color="auto" w:fill="auto"/>
            <w:vAlign w:val="center"/>
            <w:hideMark/>
          </w:tcPr>
          <w:p w14:paraId="71DEC8B6"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0AC6E4F5"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1.713.792</w:t>
            </w:r>
          </w:p>
        </w:tc>
        <w:tc>
          <w:tcPr>
            <w:tcW w:w="167" w:type="pct"/>
            <w:tcBorders>
              <w:top w:val="nil"/>
              <w:left w:val="nil"/>
              <w:bottom w:val="nil"/>
              <w:right w:val="nil"/>
            </w:tcBorders>
            <w:shd w:val="clear" w:color="auto" w:fill="auto"/>
            <w:vAlign w:val="center"/>
            <w:hideMark/>
          </w:tcPr>
          <w:p w14:paraId="0B4A41C8"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3ACA40AA"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31.167.477</w:t>
            </w:r>
          </w:p>
        </w:tc>
        <w:tc>
          <w:tcPr>
            <w:tcW w:w="172" w:type="pct"/>
            <w:tcBorders>
              <w:top w:val="nil"/>
              <w:left w:val="nil"/>
              <w:bottom w:val="nil"/>
              <w:right w:val="nil"/>
            </w:tcBorders>
            <w:shd w:val="clear" w:color="auto" w:fill="auto"/>
            <w:vAlign w:val="center"/>
          </w:tcPr>
          <w:p w14:paraId="7C1F9DA2"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63EF54EC"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1.877.729</w:t>
            </w:r>
          </w:p>
        </w:tc>
      </w:tr>
      <w:tr w:rsidR="000400C8" w:rsidRPr="00AE4E8D" w14:paraId="1561425E" w14:textId="77777777" w:rsidTr="002A5A31">
        <w:trPr>
          <w:cantSplit/>
          <w:trHeight w:val="231"/>
        </w:trPr>
        <w:tc>
          <w:tcPr>
            <w:tcW w:w="1346" w:type="pct"/>
            <w:tcBorders>
              <w:top w:val="nil"/>
              <w:left w:val="nil"/>
              <w:bottom w:val="nil"/>
              <w:right w:val="nil"/>
            </w:tcBorders>
            <w:shd w:val="clear" w:color="auto" w:fill="auto"/>
            <w:vAlign w:val="center"/>
            <w:hideMark/>
          </w:tcPr>
          <w:p w14:paraId="7B27A0C1"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Préstamos pendientes de titulización (2) </w:t>
            </w:r>
          </w:p>
        </w:tc>
        <w:tc>
          <w:tcPr>
            <w:tcW w:w="460" w:type="pct"/>
            <w:tcBorders>
              <w:top w:val="nil"/>
              <w:left w:val="nil"/>
              <w:bottom w:val="nil"/>
              <w:right w:val="nil"/>
            </w:tcBorders>
            <w:shd w:val="clear" w:color="auto" w:fill="auto"/>
            <w:noWrap/>
            <w:vAlign w:val="center"/>
            <w:hideMark/>
          </w:tcPr>
          <w:p w14:paraId="3A4F1934"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10.436</w:t>
            </w:r>
          </w:p>
        </w:tc>
        <w:tc>
          <w:tcPr>
            <w:tcW w:w="143" w:type="pct"/>
            <w:tcBorders>
              <w:top w:val="nil"/>
              <w:left w:val="nil"/>
              <w:bottom w:val="nil"/>
              <w:right w:val="nil"/>
            </w:tcBorders>
            <w:shd w:val="clear" w:color="auto" w:fill="auto"/>
            <w:noWrap/>
            <w:vAlign w:val="center"/>
            <w:hideMark/>
          </w:tcPr>
          <w:p w14:paraId="0786BAEF"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56BE0A89"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9.175</w:t>
            </w:r>
          </w:p>
        </w:tc>
        <w:tc>
          <w:tcPr>
            <w:tcW w:w="142" w:type="pct"/>
            <w:tcBorders>
              <w:top w:val="nil"/>
              <w:left w:val="nil"/>
              <w:bottom w:val="nil"/>
              <w:right w:val="nil"/>
            </w:tcBorders>
            <w:shd w:val="clear" w:color="auto" w:fill="auto"/>
            <w:noWrap/>
            <w:vAlign w:val="center"/>
            <w:hideMark/>
          </w:tcPr>
          <w:p w14:paraId="53A70DF3"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4ACEF77F"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7.345</w:t>
            </w:r>
          </w:p>
        </w:tc>
        <w:tc>
          <w:tcPr>
            <w:tcW w:w="142" w:type="pct"/>
            <w:tcBorders>
              <w:top w:val="nil"/>
              <w:left w:val="nil"/>
              <w:bottom w:val="nil"/>
              <w:right w:val="nil"/>
            </w:tcBorders>
            <w:shd w:val="clear" w:color="auto" w:fill="auto"/>
            <w:vAlign w:val="center"/>
            <w:hideMark/>
          </w:tcPr>
          <w:p w14:paraId="00F9A346"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03F969A2"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463</w:t>
            </w:r>
          </w:p>
        </w:tc>
        <w:tc>
          <w:tcPr>
            <w:tcW w:w="167" w:type="pct"/>
            <w:tcBorders>
              <w:top w:val="nil"/>
              <w:left w:val="nil"/>
              <w:bottom w:val="nil"/>
              <w:right w:val="nil"/>
            </w:tcBorders>
            <w:shd w:val="clear" w:color="auto" w:fill="auto"/>
            <w:vAlign w:val="center"/>
            <w:hideMark/>
          </w:tcPr>
          <w:p w14:paraId="12561DFC"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0CC8F904"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6.248</w:t>
            </w:r>
          </w:p>
        </w:tc>
        <w:tc>
          <w:tcPr>
            <w:tcW w:w="172" w:type="pct"/>
            <w:tcBorders>
              <w:top w:val="nil"/>
              <w:left w:val="nil"/>
              <w:bottom w:val="nil"/>
              <w:right w:val="nil"/>
            </w:tcBorders>
            <w:shd w:val="clear" w:color="auto" w:fill="auto"/>
            <w:vAlign w:val="center"/>
          </w:tcPr>
          <w:p w14:paraId="1505C5F6"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19881A2F"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376</w:t>
            </w:r>
          </w:p>
        </w:tc>
      </w:tr>
      <w:tr w:rsidR="000400C8" w:rsidRPr="00AE4E8D" w14:paraId="0B788493" w14:textId="77777777" w:rsidTr="002A5A31">
        <w:trPr>
          <w:cantSplit/>
          <w:trHeight w:val="231"/>
        </w:trPr>
        <w:tc>
          <w:tcPr>
            <w:tcW w:w="1346" w:type="pct"/>
            <w:tcBorders>
              <w:top w:val="nil"/>
              <w:left w:val="nil"/>
              <w:bottom w:val="nil"/>
              <w:right w:val="nil"/>
            </w:tcBorders>
            <w:shd w:val="clear" w:color="auto" w:fill="auto"/>
            <w:vAlign w:val="center"/>
            <w:hideMark/>
          </w:tcPr>
          <w:p w14:paraId="4F3BCC26"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Créditos por arrendamientos financieros (2) </w:t>
            </w:r>
          </w:p>
        </w:tc>
        <w:tc>
          <w:tcPr>
            <w:tcW w:w="460" w:type="pct"/>
            <w:tcBorders>
              <w:top w:val="nil"/>
              <w:left w:val="nil"/>
              <w:bottom w:val="nil"/>
              <w:right w:val="nil"/>
            </w:tcBorders>
            <w:shd w:val="clear" w:color="auto" w:fill="auto"/>
            <w:noWrap/>
            <w:vAlign w:val="center"/>
            <w:hideMark/>
          </w:tcPr>
          <w:p w14:paraId="44139C16"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106.740</w:t>
            </w:r>
          </w:p>
        </w:tc>
        <w:tc>
          <w:tcPr>
            <w:tcW w:w="143" w:type="pct"/>
            <w:tcBorders>
              <w:top w:val="nil"/>
              <w:left w:val="nil"/>
              <w:bottom w:val="nil"/>
              <w:right w:val="nil"/>
            </w:tcBorders>
            <w:shd w:val="clear" w:color="auto" w:fill="auto"/>
            <w:noWrap/>
            <w:vAlign w:val="center"/>
            <w:hideMark/>
          </w:tcPr>
          <w:p w14:paraId="3F57D295"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273668C2"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129.179</w:t>
            </w:r>
          </w:p>
        </w:tc>
        <w:tc>
          <w:tcPr>
            <w:tcW w:w="142" w:type="pct"/>
            <w:tcBorders>
              <w:top w:val="nil"/>
              <w:left w:val="nil"/>
              <w:bottom w:val="nil"/>
              <w:right w:val="nil"/>
            </w:tcBorders>
            <w:shd w:val="clear" w:color="auto" w:fill="auto"/>
            <w:noWrap/>
            <w:vAlign w:val="center"/>
            <w:hideMark/>
          </w:tcPr>
          <w:p w14:paraId="6D5DB104"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3E5CDECA"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155.775</w:t>
            </w:r>
          </w:p>
        </w:tc>
        <w:tc>
          <w:tcPr>
            <w:tcW w:w="142" w:type="pct"/>
            <w:tcBorders>
              <w:top w:val="nil"/>
              <w:left w:val="nil"/>
              <w:bottom w:val="nil"/>
              <w:right w:val="nil"/>
            </w:tcBorders>
            <w:shd w:val="clear" w:color="auto" w:fill="auto"/>
            <w:vAlign w:val="center"/>
            <w:hideMark/>
          </w:tcPr>
          <w:p w14:paraId="0BDBBA70"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078C000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9.827</w:t>
            </w:r>
          </w:p>
        </w:tc>
        <w:tc>
          <w:tcPr>
            <w:tcW w:w="167" w:type="pct"/>
            <w:tcBorders>
              <w:top w:val="nil"/>
              <w:left w:val="nil"/>
              <w:bottom w:val="nil"/>
              <w:right w:val="nil"/>
            </w:tcBorders>
            <w:shd w:val="clear" w:color="auto" w:fill="auto"/>
            <w:vAlign w:val="center"/>
            <w:hideMark/>
          </w:tcPr>
          <w:p w14:paraId="20E8EB60"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229A8084"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163.220</w:t>
            </w:r>
          </w:p>
        </w:tc>
        <w:tc>
          <w:tcPr>
            <w:tcW w:w="172" w:type="pct"/>
            <w:tcBorders>
              <w:top w:val="nil"/>
              <w:left w:val="nil"/>
              <w:bottom w:val="nil"/>
              <w:right w:val="nil"/>
            </w:tcBorders>
            <w:shd w:val="clear" w:color="auto" w:fill="auto"/>
            <w:vAlign w:val="center"/>
          </w:tcPr>
          <w:p w14:paraId="1C411C1A"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08DFC440"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9.833</w:t>
            </w:r>
          </w:p>
        </w:tc>
      </w:tr>
      <w:tr w:rsidR="000400C8" w:rsidRPr="00AE4E8D" w14:paraId="657AE2FF" w14:textId="77777777" w:rsidTr="002A5A31">
        <w:trPr>
          <w:cantSplit/>
          <w:trHeight w:val="231"/>
        </w:trPr>
        <w:tc>
          <w:tcPr>
            <w:tcW w:w="1346" w:type="pct"/>
            <w:tcBorders>
              <w:top w:val="nil"/>
              <w:left w:val="nil"/>
              <w:bottom w:val="nil"/>
              <w:right w:val="nil"/>
            </w:tcBorders>
            <w:shd w:val="clear" w:color="auto" w:fill="auto"/>
            <w:vAlign w:val="center"/>
            <w:hideMark/>
          </w:tcPr>
          <w:p w14:paraId="2982AD28"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Intereses devengados a cobrar (2) </w:t>
            </w:r>
          </w:p>
        </w:tc>
        <w:tc>
          <w:tcPr>
            <w:tcW w:w="460" w:type="pct"/>
            <w:tcBorders>
              <w:top w:val="nil"/>
              <w:left w:val="nil"/>
              <w:bottom w:val="nil"/>
              <w:right w:val="nil"/>
            </w:tcBorders>
            <w:shd w:val="clear" w:color="auto" w:fill="auto"/>
            <w:noWrap/>
            <w:vAlign w:val="center"/>
            <w:hideMark/>
          </w:tcPr>
          <w:p w14:paraId="1539A263"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4.561</w:t>
            </w:r>
          </w:p>
        </w:tc>
        <w:tc>
          <w:tcPr>
            <w:tcW w:w="143" w:type="pct"/>
            <w:tcBorders>
              <w:top w:val="nil"/>
              <w:left w:val="nil"/>
              <w:bottom w:val="nil"/>
              <w:right w:val="nil"/>
            </w:tcBorders>
            <w:shd w:val="clear" w:color="auto" w:fill="auto"/>
            <w:noWrap/>
            <w:vAlign w:val="center"/>
            <w:hideMark/>
          </w:tcPr>
          <w:p w14:paraId="5F17750C"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21F23955"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5.892</w:t>
            </w:r>
          </w:p>
        </w:tc>
        <w:tc>
          <w:tcPr>
            <w:tcW w:w="142" w:type="pct"/>
            <w:tcBorders>
              <w:top w:val="nil"/>
              <w:left w:val="nil"/>
              <w:bottom w:val="nil"/>
              <w:right w:val="nil"/>
            </w:tcBorders>
            <w:shd w:val="clear" w:color="auto" w:fill="auto"/>
            <w:noWrap/>
            <w:vAlign w:val="center"/>
            <w:hideMark/>
          </w:tcPr>
          <w:p w14:paraId="648E41E7"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nil"/>
              <w:right w:val="nil"/>
            </w:tcBorders>
            <w:shd w:val="clear" w:color="auto" w:fill="auto"/>
            <w:vAlign w:val="center"/>
            <w:hideMark/>
          </w:tcPr>
          <w:p w14:paraId="40831475"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6.303</w:t>
            </w:r>
          </w:p>
        </w:tc>
        <w:tc>
          <w:tcPr>
            <w:tcW w:w="142" w:type="pct"/>
            <w:tcBorders>
              <w:top w:val="nil"/>
              <w:left w:val="nil"/>
              <w:bottom w:val="nil"/>
              <w:right w:val="nil"/>
            </w:tcBorders>
            <w:shd w:val="clear" w:color="auto" w:fill="auto"/>
            <w:vAlign w:val="center"/>
            <w:hideMark/>
          </w:tcPr>
          <w:p w14:paraId="7FB4A8AA"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50B76BA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398</w:t>
            </w:r>
          </w:p>
        </w:tc>
        <w:tc>
          <w:tcPr>
            <w:tcW w:w="167" w:type="pct"/>
            <w:tcBorders>
              <w:top w:val="nil"/>
              <w:left w:val="nil"/>
              <w:bottom w:val="nil"/>
              <w:right w:val="nil"/>
            </w:tcBorders>
            <w:shd w:val="clear" w:color="auto" w:fill="auto"/>
            <w:vAlign w:val="center"/>
            <w:hideMark/>
          </w:tcPr>
          <w:p w14:paraId="27A8F2A8"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1771D17A"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5.824</w:t>
            </w:r>
          </w:p>
        </w:tc>
        <w:tc>
          <w:tcPr>
            <w:tcW w:w="172" w:type="pct"/>
            <w:tcBorders>
              <w:top w:val="nil"/>
              <w:left w:val="nil"/>
              <w:bottom w:val="nil"/>
              <w:right w:val="nil"/>
            </w:tcBorders>
            <w:shd w:val="clear" w:color="auto" w:fill="auto"/>
            <w:vAlign w:val="center"/>
          </w:tcPr>
          <w:p w14:paraId="047E02E0"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7140FEC6"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351</w:t>
            </w:r>
          </w:p>
        </w:tc>
      </w:tr>
      <w:tr w:rsidR="000400C8" w:rsidRPr="00AE4E8D" w14:paraId="6E012532" w14:textId="77777777" w:rsidTr="002A5A31">
        <w:trPr>
          <w:cantSplit/>
          <w:trHeight w:val="244"/>
        </w:trPr>
        <w:tc>
          <w:tcPr>
            <w:tcW w:w="1346" w:type="pct"/>
            <w:tcBorders>
              <w:top w:val="nil"/>
              <w:left w:val="nil"/>
              <w:bottom w:val="nil"/>
              <w:right w:val="nil"/>
            </w:tcBorders>
            <w:shd w:val="clear" w:color="auto" w:fill="auto"/>
            <w:vAlign w:val="center"/>
            <w:hideMark/>
          </w:tcPr>
          <w:p w14:paraId="36632E39"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Previsiones (2) </w:t>
            </w:r>
          </w:p>
        </w:tc>
        <w:tc>
          <w:tcPr>
            <w:tcW w:w="460" w:type="pct"/>
            <w:tcBorders>
              <w:top w:val="nil"/>
              <w:left w:val="nil"/>
              <w:bottom w:val="single" w:sz="8" w:space="0" w:color="auto"/>
              <w:right w:val="nil"/>
            </w:tcBorders>
            <w:shd w:val="clear" w:color="auto" w:fill="auto"/>
            <w:noWrap/>
            <w:vAlign w:val="center"/>
            <w:hideMark/>
          </w:tcPr>
          <w:p w14:paraId="15F1158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(3.415)</w:t>
            </w:r>
          </w:p>
        </w:tc>
        <w:tc>
          <w:tcPr>
            <w:tcW w:w="143" w:type="pct"/>
            <w:tcBorders>
              <w:top w:val="nil"/>
              <w:left w:val="nil"/>
              <w:bottom w:val="nil"/>
              <w:right w:val="nil"/>
            </w:tcBorders>
            <w:shd w:val="clear" w:color="auto" w:fill="auto"/>
            <w:noWrap/>
            <w:vAlign w:val="center"/>
            <w:hideMark/>
          </w:tcPr>
          <w:p w14:paraId="5CD3A732"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single" w:sz="8" w:space="0" w:color="auto"/>
              <w:right w:val="nil"/>
            </w:tcBorders>
            <w:shd w:val="clear" w:color="auto" w:fill="auto"/>
            <w:noWrap/>
            <w:vAlign w:val="center"/>
            <w:hideMark/>
          </w:tcPr>
          <w:p w14:paraId="3EC20A1F"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(3.209)</w:t>
            </w:r>
          </w:p>
        </w:tc>
        <w:tc>
          <w:tcPr>
            <w:tcW w:w="142" w:type="pct"/>
            <w:tcBorders>
              <w:top w:val="nil"/>
              <w:left w:val="nil"/>
              <w:bottom w:val="nil"/>
              <w:right w:val="nil"/>
            </w:tcBorders>
            <w:shd w:val="clear" w:color="auto" w:fill="auto"/>
            <w:noWrap/>
            <w:vAlign w:val="center"/>
            <w:hideMark/>
          </w:tcPr>
          <w:p w14:paraId="350B22C0"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nil"/>
              <w:left w:val="nil"/>
              <w:bottom w:val="single" w:sz="8" w:space="0" w:color="auto"/>
              <w:right w:val="nil"/>
            </w:tcBorders>
            <w:shd w:val="clear" w:color="auto" w:fill="auto"/>
            <w:vAlign w:val="center"/>
            <w:hideMark/>
          </w:tcPr>
          <w:p w14:paraId="0740F147"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(2.922)</w:t>
            </w:r>
          </w:p>
        </w:tc>
        <w:tc>
          <w:tcPr>
            <w:tcW w:w="142" w:type="pct"/>
            <w:tcBorders>
              <w:top w:val="nil"/>
              <w:left w:val="nil"/>
              <w:bottom w:val="nil"/>
              <w:right w:val="nil"/>
            </w:tcBorders>
            <w:shd w:val="clear" w:color="auto" w:fill="auto"/>
            <w:vAlign w:val="center"/>
            <w:hideMark/>
          </w:tcPr>
          <w:p w14:paraId="6174D5E1"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single" w:sz="8" w:space="0" w:color="auto"/>
              <w:right w:val="nil"/>
            </w:tcBorders>
            <w:shd w:val="clear" w:color="auto" w:fill="auto"/>
            <w:vAlign w:val="center"/>
            <w:hideMark/>
          </w:tcPr>
          <w:p w14:paraId="5A3E159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(184)</w:t>
            </w:r>
          </w:p>
        </w:tc>
        <w:tc>
          <w:tcPr>
            <w:tcW w:w="167" w:type="pct"/>
            <w:tcBorders>
              <w:top w:val="nil"/>
              <w:left w:val="nil"/>
              <w:bottom w:val="nil"/>
              <w:right w:val="nil"/>
            </w:tcBorders>
            <w:shd w:val="clear" w:color="auto" w:fill="auto"/>
            <w:vAlign w:val="center"/>
            <w:hideMark/>
          </w:tcPr>
          <w:p w14:paraId="1ACE4D0B"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single" w:sz="8" w:space="0" w:color="auto"/>
              <w:right w:val="nil"/>
            </w:tcBorders>
            <w:shd w:val="clear" w:color="auto" w:fill="auto"/>
            <w:vAlign w:val="center"/>
          </w:tcPr>
          <w:p w14:paraId="776E7203"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(3.576)</w:t>
            </w:r>
          </w:p>
        </w:tc>
        <w:tc>
          <w:tcPr>
            <w:tcW w:w="172" w:type="pct"/>
            <w:tcBorders>
              <w:top w:val="nil"/>
              <w:left w:val="nil"/>
              <w:bottom w:val="nil"/>
              <w:right w:val="nil"/>
            </w:tcBorders>
            <w:shd w:val="clear" w:color="auto" w:fill="auto"/>
            <w:vAlign w:val="center"/>
          </w:tcPr>
          <w:p w14:paraId="6318E72E" w14:textId="77777777" w:rsidR="000400C8" w:rsidRPr="00AE4E8D" w:rsidRDefault="000400C8" w:rsidP="00AF1863">
            <w:pPr>
              <w:jc w:val="right"/>
              <w:rPr>
                <w:rFonts w:ascii="Times New Roman" w:hAnsi="Times New Roman"/>
                <w:color w:val="000000"/>
                <w:sz w:val="12"/>
                <w:szCs w:val="12"/>
                <w:lang w:val="es-ES"/>
              </w:rPr>
            </w:pPr>
          </w:p>
        </w:tc>
        <w:tc>
          <w:tcPr>
            <w:tcW w:w="507" w:type="pct"/>
            <w:tcBorders>
              <w:top w:val="nil"/>
              <w:left w:val="nil"/>
              <w:bottom w:val="single" w:sz="8" w:space="0" w:color="auto"/>
              <w:right w:val="nil"/>
            </w:tcBorders>
            <w:shd w:val="clear" w:color="auto" w:fill="auto"/>
            <w:vAlign w:val="center"/>
          </w:tcPr>
          <w:p w14:paraId="4D69C6EC"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(215)</w:t>
            </w:r>
          </w:p>
        </w:tc>
      </w:tr>
      <w:tr w:rsidR="000400C8" w:rsidRPr="00AE4E8D" w14:paraId="176EB96F" w14:textId="77777777" w:rsidTr="002A5A31">
        <w:trPr>
          <w:cantSplit/>
          <w:trHeight w:val="231"/>
        </w:trPr>
        <w:tc>
          <w:tcPr>
            <w:tcW w:w="1346" w:type="pct"/>
            <w:tcBorders>
              <w:top w:val="nil"/>
              <w:left w:val="nil"/>
              <w:bottom w:val="nil"/>
              <w:right w:val="nil"/>
            </w:tcBorders>
            <w:shd w:val="clear" w:color="auto" w:fill="auto"/>
            <w:vAlign w:val="center"/>
            <w:hideMark/>
          </w:tcPr>
          <w:p w14:paraId="3CFCEAB9" w14:textId="77777777" w:rsidR="000400C8" w:rsidRPr="00AE4E8D" w:rsidRDefault="000400C8" w:rsidP="00AF1863">
            <w:pPr>
              <w:rPr>
                <w:rFonts w:ascii="Times New Roman" w:hAnsi="Times New Roman"/>
                <w:color w:val="000000"/>
                <w:sz w:val="12"/>
                <w:szCs w:val="12"/>
                <w:lang w:val="es-ES"/>
              </w:rPr>
            </w:pPr>
            <w:r w:rsidRPr="00AE4E8D">
              <w:rPr>
                <w:rFonts w:ascii="Times New Roman" w:hAnsi="Times New Roman"/>
                <w:color w:val="000000"/>
                <w:sz w:val="12"/>
                <w:szCs w:val="12"/>
                <w:lang w:val="es-ES"/>
              </w:rPr>
              <w:t xml:space="preserve">Total Préstamos </w:t>
            </w:r>
          </w:p>
        </w:tc>
        <w:tc>
          <w:tcPr>
            <w:tcW w:w="460" w:type="pct"/>
            <w:tcBorders>
              <w:top w:val="nil"/>
              <w:left w:val="nil"/>
              <w:bottom w:val="nil"/>
              <w:right w:val="nil"/>
            </w:tcBorders>
            <w:shd w:val="clear" w:color="auto" w:fill="auto"/>
            <w:noWrap/>
            <w:vAlign w:val="center"/>
            <w:hideMark/>
          </w:tcPr>
          <w:p w14:paraId="4DC582EA"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17.357.847</w:t>
            </w:r>
          </w:p>
        </w:tc>
        <w:tc>
          <w:tcPr>
            <w:tcW w:w="143" w:type="pct"/>
            <w:tcBorders>
              <w:top w:val="nil"/>
              <w:left w:val="nil"/>
              <w:bottom w:val="nil"/>
              <w:right w:val="nil"/>
            </w:tcBorders>
            <w:shd w:val="clear" w:color="auto" w:fill="auto"/>
            <w:noWrap/>
            <w:vAlign w:val="center"/>
            <w:hideMark/>
          </w:tcPr>
          <w:p w14:paraId="2D3C1E54" w14:textId="77777777" w:rsidR="000400C8" w:rsidRPr="00AE4E8D" w:rsidRDefault="000400C8" w:rsidP="00AF1863">
            <w:pPr>
              <w:jc w:val="right"/>
              <w:rPr>
                <w:rFonts w:ascii="Times New Roman" w:hAnsi="Times New Roman"/>
                <w:color w:val="000000"/>
                <w:sz w:val="12"/>
                <w:szCs w:val="12"/>
                <w:lang w:val="es-ES"/>
              </w:rPr>
            </w:pPr>
          </w:p>
        </w:tc>
        <w:tc>
          <w:tcPr>
            <w:tcW w:w="481" w:type="pct"/>
            <w:tcBorders>
              <w:top w:val="nil"/>
              <w:left w:val="nil"/>
              <w:bottom w:val="nil"/>
              <w:right w:val="nil"/>
            </w:tcBorders>
            <w:shd w:val="clear" w:color="auto" w:fill="auto"/>
            <w:noWrap/>
            <w:vAlign w:val="center"/>
            <w:hideMark/>
          </w:tcPr>
          <w:p w14:paraId="766455C1"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20.510.970</w:t>
            </w:r>
          </w:p>
        </w:tc>
        <w:tc>
          <w:tcPr>
            <w:tcW w:w="142" w:type="pct"/>
            <w:tcBorders>
              <w:top w:val="nil"/>
              <w:left w:val="nil"/>
              <w:bottom w:val="nil"/>
              <w:right w:val="nil"/>
            </w:tcBorders>
            <w:shd w:val="clear" w:color="auto" w:fill="auto"/>
            <w:noWrap/>
            <w:vAlign w:val="center"/>
            <w:hideMark/>
          </w:tcPr>
          <w:p w14:paraId="023AB3C5" w14:textId="77777777" w:rsidR="000400C8" w:rsidRPr="00AE4E8D" w:rsidRDefault="000400C8" w:rsidP="00AF1863">
            <w:pPr>
              <w:jc w:val="right"/>
              <w:rPr>
                <w:rFonts w:ascii="Times New Roman" w:hAnsi="Times New Roman"/>
                <w:color w:val="000000"/>
                <w:sz w:val="12"/>
                <w:szCs w:val="12"/>
                <w:lang w:val="es-ES"/>
              </w:rPr>
            </w:pPr>
          </w:p>
        </w:tc>
        <w:tc>
          <w:tcPr>
            <w:tcW w:w="517" w:type="pct"/>
            <w:gridSpan w:val="2"/>
            <w:tcBorders>
              <w:top w:val="single" w:sz="8" w:space="0" w:color="auto"/>
              <w:left w:val="nil"/>
              <w:bottom w:val="nil"/>
              <w:right w:val="nil"/>
            </w:tcBorders>
            <w:shd w:val="clear" w:color="auto" w:fill="auto"/>
            <w:vAlign w:val="center"/>
            <w:hideMark/>
          </w:tcPr>
          <w:p w14:paraId="210F3A5A"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27.330.443</w:t>
            </w:r>
          </w:p>
        </w:tc>
        <w:tc>
          <w:tcPr>
            <w:tcW w:w="142" w:type="pct"/>
            <w:tcBorders>
              <w:top w:val="nil"/>
              <w:left w:val="nil"/>
              <w:bottom w:val="nil"/>
              <w:right w:val="nil"/>
            </w:tcBorders>
            <w:shd w:val="clear" w:color="auto" w:fill="auto"/>
            <w:vAlign w:val="center"/>
            <w:hideMark/>
          </w:tcPr>
          <w:p w14:paraId="603E417F" w14:textId="77777777" w:rsidR="000400C8" w:rsidRPr="00AE4E8D" w:rsidRDefault="000400C8" w:rsidP="00AF1863">
            <w:pPr>
              <w:jc w:val="right"/>
              <w:rPr>
                <w:rFonts w:ascii="Times New Roman" w:hAnsi="Times New Roman"/>
                <w:color w:val="000000"/>
                <w:sz w:val="12"/>
                <w:szCs w:val="12"/>
                <w:lang w:val="es-ES"/>
              </w:rPr>
            </w:pPr>
          </w:p>
        </w:tc>
        <w:tc>
          <w:tcPr>
            <w:tcW w:w="411" w:type="pct"/>
            <w:tcBorders>
              <w:top w:val="nil"/>
              <w:left w:val="nil"/>
              <w:bottom w:val="nil"/>
              <w:right w:val="nil"/>
            </w:tcBorders>
            <w:shd w:val="clear" w:color="auto" w:fill="auto"/>
            <w:vAlign w:val="center"/>
            <w:hideMark/>
          </w:tcPr>
          <w:p w14:paraId="4F639BD3"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1.724.296</w:t>
            </w:r>
          </w:p>
        </w:tc>
        <w:tc>
          <w:tcPr>
            <w:tcW w:w="167" w:type="pct"/>
            <w:tcBorders>
              <w:top w:val="nil"/>
              <w:left w:val="nil"/>
              <w:bottom w:val="nil"/>
              <w:right w:val="nil"/>
            </w:tcBorders>
            <w:shd w:val="clear" w:color="auto" w:fill="auto"/>
            <w:vAlign w:val="center"/>
            <w:hideMark/>
          </w:tcPr>
          <w:p w14:paraId="3B5DBCB4" w14:textId="77777777" w:rsidR="000400C8" w:rsidRPr="00AE4E8D" w:rsidRDefault="000400C8" w:rsidP="00AF1863">
            <w:pPr>
              <w:jc w:val="right"/>
              <w:rPr>
                <w:rFonts w:ascii="Times New Roman" w:hAnsi="Times New Roman"/>
                <w:color w:val="000000"/>
                <w:sz w:val="12"/>
                <w:szCs w:val="12"/>
                <w:lang w:val="es-ES"/>
              </w:rPr>
            </w:pPr>
          </w:p>
        </w:tc>
        <w:tc>
          <w:tcPr>
            <w:tcW w:w="512" w:type="pct"/>
            <w:tcBorders>
              <w:top w:val="nil"/>
              <w:left w:val="nil"/>
              <w:bottom w:val="nil"/>
              <w:right w:val="nil"/>
            </w:tcBorders>
            <w:shd w:val="clear" w:color="auto" w:fill="auto"/>
            <w:vAlign w:val="center"/>
          </w:tcPr>
          <w:p w14:paraId="161D1112"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31.339.193</w:t>
            </w:r>
          </w:p>
        </w:tc>
        <w:tc>
          <w:tcPr>
            <w:tcW w:w="172" w:type="pct"/>
            <w:tcBorders>
              <w:top w:val="nil"/>
              <w:left w:val="nil"/>
              <w:bottom w:val="nil"/>
              <w:right w:val="nil"/>
            </w:tcBorders>
            <w:shd w:val="clear" w:color="auto" w:fill="auto"/>
            <w:vAlign w:val="center"/>
          </w:tcPr>
          <w:p w14:paraId="7424A48C" w14:textId="77777777" w:rsidR="000400C8" w:rsidRPr="00AE4E8D" w:rsidRDefault="000400C8" w:rsidP="00AF1863">
            <w:pPr>
              <w:jc w:val="center"/>
              <w:rPr>
                <w:rFonts w:ascii="Times New Roman" w:hAnsi="Times New Roman"/>
                <w:color w:val="000000"/>
                <w:sz w:val="12"/>
                <w:szCs w:val="12"/>
                <w:lang w:val="es-ES"/>
              </w:rPr>
            </w:pPr>
          </w:p>
        </w:tc>
        <w:tc>
          <w:tcPr>
            <w:tcW w:w="507" w:type="pct"/>
            <w:tcBorders>
              <w:top w:val="nil"/>
              <w:left w:val="nil"/>
              <w:bottom w:val="nil"/>
              <w:right w:val="nil"/>
            </w:tcBorders>
            <w:shd w:val="clear" w:color="auto" w:fill="auto"/>
            <w:vAlign w:val="center"/>
          </w:tcPr>
          <w:p w14:paraId="3CC973DD" w14:textId="77777777" w:rsidR="000400C8" w:rsidRPr="00AE4E8D" w:rsidRDefault="000400C8" w:rsidP="00AF1863">
            <w:pPr>
              <w:jc w:val="right"/>
              <w:rPr>
                <w:rFonts w:ascii="Times New Roman" w:hAnsi="Times New Roman"/>
                <w:color w:val="000000"/>
                <w:sz w:val="12"/>
                <w:szCs w:val="12"/>
                <w:lang w:val="es-ES"/>
              </w:rPr>
            </w:pPr>
            <w:r w:rsidRPr="00AE4E8D">
              <w:rPr>
                <w:rFonts w:ascii="Times New Roman" w:hAnsi="Times New Roman"/>
                <w:color w:val="000000"/>
                <w:sz w:val="12"/>
                <w:szCs w:val="12"/>
                <w:lang w:val="es-ES"/>
              </w:rPr>
              <w:t>1.888.074</w:t>
            </w:r>
          </w:p>
        </w:tc>
      </w:tr>
    </w:tbl>
    <w:p w14:paraId="0DCC8A21" w14:textId="77777777" w:rsidR="00AF1863" w:rsidRPr="00AE4E8D" w:rsidRDefault="00AF1863" w:rsidP="001E63A8">
      <w:pPr>
        <w:tabs>
          <w:tab w:val="left" w:pos="851"/>
        </w:tabs>
        <w:autoSpaceDE w:val="0"/>
        <w:autoSpaceDN w:val="0"/>
        <w:adjustRightInd w:val="0"/>
        <w:spacing w:before="120"/>
        <w:ind w:left="851" w:hanging="284"/>
        <w:jc w:val="both"/>
        <w:rPr>
          <w:rFonts w:ascii="Times New Roman" w:hAnsi="Times New Roman"/>
          <w:sz w:val="16"/>
          <w:szCs w:val="16"/>
          <w:lang w:val="es-ES" w:eastAsia="es-AR"/>
        </w:rPr>
      </w:pPr>
      <w:r w:rsidRPr="00AE4E8D">
        <w:rPr>
          <w:rFonts w:ascii="Times New Roman" w:hAnsi="Times New Roman"/>
          <w:sz w:val="16"/>
          <w:szCs w:val="16"/>
          <w:lang w:val="es-ES" w:eastAsia="es-AR"/>
        </w:rPr>
        <w:t>(1)</w:t>
      </w:r>
      <w:r w:rsidRPr="00AE4E8D">
        <w:rPr>
          <w:rFonts w:ascii="Times New Roman" w:hAnsi="Times New Roman"/>
          <w:sz w:val="16"/>
          <w:szCs w:val="16"/>
          <w:vertAlign w:val="superscript"/>
          <w:lang w:val="es-ES" w:eastAsia="es-AR"/>
        </w:rPr>
        <w:t xml:space="preserve"> </w:t>
      </w:r>
      <w:r w:rsidRPr="00AE4E8D">
        <w:rPr>
          <w:rFonts w:ascii="Times New Roman" w:hAnsi="Times New Roman"/>
          <w:sz w:val="16"/>
          <w:szCs w:val="16"/>
          <w:vertAlign w:val="superscript"/>
          <w:lang w:val="es-ES" w:eastAsia="es-AR"/>
        </w:rPr>
        <w:tab/>
      </w:r>
      <w:r w:rsidRPr="00AE4E8D">
        <w:rPr>
          <w:rFonts w:ascii="Times New Roman" w:hAnsi="Times New Roman"/>
          <w:sz w:val="16"/>
          <w:szCs w:val="16"/>
          <w:lang w:val="es-ES" w:eastAsia="es-AR"/>
        </w:rPr>
        <w:t>El tipo de cambio utilizado a los fines de la conversión de los saldos al 31 de diciembre de 2016 y al 30 de junio de 2017 fue Ps.15</w:t>
      </w:r>
      <w:proofErr w:type="gramStart"/>
      <w:r w:rsidRPr="00AE4E8D">
        <w:rPr>
          <w:rFonts w:ascii="Times New Roman" w:hAnsi="Times New Roman"/>
          <w:sz w:val="16"/>
          <w:szCs w:val="16"/>
          <w:lang w:val="es-ES" w:eastAsia="es-AR"/>
        </w:rPr>
        <w:t>,8502</w:t>
      </w:r>
      <w:proofErr w:type="gramEnd"/>
      <w:r w:rsidRPr="00AE4E8D">
        <w:rPr>
          <w:rFonts w:ascii="Times New Roman" w:hAnsi="Times New Roman"/>
          <w:sz w:val="16"/>
          <w:szCs w:val="16"/>
          <w:lang w:val="es-ES" w:eastAsia="es-AR"/>
        </w:rPr>
        <w:t xml:space="preserve"> = US$1,00 y Ps.16,5985 = US$1,00, respectivamente.</w:t>
      </w:r>
      <w:r w:rsidRPr="00AE4E8D">
        <w:rPr>
          <w:rStyle w:val="Refdenotaalpie"/>
          <w:rFonts w:ascii="Times New Roman" w:hAnsi="Times New Roman"/>
          <w:sz w:val="16"/>
          <w:szCs w:val="16"/>
          <w:lang w:val="es-ES" w:eastAsia="es-AR"/>
        </w:rPr>
        <w:footnoteReference w:id="2"/>
      </w:r>
      <w:r w:rsidRPr="00AE4E8D">
        <w:rPr>
          <w:rFonts w:ascii="Times New Roman" w:hAnsi="Times New Roman"/>
          <w:sz w:val="16"/>
          <w:szCs w:val="16"/>
          <w:lang w:val="es-ES" w:eastAsia="es-AR"/>
        </w:rPr>
        <w:t xml:space="preserve"> </w:t>
      </w:r>
    </w:p>
    <w:p w14:paraId="7ADBCD4E" w14:textId="77777777" w:rsidR="00AF1863" w:rsidRPr="00AE4E8D" w:rsidRDefault="00AF1863" w:rsidP="00AF1863">
      <w:pPr>
        <w:tabs>
          <w:tab w:val="left" w:pos="851"/>
        </w:tabs>
        <w:autoSpaceDE w:val="0"/>
        <w:autoSpaceDN w:val="0"/>
        <w:adjustRightInd w:val="0"/>
        <w:ind w:left="851" w:hanging="284"/>
        <w:jc w:val="both"/>
        <w:rPr>
          <w:rFonts w:ascii="Times New Roman" w:hAnsi="Times New Roman"/>
          <w:sz w:val="16"/>
          <w:szCs w:val="16"/>
          <w:lang w:val="es-ES"/>
        </w:rPr>
      </w:pPr>
      <w:r w:rsidRPr="00AE4E8D">
        <w:rPr>
          <w:rFonts w:ascii="Times New Roman" w:hAnsi="Times New Roman"/>
          <w:sz w:val="16"/>
          <w:szCs w:val="16"/>
          <w:lang w:val="es-ES"/>
        </w:rPr>
        <w:t>(2)</w:t>
      </w:r>
      <w:r w:rsidRPr="00AE4E8D">
        <w:rPr>
          <w:rFonts w:ascii="Times New Roman" w:hAnsi="Times New Roman"/>
          <w:sz w:val="16"/>
          <w:szCs w:val="16"/>
          <w:vertAlign w:val="superscript"/>
          <w:lang w:val="es-ES"/>
        </w:rPr>
        <w:t xml:space="preserve"> </w:t>
      </w:r>
      <w:r w:rsidRPr="00AE4E8D">
        <w:rPr>
          <w:rFonts w:ascii="Times New Roman" w:hAnsi="Times New Roman"/>
          <w:sz w:val="16"/>
          <w:szCs w:val="16"/>
          <w:vertAlign w:val="superscript"/>
          <w:lang w:val="es-ES"/>
        </w:rPr>
        <w:tab/>
      </w:r>
      <w:r w:rsidRPr="00AE4E8D">
        <w:rPr>
          <w:rFonts w:ascii="Times New Roman" w:hAnsi="Times New Roman"/>
          <w:sz w:val="16"/>
          <w:szCs w:val="16"/>
          <w:lang w:val="es-ES"/>
        </w:rPr>
        <w:t>Para una mejor exposición de la situación del Banco, los Préstamos pendientes de titulización y los créditos por arrendamientos financieros, junto con sus intereses devengados a cobrar y previsiones se exponen en forma separada. Debido a esta exposición los rubros “Préstamos” y “Otros Créditos por Intermediación Financiera”, difieren de los estados contables consolidados.</w:t>
      </w:r>
    </w:p>
    <w:p w14:paraId="5D6027D0" w14:textId="77777777" w:rsidR="00CB5660" w:rsidRPr="00AE4E8D" w:rsidRDefault="00CB5660" w:rsidP="00970093">
      <w:pPr>
        <w:pStyle w:val="BH3Izquierda"/>
        <w:rPr>
          <w:lang w:val="es-ES"/>
        </w:rPr>
      </w:pPr>
      <w:r w:rsidRPr="00AE4E8D">
        <w:rPr>
          <w:lang w:val="es-ES"/>
        </w:rPr>
        <w:t>Préstamos al Consumo (Préstamos Personales y Tarjetas de Crédito)</w:t>
      </w:r>
      <w:bookmarkEnd w:id="177"/>
    </w:p>
    <w:p w14:paraId="4CE447C7" w14:textId="77777777" w:rsidR="00CB5660" w:rsidRPr="00AE4E8D" w:rsidRDefault="00CB5660" w:rsidP="00970093">
      <w:pPr>
        <w:pStyle w:val="BHTexto"/>
        <w:rPr>
          <w:lang w:val="es-ES"/>
        </w:rPr>
      </w:pPr>
      <w:r w:rsidRPr="00AE4E8D">
        <w:rPr>
          <w:lang w:val="es-ES"/>
        </w:rPr>
        <w:t xml:space="preserve">Durante los últimos años </w:t>
      </w:r>
      <w:r w:rsidR="00140F21" w:rsidRPr="00AE4E8D">
        <w:rPr>
          <w:lang w:val="es-ES"/>
        </w:rPr>
        <w:t>continuamos realizando</w:t>
      </w:r>
      <w:r w:rsidRPr="00AE4E8D">
        <w:rPr>
          <w:lang w:val="es-ES"/>
        </w:rPr>
        <w:t xml:space="preserve"> un esfuerzo importante en la implementación de una nueva estrategia de negocios orientado a la banca universal. </w:t>
      </w:r>
      <w:r w:rsidR="00140F21" w:rsidRPr="00AE4E8D">
        <w:rPr>
          <w:lang w:val="es-ES"/>
        </w:rPr>
        <w:t>H</w:t>
      </w:r>
      <w:r w:rsidRPr="00AE4E8D">
        <w:rPr>
          <w:lang w:val="es-ES"/>
        </w:rPr>
        <w:t>emos logrado avances significativos en nuestra meta de reconvertirnos al negocio minorista, lanzando productos, adaptando sistemas y procesos y fortaleciendo su posicionamiento en el mercado. Buscamos segmentar no sólo por nivel socioeconómico, sino mediante la clasificación por hábitos de consumo o grupos de afinidad, para adecuar constantemente los productos ofrecidos a las necesidades de nuestros clientes.</w:t>
      </w:r>
    </w:p>
    <w:p w14:paraId="6CA288BD" w14:textId="77777777" w:rsidR="003242E3" w:rsidRPr="00AE4E8D" w:rsidRDefault="00CB5660" w:rsidP="003242E3">
      <w:pPr>
        <w:pStyle w:val="BHTexto"/>
        <w:rPr>
          <w:lang w:val="es-ES"/>
        </w:rPr>
      </w:pPr>
      <w:r w:rsidRPr="00AE4E8D">
        <w:rPr>
          <w:lang w:val="es-ES"/>
        </w:rPr>
        <w:t xml:space="preserve">Ofrecemos préstamos personales, a través de nuestras sucursales y canales de venta alternativos, a tasa fija por hasta </w:t>
      </w:r>
      <w:r w:rsidR="00DB06CA" w:rsidRPr="00AE4E8D">
        <w:rPr>
          <w:lang w:val="es-ES"/>
        </w:rPr>
        <w:t>80</w:t>
      </w:r>
      <w:r w:rsidRPr="00AE4E8D">
        <w:rPr>
          <w:lang w:val="es-ES"/>
        </w:rPr>
        <w:t xml:space="preserve"> meses y por un monto máximo que generalmente no excede al menor entre (i) equivalente a los ingresos de ocho meses del solicitante y (ii) Ps.</w:t>
      </w:r>
      <w:r w:rsidR="00086BCE" w:rsidRPr="00AE4E8D">
        <w:rPr>
          <w:lang w:val="es-ES"/>
        </w:rPr>
        <w:t>500</w:t>
      </w:r>
      <w:r w:rsidRPr="00AE4E8D">
        <w:rPr>
          <w:lang w:val="es-ES"/>
        </w:rPr>
        <w:t xml:space="preserve">.000. </w:t>
      </w:r>
      <w:r w:rsidR="003242E3" w:rsidRPr="00AE4E8D">
        <w:rPr>
          <w:lang w:val="es-ES"/>
        </w:rPr>
        <w:t>Nuestros saldos de préstamos personales al 31 de diciembre de 2014, 2015, 2016 y al 3</w:t>
      </w:r>
      <w:r w:rsidR="00140F21" w:rsidRPr="00AE4E8D">
        <w:rPr>
          <w:lang w:val="es-ES"/>
        </w:rPr>
        <w:t>0</w:t>
      </w:r>
      <w:r w:rsidR="003242E3" w:rsidRPr="00AE4E8D">
        <w:rPr>
          <w:lang w:val="es-ES"/>
        </w:rPr>
        <w:t xml:space="preserve"> de </w:t>
      </w:r>
      <w:r w:rsidR="00140F21" w:rsidRPr="00AE4E8D">
        <w:rPr>
          <w:lang w:val="es-ES"/>
        </w:rPr>
        <w:t>junio</w:t>
      </w:r>
      <w:r w:rsidR="003242E3" w:rsidRPr="00AE4E8D">
        <w:rPr>
          <w:lang w:val="es-ES"/>
        </w:rPr>
        <w:t xml:space="preserve"> de 2017 era de Ps.2.354,8 millones, Ps.2.970,5</w:t>
      </w:r>
      <w:r w:rsidR="003242E3" w:rsidRPr="00AE4E8D">
        <w:rPr>
          <w:sz w:val="16"/>
          <w:lang w:val="es-ES"/>
        </w:rPr>
        <w:t xml:space="preserve"> </w:t>
      </w:r>
      <w:r w:rsidR="003242E3" w:rsidRPr="00AE4E8D">
        <w:rPr>
          <w:lang w:val="es-ES"/>
        </w:rPr>
        <w:t>millones, Ps.4.611,1</w:t>
      </w:r>
      <w:r w:rsidR="00AE7B2C" w:rsidRPr="00AE4E8D">
        <w:rPr>
          <w:lang w:val="es-ES"/>
        </w:rPr>
        <w:t xml:space="preserve"> millones</w:t>
      </w:r>
      <w:r w:rsidR="003242E3" w:rsidRPr="00AE4E8D">
        <w:rPr>
          <w:lang w:val="es-ES"/>
        </w:rPr>
        <w:t xml:space="preserve"> y</w:t>
      </w:r>
      <w:r w:rsidR="003242E3" w:rsidRPr="00AE4E8D">
        <w:rPr>
          <w:color w:val="FF0000"/>
          <w:lang w:val="es-ES"/>
        </w:rPr>
        <w:t xml:space="preserve"> </w:t>
      </w:r>
      <w:r w:rsidR="003242E3" w:rsidRPr="00AE4E8D">
        <w:rPr>
          <w:lang w:val="es-ES"/>
        </w:rPr>
        <w:t>Ps.5</w:t>
      </w:r>
      <w:r w:rsidR="00696C84" w:rsidRPr="00AE4E8D">
        <w:rPr>
          <w:lang w:val="es-ES"/>
        </w:rPr>
        <w:t>.784,1</w:t>
      </w:r>
      <w:r w:rsidR="003242E3" w:rsidRPr="00AE4E8D">
        <w:rPr>
          <w:lang w:val="es-ES"/>
        </w:rPr>
        <w:t xml:space="preserve"> millones de préstamos personales, respectivamente.</w:t>
      </w:r>
      <w:r w:rsidR="007E62A3" w:rsidRPr="00AE4E8D">
        <w:rPr>
          <w:lang w:val="es-ES"/>
        </w:rPr>
        <w:t xml:space="preserve"> </w:t>
      </w:r>
    </w:p>
    <w:p w14:paraId="3264A6A2" w14:textId="77777777" w:rsidR="00CB5660" w:rsidRPr="00AE4E8D" w:rsidRDefault="00CB5660" w:rsidP="00970093">
      <w:pPr>
        <w:pStyle w:val="BHTexto"/>
        <w:rPr>
          <w:lang w:val="es-ES"/>
        </w:rPr>
      </w:pPr>
      <w:r w:rsidRPr="00AE4E8D">
        <w:rPr>
          <w:lang w:val="es-ES"/>
        </w:rPr>
        <w:t xml:space="preserve">Con respecto a la comercialización de tarjetas de crédito, </w:t>
      </w:r>
      <w:r w:rsidR="00140F21" w:rsidRPr="00AE4E8D">
        <w:rPr>
          <w:lang w:val="es-ES"/>
        </w:rPr>
        <w:t>continuamos</w:t>
      </w:r>
      <w:r w:rsidR="00464F19" w:rsidRPr="00AE4E8D">
        <w:rPr>
          <w:lang w:val="es-ES"/>
        </w:rPr>
        <w:t xml:space="preserve"> emitiendo tarjetas de crédito Visa e</w:t>
      </w:r>
      <w:r w:rsidR="00140F21" w:rsidRPr="00AE4E8D">
        <w:rPr>
          <w:lang w:val="es-ES"/>
        </w:rPr>
        <w:t xml:space="preserve"> implementando</w:t>
      </w:r>
      <w:r w:rsidRPr="00AE4E8D">
        <w:rPr>
          <w:lang w:val="es-ES"/>
        </w:rPr>
        <w:t xml:space="preserve"> beneficios temporales por rubros y por productos, alianzas con distintos minoristas de renombre en el mercado, como así también acuerdos de marcas compartidas “</w:t>
      </w:r>
      <w:r w:rsidRPr="00AE4E8D">
        <w:rPr>
          <w:i/>
          <w:lang w:val="es-ES"/>
        </w:rPr>
        <w:t>cobranding</w:t>
      </w:r>
      <w:r w:rsidRPr="00AE4E8D">
        <w:rPr>
          <w:lang w:val="es-ES"/>
        </w:rPr>
        <w:t>” (Hipermercados Libertad desde 2007 y con Aerolíneas Argentinas desde 2012). Mediante estas acciones se procuró una mayor fidelización y permanencia del cliente, posibilitando la obtención de mayores ingresos en concepto de comisiones.</w:t>
      </w:r>
    </w:p>
    <w:p w14:paraId="5A5964F3" w14:textId="77777777" w:rsidR="003242E3" w:rsidRPr="00AE4E8D" w:rsidRDefault="003242E3" w:rsidP="003242E3">
      <w:pPr>
        <w:pStyle w:val="BHTexto"/>
        <w:rPr>
          <w:lang w:val="es-ES"/>
        </w:rPr>
      </w:pPr>
      <w:r w:rsidRPr="00AE4E8D">
        <w:rPr>
          <w:lang w:val="es-ES"/>
        </w:rPr>
        <w:t>Como resultado de lo mencionado y la adquisición del 80% de Tarshop, los saldos de tarjeta de crédito aumentaron de Ps.7.155,3 millones al 31 de diciembre de 2014, a Ps.9.903,4 millones al 31 de diciembre de 2015, Ps.12.663,4 millones al 31 de diciembre de 2016 y Ps.1</w:t>
      </w:r>
      <w:r w:rsidR="00140F21" w:rsidRPr="00AE4E8D">
        <w:rPr>
          <w:lang w:val="es-ES"/>
        </w:rPr>
        <w:t>3.178,3</w:t>
      </w:r>
      <w:r w:rsidR="00EB3492" w:rsidRPr="00AE4E8D">
        <w:rPr>
          <w:lang w:val="es-ES"/>
        </w:rPr>
        <w:t xml:space="preserve"> </w:t>
      </w:r>
      <w:r w:rsidRPr="00AE4E8D">
        <w:rPr>
          <w:lang w:val="es-ES"/>
        </w:rPr>
        <w:t>millones al 3</w:t>
      </w:r>
      <w:r w:rsidR="00140F21" w:rsidRPr="00AE4E8D">
        <w:rPr>
          <w:lang w:val="es-ES"/>
        </w:rPr>
        <w:t>0</w:t>
      </w:r>
      <w:r w:rsidRPr="00AE4E8D">
        <w:rPr>
          <w:lang w:val="es-ES"/>
        </w:rPr>
        <w:t xml:space="preserve"> de </w:t>
      </w:r>
      <w:r w:rsidR="00140F21" w:rsidRPr="00AE4E8D">
        <w:rPr>
          <w:lang w:val="es-ES"/>
        </w:rPr>
        <w:t>junio</w:t>
      </w:r>
      <w:r w:rsidRPr="00AE4E8D">
        <w:rPr>
          <w:lang w:val="es-ES"/>
        </w:rPr>
        <w:t xml:space="preserve"> de 2017.</w:t>
      </w:r>
      <w:r w:rsidR="007E62A3" w:rsidRPr="00AE4E8D">
        <w:rPr>
          <w:b/>
          <w:lang w:val="es-ES"/>
        </w:rPr>
        <w:t xml:space="preserve"> </w:t>
      </w:r>
    </w:p>
    <w:p w14:paraId="32829EC9" w14:textId="77777777" w:rsidR="00CB5660" w:rsidRPr="00AE4E8D" w:rsidRDefault="00CB5660" w:rsidP="00C9636E">
      <w:pPr>
        <w:pStyle w:val="BHTexto"/>
        <w:rPr>
          <w:lang w:val="es-ES"/>
        </w:rPr>
      </w:pPr>
      <w:r w:rsidRPr="00AE4E8D">
        <w:rPr>
          <w:lang w:val="es-ES"/>
        </w:rPr>
        <w:t xml:space="preserve">Al </w:t>
      </w:r>
      <w:r w:rsidR="001E7645" w:rsidRPr="00AE4E8D">
        <w:rPr>
          <w:lang w:val="es-ES"/>
        </w:rPr>
        <w:t>3</w:t>
      </w:r>
      <w:r w:rsidR="00140F21" w:rsidRPr="00AE4E8D">
        <w:rPr>
          <w:lang w:val="es-ES"/>
        </w:rPr>
        <w:t>0</w:t>
      </w:r>
      <w:r w:rsidR="001E7645" w:rsidRPr="00AE4E8D">
        <w:rPr>
          <w:lang w:val="es-ES"/>
        </w:rPr>
        <w:t xml:space="preserve"> de </w:t>
      </w:r>
      <w:r w:rsidR="00140F21" w:rsidRPr="00AE4E8D">
        <w:rPr>
          <w:lang w:val="es-ES"/>
        </w:rPr>
        <w:t>junio</w:t>
      </w:r>
      <w:r w:rsidRPr="00AE4E8D">
        <w:rPr>
          <w:lang w:val="es-ES"/>
        </w:rPr>
        <w:t xml:space="preserve"> de 201</w:t>
      </w:r>
      <w:r w:rsidR="00EC0DE2" w:rsidRPr="00AE4E8D">
        <w:rPr>
          <w:lang w:val="es-ES"/>
        </w:rPr>
        <w:t>7</w:t>
      </w:r>
      <w:r w:rsidRPr="00AE4E8D">
        <w:rPr>
          <w:lang w:val="es-ES"/>
        </w:rPr>
        <w:t xml:space="preserve">, nuestros préstamos al consumo representaban un </w:t>
      </w:r>
      <w:r w:rsidR="00140F21" w:rsidRPr="00AE4E8D">
        <w:rPr>
          <w:lang w:val="es-ES"/>
        </w:rPr>
        <w:t>65,9</w:t>
      </w:r>
      <w:r w:rsidRPr="00AE4E8D">
        <w:rPr>
          <w:lang w:val="es-ES"/>
        </w:rPr>
        <w:t xml:space="preserve">% de nuestros préstamos totales, contabilizando un </w:t>
      </w:r>
      <w:r w:rsidR="003D7DB0" w:rsidRPr="00AE4E8D">
        <w:rPr>
          <w:lang w:val="es-ES"/>
        </w:rPr>
        <w:t>6</w:t>
      </w:r>
      <w:r w:rsidR="00140F21" w:rsidRPr="00AE4E8D">
        <w:rPr>
          <w:lang w:val="es-ES"/>
        </w:rPr>
        <w:t>7,3</w:t>
      </w:r>
      <w:r w:rsidRPr="00AE4E8D">
        <w:rPr>
          <w:lang w:val="es-ES"/>
        </w:rPr>
        <w:t xml:space="preserve">% de nuestros ingresos en nuestros estados contables consolidados. Asimismo, al </w:t>
      </w:r>
      <w:r w:rsidR="001E7645" w:rsidRPr="00AE4E8D">
        <w:rPr>
          <w:lang w:val="es-ES"/>
        </w:rPr>
        <w:t>3</w:t>
      </w:r>
      <w:r w:rsidR="00140F21" w:rsidRPr="00AE4E8D">
        <w:rPr>
          <w:lang w:val="es-ES"/>
        </w:rPr>
        <w:t>0</w:t>
      </w:r>
      <w:r w:rsidR="001E7645" w:rsidRPr="00AE4E8D">
        <w:rPr>
          <w:lang w:val="es-ES"/>
        </w:rPr>
        <w:t xml:space="preserve"> de </w:t>
      </w:r>
      <w:r w:rsidR="00140F21" w:rsidRPr="00AE4E8D">
        <w:rPr>
          <w:lang w:val="es-ES"/>
        </w:rPr>
        <w:t>junio</w:t>
      </w:r>
      <w:r w:rsidR="00BF55E6" w:rsidRPr="00AE4E8D">
        <w:rPr>
          <w:lang w:val="es-ES"/>
        </w:rPr>
        <w:t xml:space="preserve"> </w:t>
      </w:r>
      <w:r w:rsidRPr="00AE4E8D">
        <w:rPr>
          <w:lang w:val="es-ES"/>
        </w:rPr>
        <w:t>de 201</w:t>
      </w:r>
      <w:r w:rsidR="00EC0DE2" w:rsidRPr="00AE4E8D">
        <w:rPr>
          <w:lang w:val="es-ES"/>
        </w:rPr>
        <w:t>7</w:t>
      </w:r>
      <w:r w:rsidRPr="00AE4E8D">
        <w:rPr>
          <w:lang w:val="es-ES"/>
        </w:rPr>
        <w:t xml:space="preserve">, </w:t>
      </w:r>
      <w:r w:rsidR="003242E3" w:rsidRPr="00AE4E8D">
        <w:rPr>
          <w:lang w:val="es-ES"/>
        </w:rPr>
        <w:t>4,</w:t>
      </w:r>
      <w:r w:rsidR="00140F21" w:rsidRPr="00AE4E8D">
        <w:rPr>
          <w:lang w:val="es-ES"/>
        </w:rPr>
        <w:t>4</w:t>
      </w:r>
      <w:r w:rsidRPr="00AE4E8D">
        <w:rPr>
          <w:lang w:val="es-ES"/>
        </w:rPr>
        <w:t xml:space="preserve">% de los </w:t>
      </w:r>
      <w:r w:rsidRPr="00AE4E8D">
        <w:rPr>
          <w:rStyle w:val="hps"/>
          <w:lang w:val="es-ES"/>
        </w:rPr>
        <w:t>préstamos de consumo</w:t>
      </w:r>
      <w:r w:rsidRPr="00AE4E8D">
        <w:rPr>
          <w:lang w:val="es-ES"/>
        </w:rPr>
        <w:t xml:space="preserve"> </w:t>
      </w:r>
      <w:r w:rsidRPr="00AE4E8D">
        <w:rPr>
          <w:rStyle w:val="hps"/>
          <w:lang w:val="es-ES"/>
        </w:rPr>
        <w:t>eran</w:t>
      </w:r>
      <w:r w:rsidRPr="00AE4E8D">
        <w:rPr>
          <w:lang w:val="es-ES"/>
        </w:rPr>
        <w:t xml:space="preserve"> </w:t>
      </w:r>
      <w:r w:rsidRPr="00AE4E8D">
        <w:rPr>
          <w:rStyle w:val="hps"/>
          <w:lang w:val="es-ES"/>
        </w:rPr>
        <w:t>morosos</w:t>
      </w:r>
      <w:r w:rsidRPr="00AE4E8D">
        <w:rPr>
          <w:lang w:val="es-ES"/>
        </w:rPr>
        <w:t xml:space="preserve">, lo que representa </w:t>
      </w:r>
      <w:r w:rsidR="00BF55E6" w:rsidRPr="00AE4E8D">
        <w:rPr>
          <w:lang w:val="es-ES"/>
        </w:rPr>
        <w:t>99,</w:t>
      </w:r>
      <w:r w:rsidR="000F3C8E" w:rsidRPr="00AE4E8D">
        <w:rPr>
          <w:lang w:val="es-ES"/>
        </w:rPr>
        <w:t>1</w:t>
      </w:r>
      <w:r w:rsidRPr="00AE4E8D">
        <w:rPr>
          <w:lang w:val="es-ES"/>
        </w:rPr>
        <w:t xml:space="preserve">% de nuestros </w:t>
      </w:r>
      <w:r w:rsidRPr="00AE4E8D">
        <w:rPr>
          <w:rStyle w:val="hps"/>
          <w:lang w:val="es-ES"/>
        </w:rPr>
        <w:t>préstamos totales</w:t>
      </w:r>
      <w:r w:rsidRPr="00AE4E8D">
        <w:rPr>
          <w:lang w:val="es-ES"/>
        </w:rPr>
        <w:t xml:space="preserve"> </w:t>
      </w:r>
      <w:r w:rsidRPr="00AE4E8D">
        <w:rPr>
          <w:rStyle w:val="hps"/>
          <w:lang w:val="es-ES"/>
        </w:rPr>
        <w:t>morosos</w:t>
      </w:r>
      <w:r w:rsidRPr="00AE4E8D">
        <w:rPr>
          <w:lang w:val="es-ES"/>
        </w:rPr>
        <w:t xml:space="preserve"> </w:t>
      </w:r>
      <w:r w:rsidRPr="00AE4E8D">
        <w:rPr>
          <w:rStyle w:val="hps"/>
          <w:lang w:val="es-ES"/>
        </w:rPr>
        <w:t>a esa fecha</w:t>
      </w:r>
      <w:r w:rsidRPr="00AE4E8D">
        <w:rPr>
          <w:lang w:val="es-ES"/>
        </w:rPr>
        <w:t>.</w:t>
      </w:r>
      <w:r w:rsidR="007E62A3" w:rsidRPr="00AE4E8D">
        <w:rPr>
          <w:lang w:val="es-ES"/>
        </w:rPr>
        <w:t xml:space="preserve"> </w:t>
      </w:r>
    </w:p>
    <w:p w14:paraId="58125D0F" w14:textId="77777777" w:rsidR="00D65ECF" w:rsidRPr="00AE4E8D" w:rsidRDefault="00D65ECF" w:rsidP="00D65ECF">
      <w:pPr>
        <w:pStyle w:val="BHTexto"/>
        <w:rPr>
          <w:lang w:val="es-ES"/>
        </w:rPr>
      </w:pPr>
      <w:r w:rsidRPr="00AE4E8D">
        <w:rPr>
          <w:lang w:val="es-ES"/>
        </w:rPr>
        <w:t>Adicionalmente, al 30 de junio de 2017 teníamos Ps. 1.</w:t>
      </w:r>
      <w:r w:rsidR="007C0A8B" w:rsidRPr="00AE4E8D">
        <w:rPr>
          <w:lang w:val="es-ES"/>
        </w:rPr>
        <w:t>826</w:t>
      </w:r>
      <w:r w:rsidR="000F3C8E" w:rsidRPr="00AE4E8D">
        <w:rPr>
          <w:lang w:val="es-ES"/>
        </w:rPr>
        <w:t>,</w:t>
      </w:r>
      <w:r w:rsidR="007C0A8B" w:rsidRPr="00AE4E8D">
        <w:rPr>
          <w:lang w:val="es-ES"/>
        </w:rPr>
        <w:t xml:space="preserve">1 </w:t>
      </w:r>
      <w:r w:rsidRPr="00AE4E8D">
        <w:rPr>
          <w:lang w:val="es-ES"/>
        </w:rPr>
        <w:t>millones en títulos producto de securitizaciones de préstamos de consumo emitidos por Tarshop.</w:t>
      </w:r>
    </w:p>
    <w:p w14:paraId="5388F2B2" w14:textId="77777777" w:rsidR="00CB5660" w:rsidRPr="00AE4E8D" w:rsidRDefault="00CB5660" w:rsidP="00C9636E">
      <w:pPr>
        <w:pStyle w:val="BHTexto"/>
        <w:rPr>
          <w:lang w:val="es-ES"/>
        </w:rPr>
      </w:pPr>
      <w:r w:rsidRPr="00AE4E8D">
        <w:rPr>
          <w:lang w:val="es-ES"/>
        </w:rPr>
        <w:t xml:space="preserve">Al </w:t>
      </w:r>
      <w:r w:rsidR="001E7645" w:rsidRPr="00AE4E8D">
        <w:rPr>
          <w:lang w:val="es-ES"/>
        </w:rPr>
        <w:t>3</w:t>
      </w:r>
      <w:r w:rsidR="00EC0C15" w:rsidRPr="00AE4E8D">
        <w:rPr>
          <w:lang w:val="es-ES"/>
        </w:rPr>
        <w:t>0</w:t>
      </w:r>
      <w:r w:rsidR="001E7645" w:rsidRPr="00AE4E8D">
        <w:rPr>
          <w:lang w:val="es-ES"/>
        </w:rPr>
        <w:t xml:space="preserve"> de</w:t>
      </w:r>
      <w:r w:rsidR="007E62A3" w:rsidRPr="00AE4E8D">
        <w:rPr>
          <w:lang w:val="es-ES"/>
        </w:rPr>
        <w:t xml:space="preserve"> </w:t>
      </w:r>
      <w:r w:rsidR="00EC0C15" w:rsidRPr="00AE4E8D">
        <w:rPr>
          <w:lang w:val="es-ES"/>
        </w:rPr>
        <w:t>junio</w:t>
      </w:r>
      <w:r w:rsidRPr="00AE4E8D">
        <w:rPr>
          <w:lang w:val="es-ES"/>
        </w:rPr>
        <w:t xml:space="preserve"> de 201</w:t>
      </w:r>
      <w:r w:rsidR="00EC0DE2" w:rsidRPr="00AE4E8D">
        <w:rPr>
          <w:lang w:val="es-ES"/>
        </w:rPr>
        <w:t>7</w:t>
      </w:r>
      <w:r w:rsidRPr="00AE4E8D">
        <w:rPr>
          <w:lang w:val="es-ES"/>
        </w:rPr>
        <w:t xml:space="preserve">, hemos emitido </w:t>
      </w:r>
      <w:r w:rsidR="00837DC9" w:rsidRPr="00AE4E8D">
        <w:rPr>
          <w:lang w:val="es-ES"/>
        </w:rPr>
        <w:t>78</w:t>
      </w:r>
      <w:r w:rsidR="00EC0C15" w:rsidRPr="00AE4E8D">
        <w:rPr>
          <w:lang w:val="es-ES"/>
        </w:rPr>
        <w:t>4.48</w:t>
      </w:r>
      <w:r w:rsidR="00696C84" w:rsidRPr="00AE4E8D">
        <w:rPr>
          <w:lang w:val="es-ES"/>
        </w:rPr>
        <w:t>5</w:t>
      </w:r>
      <w:r w:rsidRPr="00AE4E8D">
        <w:rPr>
          <w:lang w:val="es-ES"/>
        </w:rPr>
        <w:t xml:space="preserve"> tarjetas de crédito activas, mientras que Tarshop ha emitido </w:t>
      </w:r>
      <w:r w:rsidR="00837DC9" w:rsidRPr="00AE4E8D">
        <w:rPr>
          <w:lang w:val="es-ES"/>
        </w:rPr>
        <w:t>4</w:t>
      </w:r>
      <w:r w:rsidR="00EC0C15" w:rsidRPr="00AE4E8D">
        <w:rPr>
          <w:lang w:val="es-ES"/>
        </w:rPr>
        <w:t>17.5</w:t>
      </w:r>
      <w:r w:rsidR="00696C84" w:rsidRPr="00AE4E8D">
        <w:rPr>
          <w:lang w:val="es-ES"/>
        </w:rPr>
        <w:t>00</w:t>
      </w:r>
      <w:r w:rsidRPr="00AE4E8D">
        <w:rPr>
          <w:lang w:val="es-ES"/>
        </w:rPr>
        <w:t xml:space="preserve"> tarjetas activas.</w:t>
      </w:r>
      <w:r w:rsidRPr="00AE4E8D">
        <w:rPr>
          <w:rStyle w:val="Refdenotaalpie"/>
          <w:lang w:val="es-ES"/>
        </w:rPr>
        <w:footnoteReference w:id="3"/>
      </w:r>
      <w:r w:rsidR="007E62A3" w:rsidRPr="00AE4E8D">
        <w:rPr>
          <w:lang w:val="es-ES"/>
        </w:rPr>
        <w:t xml:space="preserve"> </w:t>
      </w:r>
    </w:p>
    <w:p w14:paraId="47D3863B" w14:textId="77777777" w:rsidR="00696C84" w:rsidRPr="00AE4E8D" w:rsidRDefault="00696C84" w:rsidP="00022E1B">
      <w:pPr>
        <w:pStyle w:val="BH3Izquierda"/>
        <w:rPr>
          <w:b w:val="0"/>
          <w:lang w:val="es-ES"/>
        </w:rPr>
      </w:pPr>
      <w:bookmarkStart w:id="178" w:name="_Toc421201341"/>
      <w:r w:rsidRPr="00AE4E8D">
        <w:rPr>
          <w:lang w:val="es-ES"/>
        </w:rPr>
        <w:t>Banca Mayorista</w:t>
      </w:r>
    </w:p>
    <w:p w14:paraId="18D17109" w14:textId="77777777" w:rsidR="00696C84" w:rsidRPr="00AE4E8D" w:rsidRDefault="00464F19" w:rsidP="00696C84">
      <w:pPr>
        <w:autoSpaceDE w:val="0"/>
        <w:autoSpaceDN w:val="0"/>
        <w:spacing w:before="120"/>
        <w:jc w:val="both"/>
        <w:rPr>
          <w:rFonts w:ascii="Times New Roman" w:hAnsi="Times New Roman"/>
          <w:lang w:val="es-ES" w:eastAsia="x-none"/>
        </w:rPr>
      </w:pPr>
      <w:r w:rsidRPr="00AE4E8D">
        <w:rPr>
          <w:rFonts w:ascii="Times New Roman" w:hAnsi="Times New Roman"/>
          <w:lang w:val="es-ES" w:eastAsia="x-none"/>
        </w:rPr>
        <w:t xml:space="preserve">Nuestros esfuerzos para 2017 se han centrado en consolidar nuestra nueva organización interna que centraliza las empresas, las pequeñas y medianas empresas y el sector público, para ofrecer nuestros productos corporativos y crear sinergias entre las Gerencias Financiera, de Mayorista y de Personas. Uno de nuestros objetivos continúa manteniendo nuestra presencia como un actor mayor dentro del segmento de banca corporativa. Además, planeamos seguir desarrollando nuestra estrategia de participación activa </w:t>
      </w:r>
      <w:r w:rsidRPr="00AE4E8D">
        <w:rPr>
          <w:rFonts w:ascii="Times New Roman" w:hAnsi="Times New Roman"/>
          <w:lang w:val="es-ES" w:eastAsia="x-none"/>
        </w:rPr>
        <w:lastRenderedPageBreak/>
        <w:t>y la estructuración de préstamos sindicados y el acuerdo activo para las transacciones del mercado de capitales en el mercado interno.</w:t>
      </w:r>
      <w:r w:rsidR="00845924" w:rsidRPr="00AE4E8D">
        <w:rPr>
          <w:rFonts w:ascii="Times New Roman" w:hAnsi="Times New Roman"/>
          <w:lang w:val="es-ES" w:eastAsia="x-none"/>
        </w:rPr>
        <w:t xml:space="preserve"> </w:t>
      </w:r>
    </w:p>
    <w:p w14:paraId="35EA1374" w14:textId="77777777" w:rsidR="00B63F1A" w:rsidRPr="00AE4E8D" w:rsidRDefault="00464F19" w:rsidP="00464F19">
      <w:pPr>
        <w:autoSpaceDE w:val="0"/>
        <w:autoSpaceDN w:val="0"/>
        <w:spacing w:before="120"/>
        <w:jc w:val="both"/>
        <w:rPr>
          <w:rFonts w:ascii="Times New Roman" w:hAnsi="Times New Roman"/>
          <w:lang w:val="es-ES" w:eastAsia="x-none"/>
        </w:rPr>
      </w:pPr>
      <w:r w:rsidRPr="00AE4E8D">
        <w:rPr>
          <w:rFonts w:ascii="Times New Roman" w:hAnsi="Times New Roman"/>
          <w:lang w:val="es-ES" w:eastAsia="x-none"/>
        </w:rPr>
        <w:t xml:space="preserve">Con el fin de aumentar las comisiones y los saldos de las cuentas, durante 2017 </w:t>
      </w:r>
      <w:r w:rsidR="00B63F1A" w:rsidRPr="00AE4E8D">
        <w:rPr>
          <w:rFonts w:ascii="Times New Roman" w:hAnsi="Times New Roman"/>
          <w:lang w:val="es-ES" w:eastAsia="x-none"/>
        </w:rPr>
        <w:t xml:space="preserve">hemos lanzado </w:t>
      </w:r>
      <w:r w:rsidRPr="00AE4E8D">
        <w:rPr>
          <w:rFonts w:ascii="Times New Roman" w:hAnsi="Times New Roman"/>
          <w:lang w:val="es-ES" w:eastAsia="x-none"/>
        </w:rPr>
        <w:t xml:space="preserve">nuevos productos de gestión de efectivo diseñados para permitir a nuestros clientes contar con una plataforma tecnológica para personalizar sus necesidades transaccionales. En este sentido, continuaremos desarrollando productos para ayudar a las empresas a optimizar su gestión de flujo de caja, contribuyendo así a nuestro objetivo de aumentar nuestra base de depósitos y aumentar el número de transacciones realizadas por nuestros </w:t>
      </w:r>
      <w:r w:rsidR="002A5A31" w:rsidRPr="00AE4E8D">
        <w:rPr>
          <w:rFonts w:ascii="Times New Roman" w:hAnsi="Times New Roman"/>
          <w:lang w:val="es-ES" w:eastAsia="x-none"/>
        </w:rPr>
        <w:t xml:space="preserve">clientes. </w:t>
      </w:r>
    </w:p>
    <w:p w14:paraId="6FF910EB" w14:textId="77777777" w:rsidR="00464F19" w:rsidRPr="00AE4E8D" w:rsidRDefault="002A5A31" w:rsidP="00464F19">
      <w:pPr>
        <w:autoSpaceDE w:val="0"/>
        <w:autoSpaceDN w:val="0"/>
        <w:spacing w:before="120"/>
        <w:jc w:val="both"/>
        <w:rPr>
          <w:rFonts w:ascii="Times New Roman" w:hAnsi="Times New Roman"/>
          <w:lang w:val="es-ES" w:eastAsia="x-none"/>
        </w:rPr>
      </w:pPr>
      <w:r w:rsidRPr="00AE4E8D">
        <w:rPr>
          <w:rFonts w:ascii="Times New Roman" w:hAnsi="Times New Roman"/>
          <w:lang w:val="es-ES" w:eastAsia="x-none"/>
        </w:rPr>
        <w:t>Con</w:t>
      </w:r>
      <w:r w:rsidR="00464F19" w:rsidRPr="00AE4E8D">
        <w:rPr>
          <w:rFonts w:ascii="Times New Roman" w:hAnsi="Times New Roman"/>
          <w:lang w:val="es-ES" w:eastAsia="x-none"/>
        </w:rPr>
        <w:t xml:space="preserve"> este fin, creamos un equipo que se especializó en diferentes industrias y sectores, con el fin de mejorar la penetración en cada industria y comprender mejor las necesidades y los riesgos inherentes a cada industria en particular. Seguiremos apuntando a los sectores más atractivos que tienen perspectivas de crecimiento favorables y requieren grandes inversiones, enfocándose principalmente en sectores como exportaciones, energía, agronegocios, bienes raíces y consumo. Para generar una cartera equilibrada en términos de tasas y vencimientos, reduciendo nuestra exposición a las fluctuaciones en las condiciones del mercado.</w:t>
      </w:r>
    </w:p>
    <w:p w14:paraId="410B0806" w14:textId="77777777" w:rsidR="00464F19" w:rsidRPr="00AE4E8D" w:rsidRDefault="00464F19" w:rsidP="00464F19">
      <w:pPr>
        <w:autoSpaceDE w:val="0"/>
        <w:autoSpaceDN w:val="0"/>
        <w:spacing w:before="120"/>
        <w:jc w:val="both"/>
        <w:rPr>
          <w:rFonts w:ascii="Times New Roman" w:hAnsi="Times New Roman"/>
          <w:lang w:val="es-ES" w:eastAsia="x-none"/>
        </w:rPr>
      </w:pPr>
      <w:r w:rsidRPr="00AE4E8D">
        <w:rPr>
          <w:rFonts w:ascii="Times New Roman" w:hAnsi="Times New Roman"/>
          <w:lang w:val="es-ES" w:eastAsia="x-none"/>
        </w:rPr>
        <w:t>En cuanto a los sectores económicos, planeamos mantener nuestra estrategia actual de diversificación, enfocándonos en los sectores que consideramos estratégicos.</w:t>
      </w:r>
    </w:p>
    <w:p w14:paraId="5F3FA35F" w14:textId="77777777" w:rsidR="00CB5660" w:rsidRPr="00AE4E8D" w:rsidRDefault="00464F19" w:rsidP="00B92817">
      <w:pPr>
        <w:pStyle w:val="BH3Izquierda"/>
        <w:rPr>
          <w:lang w:val="es-ES"/>
        </w:rPr>
      </w:pPr>
      <w:r w:rsidRPr="00AE4E8D">
        <w:rPr>
          <w:lang w:val="es-ES" w:eastAsia="x-none"/>
        </w:rPr>
        <w:t>Como resultado</w:t>
      </w:r>
      <w:r w:rsidRPr="00AE4E8D">
        <w:rPr>
          <w:lang w:val="es-ES"/>
        </w:rPr>
        <w:t xml:space="preserve"> de la implementación de </w:t>
      </w:r>
      <w:r w:rsidRPr="00AE4E8D">
        <w:rPr>
          <w:lang w:val="es-ES" w:eastAsia="x-none"/>
        </w:rPr>
        <w:t>nuestra estrategia para expandir nuestro</w:t>
      </w:r>
      <w:r w:rsidRPr="00AE4E8D">
        <w:rPr>
          <w:lang w:val="es-ES"/>
        </w:rPr>
        <w:t xml:space="preserve"> negocio corporativo, los saldos de los préstamos </w:t>
      </w:r>
      <w:r w:rsidRPr="00AE4E8D">
        <w:rPr>
          <w:lang w:val="es-ES" w:eastAsia="x-none"/>
        </w:rPr>
        <w:t>en el</w:t>
      </w:r>
      <w:r w:rsidRPr="00AE4E8D">
        <w:rPr>
          <w:lang w:val="es-ES"/>
        </w:rPr>
        <w:t xml:space="preserve"> segmento</w:t>
      </w:r>
      <w:r w:rsidRPr="00AE4E8D">
        <w:rPr>
          <w:lang w:val="es-ES" w:eastAsia="x-none"/>
        </w:rPr>
        <w:t xml:space="preserve"> corporativo</w:t>
      </w:r>
      <w:r w:rsidRPr="00AE4E8D">
        <w:rPr>
          <w:lang w:val="es-ES"/>
        </w:rPr>
        <w:t xml:space="preserve"> aumentaron de Ps. 4</w:t>
      </w:r>
      <w:r w:rsidRPr="00AE4E8D">
        <w:rPr>
          <w:lang w:val="es-ES" w:eastAsia="x-none"/>
        </w:rPr>
        <w:t>,</w:t>
      </w:r>
      <w:r w:rsidRPr="00AE4E8D">
        <w:rPr>
          <w:lang w:val="es-ES"/>
        </w:rPr>
        <w:t>674 millones al 31 de diciembre de 2015, a Ps. 6</w:t>
      </w:r>
      <w:r w:rsidRPr="00AE4E8D">
        <w:rPr>
          <w:lang w:val="es-ES" w:eastAsia="x-none"/>
        </w:rPr>
        <w:t>,</w:t>
      </w:r>
      <w:r w:rsidRPr="00AE4E8D">
        <w:rPr>
          <w:lang w:val="es-ES"/>
        </w:rPr>
        <w:t>114 millones al 31 de diciembre de 2016</w:t>
      </w:r>
      <w:r w:rsidRPr="00AE4E8D">
        <w:rPr>
          <w:lang w:val="es-ES" w:eastAsia="x-none"/>
        </w:rPr>
        <w:t xml:space="preserve"> a Ps.7,522 millones al </w:t>
      </w:r>
      <w:r w:rsidRPr="00AE4E8D">
        <w:rPr>
          <w:lang w:val="es-ES"/>
        </w:rPr>
        <w:t>30 de junio de 2017</w:t>
      </w:r>
      <w:r w:rsidRPr="00AE4E8D">
        <w:rPr>
          <w:lang w:val="es-ES" w:eastAsia="x-none"/>
        </w:rPr>
        <w:t>.</w:t>
      </w:r>
      <w:bookmarkEnd w:id="178"/>
      <w:r w:rsidR="00CB5660" w:rsidRPr="00AE4E8D">
        <w:rPr>
          <w:lang w:val="es-ES"/>
        </w:rPr>
        <w:t>Préstamos Hipotecarios</w:t>
      </w:r>
    </w:p>
    <w:p w14:paraId="276B6182" w14:textId="77777777" w:rsidR="00707052" w:rsidRPr="00AE4E8D" w:rsidRDefault="00707052" w:rsidP="00707052">
      <w:pPr>
        <w:pStyle w:val="BHTexto"/>
        <w:rPr>
          <w:lang w:val="es-ES"/>
        </w:rPr>
      </w:pPr>
      <w:r w:rsidRPr="00AE4E8D">
        <w:rPr>
          <w:lang w:val="es-ES"/>
        </w:rPr>
        <w:t xml:space="preserve">Sin perjuicio de nuestra expansión y crecimiento en distintos productos financieros, continuamos realizando esfuerzos importantes para mantener el liderazgo en el mercado de préstamos hipotecarios y procuramos ofrecer una amplia gama de productos para cubrir las necesidades de financiación para la vivienda. </w:t>
      </w:r>
    </w:p>
    <w:p w14:paraId="5D888494" w14:textId="77777777" w:rsidR="00EC0C15" w:rsidRPr="00AE4E8D" w:rsidRDefault="00EC0C15" w:rsidP="00464F19">
      <w:pPr>
        <w:pStyle w:val="BHTexto"/>
        <w:rPr>
          <w:lang w:val="es-ES"/>
        </w:rPr>
      </w:pPr>
      <w:r w:rsidRPr="00AE4E8D">
        <w:t>Ofrecemos una línea de préstamos hipotecarios ajustable por UVAs</w:t>
      </w:r>
      <w:r w:rsidR="00464F19" w:rsidRPr="00AE4E8D">
        <w:rPr>
          <w:lang w:val="es-AR"/>
        </w:rPr>
        <w:t>.</w:t>
      </w:r>
      <w:r w:rsidRPr="00AE4E8D">
        <w:t xml:space="preserve"> </w:t>
      </w:r>
      <w:r w:rsidR="00464F19" w:rsidRPr="00AE4E8D">
        <w:t>Como condición general, ofrecemos préstamos hipotecarios en una cantidad de hasta el 75% del valor de la propiedad cuando la propiedad se usará como vivienda principal. Cuando las propiedades se adquieren con fines de construcción, generalmente financiamos hasta el 75% del valor de la propiedad</w:t>
      </w:r>
      <w:r w:rsidRPr="00AE4E8D">
        <w:t xml:space="preserve">. El monto máximo de préstamo es hasta </w:t>
      </w:r>
      <w:r w:rsidRPr="00AE4E8D">
        <w:rPr>
          <w:lang w:val="es-ES"/>
        </w:rPr>
        <w:t>Ps.</w:t>
      </w:r>
      <w:r w:rsidR="00464F19" w:rsidRPr="00AE4E8D">
        <w:rPr>
          <w:lang w:val="es-ES"/>
        </w:rPr>
        <w:t>5</w:t>
      </w:r>
      <w:r w:rsidRPr="00AE4E8D">
        <w:t xml:space="preserve">.000.000. La cuota del préstamo nunca podrá superar el 30% del ingreso del grupo familiar, entendiendo por grupo a cónyuges, concubinos y convivientes. </w:t>
      </w:r>
      <w:r w:rsidRPr="00AE4E8D">
        <w:rPr>
          <w:lang w:val="es-ES"/>
        </w:rPr>
        <w:t xml:space="preserve">Contamos con un sistema de precalificación que les permite a los clientes conocer y enterarse al momento de asesoramiento el monto máximo al cual podrá acceder en caso de cumplir todos los requisitos personales, análisis crediticio del cliente y del inmueble que será objeto de garantía. </w:t>
      </w:r>
    </w:p>
    <w:p w14:paraId="5952FF20" w14:textId="77777777" w:rsidR="00EC0C15" w:rsidRPr="00AE4E8D" w:rsidRDefault="00EC0C15" w:rsidP="00707052">
      <w:pPr>
        <w:pStyle w:val="BHTexto"/>
        <w:rPr>
          <w:lang w:val="es-ES"/>
        </w:rPr>
      </w:pPr>
      <w:r w:rsidRPr="00AE4E8D">
        <w:rPr>
          <w:lang w:val="es-ES"/>
        </w:rPr>
        <w:t>Los saldos de préstamos hipotecarios en 2014, 2015, 2016 y al 3</w:t>
      </w:r>
      <w:r w:rsidR="00DA2AF5" w:rsidRPr="00AE4E8D">
        <w:rPr>
          <w:lang w:val="es-ES"/>
        </w:rPr>
        <w:t>0</w:t>
      </w:r>
      <w:r w:rsidRPr="00AE4E8D">
        <w:rPr>
          <w:lang w:val="es-ES"/>
        </w:rPr>
        <w:t xml:space="preserve"> de junio de 2017 fue de Ps.2.349</w:t>
      </w:r>
      <w:proofErr w:type="gramStart"/>
      <w:r w:rsidRPr="00AE4E8D">
        <w:rPr>
          <w:lang w:val="es-ES"/>
        </w:rPr>
        <w:t>,5</w:t>
      </w:r>
      <w:proofErr w:type="gramEnd"/>
      <w:r w:rsidRPr="00AE4E8D">
        <w:rPr>
          <w:lang w:val="es-ES"/>
        </w:rPr>
        <w:t xml:space="preserve"> millones, Ps.</w:t>
      </w:r>
      <w:r w:rsidRPr="00AE4E8D">
        <w:t>2.631,9</w:t>
      </w:r>
      <w:r w:rsidRPr="00AE4E8D">
        <w:rPr>
          <w:lang w:val="es-ES"/>
        </w:rPr>
        <w:t xml:space="preserve"> millones, Ps.2.744,7 millones y Ps.3.168,8 millones, respectivamente. Al 3</w:t>
      </w:r>
      <w:r w:rsidR="00DA2AF5" w:rsidRPr="00AE4E8D">
        <w:rPr>
          <w:lang w:val="es-ES"/>
        </w:rPr>
        <w:t>0</w:t>
      </w:r>
      <w:r w:rsidRPr="00AE4E8D">
        <w:rPr>
          <w:lang w:val="es-ES"/>
        </w:rPr>
        <w:t xml:space="preserve"> de junio de 2017, nuestros préstamos hipotecarios representaban un 10,</w:t>
      </w:r>
      <w:r w:rsidR="00DA2AF5" w:rsidRPr="00AE4E8D">
        <w:rPr>
          <w:lang w:val="es-ES"/>
        </w:rPr>
        <w:t>2</w:t>
      </w:r>
      <w:r w:rsidRPr="00AE4E8D">
        <w:rPr>
          <w:lang w:val="es-ES"/>
        </w:rPr>
        <w:t>% de nuestros préstamos totales y nuestros préstamos hipotecarios contabilizaban un 4,7</w:t>
      </w:r>
      <w:r w:rsidR="00DA2AF5" w:rsidRPr="00AE4E8D">
        <w:rPr>
          <w:lang w:val="es-ES"/>
        </w:rPr>
        <w:t>2</w:t>
      </w:r>
      <w:r w:rsidRPr="00AE4E8D">
        <w:rPr>
          <w:lang w:val="es-ES"/>
        </w:rPr>
        <w:t xml:space="preserve">% de nuestros ingresos en nuestros estados contables. Asimismo, el 0,83% de los </w:t>
      </w:r>
      <w:r w:rsidRPr="00AE4E8D">
        <w:rPr>
          <w:rStyle w:val="hps"/>
          <w:lang w:val="es-ES"/>
        </w:rPr>
        <w:t>préstamos hipotecarios eran</w:t>
      </w:r>
      <w:r w:rsidRPr="00AE4E8D">
        <w:rPr>
          <w:lang w:val="es-ES"/>
        </w:rPr>
        <w:t xml:space="preserve"> </w:t>
      </w:r>
      <w:r w:rsidRPr="00AE4E8D">
        <w:rPr>
          <w:rStyle w:val="hps"/>
          <w:lang w:val="es-ES"/>
        </w:rPr>
        <w:t>morosos</w:t>
      </w:r>
      <w:r w:rsidRPr="00AE4E8D">
        <w:rPr>
          <w:lang w:val="es-ES"/>
        </w:rPr>
        <w:t xml:space="preserve">, lo que representa </w:t>
      </w:r>
      <w:r w:rsidRPr="00AE4E8D">
        <w:rPr>
          <w:color w:val="000000"/>
          <w:lang w:val="es-ES"/>
        </w:rPr>
        <w:t>1</w:t>
      </w:r>
      <w:r w:rsidRPr="00AE4E8D">
        <w:rPr>
          <w:lang w:val="es-ES"/>
        </w:rPr>
        <w:t>,</w:t>
      </w:r>
      <w:r w:rsidRPr="00AE4E8D">
        <w:rPr>
          <w:color w:val="000000"/>
          <w:lang w:val="es-ES"/>
        </w:rPr>
        <w:t>8</w:t>
      </w:r>
      <w:r w:rsidRPr="00AE4E8D">
        <w:rPr>
          <w:lang w:val="es-ES"/>
        </w:rPr>
        <w:t xml:space="preserve">% de nuestros </w:t>
      </w:r>
      <w:r w:rsidRPr="00AE4E8D">
        <w:rPr>
          <w:rStyle w:val="hps"/>
          <w:lang w:val="es-ES"/>
        </w:rPr>
        <w:t>préstamos totales</w:t>
      </w:r>
      <w:r w:rsidRPr="00AE4E8D">
        <w:rPr>
          <w:lang w:val="es-ES"/>
        </w:rPr>
        <w:t xml:space="preserve"> </w:t>
      </w:r>
      <w:r w:rsidRPr="00AE4E8D">
        <w:rPr>
          <w:rStyle w:val="hps"/>
          <w:lang w:val="es-ES"/>
        </w:rPr>
        <w:t>morosos</w:t>
      </w:r>
      <w:r w:rsidRPr="00AE4E8D">
        <w:rPr>
          <w:lang w:val="es-ES"/>
        </w:rPr>
        <w:t xml:space="preserve"> </w:t>
      </w:r>
      <w:r w:rsidRPr="00AE4E8D">
        <w:rPr>
          <w:rStyle w:val="hps"/>
          <w:lang w:val="es-ES"/>
        </w:rPr>
        <w:t>a esa fecha</w:t>
      </w:r>
      <w:r w:rsidRPr="00AE4E8D">
        <w:rPr>
          <w:lang w:val="es-ES"/>
        </w:rPr>
        <w:t>.</w:t>
      </w:r>
    </w:p>
    <w:p w14:paraId="601254E7" w14:textId="77777777" w:rsidR="00CB5660" w:rsidRPr="00AE4E8D" w:rsidRDefault="00CB5660" w:rsidP="006659E6">
      <w:pPr>
        <w:pStyle w:val="BH3Izquierda"/>
        <w:rPr>
          <w:lang w:val="es-ES"/>
        </w:rPr>
      </w:pPr>
      <w:bookmarkStart w:id="179" w:name="_Toc421201342"/>
      <w:r w:rsidRPr="00AE4E8D">
        <w:rPr>
          <w:lang w:val="es-ES"/>
        </w:rPr>
        <w:t>Actividad Fiduciaria: Programa PROCREAR</w:t>
      </w:r>
      <w:bookmarkEnd w:id="179"/>
      <w:r w:rsidRPr="00AE4E8D">
        <w:rPr>
          <w:lang w:val="es-ES"/>
        </w:rPr>
        <w:t xml:space="preserve"> </w:t>
      </w:r>
    </w:p>
    <w:p w14:paraId="3A4FF96F" w14:textId="77777777" w:rsidR="00CB5660" w:rsidRPr="00AE4E8D" w:rsidRDefault="00CB5660" w:rsidP="006659E6">
      <w:pPr>
        <w:pStyle w:val="BHTexto"/>
        <w:rPr>
          <w:lang w:val="es-ES"/>
        </w:rPr>
      </w:pPr>
      <w:r w:rsidRPr="00AE4E8D">
        <w:rPr>
          <w:lang w:val="es-ES"/>
        </w:rPr>
        <w:t>Con fecha 12 de junio de 2012 el Gobierno Argentino, mediante el Decreto Nº902/2012, resolvió la creación del programa PROCREAR. El 18 de julio de 2012 se constituyó el Fideicomiso Administrativo y Financiero PROCREAR (el “</w:t>
      </w:r>
      <w:r w:rsidRPr="00AE4E8D">
        <w:rPr>
          <w:u w:val="single"/>
          <w:lang w:val="es-ES"/>
        </w:rPr>
        <w:t>Fideicomiso PROCREAR</w:t>
      </w:r>
      <w:r w:rsidRPr="00AE4E8D">
        <w:rPr>
          <w:lang w:val="es-ES"/>
        </w:rPr>
        <w:t>”) mediante la celebración de un contrato de fideicomiso entre el Gobierno Argentino, en su carácter de Fiduciante y el Banco, en su carácter de fiduciario.</w:t>
      </w:r>
    </w:p>
    <w:p w14:paraId="2920F729" w14:textId="77777777" w:rsidR="00464F19" w:rsidRPr="00AE4E8D" w:rsidRDefault="00464F19" w:rsidP="006659E6">
      <w:pPr>
        <w:pStyle w:val="BHTexto"/>
        <w:rPr>
          <w:lang w:val="es-AR"/>
        </w:rPr>
      </w:pPr>
      <w:r w:rsidRPr="00AE4E8D">
        <w:rPr>
          <w:lang w:val="es-ES"/>
        </w:rPr>
        <w:t>El gobierno de Macri revisó las políticas relacionadas con la concesión de préstamos hipotecarios para generar nuevas alternativas de crédito. Como con</w:t>
      </w:r>
      <w:r w:rsidR="0019616B" w:rsidRPr="00AE4E8D">
        <w:rPr>
          <w:lang w:val="es-ES"/>
        </w:rPr>
        <w:t xml:space="preserve">secuencia de dicha revisión, el gobierno de </w:t>
      </w:r>
      <w:r w:rsidRPr="00AE4E8D">
        <w:rPr>
          <w:lang w:val="es-ES"/>
        </w:rPr>
        <w:t>Macri implementó modificaciones al Fideicomiso PROCREAR. El 7 de marzo de 2017, a través del Decreto Nº146/2017, la administración de Macri relanzó el programa PROCREAR y como consecuencia de ello el programa pasó del control de ANSES al del Ministerio del Interior, Infraestructura y</w:t>
      </w:r>
      <w:r w:rsidR="0019616B" w:rsidRPr="00AE4E8D">
        <w:rPr>
          <w:lang w:val="es-ES"/>
        </w:rPr>
        <w:t xml:space="preserve"> Vivienda. No podemos asegurar</w:t>
      </w:r>
      <w:r w:rsidRPr="00AE4E8D">
        <w:rPr>
          <w:lang w:val="es-ES"/>
        </w:rPr>
        <w:t xml:space="preserve"> que el programa se desarrollará de la misma manera en el futuro o que las modificaciones introducidas no tendrán consecuencias negativas. Vease </w:t>
      </w:r>
      <w:r w:rsidRPr="00AE4E8D">
        <w:rPr>
          <w:i/>
          <w:lang w:val="es-ES"/>
        </w:rPr>
        <w:t xml:space="preserve">“Factores de riesgo-Riesgos </w:t>
      </w:r>
      <w:r w:rsidRPr="00AE4E8D">
        <w:rPr>
          <w:i/>
          <w:lang w:val="es-ES"/>
        </w:rPr>
        <w:lastRenderedPageBreak/>
        <w:t>Relacionados con nuestro negocio-Las políticas relativas al Fideicomiso Procrear podrían sufrir modificaciones”</w:t>
      </w:r>
      <w:r w:rsidRPr="00AE4E8D">
        <w:rPr>
          <w:lang w:val="es-ES"/>
        </w:rPr>
        <w:t>.</w:t>
      </w:r>
    </w:p>
    <w:p w14:paraId="70B69F95" w14:textId="77777777" w:rsidR="00CB5660" w:rsidRPr="00AE4E8D" w:rsidRDefault="00CB5660" w:rsidP="007F751F">
      <w:pPr>
        <w:pStyle w:val="BHTexto"/>
        <w:rPr>
          <w:lang w:val="es-ES"/>
        </w:rPr>
      </w:pPr>
      <w:r w:rsidRPr="00AE4E8D">
        <w:rPr>
          <w:lang w:val="es-ES"/>
        </w:rPr>
        <w:t xml:space="preserve">El programa PROCREAR planea el otorgamiento, patrocinado por el Gobierno Argentino, de hasta 200.000 préstamos por un monto de Ps.95.300 millones. El programa PROCREAR también tiene como objetivo promover el desarrollo de proyectos de construcción urbana a través del incentivo para el desarrollo de nuevos complejos residenciales. Los créditos contemplados por el programa PROCREAR son fondeados por, entre otros, contribuciones realizadas por el Tesoro de la Nación Argentina. Al </w:t>
      </w:r>
      <w:r w:rsidR="001E7645" w:rsidRPr="00AE4E8D">
        <w:rPr>
          <w:lang w:val="es-ES"/>
        </w:rPr>
        <w:t>3</w:t>
      </w:r>
      <w:r w:rsidR="00F45F43" w:rsidRPr="00AE4E8D">
        <w:rPr>
          <w:lang w:val="es-ES"/>
        </w:rPr>
        <w:t>0</w:t>
      </w:r>
      <w:r w:rsidR="001E7645" w:rsidRPr="00AE4E8D">
        <w:rPr>
          <w:lang w:val="es-ES"/>
        </w:rPr>
        <w:t xml:space="preserve"> de </w:t>
      </w:r>
      <w:r w:rsidR="00F45F43" w:rsidRPr="00AE4E8D">
        <w:rPr>
          <w:lang w:val="es-ES"/>
        </w:rPr>
        <w:t>junio</w:t>
      </w:r>
      <w:r w:rsidRPr="00AE4E8D">
        <w:rPr>
          <w:lang w:val="es-ES"/>
        </w:rPr>
        <w:t xml:space="preserve"> de 201</w:t>
      </w:r>
      <w:r w:rsidR="009C23BB" w:rsidRPr="00AE4E8D">
        <w:rPr>
          <w:lang w:val="es-ES"/>
        </w:rPr>
        <w:t>7</w:t>
      </w:r>
      <w:r w:rsidRPr="00AE4E8D">
        <w:rPr>
          <w:lang w:val="es-ES"/>
        </w:rPr>
        <w:t xml:space="preserve"> </w:t>
      </w:r>
      <w:r w:rsidR="00C721D0" w:rsidRPr="00AE4E8D">
        <w:rPr>
          <w:lang w:val="es-ES"/>
        </w:rPr>
        <w:t xml:space="preserve">registraba préstamos en su activo por </w:t>
      </w:r>
      <w:r w:rsidR="00697315" w:rsidRPr="00AE4E8D">
        <w:rPr>
          <w:lang w:val="es-ES"/>
        </w:rPr>
        <w:t>Ps.</w:t>
      </w:r>
      <w:r w:rsidR="00B76BF1" w:rsidRPr="00AE4E8D">
        <w:rPr>
          <w:lang w:val="es-ES"/>
        </w:rPr>
        <w:t xml:space="preserve"> </w:t>
      </w:r>
      <w:r w:rsidR="00053A99" w:rsidRPr="00AE4E8D">
        <w:rPr>
          <w:lang w:val="es-ES"/>
        </w:rPr>
        <w:t>5</w:t>
      </w:r>
      <w:r w:rsidR="00F45F43" w:rsidRPr="00AE4E8D">
        <w:rPr>
          <w:lang w:val="es-ES"/>
        </w:rPr>
        <w:t>2.183,6</w:t>
      </w:r>
      <w:r w:rsidR="006238FE" w:rsidRPr="00AE4E8D">
        <w:rPr>
          <w:lang w:val="es-ES"/>
        </w:rPr>
        <w:t xml:space="preserve"> </w:t>
      </w:r>
      <w:r w:rsidR="00C721D0" w:rsidRPr="00AE4E8D">
        <w:rPr>
          <w:lang w:val="es-ES"/>
        </w:rPr>
        <w:t>millones</w:t>
      </w:r>
      <w:r w:rsidRPr="00AE4E8D">
        <w:rPr>
          <w:lang w:val="es-ES"/>
        </w:rPr>
        <w:t xml:space="preserve">. </w:t>
      </w:r>
    </w:p>
    <w:p w14:paraId="2915001B" w14:textId="77777777" w:rsidR="00CB5660" w:rsidRPr="00AE4E8D" w:rsidRDefault="00CB5660" w:rsidP="006659E6">
      <w:pPr>
        <w:pStyle w:val="BHTexto"/>
        <w:rPr>
          <w:lang w:val="es-ES"/>
        </w:rPr>
      </w:pPr>
      <w:r w:rsidRPr="00AE4E8D">
        <w:rPr>
          <w:lang w:val="es-ES"/>
        </w:rPr>
        <w:t>El Fideicomiso PROCREAR cuenta con dos líneas de crédito:</w:t>
      </w:r>
    </w:p>
    <w:p w14:paraId="25B1D1B8" w14:textId="77777777" w:rsidR="00CB5660" w:rsidRPr="00AE4E8D" w:rsidRDefault="00CB5660" w:rsidP="000E1220">
      <w:pPr>
        <w:pStyle w:val="BHVieta2"/>
        <w:numPr>
          <w:ilvl w:val="0"/>
          <w:numId w:val="52"/>
        </w:numPr>
        <w:rPr>
          <w:rStyle w:val="hps"/>
          <w:lang w:val="es-ES"/>
        </w:rPr>
      </w:pPr>
      <w:r w:rsidRPr="00AE4E8D">
        <w:rPr>
          <w:rStyle w:val="hps"/>
          <w:i/>
          <w:lang w:val="es-ES"/>
        </w:rPr>
        <w:t>"</w:t>
      </w:r>
      <w:r w:rsidRPr="00AE4E8D">
        <w:rPr>
          <w:i/>
          <w:lang w:val="es-ES"/>
        </w:rPr>
        <w:t>Crédito a deudor con</w:t>
      </w:r>
      <w:r w:rsidRPr="00AE4E8D">
        <w:rPr>
          <w:rStyle w:val="hps"/>
          <w:i/>
          <w:lang w:val="es-ES"/>
        </w:rPr>
        <w:t xml:space="preserve"> tierra</w:t>
      </w:r>
      <w:r w:rsidRPr="00AE4E8D">
        <w:rPr>
          <w:i/>
          <w:lang w:val="es-ES"/>
        </w:rPr>
        <w:t>":</w:t>
      </w:r>
      <w:r w:rsidRPr="00AE4E8D">
        <w:rPr>
          <w:lang w:val="es-ES"/>
        </w:rPr>
        <w:t xml:space="preserve"> </w:t>
      </w:r>
      <w:r w:rsidRPr="00AE4E8D">
        <w:rPr>
          <w:rStyle w:val="hps"/>
          <w:lang w:val="es-ES"/>
        </w:rPr>
        <w:t>préstamo individual para la construcción,</w:t>
      </w:r>
      <w:r w:rsidRPr="00AE4E8D">
        <w:rPr>
          <w:lang w:val="es-ES"/>
        </w:rPr>
        <w:t xml:space="preserve"> </w:t>
      </w:r>
      <w:r w:rsidRPr="00AE4E8D">
        <w:rPr>
          <w:rStyle w:val="hps"/>
          <w:lang w:val="es-ES"/>
        </w:rPr>
        <w:t>donde el deudor</w:t>
      </w:r>
      <w:r w:rsidRPr="00AE4E8D">
        <w:rPr>
          <w:lang w:val="es-ES"/>
        </w:rPr>
        <w:t xml:space="preserve"> </w:t>
      </w:r>
      <w:r w:rsidRPr="00AE4E8D">
        <w:rPr>
          <w:rStyle w:val="hps"/>
          <w:lang w:val="es-ES"/>
        </w:rPr>
        <w:t>posee la tierra</w:t>
      </w:r>
      <w:r w:rsidRPr="00AE4E8D">
        <w:rPr>
          <w:lang w:val="es-ES"/>
        </w:rPr>
        <w:t xml:space="preserve"> </w:t>
      </w:r>
      <w:r w:rsidRPr="00AE4E8D">
        <w:rPr>
          <w:rStyle w:val="hps"/>
          <w:lang w:val="es-ES"/>
        </w:rPr>
        <w:t>toma</w:t>
      </w:r>
      <w:r w:rsidRPr="00AE4E8D">
        <w:rPr>
          <w:lang w:val="es-ES"/>
        </w:rPr>
        <w:t xml:space="preserve"> </w:t>
      </w:r>
      <w:r w:rsidRPr="00AE4E8D">
        <w:rPr>
          <w:rStyle w:val="hps"/>
          <w:lang w:val="es-ES"/>
        </w:rPr>
        <w:t>un préstamo para</w:t>
      </w:r>
      <w:r w:rsidRPr="00AE4E8D">
        <w:rPr>
          <w:lang w:val="es-ES"/>
        </w:rPr>
        <w:t xml:space="preserve"> </w:t>
      </w:r>
      <w:r w:rsidRPr="00AE4E8D">
        <w:rPr>
          <w:rStyle w:val="hps"/>
          <w:lang w:val="es-ES"/>
        </w:rPr>
        <w:t>construir</w:t>
      </w:r>
      <w:r w:rsidRPr="00AE4E8D">
        <w:rPr>
          <w:lang w:val="es-ES"/>
        </w:rPr>
        <w:t xml:space="preserve"> </w:t>
      </w:r>
      <w:r w:rsidRPr="00AE4E8D">
        <w:rPr>
          <w:rStyle w:val="hps"/>
          <w:lang w:val="es-ES"/>
        </w:rPr>
        <w:t>su propia</w:t>
      </w:r>
      <w:r w:rsidRPr="00AE4E8D">
        <w:rPr>
          <w:lang w:val="es-ES"/>
        </w:rPr>
        <w:t xml:space="preserve"> </w:t>
      </w:r>
      <w:r w:rsidRPr="00AE4E8D">
        <w:rPr>
          <w:rStyle w:val="hps"/>
          <w:lang w:val="es-ES"/>
        </w:rPr>
        <w:t>casa.</w:t>
      </w:r>
    </w:p>
    <w:p w14:paraId="31C74561" w14:textId="77777777" w:rsidR="00CB5660" w:rsidRPr="00AE4E8D" w:rsidRDefault="00CB5660" w:rsidP="000E1220">
      <w:pPr>
        <w:pStyle w:val="BHVieta2"/>
        <w:numPr>
          <w:ilvl w:val="0"/>
          <w:numId w:val="52"/>
        </w:numPr>
        <w:rPr>
          <w:lang w:val="es-ES"/>
        </w:rPr>
      </w:pPr>
      <w:r w:rsidRPr="00AE4E8D">
        <w:rPr>
          <w:rStyle w:val="hps"/>
          <w:i/>
          <w:lang w:val="es-ES"/>
        </w:rPr>
        <w:t>"</w:t>
      </w:r>
      <w:r w:rsidRPr="00AE4E8D">
        <w:rPr>
          <w:i/>
          <w:lang w:val="es-ES"/>
        </w:rPr>
        <w:t>Crédito a deudor sin</w:t>
      </w:r>
      <w:r w:rsidRPr="00AE4E8D">
        <w:rPr>
          <w:rStyle w:val="hps"/>
          <w:i/>
          <w:lang w:val="es-ES"/>
        </w:rPr>
        <w:t xml:space="preserve"> tierra</w:t>
      </w:r>
      <w:r w:rsidRPr="00AE4E8D">
        <w:rPr>
          <w:i/>
          <w:lang w:val="es-ES"/>
        </w:rPr>
        <w:t>":</w:t>
      </w:r>
      <w:r w:rsidRPr="00AE4E8D">
        <w:rPr>
          <w:lang w:val="es-ES"/>
        </w:rPr>
        <w:t xml:space="preserve"> el Fideicomiso PROCREAR </w:t>
      </w:r>
      <w:r w:rsidRPr="00AE4E8D">
        <w:rPr>
          <w:rStyle w:val="hps"/>
          <w:lang w:val="es-ES"/>
        </w:rPr>
        <w:t>desarrolla</w:t>
      </w:r>
      <w:r w:rsidRPr="00AE4E8D">
        <w:rPr>
          <w:lang w:val="es-ES"/>
        </w:rPr>
        <w:t xml:space="preserve"> </w:t>
      </w:r>
      <w:r w:rsidRPr="00AE4E8D">
        <w:rPr>
          <w:rStyle w:val="hps"/>
          <w:lang w:val="es-ES"/>
        </w:rPr>
        <w:t>un proyecto urbano</w:t>
      </w:r>
      <w:r w:rsidRPr="00AE4E8D">
        <w:rPr>
          <w:lang w:val="es-ES"/>
        </w:rPr>
        <w:t xml:space="preserve"> </w:t>
      </w:r>
      <w:r w:rsidRPr="00AE4E8D">
        <w:rPr>
          <w:rStyle w:val="hps"/>
          <w:lang w:val="es-ES"/>
        </w:rPr>
        <w:t>en tierra</w:t>
      </w:r>
      <w:r w:rsidRPr="00AE4E8D">
        <w:rPr>
          <w:lang w:val="es-ES"/>
        </w:rPr>
        <w:t xml:space="preserve"> </w:t>
      </w:r>
      <w:r w:rsidRPr="00AE4E8D">
        <w:rPr>
          <w:rStyle w:val="hps"/>
          <w:lang w:val="es-ES"/>
        </w:rPr>
        <w:t>proporcionada por</w:t>
      </w:r>
      <w:r w:rsidRPr="00AE4E8D">
        <w:rPr>
          <w:lang w:val="es-ES"/>
        </w:rPr>
        <w:t xml:space="preserve"> </w:t>
      </w:r>
      <w:r w:rsidRPr="00AE4E8D">
        <w:rPr>
          <w:rStyle w:val="hps"/>
          <w:lang w:val="es-ES"/>
        </w:rPr>
        <w:t>el gobierno</w:t>
      </w:r>
      <w:r w:rsidRPr="00AE4E8D">
        <w:rPr>
          <w:lang w:val="es-ES"/>
        </w:rPr>
        <w:t xml:space="preserve"> </w:t>
      </w:r>
      <w:r w:rsidRPr="00AE4E8D">
        <w:rPr>
          <w:rStyle w:val="hps"/>
          <w:lang w:val="es-ES"/>
        </w:rPr>
        <w:t>y una vez terminados</w:t>
      </w:r>
      <w:r w:rsidRPr="00AE4E8D">
        <w:rPr>
          <w:lang w:val="es-ES"/>
        </w:rPr>
        <w:t xml:space="preserve"> </w:t>
      </w:r>
      <w:r w:rsidRPr="00AE4E8D">
        <w:rPr>
          <w:rStyle w:val="hps"/>
          <w:lang w:val="es-ES"/>
        </w:rPr>
        <w:t>la gente</w:t>
      </w:r>
      <w:r w:rsidRPr="00AE4E8D">
        <w:rPr>
          <w:lang w:val="es-ES"/>
        </w:rPr>
        <w:t xml:space="preserve"> </w:t>
      </w:r>
      <w:r w:rsidRPr="00AE4E8D">
        <w:rPr>
          <w:rStyle w:val="hps"/>
          <w:lang w:val="es-ES"/>
        </w:rPr>
        <w:t>podrá</w:t>
      </w:r>
      <w:r w:rsidRPr="00AE4E8D">
        <w:rPr>
          <w:lang w:val="es-ES"/>
        </w:rPr>
        <w:t xml:space="preserve"> </w:t>
      </w:r>
      <w:r w:rsidRPr="00AE4E8D">
        <w:rPr>
          <w:rStyle w:val="hps"/>
          <w:lang w:val="es-ES"/>
        </w:rPr>
        <w:t>comprarlo</w:t>
      </w:r>
      <w:r w:rsidRPr="00AE4E8D">
        <w:rPr>
          <w:lang w:val="es-ES"/>
        </w:rPr>
        <w:t xml:space="preserve"> </w:t>
      </w:r>
      <w:r w:rsidRPr="00AE4E8D">
        <w:rPr>
          <w:rStyle w:val="hps"/>
          <w:lang w:val="es-ES"/>
        </w:rPr>
        <w:t>con un préstamo</w:t>
      </w:r>
      <w:r w:rsidRPr="00AE4E8D">
        <w:rPr>
          <w:lang w:val="es-ES"/>
        </w:rPr>
        <w:t xml:space="preserve"> </w:t>
      </w:r>
      <w:r w:rsidRPr="00AE4E8D">
        <w:rPr>
          <w:rStyle w:val="hps"/>
          <w:lang w:val="es-ES"/>
        </w:rPr>
        <w:t>hipotecario</w:t>
      </w:r>
      <w:r w:rsidRPr="00AE4E8D">
        <w:rPr>
          <w:lang w:val="es-ES"/>
        </w:rPr>
        <w:t xml:space="preserve"> </w:t>
      </w:r>
      <w:r w:rsidRPr="00AE4E8D">
        <w:rPr>
          <w:rStyle w:val="hps"/>
          <w:lang w:val="es-ES"/>
        </w:rPr>
        <w:t>que será</w:t>
      </w:r>
      <w:r w:rsidRPr="00AE4E8D">
        <w:rPr>
          <w:lang w:val="es-ES"/>
        </w:rPr>
        <w:t xml:space="preserve"> </w:t>
      </w:r>
      <w:r w:rsidRPr="00AE4E8D">
        <w:rPr>
          <w:rStyle w:val="hps"/>
          <w:lang w:val="es-ES"/>
        </w:rPr>
        <w:t>también</w:t>
      </w:r>
      <w:r w:rsidRPr="00AE4E8D">
        <w:rPr>
          <w:lang w:val="es-ES"/>
        </w:rPr>
        <w:t xml:space="preserve"> </w:t>
      </w:r>
      <w:r w:rsidRPr="00AE4E8D">
        <w:rPr>
          <w:rStyle w:val="hps"/>
          <w:lang w:val="es-ES"/>
        </w:rPr>
        <w:t>proporcionada por</w:t>
      </w:r>
      <w:r w:rsidRPr="00AE4E8D">
        <w:rPr>
          <w:lang w:val="es-ES"/>
        </w:rPr>
        <w:t xml:space="preserve"> </w:t>
      </w:r>
      <w:r w:rsidRPr="00AE4E8D">
        <w:rPr>
          <w:rStyle w:val="hps"/>
          <w:lang w:val="es-ES"/>
        </w:rPr>
        <w:t>dicho fideicomiso.</w:t>
      </w:r>
    </w:p>
    <w:p w14:paraId="44BD634B" w14:textId="77777777" w:rsidR="00CB5660" w:rsidRPr="00AE4E8D" w:rsidRDefault="00CB5660" w:rsidP="006659E6">
      <w:pPr>
        <w:pStyle w:val="BHTexto"/>
        <w:rPr>
          <w:lang w:val="es-ES"/>
        </w:rPr>
      </w:pPr>
      <w:r w:rsidRPr="00AE4E8D">
        <w:rPr>
          <w:lang w:val="es-ES"/>
        </w:rPr>
        <w:t>Actuamos como único fiduciario, y único administrador, del Fideicomiso PROCREAR. Todos los créditos otorgados en virtud del Fideicomiso PROCREAR son fondeados por el Tesoro de la Nación Argentina y por valores representativos de deuda con oferta pública. Como resultado los créditos otorgados a través del Fideicomiso PROCREAR no son contabilizados como activos en nuestro balance y no configuran crédito o interés alguno para nosotros. En nuestro carácter de fiduciario y originador de los créditos otorgados por el Fideicomiso PROCREAR percibimos una comisión de Ps.400.000 mensuales por tal servicio. En nuestra calidad de administrador de los créditos percibimos una comisión del 0,5% de las cuotas percibidas de los clientes de bajos ingresos y una comisión del 2% de las cuotas percibidas de clientes de los demás segmentos.</w:t>
      </w:r>
    </w:p>
    <w:p w14:paraId="309711E8" w14:textId="77777777" w:rsidR="00CB5660" w:rsidRPr="00AE4E8D" w:rsidRDefault="00CB5660" w:rsidP="006659E6">
      <w:pPr>
        <w:pStyle w:val="BHTexto"/>
        <w:rPr>
          <w:highlight w:val="yellow"/>
          <w:lang w:val="es-ES"/>
        </w:rPr>
      </w:pPr>
      <w:r w:rsidRPr="00AE4E8D">
        <w:rPr>
          <w:lang w:val="es-ES"/>
        </w:rPr>
        <w:t>Adicionalmente, a través de la originación de créditos generamos oportunidades de venta cruzada (</w:t>
      </w:r>
      <w:r w:rsidRPr="00AE4E8D">
        <w:rPr>
          <w:i/>
          <w:lang w:val="es-ES"/>
        </w:rPr>
        <w:t>cross-selling</w:t>
      </w:r>
      <w:r w:rsidRPr="00AE4E8D">
        <w:rPr>
          <w:lang w:val="es-ES"/>
        </w:rPr>
        <w:t>) por cuanto nos es posible captar nuevos clientes y ofrecerles otros productos financieros, tales como servicio de seguros a través de nuestra subsidiario BHN Vida.</w:t>
      </w:r>
    </w:p>
    <w:p w14:paraId="2E96CD12" w14:textId="77777777" w:rsidR="00D65ECF" w:rsidRPr="00AE4E8D" w:rsidRDefault="00D65ECF" w:rsidP="00D65ECF">
      <w:pPr>
        <w:spacing w:before="120" w:after="120"/>
        <w:jc w:val="both"/>
        <w:rPr>
          <w:rFonts w:ascii="Times New Roman" w:hAnsi="Times New Roman"/>
          <w:highlight w:val="yellow"/>
          <w:lang w:val="es-ES"/>
        </w:rPr>
      </w:pPr>
      <w:r w:rsidRPr="00AE4E8D">
        <w:rPr>
          <w:rFonts w:ascii="Times New Roman" w:hAnsi="Times New Roman"/>
          <w:lang w:val="es-ES"/>
        </w:rPr>
        <w:t>A través de BHN Vida y BHN Seguros Generales, también brindamos seguros a todos los préstamos otorgados por el fideicomiso. Durante los seis meses finalizados el 30 de junio de 2017 y 2016 nuestras actividades de seguros relacionadas con el Fideicomiso PROCREAR generaron comisiones (brutas) por Ps.181</w:t>
      </w:r>
      <w:proofErr w:type="gramStart"/>
      <w:r w:rsidRPr="00AE4E8D">
        <w:rPr>
          <w:rFonts w:ascii="Times New Roman" w:hAnsi="Times New Roman"/>
          <w:lang w:val="es-ES"/>
        </w:rPr>
        <w:t>,3</w:t>
      </w:r>
      <w:proofErr w:type="gramEnd"/>
      <w:r w:rsidRPr="00AE4E8D">
        <w:rPr>
          <w:rFonts w:ascii="Times New Roman" w:hAnsi="Times New Roman"/>
          <w:lang w:val="es-ES"/>
        </w:rPr>
        <w:t xml:space="preserve"> millones y Ps.152,9 millones, respectivamente, que representan el 42,3% y el 33,8%, respectivamente, de nuestra prima de seguro consolidada ganada en tales períodos. Estas cifras no incluyen gastos administrativos, gastos por servicios e impuestos.</w:t>
      </w:r>
      <w:r w:rsidRPr="00AE4E8D">
        <w:rPr>
          <w:rStyle w:val="Refdenotaalpie"/>
          <w:rFonts w:ascii="Times New Roman" w:eastAsia="Calibri" w:hAnsi="Times New Roman"/>
          <w:lang w:val="es-ES"/>
        </w:rPr>
        <w:footnoteReference w:id="4"/>
      </w:r>
    </w:p>
    <w:p w14:paraId="6A45F292" w14:textId="77777777" w:rsidR="00D65ECF" w:rsidRPr="00AE4E8D" w:rsidRDefault="00D65ECF" w:rsidP="00D65ECF">
      <w:pPr>
        <w:pStyle w:val="BHTexto"/>
        <w:rPr>
          <w:highlight w:val="yellow"/>
          <w:lang w:val="es-ES"/>
        </w:rPr>
      </w:pPr>
      <w:r w:rsidRPr="00AE4E8D">
        <w:rPr>
          <w:lang w:val="es-ES"/>
        </w:rPr>
        <w:t xml:space="preserve">Durante los </w:t>
      </w:r>
      <w:r w:rsidR="00EA0879" w:rsidRPr="00AE4E8D">
        <w:rPr>
          <w:lang w:val="es-ES"/>
        </w:rPr>
        <w:t xml:space="preserve">seis </w:t>
      </w:r>
      <w:r w:rsidRPr="00AE4E8D">
        <w:rPr>
          <w:lang w:val="es-ES"/>
        </w:rPr>
        <w:t>meses finalizados el 30 de junio de 2017 y 2016, nuestra actividad como fiduciario bajo el Fideicomiso PROCREAR generaron comisiones (brutas) por Ps.134</w:t>
      </w:r>
      <w:proofErr w:type="gramStart"/>
      <w:r w:rsidRPr="00AE4E8D">
        <w:rPr>
          <w:lang w:val="es-ES"/>
        </w:rPr>
        <w:t>,0</w:t>
      </w:r>
      <w:proofErr w:type="gramEnd"/>
      <w:r w:rsidRPr="00AE4E8D">
        <w:rPr>
          <w:lang w:val="es-ES"/>
        </w:rPr>
        <w:t xml:space="preserve"> millones y Ps.107,9 millones, respectivamente, que representaron 7,5% y el 8,8% de nuestros ingresos consolidados por otros servicios distintos de los servicios de seguro</w:t>
      </w:r>
      <w:r w:rsidRPr="00AE4E8D">
        <w:rPr>
          <w:rStyle w:val="Refdenotaalpie"/>
          <w:lang w:val="es-ES"/>
        </w:rPr>
        <w:footnoteReference w:id="5"/>
      </w:r>
      <w:r w:rsidRPr="00AE4E8D">
        <w:rPr>
          <w:lang w:val="es-ES"/>
        </w:rPr>
        <w:t>. Estas cifras no incluyen gastos administrativos, gastos por servicios e impuestos.</w:t>
      </w:r>
      <w:r w:rsidRPr="00AE4E8D">
        <w:rPr>
          <w:rStyle w:val="Refdenotaalpie"/>
          <w:lang w:val="es-ES"/>
        </w:rPr>
        <w:footnoteReference w:id="6"/>
      </w:r>
    </w:p>
    <w:p w14:paraId="1877AC60" w14:textId="77777777" w:rsidR="00CB5660" w:rsidRPr="00AE4E8D" w:rsidRDefault="00CB5660" w:rsidP="00EB3492">
      <w:pPr>
        <w:pStyle w:val="BHTexto"/>
        <w:rPr>
          <w:lang w:val="es-ES"/>
        </w:rPr>
      </w:pPr>
      <w:r w:rsidRPr="00AE4E8D">
        <w:rPr>
          <w:lang w:val="es-ES"/>
        </w:rPr>
        <w:t xml:space="preserve">En relación con las políticas mencionadas anteriormente, fue aprobada una nueva operatoria denominada Procrear Solución Casa Propia, que le dará la posibilidad a miles de familias de acceder a su primera vivienda a través de un sistema de puntaje social que prioriza a las familias de acuerdo a su situación socio habitacional. Esta línea combina un crédito hipotecario del sistema financiero ajustado por Coeficiente de Estabilización de Referencia (CER), un porcentaje de ahorro familiar y una bonificación por parte del Estado Nacional, a través del PROCREAR. Está dirigido a familias de ingresos formales de sectores medios y medios/bajos (2 a 4 SMVM netos familiares equivalentes a </w:t>
      </w:r>
      <w:r w:rsidR="002E01F1" w:rsidRPr="00AE4E8D">
        <w:rPr>
          <w:lang w:val="es-ES"/>
        </w:rPr>
        <w:t>Ps.</w:t>
      </w:r>
      <w:r w:rsidRPr="00AE4E8D">
        <w:rPr>
          <w:lang w:val="es-ES"/>
        </w:rPr>
        <w:t xml:space="preserve">13.620 </w:t>
      </w:r>
      <w:r w:rsidR="002E01F1" w:rsidRPr="00AE4E8D">
        <w:rPr>
          <w:lang w:val="es-ES"/>
        </w:rPr>
        <w:t>–</w:t>
      </w:r>
      <w:r w:rsidRPr="00AE4E8D">
        <w:rPr>
          <w:lang w:val="es-ES"/>
        </w:rPr>
        <w:t xml:space="preserve"> </w:t>
      </w:r>
      <w:r w:rsidR="002E01F1" w:rsidRPr="00AE4E8D">
        <w:rPr>
          <w:lang w:val="es-ES"/>
        </w:rPr>
        <w:t>Ps.</w:t>
      </w:r>
      <w:r w:rsidRPr="00AE4E8D">
        <w:rPr>
          <w:lang w:val="es-ES"/>
        </w:rPr>
        <w:t xml:space="preserve">27.240 para junio 2016, y a </w:t>
      </w:r>
      <w:r w:rsidR="002E01F1" w:rsidRPr="00AE4E8D">
        <w:rPr>
          <w:lang w:val="es-ES"/>
        </w:rPr>
        <w:t>Ps.</w:t>
      </w:r>
      <w:r w:rsidRPr="00AE4E8D">
        <w:rPr>
          <w:lang w:val="es-ES"/>
        </w:rPr>
        <w:t xml:space="preserve">15.120 </w:t>
      </w:r>
      <w:r w:rsidR="002E01F1" w:rsidRPr="00AE4E8D">
        <w:rPr>
          <w:lang w:val="es-ES"/>
        </w:rPr>
        <w:t>–</w:t>
      </w:r>
      <w:r w:rsidRPr="00AE4E8D">
        <w:rPr>
          <w:lang w:val="es-ES"/>
        </w:rPr>
        <w:t xml:space="preserve"> </w:t>
      </w:r>
      <w:r w:rsidR="002E01F1" w:rsidRPr="00AE4E8D">
        <w:rPr>
          <w:lang w:val="es-ES"/>
        </w:rPr>
        <w:t>Ps.</w:t>
      </w:r>
      <w:r w:rsidRPr="00AE4E8D">
        <w:rPr>
          <w:lang w:val="es-ES"/>
        </w:rPr>
        <w:t xml:space="preserve">30.240 a partir de </w:t>
      </w:r>
      <w:r w:rsidR="00C93245" w:rsidRPr="00AE4E8D">
        <w:rPr>
          <w:lang w:val="es-ES"/>
        </w:rPr>
        <w:t>diciembre de</w:t>
      </w:r>
      <w:r w:rsidRPr="00AE4E8D">
        <w:rPr>
          <w:lang w:val="es-ES"/>
        </w:rPr>
        <w:t xml:space="preserve"> 2016) seleccionadas a través de un sistema de puntaje objetivo y transparente que prioriza a las familias que tienen mayor necesidad de acuerdo a su situación socio-económica (se incluyen parámetros como cantidad de hijos menores a cargo, discapacidad, inundados, y otros).</w:t>
      </w:r>
    </w:p>
    <w:p w14:paraId="421C907A" w14:textId="77777777" w:rsidR="00CB5660" w:rsidRPr="00AE4E8D" w:rsidRDefault="00CB5660" w:rsidP="00EB3492">
      <w:pPr>
        <w:pStyle w:val="BHTexto"/>
        <w:rPr>
          <w:lang w:val="es-ES"/>
        </w:rPr>
      </w:pPr>
      <w:r w:rsidRPr="00AE4E8D">
        <w:rPr>
          <w:lang w:val="es-ES"/>
        </w:rPr>
        <w:t>Características:</w:t>
      </w:r>
    </w:p>
    <w:p w14:paraId="5CDF7B99" w14:textId="77777777" w:rsidR="00CB5660" w:rsidRPr="00AE4E8D" w:rsidRDefault="00CB5660" w:rsidP="000668B5">
      <w:pPr>
        <w:pStyle w:val="BHTexto"/>
        <w:numPr>
          <w:ilvl w:val="0"/>
          <w:numId w:val="87"/>
        </w:numPr>
        <w:rPr>
          <w:lang w:val="es-ES"/>
        </w:rPr>
      </w:pPr>
      <w:r w:rsidRPr="00AE4E8D">
        <w:rPr>
          <w:lang w:val="es-ES"/>
        </w:rPr>
        <w:lastRenderedPageBreak/>
        <w:t xml:space="preserve">Subsidio explícito: directo a la familia. </w:t>
      </w:r>
    </w:p>
    <w:p w14:paraId="04959046" w14:textId="77777777" w:rsidR="00CB5660" w:rsidRPr="00AE4E8D" w:rsidRDefault="00CB5660" w:rsidP="000668B5">
      <w:pPr>
        <w:pStyle w:val="BHTexto"/>
        <w:numPr>
          <w:ilvl w:val="0"/>
          <w:numId w:val="87"/>
        </w:numPr>
        <w:rPr>
          <w:lang w:val="es-ES"/>
        </w:rPr>
      </w:pPr>
      <w:r w:rsidRPr="00AE4E8D">
        <w:rPr>
          <w:lang w:val="es-ES"/>
        </w:rPr>
        <w:t>Sistema Progresivo: la bonificación es mayor cuanto menor es el valor de la vivienda.</w:t>
      </w:r>
    </w:p>
    <w:p w14:paraId="78CC9249" w14:textId="77777777" w:rsidR="00CB5660" w:rsidRPr="00AE4E8D" w:rsidRDefault="00CB5660" w:rsidP="000668B5">
      <w:pPr>
        <w:pStyle w:val="BHTexto"/>
        <w:numPr>
          <w:ilvl w:val="0"/>
          <w:numId w:val="87"/>
        </w:numPr>
        <w:rPr>
          <w:lang w:val="es-ES"/>
        </w:rPr>
      </w:pPr>
      <w:r w:rsidRPr="00AE4E8D">
        <w:rPr>
          <w:lang w:val="es-ES"/>
        </w:rPr>
        <w:t>Sostenible: el Estado tiene una participación significativa al inicio, luego es un contrato privado entre el sistema financiero y las familias.</w:t>
      </w:r>
    </w:p>
    <w:p w14:paraId="5B14F7F3" w14:textId="77777777" w:rsidR="00CB5660" w:rsidRPr="00AE4E8D" w:rsidRDefault="00CB5660" w:rsidP="00EB3492">
      <w:pPr>
        <w:pStyle w:val="BHTexto"/>
        <w:rPr>
          <w:lang w:val="es-ES"/>
        </w:rPr>
      </w:pPr>
      <w:r w:rsidRPr="00AE4E8D">
        <w:rPr>
          <w:lang w:val="es-ES"/>
        </w:rPr>
        <w:t>Financiamiento Anual estimado para 25.000 soluciones habitacionales:</w:t>
      </w:r>
    </w:p>
    <w:p w14:paraId="4E7901D0" w14:textId="77777777" w:rsidR="00CB5660" w:rsidRPr="00AE4E8D" w:rsidRDefault="00CB5660" w:rsidP="000668B5">
      <w:pPr>
        <w:pStyle w:val="BHTexto"/>
        <w:numPr>
          <w:ilvl w:val="0"/>
          <w:numId w:val="86"/>
        </w:numPr>
        <w:rPr>
          <w:lang w:val="es-ES"/>
        </w:rPr>
      </w:pPr>
      <w:r w:rsidRPr="00AE4E8D">
        <w:rPr>
          <w:lang w:val="es-ES"/>
        </w:rPr>
        <w:t xml:space="preserve">Aportes adicionales del Tesoro Nacional: </w:t>
      </w:r>
      <w:r w:rsidR="002E01F1" w:rsidRPr="00AE4E8D">
        <w:rPr>
          <w:lang w:val="es-ES"/>
        </w:rPr>
        <w:t>Ps.</w:t>
      </w:r>
      <w:r w:rsidRPr="00AE4E8D">
        <w:rPr>
          <w:lang w:val="es-ES"/>
        </w:rPr>
        <w:t xml:space="preserve">5.000 millones (a un valor promedio de </w:t>
      </w:r>
      <w:r w:rsidR="002E01F1" w:rsidRPr="00AE4E8D">
        <w:rPr>
          <w:lang w:val="es-ES"/>
        </w:rPr>
        <w:t>Ps.</w:t>
      </w:r>
      <w:r w:rsidRPr="00AE4E8D">
        <w:rPr>
          <w:lang w:val="es-ES"/>
        </w:rPr>
        <w:t>200.000)</w:t>
      </w:r>
    </w:p>
    <w:p w14:paraId="13476EEB" w14:textId="77777777" w:rsidR="00CB5660" w:rsidRPr="00AE4E8D" w:rsidRDefault="00CB5660" w:rsidP="000668B5">
      <w:pPr>
        <w:pStyle w:val="BHTexto"/>
        <w:numPr>
          <w:ilvl w:val="0"/>
          <w:numId w:val="86"/>
        </w:numPr>
        <w:rPr>
          <w:lang w:val="es-ES"/>
        </w:rPr>
      </w:pPr>
      <w:r w:rsidRPr="00AE4E8D">
        <w:rPr>
          <w:lang w:val="es-ES"/>
        </w:rPr>
        <w:t xml:space="preserve">Ahorro familias: </w:t>
      </w:r>
      <w:r w:rsidR="002E01F1" w:rsidRPr="00AE4E8D">
        <w:rPr>
          <w:lang w:val="es-ES"/>
        </w:rPr>
        <w:t>Ps.</w:t>
      </w:r>
      <w:r w:rsidRPr="00AE4E8D">
        <w:rPr>
          <w:lang w:val="es-ES"/>
        </w:rPr>
        <w:t xml:space="preserve">2.500 millones (un ahorro promedio de </w:t>
      </w:r>
      <w:r w:rsidR="002E01F1" w:rsidRPr="00AE4E8D">
        <w:rPr>
          <w:lang w:val="es-ES"/>
        </w:rPr>
        <w:t>Ps.</w:t>
      </w:r>
      <w:r w:rsidRPr="00AE4E8D">
        <w:rPr>
          <w:lang w:val="es-ES"/>
        </w:rPr>
        <w:t>100.000</w:t>
      </w:r>
      <w:r w:rsidR="0019616B" w:rsidRPr="00AE4E8D">
        <w:rPr>
          <w:lang w:val="es-ES"/>
        </w:rPr>
        <w:t xml:space="preserve"> por familia</w:t>
      </w:r>
      <w:r w:rsidRPr="00AE4E8D">
        <w:rPr>
          <w:lang w:val="es-ES"/>
        </w:rPr>
        <w:t>)</w:t>
      </w:r>
    </w:p>
    <w:p w14:paraId="3676E57E" w14:textId="77777777" w:rsidR="00CB5660" w:rsidRPr="00AE4E8D" w:rsidRDefault="00CB5660" w:rsidP="000668B5">
      <w:pPr>
        <w:pStyle w:val="BHTexto"/>
        <w:numPr>
          <w:ilvl w:val="0"/>
          <w:numId w:val="86"/>
        </w:numPr>
        <w:rPr>
          <w:lang w:val="es-ES"/>
        </w:rPr>
      </w:pPr>
      <w:r w:rsidRPr="00AE4E8D">
        <w:rPr>
          <w:lang w:val="es-ES"/>
        </w:rPr>
        <w:t xml:space="preserve">Sistema financiero: </w:t>
      </w:r>
      <w:r w:rsidR="002E01F1" w:rsidRPr="00AE4E8D">
        <w:rPr>
          <w:lang w:val="es-ES"/>
        </w:rPr>
        <w:t>Ps.</w:t>
      </w:r>
      <w:r w:rsidRPr="00AE4E8D">
        <w:rPr>
          <w:lang w:val="es-ES"/>
        </w:rPr>
        <w:t xml:space="preserve">17.500 millones (hipoteca promedio de </w:t>
      </w:r>
      <w:r w:rsidR="002E01F1" w:rsidRPr="00AE4E8D">
        <w:rPr>
          <w:lang w:val="es-ES"/>
        </w:rPr>
        <w:t>Ps.</w:t>
      </w:r>
      <w:r w:rsidRPr="00AE4E8D">
        <w:rPr>
          <w:lang w:val="es-ES"/>
        </w:rPr>
        <w:t>700.000)</w:t>
      </w:r>
    </w:p>
    <w:p w14:paraId="0A4EEE7D" w14:textId="77777777" w:rsidR="00CB5660" w:rsidRPr="00AE4E8D" w:rsidRDefault="00CB5660" w:rsidP="00EB3492">
      <w:pPr>
        <w:pStyle w:val="BHTexto"/>
        <w:rPr>
          <w:lang w:val="es-ES"/>
        </w:rPr>
      </w:pPr>
      <w:r w:rsidRPr="00AE4E8D">
        <w:rPr>
          <w:lang w:val="es-ES"/>
        </w:rPr>
        <w:t>Dado que el Fideicomiso recibiría aportes adicionales para fondear la nueva operatoria, la misma no debería afectar el desarrollo del Fideicomiso. Sin embargo, no podemos asegurar que el programa se desarrollará de la misma forma en el futuro en caso de realizarse nuevas modificaciones.</w:t>
      </w:r>
    </w:p>
    <w:p w14:paraId="111FF17A" w14:textId="77777777" w:rsidR="00CB5660" w:rsidRPr="00AE4E8D" w:rsidRDefault="00CB5660" w:rsidP="006659E6">
      <w:pPr>
        <w:pStyle w:val="BH3Izquierda"/>
        <w:rPr>
          <w:lang w:val="es-ES"/>
        </w:rPr>
      </w:pPr>
      <w:bookmarkStart w:id="180" w:name="_Toc421201343"/>
      <w:r w:rsidRPr="00AE4E8D">
        <w:rPr>
          <w:lang w:val="es-ES"/>
        </w:rPr>
        <w:t>BH Valores</w:t>
      </w:r>
    </w:p>
    <w:p w14:paraId="117F946A" w14:textId="77777777" w:rsidR="00CB5660" w:rsidRPr="00AE4E8D" w:rsidRDefault="00CB5660" w:rsidP="00D329D5">
      <w:pPr>
        <w:pStyle w:val="BHTexto"/>
        <w:rPr>
          <w:lang w:val="es-ES"/>
        </w:rPr>
      </w:pPr>
      <w:r w:rsidRPr="00AE4E8D">
        <w:rPr>
          <w:lang w:val="es-ES"/>
        </w:rPr>
        <w:t>El 13 de mayo de 2015 nuestro Directorio y el de BH Valores aprobaron la transferencia de la mayoría de las cuentas de clientes de BH Valores al Banco. Ello forma parte de una estrategia más amplia que prevé la transferencia de la totalidad de dichas cuentas al Banco con miras a desarrollar las operaciones del departamento de inversiones del Banco.</w:t>
      </w:r>
      <w:r w:rsidR="0019616B" w:rsidRPr="00AE4E8D">
        <w:rPr>
          <w:lang w:val="es-ES"/>
        </w:rPr>
        <w:t xml:space="preserve"> A la </w:t>
      </w:r>
      <w:r w:rsidR="002A5A31" w:rsidRPr="00AE4E8D">
        <w:rPr>
          <w:lang w:val="es-ES"/>
        </w:rPr>
        <w:t>fecha</w:t>
      </w:r>
      <w:r w:rsidR="0019616B" w:rsidRPr="00AE4E8D">
        <w:rPr>
          <w:lang w:val="es-ES"/>
        </w:rPr>
        <w:t xml:space="preserve"> de este Prospecto las cuentas han sido transferidas.</w:t>
      </w:r>
    </w:p>
    <w:p w14:paraId="666D57BC" w14:textId="77777777" w:rsidR="00CB5660" w:rsidRPr="00AE4E8D" w:rsidRDefault="00CB5660" w:rsidP="006659E6">
      <w:pPr>
        <w:pStyle w:val="BH3Izquierda"/>
        <w:rPr>
          <w:lang w:val="es-ES"/>
        </w:rPr>
      </w:pPr>
      <w:r w:rsidRPr="00AE4E8D">
        <w:rPr>
          <w:lang w:val="es-ES"/>
        </w:rPr>
        <w:t>Canales de Distribución</w:t>
      </w:r>
      <w:bookmarkEnd w:id="180"/>
    </w:p>
    <w:p w14:paraId="0BCBAE1A" w14:textId="77777777" w:rsidR="00CB5660" w:rsidRPr="00AE4E8D" w:rsidRDefault="00CB5660" w:rsidP="006659E6">
      <w:pPr>
        <w:pStyle w:val="BHTexto"/>
        <w:rPr>
          <w:lang w:val="es-ES"/>
        </w:rPr>
      </w:pPr>
      <w:r w:rsidRPr="00AE4E8D">
        <w:rPr>
          <w:lang w:val="es-ES"/>
        </w:rPr>
        <w:t xml:space="preserve">Al </w:t>
      </w:r>
      <w:r w:rsidR="009C6E69" w:rsidRPr="00AE4E8D">
        <w:rPr>
          <w:lang w:val="es-ES"/>
        </w:rPr>
        <w:t>3</w:t>
      </w:r>
      <w:r w:rsidR="00A9659E" w:rsidRPr="00AE4E8D">
        <w:rPr>
          <w:lang w:val="es-ES"/>
        </w:rPr>
        <w:t>0</w:t>
      </w:r>
      <w:r w:rsidR="009C6E69" w:rsidRPr="00AE4E8D">
        <w:rPr>
          <w:lang w:val="es-ES"/>
        </w:rPr>
        <w:t xml:space="preserve"> de</w:t>
      </w:r>
      <w:r w:rsidR="00AE7B2C" w:rsidRPr="00AE4E8D">
        <w:rPr>
          <w:lang w:val="es-ES"/>
        </w:rPr>
        <w:t xml:space="preserve"> </w:t>
      </w:r>
      <w:r w:rsidR="00A9659E" w:rsidRPr="00AE4E8D">
        <w:rPr>
          <w:lang w:val="es-ES"/>
        </w:rPr>
        <w:t>junio</w:t>
      </w:r>
      <w:r w:rsidRPr="00AE4E8D">
        <w:rPr>
          <w:lang w:val="es-ES"/>
        </w:rPr>
        <w:t xml:space="preserve"> de 201</w:t>
      </w:r>
      <w:r w:rsidR="00B65FA8" w:rsidRPr="00AE4E8D">
        <w:rPr>
          <w:lang w:val="es-ES"/>
        </w:rPr>
        <w:t>7</w:t>
      </w:r>
      <w:r w:rsidRPr="00AE4E8D">
        <w:rPr>
          <w:lang w:val="es-ES"/>
        </w:rPr>
        <w:t>, nuestra red de sucursales consta actualmente de 6</w:t>
      </w:r>
      <w:r w:rsidR="00247AD2" w:rsidRPr="00AE4E8D">
        <w:rPr>
          <w:lang w:val="es-ES"/>
        </w:rPr>
        <w:t>5</w:t>
      </w:r>
      <w:r w:rsidRPr="00AE4E8D">
        <w:rPr>
          <w:lang w:val="es-ES"/>
        </w:rPr>
        <w:t xml:space="preserve"> sucursales y 15 oficinas de venta a lo largo de la Argentina. La política de distribución de nuestros productos se sustenta en cuatro pilares principales:</w:t>
      </w:r>
      <w:r w:rsidR="007E62A3" w:rsidRPr="00AE4E8D">
        <w:rPr>
          <w:lang w:val="es-ES"/>
        </w:rPr>
        <w:t xml:space="preserve"> </w:t>
      </w:r>
    </w:p>
    <w:p w14:paraId="1FE2D704" w14:textId="77777777" w:rsidR="00CB5660" w:rsidRPr="00AE4E8D" w:rsidRDefault="00CB5660" w:rsidP="000E1220">
      <w:pPr>
        <w:pStyle w:val="BHVieta2"/>
        <w:numPr>
          <w:ilvl w:val="0"/>
          <w:numId w:val="53"/>
        </w:numPr>
        <w:rPr>
          <w:lang w:val="es-ES"/>
        </w:rPr>
      </w:pPr>
      <w:r w:rsidRPr="00AE4E8D">
        <w:rPr>
          <w:lang w:val="es-ES"/>
        </w:rPr>
        <w:t>sucursales,</w:t>
      </w:r>
    </w:p>
    <w:p w14:paraId="5C5F7770" w14:textId="77777777" w:rsidR="00CB5660" w:rsidRPr="00AE4E8D" w:rsidRDefault="00CB5660" w:rsidP="000E1220">
      <w:pPr>
        <w:pStyle w:val="BHVieta2"/>
        <w:numPr>
          <w:ilvl w:val="0"/>
          <w:numId w:val="53"/>
        </w:numPr>
        <w:rPr>
          <w:lang w:val="es-ES"/>
        </w:rPr>
      </w:pPr>
      <w:r w:rsidRPr="00AE4E8D">
        <w:rPr>
          <w:lang w:val="es-ES"/>
        </w:rPr>
        <w:t>puntos de venta,</w:t>
      </w:r>
    </w:p>
    <w:p w14:paraId="5575EC5D" w14:textId="77777777" w:rsidR="00CB5660" w:rsidRPr="00AE4E8D" w:rsidRDefault="00CB5660" w:rsidP="000E1220">
      <w:pPr>
        <w:pStyle w:val="BHVieta2"/>
        <w:numPr>
          <w:ilvl w:val="0"/>
          <w:numId w:val="53"/>
        </w:numPr>
        <w:rPr>
          <w:lang w:val="es-ES"/>
        </w:rPr>
      </w:pPr>
      <w:r w:rsidRPr="00AE4E8D">
        <w:rPr>
          <w:i/>
          <w:lang w:val="es-ES"/>
        </w:rPr>
        <w:t>telemarketing</w:t>
      </w:r>
      <w:r w:rsidRPr="00AE4E8D">
        <w:rPr>
          <w:lang w:val="es-ES"/>
        </w:rPr>
        <w:t>, y</w:t>
      </w:r>
    </w:p>
    <w:p w14:paraId="27F97C1C" w14:textId="77777777" w:rsidR="00CB5660" w:rsidRPr="00AE4E8D" w:rsidRDefault="00CB5660" w:rsidP="000E1220">
      <w:pPr>
        <w:pStyle w:val="BHVieta2"/>
        <w:numPr>
          <w:ilvl w:val="0"/>
          <w:numId w:val="53"/>
        </w:numPr>
        <w:rPr>
          <w:lang w:val="es-ES"/>
        </w:rPr>
      </w:pPr>
      <w:r w:rsidRPr="00AE4E8D">
        <w:rPr>
          <w:lang w:val="es-ES"/>
        </w:rPr>
        <w:t>fuerza de ventas propia.</w:t>
      </w:r>
    </w:p>
    <w:p w14:paraId="291B0D39" w14:textId="77777777" w:rsidR="00CB5660" w:rsidRPr="00AE4E8D" w:rsidRDefault="00CB5660" w:rsidP="006659E6">
      <w:pPr>
        <w:pStyle w:val="BHTexto"/>
        <w:rPr>
          <w:lang w:val="es-ES"/>
        </w:rPr>
      </w:pPr>
      <w:r w:rsidRPr="00AE4E8D">
        <w:rPr>
          <w:lang w:val="es-ES"/>
        </w:rPr>
        <w:t xml:space="preserve">Utilizamos una estrategia de marketing directo para llegar a los clientes vigentes y potenciales, de manera de realizar acciones de </w:t>
      </w:r>
      <w:r w:rsidRPr="00AE4E8D">
        <w:rPr>
          <w:i/>
          <w:lang w:val="es-ES"/>
        </w:rPr>
        <w:t>cross</w:t>
      </w:r>
      <w:r w:rsidRPr="00AE4E8D">
        <w:rPr>
          <w:i/>
          <w:lang w:val="es-ES"/>
        </w:rPr>
        <w:noBreakHyphen/>
        <w:t>selling</w:t>
      </w:r>
      <w:r w:rsidRPr="00AE4E8D">
        <w:rPr>
          <w:lang w:val="es-ES"/>
        </w:rPr>
        <w:t>. Esta estrategia se apoya básicamente en la utilización de herramientas tecnológicas, específicamente diseñadas de manera de aportarle mayor inteligencia a los procesos, segmentando las bases de datos con el objeto de mejorar la efectividad de las comunicaciones y lograr una mejor aceptación de nuestros productos. Las fuerzas de venta centralizadas y las de sucursales son las principales responsables de generar ventas de nuestros productos a nuevos clientes.</w:t>
      </w:r>
    </w:p>
    <w:p w14:paraId="0DD70F63" w14:textId="77777777" w:rsidR="00CB5660" w:rsidRPr="00AE4E8D" w:rsidRDefault="00CB5660" w:rsidP="006659E6">
      <w:pPr>
        <w:pStyle w:val="BHTexto"/>
        <w:rPr>
          <w:lang w:val="es-ES"/>
        </w:rPr>
      </w:pPr>
      <w:r w:rsidRPr="00AE4E8D">
        <w:rPr>
          <w:lang w:val="es-ES"/>
        </w:rPr>
        <w:t>Buscamos orientar nuestros canales de distribución y venta para así lograr llegar con más productos a un mayor universo de potenciales clientes. Además de la tradicional plataforma de ventas en sucursales contamos con alianzas comerciales en las que buscamos complementar nuestras funciones con socios estratégicos que aporten valor a la cadena de distribución logrando disminuir el costo de adquisición de clientes y colocación de nuevos productos.</w:t>
      </w:r>
    </w:p>
    <w:p w14:paraId="0E760DFA" w14:textId="77777777" w:rsidR="00CB5660" w:rsidRPr="00AE4E8D" w:rsidRDefault="00CB5660" w:rsidP="002C6969">
      <w:pPr>
        <w:pStyle w:val="BH3Izquierda"/>
        <w:rPr>
          <w:lang w:val="es-ES"/>
        </w:rPr>
      </w:pPr>
      <w:bookmarkStart w:id="181" w:name="_DV_C4429"/>
      <w:r w:rsidRPr="00AE4E8D">
        <w:rPr>
          <w:lang w:val="es-ES"/>
        </w:rPr>
        <w:t>Tecnología Informática</w:t>
      </w:r>
      <w:bookmarkEnd w:id="181"/>
    </w:p>
    <w:p w14:paraId="6202EE75" w14:textId="77777777" w:rsidR="00170329" w:rsidRPr="00AE4E8D" w:rsidRDefault="00170329" w:rsidP="00170329">
      <w:pPr>
        <w:pStyle w:val="BHTexto"/>
        <w:rPr>
          <w:lang w:val="es-ES" w:eastAsia="es-AR"/>
        </w:rPr>
      </w:pPr>
      <w:r w:rsidRPr="00AE4E8D">
        <w:rPr>
          <w:lang w:val="es-ES" w:eastAsia="es-AR"/>
        </w:rPr>
        <w:t xml:space="preserve">Para llevar adelante nuestra operatoria bancaria, utilizamos un conjunto de soluciones tecnológicas, que podemos clasificar en tres grandes grupos: </w:t>
      </w:r>
      <w:r w:rsidRPr="00AE4E8D">
        <w:rPr>
          <w:i/>
          <w:lang w:val="es-ES" w:eastAsia="es-AR"/>
        </w:rPr>
        <w:t>core banking</w:t>
      </w:r>
      <w:r w:rsidRPr="00AE4E8D">
        <w:rPr>
          <w:lang w:val="es-ES" w:eastAsia="es-AR"/>
        </w:rPr>
        <w:t xml:space="preserve">, canales electrónicos y </w:t>
      </w:r>
      <w:r w:rsidRPr="00AE4E8D">
        <w:rPr>
          <w:i/>
          <w:lang w:val="es-ES" w:eastAsia="es-AR"/>
        </w:rPr>
        <w:t>front office.</w:t>
      </w:r>
    </w:p>
    <w:p w14:paraId="2582F903" w14:textId="77777777" w:rsidR="00170329" w:rsidRPr="00AE4E8D" w:rsidRDefault="00170329" w:rsidP="00170329">
      <w:pPr>
        <w:pStyle w:val="BHTexto"/>
        <w:rPr>
          <w:lang w:val="es-ES" w:eastAsia="es-AR"/>
        </w:rPr>
      </w:pPr>
      <w:r w:rsidRPr="00AE4E8D">
        <w:rPr>
          <w:lang w:val="es-ES" w:eastAsia="es-AR"/>
        </w:rPr>
        <w:t>Para core banking empleamos Cobis, una herramienta de alcance global, adop</w:t>
      </w:r>
      <w:r w:rsidR="00A6452B" w:rsidRPr="00AE4E8D">
        <w:rPr>
          <w:lang w:val="es-ES" w:eastAsia="es-AR"/>
        </w:rPr>
        <w:t xml:space="preserve">tado por </w:t>
      </w:r>
      <w:r w:rsidR="002A5A31" w:rsidRPr="00AE4E8D">
        <w:rPr>
          <w:lang w:val="es-ES" w:eastAsia="es-AR"/>
        </w:rPr>
        <w:t>múltiples</w:t>
      </w:r>
      <w:r w:rsidRPr="00AE4E8D">
        <w:rPr>
          <w:lang w:val="es-ES" w:eastAsia="es-AR"/>
        </w:rPr>
        <w:t xml:space="preserve"> bancos </w:t>
      </w:r>
      <w:r w:rsidR="00A6452B" w:rsidRPr="00AE4E8D">
        <w:rPr>
          <w:lang w:val="es-ES" w:eastAsia="es-AR"/>
        </w:rPr>
        <w:t xml:space="preserve">en el mundo y </w:t>
      </w:r>
      <w:r w:rsidRPr="00AE4E8D">
        <w:rPr>
          <w:lang w:val="es-ES" w:eastAsia="es-AR"/>
        </w:rPr>
        <w:t xml:space="preserve">es reconocido por grandes firmas de consultoría tecnológica como Gartner y Forester. </w:t>
      </w:r>
    </w:p>
    <w:p w14:paraId="2C97C142" w14:textId="77777777" w:rsidR="00170329" w:rsidRPr="00AE4E8D" w:rsidRDefault="00170329" w:rsidP="00A6452B">
      <w:pPr>
        <w:pStyle w:val="BHTexto"/>
        <w:rPr>
          <w:lang w:val="es-ES" w:eastAsia="es-AR"/>
        </w:rPr>
      </w:pPr>
      <w:r w:rsidRPr="00AE4E8D">
        <w:rPr>
          <w:lang w:val="es-ES" w:eastAsia="es-AR"/>
        </w:rPr>
        <w:t xml:space="preserve">Durante 2017, </w:t>
      </w:r>
      <w:r w:rsidR="004F22BE" w:rsidRPr="00AE4E8D">
        <w:rPr>
          <w:lang w:val="es-ES" w:eastAsia="es-AR"/>
        </w:rPr>
        <w:t xml:space="preserve">hemos estado </w:t>
      </w:r>
      <w:r w:rsidR="00A6452B" w:rsidRPr="00AE4E8D">
        <w:rPr>
          <w:lang w:val="es-ES" w:eastAsia="es-AR"/>
        </w:rPr>
        <w:t xml:space="preserve">implementando </w:t>
      </w:r>
      <w:r w:rsidRPr="00AE4E8D">
        <w:rPr>
          <w:lang w:val="es-ES" w:eastAsia="es-AR"/>
        </w:rPr>
        <w:t xml:space="preserve">la primer </w:t>
      </w:r>
      <w:r w:rsidR="004F22BE" w:rsidRPr="00AE4E8D">
        <w:rPr>
          <w:lang w:val="es-ES" w:eastAsia="es-AR"/>
        </w:rPr>
        <w:t>fase</w:t>
      </w:r>
      <w:r w:rsidRPr="00AE4E8D">
        <w:rPr>
          <w:lang w:val="es-ES" w:eastAsia="es-AR"/>
        </w:rPr>
        <w:t xml:space="preserve"> de modernización </w:t>
      </w:r>
      <w:r w:rsidR="00A6452B" w:rsidRPr="00AE4E8D">
        <w:rPr>
          <w:lang w:val="es-ES" w:eastAsia="es-AR"/>
        </w:rPr>
        <w:t xml:space="preserve">de nuestro plan de actualización de nuestro sistema Cobis </w:t>
      </w:r>
      <w:r w:rsidRPr="00AE4E8D">
        <w:rPr>
          <w:lang w:val="es-ES" w:eastAsia="es-AR"/>
        </w:rPr>
        <w:t xml:space="preserve">(en línea con nuestros esfuerzos estratégicos de </w:t>
      </w:r>
      <w:r w:rsidR="00A6452B" w:rsidRPr="00AE4E8D">
        <w:rPr>
          <w:lang w:val="es-ES" w:eastAsia="es-AR"/>
        </w:rPr>
        <w:t>continuar actualizando nuestra tecnología</w:t>
      </w:r>
      <w:r w:rsidRPr="00AE4E8D">
        <w:rPr>
          <w:lang w:val="es-ES" w:eastAsia="es-AR"/>
        </w:rPr>
        <w:t>) además de incorporar nuevas funcionalidades para respaldar el crecimiento de nuestro volumen de negocios. Todas nuestras operaciones de back office corren en SAP (finanzas/compras y recursos humanos)</w:t>
      </w:r>
    </w:p>
    <w:p w14:paraId="54DDBA4C" w14:textId="77777777" w:rsidR="00170329" w:rsidRPr="00AE4E8D" w:rsidRDefault="00170329" w:rsidP="00170329">
      <w:pPr>
        <w:pStyle w:val="BHTexto"/>
        <w:rPr>
          <w:lang w:val="es-ES" w:eastAsia="es-AR"/>
        </w:rPr>
      </w:pPr>
      <w:r w:rsidRPr="00AE4E8D">
        <w:rPr>
          <w:lang w:val="es-ES" w:eastAsia="es-AR"/>
        </w:rPr>
        <w:lastRenderedPageBreak/>
        <w:t xml:space="preserve">En lo que respecta a nuestra infraestructura de Canales electrónicos, empleamos aplicaciones del mercado y BPM (gestión de procesos de negocio) de Oracle para todos los procesos de originación. </w:t>
      </w:r>
    </w:p>
    <w:p w14:paraId="5940CDB9" w14:textId="77777777" w:rsidR="00170329" w:rsidRPr="00AE4E8D" w:rsidRDefault="00A6452B" w:rsidP="00170329">
      <w:pPr>
        <w:pStyle w:val="BHTexto"/>
        <w:rPr>
          <w:lang w:val="es-ES" w:eastAsia="es-AR"/>
        </w:rPr>
      </w:pPr>
      <w:r w:rsidRPr="00AE4E8D">
        <w:rPr>
          <w:lang w:val="es-ES" w:eastAsia="es-AR"/>
        </w:rPr>
        <w:t xml:space="preserve">En </w:t>
      </w:r>
      <w:r w:rsidR="00170329" w:rsidRPr="00AE4E8D">
        <w:rPr>
          <w:lang w:val="es-ES" w:eastAsia="es-AR"/>
        </w:rPr>
        <w:t>noviembre de 2014, celebramos un contrato de licencias ilimitadas con Oracle para implementar un módulo de Autoconsulta y otras tecnologías y nos encontramos implementando la solución de CRM Microsoft Dynamics para obtener una relación de 360 grados con nuestros clientes.</w:t>
      </w:r>
    </w:p>
    <w:p w14:paraId="2621236D" w14:textId="77777777" w:rsidR="00170329" w:rsidRPr="00AE4E8D" w:rsidRDefault="00170329" w:rsidP="00170329">
      <w:pPr>
        <w:pStyle w:val="BHTexto"/>
        <w:rPr>
          <w:lang w:val="es-ES" w:eastAsia="es-AR"/>
        </w:rPr>
      </w:pPr>
      <w:r w:rsidRPr="00AE4E8D">
        <w:rPr>
          <w:lang w:val="es-ES" w:eastAsia="es-AR"/>
        </w:rPr>
        <w:t xml:space="preserve">También trabajamos con una arquitectura orientada a servicios (SOA) que nos permite correr desarrollos de aplicaciones propias y de terceros con más de 500 servicios SOA han sido desarrollados a la fecha y estamos implementando tecnología API para integrarnos con nuevos ecosistemas digitales en forma ágil. </w:t>
      </w:r>
    </w:p>
    <w:p w14:paraId="6058D1AE" w14:textId="77777777" w:rsidR="00170329" w:rsidRPr="00AE4E8D" w:rsidRDefault="00170329" w:rsidP="00170329">
      <w:pPr>
        <w:pStyle w:val="BHTexto"/>
        <w:rPr>
          <w:lang w:val="es-ES" w:eastAsia="es-AR"/>
        </w:rPr>
      </w:pPr>
      <w:r w:rsidRPr="00AE4E8D">
        <w:rPr>
          <w:lang w:val="es-ES" w:eastAsia="es-AR"/>
        </w:rPr>
        <w:t xml:space="preserve">Adicionalmente, continuamos migrando nuestra actual plataforma Sonic a una plataforma más evolucionada llamada Oracle Service Bus (OSB). </w:t>
      </w:r>
    </w:p>
    <w:p w14:paraId="4A70EC2F" w14:textId="77777777" w:rsidR="00170329" w:rsidRPr="00AE4E8D" w:rsidRDefault="00170329" w:rsidP="00170329">
      <w:pPr>
        <w:pStyle w:val="BHTexto"/>
        <w:rPr>
          <w:lang w:val="es-ES" w:eastAsia="es-AR"/>
        </w:rPr>
      </w:pPr>
      <w:r w:rsidRPr="00AE4E8D">
        <w:rPr>
          <w:lang w:val="es-ES" w:eastAsia="es-AR"/>
        </w:rPr>
        <w:t xml:space="preserve">En lo que respecta a Gestión de Información, utilizamos SAS como almacén de datos, con tecnologías Click View, Cognos y Power Center para simplificar la experiencia de usuario. Asimismo, hemos definido nuestra estrategia de </w:t>
      </w:r>
      <w:r w:rsidR="00A6452B" w:rsidRPr="00AE4E8D">
        <w:rPr>
          <w:lang w:val="es-ES" w:eastAsia="es-AR"/>
        </w:rPr>
        <w:t xml:space="preserve">analytics a ser </w:t>
      </w:r>
      <w:r w:rsidRPr="00AE4E8D">
        <w:rPr>
          <w:lang w:val="es-ES" w:eastAsia="es-AR"/>
        </w:rPr>
        <w:t xml:space="preserve">implementa en los próximos años que </w:t>
      </w:r>
      <w:r w:rsidR="00A6452B" w:rsidRPr="00AE4E8D">
        <w:rPr>
          <w:lang w:val="es-ES" w:eastAsia="es-AR"/>
        </w:rPr>
        <w:t xml:space="preserve">debería </w:t>
      </w:r>
      <w:r w:rsidRPr="00AE4E8D">
        <w:rPr>
          <w:lang w:val="es-ES" w:eastAsia="es-AR"/>
        </w:rPr>
        <w:t>permi</w:t>
      </w:r>
      <w:r w:rsidR="00A6452B" w:rsidRPr="00AE4E8D">
        <w:rPr>
          <w:lang w:val="es-ES" w:eastAsia="es-AR"/>
        </w:rPr>
        <w:t>tirnos</w:t>
      </w:r>
      <w:r w:rsidRPr="00AE4E8D">
        <w:rPr>
          <w:lang w:val="es-ES" w:eastAsia="es-AR"/>
        </w:rPr>
        <w:t xml:space="preserve"> administrar </w:t>
      </w:r>
      <w:r w:rsidR="003E0D90" w:rsidRPr="00AE4E8D">
        <w:rPr>
          <w:lang w:val="es-ES" w:eastAsia="es-AR"/>
        </w:rPr>
        <w:t xml:space="preserve">y analizar </w:t>
      </w:r>
      <w:r w:rsidRPr="00AE4E8D">
        <w:rPr>
          <w:lang w:val="es-ES" w:eastAsia="es-AR"/>
        </w:rPr>
        <w:t>información estructurada</w:t>
      </w:r>
      <w:r w:rsidR="003E0D90" w:rsidRPr="00AE4E8D">
        <w:rPr>
          <w:lang w:val="es-ES" w:eastAsia="es-AR"/>
        </w:rPr>
        <w:t xml:space="preserve"> y </w:t>
      </w:r>
      <w:r w:rsidRPr="00AE4E8D">
        <w:rPr>
          <w:lang w:val="es-ES" w:eastAsia="es-AR"/>
        </w:rPr>
        <w:t>desestructurada, y hacer análisis predictivo de la información relevante.</w:t>
      </w:r>
    </w:p>
    <w:p w14:paraId="69219718" w14:textId="77777777" w:rsidR="00170329" w:rsidRPr="00AE4E8D" w:rsidRDefault="00170329" w:rsidP="00170329">
      <w:pPr>
        <w:pStyle w:val="BHTexto"/>
        <w:rPr>
          <w:lang w:val="es-ES" w:eastAsia="es-AR"/>
        </w:rPr>
      </w:pPr>
      <w:r w:rsidRPr="00AE4E8D">
        <w:rPr>
          <w:lang w:val="es-ES" w:eastAsia="es-AR"/>
        </w:rPr>
        <w:t xml:space="preserve">En lo que respecta a infraestructura, utilizamos Tecnología Oracle Super Cluster (procesadores T5-8 – Exadata) para correr </w:t>
      </w:r>
      <w:r w:rsidR="003E0D90" w:rsidRPr="00AE4E8D">
        <w:rPr>
          <w:lang w:val="es-ES" w:eastAsia="es-AR"/>
        </w:rPr>
        <w:t xml:space="preserve">nuestro </w:t>
      </w:r>
      <w:r w:rsidRPr="00AE4E8D">
        <w:rPr>
          <w:lang w:val="es-ES" w:eastAsia="es-AR"/>
        </w:rPr>
        <w:t>s</w:t>
      </w:r>
      <w:r w:rsidR="00E013EA" w:rsidRPr="00AE4E8D">
        <w:rPr>
          <w:lang w:val="es-ES" w:eastAsia="es-AR"/>
        </w:rPr>
        <w:t>istema de core banking (Cobis).</w:t>
      </w:r>
    </w:p>
    <w:p w14:paraId="48AE739F" w14:textId="77777777" w:rsidR="00170329" w:rsidRPr="00AE4E8D" w:rsidRDefault="00170329" w:rsidP="00170329">
      <w:pPr>
        <w:pStyle w:val="BHTexto"/>
        <w:rPr>
          <w:lang w:val="es-ES" w:eastAsia="es-AR"/>
        </w:rPr>
      </w:pPr>
      <w:r w:rsidRPr="00AE4E8D">
        <w:rPr>
          <w:lang w:val="es-ES" w:eastAsia="es-AR"/>
        </w:rPr>
        <w:t>La capacidad operativa de nuestros datacenters está en el orden de 5MM de SAPs (Sap application performance units), distribuida de la siguiente manera:</w:t>
      </w:r>
    </w:p>
    <w:p w14:paraId="679676EC" w14:textId="77777777" w:rsidR="00170329" w:rsidRPr="00AE4E8D" w:rsidRDefault="00170329" w:rsidP="000668B5">
      <w:pPr>
        <w:pStyle w:val="BHTexto"/>
        <w:numPr>
          <w:ilvl w:val="0"/>
          <w:numId w:val="73"/>
        </w:numPr>
        <w:rPr>
          <w:lang w:val="es-ES" w:eastAsia="es-AR"/>
        </w:rPr>
      </w:pPr>
      <w:r w:rsidRPr="00AE4E8D">
        <w:rPr>
          <w:lang w:val="es-ES" w:eastAsia="es-AR"/>
        </w:rPr>
        <w:t>9% en equipos T5-8 (Oracle)</w:t>
      </w:r>
    </w:p>
    <w:p w14:paraId="125D259C" w14:textId="77777777" w:rsidR="00170329" w:rsidRPr="00AE4E8D" w:rsidRDefault="00170329" w:rsidP="000668B5">
      <w:pPr>
        <w:pStyle w:val="BHTexto"/>
        <w:numPr>
          <w:ilvl w:val="0"/>
          <w:numId w:val="73"/>
        </w:numPr>
        <w:rPr>
          <w:lang w:val="es-ES" w:eastAsia="es-AR"/>
        </w:rPr>
      </w:pPr>
      <w:r w:rsidRPr="00AE4E8D">
        <w:rPr>
          <w:lang w:val="es-ES" w:eastAsia="es-AR"/>
        </w:rPr>
        <w:t>33% en equipos físicos de plataforma x64 (HP Enterprise)</w:t>
      </w:r>
    </w:p>
    <w:p w14:paraId="1A789E67" w14:textId="77777777" w:rsidR="00170329" w:rsidRPr="00AE4E8D" w:rsidRDefault="00170329" w:rsidP="000668B5">
      <w:pPr>
        <w:pStyle w:val="BHTexto"/>
        <w:numPr>
          <w:ilvl w:val="0"/>
          <w:numId w:val="73"/>
        </w:numPr>
        <w:rPr>
          <w:lang w:val="es-ES" w:eastAsia="es-AR"/>
        </w:rPr>
      </w:pPr>
      <w:r w:rsidRPr="00AE4E8D">
        <w:rPr>
          <w:lang w:val="es-ES" w:eastAsia="es-AR"/>
        </w:rPr>
        <w:t>58% en una granja virtual VMWare x64 (HP Enterprise)</w:t>
      </w:r>
    </w:p>
    <w:p w14:paraId="206188E5" w14:textId="77777777" w:rsidR="00170329" w:rsidRPr="00AE4E8D" w:rsidRDefault="00170329" w:rsidP="00170329">
      <w:pPr>
        <w:pStyle w:val="BHTexto"/>
        <w:rPr>
          <w:lang w:val="es-ES" w:eastAsia="es-AR"/>
        </w:rPr>
      </w:pPr>
      <w:r w:rsidRPr="00AE4E8D">
        <w:rPr>
          <w:lang w:val="es-ES" w:eastAsia="es-AR"/>
        </w:rPr>
        <w:t>Contamos con dos sitios en modalidad “activo-activo” los cuales se encuentran vinculados a través de una doble fibra oscura, con un ancho de banda total de 16Gbps, lo que permite tener una estrategia de recuperación ante fallo sin “downtime”.</w:t>
      </w:r>
    </w:p>
    <w:p w14:paraId="58CD8ADD" w14:textId="77777777" w:rsidR="00170329" w:rsidRPr="00AE4E8D" w:rsidRDefault="00170329" w:rsidP="00170329">
      <w:pPr>
        <w:pStyle w:val="BHTexto"/>
        <w:rPr>
          <w:lang w:val="es-ES" w:eastAsia="es-AR"/>
        </w:rPr>
      </w:pPr>
      <w:r w:rsidRPr="00AE4E8D">
        <w:rPr>
          <w:lang w:val="es-ES" w:eastAsia="es-AR"/>
        </w:rPr>
        <w:t>Se trabaja con 3 tipos de plataformas operativas, Solaris, Windows y Linux en versiones soportadas.</w:t>
      </w:r>
    </w:p>
    <w:p w14:paraId="605519AC" w14:textId="77777777" w:rsidR="00CB5660" w:rsidRPr="00AE4E8D" w:rsidRDefault="00CB5660" w:rsidP="000A5C77">
      <w:pPr>
        <w:pStyle w:val="BH3Izquierda"/>
        <w:rPr>
          <w:lang w:val="es-ES"/>
        </w:rPr>
      </w:pPr>
      <w:bookmarkStart w:id="182" w:name="_Toc421201344"/>
      <w:r w:rsidRPr="00AE4E8D">
        <w:rPr>
          <w:lang w:val="es-ES"/>
        </w:rPr>
        <w:t>Financiamiento</w:t>
      </w:r>
      <w:bookmarkEnd w:id="182"/>
      <w:r w:rsidRPr="00AE4E8D">
        <w:rPr>
          <w:lang w:val="es-ES"/>
        </w:rPr>
        <w:t xml:space="preserve"> </w:t>
      </w:r>
    </w:p>
    <w:p w14:paraId="3BC6D013" w14:textId="77777777" w:rsidR="00CB5660" w:rsidRPr="00AE4E8D" w:rsidRDefault="00CB5660" w:rsidP="000A5C77">
      <w:pPr>
        <w:pStyle w:val="BH3Izquierda"/>
        <w:rPr>
          <w:lang w:val="es-ES"/>
        </w:rPr>
      </w:pPr>
      <w:bookmarkStart w:id="183" w:name="_Toc421201345"/>
      <w:r w:rsidRPr="00AE4E8D">
        <w:rPr>
          <w:lang w:val="es-ES"/>
        </w:rPr>
        <w:t>Depósitos</w:t>
      </w:r>
      <w:bookmarkEnd w:id="183"/>
      <w:r w:rsidR="000B1612" w:rsidRPr="00AE4E8D">
        <w:rPr>
          <w:lang w:val="es-ES"/>
        </w:rPr>
        <w:t xml:space="preserve"> </w:t>
      </w:r>
    </w:p>
    <w:p w14:paraId="552934A7" w14:textId="77777777" w:rsidR="00D65ECF" w:rsidRPr="00AE4E8D" w:rsidRDefault="00CB5660" w:rsidP="00D65ECF">
      <w:pPr>
        <w:pStyle w:val="BHTexto"/>
        <w:keepLines/>
        <w:rPr>
          <w:lang w:val="es-ES"/>
        </w:rPr>
      </w:pPr>
      <w:r w:rsidRPr="00AE4E8D">
        <w:rPr>
          <w:lang w:val="es-ES"/>
        </w:rPr>
        <w:t>Durante los últimos años, con el fin de diversificar nuestra fuente de financiamiento, nos focalizamos en la captación de depósitos tanto del sector público como privado. Nuestra principal fuente de depósitos actualmente consiste en depósitos a plazo en moneda local, contando también con colocaciones en Dólares Estadounidenses y depósitos en caja de ahorro y cuenta corriente. El siguiente cuadro detalla nuestras principales fuentes de financiamiento a las fechas indicadas.</w:t>
      </w:r>
    </w:p>
    <w:tbl>
      <w:tblPr>
        <w:tblW w:w="6068" w:type="pct"/>
        <w:jc w:val="center"/>
        <w:tblLayout w:type="fixed"/>
        <w:tblLook w:val="04A0" w:firstRow="1" w:lastRow="0" w:firstColumn="1" w:lastColumn="0" w:noHBand="0" w:noVBand="1"/>
      </w:tblPr>
      <w:tblGrid>
        <w:gridCol w:w="1938"/>
        <w:gridCol w:w="995"/>
        <w:gridCol w:w="286"/>
        <w:gridCol w:w="986"/>
        <w:gridCol w:w="288"/>
        <w:gridCol w:w="982"/>
        <w:gridCol w:w="284"/>
        <w:gridCol w:w="993"/>
        <w:gridCol w:w="286"/>
        <w:gridCol w:w="993"/>
        <w:gridCol w:w="284"/>
        <w:gridCol w:w="1039"/>
        <w:gridCol w:w="241"/>
        <w:gridCol w:w="989"/>
      </w:tblGrid>
      <w:tr w:rsidR="007B6E79" w:rsidRPr="007B6E79" w14:paraId="719D247D" w14:textId="77777777" w:rsidTr="00897DEC">
        <w:trPr>
          <w:trHeight w:val="156"/>
          <w:jc w:val="center"/>
        </w:trPr>
        <w:tc>
          <w:tcPr>
            <w:tcW w:w="916" w:type="pct"/>
            <w:tcBorders>
              <w:top w:val="nil"/>
              <w:left w:val="nil"/>
              <w:bottom w:val="nil"/>
              <w:right w:val="nil"/>
            </w:tcBorders>
            <w:shd w:val="clear" w:color="auto" w:fill="auto"/>
            <w:noWrap/>
            <w:vAlign w:val="center"/>
            <w:hideMark/>
          </w:tcPr>
          <w:p w14:paraId="28D5DD03" w14:textId="77777777" w:rsidR="00CB6829" w:rsidRPr="007B6E79" w:rsidRDefault="00CB6829" w:rsidP="009E7DDD">
            <w:pPr>
              <w:rPr>
                <w:rFonts w:ascii="Times New Roman" w:hAnsi="Times New Roman"/>
                <w:sz w:val="16"/>
                <w:szCs w:val="16"/>
                <w:lang w:val="es-ES"/>
              </w:rPr>
            </w:pPr>
          </w:p>
        </w:tc>
        <w:tc>
          <w:tcPr>
            <w:tcW w:w="2274" w:type="pct"/>
            <w:gridSpan w:val="7"/>
            <w:tcBorders>
              <w:top w:val="nil"/>
              <w:left w:val="nil"/>
              <w:bottom w:val="single" w:sz="8" w:space="0" w:color="auto"/>
              <w:right w:val="nil"/>
            </w:tcBorders>
            <w:shd w:val="clear" w:color="auto" w:fill="auto"/>
            <w:noWrap/>
            <w:vAlign w:val="center"/>
            <w:hideMark/>
          </w:tcPr>
          <w:p w14:paraId="2F8C769C" w14:textId="77777777" w:rsidR="00CB6829" w:rsidRPr="007B6E79" w:rsidRDefault="00CB6829" w:rsidP="009E7DDD">
            <w:pPr>
              <w:jc w:val="cente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Al 31 de diciembre de</w:t>
            </w:r>
          </w:p>
        </w:tc>
        <w:tc>
          <w:tcPr>
            <w:tcW w:w="135" w:type="pct"/>
            <w:tcBorders>
              <w:top w:val="nil"/>
              <w:left w:val="nil"/>
              <w:bottom w:val="nil"/>
              <w:right w:val="nil"/>
            </w:tcBorders>
            <w:shd w:val="clear" w:color="auto" w:fill="auto"/>
            <w:noWrap/>
            <w:vAlign w:val="bottom"/>
            <w:hideMark/>
          </w:tcPr>
          <w:p w14:paraId="3AAF1331" w14:textId="77777777" w:rsidR="00CB6829" w:rsidRPr="007B6E79" w:rsidRDefault="00CB6829" w:rsidP="009E7DDD">
            <w:pPr>
              <w:rPr>
                <w:rFonts w:ascii="Times New Roman" w:hAnsi="Times New Roman"/>
                <w:sz w:val="16"/>
                <w:szCs w:val="16"/>
                <w:lang w:val="es-ES"/>
              </w:rPr>
            </w:pPr>
          </w:p>
        </w:tc>
        <w:tc>
          <w:tcPr>
            <w:tcW w:w="1676" w:type="pct"/>
            <w:gridSpan w:val="5"/>
            <w:tcBorders>
              <w:top w:val="nil"/>
              <w:left w:val="nil"/>
              <w:bottom w:val="single" w:sz="8" w:space="0" w:color="auto"/>
              <w:right w:val="nil"/>
            </w:tcBorders>
          </w:tcPr>
          <w:p w14:paraId="69801471" w14:textId="77777777" w:rsidR="00CB6829" w:rsidRPr="007B6E79" w:rsidRDefault="00CB6829" w:rsidP="009E7DDD">
            <w:pPr>
              <w:jc w:val="cente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Al 30 de junio de</w:t>
            </w:r>
          </w:p>
        </w:tc>
      </w:tr>
      <w:tr w:rsidR="007B6E79" w:rsidRPr="007B6E79" w14:paraId="355F5D09" w14:textId="77777777" w:rsidTr="00897DEC">
        <w:trPr>
          <w:trHeight w:val="156"/>
          <w:jc w:val="center"/>
        </w:trPr>
        <w:tc>
          <w:tcPr>
            <w:tcW w:w="916" w:type="pct"/>
            <w:tcBorders>
              <w:top w:val="nil"/>
              <w:left w:val="nil"/>
              <w:bottom w:val="nil"/>
              <w:right w:val="nil"/>
            </w:tcBorders>
            <w:shd w:val="clear" w:color="auto" w:fill="auto"/>
            <w:noWrap/>
            <w:vAlign w:val="center"/>
            <w:hideMark/>
          </w:tcPr>
          <w:p w14:paraId="348DCFC3" w14:textId="77777777" w:rsidR="001C6749" w:rsidRPr="007B6E79" w:rsidRDefault="001C6749" w:rsidP="009E7DDD">
            <w:pPr>
              <w:rPr>
                <w:rFonts w:ascii="Times New Roman" w:hAnsi="Times New Roman"/>
                <w:sz w:val="16"/>
                <w:szCs w:val="16"/>
                <w:lang w:val="es-ES"/>
              </w:rPr>
            </w:pPr>
          </w:p>
        </w:tc>
        <w:tc>
          <w:tcPr>
            <w:tcW w:w="470" w:type="pct"/>
            <w:tcBorders>
              <w:top w:val="nil"/>
              <w:left w:val="nil"/>
              <w:bottom w:val="single" w:sz="8" w:space="0" w:color="auto"/>
              <w:right w:val="nil"/>
            </w:tcBorders>
            <w:shd w:val="clear" w:color="auto" w:fill="auto"/>
            <w:noWrap/>
            <w:vAlign w:val="center"/>
            <w:hideMark/>
          </w:tcPr>
          <w:p w14:paraId="3F684B86" w14:textId="77777777" w:rsidR="001C6749" w:rsidRPr="007B6E79" w:rsidRDefault="001C6749" w:rsidP="009E7DDD">
            <w:pPr>
              <w:jc w:val="cente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2014</w:t>
            </w:r>
          </w:p>
        </w:tc>
        <w:tc>
          <w:tcPr>
            <w:tcW w:w="135" w:type="pct"/>
            <w:tcBorders>
              <w:top w:val="nil"/>
              <w:left w:val="nil"/>
              <w:bottom w:val="nil"/>
              <w:right w:val="nil"/>
            </w:tcBorders>
            <w:shd w:val="clear" w:color="auto" w:fill="auto"/>
            <w:noWrap/>
            <w:vAlign w:val="center"/>
            <w:hideMark/>
          </w:tcPr>
          <w:p w14:paraId="1F262BCC" w14:textId="77777777" w:rsidR="001C6749" w:rsidRPr="007B6E79" w:rsidRDefault="001C6749" w:rsidP="009E7DDD">
            <w:pPr>
              <w:rPr>
                <w:rFonts w:ascii="Times New Roman" w:hAnsi="Times New Roman"/>
                <w:sz w:val="16"/>
                <w:szCs w:val="16"/>
                <w:lang w:val="es-ES"/>
              </w:rPr>
            </w:pPr>
          </w:p>
        </w:tc>
        <w:tc>
          <w:tcPr>
            <w:tcW w:w="466" w:type="pct"/>
            <w:tcBorders>
              <w:top w:val="nil"/>
              <w:left w:val="nil"/>
              <w:bottom w:val="single" w:sz="8" w:space="0" w:color="auto"/>
              <w:right w:val="nil"/>
            </w:tcBorders>
            <w:shd w:val="clear" w:color="auto" w:fill="auto"/>
            <w:noWrap/>
            <w:vAlign w:val="center"/>
            <w:hideMark/>
          </w:tcPr>
          <w:p w14:paraId="166AFBF7" w14:textId="77777777" w:rsidR="001C6749" w:rsidRPr="007B6E79" w:rsidRDefault="001C6749" w:rsidP="009E7DDD">
            <w:pPr>
              <w:jc w:val="cente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2015</w:t>
            </w:r>
          </w:p>
        </w:tc>
        <w:tc>
          <w:tcPr>
            <w:tcW w:w="136" w:type="pct"/>
            <w:tcBorders>
              <w:top w:val="nil"/>
              <w:left w:val="nil"/>
              <w:bottom w:val="nil"/>
              <w:right w:val="nil"/>
            </w:tcBorders>
            <w:shd w:val="clear" w:color="auto" w:fill="auto"/>
            <w:noWrap/>
            <w:vAlign w:val="center"/>
            <w:hideMark/>
          </w:tcPr>
          <w:p w14:paraId="2150F7D1" w14:textId="77777777" w:rsidR="001C6749" w:rsidRPr="007B6E79" w:rsidRDefault="001C6749" w:rsidP="009E7DDD">
            <w:pPr>
              <w:rPr>
                <w:rFonts w:ascii="Times New Roman" w:hAnsi="Times New Roman"/>
                <w:sz w:val="16"/>
                <w:szCs w:val="16"/>
                <w:lang w:val="es-ES"/>
              </w:rPr>
            </w:pPr>
          </w:p>
        </w:tc>
        <w:tc>
          <w:tcPr>
            <w:tcW w:w="464" w:type="pct"/>
            <w:tcBorders>
              <w:top w:val="nil"/>
              <w:left w:val="nil"/>
              <w:bottom w:val="single" w:sz="8" w:space="0" w:color="auto"/>
              <w:right w:val="nil"/>
            </w:tcBorders>
            <w:shd w:val="clear" w:color="auto" w:fill="auto"/>
            <w:noWrap/>
            <w:vAlign w:val="center"/>
            <w:hideMark/>
          </w:tcPr>
          <w:p w14:paraId="3A3FD289" w14:textId="77777777" w:rsidR="001C6749" w:rsidRPr="007B6E79" w:rsidRDefault="001C6749" w:rsidP="009E7DDD">
            <w:pPr>
              <w:jc w:val="cente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2016</w:t>
            </w:r>
          </w:p>
        </w:tc>
        <w:tc>
          <w:tcPr>
            <w:tcW w:w="134" w:type="pct"/>
            <w:tcBorders>
              <w:top w:val="nil"/>
              <w:left w:val="nil"/>
              <w:bottom w:val="nil"/>
              <w:right w:val="nil"/>
            </w:tcBorders>
            <w:shd w:val="clear" w:color="auto" w:fill="auto"/>
            <w:vAlign w:val="center"/>
            <w:hideMark/>
          </w:tcPr>
          <w:p w14:paraId="3D7CA1CB" w14:textId="77777777" w:rsidR="001C6749" w:rsidRPr="007B6E79" w:rsidRDefault="001C6749" w:rsidP="009E7DDD">
            <w:pPr>
              <w:rPr>
                <w:rFonts w:ascii="Times New Roman" w:hAnsi="Times New Roman"/>
                <w:sz w:val="16"/>
                <w:szCs w:val="16"/>
                <w:lang w:val="es-ES"/>
              </w:rPr>
            </w:pPr>
          </w:p>
        </w:tc>
        <w:tc>
          <w:tcPr>
            <w:tcW w:w="469" w:type="pct"/>
            <w:tcBorders>
              <w:top w:val="nil"/>
              <w:left w:val="nil"/>
              <w:bottom w:val="single" w:sz="8" w:space="0" w:color="auto"/>
              <w:right w:val="nil"/>
            </w:tcBorders>
            <w:shd w:val="clear" w:color="auto" w:fill="auto"/>
            <w:noWrap/>
            <w:vAlign w:val="center"/>
            <w:hideMark/>
          </w:tcPr>
          <w:p w14:paraId="7157C248" w14:textId="77777777" w:rsidR="001C6749" w:rsidRPr="007B6E79" w:rsidRDefault="001C6749" w:rsidP="009E7DDD">
            <w:pPr>
              <w:jc w:val="cente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2016</w:t>
            </w:r>
          </w:p>
        </w:tc>
        <w:tc>
          <w:tcPr>
            <w:tcW w:w="135" w:type="pct"/>
            <w:tcBorders>
              <w:top w:val="nil"/>
              <w:left w:val="nil"/>
              <w:bottom w:val="nil"/>
              <w:right w:val="nil"/>
            </w:tcBorders>
            <w:shd w:val="clear" w:color="auto" w:fill="auto"/>
            <w:noWrap/>
            <w:vAlign w:val="bottom"/>
            <w:hideMark/>
          </w:tcPr>
          <w:p w14:paraId="4EC546AE" w14:textId="77777777" w:rsidR="001C6749" w:rsidRPr="007B6E79" w:rsidRDefault="001C6749" w:rsidP="009E7DDD">
            <w:pPr>
              <w:rPr>
                <w:rFonts w:ascii="Times New Roman" w:hAnsi="Times New Roman"/>
                <w:sz w:val="16"/>
                <w:szCs w:val="16"/>
                <w:lang w:val="es-ES"/>
              </w:rPr>
            </w:pPr>
          </w:p>
        </w:tc>
        <w:tc>
          <w:tcPr>
            <w:tcW w:w="469" w:type="pct"/>
            <w:tcBorders>
              <w:top w:val="nil"/>
              <w:left w:val="nil"/>
              <w:bottom w:val="single" w:sz="8" w:space="0" w:color="auto"/>
              <w:right w:val="nil"/>
            </w:tcBorders>
          </w:tcPr>
          <w:p w14:paraId="01356B3D" w14:textId="77777777" w:rsidR="001C6749" w:rsidRPr="007B6E79" w:rsidRDefault="00CB6829" w:rsidP="009E7DDD">
            <w:pPr>
              <w:jc w:val="cente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2016</w:t>
            </w:r>
          </w:p>
        </w:tc>
        <w:tc>
          <w:tcPr>
            <w:tcW w:w="134" w:type="pct"/>
            <w:tcBorders>
              <w:top w:val="single" w:sz="4" w:space="0" w:color="auto"/>
              <w:left w:val="nil"/>
              <w:right w:val="nil"/>
            </w:tcBorders>
          </w:tcPr>
          <w:p w14:paraId="795FB775" w14:textId="77777777" w:rsidR="001C6749" w:rsidRPr="007B6E79" w:rsidRDefault="001C6749" w:rsidP="009E7DDD">
            <w:pPr>
              <w:jc w:val="center"/>
              <w:rPr>
                <w:rFonts w:ascii="Times New Roman" w:hAnsi="Times New Roman"/>
                <w:b/>
                <w:bCs/>
                <w:color w:val="000000"/>
                <w:sz w:val="16"/>
                <w:szCs w:val="16"/>
                <w:lang w:val="es-ES"/>
              </w:rPr>
            </w:pPr>
          </w:p>
        </w:tc>
        <w:tc>
          <w:tcPr>
            <w:tcW w:w="491" w:type="pct"/>
            <w:tcBorders>
              <w:top w:val="nil"/>
              <w:left w:val="nil"/>
              <w:bottom w:val="single" w:sz="8" w:space="0" w:color="auto"/>
              <w:right w:val="nil"/>
            </w:tcBorders>
            <w:shd w:val="clear" w:color="auto" w:fill="auto"/>
            <w:vAlign w:val="center"/>
            <w:hideMark/>
          </w:tcPr>
          <w:p w14:paraId="680DFB77" w14:textId="77777777" w:rsidR="001C6749" w:rsidRPr="007B6E79" w:rsidRDefault="001C6749" w:rsidP="009E7DDD">
            <w:pPr>
              <w:jc w:val="cente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2017</w:t>
            </w:r>
          </w:p>
        </w:tc>
        <w:tc>
          <w:tcPr>
            <w:tcW w:w="114" w:type="pct"/>
            <w:tcBorders>
              <w:top w:val="nil"/>
              <w:left w:val="nil"/>
              <w:bottom w:val="nil"/>
              <w:right w:val="nil"/>
            </w:tcBorders>
            <w:shd w:val="clear" w:color="auto" w:fill="auto"/>
            <w:vAlign w:val="center"/>
            <w:hideMark/>
          </w:tcPr>
          <w:p w14:paraId="7B74E243" w14:textId="77777777" w:rsidR="001C6749" w:rsidRPr="007B6E79" w:rsidRDefault="001C6749" w:rsidP="009E7DDD">
            <w:pPr>
              <w:jc w:val="center"/>
              <w:rPr>
                <w:rFonts w:ascii="Times New Roman" w:hAnsi="Times New Roman"/>
                <w:b/>
                <w:bCs/>
                <w:color w:val="000000"/>
                <w:sz w:val="16"/>
                <w:szCs w:val="16"/>
                <w:lang w:val="es-ES"/>
              </w:rPr>
            </w:pPr>
          </w:p>
        </w:tc>
        <w:tc>
          <w:tcPr>
            <w:tcW w:w="467" w:type="pct"/>
            <w:tcBorders>
              <w:top w:val="nil"/>
              <w:left w:val="nil"/>
              <w:bottom w:val="single" w:sz="8" w:space="0" w:color="auto"/>
              <w:right w:val="nil"/>
            </w:tcBorders>
            <w:shd w:val="clear" w:color="auto" w:fill="auto"/>
            <w:vAlign w:val="center"/>
            <w:hideMark/>
          </w:tcPr>
          <w:p w14:paraId="4E1922F8" w14:textId="77777777" w:rsidR="001C6749" w:rsidRPr="007B6E79" w:rsidRDefault="001C6749" w:rsidP="009E7DDD">
            <w:pPr>
              <w:jc w:val="cente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2017</w:t>
            </w:r>
          </w:p>
        </w:tc>
      </w:tr>
      <w:tr w:rsidR="007B6E79" w:rsidRPr="007B6E79" w14:paraId="50F2EE8F" w14:textId="77777777" w:rsidTr="00897DEC">
        <w:trPr>
          <w:trHeight w:val="148"/>
          <w:jc w:val="center"/>
        </w:trPr>
        <w:tc>
          <w:tcPr>
            <w:tcW w:w="916" w:type="pct"/>
            <w:vMerge w:val="restart"/>
            <w:tcBorders>
              <w:top w:val="nil"/>
              <w:left w:val="nil"/>
              <w:bottom w:val="nil"/>
              <w:right w:val="nil"/>
            </w:tcBorders>
            <w:shd w:val="clear" w:color="auto" w:fill="auto"/>
            <w:noWrap/>
            <w:vAlign w:val="center"/>
            <w:hideMark/>
          </w:tcPr>
          <w:p w14:paraId="2680ED0D" w14:textId="77777777" w:rsidR="007B6E79" w:rsidRPr="007B6E79" w:rsidRDefault="007B6E79" w:rsidP="009E7DDD">
            <w:pPr>
              <w:rPr>
                <w:rFonts w:ascii="Times New Roman" w:hAnsi="Times New Roman"/>
                <w:sz w:val="16"/>
                <w:szCs w:val="16"/>
                <w:lang w:val="es-ES"/>
              </w:rPr>
            </w:pPr>
          </w:p>
        </w:tc>
        <w:tc>
          <w:tcPr>
            <w:tcW w:w="1671" w:type="pct"/>
            <w:gridSpan w:val="5"/>
            <w:vMerge w:val="restart"/>
            <w:tcBorders>
              <w:top w:val="nil"/>
              <w:left w:val="nil"/>
              <w:bottom w:val="nil"/>
              <w:right w:val="nil"/>
            </w:tcBorders>
            <w:shd w:val="clear" w:color="auto" w:fill="auto"/>
            <w:noWrap/>
            <w:vAlign w:val="center"/>
            <w:hideMark/>
          </w:tcPr>
          <w:p w14:paraId="3B12C9D7" w14:textId="77777777" w:rsidR="007B6E79" w:rsidRPr="007B6E79" w:rsidRDefault="007B6E79" w:rsidP="009E7DDD">
            <w:pPr>
              <w:jc w:val="center"/>
              <w:rPr>
                <w:rFonts w:ascii="Times New Roman" w:hAnsi="Times New Roman"/>
                <w:color w:val="000000"/>
                <w:sz w:val="16"/>
                <w:szCs w:val="16"/>
                <w:lang w:val="es-ES"/>
              </w:rPr>
            </w:pPr>
            <w:r w:rsidRPr="007B6E79">
              <w:rPr>
                <w:rFonts w:ascii="Times New Roman" w:hAnsi="Times New Roman"/>
                <w:color w:val="000000"/>
                <w:sz w:val="16"/>
                <w:szCs w:val="16"/>
                <w:lang w:val="es-ES"/>
              </w:rPr>
              <w:t>(en miles de pesos)</w:t>
            </w:r>
          </w:p>
        </w:tc>
        <w:tc>
          <w:tcPr>
            <w:tcW w:w="134" w:type="pct"/>
            <w:vMerge w:val="restart"/>
            <w:tcBorders>
              <w:top w:val="nil"/>
              <w:left w:val="nil"/>
              <w:bottom w:val="nil"/>
              <w:right w:val="nil"/>
            </w:tcBorders>
            <w:shd w:val="clear" w:color="auto" w:fill="auto"/>
            <w:noWrap/>
            <w:vAlign w:val="center"/>
            <w:hideMark/>
          </w:tcPr>
          <w:p w14:paraId="5AD606D5" w14:textId="77777777" w:rsidR="007B6E79" w:rsidRPr="007B6E79" w:rsidRDefault="007B6E79" w:rsidP="009E7DDD">
            <w:pPr>
              <w:rPr>
                <w:rFonts w:ascii="Times New Roman" w:hAnsi="Times New Roman"/>
                <w:sz w:val="16"/>
                <w:szCs w:val="16"/>
                <w:lang w:val="es-ES"/>
              </w:rPr>
            </w:pPr>
          </w:p>
        </w:tc>
        <w:tc>
          <w:tcPr>
            <w:tcW w:w="469" w:type="pct"/>
            <w:vMerge w:val="restart"/>
            <w:tcBorders>
              <w:top w:val="nil"/>
              <w:left w:val="nil"/>
              <w:right w:val="nil"/>
            </w:tcBorders>
            <w:shd w:val="clear" w:color="auto" w:fill="auto"/>
            <w:noWrap/>
            <w:vAlign w:val="center"/>
            <w:hideMark/>
          </w:tcPr>
          <w:p w14:paraId="5FD10F64" w14:textId="77777777" w:rsidR="007B6E79" w:rsidRPr="007B6E79" w:rsidRDefault="007B6E79" w:rsidP="009E7DDD">
            <w:pPr>
              <w:jc w:val="center"/>
              <w:rPr>
                <w:rFonts w:ascii="Times New Roman" w:hAnsi="Times New Roman"/>
                <w:color w:val="000000"/>
                <w:sz w:val="16"/>
                <w:szCs w:val="16"/>
                <w:lang w:val="es-ES"/>
              </w:rPr>
            </w:pPr>
            <w:r w:rsidRPr="007B6E79">
              <w:rPr>
                <w:rFonts w:ascii="Times New Roman" w:hAnsi="Times New Roman"/>
                <w:color w:val="000000"/>
                <w:sz w:val="16"/>
                <w:szCs w:val="16"/>
                <w:lang w:val="es-ES"/>
              </w:rPr>
              <w:t>(en miles de US$ (1))</w:t>
            </w:r>
          </w:p>
        </w:tc>
        <w:tc>
          <w:tcPr>
            <w:tcW w:w="135" w:type="pct"/>
            <w:tcBorders>
              <w:top w:val="nil"/>
              <w:left w:val="nil"/>
              <w:bottom w:val="nil"/>
              <w:right w:val="nil"/>
            </w:tcBorders>
            <w:shd w:val="clear" w:color="auto" w:fill="auto"/>
            <w:noWrap/>
            <w:vAlign w:val="bottom"/>
            <w:hideMark/>
          </w:tcPr>
          <w:p w14:paraId="72484C63" w14:textId="77777777" w:rsidR="007B6E79" w:rsidRPr="007B6E79" w:rsidRDefault="007B6E79" w:rsidP="009E7DDD">
            <w:pPr>
              <w:rPr>
                <w:rFonts w:ascii="Times New Roman" w:hAnsi="Times New Roman"/>
                <w:sz w:val="16"/>
                <w:szCs w:val="16"/>
                <w:lang w:val="es-ES"/>
              </w:rPr>
            </w:pPr>
          </w:p>
        </w:tc>
        <w:tc>
          <w:tcPr>
            <w:tcW w:w="1094" w:type="pct"/>
            <w:gridSpan w:val="3"/>
            <w:vMerge w:val="restart"/>
            <w:tcBorders>
              <w:top w:val="nil"/>
              <w:left w:val="nil"/>
              <w:right w:val="nil"/>
            </w:tcBorders>
            <w:vAlign w:val="center"/>
          </w:tcPr>
          <w:p w14:paraId="5AA762BB" w14:textId="77777777" w:rsidR="007B6E79" w:rsidRPr="007B6E79" w:rsidRDefault="007B6E79" w:rsidP="00B63F1A">
            <w:pPr>
              <w:jc w:val="center"/>
              <w:rPr>
                <w:rFonts w:ascii="Times New Roman" w:hAnsi="Times New Roman"/>
                <w:color w:val="000000"/>
                <w:sz w:val="16"/>
                <w:szCs w:val="16"/>
                <w:lang w:val="es-ES"/>
              </w:rPr>
            </w:pPr>
            <w:r w:rsidRPr="007B6E79">
              <w:rPr>
                <w:rFonts w:ascii="Times New Roman" w:hAnsi="Times New Roman"/>
                <w:color w:val="000000"/>
                <w:sz w:val="16"/>
                <w:szCs w:val="16"/>
                <w:lang w:val="es-ES"/>
              </w:rPr>
              <w:t>(en miles de Pesos)</w:t>
            </w:r>
          </w:p>
        </w:tc>
        <w:tc>
          <w:tcPr>
            <w:tcW w:w="114" w:type="pct"/>
            <w:vMerge w:val="restart"/>
            <w:tcBorders>
              <w:top w:val="nil"/>
              <w:left w:val="nil"/>
              <w:bottom w:val="nil"/>
              <w:right w:val="nil"/>
            </w:tcBorders>
            <w:shd w:val="clear" w:color="auto" w:fill="auto"/>
            <w:vAlign w:val="center"/>
            <w:hideMark/>
          </w:tcPr>
          <w:p w14:paraId="62838802" w14:textId="77777777" w:rsidR="007B6E79" w:rsidRPr="007B6E79" w:rsidRDefault="007B6E79" w:rsidP="009E7DDD">
            <w:pPr>
              <w:jc w:val="center"/>
              <w:rPr>
                <w:rFonts w:ascii="Times New Roman" w:hAnsi="Times New Roman"/>
                <w:color w:val="000000"/>
                <w:sz w:val="16"/>
                <w:szCs w:val="16"/>
                <w:lang w:val="es-ES"/>
              </w:rPr>
            </w:pPr>
          </w:p>
        </w:tc>
        <w:tc>
          <w:tcPr>
            <w:tcW w:w="467" w:type="pct"/>
            <w:vMerge w:val="restart"/>
            <w:tcBorders>
              <w:top w:val="nil"/>
              <w:left w:val="nil"/>
              <w:right w:val="nil"/>
            </w:tcBorders>
            <w:shd w:val="clear" w:color="auto" w:fill="auto"/>
            <w:vAlign w:val="center"/>
            <w:hideMark/>
          </w:tcPr>
          <w:p w14:paraId="6B059A07" w14:textId="77777777" w:rsidR="007B6E79" w:rsidRPr="007B6E79" w:rsidRDefault="007B6E79" w:rsidP="009E7DDD">
            <w:pPr>
              <w:jc w:val="center"/>
              <w:rPr>
                <w:rFonts w:ascii="Times New Roman" w:hAnsi="Times New Roman"/>
                <w:color w:val="000000"/>
                <w:sz w:val="16"/>
                <w:szCs w:val="16"/>
                <w:lang w:val="es-ES"/>
              </w:rPr>
            </w:pPr>
            <w:r w:rsidRPr="007B6E79">
              <w:rPr>
                <w:rFonts w:ascii="Times New Roman" w:hAnsi="Times New Roman"/>
                <w:color w:val="000000"/>
                <w:sz w:val="16"/>
                <w:szCs w:val="16"/>
                <w:lang w:val="es-ES"/>
              </w:rPr>
              <w:t>(en miles de US$ (1))</w:t>
            </w:r>
          </w:p>
        </w:tc>
      </w:tr>
      <w:tr w:rsidR="007B6E79" w:rsidRPr="007B6E79" w14:paraId="5B665EEB" w14:textId="77777777" w:rsidTr="00897DEC">
        <w:trPr>
          <w:trHeight w:val="148"/>
          <w:jc w:val="center"/>
        </w:trPr>
        <w:tc>
          <w:tcPr>
            <w:tcW w:w="916" w:type="pct"/>
            <w:vMerge/>
            <w:tcBorders>
              <w:top w:val="nil"/>
              <w:left w:val="nil"/>
              <w:bottom w:val="nil"/>
              <w:right w:val="nil"/>
            </w:tcBorders>
            <w:vAlign w:val="center"/>
            <w:hideMark/>
          </w:tcPr>
          <w:p w14:paraId="12B6D312" w14:textId="77777777" w:rsidR="007B6E79" w:rsidRPr="007B6E79" w:rsidRDefault="007B6E79" w:rsidP="009E7DDD">
            <w:pPr>
              <w:rPr>
                <w:rFonts w:ascii="Times New Roman" w:hAnsi="Times New Roman"/>
                <w:sz w:val="16"/>
                <w:szCs w:val="16"/>
                <w:lang w:val="es-ES"/>
              </w:rPr>
            </w:pPr>
          </w:p>
        </w:tc>
        <w:tc>
          <w:tcPr>
            <w:tcW w:w="1671" w:type="pct"/>
            <w:gridSpan w:val="5"/>
            <w:vMerge/>
            <w:tcBorders>
              <w:top w:val="nil"/>
              <w:left w:val="nil"/>
              <w:bottom w:val="nil"/>
              <w:right w:val="nil"/>
            </w:tcBorders>
            <w:vAlign w:val="center"/>
            <w:hideMark/>
          </w:tcPr>
          <w:p w14:paraId="0ACC1B54" w14:textId="77777777" w:rsidR="007B6E79" w:rsidRPr="007B6E79" w:rsidRDefault="007B6E79" w:rsidP="009E7DDD">
            <w:pPr>
              <w:rPr>
                <w:rFonts w:ascii="Times New Roman" w:hAnsi="Times New Roman"/>
                <w:color w:val="000000"/>
                <w:sz w:val="16"/>
                <w:szCs w:val="16"/>
                <w:lang w:val="es-ES"/>
              </w:rPr>
            </w:pPr>
          </w:p>
        </w:tc>
        <w:tc>
          <w:tcPr>
            <w:tcW w:w="134" w:type="pct"/>
            <w:vMerge/>
            <w:tcBorders>
              <w:top w:val="nil"/>
              <w:left w:val="nil"/>
              <w:bottom w:val="nil"/>
              <w:right w:val="nil"/>
            </w:tcBorders>
            <w:vAlign w:val="center"/>
            <w:hideMark/>
          </w:tcPr>
          <w:p w14:paraId="53412B6C" w14:textId="77777777" w:rsidR="007B6E79" w:rsidRPr="007B6E79" w:rsidRDefault="007B6E79" w:rsidP="009E7DDD">
            <w:pPr>
              <w:rPr>
                <w:rFonts w:ascii="Times New Roman" w:hAnsi="Times New Roman"/>
                <w:sz w:val="16"/>
                <w:szCs w:val="16"/>
                <w:lang w:val="es-ES"/>
              </w:rPr>
            </w:pPr>
          </w:p>
        </w:tc>
        <w:tc>
          <w:tcPr>
            <w:tcW w:w="469" w:type="pct"/>
            <w:vMerge/>
            <w:tcBorders>
              <w:left w:val="nil"/>
              <w:bottom w:val="nil"/>
              <w:right w:val="nil"/>
            </w:tcBorders>
            <w:shd w:val="clear" w:color="auto" w:fill="auto"/>
            <w:noWrap/>
            <w:vAlign w:val="center"/>
            <w:hideMark/>
          </w:tcPr>
          <w:p w14:paraId="062BBA23" w14:textId="77777777" w:rsidR="007B6E79" w:rsidRPr="007B6E79" w:rsidRDefault="007B6E79" w:rsidP="009E7DDD">
            <w:pPr>
              <w:jc w:val="center"/>
              <w:rPr>
                <w:rFonts w:ascii="Times New Roman" w:hAnsi="Times New Roman"/>
                <w:color w:val="000000"/>
                <w:sz w:val="16"/>
                <w:szCs w:val="16"/>
                <w:lang w:val="es-ES"/>
              </w:rPr>
            </w:pPr>
          </w:p>
        </w:tc>
        <w:tc>
          <w:tcPr>
            <w:tcW w:w="135" w:type="pct"/>
            <w:tcBorders>
              <w:top w:val="nil"/>
              <w:left w:val="nil"/>
              <w:bottom w:val="nil"/>
              <w:right w:val="nil"/>
            </w:tcBorders>
            <w:shd w:val="clear" w:color="auto" w:fill="auto"/>
            <w:noWrap/>
            <w:vAlign w:val="bottom"/>
            <w:hideMark/>
          </w:tcPr>
          <w:p w14:paraId="56907368" w14:textId="77777777" w:rsidR="007B6E79" w:rsidRPr="007B6E79" w:rsidRDefault="007B6E79" w:rsidP="009E7DDD">
            <w:pPr>
              <w:rPr>
                <w:rFonts w:ascii="Times New Roman" w:hAnsi="Times New Roman"/>
                <w:sz w:val="16"/>
                <w:szCs w:val="16"/>
                <w:lang w:val="es-ES"/>
              </w:rPr>
            </w:pPr>
          </w:p>
        </w:tc>
        <w:tc>
          <w:tcPr>
            <w:tcW w:w="1094" w:type="pct"/>
            <w:gridSpan w:val="3"/>
            <w:vMerge/>
            <w:tcBorders>
              <w:left w:val="nil"/>
              <w:bottom w:val="nil"/>
              <w:right w:val="nil"/>
            </w:tcBorders>
          </w:tcPr>
          <w:p w14:paraId="7EA83A70" w14:textId="77777777" w:rsidR="007B6E79" w:rsidRPr="007B6E79" w:rsidRDefault="007B6E79" w:rsidP="009E7DDD">
            <w:pPr>
              <w:rPr>
                <w:rFonts w:ascii="Times New Roman" w:hAnsi="Times New Roman"/>
                <w:color w:val="000000"/>
                <w:sz w:val="16"/>
                <w:szCs w:val="16"/>
                <w:lang w:val="es-ES"/>
              </w:rPr>
            </w:pPr>
          </w:p>
        </w:tc>
        <w:tc>
          <w:tcPr>
            <w:tcW w:w="114" w:type="pct"/>
            <w:vMerge/>
            <w:tcBorders>
              <w:top w:val="nil"/>
              <w:left w:val="nil"/>
              <w:bottom w:val="nil"/>
              <w:right w:val="nil"/>
            </w:tcBorders>
            <w:vAlign w:val="center"/>
            <w:hideMark/>
          </w:tcPr>
          <w:p w14:paraId="16D6DCD7" w14:textId="77777777" w:rsidR="007B6E79" w:rsidRPr="007B6E79" w:rsidRDefault="007B6E79" w:rsidP="009E7DDD">
            <w:pPr>
              <w:rPr>
                <w:rFonts w:ascii="Times New Roman" w:hAnsi="Times New Roman"/>
                <w:color w:val="000000"/>
                <w:sz w:val="16"/>
                <w:szCs w:val="16"/>
                <w:lang w:val="es-ES"/>
              </w:rPr>
            </w:pPr>
          </w:p>
        </w:tc>
        <w:tc>
          <w:tcPr>
            <w:tcW w:w="467" w:type="pct"/>
            <w:vMerge/>
            <w:tcBorders>
              <w:left w:val="nil"/>
              <w:bottom w:val="nil"/>
              <w:right w:val="nil"/>
            </w:tcBorders>
            <w:shd w:val="clear" w:color="auto" w:fill="auto"/>
            <w:vAlign w:val="center"/>
            <w:hideMark/>
          </w:tcPr>
          <w:p w14:paraId="4BE2EB36" w14:textId="77777777" w:rsidR="007B6E79" w:rsidRPr="007B6E79" w:rsidRDefault="007B6E79" w:rsidP="009E7DDD">
            <w:pPr>
              <w:jc w:val="center"/>
              <w:rPr>
                <w:rFonts w:ascii="Times New Roman" w:hAnsi="Times New Roman"/>
                <w:color w:val="000000"/>
                <w:sz w:val="16"/>
                <w:szCs w:val="16"/>
                <w:lang w:val="es-ES"/>
              </w:rPr>
            </w:pPr>
          </w:p>
        </w:tc>
      </w:tr>
      <w:tr w:rsidR="007B6E79" w:rsidRPr="007B6E79" w14:paraId="782F57A3"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01543138" w14:textId="77777777" w:rsidR="001C6749" w:rsidRPr="007B6E79" w:rsidRDefault="001C6749" w:rsidP="009E7DDD">
            <w:pPr>
              <w:rPr>
                <w:rFonts w:ascii="Times New Roman" w:hAnsi="Times New Roman"/>
                <w:b/>
                <w:bCs/>
                <w:color w:val="000000"/>
                <w:sz w:val="16"/>
                <w:szCs w:val="16"/>
                <w:lang w:val="es-ES"/>
              </w:rPr>
            </w:pPr>
            <w:r w:rsidRPr="007B6E79">
              <w:rPr>
                <w:rFonts w:ascii="Times New Roman" w:hAnsi="Times New Roman"/>
                <w:b/>
                <w:bCs/>
                <w:color w:val="000000"/>
                <w:sz w:val="16"/>
                <w:szCs w:val="16"/>
                <w:lang w:val="es-ES"/>
              </w:rPr>
              <w:t>Depósitos:</w:t>
            </w:r>
          </w:p>
        </w:tc>
        <w:tc>
          <w:tcPr>
            <w:tcW w:w="470" w:type="pct"/>
            <w:tcBorders>
              <w:top w:val="nil"/>
              <w:left w:val="nil"/>
              <w:bottom w:val="nil"/>
              <w:right w:val="nil"/>
            </w:tcBorders>
            <w:shd w:val="clear" w:color="auto" w:fill="auto"/>
            <w:noWrap/>
            <w:vAlign w:val="center"/>
            <w:hideMark/>
          </w:tcPr>
          <w:p w14:paraId="15F0EEA3" w14:textId="77777777" w:rsidR="001C6749" w:rsidRPr="007B6E79" w:rsidRDefault="001C6749" w:rsidP="009E7DDD">
            <w:pPr>
              <w:rPr>
                <w:rFonts w:ascii="Times New Roman" w:hAnsi="Times New Roman"/>
                <w:sz w:val="16"/>
                <w:szCs w:val="16"/>
                <w:lang w:val="es-ES"/>
              </w:rPr>
            </w:pPr>
          </w:p>
        </w:tc>
        <w:tc>
          <w:tcPr>
            <w:tcW w:w="135" w:type="pct"/>
            <w:tcBorders>
              <w:top w:val="nil"/>
              <w:left w:val="nil"/>
              <w:bottom w:val="nil"/>
              <w:right w:val="nil"/>
            </w:tcBorders>
            <w:shd w:val="clear" w:color="auto" w:fill="auto"/>
            <w:noWrap/>
            <w:vAlign w:val="center"/>
            <w:hideMark/>
          </w:tcPr>
          <w:p w14:paraId="56FFAD05" w14:textId="77777777" w:rsidR="001C6749" w:rsidRPr="007B6E79" w:rsidRDefault="001C6749" w:rsidP="009E7DDD">
            <w:pPr>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center"/>
            <w:hideMark/>
          </w:tcPr>
          <w:p w14:paraId="299D7AF0" w14:textId="77777777" w:rsidR="001C6749" w:rsidRPr="007B6E79" w:rsidRDefault="001C6749" w:rsidP="009E7DDD">
            <w:pPr>
              <w:rPr>
                <w:rFonts w:ascii="Times New Roman" w:hAnsi="Times New Roman"/>
                <w:sz w:val="16"/>
                <w:szCs w:val="16"/>
                <w:lang w:val="es-ES"/>
              </w:rPr>
            </w:pPr>
          </w:p>
        </w:tc>
        <w:tc>
          <w:tcPr>
            <w:tcW w:w="136" w:type="pct"/>
            <w:tcBorders>
              <w:top w:val="nil"/>
              <w:left w:val="nil"/>
              <w:bottom w:val="nil"/>
              <w:right w:val="nil"/>
            </w:tcBorders>
            <w:shd w:val="clear" w:color="auto" w:fill="auto"/>
            <w:noWrap/>
            <w:vAlign w:val="center"/>
            <w:hideMark/>
          </w:tcPr>
          <w:p w14:paraId="19820A61" w14:textId="77777777" w:rsidR="001C6749" w:rsidRPr="007B6E79" w:rsidRDefault="001C6749" w:rsidP="009E7DDD">
            <w:pPr>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center"/>
            <w:hideMark/>
          </w:tcPr>
          <w:p w14:paraId="2CD4DFC4" w14:textId="77777777" w:rsidR="001C6749" w:rsidRPr="007B6E79" w:rsidRDefault="001C6749" w:rsidP="009E7DDD">
            <w:pPr>
              <w:rPr>
                <w:rFonts w:ascii="Times New Roman" w:hAnsi="Times New Roman"/>
                <w:sz w:val="16"/>
                <w:szCs w:val="16"/>
                <w:lang w:val="es-ES"/>
              </w:rPr>
            </w:pPr>
          </w:p>
        </w:tc>
        <w:tc>
          <w:tcPr>
            <w:tcW w:w="134" w:type="pct"/>
            <w:tcBorders>
              <w:top w:val="nil"/>
              <w:left w:val="nil"/>
              <w:bottom w:val="nil"/>
              <w:right w:val="nil"/>
            </w:tcBorders>
            <w:shd w:val="clear" w:color="auto" w:fill="auto"/>
            <w:vAlign w:val="center"/>
            <w:hideMark/>
          </w:tcPr>
          <w:p w14:paraId="7D992257" w14:textId="77777777" w:rsidR="001C6749" w:rsidRPr="007B6E79" w:rsidRDefault="001C6749" w:rsidP="009E7DDD">
            <w:pPr>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center"/>
            <w:hideMark/>
          </w:tcPr>
          <w:p w14:paraId="76C75006" w14:textId="77777777" w:rsidR="001C6749" w:rsidRPr="007B6E79" w:rsidRDefault="001C6749" w:rsidP="009E7DDD">
            <w:pPr>
              <w:rPr>
                <w:rFonts w:ascii="Times New Roman" w:hAnsi="Times New Roman"/>
                <w:sz w:val="16"/>
                <w:szCs w:val="16"/>
                <w:lang w:val="es-ES"/>
              </w:rPr>
            </w:pPr>
          </w:p>
        </w:tc>
        <w:tc>
          <w:tcPr>
            <w:tcW w:w="135" w:type="pct"/>
            <w:tcBorders>
              <w:top w:val="nil"/>
              <w:left w:val="nil"/>
              <w:bottom w:val="nil"/>
              <w:right w:val="nil"/>
            </w:tcBorders>
            <w:shd w:val="clear" w:color="auto" w:fill="auto"/>
            <w:noWrap/>
            <w:vAlign w:val="bottom"/>
            <w:hideMark/>
          </w:tcPr>
          <w:p w14:paraId="5755F016" w14:textId="77777777" w:rsidR="001C6749" w:rsidRPr="007B6E79" w:rsidRDefault="001C6749" w:rsidP="009E7DDD">
            <w:pPr>
              <w:rPr>
                <w:rFonts w:ascii="Times New Roman" w:hAnsi="Times New Roman"/>
                <w:sz w:val="16"/>
                <w:szCs w:val="16"/>
                <w:lang w:val="es-ES"/>
              </w:rPr>
            </w:pPr>
          </w:p>
        </w:tc>
        <w:tc>
          <w:tcPr>
            <w:tcW w:w="469" w:type="pct"/>
            <w:tcBorders>
              <w:top w:val="nil"/>
              <w:left w:val="nil"/>
              <w:bottom w:val="nil"/>
              <w:right w:val="nil"/>
            </w:tcBorders>
          </w:tcPr>
          <w:p w14:paraId="16E86A37" w14:textId="77777777" w:rsidR="001C6749" w:rsidRPr="007B6E79" w:rsidRDefault="001C6749" w:rsidP="000400C8">
            <w:pPr>
              <w:jc w:val="right"/>
              <w:rPr>
                <w:rFonts w:ascii="Times New Roman" w:hAnsi="Times New Roman"/>
                <w:color w:val="000000"/>
                <w:sz w:val="16"/>
                <w:szCs w:val="16"/>
                <w:lang w:val="es-ES"/>
              </w:rPr>
            </w:pPr>
          </w:p>
        </w:tc>
        <w:tc>
          <w:tcPr>
            <w:tcW w:w="134" w:type="pct"/>
            <w:tcBorders>
              <w:top w:val="nil"/>
              <w:left w:val="nil"/>
              <w:bottom w:val="nil"/>
              <w:right w:val="nil"/>
            </w:tcBorders>
          </w:tcPr>
          <w:p w14:paraId="6D3F7ADF" w14:textId="77777777" w:rsidR="001C6749" w:rsidRPr="007B6E79" w:rsidRDefault="001C6749" w:rsidP="009E7DDD">
            <w:pPr>
              <w:rPr>
                <w:rFonts w:ascii="Times New Roman" w:hAnsi="Times New Roman"/>
                <w:sz w:val="16"/>
                <w:szCs w:val="16"/>
                <w:lang w:val="es-ES"/>
              </w:rPr>
            </w:pPr>
          </w:p>
        </w:tc>
        <w:tc>
          <w:tcPr>
            <w:tcW w:w="491" w:type="pct"/>
            <w:tcBorders>
              <w:top w:val="nil"/>
              <w:left w:val="nil"/>
              <w:bottom w:val="nil"/>
              <w:right w:val="nil"/>
            </w:tcBorders>
            <w:shd w:val="clear" w:color="auto" w:fill="auto"/>
            <w:noWrap/>
            <w:vAlign w:val="bottom"/>
            <w:hideMark/>
          </w:tcPr>
          <w:p w14:paraId="3759B460" w14:textId="77777777" w:rsidR="001C6749" w:rsidRPr="007B6E79" w:rsidRDefault="001C6749" w:rsidP="009E7DDD">
            <w:pPr>
              <w:rPr>
                <w:rFonts w:ascii="Times New Roman" w:hAnsi="Times New Roman"/>
                <w:sz w:val="16"/>
                <w:szCs w:val="16"/>
                <w:lang w:val="es-ES"/>
              </w:rPr>
            </w:pPr>
          </w:p>
        </w:tc>
        <w:tc>
          <w:tcPr>
            <w:tcW w:w="114" w:type="pct"/>
            <w:tcBorders>
              <w:top w:val="nil"/>
              <w:left w:val="nil"/>
              <w:bottom w:val="nil"/>
              <w:right w:val="nil"/>
            </w:tcBorders>
            <w:shd w:val="clear" w:color="auto" w:fill="auto"/>
            <w:noWrap/>
            <w:vAlign w:val="bottom"/>
            <w:hideMark/>
          </w:tcPr>
          <w:p w14:paraId="076987FE" w14:textId="77777777" w:rsidR="001C6749" w:rsidRPr="007B6E79" w:rsidRDefault="001C6749" w:rsidP="009E7DDD">
            <w:pPr>
              <w:rPr>
                <w:rFonts w:ascii="Times New Roman" w:hAnsi="Times New Roman"/>
                <w:sz w:val="16"/>
                <w:szCs w:val="16"/>
                <w:lang w:val="es-ES"/>
              </w:rPr>
            </w:pPr>
          </w:p>
        </w:tc>
        <w:tc>
          <w:tcPr>
            <w:tcW w:w="467" w:type="pct"/>
            <w:tcBorders>
              <w:top w:val="nil"/>
              <w:left w:val="nil"/>
              <w:bottom w:val="nil"/>
              <w:right w:val="nil"/>
            </w:tcBorders>
            <w:shd w:val="clear" w:color="auto" w:fill="auto"/>
            <w:noWrap/>
            <w:vAlign w:val="bottom"/>
            <w:hideMark/>
          </w:tcPr>
          <w:p w14:paraId="7692C8D4" w14:textId="77777777" w:rsidR="001C6749" w:rsidRPr="007B6E79" w:rsidRDefault="001C6749" w:rsidP="009E7DDD">
            <w:pPr>
              <w:rPr>
                <w:rFonts w:ascii="Times New Roman" w:hAnsi="Times New Roman"/>
                <w:sz w:val="16"/>
                <w:szCs w:val="16"/>
                <w:lang w:val="es-ES"/>
              </w:rPr>
            </w:pPr>
          </w:p>
        </w:tc>
      </w:tr>
      <w:tr w:rsidR="007B6E79" w:rsidRPr="007B6E79" w14:paraId="3DC53D45"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4B41F456" w14:textId="77777777" w:rsidR="00CB6829" w:rsidRPr="007B6E79" w:rsidRDefault="00CB6829" w:rsidP="00897DEC">
            <w:pPr>
              <w:ind w:firstLineChars="21" w:firstLine="34"/>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Sector Público no Financiero </w:t>
            </w:r>
          </w:p>
        </w:tc>
        <w:tc>
          <w:tcPr>
            <w:tcW w:w="470" w:type="pct"/>
            <w:tcBorders>
              <w:top w:val="nil"/>
              <w:left w:val="nil"/>
              <w:bottom w:val="nil"/>
              <w:right w:val="nil"/>
            </w:tcBorders>
            <w:shd w:val="clear" w:color="auto" w:fill="auto"/>
            <w:noWrap/>
            <w:vAlign w:val="bottom"/>
            <w:hideMark/>
          </w:tcPr>
          <w:p w14:paraId="3C476547"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9.100.822</w:t>
            </w:r>
          </w:p>
        </w:tc>
        <w:tc>
          <w:tcPr>
            <w:tcW w:w="135" w:type="pct"/>
            <w:tcBorders>
              <w:top w:val="nil"/>
              <w:left w:val="nil"/>
              <w:bottom w:val="nil"/>
              <w:right w:val="nil"/>
            </w:tcBorders>
            <w:shd w:val="clear" w:color="auto" w:fill="auto"/>
            <w:noWrap/>
            <w:vAlign w:val="bottom"/>
            <w:hideMark/>
          </w:tcPr>
          <w:p w14:paraId="1A052D10" w14:textId="77777777" w:rsidR="00CB6829" w:rsidRPr="007B6E79" w:rsidRDefault="00CB6829" w:rsidP="00CB6829">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bottom"/>
            <w:hideMark/>
          </w:tcPr>
          <w:p w14:paraId="539E713D"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6.819.957</w:t>
            </w:r>
          </w:p>
        </w:tc>
        <w:tc>
          <w:tcPr>
            <w:tcW w:w="136" w:type="pct"/>
            <w:tcBorders>
              <w:top w:val="nil"/>
              <w:left w:val="nil"/>
              <w:bottom w:val="nil"/>
              <w:right w:val="nil"/>
            </w:tcBorders>
            <w:shd w:val="clear" w:color="auto" w:fill="auto"/>
            <w:noWrap/>
            <w:vAlign w:val="bottom"/>
            <w:hideMark/>
          </w:tcPr>
          <w:p w14:paraId="006B145F" w14:textId="77777777" w:rsidR="00CB6829" w:rsidRPr="007B6E79" w:rsidRDefault="00CB6829" w:rsidP="00CB6829">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bottom"/>
            <w:hideMark/>
          </w:tcPr>
          <w:p w14:paraId="26F92082"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2.536.836 </w:t>
            </w:r>
          </w:p>
        </w:tc>
        <w:tc>
          <w:tcPr>
            <w:tcW w:w="134" w:type="pct"/>
            <w:tcBorders>
              <w:top w:val="nil"/>
              <w:left w:val="nil"/>
              <w:bottom w:val="nil"/>
              <w:right w:val="nil"/>
            </w:tcBorders>
            <w:shd w:val="clear" w:color="auto" w:fill="auto"/>
            <w:noWrap/>
            <w:vAlign w:val="bottom"/>
            <w:hideMark/>
          </w:tcPr>
          <w:p w14:paraId="3E60E435"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bottom"/>
            <w:hideMark/>
          </w:tcPr>
          <w:p w14:paraId="261FA773"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160.051</w:t>
            </w:r>
          </w:p>
        </w:tc>
        <w:tc>
          <w:tcPr>
            <w:tcW w:w="135" w:type="pct"/>
            <w:tcBorders>
              <w:top w:val="nil"/>
              <w:left w:val="nil"/>
              <w:bottom w:val="nil"/>
              <w:right w:val="nil"/>
            </w:tcBorders>
            <w:shd w:val="clear" w:color="auto" w:fill="auto"/>
            <w:noWrap/>
            <w:vAlign w:val="bottom"/>
            <w:hideMark/>
          </w:tcPr>
          <w:p w14:paraId="2767AF03"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vAlign w:val="bottom"/>
          </w:tcPr>
          <w:p w14:paraId="4FB1BD76"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3.534.868</w:t>
            </w:r>
          </w:p>
        </w:tc>
        <w:tc>
          <w:tcPr>
            <w:tcW w:w="134" w:type="pct"/>
            <w:tcBorders>
              <w:top w:val="nil"/>
              <w:left w:val="nil"/>
              <w:bottom w:val="nil"/>
              <w:right w:val="nil"/>
            </w:tcBorders>
          </w:tcPr>
          <w:p w14:paraId="70BE3A9F" w14:textId="77777777" w:rsidR="00CB6829" w:rsidRPr="007B6E79" w:rsidRDefault="00CB6829" w:rsidP="00CB6829">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bottom"/>
          </w:tcPr>
          <w:p w14:paraId="4CDBCF09"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2.853.776 </w:t>
            </w:r>
          </w:p>
        </w:tc>
        <w:tc>
          <w:tcPr>
            <w:tcW w:w="114" w:type="pct"/>
            <w:tcBorders>
              <w:top w:val="nil"/>
              <w:left w:val="nil"/>
              <w:bottom w:val="nil"/>
              <w:right w:val="nil"/>
            </w:tcBorders>
            <w:shd w:val="clear" w:color="auto" w:fill="auto"/>
            <w:noWrap/>
            <w:vAlign w:val="bottom"/>
          </w:tcPr>
          <w:p w14:paraId="27A26E0E" w14:textId="77777777" w:rsidR="00CB6829" w:rsidRPr="007B6E79" w:rsidRDefault="00CB6829" w:rsidP="00CB6829">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bottom"/>
          </w:tcPr>
          <w:p w14:paraId="1D64C423"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171.930 </w:t>
            </w:r>
          </w:p>
        </w:tc>
      </w:tr>
      <w:tr w:rsidR="007B6E79" w:rsidRPr="007B6E79" w14:paraId="0B027993"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52CC4FA4" w14:textId="77777777" w:rsidR="00CB6829" w:rsidRPr="007B6E79" w:rsidRDefault="00CB6829" w:rsidP="00897DEC">
            <w:pPr>
              <w:ind w:firstLineChars="21" w:firstLine="34"/>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Sector Financiero </w:t>
            </w:r>
          </w:p>
        </w:tc>
        <w:tc>
          <w:tcPr>
            <w:tcW w:w="470" w:type="pct"/>
            <w:tcBorders>
              <w:top w:val="nil"/>
              <w:left w:val="nil"/>
              <w:bottom w:val="nil"/>
              <w:right w:val="nil"/>
            </w:tcBorders>
            <w:shd w:val="clear" w:color="auto" w:fill="auto"/>
            <w:noWrap/>
            <w:vAlign w:val="bottom"/>
            <w:hideMark/>
          </w:tcPr>
          <w:p w14:paraId="03181CAD"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7.416</w:t>
            </w:r>
          </w:p>
        </w:tc>
        <w:tc>
          <w:tcPr>
            <w:tcW w:w="135" w:type="pct"/>
            <w:tcBorders>
              <w:top w:val="nil"/>
              <w:left w:val="nil"/>
              <w:bottom w:val="nil"/>
              <w:right w:val="nil"/>
            </w:tcBorders>
            <w:shd w:val="clear" w:color="auto" w:fill="auto"/>
            <w:noWrap/>
            <w:vAlign w:val="bottom"/>
            <w:hideMark/>
          </w:tcPr>
          <w:p w14:paraId="4F10C102" w14:textId="77777777" w:rsidR="00CB6829" w:rsidRPr="007B6E79" w:rsidRDefault="00CB6829" w:rsidP="00CB6829">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bottom"/>
            <w:hideMark/>
          </w:tcPr>
          <w:p w14:paraId="50C9515B"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8.361</w:t>
            </w:r>
          </w:p>
        </w:tc>
        <w:tc>
          <w:tcPr>
            <w:tcW w:w="136" w:type="pct"/>
            <w:tcBorders>
              <w:top w:val="nil"/>
              <w:left w:val="nil"/>
              <w:bottom w:val="nil"/>
              <w:right w:val="nil"/>
            </w:tcBorders>
            <w:shd w:val="clear" w:color="auto" w:fill="auto"/>
            <w:noWrap/>
            <w:vAlign w:val="bottom"/>
            <w:hideMark/>
          </w:tcPr>
          <w:p w14:paraId="5642E28E" w14:textId="77777777" w:rsidR="00CB6829" w:rsidRPr="007B6E79" w:rsidRDefault="00CB6829" w:rsidP="00CB6829">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bottom"/>
            <w:hideMark/>
          </w:tcPr>
          <w:p w14:paraId="5EFA3AE6"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6.394</w:t>
            </w:r>
          </w:p>
        </w:tc>
        <w:tc>
          <w:tcPr>
            <w:tcW w:w="134" w:type="pct"/>
            <w:tcBorders>
              <w:top w:val="nil"/>
              <w:left w:val="nil"/>
              <w:bottom w:val="nil"/>
              <w:right w:val="nil"/>
            </w:tcBorders>
            <w:shd w:val="clear" w:color="auto" w:fill="auto"/>
            <w:noWrap/>
            <w:vAlign w:val="bottom"/>
            <w:hideMark/>
          </w:tcPr>
          <w:p w14:paraId="40B2772D"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bottom"/>
            <w:hideMark/>
          </w:tcPr>
          <w:p w14:paraId="1992C939"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403</w:t>
            </w:r>
          </w:p>
        </w:tc>
        <w:tc>
          <w:tcPr>
            <w:tcW w:w="135" w:type="pct"/>
            <w:tcBorders>
              <w:top w:val="nil"/>
              <w:left w:val="nil"/>
              <w:bottom w:val="nil"/>
              <w:right w:val="nil"/>
            </w:tcBorders>
            <w:shd w:val="clear" w:color="auto" w:fill="auto"/>
            <w:noWrap/>
            <w:vAlign w:val="bottom"/>
            <w:hideMark/>
          </w:tcPr>
          <w:p w14:paraId="2F3E5B50"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vAlign w:val="bottom"/>
          </w:tcPr>
          <w:p w14:paraId="0641CA1B"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6.385</w:t>
            </w:r>
          </w:p>
        </w:tc>
        <w:tc>
          <w:tcPr>
            <w:tcW w:w="134" w:type="pct"/>
            <w:tcBorders>
              <w:top w:val="nil"/>
              <w:left w:val="nil"/>
              <w:bottom w:val="nil"/>
              <w:right w:val="nil"/>
            </w:tcBorders>
          </w:tcPr>
          <w:p w14:paraId="24F33092" w14:textId="77777777" w:rsidR="00CB6829" w:rsidRPr="007B6E79" w:rsidRDefault="00CB6829" w:rsidP="00CB6829">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bottom"/>
          </w:tcPr>
          <w:p w14:paraId="209B24D0"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6.676 </w:t>
            </w:r>
          </w:p>
        </w:tc>
        <w:tc>
          <w:tcPr>
            <w:tcW w:w="114" w:type="pct"/>
            <w:tcBorders>
              <w:top w:val="nil"/>
              <w:left w:val="nil"/>
              <w:bottom w:val="nil"/>
              <w:right w:val="nil"/>
            </w:tcBorders>
            <w:shd w:val="clear" w:color="auto" w:fill="auto"/>
            <w:noWrap/>
            <w:vAlign w:val="bottom"/>
          </w:tcPr>
          <w:p w14:paraId="7ADFF5E2" w14:textId="77777777" w:rsidR="00CB6829" w:rsidRPr="007B6E79" w:rsidRDefault="00CB6829" w:rsidP="00CB6829">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bottom"/>
          </w:tcPr>
          <w:p w14:paraId="7CE8D363"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402 </w:t>
            </w:r>
          </w:p>
        </w:tc>
      </w:tr>
      <w:tr w:rsidR="007B6E79" w:rsidRPr="007B6E79" w14:paraId="559296AB"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78FEB293" w14:textId="77777777" w:rsidR="00CB6829" w:rsidRPr="007B6E79" w:rsidRDefault="00CB6829" w:rsidP="00897DEC">
            <w:pPr>
              <w:rPr>
                <w:rFonts w:ascii="Times New Roman" w:hAnsi="Times New Roman"/>
                <w:color w:val="000000"/>
                <w:sz w:val="16"/>
                <w:szCs w:val="16"/>
                <w:lang w:val="es-ES"/>
              </w:rPr>
            </w:pPr>
            <w:r w:rsidRPr="007B6E79">
              <w:rPr>
                <w:rFonts w:ascii="Times New Roman" w:hAnsi="Times New Roman"/>
                <w:color w:val="000000"/>
                <w:sz w:val="16"/>
                <w:szCs w:val="16"/>
                <w:lang w:val="es-ES"/>
              </w:rPr>
              <w:t>Sector Privado no Financiero y Residentes en el exterior</w:t>
            </w:r>
          </w:p>
        </w:tc>
        <w:tc>
          <w:tcPr>
            <w:tcW w:w="470" w:type="pct"/>
            <w:tcBorders>
              <w:top w:val="nil"/>
              <w:left w:val="nil"/>
              <w:bottom w:val="nil"/>
              <w:right w:val="nil"/>
            </w:tcBorders>
            <w:shd w:val="clear" w:color="auto" w:fill="auto"/>
            <w:noWrap/>
            <w:vAlign w:val="bottom"/>
          </w:tcPr>
          <w:p w14:paraId="5E1597C1" w14:textId="77777777" w:rsidR="00CB6829" w:rsidRPr="007B6E79" w:rsidRDefault="00CB6829" w:rsidP="00CB6829">
            <w:pPr>
              <w:jc w:val="right"/>
              <w:rPr>
                <w:rFonts w:ascii="Times New Roman" w:hAnsi="Times New Roman"/>
                <w:color w:val="000000"/>
                <w:sz w:val="16"/>
                <w:szCs w:val="16"/>
                <w:lang w:val="es-ES"/>
              </w:rPr>
            </w:pPr>
          </w:p>
        </w:tc>
        <w:tc>
          <w:tcPr>
            <w:tcW w:w="135" w:type="pct"/>
            <w:tcBorders>
              <w:top w:val="nil"/>
              <w:left w:val="nil"/>
              <w:bottom w:val="nil"/>
              <w:right w:val="nil"/>
            </w:tcBorders>
            <w:shd w:val="clear" w:color="auto" w:fill="auto"/>
            <w:noWrap/>
            <w:vAlign w:val="bottom"/>
          </w:tcPr>
          <w:p w14:paraId="7D6BA5BF" w14:textId="77777777" w:rsidR="00CB6829" w:rsidRPr="007B6E79" w:rsidRDefault="00CB6829" w:rsidP="00CB6829">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bottom"/>
          </w:tcPr>
          <w:p w14:paraId="25C27A0A" w14:textId="77777777" w:rsidR="00CB6829" w:rsidRPr="007B6E79" w:rsidRDefault="00CB6829" w:rsidP="00CB6829">
            <w:pPr>
              <w:jc w:val="right"/>
              <w:rPr>
                <w:rFonts w:ascii="Times New Roman" w:hAnsi="Times New Roman"/>
                <w:color w:val="000000"/>
                <w:sz w:val="16"/>
                <w:szCs w:val="16"/>
                <w:lang w:val="es-ES"/>
              </w:rPr>
            </w:pPr>
          </w:p>
        </w:tc>
        <w:tc>
          <w:tcPr>
            <w:tcW w:w="136" w:type="pct"/>
            <w:tcBorders>
              <w:top w:val="nil"/>
              <w:left w:val="nil"/>
              <w:bottom w:val="nil"/>
              <w:right w:val="nil"/>
            </w:tcBorders>
            <w:shd w:val="clear" w:color="auto" w:fill="auto"/>
            <w:noWrap/>
            <w:vAlign w:val="bottom"/>
          </w:tcPr>
          <w:p w14:paraId="30D0899B" w14:textId="77777777" w:rsidR="00CB6829" w:rsidRPr="007B6E79" w:rsidRDefault="00CB6829" w:rsidP="00CB6829">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bottom"/>
          </w:tcPr>
          <w:p w14:paraId="4B3BCD15" w14:textId="77777777" w:rsidR="00CB6829" w:rsidRPr="007B6E79" w:rsidRDefault="00CB6829" w:rsidP="00CB6829">
            <w:pPr>
              <w:jc w:val="right"/>
              <w:rPr>
                <w:rFonts w:ascii="Times New Roman" w:hAnsi="Times New Roman"/>
                <w:color w:val="000000"/>
                <w:sz w:val="16"/>
                <w:szCs w:val="16"/>
                <w:lang w:val="es-ES"/>
              </w:rPr>
            </w:pPr>
          </w:p>
        </w:tc>
        <w:tc>
          <w:tcPr>
            <w:tcW w:w="134" w:type="pct"/>
            <w:tcBorders>
              <w:top w:val="nil"/>
              <w:left w:val="nil"/>
              <w:bottom w:val="nil"/>
              <w:right w:val="nil"/>
            </w:tcBorders>
            <w:shd w:val="clear" w:color="auto" w:fill="auto"/>
            <w:noWrap/>
            <w:vAlign w:val="bottom"/>
          </w:tcPr>
          <w:p w14:paraId="50378D4C"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bottom"/>
          </w:tcPr>
          <w:p w14:paraId="7E34814F" w14:textId="77777777" w:rsidR="00CB6829" w:rsidRPr="007B6E79" w:rsidRDefault="00CB6829" w:rsidP="00CB6829">
            <w:pPr>
              <w:jc w:val="right"/>
              <w:rPr>
                <w:rFonts w:ascii="Times New Roman" w:hAnsi="Times New Roman"/>
                <w:color w:val="000000"/>
                <w:sz w:val="16"/>
                <w:szCs w:val="16"/>
                <w:lang w:val="es-ES"/>
              </w:rPr>
            </w:pPr>
          </w:p>
        </w:tc>
        <w:tc>
          <w:tcPr>
            <w:tcW w:w="135" w:type="pct"/>
            <w:tcBorders>
              <w:top w:val="nil"/>
              <w:left w:val="nil"/>
              <w:bottom w:val="nil"/>
              <w:right w:val="nil"/>
            </w:tcBorders>
            <w:shd w:val="clear" w:color="auto" w:fill="auto"/>
            <w:noWrap/>
            <w:vAlign w:val="bottom"/>
          </w:tcPr>
          <w:p w14:paraId="3F51B8B3"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vAlign w:val="bottom"/>
          </w:tcPr>
          <w:p w14:paraId="3D276E63" w14:textId="77777777" w:rsidR="00CB6829" w:rsidRPr="007B6E79" w:rsidRDefault="00CB6829" w:rsidP="00CB6829">
            <w:pPr>
              <w:jc w:val="right"/>
              <w:rPr>
                <w:rFonts w:ascii="Times New Roman" w:hAnsi="Times New Roman"/>
                <w:color w:val="000000"/>
                <w:sz w:val="16"/>
                <w:szCs w:val="16"/>
                <w:lang w:val="es-ES"/>
              </w:rPr>
            </w:pPr>
          </w:p>
        </w:tc>
        <w:tc>
          <w:tcPr>
            <w:tcW w:w="134" w:type="pct"/>
            <w:tcBorders>
              <w:top w:val="nil"/>
              <w:left w:val="nil"/>
              <w:bottom w:val="nil"/>
              <w:right w:val="nil"/>
            </w:tcBorders>
          </w:tcPr>
          <w:p w14:paraId="2CC2B11F" w14:textId="77777777" w:rsidR="00CB6829" w:rsidRPr="007B6E79" w:rsidRDefault="00CB6829" w:rsidP="00CB6829">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bottom"/>
          </w:tcPr>
          <w:p w14:paraId="4411ADFB" w14:textId="77777777" w:rsidR="00CB6829" w:rsidRPr="007B6E79" w:rsidRDefault="00CB6829" w:rsidP="00CB6829">
            <w:pPr>
              <w:jc w:val="right"/>
              <w:rPr>
                <w:rFonts w:ascii="Times New Roman" w:hAnsi="Times New Roman"/>
                <w:color w:val="000000"/>
                <w:sz w:val="16"/>
                <w:szCs w:val="16"/>
                <w:lang w:val="es-ES"/>
              </w:rPr>
            </w:pPr>
          </w:p>
        </w:tc>
        <w:tc>
          <w:tcPr>
            <w:tcW w:w="114" w:type="pct"/>
            <w:tcBorders>
              <w:top w:val="nil"/>
              <w:left w:val="nil"/>
              <w:bottom w:val="nil"/>
              <w:right w:val="nil"/>
            </w:tcBorders>
            <w:shd w:val="clear" w:color="auto" w:fill="auto"/>
            <w:noWrap/>
            <w:vAlign w:val="bottom"/>
          </w:tcPr>
          <w:p w14:paraId="754C471A" w14:textId="77777777" w:rsidR="00CB6829" w:rsidRPr="007B6E79" w:rsidRDefault="00CB6829" w:rsidP="00CB6829">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bottom"/>
          </w:tcPr>
          <w:p w14:paraId="0A50B73F" w14:textId="77777777" w:rsidR="00CB6829" w:rsidRPr="007B6E79" w:rsidRDefault="00CB6829" w:rsidP="00CB6829">
            <w:pPr>
              <w:jc w:val="right"/>
              <w:rPr>
                <w:rFonts w:ascii="Times New Roman" w:hAnsi="Times New Roman"/>
                <w:color w:val="000000"/>
                <w:sz w:val="16"/>
                <w:szCs w:val="16"/>
                <w:lang w:val="es-ES"/>
              </w:rPr>
            </w:pPr>
          </w:p>
        </w:tc>
      </w:tr>
      <w:tr w:rsidR="007B6E79" w:rsidRPr="007B6E79" w14:paraId="41F5E216"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73AB1375" w14:textId="77777777" w:rsidR="00CB6829" w:rsidRPr="007B6E79" w:rsidRDefault="00CB6829" w:rsidP="00CB6829">
            <w:pPr>
              <w:ind w:firstLineChars="200" w:firstLine="320"/>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Cuentas Corrientes </w:t>
            </w:r>
          </w:p>
        </w:tc>
        <w:tc>
          <w:tcPr>
            <w:tcW w:w="470" w:type="pct"/>
            <w:tcBorders>
              <w:top w:val="nil"/>
              <w:left w:val="nil"/>
              <w:bottom w:val="nil"/>
              <w:right w:val="nil"/>
            </w:tcBorders>
            <w:shd w:val="clear" w:color="auto" w:fill="auto"/>
            <w:noWrap/>
            <w:vAlign w:val="bottom"/>
            <w:hideMark/>
          </w:tcPr>
          <w:p w14:paraId="05165A95"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760.533</w:t>
            </w:r>
          </w:p>
        </w:tc>
        <w:tc>
          <w:tcPr>
            <w:tcW w:w="135" w:type="pct"/>
            <w:tcBorders>
              <w:top w:val="nil"/>
              <w:left w:val="nil"/>
              <w:bottom w:val="nil"/>
              <w:right w:val="nil"/>
            </w:tcBorders>
            <w:shd w:val="clear" w:color="auto" w:fill="auto"/>
            <w:noWrap/>
            <w:vAlign w:val="bottom"/>
            <w:hideMark/>
          </w:tcPr>
          <w:p w14:paraId="459DA8F8" w14:textId="77777777" w:rsidR="00CB6829" w:rsidRPr="007B6E79" w:rsidRDefault="00CB6829" w:rsidP="00CB6829">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bottom"/>
            <w:hideMark/>
          </w:tcPr>
          <w:p w14:paraId="4C681DB1"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648.295</w:t>
            </w:r>
          </w:p>
        </w:tc>
        <w:tc>
          <w:tcPr>
            <w:tcW w:w="136" w:type="pct"/>
            <w:tcBorders>
              <w:top w:val="nil"/>
              <w:left w:val="nil"/>
              <w:bottom w:val="nil"/>
              <w:right w:val="nil"/>
            </w:tcBorders>
            <w:shd w:val="clear" w:color="auto" w:fill="auto"/>
            <w:noWrap/>
            <w:vAlign w:val="bottom"/>
            <w:hideMark/>
          </w:tcPr>
          <w:p w14:paraId="5147E2D8" w14:textId="77777777" w:rsidR="00CB6829" w:rsidRPr="007B6E79" w:rsidRDefault="00CB6829" w:rsidP="00CB6829">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bottom"/>
            <w:hideMark/>
          </w:tcPr>
          <w:p w14:paraId="4DD6669D"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881.421</w:t>
            </w:r>
          </w:p>
        </w:tc>
        <w:tc>
          <w:tcPr>
            <w:tcW w:w="134" w:type="pct"/>
            <w:tcBorders>
              <w:top w:val="nil"/>
              <w:left w:val="nil"/>
              <w:bottom w:val="nil"/>
              <w:right w:val="nil"/>
            </w:tcBorders>
            <w:shd w:val="clear" w:color="auto" w:fill="auto"/>
            <w:noWrap/>
            <w:vAlign w:val="bottom"/>
            <w:hideMark/>
          </w:tcPr>
          <w:p w14:paraId="352B6F53"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bottom"/>
            <w:hideMark/>
          </w:tcPr>
          <w:p w14:paraId="5E5A9845"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55.609</w:t>
            </w:r>
          </w:p>
        </w:tc>
        <w:tc>
          <w:tcPr>
            <w:tcW w:w="135" w:type="pct"/>
            <w:tcBorders>
              <w:top w:val="nil"/>
              <w:left w:val="nil"/>
              <w:bottom w:val="nil"/>
              <w:right w:val="nil"/>
            </w:tcBorders>
            <w:shd w:val="clear" w:color="auto" w:fill="auto"/>
            <w:noWrap/>
            <w:vAlign w:val="bottom"/>
            <w:hideMark/>
          </w:tcPr>
          <w:p w14:paraId="54907618" w14:textId="77777777" w:rsidR="00CB6829" w:rsidRPr="007B6E79" w:rsidRDefault="00CB6829" w:rsidP="00CB6829">
            <w:pPr>
              <w:jc w:val="right"/>
              <w:rPr>
                <w:rFonts w:ascii="Times New Roman" w:hAnsi="Times New Roman"/>
                <w:b/>
                <w:bCs/>
                <w:sz w:val="16"/>
                <w:szCs w:val="16"/>
                <w:lang w:val="es-ES"/>
              </w:rPr>
            </w:pPr>
          </w:p>
        </w:tc>
        <w:tc>
          <w:tcPr>
            <w:tcW w:w="469" w:type="pct"/>
            <w:tcBorders>
              <w:top w:val="nil"/>
              <w:left w:val="nil"/>
              <w:bottom w:val="nil"/>
              <w:right w:val="nil"/>
            </w:tcBorders>
            <w:vAlign w:val="bottom"/>
          </w:tcPr>
          <w:p w14:paraId="450F4731"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653.078</w:t>
            </w:r>
          </w:p>
        </w:tc>
        <w:tc>
          <w:tcPr>
            <w:tcW w:w="134" w:type="pct"/>
            <w:tcBorders>
              <w:top w:val="nil"/>
              <w:left w:val="nil"/>
              <w:bottom w:val="nil"/>
              <w:right w:val="nil"/>
            </w:tcBorders>
          </w:tcPr>
          <w:p w14:paraId="762AFFC9" w14:textId="77777777" w:rsidR="00CB6829" w:rsidRPr="007B6E79" w:rsidRDefault="00CB6829" w:rsidP="00CB6829">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bottom"/>
          </w:tcPr>
          <w:p w14:paraId="6AA3ABD1"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830.078 </w:t>
            </w:r>
          </w:p>
        </w:tc>
        <w:tc>
          <w:tcPr>
            <w:tcW w:w="114" w:type="pct"/>
            <w:tcBorders>
              <w:top w:val="nil"/>
              <w:left w:val="nil"/>
              <w:bottom w:val="nil"/>
              <w:right w:val="nil"/>
            </w:tcBorders>
            <w:shd w:val="clear" w:color="auto" w:fill="auto"/>
            <w:noWrap/>
            <w:vAlign w:val="bottom"/>
          </w:tcPr>
          <w:p w14:paraId="24035D0D" w14:textId="77777777" w:rsidR="00CB6829" w:rsidRPr="007B6E79" w:rsidRDefault="00CB6829" w:rsidP="00CB6829">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bottom"/>
          </w:tcPr>
          <w:p w14:paraId="30157352"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50.009 </w:t>
            </w:r>
          </w:p>
        </w:tc>
      </w:tr>
      <w:tr w:rsidR="007B6E79" w:rsidRPr="007B6E79" w14:paraId="28C4B05B"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10EF42E8" w14:textId="77777777" w:rsidR="00CB6829" w:rsidRPr="007B6E79" w:rsidRDefault="00CB6829" w:rsidP="00CB6829">
            <w:pPr>
              <w:ind w:firstLineChars="200" w:firstLine="320"/>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Cajas de Ahorro </w:t>
            </w:r>
          </w:p>
        </w:tc>
        <w:tc>
          <w:tcPr>
            <w:tcW w:w="470" w:type="pct"/>
            <w:tcBorders>
              <w:top w:val="nil"/>
              <w:left w:val="nil"/>
              <w:bottom w:val="nil"/>
              <w:right w:val="nil"/>
            </w:tcBorders>
            <w:shd w:val="clear" w:color="auto" w:fill="auto"/>
            <w:noWrap/>
            <w:vAlign w:val="bottom"/>
            <w:hideMark/>
          </w:tcPr>
          <w:p w14:paraId="45E67AC0"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2.479.643</w:t>
            </w:r>
          </w:p>
        </w:tc>
        <w:tc>
          <w:tcPr>
            <w:tcW w:w="135" w:type="pct"/>
            <w:tcBorders>
              <w:top w:val="nil"/>
              <w:left w:val="nil"/>
              <w:bottom w:val="nil"/>
              <w:right w:val="nil"/>
            </w:tcBorders>
            <w:shd w:val="clear" w:color="auto" w:fill="auto"/>
            <w:noWrap/>
            <w:vAlign w:val="bottom"/>
            <w:hideMark/>
          </w:tcPr>
          <w:p w14:paraId="35FFE1A1" w14:textId="77777777" w:rsidR="00CB6829" w:rsidRPr="007B6E79" w:rsidRDefault="00CB6829" w:rsidP="00CB6829">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bottom"/>
            <w:hideMark/>
          </w:tcPr>
          <w:p w14:paraId="347FBB13"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2.502.529</w:t>
            </w:r>
          </w:p>
        </w:tc>
        <w:tc>
          <w:tcPr>
            <w:tcW w:w="136" w:type="pct"/>
            <w:tcBorders>
              <w:top w:val="nil"/>
              <w:left w:val="nil"/>
              <w:bottom w:val="nil"/>
              <w:right w:val="nil"/>
            </w:tcBorders>
            <w:shd w:val="clear" w:color="auto" w:fill="auto"/>
            <w:noWrap/>
            <w:vAlign w:val="bottom"/>
            <w:hideMark/>
          </w:tcPr>
          <w:p w14:paraId="23389CB9" w14:textId="77777777" w:rsidR="00CB6829" w:rsidRPr="007B6E79" w:rsidRDefault="00CB6829" w:rsidP="00CB6829">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bottom"/>
            <w:hideMark/>
          </w:tcPr>
          <w:p w14:paraId="4DE1305C"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3.329.855 </w:t>
            </w:r>
          </w:p>
        </w:tc>
        <w:tc>
          <w:tcPr>
            <w:tcW w:w="134" w:type="pct"/>
            <w:tcBorders>
              <w:top w:val="nil"/>
              <w:left w:val="nil"/>
              <w:bottom w:val="nil"/>
              <w:right w:val="nil"/>
            </w:tcBorders>
            <w:shd w:val="clear" w:color="auto" w:fill="auto"/>
            <w:noWrap/>
            <w:vAlign w:val="bottom"/>
            <w:hideMark/>
          </w:tcPr>
          <w:p w14:paraId="53091A61"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bottom"/>
            <w:hideMark/>
          </w:tcPr>
          <w:p w14:paraId="1F45D6BA"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210.083</w:t>
            </w:r>
          </w:p>
        </w:tc>
        <w:tc>
          <w:tcPr>
            <w:tcW w:w="135" w:type="pct"/>
            <w:tcBorders>
              <w:top w:val="nil"/>
              <w:left w:val="nil"/>
              <w:bottom w:val="nil"/>
              <w:right w:val="nil"/>
            </w:tcBorders>
            <w:shd w:val="clear" w:color="auto" w:fill="auto"/>
            <w:noWrap/>
            <w:vAlign w:val="bottom"/>
            <w:hideMark/>
          </w:tcPr>
          <w:p w14:paraId="554B6F17"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vAlign w:val="bottom"/>
          </w:tcPr>
          <w:p w14:paraId="49F1B72C"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2.848.403</w:t>
            </w:r>
          </w:p>
        </w:tc>
        <w:tc>
          <w:tcPr>
            <w:tcW w:w="134" w:type="pct"/>
            <w:tcBorders>
              <w:top w:val="nil"/>
              <w:left w:val="nil"/>
              <w:bottom w:val="nil"/>
              <w:right w:val="nil"/>
            </w:tcBorders>
          </w:tcPr>
          <w:p w14:paraId="590CE973" w14:textId="77777777" w:rsidR="00CB6829" w:rsidRPr="007B6E79" w:rsidRDefault="00CB6829" w:rsidP="00CB6829">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bottom"/>
          </w:tcPr>
          <w:p w14:paraId="5F64D224"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4.099.010 </w:t>
            </w:r>
          </w:p>
        </w:tc>
        <w:tc>
          <w:tcPr>
            <w:tcW w:w="114" w:type="pct"/>
            <w:tcBorders>
              <w:top w:val="nil"/>
              <w:left w:val="nil"/>
              <w:bottom w:val="nil"/>
              <w:right w:val="nil"/>
            </w:tcBorders>
            <w:shd w:val="clear" w:color="auto" w:fill="auto"/>
            <w:noWrap/>
            <w:vAlign w:val="bottom"/>
          </w:tcPr>
          <w:p w14:paraId="39DEA876" w14:textId="77777777" w:rsidR="00CB6829" w:rsidRPr="007B6E79" w:rsidRDefault="00CB6829" w:rsidP="00CB6829">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bottom"/>
          </w:tcPr>
          <w:p w14:paraId="2DF19A99"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246.951 </w:t>
            </w:r>
          </w:p>
        </w:tc>
      </w:tr>
      <w:tr w:rsidR="007B6E79" w:rsidRPr="007B6E79" w14:paraId="41129784"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1CAE658F" w14:textId="77777777" w:rsidR="00CB6829" w:rsidRPr="007B6E79" w:rsidRDefault="00CB6829" w:rsidP="00CB6829">
            <w:pPr>
              <w:ind w:firstLineChars="200" w:firstLine="320"/>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Plazo Fijo </w:t>
            </w:r>
          </w:p>
        </w:tc>
        <w:tc>
          <w:tcPr>
            <w:tcW w:w="470" w:type="pct"/>
            <w:tcBorders>
              <w:top w:val="nil"/>
              <w:left w:val="nil"/>
              <w:bottom w:val="nil"/>
              <w:right w:val="nil"/>
            </w:tcBorders>
            <w:shd w:val="clear" w:color="auto" w:fill="auto"/>
            <w:noWrap/>
            <w:vAlign w:val="bottom"/>
            <w:hideMark/>
          </w:tcPr>
          <w:p w14:paraId="697AD1E6"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4.983.820</w:t>
            </w:r>
          </w:p>
        </w:tc>
        <w:tc>
          <w:tcPr>
            <w:tcW w:w="135" w:type="pct"/>
            <w:tcBorders>
              <w:top w:val="nil"/>
              <w:left w:val="nil"/>
              <w:bottom w:val="nil"/>
              <w:right w:val="nil"/>
            </w:tcBorders>
            <w:shd w:val="clear" w:color="auto" w:fill="auto"/>
            <w:noWrap/>
            <w:vAlign w:val="bottom"/>
            <w:hideMark/>
          </w:tcPr>
          <w:p w14:paraId="27D3522D" w14:textId="77777777" w:rsidR="00CB6829" w:rsidRPr="007B6E79" w:rsidRDefault="00CB6829" w:rsidP="00CB6829">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bottom"/>
            <w:hideMark/>
          </w:tcPr>
          <w:p w14:paraId="71045838"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8.489.757</w:t>
            </w:r>
          </w:p>
        </w:tc>
        <w:tc>
          <w:tcPr>
            <w:tcW w:w="136" w:type="pct"/>
            <w:tcBorders>
              <w:top w:val="nil"/>
              <w:left w:val="nil"/>
              <w:bottom w:val="nil"/>
              <w:right w:val="nil"/>
            </w:tcBorders>
            <w:shd w:val="clear" w:color="auto" w:fill="auto"/>
            <w:noWrap/>
            <w:vAlign w:val="bottom"/>
            <w:hideMark/>
          </w:tcPr>
          <w:p w14:paraId="4EB94E4F" w14:textId="77777777" w:rsidR="00CB6829" w:rsidRPr="007B6E79" w:rsidRDefault="00CB6829" w:rsidP="00CB6829">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bottom"/>
            <w:hideMark/>
          </w:tcPr>
          <w:p w14:paraId="35FE112E"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10.613.088 </w:t>
            </w:r>
          </w:p>
        </w:tc>
        <w:tc>
          <w:tcPr>
            <w:tcW w:w="134" w:type="pct"/>
            <w:tcBorders>
              <w:top w:val="nil"/>
              <w:left w:val="nil"/>
              <w:bottom w:val="nil"/>
              <w:right w:val="nil"/>
            </w:tcBorders>
            <w:shd w:val="clear" w:color="auto" w:fill="auto"/>
            <w:noWrap/>
            <w:vAlign w:val="bottom"/>
            <w:hideMark/>
          </w:tcPr>
          <w:p w14:paraId="6EE5DB70"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bottom"/>
            <w:hideMark/>
          </w:tcPr>
          <w:p w14:paraId="03204DB4"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669.587</w:t>
            </w:r>
          </w:p>
        </w:tc>
        <w:tc>
          <w:tcPr>
            <w:tcW w:w="135" w:type="pct"/>
            <w:tcBorders>
              <w:top w:val="nil"/>
              <w:left w:val="nil"/>
              <w:bottom w:val="nil"/>
              <w:right w:val="nil"/>
            </w:tcBorders>
            <w:shd w:val="clear" w:color="auto" w:fill="auto"/>
            <w:noWrap/>
            <w:vAlign w:val="bottom"/>
            <w:hideMark/>
          </w:tcPr>
          <w:p w14:paraId="0951A92B"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vAlign w:val="bottom"/>
          </w:tcPr>
          <w:p w14:paraId="1CD381A2"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9.385.282</w:t>
            </w:r>
          </w:p>
        </w:tc>
        <w:tc>
          <w:tcPr>
            <w:tcW w:w="134" w:type="pct"/>
            <w:tcBorders>
              <w:top w:val="nil"/>
              <w:left w:val="nil"/>
              <w:bottom w:val="nil"/>
              <w:right w:val="nil"/>
            </w:tcBorders>
          </w:tcPr>
          <w:p w14:paraId="7920F85C" w14:textId="77777777" w:rsidR="00CB6829" w:rsidRPr="007B6E79" w:rsidRDefault="00CB6829" w:rsidP="00CB6829">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bottom"/>
          </w:tcPr>
          <w:p w14:paraId="00E4CE2F"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10.542.773 </w:t>
            </w:r>
          </w:p>
        </w:tc>
        <w:tc>
          <w:tcPr>
            <w:tcW w:w="114" w:type="pct"/>
            <w:tcBorders>
              <w:top w:val="nil"/>
              <w:left w:val="nil"/>
              <w:bottom w:val="nil"/>
              <w:right w:val="nil"/>
            </w:tcBorders>
            <w:shd w:val="clear" w:color="auto" w:fill="auto"/>
            <w:noWrap/>
            <w:vAlign w:val="bottom"/>
          </w:tcPr>
          <w:p w14:paraId="64C69A64" w14:textId="77777777" w:rsidR="00CB6829" w:rsidRPr="007B6E79" w:rsidRDefault="00CB6829" w:rsidP="00CB6829">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bottom"/>
          </w:tcPr>
          <w:p w14:paraId="321DECCF"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635.164 </w:t>
            </w:r>
          </w:p>
        </w:tc>
      </w:tr>
      <w:tr w:rsidR="007B6E79" w:rsidRPr="007B6E79" w14:paraId="34502343"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014B8663" w14:textId="77777777" w:rsidR="00CB6829" w:rsidRPr="007B6E79" w:rsidRDefault="00CB6829" w:rsidP="00CB6829">
            <w:pPr>
              <w:ind w:firstLineChars="200" w:firstLine="320"/>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Cuentas de Inversión </w:t>
            </w:r>
          </w:p>
        </w:tc>
        <w:tc>
          <w:tcPr>
            <w:tcW w:w="470" w:type="pct"/>
            <w:tcBorders>
              <w:top w:val="nil"/>
              <w:left w:val="nil"/>
              <w:bottom w:val="nil"/>
              <w:right w:val="nil"/>
            </w:tcBorders>
            <w:shd w:val="clear" w:color="auto" w:fill="auto"/>
            <w:noWrap/>
            <w:vAlign w:val="bottom"/>
            <w:hideMark/>
          </w:tcPr>
          <w:p w14:paraId="496F38DD"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713.438</w:t>
            </w:r>
          </w:p>
        </w:tc>
        <w:tc>
          <w:tcPr>
            <w:tcW w:w="135" w:type="pct"/>
            <w:tcBorders>
              <w:top w:val="nil"/>
              <w:left w:val="nil"/>
              <w:bottom w:val="nil"/>
              <w:right w:val="nil"/>
            </w:tcBorders>
            <w:shd w:val="clear" w:color="auto" w:fill="auto"/>
            <w:noWrap/>
            <w:vAlign w:val="bottom"/>
            <w:hideMark/>
          </w:tcPr>
          <w:p w14:paraId="4AE55944" w14:textId="77777777" w:rsidR="00CB6829" w:rsidRPr="007B6E79" w:rsidRDefault="00CB6829" w:rsidP="00CB6829">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bottom"/>
            <w:hideMark/>
          </w:tcPr>
          <w:p w14:paraId="5B9E68FB"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1.550.115</w:t>
            </w:r>
          </w:p>
        </w:tc>
        <w:tc>
          <w:tcPr>
            <w:tcW w:w="136" w:type="pct"/>
            <w:tcBorders>
              <w:top w:val="nil"/>
              <w:left w:val="nil"/>
              <w:bottom w:val="nil"/>
              <w:right w:val="nil"/>
            </w:tcBorders>
            <w:shd w:val="clear" w:color="auto" w:fill="auto"/>
            <w:noWrap/>
            <w:vAlign w:val="bottom"/>
            <w:hideMark/>
          </w:tcPr>
          <w:p w14:paraId="672E58DF" w14:textId="77777777" w:rsidR="00CB6829" w:rsidRPr="007B6E79" w:rsidRDefault="00CB6829" w:rsidP="00CB6829">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bottom"/>
            <w:hideMark/>
          </w:tcPr>
          <w:p w14:paraId="78144E3B"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1.013.895 </w:t>
            </w:r>
          </w:p>
        </w:tc>
        <w:tc>
          <w:tcPr>
            <w:tcW w:w="134" w:type="pct"/>
            <w:tcBorders>
              <w:top w:val="nil"/>
              <w:left w:val="nil"/>
              <w:bottom w:val="nil"/>
              <w:right w:val="nil"/>
            </w:tcBorders>
            <w:shd w:val="clear" w:color="auto" w:fill="auto"/>
            <w:noWrap/>
            <w:vAlign w:val="bottom"/>
            <w:hideMark/>
          </w:tcPr>
          <w:p w14:paraId="3E0A2ADD"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bottom"/>
            <w:hideMark/>
          </w:tcPr>
          <w:p w14:paraId="271B3CD3"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63.967</w:t>
            </w:r>
          </w:p>
        </w:tc>
        <w:tc>
          <w:tcPr>
            <w:tcW w:w="135" w:type="pct"/>
            <w:tcBorders>
              <w:top w:val="nil"/>
              <w:left w:val="nil"/>
              <w:bottom w:val="nil"/>
              <w:right w:val="nil"/>
            </w:tcBorders>
            <w:shd w:val="clear" w:color="auto" w:fill="auto"/>
            <w:noWrap/>
            <w:vAlign w:val="bottom"/>
            <w:hideMark/>
          </w:tcPr>
          <w:p w14:paraId="5AF92AA4"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vAlign w:val="bottom"/>
          </w:tcPr>
          <w:p w14:paraId="23E5B411"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944.845</w:t>
            </w:r>
          </w:p>
        </w:tc>
        <w:tc>
          <w:tcPr>
            <w:tcW w:w="134" w:type="pct"/>
            <w:tcBorders>
              <w:top w:val="nil"/>
              <w:left w:val="nil"/>
              <w:bottom w:val="nil"/>
              <w:right w:val="nil"/>
            </w:tcBorders>
          </w:tcPr>
          <w:p w14:paraId="3E39A586" w14:textId="77777777" w:rsidR="00CB6829" w:rsidRPr="007B6E79" w:rsidRDefault="00CB6829" w:rsidP="00CB6829">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bottom"/>
          </w:tcPr>
          <w:p w14:paraId="448FEC1B"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1.108.741 </w:t>
            </w:r>
          </w:p>
        </w:tc>
        <w:tc>
          <w:tcPr>
            <w:tcW w:w="114" w:type="pct"/>
            <w:tcBorders>
              <w:top w:val="nil"/>
              <w:left w:val="nil"/>
              <w:bottom w:val="nil"/>
              <w:right w:val="nil"/>
            </w:tcBorders>
            <w:shd w:val="clear" w:color="auto" w:fill="auto"/>
            <w:noWrap/>
            <w:vAlign w:val="bottom"/>
          </w:tcPr>
          <w:p w14:paraId="6061AD43" w14:textId="77777777" w:rsidR="00CB6829" w:rsidRPr="007B6E79" w:rsidRDefault="00CB6829" w:rsidP="00CB6829">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bottom"/>
          </w:tcPr>
          <w:p w14:paraId="1E40BAEF"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66.798 </w:t>
            </w:r>
          </w:p>
        </w:tc>
      </w:tr>
      <w:tr w:rsidR="007B6E79" w:rsidRPr="007B6E79" w14:paraId="6E9CEAFD"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0165A346" w14:textId="77777777" w:rsidR="00CB6829" w:rsidRPr="007B6E79" w:rsidRDefault="00CB6829" w:rsidP="00CB6829">
            <w:pPr>
              <w:ind w:firstLineChars="200" w:firstLine="320"/>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Otros </w:t>
            </w:r>
          </w:p>
        </w:tc>
        <w:tc>
          <w:tcPr>
            <w:tcW w:w="470" w:type="pct"/>
            <w:tcBorders>
              <w:top w:val="nil"/>
              <w:left w:val="nil"/>
              <w:bottom w:val="nil"/>
              <w:right w:val="nil"/>
            </w:tcBorders>
            <w:shd w:val="clear" w:color="auto" w:fill="auto"/>
            <w:noWrap/>
            <w:vAlign w:val="bottom"/>
            <w:hideMark/>
          </w:tcPr>
          <w:p w14:paraId="3335776B"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156.068</w:t>
            </w:r>
          </w:p>
        </w:tc>
        <w:tc>
          <w:tcPr>
            <w:tcW w:w="135" w:type="pct"/>
            <w:tcBorders>
              <w:top w:val="nil"/>
              <w:left w:val="nil"/>
              <w:bottom w:val="nil"/>
              <w:right w:val="nil"/>
            </w:tcBorders>
            <w:shd w:val="clear" w:color="auto" w:fill="auto"/>
            <w:noWrap/>
            <w:vAlign w:val="bottom"/>
            <w:hideMark/>
          </w:tcPr>
          <w:p w14:paraId="25330630" w14:textId="77777777" w:rsidR="00CB6829" w:rsidRPr="007B6E79" w:rsidRDefault="00CB6829" w:rsidP="00CB6829">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bottom"/>
            <w:hideMark/>
          </w:tcPr>
          <w:p w14:paraId="318114E6"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171.906</w:t>
            </w:r>
          </w:p>
        </w:tc>
        <w:tc>
          <w:tcPr>
            <w:tcW w:w="136" w:type="pct"/>
            <w:tcBorders>
              <w:top w:val="nil"/>
              <w:left w:val="nil"/>
              <w:bottom w:val="nil"/>
              <w:right w:val="nil"/>
            </w:tcBorders>
            <w:shd w:val="clear" w:color="auto" w:fill="auto"/>
            <w:noWrap/>
            <w:vAlign w:val="bottom"/>
            <w:hideMark/>
          </w:tcPr>
          <w:p w14:paraId="400B9941" w14:textId="77777777" w:rsidR="00CB6829" w:rsidRPr="007B6E79" w:rsidRDefault="00CB6829" w:rsidP="00CB6829">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bottom"/>
            <w:hideMark/>
          </w:tcPr>
          <w:p w14:paraId="18031EB5"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318.055</w:t>
            </w:r>
          </w:p>
        </w:tc>
        <w:tc>
          <w:tcPr>
            <w:tcW w:w="134" w:type="pct"/>
            <w:tcBorders>
              <w:top w:val="nil"/>
              <w:left w:val="nil"/>
              <w:bottom w:val="nil"/>
              <w:right w:val="nil"/>
            </w:tcBorders>
            <w:shd w:val="clear" w:color="auto" w:fill="auto"/>
            <w:noWrap/>
            <w:vAlign w:val="bottom"/>
            <w:hideMark/>
          </w:tcPr>
          <w:p w14:paraId="4ABDB782"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bottom"/>
            <w:hideMark/>
          </w:tcPr>
          <w:p w14:paraId="6B35C114"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20.066</w:t>
            </w:r>
          </w:p>
        </w:tc>
        <w:tc>
          <w:tcPr>
            <w:tcW w:w="135" w:type="pct"/>
            <w:tcBorders>
              <w:top w:val="nil"/>
              <w:left w:val="nil"/>
              <w:bottom w:val="nil"/>
              <w:right w:val="nil"/>
            </w:tcBorders>
            <w:shd w:val="clear" w:color="auto" w:fill="auto"/>
            <w:noWrap/>
            <w:vAlign w:val="bottom"/>
            <w:hideMark/>
          </w:tcPr>
          <w:p w14:paraId="083D07B7"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nil"/>
              <w:right w:val="nil"/>
            </w:tcBorders>
            <w:vAlign w:val="bottom"/>
          </w:tcPr>
          <w:p w14:paraId="285DBD3E"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167.199</w:t>
            </w:r>
          </w:p>
        </w:tc>
        <w:tc>
          <w:tcPr>
            <w:tcW w:w="134" w:type="pct"/>
            <w:tcBorders>
              <w:top w:val="nil"/>
              <w:left w:val="nil"/>
              <w:bottom w:val="nil"/>
              <w:right w:val="nil"/>
            </w:tcBorders>
          </w:tcPr>
          <w:p w14:paraId="2F31AB1F" w14:textId="77777777" w:rsidR="00CB6829" w:rsidRPr="007B6E79" w:rsidRDefault="00CB6829" w:rsidP="00CB6829">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bottom"/>
          </w:tcPr>
          <w:p w14:paraId="1F7E9590"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238.943 </w:t>
            </w:r>
          </w:p>
        </w:tc>
        <w:tc>
          <w:tcPr>
            <w:tcW w:w="114" w:type="pct"/>
            <w:tcBorders>
              <w:top w:val="nil"/>
              <w:left w:val="nil"/>
              <w:bottom w:val="nil"/>
              <w:right w:val="nil"/>
            </w:tcBorders>
            <w:shd w:val="clear" w:color="auto" w:fill="auto"/>
            <w:noWrap/>
            <w:vAlign w:val="bottom"/>
          </w:tcPr>
          <w:p w14:paraId="563C6BDC" w14:textId="77777777" w:rsidR="00CB6829" w:rsidRPr="007B6E79" w:rsidRDefault="00CB6829" w:rsidP="00CB6829">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bottom"/>
          </w:tcPr>
          <w:p w14:paraId="6702B9C0"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14.395 </w:t>
            </w:r>
          </w:p>
        </w:tc>
      </w:tr>
      <w:tr w:rsidR="007B6E79" w:rsidRPr="007B6E79" w14:paraId="052CA33B" w14:textId="77777777" w:rsidTr="00897DEC">
        <w:trPr>
          <w:trHeight w:val="156"/>
          <w:jc w:val="center"/>
        </w:trPr>
        <w:tc>
          <w:tcPr>
            <w:tcW w:w="916" w:type="pct"/>
            <w:tcBorders>
              <w:top w:val="nil"/>
              <w:left w:val="nil"/>
              <w:bottom w:val="nil"/>
              <w:right w:val="nil"/>
            </w:tcBorders>
            <w:shd w:val="clear" w:color="auto" w:fill="auto"/>
            <w:noWrap/>
            <w:vAlign w:val="center"/>
            <w:hideMark/>
          </w:tcPr>
          <w:p w14:paraId="14EFEFDD" w14:textId="77777777" w:rsidR="00CB6829" w:rsidRPr="007B6E79" w:rsidRDefault="00CB6829" w:rsidP="00CB6829">
            <w:pPr>
              <w:ind w:left="284" w:firstLineChars="22" w:firstLine="35"/>
              <w:rPr>
                <w:rFonts w:ascii="Times New Roman" w:hAnsi="Times New Roman"/>
                <w:color w:val="000000"/>
                <w:sz w:val="16"/>
                <w:szCs w:val="16"/>
                <w:lang w:val="es-ES"/>
              </w:rPr>
            </w:pPr>
            <w:r w:rsidRPr="007B6E79">
              <w:rPr>
                <w:rFonts w:ascii="Times New Roman" w:hAnsi="Times New Roman"/>
                <w:color w:val="000000"/>
                <w:sz w:val="16"/>
                <w:szCs w:val="16"/>
                <w:lang w:val="es-ES"/>
              </w:rPr>
              <w:t>Intereses y diferencias de cotización devengados a pagar</w:t>
            </w:r>
          </w:p>
        </w:tc>
        <w:tc>
          <w:tcPr>
            <w:tcW w:w="470" w:type="pct"/>
            <w:tcBorders>
              <w:top w:val="nil"/>
              <w:left w:val="nil"/>
              <w:bottom w:val="single" w:sz="8" w:space="0" w:color="auto"/>
              <w:right w:val="nil"/>
            </w:tcBorders>
            <w:shd w:val="clear" w:color="auto" w:fill="auto"/>
            <w:noWrap/>
            <w:vAlign w:val="bottom"/>
            <w:hideMark/>
          </w:tcPr>
          <w:p w14:paraId="53D19FD1"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132.373</w:t>
            </w:r>
          </w:p>
        </w:tc>
        <w:tc>
          <w:tcPr>
            <w:tcW w:w="135" w:type="pct"/>
            <w:tcBorders>
              <w:top w:val="nil"/>
              <w:left w:val="nil"/>
              <w:bottom w:val="nil"/>
              <w:right w:val="nil"/>
            </w:tcBorders>
            <w:shd w:val="clear" w:color="auto" w:fill="auto"/>
            <w:noWrap/>
            <w:vAlign w:val="bottom"/>
            <w:hideMark/>
          </w:tcPr>
          <w:p w14:paraId="2BECE70C" w14:textId="77777777" w:rsidR="00CB6829" w:rsidRPr="007B6E79" w:rsidRDefault="00CB6829" w:rsidP="00CB6829">
            <w:pPr>
              <w:jc w:val="right"/>
              <w:rPr>
                <w:rFonts w:ascii="Times New Roman" w:hAnsi="Times New Roman"/>
                <w:sz w:val="16"/>
                <w:szCs w:val="16"/>
                <w:lang w:val="es-ES"/>
              </w:rPr>
            </w:pPr>
          </w:p>
        </w:tc>
        <w:tc>
          <w:tcPr>
            <w:tcW w:w="466" w:type="pct"/>
            <w:tcBorders>
              <w:top w:val="nil"/>
              <w:left w:val="nil"/>
              <w:bottom w:val="single" w:sz="8" w:space="0" w:color="auto"/>
              <w:right w:val="nil"/>
            </w:tcBorders>
            <w:shd w:val="clear" w:color="auto" w:fill="auto"/>
            <w:noWrap/>
            <w:vAlign w:val="bottom"/>
            <w:hideMark/>
          </w:tcPr>
          <w:p w14:paraId="3A689432"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201.293</w:t>
            </w:r>
          </w:p>
        </w:tc>
        <w:tc>
          <w:tcPr>
            <w:tcW w:w="136" w:type="pct"/>
            <w:tcBorders>
              <w:top w:val="nil"/>
              <w:left w:val="nil"/>
              <w:bottom w:val="nil"/>
              <w:right w:val="nil"/>
            </w:tcBorders>
            <w:shd w:val="clear" w:color="auto" w:fill="auto"/>
            <w:noWrap/>
            <w:vAlign w:val="bottom"/>
            <w:hideMark/>
          </w:tcPr>
          <w:p w14:paraId="590A1E06" w14:textId="77777777" w:rsidR="00CB6829" w:rsidRPr="007B6E79" w:rsidRDefault="00CB6829" w:rsidP="00CB6829">
            <w:pPr>
              <w:jc w:val="right"/>
              <w:rPr>
                <w:rFonts w:ascii="Times New Roman" w:hAnsi="Times New Roman"/>
                <w:sz w:val="16"/>
                <w:szCs w:val="16"/>
                <w:lang w:val="es-ES"/>
              </w:rPr>
            </w:pPr>
          </w:p>
        </w:tc>
        <w:tc>
          <w:tcPr>
            <w:tcW w:w="464" w:type="pct"/>
            <w:tcBorders>
              <w:top w:val="nil"/>
              <w:left w:val="nil"/>
              <w:bottom w:val="single" w:sz="8" w:space="0" w:color="auto"/>
              <w:right w:val="nil"/>
            </w:tcBorders>
            <w:shd w:val="clear" w:color="auto" w:fill="auto"/>
            <w:noWrap/>
            <w:vAlign w:val="bottom"/>
            <w:hideMark/>
          </w:tcPr>
          <w:p w14:paraId="742EC08A"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285.448</w:t>
            </w:r>
          </w:p>
        </w:tc>
        <w:tc>
          <w:tcPr>
            <w:tcW w:w="134" w:type="pct"/>
            <w:tcBorders>
              <w:top w:val="nil"/>
              <w:left w:val="nil"/>
              <w:bottom w:val="nil"/>
              <w:right w:val="nil"/>
            </w:tcBorders>
            <w:shd w:val="clear" w:color="auto" w:fill="auto"/>
            <w:noWrap/>
            <w:vAlign w:val="bottom"/>
            <w:hideMark/>
          </w:tcPr>
          <w:p w14:paraId="409D71B5"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single" w:sz="8" w:space="0" w:color="auto"/>
              <w:right w:val="nil"/>
            </w:tcBorders>
            <w:shd w:val="clear" w:color="auto" w:fill="auto"/>
            <w:noWrap/>
            <w:vAlign w:val="bottom"/>
            <w:hideMark/>
          </w:tcPr>
          <w:p w14:paraId="73200517"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18.009</w:t>
            </w:r>
          </w:p>
        </w:tc>
        <w:tc>
          <w:tcPr>
            <w:tcW w:w="135" w:type="pct"/>
            <w:tcBorders>
              <w:top w:val="nil"/>
              <w:left w:val="nil"/>
              <w:bottom w:val="nil"/>
              <w:right w:val="nil"/>
            </w:tcBorders>
            <w:shd w:val="clear" w:color="auto" w:fill="auto"/>
            <w:noWrap/>
            <w:vAlign w:val="bottom"/>
            <w:hideMark/>
          </w:tcPr>
          <w:p w14:paraId="2E70497B" w14:textId="77777777" w:rsidR="00CB6829" w:rsidRPr="007B6E79" w:rsidRDefault="00CB6829" w:rsidP="00CB6829">
            <w:pPr>
              <w:jc w:val="right"/>
              <w:rPr>
                <w:rFonts w:ascii="Times New Roman" w:hAnsi="Times New Roman"/>
                <w:sz w:val="16"/>
                <w:szCs w:val="16"/>
                <w:lang w:val="es-ES"/>
              </w:rPr>
            </w:pPr>
          </w:p>
        </w:tc>
        <w:tc>
          <w:tcPr>
            <w:tcW w:w="469" w:type="pct"/>
            <w:tcBorders>
              <w:top w:val="nil"/>
              <w:left w:val="nil"/>
              <w:bottom w:val="single" w:sz="8" w:space="0" w:color="auto"/>
              <w:right w:val="nil"/>
            </w:tcBorders>
            <w:vAlign w:val="bottom"/>
          </w:tcPr>
          <w:p w14:paraId="24BFAC8E"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253.473</w:t>
            </w:r>
          </w:p>
        </w:tc>
        <w:tc>
          <w:tcPr>
            <w:tcW w:w="134" w:type="pct"/>
            <w:tcBorders>
              <w:top w:val="nil"/>
              <w:left w:val="nil"/>
              <w:right w:val="nil"/>
            </w:tcBorders>
          </w:tcPr>
          <w:p w14:paraId="684B9841" w14:textId="77777777" w:rsidR="00CB6829" w:rsidRPr="007B6E79" w:rsidRDefault="00CB6829" w:rsidP="00CB6829">
            <w:pPr>
              <w:jc w:val="right"/>
              <w:rPr>
                <w:rFonts w:ascii="Times New Roman" w:hAnsi="Times New Roman"/>
                <w:color w:val="000000"/>
                <w:sz w:val="16"/>
                <w:szCs w:val="16"/>
                <w:lang w:val="es-ES"/>
              </w:rPr>
            </w:pPr>
          </w:p>
        </w:tc>
        <w:tc>
          <w:tcPr>
            <w:tcW w:w="491" w:type="pct"/>
            <w:tcBorders>
              <w:top w:val="nil"/>
              <w:left w:val="nil"/>
              <w:bottom w:val="single" w:sz="8" w:space="0" w:color="auto"/>
              <w:right w:val="nil"/>
            </w:tcBorders>
            <w:shd w:val="clear" w:color="auto" w:fill="auto"/>
            <w:noWrap/>
            <w:vAlign w:val="bottom"/>
          </w:tcPr>
          <w:p w14:paraId="371CD932"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202.978 </w:t>
            </w:r>
          </w:p>
        </w:tc>
        <w:tc>
          <w:tcPr>
            <w:tcW w:w="114" w:type="pct"/>
            <w:tcBorders>
              <w:top w:val="nil"/>
              <w:left w:val="nil"/>
              <w:bottom w:val="nil"/>
              <w:right w:val="nil"/>
            </w:tcBorders>
            <w:shd w:val="clear" w:color="auto" w:fill="auto"/>
            <w:noWrap/>
            <w:vAlign w:val="bottom"/>
          </w:tcPr>
          <w:p w14:paraId="68C515FF" w14:textId="77777777" w:rsidR="00CB6829" w:rsidRPr="007B6E79" w:rsidRDefault="00CB6829" w:rsidP="00CB6829">
            <w:pPr>
              <w:jc w:val="right"/>
              <w:rPr>
                <w:rFonts w:ascii="Times New Roman" w:hAnsi="Times New Roman"/>
                <w:color w:val="000000"/>
                <w:sz w:val="16"/>
                <w:szCs w:val="16"/>
                <w:lang w:val="es-ES"/>
              </w:rPr>
            </w:pPr>
          </w:p>
        </w:tc>
        <w:tc>
          <w:tcPr>
            <w:tcW w:w="467" w:type="pct"/>
            <w:tcBorders>
              <w:top w:val="nil"/>
              <w:left w:val="nil"/>
              <w:bottom w:val="single" w:sz="8" w:space="0" w:color="auto"/>
              <w:right w:val="nil"/>
            </w:tcBorders>
            <w:shd w:val="clear" w:color="auto" w:fill="auto"/>
            <w:noWrap/>
            <w:vAlign w:val="bottom"/>
          </w:tcPr>
          <w:p w14:paraId="6BE9D8BC" w14:textId="77777777" w:rsidR="00CB6829" w:rsidRPr="007B6E79" w:rsidRDefault="00CB6829" w:rsidP="00CB6829">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12.229 </w:t>
            </w:r>
          </w:p>
        </w:tc>
      </w:tr>
      <w:tr w:rsidR="00897DEC" w:rsidRPr="007B6E79" w14:paraId="5D4306E1" w14:textId="77777777" w:rsidTr="00897DEC">
        <w:trPr>
          <w:trHeight w:val="148"/>
          <w:jc w:val="center"/>
        </w:trPr>
        <w:tc>
          <w:tcPr>
            <w:tcW w:w="916" w:type="pct"/>
            <w:tcBorders>
              <w:top w:val="nil"/>
              <w:left w:val="nil"/>
              <w:bottom w:val="nil"/>
              <w:right w:val="nil"/>
            </w:tcBorders>
            <w:shd w:val="clear" w:color="auto" w:fill="auto"/>
            <w:noWrap/>
            <w:vAlign w:val="center"/>
          </w:tcPr>
          <w:p w14:paraId="1C7EB686" w14:textId="77777777" w:rsidR="00897DEC" w:rsidRPr="007B6E79" w:rsidRDefault="00897DEC" w:rsidP="00897DEC">
            <w:pPr>
              <w:rPr>
                <w:rFonts w:ascii="Times New Roman" w:hAnsi="Times New Roman"/>
                <w:color w:val="000000"/>
                <w:sz w:val="16"/>
                <w:szCs w:val="16"/>
                <w:lang w:val="es-ES"/>
              </w:rPr>
            </w:pPr>
            <w:r>
              <w:rPr>
                <w:rFonts w:ascii="Times New Roman" w:hAnsi="Times New Roman"/>
                <w:color w:val="000000"/>
                <w:sz w:val="16"/>
                <w:szCs w:val="16"/>
                <w:lang w:val="es-ES"/>
              </w:rPr>
              <w:t xml:space="preserve">Total </w:t>
            </w:r>
            <w:r w:rsidRPr="007B6E79">
              <w:rPr>
                <w:rFonts w:ascii="Times New Roman" w:hAnsi="Times New Roman"/>
                <w:color w:val="000000"/>
                <w:sz w:val="16"/>
                <w:szCs w:val="16"/>
                <w:lang w:val="es-ES"/>
              </w:rPr>
              <w:t xml:space="preserve">Sector Privado no Financiero y Residentes </w:t>
            </w:r>
            <w:r w:rsidRPr="007B6E79">
              <w:rPr>
                <w:rFonts w:ascii="Times New Roman" w:hAnsi="Times New Roman"/>
                <w:color w:val="000000"/>
                <w:sz w:val="16"/>
                <w:szCs w:val="16"/>
                <w:lang w:val="es-ES"/>
              </w:rPr>
              <w:lastRenderedPageBreak/>
              <w:t>en el exterior</w:t>
            </w:r>
          </w:p>
        </w:tc>
        <w:tc>
          <w:tcPr>
            <w:tcW w:w="470" w:type="pct"/>
            <w:tcBorders>
              <w:top w:val="nil"/>
              <w:left w:val="nil"/>
              <w:bottom w:val="nil"/>
              <w:right w:val="nil"/>
            </w:tcBorders>
            <w:shd w:val="clear" w:color="auto" w:fill="auto"/>
            <w:noWrap/>
            <w:vAlign w:val="bottom"/>
          </w:tcPr>
          <w:p w14:paraId="442CECF9"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lastRenderedPageBreak/>
              <w:t>9.225.875</w:t>
            </w:r>
          </w:p>
        </w:tc>
        <w:tc>
          <w:tcPr>
            <w:tcW w:w="135" w:type="pct"/>
            <w:tcBorders>
              <w:top w:val="nil"/>
              <w:left w:val="nil"/>
              <w:bottom w:val="nil"/>
              <w:right w:val="nil"/>
            </w:tcBorders>
            <w:shd w:val="clear" w:color="auto" w:fill="auto"/>
            <w:noWrap/>
            <w:vAlign w:val="bottom"/>
          </w:tcPr>
          <w:p w14:paraId="0A8BF270" w14:textId="77777777" w:rsidR="00897DEC" w:rsidRPr="007B6E79" w:rsidRDefault="00897DEC" w:rsidP="00897DEC">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bottom"/>
          </w:tcPr>
          <w:p w14:paraId="35E06E55"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13.563.895</w:t>
            </w:r>
          </w:p>
        </w:tc>
        <w:tc>
          <w:tcPr>
            <w:tcW w:w="136" w:type="pct"/>
            <w:tcBorders>
              <w:top w:val="nil"/>
              <w:left w:val="nil"/>
              <w:bottom w:val="nil"/>
              <w:right w:val="nil"/>
            </w:tcBorders>
            <w:shd w:val="clear" w:color="auto" w:fill="auto"/>
            <w:noWrap/>
            <w:vAlign w:val="bottom"/>
          </w:tcPr>
          <w:p w14:paraId="7DF57CD4" w14:textId="77777777" w:rsidR="00897DEC" w:rsidRPr="007B6E79" w:rsidRDefault="00897DEC" w:rsidP="00897DEC">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bottom"/>
          </w:tcPr>
          <w:p w14:paraId="4DC2DBEF"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16.441.762 </w:t>
            </w:r>
          </w:p>
        </w:tc>
        <w:tc>
          <w:tcPr>
            <w:tcW w:w="134" w:type="pct"/>
            <w:tcBorders>
              <w:top w:val="nil"/>
              <w:left w:val="nil"/>
              <w:bottom w:val="nil"/>
              <w:right w:val="nil"/>
            </w:tcBorders>
            <w:shd w:val="clear" w:color="auto" w:fill="auto"/>
            <w:noWrap/>
            <w:vAlign w:val="bottom"/>
          </w:tcPr>
          <w:p w14:paraId="477C30AC" w14:textId="77777777" w:rsidR="00897DEC" w:rsidRPr="007B6E79" w:rsidRDefault="00897DEC" w:rsidP="00897DEC">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bottom"/>
          </w:tcPr>
          <w:p w14:paraId="02640FF4"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1.037.322 </w:t>
            </w:r>
          </w:p>
        </w:tc>
        <w:tc>
          <w:tcPr>
            <w:tcW w:w="135" w:type="pct"/>
            <w:tcBorders>
              <w:top w:val="nil"/>
              <w:left w:val="nil"/>
              <w:bottom w:val="nil"/>
              <w:right w:val="nil"/>
            </w:tcBorders>
            <w:shd w:val="clear" w:color="auto" w:fill="auto"/>
            <w:noWrap/>
            <w:vAlign w:val="bottom"/>
          </w:tcPr>
          <w:p w14:paraId="53C4B278" w14:textId="77777777" w:rsidR="00897DEC" w:rsidRPr="007B6E79" w:rsidRDefault="00897DEC" w:rsidP="00897DEC">
            <w:pPr>
              <w:jc w:val="right"/>
              <w:rPr>
                <w:rFonts w:ascii="Times New Roman" w:hAnsi="Times New Roman"/>
                <w:sz w:val="16"/>
                <w:szCs w:val="16"/>
                <w:lang w:val="es-ES"/>
              </w:rPr>
            </w:pPr>
          </w:p>
        </w:tc>
        <w:tc>
          <w:tcPr>
            <w:tcW w:w="469" w:type="pct"/>
            <w:tcBorders>
              <w:top w:val="nil"/>
              <w:left w:val="nil"/>
              <w:bottom w:val="nil"/>
              <w:right w:val="nil"/>
            </w:tcBorders>
            <w:vAlign w:val="bottom"/>
          </w:tcPr>
          <w:p w14:paraId="3BFF9397"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14.252.280</w:t>
            </w:r>
          </w:p>
        </w:tc>
        <w:tc>
          <w:tcPr>
            <w:tcW w:w="134" w:type="pct"/>
            <w:tcBorders>
              <w:top w:val="nil"/>
              <w:left w:val="nil"/>
              <w:bottom w:val="nil"/>
              <w:right w:val="nil"/>
            </w:tcBorders>
          </w:tcPr>
          <w:p w14:paraId="56CDEB36" w14:textId="77777777" w:rsidR="00897DEC" w:rsidRPr="007B6E79" w:rsidRDefault="00897DEC" w:rsidP="00897DEC">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bottom"/>
          </w:tcPr>
          <w:p w14:paraId="34C54AEA"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17.022.523 </w:t>
            </w:r>
          </w:p>
        </w:tc>
        <w:tc>
          <w:tcPr>
            <w:tcW w:w="114" w:type="pct"/>
            <w:tcBorders>
              <w:top w:val="nil"/>
              <w:left w:val="nil"/>
              <w:bottom w:val="nil"/>
              <w:right w:val="nil"/>
            </w:tcBorders>
            <w:shd w:val="clear" w:color="auto" w:fill="auto"/>
            <w:noWrap/>
            <w:vAlign w:val="bottom"/>
          </w:tcPr>
          <w:p w14:paraId="0FD7B3C0" w14:textId="77777777" w:rsidR="00897DEC" w:rsidRPr="007B6E79" w:rsidRDefault="00897DEC" w:rsidP="00897DEC">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bottom"/>
          </w:tcPr>
          <w:p w14:paraId="61177DD4"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1.025.546 </w:t>
            </w:r>
          </w:p>
        </w:tc>
      </w:tr>
      <w:tr w:rsidR="00897DEC" w:rsidRPr="007B6E79" w14:paraId="7447DEC1" w14:textId="77777777" w:rsidTr="00897DEC">
        <w:trPr>
          <w:trHeight w:val="148"/>
          <w:jc w:val="center"/>
        </w:trPr>
        <w:tc>
          <w:tcPr>
            <w:tcW w:w="916" w:type="pct"/>
            <w:tcBorders>
              <w:top w:val="nil"/>
              <w:left w:val="nil"/>
              <w:bottom w:val="nil"/>
              <w:right w:val="nil"/>
            </w:tcBorders>
            <w:shd w:val="clear" w:color="auto" w:fill="auto"/>
            <w:noWrap/>
            <w:vAlign w:val="center"/>
            <w:hideMark/>
          </w:tcPr>
          <w:p w14:paraId="6F6BCFE9" w14:textId="77777777" w:rsidR="00897DEC" w:rsidRPr="007B6E79" w:rsidRDefault="00897DEC" w:rsidP="00897DEC">
            <w:pPr>
              <w:rPr>
                <w:rFonts w:ascii="Times New Roman" w:hAnsi="Times New Roman"/>
                <w:color w:val="000000"/>
                <w:sz w:val="16"/>
                <w:szCs w:val="16"/>
                <w:lang w:val="es-ES"/>
              </w:rPr>
            </w:pPr>
            <w:r w:rsidRPr="007B6E79">
              <w:rPr>
                <w:rFonts w:ascii="Times New Roman" w:hAnsi="Times New Roman"/>
                <w:color w:val="000000"/>
                <w:sz w:val="16"/>
                <w:szCs w:val="16"/>
                <w:lang w:val="es-ES"/>
              </w:rPr>
              <w:lastRenderedPageBreak/>
              <w:t>Total Depósitos</w:t>
            </w:r>
          </w:p>
        </w:tc>
        <w:tc>
          <w:tcPr>
            <w:tcW w:w="470" w:type="pct"/>
            <w:tcBorders>
              <w:top w:val="nil"/>
              <w:left w:val="nil"/>
              <w:bottom w:val="nil"/>
              <w:right w:val="nil"/>
            </w:tcBorders>
            <w:shd w:val="clear" w:color="auto" w:fill="auto"/>
            <w:noWrap/>
            <w:vAlign w:val="center"/>
            <w:hideMark/>
          </w:tcPr>
          <w:p w14:paraId="1614063F"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18.334.113</w:t>
            </w:r>
          </w:p>
        </w:tc>
        <w:tc>
          <w:tcPr>
            <w:tcW w:w="135" w:type="pct"/>
            <w:tcBorders>
              <w:top w:val="nil"/>
              <w:left w:val="nil"/>
              <w:bottom w:val="nil"/>
              <w:right w:val="nil"/>
            </w:tcBorders>
            <w:shd w:val="clear" w:color="auto" w:fill="auto"/>
            <w:noWrap/>
            <w:vAlign w:val="center"/>
            <w:hideMark/>
          </w:tcPr>
          <w:p w14:paraId="1940683F" w14:textId="77777777" w:rsidR="00897DEC" w:rsidRPr="007B6E79" w:rsidRDefault="00897DEC" w:rsidP="00897DEC">
            <w:pPr>
              <w:jc w:val="right"/>
              <w:rPr>
                <w:rFonts w:ascii="Times New Roman" w:hAnsi="Times New Roman"/>
                <w:sz w:val="16"/>
                <w:szCs w:val="16"/>
                <w:lang w:val="es-ES"/>
              </w:rPr>
            </w:pPr>
          </w:p>
        </w:tc>
        <w:tc>
          <w:tcPr>
            <w:tcW w:w="466" w:type="pct"/>
            <w:tcBorders>
              <w:top w:val="nil"/>
              <w:left w:val="nil"/>
              <w:bottom w:val="nil"/>
              <w:right w:val="nil"/>
            </w:tcBorders>
            <w:shd w:val="clear" w:color="auto" w:fill="auto"/>
            <w:noWrap/>
            <w:vAlign w:val="center"/>
            <w:hideMark/>
          </w:tcPr>
          <w:p w14:paraId="56EBE5B1"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20.392.213</w:t>
            </w:r>
          </w:p>
        </w:tc>
        <w:tc>
          <w:tcPr>
            <w:tcW w:w="136" w:type="pct"/>
            <w:tcBorders>
              <w:top w:val="nil"/>
              <w:left w:val="nil"/>
              <w:bottom w:val="nil"/>
              <w:right w:val="nil"/>
            </w:tcBorders>
            <w:shd w:val="clear" w:color="auto" w:fill="auto"/>
            <w:noWrap/>
            <w:vAlign w:val="center"/>
            <w:hideMark/>
          </w:tcPr>
          <w:p w14:paraId="32D7A8F8" w14:textId="77777777" w:rsidR="00897DEC" w:rsidRPr="007B6E79" w:rsidRDefault="00897DEC" w:rsidP="00897DEC">
            <w:pPr>
              <w:jc w:val="right"/>
              <w:rPr>
                <w:rFonts w:ascii="Times New Roman" w:hAnsi="Times New Roman"/>
                <w:sz w:val="16"/>
                <w:szCs w:val="16"/>
                <w:lang w:val="es-ES"/>
              </w:rPr>
            </w:pPr>
          </w:p>
        </w:tc>
        <w:tc>
          <w:tcPr>
            <w:tcW w:w="464" w:type="pct"/>
            <w:tcBorders>
              <w:top w:val="nil"/>
              <w:left w:val="nil"/>
              <w:bottom w:val="nil"/>
              <w:right w:val="nil"/>
            </w:tcBorders>
            <w:shd w:val="clear" w:color="auto" w:fill="auto"/>
            <w:noWrap/>
            <w:vAlign w:val="center"/>
            <w:hideMark/>
          </w:tcPr>
          <w:p w14:paraId="1679FAA1"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18.984.992</w:t>
            </w:r>
          </w:p>
        </w:tc>
        <w:tc>
          <w:tcPr>
            <w:tcW w:w="134" w:type="pct"/>
            <w:tcBorders>
              <w:top w:val="nil"/>
              <w:left w:val="nil"/>
              <w:bottom w:val="nil"/>
              <w:right w:val="nil"/>
            </w:tcBorders>
            <w:shd w:val="clear" w:color="auto" w:fill="auto"/>
            <w:noWrap/>
            <w:vAlign w:val="center"/>
            <w:hideMark/>
          </w:tcPr>
          <w:p w14:paraId="60909F5E" w14:textId="77777777" w:rsidR="00897DEC" w:rsidRPr="007B6E79" w:rsidRDefault="00897DEC" w:rsidP="00897DEC">
            <w:pPr>
              <w:jc w:val="right"/>
              <w:rPr>
                <w:rFonts w:ascii="Times New Roman" w:hAnsi="Times New Roman"/>
                <w:sz w:val="16"/>
                <w:szCs w:val="16"/>
                <w:lang w:val="es-ES"/>
              </w:rPr>
            </w:pPr>
          </w:p>
        </w:tc>
        <w:tc>
          <w:tcPr>
            <w:tcW w:w="469" w:type="pct"/>
            <w:tcBorders>
              <w:top w:val="nil"/>
              <w:left w:val="nil"/>
              <w:bottom w:val="nil"/>
              <w:right w:val="nil"/>
            </w:tcBorders>
            <w:shd w:val="clear" w:color="auto" w:fill="auto"/>
            <w:noWrap/>
            <w:vAlign w:val="center"/>
            <w:hideMark/>
          </w:tcPr>
          <w:p w14:paraId="273ED1C9"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1.197.776</w:t>
            </w:r>
          </w:p>
        </w:tc>
        <w:tc>
          <w:tcPr>
            <w:tcW w:w="135" w:type="pct"/>
            <w:tcBorders>
              <w:top w:val="nil"/>
              <w:left w:val="nil"/>
              <w:bottom w:val="nil"/>
              <w:right w:val="nil"/>
            </w:tcBorders>
            <w:shd w:val="clear" w:color="auto" w:fill="auto"/>
            <w:noWrap/>
            <w:vAlign w:val="center"/>
            <w:hideMark/>
          </w:tcPr>
          <w:p w14:paraId="3002D06E" w14:textId="77777777" w:rsidR="00897DEC" w:rsidRPr="007B6E79" w:rsidRDefault="00897DEC" w:rsidP="00897DEC">
            <w:pPr>
              <w:jc w:val="right"/>
              <w:rPr>
                <w:rFonts w:ascii="Times New Roman" w:hAnsi="Times New Roman"/>
                <w:sz w:val="16"/>
                <w:szCs w:val="16"/>
                <w:lang w:val="es-ES"/>
              </w:rPr>
            </w:pPr>
          </w:p>
        </w:tc>
        <w:tc>
          <w:tcPr>
            <w:tcW w:w="469" w:type="pct"/>
            <w:tcBorders>
              <w:top w:val="nil"/>
              <w:left w:val="nil"/>
              <w:bottom w:val="nil"/>
              <w:right w:val="nil"/>
            </w:tcBorders>
            <w:vAlign w:val="center"/>
          </w:tcPr>
          <w:p w14:paraId="7702DF94"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17.793.533</w:t>
            </w:r>
          </w:p>
        </w:tc>
        <w:tc>
          <w:tcPr>
            <w:tcW w:w="134" w:type="pct"/>
            <w:tcBorders>
              <w:top w:val="nil"/>
              <w:left w:val="nil"/>
              <w:bottom w:val="nil"/>
              <w:right w:val="nil"/>
            </w:tcBorders>
            <w:vAlign w:val="center"/>
          </w:tcPr>
          <w:p w14:paraId="444825E1" w14:textId="77777777" w:rsidR="00897DEC" w:rsidRPr="007B6E79" w:rsidRDefault="00897DEC" w:rsidP="00897DEC">
            <w:pPr>
              <w:jc w:val="right"/>
              <w:rPr>
                <w:rFonts w:ascii="Times New Roman" w:hAnsi="Times New Roman"/>
                <w:color w:val="000000"/>
                <w:sz w:val="16"/>
                <w:szCs w:val="16"/>
                <w:lang w:val="es-ES"/>
              </w:rPr>
            </w:pPr>
          </w:p>
        </w:tc>
        <w:tc>
          <w:tcPr>
            <w:tcW w:w="491" w:type="pct"/>
            <w:tcBorders>
              <w:top w:val="nil"/>
              <w:left w:val="nil"/>
              <w:bottom w:val="nil"/>
              <w:right w:val="nil"/>
            </w:tcBorders>
            <w:shd w:val="clear" w:color="auto" w:fill="auto"/>
            <w:noWrap/>
            <w:vAlign w:val="center"/>
          </w:tcPr>
          <w:p w14:paraId="1EE1FEFC"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19.882.975 </w:t>
            </w:r>
          </w:p>
        </w:tc>
        <w:tc>
          <w:tcPr>
            <w:tcW w:w="114" w:type="pct"/>
            <w:tcBorders>
              <w:top w:val="nil"/>
              <w:left w:val="nil"/>
              <w:bottom w:val="nil"/>
              <w:right w:val="nil"/>
            </w:tcBorders>
            <w:shd w:val="clear" w:color="auto" w:fill="auto"/>
            <w:noWrap/>
            <w:vAlign w:val="center"/>
          </w:tcPr>
          <w:p w14:paraId="5EFFBFA5" w14:textId="77777777" w:rsidR="00897DEC" w:rsidRPr="007B6E79" w:rsidRDefault="00897DEC" w:rsidP="00897DEC">
            <w:pPr>
              <w:jc w:val="right"/>
              <w:rPr>
                <w:rFonts w:ascii="Times New Roman" w:hAnsi="Times New Roman"/>
                <w:color w:val="000000"/>
                <w:sz w:val="16"/>
                <w:szCs w:val="16"/>
                <w:lang w:val="es-ES"/>
              </w:rPr>
            </w:pPr>
          </w:p>
        </w:tc>
        <w:tc>
          <w:tcPr>
            <w:tcW w:w="467" w:type="pct"/>
            <w:tcBorders>
              <w:top w:val="nil"/>
              <w:left w:val="nil"/>
              <w:bottom w:val="nil"/>
              <w:right w:val="nil"/>
            </w:tcBorders>
            <w:shd w:val="clear" w:color="auto" w:fill="auto"/>
            <w:noWrap/>
            <w:vAlign w:val="center"/>
          </w:tcPr>
          <w:p w14:paraId="1467FC54" w14:textId="77777777" w:rsidR="00897DEC" w:rsidRPr="007B6E79" w:rsidRDefault="00897DEC" w:rsidP="00897DEC">
            <w:pPr>
              <w:jc w:val="right"/>
              <w:rPr>
                <w:rFonts w:ascii="Times New Roman" w:hAnsi="Times New Roman"/>
                <w:color w:val="000000"/>
                <w:sz w:val="16"/>
                <w:szCs w:val="16"/>
                <w:lang w:val="es-ES"/>
              </w:rPr>
            </w:pPr>
            <w:r w:rsidRPr="007B6E79">
              <w:rPr>
                <w:rFonts w:ascii="Times New Roman" w:hAnsi="Times New Roman"/>
                <w:color w:val="000000"/>
                <w:sz w:val="16"/>
                <w:szCs w:val="16"/>
                <w:lang w:val="es-ES"/>
              </w:rPr>
              <w:t xml:space="preserve">1.197.878 </w:t>
            </w:r>
          </w:p>
        </w:tc>
      </w:tr>
    </w:tbl>
    <w:p w14:paraId="043993D1" w14:textId="77777777" w:rsidR="00D65ECF" w:rsidRPr="00AE4E8D" w:rsidRDefault="00D65ECF" w:rsidP="00D65ECF">
      <w:pPr>
        <w:autoSpaceDE w:val="0"/>
        <w:autoSpaceDN w:val="0"/>
        <w:adjustRightInd w:val="0"/>
        <w:jc w:val="both"/>
        <w:rPr>
          <w:rFonts w:ascii="Times New Roman" w:hAnsi="Times New Roman"/>
          <w:sz w:val="16"/>
          <w:lang w:val="es-ES" w:eastAsia="es-AR"/>
        </w:rPr>
      </w:pPr>
    </w:p>
    <w:p w14:paraId="2FE87C96" w14:textId="77777777" w:rsidR="001E34BD" w:rsidRPr="00AE4E8D" w:rsidRDefault="001E34BD" w:rsidP="00D65ECF">
      <w:pPr>
        <w:autoSpaceDE w:val="0"/>
        <w:autoSpaceDN w:val="0"/>
        <w:adjustRightInd w:val="0"/>
        <w:jc w:val="both"/>
        <w:rPr>
          <w:rFonts w:ascii="Times New Roman" w:hAnsi="Times New Roman"/>
          <w:sz w:val="16"/>
          <w:lang w:val="es-ES" w:eastAsia="es-AR"/>
        </w:rPr>
      </w:pPr>
    </w:p>
    <w:tbl>
      <w:tblPr>
        <w:tblW w:w="6095" w:type="pct"/>
        <w:jc w:val="center"/>
        <w:tblLayout w:type="fixed"/>
        <w:tblLook w:val="04A0" w:firstRow="1" w:lastRow="0" w:firstColumn="1" w:lastColumn="0" w:noHBand="0" w:noVBand="1"/>
      </w:tblPr>
      <w:tblGrid>
        <w:gridCol w:w="1913"/>
        <w:gridCol w:w="984"/>
        <w:gridCol w:w="245"/>
        <w:gridCol w:w="963"/>
        <w:gridCol w:w="245"/>
        <w:gridCol w:w="965"/>
        <w:gridCol w:w="245"/>
        <w:gridCol w:w="912"/>
        <w:gridCol w:w="306"/>
        <w:gridCol w:w="1033"/>
        <w:gridCol w:w="296"/>
        <w:gridCol w:w="1048"/>
        <w:gridCol w:w="283"/>
        <w:gridCol w:w="1193"/>
      </w:tblGrid>
      <w:tr w:rsidR="003B5193" w:rsidRPr="00AE4E8D" w14:paraId="526E6827" w14:textId="77777777" w:rsidTr="00897DEC">
        <w:trPr>
          <w:trHeight w:val="209"/>
          <w:jc w:val="center"/>
        </w:trPr>
        <w:tc>
          <w:tcPr>
            <w:tcW w:w="900" w:type="pct"/>
            <w:tcBorders>
              <w:top w:val="nil"/>
              <w:left w:val="nil"/>
              <w:bottom w:val="nil"/>
              <w:right w:val="nil"/>
            </w:tcBorders>
            <w:shd w:val="clear" w:color="auto" w:fill="auto"/>
            <w:noWrap/>
            <w:vAlign w:val="center"/>
            <w:hideMark/>
          </w:tcPr>
          <w:p w14:paraId="05006129" w14:textId="77777777" w:rsidR="00CB6829" w:rsidRPr="00AE4E8D" w:rsidRDefault="00CB6829" w:rsidP="00897DEC">
            <w:pPr>
              <w:keepNext/>
              <w:keepLines/>
              <w:rPr>
                <w:rFonts w:ascii="Times New Roman" w:hAnsi="Times New Roman"/>
                <w:sz w:val="16"/>
                <w:szCs w:val="16"/>
                <w:lang w:val="es-ES"/>
              </w:rPr>
            </w:pPr>
          </w:p>
        </w:tc>
        <w:tc>
          <w:tcPr>
            <w:tcW w:w="2144" w:type="pct"/>
            <w:gridSpan w:val="7"/>
            <w:tcBorders>
              <w:top w:val="nil"/>
              <w:left w:val="nil"/>
              <w:bottom w:val="single" w:sz="8" w:space="0" w:color="auto"/>
              <w:right w:val="nil"/>
            </w:tcBorders>
            <w:shd w:val="clear" w:color="auto" w:fill="auto"/>
            <w:noWrap/>
            <w:vAlign w:val="center"/>
            <w:hideMark/>
          </w:tcPr>
          <w:p w14:paraId="7A9C0D20" w14:textId="77777777" w:rsidR="00CB6829" w:rsidRPr="00AE4E8D" w:rsidRDefault="00CB6829" w:rsidP="00897DEC">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Al 31 de diciembre de</w:t>
            </w:r>
          </w:p>
        </w:tc>
        <w:tc>
          <w:tcPr>
            <w:tcW w:w="144" w:type="pct"/>
            <w:tcBorders>
              <w:top w:val="nil"/>
              <w:left w:val="nil"/>
              <w:bottom w:val="nil"/>
              <w:right w:val="nil"/>
            </w:tcBorders>
            <w:shd w:val="clear" w:color="auto" w:fill="auto"/>
            <w:noWrap/>
            <w:vAlign w:val="bottom"/>
            <w:hideMark/>
          </w:tcPr>
          <w:p w14:paraId="4FB07D69" w14:textId="77777777" w:rsidR="00CB6829" w:rsidRPr="00AE4E8D" w:rsidRDefault="00CB6829" w:rsidP="00897DEC">
            <w:pPr>
              <w:keepNext/>
              <w:keepLines/>
              <w:rPr>
                <w:rFonts w:ascii="Times New Roman" w:hAnsi="Times New Roman"/>
                <w:sz w:val="16"/>
                <w:szCs w:val="16"/>
                <w:lang w:val="es-ES"/>
              </w:rPr>
            </w:pPr>
          </w:p>
        </w:tc>
        <w:tc>
          <w:tcPr>
            <w:tcW w:w="1812" w:type="pct"/>
            <w:gridSpan w:val="5"/>
            <w:tcBorders>
              <w:top w:val="nil"/>
              <w:left w:val="nil"/>
              <w:bottom w:val="single" w:sz="8" w:space="0" w:color="auto"/>
              <w:right w:val="nil"/>
            </w:tcBorders>
          </w:tcPr>
          <w:p w14:paraId="40C7F77E" w14:textId="77777777" w:rsidR="00CB6829" w:rsidRPr="00AE4E8D" w:rsidRDefault="00CB6829" w:rsidP="00897DEC">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Al 30 de junio de</w:t>
            </w:r>
          </w:p>
        </w:tc>
      </w:tr>
      <w:tr w:rsidR="00897DEC" w:rsidRPr="00AE4E8D" w14:paraId="4AA0293F" w14:textId="77777777" w:rsidTr="00897DEC">
        <w:trPr>
          <w:trHeight w:val="209"/>
          <w:jc w:val="center"/>
        </w:trPr>
        <w:tc>
          <w:tcPr>
            <w:tcW w:w="900" w:type="pct"/>
            <w:tcBorders>
              <w:top w:val="nil"/>
              <w:left w:val="nil"/>
              <w:bottom w:val="nil"/>
              <w:right w:val="nil"/>
            </w:tcBorders>
            <w:shd w:val="clear" w:color="auto" w:fill="auto"/>
            <w:noWrap/>
            <w:vAlign w:val="center"/>
            <w:hideMark/>
          </w:tcPr>
          <w:p w14:paraId="709E6FAA" w14:textId="77777777" w:rsidR="00CB6829" w:rsidRPr="00AE4E8D" w:rsidRDefault="00CB6829" w:rsidP="00897DEC">
            <w:pPr>
              <w:keepNext/>
              <w:keepLines/>
              <w:rPr>
                <w:rFonts w:ascii="Times New Roman" w:hAnsi="Times New Roman"/>
                <w:sz w:val="16"/>
                <w:szCs w:val="16"/>
                <w:lang w:val="es-ES"/>
              </w:rPr>
            </w:pPr>
          </w:p>
        </w:tc>
        <w:tc>
          <w:tcPr>
            <w:tcW w:w="463" w:type="pct"/>
            <w:tcBorders>
              <w:top w:val="nil"/>
              <w:left w:val="nil"/>
              <w:bottom w:val="single" w:sz="8" w:space="0" w:color="auto"/>
              <w:right w:val="nil"/>
            </w:tcBorders>
            <w:shd w:val="clear" w:color="auto" w:fill="auto"/>
            <w:noWrap/>
            <w:vAlign w:val="center"/>
            <w:hideMark/>
          </w:tcPr>
          <w:p w14:paraId="092EC240" w14:textId="77777777" w:rsidR="00CB6829" w:rsidRPr="00AE4E8D" w:rsidRDefault="00CB6829" w:rsidP="00897DEC">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2014</w:t>
            </w:r>
          </w:p>
        </w:tc>
        <w:tc>
          <w:tcPr>
            <w:tcW w:w="115" w:type="pct"/>
            <w:tcBorders>
              <w:top w:val="nil"/>
              <w:left w:val="nil"/>
              <w:bottom w:val="nil"/>
              <w:right w:val="nil"/>
            </w:tcBorders>
            <w:shd w:val="clear" w:color="auto" w:fill="auto"/>
            <w:noWrap/>
            <w:vAlign w:val="center"/>
            <w:hideMark/>
          </w:tcPr>
          <w:p w14:paraId="61DEBD88" w14:textId="77777777" w:rsidR="00CB6829" w:rsidRPr="00AE4E8D" w:rsidRDefault="00CB6829" w:rsidP="00897DEC">
            <w:pPr>
              <w:keepNext/>
              <w:keepLines/>
              <w:rPr>
                <w:rFonts w:ascii="Times New Roman" w:hAnsi="Times New Roman"/>
                <w:sz w:val="16"/>
                <w:szCs w:val="16"/>
                <w:lang w:val="es-ES"/>
              </w:rPr>
            </w:pPr>
          </w:p>
        </w:tc>
        <w:tc>
          <w:tcPr>
            <w:tcW w:w="453" w:type="pct"/>
            <w:tcBorders>
              <w:top w:val="nil"/>
              <w:left w:val="nil"/>
              <w:bottom w:val="single" w:sz="8" w:space="0" w:color="auto"/>
              <w:right w:val="nil"/>
            </w:tcBorders>
            <w:shd w:val="clear" w:color="auto" w:fill="auto"/>
            <w:noWrap/>
            <w:vAlign w:val="center"/>
            <w:hideMark/>
          </w:tcPr>
          <w:p w14:paraId="3919F1A8" w14:textId="77777777" w:rsidR="00CB6829" w:rsidRPr="00AE4E8D" w:rsidRDefault="00CB6829" w:rsidP="00897DEC">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2015</w:t>
            </w:r>
          </w:p>
        </w:tc>
        <w:tc>
          <w:tcPr>
            <w:tcW w:w="115" w:type="pct"/>
            <w:tcBorders>
              <w:top w:val="nil"/>
              <w:left w:val="nil"/>
              <w:bottom w:val="nil"/>
              <w:right w:val="nil"/>
            </w:tcBorders>
            <w:shd w:val="clear" w:color="auto" w:fill="auto"/>
            <w:noWrap/>
            <w:vAlign w:val="center"/>
            <w:hideMark/>
          </w:tcPr>
          <w:p w14:paraId="33589F69" w14:textId="77777777" w:rsidR="00CB6829" w:rsidRPr="00AE4E8D" w:rsidRDefault="00CB6829" w:rsidP="00897DEC">
            <w:pPr>
              <w:keepNext/>
              <w:keepLines/>
              <w:rPr>
                <w:rFonts w:ascii="Times New Roman" w:hAnsi="Times New Roman"/>
                <w:sz w:val="16"/>
                <w:szCs w:val="16"/>
                <w:lang w:val="es-ES"/>
              </w:rPr>
            </w:pPr>
          </w:p>
        </w:tc>
        <w:tc>
          <w:tcPr>
            <w:tcW w:w="453" w:type="pct"/>
            <w:tcBorders>
              <w:top w:val="nil"/>
              <w:left w:val="nil"/>
              <w:bottom w:val="single" w:sz="8" w:space="0" w:color="auto"/>
              <w:right w:val="nil"/>
            </w:tcBorders>
            <w:shd w:val="clear" w:color="auto" w:fill="auto"/>
            <w:noWrap/>
            <w:vAlign w:val="center"/>
            <w:hideMark/>
          </w:tcPr>
          <w:p w14:paraId="69E84FC4" w14:textId="77777777" w:rsidR="00CB6829" w:rsidRPr="00AE4E8D" w:rsidRDefault="00CB6829" w:rsidP="00897DEC">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2016</w:t>
            </w:r>
          </w:p>
        </w:tc>
        <w:tc>
          <w:tcPr>
            <w:tcW w:w="115" w:type="pct"/>
            <w:tcBorders>
              <w:top w:val="nil"/>
              <w:left w:val="nil"/>
              <w:bottom w:val="nil"/>
              <w:right w:val="nil"/>
            </w:tcBorders>
            <w:shd w:val="clear" w:color="auto" w:fill="auto"/>
            <w:vAlign w:val="center"/>
            <w:hideMark/>
          </w:tcPr>
          <w:p w14:paraId="1048FD21" w14:textId="77777777" w:rsidR="00CB6829" w:rsidRPr="00AE4E8D" w:rsidRDefault="00CB6829" w:rsidP="00897DEC">
            <w:pPr>
              <w:keepNext/>
              <w:keepLines/>
              <w:rPr>
                <w:rFonts w:ascii="Times New Roman" w:hAnsi="Times New Roman"/>
                <w:sz w:val="16"/>
                <w:szCs w:val="16"/>
                <w:lang w:val="es-ES"/>
              </w:rPr>
            </w:pPr>
          </w:p>
        </w:tc>
        <w:tc>
          <w:tcPr>
            <w:tcW w:w="429" w:type="pct"/>
            <w:tcBorders>
              <w:top w:val="nil"/>
              <w:left w:val="nil"/>
              <w:bottom w:val="single" w:sz="8" w:space="0" w:color="auto"/>
              <w:right w:val="nil"/>
            </w:tcBorders>
            <w:shd w:val="clear" w:color="auto" w:fill="auto"/>
            <w:noWrap/>
            <w:vAlign w:val="center"/>
            <w:hideMark/>
          </w:tcPr>
          <w:p w14:paraId="5B23962E" w14:textId="77777777" w:rsidR="00CB6829" w:rsidRPr="00AE4E8D" w:rsidRDefault="00CB6829" w:rsidP="00897DEC">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2016</w:t>
            </w:r>
          </w:p>
        </w:tc>
        <w:tc>
          <w:tcPr>
            <w:tcW w:w="144" w:type="pct"/>
            <w:tcBorders>
              <w:top w:val="nil"/>
              <w:left w:val="nil"/>
              <w:bottom w:val="nil"/>
              <w:right w:val="nil"/>
            </w:tcBorders>
            <w:shd w:val="clear" w:color="auto" w:fill="auto"/>
            <w:noWrap/>
            <w:vAlign w:val="bottom"/>
            <w:hideMark/>
          </w:tcPr>
          <w:p w14:paraId="7F454F94" w14:textId="77777777" w:rsidR="00CB6829" w:rsidRPr="00AE4E8D" w:rsidRDefault="00CB6829" w:rsidP="00897DEC">
            <w:pPr>
              <w:keepNext/>
              <w:keepLines/>
              <w:rPr>
                <w:rFonts w:ascii="Times New Roman" w:hAnsi="Times New Roman"/>
                <w:sz w:val="16"/>
                <w:szCs w:val="16"/>
                <w:lang w:val="es-ES"/>
              </w:rPr>
            </w:pPr>
          </w:p>
        </w:tc>
        <w:tc>
          <w:tcPr>
            <w:tcW w:w="486" w:type="pct"/>
            <w:tcBorders>
              <w:top w:val="nil"/>
              <w:left w:val="nil"/>
              <w:bottom w:val="single" w:sz="8" w:space="0" w:color="auto"/>
              <w:right w:val="nil"/>
            </w:tcBorders>
          </w:tcPr>
          <w:p w14:paraId="210ADE0C" w14:textId="77777777" w:rsidR="00CB6829" w:rsidRPr="00AE4E8D" w:rsidRDefault="00CB6829" w:rsidP="00897DEC">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2016</w:t>
            </w:r>
          </w:p>
        </w:tc>
        <w:tc>
          <w:tcPr>
            <w:tcW w:w="139" w:type="pct"/>
            <w:tcBorders>
              <w:top w:val="nil"/>
              <w:left w:val="nil"/>
              <w:right w:val="nil"/>
            </w:tcBorders>
          </w:tcPr>
          <w:p w14:paraId="38F540CF" w14:textId="77777777" w:rsidR="00CB6829" w:rsidRPr="00AE4E8D" w:rsidRDefault="00CB6829" w:rsidP="00897DEC">
            <w:pPr>
              <w:keepNext/>
              <w:keepLines/>
              <w:jc w:val="center"/>
              <w:rPr>
                <w:rFonts w:ascii="Times New Roman" w:hAnsi="Times New Roman"/>
                <w:b/>
                <w:bCs/>
                <w:color w:val="000000"/>
                <w:sz w:val="16"/>
                <w:szCs w:val="16"/>
                <w:lang w:val="es-ES"/>
              </w:rPr>
            </w:pPr>
          </w:p>
        </w:tc>
        <w:tc>
          <w:tcPr>
            <w:tcW w:w="493" w:type="pct"/>
            <w:tcBorders>
              <w:top w:val="nil"/>
              <w:left w:val="nil"/>
              <w:bottom w:val="single" w:sz="8" w:space="0" w:color="auto"/>
              <w:right w:val="nil"/>
            </w:tcBorders>
            <w:shd w:val="clear" w:color="auto" w:fill="auto"/>
            <w:vAlign w:val="center"/>
            <w:hideMark/>
          </w:tcPr>
          <w:p w14:paraId="33C425DC" w14:textId="77777777" w:rsidR="00CB6829" w:rsidRPr="00AE4E8D" w:rsidRDefault="00CB6829" w:rsidP="00897DEC">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2017</w:t>
            </w:r>
          </w:p>
        </w:tc>
        <w:tc>
          <w:tcPr>
            <w:tcW w:w="133" w:type="pct"/>
            <w:tcBorders>
              <w:top w:val="nil"/>
              <w:left w:val="nil"/>
              <w:bottom w:val="nil"/>
              <w:right w:val="nil"/>
            </w:tcBorders>
            <w:shd w:val="clear" w:color="auto" w:fill="auto"/>
            <w:vAlign w:val="center"/>
            <w:hideMark/>
          </w:tcPr>
          <w:p w14:paraId="06ED288A" w14:textId="77777777" w:rsidR="00CB6829" w:rsidRPr="00AE4E8D" w:rsidRDefault="00CB6829" w:rsidP="00897DEC">
            <w:pPr>
              <w:keepNext/>
              <w:keepLines/>
              <w:jc w:val="center"/>
              <w:rPr>
                <w:rFonts w:ascii="Times New Roman" w:hAnsi="Times New Roman"/>
                <w:b/>
                <w:bCs/>
                <w:color w:val="000000"/>
                <w:sz w:val="16"/>
                <w:szCs w:val="16"/>
                <w:lang w:val="es-ES"/>
              </w:rPr>
            </w:pPr>
          </w:p>
        </w:tc>
        <w:tc>
          <w:tcPr>
            <w:tcW w:w="561" w:type="pct"/>
            <w:tcBorders>
              <w:top w:val="nil"/>
              <w:left w:val="nil"/>
              <w:bottom w:val="single" w:sz="8" w:space="0" w:color="auto"/>
              <w:right w:val="nil"/>
            </w:tcBorders>
            <w:shd w:val="clear" w:color="auto" w:fill="auto"/>
            <w:vAlign w:val="center"/>
            <w:hideMark/>
          </w:tcPr>
          <w:p w14:paraId="5338F1C6" w14:textId="77777777" w:rsidR="00CB6829" w:rsidRPr="00AE4E8D" w:rsidRDefault="00CB6829" w:rsidP="00897DEC">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2017</w:t>
            </w:r>
          </w:p>
        </w:tc>
      </w:tr>
      <w:tr w:rsidR="00897DEC" w:rsidRPr="00AE4E8D" w14:paraId="6C98314F" w14:textId="77777777" w:rsidTr="00897DEC">
        <w:trPr>
          <w:trHeight w:val="198"/>
          <w:jc w:val="center"/>
        </w:trPr>
        <w:tc>
          <w:tcPr>
            <w:tcW w:w="900" w:type="pct"/>
            <w:vMerge w:val="restart"/>
            <w:tcBorders>
              <w:top w:val="nil"/>
              <w:left w:val="nil"/>
              <w:bottom w:val="nil"/>
              <w:right w:val="nil"/>
            </w:tcBorders>
            <w:shd w:val="clear" w:color="auto" w:fill="auto"/>
            <w:noWrap/>
            <w:vAlign w:val="center"/>
            <w:hideMark/>
          </w:tcPr>
          <w:p w14:paraId="7D5B3A70" w14:textId="77777777" w:rsidR="00B63F1A" w:rsidRPr="00AE4E8D" w:rsidRDefault="00B63F1A" w:rsidP="00897DEC">
            <w:pPr>
              <w:keepNext/>
              <w:keepLines/>
              <w:rPr>
                <w:rFonts w:ascii="Times New Roman" w:hAnsi="Times New Roman"/>
                <w:sz w:val="16"/>
                <w:szCs w:val="16"/>
                <w:lang w:val="es-ES"/>
              </w:rPr>
            </w:pPr>
          </w:p>
        </w:tc>
        <w:tc>
          <w:tcPr>
            <w:tcW w:w="1600" w:type="pct"/>
            <w:gridSpan w:val="5"/>
            <w:vMerge w:val="restart"/>
            <w:tcBorders>
              <w:top w:val="nil"/>
              <w:left w:val="nil"/>
              <w:bottom w:val="nil"/>
              <w:right w:val="nil"/>
            </w:tcBorders>
            <w:shd w:val="clear" w:color="auto" w:fill="auto"/>
            <w:noWrap/>
            <w:vAlign w:val="center"/>
            <w:hideMark/>
          </w:tcPr>
          <w:p w14:paraId="2FDDD1C0" w14:textId="77777777" w:rsidR="00B63F1A" w:rsidRPr="00AE4E8D" w:rsidRDefault="00B63F1A" w:rsidP="00897DEC">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(en miles de pesos)</w:t>
            </w:r>
          </w:p>
        </w:tc>
        <w:tc>
          <w:tcPr>
            <w:tcW w:w="115" w:type="pct"/>
            <w:vMerge w:val="restart"/>
            <w:tcBorders>
              <w:top w:val="nil"/>
              <w:left w:val="nil"/>
              <w:bottom w:val="nil"/>
              <w:right w:val="nil"/>
            </w:tcBorders>
            <w:shd w:val="clear" w:color="auto" w:fill="auto"/>
            <w:noWrap/>
            <w:vAlign w:val="center"/>
            <w:hideMark/>
          </w:tcPr>
          <w:p w14:paraId="6BC47E5A" w14:textId="77777777" w:rsidR="00B63F1A" w:rsidRPr="00AE4E8D" w:rsidRDefault="00B63F1A" w:rsidP="00897DEC">
            <w:pPr>
              <w:keepNext/>
              <w:keepLines/>
              <w:rPr>
                <w:rFonts w:ascii="Times New Roman" w:hAnsi="Times New Roman"/>
                <w:sz w:val="16"/>
                <w:szCs w:val="16"/>
                <w:lang w:val="es-ES"/>
              </w:rPr>
            </w:pPr>
          </w:p>
        </w:tc>
        <w:tc>
          <w:tcPr>
            <w:tcW w:w="429" w:type="pct"/>
            <w:tcBorders>
              <w:top w:val="nil"/>
              <w:left w:val="nil"/>
              <w:bottom w:val="nil"/>
              <w:right w:val="nil"/>
            </w:tcBorders>
            <w:shd w:val="clear" w:color="auto" w:fill="auto"/>
            <w:noWrap/>
            <w:vAlign w:val="center"/>
            <w:hideMark/>
          </w:tcPr>
          <w:p w14:paraId="6C302719" w14:textId="77777777" w:rsidR="00B63F1A" w:rsidRPr="00AE4E8D" w:rsidRDefault="00B63F1A" w:rsidP="00897DEC">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(en miles de</w:t>
            </w:r>
          </w:p>
        </w:tc>
        <w:tc>
          <w:tcPr>
            <w:tcW w:w="144" w:type="pct"/>
            <w:tcBorders>
              <w:top w:val="nil"/>
              <w:left w:val="nil"/>
              <w:bottom w:val="nil"/>
              <w:right w:val="nil"/>
            </w:tcBorders>
            <w:shd w:val="clear" w:color="auto" w:fill="auto"/>
            <w:noWrap/>
            <w:vAlign w:val="bottom"/>
            <w:hideMark/>
          </w:tcPr>
          <w:p w14:paraId="0E58D336" w14:textId="77777777" w:rsidR="00B63F1A" w:rsidRPr="00AE4E8D" w:rsidRDefault="00B63F1A" w:rsidP="00897DEC">
            <w:pPr>
              <w:keepNext/>
              <w:keepLines/>
              <w:rPr>
                <w:rFonts w:ascii="Times New Roman" w:hAnsi="Times New Roman"/>
                <w:sz w:val="16"/>
                <w:szCs w:val="16"/>
                <w:lang w:val="es-ES"/>
              </w:rPr>
            </w:pPr>
          </w:p>
        </w:tc>
        <w:tc>
          <w:tcPr>
            <w:tcW w:w="1118" w:type="pct"/>
            <w:gridSpan w:val="3"/>
            <w:vMerge w:val="restart"/>
            <w:tcBorders>
              <w:top w:val="nil"/>
              <w:left w:val="nil"/>
              <w:right w:val="nil"/>
            </w:tcBorders>
            <w:vAlign w:val="center"/>
          </w:tcPr>
          <w:p w14:paraId="00AB6C1A" w14:textId="77777777" w:rsidR="00B63F1A" w:rsidRPr="00AE4E8D" w:rsidRDefault="00B63F1A" w:rsidP="00897DEC">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(en miles de Pesos)</w:t>
            </w:r>
          </w:p>
        </w:tc>
        <w:tc>
          <w:tcPr>
            <w:tcW w:w="133" w:type="pct"/>
            <w:vMerge w:val="restart"/>
            <w:tcBorders>
              <w:top w:val="nil"/>
              <w:left w:val="nil"/>
              <w:bottom w:val="nil"/>
              <w:right w:val="nil"/>
            </w:tcBorders>
            <w:shd w:val="clear" w:color="auto" w:fill="auto"/>
            <w:vAlign w:val="center"/>
            <w:hideMark/>
          </w:tcPr>
          <w:p w14:paraId="4B5EDEBC" w14:textId="77777777" w:rsidR="00B63F1A" w:rsidRPr="00AE4E8D" w:rsidRDefault="00B63F1A" w:rsidP="00897DEC">
            <w:pPr>
              <w:keepNext/>
              <w:keepLines/>
              <w:jc w:val="center"/>
              <w:rPr>
                <w:rFonts w:ascii="Times New Roman" w:hAnsi="Times New Roman"/>
                <w:color w:val="000000"/>
                <w:sz w:val="16"/>
                <w:szCs w:val="16"/>
                <w:lang w:val="es-ES"/>
              </w:rPr>
            </w:pPr>
          </w:p>
        </w:tc>
        <w:tc>
          <w:tcPr>
            <w:tcW w:w="561" w:type="pct"/>
            <w:tcBorders>
              <w:top w:val="nil"/>
              <w:left w:val="nil"/>
              <w:bottom w:val="nil"/>
              <w:right w:val="nil"/>
            </w:tcBorders>
            <w:shd w:val="clear" w:color="auto" w:fill="auto"/>
            <w:vAlign w:val="center"/>
            <w:hideMark/>
          </w:tcPr>
          <w:p w14:paraId="1193C278" w14:textId="77777777" w:rsidR="00B63F1A" w:rsidRPr="00AE4E8D" w:rsidRDefault="00B63F1A" w:rsidP="00897DEC">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(en miles de</w:t>
            </w:r>
          </w:p>
        </w:tc>
      </w:tr>
      <w:tr w:rsidR="00897DEC" w:rsidRPr="00AE4E8D" w14:paraId="0F28A601" w14:textId="77777777" w:rsidTr="00897DEC">
        <w:trPr>
          <w:trHeight w:val="198"/>
          <w:jc w:val="center"/>
        </w:trPr>
        <w:tc>
          <w:tcPr>
            <w:tcW w:w="900" w:type="pct"/>
            <w:vMerge/>
            <w:tcBorders>
              <w:top w:val="nil"/>
              <w:left w:val="nil"/>
              <w:bottom w:val="nil"/>
              <w:right w:val="nil"/>
            </w:tcBorders>
            <w:vAlign w:val="center"/>
            <w:hideMark/>
          </w:tcPr>
          <w:p w14:paraId="25A89AFD" w14:textId="77777777" w:rsidR="00B63F1A" w:rsidRPr="00AE4E8D" w:rsidRDefault="00B63F1A" w:rsidP="00897DEC">
            <w:pPr>
              <w:keepNext/>
              <w:keepLines/>
              <w:rPr>
                <w:rFonts w:ascii="Times New Roman" w:hAnsi="Times New Roman"/>
                <w:sz w:val="16"/>
                <w:szCs w:val="16"/>
                <w:lang w:val="es-ES"/>
              </w:rPr>
            </w:pPr>
          </w:p>
        </w:tc>
        <w:tc>
          <w:tcPr>
            <w:tcW w:w="1600" w:type="pct"/>
            <w:gridSpan w:val="5"/>
            <w:vMerge/>
            <w:tcBorders>
              <w:top w:val="nil"/>
              <w:left w:val="nil"/>
              <w:bottom w:val="nil"/>
              <w:right w:val="nil"/>
            </w:tcBorders>
            <w:vAlign w:val="center"/>
            <w:hideMark/>
          </w:tcPr>
          <w:p w14:paraId="504E95FB" w14:textId="77777777" w:rsidR="00B63F1A" w:rsidRPr="00AE4E8D" w:rsidRDefault="00B63F1A" w:rsidP="00897DEC">
            <w:pPr>
              <w:keepNext/>
              <w:keepLines/>
              <w:rPr>
                <w:rFonts w:ascii="Times New Roman" w:hAnsi="Times New Roman"/>
                <w:color w:val="000000"/>
                <w:sz w:val="16"/>
                <w:szCs w:val="16"/>
                <w:lang w:val="es-ES"/>
              </w:rPr>
            </w:pPr>
          </w:p>
        </w:tc>
        <w:tc>
          <w:tcPr>
            <w:tcW w:w="115" w:type="pct"/>
            <w:vMerge/>
            <w:tcBorders>
              <w:top w:val="nil"/>
              <w:left w:val="nil"/>
              <w:bottom w:val="nil"/>
              <w:right w:val="nil"/>
            </w:tcBorders>
            <w:vAlign w:val="center"/>
            <w:hideMark/>
          </w:tcPr>
          <w:p w14:paraId="71DC8F41" w14:textId="77777777" w:rsidR="00B63F1A" w:rsidRPr="00AE4E8D" w:rsidRDefault="00B63F1A" w:rsidP="00897DEC">
            <w:pPr>
              <w:keepNext/>
              <w:keepLines/>
              <w:rPr>
                <w:rFonts w:ascii="Times New Roman" w:hAnsi="Times New Roman"/>
                <w:sz w:val="16"/>
                <w:szCs w:val="16"/>
                <w:lang w:val="es-ES"/>
              </w:rPr>
            </w:pPr>
          </w:p>
        </w:tc>
        <w:tc>
          <w:tcPr>
            <w:tcW w:w="429" w:type="pct"/>
            <w:tcBorders>
              <w:top w:val="nil"/>
              <w:left w:val="nil"/>
              <w:bottom w:val="nil"/>
              <w:right w:val="nil"/>
            </w:tcBorders>
            <w:shd w:val="clear" w:color="auto" w:fill="auto"/>
            <w:noWrap/>
            <w:vAlign w:val="center"/>
            <w:hideMark/>
          </w:tcPr>
          <w:p w14:paraId="35709EFC" w14:textId="77777777" w:rsidR="00B63F1A" w:rsidRPr="00AE4E8D" w:rsidRDefault="00B63F1A" w:rsidP="00897DEC">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US$ (1))</w:t>
            </w:r>
          </w:p>
        </w:tc>
        <w:tc>
          <w:tcPr>
            <w:tcW w:w="144" w:type="pct"/>
            <w:tcBorders>
              <w:top w:val="nil"/>
              <w:left w:val="nil"/>
              <w:bottom w:val="nil"/>
              <w:right w:val="nil"/>
            </w:tcBorders>
            <w:shd w:val="clear" w:color="auto" w:fill="auto"/>
            <w:noWrap/>
            <w:vAlign w:val="bottom"/>
            <w:hideMark/>
          </w:tcPr>
          <w:p w14:paraId="3C8FF274" w14:textId="77777777" w:rsidR="00B63F1A" w:rsidRPr="00AE4E8D" w:rsidRDefault="00B63F1A" w:rsidP="00897DEC">
            <w:pPr>
              <w:keepNext/>
              <w:keepLines/>
              <w:rPr>
                <w:rFonts w:ascii="Times New Roman" w:hAnsi="Times New Roman"/>
                <w:sz w:val="16"/>
                <w:szCs w:val="16"/>
                <w:lang w:val="es-ES"/>
              </w:rPr>
            </w:pPr>
          </w:p>
        </w:tc>
        <w:tc>
          <w:tcPr>
            <w:tcW w:w="1118" w:type="pct"/>
            <w:gridSpan w:val="3"/>
            <w:vMerge/>
            <w:tcBorders>
              <w:left w:val="nil"/>
              <w:bottom w:val="nil"/>
              <w:right w:val="nil"/>
            </w:tcBorders>
          </w:tcPr>
          <w:p w14:paraId="79551BDC" w14:textId="77777777" w:rsidR="00B63F1A" w:rsidRPr="00AE4E8D" w:rsidRDefault="00B63F1A" w:rsidP="00897DEC">
            <w:pPr>
              <w:keepNext/>
              <w:keepLines/>
              <w:rPr>
                <w:rFonts w:ascii="Times New Roman" w:hAnsi="Times New Roman"/>
                <w:color w:val="000000"/>
                <w:sz w:val="16"/>
                <w:szCs w:val="16"/>
                <w:lang w:val="es-ES"/>
              </w:rPr>
            </w:pPr>
          </w:p>
        </w:tc>
        <w:tc>
          <w:tcPr>
            <w:tcW w:w="133" w:type="pct"/>
            <w:vMerge/>
            <w:tcBorders>
              <w:top w:val="nil"/>
              <w:left w:val="nil"/>
              <w:bottom w:val="nil"/>
              <w:right w:val="nil"/>
            </w:tcBorders>
            <w:vAlign w:val="center"/>
            <w:hideMark/>
          </w:tcPr>
          <w:p w14:paraId="511AD150" w14:textId="77777777" w:rsidR="00B63F1A" w:rsidRPr="00AE4E8D" w:rsidRDefault="00B63F1A" w:rsidP="00897DEC">
            <w:pPr>
              <w:keepNext/>
              <w:keepLines/>
              <w:rPr>
                <w:rFonts w:ascii="Times New Roman" w:hAnsi="Times New Roman"/>
                <w:color w:val="000000"/>
                <w:sz w:val="16"/>
                <w:szCs w:val="16"/>
                <w:lang w:val="es-ES"/>
              </w:rPr>
            </w:pPr>
          </w:p>
        </w:tc>
        <w:tc>
          <w:tcPr>
            <w:tcW w:w="561" w:type="pct"/>
            <w:tcBorders>
              <w:top w:val="nil"/>
              <w:left w:val="nil"/>
              <w:bottom w:val="nil"/>
              <w:right w:val="nil"/>
            </w:tcBorders>
            <w:shd w:val="clear" w:color="auto" w:fill="auto"/>
            <w:vAlign w:val="center"/>
            <w:hideMark/>
          </w:tcPr>
          <w:p w14:paraId="0CDCD6C9" w14:textId="77777777" w:rsidR="00B63F1A" w:rsidRPr="00AE4E8D" w:rsidRDefault="00B63F1A" w:rsidP="00897DEC">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US$ (1))</w:t>
            </w:r>
          </w:p>
        </w:tc>
      </w:tr>
      <w:tr w:rsidR="00897DEC" w:rsidRPr="00AE4E8D" w14:paraId="391BAD70" w14:textId="77777777" w:rsidTr="00897DEC">
        <w:trPr>
          <w:trHeight w:val="198"/>
          <w:jc w:val="center"/>
        </w:trPr>
        <w:tc>
          <w:tcPr>
            <w:tcW w:w="900" w:type="pct"/>
            <w:tcBorders>
              <w:top w:val="nil"/>
              <w:left w:val="nil"/>
              <w:bottom w:val="nil"/>
              <w:right w:val="nil"/>
            </w:tcBorders>
            <w:shd w:val="clear" w:color="auto" w:fill="auto"/>
            <w:noWrap/>
            <w:vAlign w:val="center"/>
          </w:tcPr>
          <w:p w14:paraId="257524B2" w14:textId="77777777" w:rsidR="00CB6829" w:rsidRPr="00AE4E8D" w:rsidRDefault="00CB6829" w:rsidP="00897DEC">
            <w:pPr>
              <w:keepNext/>
              <w:keepLines/>
              <w:rPr>
                <w:rFonts w:ascii="Times New Roman" w:hAnsi="Times New Roman"/>
                <w:color w:val="000000"/>
                <w:sz w:val="16"/>
                <w:szCs w:val="16"/>
                <w:lang w:val="es-ES"/>
              </w:rPr>
            </w:pPr>
            <w:r w:rsidRPr="00AE4E8D">
              <w:rPr>
                <w:rFonts w:ascii="Times New Roman" w:hAnsi="Times New Roman"/>
                <w:b/>
                <w:bCs/>
                <w:color w:val="000000"/>
                <w:sz w:val="16"/>
                <w:szCs w:val="16"/>
                <w:lang w:val="es-ES"/>
              </w:rPr>
              <w:t>Depósitos:</w:t>
            </w:r>
          </w:p>
        </w:tc>
        <w:tc>
          <w:tcPr>
            <w:tcW w:w="463" w:type="pct"/>
            <w:tcBorders>
              <w:top w:val="nil"/>
              <w:left w:val="nil"/>
              <w:bottom w:val="nil"/>
              <w:right w:val="nil"/>
            </w:tcBorders>
            <w:shd w:val="clear" w:color="auto" w:fill="auto"/>
            <w:noWrap/>
            <w:vAlign w:val="center"/>
          </w:tcPr>
          <w:p w14:paraId="1A0D7A36" w14:textId="77777777" w:rsidR="00CB6829" w:rsidRPr="00AE4E8D" w:rsidRDefault="00CB6829" w:rsidP="00897DEC">
            <w:pPr>
              <w:keepNext/>
              <w:keepLines/>
              <w:jc w:val="right"/>
              <w:rPr>
                <w:rFonts w:ascii="Times New Roman" w:hAnsi="Times New Roman"/>
                <w:color w:val="000000"/>
                <w:sz w:val="16"/>
                <w:szCs w:val="16"/>
                <w:lang w:val="es-ES"/>
              </w:rPr>
            </w:pPr>
          </w:p>
        </w:tc>
        <w:tc>
          <w:tcPr>
            <w:tcW w:w="115" w:type="pct"/>
            <w:tcBorders>
              <w:top w:val="nil"/>
              <w:left w:val="nil"/>
              <w:bottom w:val="nil"/>
              <w:right w:val="nil"/>
            </w:tcBorders>
            <w:shd w:val="clear" w:color="auto" w:fill="auto"/>
            <w:noWrap/>
            <w:vAlign w:val="bottom"/>
          </w:tcPr>
          <w:p w14:paraId="12163047"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7846D248" w14:textId="77777777" w:rsidR="00CB6829" w:rsidRPr="00AE4E8D" w:rsidRDefault="00CB6829" w:rsidP="00897DEC">
            <w:pPr>
              <w:keepNext/>
              <w:keepLines/>
              <w:jc w:val="right"/>
              <w:rPr>
                <w:rFonts w:ascii="Times New Roman" w:hAnsi="Times New Roman"/>
                <w:color w:val="000000"/>
                <w:sz w:val="16"/>
                <w:szCs w:val="16"/>
                <w:lang w:val="es-ES"/>
              </w:rPr>
            </w:pPr>
          </w:p>
        </w:tc>
        <w:tc>
          <w:tcPr>
            <w:tcW w:w="115" w:type="pct"/>
            <w:tcBorders>
              <w:top w:val="nil"/>
              <w:left w:val="nil"/>
              <w:bottom w:val="nil"/>
              <w:right w:val="nil"/>
            </w:tcBorders>
            <w:shd w:val="clear" w:color="auto" w:fill="auto"/>
            <w:noWrap/>
            <w:vAlign w:val="bottom"/>
          </w:tcPr>
          <w:p w14:paraId="4FFE00BA"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5E6EC10D"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115" w:type="pct"/>
            <w:tcBorders>
              <w:top w:val="nil"/>
              <w:left w:val="nil"/>
              <w:bottom w:val="nil"/>
              <w:right w:val="nil"/>
            </w:tcBorders>
            <w:shd w:val="clear" w:color="auto" w:fill="auto"/>
            <w:noWrap/>
            <w:vAlign w:val="bottom"/>
          </w:tcPr>
          <w:p w14:paraId="59F0F5A0" w14:textId="77777777" w:rsidR="00CB6829" w:rsidRPr="00AE4E8D" w:rsidRDefault="00CB6829" w:rsidP="00897DEC">
            <w:pPr>
              <w:keepNext/>
              <w:keepLines/>
              <w:jc w:val="right"/>
              <w:rPr>
                <w:rFonts w:ascii="Times New Roman" w:hAnsi="Times New Roman"/>
                <w:sz w:val="16"/>
                <w:szCs w:val="16"/>
                <w:lang w:val="es-ES"/>
              </w:rPr>
            </w:pPr>
          </w:p>
        </w:tc>
        <w:tc>
          <w:tcPr>
            <w:tcW w:w="429" w:type="pct"/>
            <w:tcBorders>
              <w:top w:val="nil"/>
              <w:left w:val="nil"/>
              <w:bottom w:val="nil"/>
              <w:right w:val="nil"/>
            </w:tcBorders>
            <w:shd w:val="clear" w:color="auto" w:fill="auto"/>
            <w:noWrap/>
            <w:vAlign w:val="center"/>
          </w:tcPr>
          <w:p w14:paraId="0C0BD62B"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144" w:type="pct"/>
            <w:tcBorders>
              <w:top w:val="nil"/>
              <w:left w:val="nil"/>
              <w:bottom w:val="nil"/>
              <w:right w:val="nil"/>
            </w:tcBorders>
            <w:shd w:val="clear" w:color="auto" w:fill="auto"/>
            <w:noWrap/>
            <w:vAlign w:val="bottom"/>
          </w:tcPr>
          <w:p w14:paraId="3D23D755" w14:textId="77777777" w:rsidR="00CB6829" w:rsidRPr="00AE4E8D" w:rsidRDefault="00CB6829" w:rsidP="00897DEC">
            <w:pPr>
              <w:keepNext/>
              <w:keepLines/>
              <w:jc w:val="right"/>
              <w:rPr>
                <w:rFonts w:ascii="Times New Roman" w:hAnsi="Times New Roman"/>
                <w:sz w:val="16"/>
                <w:szCs w:val="16"/>
                <w:lang w:val="es-ES"/>
              </w:rPr>
            </w:pPr>
          </w:p>
        </w:tc>
        <w:tc>
          <w:tcPr>
            <w:tcW w:w="486" w:type="pct"/>
            <w:tcBorders>
              <w:top w:val="nil"/>
              <w:left w:val="nil"/>
              <w:bottom w:val="nil"/>
              <w:right w:val="nil"/>
            </w:tcBorders>
          </w:tcPr>
          <w:p w14:paraId="2308BC0F"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139" w:type="pct"/>
            <w:tcBorders>
              <w:top w:val="nil"/>
              <w:left w:val="nil"/>
              <w:bottom w:val="nil"/>
              <w:right w:val="nil"/>
            </w:tcBorders>
          </w:tcPr>
          <w:p w14:paraId="21235FAC"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493" w:type="pct"/>
            <w:tcBorders>
              <w:top w:val="nil"/>
              <w:left w:val="nil"/>
              <w:bottom w:val="nil"/>
              <w:right w:val="nil"/>
            </w:tcBorders>
            <w:shd w:val="clear" w:color="auto" w:fill="auto"/>
            <w:noWrap/>
            <w:vAlign w:val="center"/>
          </w:tcPr>
          <w:p w14:paraId="651A0341"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133" w:type="pct"/>
            <w:tcBorders>
              <w:top w:val="nil"/>
              <w:left w:val="nil"/>
              <w:bottom w:val="nil"/>
              <w:right w:val="nil"/>
            </w:tcBorders>
            <w:shd w:val="clear" w:color="auto" w:fill="auto"/>
            <w:noWrap/>
            <w:vAlign w:val="bottom"/>
          </w:tcPr>
          <w:p w14:paraId="31FBB02D" w14:textId="77777777" w:rsidR="00CB6829" w:rsidRPr="00AE4E8D" w:rsidRDefault="00CB6829" w:rsidP="00897DEC">
            <w:pPr>
              <w:keepNext/>
              <w:keepLines/>
              <w:jc w:val="right"/>
              <w:rPr>
                <w:rFonts w:ascii="Times New Roman" w:hAnsi="Times New Roman"/>
                <w:color w:val="000000"/>
                <w:sz w:val="16"/>
                <w:szCs w:val="16"/>
                <w:lang w:val="es-ES"/>
              </w:rPr>
            </w:pPr>
          </w:p>
        </w:tc>
        <w:tc>
          <w:tcPr>
            <w:tcW w:w="561" w:type="pct"/>
            <w:tcBorders>
              <w:top w:val="nil"/>
              <w:left w:val="nil"/>
              <w:bottom w:val="nil"/>
              <w:right w:val="nil"/>
            </w:tcBorders>
            <w:shd w:val="clear" w:color="auto" w:fill="auto"/>
            <w:noWrap/>
            <w:vAlign w:val="center"/>
          </w:tcPr>
          <w:p w14:paraId="1FA286D7" w14:textId="77777777" w:rsidR="00CB6829" w:rsidRPr="00AE4E8D" w:rsidRDefault="00CB6829" w:rsidP="00897DEC">
            <w:pPr>
              <w:keepNext/>
              <w:keepLines/>
              <w:jc w:val="right"/>
              <w:rPr>
                <w:rFonts w:ascii="Times New Roman" w:hAnsi="Times New Roman"/>
                <w:color w:val="000000"/>
                <w:sz w:val="16"/>
                <w:szCs w:val="16"/>
                <w:lang w:val="es-ES" w:eastAsia="es-AR"/>
              </w:rPr>
            </w:pPr>
          </w:p>
        </w:tc>
      </w:tr>
      <w:tr w:rsidR="00897DEC" w:rsidRPr="00AE4E8D" w14:paraId="4FCDBFB2" w14:textId="77777777" w:rsidTr="00897DEC">
        <w:trPr>
          <w:trHeight w:val="198"/>
          <w:jc w:val="center"/>
        </w:trPr>
        <w:tc>
          <w:tcPr>
            <w:tcW w:w="900" w:type="pct"/>
            <w:tcBorders>
              <w:top w:val="nil"/>
              <w:left w:val="nil"/>
              <w:bottom w:val="nil"/>
              <w:right w:val="nil"/>
            </w:tcBorders>
            <w:shd w:val="clear" w:color="auto" w:fill="auto"/>
            <w:noWrap/>
            <w:vAlign w:val="center"/>
          </w:tcPr>
          <w:p w14:paraId="75D97887" w14:textId="77777777" w:rsidR="00CB6829" w:rsidRPr="00AE4E8D" w:rsidRDefault="00CB6829" w:rsidP="00897DEC">
            <w:pPr>
              <w:keepNext/>
              <w:keepLines/>
              <w:ind w:firstLineChars="200" w:firstLine="320"/>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Plazo Fijo </w:t>
            </w:r>
          </w:p>
        </w:tc>
        <w:tc>
          <w:tcPr>
            <w:tcW w:w="463" w:type="pct"/>
            <w:tcBorders>
              <w:top w:val="nil"/>
              <w:left w:val="nil"/>
              <w:bottom w:val="nil"/>
              <w:right w:val="nil"/>
            </w:tcBorders>
            <w:shd w:val="clear" w:color="auto" w:fill="auto"/>
            <w:noWrap/>
            <w:vAlign w:val="center"/>
          </w:tcPr>
          <w:p w14:paraId="32F1C0E4"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9.671.476</w:t>
            </w:r>
          </w:p>
        </w:tc>
        <w:tc>
          <w:tcPr>
            <w:tcW w:w="115" w:type="pct"/>
            <w:tcBorders>
              <w:top w:val="nil"/>
              <w:left w:val="nil"/>
              <w:bottom w:val="nil"/>
              <w:right w:val="nil"/>
            </w:tcBorders>
            <w:shd w:val="clear" w:color="auto" w:fill="auto"/>
            <w:noWrap/>
            <w:vAlign w:val="bottom"/>
          </w:tcPr>
          <w:p w14:paraId="7F81A964"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2C4C54DE"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15.671.777</w:t>
            </w:r>
          </w:p>
        </w:tc>
        <w:tc>
          <w:tcPr>
            <w:tcW w:w="115" w:type="pct"/>
            <w:tcBorders>
              <w:top w:val="nil"/>
              <w:left w:val="nil"/>
              <w:bottom w:val="nil"/>
              <w:right w:val="nil"/>
            </w:tcBorders>
            <w:shd w:val="clear" w:color="auto" w:fill="auto"/>
            <w:noWrap/>
            <w:vAlign w:val="bottom"/>
          </w:tcPr>
          <w:p w14:paraId="0760A616"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21D060E0"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13.819.415 </w:t>
            </w:r>
          </w:p>
        </w:tc>
        <w:tc>
          <w:tcPr>
            <w:tcW w:w="115" w:type="pct"/>
            <w:tcBorders>
              <w:top w:val="nil"/>
              <w:left w:val="nil"/>
              <w:bottom w:val="nil"/>
              <w:right w:val="nil"/>
            </w:tcBorders>
            <w:shd w:val="clear" w:color="auto" w:fill="auto"/>
            <w:noWrap/>
            <w:vAlign w:val="bottom"/>
          </w:tcPr>
          <w:p w14:paraId="522144C5" w14:textId="77777777" w:rsidR="00CB6829" w:rsidRPr="00AE4E8D" w:rsidRDefault="00CB6829" w:rsidP="00897DEC">
            <w:pPr>
              <w:keepNext/>
              <w:keepLines/>
              <w:jc w:val="right"/>
              <w:rPr>
                <w:rFonts w:ascii="Times New Roman" w:hAnsi="Times New Roman"/>
                <w:sz w:val="16"/>
                <w:szCs w:val="16"/>
                <w:lang w:val="es-ES"/>
              </w:rPr>
            </w:pPr>
          </w:p>
        </w:tc>
        <w:tc>
          <w:tcPr>
            <w:tcW w:w="429" w:type="pct"/>
            <w:tcBorders>
              <w:top w:val="nil"/>
              <w:left w:val="nil"/>
              <w:bottom w:val="nil"/>
              <w:right w:val="nil"/>
            </w:tcBorders>
            <w:shd w:val="clear" w:color="auto" w:fill="auto"/>
            <w:noWrap/>
            <w:vAlign w:val="center"/>
          </w:tcPr>
          <w:p w14:paraId="615819C6"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871.876</w:t>
            </w:r>
          </w:p>
        </w:tc>
        <w:tc>
          <w:tcPr>
            <w:tcW w:w="144" w:type="pct"/>
            <w:tcBorders>
              <w:top w:val="nil"/>
              <w:left w:val="nil"/>
              <w:bottom w:val="nil"/>
              <w:right w:val="nil"/>
            </w:tcBorders>
            <w:shd w:val="clear" w:color="auto" w:fill="auto"/>
            <w:noWrap/>
            <w:vAlign w:val="bottom"/>
          </w:tcPr>
          <w:p w14:paraId="0BE1A377" w14:textId="77777777" w:rsidR="00CB6829" w:rsidRPr="00AE4E8D" w:rsidRDefault="00CB6829" w:rsidP="00897DEC">
            <w:pPr>
              <w:keepNext/>
              <w:keepLines/>
              <w:jc w:val="right"/>
              <w:rPr>
                <w:rFonts w:ascii="Times New Roman" w:hAnsi="Times New Roman"/>
                <w:sz w:val="16"/>
                <w:szCs w:val="16"/>
                <w:lang w:val="es-ES"/>
              </w:rPr>
            </w:pPr>
          </w:p>
        </w:tc>
        <w:tc>
          <w:tcPr>
            <w:tcW w:w="486" w:type="pct"/>
            <w:tcBorders>
              <w:top w:val="nil"/>
              <w:left w:val="nil"/>
              <w:bottom w:val="nil"/>
              <w:right w:val="nil"/>
            </w:tcBorders>
          </w:tcPr>
          <w:p w14:paraId="6A48BA3C"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13.190.600</w:t>
            </w:r>
          </w:p>
        </w:tc>
        <w:tc>
          <w:tcPr>
            <w:tcW w:w="139" w:type="pct"/>
            <w:tcBorders>
              <w:top w:val="nil"/>
              <w:left w:val="nil"/>
              <w:bottom w:val="nil"/>
              <w:right w:val="nil"/>
            </w:tcBorders>
          </w:tcPr>
          <w:p w14:paraId="031D7DDF"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493" w:type="pct"/>
            <w:tcBorders>
              <w:top w:val="nil"/>
              <w:left w:val="nil"/>
              <w:bottom w:val="nil"/>
              <w:right w:val="nil"/>
            </w:tcBorders>
            <w:shd w:val="clear" w:color="auto" w:fill="auto"/>
            <w:noWrap/>
            <w:vAlign w:val="center"/>
          </w:tcPr>
          <w:p w14:paraId="1D7280F9"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13.717.667 </w:t>
            </w:r>
          </w:p>
        </w:tc>
        <w:tc>
          <w:tcPr>
            <w:tcW w:w="133" w:type="pct"/>
            <w:tcBorders>
              <w:top w:val="nil"/>
              <w:left w:val="nil"/>
              <w:bottom w:val="nil"/>
              <w:right w:val="nil"/>
            </w:tcBorders>
            <w:shd w:val="clear" w:color="auto" w:fill="auto"/>
            <w:noWrap/>
            <w:vAlign w:val="bottom"/>
          </w:tcPr>
          <w:p w14:paraId="4CCA8356" w14:textId="77777777" w:rsidR="00CB6829" w:rsidRPr="00AE4E8D" w:rsidRDefault="00CB6829" w:rsidP="00897DEC">
            <w:pPr>
              <w:keepNext/>
              <w:keepLines/>
              <w:jc w:val="right"/>
              <w:rPr>
                <w:rFonts w:ascii="Times New Roman" w:hAnsi="Times New Roman"/>
                <w:color w:val="000000"/>
                <w:sz w:val="16"/>
                <w:szCs w:val="16"/>
                <w:lang w:val="es-ES"/>
              </w:rPr>
            </w:pPr>
          </w:p>
        </w:tc>
        <w:tc>
          <w:tcPr>
            <w:tcW w:w="561" w:type="pct"/>
            <w:tcBorders>
              <w:top w:val="nil"/>
              <w:left w:val="nil"/>
              <w:bottom w:val="nil"/>
              <w:right w:val="nil"/>
            </w:tcBorders>
            <w:shd w:val="clear" w:color="auto" w:fill="auto"/>
            <w:noWrap/>
            <w:vAlign w:val="center"/>
          </w:tcPr>
          <w:p w14:paraId="101D5189"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826.440 </w:t>
            </w:r>
          </w:p>
        </w:tc>
      </w:tr>
      <w:tr w:rsidR="00897DEC" w:rsidRPr="00AE4E8D" w14:paraId="4B8526F1" w14:textId="77777777" w:rsidTr="00897DEC">
        <w:trPr>
          <w:trHeight w:val="198"/>
          <w:jc w:val="center"/>
        </w:trPr>
        <w:tc>
          <w:tcPr>
            <w:tcW w:w="900" w:type="pct"/>
            <w:tcBorders>
              <w:top w:val="nil"/>
              <w:left w:val="nil"/>
              <w:bottom w:val="nil"/>
              <w:right w:val="nil"/>
            </w:tcBorders>
            <w:shd w:val="clear" w:color="auto" w:fill="auto"/>
            <w:noWrap/>
            <w:vAlign w:val="center"/>
          </w:tcPr>
          <w:p w14:paraId="23400215" w14:textId="77777777" w:rsidR="00CB6829" w:rsidRPr="00AE4E8D" w:rsidRDefault="00CB6829" w:rsidP="00897DEC">
            <w:pPr>
              <w:keepNext/>
              <w:keepLines/>
              <w:ind w:firstLineChars="200" w:firstLine="320"/>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Cajas de Ahorro </w:t>
            </w:r>
          </w:p>
        </w:tc>
        <w:tc>
          <w:tcPr>
            <w:tcW w:w="463" w:type="pct"/>
            <w:tcBorders>
              <w:top w:val="nil"/>
              <w:left w:val="nil"/>
              <w:bottom w:val="nil"/>
              <w:right w:val="nil"/>
            </w:tcBorders>
            <w:shd w:val="clear" w:color="auto" w:fill="auto"/>
            <w:noWrap/>
            <w:vAlign w:val="center"/>
          </w:tcPr>
          <w:p w14:paraId="699CA11D"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2.816.343</w:t>
            </w:r>
          </w:p>
        </w:tc>
        <w:tc>
          <w:tcPr>
            <w:tcW w:w="115" w:type="pct"/>
            <w:tcBorders>
              <w:top w:val="nil"/>
              <w:left w:val="nil"/>
              <w:bottom w:val="nil"/>
              <w:right w:val="nil"/>
            </w:tcBorders>
            <w:shd w:val="clear" w:color="auto" w:fill="auto"/>
            <w:noWrap/>
            <w:vAlign w:val="bottom"/>
          </w:tcPr>
          <w:p w14:paraId="38DDCC4C"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2FF355A1"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3.187.068</w:t>
            </w:r>
          </w:p>
        </w:tc>
        <w:tc>
          <w:tcPr>
            <w:tcW w:w="115" w:type="pct"/>
            <w:tcBorders>
              <w:top w:val="nil"/>
              <w:left w:val="nil"/>
              <w:bottom w:val="nil"/>
              <w:right w:val="nil"/>
            </w:tcBorders>
            <w:shd w:val="clear" w:color="auto" w:fill="auto"/>
            <w:noWrap/>
            <w:vAlign w:val="bottom"/>
          </w:tcPr>
          <w:p w14:paraId="2528C90C"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28B596BF"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3.611.713 </w:t>
            </w:r>
          </w:p>
        </w:tc>
        <w:tc>
          <w:tcPr>
            <w:tcW w:w="115" w:type="pct"/>
            <w:tcBorders>
              <w:top w:val="nil"/>
              <w:left w:val="nil"/>
              <w:bottom w:val="nil"/>
              <w:right w:val="nil"/>
            </w:tcBorders>
            <w:shd w:val="clear" w:color="auto" w:fill="auto"/>
            <w:noWrap/>
            <w:vAlign w:val="bottom"/>
          </w:tcPr>
          <w:p w14:paraId="5964D881" w14:textId="77777777" w:rsidR="00CB6829" w:rsidRPr="00AE4E8D" w:rsidRDefault="00CB6829" w:rsidP="00897DEC">
            <w:pPr>
              <w:keepNext/>
              <w:keepLines/>
              <w:jc w:val="right"/>
              <w:rPr>
                <w:rFonts w:ascii="Times New Roman" w:hAnsi="Times New Roman"/>
                <w:sz w:val="16"/>
                <w:szCs w:val="16"/>
                <w:lang w:val="es-ES"/>
              </w:rPr>
            </w:pPr>
          </w:p>
        </w:tc>
        <w:tc>
          <w:tcPr>
            <w:tcW w:w="429" w:type="pct"/>
            <w:tcBorders>
              <w:top w:val="nil"/>
              <w:left w:val="nil"/>
              <w:bottom w:val="nil"/>
              <w:right w:val="nil"/>
            </w:tcBorders>
            <w:shd w:val="clear" w:color="auto" w:fill="auto"/>
            <w:noWrap/>
            <w:vAlign w:val="center"/>
          </w:tcPr>
          <w:p w14:paraId="0CD2B2C5"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227.865</w:t>
            </w:r>
          </w:p>
        </w:tc>
        <w:tc>
          <w:tcPr>
            <w:tcW w:w="144" w:type="pct"/>
            <w:tcBorders>
              <w:top w:val="nil"/>
              <w:left w:val="nil"/>
              <w:bottom w:val="nil"/>
              <w:right w:val="nil"/>
            </w:tcBorders>
            <w:shd w:val="clear" w:color="auto" w:fill="auto"/>
            <w:noWrap/>
            <w:vAlign w:val="bottom"/>
          </w:tcPr>
          <w:p w14:paraId="0A20E43F" w14:textId="77777777" w:rsidR="00CB6829" w:rsidRPr="00AE4E8D" w:rsidRDefault="00CB6829" w:rsidP="00897DEC">
            <w:pPr>
              <w:keepNext/>
              <w:keepLines/>
              <w:jc w:val="right"/>
              <w:rPr>
                <w:rFonts w:ascii="Times New Roman" w:hAnsi="Times New Roman"/>
                <w:sz w:val="16"/>
                <w:szCs w:val="16"/>
                <w:lang w:val="es-ES"/>
              </w:rPr>
            </w:pPr>
          </w:p>
        </w:tc>
        <w:tc>
          <w:tcPr>
            <w:tcW w:w="486" w:type="pct"/>
            <w:tcBorders>
              <w:top w:val="nil"/>
              <w:left w:val="nil"/>
              <w:bottom w:val="nil"/>
              <w:right w:val="nil"/>
            </w:tcBorders>
            <w:vAlign w:val="center"/>
          </w:tcPr>
          <w:p w14:paraId="2AE0EC9A"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3.130.453</w:t>
            </w:r>
          </w:p>
        </w:tc>
        <w:tc>
          <w:tcPr>
            <w:tcW w:w="139" w:type="pct"/>
            <w:tcBorders>
              <w:top w:val="nil"/>
              <w:left w:val="nil"/>
              <w:bottom w:val="nil"/>
              <w:right w:val="nil"/>
            </w:tcBorders>
          </w:tcPr>
          <w:p w14:paraId="11E18DC4"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493" w:type="pct"/>
            <w:tcBorders>
              <w:top w:val="nil"/>
              <w:left w:val="nil"/>
              <w:bottom w:val="nil"/>
              <w:right w:val="nil"/>
            </w:tcBorders>
            <w:shd w:val="clear" w:color="auto" w:fill="auto"/>
            <w:noWrap/>
            <w:vAlign w:val="center"/>
          </w:tcPr>
          <w:p w14:paraId="15084610"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4.415.774 </w:t>
            </w:r>
          </w:p>
        </w:tc>
        <w:tc>
          <w:tcPr>
            <w:tcW w:w="133" w:type="pct"/>
            <w:tcBorders>
              <w:top w:val="nil"/>
              <w:left w:val="nil"/>
              <w:bottom w:val="nil"/>
              <w:right w:val="nil"/>
            </w:tcBorders>
            <w:shd w:val="clear" w:color="auto" w:fill="auto"/>
            <w:noWrap/>
            <w:vAlign w:val="bottom"/>
          </w:tcPr>
          <w:p w14:paraId="79748D94" w14:textId="77777777" w:rsidR="00CB6829" w:rsidRPr="00AE4E8D" w:rsidRDefault="00CB6829" w:rsidP="00897DEC">
            <w:pPr>
              <w:keepNext/>
              <w:keepLines/>
              <w:jc w:val="right"/>
              <w:rPr>
                <w:rFonts w:ascii="Times New Roman" w:hAnsi="Times New Roman"/>
                <w:color w:val="000000"/>
                <w:sz w:val="16"/>
                <w:szCs w:val="16"/>
                <w:lang w:val="es-ES"/>
              </w:rPr>
            </w:pPr>
          </w:p>
        </w:tc>
        <w:tc>
          <w:tcPr>
            <w:tcW w:w="561" w:type="pct"/>
            <w:tcBorders>
              <w:top w:val="nil"/>
              <w:left w:val="nil"/>
              <w:bottom w:val="nil"/>
              <w:right w:val="nil"/>
            </w:tcBorders>
            <w:shd w:val="clear" w:color="auto" w:fill="auto"/>
            <w:noWrap/>
            <w:vAlign w:val="center"/>
          </w:tcPr>
          <w:p w14:paraId="076868B2"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266.035 </w:t>
            </w:r>
          </w:p>
        </w:tc>
      </w:tr>
      <w:tr w:rsidR="00897DEC" w:rsidRPr="00AE4E8D" w14:paraId="54225457" w14:textId="77777777" w:rsidTr="00897DEC">
        <w:trPr>
          <w:trHeight w:val="198"/>
          <w:jc w:val="center"/>
        </w:trPr>
        <w:tc>
          <w:tcPr>
            <w:tcW w:w="900" w:type="pct"/>
            <w:tcBorders>
              <w:top w:val="nil"/>
              <w:left w:val="nil"/>
              <w:bottom w:val="nil"/>
              <w:right w:val="nil"/>
            </w:tcBorders>
            <w:shd w:val="clear" w:color="auto" w:fill="auto"/>
            <w:noWrap/>
            <w:vAlign w:val="center"/>
          </w:tcPr>
          <w:p w14:paraId="4E33C0D2" w14:textId="77777777" w:rsidR="00CB6829" w:rsidRPr="00AE4E8D" w:rsidRDefault="00CB6829" w:rsidP="00897DEC">
            <w:pPr>
              <w:keepNext/>
              <w:keepLines/>
              <w:ind w:firstLineChars="200" w:firstLine="320"/>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Cuentas Corrientes </w:t>
            </w:r>
          </w:p>
        </w:tc>
        <w:tc>
          <w:tcPr>
            <w:tcW w:w="463" w:type="pct"/>
            <w:tcBorders>
              <w:top w:val="nil"/>
              <w:left w:val="nil"/>
              <w:bottom w:val="nil"/>
              <w:right w:val="nil"/>
            </w:tcBorders>
            <w:shd w:val="clear" w:color="auto" w:fill="auto"/>
            <w:noWrap/>
            <w:vAlign w:val="center"/>
          </w:tcPr>
          <w:p w14:paraId="327906E4"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4.962.612</w:t>
            </w:r>
          </w:p>
        </w:tc>
        <w:tc>
          <w:tcPr>
            <w:tcW w:w="115" w:type="pct"/>
            <w:tcBorders>
              <w:top w:val="nil"/>
              <w:left w:val="nil"/>
              <w:bottom w:val="nil"/>
              <w:right w:val="nil"/>
            </w:tcBorders>
            <w:shd w:val="clear" w:color="auto" w:fill="auto"/>
            <w:noWrap/>
            <w:vAlign w:val="bottom"/>
          </w:tcPr>
          <w:p w14:paraId="680A210F"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67A31A2F"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1.351.893</w:t>
            </w:r>
          </w:p>
        </w:tc>
        <w:tc>
          <w:tcPr>
            <w:tcW w:w="115" w:type="pct"/>
            <w:tcBorders>
              <w:top w:val="nil"/>
              <w:left w:val="nil"/>
              <w:bottom w:val="nil"/>
              <w:right w:val="nil"/>
            </w:tcBorders>
            <w:shd w:val="clear" w:color="auto" w:fill="auto"/>
            <w:noWrap/>
            <w:vAlign w:val="bottom"/>
          </w:tcPr>
          <w:p w14:paraId="77305FD4"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15D9314B"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1.362.218 </w:t>
            </w:r>
          </w:p>
        </w:tc>
        <w:tc>
          <w:tcPr>
            <w:tcW w:w="115" w:type="pct"/>
            <w:tcBorders>
              <w:top w:val="nil"/>
              <w:left w:val="nil"/>
              <w:bottom w:val="nil"/>
              <w:right w:val="nil"/>
            </w:tcBorders>
            <w:shd w:val="clear" w:color="auto" w:fill="auto"/>
            <w:noWrap/>
            <w:vAlign w:val="bottom"/>
          </w:tcPr>
          <w:p w14:paraId="4844C5AA" w14:textId="77777777" w:rsidR="00CB6829" w:rsidRPr="00AE4E8D" w:rsidRDefault="00CB6829" w:rsidP="00897DEC">
            <w:pPr>
              <w:keepNext/>
              <w:keepLines/>
              <w:jc w:val="right"/>
              <w:rPr>
                <w:rFonts w:ascii="Times New Roman" w:hAnsi="Times New Roman"/>
                <w:sz w:val="16"/>
                <w:szCs w:val="16"/>
                <w:lang w:val="es-ES"/>
              </w:rPr>
            </w:pPr>
          </w:p>
        </w:tc>
        <w:tc>
          <w:tcPr>
            <w:tcW w:w="429" w:type="pct"/>
            <w:tcBorders>
              <w:top w:val="nil"/>
              <w:left w:val="nil"/>
              <w:bottom w:val="nil"/>
              <w:right w:val="nil"/>
            </w:tcBorders>
            <w:shd w:val="clear" w:color="auto" w:fill="auto"/>
            <w:noWrap/>
            <w:vAlign w:val="center"/>
          </w:tcPr>
          <w:p w14:paraId="115FE62C"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85.943</w:t>
            </w:r>
          </w:p>
        </w:tc>
        <w:tc>
          <w:tcPr>
            <w:tcW w:w="144" w:type="pct"/>
            <w:tcBorders>
              <w:top w:val="nil"/>
              <w:left w:val="nil"/>
              <w:bottom w:val="nil"/>
              <w:right w:val="nil"/>
            </w:tcBorders>
            <w:shd w:val="clear" w:color="auto" w:fill="auto"/>
            <w:noWrap/>
            <w:vAlign w:val="bottom"/>
          </w:tcPr>
          <w:p w14:paraId="270DF08A" w14:textId="77777777" w:rsidR="00CB6829" w:rsidRPr="00AE4E8D" w:rsidRDefault="00CB6829" w:rsidP="00897DEC">
            <w:pPr>
              <w:keepNext/>
              <w:keepLines/>
              <w:jc w:val="right"/>
              <w:rPr>
                <w:rFonts w:ascii="Times New Roman" w:hAnsi="Times New Roman"/>
                <w:sz w:val="16"/>
                <w:szCs w:val="16"/>
                <w:lang w:val="es-ES"/>
              </w:rPr>
            </w:pPr>
          </w:p>
        </w:tc>
        <w:tc>
          <w:tcPr>
            <w:tcW w:w="486" w:type="pct"/>
            <w:tcBorders>
              <w:top w:val="nil"/>
              <w:left w:val="nil"/>
              <w:bottom w:val="nil"/>
              <w:right w:val="nil"/>
            </w:tcBorders>
            <w:vAlign w:val="center"/>
          </w:tcPr>
          <w:p w14:paraId="5CD1ADB5"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1.299.090</w:t>
            </w:r>
          </w:p>
        </w:tc>
        <w:tc>
          <w:tcPr>
            <w:tcW w:w="139" w:type="pct"/>
            <w:tcBorders>
              <w:top w:val="nil"/>
              <w:left w:val="nil"/>
              <w:bottom w:val="nil"/>
              <w:right w:val="nil"/>
            </w:tcBorders>
          </w:tcPr>
          <w:p w14:paraId="7301CED8"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493" w:type="pct"/>
            <w:tcBorders>
              <w:top w:val="nil"/>
              <w:left w:val="nil"/>
              <w:bottom w:val="nil"/>
              <w:right w:val="nil"/>
            </w:tcBorders>
            <w:shd w:val="clear" w:color="auto" w:fill="auto"/>
            <w:noWrap/>
            <w:vAlign w:val="center"/>
          </w:tcPr>
          <w:p w14:paraId="2769295C"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1.617.474 </w:t>
            </w:r>
          </w:p>
        </w:tc>
        <w:tc>
          <w:tcPr>
            <w:tcW w:w="133" w:type="pct"/>
            <w:tcBorders>
              <w:top w:val="nil"/>
              <w:left w:val="nil"/>
              <w:bottom w:val="nil"/>
              <w:right w:val="nil"/>
            </w:tcBorders>
            <w:shd w:val="clear" w:color="auto" w:fill="auto"/>
            <w:noWrap/>
            <w:vAlign w:val="bottom"/>
          </w:tcPr>
          <w:p w14:paraId="08646FB0" w14:textId="77777777" w:rsidR="00CB6829" w:rsidRPr="00AE4E8D" w:rsidRDefault="00CB6829" w:rsidP="00897DEC">
            <w:pPr>
              <w:keepNext/>
              <w:keepLines/>
              <w:jc w:val="right"/>
              <w:rPr>
                <w:rFonts w:ascii="Times New Roman" w:hAnsi="Times New Roman"/>
                <w:color w:val="000000"/>
                <w:sz w:val="16"/>
                <w:szCs w:val="16"/>
                <w:lang w:val="es-ES"/>
              </w:rPr>
            </w:pPr>
          </w:p>
        </w:tc>
        <w:tc>
          <w:tcPr>
            <w:tcW w:w="561" w:type="pct"/>
            <w:tcBorders>
              <w:top w:val="nil"/>
              <w:left w:val="nil"/>
              <w:bottom w:val="nil"/>
              <w:right w:val="nil"/>
            </w:tcBorders>
            <w:shd w:val="clear" w:color="auto" w:fill="auto"/>
            <w:noWrap/>
            <w:vAlign w:val="center"/>
          </w:tcPr>
          <w:p w14:paraId="101D6E6F"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97.447 </w:t>
            </w:r>
          </w:p>
        </w:tc>
      </w:tr>
      <w:tr w:rsidR="00897DEC" w:rsidRPr="00AE4E8D" w14:paraId="05F53C5D" w14:textId="77777777" w:rsidTr="00897DEC">
        <w:trPr>
          <w:trHeight w:val="209"/>
          <w:jc w:val="center"/>
        </w:trPr>
        <w:tc>
          <w:tcPr>
            <w:tcW w:w="900" w:type="pct"/>
            <w:tcBorders>
              <w:top w:val="nil"/>
              <w:left w:val="nil"/>
              <w:bottom w:val="nil"/>
              <w:right w:val="nil"/>
            </w:tcBorders>
            <w:shd w:val="clear" w:color="auto" w:fill="auto"/>
            <w:noWrap/>
            <w:vAlign w:val="center"/>
          </w:tcPr>
          <w:p w14:paraId="440A7A67" w14:textId="77777777" w:rsidR="00CB6829" w:rsidRPr="00AE4E8D" w:rsidRDefault="00CB6829" w:rsidP="00897DEC">
            <w:pPr>
              <w:keepNext/>
              <w:keepLines/>
              <w:ind w:left="284" w:firstLineChars="22" w:firstLine="35"/>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Otros </w:t>
            </w:r>
          </w:p>
        </w:tc>
        <w:tc>
          <w:tcPr>
            <w:tcW w:w="463" w:type="pct"/>
            <w:tcBorders>
              <w:top w:val="nil"/>
              <w:left w:val="nil"/>
              <w:bottom w:val="single" w:sz="8" w:space="0" w:color="auto"/>
              <w:right w:val="nil"/>
            </w:tcBorders>
            <w:shd w:val="clear" w:color="auto" w:fill="auto"/>
            <w:noWrap/>
            <w:vAlign w:val="center"/>
          </w:tcPr>
          <w:p w14:paraId="6106915D"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883.682</w:t>
            </w:r>
          </w:p>
        </w:tc>
        <w:tc>
          <w:tcPr>
            <w:tcW w:w="115" w:type="pct"/>
            <w:tcBorders>
              <w:top w:val="nil"/>
              <w:left w:val="nil"/>
              <w:bottom w:val="nil"/>
              <w:right w:val="nil"/>
            </w:tcBorders>
            <w:shd w:val="clear" w:color="auto" w:fill="auto"/>
            <w:noWrap/>
            <w:vAlign w:val="bottom"/>
          </w:tcPr>
          <w:p w14:paraId="540395B8"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single" w:sz="8" w:space="0" w:color="auto"/>
              <w:right w:val="nil"/>
            </w:tcBorders>
            <w:shd w:val="clear" w:color="auto" w:fill="auto"/>
            <w:noWrap/>
            <w:vAlign w:val="center"/>
          </w:tcPr>
          <w:p w14:paraId="28939421"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181.475</w:t>
            </w:r>
          </w:p>
        </w:tc>
        <w:tc>
          <w:tcPr>
            <w:tcW w:w="115" w:type="pct"/>
            <w:tcBorders>
              <w:top w:val="nil"/>
              <w:left w:val="nil"/>
              <w:bottom w:val="nil"/>
              <w:right w:val="nil"/>
            </w:tcBorders>
            <w:shd w:val="clear" w:color="auto" w:fill="auto"/>
            <w:noWrap/>
            <w:vAlign w:val="bottom"/>
          </w:tcPr>
          <w:p w14:paraId="40A67920"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single" w:sz="8" w:space="0" w:color="auto"/>
              <w:right w:val="nil"/>
            </w:tcBorders>
            <w:shd w:val="clear" w:color="auto" w:fill="auto"/>
            <w:noWrap/>
            <w:vAlign w:val="center"/>
          </w:tcPr>
          <w:p w14:paraId="4D8190DF"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191.646</w:t>
            </w:r>
          </w:p>
        </w:tc>
        <w:tc>
          <w:tcPr>
            <w:tcW w:w="115" w:type="pct"/>
            <w:tcBorders>
              <w:top w:val="nil"/>
              <w:left w:val="nil"/>
              <w:bottom w:val="nil"/>
              <w:right w:val="nil"/>
            </w:tcBorders>
            <w:shd w:val="clear" w:color="auto" w:fill="auto"/>
            <w:noWrap/>
            <w:vAlign w:val="bottom"/>
          </w:tcPr>
          <w:p w14:paraId="7E9FA974" w14:textId="77777777" w:rsidR="00CB6829" w:rsidRPr="00AE4E8D" w:rsidRDefault="00CB6829" w:rsidP="00897DEC">
            <w:pPr>
              <w:keepNext/>
              <w:keepLines/>
              <w:jc w:val="right"/>
              <w:rPr>
                <w:rFonts w:ascii="Times New Roman" w:hAnsi="Times New Roman"/>
                <w:sz w:val="16"/>
                <w:szCs w:val="16"/>
                <w:lang w:val="es-ES"/>
              </w:rPr>
            </w:pPr>
          </w:p>
        </w:tc>
        <w:tc>
          <w:tcPr>
            <w:tcW w:w="429" w:type="pct"/>
            <w:tcBorders>
              <w:top w:val="nil"/>
              <w:left w:val="nil"/>
              <w:bottom w:val="single" w:sz="8" w:space="0" w:color="auto"/>
              <w:right w:val="nil"/>
            </w:tcBorders>
            <w:shd w:val="clear" w:color="auto" w:fill="auto"/>
            <w:noWrap/>
            <w:vAlign w:val="center"/>
          </w:tcPr>
          <w:p w14:paraId="4E34BD4D"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12.091</w:t>
            </w:r>
          </w:p>
        </w:tc>
        <w:tc>
          <w:tcPr>
            <w:tcW w:w="144" w:type="pct"/>
            <w:tcBorders>
              <w:top w:val="nil"/>
              <w:left w:val="nil"/>
              <w:bottom w:val="nil"/>
              <w:right w:val="nil"/>
            </w:tcBorders>
            <w:shd w:val="clear" w:color="auto" w:fill="auto"/>
            <w:noWrap/>
            <w:vAlign w:val="bottom"/>
          </w:tcPr>
          <w:p w14:paraId="584F1E0B" w14:textId="77777777" w:rsidR="00CB6829" w:rsidRPr="00AE4E8D" w:rsidRDefault="00CB6829" w:rsidP="00897DEC">
            <w:pPr>
              <w:keepNext/>
              <w:keepLines/>
              <w:jc w:val="right"/>
              <w:rPr>
                <w:rFonts w:ascii="Times New Roman" w:hAnsi="Times New Roman"/>
                <w:sz w:val="16"/>
                <w:szCs w:val="16"/>
                <w:lang w:val="es-ES"/>
              </w:rPr>
            </w:pPr>
          </w:p>
        </w:tc>
        <w:tc>
          <w:tcPr>
            <w:tcW w:w="486" w:type="pct"/>
            <w:tcBorders>
              <w:top w:val="nil"/>
              <w:left w:val="nil"/>
              <w:bottom w:val="single" w:sz="8" w:space="0" w:color="auto"/>
              <w:right w:val="nil"/>
            </w:tcBorders>
            <w:vAlign w:val="center"/>
          </w:tcPr>
          <w:p w14:paraId="6E407B7D"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173.390</w:t>
            </w:r>
          </w:p>
        </w:tc>
        <w:tc>
          <w:tcPr>
            <w:tcW w:w="139" w:type="pct"/>
            <w:tcBorders>
              <w:top w:val="nil"/>
              <w:left w:val="nil"/>
              <w:right w:val="nil"/>
            </w:tcBorders>
          </w:tcPr>
          <w:p w14:paraId="3ACE4F0A"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493" w:type="pct"/>
            <w:tcBorders>
              <w:top w:val="nil"/>
              <w:left w:val="nil"/>
              <w:bottom w:val="single" w:sz="8" w:space="0" w:color="auto"/>
              <w:right w:val="nil"/>
            </w:tcBorders>
            <w:shd w:val="clear" w:color="auto" w:fill="auto"/>
            <w:noWrap/>
            <w:vAlign w:val="center"/>
          </w:tcPr>
          <w:p w14:paraId="17BB0A60"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132.060 </w:t>
            </w:r>
          </w:p>
        </w:tc>
        <w:tc>
          <w:tcPr>
            <w:tcW w:w="133" w:type="pct"/>
            <w:tcBorders>
              <w:top w:val="nil"/>
              <w:left w:val="nil"/>
              <w:bottom w:val="nil"/>
              <w:right w:val="nil"/>
            </w:tcBorders>
            <w:shd w:val="clear" w:color="auto" w:fill="auto"/>
            <w:noWrap/>
            <w:vAlign w:val="bottom"/>
          </w:tcPr>
          <w:p w14:paraId="7D89D33F" w14:textId="77777777" w:rsidR="00CB6829" w:rsidRPr="00AE4E8D" w:rsidRDefault="00CB6829" w:rsidP="00897DEC">
            <w:pPr>
              <w:keepNext/>
              <w:keepLines/>
              <w:jc w:val="right"/>
              <w:rPr>
                <w:rFonts w:ascii="Times New Roman" w:hAnsi="Times New Roman"/>
                <w:color w:val="000000"/>
                <w:sz w:val="16"/>
                <w:szCs w:val="16"/>
                <w:lang w:val="es-ES"/>
              </w:rPr>
            </w:pPr>
          </w:p>
        </w:tc>
        <w:tc>
          <w:tcPr>
            <w:tcW w:w="561" w:type="pct"/>
            <w:tcBorders>
              <w:top w:val="nil"/>
              <w:left w:val="nil"/>
              <w:bottom w:val="single" w:sz="8" w:space="0" w:color="auto"/>
              <w:right w:val="nil"/>
            </w:tcBorders>
            <w:shd w:val="clear" w:color="auto" w:fill="auto"/>
            <w:noWrap/>
            <w:vAlign w:val="center"/>
          </w:tcPr>
          <w:p w14:paraId="2B7A17F1"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7.956 </w:t>
            </w:r>
          </w:p>
        </w:tc>
      </w:tr>
      <w:tr w:rsidR="00897DEC" w:rsidRPr="00AE4E8D" w14:paraId="04FF11C4" w14:textId="77777777" w:rsidTr="00897DEC">
        <w:trPr>
          <w:trHeight w:val="198"/>
          <w:jc w:val="center"/>
        </w:trPr>
        <w:tc>
          <w:tcPr>
            <w:tcW w:w="900" w:type="pct"/>
            <w:tcBorders>
              <w:top w:val="nil"/>
              <w:left w:val="nil"/>
              <w:bottom w:val="nil"/>
              <w:right w:val="nil"/>
            </w:tcBorders>
            <w:shd w:val="clear" w:color="auto" w:fill="auto"/>
            <w:noWrap/>
            <w:vAlign w:val="center"/>
          </w:tcPr>
          <w:p w14:paraId="2C197E06" w14:textId="77777777" w:rsidR="00CB6829" w:rsidRPr="00AE4E8D" w:rsidRDefault="00CB6829" w:rsidP="00897DEC">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Total Depósitos </w:t>
            </w:r>
          </w:p>
        </w:tc>
        <w:tc>
          <w:tcPr>
            <w:tcW w:w="463" w:type="pct"/>
            <w:tcBorders>
              <w:top w:val="nil"/>
              <w:left w:val="nil"/>
              <w:bottom w:val="nil"/>
              <w:right w:val="nil"/>
            </w:tcBorders>
            <w:shd w:val="clear" w:color="auto" w:fill="auto"/>
            <w:noWrap/>
            <w:vAlign w:val="center"/>
          </w:tcPr>
          <w:p w14:paraId="69047588"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18.334.113</w:t>
            </w:r>
          </w:p>
        </w:tc>
        <w:tc>
          <w:tcPr>
            <w:tcW w:w="115" w:type="pct"/>
            <w:tcBorders>
              <w:top w:val="nil"/>
              <w:left w:val="nil"/>
              <w:bottom w:val="nil"/>
              <w:right w:val="nil"/>
            </w:tcBorders>
            <w:shd w:val="clear" w:color="auto" w:fill="auto"/>
            <w:noWrap/>
            <w:vAlign w:val="center"/>
          </w:tcPr>
          <w:p w14:paraId="6B1DDBF0"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738B77DA"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20.392.213</w:t>
            </w:r>
          </w:p>
        </w:tc>
        <w:tc>
          <w:tcPr>
            <w:tcW w:w="115" w:type="pct"/>
            <w:tcBorders>
              <w:top w:val="nil"/>
              <w:left w:val="nil"/>
              <w:bottom w:val="nil"/>
              <w:right w:val="nil"/>
            </w:tcBorders>
            <w:shd w:val="clear" w:color="auto" w:fill="auto"/>
            <w:noWrap/>
            <w:vAlign w:val="center"/>
          </w:tcPr>
          <w:p w14:paraId="4881D52A" w14:textId="77777777" w:rsidR="00CB6829" w:rsidRPr="00AE4E8D" w:rsidRDefault="00CB6829" w:rsidP="00897DEC">
            <w:pPr>
              <w:keepNext/>
              <w:keepLines/>
              <w:jc w:val="right"/>
              <w:rPr>
                <w:rFonts w:ascii="Times New Roman" w:hAnsi="Times New Roman"/>
                <w:sz w:val="16"/>
                <w:szCs w:val="16"/>
                <w:lang w:val="es-ES"/>
              </w:rPr>
            </w:pPr>
          </w:p>
        </w:tc>
        <w:tc>
          <w:tcPr>
            <w:tcW w:w="453" w:type="pct"/>
            <w:tcBorders>
              <w:top w:val="nil"/>
              <w:left w:val="nil"/>
              <w:bottom w:val="nil"/>
              <w:right w:val="nil"/>
            </w:tcBorders>
            <w:shd w:val="clear" w:color="auto" w:fill="auto"/>
            <w:noWrap/>
            <w:vAlign w:val="center"/>
          </w:tcPr>
          <w:p w14:paraId="37DB868C"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18.984.992 </w:t>
            </w:r>
          </w:p>
        </w:tc>
        <w:tc>
          <w:tcPr>
            <w:tcW w:w="115" w:type="pct"/>
            <w:tcBorders>
              <w:top w:val="nil"/>
              <w:left w:val="nil"/>
              <w:bottom w:val="nil"/>
              <w:right w:val="nil"/>
            </w:tcBorders>
            <w:shd w:val="clear" w:color="auto" w:fill="auto"/>
            <w:noWrap/>
            <w:vAlign w:val="center"/>
          </w:tcPr>
          <w:p w14:paraId="7BC57DF9" w14:textId="77777777" w:rsidR="00CB6829" w:rsidRPr="00AE4E8D" w:rsidRDefault="00CB6829" w:rsidP="00897DEC">
            <w:pPr>
              <w:keepNext/>
              <w:keepLines/>
              <w:jc w:val="right"/>
              <w:rPr>
                <w:rFonts w:ascii="Times New Roman" w:hAnsi="Times New Roman"/>
                <w:sz w:val="16"/>
                <w:szCs w:val="16"/>
                <w:lang w:val="es-ES"/>
              </w:rPr>
            </w:pPr>
          </w:p>
        </w:tc>
        <w:tc>
          <w:tcPr>
            <w:tcW w:w="429" w:type="pct"/>
            <w:tcBorders>
              <w:top w:val="nil"/>
              <w:left w:val="nil"/>
              <w:bottom w:val="nil"/>
              <w:right w:val="nil"/>
            </w:tcBorders>
            <w:shd w:val="clear" w:color="auto" w:fill="auto"/>
            <w:noWrap/>
            <w:vAlign w:val="center"/>
          </w:tcPr>
          <w:p w14:paraId="627EC6D8"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1.197.775 </w:t>
            </w:r>
          </w:p>
        </w:tc>
        <w:tc>
          <w:tcPr>
            <w:tcW w:w="144" w:type="pct"/>
            <w:tcBorders>
              <w:top w:val="nil"/>
              <w:left w:val="nil"/>
              <w:bottom w:val="nil"/>
              <w:right w:val="nil"/>
            </w:tcBorders>
            <w:shd w:val="clear" w:color="auto" w:fill="auto"/>
            <w:noWrap/>
            <w:vAlign w:val="center"/>
          </w:tcPr>
          <w:p w14:paraId="349F4362" w14:textId="77777777" w:rsidR="00CB6829" w:rsidRPr="00AE4E8D" w:rsidRDefault="00CB6829" w:rsidP="00897DEC">
            <w:pPr>
              <w:keepNext/>
              <w:keepLines/>
              <w:jc w:val="right"/>
              <w:rPr>
                <w:rFonts w:ascii="Times New Roman" w:hAnsi="Times New Roman"/>
                <w:sz w:val="16"/>
                <w:szCs w:val="16"/>
                <w:lang w:val="es-ES"/>
              </w:rPr>
            </w:pPr>
          </w:p>
        </w:tc>
        <w:tc>
          <w:tcPr>
            <w:tcW w:w="486" w:type="pct"/>
            <w:tcBorders>
              <w:top w:val="nil"/>
              <w:left w:val="nil"/>
              <w:bottom w:val="nil"/>
              <w:right w:val="nil"/>
            </w:tcBorders>
            <w:vAlign w:val="center"/>
          </w:tcPr>
          <w:p w14:paraId="5CE8C431"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17.793.533</w:t>
            </w:r>
          </w:p>
        </w:tc>
        <w:tc>
          <w:tcPr>
            <w:tcW w:w="139" w:type="pct"/>
            <w:tcBorders>
              <w:top w:val="nil"/>
              <w:left w:val="nil"/>
              <w:bottom w:val="nil"/>
              <w:right w:val="nil"/>
            </w:tcBorders>
            <w:vAlign w:val="center"/>
          </w:tcPr>
          <w:p w14:paraId="68BB717A" w14:textId="77777777" w:rsidR="00CB6829" w:rsidRPr="00AE4E8D" w:rsidRDefault="00CB6829" w:rsidP="00897DEC">
            <w:pPr>
              <w:keepNext/>
              <w:keepLines/>
              <w:jc w:val="right"/>
              <w:rPr>
                <w:rFonts w:ascii="Times New Roman" w:hAnsi="Times New Roman"/>
                <w:color w:val="000000"/>
                <w:sz w:val="16"/>
                <w:szCs w:val="16"/>
                <w:lang w:val="es-ES" w:eastAsia="es-AR"/>
              </w:rPr>
            </w:pPr>
          </w:p>
        </w:tc>
        <w:tc>
          <w:tcPr>
            <w:tcW w:w="493" w:type="pct"/>
            <w:tcBorders>
              <w:top w:val="nil"/>
              <w:left w:val="nil"/>
              <w:bottom w:val="nil"/>
              <w:right w:val="nil"/>
            </w:tcBorders>
            <w:shd w:val="clear" w:color="auto" w:fill="auto"/>
            <w:noWrap/>
            <w:vAlign w:val="center"/>
          </w:tcPr>
          <w:p w14:paraId="79FD41D0"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19.882.975 </w:t>
            </w:r>
          </w:p>
        </w:tc>
        <w:tc>
          <w:tcPr>
            <w:tcW w:w="133" w:type="pct"/>
            <w:tcBorders>
              <w:top w:val="nil"/>
              <w:left w:val="nil"/>
              <w:bottom w:val="nil"/>
              <w:right w:val="nil"/>
            </w:tcBorders>
            <w:shd w:val="clear" w:color="auto" w:fill="auto"/>
            <w:noWrap/>
            <w:vAlign w:val="center"/>
          </w:tcPr>
          <w:p w14:paraId="03D2C95E" w14:textId="77777777" w:rsidR="00CB6829" w:rsidRPr="00AE4E8D" w:rsidRDefault="00CB6829" w:rsidP="00897DEC">
            <w:pPr>
              <w:keepNext/>
              <w:keepLines/>
              <w:jc w:val="right"/>
              <w:rPr>
                <w:rFonts w:ascii="Times New Roman" w:hAnsi="Times New Roman"/>
                <w:color w:val="000000"/>
                <w:sz w:val="16"/>
                <w:szCs w:val="16"/>
                <w:lang w:val="es-ES"/>
              </w:rPr>
            </w:pPr>
          </w:p>
        </w:tc>
        <w:tc>
          <w:tcPr>
            <w:tcW w:w="561" w:type="pct"/>
            <w:tcBorders>
              <w:top w:val="nil"/>
              <w:left w:val="nil"/>
              <w:bottom w:val="nil"/>
              <w:right w:val="nil"/>
            </w:tcBorders>
            <w:shd w:val="clear" w:color="auto" w:fill="auto"/>
            <w:noWrap/>
            <w:vAlign w:val="center"/>
          </w:tcPr>
          <w:p w14:paraId="4883D7EA" w14:textId="77777777" w:rsidR="00CB6829" w:rsidRPr="00AE4E8D" w:rsidRDefault="00CB6829" w:rsidP="00897DEC">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eastAsia="es-AR"/>
              </w:rPr>
              <w:t xml:space="preserve">1.197.878 </w:t>
            </w:r>
          </w:p>
        </w:tc>
      </w:tr>
    </w:tbl>
    <w:p w14:paraId="485932F1" w14:textId="77777777" w:rsidR="001E34BD" w:rsidRPr="00AE4E8D" w:rsidRDefault="001E34BD" w:rsidP="00D65ECF">
      <w:pPr>
        <w:autoSpaceDE w:val="0"/>
        <w:autoSpaceDN w:val="0"/>
        <w:adjustRightInd w:val="0"/>
        <w:jc w:val="both"/>
        <w:rPr>
          <w:rFonts w:ascii="Times New Roman" w:hAnsi="Times New Roman"/>
          <w:sz w:val="16"/>
          <w:lang w:val="es-ES" w:eastAsia="es-AR"/>
        </w:rPr>
      </w:pPr>
    </w:p>
    <w:p w14:paraId="21041DDF" w14:textId="77777777" w:rsidR="00D65ECF" w:rsidRPr="00AE4E8D" w:rsidRDefault="00D65ECF" w:rsidP="00D65ECF">
      <w:pPr>
        <w:autoSpaceDE w:val="0"/>
        <w:autoSpaceDN w:val="0"/>
        <w:adjustRightInd w:val="0"/>
        <w:jc w:val="both"/>
        <w:rPr>
          <w:rFonts w:ascii="Times New Roman" w:hAnsi="Times New Roman"/>
          <w:sz w:val="16"/>
          <w:lang w:val="es-ES" w:eastAsia="es-AR"/>
        </w:rPr>
      </w:pPr>
      <w:r w:rsidRPr="00AE4E8D">
        <w:rPr>
          <w:rFonts w:ascii="Times New Roman" w:hAnsi="Times New Roman"/>
          <w:sz w:val="16"/>
          <w:lang w:val="es-ES" w:eastAsia="es-AR"/>
        </w:rPr>
        <w:t>(*) Fuente: información interna del Banco y sus subsidiarias.</w:t>
      </w:r>
    </w:p>
    <w:p w14:paraId="35FAB114" w14:textId="77777777" w:rsidR="00D65ECF" w:rsidRPr="00AE4E8D" w:rsidRDefault="00D65ECF" w:rsidP="00D65ECF">
      <w:pPr>
        <w:autoSpaceDE w:val="0"/>
        <w:autoSpaceDN w:val="0"/>
        <w:adjustRightInd w:val="0"/>
        <w:jc w:val="both"/>
        <w:rPr>
          <w:rFonts w:ascii="Times New Roman" w:hAnsi="Times New Roman"/>
          <w:sz w:val="16"/>
          <w:lang w:val="es-ES" w:eastAsia="es-AR"/>
        </w:rPr>
      </w:pPr>
      <w:r w:rsidRPr="00AE4E8D">
        <w:rPr>
          <w:rFonts w:ascii="Times New Roman" w:hAnsi="Times New Roman"/>
          <w:sz w:val="16"/>
          <w:lang w:val="es-ES" w:eastAsia="es-AR"/>
        </w:rPr>
        <w:t>(1)</w:t>
      </w:r>
      <w:r w:rsidRPr="00AE4E8D">
        <w:rPr>
          <w:rFonts w:ascii="Times New Roman" w:hAnsi="Times New Roman"/>
          <w:sz w:val="16"/>
          <w:vertAlign w:val="superscript"/>
          <w:lang w:val="es-ES" w:eastAsia="es-AR"/>
        </w:rPr>
        <w:t xml:space="preserve"> </w:t>
      </w:r>
      <w:r w:rsidRPr="00AE4E8D">
        <w:rPr>
          <w:rFonts w:ascii="Times New Roman" w:hAnsi="Times New Roman"/>
          <w:sz w:val="16"/>
          <w:lang w:val="es-ES" w:eastAsia="es-AR"/>
        </w:rPr>
        <w:t>El tipo de cambio utilizado a los fines de la conversión de los saldos al 31 de diciembre de 2016 y 30 de junio de 2017 fue Ps.15</w:t>
      </w:r>
      <w:proofErr w:type="gramStart"/>
      <w:r w:rsidRPr="00AE4E8D">
        <w:rPr>
          <w:rFonts w:ascii="Times New Roman" w:hAnsi="Times New Roman"/>
          <w:sz w:val="16"/>
          <w:lang w:val="es-ES" w:eastAsia="es-AR"/>
        </w:rPr>
        <w:t>,8502</w:t>
      </w:r>
      <w:proofErr w:type="gramEnd"/>
      <w:r w:rsidRPr="00AE4E8D">
        <w:rPr>
          <w:rFonts w:ascii="Times New Roman" w:hAnsi="Times New Roman"/>
          <w:sz w:val="16"/>
          <w:lang w:val="es-ES" w:eastAsia="es-AR"/>
        </w:rPr>
        <w:t xml:space="preserve"> = US$1,00 y Ps.16</w:t>
      </w:r>
      <w:r w:rsidR="009820CB" w:rsidRPr="00AE4E8D">
        <w:rPr>
          <w:rFonts w:ascii="Times New Roman" w:hAnsi="Times New Roman"/>
          <w:sz w:val="16"/>
          <w:lang w:val="es-ES" w:eastAsia="es-AR"/>
        </w:rPr>
        <w:t>,</w:t>
      </w:r>
      <w:r w:rsidRPr="00AE4E8D">
        <w:rPr>
          <w:rFonts w:ascii="Times New Roman" w:hAnsi="Times New Roman"/>
          <w:sz w:val="16"/>
          <w:lang w:val="es-ES" w:eastAsia="es-AR"/>
        </w:rPr>
        <w:t>5985 = US$1,00.</w:t>
      </w:r>
      <w:r w:rsidRPr="00AE4E8D">
        <w:rPr>
          <w:rStyle w:val="Refdenotaalpie"/>
          <w:rFonts w:ascii="Times New Roman" w:hAnsi="Times New Roman"/>
          <w:sz w:val="16"/>
          <w:lang w:val="es-ES" w:eastAsia="es-AR"/>
        </w:rPr>
        <w:footnoteReference w:id="7"/>
      </w:r>
      <w:r w:rsidRPr="00AE4E8D">
        <w:rPr>
          <w:rFonts w:ascii="Times New Roman" w:hAnsi="Times New Roman"/>
          <w:sz w:val="16"/>
          <w:lang w:val="es-ES" w:eastAsia="es-AR"/>
        </w:rPr>
        <w:t xml:space="preserve"> </w:t>
      </w:r>
    </w:p>
    <w:p w14:paraId="6D682787" w14:textId="77777777" w:rsidR="00CB5660" w:rsidRPr="00AE4E8D" w:rsidRDefault="00CB5660" w:rsidP="00D204C2">
      <w:pPr>
        <w:pStyle w:val="BH3Izquierda"/>
        <w:rPr>
          <w:lang w:val="es-ES"/>
        </w:rPr>
      </w:pPr>
      <w:bookmarkStart w:id="184" w:name="_Toc421201346"/>
      <w:r w:rsidRPr="00AE4E8D">
        <w:rPr>
          <w:lang w:val="es-ES"/>
        </w:rPr>
        <w:t>Obligaciones Negociables</w:t>
      </w:r>
      <w:bookmarkEnd w:id="184"/>
    </w:p>
    <w:p w14:paraId="4FC14906" w14:textId="77777777" w:rsidR="00CB5660" w:rsidRPr="00AE4E8D" w:rsidRDefault="00CB5660" w:rsidP="00082A41">
      <w:pPr>
        <w:pStyle w:val="BHTexto"/>
        <w:rPr>
          <w:lang w:val="es-ES"/>
        </w:rPr>
      </w:pPr>
      <w:r w:rsidRPr="00AE4E8D">
        <w:rPr>
          <w:lang w:val="es-ES"/>
        </w:rPr>
        <w:t xml:space="preserve">Si bien durante los últimos años nuestra principal fuente de financiación fueron los depósitos (representando el </w:t>
      </w:r>
      <w:r w:rsidR="00DA2AF5" w:rsidRPr="00AE4E8D">
        <w:rPr>
          <w:lang w:val="es-ES"/>
        </w:rPr>
        <w:t>41,18</w:t>
      </w:r>
      <w:r w:rsidRPr="00AE4E8D">
        <w:rPr>
          <w:lang w:val="es-ES"/>
        </w:rPr>
        <w:t xml:space="preserve">% de nuestros pasivos totales al </w:t>
      </w:r>
      <w:r w:rsidR="00BE1D5E" w:rsidRPr="00AE4E8D">
        <w:rPr>
          <w:lang w:val="es-ES"/>
        </w:rPr>
        <w:t>3</w:t>
      </w:r>
      <w:r w:rsidR="00A9659E" w:rsidRPr="00AE4E8D">
        <w:rPr>
          <w:lang w:val="es-ES"/>
        </w:rPr>
        <w:t>0</w:t>
      </w:r>
      <w:r w:rsidR="00BE1D5E" w:rsidRPr="00AE4E8D">
        <w:rPr>
          <w:lang w:val="es-ES"/>
        </w:rPr>
        <w:t xml:space="preserve"> de </w:t>
      </w:r>
      <w:r w:rsidR="00A9659E" w:rsidRPr="00AE4E8D">
        <w:rPr>
          <w:lang w:val="es-ES"/>
        </w:rPr>
        <w:t>junio</w:t>
      </w:r>
      <w:r w:rsidRPr="00AE4E8D">
        <w:rPr>
          <w:lang w:val="es-ES"/>
        </w:rPr>
        <w:t xml:space="preserve"> de 201</w:t>
      </w:r>
      <w:r w:rsidR="00777C0D" w:rsidRPr="00AE4E8D">
        <w:rPr>
          <w:lang w:val="es-ES"/>
        </w:rPr>
        <w:t>7</w:t>
      </w:r>
      <w:r w:rsidRPr="00AE4E8D">
        <w:rPr>
          <w:lang w:val="es-ES"/>
        </w:rPr>
        <w:t xml:space="preserve">), hemos asimismo emitido Obligaciones Negociables en el mercado de capitales local e internacional. Véase </w:t>
      </w:r>
      <w:r w:rsidRPr="00AE4E8D">
        <w:rPr>
          <w:i/>
          <w:lang w:val="es-ES"/>
        </w:rPr>
        <w:t xml:space="preserve">“Reseña y Perspectiva Operativa Financiera—Obligaciones Negociables”. </w:t>
      </w:r>
    </w:p>
    <w:p w14:paraId="451B4312" w14:textId="77777777" w:rsidR="00CB5660" w:rsidRPr="00AE4E8D" w:rsidRDefault="00CB5660" w:rsidP="006659E6">
      <w:pPr>
        <w:pStyle w:val="BH3Izquierda"/>
        <w:rPr>
          <w:lang w:val="es-ES"/>
        </w:rPr>
      </w:pPr>
      <w:bookmarkStart w:id="185" w:name="_Toc421201347"/>
      <w:r w:rsidRPr="00AE4E8D">
        <w:rPr>
          <w:lang w:val="es-ES"/>
        </w:rPr>
        <w:t>Subsidiarias</w:t>
      </w:r>
      <w:bookmarkEnd w:id="185"/>
    </w:p>
    <w:p w14:paraId="41E8E5DA" w14:textId="77777777" w:rsidR="00CB5660" w:rsidRPr="00AE4E8D" w:rsidRDefault="00CB5660" w:rsidP="000E1220">
      <w:pPr>
        <w:pStyle w:val="BH4Cursiva"/>
      </w:pPr>
      <w:r w:rsidRPr="00AE4E8D">
        <w:t>BACS</w:t>
      </w:r>
    </w:p>
    <w:p w14:paraId="1EC6ADA5" w14:textId="77777777" w:rsidR="00CB5660" w:rsidRPr="00AE4E8D" w:rsidRDefault="00CB5660" w:rsidP="00136970">
      <w:pPr>
        <w:pStyle w:val="BHTexto"/>
        <w:rPr>
          <w:lang w:val="es-ES"/>
        </w:rPr>
      </w:pPr>
      <w:r w:rsidRPr="00AE4E8D">
        <w:rPr>
          <w:lang w:val="es-ES"/>
        </w:rPr>
        <w:t xml:space="preserve">Somos el principal accionista de BACS, un banco que provee principalmente servicios de banca de inversión, titulización de activos y gestión de activos. La siguiente tabla muestra los accionistas de BACS al </w:t>
      </w:r>
      <w:r w:rsidR="007E62A3" w:rsidRPr="00AE4E8D">
        <w:rPr>
          <w:lang w:val="es-ES"/>
        </w:rPr>
        <w:t>30</w:t>
      </w:r>
      <w:r w:rsidR="00BE1D5E" w:rsidRPr="00AE4E8D">
        <w:rPr>
          <w:lang w:val="es-ES"/>
        </w:rPr>
        <w:t xml:space="preserve"> de </w:t>
      </w:r>
      <w:r w:rsidR="007E62A3" w:rsidRPr="00AE4E8D">
        <w:rPr>
          <w:lang w:val="es-ES"/>
        </w:rPr>
        <w:t xml:space="preserve">junio </w:t>
      </w:r>
      <w:r w:rsidRPr="00AE4E8D">
        <w:rPr>
          <w:lang w:val="es-ES"/>
        </w:rPr>
        <w:t>de 201</w:t>
      </w:r>
      <w:r w:rsidR="00714919" w:rsidRPr="00AE4E8D">
        <w:rPr>
          <w:lang w:val="es-ES"/>
        </w:rPr>
        <w:t>7</w:t>
      </w:r>
      <w:r w:rsidRPr="00AE4E8D">
        <w:rPr>
          <w:lang w:val="es-ES"/>
        </w:rPr>
        <w:t>:</w:t>
      </w:r>
    </w:p>
    <w:tbl>
      <w:tblPr>
        <w:tblW w:w="5000" w:type="pct"/>
        <w:tblCellMar>
          <w:left w:w="115" w:type="dxa"/>
          <w:right w:w="115" w:type="dxa"/>
        </w:tblCellMar>
        <w:tblLook w:val="0000" w:firstRow="0" w:lastRow="0" w:firstColumn="0" w:lastColumn="0" w:noHBand="0" w:noVBand="0"/>
      </w:tblPr>
      <w:tblGrid>
        <w:gridCol w:w="4792"/>
        <w:gridCol w:w="1783"/>
        <w:gridCol w:w="1252"/>
        <w:gridCol w:w="908"/>
      </w:tblGrid>
      <w:tr w:rsidR="001E34BD" w:rsidRPr="00AE4E8D" w14:paraId="1F61D1D1" w14:textId="77777777" w:rsidTr="000400C8">
        <w:trPr>
          <w:trHeight w:val="441"/>
        </w:trPr>
        <w:tc>
          <w:tcPr>
            <w:tcW w:w="2649" w:type="pct"/>
            <w:vAlign w:val="bottom"/>
          </w:tcPr>
          <w:p w14:paraId="4700576D" w14:textId="77777777" w:rsidR="001E34BD" w:rsidRPr="00AE4E8D" w:rsidRDefault="001E34BD" w:rsidP="001E34BD">
            <w:pPr>
              <w:keepNext/>
              <w:keepLines/>
              <w:pBdr>
                <w:bottom w:val="single" w:sz="8" w:space="1" w:color="auto"/>
              </w:pBdr>
              <w:autoSpaceDE w:val="0"/>
              <w:autoSpaceDN w:val="0"/>
              <w:adjustRightInd w:val="0"/>
              <w:rPr>
                <w:rFonts w:ascii="Times New Roman" w:hAnsi="Times New Roman"/>
                <w:b/>
                <w:lang w:val="es-ES"/>
              </w:rPr>
            </w:pPr>
            <w:r w:rsidRPr="00AE4E8D">
              <w:rPr>
                <w:rFonts w:ascii="Times New Roman" w:hAnsi="Times New Roman"/>
                <w:b/>
                <w:lang w:val="es-ES"/>
              </w:rPr>
              <w:t>Accionista</w:t>
            </w:r>
          </w:p>
        </w:tc>
        <w:tc>
          <w:tcPr>
            <w:tcW w:w="1052" w:type="pct"/>
            <w:vAlign w:val="bottom"/>
          </w:tcPr>
          <w:p w14:paraId="7326CB2F" w14:textId="77777777" w:rsidR="001E34BD" w:rsidRPr="00AE4E8D" w:rsidRDefault="001E34BD" w:rsidP="001E34BD">
            <w:pPr>
              <w:keepNext/>
              <w:keepLines/>
              <w:pBdr>
                <w:bottom w:val="single" w:sz="8" w:space="1" w:color="auto"/>
              </w:pBdr>
              <w:autoSpaceDE w:val="0"/>
              <w:autoSpaceDN w:val="0"/>
              <w:adjustRightInd w:val="0"/>
              <w:jc w:val="center"/>
              <w:rPr>
                <w:rFonts w:ascii="Times New Roman" w:hAnsi="Times New Roman"/>
                <w:b/>
                <w:lang w:val="es-ES"/>
              </w:rPr>
            </w:pPr>
            <w:r w:rsidRPr="00AE4E8D">
              <w:rPr>
                <w:rFonts w:ascii="Times New Roman" w:hAnsi="Times New Roman"/>
                <w:b/>
                <w:lang w:val="es-ES"/>
              </w:rPr>
              <w:t>Acciones</w:t>
            </w:r>
          </w:p>
        </w:tc>
        <w:tc>
          <w:tcPr>
            <w:tcW w:w="748" w:type="pct"/>
            <w:vAlign w:val="bottom"/>
          </w:tcPr>
          <w:p w14:paraId="324DBB11" w14:textId="77777777" w:rsidR="001E34BD" w:rsidRPr="00AE4E8D" w:rsidRDefault="001E34BD" w:rsidP="001E34BD">
            <w:pPr>
              <w:keepNext/>
              <w:keepLines/>
              <w:pBdr>
                <w:bottom w:val="single" w:sz="8" w:space="1" w:color="auto"/>
              </w:pBdr>
              <w:autoSpaceDE w:val="0"/>
              <w:autoSpaceDN w:val="0"/>
              <w:adjustRightInd w:val="0"/>
              <w:jc w:val="center"/>
              <w:rPr>
                <w:rFonts w:ascii="Times New Roman" w:hAnsi="Times New Roman"/>
                <w:b/>
                <w:lang w:val="es-ES"/>
              </w:rPr>
            </w:pPr>
            <w:r w:rsidRPr="00AE4E8D">
              <w:rPr>
                <w:rFonts w:ascii="Times New Roman" w:hAnsi="Times New Roman"/>
                <w:b/>
                <w:lang w:val="es-ES"/>
              </w:rPr>
              <w:t>Clase</w:t>
            </w:r>
          </w:p>
        </w:tc>
        <w:tc>
          <w:tcPr>
            <w:tcW w:w="551" w:type="pct"/>
            <w:vAlign w:val="bottom"/>
          </w:tcPr>
          <w:p w14:paraId="6B0E51B7" w14:textId="77777777" w:rsidR="001E34BD" w:rsidRPr="00AE4E8D" w:rsidRDefault="001E34BD" w:rsidP="006F3906">
            <w:pPr>
              <w:keepNext/>
              <w:keepLines/>
              <w:pBdr>
                <w:bottom w:val="single" w:sz="8" w:space="1" w:color="auto"/>
              </w:pBdr>
              <w:autoSpaceDE w:val="0"/>
              <w:autoSpaceDN w:val="0"/>
              <w:adjustRightInd w:val="0"/>
              <w:ind w:hanging="164"/>
              <w:jc w:val="center"/>
              <w:rPr>
                <w:rFonts w:ascii="Times New Roman" w:hAnsi="Times New Roman"/>
                <w:b/>
                <w:lang w:val="es-ES"/>
              </w:rPr>
            </w:pPr>
            <w:r w:rsidRPr="00AE4E8D">
              <w:rPr>
                <w:rFonts w:ascii="Times New Roman" w:hAnsi="Times New Roman"/>
                <w:b/>
                <w:lang w:val="es-ES"/>
              </w:rPr>
              <w:t>%</w:t>
            </w:r>
          </w:p>
        </w:tc>
      </w:tr>
      <w:tr w:rsidR="001E34BD" w:rsidRPr="00AE4E8D" w14:paraId="06113D95" w14:textId="77777777" w:rsidTr="000400C8">
        <w:tc>
          <w:tcPr>
            <w:tcW w:w="2649" w:type="pct"/>
          </w:tcPr>
          <w:p w14:paraId="06BB0DFB" w14:textId="77777777" w:rsidR="001E34BD" w:rsidRPr="00AE4E8D" w:rsidRDefault="001E34BD" w:rsidP="001E34BD">
            <w:pPr>
              <w:keepNext/>
              <w:keepLines/>
              <w:tabs>
                <w:tab w:val="right" w:leader="dot" w:pos="3477"/>
              </w:tabs>
              <w:autoSpaceDE w:val="0"/>
              <w:autoSpaceDN w:val="0"/>
              <w:adjustRightInd w:val="0"/>
              <w:ind w:left="144" w:right="144" w:hanging="144"/>
              <w:rPr>
                <w:rFonts w:ascii="Times New Roman" w:hAnsi="Times New Roman"/>
                <w:lang w:val="es-ES"/>
              </w:rPr>
            </w:pPr>
            <w:r w:rsidRPr="00AE4E8D">
              <w:rPr>
                <w:rFonts w:ascii="Times New Roman" w:hAnsi="Times New Roman"/>
                <w:lang w:val="es-ES"/>
              </w:rPr>
              <w:t xml:space="preserve">Banco Hipotecario S.A. </w:t>
            </w:r>
            <w:r w:rsidRPr="00AE4E8D">
              <w:rPr>
                <w:rFonts w:ascii="Times New Roman" w:hAnsi="Times New Roman"/>
                <w:lang w:val="es-ES"/>
              </w:rPr>
              <w:tab/>
            </w:r>
          </w:p>
        </w:tc>
        <w:tc>
          <w:tcPr>
            <w:tcW w:w="1052" w:type="pct"/>
          </w:tcPr>
          <w:p w14:paraId="5113FB7F" w14:textId="77777777" w:rsidR="001E34BD" w:rsidRPr="00AE4E8D" w:rsidRDefault="001E34BD" w:rsidP="00241071">
            <w:pPr>
              <w:keepNext/>
              <w:keepLines/>
              <w:tabs>
                <w:tab w:val="decimal" w:pos="973"/>
              </w:tabs>
              <w:autoSpaceDE w:val="0"/>
              <w:autoSpaceDN w:val="0"/>
              <w:adjustRightInd w:val="0"/>
              <w:jc w:val="right"/>
              <w:rPr>
                <w:rFonts w:ascii="Times New Roman" w:hAnsi="Times New Roman"/>
                <w:lang w:val="es-ES"/>
              </w:rPr>
            </w:pPr>
            <w:r w:rsidRPr="00AE4E8D">
              <w:rPr>
                <w:rFonts w:ascii="Times New Roman" w:hAnsi="Times New Roman"/>
                <w:lang w:val="es-ES"/>
              </w:rPr>
              <w:t>54.687.500</w:t>
            </w:r>
          </w:p>
        </w:tc>
        <w:tc>
          <w:tcPr>
            <w:tcW w:w="748" w:type="pct"/>
          </w:tcPr>
          <w:p w14:paraId="06A42283" w14:textId="77777777" w:rsidR="001E34BD" w:rsidRPr="00AE4E8D" w:rsidRDefault="001E34BD" w:rsidP="00241071">
            <w:pPr>
              <w:keepNext/>
              <w:keepLines/>
              <w:tabs>
                <w:tab w:val="decimal" w:pos="423"/>
              </w:tabs>
              <w:autoSpaceDE w:val="0"/>
              <w:autoSpaceDN w:val="0"/>
              <w:adjustRightInd w:val="0"/>
              <w:jc w:val="right"/>
              <w:rPr>
                <w:rFonts w:ascii="Times New Roman" w:hAnsi="Times New Roman"/>
                <w:lang w:val="es-ES"/>
              </w:rPr>
            </w:pPr>
            <w:r w:rsidRPr="00AE4E8D">
              <w:rPr>
                <w:rFonts w:ascii="Times New Roman" w:hAnsi="Times New Roman"/>
                <w:lang w:val="es-ES"/>
              </w:rPr>
              <w:t>54.687.500</w:t>
            </w:r>
          </w:p>
        </w:tc>
        <w:tc>
          <w:tcPr>
            <w:tcW w:w="551" w:type="pct"/>
          </w:tcPr>
          <w:p w14:paraId="61CCBA3A" w14:textId="77777777" w:rsidR="001E34BD" w:rsidRPr="00AE4E8D" w:rsidRDefault="001E34BD" w:rsidP="006F3906">
            <w:pPr>
              <w:keepNext/>
              <w:keepLines/>
              <w:tabs>
                <w:tab w:val="decimal" w:pos="299"/>
              </w:tabs>
              <w:autoSpaceDE w:val="0"/>
              <w:autoSpaceDN w:val="0"/>
              <w:adjustRightInd w:val="0"/>
              <w:ind w:hanging="164"/>
              <w:jc w:val="right"/>
              <w:rPr>
                <w:rFonts w:ascii="Times New Roman" w:hAnsi="Times New Roman"/>
                <w:lang w:val="es-ES"/>
              </w:rPr>
            </w:pPr>
            <w:r w:rsidRPr="00AE4E8D">
              <w:rPr>
                <w:rFonts w:ascii="Times New Roman" w:hAnsi="Times New Roman"/>
                <w:lang w:val="es-ES"/>
              </w:rPr>
              <w:t>62,277</w:t>
            </w:r>
          </w:p>
        </w:tc>
      </w:tr>
      <w:tr w:rsidR="001E34BD" w:rsidRPr="00AE4E8D" w14:paraId="29F6C7EC" w14:textId="77777777" w:rsidTr="000400C8">
        <w:tc>
          <w:tcPr>
            <w:tcW w:w="2649" w:type="pct"/>
          </w:tcPr>
          <w:p w14:paraId="5E742FEE" w14:textId="77777777" w:rsidR="001E34BD" w:rsidRPr="00AE4E8D" w:rsidRDefault="001E34BD" w:rsidP="001E34BD">
            <w:pPr>
              <w:keepNext/>
              <w:keepLines/>
              <w:tabs>
                <w:tab w:val="right" w:leader="dot" w:pos="3477"/>
              </w:tabs>
              <w:autoSpaceDE w:val="0"/>
              <w:autoSpaceDN w:val="0"/>
              <w:adjustRightInd w:val="0"/>
              <w:ind w:right="144"/>
              <w:rPr>
                <w:rFonts w:ascii="Times New Roman" w:hAnsi="Times New Roman"/>
                <w:lang w:val="es-ES"/>
              </w:rPr>
            </w:pPr>
            <w:r w:rsidRPr="00AE4E8D">
              <w:rPr>
                <w:rFonts w:ascii="Times New Roman" w:hAnsi="Times New Roman"/>
                <w:lang w:val="es-ES"/>
              </w:rPr>
              <w:t xml:space="preserve">IRSA Inversiones y Representaciones Sociedad Anónima </w:t>
            </w:r>
            <w:r w:rsidRPr="00AE4E8D">
              <w:rPr>
                <w:rFonts w:ascii="Times New Roman" w:hAnsi="Times New Roman"/>
                <w:lang w:val="es-ES"/>
              </w:rPr>
              <w:tab/>
            </w:r>
          </w:p>
        </w:tc>
        <w:tc>
          <w:tcPr>
            <w:tcW w:w="1052" w:type="pct"/>
            <w:vAlign w:val="bottom"/>
          </w:tcPr>
          <w:p w14:paraId="2A5F9D25" w14:textId="77777777" w:rsidR="001E34BD" w:rsidRPr="00AE4E8D" w:rsidRDefault="001E34BD" w:rsidP="00241071">
            <w:pPr>
              <w:keepNext/>
              <w:keepLines/>
              <w:tabs>
                <w:tab w:val="decimal" w:pos="973"/>
              </w:tabs>
              <w:autoSpaceDE w:val="0"/>
              <w:autoSpaceDN w:val="0"/>
              <w:adjustRightInd w:val="0"/>
              <w:jc w:val="right"/>
              <w:rPr>
                <w:rFonts w:ascii="Times New Roman" w:hAnsi="Times New Roman"/>
                <w:lang w:val="es-ES"/>
              </w:rPr>
            </w:pPr>
            <w:r w:rsidRPr="00AE4E8D">
              <w:rPr>
                <w:rFonts w:ascii="Times New Roman" w:hAnsi="Times New Roman"/>
                <w:lang w:val="es-ES"/>
              </w:rPr>
              <w:t>29.297.626</w:t>
            </w:r>
          </w:p>
        </w:tc>
        <w:tc>
          <w:tcPr>
            <w:tcW w:w="748" w:type="pct"/>
            <w:vAlign w:val="bottom"/>
          </w:tcPr>
          <w:p w14:paraId="311C6C8F" w14:textId="77777777" w:rsidR="001E34BD" w:rsidRPr="00AE4E8D" w:rsidRDefault="001E34BD" w:rsidP="00241071">
            <w:pPr>
              <w:keepNext/>
              <w:keepLines/>
              <w:tabs>
                <w:tab w:val="decimal" w:pos="423"/>
              </w:tabs>
              <w:autoSpaceDE w:val="0"/>
              <w:autoSpaceDN w:val="0"/>
              <w:adjustRightInd w:val="0"/>
              <w:jc w:val="right"/>
              <w:rPr>
                <w:rFonts w:ascii="Times New Roman" w:hAnsi="Times New Roman"/>
                <w:lang w:val="es-ES"/>
              </w:rPr>
            </w:pPr>
            <w:r w:rsidRPr="00AE4E8D">
              <w:rPr>
                <w:rFonts w:ascii="Times New Roman" w:hAnsi="Times New Roman"/>
                <w:lang w:val="es-ES"/>
              </w:rPr>
              <w:t>29.297.626</w:t>
            </w:r>
          </w:p>
        </w:tc>
        <w:tc>
          <w:tcPr>
            <w:tcW w:w="551" w:type="pct"/>
            <w:vAlign w:val="bottom"/>
          </w:tcPr>
          <w:p w14:paraId="2A7D74CE" w14:textId="77777777" w:rsidR="001E34BD" w:rsidRPr="00AE4E8D" w:rsidRDefault="001E34BD" w:rsidP="006F3906">
            <w:pPr>
              <w:keepNext/>
              <w:keepLines/>
              <w:tabs>
                <w:tab w:val="decimal" w:pos="299"/>
              </w:tabs>
              <w:autoSpaceDE w:val="0"/>
              <w:autoSpaceDN w:val="0"/>
              <w:adjustRightInd w:val="0"/>
              <w:ind w:hanging="164"/>
              <w:jc w:val="right"/>
              <w:rPr>
                <w:rFonts w:ascii="Times New Roman" w:hAnsi="Times New Roman"/>
                <w:lang w:val="es-ES"/>
              </w:rPr>
            </w:pPr>
            <w:r w:rsidRPr="00AE4E8D">
              <w:rPr>
                <w:rFonts w:ascii="Times New Roman" w:hAnsi="Times New Roman"/>
                <w:lang w:val="es-ES"/>
              </w:rPr>
              <w:t>33,364</w:t>
            </w:r>
          </w:p>
        </w:tc>
      </w:tr>
      <w:tr w:rsidR="001E34BD" w:rsidRPr="00AE4E8D" w14:paraId="14E4E83C" w14:textId="77777777" w:rsidTr="000400C8">
        <w:tc>
          <w:tcPr>
            <w:tcW w:w="2649" w:type="pct"/>
          </w:tcPr>
          <w:p w14:paraId="7B606E57" w14:textId="77777777" w:rsidR="001E34BD" w:rsidRPr="00AE4E8D" w:rsidRDefault="001E34BD" w:rsidP="001E34BD">
            <w:pPr>
              <w:keepNext/>
              <w:keepLines/>
              <w:tabs>
                <w:tab w:val="right" w:leader="dot" w:pos="3477"/>
              </w:tabs>
              <w:autoSpaceDE w:val="0"/>
              <w:autoSpaceDN w:val="0"/>
              <w:adjustRightInd w:val="0"/>
              <w:ind w:left="144" w:right="144" w:hanging="144"/>
              <w:rPr>
                <w:rFonts w:ascii="Times New Roman" w:hAnsi="Times New Roman"/>
                <w:lang w:val="es-ES"/>
              </w:rPr>
            </w:pPr>
            <w:r w:rsidRPr="00AE4E8D">
              <w:rPr>
                <w:rFonts w:ascii="Times New Roman" w:hAnsi="Times New Roman"/>
                <w:lang w:val="es-ES"/>
              </w:rPr>
              <w:t>Tyrus S.A.</w:t>
            </w:r>
            <w:r w:rsidRPr="00AE4E8D">
              <w:rPr>
                <w:rFonts w:ascii="Times New Roman" w:hAnsi="Times New Roman"/>
                <w:lang w:val="es-ES"/>
              </w:rPr>
              <w:tab/>
            </w:r>
          </w:p>
        </w:tc>
        <w:tc>
          <w:tcPr>
            <w:tcW w:w="1052" w:type="pct"/>
          </w:tcPr>
          <w:p w14:paraId="3D75F5FE" w14:textId="77777777" w:rsidR="001E34BD" w:rsidRPr="00AE4E8D" w:rsidRDefault="001E34BD" w:rsidP="00241071">
            <w:pPr>
              <w:keepNext/>
              <w:keepLines/>
              <w:pBdr>
                <w:bottom w:val="single" w:sz="8" w:space="1" w:color="auto"/>
              </w:pBdr>
              <w:tabs>
                <w:tab w:val="decimal" w:pos="973"/>
              </w:tabs>
              <w:autoSpaceDE w:val="0"/>
              <w:autoSpaceDN w:val="0"/>
              <w:adjustRightInd w:val="0"/>
              <w:jc w:val="right"/>
              <w:rPr>
                <w:rFonts w:ascii="Times New Roman" w:hAnsi="Times New Roman"/>
                <w:lang w:val="es-ES"/>
              </w:rPr>
            </w:pPr>
            <w:r w:rsidRPr="00AE4E8D">
              <w:rPr>
                <w:rFonts w:ascii="Times New Roman" w:hAnsi="Times New Roman"/>
                <w:lang w:val="es-ES"/>
              </w:rPr>
              <w:t>3.828.125</w:t>
            </w:r>
          </w:p>
        </w:tc>
        <w:tc>
          <w:tcPr>
            <w:tcW w:w="748" w:type="pct"/>
          </w:tcPr>
          <w:p w14:paraId="716AEACF" w14:textId="77777777" w:rsidR="001E34BD" w:rsidRPr="00AE4E8D" w:rsidRDefault="001E34BD" w:rsidP="00241071">
            <w:pPr>
              <w:keepNext/>
              <w:keepLines/>
              <w:pBdr>
                <w:bottom w:val="single" w:sz="8" w:space="1" w:color="auto"/>
              </w:pBdr>
              <w:tabs>
                <w:tab w:val="decimal" w:pos="423"/>
              </w:tabs>
              <w:autoSpaceDE w:val="0"/>
              <w:autoSpaceDN w:val="0"/>
              <w:adjustRightInd w:val="0"/>
              <w:jc w:val="right"/>
              <w:rPr>
                <w:rFonts w:ascii="Times New Roman" w:hAnsi="Times New Roman"/>
                <w:lang w:val="es-ES"/>
              </w:rPr>
            </w:pPr>
            <w:r w:rsidRPr="00AE4E8D">
              <w:rPr>
                <w:rFonts w:ascii="Times New Roman" w:hAnsi="Times New Roman"/>
                <w:lang w:val="es-ES"/>
              </w:rPr>
              <w:t>3.828.125</w:t>
            </w:r>
          </w:p>
        </w:tc>
        <w:tc>
          <w:tcPr>
            <w:tcW w:w="551" w:type="pct"/>
          </w:tcPr>
          <w:p w14:paraId="2DBF09BA" w14:textId="77777777" w:rsidR="001E34BD" w:rsidRPr="00AE4E8D" w:rsidRDefault="001E34BD" w:rsidP="006F3906">
            <w:pPr>
              <w:keepNext/>
              <w:keepLines/>
              <w:pBdr>
                <w:bottom w:val="single" w:sz="8" w:space="1" w:color="auto"/>
              </w:pBdr>
              <w:tabs>
                <w:tab w:val="decimal" w:pos="299"/>
              </w:tabs>
              <w:autoSpaceDE w:val="0"/>
              <w:autoSpaceDN w:val="0"/>
              <w:adjustRightInd w:val="0"/>
              <w:ind w:hanging="164"/>
              <w:jc w:val="right"/>
              <w:rPr>
                <w:rFonts w:ascii="Times New Roman" w:hAnsi="Times New Roman"/>
                <w:lang w:val="es-ES"/>
              </w:rPr>
            </w:pPr>
            <w:r w:rsidRPr="00AE4E8D">
              <w:rPr>
                <w:rFonts w:ascii="Times New Roman" w:hAnsi="Times New Roman"/>
                <w:lang w:val="es-ES"/>
              </w:rPr>
              <w:t>4,359</w:t>
            </w:r>
          </w:p>
        </w:tc>
      </w:tr>
      <w:tr w:rsidR="001E34BD" w:rsidRPr="00AE4E8D" w14:paraId="3E513BFB" w14:textId="77777777" w:rsidTr="000400C8">
        <w:tc>
          <w:tcPr>
            <w:tcW w:w="2649" w:type="pct"/>
          </w:tcPr>
          <w:p w14:paraId="2CADFA19" w14:textId="77777777" w:rsidR="001E34BD" w:rsidRPr="00AE4E8D" w:rsidRDefault="001E34BD" w:rsidP="001E34BD">
            <w:pPr>
              <w:keepNext/>
              <w:keepLines/>
              <w:tabs>
                <w:tab w:val="right" w:leader="dot" w:pos="3477"/>
              </w:tabs>
              <w:autoSpaceDE w:val="0"/>
              <w:autoSpaceDN w:val="0"/>
              <w:adjustRightInd w:val="0"/>
              <w:ind w:right="144"/>
              <w:rPr>
                <w:rFonts w:ascii="Times New Roman" w:hAnsi="Times New Roman"/>
                <w:b/>
                <w:lang w:val="es-ES"/>
              </w:rPr>
            </w:pPr>
            <w:r w:rsidRPr="00AE4E8D">
              <w:rPr>
                <w:rFonts w:ascii="Times New Roman" w:hAnsi="Times New Roman"/>
                <w:b/>
                <w:lang w:val="es-ES"/>
              </w:rPr>
              <w:t xml:space="preserve">Total </w:t>
            </w:r>
            <w:r w:rsidRPr="00AE4E8D">
              <w:rPr>
                <w:rFonts w:ascii="Times New Roman" w:hAnsi="Times New Roman"/>
                <w:b/>
                <w:lang w:val="es-ES"/>
              </w:rPr>
              <w:tab/>
            </w:r>
          </w:p>
        </w:tc>
        <w:tc>
          <w:tcPr>
            <w:tcW w:w="1052" w:type="pct"/>
          </w:tcPr>
          <w:p w14:paraId="296062AE" w14:textId="77777777" w:rsidR="001E34BD" w:rsidRPr="00AE4E8D" w:rsidRDefault="001E34BD" w:rsidP="00241071">
            <w:pPr>
              <w:keepNext/>
              <w:keepLines/>
              <w:tabs>
                <w:tab w:val="decimal" w:pos="973"/>
              </w:tabs>
              <w:autoSpaceDE w:val="0"/>
              <w:autoSpaceDN w:val="0"/>
              <w:adjustRightInd w:val="0"/>
              <w:jc w:val="right"/>
              <w:rPr>
                <w:rFonts w:ascii="Times New Roman" w:hAnsi="Times New Roman"/>
                <w:lang w:val="es-ES"/>
              </w:rPr>
            </w:pPr>
            <w:r w:rsidRPr="00AE4E8D">
              <w:rPr>
                <w:rFonts w:ascii="Times New Roman" w:hAnsi="Times New Roman"/>
                <w:lang w:val="es-ES"/>
              </w:rPr>
              <w:t>87.813.251</w:t>
            </w:r>
          </w:p>
        </w:tc>
        <w:tc>
          <w:tcPr>
            <w:tcW w:w="748" w:type="pct"/>
          </w:tcPr>
          <w:p w14:paraId="71B67FA1" w14:textId="77777777" w:rsidR="001E34BD" w:rsidRPr="00AE4E8D" w:rsidRDefault="001E34BD" w:rsidP="00241071">
            <w:pPr>
              <w:keepNext/>
              <w:keepLines/>
              <w:tabs>
                <w:tab w:val="decimal" w:pos="423"/>
              </w:tabs>
              <w:autoSpaceDE w:val="0"/>
              <w:autoSpaceDN w:val="0"/>
              <w:adjustRightInd w:val="0"/>
              <w:jc w:val="right"/>
              <w:rPr>
                <w:rFonts w:ascii="Times New Roman" w:hAnsi="Times New Roman"/>
                <w:lang w:val="es-ES"/>
              </w:rPr>
            </w:pPr>
            <w:r w:rsidRPr="00AE4E8D">
              <w:rPr>
                <w:rFonts w:ascii="Times New Roman" w:hAnsi="Times New Roman"/>
                <w:lang w:val="es-ES"/>
              </w:rPr>
              <w:t>87.813.251</w:t>
            </w:r>
          </w:p>
        </w:tc>
        <w:tc>
          <w:tcPr>
            <w:tcW w:w="551" w:type="pct"/>
          </w:tcPr>
          <w:p w14:paraId="014B3C34" w14:textId="77777777" w:rsidR="001E34BD" w:rsidRPr="00AE4E8D" w:rsidRDefault="001E34BD" w:rsidP="006F3906">
            <w:pPr>
              <w:keepNext/>
              <w:keepLines/>
              <w:tabs>
                <w:tab w:val="decimal" w:pos="299"/>
              </w:tabs>
              <w:autoSpaceDE w:val="0"/>
              <w:autoSpaceDN w:val="0"/>
              <w:adjustRightInd w:val="0"/>
              <w:ind w:hanging="164"/>
              <w:jc w:val="right"/>
              <w:rPr>
                <w:rFonts w:ascii="Times New Roman" w:hAnsi="Times New Roman"/>
                <w:lang w:val="es-ES"/>
              </w:rPr>
            </w:pPr>
            <w:r w:rsidRPr="00AE4E8D">
              <w:rPr>
                <w:rFonts w:ascii="Times New Roman" w:hAnsi="Times New Roman"/>
                <w:lang w:val="es-ES"/>
              </w:rPr>
              <w:t>100,0</w:t>
            </w:r>
          </w:p>
        </w:tc>
      </w:tr>
    </w:tbl>
    <w:p w14:paraId="4D76E2A7" w14:textId="77777777" w:rsidR="00CB5660" w:rsidRPr="00AE4E8D" w:rsidRDefault="00CB5660" w:rsidP="00082A41">
      <w:pPr>
        <w:pStyle w:val="BHTexto"/>
        <w:rPr>
          <w:lang w:val="es-ES"/>
        </w:rPr>
      </w:pPr>
      <w:r w:rsidRPr="00AE4E8D">
        <w:rPr>
          <w:lang w:val="es-ES"/>
        </w:rPr>
        <w:t xml:space="preserve">BACS realiza sus actividades separadamente de las del Banco porque enfoca su negocio en préstamos corporativos en el segmento de banca de inversión, mientras que la mayoría de nuestros clientes se encuentran en el sector minorista. Al </w:t>
      </w:r>
      <w:r w:rsidR="00BE1D5E" w:rsidRPr="00AE4E8D">
        <w:rPr>
          <w:lang w:val="es-ES"/>
        </w:rPr>
        <w:t>3</w:t>
      </w:r>
      <w:r w:rsidR="00D66A2A" w:rsidRPr="00AE4E8D">
        <w:rPr>
          <w:lang w:val="es-ES"/>
        </w:rPr>
        <w:t>0</w:t>
      </w:r>
      <w:r w:rsidR="00BE1D5E" w:rsidRPr="00AE4E8D">
        <w:rPr>
          <w:lang w:val="es-ES"/>
        </w:rPr>
        <w:t xml:space="preserve"> de </w:t>
      </w:r>
      <w:r w:rsidR="00D66A2A" w:rsidRPr="00AE4E8D">
        <w:rPr>
          <w:lang w:val="es-ES"/>
        </w:rPr>
        <w:t>junio</w:t>
      </w:r>
      <w:r w:rsidRPr="00AE4E8D">
        <w:rPr>
          <w:lang w:val="es-ES"/>
        </w:rPr>
        <w:t xml:space="preserve"> de 201</w:t>
      </w:r>
      <w:r w:rsidR="00777C0D" w:rsidRPr="00AE4E8D">
        <w:rPr>
          <w:lang w:val="es-ES"/>
        </w:rPr>
        <w:t>7</w:t>
      </w:r>
      <w:r w:rsidRPr="00AE4E8D">
        <w:rPr>
          <w:lang w:val="es-ES"/>
        </w:rPr>
        <w:t xml:space="preserve">, los activos totales y el resultado neto de BACS representaban un </w:t>
      </w:r>
      <w:r w:rsidR="00D66A2A" w:rsidRPr="00AE4E8D">
        <w:rPr>
          <w:lang w:val="es-ES"/>
        </w:rPr>
        <w:t>4,2</w:t>
      </w:r>
      <w:r w:rsidRPr="00AE4E8D">
        <w:rPr>
          <w:lang w:val="es-ES"/>
        </w:rPr>
        <w:t xml:space="preserve">% y </w:t>
      </w:r>
      <w:r w:rsidR="00D66A2A" w:rsidRPr="00AE4E8D">
        <w:rPr>
          <w:lang w:val="es-ES"/>
        </w:rPr>
        <w:t>5,2</w:t>
      </w:r>
      <w:r w:rsidRPr="00AE4E8D">
        <w:rPr>
          <w:lang w:val="es-ES"/>
        </w:rPr>
        <w:t>% de nuestros activos consolidados y de nuestros resultados netos, respectivamente.</w:t>
      </w:r>
      <w:r w:rsidR="007E62A3" w:rsidRPr="00AE4E8D">
        <w:rPr>
          <w:lang w:val="es-ES"/>
        </w:rPr>
        <w:t xml:space="preserve"> </w:t>
      </w:r>
    </w:p>
    <w:p w14:paraId="64E1F722" w14:textId="77777777" w:rsidR="00CB5660" w:rsidRPr="00AE4E8D" w:rsidRDefault="00CB5660" w:rsidP="00082A41">
      <w:pPr>
        <w:pStyle w:val="BHTexto"/>
        <w:rPr>
          <w:lang w:val="es-ES"/>
        </w:rPr>
      </w:pPr>
      <w:r w:rsidRPr="00AE4E8D">
        <w:rPr>
          <w:lang w:val="es-ES"/>
        </w:rPr>
        <w:t>Adicionalmente, BACS controla Toronto Trust, un fondo común de inversión con más de Ps.</w:t>
      </w:r>
      <w:r w:rsidR="00526A4A" w:rsidRPr="00AE4E8D">
        <w:rPr>
          <w:lang w:val="es-ES"/>
        </w:rPr>
        <w:t>6.162</w:t>
      </w:r>
      <w:proofErr w:type="gramStart"/>
      <w:r w:rsidR="00526A4A" w:rsidRPr="00AE4E8D">
        <w:rPr>
          <w:lang w:val="es-ES"/>
        </w:rPr>
        <w:t>,5</w:t>
      </w:r>
      <w:proofErr w:type="gramEnd"/>
      <w:r w:rsidRPr="00AE4E8D">
        <w:rPr>
          <w:lang w:val="es-ES"/>
        </w:rPr>
        <w:t xml:space="preserve"> millones en activos bajo custodia y una cuota de mercado del 1,</w:t>
      </w:r>
      <w:r w:rsidR="00D66A2A" w:rsidRPr="00AE4E8D">
        <w:rPr>
          <w:lang w:val="es-ES"/>
        </w:rPr>
        <w:t>2</w:t>
      </w:r>
      <w:r w:rsidR="00DA2AF5" w:rsidRPr="00AE4E8D">
        <w:rPr>
          <w:lang w:val="es-ES"/>
        </w:rPr>
        <w:t>8</w:t>
      </w:r>
      <w:r w:rsidRPr="00AE4E8D">
        <w:rPr>
          <w:lang w:val="es-ES"/>
        </w:rPr>
        <w:t xml:space="preserve">% al </w:t>
      </w:r>
      <w:r w:rsidR="00BE1D5E" w:rsidRPr="00AE4E8D">
        <w:rPr>
          <w:lang w:val="es-ES"/>
        </w:rPr>
        <w:t>3</w:t>
      </w:r>
      <w:r w:rsidR="00D66A2A" w:rsidRPr="00AE4E8D">
        <w:rPr>
          <w:lang w:val="es-ES"/>
        </w:rPr>
        <w:t>0</w:t>
      </w:r>
      <w:r w:rsidR="00BE1D5E" w:rsidRPr="00AE4E8D">
        <w:rPr>
          <w:lang w:val="es-ES"/>
        </w:rPr>
        <w:t xml:space="preserve"> de </w:t>
      </w:r>
      <w:r w:rsidR="00D66A2A" w:rsidRPr="00AE4E8D">
        <w:rPr>
          <w:lang w:val="es-ES"/>
        </w:rPr>
        <w:t>junio</w:t>
      </w:r>
      <w:r w:rsidRPr="00AE4E8D">
        <w:rPr>
          <w:lang w:val="es-ES"/>
        </w:rPr>
        <w:t xml:space="preserve"> de 201</w:t>
      </w:r>
      <w:r w:rsidR="00777C0D" w:rsidRPr="00AE4E8D">
        <w:rPr>
          <w:lang w:val="es-ES"/>
        </w:rPr>
        <w:t>7</w:t>
      </w:r>
      <w:r w:rsidRPr="00AE4E8D">
        <w:rPr>
          <w:rStyle w:val="Refdenotaalpie"/>
          <w:lang w:val="es-ES"/>
        </w:rPr>
        <w:footnoteReference w:id="8"/>
      </w:r>
      <w:r w:rsidRPr="00AE4E8D">
        <w:rPr>
          <w:lang w:val="es-ES"/>
        </w:rPr>
        <w:t>.</w:t>
      </w:r>
      <w:r w:rsidR="007E62A3" w:rsidRPr="00AE4E8D">
        <w:rPr>
          <w:lang w:val="es-ES"/>
        </w:rPr>
        <w:t xml:space="preserve"> </w:t>
      </w:r>
    </w:p>
    <w:p w14:paraId="4BD2C4B8" w14:textId="77777777" w:rsidR="00CB5660" w:rsidRPr="00AE4E8D" w:rsidRDefault="00CB5660" w:rsidP="000E1220">
      <w:pPr>
        <w:pStyle w:val="BH4Cursiva"/>
      </w:pPr>
      <w:r w:rsidRPr="00AE4E8D">
        <w:t>Compañías de Seguros: BHN Vida S.A. y BHN Seguros Generales S.A.</w:t>
      </w:r>
    </w:p>
    <w:p w14:paraId="6FD199DD" w14:textId="77777777" w:rsidR="00CB5660" w:rsidRPr="00AE4E8D" w:rsidRDefault="00CB5660" w:rsidP="00A76714">
      <w:pPr>
        <w:pStyle w:val="BHTexto"/>
        <w:rPr>
          <w:lang w:val="es-ES"/>
        </w:rPr>
      </w:pPr>
      <w:r w:rsidRPr="00AE4E8D">
        <w:rPr>
          <w:lang w:val="es-ES"/>
        </w:rPr>
        <w:t xml:space="preserve">Ofrecemos seguros para los productos financieros originados por nosotros (préstamos, cuentas corrientes y tarjetas de crédito) zona través de nuestras subsidiarias BHN Vida (seguros de vida) y BHN Seguros Generales (seguros para propietarios). Como resultado, la contribución de nuestra actividad de seguros está vinculada al crecimiento en la originación de estos productos financieros. En todos los casos asumimos el riesgo asegurado, cobramos las primas y pagamos los siniestros. Ofrecemos estos tipos de seguros únicamente a los clientes actuales o a clientes cuyas viviendas hemos financiado. </w:t>
      </w:r>
    </w:p>
    <w:p w14:paraId="57089703" w14:textId="77777777" w:rsidR="00CB5660" w:rsidRPr="00AE4E8D" w:rsidRDefault="00CB5660" w:rsidP="00A76714">
      <w:pPr>
        <w:pStyle w:val="BHTexto"/>
        <w:rPr>
          <w:lang w:val="es-ES"/>
        </w:rPr>
      </w:pPr>
      <w:r w:rsidRPr="00AE4E8D">
        <w:rPr>
          <w:lang w:val="es-ES"/>
        </w:rPr>
        <w:lastRenderedPageBreak/>
        <w:t>Actualmente nos desempeñamos como contratante o tomador de pólizas; y como agente institorio. A continuación se describen los seguros que corresponden a ambos roles mencionados:</w:t>
      </w:r>
    </w:p>
    <w:p w14:paraId="7F96454C" w14:textId="77777777" w:rsidR="00CB5660" w:rsidRPr="00AE4E8D" w:rsidRDefault="00CB5660" w:rsidP="006659E6">
      <w:pPr>
        <w:pStyle w:val="BH3Izquierda"/>
        <w:rPr>
          <w:lang w:val="es-ES"/>
        </w:rPr>
      </w:pPr>
      <w:bookmarkStart w:id="186" w:name="_Toc421201348"/>
      <w:r w:rsidRPr="00AE4E8D">
        <w:rPr>
          <w:lang w:val="es-ES"/>
        </w:rPr>
        <w:t>Seguros Vinculados a Productos Financieros</w:t>
      </w:r>
      <w:bookmarkEnd w:id="186"/>
    </w:p>
    <w:p w14:paraId="42ED7470" w14:textId="77777777" w:rsidR="00CB5660" w:rsidRPr="00AE4E8D" w:rsidRDefault="00CB5660" w:rsidP="006659E6">
      <w:pPr>
        <w:pStyle w:val="BHTexto"/>
        <w:rPr>
          <w:lang w:val="es-ES"/>
        </w:rPr>
      </w:pPr>
      <w:r w:rsidRPr="00AE4E8D">
        <w:rPr>
          <w:lang w:val="es-ES"/>
        </w:rPr>
        <w:t xml:space="preserve">El objetivo de estos seguros es minimizar el riesgo de incobrabilidad ante fallecimiento del deudor y preservar el valor de los bienes tomados en garantía. En este sentido, los riesgos para los cuales se contratan pólizas son: </w:t>
      </w:r>
    </w:p>
    <w:p w14:paraId="2A98C208" w14:textId="77777777" w:rsidR="00CB5660" w:rsidRPr="00AE4E8D" w:rsidRDefault="00CB5660" w:rsidP="000E1220">
      <w:pPr>
        <w:pStyle w:val="BHVieta2"/>
        <w:numPr>
          <w:ilvl w:val="0"/>
          <w:numId w:val="54"/>
        </w:numPr>
        <w:rPr>
          <w:lang w:val="es-ES"/>
        </w:rPr>
      </w:pPr>
      <w:r w:rsidRPr="00AE4E8D">
        <w:rPr>
          <w:i/>
          <w:lang w:val="es-ES"/>
        </w:rPr>
        <w:t>Seguro de vida:</w:t>
      </w:r>
      <w:r w:rsidRPr="00AE4E8D">
        <w:rPr>
          <w:lang w:val="es-ES"/>
        </w:rPr>
        <w:t xml:space="preserve"> aplicable a préstamos personales, préstamos hipotecarios, tarjetas de crédito y cuentas, para la cancelación del saldo deudor en caso de fallecimiento del deudor asegurado. Tipo de contrato: póliza de seguro de vida colectivo, en la cual somos tomador y beneficiario por el monto establecido de acuerdo a cada producto financiero.</w:t>
      </w:r>
    </w:p>
    <w:p w14:paraId="41588279" w14:textId="77777777" w:rsidR="00CB5660" w:rsidRPr="00AE4E8D" w:rsidRDefault="00CB5660" w:rsidP="000E1220">
      <w:pPr>
        <w:pStyle w:val="BHVieta2"/>
        <w:numPr>
          <w:ilvl w:val="0"/>
          <w:numId w:val="54"/>
        </w:numPr>
        <w:rPr>
          <w:lang w:val="es-ES"/>
        </w:rPr>
      </w:pPr>
      <w:r w:rsidRPr="00AE4E8D">
        <w:rPr>
          <w:i/>
          <w:lang w:val="es-ES"/>
        </w:rPr>
        <w:t>Seguro de incendio:</w:t>
      </w:r>
      <w:r w:rsidRPr="00AE4E8D">
        <w:rPr>
          <w:lang w:val="es-ES"/>
        </w:rPr>
        <w:t xml:space="preserve"> aplicable a préstamos hipotecarios y cuentas con garantía hipotecaria (o a cualquier otro producto que pudiera tener garantía hipotecaria). Tipo de contrato: póliza de seguro de incendio y otros daños materiales, en la cual somos beneficiarios. </w:t>
      </w:r>
    </w:p>
    <w:p w14:paraId="7B92466D" w14:textId="77777777" w:rsidR="00CB5660" w:rsidRPr="00AE4E8D" w:rsidRDefault="00CB5660" w:rsidP="006659E6">
      <w:pPr>
        <w:pStyle w:val="BH3Izquierda"/>
        <w:rPr>
          <w:lang w:val="es-ES"/>
        </w:rPr>
      </w:pPr>
      <w:bookmarkStart w:id="187" w:name="_Toc421201349"/>
      <w:r w:rsidRPr="00AE4E8D">
        <w:rPr>
          <w:lang w:val="es-ES"/>
        </w:rPr>
        <w:t>Seguros Ofrecidos a los Clientes en los cuales actuamos como Canal de Distribución</w:t>
      </w:r>
      <w:bookmarkEnd w:id="187"/>
      <w:r w:rsidRPr="00AE4E8D">
        <w:rPr>
          <w:lang w:val="es-ES"/>
        </w:rPr>
        <w:t xml:space="preserve"> </w:t>
      </w:r>
    </w:p>
    <w:p w14:paraId="35A4C812" w14:textId="77777777" w:rsidR="00CB5660" w:rsidRPr="00AE4E8D" w:rsidRDefault="00CB5660" w:rsidP="006659E6">
      <w:pPr>
        <w:pStyle w:val="BHTexto"/>
        <w:rPr>
          <w:lang w:val="es-ES"/>
        </w:rPr>
      </w:pPr>
      <w:r w:rsidRPr="00AE4E8D">
        <w:rPr>
          <w:lang w:val="es-ES"/>
        </w:rPr>
        <w:t>Son los seguros de adhesión voluntaria por parte del cliente y que le permiten complementar la cobertura del seguro del préstamo o satisfacer diferentes necesidades de cobertura, en los cuales percibimos una retribución correspondiente a la cartera de seguros generada por nosotros como canal de distribución. En este caso son seguros que se diseñan en forma conjunta con las aseguradoras, de acuerdo a las definiciones dadas por nosotros en relación al precio-beneficio apropiado para cada segmento de la cartera de clientes. En éste segmento del negocio asumimos el rol de agente institorio, a través de contratos celebrados con diversas compañías aseguradoras. Los riesgos son asumidos y administrados por las aseguradoras sobre parámetros de tasas, coberturas, requisitos, normas y procesos regulados por la Superintendencia de Seguros de la Nación. Los seguros comprendidos en los contratos son: vida, accidentes personales, hogar, salud, automotor, compra protegida respecto de productos y/o servicios adquiridos con tarjetas de crédito y robo en cajero automático.</w:t>
      </w:r>
    </w:p>
    <w:p w14:paraId="0D9C39C7" w14:textId="77777777" w:rsidR="00CB5660" w:rsidRPr="00AE4E8D" w:rsidRDefault="00CB5660" w:rsidP="006659E6">
      <w:pPr>
        <w:pStyle w:val="BHTexto"/>
        <w:rPr>
          <w:lang w:val="es-ES"/>
        </w:rPr>
      </w:pPr>
      <w:r w:rsidRPr="00AE4E8D">
        <w:rPr>
          <w:lang w:val="es-ES"/>
        </w:rPr>
        <w:t xml:space="preserve">El 2 de diciembre de 2015, fuimos notificados de una objeción por parte de la Superintendencia de Entidades Financieras del BCRA en relación a nuestra participación directa e indirecta de BHN Vida y BHN Seguros Generales, alegando </w:t>
      </w:r>
      <w:r w:rsidR="00CB6829" w:rsidRPr="00AE4E8D">
        <w:rPr>
          <w:lang w:val="es-ES"/>
        </w:rPr>
        <w:t xml:space="preserve">que </w:t>
      </w:r>
      <w:r w:rsidRPr="00AE4E8D">
        <w:rPr>
          <w:lang w:val="es-ES"/>
        </w:rPr>
        <w:t xml:space="preserve">la aplicación de las reglas de </w:t>
      </w:r>
      <w:r w:rsidRPr="00AE4E8D">
        <w:rPr>
          <w:i/>
          <w:lang w:val="es-ES"/>
        </w:rPr>
        <w:t xml:space="preserve">graduación de crédito </w:t>
      </w:r>
      <w:r w:rsidRPr="00AE4E8D">
        <w:rPr>
          <w:lang w:val="es-ES"/>
        </w:rPr>
        <w:t>que imponen un límite de 12,5% a nuestra participación de capital y derecho a voto en otras compañías.</w:t>
      </w:r>
      <w:r w:rsidR="00CB6829" w:rsidRPr="00AE4E8D">
        <w:rPr>
          <w:lang w:val="es-ES"/>
        </w:rPr>
        <w:t xml:space="preserve"> El Banco ha planteado la revisión de dicha observación en virtud de que se trata de una actividad autorizada, por la Ley de Privatización y sus disposiciones reglamentarias, especialmente el Decreto N° 1394/98. Al 30 de junio de 2017</w:t>
      </w:r>
      <w:r w:rsidR="00CB6829" w:rsidRPr="00AE4E8D">
        <w:rPr>
          <w:lang w:val="es-ES" w:eastAsia="es-AR"/>
        </w:rPr>
        <w:t>,</w:t>
      </w:r>
      <w:r w:rsidR="00CB6829" w:rsidRPr="00AE4E8D">
        <w:rPr>
          <w:lang w:val="es-ES"/>
        </w:rPr>
        <w:t xml:space="preserve"> el Banco ha intercambiado notas con el BCRA, encontrándose dicha revisión pendiente de decisión por parte de la autoridad máxima de dicha entidad. </w:t>
      </w:r>
      <w:r w:rsidRPr="00AE4E8D">
        <w:rPr>
          <w:lang w:val="es-ES"/>
        </w:rPr>
        <w:t xml:space="preserve">Ver </w:t>
      </w:r>
      <w:r w:rsidRPr="00AE4E8D">
        <w:rPr>
          <w:i/>
          <w:lang w:val="es-ES"/>
        </w:rPr>
        <w:t>“Factores de Riesgo–Riesgos Relacionados con Nuestros Negocios– El BC</w:t>
      </w:r>
      <w:r w:rsidR="004457C5" w:rsidRPr="00AE4E8D">
        <w:rPr>
          <w:i/>
          <w:lang w:val="es-ES"/>
        </w:rPr>
        <w:t>RA</w:t>
      </w:r>
      <w:r w:rsidRPr="00AE4E8D">
        <w:rPr>
          <w:i/>
          <w:lang w:val="es-ES"/>
        </w:rPr>
        <w:t xml:space="preserve"> podría objetar nuestra actividad aseguradora.”</w:t>
      </w:r>
    </w:p>
    <w:p w14:paraId="3D613599" w14:textId="77777777" w:rsidR="001E34BD" w:rsidRPr="00AE4E8D" w:rsidRDefault="001E34BD" w:rsidP="001E34BD">
      <w:pPr>
        <w:tabs>
          <w:tab w:val="left" w:pos="10206"/>
          <w:tab w:val="left" w:pos="10773"/>
        </w:tabs>
        <w:spacing w:before="120" w:after="120"/>
        <w:jc w:val="both"/>
        <w:rPr>
          <w:rFonts w:ascii="Times New Roman" w:hAnsi="Times New Roman"/>
          <w:lang w:val="es-ES"/>
        </w:rPr>
      </w:pPr>
      <w:bookmarkStart w:id="188" w:name="_Toc421201350"/>
      <w:r w:rsidRPr="00AE4E8D">
        <w:rPr>
          <w:rFonts w:ascii="Times New Roman" w:hAnsi="Times New Roman"/>
          <w:lang w:val="es-ES"/>
        </w:rPr>
        <w:t xml:space="preserve">Durante los seis meses finalizados al 30 de junio de 2017, el ingreso consolidado neto por servicios de BHN Sociedad de Inversión representó el 35,6% de nuestros ingresos por servicios consolidados netos para dichos períodos. </w:t>
      </w:r>
    </w:p>
    <w:p w14:paraId="55521229" w14:textId="77777777" w:rsidR="00CB5660" w:rsidRPr="00AE4E8D" w:rsidRDefault="00CB5660" w:rsidP="006659E6">
      <w:pPr>
        <w:pStyle w:val="BH3Izquierda"/>
        <w:rPr>
          <w:lang w:val="es-ES"/>
        </w:rPr>
      </w:pPr>
      <w:r w:rsidRPr="00AE4E8D">
        <w:rPr>
          <w:lang w:val="es-ES"/>
        </w:rPr>
        <w:t>Tarshop</w:t>
      </w:r>
      <w:bookmarkEnd w:id="188"/>
    </w:p>
    <w:p w14:paraId="488F9818" w14:textId="77777777" w:rsidR="00CB5660" w:rsidRPr="00AE4E8D" w:rsidRDefault="00CB5660" w:rsidP="006659E6">
      <w:pPr>
        <w:pStyle w:val="BHTexto"/>
        <w:rPr>
          <w:lang w:val="es-ES"/>
        </w:rPr>
      </w:pPr>
      <w:r w:rsidRPr="00AE4E8D">
        <w:rPr>
          <w:lang w:val="es-ES"/>
        </w:rPr>
        <w:t>Para profundizar nuestra estrategia para desarrollar nuestras actividades de financiamiento al consumo, el 29 de septiembre de 2009 adquirimos el 80% del capital social de Tarshop. El 20% restante es de propiedad de nuestra vinculada IRSA Propiedades Comerciales S.A. (“</w:t>
      </w:r>
      <w:r w:rsidRPr="00AE4E8D">
        <w:rPr>
          <w:u w:val="single"/>
          <w:lang w:val="es-ES"/>
        </w:rPr>
        <w:t>IRSA PC</w:t>
      </w:r>
      <w:r w:rsidRPr="00AE4E8D">
        <w:rPr>
          <w:lang w:val="es-ES"/>
        </w:rPr>
        <w:t xml:space="preserve">”). El negocio principal de Tarshop se basa en la comercialización de productos de financiamiento al consumo, principalmente su propia tarjeta de crédito bajo la denominación comercial “Tarjeta Shopping”, y el otorgamiento de </w:t>
      </w:r>
      <w:r w:rsidR="00A40642" w:rsidRPr="00AE4E8D">
        <w:rPr>
          <w:lang w:val="es-ES"/>
        </w:rPr>
        <w:t>préstamos</w:t>
      </w:r>
      <w:r w:rsidRPr="00AE4E8D">
        <w:rPr>
          <w:lang w:val="es-ES"/>
        </w:rPr>
        <w:t xml:space="preserve"> de dinero en efectivo a clientes no bancarizados. Al </w:t>
      </w:r>
      <w:r w:rsidR="009820CB" w:rsidRPr="00AE4E8D">
        <w:rPr>
          <w:lang w:val="es-ES"/>
        </w:rPr>
        <w:t>30</w:t>
      </w:r>
      <w:r w:rsidR="00BE1D5E" w:rsidRPr="00AE4E8D">
        <w:rPr>
          <w:lang w:val="es-ES"/>
        </w:rPr>
        <w:t xml:space="preserve"> de</w:t>
      </w:r>
      <w:r w:rsidR="006D2AA4" w:rsidRPr="00AE4E8D">
        <w:rPr>
          <w:lang w:val="es-ES"/>
        </w:rPr>
        <w:t xml:space="preserve"> </w:t>
      </w:r>
      <w:r w:rsidR="009820CB" w:rsidRPr="00AE4E8D">
        <w:rPr>
          <w:lang w:val="es-ES"/>
        </w:rPr>
        <w:t>junio</w:t>
      </w:r>
      <w:r w:rsidR="00926581" w:rsidRPr="00AE4E8D">
        <w:rPr>
          <w:lang w:val="es-ES"/>
        </w:rPr>
        <w:t xml:space="preserve"> </w:t>
      </w:r>
      <w:r w:rsidRPr="00AE4E8D">
        <w:rPr>
          <w:lang w:val="es-ES"/>
        </w:rPr>
        <w:t>de 201</w:t>
      </w:r>
      <w:r w:rsidR="006D2AA4" w:rsidRPr="00AE4E8D">
        <w:rPr>
          <w:lang w:val="es-ES"/>
        </w:rPr>
        <w:t>7</w:t>
      </w:r>
      <w:r w:rsidRPr="00AE4E8D">
        <w:rPr>
          <w:lang w:val="es-ES"/>
        </w:rPr>
        <w:t>, Tarshop contaba con una cartera de créditos de Ps.</w:t>
      </w:r>
      <w:r w:rsidR="009B273F" w:rsidRPr="00AE4E8D">
        <w:rPr>
          <w:lang w:val="es-ES"/>
        </w:rPr>
        <w:t>1.</w:t>
      </w:r>
      <w:r w:rsidR="007C0A8B" w:rsidRPr="00AE4E8D">
        <w:rPr>
          <w:lang w:val="es-ES"/>
        </w:rPr>
        <w:t>795</w:t>
      </w:r>
      <w:proofErr w:type="gramStart"/>
      <w:r w:rsidR="00342CC9" w:rsidRPr="00AE4E8D">
        <w:rPr>
          <w:lang w:val="es-ES"/>
        </w:rPr>
        <w:t>,</w:t>
      </w:r>
      <w:r w:rsidR="007C0A8B" w:rsidRPr="00AE4E8D">
        <w:rPr>
          <w:lang w:val="es-ES"/>
        </w:rPr>
        <w:t>4</w:t>
      </w:r>
      <w:proofErr w:type="gramEnd"/>
      <w:r w:rsidR="007C0A8B" w:rsidRPr="00AE4E8D">
        <w:rPr>
          <w:lang w:val="es-ES"/>
        </w:rPr>
        <w:t xml:space="preserve"> </w:t>
      </w:r>
      <w:r w:rsidRPr="00AE4E8D">
        <w:rPr>
          <w:lang w:val="es-ES"/>
        </w:rPr>
        <w:t>millones y administraba una cartera adicional de Ps</w:t>
      </w:r>
      <w:r w:rsidR="006D2AA4" w:rsidRPr="00AE4E8D">
        <w:rPr>
          <w:lang w:val="es-ES"/>
        </w:rPr>
        <w:t>.</w:t>
      </w:r>
      <w:r w:rsidR="009B273F" w:rsidRPr="00AE4E8D">
        <w:rPr>
          <w:lang w:val="es-ES"/>
        </w:rPr>
        <w:t>3.</w:t>
      </w:r>
      <w:r w:rsidR="007C0A8B" w:rsidRPr="00AE4E8D">
        <w:rPr>
          <w:lang w:val="es-ES"/>
        </w:rPr>
        <w:t>957</w:t>
      </w:r>
      <w:r w:rsidR="009820CB" w:rsidRPr="00AE4E8D">
        <w:rPr>
          <w:lang w:val="es-ES"/>
        </w:rPr>
        <w:t>,</w:t>
      </w:r>
      <w:r w:rsidR="007C0A8B" w:rsidRPr="00AE4E8D">
        <w:rPr>
          <w:lang w:val="es-ES"/>
        </w:rPr>
        <w:t xml:space="preserve">1 </w:t>
      </w:r>
      <w:r w:rsidRPr="00AE4E8D">
        <w:rPr>
          <w:lang w:val="es-ES"/>
        </w:rPr>
        <w:t>millones</w:t>
      </w:r>
      <w:r w:rsidRPr="00AE4E8D">
        <w:rPr>
          <w:rStyle w:val="Refdenotaalpie"/>
          <w:lang w:val="es-ES"/>
        </w:rPr>
        <w:footnoteReference w:id="9"/>
      </w:r>
      <w:r w:rsidRPr="00AE4E8D">
        <w:rPr>
          <w:lang w:val="es-ES"/>
        </w:rPr>
        <w:t>.</w:t>
      </w:r>
    </w:p>
    <w:p w14:paraId="47CAAB75" w14:textId="77777777" w:rsidR="00CB5660" w:rsidRPr="00AE4E8D" w:rsidRDefault="00CB5660" w:rsidP="006659E6">
      <w:pPr>
        <w:pStyle w:val="BHTexto"/>
        <w:rPr>
          <w:lang w:val="es-ES"/>
        </w:rPr>
      </w:pPr>
      <w:r w:rsidRPr="00AE4E8D">
        <w:rPr>
          <w:rStyle w:val="hps"/>
          <w:lang w:val="es-ES"/>
        </w:rPr>
        <w:lastRenderedPageBreak/>
        <w:t>En</w:t>
      </w:r>
      <w:r w:rsidRPr="00AE4E8D">
        <w:rPr>
          <w:lang w:val="es-ES"/>
        </w:rPr>
        <w:t xml:space="preserve"> </w:t>
      </w:r>
      <w:r w:rsidRPr="00AE4E8D">
        <w:rPr>
          <w:rStyle w:val="hps"/>
          <w:lang w:val="es-ES"/>
        </w:rPr>
        <w:t>septiembre de 2014</w:t>
      </w:r>
      <w:r w:rsidRPr="00AE4E8D">
        <w:rPr>
          <w:lang w:val="es-ES"/>
        </w:rPr>
        <w:t xml:space="preserve"> </w:t>
      </w:r>
      <w:r w:rsidRPr="00AE4E8D">
        <w:rPr>
          <w:rStyle w:val="hps"/>
          <w:lang w:val="es-ES"/>
        </w:rPr>
        <w:t>se llegó a un</w:t>
      </w:r>
      <w:r w:rsidRPr="00AE4E8D">
        <w:rPr>
          <w:lang w:val="es-ES"/>
        </w:rPr>
        <w:t xml:space="preserve"> </w:t>
      </w:r>
      <w:r w:rsidRPr="00AE4E8D">
        <w:rPr>
          <w:rStyle w:val="hps"/>
          <w:lang w:val="es-ES"/>
        </w:rPr>
        <w:t>acuerdo entre</w:t>
      </w:r>
      <w:r w:rsidRPr="00AE4E8D">
        <w:rPr>
          <w:lang w:val="es-ES"/>
        </w:rPr>
        <w:t xml:space="preserve"> </w:t>
      </w:r>
      <w:r w:rsidRPr="00AE4E8D">
        <w:rPr>
          <w:rStyle w:val="hps"/>
          <w:lang w:val="es-ES"/>
        </w:rPr>
        <w:t>Tarshop</w:t>
      </w:r>
      <w:r w:rsidRPr="00AE4E8D">
        <w:rPr>
          <w:lang w:val="es-ES"/>
        </w:rPr>
        <w:t xml:space="preserve"> </w:t>
      </w:r>
      <w:r w:rsidRPr="00AE4E8D">
        <w:rPr>
          <w:rStyle w:val="hps"/>
          <w:lang w:val="es-ES"/>
        </w:rPr>
        <w:t>y Visa</w:t>
      </w:r>
      <w:r w:rsidRPr="00AE4E8D">
        <w:rPr>
          <w:lang w:val="es-ES"/>
        </w:rPr>
        <w:t xml:space="preserve"> </w:t>
      </w:r>
      <w:r w:rsidRPr="00AE4E8D">
        <w:rPr>
          <w:rStyle w:val="hps"/>
          <w:lang w:val="es-ES"/>
        </w:rPr>
        <w:t>Argentina</w:t>
      </w:r>
      <w:r w:rsidRPr="00AE4E8D">
        <w:rPr>
          <w:lang w:val="es-ES"/>
        </w:rPr>
        <w:t xml:space="preserve"> </w:t>
      </w:r>
      <w:r w:rsidRPr="00AE4E8D">
        <w:rPr>
          <w:rStyle w:val="hps"/>
          <w:lang w:val="es-ES"/>
        </w:rPr>
        <w:t>con el fin de</w:t>
      </w:r>
      <w:r w:rsidRPr="00AE4E8D">
        <w:rPr>
          <w:lang w:val="es-ES"/>
        </w:rPr>
        <w:t xml:space="preserve"> </w:t>
      </w:r>
      <w:r w:rsidRPr="00AE4E8D">
        <w:rPr>
          <w:rStyle w:val="hps"/>
          <w:lang w:val="es-ES"/>
        </w:rPr>
        <w:t>ampliar</w:t>
      </w:r>
      <w:r w:rsidRPr="00AE4E8D">
        <w:rPr>
          <w:lang w:val="es-ES"/>
        </w:rPr>
        <w:t xml:space="preserve"> </w:t>
      </w:r>
      <w:r w:rsidRPr="00AE4E8D">
        <w:rPr>
          <w:rStyle w:val="hps"/>
          <w:lang w:val="es-ES"/>
        </w:rPr>
        <w:t>la red de tiendas</w:t>
      </w:r>
      <w:r w:rsidRPr="00AE4E8D">
        <w:rPr>
          <w:lang w:val="es-ES"/>
        </w:rPr>
        <w:t xml:space="preserve"> </w:t>
      </w:r>
      <w:r w:rsidRPr="00AE4E8D">
        <w:rPr>
          <w:rStyle w:val="hps"/>
          <w:lang w:val="es-ES"/>
        </w:rPr>
        <w:t>que admiten</w:t>
      </w:r>
      <w:r w:rsidRPr="00AE4E8D">
        <w:rPr>
          <w:lang w:val="es-ES"/>
        </w:rPr>
        <w:t xml:space="preserve"> las </w:t>
      </w:r>
      <w:r w:rsidRPr="00AE4E8D">
        <w:rPr>
          <w:rStyle w:val="hps"/>
          <w:lang w:val="es-ES"/>
        </w:rPr>
        <w:t>tarjetas de crédito</w:t>
      </w:r>
      <w:r w:rsidRPr="00AE4E8D">
        <w:rPr>
          <w:lang w:val="es-ES"/>
        </w:rPr>
        <w:t xml:space="preserve"> </w:t>
      </w:r>
      <w:r w:rsidRPr="00AE4E8D">
        <w:rPr>
          <w:rStyle w:val="hps"/>
          <w:lang w:val="es-ES"/>
        </w:rPr>
        <w:t>Tarshop.</w:t>
      </w:r>
      <w:r w:rsidRPr="00AE4E8D">
        <w:rPr>
          <w:lang w:val="es-ES"/>
        </w:rPr>
        <w:t xml:space="preserve"> </w:t>
      </w:r>
      <w:r w:rsidRPr="00AE4E8D">
        <w:rPr>
          <w:rStyle w:val="hps"/>
          <w:lang w:val="es-ES"/>
        </w:rPr>
        <w:t>Como resultado,</w:t>
      </w:r>
      <w:r w:rsidRPr="00AE4E8D">
        <w:rPr>
          <w:lang w:val="es-ES"/>
        </w:rPr>
        <w:t xml:space="preserve"> </w:t>
      </w:r>
      <w:r w:rsidRPr="00AE4E8D">
        <w:rPr>
          <w:rStyle w:val="hps"/>
          <w:lang w:val="es-ES"/>
        </w:rPr>
        <w:t>Tarshop</w:t>
      </w:r>
      <w:r w:rsidRPr="00AE4E8D">
        <w:rPr>
          <w:lang w:val="es-ES"/>
        </w:rPr>
        <w:t xml:space="preserve"> </w:t>
      </w:r>
      <w:r w:rsidRPr="00AE4E8D">
        <w:rPr>
          <w:rStyle w:val="hps"/>
          <w:lang w:val="es-ES"/>
        </w:rPr>
        <w:t>ha logrado aumentar</w:t>
      </w:r>
      <w:r w:rsidRPr="00AE4E8D">
        <w:rPr>
          <w:lang w:val="es-ES"/>
        </w:rPr>
        <w:t xml:space="preserve"> su </w:t>
      </w:r>
      <w:r w:rsidRPr="00AE4E8D">
        <w:rPr>
          <w:rStyle w:val="hps"/>
          <w:lang w:val="es-ES"/>
        </w:rPr>
        <w:t>cobertura nacional</w:t>
      </w:r>
      <w:r w:rsidRPr="00AE4E8D">
        <w:rPr>
          <w:lang w:val="es-ES"/>
        </w:rPr>
        <w:t xml:space="preserve"> </w:t>
      </w:r>
      <w:r w:rsidRPr="00AE4E8D">
        <w:rPr>
          <w:rStyle w:val="hps"/>
          <w:lang w:val="es-ES"/>
        </w:rPr>
        <w:t>de 40.000 a</w:t>
      </w:r>
      <w:r w:rsidRPr="00AE4E8D">
        <w:rPr>
          <w:lang w:val="es-ES"/>
        </w:rPr>
        <w:t xml:space="preserve"> </w:t>
      </w:r>
      <w:r w:rsidRPr="00AE4E8D">
        <w:rPr>
          <w:rStyle w:val="hps"/>
          <w:lang w:val="es-ES"/>
        </w:rPr>
        <w:t>350.000</w:t>
      </w:r>
      <w:r w:rsidRPr="00AE4E8D">
        <w:rPr>
          <w:lang w:val="es-ES"/>
        </w:rPr>
        <w:t xml:space="preserve"> </w:t>
      </w:r>
      <w:r w:rsidRPr="00AE4E8D">
        <w:rPr>
          <w:rStyle w:val="hps"/>
          <w:lang w:val="es-ES"/>
        </w:rPr>
        <w:t>comercios.</w:t>
      </w:r>
    </w:p>
    <w:p w14:paraId="45208012" w14:textId="77777777" w:rsidR="00CB5660" w:rsidRPr="00AE4E8D" w:rsidRDefault="00CB5660" w:rsidP="006659E6">
      <w:pPr>
        <w:pStyle w:val="BHTexto"/>
        <w:rPr>
          <w:lang w:val="es-ES"/>
        </w:rPr>
      </w:pPr>
      <w:r w:rsidRPr="00AE4E8D">
        <w:rPr>
          <w:lang w:val="es-ES"/>
        </w:rPr>
        <w:t>Con fecha 22 de octubre de 2014 nuestro Directorio aprobó un</w:t>
      </w:r>
      <w:r w:rsidR="00342CC9" w:rsidRPr="00AE4E8D">
        <w:rPr>
          <w:lang w:val="es-ES"/>
        </w:rPr>
        <w:t xml:space="preserve"> programa de capitalización en tramos. El 14 de noviembre de 2014 se realizó el primer</w:t>
      </w:r>
      <w:r w:rsidRPr="00AE4E8D">
        <w:rPr>
          <w:lang w:val="es-ES"/>
        </w:rPr>
        <w:t xml:space="preserve"> aporte de capital irrevocable a Tarshop por la suma de Ps.110 millones a realizar por nosotros junto con IRSA PC, en forma proporcional a sus</w:t>
      </w:r>
      <w:r w:rsidR="00403404" w:rsidRPr="00AE4E8D">
        <w:rPr>
          <w:lang w:val="es-ES"/>
        </w:rPr>
        <w:t xml:space="preserve"> respectivas</w:t>
      </w:r>
      <w:r w:rsidRPr="00AE4E8D">
        <w:rPr>
          <w:lang w:val="es-ES"/>
        </w:rPr>
        <w:t xml:space="preserve"> tenencias accionarias a fin de que Tarshop cuente con recursos suficientes para sus actividades operativas y poder cumplimentar con su plan de negocios.</w:t>
      </w:r>
    </w:p>
    <w:p w14:paraId="0ADE00D8" w14:textId="77777777" w:rsidR="00342CC9" w:rsidRPr="00AE4E8D" w:rsidRDefault="00342CC9" w:rsidP="006659E6">
      <w:pPr>
        <w:pStyle w:val="BHTexto"/>
        <w:rPr>
          <w:lang w:val="es-ES"/>
        </w:rPr>
      </w:pPr>
      <w:r w:rsidRPr="00AE4E8D">
        <w:rPr>
          <w:lang w:val="es-ES"/>
        </w:rPr>
        <w:t xml:space="preserve">Con fechas 17 de septiembre de 2015, 4 de noviembre de 2015 y 24 de junio de 2016, los Accionistas de la Compañía aprobaron nuevos desembolsos por las sumas de </w:t>
      </w:r>
      <w:r w:rsidR="001A1797" w:rsidRPr="00AE4E8D">
        <w:rPr>
          <w:lang w:val="es-ES"/>
        </w:rPr>
        <w:t>Ps.</w:t>
      </w:r>
      <w:r w:rsidR="004B7FBA" w:rsidRPr="00AE4E8D">
        <w:rPr>
          <w:lang w:val="es-ES"/>
        </w:rPr>
        <w:t>52.500.000, Ps.</w:t>
      </w:r>
      <w:r w:rsidRPr="00AE4E8D">
        <w:rPr>
          <w:lang w:val="es-ES"/>
        </w:rPr>
        <w:t xml:space="preserve">52.500.000 y </w:t>
      </w:r>
      <w:r w:rsidR="001A1797" w:rsidRPr="00AE4E8D">
        <w:rPr>
          <w:lang w:val="es-ES"/>
        </w:rPr>
        <w:t>Ps.</w:t>
      </w:r>
      <w:r w:rsidRPr="00AE4E8D">
        <w:rPr>
          <w:lang w:val="es-ES"/>
        </w:rPr>
        <w:t>250.000.000, respectivamente, en concepto de aportes irrevocables de capital, en proporción a sus tenencias accionarias, con el propósito de ampliar las disponibilidades de caja a fin de solventar los proyectos de cartera y desarrollar el plan de negocios de Tarshop.</w:t>
      </w:r>
    </w:p>
    <w:p w14:paraId="01D30AD5" w14:textId="77777777" w:rsidR="001E34BD" w:rsidRPr="00AE4E8D" w:rsidRDefault="001E34BD" w:rsidP="001E34BD">
      <w:pPr>
        <w:tabs>
          <w:tab w:val="left" w:pos="10206"/>
          <w:tab w:val="left" w:pos="10773"/>
        </w:tabs>
        <w:spacing w:before="120" w:after="120"/>
        <w:jc w:val="both"/>
        <w:rPr>
          <w:rFonts w:ascii="Times New Roman" w:hAnsi="Times New Roman"/>
          <w:lang w:val="es-ES"/>
        </w:rPr>
      </w:pPr>
      <w:bookmarkStart w:id="189" w:name="_DV_C4545"/>
      <w:bookmarkStart w:id="190" w:name="_DV_C4557"/>
      <w:bookmarkStart w:id="191" w:name="_Toc414610858"/>
      <w:r w:rsidRPr="00AE4E8D">
        <w:rPr>
          <w:rFonts w:ascii="Times New Roman" w:hAnsi="Times New Roman"/>
          <w:lang w:val="es-ES"/>
        </w:rPr>
        <w:t>Al 30 de junio de 2017 los préstamos otorgados por Tarshop representaban el 5,5% de nuestr</w:t>
      </w:r>
      <w:r w:rsidR="00F4573E" w:rsidRPr="00AE4E8D">
        <w:rPr>
          <w:rFonts w:ascii="Times New Roman" w:hAnsi="Times New Roman"/>
          <w:lang w:val="es-ES"/>
        </w:rPr>
        <w:t>a cartera de</w:t>
      </w:r>
      <w:r w:rsidRPr="00AE4E8D">
        <w:rPr>
          <w:rFonts w:ascii="Times New Roman" w:hAnsi="Times New Roman"/>
          <w:lang w:val="es-ES"/>
        </w:rPr>
        <w:t xml:space="preserve"> préstamos totales consolidados. Al 30 de junio de 2017 el 23,0% de los préstamos de Tarshop fueron morosos, representando el 42,9% de nuestr</w:t>
      </w:r>
      <w:r w:rsidR="00F4573E" w:rsidRPr="00AE4E8D">
        <w:rPr>
          <w:rFonts w:ascii="Times New Roman" w:hAnsi="Times New Roman"/>
          <w:lang w:val="es-ES"/>
        </w:rPr>
        <w:t>a</w:t>
      </w:r>
      <w:r w:rsidRPr="00AE4E8D">
        <w:rPr>
          <w:rFonts w:ascii="Times New Roman" w:hAnsi="Times New Roman"/>
          <w:lang w:val="es-ES"/>
        </w:rPr>
        <w:t xml:space="preserve"> </w:t>
      </w:r>
      <w:r w:rsidR="00F4573E" w:rsidRPr="00AE4E8D">
        <w:rPr>
          <w:rFonts w:ascii="Times New Roman" w:hAnsi="Times New Roman"/>
          <w:lang w:val="es-ES"/>
        </w:rPr>
        <w:t xml:space="preserve">cartera de </w:t>
      </w:r>
      <w:r w:rsidRPr="00AE4E8D">
        <w:rPr>
          <w:rFonts w:ascii="Times New Roman" w:hAnsi="Times New Roman"/>
          <w:lang w:val="es-ES"/>
        </w:rPr>
        <w:t>préstamos morosos totales para dichos períodos. Al 30 de junio de 2017, los ingresos financieros de Tarshop representaron el 10,1% de nuestros ingresos financieros consolidados y el ingreso neto por servicios de Tarshop representó el 21,5% de nuestros ingresos por servicios netos consolidados para tales períodos.</w:t>
      </w:r>
      <w:r w:rsidRPr="00AE4E8D">
        <w:rPr>
          <w:rStyle w:val="Refdenotaalpie"/>
          <w:rFonts w:ascii="Times New Roman" w:hAnsi="Times New Roman"/>
          <w:lang w:val="es-ES"/>
        </w:rPr>
        <w:footnoteReference w:id="10"/>
      </w:r>
    </w:p>
    <w:p w14:paraId="18532EE0" w14:textId="77777777" w:rsidR="00CB5660" w:rsidRPr="00AE4E8D" w:rsidRDefault="00CB5660" w:rsidP="002C6969">
      <w:pPr>
        <w:pStyle w:val="BH3Izquierda"/>
        <w:rPr>
          <w:lang w:val="es-ES"/>
        </w:rPr>
      </w:pPr>
      <w:r w:rsidRPr="00AE4E8D">
        <w:rPr>
          <w:lang w:val="es-ES"/>
        </w:rPr>
        <w:t>Posición en Valores</w:t>
      </w:r>
      <w:bookmarkEnd w:id="189"/>
      <w:r w:rsidR="00140213" w:rsidRPr="00AE4E8D">
        <w:rPr>
          <w:lang w:val="es-ES"/>
        </w:rPr>
        <w:t xml:space="preserve"> Negociables</w:t>
      </w:r>
    </w:p>
    <w:p w14:paraId="4A3A0245" w14:textId="77777777" w:rsidR="001B6453" w:rsidRPr="00AE4E8D" w:rsidRDefault="001B6453" w:rsidP="001B6453">
      <w:pPr>
        <w:pStyle w:val="BHTexto"/>
        <w:rPr>
          <w:lang w:val="es-ES"/>
        </w:rPr>
      </w:pPr>
      <w:bookmarkStart w:id="192" w:name="_DV_C4546"/>
      <w:r w:rsidRPr="00AE4E8D">
        <w:rPr>
          <w:lang w:val="es-ES"/>
        </w:rPr>
        <w:t>Mantenemos una posición en títulos públicos y privados, principalmente para implementar nuestra política de liquidez y optimizar nuestra administración de capital. Estas posiciones están expuestas al riesgo de mercado. Los instrumentos son principalmente títulos emitidos por el BCRA, letras y títulos emitidos por el estado nacional y los gobiernos provinciales (en Argentina) y títulos privados que cotizan en el mercado de capitales local. A fin de manejar el riesgo de mercado, nuestro Comité de Finanzas y el Comité de Gestión de Riesgo establecen límites de acuerdo al Valor en Riesgo (VaR, por sus siglas en inglés) de dichas posiciones sujeto al riesgo de precio y por tipo de instrumento. En este sentido, nuestro VaR para posiciones en títulos públicos y privados al 30 de junio de 2017 fue de Ps.102</w:t>
      </w:r>
      <w:proofErr w:type="gramStart"/>
      <w:r w:rsidRPr="00AE4E8D">
        <w:rPr>
          <w:lang w:val="es-ES"/>
        </w:rPr>
        <w:t>,6</w:t>
      </w:r>
      <w:proofErr w:type="gramEnd"/>
      <w:r w:rsidRPr="00AE4E8D">
        <w:rPr>
          <w:lang w:val="es-ES"/>
        </w:rPr>
        <w:t xml:space="preserve"> millones, mientras que el límite aprobado era de Ps.222,7 millones. </w:t>
      </w:r>
    </w:p>
    <w:p w14:paraId="2E75F911" w14:textId="77777777" w:rsidR="001B6453" w:rsidRPr="00AE4E8D" w:rsidRDefault="001B6453" w:rsidP="004C7A5A">
      <w:pPr>
        <w:pStyle w:val="BHTexto"/>
        <w:rPr>
          <w:lang w:val="es-ES"/>
        </w:rPr>
      </w:pPr>
      <w:bookmarkStart w:id="193" w:name="_DV_C4547"/>
      <w:bookmarkEnd w:id="192"/>
      <w:r w:rsidRPr="00AE4E8D">
        <w:rPr>
          <w:lang w:val="es-ES"/>
        </w:rPr>
        <w:t>Como resultado de esta posición, registramos una ganancia bruta de Ps.617</w:t>
      </w:r>
      <w:proofErr w:type="gramStart"/>
      <w:r w:rsidRPr="00AE4E8D">
        <w:rPr>
          <w:lang w:val="es-ES"/>
        </w:rPr>
        <w:t>,3</w:t>
      </w:r>
      <w:proofErr w:type="gramEnd"/>
      <w:r w:rsidRPr="00AE4E8D">
        <w:rPr>
          <w:lang w:val="es-ES"/>
        </w:rPr>
        <w:t xml:space="preserve"> millones en el período finalizado el 30 de junio de 2017.</w:t>
      </w:r>
    </w:p>
    <w:bookmarkEnd w:id="193"/>
    <w:p w14:paraId="7EE0DF82" w14:textId="77777777" w:rsidR="00CB5660" w:rsidRPr="00AE4E8D" w:rsidRDefault="00CB5660" w:rsidP="002C6969">
      <w:pPr>
        <w:pStyle w:val="BH3Izquierda"/>
        <w:rPr>
          <w:lang w:val="es-ES"/>
        </w:rPr>
      </w:pPr>
      <w:r w:rsidRPr="00AE4E8D">
        <w:rPr>
          <w:lang w:val="es-ES"/>
        </w:rPr>
        <w:t>Exposición a Moneda Extranjera</w:t>
      </w:r>
      <w:bookmarkEnd w:id="190"/>
    </w:p>
    <w:p w14:paraId="13EB725E" w14:textId="77777777" w:rsidR="00CB5660" w:rsidRPr="00AE4E8D" w:rsidRDefault="00CB5660" w:rsidP="002C6969">
      <w:pPr>
        <w:pStyle w:val="BHTexto"/>
        <w:rPr>
          <w:lang w:val="es-ES"/>
        </w:rPr>
      </w:pPr>
      <w:bookmarkStart w:id="194" w:name="_DV_C4558"/>
      <w:r w:rsidRPr="00AE4E8D">
        <w:rPr>
          <w:lang w:val="es-ES"/>
        </w:rPr>
        <w:t xml:space="preserve">En el giro habitual de nuestros negocios, tenemos activos y pasivos denominados en moneda extranjera. Al </w:t>
      </w:r>
      <w:r w:rsidR="00BE1D5E" w:rsidRPr="00AE4E8D">
        <w:rPr>
          <w:lang w:val="es-ES" w:eastAsia="es-AR"/>
        </w:rPr>
        <w:t>3</w:t>
      </w:r>
      <w:r w:rsidR="00350BBA" w:rsidRPr="00AE4E8D">
        <w:rPr>
          <w:lang w:val="es-ES" w:eastAsia="es-AR"/>
        </w:rPr>
        <w:t>0</w:t>
      </w:r>
      <w:r w:rsidR="00BE1D5E" w:rsidRPr="00AE4E8D">
        <w:rPr>
          <w:lang w:val="es-ES"/>
        </w:rPr>
        <w:t xml:space="preserve"> de </w:t>
      </w:r>
      <w:r w:rsidR="00350BBA" w:rsidRPr="00AE4E8D">
        <w:rPr>
          <w:lang w:val="es-ES"/>
        </w:rPr>
        <w:t>junio</w:t>
      </w:r>
      <w:r w:rsidR="00926581" w:rsidRPr="00AE4E8D">
        <w:rPr>
          <w:lang w:val="es-ES"/>
        </w:rPr>
        <w:t xml:space="preserve"> </w:t>
      </w:r>
      <w:r w:rsidRPr="00AE4E8D">
        <w:rPr>
          <w:lang w:val="es-ES"/>
        </w:rPr>
        <w:t>de 201</w:t>
      </w:r>
      <w:r w:rsidR="000D632F" w:rsidRPr="00AE4E8D">
        <w:rPr>
          <w:lang w:val="es-ES"/>
        </w:rPr>
        <w:t>7</w:t>
      </w:r>
      <w:r w:rsidRPr="00AE4E8D">
        <w:rPr>
          <w:lang w:val="es-ES"/>
        </w:rPr>
        <w:t xml:space="preserve">, nuestros </w:t>
      </w:r>
      <w:r w:rsidR="00BB25DA" w:rsidRPr="00AE4E8D">
        <w:rPr>
          <w:lang w:val="es-ES"/>
        </w:rPr>
        <w:t>pasivos</w:t>
      </w:r>
      <w:r w:rsidRPr="00AE4E8D">
        <w:rPr>
          <w:lang w:val="es-ES"/>
        </w:rPr>
        <w:t xml:space="preserve"> denominados en moneda extranjera superaban nuestros </w:t>
      </w:r>
      <w:r w:rsidR="00BB25DA" w:rsidRPr="00AE4E8D">
        <w:rPr>
          <w:lang w:val="es-ES"/>
        </w:rPr>
        <w:t>activos</w:t>
      </w:r>
      <w:r w:rsidRPr="00AE4E8D">
        <w:rPr>
          <w:lang w:val="es-ES"/>
        </w:rPr>
        <w:t xml:space="preserve"> denominados en moneda extranjera por Ps</w:t>
      </w:r>
      <w:r w:rsidR="0084150A" w:rsidRPr="00AE4E8D">
        <w:rPr>
          <w:lang w:val="es-ES"/>
        </w:rPr>
        <w:t xml:space="preserve">. </w:t>
      </w:r>
      <w:r w:rsidR="00B376FD" w:rsidRPr="00AE4E8D">
        <w:rPr>
          <w:lang w:val="es-ES"/>
        </w:rPr>
        <w:t>1.324,6</w:t>
      </w:r>
      <w:r w:rsidRPr="00AE4E8D">
        <w:rPr>
          <w:lang w:val="es-ES"/>
        </w:rPr>
        <w:t xml:space="preserve"> millones. Adicionalmente, realizamos operaciones de futuros en moneda extranjera negociadas en forma local.</w:t>
      </w:r>
      <w:r w:rsidR="007E62A3" w:rsidRPr="00AE4E8D">
        <w:rPr>
          <w:lang w:val="es-ES"/>
        </w:rPr>
        <w:t xml:space="preserve"> </w:t>
      </w:r>
    </w:p>
    <w:p w14:paraId="4A8F489B" w14:textId="77777777" w:rsidR="00CB5660" w:rsidRPr="00AE4E8D" w:rsidRDefault="00CB5660" w:rsidP="002C6969">
      <w:pPr>
        <w:pStyle w:val="BHTexto"/>
        <w:rPr>
          <w:lang w:val="es-ES"/>
        </w:rPr>
      </w:pPr>
      <w:bookmarkStart w:id="195" w:name="_DV_C4559"/>
      <w:bookmarkEnd w:id="194"/>
      <w:r w:rsidRPr="00AE4E8D">
        <w:rPr>
          <w:lang w:val="es-ES"/>
        </w:rPr>
        <w:t>Asimismo, periódicamente podemos sobre-cubrir o infra-cubrir esta exposición con el objetivo de aprovechar las oportunidades del mercado.</w:t>
      </w:r>
      <w:bookmarkEnd w:id="195"/>
    </w:p>
    <w:p w14:paraId="75E12E95" w14:textId="77777777" w:rsidR="00403404" w:rsidRPr="00AE4E8D" w:rsidRDefault="00403404" w:rsidP="002C6969">
      <w:pPr>
        <w:pStyle w:val="BHTexto"/>
        <w:rPr>
          <w:lang w:val="es-ES"/>
        </w:rPr>
      </w:pPr>
      <w:r w:rsidRPr="00AE4E8D">
        <w:rPr>
          <w:lang w:val="es-ES"/>
        </w:rPr>
        <w:t>La siguiente tabla muestra nuestros activos y pasivos denominados en moneda extranjera a partir de las fechas indicadas:</w:t>
      </w:r>
    </w:p>
    <w:tbl>
      <w:tblPr>
        <w:tblW w:w="0" w:type="auto"/>
        <w:jc w:val="center"/>
        <w:tblLook w:val="04A0" w:firstRow="1" w:lastRow="0" w:firstColumn="1" w:lastColumn="0" w:noHBand="0" w:noVBand="1"/>
      </w:tblPr>
      <w:tblGrid>
        <w:gridCol w:w="4726"/>
        <w:gridCol w:w="803"/>
        <w:gridCol w:w="803"/>
        <w:gridCol w:w="883"/>
        <w:gridCol w:w="1372"/>
      </w:tblGrid>
      <w:tr w:rsidR="0066702F" w:rsidRPr="00AE4E8D" w14:paraId="62B7D7D2" w14:textId="77777777" w:rsidTr="000400C8">
        <w:trPr>
          <w:trHeight w:val="345"/>
          <w:jc w:val="center"/>
        </w:trPr>
        <w:tc>
          <w:tcPr>
            <w:tcW w:w="4726" w:type="dxa"/>
            <w:tcBorders>
              <w:top w:val="nil"/>
              <w:left w:val="nil"/>
              <w:bottom w:val="nil"/>
              <w:right w:val="nil"/>
            </w:tcBorders>
            <w:shd w:val="clear" w:color="auto" w:fill="auto"/>
            <w:noWrap/>
            <w:vAlign w:val="bottom"/>
            <w:hideMark/>
          </w:tcPr>
          <w:p w14:paraId="5AC506E2" w14:textId="77777777" w:rsidR="0066702F" w:rsidRPr="00AE4E8D" w:rsidRDefault="0066702F" w:rsidP="0066702F">
            <w:pPr>
              <w:rPr>
                <w:rFonts w:ascii="Times New Roman" w:hAnsi="Times New Roman"/>
                <w:sz w:val="16"/>
                <w:szCs w:val="16"/>
                <w:lang w:val="es-ES"/>
              </w:rPr>
            </w:pPr>
          </w:p>
        </w:tc>
        <w:tc>
          <w:tcPr>
            <w:tcW w:w="0" w:type="auto"/>
            <w:gridSpan w:val="3"/>
            <w:tcBorders>
              <w:top w:val="nil"/>
              <w:left w:val="nil"/>
              <w:bottom w:val="single" w:sz="8" w:space="0" w:color="auto"/>
              <w:right w:val="nil"/>
            </w:tcBorders>
            <w:shd w:val="clear" w:color="auto" w:fill="auto"/>
            <w:noWrap/>
            <w:vAlign w:val="bottom"/>
            <w:hideMark/>
          </w:tcPr>
          <w:p w14:paraId="53A5F693" w14:textId="77777777" w:rsidR="0066702F" w:rsidRPr="00AE4E8D" w:rsidRDefault="0066702F" w:rsidP="0066702F">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Al 31 de diciembre de</w:t>
            </w:r>
          </w:p>
        </w:tc>
        <w:tc>
          <w:tcPr>
            <w:tcW w:w="0" w:type="auto"/>
            <w:tcBorders>
              <w:top w:val="nil"/>
              <w:left w:val="nil"/>
              <w:bottom w:val="single" w:sz="8" w:space="0" w:color="auto"/>
              <w:right w:val="nil"/>
            </w:tcBorders>
            <w:shd w:val="clear" w:color="auto" w:fill="auto"/>
            <w:vAlign w:val="center"/>
            <w:hideMark/>
          </w:tcPr>
          <w:p w14:paraId="20F14384" w14:textId="77777777" w:rsidR="0066702F" w:rsidRPr="00AE4E8D" w:rsidRDefault="0066702F" w:rsidP="00350BBA">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Al 3</w:t>
            </w:r>
            <w:r w:rsidR="00350BBA" w:rsidRPr="00AE4E8D">
              <w:rPr>
                <w:rFonts w:ascii="Times New Roman" w:hAnsi="Times New Roman"/>
                <w:b/>
                <w:bCs/>
                <w:color w:val="000000"/>
                <w:sz w:val="16"/>
                <w:szCs w:val="16"/>
                <w:lang w:val="es-ES"/>
              </w:rPr>
              <w:t>0</w:t>
            </w:r>
            <w:r w:rsidRPr="00AE4E8D">
              <w:rPr>
                <w:rFonts w:ascii="Times New Roman" w:hAnsi="Times New Roman"/>
                <w:b/>
                <w:bCs/>
                <w:color w:val="000000"/>
                <w:sz w:val="16"/>
                <w:szCs w:val="16"/>
                <w:lang w:val="es-ES"/>
              </w:rPr>
              <w:t xml:space="preserve"> de </w:t>
            </w:r>
            <w:r w:rsidR="00350BBA" w:rsidRPr="00AE4E8D">
              <w:rPr>
                <w:rFonts w:ascii="Times New Roman" w:hAnsi="Times New Roman"/>
                <w:b/>
                <w:bCs/>
                <w:color w:val="000000"/>
                <w:sz w:val="16"/>
                <w:szCs w:val="16"/>
                <w:lang w:val="es-ES"/>
              </w:rPr>
              <w:t>junio</w:t>
            </w:r>
            <w:r w:rsidRPr="00AE4E8D">
              <w:rPr>
                <w:rFonts w:ascii="Times New Roman" w:hAnsi="Times New Roman"/>
                <w:b/>
                <w:bCs/>
                <w:color w:val="000000"/>
                <w:sz w:val="16"/>
                <w:szCs w:val="16"/>
                <w:lang w:val="es-ES"/>
              </w:rPr>
              <w:t xml:space="preserve"> de</w:t>
            </w:r>
          </w:p>
        </w:tc>
      </w:tr>
      <w:tr w:rsidR="0066702F" w:rsidRPr="00AE4E8D" w14:paraId="43BC001C" w14:textId="77777777" w:rsidTr="000400C8">
        <w:trPr>
          <w:trHeight w:val="214"/>
          <w:jc w:val="center"/>
        </w:trPr>
        <w:tc>
          <w:tcPr>
            <w:tcW w:w="4726" w:type="dxa"/>
            <w:tcBorders>
              <w:top w:val="nil"/>
              <w:left w:val="nil"/>
              <w:bottom w:val="nil"/>
              <w:right w:val="nil"/>
            </w:tcBorders>
            <w:shd w:val="clear" w:color="auto" w:fill="auto"/>
            <w:vAlign w:val="center"/>
            <w:hideMark/>
          </w:tcPr>
          <w:p w14:paraId="41DF8E52" w14:textId="77777777" w:rsidR="0066702F" w:rsidRPr="00AE4E8D" w:rsidRDefault="0066702F" w:rsidP="0066702F">
            <w:pPr>
              <w:rPr>
                <w:rFonts w:ascii="Times New Roman" w:hAnsi="Times New Roman"/>
                <w:sz w:val="16"/>
                <w:szCs w:val="16"/>
                <w:lang w:val="es-ES"/>
              </w:rPr>
            </w:pPr>
          </w:p>
        </w:tc>
        <w:tc>
          <w:tcPr>
            <w:tcW w:w="0" w:type="auto"/>
            <w:tcBorders>
              <w:top w:val="nil"/>
              <w:left w:val="nil"/>
              <w:bottom w:val="single" w:sz="8" w:space="0" w:color="000000"/>
              <w:right w:val="nil"/>
            </w:tcBorders>
            <w:shd w:val="clear" w:color="auto" w:fill="auto"/>
            <w:vAlign w:val="center"/>
            <w:hideMark/>
          </w:tcPr>
          <w:p w14:paraId="3863C35F" w14:textId="77777777" w:rsidR="0066702F" w:rsidRPr="00AE4E8D" w:rsidRDefault="0066702F" w:rsidP="0066702F">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2014</w:t>
            </w:r>
          </w:p>
        </w:tc>
        <w:tc>
          <w:tcPr>
            <w:tcW w:w="0" w:type="auto"/>
            <w:tcBorders>
              <w:top w:val="nil"/>
              <w:left w:val="nil"/>
              <w:bottom w:val="single" w:sz="8" w:space="0" w:color="000000"/>
              <w:right w:val="nil"/>
            </w:tcBorders>
            <w:shd w:val="clear" w:color="auto" w:fill="auto"/>
            <w:vAlign w:val="center"/>
            <w:hideMark/>
          </w:tcPr>
          <w:p w14:paraId="664AD659" w14:textId="77777777" w:rsidR="0066702F" w:rsidRPr="00AE4E8D" w:rsidRDefault="0066702F" w:rsidP="0066702F">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2015</w:t>
            </w:r>
          </w:p>
        </w:tc>
        <w:tc>
          <w:tcPr>
            <w:tcW w:w="0" w:type="auto"/>
            <w:tcBorders>
              <w:top w:val="nil"/>
              <w:left w:val="nil"/>
              <w:bottom w:val="single" w:sz="8" w:space="0" w:color="000000"/>
              <w:right w:val="nil"/>
            </w:tcBorders>
            <w:shd w:val="clear" w:color="auto" w:fill="auto"/>
            <w:vAlign w:val="center"/>
            <w:hideMark/>
          </w:tcPr>
          <w:p w14:paraId="600DEF12" w14:textId="77777777" w:rsidR="0066702F" w:rsidRPr="00AE4E8D" w:rsidRDefault="0066702F" w:rsidP="0066702F">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2016</w:t>
            </w:r>
          </w:p>
        </w:tc>
        <w:tc>
          <w:tcPr>
            <w:tcW w:w="0" w:type="auto"/>
            <w:tcBorders>
              <w:top w:val="nil"/>
              <w:left w:val="nil"/>
              <w:bottom w:val="single" w:sz="8" w:space="0" w:color="000000"/>
              <w:right w:val="nil"/>
            </w:tcBorders>
            <w:shd w:val="clear" w:color="auto" w:fill="auto"/>
            <w:vAlign w:val="center"/>
            <w:hideMark/>
          </w:tcPr>
          <w:p w14:paraId="11995E1C" w14:textId="77777777" w:rsidR="0066702F" w:rsidRPr="00AE4E8D" w:rsidRDefault="0066702F" w:rsidP="0066702F">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2017</w:t>
            </w:r>
          </w:p>
        </w:tc>
      </w:tr>
      <w:tr w:rsidR="0066702F" w:rsidRPr="00AE4E8D" w14:paraId="77DCE69D" w14:textId="77777777" w:rsidTr="000400C8">
        <w:trPr>
          <w:trHeight w:val="203"/>
          <w:jc w:val="center"/>
        </w:trPr>
        <w:tc>
          <w:tcPr>
            <w:tcW w:w="4726" w:type="dxa"/>
            <w:tcBorders>
              <w:top w:val="nil"/>
              <w:left w:val="nil"/>
              <w:bottom w:val="nil"/>
              <w:right w:val="nil"/>
            </w:tcBorders>
            <w:shd w:val="clear" w:color="auto" w:fill="auto"/>
            <w:vAlign w:val="center"/>
            <w:hideMark/>
          </w:tcPr>
          <w:p w14:paraId="1E5D04E5" w14:textId="77777777" w:rsidR="0066702F" w:rsidRPr="00AE4E8D" w:rsidRDefault="0066702F" w:rsidP="0066702F">
            <w:pPr>
              <w:rPr>
                <w:rFonts w:ascii="Times New Roman" w:hAnsi="Times New Roman"/>
                <w:sz w:val="16"/>
                <w:szCs w:val="16"/>
                <w:lang w:val="es-ES"/>
              </w:rPr>
            </w:pPr>
          </w:p>
        </w:tc>
        <w:tc>
          <w:tcPr>
            <w:tcW w:w="0" w:type="auto"/>
            <w:gridSpan w:val="4"/>
            <w:tcBorders>
              <w:top w:val="single" w:sz="8" w:space="0" w:color="000000"/>
              <w:left w:val="nil"/>
              <w:bottom w:val="nil"/>
              <w:right w:val="nil"/>
            </w:tcBorders>
            <w:shd w:val="clear" w:color="auto" w:fill="auto"/>
            <w:vAlign w:val="center"/>
            <w:hideMark/>
          </w:tcPr>
          <w:p w14:paraId="71918D0C" w14:textId="77777777" w:rsidR="0066702F" w:rsidRPr="00AE4E8D" w:rsidRDefault="0066702F" w:rsidP="0066702F">
            <w:pPr>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(en millones de pesos)</w:t>
            </w:r>
          </w:p>
        </w:tc>
      </w:tr>
      <w:tr w:rsidR="0066702F" w:rsidRPr="00AE4E8D" w14:paraId="22FD40E7" w14:textId="77777777" w:rsidTr="000400C8">
        <w:trPr>
          <w:trHeight w:val="357"/>
          <w:jc w:val="center"/>
        </w:trPr>
        <w:tc>
          <w:tcPr>
            <w:tcW w:w="4726" w:type="dxa"/>
            <w:tcBorders>
              <w:top w:val="nil"/>
              <w:left w:val="nil"/>
              <w:bottom w:val="nil"/>
              <w:right w:val="nil"/>
            </w:tcBorders>
            <w:shd w:val="clear" w:color="auto" w:fill="auto"/>
            <w:vAlign w:val="center"/>
            <w:hideMark/>
          </w:tcPr>
          <w:p w14:paraId="70880C8B" w14:textId="77777777" w:rsidR="0066702F" w:rsidRPr="00AE4E8D" w:rsidRDefault="0066702F" w:rsidP="00E44FC6">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Disponibilidades </w:t>
            </w:r>
          </w:p>
        </w:tc>
        <w:tc>
          <w:tcPr>
            <w:tcW w:w="0" w:type="auto"/>
            <w:tcBorders>
              <w:top w:val="nil"/>
              <w:left w:val="nil"/>
              <w:bottom w:val="nil"/>
              <w:right w:val="nil"/>
            </w:tcBorders>
            <w:shd w:val="clear" w:color="auto" w:fill="auto"/>
            <w:noWrap/>
            <w:vAlign w:val="center"/>
            <w:hideMark/>
          </w:tcPr>
          <w:p w14:paraId="2E5625E9"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1.014,1</w:t>
            </w:r>
          </w:p>
        </w:tc>
        <w:tc>
          <w:tcPr>
            <w:tcW w:w="0" w:type="auto"/>
            <w:tcBorders>
              <w:top w:val="nil"/>
              <w:left w:val="nil"/>
              <w:bottom w:val="nil"/>
              <w:right w:val="nil"/>
            </w:tcBorders>
            <w:shd w:val="clear" w:color="auto" w:fill="auto"/>
            <w:noWrap/>
            <w:vAlign w:val="center"/>
            <w:hideMark/>
          </w:tcPr>
          <w:p w14:paraId="39F92766"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4.044,1</w:t>
            </w:r>
          </w:p>
        </w:tc>
        <w:tc>
          <w:tcPr>
            <w:tcW w:w="0" w:type="auto"/>
            <w:tcBorders>
              <w:top w:val="nil"/>
              <w:left w:val="nil"/>
              <w:bottom w:val="nil"/>
              <w:right w:val="nil"/>
            </w:tcBorders>
            <w:shd w:val="clear" w:color="auto" w:fill="auto"/>
            <w:noWrap/>
            <w:vAlign w:val="center"/>
            <w:hideMark/>
          </w:tcPr>
          <w:p w14:paraId="26694009"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3.802,1</w:t>
            </w:r>
          </w:p>
        </w:tc>
        <w:tc>
          <w:tcPr>
            <w:tcW w:w="0" w:type="auto"/>
            <w:tcBorders>
              <w:top w:val="nil"/>
              <w:left w:val="nil"/>
              <w:bottom w:val="nil"/>
              <w:right w:val="nil"/>
            </w:tcBorders>
            <w:shd w:val="clear" w:color="auto" w:fill="auto"/>
            <w:noWrap/>
            <w:vAlign w:val="center"/>
            <w:hideMark/>
          </w:tcPr>
          <w:p w14:paraId="2ECA53CA" w14:textId="77777777" w:rsidR="0066702F" w:rsidRPr="00AE4E8D" w:rsidRDefault="00350BBA" w:rsidP="00350BBA">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1.105,4</w:t>
            </w:r>
          </w:p>
        </w:tc>
      </w:tr>
      <w:tr w:rsidR="0066702F" w:rsidRPr="00AE4E8D" w14:paraId="2478E8EC" w14:textId="77777777" w:rsidTr="000400C8">
        <w:trPr>
          <w:trHeight w:val="357"/>
          <w:jc w:val="center"/>
        </w:trPr>
        <w:tc>
          <w:tcPr>
            <w:tcW w:w="4726" w:type="dxa"/>
            <w:tcBorders>
              <w:top w:val="nil"/>
              <w:left w:val="nil"/>
              <w:bottom w:val="nil"/>
              <w:right w:val="nil"/>
            </w:tcBorders>
            <w:shd w:val="clear" w:color="auto" w:fill="auto"/>
            <w:vAlign w:val="center"/>
            <w:hideMark/>
          </w:tcPr>
          <w:p w14:paraId="68AFB38F" w14:textId="77777777" w:rsidR="0066702F" w:rsidRPr="00AE4E8D" w:rsidRDefault="0066702F" w:rsidP="00E44FC6">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Títulos públicos y privados </w:t>
            </w:r>
          </w:p>
        </w:tc>
        <w:tc>
          <w:tcPr>
            <w:tcW w:w="0" w:type="auto"/>
            <w:tcBorders>
              <w:top w:val="nil"/>
              <w:left w:val="nil"/>
              <w:bottom w:val="nil"/>
              <w:right w:val="nil"/>
            </w:tcBorders>
            <w:shd w:val="clear" w:color="auto" w:fill="auto"/>
            <w:noWrap/>
            <w:vAlign w:val="center"/>
            <w:hideMark/>
          </w:tcPr>
          <w:p w14:paraId="37886664"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680,2</w:t>
            </w:r>
          </w:p>
        </w:tc>
        <w:tc>
          <w:tcPr>
            <w:tcW w:w="0" w:type="auto"/>
            <w:tcBorders>
              <w:top w:val="nil"/>
              <w:left w:val="nil"/>
              <w:bottom w:val="nil"/>
              <w:right w:val="nil"/>
            </w:tcBorders>
            <w:shd w:val="clear" w:color="auto" w:fill="auto"/>
            <w:noWrap/>
            <w:vAlign w:val="center"/>
            <w:hideMark/>
          </w:tcPr>
          <w:p w14:paraId="06CCE452"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1.021,9</w:t>
            </w:r>
          </w:p>
        </w:tc>
        <w:tc>
          <w:tcPr>
            <w:tcW w:w="0" w:type="auto"/>
            <w:tcBorders>
              <w:top w:val="nil"/>
              <w:left w:val="nil"/>
              <w:bottom w:val="nil"/>
              <w:right w:val="nil"/>
            </w:tcBorders>
            <w:shd w:val="clear" w:color="auto" w:fill="auto"/>
            <w:noWrap/>
            <w:vAlign w:val="center"/>
            <w:hideMark/>
          </w:tcPr>
          <w:p w14:paraId="7D5FD708"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2.578,2</w:t>
            </w:r>
          </w:p>
        </w:tc>
        <w:tc>
          <w:tcPr>
            <w:tcW w:w="0" w:type="auto"/>
            <w:tcBorders>
              <w:top w:val="nil"/>
              <w:left w:val="nil"/>
              <w:bottom w:val="nil"/>
              <w:right w:val="nil"/>
            </w:tcBorders>
            <w:shd w:val="clear" w:color="auto" w:fill="auto"/>
            <w:noWrap/>
            <w:vAlign w:val="center"/>
            <w:hideMark/>
          </w:tcPr>
          <w:p w14:paraId="60C9456A" w14:textId="77777777" w:rsidR="0066702F" w:rsidRPr="00AE4E8D" w:rsidRDefault="00350BBA" w:rsidP="00350BBA">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2.513,1</w:t>
            </w:r>
          </w:p>
        </w:tc>
      </w:tr>
      <w:tr w:rsidR="0066702F" w:rsidRPr="00AE4E8D" w14:paraId="6B889EC6" w14:textId="77777777" w:rsidTr="000400C8">
        <w:trPr>
          <w:trHeight w:val="338"/>
          <w:jc w:val="center"/>
        </w:trPr>
        <w:tc>
          <w:tcPr>
            <w:tcW w:w="4726" w:type="dxa"/>
            <w:tcBorders>
              <w:top w:val="nil"/>
              <w:left w:val="nil"/>
              <w:bottom w:val="nil"/>
              <w:right w:val="nil"/>
            </w:tcBorders>
            <w:shd w:val="clear" w:color="auto" w:fill="auto"/>
            <w:vAlign w:val="center"/>
            <w:hideMark/>
          </w:tcPr>
          <w:p w14:paraId="4D8C7169" w14:textId="77777777" w:rsidR="0066702F" w:rsidRPr="00AE4E8D" w:rsidRDefault="0066702F" w:rsidP="00E44FC6">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Préstamos </w:t>
            </w:r>
          </w:p>
        </w:tc>
        <w:tc>
          <w:tcPr>
            <w:tcW w:w="0" w:type="auto"/>
            <w:tcBorders>
              <w:top w:val="nil"/>
              <w:left w:val="nil"/>
              <w:bottom w:val="nil"/>
              <w:right w:val="nil"/>
            </w:tcBorders>
            <w:shd w:val="clear" w:color="auto" w:fill="auto"/>
            <w:noWrap/>
            <w:vAlign w:val="center"/>
            <w:hideMark/>
          </w:tcPr>
          <w:p w14:paraId="1FE7B485"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929,3</w:t>
            </w:r>
          </w:p>
        </w:tc>
        <w:tc>
          <w:tcPr>
            <w:tcW w:w="0" w:type="auto"/>
            <w:tcBorders>
              <w:top w:val="nil"/>
              <w:left w:val="nil"/>
              <w:bottom w:val="nil"/>
              <w:right w:val="nil"/>
            </w:tcBorders>
            <w:shd w:val="clear" w:color="auto" w:fill="auto"/>
            <w:noWrap/>
            <w:vAlign w:val="center"/>
            <w:hideMark/>
          </w:tcPr>
          <w:p w14:paraId="170510F6"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893,9</w:t>
            </w:r>
          </w:p>
        </w:tc>
        <w:tc>
          <w:tcPr>
            <w:tcW w:w="0" w:type="auto"/>
            <w:tcBorders>
              <w:top w:val="nil"/>
              <w:left w:val="nil"/>
              <w:bottom w:val="nil"/>
              <w:right w:val="nil"/>
            </w:tcBorders>
            <w:shd w:val="clear" w:color="auto" w:fill="auto"/>
            <w:noWrap/>
            <w:vAlign w:val="center"/>
            <w:hideMark/>
          </w:tcPr>
          <w:p w14:paraId="38685B26"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2.962,4</w:t>
            </w:r>
          </w:p>
        </w:tc>
        <w:tc>
          <w:tcPr>
            <w:tcW w:w="0" w:type="auto"/>
            <w:tcBorders>
              <w:top w:val="nil"/>
              <w:left w:val="nil"/>
              <w:bottom w:val="nil"/>
              <w:right w:val="nil"/>
            </w:tcBorders>
            <w:shd w:val="clear" w:color="auto" w:fill="auto"/>
            <w:noWrap/>
            <w:vAlign w:val="center"/>
            <w:hideMark/>
          </w:tcPr>
          <w:p w14:paraId="167D99F9" w14:textId="77777777" w:rsidR="0066702F" w:rsidRPr="00AE4E8D" w:rsidRDefault="00350BBA" w:rsidP="00350BBA">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3.478,0</w:t>
            </w:r>
          </w:p>
        </w:tc>
      </w:tr>
      <w:tr w:rsidR="0066702F" w:rsidRPr="00AE4E8D" w14:paraId="027C6DBB" w14:textId="77777777" w:rsidTr="000400C8">
        <w:trPr>
          <w:trHeight w:val="270"/>
          <w:jc w:val="center"/>
        </w:trPr>
        <w:tc>
          <w:tcPr>
            <w:tcW w:w="4726" w:type="dxa"/>
            <w:tcBorders>
              <w:top w:val="nil"/>
              <w:left w:val="nil"/>
              <w:bottom w:val="nil"/>
              <w:right w:val="nil"/>
            </w:tcBorders>
            <w:shd w:val="clear" w:color="auto" w:fill="auto"/>
            <w:vAlign w:val="center"/>
            <w:hideMark/>
          </w:tcPr>
          <w:p w14:paraId="73401068" w14:textId="77777777" w:rsidR="0066702F" w:rsidRPr="00AE4E8D" w:rsidRDefault="0066702F" w:rsidP="00E44FC6">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Otros créditos por intermediación financiera </w:t>
            </w:r>
          </w:p>
        </w:tc>
        <w:tc>
          <w:tcPr>
            <w:tcW w:w="0" w:type="auto"/>
            <w:tcBorders>
              <w:top w:val="nil"/>
              <w:left w:val="nil"/>
              <w:bottom w:val="nil"/>
              <w:right w:val="nil"/>
            </w:tcBorders>
            <w:shd w:val="clear" w:color="auto" w:fill="auto"/>
            <w:noWrap/>
            <w:vAlign w:val="center"/>
            <w:hideMark/>
          </w:tcPr>
          <w:p w14:paraId="7BC256FF"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379,9</w:t>
            </w:r>
          </w:p>
        </w:tc>
        <w:tc>
          <w:tcPr>
            <w:tcW w:w="0" w:type="auto"/>
            <w:tcBorders>
              <w:top w:val="nil"/>
              <w:left w:val="nil"/>
              <w:bottom w:val="nil"/>
              <w:right w:val="nil"/>
            </w:tcBorders>
            <w:shd w:val="clear" w:color="auto" w:fill="auto"/>
            <w:noWrap/>
            <w:vAlign w:val="center"/>
            <w:hideMark/>
          </w:tcPr>
          <w:p w14:paraId="69906028"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358,1</w:t>
            </w:r>
          </w:p>
        </w:tc>
        <w:tc>
          <w:tcPr>
            <w:tcW w:w="0" w:type="auto"/>
            <w:tcBorders>
              <w:top w:val="nil"/>
              <w:left w:val="nil"/>
              <w:bottom w:val="nil"/>
              <w:right w:val="nil"/>
            </w:tcBorders>
            <w:shd w:val="clear" w:color="auto" w:fill="auto"/>
            <w:noWrap/>
            <w:vAlign w:val="center"/>
            <w:hideMark/>
          </w:tcPr>
          <w:p w14:paraId="62C5D18B"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1.071,2</w:t>
            </w:r>
          </w:p>
        </w:tc>
        <w:tc>
          <w:tcPr>
            <w:tcW w:w="0" w:type="auto"/>
            <w:tcBorders>
              <w:top w:val="nil"/>
              <w:left w:val="nil"/>
              <w:bottom w:val="nil"/>
              <w:right w:val="nil"/>
            </w:tcBorders>
            <w:shd w:val="clear" w:color="auto" w:fill="auto"/>
            <w:noWrap/>
            <w:vAlign w:val="center"/>
            <w:hideMark/>
          </w:tcPr>
          <w:p w14:paraId="5A04BABB" w14:textId="77777777" w:rsidR="0066702F" w:rsidRPr="00AE4E8D" w:rsidRDefault="00350BBA" w:rsidP="000E5977">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97</w:t>
            </w:r>
            <w:r w:rsidR="000E5977" w:rsidRPr="00AE4E8D">
              <w:rPr>
                <w:rFonts w:ascii="Times New Roman" w:hAnsi="Times New Roman"/>
                <w:color w:val="000000"/>
                <w:sz w:val="16"/>
                <w:szCs w:val="16"/>
                <w:lang w:val="es-ES"/>
              </w:rPr>
              <w:t>5,6</w:t>
            </w:r>
          </w:p>
        </w:tc>
      </w:tr>
      <w:tr w:rsidR="0066702F" w:rsidRPr="00AE4E8D" w14:paraId="686CAA7E" w14:textId="77777777" w:rsidTr="000400C8">
        <w:trPr>
          <w:trHeight w:val="288"/>
          <w:jc w:val="center"/>
        </w:trPr>
        <w:tc>
          <w:tcPr>
            <w:tcW w:w="4726" w:type="dxa"/>
            <w:tcBorders>
              <w:top w:val="nil"/>
              <w:left w:val="nil"/>
              <w:bottom w:val="nil"/>
              <w:right w:val="nil"/>
            </w:tcBorders>
            <w:shd w:val="clear" w:color="auto" w:fill="auto"/>
            <w:vAlign w:val="center"/>
            <w:hideMark/>
          </w:tcPr>
          <w:p w14:paraId="7A8A5195" w14:textId="77777777" w:rsidR="0066702F" w:rsidRPr="00AE4E8D" w:rsidRDefault="0066702F" w:rsidP="00E44FC6">
            <w:pPr>
              <w:rPr>
                <w:rFonts w:ascii="Times New Roman" w:hAnsi="Times New Roman"/>
                <w:color w:val="000000"/>
                <w:sz w:val="16"/>
                <w:szCs w:val="16"/>
                <w:lang w:val="es-ES"/>
              </w:rPr>
            </w:pPr>
            <w:r w:rsidRPr="00AE4E8D">
              <w:rPr>
                <w:rFonts w:ascii="Times New Roman" w:hAnsi="Times New Roman"/>
                <w:color w:val="000000"/>
                <w:sz w:val="16"/>
                <w:szCs w:val="16"/>
                <w:lang w:val="es-ES"/>
              </w:rPr>
              <w:lastRenderedPageBreak/>
              <w:t xml:space="preserve">Depósitos </w:t>
            </w:r>
          </w:p>
        </w:tc>
        <w:tc>
          <w:tcPr>
            <w:tcW w:w="0" w:type="auto"/>
            <w:tcBorders>
              <w:top w:val="nil"/>
              <w:left w:val="nil"/>
              <w:bottom w:val="nil"/>
              <w:right w:val="nil"/>
            </w:tcBorders>
            <w:shd w:val="clear" w:color="auto" w:fill="auto"/>
            <w:noWrap/>
            <w:vAlign w:val="center"/>
            <w:hideMark/>
          </w:tcPr>
          <w:p w14:paraId="2768B93E"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(549,0)</w:t>
            </w:r>
          </w:p>
        </w:tc>
        <w:tc>
          <w:tcPr>
            <w:tcW w:w="0" w:type="auto"/>
            <w:tcBorders>
              <w:top w:val="nil"/>
              <w:left w:val="nil"/>
              <w:bottom w:val="nil"/>
              <w:right w:val="nil"/>
            </w:tcBorders>
            <w:shd w:val="clear" w:color="auto" w:fill="auto"/>
            <w:noWrap/>
            <w:vAlign w:val="center"/>
            <w:hideMark/>
          </w:tcPr>
          <w:p w14:paraId="77975085"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(1.182,2)</w:t>
            </w:r>
          </w:p>
        </w:tc>
        <w:tc>
          <w:tcPr>
            <w:tcW w:w="0" w:type="auto"/>
            <w:tcBorders>
              <w:top w:val="nil"/>
              <w:left w:val="nil"/>
              <w:bottom w:val="nil"/>
              <w:right w:val="nil"/>
            </w:tcBorders>
            <w:shd w:val="clear" w:color="auto" w:fill="auto"/>
            <w:noWrap/>
            <w:vAlign w:val="center"/>
            <w:hideMark/>
          </w:tcPr>
          <w:p w14:paraId="02F8E5B9"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(3.326,1)</w:t>
            </w:r>
          </w:p>
        </w:tc>
        <w:tc>
          <w:tcPr>
            <w:tcW w:w="0" w:type="auto"/>
            <w:tcBorders>
              <w:top w:val="nil"/>
              <w:left w:val="nil"/>
              <w:bottom w:val="nil"/>
              <w:right w:val="nil"/>
            </w:tcBorders>
            <w:shd w:val="clear" w:color="auto" w:fill="auto"/>
            <w:noWrap/>
            <w:vAlign w:val="center"/>
            <w:hideMark/>
          </w:tcPr>
          <w:p w14:paraId="219190CC" w14:textId="77777777" w:rsidR="0066702F" w:rsidRPr="00AE4E8D" w:rsidRDefault="00350BBA" w:rsidP="000E5977">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w:t>
            </w:r>
            <w:r w:rsidR="000E5977" w:rsidRPr="00AE4E8D">
              <w:rPr>
                <w:rFonts w:ascii="Times New Roman" w:hAnsi="Times New Roman"/>
                <w:color w:val="000000"/>
                <w:sz w:val="16"/>
                <w:szCs w:val="16"/>
                <w:lang w:val="es-ES"/>
              </w:rPr>
              <w:t>345,0</w:t>
            </w:r>
            <w:r w:rsidRPr="00AE4E8D">
              <w:rPr>
                <w:rFonts w:ascii="Times New Roman" w:hAnsi="Times New Roman"/>
                <w:color w:val="000000"/>
                <w:sz w:val="16"/>
                <w:szCs w:val="16"/>
                <w:lang w:val="es-ES"/>
              </w:rPr>
              <w:t>)</w:t>
            </w:r>
          </w:p>
        </w:tc>
      </w:tr>
      <w:tr w:rsidR="0066702F" w:rsidRPr="00AE4E8D" w14:paraId="4D252B44" w14:textId="77777777" w:rsidTr="000400C8">
        <w:trPr>
          <w:trHeight w:val="362"/>
          <w:jc w:val="center"/>
        </w:trPr>
        <w:tc>
          <w:tcPr>
            <w:tcW w:w="4726" w:type="dxa"/>
            <w:tcBorders>
              <w:top w:val="nil"/>
              <w:left w:val="nil"/>
              <w:bottom w:val="nil"/>
              <w:right w:val="nil"/>
            </w:tcBorders>
            <w:shd w:val="clear" w:color="auto" w:fill="auto"/>
            <w:vAlign w:val="center"/>
            <w:hideMark/>
          </w:tcPr>
          <w:p w14:paraId="2BD58016" w14:textId="77777777" w:rsidR="0066702F" w:rsidRPr="00AE4E8D" w:rsidRDefault="0066702F" w:rsidP="00E44FC6">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Otras obligaciones por intermediación financieras </w:t>
            </w:r>
          </w:p>
        </w:tc>
        <w:tc>
          <w:tcPr>
            <w:tcW w:w="0" w:type="auto"/>
            <w:tcBorders>
              <w:top w:val="nil"/>
              <w:left w:val="nil"/>
              <w:bottom w:val="single" w:sz="8" w:space="0" w:color="auto"/>
              <w:right w:val="nil"/>
            </w:tcBorders>
            <w:shd w:val="clear" w:color="auto" w:fill="auto"/>
            <w:noWrap/>
            <w:vAlign w:val="center"/>
            <w:hideMark/>
          </w:tcPr>
          <w:p w14:paraId="389F9D71"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(2.242,3)</w:t>
            </w:r>
          </w:p>
        </w:tc>
        <w:tc>
          <w:tcPr>
            <w:tcW w:w="0" w:type="auto"/>
            <w:tcBorders>
              <w:top w:val="nil"/>
              <w:left w:val="nil"/>
              <w:bottom w:val="single" w:sz="8" w:space="0" w:color="auto"/>
              <w:right w:val="nil"/>
            </w:tcBorders>
            <w:shd w:val="clear" w:color="auto" w:fill="auto"/>
            <w:noWrap/>
            <w:vAlign w:val="center"/>
            <w:hideMark/>
          </w:tcPr>
          <w:p w14:paraId="5E67BC89"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(4.249,0)</w:t>
            </w:r>
          </w:p>
        </w:tc>
        <w:tc>
          <w:tcPr>
            <w:tcW w:w="0" w:type="auto"/>
            <w:tcBorders>
              <w:top w:val="nil"/>
              <w:left w:val="nil"/>
              <w:bottom w:val="single" w:sz="8" w:space="0" w:color="auto"/>
              <w:right w:val="nil"/>
            </w:tcBorders>
            <w:shd w:val="clear" w:color="auto" w:fill="auto"/>
            <w:noWrap/>
            <w:vAlign w:val="center"/>
            <w:hideMark/>
          </w:tcPr>
          <w:p w14:paraId="4CB8AE5B"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(7.522,7)</w:t>
            </w:r>
          </w:p>
        </w:tc>
        <w:tc>
          <w:tcPr>
            <w:tcW w:w="0" w:type="auto"/>
            <w:tcBorders>
              <w:top w:val="nil"/>
              <w:left w:val="nil"/>
              <w:bottom w:val="single" w:sz="8" w:space="0" w:color="auto"/>
              <w:right w:val="nil"/>
            </w:tcBorders>
            <w:shd w:val="clear" w:color="auto" w:fill="auto"/>
            <w:noWrap/>
            <w:vAlign w:val="center"/>
            <w:hideMark/>
          </w:tcPr>
          <w:p w14:paraId="6405CA0C" w14:textId="77777777" w:rsidR="0066702F" w:rsidRPr="00AE4E8D" w:rsidRDefault="00350BBA" w:rsidP="000E5977">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(6.</w:t>
            </w:r>
            <w:r w:rsidR="000E5977" w:rsidRPr="00AE4E8D">
              <w:rPr>
                <w:rFonts w:ascii="Times New Roman" w:hAnsi="Times New Roman"/>
                <w:color w:val="000000"/>
                <w:sz w:val="16"/>
                <w:szCs w:val="16"/>
                <w:lang w:val="es-ES"/>
              </w:rPr>
              <w:t>848,7</w:t>
            </w:r>
            <w:r w:rsidRPr="00AE4E8D">
              <w:rPr>
                <w:rFonts w:ascii="Times New Roman" w:hAnsi="Times New Roman"/>
                <w:color w:val="000000"/>
                <w:sz w:val="16"/>
                <w:szCs w:val="16"/>
                <w:lang w:val="es-ES"/>
              </w:rPr>
              <w:t>)</w:t>
            </w:r>
          </w:p>
        </w:tc>
      </w:tr>
      <w:tr w:rsidR="0066702F" w:rsidRPr="00AE4E8D" w14:paraId="338B6D62" w14:textId="77777777" w:rsidTr="000400C8">
        <w:trPr>
          <w:trHeight w:val="203"/>
          <w:jc w:val="center"/>
        </w:trPr>
        <w:tc>
          <w:tcPr>
            <w:tcW w:w="4726" w:type="dxa"/>
            <w:tcBorders>
              <w:top w:val="nil"/>
              <w:left w:val="nil"/>
              <w:bottom w:val="nil"/>
              <w:right w:val="nil"/>
            </w:tcBorders>
            <w:shd w:val="clear" w:color="auto" w:fill="auto"/>
            <w:vAlign w:val="center"/>
            <w:hideMark/>
          </w:tcPr>
          <w:p w14:paraId="25F9A1AD" w14:textId="77777777" w:rsidR="0066702F" w:rsidRPr="00AE4E8D" w:rsidRDefault="00EB3492" w:rsidP="0066702F">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w:t>
            </w:r>
            <w:r w:rsidR="0066702F" w:rsidRPr="00AE4E8D">
              <w:rPr>
                <w:rFonts w:ascii="Times New Roman" w:hAnsi="Times New Roman"/>
                <w:b/>
                <w:bCs/>
                <w:color w:val="000000"/>
                <w:sz w:val="16"/>
                <w:szCs w:val="16"/>
                <w:lang w:val="es-ES"/>
              </w:rPr>
              <w:t xml:space="preserve"> Subtotal</w:t>
            </w:r>
            <w:r w:rsidR="0066702F" w:rsidRPr="00AE4E8D">
              <w:rPr>
                <w:rFonts w:ascii="Times New Roman" w:hAnsi="Times New Roman"/>
                <w:color w:val="000000"/>
                <w:sz w:val="16"/>
                <w:szCs w:val="16"/>
                <w:lang w:val="es-ES"/>
              </w:rPr>
              <w:t xml:space="preserve"> </w:t>
            </w:r>
          </w:p>
        </w:tc>
        <w:tc>
          <w:tcPr>
            <w:tcW w:w="0" w:type="auto"/>
            <w:tcBorders>
              <w:top w:val="nil"/>
              <w:left w:val="nil"/>
              <w:bottom w:val="nil"/>
              <w:right w:val="nil"/>
            </w:tcBorders>
            <w:shd w:val="clear" w:color="auto" w:fill="auto"/>
            <w:noWrap/>
            <w:vAlign w:val="center"/>
            <w:hideMark/>
          </w:tcPr>
          <w:p w14:paraId="74BC38BF"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212,2</w:t>
            </w:r>
          </w:p>
        </w:tc>
        <w:tc>
          <w:tcPr>
            <w:tcW w:w="0" w:type="auto"/>
            <w:tcBorders>
              <w:top w:val="nil"/>
              <w:left w:val="nil"/>
              <w:bottom w:val="nil"/>
              <w:right w:val="nil"/>
            </w:tcBorders>
            <w:shd w:val="clear" w:color="auto" w:fill="auto"/>
            <w:noWrap/>
            <w:vAlign w:val="center"/>
            <w:hideMark/>
          </w:tcPr>
          <w:p w14:paraId="73D9DB7D" w14:textId="77777777" w:rsidR="0066702F" w:rsidRPr="00AE4E8D" w:rsidRDefault="0066702F" w:rsidP="00B26B1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886,</w:t>
            </w:r>
            <w:r w:rsidR="00B26B15" w:rsidRPr="00AE4E8D">
              <w:rPr>
                <w:rFonts w:ascii="Times New Roman" w:hAnsi="Times New Roman"/>
                <w:color w:val="000000"/>
                <w:sz w:val="16"/>
                <w:szCs w:val="16"/>
                <w:lang w:val="es-ES"/>
              </w:rPr>
              <w:t>8</w:t>
            </w:r>
          </w:p>
        </w:tc>
        <w:tc>
          <w:tcPr>
            <w:tcW w:w="0" w:type="auto"/>
            <w:tcBorders>
              <w:top w:val="nil"/>
              <w:left w:val="nil"/>
              <w:bottom w:val="nil"/>
              <w:right w:val="nil"/>
            </w:tcBorders>
            <w:shd w:val="clear" w:color="auto" w:fill="auto"/>
            <w:noWrap/>
            <w:vAlign w:val="center"/>
            <w:hideMark/>
          </w:tcPr>
          <w:p w14:paraId="07C63E07" w14:textId="77777777" w:rsidR="0066702F" w:rsidRPr="00AE4E8D" w:rsidRDefault="0066702F" w:rsidP="00B26B1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(434,</w:t>
            </w:r>
            <w:r w:rsidR="00B26B15" w:rsidRPr="00AE4E8D">
              <w:rPr>
                <w:rFonts w:ascii="Times New Roman" w:hAnsi="Times New Roman"/>
                <w:color w:val="000000"/>
                <w:sz w:val="16"/>
                <w:szCs w:val="16"/>
                <w:lang w:val="es-ES"/>
              </w:rPr>
              <w:t>9</w:t>
            </w:r>
            <w:r w:rsidRPr="00AE4E8D">
              <w:rPr>
                <w:rFonts w:ascii="Times New Roman" w:hAnsi="Times New Roman"/>
                <w:color w:val="000000"/>
                <w:sz w:val="16"/>
                <w:szCs w:val="16"/>
                <w:lang w:val="es-ES"/>
              </w:rPr>
              <w:t>)</w:t>
            </w:r>
          </w:p>
        </w:tc>
        <w:tc>
          <w:tcPr>
            <w:tcW w:w="0" w:type="auto"/>
            <w:tcBorders>
              <w:top w:val="nil"/>
              <w:left w:val="nil"/>
              <w:bottom w:val="nil"/>
              <w:right w:val="nil"/>
            </w:tcBorders>
            <w:shd w:val="clear" w:color="auto" w:fill="auto"/>
            <w:noWrap/>
            <w:vAlign w:val="center"/>
            <w:hideMark/>
          </w:tcPr>
          <w:p w14:paraId="5B465082" w14:textId="77777777" w:rsidR="0066702F" w:rsidRPr="00AE4E8D" w:rsidRDefault="00350BBA" w:rsidP="00350BBA">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(2.121,6)</w:t>
            </w:r>
          </w:p>
        </w:tc>
      </w:tr>
      <w:tr w:rsidR="0066702F" w:rsidRPr="00AE4E8D" w14:paraId="62620820" w14:textId="77777777" w:rsidTr="000400C8">
        <w:trPr>
          <w:trHeight w:val="203"/>
          <w:jc w:val="center"/>
        </w:trPr>
        <w:tc>
          <w:tcPr>
            <w:tcW w:w="4726" w:type="dxa"/>
            <w:tcBorders>
              <w:top w:val="nil"/>
              <w:left w:val="nil"/>
              <w:bottom w:val="nil"/>
              <w:right w:val="nil"/>
            </w:tcBorders>
            <w:shd w:val="clear" w:color="auto" w:fill="auto"/>
            <w:vAlign w:val="center"/>
            <w:hideMark/>
          </w:tcPr>
          <w:p w14:paraId="06F0207F" w14:textId="77777777" w:rsidR="0066702F" w:rsidRPr="00AE4E8D" w:rsidRDefault="0066702F" w:rsidP="0066702F">
            <w:pPr>
              <w:rPr>
                <w:rFonts w:ascii="Times New Roman" w:hAnsi="Times New Roman"/>
                <w:sz w:val="16"/>
                <w:szCs w:val="16"/>
                <w:lang w:val="es-ES"/>
              </w:rPr>
            </w:pPr>
          </w:p>
        </w:tc>
        <w:tc>
          <w:tcPr>
            <w:tcW w:w="0" w:type="auto"/>
            <w:tcBorders>
              <w:top w:val="nil"/>
              <w:left w:val="nil"/>
              <w:bottom w:val="nil"/>
              <w:right w:val="nil"/>
            </w:tcBorders>
            <w:shd w:val="clear" w:color="auto" w:fill="auto"/>
            <w:noWrap/>
            <w:vAlign w:val="center"/>
            <w:hideMark/>
          </w:tcPr>
          <w:p w14:paraId="451B5E16" w14:textId="77777777" w:rsidR="0066702F" w:rsidRPr="00AE4E8D" w:rsidRDefault="0066702F" w:rsidP="0066702F">
            <w:pPr>
              <w:rPr>
                <w:rFonts w:ascii="Times New Roman" w:hAnsi="Times New Roman"/>
                <w:sz w:val="16"/>
                <w:szCs w:val="16"/>
                <w:lang w:val="es-ES"/>
              </w:rPr>
            </w:pPr>
          </w:p>
        </w:tc>
        <w:tc>
          <w:tcPr>
            <w:tcW w:w="0" w:type="auto"/>
            <w:tcBorders>
              <w:top w:val="nil"/>
              <w:left w:val="nil"/>
              <w:bottom w:val="nil"/>
              <w:right w:val="nil"/>
            </w:tcBorders>
            <w:shd w:val="clear" w:color="auto" w:fill="auto"/>
            <w:noWrap/>
            <w:vAlign w:val="center"/>
            <w:hideMark/>
          </w:tcPr>
          <w:p w14:paraId="45F54370" w14:textId="77777777" w:rsidR="0066702F" w:rsidRPr="00AE4E8D" w:rsidRDefault="0066702F" w:rsidP="0066702F">
            <w:pPr>
              <w:rPr>
                <w:rFonts w:ascii="Times New Roman" w:hAnsi="Times New Roman"/>
                <w:sz w:val="16"/>
                <w:szCs w:val="16"/>
                <w:lang w:val="es-ES"/>
              </w:rPr>
            </w:pPr>
          </w:p>
        </w:tc>
        <w:tc>
          <w:tcPr>
            <w:tcW w:w="0" w:type="auto"/>
            <w:tcBorders>
              <w:top w:val="nil"/>
              <w:left w:val="nil"/>
              <w:bottom w:val="nil"/>
              <w:right w:val="nil"/>
            </w:tcBorders>
            <w:shd w:val="clear" w:color="auto" w:fill="auto"/>
            <w:noWrap/>
            <w:vAlign w:val="center"/>
            <w:hideMark/>
          </w:tcPr>
          <w:p w14:paraId="6D290A88" w14:textId="77777777" w:rsidR="0066702F" w:rsidRPr="00AE4E8D" w:rsidRDefault="0066702F" w:rsidP="0066702F">
            <w:pPr>
              <w:rPr>
                <w:rFonts w:ascii="Times New Roman" w:hAnsi="Times New Roman"/>
                <w:sz w:val="16"/>
                <w:szCs w:val="16"/>
                <w:lang w:val="es-ES"/>
              </w:rPr>
            </w:pPr>
          </w:p>
        </w:tc>
        <w:tc>
          <w:tcPr>
            <w:tcW w:w="0" w:type="auto"/>
            <w:tcBorders>
              <w:top w:val="nil"/>
              <w:left w:val="nil"/>
              <w:bottom w:val="nil"/>
              <w:right w:val="nil"/>
            </w:tcBorders>
            <w:shd w:val="clear" w:color="auto" w:fill="auto"/>
            <w:noWrap/>
            <w:vAlign w:val="center"/>
            <w:hideMark/>
          </w:tcPr>
          <w:p w14:paraId="5A86045B" w14:textId="77777777" w:rsidR="0066702F" w:rsidRPr="00AE4E8D" w:rsidRDefault="0066702F" w:rsidP="0066702F">
            <w:pPr>
              <w:rPr>
                <w:rFonts w:ascii="Times New Roman" w:hAnsi="Times New Roman"/>
                <w:sz w:val="16"/>
                <w:szCs w:val="16"/>
                <w:lang w:val="es-ES"/>
              </w:rPr>
            </w:pPr>
          </w:p>
        </w:tc>
      </w:tr>
      <w:tr w:rsidR="0066702F" w:rsidRPr="00AE4E8D" w14:paraId="55BD1E97" w14:textId="77777777" w:rsidTr="000400C8">
        <w:trPr>
          <w:trHeight w:val="348"/>
          <w:jc w:val="center"/>
        </w:trPr>
        <w:tc>
          <w:tcPr>
            <w:tcW w:w="4726" w:type="dxa"/>
            <w:tcBorders>
              <w:top w:val="nil"/>
              <w:left w:val="nil"/>
              <w:bottom w:val="nil"/>
              <w:right w:val="nil"/>
            </w:tcBorders>
            <w:shd w:val="clear" w:color="auto" w:fill="auto"/>
            <w:vAlign w:val="center"/>
            <w:hideMark/>
          </w:tcPr>
          <w:p w14:paraId="65DE9122" w14:textId="77777777" w:rsidR="0066702F" w:rsidRPr="00AE4E8D" w:rsidRDefault="0066702F" w:rsidP="00E44FC6">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Compras a término ajustadas al valor de mercado (*) </w:t>
            </w:r>
          </w:p>
        </w:tc>
        <w:tc>
          <w:tcPr>
            <w:tcW w:w="0" w:type="auto"/>
            <w:tcBorders>
              <w:top w:val="nil"/>
              <w:left w:val="nil"/>
              <w:bottom w:val="nil"/>
              <w:right w:val="nil"/>
            </w:tcBorders>
            <w:shd w:val="clear" w:color="auto" w:fill="auto"/>
            <w:noWrap/>
            <w:vAlign w:val="center"/>
            <w:hideMark/>
          </w:tcPr>
          <w:p w14:paraId="2672B991"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2.625,1</w:t>
            </w:r>
          </w:p>
        </w:tc>
        <w:tc>
          <w:tcPr>
            <w:tcW w:w="0" w:type="auto"/>
            <w:tcBorders>
              <w:top w:val="nil"/>
              <w:left w:val="nil"/>
              <w:bottom w:val="nil"/>
              <w:right w:val="nil"/>
            </w:tcBorders>
            <w:shd w:val="clear" w:color="auto" w:fill="auto"/>
            <w:noWrap/>
            <w:vAlign w:val="center"/>
            <w:hideMark/>
          </w:tcPr>
          <w:p w14:paraId="1A45BEF4"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7.810,3</w:t>
            </w:r>
          </w:p>
        </w:tc>
        <w:tc>
          <w:tcPr>
            <w:tcW w:w="0" w:type="auto"/>
            <w:tcBorders>
              <w:top w:val="nil"/>
              <w:left w:val="nil"/>
              <w:bottom w:val="nil"/>
              <w:right w:val="nil"/>
            </w:tcBorders>
            <w:shd w:val="clear" w:color="auto" w:fill="auto"/>
            <w:noWrap/>
            <w:vAlign w:val="center"/>
            <w:hideMark/>
          </w:tcPr>
          <w:p w14:paraId="00BB50DD"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29.756,0</w:t>
            </w:r>
          </w:p>
        </w:tc>
        <w:tc>
          <w:tcPr>
            <w:tcW w:w="0" w:type="auto"/>
            <w:tcBorders>
              <w:top w:val="nil"/>
              <w:left w:val="nil"/>
              <w:bottom w:val="nil"/>
              <w:right w:val="nil"/>
            </w:tcBorders>
            <w:shd w:val="clear" w:color="auto" w:fill="auto"/>
            <w:noWrap/>
            <w:vAlign w:val="center"/>
            <w:hideMark/>
          </w:tcPr>
          <w:p w14:paraId="2D19E6EF" w14:textId="77777777" w:rsidR="0066702F" w:rsidRPr="00AE4E8D" w:rsidRDefault="00350BBA" w:rsidP="00350BBA">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9.377,5</w:t>
            </w:r>
          </w:p>
        </w:tc>
      </w:tr>
      <w:tr w:rsidR="0066702F" w:rsidRPr="00AE4E8D" w14:paraId="47752D8D" w14:textId="77777777" w:rsidTr="000400C8">
        <w:trPr>
          <w:trHeight w:val="293"/>
          <w:jc w:val="center"/>
        </w:trPr>
        <w:tc>
          <w:tcPr>
            <w:tcW w:w="4726" w:type="dxa"/>
            <w:tcBorders>
              <w:top w:val="nil"/>
              <w:left w:val="nil"/>
              <w:bottom w:val="nil"/>
              <w:right w:val="nil"/>
            </w:tcBorders>
            <w:shd w:val="clear" w:color="auto" w:fill="auto"/>
            <w:vAlign w:val="center"/>
            <w:hideMark/>
          </w:tcPr>
          <w:p w14:paraId="534B5BF0" w14:textId="77777777" w:rsidR="0066702F" w:rsidRPr="00AE4E8D" w:rsidRDefault="0066702F" w:rsidP="00E44FC6">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Ventas a término ajustadas al valor de mercado (*) </w:t>
            </w:r>
          </w:p>
        </w:tc>
        <w:tc>
          <w:tcPr>
            <w:tcW w:w="0" w:type="auto"/>
            <w:tcBorders>
              <w:top w:val="nil"/>
              <w:left w:val="nil"/>
              <w:bottom w:val="single" w:sz="8" w:space="0" w:color="auto"/>
              <w:right w:val="nil"/>
            </w:tcBorders>
            <w:shd w:val="clear" w:color="auto" w:fill="auto"/>
            <w:noWrap/>
            <w:vAlign w:val="center"/>
            <w:hideMark/>
          </w:tcPr>
          <w:p w14:paraId="0D12D684"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(2.630,9)</w:t>
            </w:r>
          </w:p>
        </w:tc>
        <w:tc>
          <w:tcPr>
            <w:tcW w:w="0" w:type="auto"/>
            <w:tcBorders>
              <w:top w:val="nil"/>
              <w:left w:val="nil"/>
              <w:bottom w:val="single" w:sz="8" w:space="0" w:color="auto"/>
              <w:right w:val="nil"/>
            </w:tcBorders>
            <w:shd w:val="clear" w:color="auto" w:fill="auto"/>
            <w:noWrap/>
            <w:vAlign w:val="center"/>
            <w:hideMark/>
          </w:tcPr>
          <w:p w14:paraId="26BC2EA4"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(7.550,6)</w:t>
            </w:r>
          </w:p>
        </w:tc>
        <w:tc>
          <w:tcPr>
            <w:tcW w:w="0" w:type="auto"/>
            <w:tcBorders>
              <w:top w:val="nil"/>
              <w:left w:val="nil"/>
              <w:bottom w:val="single" w:sz="8" w:space="0" w:color="auto"/>
              <w:right w:val="nil"/>
            </w:tcBorders>
            <w:shd w:val="clear" w:color="auto" w:fill="auto"/>
            <w:noWrap/>
            <w:vAlign w:val="center"/>
            <w:hideMark/>
          </w:tcPr>
          <w:p w14:paraId="1C561542"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(29.535,4)</w:t>
            </w:r>
          </w:p>
        </w:tc>
        <w:tc>
          <w:tcPr>
            <w:tcW w:w="0" w:type="auto"/>
            <w:tcBorders>
              <w:top w:val="nil"/>
              <w:left w:val="nil"/>
              <w:bottom w:val="single" w:sz="8" w:space="0" w:color="auto"/>
              <w:right w:val="nil"/>
            </w:tcBorders>
            <w:shd w:val="clear" w:color="auto" w:fill="auto"/>
            <w:noWrap/>
            <w:vAlign w:val="center"/>
            <w:hideMark/>
          </w:tcPr>
          <w:p w14:paraId="2D7A49FD" w14:textId="77777777" w:rsidR="0066702F" w:rsidRPr="00AE4E8D" w:rsidRDefault="00350BBA" w:rsidP="00350BBA">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(8.580,5)</w:t>
            </w:r>
          </w:p>
        </w:tc>
      </w:tr>
      <w:tr w:rsidR="0066702F" w:rsidRPr="00AE4E8D" w14:paraId="3D4F4B55" w14:textId="77777777" w:rsidTr="000400C8">
        <w:trPr>
          <w:trHeight w:val="203"/>
          <w:jc w:val="center"/>
        </w:trPr>
        <w:tc>
          <w:tcPr>
            <w:tcW w:w="4726" w:type="dxa"/>
            <w:tcBorders>
              <w:top w:val="nil"/>
              <w:left w:val="nil"/>
              <w:bottom w:val="nil"/>
              <w:right w:val="nil"/>
            </w:tcBorders>
            <w:shd w:val="clear" w:color="auto" w:fill="auto"/>
            <w:vAlign w:val="center"/>
            <w:hideMark/>
          </w:tcPr>
          <w:p w14:paraId="75614E5D" w14:textId="77777777" w:rsidR="0066702F" w:rsidRPr="00AE4E8D" w:rsidRDefault="00EB3492" w:rsidP="0066702F">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w:t>
            </w:r>
            <w:r w:rsidR="0066702F" w:rsidRPr="00AE4E8D">
              <w:rPr>
                <w:rFonts w:ascii="Times New Roman" w:hAnsi="Times New Roman"/>
                <w:b/>
                <w:bCs/>
                <w:color w:val="000000"/>
                <w:sz w:val="16"/>
                <w:szCs w:val="16"/>
                <w:lang w:val="es-ES"/>
              </w:rPr>
              <w:t>Subtotal</w:t>
            </w:r>
            <w:r w:rsidR="0066702F" w:rsidRPr="00AE4E8D">
              <w:rPr>
                <w:rFonts w:ascii="Times New Roman" w:hAnsi="Times New Roman"/>
                <w:color w:val="000000"/>
                <w:sz w:val="16"/>
                <w:szCs w:val="16"/>
                <w:lang w:val="es-ES"/>
              </w:rPr>
              <w:t xml:space="preserve"> </w:t>
            </w:r>
          </w:p>
        </w:tc>
        <w:tc>
          <w:tcPr>
            <w:tcW w:w="0" w:type="auto"/>
            <w:tcBorders>
              <w:top w:val="nil"/>
              <w:left w:val="nil"/>
              <w:bottom w:val="nil"/>
              <w:right w:val="nil"/>
            </w:tcBorders>
            <w:shd w:val="clear" w:color="auto" w:fill="auto"/>
            <w:noWrap/>
            <w:vAlign w:val="center"/>
            <w:hideMark/>
          </w:tcPr>
          <w:p w14:paraId="31084550"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(5,8)</w:t>
            </w:r>
          </w:p>
        </w:tc>
        <w:tc>
          <w:tcPr>
            <w:tcW w:w="0" w:type="auto"/>
            <w:tcBorders>
              <w:top w:val="nil"/>
              <w:left w:val="nil"/>
              <w:bottom w:val="nil"/>
              <w:right w:val="nil"/>
            </w:tcBorders>
            <w:shd w:val="clear" w:color="auto" w:fill="auto"/>
            <w:noWrap/>
            <w:vAlign w:val="center"/>
            <w:hideMark/>
          </w:tcPr>
          <w:p w14:paraId="2557EDE6"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259,7</w:t>
            </w:r>
          </w:p>
        </w:tc>
        <w:tc>
          <w:tcPr>
            <w:tcW w:w="0" w:type="auto"/>
            <w:tcBorders>
              <w:top w:val="nil"/>
              <w:left w:val="nil"/>
              <w:bottom w:val="nil"/>
              <w:right w:val="nil"/>
            </w:tcBorders>
            <w:shd w:val="clear" w:color="auto" w:fill="auto"/>
            <w:noWrap/>
            <w:vAlign w:val="center"/>
            <w:hideMark/>
          </w:tcPr>
          <w:p w14:paraId="394E503F"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220,6</w:t>
            </w:r>
          </w:p>
        </w:tc>
        <w:tc>
          <w:tcPr>
            <w:tcW w:w="0" w:type="auto"/>
            <w:tcBorders>
              <w:top w:val="nil"/>
              <w:left w:val="nil"/>
              <w:bottom w:val="nil"/>
              <w:right w:val="nil"/>
            </w:tcBorders>
            <w:shd w:val="clear" w:color="auto" w:fill="auto"/>
            <w:noWrap/>
            <w:vAlign w:val="center"/>
            <w:hideMark/>
          </w:tcPr>
          <w:p w14:paraId="0C694380" w14:textId="77777777" w:rsidR="0066702F" w:rsidRPr="00AE4E8D" w:rsidRDefault="009A0CB4" w:rsidP="009A0CB4">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797,0</w:t>
            </w:r>
          </w:p>
        </w:tc>
      </w:tr>
      <w:tr w:rsidR="0066702F" w:rsidRPr="00AE4E8D" w14:paraId="23989E94" w14:textId="77777777" w:rsidTr="000400C8">
        <w:trPr>
          <w:trHeight w:val="214"/>
          <w:jc w:val="center"/>
        </w:trPr>
        <w:tc>
          <w:tcPr>
            <w:tcW w:w="4726" w:type="dxa"/>
            <w:tcBorders>
              <w:top w:val="nil"/>
              <w:left w:val="nil"/>
              <w:bottom w:val="nil"/>
              <w:right w:val="nil"/>
            </w:tcBorders>
            <w:shd w:val="clear" w:color="auto" w:fill="auto"/>
            <w:vAlign w:val="center"/>
            <w:hideMark/>
          </w:tcPr>
          <w:p w14:paraId="2609E0CF" w14:textId="77777777" w:rsidR="0066702F" w:rsidRPr="00AE4E8D" w:rsidRDefault="0066702F" w:rsidP="0066702F">
            <w:pPr>
              <w:rPr>
                <w:rFonts w:ascii="Times New Roman" w:hAnsi="Times New Roman"/>
                <w:sz w:val="16"/>
                <w:szCs w:val="16"/>
                <w:lang w:val="es-ES"/>
              </w:rPr>
            </w:pPr>
          </w:p>
        </w:tc>
        <w:tc>
          <w:tcPr>
            <w:tcW w:w="0" w:type="auto"/>
            <w:tcBorders>
              <w:top w:val="nil"/>
              <w:left w:val="nil"/>
              <w:bottom w:val="single" w:sz="8" w:space="0" w:color="auto"/>
              <w:right w:val="nil"/>
            </w:tcBorders>
            <w:shd w:val="clear" w:color="auto" w:fill="auto"/>
            <w:noWrap/>
            <w:vAlign w:val="center"/>
          </w:tcPr>
          <w:p w14:paraId="64023260" w14:textId="77777777" w:rsidR="0066702F" w:rsidRPr="00AE4E8D" w:rsidRDefault="0066702F" w:rsidP="0066702F">
            <w:pPr>
              <w:jc w:val="right"/>
              <w:rPr>
                <w:rFonts w:ascii="Times New Roman" w:hAnsi="Times New Roman"/>
                <w:color w:val="000000"/>
                <w:sz w:val="16"/>
                <w:szCs w:val="16"/>
                <w:lang w:val="es-ES"/>
              </w:rPr>
            </w:pPr>
          </w:p>
        </w:tc>
        <w:tc>
          <w:tcPr>
            <w:tcW w:w="0" w:type="auto"/>
            <w:tcBorders>
              <w:top w:val="nil"/>
              <w:left w:val="nil"/>
              <w:bottom w:val="single" w:sz="8" w:space="0" w:color="auto"/>
              <w:right w:val="nil"/>
            </w:tcBorders>
            <w:shd w:val="clear" w:color="auto" w:fill="auto"/>
            <w:noWrap/>
            <w:vAlign w:val="center"/>
          </w:tcPr>
          <w:p w14:paraId="43536A29" w14:textId="77777777" w:rsidR="0066702F" w:rsidRPr="00AE4E8D" w:rsidRDefault="0066702F" w:rsidP="0066702F">
            <w:pPr>
              <w:jc w:val="right"/>
              <w:rPr>
                <w:rFonts w:ascii="Times New Roman" w:hAnsi="Times New Roman"/>
                <w:color w:val="000000"/>
                <w:sz w:val="16"/>
                <w:szCs w:val="16"/>
                <w:lang w:val="es-ES"/>
              </w:rPr>
            </w:pPr>
          </w:p>
        </w:tc>
        <w:tc>
          <w:tcPr>
            <w:tcW w:w="0" w:type="auto"/>
            <w:tcBorders>
              <w:top w:val="nil"/>
              <w:left w:val="nil"/>
              <w:bottom w:val="single" w:sz="8" w:space="0" w:color="auto"/>
              <w:right w:val="nil"/>
            </w:tcBorders>
            <w:shd w:val="clear" w:color="auto" w:fill="auto"/>
            <w:noWrap/>
            <w:vAlign w:val="center"/>
          </w:tcPr>
          <w:p w14:paraId="721C8633" w14:textId="77777777" w:rsidR="0066702F" w:rsidRPr="00AE4E8D" w:rsidRDefault="0066702F" w:rsidP="0066702F">
            <w:pPr>
              <w:jc w:val="right"/>
              <w:rPr>
                <w:rFonts w:ascii="Times New Roman" w:hAnsi="Times New Roman"/>
                <w:color w:val="000000"/>
                <w:sz w:val="16"/>
                <w:szCs w:val="16"/>
                <w:lang w:val="es-ES"/>
              </w:rPr>
            </w:pPr>
          </w:p>
        </w:tc>
        <w:tc>
          <w:tcPr>
            <w:tcW w:w="0" w:type="auto"/>
            <w:tcBorders>
              <w:top w:val="nil"/>
              <w:left w:val="nil"/>
              <w:bottom w:val="single" w:sz="8" w:space="0" w:color="auto"/>
              <w:right w:val="nil"/>
            </w:tcBorders>
            <w:shd w:val="clear" w:color="auto" w:fill="auto"/>
            <w:noWrap/>
            <w:vAlign w:val="center"/>
          </w:tcPr>
          <w:p w14:paraId="4B555487" w14:textId="77777777" w:rsidR="0066702F" w:rsidRPr="00AE4E8D" w:rsidRDefault="0066702F" w:rsidP="0066702F">
            <w:pPr>
              <w:jc w:val="right"/>
              <w:rPr>
                <w:rFonts w:ascii="Times New Roman" w:hAnsi="Times New Roman"/>
                <w:color w:val="000000"/>
                <w:sz w:val="16"/>
                <w:szCs w:val="16"/>
                <w:lang w:val="es-ES"/>
              </w:rPr>
            </w:pPr>
          </w:p>
        </w:tc>
      </w:tr>
      <w:tr w:rsidR="0066702F" w:rsidRPr="00AE4E8D" w14:paraId="3184A20E" w14:textId="77777777" w:rsidTr="000400C8">
        <w:trPr>
          <w:trHeight w:val="241"/>
          <w:jc w:val="center"/>
        </w:trPr>
        <w:tc>
          <w:tcPr>
            <w:tcW w:w="4726" w:type="dxa"/>
            <w:tcBorders>
              <w:top w:val="nil"/>
              <w:left w:val="nil"/>
              <w:bottom w:val="nil"/>
              <w:right w:val="nil"/>
            </w:tcBorders>
            <w:shd w:val="clear" w:color="auto" w:fill="auto"/>
            <w:vAlign w:val="center"/>
            <w:hideMark/>
          </w:tcPr>
          <w:p w14:paraId="31085DF2" w14:textId="77777777" w:rsidR="0066702F" w:rsidRPr="00AE4E8D" w:rsidRDefault="0066702F" w:rsidP="0066702F">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Posición Global Neta en Moneda Extranjera</w:t>
            </w:r>
            <w:r w:rsidRPr="00AE4E8D">
              <w:rPr>
                <w:rFonts w:ascii="Times New Roman" w:hAnsi="Times New Roman"/>
                <w:color w:val="000000"/>
                <w:sz w:val="16"/>
                <w:szCs w:val="16"/>
                <w:lang w:val="es-ES"/>
              </w:rPr>
              <w:t xml:space="preserve"> </w:t>
            </w:r>
          </w:p>
        </w:tc>
        <w:tc>
          <w:tcPr>
            <w:tcW w:w="0" w:type="auto"/>
            <w:tcBorders>
              <w:top w:val="nil"/>
              <w:left w:val="nil"/>
              <w:bottom w:val="nil"/>
              <w:right w:val="nil"/>
            </w:tcBorders>
            <w:shd w:val="clear" w:color="auto" w:fill="auto"/>
            <w:noWrap/>
            <w:vAlign w:val="center"/>
            <w:hideMark/>
          </w:tcPr>
          <w:p w14:paraId="2908E003"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206,5</w:t>
            </w:r>
          </w:p>
        </w:tc>
        <w:tc>
          <w:tcPr>
            <w:tcW w:w="0" w:type="auto"/>
            <w:tcBorders>
              <w:top w:val="nil"/>
              <w:left w:val="nil"/>
              <w:bottom w:val="nil"/>
              <w:right w:val="nil"/>
            </w:tcBorders>
            <w:shd w:val="clear" w:color="auto" w:fill="auto"/>
            <w:noWrap/>
            <w:vAlign w:val="center"/>
            <w:hideMark/>
          </w:tcPr>
          <w:p w14:paraId="5486976C"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1.146,5</w:t>
            </w:r>
          </w:p>
        </w:tc>
        <w:tc>
          <w:tcPr>
            <w:tcW w:w="0" w:type="auto"/>
            <w:tcBorders>
              <w:top w:val="nil"/>
              <w:left w:val="nil"/>
              <w:bottom w:val="nil"/>
              <w:right w:val="nil"/>
            </w:tcBorders>
            <w:shd w:val="clear" w:color="auto" w:fill="auto"/>
            <w:noWrap/>
            <w:vAlign w:val="center"/>
            <w:hideMark/>
          </w:tcPr>
          <w:p w14:paraId="4A6BFD40" w14:textId="77777777" w:rsidR="0066702F" w:rsidRPr="00AE4E8D" w:rsidRDefault="0066702F" w:rsidP="0066702F">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(214,2)</w:t>
            </w:r>
          </w:p>
        </w:tc>
        <w:tc>
          <w:tcPr>
            <w:tcW w:w="0" w:type="auto"/>
            <w:tcBorders>
              <w:top w:val="nil"/>
              <w:left w:val="nil"/>
              <w:bottom w:val="nil"/>
              <w:right w:val="nil"/>
            </w:tcBorders>
            <w:shd w:val="clear" w:color="auto" w:fill="auto"/>
            <w:noWrap/>
            <w:vAlign w:val="center"/>
            <w:hideMark/>
          </w:tcPr>
          <w:p w14:paraId="2BDF531F" w14:textId="77777777" w:rsidR="0066702F" w:rsidRPr="00AE4E8D" w:rsidRDefault="009A0CB4" w:rsidP="009A0CB4">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(1.324,6)</w:t>
            </w:r>
          </w:p>
        </w:tc>
      </w:tr>
    </w:tbl>
    <w:p w14:paraId="4849CC1A" w14:textId="77777777" w:rsidR="005038E3" w:rsidRPr="00AE4E8D" w:rsidRDefault="00ED4891" w:rsidP="004C7A5A">
      <w:pPr>
        <w:pStyle w:val="BHTexto"/>
        <w:ind w:left="426"/>
        <w:jc w:val="left"/>
        <w:rPr>
          <w:sz w:val="16"/>
          <w:lang w:val="es-ES"/>
        </w:rPr>
      </w:pPr>
      <w:bookmarkStart w:id="196" w:name="_Toc421201351"/>
      <w:bookmarkStart w:id="197" w:name="_Toc421201352"/>
      <w:r w:rsidRPr="00AE4E8D">
        <w:rPr>
          <w:sz w:val="16"/>
          <w:lang w:val="es-ES"/>
        </w:rPr>
        <w:t>(</w:t>
      </w:r>
      <w:r w:rsidR="005038E3" w:rsidRPr="00AE4E8D">
        <w:rPr>
          <w:sz w:val="16"/>
          <w:lang w:val="es-ES"/>
        </w:rPr>
        <w:t>*) Fuente: Información interna del Banco y sus subsidiarias.</w:t>
      </w:r>
    </w:p>
    <w:p w14:paraId="5227D331" w14:textId="77777777" w:rsidR="00CB5660" w:rsidRPr="00AE4E8D" w:rsidRDefault="00CB5660" w:rsidP="008567F6">
      <w:pPr>
        <w:pStyle w:val="BH3Izquierda"/>
        <w:rPr>
          <w:lang w:val="es-ES"/>
        </w:rPr>
      </w:pPr>
      <w:r w:rsidRPr="00AE4E8D">
        <w:rPr>
          <w:lang w:val="es-ES"/>
        </w:rPr>
        <w:t>Competencia</w:t>
      </w:r>
      <w:bookmarkEnd w:id="196"/>
    </w:p>
    <w:p w14:paraId="5CDDDF28" w14:textId="77777777" w:rsidR="00CB5660" w:rsidRPr="00AE4E8D" w:rsidRDefault="00CB5660" w:rsidP="008567F6">
      <w:pPr>
        <w:pStyle w:val="BHTexto"/>
        <w:rPr>
          <w:lang w:val="es-ES"/>
        </w:rPr>
      </w:pPr>
      <w:r w:rsidRPr="00AE4E8D">
        <w:rPr>
          <w:lang w:val="es-ES"/>
        </w:rPr>
        <w:t xml:space="preserve">Siendo uno de los principales bancos comerciales, que ofrece una amplia gama de servicios financieros a todos los tipos de empresas y clientes individuales, enfrentamos una fuerte competencia de los demás bancos comerciales importantes. Asimismo, los bancos comerciales hacen frente a una mayor competencia de los demás intermediarios financieros que pueden brindarle a grandes empresas acceso a los mercados de capitales locales como una alternativa a los préstamos bancarios. Para mayor información, véase </w:t>
      </w:r>
      <w:r w:rsidRPr="00AE4E8D">
        <w:rPr>
          <w:i/>
          <w:lang w:val="es-ES"/>
        </w:rPr>
        <w:t>“El Sistema Bancario Argentino.”</w:t>
      </w:r>
    </w:p>
    <w:p w14:paraId="46C6F200" w14:textId="77777777" w:rsidR="00CB5660" w:rsidRPr="00AE4E8D" w:rsidRDefault="00CB5660" w:rsidP="006659E6">
      <w:pPr>
        <w:pStyle w:val="BH3Izquierda"/>
        <w:rPr>
          <w:lang w:val="es-ES"/>
        </w:rPr>
      </w:pPr>
      <w:r w:rsidRPr="00AE4E8D">
        <w:rPr>
          <w:lang w:val="es-ES"/>
        </w:rPr>
        <w:t>Litigios</w:t>
      </w:r>
      <w:bookmarkEnd w:id="197"/>
    </w:p>
    <w:p w14:paraId="593EB620" w14:textId="77777777" w:rsidR="00CB5660" w:rsidRPr="00AE4E8D" w:rsidRDefault="00CB5660" w:rsidP="006659E6">
      <w:pPr>
        <w:pStyle w:val="BH3Izquierda"/>
        <w:rPr>
          <w:lang w:val="es-ES"/>
        </w:rPr>
      </w:pPr>
      <w:bookmarkStart w:id="198" w:name="_Toc421201353"/>
      <w:r w:rsidRPr="00AE4E8D">
        <w:rPr>
          <w:lang w:val="es-ES"/>
        </w:rPr>
        <w:t>Introducción</w:t>
      </w:r>
      <w:bookmarkEnd w:id="198"/>
    </w:p>
    <w:p w14:paraId="55DDD871" w14:textId="77777777" w:rsidR="00CB5660" w:rsidRPr="00AE4E8D" w:rsidRDefault="00CB5660" w:rsidP="00342193">
      <w:pPr>
        <w:pStyle w:val="BHTexto"/>
        <w:rPr>
          <w:lang w:val="es-ES"/>
        </w:rPr>
      </w:pPr>
      <w:r w:rsidRPr="00AE4E8D">
        <w:rPr>
          <w:lang w:val="es-ES"/>
        </w:rPr>
        <w:t xml:space="preserve">Al </w:t>
      </w:r>
      <w:r w:rsidR="001E34BD" w:rsidRPr="00AE4E8D">
        <w:rPr>
          <w:lang w:val="es-ES"/>
        </w:rPr>
        <w:t>30</w:t>
      </w:r>
      <w:r w:rsidR="00BE1D5E" w:rsidRPr="00AE4E8D">
        <w:rPr>
          <w:lang w:val="es-ES"/>
        </w:rPr>
        <w:t xml:space="preserve"> de </w:t>
      </w:r>
      <w:r w:rsidR="001E34BD" w:rsidRPr="00AE4E8D">
        <w:rPr>
          <w:lang w:val="es-ES"/>
        </w:rPr>
        <w:t>junio</w:t>
      </w:r>
      <w:r w:rsidRPr="00AE4E8D">
        <w:rPr>
          <w:lang w:val="es-ES"/>
        </w:rPr>
        <w:t xml:space="preserve"> de 201</w:t>
      </w:r>
      <w:r w:rsidR="00BE6BF8" w:rsidRPr="00AE4E8D">
        <w:rPr>
          <w:lang w:val="es-ES"/>
        </w:rPr>
        <w:t>7</w:t>
      </w:r>
      <w:r w:rsidRPr="00AE4E8D">
        <w:rPr>
          <w:lang w:val="es-ES"/>
        </w:rPr>
        <w:t>, registrábamos previsiones para juicios por Ps.</w:t>
      </w:r>
      <w:r w:rsidR="001E34BD" w:rsidRPr="00AE4E8D">
        <w:rPr>
          <w:lang w:val="es-ES"/>
        </w:rPr>
        <w:t>181</w:t>
      </w:r>
      <w:proofErr w:type="gramStart"/>
      <w:r w:rsidR="001E34BD" w:rsidRPr="00AE4E8D">
        <w:rPr>
          <w:lang w:val="es-ES"/>
        </w:rPr>
        <w:t>,3</w:t>
      </w:r>
      <w:proofErr w:type="gramEnd"/>
      <w:r w:rsidR="001E34BD" w:rsidRPr="00AE4E8D">
        <w:rPr>
          <w:lang w:val="es-ES"/>
        </w:rPr>
        <w:t xml:space="preserve"> </w:t>
      </w:r>
      <w:r w:rsidRPr="00AE4E8D">
        <w:rPr>
          <w:lang w:val="es-ES"/>
        </w:rPr>
        <w:t>millones. El monto de estas previsiones se determina teniendo en cuenta los montos reclamados y la estimación de pérdida. Creemos que estas acciones legales y reclamos son habituales en el giro de nuestras actividades y consideramos que ninguno de</w:t>
      </w:r>
      <w:r w:rsidR="002361E9" w:rsidRPr="00AE4E8D">
        <w:rPr>
          <w:lang w:val="es-ES"/>
        </w:rPr>
        <w:t xml:space="preserve"> ellos debería</w:t>
      </w:r>
      <w:r w:rsidRPr="00AE4E8D">
        <w:rPr>
          <w:lang w:val="es-ES"/>
        </w:rPr>
        <w:t xml:space="preserve"> tener efectos </w:t>
      </w:r>
      <w:r w:rsidR="002361E9" w:rsidRPr="00AE4E8D">
        <w:rPr>
          <w:lang w:val="es-ES"/>
        </w:rPr>
        <w:t xml:space="preserve">significativamente </w:t>
      </w:r>
      <w:r w:rsidRPr="00AE4E8D">
        <w:rPr>
          <w:lang w:val="es-ES"/>
        </w:rPr>
        <w:t>materiales y adversos en nuestras actividades comerciales o nuestra situación patrimonial.</w:t>
      </w:r>
      <w:r w:rsidR="002361E9" w:rsidRPr="00AE4E8D">
        <w:rPr>
          <w:lang w:val="es-ES"/>
        </w:rPr>
        <w:t xml:space="preserve"> Véase no obstante </w:t>
      </w:r>
      <w:r w:rsidR="002361E9" w:rsidRPr="00AE4E8D">
        <w:rPr>
          <w:i/>
          <w:lang w:val="es-ES"/>
        </w:rPr>
        <w:t>“Factores de Riesgo–</w:t>
      </w:r>
      <w:r w:rsidR="00403404" w:rsidRPr="00AE4E8D">
        <w:rPr>
          <w:i/>
          <w:lang w:val="es-ES"/>
        </w:rPr>
        <w:t>Riesgos Relacionados con el Sistema Finaciero Argentino–</w:t>
      </w:r>
      <w:r w:rsidR="002361E9" w:rsidRPr="00AE4E8D">
        <w:rPr>
          <w:i/>
          <w:lang w:val="es-ES"/>
        </w:rPr>
        <w:t>La Ley de Defensa al Consumidor puede limitar alguno de nuestros derechos” y “Las acciones colectivas contra entidades financieras por montos indeterminados pueden afectar la rentabilidad del sistema financiero”</w:t>
      </w:r>
      <w:r w:rsidR="002361E9" w:rsidRPr="00AE4E8D">
        <w:rPr>
          <w:lang w:val="es-ES"/>
        </w:rPr>
        <w:t>.</w:t>
      </w:r>
    </w:p>
    <w:p w14:paraId="3AC559B1" w14:textId="77777777" w:rsidR="00CB5660" w:rsidRPr="00AE4E8D" w:rsidRDefault="00CB5660" w:rsidP="000E3524">
      <w:pPr>
        <w:pStyle w:val="BH3Izquierda"/>
        <w:rPr>
          <w:lang w:val="es-ES"/>
        </w:rPr>
      </w:pPr>
      <w:r w:rsidRPr="00AE4E8D">
        <w:rPr>
          <w:lang w:val="es-ES"/>
        </w:rPr>
        <w:t xml:space="preserve">Sumarios en sede administrativa. </w:t>
      </w:r>
    </w:p>
    <w:p w14:paraId="400EB1B2" w14:textId="77777777" w:rsidR="00CB5660" w:rsidRPr="00AE4E8D" w:rsidRDefault="00480522" w:rsidP="009F1BC5">
      <w:pPr>
        <w:pStyle w:val="BHTexto"/>
        <w:rPr>
          <w:highlight w:val="yellow"/>
          <w:lang w:val="es-ES"/>
        </w:rPr>
      </w:pPr>
      <w:r w:rsidRPr="00AE4E8D">
        <w:rPr>
          <w:lang w:val="es-ES"/>
        </w:rPr>
        <w:t xml:space="preserve">Al </w:t>
      </w:r>
      <w:r w:rsidR="001E34BD" w:rsidRPr="00AE4E8D">
        <w:rPr>
          <w:lang w:val="es-ES"/>
        </w:rPr>
        <w:t>30</w:t>
      </w:r>
      <w:r w:rsidRPr="00AE4E8D">
        <w:rPr>
          <w:lang w:val="es-ES"/>
        </w:rPr>
        <w:t xml:space="preserve"> de </w:t>
      </w:r>
      <w:r w:rsidR="001E34BD" w:rsidRPr="00AE4E8D">
        <w:rPr>
          <w:lang w:val="es-ES"/>
        </w:rPr>
        <w:t>junio</w:t>
      </w:r>
      <w:r w:rsidRPr="00AE4E8D">
        <w:rPr>
          <w:lang w:val="es-ES"/>
        </w:rPr>
        <w:t xml:space="preserve"> de 2017, dado el estado actual de las actuaciones y teniendo en cuenta que existen argumentos jurídicos y fácticos que generan expectativas razonables para el dictado de una absolución de las personas físicas imputadas y de Banco Hipotecario S.A., no se han contabilizado previsiones.</w:t>
      </w:r>
    </w:p>
    <w:p w14:paraId="0EC3BDB4" w14:textId="77777777" w:rsidR="00A67BDA" w:rsidRPr="00AE4E8D" w:rsidRDefault="00A67BDA" w:rsidP="004C7A5A">
      <w:pPr>
        <w:pStyle w:val="BH4Cursiva"/>
      </w:pPr>
      <w:r w:rsidRPr="00AE4E8D">
        <w:t>Resolución N° 209/13 de la Unidad de Información Financiera</w:t>
      </w:r>
    </w:p>
    <w:p w14:paraId="0651532C" w14:textId="77777777" w:rsidR="00A67BDA" w:rsidRPr="00AE4E8D" w:rsidRDefault="00A67BDA" w:rsidP="00AD703C">
      <w:pPr>
        <w:pStyle w:val="BHTexto"/>
        <w:rPr>
          <w:lang w:val="es-ES"/>
        </w:rPr>
      </w:pPr>
      <w:r w:rsidRPr="00AE4E8D">
        <w:rPr>
          <w:lang w:val="es-ES"/>
        </w:rPr>
        <w:t xml:space="preserve">El 19 de febrero de 2014 el Banco fue notificado de la Resolución de la Unidad de Información Financiera (UIF) N° 209/13 por la que se dispuso instruir un sumario a la entidad; a sus directores (Sres. Eduardo S. Elsztain; Mario Blejer; Ernesto M. Viñes; Jacobo J. Dreizzen; Edgardo L. Fornero; Carlos B. Pisula; Gabriel G. Reznik; Pablo D. Vergara del Carril; Mauricio E. Wior; Saul Zang); al Gerente de Área de Riesgo y Controlling, Sr. Gustavo D. Efkhanian y al Gerente de la Unidad de Prevención y Control de Lavado de Dinero, Sr. Jorge Gimeno. En dicho sumario se investiga las responsabilidad de las personas sumariadas por presunto incumplimiento a las disposiciones contenidas en el art. 21 de la Ley 25.246, sus modificatorias y la Resolución UIF N° 228/2007, a raíz de las deficiencias detectadas </w:t>
      </w:r>
      <w:r w:rsidR="00AD703C" w:rsidRPr="00AD703C">
        <w:rPr>
          <w:lang w:val="es-ES"/>
        </w:rPr>
        <w:t>entre el 6 de diciembre de 2010 y el 28 de enero de 2011</w:t>
      </w:r>
      <w:r w:rsidR="00AD703C">
        <w:rPr>
          <w:lang w:val="es-ES"/>
        </w:rPr>
        <w:t xml:space="preserve"> </w:t>
      </w:r>
      <w:r w:rsidRPr="00AE4E8D">
        <w:rPr>
          <w:lang w:val="es-ES"/>
        </w:rPr>
        <w:t>por la inspección del BCRA en la organización y los controles internos implementados para la prevención del lavado de dinero proveniente de actividades ilícitas. El 25 de marzo de 2014 se presentaron las defensas y descargos correspondientes al Banco y a las personas físicas sumariadas. Por resolución del 7</w:t>
      </w:r>
      <w:r w:rsidR="003E12DC" w:rsidRPr="00AE4E8D">
        <w:rPr>
          <w:lang w:val="es-ES"/>
        </w:rPr>
        <w:t xml:space="preserve"> de julio de 20</w:t>
      </w:r>
      <w:r w:rsidRPr="00AE4E8D">
        <w:rPr>
          <w:lang w:val="es-ES"/>
        </w:rPr>
        <w:t xml:space="preserve">16 se dispuso la desvinculación de las actuaciones sumariales de los señores Gustavo Daniel Efkhanian y Jorge Gimeno, y se ordenó citar al ex director titular Sr. Marcelo G. Cufré. </w:t>
      </w:r>
      <w:r w:rsidR="00AD703C">
        <w:rPr>
          <w:lang w:val="es-ES"/>
        </w:rPr>
        <w:t>El 24 de enero de 2017 se citó</w:t>
      </w:r>
      <w:r w:rsidRPr="00AE4E8D">
        <w:rPr>
          <w:lang w:val="es-ES"/>
        </w:rPr>
        <w:t xml:space="preserve"> a los ex directores del Banco: Clarisa Lifsic de Estol; Federico Besando y Diego Bossio. </w:t>
      </w:r>
      <w:r w:rsidR="00523E7D" w:rsidRPr="00AE4E8D">
        <w:rPr>
          <w:lang w:val="es-ES"/>
        </w:rPr>
        <w:t>Los cuatro ex directores incorporados a las actuaciones sumariales en julio de 2016 y enero de 2017 se presentaron y formularon sus pertinentes descargos.</w:t>
      </w:r>
    </w:p>
    <w:p w14:paraId="78F07BF9" w14:textId="77777777" w:rsidR="00CB5660" w:rsidRPr="00AE4E8D" w:rsidRDefault="00CB5660" w:rsidP="000E1220">
      <w:pPr>
        <w:pStyle w:val="BH4Cursiva"/>
      </w:pPr>
      <w:r w:rsidRPr="00AE4E8D">
        <w:lastRenderedPageBreak/>
        <w:t>Resolución Nº76/15 de la Unidad de Información Financiera</w:t>
      </w:r>
    </w:p>
    <w:p w14:paraId="3CD0FA1D" w14:textId="77777777" w:rsidR="00FC18D9" w:rsidRPr="00AE4E8D" w:rsidRDefault="00FC18D9" w:rsidP="00FA3175">
      <w:pPr>
        <w:pStyle w:val="BHTexto"/>
        <w:rPr>
          <w:lang w:val="es-ES"/>
        </w:rPr>
      </w:pPr>
      <w:r w:rsidRPr="00AE4E8D">
        <w:rPr>
          <w:lang w:val="es-ES"/>
        </w:rPr>
        <w:t>El 11 de agosto de 2015 el Banco fue notificado de la Resolución N° 76/15 por la cual el Presidente de la Unidad de Información Financiera (UIF) había dispuesto la instrucción de un sumario al Banco Hipotecario S.A.; a sus directores (Sres. Eduardo S. Elsztain, Mario Blejer, Jacobo Julio Dreizzen, Carlos B. Pisula, Ernesto M. Viñes, Gabriel G. Reznik, Pablo D. Vergara del Carril, Mauricio Wior, Saúl Zang, Edgardo Fornero, y Diego Bossio; y Sras. Mariana Gonzalez y Ada Massa) y al Oficial de Cumplimiento (Sr. Ernesto M. Viñes), por supuestos incumplimientos a las previsiones del artículo 21, inc. a) de la Ley 25.246 y a la Resolución UIF N° 121/11. Según la resolución mencionada se ha alegado que el Banco y sus directores habrían incurrido en determinados incumplimientos vinculados con el modo de identificar a sus clientes, con los parámetros de monitoreo, con la definición de la matriz de riesgo y con los procedimientos de actualización de antecedentes y perfiles de clientes, entre otros.</w:t>
      </w:r>
    </w:p>
    <w:p w14:paraId="381811B6" w14:textId="77777777" w:rsidR="00FC18D9" w:rsidRPr="00AE4E8D" w:rsidRDefault="00FC18D9" w:rsidP="00FA3175">
      <w:pPr>
        <w:pStyle w:val="BHTexto"/>
        <w:rPr>
          <w:lang w:val="es-ES"/>
        </w:rPr>
      </w:pPr>
      <w:r w:rsidRPr="00AE4E8D">
        <w:rPr>
          <w:lang w:val="es-ES"/>
        </w:rPr>
        <w:t>El 23 de setiembre de 2015 se presentaron los descargos y defensas ante la UIF, se acompañó la prueba documental y se ofrecieron pruebas informativa, pericial informática y testimonial.</w:t>
      </w:r>
      <w:r w:rsidR="00A67BDA" w:rsidRPr="00AE4E8D">
        <w:rPr>
          <w:lang w:val="es-ES"/>
        </w:rPr>
        <w:t xml:space="preserve"> El 13 de abril de 2016 se dispuso la apertura a prueba, la que fue producida en tiempo y forma por los imputados.</w:t>
      </w:r>
    </w:p>
    <w:p w14:paraId="0E6C5188" w14:textId="77777777" w:rsidR="00342CC9" w:rsidRPr="00AE4E8D" w:rsidRDefault="00342CC9" w:rsidP="00FA3175">
      <w:pPr>
        <w:pStyle w:val="BHTexto"/>
        <w:rPr>
          <w:lang w:val="es-ES"/>
        </w:rPr>
      </w:pPr>
      <w:r w:rsidRPr="00AE4E8D">
        <w:rPr>
          <w:lang w:val="es-ES"/>
        </w:rPr>
        <w:t>Entre ellas, se incluyó el informe emitido por el BCRA sobre el plan de adecuación y de mitigación de riesgos presentado oportunamente por el Banco Hipotecario. Al concluir esa etapa procesal, los apoderados de las personas sumariadas presentaron los alegatos sobre la prueba producida.</w:t>
      </w:r>
    </w:p>
    <w:p w14:paraId="6C807CC9" w14:textId="77777777" w:rsidR="00CB5660" w:rsidRPr="00AE4E8D" w:rsidRDefault="00CB5660" w:rsidP="000E1220">
      <w:pPr>
        <w:pStyle w:val="BH4Cursiva"/>
      </w:pPr>
      <w:r w:rsidRPr="00AE4E8D">
        <w:t>Resolución N ° 219/16: Superintenden</w:t>
      </w:r>
      <w:r w:rsidR="00D218D0" w:rsidRPr="00AE4E8D">
        <w:t>cia</w:t>
      </w:r>
      <w:r w:rsidRPr="00AE4E8D">
        <w:t xml:space="preserve"> de Entidades Financieras y Cambiarias</w:t>
      </w:r>
    </w:p>
    <w:p w14:paraId="18401592" w14:textId="77777777" w:rsidR="00FC18D9" w:rsidRPr="00AE4E8D" w:rsidRDefault="00FC18D9" w:rsidP="00FA3175">
      <w:pPr>
        <w:pStyle w:val="BHTexto"/>
        <w:rPr>
          <w:lang w:val="es-ES"/>
        </w:rPr>
      </w:pPr>
      <w:r w:rsidRPr="00AE4E8D">
        <w:rPr>
          <w:lang w:val="es-ES"/>
        </w:rPr>
        <w:t>El 10 de mayo 2016, fuimos notificados de la Resolución N°219 de fecha 22 de abril de 2016, aprobada por la Superintende</w:t>
      </w:r>
      <w:r w:rsidR="00CB0993" w:rsidRPr="00AE4E8D">
        <w:rPr>
          <w:lang w:val="es-ES"/>
        </w:rPr>
        <w:t>ncia</w:t>
      </w:r>
      <w:r w:rsidRPr="00AE4E8D">
        <w:rPr>
          <w:lang w:val="es-ES"/>
        </w:rPr>
        <w:t xml:space="preserve"> de Entidades Financieras y Cambiarias por </w:t>
      </w:r>
      <w:r w:rsidR="00D218D0" w:rsidRPr="00AE4E8D">
        <w:rPr>
          <w:lang w:val="es-ES"/>
        </w:rPr>
        <w:t>la</w:t>
      </w:r>
      <w:r w:rsidRPr="00AE4E8D">
        <w:rPr>
          <w:lang w:val="es-ES"/>
        </w:rPr>
        <w:t xml:space="preserve"> cual se dispuso instruir el Sumario Cambiario N°6845, en materia de divisas contra B</w:t>
      </w:r>
      <w:r w:rsidR="00560403" w:rsidRPr="00AE4E8D">
        <w:rPr>
          <w:lang w:val="es-ES"/>
        </w:rPr>
        <w:t xml:space="preserve">anco </w:t>
      </w:r>
      <w:r w:rsidRPr="00AE4E8D">
        <w:rPr>
          <w:lang w:val="es-ES"/>
        </w:rPr>
        <w:t>H</w:t>
      </w:r>
      <w:r w:rsidR="00560403" w:rsidRPr="00AE4E8D">
        <w:rPr>
          <w:lang w:val="es-ES"/>
        </w:rPr>
        <w:t xml:space="preserve">ipotecario </w:t>
      </w:r>
      <w:r w:rsidRPr="00AE4E8D">
        <w:rPr>
          <w:lang w:val="es-ES"/>
        </w:rPr>
        <w:t>S</w:t>
      </w:r>
      <w:r w:rsidR="00560403" w:rsidRPr="00AE4E8D">
        <w:rPr>
          <w:lang w:val="es-ES"/>
        </w:rPr>
        <w:t>.</w:t>
      </w:r>
      <w:r w:rsidRPr="00AE4E8D">
        <w:rPr>
          <w:lang w:val="es-ES"/>
        </w:rPr>
        <w:t>A</w:t>
      </w:r>
      <w:r w:rsidR="00560403" w:rsidRPr="00AE4E8D">
        <w:rPr>
          <w:lang w:val="es-ES"/>
        </w:rPr>
        <w:t>.</w:t>
      </w:r>
      <w:r w:rsidRPr="00AE4E8D">
        <w:rPr>
          <w:lang w:val="es-ES"/>
        </w:rPr>
        <w:t xml:space="preserve">, Ricardo José González, Luciana Sabrina Fusco y Liliana Elisabeth Sabella, en los términos del artículo 8 de la Ley de Régimen Penal Cambiario (t.o.por Decreto 480/95). El procedimiento sumario alegó una violación de determinadas disposiciones para la venta de moneda extranjera por un monto de US$69.620 en relación con una transacción de préstamo hipotecario, se imputaron presuntas infracciones a las disposiciones de las Comunicaciones </w:t>
      </w:r>
      <w:r w:rsidR="005A5D3D" w:rsidRPr="00AE4E8D">
        <w:rPr>
          <w:lang w:val="es-ES"/>
        </w:rPr>
        <w:t>“</w:t>
      </w:r>
      <w:r w:rsidRPr="00AE4E8D">
        <w:rPr>
          <w:lang w:val="es-ES"/>
        </w:rPr>
        <w:t>A</w:t>
      </w:r>
      <w:r w:rsidR="005A5D3D" w:rsidRPr="00AE4E8D">
        <w:rPr>
          <w:lang w:val="es-ES"/>
        </w:rPr>
        <w:t>”</w:t>
      </w:r>
      <w:r w:rsidRPr="00AE4E8D">
        <w:rPr>
          <w:lang w:val="es-ES"/>
        </w:rPr>
        <w:t xml:space="preserve"> 5318, 5322 y normas complementarias. </w:t>
      </w:r>
    </w:p>
    <w:p w14:paraId="6D8840E7" w14:textId="77777777" w:rsidR="00FC18D9" w:rsidRPr="00AE4E8D" w:rsidRDefault="00FC18D9" w:rsidP="00FA3175">
      <w:pPr>
        <w:pStyle w:val="BHTexto"/>
        <w:rPr>
          <w:lang w:val="es-ES"/>
        </w:rPr>
      </w:pPr>
      <w:r w:rsidRPr="00AE4E8D">
        <w:rPr>
          <w:lang w:val="es-ES"/>
        </w:rPr>
        <w:t>El 18 de noviembre de 2016 se presentaron los descargos y defensas.</w:t>
      </w:r>
    </w:p>
    <w:p w14:paraId="1F2EC6F8" w14:textId="77777777" w:rsidR="00CB5660" w:rsidRPr="00AE4E8D" w:rsidRDefault="00CB5660" w:rsidP="00082A41">
      <w:pPr>
        <w:pStyle w:val="BH3Izquierda"/>
        <w:rPr>
          <w:lang w:val="es-ES"/>
        </w:rPr>
      </w:pPr>
      <w:bookmarkStart w:id="199" w:name="_Toc421201355"/>
      <w:r w:rsidRPr="00AE4E8D">
        <w:rPr>
          <w:lang w:val="es-ES"/>
        </w:rPr>
        <w:t>Sumarios en Instancia Judicial</w:t>
      </w:r>
      <w:bookmarkEnd w:id="199"/>
      <w:r w:rsidRPr="00AE4E8D">
        <w:rPr>
          <w:lang w:val="es-ES"/>
        </w:rPr>
        <w:t xml:space="preserve">. </w:t>
      </w:r>
    </w:p>
    <w:p w14:paraId="6093E50B" w14:textId="77777777" w:rsidR="008444F1" w:rsidRPr="00AE4E8D" w:rsidRDefault="001E34BD" w:rsidP="009F1BC5">
      <w:pPr>
        <w:pStyle w:val="BHTexto"/>
        <w:rPr>
          <w:lang w:val="es-ES"/>
        </w:rPr>
      </w:pPr>
      <w:r w:rsidRPr="00AE4E8D">
        <w:rPr>
          <w:lang w:val="es-ES"/>
        </w:rPr>
        <w:t>Al 30 de junio de 2017, registrábamos previsiones para juicios por sumarios en instancia judicial por Ps.181</w:t>
      </w:r>
      <w:proofErr w:type="gramStart"/>
      <w:r w:rsidRPr="00AE4E8D">
        <w:rPr>
          <w:lang w:val="es-ES"/>
        </w:rPr>
        <w:t>,3</w:t>
      </w:r>
      <w:proofErr w:type="gramEnd"/>
      <w:r w:rsidRPr="00AE4E8D">
        <w:rPr>
          <w:lang w:val="es-ES"/>
        </w:rPr>
        <w:t xml:space="preserve"> millones</w:t>
      </w:r>
      <w:r w:rsidR="00CB5660" w:rsidRPr="00AE4E8D">
        <w:rPr>
          <w:lang w:val="es-ES"/>
        </w:rPr>
        <w:t>. El monto de estas previsiones se determina teniendo en cuenta los montos reclamados y la estimación de pérdida. Creemos que estos sumarios son habituales en el giro de nuestras actividades y consideramos que ninguno de dichos reclamos podría afectar materialmente y de manera adversa nuestras actividades comerciales o nuestra situación patrimonial consolidada.</w:t>
      </w:r>
    </w:p>
    <w:p w14:paraId="24C6C5BE" w14:textId="77777777" w:rsidR="00CB5660" w:rsidRPr="00AE4E8D" w:rsidRDefault="00CB5660" w:rsidP="000E1220">
      <w:pPr>
        <w:pStyle w:val="BH4Cursiva"/>
      </w:pPr>
      <w:r w:rsidRPr="00AE4E8D">
        <w:t>Resolución Nº685/14 de la Superintendencia de Entidades Financieras y Cambiarias</w:t>
      </w:r>
    </w:p>
    <w:p w14:paraId="789CCF54" w14:textId="77777777" w:rsidR="00FC18D9" w:rsidRPr="00AE4E8D" w:rsidRDefault="00FC18D9" w:rsidP="00FA3175">
      <w:pPr>
        <w:pStyle w:val="BHTexto"/>
        <w:rPr>
          <w:lang w:val="es-ES"/>
        </w:rPr>
      </w:pPr>
      <w:r w:rsidRPr="00AE4E8D">
        <w:rPr>
          <w:lang w:val="es-ES"/>
        </w:rPr>
        <w:t>El 31 de octubre de 2014 el Banco fue notificado de la Resolución N° 685 del 29/10/14 dictada por el Superintendente de Entidades Financieras y Cambiarias en las actuaciones por las que tramitaba el Sumario en lo Financiero N° 1320, en las cuales se imputaron al Banco y a sus autoridades presuntas infracciones a la normativa sobre asistencia al Sector Público no Financiero, excesos a los límites de fraccionamiento del riesgo crediticio con el sector público no financiero, excesos en la afectación de activos en garantía, insuficiencias en materia de las exigencias de capitales mínimos y objeciones al tratamiento contable con motivo de la operación “Cer Swap Linked to PG08 and External Debt”; y por otra parte, se imputaron demoras en la comunicación de la designación de nuevos directores y retardo en el suministro de documentación relacionada con los nuevos directores electos por las asambleas.</w:t>
      </w:r>
    </w:p>
    <w:p w14:paraId="32CACA65" w14:textId="77777777" w:rsidR="00FC18D9" w:rsidRPr="00AE4E8D" w:rsidRDefault="00FC18D9" w:rsidP="00FA3175">
      <w:pPr>
        <w:pStyle w:val="BHTexto"/>
        <w:rPr>
          <w:lang w:val="es-ES"/>
        </w:rPr>
      </w:pPr>
      <w:r w:rsidRPr="00AE4E8D">
        <w:rPr>
          <w:lang w:val="es-ES"/>
        </w:rPr>
        <w:t xml:space="preserve">A través de la Resolución mencionada se impuso una multa de miles de pesos 4.040 al Banco Hipotecario S.A., y multas por montos individuales a sus directores (Eduardo S. Elsztain; Jacobo J. Dreizzen; Carlos B. Pisula; Edgardo L. Fornero; Gabriel G. Reznik; Pablo D. Vergara del Carril; Ernesto M. Viñes; Saul Zang; Mauricio E. Wior, ex directores (Clarisa D. Lifsic de Estol; Federico L. Bensadon; Jorge L. March y Jaime A. Grinberg, a los síndicos (Sres. Ricardo Flammini; José D. Abelovich; Marcelo H. Fuxman; Alfredo H. Groppo; y Martín E. Scotto) al Gerente de Area Gustavo D. Efkhanian y a los ex gerentes (Gabriel G. Saidon y Enrique L. Benitez) que ascienden a miles de pesos 51.582. Por la misma resolución fue absuelta </w:t>
      </w:r>
      <w:proofErr w:type="gramStart"/>
      <w:r w:rsidRPr="00AE4E8D">
        <w:rPr>
          <w:lang w:val="es-ES"/>
        </w:rPr>
        <w:t>la</w:t>
      </w:r>
      <w:proofErr w:type="gramEnd"/>
      <w:r w:rsidRPr="00AE4E8D">
        <w:rPr>
          <w:lang w:val="es-ES"/>
        </w:rPr>
        <w:t xml:space="preserve"> ex síndico Sra. Silvana M. Gentile.</w:t>
      </w:r>
    </w:p>
    <w:p w14:paraId="28C3485A" w14:textId="77777777" w:rsidR="00FC18D9" w:rsidRPr="00AE4E8D" w:rsidRDefault="00FC18D9" w:rsidP="00FA3175">
      <w:pPr>
        <w:pStyle w:val="BHTexto"/>
        <w:rPr>
          <w:lang w:val="es-ES"/>
        </w:rPr>
      </w:pPr>
      <w:r w:rsidRPr="00AE4E8D">
        <w:rPr>
          <w:lang w:val="es-ES"/>
        </w:rPr>
        <w:t xml:space="preserve">Contra la medida sancionatoria, el Banco Hipotecario S.A. y las demás personas afectadas interpusieron el 25 de noviembre de 2014 el recurso de apelación previsto por el art. 42 de la Ley de Entidades </w:t>
      </w:r>
      <w:r w:rsidRPr="00AE4E8D">
        <w:rPr>
          <w:lang w:val="es-ES"/>
        </w:rPr>
        <w:lastRenderedPageBreak/>
        <w:t xml:space="preserve">Financieras, el que fue remitido por el BCRA a la Cámara Nacional de Apelaciones en lo Contencioso Administrativo Federal, quedando radicado en la Sala I de dicha Cámara. Asimismo y ante la misma Sala quedaron radicadas el 30 de diciembre de 2014 las medidas cautelares autónomas presentadas por el Banco y las personas sancionadas ante las ejecuciones fiscales promovidas por el BCRA para el cobro de las multas. </w:t>
      </w:r>
    </w:p>
    <w:p w14:paraId="66BB7F5B" w14:textId="77777777" w:rsidR="00FC18D9" w:rsidRPr="00AE4E8D" w:rsidRDefault="00FC18D9" w:rsidP="00FA3175">
      <w:pPr>
        <w:pStyle w:val="BHTexto"/>
        <w:rPr>
          <w:lang w:val="es-ES"/>
        </w:rPr>
      </w:pPr>
      <w:r w:rsidRPr="00AE4E8D">
        <w:rPr>
          <w:lang w:val="es-ES"/>
        </w:rPr>
        <w:t xml:space="preserve">Al tomar conocimiento de la resolución dictada el 30 de junio último por la Cámara Federal no haciendo lugar a las medidas cautelares deducidas por la entidad y directores, gerentes y algunos de los síndicos y con el propósito de evitar mayores conflictos y perjuicios patrimoniales que pudieran derivar de las acciones de ejecución de las multas, el Comité Ejecutivo del Banco resolvió aplicar el régimen de indemnidad respecto de los directores, personal superior y síndicos que -en subsidio de los importes no cubiertos por la póliza de seguro D&amp;O -, aprobó el Directorio de la entidad en sus reuniones del 2 de agosto de 2002 y el 8 de mayo de 2013, disponiendo el depósito de los importes de las multas. </w:t>
      </w:r>
    </w:p>
    <w:p w14:paraId="4211BE05" w14:textId="77777777" w:rsidR="00FC18D9" w:rsidRPr="00AE4E8D" w:rsidRDefault="00FC18D9" w:rsidP="00FA3175">
      <w:pPr>
        <w:pStyle w:val="BHTexto"/>
        <w:rPr>
          <w:lang w:val="es-ES"/>
        </w:rPr>
      </w:pPr>
      <w:r w:rsidRPr="00AE4E8D">
        <w:rPr>
          <w:lang w:val="es-ES"/>
        </w:rPr>
        <w:t>Dicho depósito, incluyendo el correspondiente a la sanción económica aplicada al Banco y las costas respectivas, representó la sum</w:t>
      </w:r>
      <w:r w:rsidR="00AD703C">
        <w:rPr>
          <w:lang w:val="es-ES"/>
        </w:rPr>
        <w:t>a total de miles de pesos 57,8 miles</w:t>
      </w:r>
      <w:r w:rsidRPr="00AE4E8D">
        <w:rPr>
          <w:lang w:val="es-ES"/>
        </w:rPr>
        <w:t xml:space="preserve"> de los cuales </w:t>
      </w:r>
      <w:r w:rsidR="00AD703C">
        <w:rPr>
          <w:lang w:val="es-ES"/>
        </w:rPr>
        <w:t>de pesos 53,6 mil</w:t>
      </w:r>
      <w:r w:rsidRPr="00AE4E8D">
        <w:rPr>
          <w:lang w:val="es-ES"/>
        </w:rPr>
        <w:t xml:space="preserve"> fueron imputados como pérdida del presente ejercicio de acuerdo a lo establecido en Acta No 229 del Comité Ejecutivo de Banco Hipotecario S.A. celebrado el día 2 de julio de 2015 y por el Directorio de la entidad en su reunión del día 15 de julio de 2015 y miles de pesos 4.040 fueron previsionados en el ejercicio anterior.</w:t>
      </w:r>
    </w:p>
    <w:p w14:paraId="3DB3983D" w14:textId="77777777" w:rsidR="00FC18D9" w:rsidRPr="00AE4E8D" w:rsidRDefault="00FC18D9" w:rsidP="00FA3175">
      <w:pPr>
        <w:pStyle w:val="BHTexto"/>
        <w:rPr>
          <w:lang w:val="es-ES"/>
        </w:rPr>
      </w:pPr>
      <w:r w:rsidRPr="00AE4E8D">
        <w:rPr>
          <w:lang w:val="es-ES"/>
        </w:rPr>
        <w:t>Sin perjuicio de ello, corresponde aclarar que en la presentación realizada ante el tribunal donde tramita la ejecución se hizo saber que las sumas depositadas en las cuentas judiciales habilitadas al efecto, eran dadas a embargo, solicitando que los montos respectivos fueran invertidos en depósitos bancarios a plazo fijo por 180 días renovables automáticamente a fin de asegurar la integridad de su valores monetarios hasta tanto la Cámara Nacional de Apelaciones en lo Contencioso Administrativo Federal resolviera definitivamente el recurso de apelación interpuesto contra la Resolución N° 685/14 del BCRA.</w:t>
      </w:r>
    </w:p>
    <w:p w14:paraId="2DE42E82" w14:textId="77777777" w:rsidR="00FC18D9" w:rsidRPr="00AE4E8D" w:rsidRDefault="00FC18D9" w:rsidP="00FA3175">
      <w:pPr>
        <w:pStyle w:val="BHTexto"/>
        <w:rPr>
          <w:lang w:val="es-ES"/>
        </w:rPr>
      </w:pPr>
      <w:r w:rsidRPr="00AE4E8D">
        <w:rPr>
          <w:lang w:val="es-ES"/>
        </w:rPr>
        <w:t>Al desestimarse las medidas cautelares promovidas, a instancias del BCRA el juzgado prosiguió con el proceso de ejecución de las multas contra cada uno de los imputados, razón por la que se solicitó que los importes depositados a embargo, fueran aplicados al pago de las respectivas sanciones económicas.</w:t>
      </w:r>
      <w:r w:rsidR="00FD6EDC" w:rsidRPr="00AE4E8D">
        <w:rPr>
          <w:lang w:val="es-ES"/>
        </w:rPr>
        <w:t xml:space="preserve"> Se mantiene pendiente la decisión de la Cámara Nacional en lo Contencioso Administrativo Federal sobre el recurso de apelación interpuesto a fines de 2014 contra la resolución sancionatoria del BCRA.</w:t>
      </w:r>
    </w:p>
    <w:p w14:paraId="25D8FC9B" w14:textId="77777777" w:rsidR="00ED5D5F" w:rsidRPr="00AE4E8D" w:rsidRDefault="00ED5D5F" w:rsidP="000E1220">
      <w:pPr>
        <w:pStyle w:val="BH4Cursiva"/>
      </w:pPr>
      <w:r w:rsidRPr="00AE4E8D">
        <w:t>Resolución N° 611/13 de la Superintendencia de Entidades Financieras y Cambiarias.</w:t>
      </w:r>
    </w:p>
    <w:p w14:paraId="105F95D0" w14:textId="77777777" w:rsidR="00ED5D5F" w:rsidRPr="00AE4E8D" w:rsidRDefault="00ED5D5F" w:rsidP="00FA3175">
      <w:pPr>
        <w:pStyle w:val="BHTexto"/>
        <w:rPr>
          <w:lang w:val="es-ES"/>
        </w:rPr>
      </w:pPr>
      <w:r w:rsidRPr="00AE4E8D">
        <w:rPr>
          <w:lang w:val="es-ES"/>
        </w:rPr>
        <w:t>El Banco fue notificado el 13 de se</w:t>
      </w:r>
      <w:r w:rsidR="00241C24" w:rsidRPr="00AE4E8D">
        <w:rPr>
          <w:lang w:val="es-ES"/>
        </w:rPr>
        <w:t>p</w:t>
      </w:r>
      <w:r w:rsidRPr="00AE4E8D">
        <w:rPr>
          <w:lang w:val="es-ES"/>
        </w:rPr>
        <w:t xml:space="preserve">tiembre de 2013 de la Resolución N° 611 dictada por el Superintendente de Entidades Financieras y Cambiarias que dispuso instruir sumario a esta entidad, al Gerente de Organización y Procedimientos, Sr. Christian Giummarra y a la ex Gerente de Sistemas, Sra. Aixa Manelli (Sumario en lo Cambiario N° 5469 – Expte 100.082/08); por el presunto incumplimiento de la normativa cambiaria con motivo de la venta de moneda extranjera a personas suspendidas por el BCRA para operar en cambios. El importe acumulado de las ventas de moneda extranjera en supuesta infracción, es del orden de los </w:t>
      </w:r>
      <w:r w:rsidR="002E01F1" w:rsidRPr="00AE4E8D">
        <w:rPr>
          <w:lang w:val="es-ES"/>
        </w:rPr>
        <w:t>US$</w:t>
      </w:r>
      <w:r w:rsidRPr="00AE4E8D">
        <w:rPr>
          <w:lang w:val="es-ES"/>
        </w:rPr>
        <w:t>39,9 miles y Euros 1,1 miles. Se han presentado las defensas y descargos y ofrecido la prueba que hace al derecho de todos los sumariados. El expediente de este sumario fue acumulado al Sumario en lo Cambiario N° 5529 (Expte. 101.327/10) que se dispuso instruir a los mismos imputados por Resolución N° 720 notificada el 8.10.13, en razón de su conexidad subjetiva. En este caso el importe acumulado de las ventas de moneda extranjera en supuesta infracción, fue del orden de los miles de dólares 86. Oportunamente se presentaron las defensas y descargos y fue ofrecida la prueba que hace al derecho de todos los sumariados. El BCRA dispuso la apertura a prueba, la que fue producida oportunamente. Clausurada esa etapa procesal los abogados presentaron el alegato pertinente. A mediados del mes de setiembre de 2016 el sumario (en el que se acumularon ambas actuaciones)</w:t>
      </w:r>
      <w:proofErr w:type="gramStart"/>
      <w:r w:rsidRPr="00AE4E8D">
        <w:rPr>
          <w:lang w:val="es-ES"/>
        </w:rPr>
        <w:t>,fue</w:t>
      </w:r>
      <w:proofErr w:type="gramEnd"/>
      <w:r w:rsidRPr="00AE4E8D">
        <w:rPr>
          <w:lang w:val="es-ES"/>
        </w:rPr>
        <w:t xml:space="preserve"> remitido por el BCRA a la Justicia en lo Penal Económico para que se dicte sentencia. Interviene el Juzgado Nacional en lo Penal Económico Nº 2 (Dr. Pablo Yadarola) - Secretaría Nº 3 (Dr. Fernando Stockfisz). Ante ese tribunal y como medida para mejor proveer, se presentó un escrito describiendo el sistema implementado por el BCRA para comunicar las inhabilitaciones para operar en cambios.</w:t>
      </w:r>
    </w:p>
    <w:p w14:paraId="3E02F553" w14:textId="77777777" w:rsidR="00ED5D5F" w:rsidRPr="00AE4E8D" w:rsidRDefault="00ED5D5F" w:rsidP="00FA3175">
      <w:pPr>
        <w:pStyle w:val="BHTexto"/>
        <w:rPr>
          <w:lang w:val="es-ES"/>
        </w:rPr>
      </w:pPr>
      <w:r w:rsidRPr="00AE4E8D">
        <w:rPr>
          <w:lang w:val="es-ES"/>
        </w:rPr>
        <w:t>El juzgado interviniente citó a los imputados a la audiencia prevista por el art. 41 del C</w:t>
      </w:r>
      <w:r w:rsidR="00241C24" w:rsidRPr="00AE4E8D">
        <w:rPr>
          <w:lang w:val="es-ES"/>
        </w:rPr>
        <w:t>ódigo</w:t>
      </w:r>
      <w:r w:rsidRPr="00AE4E8D">
        <w:rPr>
          <w:lang w:val="es-ES"/>
        </w:rPr>
        <w:t xml:space="preserve"> Penal, la que fue realizada el 27 de febrero de 2017.</w:t>
      </w:r>
    </w:p>
    <w:p w14:paraId="128A43CD" w14:textId="77777777" w:rsidR="00ED5D5F" w:rsidRPr="00AE4E8D" w:rsidRDefault="00ED5D5F" w:rsidP="00FA3175">
      <w:pPr>
        <w:pStyle w:val="BHTexto"/>
        <w:rPr>
          <w:lang w:val="es-ES"/>
        </w:rPr>
      </w:pPr>
      <w:r w:rsidRPr="00AE4E8D">
        <w:rPr>
          <w:lang w:val="es-ES"/>
        </w:rPr>
        <w:t>De acuerdo con la opinión de los abogados defensores - en el actual estado de las actuaciones- existen argumentos jurídicos y fácticos que generan expectativas razonables para el dictado de una absolución de las personas físicas imputadas y de Banco Hipotecario S.A., por consiguiente se considera que es baja la probabilidad de que el Banco sea objeto de las sanciones económicas contempladas por la Ley de Régimen Penal Cambiario. Por dicha razón no se han contabilizado previsiones.</w:t>
      </w:r>
    </w:p>
    <w:p w14:paraId="5D57D05C" w14:textId="77777777" w:rsidR="00CB5660" w:rsidRPr="00AE4E8D" w:rsidRDefault="00CB5660" w:rsidP="000E1220">
      <w:pPr>
        <w:pStyle w:val="BH4Cursiva"/>
      </w:pPr>
      <w:r w:rsidRPr="00AE4E8D">
        <w:lastRenderedPageBreak/>
        <w:t>Resolución Nº416/14 de la Superintendencia de Entidades Financieras y Cambiarias</w:t>
      </w:r>
    </w:p>
    <w:p w14:paraId="0CE13ECE" w14:textId="77777777" w:rsidR="00FC18D9" w:rsidRPr="00AE4E8D" w:rsidRDefault="00FC18D9" w:rsidP="00FA3175">
      <w:pPr>
        <w:pStyle w:val="BHTexto"/>
        <w:rPr>
          <w:lang w:val="es-ES"/>
        </w:rPr>
      </w:pPr>
      <w:r w:rsidRPr="00AE4E8D">
        <w:rPr>
          <w:lang w:val="es-ES"/>
        </w:rPr>
        <w:t>El 26 de agosto de 2014 el Banco fue notificado de la Resolución del Superintendente de Entidades Financieras y Cambiarias N° 416 del 7 de agosto de 2014 por la cual se dispuso la instrucción del Sumario N° 5843 en los términos del artículo 8° de la Ley del Régimen Penal Cambiario N° 19.359 (t.o. por Decreto N° 480/95). En el sumario mencionado se imputa al Banco Hipotecario S.A., directores (Sres. Eduardo S. Elsztain; Jacobo J. Dreizzen; Edgardo L. Fornero; Carlos B. Pisula; Gabriel G. Reznik; Pablo D. Vergara del Carril; Ernesto M. Viñes; Saul Zang; y Mauricio E. Wior) y ex directores (Sra. Clarisa D. Lifsic de Estol y Sr. Federico L. Bensadon), y a dos ex gerentes (Sres. Gabriel G. Saidon y Enrique L. Benitez), por presunto incumplimiento a las normas divulgadas por la Comunicación “A” 3471 (puntos 2 y 3) y por la Comunicación “A” 4805 (punto 2.2.) con motivo de transferencias de divisas al exterior - realizadas entre agosto y octubre de 2008-, en garantía de la operación de swap “CER Swap Linked to PG08 and External Debt” por un total de miles de dólares 46, sin la autorización del BCRA. Se ha tomado vista de las actuaciones (expediente N° 100.308/10) que tramitan ante la Gerencia de Asuntos Contenciosos en lo Cambiario del BC</w:t>
      </w:r>
      <w:r w:rsidR="004457C5" w:rsidRPr="00AE4E8D">
        <w:rPr>
          <w:lang w:val="es-ES"/>
        </w:rPr>
        <w:t>RA</w:t>
      </w:r>
      <w:r w:rsidRPr="00AE4E8D">
        <w:rPr>
          <w:lang w:val="es-ES"/>
        </w:rPr>
        <w:t>. Oportunamente se presentaron las defensas y descargos y fue ofrecida la prueba que hace al derecho de todos los sumariados. El BCRA dispuso el 16 de marzo último la apertura a prueba, la que fue producida en tiempo y forma, así como el alegato de los abogados defensores. Concluida la etapa administrativa las actuaciones fueron remitidas a la Justicia en lo Penal Económico. El Juzgado en lo Penal Económico N° 3 – Dr. Rafael E. Caputo, Secretaría N°5, declaró el día 18 de noviembre de 2015 su incompentencia, por lo que las actuaciones fueron giradas al Juzgado en lo Penal Económico N° 2 el que aún no se ha expedido sobre su intervención. La cuestión de competencia fue resuelta quedando las actuaciones radicadas ante el Juzgado del Dr. Rafael E. Caputo</w:t>
      </w:r>
      <w:r w:rsidR="00EC0AED" w:rsidRPr="00AE4E8D">
        <w:rPr>
          <w:lang w:val="es-ES"/>
        </w:rPr>
        <w:t xml:space="preserve"> con fecha 31 de octubre de 2016</w:t>
      </w:r>
      <w:r w:rsidRPr="00AE4E8D">
        <w:rPr>
          <w:lang w:val="es-ES"/>
        </w:rPr>
        <w:t>.</w:t>
      </w:r>
    </w:p>
    <w:p w14:paraId="38330F19" w14:textId="77777777" w:rsidR="00851FD3" w:rsidRPr="00AE4E8D" w:rsidRDefault="00851FD3" w:rsidP="00FA3175">
      <w:pPr>
        <w:pStyle w:val="BHTexto"/>
        <w:rPr>
          <w:lang w:val="es-ES"/>
        </w:rPr>
      </w:pPr>
      <w:r w:rsidRPr="00AE4E8D">
        <w:t>Mediante sentencia dictada el 27 de setiembre de 2017 el Juez en lo Penal Económico Dr. Rafael F. Caputo, dispuso la absolución de culpa y cargo del Banco y de los directores y ex gerentes involucrados en las actuaciones sumariales, medida que no se encuentra firme hasta tanto transcurra el plazo previsto para la apelación</w:t>
      </w:r>
      <w:r w:rsidRPr="00AE4E8D">
        <w:rPr>
          <w:lang w:val="es-ES"/>
        </w:rPr>
        <w:t>. Por consiguiente se considera que es baja la probabilidad de que el Banco sea objeto de las sanciones económicas contempladas por la Ley de Régimen Penal Cambiario. Por dicha razón no se han contabilizado previsiones.</w:t>
      </w:r>
    </w:p>
    <w:p w14:paraId="19D6F6A5" w14:textId="77777777" w:rsidR="00CB5660" w:rsidRPr="00AE4E8D" w:rsidRDefault="00CB5660" w:rsidP="00CB0A71">
      <w:pPr>
        <w:pStyle w:val="BH2Izquierda"/>
        <w:rPr>
          <w:lang w:val="es-ES"/>
        </w:rPr>
      </w:pPr>
      <w:bookmarkStart w:id="200" w:name="nota_primer_grado__rn"/>
      <w:bookmarkStart w:id="201" w:name="_DV_M1554"/>
      <w:bookmarkStart w:id="202" w:name="_DV_M1555"/>
      <w:bookmarkStart w:id="203" w:name="_DV_M1556"/>
      <w:bookmarkStart w:id="204" w:name="_DV_M1557"/>
      <w:bookmarkStart w:id="205" w:name="_DV_M1558"/>
      <w:bookmarkStart w:id="206" w:name="_DV_M1559"/>
      <w:bookmarkStart w:id="207" w:name="_DV_M1560"/>
      <w:bookmarkStart w:id="208" w:name="_DV_M1561"/>
      <w:bookmarkStart w:id="209" w:name="_DV_M1562"/>
      <w:bookmarkStart w:id="210" w:name="_DV_M1563"/>
      <w:bookmarkStart w:id="211" w:name="_DV_M1564"/>
      <w:bookmarkStart w:id="212" w:name="_DV_M1566"/>
      <w:bookmarkStart w:id="213" w:name="_DV_M1567"/>
      <w:bookmarkStart w:id="214" w:name="_DV_M1568"/>
      <w:bookmarkStart w:id="215" w:name="_DV_M1569"/>
      <w:bookmarkStart w:id="216" w:name="_DV_M1570"/>
      <w:bookmarkStart w:id="217" w:name="_DV_M1571"/>
      <w:bookmarkStart w:id="218" w:name="_DV_M1572"/>
      <w:bookmarkStart w:id="219" w:name="_DV_M1573"/>
      <w:bookmarkStart w:id="220" w:name="_DV_M1574"/>
      <w:bookmarkStart w:id="221" w:name="_DV_M1575"/>
      <w:bookmarkStart w:id="222" w:name="_DV_M1576"/>
      <w:bookmarkStart w:id="223" w:name="_DV_M1577"/>
      <w:bookmarkStart w:id="224" w:name="_DV_M1578"/>
      <w:bookmarkStart w:id="225" w:name="_DV_M1579"/>
      <w:bookmarkStart w:id="226" w:name="_DV_M1580"/>
      <w:bookmarkStart w:id="227" w:name="_DV_M1581"/>
      <w:bookmarkStart w:id="228" w:name="_DV_M1582"/>
      <w:bookmarkStart w:id="229" w:name="_DV_M1583"/>
      <w:bookmarkStart w:id="230" w:name="_DV_M1584"/>
      <w:bookmarkStart w:id="231" w:name="_DV_M1585"/>
      <w:bookmarkStart w:id="232" w:name="_DV_M1586"/>
      <w:bookmarkStart w:id="233" w:name="_DV_M1587"/>
      <w:bookmarkStart w:id="234" w:name="_DV_M1588"/>
      <w:bookmarkStart w:id="235" w:name="_DV_M1589"/>
      <w:bookmarkStart w:id="236" w:name="_DV_M1590"/>
      <w:bookmarkStart w:id="237" w:name="_DV_M1591"/>
      <w:bookmarkStart w:id="238" w:name="_DV_M1592"/>
      <w:bookmarkStart w:id="239" w:name="_DV_M1593"/>
      <w:bookmarkStart w:id="240" w:name="_DV_M1594"/>
      <w:bookmarkStart w:id="241" w:name="_DV_M1595"/>
      <w:bookmarkStart w:id="242" w:name="_DV_M1596"/>
      <w:bookmarkStart w:id="243" w:name="_DV_M1597"/>
      <w:bookmarkStart w:id="244" w:name="_DV_M1598"/>
      <w:bookmarkStart w:id="245" w:name="_DV_M1599"/>
      <w:bookmarkStart w:id="246" w:name="_DV_M1600"/>
      <w:bookmarkStart w:id="247" w:name="_DV_M1601"/>
      <w:bookmarkStart w:id="248" w:name="_DV_M1602"/>
      <w:bookmarkStart w:id="249" w:name="_DV_M1603"/>
      <w:bookmarkStart w:id="250" w:name="_DV_M1604"/>
      <w:bookmarkStart w:id="251" w:name="_DV_M1605"/>
      <w:bookmarkStart w:id="252" w:name="_DV_M1606"/>
      <w:bookmarkStart w:id="253" w:name="_DV_M1607"/>
      <w:bookmarkStart w:id="254" w:name="_DV_M1608"/>
      <w:bookmarkStart w:id="255" w:name="_DV_M1609"/>
      <w:bookmarkStart w:id="256" w:name="_DV_M1610"/>
      <w:bookmarkStart w:id="257" w:name="_DV_M1611"/>
      <w:bookmarkStart w:id="258" w:name="_DV_M1612"/>
      <w:bookmarkStart w:id="259" w:name="_DV_M1613"/>
      <w:bookmarkStart w:id="260" w:name="_DV_M1614"/>
      <w:bookmarkStart w:id="261" w:name="_DV_M1615"/>
      <w:bookmarkStart w:id="262" w:name="_DV_M1616"/>
      <w:bookmarkStart w:id="263" w:name="_DV_M1617"/>
      <w:bookmarkStart w:id="264" w:name="_DV_M1618"/>
      <w:bookmarkStart w:id="265" w:name="_DV_M1619"/>
      <w:bookmarkStart w:id="266" w:name="_DV_M1620"/>
      <w:bookmarkStart w:id="267" w:name="_DV_M1621"/>
      <w:bookmarkStart w:id="268" w:name="_DV_M1622"/>
      <w:bookmarkStart w:id="269" w:name="_DV_M1623"/>
      <w:bookmarkStart w:id="270" w:name="_DV_M1624"/>
      <w:bookmarkStart w:id="271" w:name="_DV_M1625"/>
      <w:bookmarkStart w:id="272" w:name="_DV_M1626"/>
      <w:bookmarkStart w:id="273" w:name="_DV_M1627"/>
      <w:bookmarkStart w:id="274" w:name="_DV_M1628"/>
      <w:bookmarkStart w:id="275" w:name="_DV_M1629"/>
      <w:bookmarkStart w:id="276" w:name="_DV_M1631"/>
      <w:bookmarkStart w:id="277" w:name="_DV_M1632"/>
      <w:bookmarkStart w:id="278" w:name="_DV_M1633"/>
      <w:bookmarkStart w:id="279" w:name="_DV_M1634"/>
      <w:bookmarkStart w:id="280" w:name="_DV_M1635"/>
      <w:bookmarkStart w:id="281" w:name="_DV_M1636"/>
      <w:bookmarkStart w:id="282" w:name="_DV_M1637"/>
      <w:bookmarkStart w:id="283" w:name="_DV_M1638"/>
      <w:bookmarkStart w:id="284" w:name="_DV_M1639"/>
      <w:bookmarkStart w:id="285" w:name="_DV_M1640"/>
      <w:bookmarkStart w:id="286" w:name="_Toc495972987"/>
      <w:bookmarkStart w:id="287" w:name="_Toc495399894"/>
      <w:bookmarkStart w:id="288" w:name="_Toc414610864"/>
      <w:bookmarkStart w:id="289" w:name="_Toc420062565"/>
      <w:bookmarkStart w:id="290" w:name="_Toc421201357"/>
      <w:bookmarkEnd w:id="191"/>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rsidRPr="00AE4E8D">
        <w:rPr>
          <w:lang w:val="es-ES"/>
        </w:rPr>
        <w:t>c)</w:t>
      </w:r>
      <w:bookmarkStart w:id="291" w:name="_Toc418848344"/>
      <w:r w:rsidRPr="00AE4E8D">
        <w:rPr>
          <w:lang w:val="es-ES"/>
        </w:rPr>
        <w:t xml:space="preserve"> Hechos Relevantes</w:t>
      </w:r>
      <w:bookmarkEnd w:id="286"/>
      <w:bookmarkEnd w:id="287"/>
      <w:bookmarkEnd w:id="291"/>
      <w:r w:rsidR="00B330BE" w:rsidRPr="00AE4E8D">
        <w:rPr>
          <w:lang w:val="es-ES"/>
        </w:rPr>
        <w:t xml:space="preserve"> </w:t>
      </w:r>
    </w:p>
    <w:p w14:paraId="66C0D322" w14:textId="77777777" w:rsidR="00CB0A71" w:rsidRPr="00AE4E8D" w:rsidRDefault="00CB0A71" w:rsidP="00930F3D">
      <w:pPr>
        <w:pStyle w:val="BHTexto"/>
        <w:rPr>
          <w:b/>
          <w:i/>
          <w:lang w:val="es-ES"/>
        </w:rPr>
      </w:pPr>
      <w:r w:rsidRPr="00AE4E8D">
        <w:rPr>
          <w:b/>
          <w:i/>
          <w:lang w:val="es-ES"/>
        </w:rPr>
        <w:t xml:space="preserve">Emisión de las Obligaciones Negociables Clase XLVI y Clase XLVII: </w:t>
      </w:r>
      <w:r w:rsidRPr="00AE4E8D">
        <w:rPr>
          <w:lang w:val="es-ES"/>
        </w:rPr>
        <w:t xml:space="preserve">Con fecha 4 de agosto de 2017 el Banco informó el resultado de la colocación de sus Obligaciones Negociables Clase XLVI y Clase XLVII. </w:t>
      </w:r>
      <w:r w:rsidR="00CF4710" w:rsidRPr="00AE4E8D">
        <w:rPr>
          <w:lang w:val="es-ES"/>
        </w:rPr>
        <w:t xml:space="preserve">La Clase XLVI, se emitió por un valor nominal de Ps.496.855.000 (pesos cuatrocientos noventa y seis millones ochocientos cincuenta y cinco mil con 00/100), a un precio de emisión del 100%, devengará una Tasa de Interés variable, la cual se calculará sobre la base de la Tasa BADLAR Privada más un margen del 4,25% nominal anual, y amortizará su capital íntegramente al vencimiento, que operará el 9 de febrero de 2019. </w:t>
      </w:r>
      <w:r w:rsidR="00FA230D" w:rsidRPr="00AE4E8D">
        <w:rPr>
          <w:lang w:val="es-ES"/>
        </w:rPr>
        <w:t xml:space="preserve">La Clase XLVI tendrá una Tasa de Interés Mínima de la Clase XLVI que regirá únicamente para el primer Período de Devengamiento de Intereses de las Obligaciones Negociables Clase XLVI y será 26,75% nominal anual. </w:t>
      </w:r>
      <w:r w:rsidR="00CF4710" w:rsidRPr="00AE4E8D">
        <w:rPr>
          <w:lang w:val="es-ES"/>
        </w:rPr>
        <w:t>Los intereses se pagarán trimestralmente, los días 9 de noviembre de 2017, 9 de febrero de 2018, 9 de mayo de 2018, 9 de agosto de 2018, 9 de noviembre de 2018 y 9 de febrero de 2019. La Clase XLVII, se emitió por un valor nominal deUS$7.233.000 (Dólares estadounidenses siete millones doscientos treinta y tres mil con 00/100), a un precio de emisión del 100%, devengará una Tasa de Interés fija del 4,00% nominal anual y amortizará su capital íntegramente al vencimiento, que operará el 9 de agosto de 2019. Los intereses se pagarán trimestralmente, los días 9 de noviembre de 2017, 9 de febrero de 2018, 9 de mayo de 2018, 9 de agosto de 2018, 9 de noviembre de 2018, 9 de febrero de 2019, 9 de mayo de 2019 y 9 de agosto de 2019.</w:t>
      </w:r>
    </w:p>
    <w:p w14:paraId="0E70AC3A" w14:textId="77777777" w:rsidR="00DF3160" w:rsidRPr="00AE4E8D" w:rsidRDefault="00930F3D" w:rsidP="00930F3D">
      <w:pPr>
        <w:pStyle w:val="BHTexto"/>
        <w:rPr>
          <w:lang w:val="es-ES"/>
        </w:rPr>
      </w:pPr>
      <w:r w:rsidRPr="00AE4E8D">
        <w:rPr>
          <w:b/>
          <w:i/>
          <w:lang w:val="es-ES"/>
        </w:rPr>
        <w:t>Instrumentación de Programa de Propiedad Participada (“</w:t>
      </w:r>
      <w:r w:rsidRPr="00AE4E8D">
        <w:rPr>
          <w:b/>
          <w:i/>
          <w:u w:val="single"/>
          <w:lang w:val="es-ES"/>
        </w:rPr>
        <w:t>PPP</w:t>
      </w:r>
      <w:r w:rsidRPr="00AE4E8D">
        <w:rPr>
          <w:b/>
          <w:i/>
          <w:lang w:val="es-ES"/>
        </w:rPr>
        <w:t>”):</w:t>
      </w:r>
      <w:r w:rsidRPr="00AE4E8D">
        <w:rPr>
          <w:lang w:val="es-ES"/>
        </w:rPr>
        <w:t xml:space="preserve"> De acuerdo a los Artículos 4 y 5 del Decreto Nº2127 del 7 de noviembre de 2012 y el Artículo 3 de la Resolución del Ministerio de Economía y Finanzas Públicas Nº264 del 18 de junio de 2013, el Estado Nacional a través de la Dirección Nacional de Normalización Patrimonial, Dirección de Programa de Propiedad Participada del Ministerio de Economía, se dispuso la transmisión de acciones Clase “A” a determinados ex-agentes. Como consecuencia de ello, el Banco informó que:</w:t>
      </w:r>
    </w:p>
    <w:p w14:paraId="138BDDA0" w14:textId="77777777" w:rsidR="00887118" w:rsidRPr="00AE4E8D" w:rsidRDefault="00887118" w:rsidP="000668B5">
      <w:pPr>
        <w:pStyle w:val="BHTexto"/>
        <w:numPr>
          <w:ilvl w:val="0"/>
          <w:numId w:val="56"/>
        </w:numPr>
        <w:rPr>
          <w:lang w:val="es-ES"/>
        </w:rPr>
      </w:pPr>
      <w:r w:rsidRPr="00AE4E8D">
        <w:rPr>
          <w:lang w:val="es-ES"/>
        </w:rPr>
        <w:t xml:space="preserve">con fecha </w:t>
      </w:r>
      <w:r w:rsidR="00CB0A71" w:rsidRPr="00AE4E8D">
        <w:rPr>
          <w:lang w:val="es-ES"/>
        </w:rPr>
        <w:t>6</w:t>
      </w:r>
      <w:r w:rsidRPr="00AE4E8D">
        <w:rPr>
          <w:lang w:val="es-ES"/>
        </w:rPr>
        <w:t xml:space="preserve"> de </w:t>
      </w:r>
      <w:r w:rsidR="00CB0A71" w:rsidRPr="00AE4E8D">
        <w:rPr>
          <w:lang w:val="es-ES"/>
        </w:rPr>
        <w:t>julio</w:t>
      </w:r>
      <w:r w:rsidRPr="00AE4E8D">
        <w:rPr>
          <w:lang w:val="es-ES"/>
        </w:rPr>
        <w:t xml:space="preserve"> de 2017, bajo el ID </w:t>
      </w:r>
      <w:r w:rsidR="00CB0A71" w:rsidRPr="00AE4E8D">
        <w:rPr>
          <w:lang w:val="es-ES"/>
        </w:rPr>
        <w:t>4-499123-D</w:t>
      </w:r>
      <w:r w:rsidRPr="00AE4E8D">
        <w:rPr>
          <w:lang w:val="es-ES"/>
        </w:rPr>
        <w:t xml:space="preserve">, ha solicitado a la Caja de Valores S.A. la conversión de </w:t>
      </w:r>
      <w:r w:rsidR="00CB0A71" w:rsidRPr="00AE4E8D">
        <w:rPr>
          <w:lang w:val="es-ES"/>
        </w:rPr>
        <w:t>10.381</w:t>
      </w:r>
      <w:r w:rsidRPr="00AE4E8D">
        <w:rPr>
          <w:lang w:val="es-ES"/>
        </w:rPr>
        <w:t xml:space="preserve"> (</w:t>
      </w:r>
      <w:r w:rsidR="00CB0A71" w:rsidRPr="00AE4E8D">
        <w:rPr>
          <w:lang w:val="es-ES"/>
        </w:rPr>
        <w:t>diez mil trescientos ochenta y uno</w:t>
      </w:r>
      <w:r w:rsidRPr="00AE4E8D">
        <w:rPr>
          <w:lang w:val="es-ES"/>
        </w:rPr>
        <w:t>) acciones ordinaria</w:t>
      </w:r>
      <w:r w:rsidR="00CB0A71" w:rsidRPr="00AE4E8D">
        <w:rPr>
          <w:lang w:val="es-ES"/>
        </w:rPr>
        <w:t>s</w:t>
      </w:r>
      <w:r w:rsidRPr="00AE4E8D">
        <w:rPr>
          <w:lang w:val="es-ES"/>
        </w:rPr>
        <w:t xml:space="preserve"> Clase “A” en igualdad de acciones Clase “D” y correspondiente modificación de su titularidad. En consecuencia, se ha solicitado el listado de dichas acciones convertidas en Clase “D”. En </w:t>
      </w:r>
      <w:r w:rsidRPr="00AE4E8D">
        <w:rPr>
          <w:lang w:val="es-ES"/>
        </w:rPr>
        <w:lastRenderedPageBreak/>
        <w:t>consecuencia de la conversión de acciones referida precedentemente, el capital social de Banco Hipotecario S.A. queda conformado de la siguiente manera:</w:t>
      </w:r>
    </w:p>
    <w:p w14:paraId="77C21192" w14:textId="77777777" w:rsidR="00887118" w:rsidRPr="00AE4E8D" w:rsidRDefault="00887118" w:rsidP="000668B5">
      <w:pPr>
        <w:pStyle w:val="BHTexto"/>
        <w:numPr>
          <w:ilvl w:val="3"/>
          <w:numId w:val="56"/>
        </w:numPr>
        <w:rPr>
          <w:lang w:val="es-ES"/>
        </w:rPr>
      </w:pPr>
      <w:r w:rsidRPr="00AE4E8D">
        <w:rPr>
          <w:lang w:val="es-ES"/>
        </w:rPr>
        <w:t>Acciones Clase “A”: 664.8</w:t>
      </w:r>
      <w:r w:rsidR="00CB0A71" w:rsidRPr="00AE4E8D">
        <w:rPr>
          <w:lang w:val="es-ES"/>
        </w:rPr>
        <w:t>18</w:t>
      </w:r>
      <w:r w:rsidRPr="00AE4E8D">
        <w:rPr>
          <w:lang w:val="es-ES"/>
        </w:rPr>
        <w:t>.</w:t>
      </w:r>
      <w:r w:rsidR="00CB0A71" w:rsidRPr="00AE4E8D">
        <w:rPr>
          <w:lang w:val="es-ES"/>
        </w:rPr>
        <w:t>687</w:t>
      </w:r>
    </w:p>
    <w:p w14:paraId="6B29150F" w14:textId="77777777" w:rsidR="00887118" w:rsidRPr="00AE4E8D" w:rsidRDefault="00887118" w:rsidP="000668B5">
      <w:pPr>
        <w:pStyle w:val="BHTexto"/>
        <w:numPr>
          <w:ilvl w:val="3"/>
          <w:numId w:val="56"/>
        </w:numPr>
        <w:rPr>
          <w:lang w:val="es-ES"/>
        </w:rPr>
      </w:pPr>
      <w:r w:rsidRPr="00AE4E8D">
        <w:rPr>
          <w:lang w:val="es-ES"/>
        </w:rPr>
        <w:t>Acciones Clase “B”: 57.009.279</w:t>
      </w:r>
    </w:p>
    <w:p w14:paraId="2219C694" w14:textId="77777777" w:rsidR="00887118" w:rsidRPr="00AE4E8D" w:rsidRDefault="00887118" w:rsidP="000668B5">
      <w:pPr>
        <w:pStyle w:val="BHTexto"/>
        <w:numPr>
          <w:ilvl w:val="3"/>
          <w:numId w:val="56"/>
        </w:numPr>
        <w:rPr>
          <w:lang w:val="es-ES"/>
        </w:rPr>
      </w:pPr>
      <w:r w:rsidRPr="00AE4E8D">
        <w:rPr>
          <w:lang w:val="es-ES"/>
        </w:rPr>
        <w:t>Acciones Clase “C”: 75.000.000</w:t>
      </w:r>
    </w:p>
    <w:p w14:paraId="51E3E56B" w14:textId="77777777" w:rsidR="00887118" w:rsidRPr="00AE4E8D" w:rsidRDefault="00887118" w:rsidP="000668B5">
      <w:pPr>
        <w:pStyle w:val="BHTexto"/>
        <w:numPr>
          <w:ilvl w:val="3"/>
          <w:numId w:val="56"/>
        </w:numPr>
        <w:rPr>
          <w:lang w:val="es-ES"/>
        </w:rPr>
      </w:pPr>
      <w:r w:rsidRPr="00AE4E8D">
        <w:rPr>
          <w:lang w:val="es-ES"/>
        </w:rPr>
        <w:t>Acciones Clase “D”: 703.</w:t>
      </w:r>
      <w:r w:rsidR="00CB0A71" w:rsidRPr="00AE4E8D">
        <w:rPr>
          <w:lang w:val="es-ES"/>
        </w:rPr>
        <w:t>172</w:t>
      </w:r>
      <w:r w:rsidRPr="00AE4E8D">
        <w:rPr>
          <w:lang w:val="es-ES"/>
        </w:rPr>
        <w:t>.</w:t>
      </w:r>
      <w:r w:rsidR="00CB0A71" w:rsidRPr="00AE4E8D">
        <w:rPr>
          <w:lang w:val="es-ES"/>
        </w:rPr>
        <w:t>034</w:t>
      </w:r>
    </w:p>
    <w:p w14:paraId="2EE528EB" w14:textId="77777777" w:rsidR="00742F9B" w:rsidRPr="00AE4E8D" w:rsidRDefault="00742F9B" w:rsidP="00742F9B">
      <w:pPr>
        <w:pStyle w:val="BHTexto"/>
        <w:numPr>
          <w:ilvl w:val="0"/>
          <w:numId w:val="56"/>
        </w:numPr>
        <w:rPr>
          <w:lang w:val="es-ES"/>
        </w:rPr>
      </w:pPr>
      <w:r w:rsidRPr="00AE4E8D">
        <w:rPr>
          <w:lang w:val="es-ES"/>
        </w:rPr>
        <w:t>c</w:t>
      </w:r>
      <w:r w:rsidR="00CB0A71" w:rsidRPr="00AE4E8D">
        <w:rPr>
          <w:lang w:val="es-ES"/>
        </w:rPr>
        <w:t>on</w:t>
      </w:r>
      <w:r w:rsidRPr="00AE4E8D">
        <w:rPr>
          <w:lang w:val="es-ES"/>
        </w:rPr>
        <w:t xml:space="preserve"> fecha 24 de julio de 2017, bajo el ID 4-503676-D, ha solicitado a la Caja de Valores S.A. la conversión de 136.493 (ciento treinta y seis mil cuatrocientos noventa y tres) acciones ordinarias Clase “A” en igualdad de acciones Clase “D” y correspondiente modificación de su titularidad. En consecuencia, se ha solicitado el listado de dichas acciones convertidas en Clase “D”. En consecuencia de la conversión de acciones referida precedentemente, el capital social de Banco Hipotecario S.A. queda conformado de la siguiente manera:</w:t>
      </w:r>
    </w:p>
    <w:p w14:paraId="285F7A31" w14:textId="77777777" w:rsidR="00742F9B" w:rsidRPr="00AE4E8D" w:rsidRDefault="00742F9B" w:rsidP="00742F9B">
      <w:pPr>
        <w:pStyle w:val="BHTexto"/>
        <w:numPr>
          <w:ilvl w:val="3"/>
          <w:numId w:val="56"/>
        </w:numPr>
        <w:rPr>
          <w:lang w:val="es-ES"/>
        </w:rPr>
      </w:pPr>
      <w:r w:rsidRPr="00AE4E8D">
        <w:rPr>
          <w:lang w:val="es-ES"/>
        </w:rPr>
        <w:t>Acciones Clase “A”: 664.682.194</w:t>
      </w:r>
    </w:p>
    <w:p w14:paraId="71DF73D4" w14:textId="77777777" w:rsidR="00742F9B" w:rsidRPr="00AE4E8D" w:rsidRDefault="00742F9B" w:rsidP="00742F9B">
      <w:pPr>
        <w:pStyle w:val="BHTexto"/>
        <w:numPr>
          <w:ilvl w:val="3"/>
          <w:numId w:val="56"/>
        </w:numPr>
        <w:rPr>
          <w:lang w:val="es-ES"/>
        </w:rPr>
      </w:pPr>
      <w:r w:rsidRPr="00AE4E8D">
        <w:rPr>
          <w:lang w:val="es-ES"/>
        </w:rPr>
        <w:t>Acciones Clase “B”: 57.009.279</w:t>
      </w:r>
    </w:p>
    <w:p w14:paraId="246B778A" w14:textId="77777777" w:rsidR="00742F9B" w:rsidRPr="00AE4E8D" w:rsidRDefault="00742F9B" w:rsidP="00742F9B">
      <w:pPr>
        <w:pStyle w:val="BHTexto"/>
        <w:numPr>
          <w:ilvl w:val="3"/>
          <w:numId w:val="56"/>
        </w:numPr>
        <w:rPr>
          <w:lang w:val="es-ES"/>
        </w:rPr>
      </w:pPr>
      <w:r w:rsidRPr="00AE4E8D">
        <w:rPr>
          <w:lang w:val="es-ES"/>
        </w:rPr>
        <w:t>Acciones Clase “C”: 75.000.000</w:t>
      </w:r>
    </w:p>
    <w:p w14:paraId="49D5B5C9" w14:textId="77777777" w:rsidR="00742F9B" w:rsidRPr="00AE4E8D" w:rsidRDefault="00742F9B" w:rsidP="00193357">
      <w:pPr>
        <w:pStyle w:val="BHTexto"/>
        <w:numPr>
          <w:ilvl w:val="3"/>
          <w:numId w:val="56"/>
        </w:numPr>
        <w:rPr>
          <w:lang w:val="es-ES"/>
        </w:rPr>
      </w:pPr>
      <w:r w:rsidRPr="00AE4E8D">
        <w:rPr>
          <w:lang w:val="es-ES"/>
        </w:rPr>
        <w:t>Acciones Clase “D”: 703.308.527</w:t>
      </w:r>
    </w:p>
    <w:p w14:paraId="26ABB2E4" w14:textId="77777777" w:rsidR="00193357" w:rsidRPr="00AE4E8D" w:rsidRDefault="00193357" w:rsidP="00193357">
      <w:pPr>
        <w:pStyle w:val="BHTexto"/>
        <w:numPr>
          <w:ilvl w:val="0"/>
          <w:numId w:val="56"/>
        </w:numPr>
        <w:adjustRightInd/>
      </w:pPr>
      <w:r w:rsidRPr="00AE4E8D">
        <w:t>con fecha 9 de octubre de 2017, bajo el ID 4-525631-D, ha solicitado a la Caja de Valores S.A. la conversión de 19.979 (diecinueve mil novecientos setenta y nueve) acciones ordinarias Clase “A” en igualdad de acciones Clase “D” y correspondiente modificación de su titularidad. En consecuencia, se ha solicitado el listado de dichas acciones convertidas en Clase “D”. En consecuencia de la conversión de acciones referida precedentemente, el capital social de Banco Hipotecario S.A. queda conformado de la siguiente manera:</w:t>
      </w:r>
    </w:p>
    <w:p w14:paraId="23FAAAA0" w14:textId="77777777" w:rsidR="00193357" w:rsidRPr="00AE4E8D" w:rsidRDefault="00193357" w:rsidP="00193357">
      <w:pPr>
        <w:pStyle w:val="BHTexto"/>
        <w:numPr>
          <w:ilvl w:val="3"/>
          <w:numId w:val="56"/>
        </w:numPr>
        <w:adjustRightInd/>
      </w:pPr>
      <w:r w:rsidRPr="00AE4E8D">
        <w:t>Acciones Clase “A”: 664.662.215</w:t>
      </w:r>
    </w:p>
    <w:p w14:paraId="62706EC6" w14:textId="77777777" w:rsidR="00193357" w:rsidRPr="00AE4E8D" w:rsidRDefault="00193357" w:rsidP="00193357">
      <w:pPr>
        <w:pStyle w:val="BHTexto"/>
        <w:numPr>
          <w:ilvl w:val="3"/>
          <w:numId w:val="56"/>
        </w:numPr>
        <w:adjustRightInd/>
      </w:pPr>
      <w:r w:rsidRPr="00AE4E8D">
        <w:t>Acciones Clase “B”: 57.009.279</w:t>
      </w:r>
    </w:p>
    <w:p w14:paraId="0E569A0B" w14:textId="77777777" w:rsidR="00193357" w:rsidRPr="00AE4E8D" w:rsidRDefault="00193357" w:rsidP="00193357">
      <w:pPr>
        <w:pStyle w:val="BHTexto"/>
        <w:numPr>
          <w:ilvl w:val="3"/>
          <w:numId w:val="56"/>
        </w:numPr>
        <w:adjustRightInd/>
      </w:pPr>
      <w:r w:rsidRPr="00AE4E8D">
        <w:t>Acciones Clase “C”: 75.000.000</w:t>
      </w:r>
    </w:p>
    <w:p w14:paraId="2B6051FE" w14:textId="77777777" w:rsidR="00193357" w:rsidRPr="00AE4E8D" w:rsidRDefault="00193357" w:rsidP="00486656">
      <w:pPr>
        <w:pStyle w:val="BHTexto"/>
        <w:numPr>
          <w:ilvl w:val="3"/>
          <w:numId w:val="56"/>
        </w:numPr>
        <w:adjustRightInd/>
      </w:pPr>
      <w:r w:rsidRPr="00AE4E8D">
        <w:t>Acciones Clase “D”: 703.328.506</w:t>
      </w:r>
    </w:p>
    <w:p w14:paraId="29364761" w14:textId="77777777" w:rsidR="00742F9B" w:rsidRPr="00AE4E8D" w:rsidRDefault="00552E1C" w:rsidP="00193357">
      <w:pPr>
        <w:keepNext/>
        <w:autoSpaceDE w:val="0"/>
        <w:autoSpaceDN w:val="0"/>
        <w:adjustRightInd w:val="0"/>
        <w:spacing w:before="240" w:after="240"/>
        <w:outlineLvl w:val="1"/>
        <w:rPr>
          <w:rFonts w:ascii="Times New Roman" w:hAnsi="Times New Roman"/>
          <w:lang w:val="es-ES"/>
        </w:rPr>
      </w:pPr>
      <w:bookmarkStart w:id="292" w:name="_Toc495972988"/>
      <w:bookmarkStart w:id="293" w:name="_Toc495399895"/>
      <w:r w:rsidRPr="00AE4E8D">
        <w:rPr>
          <w:rFonts w:ascii="Times New Roman" w:hAnsi="Times New Roman"/>
          <w:b/>
          <w:lang w:val="es-ES"/>
        </w:rPr>
        <w:t>d) Estructura y Organización del Banco y su Grupo Económico</w:t>
      </w:r>
      <w:bookmarkEnd w:id="292"/>
      <w:bookmarkEnd w:id="293"/>
    </w:p>
    <w:p w14:paraId="225D205E" w14:textId="77777777" w:rsidR="00552E1C" w:rsidRPr="00AE4E8D" w:rsidRDefault="00552E1C" w:rsidP="00FA3175">
      <w:pPr>
        <w:pStyle w:val="BHTexto"/>
        <w:rPr>
          <w:lang w:val="es-ES"/>
        </w:rPr>
      </w:pPr>
      <w:r w:rsidRPr="00AE4E8D">
        <w:rPr>
          <w:lang w:val="es-ES"/>
        </w:rPr>
        <w:t>El siguiente cuadro presenta información relativa a la participación en la titularidad del Banco y el porcentaje de votos en subsidiarias al 3</w:t>
      </w:r>
      <w:r w:rsidR="001D4AAB" w:rsidRPr="00AE4E8D">
        <w:rPr>
          <w:lang w:val="es-ES"/>
        </w:rPr>
        <w:t>0</w:t>
      </w:r>
      <w:r w:rsidRPr="00AE4E8D">
        <w:rPr>
          <w:lang w:val="es-ES"/>
        </w:rPr>
        <w:t xml:space="preserve"> de </w:t>
      </w:r>
      <w:r w:rsidR="001D4AAB" w:rsidRPr="00AE4E8D">
        <w:rPr>
          <w:lang w:val="es-ES"/>
        </w:rPr>
        <w:t>junio</w:t>
      </w:r>
      <w:r w:rsidRPr="00AE4E8D">
        <w:rPr>
          <w:lang w:val="es-ES"/>
        </w:rPr>
        <w:t xml:space="preserve"> de 201</w:t>
      </w:r>
      <w:r w:rsidR="00714919" w:rsidRPr="00AE4E8D">
        <w:rPr>
          <w:lang w:val="es-ES"/>
        </w:rPr>
        <w:t>7</w:t>
      </w:r>
      <w:r w:rsidRPr="00AE4E8D">
        <w:rPr>
          <w:lang w:val="es-ES"/>
        </w:rPr>
        <w:t>:</w:t>
      </w:r>
    </w:p>
    <w:tbl>
      <w:tblPr>
        <w:tblW w:w="0" w:type="auto"/>
        <w:jc w:val="center"/>
        <w:tblCellMar>
          <w:left w:w="70" w:type="dxa"/>
          <w:right w:w="70" w:type="dxa"/>
        </w:tblCellMar>
        <w:tblLook w:val="0000" w:firstRow="0" w:lastRow="0" w:firstColumn="0" w:lastColumn="0" w:noHBand="0" w:noVBand="0"/>
      </w:tblPr>
      <w:tblGrid>
        <w:gridCol w:w="3329"/>
        <w:gridCol w:w="1419"/>
        <w:gridCol w:w="1418"/>
        <w:gridCol w:w="1275"/>
        <w:gridCol w:w="1204"/>
      </w:tblGrid>
      <w:tr w:rsidR="00552E1C" w:rsidRPr="00AE4E8D" w14:paraId="30115A00" w14:textId="77777777" w:rsidTr="000400C8">
        <w:trPr>
          <w:trHeight w:val="341"/>
          <w:tblHeader/>
          <w:jc w:val="center"/>
        </w:trPr>
        <w:tc>
          <w:tcPr>
            <w:tcW w:w="3329" w:type="dxa"/>
            <w:tcBorders>
              <w:bottom w:val="single" w:sz="4" w:space="0" w:color="auto"/>
            </w:tcBorders>
            <w:vAlign w:val="center"/>
          </w:tcPr>
          <w:p w14:paraId="69AF7E9A" w14:textId="77777777" w:rsidR="00552E1C" w:rsidRPr="00AE4E8D" w:rsidRDefault="00552E1C" w:rsidP="004C7A5A">
            <w:pPr>
              <w:widowControl w:val="0"/>
              <w:tabs>
                <w:tab w:val="right" w:leader="dot" w:pos="5310"/>
              </w:tabs>
              <w:autoSpaceDE w:val="0"/>
              <w:autoSpaceDN w:val="0"/>
              <w:adjustRightInd w:val="0"/>
              <w:ind w:left="283"/>
              <w:jc w:val="center"/>
              <w:rPr>
                <w:rFonts w:ascii="Times New Roman" w:hAnsi="Times New Roman"/>
                <w:b/>
                <w:color w:val="000000"/>
                <w:lang w:val="es-ES"/>
              </w:rPr>
            </w:pPr>
            <w:r w:rsidRPr="00AE4E8D">
              <w:rPr>
                <w:rFonts w:ascii="Times New Roman" w:hAnsi="Times New Roman"/>
                <w:b/>
                <w:color w:val="000000"/>
                <w:sz w:val="16"/>
                <w:lang w:val="es-ES"/>
              </w:rPr>
              <w:t>Subsidiaria</w:t>
            </w:r>
          </w:p>
        </w:tc>
        <w:tc>
          <w:tcPr>
            <w:tcW w:w="1419" w:type="dxa"/>
            <w:tcBorders>
              <w:bottom w:val="single" w:sz="4" w:space="0" w:color="auto"/>
            </w:tcBorders>
            <w:vAlign w:val="center"/>
          </w:tcPr>
          <w:p w14:paraId="0C98CC97" w14:textId="77777777" w:rsidR="00552E1C" w:rsidRPr="00AE4E8D" w:rsidRDefault="00552E1C" w:rsidP="004C7A5A">
            <w:pPr>
              <w:spacing w:before="120" w:after="120" w:line="220" w:lineRule="exact"/>
              <w:jc w:val="center"/>
              <w:rPr>
                <w:rFonts w:ascii="Times New Roman" w:hAnsi="Times New Roman"/>
                <w:b/>
                <w:color w:val="000000"/>
                <w:lang w:val="es-ES"/>
              </w:rPr>
            </w:pPr>
            <w:r w:rsidRPr="00AE4E8D">
              <w:rPr>
                <w:rFonts w:ascii="Times New Roman" w:hAnsi="Times New Roman"/>
                <w:b/>
                <w:color w:val="000000"/>
                <w:sz w:val="16"/>
                <w:lang w:val="es-ES"/>
              </w:rPr>
              <w:t>Actividad</w:t>
            </w:r>
          </w:p>
        </w:tc>
        <w:tc>
          <w:tcPr>
            <w:tcW w:w="1418" w:type="dxa"/>
            <w:tcBorders>
              <w:bottom w:val="single" w:sz="4" w:space="0" w:color="auto"/>
            </w:tcBorders>
            <w:vAlign w:val="center"/>
          </w:tcPr>
          <w:p w14:paraId="5CED6CE2" w14:textId="77777777" w:rsidR="00552E1C" w:rsidRPr="00AE4E8D" w:rsidRDefault="00552E1C" w:rsidP="004C7A5A">
            <w:pPr>
              <w:widowControl w:val="0"/>
              <w:tabs>
                <w:tab w:val="right" w:leader="dot" w:pos="5310"/>
              </w:tabs>
              <w:autoSpaceDE w:val="0"/>
              <w:autoSpaceDN w:val="0"/>
              <w:adjustRightInd w:val="0"/>
              <w:jc w:val="center"/>
              <w:rPr>
                <w:rFonts w:ascii="Times New Roman" w:hAnsi="Times New Roman"/>
                <w:b/>
                <w:color w:val="000000"/>
                <w:lang w:val="es-ES"/>
              </w:rPr>
            </w:pPr>
            <w:r w:rsidRPr="00AE4E8D">
              <w:rPr>
                <w:rFonts w:ascii="Times New Roman" w:hAnsi="Times New Roman"/>
                <w:b/>
                <w:color w:val="000000"/>
                <w:sz w:val="16"/>
                <w:lang w:val="es-ES"/>
              </w:rPr>
              <w:t>País de Constitución</w:t>
            </w:r>
          </w:p>
        </w:tc>
        <w:tc>
          <w:tcPr>
            <w:tcW w:w="1275" w:type="dxa"/>
            <w:tcBorders>
              <w:bottom w:val="single" w:sz="4" w:space="0" w:color="auto"/>
            </w:tcBorders>
            <w:vAlign w:val="center"/>
          </w:tcPr>
          <w:p w14:paraId="1B770481" w14:textId="77777777" w:rsidR="00552E1C" w:rsidRPr="00AE4E8D" w:rsidRDefault="00552E1C" w:rsidP="004C7A5A">
            <w:pPr>
              <w:widowControl w:val="0"/>
              <w:tabs>
                <w:tab w:val="right" w:leader="dot" w:pos="5310"/>
              </w:tabs>
              <w:autoSpaceDE w:val="0"/>
              <w:autoSpaceDN w:val="0"/>
              <w:adjustRightInd w:val="0"/>
              <w:ind w:left="71"/>
              <w:jc w:val="center"/>
              <w:rPr>
                <w:rFonts w:ascii="Times New Roman" w:hAnsi="Times New Roman"/>
                <w:b/>
                <w:color w:val="000000"/>
                <w:lang w:val="es-ES"/>
              </w:rPr>
            </w:pPr>
            <w:r w:rsidRPr="00AE4E8D">
              <w:rPr>
                <w:rFonts w:ascii="Times New Roman" w:hAnsi="Times New Roman"/>
                <w:b/>
                <w:color w:val="000000"/>
                <w:sz w:val="16"/>
                <w:lang w:val="es-ES"/>
              </w:rPr>
              <w:t>Porcentaje de Titularidad</w:t>
            </w:r>
          </w:p>
          <w:p w14:paraId="3FF479A4" w14:textId="77777777" w:rsidR="00552E1C" w:rsidRPr="00AE4E8D" w:rsidRDefault="00552E1C" w:rsidP="004C7A5A">
            <w:pPr>
              <w:widowControl w:val="0"/>
              <w:tabs>
                <w:tab w:val="right" w:leader="dot" w:pos="5310"/>
              </w:tabs>
              <w:autoSpaceDE w:val="0"/>
              <w:autoSpaceDN w:val="0"/>
              <w:adjustRightInd w:val="0"/>
              <w:ind w:left="71"/>
              <w:jc w:val="center"/>
              <w:rPr>
                <w:rFonts w:ascii="Times New Roman" w:hAnsi="Times New Roman"/>
                <w:b/>
                <w:color w:val="000000"/>
                <w:lang w:val="es-ES"/>
              </w:rPr>
            </w:pPr>
            <w:r w:rsidRPr="00AE4E8D">
              <w:rPr>
                <w:rFonts w:ascii="Times New Roman" w:hAnsi="Times New Roman"/>
                <w:b/>
                <w:color w:val="000000"/>
                <w:sz w:val="16"/>
                <w:lang w:val="es-ES"/>
              </w:rPr>
              <w:t>(%)</w:t>
            </w:r>
          </w:p>
        </w:tc>
        <w:tc>
          <w:tcPr>
            <w:tcW w:w="1204" w:type="dxa"/>
            <w:tcBorders>
              <w:bottom w:val="single" w:sz="4" w:space="0" w:color="auto"/>
            </w:tcBorders>
            <w:vAlign w:val="center"/>
          </w:tcPr>
          <w:p w14:paraId="20EB6BEF" w14:textId="77777777" w:rsidR="00552E1C" w:rsidRPr="00AE4E8D" w:rsidRDefault="00552E1C" w:rsidP="004C7A5A">
            <w:pPr>
              <w:widowControl w:val="0"/>
              <w:tabs>
                <w:tab w:val="right" w:leader="dot" w:pos="5310"/>
              </w:tabs>
              <w:autoSpaceDE w:val="0"/>
              <w:autoSpaceDN w:val="0"/>
              <w:adjustRightInd w:val="0"/>
              <w:jc w:val="center"/>
              <w:rPr>
                <w:rFonts w:ascii="Times New Roman" w:hAnsi="Times New Roman"/>
                <w:b/>
                <w:color w:val="000000"/>
                <w:lang w:val="es-ES"/>
              </w:rPr>
            </w:pPr>
            <w:r w:rsidRPr="00AE4E8D">
              <w:rPr>
                <w:rFonts w:ascii="Times New Roman" w:hAnsi="Times New Roman"/>
                <w:b/>
                <w:color w:val="000000"/>
                <w:sz w:val="16"/>
                <w:lang w:val="es-ES"/>
              </w:rPr>
              <w:t>Porcentaje de facultad de voto</w:t>
            </w:r>
          </w:p>
          <w:p w14:paraId="0298841F" w14:textId="77777777" w:rsidR="00552E1C" w:rsidRPr="00AE4E8D" w:rsidRDefault="00552E1C" w:rsidP="004C7A5A">
            <w:pPr>
              <w:widowControl w:val="0"/>
              <w:tabs>
                <w:tab w:val="right" w:leader="dot" w:pos="5310"/>
              </w:tabs>
              <w:autoSpaceDE w:val="0"/>
              <w:autoSpaceDN w:val="0"/>
              <w:adjustRightInd w:val="0"/>
              <w:jc w:val="center"/>
              <w:rPr>
                <w:rFonts w:ascii="Times New Roman" w:hAnsi="Times New Roman"/>
                <w:b/>
                <w:color w:val="000000"/>
                <w:lang w:val="es-ES"/>
              </w:rPr>
            </w:pPr>
            <w:r w:rsidRPr="00AE4E8D">
              <w:rPr>
                <w:rFonts w:ascii="Times New Roman" w:hAnsi="Times New Roman"/>
                <w:b/>
                <w:color w:val="000000"/>
                <w:sz w:val="16"/>
                <w:lang w:val="es-ES"/>
              </w:rPr>
              <w:t>(%)</w:t>
            </w:r>
          </w:p>
        </w:tc>
      </w:tr>
      <w:tr w:rsidR="00552E1C" w:rsidRPr="00AE4E8D" w14:paraId="72493852" w14:textId="77777777" w:rsidTr="000400C8">
        <w:trPr>
          <w:trHeight w:val="226"/>
          <w:tblHeader/>
          <w:jc w:val="center"/>
        </w:trPr>
        <w:tc>
          <w:tcPr>
            <w:tcW w:w="3329" w:type="dxa"/>
            <w:tcBorders>
              <w:top w:val="single" w:sz="4" w:space="0" w:color="auto"/>
            </w:tcBorders>
          </w:tcPr>
          <w:p w14:paraId="24B68972" w14:textId="77777777" w:rsidR="00552E1C" w:rsidRPr="00AE4E8D" w:rsidRDefault="00552E1C" w:rsidP="004C7A5A">
            <w:pPr>
              <w:widowControl w:val="0"/>
              <w:tabs>
                <w:tab w:val="right" w:leader="dot" w:pos="5310"/>
              </w:tabs>
              <w:autoSpaceDE w:val="0"/>
              <w:autoSpaceDN w:val="0"/>
              <w:adjustRightInd w:val="0"/>
              <w:ind w:left="283"/>
              <w:rPr>
                <w:rFonts w:ascii="Times New Roman" w:hAnsi="Times New Roman"/>
                <w:color w:val="000000"/>
                <w:lang w:val="es-ES"/>
              </w:rPr>
            </w:pPr>
          </w:p>
        </w:tc>
        <w:tc>
          <w:tcPr>
            <w:tcW w:w="1419" w:type="dxa"/>
            <w:tcBorders>
              <w:top w:val="single" w:sz="4" w:space="0" w:color="auto"/>
            </w:tcBorders>
          </w:tcPr>
          <w:p w14:paraId="09C3A3EC" w14:textId="77777777" w:rsidR="00552E1C" w:rsidRPr="00AE4E8D" w:rsidRDefault="00552E1C" w:rsidP="004C7A5A">
            <w:pPr>
              <w:widowControl w:val="0"/>
              <w:tabs>
                <w:tab w:val="right" w:leader="dot" w:pos="5310"/>
              </w:tabs>
              <w:autoSpaceDE w:val="0"/>
              <w:autoSpaceDN w:val="0"/>
              <w:adjustRightInd w:val="0"/>
              <w:jc w:val="center"/>
              <w:rPr>
                <w:rFonts w:ascii="Times New Roman" w:hAnsi="Times New Roman"/>
                <w:color w:val="000000"/>
                <w:lang w:val="es-ES"/>
              </w:rPr>
            </w:pPr>
          </w:p>
        </w:tc>
        <w:tc>
          <w:tcPr>
            <w:tcW w:w="1418" w:type="dxa"/>
            <w:tcBorders>
              <w:top w:val="single" w:sz="4" w:space="0" w:color="auto"/>
            </w:tcBorders>
          </w:tcPr>
          <w:p w14:paraId="31744F7B" w14:textId="77777777" w:rsidR="00552E1C" w:rsidRPr="00AE4E8D" w:rsidRDefault="00552E1C" w:rsidP="004C7A5A">
            <w:pPr>
              <w:widowControl w:val="0"/>
              <w:tabs>
                <w:tab w:val="right" w:leader="dot" w:pos="5310"/>
              </w:tabs>
              <w:autoSpaceDE w:val="0"/>
              <w:autoSpaceDN w:val="0"/>
              <w:adjustRightInd w:val="0"/>
              <w:jc w:val="center"/>
              <w:rPr>
                <w:rFonts w:ascii="Times New Roman" w:hAnsi="Times New Roman"/>
                <w:color w:val="000000"/>
                <w:lang w:val="es-ES"/>
              </w:rPr>
            </w:pPr>
          </w:p>
        </w:tc>
        <w:tc>
          <w:tcPr>
            <w:tcW w:w="1275" w:type="dxa"/>
            <w:tcBorders>
              <w:top w:val="single" w:sz="4" w:space="0" w:color="auto"/>
            </w:tcBorders>
          </w:tcPr>
          <w:p w14:paraId="5619E4BE" w14:textId="77777777" w:rsidR="00552E1C" w:rsidRPr="00AE4E8D" w:rsidRDefault="00552E1C" w:rsidP="004C7A5A">
            <w:pPr>
              <w:widowControl w:val="0"/>
              <w:tabs>
                <w:tab w:val="right" w:leader="dot" w:pos="5310"/>
              </w:tabs>
              <w:autoSpaceDE w:val="0"/>
              <w:autoSpaceDN w:val="0"/>
              <w:adjustRightInd w:val="0"/>
              <w:ind w:left="71"/>
              <w:jc w:val="center"/>
              <w:rPr>
                <w:rFonts w:ascii="Times New Roman" w:hAnsi="Times New Roman"/>
                <w:color w:val="000000"/>
                <w:lang w:val="es-ES"/>
              </w:rPr>
            </w:pPr>
          </w:p>
        </w:tc>
        <w:tc>
          <w:tcPr>
            <w:tcW w:w="1204" w:type="dxa"/>
            <w:tcBorders>
              <w:top w:val="single" w:sz="4" w:space="0" w:color="auto"/>
            </w:tcBorders>
          </w:tcPr>
          <w:p w14:paraId="3A693CAB" w14:textId="77777777" w:rsidR="00552E1C" w:rsidRPr="00AE4E8D" w:rsidRDefault="00552E1C" w:rsidP="004C7A5A">
            <w:pPr>
              <w:widowControl w:val="0"/>
              <w:tabs>
                <w:tab w:val="right" w:leader="dot" w:pos="5310"/>
              </w:tabs>
              <w:autoSpaceDE w:val="0"/>
              <w:autoSpaceDN w:val="0"/>
              <w:adjustRightInd w:val="0"/>
              <w:jc w:val="center"/>
              <w:rPr>
                <w:rFonts w:ascii="Times New Roman" w:hAnsi="Times New Roman"/>
                <w:color w:val="000000"/>
                <w:lang w:val="es-ES"/>
              </w:rPr>
            </w:pPr>
          </w:p>
        </w:tc>
      </w:tr>
      <w:tr w:rsidR="00552E1C" w:rsidRPr="00AE4E8D" w14:paraId="412C7170" w14:textId="77777777" w:rsidTr="000400C8">
        <w:trPr>
          <w:trHeight w:val="325"/>
          <w:jc w:val="center"/>
        </w:trPr>
        <w:tc>
          <w:tcPr>
            <w:tcW w:w="3329" w:type="dxa"/>
          </w:tcPr>
          <w:p w14:paraId="7E029793" w14:textId="77777777" w:rsidR="00552E1C" w:rsidRPr="00AE4E8D" w:rsidRDefault="00552E1C" w:rsidP="0084512B">
            <w:pPr>
              <w:widowControl w:val="0"/>
              <w:tabs>
                <w:tab w:val="left" w:leader="dot" w:pos="3119"/>
                <w:tab w:val="right" w:leader="dot" w:pos="5310"/>
              </w:tabs>
              <w:autoSpaceDE w:val="0"/>
              <w:autoSpaceDN w:val="0"/>
              <w:adjustRightInd w:val="0"/>
              <w:rPr>
                <w:rFonts w:ascii="Times New Roman" w:hAnsi="Times New Roman"/>
                <w:color w:val="000000"/>
                <w:lang w:val="es-ES"/>
              </w:rPr>
            </w:pPr>
            <w:r w:rsidRPr="00AE4E8D">
              <w:rPr>
                <w:rFonts w:ascii="Times New Roman" w:hAnsi="Times New Roman"/>
                <w:color w:val="000000"/>
                <w:sz w:val="16"/>
                <w:lang w:val="es-ES"/>
              </w:rPr>
              <w:t>BACS Banco de Crédito y Securitización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1419" w:type="dxa"/>
          </w:tcPr>
          <w:p w14:paraId="447DD0EC" w14:textId="77777777" w:rsidR="00552E1C" w:rsidRPr="00AE4E8D" w:rsidRDefault="00552E1C" w:rsidP="004C7A5A">
            <w:pPr>
              <w:widowControl w:val="0"/>
              <w:tabs>
                <w:tab w:val="right" w:leader="dot" w:pos="5310"/>
              </w:tabs>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Operaciones bancarias</w:t>
            </w:r>
          </w:p>
        </w:tc>
        <w:tc>
          <w:tcPr>
            <w:tcW w:w="1418" w:type="dxa"/>
          </w:tcPr>
          <w:p w14:paraId="29C4C494" w14:textId="77777777" w:rsidR="00552E1C" w:rsidRPr="00AE4E8D" w:rsidRDefault="00552E1C" w:rsidP="004C7A5A">
            <w:pPr>
              <w:widowControl w:val="0"/>
              <w:tabs>
                <w:tab w:val="right" w:leader="dot" w:pos="5310"/>
              </w:tabs>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Argentina</w:t>
            </w:r>
          </w:p>
        </w:tc>
        <w:tc>
          <w:tcPr>
            <w:tcW w:w="1275" w:type="dxa"/>
          </w:tcPr>
          <w:p w14:paraId="7CB6293E" w14:textId="77777777" w:rsidR="00552E1C" w:rsidRPr="00AE4E8D" w:rsidRDefault="0063202E" w:rsidP="004C7A5A">
            <w:pPr>
              <w:widowControl w:val="0"/>
              <w:tabs>
                <w:tab w:val="right" w:leader="dot" w:pos="5310"/>
              </w:tabs>
              <w:autoSpaceDE w:val="0"/>
              <w:autoSpaceDN w:val="0"/>
              <w:adjustRightInd w:val="0"/>
              <w:ind w:left="71"/>
              <w:jc w:val="center"/>
              <w:rPr>
                <w:rFonts w:ascii="Times New Roman" w:hAnsi="Times New Roman"/>
                <w:color w:val="000000"/>
                <w:lang w:val="es-ES"/>
              </w:rPr>
            </w:pPr>
            <w:r w:rsidRPr="00AE4E8D">
              <w:rPr>
                <w:rFonts w:ascii="Times New Roman" w:hAnsi="Times New Roman"/>
                <w:color w:val="000000"/>
                <w:sz w:val="16"/>
                <w:lang w:val="es-ES"/>
              </w:rPr>
              <w:t>62.277</w:t>
            </w:r>
          </w:p>
        </w:tc>
        <w:tc>
          <w:tcPr>
            <w:tcW w:w="1204" w:type="dxa"/>
          </w:tcPr>
          <w:p w14:paraId="73593AAA" w14:textId="77777777" w:rsidR="00552E1C" w:rsidRPr="00AE4E8D" w:rsidRDefault="0063202E" w:rsidP="004C7A5A">
            <w:pPr>
              <w:widowControl w:val="0"/>
              <w:tabs>
                <w:tab w:val="right" w:leader="dot" w:pos="5310"/>
              </w:tabs>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62,277</w:t>
            </w:r>
          </w:p>
        </w:tc>
      </w:tr>
      <w:tr w:rsidR="00552E1C" w:rsidRPr="00AE4E8D" w14:paraId="0F671F80" w14:textId="77777777" w:rsidTr="000400C8">
        <w:trPr>
          <w:jc w:val="center"/>
        </w:trPr>
        <w:tc>
          <w:tcPr>
            <w:tcW w:w="3329" w:type="dxa"/>
          </w:tcPr>
          <w:p w14:paraId="61089BE5" w14:textId="77777777" w:rsidR="00552E1C" w:rsidRPr="00AE4E8D" w:rsidRDefault="00552E1C" w:rsidP="0084512B">
            <w:pPr>
              <w:keepNext/>
              <w:tabs>
                <w:tab w:val="left" w:leader="dot" w:pos="3119"/>
              </w:tabs>
              <w:autoSpaceDE w:val="0"/>
              <w:autoSpaceDN w:val="0"/>
              <w:adjustRightInd w:val="0"/>
              <w:ind w:left="283"/>
              <w:outlineLvl w:val="0"/>
              <w:rPr>
                <w:rFonts w:ascii="Times New Roman" w:hAnsi="Times New Roman"/>
                <w:color w:val="000000"/>
                <w:lang w:val="es-ES"/>
              </w:rPr>
            </w:pPr>
          </w:p>
        </w:tc>
        <w:tc>
          <w:tcPr>
            <w:tcW w:w="1419" w:type="dxa"/>
          </w:tcPr>
          <w:p w14:paraId="2251819A" w14:textId="77777777" w:rsidR="00552E1C" w:rsidRPr="00AE4E8D" w:rsidRDefault="00552E1C" w:rsidP="004C7A5A">
            <w:pPr>
              <w:keepNext/>
              <w:autoSpaceDE w:val="0"/>
              <w:autoSpaceDN w:val="0"/>
              <w:adjustRightInd w:val="0"/>
              <w:jc w:val="center"/>
              <w:outlineLvl w:val="0"/>
              <w:rPr>
                <w:rFonts w:ascii="Times New Roman" w:hAnsi="Times New Roman"/>
                <w:color w:val="000000"/>
                <w:lang w:val="es-ES"/>
              </w:rPr>
            </w:pPr>
          </w:p>
        </w:tc>
        <w:tc>
          <w:tcPr>
            <w:tcW w:w="1418" w:type="dxa"/>
          </w:tcPr>
          <w:p w14:paraId="2BE5A985" w14:textId="77777777" w:rsidR="00552E1C" w:rsidRPr="00AE4E8D" w:rsidRDefault="00552E1C" w:rsidP="004C7A5A">
            <w:pPr>
              <w:keepNext/>
              <w:autoSpaceDE w:val="0"/>
              <w:autoSpaceDN w:val="0"/>
              <w:adjustRightInd w:val="0"/>
              <w:jc w:val="center"/>
              <w:outlineLvl w:val="0"/>
              <w:rPr>
                <w:rFonts w:ascii="Times New Roman" w:hAnsi="Times New Roman"/>
                <w:color w:val="000000"/>
                <w:lang w:val="es-ES"/>
              </w:rPr>
            </w:pPr>
          </w:p>
        </w:tc>
        <w:tc>
          <w:tcPr>
            <w:tcW w:w="1275" w:type="dxa"/>
          </w:tcPr>
          <w:p w14:paraId="24A50C1D" w14:textId="77777777" w:rsidR="00552E1C" w:rsidRPr="00AE4E8D" w:rsidRDefault="00552E1C" w:rsidP="004C7A5A">
            <w:pPr>
              <w:keepNext/>
              <w:autoSpaceDE w:val="0"/>
              <w:autoSpaceDN w:val="0"/>
              <w:adjustRightInd w:val="0"/>
              <w:ind w:left="71"/>
              <w:jc w:val="center"/>
              <w:outlineLvl w:val="0"/>
              <w:rPr>
                <w:rFonts w:ascii="Times New Roman" w:hAnsi="Times New Roman"/>
                <w:color w:val="000000"/>
                <w:lang w:val="es-ES"/>
              </w:rPr>
            </w:pPr>
          </w:p>
        </w:tc>
        <w:tc>
          <w:tcPr>
            <w:tcW w:w="1204" w:type="dxa"/>
          </w:tcPr>
          <w:p w14:paraId="6ACE823C" w14:textId="77777777" w:rsidR="00552E1C" w:rsidRPr="00AE4E8D" w:rsidRDefault="00552E1C" w:rsidP="004C7A5A">
            <w:pPr>
              <w:keepNext/>
              <w:autoSpaceDE w:val="0"/>
              <w:autoSpaceDN w:val="0"/>
              <w:adjustRightInd w:val="0"/>
              <w:jc w:val="center"/>
              <w:outlineLvl w:val="0"/>
              <w:rPr>
                <w:rFonts w:ascii="Times New Roman" w:hAnsi="Times New Roman"/>
                <w:color w:val="000000"/>
                <w:lang w:val="es-ES"/>
              </w:rPr>
            </w:pPr>
          </w:p>
        </w:tc>
      </w:tr>
      <w:tr w:rsidR="00552E1C" w:rsidRPr="00AE4E8D" w14:paraId="29570A2C" w14:textId="77777777" w:rsidTr="000400C8">
        <w:trPr>
          <w:jc w:val="center"/>
        </w:trPr>
        <w:tc>
          <w:tcPr>
            <w:tcW w:w="3329" w:type="dxa"/>
          </w:tcPr>
          <w:p w14:paraId="023033F7" w14:textId="77777777" w:rsidR="00552E1C" w:rsidRPr="00AE4E8D" w:rsidRDefault="00552E1C" w:rsidP="0084512B">
            <w:pPr>
              <w:tabs>
                <w:tab w:val="left" w:leader="dot" w:pos="3119"/>
              </w:tabs>
              <w:autoSpaceDE w:val="0"/>
              <w:autoSpaceDN w:val="0"/>
              <w:adjustRightInd w:val="0"/>
              <w:rPr>
                <w:rFonts w:ascii="Times New Roman" w:hAnsi="Times New Roman"/>
                <w:color w:val="000000"/>
                <w:lang w:val="es-ES"/>
              </w:rPr>
            </w:pPr>
            <w:r w:rsidRPr="00AE4E8D">
              <w:rPr>
                <w:rFonts w:ascii="Times New Roman" w:hAnsi="Times New Roman"/>
                <w:color w:val="000000"/>
                <w:sz w:val="16"/>
                <w:lang w:val="es-ES"/>
              </w:rPr>
              <w:t>BHN Sociedad de Inversión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1419" w:type="dxa"/>
          </w:tcPr>
          <w:p w14:paraId="0E4642A1" w14:textId="77777777" w:rsidR="00552E1C" w:rsidRPr="00AE4E8D" w:rsidRDefault="00552E1C" w:rsidP="004C7A5A">
            <w:pPr>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Actividad de Inversión</w:t>
            </w:r>
          </w:p>
        </w:tc>
        <w:tc>
          <w:tcPr>
            <w:tcW w:w="1418" w:type="dxa"/>
          </w:tcPr>
          <w:p w14:paraId="3876E14C" w14:textId="77777777" w:rsidR="00552E1C" w:rsidRPr="00AE4E8D" w:rsidRDefault="00552E1C" w:rsidP="004C7A5A">
            <w:pPr>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Argentina</w:t>
            </w:r>
          </w:p>
        </w:tc>
        <w:tc>
          <w:tcPr>
            <w:tcW w:w="1275" w:type="dxa"/>
          </w:tcPr>
          <w:p w14:paraId="43AE040A" w14:textId="77777777" w:rsidR="00552E1C" w:rsidRPr="00AE4E8D" w:rsidRDefault="00552E1C" w:rsidP="004C7A5A">
            <w:pPr>
              <w:autoSpaceDE w:val="0"/>
              <w:autoSpaceDN w:val="0"/>
              <w:adjustRightInd w:val="0"/>
              <w:ind w:left="71"/>
              <w:jc w:val="center"/>
              <w:rPr>
                <w:rFonts w:ascii="Times New Roman" w:hAnsi="Times New Roman"/>
                <w:color w:val="000000"/>
                <w:lang w:val="es-ES"/>
              </w:rPr>
            </w:pPr>
            <w:r w:rsidRPr="00AE4E8D">
              <w:rPr>
                <w:rFonts w:ascii="Times New Roman" w:hAnsi="Times New Roman"/>
                <w:color w:val="000000"/>
                <w:sz w:val="16"/>
                <w:lang w:val="es-ES"/>
              </w:rPr>
              <w:t>99,99</w:t>
            </w:r>
          </w:p>
        </w:tc>
        <w:tc>
          <w:tcPr>
            <w:tcW w:w="1204" w:type="dxa"/>
          </w:tcPr>
          <w:p w14:paraId="05DDCEE6" w14:textId="77777777" w:rsidR="00552E1C" w:rsidRPr="00AE4E8D" w:rsidRDefault="00552E1C" w:rsidP="004C7A5A">
            <w:pPr>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99,99</w:t>
            </w:r>
          </w:p>
        </w:tc>
      </w:tr>
      <w:tr w:rsidR="00552E1C" w:rsidRPr="00AE4E8D" w14:paraId="78EC0128" w14:textId="77777777" w:rsidTr="000400C8">
        <w:trPr>
          <w:trHeight w:val="180"/>
          <w:jc w:val="center"/>
        </w:trPr>
        <w:tc>
          <w:tcPr>
            <w:tcW w:w="3329" w:type="dxa"/>
          </w:tcPr>
          <w:p w14:paraId="0B2E11CE" w14:textId="77777777" w:rsidR="00552E1C" w:rsidRPr="00AE4E8D" w:rsidRDefault="00552E1C" w:rsidP="0084512B">
            <w:pPr>
              <w:keepNext/>
              <w:tabs>
                <w:tab w:val="left" w:leader="dot" w:pos="3119"/>
              </w:tabs>
              <w:autoSpaceDE w:val="0"/>
              <w:autoSpaceDN w:val="0"/>
              <w:adjustRightInd w:val="0"/>
              <w:ind w:left="283"/>
              <w:outlineLvl w:val="0"/>
              <w:rPr>
                <w:rFonts w:ascii="Times New Roman" w:hAnsi="Times New Roman"/>
                <w:color w:val="000000"/>
                <w:lang w:val="es-ES"/>
              </w:rPr>
            </w:pPr>
          </w:p>
        </w:tc>
        <w:tc>
          <w:tcPr>
            <w:tcW w:w="1419" w:type="dxa"/>
          </w:tcPr>
          <w:p w14:paraId="016DBAD2" w14:textId="77777777" w:rsidR="00552E1C" w:rsidRPr="00AE4E8D" w:rsidRDefault="00552E1C" w:rsidP="004C7A5A">
            <w:pPr>
              <w:keepNext/>
              <w:autoSpaceDE w:val="0"/>
              <w:autoSpaceDN w:val="0"/>
              <w:adjustRightInd w:val="0"/>
              <w:jc w:val="center"/>
              <w:outlineLvl w:val="0"/>
              <w:rPr>
                <w:rFonts w:ascii="Times New Roman" w:hAnsi="Times New Roman"/>
                <w:color w:val="000000"/>
                <w:lang w:val="es-ES"/>
              </w:rPr>
            </w:pPr>
          </w:p>
        </w:tc>
        <w:tc>
          <w:tcPr>
            <w:tcW w:w="1418" w:type="dxa"/>
          </w:tcPr>
          <w:p w14:paraId="69A4B97E" w14:textId="77777777" w:rsidR="00552E1C" w:rsidRPr="00AE4E8D" w:rsidRDefault="00552E1C" w:rsidP="004C7A5A">
            <w:pPr>
              <w:keepNext/>
              <w:autoSpaceDE w:val="0"/>
              <w:autoSpaceDN w:val="0"/>
              <w:adjustRightInd w:val="0"/>
              <w:jc w:val="center"/>
              <w:outlineLvl w:val="0"/>
              <w:rPr>
                <w:rFonts w:ascii="Times New Roman" w:hAnsi="Times New Roman"/>
                <w:color w:val="000000"/>
                <w:lang w:val="es-ES"/>
              </w:rPr>
            </w:pPr>
          </w:p>
        </w:tc>
        <w:tc>
          <w:tcPr>
            <w:tcW w:w="1275" w:type="dxa"/>
          </w:tcPr>
          <w:p w14:paraId="6F6D013F" w14:textId="77777777" w:rsidR="00552E1C" w:rsidRPr="00AE4E8D" w:rsidRDefault="00552E1C" w:rsidP="004C7A5A">
            <w:pPr>
              <w:keepNext/>
              <w:autoSpaceDE w:val="0"/>
              <w:autoSpaceDN w:val="0"/>
              <w:adjustRightInd w:val="0"/>
              <w:ind w:left="71"/>
              <w:jc w:val="center"/>
              <w:outlineLvl w:val="0"/>
              <w:rPr>
                <w:rFonts w:ascii="Times New Roman" w:hAnsi="Times New Roman"/>
                <w:color w:val="000000"/>
                <w:lang w:val="es-ES"/>
              </w:rPr>
            </w:pPr>
          </w:p>
        </w:tc>
        <w:tc>
          <w:tcPr>
            <w:tcW w:w="1204" w:type="dxa"/>
          </w:tcPr>
          <w:p w14:paraId="43D5B776" w14:textId="77777777" w:rsidR="00552E1C" w:rsidRPr="00AE4E8D" w:rsidRDefault="00552E1C" w:rsidP="004C7A5A">
            <w:pPr>
              <w:keepNext/>
              <w:autoSpaceDE w:val="0"/>
              <w:autoSpaceDN w:val="0"/>
              <w:adjustRightInd w:val="0"/>
              <w:jc w:val="center"/>
              <w:outlineLvl w:val="0"/>
              <w:rPr>
                <w:rFonts w:ascii="Times New Roman" w:hAnsi="Times New Roman"/>
                <w:color w:val="000000"/>
                <w:lang w:val="es-ES"/>
              </w:rPr>
            </w:pPr>
          </w:p>
        </w:tc>
      </w:tr>
      <w:tr w:rsidR="00552E1C" w:rsidRPr="00AE4E8D" w14:paraId="0E29EFAC" w14:textId="77777777" w:rsidTr="000400C8">
        <w:trPr>
          <w:trHeight w:val="180"/>
          <w:jc w:val="center"/>
        </w:trPr>
        <w:tc>
          <w:tcPr>
            <w:tcW w:w="3329" w:type="dxa"/>
          </w:tcPr>
          <w:p w14:paraId="10F54CD3" w14:textId="77777777" w:rsidR="00552E1C" w:rsidRPr="00AE4E8D" w:rsidDel="00970921" w:rsidRDefault="00552E1C" w:rsidP="0084512B">
            <w:pPr>
              <w:tabs>
                <w:tab w:val="left" w:leader="dot" w:pos="3119"/>
              </w:tabs>
              <w:autoSpaceDE w:val="0"/>
              <w:autoSpaceDN w:val="0"/>
              <w:adjustRightInd w:val="0"/>
              <w:rPr>
                <w:rFonts w:ascii="Times New Roman" w:hAnsi="Times New Roman"/>
                <w:color w:val="000000"/>
                <w:lang w:val="es-ES"/>
              </w:rPr>
            </w:pPr>
            <w:r w:rsidRPr="00AE4E8D">
              <w:rPr>
                <w:rFonts w:ascii="Times New Roman" w:hAnsi="Times New Roman"/>
                <w:color w:val="000000"/>
                <w:sz w:val="16"/>
                <w:lang w:val="es-ES"/>
              </w:rPr>
              <w:t>BH Valores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1419" w:type="dxa"/>
          </w:tcPr>
          <w:p w14:paraId="2D9106B5" w14:textId="77777777" w:rsidR="00552E1C" w:rsidRPr="00AE4E8D" w:rsidDel="00970921" w:rsidRDefault="00552E1C" w:rsidP="004C7A5A">
            <w:pPr>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Sociedad de Bolsa</w:t>
            </w:r>
          </w:p>
        </w:tc>
        <w:tc>
          <w:tcPr>
            <w:tcW w:w="1418" w:type="dxa"/>
          </w:tcPr>
          <w:p w14:paraId="2FBB0F3E" w14:textId="77777777" w:rsidR="00552E1C" w:rsidRPr="00AE4E8D" w:rsidDel="00970921" w:rsidRDefault="00552E1C" w:rsidP="004C7A5A">
            <w:pPr>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Argentina</w:t>
            </w:r>
          </w:p>
        </w:tc>
        <w:tc>
          <w:tcPr>
            <w:tcW w:w="1275" w:type="dxa"/>
          </w:tcPr>
          <w:p w14:paraId="36448DEC" w14:textId="77777777" w:rsidR="00552E1C" w:rsidRPr="00AE4E8D" w:rsidDel="00970921" w:rsidRDefault="00552E1C" w:rsidP="004C7A5A">
            <w:pPr>
              <w:autoSpaceDE w:val="0"/>
              <w:autoSpaceDN w:val="0"/>
              <w:adjustRightInd w:val="0"/>
              <w:ind w:left="71"/>
              <w:jc w:val="center"/>
              <w:rPr>
                <w:rFonts w:ascii="Times New Roman" w:hAnsi="Times New Roman"/>
                <w:color w:val="000000"/>
                <w:lang w:val="es-ES"/>
              </w:rPr>
            </w:pPr>
            <w:r w:rsidRPr="00AE4E8D">
              <w:rPr>
                <w:rFonts w:ascii="Times New Roman" w:hAnsi="Times New Roman"/>
                <w:color w:val="000000"/>
                <w:sz w:val="16"/>
                <w:lang w:val="es-ES"/>
              </w:rPr>
              <w:t>95,00</w:t>
            </w:r>
          </w:p>
        </w:tc>
        <w:tc>
          <w:tcPr>
            <w:tcW w:w="1204" w:type="dxa"/>
          </w:tcPr>
          <w:p w14:paraId="7F056CC0" w14:textId="77777777" w:rsidR="00552E1C" w:rsidRPr="00AE4E8D" w:rsidDel="00970921" w:rsidRDefault="00552E1C" w:rsidP="004C7A5A">
            <w:pPr>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95,00</w:t>
            </w:r>
          </w:p>
        </w:tc>
      </w:tr>
      <w:tr w:rsidR="00552E1C" w:rsidRPr="00AE4E8D" w14:paraId="227F36B3" w14:textId="77777777" w:rsidTr="000400C8">
        <w:trPr>
          <w:trHeight w:val="320"/>
          <w:jc w:val="center"/>
        </w:trPr>
        <w:tc>
          <w:tcPr>
            <w:tcW w:w="3329" w:type="dxa"/>
          </w:tcPr>
          <w:p w14:paraId="79DC5EF1" w14:textId="77777777" w:rsidR="00552E1C" w:rsidRPr="00AE4E8D" w:rsidRDefault="00552E1C" w:rsidP="0084512B">
            <w:pPr>
              <w:keepNext/>
              <w:tabs>
                <w:tab w:val="left" w:leader="dot" w:pos="3119"/>
              </w:tabs>
              <w:autoSpaceDE w:val="0"/>
              <w:autoSpaceDN w:val="0"/>
              <w:adjustRightInd w:val="0"/>
              <w:ind w:left="283"/>
              <w:outlineLvl w:val="0"/>
              <w:rPr>
                <w:rFonts w:ascii="Times New Roman" w:hAnsi="Times New Roman"/>
                <w:color w:val="000000"/>
                <w:lang w:val="es-ES"/>
              </w:rPr>
            </w:pPr>
          </w:p>
        </w:tc>
        <w:tc>
          <w:tcPr>
            <w:tcW w:w="1419" w:type="dxa"/>
          </w:tcPr>
          <w:p w14:paraId="16332C01" w14:textId="77777777" w:rsidR="00552E1C" w:rsidRPr="00AE4E8D" w:rsidRDefault="00552E1C" w:rsidP="004C7A5A">
            <w:pPr>
              <w:keepNext/>
              <w:autoSpaceDE w:val="0"/>
              <w:autoSpaceDN w:val="0"/>
              <w:adjustRightInd w:val="0"/>
              <w:jc w:val="center"/>
              <w:outlineLvl w:val="0"/>
              <w:rPr>
                <w:rFonts w:ascii="Times New Roman" w:hAnsi="Times New Roman"/>
                <w:color w:val="000000"/>
                <w:lang w:val="es-ES"/>
              </w:rPr>
            </w:pPr>
          </w:p>
        </w:tc>
        <w:tc>
          <w:tcPr>
            <w:tcW w:w="1418" w:type="dxa"/>
          </w:tcPr>
          <w:p w14:paraId="442BDDEE" w14:textId="77777777" w:rsidR="00552E1C" w:rsidRPr="00AE4E8D" w:rsidRDefault="00552E1C" w:rsidP="004C7A5A">
            <w:pPr>
              <w:keepNext/>
              <w:autoSpaceDE w:val="0"/>
              <w:autoSpaceDN w:val="0"/>
              <w:adjustRightInd w:val="0"/>
              <w:jc w:val="center"/>
              <w:outlineLvl w:val="0"/>
              <w:rPr>
                <w:rFonts w:ascii="Times New Roman" w:hAnsi="Times New Roman"/>
                <w:color w:val="000000"/>
                <w:lang w:val="es-ES"/>
              </w:rPr>
            </w:pPr>
          </w:p>
        </w:tc>
        <w:tc>
          <w:tcPr>
            <w:tcW w:w="1275" w:type="dxa"/>
          </w:tcPr>
          <w:p w14:paraId="61EDDCCF" w14:textId="77777777" w:rsidR="00552E1C" w:rsidRPr="00AE4E8D" w:rsidRDefault="00552E1C" w:rsidP="004C7A5A">
            <w:pPr>
              <w:keepNext/>
              <w:autoSpaceDE w:val="0"/>
              <w:autoSpaceDN w:val="0"/>
              <w:adjustRightInd w:val="0"/>
              <w:ind w:left="71"/>
              <w:jc w:val="center"/>
              <w:outlineLvl w:val="0"/>
              <w:rPr>
                <w:rFonts w:ascii="Times New Roman" w:hAnsi="Times New Roman"/>
                <w:color w:val="000000"/>
                <w:lang w:val="es-ES"/>
              </w:rPr>
            </w:pPr>
          </w:p>
        </w:tc>
        <w:tc>
          <w:tcPr>
            <w:tcW w:w="1204" w:type="dxa"/>
          </w:tcPr>
          <w:p w14:paraId="7D3CD9DF" w14:textId="77777777" w:rsidR="00552E1C" w:rsidRPr="00AE4E8D" w:rsidRDefault="00552E1C" w:rsidP="004C7A5A">
            <w:pPr>
              <w:keepNext/>
              <w:autoSpaceDE w:val="0"/>
              <w:autoSpaceDN w:val="0"/>
              <w:adjustRightInd w:val="0"/>
              <w:jc w:val="center"/>
              <w:outlineLvl w:val="0"/>
              <w:rPr>
                <w:rFonts w:ascii="Times New Roman" w:hAnsi="Times New Roman"/>
                <w:color w:val="000000"/>
                <w:lang w:val="es-ES"/>
              </w:rPr>
            </w:pPr>
          </w:p>
        </w:tc>
      </w:tr>
      <w:tr w:rsidR="00552E1C" w:rsidRPr="00AE4E8D" w14:paraId="0FB4AA14" w14:textId="77777777" w:rsidTr="000400C8">
        <w:trPr>
          <w:trHeight w:val="180"/>
          <w:jc w:val="center"/>
        </w:trPr>
        <w:tc>
          <w:tcPr>
            <w:tcW w:w="3329" w:type="dxa"/>
          </w:tcPr>
          <w:p w14:paraId="05624015" w14:textId="77777777" w:rsidR="00552E1C" w:rsidRPr="00AE4E8D" w:rsidRDefault="00552E1C" w:rsidP="0084512B">
            <w:pPr>
              <w:tabs>
                <w:tab w:val="left" w:leader="dot" w:pos="3119"/>
              </w:tabs>
              <w:autoSpaceDE w:val="0"/>
              <w:autoSpaceDN w:val="0"/>
              <w:adjustRightInd w:val="0"/>
              <w:rPr>
                <w:rFonts w:ascii="Times New Roman" w:hAnsi="Times New Roman"/>
                <w:color w:val="000000"/>
                <w:lang w:val="es-ES"/>
              </w:rPr>
            </w:pPr>
            <w:r w:rsidRPr="00AE4E8D">
              <w:rPr>
                <w:rFonts w:ascii="Times New Roman" w:hAnsi="Times New Roman"/>
                <w:color w:val="000000"/>
                <w:sz w:val="16"/>
                <w:lang w:val="es-ES"/>
              </w:rPr>
              <w:t>Tarshop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1419" w:type="dxa"/>
          </w:tcPr>
          <w:p w14:paraId="25410AF2" w14:textId="77777777" w:rsidR="00552E1C" w:rsidRPr="00AE4E8D" w:rsidRDefault="00552E1C" w:rsidP="004C7A5A">
            <w:pPr>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Financiamiento Consumo</w:t>
            </w:r>
          </w:p>
        </w:tc>
        <w:tc>
          <w:tcPr>
            <w:tcW w:w="1418" w:type="dxa"/>
          </w:tcPr>
          <w:p w14:paraId="4B4DAAEC" w14:textId="77777777" w:rsidR="00552E1C" w:rsidRPr="00AE4E8D" w:rsidRDefault="00552E1C" w:rsidP="004C7A5A">
            <w:pPr>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Argentina</w:t>
            </w:r>
          </w:p>
        </w:tc>
        <w:tc>
          <w:tcPr>
            <w:tcW w:w="1275" w:type="dxa"/>
          </w:tcPr>
          <w:p w14:paraId="7DA304BC" w14:textId="77777777" w:rsidR="00552E1C" w:rsidRPr="00AE4E8D" w:rsidRDefault="00552E1C" w:rsidP="004C7A5A">
            <w:pPr>
              <w:autoSpaceDE w:val="0"/>
              <w:autoSpaceDN w:val="0"/>
              <w:adjustRightInd w:val="0"/>
              <w:ind w:left="71"/>
              <w:jc w:val="center"/>
              <w:rPr>
                <w:rFonts w:ascii="Times New Roman" w:hAnsi="Times New Roman"/>
                <w:color w:val="000000"/>
                <w:lang w:val="es-ES"/>
              </w:rPr>
            </w:pPr>
            <w:r w:rsidRPr="00AE4E8D">
              <w:rPr>
                <w:rFonts w:ascii="Times New Roman" w:hAnsi="Times New Roman"/>
                <w:color w:val="000000"/>
                <w:sz w:val="16"/>
                <w:lang w:val="es-ES"/>
              </w:rPr>
              <w:t>80,00</w:t>
            </w:r>
          </w:p>
        </w:tc>
        <w:tc>
          <w:tcPr>
            <w:tcW w:w="1204" w:type="dxa"/>
          </w:tcPr>
          <w:p w14:paraId="71F99ACD" w14:textId="77777777" w:rsidR="00552E1C" w:rsidRPr="00AE4E8D" w:rsidRDefault="00552E1C" w:rsidP="004C7A5A">
            <w:pPr>
              <w:autoSpaceDE w:val="0"/>
              <w:autoSpaceDN w:val="0"/>
              <w:adjustRightInd w:val="0"/>
              <w:jc w:val="center"/>
              <w:rPr>
                <w:rFonts w:ascii="Times New Roman" w:hAnsi="Times New Roman"/>
                <w:color w:val="000000"/>
                <w:lang w:val="es-ES"/>
              </w:rPr>
            </w:pPr>
            <w:r w:rsidRPr="00AE4E8D">
              <w:rPr>
                <w:rFonts w:ascii="Times New Roman" w:hAnsi="Times New Roman"/>
                <w:color w:val="000000"/>
                <w:sz w:val="16"/>
                <w:lang w:val="es-ES"/>
              </w:rPr>
              <w:t>80,00</w:t>
            </w:r>
          </w:p>
        </w:tc>
      </w:tr>
    </w:tbl>
    <w:p w14:paraId="20ED81A2" w14:textId="77777777" w:rsidR="00552E1C" w:rsidRPr="00AE4E8D" w:rsidRDefault="00552E1C" w:rsidP="00B52753">
      <w:pPr>
        <w:autoSpaceDE w:val="0"/>
        <w:autoSpaceDN w:val="0"/>
        <w:adjustRightInd w:val="0"/>
        <w:spacing w:before="120" w:after="120"/>
        <w:jc w:val="both"/>
        <w:rPr>
          <w:rFonts w:ascii="Times New Roman" w:hAnsi="Times New Roman"/>
          <w:b/>
          <w:lang w:val="es-ES"/>
        </w:rPr>
      </w:pPr>
      <w:r w:rsidRPr="00AE4E8D">
        <w:rPr>
          <w:rFonts w:ascii="Times New Roman" w:hAnsi="Times New Roman"/>
          <w:b/>
          <w:lang w:val="es-ES"/>
        </w:rPr>
        <w:t>Subsidiarias del Banco:</w:t>
      </w:r>
    </w:p>
    <w:p w14:paraId="5292D873" w14:textId="77777777" w:rsidR="00960F7D" w:rsidRPr="00AE4E8D" w:rsidRDefault="00552E1C" w:rsidP="00B52753">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El siguiente es un listado de las subsidiarias del Banco y su composición accionaria al </w:t>
      </w:r>
      <w:r w:rsidR="001D4AAB" w:rsidRPr="00AE4E8D">
        <w:rPr>
          <w:rFonts w:ascii="Times New Roman" w:hAnsi="Times New Roman"/>
          <w:lang w:val="es-ES" w:eastAsia="x-none"/>
        </w:rPr>
        <w:t>30</w:t>
      </w:r>
      <w:r w:rsidRPr="00AE4E8D">
        <w:rPr>
          <w:rFonts w:ascii="Times New Roman" w:hAnsi="Times New Roman"/>
          <w:lang w:val="es-ES"/>
        </w:rPr>
        <w:t xml:space="preserve"> de </w:t>
      </w:r>
      <w:r w:rsidR="001D4AAB" w:rsidRPr="00AE4E8D">
        <w:rPr>
          <w:rFonts w:ascii="Times New Roman" w:hAnsi="Times New Roman"/>
          <w:lang w:val="es-ES"/>
        </w:rPr>
        <w:t>junio</w:t>
      </w:r>
      <w:r w:rsidRPr="00AE4E8D">
        <w:rPr>
          <w:rFonts w:ascii="Times New Roman" w:hAnsi="Times New Roman"/>
          <w:lang w:val="es-ES"/>
        </w:rPr>
        <w:t xml:space="preserve"> de 201</w:t>
      </w:r>
      <w:r w:rsidR="00714919" w:rsidRPr="00AE4E8D">
        <w:rPr>
          <w:rFonts w:ascii="Times New Roman" w:hAnsi="Times New Roman"/>
          <w:lang w:val="es-ES"/>
        </w:rPr>
        <w:t>7</w:t>
      </w:r>
      <w:r w:rsidRPr="00AE4E8D">
        <w:rPr>
          <w:rFonts w:ascii="Times New Roman" w:hAnsi="Times New Roman"/>
          <w:lang w:val="es-ES" w:eastAsia="x-none"/>
        </w:rPr>
        <w:t xml:space="preserve">: </w:t>
      </w:r>
    </w:p>
    <w:p w14:paraId="6686A13F" w14:textId="77777777" w:rsidR="00552E1C" w:rsidRPr="00AE4E8D" w:rsidRDefault="00552E1C" w:rsidP="000935B8">
      <w:pPr>
        <w:autoSpaceDE w:val="0"/>
        <w:autoSpaceDN w:val="0"/>
        <w:adjustRightInd w:val="0"/>
        <w:spacing w:before="120" w:after="120"/>
        <w:jc w:val="both"/>
        <w:rPr>
          <w:rFonts w:ascii="Times New Roman" w:hAnsi="Times New Roman"/>
          <w:lang w:val="es-ES"/>
        </w:rPr>
      </w:pPr>
      <w:r w:rsidRPr="00AE4E8D">
        <w:rPr>
          <w:rFonts w:ascii="Times New Roman" w:hAnsi="Times New Roman"/>
          <w:b/>
          <w:lang w:val="es-ES"/>
        </w:rPr>
        <w:t xml:space="preserve">a) BACS Banco de Crédito y Securitización S.A. </w:t>
      </w:r>
    </w:p>
    <w:tbl>
      <w:tblPr>
        <w:tblW w:w="5000" w:type="pct"/>
        <w:jc w:val="center"/>
        <w:tblCellMar>
          <w:left w:w="70" w:type="dxa"/>
          <w:right w:w="70" w:type="dxa"/>
        </w:tblCellMar>
        <w:tblLook w:val="0000" w:firstRow="0" w:lastRow="0" w:firstColumn="0" w:lastColumn="0" w:noHBand="0" w:noVBand="0"/>
      </w:tblPr>
      <w:tblGrid>
        <w:gridCol w:w="3471"/>
        <w:gridCol w:w="1276"/>
        <w:gridCol w:w="1560"/>
        <w:gridCol w:w="1276"/>
        <w:gridCol w:w="1062"/>
      </w:tblGrid>
      <w:tr w:rsidR="00552E1C" w:rsidRPr="00AE4E8D" w14:paraId="25FEF11D" w14:textId="77777777" w:rsidTr="000400C8">
        <w:trPr>
          <w:trHeight w:val="441"/>
          <w:jc w:val="center"/>
        </w:trPr>
        <w:tc>
          <w:tcPr>
            <w:tcW w:w="2008" w:type="pct"/>
            <w:tcBorders>
              <w:top w:val="single" w:sz="4" w:space="0" w:color="auto"/>
              <w:bottom w:val="single" w:sz="4" w:space="0" w:color="auto"/>
            </w:tcBorders>
            <w:vAlign w:val="center"/>
          </w:tcPr>
          <w:p w14:paraId="55E4D630" w14:textId="77777777" w:rsidR="00552E1C" w:rsidRPr="00AE4E8D" w:rsidRDefault="00552E1C" w:rsidP="004C7A5A">
            <w:pPr>
              <w:widowControl w:val="0"/>
              <w:tabs>
                <w:tab w:val="right" w:leader="dot" w:pos="5310"/>
              </w:tabs>
              <w:jc w:val="center"/>
              <w:rPr>
                <w:rFonts w:ascii="Times New Roman" w:hAnsi="Times New Roman"/>
                <w:b/>
                <w:color w:val="000000"/>
                <w:sz w:val="16"/>
                <w:lang w:val="es-ES"/>
              </w:rPr>
            </w:pPr>
            <w:r w:rsidRPr="00AE4E8D">
              <w:rPr>
                <w:rFonts w:ascii="Times New Roman" w:hAnsi="Times New Roman"/>
                <w:b/>
                <w:color w:val="000000"/>
                <w:sz w:val="16"/>
                <w:lang w:val="es-ES"/>
              </w:rPr>
              <w:lastRenderedPageBreak/>
              <w:t>Accionista</w:t>
            </w:r>
          </w:p>
        </w:tc>
        <w:tc>
          <w:tcPr>
            <w:tcW w:w="738" w:type="pct"/>
            <w:tcBorders>
              <w:top w:val="single" w:sz="4" w:space="0" w:color="auto"/>
              <w:bottom w:val="single" w:sz="4" w:space="0" w:color="auto"/>
            </w:tcBorders>
            <w:vAlign w:val="center"/>
          </w:tcPr>
          <w:p w14:paraId="46F9C348" w14:textId="77777777" w:rsidR="00552E1C" w:rsidRPr="00AE4E8D" w:rsidRDefault="00552E1C" w:rsidP="004C7A5A">
            <w:pPr>
              <w:spacing w:before="120" w:after="120" w:line="220" w:lineRule="exact"/>
              <w:jc w:val="center"/>
              <w:rPr>
                <w:rFonts w:ascii="Times New Roman" w:hAnsi="Times New Roman"/>
                <w:b/>
                <w:sz w:val="16"/>
                <w:lang w:val="es-ES"/>
              </w:rPr>
            </w:pPr>
            <w:r w:rsidRPr="00AE4E8D">
              <w:rPr>
                <w:rFonts w:ascii="Times New Roman" w:hAnsi="Times New Roman"/>
                <w:b/>
                <w:color w:val="000000"/>
                <w:sz w:val="16"/>
                <w:lang w:val="es-ES"/>
              </w:rPr>
              <w:t>Acciones</w:t>
            </w:r>
          </w:p>
        </w:tc>
        <w:tc>
          <w:tcPr>
            <w:tcW w:w="902" w:type="pct"/>
            <w:tcBorders>
              <w:top w:val="single" w:sz="4" w:space="0" w:color="auto"/>
              <w:bottom w:val="single" w:sz="4" w:space="0" w:color="auto"/>
            </w:tcBorders>
            <w:vAlign w:val="center"/>
          </w:tcPr>
          <w:p w14:paraId="76C584CF" w14:textId="77777777" w:rsidR="00552E1C" w:rsidRPr="00AE4E8D" w:rsidRDefault="00552E1C" w:rsidP="004C7A5A">
            <w:pPr>
              <w:widowControl w:val="0"/>
              <w:tabs>
                <w:tab w:val="right" w:leader="dot" w:pos="5310"/>
              </w:tabs>
              <w:jc w:val="center"/>
              <w:rPr>
                <w:rFonts w:ascii="Times New Roman" w:hAnsi="Times New Roman"/>
                <w:b/>
                <w:sz w:val="16"/>
                <w:lang w:val="es-ES"/>
              </w:rPr>
            </w:pPr>
            <w:r w:rsidRPr="00AE4E8D">
              <w:rPr>
                <w:rFonts w:ascii="Times New Roman" w:hAnsi="Times New Roman"/>
                <w:b/>
                <w:sz w:val="16"/>
                <w:lang w:val="es-ES"/>
              </w:rPr>
              <w:t>Valor Nominal</w:t>
            </w:r>
          </w:p>
          <w:p w14:paraId="1284E95F" w14:textId="77777777" w:rsidR="00552E1C" w:rsidRPr="00AE4E8D" w:rsidRDefault="00552E1C" w:rsidP="004C7A5A">
            <w:pPr>
              <w:widowControl w:val="0"/>
              <w:tabs>
                <w:tab w:val="right" w:leader="dot" w:pos="5310"/>
              </w:tabs>
              <w:jc w:val="center"/>
              <w:rPr>
                <w:rFonts w:ascii="Times New Roman" w:hAnsi="Times New Roman"/>
                <w:b/>
                <w:sz w:val="16"/>
                <w:lang w:val="es-ES"/>
              </w:rPr>
            </w:pPr>
            <w:r w:rsidRPr="00AE4E8D">
              <w:rPr>
                <w:rFonts w:ascii="Times New Roman" w:hAnsi="Times New Roman"/>
                <w:b/>
                <w:sz w:val="16"/>
                <w:lang w:val="es-ES"/>
              </w:rPr>
              <w:t>(Ps.)</w:t>
            </w:r>
          </w:p>
        </w:tc>
        <w:tc>
          <w:tcPr>
            <w:tcW w:w="738" w:type="pct"/>
            <w:tcBorders>
              <w:top w:val="single" w:sz="4" w:space="0" w:color="auto"/>
              <w:bottom w:val="single" w:sz="4" w:space="0" w:color="auto"/>
            </w:tcBorders>
            <w:vAlign w:val="center"/>
          </w:tcPr>
          <w:p w14:paraId="0FF991D8" w14:textId="77777777" w:rsidR="00552E1C" w:rsidRPr="00AE4E8D" w:rsidRDefault="00552E1C" w:rsidP="004C7A5A">
            <w:pPr>
              <w:widowControl w:val="0"/>
              <w:tabs>
                <w:tab w:val="right" w:leader="dot" w:pos="5310"/>
              </w:tabs>
              <w:jc w:val="center"/>
              <w:rPr>
                <w:rFonts w:ascii="Times New Roman" w:hAnsi="Times New Roman"/>
                <w:b/>
                <w:sz w:val="16"/>
                <w:lang w:val="es-ES"/>
              </w:rPr>
            </w:pPr>
            <w:r w:rsidRPr="00AE4E8D">
              <w:rPr>
                <w:rFonts w:ascii="Times New Roman" w:hAnsi="Times New Roman"/>
                <w:b/>
                <w:sz w:val="16"/>
                <w:lang w:val="es-ES"/>
              </w:rPr>
              <w:t>Votos</w:t>
            </w:r>
          </w:p>
        </w:tc>
        <w:tc>
          <w:tcPr>
            <w:tcW w:w="614" w:type="pct"/>
            <w:tcBorders>
              <w:top w:val="single" w:sz="4" w:space="0" w:color="auto"/>
              <w:bottom w:val="single" w:sz="4" w:space="0" w:color="auto"/>
            </w:tcBorders>
            <w:vAlign w:val="center"/>
          </w:tcPr>
          <w:p w14:paraId="745CC503" w14:textId="77777777" w:rsidR="00552E1C" w:rsidRPr="00AE4E8D" w:rsidRDefault="00552E1C" w:rsidP="004C7A5A">
            <w:pPr>
              <w:widowControl w:val="0"/>
              <w:tabs>
                <w:tab w:val="right" w:leader="dot" w:pos="5310"/>
              </w:tabs>
              <w:jc w:val="center"/>
              <w:rPr>
                <w:rFonts w:ascii="Times New Roman" w:hAnsi="Times New Roman"/>
                <w:b/>
                <w:sz w:val="16"/>
                <w:lang w:val="es-ES"/>
              </w:rPr>
            </w:pPr>
            <w:r w:rsidRPr="00AE4E8D">
              <w:rPr>
                <w:rFonts w:ascii="Times New Roman" w:hAnsi="Times New Roman"/>
                <w:b/>
                <w:sz w:val="16"/>
                <w:lang w:val="es-ES"/>
              </w:rPr>
              <w:t>%</w:t>
            </w:r>
          </w:p>
        </w:tc>
      </w:tr>
      <w:tr w:rsidR="00552E1C" w:rsidRPr="00AE4E8D" w14:paraId="47D47EEF" w14:textId="77777777" w:rsidTr="000400C8">
        <w:trPr>
          <w:jc w:val="center"/>
        </w:trPr>
        <w:tc>
          <w:tcPr>
            <w:tcW w:w="2008" w:type="pct"/>
            <w:tcBorders>
              <w:top w:val="single" w:sz="4" w:space="0" w:color="auto"/>
            </w:tcBorders>
          </w:tcPr>
          <w:p w14:paraId="4074A41A" w14:textId="77777777" w:rsidR="00552E1C" w:rsidRPr="00AE4E8D" w:rsidRDefault="00552E1C" w:rsidP="0084512B">
            <w:pPr>
              <w:widowControl w:val="0"/>
              <w:tabs>
                <w:tab w:val="left" w:leader="dot" w:pos="3331"/>
                <w:tab w:val="right" w:leader="dot" w:pos="5310"/>
              </w:tabs>
              <w:spacing w:before="120" w:after="120"/>
              <w:rPr>
                <w:rFonts w:ascii="Times New Roman" w:hAnsi="Times New Roman"/>
                <w:sz w:val="16"/>
                <w:lang w:val="es-ES"/>
              </w:rPr>
            </w:pPr>
            <w:r w:rsidRPr="00AE4E8D">
              <w:rPr>
                <w:rFonts w:ascii="Times New Roman" w:hAnsi="Times New Roman"/>
                <w:sz w:val="16"/>
                <w:lang w:val="es-ES"/>
              </w:rPr>
              <w:t>Banco Hipotecario S.A</w:t>
            </w:r>
            <w:r w:rsidRPr="00AE4E8D">
              <w:rPr>
                <w:rFonts w:ascii="Times New Roman" w:hAnsi="Times New Roman"/>
                <w:sz w:val="14"/>
                <w:lang w:val="es-ES"/>
              </w:rPr>
              <w:tab/>
            </w:r>
          </w:p>
        </w:tc>
        <w:tc>
          <w:tcPr>
            <w:tcW w:w="738" w:type="pct"/>
            <w:tcBorders>
              <w:top w:val="single" w:sz="4" w:space="0" w:color="auto"/>
            </w:tcBorders>
          </w:tcPr>
          <w:p w14:paraId="55C8469F" w14:textId="77777777" w:rsidR="00552E1C" w:rsidRPr="00AE4E8D" w:rsidRDefault="00552E1C" w:rsidP="006238FE">
            <w:pPr>
              <w:widowControl w:val="0"/>
              <w:tabs>
                <w:tab w:val="right" w:leader="dot" w:pos="5310"/>
              </w:tabs>
              <w:spacing w:before="120" w:after="120"/>
              <w:ind w:left="-70"/>
              <w:jc w:val="right"/>
              <w:rPr>
                <w:rFonts w:ascii="Times New Roman" w:hAnsi="Times New Roman"/>
                <w:sz w:val="16"/>
                <w:lang w:val="es-ES"/>
              </w:rPr>
            </w:pPr>
            <w:r w:rsidRPr="00AE4E8D">
              <w:rPr>
                <w:rFonts w:ascii="Times New Roman" w:hAnsi="Times New Roman"/>
                <w:sz w:val="16"/>
                <w:lang w:val="es-ES"/>
              </w:rPr>
              <w:t>54.687.500</w:t>
            </w:r>
          </w:p>
        </w:tc>
        <w:tc>
          <w:tcPr>
            <w:tcW w:w="902" w:type="pct"/>
            <w:tcBorders>
              <w:top w:val="single" w:sz="4" w:space="0" w:color="auto"/>
            </w:tcBorders>
          </w:tcPr>
          <w:p w14:paraId="7F4A1F0B" w14:textId="77777777" w:rsidR="00552E1C" w:rsidRPr="00AE4E8D" w:rsidRDefault="00552E1C" w:rsidP="004C7A5A">
            <w:pPr>
              <w:widowControl w:val="0"/>
              <w:tabs>
                <w:tab w:val="left" w:pos="1591"/>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54.687.500</w:t>
            </w:r>
          </w:p>
        </w:tc>
        <w:tc>
          <w:tcPr>
            <w:tcW w:w="738" w:type="pct"/>
            <w:tcBorders>
              <w:top w:val="single" w:sz="4" w:space="0" w:color="auto"/>
            </w:tcBorders>
          </w:tcPr>
          <w:p w14:paraId="5995EEAB" w14:textId="77777777" w:rsidR="00552E1C" w:rsidRPr="00AE4E8D" w:rsidRDefault="00552E1C" w:rsidP="004C7A5A">
            <w:pPr>
              <w:widowControl w:val="0"/>
              <w:tabs>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54.687.500</w:t>
            </w:r>
          </w:p>
        </w:tc>
        <w:tc>
          <w:tcPr>
            <w:tcW w:w="614" w:type="pct"/>
            <w:tcBorders>
              <w:top w:val="single" w:sz="4" w:space="0" w:color="auto"/>
            </w:tcBorders>
          </w:tcPr>
          <w:p w14:paraId="67F1F1C2" w14:textId="77777777" w:rsidR="00552E1C" w:rsidRPr="00AE4E8D" w:rsidRDefault="0063202E" w:rsidP="004C7A5A">
            <w:pPr>
              <w:widowControl w:val="0"/>
              <w:tabs>
                <w:tab w:val="left" w:pos="1038"/>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62,277</w:t>
            </w:r>
          </w:p>
        </w:tc>
      </w:tr>
      <w:tr w:rsidR="00552E1C" w:rsidRPr="00AE4E8D" w14:paraId="7675E3E8" w14:textId="77777777" w:rsidTr="000400C8">
        <w:trPr>
          <w:jc w:val="center"/>
        </w:trPr>
        <w:tc>
          <w:tcPr>
            <w:tcW w:w="2008" w:type="pct"/>
          </w:tcPr>
          <w:p w14:paraId="3E168066" w14:textId="77777777" w:rsidR="00552E1C" w:rsidRPr="00AE4E8D" w:rsidRDefault="00552E1C" w:rsidP="0084512B">
            <w:pPr>
              <w:widowControl w:val="0"/>
              <w:tabs>
                <w:tab w:val="left" w:leader="dot" w:pos="3331"/>
                <w:tab w:val="right" w:leader="dot" w:pos="5310"/>
              </w:tabs>
              <w:spacing w:before="120" w:after="120"/>
              <w:rPr>
                <w:rFonts w:ascii="Times New Roman" w:hAnsi="Times New Roman"/>
                <w:sz w:val="16"/>
                <w:lang w:val="es-ES"/>
              </w:rPr>
            </w:pPr>
            <w:r w:rsidRPr="00AE4E8D">
              <w:rPr>
                <w:rFonts w:ascii="Times New Roman" w:hAnsi="Times New Roman"/>
                <w:sz w:val="16"/>
                <w:lang w:val="es-ES"/>
              </w:rPr>
              <w:t>IRSA Inversiones y Representaciones Sociedad Anónima</w:t>
            </w:r>
            <w:r w:rsidRPr="00AE4E8D">
              <w:rPr>
                <w:rFonts w:ascii="Times New Roman" w:hAnsi="Times New Roman"/>
                <w:sz w:val="14"/>
                <w:lang w:val="es-ES"/>
              </w:rPr>
              <w:tab/>
            </w:r>
          </w:p>
        </w:tc>
        <w:tc>
          <w:tcPr>
            <w:tcW w:w="738" w:type="pct"/>
            <w:vAlign w:val="bottom"/>
          </w:tcPr>
          <w:p w14:paraId="0048A047" w14:textId="77777777" w:rsidR="00552E1C" w:rsidRPr="00AE4E8D" w:rsidRDefault="0063202E" w:rsidP="0084512B">
            <w:pPr>
              <w:widowControl w:val="0"/>
              <w:tabs>
                <w:tab w:val="right" w:leader="dot" w:pos="5310"/>
              </w:tabs>
              <w:spacing w:before="120" w:after="120"/>
              <w:ind w:left="-70"/>
              <w:jc w:val="right"/>
              <w:rPr>
                <w:rFonts w:ascii="Times New Roman" w:hAnsi="Times New Roman"/>
                <w:sz w:val="16"/>
                <w:lang w:val="es-ES"/>
              </w:rPr>
            </w:pPr>
            <w:bookmarkStart w:id="294" w:name="_DV_C126"/>
            <w:r w:rsidRPr="00AE4E8D">
              <w:rPr>
                <w:rFonts w:ascii="Times New Roman" w:hAnsi="Times New Roman"/>
                <w:sz w:val="16"/>
                <w:lang w:val="es-ES"/>
              </w:rPr>
              <w:t>29.297.626</w:t>
            </w:r>
            <w:bookmarkEnd w:id="294"/>
          </w:p>
        </w:tc>
        <w:tc>
          <w:tcPr>
            <w:tcW w:w="902" w:type="pct"/>
            <w:vAlign w:val="bottom"/>
          </w:tcPr>
          <w:p w14:paraId="7D396163" w14:textId="77777777" w:rsidR="00552E1C" w:rsidRPr="00AE4E8D" w:rsidRDefault="0063202E" w:rsidP="0084512B">
            <w:pPr>
              <w:widowControl w:val="0"/>
              <w:tabs>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29.297.626</w:t>
            </w:r>
          </w:p>
        </w:tc>
        <w:tc>
          <w:tcPr>
            <w:tcW w:w="738" w:type="pct"/>
            <w:vAlign w:val="bottom"/>
          </w:tcPr>
          <w:p w14:paraId="1D5A0981" w14:textId="77777777" w:rsidR="00552E1C" w:rsidRPr="00AE4E8D" w:rsidRDefault="0063202E" w:rsidP="0084512B">
            <w:pPr>
              <w:widowControl w:val="0"/>
              <w:tabs>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29.297.626</w:t>
            </w:r>
          </w:p>
        </w:tc>
        <w:tc>
          <w:tcPr>
            <w:tcW w:w="614" w:type="pct"/>
            <w:vAlign w:val="bottom"/>
          </w:tcPr>
          <w:p w14:paraId="222B695D" w14:textId="77777777" w:rsidR="00552E1C" w:rsidRPr="00AE4E8D" w:rsidRDefault="0063202E" w:rsidP="0084512B">
            <w:pPr>
              <w:widowControl w:val="0"/>
              <w:tabs>
                <w:tab w:val="right" w:leader="dot" w:pos="5310"/>
              </w:tabs>
              <w:spacing w:before="120" w:after="120"/>
              <w:ind w:right="-26"/>
              <w:jc w:val="right"/>
              <w:rPr>
                <w:rFonts w:ascii="Times New Roman" w:hAnsi="Times New Roman"/>
                <w:sz w:val="16"/>
                <w:lang w:val="es-ES"/>
              </w:rPr>
            </w:pPr>
            <w:bookmarkStart w:id="295" w:name="_DV_C132"/>
            <w:r w:rsidRPr="00AE4E8D">
              <w:rPr>
                <w:rFonts w:ascii="Times New Roman" w:hAnsi="Times New Roman"/>
                <w:sz w:val="16"/>
                <w:lang w:val="es-ES"/>
              </w:rPr>
              <w:t>33,364</w:t>
            </w:r>
            <w:bookmarkEnd w:id="295"/>
          </w:p>
        </w:tc>
      </w:tr>
      <w:tr w:rsidR="00552E1C" w:rsidRPr="00AE4E8D" w14:paraId="2AEFAAEF" w14:textId="77777777" w:rsidTr="000400C8">
        <w:trPr>
          <w:jc w:val="center"/>
        </w:trPr>
        <w:tc>
          <w:tcPr>
            <w:tcW w:w="2008" w:type="pct"/>
            <w:tcBorders>
              <w:bottom w:val="single" w:sz="4" w:space="0" w:color="auto"/>
            </w:tcBorders>
          </w:tcPr>
          <w:p w14:paraId="23B5344B" w14:textId="77777777" w:rsidR="00552E1C" w:rsidRPr="00AE4E8D" w:rsidRDefault="00552E1C" w:rsidP="0084512B">
            <w:pPr>
              <w:widowControl w:val="0"/>
              <w:tabs>
                <w:tab w:val="left" w:leader="dot" w:pos="3331"/>
                <w:tab w:val="right" w:leader="dot" w:pos="5310"/>
              </w:tabs>
              <w:spacing w:before="120" w:after="120"/>
              <w:rPr>
                <w:rFonts w:ascii="Times New Roman" w:hAnsi="Times New Roman"/>
                <w:sz w:val="16"/>
                <w:lang w:val="es-ES"/>
              </w:rPr>
            </w:pPr>
            <w:r w:rsidRPr="00AE4E8D">
              <w:rPr>
                <w:rFonts w:ascii="Times New Roman" w:hAnsi="Times New Roman"/>
                <w:sz w:val="16"/>
                <w:lang w:val="es-ES"/>
              </w:rPr>
              <w:t>Tyrus S.A.</w:t>
            </w:r>
            <w:r w:rsidRPr="00AE4E8D">
              <w:rPr>
                <w:rFonts w:ascii="Times New Roman" w:hAnsi="Times New Roman"/>
                <w:sz w:val="14"/>
                <w:lang w:val="es-ES"/>
              </w:rPr>
              <w:tab/>
            </w:r>
          </w:p>
        </w:tc>
        <w:tc>
          <w:tcPr>
            <w:tcW w:w="738" w:type="pct"/>
            <w:tcBorders>
              <w:bottom w:val="single" w:sz="4" w:space="0" w:color="auto"/>
            </w:tcBorders>
          </w:tcPr>
          <w:p w14:paraId="79A3E235" w14:textId="77777777" w:rsidR="00552E1C" w:rsidRPr="00AE4E8D" w:rsidRDefault="00552E1C" w:rsidP="00552E1C">
            <w:pPr>
              <w:widowControl w:val="0"/>
              <w:tabs>
                <w:tab w:val="right" w:leader="dot" w:pos="5310"/>
              </w:tabs>
              <w:spacing w:before="120" w:after="120"/>
              <w:ind w:left="-70"/>
              <w:jc w:val="right"/>
              <w:rPr>
                <w:rFonts w:ascii="Times New Roman" w:hAnsi="Times New Roman"/>
                <w:sz w:val="16"/>
                <w:lang w:val="es-ES"/>
              </w:rPr>
            </w:pPr>
            <w:bookmarkStart w:id="296" w:name="_DV_C140"/>
            <w:r w:rsidRPr="00AE4E8D">
              <w:rPr>
                <w:rFonts w:ascii="Times New Roman" w:hAnsi="Times New Roman"/>
                <w:sz w:val="16"/>
                <w:lang w:val="es-ES"/>
              </w:rPr>
              <w:t>3.828.125</w:t>
            </w:r>
            <w:bookmarkEnd w:id="296"/>
          </w:p>
        </w:tc>
        <w:tc>
          <w:tcPr>
            <w:tcW w:w="902" w:type="pct"/>
            <w:tcBorders>
              <w:bottom w:val="single" w:sz="4" w:space="0" w:color="auto"/>
            </w:tcBorders>
          </w:tcPr>
          <w:p w14:paraId="1F29F79A" w14:textId="77777777" w:rsidR="00552E1C" w:rsidRPr="00AE4E8D" w:rsidRDefault="00552E1C" w:rsidP="004C7A5A">
            <w:pPr>
              <w:widowControl w:val="0"/>
              <w:tabs>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3.828.125</w:t>
            </w:r>
          </w:p>
        </w:tc>
        <w:tc>
          <w:tcPr>
            <w:tcW w:w="738" w:type="pct"/>
            <w:tcBorders>
              <w:bottom w:val="single" w:sz="4" w:space="0" w:color="auto"/>
            </w:tcBorders>
          </w:tcPr>
          <w:p w14:paraId="280C9B99" w14:textId="77777777" w:rsidR="00552E1C" w:rsidRPr="00AE4E8D" w:rsidRDefault="00552E1C" w:rsidP="004C7A5A">
            <w:pPr>
              <w:widowControl w:val="0"/>
              <w:tabs>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3.828.125</w:t>
            </w:r>
          </w:p>
        </w:tc>
        <w:tc>
          <w:tcPr>
            <w:tcW w:w="614" w:type="pct"/>
            <w:tcBorders>
              <w:bottom w:val="single" w:sz="4" w:space="0" w:color="auto"/>
            </w:tcBorders>
          </w:tcPr>
          <w:p w14:paraId="06BA0F75" w14:textId="77777777" w:rsidR="00552E1C" w:rsidRPr="00AE4E8D" w:rsidRDefault="0063202E" w:rsidP="004C7A5A">
            <w:pPr>
              <w:widowControl w:val="0"/>
              <w:tabs>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4,359</w:t>
            </w:r>
          </w:p>
        </w:tc>
      </w:tr>
      <w:tr w:rsidR="00552E1C" w:rsidRPr="00AE4E8D" w14:paraId="116D866B" w14:textId="77777777" w:rsidTr="000400C8">
        <w:trPr>
          <w:jc w:val="center"/>
        </w:trPr>
        <w:tc>
          <w:tcPr>
            <w:tcW w:w="2008" w:type="pct"/>
            <w:tcBorders>
              <w:top w:val="single" w:sz="4" w:space="0" w:color="auto"/>
              <w:bottom w:val="single" w:sz="4" w:space="0" w:color="auto"/>
            </w:tcBorders>
          </w:tcPr>
          <w:p w14:paraId="477D6BD7" w14:textId="77777777" w:rsidR="00552E1C" w:rsidRPr="00AE4E8D" w:rsidRDefault="00552E1C" w:rsidP="0084512B">
            <w:pPr>
              <w:widowControl w:val="0"/>
              <w:tabs>
                <w:tab w:val="left" w:leader="dot" w:pos="3331"/>
                <w:tab w:val="right" w:leader="dot" w:pos="5310"/>
              </w:tabs>
              <w:spacing w:before="120" w:after="120"/>
              <w:rPr>
                <w:rFonts w:ascii="Times New Roman" w:hAnsi="Times New Roman"/>
                <w:b/>
                <w:color w:val="000000"/>
                <w:sz w:val="16"/>
                <w:lang w:val="es-ES"/>
              </w:rPr>
            </w:pPr>
            <w:r w:rsidRPr="00AE4E8D">
              <w:rPr>
                <w:rFonts w:ascii="Times New Roman" w:hAnsi="Times New Roman"/>
                <w:b/>
                <w:color w:val="000000"/>
                <w:sz w:val="16"/>
                <w:lang w:val="es-ES"/>
              </w:rPr>
              <w:t>Total</w:t>
            </w:r>
            <w:r w:rsidRPr="00AE4E8D">
              <w:rPr>
                <w:rFonts w:ascii="Times New Roman" w:hAnsi="Times New Roman"/>
                <w:sz w:val="14"/>
                <w:lang w:val="es-ES"/>
              </w:rPr>
              <w:tab/>
            </w:r>
          </w:p>
        </w:tc>
        <w:tc>
          <w:tcPr>
            <w:tcW w:w="738" w:type="pct"/>
            <w:tcBorders>
              <w:top w:val="single" w:sz="4" w:space="0" w:color="auto"/>
              <w:bottom w:val="single" w:sz="4" w:space="0" w:color="auto"/>
            </w:tcBorders>
          </w:tcPr>
          <w:p w14:paraId="319EE8DA" w14:textId="77777777" w:rsidR="00552E1C" w:rsidRPr="00AE4E8D" w:rsidRDefault="00C26168" w:rsidP="00552E1C">
            <w:pPr>
              <w:widowControl w:val="0"/>
              <w:tabs>
                <w:tab w:val="right" w:leader="dot" w:pos="5310"/>
              </w:tabs>
              <w:spacing w:before="120" w:after="120"/>
              <w:ind w:left="-70"/>
              <w:jc w:val="right"/>
              <w:rPr>
                <w:rFonts w:ascii="Times New Roman" w:hAnsi="Times New Roman"/>
                <w:sz w:val="16"/>
                <w:lang w:val="es-ES"/>
              </w:rPr>
            </w:pPr>
            <w:r w:rsidRPr="00AE4E8D">
              <w:rPr>
                <w:rFonts w:ascii="Times New Roman" w:hAnsi="Times New Roman"/>
                <w:sz w:val="16"/>
                <w:lang w:val="es-ES"/>
              </w:rPr>
              <w:t>87.813.251</w:t>
            </w:r>
          </w:p>
        </w:tc>
        <w:tc>
          <w:tcPr>
            <w:tcW w:w="902" w:type="pct"/>
            <w:tcBorders>
              <w:top w:val="single" w:sz="4" w:space="0" w:color="auto"/>
              <w:bottom w:val="single" w:sz="4" w:space="0" w:color="auto"/>
            </w:tcBorders>
          </w:tcPr>
          <w:p w14:paraId="3857D38E" w14:textId="77777777" w:rsidR="00552E1C" w:rsidRPr="00AE4E8D" w:rsidRDefault="00C26168" w:rsidP="004C7A5A">
            <w:pPr>
              <w:widowControl w:val="0"/>
              <w:tabs>
                <w:tab w:val="left" w:pos="1591"/>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87.812.251</w:t>
            </w:r>
          </w:p>
        </w:tc>
        <w:tc>
          <w:tcPr>
            <w:tcW w:w="738" w:type="pct"/>
            <w:tcBorders>
              <w:top w:val="single" w:sz="4" w:space="0" w:color="auto"/>
              <w:bottom w:val="single" w:sz="4" w:space="0" w:color="auto"/>
            </w:tcBorders>
          </w:tcPr>
          <w:p w14:paraId="1C5BB8B1" w14:textId="77777777" w:rsidR="00552E1C" w:rsidRPr="00AE4E8D" w:rsidRDefault="00C26168" w:rsidP="004C7A5A">
            <w:pPr>
              <w:widowControl w:val="0"/>
              <w:tabs>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87.813.251</w:t>
            </w:r>
          </w:p>
        </w:tc>
        <w:tc>
          <w:tcPr>
            <w:tcW w:w="614" w:type="pct"/>
            <w:tcBorders>
              <w:top w:val="single" w:sz="4" w:space="0" w:color="auto"/>
              <w:bottom w:val="single" w:sz="4" w:space="0" w:color="auto"/>
            </w:tcBorders>
          </w:tcPr>
          <w:p w14:paraId="05C92A6F" w14:textId="77777777" w:rsidR="00552E1C" w:rsidRPr="00AE4E8D" w:rsidRDefault="00552E1C" w:rsidP="004C7A5A">
            <w:pPr>
              <w:widowControl w:val="0"/>
              <w:tabs>
                <w:tab w:val="right" w:leader="dot" w:pos="5310"/>
              </w:tabs>
              <w:spacing w:before="120" w:after="120"/>
              <w:jc w:val="right"/>
              <w:rPr>
                <w:rFonts w:ascii="Times New Roman" w:hAnsi="Times New Roman"/>
                <w:sz w:val="16"/>
                <w:lang w:val="es-ES"/>
              </w:rPr>
            </w:pPr>
            <w:r w:rsidRPr="00AE4E8D">
              <w:rPr>
                <w:rFonts w:ascii="Times New Roman" w:hAnsi="Times New Roman"/>
                <w:sz w:val="16"/>
                <w:lang w:val="es-ES"/>
              </w:rPr>
              <w:t>100</w:t>
            </w:r>
          </w:p>
        </w:tc>
      </w:tr>
    </w:tbl>
    <w:p w14:paraId="31CA8326" w14:textId="77777777" w:rsidR="00552E1C" w:rsidRPr="00AE4E8D" w:rsidRDefault="00552E1C" w:rsidP="00B52753">
      <w:pPr>
        <w:keepNext/>
        <w:autoSpaceDE w:val="0"/>
        <w:autoSpaceDN w:val="0"/>
        <w:adjustRightInd w:val="0"/>
        <w:spacing w:before="240" w:after="240"/>
        <w:outlineLvl w:val="2"/>
        <w:rPr>
          <w:rFonts w:ascii="Times New Roman" w:hAnsi="Times New Roman"/>
          <w:lang w:val="es-ES"/>
        </w:rPr>
      </w:pPr>
      <w:r w:rsidRPr="00AE4E8D">
        <w:rPr>
          <w:rFonts w:ascii="Times New Roman" w:hAnsi="Times New Roman"/>
          <w:b/>
          <w:lang w:val="es-ES"/>
        </w:rPr>
        <w:t>b) BHN Sociedad de Inversión S.A.</w:t>
      </w:r>
    </w:p>
    <w:tbl>
      <w:tblPr>
        <w:tblW w:w="5000" w:type="pct"/>
        <w:jc w:val="center"/>
        <w:tblCellMar>
          <w:left w:w="70" w:type="dxa"/>
          <w:right w:w="70" w:type="dxa"/>
        </w:tblCellMar>
        <w:tblLook w:val="0000" w:firstRow="0" w:lastRow="0" w:firstColumn="0" w:lastColumn="0" w:noHBand="0" w:noVBand="0"/>
      </w:tblPr>
      <w:tblGrid>
        <w:gridCol w:w="3471"/>
        <w:gridCol w:w="1276"/>
        <w:gridCol w:w="1560"/>
        <w:gridCol w:w="1276"/>
        <w:gridCol w:w="1062"/>
      </w:tblGrid>
      <w:tr w:rsidR="00552E1C" w:rsidRPr="00AE4E8D" w14:paraId="6120F341" w14:textId="77777777" w:rsidTr="000400C8">
        <w:trPr>
          <w:trHeight w:val="540"/>
          <w:jc w:val="center"/>
        </w:trPr>
        <w:tc>
          <w:tcPr>
            <w:tcW w:w="2008" w:type="pct"/>
            <w:tcBorders>
              <w:top w:val="single" w:sz="4" w:space="0" w:color="auto"/>
              <w:bottom w:val="single" w:sz="4" w:space="0" w:color="auto"/>
            </w:tcBorders>
            <w:vAlign w:val="center"/>
          </w:tcPr>
          <w:p w14:paraId="41161F33" w14:textId="77777777" w:rsidR="00552E1C" w:rsidRPr="00AE4E8D" w:rsidRDefault="00552E1C" w:rsidP="004C7A5A">
            <w:pPr>
              <w:widowControl w:val="0"/>
              <w:tabs>
                <w:tab w:val="right" w:leader="dot" w:pos="5310"/>
              </w:tabs>
              <w:jc w:val="center"/>
              <w:rPr>
                <w:rFonts w:ascii="Times New Roman" w:hAnsi="Times New Roman"/>
                <w:b/>
                <w:color w:val="000000"/>
                <w:sz w:val="16"/>
                <w:lang w:val="es-ES"/>
              </w:rPr>
            </w:pPr>
            <w:r w:rsidRPr="00AE4E8D">
              <w:rPr>
                <w:rFonts w:ascii="Times New Roman" w:hAnsi="Times New Roman"/>
                <w:b/>
                <w:color w:val="000000"/>
                <w:sz w:val="16"/>
                <w:lang w:val="es-ES"/>
              </w:rPr>
              <w:t>Accionista</w:t>
            </w:r>
          </w:p>
        </w:tc>
        <w:tc>
          <w:tcPr>
            <w:tcW w:w="738" w:type="pct"/>
            <w:tcBorders>
              <w:top w:val="single" w:sz="4" w:space="0" w:color="auto"/>
              <w:bottom w:val="single" w:sz="4" w:space="0" w:color="auto"/>
            </w:tcBorders>
            <w:vAlign w:val="center"/>
          </w:tcPr>
          <w:p w14:paraId="08B7AB91" w14:textId="77777777" w:rsidR="00552E1C" w:rsidRPr="00AE4E8D" w:rsidRDefault="00552E1C" w:rsidP="004C7A5A">
            <w:pPr>
              <w:spacing w:before="120" w:after="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Acciones</w:t>
            </w:r>
          </w:p>
        </w:tc>
        <w:tc>
          <w:tcPr>
            <w:tcW w:w="902" w:type="pct"/>
            <w:tcBorders>
              <w:top w:val="single" w:sz="4" w:space="0" w:color="auto"/>
              <w:bottom w:val="single" w:sz="4" w:space="0" w:color="auto"/>
            </w:tcBorders>
            <w:vAlign w:val="center"/>
          </w:tcPr>
          <w:p w14:paraId="093D8A75" w14:textId="77777777" w:rsidR="00552E1C" w:rsidRPr="00AE4E8D" w:rsidRDefault="00552E1C" w:rsidP="004C7A5A">
            <w:pPr>
              <w:keepNext/>
              <w:keepLines/>
              <w:widowControl w:val="0"/>
              <w:tabs>
                <w:tab w:val="right" w:leader="dot" w:pos="5310"/>
              </w:tabs>
              <w:spacing w:before="120"/>
              <w:jc w:val="center"/>
              <w:rPr>
                <w:rFonts w:ascii="Times New Roman" w:hAnsi="Times New Roman"/>
                <w:b/>
                <w:color w:val="000000"/>
                <w:sz w:val="16"/>
                <w:lang w:val="es-ES"/>
              </w:rPr>
            </w:pPr>
            <w:r w:rsidRPr="00AE4E8D">
              <w:rPr>
                <w:rFonts w:ascii="Times New Roman" w:hAnsi="Times New Roman"/>
                <w:b/>
                <w:color w:val="000000"/>
                <w:sz w:val="16"/>
                <w:lang w:val="es-ES"/>
              </w:rPr>
              <w:t>Valor Nominal</w:t>
            </w:r>
          </w:p>
          <w:p w14:paraId="18F56780" w14:textId="77777777" w:rsidR="00552E1C" w:rsidRPr="00AE4E8D" w:rsidRDefault="00552E1C" w:rsidP="004C7A5A">
            <w:pPr>
              <w:keepNext/>
              <w:keepLines/>
              <w:widowControl w:val="0"/>
              <w:tabs>
                <w:tab w:val="right" w:leader="dot" w:pos="5310"/>
              </w:tabs>
              <w:spacing w:after="120"/>
              <w:jc w:val="center"/>
              <w:rPr>
                <w:rFonts w:ascii="Times New Roman" w:hAnsi="Times New Roman"/>
                <w:b/>
                <w:color w:val="000000"/>
                <w:sz w:val="16"/>
                <w:lang w:val="es-ES"/>
              </w:rPr>
            </w:pPr>
            <w:r w:rsidRPr="00AE4E8D">
              <w:rPr>
                <w:rFonts w:ascii="Times New Roman" w:hAnsi="Times New Roman"/>
                <w:b/>
                <w:color w:val="000000"/>
                <w:sz w:val="16"/>
                <w:lang w:val="es-ES"/>
              </w:rPr>
              <w:t>(Ps.)</w:t>
            </w:r>
          </w:p>
        </w:tc>
        <w:tc>
          <w:tcPr>
            <w:tcW w:w="738" w:type="pct"/>
            <w:tcBorders>
              <w:top w:val="single" w:sz="4" w:space="0" w:color="auto"/>
              <w:bottom w:val="single" w:sz="4" w:space="0" w:color="auto"/>
            </w:tcBorders>
            <w:vAlign w:val="center"/>
          </w:tcPr>
          <w:p w14:paraId="1990476F" w14:textId="77777777" w:rsidR="00552E1C" w:rsidRPr="00AE4E8D" w:rsidRDefault="00552E1C" w:rsidP="004C7A5A">
            <w:pPr>
              <w:keepNext/>
              <w:keepLines/>
              <w:widowControl w:val="0"/>
              <w:tabs>
                <w:tab w:val="right" w:leader="dot" w:pos="5310"/>
              </w:tabs>
              <w:spacing w:before="120" w:after="120"/>
              <w:jc w:val="center"/>
              <w:rPr>
                <w:rFonts w:ascii="Times New Roman" w:hAnsi="Times New Roman"/>
                <w:b/>
                <w:color w:val="000000"/>
                <w:sz w:val="16"/>
                <w:lang w:val="es-ES"/>
              </w:rPr>
            </w:pPr>
            <w:r w:rsidRPr="00AE4E8D">
              <w:rPr>
                <w:rFonts w:ascii="Times New Roman" w:hAnsi="Times New Roman"/>
                <w:b/>
                <w:color w:val="000000"/>
                <w:sz w:val="16"/>
                <w:lang w:val="es-ES"/>
              </w:rPr>
              <w:t>Votos</w:t>
            </w:r>
          </w:p>
        </w:tc>
        <w:tc>
          <w:tcPr>
            <w:tcW w:w="614" w:type="pct"/>
            <w:tcBorders>
              <w:top w:val="single" w:sz="4" w:space="0" w:color="auto"/>
              <w:bottom w:val="single" w:sz="4" w:space="0" w:color="auto"/>
            </w:tcBorders>
            <w:vAlign w:val="center"/>
          </w:tcPr>
          <w:p w14:paraId="4F112E10" w14:textId="77777777" w:rsidR="00552E1C" w:rsidRPr="00AE4E8D" w:rsidRDefault="00552E1C" w:rsidP="004C7A5A">
            <w:pPr>
              <w:keepNext/>
              <w:keepLines/>
              <w:widowControl w:val="0"/>
              <w:tabs>
                <w:tab w:val="right" w:leader="dot" w:pos="5310"/>
              </w:tabs>
              <w:spacing w:before="120" w:after="120"/>
              <w:jc w:val="center"/>
              <w:rPr>
                <w:rFonts w:ascii="Times New Roman" w:hAnsi="Times New Roman"/>
                <w:b/>
                <w:color w:val="000000"/>
                <w:sz w:val="16"/>
                <w:lang w:val="es-ES"/>
              </w:rPr>
            </w:pPr>
            <w:r w:rsidRPr="00AE4E8D">
              <w:rPr>
                <w:rFonts w:ascii="Times New Roman" w:hAnsi="Times New Roman"/>
                <w:b/>
                <w:color w:val="000000"/>
                <w:sz w:val="16"/>
                <w:lang w:val="es-ES"/>
              </w:rPr>
              <w:t>%</w:t>
            </w:r>
          </w:p>
        </w:tc>
      </w:tr>
      <w:tr w:rsidR="00552E1C" w:rsidRPr="00AE4E8D" w14:paraId="40CDB09D" w14:textId="77777777" w:rsidTr="000400C8">
        <w:trPr>
          <w:jc w:val="center"/>
        </w:trPr>
        <w:tc>
          <w:tcPr>
            <w:tcW w:w="2008" w:type="pct"/>
            <w:tcBorders>
              <w:top w:val="single" w:sz="4" w:space="0" w:color="auto"/>
            </w:tcBorders>
          </w:tcPr>
          <w:p w14:paraId="4820DD7A" w14:textId="77777777" w:rsidR="00552E1C" w:rsidRPr="00AE4E8D" w:rsidRDefault="00552E1C" w:rsidP="0084512B">
            <w:pPr>
              <w:keepNext/>
              <w:keepLines/>
              <w:widowControl w:val="0"/>
              <w:tabs>
                <w:tab w:val="left" w:leader="dot" w:pos="3331"/>
                <w:tab w:val="right" w:leader="dot" w:pos="5310"/>
              </w:tabs>
              <w:spacing w:before="120" w:after="120"/>
              <w:rPr>
                <w:rFonts w:ascii="Times New Roman" w:hAnsi="Times New Roman"/>
                <w:color w:val="000000"/>
                <w:sz w:val="16"/>
                <w:lang w:val="es-ES"/>
              </w:rPr>
            </w:pPr>
            <w:r w:rsidRPr="00AE4E8D">
              <w:rPr>
                <w:rFonts w:ascii="Times New Roman" w:hAnsi="Times New Roman"/>
                <w:color w:val="000000"/>
                <w:sz w:val="16"/>
                <w:lang w:val="es-ES"/>
              </w:rPr>
              <w:t>Banco Hipotecario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38" w:type="pct"/>
            <w:tcBorders>
              <w:top w:val="single" w:sz="4" w:space="0" w:color="auto"/>
            </w:tcBorders>
          </w:tcPr>
          <w:p w14:paraId="2FDD7B7F" w14:textId="77777777" w:rsidR="00552E1C" w:rsidRPr="00AE4E8D" w:rsidRDefault="00552E1C" w:rsidP="004C7A5A">
            <w:pPr>
              <w:keepNext/>
              <w:keepLines/>
              <w:widowControl w:val="0"/>
              <w:tabs>
                <w:tab w:val="right" w:leader="dot" w:pos="5310"/>
              </w:tabs>
              <w:spacing w:before="120" w:after="120"/>
              <w:ind w:right="72"/>
              <w:jc w:val="right"/>
              <w:rPr>
                <w:rFonts w:ascii="Times New Roman" w:hAnsi="Times New Roman"/>
                <w:color w:val="000000"/>
                <w:sz w:val="16"/>
                <w:lang w:val="es-ES"/>
              </w:rPr>
            </w:pPr>
            <w:r w:rsidRPr="00AE4E8D">
              <w:rPr>
                <w:rFonts w:ascii="Times New Roman" w:hAnsi="Times New Roman"/>
                <w:color w:val="000000"/>
                <w:sz w:val="16"/>
                <w:lang w:val="es-ES"/>
              </w:rPr>
              <w:t>39.131.682</w:t>
            </w:r>
          </w:p>
        </w:tc>
        <w:tc>
          <w:tcPr>
            <w:tcW w:w="902" w:type="pct"/>
            <w:tcBorders>
              <w:top w:val="single" w:sz="4" w:space="0" w:color="auto"/>
            </w:tcBorders>
          </w:tcPr>
          <w:p w14:paraId="5ED7795F" w14:textId="77777777" w:rsidR="00552E1C" w:rsidRPr="00AE4E8D" w:rsidRDefault="00552E1C" w:rsidP="004C7A5A">
            <w:pPr>
              <w:keepNext/>
              <w:keepLines/>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39.131.682</w:t>
            </w:r>
          </w:p>
        </w:tc>
        <w:tc>
          <w:tcPr>
            <w:tcW w:w="738" w:type="pct"/>
            <w:tcBorders>
              <w:top w:val="single" w:sz="4" w:space="0" w:color="auto"/>
            </w:tcBorders>
          </w:tcPr>
          <w:p w14:paraId="0B58213C" w14:textId="77777777" w:rsidR="00552E1C" w:rsidRPr="00AE4E8D" w:rsidRDefault="00552E1C" w:rsidP="004C7A5A">
            <w:pPr>
              <w:keepNext/>
              <w:keepLines/>
              <w:widowControl w:val="0"/>
              <w:tabs>
                <w:tab w:val="left" w:pos="1269"/>
                <w:tab w:val="right" w:leader="dot" w:pos="5310"/>
              </w:tabs>
              <w:spacing w:before="120" w:after="120"/>
              <w:ind w:right="61"/>
              <w:jc w:val="right"/>
              <w:rPr>
                <w:rFonts w:ascii="Times New Roman" w:hAnsi="Times New Roman"/>
                <w:color w:val="000000"/>
                <w:sz w:val="16"/>
                <w:lang w:val="es-ES"/>
              </w:rPr>
            </w:pPr>
            <w:r w:rsidRPr="00AE4E8D">
              <w:rPr>
                <w:rFonts w:ascii="Times New Roman" w:hAnsi="Times New Roman"/>
                <w:color w:val="000000"/>
                <w:sz w:val="16"/>
                <w:lang w:val="es-ES"/>
              </w:rPr>
              <w:t>39.131.682</w:t>
            </w:r>
          </w:p>
        </w:tc>
        <w:tc>
          <w:tcPr>
            <w:tcW w:w="614" w:type="pct"/>
            <w:tcBorders>
              <w:top w:val="single" w:sz="4" w:space="0" w:color="auto"/>
            </w:tcBorders>
          </w:tcPr>
          <w:p w14:paraId="4EFFA79A" w14:textId="77777777" w:rsidR="00552E1C" w:rsidRPr="00AE4E8D" w:rsidRDefault="00552E1C" w:rsidP="004C7A5A">
            <w:pPr>
              <w:keepNext/>
              <w:keepLines/>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99,999</w:t>
            </w:r>
          </w:p>
        </w:tc>
      </w:tr>
      <w:tr w:rsidR="00552E1C" w:rsidRPr="00AE4E8D" w14:paraId="7C3DF4FD" w14:textId="77777777" w:rsidTr="000400C8">
        <w:trPr>
          <w:jc w:val="center"/>
        </w:trPr>
        <w:tc>
          <w:tcPr>
            <w:tcW w:w="2008" w:type="pct"/>
            <w:tcBorders>
              <w:bottom w:val="single" w:sz="4" w:space="0" w:color="auto"/>
            </w:tcBorders>
          </w:tcPr>
          <w:p w14:paraId="2DFD3F91" w14:textId="77777777" w:rsidR="00552E1C" w:rsidRPr="00AE4E8D" w:rsidRDefault="00552E1C" w:rsidP="0084512B">
            <w:pPr>
              <w:keepNext/>
              <w:keepLines/>
              <w:widowControl w:val="0"/>
              <w:tabs>
                <w:tab w:val="left" w:leader="dot" w:pos="3331"/>
                <w:tab w:val="right" w:leader="dot" w:pos="5310"/>
              </w:tabs>
              <w:spacing w:before="120" w:after="120"/>
              <w:rPr>
                <w:rFonts w:ascii="Times New Roman" w:hAnsi="Times New Roman"/>
                <w:color w:val="000000"/>
                <w:sz w:val="16"/>
                <w:lang w:val="es-ES"/>
              </w:rPr>
            </w:pPr>
            <w:r w:rsidRPr="00AE4E8D">
              <w:rPr>
                <w:rFonts w:ascii="Times New Roman" w:hAnsi="Times New Roman"/>
                <w:color w:val="000000"/>
                <w:sz w:val="16"/>
                <w:lang w:val="es-ES"/>
              </w:rPr>
              <w:t>BACS Banco de Crédito y Securitización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38" w:type="pct"/>
            <w:tcBorders>
              <w:bottom w:val="single" w:sz="4" w:space="0" w:color="auto"/>
            </w:tcBorders>
          </w:tcPr>
          <w:p w14:paraId="677C70EB" w14:textId="77777777" w:rsidR="00552E1C" w:rsidRPr="00AE4E8D" w:rsidRDefault="00552E1C" w:rsidP="004C7A5A">
            <w:pPr>
              <w:keepNext/>
              <w:keepLines/>
              <w:widowControl w:val="0"/>
              <w:tabs>
                <w:tab w:val="right" w:leader="dot" w:pos="5310"/>
              </w:tabs>
              <w:spacing w:before="120" w:after="120"/>
              <w:ind w:right="72"/>
              <w:jc w:val="right"/>
              <w:rPr>
                <w:rFonts w:ascii="Times New Roman" w:hAnsi="Times New Roman"/>
                <w:color w:val="000000"/>
                <w:sz w:val="16"/>
                <w:lang w:val="es-ES"/>
              </w:rPr>
            </w:pPr>
            <w:r w:rsidRPr="00AE4E8D">
              <w:rPr>
                <w:rFonts w:ascii="Times New Roman" w:hAnsi="Times New Roman"/>
                <w:color w:val="000000"/>
                <w:sz w:val="16"/>
                <w:lang w:val="es-ES"/>
              </w:rPr>
              <w:t>80</w:t>
            </w:r>
          </w:p>
        </w:tc>
        <w:tc>
          <w:tcPr>
            <w:tcW w:w="902" w:type="pct"/>
            <w:tcBorders>
              <w:bottom w:val="single" w:sz="4" w:space="0" w:color="auto"/>
            </w:tcBorders>
          </w:tcPr>
          <w:p w14:paraId="2C04E002" w14:textId="77777777" w:rsidR="00552E1C" w:rsidRPr="00AE4E8D" w:rsidRDefault="00552E1C" w:rsidP="004C7A5A">
            <w:pPr>
              <w:keepNext/>
              <w:keepLines/>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80</w:t>
            </w:r>
          </w:p>
        </w:tc>
        <w:tc>
          <w:tcPr>
            <w:tcW w:w="738" w:type="pct"/>
            <w:tcBorders>
              <w:bottom w:val="single" w:sz="4" w:space="0" w:color="auto"/>
            </w:tcBorders>
          </w:tcPr>
          <w:p w14:paraId="52127123" w14:textId="77777777" w:rsidR="00552E1C" w:rsidRPr="00AE4E8D" w:rsidRDefault="00552E1C" w:rsidP="004C7A5A">
            <w:pPr>
              <w:keepNext/>
              <w:keepLines/>
              <w:widowControl w:val="0"/>
              <w:tabs>
                <w:tab w:val="left" w:pos="1269"/>
                <w:tab w:val="right" w:leader="dot" w:pos="5310"/>
              </w:tabs>
              <w:spacing w:before="120" w:after="120"/>
              <w:ind w:right="61"/>
              <w:jc w:val="right"/>
              <w:rPr>
                <w:rFonts w:ascii="Times New Roman" w:hAnsi="Times New Roman"/>
                <w:color w:val="000000"/>
                <w:sz w:val="16"/>
                <w:lang w:val="es-ES"/>
              </w:rPr>
            </w:pPr>
            <w:r w:rsidRPr="00AE4E8D">
              <w:rPr>
                <w:rFonts w:ascii="Times New Roman" w:hAnsi="Times New Roman"/>
                <w:color w:val="000000"/>
                <w:sz w:val="16"/>
                <w:lang w:val="es-ES"/>
              </w:rPr>
              <w:t>80</w:t>
            </w:r>
          </w:p>
        </w:tc>
        <w:tc>
          <w:tcPr>
            <w:tcW w:w="614" w:type="pct"/>
            <w:tcBorders>
              <w:bottom w:val="single" w:sz="4" w:space="0" w:color="auto"/>
            </w:tcBorders>
          </w:tcPr>
          <w:p w14:paraId="288B1F56" w14:textId="77777777" w:rsidR="00552E1C" w:rsidRPr="00AE4E8D" w:rsidRDefault="00552E1C" w:rsidP="004C7A5A">
            <w:pPr>
              <w:keepNext/>
              <w:keepLines/>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0,001</w:t>
            </w:r>
          </w:p>
        </w:tc>
      </w:tr>
      <w:tr w:rsidR="00552E1C" w:rsidRPr="00AE4E8D" w14:paraId="5D6A0260" w14:textId="77777777" w:rsidTr="000400C8">
        <w:trPr>
          <w:jc w:val="center"/>
        </w:trPr>
        <w:tc>
          <w:tcPr>
            <w:tcW w:w="2008" w:type="pct"/>
            <w:tcBorders>
              <w:top w:val="single" w:sz="4" w:space="0" w:color="auto"/>
              <w:bottom w:val="single" w:sz="4" w:space="0" w:color="auto"/>
            </w:tcBorders>
          </w:tcPr>
          <w:p w14:paraId="6FEC8A70" w14:textId="77777777" w:rsidR="00552E1C" w:rsidRPr="00AE4E8D" w:rsidRDefault="00552E1C" w:rsidP="0084512B">
            <w:pPr>
              <w:keepNext/>
              <w:keepLines/>
              <w:widowControl w:val="0"/>
              <w:tabs>
                <w:tab w:val="left" w:leader="dot" w:pos="3331"/>
                <w:tab w:val="right" w:leader="dot" w:pos="5310"/>
              </w:tabs>
              <w:spacing w:before="120" w:after="120"/>
              <w:rPr>
                <w:rFonts w:ascii="Times New Roman" w:hAnsi="Times New Roman"/>
                <w:b/>
                <w:color w:val="000000"/>
                <w:sz w:val="16"/>
                <w:lang w:val="es-ES"/>
              </w:rPr>
            </w:pPr>
            <w:r w:rsidRPr="00AE4E8D">
              <w:rPr>
                <w:rFonts w:ascii="Times New Roman" w:hAnsi="Times New Roman"/>
                <w:b/>
                <w:color w:val="000000"/>
                <w:sz w:val="16"/>
                <w:lang w:val="es-ES"/>
              </w:rPr>
              <w:t>Total</w:t>
            </w:r>
            <w:r w:rsidRPr="00AE4E8D">
              <w:rPr>
                <w:rFonts w:ascii="Times New Roman" w:hAnsi="Times New Roman"/>
                <w:sz w:val="14"/>
                <w:lang w:val="es-ES"/>
              </w:rPr>
              <w:tab/>
            </w:r>
          </w:p>
        </w:tc>
        <w:tc>
          <w:tcPr>
            <w:tcW w:w="738" w:type="pct"/>
            <w:tcBorders>
              <w:top w:val="single" w:sz="4" w:space="0" w:color="auto"/>
              <w:bottom w:val="single" w:sz="4" w:space="0" w:color="auto"/>
            </w:tcBorders>
          </w:tcPr>
          <w:p w14:paraId="6087E6B1" w14:textId="77777777" w:rsidR="00552E1C" w:rsidRPr="00AE4E8D" w:rsidRDefault="00552E1C" w:rsidP="004C7A5A">
            <w:pPr>
              <w:keepNext/>
              <w:keepLines/>
              <w:widowControl w:val="0"/>
              <w:tabs>
                <w:tab w:val="right" w:leader="dot" w:pos="5310"/>
              </w:tabs>
              <w:spacing w:before="120" w:after="120"/>
              <w:ind w:right="72"/>
              <w:jc w:val="right"/>
              <w:rPr>
                <w:rFonts w:ascii="Times New Roman" w:hAnsi="Times New Roman"/>
                <w:color w:val="000000"/>
                <w:sz w:val="16"/>
                <w:lang w:val="es-ES"/>
              </w:rPr>
            </w:pPr>
            <w:r w:rsidRPr="00AE4E8D">
              <w:rPr>
                <w:rFonts w:ascii="Times New Roman" w:hAnsi="Times New Roman"/>
                <w:color w:val="000000"/>
                <w:sz w:val="16"/>
                <w:lang w:val="es-ES"/>
              </w:rPr>
              <w:t>39.131.762</w:t>
            </w:r>
          </w:p>
        </w:tc>
        <w:tc>
          <w:tcPr>
            <w:tcW w:w="902" w:type="pct"/>
            <w:tcBorders>
              <w:top w:val="single" w:sz="4" w:space="0" w:color="auto"/>
              <w:bottom w:val="single" w:sz="4" w:space="0" w:color="auto"/>
            </w:tcBorders>
          </w:tcPr>
          <w:p w14:paraId="58AA05D1" w14:textId="77777777" w:rsidR="00552E1C" w:rsidRPr="00AE4E8D" w:rsidRDefault="00552E1C" w:rsidP="004C7A5A">
            <w:pPr>
              <w:keepNext/>
              <w:keepLines/>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39.131.762</w:t>
            </w:r>
          </w:p>
        </w:tc>
        <w:tc>
          <w:tcPr>
            <w:tcW w:w="738" w:type="pct"/>
            <w:tcBorders>
              <w:top w:val="single" w:sz="4" w:space="0" w:color="auto"/>
              <w:bottom w:val="single" w:sz="4" w:space="0" w:color="auto"/>
            </w:tcBorders>
          </w:tcPr>
          <w:p w14:paraId="0DAE03E3" w14:textId="77777777" w:rsidR="00552E1C" w:rsidRPr="00AE4E8D" w:rsidRDefault="00552E1C" w:rsidP="004C7A5A">
            <w:pPr>
              <w:keepNext/>
              <w:keepLines/>
              <w:widowControl w:val="0"/>
              <w:tabs>
                <w:tab w:val="left" w:pos="1269"/>
                <w:tab w:val="right" w:leader="dot" w:pos="5310"/>
              </w:tabs>
              <w:spacing w:before="120" w:after="120"/>
              <w:ind w:right="61"/>
              <w:jc w:val="right"/>
              <w:rPr>
                <w:rFonts w:ascii="Times New Roman" w:hAnsi="Times New Roman"/>
                <w:color w:val="000000"/>
                <w:sz w:val="16"/>
                <w:lang w:val="es-ES"/>
              </w:rPr>
            </w:pPr>
            <w:r w:rsidRPr="00AE4E8D">
              <w:rPr>
                <w:rFonts w:ascii="Times New Roman" w:hAnsi="Times New Roman"/>
                <w:color w:val="000000"/>
                <w:sz w:val="16"/>
                <w:lang w:val="es-ES"/>
              </w:rPr>
              <w:t>39.131.762</w:t>
            </w:r>
          </w:p>
        </w:tc>
        <w:tc>
          <w:tcPr>
            <w:tcW w:w="614" w:type="pct"/>
            <w:tcBorders>
              <w:top w:val="single" w:sz="4" w:space="0" w:color="auto"/>
              <w:bottom w:val="single" w:sz="4" w:space="0" w:color="auto"/>
            </w:tcBorders>
          </w:tcPr>
          <w:p w14:paraId="67D7D096" w14:textId="77777777" w:rsidR="00552E1C" w:rsidRPr="00AE4E8D" w:rsidRDefault="00552E1C" w:rsidP="004C7A5A">
            <w:pPr>
              <w:keepNext/>
              <w:keepLines/>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100</w:t>
            </w:r>
          </w:p>
        </w:tc>
      </w:tr>
    </w:tbl>
    <w:p w14:paraId="46EA0EB1" w14:textId="77777777" w:rsidR="00552E1C" w:rsidRPr="00AE4E8D" w:rsidRDefault="00552E1C" w:rsidP="00B52753">
      <w:pPr>
        <w:keepNext/>
        <w:autoSpaceDE w:val="0"/>
        <w:autoSpaceDN w:val="0"/>
        <w:adjustRightInd w:val="0"/>
        <w:spacing w:before="240" w:after="240"/>
        <w:outlineLvl w:val="2"/>
        <w:rPr>
          <w:rFonts w:ascii="Times New Roman" w:hAnsi="Times New Roman"/>
          <w:lang w:val="es-ES"/>
        </w:rPr>
      </w:pPr>
      <w:r w:rsidRPr="00AE4E8D">
        <w:rPr>
          <w:rFonts w:ascii="Times New Roman" w:hAnsi="Times New Roman"/>
          <w:b/>
          <w:lang w:val="es-ES"/>
        </w:rPr>
        <w:t>c) BHN Vida S.A.</w:t>
      </w:r>
    </w:p>
    <w:tbl>
      <w:tblPr>
        <w:tblW w:w="5000" w:type="pct"/>
        <w:jc w:val="center"/>
        <w:tblLayout w:type="fixed"/>
        <w:tblCellMar>
          <w:left w:w="70" w:type="dxa"/>
          <w:right w:w="70" w:type="dxa"/>
        </w:tblCellMar>
        <w:tblLook w:val="0000" w:firstRow="0" w:lastRow="0" w:firstColumn="0" w:lastColumn="0" w:noHBand="0" w:noVBand="0"/>
      </w:tblPr>
      <w:tblGrid>
        <w:gridCol w:w="3473"/>
        <w:gridCol w:w="1276"/>
        <w:gridCol w:w="1560"/>
        <w:gridCol w:w="1274"/>
        <w:gridCol w:w="1062"/>
      </w:tblGrid>
      <w:tr w:rsidR="00552E1C" w:rsidRPr="00AE4E8D" w14:paraId="5C5C0AE2" w14:textId="77777777" w:rsidTr="000400C8">
        <w:trPr>
          <w:trHeight w:val="566"/>
          <w:jc w:val="center"/>
        </w:trPr>
        <w:tc>
          <w:tcPr>
            <w:tcW w:w="2008" w:type="pct"/>
            <w:tcBorders>
              <w:top w:val="single" w:sz="4" w:space="0" w:color="auto"/>
              <w:bottom w:val="single" w:sz="4" w:space="0" w:color="auto"/>
            </w:tcBorders>
            <w:vAlign w:val="center"/>
          </w:tcPr>
          <w:p w14:paraId="1C4272C5" w14:textId="77777777" w:rsidR="00552E1C" w:rsidRPr="00AE4E8D" w:rsidRDefault="00552E1C" w:rsidP="004C7A5A">
            <w:pPr>
              <w:widowControl w:val="0"/>
              <w:tabs>
                <w:tab w:val="right" w:leader="dot" w:pos="5310"/>
              </w:tabs>
              <w:jc w:val="center"/>
              <w:rPr>
                <w:rFonts w:ascii="Times New Roman" w:hAnsi="Times New Roman"/>
                <w:b/>
                <w:color w:val="000000"/>
                <w:sz w:val="16"/>
                <w:lang w:val="es-ES"/>
              </w:rPr>
            </w:pPr>
            <w:r w:rsidRPr="00AE4E8D">
              <w:rPr>
                <w:rFonts w:ascii="Times New Roman" w:hAnsi="Times New Roman"/>
                <w:b/>
                <w:color w:val="000000"/>
                <w:sz w:val="16"/>
                <w:lang w:val="es-ES"/>
              </w:rPr>
              <w:t>Accionista</w:t>
            </w:r>
          </w:p>
        </w:tc>
        <w:tc>
          <w:tcPr>
            <w:tcW w:w="738" w:type="pct"/>
            <w:tcBorders>
              <w:top w:val="single" w:sz="4" w:space="0" w:color="auto"/>
              <w:bottom w:val="single" w:sz="4" w:space="0" w:color="auto"/>
            </w:tcBorders>
            <w:vAlign w:val="center"/>
          </w:tcPr>
          <w:p w14:paraId="3C39BA92" w14:textId="77777777" w:rsidR="00552E1C" w:rsidRPr="00AE4E8D" w:rsidRDefault="00552E1C" w:rsidP="0084512B">
            <w:pPr>
              <w:spacing w:before="120" w:after="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Acciones</w:t>
            </w:r>
          </w:p>
        </w:tc>
        <w:tc>
          <w:tcPr>
            <w:tcW w:w="902" w:type="pct"/>
            <w:tcBorders>
              <w:top w:val="single" w:sz="4" w:space="0" w:color="auto"/>
              <w:bottom w:val="single" w:sz="4" w:space="0" w:color="auto"/>
            </w:tcBorders>
            <w:vAlign w:val="center"/>
          </w:tcPr>
          <w:p w14:paraId="0DB74610" w14:textId="77777777" w:rsidR="00552E1C" w:rsidRPr="00AE4E8D" w:rsidRDefault="00552E1C" w:rsidP="0084512B">
            <w:pPr>
              <w:widowControl w:val="0"/>
              <w:tabs>
                <w:tab w:val="right" w:leader="dot" w:pos="5310"/>
              </w:tabs>
              <w:spacing w:before="120"/>
              <w:ind w:left="71"/>
              <w:jc w:val="center"/>
              <w:rPr>
                <w:rFonts w:ascii="Times New Roman" w:hAnsi="Times New Roman"/>
                <w:b/>
                <w:color w:val="000000"/>
                <w:sz w:val="16"/>
                <w:lang w:val="es-ES"/>
              </w:rPr>
            </w:pPr>
            <w:r w:rsidRPr="00AE4E8D">
              <w:rPr>
                <w:rFonts w:ascii="Times New Roman" w:hAnsi="Times New Roman"/>
                <w:b/>
                <w:color w:val="000000"/>
                <w:sz w:val="16"/>
                <w:lang w:val="es-ES"/>
              </w:rPr>
              <w:t>Valor Nominal</w:t>
            </w:r>
          </w:p>
          <w:p w14:paraId="4B07912E" w14:textId="77777777" w:rsidR="00552E1C" w:rsidRPr="00AE4E8D" w:rsidRDefault="00552E1C" w:rsidP="0084512B">
            <w:pPr>
              <w:widowControl w:val="0"/>
              <w:tabs>
                <w:tab w:val="right" w:leader="dot" w:pos="5310"/>
              </w:tabs>
              <w:spacing w:after="120"/>
              <w:ind w:left="71"/>
              <w:jc w:val="center"/>
              <w:rPr>
                <w:rFonts w:ascii="Times New Roman" w:hAnsi="Times New Roman"/>
                <w:b/>
                <w:color w:val="000000"/>
                <w:sz w:val="16"/>
                <w:lang w:val="es-ES"/>
              </w:rPr>
            </w:pPr>
            <w:r w:rsidRPr="00AE4E8D">
              <w:rPr>
                <w:rFonts w:ascii="Times New Roman" w:hAnsi="Times New Roman"/>
                <w:b/>
                <w:color w:val="000000"/>
                <w:sz w:val="16"/>
                <w:lang w:val="es-ES"/>
              </w:rPr>
              <w:t>(Ps.)</w:t>
            </w:r>
          </w:p>
        </w:tc>
        <w:tc>
          <w:tcPr>
            <w:tcW w:w="737" w:type="pct"/>
            <w:tcBorders>
              <w:top w:val="single" w:sz="4" w:space="0" w:color="auto"/>
              <w:bottom w:val="single" w:sz="4" w:space="0" w:color="auto"/>
            </w:tcBorders>
            <w:vAlign w:val="center"/>
          </w:tcPr>
          <w:p w14:paraId="7C59627B" w14:textId="77777777" w:rsidR="00552E1C" w:rsidRPr="00AE4E8D" w:rsidRDefault="00552E1C" w:rsidP="0084512B">
            <w:pPr>
              <w:widowControl w:val="0"/>
              <w:tabs>
                <w:tab w:val="right" w:leader="dot" w:pos="5310"/>
              </w:tabs>
              <w:spacing w:before="120" w:after="120"/>
              <w:jc w:val="center"/>
              <w:rPr>
                <w:rFonts w:ascii="Times New Roman" w:hAnsi="Times New Roman"/>
                <w:b/>
                <w:color w:val="000000"/>
                <w:sz w:val="16"/>
                <w:lang w:val="es-ES"/>
              </w:rPr>
            </w:pPr>
            <w:r w:rsidRPr="00AE4E8D">
              <w:rPr>
                <w:rFonts w:ascii="Times New Roman" w:hAnsi="Times New Roman"/>
                <w:b/>
                <w:color w:val="000000"/>
                <w:sz w:val="16"/>
                <w:lang w:val="es-ES"/>
              </w:rPr>
              <w:t>Votos</w:t>
            </w:r>
          </w:p>
        </w:tc>
        <w:tc>
          <w:tcPr>
            <w:tcW w:w="614" w:type="pct"/>
            <w:tcBorders>
              <w:top w:val="single" w:sz="4" w:space="0" w:color="auto"/>
              <w:bottom w:val="single" w:sz="4" w:space="0" w:color="auto"/>
            </w:tcBorders>
            <w:vAlign w:val="center"/>
          </w:tcPr>
          <w:p w14:paraId="0C24018C" w14:textId="77777777" w:rsidR="00552E1C" w:rsidRPr="00AE4E8D" w:rsidRDefault="00552E1C" w:rsidP="0084512B">
            <w:pPr>
              <w:widowControl w:val="0"/>
              <w:tabs>
                <w:tab w:val="right" w:leader="dot" w:pos="5310"/>
              </w:tabs>
              <w:spacing w:before="120" w:after="120"/>
              <w:jc w:val="center"/>
              <w:rPr>
                <w:rFonts w:ascii="Times New Roman" w:hAnsi="Times New Roman"/>
                <w:b/>
                <w:color w:val="000000"/>
                <w:sz w:val="16"/>
                <w:lang w:val="es-ES"/>
              </w:rPr>
            </w:pPr>
            <w:r w:rsidRPr="00AE4E8D">
              <w:rPr>
                <w:rFonts w:ascii="Times New Roman" w:hAnsi="Times New Roman"/>
                <w:b/>
                <w:color w:val="000000"/>
                <w:sz w:val="16"/>
                <w:lang w:val="es-ES"/>
              </w:rPr>
              <w:t>%</w:t>
            </w:r>
          </w:p>
        </w:tc>
      </w:tr>
      <w:tr w:rsidR="00552E1C" w:rsidRPr="00AE4E8D" w14:paraId="033782B9" w14:textId="77777777" w:rsidTr="000400C8">
        <w:trPr>
          <w:jc w:val="center"/>
        </w:trPr>
        <w:tc>
          <w:tcPr>
            <w:tcW w:w="2008" w:type="pct"/>
            <w:tcBorders>
              <w:top w:val="single" w:sz="4" w:space="0" w:color="auto"/>
            </w:tcBorders>
          </w:tcPr>
          <w:p w14:paraId="521A74B0" w14:textId="77777777" w:rsidR="00552E1C" w:rsidRPr="00AE4E8D" w:rsidRDefault="00552E1C" w:rsidP="0084512B">
            <w:pPr>
              <w:widowControl w:val="0"/>
              <w:tabs>
                <w:tab w:val="left" w:leader="dot" w:pos="3333"/>
                <w:tab w:val="right" w:leader="dot" w:pos="5310"/>
              </w:tabs>
              <w:spacing w:before="120" w:after="120"/>
              <w:rPr>
                <w:rFonts w:ascii="Times New Roman" w:hAnsi="Times New Roman"/>
                <w:color w:val="000000"/>
                <w:sz w:val="16"/>
                <w:lang w:val="es-ES"/>
              </w:rPr>
            </w:pPr>
            <w:r w:rsidRPr="00AE4E8D">
              <w:rPr>
                <w:rFonts w:ascii="Times New Roman" w:hAnsi="Times New Roman"/>
                <w:color w:val="000000"/>
                <w:sz w:val="16"/>
                <w:lang w:val="es-ES"/>
              </w:rPr>
              <w:t>Banco Hipotecario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38" w:type="pct"/>
            <w:tcBorders>
              <w:top w:val="single" w:sz="4" w:space="0" w:color="auto"/>
            </w:tcBorders>
          </w:tcPr>
          <w:p w14:paraId="5BFB760D" w14:textId="77777777" w:rsidR="00552E1C" w:rsidRPr="00AE4E8D" w:rsidRDefault="00552E1C" w:rsidP="0084512B">
            <w:pPr>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120</w:t>
            </w:r>
          </w:p>
        </w:tc>
        <w:tc>
          <w:tcPr>
            <w:tcW w:w="902" w:type="pct"/>
            <w:tcBorders>
              <w:top w:val="single" w:sz="4" w:space="0" w:color="auto"/>
            </w:tcBorders>
          </w:tcPr>
          <w:p w14:paraId="58ECC310" w14:textId="77777777" w:rsidR="00552E1C" w:rsidRPr="00AE4E8D" w:rsidRDefault="00552E1C" w:rsidP="0084512B">
            <w:pPr>
              <w:widowControl w:val="0"/>
              <w:tabs>
                <w:tab w:val="right" w:leader="dot" w:pos="5310"/>
              </w:tabs>
              <w:spacing w:before="120" w:after="120"/>
              <w:ind w:left="71"/>
              <w:jc w:val="right"/>
              <w:rPr>
                <w:rFonts w:ascii="Times New Roman" w:hAnsi="Times New Roman"/>
                <w:color w:val="000000"/>
                <w:sz w:val="16"/>
                <w:lang w:val="es-ES"/>
              </w:rPr>
            </w:pPr>
            <w:r w:rsidRPr="00AE4E8D">
              <w:rPr>
                <w:rFonts w:ascii="Times New Roman" w:hAnsi="Times New Roman"/>
                <w:color w:val="000000"/>
                <w:sz w:val="16"/>
                <w:lang w:val="es-ES"/>
              </w:rPr>
              <w:t>120</w:t>
            </w:r>
          </w:p>
        </w:tc>
        <w:tc>
          <w:tcPr>
            <w:tcW w:w="737" w:type="pct"/>
            <w:tcBorders>
              <w:top w:val="single" w:sz="4" w:space="0" w:color="auto"/>
            </w:tcBorders>
          </w:tcPr>
          <w:p w14:paraId="0E041DB3" w14:textId="77777777" w:rsidR="00552E1C" w:rsidRPr="00AE4E8D" w:rsidRDefault="00552E1C" w:rsidP="0084512B">
            <w:pPr>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120</w:t>
            </w:r>
          </w:p>
        </w:tc>
        <w:tc>
          <w:tcPr>
            <w:tcW w:w="614" w:type="pct"/>
            <w:tcBorders>
              <w:top w:val="single" w:sz="4" w:space="0" w:color="auto"/>
            </w:tcBorders>
          </w:tcPr>
          <w:p w14:paraId="4EF40A2F" w14:textId="77777777" w:rsidR="00552E1C" w:rsidRPr="00AE4E8D" w:rsidRDefault="00552E1C" w:rsidP="0084512B">
            <w:pPr>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0,</w:t>
            </w:r>
            <w:r w:rsidR="00052427" w:rsidRPr="00AE4E8D">
              <w:rPr>
                <w:rFonts w:ascii="Times New Roman" w:hAnsi="Times New Roman"/>
                <w:color w:val="000000"/>
                <w:sz w:val="16"/>
                <w:lang w:val="es-ES"/>
              </w:rPr>
              <w:t>001</w:t>
            </w:r>
          </w:p>
        </w:tc>
      </w:tr>
      <w:tr w:rsidR="00552E1C" w:rsidRPr="00AE4E8D" w14:paraId="25EBF2DB" w14:textId="77777777" w:rsidTr="000400C8">
        <w:trPr>
          <w:jc w:val="center"/>
        </w:trPr>
        <w:tc>
          <w:tcPr>
            <w:tcW w:w="2008" w:type="pct"/>
            <w:tcBorders>
              <w:bottom w:val="single" w:sz="4" w:space="0" w:color="auto"/>
            </w:tcBorders>
          </w:tcPr>
          <w:p w14:paraId="039E97ED" w14:textId="77777777" w:rsidR="00552E1C" w:rsidRPr="00AE4E8D" w:rsidRDefault="00552E1C" w:rsidP="0084512B">
            <w:pPr>
              <w:widowControl w:val="0"/>
              <w:tabs>
                <w:tab w:val="left" w:leader="dot" w:pos="3333"/>
                <w:tab w:val="right" w:leader="dot" w:pos="5310"/>
              </w:tabs>
              <w:spacing w:before="120" w:after="120"/>
              <w:rPr>
                <w:rFonts w:ascii="Times New Roman" w:hAnsi="Times New Roman"/>
                <w:color w:val="000000"/>
                <w:sz w:val="16"/>
                <w:lang w:val="es-ES"/>
              </w:rPr>
            </w:pPr>
            <w:r w:rsidRPr="00AE4E8D">
              <w:rPr>
                <w:rFonts w:ascii="Times New Roman" w:hAnsi="Times New Roman"/>
                <w:color w:val="000000"/>
                <w:sz w:val="16"/>
                <w:lang w:val="es-ES"/>
              </w:rPr>
              <w:t>BHN Sociedad de Inversión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38" w:type="pct"/>
            <w:tcBorders>
              <w:bottom w:val="single" w:sz="4" w:space="0" w:color="auto"/>
            </w:tcBorders>
          </w:tcPr>
          <w:p w14:paraId="763712B9" w14:textId="77777777" w:rsidR="00552E1C" w:rsidRPr="00AE4E8D" w:rsidRDefault="00552E1C" w:rsidP="0084512B">
            <w:pPr>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16.201.</w:t>
            </w:r>
            <w:r w:rsidR="00052427" w:rsidRPr="00AE4E8D">
              <w:rPr>
                <w:rFonts w:ascii="Times New Roman" w:hAnsi="Times New Roman"/>
                <w:color w:val="000000"/>
                <w:sz w:val="16"/>
                <w:lang w:val="es-ES"/>
              </w:rPr>
              <w:t>0</w:t>
            </w:r>
            <w:r w:rsidR="0084150A" w:rsidRPr="00AE4E8D">
              <w:rPr>
                <w:rFonts w:ascii="Times New Roman" w:hAnsi="Times New Roman"/>
                <w:color w:val="000000"/>
                <w:sz w:val="16"/>
                <w:lang w:val="es-ES"/>
              </w:rPr>
              <w:t>8</w:t>
            </w:r>
            <w:r w:rsidR="00052427" w:rsidRPr="00AE4E8D">
              <w:rPr>
                <w:rFonts w:ascii="Times New Roman" w:hAnsi="Times New Roman"/>
                <w:color w:val="000000"/>
                <w:sz w:val="16"/>
                <w:lang w:val="es-ES"/>
              </w:rPr>
              <w:t>5</w:t>
            </w:r>
          </w:p>
        </w:tc>
        <w:tc>
          <w:tcPr>
            <w:tcW w:w="902" w:type="pct"/>
            <w:tcBorders>
              <w:bottom w:val="single" w:sz="4" w:space="0" w:color="auto"/>
            </w:tcBorders>
          </w:tcPr>
          <w:p w14:paraId="39D639CF" w14:textId="77777777" w:rsidR="00552E1C" w:rsidRPr="00AE4E8D" w:rsidRDefault="00552E1C" w:rsidP="0084512B">
            <w:pPr>
              <w:widowControl w:val="0"/>
              <w:tabs>
                <w:tab w:val="right" w:leader="dot" w:pos="5310"/>
              </w:tabs>
              <w:spacing w:before="120" w:after="120"/>
              <w:ind w:left="71"/>
              <w:jc w:val="right"/>
              <w:rPr>
                <w:rFonts w:ascii="Times New Roman" w:hAnsi="Times New Roman"/>
                <w:color w:val="000000"/>
                <w:sz w:val="16"/>
                <w:lang w:val="es-ES"/>
              </w:rPr>
            </w:pPr>
            <w:r w:rsidRPr="00AE4E8D">
              <w:rPr>
                <w:rFonts w:ascii="Times New Roman" w:hAnsi="Times New Roman"/>
                <w:color w:val="000000"/>
                <w:sz w:val="16"/>
                <w:lang w:val="es-ES"/>
              </w:rPr>
              <w:t>16.201.0</w:t>
            </w:r>
            <w:r w:rsidR="0084150A" w:rsidRPr="00AE4E8D">
              <w:rPr>
                <w:rFonts w:ascii="Times New Roman" w:hAnsi="Times New Roman"/>
                <w:color w:val="000000"/>
                <w:sz w:val="16"/>
                <w:lang w:val="es-ES"/>
              </w:rPr>
              <w:t>8</w:t>
            </w:r>
            <w:r w:rsidRPr="00AE4E8D">
              <w:rPr>
                <w:rFonts w:ascii="Times New Roman" w:hAnsi="Times New Roman"/>
                <w:color w:val="000000"/>
                <w:sz w:val="16"/>
                <w:lang w:val="es-ES"/>
              </w:rPr>
              <w:t>5</w:t>
            </w:r>
          </w:p>
        </w:tc>
        <w:tc>
          <w:tcPr>
            <w:tcW w:w="737" w:type="pct"/>
            <w:tcBorders>
              <w:bottom w:val="single" w:sz="4" w:space="0" w:color="auto"/>
            </w:tcBorders>
          </w:tcPr>
          <w:p w14:paraId="6A74996E" w14:textId="77777777" w:rsidR="00552E1C" w:rsidRPr="00AE4E8D" w:rsidRDefault="00552E1C" w:rsidP="0084512B">
            <w:pPr>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16.201.</w:t>
            </w:r>
            <w:r w:rsidR="00052427" w:rsidRPr="00AE4E8D">
              <w:rPr>
                <w:rFonts w:ascii="Times New Roman" w:hAnsi="Times New Roman"/>
                <w:color w:val="000000"/>
                <w:sz w:val="16"/>
                <w:lang w:val="es-ES"/>
              </w:rPr>
              <w:t>0</w:t>
            </w:r>
            <w:r w:rsidR="0084150A" w:rsidRPr="00AE4E8D">
              <w:rPr>
                <w:rFonts w:ascii="Times New Roman" w:hAnsi="Times New Roman"/>
                <w:color w:val="000000"/>
                <w:sz w:val="16"/>
                <w:lang w:val="es-ES"/>
              </w:rPr>
              <w:t>8</w:t>
            </w:r>
            <w:r w:rsidR="00052427" w:rsidRPr="00AE4E8D">
              <w:rPr>
                <w:rFonts w:ascii="Times New Roman" w:hAnsi="Times New Roman"/>
                <w:color w:val="000000"/>
                <w:sz w:val="16"/>
                <w:lang w:val="es-ES"/>
              </w:rPr>
              <w:t>5</w:t>
            </w:r>
          </w:p>
        </w:tc>
        <w:tc>
          <w:tcPr>
            <w:tcW w:w="614" w:type="pct"/>
            <w:tcBorders>
              <w:bottom w:val="single" w:sz="4" w:space="0" w:color="auto"/>
            </w:tcBorders>
          </w:tcPr>
          <w:p w14:paraId="162F0BFF" w14:textId="77777777" w:rsidR="00552E1C" w:rsidRPr="00AE4E8D" w:rsidRDefault="00552E1C" w:rsidP="0084512B">
            <w:pPr>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99,</w:t>
            </w:r>
            <w:r w:rsidR="00052427" w:rsidRPr="00AE4E8D">
              <w:rPr>
                <w:rFonts w:ascii="Times New Roman" w:hAnsi="Times New Roman"/>
                <w:color w:val="000000"/>
                <w:sz w:val="16"/>
                <w:lang w:val="es-ES"/>
              </w:rPr>
              <w:t>999</w:t>
            </w:r>
          </w:p>
        </w:tc>
      </w:tr>
      <w:tr w:rsidR="00552E1C" w:rsidRPr="00AE4E8D" w14:paraId="45DEF028" w14:textId="77777777" w:rsidTr="000400C8">
        <w:trPr>
          <w:jc w:val="center"/>
        </w:trPr>
        <w:tc>
          <w:tcPr>
            <w:tcW w:w="2008" w:type="pct"/>
            <w:tcBorders>
              <w:top w:val="single" w:sz="4" w:space="0" w:color="auto"/>
              <w:bottom w:val="single" w:sz="4" w:space="0" w:color="auto"/>
            </w:tcBorders>
          </w:tcPr>
          <w:p w14:paraId="67D07E64" w14:textId="77777777" w:rsidR="00552E1C" w:rsidRPr="00AE4E8D" w:rsidRDefault="00552E1C" w:rsidP="0084512B">
            <w:pPr>
              <w:widowControl w:val="0"/>
              <w:tabs>
                <w:tab w:val="left" w:leader="dot" w:pos="3333"/>
                <w:tab w:val="right" w:leader="dot" w:pos="5310"/>
              </w:tabs>
              <w:spacing w:before="120" w:after="120"/>
              <w:rPr>
                <w:rFonts w:ascii="Times New Roman" w:hAnsi="Times New Roman"/>
                <w:b/>
                <w:color w:val="000000"/>
                <w:sz w:val="16"/>
                <w:lang w:val="es-ES"/>
              </w:rPr>
            </w:pPr>
            <w:r w:rsidRPr="00AE4E8D">
              <w:rPr>
                <w:rFonts w:ascii="Times New Roman" w:hAnsi="Times New Roman"/>
                <w:b/>
                <w:color w:val="000000"/>
                <w:sz w:val="16"/>
                <w:lang w:val="es-ES"/>
              </w:rPr>
              <w:t>Total</w:t>
            </w:r>
            <w:r w:rsidRPr="00AE4E8D">
              <w:rPr>
                <w:rFonts w:ascii="Times New Roman" w:hAnsi="Times New Roman"/>
                <w:sz w:val="14"/>
                <w:lang w:val="es-ES"/>
              </w:rPr>
              <w:tab/>
            </w:r>
          </w:p>
        </w:tc>
        <w:tc>
          <w:tcPr>
            <w:tcW w:w="738" w:type="pct"/>
            <w:tcBorders>
              <w:top w:val="single" w:sz="4" w:space="0" w:color="auto"/>
              <w:bottom w:val="single" w:sz="4" w:space="0" w:color="auto"/>
            </w:tcBorders>
          </w:tcPr>
          <w:p w14:paraId="448DC36E" w14:textId="77777777" w:rsidR="00552E1C" w:rsidRPr="00AE4E8D" w:rsidRDefault="00552E1C" w:rsidP="0084512B">
            <w:pPr>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16.201.205</w:t>
            </w:r>
          </w:p>
        </w:tc>
        <w:tc>
          <w:tcPr>
            <w:tcW w:w="902" w:type="pct"/>
            <w:tcBorders>
              <w:top w:val="single" w:sz="4" w:space="0" w:color="auto"/>
              <w:bottom w:val="single" w:sz="4" w:space="0" w:color="auto"/>
            </w:tcBorders>
          </w:tcPr>
          <w:p w14:paraId="0D8F2B88" w14:textId="77777777" w:rsidR="00552E1C" w:rsidRPr="00AE4E8D" w:rsidRDefault="00552E1C" w:rsidP="0084512B">
            <w:pPr>
              <w:widowControl w:val="0"/>
              <w:tabs>
                <w:tab w:val="right" w:leader="dot" w:pos="5310"/>
              </w:tabs>
              <w:spacing w:before="120" w:after="120"/>
              <w:ind w:left="71"/>
              <w:jc w:val="right"/>
              <w:rPr>
                <w:rFonts w:ascii="Times New Roman" w:hAnsi="Times New Roman"/>
                <w:color w:val="000000"/>
                <w:sz w:val="16"/>
                <w:lang w:val="es-ES"/>
              </w:rPr>
            </w:pPr>
            <w:r w:rsidRPr="00AE4E8D">
              <w:rPr>
                <w:rFonts w:ascii="Times New Roman" w:hAnsi="Times New Roman"/>
                <w:color w:val="000000"/>
                <w:sz w:val="16"/>
                <w:lang w:val="es-ES"/>
              </w:rPr>
              <w:t>16.201.205</w:t>
            </w:r>
          </w:p>
        </w:tc>
        <w:tc>
          <w:tcPr>
            <w:tcW w:w="737" w:type="pct"/>
            <w:tcBorders>
              <w:top w:val="single" w:sz="4" w:space="0" w:color="auto"/>
              <w:bottom w:val="single" w:sz="4" w:space="0" w:color="auto"/>
            </w:tcBorders>
          </w:tcPr>
          <w:p w14:paraId="4885A858" w14:textId="77777777" w:rsidR="00552E1C" w:rsidRPr="00AE4E8D" w:rsidRDefault="00552E1C" w:rsidP="0084512B">
            <w:pPr>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16.201.205</w:t>
            </w:r>
          </w:p>
        </w:tc>
        <w:tc>
          <w:tcPr>
            <w:tcW w:w="614" w:type="pct"/>
            <w:tcBorders>
              <w:top w:val="single" w:sz="4" w:space="0" w:color="auto"/>
              <w:bottom w:val="single" w:sz="4" w:space="0" w:color="auto"/>
            </w:tcBorders>
          </w:tcPr>
          <w:p w14:paraId="4A980AB0" w14:textId="77777777" w:rsidR="00552E1C" w:rsidRPr="00AE4E8D" w:rsidRDefault="00552E1C" w:rsidP="0084512B">
            <w:pPr>
              <w:widowControl w:val="0"/>
              <w:tabs>
                <w:tab w:val="right" w:leader="dot" w:pos="5310"/>
              </w:tabs>
              <w:spacing w:before="120" w:after="120"/>
              <w:jc w:val="right"/>
              <w:rPr>
                <w:rFonts w:ascii="Times New Roman" w:hAnsi="Times New Roman"/>
                <w:color w:val="000000"/>
                <w:sz w:val="16"/>
                <w:lang w:val="es-ES"/>
              </w:rPr>
            </w:pPr>
            <w:r w:rsidRPr="00AE4E8D">
              <w:rPr>
                <w:rFonts w:ascii="Times New Roman" w:hAnsi="Times New Roman"/>
                <w:color w:val="000000"/>
                <w:sz w:val="16"/>
                <w:lang w:val="es-ES"/>
              </w:rPr>
              <w:t>100</w:t>
            </w:r>
          </w:p>
        </w:tc>
      </w:tr>
    </w:tbl>
    <w:p w14:paraId="14B00FCB" w14:textId="77777777" w:rsidR="00552E1C" w:rsidRPr="00AE4E8D" w:rsidRDefault="00552E1C" w:rsidP="00B52753">
      <w:pPr>
        <w:keepNext/>
        <w:autoSpaceDE w:val="0"/>
        <w:autoSpaceDN w:val="0"/>
        <w:adjustRightInd w:val="0"/>
        <w:spacing w:before="240" w:after="240"/>
        <w:outlineLvl w:val="2"/>
        <w:rPr>
          <w:rFonts w:ascii="Times New Roman" w:hAnsi="Times New Roman"/>
          <w:lang w:val="es-ES"/>
        </w:rPr>
      </w:pPr>
      <w:r w:rsidRPr="00AE4E8D">
        <w:rPr>
          <w:rFonts w:ascii="Times New Roman" w:hAnsi="Times New Roman"/>
          <w:b/>
          <w:lang w:val="es-ES"/>
        </w:rPr>
        <w:t>d) BHN Seguros Generales S.A.</w:t>
      </w:r>
    </w:p>
    <w:tbl>
      <w:tblPr>
        <w:tblW w:w="5000" w:type="pct"/>
        <w:jc w:val="center"/>
        <w:tblLayout w:type="fixed"/>
        <w:tblCellMar>
          <w:left w:w="70" w:type="dxa"/>
          <w:right w:w="70" w:type="dxa"/>
        </w:tblCellMar>
        <w:tblLook w:val="0000" w:firstRow="0" w:lastRow="0" w:firstColumn="0" w:lastColumn="0" w:noHBand="0" w:noVBand="0"/>
      </w:tblPr>
      <w:tblGrid>
        <w:gridCol w:w="3475"/>
        <w:gridCol w:w="1273"/>
        <w:gridCol w:w="1560"/>
        <w:gridCol w:w="1262"/>
        <w:gridCol w:w="1075"/>
      </w:tblGrid>
      <w:tr w:rsidR="0084512B" w:rsidRPr="00AE4E8D" w14:paraId="4C860D96" w14:textId="77777777" w:rsidTr="000400C8">
        <w:trPr>
          <w:jc w:val="center"/>
        </w:trPr>
        <w:tc>
          <w:tcPr>
            <w:tcW w:w="2010" w:type="pct"/>
            <w:tcBorders>
              <w:top w:val="single" w:sz="4" w:space="0" w:color="auto"/>
              <w:bottom w:val="single" w:sz="4" w:space="0" w:color="auto"/>
            </w:tcBorders>
            <w:vAlign w:val="center"/>
          </w:tcPr>
          <w:p w14:paraId="415A8961" w14:textId="77777777" w:rsidR="004C7A5A" w:rsidRPr="00AE4E8D" w:rsidRDefault="004C7A5A" w:rsidP="004C7A5A">
            <w:pPr>
              <w:widowControl w:val="0"/>
              <w:tabs>
                <w:tab w:val="right" w:leader="dot" w:pos="5310"/>
              </w:tabs>
              <w:jc w:val="center"/>
              <w:rPr>
                <w:rFonts w:ascii="Times New Roman" w:hAnsi="Times New Roman"/>
                <w:b/>
                <w:color w:val="000000"/>
                <w:sz w:val="16"/>
                <w:lang w:val="es-ES"/>
              </w:rPr>
            </w:pPr>
            <w:r w:rsidRPr="00AE4E8D">
              <w:rPr>
                <w:rFonts w:ascii="Times New Roman" w:hAnsi="Times New Roman"/>
                <w:b/>
                <w:color w:val="000000"/>
                <w:sz w:val="16"/>
                <w:lang w:val="es-ES"/>
              </w:rPr>
              <w:t>Accionistas</w:t>
            </w:r>
          </w:p>
        </w:tc>
        <w:tc>
          <w:tcPr>
            <w:tcW w:w="736" w:type="pct"/>
            <w:tcBorders>
              <w:top w:val="single" w:sz="4" w:space="0" w:color="auto"/>
              <w:bottom w:val="single" w:sz="4" w:space="0" w:color="auto"/>
            </w:tcBorders>
            <w:vAlign w:val="center"/>
          </w:tcPr>
          <w:p w14:paraId="495535A4" w14:textId="77777777" w:rsidR="004C7A5A" w:rsidRPr="00AE4E8D" w:rsidRDefault="004C7A5A" w:rsidP="0084512B">
            <w:pPr>
              <w:spacing w:before="120" w:after="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Acciones</w:t>
            </w:r>
          </w:p>
        </w:tc>
        <w:tc>
          <w:tcPr>
            <w:tcW w:w="902" w:type="pct"/>
            <w:tcBorders>
              <w:top w:val="single" w:sz="4" w:space="0" w:color="auto"/>
              <w:bottom w:val="single" w:sz="4" w:space="0" w:color="auto"/>
            </w:tcBorders>
            <w:vAlign w:val="center"/>
          </w:tcPr>
          <w:p w14:paraId="64F7A187" w14:textId="77777777" w:rsidR="004C7A5A" w:rsidRPr="00AE4E8D" w:rsidRDefault="004C7A5A" w:rsidP="0084512B">
            <w:pPr>
              <w:spacing w:before="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Valor Nominal</w:t>
            </w:r>
          </w:p>
          <w:p w14:paraId="0AFCA6CA" w14:textId="77777777" w:rsidR="004C7A5A" w:rsidRPr="00AE4E8D" w:rsidRDefault="004C7A5A" w:rsidP="0084512B">
            <w:pPr>
              <w:keepNext/>
              <w:keepLines/>
              <w:widowControl w:val="0"/>
              <w:tabs>
                <w:tab w:val="right" w:leader="dot" w:pos="5310"/>
              </w:tabs>
              <w:spacing w:after="120"/>
              <w:jc w:val="center"/>
              <w:rPr>
                <w:rFonts w:ascii="Times New Roman" w:hAnsi="Times New Roman"/>
                <w:b/>
                <w:color w:val="000000"/>
                <w:sz w:val="16"/>
                <w:lang w:val="es-ES"/>
              </w:rPr>
            </w:pPr>
            <w:r w:rsidRPr="00AE4E8D">
              <w:rPr>
                <w:rFonts w:ascii="Times New Roman" w:hAnsi="Times New Roman"/>
                <w:b/>
                <w:color w:val="000000"/>
                <w:sz w:val="16"/>
                <w:lang w:val="es-ES"/>
              </w:rPr>
              <w:t>(Ps)</w:t>
            </w:r>
          </w:p>
        </w:tc>
        <w:tc>
          <w:tcPr>
            <w:tcW w:w="730" w:type="pct"/>
            <w:tcBorders>
              <w:top w:val="single" w:sz="4" w:space="0" w:color="auto"/>
              <w:bottom w:val="single" w:sz="4" w:space="0" w:color="auto"/>
            </w:tcBorders>
            <w:vAlign w:val="center"/>
          </w:tcPr>
          <w:p w14:paraId="199758B2" w14:textId="77777777" w:rsidR="004C7A5A" w:rsidRPr="00AE4E8D" w:rsidRDefault="004C7A5A" w:rsidP="0084512B">
            <w:pPr>
              <w:keepNext/>
              <w:keepLines/>
              <w:widowControl w:val="0"/>
              <w:tabs>
                <w:tab w:val="right" w:leader="dot" w:pos="5310"/>
              </w:tabs>
              <w:spacing w:before="120" w:after="120"/>
              <w:jc w:val="center"/>
              <w:rPr>
                <w:rFonts w:ascii="Times New Roman" w:hAnsi="Times New Roman"/>
                <w:b/>
                <w:color w:val="000000"/>
                <w:sz w:val="16"/>
                <w:lang w:val="es-ES"/>
              </w:rPr>
            </w:pPr>
            <w:r w:rsidRPr="00AE4E8D">
              <w:rPr>
                <w:rFonts w:ascii="Times New Roman" w:hAnsi="Times New Roman"/>
                <w:b/>
                <w:color w:val="000000"/>
                <w:sz w:val="16"/>
                <w:lang w:val="es-ES"/>
              </w:rPr>
              <w:t>Votos</w:t>
            </w:r>
          </w:p>
        </w:tc>
        <w:tc>
          <w:tcPr>
            <w:tcW w:w="622" w:type="pct"/>
            <w:tcBorders>
              <w:top w:val="single" w:sz="4" w:space="0" w:color="auto"/>
              <w:bottom w:val="single" w:sz="4" w:space="0" w:color="auto"/>
            </w:tcBorders>
            <w:vAlign w:val="center"/>
          </w:tcPr>
          <w:p w14:paraId="5E3258D0" w14:textId="77777777" w:rsidR="004C7A5A" w:rsidRPr="00AE4E8D" w:rsidRDefault="004C7A5A" w:rsidP="0084512B">
            <w:pPr>
              <w:keepNext/>
              <w:keepLines/>
              <w:widowControl w:val="0"/>
              <w:tabs>
                <w:tab w:val="right" w:leader="dot" w:pos="5310"/>
              </w:tabs>
              <w:spacing w:before="120" w:after="120"/>
              <w:jc w:val="center"/>
              <w:rPr>
                <w:rFonts w:ascii="Times New Roman" w:hAnsi="Times New Roman"/>
                <w:b/>
                <w:color w:val="000000"/>
                <w:sz w:val="16"/>
                <w:lang w:val="es-ES"/>
              </w:rPr>
            </w:pPr>
            <w:r w:rsidRPr="00AE4E8D">
              <w:rPr>
                <w:rFonts w:ascii="Times New Roman" w:hAnsi="Times New Roman"/>
                <w:b/>
                <w:color w:val="000000"/>
                <w:sz w:val="16"/>
                <w:lang w:val="es-ES"/>
              </w:rPr>
              <w:t>%</w:t>
            </w:r>
          </w:p>
        </w:tc>
      </w:tr>
      <w:tr w:rsidR="0084512B" w:rsidRPr="00AE4E8D" w14:paraId="16D4788A" w14:textId="77777777" w:rsidTr="000400C8">
        <w:trPr>
          <w:jc w:val="center"/>
        </w:trPr>
        <w:tc>
          <w:tcPr>
            <w:tcW w:w="2010" w:type="pct"/>
            <w:tcBorders>
              <w:top w:val="single" w:sz="4" w:space="0" w:color="auto"/>
            </w:tcBorders>
          </w:tcPr>
          <w:p w14:paraId="4DC40E28" w14:textId="77777777" w:rsidR="00552E1C" w:rsidRPr="00AE4E8D" w:rsidRDefault="00552E1C" w:rsidP="0084512B">
            <w:pPr>
              <w:keepNext/>
              <w:keepLines/>
              <w:widowControl w:val="0"/>
              <w:tabs>
                <w:tab w:val="left" w:leader="dot" w:pos="3335"/>
                <w:tab w:val="right" w:leader="dot" w:pos="5310"/>
              </w:tabs>
              <w:spacing w:before="120" w:after="120"/>
              <w:rPr>
                <w:rFonts w:ascii="Times New Roman" w:hAnsi="Times New Roman"/>
                <w:color w:val="000000"/>
                <w:sz w:val="16"/>
                <w:lang w:val="es-ES"/>
              </w:rPr>
            </w:pPr>
            <w:r w:rsidRPr="00AE4E8D">
              <w:rPr>
                <w:rFonts w:ascii="Times New Roman" w:hAnsi="Times New Roman"/>
                <w:color w:val="000000"/>
                <w:sz w:val="16"/>
                <w:lang w:val="es-ES"/>
              </w:rPr>
              <w:t>Banco Hipotecario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36" w:type="pct"/>
            <w:tcBorders>
              <w:top w:val="single" w:sz="4" w:space="0" w:color="auto"/>
            </w:tcBorders>
          </w:tcPr>
          <w:p w14:paraId="755FE620"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120</w:t>
            </w:r>
          </w:p>
        </w:tc>
        <w:tc>
          <w:tcPr>
            <w:tcW w:w="902" w:type="pct"/>
            <w:tcBorders>
              <w:top w:val="single" w:sz="4" w:space="0" w:color="auto"/>
            </w:tcBorders>
          </w:tcPr>
          <w:p w14:paraId="7B0C5268"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120</w:t>
            </w:r>
          </w:p>
        </w:tc>
        <w:tc>
          <w:tcPr>
            <w:tcW w:w="730" w:type="pct"/>
            <w:tcBorders>
              <w:top w:val="single" w:sz="4" w:space="0" w:color="auto"/>
            </w:tcBorders>
          </w:tcPr>
          <w:p w14:paraId="22C2587E"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120</w:t>
            </w:r>
          </w:p>
        </w:tc>
        <w:tc>
          <w:tcPr>
            <w:tcW w:w="622" w:type="pct"/>
            <w:tcBorders>
              <w:top w:val="single" w:sz="4" w:space="0" w:color="auto"/>
            </w:tcBorders>
          </w:tcPr>
          <w:p w14:paraId="14C9A53B"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0,</w:t>
            </w:r>
            <w:r w:rsidR="00052427" w:rsidRPr="00AE4E8D">
              <w:rPr>
                <w:rFonts w:ascii="Times New Roman" w:hAnsi="Times New Roman"/>
                <w:color w:val="000000"/>
                <w:sz w:val="16"/>
                <w:lang w:val="es-ES"/>
              </w:rPr>
              <w:t>001</w:t>
            </w:r>
          </w:p>
        </w:tc>
      </w:tr>
      <w:tr w:rsidR="0084512B" w:rsidRPr="00AE4E8D" w14:paraId="74A7AB0C" w14:textId="77777777" w:rsidTr="000400C8">
        <w:trPr>
          <w:jc w:val="center"/>
        </w:trPr>
        <w:tc>
          <w:tcPr>
            <w:tcW w:w="2010" w:type="pct"/>
            <w:tcBorders>
              <w:bottom w:val="single" w:sz="4" w:space="0" w:color="auto"/>
            </w:tcBorders>
          </w:tcPr>
          <w:p w14:paraId="70211122" w14:textId="77777777" w:rsidR="00552E1C" w:rsidRPr="00AE4E8D" w:rsidRDefault="00552E1C" w:rsidP="0084512B">
            <w:pPr>
              <w:keepNext/>
              <w:keepLines/>
              <w:widowControl w:val="0"/>
              <w:tabs>
                <w:tab w:val="left" w:leader="dot" w:pos="3335"/>
                <w:tab w:val="right" w:leader="dot" w:pos="5310"/>
              </w:tabs>
              <w:spacing w:before="120" w:after="120"/>
              <w:rPr>
                <w:rFonts w:ascii="Times New Roman" w:hAnsi="Times New Roman"/>
                <w:color w:val="000000"/>
                <w:sz w:val="16"/>
                <w:lang w:val="es-ES"/>
              </w:rPr>
            </w:pPr>
            <w:r w:rsidRPr="00AE4E8D">
              <w:rPr>
                <w:rFonts w:ascii="Times New Roman" w:hAnsi="Times New Roman"/>
                <w:color w:val="000000"/>
                <w:sz w:val="16"/>
                <w:lang w:val="es-ES"/>
              </w:rPr>
              <w:t>BHN Sociedad de Inversión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36" w:type="pct"/>
            <w:tcBorders>
              <w:bottom w:val="single" w:sz="4" w:space="0" w:color="auto"/>
            </w:tcBorders>
          </w:tcPr>
          <w:p w14:paraId="3F9B3EBC"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10.111.282</w:t>
            </w:r>
          </w:p>
        </w:tc>
        <w:tc>
          <w:tcPr>
            <w:tcW w:w="902" w:type="pct"/>
            <w:tcBorders>
              <w:bottom w:val="single" w:sz="4" w:space="0" w:color="auto"/>
            </w:tcBorders>
          </w:tcPr>
          <w:p w14:paraId="41C29607"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10.111.282</w:t>
            </w:r>
          </w:p>
        </w:tc>
        <w:tc>
          <w:tcPr>
            <w:tcW w:w="730" w:type="pct"/>
            <w:tcBorders>
              <w:bottom w:val="single" w:sz="4" w:space="0" w:color="auto"/>
            </w:tcBorders>
          </w:tcPr>
          <w:p w14:paraId="61025B50"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10.111.282</w:t>
            </w:r>
          </w:p>
        </w:tc>
        <w:tc>
          <w:tcPr>
            <w:tcW w:w="622" w:type="pct"/>
            <w:tcBorders>
              <w:bottom w:val="single" w:sz="4" w:space="0" w:color="auto"/>
            </w:tcBorders>
          </w:tcPr>
          <w:p w14:paraId="327604EC"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99,</w:t>
            </w:r>
            <w:r w:rsidR="00052427" w:rsidRPr="00AE4E8D">
              <w:rPr>
                <w:rFonts w:ascii="Times New Roman" w:hAnsi="Times New Roman"/>
                <w:color w:val="000000"/>
                <w:sz w:val="16"/>
                <w:lang w:val="es-ES"/>
              </w:rPr>
              <w:t>999</w:t>
            </w:r>
          </w:p>
        </w:tc>
      </w:tr>
      <w:tr w:rsidR="0084512B" w:rsidRPr="00AE4E8D" w14:paraId="3C08CFE4" w14:textId="77777777" w:rsidTr="000400C8">
        <w:trPr>
          <w:jc w:val="center"/>
        </w:trPr>
        <w:tc>
          <w:tcPr>
            <w:tcW w:w="2010" w:type="pct"/>
            <w:tcBorders>
              <w:top w:val="single" w:sz="4" w:space="0" w:color="auto"/>
              <w:bottom w:val="single" w:sz="4" w:space="0" w:color="auto"/>
            </w:tcBorders>
          </w:tcPr>
          <w:p w14:paraId="5F59D8FA" w14:textId="77777777" w:rsidR="00552E1C" w:rsidRPr="00AE4E8D" w:rsidRDefault="00552E1C" w:rsidP="0084512B">
            <w:pPr>
              <w:keepNext/>
              <w:keepLines/>
              <w:widowControl w:val="0"/>
              <w:tabs>
                <w:tab w:val="left" w:leader="dot" w:pos="3335"/>
                <w:tab w:val="right" w:leader="dot" w:pos="5310"/>
              </w:tabs>
              <w:spacing w:before="120" w:after="120"/>
              <w:rPr>
                <w:rFonts w:ascii="Times New Roman" w:hAnsi="Times New Roman"/>
                <w:b/>
                <w:color w:val="000000"/>
                <w:sz w:val="16"/>
                <w:lang w:val="es-ES"/>
              </w:rPr>
            </w:pPr>
            <w:r w:rsidRPr="00AE4E8D">
              <w:rPr>
                <w:rFonts w:ascii="Times New Roman" w:hAnsi="Times New Roman"/>
                <w:b/>
                <w:color w:val="000000"/>
                <w:sz w:val="16"/>
                <w:lang w:val="es-ES"/>
              </w:rPr>
              <w:t>Total</w:t>
            </w:r>
            <w:r w:rsidRPr="00AE4E8D">
              <w:rPr>
                <w:rFonts w:ascii="Times New Roman" w:hAnsi="Times New Roman"/>
                <w:sz w:val="14"/>
                <w:lang w:val="es-ES"/>
              </w:rPr>
              <w:tab/>
            </w:r>
          </w:p>
        </w:tc>
        <w:tc>
          <w:tcPr>
            <w:tcW w:w="736" w:type="pct"/>
            <w:tcBorders>
              <w:top w:val="single" w:sz="4" w:space="0" w:color="auto"/>
              <w:bottom w:val="single" w:sz="4" w:space="0" w:color="auto"/>
            </w:tcBorders>
          </w:tcPr>
          <w:p w14:paraId="14E5E523"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10.111.402</w:t>
            </w:r>
          </w:p>
        </w:tc>
        <w:tc>
          <w:tcPr>
            <w:tcW w:w="902" w:type="pct"/>
            <w:tcBorders>
              <w:top w:val="single" w:sz="4" w:space="0" w:color="auto"/>
              <w:bottom w:val="single" w:sz="4" w:space="0" w:color="auto"/>
            </w:tcBorders>
          </w:tcPr>
          <w:p w14:paraId="52941BEC"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10.111.402</w:t>
            </w:r>
          </w:p>
        </w:tc>
        <w:tc>
          <w:tcPr>
            <w:tcW w:w="730" w:type="pct"/>
            <w:tcBorders>
              <w:top w:val="single" w:sz="4" w:space="0" w:color="auto"/>
              <w:bottom w:val="single" w:sz="4" w:space="0" w:color="auto"/>
            </w:tcBorders>
          </w:tcPr>
          <w:p w14:paraId="17000D05"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10.111.402</w:t>
            </w:r>
          </w:p>
        </w:tc>
        <w:tc>
          <w:tcPr>
            <w:tcW w:w="622" w:type="pct"/>
            <w:tcBorders>
              <w:top w:val="single" w:sz="4" w:space="0" w:color="auto"/>
              <w:bottom w:val="single" w:sz="4" w:space="0" w:color="auto"/>
            </w:tcBorders>
          </w:tcPr>
          <w:p w14:paraId="78003BF3" w14:textId="77777777" w:rsidR="00552E1C" w:rsidRPr="00AE4E8D" w:rsidRDefault="00552E1C" w:rsidP="0084512B">
            <w:pPr>
              <w:keepNext/>
              <w:keepLines/>
              <w:widowControl w:val="0"/>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100</w:t>
            </w:r>
          </w:p>
        </w:tc>
      </w:tr>
    </w:tbl>
    <w:p w14:paraId="391C25FC" w14:textId="77777777" w:rsidR="00176047" w:rsidRPr="00AE4E8D" w:rsidRDefault="00176047" w:rsidP="00B52753">
      <w:pPr>
        <w:keepNext/>
        <w:autoSpaceDE w:val="0"/>
        <w:autoSpaceDN w:val="0"/>
        <w:adjustRightInd w:val="0"/>
        <w:spacing w:before="240" w:after="240"/>
        <w:outlineLvl w:val="2"/>
        <w:rPr>
          <w:rFonts w:ascii="Times New Roman" w:hAnsi="Times New Roman"/>
          <w:b/>
          <w:lang w:val="pt-PT"/>
        </w:rPr>
      </w:pPr>
    </w:p>
    <w:p w14:paraId="07EA0B51" w14:textId="77777777" w:rsidR="00552E1C" w:rsidRPr="00AE4E8D" w:rsidRDefault="00176047" w:rsidP="00B52753">
      <w:pPr>
        <w:keepNext/>
        <w:autoSpaceDE w:val="0"/>
        <w:autoSpaceDN w:val="0"/>
        <w:adjustRightInd w:val="0"/>
        <w:spacing w:before="240" w:after="240"/>
        <w:outlineLvl w:val="2"/>
        <w:rPr>
          <w:rFonts w:ascii="Times New Roman" w:hAnsi="Times New Roman"/>
          <w:lang w:val="pt-PT"/>
        </w:rPr>
      </w:pPr>
      <w:r w:rsidRPr="00AE4E8D">
        <w:rPr>
          <w:rFonts w:ascii="Times New Roman" w:hAnsi="Times New Roman"/>
          <w:b/>
          <w:lang w:val="pt-PT"/>
        </w:rPr>
        <w:br w:type="page"/>
      </w:r>
      <w:r w:rsidR="00552E1C" w:rsidRPr="00AE4E8D">
        <w:rPr>
          <w:rFonts w:ascii="Times New Roman" w:hAnsi="Times New Roman"/>
          <w:b/>
          <w:lang w:val="pt-PT"/>
        </w:rPr>
        <w:lastRenderedPageBreak/>
        <w:t>e) BH Valores S.A.</w:t>
      </w:r>
    </w:p>
    <w:tbl>
      <w:tblPr>
        <w:tblW w:w="5000" w:type="pct"/>
        <w:jc w:val="center"/>
        <w:tblCellMar>
          <w:left w:w="70" w:type="dxa"/>
          <w:right w:w="70" w:type="dxa"/>
        </w:tblCellMar>
        <w:tblLook w:val="0000" w:firstRow="0" w:lastRow="0" w:firstColumn="0" w:lastColumn="0" w:noHBand="0" w:noVBand="0"/>
      </w:tblPr>
      <w:tblGrid>
        <w:gridCol w:w="3473"/>
        <w:gridCol w:w="1278"/>
        <w:gridCol w:w="1539"/>
        <w:gridCol w:w="1278"/>
        <w:gridCol w:w="1077"/>
      </w:tblGrid>
      <w:tr w:rsidR="004C7A5A" w:rsidRPr="00AE4E8D" w14:paraId="4194168D" w14:textId="77777777" w:rsidTr="000400C8">
        <w:trPr>
          <w:trHeight w:val="541"/>
          <w:jc w:val="center"/>
        </w:trPr>
        <w:tc>
          <w:tcPr>
            <w:tcW w:w="2008" w:type="pct"/>
            <w:tcBorders>
              <w:top w:val="single" w:sz="4" w:space="0" w:color="auto"/>
              <w:bottom w:val="single" w:sz="4" w:space="0" w:color="auto"/>
            </w:tcBorders>
            <w:vAlign w:val="center"/>
          </w:tcPr>
          <w:p w14:paraId="38C0E2F1" w14:textId="77777777" w:rsidR="004C7A5A" w:rsidRPr="00AE4E8D" w:rsidRDefault="004C7A5A" w:rsidP="004C7A5A">
            <w:pPr>
              <w:widowControl w:val="0"/>
              <w:tabs>
                <w:tab w:val="right" w:leader="dot" w:pos="5310"/>
              </w:tabs>
              <w:jc w:val="center"/>
              <w:rPr>
                <w:rFonts w:ascii="Times New Roman" w:hAnsi="Times New Roman"/>
                <w:b/>
                <w:color w:val="000000"/>
                <w:sz w:val="16"/>
                <w:lang w:val="es-ES"/>
              </w:rPr>
            </w:pPr>
            <w:r w:rsidRPr="00AE4E8D">
              <w:rPr>
                <w:rFonts w:ascii="Times New Roman" w:hAnsi="Times New Roman"/>
                <w:b/>
                <w:color w:val="000000"/>
                <w:sz w:val="16"/>
                <w:lang w:val="es-ES"/>
              </w:rPr>
              <w:t>Accionistas</w:t>
            </w:r>
          </w:p>
        </w:tc>
        <w:tc>
          <w:tcPr>
            <w:tcW w:w="739" w:type="pct"/>
            <w:tcBorders>
              <w:top w:val="single" w:sz="4" w:space="0" w:color="auto"/>
              <w:bottom w:val="single" w:sz="4" w:space="0" w:color="auto"/>
            </w:tcBorders>
            <w:vAlign w:val="center"/>
          </w:tcPr>
          <w:p w14:paraId="5ACEFA16" w14:textId="77777777" w:rsidR="004C7A5A" w:rsidRPr="00AE4E8D" w:rsidRDefault="004C7A5A" w:rsidP="0084512B">
            <w:pPr>
              <w:keepNext/>
              <w:keepLines/>
              <w:tabs>
                <w:tab w:val="right" w:leader="dot" w:pos="5310"/>
              </w:tabs>
              <w:spacing w:before="120" w:after="120"/>
              <w:ind w:left="72"/>
              <w:jc w:val="center"/>
              <w:rPr>
                <w:rFonts w:ascii="Times New Roman" w:hAnsi="Times New Roman"/>
                <w:b/>
                <w:color w:val="000000"/>
                <w:sz w:val="16"/>
                <w:lang w:val="es-ES"/>
              </w:rPr>
            </w:pPr>
            <w:r w:rsidRPr="00AE4E8D">
              <w:rPr>
                <w:rFonts w:ascii="Times New Roman" w:hAnsi="Times New Roman"/>
                <w:b/>
                <w:color w:val="000000"/>
                <w:sz w:val="16"/>
                <w:lang w:val="es-ES"/>
              </w:rPr>
              <w:t>Acciones</w:t>
            </w:r>
          </w:p>
        </w:tc>
        <w:tc>
          <w:tcPr>
            <w:tcW w:w="890" w:type="pct"/>
            <w:tcBorders>
              <w:top w:val="single" w:sz="4" w:space="0" w:color="auto"/>
              <w:bottom w:val="single" w:sz="4" w:space="0" w:color="auto"/>
            </w:tcBorders>
            <w:vAlign w:val="center"/>
          </w:tcPr>
          <w:p w14:paraId="515D0338" w14:textId="77777777" w:rsidR="004C7A5A" w:rsidRPr="00AE4E8D" w:rsidRDefault="004C7A5A" w:rsidP="0084512B">
            <w:pPr>
              <w:spacing w:before="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Valor Nominal</w:t>
            </w:r>
          </w:p>
          <w:p w14:paraId="78516464" w14:textId="77777777" w:rsidR="004C7A5A" w:rsidRPr="00AE4E8D" w:rsidRDefault="004C7A5A" w:rsidP="0084512B">
            <w:pPr>
              <w:keepNext/>
              <w:keepLines/>
              <w:tabs>
                <w:tab w:val="right" w:leader="dot" w:pos="5310"/>
              </w:tabs>
              <w:spacing w:after="120"/>
              <w:jc w:val="center"/>
              <w:rPr>
                <w:rFonts w:ascii="Times New Roman" w:hAnsi="Times New Roman"/>
                <w:b/>
                <w:color w:val="000000"/>
                <w:sz w:val="16"/>
                <w:lang w:val="es-ES"/>
              </w:rPr>
            </w:pPr>
            <w:r w:rsidRPr="00AE4E8D">
              <w:rPr>
                <w:rFonts w:ascii="Times New Roman" w:hAnsi="Times New Roman"/>
                <w:b/>
                <w:color w:val="000000"/>
                <w:sz w:val="16"/>
                <w:lang w:val="es-ES"/>
              </w:rPr>
              <w:t>(Ps)</w:t>
            </w:r>
          </w:p>
        </w:tc>
        <w:tc>
          <w:tcPr>
            <w:tcW w:w="739" w:type="pct"/>
            <w:tcBorders>
              <w:top w:val="single" w:sz="4" w:space="0" w:color="auto"/>
              <w:bottom w:val="single" w:sz="4" w:space="0" w:color="auto"/>
            </w:tcBorders>
            <w:vAlign w:val="center"/>
          </w:tcPr>
          <w:p w14:paraId="6585437E" w14:textId="77777777" w:rsidR="004C7A5A" w:rsidRPr="00AE4E8D" w:rsidRDefault="004C7A5A" w:rsidP="0084512B">
            <w:pPr>
              <w:keepNext/>
              <w:keepLines/>
              <w:tabs>
                <w:tab w:val="right" w:leader="dot" w:pos="5310"/>
              </w:tabs>
              <w:spacing w:before="120" w:after="120"/>
              <w:jc w:val="center"/>
              <w:rPr>
                <w:rFonts w:ascii="Times New Roman" w:hAnsi="Times New Roman"/>
                <w:b/>
                <w:color w:val="000000"/>
                <w:sz w:val="16"/>
                <w:lang w:val="es-ES"/>
              </w:rPr>
            </w:pPr>
            <w:r w:rsidRPr="00AE4E8D">
              <w:rPr>
                <w:rFonts w:ascii="Times New Roman" w:hAnsi="Times New Roman"/>
                <w:b/>
                <w:color w:val="000000"/>
                <w:sz w:val="16"/>
                <w:lang w:val="es-ES"/>
              </w:rPr>
              <w:t>Votos</w:t>
            </w:r>
          </w:p>
        </w:tc>
        <w:tc>
          <w:tcPr>
            <w:tcW w:w="623" w:type="pct"/>
            <w:tcBorders>
              <w:top w:val="single" w:sz="4" w:space="0" w:color="auto"/>
              <w:bottom w:val="single" w:sz="4" w:space="0" w:color="auto"/>
            </w:tcBorders>
            <w:vAlign w:val="center"/>
          </w:tcPr>
          <w:p w14:paraId="447B19A8" w14:textId="77777777" w:rsidR="004C7A5A" w:rsidRPr="00AE4E8D" w:rsidRDefault="004C7A5A" w:rsidP="0084512B">
            <w:pPr>
              <w:keepNext/>
              <w:keepLines/>
              <w:tabs>
                <w:tab w:val="right" w:leader="dot" w:pos="5310"/>
              </w:tabs>
              <w:spacing w:before="120" w:after="120"/>
              <w:jc w:val="center"/>
              <w:rPr>
                <w:rFonts w:ascii="Times New Roman" w:hAnsi="Times New Roman"/>
                <w:b/>
                <w:color w:val="000000"/>
                <w:sz w:val="16"/>
                <w:lang w:val="es-ES"/>
              </w:rPr>
            </w:pPr>
            <w:r w:rsidRPr="00AE4E8D">
              <w:rPr>
                <w:rFonts w:ascii="Times New Roman" w:hAnsi="Times New Roman"/>
                <w:b/>
                <w:color w:val="000000"/>
                <w:sz w:val="16"/>
                <w:lang w:val="es-ES"/>
              </w:rPr>
              <w:t>%</w:t>
            </w:r>
          </w:p>
        </w:tc>
      </w:tr>
      <w:tr w:rsidR="00552E1C" w:rsidRPr="00AE4E8D" w14:paraId="7608A60E" w14:textId="77777777" w:rsidTr="000400C8">
        <w:trPr>
          <w:jc w:val="center"/>
        </w:trPr>
        <w:tc>
          <w:tcPr>
            <w:tcW w:w="2008" w:type="pct"/>
            <w:tcBorders>
              <w:top w:val="single" w:sz="4" w:space="0" w:color="auto"/>
            </w:tcBorders>
          </w:tcPr>
          <w:p w14:paraId="6931F4DD" w14:textId="77777777" w:rsidR="00552E1C" w:rsidRPr="00AE4E8D" w:rsidRDefault="00552E1C" w:rsidP="0084512B">
            <w:pPr>
              <w:keepNext/>
              <w:keepLines/>
              <w:tabs>
                <w:tab w:val="left" w:leader="dot" w:pos="3402"/>
                <w:tab w:val="right" w:leader="dot" w:pos="5310"/>
              </w:tabs>
              <w:spacing w:before="120" w:after="120"/>
              <w:rPr>
                <w:rFonts w:ascii="Times New Roman" w:hAnsi="Times New Roman"/>
                <w:color w:val="000000"/>
                <w:sz w:val="16"/>
                <w:lang w:val="es-ES"/>
              </w:rPr>
            </w:pPr>
            <w:r w:rsidRPr="00AE4E8D">
              <w:rPr>
                <w:rFonts w:ascii="Times New Roman" w:hAnsi="Times New Roman"/>
                <w:color w:val="000000"/>
                <w:sz w:val="16"/>
                <w:lang w:val="es-ES"/>
              </w:rPr>
              <w:t>Banco Hipotecario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39" w:type="pct"/>
            <w:tcBorders>
              <w:top w:val="single" w:sz="4" w:space="0" w:color="auto"/>
            </w:tcBorders>
          </w:tcPr>
          <w:p w14:paraId="3C8BB3BA" w14:textId="77777777" w:rsidR="00552E1C" w:rsidRPr="00AE4E8D" w:rsidRDefault="00552E1C" w:rsidP="0084512B">
            <w:pPr>
              <w:keepNext/>
              <w:keepLines/>
              <w:tabs>
                <w:tab w:val="right" w:leader="dot" w:pos="5310"/>
              </w:tabs>
              <w:spacing w:before="120" w:after="120"/>
              <w:ind w:left="72" w:right="110"/>
              <w:jc w:val="right"/>
              <w:rPr>
                <w:rFonts w:ascii="Times New Roman" w:hAnsi="Times New Roman"/>
                <w:color w:val="000000"/>
                <w:sz w:val="16"/>
                <w:lang w:val="es-ES"/>
              </w:rPr>
            </w:pPr>
            <w:r w:rsidRPr="00AE4E8D">
              <w:rPr>
                <w:rFonts w:ascii="Times New Roman" w:hAnsi="Times New Roman"/>
                <w:color w:val="000000"/>
                <w:sz w:val="16"/>
                <w:lang w:val="es-ES"/>
              </w:rPr>
              <w:t>1.425.000</w:t>
            </w:r>
          </w:p>
        </w:tc>
        <w:tc>
          <w:tcPr>
            <w:tcW w:w="890" w:type="pct"/>
            <w:tcBorders>
              <w:top w:val="single" w:sz="4" w:space="0" w:color="auto"/>
            </w:tcBorders>
          </w:tcPr>
          <w:p w14:paraId="567AC08F" w14:textId="77777777" w:rsidR="00552E1C" w:rsidRPr="00AE4E8D" w:rsidRDefault="00552E1C" w:rsidP="0084512B">
            <w:pPr>
              <w:keepNext/>
              <w:keepLines/>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1.425.000</w:t>
            </w:r>
          </w:p>
        </w:tc>
        <w:tc>
          <w:tcPr>
            <w:tcW w:w="739" w:type="pct"/>
            <w:tcBorders>
              <w:top w:val="single" w:sz="4" w:space="0" w:color="auto"/>
            </w:tcBorders>
          </w:tcPr>
          <w:p w14:paraId="3E3A0D8F" w14:textId="77777777" w:rsidR="00552E1C" w:rsidRPr="00AE4E8D" w:rsidRDefault="00552E1C" w:rsidP="0084512B">
            <w:pPr>
              <w:keepNext/>
              <w:keepLines/>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1.425.000</w:t>
            </w:r>
          </w:p>
        </w:tc>
        <w:tc>
          <w:tcPr>
            <w:tcW w:w="623" w:type="pct"/>
            <w:tcBorders>
              <w:top w:val="single" w:sz="4" w:space="0" w:color="auto"/>
            </w:tcBorders>
          </w:tcPr>
          <w:p w14:paraId="5426F818" w14:textId="77777777" w:rsidR="00552E1C" w:rsidRPr="00AE4E8D" w:rsidRDefault="00552E1C" w:rsidP="0084512B">
            <w:pPr>
              <w:keepNext/>
              <w:keepLines/>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95,00</w:t>
            </w:r>
          </w:p>
        </w:tc>
      </w:tr>
      <w:tr w:rsidR="00552E1C" w:rsidRPr="00AE4E8D" w14:paraId="0CEAF024" w14:textId="77777777" w:rsidTr="000400C8">
        <w:trPr>
          <w:jc w:val="center"/>
        </w:trPr>
        <w:tc>
          <w:tcPr>
            <w:tcW w:w="2008" w:type="pct"/>
            <w:tcBorders>
              <w:bottom w:val="single" w:sz="4" w:space="0" w:color="auto"/>
            </w:tcBorders>
          </w:tcPr>
          <w:p w14:paraId="44D75229" w14:textId="77777777" w:rsidR="00552E1C" w:rsidRPr="00AE4E8D" w:rsidRDefault="00552E1C" w:rsidP="0084512B">
            <w:pPr>
              <w:keepNext/>
              <w:keepLines/>
              <w:tabs>
                <w:tab w:val="left" w:leader="dot" w:pos="3402"/>
                <w:tab w:val="right" w:leader="dot" w:pos="5310"/>
              </w:tabs>
              <w:spacing w:before="120" w:after="120"/>
              <w:rPr>
                <w:rFonts w:ascii="Times New Roman" w:hAnsi="Times New Roman"/>
                <w:color w:val="000000"/>
                <w:sz w:val="16"/>
                <w:lang w:val="es-ES"/>
              </w:rPr>
            </w:pPr>
            <w:r w:rsidRPr="00AE4E8D">
              <w:rPr>
                <w:rFonts w:ascii="Times New Roman" w:hAnsi="Times New Roman"/>
                <w:color w:val="000000"/>
                <w:sz w:val="16"/>
                <w:lang w:val="es-ES"/>
              </w:rPr>
              <w:t>BHN Sociedad de Inversión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39" w:type="pct"/>
            <w:tcBorders>
              <w:bottom w:val="single" w:sz="4" w:space="0" w:color="auto"/>
            </w:tcBorders>
          </w:tcPr>
          <w:p w14:paraId="1377B81A" w14:textId="77777777" w:rsidR="00552E1C" w:rsidRPr="00AE4E8D" w:rsidRDefault="00552E1C" w:rsidP="0084512B">
            <w:pPr>
              <w:keepNext/>
              <w:keepLines/>
              <w:tabs>
                <w:tab w:val="right" w:leader="dot" w:pos="5310"/>
              </w:tabs>
              <w:spacing w:before="120" w:after="120"/>
              <w:ind w:left="72" w:right="110"/>
              <w:jc w:val="right"/>
              <w:rPr>
                <w:rFonts w:ascii="Times New Roman" w:hAnsi="Times New Roman"/>
                <w:color w:val="000000"/>
                <w:sz w:val="16"/>
                <w:lang w:val="es-ES"/>
              </w:rPr>
            </w:pPr>
            <w:r w:rsidRPr="00AE4E8D">
              <w:rPr>
                <w:rFonts w:ascii="Times New Roman" w:hAnsi="Times New Roman"/>
                <w:color w:val="000000"/>
                <w:sz w:val="16"/>
                <w:lang w:val="es-ES"/>
              </w:rPr>
              <w:t>75.000</w:t>
            </w:r>
          </w:p>
        </w:tc>
        <w:tc>
          <w:tcPr>
            <w:tcW w:w="890" w:type="pct"/>
            <w:tcBorders>
              <w:bottom w:val="single" w:sz="4" w:space="0" w:color="auto"/>
            </w:tcBorders>
          </w:tcPr>
          <w:p w14:paraId="72DE82AD" w14:textId="77777777" w:rsidR="00552E1C" w:rsidRPr="00AE4E8D" w:rsidRDefault="00552E1C" w:rsidP="0084512B">
            <w:pPr>
              <w:keepNext/>
              <w:keepLines/>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75.000</w:t>
            </w:r>
          </w:p>
        </w:tc>
        <w:tc>
          <w:tcPr>
            <w:tcW w:w="739" w:type="pct"/>
            <w:tcBorders>
              <w:bottom w:val="single" w:sz="4" w:space="0" w:color="auto"/>
            </w:tcBorders>
          </w:tcPr>
          <w:p w14:paraId="5D4820C1" w14:textId="77777777" w:rsidR="00552E1C" w:rsidRPr="00AE4E8D" w:rsidRDefault="00552E1C" w:rsidP="0084512B">
            <w:pPr>
              <w:keepNext/>
              <w:keepLines/>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75.000</w:t>
            </w:r>
          </w:p>
        </w:tc>
        <w:tc>
          <w:tcPr>
            <w:tcW w:w="623" w:type="pct"/>
            <w:tcBorders>
              <w:bottom w:val="single" w:sz="4" w:space="0" w:color="auto"/>
            </w:tcBorders>
          </w:tcPr>
          <w:p w14:paraId="331D7A55" w14:textId="77777777" w:rsidR="00552E1C" w:rsidRPr="00AE4E8D" w:rsidRDefault="00552E1C" w:rsidP="0084512B">
            <w:pPr>
              <w:keepNext/>
              <w:keepLines/>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5,00</w:t>
            </w:r>
          </w:p>
        </w:tc>
      </w:tr>
      <w:tr w:rsidR="00552E1C" w:rsidRPr="00AE4E8D" w14:paraId="6C779194" w14:textId="77777777" w:rsidTr="000400C8">
        <w:trPr>
          <w:jc w:val="center"/>
        </w:trPr>
        <w:tc>
          <w:tcPr>
            <w:tcW w:w="2008" w:type="pct"/>
            <w:tcBorders>
              <w:top w:val="single" w:sz="4" w:space="0" w:color="auto"/>
              <w:bottom w:val="single" w:sz="4" w:space="0" w:color="auto"/>
            </w:tcBorders>
          </w:tcPr>
          <w:p w14:paraId="2C0B3FB7" w14:textId="77777777" w:rsidR="00552E1C" w:rsidRPr="00AE4E8D" w:rsidRDefault="00552E1C" w:rsidP="0084512B">
            <w:pPr>
              <w:keepNext/>
              <w:keepLines/>
              <w:tabs>
                <w:tab w:val="left" w:leader="dot" w:pos="3402"/>
                <w:tab w:val="right" w:leader="dot" w:pos="5310"/>
              </w:tabs>
              <w:spacing w:before="120" w:after="120"/>
              <w:rPr>
                <w:rFonts w:ascii="Times New Roman" w:hAnsi="Times New Roman"/>
                <w:b/>
                <w:color w:val="000000"/>
                <w:sz w:val="16"/>
                <w:lang w:val="es-ES"/>
              </w:rPr>
            </w:pPr>
            <w:r w:rsidRPr="00AE4E8D">
              <w:rPr>
                <w:rFonts w:ascii="Times New Roman" w:hAnsi="Times New Roman"/>
                <w:b/>
                <w:color w:val="000000"/>
                <w:sz w:val="16"/>
                <w:lang w:val="es-ES"/>
              </w:rPr>
              <w:t>Total</w:t>
            </w:r>
            <w:r w:rsidRPr="00AE4E8D">
              <w:rPr>
                <w:rFonts w:ascii="Times New Roman" w:hAnsi="Times New Roman"/>
                <w:sz w:val="14"/>
                <w:lang w:val="es-ES"/>
              </w:rPr>
              <w:tab/>
            </w:r>
          </w:p>
        </w:tc>
        <w:tc>
          <w:tcPr>
            <w:tcW w:w="739" w:type="pct"/>
            <w:tcBorders>
              <w:top w:val="single" w:sz="4" w:space="0" w:color="auto"/>
              <w:bottom w:val="single" w:sz="4" w:space="0" w:color="auto"/>
            </w:tcBorders>
          </w:tcPr>
          <w:p w14:paraId="46981085" w14:textId="77777777" w:rsidR="00552E1C" w:rsidRPr="00AE4E8D" w:rsidRDefault="00552E1C" w:rsidP="0084512B">
            <w:pPr>
              <w:keepNext/>
              <w:keepLines/>
              <w:tabs>
                <w:tab w:val="right" w:leader="dot" w:pos="5310"/>
              </w:tabs>
              <w:spacing w:before="120" w:after="120"/>
              <w:ind w:left="72" w:right="110"/>
              <w:jc w:val="right"/>
              <w:rPr>
                <w:rFonts w:ascii="Times New Roman" w:hAnsi="Times New Roman"/>
                <w:color w:val="000000"/>
                <w:sz w:val="16"/>
                <w:lang w:val="es-ES"/>
              </w:rPr>
            </w:pPr>
            <w:r w:rsidRPr="00AE4E8D">
              <w:rPr>
                <w:rFonts w:ascii="Times New Roman" w:hAnsi="Times New Roman"/>
                <w:color w:val="000000"/>
                <w:sz w:val="16"/>
                <w:lang w:val="es-ES"/>
              </w:rPr>
              <w:t>1.500.000</w:t>
            </w:r>
          </w:p>
        </w:tc>
        <w:tc>
          <w:tcPr>
            <w:tcW w:w="890" w:type="pct"/>
            <w:tcBorders>
              <w:top w:val="single" w:sz="4" w:space="0" w:color="auto"/>
              <w:bottom w:val="single" w:sz="4" w:space="0" w:color="auto"/>
            </w:tcBorders>
          </w:tcPr>
          <w:p w14:paraId="52BE8B44" w14:textId="77777777" w:rsidR="00552E1C" w:rsidRPr="00AE4E8D" w:rsidRDefault="00552E1C" w:rsidP="0084512B">
            <w:pPr>
              <w:keepNext/>
              <w:keepLines/>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1.500.000</w:t>
            </w:r>
          </w:p>
        </w:tc>
        <w:tc>
          <w:tcPr>
            <w:tcW w:w="739" w:type="pct"/>
            <w:tcBorders>
              <w:top w:val="single" w:sz="4" w:space="0" w:color="auto"/>
              <w:bottom w:val="single" w:sz="4" w:space="0" w:color="auto"/>
            </w:tcBorders>
          </w:tcPr>
          <w:p w14:paraId="72F19E72" w14:textId="77777777" w:rsidR="00552E1C" w:rsidRPr="00AE4E8D" w:rsidRDefault="00552E1C" w:rsidP="0084512B">
            <w:pPr>
              <w:keepNext/>
              <w:keepLines/>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1.500.000</w:t>
            </w:r>
          </w:p>
        </w:tc>
        <w:tc>
          <w:tcPr>
            <w:tcW w:w="623" w:type="pct"/>
            <w:tcBorders>
              <w:top w:val="single" w:sz="4" w:space="0" w:color="auto"/>
              <w:bottom w:val="single" w:sz="4" w:space="0" w:color="auto"/>
            </w:tcBorders>
          </w:tcPr>
          <w:p w14:paraId="3A586716" w14:textId="77777777" w:rsidR="00552E1C" w:rsidRPr="00AE4E8D" w:rsidRDefault="00552E1C" w:rsidP="0084512B">
            <w:pPr>
              <w:keepNext/>
              <w:keepLines/>
              <w:tabs>
                <w:tab w:val="right" w:leader="dot" w:pos="5310"/>
              </w:tabs>
              <w:spacing w:before="120" w:after="120"/>
              <w:ind w:right="110"/>
              <w:jc w:val="right"/>
              <w:rPr>
                <w:rFonts w:ascii="Times New Roman" w:hAnsi="Times New Roman"/>
                <w:color w:val="000000"/>
                <w:sz w:val="16"/>
                <w:lang w:val="es-ES"/>
              </w:rPr>
            </w:pPr>
            <w:r w:rsidRPr="00AE4E8D">
              <w:rPr>
                <w:rFonts w:ascii="Times New Roman" w:hAnsi="Times New Roman"/>
                <w:color w:val="000000"/>
                <w:sz w:val="16"/>
                <w:lang w:val="es-ES"/>
              </w:rPr>
              <w:t>100,00</w:t>
            </w:r>
          </w:p>
        </w:tc>
      </w:tr>
    </w:tbl>
    <w:p w14:paraId="4218CBC2" w14:textId="77777777" w:rsidR="00552E1C" w:rsidRPr="00AE4E8D" w:rsidRDefault="00552E1C" w:rsidP="00B52753">
      <w:pPr>
        <w:keepNext/>
        <w:autoSpaceDE w:val="0"/>
        <w:autoSpaceDN w:val="0"/>
        <w:adjustRightInd w:val="0"/>
        <w:spacing w:before="240" w:after="240"/>
        <w:outlineLvl w:val="2"/>
        <w:rPr>
          <w:rFonts w:ascii="Times New Roman" w:hAnsi="Times New Roman"/>
          <w:lang w:val="es-ES"/>
        </w:rPr>
      </w:pPr>
      <w:r w:rsidRPr="00AE4E8D">
        <w:rPr>
          <w:rFonts w:ascii="Times New Roman" w:hAnsi="Times New Roman"/>
          <w:b/>
          <w:lang w:val="es-ES"/>
        </w:rPr>
        <w:t>f) Tarshop S.A.</w:t>
      </w:r>
    </w:p>
    <w:tbl>
      <w:tblPr>
        <w:tblW w:w="5000" w:type="pct"/>
        <w:jc w:val="center"/>
        <w:tblCellMar>
          <w:left w:w="70" w:type="dxa"/>
          <w:right w:w="70" w:type="dxa"/>
        </w:tblCellMar>
        <w:tblLook w:val="0000" w:firstRow="0" w:lastRow="0" w:firstColumn="0" w:lastColumn="0" w:noHBand="0" w:noVBand="0"/>
      </w:tblPr>
      <w:tblGrid>
        <w:gridCol w:w="3525"/>
        <w:gridCol w:w="1331"/>
        <w:gridCol w:w="1451"/>
        <w:gridCol w:w="1276"/>
        <w:gridCol w:w="1062"/>
      </w:tblGrid>
      <w:tr w:rsidR="00552E1C" w:rsidRPr="00AE4E8D" w14:paraId="20216C3C" w14:textId="77777777" w:rsidTr="000400C8">
        <w:trPr>
          <w:trHeight w:val="608"/>
          <w:jc w:val="center"/>
        </w:trPr>
        <w:tc>
          <w:tcPr>
            <w:tcW w:w="2039" w:type="pct"/>
            <w:tcBorders>
              <w:top w:val="single" w:sz="4" w:space="0" w:color="auto"/>
              <w:bottom w:val="single" w:sz="4" w:space="0" w:color="auto"/>
            </w:tcBorders>
            <w:vAlign w:val="center"/>
          </w:tcPr>
          <w:p w14:paraId="4C4DA805" w14:textId="77777777" w:rsidR="00552E1C" w:rsidRPr="00AE4E8D" w:rsidRDefault="00552E1C" w:rsidP="004C7A5A">
            <w:pPr>
              <w:widowControl w:val="0"/>
              <w:tabs>
                <w:tab w:val="right" w:leader="dot" w:pos="5310"/>
              </w:tabs>
              <w:jc w:val="center"/>
              <w:rPr>
                <w:rFonts w:ascii="Times New Roman" w:hAnsi="Times New Roman"/>
                <w:b/>
                <w:color w:val="000000"/>
                <w:sz w:val="16"/>
                <w:lang w:val="es-ES"/>
              </w:rPr>
            </w:pPr>
            <w:r w:rsidRPr="00AE4E8D">
              <w:rPr>
                <w:rFonts w:ascii="Times New Roman" w:hAnsi="Times New Roman"/>
                <w:b/>
                <w:color w:val="000000"/>
                <w:sz w:val="16"/>
                <w:lang w:val="es-ES"/>
              </w:rPr>
              <w:t>Accionistas</w:t>
            </w:r>
          </w:p>
        </w:tc>
        <w:tc>
          <w:tcPr>
            <w:tcW w:w="770" w:type="pct"/>
            <w:tcBorders>
              <w:top w:val="single" w:sz="4" w:space="0" w:color="auto"/>
              <w:bottom w:val="single" w:sz="4" w:space="0" w:color="auto"/>
            </w:tcBorders>
            <w:vAlign w:val="center"/>
          </w:tcPr>
          <w:p w14:paraId="5A3399C9" w14:textId="77777777" w:rsidR="00552E1C" w:rsidRPr="00AE4E8D" w:rsidRDefault="00552E1C" w:rsidP="00B52753">
            <w:pPr>
              <w:spacing w:before="120" w:after="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Acciones</w:t>
            </w:r>
          </w:p>
        </w:tc>
        <w:tc>
          <w:tcPr>
            <w:tcW w:w="839" w:type="pct"/>
            <w:tcBorders>
              <w:top w:val="single" w:sz="4" w:space="0" w:color="auto"/>
              <w:bottom w:val="single" w:sz="4" w:space="0" w:color="auto"/>
            </w:tcBorders>
            <w:vAlign w:val="center"/>
          </w:tcPr>
          <w:p w14:paraId="089FA949" w14:textId="77777777" w:rsidR="00552E1C" w:rsidRPr="00AE4E8D" w:rsidRDefault="00552E1C" w:rsidP="00B52753">
            <w:pPr>
              <w:spacing w:before="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Valor Nominal</w:t>
            </w:r>
          </w:p>
          <w:p w14:paraId="702E1342" w14:textId="77777777" w:rsidR="00552E1C" w:rsidRPr="00AE4E8D" w:rsidRDefault="00552E1C" w:rsidP="00B52753">
            <w:pPr>
              <w:spacing w:after="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(Ps)</w:t>
            </w:r>
          </w:p>
        </w:tc>
        <w:tc>
          <w:tcPr>
            <w:tcW w:w="738" w:type="pct"/>
            <w:tcBorders>
              <w:top w:val="single" w:sz="4" w:space="0" w:color="auto"/>
              <w:bottom w:val="single" w:sz="4" w:space="0" w:color="auto"/>
            </w:tcBorders>
            <w:vAlign w:val="center"/>
          </w:tcPr>
          <w:p w14:paraId="32A5BE98" w14:textId="77777777" w:rsidR="00552E1C" w:rsidRPr="00AE4E8D" w:rsidRDefault="00552E1C" w:rsidP="00B52753">
            <w:pPr>
              <w:spacing w:before="120" w:after="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Votos</w:t>
            </w:r>
          </w:p>
        </w:tc>
        <w:tc>
          <w:tcPr>
            <w:tcW w:w="614" w:type="pct"/>
            <w:tcBorders>
              <w:top w:val="single" w:sz="4" w:space="0" w:color="auto"/>
              <w:bottom w:val="single" w:sz="4" w:space="0" w:color="auto"/>
            </w:tcBorders>
            <w:vAlign w:val="center"/>
          </w:tcPr>
          <w:p w14:paraId="1B8D8B30" w14:textId="77777777" w:rsidR="00552E1C" w:rsidRPr="00AE4E8D" w:rsidRDefault="00552E1C" w:rsidP="00B52753">
            <w:pPr>
              <w:spacing w:before="120" w:after="120" w:line="220" w:lineRule="exact"/>
              <w:jc w:val="center"/>
              <w:rPr>
                <w:rFonts w:ascii="Times New Roman" w:hAnsi="Times New Roman"/>
                <w:b/>
                <w:color w:val="000000"/>
                <w:sz w:val="16"/>
                <w:lang w:val="es-ES"/>
              </w:rPr>
            </w:pPr>
            <w:r w:rsidRPr="00AE4E8D">
              <w:rPr>
                <w:rFonts w:ascii="Times New Roman" w:hAnsi="Times New Roman"/>
                <w:b/>
                <w:color w:val="000000"/>
                <w:sz w:val="16"/>
                <w:lang w:val="es-ES"/>
              </w:rPr>
              <w:t>%</w:t>
            </w:r>
          </w:p>
        </w:tc>
      </w:tr>
      <w:tr w:rsidR="00552E1C" w:rsidRPr="00AE4E8D" w14:paraId="2ED53B3E" w14:textId="77777777" w:rsidTr="000400C8">
        <w:trPr>
          <w:jc w:val="center"/>
        </w:trPr>
        <w:tc>
          <w:tcPr>
            <w:tcW w:w="2039" w:type="pct"/>
            <w:tcBorders>
              <w:top w:val="single" w:sz="4" w:space="0" w:color="auto"/>
            </w:tcBorders>
          </w:tcPr>
          <w:p w14:paraId="3D41EB53" w14:textId="77777777" w:rsidR="00552E1C" w:rsidRPr="00AE4E8D" w:rsidRDefault="00552E1C" w:rsidP="00B52753">
            <w:pPr>
              <w:tabs>
                <w:tab w:val="left" w:leader="dot" w:pos="3386"/>
              </w:tabs>
              <w:spacing w:before="120" w:after="120" w:line="220" w:lineRule="exact"/>
              <w:jc w:val="both"/>
              <w:rPr>
                <w:rFonts w:ascii="Times New Roman" w:hAnsi="Times New Roman"/>
                <w:color w:val="000000"/>
                <w:sz w:val="16"/>
                <w:lang w:val="es-ES"/>
              </w:rPr>
            </w:pPr>
            <w:r w:rsidRPr="00AE4E8D">
              <w:rPr>
                <w:rFonts w:ascii="Times New Roman" w:hAnsi="Times New Roman"/>
                <w:color w:val="000000"/>
                <w:sz w:val="16"/>
                <w:lang w:val="es-ES"/>
              </w:rPr>
              <w:t>Banco Hipotecario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70" w:type="pct"/>
            <w:tcBorders>
              <w:top w:val="single" w:sz="4" w:space="0" w:color="auto"/>
            </w:tcBorders>
          </w:tcPr>
          <w:p w14:paraId="24EDAB77"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195.037.152</w:t>
            </w:r>
          </w:p>
        </w:tc>
        <w:tc>
          <w:tcPr>
            <w:tcW w:w="839" w:type="pct"/>
            <w:tcBorders>
              <w:top w:val="single" w:sz="4" w:space="0" w:color="auto"/>
            </w:tcBorders>
          </w:tcPr>
          <w:p w14:paraId="4CD7C5AD"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195.037.152</w:t>
            </w:r>
          </w:p>
        </w:tc>
        <w:tc>
          <w:tcPr>
            <w:tcW w:w="738" w:type="pct"/>
            <w:tcBorders>
              <w:top w:val="single" w:sz="4" w:space="0" w:color="auto"/>
            </w:tcBorders>
          </w:tcPr>
          <w:p w14:paraId="0CC768B3"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195.037.152</w:t>
            </w:r>
          </w:p>
        </w:tc>
        <w:tc>
          <w:tcPr>
            <w:tcW w:w="614" w:type="pct"/>
            <w:tcBorders>
              <w:top w:val="single" w:sz="4" w:space="0" w:color="auto"/>
            </w:tcBorders>
          </w:tcPr>
          <w:p w14:paraId="59084F40"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80,00</w:t>
            </w:r>
          </w:p>
        </w:tc>
      </w:tr>
      <w:tr w:rsidR="00552E1C" w:rsidRPr="00AE4E8D" w14:paraId="7E3B981B" w14:textId="77777777" w:rsidTr="000400C8">
        <w:trPr>
          <w:jc w:val="center"/>
        </w:trPr>
        <w:tc>
          <w:tcPr>
            <w:tcW w:w="2039" w:type="pct"/>
            <w:tcBorders>
              <w:bottom w:val="single" w:sz="4" w:space="0" w:color="auto"/>
            </w:tcBorders>
          </w:tcPr>
          <w:p w14:paraId="454E9011" w14:textId="77777777" w:rsidR="00552E1C" w:rsidRPr="00AE4E8D" w:rsidRDefault="00552E1C" w:rsidP="00B52753">
            <w:pPr>
              <w:tabs>
                <w:tab w:val="left" w:leader="dot" w:pos="3386"/>
              </w:tabs>
              <w:spacing w:before="120" w:after="120" w:line="220" w:lineRule="exact"/>
              <w:jc w:val="both"/>
              <w:rPr>
                <w:rFonts w:ascii="Times New Roman" w:hAnsi="Times New Roman"/>
                <w:color w:val="000000"/>
                <w:sz w:val="16"/>
                <w:lang w:val="es-ES"/>
              </w:rPr>
            </w:pPr>
            <w:r w:rsidRPr="00AE4E8D">
              <w:rPr>
                <w:rFonts w:ascii="Times New Roman" w:hAnsi="Times New Roman"/>
                <w:color w:val="000000"/>
                <w:sz w:val="16"/>
                <w:lang w:val="es-ES"/>
              </w:rPr>
              <w:t>IRSA Propiedades Comerciales S.A.</w:t>
            </w:r>
            <w:r w:rsidRPr="00AE4E8D">
              <w:rPr>
                <w:rFonts w:ascii="Times New Roman" w:hAnsi="Times New Roman"/>
                <w:sz w:val="14"/>
                <w:lang w:val="es-ES"/>
              </w:rPr>
              <w:t xml:space="preserve"> </w:t>
            </w:r>
            <w:r w:rsidRPr="00AE4E8D">
              <w:rPr>
                <w:rFonts w:ascii="Times New Roman" w:hAnsi="Times New Roman"/>
                <w:sz w:val="14"/>
                <w:lang w:val="es-ES"/>
              </w:rPr>
              <w:tab/>
            </w:r>
          </w:p>
        </w:tc>
        <w:tc>
          <w:tcPr>
            <w:tcW w:w="770" w:type="pct"/>
            <w:tcBorders>
              <w:bottom w:val="single" w:sz="4" w:space="0" w:color="auto"/>
            </w:tcBorders>
          </w:tcPr>
          <w:p w14:paraId="71F9AE25"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48.759.288</w:t>
            </w:r>
          </w:p>
        </w:tc>
        <w:tc>
          <w:tcPr>
            <w:tcW w:w="839" w:type="pct"/>
            <w:tcBorders>
              <w:bottom w:val="single" w:sz="4" w:space="0" w:color="auto"/>
            </w:tcBorders>
          </w:tcPr>
          <w:p w14:paraId="129AB6B5"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48.759.288</w:t>
            </w:r>
          </w:p>
        </w:tc>
        <w:tc>
          <w:tcPr>
            <w:tcW w:w="738" w:type="pct"/>
            <w:tcBorders>
              <w:bottom w:val="single" w:sz="4" w:space="0" w:color="auto"/>
            </w:tcBorders>
          </w:tcPr>
          <w:p w14:paraId="545FFB92"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48.759.288</w:t>
            </w:r>
          </w:p>
        </w:tc>
        <w:tc>
          <w:tcPr>
            <w:tcW w:w="614" w:type="pct"/>
            <w:tcBorders>
              <w:bottom w:val="single" w:sz="4" w:space="0" w:color="auto"/>
            </w:tcBorders>
          </w:tcPr>
          <w:p w14:paraId="0142E443"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20,00</w:t>
            </w:r>
          </w:p>
        </w:tc>
      </w:tr>
      <w:tr w:rsidR="00552E1C" w:rsidRPr="00AE4E8D" w14:paraId="6FD0853C" w14:textId="77777777" w:rsidTr="000400C8">
        <w:trPr>
          <w:jc w:val="center"/>
        </w:trPr>
        <w:tc>
          <w:tcPr>
            <w:tcW w:w="2039" w:type="pct"/>
            <w:tcBorders>
              <w:top w:val="single" w:sz="4" w:space="0" w:color="auto"/>
              <w:bottom w:val="single" w:sz="4" w:space="0" w:color="auto"/>
            </w:tcBorders>
          </w:tcPr>
          <w:p w14:paraId="4F4745BC" w14:textId="77777777" w:rsidR="00552E1C" w:rsidRPr="00AE4E8D" w:rsidRDefault="00552E1C" w:rsidP="00B52753">
            <w:pPr>
              <w:tabs>
                <w:tab w:val="left" w:leader="dot" w:pos="3386"/>
              </w:tabs>
              <w:spacing w:before="120" w:after="120" w:line="220" w:lineRule="exact"/>
              <w:jc w:val="both"/>
              <w:rPr>
                <w:rFonts w:ascii="Times New Roman" w:hAnsi="Times New Roman"/>
                <w:b/>
                <w:color w:val="000000"/>
                <w:sz w:val="16"/>
                <w:lang w:val="es-ES"/>
              </w:rPr>
            </w:pPr>
            <w:r w:rsidRPr="00AE4E8D">
              <w:rPr>
                <w:rFonts w:ascii="Times New Roman" w:hAnsi="Times New Roman"/>
                <w:b/>
                <w:color w:val="000000"/>
                <w:sz w:val="16"/>
                <w:lang w:val="es-ES"/>
              </w:rPr>
              <w:t>Total</w:t>
            </w:r>
            <w:r w:rsidRPr="00AE4E8D">
              <w:rPr>
                <w:rFonts w:ascii="Times New Roman" w:hAnsi="Times New Roman"/>
                <w:sz w:val="14"/>
                <w:lang w:val="es-ES"/>
              </w:rPr>
              <w:tab/>
            </w:r>
          </w:p>
        </w:tc>
        <w:tc>
          <w:tcPr>
            <w:tcW w:w="770" w:type="pct"/>
            <w:tcBorders>
              <w:top w:val="single" w:sz="4" w:space="0" w:color="auto"/>
              <w:bottom w:val="single" w:sz="4" w:space="0" w:color="auto"/>
            </w:tcBorders>
          </w:tcPr>
          <w:p w14:paraId="7C4B2153"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243.796.440</w:t>
            </w:r>
          </w:p>
        </w:tc>
        <w:tc>
          <w:tcPr>
            <w:tcW w:w="839" w:type="pct"/>
            <w:tcBorders>
              <w:top w:val="single" w:sz="4" w:space="0" w:color="auto"/>
              <w:bottom w:val="single" w:sz="4" w:space="0" w:color="auto"/>
            </w:tcBorders>
          </w:tcPr>
          <w:p w14:paraId="694A59CC"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243.796.440</w:t>
            </w:r>
          </w:p>
        </w:tc>
        <w:tc>
          <w:tcPr>
            <w:tcW w:w="738" w:type="pct"/>
            <w:tcBorders>
              <w:top w:val="single" w:sz="4" w:space="0" w:color="auto"/>
              <w:bottom w:val="single" w:sz="4" w:space="0" w:color="auto"/>
            </w:tcBorders>
          </w:tcPr>
          <w:p w14:paraId="6463CFA2"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243.796.440</w:t>
            </w:r>
          </w:p>
        </w:tc>
        <w:tc>
          <w:tcPr>
            <w:tcW w:w="614" w:type="pct"/>
            <w:tcBorders>
              <w:top w:val="single" w:sz="4" w:space="0" w:color="auto"/>
              <w:bottom w:val="single" w:sz="4" w:space="0" w:color="auto"/>
            </w:tcBorders>
          </w:tcPr>
          <w:p w14:paraId="64216299" w14:textId="77777777" w:rsidR="00552E1C" w:rsidRPr="00AE4E8D" w:rsidRDefault="00552E1C" w:rsidP="00B52753">
            <w:pPr>
              <w:spacing w:before="120" w:after="120" w:line="220" w:lineRule="exact"/>
              <w:jc w:val="center"/>
              <w:rPr>
                <w:rFonts w:ascii="Times New Roman" w:hAnsi="Times New Roman"/>
                <w:color w:val="000000"/>
                <w:sz w:val="16"/>
                <w:lang w:val="es-ES"/>
              </w:rPr>
            </w:pPr>
            <w:r w:rsidRPr="00AE4E8D">
              <w:rPr>
                <w:rFonts w:ascii="Times New Roman" w:hAnsi="Times New Roman"/>
                <w:color w:val="000000"/>
                <w:sz w:val="16"/>
                <w:lang w:val="es-ES"/>
              </w:rPr>
              <w:t>100,00</w:t>
            </w:r>
          </w:p>
        </w:tc>
      </w:tr>
    </w:tbl>
    <w:p w14:paraId="2D944017" w14:textId="77777777" w:rsidR="00CB5660" w:rsidRPr="00AE4E8D" w:rsidRDefault="00CB5660" w:rsidP="006659E6">
      <w:pPr>
        <w:pStyle w:val="BH2Izquierda"/>
        <w:rPr>
          <w:lang w:val="es-ES"/>
        </w:rPr>
      </w:pPr>
      <w:bookmarkStart w:id="297" w:name="_Toc414610865"/>
      <w:bookmarkStart w:id="298" w:name="_Toc420062571"/>
      <w:bookmarkStart w:id="299" w:name="_Toc421201358"/>
      <w:bookmarkStart w:id="300" w:name="_Toc495972989"/>
      <w:bookmarkStart w:id="301" w:name="_Toc495399896"/>
      <w:bookmarkEnd w:id="288"/>
      <w:bookmarkEnd w:id="289"/>
      <w:bookmarkEnd w:id="290"/>
      <w:r w:rsidRPr="00AE4E8D">
        <w:rPr>
          <w:lang w:val="es-ES"/>
        </w:rPr>
        <w:t>e) Activo Fijo</w:t>
      </w:r>
      <w:bookmarkEnd w:id="297"/>
      <w:bookmarkEnd w:id="298"/>
      <w:bookmarkEnd w:id="299"/>
      <w:bookmarkEnd w:id="300"/>
      <w:bookmarkEnd w:id="301"/>
    </w:p>
    <w:p w14:paraId="2B6B7E69" w14:textId="77777777" w:rsidR="00CB5660" w:rsidRPr="00AE4E8D" w:rsidRDefault="00CB5660" w:rsidP="00091EF5">
      <w:pPr>
        <w:pStyle w:val="BHTexto"/>
      </w:pPr>
      <w:r w:rsidRPr="00AE4E8D">
        <w:t xml:space="preserve">Al </w:t>
      </w:r>
      <w:r w:rsidR="00BE1D5E" w:rsidRPr="00AE4E8D">
        <w:t>3</w:t>
      </w:r>
      <w:r w:rsidR="00247AD2" w:rsidRPr="00AE4E8D">
        <w:t>0</w:t>
      </w:r>
      <w:r w:rsidR="00BE1D5E" w:rsidRPr="00AE4E8D">
        <w:t xml:space="preserve"> de </w:t>
      </w:r>
      <w:r w:rsidR="00247AD2" w:rsidRPr="00AE4E8D">
        <w:t>junio</w:t>
      </w:r>
      <w:r w:rsidRPr="00AE4E8D">
        <w:t xml:space="preserve"> de 201</w:t>
      </w:r>
      <w:r w:rsidR="00714919" w:rsidRPr="00AE4E8D">
        <w:t>7</w:t>
      </w:r>
      <w:r w:rsidRPr="00AE4E8D">
        <w:t xml:space="preserve"> éramos propietarios de </w:t>
      </w:r>
      <w:r w:rsidR="003612AD" w:rsidRPr="00AE4E8D">
        <w:t>23</w:t>
      </w:r>
      <w:r w:rsidRPr="00AE4E8D">
        <w:t xml:space="preserve"> de nuestras sucursales y alquilábamos las restantes </w:t>
      </w:r>
      <w:r w:rsidR="003612AD" w:rsidRPr="00AE4E8D">
        <w:t>4</w:t>
      </w:r>
      <w:r w:rsidR="004C2AD5" w:rsidRPr="00AE4E8D">
        <w:t>2</w:t>
      </w:r>
      <w:r w:rsidRPr="00AE4E8D">
        <w:t xml:space="preserve">. El 1 de mayo de 1997, compramos y remodelamos un edificio en el microcentro de Buenos Aires por un valor total de US$32,0 millones para reemplazar el edificio de nuestra casa matriz, que fue transferido al Gobierno Argentino conforme a la Ley de Privatización. </w:t>
      </w:r>
    </w:p>
    <w:p w14:paraId="55DD43A1" w14:textId="77777777" w:rsidR="00CB5660" w:rsidRPr="00AE4E8D" w:rsidRDefault="00CB5660" w:rsidP="00091EF5">
      <w:pPr>
        <w:pStyle w:val="BHTexto"/>
      </w:pPr>
      <w:r w:rsidRPr="00AE4E8D">
        <w:t xml:space="preserve">El 20 de abril de 2016, por medio de una subasta pública llevada a cabo por el gobierno de la Ciudad de Buenos Aires, hemos adquirido el edificio conocido como "Edificio del Plata" donde se establecerá nuestra casa matriz y sucursal, el edificio fue adquirido por aproximadamente US$68,0 millones. El Edificio del Plata se encuentra situado en las calles Carlos Pellegrini Nº 211/291 - Sarmiento Nº 980/922, Carabelas Nº 222/286 - Tte. Gral. Juan Domingo Perón Nº 981/993. De acuerdo con el artículo 3 del Decreto 208/16 y las Disposiciones 12-DGAB/16, 13-DGAB/16 y 14/DGAB/16, nos encontramos obligados a pagar (i) el 15% del precio de adquisición en un plazo de siete días hábiles a partir de la fecha de la subasta pública y (ii) el saldo restante al momento de la firma de la escritura pública y entrega del edificio, lo que deberá ocurrir dentro de los 365 días corridos desde la realización de la subasta </w:t>
      </w:r>
      <w:r w:rsidR="00F80D63" w:rsidRPr="00AE4E8D">
        <w:t xml:space="preserve">pública. </w:t>
      </w:r>
      <w:r w:rsidR="002D7940" w:rsidRPr="00AE4E8D">
        <w:t xml:space="preserve">Actualmente estamos evaluando la remodelación de esta propiedad y, potencialmente, </w:t>
      </w:r>
      <w:r w:rsidR="002D7940" w:rsidRPr="00AE4E8D">
        <w:rPr>
          <w:lang w:val="es-AR"/>
        </w:rPr>
        <w:t>el traslado de</w:t>
      </w:r>
      <w:r w:rsidR="002D7940" w:rsidRPr="00AE4E8D">
        <w:t xml:space="preserve"> nuestra sede a este edificio. En relación con esta iniciativa, podemos asociarnos con otros inversores o terceros para optimizar las eficiencias y mitigar los riesgos potenciales de desarrollo y construcción. </w:t>
      </w:r>
      <w:r w:rsidR="00F80D63" w:rsidRPr="00AE4E8D">
        <w:t>Podemos</w:t>
      </w:r>
      <w:r w:rsidRPr="00AE4E8D">
        <w:t xml:space="preserve"> involucrarnos en nuevos proyectos en el futuro inmobiliarios a fin de incrementar o mejorar nuestra eficiencia en las operaciones.</w:t>
      </w:r>
    </w:p>
    <w:p w14:paraId="24786E40" w14:textId="77777777" w:rsidR="00CB5660" w:rsidRPr="00AE4E8D" w:rsidRDefault="00CB5660" w:rsidP="002D7940">
      <w:pPr>
        <w:pStyle w:val="BHTexto"/>
      </w:pPr>
      <w:r w:rsidRPr="00AE4E8D">
        <w:t xml:space="preserve">El cuadro a continuación establece la distribución geográfica de nuestras sucursales </w:t>
      </w:r>
      <w:r w:rsidR="002D7940" w:rsidRPr="00AE4E8D">
        <w:rPr>
          <w:lang w:val="es-AR"/>
        </w:rPr>
        <w:t>a</w:t>
      </w:r>
      <w:r w:rsidR="002D7940" w:rsidRPr="00AE4E8D">
        <w:t>l 30 de junio</w:t>
      </w:r>
      <w:r w:rsidR="002D7940" w:rsidRPr="00AE4E8D">
        <w:rPr>
          <w:lang w:val="es-AR"/>
        </w:rPr>
        <w:t xml:space="preserve"> </w:t>
      </w:r>
      <w:r w:rsidR="002D7940" w:rsidRPr="00AE4E8D">
        <w:t>de 2017</w:t>
      </w:r>
      <w:r w:rsidR="009D26D2" w:rsidRPr="00AE4E8D">
        <w:t>:</w:t>
      </w:r>
    </w:p>
    <w:tbl>
      <w:tblPr>
        <w:tblW w:w="5000" w:type="pct"/>
        <w:jc w:val="center"/>
        <w:tblLook w:val="00A0" w:firstRow="1" w:lastRow="0" w:firstColumn="1" w:lastColumn="0" w:noHBand="0" w:noVBand="0"/>
      </w:tblPr>
      <w:tblGrid>
        <w:gridCol w:w="7323"/>
        <w:gridCol w:w="1398"/>
      </w:tblGrid>
      <w:tr w:rsidR="00CB5660" w:rsidRPr="00AE4E8D" w14:paraId="024C3CB6" w14:textId="77777777" w:rsidTr="000400C8">
        <w:trPr>
          <w:trHeight w:val="225"/>
          <w:tblHeader/>
          <w:jc w:val="center"/>
        </w:trPr>
        <w:tc>
          <w:tcPr>
            <w:tcW w:w="4198" w:type="pct"/>
            <w:tcBorders>
              <w:top w:val="nil"/>
              <w:left w:val="nil"/>
              <w:bottom w:val="single" w:sz="4" w:space="0" w:color="auto"/>
              <w:right w:val="nil"/>
            </w:tcBorders>
            <w:noWrap/>
            <w:vAlign w:val="bottom"/>
          </w:tcPr>
          <w:p w14:paraId="3B2A6345" w14:textId="77777777" w:rsidR="00CB5660" w:rsidRPr="00AE4E8D" w:rsidRDefault="00CB5660" w:rsidP="003E7E1C">
            <w:pPr>
              <w:spacing w:before="120" w:after="120"/>
              <w:rPr>
                <w:rFonts w:ascii="Times New Roman" w:hAnsi="Times New Roman"/>
                <w:color w:val="000000"/>
                <w:sz w:val="16"/>
                <w:lang w:val="es-ES"/>
              </w:rPr>
            </w:pPr>
          </w:p>
        </w:tc>
        <w:tc>
          <w:tcPr>
            <w:tcW w:w="802" w:type="pct"/>
            <w:tcBorders>
              <w:top w:val="nil"/>
              <w:left w:val="nil"/>
              <w:bottom w:val="single" w:sz="4" w:space="0" w:color="auto"/>
              <w:right w:val="nil"/>
            </w:tcBorders>
            <w:noWrap/>
            <w:vAlign w:val="bottom"/>
          </w:tcPr>
          <w:p w14:paraId="642F159F" w14:textId="77777777" w:rsidR="00CB5660" w:rsidRPr="00AE4E8D" w:rsidRDefault="00CB5660" w:rsidP="00425168">
            <w:pPr>
              <w:keepNext/>
              <w:ind w:left="-93" w:firstLine="93"/>
              <w:jc w:val="center"/>
              <w:rPr>
                <w:rFonts w:ascii="Times New Roman" w:hAnsi="Times New Roman"/>
                <w:b/>
                <w:color w:val="000000"/>
                <w:sz w:val="16"/>
                <w:lang w:val="es-ES"/>
              </w:rPr>
            </w:pPr>
            <w:r w:rsidRPr="00AE4E8D">
              <w:rPr>
                <w:rFonts w:ascii="Times New Roman" w:hAnsi="Times New Roman"/>
                <w:b/>
                <w:color w:val="000000"/>
                <w:sz w:val="16"/>
                <w:lang w:val="es-ES"/>
              </w:rPr>
              <w:t xml:space="preserve">Al </w:t>
            </w:r>
            <w:r w:rsidR="00BE1D5E" w:rsidRPr="00AE4E8D">
              <w:rPr>
                <w:rFonts w:ascii="Times New Roman" w:hAnsi="Times New Roman"/>
                <w:b/>
                <w:bCs/>
                <w:color w:val="000000"/>
                <w:sz w:val="16"/>
                <w:szCs w:val="16"/>
                <w:lang w:val="es-ES"/>
              </w:rPr>
              <w:t>3</w:t>
            </w:r>
            <w:r w:rsidR="00010F6B" w:rsidRPr="00AE4E8D">
              <w:rPr>
                <w:rFonts w:ascii="Times New Roman" w:hAnsi="Times New Roman"/>
                <w:b/>
                <w:bCs/>
                <w:color w:val="000000"/>
                <w:sz w:val="16"/>
                <w:szCs w:val="16"/>
                <w:lang w:val="es-ES"/>
              </w:rPr>
              <w:t>0</w:t>
            </w:r>
            <w:r w:rsidR="00BE1D5E" w:rsidRPr="00AE4E8D">
              <w:rPr>
                <w:rFonts w:ascii="Times New Roman" w:hAnsi="Times New Roman"/>
                <w:b/>
                <w:color w:val="000000"/>
                <w:sz w:val="16"/>
                <w:lang w:val="es-ES"/>
              </w:rPr>
              <w:t xml:space="preserve"> de </w:t>
            </w:r>
            <w:r w:rsidR="00010F6B" w:rsidRPr="00AE4E8D">
              <w:rPr>
                <w:rFonts w:ascii="Times New Roman" w:hAnsi="Times New Roman"/>
                <w:b/>
                <w:bCs/>
                <w:color w:val="000000"/>
                <w:sz w:val="16"/>
                <w:szCs w:val="16"/>
                <w:lang w:val="es-ES"/>
              </w:rPr>
              <w:t>junio</w:t>
            </w:r>
          </w:p>
          <w:p w14:paraId="7D5D6081" w14:textId="77777777" w:rsidR="00CB5660" w:rsidRPr="00AE4E8D" w:rsidRDefault="00CB5660" w:rsidP="006552D5">
            <w:pPr>
              <w:keepNext/>
              <w:ind w:left="-93" w:firstLine="93"/>
              <w:jc w:val="center"/>
              <w:rPr>
                <w:rFonts w:ascii="Times New Roman" w:hAnsi="Times New Roman"/>
                <w:b/>
                <w:color w:val="000000"/>
                <w:sz w:val="16"/>
                <w:lang w:val="es-ES"/>
              </w:rPr>
            </w:pPr>
            <w:r w:rsidRPr="00AE4E8D">
              <w:rPr>
                <w:rFonts w:ascii="Times New Roman" w:hAnsi="Times New Roman"/>
                <w:b/>
                <w:color w:val="000000"/>
                <w:sz w:val="16"/>
                <w:lang w:val="es-ES"/>
              </w:rPr>
              <w:t>de 201</w:t>
            </w:r>
            <w:r w:rsidR="00CE667B" w:rsidRPr="00AE4E8D">
              <w:rPr>
                <w:rFonts w:ascii="Times New Roman" w:hAnsi="Times New Roman"/>
                <w:b/>
                <w:color w:val="000000"/>
                <w:sz w:val="16"/>
                <w:lang w:val="es-ES"/>
              </w:rPr>
              <w:t>7</w:t>
            </w:r>
          </w:p>
        </w:tc>
      </w:tr>
      <w:tr w:rsidR="00CB5660" w:rsidRPr="00AE4E8D" w14:paraId="32D10282" w14:textId="77777777" w:rsidTr="000400C8">
        <w:trPr>
          <w:trHeight w:val="225"/>
          <w:jc w:val="center"/>
        </w:trPr>
        <w:tc>
          <w:tcPr>
            <w:tcW w:w="4198" w:type="pct"/>
            <w:tcBorders>
              <w:top w:val="single" w:sz="4" w:space="0" w:color="auto"/>
              <w:left w:val="nil"/>
              <w:right w:val="nil"/>
            </w:tcBorders>
            <w:noWrap/>
            <w:vAlign w:val="center"/>
          </w:tcPr>
          <w:p w14:paraId="41C1D1BB" w14:textId="77777777" w:rsidR="00CB5660" w:rsidRPr="00AE4E8D" w:rsidRDefault="00CB5660" w:rsidP="003D44C3">
            <w:pPr>
              <w:tabs>
                <w:tab w:val="left" w:leader="dot" w:pos="7106"/>
              </w:tabs>
              <w:spacing w:before="120"/>
              <w:rPr>
                <w:rFonts w:ascii="Times New Roman" w:hAnsi="Times New Roman"/>
                <w:color w:val="000000"/>
                <w:sz w:val="16"/>
                <w:lang w:val="es-ES"/>
              </w:rPr>
            </w:pPr>
            <w:r w:rsidRPr="00AE4E8D">
              <w:rPr>
                <w:rFonts w:ascii="Times New Roman" w:hAnsi="Times New Roman"/>
                <w:color w:val="000000"/>
                <w:sz w:val="16"/>
                <w:lang w:val="es-ES"/>
              </w:rPr>
              <w:t>Ciudad Autónoma de Buenos Aires</w:t>
            </w:r>
            <w:r w:rsidRPr="00AE4E8D">
              <w:rPr>
                <w:rFonts w:ascii="Times New Roman" w:hAnsi="Times New Roman"/>
                <w:lang w:val="es-ES"/>
              </w:rPr>
              <w:tab/>
            </w:r>
          </w:p>
        </w:tc>
        <w:tc>
          <w:tcPr>
            <w:tcW w:w="802" w:type="pct"/>
            <w:tcBorders>
              <w:top w:val="single" w:sz="4" w:space="0" w:color="auto"/>
              <w:left w:val="nil"/>
              <w:right w:val="nil"/>
            </w:tcBorders>
            <w:noWrap/>
            <w:vAlign w:val="center"/>
          </w:tcPr>
          <w:p w14:paraId="4397D4F1" w14:textId="77777777" w:rsidR="00CB5660" w:rsidRPr="00AE4E8D" w:rsidRDefault="00CB5660" w:rsidP="003D44C3">
            <w:pPr>
              <w:spacing w:before="120"/>
              <w:ind w:left="-93" w:right="-250" w:hanging="29"/>
              <w:jc w:val="center"/>
              <w:rPr>
                <w:rFonts w:ascii="Times New Roman" w:hAnsi="Times New Roman"/>
                <w:color w:val="000000"/>
                <w:sz w:val="16"/>
                <w:lang w:val="es-ES"/>
              </w:rPr>
            </w:pPr>
            <w:r w:rsidRPr="00AE4E8D">
              <w:rPr>
                <w:rFonts w:ascii="Times New Roman" w:hAnsi="Times New Roman"/>
                <w:sz w:val="16"/>
                <w:lang w:val="es-ES"/>
              </w:rPr>
              <w:t>7</w:t>
            </w:r>
          </w:p>
        </w:tc>
      </w:tr>
      <w:tr w:rsidR="00CB5660" w:rsidRPr="00AE4E8D" w14:paraId="356607D1" w14:textId="77777777" w:rsidTr="000400C8">
        <w:trPr>
          <w:trHeight w:val="225"/>
          <w:jc w:val="center"/>
        </w:trPr>
        <w:tc>
          <w:tcPr>
            <w:tcW w:w="4198" w:type="pct"/>
            <w:noWrap/>
            <w:vAlign w:val="center"/>
          </w:tcPr>
          <w:p w14:paraId="175A10B8"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Provincia de Buenos Aires</w:t>
            </w:r>
            <w:r w:rsidRPr="00AE4E8D">
              <w:rPr>
                <w:rFonts w:ascii="Times New Roman" w:hAnsi="Times New Roman"/>
                <w:lang w:val="es-ES"/>
              </w:rPr>
              <w:tab/>
            </w:r>
          </w:p>
        </w:tc>
        <w:tc>
          <w:tcPr>
            <w:tcW w:w="802" w:type="pct"/>
            <w:noWrap/>
            <w:vAlign w:val="center"/>
          </w:tcPr>
          <w:p w14:paraId="75400E00" w14:textId="77777777" w:rsidR="00CB5660" w:rsidRPr="00AE4E8D" w:rsidRDefault="00DD2AED" w:rsidP="00AC0EA8">
            <w:pPr>
              <w:ind w:left="-93" w:right="-250" w:hanging="29"/>
              <w:jc w:val="center"/>
              <w:rPr>
                <w:rFonts w:ascii="Times New Roman" w:hAnsi="Times New Roman"/>
                <w:color w:val="000000"/>
                <w:sz w:val="16"/>
                <w:lang w:val="es-ES"/>
              </w:rPr>
            </w:pPr>
            <w:r w:rsidRPr="00AE4E8D">
              <w:rPr>
                <w:rFonts w:ascii="Times New Roman" w:hAnsi="Times New Roman"/>
                <w:sz w:val="16"/>
                <w:lang w:val="es-ES" w:eastAsia="es-AR"/>
              </w:rPr>
              <w:t>22</w:t>
            </w:r>
          </w:p>
        </w:tc>
      </w:tr>
      <w:tr w:rsidR="00CB5660" w:rsidRPr="00AE4E8D" w14:paraId="546A8D93" w14:textId="77777777" w:rsidTr="000400C8">
        <w:trPr>
          <w:trHeight w:val="225"/>
          <w:jc w:val="center"/>
        </w:trPr>
        <w:tc>
          <w:tcPr>
            <w:tcW w:w="4198" w:type="pct"/>
            <w:noWrap/>
            <w:vAlign w:val="center"/>
          </w:tcPr>
          <w:p w14:paraId="2646B378"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Catamarca</w:t>
            </w:r>
            <w:r w:rsidRPr="00AE4E8D">
              <w:rPr>
                <w:rFonts w:ascii="Times New Roman" w:hAnsi="Times New Roman"/>
                <w:lang w:val="es-ES"/>
              </w:rPr>
              <w:tab/>
            </w:r>
          </w:p>
        </w:tc>
        <w:tc>
          <w:tcPr>
            <w:tcW w:w="802" w:type="pct"/>
            <w:noWrap/>
            <w:vAlign w:val="center"/>
          </w:tcPr>
          <w:p w14:paraId="015FD492"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486764CA" w14:textId="77777777" w:rsidTr="000400C8">
        <w:trPr>
          <w:trHeight w:val="225"/>
          <w:jc w:val="center"/>
        </w:trPr>
        <w:tc>
          <w:tcPr>
            <w:tcW w:w="4198" w:type="pct"/>
            <w:noWrap/>
            <w:vAlign w:val="center"/>
          </w:tcPr>
          <w:p w14:paraId="16C62483" w14:textId="77777777" w:rsidR="00CB5660" w:rsidRPr="00AE4E8D" w:rsidRDefault="00934FBF">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C</w:t>
            </w:r>
            <w:r w:rsidR="00CB5660" w:rsidRPr="00AE4E8D">
              <w:rPr>
                <w:rFonts w:ascii="Times New Roman" w:hAnsi="Times New Roman"/>
                <w:color w:val="000000"/>
                <w:sz w:val="16"/>
                <w:lang w:val="es-ES"/>
              </w:rPr>
              <w:t>órdoba</w:t>
            </w:r>
            <w:r w:rsidR="00CB5660" w:rsidRPr="00AE4E8D">
              <w:rPr>
                <w:rFonts w:ascii="Times New Roman" w:hAnsi="Times New Roman"/>
                <w:lang w:val="es-ES"/>
              </w:rPr>
              <w:tab/>
            </w:r>
          </w:p>
        </w:tc>
        <w:tc>
          <w:tcPr>
            <w:tcW w:w="802" w:type="pct"/>
            <w:noWrap/>
            <w:vAlign w:val="center"/>
          </w:tcPr>
          <w:p w14:paraId="4A7367F1"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5</w:t>
            </w:r>
          </w:p>
        </w:tc>
      </w:tr>
      <w:tr w:rsidR="00CB5660" w:rsidRPr="00AE4E8D" w14:paraId="37064E0B" w14:textId="77777777" w:rsidTr="000400C8">
        <w:trPr>
          <w:trHeight w:val="233"/>
          <w:jc w:val="center"/>
        </w:trPr>
        <w:tc>
          <w:tcPr>
            <w:tcW w:w="4198" w:type="pct"/>
            <w:noWrap/>
            <w:vAlign w:val="center"/>
          </w:tcPr>
          <w:p w14:paraId="419263DD"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Corrientes</w:t>
            </w:r>
            <w:r w:rsidRPr="00AE4E8D">
              <w:rPr>
                <w:rFonts w:ascii="Times New Roman" w:hAnsi="Times New Roman"/>
                <w:lang w:val="es-ES"/>
              </w:rPr>
              <w:tab/>
            </w:r>
          </w:p>
        </w:tc>
        <w:tc>
          <w:tcPr>
            <w:tcW w:w="802" w:type="pct"/>
            <w:noWrap/>
            <w:vAlign w:val="center"/>
          </w:tcPr>
          <w:p w14:paraId="280DDDE4"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6E68E8F4" w14:textId="77777777" w:rsidTr="000400C8">
        <w:trPr>
          <w:trHeight w:val="225"/>
          <w:jc w:val="center"/>
        </w:trPr>
        <w:tc>
          <w:tcPr>
            <w:tcW w:w="4198" w:type="pct"/>
            <w:noWrap/>
            <w:vAlign w:val="center"/>
          </w:tcPr>
          <w:p w14:paraId="07ECCA26"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Chaco</w:t>
            </w:r>
            <w:r w:rsidRPr="00AE4E8D">
              <w:rPr>
                <w:rFonts w:ascii="Times New Roman" w:hAnsi="Times New Roman"/>
                <w:lang w:val="es-ES"/>
              </w:rPr>
              <w:tab/>
            </w:r>
          </w:p>
        </w:tc>
        <w:tc>
          <w:tcPr>
            <w:tcW w:w="802" w:type="pct"/>
            <w:noWrap/>
            <w:vAlign w:val="center"/>
          </w:tcPr>
          <w:p w14:paraId="2213D897"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2FCA4EB8" w14:textId="77777777" w:rsidTr="000400C8">
        <w:trPr>
          <w:trHeight w:val="225"/>
          <w:jc w:val="center"/>
        </w:trPr>
        <w:tc>
          <w:tcPr>
            <w:tcW w:w="4198" w:type="pct"/>
            <w:noWrap/>
            <w:vAlign w:val="center"/>
          </w:tcPr>
          <w:p w14:paraId="49BDB926"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Chubut</w:t>
            </w:r>
            <w:r w:rsidRPr="00AE4E8D">
              <w:rPr>
                <w:rFonts w:ascii="Times New Roman" w:hAnsi="Times New Roman"/>
                <w:lang w:val="es-ES"/>
              </w:rPr>
              <w:tab/>
            </w:r>
          </w:p>
        </w:tc>
        <w:tc>
          <w:tcPr>
            <w:tcW w:w="802" w:type="pct"/>
            <w:noWrap/>
            <w:vAlign w:val="center"/>
          </w:tcPr>
          <w:p w14:paraId="0E74BED9"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2</w:t>
            </w:r>
          </w:p>
        </w:tc>
      </w:tr>
      <w:tr w:rsidR="00CB5660" w:rsidRPr="00AE4E8D" w14:paraId="2733C78D" w14:textId="77777777" w:rsidTr="000400C8">
        <w:trPr>
          <w:trHeight w:val="225"/>
          <w:jc w:val="center"/>
        </w:trPr>
        <w:tc>
          <w:tcPr>
            <w:tcW w:w="4198" w:type="pct"/>
            <w:noWrap/>
            <w:vAlign w:val="center"/>
          </w:tcPr>
          <w:p w14:paraId="7F3AB20C"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Entre Ríos</w:t>
            </w:r>
            <w:r w:rsidRPr="00AE4E8D">
              <w:rPr>
                <w:rFonts w:ascii="Times New Roman" w:hAnsi="Times New Roman"/>
                <w:lang w:val="es-ES"/>
              </w:rPr>
              <w:tab/>
            </w:r>
          </w:p>
        </w:tc>
        <w:tc>
          <w:tcPr>
            <w:tcW w:w="802" w:type="pct"/>
            <w:noWrap/>
            <w:vAlign w:val="center"/>
          </w:tcPr>
          <w:p w14:paraId="09CD61F6"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2</w:t>
            </w:r>
          </w:p>
        </w:tc>
      </w:tr>
      <w:tr w:rsidR="00CB5660" w:rsidRPr="00AE4E8D" w14:paraId="46FEAFC9" w14:textId="77777777" w:rsidTr="000400C8">
        <w:trPr>
          <w:trHeight w:val="225"/>
          <w:jc w:val="center"/>
        </w:trPr>
        <w:tc>
          <w:tcPr>
            <w:tcW w:w="4198" w:type="pct"/>
            <w:noWrap/>
            <w:vAlign w:val="center"/>
          </w:tcPr>
          <w:p w14:paraId="087B3402"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Formosa</w:t>
            </w:r>
            <w:r w:rsidRPr="00AE4E8D">
              <w:rPr>
                <w:rFonts w:ascii="Times New Roman" w:hAnsi="Times New Roman"/>
                <w:lang w:val="es-ES"/>
              </w:rPr>
              <w:tab/>
            </w:r>
          </w:p>
        </w:tc>
        <w:tc>
          <w:tcPr>
            <w:tcW w:w="802" w:type="pct"/>
            <w:noWrap/>
            <w:vAlign w:val="center"/>
          </w:tcPr>
          <w:p w14:paraId="7986E4A6"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458A955D" w14:textId="77777777" w:rsidTr="000400C8">
        <w:trPr>
          <w:trHeight w:val="225"/>
          <w:jc w:val="center"/>
        </w:trPr>
        <w:tc>
          <w:tcPr>
            <w:tcW w:w="4198" w:type="pct"/>
            <w:noWrap/>
            <w:vAlign w:val="center"/>
          </w:tcPr>
          <w:p w14:paraId="33AA990C"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Jujuy</w:t>
            </w:r>
            <w:r w:rsidRPr="00AE4E8D">
              <w:rPr>
                <w:rFonts w:ascii="Times New Roman" w:hAnsi="Times New Roman"/>
                <w:lang w:val="es-ES"/>
              </w:rPr>
              <w:tab/>
            </w:r>
          </w:p>
        </w:tc>
        <w:tc>
          <w:tcPr>
            <w:tcW w:w="802" w:type="pct"/>
            <w:noWrap/>
            <w:vAlign w:val="center"/>
          </w:tcPr>
          <w:p w14:paraId="32BE31D5"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22CAFF4A" w14:textId="77777777" w:rsidTr="000400C8">
        <w:trPr>
          <w:trHeight w:val="225"/>
          <w:jc w:val="center"/>
        </w:trPr>
        <w:tc>
          <w:tcPr>
            <w:tcW w:w="4198" w:type="pct"/>
            <w:noWrap/>
            <w:vAlign w:val="center"/>
          </w:tcPr>
          <w:p w14:paraId="7090FA95"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La Pampa</w:t>
            </w:r>
            <w:r w:rsidRPr="00AE4E8D">
              <w:rPr>
                <w:rFonts w:ascii="Times New Roman" w:hAnsi="Times New Roman"/>
                <w:lang w:val="es-ES"/>
              </w:rPr>
              <w:tab/>
            </w:r>
          </w:p>
        </w:tc>
        <w:tc>
          <w:tcPr>
            <w:tcW w:w="802" w:type="pct"/>
            <w:noWrap/>
            <w:vAlign w:val="center"/>
          </w:tcPr>
          <w:p w14:paraId="04EA1241"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2</w:t>
            </w:r>
          </w:p>
        </w:tc>
      </w:tr>
      <w:tr w:rsidR="00CB5660" w:rsidRPr="00AE4E8D" w14:paraId="58F4A667" w14:textId="77777777" w:rsidTr="000400C8">
        <w:trPr>
          <w:trHeight w:val="225"/>
          <w:jc w:val="center"/>
        </w:trPr>
        <w:tc>
          <w:tcPr>
            <w:tcW w:w="4198" w:type="pct"/>
            <w:noWrap/>
            <w:vAlign w:val="center"/>
          </w:tcPr>
          <w:p w14:paraId="60B06BC9"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lastRenderedPageBreak/>
              <w:t>La Rioja</w:t>
            </w:r>
            <w:r w:rsidRPr="00AE4E8D">
              <w:rPr>
                <w:rFonts w:ascii="Times New Roman" w:hAnsi="Times New Roman"/>
                <w:lang w:val="es-ES"/>
              </w:rPr>
              <w:tab/>
            </w:r>
          </w:p>
        </w:tc>
        <w:tc>
          <w:tcPr>
            <w:tcW w:w="802" w:type="pct"/>
            <w:noWrap/>
            <w:vAlign w:val="center"/>
          </w:tcPr>
          <w:p w14:paraId="6B23D6CF"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31254624" w14:textId="77777777" w:rsidTr="000400C8">
        <w:trPr>
          <w:trHeight w:val="269"/>
          <w:jc w:val="center"/>
        </w:trPr>
        <w:tc>
          <w:tcPr>
            <w:tcW w:w="4198" w:type="pct"/>
            <w:noWrap/>
            <w:vAlign w:val="center"/>
          </w:tcPr>
          <w:p w14:paraId="3CA0AA24"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Mendoza</w:t>
            </w:r>
            <w:r w:rsidRPr="00AE4E8D">
              <w:rPr>
                <w:rFonts w:ascii="Times New Roman" w:hAnsi="Times New Roman"/>
                <w:lang w:val="es-ES"/>
              </w:rPr>
              <w:tab/>
            </w:r>
          </w:p>
        </w:tc>
        <w:tc>
          <w:tcPr>
            <w:tcW w:w="802" w:type="pct"/>
            <w:noWrap/>
            <w:vAlign w:val="center"/>
          </w:tcPr>
          <w:p w14:paraId="7AABF00E"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2</w:t>
            </w:r>
          </w:p>
        </w:tc>
      </w:tr>
      <w:tr w:rsidR="00CB5660" w:rsidRPr="00AE4E8D" w14:paraId="30E8BB6C" w14:textId="77777777" w:rsidTr="000400C8">
        <w:trPr>
          <w:trHeight w:val="260"/>
          <w:jc w:val="center"/>
        </w:trPr>
        <w:tc>
          <w:tcPr>
            <w:tcW w:w="4198" w:type="pct"/>
            <w:noWrap/>
            <w:vAlign w:val="center"/>
          </w:tcPr>
          <w:p w14:paraId="7E00B30F"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Misiones</w:t>
            </w:r>
            <w:r w:rsidRPr="00AE4E8D">
              <w:rPr>
                <w:rFonts w:ascii="Times New Roman" w:hAnsi="Times New Roman"/>
                <w:lang w:val="es-ES"/>
              </w:rPr>
              <w:tab/>
            </w:r>
          </w:p>
        </w:tc>
        <w:tc>
          <w:tcPr>
            <w:tcW w:w="802" w:type="pct"/>
            <w:noWrap/>
            <w:vAlign w:val="center"/>
          </w:tcPr>
          <w:p w14:paraId="7BE23A6F"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54BA76EE" w14:textId="77777777" w:rsidTr="000400C8">
        <w:trPr>
          <w:trHeight w:val="225"/>
          <w:jc w:val="center"/>
        </w:trPr>
        <w:tc>
          <w:tcPr>
            <w:tcW w:w="4198" w:type="pct"/>
            <w:noWrap/>
            <w:vAlign w:val="center"/>
          </w:tcPr>
          <w:p w14:paraId="6B6AE4E4"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Neuquén</w:t>
            </w:r>
            <w:r w:rsidRPr="00AE4E8D">
              <w:rPr>
                <w:rFonts w:ascii="Times New Roman" w:hAnsi="Times New Roman"/>
                <w:lang w:val="es-ES"/>
              </w:rPr>
              <w:tab/>
            </w:r>
          </w:p>
        </w:tc>
        <w:tc>
          <w:tcPr>
            <w:tcW w:w="802" w:type="pct"/>
            <w:noWrap/>
            <w:vAlign w:val="center"/>
          </w:tcPr>
          <w:p w14:paraId="7EDBE3AE"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5C17B4D7" w14:textId="77777777" w:rsidTr="000400C8">
        <w:trPr>
          <w:trHeight w:val="225"/>
          <w:jc w:val="center"/>
        </w:trPr>
        <w:tc>
          <w:tcPr>
            <w:tcW w:w="4198" w:type="pct"/>
            <w:noWrap/>
            <w:vAlign w:val="center"/>
          </w:tcPr>
          <w:p w14:paraId="107177E2"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Rio Negro</w:t>
            </w:r>
            <w:r w:rsidRPr="00AE4E8D">
              <w:rPr>
                <w:rFonts w:ascii="Times New Roman" w:hAnsi="Times New Roman"/>
                <w:lang w:val="es-ES"/>
              </w:rPr>
              <w:tab/>
            </w:r>
          </w:p>
        </w:tc>
        <w:tc>
          <w:tcPr>
            <w:tcW w:w="802" w:type="pct"/>
            <w:noWrap/>
            <w:vAlign w:val="center"/>
          </w:tcPr>
          <w:p w14:paraId="6C10D065"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192C313D" w14:textId="77777777" w:rsidTr="000400C8">
        <w:trPr>
          <w:trHeight w:val="225"/>
          <w:jc w:val="center"/>
        </w:trPr>
        <w:tc>
          <w:tcPr>
            <w:tcW w:w="4198" w:type="pct"/>
            <w:noWrap/>
            <w:vAlign w:val="center"/>
          </w:tcPr>
          <w:p w14:paraId="14818994"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Salta</w:t>
            </w:r>
            <w:r w:rsidRPr="00AE4E8D">
              <w:rPr>
                <w:rFonts w:ascii="Times New Roman" w:hAnsi="Times New Roman"/>
                <w:lang w:val="es-ES"/>
              </w:rPr>
              <w:tab/>
            </w:r>
          </w:p>
        </w:tc>
        <w:tc>
          <w:tcPr>
            <w:tcW w:w="802" w:type="pct"/>
            <w:noWrap/>
            <w:vAlign w:val="center"/>
          </w:tcPr>
          <w:p w14:paraId="4887B4B4"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20F85789" w14:textId="77777777" w:rsidTr="000400C8">
        <w:trPr>
          <w:trHeight w:val="225"/>
          <w:jc w:val="center"/>
        </w:trPr>
        <w:tc>
          <w:tcPr>
            <w:tcW w:w="4198" w:type="pct"/>
            <w:noWrap/>
            <w:vAlign w:val="center"/>
          </w:tcPr>
          <w:p w14:paraId="4F69AE73"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San Juan</w:t>
            </w:r>
            <w:r w:rsidRPr="00AE4E8D">
              <w:rPr>
                <w:rFonts w:ascii="Times New Roman" w:hAnsi="Times New Roman"/>
                <w:lang w:val="es-ES"/>
              </w:rPr>
              <w:tab/>
            </w:r>
          </w:p>
        </w:tc>
        <w:tc>
          <w:tcPr>
            <w:tcW w:w="802" w:type="pct"/>
            <w:noWrap/>
            <w:vAlign w:val="center"/>
          </w:tcPr>
          <w:p w14:paraId="245661F2"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4D2F50CD" w14:textId="77777777" w:rsidTr="000400C8">
        <w:trPr>
          <w:trHeight w:val="225"/>
          <w:jc w:val="center"/>
        </w:trPr>
        <w:tc>
          <w:tcPr>
            <w:tcW w:w="4198" w:type="pct"/>
            <w:noWrap/>
            <w:vAlign w:val="center"/>
          </w:tcPr>
          <w:p w14:paraId="7242D558"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San Luis</w:t>
            </w:r>
            <w:r w:rsidRPr="00AE4E8D">
              <w:rPr>
                <w:rFonts w:ascii="Times New Roman" w:hAnsi="Times New Roman"/>
                <w:lang w:val="es-ES"/>
              </w:rPr>
              <w:tab/>
            </w:r>
          </w:p>
        </w:tc>
        <w:tc>
          <w:tcPr>
            <w:tcW w:w="802" w:type="pct"/>
            <w:noWrap/>
            <w:vAlign w:val="center"/>
          </w:tcPr>
          <w:p w14:paraId="08FF821D"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7A320EDB" w14:textId="77777777" w:rsidTr="000400C8">
        <w:trPr>
          <w:trHeight w:val="225"/>
          <w:jc w:val="center"/>
        </w:trPr>
        <w:tc>
          <w:tcPr>
            <w:tcW w:w="4198" w:type="pct"/>
            <w:noWrap/>
            <w:vAlign w:val="center"/>
          </w:tcPr>
          <w:p w14:paraId="2B3BA024"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Santa Cruz</w:t>
            </w:r>
            <w:r w:rsidRPr="00AE4E8D">
              <w:rPr>
                <w:rFonts w:ascii="Times New Roman" w:hAnsi="Times New Roman"/>
                <w:lang w:val="es-ES"/>
              </w:rPr>
              <w:tab/>
            </w:r>
          </w:p>
        </w:tc>
        <w:tc>
          <w:tcPr>
            <w:tcW w:w="802" w:type="pct"/>
            <w:noWrap/>
            <w:vAlign w:val="center"/>
          </w:tcPr>
          <w:p w14:paraId="297B4C7D"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2</w:t>
            </w:r>
          </w:p>
        </w:tc>
      </w:tr>
      <w:tr w:rsidR="00CB5660" w:rsidRPr="00AE4E8D" w14:paraId="1D9144BA" w14:textId="77777777" w:rsidTr="000400C8">
        <w:trPr>
          <w:trHeight w:val="225"/>
          <w:jc w:val="center"/>
        </w:trPr>
        <w:tc>
          <w:tcPr>
            <w:tcW w:w="4198" w:type="pct"/>
            <w:noWrap/>
            <w:vAlign w:val="center"/>
          </w:tcPr>
          <w:p w14:paraId="6D70D148"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Santa Fe</w:t>
            </w:r>
            <w:r w:rsidRPr="00AE4E8D">
              <w:rPr>
                <w:rFonts w:ascii="Times New Roman" w:hAnsi="Times New Roman"/>
                <w:lang w:val="es-ES"/>
              </w:rPr>
              <w:tab/>
            </w:r>
          </w:p>
        </w:tc>
        <w:tc>
          <w:tcPr>
            <w:tcW w:w="802" w:type="pct"/>
            <w:noWrap/>
            <w:vAlign w:val="center"/>
          </w:tcPr>
          <w:p w14:paraId="1C199C63"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5</w:t>
            </w:r>
          </w:p>
        </w:tc>
      </w:tr>
      <w:tr w:rsidR="00CB5660" w:rsidRPr="00AE4E8D" w14:paraId="54B6782C" w14:textId="77777777" w:rsidTr="000400C8">
        <w:trPr>
          <w:trHeight w:val="225"/>
          <w:jc w:val="center"/>
        </w:trPr>
        <w:tc>
          <w:tcPr>
            <w:tcW w:w="4198" w:type="pct"/>
            <w:noWrap/>
            <w:vAlign w:val="center"/>
          </w:tcPr>
          <w:p w14:paraId="69066757"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Santiago del Estero</w:t>
            </w:r>
            <w:r w:rsidRPr="00AE4E8D">
              <w:rPr>
                <w:rFonts w:ascii="Times New Roman" w:hAnsi="Times New Roman"/>
                <w:lang w:val="es-ES"/>
              </w:rPr>
              <w:tab/>
            </w:r>
          </w:p>
        </w:tc>
        <w:tc>
          <w:tcPr>
            <w:tcW w:w="802" w:type="pct"/>
            <w:noWrap/>
            <w:vAlign w:val="center"/>
          </w:tcPr>
          <w:p w14:paraId="35B7514B"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6EAB2FF0" w14:textId="77777777" w:rsidTr="000400C8">
        <w:trPr>
          <w:trHeight w:val="225"/>
          <w:jc w:val="center"/>
        </w:trPr>
        <w:tc>
          <w:tcPr>
            <w:tcW w:w="4198" w:type="pct"/>
            <w:noWrap/>
            <w:vAlign w:val="center"/>
          </w:tcPr>
          <w:p w14:paraId="772D0639"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Tucumán</w:t>
            </w:r>
            <w:r w:rsidRPr="00AE4E8D">
              <w:rPr>
                <w:rFonts w:ascii="Times New Roman" w:hAnsi="Times New Roman"/>
                <w:lang w:val="es-ES"/>
              </w:rPr>
              <w:tab/>
            </w:r>
          </w:p>
        </w:tc>
        <w:tc>
          <w:tcPr>
            <w:tcW w:w="802" w:type="pct"/>
            <w:noWrap/>
            <w:vAlign w:val="center"/>
          </w:tcPr>
          <w:p w14:paraId="1554BB89"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2</w:t>
            </w:r>
          </w:p>
        </w:tc>
      </w:tr>
      <w:tr w:rsidR="00CB5660" w:rsidRPr="00AE4E8D" w14:paraId="7920D5FB" w14:textId="77777777" w:rsidTr="000400C8">
        <w:trPr>
          <w:trHeight w:val="225"/>
          <w:jc w:val="center"/>
        </w:trPr>
        <w:tc>
          <w:tcPr>
            <w:tcW w:w="4198" w:type="pct"/>
            <w:tcBorders>
              <w:left w:val="nil"/>
              <w:bottom w:val="single" w:sz="4" w:space="0" w:color="auto"/>
              <w:right w:val="nil"/>
            </w:tcBorders>
            <w:noWrap/>
            <w:vAlign w:val="center"/>
          </w:tcPr>
          <w:p w14:paraId="385AFABB" w14:textId="77777777" w:rsidR="00CB5660" w:rsidRPr="00AE4E8D" w:rsidRDefault="00CB5660" w:rsidP="003D44C3">
            <w:pPr>
              <w:tabs>
                <w:tab w:val="left" w:leader="dot" w:pos="7106"/>
              </w:tabs>
              <w:rPr>
                <w:rFonts w:ascii="Times New Roman" w:hAnsi="Times New Roman"/>
                <w:color w:val="000000"/>
                <w:sz w:val="16"/>
                <w:lang w:val="es-ES"/>
              </w:rPr>
            </w:pPr>
            <w:r w:rsidRPr="00AE4E8D">
              <w:rPr>
                <w:rFonts w:ascii="Times New Roman" w:hAnsi="Times New Roman"/>
                <w:color w:val="000000"/>
                <w:sz w:val="16"/>
                <w:lang w:val="es-ES"/>
              </w:rPr>
              <w:t>Tierra del Fuego</w:t>
            </w:r>
            <w:r w:rsidRPr="00AE4E8D">
              <w:rPr>
                <w:rFonts w:ascii="Times New Roman" w:hAnsi="Times New Roman"/>
                <w:lang w:val="es-ES"/>
              </w:rPr>
              <w:tab/>
            </w:r>
          </w:p>
        </w:tc>
        <w:tc>
          <w:tcPr>
            <w:tcW w:w="802" w:type="pct"/>
            <w:tcBorders>
              <w:left w:val="nil"/>
              <w:bottom w:val="single" w:sz="4" w:space="0" w:color="auto"/>
              <w:right w:val="nil"/>
            </w:tcBorders>
            <w:noWrap/>
            <w:vAlign w:val="center"/>
          </w:tcPr>
          <w:p w14:paraId="1551AB2F" w14:textId="77777777" w:rsidR="00CB5660" w:rsidRPr="00AE4E8D" w:rsidRDefault="00CB5660" w:rsidP="003D44C3">
            <w:pPr>
              <w:ind w:left="-93" w:right="-250" w:hanging="29"/>
              <w:jc w:val="center"/>
              <w:rPr>
                <w:rFonts w:ascii="Times New Roman" w:hAnsi="Times New Roman"/>
                <w:color w:val="000000"/>
                <w:sz w:val="16"/>
                <w:lang w:val="es-ES"/>
              </w:rPr>
            </w:pPr>
            <w:r w:rsidRPr="00AE4E8D">
              <w:rPr>
                <w:rFonts w:ascii="Times New Roman" w:hAnsi="Times New Roman"/>
                <w:sz w:val="16"/>
                <w:lang w:val="es-ES"/>
              </w:rPr>
              <w:t>1</w:t>
            </w:r>
          </w:p>
        </w:tc>
      </w:tr>
      <w:tr w:rsidR="00CB5660" w:rsidRPr="00AE4E8D" w14:paraId="4B05F2D2" w14:textId="77777777" w:rsidTr="000400C8">
        <w:trPr>
          <w:trHeight w:val="56"/>
          <w:jc w:val="center"/>
        </w:trPr>
        <w:tc>
          <w:tcPr>
            <w:tcW w:w="4198" w:type="pct"/>
            <w:tcBorders>
              <w:top w:val="single" w:sz="4" w:space="0" w:color="auto"/>
              <w:left w:val="nil"/>
              <w:bottom w:val="single" w:sz="4" w:space="0" w:color="auto"/>
              <w:right w:val="nil"/>
            </w:tcBorders>
            <w:noWrap/>
            <w:vAlign w:val="center"/>
          </w:tcPr>
          <w:p w14:paraId="7BBDE8F4" w14:textId="77777777" w:rsidR="00CB5660" w:rsidRPr="00AE4E8D" w:rsidRDefault="00CB5660" w:rsidP="003D44C3">
            <w:pPr>
              <w:tabs>
                <w:tab w:val="left" w:leader="dot" w:pos="7106"/>
              </w:tabs>
              <w:spacing w:before="120"/>
              <w:rPr>
                <w:rFonts w:ascii="Times New Roman" w:hAnsi="Times New Roman"/>
                <w:b/>
                <w:color w:val="000000"/>
                <w:sz w:val="16"/>
                <w:lang w:val="es-ES"/>
              </w:rPr>
            </w:pPr>
            <w:r w:rsidRPr="00AE4E8D">
              <w:rPr>
                <w:rFonts w:ascii="Times New Roman" w:hAnsi="Times New Roman"/>
                <w:b/>
                <w:color w:val="000000"/>
                <w:sz w:val="16"/>
                <w:lang w:val="es-ES"/>
              </w:rPr>
              <w:t>Total</w:t>
            </w:r>
          </w:p>
        </w:tc>
        <w:tc>
          <w:tcPr>
            <w:tcW w:w="802" w:type="pct"/>
            <w:tcBorders>
              <w:top w:val="single" w:sz="4" w:space="0" w:color="auto"/>
              <w:left w:val="nil"/>
              <w:bottom w:val="single" w:sz="4" w:space="0" w:color="auto"/>
              <w:right w:val="nil"/>
            </w:tcBorders>
            <w:noWrap/>
            <w:vAlign w:val="center"/>
          </w:tcPr>
          <w:p w14:paraId="3F9ED2B3" w14:textId="77777777" w:rsidR="00CB5660" w:rsidRPr="00AE4E8D" w:rsidRDefault="00926581" w:rsidP="00926581">
            <w:pPr>
              <w:spacing w:before="120"/>
              <w:ind w:left="-93" w:right="-250" w:hanging="29"/>
              <w:jc w:val="center"/>
              <w:rPr>
                <w:rFonts w:ascii="Times New Roman" w:hAnsi="Times New Roman"/>
                <w:b/>
                <w:color w:val="000000"/>
                <w:sz w:val="14"/>
                <w:lang w:val="es-ES"/>
              </w:rPr>
            </w:pPr>
            <w:r w:rsidRPr="00AE4E8D">
              <w:rPr>
                <w:rFonts w:ascii="Times New Roman" w:hAnsi="Times New Roman"/>
                <w:sz w:val="16"/>
                <w:lang w:val="es-ES"/>
              </w:rPr>
              <w:t>6</w:t>
            </w:r>
            <w:r w:rsidR="004C2AD5" w:rsidRPr="00AE4E8D">
              <w:rPr>
                <w:rFonts w:ascii="Times New Roman" w:hAnsi="Times New Roman"/>
                <w:sz w:val="16"/>
                <w:lang w:val="es-ES"/>
              </w:rPr>
              <w:t>5</w:t>
            </w:r>
          </w:p>
        </w:tc>
      </w:tr>
    </w:tbl>
    <w:p w14:paraId="3E413B4E" w14:textId="77777777" w:rsidR="007F449A" w:rsidRPr="00AE4E8D" w:rsidRDefault="007F449A" w:rsidP="00091EF5">
      <w:pPr>
        <w:pStyle w:val="BHTexto"/>
        <w:spacing w:after="0"/>
        <w:ind w:left="709"/>
        <w:rPr>
          <w:lang w:val="es-ES"/>
        </w:rPr>
      </w:pPr>
      <w:r w:rsidRPr="00AE4E8D">
        <w:rPr>
          <w:rStyle w:val="Refdenotaalpie"/>
          <w:sz w:val="16"/>
          <w:szCs w:val="16"/>
          <w:lang w:val="es-ES"/>
        </w:rPr>
        <w:footnoteRef/>
      </w:r>
      <w:r w:rsidRPr="00AE4E8D">
        <w:rPr>
          <w:sz w:val="16"/>
          <w:szCs w:val="16"/>
          <w:lang w:val="es-ES"/>
        </w:rPr>
        <w:t xml:space="preserve"> Fuente: Información interna del Banco y sus subsidiarias.</w:t>
      </w:r>
    </w:p>
    <w:p w14:paraId="678CF115" w14:textId="77777777" w:rsidR="00CB5660" w:rsidRPr="00AE4E8D" w:rsidRDefault="00CB5660" w:rsidP="00954878">
      <w:pPr>
        <w:pStyle w:val="BHTexto"/>
        <w:spacing w:after="0"/>
        <w:rPr>
          <w:lang w:val="es-ES"/>
        </w:rPr>
      </w:pPr>
      <w:r w:rsidRPr="00AE4E8D">
        <w:rPr>
          <w:lang w:val="es-ES"/>
        </w:rPr>
        <w:t>Las siguientes tablas, las cuales han sido preparadas en forma individual y consolidada y están basadas en información interna, estableciendo cambios en nuestra propiedad, planta y equipamiento y propiedades miscel</w:t>
      </w:r>
      <w:r w:rsidR="00954878" w:rsidRPr="00AE4E8D">
        <w:rPr>
          <w:lang w:val="es-ES"/>
        </w:rPr>
        <w:t>áneas por el periodo relevante.</w:t>
      </w:r>
    </w:p>
    <w:p w14:paraId="250992FD" w14:textId="77777777" w:rsidR="00D92FD5" w:rsidRPr="00AE4E8D" w:rsidRDefault="00D92FD5" w:rsidP="00D92FD5">
      <w:pPr>
        <w:pStyle w:val="BHTexto"/>
        <w:keepNext/>
        <w:keepLines/>
        <w:spacing w:after="0"/>
        <w:rPr>
          <w:b/>
          <w:color w:val="000000"/>
          <w:lang w:val="es-ES"/>
        </w:rPr>
      </w:pPr>
      <w:bookmarkStart w:id="302" w:name="_Toc487734739"/>
      <w:bookmarkStart w:id="303" w:name="_Toc421201359"/>
      <w:bookmarkStart w:id="304" w:name="_Toc112831440"/>
      <w:bookmarkStart w:id="305" w:name="_Toc413242481"/>
      <w:bookmarkStart w:id="306" w:name="_Toc449010429"/>
      <w:r w:rsidRPr="00AE4E8D">
        <w:rPr>
          <w:b/>
          <w:color w:val="000000"/>
          <w:lang w:val="es-ES"/>
        </w:rPr>
        <w:t>Movimientos de Bienes de Uso y Bienes Diversos del Banco en forma individual</w:t>
      </w:r>
      <w:r w:rsidRPr="00AE4E8D">
        <w:rPr>
          <w:rStyle w:val="Refdenotaalpie"/>
          <w:b/>
          <w:color w:val="000000"/>
          <w:lang w:val="es-ES"/>
        </w:rPr>
        <w:footnoteReference w:id="11"/>
      </w:r>
    </w:p>
    <w:tbl>
      <w:tblPr>
        <w:tblW w:w="11008" w:type="dxa"/>
        <w:jc w:val="center"/>
        <w:tblLayout w:type="fixed"/>
        <w:tblLook w:val="04A0" w:firstRow="1" w:lastRow="0" w:firstColumn="1" w:lastColumn="0" w:noHBand="0" w:noVBand="1"/>
      </w:tblPr>
      <w:tblGrid>
        <w:gridCol w:w="1511"/>
        <w:gridCol w:w="1164"/>
        <w:gridCol w:w="923"/>
        <w:gridCol w:w="1104"/>
        <w:gridCol w:w="765"/>
        <w:gridCol w:w="1241"/>
        <w:gridCol w:w="1179"/>
        <w:gridCol w:w="887"/>
        <w:gridCol w:w="1130"/>
        <w:gridCol w:w="1104"/>
      </w:tblGrid>
      <w:tr w:rsidR="003B5193" w:rsidRPr="00AE4E8D" w14:paraId="0719A091" w14:textId="77777777" w:rsidTr="00B37A59">
        <w:trPr>
          <w:trHeight w:val="412"/>
          <w:jc w:val="center"/>
        </w:trPr>
        <w:tc>
          <w:tcPr>
            <w:tcW w:w="1511" w:type="dxa"/>
            <w:vMerge w:val="restart"/>
            <w:tcBorders>
              <w:top w:val="nil"/>
              <w:left w:val="nil"/>
              <w:bottom w:val="single" w:sz="8" w:space="0" w:color="000000"/>
              <w:right w:val="nil"/>
            </w:tcBorders>
            <w:shd w:val="clear" w:color="auto" w:fill="auto"/>
            <w:vAlign w:val="center"/>
            <w:hideMark/>
          </w:tcPr>
          <w:p w14:paraId="7B58BE03"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Concepto</w:t>
            </w:r>
          </w:p>
        </w:tc>
        <w:tc>
          <w:tcPr>
            <w:tcW w:w="1164" w:type="dxa"/>
            <w:vMerge w:val="restart"/>
            <w:tcBorders>
              <w:top w:val="nil"/>
              <w:left w:val="nil"/>
              <w:bottom w:val="single" w:sz="8" w:space="0" w:color="000000"/>
              <w:right w:val="nil"/>
            </w:tcBorders>
            <w:shd w:val="clear" w:color="auto" w:fill="auto"/>
            <w:vAlign w:val="center"/>
            <w:hideMark/>
          </w:tcPr>
          <w:p w14:paraId="167E6B95"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Valor residual al inicio del ejercicio</w:t>
            </w:r>
          </w:p>
        </w:tc>
        <w:tc>
          <w:tcPr>
            <w:tcW w:w="923" w:type="dxa"/>
            <w:vMerge w:val="restart"/>
            <w:tcBorders>
              <w:top w:val="nil"/>
              <w:left w:val="nil"/>
              <w:bottom w:val="single" w:sz="8" w:space="0" w:color="000000"/>
              <w:right w:val="nil"/>
            </w:tcBorders>
            <w:shd w:val="clear" w:color="auto" w:fill="auto"/>
            <w:vAlign w:val="center"/>
            <w:hideMark/>
          </w:tcPr>
          <w:p w14:paraId="0AF1FB97"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Incorpora-</w:t>
            </w:r>
            <w:r w:rsidR="00EB3492" w:rsidRPr="00AE4E8D">
              <w:rPr>
                <w:rFonts w:ascii="Times New Roman" w:hAnsi="Times New Roman"/>
                <w:b/>
                <w:bCs/>
                <w:color w:val="000000"/>
                <w:sz w:val="14"/>
                <w:szCs w:val="14"/>
                <w:lang w:val="es-ES"/>
              </w:rPr>
              <w:t xml:space="preserve"> </w:t>
            </w:r>
            <w:r w:rsidRPr="00AE4E8D">
              <w:rPr>
                <w:rFonts w:ascii="Times New Roman" w:hAnsi="Times New Roman"/>
                <w:b/>
                <w:bCs/>
                <w:color w:val="000000"/>
                <w:sz w:val="14"/>
                <w:szCs w:val="14"/>
                <w:lang w:val="es-ES"/>
              </w:rPr>
              <w:t>ciones</w:t>
            </w:r>
          </w:p>
        </w:tc>
        <w:tc>
          <w:tcPr>
            <w:tcW w:w="1104" w:type="dxa"/>
            <w:vMerge w:val="restart"/>
            <w:tcBorders>
              <w:top w:val="nil"/>
              <w:left w:val="nil"/>
              <w:bottom w:val="single" w:sz="8" w:space="0" w:color="000000"/>
              <w:right w:val="nil"/>
            </w:tcBorders>
            <w:shd w:val="clear" w:color="auto" w:fill="auto"/>
            <w:vAlign w:val="center"/>
            <w:hideMark/>
          </w:tcPr>
          <w:p w14:paraId="004D75C6"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Transferencias</w:t>
            </w:r>
          </w:p>
        </w:tc>
        <w:tc>
          <w:tcPr>
            <w:tcW w:w="765" w:type="dxa"/>
            <w:vMerge w:val="restart"/>
            <w:tcBorders>
              <w:top w:val="nil"/>
              <w:left w:val="nil"/>
              <w:bottom w:val="single" w:sz="8" w:space="0" w:color="000000"/>
              <w:right w:val="nil"/>
            </w:tcBorders>
            <w:shd w:val="clear" w:color="auto" w:fill="auto"/>
            <w:vAlign w:val="center"/>
            <w:hideMark/>
          </w:tcPr>
          <w:p w14:paraId="36ABDCF6"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Bajas</w:t>
            </w:r>
          </w:p>
        </w:tc>
        <w:tc>
          <w:tcPr>
            <w:tcW w:w="1241" w:type="dxa"/>
            <w:vMerge w:val="restart"/>
            <w:tcBorders>
              <w:top w:val="nil"/>
              <w:left w:val="nil"/>
              <w:bottom w:val="single" w:sz="8" w:space="0" w:color="000000"/>
              <w:right w:val="nil"/>
            </w:tcBorders>
            <w:shd w:val="clear" w:color="auto" w:fill="auto"/>
            <w:vAlign w:val="center"/>
            <w:hideMark/>
          </w:tcPr>
          <w:p w14:paraId="7A488D66"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Pérdidas por desvalorización</w:t>
            </w:r>
          </w:p>
        </w:tc>
        <w:tc>
          <w:tcPr>
            <w:tcW w:w="2066" w:type="dxa"/>
            <w:gridSpan w:val="2"/>
            <w:tcBorders>
              <w:top w:val="nil"/>
              <w:left w:val="nil"/>
              <w:bottom w:val="nil"/>
              <w:right w:val="nil"/>
            </w:tcBorders>
            <w:shd w:val="clear" w:color="auto" w:fill="auto"/>
            <w:vAlign w:val="center"/>
            <w:hideMark/>
          </w:tcPr>
          <w:p w14:paraId="4C658DF2"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Depreciaciones del ejercicio</w:t>
            </w:r>
          </w:p>
        </w:tc>
        <w:tc>
          <w:tcPr>
            <w:tcW w:w="1130" w:type="dxa"/>
            <w:vMerge w:val="restart"/>
            <w:tcBorders>
              <w:top w:val="nil"/>
              <w:left w:val="nil"/>
              <w:bottom w:val="single" w:sz="8" w:space="0" w:color="000000"/>
              <w:right w:val="nil"/>
            </w:tcBorders>
            <w:shd w:val="clear" w:color="auto" w:fill="auto"/>
            <w:vAlign w:val="center"/>
            <w:hideMark/>
          </w:tcPr>
          <w:p w14:paraId="6F035B8C"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Valor residual al cierre del periodo 30/06/2017</w:t>
            </w:r>
          </w:p>
        </w:tc>
        <w:tc>
          <w:tcPr>
            <w:tcW w:w="1104" w:type="dxa"/>
            <w:vMerge w:val="restart"/>
            <w:tcBorders>
              <w:top w:val="nil"/>
              <w:left w:val="nil"/>
              <w:bottom w:val="single" w:sz="8" w:space="0" w:color="000000"/>
              <w:right w:val="nil"/>
            </w:tcBorders>
            <w:shd w:val="clear" w:color="auto" w:fill="auto"/>
            <w:vAlign w:val="center"/>
            <w:hideMark/>
          </w:tcPr>
          <w:p w14:paraId="6EDBF381"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Valor residual al cierre del periodo 30/06/2016</w:t>
            </w:r>
          </w:p>
        </w:tc>
      </w:tr>
      <w:tr w:rsidR="00D92FD5" w:rsidRPr="00AE4E8D" w14:paraId="1B2CD28E" w14:textId="77777777" w:rsidTr="000400C8">
        <w:trPr>
          <w:trHeight w:val="430"/>
          <w:jc w:val="center"/>
        </w:trPr>
        <w:tc>
          <w:tcPr>
            <w:tcW w:w="1511" w:type="dxa"/>
            <w:vMerge/>
            <w:tcBorders>
              <w:top w:val="nil"/>
              <w:left w:val="nil"/>
              <w:bottom w:val="single" w:sz="8" w:space="0" w:color="000000"/>
              <w:right w:val="nil"/>
            </w:tcBorders>
            <w:vAlign w:val="center"/>
            <w:hideMark/>
          </w:tcPr>
          <w:p w14:paraId="7D318229" w14:textId="77777777" w:rsidR="00D92FD5" w:rsidRPr="00AE4E8D" w:rsidRDefault="00D92FD5" w:rsidP="00D92FD5">
            <w:pPr>
              <w:keepNext/>
              <w:keepLines/>
              <w:rPr>
                <w:rFonts w:ascii="Times New Roman" w:hAnsi="Times New Roman"/>
                <w:b/>
                <w:bCs/>
                <w:color w:val="000000"/>
                <w:sz w:val="14"/>
                <w:szCs w:val="14"/>
                <w:lang w:val="es-ES"/>
              </w:rPr>
            </w:pPr>
          </w:p>
        </w:tc>
        <w:tc>
          <w:tcPr>
            <w:tcW w:w="1164" w:type="dxa"/>
            <w:vMerge/>
            <w:tcBorders>
              <w:top w:val="nil"/>
              <w:left w:val="nil"/>
              <w:bottom w:val="single" w:sz="8" w:space="0" w:color="000000"/>
              <w:right w:val="nil"/>
            </w:tcBorders>
            <w:vAlign w:val="center"/>
            <w:hideMark/>
          </w:tcPr>
          <w:p w14:paraId="6F5B5488" w14:textId="77777777" w:rsidR="00D92FD5" w:rsidRPr="00AE4E8D" w:rsidRDefault="00D92FD5" w:rsidP="00D92FD5">
            <w:pPr>
              <w:keepNext/>
              <w:keepLines/>
              <w:rPr>
                <w:rFonts w:ascii="Times New Roman" w:hAnsi="Times New Roman"/>
                <w:b/>
                <w:bCs/>
                <w:color w:val="000000"/>
                <w:sz w:val="14"/>
                <w:szCs w:val="14"/>
                <w:lang w:val="es-ES"/>
              </w:rPr>
            </w:pPr>
          </w:p>
        </w:tc>
        <w:tc>
          <w:tcPr>
            <w:tcW w:w="923" w:type="dxa"/>
            <w:vMerge/>
            <w:tcBorders>
              <w:top w:val="nil"/>
              <w:left w:val="nil"/>
              <w:bottom w:val="single" w:sz="8" w:space="0" w:color="000000"/>
              <w:right w:val="nil"/>
            </w:tcBorders>
            <w:vAlign w:val="center"/>
            <w:hideMark/>
          </w:tcPr>
          <w:p w14:paraId="1DC6C624" w14:textId="77777777" w:rsidR="00D92FD5" w:rsidRPr="00AE4E8D" w:rsidRDefault="00D92FD5" w:rsidP="00D92FD5">
            <w:pPr>
              <w:keepNext/>
              <w:keepLines/>
              <w:rPr>
                <w:rFonts w:ascii="Times New Roman" w:hAnsi="Times New Roman"/>
                <w:b/>
                <w:bCs/>
                <w:color w:val="000000"/>
                <w:sz w:val="14"/>
                <w:szCs w:val="14"/>
                <w:lang w:val="es-ES"/>
              </w:rPr>
            </w:pPr>
          </w:p>
        </w:tc>
        <w:tc>
          <w:tcPr>
            <w:tcW w:w="1104" w:type="dxa"/>
            <w:vMerge/>
            <w:tcBorders>
              <w:top w:val="nil"/>
              <w:left w:val="nil"/>
              <w:bottom w:val="single" w:sz="8" w:space="0" w:color="000000"/>
              <w:right w:val="nil"/>
            </w:tcBorders>
            <w:vAlign w:val="center"/>
            <w:hideMark/>
          </w:tcPr>
          <w:p w14:paraId="6DAC19BC" w14:textId="77777777" w:rsidR="00D92FD5" w:rsidRPr="00AE4E8D" w:rsidRDefault="00D92FD5" w:rsidP="00D92FD5">
            <w:pPr>
              <w:keepNext/>
              <w:keepLines/>
              <w:rPr>
                <w:rFonts w:ascii="Times New Roman" w:hAnsi="Times New Roman"/>
                <w:b/>
                <w:bCs/>
                <w:color w:val="000000"/>
                <w:sz w:val="14"/>
                <w:szCs w:val="14"/>
                <w:lang w:val="es-ES"/>
              </w:rPr>
            </w:pPr>
          </w:p>
        </w:tc>
        <w:tc>
          <w:tcPr>
            <w:tcW w:w="765" w:type="dxa"/>
            <w:vMerge/>
            <w:tcBorders>
              <w:top w:val="nil"/>
              <w:left w:val="nil"/>
              <w:bottom w:val="single" w:sz="8" w:space="0" w:color="000000"/>
              <w:right w:val="nil"/>
            </w:tcBorders>
            <w:vAlign w:val="center"/>
            <w:hideMark/>
          </w:tcPr>
          <w:p w14:paraId="7E642626" w14:textId="77777777" w:rsidR="00D92FD5" w:rsidRPr="00AE4E8D" w:rsidRDefault="00D92FD5" w:rsidP="00D92FD5">
            <w:pPr>
              <w:keepNext/>
              <w:keepLines/>
              <w:rPr>
                <w:rFonts w:ascii="Times New Roman" w:hAnsi="Times New Roman"/>
                <w:b/>
                <w:bCs/>
                <w:color w:val="000000"/>
                <w:sz w:val="14"/>
                <w:szCs w:val="14"/>
                <w:lang w:val="es-ES"/>
              </w:rPr>
            </w:pPr>
          </w:p>
        </w:tc>
        <w:tc>
          <w:tcPr>
            <w:tcW w:w="1241" w:type="dxa"/>
            <w:vMerge/>
            <w:tcBorders>
              <w:top w:val="nil"/>
              <w:left w:val="nil"/>
              <w:bottom w:val="single" w:sz="8" w:space="0" w:color="000000"/>
              <w:right w:val="nil"/>
            </w:tcBorders>
            <w:vAlign w:val="center"/>
            <w:hideMark/>
          </w:tcPr>
          <w:p w14:paraId="63186C86" w14:textId="77777777" w:rsidR="00D92FD5" w:rsidRPr="00AE4E8D" w:rsidRDefault="00D92FD5" w:rsidP="00D92FD5">
            <w:pPr>
              <w:keepNext/>
              <w:keepLines/>
              <w:rPr>
                <w:rFonts w:ascii="Times New Roman" w:hAnsi="Times New Roman"/>
                <w:b/>
                <w:bCs/>
                <w:color w:val="000000"/>
                <w:sz w:val="14"/>
                <w:szCs w:val="14"/>
                <w:lang w:val="es-ES"/>
              </w:rPr>
            </w:pPr>
          </w:p>
        </w:tc>
        <w:tc>
          <w:tcPr>
            <w:tcW w:w="1179" w:type="dxa"/>
            <w:tcBorders>
              <w:top w:val="nil"/>
              <w:left w:val="nil"/>
              <w:bottom w:val="single" w:sz="8" w:space="0" w:color="auto"/>
              <w:right w:val="nil"/>
            </w:tcBorders>
            <w:shd w:val="clear" w:color="auto" w:fill="auto"/>
            <w:vAlign w:val="center"/>
            <w:hideMark/>
          </w:tcPr>
          <w:p w14:paraId="3B084019"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Años de vida útil asignados</w:t>
            </w:r>
          </w:p>
        </w:tc>
        <w:tc>
          <w:tcPr>
            <w:tcW w:w="887" w:type="dxa"/>
            <w:tcBorders>
              <w:top w:val="nil"/>
              <w:left w:val="nil"/>
              <w:bottom w:val="single" w:sz="8" w:space="0" w:color="auto"/>
              <w:right w:val="nil"/>
            </w:tcBorders>
            <w:shd w:val="clear" w:color="auto" w:fill="auto"/>
            <w:vAlign w:val="center"/>
            <w:hideMark/>
          </w:tcPr>
          <w:p w14:paraId="468FDCBE" w14:textId="77777777" w:rsidR="00D92FD5" w:rsidRPr="00AE4E8D" w:rsidRDefault="00D92FD5" w:rsidP="00D92FD5">
            <w:pPr>
              <w:keepNext/>
              <w:keepLines/>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Importe</w:t>
            </w:r>
          </w:p>
        </w:tc>
        <w:tc>
          <w:tcPr>
            <w:tcW w:w="1130" w:type="dxa"/>
            <w:vMerge/>
            <w:tcBorders>
              <w:top w:val="nil"/>
              <w:left w:val="nil"/>
              <w:bottom w:val="single" w:sz="8" w:space="0" w:color="000000"/>
              <w:right w:val="nil"/>
            </w:tcBorders>
            <w:vAlign w:val="center"/>
            <w:hideMark/>
          </w:tcPr>
          <w:p w14:paraId="181440D0" w14:textId="77777777" w:rsidR="00D92FD5" w:rsidRPr="00AE4E8D" w:rsidRDefault="00D92FD5" w:rsidP="00D92FD5">
            <w:pPr>
              <w:keepNext/>
              <w:keepLines/>
              <w:rPr>
                <w:rFonts w:ascii="Times New Roman" w:hAnsi="Times New Roman"/>
                <w:b/>
                <w:bCs/>
                <w:color w:val="000000"/>
                <w:sz w:val="14"/>
                <w:szCs w:val="14"/>
                <w:lang w:val="es-ES"/>
              </w:rPr>
            </w:pPr>
          </w:p>
        </w:tc>
        <w:tc>
          <w:tcPr>
            <w:tcW w:w="1104" w:type="dxa"/>
            <w:vMerge/>
            <w:tcBorders>
              <w:top w:val="nil"/>
              <w:left w:val="nil"/>
              <w:bottom w:val="single" w:sz="8" w:space="0" w:color="000000"/>
              <w:right w:val="nil"/>
            </w:tcBorders>
            <w:vAlign w:val="center"/>
            <w:hideMark/>
          </w:tcPr>
          <w:p w14:paraId="5C073298" w14:textId="77777777" w:rsidR="00D92FD5" w:rsidRPr="00AE4E8D" w:rsidRDefault="00D92FD5" w:rsidP="00D92FD5">
            <w:pPr>
              <w:keepNext/>
              <w:keepLines/>
              <w:rPr>
                <w:rFonts w:ascii="Times New Roman" w:hAnsi="Times New Roman"/>
                <w:b/>
                <w:bCs/>
                <w:color w:val="000000"/>
                <w:sz w:val="14"/>
                <w:szCs w:val="14"/>
                <w:lang w:val="es-ES"/>
              </w:rPr>
            </w:pPr>
          </w:p>
        </w:tc>
      </w:tr>
      <w:tr w:rsidR="00D92FD5" w:rsidRPr="00AE4E8D" w14:paraId="64501D3E"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21964331" w14:textId="77777777" w:rsidR="00D92FD5" w:rsidRPr="00AE4E8D" w:rsidRDefault="00D92FD5" w:rsidP="00D92FD5">
            <w:pPr>
              <w:keepNext/>
              <w:keepLines/>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BIENES DE USO</w:t>
            </w:r>
          </w:p>
        </w:tc>
        <w:tc>
          <w:tcPr>
            <w:tcW w:w="1164" w:type="dxa"/>
            <w:tcBorders>
              <w:top w:val="nil"/>
              <w:left w:val="nil"/>
              <w:bottom w:val="nil"/>
              <w:right w:val="nil"/>
            </w:tcBorders>
            <w:shd w:val="clear" w:color="auto" w:fill="auto"/>
            <w:noWrap/>
            <w:vAlign w:val="bottom"/>
            <w:hideMark/>
          </w:tcPr>
          <w:p w14:paraId="1C9C6BB8" w14:textId="77777777" w:rsidR="00D92FD5" w:rsidRPr="00AE4E8D" w:rsidRDefault="00D92FD5" w:rsidP="00D92FD5">
            <w:pPr>
              <w:keepNext/>
              <w:keepLines/>
              <w:rPr>
                <w:rFonts w:ascii="Times New Roman" w:hAnsi="Times New Roman"/>
                <w:color w:val="000000"/>
                <w:lang w:val="es-ES"/>
              </w:rPr>
            </w:pPr>
          </w:p>
        </w:tc>
        <w:tc>
          <w:tcPr>
            <w:tcW w:w="923" w:type="dxa"/>
            <w:tcBorders>
              <w:top w:val="nil"/>
              <w:left w:val="nil"/>
              <w:bottom w:val="nil"/>
              <w:right w:val="nil"/>
            </w:tcBorders>
            <w:shd w:val="clear" w:color="auto" w:fill="auto"/>
            <w:noWrap/>
            <w:vAlign w:val="bottom"/>
            <w:hideMark/>
          </w:tcPr>
          <w:p w14:paraId="37DD3F2C" w14:textId="77777777" w:rsidR="00D92FD5" w:rsidRPr="00AE4E8D" w:rsidRDefault="00D92FD5" w:rsidP="00D92FD5">
            <w:pPr>
              <w:keepNext/>
              <w:keepLines/>
              <w:rPr>
                <w:rFonts w:ascii="Times New Roman" w:hAnsi="Times New Roman"/>
                <w:color w:val="000000"/>
                <w:lang w:val="es-ES"/>
              </w:rPr>
            </w:pPr>
          </w:p>
        </w:tc>
        <w:tc>
          <w:tcPr>
            <w:tcW w:w="1104" w:type="dxa"/>
            <w:tcBorders>
              <w:top w:val="nil"/>
              <w:left w:val="nil"/>
              <w:bottom w:val="nil"/>
              <w:right w:val="nil"/>
            </w:tcBorders>
            <w:shd w:val="clear" w:color="auto" w:fill="auto"/>
            <w:noWrap/>
            <w:vAlign w:val="bottom"/>
            <w:hideMark/>
          </w:tcPr>
          <w:p w14:paraId="3DCD3FD8" w14:textId="77777777" w:rsidR="00D92FD5" w:rsidRPr="00AE4E8D" w:rsidRDefault="00D92FD5" w:rsidP="00D92FD5">
            <w:pPr>
              <w:keepNext/>
              <w:keepLines/>
              <w:rPr>
                <w:rFonts w:ascii="Times New Roman" w:hAnsi="Times New Roman"/>
                <w:color w:val="000000"/>
                <w:lang w:val="es-ES"/>
              </w:rPr>
            </w:pPr>
          </w:p>
        </w:tc>
        <w:tc>
          <w:tcPr>
            <w:tcW w:w="765" w:type="dxa"/>
            <w:tcBorders>
              <w:top w:val="nil"/>
              <w:left w:val="nil"/>
              <w:bottom w:val="nil"/>
              <w:right w:val="nil"/>
            </w:tcBorders>
            <w:shd w:val="clear" w:color="auto" w:fill="auto"/>
            <w:noWrap/>
            <w:vAlign w:val="bottom"/>
            <w:hideMark/>
          </w:tcPr>
          <w:p w14:paraId="0617188A" w14:textId="77777777" w:rsidR="00D92FD5" w:rsidRPr="00AE4E8D" w:rsidRDefault="00D92FD5" w:rsidP="00D92FD5">
            <w:pPr>
              <w:keepNext/>
              <w:keepLines/>
              <w:rPr>
                <w:rFonts w:ascii="Times New Roman" w:hAnsi="Times New Roman"/>
                <w:color w:val="000000"/>
                <w:lang w:val="es-ES"/>
              </w:rPr>
            </w:pPr>
          </w:p>
        </w:tc>
        <w:tc>
          <w:tcPr>
            <w:tcW w:w="1241" w:type="dxa"/>
            <w:tcBorders>
              <w:top w:val="nil"/>
              <w:left w:val="nil"/>
              <w:bottom w:val="nil"/>
              <w:right w:val="nil"/>
            </w:tcBorders>
            <w:shd w:val="clear" w:color="auto" w:fill="auto"/>
            <w:noWrap/>
            <w:vAlign w:val="bottom"/>
            <w:hideMark/>
          </w:tcPr>
          <w:p w14:paraId="3F151C28" w14:textId="77777777" w:rsidR="00D92FD5" w:rsidRPr="00AE4E8D" w:rsidRDefault="00D92FD5" w:rsidP="00D92FD5">
            <w:pPr>
              <w:keepNext/>
              <w:keepLines/>
              <w:rPr>
                <w:rFonts w:ascii="Times New Roman" w:hAnsi="Times New Roman"/>
                <w:color w:val="000000"/>
                <w:lang w:val="es-ES"/>
              </w:rPr>
            </w:pPr>
          </w:p>
        </w:tc>
        <w:tc>
          <w:tcPr>
            <w:tcW w:w="1179" w:type="dxa"/>
            <w:tcBorders>
              <w:top w:val="nil"/>
              <w:left w:val="nil"/>
              <w:bottom w:val="nil"/>
              <w:right w:val="nil"/>
            </w:tcBorders>
            <w:shd w:val="clear" w:color="auto" w:fill="auto"/>
            <w:noWrap/>
            <w:vAlign w:val="bottom"/>
            <w:hideMark/>
          </w:tcPr>
          <w:p w14:paraId="27E602F3" w14:textId="77777777" w:rsidR="00D92FD5" w:rsidRPr="00AE4E8D" w:rsidRDefault="00D92FD5" w:rsidP="00D92FD5">
            <w:pPr>
              <w:keepNext/>
              <w:keepLines/>
              <w:rPr>
                <w:rFonts w:ascii="Times New Roman" w:hAnsi="Times New Roman"/>
                <w:color w:val="000000"/>
                <w:lang w:val="es-ES"/>
              </w:rPr>
            </w:pPr>
          </w:p>
        </w:tc>
        <w:tc>
          <w:tcPr>
            <w:tcW w:w="887" w:type="dxa"/>
            <w:tcBorders>
              <w:top w:val="nil"/>
              <w:left w:val="nil"/>
              <w:bottom w:val="nil"/>
              <w:right w:val="nil"/>
            </w:tcBorders>
            <w:shd w:val="clear" w:color="auto" w:fill="auto"/>
            <w:noWrap/>
            <w:vAlign w:val="bottom"/>
            <w:hideMark/>
          </w:tcPr>
          <w:p w14:paraId="3E0BE4A4" w14:textId="77777777" w:rsidR="00D92FD5" w:rsidRPr="00AE4E8D" w:rsidRDefault="00D92FD5" w:rsidP="00D92FD5">
            <w:pPr>
              <w:keepNext/>
              <w:keepLines/>
              <w:rPr>
                <w:rFonts w:ascii="Times New Roman" w:hAnsi="Times New Roman"/>
                <w:color w:val="000000"/>
                <w:lang w:val="es-ES"/>
              </w:rPr>
            </w:pPr>
          </w:p>
        </w:tc>
        <w:tc>
          <w:tcPr>
            <w:tcW w:w="1130" w:type="dxa"/>
            <w:tcBorders>
              <w:top w:val="nil"/>
              <w:left w:val="nil"/>
              <w:bottom w:val="nil"/>
              <w:right w:val="nil"/>
            </w:tcBorders>
            <w:shd w:val="clear" w:color="auto" w:fill="auto"/>
            <w:noWrap/>
            <w:vAlign w:val="bottom"/>
            <w:hideMark/>
          </w:tcPr>
          <w:p w14:paraId="694F428A" w14:textId="77777777" w:rsidR="00D92FD5" w:rsidRPr="00AE4E8D" w:rsidRDefault="00D92FD5" w:rsidP="00D92FD5">
            <w:pPr>
              <w:keepNext/>
              <w:keepLines/>
              <w:rPr>
                <w:rFonts w:ascii="Times New Roman" w:hAnsi="Times New Roman"/>
                <w:color w:val="000000"/>
                <w:lang w:val="es-ES"/>
              </w:rPr>
            </w:pPr>
          </w:p>
        </w:tc>
        <w:tc>
          <w:tcPr>
            <w:tcW w:w="1104" w:type="dxa"/>
            <w:tcBorders>
              <w:top w:val="nil"/>
              <w:left w:val="nil"/>
              <w:bottom w:val="nil"/>
              <w:right w:val="nil"/>
            </w:tcBorders>
            <w:shd w:val="clear" w:color="auto" w:fill="auto"/>
            <w:noWrap/>
            <w:vAlign w:val="bottom"/>
            <w:hideMark/>
          </w:tcPr>
          <w:p w14:paraId="20B8959B" w14:textId="77777777" w:rsidR="00D92FD5" w:rsidRPr="00AE4E8D" w:rsidRDefault="00D92FD5" w:rsidP="00D92FD5">
            <w:pPr>
              <w:keepNext/>
              <w:keepLines/>
              <w:rPr>
                <w:rFonts w:ascii="Times New Roman" w:hAnsi="Times New Roman"/>
                <w:color w:val="000000"/>
                <w:lang w:val="es-ES"/>
              </w:rPr>
            </w:pPr>
          </w:p>
        </w:tc>
      </w:tr>
      <w:tr w:rsidR="00D92FD5" w:rsidRPr="00AE4E8D" w14:paraId="76E93700"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707ECDBB"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Inmuebles</w:t>
            </w:r>
          </w:p>
        </w:tc>
        <w:tc>
          <w:tcPr>
            <w:tcW w:w="1164" w:type="dxa"/>
            <w:tcBorders>
              <w:top w:val="nil"/>
              <w:left w:val="nil"/>
              <w:bottom w:val="nil"/>
              <w:right w:val="nil"/>
            </w:tcBorders>
            <w:shd w:val="clear" w:color="auto" w:fill="auto"/>
            <w:noWrap/>
            <w:vAlign w:val="bottom"/>
            <w:hideMark/>
          </w:tcPr>
          <w:p w14:paraId="4BA7629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146.810 </w:t>
            </w:r>
          </w:p>
        </w:tc>
        <w:tc>
          <w:tcPr>
            <w:tcW w:w="923" w:type="dxa"/>
            <w:tcBorders>
              <w:top w:val="nil"/>
              <w:left w:val="nil"/>
              <w:bottom w:val="nil"/>
              <w:right w:val="nil"/>
            </w:tcBorders>
            <w:shd w:val="clear" w:color="auto" w:fill="auto"/>
            <w:noWrap/>
            <w:vAlign w:val="bottom"/>
            <w:hideMark/>
          </w:tcPr>
          <w:p w14:paraId="6F7E04C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51 </w:t>
            </w:r>
          </w:p>
        </w:tc>
        <w:tc>
          <w:tcPr>
            <w:tcW w:w="1104" w:type="dxa"/>
            <w:tcBorders>
              <w:top w:val="nil"/>
              <w:left w:val="nil"/>
              <w:bottom w:val="nil"/>
              <w:right w:val="nil"/>
            </w:tcBorders>
            <w:shd w:val="clear" w:color="auto" w:fill="auto"/>
            <w:noWrap/>
            <w:vAlign w:val="bottom"/>
            <w:hideMark/>
          </w:tcPr>
          <w:p w14:paraId="508B5DC1"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45.650 </w:t>
            </w:r>
          </w:p>
        </w:tc>
        <w:tc>
          <w:tcPr>
            <w:tcW w:w="765" w:type="dxa"/>
            <w:tcBorders>
              <w:top w:val="nil"/>
              <w:left w:val="nil"/>
              <w:bottom w:val="nil"/>
              <w:right w:val="nil"/>
            </w:tcBorders>
            <w:shd w:val="clear" w:color="auto" w:fill="auto"/>
            <w:noWrap/>
            <w:vAlign w:val="bottom"/>
            <w:hideMark/>
          </w:tcPr>
          <w:p w14:paraId="0D9885F7"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1241" w:type="dxa"/>
            <w:tcBorders>
              <w:top w:val="nil"/>
              <w:left w:val="nil"/>
              <w:bottom w:val="nil"/>
              <w:right w:val="nil"/>
            </w:tcBorders>
            <w:shd w:val="clear" w:color="auto" w:fill="auto"/>
            <w:noWrap/>
            <w:vAlign w:val="center"/>
            <w:hideMark/>
          </w:tcPr>
          <w:p w14:paraId="2F5807D5"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79" w:type="dxa"/>
            <w:tcBorders>
              <w:top w:val="nil"/>
              <w:left w:val="nil"/>
              <w:bottom w:val="nil"/>
              <w:right w:val="nil"/>
            </w:tcBorders>
            <w:shd w:val="clear" w:color="auto" w:fill="auto"/>
            <w:noWrap/>
            <w:vAlign w:val="center"/>
            <w:hideMark/>
          </w:tcPr>
          <w:p w14:paraId="5F314B92"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887" w:type="dxa"/>
            <w:tcBorders>
              <w:top w:val="nil"/>
              <w:left w:val="nil"/>
              <w:bottom w:val="nil"/>
              <w:right w:val="nil"/>
            </w:tcBorders>
            <w:shd w:val="clear" w:color="auto" w:fill="auto"/>
            <w:noWrap/>
            <w:vAlign w:val="bottom"/>
            <w:hideMark/>
          </w:tcPr>
          <w:p w14:paraId="012D0E0A"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1.680 </w:t>
            </w:r>
          </w:p>
        </w:tc>
        <w:tc>
          <w:tcPr>
            <w:tcW w:w="1130" w:type="dxa"/>
            <w:tcBorders>
              <w:top w:val="nil"/>
              <w:left w:val="nil"/>
              <w:bottom w:val="nil"/>
              <w:right w:val="nil"/>
            </w:tcBorders>
            <w:shd w:val="clear" w:color="auto" w:fill="auto"/>
            <w:noWrap/>
            <w:vAlign w:val="bottom"/>
            <w:hideMark/>
          </w:tcPr>
          <w:p w14:paraId="38803B9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190.831 </w:t>
            </w:r>
          </w:p>
        </w:tc>
        <w:tc>
          <w:tcPr>
            <w:tcW w:w="1104" w:type="dxa"/>
            <w:tcBorders>
              <w:top w:val="nil"/>
              <w:left w:val="nil"/>
              <w:bottom w:val="nil"/>
              <w:right w:val="nil"/>
            </w:tcBorders>
            <w:shd w:val="clear" w:color="auto" w:fill="auto"/>
            <w:noWrap/>
            <w:vAlign w:val="bottom"/>
            <w:hideMark/>
          </w:tcPr>
          <w:p w14:paraId="2A7C2020"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143.128 </w:t>
            </w:r>
          </w:p>
        </w:tc>
      </w:tr>
      <w:tr w:rsidR="00D92FD5" w:rsidRPr="00AE4E8D" w14:paraId="25FE1384"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6BEFF0DC"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Mobiliario e Instalaciones</w:t>
            </w:r>
          </w:p>
        </w:tc>
        <w:tc>
          <w:tcPr>
            <w:tcW w:w="1164" w:type="dxa"/>
            <w:tcBorders>
              <w:top w:val="nil"/>
              <w:left w:val="nil"/>
              <w:bottom w:val="nil"/>
              <w:right w:val="nil"/>
            </w:tcBorders>
            <w:shd w:val="clear" w:color="auto" w:fill="auto"/>
            <w:noWrap/>
            <w:vAlign w:val="bottom"/>
            <w:hideMark/>
          </w:tcPr>
          <w:p w14:paraId="6EF81D7B"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54.337 </w:t>
            </w:r>
          </w:p>
        </w:tc>
        <w:tc>
          <w:tcPr>
            <w:tcW w:w="923" w:type="dxa"/>
            <w:tcBorders>
              <w:top w:val="nil"/>
              <w:left w:val="nil"/>
              <w:bottom w:val="nil"/>
              <w:right w:val="nil"/>
            </w:tcBorders>
            <w:shd w:val="clear" w:color="auto" w:fill="auto"/>
            <w:noWrap/>
            <w:vAlign w:val="bottom"/>
            <w:hideMark/>
          </w:tcPr>
          <w:p w14:paraId="3F8FF7B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9.897 </w:t>
            </w:r>
          </w:p>
        </w:tc>
        <w:tc>
          <w:tcPr>
            <w:tcW w:w="1104" w:type="dxa"/>
            <w:tcBorders>
              <w:top w:val="nil"/>
              <w:left w:val="nil"/>
              <w:bottom w:val="nil"/>
              <w:right w:val="nil"/>
            </w:tcBorders>
            <w:shd w:val="clear" w:color="auto" w:fill="auto"/>
            <w:noWrap/>
            <w:vAlign w:val="bottom"/>
            <w:hideMark/>
          </w:tcPr>
          <w:p w14:paraId="111FD179"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765" w:type="dxa"/>
            <w:tcBorders>
              <w:top w:val="nil"/>
              <w:left w:val="nil"/>
              <w:bottom w:val="nil"/>
              <w:right w:val="nil"/>
            </w:tcBorders>
            <w:shd w:val="clear" w:color="auto" w:fill="auto"/>
            <w:noWrap/>
            <w:vAlign w:val="bottom"/>
            <w:hideMark/>
          </w:tcPr>
          <w:p w14:paraId="0CB3D132"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(112)</w:t>
            </w:r>
          </w:p>
        </w:tc>
        <w:tc>
          <w:tcPr>
            <w:tcW w:w="1241" w:type="dxa"/>
            <w:tcBorders>
              <w:top w:val="nil"/>
              <w:left w:val="nil"/>
              <w:bottom w:val="nil"/>
              <w:right w:val="nil"/>
            </w:tcBorders>
            <w:shd w:val="clear" w:color="auto" w:fill="auto"/>
            <w:noWrap/>
            <w:vAlign w:val="center"/>
            <w:hideMark/>
          </w:tcPr>
          <w:p w14:paraId="696D3484"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1D84A57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10 </w:t>
            </w:r>
          </w:p>
        </w:tc>
        <w:tc>
          <w:tcPr>
            <w:tcW w:w="887" w:type="dxa"/>
            <w:tcBorders>
              <w:top w:val="nil"/>
              <w:left w:val="nil"/>
              <w:bottom w:val="nil"/>
              <w:right w:val="nil"/>
            </w:tcBorders>
            <w:shd w:val="clear" w:color="auto" w:fill="auto"/>
            <w:noWrap/>
            <w:vAlign w:val="bottom"/>
            <w:hideMark/>
          </w:tcPr>
          <w:p w14:paraId="04CD77B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3.958 </w:t>
            </w:r>
          </w:p>
        </w:tc>
        <w:tc>
          <w:tcPr>
            <w:tcW w:w="1130" w:type="dxa"/>
            <w:tcBorders>
              <w:top w:val="nil"/>
              <w:left w:val="nil"/>
              <w:bottom w:val="nil"/>
              <w:right w:val="nil"/>
            </w:tcBorders>
            <w:shd w:val="clear" w:color="auto" w:fill="auto"/>
            <w:noWrap/>
            <w:vAlign w:val="bottom"/>
            <w:hideMark/>
          </w:tcPr>
          <w:p w14:paraId="59767003"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60.164 </w:t>
            </w:r>
          </w:p>
        </w:tc>
        <w:tc>
          <w:tcPr>
            <w:tcW w:w="1104" w:type="dxa"/>
            <w:tcBorders>
              <w:top w:val="nil"/>
              <w:left w:val="nil"/>
              <w:bottom w:val="nil"/>
              <w:right w:val="nil"/>
            </w:tcBorders>
            <w:shd w:val="clear" w:color="auto" w:fill="auto"/>
            <w:noWrap/>
            <w:vAlign w:val="bottom"/>
            <w:hideMark/>
          </w:tcPr>
          <w:p w14:paraId="2FB3F65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32.766 </w:t>
            </w:r>
          </w:p>
        </w:tc>
      </w:tr>
      <w:tr w:rsidR="00D92FD5" w:rsidRPr="00AE4E8D" w14:paraId="06B5A758"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1F3F735D"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r w:rsidR="00F80D63" w:rsidRPr="00AE4E8D">
              <w:rPr>
                <w:rFonts w:ascii="Times New Roman" w:hAnsi="Times New Roman"/>
                <w:color w:val="000000"/>
                <w:sz w:val="14"/>
                <w:szCs w:val="14"/>
                <w:lang w:val="es-ES"/>
              </w:rPr>
              <w:t>Máquinas</w:t>
            </w:r>
            <w:r w:rsidRPr="00AE4E8D">
              <w:rPr>
                <w:rFonts w:ascii="Times New Roman" w:hAnsi="Times New Roman"/>
                <w:color w:val="000000"/>
                <w:sz w:val="14"/>
                <w:szCs w:val="14"/>
                <w:lang w:val="es-ES"/>
              </w:rPr>
              <w:t xml:space="preserve"> y equipos</w:t>
            </w:r>
          </w:p>
        </w:tc>
        <w:tc>
          <w:tcPr>
            <w:tcW w:w="1164" w:type="dxa"/>
            <w:tcBorders>
              <w:top w:val="nil"/>
              <w:left w:val="nil"/>
              <w:bottom w:val="nil"/>
              <w:right w:val="nil"/>
            </w:tcBorders>
            <w:shd w:val="clear" w:color="auto" w:fill="auto"/>
            <w:noWrap/>
            <w:vAlign w:val="bottom"/>
            <w:hideMark/>
          </w:tcPr>
          <w:p w14:paraId="60398A67"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91.698 </w:t>
            </w:r>
          </w:p>
        </w:tc>
        <w:tc>
          <w:tcPr>
            <w:tcW w:w="923" w:type="dxa"/>
            <w:tcBorders>
              <w:top w:val="nil"/>
              <w:left w:val="nil"/>
              <w:bottom w:val="nil"/>
              <w:right w:val="nil"/>
            </w:tcBorders>
            <w:shd w:val="clear" w:color="auto" w:fill="auto"/>
            <w:noWrap/>
            <w:vAlign w:val="bottom"/>
            <w:hideMark/>
          </w:tcPr>
          <w:p w14:paraId="1A7F8689"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1.573 </w:t>
            </w:r>
          </w:p>
        </w:tc>
        <w:tc>
          <w:tcPr>
            <w:tcW w:w="1104" w:type="dxa"/>
            <w:tcBorders>
              <w:top w:val="nil"/>
              <w:left w:val="nil"/>
              <w:bottom w:val="nil"/>
              <w:right w:val="nil"/>
            </w:tcBorders>
            <w:shd w:val="clear" w:color="auto" w:fill="auto"/>
            <w:noWrap/>
            <w:vAlign w:val="bottom"/>
            <w:hideMark/>
          </w:tcPr>
          <w:p w14:paraId="2958E593"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765" w:type="dxa"/>
            <w:tcBorders>
              <w:top w:val="nil"/>
              <w:left w:val="nil"/>
              <w:bottom w:val="nil"/>
              <w:right w:val="nil"/>
            </w:tcBorders>
            <w:shd w:val="clear" w:color="auto" w:fill="auto"/>
            <w:noWrap/>
            <w:vAlign w:val="bottom"/>
            <w:hideMark/>
          </w:tcPr>
          <w:p w14:paraId="526C0DE5"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(114)</w:t>
            </w:r>
          </w:p>
        </w:tc>
        <w:tc>
          <w:tcPr>
            <w:tcW w:w="1241" w:type="dxa"/>
            <w:tcBorders>
              <w:top w:val="nil"/>
              <w:left w:val="nil"/>
              <w:bottom w:val="nil"/>
              <w:right w:val="nil"/>
            </w:tcBorders>
            <w:shd w:val="clear" w:color="auto" w:fill="auto"/>
            <w:noWrap/>
            <w:vAlign w:val="center"/>
            <w:hideMark/>
          </w:tcPr>
          <w:p w14:paraId="165DEDB3"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2C74A7E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 </w:t>
            </w:r>
          </w:p>
        </w:tc>
        <w:tc>
          <w:tcPr>
            <w:tcW w:w="887" w:type="dxa"/>
            <w:tcBorders>
              <w:top w:val="nil"/>
              <w:left w:val="nil"/>
              <w:bottom w:val="nil"/>
              <w:right w:val="nil"/>
            </w:tcBorders>
            <w:shd w:val="clear" w:color="auto" w:fill="auto"/>
            <w:noWrap/>
            <w:vAlign w:val="bottom"/>
            <w:hideMark/>
          </w:tcPr>
          <w:p w14:paraId="1259DB0E"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11.668 </w:t>
            </w:r>
          </w:p>
        </w:tc>
        <w:tc>
          <w:tcPr>
            <w:tcW w:w="1130" w:type="dxa"/>
            <w:tcBorders>
              <w:top w:val="nil"/>
              <w:left w:val="nil"/>
              <w:bottom w:val="nil"/>
              <w:right w:val="nil"/>
            </w:tcBorders>
            <w:shd w:val="clear" w:color="auto" w:fill="auto"/>
            <w:noWrap/>
            <w:vAlign w:val="bottom"/>
            <w:hideMark/>
          </w:tcPr>
          <w:p w14:paraId="1C3559EA"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81.489 </w:t>
            </w:r>
          </w:p>
        </w:tc>
        <w:tc>
          <w:tcPr>
            <w:tcW w:w="1104" w:type="dxa"/>
            <w:tcBorders>
              <w:top w:val="nil"/>
              <w:left w:val="nil"/>
              <w:bottom w:val="nil"/>
              <w:right w:val="nil"/>
            </w:tcBorders>
            <w:shd w:val="clear" w:color="auto" w:fill="auto"/>
            <w:noWrap/>
            <w:vAlign w:val="bottom"/>
            <w:hideMark/>
          </w:tcPr>
          <w:p w14:paraId="45C737D4"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34.592 </w:t>
            </w:r>
          </w:p>
        </w:tc>
      </w:tr>
      <w:tr w:rsidR="00D92FD5" w:rsidRPr="00AE4E8D" w14:paraId="24670D60"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01E1A0F5"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Equipos de computación</w:t>
            </w:r>
          </w:p>
        </w:tc>
        <w:tc>
          <w:tcPr>
            <w:tcW w:w="1164" w:type="dxa"/>
            <w:tcBorders>
              <w:top w:val="nil"/>
              <w:left w:val="nil"/>
              <w:bottom w:val="nil"/>
              <w:right w:val="nil"/>
            </w:tcBorders>
            <w:shd w:val="clear" w:color="auto" w:fill="auto"/>
            <w:noWrap/>
            <w:vAlign w:val="bottom"/>
            <w:hideMark/>
          </w:tcPr>
          <w:p w14:paraId="47E87D24"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59.787 </w:t>
            </w:r>
          </w:p>
        </w:tc>
        <w:tc>
          <w:tcPr>
            <w:tcW w:w="923" w:type="dxa"/>
            <w:tcBorders>
              <w:top w:val="nil"/>
              <w:left w:val="nil"/>
              <w:bottom w:val="nil"/>
              <w:right w:val="nil"/>
            </w:tcBorders>
            <w:shd w:val="clear" w:color="auto" w:fill="auto"/>
            <w:noWrap/>
            <w:vAlign w:val="bottom"/>
            <w:hideMark/>
          </w:tcPr>
          <w:p w14:paraId="3D15B961"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30.405 </w:t>
            </w:r>
          </w:p>
        </w:tc>
        <w:tc>
          <w:tcPr>
            <w:tcW w:w="1104" w:type="dxa"/>
            <w:tcBorders>
              <w:top w:val="nil"/>
              <w:left w:val="nil"/>
              <w:bottom w:val="nil"/>
              <w:right w:val="nil"/>
            </w:tcBorders>
            <w:shd w:val="clear" w:color="auto" w:fill="auto"/>
            <w:noWrap/>
            <w:vAlign w:val="bottom"/>
            <w:hideMark/>
          </w:tcPr>
          <w:p w14:paraId="05758CEB"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765" w:type="dxa"/>
            <w:tcBorders>
              <w:top w:val="nil"/>
              <w:left w:val="nil"/>
              <w:bottom w:val="nil"/>
              <w:right w:val="nil"/>
            </w:tcBorders>
            <w:shd w:val="clear" w:color="auto" w:fill="auto"/>
            <w:noWrap/>
            <w:vAlign w:val="bottom"/>
            <w:hideMark/>
          </w:tcPr>
          <w:p w14:paraId="09ABBC3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1241" w:type="dxa"/>
            <w:tcBorders>
              <w:top w:val="nil"/>
              <w:left w:val="nil"/>
              <w:bottom w:val="nil"/>
              <w:right w:val="nil"/>
            </w:tcBorders>
            <w:shd w:val="clear" w:color="auto" w:fill="auto"/>
            <w:noWrap/>
            <w:vAlign w:val="center"/>
            <w:hideMark/>
          </w:tcPr>
          <w:p w14:paraId="1C6016D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2D5A25C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 </w:t>
            </w:r>
          </w:p>
        </w:tc>
        <w:tc>
          <w:tcPr>
            <w:tcW w:w="887" w:type="dxa"/>
            <w:tcBorders>
              <w:top w:val="nil"/>
              <w:left w:val="nil"/>
              <w:bottom w:val="nil"/>
              <w:right w:val="nil"/>
            </w:tcBorders>
            <w:shd w:val="clear" w:color="auto" w:fill="auto"/>
            <w:noWrap/>
            <w:vAlign w:val="bottom"/>
            <w:hideMark/>
          </w:tcPr>
          <w:p w14:paraId="7668290B"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22.067 </w:t>
            </w:r>
          </w:p>
        </w:tc>
        <w:tc>
          <w:tcPr>
            <w:tcW w:w="1130" w:type="dxa"/>
            <w:tcBorders>
              <w:top w:val="nil"/>
              <w:left w:val="nil"/>
              <w:bottom w:val="nil"/>
              <w:right w:val="nil"/>
            </w:tcBorders>
            <w:shd w:val="clear" w:color="auto" w:fill="auto"/>
            <w:noWrap/>
            <w:vAlign w:val="bottom"/>
            <w:hideMark/>
          </w:tcPr>
          <w:p w14:paraId="14FB7E77"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68.125 </w:t>
            </w:r>
          </w:p>
        </w:tc>
        <w:tc>
          <w:tcPr>
            <w:tcW w:w="1104" w:type="dxa"/>
            <w:tcBorders>
              <w:top w:val="nil"/>
              <w:left w:val="nil"/>
              <w:bottom w:val="nil"/>
              <w:right w:val="nil"/>
            </w:tcBorders>
            <w:shd w:val="clear" w:color="auto" w:fill="auto"/>
            <w:noWrap/>
            <w:vAlign w:val="bottom"/>
            <w:hideMark/>
          </w:tcPr>
          <w:p w14:paraId="0F2F4B43"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69.197 </w:t>
            </w:r>
          </w:p>
        </w:tc>
      </w:tr>
      <w:tr w:rsidR="00D92FD5" w:rsidRPr="00AE4E8D" w14:paraId="31EF238C"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2078F305"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Vehículos</w:t>
            </w:r>
          </w:p>
        </w:tc>
        <w:tc>
          <w:tcPr>
            <w:tcW w:w="1164" w:type="dxa"/>
            <w:tcBorders>
              <w:top w:val="nil"/>
              <w:left w:val="nil"/>
              <w:bottom w:val="nil"/>
              <w:right w:val="nil"/>
            </w:tcBorders>
            <w:shd w:val="clear" w:color="auto" w:fill="auto"/>
            <w:noWrap/>
            <w:vAlign w:val="bottom"/>
            <w:hideMark/>
          </w:tcPr>
          <w:p w14:paraId="5B0FC3C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386 </w:t>
            </w:r>
          </w:p>
        </w:tc>
        <w:tc>
          <w:tcPr>
            <w:tcW w:w="923" w:type="dxa"/>
            <w:tcBorders>
              <w:top w:val="nil"/>
              <w:left w:val="nil"/>
              <w:bottom w:val="nil"/>
              <w:right w:val="nil"/>
            </w:tcBorders>
            <w:shd w:val="clear" w:color="auto" w:fill="auto"/>
            <w:noWrap/>
            <w:vAlign w:val="bottom"/>
            <w:hideMark/>
          </w:tcPr>
          <w:p w14:paraId="06D7B07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1104" w:type="dxa"/>
            <w:tcBorders>
              <w:top w:val="nil"/>
              <w:left w:val="nil"/>
              <w:bottom w:val="nil"/>
              <w:right w:val="nil"/>
            </w:tcBorders>
            <w:shd w:val="clear" w:color="auto" w:fill="auto"/>
            <w:noWrap/>
            <w:vAlign w:val="bottom"/>
            <w:hideMark/>
          </w:tcPr>
          <w:p w14:paraId="1B9AB8E1"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765" w:type="dxa"/>
            <w:tcBorders>
              <w:top w:val="nil"/>
              <w:left w:val="nil"/>
              <w:bottom w:val="nil"/>
              <w:right w:val="nil"/>
            </w:tcBorders>
            <w:shd w:val="clear" w:color="auto" w:fill="auto"/>
            <w:noWrap/>
            <w:vAlign w:val="bottom"/>
            <w:hideMark/>
          </w:tcPr>
          <w:p w14:paraId="19B340D2"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1241" w:type="dxa"/>
            <w:tcBorders>
              <w:top w:val="nil"/>
              <w:left w:val="nil"/>
              <w:bottom w:val="nil"/>
              <w:right w:val="nil"/>
            </w:tcBorders>
            <w:shd w:val="clear" w:color="auto" w:fill="auto"/>
            <w:noWrap/>
            <w:vAlign w:val="center"/>
            <w:hideMark/>
          </w:tcPr>
          <w:p w14:paraId="0CCA6ACB"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4C6FB18E"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 </w:t>
            </w:r>
          </w:p>
        </w:tc>
        <w:tc>
          <w:tcPr>
            <w:tcW w:w="887" w:type="dxa"/>
            <w:tcBorders>
              <w:top w:val="nil"/>
              <w:left w:val="nil"/>
              <w:bottom w:val="nil"/>
              <w:right w:val="nil"/>
            </w:tcBorders>
            <w:shd w:val="clear" w:color="auto" w:fill="auto"/>
            <w:noWrap/>
            <w:vAlign w:val="bottom"/>
            <w:hideMark/>
          </w:tcPr>
          <w:p w14:paraId="73FB7D2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48 </w:t>
            </w:r>
          </w:p>
        </w:tc>
        <w:tc>
          <w:tcPr>
            <w:tcW w:w="1130" w:type="dxa"/>
            <w:tcBorders>
              <w:top w:val="nil"/>
              <w:left w:val="nil"/>
              <w:bottom w:val="nil"/>
              <w:right w:val="nil"/>
            </w:tcBorders>
            <w:shd w:val="clear" w:color="auto" w:fill="auto"/>
            <w:noWrap/>
            <w:vAlign w:val="bottom"/>
            <w:hideMark/>
          </w:tcPr>
          <w:p w14:paraId="11FE63CC"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338 </w:t>
            </w:r>
          </w:p>
        </w:tc>
        <w:tc>
          <w:tcPr>
            <w:tcW w:w="1104" w:type="dxa"/>
            <w:tcBorders>
              <w:top w:val="nil"/>
              <w:left w:val="nil"/>
              <w:bottom w:val="nil"/>
              <w:right w:val="nil"/>
            </w:tcBorders>
            <w:shd w:val="clear" w:color="auto" w:fill="auto"/>
            <w:noWrap/>
            <w:vAlign w:val="bottom"/>
            <w:hideMark/>
          </w:tcPr>
          <w:p w14:paraId="674735F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434 </w:t>
            </w:r>
          </w:p>
        </w:tc>
      </w:tr>
      <w:tr w:rsidR="003B5193" w:rsidRPr="00AE4E8D" w14:paraId="694D107F" w14:textId="77777777" w:rsidTr="00241071">
        <w:trPr>
          <w:trHeight w:val="344"/>
          <w:jc w:val="center"/>
        </w:trPr>
        <w:tc>
          <w:tcPr>
            <w:tcW w:w="1511" w:type="dxa"/>
            <w:tcBorders>
              <w:top w:val="nil"/>
              <w:left w:val="nil"/>
              <w:bottom w:val="nil"/>
              <w:right w:val="nil"/>
            </w:tcBorders>
            <w:shd w:val="clear" w:color="auto" w:fill="auto"/>
            <w:noWrap/>
            <w:vAlign w:val="center"/>
            <w:hideMark/>
          </w:tcPr>
          <w:p w14:paraId="3E337645"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Diversos</w:t>
            </w:r>
          </w:p>
        </w:tc>
        <w:tc>
          <w:tcPr>
            <w:tcW w:w="1164" w:type="dxa"/>
            <w:tcBorders>
              <w:top w:val="nil"/>
              <w:left w:val="nil"/>
              <w:bottom w:val="single" w:sz="8" w:space="0" w:color="auto"/>
              <w:right w:val="nil"/>
            </w:tcBorders>
            <w:shd w:val="clear" w:color="auto" w:fill="auto"/>
            <w:noWrap/>
            <w:vAlign w:val="bottom"/>
            <w:hideMark/>
          </w:tcPr>
          <w:p w14:paraId="574D08A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4.745 </w:t>
            </w:r>
          </w:p>
        </w:tc>
        <w:tc>
          <w:tcPr>
            <w:tcW w:w="923" w:type="dxa"/>
            <w:tcBorders>
              <w:top w:val="nil"/>
              <w:left w:val="nil"/>
              <w:bottom w:val="single" w:sz="8" w:space="0" w:color="auto"/>
              <w:right w:val="nil"/>
            </w:tcBorders>
            <w:shd w:val="clear" w:color="auto" w:fill="auto"/>
            <w:noWrap/>
            <w:vAlign w:val="bottom"/>
            <w:hideMark/>
          </w:tcPr>
          <w:p w14:paraId="415316B0"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291 </w:t>
            </w:r>
          </w:p>
        </w:tc>
        <w:tc>
          <w:tcPr>
            <w:tcW w:w="1104" w:type="dxa"/>
            <w:tcBorders>
              <w:top w:val="nil"/>
              <w:left w:val="nil"/>
              <w:bottom w:val="single" w:sz="8" w:space="0" w:color="auto"/>
              <w:right w:val="nil"/>
            </w:tcBorders>
            <w:shd w:val="clear" w:color="auto" w:fill="auto"/>
            <w:noWrap/>
            <w:vAlign w:val="bottom"/>
            <w:hideMark/>
          </w:tcPr>
          <w:p w14:paraId="2B9A341B"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765" w:type="dxa"/>
            <w:tcBorders>
              <w:top w:val="nil"/>
              <w:left w:val="nil"/>
              <w:bottom w:val="single" w:sz="8" w:space="0" w:color="auto"/>
              <w:right w:val="nil"/>
            </w:tcBorders>
            <w:shd w:val="clear" w:color="auto" w:fill="auto"/>
            <w:noWrap/>
            <w:vAlign w:val="bottom"/>
            <w:hideMark/>
          </w:tcPr>
          <w:p w14:paraId="55CDC54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(16)</w:t>
            </w:r>
          </w:p>
        </w:tc>
        <w:tc>
          <w:tcPr>
            <w:tcW w:w="1241" w:type="dxa"/>
            <w:tcBorders>
              <w:top w:val="nil"/>
              <w:left w:val="nil"/>
              <w:bottom w:val="single" w:sz="8" w:space="0" w:color="auto"/>
              <w:right w:val="nil"/>
            </w:tcBorders>
            <w:shd w:val="clear" w:color="auto" w:fill="auto"/>
            <w:noWrap/>
            <w:vAlign w:val="center"/>
            <w:hideMark/>
          </w:tcPr>
          <w:p w14:paraId="5216FE7A"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single" w:sz="8" w:space="0" w:color="auto"/>
              <w:right w:val="nil"/>
            </w:tcBorders>
            <w:shd w:val="clear" w:color="auto" w:fill="auto"/>
            <w:noWrap/>
            <w:vAlign w:val="center"/>
            <w:hideMark/>
          </w:tcPr>
          <w:p w14:paraId="572D708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 </w:t>
            </w:r>
          </w:p>
        </w:tc>
        <w:tc>
          <w:tcPr>
            <w:tcW w:w="887" w:type="dxa"/>
            <w:tcBorders>
              <w:top w:val="nil"/>
              <w:left w:val="nil"/>
              <w:bottom w:val="single" w:sz="8" w:space="0" w:color="auto"/>
              <w:right w:val="nil"/>
            </w:tcBorders>
            <w:shd w:val="clear" w:color="auto" w:fill="auto"/>
            <w:noWrap/>
            <w:vAlign w:val="bottom"/>
            <w:hideMark/>
          </w:tcPr>
          <w:p w14:paraId="0543B01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725 </w:t>
            </w:r>
          </w:p>
        </w:tc>
        <w:tc>
          <w:tcPr>
            <w:tcW w:w="1130" w:type="dxa"/>
            <w:tcBorders>
              <w:top w:val="nil"/>
              <w:left w:val="nil"/>
              <w:bottom w:val="single" w:sz="8" w:space="0" w:color="auto"/>
              <w:right w:val="nil"/>
            </w:tcBorders>
            <w:shd w:val="clear" w:color="auto" w:fill="auto"/>
            <w:noWrap/>
            <w:vAlign w:val="bottom"/>
            <w:hideMark/>
          </w:tcPr>
          <w:p w14:paraId="10C6EDD3"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4.295 </w:t>
            </w:r>
          </w:p>
        </w:tc>
        <w:tc>
          <w:tcPr>
            <w:tcW w:w="1104" w:type="dxa"/>
            <w:tcBorders>
              <w:top w:val="nil"/>
              <w:left w:val="nil"/>
              <w:bottom w:val="single" w:sz="8" w:space="0" w:color="auto"/>
              <w:right w:val="nil"/>
            </w:tcBorders>
            <w:shd w:val="clear" w:color="auto" w:fill="auto"/>
            <w:noWrap/>
            <w:vAlign w:val="bottom"/>
            <w:hideMark/>
          </w:tcPr>
          <w:p w14:paraId="3A9E631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4.049 </w:t>
            </w:r>
          </w:p>
        </w:tc>
      </w:tr>
      <w:tr w:rsidR="00D92FD5" w:rsidRPr="00AE4E8D" w14:paraId="0137A6EF" w14:textId="77777777" w:rsidTr="000400C8">
        <w:trPr>
          <w:trHeight w:val="344"/>
          <w:jc w:val="center"/>
        </w:trPr>
        <w:tc>
          <w:tcPr>
            <w:tcW w:w="1511" w:type="dxa"/>
            <w:tcBorders>
              <w:top w:val="nil"/>
              <w:left w:val="nil"/>
              <w:bottom w:val="nil"/>
              <w:right w:val="nil"/>
            </w:tcBorders>
            <w:shd w:val="clear" w:color="auto" w:fill="auto"/>
            <w:noWrap/>
            <w:vAlign w:val="center"/>
            <w:hideMark/>
          </w:tcPr>
          <w:p w14:paraId="4C7EC47C" w14:textId="77777777" w:rsidR="00D92FD5" w:rsidRPr="00AE4E8D" w:rsidRDefault="00D92FD5" w:rsidP="00D92FD5">
            <w:pPr>
              <w:keepNext/>
              <w:keepLines/>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Total</w:t>
            </w:r>
          </w:p>
        </w:tc>
        <w:tc>
          <w:tcPr>
            <w:tcW w:w="1164" w:type="dxa"/>
            <w:tcBorders>
              <w:top w:val="nil"/>
              <w:left w:val="nil"/>
              <w:bottom w:val="single" w:sz="8" w:space="0" w:color="auto"/>
              <w:right w:val="nil"/>
            </w:tcBorders>
            <w:shd w:val="clear" w:color="auto" w:fill="auto"/>
            <w:noWrap/>
            <w:vAlign w:val="center"/>
            <w:hideMark/>
          </w:tcPr>
          <w:p w14:paraId="3644958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357.763 </w:t>
            </w:r>
          </w:p>
        </w:tc>
        <w:tc>
          <w:tcPr>
            <w:tcW w:w="923" w:type="dxa"/>
            <w:tcBorders>
              <w:top w:val="nil"/>
              <w:left w:val="nil"/>
              <w:bottom w:val="single" w:sz="8" w:space="0" w:color="auto"/>
              <w:right w:val="nil"/>
            </w:tcBorders>
            <w:shd w:val="clear" w:color="auto" w:fill="auto"/>
            <w:noWrap/>
            <w:vAlign w:val="center"/>
            <w:hideMark/>
          </w:tcPr>
          <w:p w14:paraId="002A0729"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42.217</w:t>
            </w:r>
          </w:p>
        </w:tc>
        <w:tc>
          <w:tcPr>
            <w:tcW w:w="1104" w:type="dxa"/>
            <w:tcBorders>
              <w:top w:val="nil"/>
              <w:left w:val="nil"/>
              <w:bottom w:val="single" w:sz="8" w:space="0" w:color="auto"/>
              <w:right w:val="nil"/>
            </w:tcBorders>
            <w:shd w:val="clear" w:color="auto" w:fill="auto"/>
            <w:noWrap/>
            <w:vAlign w:val="center"/>
            <w:hideMark/>
          </w:tcPr>
          <w:p w14:paraId="67616790" w14:textId="77777777" w:rsidR="00D92FD5" w:rsidRPr="00AE4E8D" w:rsidRDefault="008950B0"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45.650</w:t>
            </w:r>
          </w:p>
        </w:tc>
        <w:tc>
          <w:tcPr>
            <w:tcW w:w="765" w:type="dxa"/>
            <w:tcBorders>
              <w:top w:val="nil"/>
              <w:left w:val="nil"/>
              <w:bottom w:val="single" w:sz="8" w:space="0" w:color="auto"/>
              <w:right w:val="nil"/>
            </w:tcBorders>
            <w:shd w:val="clear" w:color="auto" w:fill="auto"/>
            <w:noWrap/>
            <w:vAlign w:val="center"/>
            <w:hideMark/>
          </w:tcPr>
          <w:p w14:paraId="1ECEFDF2"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(242)</w:t>
            </w:r>
          </w:p>
        </w:tc>
        <w:tc>
          <w:tcPr>
            <w:tcW w:w="1241" w:type="dxa"/>
            <w:tcBorders>
              <w:top w:val="nil"/>
              <w:left w:val="nil"/>
              <w:bottom w:val="single" w:sz="8" w:space="0" w:color="auto"/>
              <w:right w:val="nil"/>
            </w:tcBorders>
            <w:shd w:val="clear" w:color="auto" w:fill="auto"/>
            <w:noWrap/>
            <w:vAlign w:val="center"/>
            <w:hideMark/>
          </w:tcPr>
          <w:p w14:paraId="05F0EDBB"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79" w:type="dxa"/>
            <w:tcBorders>
              <w:top w:val="nil"/>
              <w:left w:val="nil"/>
              <w:bottom w:val="single" w:sz="8" w:space="0" w:color="auto"/>
              <w:right w:val="nil"/>
            </w:tcBorders>
            <w:shd w:val="clear" w:color="auto" w:fill="auto"/>
            <w:noWrap/>
            <w:vAlign w:val="center"/>
            <w:hideMark/>
          </w:tcPr>
          <w:p w14:paraId="06DCD6FC"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887" w:type="dxa"/>
            <w:tcBorders>
              <w:top w:val="nil"/>
              <w:left w:val="nil"/>
              <w:bottom w:val="single" w:sz="8" w:space="0" w:color="auto"/>
              <w:right w:val="nil"/>
            </w:tcBorders>
            <w:shd w:val="clear" w:color="auto" w:fill="auto"/>
            <w:noWrap/>
            <w:vAlign w:val="center"/>
          </w:tcPr>
          <w:p w14:paraId="61302FE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40.146</w:t>
            </w:r>
          </w:p>
        </w:tc>
        <w:tc>
          <w:tcPr>
            <w:tcW w:w="1130" w:type="dxa"/>
            <w:tcBorders>
              <w:top w:val="nil"/>
              <w:left w:val="nil"/>
              <w:bottom w:val="single" w:sz="8" w:space="0" w:color="auto"/>
              <w:right w:val="nil"/>
            </w:tcBorders>
            <w:shd w:val="clear" w:color="auto" w:fill="auto"/>
            <w:noWrap/>
            <w:vAlign w:val="center"/>
          </w:tcPr>
          <w:p w14:paraId="10AB81A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405.242</w:t>
            </w:r>
          </w:p>
        </w:tc>
        <w:tc>
          <w:tcPr>
            <w:tcW w:w="1104" w:type="dxa"/>
            <w:tcBorders>
              <w:top w:val="nil"/>
              <w:left w:val="nil"/>
              <w:bottom w:val="single" w:sz="8" w:space="0" w:color="auto"/>
              <w:right w:val="nil"/>
            </w:tcBorders>
            <w:shd w:val="clear" w:color="auto" w:fill="auto"/>
            <w:noWrap/>
            <w:vAlign w:val="center"/>
            <w:hideMark/>
          </w:tcPr>
          <w:p w14:paraId="1E997C0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284.166 </w:t>
            </w:r>
          </w:p>
        </w:tc>
      </w:tr>
      <w:tr w:rsidR="00D92FD5" w:rsidRPr="00AE4E8D" w14:paraId="279A5A1F"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4F0BCD81" w14:textId="77777777" w:rsidR="00D92FD5" w:rsidRPr="00AE4E8D" w:rsidRDefault="00D92FD5" w:rsidP="00D92FD5">
            <w:pPr>
              <w:keepNext/>
              <w:keepLines/>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BIENES DIVERSOS</w:t>
            </w:r>
          </w:p>
        </w:tc>
        <w:tc>
          <w:tcPr>
            <w:tcW w:w="1164" w:type="dxa"/>
            <w:tcBorders>
              <w:top w:val="nil"/>
              <w:left w:val="nil"/>
              <w:bottom w:val="nil"/>
              <w:right w:val="nil"/>
            </w:tcBorders>
            <w:shd w:val="clear" w:color="auto" w:fill="auto"/>
            <w:noWrap/>
            <w:vAlign w:val="center"/>
          </w:tcPr>
          <w:p w14:paraId="12D7ADED" w14:textId="77777777" w:rsidR="00D92FD5" w:rsidRPr="00AE4E8D" w:rsidRDefault="00D92FD5" w:rsidP="00D92FD5">
            <w:pPr>
              <w:keepNext/>
              <w:keepLines/>
              <w:jc w:val="right"/>
              <w:rPr>
                <w:rFonts w:ascii="Times New Roman" w:hAnsi="Times New Roman"/>
                <w:color w:val="000000"/>
                <w:sz w:val="14"/>
                <w:szCs w:val="14"/>
                <w:lang w:val="es-ES"/>
              </w:rPr>
            </w:pPr>
          </w:p>
        </w:tc>
        <w:tc>
          <w:tcPr>
            <w:tcW w:w="923" w:type="dxa"/>
            <w:tcBorders>
              <w:top w:val="nil"/>
              <w:left w:val="nil"/>
              <w:bottom w:val="nil"/>
              <w:right w:val="nil"/>
            </w:tcBorders>
            <w:shd w:val="clear" w:color="auto" w:fill="auto"/>
            <w:noWrap/>
            <w:vAlign w:val="center"/>
          </w:tcPr>
          <w:p w14:paraId="773816CA" w14:textId="77777777" w:rsidR="00D92FD5" w:rsidRPr="00AE4E8D" w:rsidRDefault="00D92FD5" w:rsidP="00D92FD5">
            <w:pPr>
              <w:keepNext/>
              <w:keepLines/>
              <w:jc w:val="right"/>
              <w:rPr>
                <w:rFonts w:ascii="Times New Roman" w:hAnsi="Times New Roman"/>
                <w:color w:val="000000"/>
                <w:sz w:val="14"/>
                <w:szCs w:val="14"/>
                <w:lang w:val="es-ES"/>
              </w:rPr>
            </w:pPr>
          </w:p>
        </w:tc>
        <w:tc>
          <w:tcPr>
            <w:tcW w:w="1104" w:type="dxa"/>
            <w:tcBorders>
              <w:top w:val="nil"/>
              <w:left w:val="nil"/>
              <w:bottom w:val="nil"/>
              <w:right w:val="nil"/>
            </w:tcBorders>
            <w:shd w:val="clear" w:color="auto" w:fill="auto"/>
            <w:noWrap/>
            <w:vAlign w:val="center"/>
          </w:tcPr>
          <w:p w14:paraId="3DCF3E57" w14:textId="77777777" w:rsidR="00D92FD5" w:rsidRPr="00AE4E8D" w:rsidRDefault="00D92FD5" w:rsidP="00D92FD5">
            <w:pPr>
              <w:keepNext/>
              <w:keepLines/>
              <w:jc w:val="right"/>
              <w:rPr>
                <w:rFonts w:ascii="Times New Roman" w:hAnsi="Times New Roman"/>
                <w:color w:val="000000"/>
                <w:sz w:val="14"/>
                <w:szCs w:val="14"/>
                <w:lang w:val="es-ES"/>
              </w:rPr>
            </w:pPr>
          </w:p>
        </w:tc>
        <w:tc>
          <w:tcPr>
            <w:tcW w:w="765" w:type="dxa"/>
            <w:tcBorders>
              <w:top w:val="nil"/>
              <w:left w:val="nil"/>
              <w:bottom w:val="nil"/>
              <w:right w:val="nil"/>
            </w:tcBorders>
            <w:shd w:val="clear" w:color="auto" w:fill="auto"/>
            <w:noWrap/>
            <w:vAlign w:val="center"/>
          </w:tcPr>
          <w:p w14:paraId="52976C4A" w14:textId="77777777" w:rsidR="00D92FD5" w:rsidRPr="00AE4E8D" w:rsidRDefault="00D92FD5" w:rsidP="00D92FD5">
            <w:pPr>
              <w:keepNext/>
              <w:keepLines/>
              <w:jc w:val="right"/>
              <w:rPr>
                <w:rFonts w:ascii="Times New Roman" w:hAnsi="Times New Roman"/>
                <w:color w:val="000000"/>
                <w:sz w:val="14"/>
                <w:szCs w:val="14"/>
                <w:lang w:val="es-ES"/>
              </w:rPr>
            </w:pPr>
          </w:p>
        </w:tc>
        <w:tc>
          <w:tcPr>
            <w:tcW w:w="1241" w:type="dxa"/>
            <w:tcBorders>
              <w:top w:val="nil"/>
              <w:left w:val="nil"/>
              <w:bottom w:val="nil"/>
              <w:right w:val="nil"/>
            </w:tcBorders>
            <w:shd w:val="clear" w:color="auto" w:fill="auto"/>
            <w:noWrap/>
            <w:vAlign w:val="center"/>
          </w:tcPr>
          <w:p w14:paraId="1622472D" w14:textId="77777777" w:rsidR="00D92FD5" w:rsidRPr="00AE4E8D" w:rsidRDefault="00D92FD5" w:rsidP="00D92FD5">
            <w:pPr>
              <w:keepNext/>
              <w:keepLines/>
              <w:jc w:val="right"/>
              <w:rPr>
                <w:rFonts w:ascii="Times New Roman" w:hAnsi="Times New Roman"/>
                <w:color w:val="000000"/>
                <w:sz w:val="14"/>
                <w:szCs w:val="14"/>
                <w:lang w:val="es-ES"/>
              </w:rPr>
            </w:pPr>
          </w:p>
        </w:tc>
        <w:tc>
          <w:tcPr>
            <w:tcW w:w="1179" w:type="dxa"/>
            <w:tcBorders>
              <w:top w:val="nil"/>
              <w:left w:val="nil"/>
              <w:bottom w:val="nil"/>
              <w:right w:val="nil"/>
            </w:tcBorders>
            <w:shd w:val="clear" w:color="auto" w:fill="auto"/>
            <w:noWrap/>
            <w:vAlign w:val="bottom"/>
          </w:tcPr>
          <w:p w14:paraId="3C11393A" w14:textId="77777777" w:rsidR="00D92FD5" w:rsidRPr="00AE4E8D" w:rsidRDefault="00D92FD5" w:rsidP="00D92FD5">
            <w:pPr>
              <w:keepNext/>
              <w:keepLines/>
              <w:rPr>
                <w:rFonts w:ascii="Times New Roman" w:hAnsi="Times New Roman"/>
                <w:color w:val="000000"/>
                <w:lang w:val="es-ES"/>
              </w:rPr>
            </w:pPr>
          </w:p>
        </w:tc>
        <w:tc>
          <w:tcPr>
            <w:tcW w:w="887" w:type="dxa"/>
            <w:tcBorders>
              <w:top w:val="nil"/>
              <w:left w:val="nil"/>
              <w:bottom w:val="nil"/>
              <w:right w:val="nil"/>
            </w:tcBorders>
            <w:shd w:val="clear" w:color="auto" w:fill="auto"/>
            <w:noWrap/>
            <w:vAlign w:val="center"/>
          </w:tcPr>
          <w:p w14:paraId="7BCD4287" w14:textId="77777777" w:rsidR="00D92FD5" w:rsidRPr="00AE4E8D" w:rsidRDefault="00D92FD5" w:rsidP="00D92FD5">
            <w:pPr>
              <w:keepNext/>
              <w:keepLines/>
              <w:jc w:val="right"/>
              <w:rPr>
                <w:rFonts w:ascii="Times New Roman" w:hAnsi="Times New Roman"/>
                <w:color w:val="000000"/>
                <w:sz w:val="14"/>
                <w:szCs w:val="14"/>
                <w:lang w:val="es-ES"/>
              </w:rPr>
            </w:pPr>
          </w:p>
        </w:tc>
        <w:tc>
          <w:tcPr>
            <w:tcW w:w="1130" w:type="dxa"/>
            <w:tcBorders>
              <w:top w:val="nil"/>
              <w:left w:val="nil"/>
              <w:bottom w:val="nil"/>
              <w:right w:val="nil"/>
            </w:tcBorders>
            <w:shd w:val="clear" w:color="auto" w:fill="auto"/>
            <w:noWrap/>
            <w:vAlign w:val="center"/>
          </w:tcPr>
          <w:p w14:paraId="0C7E3ACB" w14:textId="77777777" w:rsidR="00D92FD5" w:rsidRPr="00AE4E8D" w:rsidRDefault="00D92FD5" w:rsidP="00D92FD5">
            <w:pPr>
              <w:keepNext/>
              <w:keepLines/>
              <w:jc w:val="right"/>
              <w:rPr>
                <w:rFonts w:ascii="Times New Roman" w:hAnsi="Times New Roman"/>
                <w:color w:val="000000"/>
                <w:sz w:val="14"/>
                <w:szCs w:val="14"/>
                <w:lang w:val="es-ES"/>
              </w:rPr>
            </w:pPr>
          </w:p>
        </w:tc>
        <w:tc>
          <w:tcPr>
            <w:tcW w:w="1104" w:type="dxa"/>
            <w:tcBorders>
              <w:top w:val="nil"/>
              <w:left w:val="nil"/>
              <w:bottom w:val="nil"/>
              <w:right w:val="nil"/>
            </w:tcBorders>
            <w:shd w:val="clear" w:color="auto" w:fill="auto"/>
            <w:noWrap/>
            <w:vAlign w:val="center"/>
          </w:tcPr>
          <w:p w14:paraId="61A23A10" w14:textId="77777777" w:rsidR="00D92FD5" w:rsidRPr="00AE4E8D" w:rsidRDefault="00D92FD5" w:rsidP="00D92FD5">
            <w:pPr>
              <w:keepNext/>
              <w:keepLines/>
              <w:jc w:val="right"/>
              <w:rPr>
                <w:rFonts w:ascii="Times New Roman" w:hAnsi="Times New Roman"/>
                <w:color w:val="000000"/>
                <w:sz w:val="14"/>
                <w:szCs w:val="14"/>
                <w:lang w:val="es-ES"/>
              </w:rPr>
            </w:pPr>
          </w:p>
        </w:tc>
      </w:tr>
      <w:tr w:rsidR="00D92FD5" w:rsidRPr="00AE4E8D" w14:paraId="55A8BA56"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678016B9"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Obras en Curso</w:t>
            </w:r>
          </w:p>
        </w:tc>
        <w:tc>
          <w:tcPr>
            <w:tcW w:w="1164" w:type="dxa"/>
            <w:tcBorders>
              <w:top w:val="nil"/>
              <w:left w:val="nil"/>
              <w:bottom w:val="nil"/>
              <w:right w:val="nil"/>
            </w:tcBorders>
            <w:shd w:val="clear" w:color="auto" w:fill="auto"/>
            <w:noWrap/>
            <w:vAlign w:val="center"/>
            <w:hideMark/>
          </w:tcPr>
          <w:p w14:paraId="37F4B1A4"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51.458 </w:t>
            </w:r>
          </w:p>
        </w:tc>
        <w:tc>
          <w:tcPr>
            <w:tcW w:w="923" w:type="dxa"/>
            <w:tcBorders>
              <w:top w:val="nil"/>
              <w:left w:val="nil"/>
              <w:bottom w:val="nil"/>
              <w:right w:val="nil"/>
            </w:tcBorders>
            <w:shd w:val="clear" w:color="auto" w:fill="auto"/>
            <w:noWrap/>
            <w:vAlign w:val="center"/>
            <w:hideMark/>
          </w:tcPr>
          <w:p w14:paraId="414FB2C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1.209.506 </w:t>
            </w:r>
          </w:p>
        </w:tc>
        <w:tc>
          <w:tcPr>
            <w:tcW w:w="1104" w:type="dxa"/>
            <w:tcBorders>
              <w:top w:val="nil"/>
              <w:left w:val="nil"/>
              <w:bottom w:val="nil"/>
              <w:right w:val="nil"/>
            </w:tcBorders>
            <w:shd w:val="clear" w:color="auto" w:fill="auto"/>
            <w:noWrap/>
            <w:vAlign w:val="center"/>
            <w:hideMark/>
          </w:tcPr>
          <w:p w14:paraId="298A39BC"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(52.797)</w:t>
            </w:r>
          </w:p>
        </w:tc>
        <w:tc>
          <w:tcPr>
            <w:tcW w:w="765" w:type="dxa"/>
            <w:tcBorders>
              <w:top w:val="nil"/>
              <w:left w:val="nil"/>
              <w:bottom w:val="nil"/>
              <w:right w:val="nil"/>
            </w:tcBorders>
            <w:shd w:val="clear" w:color="auto" w:fill="auto"/>
            <w:noWrap/>
            <w:vAlign w:val="center"/>
            <w:hideMark/>
          </w:tcPr>
          <w:p w14:paraId="36D5B90A"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241" w:type="dxa"/>
            <w:tcBorders>
              <w:top w:val="nil"/>
              <w:left w:val="nil"/>
              <w:bottom w:val="nil"/>
              <w:right w:val="nil"/>
            </w:tcBorders>
            <w:shd w:val="clear" w:color="auto" w:fill="auto"/>
            <w:noWrap/>
            <w:vAlign w:val="center"/>
            <w:hideMark/>
          </w:tcPr>
          <w:p w14:paraId="40288302"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6D36BD6A"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p>
        </w:tc>
        <w:tc>
          <w:tcPr>
            <w:tcW w:w="887" w:type="dxa"/>
            <w:tcBorders>
              <w:top w:val="nil"/>
              <w:left w:val="nil"/>
              <w:bottom w:val="nil"/>
              <w:right w:val="nil"/>
            </w:tcBorders>
            <w:shd w:val="clear" w:color="auto" w:fill="auto"/>
            <w:noWrap/>
            <w:vAlign w:val="center"/>
            <w:hideMark/>
          </w:tcPr>
          <w:p w14:paraId="680D759B"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30" w:type="dxa"/>
            <w:tcBorders>
              <w:top w:val="nil"/>
              <w:left w:val="nil"/>
              <w:bottom w:val="nil"/>
              <w:right w:val="nil"/>
            </w:tcBorders>
            <w:shd w:val="clear" w:color="auto" w:fill="auto"/>
            <w:noWrap/>
            <w:vAlign w:val="bottom"/>
            <w:hideMark/>
          </w:tcPr>
          <w:p w14:paraId="67659CF0"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1.208.167 </w:t>
            </w:r>
          </w:p>
        </w:tc>
        <w:tc>
          <w:tcPr>
            <w:tcW w:w="1104" w:type="dxa"/>
            <w:tcBorders>
              <w:top w:val="nil"/>
              <w:left w:val="nil"/>
              <w:bottom w:val="nil"/>
              <w:right w:val="nil"/>
            </w:tcBorders>
            <w:shd w:val="clear" w:color="auto" w:fill="auto"/>
            <w:noWrap/>
            <w:vAlign w:val="center"/>
            <w:hideMark/>
          </w:tcPr>
          <w:p w14:paraId="40429707"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12.954 </w:t>
            </w:r>
          </w:p>
        </w:tc>
      </w:tr>
      <w:tr w:rsidR="00D92FD5" w:rsidRPr="00AE4E8D" w14:paraId="43EB90B1"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45016A6E"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Obras de Arte y Piezas de Colección </w:t>
            </w:r>
          </w:p>
        </w:tc>
        <w:tc>
          <w:tcPr>
            <w:tcW w:w="1164" w:type="dxa"/>
            <w:tcBorders>
              <w:top w:val="nil"/>
              <w:left w:val="nil"/>
              <w:bottom w:val="nil"/>
              <w:right w:val="nil"/>
            </w:tcBorders>
            <w:shd w:val="clear" w:color="auto" w:fill="auto"/>
            <w:noWrap/>
            <w:vAlign w:val="center"/>
            <w:hideMark/>
          </w:tcPr>
          <w:p w14:paraId="625CDB1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226 </w:t>
            </w:r>
          </w:p>
        </w:tc>
        <w:tc>
          <w:tcPr>
            <w:tcW w:w="923" w:type="dxa"/>
            <w:tcBorders>
              <w:top w:val="nil"/>
              <w:left w:val="nil"/>
              <w:bottom w:val="nil"/>
              <w:right w:val="nil"/>
            </w:tcBorders>
            <w:shd w:val="clear" w:color="auto" w:fill="auto"/>
            <w:noWrap/>
            <w:vAlign w:val="center"/>
            <w:hideMark/>
          </w:tcPr>
          <w:p w14:paraId="1F4E1F75"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1104" w:type="dxa"/>
            <w:tcBorders>
              <w:top w:val="nil"/>
              <w:left w:val="nil"/>
              <w:bottom w:val="nil"/>
              <w:right w:val="nil"/>
            </w:tcBorders>
            <w:shd w:val="clear" w:color="auto" w:fill="auto"/>
            <w:noWrap/>
            <w:vAlign w:val="center"/>
            <w:hideMark/>
          </w:tcPr>
          <w:p w14:paraId="1319890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65" w:type="dxa"/>
            <w:tcBorders>
              <w:top w:val="nil"/>
              <w:left w:val="nil"/>
              <w:bottom w:val="nil"/>
              <w:right w:val="nil"/>
            </w:tcBorders>
            <w:shd w:val="clear" w:color="auto" w:fill="auto"/>
            <w:noWrap/>
            <w:vAlign w:val="center"/>
            <w:hideMark/>
          </w:tcPr>
          <w:p w14:paraId="55AA638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1241" w:type="dxa"/>
            <w:tcBorders>
              <w:top w:val="nil"/>
              <w:left w:val="nil"/>
              <w:bottom w:val="nil"/>
              <w:right w:val="nil"/>
            </w:tcBorders>
            <w:shd w:val="clear" w:color="auto" w:fill="auto"/>
            <w:noWrap/>
            <w:vAlign w:val="center"/>
            <w:hideMark/>
          </w:tcPr>
          <w:p w14:paraId="04B8FC4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47B3C9AC"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p>
        </w:tc>
        <w:tc>
          <w:tcPr>
            <w:tcW w:w="887" w:type="dxa"/>
            <w:tcBorders>
              <w:top w:val="nil"/>
              <w:left w:val="nil"/>
              <w:bottom w:val="nil"/>
              <w:right w:val="nil"/>
            </w:tcBorders>
            <w:shd w:val="clear" w:color="auto" w:fill="auto"/>
            <w:noWrap/>
            <w:vAlign w:val="center"/>
            <w:hideMark/>
          </w:tcPr>
          <w:p w14:paraId="574CB20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30" w:type="dxa"/>
            <w:tcBorders>
              <w:top w:val="nil"/>
              <w:left w:val="nil"/>
              <w:bottom w:val="nil"/>
              <w:right w:val="nil"/>
            </w:tcBorders>
            <w:shd w:val="clear" w:color="auto" w:fill="auto"/>
            <w:noWrap/>
            <w:vAlign w:val="bottom"/>
            <w:hideMark/>
          </w:tcPr>
          <w:p w14:paraId="3457DCD7"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226 </w:t>
            </w:r>
          </w:p>
        </w:tc>
        <w:tc>
          <w:tcPr>
            <w:tcW w:w="1104" w:type="dxa"/>
            <w:tcBorders>
              <w:top w:val="nil"/>
              <w:left w:val="nil"/>
              <w:bottom w:val="nil"/>
              <w:right w:val="nil"/>
            </w:tcBorders>
            <w:shd w:val="clear" w:color="auto" w:fill="auto"/>
            <w:noWrap/>
            <w:vAlign w:val="center"/>
            <w:hideMark/>
          </w:tcPr>
          <w:p w14:paraId="29BFF375"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226 </w:t>
            </w:r>
          </w:p>
        </w:tc>
      </w:tr>
      <w:tr w:rsidR="00D92FD5" w:rsidRPr="00AE4E8D" w14:paraId="54193050"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3F1AB130"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Bienes dados en alquiler</w:t>
            </w:r>
          </w:p>
        </w:tc>
        <w:tc>
          <w:tcPr>
            <w:tcW w:w="1164" w:type="dxa"/>
            <w:tcBorders>
              <w:top w:val="nil"/>
              <w:left w:val="nil"/>
              <w:bottom w:val="nil"/>
              <w:right w:val="nil"/>
            </w:tcBorders>
            <w:shd w:val="clear" w:color="auto" w:fill="auto"/>
            <w:noWrap/>
            <w:vAlign w:val="center"/>
            <w:hideMark/>
          </w:tcPr>
          <w:p w14:paraId="7E0C64F0"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2.610 </w:t>
            </w:r>
          </w:p>
        </w:tc>
        <w:tc>
          <w:tcPr>
            <w:tcW w:w="923" w:type="dxa"/>
            <w:tcBorders>
              <w:top w:val="nil"/>
              <w:left w:val="nil"/>
              <w:bottom w:val="nil"/>
              <w:right w:val="nil"/>
            </w:tcBorders>
            <w:shd w:val="clear" w:color="auto" w:fill="auto"/>
            <w:noWrap/>
            <w:vAlign w:val="center"/>
            <w:hideMark/>
          </w:tcPr>
          <w:p w14:paraId="3C89379C"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1104" w:type="dxa"/>
            <w:tcBorders>
              <w:top w:val="nil"/>
              <w:left w:val="nil"/>
              <w:bottom w:val="nil"/>
              <w:right w:val="nil"/>
            </w:tcBorders>
            <w:shd w:val="clear" w:color="auto" w:fill="auto"/>
            <w:noWrap/>
            <w:vAlign w:val="center"/>
            <w:hideMark/>
          </w:tcPr>
          <w:p w14:paraId="77272F37"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65" w:type="dxa"/>
            <w:tcBorders>
              <w:top w:val="nil"/>
              <w:left w:val="nil"/>
              <w:bottom w:val="nil"/>
              <w:right w:val="nil"/>
            </w:tcBorders>
            <w:shd w:val="clear" w:color="auto" w:fill="auto"/>
            <w:noWrap/>
            <w:vAlign w:val="center"/>
            <w:hideMark/>
          </w:tcPr>
          <w:p w14:paraId="354B3F20"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1241" w:type="dxa"/>
            <w:tcBorders>
              <w:top w:val="nil"/>
              <w:left w:val="nil"/>
              <w:bottom w:val="nil"/>
              <w:right w:val="nil"/>
            </w:tcBorders>
            <w:shd w:val="clear" w:color="auto" w:fill="auto"/>
            <w:noWrap/>
            <w:vAlign w:val="center"/>
            <w:hideMark/>
          </w:tcPr>
          <w:p w14:paraId="22C18911"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75B40DD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887" w:type="dxa"/>
            <w:tcBorders>
              <w:top w:val="nil"/>
              <w:left w:val="nil"/>
              <w:bottom w:val="nil"/>
              <w:right w:val="nil"/>
            </w:tcBorders>
            <w:shd w:val="clear" w:color="auto" w:fill="auto"/>
            <w:noWrap/>
            <w:vAlign w:val="center"/>
            <w:hideMark/>
          </w:tcPr>
          <w:p w14:paraId="1784DC6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58</w:t>
            </w:r>
          </w:p>
        </w:tc>
        <w:tc>
          <w:tcPr>
            <w:tcW w:w="1130" w:type="dxa"/>
            <w:tcBorders>
              <w:top w:val="nil"/>
              <w:left w:val="nil"/>
              <w:bottom w:val="nil"/>
              <w:right w:val="nil"/>
            </w:tcBorders>
            <w:shd w:val="clear" w:color="auto" w:fill="auto"/>
            <w:noWrap/>
            <w:vAlign w:val="bottom"/>
            <w:hideMark/>
          </w:tcPr>
          <w:p w14:paraId="5F095F9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2.552 </w:t>
            </w:r>
          </w:p>
        </w:tc>
        <w:tc>
          <w:tcPr>
            <w:tcW w:w="1104" w:type="dxa"/>
            <w:tcBorders>
              <w:top w:val="nil"/>
              <w:left w:val="nil"/>
              <w:bottom w:val="nil"/>
              <w:right w:val="nil"/>
            </w:tcBorders>
            <w:shd w:val="clear" w:color="auto" w:fill="auto"/>
            <w:noWrap/>
            <w:vAlign w:val="center"/>
            <w:hideMark/>
          </w:tcPr>
          <w:p w14:paraId="05A633A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2.520 </w:t>
            </w:r>
          </w:p>
        </w:tc>
      </w:tr>
      <w:tr w:rsidR="00D92FD5" w:rsidRPr="00AE4E8D" w14:paraId="6C7C084F"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655F5D4E"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Bienes tomados en defensa del crédito</w:t>
            </w:r>
          </w:p>
        </w:tc>
        <w:tc>
          <w:tcPr>
            <w:tcW w:w="1164" w:type="dxa"/>
            <w:tcBorders>
              <w:top w:val="nil"/>
              <w:left w:val="nil"/>
              <w:bottom w:val="nil"/>
              <w:right w:val="nil"/>
            </w:tcBorders>
            <w:shd w:val="clear" w:color="auto" w:fill="auto"/>
            <w:noWrap/>
            <w:vAlign w:val="center"/>
            <w:hideMark/>
          </w:tcPr>
          <w:p w14:paraId="168B56E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1.596 </w:t>
            </w:r>
          </w:p>
        </w:tc>
        <w:tc>
          <w:tcPr>
            <w:tcW w:w="923" w:type="dxa"/>
            <w:tcBorders>
              <w:top w:val="nil"/>
              <w:left w:val="nil"/>
              <w:bottom w:val="nil"/>
              <w:right w:val="nil"/>
            </w:tcBorders>
            <w:shd w:val="clear" w:color="auto" w:fill="auto"/>
            <w:noWrap/>
            <w:vAlign w:val="center"/>
            <w:hideMark/>
          </w:tcPr>
          <w:p w14:paraId="7A92708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p>
        </w:tc>
        <w:tc>
          <w:tcPr>
            <w:tcW w:w="1104" w:type="dxa"/>
            <w:tcBorders>
              <w:top w:val="nil"/>
              <w:left w:val="nil"/>
              <w:bottom w:val="nil"/>
              <w:right w:val="nil"/>
            </w:tcBorders>
            <w:shd w:val="clear" w:color="auto" w:fill="auto"/>
            <w:noWrap/>
            <w:vAlign w:val="center"/>
            <w:hideMark/>
          </w:tcPr>
          <w:p w14:paraId="5EF4C2B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65" w:type="dxa"/>
            <w:tcBorders>
              <w:top w:val="nil"/>
              <w:left w:val="nil"/>
              <w:bottom w:val="nil"/>
              <w:right w:val="nil"/>
            </w:tcBorders>
            <w:shd w:val="clear" w:color="auto" w:fill="auto"/>
            <w:noWrap/>
            <w:vAlign w:val="center"/>
            <w:hideMark/>
          </w:tcPr>
          <w:p w14:paraId="6EDFADB1"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241" w:type="dxa"/>
            <w:tcBorders>
              <w:top w:val="nil"/>
              <w:left w:val="nil"/>
              <w:bottom w:val="nil"/>
              <w:right w:val="nil"/>
            </w:tcBorders>
            <w:shd w:val="clear" w:color="auto" w:fill="auto"/>
            <w:noWrap/>
            <w:vAlign w:val="center"/>
            <w:hideMark/>
          </w:tcPr>
          <w:p w14:paraId="161741C2"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15427D0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887" w:type="dxa"/>
            <w:tcBorders>
              <w:top w:val="nil"/>
              <w:left w:val="nil"/>
              <w:bottom w:val="nil"/>
              <w:right w:val="nil"/>
            </w:tcBorders>
            <w:shd w:val="clear" w:color="auto" w:fill="auto"/>
            <w:noWrap/>
            <w:vAlign w:val="center"/>
            <w:hideMark/>
          </w:tcPr>
          <w:p w14:paraId="32C34F4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11 </w:t>
            </w:r>
          </w:p>
        </w:tc>
        <w:tc>
          <w:tcPr>
            <w:tcW w:w="1130" w:type="dxa"/>
            <w:tcBorders>
              <w:top w:val="nil"/>
              <w:left w:val="nil"/>
              <w:bottom w:val="nil"/>
              <w:right w:val="nil"/>
            </w:tcBorders>
            <w:shd w:val="clear" w:color="auto" w:fill="auto"/>
            <w:noWrap/>
            <w:vAlign w:val="bottom"/>
            <w:hideMark/>
          </w:tcPr>
          <w:p w14:paraId="09C6546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1.585 </w:t>
            </w:r>
          </w:p>
        </w:tc>
        <w:tc>
          <w:tcPr>
            <w:tcW w:w="1104" w:type="dxa"/>
            <w:tcBorders>
              <w:top w:val="nil"/>
              <w:left w:val="nil"/>
              <w:bottom w:val="nil"/>
              <w:right w:val="nil"/>
            </w:tcBorders>
            <w:shd w:val="clear" w:color="auto" w:fill="auto"/>
            <w:noWrap/>
            <w:vAlign w:val="center"/>
            <w:hideMark/>
          </w:tcPr>
          <w:p w14:paraId="18A0D0EE"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1.608 </w:t>
            </w:r>
          </w:p>
        </w:tc>
      </w:tr>
      <w:tr w:rsidR="00D92FD5" w:rsidRPr="00AE4E8D" w14:paraId="42CA5577"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6D57B456"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Papeles y Útiles </w:t>
            </w:r>
          </w:p>
        </w:tc>
        <w:tc>
          <w:tcPr>
            <w:tcW w:w="1164" w:type="dxa"/>
            <w:tcBorders>
              <w:top w:val="nil"/>
              <w:left w:val="nil"/>
              <w:bottom w:val="nil"/>
              <w:right w:val="nil"/>
            </w:tcBorders>
            <w:shd w:val="clear" w:color="auto" w:fill="auto"/>
            <w:noWrap/>
            <w:vAlign w:val="center"/>
            <w:hideMark/>
          </w:tcPr>
          <w:p w14:paraId="58AE27F9"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32.555 </w:t>
            </w:r>
          </w:p>
        </w:tc>
        <w:tc>
          <w:tcPr>
            <w:tcW w:w="923" w:type="dxa"/>
            <w:tcBorders>
              <w:top w:val="nil"/>
              <w:left w:val="nil"/>
              <w:bottom w:val="nil"/>
              <w:right w:val="nil"/>
            </w:tcBorders>
            <w:shd w:val="clear" w:color="auto" w:fill="auto"/>
            <w:noWrap/>
            <w:vAlign w:val="center"/>
            <w:hideMark/>
          </w:tcPr>
          <w:p w14:paraId="2C40687B"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2.707 </w:t>
            </w:r>
          </w:p>
        </w:tc>
        <w:tc>
          <w:tcPr>
            <w:tcW w:w="1104" w:type="dxa"/>
            <w:tcBorders>
              <w:top w:val="nil"/>
              <w:left w:val="nil"/>
              <w:bottom w:val="nil"/>
              <w:right w:val="nil"/>
            </w:tcBorders>
            <w:shd w:val="clear" w:color="auto" w:fill="auto"/>
            <w:noWrap/>
            <w:vAlign w:val="center"/>
            <w:hideMark/>
          </w:tcPr>
          <w:p w14:paraId="3DF4F52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65" w:type="dxa"/>
            <w:tcBorders>
              <w:top w:val="nil"/>
              <w:left w:val="nil"/>
              <w:bottom w:val="nil"/>
              <w:right w:val="nil"/>
            </w:tcBorders>
            <w:shd w:val="clear" w:color="auto" w:fill="auto"/>
            <w:noWrap/>
            <w:vAlign w:val="center"/>
            <w:hideMark/>
          </w:tcPr>
          <w:p w14:paraId="796E858D"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241" w:type="dxa"/>
            <w:tcBorders>
              <w:top w:val="nil"/>
              <w:left w:val="nil"/>
              <w:bottom w:val="nil"/>
              <w:right w:val="nil"/>
            </w:tcBorders>
            <w:shd w:val="clear" w:color="auto" w:fill="auto"/>
            <w:noWrap/>
            <w:vAlign w:val="center"/>
            <w:hideMark/>
          </w:tcPr>
          <w:p w14:paraId="200679F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3382E435"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p>
        </w:tc>
        <w:tc>
          <w:tcPr>
            <w:tcW w:w="887" w:type="dxa"/>
            <w:tcBorders>
              <w:top w:val="nil"/>
              <w:left w:val="nil"/>
              <w:bottom w:val="nil"/>
              <w:right w:val="nil"/>
            </w:tcBorders>
            <w:shd w:val="clear" w:color="auto" w:fill="auto"/>
            <w:noWrap/>
            <w:vAlign w:val="center"/>
            <w:hideMark/>
          </w:tcPr>
          <w:p w14:paraId="3F79A46A"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30" w:type="dxa"/>
            <w:tcBorders>
              <w:top w:val="nil"/>
              <w:left w:val="nil"/>
              <w:bottom w:val="nil"/>
              <w:right w:val="nil"/>
            </w:tcBorders>
            <w:shd w:val="clear" w:color="auto" w:fill="auto"/>
            <w:noWrap/>
            <w:vAlign w:val="bottom"/>
            <w:hideMark/>
          </w:tcPr>
          <w:p w14:paraId="38A5443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35.262 </w:t>
            </w:r>
          </w:p>
        </w:tc>
        <w:tc>
          <w:tcPr>
            <w:tcW w:w="1104" w:type="dxa"/>
            <w:tcBorders>
              <w:top w:val="nil"/>
              <w:left w:val="nil"/>
              <w:bottom w:val="nil"/>
              <w:right w:val="nil"/>
            </w:tcBorders>
            <w:shd w:val="clear" w:color="auto" w:fill="auto"/>
            <w:noWrap/>
            <w:vAlign w:val="center"/>
            <w:hideMark/>
          </w:tcPr>
          <w:p w14:paraId="37368CF5"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30.848 </w:t>
            </w:r>
          </w:p>
        </w:tc>
      </w:tr>
      <w:tr w:rsidR="00D92FD5" w:rsidRPr="00AE4E8D" w14:paraId="1CCAD2F4" w14:textId="77777777" w:rsidTr="000400C8">
        <w:trPr>
          <w:trHeight w:val="327"/>
          <w:jc w:val="center"/>
        </w:trPr>
        <w:tc>
          <w:tcPr>
            <w:tcW w:w="1511" w:type="dxa"/>
            <w:tcBorders>
              <w:top w:val="nil"/>
              <w:left w:val="nil"/>
              <w:bottom w:val="nil"/>
              <w:right w:val="nil"/>
            </w:tcBorders>
            <w:shd w:val="clear" w:color="auto" w:fill="auto"/>
            <w:noWrap/>
            <w:vAlign w:val="center"/>
            <w:hideMark/>
          </w:tcPr>
          <w:p w14:paraId="673D947D"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Otros bienes diversos</w:t>
            </w:r>
          </w:p>
        </w:tc>
        <w:tc>
          <w:tcPr>
            <w:tcW w:w="1164" w:type="dxa"/>
            <w:tcBorders>
              <w:top w:val="nil"/>
              <w:left w:val="nil"/>
              <w:bottom w:val="nil"/>
              <w:right w:val="nil"/>
            </w:tcBorders>
            <w:shd w:val="clear" w:color="auto" w:fill="auto"/>
            <w:noWrap/>
            <w:vAlign w:val="center"/>
            <w:hideMark/>
          </w:tcPr>
          <w:p w14:paraId="40766C95"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21.021 </w:t>
            </w:r>
          </w:p>
        </w:tc>
        <w:tc>
          <w:tcPr>
            <w:tcW w:w="923" w:type="dxa"/>
            <w:tcBorders>
              <w:top w:val="nil"/>
              <w:left w:val="nil"/>
              <w:bottom w:val="nil"/>
              <w:right w:val="nil"/>
            </w:tcBorders>
            <w:shd w:val="clear" w:color="auto" w:fill="auto"/>
            <w:noWrap/>
            <w:vAlign w:val="center"/>
            <w:hideMark/>
          </w:tcPr>
          <w:p w14:paraId="1A305C8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4" w:type="dxa"/>
            <w:tcBorders>
              <w:top w:val="nil"/>
              <w:left w:val="nil"/>
              <w:bottom w:val="nil"/>
              <w:right w:val="nil"/>
            </w:tcBorders>
            <w:shd w:val="clear" w:color="auto" w:fill="auto"/>
            <w:noWrap/>
            <w:vAlign w:val="center"/>
            <w:hideMark/>
          </w:tcPr>
          <w:p w14:paraId="4C5B97EA"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7.148</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65" w:type="dxa"/>
            <w:tcBorders>
              <w:top w:val="nil"/>
              <w:left w:val="nil"/>
              <w:bottom w:val="nil"/>
              <w:right w:val="nil"/>
            </w:tcBorders>
            <w:shd w:val="clear" w:color="auto" w:fill="auto"/>
            <w:noWrap/>
            <w:vAlign w:val="center"/>
            <w:hideMark/>
          </w:tcPr>
          <w:p w14:paraId="70DFCE29"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(22.228)</w:t>
            </w:r>
          </w:p>
        </w:tc>
        <w:tc>
          <w:tcPr>
            <w:tcW w:w="1241" w:type="dxa"/>
            <w:tcBorders>
              <w:top w:val="nil"/>
              <w:left w:val="nil"/>
              <w:bottom w:val="nil"/>
              <w:right w:val="nil"/>
            </w:tcBorders>
            <w:shd w:val="clear" w:color="auto" w:fill="auto"/>
            <w:noWrap/>
            <w:vAlign w:val="center"/>
            <w:hideMark/>
          </w:tcPr>
          <w:p w14:paraId="54F4F92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179" w:type="dxa"/>
            <w:tcBorders>
              <w:top w:val="nil"/>
              <w:left w:val="nil"/>
              <w:bottom w:val="nil"/>
              <w:right w:val="nil"/>
            </w:tcBorders>
            <w:shd w:val="clear" w:color="auto" w:fill="auto"/>
            <w:noWrap/>
            <w:vAlign w:val="center"/>
            <w:hideMark/>
          </w:tcPr>
          <w:p w14:paraId="55070331"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887" w:type="dxa"/>
            <w:tcBorders>
              <w:top w:val="nil"/>
              <w:left w:val="nil"/>
              <w:bottom w:val="nil"/>
              <w:right w:val="nil"/>
            </w:tcBorders>
            <w:shd w:val="clear" w:color="auto" w:fill="auto"/>
            <w:noWrap/>
            <w:vAlign w:val="center"/>
            <w:hideMark/>
          </w:tcPr>
          <w:p w14:paraId="0912473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46 </w:t>
            </w:r>
          </w:p>
        </w:tc>
        <w:tc>
          <w:tcPr>
            <w:tcW w:w="1130" w:type="dxa"/>
            <w:tcBorders>
              <w:top w:val="nil"/>
              <w:left w:val="nil"/>
              <w:bottom w:val="nil"/>
              <w:right w:val="nil"/>
            </w:tcBorders>
            <w:shd w:val="clear" w:color="auto" w:fill="auto"/>
            <w:noWrap/>
            <w:vAlign w:val="bottom"/>
            <w:hideMark/>
          </w:tcPr>
          <w:p w14:paraId="1D42EFB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5.895 </w:t>
            </w:r>
          </w:p>
        </w:tc>
        <w:tc>
          <w:tcPr>
            <w:tcW w:w="1104" w:type="dxa"/>
            <w:tcBorders>
              <w:top w:val="nil"/>
              <w:left w:val="nil"/>
              <w:bottom w:val="nil"/>
              <w:right w:val="nil"/>
            </w:tcBorders>
            <w:shd w:val="clear" w:color="auto" w:fill="auto"/>
            <w:noWrap/>
            <w:vAlign w:val="center"/>
            <w:hideMark/>
          </w:tcPr>
          <w:p w14:paraId="2BF2CDB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21.106 </w:t>
            </w:r>
          </w:p>
        </w:tc>
      </w:tr>
      <w:tr w:rsidR="00D92FD5" w:rsidRPr="00AE4E8D" w14:paraId="4D6B8979" w14:textId="77777777" w:rsidTr="000400C8">
        <w:trPr>
          <w:trHeight w:val="344"/>
          <w:jc w:val="center"/>
        </w:trPr>
        <w:tc>
          <w:tcPr>
            <w:tcW w:w="1511" w:type="dxa"/>
            <w:tcBorders>
              <w:top w:val="nil"/>
              <w:left w:val="nil"/>
              <w:bottom w:val="nil"/>
              <w:right w:val="nil"/>
            </w:tcBorders>
            <w:shd w:val="clear" w:color="auto" w:fill="auto"/>
            <w:noWrap/>
            <w:vAlign w:val="center"/>
            <w:hideMark/>
          </w:tcPr>
          <w:p w14:paraId="2C0B9C94" w14:textId="77777777" w:rsidR="00D92FD5" w:rsidRPr="00AE4E8D" w:rsidRDefault="00D92FD5" w:rsidP="00D92FD5">
            <w:pPr>
              <w:keepNext/>
              <w:keepLines/>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Anticipos por compras de bienes</w:t>
            </w:r>
          </w:p>
        </w:tc>
        <w:tc>
          <w:tcPr>
            <w:tcW w:w="1164" w:type="dxa"/>
            <w:tcBorders>
              <w:top w:val="nil"/>
              <w:left w:val="nil"/>
              <w:bottom w:val="single" w:sz="8" w:space="0" w:color="auto"/>
              <w:right w:val="nil"/>
            </w:tcBorders>
            <w:shd w:val="clear" w:color="auto" w:fill="auto"/>
            <w:noWrap/>
            <w:vAlign w:val="center"/>
            <w:hideMark/>
          </w:tcPr>
          <w:p w14:paraId="5482AD9C"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176.551 </w:t>
            </w:r>
          </w:p>
        </w:tc>
        <w:tc>
          <w:tcPr>
            <w:tcW w:w="923" w:type="dxa"/>
            <w:tcBorders>
              <w:top w:val="nil"/>
              <w:left w:val="nil"/>
              <w:bottom w:val="single" w:sz="8" w:space="0" w:color="auto"/>
              <w:right w:val="nil"/>
            </w:tcBorders>
            <w:shd w:val="clear" w:color="auto" w:fill="auto"/>
            <w:noWrap/>
            <w:vAlign w:val="center"/>
            <w:hideMark/>
          </w:tcPr>
          <w:p w14:paraId="344B1D54"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4" w:type="dxa"/>
            <w:tcBorders>
              <w:top w:val="nil"/>
              <w:left w:val="nil"/>
              <w:bottom w:val="single" w:sz="8" w:space="0" w:color="auto"/>
              <w:right w:val="nil"/>
            </w:tcBorders>
            <w:shd w:val="clear" w:color="auto" w:fill="auto"/>
            <w:noWrap/>
            <w:vAlign w:val="center"/>
            <w:hideMark/>
          </w:tcPr>
          <w:p w14:paraId="40B0E952"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(176.551)</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65" w:type="dxa"/>
            <w:tcBorders>
              <w:top w:val="nil"/>
              <w:left w:val="nil"/>
              <w:bottom w:val="single" w:sz="8" w:space="0" w:color="auto"/>
              <w:right w:val="nil"/>
            </w:tcBorders>
            <w:shd w:val="clear" w:color="auto" w:fill="auto"/>
            <w:noWrap/>
            <w:vAlign w:val="center"/>
            <w:hideMark/>
          </w:tcPr>
          <w:p w14:paraId="5DF3C56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241" w:type="dxa"/>
            <w:tcBorders>
              <w:top w:val="nil"/>
              <w:left w:val="nil"/>
              <w:bottom w:val="single" w:sz="8" w:space="0" w:color="auto"/>
              <w:right w:val="nil"/>
            </w:tcBorders>
            <w:shd w:val="clear" w:color="auto" w:fill="auto"/>
            <w:noWrap/>
            <w:vAlign w:val="center"/>
            <w:hideMark/>
          </w:tcPr>
          <w:p w14:paraId="6BE8FFB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79" w:type="dxa"/>
            <w:tcBorders>
              <w:top w:val="nil"/>
              <w:left w:val="nil"/>
              <w:bottom w:val="single" w:sz="8" w:space="0" w:color="auto"/>
              <w:right w:val="nil"/>
            </w:tcBorders>
            <w:shd w:val="clear" w:color="auto" w:fill="auto"/>
            <w:noWrap/>
            <w:vAlign w:val="center"/>
            <w:hideMark/>
          </w:tcPr>
          <w:p w14:paraId="64A726FC"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887" w:type="dxa"/>
            <w:tcBorders>
              <w:top w:val="nil"/>
              <w:left w:val="nil"/>
              <w:bottom w:val="single" w:sz="8" w:space="0" w:color="auto"/>
              <w:right w:val="nil"/>
            </w:tcBorders>
            <w:shd w:val="clear" w:color="auto" w:fill="auto"/>
            <w:noWrap/>
            <w:vAlign w:val="center"/>
            <w:hideMark/>
          </w:tcPr>
          <w:p w14:paraId="7B8F762C"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30" w:type="dxa"/>
            <w:tcBorders>
              <w:top w:val="nil"/>
              <w:left w:val="nil"/>
              <w:bottom w:val="single" w:sz="8" w:space="0" w:color="auto"/>
              <w:right w:val="nil"/>
            </w:tcBorders>
            <w:shd w:val="clear" w:color="auto" w:fill="auto"/>
            <w:noWrap/>
            <w:vAlign w:val="center"/>
            <w:hideMark/>
          </w:tcPr>
          <w:p w14:paraId="49B57403"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1104" w:type="dxa"/>
            <w:tcBorders>
              <w:top w:val="nil"/>
              <w:left w:val="nil"/>
              <w:bottom w:val="single" w:sz="8" w:space="0" w:color="auto"/>
              <w:right w:val="nil"/>
            </w:tcBorders>
            <w:shd w:val="clear" w:color="auto" w:fill="auto"/>
            <w:noWrap/>
            <w:vAlign w:val="center"/>
            <w:hideMark/>
          </w:tcPr>
          <w:p w14:paraId="51308502"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176.551 </w:t>
            </w:r>
          </w:p>
        </w:tc>
      </w:tr>
      <w:tr w:rsidR="00D92FD5" w:rsidRPr="00AE4E8D" w14:paraId="476C8FF3" w14:textId="77777777" w:rsidTr="000400C8">
        <w:trPr>
          <w:trHeight w:val="344"/>
          <w:jc w:val="center"/>
        </w:trPr>
        <w:tc>
          <w:tcPr>
            <w:tcW w:w="1511" w:type="dxa"/>
            <w:tcBorders>
              <w:top w:val="nil"/>
              <w:left w:val="nil"/>
              <w:bottom w:val="nil"/>
              <w:right w:val="nil"/>
            </w:tcBorders>
            <w:shd w:val="clear" w:color="auto" w:fill="auto"/>
            <w:noWrap/>
            <w:vAlign w:val="center"/>
            <w:hideMark/>
          </w:tcPr>
          <w:p w14:paraId="3185C871" w14:textId="77777777" w:rsidR="00D92FD5" w:rsidRPr="00AE4E8D" w:rsidRDefault="00D92FD5" w:rsidP="00D92FD5">
            <w:pPr>
              <w:keepNext/>
              <w:keepLines/>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Total</w:t>
            </w:r>
          </w:p>
        </w:tc>
        <w:tc>
          <w:tcPr>
            <w:tcW w:w="1164" w:type="dxa"/>
            <w:tcBorders>
              <w:top w:val="nil"/>
              <w:left w:val="nil"/>
              <w:bottom w:val="single" w:sz="8" w:space="0" w:color="auto"/>
              <w:right w:val="nil"/>
            </w:tcBorders>
            <w:shd w:val="clear" w:color="auto" w:fill="auto"/>
            <w:noWrap/>
            <w:vAlign w:val="center"/>
            <w:hideMark/>
          </w:tcPr>
          <w:p w14:paraId="74675696"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286.017 </w:t>
            </w:r>
          </w:p>
        </w:tc>
        <w:tc>
          <w:tcPr>
            <w:tcW w:w="923" w:type="dxa"/>
            <w:tcBorders>
              <w:top w:val="nil"/>
              <w:left w:val="nil"/>
              <w:bottom w:val="single" w:sz="8" w:space="0" w:color="auto"/>
              <w:right w:val="nil"/>
            </w:tcBorders>
            <w:shd w:val="clear" w:color="auto" w:fill="auto"/>
            <w:noWrap/>
            <w:vAlign w:val="center"/>
            <w:hideMark/>
          </w:tcPr>
          <w:p w14:paraId="3B71B9E5"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1.212.213</w:t>
            </w:r>
          </w:p>
        </w:tc>
        <w:tc>
          <w:tcPr>
            <w:tcW w:w="1104" w:type="dxa"/>
            <w:tcBorders>
              <w:top w:val="nil"/>
              <w:left w:val="nil"/>
              <w:bottom w:val="single" w:sz="8" w:space="0" w:color="auto"/>
              <w:right w:val="nil"/>
            </w:tcBorders>
            <w:shd w:val="clear" w:color="auto" w:fill="auto"/>
            <w:noWrap/>
            <w:vAlign w:val="center"/>
            <w:hideMark/>
          </w:tcPr>
          <w:p w14:paraId="14F55458"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(222.200)</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65" w:type="dxa"/>
            <w:tcBorders>
              <w:top w:val="nil"/>
              <w:left w:val="nil"/>
              <w:bottom w:val="single" w:sz="8" w:space="0" w:color="auto"/>
              <w:right w:val="nil"/>
            </w:tcBorders>
            <w:shd w:val="clear" w:color="auto" w:fill="auto"/>
            <w:noWrap/>
            <w:vAlign w:val="center"/>
            <w:hideMark/>
          </w:tcPr>
          <w:p w14:paraId="22B178C1"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(22.228)</w:t>
            </w:r>
          </w:p>
        </w:tc>
        <w:tc>
          <w:tcPr>
            <w:tcW w:w="1241" w:type="dxa"/>
            <w:tcBorders>
              <w:top w:val="nil"/>
              <w:left w:val="nil"/>
              <w:bottom w:val="single" w:sz="8" w:space="0" w:color="auto"/>
              <w:right w:val="nil"/>
            </w:tcBorders>
            <w:shd w:val="clear" w:color="auto" w:fill="auto"/>
            <w:noWrap/>
            <w:vAlign w:val="center"/>
            <w:hideMark/>
          </w:tcPr>
          <w:p w14:paraId="0D725437"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79" w:type="dxa"/>
            <w:tcBorders>
              <w:top w:val="nil"/>
              <w:left w:val="nil"/>
              <w:bottom w:val="single" w:sz="8" w:space="0" w:color="auto"/>
              <w:right w:val="nil"/>
            </w:tcBorders>
            <w:shd w:val="clear" w:color="auto" w:fill="auto"/>
            <w:noWrap/>
            <w:vAlign w:val="center"/>
            <w:hideMark/>
          </w:tcPr>
          <w:p w14:paraId="76157C1F"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887" w:type="dxa"/>
            <w:tcBorders>
              <w:top w:val="nil"/>
              <w:left w:val="nil"/>
              <w:bottom w:val="single" w:sz="8" w:space="0" w:color="auto"/>
              <w:right w:val="nil"/>
            </w:tcBorders>
            <w:shd w:val="clear" w:color="auto" w:fill="auto"/>
            <w:noWrap/>
            <w:vAlign w:val="center"/>
            <w:hideMark/>
          </w:tcPr>
          <w:p w14:paraId="3147AFAB"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115 </w:t>
            </w:r>
          </w:p>
        </w:tc>
        <w:tc>
          <w:tcPr>
            <w:tcW w:w="1130" w:type="dxa"/>
            <w:tcBorders>
              <w:top w:val="nil"/>
              <w:left w:val="nil"/>
              <w:bottom w:val="single" w:sz="8" w:space="0" w:color="auto"/>
              <w:right w:val="nil"/>
            </w:tcBorders>
            <w:shd w:val="clear" w:color="auto" w:fill="auto"/>
            <w:noWrap/>
            <w:vAlign w:val="center"/>
            <w:hideMark/>
          </w:tcPr>
          <w:p w14:paraId="262AF715" w14:textId="77777777" w:rsidR="00D92FD5" w:rsidRPr="00AE4E8D" w:rsidRDefault="00D92FD5" w:rsidP="00D92FD5">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1.253.687 </w:t>
            </w:r>
          </w:p>
        </w:tc>
        <w:tc>
          <w:tcPr>
            <w:tcW w:w="1104" w:type="dxa"/>
            <w:tcBorders>
              <w:top w:val="nil"/>
              <w:left w:val="nil"/>
              <w:bottom w:val="single" w:sz="8" w:space="0" w:color="auto"/>
              <w:right w:val="nil"/>
            </w:tcBorders>
            <w:shd w:val="clear" w:color="auto" w:fill="auto"/>
            <w:noWrap/>
            <w:vAlign w:val="center"/>
            <w:hideMark/>
          </w:tcPr>
          <w:p w14:paraId="5955B0CD" w14:textId="77777777" w:rsidR="00D92FD5" w:rsidRPr="00AE4E8D" w:rsidRDefault="00D92FD5" w:rsidP="002F1CED">
            <w:pPr>
              <w:keepNext/>
              <w:keepLines/>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245</w:t>
            </w:r>
            <w:r w:rsidR="00176047" w:rsidRPr="00AE4E8D">
              <w:rPr>
                <w:rFonts w:ascii="Times New Roman" w:hAnsi="Times New Roman"/>
                <w:color w:val="000000"/>
                <w:sz w:val="14"/>
                <w:szCs w:val="14"/>
                <w:lang w:val="es-ES"/>
              </w:rPr>
              <w:t>.</w:t>
            </w:r>
            <w:r w:rsidRPr="00AE4E8D">
              <w:rPr>
                <w:rFonts w:ascii="Times New Roman" w:hAnsi="Times New Roman"/>
                <w:color w:val="000000"/>
                <w:sz w:val="14"/>
                <w:szCs w:val="14"/>
                <w:lang w:val="es-ES"/>
              </w:rPr>
              <w:t>813</w:t>
            </w:r>
          </w:p>
        </w:tc>
      </w:tr>
    </w:tbl>
    <w:p w14:paraId="2ADB3133" w14:textId="77777777" w:rsidR="00D92FD5" w:rsidRPr="00AE4E8D" w:rsidRDefault="00D92FD5" w:rsidP="00091EF5">
      <w:pPr>
        <w:pStyle w:val="BHTexto"/>
        <w:spacing w:after="0"/>
        <w:rPr>
          <w:b/>
          <w:bCs/>
          <w:color w:val="000000"/>
          <w:lang w:val="es-ES" w:eastAsia="es-AR"/>
        </w:rPr>
      </w:pPr>
      <w:r w:rsidRPr="00AE4E8D">
        <w:rPr>
          <w:highlight w:val="cyan"/>
          <w:lang w:val="es-ES"/>
        </w:rPr>
        <w:br w:type="page"/>
      </w:r>
      <w:r w:rsidRPr="00AE4E8D">
        <w:rPr>
          <w:b/>
          <w:bCs/>
          <w:color w:val="000000"/>
          <w:lang w:val="es-ES" w:eastAsia="es-AR"/>
        </w:rPr>
        <w:lastRenderedPageBreak/>
        <w:t>Movimientos de Bienes de Uso y Bienes Diversos de las subsidiarias del Banco</w:t>
      </w:r>
      <w:r w:rsidRPr="00AE4E8D">
        <w:rPr>
          <w:rStyle w:val="Refdenotaalpie"/>
          <w:b/>
          <w:bCs/>
          <w:color w:val="000000"/>
          <w:lang w:val="es-ES" w:eastAsia="es-AR"/>
        </w:rPr>
        <w:footnoteReference w:id="12"/>
      </w:r>
      <w:r w:rsidRPr="00AE4E8D">
        <w:rPr>
          <w:b/>
          <w:bCs/>
          <w:color w:val="000000"/>
          <w:lang w:val="es-ES" w:eastAsia="es-AR"/>
        </w:rPr>
        <w:t xml:space="preserve"> </w:t>
      </w:r>
    </w:p>
    <w:p w14:paraId="35FB35CA" w14:textId="77777777" w:rsidR="00D92FD5" w:rsidRPr="00AE4E8D" w:rsidRDefault="00D92FD5" w:rsidP="00D92FD5">
      <w:pPr>
        <w:keepNext/>
        <w:tabs>
          <w:tab w:val="right" w:leader="dot" w:pos="5310"/>
        </w:tabs>
        <w:rPr>
          <w:rFonts w:ascii="Times New Roman" w:hAnsi="Times New Roman"/>
          <w:b/>
          <w:bCs/>
          <w:color w:val="000000"/>
          <w:lang w:val="es-ES" w:eastAsia="es-AR"/>
        </w:rPr>
      </w:pPr>
    </w:p>
    <w:tbl>
      <w:tblPr>
        <w:tblW w:w="10502" w:type="dxa"/>
        <w:jc w:val="center"/>
        <w:tblLook w:val="04A0" w:firstRow="1" w:lastRow="0" w:firstColumn="1" w:lastColumn="0" w:noHBand="0" w:noVBand="1"/>
      </w:tblPr>
      <w:tblGrid>
        <w:gridCol w:w="1378"/>
        <w:gridCol w:w="896"/>
        <w:gridCol w:w="1189"/>
        <w:gridCol w:w="1111"/>
        <w:gridCol w:w="782"/>
        <w:gridCol w:w="1142"/>
        <w:gridCol w:w="1118"/>
        <w:gridCol w:w="767"/>
        <w:gridCol w:w="1109"/>
        <w:gridCol w:w="1109"/>
      </w:tblGrid>
      <w:tr w:rsidR="00D92FD5" w:rsidRPr="00AE4E8D" w14:paraId="7D25AFCB" w14:textId="77777777" w:rsidTr="000400C8">
        <w:trPr>
          <w:trHeight w:val="550"/>
          <w:jc w:val="center"/>
        </w:trPr>
        <w:tc>
          <w:tcPr>
            <w:tcW w:w="1378" w:type="dxa"/>
            <w:tcBorders>
              <w:top w:val="nil"/>
              <w:left w:val="nil"/>
              <w:bottom w:val="nil"/>
              <w:right w:val="nil"/>
            </w:tcBorders>
            <w:shd w:val="clear" w:color="auto" w:fill="auto"/>
            <w:vAlign w:val="center"/>
            <w:hideMark/>
          </w:tcPr>
          <w:p w14:paraId="014B4C12"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Concepto</w:t>
            </w:r>
          </w:p>
        </w:tc>
        <w:tc>
          <w:tcPr>
            <w:tcW w:w="896" w:type="dxa"/>
            <w:tcBorders>
              <w:top w:val="nil"/>
              <w:left w:val="nil"/>
              <w:bottom w:val="nil"/>
              <w:right w:val="nil"/>
            </w:tcBorders>
            <w:shd w:val="clear" w:color="auto" w:fill="auto"/>
            <w:vAlign w:val="center"/>
            <w:hideMark/>
          </w:tcPr>
          <w:p w14:paraId="40B1FF2B"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Valor residual al inicio del periodo</w:t>
            </w:r>
          </w:p>
        </w:tc>
        <w:tc>
          <w:tcPr>
            <w:tcW w:w="1163" w:type="dxa"/>
            <w:tcBorders>
              <w:top w:val="nil"/>
              <w:left w:val="nil"/>
              <w:bottom w:val="nil"/>
              <w:right w:val="nil"/>
            </w:tcBorders>
            <w:shd w:val="clear" w:color="auto" w:fill="auto"/>
            <w:vAlign w:val="center"/>
            <w:hideMark/>
          </w:tcPr>
          <w:p w14:paraId="0796EA0B"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Incorporaciones</w:t>
            </w:r>
          </w:p>
        </w:tc>
        <w:tc>
          <w:tcPr>
            <w:tcW w:w="1087" w:type="dxa"/>
            <w:tcBorders>
              <w:top w:val="nil"/>
              <w:left w:val="nil"/>
              <w:bottom w:val="nil"/>
              <w:right w:val="nil"/>
            </w:tcBorders>
            <w:shd w:val="clear" w:color="auto" w:fill="auto"/>
            <w:vAlign w:val="center"/>
            <w:hideMark/>
          </w:tcPr>
          <w:p w14:paraId="439D69A2"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Transferencias</w:t>
            </w:r>
          </w:p>
        </w:tc>
        <w:tc>
          <w:tcPr>
            <w:tcW w:w="782" w:type="dxa"/>
            <w:tcBorders>
              <w:top w:val="nil"/>
              <w:left w:val="nil"/>
              <w:bottom w:val="nil"/>
              <w:right w:val="nil"/>
            </w:tcBorders>
            <w:shd w:val="clear" w:color="auto" w:fill="auto"/>
            <w:vAlign w:val="center"/>
            <w:hideMark/>
          </w:tcPr>
          <w:p w14:paraId="08EA4A31"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Bajas</w:t>
            </w:r>
          </w:p>
        </w:tc>
        <w:tc>
          <w:tcPr>
            <w:tcW w:w="1117" w:type="dxa"/>
            <w:tcBorders>
              <w:top w:val="nil"/>
              <w:left w:val="nil"/>
              <w:bottom w:val="nil"/>
              <w:right w:val="nil"/>
            </w:tcBorders>
            <w:shd w:val="clear" w:color="auto" w:fill="auto"/>
            <w:vAlign w:val="center"/>
            <w:hideMark/>
          </w:tcPr>
          <w:p w14:paraId="1F2CE137"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Pérdidas por desvalorización</w:t>
            </w:r>
          </w:p>
        </w:tc>
        <w:tc>
          <w:tcPr>
            <w:tcW w:w="1094" w:type="dxa"/>
            <w:tcBorders>
              <w:top w:val="nil"/>
              <w:left w:val="nil"/>
              <w:bottom w:val="nil"/>
              <w:right w:val="nil"/>
            </w:tcBorders>
            <w:shd w:val="clear" w:color="auto" w:fill="auto"/>
            <w:vAlign w:val="center"/>
            <w:hideMark/>
          </w:tcPr>
          <w:p w14:paraId="17C8C34A"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Depreciaciones del periodo</w:t>
            </w:r>
          </w:p>
        </w:tc>
        <w:tc>
          <w:tcPr>
            <w:tcW w:w="767" w:type="dxa"/>
            <w:tcBorders>
              <w:top w:val="nil"/>
              <w:left w:val="nil"/>
              <w:bottom w:val="nil"/>
              <w:right w:val="nil"/>
            </w:tcBorders>
            <w:shd w:val="clear" w:color="auto" w:fill="auto"/>
            <w:vAlign w:val="center"/>
            <w:hideMark/>
          </w:tcPr>
          <w:p w14:paraId="0BF8AC3A" w14:textId="77777777" w:rsidR="00D92FD5" w:rsidRPr="00AE4E8D" w:rsidRDefault="00D92FD5" w:rsidP="009E7DDD">
            <w:pPr>
              <w:jc w:val="center"/>
              <w:rPr>
                <w:rFonts w:ascii="Times New Roman" w:hAnsi="Times New Roman"/>
                <w:b/>
                <w:bCs/>
                <w:color w:val="000000"/>
                <w:sz w:val="14"/>
                <w:szCs w:val="14"/>
                <w:lang w:val="es-ES"/>
              </w:rPr>
            </w:pPr>
          </w:p>
        </w:tc>
        <w:tc>
          <w:tcPr>
            <w:tcW w:w="1109" w:type="dxa"/>
            <w:tcBorders>
              <w:top w:val="nil"/>
              <w:left w:val="nil"/>
              <w:bottom w:val="nil"/>
              <w:right w:val="nil"/>
            </w:tcBorders>
            <w:shd w:val="clear" w:color="auto" w:fill="auto"/>
            <w:vAlign w:val="center"/>
            <w:hideMark/>
          </w:tcPr>
          <w:p w14:paraId="5DF3E557"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Valor residual al cierre del periodo 30/06/2017</w:t>
            </w:r>
          </w:p>
        </w:tc>
        <w:tc>
          <w:tcPr>
            <w:tcW w:w="1109" w:type="dxa"/>
            <w:tcBorders>
              <w:top w:val="nil"/>
              <w:left w:val="nil"/>
              <w:bottom w:val="nil"/>
              <w:right w:val="nil"/>
            </w:tcBorders>
            <w:shd w:val="clear" w:color="auto" w:fill="auto"/>
            <w:vAlign w:val="center"/>
            <w:hideMark/>
          </w:tcPr>
          <w:p w14:paraId="70B22440"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Valor residual al cierre del periodo 30/06/2016</w:t>
            </w:r>
          </w:p>
        </w:tc>
      </w:tr>
      <w:tr w:rsidR="003B5193" w:rsidRPr="00AE4E8D" w14:paraId="5BA58EE3" w14:textId="77777777" w:rsidTr="00D92FD5">
        <w:trPr>
          <w:trHeight w:val="312"/>
          <w:jc w:val="center"/>
        </w:trPr>
        <w:tc>
          <w:tcPr>
            <w:tcW w:w="1378" w:type="dxa"/>
            <w:tcBorders>
              <w:top w:val="nil"/>
              <w:left w:val="nil"/>
              <w:bottom w:val="single" w:sz="8" w:space="0" w:color="000000"/>
              <w:right w:val="nil"/>
            </w:tcBorders>
            <w:shd w:val="clear" w:color="auto" w:fill="auto"/>
            <w:vAlign w:val="center"/>
            <w:hideMark/>
          </w:tcPr>
          <w:p w14:paraId="29D60B63"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 </w:t>
            </w:r>
          </w:p>
        </w:tc>
        <w:tc>
          <w:tcPr>
            <w:tcW w:w="896" w:type="dxa"/>
            <w:tcBorders>
              <w:top w:val="nil"/>
              <w:left w:val="nil"/>
              <w:bottom w:val="single" w:sz="8" w:space="0" w:color="000000"/>
              <w:right w:val="nil"/>
            </w:tcBorders>
            <w:shd w:val="clear" w:color="auto" w:fill="auto"/>
            <w:vAlign w:val="center"/>
            <w:hideMark/>
          </w:tcPr>
          <w:p w14:paraId="137FAC8F"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 </w:t>
            </w:r>
          </w:p>
        </w:tc>
        <w:tc>
          <w:tcPr>
            <w:tcW w:w="1163" w:type="dxa"/>
            <w:tcBorders>
              <w:top w:val="nil"/>
              <w:left w:val="nil"/>
              <w:bottom w:val="single" w:sz="8" w:space="0" w:color="000000"/>
              <w:right w:val="nil"/>
            </w:tcBorders>
            <w:shd w:val="clear" w:color="auto" w:fill="auto"/>
            <w:vAlign w:val="center"/>
            <w:hideMark/>
          </w:tcPr>
          <w:p w14:paraId="240BAA64"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 </w:t>
            </w:r>
          </w:p>
        </w:tc>
        <w:tc>
          <w:tcPr>
            <w:tcW w:w="1087" w:type="dxa"/>
            <w:tcBorders>
              <w:top w:val="nil"/>
              <w:left w:val="nil"/>
              <w:bottom w:val="single" w:sz="8" w:space="0" w:color="000000"/>
              <w:right w:val="nil"/>
            </w:tcBorders>
            <w:shd w:val="clear" w:color="auto" w:fill="auto"/>
            <w:vAlign w:val="center"/>
            <w:hideMark/>
          </w:tcPr>
          <w:p w14:paraId="6E9479E5"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 </w:t>
            </w:r>
          </w:p>
        </w:tc>
        <w:tc>
          <w:tcPr>
            <w:tcW w:w="782" w:type="dxa"/>
            <w:tcBorders>
              <w:top w:val="nil"/>
              <w:left w:val="nil"/>
              <w:bottom w:val="single" w:sz="8" w:space="0" w:color="000000"/>
              <w:right w:val="nil"/>
            </w:tcBorders>
            <w:shd w:val="clear" w:color="auto" w:fill="auto"/>
            <w:vAlign w:val="center"/>
            <w:hideMark/>
          </w:tcPr>
          <w:p w14:paraId="51152F8A"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 </w:t>
            </w:r>
          </w:p>
        </w:tc>
        <w:tc>
          <w:tcPr>
            <w:tcW w:w="1117" w:type="dxa"/>
            <w:tcBorders>
              <w:top w:val="nil"/>
              <w:left w:val="nil"/>
              <w:bottom w:val="single" w:sz="8" w:space="0" w:color="000000"/>
              <w:right w:val="nil"/>
            </w:tcBorders>
            <w:shd w:val="clear" w:color="auto" w:fill="auto"/>
            <w:vAlign w:val="center"/>
            <w:hideMark/>
          </w:tcPr>
          <w:p w14:paraId="34CDA9F5"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 </w:t>
            </w:r>
          </w:p>
        </w:tc>
        <w:tc>
          <w:tcPr>
            <w:tcW w:w="1094" w:type="dxa"/>
            <w:tcBorders>
              <w:top w:val="nil"/>
              <w:left w:val="nil"/>
              <w:bottom w:val="single" w:sz="8" w:space="0" w:color="auto"/>
              <w:right w:val="nil"/>
            </w:tcBorders>
            <w:shd w:val="clear" w:color="auto" w:fill="auto"/>
            <w:vAlign w:val="center"/>
            <w:hideMark/>
          </w:tcPr>
          <w:p w14:paraId="50FDFA43"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Años de vida útil asignados</w:t>
            </w:r>
          </w:p>
        </w:tc>
        <w:tc>
          <w:tcPr>
            <w:tcW w:w="767" w:type="dxa"/>
            <w:tcBorders>
              <w:top w:val="nil"/>
              <w:left w:val="nil"/>
              <w:bottom w:val="single" w:sz="8" w:space="0" w:color="auto"/>
              <w:right w:val="nil"/>
            </w:tcBorders>
            <w:shd w:val="clear" w:color="auto" w:fill="auto"/>
            <w:vAlign w:val="center"/>
            <w:hideMark/>
          </w:tcPr>
          <w:p w14:paraId="3A76C983"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Importe</w:t>
            </w:r>
          </w:p>
        </w:tc>
        <w:tc>
          <w:tcPr>
            <w:tcW w:w="1109" w:type="dxa"/>
            <w:tcBorders>
              <w:top w:val="nil"/>
              <w:left w:val="nil"/>
              <w:bottom w:val="single" w:sz="8" w:space="0" w:color="000000"/>
              <w:right w:val="nil"/>
            </w:tcBorders>
            <w:shd w:val="clear" w:color="auto" w:fill="auto"/>
            <w:vAlign w:val="center"/>
            <w:hideMark/>
          </w:tcPr>
          <w:p w14:paraId="7A1D7303"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 </w:t>
            </w:r>
          </w:p>
        </w:tc>
        <w:tc>
          <w:tcPr>
            <w:tcW w:w="1109" w:type="dxa"/>
            <w:tcBorders>
              <w:top w:val="nil"/>
              <w:left w:val="nil"/>
              <w:bottom w:val="single" w:sz="8" w:space="0" w:color="000000"/>
              <w:right w:val="nil"/>
            </w:tcBorders>
            <w:shd w:val="clear" w:color="auto" w:fill="auto"/>
            <w:vAlign w:val="center"/>
            <w:hideMark/>
          </w:tcPr>
          <w:p w14:paraId="56D244C8"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 </w:t>
            </w:r>
          </w:p>
        </w:tc>
      </w:tr>
      <w:tr w:rsidR="00D92FD5" w:rsidRPr="00AE4E8D" w14:paraId="06953A0B"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79677952" w14:textId="77777777" w:rsidR="00D92FD5" w:rsidRPr="00AE4E8D" w:rsidRDefault="00D92FD5" w:rsidP="009E7DDD">
            <w:pP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BIENES DE USO</w:t>
            </w:r>
          </w:p>
        </w:tc>
        <w:tc>
          <w:tcPr>
            <w:tcW w:w="896" w:type="dxa"/>
            <w:tcBorders>
              <w:top w:val="nil"/>
              <w:left w:val="nil"/>
              <w:bottom w:val="nil"/>
              <w:right w:val="nil"/>
            </w:tcBorders>
            <w:shd w:val="clear" w:color="auto" w:fill="auto"/>
            <w:noWrap/>
            <w:vAlign w:val="bottom"/>
            <w:hideMark/>
          </w:tcPr>
          <w:p w14:paraId="11A63D59" w14:textId="77777777" w:rsidR="00D92FD5" w:rsidRPr="00AE4E8D" w:rsidRDefault="00D92FD5" w:rsidP="009E7DDD">
            <w:pPr>
              <w:rPr>
                <w:rFonts w:ascii="Times New Roman" w:hAnsi="Times New Roman"/>
                <w:color w:val="000000"/>
                <w:lang w:val="es-ES"/>
              </w:rPr>
            </w:pPr>
          </w:p>
        </w:tc>
        <w:tc>
          <w:tcPr>
            <w:tcW w:w="1163" w:type="dxa"/>
            <w:tcBorders>
              <w:top w:val="nil"/>
              <w:left w:val="nil"/>
              <w:bottom w:val="nil"/>
              <w:right w:val="nil"/>
            </w:tcBorders>
            <w:shd w:val="clear" w:color="auto" w:fill="auto"/>
            <w:noWrap/>
            <w:vAlign w:val="bottom"/>
            <w:hideMark/>
          </w:tcPr>
          <w:p w14:paraId="318C2ADE" w14:textId="77777777" w:rsidR="00D92FD5" w:rsidRPr="00AE4E8D" w:rsidRDefault="00D92FD5" w:rsidP="009E7DDD">
            <w:pPr>
              <w:rPr>
                <w:rFonts w:ascii="Times New Roman" w:hAnsi="Times New Roman"/>
                <w:color w:val="000000"/>
                <w:lang w:val="es-ES"/>
              </w:rPr>
            </w:pPr>
          </w:p>
        </w:tc>
        <w:tc>
          <w:tcPr>
            <w:tcW w:w="1087" w:type="dxa"/>
            <w:tcBorders>
              <w:top w:val="nil"/>
              <w:left w:val="nil"/>
              <w:bottom w:val="nil"/>
              <w:right w:val="nil"/>
            </w:tcBorders>
            <w:shd w:val="clear" w:color="auto" w:fill="auto"/>
            <w:noWrap/>
            <w:vAlign w:val="bottom"/>
            <w:hideMark/>
          </w:tcPr>
          <w:p w14:paraId="69554E94" w14:textId="77777777" w:rsidR="00D92FD5" w:rsidRPr="00AE4E8D" w:rsidRDefault="00D92FD5" w:rsidP="009E7DDD">
            <w:pPr>
              <w:rPr>
                <w:rFonts w:ascii="Times New Roman" w:hAnsi="Times New Roman"/>
                <w:color w:val="000000"/>
                <w:lang w:val="es-ES"/>
              </w:rPr>
            </w:pPr>
          </w:p>
        </w:tc>
        <w:tc>
          <w:tcPr>
            <w:tcW w:w="782" w:type="dxa"/>
            <w:tcBorders>
              <w:top w:val="nil"/>
              <w:left w:val="nil"/>
              <w:bottom w:val="nil"/>
              <w:right w:val="nil"/>
            </w:tcBorders>
            <w:shd w:val="clear" w:color="auto" w:fill="auto"/>
            <w:noWrap/>
            <w:vAlign w:val="bottom"/>
            <w:hideMark/>
          </w:tcPr>
          <w:p w14:paraId="08B46BFF" w14:textId="77777777" w:rsidR="00D92FD5" w:rsidRPr="00AE4E8D" w:rsidRDefault="00D92FD5" w:rsidP="009E7DDD">
            <w:pPr>
              <w:rPr>
                <w:rFonts w:ascii="Times New Roman" w:hAnsi="Times New Roman"/>
                <w:color w:val="000000"/>
                <w:lang w:val="es-ES"/>
              </w:rPr>
            </w:pPr>
          </w:p>
        </w:tc>
        <w:tc>
          <w:tcPr>
            <w:tcW w:w="1117" w:type="dxa"/>
            <w:tcBorders>
              <w:top w:val="nil"/>
              <w:left w:val="nil"/>
              <w:bottom w:val="nil"/>
              <w:right w:val="nil"/>
            </w:tcBorders>
            <w:shd w:val="clear" w:color="auto" w:fill="auto"/>
            <w:noWrap/>
            <w:vAlign w:val="bottom"/>
            <w:hideMark/>
          </w:tcPr>
          <w:p w14:paraId="0C9FBC27" w14:textId="77777777" w:rsidR="00D92FD5" w:rsidRPr="00AE4E8D" w:rsidRDefault="00D92FD5" w:rsidP="009E7DDD">
            <w:pPr>
              <w:rPr>
                <w:rFonts w:ascii="Times New Roman" w:hAnsi="Times New Roman"/>
                <w:color w:val="000000"/>
                <w:lang w:val="es-ES"/>
              </w:rPr>
            </w:pPr>
          </w:p>
        </w:tc>
        <w:tc>
          <w:tcPr>
            <w:tcW w:w="1094" w:type="dxa"/>
            <w:tcBorders>
              <w:top w:val="nil"/>
              <w:left w:val="nil"/>
              <w:bottom w:val="nil"/>
              <w:right w:val="nil"/>
            </w:tcBorders>
            <w:shd w:val="clear" w:color="auto" w:fill="auto"/>
            <w:noWrap/>
            <w:vAlign w:val="bottom"/>
            <w:hideMark/>
          </w:tcPr>
          <w:p w14:paraId="6701E594" w14:textId="77777777" w:rsidR="00D92FD5" w:rsidRPr="00AE4E8D" w:rsidRDefault="00D92FD5" w:rsidP="009E7DDD">
            <w:pPr>
              <w:rPr>
                <w:rFonts w:ascii="Times New Roman" w:hAnsi="Times New Roman"/>
                <w:color w:val="000000"/>
                <w:lang w:val="es-ES"/>
              </w:rPr>
            </w:pPr>
          </w:p>
        </w:tc>
        <w:tc>
          <w:tcPr>
            <w:tcW w:w="767" w:type="dxa"/>
            <w:tcBorders>
              <w:top w:val="nil"/>
              <w:left w:val="nil"/>
              <w:bottom w:val="nil"/>
              <w:right w:val="nil"/>
            </w:tcBorders>
            <w:shd w:val="clear" w:color="auto" w:fill="auto"/>
            <w:noWrap/>
            <w:vAlign w:val="bottom"/>
            <w:hideMark/>
          </w:tcPr>
          <w:p w14:paraId="4ED14E8F" w14:textId="77777777" w:rsidR="00D92FD5" w:rsidRPr="00AE4E8D" w:rsidRDefault="00D92FD5" w:rsidP="009E7DDD">
            <w:pPr>
              <w:rPr>
                <w:rFonts w:ascii="Times New Roman" w:hAnsi="Times New Roman"/>
                <w:color w:val="000000"/>
                <w:lang w:val="es-ES"/>
              </w:rPr>
            </w:pPr>
          </w:p>
        </w:tc>
        <w:tc>
          <w:tcPr>
            <w:tcW w:w="1109" w:type="dxa"/>
            <w:tcBorders>
              <w:top w:val="nil"/>
              <w:left w:val="nil"/>
              <w:bottom w:val="nil"/>
              <w:right w:val="nil"/>
            </w:tcBorders>
            <w:shd w:val="clear" w:color="auto" w:fill="auto"/>
            <w:noWrap/>
            <w:vAlign w:val="bottom"/>
            <w:hideMark/>
          </w:tcPr>
          <w:p w14:paraId="4EBF9E16" w14:textId="77777777" w:rsidR="00D92FD5" w:rsidRPr="00AE4E8D" w:rsidRDefault="00D92FD5" w:rsidP="009E7DDD">
            <w:pPr>
              <w:rPr>
                <w:rFonts w:ascii="Times New Roman" w:hAnsi="Times New Roman"/>
                <w:color w:val="000000"/>
                <w:lang w:val="es-ES"/>
              </w:rPr>
            </w:pPr>
          </w:p>
        </w:tc>
        <w:tc>
          <w:tcPr>
            <w:tcW w:w="1109" w:type="dxa"/>
            <w:tcBorders>
              <w:top w:val="nil"/>
              <w:left w:val="nil"/>
              <w:bottom w:val="nil"/>
              <w:right w:val="nil"/>
            </w:tcBorders>
            <w:shd w:val="clear" w:color="auto" w:fill="auto"/>
            <w:noWrap/>
            <w:vAlign w:val="bottom"/>
            <w:hideMark/>
          </w:tcPr>
          <w:p w14:paraId="28209F8A" w14:textId="77777777" w:rsidR="00D92FD5" w:rsidRPr="00AE4E8D" w:rsidRDefault="00D92FD5" w:rsidP="009E7DDD">
            <w:pPr>
              <w:rPr>
                <w:rFonts w:ascii="Times New Roman" w:hAnsi="Times New Roman"/>
                <w:color w:val="000000"/>
                <w:lang w:val="es-ES"/>
              </w:rPr>
            </w:pPr>
          </w:p>
        </w:tc>
      </w:tr>
      <w:tr w:rsidR="00D92FD5" w:rsidRPr="00AE4E8D" w14:paraId="0E774AA4"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25E0615C"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Inmuebles</w:t>
            </w:r>
          </w:p>
        </w:tc>
        <w:tc>
          <w:tcPr>
            <w:tcW w:w="896" w:type="dxa"/>
            <w:tcBorders>
              <w:top w:val="nil"/>
              <w:left w:val="nil"/>
              <w:bottom w:val="nil"/>
              <w:right w:val="nil"/>
            </w:tcBorders>
            <w:shd w:val="clear" w:color="auto" w:fill="auto"/>
            <w:noWrap/>
            <w:vAlign w:val="center"/>
            <w:hideMark/>
          </w:tcPr>
          <w:p w14:paraId="2C03C417" w14:textId="77777777" w:rsidR="00D92FD5" w:rsidRPr="00AE4E8D" w:rsidRDefault="00D92FD5" w:rsidP="009E7DDD">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63" w:type="dxa"/>
            <w:tcBorders>
              <w:top w:val="nil"/>
              <w:left w:val="nil"/>
              <w:bottom w:val="nil"/>
              <w:right w:val="nil"/>
            </w:tcBorders>
            <w:shd w:val="clear" w:color="auto" w:fill="auto"/>
            <w:noWrap/>
            <w:vAlign w:val="center"/>
            <w:hideMark/>
          </w:tcPr>
          <w:p w14:paraId="27866CA4" w14:textId="77777777" w:rsidR="00D92FD5" w:rsidRPr="00AE4E8D" w:rsidRDefault="00D92FD5" w:rsidP="009E7DDD">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7" w:type="dxa"/>
            <w:tcBorders>
              <w:top w:val="nil"/>
              <w:left w:val="nil"/>
              <w:bottom w:val="nil"/>
              <w:right w:val="nil"/>
            </w:tcBorders>
            <w:shd w:val="clear" w:color="auto" w:fill="auto"/>
            <w:noWrap/>
            <w:vAlign w:val="center"/>
            <w:hideMark/>
          </w:tcPr>
          <w:p w14:paraId="6B029196" w14:textId="77777777" w:rsidR="00D92FD5" w:rsidRPr="00AE4E8D" w:rsidRDefault="00D92FD5" w:rsidP="009E7DDD">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nil"/>
              <w:right w:val="nil"/>
            </w:tcBorders>
            <w:shd w:val="clear" w:color="auto" w:fill="auto"/>
            <w:noWrap/>
            <w:vAlign w:val="center"/>
            <w:hideMark/>
          </w:tcPr>
          <w:p w14:paraId="5C9828AB" w14:textId="77777777" w:rsidR="00D92FD5" w:rsidRPr="00AE4E8D" w:rsidRDefault="00D92FD5" w:rsidP="009E7DDD">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545D07A7" w14:textId="77777777" w:rsidR="00D92FD5" w:rsidRPr="00AE4E8D" w:rsidRDefault="00D92FD5" w:rsidP="009E7DDD">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94" w:type="dxa"/>
            <w:tcBorders>
              <w:top w:val="nil"/>
              <w:left w:val="nil"/>
              <w:bottom w:val="nil"/>
              <w:right w:val="nil"/>
            </w:tcBorders>
            <w:shd w:val="clear" w:color="auto" w:fill="auto"/>
            <w:noWrap/>
            <w:vAlign w:val="center"/>
            <w:hideMark/>
          </w:tcPr>
          <w:p w14:paraId="0FFB8237" w14:textId="77777777" w:rsidR="00D92FD5" w:rsidRPr="00AE4E8D" w:rsidRDefault="00D92FD5" w:rsidP="009E7DDD">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767" w:type="dxa"/>
            <w:tcBorders>
              <w:top w:val="nil"/>
              <w:left w:val="nil"/>
              <w:bottom w:val="nil"/>
              <w:right w:val="nil"/>
            </w:tcBorders>
            <w:shd w:val="clear" w:color="auto" w:fill="auto"/>
            <w:noWrap/>
            <w:vAlign w:val="center"/>
            <w:hideMark/>
          </w:tcPr>
          <w:p w14:paraId="3EBF24B7" w14:textId="77777777" w:rsidR="00D92FD5" w:rsidRPr="00AE4E8D" w:rsidRDefault="00D92FD5" w:rsidP="009E7DDD">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45F044D1" w14:textId="77777777" w:rsidR="00D92FD5" w:rsidRPr="00AE4E8D" w:rsidRDefault="00D92FD5" w:rsidP="009E7DDD">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2D8CD294" w14:textId="77777777" w:rsidR="00D92FD5" w:rsidRPr="00AE4E8D" w:rsidRDefault="00D92FD5" w:rsidP="009E7DDD">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r>
      <w:tr w:rsidR="00D92FD5" w:rsidRPr="00AE4E8D" w14:paraId="3FF9851E"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11772503"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Mobiliario e Instalaciones</w:t>
            </w:r>
          </w:p>
        </w:tc>
        <w:tc>
          <w:tcPr>
            <w:tcW w:w="896" w:type="dxa"/>
            <w:tcBorders>
              <w:top w:val="nil"/>
              <w:left w:val="nil"/>
              <w:bottom w:val="nil"/>
              <w:right w:val="nil"/>
            </w:tcBorders>
            <w:shd w:val="clear" w:color="auto" w:fill="auto"/>
            <w:noWrap/>
            <w:vAlign w:val="center"/>
          </w:tcPr>
          <w:p w14:paraId="22D396BE"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6.684</w:t>
            </w:r>
          </w:p>
        </w:tc>
        <w:tc>
          <w:tcPr>
            <w:tcW w:w="1163" w:type="dxa"/>
            <w:tcBorders>
              <w:top w:val="nil"/>
              <w:left w:val="nil"/>
              <w:bottom w:val="nil"/>
              <w:right w:val="nil"/>
            </w:tcBorders>
            <w:shd w:val="clear" w:color="auto" w:fill="auto"/>
            <w:noWrap/>
            <w:vAlign w:val="center"/>
            <w:hideMark/>
          </w:tcPr>
          <w:p w14:paraId="2A4AC8C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1.205 </w:t>
            </w:r>
          </w:p>
        </w:tc>
        <w:tc>
          <w:tcPr>
            <w:tcW w:w="1087" w:type="dxa"/>
            <w:tcBorders>
              <w:top w:val="nil"/>
              <w:left w:val="nil"/>
              <w:bottom w:val="nil"/>
              <w:right w:val="nil"/>
            </w:tcBorders>
            <w:shd w:val="clear" w:color="auto" w:fill="auto"/>
            <w:noWrap/>
            <w:vAlign w:val="center"/>
            <w:hideMark/>
          </w:tcPr>
          <w:p w14:paraId="12050DE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622</w:t>
            </w:r>
          </w:p>
        </w:tc>
        <w:tc>
          <w:tcPr>
            <w:tcW w:w="782" w:type="dxa"/>
            <w:tcBorders>
              <w:top w:val="nil"/>
              <w:left w:val="nil"/>
              <w:bottom w:val="nil"/>
              <w:right w:val="nil"/>
            </w:tcBorders>
            <w:shd w:val="clear" w:color="auto" w:fill="auto"/>
            <w:noWrap/>
            <w:vAlign w:val="center"/>
            <w:hideMark/>
          </w:tcPr>
          <w:p w14:paraId="66F4073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3AC5220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94" w:type="dxa"/>
            <w:tcBorders>
              <w:top w:val="nil"/>
              <w:left w:val="nil"/>
              <w:bottom w:val="nil"/>
              <w:right w:val="nil"/>
            </w:tcBorders>
            <w:shd w:val="clear" w:color="auto" w:fill="auto"/>
            <w:noWrap/>
            <w:vAlign w:val="center"/>
            <w:hideMark/>
          </w:tcPr>
          <w:p w14:paraId="37B6E24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10 </w:t>
            </w:r>
          </w:p>
        </w:tc>
        <w:tc>
          <w:tcPr>
            <w:tcW w:w="767" w:type="dxa"/>
            <w:tcBorders>
              <w:top w:val="nil"/>
              <w:left w:val="nil"/>
              <w:bottom w:val="nil"/>
              <w:right w:val="nil"/>
            </w:tcBorders>
            <w:shd w:val="clear" w:color="auto" w:fill="auto"/>
            <w:noWrap/>
            <w:vAlign w:val="center"/>
          </w:tcPr>
          <w:p w14:paraId="7E1363B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896</w:t>
            </w:r>
          </w:p>
        </w:tc>
        <w:tc>
          <w:tcPr>
            <w:tcW w:w="1109" w:type="dxa"/>
            <w:tcBorders>
              <w:top w:val="nil"/>
              <w:left w:val="nil"/>
              <w:bottom w:val="nil"/>
              <w:right w:val="nil"/>
            </w:tcBorders>
            <w:shd w:val="clear" w:color="auto" w:fill="auto"/>
            <w:noWrap/>
            <w:vAlign w:val="center"/>
          </w:tcPr>
          <w:p w14:paraId="48E4ED2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7.615</w:t>
            </w:r>
          </w:p>
        </w:tc>
        <w:tc>
          <w:tcPr>
            <w:tcW w:w="1109" w:type="dxa"/>
            <w:tcBorders>
              <w:top w:val="nil"/>
              <w:left w:val="nil"/>
              <w:bottom w:val="nil"/>
              <w:right w:val="nil"/>
            </w:tcBorders>
            <w:shd w:val="clear" w:color="auto" w:fill="auto"/>
            <w:noWrap/>
            <w:vAlign w:val="center"/>
            <w:hideMark/>
          </w:tcPr>
          <w:p w14:paraId="116A8EE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6.152</w:t>
            </w:r>
          </w:p>
        </w:tc>
      </w:tr>
      <w:tr w:rsidR="00D92FD5" w:rsidRPr="00AE4E8D" w14:paraId="654458CC"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6274AF21"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r w:rsidR="00F80D63" w:rsidRPr="00AE4E8D">
              <w:rPr>
                <w:rFonts w:ascii="Times New Roman" w:hAnsi="Times New Roman"/>
                <w:color w:val="000000"/>
                <w:sz w:val="14"/>
                <w:szCs w:val="14"/>
                <w:lang w:val="es-ES"/>
              </w:rPr>
              <w:t>Máquinas</w:t>
            </w:r>
            <w:r w:rsidRPr="00AE4E8D">
              <w:rPr>
                <w:rFonts w:ascii="Times New Roman" w:hAnsi="Times New Roman"/>
                <w:color w:val="000000"/>
                <w:sz w:val="14"/>
                <w:szCs w:val="14"/>
                <w:lang w:val="es-ES"/>
              </w:rPr>
              <w:t xml:space="preserve"> y equipos</w:t>
            </w:r>
          </w:p>
        </w:tc>
        <w:tc>
          <w:tcPr>
            <w:tcW w:w="896" w:type="dxa"/>
            <w:tcBorders>
              <w:top w:val="nil"/>
              <w:left w:val="nil"/>
              <w:bottom w:val="nil"/>
              <w:right w:val="nil"/>
            </w:tcBorders>
            <w:shd w:val="clear" w:color="auto" w:fill="auto"/>
            <w:noWrap/>
            <w:vAlign w:val="center"/>
          </w:tcPr>
          <w:p w14:paraId="316F8006" w14:textId="77777777" w:rsidR="00D92FD5" w:rsidRPr="00AE4E8D" w:rsidRDefault="00D92FD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w:t>
            </w:r>
            <w:r w:rsidR="001D2B60" w:rsidRPr="00AE4E8D">
              <w:rPr>
                <w:rFonts w:ascii="Times New Roman" w:hAnsi="Times New Roman"/>
                <w:color w:val="000000"/>
                <w:sz w:val="14"/>
                <w:szCs w:val="14"/>
                <w:lang w:val="es-ES"/>
              </w:rPr>
              <w:t>514</w:t>
            </w:r>
          </w:p>
        </w:tc>
        <w:tc>
          <w:tcPr>
            <w:tcW w:w="1163" w:type="dxa"/>
            <w:tcBorders>
              <w:top w:val="nil"/>
              <w:left w:val="nil"/>
              <w:bottom w:val="nil"/>
              <w:right w:val="nil"/>
            </w:tcBorders>
            <w:shd w:val="clear" w:color="auto" w:fill="auto"/>
            <w:noWrap/>
            <w:vAlign w:val="center"/>
            <w:hideMark/>
          </w:tcPr>
          <w:p w14:paraId="1D8F236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960 </w:t>
            </w:r>
          </w:p>
        </w:tc>
        <w:tc>
          <w:tcPr>
            <w:tcW w:w="1087" w:type="dxa"/>
            <w:tcBorders>
              <w:top w:val="nil"/>
              <w:left w:val="nil"/>
              <w:bottom w:val="nil"/>
              <w:right w:val="nil"/>
            </w:tcBorders>
            <w:shd w:val="clear" w:color="auto" w:fill="auto"/>
            <w:noWrap/>
            <w:vAlign w:val="center"/>
            <w:hideMark/>
          </w:tcPr>
          <w:p w14:paraId="174DC2E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nil"/>
              <w:right w:val="nil"/>
            </w:tcBorders>
            <w:shd w:val="clear" w:color="auto" w:fill="auto"/>
            <w:noWrap/>
            <w:vAlign w:val="center"/>
            <w:hideMark/>
          </w:tcPr>
          <w:p w14:paraId="1D3A7F9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683CB63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94" w:type="dxa"/>
            <w:tcBorders>
              <w:top w:val="nil"/>
              <w:left w:val="nil"/>
              <w:bottom w:val="nil"/>
              <w:right w:val="nil"/>
            </w:tcBorders>
            <w:shd w:val="clear" w:color="auto" w:fill="auto"/>
            <w:noWrap/>
            <w:vAlign w:val="center"/>
            <w:hideMark/>
          </w:tcPr>
          <w:p w14:paraId="7C2836D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 </w:t>
            </w:r>
          </w:p>
        </w:tc>
        <w:tc>
          <w:tcPr>
            <w:tcW w:w="767" w:type="dxa"/>
            <w:tcBorders>
              <w:top w:val="nil"/>
              <w:left w:val="nil"/>
              <w:bottom w:val="nil"/>
              <w:right w:val="nil"/>
            </w:tcBorders>
            <w:shd w:val="clear" w:color="auto" w:fill="auto"/>
            <w:noWrap/>
            <w:vAlign w:val="center"/>
          </w:tcPr>
          <w:p w14:paraId="2DCC0F6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874</w:t>
            </w:r>
          </w:p>
        </w:tc>
        <w:tc>
          <w:tcPr>
            <w:tcW w:w="1109" w:type="dxa"/>
            <w:tcBorders>
              <w:top w:val="nil"/>
              <w:left w:val="nil"/>
              <w:bottom w:val="nil"/>
              <w:right w:val="nil"/>
            </w:tcBorders>
            <w:shd w:val="clear" w:color="auto" w:fill="auto"/>
            <w:noWrap/>
            <w:vAlign w:val="center"/>
          </w:tcPr>
          <w:p w14:paraId="08769DBC" w14:textId="77777777" w:rsidR="00D92FD5" w:rsidRPr="00AE4E8D" w:rsidRDefault="00D92FD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w:t>
            </w:r>
            <w:r w:rsidR="001D2B60" w:rsidRPr="00AE4E8D">
              <w:rPr>
                <w:rFonts w:ascii="Times New Roman" w:hAnsi="Times New Roman"/>
                <w:color w:val="000000"/>
                <w:sz w:val="14"/>
                <w:szCs w:val="14"/>
                <w:lang w:val="es-ES"/>
              </w:rPr>
              <w:t>600</w:t>
            </w:r>
          </w:p>
        </w:tc>
        <w:tc>
          <w:tcPr>
            <w:tcW w:w="1109" w:type="dxa"/>
            <w:tcBorders>
              <w:top w:val="nil"/>
              <w:left w:val="nil"/>
              <w:bottom w:val="nil"/>
              <w:right w:val="nil"/>
            </w:tcBorders>
            <w:shd w:val="clear" w:color="auto" w:fill="auto"/>
            <w:noWrap/>
            <w:vAlign w:val="center"/>
            <w:hideMark/>
          </w:tcPr>
          <w:p w14:paraId="498DF03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2.922 </w:t>
            </w:r>
          </w:p>
        </w:tc>
      </w:tr>
      <w:tr w:rsidR="00D92FD5" w:rsidRPr="00AE4E8D" w14:paraId="6409B7FC"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0A0F7184"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Equipos de computación</w:t>
            </w:r>
          </w:p>
        </w:tc>
        <w:tc>
          <w:tcPr>
            <w:tcW w:w="896" w:type="dxa"/>
            <w:tcBorders>
              <w:top w:val="nil"/>
              <w:left w:val="nil"/>
              <w:bottom w:val="nil"/>
              <w:right w:val="nil"/>
            </w:tcBorders>
            <w:shd w:val="clear" w:color="auto" w:fill="auto"/>
            <w:noWrap/>
            <w:vAlign w:val="center"/>
          </w:tcPr>
          <w:p w14:paraId="0D827B8B" w14:textId="77777777" w:rsidR="00D92FD5" w:rsidRPr="00AE4E8D" w:rsidRDefault="00D92FD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15.</w:t>
            </w:r>
            <w:r w:rsidR="001D2B60" w:rsidRPr="00AE4E8D">
              <w:rPr>
                <w:rFonts w:ascii="Times New Roman" w:hAnsi="Times New Roman"/>
                <w:color w:val="000000"/>
                <w:sz w:val="14"/>
                <w:szCs w:val="14"/>
                <w:lang w:val="es-ES"/>
              </w:rPr>
              <w:t>810</w:t>
            </w:r>
          </w:p>
        </w:tc>
        <w:tc>
          <w:tcPr>
            <w:tcW w:w="1163" w:type="dxa"/>
            <w:tcBorders>
              <w:top w:val="nil"/>
              <w:left w:val="nil"/>
              <w:bottom w:val="nil"/>
              <w:right w:val="nil"/>
            </w:tcBorders>
            <w:shd w:val="clear" w:color="auto" w:fill="auto"/>
            <w:noWrap/>
            <w:vAlign w:val="center"/>
            <w:hideMark/>
          </w:tcPr>
          <w:p w14:paraId="61CA4BE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2.114 </w:t>
            </w:r>
          </w:p>
        </w:tc>
        <w:tc>
          <w:tcPr>
            <w:tcW w:w="1087" w:type="dxa"/>
            <w:tcBorders>
              <w:top w:val="nil"/>
              <w:left w:val="nil"/>
              <w:bottom w:val="nil"/>
              <w:right w:val="nil"/>
            </w:tcBorders>
            <w:shd w:val="clear" w:color="auto" w:fill="auto"/>
            <w:noWrap/>
            <w:vAlign w:val="center"/>
            <w:hideMark/>
          </w:tcPr>
          <w:p w14:paraId="28CDBC0C"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nil"/>
              <w:right w:val="nil"/>
            </w:tcBorders>
            <w:shd w:val="clear" w:color="auto" w:fill="auto"/>
            <w:noWrap/>
            <w:vAlign w:val="center"/>
            <w:hideMark/>
          </w:tcPr>
          <w:p w14:paraId="77B3F2D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4D793F0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94" w:type="dxa"/>
            <w:tcBorders>
              <w:top w:val="nil"/>
              <w:left w:val="nil"/>
              <w:bottom w:val="nil"/>
              <w:right w:val="nil"/>
            </w:tcBorders>
            <w:shd w:val="clear" w:color="auto" w:fill="auto"/>
            <w:noWrap/>
            <w:vAlign w:val="center"/>
            <w:hideMark/>
          </w:tcPr>
          <w:p w14:paraId="3F74170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 </w:t>
            </w:r>
          </w:p>
        </w:tc>
        <w:tc>
          <w:tcPr>
            <w:tcW w:w="767" w:type="dxa"/>
            <w:tcBorders>
              <w:top w:val="nil"/>
              <w:left w:val="nil"/>
              <w:bottom w:val="nil"/>
              <w:right w:val="nil"/>
            </w:tcBorders>
            <w:shd w:val="clear" w:color="auto" w:fill="auto"/>
            <w:noWrap/>
            <w:vAlign w:val="center"/>
          </w:tcPr>
          <w:p w14:paraId="63A3804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2.641</w:t>
            </w:r>
          </w:p>
        </w:tc>
        <w:tc>
          <w:tcPr>
            <w:tcW w:w="1109" w:type="dxa"/>
            <w:tcBorders>
              <w:top w:val="nil"/>
              <w:left w:val="nil"/>
              <w:bottom w:val="nil"/>
              <w:right w:val="nil"/>
            </w:tcBorders>
            <w:shd w:val="clear" w:color="auto" w:fill="auto"/>
            <w:noWrap/>
            <w:vAlign w:val="center"/>
          </w:tcPr>
          <w:p w14:paraId="127D8B8D" w14:textId="77777777" w:rsidR="00D92FD5" w:rsidRPr="00AE4E8D" w:rsidRDefault="00D92FD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15.</w:t>
            </w:r>
            <w:r w:rsidR="001D2B60" w:rsidRPr="00AE4E8D">
              <w:rPr>
                <w:rFonts w:ascii="Times New Roman" w:hAnsi="Times New Roman"/>
                <w:color w:val="000000"/>
                <w:sz w:val="14"/>
                <w:szCs w:val="14"/>
                <w:lang w:val="es-ES"/>
              </w:rPr>
              <w:t>283</w:t>
            </w:r>
          </w:p>
        </w:tc>
        <w:tc>
          <w:tcPr>
            <w:tcW w:w="1109" w:type="dxa"/>
            <w:tcBorders>
              <w:top w:val="nil"/>
              <w:left w:val="nil"/>
              <w:bottom w:val="nil"/>
              <w:right w:val="nil"/>
            </w:tcBorders>
            <w:shd w:val="clear" w:color="auto" w:fill="auto"/>
            <w:noWrap/>
            <w:vAlign w:val="center"/>
            <w:hideMark/>
          </w:tcPr>
          <w:p w14:paraId="755F4C9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14.503</w:t>
            </w:r>
          </w:p>
        </w:tc>
      </w:tr>
      <w:tr w:rsidR="00D92FD5" w:rsidRPr="00AE4E8D" w14:paraId="682E090E"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63E41FE0"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Vehículos</w:t>
            </w:r>
          </w:p>
        </w:tc>
        <w:tc>
          <w:tcPr>
            <w:tcW w:w="896" w:type="dxa"/>
            <w:tcBorders>
              <w:top w:val="nil"/>
              <w:left w:val="nil"/>
              <w:bottom w:val="nil"/>
              <w:right w:val="nil"/>
            </w:tcBorders>
            <w:shd w:val="clear" w:color="auto" w:fill="auto"/>
            <w:noWrap/>
            <w:vAlign w:val="center"/>
            <w:hideMark/>
          </w:tcPr>
          <w:p w14:paraId="41A7D2B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63" w:type="dxa"/>
            <w:tcBorders>
              <w:top w:val="nil"/>
              <w:left w:val="nil"/>
              <w:bottom w:val="nil"/>
              <w:right w:val="nil"/>
            </w:tcBorders>
            <w:shd w:val="clear" w:color="auto" w:fill="auto"/>
            <w:noWrap/>
            <w:vAlign w:val="center"/>
            <w:hideMark/>
          </w:tcPr>
          <w:p w14:paraId="5E4B26A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7" w:type="dxa"/>
            <w:tcBorders>
              <w:top w:val="nil"/>
              <w:left w:val="nil"/>
              <w:bottom w:val="nil"/>
              <w:right w:val="nil"/>
            </w:tcBorders>
            <w:shd w:val="clear" w:color="auto" w:fill="auto"/>
            <w:noWrap/>
            <w:vAlign w:val="center"/>
            <w:hideMark/>
          </w:tcPr>
          <w:p w14:paraId="041761D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nil"/>
              <w:right w:val="nil"/>
            </w:tcBorders>
            <w:shd w:val="clear" w:color="auto" w:fill="auto"/>
            <w:noWrap/>
            <w:vAlign w:val="center"/>
            <w:hideMark/>
          </w:tcPr>
          <w:p w14:paraId="10102D6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57AB5F4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94" w:type="dxa"/>
            <w:tcBorders>
              <w:top w:val="nil"/>
              <w:left w:val="nil"/>
              <w:bottom w:val="nil"/>
              <w:right w:val="nil"/>
            </w:tcBorders>
            <w:shd w:val="clear" w:color="auto" w:fill="auto"/>
            <w:noWrap/>
            <w:vAlign w:val="center"/>
            <w:hideMark/>
          </w:tcPr>
          <w:p w14:paraId="6473E95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 </w:t>
            </w:r>
          </w:p>
        </w:tc>
        <w:tc>
          <w:tcPr>
            <w:tcW w:w="767" w:type="dxa"/>
            <w:tcBorders>
              <w:top w:val="nil"/>
              <w:left w:val="nil"/>
              <w:bottom w:val="nil"/>
              <w:right w:val="nil"/>
            </w:tcBorders>
            <w:shd w:val="clear" w:color="auto" w:fill="auto"/>
            <w:noWrap/>
            <w:vAlign w:val="center"/>
            <w:hideMark/>
          </w:tcPr>
          <w:p w14:paraId="4DCC46D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30C66678"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4655E48E"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r>
      <w:tr w:rsidR="00D92FD5" w:rsidRPr="00AE4E8D" w14:paraId="368C4C4E" w14:textId="77777777" w:rsidTr="000400C8">
        <w:trPr>
          <w:trHeight w:val="183"/>
          <w:jc w:val="center"/>
        </w:trPr>
        <w:tc>
          <w:tcPr>
            <w:tcW w:w="1378" w:type="dxa"/>
            <w:tcBorders>
              <w:top w:val="nil"/>
              <w:left w:val="nil"/>
              <w:bottom w:val="nil"/>
              <w:right w:val="nil"/>
            </w:tcBorders>
            <w:shd w:val="clear" w:color="auto" w:fill="auto"/>
            <w:noWrap/>
            <w:vAlign w:val="center"/>
            <w:hideMark/>
          </w:tcPr>
          <w:p w14:paraId="491E4663"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Diversos</w:t>
            </w:r>
          </w:p>
        </w:tc>
        <w:tc>
          <w:tcPr>
            <w:tcW w:w="896" w:type="dxa"/>
            <w:tcBorders>
              <w:top w:val="nil"/>
              <w:left w:val="nil"/>
              <w:bottom w:val="single" w:sz="8" w:space="0" w:color="auto"/>
              <w:right w:val="nil"/>
            </w:tcBorders>
            <w:shd w:val="clear" w:color="auto" w:fill="auto"/>
            <w:noWrap/>
            <w:vAlign w:val="center"/>
          </w:tcPr>
          <w:p w14:paraId="297F17D0" w14:textId="77777777" w:rsidR="00D92FD5" w:rsidRPr="00AE4E8D" w:rsidRDefault="00D92FD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7.</w:t>
            </w:r>
            <w:r w:rsidR="001D2B60" w:rsidRPr="00AE4E8D">
              <w:rPr>
                <w:rFonts w:ascii="Times New Roman" w:hAnsi="Times New Roman"/>
                <w:color w:val="000000"/>
                <w:sz w:val="14"/>
                <w:szCs w:val="14"/>
                <w:lang w:val="es-ES"/>
              </w:rPr>
              <w:t>586</w:t>
            </w:r>
          </w:p>
        </w:tc>
        <w:tc>
          <w:tcPr>
            <w:tcW w:w="1163" w:type="dxa"/>
            <w:tcBorders>
              <w:top w:val="nil"/>
              <w:left w:val="nil"/>
              <w:bottom w:val="single" w:sz="8" w:space="0" w:color="auto"/>
              <w:right w:val="nil"/>
            </w:tcBorders>
            <w:shd w:val="clear" w:color="auto" w:fill="auto"/>
            <w:noWrap/>
            <w:vAlign w:val="center"/>
            <w:hideMark/>
          </w:tcPr>
          <w:p w14:paraId="0BC143D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2.293</w:t>
            </w:r>
          </w:p>
        </w:tc>
        <w:tc>
          <w:tcPr>
            <w:tcW w:w="1087" w:type="dxa"/>
            <w:tcBorders>
              <w:top w:val="nil"/>
              <w:left w:val="nil"/>
              <w:bottom w:val="single" w:sz="8" w:space="0" w:color="auto"/>
              <w:right w:val="nil"/>
            </w:tcBorders>
            <w:shd w:val="clear" w:color="auto" w:fill="auto"/>
            <w:noWrap/>
            <w:vAlign w:val="center"/>
            <w:hideMark/>
          </w:tcPr>
          <w:p w14:paraId="1054F25E"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single" w:sz="8" w:space="0" w:color="auto"/>
              <w:right w:val="nil"/>
            </w:tcBorders>
            <w:shd w:val="clear" w:color="auto" w:fill="auto"/>
            <w:noWrap/>
            <w:vAlign w:val="center"/>
            <w:hideMark/>
          </w:tcPr>
          <w:p w14:paraId="25E2B06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single" w:sz="8" w:space="0" w:color="auto"/>
              <w:right w:val="nil"/>
            </w:tcBorders>
            <w:shd w:val="clear" w:color="auto" w:fill="auto"/>
            <w:noWrap/>
            <w:vAlign w:val="center"/>
            <w:hideMark/>
          </w:tcPr>
          <w:p w14:paraId="0496385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94" w:type="dxa"/>
            <w:tcBorders>
              <w:top w:val="nil"/>
              <w:left w:val="nil"/>
              <w:bottom w:val="single" w:sz="8" w:space="0" w:color="auto"/>
              <w:right w:val="nil"/>
            </w:tcBorders>
            <w:shd w:val="clear" w:color="auto" w:fill="auto"/>
            <w:noWrap/>
            <w:vAlign w:val="center"/>
            <w:hideMark/>
          </w:tcPr>
          <w:p w14:paraId="11FCEC3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 </w:t>
            </w:r>
          </w:p>
        </w:tc>
        <w:tc>
          <w:tcPr>
            <w:tcW w:w="767" w:type="dxa"/>
            <w:tcBorders>
              <w:top w:val="nil"/>
              <w:left w:val="nil"/>
              <w:bottom w:val="single" w:sz="8" w:space="0" w:color="auto"/>
              <w:right w:val="nil"/>
            </w:tcBorders>
            <w:shd w:val="clear" w:color="auto" w:fill="auto"/>
            <w:noWrap/>
            <w:vAlign w:val="center"/>
          </w:tcPr>
          <w:p w14:paraId="2EFE450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2.978</w:t>
            </w:r>
          </w:p>
        </w:tc>
        <w:tc>
          <w:tcPr>
            <w:tcW w:w="1109" w:type="dxa"/>
            <w:tcBorders>
              <w:top w:val="nil"/>
              <w:left w:val="nil"/>
              <w:bottom w:val="single" w:sz="8" w:space="0" w:color="auto"/>
              <w:right w:val="nil"/>
            </w:tcBorders>
            <w:shd w:val="clear" w:color="auto" w:fill="auto"/>
            <w:noWrap/>
            <w:vAlign w:val="center"/>
          </w:tcPr>
          <w:p w14:paraId="6BAA2774" w14:textId="77777777" w:rsidR="00D92FD5" w:rsidRPr="00AE4E8D" w:rsidRDefault="00D92FD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6.</w:t>
            </w:r>
            <w:r w:rsidR="001D2B60" w:rsidRPr="00AE4E8D">
              <w:rPr>
                <w:rFonts w:ascii="Times New Roman" w:hAnsi="Times New Roman"/>
                <w:color w:val="000000"/>
                <w:sz w:val="14"/>
                <w:szCs w:val="14"/>
                <w:lang w:val="es-ES"/>
              </w:rPr>
              <w:t>901</w:t>
            </w:r>
          </w:p>
        </w:tc>
        <w:tc>
          <w:tcPr>
            <w:tcW w:w="1109" w:type="dxa"/>
            <w:tcBorders>
              <w:top w:val="nil"/>
              <w:left w:val="nil"/>
              <w:bottom w:val="single" w:sz="8" w:space="0" w:color="auto"/>
              <w:right w:val="nil"/>
            </w:tcBorders>
            <w:shd w:val="clear" w:color="auto" w:fill="auto"/>
            <w:noWrap/>
            <w:vAlign w:val="center"/>
            <w:hideMark/>
          </w:tcPr>
          <w:p w14:paraId="79B88326" w14:textId="77777777" w:rsidR="00D92FD5" w:rsidRPr="00AE4E8D" w:rsidRDefault="00D92FD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9.</w:t>
            </w:r>
            <w:r w:rsidR="001D2B60" w:rsidRPr="00AE4E8D">
              <w:rPr>
                <w:rFonts w:ascii="Times New Roman" w:hAnsi="Times New Roman"/>
                <w:color w:val="000000"/>
                <w:sz w:val="14"/>
                <w:szCs w:val="14"/>
                <w:lang w:val="es-ES"/>
              </w:rPr>
              <w:t xml:space="preserve">354 </w:t>
            </w:r>
          </w:p>
        </w:tc>
      </w:tr>
      <w:tr w:rsidR="00D92FD5" w:rsidRPr="00AE4E8D" w14:paraId="43D6B88C" w14:textId="77777777" w:rsidTr="000400C8">
        <w:trPr>
          <w:trHeight w:val="183"/>
          <w:jc w:val="center"/>
        </w:trPr>
        <w:tc>
          <w:tcPr>
            <w:tcW w:w="1378" w:type="dxa"/>
            <w:tcBorders>
              <w:top w:val="nil"/>
              <w:left w:val="nil"/>
              <w:bottom w:val="nil"/>
              <w:right w:val="nil"/>
            </w:tcBorders>
            <w:shd w:val="clear" w:color="auto" w:fill="auto"/>
            <w:noWrap/>
            <w:vAlign w:val="center"/>
            <w:hideMark/>
          </w:tcPr>
          <w:p w14:paraId="3F581DC9" w14:textId="77777777" w:rsidR="00D92FD5" w:rsidRPr="00AE4E8D" w:rsidRDefault="00D92FD5" w:rsidP="009E7DDD">
            <w:pP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Total</w:t>
            </w:r>
          </w:p>
        </w:tc>
        <w:tc>
          <w:tcPr>
            <w:tcW w:w="896" w:type="dxa"/>
            <w:tcBorders>
              <w:top w:val="nil"/>
              <w:left w:val="nil"/>
              <w:bottom w:val="single" w:sz="8" w:space="0" w:color="auto"/>
              <w:right w:val="nil"/>
            </w:tcBorders>
            <w:shd w:val="clear" w:color="auto" w:fill="auto"/>
            <w:noWrap/>
            <w:vAlign w:val="center"/>
          </w:tcPr>
          <w:p w14:paraId="327B6C81" w14:textId="77777777" w:rsidR="00D92FD5" w:rsidRPr="00AE4E8D" w:rsidRDefault="00D92FD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32.</w:t>
            </w:r>
            <w:r w:rsidR="001D2B60" w:rsidRPr="00AE4E8D">
              <w:rPr>
                <w:rFonts w:ascii="Times New Roman" w:hAnsi="Times New Roman"/>
                <w:color w:val="000000"/>
                <w:sz w:val="14"/>
                <w:szCs w:val="14"/>
                <w:lang w:val="es-ES"/>
              </w:rPr>
              <w:t>594</w:t>
            </w:r>
          </w:p>
        </w:tc>
        <w:tc>
          <w:tcPr>
            <w:tcW w:w="1163" w:type="dxa"/>
            <w:tcBorders>
              <w:top w:val="nil"/>
              <w:left w:val="nil"/>
              <w:bottom w:val="single" w:sz="8" w:space="0" w:color="auto"/>
              <w:right w:val="nil"/>
            </w:tcBorders>
            <w:shd w:val="clear" w:color="auto" w:fill="auto"/>
            <w:noWrap/>
            <w:vAlign w:val="center"/>
            <w:hideMark/>
          </w:tcPr>
          <w:p w14:paraId="43FE6B7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6.572</w:t>
            </w:r>
          </w:p>
        </w:tc>
        <w:tc>
          <w:tcPr>
            <w:tcW w:w="1087" w:type="dxa"/>
            <w:tcBorders>
              <w:top w:val="nil"/>
              <w:left w:val="nil"/>
              <w:bottom w:val="single" w:sz="8" w:space="0" w:color="auto"/>
              <w:right w:val="nil"/>
            </w:tcBorders>
            <w:shd w:val="clear" w:color="auto" w:fill="auto"/>
            <w:noWrap/>
            <w:vAlign w:val="center"/>
            <w:hideMark/>
          </w:tcPr>
          <w:p w14:paraId="126D0BC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622 </w:t>
            </w:r>
          </w:p>
        </w:tc>
        <w:tc>
          <w:tcPr>
            <w:tcW w:w="782" w:type="dxa"/>
            <w:tcBorders>
              <w:top w:val="nil"/>
              <w:left w:val="nil"/>
              <w:bottom w:val="single" w:sz="8" w:space="0" w:color="auto"/>
              <w:right w:val="nil"/>
            </w:tcBorders>
            <w:shd w:val="clear" w:color="auto" w:fill="auto"/>
            <w:noWrap/>
            <w:vAlign w:val="center"/>
            <w:hideMark/>
          </w:tcPr>
          <w:p w14:paraId="7C695B1B" w14:textId="77777777" w:rsidR="00D92FD5" w:rsidRPr="00AE4E8D" w:rsidRDefault="00FA317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p>
        </w:tc>
        <w:tc>
          <w:tcPr>
            <w:tcW w:w="1117" w:type="dxa"/>
            <w:tcBorders>
              <w:top w:val="nil"/>
              <w:left w:val="nil"/>
              <w:bottom w:val="single" w:sz="8" w:space="0" w:color="auto"/>
              <w:right w:val="nil"/>
            </w:tcBorders>
            <w:shd w:val="clear" w:color="auto" w:fill="auto"/>
            <w:noWrap/>
            <w:vAlign w:val="center"/>
            <w:hideMark/>
          </w:tcPr>
          <w:p w14:paraId="70D91324" w14:textId="77777777" w:rsidR="00D92FD5" w:rsidRPr="00AE4E8D" w:rsidRDefault="00FA317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p>
        </w:tc>
        <w:tc>
          <w:tcPr>
            <w:tcW w:w="1094" w:type="dxa"/>
            <w:tcBorders>
              <w:top w:val="nil"/>
              <w:left w:val="nil"/>
              <w:bottom w:val="single" w:sz="8" w:space="0" w:color="auto"/>
              <w:right w:val="nil"/>
            </w:tcBorders>
            <w:shd w:val="clear" w:color="auto" w:fill="auto"/>
            <w:noWrap/>
            <w:vAlign w:val="center"/>
            <w:hideMark/>
          </w:tcPr>
          <w:p w14:paraId="52C0417D" w14:textId="77777777" w:rsidR="00D92FD5" w:rsidRPr="00AE4E8D" w:rsidRDefault="00FA317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p>
        </w:tc>
        <w:tc>
          <w:tcPr>
            <w:tcW w:w="767" w:type="dxa"/>
            <w:tcBorders>
              <w:top w:val="nil"/>
              <w:left w:val="nil"/>
              <w:bottom w:val="single" w:sz="8" w:space="0" w:color="auto"/>
              <w:right w:val="nil"/>
            </w:tcBorders>
            <w:shd w:val="clear" w:color="auto" w:fill="auto"/>
            <w:noWrap/>
            <w:vAlign w:val="center"/>
          </w:tcPr>
          <w:p w14:paraId="349D4A8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7.389</w:t>
            </w:r>
          </w:p>
        </w:tc>
        <w:tc>
          <w:tcPr>
            <w:tcW w:w="1109" w:type="dxa"/>
            <w:tcBorders>
              <w:top w:val="nil"/>
              <w:left w:val="nil"/>
              <w:bottom w:val="single" w:sz="8" w:space="0" w:color="auto"/>
              <w:right w:val="nil"/>
            </w:tcBorders>
            <w:shd w:val="clear" w:color="auto" w:fill="auto"/>
            <w:noWrap/>
            <w:vAlign w:val="center"/>
          </w:tcPr>
          <w:p w14:paraId="1140E906" w14:textId="77777777" w:rsidR="00D92FD5" w:rsidRPr="00AE4E8D" w:rsidRDefault="00D92FD5" w:rsidP="008950B0">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32.39</w:t>
            </w:r>
            <w:r w:rsidR="008950B0" w:rsidRPr="00AE4E8D">
              <w:rPr>
                <w:rFonts w:ascii="Times New Roman" w:hAnsi="Times New Roman"/>
                <w:color w:val="000000"/>
                <w:sz w:val="14"/>
                <w:szCs w:val="14"/>
                <w:lang w:val="es-ES"/>
              </w:rPr>
              <w:t>9</w:t>
            </w:r>
          </w:p>
        </w:tc>
        <w:tc>
          <w:tcPr>
            <w:tcW w:w="1109" w:type="dxa"/>
            <w:tcBorders>
              <w:top w:val="nil"/>
              <w:left w:val="nil"/>
              <w:bottom w:val="single" w:sz="8" w:space="0" w:color="auto"/>
              <w:right w:val="nil"/>
            </w:tcBorders>
            <w:shd w:val="clear" w:color="auto" w:fill="auto"/>
            <w:noWrap/>
            <w:vAlign w:val="center"/>
            <w:hideMark/>
          </w:tcPr>
          <w:p w14:paraId="023845B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32.932</w:t>
            </w:r>
          </w:p>
        </w:tc>
      </w:tr>
      <w:tr w:rsidR="00D92FD5" w:rsidRPr="00AE4E8D" w14:paraId="04518705"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1F72A882" w14:textId="77777777" w:rsidR="00D92FD5" w:rsidRPr="00AE4E8D" w:rsidRDefault="00D92FD5" w:rsidP="009E7DDD">
            <w:pP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BIENES DIVERSOS</w:t>
            </w:r>
          </w:p>
        </w:tc>
        <w:tc>
          <w:tcPr>
            <w:tcW w:w="896" w:type="dxa"/>
            <w:tcBorders>
              <w:top w:val="nil"/>
              <w:left w:val="nil"/>
              <w:bottom w:val="nil"/>
              <w:right w:val="nil"/>
            </w:tcBorders>
            <w:shd w:val="clear" w:color="auto" w:fill="auto"/>
            <w:noWrap/>
            <w:vAlign w:val="center"/>
          </w:tcPr>
          <w:p w14:paraId="0CB73EF3" w14:textId="77777777" w:rsidR="00D92FD5" w:rsidRPr="00AE4E8D" w:rsidRDefault="00D92FD5" w:rsidP="00FA3175">
            <w:pPr>
              <w:jc w:val="right"/>
              <w:rPr>
                <w:rFonts w:ascii="Times New Roman" w:hAnsi="Times New Roman"/>
                <w:color w:val="000000"/>
                <w:sz w:val="14"/>
                <w:szCs w:val="14"/>
                <w:lang w:val="es-ES"/>
              </w:rPr>
            </w:pPr>
          </w:p>
        </w:tc>
        <w:tc>
          <w:tcPr>
            <w:tcW w:w="1163" w:type="dxa"/>
            <w:tcBorders>
              <w:top w:val="nil"/>
              <w:left w:val="nil"/>
              <w:bottom w:val="nil"/>
              <w:right w:val="nil"/>
            </w:tcBorders>
            <w:shd w:val="clear" w:color="auto" w:fill="auto"/>
            <w:noWrap/>
            <w:vAlign w:val="center"/>
          </w:tcPr>
          <w:p w14:paraId="6CF69AD6" w14:textId="77777777" w:rsidR="00D92FD5" w:rsidRPr="00AE4E8D" w:rsidRDefault="00D92FD5" w:rsidP="00FA3175">
            <w:pPr>
              <w:jc w:val="right"/>
              <w:rPr>
                <w:rFonts w:ascii="Times New Roman" w:hAnsi="Times New Roman"/>
                <w:color w:val="000000"/>
                <w:sz w:val="14"/>
                <w:szCs w:val="14"/>
                <w:lang w:val="es-ES"/>
              </w:rPr>
            </w:pPr>
          </w:p>
        </w:tc>
        <w:tc>
          <w:tcPr>
            <w:tcW w:w="1087" w:type="dxa"/>
            <w:tcBorders>
              <w:top w:val="nil"/>
              <w:left w:val="nil"/>
              <w:bottom w:val="nil"/>
              <w:right w:val="nil"/>
            </w:tcBorders>
            <w:shd w:val="clear" w:color="auto" w:fill="auto"/>
            <w:noWrap/>
            <w:vAlign w:val="center"/>
          </w:tcPr>
          <w:p w14:paraId="4B9EE42D" w14:textId="77777777" w:rsidR="00D92FD5" w:rsidRPr="00AE4E8D" w:rsidRDefault="00D92FD5" w:rsidP="00FA3175">
            <w:pPr>
              <w:jc w:val="right"/>
              <w:rPr>
                <w:rFonts w:ascii="Times New Roman" w:hAnsi="Times New Roman"/>
                <w:color w:val="000000"/>
                <w:sz w:val="14"/>
                <w:szCs w:val="14"/>
                <w:lang w:val="es-ES"/>
              </w:rPr>
            </w:pPr>
          </w:p>
        </w:tc>
        <w:tc>
          <w:tcPr>
            <w:tcW w:w="782" w:type="dxa"/>
            <w:tcBorders>
              <w:top w:val="nil"/>
              <w:left w:val="nil"/>
              <w:bottom w:val="nil"/>
              <w:right w:val="nil"/>
            </w:tcBorders>
            <w:shd w:val="clear" w:color="auto" w:fill="auto"/>
            <w:noWrap/>
            <w:vAlign w:val="center"/>
          </w:tcPr>
          <w:p w14:paraId="29A4637F" w14:textId="77777777" w:rsidR="00D92FD5" w:rsidRPr="00AE4E8D" w:rsidRDefault="00D92FD5" w:rsidP="00FA3175">
            <w:pPr>
              <w:jc w:val="right"/>
              <w:rPr>
                <w:rFonts w:ascii="Times New Roman" w:hAnsi="Times New Roman"/>
                <w:color w:val="000000"/>
                <w:sz w:val="14"/>
                <w:szCs w:val="14"/>
                <w:lang w:val="es-ES"/>
              </w:rPr>
            </w:pPr>
          </w:p>
        </w:tc>
        <w:tc>
          <w:tcPr>
            <w:tcW w:w="1117" w:type="dxa"/>
            <w:tcBorders>
              <w:top w:val="nil"/>
              <w:left w:val="nil"/>
              <w:bottom w:val="nil"/>
              <w:right w:val="nil"/>
            </w:tcBorders>
            <w:shd w:val="clear" w:color="auto" w:fill="auto"/>
            <w:noWrap/>
            <w:vAlign w:val="center"/>
          </w:tcPr>
          <w:p w14:paraId="2289CE1D" w14:textId="77777777" w:rsidR="00D92FD5" w:rsidRPr="00AE4E8D" w:rsidRDefault="00D92FD5" w:rsidP="00FA3175">
            <w:pPr>
              <w:jc w:val="right"/>
              <w:rPr>
                <w:rFonts w:ascii="Times New Roman" w:hAnsi="Times New Roman"/>
                <w:color w:val="000000"/>
                <w:sz w:val="14"/>
                <w:szCs w:val="14"/>
                <w:lang w:val="es-ES"/>
              </w:rPr>
            </w:pPr>
          </w:p>
        </w:tc>
        <w:tc>
          <w:tcPr>
            <w:tcW w:w="1094" w:type="dxa"/>
            <w:tcBorders>
              <w:top w:val="nil"/>
              <w:left w:val="nil"/>
              <w:bottom w:val="nil"/>
              <w:right w:val="nil"/>
            </w:tcBorders>
            <w:shd w:val="clear" w:color="auto" w:fill="auto"/>
            <w:noWrap/>
            <w:vAlign w:val="center"/>
          </w:tcPr>
          <w:p w14:paraId="1BB4F33F" w14:textId="77777777" w:rsidR="00D92FD5" w:rsidRPr="00AE4E8D" w:rsidRDefault="00D92FD5" w:rsidP="00FA3175">
            <w:pPr>
              <w:jc w:val="right"/>
              <w:rPr>
                <w:rFonts w:ascii="Times New Roman" w:hAnsi="Times New Roman"/>
                <w:color w:val="000000"/>
                <w:sz w:val="14"/>
                <w:szCs w:val="14"/>
                <w:lang w:val="es-ES"/>
              </w:rPr>
            </w:pPr>
          </w:p>
        </w:tc>
        <w:tc>
          <w:tcPr>
            <w:tcW w:w="767" w:type="dxa"/>
            <w:tcBorders>
              <w:top w:val="nil"/>
              <w:left w:val="nil"/>
              <w:bottom w:val="nil"/>
              <w:right w:val="nil"/>
            </w:tcBorders>
            <w:shd w:val="clear" w:color="auto" w:fill="auto"/>
            <w:noWrap/>
            <w:vAlign w:val="center"/>
          </w:tcPr>
          <w:p w14:paraId="07E48105" w14:textId="77777777" w:rsidR="00D92FD5" w:rsidRPr="00AE4E8D" w:rsidRDefault="00D92FD5" w:rsidP="00FA3175">
            <w:pPr>
              <w:jc w:val="right"/>
              <w:rPr>
                <w:rFonts w:ascii="Times New Roman" w:hAnsi="Times New Roman"/>
                <w:color w:val="000000"/>
                <w:sz w:val="14"/>
                <w:szCs w:val="14"/>
                <w:lang w:val="es-ES"/>
              </w:rPr>
            </w:pPr>
          </w:p>
        </w:tc>
        <w:tc>
          <w:tcPr>
            <w:tcW w:w="1109" w:type="dxa"/>
            <w:tcBorders>
              <w:top w:val="nil"/>
              <w:left w:val="nil"/>
              <w:bottom w:val="nil"/>
              <w:right w:val="nil"/>
            </w:tcBorders>
            <w:shd w:val="clear" w:color="auto" w:fill="auto"/>
            <w:noWrap/>
            <w:vAlign w:val="center"/>
          </w:tcPr>
          <w:p w14:paraId="64365B14" w14:textId="77777777" w:rsidR="00D92FD5" w:rsidRPr="00AE4E8D" w:rsidRDefault="00D92FD5" w:rsidP="00FA3175">
            <w:pPr>
              <w:jc w:val="right"/>
              <w:rPr>
                <w:rFonts w:ascii="Times New Roman" w:hAnsi="Times New Roman"/>
                <w:color w:val="000000"/>
                <w:sz w:val="14"/>
                <w:szCs w:val="14"/>
                <w:lang w:val="es-ES"/>
              </w:rPr>
            </w:pPr>
          </w:p>
        </w:tc>
        <w:tc>
          <w:tcPr>
            <w:tcW w:w="1109" w:type="dxa"/>
            <w:tcBorders>
              <w:top w:val="nil"/>
              <w:left w:val="nil"/>
              <w:bottom w:val="nil"/>
              <w:right w:val="nil"/>
            </w:tcBorders>
            <w:shd w:val="clear" w:color="auto" w:fill="auto"/>
            <w:noWrap/>
            <w:vAlign w:val="center"/>
          </w:tcPr>
          <w:p w14:paraId="14510C4C" w14:textId="77777777" w:rsidR="00D92FD5" w:rsidRPr="00AE4E8D" w:rsidRDefault="00D92FD5" w:rsidP="00FA3175">
            <w:pPr>
              <w:jc w:val="right"/>
              <w:rPr>
                <w:rFonts w:ascii="Times New Roman" w:hAnsi="Times New Roman"/>
                <w:color w:val="000000"/>
                <w:sz w:val="14"/>
                <w:szCs w:val="14"/>
                <w:lang w:val="es-ES"/>
              </w:rPr>
            </w:pPr>
          </w:p>
        </w:tc>
      </w:tr>
      <w:tr w:rsidR="00D92FD5" w:rsidRPr="00AE4E8D" w14:paraId="61B75654"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46B58243"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Obras en Curso</w:t>
            </w:r>
          </w:p>
        </w:tc>
        <w:tc>
          <w:tcPr>
            <w:tcW w:w="896" w:type="dxa"/>
            <w:tcBorders>
              <w:top w:val="nil"/>
              <w:left w:val="nil"/>
              <w:bottom w:val="nil"/>
              <w:right w:val="nil"/>
            </w:tcBorders>
            <w:shd w:val="clear" w:color="auto" w:fill="auto"/>
            <w:noWrap/>
            <w:vAlign w:val="center"/>
            <w:hideMark/>
          </w:tcPr>
          <w:p w14:paraId="3C532E1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63" w:type="dxa"/>
            <w:tcBorders>
              <w:top w:val="nil"/>
              <w:left w:val="nil"/>
              <w:bottom w:val="nil"/>
              <w:right w:val="nil"/>
            </w:tcBorders>
            <w:shd w:val="clear" w:color="auto" w:fill="auto"/>
            <w:noWrap/>
            <w:vAlign w:val="center"/>
            <w:hideMark/>
          </w:tcPr>
          <w:p w14:paraId="5E1B00F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7" w:type="dxa"/>
            <w:tcBorders>
              <w:top w:val="nil"/>
              <w:left w:val="nil"/>
              <w:bottom w:val="nil"/>
              <w:right w:val="nil"/>
            </w:tcBorders>
            <w:shd w:val="clear" w:color="auto" w:fill="auto"/>
            <w:noWrap/>
            <w:vAlign w:val="center"/>
            <w:hideMark/>
          </w:tcPr>
          <w:p w14:paraId="4D00E5D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nil"/>
              <w:right w:val="nil"/>
            </w:tcBorders>
            <w:shd w:val="clear" w:color="auto" w:fill="auto"/>
            <w:noWrap/>
            <w:vAlign w:val="center"/>
            <w:hideMark/>
          </w:tcPr>
          <w:p w14:paraId="367D2D7C"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7B46CE7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94" w:type="dxa"/>
            <w:tcBorders>
              <w:top w:val="nil"/>
              <w:left w:val="nil"/>
              <w:bottom w:val="nil"/>
              <w:right w:val="nil"/>
            </w:tcBorders>
            <w:shd w:val="clear" w:color="auto" w:fill="auto"/>
            <w:noWrap/>
            <w:vAlign w:val="center"/>
            <w:hideMark/>
          </w:tcPr>
          <w:p w14:paraId="666C15C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767" w:type="dxa"/>
            <w:tcBorders>
              <w:top w:val="nil"/>
              <w:left w:val="nil"/>
              <w:bottom w:val="nil"/>
              <w:right w:val="nil"/>
            </w:tcBorders>
            <w:shd w:val="clear" w:color="auto" w:fill="auto"/>
            <w:noWrap/>
            <w:vAlign w:val="center"/>
            <w:hideMark/>
          </w:tcPr>
          <w:p w14:paraId="5B8B7BA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1112CC9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1940B04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r>
      <w:tr w:rsidR="00D92FD5" w:rsidRPr="00AE4E8D" w14:paraId="5D7048F4"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5177B9BE"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Obras de Arte y Piezas de Colección </w:t>
            </w:r>
          </w:p>
        </w:tc>
        <w:tc>
          <w:tcPr>
            <w:tcW w:w="896" w:type="dxa"/>
            <w:tcBorders>
              <w:top w:val="nil"/>
              <w:left w:val="nil"/>
              <w:bottom w:val="nil"/>
              <w:right w:val="nil"/>
            </w:tcBorders>
            <w:shd w:val="clear" w:color="auto" w:fill="auto"/>
            <w:noWrap/>
            <w:vAlign w:val="center"/>
            <w:hideMark/>
          </w:tcPr>
          <w:p w14:paraId="791D971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63" w:type="dxa"/>
            <w:tcBorders>
              <w:top w:val="nil"/>
              <w:left w:val="nil"/>
              <w:bottom w:val="nil"/>
              <w:right w:val="nil"/>
            </w:tcBorders>
            <w:shd w:val="clear" w:color="auto" w:fill="auto"/>
            <w:noWrap/>
            <w:vAlign w:val="center"/>
            <w:hideMark/>
          </w:tcPr>
          <w:p w14:paraId="7F3980B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7" w:type="dxa"/>
            <w:tcBorders>
              <w:top w:val="nil"/>
              <w:left w:val="nil"/>
              <w:bottom w:val="nil"/>
              <w:right w:val="nil"/>
            </w:tcBorders>
            <w:shd w:val="clear" w:color="auto" w:fill="auto"/>
            <w:noWrap/>
            <w:vAlign w:val="center"/>
            <w:hideMark/>
          </w:tcPr>
          <w:p w14:paraId="5C0B5A4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nil"/>
              <w:right w:val="nil"/>
            </w:tcBorders>
            <w:shd w:val="clear" w:color="auto" w:fill="auto"/>
            <w:noWrap/>
            <w:vAlign w:val="center"/>
            <w:hideMark/>
          </w:tcPr>
          <w:p w14:paraId="3A93040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350E36C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94" w:type="dxa"/>
            <w:tcBorders>
              <w:top w:val="nil"/>
              <w:left w:val="nil"/>
              <w:bottom w:val="nil"/>
              <w:right w:val="nil"/>
            </w:tcBorders>
            <w:shd w:val="clear" w:color="auto" w:fill="auto"/>
            <w:noWrap/>
            <w:vAlign w:val="center"/>
            <w:hideMark/>
          </w:tcPr>
          <w:p w14:paraId="7D58D0B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767" w:type="dxa"/>
            <w:tcBorders>
              <w:top w:val="nil"/>
              <w:left w:val="nil"/>
              <w:bottom w:val="nil"/>
              <w:right w:val="nil"/>
            </w:tcBorders>
            <w:shd w:val="clear" w:color="auto" w:fill="auto"/>
            <w:noWrap/>
            <w:vAlign w:val="center"/>
            <w:hideMark/>
          </w:tcPr>
          <w:p w14:paraId="534B63C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0E3EBF5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183FAA2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r>
      <w:tr w:rsidR="00D92FD5" w:rsidRPr="00AE4E8D" w14:paraId="3815DD52"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37AB92DB"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Bienes dados en alquiler</w:t>
            </w:r>
          </w:p>
        </w:tc>
        <w:tc>
          <w:tcPr>
            <w:tcW w:w="896" w:type="dxa"/>
            <w:tcBorders>
              <w:top w:val="nil"/>
              <w:left w:val="nil"/>
              <w:bottom w:val="nil"/>
              <w:right w:val="nil"/>
            </w:tcBorders>
            <w:shd w:val="clear" w:color="auto" w:fill="auto"/>
            <w:noWrap/>
            <w:vAlign w:val="center"/>
            <w:hideMark/>
          </w:tcPr>
          <w:p w14:paraId="4C2DA9B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63" w:type="dxa"/>
            <w:tcBorders>
              <w:top w:val="nil"/>
              <w:left w:val="nil"/>
              <w:bottom w:val="nil"/>
              <w:right w:val="nil"/>
            </w:tcBorders>
            <w:shd w:val="clear" w:color="auto" w:fill="auto"/>
            <w:noWrap/>
            <w:vAlign w:val="center"/>
            <w:hideMark/>
          </w:tcPr>
          <w:p w14:paraId="0ED46FE8"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7" w:type="dxa"/>
            <w:tcBorders>
              <w:top w:val="nil"/>
              <w:left w:val="nil"/>
              <w:bottom w:val="nil"/>
              <w:right w:val="nil"/>
            </w:tcBorders>
            <w:shd w:val="clear" w:color="auto" w:fill="auto"/>
            <w:noWrap/>
            <w:vAlign w:val="center"/>
            <w:hideMark/>
          </w:tcPr>
          <w:p w14:paraId="06D5C10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nil"/>
              <w:right w:val="nil"/>
            </w:tcBorders>
            <w:shd w:val="clear" w:color="auto" w:fill="auto"/>
            <w:noWrap/>
            <w:vAlign w:val="center"/>
            <w:hideMark/>
          </w:tcPr>
          <w:p w14:paraId="515A96F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1B5E336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94" w:type="dxa"/>
            <w:tcBorders>
              <w:top w:val="nil"/>
              <w:left w:val="nil"/>
              <w:bottom w:val="nil"/>
              <w:right w:val="nil"/>
            </w:tcBorders>
            <w:shd w:val="clear" w:color="auto" w:fill="auto"/>
            <w:noWrap/>
            <w:vAlign w:val="center"/>
            <w:hideMark/>
          </w:tcPr>
          <w:p w14:paraId="07E7070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767" w:type="dxa"/>
            <w:tcBorders>
              <w:top w:val="nil"/>
              <w:left w:val="nil"/>
              <w:bottom w:val="nil"/>
              <w:right w:val="nil"/>
            </w:tcBorders>
            <w:shd w:val="clear" w:color="auto" w:fill="auto"/>
            <w:noWrap/>
            <w:vAlign w:val="center"/>
            <w:hideMark/>
          </w:tcPr>
          <w:p w14:paraId="4505871C"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001D28C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79B1E11C"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r>
      <w:tr w:rsidR="00D92FD5" w:rsidRPr="00AE4E8D" w14:paraId="7D4DE01F"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39D8551A"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Bienes tomados en defensa del crédito</w:t>
            </w:r>
          </w:p>
        </w:tc>
        <w:tc>
          <w:tcPr>
            <w:tcW w:w="896" w:type="dxa"/>
            <w:tcBorders>
              <w:top w:val="nil"/>
              <w:left w:val="nil"/>
              <w:bottom w:val="nil"/>
              <w:right w:val="nil"/>
            </w:tcBorders>
            <w:shd w:val="clear" w:color="auto" w:fill="auto"/>
            <w:noWrap/>
            <w:vAlign w:val="center"/>
            <w:hideMark/>
          </w:tcPr>
          <w:p w14:paraId="3B4596C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63" w:type="dxa"/>
            <w:tcBorders>
              <w:top w:val="nil"/>
              <w:left w:val="nil"/>
              <w:bottom w:val="nil"/>
              <w:right w:val="nil"/>
            </w:tcBorders>
            <w:shd w:val="clear" w:color="auto" w:fill="auto"/>
            <w:noWrap/>
            <w:vAlign w:val="center"/>
            <w:hideMark/>
          </w:tcPr>
          <w:p w14:paraId="77B5D29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7" w:type="dxa"/>
            <w:tcBorders>
              <w:top w:val="nil"/>
              <w:left w:val="nil"/>
              <w:bottom w:val="nil"/>
              <w:right w:val="nil"/>
            </w:tcBorders>
            <w:shd w:val="clear" w:color="auto" w:fill="auto"/>
            <w:noWrap/>
            <w:vAlign w:val="center"/>
            <w:hideMark/>
          </w:tcPr>
          <w:p w14:paraId="155DC31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nil"/>
              <w:right w:val="nil"/>
            </w:tcBorders>
            <w:shd w:val="clear" w:color="auto" w:fill="auto"/>
            <w:noWrap/>
            <w:vAlign w:val="center"/>
            <w:hideMark/>
          </w:tcPr>
          <w:p w14:paraId="49119B6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4384712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94" w:type="dxa"/>
            <w:tcBorders>
              <w:top w:val="nil"/>
              <w:left w:val="nil"/>
              <w:bottom w:val="nil"/>
              <w:right w:val="nil"/>
            </w:tcBorders>
            <w:shd w:val="clear" w:color="auto" w:fill="auto"/>
            <w:noWrap/>
            <w:vAlign w:val="center"/>
            <w:hideMark/>
          </w:tcPr>
          <w:p w14:paraId="4AF6974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767" w:type="dxa"/>
            <w:tcBorders>
              <w:top w:val="nil"/>
              <w:left w:val="nil"/>
              <w:bottom w:val="nil"/>
              <w:right w:val="nil"/>
            </w:tcBorders>
            <w:shd w:val="clear" w:color="auto" w:fill="auto"/>
            <w:noWrap/>
            <w:vAlign w:val="center"/>
            <w:hideMark/>
          </w:tcPr>
          <w:p w14:paraId="71154C2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5917BFE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7F29AFE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r>
      <w:tr w:rsidR="00D92FD5" w:rsidRPr="00AE4E8D" w14:paraId="5691285A" w14:textId="77777777" w:rsidTr="000400C8">
        <w:trPr>
          <w:trHeight w:val="173"/>
          <w:jc w:val="center"/>
        </w:trPr>
        <w:tc>
          <w:tcPr>
            <w:tcW w:w="1378" w:type="dxa"/>
            <w:tcBorders>
              <w:top w:val="nil"/>
              <w:left w:val="nil"/>
              <w:bottom w:val="nil"/>
              <w:right w:val="nil"/>
            </w:tcBorders>
            <w:shd w:val="clear" w:color="auto" w:fill="auto"/>
            <w:noWrap/>
            <w:vAlign w:val="center"/>
            <w:hideMark/>
          </w:tcPr>
          <w:p w14:paraId="2F9BEFE3"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Papeles y Útiles </w:t>
            </w:r>
          </w:p>
        </w:tc>
        <w:tc>
          <w:tcPr>
            <w:tcW w:w="896" w:type="dxa"/>
            <w:tcBorders>
              <w:top w:val="nil"/>
              <w:left w:val="nil"/>
              <w:bottom w:val="nil"/>
              <w:right w:val="nil"/>
            </w:tcBorders>
            <w:shd w:val="clear" w:color="auto" w:fill="auto"/>
            <w:noWrap/>
            <w:vAlign w:val="center"/>
            <w:hideMark/>
          </w:tcPr>
          <w:p w14:paraId="0C4E9D3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63" w:type="dxa"/>
            <w:tcBorders>
              <w:top w:val="nil"/>
              <w:left w:val="nil"/>
              <w:bottom w:val="nil"/>
              <w:right w:val="nil"/>
            </w:tcBorders>
            <w:shd w:val="clear" w:color="auto" w:fill="auto"/>
            <w:noWrap/>
            <w:vAlign w:val="center"/>
            <w:hideMark/>
          </w:tcPr>
          <w:p w14:paraId="3EF271A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7" w:type="dxa"/>
            <w:tcBorders>
              <w:top w:val="nil"/>
              <w:left w:val="nil"/>
              <w:bottom w:val="nil"/>
              <w:right w:val="nil"/>
            </w:tcBorders>
            <w:shd w:val="clear" w:color="auto" w:fill="auto"/>
            <w:noWrap/>
            <w:vAlign w:val="center"/>
            <w:hideMark/>
          </w:tcPr>
          <w:p w14:paraId="75FF7E6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nil"/>
              <w:right w:val="nil"/>
            </w:tcBorders>
            <w:shd w:val="clear" w:color="auto" w:fill="auto"/>
            <w:noWrap/>
            <w:vAlign w:val="center"/>
            <w:hideMark/>
          </w:tcPr>
          <w:p w14:paraId="65A1ABC8"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17" w:type="dxa"/>
            <w:tcBorders>
              <w:top w:val="nil"/>
              <w:left w:val="nil"/>
              <w:bottom w:val="nil"/>
              <w:right w:val="nil"/>
            </w:tcBorders>
            <w:shd w:val="clear" w:color="auto" w:fill="auto"/>
            <w:noWrap/>
            <w:vAlign w:val="center"/>
            <w:hideMark/>
          </w:tcPr>
          <w:p w14:paraId="0647FA7E"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94" w:type="dxa"/>
            <w:tcBorders>
              <w:top w:val="nil"/>
              <w:left w:val="nil"/>
              <w:bottom w:val="nil"/>
              <w:right w:val="nil"/>
            </w:tcBorders>
            <w:shd w:val="clear" w:color="auto" w:fill="auto"/>
            <w:noWrap/>
            <w:vAlign w:val="center"/>
            <w:hideMark/>
          </w:tcPr>
          <w:p w14:paraId="1261574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767" w:type="dxa"/>
            <w:tcBorders>
              <w:top w:val="nil"/>
              <w:left w:val="nil"/>
              <w:bottom w:val="nil"/>
              <w:right w:val="nil"/>
            </w:tcBorders>
            <w:shd w:val="clear" w:color="auto" w:fill="auto"/>
            <w:noWrap/>
            <w:vAlign w:val="center"/>
            <w:hideMark/>
          </w:tcPr>
          <w:p w14:paraId="3B5E8F78"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35B2C36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25FF84A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r>
      <w:tr w:rsidR="00D92FD5" w:rsidRPr="00AE4E8D" w14:paraId="2FC9422A" w14:textId="77777777" w:rsidTr="000400C8">
        <w:trPr>
          <w:trHeight w:val="183"/>
          <w:jc w:val="center"/>
        </w:trPr>
        <w:tc>
          <w:tcPr>
            <w:tcW w:w="1378" w:type="dxa"/>
            <w:tcBorders>
              <w:top w:val="nil"/>
              <w:left w:val="nil"/>
              <w:bottom w:val="nil"/>
              <w:right w:val="nil"/>
            </w:tcBorders>
            <w:shd w:val="clear" w:color="auto" w:fill="auto"/>
            <w:noWrap/>
            <w:vAlign w:val="center"/>
            <w:hideMark/>
          </w:tcPr>
          <w:p w14:paraId="19C5E02F"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Otros bienes diversos</w:t>
            </w:r>
          </w:p>
        </w:tc>
        <w:tc>
          <w:tcPr>
            <w:tcW w:w="896" w:type="dxa"/>
            <w:tcBorders>
              <w:top w:val="nil"/>
              <w:left w:val="nil"/>
              <w:bottom w:val="single" w:sz="8" w:space="0" w:color="auto"/>
              <w:right w:val="nil"/>
            </w:tcBorders>
            <w:shd w:val="clear" w:color="auto" w:fill="auto"/>
            <w:noWrap/>
            <w:vAlign w:val="center"/>
            <w:hideMark/>
          </w:tcPr>
          <w:p w14:paraId="57363C98"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9.818</w:t>
            </w:r>
          </w:p>
        </w:tc>
        <w:tc>
          <w:tcPr>
            <w:tcW w:w="1163" w:type="dxa"/>
            <w:tcBorders>
              <w:top w:val="nil"/>
              <w:left w:val="nil"/>
              <w:bottom w:val="single" w:sz="8" w:space="0" w:color="auto"/>
              <w:right w:val="nil"/>
            </w:tcBorders>
            <w:shd w:val="clear" w:color="auto" w:fill="auto"/>
            <w:noWrap/>
            <w:vAlign w:val="center"/>
            <w:hideMark/>
          </w:tcPr>
          <w:p w14:paraId="56BF850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3.460</w:t>
            </w:r>
          </w:p>
        </w:tc>
        <w:tc>
          <w:tcPr>
            <w:tcW w:w="1087" w:type="dxa"/>
            <w:tcBorders>
              <w:top w:val="nil"/>
              <w:left w:val="nil"/>
              <w:bottom w:val="single" w:sz="8" w:space="0" w:color="auto"/>
              <w:right w:val="nil"/>
            </w:tcBorders>
            <w:shd w:val="clear" w:color="auto" w:fill="auto"/>
            <w:noWrap/>
            <w:vAlign w:val="center"/>
            <w:hideMark/>
          </w:tcPr>
          <w:p w14:paraId="0C5F80BE"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3.074</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82" w:type="dxa"/>
            <w:tcBorders>
              <w:top w:val="nil"/>
              <w:left w:val="nil"/>
              <w:bottom w:val="single" w:sz="8" w:space="0" w:color="auto"/>
              <w:right w:val="nil"/>
            </w:tcBorders>
            <w:shd w:val="clear" w:color="auto" w:fill="auto"/>
            <w:noWrap/>
            <w:vAlign w:val="center"/>
            <w:hideMark/>
          </w:tcPr>
          <w:p w14:paraId="46DA9DAA" w14:textId="77777777" w:rsidR="00D92FD5" w:rsidRPr="00AE4E8D" w:rsidRDefault="00FA317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p>
        </w:tc>
        <w:tc>
          <w:tcPr>
            <w:tcW w:w="1117" w:type="dxa"/>
            <w:tcBorders>
              <w:top w:val="nil"/>
              <w:left w:val="nil"/>
              <w:bottom w:val="single" w:sz="8" w:space="0" w:color="auto"/>
              <w:right w:val="nil"/>
            </w:tcBorders>
            <w:shd w:val="clear" w:color="auto" w:fill="auto"/>
            <w:noWrap/>
            <w:vAlign w:val="center"/>
            <w:hideMark/>
          </w:tcPr>
          <w:p w14:paraId="4BDF55C7" w14:textId="77777777" w:rsidR="00D92FD5" w:rsidRPr="00AE4E8D" w:rsidRDefault="00FA317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p>
        </w:tc>
        <w:tc>
          <w:tcPr>
            <w:tcW w:w="1094" w:type="dxa"/>
            <w:tcBorders>
              <w:top w:val="nil"/>
              <w:left w:val="nil"/>
              <w:bottom w:val="single" w:sz="8" w:space="0" w:color="auto"/>
              <w:right w:val="nil"/>
            </w:tcBorders>
            <w:shd w:val="clear" w:color="auto" w:fill="auto"/>
            <w:noWrap/>
            <w:vAlign w:val="center"/>
            <w:hideMark/>
          </w:tcPr>
          <w:p w14:paraId="51EA970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767" w:type="dxa"/>
            <w:tcBorders>
              <w:top w:val="nil"/>
              <w:left w:val="nil"/>
              <w:bottom w:val="single" w:sz="8" w:space="0" w:color="auto"/>
              <w:right w:val="nil"/>
            </w:tcBorders>
            <w:shd w:val="clear" w:color="auto" w:fill="auto"/>
            <w:noWrap/>
            <w:vAlign w:val="center"/>
          </w:tcPr>
          <w:p w14:paraId="2FB091F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2.997</w:t>
            </w:r>
          </w:p>
        </w:tc>
        <w:tc>
          <w:tcPr>
            <w:tcW w:w="1109" w:type="dxa"/>
            <w:tcBorders>
              <w:top w:val="nil"/>
              <w:left w:val="nil"/>
              <w:bottom w:val="single" w:sz="8" w:space="0" w:color="auto"/>
              <w:right w:val="nil"/>
            </w:tcBorders>
            <w:shd w:val="clear" w:color="auto" w:fill="auto"/>
            <w:noWrap/>
            <w:vAlign w:val="center"/>
          </w:tcPr>
          <w:p w14:paraId="23DC102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13.355</w:t>
            </w:r>
          </w:p>
        </w:tc>
        <w:tc>
          <w:tcPr>
            <w:tcW w:w="1109" w:type="dxa"/>
            <w:tcBorders>
              <w:top w:val="nil"/>
              <w:left w:val="nil"/>
              <w:bottom w:val="single" w:sz="8" w:space="0" w:color="auto"/>
              <w:right w:val="nil"/>
            </w:tcBorders>
            <w:shd w:val="clear" w:color="auto" w:fill="auto"/>
            <w:noWrap/>
            <w:vAlign w:val="center"/>
            <w:hideMark/>
          </w:tcPr>
          <w:p w14:paraId="4C63E80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7.654</w:t>
            </w:r>
          </w:p>
        </w:tc>
      </w:tr>
      <w:tr w:rsidR="00D92FD5" w:rsidRPr="00AE4E8D" w14:paraId="53BB8946" w14:textId="77777777" w:rsidTr="000400C8">
        <w:trPr>
          <w:trHeight w:val="183"/>
          <w:jc w:val="center"/>
        </w:trPr>
        <w:tc>
          <w:tcPr>
            <w:tcW w:w="1378" w:type="dxa"/>
            <w:tcBorders>
              <w:top w:val="nil"/>
              <w:left w:val="nil"/>
              <w:bottom w:val="nil"/>
              <w:right w:val="nil"/>
            </w:tcBorders>
            <w:shd w:val="clear" w:color="auto" w:fill="auto"/>
            <w:noWrap/>
            <w:vAlign w:val="center"/>
            <w:hideMark/>
          </w:tcPr>
          <w:p w14:paraId="56FC1521" w14:textId="77777777" w:rsidR="00D92FD5" w:rsidRPr="00AE4E8D" w:rsidRDefault="00D92FD5" w:rsidP="009E7DDD">
            <w:pP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Total</w:t>
            </w:r>
          </w:p>
        </w:tc>
        <w:tc>
          <w:tcPr>
            <w:tcW w:w="896" w:type="dxa"/>
            <w:tcBorders>
              <w:top w:val="nil"/>
              <w:left w:val="nil"/>
              <w:bottom w:val="single" w:sz="8" w:space="0" w:color="auto"/>
              <w:right w:val="nil"/>
            </w:tcBorders>
            <w:shd w:val="clear" w:color="auto" w:fill="auto"/>
            <w:noWrap/>
            <w:vAlign w:val="center"/>
            <w:hideMark/>
          </w:tcPr>
          <w:p w14:paraId="1FC384F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9.818</w:t>
            </w:r>
          </w:p>
        </w:tc>
        <w:tc>
          <w:tcPr>
            <w:tcW w:w="1163" w:type="dxa"/>
            <w:tcBorders>
              <w:top w:val="nil"/>
              <w:left w:val="nil"/>
              <w:bottom w:val="single" w:sz="8" w:space="0" w:color="auto"/>
              <w:right w:val="nil"/>
            </w:tcBorders>
            <w:shd w:val="clear" w:color="auto" w:fill="auto"/>
            <w:noWrap/>
            <w:vAlign w:val="center"/>
            <w:hideMark/>
          </w:tcPr>
          <w:p w14:paraId="2AD0690C"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3.460</w:t>
            </w:r>
          </w:p>
        </w:tc>
        <w:tc>
          <w:tcPr>
            <w:tcW w:w="1087" w:type="dxa"/>
            <w:tcBorders>
              <w:top w:val="nil"/>
              <w:left w:val="nil"/>
              <w:bottom w:val="single" w:sz="8" w:space="0" w:color="auto"/>
              <w:right w:val="nil"/>
            </w:tcBorders>
            <w:shd w:val="clear" w:color="auto" w:fill="auto"/>
            <w:noWrap/>
            <w:vAlign w:val="center"/>
            <w:hideMark/>
          </w:tcPr>
          <w:p w14:paraId="185AB42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3.074 </w:t>
            </w:r>
          </w:p>
        </w:tc>
        <w:tc>
          <w:tcPr>
            <w:tcW w:w="782" w:type="dxa"/>
            <w:tcBorders>
              <w:top w:val="nil"/>
              <w:left w:val="nil"/>
              <w:bottom w:val="single" w:sz="8" w:space="0" w:color="auto"/>
              <w:right w:val="nil"/>
            </w:tcBorders>
            <w:shd w:val="clear" w:color="auto" w:fill="auto"/>
            <w:noWrap/>
            <w:vAlign w:val="center"/>
            <w:hideMark/>
          </w:tcPr>
          <w:p w14:paraId="6ABCDD0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1117" w:type="dxa"/>
            <w:tcBorders>
              <w:top w:val="nil"/>
              <w:left w:val="nil"/>
              <w:bottom w:val="single" w:sz="8" w:space="0" w:color="auto"/>
              <w:right w:val="nil"/>
            </w:tcBorders>
            <w:shd w:val="clear" w:color="auto" w:fill="auto"/>
            <w:noWrap/>
            <w:vAlign w:val="center"/>
            <w:hideMark/>
          </w:tcPr>
          <w:p w14:paraId="6A78589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94" w:type="dxa"/>
            <w:tcBorders>
              <w:top w:val="nil"/>
              <w:left w:val="nil"/>
              <w:bottom w:val="single" w:sz="8" w:space="0" w:color="auto"/>
              <w:right w:val="nil"/>
            </w:tcBorders>
            <w:shd w:val="clear" w:color="auto" w:fill="auto"/>
            <w:noWrap/>
            <w:vAlign w:val="center"/>
            <w:hideMark/>
          </w:tcPr>
          <w:p w14:paraId="25EB8D2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767" w:type="dxa"/>
            <w:tcBorders>
              <w:top w:val="nil"/>
              <w:left w:val="nil"/>
              <w:bottom w:val="single" w:sz="8" w:space="0" w:color="auto"/>
              <w:right w:val="nil"/>
            </w:tcBorders>
            <w:shd w:val="clear" w:color="auto" w:fill="auto"/>
            <w:noWrap/>
            <w:vAlign w:val="center"/>
          </w:tcPr>
          <w:p w14:paraId="58929AA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2.997</w:t>
            </w:r>
          </w:p>
        </w:tc>
        <w:tc>
          <w:tcPr>
            <w:tcW w:w="1109" w:type="dxa"/>
            <w:tcBorders>
              <w:top w:val="nil"/>
              <w:left w:val="nil"/>
              <w:bottom w:val="single" w:sz="8" w:space="0" w:color="auto"/>
              <w:right w:val="nil"/>
            </w:tcBorders>
            <w:shd w:val="clear" w:color="auto" w:fill="auto"/>
            <w:noWrap/>
            <w:vAlign w:val="center"/>
          </w:tcPr>
          <w:p w14:paraId="0B45080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13.355</w:t>
            </w:r>
          </w:p>
        </w:tc>
        <w:tc>
          <w:tcPr>
            <w:tcW w:w="1109" w:type="dxa"/>
            <w:tcBorders>
              <w:top w:val="nil"/>
              <w:left w:val="nil"/>
              <w:bottom w:val="single" w:sz="8" w:space="0" w:color="auto"/>
              <w:right w:val="nil"/>
            </w:tcBorders>
            <w:shd w:val="clear" w:color="auto" w:fill="auto"/>
            <w:noWrap/>
            <w:vAlign w:val="center"/>
            <w:hideMark/>
          </w:tcPr>
          <w:p w14:paraId="725220A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7.654</w:t>
            </w:r>
          </w:p>
        </w:tc>
      </w:tr>
    </w:tbl>
    <w:p w14:paraId="5C8E1DC4" w14:textId="77777777" w:rsidR="00D92FD5" w:rsidRPr="00AE4E8D" w:rsidRDefault="00D92FD5" w:rsidP="00D92FD5">
      <w:pPr>
        <w:pStyle w:val="BHTexto"/>
        <w:spacing w:after="0"/>
        <w:rPr>
          <w:b/>
          <w:highlight w:val="cyan"/>
          <w:lang w:val="es-ES"/>
        </w:rPr>
      </w:pPr>
    </w:p>
    <w:p w14:paraId="5318D227" w14:textId="77777777" w:rsidR="00D92FD5" w:rsidRPr="00AE4E8D" w:rsidRDefault="00D92FD5" w:rsidP="00D92FD5">
      <w:pPr>
        <w:pStyle w:val="BHTexto"/>
        <w:spacing w:after="0"/>
        <w:rPr>
          <w:b/>
          <w:highlight w:val="cyan"/>
          <w:lang w:val="es-ES"/>
        </w:rPr>
      </w:pPr>
      <w:r w:rsidRPr="00AE4E8D">
        <w:rPr>
          <w:b/>
          <w:highlight w:val="cyan"/>
          <w:lang w:val="es-ES"/>
        </w:rPr>
        <w:br w:type="page"/>
      </w:r>
    </w:p>
    <w:p w14:paraId="7A42F5DC" w14:textId="77777777" w:rsidR="00D92FD5" w:rsidRPr="00AE4E8D" w:rsidRDefault="00D92FD5" w:rsidP="00D92FD5">
      <w:pPr>
        <w:pStyle w:val="BHTexto"/>
        <w:rPr>
          <w:b/>
          <w:lang w:val="es-ES"/>
        </w:rPr>
      </w:pPr>
      <w:r w:rsidRPr="00AE4E8D">
        <w:rPr>
          <w:b/>
          <w:lang w:val="es-ES"/>
        </w:rPr>
        <w:lastRenderedPageBreak/>
        <w:t>Movimientos de Bienes de Uso y Bienes Diversos Consolidados</w:t>
      </w:r>
      <w:r w:rsidRPr="00AE4E8D">
        <w:rPr>
          <w:rStyle w:val="Refdenotaalpie"/>
          <w:b/>
          <w:lang w:val="es-ES"/>
        </w:rPr>
        <w:footnoteReference w:id="13"/>
      </w:r>
    </w:p>
    <w:p w14:paraId="75DEF500" w14:textId="77777777" w:rsidR="00D92FD5" w:rsidRPr="00AE4E8D" w:rsidRDefault="00D92FD5" w:rsidP="00D92FD5">
      <w:pPr>
        <w:pStyle w:val="BHTexto"/>
        <w:rPr>
          <w:b/>
          <w:lang w:val="es-ES"/>
        </w:rPr>
      </w:pPr>
    </w:p>
    <w:tbl>
      <w:tblPr>
        <w:tblpPr w:leftFromText="180" w:rightFromText="180" w:vertAnchor="text" w:horzAnchor="page" w:tblpXSpec="center" w:tblpY="13"/>
        <w:tblW w:w="10744" w:type="dxa"/>
        <w:tblLook w:val="04A0" w:firstRow="1" w:lastRow="0" w:firstColumn="1" w:lastColumn="0" w:noHBand="0" w:noVBand="1"/>
      </w:tblPr>
      <w:tblGrid>
        <w:gridCol w:w="1544"/>
        <w:gridCol w:w="906"/>
        <w:gridCol w:w="1189"/>
        <w:gridCol w:w="1111"/>
        <w:gridCol w:w="898"/>
        <w:gridCol w:w="1142"/>
        <w:gridCol w:w="1025"/>
        <w:gridCol w:w="858"/>
        <w:gridCol w:w="1085"/>
        <w:gridCol w:w="1085"/>
      </w:tblGrid>
      <w:tr w:rsidR="003B5193" w:rsidRPr="00AE4E8D" w14:paraId="1B4BE268" w14:textId="77777777" w:rsidTr="00D92FD5">
        <w:trPr>
          <w:trHeight w:val="242"/>
        </w:trPr>
        <w:tc>
          <w:tcPr>
            <w:tcW w:w="1544" w:type="dxa"/>
            <w:vMerge w:val="restart"/>
            <w:tcBorders>
              <w:top w:val="nil"/>
              <w:left w:val="nil"/>
              <w:bottom w:val="single" w:sz="8" w:space="0" w:color="000000"/>
              <w:right w:val="nil"/>
            </w:tcBorders>
            <w:shd w:val="clear" w:color="auto" w:fill="auto"/>
            <w:vAlign w:val="center"/>
            <w:hideMark/>
          </w:tcPr>
          <w:p w14:paraId="0569F96A"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Concepto</w:t>
            </w:r>
          </w:p>
        </w:tc>
        <w:tc>
          <w:tcPr>
            <w:tcW w:w="906" w:type="dxa"/>
            <w:vMerge w:val="restart"/>
            <w:tcBorders>
              <w:top w:val="nil"/>
              <w:left w:val="nil"/>
              <w:bottom w:val="single" w:sz="8" w:space="0" w:color="000000"/>
              <w:right w:val="nil"/>
            </w:tcBorders>
            <w:shd w:val="clear" w:color="auto" w:fill="auto"/>
            <w:vAlign w:val="center"/>
            <w:hideMark/>
          </w:tcPr>
          <w:p w14:paraId="4D920716"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Valor residual al inicio del periodo</w:t>
            </w:r>
          </w:p>
        </w:tc>
        <w:tc>
          <w:tcPr>
            <w:tcW w:w="1155" w:type="dxa"/>
            <w:vMerge w:val="restart"/>
            <w:tcBorders>
              <w:top w:val="nil"/>
              <w:left w:val="nil"/>
              <w:bottom w:val="single" w:sz="8" w:space="0" w:color="000000"/>
              <w:right w:val="nil"/>
            </w:tcBorders>
            <w:shd w:val="clear" w:color="auto" w:fill="auto"/>
            <w:vAlign w:val="center"/>
            <w:hideMark/>
          </w:tcPr>
          <w:p w14:paraId="7626BDF1"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Incorporaciones</w:t>
            </w:r>
          </w:p>
        </w:tc>
        <w:tc>
          <w:tcPr>
            <w:tcW w:w="1079" w:type="dxa"/>
            <w:vMerge w:val="restart"/>
            <w:tcBorders>
              <w:top w:val="nil"/>
              <w:left w:val="nil"/>
              <w:bottom w:val="single" w:sz="8" w:space="0" w:color="000000"/>
              <w:right w:val="nil"/>
            </w:tcBorders>
            <w:shd w:val="clear" w:color="auto" w:fill="auto"/>
            <w:vAlign w:val="center"/>
            <w:hideMark/>
          </w:tcPr>
          <w:p w14:paraId="4751B66B"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Transferencias</w:t>
            </w:r>
          </w:p>
        </w:tc>
        <w:tc>
          <w:tcPr>
            <w:tcW w:w="898" w:type="dxa"/>
            <w:vMerge w:val="restart"/>
            <w:tcBorders>
              <w:top w:val="nil"/>
              <w:left w:val="nil"/>
              <w:bottom w:val="single" w:sz="8" w:space="0" w:color="000000"/>
              <w:right w:val="nil"/>
            </w:tcBorders>
            <w:shd w:val="clear" w:color="auto" w:fill="auto"/>
            <w:vAlign w:val="center"/>
            <w:hideMark/>
          </w:tcPr>
          <w:p w14:paraId="24D0080E"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Bajas</w:t>
            </w:r>
          </w:p>
        </w:tc>
        <w:tc>
          <w:tcPr>
            <w:tcW w:w="1109" w:type="dxa"/>
            <w:vMerge w:val="restart"/>
            <w:tcBorders>
              <w:top w:val="nil"/>
              <w:left w:val="nil"/>
              <w:bottom w:val="single" w:sz="8" w:space="0" w:color="000000"/>
              <w:right w:val="nil"/>
            </w:tcBorders>
            <w:shd w:val="clear" w:color="auto" w:fill="auto"/>
            <w:vAlign w:val="center"/>
            <w:hideMark/>
          </w:tcPr>
          <w:p w14:paraId="5BD1CB1D"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Pérdidas por desvalorización</w:t>
            </w:r>
          </w:p>
        </w:tc>
        <w:tc>
          <w:tcPr>
            <w:tcW w:w="1882" w:type="dxa"/>
            <w:gridSpan w:val="2"/>
            <w:tcBorders>
              <w:top w:val="nil"/>
              <w:left w:val="nil"/>
              <w:bottom w:val="nil"/>
              <w:right w:val="nil"/>
            </w:tcBorders>
            <w:shd w:val="clear" w:color="auto" w:fill="auto"/>
            <w:vAlign w:val="center"/>
            <w:hideMark/>
          </w:tcPr>
          <w:p w14:paraId="1A6A030F"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Depreciaciones del periodo</w:t>
            </w:r>
          </w:p>
        </w:tc>
        <w:tc>
          <w:tcPr>
            <w:tcW w:w="1085" w:type="dxa"/>
            <w:vMerge w:val="restart"/>
            <w:tcBorders>
              <w:top w:val="nil"/>
              <w:left w:val="nil"/>
              <w:bottom w:val="single" w:sz="8" w:space="0" w:color="000000"/>
              <w:right w:val="nil"/>
            </w:tcBorders>
            <w:shd w:val="clear" w:color="auto" w:fill="auto"/>
            <w:vAlign w:val="center"/>
            <w:hideMark/>
          </w:tcPr>
          <w:p w14:paraId="70042306"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Valor residual al cierre del periodo 30/06/2017</w:t>
            </w:r>
          </w:p>
        </w:tc>
        <w:tc>
          <w:tcPr>
            <w:tcW w:w="1085" w:type="dxa"/>
            <w:vMerge w:val="restart"/>
            <w:tcBorders>
              <w:top w:val="nil"/>
              <w:left w:val="nil"/>
              <w:bottom w:val="single" w:sz="8" w:space="0" w:color="000000"/>
              <w:right w:val="nil"/>
            </w:tcBorders>
            <w:shd w:val="clear" w:color="auto" w:fill="auto"/>
            <w:vAlign w:val="center"/>
            <w:hideMark/>
          </w:tcPr>
          <w:p w14:paraId="69C08F71"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Valor residual al cierre del periodo 30/06/2016</w:t>
            </w:r>
          </w:p>
        </w:tc>
      </w:tr>
      <w:tr w:rsidR="00D92FD5" w:rsidRPr="00AE4E8D" w14:paraId="46066C61" w14:textId="77777777" w:rsidTr="000400C8">
        <w:trPr>
          <w:trHeight w:val="363"/>
        </w:trPr>
        <w:tc>
          <w:tcPr>
            <w:tcW w:w="1544" w:type="dxa"/>
            <w:vMerge/>
            <w:tcBorders>
              <w:top w:val="nil"/>
              <w:left w:val="nil"/>
              <w:bottom w:val="single" w:sz="8" w:space="0" w:color="000000"/>
              <w:right w:val="nil"/>
            </w:tcBorders>
            <w:vAlign w:val="center"/>
            <w:hideMark/>
          </w:tcPr>
          <w:p w14:paraId="49396907" w14:textId="77777777" w:rsidR="00D92FD5" w:rsidRPr="00AE4E8D" w:rsidRDefault="00D92FD5" w:rsidP="009E7DDD">
            <w:pPr>
              <w:rPr>
                <w:rFonts w:ascii="Times New Roman" w:hAnsi="Times New Roman"/>
                <w:b/>
                <w:bCs/>
                <w:color w:val="000000"/>
                <w:sz w:val="14"/>
                <w:szCs w:val="14"/>
                <w:lang w:val="es-ES"/>
              </w:rPr>
            </w:pPr>
          </w:p>
        </w:tc>
        <w:tc>
          <w:tcPr>
            <w:tcW w:w="906" w:type="dxa"/>
            <w:vMerge/>
            <w:tcBorders>
              <w:top w:val="nil"/>
              <w:left w:val="nil"/>
              <w:bottom w:val="single" w:sz="8" w:space="0" w:color="000000"/>
              <w:right w:val="nil"/>
            </w:tcBorders>
            <w:vAlign w:val="center"/>
            <w:hideMark/>
          </w:tcPr>
          <w:p w14:paraId="3A7F02B1" w14:textId="77777777" w:rsidR="00D92FD5" w:rsidRPr="00AE4E8D" w:rsidRDefault="00D92FD5" w:rsidP="009E7DDD">
            <w:pPr>
              <w:rPr>
                <w:rFonts w:ascii="Times New Roman" w:hAnsi="Times New Roman"/>
                <w:b/>
                <w:bCs/>
                <w:color w:val="000000"/>
                <w:sz w:val="14"/>
                <w:szCs w:val="14"/>
                <w:lang w:val="es-ES"/>
              </w:rPr>
            </w:pPr>
          </w:p>
        </w:tc>
        <w:tc>
          <w:tcPr>
            <w:tcW w:w="1155" w:type="dxa"/>
            <w:vMerge/>
            <w:tcBorders>
              <w:top w:val="nil"/>
              <w:left w:val="nil"/>
              <w:bottom w:val="single" w:sz="8" w:space="0" w:color="000000"/>
              <w:right w:val="nil"/>
            </w:tcBorders>
            <w:vAlign w:val="center"/>
            <w:hideMark/>
          </w:tcPr>
          <w:p w14:paraId="35970F47" w14:textId="77777777" w:rsidR="00D92FD5" w:rsidRPr="00AE4E8D" w:rsidRDefault="00D92FD5" w:rsidP="009E7DDD">
            <w:pPr>
              <w:rPr>
                <w:rFonts w:ascii="Times New Roman" w:hAnsi="Times New Roman"/>
                <w:b/>
                <w:bCs/>
                <w:color w:val="000000"/>
                <w:sz w:val="14"/>
                <w:szCs w:val="14"/>
                <w:lang w:val="es-ES"/>
              </w:rPr>
            </w:pPr>
          </w:p>
        </w:tc>
        <w:tc>
          <w:tcPr>
            <w:tcW w:w="1079" w:type="dxa"/>
            <w:vMerge/>
            <w:tcBorders>
              <w:top w:val="nil"/>
              <w:left w:val="nil"/>
              <w:bottom w:val="single" w:sz="8" w:space="0" w:color="000000"/>
              <w:right w:val="nil"/>
            </w:tcBorders>
            <w:vAlign w:val="center"/>
            <w:hideMark/>
          </w:tcPr>
          <w:p w14:paraId="7F31DB80" w14:textId="77777777" w:rsidR="00D92FD5" w:rsidRPr="00AE4E8D" w:rsidRDefault="00D92FD5" w:rsidP="009E7DDD">
            <w:pPr>
              <w:rPr>
                <w:rFonts w:ascii="Times New Roman" w:hAnsi="Times New Roman"/>
                <w:b/>
                <w:bCs/>
                <w:color w:val="000000"/>
                <w:sz w:val="14"/>
                <w:szCs w:val="14"/>
                <w:lang w:val="es-ES"/>
              </w:rPr>
            </w:pPr>
          </w:p>
        </w:tc>
        <w:tc>
          <w:tcPr>
            <w:tcW w:w="898" w:type="dxa"/>
            <w:vMerge/>
            <w:tcBorders>
              <w:top w:val="nil"/>
              <w:left w:val="nil"/>
              <w:bottom w:val="single" w:sz="8" w:space="0" w:color="000000"/>
              <w:right w:val="nil"/>
            </w:tcBorders>
            <w:vAlign w:val="center"/>
            <w:hideMark/>
          </w:tcPr>
          <w:p w14:paraId="36BEACFF" w14:textId="77777777" w:rsidR="00D92FD5" w:rsidRPr="00AE4E8D" w:rsidRDefault="00D92FD5" w:rsidP="009E7DDD">
            <w:pPr>
              <w:rPr>
                <w:rFonts w:ascii="Times New Roman" w:hAnsi="Times New Roman"/>
                <w:b/>
                <w:bCs/>
                <w:color w:val="000000"/>
                <w:sz w:val="14"/>
                <w:szCs w:val="14"/>
                <w:lang w:val="es-ES"/>
              </w:rPr>
            </w:pPr>
          </w:p>
        </w:tc>
        <w:tc>
          <w:tcPr>
            <w:tcW w:w="1109" w:type="dxa"/>
            <w:vMerge/>
            <w:tcBorders>
              <w:top w:val="nil"/>
              <w:left w:val="nil"/>
              <w:bottom w:val="single" w:sz="8" w:space="0" w:color="000000"/>
              <w:right w:val="nil"/>
            </w:tcBorders>
            <w:vAlign w:val="center"/>
            <w:hideMark/>
          </w:tcPr>
          <w:p w14:paraId="4BFF70E7" w14:textId="77777777" w:rsidR="00D92FD5" w:rsidRPr="00AE4E8D" w:rsidRDefault="00D92FD5" w:rsidP="009E7DDD">
            <w:pPr>
              <w:rPr>
                <w:rFonts w:ascii="Times New Roman" w:hAnsi="Times New Roman"/>
                <w:b/>
                <w:bCs/>
                <w:color w:val="000000"/>
                <w:sz w:val="14"/>
                <w:szCs w:val="14"/>
                <w:lang w:val="es-ES"/>
              </w:rPr>
            </w:pPr>
          </w:p>
        </w:tc>
        <w:tc>
          <w:tcPr>
            <w:tcW w:w="1025" w:type="dxa"/>
            <w:tcBorders>
              <w:top w:val="nil"/>
              <w:left w:val="nil"/>
              <w:bottom w:val="single" w:sz="8" w:space="0" w:color="auto"/>
              <w:right w:val="nil"/>
            </w:tcBorders>
            <w:shd w:val="clear" w:color="auto" w:fill="auto"/>
            <w:vAlign w:val="center"/>
            <w:hideMark/>
          </w:tcPr>
          <w:p w14:paraId="219B2596"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Años de vida útil asignados</w:t>
            </w:r>
          </w:p>
        </w:tc>
        <w:tc>
          <w:tcPr>
            <w:tcW w:w="858" w:type="dxa"/>
            <w:tcBorders>
              <w:top w:val="nil"/>
              <w:left w:val="nil"/>
              <w:bottom w:val="single" w:sz="8" w:space="0" w:color="auto"/>
              <w:right w:val="nil"/>
            </w:tcBorders>
            <w:shd w:val="clear" w:color="auto" w:fill="auto"/>
            <w:vAlign w:val="center"/>
            <w:hideMark/>
          </w:tcPr>
          <w:p w14:paraId="57FDB2E6" w14:textId="77777777" w:rsidR="00D92FD5" w:rsidRPr="00AE4E8D" w:rsidRDefault="00D92FD5" w:rsidP="009E7DDD">
            <w:pPr>
              <w:jc w:val="cente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Importe</w:t>
            </w:r>
          </w:p>
        </w:tc>
        <w:tc>
          <w:tcPr>
            <w:tcW w:w="1085" w:type="dxa"/>
            <w:vMerge/>
            <w:tcBorders>
              <w:top w:val="nil"/>
              <w:left w:val="nil"/>
              <w:bottom w:val="single" w:sz="8" w:space="0" w:color="000000"/>
              <w:right w:val="nil"/>
            </w:tcBorders>
            <w:vAlign w:val="center"/>
            <w:hideMark/>
          </w:tcPr>
          <w:p w14:paraId="3AC4FF5E" w14:textId="77777777" w:rsidR="00D92FD5" w:rsidRPr="00AE4E8D" w:rsidRDefault="00D92FD5" w:rsidP="009E7DDD">
            <w:pPr>
              <w:rPr>
                <w:rFonts w:ascii="Times New Roman" w:hAnsi="Times New Roman"/>
                <w:b/>
                <w:bCs/>
                <w:color w:val="000000"/>
                <w:sz w:val="14"/>
                <w:szCs w:val="14"/>
                <w:lang w:val="es-ES"/>
              </w:rPr>
            </w:pPr>
          </w:p>
        </w:tc>
        <w:tc>
          <w:tcPr>
            <w:tcW w:w="1085" w:type="dxa"/>
            <w:vMerge/>
            <w:tcBorders>
              <w:top w:val="nil"/>
              <w:left w:val="nil"/>
              <w:bottom w:val="single" w:sz="8" w:space="0" w:color="000000"/>
              <w:right w:val="nil"/>
            </w:tcBorders>
            <w:vAlign w:val="center"/>
            <w:hideMark/>
          </w:tcPr>
          <w:p w14:paraId="32857C83" w14:textId="77777777" w:rsidR="00D92FD5" w:rsidRPr="00AE4E8D" w:rsidRDefault="00D92FD5" w:rsidP="009E7DDD">
            <w:pPr>
              <w:rPr>
                <w:rFonts w:ascii="Times New Roman" w:hAnsi="Times New Roman"/>
                <w:b/>
                <w:bCs/>
                <w:color w:val="000000"/>
                <w:sz w:val="14"/>
                <w:szCs w:val="14"/>
                <w:lang w:val="es-ES"/>
              </w:rPr>
            </w:pPr>
          </w:p>
        </w:tc>
      </w:tr>
      <w:tr w:rsidR="00D92FD5" w:rsidRPr="00AE4E8D" w14:paraId="32364506" w14:textId="77777777" w:rsidTr="000400C8">
        <w:trPr>
          <w:trHeight w:val="192"/>
        </w:trPr>
        <w:tc>
          <w:tcPr>
            <w:tcW w:w="1544" w:type="dxa"/>
            <w:tcBorders>
              <w:top w:val="nil"/>
              <w:left w:val="nil"/>
              <w:bottom w:val="nil"/>
              <w:right w:val="nil"/>
            </w:tcBorders>
            <w:shd w:val="clear" w:color="auto" w:fill="auto"/>
            <w:noWrap/>
            <w:vAlign w:val="center"/>
            <w:hideMark/>
          </w:tcPr>
          <w:p w14:paraId="7F78A751" w14:textId="77777777" w:rsidR="00D92FD5" w:rsidRPr="00AE4E8D" w:rsidRDefault="00D92FD5" w:rsidP="009E7DDD">
            <w:pP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BIENES DE USO</w:t>
            </w:r>
          </w:p>
        </w:tc>
        <w:tc>
          <w:tcPr>
            <w:tcW w:w="906" w:type="dxa"/>
            <w:tcBorders>
              <w:top w:val="nil"/>
              <w:left w:val="nil"/>
              <w:bottom w:val="nil"/>
              <w:right w:val="nil"/>
            </w:tcBorders>
            <w:shd w:val="clear" w:color="auto" w:fill="auto"/>
            <w:noWrap/>
            <w:vAlign w:val="bottom"/>
            <w:hideMark/>
          </w:tcPr>
          <w:p w14:paraId="52B7C5B6" w14:textId="77777777" w:rsidR="00D92FD5" w:rsidRPr="00AE4E8D" w:rsidRDefault="00D92FD5" w:rsidP="009E7DDD">
            <w:pPr>
              <w:rPr>
                <w:rFonts w:ascii="Times New Roman" w:hAnsi="Times New Roman"/>
                <w:color w:val="000000"/>
                <w:lang w:val="es-ES"/>
              </w:rPr>
            </w:pPr>
          </w:p>
        </w:tc>
        <w:tc>
          <w:tcPr>
            <w:tcW w:w="1155" w:type="dxa"/>
            <w:tcBorders>
              <w:top w:val="nil"/>
              <w:left w:val="nil"/>
              <w:bottom w:val="nil"/>
              <w:right w:val="nil"/>
            </w:tcBorders>
            <w:shd w:val="clear" w:color="auto" w:fill="auto"/>
            <w:noWrap/>
            <w:vAlign w:val="bottom"/>
            <w:hideMark/>
          </w:tcPr>
          <w:p w14:paraId="6F28B78C" w14:textId="77777777" w:rsidR="00D92FD5" w:rsidRPr="00AE4E8D" w:rsidRDefault="00D92FD5" w:rsidP="009E7DDD">
            <w:pPr>
              <w:rPr>
                <w:rFonts w:ascii="Times New Roman" w:hAnsi="Times New Roman"/>
                <w:color w:val="000000"/>
                <w:lang w:val="es-ES"/>
              </w:rPr>
            </w:pPr>
          </w:p>
        </w:tc>
        <w:tc>
          <w:tcPr>
            <w:tcW w:w="1079" w:type="dxa"/>
            <w:tcBorders>
              <w:top w:val="nil"/>
              <w:left w:val="nil"/>
              <w:bottom w:val="nil"/>
              <w:right w:val="nil"/>
            </w:tcBorders>
            <w:shd w:val="clear" w:color="auto" w:fill="auto"/>
            <w:noWrap/>
            <w:vAlign w:val="bottom"/>
            <w:hideMark/>
          </w:tcPr>
          <w:p w14:paraId="08166D4C" w14:textId="77777777" w:rsidR="00D92FD5" w:rsidRPr="00AE4E8D" w:rsidRDefault="00D92FD5" w:rsidP="009E7DDD">
            <w:pPr>
              <w:rPr>
                <w:rFonts w:ascii="Times New Roman" w:hAnsi="Times New Roman"/>
                <w:color w:val="000000"/>
                <w:lang w:val="es-ES"/>
              </w:rPr>
            </w:pPr>
          </w:p>
        </w:tc>
        <w:tc>
          <w:tcPr>
            <w:tcW w:w="898" w:type="dxa"/>
            <w:tcBorders>
              <w:top w:val="nil"/>
              <w:left w:val="nil"/>
              <w:bottom w:val="nil"/>
              <w:right w:val="nil"/>
            </w:tcBorders>
            <w:shd w:val="clear" w:color="auto" w:fill="auto"/>
            <w:noWrap/>
            <w:vAlign w:val="bottom"/>
            <w:hideMark/>
          </w:tcPr>
          <w:p w14:paraId="5F6BC4C4" w14:textId="77777777" w:rsidR="00D92FD5" w:rsidRPr="00AE4E8D" w:rsidRDefault="00D92FD5" w:rsidP="009E7DDD">
            <w:pPr>
              <w:rPr>
                <w:rFonts w:ascii="Times New Roman" w:hAnsi="Times New Roman"/>
                <w:color w:val="000000"/>
                <w:lang w:val="es-ES"/>
              </w:rPr>
            </w:pPr>
          </w:p>
        </w:tc>
        <w:tc>
          <w:tcPr>
            <w:tcW w:w="1109" w:type="dxa"/>
            <w:tcBorders>
              <w:top w:val="nil"/>
              <w:left w:val="nil"/>
              <w:bottom w:val="nil"/>
              <w:right w:val="nil"/>
            </w:tcBorders>
            <w:shd w:val="clear" w:color="auto" w:fill="auto"/>
            <w:noWrap/>
            <w:vAlign w:val="bottom"/>
            <w:hideMark/>
          </w:tcPr>
          <w:p w14:paraId="446869F8" w14:textId="77777777" w:rsidR="00D92FD5" w:rsidRPr="00AE4E8D" w:rsidRDefault="00D92FD5" w:rsidP="009E7DDD">
            <w:pPr>
              <w:rPr>
                <w:rFonts w:ascii="Times New Roman" w:hAnsi="Times New Roman"/>
                <w:color w:val="000000"/>
                <w:lang w:val="es-ES"/>
              </w:rPr>
            </w:pPr>
          </w:p>
        </w:tc>
        <w:tc>
          <w:tcPr>
            <w:tcW w:w="1025" w:type="dxa"/>
            <w:tcBorders>
              <w:top w:val="nil"/>
              <w:left w:val="nil"/>
              <w:bottom w:val="nil"/>
              <w:right w:val="nil"/>
            </w:tcBorders>
            <w:shd w:val="clear" w:color="auto" w:fill="auto"/>
            <w:noWrap/>
            <w:vAlign w:val="bottom"/>
            <w:hideMark/>
          </w:tcPr>
          <w:p w14:paraId="74B635F8" w14:textId="77777777" w:rsidR="00D92FD5" w:rsidRPr="00AE4E8D" w:rsidRDefault="00D92FD5" w:rsidP="009E7DDD">
            <w:pPr>
              <w:rPr>
                <w:rFonts w:ascii="Times New Roman" w:hAnsi="Times New Roman"/>
                <w:color w:val="000000"/>
                <w:lang w:val="es-ES"/>
              </w:rPr>
            </w:pPr>
          </w:p>
        </w:tc>
        <w:tc>
          <w:tcPr>
            <w:tcW w:w="858" w:type="dxa"/>
            <w:tcBorders>
              <w:top w:val="nil"/>
              <w:left w:val="nil"/>
              <w:bottom w:val="nil"/>
              <w:right w:val="nil"/>
            </w:tcBorders>
            <w:shd w:val="clear" w:color="auto" w:fill="auto"/>
            <w:noWrap/>
            <w:vAlign w:val="bottom"/>
            <w:hideMark/>
          </w:tcPr>
          <w:p w14:paraId="0D4153FF" w14:textId="77777777" w:rsidR="00D92FD5" w:rsidRPr="00AE4E8D" w:rsidRDefault="00D92FD5" w:rsidP="009E7DDD">
            <w:pPr>
              <w:rPr>
                <w:rFonts w:ascii="Times New Roman" w:hAnsi="Times New Roman"/>
                <w:color w:val="000000"/>
                <w:lang w:val="es-ES"/>
              </w:rPr>
            </w:pPr>
          </w:p>
        </w:tc>
        <w:tc>
          <w:tcPr>
            <w:tcW w:w="1085" w:type="dxa"/>
            <w:tcBorders>
              <w:top w:val="nil"/>
              <w:left w:val="nil"/>
              <w:bottom w:val="nil"/>
              <w:right w:val="nil"/>
            </w:tcBorders>
            <w:shd w:val="clear" w:color="auto" w:fill="auto"/>
            <w:noWrap/>
            <w:vAlign w:val="bottom"/>
            <w:hideMark/>
          </w:tcPr>
          <w:p w14:paraId="1E401C81" w14:textId="77777777" w:rsidR="00D92FD5" w:rsidRPr="00AE4E8D" w:rsidRDefault="00D92FD5" w:rsidP="009E7DDD">
            <w:pPr>
              <w:rPr>
                <w:rFonts w:ascii="Times New Roman" w:hAnsi="Times New Roman"/>
                <w:color w:val="000000"/>
                <w:lang w:val="es-ES"/>
              </w:rPr>
            </w:pPr>
          </w:p>
        </w:tc>
        <w:tc>
          <w:tcPr>
            <w:tcW w:w="1085" w:type="dxa"/>
            <w:tcBorders>
              <w:top w:val="nil"/>
              <w:left w:val="nil"/>
              <w:bottom w:val="nil"/>
              <w:right w:val="nil"/>
            </w:tcBorders>
            <w:shd w:val="clear" w:color="auto" w:fill="auto"/>
            <w:noWrap/>
            <w:vAlign w:val="bottom"/>
            <w:hideMark/>
          </w:tcPr>
          <w:p w14:paraId="1C92438D" w14:textId="77777777" w:rsidR="00D92FD5" w:rsidRPr="00AE4E8D" w:rsidRDefault="00D92FD5" w:rsidP="009E7DDD">
            <w:pPr>
              <w:rPr>
                <w:rFonts w:ascii="Times New Roman" w:hAnsi="Times New Roman"/>
                <w:color w:val="000000"/>
                <w:lang w:val="es-ES"/>
              </w:rPr>
            </w:pPr>
          </w:p>
        </w:tc>
      </w:tr>
      <w:tr w:rsidR="00D92FD5" w:rsidRPr="00AE4E8D" w14:paraId="4AF1744E" w14:textId="77777777" w:rsidTr="000400C8">
        <w:trPr>
          <w:trHeight w:val="192"/>
        </w:trPr>
        <w:tc>
          <w:tcPr>
            <w:tcW w:w="1544" w:type="dxa"/>
            <w:tcBorders>
              <w:top w:val="nil"/>
              <w:left w:val="nil"/>
              <w:bottom w:val="nil"/>
              <w:right w:val="nil"/>
            </w:tcBorders>
            <w:shd w:val="clear" w:color="auto" w:fill="auto"/>
            <w:noWrap/>
            <w:vAlign w:val="center"/>
            <w:hideMark/>
          </w:tcPr>
          <w:p w14:paraId="6702D7FC"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Inmuebles</w:t>
            </w:r>
          </w:p>
        </w:tc>
        <w:tc>
          <w:tcPr>
            <w:tcW w:w="906" w:type="dxa"/>
            <w:tcBorders>
              <w:top w:val="nil"/>
              <w:left w:val="nil"/>
              <w:bottom w:val="nil"/>
              <w:right w:val="nil"/>
            </w:tcBorders>
            <w:shd w:val="clear" w:color="auto" w:fill="auto"/>
            <w:noWrap/>
            <w:vAlign w:val="center"/>
          </w:tcPr>
          <w:p w14:paraId="7324D27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146.810</w:t>
            </w:r>
          </w:p>
        </w:tc>
        <w:tc>
          <w:tcPr>
            <w:tcW w:w="1155" w:type="dxa"/>
            <w:tcBorders>
              <w:top w:val="nil"/>
              <w:left w:val="nil"/>
              <w:bottom w:val="nil"/>
              <w:right w:val="nil"/>
            </w:tcBorders>
            <w:shd w:val="clear" w:color="auto" w:fill="auto"/>
            <w:noWrap/>
            <w:vAlign w:val="center"/>
          </w:tcPr>
          <w:p w14:paraId="66AAD2A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51</w:t>
            </w:r>
          </w:p>
        </w:tc>
        <w:tc>
          <w:tcPr>
            <w:tcW w:w="1079" w:type="dxa"/>
            <w:tcBorders>
              <w:top w:val="nil"/>
              <w:left w:val="nil"/>
              <w:bottom w:val="nil"/>
              <w:right w:val="nil"/>
            </w:tcBorders>
            <w:shd w:val="clear" w:color="auto" w:fill="auto"/>
            <w:noWrap/>
            <w:vAlign w:val="center"/>
          </w:tcPr>
          <w:p w14:paraId="425F5BB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45.650</w:t>
            </w:r>
          </w:p>
        </w:tc>
        <w:tc>
          <w:tcPr>
            <w:tcW w:w="898" w:type="dxa"/>
            <w:tcBorders>
              <w:top w:val="nil"/>
              <w:left w:val="nil"/>
              <w:bottom w:val="nil"/>
              <w:right w:val="nil"/>
            </w:tcBorders>
            <w:shd w:val="clear" w:color="auto" w:fill="auto"/>
            <w:noWrap/>
            <w:vAlign w:val="center"/>
            <w:hideMark/>
          </w:tcPr>
          <w:p w14:paraId="5F4DF3D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4C9044B7" w14:textId="77777777" w:rsidR="00D92FD5" w:rsidRPr="00AE4E8D" w:rsidRDefault="00FA317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p>
        </w:tc>
        <w:tc>
          <w:tcPr>
            <w:tcW w:w="1025" w:type="dxa"/>
            <w:tcBorders>
              <w:top w:val="nil"/>
              <w:left w:val="nil"/>
              <w:bottom w:val="nil"/>
              <w:right w:val="nil"/>
            </w:tcBorders>
            <w:shd w:val="clear" w:color="auto" w:fill="auto"/>
            <w:noWrap/>
            <w:vAlign w:val="center"/>
            <w:hideMark/>
          </w:tcPr>
          <w:p w14:paraId="55A8F08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858" w:type="dxa"/>
            <w:tcBorders>
              <w:top w:val="nil"/>
              <w:left w:val="nil"/>
              <w:bottom w:val="nil"/>
              <w:right w:val="nil"/>
            </w:tcBorders>
            <w:shd w:val="clear" w:color="auto" w:fill="auto"/>
            <w:noWrap/>
            <w:vAlign w:val="center"/>
            <w:hideMark/>
          </w:tcPr>
          <w:p w14:paraId="4D1F5E6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1.680</w:t>
            </w:r>
          </w:p>
        </w:tc>
        <w:tc>
          <w:tcPr>
            <w:tcW w:w="1085" w:type="dxa"/>
            <w:tcBorders>
              <w:top w:val="nil"/>
              <w:left w:val="nil"/>
              <w:bottom w:val="nil"/>
              <w:right w:val="nil"/>
            </w:tcBorders>
            <w:shd w:val="clear" w:color="auto" w:fill="auto"/>
            <w:noWrap/>
            <w:vAlign w:val="center"/>
            <w:hideMark/>
          </w:tcPr>
          <w:p w14:paraId="4775719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190.831</w:t>
            </w:r>
          </w:p>
        </w:tc>
        <w:tc>
          <w:tcPr>
            <w:tcW w:w="1085" w:type="dxa"/>
            <w:tcBorders>
              <w:top w:val="nil"/>
              <w:left w:val="nil"/>
              <w:bottom w:val="nil"/>
              <w:right w:val="nil"/>
            </w:tcBorders>
            <w:shd w:val="clear" w:color="auto" w:fill="auto"/>
            <w:noWrap/>
            <w:vAlign w:val="center"/>
            <w:hideMark/>
          </w:tcPr>
          <w:p w14:paraId="7F9324A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143.128</w:t>
            </w:r>
          </w:p>
        </w:tc>
      </w:tr>
      <w:tr w:rsidR="00D92FD5" w:rsidRPr="00AE4E8D" w14:paraId="4BD6724B" w14:textId="77777777" w:rsidTr="000400C8">
        <w:trPr>
          <w:trHeight w:val="192"/>
        </w:trPr>
        <w:tc>
          <w:tcPr>
            <w:tcW w:w="1544" w:type="dxa"/>
            <w:tcBorders>
              <w:top w:val="nil"/>
              <w:left w:val="nil"/>
              <w:bottom w:val="nil"/>
              <w:right w:val="nil"/>
            </w:tcBorders>
            <w:shd w:val="clear" w:color="auto" w:fill="auto"/>
            <w:noWrap/>
            <w:vAlign w:val="center"/>
            <w:hideMark/>
          </w:tcPr>
          <w:p w14:paraId="2C07AE2D"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Mobiliario e Instalaciones</w:t>
            </w:r>
          </w:p>
        </w:tc>
        <w:tc>
          <w:tcPr>
            <w:tcW w:w="906" w:type="dxa"/>
            <w:tcBorders>
              <w:top w:val="nil"/>
              <w:left w:val="nil"/>
              <w:bottom w:val="nil"/>
              <w:right w:val="nil"/>
            </w:tcBorders>
            <w:shd w:val="clear" w:color="auto" w:fill="auto"/>
            <w:noWrap/>
            <w:vAlign w:val="center"/>
          </w:tcPr>
          <w:p w14:paraId="3DB1C60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61.021</w:t>
            </w:r>
          </w:p>
        </w:tc>
        <w:tc>
          <w:tcPr>
            <w:tcW w:w="1155" w:type="dxa"/>
            <w:tcBorders>
              <w:top w:val="nil"/>
              <w:left w:val="nil"/>
              <w:bottom w:val="nil"/>
              <w:right w:val="nil"/>
            </w:tcBorders>
            <w:shd w:val="clear" w:color="auto" w:fill="auto"/>
            <w:noWrap/>
            <w:vAlign w:val="center"/>
          </w:tcPr>
          <w:p w14:paraId="6806873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11.102</w:t>
            </w:r>
          </w:p>
        </w:tc>
        <w:tc>
          <w:tcPr>
            <w:tcW w:w="1079" w:type="dxa"/>
            <w:tcBorders>
              <w:top w:val="nil"/>
              <w:left w:val="nil"/>
              <w:bottom w:val="nil"/>
              <w:right w:val="nil"/>
            </w:tcBorders>
            <w:shd w:val="clear" w:color="auto" w:fill="auto"/>
            <w:noWrap/>
            <w:vAlign w:val="center"/>
          </w:tcPr>
          <w:p w14:paraId="5D7DCA7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622</w:t>
            </w:r>
          </w:p>
        </w:tc>
        <w:tc>
          <w:tcPr>
            <w:tcW w:w="898" w:type="dxa"/>
            <w:tcBorders>
              <w:top w:val="nil"/>
              <w:left w:val="nil"/>
              <w:bottom w:val="nil"/>
              <w:right w:val="nil"/>
            </w:tcBorders>
            <w:shd w:val="clear" w:color="auto" w:fill="auto"/>
            <w:noWrap/>
            <w:vAlign w:val="center"/>
            <w:hideMark/>
          </w:tcPr>
          <w:p w14:paraId="3DCD9C7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(112)</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13F740A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25" w:type="dxa"/>
            <w:tcBorders>
              <w:top w:val="nil"/>
              <w:left w:val="nil"/>
              <w:bottom w:val="nil"/>
              <w:right w:val="nil"/>
            </w:tcBorders>
            <w:shd w:val="clear" w:color="auto" w:fill="auto"/>
            <w:noWrap/>
            <w:vAlign w:val="center"/>
            <w:hideMark/>
          </w:tcPr>
          <w:p w14:paraId="0F789AA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10 </w:t>
            </w:r>
          </w:p>
        </w:tc>
        <w:tc>
          <w:tcPr>
            <w:tcW w:w="858" w:type="dxa"/>
            <w:tcBorders>
              <w:top w:val="nil"/>
              <w:left w:val="nil"/>
              <w:bottom w:val="nil"/>
              <w:right w:val="nil"/>
            </w:tcBorders>
            <w:shd w:val="clear" w:color="auto" w:fill="auto"/>
            <w:noWrap/>
            <w:vAlign w:val="center"/>
            <w:hideMark/>
          </w:tcPr>
          <w:p w14:paraId="20D15A1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4.854</w:t>
            </w:r>
          </w:p>
        </w:tc>
        <w:tc>
          <w:tcPr>
            <w:tcW w:w="1085" w:type="dxa"/>
            <w:tcBorders>
              <w:top w:val="nil"/>
              <w:left w:val="nil"/>
              <w:bottom w:val="nil"/>
              <w:right w:val="nil"/>
            </w:tcBorders>
            <w:shd w:val="clear" w:color="auto" w:fill="auto"/>
            <w:noWrap/>
            <w:vAlign w:val="center"/>
            <w:hideMark/>
          </w:tcPr>
          <w:p w14:paraId="1A7A46B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67.779</w:t>
            </w:r>
          </w:p>
        </w:tc>
        <w:tc>
          <w:tcPr>
            <w:tcW w:w="1085" w:type="dxa"/>
            <w:tcBorders>
              <w:top w:val="nil"/>
              <w:left w:val="nil"/>
              <w:bottom w:val="nil"/>
              <w:right w:val="nil"/>
            </w:tcBorders>
            <w:shd w:val="clear" w:color="auto" w:fill="auto"/>
            <w:noWrap/>
            <w:vAlign w:val="center"/>
            <w:hideMark/>
          </w:tcPr>
          <w:p w14:paraId="5FF818A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38.918</w:t>
            </w:r>
          </w:p>
        </w:tc>
      </w:tr>
      <w:tr w:rsidR="00D92FD5" w:rsidRPr="00AE4E8D" w14:paraId="19C6C054" w14:textId="77777777" w:rsidTr="000400C8">
        <w:trPr>
          <w:trHeight w:val="192"/>
        </w:trPr>
        <w:tc>
          <w:tcPr>
            <w:tcW w:w="1544" w:type="dxa"/>
            <w:tcBorders>
              <w:top w:val="nil"/>
              <w:left w:val="nil"/>
              <w:bottom w:val="nil"/>
              <w:right w:val="nil"/>
            </w:tcBorders>
            <w:shd w:val="clear" w:color="auto" w:fill="auto"/>
            <w:noWrap/>
            <w:vAlign w:val="center"/>
            <w:hideMark/>
          </w:tcPr>
          <w:p w14:paraId="7CEB86DA"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r w:rsidR="00F80D63" w:rsidRPr="00AE4E8D">
              <w:rPr>
                <w:rFonts w:ascii="Times New Roman" w:hAnsi="Times New Roman"/>
                <w:color w:val="000000"/>
                <w:sz w:val="14"/>
                <w:szCs w:val="14"/>
                <w:lang w:val="es-ES"/>
              </w:rPr>
              <w:t>Máquinas</w:t>
            </w:r>
            <w:r w:rsidRPr="00AE4E8D">
              <w:rPr>
                <w:rFonts w:ascii="Times New Roman" w:hAnsi="Times New Roman"/>
                <w:color w:val="000000"/>
                <w:sz w:val="14"/>
                <w:szCs w:val="14"/>
                <w:lang w:val="es-ES"/>
              </w:rPr>
              <w:t xml:space="preserve"> y equipos</w:t>
            </w:r>
          </w:p>
        </w:tc>
        <w:tc>
          <w:tcPr>
            <w:tcW w:w="906" w:type="dxa"/>
            <w:tcBorders>
              <w:top w:val="nil"/>
              <w:left w:val="nil"/>
              <w:bottom w:val="nil"/>
              <w:right w:val="nil"/>
            </w:tcBorders>
            <w:shd w:val="clear" w:color="auto" w:fill="auto"/>
            <w:noWrap/>
            <w:vAlign w:val="center"/>
          </w:tcPr>
          <w:p w14:paraId="72A150B4" w14:textId="77777777" w:rsidR="00D92FD5" w:rsidRPr="00AE4E8D" w:rsidRDefault="00D92FD5" w:rsidP="00DE5F84">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94.</w:t>
            </w:r>
            <w:r w:rsidR="001D2B60" w:rsidRPr="00AE4E8D">
              <w:rPr>
                <w:rFonts w:ascii="Times New Roman" w:hAnsi="Times New Roman"/>
                <w:color w:val="000000"/>
                <w:sz w:val="14"/>
                <w:szCs w:val="14"/>
                <w:lang w:val="es-ES"/>
              </w:rPr>
              <w:t>212</w:t>
            </w:r>
          </w:p>
        </w:tc>
        <w:tc>
          <w:tcPr>
            <w:tcW w:w="1155" w:type="dxa"/>
            <w:tcBorders>
              <w:top w:val="nil"/>
              <w:left w:val="nil"/>
              <w:bottom w:val="nil"/>
              <w:right w:val="nil"/>
            </w:tcBorders>
            <w:shd w:val="clear" w:color="auto" w:fill="auto"/>
            <w:noWrap/>
            <w:vAlign w:val="center"/>
          </w:tcPr>
          <w:p w14:paraId="31A1FECE"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2.533</w:t>
            </w:r>
          </w:p>
        </w:tc>
        <w:tc>
          <w:tcPr>
            <w:tcW w:w="1079" w:type="dxa"/>
            <w:tcBorders>
              <w:top w:val="nil"/>
              <w:left w:val="nil"/>
              <w:bottom w:val="nil"/>
              <w:right w:val="nil"/>
            </w:tcBorders>
            <w:shd w:val="clear" w:color="auto" w:fill="auto"/>
            <w:noWrap/>
            <w:vAlign w:val="center"/>
          </w:tcPr>
          <w:p w14:paraId="2EB8F09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898" w:type="dxa"/>
            <w:tcBorders>
              <w:top w:val="nil"/>
              <w:left w:val="nil"/>
              <w:bottom w:val="nil"/>
              <w:right w:val="nil"/>
            </w:tcBorders>
            <w:shd w:val="clear" w:color="auto" w:fill="auto"/>
            <w:noWrap/>
            <w:vAlign w:val="center"/>
            <w:hideMark/>
          </w:tcPr>
          <w:p w14:paraId="07F29CD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(114)</w:t>
            </w:r>
          </w:p>
        </w:tc>
        <w:tc>
          <w:tcPr>
            <w:tcW w:w="1109" w:type="dxa"/>
            <w:tcBorders>
              <w:top w:val="nil"/>
              <w:left w:val="nil"/>
              <w:bottom w:val="nil"/>
              <w:right w:val="nil"/>
            </w:tcBorders>
            <w:shd w:val="clear" w:color="auto" w:fill="auto"/>
            <w:noWrap/>
            <w:vAlign w:val="center"/>
            <w:hideMark/>
          </w:tcPr>
          <w:p w14:paraId="0177784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25" w:type="dxa"/>
            <w:tcBorders>
              <w:top w:val="nil"/>
              <w:left w:val="nil"/>
              <w:bottom w:val="nil"/>
              <w:right w:val="nil"/>
            </w:tcBorders>
            <w:shd w:val="clear" w:color="auto" w:fill="auto"/>
            <w:noWrap/>
            <w:vAlign w:val="center"/>
            <w:hideMark/>
          </w:tcPr>
          <w:p w14:paraId="5F4D76D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 </w:t>
            </w:r>
          </w:p>
        </w:tc>
        <w:tc>
          <w:tcPr>
            <w:tcW w:w="858" w:type="dxa"/>
            <w:tcBorders>
              <w:top w:val="nil"/>
              <w:left w:val="nil"/>
              <w:bottom w:val="nil"/>
              <w:right w:val="nil"/>
            </w:tcBorders>
            <w:shd w:val="clear" w:color="auto" w:fill="auto"/>
            <w:noWrap/>
            <w:vAlign w:val="center"/>
            <w:hideMark/>
          </w:tcPr>
          <w:p w14:paraId="39D5AB9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12.542</w:t>
            </w:r>
          </w:p>
        </w:tc>
        <w:tc>
          <w:tcPr>
            <w:tcW w:w="1085" w:type="dxa"/>
            <w:tcBorders>
              <w:top w:val="nil"/>
              <w:left w:val="nil"/>
              <w:bottom w:val="nil"/>
              <w:right w:val="nil"/>
            </w:tcBorders>
            <w:shd w:val="clear" w:color="auto" w:fill="auto"/>
            <w:noWrap/>
            <w:vAlign w:val="center"/>
            <w:hideMark/>
          </w:tcPr>
          <w:p w14:paraId="5523B038" w14:textId="77777777" w:rsidR="00D92FD5" w:rsidRPr="00AE4E8D" w:rsidRDefault="00D92FD5" w:rsidP="00DE5F84">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84.</w:t>
            </w:r>
            <w:r w:rsidR="001D2B60" w:rsidRPr="00AE4E8D">
              <w:rPr>
                <w:rFonts w:ascii="Times New Roman" w:hAnsi="Times New Roman"/>
                <w:color w:val="000000"/>
                <w:sz w:val="14"/>
                <w:szCs w:val="14"/>
                <w:lang w:val="es-ES"/>
              </w:rPr>
              <w:t>089</w:t>
            </w:r>
          </w:p>
        </w:tc>
        <w:tc>
          <w:tcPr>
            <w:tcW w:w="1085" w:type="dxa"/>
            <w:tcBorders>
              <w:top w:val="nil"/>
              <w:left w:val="nil"/>
              <w:bottom w:val="nil"/>
              <w:right w:val="nil"/>
            </w:tcBorders>
            <w:shd w:val="clear" w:color="auto" w:fill="auto"/>
            <w:noWrap/>
            <w:vAlign w:val="center"/>
            <w:hideMark/>
          </w:tcPr>
          <w:p w14:paraId="552C265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37.514</w:t>
            </w:r>
          </w:p>
        </w:tc>
      </w:tr>
      <w:tr w:rsidR="00D92FD5" w:rsidRPr="00AE4E8D" w14:paraId="630472E2" w14:textId="77777777" w:rsidTr="000400C8">
        <w:trPr>
          <w:trHeight w:val="192"/>
        </w:trPr>
        <w:tc>
          <w:tcPr>
            <w:tcW w:w="1544" w:type="dxa"/>
            <w:tcBorders>
              <w:top w:val="nil"/>
              <w:left w:val="nil"/>
              <w:bottom w:val="nil"/>
              <w:right w:val="nil"/>
            </w:tcBorders>
            <w:shd w:val="clear" w:color="auto" w:fill="auto"/>
            <w:noWrap/>
            <w:vAlign w:val="center"/>
            <w:hideMark/>
          </w:tcPr>
          <w:p w14:paraId="78CD1441"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Equipos de computación</w:t>
            </w:r>
          </w:p>
        </w:tc>
        <w:tc>
          <w:tcPr>
            <w:tcW w:w="906" w:type="dxa"/>
            <w:tcBorders>
              <w:top w:val="nil"/>
              <w:left w:val="nil"/>
              <w:bottom w:val="nil"/>
              <w:right w:val="nil"/>
            </w:tcBorders>
            <w:shd w:val="clear" w:color="auto" w:fill="auto"/>
            <w:noWrap/>
            <w:vAlign w:val="center"/>
          </w:tcPr>
          <w:p w14:paraId="6E8EF53A" w14:textId="77777777" w:rsidR="00D92FD5" w:rsidRPr="00AE4E8D" w:rsidRDefault="00D92FD5" w:rsidP="00DE5F84">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75.</w:t>
            </w:r>
            <w:r w:rsidR="001D2B60" w:rsidRPr="00AE4E8D">
              <w:rPr>
                <w:rFonts w:ascii="Times New Roman" w:hAnsi="Times New Roman"/>
                <w:color w:val="000000"/>
                <w:sz w:val="14"/>
                <w:szCs w:val="14"/>
                <w:lang w:val="es-ES"/>
              </w:rPr>
              <w:t>597</w:t>
            </w:r>
          </w:p>
        </w:tc>
        <w:tc>
          <w:tcPr>
            <w:tcW w:w="1155" w:type="dxa"/>
            <w:tcBorders>
              <w:top w:val="nil"/>
              <w:left w:val="nil"/>
              <w:bottom w:val="nil"/>
              <w:right w:val="nil"/>
            </w:tcBorders>
            <w:shd w:val="clear" w:color="auto" w:fill="auto"/>
            <w:noWrap/>
            <w:vAlign w:val="center"/>
          </w:tcPr>
          <w:p w14:paraId="7D62966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32.519</w:t>
            </w:r>
          </w:p>
        </w:tc>
        <w:tc>
          <w:tcPr>
            <w:tcW w:w="1079" w:type="dxa"/>
            <w:tcBorders>
              <w:top w:val="nil"/>
              <w:left w:val="nil"/>
              <w:bottom w:val="nil"/>
              <w:right w:val="nil"/>
            </w:tcBorders>
            <w:shd w:val="clear" w:color="auto" w:fill="auto"/>
            <w:noWrap/>
            <w:vAlign w:val="center"/>
          </w:tcPr>
          <w:p w14:paraId="4A30A94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898" w:type="dxa"/>
            <w:tcBorders>
              <w:top w:val="nil"/>
              <w:left w:val="nil"/>
              <w:bottom w:val="nil"/>
              <w:right w:val="nil"/>
            </w:tcBorders>
            <w:shd w:val="clear" w:color="auto" w:fill="auto"/>
            <w:noWrap/>
            <w:vAlign w:val="center"/>
            <w:hideMark/>
          </w:tcPr>
          <w:p w14:paraId="47DB347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3F78254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25" w:type="dxa"/>
            <w:tcBorders>
              <w:top w:val="nil"/>
              <w:left w:val="nil"/>
              <w:bottom w:val="nil"/>
              <w:right w:val="nil"/>
            </w:tcBorders>
            <w:shd w:val="clear" w:color="auto" w:fill="auto"/>
            <w:noWrap/>
            <w:vAlign w:val="center"/>
            <w:hideMark/>
          </w:tcPr>
          <w:p w14:paraId="7F3BC8A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3 </w:t>
            </w:r>
          </w:p>
        </w:tc>
        <w:tc>
          <w:tcPr>
            <w:tcW w:w="858" w:type="dxa"/>
            <w:tcBorders>
              <w:top w:val="nil"/>
              <w:left w:val="nil"/>
              <w:bottom w:val="nil"/>
              <w:right w:val="nil"/>
            </w:tcBorders>
            <w:shd w:val="clear" w:color="auto" w:fill="auto"/>
            <w:noWrap/>
            <w:vAlign w:val="center"/>
            <w:hideMark/>
          </w:tcPr>
          <w:p w14:paraId="338E563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24.708</w:t>
            </w:r>
          </w:p>
        </w:tc>
        <w:tc>
          <w:tcPr>
            <w:tcW w:w="1085" w:type="dxa"/>
            <w:tcBorders>
              <w:top w:val="nil"/>
              <w:left w:val="nil"/>
              <w:bottom w:val="nil"/>
              <w:right w:val="nil"/>
            </w:tcBorders>
            <w:shd w:val="clear" w:color="auto" w:fill="auto"/>
            <w:noWrap/>
            <w:vAlign w:val="center"/>
            <w:hideMark/>
          </w:tcPr>
          <w:p w14:paraId="768D31E5" w14:textId="77777777" w:rsidR="00D92FD5" w:rsidRPr="00AE4E8D" w:rsidRDefault="00D92FD5" w:rsidP="00DE5F84">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83.</w:t>
            </w:r>
            <w:r w:rsidR="001D2B60" w:rsidRPr="00AE4E8D">
              <w:rPr>
                <w:rFonts w:ascii="Times New Roman" w:hAnsi="Times New Roman"/>
                <w:color w:val="000000"/>
                <w:sz w:val="14"/>
                <w:szCs w:val="14"/>
                <w:lang w:val="es-ES"/>
              </w:rPr>
              <w:t>408</w:t>
            </w:r>
          </w:p>
        </w:tc>
        <w:tc>
          <w:tcPr>
            <w:tcW w:w="1085" w:type="dxa"/>
            <w:tcBorders>
              <w:top w:val="nil"/>
              <w:left w:val="nil"/>
              <w:bottom w:val="nil"/>
              <w:right w:val="nil"/>
            </w:tcBorders>
            <w:shd w:val="clear" w:color="auto" w:fill="auto"/>
            <w:noWrap/>
            <w:vAlign w:val="center"/>
            <w:hideMark/>
          </w:tcPr>
          <w:p w14:paraId="21C022D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83.700</w:t>
            </w:r>
          </w:p>
        </w:tc>
      </w:tr>
      <w:tr w:rsidR="00D92FD5" w:rsidRPr="00AE4E8D" w14:paraId="07F528E3" w14:textId="77777777" w:rsidTr="000400C8">
        <w:trPr>
          <w:trHeight w:val="192"/>
        </w:trPr>
        <w:tc>
          <w:tcPr>
            <w:tcW w:w="1544" w:type="dxa"/>
            <w:tcBorders>
              <w:top w:val="nil"/>
              <w:left w:val="nil"/>
              <w:bottom w:val="nil"/>
              <w:right w:val="nil"/>
            </w:tcBorders>
            <w:shd w:val="clear" w:color="auto" w:fill="auto"/>
            <w:noWrap/>
            <w:vAlign w:val="center"/>
            <w:hideMark/>
          </w:tcPr>
          <w:p w14:paraId="3CB82277"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Vehículos</w:t>
            </w:r>
          </w:p>
        </w:tc>
        <w:tc>
          <w:tcPr>
            <w:tcW w:w="906" w:type="dxa"/>
            <w:tcBorders>
              <w:top w:val="nil"/>
              <w:left w:val="nil"/>
              <w:bottom w:val="nil"/>
              <w:right w:val="nil"/>
            </w:tcBorders>
            <w:shd w:val="clear" w:color="auto" w:fill="auto"/>
            <w:noWrap/>
            <w:vAlign w:val="center"/>
          </w:tcPr>
          <w:p w14:paraId="7F0F0B5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386</w:t>
            </w:r>
          </w:p>
        </w:tc>
        <w:tc>
          <w:tcPr>
            <w:tcW w:w="1155" w:type="dxa"/>
            <w:tcBorders>
              <w:top w:val="nil"/>
              <w:left w:val="nil"/>
              <w:bottom w:val="nil"/>
              <w:right w:val="nil"/>
            </w:tcBorders>
            <w:shd w:val="clear" w:color="auto" w:fill="auto"/>
            <w:noWrap/>
            <w:vAlign w:val="center"/>
          </w:tcPr>
          <w:p w14:paraId="7F32055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1079" w:type="dxa"/>
            <w:tcBorders>
              <w:top w:val="nil"/>
              <w:left w:val="nil"/>
              <w:bottom w:val="nil"/>
              <w:right w:val="nil"/>
            </w:tcBorders>
            <w:shd w:val="clear" w:color="auto" w:fill="auto"/>
            <w:noWrap/>
            <w:vAlign w:val="center"/>
          </w:tcPr>
          <w:p w14:paraId="3D035EB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898" w:type="dxa"/>
            <w:tcBorders>
              <w:top w:val="nil"/>
              <w:left w:val="nil"/>
              <w:bottom w:val="nil"/>
              <w:right w:val="nil"/>
            </w:tcBorders>
            <w:shd w:val="clear" w:color="auto" w:fill="auto"/>
            <w:noWrap/>
            <w:vAlign w:val="center"/>
            <w:hideMark/>
          </w:tcPr>
          <w:p w14:paraId="4555DF1C"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0A5D115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25" w:type="dxa"/>
            <w:tcBorders>
              <w:top w:val="nil"/>
              <w:left w:val="nil"/>
              <w:bottom w:val="nil"/>
              <w:right w:val="nil"/>
            </w:tcBorders>
            <w:shd w:val="clear" w:color="auto" w:fill="auto"/>
            <w:noWrap/>
            <w:vAlign w:val="center"/>
            <w:hideMark/>
          </w:tcPr>
          <w:p w14:paraId="2F6ED3C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 </w:t>
            </w:r>
          </w:p>
        </w:tc>
        <w:tc>
          <w:tcPr>
            <w:tcW w:w="858" w:type="dxa"/>
            <w:tcBorders>
              <w:top w:val="nil"/>
              <w:left w:val="nil"/>
              <w:bottom w:val="nil"/>
              <w:right w:val="nil"/>
            </w:tcBorders>
            <w:shd w:val="clear" w:color="auto" w:fill="auto"/>
            <w:noWrap/>
            <w:vAlign w:val="center"/>
            <w:hideMark/>
          </w:tcPr>
          <w:p w14:paraId="49BE5FD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48</w:t>
            </w:r>
          </w:p>
        </w:tc>
        <w:tc>
          <w:tcPr>
            <w:tcW w:w="1085" w:type="dxa"/>
            <w:tcBorders>
              <w:top w:val="nil"/>
              <w:left w:val="nil"/>
              <w:bottom w:val="nil"/>
              <w:right w:val="nil"/>
            </w:tcBorders>
            <w:shd w:val="clear" w:color="auto" w:fill="auto"/>
            <w:noWrap/>
            <w:vAlign w:val="center"/>
            <w:hideMark/>
          </w:tcPr>
          <w:p w14:paraId="276F94F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338</w:t>
            </w:r>
          </w:p>
        </w:tc>
        <w:tc>
          <w:tcPr>
            <w:tcW w:w="1085" w:type="dxa"/>
            <w:tcBorders>
              <w:top w:val="nil"/>
              <w:left w:val="nil"/>
              <w:bottom w:val="nil"/>
              <w:right w:val="nil"/>
            </w:tcBorders>
            <w:shd w:val="clear" w:color="auto" w:fill="auto"/>
            <w:noWrap/>
            <w:vAlign w:val="center"/>
            <w:hideMark/>
          </w:tcPr>
          <w:p w14:paraId="7EB1D99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434</w:t>
            </w:r>
          </w:p>
        </w:tc>
      </w:tr>
      <w:tr w:rsidR="00D92FD5" w:rsidRPr="00AE4E8D" w14:paraId="290C6CB9" w14:textId="77777777" w:rsidTr="000400C8">
        <w:trPr>
          <w:trHeight w:val="202"/>
        </w:trPr>
        <w:tc>
          <w:tcPr>
            <w:tcW w:w="1544" w:type="dxa"/>
            <w:tcBorders>
              <w:top w:val="nil"/>
              <w:left w:val="nil"/>
              <w:bottom w:val="nil"/>
              <w:right w:val="nil"/>
            </w:tcBorders>
            <w:shd w:val="clear" w:color="auto" w:fill="auto"/>
            <w:noWrap/>
            <w:vAlign w:val="center"/>
            <w:hideMark/>
          </w:tcPr>
          <w:p w14:paraId="632E3466"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Diversos</w:t>
            </w:r>
          </w:p>
        </w:tc>
        <w:tc>
          <w:tcPr>
            <w:tcW w:w="906" w:type="dxa"/>
            <w:tcBorders>
              <w:top w:val="nil"/>
              <w:left w:val="nil"/>
              <w:bottom w:val="single" w:sz="8" w:space="0" w:color="auto"/>
              <w:right w:val="nil"/>
            </w:tcBorders>
            <w:shd w:val="clear" w:color="auto" w:fill="auto"/>
            <w:noWrap/>
            <w:vAlign w:val="center"/>
          </w:tcPr>
          <w:p w14:paraId="7E9D2623" w14:textId="77777777" w:rsidR="00D92FD5" w:rsidRPr="00AE4E8D" w:rsidRDefault="00D92FD5" w:rsidP="00DE5F84">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12.</w:t>
            </w:r>
            <w:r w:rsidR="001D2B60" w:rsidRPr="00AE4E8D">
              <w:rPr>
                <w:rFonts w:ascii="Times New Roman" w:hAnsi="Times New Roman"/>
                <w:color w:val="000000"/>
                <w:sz w:val="14"/>
                <w:szCs w:val="14"/>
                <w:lang w:val="es-ES"/>
              </w:rPr>
              <w:t>331</w:t>
            </w:r>
          </w:p>
        </w:tc>
        <w:tc>
          <w:tcPr>
            <w:tcW w:w="1155" w:type="dxa"/>
            <w:tcBorders>
              <w:top w:val="nil"/>
              <w:left w:val="nil"/>
              <w:bottom w:val="single" w:sz="8" w:space="0" w:color="auto"/>
              <w:right w:val="nil"/>
            </w:tcBorders>
            <w:shd w:val="clear" w:color="auto" w:fill="auto"/>
            <w:noWrap/>
            <w:vAlign w:val="center"/>
          </w:tcPr>
          <w:p w14:paraId="6DCCFAE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2.584</w:t>
            </w:r>
          </w:p>
        </w:tc>
        <w:tc>
          <w:tcPr>
            <w:tcW w:w="1079" w:type="dxa"/>
            <w:tcBorders>
              <w:top w:val="nil"/>
              <w:left w:val="nil"/>
              <w:bottom w:val="single" w:sz="8" w:space="0" w:color="auto"/>
              <w:right w:val="nil"/>
            </w:tcBorders>
            <w:shd w:val="clear" w:color="auto" w:fill="auto"/>
            <w:noWrap/>
            <w:vAlign w:val="center"/>
          </w:tcPr>
          <w:p w14:paraId="6BC3842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898" w:type="dxa"/>
            <w:tcBorders>
              <w:top w:val="nil"/>
              <w:left w:val="nil"/>
              <w:bottom w:val="single" w:sz="8" w:space="0" w:color="auto"/>
              <w:right w:val="nil"/>
            </w:tcBorders>
            <w:shd w:val="clear" w:color="auto" w:fill="auto"/>
            <w:noWrap/>
            <w:vAlign w:val="center"/>
            <w:hideMark/>
          </w:tcPr>
          <w:p w14:paraId="46B1CA9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(16)</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single" w:sz="8" w:space="0" w:color="auto"/>
              <w:right w:val="nil"/>
            </w:tcBorders>
            <w:shd w:val="clear" w:color="auto" w:fill="auto"/>
            <w:noWrap/>
            <w:vAlign w:val="center"/>
            <w:hideMark/>
          </w:tcPr>
          <w:p w14:paraId="2DB52D5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25" w:type="dxa"/>
            <w:tcBorders>
              <w:top w:val="nil"/>
              <w:left w:val="nil"/>
              <w:bottom w:val="single" w:sz="8" w:space="0" w:color="auto"/>
              <w:right w:val="nil"/>
            </w:tcBorders>
            <w:shd w:val="clear" w:color="auto" w:fill="auto"/>
            <w:noWrap/>
            <w:vAlign w:val="center"/>
            <w:hideMark/>
          </w:tcPr>
          <w:p w14:paraId="1A9A18F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 </w:t>
            </w:r>
          </w:p>
        </w:tc>
        <w:tc>
          <w:tcPr>
            <w:tcW w:w="858" w:type="dxa"/>
            <w:tcBorders>
              <w:top w:val="nil"/>
              <w:left w:val="nil"/>
              <w:bottom w:val="single" w:sz="8" w:space="0" w:color="auto"/>
              <w:right w:val="nil"/>
            </w:tcBorders>
            <w:shd w:val="clear" w:color="auto" w:fill="auto"/>
            <w:noWrap/>
            <w:vAlign w:val="center"/>
            <w:hideMark/>
          </w:tcPr>
          <w:p w14:paraId="24BC567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3.703</w:t>
            </w:r>
          </w:p>
        </w:tc>
        <w:tc>
          <w:tcPr>
            <w:tcW w:w="1085" w:type="dxa"/>
            <w:tcBorders>
              <w:top w:val="nil"/>
              <w:left w:val="nil"/>
              <w:bottom w:val="single" w:sz="8" w:space="0" w:color="auto"/>
              <w:right w:val="nil"/>
            </w:tcBorders>
            <w:shd w:val="clear" w:color="auto" w:fill="auto"/>
            <w:noWrap/>
            <w:vAlign w:val="center"/>
            <w:hideMark/>
          </w:tcPr>
          <w:p w14:paraId="684E809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11.197</w:t>
            </w:r>
          </w:p>
        </w:tc>
        <w:tc>
          <w:tcPr>
            <w:tcW w:w="1085" w:type="dxa"/>
            <w:tcBorders>
              <w:top w:val="nil"/>
              <w:left w:val="nil"/>
              <w:bottom w:val="single" w:sz="8" w:space="0" w:color="auto"/>
              <w:right w:val="nil"/>
            </w:tcBorders>
            <w:shd w:val="clear" w:color="auto" w:fill="auto"/>
            <w:noWrap/>
            <w:vAlign w:val="center"/>
            <w:hideMark/>
          </w:tcPr>
          <w:p w14:paraId="26A87E9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13.404</w:t>
            </w:r>
          </w:p>
        </w:tc>
      </w:tr>
      <w:tr w:rsidR="00D92FD5" w:rsidRPr="00AE4E8D" w14:paraId="0C7C1174" w14:textId="77777777" w:rsidTr="000400C8">
        <w:trPr>
          <w:trHeight w:val="202"/>
        </w:trPr>
        <w:tc>
          <w:tcPr>
            <w:tcW w:w="1544" w:type="dxa"/>
            <w:tcBorders>
              <w:top w:val="nil"/>
              <w:left w:val="nil"/>
              <w:bottom w:val="nil"/>
              <w:right w:val="nil"/>
            </w:tcBorders>
            <w:shd w:val="clear" w:color="auto" w:fill="auto"/>
            <w:noWrap/>
            <w:vAlign w:val="center"/>
            <w:hideMark/>
          </w:tcPr>
          <w:p w14:paraId="5CB3CC33" w14:textId="77777777" w:rsidR="00D92FD5" w:rsidRPr="00AE4E8D" w:rsidRDefault="00D92FD5" w:rsidP="009E7DDD">
            <w:pP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Total</w:t>
            </w:r>
          </w:p>
        </w:tc>
        <w:tc>
          <w:tcPr>
            <w:tcW w:w="906" w:type="dxa"/>
            <w:tcBorders>
              <w:top w:val="nil"/>
              <w:left w:val="nil"/>
              <w:bottom w:val="single" w:sz="8" w:space="0" w:color="auto"/>
              <w:right w:val="nil"/>
            </w:tcBorders>
            <w:shd w:val="clear" w:color="auto" w:fill="auto"/>
            <w:noWrap/>
            <w:vAlign w:val="center"/>
          </w:tcPr>
          <w:p w14:paraId="78AD95F1" w14:textId="77777777" w:rsidR="00D92FD5" w:rsidRPr="00AE4E8D" w:rsidRDefault="00D92FD5" w:rsidP="00DE5F84">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390.</w:t>
            </w:r>
            <w:r w:rsidR="001D2B60" w:rsidRPr="00AE4E8D">
              <w:rPr>
                <w:rFonts w:ascii="Times New Roman" w:hAnsi="Times New Roman"/>
                <w:color w:val="000000"/>
                <w:sz w:val="14"/>
                <w:szCs w:val="14"/>
                <w:lang w:val="es-ES"/>
              </w:rPr>
              <w:t>357</w:t>
            </w:r>
          </w:p>
        </w:tc>
        <w:tc>
          <w:tcPr>
            <w:tcW w:w="1155" w:type="dxa"/>
            <w:tcBorders>
              <w:top w:val="nil"/>
              <w:left w:val="nil"/>
              <w:bottom w:val="single" w:sz="8" w:space="0" w:color="auto"/>
              <w:right w:val="nil"/>
            </w:tcBorders>
            <w:shd w:val="clear" w:color="auto" w:fill="auto"/>
            <w:noWrap/>
            <w:vAlign w:val="center"/>
          </w:tcPr>
          <w:p w14:paraId="365E417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48.789</w:t>
            </w:r>
          </w:p>
        </w:tc>
        <w:tc>
          <w:tcPr>
            <w:tcW w:w="1079" w:type="dxa"/>
            <w:tcBorders>
              <w:top w:val="nil"/>
              <w:left w:val="nil"/>
              <w:bottom w:val="single" w:sz="8" w:space="0" w:color="auto"/>
              <w:right w:val="nil"/>
            </w:tcBorders>
            <w:shd w:val="clear" w:color="auto" w:fill="auto"/>
            <w:noWrap/>
            <w:vAlign w:val="center"/>
            <w:hideMark/>
          </w:tcPr>
          <w:p w14:paraId="5901BF3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46.272</w:t>
            </w:r>
          </w:p>
        </w:tc>
        <w:tc>
          <w:tcPr>
            <w:tcW w:w="898" w:type="dxa"/>
            <w:tcBorders>
              <w:top w:val="nil"/>
              <w:left w:val="nil"/>
              <w:bottom w:val="single" w:sz="8" w:space="0" w:color="auto"/>
              <w:right w:val="nil"/>
            </w:tcBorders>
            <w:shd w:val="clear" w:color="auto" w:fill="auto"/>
            <w:noWrap/>
            <w:vAlign w:val="center"/>
            <w:hideMark/>
          </w:tcPr>
          <w:p w14:paraId="33111358"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(242)</w:t>
            </w:r>
          </w:p>
        </w:tc>
        <w:tc>
          <w:tcPr>
            <w:tcW w:w="1109" w:type="dxa"/>
            <w:tcBorders>
              <w:top w:val="nil"/>
              <w:left w:val="nil"/>
              <w:bottom w:val="single" w:sz="8" w:space="0" w:color="auto"/>
              <w:right w:val="nil"/>
            </w:tcBorders>
            <w:shd w:val="clear" w:color="auto" w:fill="auto"/>
            <w:noWrap/>
            <w:vAlign w:val="center"/>
            <w:hideMark/>
          </w:tcPr>
          <w:p w14:paraId="311FEE9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1025" w:type="dxa"/>
            <w:tcBorders>
              <w:top w:val="nil"/>
              <w:left w:val="nil"/>
              <w:bottom w:val="single" w:sz="8" w:space="0" w:color="auto"/>
              <w:right w:val="nil"/>
            </w:tcBorders>
            <w:shd w:val="clear" w:color="auto" w:fill="auto"/>
            <w:noWrap/>
            <w:vAlign w:val="center"/>
            <w:hideMark/>
          </w:tcPr>
          <w:p w14:paraId="310FCAC1" w14:textId="77777777" w:rsidR="00D92FD5" w:rsidRPr="00AE4E8D" w:rsidRDefault="00D92FD5" w:rsidP="00FA3175">
            <w:pPr>
              <w:jc w:val="right"/>
              <w:rPr>
                <w:rFonts w:ascii="Times New Roman" w:hAnsi="Times New Roman"/>
                <w:color w:val="000000"/>
                <w:sz w:val="14"/>
                <w:szCs w:val="14"/>
                <w:lang w:val="es-ES"/>
              </w:rPr>
            </w:pPr>
          </w:p>
        </w:tc>
        <w:tc>
          <w:tcPr>
            <w:tcW w:w="858" w:type="dxa"/>
            <w:tcBorders>
              <w:top w:val="nil"/>
              <w:left w:val="nil"/>
              <w:bottom w:val="single" w:sz="8" w:space="0" w:color="auto"/>
              <w:right w:val="nil"/>
            </w:tcBorders>
            <w:shd w:val="clear" w:color="auto" w:fill="auto"/>
            <w:noWrap/>
            <w:vAlign w:val="center"/>
            <w:hideMark/>
          </w:tcPr>
          <w:p w14:paraId="45E209AE"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47.535</w:t>
            </w:r>
          </w:p>
        </w:tc>
        <w:tc>
          <w:tcPr>
            <w:tcW w:w="1085" w:type="dxa"/>
            <w:tcBorders>
              <w:top w:val="nil"/>
              <w:left w:val="nil"/>
              <w:bottom w:val="single" w:sz="8" w:space="0" w:color="auto"/>
              <w:right w:val="nil"/>
            </w:tcBorders>
            <w:shd w:val="clear" w:color="auto" w:fill="auto"/>
            <w:noWrap/>
            <w:vAlign w:val="center"/>
            <w:hideMark/>
          </w:tcPr>
          <w:p w14:paraId="0B9A4190" w14:textId="77777777" w:rsidR="00D92FD5" w:rsidRPr="00AE4E8D" w:rsidRDefault="00D92FD5" w:rsidP="008950B0">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437.64</w:t>
            </w:r>
            <w:r w:rsidR="008950B0" w:rsidRPr="00AE4E8D">
              <w:rPr>
                <w:rFonts w:ascii="Times New Roman" w:hAnsi="Times New Roman"/>
                <w:color w:val="000000"/>
                <w:sz w:val="14"/>
                <w:szCs w:val="14"/>
                <w:lang w:val="es-ES"/>
              </w:rPr>
              <w:t>2</w:t>
            </w:r>
          </w:p>
        </w:tc>
        <w:tc>
          <w:tcPr>
            <w:tcW w:w="1085" w:type="dxa"/>
            <w:tcBorders>
              <w:top w:val="nil"/>
              <w:left w:val="nil"/>
              <w:bottom w:val="single" w:sz="8" w:space="0" w:color="auto"/>
              <w:right w:val="nil"/>
            </w:tcBorders>
            <w:shd w:val="clear" w:color="auto" w:fill="auto"/>
            <w:noWrap/>
            <w:vAlign w:val="center"/>
            <w:hideMark/>
          </w:tcPr>
          <w:p w14:paraId="37D1F3A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317.098</w:t>
            </w:r>
          </w:p>
        </w:tc>
      </w:tr>
      <w:tr w:rsidR="00D92FD5" w:rsidRPr="00AE4E8D" w14:paraId="197D3DFB" w14:textId="77777777" w:rsidTr="000400C8">
        <w:trPr>
          <w:trHeight w:val="192"/>
        </w:trPr>
        <w:tc>
          <w:tcPr>
            <w:tcW w:w="1544" w:type="dxa"/>
            <w:tcBorders>
              <w:top w:val="nil"/>
              <w:left w:val="nil"/>
              <w:bottom w:val="nil"/>
              <w:right w:val="nil"/>
            </w:tcBorders>
            <w:shd w:val="clear" w:color="auto" w:fill="auto"/>
            <w:noWrap/>
            <w:vAlign w:val="center"/>
            <w:hideMark/>
          </w:tcPr>
          <w:p w14:paraId="0EB637D4" w14:textId="77777777" w:rsidR="00D92FD5" w:rsidRPr="00AE4E8D" w:rsidRDefault="00D92FD5" w:rsidP="009E7DDD">
            <w:pP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BIENES DIVERSOS</w:t>
            </w:r>
          </w:p>
        </w:tc>
        <w:tc>
          <w:tcPr>
            <w:tcW w:w="906" w:type="dxa"/>
            <w:tcBorders>
              <w:top w:val="nil"/>
              <w:left w:val="nil"/>
              <w:bottom w:val="nil"/>
              <w:right w:val="nil"/>
            </w:tcBorders>
            <w:shd w:val="clear" w:color="auto" w:fill="auto"/>
            <w:noWrap/>
            <w:vAlign w:val="center"/>
            <w:hideMark/>
          </w:tcPr>
          <w:p w14:paraId="7F888BB1" w14:textId="77777777" w:rsidR="00D92FD5" w:rsidRPr="00AE4E8D" w:rsidRDefault="00D92FD5" w:rsidP="00FA3175">
            <w:pPr>
              <w:jc w:val="right"/>
              <w:rPr>
                <w:rFonts w:ascii="Times New Roman" w:hAnsi="Times New Roman"/>
                <w:color w:val="000000"/>
                <w:lang w:val="es-ES"/>
              </w:rPr>
            </w:pPr>
          </w:p>
        </w:tc>
        <w:tc>
          <w:tcPr>
            <w:tcW w:w="1155" w:type="dxa"/>
            <w:tcBorders>
              <w:top w:val="nil"/>
              <w:left w:val="nil"/>
              <w:bottom w:val="nil"/>
              <w:right w:val="nil"/>
            </w:tcBorders>
            <w:shd w:val="clear" w:color="auto" w:fill="auto"/>
            <w:noWrap/>
            <w:vAlign w:val="center"/>
            <w:hideMark/>
          </w:tcPr>
          <w:p w14:paraId="3463F0AD" w14:textId="77777777" w:rsidR="00D92FD5" w:rsidRPr="00AE4E8D" w:rsidRDefault="00D92FD5" w:rsidP="00FA3175">
            <w:pPr>
              <w:jc w:val="right"/>
              <w:rPr>
                <w:rFonts w:ascii="Times New Roman" w:hAnsi="Times New Roman"/>
                <w:color w:val="000000"/>
                <w:lang w:val="es-ES"/>
              </w:rPr>
            </w:pPr>
          </w:p>
        </w:tc>
        <w:tc>
          <w:tcPr>
            <w:tcW w:w="1079" w:type="dxa"/>
            <w:tcBorders>
              <w:top w:val="nil"/>
              <w:left w:val="nil"/>
              <w:bottom w:val="nil"/>
              <w:right w:val="nil"/>
            </w:tcBorders>
            <w:shd w:val="clear" w:color="auto" w:fill="auto"/>
            <w:noWrap/>
            <w:vAlign w:val="center"/>
            <w:hideMark/>
          </w:tcPr>
          <w:p w14:paraId="7914DB8F" w14:textId="77777777" w:rsidR="00D92FD5" w:rsidRPr="00AE4E8D" w:rsidRDefault="00D92FD5" w:rsidP="00FA3175">
            <w:pPr>
              <w:jc w:val="right"/>
              <w:rPr>
                <w:rFonts w:ascii="Times New Roman" w:hAnsi="Times New Roman"/>
                <w:color w:val="000000"/>
                <w:lang w:val="es-ES"/>
              </w:rPr>
            </w:pPr>
          </w:p>
        </w:tc>
        <w:tc>
          <w:tcPr>
            <w:tcW w:w="898" w:type="dxa"/>
            <w:tcBorders>
              <w:top w:val="nil"/>
              <w:left w:val="nil"/>
              <w:bottom w:val="nil"/>
              <w:right w:val="nil"/>
            </w:tcBorders>
            <w:shd w:val="clear" w:color="auto" w:fill="auto"/>
            <w:noWrap/>
            <w:vAlign w:val="center"/>
            <w:hideMark/>
          </w:tcPr>
          <w:p w14:paraId="3037FE6D" w14:textId="77777777" w:rsidR="00D92FD5" w:rsidRPr="00AE4E8D" w:rsidRDefault="00D92FD5" w:rsidP="00FA3175">
            <w:pPr>
              <w:jc w:val="right"/>
              <w:rPr>
                <w:rFonts w:ascii="Times New Roman" w:hAnsi="Times New Roman"/>
                <w:color w:val="000000"/>
                <w:lang w:val="es-ES"/>
              </w:rPr>
            </w:pPr>
          </w:p>
        </w:tc>
        <w:tc>
          <w:tcPr>
            <w:tcW w:w="1109" w:type="dxa"/>
            <w:tcBorders>
              <w:top w:val="nil"/>
              <w:left w:val="nil"/>
              <w:bottom w:val="nil"/>
              <w:right w:val="nil"/>
            </w:tcBorders>
            <w:shd w:val="clear" w:color="auto" w:fill="auto"/>
            <w:noWrap/>
            <w:vAlign w:val="center"/>
            <w:hideMark/>
          </w:tcPr>
          <w:p w14:paraId="6F2870A4" w14:textId="77777777" w:rsidR="00D92FD5" w:rsidRPr="00AE4E8D" w:rsidRDefault="00D92FD5" w:rsidP="00FA3175">
            <w:pPr>
              <w:jc w:val="right"/>
              <w:rPr>
                <w:rFonts w:ascii="Times New Roman" w:hAnsi="Times New Roman"/>
                <w:color w:val="000000"/>
                <w:lang w:val="es-ES"/>
              </w:rPr>
            </w:pPr>
          </w:p>
        </w:tc>
        <w:tc>
          <w:tcPr>
            <w:tcW w:w="1025" w:type="dxa"/>
            <w:tcBorders>
              <w:top w:val="nil"/>
              <w:left w:val="nil"/>
              <w:bottom w:val="nil"/>
              <w:right w:val="nil"/>
            </w:tcBorders>
            <w:shd w:val="clear" w:color="auto" w:fill="auto"/>
            <w:noWrap/>
            <w:vAlign w:val="center"/>
            <w:hideMark/>
          </w:tcPr>
          <w:p w14:paraId="7D7623A2" w14:textId="77777777" w:rsidR="00D92FD5" w:rsidRPr="00AE4E8D" w:rsidRDefault="00D92FD5" w:rsidP="00FA3175">
            <w:pPr>
              <w:jc w:val="right"/>
              <w:rPr>
                <w:rFonts w:ascii="Times New Roman" w:hAnsi="Times New Roman"/>
                <w:color w:val="000000"/>
                <w:lang w:val="es-ES"/>
              </w:rPr>
            </w:pPr>
          </w:p>
        </w:tc>
        <w:tc>
          <w:tcPr>
            <w:tcW w:w="858" w:type="dxa"/>
            <w:tcBorders>
              <w:top w:val="nil"/>
              <w:left w:val="nil"/>
              <w:bottom w:val="nil"/>
              <w:right w:val="nil"/>
            </w:tcBorders>
            <w:shd w:val="clear" w:color="auto" w:fill="auto"/>
            <w:noWrap/>
            <w:vAlign w:val="center"/>
            <w:hideMark/>
          </w:tcPr>
          <w:p w14:paraId="3841F8F6" w14:textId="77777777" w:rsidR="00D92FD5" w:rsidRPr="00AE4E8D" w:rsidRDefault="00D92FD5" w:rsidP="00FA3175">
            <w:pPr>
              <w:jc w:val="right"/>
              <w:rPr>
                <w:rFonts w:ascii="Times New Roman" w:hAnsi="Times New Roman"/>
                <w:color w:val="000000"/>
                <w:lang w:val="es-ES"/>
              </w:rPr>
            </w:pPr>
          </w:p>
        </w:tc>
        <w:tc>
          <w:tcPr>
            <w:tcW w:w="1085" w:type="dxa"/>
            <w:tcBorders>
              <w:top w:val="nil"/>
              <w:left w:val="nil"/>
              <w:bottom w:val="nil"/>
              <w:right w:val="nil"/>
            </w:tcBorders>
            <w:shd w:val="clear" w:color="auto" w:fill="auto"/>
            <w:noWrap/>
            <w:vAlign w:val="center"/>
            <w:hideMark/>
          </w:tcPr>
          <w:p w14:paraId="55F8B9A0" w14:textId="77777777" w:rsidR="00D92FD5" w:rsidRPr="00AE4E8D" w:rsidRDefault="00D92FD5" w:rsidP="00FA3175">
            <w:pPr>
              <w:jc w:val="right"/>
              <w:rPr>
                <w:rFonts w:ascii="Times New Roman" w:hAnsi="Times New Roman"/>
                <w:color w:val="000000"/>
                <w:lang w:val="es-ES"/>
              </w:rPr>
            </w:pPr>
          </w:p>
        </w:tc>
        <w:tc>
          <w:tcPr>
            <w:tcW w:w="1085" w:type="dxa"/>
            <w:tcBorders>
              <w:top w:val="nil"/>
              <w:left w:val="nil"/>
              <w:bottom w:val="nil"/>
              <w:right w:val="nil"/>
            </w:tcBorders>
            <w:shd w:val="clear" w:color="auto" w:fill="auto"/>
            <w:noWrap/>
            <w:vAlign w:val="center"/>
          </w:tcPr>
          <w:p w14:paraId="41F61B2C" w14:textId="77777777" w:rsidR="00D92FD5" w:rsidRPr="00AE4E8D" w:rsidRDefault="00D92FD5" w:rsidP="00FA3175">
            <w:pPr>
              <w:jc w:val="right"/>
              <w:rPr>
                <w:rFonts w:ascii="Times New Roman" w:hAnsi="Times New Roman"/>
                <w:color w:val="000000"/>
                <w:sz w:val="14"/>
                <w:szCs w:val="14"/>
                <w:lang w:val="es-ES"/>
              </w:rPr>
            </w:pPr>
          </w:p>
        </w:tc>
      </w:tr>
      <w:tr w:rsidR="00D92FD5" w:rsidRPr="00AE4E8D" w14:paraId="659C6B40" w14:textId="77777777" w:rsidTr="000400C8">
        <w:trPr>
          <w:trHeight w:val="192"/>
        </w:trPr>
        <w:tc>
          <w:tcPr>
            <w:tcW w:w="1544" w:type="dxa"/>
            <w:tcBorders>
              <w:top w:val="nil"/>
              <w:left w:val="nil"/>
              <w:bottom w:val="nil"/>
              <w:right w:val="nil"/>
            </w:tcBorders>
            <w:shd w:val="clear" w:color="auto" w:fill="auto"/>
            <w:noWrap/>
            <w:vAlign w:val="center"/>
            <w:hideMark/>
          </w:tcPr>
          <w:p w14:paraId="74BF753C"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Obras en Curso</w:t>
            </w:r>
          </w:p>
        </w:tc>
        <w:tc>
          <w:tcPr>
            <w:tcW w:w="906" w:type="dxa"/>
            <w:tcBorders>
              <w:top w:val="nil"/>
              <w:left w:val="nil"/>
              <w:bottom w:val="nil"/>
              <w:right w:val="nil"/>
            </w:tcBorders>
            <w:shd w:val="clear" w:color="auto" w:fill="auto"/>
            <w:noWrap/>
            <w:vAlign w:val="center"/>
            <w:hideMark/>
          </w:tcPr>
          <w:p w14:paraId="700181B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51.458</w:t>
            </w:r>
          </w:p>
        </w:tc>
        <w:tc>
          <w:tcPr>
            <w:tcW w:w="1155" w:type="dxa"/>
            <w:tcBorders>
              <w:top w:val="nil"/>
              <w:left w:val="nil"/>
              <w:bottom w:val="nil"/>
              <w:right w:val="nil"/>
            </w:tcBorders>
            <w:shd w:val="clear" w:color="auto" w:fill="auto"/>
            <w:noWrap/>
            <w:vAlign w:val="center"/>
            <w:hideMark/>
          </w:tcPr>
          <w:p w14:paraId="04D97018"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1.209.506</w:t>
            </w:r>
          </w:p>
        </w:tc>
        <w:tc>
          <w:tcPr>
            <w:tcW w:w="1079" w:type="dxa"/>
            <w:tcBorders>
              <w:top w:val="nil"/>
              <w:left w:val="nil"/>
              <w:bottom w:val="nil"/>
              <w:right w:val="nil"/>
            </w:tcBorders>
            <w:shd w:val="clear" w:color="auto" w:fill="auto"/>
            <w:noWrap/>
            <w:vAlign w:val="center"/>
            <w:hideMark/>
          </w:tcPr>
          <w:p w14:paraId="24AE07E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(52.797) </w:t>
            </w:r>
          </w:p>
        </w:tc>
        <w:tc>
          <w:tcPr>
            <w:tcW w:w="898" w:type="dxa"/>
            <w:tcBorders>
              <w:top w:val="nil"/>
              <w:left w:val="nil"/>
              <w:bottom w:val="nil"/>
              <w:right w:val="nil"/>
            </w:tcBorders>
            <w:shd w:val="clear" w:color="auto" w:fill="auto"/>
            <w:noWrap/>
            <w:vAlign w:val="center"/>
            <w:hideMark/>
          </w:tcPr>
          <w:p w14:paraId="437147A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6BD7011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1025" w:type="dxa"/>
            <w:tcBorders>
              <w:top w:val="nil"/>
              <w:left w:val="nil"/>
              <w:bottom w:val="nil"/>
              <w:right w:val="nil"/>
            </w:tcBorders>
            <w:shd w:val="clear" w:color="auto" w:fill="auto"/>
            <w:noWrap/>
            <w:vAlign w:val="center"/>
            <w:hideMark/>
          </w:tcPr>
          <w:p w14:paraId="3251183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858" w:type="dxa"/>
            <w:tcBorders>
              <w:top w:val="nil"/>
              <w:left w:val="nil"/>
              <w:bottom w:val="nil"/>
              <w:right w:val="nil"/>
            </w:tcBorders>
            <w:shd w:val="clear" w:color="auto" w:fill="auto"/>
            <w:noWrap/>
            <w:vAlign w:val="center"/>
            <w:hideMark/>
          </w:tcPr>
          <w:p w14:paraId="6C1A8F1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5" w:type="dxa"/>
            <w:tcBorders>
              <w:top w:val="nil"/>
              <w:left w:val="nil"/>
              <w:bottom w:val="nil"/>
              <w:right w:val="nil"/>
            </w:tcBorders>
            <w:shd w:val="clear" w:color="auto" w:fill="auto"/>
            <w:noWrap/>
            <w:vAlign w:val="center"/>
            <w:hideMark/>
          </w:tcPr>
          <w:p w14:paraId="51EFECB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1.208.167</w:t>
            </w:r>
          </w:p>
        </w:tc>
        <w:tc>
          <w:tcPr>
            <w:tcW w:w="1085" w:type="dxa"/>
            <w:tcBorders>
              <w:top w:val="nil"/>
              <w:left w:val="nil"/>
              <w:bottom w:val="nil"/>
              <w:right w:val="nil"/>
            </w:tcBorders>
            <w:shd w:val="clear" w:color="auto" w:fill="auto"/>
            <w:noWrap/>
            <w:vAlign w:val="center"/>
            <w:hideMark/>
          </w:tcPr>
          <w:p w14:paraId="7C58615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12.954</w:t>
            </w:r>
          </w:p>
        </w:tc>
      </w:tr>
      <w:tr w:rsidR="00D92FD5" w:rsidRPr="00AE4E8D" w14:paraId="53165A20" w14:textId="77777777" w:rsidTr="000400C8">
        <w:trPr>
          <w:trHeight w:val="192"/>
        </w:trPr>
        <w:tc>
          <w:tcPr>
            <w:tcW w:w="1544" w:type="dxa"/>
            <w:tcBorders>
              <w:top w:val="nil"/>
              <w:left w:val="nil"/>
              <w:bottom w:val="nil"/>
              <w:right w:val="nil"/>
            </w:tcBorders>
            <w:shd w:val="clear" w:color="auto" w:fill="auto"/>
            <w:noWrap/>
            <w:vAlign w:val="center"/>
            <w:hideMark/>
          </w:tcPr>
          <w:p w14:paraId="3CCB6C43"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Obras de Arte y Piezas de Colección </w:t>
            </w:r>
          </w:p>
        </w:tc>
        <w:tc>
          <w:tcPr>
            <w:tcW w:w="906" w:type="dxa"/>
            <w:tcBorders>
              <w:top w:val="nil"/>
              <w:left w:val="nil"/>
              <w:bottom w:val="nil"/>
              <w:right w:val="nil"/>
            </w:tcBorders>
            <w:shd w:val="clear" w:color="auto" w:fill="auto"/>
            <w:noWrap/>
            <w:vAlign w:val="center"/>
            <w:hideMark/>
          </w:tcPr>
          <w:p w14:paraId="63052366"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226</w:t>
            </w:r>
          </w:p>
        </w:tc>
        <w:tc>
          <w:tcPr>
            <w:tcW w:w="1155" w:type="dxa"/>
            <w:tcBorders>
              <w:top w:val="nil"/>
              <w:left w:val="nil"/>
              <w:bottom w:val="nil"/>
              <w:right w:val="nil"/>
            </w:tcBorders>
            <w:shd w:val="clear" w:color="auto" w:fill="auto"/>
            <w:noWrap/>
            <w:vAlign w:val="center"/>
            <w:hideMark/>
          </w:tcPr>
          <w:p w14:paraId="572BF0D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79" w:type="dxa"/>
            <w:tcBorders>
              <w:top w:val="nil"/>
              <w:left w:val="nil"/>
              <w:bottom w:val="nil"/>
              <w:right w:val="nil"/>
            </w:tcBorders>
            <w:shd w:val="clear" w:color="auto" w:fill="auto"/>
            <w:noWrap/>
            <w:vAlign w:val="center"/>
            <w:hideMark/>
          </w:tcPr>
          <w:p w14:paraId="4BC2904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898" w:type="dxa"/>
            <w:tcBorders>
              <w:top w:val="nil"/>
              <w:left w:val="nil"/>
              <w:bottom w:val="nil"/>
              <w:right w:val="nil"/>
            </w:tcBorders>
            <w:shd w:val="clear" w:color="auto" w:fill="auto"/>
            <w:noWrap/>
            <w:vAlign w:val="center"/>
            <w:hideMark/>
          </w:tcPr>
          <w:p w14:paraId="0226453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113A431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25" w:type="dxa"/>
            <w:tcBorders>
              <w:top w:val="nil"/>
              <w:left w:val="nil"/>
              <w:bottom w:val="nil"/>
              <w:right w:val="nil"/>
            </w:tcBorders>
            <w:shd w:val="clear" w:color="auto" w:fill="auto"/>
            <w:noWrap/>
            <w:vAlign w:val="center"/>
            <w:hideMark/>
          </w:tcPr>
          <w:p w14:paraId="032DC49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858" w:type="dxa"/>
            <w:tcBorders>
              <w:top w:val="nil"/>
              <w:left w:val="nil"/>
              <w:bottom w:val="nil"/>
              <w:right w:val="nil"/>
            </w:tcBorders>
            <w:shd w:val="clear" w:color="auto" w:fill="auto"/>
            <w:noWrap/>
            <w:vAlign w:val="center"/>
            <w:hideMark/>
          </w:tcPr>
          <w:p w14:paraId="0DDAEA6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5" w:type="dxa"/>
            <w:tcBorders>
              <w:top w:val="nil"/>
              <w:left w:val="nil"/>
              <w:bottom w:val="nil"/>
              <w:right w:val="nil"/>
            </w:tcBorders>
            <w:shd w:val="clear" w:color="auto" w:fill="auto"/>
            <w:noWrap/>
            <w:vAlign w:val="center"/>
            <w:hideMark/>
          </w:tcPr>
          <w:p w14:paraId="225E872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226</w:t>
            </w:r>
          </w:p>
        </w:tc>
        <w:tc>
          <w:tcPr>
            <w:tcW w:w="1085" w:type="dxa"/>
            <w:tcBorders>
              <w:top w:val="nil"/>
              <w:left w:val="nil"/>
              <w:bottom w:val="nil"/>
              <w:right w:val="nil"/>
            </w:tcBorders>
            <w:shd w:val="clear" w:color="auto" w:fill="auto"/>
            <w:noWrap/>
            <w:vAlign w:val="center"/>
            <w:hideMark/>
          </w:tcPr>
          <w:p w14:paraId="1F747E1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226</w:t>
            </w:r>
          </w:p>
        </w:tc>
      </w:tr>
      <w:tr w:rsidR="00D92FD5" w:rsidRPr="00AE4E8D" w14:paraId="1586FB28" w14:textId="77777777" w:rsidTr="000400C8">
        <w:trPr>
          <w:trHeight w:val="192"/>
        </w:trPr>
        <w:tc>
          <w:tcPr>
            <w:tcW w:w="1544" w:type="dxa"/>
            <w:tcBorders>
              <w:top w:val="nil"/>
              <w:left w:val="nil"/>
              <w:bottom w:val="nil"/>
              <w:right w:val="nil"/>
            </w:tcBorders>
            <w:shd w:val="clear" w:color="auto" w:fill="auto"/>
            <w:noWrap/>
            <w:vAlign w:val="center"/>
            <w:hideMark/>
          </w:tcPr>
          <w:p w14:paraId="1B8C5DB0"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Bienes dados en alquiler</w:t>
            </w:r>
          </w:p>
        </w:tc>
        <w:tc>
          <w:tcPr>
            <w:tcW w:w="906" w:type="dxa"/>
            <w:tcBorders>
              <w:top w:val="nil"/>
              <w:left w:val="nil"/>
              <w:bottom w:val="nil"/>
              <w:right w:val="nil"/>
            </w:tcBorders>
            <w:shd w:val="clear" w:color="auto" w:fill="auto"/>
            <w:noWrap/>
            <w:vAlign w:val="center"/>
            <w:hideMark/>
          </w:tcPr>
          <w:p w14:paraId="72F2D72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2.610</w:t>
            </w:r>
          </w:p>
        </w:tc>
        <w:tc>
          <w:tcPr>
            <w:tcW w:w="1155" w:type="dxa"/>
            <w:tcBorders>
              <w:top w:val="nil"/>
              <w:left w:val="nil"/>
              <w:bottom w:val="nil"/>
              <w:right w:val="nil"/>
            </w:tcBorders>
            <w:shd w:val="clear" w:color="auto" w:fill="auto"/>
            <w:noWrap/>
            <w:vAlign w:val="center"/>
            <w:hideMark/>
          </w:tcPr>
          <w:p w14:paraId="6935693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79" w:type="dxa"/>
            <w:tcBorders>
              <w:top w:val="nil"/>
              <w:left w:val="nil"/>
              <w:bottom w:val="nil"/>
              <w:right w:val="nil"/>
            </w:tcBorders>
            <w:shd w:val="clear" w:color="auto" w:fill="auto"/>
            <w:noWrap/>
            <w:vAlign w:val="center"/>
            <w:hideMark/>
          </w:tcPr>
          <w:p w14:paraId="4112E9C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898" w:type="dxa"/>
            <w:tcBorders>
              <w:top w:val="nil"/>
              <w:left w:val="nil"/>
              <w:bottom w:val="nil"/>
              <w:right w:val="nil"/>
            </w:tcBorders>
            <w:shd w:val="clear" w:color="auto" w:fill="auto"/>
            <w:noWrap/>
            <w:vAlign w:val="center"/>
            <w:hideMark/>
          </w:tcPr>
          <w:p w14:paraId="0D9E6B7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118E036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25" w:type="dxa"/>
            <w:tcBorders>
              <w:top w:val="nil"/>
              <w:left w:val="nil"/>
              <w:bottom w:val="nil"/>
              <w:right w:val="nil"/>
            </w:tcBorders>
            <w:shd w:val="clear" w:color="auto" w:fill="auto"/>
            <w:noWrap/>
            <w:vAlign w:val="center"/>
            <w:hideMark/>
          </w:tcPr>
          <w:p w14:paraId="10258FB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858" w:type="dxa"/>
            <w:tcBorders>
              <w:top w:val="nil"/>
              <w:left w:val="nil"/>
              <w:bottom w:val="nil"/>
              <w:right w:val="nil"/>
            </w:tcBorders>
            <w:shd w:val="clear" w:color="auto" w:fill="auto"/>
            <w:noWrap/>
            <w:vAlign w:val="center"/>
            <w:hideMark/>
          </w:tcPr>
          <w:p w14:paraId="0C0623C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58</w:t>
            </w:r>
          </w:p>
        </w:tc>
        <w:tc>
          <w:tcPr>
            <w:tcW w:w="1085" w:type="dxa"/>
            <w:tcBorders>
              <w:top w:val="nil"/>
              <w:left w:val="nil"/>
              <w:bottom w:val="nil"/>
              <w:right w:val="nil"/>
            </w:tcBorders>
            <w:shd w:val="clear" w:color="auto" w:fill="auto"/>
            <w:noWrap/>
            <w:vAlign w:val="center"/>
            <w:hideMark/>
          </w:tcPr>
          <w:p w14:paraId="6297AF7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2.552</w:t>
            </w:r>
          </w:p>
        </w:tc>
        <w:tc>
          <w:tcPr>
            <w:tcW w:w="1085" w:type="dxa"/>
            <w:tcBorders>
              <w:top w:val="nil"/>
              <w:left w:val="nil"/>
              <w:bottom w:val="nil"/>
              <w:right w:val="nil"/>
            </w:tcBorders>
            <w:shd w:val="clear" w:color="auto" w:fill="auto"/>
            <w:noWrap/>
            <w:vAlign w:val="center"/>
            <w:hideMark/>
          </w:tcPr>
          <w:p w14:paraId="7033FD3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2.520</w:t>
            </w:r>
          </w:p>
        </w:tc>
      </w:tr>
      <w:tr w:rsidR="00D92FD5" w:rsidRPr="00AE4E8D" w14:paraId="66DD0792" w14:textId="77777777" w:rsidTr="000400C8">
        <w:trPr>
          <w:trHeight w:val="192"/>
        </w:trPr>
        <w:tc>
          <w:tcPr>
            <w:tcW w:w="1544" w:type="dxa"/>
            <w:tcBorders>
              <w:top w:val="nil"/>
              <w:left w:val="nil"/>
              <w:bottom w:val="nil"/>
              <w:right w:val="nil"/>
            </w:tcBorders>
            <w:shd w:val="clear" w:color="auto" w:fill="auto"/>
            <w:noWrap/>
            <w:vAlign w:val="center"/>
            <w:hideMark/>
          </w:tcPr>
          <w:p w14:paraId="765DF9E1"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Bienes tomados en defensa del crédito</w:t>
            </w:r>
          </w:p>
        </w:tc>
        <w:tc>
          <w:tcPr>
            <w:tcW w:w="906" w:type="dxa"/>
            <w:tcBorders>
              <w:top w:val="nil"/>
              <w:left w:val="nil"/>
              <w:bottom w:val="nil"/>
              <w:right w:val="nil"/>
            </w:tcBorders>
            <w:shd w:val="clear" w:color="auto" w:fill="auto"/>
            <w:noWrap/>
            <w:vAlign w:val="center"/>
            <w:hideMark/>
          </w:tcPr>
          <w:p w14:paraId="0E48307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1.596</w:t>
            </w:r>
          </w:p>
        </w:tc>
        <w:tc>
          <w:tcPr>
            <w:tcW w:w="1155" w:type="dxa"/>
            <w:tcBorders>
              <w:top w:val="nil"/>
              <w:left w:val="nil"/>
              <w:bottom w:val="nil"/>
              <w:right w:val="nil"/>
            </w:tcBorders>
            <w:shd w:val="clear" w:color="auto" w:fill="auto"/>
            <w:noWrap/>
            <w:vAlign w:val="center"/>
            <w:hideMark/>
          </w:tcPr>
          <w:p w14:paraId="0278054C"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79" w:type="dxa"/>
            <w:tcBorders>
              <w:top w:val="nil"/>
              <w:left w:val="nil"/>
              <w:bottom w:val="nil"/>
              <w:right w:val="nil"/>
            </w:tcBorders>
            <w:shd w:val="clear" w:color="auto" w:fill="auto"/>
            <w:noWrap/>
            <w:vAlign w:val="center"/>
            <w:hideMark/>
          </w:tcPr>
          <w:p w14:paraId="516FF3B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898" w:type="dxa"/>
            <w:tcBorders>
              <w:top w:val="nil"/>
              <w:left w:val="nil"/>
              <w:bottom w:val="nil"/>
              <w:right w:val="nil"/>
            </w:tcBorders>
            <w:shd w:val="clear" w:color="auto" w:fill="auto"/>
            <w:noWrap/>
            <w:vAlign w:val="center"/>
            <w:hideMark/>
          </w:tcPr>
          <w:p w14:paraId="4EE4F19F" w14:textId="77777777" w:rsidR="00D92FD5" w:rsidRPr="00AE4E8D" w:rsidRDefault="00FA317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4016383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25" w:type="dxa"/>
            <w:tcBorders>
              <w:top w:val="nil"/>
              <w:left w:val="nil"/>
              <w:bottom w:val="nil"/>
              <w:right w:val="nil"/>
            </w:tcBorders>
            <w:shd w:val="clear" w:color="auto" w:fill="auto"/>
            <w:noWrap/>
            <w:vAlign w:val="center"/>
            <w:hideMark/>
          </w:tcPr>
          <w:p w14:paraId="2F76FBC2"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50 </w:t>
            </w:r>
          </w:p>
        </w:tc>
        <w:tc>
          <w:tcPr>
            <w:tcW w:w="858" w:type="dxa"/>
            <w:tcBorders>
              <w:top w:val="nil"/>
              <w:left w:val="nil"/>
              <w:bottom w:val="nil"/>
              <w:right w:val="nil"/>
            </w:tcBorders>
            <w:shd w:val="clear" w:color="auto" w:fill="auto"/>
            <w:noWrap/>
            <w:vAlign w:val="center"/>
            <w:hideMark/>
          </w:tcPr>
          <w:p w14:paraId="02A5054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11</w:t>
            </w:r>
          </w:p>
        </w:tc>
        <w:tc>
          <w:tcPr>
            <w:tcW w:w="1085" w:type="dxa"/>
            <w:tcBorders>
              <w:top w:val="nil"/>
              <w:left w:val="nil"/>
              <w:bottom w:val="nil"/>
              <w:right w:val="nil"/>
            </w:tcBorders>
            <w:shd w:val="clear" w:color="auto" w:fill="auto"/>
            <w:noWrap/>
            <w:vAlign w:val="center"/>
            <w:hideMark/>
          </w:tcPr>
          <w:p w14:paraId="0FC8AA1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1.585</w:t>
            </w:r>
          </w:p>
        </w:tc>
        <w:tc>
          <w:tcPr>
            <w:tcW w:w="1085" w:type="dxa"/>
            <w:tcBorders>
              <w:top w:val="nil"/>
              <w:left w:val="nil"/>
              <w:bottom w:val="nil"/>
              <w:right w:val="nil"/>
            </w:tcBorders>
            <w:shd w:val="clear" w:color="auto" w:fill="auto"/>
            <w:noWrap/>
            <w:vAlign w:val="center"/>
            <w:hideMark/>
          </w:tcPr>
          <w:p w14:paraId="2033309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1.608</w:t>
            </w:r>
          </w:p>
        </w:tc>
      </w:tr>
      <w:tr w:rsidR="00D92FD5" w:rsidRPr="00AE4E8D" w14:paraId="3A7CC57D" w14:textId="77777777" w:rsidTr="000400C8">
        <w:trPr>
          <w:trHeight w:val="192"/>
        </w:trPr>
        <w:tc>
          <w:tcPr>
            <w:tcW w:w="1544" w:type="dxa"/>
            <w:tcBorders>
              <w:top w:val="nil"/>
              <w:left w:val="nil"/>
              <w:bottom w:val="nil"/>
              <w:right w:val="nil"/>
            </w:tcBorders>
            <w:shd w:val="clear" w:color="auto" w:fill="auto"/>
            <w:noWrap/>
            <w:vAlign w:val="center"/>
            <w:hideMark/>
          </w:tcPr>
          <w:p w14:paraId="487854A4"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Papeles y Útiles </w:t>
            </w:r>
          </w:p>
        </w:tc>
        <w:tc>
          <w:tcPr>
            <w:tcW w:w="906" w:type="dxa"/>
            <w:tcBorders>
              <w:top w:val="nil"/>
              <w:left w:val="nil"/>
              <w:bottom w:val="nil"/>
              <w:right w:val="nil"/>
            </w:tcBorders>
            <w:shd w:val="clear" w:color="auto" w:fill="auto"/>
            <w:noWrap/>
            <w:vAlign w:val="center"/>
            <w:hideMark/>
          </w:tcPr>
          <w:p w14:paraId="4B53E0E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32.555</w:t>
            </w:r>
          </w:p>
        </w:tc>
        <w:tc>
          <w:tcPr>
            <w:tcW w:w="1155" w:type="dxa"/>
            <w:tcBorders>
              <w:top w:val="nil"/>
              <w:left w:val="nil"/>
              <w:bottom w:val="nil"/>
              <w:right w:val="nil"/>
            </w:tcBorders>
            <w:shd w:val="clear" w:color="auto" w:fill="auto"/>
            <w:noWrap/>
            <w:vAlign w:val="center"/>
            <w:hideMark/>
          </w:tcPr>
          <w:p w14:paraId="6BE903FE"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2.707</w:t>
            </w:r>
          </w:p>
        </w:tc>
        <w:tc>
          <w:tcPr>
            <w:tcW w:w="1079" w:type="dxa"/>
            <w:tcBorders>
              <w:top w:val="nil"/>
              <w:left w:val="nil"/>
              <w:bottom w:val="nil"/>
              <w:right w:val="nil"/>
            </w:tcBorders>
            <w:shd w:val="clear" w:color="auto" w:fill="auto"/>
            <w:noWrap/>
            <w:vAlign w:val="center"/>
            <w:hideMark/>
          </w:tcPr>
          <w:p w14:paraId="654B18F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898" w:type="dxa"/>
            <w:tcBorders>
              <w:top w:val="nil"/>
              <w:left w:val="nil"/>
              <w:bottom w:val="nil"/>
              <w:right w:val="nil"/>
            </w:tcBorders>
            <w:shd w:val="clear" w:color="auto" w:fill="auto"/>
            <w:noWrap/>
            <w:vAlign w:val="center"/>
            <w:hideMark/>
          </w:tcPr>
          <w:p w14:paraId="0D089E2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1EA83EB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25" w:type="dxa"/>
            <w:tcBorders>
              <w:top w:val="nil"/>
              <w:left w:val="nil"/>
              <w:bottom w:val="nil"/>
              <w:right w:val="nil"/>
            </w:tcBorders>
            <w:shd w:val="clear" w:color="auto" w:fill="auto"/>
            <w:noWrap/>
            <w:vAlign w:val="center"/>
            <w:hideMark/>
          </w:tcPr>
          <w:p w14:paraId="377BF38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w:t>
            </w:r>
          </w:p>
        </w:tc>
        <w:tc>
          <w:tcPr>
            <w:tcW w:w="858" w:type="dxa"/>
            <w:tcBorders>
              <w:top w:val="nil"/>
              <w:left w:val="nil"/>
              <w:bottom w:val="nil"/>
              <w:right w:val="nil"/>
            </w:tcBorders>
            <w:shd w:val="clear" w:color="auto" w:fill="auto"/>
            <w:noWrap/>
            <w:vAlign w:val="center"/>
            <w:hideMark/>
          </w:tcPr>
          <w:p w14:paraId="293AB9E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5" w:type="dxa"/>
            <w:tcBorders>
              <w:top w:val="nil"/>
              <w:left w:val="nil"/>
              <w:bottom w:val="nil"/>
              <w:right w:val="nil"/>
            </w:tcBorders>
            <w:shd w:val="clear" w:color="auto" w:fill="auto"/>
            <w:noWrap/>
            <w:vAlign w:val="center"/>
            <w:hideMark/>
          </w:tcPr>
          <w:p w14:paraId="4CFB3C78"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35.262</w:t>
            </w:r>
          </w:p>
        </w:tc>
        <w:tc>
          <w:tcPr>
            <w:tcW w:w="1085" w:type="dxa"/>
            <w:tcBorders>
              <w:top w:val="nil"/>
              <w:left w:val="nil"/>
              <w:bottom w:val="nil"/>
              <w:right w:val="nil"/>
            </w:tcBorders>
            <w:shd w:val="clear" w:color="auto" w:fill="auto"/>
            <w:noWrap/>
            <w:vAlign w:val="center"/>
            <w:hideMark/>
          </w:tcPr>
          <w:p w14:paraId="5D4BA81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30.848</w:t>
            </w:r>
          </w:p>
        </w:tc>
      </w:tr>
      <w:tr w:rsidR="00D92FD5" w:rsidRPr="00AE4E8D" w14:paraId="4A1C462D" w14:textId="77777777" w:rsidTr="000400C8">
        <w:trPr>
          <w:trHeight w:val="192"/>
        </w:trPr>
        <w:tc>
          <w:tcPr>
            <w:tcW w:w="1544" w:type="dxa"/>
            <w:tcBorders>
              <w:top w:val="nil"/>
              <w:left w:val="nil"/>
              <w:bottom w:val="nil"/>
              <w:right w:val="nil"/>
            </w:tcBorders>
            <w:shd w:val="clear" w:color="auto" w:fill="auto"/>
            <w:noWrap/>
            <w:vAlign w:val="center"/>
            <w:hideMark/>
          </w:tcPr>
          <w:p w14:paraId="5FB1104B"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Otros bienes diversos</w:t>
            </w:r>
          </w:p>
        </w:tc>
        <w:tc>
          <w:tcPr>
            <w:tcW w:w="906" w:type="dxa"/>
            <w:tcBorders>
              <w:top w:val="nil"/>
              <w:left w:val="nil"/>
              <w:bottom w:val="nil"/>
              <w:right w:val="nil"/>
            </w:tcBorders>
            <w:shd w:val="clear" w:color="auto" w:fill="auto"/>
            <w:noWrap/>
            <w:vAlign w:val="center"/>
            <w:hideMark/>
          </w:tcPr>
          <w:p w14:paraId="26CAFCD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30.839</w:t>
            </w:r>
          </w:p>
        </w:tc>
        <w:tc>
          <w:tcPr>
            <w:tcW w:w="1155" w:type="dxa"/>
            <w:tcBorders>
              <w:top w:val="nil"/>
              <w:left w:val="nil"/>
              <w:bottom w:val="nil"/>
              <w:right w:val="nil"/>
            </w:tcBorders>
            <w:shd w:val="clear" w:color="auto" w:fill="auto"/>
            <w:noWrap/>
            <w:vAlign w:val="center"/>
            <w:hideMark/>
          </w:tcPr>
          <w:p w14:paraId="5451A32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3.460</w:t>
            </w:r>
          </w:p>
        </w:tc>
        <w:tc>
          <w:tcPr>
            <w:tcW w:w="1079" w:type="dxa"/>
            <w:tcBorders>
              <w:top w:val="nil"/>
              <w:left w:val="nil"/>
              <w:bottom w:val="nil"/>
              <w:right w:val="nil"/>
            </w:tcBorders>
            <w:shd w:val="clear" w:color="auto" w:fill="auto"/>
            <w:noWrap/>
            <w:vAlign w:val="center"/>
            <w:hideMark/>
          </w:tcPr>
          <w:p w14:paraId="5AED2F7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10.222</w:t>
            </w:r>
          </w:p>
        </w:tc>
        <w:tc>
          <w:tcPr>
            <w:tcW w:w="898" w:type="dxa"/>
            <w:tcBorders>
              <w:top w:val="nil"/>
              <w:left w:val="nil"/>
              <w:bottom w:val="nil"/>
              <w:right w:val="nil"/>
            </w:tcBorders>
            <w:shd w:val="clear" w:color="auto" w:fill="auto"/>
            <w:noWrap/>
            <w:vAlign w:val="center"/>
            <w:hideMark/>
          </w:tcPr>
          <w:p w14:paraId="5841C9D5" w14:textId="77777777" w:rsidR="00D92FD5" w:rsidRPr="00AE4E8D" w:rsidRDefault="00FA317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p>
        </w:tc>
        <w:tc>
          <w:tcPr>
            <w:tcW w:w="1109" w:type="dxa"/>
            <w:tcBorders>
              <w:top w:val="nil"/>
              <w:left w:val="nil"/>
              <w:bottom w:val="nil"/>
              <w:right w:val="nil"/>
            </w:tcBorders>
            <w:shd w:val="clear" w:color="auto" w:fill="auto"/>
            <w:noWrap/>
            <w:vAlign w:val="center"/>
            <w:hideMark/>
          </w:tcPr>
          <w:p w14:paraId="6EE8CAAA" w14:textId="77777777" w:rsidR="00D92FD5" w:rsidRPr="00AE4E8D" w:rsidRDefault="00FA317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00D92FD5" w:rsidRPr="00AE4E8D">
              <w:rPr>
                <w:rFonts w:ascii="Times New Roman" w:hAnsi="Times New Roman"/>
                <w:color w:val="000000"/>
                <w:sz w:val="14"/>
                <w:szCs w:val="14"/>
                <w:lang w:val="es-ES"/>
              </w:rPr>
              <w:t xml:space="preserve"> </w:t>
            </w:r>
          </w:p>
        </w:tc>
        <w:tc>
          <w:tcPr>
            <w:tcW w:w="1025" w:type="dxa"/>
            <w:tcBorders>
              <w:top w:val="nil"/>
              <w:left w:val="nil"/>
              <w:bottom w:val="nil"/>
              <w:right w:val="nil"/>
            </w:tcBorders>
            <w:shd w:val="clear" w:color="auto" w:fill="auto"/>
            <w:noWrap/>
            <w:vAlign w:val="center"/>
            <w:hideMark/>
          </w:tcPr>
          <w:p w14:paraId="73B3D73D"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50 </w:t>
            </w:r>
          </w:p>
        </w:tc>
        <w:tc>
          <w:tcPr>
            <w:tcW w:w="858" w:type="dxa"/>
            <w:tcBorders>
              <w:top w:val="nil"/>
              <w:left w:val="nil"/>
              <w:bottom w:val="nil"/>
              <w:right w:val="nil"/>
            </w:tcBorders>
            <w:shd w:val="clear" w:color="auto" w:fill="auto"/>
            <w:noWrap/>
            <w:vAlign w:val="center"/>
            <w:hideMark/>
          </w:tcPr>
          <w:p w14:paraId="55552630"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3.043</w:t>
            </w:r>
          </w:p>
        </w:tc>
        <w:tc>
          <w:tcPr>
            <w:tcW w:w="1085" w:type="dxa"/>
            <w:tcBorders>
              <w:top w:val="nil"/>
              <w:left w:val="nil"/>
              <w:bottom w:val="nil"/>
              <w:right w:val="nil"/>
            </w:tcBorders>
            <w:shd w:val="clear" w:color="auto" w:fill="auto"/>
            <w:noWrap/>
            <w:vAlign w:val="center"/>
            <w:hideMark/>
          </w:tcPr>
          <w:p w14:paraId="3EA6CFFC"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19.250</w:t>
            </w:r>
          </w:p>
        </w:tc>
        <w:tc>
          <w:tcPr>
            <w:tcW w:w="1085" w:type="dxa"/>
            <w:tcBorders>
              <w:top w:val="nil"/>
              <w:left w:val="nil"/>
              <w:bottom w:val="nil"/>
              <w:right w:val="nil"/>
            </w:tcBorders>
            <w:shd w:val="clear" w:color="auto" w:fill="auto"/>
            <w:noWrap/>
            <w:vAlign w:val="center"/>
            <w:hideMark/>
          </w:tcPr>
          <w:p w14:paraId="2085DA8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28.760</w:t>
            </w:r>
          </w:p>
        </w:tc>
      </w:tr>
      <w:tr w:rsidR="00D92FD5" w:rsidRPr="00AE4E8D" w14:paraId="1C149776" w14:textId="77777777" w:rsidTr="000400C8">
        <w:trPr>
          <w:trHeight w:val="202"/>
        </w:trPr>
        <w:tc>
          <w:tcPr>
            <w:tcW w:w="1544" w:type="dxa"/>
            <w:tcBorders>
              <w:top w:val="nil"/>
              <w:left w:val="nil"/>
              <w:bottom w:val="nil"/>
              <w:right w:val="nil"/>
            </w:tcBorders>
            <w:shd w:val="clear" w:color="auto" w:fill="auto"/>
            <w:noWrap/>
            <w:vAlign w:val="center"/>
            <w:hideMark/>
          </w:tcPr>
          <w:p w14:paraId="39BD18D8" w14:textId="77777777" w:rsidR="00D92FD5" w:rsidRPr="00AE4E8D" w:rsidRDefault="00D92FD5" w:rsidP="009E7DDD">
            <w:pPr>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 - Anticipos por compra de bienes</w:t>
            </w:r>
          </w:p>
        </w:tc>
        <w:tc>
          <w:tcPr>
            <w:tcW w:w="906" w:type="dxa"/>
            <w:tcBorders>
              <w:top w:val="nil"/>
              <w:left w:val="nil"/>
              <w:bottom w:val="single" w:sz="8" w:space="0" w:color="auto"/>
              <w:right w:val="nil"/>
            </w:tcBorders>
            <w:shd w:val="clear" w:color="auto" w:fill="auto"/>
            <w:noWrap/>
            <w:vAlign w:val="center"/>
            <w:hideMark/>
          </w:tcPr>
          <w:p w14:paraId="266EF0E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176.551</w:t>
            </w:r>
          </w:p>
        </w:tc>
        <w:tc>
          <w:tcPr>
            <w:tcW w:w="1155" w:type="dxa"/>
            <w:tcBorders>
              <w:top w:val="nil"/>
              <w:left w:val="nil"/>
              <w:bottom w:val="single" w:sz="8" w:space="0" w:color="auto"/>
              <w:right w:val="nil"/>
            </w:tcBorders>
            <w:shd w:val="clear" w:color="auto" w:fill="auto"/>
            <w:noWrap/>
            <w:vAlign w:val="center"/>
            <w:hideMark/>
          </w:tcPr>
          <w:p w14:paraId="091CD75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79" w:type="dxa"/>
            <w:tcBorders>
              <w:top w:val="nil"/>
              <w:left w:val="nil"/>
              <w:bottom w:val="single" w:sz="8" w:space="0" w:color="auto"/>
              <w:right w:val="nil"/>
            </w:tcBorders>
            <w:shd w:val="clear" w:color="auto" w:fill="auto"/>
            <w:noWrap/>
            <w:vAlign w:val="center"/>
            <w:hideMark/>
          </w:tcPr>
          <w:p w14:paraId="327DDD07"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 xml:space="preserve">(176.551) </w:t>
            </w:r>
          </w:p>
        </w:tc>
        <w:tc>
          <w:tcPr>
            <w:tcW w:w="898" w:type="dxa"/>
            <w:tcBorders>
              <w:top w:val="nil"/>
              <w:left w:val="nil"/>
              <w:bottom w:val="single" w:sz="8" w:space="0" w:color="auto"/>
              <w:right w:val="nil"/>
            </w:tcBorders>
            <w:shd w:val="clear" w:color="auto" w:fill="auto"/>
            <w:noWrap/>
            <w:vAlign w:val="center"/>
            <w:hideMark/>
          </w:tcPr>
          <w:p w14:paraId="219526C4"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single" w:sz="8" w:space="0" w:color="auto"/>
              <w:right w:val="nil"/>
            </w:tcBorders>
            <w:shd w:val="clear" w:color="auto" w:fill="auto"/>
            <w:noWrap/>
            <w:vAlign w:val="center"/>
            <w:hideMark/>
          </w:tcPr>
          <w:p w14:paraId="71FD032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25" w:type="dxa"/>
            <w:tcBorders>
              <w:top w:val="nil"/>
              <w:left w:val="nil"/>
              <w:bottom w:val="single" w:sz="8" w:space="0" w:color="auto"/>
              <w:right w:val="nil"/>
            </w:tcBorders>
            <w:shd w:val="clear" w:color="auto" w:fill="auto"/>
            <w:noWrap/>
            <w:vAlign w:val="center"/>
            <w:hideMark/>
          </w:tcPr>
          <w:p w14:paraId="126E896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858" w:type="dxa"/>
            <w:tcBorders>
              <w:top w:val="nil"/>
              <w:left w:val="nil"/>
              <w:bottom w:val="single" w:sz="8" w:space="0" w:color="auto"/>
              <w:right w:val="nil"/>
            </w:tcBorders>
            <w:shd w:val="clear" w:color="auto" w:fill="auto"/>
            <w:noWrap/>
            <w:vAlign w:val="center"/>
            <w:hideMark/>
          </w:tcPr>
          <w:p w14:paraId="3599B15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85" w:type="dxa"/>
            <w:tcBorders>
              <w:top w:val="nil"/>
              <w:left w:val="nil"/>
              <w:bottom w:val="single" w:sz="8" w:space="0" w:color="auto"/>
              <w:right w:val="nil"/>
            </w:tcBorders>
            <w:shd w:val="clear" w:color="auto" w:fill="auto"/>
            <w:noWrap/>
            <w:vAlign w:val="center"/>
            <w:hideMark/>
          </w:tcPr>
          <w:p w14:paraId="64356C03"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p>
        </w:tc>
        <w:tc>
          <w:tcPr>
            <w:tcW w:w="1085" w:type="dxa"/>
            <w:tcBorders>
              <w:top w:val="nil"/>
              <w:left w:val="nil"/>
              <w:bottom w:val="single" w:sz="8" w:space="0" w:color="auto"/>
              <w:right w:val="nil"/>
            </w:tcBorders>
            <w:shd w:val="clear" w:color="auto" w:fill="auto"/>
            <w:noWrap/>
            <w:vAlign w:val="center"/>
            <w:hideMark/>
          </w:tcPr>
          <w:p w14:paraId="707D904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176.551</w:t>
            </w:r>
          </w:p>
        </w:tc>
      </w:tr>
      <w:tr w:rsidR="00D92FD5" w:rsidRPr="00AE4E8D" w14:paraId="0DCAE941" w14:textId="77777777" w:rsidTr="000400C8">
        <w:trPr>
          <w:trHeight w:val="202"/>
        </w:trPr>
        <w:tc>
          <w:tcPr>
            <w:tcW w:w="1544" w:type="dxa"/>
            <w:tcBorders>
              <w:top w:val="nil"/>
              <w:left w:val="nil"/>
              <w:bottom w:val="nil"/>
              <w:right w:val="nil"/>
            </w:tcBorders>
            <w:shd w:val="clear" w:color="auto" w:fill="auto"/>
            <w:noWrap/>
            <w:vAlign w:val="center"/>
            <w:hideMark/>
          </w:tcPr>
          <w:p w14:paraId="5D034F06" w14:textId="77777777" w:rsidR="00D92FD5" w:rsidRPr="00AE4E8D" w:rsidRDefault="00D92FD5" w:rsidP="009E7DDD">
            <w:pPr>
              <w:rPr>
                <w:rFonts w:ascii="Times New Roman" w:hAnsi="Times New Roman"/>
                <w:b/>
                <w:bCs/>
                <w:color w:val="000000"/>
                <w:sz w:val="14"/>
                <w:szCs w:val="14"/>
                <w:lang w:val="es-ES"/>
              </w:rPr>
            </w:pPr>
            <w:r w:rsidRPr="00AE4E8D">
              <w:rPr>
                <w:rFonts w:ascii="Times New Roman" w:hAnsi="Times New Roman"/>
                <w:b/>
                <w:bCs/>
                <w:color w:val="000000"/>
                <w:sz w:val="14"/>
                <w:szCs w:val="14"/>
                <w:lang w:val="es-ES"/>
              </w:rPr>
              <w:t>Total</w:t>
            </w:r>
          </w:p>
        </w:tc>
        <w:tc>
          <w:tcPr>
            <w:tcW w:w="906" w:type="dxa"/>
            <w:tcBorders>
              <w:top w:val="nil"/>
              <w:left w:val="nil"/>
              <w:bottom w:val="single" w:sz="8" w:space="0" w:color="auto"/>
              <w:right w:val="nil"/>
            </w:tcBorders>
            <w:shd w:val="clear" w:color="auto" w:fill="auto"/>
            <w:noWrap/>
            <w:vAlign w:val="center"/>
            <w:hideMark/>
          </w:tcPr>
          <w:p w14:paraId="62FB8C1E"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295.835</w:t>
            </w:r>
          </w:p>
        </w:tc>
        <w:tc>
          <w:tcPr>
            <w:tcW w:w="1155" w:type="dxa"/>
            <w:tcBorders>
              <w:top w:val="nil"/>
              <w:left w:val="nil"/>
              <w:bottom w:val="single" w:sz="8" w:space="0" w:color="auto"/>
              <w:right w:val="nil"/>
            </w:tcBorders>
            <w:shd w:val="clear" w:color="auto" w:fill="auto"/>
            <w:noWrap/>
            <w:vAlign w:val="center"/>
            <w:hideMark/>
          </w:tcPr>
          <w:p w14:paraId="673B4D2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1.215.673</w:t>
            </w:r>
          </w:p>
        </w:tc>
        <w:tc>
          <w:tcPr>
            <w:tcW w:w="1079" w:type="dxa"/>
            <w:tcBorders>
              <w:top w:val="nil"/>
              <w:left w:val="nil"/>
              <w:bottom w:val="single" w:sz="8" w:space="0" w:color="auto"/>
              <w:right w:val="nil"/>
            </w:tcBorders>
            <w:shd w:val="clear" w:color="auto" w:fill="auto"/>
            <w:noWrap/>
            <w:vAlign w:val="center"/>
            <w:hideMark/>
          </w:tcPr>
          <w:p w14:paraId="690C1E2B"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(219.126)</w:t>
            </w:r>
          </w:p>
        </w:tc>
        <w:tc>
          <w:tcPr>
            <w:tcW w:w="898" w:type="dxa"/>
            <w:tcBorders>
              <w:top w:val="nil"/>
              <w:left w:val="nil"/>
              <w:bottom w:val="single" w:sz="8" w:space="0" w:color="auto"/>
              <w:right w:val="nil"/>
            </w:tcBorders>
            <w:shd w:val="clear" w:color="auto" w:fill="auto"/>
            <w:noWrap/>
            <w:vAlign w:val="center"/>
            <w:hideMark/>
          </w:tcPr>
          <w:p w14:paraId="10EE56A1"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109" w:type="dxa"/>
            <w:tcBorders>
              <w:top w:val="nil"/>
              <w:left w:val="nil"/>
              <w:bottom w:val="single" w:sz="8" w:space="0" w:color="auto"/>
              <w:right w:val="nil"/>
            </w:tcBorders>
            <w:shd w:val="clear" w:color="auto" w:fill="auto"/>
            <w:noWrap/>
            <w:vAlign w:val="center"/>
            <w:hideMark/>
          </w:tcPr>
          <w:p w14:paraId="227E0D65"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1025" w:type="dxa"/>
            <w:tcBorders>
              <w:top w:val="nil"/>
              <w:left w:val="nil"/>
              <w:bottom w:val="single" w:sz="8" w:space="0" w:color="auto"/>
              <w:right w:val="nil"/>
            </w:tcBorders>
            <w:shd w:val="clear" w:color="auto" w:fill="auto"/>
            <w:noWrap/>
            <w:vAlign w:val="center"/>
            <w:hideMark/>
          </w:tcPr>
          <w:p w14:paraId="58D4AA4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w:t>
            </w:r>
            <w:r w:rsidR="00EB3492" w:rsidRPr="00AE4E8D">
              <w:rPr>
                <w:rFonts w:ascii="Times New Roman" w:hAnsi="Times New Roman"/>
                <w:color w:val="000000"/>
                <w:sz w:val="14"/>
                <w:szCs w:val="14"/>
                <w:lang w:val="es-ES"/>
              </w:rPr>
              <w:t xml:space="preserve"> </w:t>
            </w:r>
            <w:r w:rsidRPr="00AE4E8D">
              <w:rPr>
                <w:rFonts w:ascii="Times New Roman" w:hAnsi="Times New Roman"/>
                <w:color w:val="000000"/>
                <w:sz w:val="14"/>
                <w:szCs w:val="14"/>
                <w:lang w:val="es-ES"/>
              </w:rPr>
              <w:t xml:space="preserve"> </w:t>
            </w:r>
          </w:p>
        </w:tc>
        <w:tc>
          <w:tcPr>
            <w:tcW w:w="858" w:type="dxa"/>
            <w:tcBorders>
              <w:top w:val="nil"/>
              <w:left w:val="nil"/>
              <w:bottom w:val="single" w:sz="8" w:space="0" w:color="auto"/>
              <w:right w:val="nil"/>
            </w:tcBorders>
            <w:shd w:val="clear" w:color="auto" w:fill="auto"/>
            <w:noWrap/>
            <w:vAlign w:val="center"/>
            <w:hideMark/>
          </w:tcPr>
          <w:p w14:paraId="7195C779"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3.112</w:t>
            </w:r>
          </w:p>
        </w:tc>
        <w:tc>
          <w:tcPr>
            <w:tcW w:w="1085" w:type="dxa"/>
            <w:tcBorders>
              <w:top w:val="nil"/>
              <w:left w:val="nil"/>
              <w:bottom w:val="single" w:sz="8" w:space="0" w:color="auto"/>
              <w:right w:val="nil"/>
            </w:tcBorders>
            <w:shd w:val="clear" w:color="auto" w:fill="auto"/>
            <w:noWrap/>
            <w:vAlign w:val="center"/>
            <w:hideMark/>
          </w:tcPr>
          <w:p w14:paraId="1A12710F"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1.267.042</w:t>
            </w:r>
          </w:p>
        </w:tc>
        <w:tc>
          <w:tcPr>
            <w:tcW w:w="1085" w:type="dxa"/>
            <w:tcBorders>
              <w:top w:val="nil"/>
              <w:left w:val="nil"/>
              <w:bottom w:val="single" w:sz="8" w:space="0" w:color="auto"/>
              <w:right w:val="nil"/>
            </w:tcBorders>
            <w:shd w:val="clear" w:color="auto" w:fill="auto"/>
            <w:noWrap/>
            <w:vAlign w:val="center"/>
            <w:hideMark/>
          </w:tcPr>
          <w:p w14:paraId="508808EA" w14:textId="77777777" w:rsidR="00D92FD5" w:rsidRPr="00AE4E8D" w:rsidRDefault="00D92FD5" w:rsidP="00FA3175">
            <w:pPr>
              <w:jc w:val="right"/>
              <w:rPr>
                <w:rFonts w:ascii="Times New Roman" w:hAnsi="Times New Roman"/>
                <w:color w:val="000000"/>
                <w:sz w:val="14"/>
                <w:szCs w:val="14"/>
                <w:lang w:val="es-ES"/>
              </w:rPr>
            </w:pPr>
            <w:r w:rsidRPr="00AE4E8D">
              <w:rPr>
                <w:rFonts w:ascii="Times New Roman" w:hAnsi="Times New Roman"/>
                <w:color w:val="000000"/>
                <w:sz w:val="14"/>
                <w:szCs w:val="14"/>
                <w:lang w:val="es-ES"/>
              </w:rPr>
              <w:t>253.467</w:t>
            </w:r>
          </w:p>
        </w:tc>
      </w:tr>
    </w:tbl>
    <w:p w14:paraId="3C6319D6" w14:textId="77777777" w:rsidR="00D92FD5" w:rsidRPr="00AE4E8D" w:rsidRDefault="00D92FD5" w:rsidP="00D92FD5">
      <w:pPr>
        <w:pStyle w:val="BHTexto"/>
        <w:spacing w:after="0"/>
        <w:rPr>
          <w:highlight w:val="cyan"/>
          <w:lang w:val="es-ES"/>
        </w:rPr>
      </w:pPr>
    </w:p>
    <w:p w14:paraId="40E2FB90" w14:textId="77777777" w:rsidR="00E90931" w:rsidRPr="00AE4E8D" w:rsidRDefault="00D92FD5" w:rsidP="00E90931">
      <w:pPr>
        <w:autoSpaceDE w:val="0"/>
        <w:autoSpaceDN w:val="0"/>
        <w:adjustRightInd w:val="0"/>
        <w:spacing w:before="240" w:after="240"/>
        <w:jc w:val="center"/>
        <w:outlineLvl w:val="0"/>
        <w:rPr>
          <w:rFonts w:ascii="Times New Roman" w:hAnsi="Times New Roman"/>
          <w:b/>
          <w:caps/>
          <w:lang w:val="es-ES" w:eastAsia="es-AR"/>
        </w:rPr>
      </w:pPr>
      <w:r w:rsidRPr="00AE4E8D">
        <w:rPr>
          <w:rFonts w:ascii="Times New Roman" w:hAnsi="Times New Roman"/>
          <w:b/>
          <w:caps/>
          <w:lang w:val="es-ES" w:eastAsia="es-AR"/>
        </w:rPr>
        <w:br w:type="page"/>
      </w:r>
      <w:bookmarkStart w:id="307" w:name="_Toc495972990"/>
      <w:bookmarkStart w:id="308" w:name="_Toc495399897"/>
      <w:r w:rsidR="00E90931" w:rsidRPr="00AE4E8D">
        <w:rPr>
          <w:rFonts w:ascii="Times New Roman" w:hAnsi="Times New Roman"/>
          <w:b/>
          <w:caps/>
          <w:lang w:val="es-ES" w:eastAsia="es-AR"/>
        </w:rPr>
        <w:lastRenderedPageBreak/>
        <w:t>INFORMACIÓN ESTADÍSTICA SELECCIONADA</w:t>
      </w:r>
      <w:bookmarkEnd w:id="302"/>
      <w:bookmarkEnd w:id="307"/>
      <w:bookmarkEnd w:id="308"/>
    </w:p>
    <w:p w14:paraId="5ED98E77" w14:textId="77777777" w:rsidR="00E90931" w:rsidRPr="00AE4E8D" w:rsidRDefault="00E90931" w:rsidP="00E9093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Incluimos la siguiente información con fines de análisis y la misma deberá leerse junto con nuestros estados contables auditados mencionados en otras secciones de éste Prospecto tal como junto con las secciones “</w:t>
      </w:r>
      <w:r w:rsidRPr="00AE4E8D">
        <w:rPr>
          <w:rFonts w:ascii="Times New Roman" w:hAnsi="Times New Roman"/>
          <w:i/>
          <w:lang w:val="es-ES" w:eastAsia="es-AR"/>
        </w:rPr>
        <w:t>Comentarios y Análisis de la Dirección sobre la Situación Patrimonial y los Resultados de las Operaciones</w:t>
      </w:r>
      <w:r w:rsidRPr="00AE4E8D">
        <w:rPr>
          <w:rFonts w:ascii="Times New Roman" w:hAnsi="Times New Roman"/>
          <w:lang w:val="es-ES" w:eastAsia="es-AR"/>
        </w:rPr>
        <w:t>” e “</w:t>
      </w:r>
      <w:r w:rsidRPr="00AE4E8D">
        <w:rPr>
          <w:rFonts w:ascii="Times New Roman" w:hAnsi="Times New Roman"/>
          <w:i/>
          <w:lang w:val="es-ES" w:eastAsia="es-AR"/>
        </w:rPr>
        <w:t>Información Contable y de Otra Índole Seleccionada</w:t>
      </w:r>
      <w:r w:rsidRPr="00AE4E8D">
        <w:rPr>
          <w:rFonts w:ascii="Times New Roman" w:hAnsi="Times New Roman"/>
          <w:lang w:val="es-ES" w:eastAsia="es-AR"/>
        </w:rPr>
        <w:t xml:space="preserve">”. </w:t>
      </w:r>
    </w:p>
    <w:p w14:paraId="5B3B4C30" w14:textId="77777777" w:rsidR="00E90931" w:rsidRPr="00AE4E8D" w:rsidRDefault="00E90931" w:rsidP="00E90931">
      <w:pPr>
        <w:autoSpaceDE w:val="0"/>
        <w:autoSpaceDN w:val="0"/>
        <w:adjustRightInd w:val="0"/>
        <w:spacing w:before="120" w:after="120"/>
        <w:jc w:val="both"/>
        <w:rPr>
          <w:rFonts w:ascii="Times New Roman" w:hAnsi="Times New Roman"/>
          <w:b/>
          <w:i/>
          <w:lang w:val="es-ES" w:eastAsia="es-AR"/>
        </w:rPr>
      </w:pPr>
      <w:r w:rsidRPr="00AE4E8D">
        <w:rPr>
          <w:rFonts w:ascii="Times New Roman" w:hAnsi="Times New Roman"/>
          <w:b/>
          <w:i/>
          <w:lang w:val="es-ES" w:eastAsia="es-AR"/>
        </w:rPr>
        <w:t xml:space="preserve">Saldos </w:t>
      </w:r>
      <w:r w:rsidRPr="00AE4E8D">
        <w:rPr>
          <w:rFonts w:ascii="Times New Roman" w:hAnsi="Times New Roman"/>
          <w:b/>
          <w:i/>
          <w:lang w:val="es-ES"/>
        </w:rPr>
        <w:t>Promedio</w:t>
      </w:r>
      <w:r w:rsidRPr="00AE4E8D">
        <w:rPr>
          <w:rFonts w:ascii="Times New Roman" w:hAnsi="Times New Roman"/>
          <w:b/>
          <w:i/>
          <w:lang w:val="es-ES" w:eastAsia="es-AR"/>
        </w:rPr>
        <w:t>, Intereses Obtenidos sobre los Activos que Devengan Intereses e Intereses Pagados sobre los Pasivos que Devengan Intereses, Tasas Nominales y Reales Promedio</w:t>
      </w:r>
    </w:p>
    <w:p w14:paraId="0CE6A8EE" w14:textId="77777777" w:rsidR="00E90931" w:rsidRPr="00AE4E8D" w:rsidRDefault="00E90931" w:rsidP="00E9093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establece la moneda de denominación, los saldos promedio y, cuando es aplicable, los intereses percibidos por los activos que devengan intereses y los intereses pagados por los pasivos que devengan intereses para los años finalizados al 31 de diciembre de 2014, 2015 y 2016. Los saldos promedio de los activos que devengan intereses y los pasivos que devengan intereses se han calculado en base a nuestros saldos diarios. Los saldos promedio se han presentado en Pesos argentinos y en Dólares Estadounidenses debido a las diferentes tasas de interés que se han obtenido y pagado históricamente en Argentina sobre los activos y pasivos denominados en tales monedas. El rendimiento promedio ha sido calculado dividiendo los intereses percibidos por los activos o pagados por los pasivos por el saldo promedio correspondiente de tales activos o pasivos.</w:t>
      </w:r>
    </w:p>
    <w:p w14:paraId="07EB5DA0" w14:textId="77777777" w:rsidR="009B67FC" w:rsidRPr="00AE4E8D" w:rsidRDefault="009B67FC" w:rsidP="00B52753">
      <w:pPr>
        <w:rPr>
          <w:rFonts w:ascii="Times New Roman" w:hAnsi="Times New Roman"/>
          <w:highlight w:val="cyan"/>
          <w:lang w:val="es-ES" w:eastAsia="es-AR"/>
        </w:rPr>
        <w:sectPr w:rsidR="009B67FC" w:rsidRPr="00AE4E8D" w:rsidSect="00B52753">
          <w:footerReference w:type="first" r:id="rId25"/>
          <w:pgSz w:w="11907" w:h="16839"/>
          <w:pgMar w:top="1417" w:right="1701" w:bottom="1417" w:left="1701" w:header="720" w:footer="720" w:gutter="0"/>
          <w:cols w:space="720"/>
        </w:sectPr>
      </w:pPr>
    </w:p>
    <w:p w14:paraId="6B736836" w14:textId="77777777" w:rsidR="00E90931" w:rsidRPr="00AE4E8D" w:rsidRDefault="00E90931" w:rsidP="00E90931">
      <w:pPr>
        <w:autoSpaceDE w:val="0"/>
        <w:autoSpaceDN w:val="0"/>
        <w:adjustRightInd w:val="0"/>
        <w:spacing w:before="120" w:after="120"/>
        <w:jc w:val="both"/>
        <w:rPr>
          <w:rFonts w:ascii="Times New Roman" w:hAnsi="Times New Roman"/>
          <w:highlight w:val="cyan"/>
          <w:lang w:val="es-ES" w:eastAsia="es-AR"/>
        </w:rPr>
      </w:pPr>
    </w:p>
    <w:tbl>
      <w:tblPr>
        <w:tblW w:w="5000" w:type="pct"/>
        <w:jc w:val="center"/>
        <w:tblLook w:val="00A0" w:firstRow="1" w:lastRow="0" w:firstColumn="1" w:lastColumn="0" w:noHBand="0" w:noVBand="0"/>
      </w:tblPr>
      <w:tblGrid>
        <w:gridCol w:w="1572"/>
        <w:gridCol w:w="353"/>
        <w:gridCol w:w="1499"/>
        <w:gridCol w:w="1394"/>
        <w:gridCol w:w="1297"/>
        <w:gridCol w:w="1499"/>
        <w:gridCol w:w="1283"/>
        <w:gridCol w:w="1297"/>
        <w:gridCol w:w="1499"/>
        <w:gridCol w:w="1237"/>
        <w:gridCol w:w="1291"/>
      </w:tblGrid>
      <w:tr w:rsidR="000E61D3" w:rsidRPr="00AE4E8D" w14:paraId="427B655C" w14:textId="77777777" w:rsidTr="000400C8">
        <w:trPr>
          <w:trHeight w:val="255"/>
          <w:tblHeader/>
          <w:jc w:val="center"/>
        </w:trPr>
        <w:tc>
          <w:tcPr>
            <w:tcW w:w="553" w:type="pct"/>
            <w:vAlign w:val="center"/>
          </w:tcPr>
          <w:p w14:paraId="4571DC73" w14:textId="77777777" w:rsidR="00E90931" w:rsidRPr="00AE4E8D" w:rsidRDefault="00E90931" w:rsidP="00E90931">
            <w:pPr>
              <w:rPr>
                <w:rFonts w:ascii="Times New Roman" w:hAnsi="Times New Roman"/>
                <w:sz w:val="14"/>
                <w:szCs w:val="14"/>
                <w:lang w:val="es-ES"/>
              </w:rPr>
            </w:pPr>
          </w:p>
        </w:tc>
        <w:tc>
          <w:tcPr>
            <w:tcW w:w="124" w:type="pct"/>
            <w:noWrap/>
            <w:vAlign w:val="bottom"/>
          </w:tcPr>
          <w:p w14:paraId="3C22F2EE" w14:textId="77777777" w:rsidR="00E90931" w:rsidRPr="00AE4E8D" w:rsidRDefault="00E90931" w:rsidP="00E90931">
            <w:pPr>
              <w:rPr>
                <w:rFonts w:ascii="Times New Roman" w:hAnsi="Times New Roman"/>
                <w:sz w:val="14"/>
                <w:szCs w:val="14"/>
                <w:lang w:val="es-ES"/>
              </w:rPr>
            </w:pPr>
          </w:p>
        </w:tc>
        <w:tc>
          <w:tcPr>
            <w:tcW w:w="4322" w:type="pct"/>
            <w:gridSpan w:val="9"/>
            <w:tcBorders>
              <w:top w:val="nil"/>
              <w:left w:val="nil"/>
              <w:bottom w:val="single" w:sz="4" w:space="0" w:color="000000"/>
              <w:right w:val="nil"/>
            </w:tcBorders>
            <w:shd w:val="clear" w:color="auto" w:fill="FFFFFF"/>
            <w:noWrap/>
            <w:vAlign w:val="bottom"/>
            <w:hideMark/>
          </w:tcPr>
          <w:p w14:paraId="23CE756C"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Al 31 de diciembre de</w:t>
            </w:r>
          </w:p>
        </w:tc>
      </w:tr>
      <w:tr w:rsidR="003B5193" w:rsidRPr="00AE4E8D" w14:paraId="0523C7F9" w14:textId="77777777" w:rsidTr="00D218D0">
        <w:trPr>
          <w:trHeight w:val="255"/>
          <w:tblHeader/>
          <w:jc w:val="center"/>
        </w:trPr>
        <w:tc>
          <w:tcPr>
            <w:tcW w:w="553" w:type="pct"/>
            <w:vAlign w:val="center"/>
          </w:tcPr>
          <w:p w14:paraId="12EC4BF2" w14:textId="77777777" w:rsidR="00E90931" w:rsidRPr="00AE4E8D" w:rsidRDefault="00E90931" w:rsidP="00E90931">
            <w:pPr>
              <w:rPr>
                <w:rFonts w:ascii="Times New Roman" w:hAnsi="Times New Roman"/>
                <w:sz w:val="14"/>
                <w:szCs w:val="14"/>
                <w:lang w:val="es-ES"/>
              </w:rPr>
            </w:pPr>
          </w:p>
        </w:tc>
        <w:tc>
          <w:tcPr>
            <w:tcW w:w="124" w:type="pct"/>
            <w:noWrap/>
            <w:vAlign w:val="bottom"/>
          </w:tcPr>
          <w:p w14:paraId="0E2A4E5F" w14:textId="77777777" w:rsidR="00E90931" w:rsidRPr="00AE4E8D" w:rsidRDefault="00E90931"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bottom"/>
            <w:hideMark/>
          </w:tcPr>
          <w:p w14:paraId="080D429F"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490" w:type="pct"/>
            <w:tcBorders>
              <w:top w:val="nil"/>
              <w:left w:val="nil"/>
              <w:bottom w:val="single" w:sz="4" w:space="0" w:color="000000"/>
              <w:right w:val="nil"/>
            </w:tcBorders>
            <w:shd w:val="clear" w:color="auto" w:fill="FFFFFF"/>
            <w:noWrap/>
            <w:vAlign w:val="bottom"/>
            <w:hideMark/>
          </w:tcPr>
          <w:p w14:paraId="7FC17266"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sz w:val="14"/>
                <w:lang w:val="es-ES"/>
              </w:rPr>
              <w:t>2016</w:t>
            </w:r>
            <w:r w:rsidRPr="00AE4E8D">
              <w:rPr>
                <w:rFonts w:ascii="Times New Roman" w:hAnsi="Times New Roman"/>
                <w:b/>
                <w:bCs/>
                <w:sz w:val="14"/>
                <w:szCs w:val="14"/>
                <w:lang w:val="es-ES"/>
              </w:rPr>
              <w:t xml:space="preserve"> </w:t>
            </w:r>
          </w:p>
        </w:tc>
        <w:tc>
          <w:tcPr>
            <w:tcW w:w="456" w:type="pct"/>
            <w:tcBorders>
              <w:top w:val="nil"/>
              <w:left w:val="nil"/>
              <w:bottom w:val="single" w:sz="4" w:space="0" w:color="000000"/>
              <w:right w:val="nil"/>
            </w:tcBorders>
            <w:shd w:val="clear" w:color="auto" w:fill="FFFFFF"/>
            <w:noWrap/>
            <w:vAlign w:val="bottom"/>
            <w:hideMark/>
          </w:tcPr>
          <w:p w14:paraId="3B4EAC70"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527" w:type="pct"/>
            <w:tcBorders>
              <w:top w:val="nil"/>
              <w:left w:val="nil"/>
              <w:bottom w:val="single" w:sz="4" w:space="0" w:color="000000"/>
              <w:right w:val="nil"/>
            </w:tcBorders>
            <w:shd w:val="clear" w:color="auto" w:fill="FFFFFF"/>
            <w:noWrap/>
            <w:vAlign w:val="bottom"/>
            <w:hideMark/>
          </w:tcPr>
          <w:p w14:paraId="543A286B"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451" w:type="pct"/>
            <w:tcBorders>
              <w:top w:val="nil"/>
              <w:left w:val="nil"/>
              <w:bottom w:val="single" w:sz="4" w:space="0" w:color="000000"/>
              <w:right w:val="nil"/>
            </w:tcBorders>
            <w:shd w:val="clear" w:color="auto" w:fill="FFFFFF"/>
            <w:noWrap/>
            <w:vAlign w:val="bottom"/>
            <w:hideMark/>
          </w:tcPr>
          <w:p w14:paraId="562D61A5"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sz w:val="14"/>
                <w:lang w:val="es-ES"/>
              </w:rPr>
              <w:t>2015</w:t>
            </w:r>
            <w:r w:rsidRPr="00AE4E8D">
              <w:rPr>
                <w:rFonts w:ascii="Times New Roman" w:hAnsi="Times New Roman"/>
                <w:b/>
                <w:bCs/>
                <w:sz w:val="14"/>
                <w:szCs w:val="14"/>
                <w:lang w:val="es-ES"/>
              </w:rPr>
              <w:t xml:space="preserve"> </w:t>
            </w:r>
          </w:p>
        </w:tc>
        <w:tc>
          <w:tcPr>
            <w:tcW w:w="456" w:type="pct"/>
            <w:tcBorders>
              <w:top w:val="nil"/>
              <w:left w:val="nil"/>
              <w:bottom w:val="single" w:sz="4" w:space="0" w:color="000000"/>
              <w:right w:val="nil"/>
            </w:tcBorders>
            <w:shd w:val="clear" w:color="auto" w:fill="FFFFFF"/>
            <w:noWrap/>
            <w:vAlign w:val="bottom"/>
            <w:hideMark/>
          </w:tcPr>
          <w:p w14:paraId="2607C970"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527" w:type="pct"/>
            <w:tcBorders>
              <w:top w:val="nil"/>
              <w:left w:val="nil"/>
              <w:bottom w:val="single" w:sz="4" w:space="0" w:color="000000"/>
              <w:right w:val="nil"/>
            </w:tcBorders>
            <w:shd w:val="clear" w:color="auto" w:fill="FFFFFF"/>
            <w:noWrap/>
            <w:vAlign w:val="bottom"/>
            <w:hideMark/>
          </w:tcPr>
          <w:p w14:paraId="13C7A701"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435" w:type="pct"/>
            <w:tcBorders>
              <w:top w:val="nil"/>
              <w:left w:val="nil"/>
              <w:bottom w:val="single" w:sz="4" w:space="0" w:color="000000"/>
              <w:right w:val="nil"/>
            </w:tcBorders>
            <w:shd w:val="clear" w:color="auto" w:fill="FFFFFF"/>
            <w:noWrap/>
            <w:vAlign w:val="bottom"/>
            <w:hideMark/>
          </w:tcPr>
          <w:p w14:paraId="6D5E989E"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sz w:val="14"/>
                <w:lang w:val="es-ES"/>
              </w:rPr>
              <w:t>2014</w:t>
            </w:r>
            <w:r w:rsidRPr="00AE4E8D">
              <w:rPr>
                <w:rFonts w:ascii="Times New Roman" w:hAnsi="Times New Roman"/>
                <w:b/>
                <w:bCs/>
                <w:sz w:val="14"/>
                <w:szCs w:val="14"/>
                <w:lang w:val="es-ES"/>
              </w:rPr>
              <w:t xml:space="preserve"> </w:t>
            </w:r>
          </w:p>
        </w:tc>
        <w:tc>
          <w:tcPr>
            <w:tcW w:w="454" w:type="pct"/>
            <w:tcBorders>
              <w:top w:val="nil"/>
              <w:left w:val="nil"/>
              <w:bottom w:val="single" w:sz="4" w:space="0" w:color="000000"/>
              <w:right w:val="nil"/>
            </w:tcBorders>
            <w:shd w:val="clear" w:color="auto" w:fill="FFFFFF"/>
            <w:noWrap/>
            <w:vAlign w:val="bottom"/>
            <w:hideMark/>
          </w:tcPr>
          <w:p w14:paraId="6111DBA2"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r>
      <w:tr w:rsidR="000E61D3" w:rsidRPr="00AE4E8D" w14:paraId="1C463F9B" w14:textId="77777777" w:rsidTr="000400C8">
        <w:trPr>
          <w:trHeight w:val="660"/>
          <w:tblHeader/>
          <w:jc w:val="center"/>
        </w:trPr>
        <w:tc>
          <w:tcPr>
            <w:tcW w:w="553" w:type="pct"/>
            <w:vAlign w:val="center"/>
          </w:tcPr>
          <w:p w14:paraId="48BB4112" w14:textId="77777777" w:rsidR="00E90931" w:rsidRPr="00AE4E8D" w:rsidRDefault="00E90931" w:rsidP="00E90931">
            <w:pPr>
              <w:rPr>
                <w:rFonts w:ascii="Times New Roman" w:hAnsi="Times New Roman"/>
                <w:sz w:val="14"/>
                <w:szCs w:val="14"/>
                <w:lang w:val="es-ES"/>
              </w:rPr>
            </w:pPr>
          </w:p>
        </w:tc>
        <w:tc>
          <w:tcPr>
            <w:tcW w:w="124" w:type="pct"/>
            <w:noWrap/>
            <w:vAlign w:val="bottom"/>
          </w:tcPr>
          <w:p w14:paraId="52BC306C" w14:textId="77777777" w:rsidR="00E90931" w:rsidRPr="00AE4E8D" w:rsidRDefault="00E90931" w:rsidP="00E90931">
            <w:pPr>
              <w:rPr>
                <w:rFonts w:ascii="Times New Roman" w:hAnsi="Times New Roman"/>
                <w:sz w:val="14"/>
                <w:szCs w:val="14"/>
                <w:lang w:val="es-ES"/>
              </w:rPr>
            </w:pPr>
          </w:p>
        </w:tc>
        <w:tc>
          <w:tcPr>
            <w:tcW w:w="527" w:type="pct"/>
            <w:tcBorders>
              <w:top w:val="nil"/>
              <w:left w:val="nil"/>
              <w:bottom w:val="single" w:sz="8" w:space="0" w:color="auto"/>
              <w:right w:val="nil"/>
            </w:tcBorders>
            <w:vAlign w:val="bottom"/>
            <w:hideMark/>
          </w:tcPr>
          <w:p w14:paraId="189A73C2"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Saldo Promedio</w:t>
            </w:r>
          </w:p>
        </w:tc>
        <w:tc>
          <w:tcPr>
            <w:tcW w:w="490" w:type="pct"/>
            <w:tcBorders>
              <w:top w:val="nil"/>
              <w:left w:val="nil"/>
              <w:bottom w:val="single" w:sz="8" w:space="0" w:color="auto"/>
              <w:right w:val="nil"/>
            </w:tcBorders>
            <w:vAlign w:val="bottom"/>
            <w:hideMark/>
          </w:tcPr>
          <w:p w14:paraId="785788C1"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Intereses Cobrados / Pagados</w:t>
            </w:r>
          </w:p>
        </w:tc>
        <w:tc>
          <w:tcPr>
            <w:tcW w:w="456" w:type="pct"/>
            <w:tcBorders>
              <w:top w:val="nil"/>
              <w:left w:val="nil"/>
              <w:bottom w:val="single" w:sz="8" w:space="0" w:color="auto"/>
              <w:right w:val="nil"/>
            </w:tcBorders>
            <w:vAlign w:val="bottom"/>
            <w:hideMark/>
          </w:tcPr>
          <w:p w14:paraId="5126458E"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Rendimiento Promedio</w:t>
            </w:r>
          </w:p>
        </w:tc>
        <w:tc>
          <w:tcPr>
            <w:tcW w:w="527" w:type="pct"/>
            <w:tcBorders>
              <w:top w:val="nil"/>
              <w:left w:val="nil"/>
              <w:bottom w:val="single" w:sz="8" w:space="0" w:color="auto"/>
              <w:right w:val="nil"/>
            </w:tcBorders>
            <w:vAlign w:val="bottom"/>
            <w:hideMark/>
          </w:tcPr>
          <w:p w14:paraId="444732BA"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Saldo Promedio</w:t>
            </w:r>
          </w:p>
        </w:tc>
        <w:tc>
          <w:tcPr>
            <w:tcW w:w="451" w:type="pct"/>
            <w:tcBorders>
              <w:top w:val="nil"/>
              <w:left w:val="nil"/>
              <w:bottom w:val="single" w:sz="8" w:space="0" w:color="auto"/>
              <w:right w:val="nil"/>
            </w:tcBorders>
            <w:vAlign w:val="bottom"/>
            <w:hideMark/>
          </w:tcPr>
          <w:p w14:paraId="7A71D0C0"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Intereses Cobrados / Pagados</w:t>
            </w:r>
          </w:p>
        </w:tc>
        <w:tc>
          <w:tcPr>
            <w:tcW w:w="456" w:type="pct"/>
            <w:tcBorders>
              <w:top w:val="nil"/>
              <w:left w:val="nil"/>
              <w:bottom w:val="single" w:sz="8" w:space="0" w:color="auto"/>
              <w:right w:val="nil"/>
            </w:tcBorders>
            <w:vAlign w:val="bottom"/>
            <w:hideMark/>
          </w:tcPr>
          <w:p w14:paraId="7B624504"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Rendimiento Promedio</w:t>
            </w:r>
          </w:p>
        </w:tc>
        <w:tc>
          <w:tcPr>
            <w:tcW w:w="527" w:type="pct"/>
            <w:tcBorders>
              <w:top w:val="nil"/>
              <w:left w:val="nil"/>
              <w:bottom w:val="single" w:sz="8" w:space="0" w:color="auto"/>
              <w:right w:val="nil"/>
            </w:tcBorders>
            <w:vAlign w:val="bottom"/>
            <w:hideMark/>
          </w:tcPr>
          <w:p w14:paraId="03FEA09E"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Saldo Promedio</w:t>
            </w:r>
          </w:p>
        </w:tc>
        <w:tc>
          <w:tcPr>
            <w:tcW w:w="435" w:type="pct"/>
            <w:tcBorders>
              <w:top w:val="nil"/>
              <w:left w:val="nil"/>
              <w:bottom w:val="single" w:sz="8" w:space="0" w:color="auto"/>
              <w:right w:val="nil"/>
            </w:tcBorders>
            <w:vAlign w:val="bottom"/>
            <w:hideMark/>
          </w:tcPr>
          <w:p w14:paraId="5A64921B"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Intereses Cobrados / Pagados</w:t>
            </w:r>
          </w:p>
        </w:tc>
        <w:tc>
          <w:tcPr>
            <w:tcW w:w="454" w:type="pct"/>
            <w:tcBorders>
              <w:top w:val="nil"/>
              <w:left w:val="nil"/>
              <w:bottom w:val="single" w:sz="8" w:space="0" w:color="auto"/>
              <w:right w:val="nil"/>
            </w:tcBorders>
            <w:vAlign w:val="bottom"/>
            <w:hideMark/>
          </w:tcPr>
          <w:p w14:paraId="5F46054D"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Rendimiento Promedio</w:t>
            </w:r>
          </w:p>
        </w:tc>
      </w:tr>
      <w:tr w:rsidR="00E90931" w:rsidRPr="00AE4E8D" w14:paraId="315E41A6" w14:textId="77777777" w:rsidTr="000400C8">
        <w:trPr>
          <w:trHeight w:val="255"/>
          <w:tblHeader/>
          <w:jc w:val="center"/>
        </w:trPr>
        <w:tc>
          <w:tcPr>
            <w:tcW w:w="553" w:type="pct"/>
            <w:vAlign w:val="center"/>
          </w:tcPr>
          <w:p w14:paraId="4E02CE9C" w14:textId="77777777" w:rsidR="00E90931" w:rsidRPr="00AE4E8D" w:rsidRDefault="00E90931" w:rsidP="00E90931">
            <w:pPr>
              <w:rPr>
                <w:rFonts w:ascii="Times New Roman" w:hAnsi="Times New Roman"/>
                <w:sz w:val="14"/>
                <w:szCs w:val="14"/>
                <w:lang w:val="es-ES"/>
              </w:rPr>
            </w:pPr>
          </w:p>
        </w:tc>
        <w:tc>
          <w:tcPr>
            <w:tcW w:w="124" w:type="pct"/>
            <w:noWrap/>
            <w:vAlign w:val="bottom"/>
          </w:tcPr>
          <w:p w14:paraId="5CBD2471" w14:textId="77777777" w:rsidR="00E90931" w:rsidRPr="00AE4E8D" w:rsidRDefault="00E90931" w:rsidP="00E90931">
            <w:pPr>
              <w:rPr>
                <w:rFonts w:ascii="Times New Roman" w:hAnsi="Times New Roman"/>
                <w:sz w:val="14"/>
                <w:szCs w:val="14"/>
                <w:lang w:val="es-ES"/>
              </w:rPr>
            </w:pPr>
          </w:p>
        </w:tc>
        <w:tc>
          <w:tcPr>
            <w:tcW w:w="4322" w:type="pct"/>
            <w:gridSpan w:val="9"/>
            <w:shd w:val="clear" w:color="auto" w:fill="FFFFFF"/>
            <w:noWrap/>
            <w:vAlign w:val="bottom"/>
            <w:hideMark/>
          </w:tcPr>
          <w:p w14:paraId="5F2BE0DC" w14:textId="77777777" w:rsidR="00E90931" w:rsidRPr="00AE4E8D" w:rsidRDefault="00E90931" w:rsidP="00E90931">
            <w:pPr>
              <w:jc w:val="center"/>
              <w:rPr>
                <w:rFonts w:ascii="Times New Roman" w:hAnsi="Times New Roman"/>
                <w:sz w:val="14"/>
                <w:szCs w:val="14"/>
                <w:lang w:val="es-ES"/>
              </w:rPr>
            </w:pPr>
            <w:r w:rsidRPr="00AE4E8D">
              <w:rPr>
                <w:rFonts w:ascii="Times New Roman" w:hAnsi="Times New Roman"/>
                <w:sz w:val="14"/>
                <w:szCs w:val="14"/>
                <w:lang w:val="es-ES"/>
              </w:rPr>
              <w:t>(en miles de Pesos, salvo porcentajes)</w:t>
            </w:r>
          </w:p>
        </w:tc>
      </w:tr>
      <w:tr w:rsidR="003B5193" w:rsidRPr="00AE4E8D" w14:paraId="2621EF2B" w14:textId="77777777" w:rsidTr="00D218D0">
        <w:trPr>
          <w:trHeight w:val="255"/>
          <w:jc w:val="center"/>
        </w:trPr>
        <w:tc>
          <w:tcPr>
            <w:tcW w:w="553" w:type="pct"/>
            <w:vAlign w:val="center"/>
            <w:hideMark/>
          </w:tcPr>
          <w:p w14:paraId="08093C19"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ACTIVOS</w:t>
            </w:r>
          </w:p>
        </w:tc>
        <w:tc>
          <w:tcPr>
            <w:tcW w:w="124" w:type="pct"/>
            <w:noWrap/>
            <w:vAlign w:val="bottom"/>
          </w:tcPr>
          <w:p w14:paraId="655346CC" w14:textId="77777777" w:rsidR="00E90931" w:rsidRPr="00AE4E8D" w:rsidRDefault="00E90931" w:rsidP="00E90931">
            <w:pPr>
              <w:rPr>
                <w:rFonts w:ascii="Times New Roman" w:hAnsi="Times New Roman"/>
                <w:b/>
                <w:bCs/>
                <w:sz w:val="14"/>
                <w:szCs w:val="14"/>
                <w:lang w:val="es-ES"/>
              </w:rPr>
            </w:pPr>
          </w:p>
        </w:tc>
        <w:tc>
          <w:tcPr>
            <w:tcW w:w="527" w:type="pct"/>
            <w:shd w:val="clear" w:color="auto" w:fill="FFFFFF"/>
            <w:noWrap/>
            <w:vAlign w:val="bottom"/>
            <w:hideMark/>
          </w:tcPr>
          <w:p w14:paraId="46CFF76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bottom"/>
            <w:hideMark/>
          </w:tcPr>
          <w:p w14:paraId="3352BE2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bottom"/>
            <w:hideMark/>
          </w:tcPr>
          <w:p w14:paraId="0854A2B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bottom"/>
            <w:hideMark/>
          </w:tcPr>
          <w:p w14:paraId="31F27509"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bottom"/>
            <w:hideMark/>
          </w:tcPr>
          <w:p w14:paraId="3D80A31A"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bottom"/>
            <w:hideMark/>
          </w:tcPr>
          <w:p w14:paraId="0AFDE53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bottom"/>
            <w:hideMark/>
          </w:tcPr>
          <w:p w14:paraId="494EBDA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bottom"/>
            <w:hideMark/>
          </w:tcPr>
          <w:p w14:paraId="6CCF821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bottom"/>
            <w:hideMark/>
          </w:tcPr>
          <w:p w14:paraId="6FBFA4CB"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1502176A" w14:textId="77777777" w:rsidTr="00FA3175">
        <w:trPr>
          <w:trHeight w:val="255"/>
          <w:jc w:val="center"/>
        </w:trPr>
        <w:tc>
          <w:tcPr>
            <w:tcW w:w="553" w:type="pct"/>
            <w:vAlign w:val="center"/>
            <w:hideMark/>
          </w:tcPr>
          <w:p w14:paraId="7EE0FBFD"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Activos que devengan intereses</w:t>
            </w:r>
          </w:p>
        </w:tc>
        <w:tc>
          <w:tcPr>
            <w:tcW w:w="124" w:type="pct"/>
            <w:noWrap/>
            <w:vAlign w:val="bottom"/>
          </w:tcPr>
          <w:p w14:paraId="18302208" w14:textId="77777777" w:rsidR="00E90931" w:rsidRPr="00AE4E8D" w:rsidRDefault="00E90931" w:rsidP="00E90931">
            <w:pPr>
              <w:rPr>
                <w:rFonts w:ascii="Times New Roman" w:hAnsi="Times New Roman"/>
                <w:b/>
                <w:bCs/>
                <w:sz w:val="14"/>
                <w:szCs w:val="14"/>
                <w:lang w:val="es-ES"/>
              </w:rPr>
            </w:pPr>
          </w:p>
        </w:tc>
        <w:tc>
          <w:tcPr>
            <w:tcW w:w="527" w:type="pct"/>
            <w:shd w:val="clear" w:color="auto" w:fill="FFFFFF"/>
            <w:noWrap/>
            <w:vAlign w:val="center"/>
            <w:hideMark/>
          </w:tcPr>
          <w:p w14:paraId="09964FF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6686A65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56A97D1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3F3037B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37D5497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0C6FE44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3B9511F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60DE337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4768A80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349A7903" w14:textId="77777777" w:rsidTr="00FA3175">
        <w:trPr>
          <w:trHeight w:val="255"/>
          <w:jc w:val="center"/>
        </w:trPr>
        <w:tc>
          <w:tcPr>
            <w:tcW w:w="553" w:type="pct"/>
            <w:vAlign w:val="center"/>
            <w:hideMark/>
          </w:tcPr>
          <w:p w14:paraId="0C490A50"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Disponibilidades</w:t>
            </w:r>
          </w:p>
        </w:tc>
        <w:tc>
          <w:tcPr>
            <w:tcW w:w="124" w:type="pct"/>
            <w:noWrap/>
            <w:vAlign w:val="bottom"/>
          </w:tcPr>
          <w:p w14:paraId="691D5981" w14:textId="77777777" w:rsidR="00E90931" w:rsidRPr="00AE4E8D" w:rsidRDefault="00E90931" w:rsidP="00E90931">
            <w:pPr>
              <w:rPr>
                <w:rFonts w:ascii="Times New Roman" w:hAnsi="Times New Roman"/>
                <w:b/>
                <w:bCs/>
                <w:sz w:val="14"/>
                <w:szCs w:val="14"/>
                <w:lang w:val="es-ES"/>
              </w:rPr>
            </w:pPr>
          </w:p>
        </w:tc>
        <w:tc>
          <w:tcPr>
            <w:tcW w:w="527" w:type="pct"/>
            <w:shd w:val="clear" w:color="auto" w:fill="FFFFFF"/>
            <w:noWrap/>
            <w:vAlign w:val="center"/>
            <w:hideMark/>
          </w:tcPr>
          <w:p w14:paraId="25FF9DC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5A54B50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7EB2CB2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2C2874A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2711051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52FC061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29825A9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08D9986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1EB8DA4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13FDF3EB" w14:textId="77777777" w:rsidTr="00FA3175">
        <w:trPr>
          <w:trHeight w:val="255"/>
          <w:jc w:val="center"/>
        </w:trPr>
        <w:tc>
          <w:tcPr>
            <w:tcW w:w="553" w:type="pct"/>
            <w:vAlign w:val="center"/>
            <w:hideMark/>
          </w:tcPr>
          <w:p w14:paraId="252129CE"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4" w:type="pct"/>
            <w:noWrap/>
            <w:vAlign w:val="bottom"/>
          </w:tcPr>
          <w:p w14:paraId="044D82C8" w14:textId="77777777" w:rsidR="00E90931" w:rsidRPr="00AE4E8D" w:rsidRDefault="00E90931" w:rsidP="00E90931">
            <w:pPr>
              <w:rPr>
                <w:rFonts w:ascii="Times New Roman" w:hAnsi="Times New Roman"/>
                <w:sz w:val="14"/>
                <w:szCs w:val="14"/>
                <w:lang w:val="es-ES"/>
              </w:rPr>
            </w:pPr>
          </w:p>
        </w:tc>
        <w:tc>
          <w:tcPr>
            <w:tcW w:w="527" w:type="pct"/>
            <w:shd w:val="clear" w:color="auto" w:fill="FFFFFF"/>
            <w:noWrap/>
            <w:vAlign w:val="center"/>
            <w:hideMark/>
          </w:tcPr>
          <w:p w14:paraId="2C9ED5F3"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2.072.004 </w:t>
            </w:r>
          </w:p>
        </w:tc>
        <w:tc>
          <w:tcPr>
            <w:tcW w:w="490" w:type="pct"/>
            <w:shd w:val="clear" w:color="auto" w:fill="FFFFFF"/>
            <w:noWrap/>
            <w:vAlign w:val="center"/>
            <w:hideMark/>
          </w:tcPr>
          <w:p w14:paraId="648293F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15.200 </w:t>
            </w:r>
          </w:p>
        </w:tc>
        <w:tc>
          <w:tcPr>
            <w:tcW w:w="456" w:type="pct"/>
            <w:shd w:val="clear" w:color="auto" w:fill="FFFFFF"/>
            <w:noWrap/>
            <w:vAlign w:val="center"/>
            <w:hideMark/>
          </w:tcPr>
          <w:p w14:paraId="0072FF3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0,73%</w:t>
            </w:r>
          </w:p>
        </w:tc>
        <w:tc>
          <w:tcPr>
            <w:tcW w:w="527" w:type="pct"/>
            <w:shd w:val="clear" w:color="auto" w:fill="FFFFFF"/>
            <w:noWrap/>
            <w:vAlign w:val="center"/>
            <w:hideMark/>
          </w:tcPr>
          <w:p w14:paraId="56B49E77"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2.227.128 </w:t>
            </w:r>
          </w:p>
        </w:tc>
        <w:tc>
          <w:tcPr>
            <w:tcW w:w="451" w:type="pct"/>
            <w:shd w:val="clear" w:color="auto" w:fill="FFFFFF"/>
            <w:noWrap/>
            <w:vAlign w:val="center"/>
            <w:hideMark/>
          </w:tcPr>
          <w:p w14:paraId="6A3026C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3.593 </w:t>
            </w:r>
          </w:p>
        </w:tc>
        <w:tc>
          <w:tcPr>
            <w:tcW w:w="456" w:type="pct"/>
            <w:shd w:val="clear" w:color="auto" w:fill="FFFFFF"/>
            <w:noWrap/>
            <w:vAlign w:val="center"/>
            <w:hideMark/>
          </w:tcPr>
          <w:p w14:paraId="544B922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0,16%</w:t>
            </w:r>
          </w:p>
        </w:tc>
        <w:tc>
          <w:tcPr>
            <w:tcW w:w="527" w:type="pct"/>
            <w:shd w:val="clear" w:color="auto" w:fill="FFFFFF"/>
            <w:noWrap/>
            <w:vAlign w:val="center"/>
            <w:hideMark/>
          </w:tcPr>
          <w:p w14:paraId="7232CC6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1.611.798 </w:t>
            </w:r>
          </w:p>
        </w:tc>
        <w:tc>
          <w:tcPr>
            <w:tcW w:w="435" w:type="pct"/>
            <w:shd w:val="clear" w:color="auto" w:fill="FFFFFF"/>
            <w:noWrap/>
            <w:vAlign w:val="center"/>
            <w:hideMark/>
          </w:tcPr>
          <w:p w14:paraId="21D8EE14"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(963)</w:t>
            </w:r>
          </w:p>
        </w:tc>
        <w:tc>
          <w:tcPr>
            <w:tcW w:w="454" w:type="pct"/>
            <w:shd w:val="clear" w:color="auto" w:fill="FFFFFF"/>
            <w:noWrap/>
            <w:vAlign w:val="center"/>
            <w:hideMark/>
          </w:tcPr>
          <w:p w14:paraId="1A323A9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(0,06)%</w:t>
            </w:r>
          </w:p>
        </w:tc>
      </w:tr>
      <w:tr w:rsidR="003B5193" w:rsidRPr="00AE4E8D" w14:paraId="76A7B50E" w14:textId="77777777" w:rsidTr="00FA3175">
        <w:trPr>
          <w:trHeight w:val="255"/>
          <w:jc w:val="center"/>
        </w:trPr>
        <w:tc>
          <w:tcPr>
            <w:tcW w:w="553" w:type="pct"/>
            <w:vAlign w:val="center"/>
            <w:hideMark/>
          </w:tcPr>
          <w:p w14:paraId="1083420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4" w:type="pct"/>
            <w:noWrap/>
            <w:vAlign w:val="bottom"/>
          </w:tcPr>
          <w:p w14:paraId="16890793" w14:textId="77777777" w:rsidR="00E90931" w:rsidRPr="00AE4E8D" w:rsidRDefault="00E90931"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21F43DA3"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w:t>
            </w:r>
            <w:r w:rsidR="00CF4C7B" w:rsidRPr="00AE4E8D">
              <w:rPr>
                <w:rFonts w:ascii="Times New Roman" w:hAnsi="Times New Roman"/>
                <w:sz w:val="14"/>
                <w:szCs w:val="14"/>
                <w:lang w:val="es-ES"/>
              </w:rPr>
              <w:t>.</w:t>
            </w:r>
            <w:r w:rsidR="00E90931" w:rsidRPr="00AE4E8D">
              <w:rPr>
                <w:rFonts w:ascii="Times New Roman" w:hAnsi="Times New Roman"/>
                <w:sz w:val="14"/>
                <w:szCs w:val="14"/>
                <w:lang w:val="es-ES"/>
              </w:rPr>
              <w:t>643</w:t>
            </w:r>
            <w:r w:rsidR="00CF4C7B" w:rsidRPr="00AE4E8D">
              <w:rPr>
                <w:rFonts w:ascii="Times New Roman" w:hAnsi="Times New Roman"/>
                <w:sz w:val="14"/>
                <w:szCs w:val="14"/>
                <w:lang w:val="es-ES"/>
              </w:rPr>
              <w:t>.</w:t>
            </w:r>
            <w:r w:rsidR="00E90931" w:rsidRPr="00AE4E8D">
              <w:rPr>
                <w:rFonts w:ascii="Times New Roman" w:hAnsi="Times New Roman"/>
                <w:sz w:val="14"/>
                <w:szCs w:val="14"/>
                <w:lang w:val="es-ES"/>
              </w:rPr>
              <w:t xml:space="preserve">993 </w:t>
            </w:r>
          </w:p>
        </w:tc>
        <w:tc>
          <w:tcPr>
            <w:tcW w:w="490" w:type="pct"/>
            <w:tcBorders>
              <w:top w:val="nil"/>
              <w:left w:val="nil"/>
              <w:bottom w:val="single" w:sz="4" w:space="0" w:color="000000"/>
              <w:right w:val="nil"/>
            </w:tcBorders>
            <w:shd w:val="clear" w:color="auto" w:fill="FFFFFF"/>
            <w:noWrap/>
            <w:vAlign w:val="center"/>
            <w:hideMark/>
          </w:tcPr>
          <w:p w14:paraId="31ED68A3"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FA3175"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114</w:t>
            </w:r>
          </w:p>
        </w:tc>
        <w:tc>
          <w:tcPr>
            <w:tcW w:w="456" w:type="pct"/>
            <w:tcBorders>
              <w:top w:val="nil"/>
              <w:left w:val="nil"/>
              <w:bottom w:val="single" w:sz="4" w:space="0" w:color="auto"/>
              <w:right w:val="nil"/>
            </w:tcBorders>
            <w:shd w:val="clear" w:color="auto" w:fill="FFFFFF"/>
            <w:noWrap/>
            <w:vAlign w:val="center"/>
            <w:hideMark/>
          </w:tcPr>
          <w:p w14:paraId="7BD4078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0,01%</w:t>
            </w:r>
          </w:p>
        </w:tc>
        <w:tc>
          <w:tcPr>
            <w:tcW w:w="527" w:type="pct"/>
            <w:tcBorders>
              <w:top w:val="nil"/>
              <w:left w:val="nil"/>
              <w:bottom w:val="single" w:sz="4" w:space="0" w:color="000000"/>
              <w:right w:val="nil"/>
            </w:tcBorders>
            <w:shd w:val="clear" w:color="auto" w:fill="FFFFFF"/>
            <w:noWrap/>
            <w:vAlign w:val="center"/>
            <w:hideMark/>
          </w:tcPr>
          <w:p w14:paraId="1032EAB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967.945 </w:t>
            </w:r>
          </w:p>
        </w:tc>
        <w:tc>
          <w:tcPr>
            <w:tcW w:w="451" w:type="pct"/>
            <w:tcBorders>
              <w:top w:val="nil"/>
              <w:left w:val="nil"/>
              <w:bottom w:val="single" w:sz="4" w:space="0" w:color="000000"/>
              <w:right w:val="nil"/>
            </w:tcBorders>
            <w:shd w:val="clear" w:color="auto" w:fill="FFFFFF"/>
            <w:noWrap/>
            <w:vAlign w:val="center"/>
            <w:hideMark/>
          </w:tcPr>
          <w:p w14:paraId="0C6257F4"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(6.190)</w:t>
            </w:r>
          </w:p>
        </w:tc>
        <w:tc>
          <w:tcPr>
            <w:tcW w:w="456" w:type="pct"/>
            <w:tcBorders>
              <w:top w:val="nil"/>
              <w:left w:val="nil"/>
              <w:bottom w:val="single" w:sz="4" w:space="0" w:color="auto"/>
              <w:right w:val="nil"/>
            </w:tcBorders>
            <w:shd w:val="clear" w:color="auto" w:fill="FFFFFF"/>
            <w:noWrap/>
            <w:vAlign w:val="center"/>
            <w:hideMark/>
          </w:tcPr>
          <w:p w14:paraId="33D4E25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(0,64)%</w:t>
            </w:r>
          </w:p>
        </w:tc>
        <w:tc>
          <w:tcPr>
            <w:tcW w:w="527" w:type="pct"/>
            <w:tcBorders>
              <w:top w:val="nil"/>
              <w:left w:val="nil"/>
              <w:bottom w:val="single" w:sz="4" w:space="0" w:color="000000"/>
              <w:right w:val="nil"/>
            </w:tcBorders>
            <w:shd w:val="clear" w:color="auto" w:fill="FFFFFF"/>
            <w:noWrap/>
            <w:vAlign w:val="center"/>
            <w:hideMark/>
          </w:tcPr>
          <w:p w14:paraId="08FBEE03"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605.296 </w:t>
            </w:r>
          </w:p>
        </w:tc>
        <w:tc>
          <w:tcPr>
            <w:tcW w:w="435" w:type="pct"/>
            <w:tcBorders>
              <w:top w:val="nil"/>
              <w:left w:val="nil"/>
              <w:bottom w:val="single" w:sz="4" w:space="0" w:color="000000"/>
              <w:right w:val="nil"/>
            </w:tcBorders>
            <w:shd w:val="clear" w:color="auto" w:fill="FFFFFF"/>
            <w:noWrap/>
            <w:vAlign w:val="center"/>
            <w:hideMark/>
          </w:tcPr>
          <w:p w14:paraId="43E6AAB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(11.267)</w:t>
            </w:r>
          </w:p>
        </w:tc>
        <w:tc>
          <w:tcPr>
            <w:tcW w:w="454" w:type="pct"/>
            <w:tcBorders>
              <w:top w:val="nil"/>
              <w:left w:val="nil"/>
              <w:bottom w:val="single" w:sz="4" w:space="0" w:color="auto"/>
              <w:right w:val="nil"/>
            </w:tcBorders>
            <w:shd w:val="clear" w:color="auto" w:fill="FFFFFF"/>
            <w:noWrap/>
            <w:vAlign w:val="center"/>
            <w:hideMark/>
          </w:tcPr>
          <w:p w14:paraId="03307FE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(1,86)%</w:t>
            </w:r>
          </w:p>
        </w:tc>
      </w:tr>
      <w:tr w:rsidR="003B5193" w:rsidRPr="00AE4E8D" w14:paraId="21060A01" w14:textId="77777777" w:rsidTr="00FA3175">
        <w:trPr>
          <w:trHeight w:val="255"/>
          <w:jc w:val="center"/>
        </w:trPr>
        <w:tc>
          <w:tcPr>
            <w:tcW w:w="553" w:type="pct"/>
            <w:vAlign w:val="center"/>
            <w:hideMark/>
          </w:tcPr>
          <w:p w14:paraId="1AD9C8C3"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4" w:type="pct"/>
            <w:noWrap/>
            <w:vAlign w:val="bottom"/>
          </w:tcPr>
          <w:p w14:paraId="2FF78FD2" w14:textId="77777777" w:rsidR="00E90931" w:rsidRPr="00AE4E8D" w:rsidRDefault="00E90931" w:rsidP="00E90931">
            <w:pPr>
              <w:rPr>
                <w:rFonts w:ascii="Times New Roman" w:hAnsi="Times New Roman"/>
                <w:sz w:val="14"/>
                <w:szCs w:val="14"/>
                <w:lang w:val="es-ES"/>
              </w:rPr>
            </w:pPr>
          </w:p>
        </w:tc>
        <w:tc>
          <w:tcPr>
            <w:tcW w:w="527" w:type="pct"/>
            <w:shd w:val="clear" w:color="auto" w:fill="FFFFFF"/>
            <w:noWrap/>
            <w:vAlign w:val="center"/>
            <w:hideMark/>
          </w:tcPr>
          <w:p w14:paraId="475540D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3.715.997 </w:t>
            </w:r>
          </w:p>
        </w:tc>
        <w:tc>
          <w:tcPr>
            <w:tcW w:w="490" w:type="pct"/>
            <w:shd w:val="clear" w:color="auto" w:fill="FFFFFF"/>
            <w:noWrap/>
            <w:vAlign w:val="center"/>
            <w:hideMark/>
          </w:tcPr>
          <w:p w14:paraId="2CA5FC0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15.314</w:t>
            </w:r>
          </w:p>
        </w:tc>
        <w:tc>
          <w:tcPr>
            <w:tcW w:w="456" w:type="pct"/>
            <w:shd w:val="clear" w:color="auto" w:fill="FFFFFF"/>
            <w:noWrap/>
            <w:vAlign w:val="center"/>
            <w:hideMark/>
          </w:tcPr>
          <w:p w14:paraId="76C29D0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0,41%</w:t>
            </w:r>
          </w:p>
        </w:tc>
        <w:tc>
          <w:tcPr>
            <w:tcW w:w="527" w:type="pct"/>
            <w:shd w:val="clear" w:color="auto" w:fill="FFFFFF"/>
            <w:noWrap/>
            <w:vAlign w:val="center"/>
            <w:hideMark/>
          </w:tcPr>
          <w:p w14:paraId="230E81B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3.195.073 </w:t>
            </w:r>
          </w:p>
        </w:tc>
        <w:tc>
          <w:tcPr>
            <w:tcW w:w="451" w:type="pct"/>
            <w:shd w:val="clear" w:color="auto" w:fill="FFFFFF"/>
            <w:noWrap/>
            <w:vAlign w:val="center"/>
            <w:hideMark/>
          </w:tcPr>
          <w:p w14:paraId="7E9211AE"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(2.597)</w:t>
            </w:r>
          </w:p>
        </w:tc>
        <w:tc>
          <w:tcPr>
            <w:tcW w:w="456" w:type="pct"/>
            <w:shd w:val="clear" w:color="auto" w:fill="FFFFFF"/>
            <w:noWrap/>
            <w:vAlign w:val="center"/>
            <w:hideMark/>
          </w:tcPr>
          <w:p w14:paraId="44BD2AC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(0,08)%</w:t>
            </w:r>
          </w:p>
        </w:tc>
        <w:tc>
          <w:tcPr>
            <w:tcW w:w="527" w:type="pct"/>
            <w:shd w:val="clear" w:color="auto" w:fill="FFFFFF"/>
            <w:noWrap/>
            <w:vAlign w:val="center"/>
            <w:hideMark/>
          </w:tcPr>
          <w:p w14:paraId="281E39B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2.217.094 </w:t>
            </w:r>
          </w:p>
        </w:tc>
        <w:tc>
          <w:tcPr>
            <w:tcW w:w="435" w:type="pct"/>
            <w:shd w:val="clear" w:color="auto" w:fill="FFFFFF"/>
            <w:noWrap/>
            <w:vAlign w:val="center"/>
            <w:hideMark/>
          </w:tcPr>
          <w:p w14:paraId="2A989771"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(12.230)</w:t>
            </w:r>
          </w:p>
        </w:tc>
        <w:tc>
          <w:tcPr>
            <w:tcW w:w="454" w:type="pct"/>
            <w:shd w:val="clear" w:color="auto" w:fill="FFFFFF"/>
            <w:noWrap/>
            <w:vAlign w:val="center"/>
            <w:hideMark/>
          </w:tcPr>
          <w:p w14:paraId="3AF696D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(0,55)%</w:t>
            </w:r>
          </w:p>
        </w:tc>
      </w:tr>
      <w:tr w:rsidR="003B5193" w:rsidRPr="00AE4E8D" w14:paraId="6F4961C8" w14:textId="77777777" w:rsidTr="00FA3175">
        <w:trPr>
          <w:trHeight w:val="255"/>
          <w:jc w:val="center"/>
        </w:trPr>
        <w:tc>
          <w:tcPr>
            <w:tcW w:w="553" w:type="pct"/>
            <w:vAlign w:val="center"/>
            <w:hideMark/>
          </w:tcPr>
          <w:p w14:paraId="7FBA95E9"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Títulos Públicos </w:t>
            </w:r>
          </w:p>
        </w:tc>
        <w:tc>
          <w:tcPr>
            <w:tcW w:w="124" w:type="pct"/>
            <w:noWrap/>
            <w:vAlign w:val="bottom"/>
          </w:tcPr>
          <w:p w14:paraId="34160BC6" w14:textId="77777777" w:rsidR="00E90931" w:rsidRPr="00AE4E8D" w:rsidRDefault="00E90931" w:rsidP="00E90931">
            <w:pPr>
              <w:rPr>
                <w:rFonts w:ascii="Times New Roman" w:hAnsi="Times New Roman"/>
                <w:b/>
                <w:bCs/>
                <w:sz w:val="14"/>
                <w:szCs w:val="14"/>
                <w:lang w:val="es-ES"/>
              </w:rPr>
            </w:pPr>
          </w:p>
        </w:tc>
        <w:tc>
          <w:tcPr>
            <w:tcW w:w="527" w:type="pct"/>
            <w:shd w:val="clear" w:color="auto" w:fill="FFFFFF"/>
            <w:noWrap/>
            <w:vAlign w:val="center"/>
            <w:hideMark/>
          </w:tcPr>
          <w:p w14:paraId="4CCE75C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2789651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5CF8826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44B012E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31D1B4B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550F461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4600F09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2D1AC3F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76DBF4C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1BC17B5F" w14:textId="77777777" w:rsidTr="00FA3175">
        <w:trPr>
          <w:trHeight w:val="255"/>
          <w:jc w:val="center"/>
        </w:trPr>
        <w:tc>
          <w:tcPr>
            <w:tcW w:w="553" w:type="pct"/>
            <w:vAlign w:val="center"/>
            <w:hideMark/>
          </w:tcPr>
          <w:p w14:paraId="6D39358E"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4" w:type="pct"/>
            <w:noWrap/>
            <w:vAlign w:val="bottom"/>
          </w:tcPr>
          <w:p w14:paraId="46C88B30" w14:textId="77777777" w:rsidR="00E90931" w:rsidRPr="00AE4E8D" w:rsidRDefault="00E90931" w:rsidP="00E90931">
            <w:pPr>
              <w:rPr>
                <w:rFonts w:ascii="Times New Roman" w:hAnsi="Times New Roman"/>
                <w:sz w:val="14"/>
                <w:szCs w:val="14"/>
                <w:lang w:val="es-ES"/>
              </w:rPr>
            </w:pPr>
          </w:p>
        </w:tc>
        <w:tc>
          <w:tcPr>
            <w:tcW w:w="527" w:type="pct"/>
            <w:shd w:val="clear" w:color="auto" w:fill="FFFFFF"/>
            <w:noWrap/>
            <w:vAlign w:val="center"/>
            <w:hideMark/>
          </w:tcPr>
          <w:p w14:paraId="16907AFE"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6.108.557 </w:t>
            </w:r>
          </w:p>
        </w:tc>
        <w:tc>
          <w:tcPr>
            <w:tcW w:w="490" w:type="pct"/>
            <w:shd w:val="clear" w:color="auto" w:fill="FFFFFF"/>
            <w:noWrap/>
            <w:vAlign w:val="center"/>
            <w:hideMark/>
          </w:tcPr>
          <w:p w14:paraId="3FCB31D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1.462.412 </w:t>
            </w:r>
          </w:p>
        </w:tc>
        <w:tc>
          <w:tcPr>
            <w:tcW w:w="456" w:type="pct"/>
            <w:shd w:val="clear" w:color="auto" w:fill="FFFFFF"/>
            <w:noWrap/>
            <w:vAlign w:val="center"/>
            <w:hideMark/>
          </w:tcPr>
          <w:p w14:paraId="714427E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23,94%</w:t>
            </w:r>
          </w:p>
        </w:tc>
        <w:tc>
          <w:tcPr>
            <w:tcW w:w="527" w:type="pct"/>
            <w:shd w:val="clear" w:color="auto" w:fill="FFFFFF"/>
            <w:noWrap/>
            <w:vAlign w:val="center"/>
            <w:hideMark/>
          </w:tcPr>
          <w:p w14:paraId="5EBC7D9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4.749.652 </w:t>
            </w:r>
          </w:p>
        </w:tc>
        <w:tc>
          <w:tcPr>
            <w:tcW w:w="451" w:type="pct"/>
            <w:shd w:val="clear" w:color="auto" w:fill="FFFFFF"/>
            <w:noWrap/>
            <w:vAlign w:val="center"/>
            <w:hideMark/>
          </w:tcPr>
          <w:p w14:paraId="002C2464"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1.271.803 </w:t>
            </w:r>
          </w:p>
        </w:tc>
        <w:tc>
          <w:tcPr>
            <w:tcW w:w="456" w:type="pct"/>
            <w:shd w:val="clear" w:color="auto" w:fill="FFFFFF"/>
            <w:noWrap/>
            <w:vAlign w:val="center"/>
            <w:hideMark/>
          </w:tcPr>
          <w:p w14:paraId="387CCBD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26,78%</w:t>
            </w:r>
          </w:p>
        </w:tc>
        <w:tc>
          <w:tcPr>
            <w:tcW w:w="527" w:type="pct"/>
            <w:shd w:val="clear" w:color="auto" w:fill="FFFFFF"/>
            <w:noWrap/>
            <w:vAlign w:val="center"/>
            <w:hideMark/>
          </w:tcPr>
          <w:p w14:paraId="26A419A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3.003.755 </w:t>
            </w:r>
          </w:p>
        </w:tc>
        <w:tc>
          <w:tcPr>
            <w:tcW w:w="435" w:type="pct"/>
            <w:shd w:val="clear" w:color="auto" w:fill="FFFFFF"/>
            <w:noWrap/>
            <w:vAlign w:val="center"/>
            <w:hideMark/>
          </w:tcPr>
          <w:p w14:paraId="0079B04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785.091 </w:t>
            </w:r>
          </w:p>
        </w:tc>
        <w:tc>
          <w:tcPr>
            <w:tcW w:w="454" w:type="pct"/>
            <w:shd w:val="clear" w:color="auto" w:fill="FFFFFF"/>
            <w:noWrap/>
            <w:vAlign w:val="center"/>
            <w:hideMark/>
          </w:tcPr>
          <w:p w14:paraId="576D6B7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26,14%</w:t>
            </w:r>
          </w:p>
        </w:tc>
      </w:tr>
      <w:tr w:rsidR="003B5193" w:rsidRPr="00AE4E8D" w14:paraId="33E2881B" w14:textId="77777777" w:rsidTr="00FA3175">
        <w:trPr>
          <w:trHeight w:val="255"/>
          <w:jc w:val="center"/>
        </w:trPr>
        <w:tc>
          <w:tcPr>
            <w:tcW w:w="553" w:type="pct"/>
            <w:vAlign w:val="center"/>
            <w:hideMark/>
          </w:tcPr>
          <w:p w14:paraId="68A6AC1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4" w:type="pct"/>
            <w:noWrap/>
            <w:vAlign w:val="bottom"/>
          </w:tcPr>
          <w:p w14:paraId="5D252AF3" w14:textId="77777777" w:rsidR="00E90931" w:rsidRPr="00AE4E8D" w:rsidRDefault="00E90931"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75ED8D6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2</w:t>
            </w:r>
            <w:r w:rsidR="00CF4C7B" w:rsidRPr="00AE4E8D">
              <w:rPr>
                <w:rFonts w:ascii="Times New Roman" w:hAnsi="Times New Roman"/>
                <w:sz w:val="14"/>
                <w:szCs w:val="14"/>
                <w:lang w:val="es-ES"/>
              </w:rPr>
              <w:t>.</w:t>
            </w:r>
            <w:r w:rsidR="00E90931" w:rsidRPr="00AE4E8D">
              <w:rPr>
                <w:rFonts w:ascii="Times New Roman" w:hAnsi="Times New Roman"/>
                <w:sz w:val="14"/>
                <w:szCs w:val="14"/>
                <w:lang w:val="es-ES"/>
              </w:rPr>
              <w:t xml:space="preserve">790.761 </w:t>
            </w:r>
          </w:p>
        </w:tc>
        <w:tc>
          <w:tcPr>
            <w:tcW w:w="490" w:type="pct"/>
            <w:tcBorders>
              <w:top w:val="nil"/>
              <w:left w:val="nil"/>
              <w:bottom w:val="single" w:sz="4" w:space="0" w:color="000000"/>
              <w:right w:val="nil"/>
            </w:tcBorders>
            <w:shd w:val="clear" w:color="auto" w:fill="FFFFFF"/>
            <w:noWrap/>
            <w:vAlign w:val="center"/>
            <w:hideMark/>
          </w:tcPr>
          <w:p w14:paraId="3555D207"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43.253 </w:t>
            </w:r>
          </w:p>
        </w:tc>
        <w:tc>
          <w:tcPr>
            <w:tcW w:w="456" w:type="pct"/>
            <w:tcBorders>
              <w:top w:val="nil"/>
              <w:left w:val="nil"/>
              <w:bottom w:val="single" w:sz="4" w:space="0" w:color="auto"/>
              <w:right w:val="nil"/>
            </w:tcBorders>
            <w:shd w:val="clear" w:color="auto" w:fill="FFFFFF"/>
            <w:noWrap/>
            <w:vAlign w:val="center"/>
            <w:hideMark/>
          </w:tcPr>
          <w:p w14:paraId="38671FE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1,55%</w:t>
            </w:r>
          </w:p>
        </w:tc>
        <w:tc>
          <w:tcPr>
            <w:tcW w:w="527" w:type="pct"/>
            <w:tcBorders>
              <w:top w:val="nil"/>
              <w:left w:val="nil"/>
              <w:bottom w:val="single" w:sz="4" w:space="0" w:color="000000"/>
              <w:right w:val="nil"/>
            </w:tcBorders>
            <w:shd w:val="clear" w:color="auto" w:fill="FFFFFF"/>
            <w:noWrap/>
            <w:vAlign w:val="center"/>
            <w:hideMark/>
          </w:tcPr>
          <w:p w14:paraId="673F8DB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743.398 </w:t>
            </w:r>
          </w:p>
        </w:tc>
        <w:tc>
          <w:tcPr>
            <w:tcW w:w="451" w:type="pct"/>
            <w:tcBorders>
              <w:top w:val="nil"/>
              <w:left w:val="nil"/>
              <w:bottom w:val="single" w:sz="4" w:space="0" w:color="000000"/>
              <w:right w:val="nil"/>
            </w:tcBorders>
            <w:shd w:val="clear" w:color="auto" w:fill="FFFFFF"/>
            <w:noWrap/>
            <w:vAlign w:val="center"/>
            <w:hideMark/>
          </w:tcPr>
          <w:p w14:paraId="0C2CE3E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142.161 </w:t>
            </w:r>
          </w:p>
        </w:tc>
        <w:tc>
          <w:tcPr>
            <w:tcW w:w="456" w:type="pct"/>
            <w:tcBorders>
              <w:top w:val="nil"/>
              <w:left w:val="nil"/>
              <w:bottom w:val="single" w:sz="4" w:space="0" w:color="auto"/>
              <w:right w:val="nil"/>
            </w:tcBorders>
            <w:shd w:val="clear" w:color="auto" w:fill="FFFFFF"/>
            <w:noWrap/>
            <w:vAlign w:val="center"/>
            <w:hideMark/>
          </w:tcPr>
          <w:p w14:paraId="312ED0E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19,12%</w:t>
            </w:r>
          </w:p>
        </w:tc>
        <w:tc>
          <w:tcPr>
            <w:tcW w:w="527" w:type="pct"/>
            <w:tcBorders>
              <w:top w:val="nil"/>
              <w:left w:val="nil"/>
              <w:bottom w:val="single" w:sz="4" w:space="0" w:color="000000"/>
              <w:right w:val="nil"/>
            </w:tcBorders>
            <w:shd w:val="clear" w:color="auto" w:fill="FFFFFF"/>
            <w:noWrap/>
            <w:vAlign w:val="center"/>
            <w:hideMark/>
          </w:tcPr>
          <w:p w14:paraId="6C112786"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971.719 </w:t>
            </w:r>
          </w:p>
        </w:tc>
        <w:tc>
          <w:tcPr>
            <w:tcW w:w="435" w:type="pct"/>
            <w:tcBorders>
              <w:top w:val="nil"/>
              <w:left w:val="nil"/>
              <w:bottom w:val="single" w:sz="4" w:space="0" w:color="000000"/>
              <w:right w:val="nil"/>
            </w:tcBorders>
            <w:shd w:val="clear" w:color="auto" w:fill="FFFFFF"/>
            <w:noWrap/>
            <w:vAlign w:val="center"/>
            <w:hideMark/>
          </w:tcPr>
          <w:p w14:paraId="6926385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81.514 </w:t>
            </w:r>
          </w:p>
        </w:tc>
        <w:tc>
          <w:tcPr>
            <w:tcW w:w="454" w:type="pct"/>
            <w:tcBorders>
              <w:top w:val="nil"/>
              <w:left w:val="nil"/>
              <w:bottom w:val="single" w:sz="4" w:space="0" w:color="auto"/>
              <w:right w:val="nil"/>
            </w:tcBorders>
            <w:shd w:val="clear" w:color="auto" w:fill="FFFFFF"/>
            <w:noWrap/>
            <w:vAlign w:val="center"/>
            <w:hideMark/>
          </w:tcPr>
          <w:p w14:paraId="7A4B3FF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8,39%</w:t>
            </w:r>
          </w:p>
        </w:tc>
      </w:tr>
      <w:tr w:rsidR="003B5193" w:rsidRPr="00AE4E8D" w14:paraId="6729645C" w14:textId="77777777" w:rsidTr="00FA3175">
        <w:trPr>
          <w:trHeight w:val="255"/>
          <w:jc w:val="center"/>
        </w:trPr>
        <w:tc>
          <w:tcPr>
            <w:tcW w:w="553" w:type="pct"/>
            <w:vAlign w:val="center"/>
            <w:hideMark/>
          </w:tcPr>
          <w:p w14:paraId="148C3A78"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4" w:type="pct"/>
            <w:noWrap/>
            <w:vAlign w:val="bottom"/>
          </w:tcPr>
          <w:p w14:paraId="62ABCC15" w14:textId="77777777" w:rsidR="00E90931" w:rsidRPr="00AE4E8D" w:rsidRDefault="00E90931" w:rsidP="00E90931">
            <w:pPr>
              <w:rPr>
                <w:rFonts w:ascii="Times New Roman" w:hAnsi="Times New Roman"/>
                <w:sz w:val="14"/>
                <w:szCs w:val="14"/>
                <w:lang w:val="es-ES"/>
              </w:rPr>
            </w:pPr>
          </w:p>
        </w:tc>
        <w:tc>
          <w:tcPr>
            <w:tcW w:w="527" w:type="pct"/>
            <w:shd w:val="clear" w:color="auto" w:fill="FFFFFF"/>
            <w:noWrap/>
            <w:vAlign w:val="center"/>
            <w:hideMark/>
          </w:tcPr>
          <w:p w14:paraId="73C12E3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8.899.318 </w:t>
            </w:r>
          </w:p>
        </w:tc>
        <w:tc>
          <w:tcPr>
            <w:tcW w:w="490" w:type="pct"/>
            <w:shd w:val="clear" w:color="auto" w:fill="FFFFFF"/>
            <w:noWrap/>
            <w:vAlign w:val="center"/>
            <w:hideMark/>
          </w:tcPr>
          <w:p w14:paraId="55163BE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1.505.665 </w:t>
            </w:r>
          </w:p>
        </w:tc>
        <w:tc>
          <w:tcPr>
            <w:tcW w:w="456" w:type="pct"/>
            <w:shd w:val="clear" w:color="auto" w:fill="FFFFFF"/>
            <w:noWrap/>
            <w:vAlign w:val="center"/>
            <w:hideMark/>
          </w:tcPr>
          <w:p w14:paraId="51061EC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16,92%</w:t>
            </w:r>
          </w:p>
        </w:tc>
        <w:tc>
          <w:tcPr>
            <w:tcW w:w="527" w:type="pct"/>
            <w:shd w:val="clear" w:color="auto" w:fill="FFFFFF"/>
            <w:noWrap/>
            <w:vAlign w:val="center"/>
            <w:hideMark/>
          </w:tcPr>
          <w:p w14:paraId="72D6D7A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5.493.050 </w:t>
            </w:r>
          </w:p>
        </w:tc>
        <w:tc>
          <w:tcPr>
            <w:tcW w:w="451" w:type="pct"/>
            <w:shd w:val="clear" w:color="auto" w:fill="FFFFFF"/>
            <w:noWrap/>
            <w:vAlign w:val="center"/>
            <w:hideMark/>
          </w:tcPr>
          <w:p w14:paraId="371B55E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1.413.964 </w:t>
            </w:r>
          </w:p>
        </w:tc>
        <w:tc>
          <w:tcPr>
            <w:tcW w:w="456" w:type="pct"/>
            <w:shd w:val="clear" w:color="auto" w:fill="FFFFFF"/>
            <w:noWrap/>
            <w:vAlign w:val="center"/>
            <w:hideMark/>
          </w:tcPr>
          <w:p w14:paraId="2EBBD9C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25,74%</w:t>
            </w:r>
          </w:p>
        </w:tc>
        <w:tc>
          <w:tcPr>
            <w:tcW w:w="527" w:type="pct"/>
            <w:shd w:val="clear" w:color="auto" w:fill="FFFFFF"/>
            <w:noWrap/>
            <w:vAlign w:val="center"/>
            <w:hideMark/>
          </w:tcPr>
          <w:p w14:paraId="779EBD7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3.975.474 </w:t>
            </w:r>
          </w:p>
        </w:tc>
        <w:tc>
          <w:tcPr>
            <w:tcW w:w="435" w:type="pct"/>
            <w:shd w:val="clear" w:color="auto" w:fill="FFFFFF"/>
            <w:noWrap/>
            <w:vAlign w:val="center"/>
            <w:hideMark/>
          </w:tcPr>
          <w:p w14:paraId="1FD6BEE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866.605 </w:t>
            </w:r>
          </w:p>
        </w:tc>
        <w:tc>
          <w:tcPr>
            <w:tcW w:w="454" w:type="pct"/>
            <w:shd w:val="clear" w:color="auto" w:fill="FFFFFF"/>
            <w:noWrap/>
            <w:vAlign w:val="center"/>
            <w:hideMark/>
          </w:tcPr>
          <w:p w14:paraId="0C6704A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21,80%</w:t>
            </w:r>
          </w:p>
        </w:tc>
      </w:tr>
      <w:tr w:rsidR="003B5193" w:rsidRPr="00AE4E8D" w14:paraId="42122132" w14:textId="77777777" w:rsidTr="00FA3175">
        <w:trPr>
          <w:trHeight w:val="255"/>
          <w:jc w:val="center"/>
        </w:trPr>
        <w:tc>
          <w:tcPr>
            <w:tcW w:w="553" w:type="pct"/>
            <w:vAlign w:val="center"/>
            <w:hideMark/>
          </w:tcPr>
          <w:p w14:paraId="39FC0F63"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Préstamos Hipotecarios</w:t>
            </w:r>
          </w:p>
        </w:tc>
        <w:tc>
          <w:tcPr>
            <w:tcW w:w="124" w:type="pct"/>
            <w:noWrap/>
            <w:vAlign w:val="bottom"/>
          </w:tcPr>
          <w:p w14:paraId="15E72D5F" w14:textId="77777777" w:rsidR="00E90931" w:rsidRPr="00AE4E8D" w:rsidRDefault="00E90931" w:rsidP="00E90931">
            <w:pPr>
              <w:rPr>
                <w:rFonts w:ascii="Times New Roman" w:hAnsi="Times New Roman"/>
                <w:b/>
                <w:bCs/>
                <w:sz w:val="14"/>
                <w:szCs w:val="14"/>
                <w:lang w:val="es-ES"/>
              </w:rPr>
            </w:pPr>
          </w:p>
        </w:tc>
        <w:tc>
          <w:tcPr>
            <w:tcW w:w="527" w:type="pct"/>
            <w:shd w:val="clear" w:color="auto" w:fill="FFFFFF"/>
            <w:noWrap/>
            <w:vAlign w:val="center"/>
            <w:hideMark/>
          </w:tcPr>
          <w:p w14:paraId="60C4584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677B493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7FB4063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385F39E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383D4F8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2320A42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3645D87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308E097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540E424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09A833E3" w14:textId="77777777" w:rsidTr="00FA3175">
        <w:trPr>
          <w:trHeight w:val="255"/>
          <w:jc w:val="center"/>
        </w:trPr>
        <w:tc>
          <w:tcPr>
            <w:tcW w:w="553" w:type="pct"/>
            <w:vAlign w:val="center"/>
            <w:hideMark/>
          </w:tcPr>
          <w:p w14:paraId="4C904EDC"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4" w:type="pct"/>
            <w:noWrap/>
            <w:vAlign w:val="bottom"/>
          </w:tcPr>
          <w:p w14:paraId="572E23A4" w14:textId="77777777" w:rsidR="00E90931" w:rsidRPr="00AE4E8D" w:rsidRDefault="00E90931" w:rsidP="00E90931">
            <w:pPr>
              <w:rPr>
                <w:rFonts w:ascii="Times New Roman" w:hAnsi="Times New Roman"/>
                <w:sz w:val="14"/>
                <w:szCs w:val="14"/>
                <w:lang w:val="es-ES"/>
              </w:rPr>
            </w:pPr>
          </w:p>
        </w:tc>
        <w:tc>
          <w:tcPr>
            <w:tcW w:w="527" w:type="pct"/>
            <w:shd w:val="clear" w:color="auto" w:fill="FFFFFF"/>
            <w:noWrap/>
            <w:vAlign w:val="center"/>
            <w:hideMark/>
          </w:tcPr>
          <w:p w14:paraId="201A1CA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2.769.737 </w:t>
            </w:r>
          </w:p>
        </w:tc>
        <w:tc>
          <w:tcPr>
            <w:tcW w:w="490" w:type="pct"/>
            <w:shd w:val="clear" w:color="auto" w:fill="FFFFFF"/>
            <w:noWrap/>
            <w:vAlign w:val="center"/>
            <w:hideMark/>
          </w:tcPr>
          <w:p w14:paraId="24C8FBF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495.644 </w:t>
            </w:r>
          </w:p>
        </w:tc>
        <w:tc>
          <w:tcPr>
            <w:tcW w:w="456" w:type="pct"/>
            <w:shd w:val="clear" w:color="auto" w:fill="FFFFFF"/>
            <w:noWrap/>
            <w:vAlign w:val="center"/>
            <w:hideMark/>
          </w:tcPr>
          <w:p w14:paraId="4D781F4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17,89%</w:t>
            </w:r>
          </w:p>
        </w:tc>
        <w:tc>
          <w:tcPr>
            <w:tcW w:w="527" w:type="pct"/>
            <w:shd w:val="clear" w:color="auto" w:fill="FFFFFF"/>
            <w:noWrap/>
            <w:vAlign w:val="center"/>
            <w:hideMark/>
          </w:tcPr>
          <w:p w14:paraId="1453F49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2.453.481 </w:t>
            </w:r>
          </w:p>
        </w:tc>
        <w:tc>
          <w:tcPr>
            <w:tcW w:w="451" w:type="pct"/>
            <w:shd w:val="clear" w:color="auto" w:fill="FFFFFF"/>
            <w:noWrap/>
            <w:vAlign w:val="center"/>
            <w:hideMark/>
          </w:tcPr>
          <w:p w14:paraId="73DB98A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434.430 </w:t>
            </w:r>
          </w:p>
        </w:tc>
        <w:tc>
          <w:tcPr>
            <w:tcW w:w="456" w:type="pct"/>
            <w:shd w:val="clear" w:color="auto" w:fill="FFFFFF"/>
            <w:noWrap/>
            <w:vAlign w:val="center"/>
            <w:hideMark/>
          </w:tcPr>
          <w:p w14:paraId="4A7D11C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17,71%</w:t>
            </w:r>
          </w:p>
        </w:tc>
        <w:tc>
          <w:tcPr>
            <w:tcW w:w="527" w:type="pct"/>
            <w:shd w:val="clear" w:color="auto" w:fill="FFFFFF"/>
            <w:noWrap/>
            <w:vAlign w:val="center"/>
            <w:hideMark/>
          </w:tcPr>
          <w:p w14:paraId="3B2076C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2.251.240 </w:t>
            </w:r>
          </w:p>
        </w:tc>
        <w:tc>
          <w:tcPr>
            <w:tcW w:w="435" w:type="pct"/>
            <w:shd w:val="clear" w:color="auto" w:fill="FFFFFF"/>
            <w:noWrap/>
            <w:vAlign w:val="center"/>
            <w:hideMark/>
          </w:tcPr>
          <w:p w14:paraId="6779AEE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360.788 </w:t>
            </w:r>
          </w:p>
        </w:tc>
        <w:tc>
          <w:tcPr>
            <w:tcW w:w="454" w:type="pct"/>
            <w:shd w:val="clear" w:color="auto" w:fill="FFFFFF"/>
            <w:noWrap/>
            <w:vAlign w:val="center"/>
            <w:hideMark/>
          </w:tcPr>
          <w:p w14:paraId="42386C8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16,03%</w:t>
            </w:r>
          </w:p>
        </w:tc>
      </w:tr>
      <w:tr w:rsidR="003B5193" w:rsidRPr="00AE4E8D" w14:paraId="50EB3A07" w14:textId="77777777" w:rsidTr="00FA3175">
        <w:trPr>
          <w:trHeight w:val="255"/>
          <w:jc w:val="center"/>
        </w:trPr>
        <w:tc>
          <w:tcPr>
            <w:tcW w:w="553" w:type="pct"/>
            <w:vAlign w:val="center"/>
            <w:hideMark/>
          </w:tcPr>
          <w:p w14:paraId="14DB51D3"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4" w:type="pct"/>
            <w:noWrap/>
            <w:vAlign w:val="bottom"/>
          </w:tcPr>
          <w:p w14:paraId="3CDED4A2" w14:textId="77777777" w:rsidR="00E90931" w:rsidRPr="00AE4E8D" w:rsidRDefault="00E90931"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4B90218B" w14:textId="77777777" w:rsidR="00E90931"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90" w:type="pct"/>
            <w:tcBorders>
              <w:top w:val="nil"/>
              <w:left w:val="nil"/>
              <w:bottom w:val="single" w:sz="4" w:space="0" w:color="000000"/>
              <w:right w:val="nil"/>
            </w:tcBorders>
            <w:shd w:val="clear" w:color="auto" w:fill="FFFFFF"/>
            <w:noWrap/>
            <w:vAlign w:val="center"/>
            <w:hideMark/>
          </w:tcPr>
          <w:p w14:paraId="7363B167" w14:textId="77777777" w:rsidR="00E90931"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56" w:type="pct"/>
            <w:shd w:val="clear" w:color="auto" w:fill="FFFFFF"/>
            <w:noWrap/>
            <w:vAlign w:val="center"/>
            <w:hideMark/>
          </w:tcPr>
          <w:p w14:paraId="5299A970" w14:textId="77777777" w:rsidR="00E90931"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527" w:type="pct"/>
            <w:tcBorders>
              <w:top w:val="nil"/>
              <w:left w:val="nil"/>
              <w:bottom w:val="single" w:sz="4" w:space="0" w:color="000000"/>
              <w:right w:val="nil"/>
            </w:tcBorders>
            <w:shd w:val="clear" w:color="auto" w:fill="FFFFFF"/>
            <w:noWrap/>
            <w:vAlign w:val="center"/>
            <w:hideMark/>
          </w:tcPr>
          <w:p w14:paraId="6C06129D" w14:textId="77777777" w:rsidR="00E90931"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51" w:type="pct"/>
            <w:tcBorders>
              <w:top w:val="nil"/>
              <w:left w:val="nil"/>
              <w:bottom w:val="single" w:sz="4" w:space="0" w:color="000000"/>
              <w:right w:val="nil"/>
            </w:tcBorders>
            <w:shd w:val="clear" w:color="auto" w:fill="FFFFFF"/>
            <w:noWrap/>
            <w:vAlign w:val="center"/>
            <w:hideMark/>
          </w:tcPr>
          <w:p w14:paraId="40050493" w14:textId="77777777" w:rsidR="00E90931"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56" w:type="pct"/>
            <w:shd w:val="clear" w:color="auto" w:fill="FFFFFF"/>
            <w:noWrap/>
            <w:vAlign w:val="center"/>
            <w:hideMark/>
          </w:tcPr>
          <w:p w14:paraId="1B8D58D7" w14:textId="77777777" w:rsidR="00E90931"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527" w:type="pct"/>
            <w:tcBorders>
              <w:top w:val="nil"/>
              <w:left w:val="nil"/>
              <w:bottom w:val="single" w:sz="4" w:space="0" w:color="000000"/>
              <w:right w:val="nil"/>
            </w:tcBorders>
            <w:shd w:val="clear" w:color="auto" w:fill="FFFFFF"/>
            <w:noWrap/>
            <w:vAlign w:val="center"/>
            <w:hideMark/>
          </w:tcPr>
          <w:p w14:paraId="1895F6FE" w14:textId="77777777" w:rsidR="00E90931"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35" w:type="pct"/>
            <w:tcBorders>
              <w:top w:val="nil"/>
              <w:left w:val="nil"/>
              <w:bottom w:val="single" w:sz="4" w:space="0" w:color="000000"/>
              <w:right w:val="nil"/>
            </w:tcBorders>
            <w:shd w:val="clear" w:color="auto" w:fill="FFFFFF"/>
            <w:noWrap/>
            <w:vAlign w:val="center"/>
            <w:hideMark/>
          </w:tcPr>
          <w:p w14:paraId="4C311B4E" w14:textId="77777777" w:rsidR="00E90931"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54" w:type="pct"/>
            <w:shd w:val="clear" w:color="auto" w:fill="FFFFFF"/>
            <w:noWrap/>
            <w:vAlign w:val="center"/>
            <w:hideMark/>
          </w:tcPr>
          <w:p w14:paraId="12F15F8C" w14:textId="77777777" w:rsidR="00E90931"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r>
      <w:tr w:rsidR="003B5193" w:rsidRPr="00AE4E8D" w14:paraId="55E721A0" w14:textId="77777777" w:rsidTr="00FA3175">
        <w:trPr>
          <w:trHeight w:val="255"/>
          <w:jc w:val="center"/>
        </w:trPr>
        <w:tc>
          <w:tcPr>
            <w:tcW w:w="553" w:type="pct"/>
            <w:vAlign w:val="center"/>
            <w:hideMark/>
          </w:tcPr>
          <w:p w14:paraId="6B1DF2E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4" w:type="pct"/>
            <w:noWrap/>
            <w:vAlign w:val="bottom"/>
          </w:tcPr>
          <w:p w14:paraId="76FCC2B6" w14:textId="77777777" w:rsidR="00E90931" w:rsidRPr="00AE4E8D" w:rsidRDefault="00E90931" w:rsidP="00E90931">
            <w:pPr>
              <w:rPr>
                <w:rFonts w:ascii="Times New Roman" w:hAnsi="Times New Roman"/>
                <w:sz w:val="14"/>
                <w:szCs w:val="14"/>
                <w:lang w:val="es-ES"/>
              </w:rPr>
            </w:pPr>
          </w:p>
        </w:tc>
        <w:tc>
          <w:tcPr>
            <w:tcW w:w="527" w:type="pct"/>
            <w:shd w:val="clear" w:color="auto" w:fill="FFFFFF"/>
            <w:noWrap/>
            <w:vAlign w:val="center"/>
            <w:hideMark/>
          </w:tcPr>
          <w:p w14:paraId="59C6B9E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2.769.737</w:t>
            </w:r>
            <w:r w:rsidRPr="00AE4E8D">
              <w:rPr>
                <w:rFonts w:ascii="Times New Roman" w:hAnsi="Times New Roman"/>
                <w:sz w:val="14"/>
                <w:szCs w:val="14"/>
                <w:lang w:val="es-ES"/>
              </w:rPr>
              <w:t xml:space="preserve"> </w:t>
            </w:r>
          </w:p>
        </w:tc>
        <w:tc>
          <w:tcPr>
            <w:tcW w:w="490" w:type="pct"/>
            <w:shd w:val="clear" w:color="auto" w:fill="FFFFFF"/>
            <w:noWrap/>
            <w:vAlign w:val="center"/>
            <w:hideMark/>
          </w:tcPr>
          <w:p w14:paraId="37D5A6A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495.644</w:t>
            </w:r>
            <w:r w:rsidRPr="00AE4E8D">
              <w:rPr>
                <w:rFonts w:ascii="Times New Roman" w:hAnsi="Times New Roman"/>
                <w:sz w:val="14"/>
                <w:szCs w:val="14"/>
                <w:lang w:val="es-ES"/>
              </w:rPr>
              <w:t xml:space="preserve"> </w:t>
            </w:r>
          </w:p>
        </w:tc>
        <w:tc>
          <w:tcPr>
            <w:tcW w:w="456" w:type="pct"/>
            <w:tcBorders>
              <w:top w:val="single" w:sz="4" w:space="0" w:color="auto"/>
              <w:left w:val="nil"/>
              <w:bottom w:val="nil"/>
              <w:right w:val="nil"/>
            </w:tcBorders>
            <w:shd w:val="clear" w:color="auto" w:fill="FFFFFF"/>
            <w:noWrap/>
            <w:vAlign w:val="center"/>
            <w:hideMark/>
          </w:tcPr>
          <w:p w14:paraId="1A67648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17,89%</w:t>
            </w:r>
          </w:p>
        </w:tc>
        <w:tc>
          <w:tcPr>
            <w:tcW w:w="527" w:type="pct"/>
            <w:shd w:val="clear" w:color="auto" w:fill="FFFFFF"/>
            <w:noWrap/>
            <w:vAlign w:val="center"/>
            <w:hideMark/>
          </w:tcPr>
          <w:p w14:paraId="0B8885A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2.453.481 </w:t>
            </w:r>
          </w:p>
        </w:tc>
        <w:tc>
          <w:tcPr>
            <w:tcW w:w="451" w:type="pct"/>
            <w:shd w:val="clear" w:color="auto" w:fill="FFFFFF"/>
            <w:noWrap/>
            <w:vAlign w:val="center"/>
            <w:hideMark/>
          </w:tcPr>
          <w:p w14:paraId="0F7C461E"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434.430 </w:t>
            </w:r>
          </w:p>
        </w:tc>
        <w:tc>
          <w:tcPr>
            <w:tcW w:w="456" w:type="pct"/>
            <w:tcBorders>
              <w:top w:val="single" w:sz="4" w:space="0" w:color="auto"/>
              <w:left w:val="nil"/>
              <w:bottom w:val="nil"/>
              <w:right w:val="nil"/>
            </w:tcBorders>
            <w:shd w:val="clear" w:color="auto" w:fill="FFFFFF"/>
            <w:noWrap/>
            <w:vAlign w:val="center"/>
            <w:hideMark/>
          </w:tcPr>
          <w:p w14:paraId="2D9A965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17,71%</w:t>
            </w:r>
          </w:p>
        </w:tc>
        <w:tc>
          <w:tcPr>
            <w:tcW w:w="527" w:type="pct"/>
            <w:shd w:val="clear" w:color="auto" w:fill="FFFFFF"/>
            <w:noWrap/>
            <w:vAlign w:val="center"/>
            <w:hideMark/>
          </w:tcPr>
          <w:p w14:paraId="1E8625E1"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2.251.240 </w:t>
            </w:r>
          </w:p>
        </w:tc>
        <w:tc>
          <w:tcPr>
            <w:tcW w:w="435" w:type="pct"/>
            <w:shd w:val="clear" w:color="auto" w:fill="FFFFFF"/>
            <w:noWrap/>
            <w:vAlign w:val="center"/>
            <w:hideMark/>
          </w:tcPr>
          <w:p w14:paraId="1B67EAE7"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360.788 </w:t>
            </w:r>
          </w:p>
        </w:tc>
        <w:tc>
          <w:tcPr>
            <w:tcW w:w="454" w:type="pct"/>
            <w:tcBorders>
              <w:top w:val="single" w:sz="4" w:space="0" w:color="auto"/>
              <w:left w:val="nil"/>
              <w:bottom w:val="nil"/>
              <w:right w:val="nil"/>
            </w:tcBorders>
            <w:shd w:val="clear" w:color="auto" w:fill="FFFFFF"/>
            <w:noWrap/>
            <w:vAlign w:val="center"/>
            <w:hideMark/>
          </w:tcPr>
          <w:p w14:paraId="7CAB624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16,03%</w:t>
            </w:r>
          </w:p>
        </w:tc>
      </w:tr>
      <w:tr w:rsidR="003B5193" w:rsidRPr="00AE4E8D" w14:paraId="44D747D4" w14:textId="77777777" w:rsidTr="00FA3175">
        <w:trPr>
          <w:trHeight w:val="255"/>
          <w:jc w:val="center"/>
        </w:trPr>
        <w:tc>
          <w:tcPr>
            <w:tcW w:w="553" w:type="pct"/>
            <w:vAlign w:val="center"/>
            <w:hideMark/>
          </w:tcPr>
          <w:p w14:paraId="1F01E87E"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Préstamos Personales</w:t>
            </w:r>
          </w:p>
        </w:tc>
        <w:tc>
          <w:tcPr>
            <w:tcW w:w="124" w:type="pct"/>
            <w:noWrap/>
            <w:vAlign w:val="bottom"/>
          </w:tcPr>
          <w:p w14:paraId="2740FCCC" w14:textId="77777777" w:rsidR="00E90931" w:rsidRPr="00AE4E8D" w:rsidRDefault="00E90931" w:rsidP="00E90931">
            <w:pPr>
              <w:rPr>
                <w:rFonts w:ascii="Times New Roman" w:hAnsi="Times New Roman"/>
                <w:b/>
                <w:bCs/>
                <w:sz w:val="14"/>
                <w:szCs w:val="14"/>
                <w:lang w:val="es-ES"/>
              </w:rPr>
            </w:pPr>
          </w:p>
        </w:tc>
        <w:tc>
          <w:tcPr>
            <w:tcW w:w="527" w:type="pct"/>
            <w:shd w:val="clear" w:color="auto" w:fill="FFFFFF"/>
            <w:noWrap/>
            <w:vAlign w:val="center"/>
            <w:hideMark/>
          </w:tcPr>
          <w:p w14:paraId="032EDB7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37A6A81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0F8B733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73CFF54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0C02492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4EBDA11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5BDA624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63F8EC9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5F9A7DC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41B25EEA" w14:textId="77777777" w:rsidTr="00FA3175">
        <w:trPr>
          <w:trHeight w:val="255"/>
          <w:jc w:val="center"/>
        </w:trPr>
        <w:tc>
          <w:tcPr>
            <w:tcW w:w="553" w:type="pct"/>
            <w:vAlign w:val="center"/>
            <w:hideMark/>
          </w:tcPr>
          <w:p w14:paraId="11EB6D61"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4" w:type="pct"/>
            <w:noWrap/>
            <w:vAlign w:val="bottom"/>
          </w:tcPr>
          <w:p w14:paraId="0FCFE228" w14:textId="77777777" w:rsidR="00E90931" w:rsidRPr="00AE4E8D" w:rsidRDefault="00E90931" w:rsidP="00E90931">
            <w:pPr>
              <w:rPr>
                <w:rFonts w:ascii="Times New Roman" w:hAnsi="Times New Roman"/>
                <w:sz w:val="14"/>
                <w:szCs w:val="14"/>
                <w:lang w:val="es-ES"/>
              </w:rPr>
            </w:pPr>
          </w:p>
        </w:tc>
        <w:tc>
          <w:tcPr>
            <w:tcW w:w="527" w:type="pct"/>
            <w:shd w:val="clear" w:color="auto" w:fill="FFFFFF"/>
            <w:noWrap/>
            <w:vAlign w:val="center"/>
            <w:hideMark/>
          </w:tcPr>
          <w:p w14:paraId="3523C9A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3.810.977 </w:t>
            </w:r>
          </w:p>
        </w:tc>
        <w:tc>
          <w:tcPr>
            <w:tcW w:w="490" w:type="pct"/>
            <w:shd w:val="clear" w:color="auto" w:fill="FFFFFF"/>
            <w:noWrap/>
            <w:vAlign w:val="center"/>
            <w:hideMark/>
          </w:tcPr>
          <w:p w14:paraId="38FD1E6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1.445.050 </w:t>
            </w:r>
          </w:p>
        </w:tc>
        <w:tc>
          <w:tcPr>
            <w:tcW w:w="456" w:type="pct"/>
            <w:shd w:val="clear" w:color="auto" w:fill="FFFFFF"/>
            <w:noWrap/>
            <w:vAlign w:val="center"/>
            <w:hideMark/>
          </w:tcPr>
          <w:p w14:paraId="618461D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37,92%</w:t>
            </w:r>
          </w:p>
        </w:tc>
        <w:tc>
          <w:tcPr>
            <w:tcW w:w="527" w:type="pct"/>
            <w:shd w:val="clear" w:color="auto" w:fill="FFFFFF"/>
            <w:noWrap/>
            <w:vAlign w:val="center"/>
            <w:hideMark/>
          </w:tcPr>
          <w:p w14:paraId="2EAA115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2.727.314 </w:t>
            </w:r>
          </w:p>
        </w:tc>
        <w:tc>
          <w:tcPr>
            <w:tcW w:w="451" w:type="pct"/>
            <w:shd w:val="clear" w:color="auto" w:fill="FFFFFF"/>
            <w:noWrap/>
            <w:vAlign w:val="center"/>
            <w:hideMark/>
          </w:tcPr>
          <w:p w14:paraId="4D6895E4"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1.087.149 </w:t>
            </w:r>
          </w:p>
        </w:tc>
        <w:tc>
          <w:tcPr>
            <w:tcW w:w="456" w:type="pct"/>
            <w:shd w:val="clear" w:color="auto" w:fill="FFFFFF"/>
            <w:noWrap/>
            <w:vAlign w:val="center"/>
            <w:hideMark/>
          </w:tcPr>
          <w:p w14:paraId="404B30C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39,86%</w:t>
            </w:r>
          </w:p>
        </w:tc>
        <w:tc>
          <w:tcPr>
            <w:tcW w:w="527" w:type="pct"/>
            <w:shd w:val="clear" w:color="auto" w:fill="FFFFFF"/>
            <w:noWrap/>
            <w:vAlign w:val="center"/>
            <w:hideMark/>
          </w:tcPr>
          <w:p w14:paraId="1F9A4FA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2.152.665 </w:t>
            </w:r>
          </w:p>
        </w:tc>
        <w:tc>
          <w:tcPr>
            <w:tcW w:w="435" w:type="pct"/>
            <w:shd w:val="clear" w:color="auto" w:fill="FFFFFF"/>
            <w:noWrap/>
            <w:vAlign w:val="center"/>
            <w:hideMark/>
          </w:tcPr>
          <w:p w14:paraId="7DEE96F3"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840.196 </w:t>
            </w:r>
          </w:p>
        </w:tc>
        <w:tc>
          <w:tcPr>
            <w:tcW w:w="454" w:type="pct"/>
            <w:shd w:val="clear" w:color="auto" w:fill="FFFFFF"/>
            <w:noWrap/>
            <w:vAlign w:val="center"/>
            <w:hideMark/>
          </w:tcPr>
          <w:p w14:paraId="4521EDF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39,03%</w:t>
            </w:r>
          </w:p>
        </w:tc>
      </w:tr>
      <w:tr w:rsidR="003B5193" w:rsidRPr="00AE4E8D" w14:paraId="5573BFB4" w14:textId="77777777" w:rsidTr="00FA3175">
        <w:trPr>
          <w:trHeight w:val="255"/>
          <w:jc w:val="center"/>
        </w:trPr>
        <w:tc>
          <w:tcPr>
            <w:tcW w:w="553" w:type="pct"/>
            <w:vAlign w:val="center"/>
            <w:hideMark/>
          </w:tcPr>
          <w:p w14:paraId="72F01677"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7F9ABCCD"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6E4A022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90" w:type="pct"/>
            <w:tcBorders>
              <w:top w:val="nil"/>
              <w:left w:val="nil"/>
              <w:bottom w:val="single" w:sz="4" w:space="0" w:color="000000"/>
              <w:right w:val="nil"/>
            </w:tcBorders>
            <w:shd w:val="clear" w:color="auto" w:fill="FFFFFF"/>
            <w:noWrap/>
            <w:vAlign w:val="center"/>
            <w:hideMark/>
          </w:tcPr>
          <w:p w14:paraId="284076FE"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56" w:type="pct"/>
            <w:shd w:val="clear" w:color="auto" w:fill="FFFFFF"/>
            <w:noWrap/>
            <w:vAlign w:val="center"/>
            <w:hideMark/>
          </w:tcPr>
          <w:p w14:paraId="4C21C15E"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527" w:type="pct"/>
            <w:tcBorders>
              <w:top w:val="nil"/>
              <w:left w:val="nil"/>
              <w:bottom w:val="single" w:sz="4" w:space="0" w:color="000000"/>
              <w:right w:val="nil"/>
            </w:tcBorders>
            <w:shd w:val="clear" w:color="auto" w:fill="FFFFFF"/>
            <w:noWrap/>
            <w:vAlign w:val="center"/>
            <w:hideMark/>
          </w:tcPr>
          <w:p w14:paraId="46041DD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51" w:type="pct"/>
            <w:tcBorders>
              <w:top w:val="nil"/>
              <w:left w:val="nil"/>
              <w:bottom w:val="single" w:sz="4" w:space="0" w:color="000000"/>
              <w:right w:val="nil"/>
            </w:tcBorders>
            <w:shd w:val="clear" w:color="auto" w:fill="FFFFFF"/>
            <w:noWrap/>
            <w:vAlign w:val="center"/>
            <w:hideMark/>
          </w:tcPr>
          <w:p w14:paraId="26F9DA7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56" w:type="pct"/>
            <w:shd w:val="clear" w:color="auto" w:fill="FFFFFF"/>
            <w:noWrap/>
            <w:vAlign w:val="center"/>
            <w:hideMark/>
          </w:tcPr>
          <w:p w14:paraId="5A3F99E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527" w:type="pct"/>
            <w:tcBorders>
              <w:top w:val="nil"/>
              <w:left w:val="nil"/>
              <w:bottom w:val="single" w:sz="4" w:space="0" w:color="000000"/>
              <w:right w:val="nil"/>
            </w:tcBorders>
            <w:shd w:val="clear" w:color="auto" w:fill="FFFFFF"/>
            <w:noWrap/>
            <w:vAlign w:val="center"/>
            <w:hideMark/>
          </w:tcPr>
          <w:p w14:paraId="5500A22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35" w:type="pct"/>
            <w:tcBorders>
              <w:top w:val="nil"/>
              <w:left w:val="nil"/>
              <w:bottom w:val="single" w:sz="4" w:space="0" w:color="000000"/>
              <w:right w:val="nil"/>
            </w:tcBorders>
            <w:shd w:val="clear" w:color="auto" w:fill="FFFFFF"/>
            <w:noWrap/>
            <w:vAlign w:val="center"/>
            <w:hideMark/>
          </w:tcPr>
          <w:p w14:paraId="1459FE4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c>
          <w:tcPr>
            <w:tcW w:w="454" w:type="pct"/>
            <w:shd w:val="clear" w:color="auto" w:fill="FFFFFF"/>
            <w:noWrap/>
            <w:vAlign w:val="center"/>
            <w:hideMark/>
          </w:tcPr>
          <w:p w14:paraId="5B7C952D"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w:t>
            </w:r>
          </w:p>
        </w:tc>
      </w:tr>
      <w:tr w:rsidR="003B5193" w:rsidRPr="00AE4E8D" w14:paraId="05941B93" w14:textId="77777777" w:rsidTr="00FA3175">
        <w:trPr>
          <w:trHeight w:val="255"/>
          <w:jc w:val="center"/>
        </w:trPr>
        <w:tc>
          <w:tcPr>
            <w:tcW w:w="553" w:type="pct"/>
            <w:vAlign w:val="center"/>
            <w:hideMark/>
          </w:tcPr>
          <w:p w14:paraId="548E4CDB"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7227600C"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6B9C9B2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3.810.977 </w:t>
            </w:r>
          </w:p>
        </w:tc>
        <w:tc>
          <w:tcPr>
            <w:tcW w:w="490" w:type="pct"/>
            <w:shd w:val="clear" w:color="auto" w:fill="FFFFFF"/>
            <w:noWrap/>
            <w:vAlign w:val="center"/>
            <w:hideMark/>
          </w:tcPr>
          <w:p w14:paraId="71FA000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1.445.050 </w:t>
            </w:r>
          </w:p>
        </w:tc>
        <w:tc>
          <w:tcPr>
            <w:tcW w:w="456" w:type="pct"/>
            <w:tcBorders>
              <w:top w:val="single" w:sz="4" w:space="0" w:color="auto"/>
              <w:left w:val="nil"/>
              <w:bottom w:val="nil"/>
              <w:right w:val="nil"/>
            </w:tcBorders>
            <w:shd w:val="clear" w:color="auto" w:fill="FFFFFF"/>
            <w:noWrap/>
            <w:vAlign w:val="center"/>
            <w:hideMark/>
          </w:tcPr>
          <w:p w14:paraId="1EE1434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37,92%</w:t>
            </w:r>
          </w:p>
        </w:tc>
        <w:tc>
          <w:tcPr>
            <w:tcW w:w="527" w:type="pct"/>
            <w:shd w:val="clear" w:color="auto" w:fill="FFFFFF"/>
            <w:noWrap/>
            <w:vAlign w:val="center"/>
            <w:hideMark/>
          </w:tcPr>
          <w:p w14:paraId="42DDB535"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2.727.314 </w:t>
            </w:r>
          </w:p>
        </w:tc>
        <w:tc>
          <w:tcPr>
            <w:tcW w:w="451" w:type="pct"/>
            <w:shd w:val="clear" w:color="auto" w:fill="FFFFFF"/>
            <w:noWrap/>
            <w:vAlign w:val="center"/>
            <w:hideMark/>
          </w:tcPr>
          <w:p w14:paraId="4E7D8C9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1.087.149 </w:t>
            </w:r>
          </w:p>
        </w:tc>
        <w:tc>
          <w:tcPr>
            <w:tcW w:w="456" w:type="pct"/>
            <w:tcBorders>
              <w:top w:val="single" w:sz="4" w:space="0" w:color="auto"/>
              <w:left w:val="nil"/>
              <w:bottom w:val="nil"/>
              <w:right w:val="nil"/>
            </w:tcBorders>
            <w:shd w:val="clear" w:color="auto" w:fill="FFFFFF"/>
            <w:noWrap/>
            <w:vAlign w:val="center"/>
            <w:hideMark/>
          </w:tcPr>
          <w:p w14:paraId="4188657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39,86%</w:t>
            </w:r>
          </w:p>
        </w:tc>
        <w:tc>
          <w:tcPr>
            <w:tcW w:w="527" w:type="pct"/>
            <w:shd w:val="clear" w:color="auto" w:fill="FFFFFF"/>
            <w:noWrap/>
            <w:vAlign w:val="center"/>
            <w:hideMark/>
          </w:tcPr>
          <w:p w14:paraId="28AA28F4"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2.152.665 </w:t>
            </w:r>
          </w:p>
        </w:tc>
        <w:tc>
          <w:tcPr>
            <w:tcW w:w="435" w:type="pct"/>
            <w:shd w:val="clear" w:color="auto" w:fill="FFFFFF"/>
            <w:noWrap/>
            <w:vAlign w:val="center"/>
            <w:hideMark/>
          </w:tcPr>
          <w:p w14:paraId="22F1E97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840.196 </w:t>
            </w:r>
          </w:p>
        </w:tc>
        <w:tc>
          <w:tcPr>
            <w:tcW w:w="454" w:type="pct"/>
            <w:tcBorders>
              <w:top w:val="single" w:sz="4" w:space="0" w:color="auto"/>
              <w:left w:val="nil"/>
              <w:bottom w:val="nil"/>
              <w:right w:val="nil"/>
            </w:tcBorders>
            <w:shd w:val="clear" w:color="auto" w:fill="FFFFFF"/>
            <w:noWrap/>
            <w:vAlign w:val="center"/>
            <w:hideMark/>
          </w:tcPr>
          <w:p w14:paraId="359739E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39,03%</w:t>
            </w:r>
          </w:p>
        </w:tc>
      </w:tr>
      <w:tr w:rsidR="003B5193" w:rsidRPr="00AE4E8D" w14:paraId="30EB5BCB" w14:textId="77777777" w:rsidTr="00FA3175">
        <w:trPr>
          <w:trHeight w:val="255"/>
          <w:jc w:val="center"/>
        </w:trPr>
        <w:tc>
          <w:tcPr>
            <w:tcW w:w="553" w:type="pct"/>
            <w:vAlign w:val="center"/>
            <w:hideMark/>
          </w:tcPr>
          <w:p w14:paraId="1DF277AC"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Tarjetas de Crédito</w:t>
            </w:r>
          </w:p>
        </w:tc>
        <w:tc>
          <w:tcPr>
            <w:tcW w:w="124" w:type="pct"/>
            <w:noWrap/>
            <w:vAlign w:val="bottom"/>
          </w:tcPr>
          <w:p w14:paraId="79E5CDD5"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0016681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76A493D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22C9B77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2F90359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4A65724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30DE922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659A5D2D"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6DF5743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7C785F4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6F2F2B72" w14:textId="77777777" w:rsidTr="00FA3175">
        <w:trPr>
          <w:trHeight w:val="255"/>
          <w:jc w:val="center"/>
        </w:trPr>
        <w:tc>
          <w:tcPr>
            <w:tcW w:w="553" w:type="pct"/>
            <w:vAlign w:val="center"/>
            <w:hideMark/>
          </w:tcPr>
          <w:p w14:paraId="502D351D"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715B867A"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5F42FA91"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10.788.626 </w:t>
            </w:r>
          </w:p>
        </w:tc>
        <w:tc>
          <w:tcPr>
            <w:tcW w:w="490" w:type="pct"/>
            <w:shd w:val="clear" w:color="auto" w:fill="FFFFFF"/>
            <w:noWrap/>
            <w:vAlign w:val="center"/>
            <w:hideMark/>
          </w:tcPr>
          <w:p w14:paraId="27937D72"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3.477.649 </w:t>
            </w:r>
          </w:p>
        </w:tc>
        <w:tc>
          <w:tcPr>
            <w:tcW w:w="456" w:type="pct"/>
            <w:shd w:val="clear" w:color="auto" w:fill="FFFFFF"/>
            <w:noWrap/>
            <w:vAlign w:val="center"/>
            <w:hideMark/>
          </w:tcPr>
          <w:p w14:paraId="6040400D"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32,23%</w:t>
            </w:r>
          </w:p>
        </w:tc>
        <w:tc>
          <w:tcPr>
            <w:tcW w:w="527" w:type="pct"/>
            <w:shd w:val="clear" w:color="auto" w:fill="FFFFFF"/>
            <w:noWrap/>
            <w:vAlign w:val="center"/>
            <w:hideMark/>
          </w:tcPr>
          <w:p w14:paraId="1BE6110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7.947.299 </w:t>
            </w:r>
          </w:p>
        </w:tc>
        <w:tc>
          <w:tcPr>
            <w:tcW w:w="451" w:type="pct"/>
            <w:shd w:val="clear" w:color="auto" w:fill="FFFFFF"/>
            <w:noWrap/>
            <w:vAlign w:val="center"/>
            <w:hideMark/>
          </w:tcPr>
          <w:p w14:paraId="64293A3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2.153.739 </w:t>
            </w:r>
          </w:p>
        </w:tc>
        <w:tc>
          <w:tcPr>
            <w:tcW w:w="456" w:type="pct"/>
            <w:shd w:val="clear" w:color="auto" w:fill="FFFFFF"/>
            <w:noWrap/>
            <w:vAlign w:val="center"/>
            <w:hideMark/>
          </w:tcPr>
          <w:p w14:paraId="1CAB8B6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27,10%</w:t>
            </w:r>
          </w:p>
        </w:tc>
        <w:tc>
          <w:tcPr>
            <w:tcW w:w="527" w:type="pct"/>
            <w:shd w:val="clear" w:color="auto" w:fill="FFFFFF"/>
            <w:noWrap/>
            <w:vAlign w:val="center"/>
            <w:hideMark/>
          </w:tcPr>
          <w:p w14:paraId="7C0EC693"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5.642.947 </w:t>
            </w:r>
          </w:p>
        </w:tc>
        <w:tc>
          <w:tcPr>
            <w:tcW w:w="435" w:type="pct"/>
            <w:shd w:val="clear" w:color="auto" w:fill="FFFFFF"/>
            <w:noWrap/>
            <w:vAlign w:val="center"/>
            <w:hideMark/>
          </w:tcPr>
          <w:p w14:paraId="5DE4FA6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1.509.630 </w:t>
            </w:r>
          </w:p>
        </w:tc>
        <w:tc>
          <w:tcPr>
            <w:tcW w:w="454" w:type="pct"/>
            <w:shd w:val="clear" w:color="auto" w:fill="FFFFFF"/>
            <w:noWrap/>
            <w:vAlign w:val="center"/>
            <w:hideMark/>
          </w:tcPr>
          <w:p w14:paraId="346704C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26,75%</w:t>
            </w:r>
          </w:p>
        </w:tc>
      </w:tr>
      <w:tr w:rsidR="003B5193" w:rsidRPr="00AE4E8D" w14:paraId="56315C27" w14:textId="77777777" w:rsidTr="00FA3175">
        <w:trPr>
          <w:trHeight w:val="255"/>
          <w:jc w:val="center"/>
        </w:trPr>
        <w:tc>
          <w:tcPr>
            <w:tcW w:w="553" w:type="pct"/>
            <w:vAlign w:val="center"/>
            <w:hideMark/>
          </w:tcPr>
          <w:p w14:paraId="7FA2967E"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1B745723"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593F9AD4"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160.643 </w:t>
            </w:r>
          </w:p>
        </w:tc>
        <w:tc>
          <w:tcPr>
            <w:tcW w:w="490" w:type="pct"/>
            <w:tcBorders>
              <w:top w:val="nil"/>
              <w:left w:val="nil"/>
              <w:bottom w:val="single" w:sz="4" w:space="0" w:color="000000"/>
              <w:right w:val="nil"/>
            </w:tcBorders>
            <w:shd w:val="clear" w:color="auto" w:fill="FFFFFF"/>
            <w:noWrap/>
            <w:vAlign w:val="center"/>
            <w:hideMark/>
          </w:tcPr>
          <w:p w14:paraId="78238AEF"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56" w:type="pct"/>
            <w:tcBorders>
              <w:top w:val="nil"/>
              <w:left w:val="nil"/>
              <w:bottom w:val="single" w:sz="4" w:space="0" w:color="auto"/>
              <w:right w:val="nil"/>
            </w:tcBorders>
            <w:shd w:val="clear" w:color="auto" w:fill="FFFFFF"/>
            <w:noWrap/>
            <w:vAlign w:val="center"/>
            <w:hideMark/>
          </w:tcPr>
          <w:p w14:paraId="0695DD7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0,00%</w:t>
            </w:r>
          </w:p>
        </w:tc>
        <w:tc>
          <w:tcPr>
            <w:tcW w:w="527" w:type="pct"/>
            <w:tcBorders>
              <w:top w:val="nil"/>
              <w:left w:val="nil"/>
              <w:bottom w:val="single" w:sz="4" w:space="0" w:color="000000"/>
              <w:right w:val="nil"/>
            </w:tcBorders>
            <w:shd w:val="clear" w:color="auto" w:fill="FFFFFF"/>
            <w:noWrap/>
            <w:vAlign w:val="center"/>
            <w:hideMark/>
          </w:tcPr>
          <w:p w14:paraId="3E5D4A89"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75.170 </w:t>
            </w:r>
          </w:p>
        </w:tc>
        <w:tc>
          <w:tcPr>
            <w:tcW w:w="451" w:type="pct"/>
            <w:tcBorders>
              <w:top w:val="nil"/>
              <w:left w:val="nil"/>
              <w:bottom w:val="single" w:sz="4" w:space="0" w:color="000000"/>
              <w:right w:val="nil"/>
            </w:tcBorders>
            <w:shd w:val="clear" w:color="auto" w:fill="FFFFFF"/>
            <w:noWrap/>
            <w:vAlign w:val="center"/>
            <w:hideMark/>
          </w:tcPr>
          <w:p w14:paraId="1C0147BB"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56" w:type="pct"/>
            <w:tcBorders>
              <w:top w:val="nil"/>
              <w:left w:val="nil"/>
              <w:bottom w:val="single" w:sz="4" w:space="0" w:color="auto"/>
              <w:right w:val="nil"/>
            </w:tcBorders>
            <w:shd w:val="clear" w:color="auto" w:fill="FFFFFF"/>
            <w:noWrap/>
            <w:vAlign w:val="center"/>
            <w:hideMark/>
          </w:tcPr>
          <w:p w14:paraId="7829A23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0,00%</w:t>
            </w:r>
          </w:p>
        </w:tc>
        <w:tc>
          <w:tcPr>
            <w:tcW w:w="527" w:type="pct"/>
            <w:tcBorders>
              <w:top w:val="nil"/>
              <w:left w:val="nil"/>
              <w:bottom w:val="single" w:sz="4" w:space="0" w:color="000000"/>
              <w:right w:val="nil"/>
            </w:tcBorders>
            <w:shd w:val="clear" w:color="auto" w:fill="FFFFFF"/>
            <w:noWrap/>
            <w:vAlign w:val="center"/>
            <w:hideMark/>
          </w:tcPr>
          <w:p w14:paraId="70418E58"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32.306 </w:t>
            </w:r>
          </w:p>
        </w:tc>
        <w:tc>
          <w:tcPr>
            <w:tcW w:w="435" w:type="pct"/>
            <w:tcBorders>
              <w:top w:val="nil"/>
              <w:left w:val="nil"/>
              <w:bottom w:val="single" w:sz="4" w:space="0" w:color="000000"/>
              <w:right w:val="nil"/>
            </w:tcBorders>
            <w:shd w:val="clear" w:color="auto" w:fill="FFFFFF"/>
            <w:noWrap/>
            <w:vAlign w:val="center"/>
            <w:hideMark/>
          </w:tcPr>
          <w:p w14:paraId="1DFEA8CD"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54" w:type="pct"/>
            <w:tcBorders>
              <w:top w:val="nil"/>
              <w:left w:val="nil"/>
              <w:bottom w:val="single" w:sz="4" w:space="0" w:color="auto"/>
              <w:right w:val="nil"/>
            </w:tcBorders>
            <w:shd w:val="clear" w:color="auto" w:fill="FFFFFF"/>
            <w:noWrap/>
            <w:vAlign w:val="center"/>
            <w:hideMark/>
          </w:tcPr>
          <w:p w14:paraId="4D9E8A6D"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0,00%</w:t>
            </w:r>
          </w:p>
        </w:tc>
      </w:tr>
      <w:tr w:rsidR="003B5193" w:rsidRPr="00AE4E8D" w14:paraId="7F995509" w14:textId="77777777" w:rsidTr="00FA3175">
        <w:trPr>
          <w:trHeight w:val="255"/>
          <w:jc w:val="center"/>
        </w:trPr>
        <w:tc>
          <w:tcPr>
            <w:tcW w:w="553" w:type="pct"/>
            <w:vAlign w:val="center"/>
            <w:hideMark/>
          </w:tcPr>
          <w:p w14:paraId="3EA914DE"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7792542C"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43B41FC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10.949.269 </w:t>
            </w:r>
          </w:p>
        </w:tc>
        <w:tc>
          <w:tcPr>
            <w:tcW w:w="490" w:type="pct"/>
            <w:shd w:val="clear" w:color="auto" w:fill="FFFFFF"/>
            <w:noWrap/>
            <w:vAlign w:val="center"/>
            <w:hideMark/>
          </w:tcPr>
          <w:p w14:paraId="703428F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3.477.649</w:t>
            </w:r>
            <w:r w:rsidRPr="00AE4E8D">
              <w:rPr>
                <w:rFonts w:ascii="Times New Roman" w:hAnsi="Times New Roman"/>
                <w:sz w:val="14"/>
                <w:szCs w:val="14"/>
                <w:lang w:val="es-ES"/>
              </w:rPr>
              <w:t xml:space="preserve"> </w:t>
            </w:r>
          </w:p>
        </w:tc>
        <w:tc>
          <w:tcPr>
            <w:tcW w:w="456" w:type="pct"/>
            <w:shd w:val="clear" w:color="auto" w:fill="FFFFFF"/>
            <w:noWrap/>
            <w:vAlign w:val="center"/>
            <w:hideMark/>
          </w:tcPr>
          <w:p w14:paraId="1C14D93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32,23%</w:t>
            </w:r>
          </w:p>
        </w:tc>
        <w:tc>
          <w:tcPr>
            <w:tcW w:w="527" w:type="pct"/>
            <w:shd w:val="clear" w:color="auto" w:fill="FFFFFF"/>
            <w:noWrap/>
            <w:vAlign w:val="center"/>
            <w:hideMark/>
          </w:tcPr>
          <w:p w14:paraId="66DCBC4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8.022.469 </w:t>
            </w:r>
          </w:p>
        </w:tc>
        <w:tc>
          <w:tcPr>
            <w:tcW w:w="451" w:type="pct"/>
            <w:shd w:val="clear" w:color="auto" w:fill="FFFFFF"/>
            <w:noWrap/>
            <w:vAlign w:val="center"/>
            <w:hideMark/>
          </w:tcPr>
          <w:p w14:paraId="3D31138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2.153.739 </w:t>
            </w:r>
          </w:p>
        </w:tc>
        <w:tc>
          <w:tcPr>
            <w:tcW w:w="456" w:type="pct"/>
            <w:shd w:val="clear" w:color="auto" w:fill="FFFFFF"/>
            <w:noWrap/>
            <w:vAlign w:val="center"/>
            <w:hideMark/>
          </w:tcPr>
          <w:p w14:paraId="1EC7841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26,85%</w:t>
            </w:r>
          </w:p>
        </w:tc>
        <w:tc>
          <w:tcPr>
            <w:tcW w:w="527" w:type="pct"/>
            <w:shd w:val="clear" w:color="auto" w:fill="FFFFFF"/>
            <w:noWrap/>
            <w:vAlign w:val="center"/>
            <w:hideMark/>
          </w:tcPr>
          <w:p w14:paraId="6723B3A8"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5.675.253 </w:t>
            </w:r>
          </w:p>
        </w:tc>
        <w:tc>
          <w:tcPr>
            <w:tcW w:w="435" w:type="pct"/>
            <w:shd w:val="clear" w:color="auto" w:fill="FFFFFF"/>
            <w:noWrap/>
            <w:vAlign w:val="center"/>
            <w:hideMark/>
          </w:tcPr>
          <w:p w14:paraId="5FB0288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1.509.630 </w:t>
            </w:r>
          </w:p>
        </w:tc>
        <w:tc>
          <w:tcPr>
            <w:tcW w:w="454" w:type="pct"/>
            <w:shd w:val="clear" w:color="auto" w:fill="FFFFFF"/>
            <w:noWrap/>
            <w:vAlign w:val="center"/>
            <w:hideMark/>
          </w:tcPr>
          <w:p w14:paraId="041047A6"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26,60%</w:t>
            </w:r>
          </w:p>
        </w:tc>
      </w:tr>
      <w:tr w:rsidR="003B5193" w:rsidRPr="00AE4E8D" w14:paraId="384BE400" w14:textId="77777777" w:rsidTr="00FA3175">
        <w:trPr>
          <w:trHeight w:val="255"/>
          <w:jc w:val="center"/>
        </w:trPr>
        <w:tc>
          <w:tcPr>
            <w:tcW w:w="553" w:type="pct"/>
            <w:vAlign w:val="center"/>
            <w:hideMark/>
          </w:tcPr>
          <w:p w14:paraId="38604124"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Adelantos</w:t>
            </w:r>
          </w:p>
        </w:tc>
        <w:tc>
          <w:tcPr>
            <w:tcW w:w="124" w:type="pct"/>
            <w:noWrap/>
            <w:vAlign w:val="bottom"/>
          </w:tcPr>
          <w:p w14:paraId="5FAFDA1E"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784F9B2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20FFCA0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0FF59A6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5C31159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621545B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651FBEB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0DE35DE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669612F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2662D32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4F51C30C" w14:textId="77777777" w:rsidTr="00FA3175">
        <w:trPr>
          <w:trHeight w:val="255"/>
          <w:jc w:val="center"/>
        </w:trPr>
        <w:tc>
          <w:tcPr>
            <w:tcW w:w="553" w:type="pct"/>
            <w:vAlign w:val="center"/>
            <w:hideMark/>
          </w:tcPr>
          <w:p w14:paraId="5276A380"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2C6B34A0"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27CEB0C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622.518 </w:t>
            </w:r>
          </w:p>
        </w:tc>
        <w:tc>
          <w:tcPr>
            <w:tcW w:w="490" w:type="pct"/>
            <w:shd w:val="clear" w:color="auto" w:fill="FFFFFF"/>
            <w:noWrap/>
            <w:vAlign w:val="center"/>
            <w:hideMark/>
          </w:tcPr>
          <w:p w14:paraId="3F605CD1"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209.905 </w:t>
            </w:r>
          </w:p>
        </w:tc>
        <w:tc>
          <w:tcPr>
            <w:tcW w:w="456" w:type="pct"/>
            <w:shd w:val="clear" w:color="auto" w:fill="FFFFFF"/>
            <w:noWrap/>
            <w:vAlign w:val="center"/>
            <w:hideMark/>
          </w:tcPr>
          <w:p w14:paraId="6ED5A34D"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33,72%</w:t>
            </w:r>
          </w:p>
        </w:tc>
        <w:tc>
          <w:tcPr>
            <w:tcW w:w="527" w:type="pct"/>
            <w:shd w:val="clear" w:color="auto" w:fill="FFFFFF"/>
            <w:noWrap/>
            <w:vAlign w:val="center"/>
            <w:hideMark/>
          </w:tcPr>
          <w:p w14:paraId="14E6B7F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845.084 </w:t>
            </w:r>
          </w:p>
        </w:tc>
        <w:tc>
          <w:tcPr>
            <w:tcW w:w="451" w:type="pct"/>
            <w:shd w:val="clear" w:color="auto" w:fill="FFFFFF"/>
            <w:noWrap/>
            <w:vAlign w:val="center"/>
            <w:hideMark/>
          </w:tcPr>
          <w:p w14:paraId="722C1CE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243.929 </w:t>
            </w:r>
          </w:p>
        </w:tc>
        <w:tc>
          <w:tcPr>
            <w:tcW w:w="456" w:type="pct"/>
            <w:shd w:val="clear" w:color="auto" w:fill="FFFFFF"/>
            <w:noWrap/>
            <w:vAlign w:val="center"/>
            <w:hideMark/>
          </w:tcPr>
          <w:p w14:paraId="215E91A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28,86%</w:t>
            </w:r>
          </w:p>
        </w:tc>
        <w:tc>
          <w:tcPr>
            <w:tcW w:w="527" w:type="pct"/>
            <w:shd w:val="clear" w:color="auto" w:fill="FFFFFF"/>
            <w:noWrap/>
            <w:vAlign w:val="center"/>
            <w:hideMark/>
          </w:tcPr>
          <w:p w14:paraId="4406A0B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984.158 </w:t>
            </w:r>
          </w:p>
        </w:tc>
        <w:tc>
          <w:tcPr>
            <w:tcW w:w="435" w:type="pct"/>
            <w:shd w:val="clear" w:color="auto" w:fill="FFFFFF"/>
            <w:noWrap/>
            <w:vAlign w:val="center"/>
            <w:hideMark/>
          </w:tcPr>
          <w:p w14:paraId="4D4F64C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286.263 </w:t>
            </w:r>
          </w:p>
        </w:tc>
        <w:tc>
          <w:tcPr>
            <w:tcW w:w="454" w:type="pct"/>
            <w:shd w:val="clear" w:color="auto" w:fill="FFFFFF"/>
            <w:noWrap/>
            <w:vAlign w:val="center"/>
            <w:hideMark/>
          </w:tcPr>
          <w:p w14:paraId="79DA85F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29,09%</w:t>
            </w:r>
          </w:p>
        </w:tc>
      </w:tr>
      <w:tr w:rsidR="003B5193" w:rsidRPr="00AE4E8D" w14:paraId="359F8830" w14:textId="77777777" w:rsidTr="00FA3175">
        <w:trPr>
          <w:trHeight w:val="255"/>
          <w:jc w:val="center"/>
        </w:trPr>
        <w:tc>
          <w:tcPr>
            <w:tcW w:w="553" w:type="pct"/>
            <w:vAlign w:val="center"/>
            <w:hideMark/>
          </w:tcPr>
          <w:p w14:paraId="0EB4824C"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3DF75668"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54BAA17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tcBorders>
              <w:top w:val="nil"/>
              <w:left w:val="nil"/>
              <w:bottom w:val="single" w:sz="4" w:space="0" w:color="000000"/>
              <w:right w:val="nil"/>
            </w:tcBorders>
            <w:shd w:val="clear" w:color="auto" w:fill="FFFFFF"/>
            <w:noWrap/>
            <w:vAlign w:val="center"/>
            <w:hideMark/>
          </w:tcPr>
          <w:p w14:paraId="16D1D36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0AA73F6E"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tcBorders>
              <w:top w:val="nil"/>
              <w:left w:val="nil"/>
              <w:bottom w:val="single" w:sz="4" w:space="0" w:color="000000"/>
              <w:right w:val="nil"/>
            </w:tcBorders>
            <w:shd w:val="clear" w:color="auto" w:fill="FFFFFF"/>
            <w:noWrap/>
            <w:vAlign w:val="center"/>
            <w:hideMark/>
          </w:tcPr>
          <w:p w14:paraId="4D3916D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tcBorders>
              <w:top w:val="nil"/>
              <w:left w:val="nil"/>
              <w:bottom w:val="single" w:sz="4" w:space="0" w:color="000000"/>
              <w:right w:val="nil"/>
            </w:tcBorders>
            <w:shd w:val="clear" w:color="auto" w:fill="FFFFFF"/>
            <w:noWrap/>
            <w:vAlign w:val="center"/>
            <w:hideMark/>
          </w:tcPr>
          <w:p w14:paraId="222EBCB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760B1E5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tcBorders>
              <w:top w:val="nil"/>
              <w:left w:val="nil"/>
              <w:bottom w:val="single" w:sz="4" w:space="0" w:color="000000"/>
              <w:right w:val="nil"/>
            </w:tcBorders>
            <w:shd w:val="clear" w:color="auto" w:fill="FFFFFF"/>
            <w:noWrap/>
            <w:vAlign w:val="center"/>
            <w:hideMark/>
          </w:tcPr>
          <w:p w14:paraId="239893C1"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35" w:type="pct"/>
            <w:tcBorders>
              <w:top w:val="nil"/>
              <w:left w:val="nil"/>
              <w:bottom w:val="single" w:sz="4" w:space="0" w:color="000000"/>
              <w:right w:val="nil"/>
            </w:tcBorders>
            <w:shd w:val="clear" w:color="auto" w:fill="FFFFFF"/>
            <w:noWrap/>
            <w:vAlign w:val="center"/>
            <w:hideMark/>
          </w:tcPr>
          <w:p w14:paraId="2F690EFB"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54" w:type="pct"/>
            <w:shd w:val="clear" w:color="auto" w:fill="FFFFFF"/>
            <w:noWrap/>
            <w:vAlign w:val="center"/>
            <w:hideMark/>
          </w:tcPr>
          <w:p w14:paraId="6C70920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029D25FC" w14:textId="77777777" w:rsidTr="00FA3175">
        <w:trPr>
          <w:trHeight w:val="255"/>
          <w:jc w:val="center"/>
        </w:trPr>
        <w:tc>
          <w:tcPr>
            <w:tcW w:w="553" w:type="pct"/>
            <w:vAlign w:val="center"/>
            <w:hideMark/>
          </w:tcPr>
          <w:p w14:paraId="44386B56"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lastRenderedPageBreak/>
              <w:t xml:space="preserve"> </w:t>
            </w:r>
            <w:r w:rsidR="00D218D0" w:rsidRPr="00AE4E8D">
              <w:rPr>
                <w:rFonts w:ascii="Times New Roman" w:hAnsi="Times New Roman"/>
                <w:sz w:val="14"/>
                <w:szCs w:val="14"/>
                <w:lang w:val="es-ES"/>
              </w:rPr>
              <w:t>Total</w:t>
            </w:r>
          </w:p>
        </w:tc>
        <w:tc>
          <w:tcPr>
            <w:tcW w:w="124" w:type="pct"/>
            <w:noWrap/>
            <w:vAlign w:val="bottom"/>
          </w:tcPr>
          <w:p w14:paraId="437A8A2C"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4F13A23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622.518 </w:t>
            </w:r>
          </w:p>
        </w:tc>
        <w:tc>
          <w:tcPr>
            <w:tcW w:w="490" w:type="pct"/>
            <w:shd w:val="clear" w:color="auto" w:fill="FFFFFF"/>
            <w:noWrap/>
            <w:vAlign w:val="center"/>
            <w:hideMark/>
          </w:tcPr>
          <w:p w14:paraId="3F42BE7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209.905 </w:t>
            </w:r>
          </w:p>
        </w:tc>
        <w:tc>
          <w:tcPr>
            <w:tcW w:w="456" w:type="pct"/>
            <w:tcBorders>
              <w:top w:val="single" w:sz="4" w:space="0" w:color="auto"/>
              <w:left w:val="nil"/>
              <w:bottom w:val="nil"/>
              <w:right w:val="nil"/>
            </w:tcBorders>
            <w:shd w:val="clear" w:color="auto" w:fill="FFFFFF"/>
            <w:noWrap/>
            <w:vAlign w:val="center"/>
            <w:hideMark/>
          </w:tcPr>
          <w:p w14:paraId="7E92CF8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33,72%</w:t>
            </w:r>
          </w:p>
        </w:tc>
        <w:tc>
          <w:tcPr>
            <w:tcW w:w="527" w:type="pct"/>
            <w:shd w:val="clear" w:color="auto" w:fill="FFFFFF"/>
            <w:noWrap/>
            <w:vAlign w:val="center"/>
            <w:hideMark/>
          </w:tcPr>
          <w:p w14:paraId="61311DA7"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845.084 </w:t>
            </w:r>
          </w:p>
        </w:tc>
        <w:tc>
          <w:tcPr>
            <w:tcW w:w="451" w:type="pct"/>
            <w:shd w:val="clear" w:color="auto" w:fill="FFFFFF"/>
            <w:noWrap/>
            <w:vAlign w:val="center"/>
            <w:hideMark/>
          </w:tcPr>
          <w:p w14:paraId="344B69C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243.929 </w:t>
            </w:r>
          </w:p>
        </w:tc>
        <w:tc>
          <w:tcPr>
            <w:tcW w:w="456" w:type="pct"/>
            <w:tcBorders>
              <w:top w:val="single" w:sz="4" w:space="0" w:color="auto"/>
              <w:left w:val="nil"/>
              <w:bottom w:val="nil"/>
              <w:right w:val="nil"/>
            </w:tcBorders>
            <w:shd w:val="clear" w:color="auto" w:fill="FFFFFF"/>
            <w:noWrap/>
            <w:vAlign w:val="center"/>
            <w:hideMark/>
          </w:tcPr>
          <w:p w14:paraId="4C26F16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28,86%</w:t>
            </w:r>
          </w:p>
        </w:tc>
        <w:tc>
          <w:tcPr>
            <w:tcW w:w="527" w:type="pct"/>
            <w:shd w:val="clear" w:color="auto" w:fill="FFFFFF"/>
            <w:noWrap/>
            <w:vAlign w:val="center"/>
            <w:hideMark/>
          </w:tcPr>
          <w:p w14:paraId="0D070583"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984.158 </w:t>
            </w:r>
          </w:p>
        </w:tc>
        <w:tc>
          <w:tcPr>
            <w:tcW w:w="435" w:type="pct"/>
            <w:shd w:val="clear" w:color="auto" w:fill="FFFFFF"/>
            <w:noWrap/>
            <w:vAlign w:val="center"/>
            <w:hideMark/>
          </w:tcPr>
          <w:p w14:paraId="616B1BF3"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286.263 </w:t>
            </w:r>
          </w:p>
        </w:tc>
        <w:tc>
          <w:tcPr>
            <w:tcW w:w="454" w:type="pct"/>
            <w:tcBorders>
              <w:top w:val="single" w:sz="4" w:space="0" w:color="auto"/>
              <w:left w:val="nil"/>
              <w:bottom w:val="nil"/>
              <w:right w:val="nil"/>
            </w:tcBorders>
            <w:shd w:val="clear" w:color="auto" w:fill="FFFFFF"/>
            <w:noWrap/>
            <w:vAlign w:val="center"/>
            <w:hideMark/>
          </w:tcPr>
          <w:p w14:paraId="651C1D4E"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29,09%</w:t>
            </w:r>
          </w:p>
        </w:tc>
      </w:tr>
      <w:tr w:rsidR="003B5193" w:rsidRPr="00AE4E8D" w14:paraId="757F1CA1" w14:textId="77777777" w:rsidTr="00FA3175">
        <w:trPr>
          <w:trHeight w:val="255"/>
          <w:jc w:val="center"/>
        </w:trPr>
        <w:tc>
          <w:tcPr>
            <w:tcW w:w="553" w:type="pct"/>
            <w:vAlign w:val="center"/>
            <w:hideMark/>
          </w:tcPr>
          <w:p w14:paraId="61C6F68F"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Otros Préstamos</w:t>
            </w:r>
          </w:p>
        </w:tc>
        <w:tc>
          <w:tcPr>
            <w:tcW w:w="124" w:type="pct"/>
            <w:noWrap/>
            <w:vAlign w:val="bottom"/>
          </w:tcPr>
          <w:p w14:paraId="28EDA6C4"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40237D6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2C8DB35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5326579D"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00FC0CA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607E751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6E5E574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34465FD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0AD84F8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276F579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2A5252A2" w14:textId="77777777" w:rsidTr="00FA3175">
        <w:trPr>
          <w:trHeight w:val="255"/>
          <w:jc w:val="center"/>
        </w:trPr>
        <w:tc>
          <w:tcPr>
            <w:tcW w:w="553" w:type="pct"/>
            <w:vAlign w:val="center"/>
            <w:hideMark/>
          </w:tcPr>
          <w:p w14:paraId="287A4D38"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76F11337"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197B15D3"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3.292.607 </w:t>
            </w:r>
          </w:p>
        </w:tc>
        <w:tc>
          <w:tcPr>
            <w:tcW w:w="490" w:type="pct"/>
            <w:shd w:val="clear" w:color="auto" w:fill="FFFFFF"/>
            <w:noWrap/>
            <w:vAlign w:val="center"/>
            <w:hideMark/>
          </w:tcPr>
          <w:p w14:paraId="2201086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1.082.995 </w:t>
            </w:r>
          </w:p>
        </w:tc>
        <w:tc>
          <w:tcPr>
            <w:tcW w:w="456" w:type="pct"/>
            <w:shd w:val="clear" w:color="auto" w:fill="FFFFFF"/>
            <w:noWrap/>
            <w:vAlign w:val="center"/>
            <w:hideMark/>
          </w:tcPr>
          <w:p w14:paraId="1CAC65E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32,89%</w:t>
            </w:r>
          </w:p>
        </w:tc>
        <w:tc>
          <w:tcPr>
            <w:tcW w:w="527" w:type="pct"/>
            <w:shd w:val="clear" w:color="auto" w:fill="FFFFFF"/>
            <w:noWrap/>
            <w:vAlign w:val="center"/>
            <w:hideMark/>
          </w:tcPr>
          <w:p w14:paraId="1CCF47B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3.272.406 </w:t>
            </w:r>
          </w:p>
        </w:tc>
        <w:tc>
          <w:tcPr>
            <w:tcW w:w="451" w:type="pct"/>
            <w:shd w:val="clear" w:color="auto" w:fill="FFFFFF"/>
            <w:noWrap/>
            <w:vAlign w:val="center"/>
            <w:hideMark/>
          </w:tcPr>
          <w:p w14:paraId="56FFBCD4"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1.005.008 </w:t>
            </w:r>
          </w:p>
        </w:tc>
        <w:tc>
          <w:tcPr>
            <w:tcW w:w="456" w:type="pct"/>
            <w:shd w:val="clear" w:color="auto" w:fill="FFFFFF"/>
            <w:noWrap/>
            <w:vAlign w:val="center"/>
            <w:hideMark/>
          </w:tcPr>
          <w:p w14:paraId="2BFC006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30,71%</w:t>
            </w:r>
          </w:p>
        </w:tc>
        <w:tc>
          <w:tcPr>
            <w:tcW w:w="527" w:type="pct"/>
            <w:shd w:val="clear" w:color="auto" w:fill="FFFFFF"/>
            <w:noWrap/>
            <w:vAlign w:val="center"/>
            <w:hideMark/>
          </w:tcPr>
          <w:p w14:paraId="7DA97FF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2.393.101 </w:t>
            </w:r>
          </w:p>
        </w:tc>
        <w:tc>
          <w:tcPr>
            <w:tcW w:w="435" w:type="pct"/>
            <w:shd w:val="clear" w:color="auto" w:fill="FFFFFF"/>
            <w:noWrap/>
            <w:vAlign w:val="center"/>
            <w:hideMark/>
          </w:tcPr>
          <w:p w14:paraId="6A9FC255"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723.720 </w:t>
            </w:r>
          </w:p>
        </w:tc>
        <w:tc>
          <w:tcPr>
            <w:tcW w:w="454" w:type="pct"/>
            <w:shd w:val="clear" w:color="auto" w:fill="FFFFFF"/>
            <w:noWrap/>
            <w:vAlign w:val="center"/>
            <w:hideMark/>
          </w:tcPr>
          <w:p w14:paraId="0DEF245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30,24%</w:t>
            </w:r>
          </w:p>
        </w:tc>
      </w:tr>
      <w:tr w:rsidR="003B5193" w:rsidRPr="00AE4E8D" w14:paraId="4BAEDBE7" w14:textId="77777777" w:rsidTr="00FA3175">
        <w:trPr>
          <w:trHeight w:val="255"/>
          <w:jc w:val="center"/>
        </w:trPr>
        <w:tc>
          <w:tcPr>
            <w:tcW w:w="553" w:type="pct"/>
            <w:vAlign w:val="center"/>
            <w:hideMark/>
          </w:tcPr>
          <w:p w14:paraId="3338E4B3"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28AA6452"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2BD76798"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1.697.309 </w:t>
            </w:r>
          </w:p>
        </w:tc>
        <w:tc>
          <w:tcPr>
            <w:tcW w:w="490" w:type="pct"/>
            <w:tcBorders>
              <w:top w:val="nil"/>
              <w:left w:val="nil"/>
              <w:bottom w:val="single" w:sz="4" w:space="0" w:color="000000"/>
              <w:right w:val="nil"/>
            </w:tcBorders>
            <w:shd w:val="clear" w:color="auto" w:fill="FFFFFF"/>
            <w:noWrap/>
            <w:vAlign w:val="center"/>
            <w:hideMark/>
          </w:tcPr>
          <w:p w14:paraId="01AE08D7"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103.588 </w:t>
            </w:r>
          </w:p>
        </w:tc>
        <w:tc>
          <w:tcPr>
            <w:tcW w:w="456" w:type="pct"/>
            <w:tcBorders>
              <w:top w:val="nil"/>
              <w:left w:val="nil"/>
              <w:bottom w:val="single" w:sz="4" w:space="0" w:color="auto"/>
              <w:right w:val="nil"/>
            </w:tcBorders>
            <w:shd w:val="clear" w:color="auto" w:fill="FFFFFF"/>
            <w:noWrap/>
            <w:vAlign w:val="center"/>
            <w:hideMark/>
          </w:tcPr>
          <w:p w14:paraId="0C95D2A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6,10%</w:t>
            </w:r>
          </w:p>
        </w:tc>
        <w:tc>
          <w:tcPr>
            <w:tcW w:w="527" w:type="pct"/>
            <w:tcBorders>
              <w:top w:val="nil"/>
              <w:left w:val="nil"/>
              <w:bottom w:val="single" w:sz="4" w:space="0" w:color="000000"/>
              <w:right w:val="nil"/>
            </w:tcBorders>
            <w:shd w:val="clear" w:color="auto" w:fill="FFFFFF"/>
            <w:noWrap/>
            <w:vAlign w:val="center"/>
            <w:hideMark/>
          </w:tcPr>
          <w:p w14:paraId="6AC04E5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978.614 </w:t>
            </w:r>
          </w:p>
        </w:tc>
        <w:tc>
          <w:tcPr>
            <w:tcW w:w="451" w:type="pct"/>
            <w:tcBorders>
              <w:top w:val="nil"/>
              <w:left w:val="nil"/>
              <w:bottom w:val="single" w:sz="4" w:space="0" w:color="000000"/>
              <w:right w:val="nil"/>
            </w:tcBorders>
            <w:shd w:val="clear" w:color="auto" w:fill="FFFFFF"/>
            <w:noWrap/>
            <w:vAlign w:val="center"/>
            <w:hideMark/>
          </w:tcPr>
          <w:p w14:paraId="6E8ACE2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56.014 </w:t>
            </w:r>
          </w:p>
        </w:tc>
        <w:tc>
          <w:tcPr>
            <w:tcW w:w="456" w:type="pct"/>
            <w:tcBorders>
              <w:top w:val="nil"/>
              <w:left w:val="nil"/>
              <w:bottom w:val="single" w:sz="4" w:space="0" w:color="auto"/>
              <w:right w:val="nil"/>
            </w:tcBorders>
            <w:shd w:val="clear" w:color="auto" w:fill="FFFFFF"/>
            <w:noWrap/>
            <w:vAlign w:val="center"/>
            <w:hideMark/>
          </w:tcPr>
          <w:p w14:paraId="5E141F5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5,72%</w:t>
            </w:r>
          </w:p>
        </w:tc>
        <w:tc>
          <w:tcPr>
            <w:tcW w:w="527" w:type="pct"/>
            <w:tcBorders>
              <w:top w:val="nil"/>
              <w:left w:val="nil"/>
              <w:bottom w:val="single" w:sz="4" w:space="0" w:color="000000"/>
              <w:right w:val="nil"/>
            </w:tcBorders>
            <w:shd w:val="clear" w:color="auto" w:fill="FFFFFF"/>
            <w:noWrap/>
            <w:vAlign w:val="center"/>
            <w:hideMark/>
          </w:tcPr>
          <w:p w14:paraId="4504013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921.779 </w:t>
            </w:r>
          </w:p>
        </w:tc>
        <w:tc>
          <w:tcPr>
            <w:tcW w:w="435" w:type="pct"/>
            <w:tcBorders>
              <w:top w:val="nil"/>
              <w:left w:val="nil"/>
              <w:bottom w:val="single" w:sz="4" w:space="0" w:color="000000"/>
              <w:right w:val="nil"/>
            </w:tcBorders>
            <w:shd w:val="clear" w:color="auto" w:fill="FFFFFF"/>
            <w:noWrap/>
            <w:vAlign w:val="center"/>
            <w:hideMark/>
          </w:tcPr>
          <w:p w14:paraId="45B03B74"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54.232 </w:t>
            </w:r>
          </w:p>
        </w:tc>
        <w:tc>
          <w:tcPr>
            <w:tcW w:w="454" w:type="pct"/>
            <w:tcBorders>
              <w:top w:val="nil"/>
              <w:left w:val="nil"/>
              <w:bottom w:val="single" w:sz="4" w:space="0" w:color="auto"/>
              <w:right w:val="nil"/>
            </w:tcBorders>
            <w:shd w:val="clear" w:color="auto" w:fill="FFFFFF"/>
            <w:noWrap/>
            <w:vAlign w:val="center"/>
            <w:hideMark/>
          </w:tcPr>
          <w:p w14:paraId="14E5B71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5,88%</w:t>
            </w:r>
          </w:p>
        </w:tc>
      </w:tr>
      <w:tr w:rsidR="003B5193" w:rsidRPr="00AE4E8D" w14:paraId="1D6D243E" w14:textId="77777777" w:rsidTr="00FA3175">
        <w:trPr>
          <w:trHeight w:val="255"/>
          <w:jc w:val="center"/>
        </w:trPr>
        <w:tc>
          <w:tcPr>
            <w:tcW w:w="553" w:type="pct"/>
            <w:vAlign w:val="center"/>
            <w:hideMark/>
          </w:tcPr>
          <w:p w14:paraId="0E371D3D"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73696B59"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2E482C65"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4.989.916</w:t>
            </w:r>
          </w:p>
        </w:tc>
        <w:tc>
          <w:tcPr>
            <w:tcW w:w="490" w:type="pct"/>
            <w:shd w:val="clear" w:color="auto" w:fill="FFFFFF"/>
            <w:noWrap/>
            <w:vAlign w:val="center"/>
            <w:hideMark/>
          </w:tcPr>
          <w:p w14:paraId="21DBEA4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1.186.583 </w:t>
            </w:r>
          </w:p>
        </w:tc>
        <w:tc>
          <w:tcPr>
            <w:tcW w:w="456" w:type="pct"/>
            <w:shd w:val="clear" w:color="auto" w:fill="FFFFFF"/>
            <w:noWrap/>
            <w:vAlign w:val="center"/>
            <w:hideMark/>
          </w:tcPr>
          <w:p w14:paraId="0CB823A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23,78%</w:t>
            </w:r>
          </w:p>
        </w:tc>
        <w:tc>
          <w:tcPr>
            <w:tcW w:w="527" w:type="pct"/>
            <w:shd w:val="clear" w:color="auto" w:fill="FFFFFF"/>
            <w:noWrap/>
            <w:vAlign w:val="center"/>
            <w:hideMark/>
          </w:tcPr>
          <w:p w14:paraId="0F3C806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4.251.020 </w:t>
            </w:r>
          </w:p>
        </w:tc>
        <w:tc>
          <w:tcPr>
            <w:tcW w:w="451" w:type="pct"/>
            <w:shd w:val="clear" w:color="auto" w:fill="FFFFFF"/>
            <w:noWrap/>
            <w:vAlign w:val="center"/>
            <w:hideMark/>
          </w:tcPr>
          <w:p w14:paraId="1F17CFB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1.061.022 </w:t>
            </w:r>
          </w:p>
        </w:tc>
        <w:tc>
          <w:tcPr>
            <w:tcW w:w="456" w:type="pct"/>
            <w:shd w:val="clear" w:color="auto" w:fill="FFFFFF"/>
            <w:noWrap/>
            <w:vAlign w:val="center"/>
            <w:hideMark/>
          </w:tcPr>
          <w:p w14:paraId="6F89159E"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24,96%</w:t>
            </w:r>
          </w:p>
        </w:tc>
        <w:tc>
          <w:tcPr>
            <w:tcW w:w="527" w:type="pct"/>
            <w:shd w:val="clear" w:color="auto" w:fill="FFFFFF"/>
            <w:noWrap/>
            <w:vAlign w:val="center"/>
            <w:hideMark/>
          </w:tcPr>
          <w:p w14:paraId="790F42A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3.314.880 </w:t>
            </w:r>
          </w:p>
        </w:tc>
        <w:tc>
          <w:tcPr>
            <w:tcW w:w="435" w:type="pct"/>
            <w:shd w:val="clear" w:color="auto" w:fill="FFFFFF"/>
            <w:noWrap/>
            <w:vAlign w:val="center"/>
            <w:hideMark/>
          </w:tcPr>
          <w:p w14:paraId="597E302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777.952 </w:t>
            </w:r>
          </w:p>
        </w:tc>
        <w:tc>
          <w:tcPr>
            <w:tcW w:w="454" w:type="pct"/>
            <w:shd w:val="clear" w:color="auto" w:fill="FFFFFF"/>
            <w:noWrap/>
            <w:vAlign w:val="center"/>
            <w:hideMark/>
          </w:tcPr>
          <w:p w14:paraId="590B313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23,47%</w:t>
            </w:r>
          </w:p>
        </w:tc>
      </w:tr>
      <w:tr w:rsidR="003B5193" w:rsidRPr="00AE4E8D" w14:paraId="1B409F06" w14:textId="77777777" w:rsidTr="00FA3175">
        <w:trPr>
          <w:trHeight w:val="255"/>
          <w:jc w:val="center"/>
        </w:trPr>
        <w:tc>
          <w:tcPr>
            <w:tcW w:w="553" w:type="pct"/>
            <w:vAlign w:val="center"/>
            <w:hideMark/>
          </w:tcPr>
          <w:p w14:paraId="7F1416A4"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Al Sector Público no Financiero</w:t>
            </w:r>
          </w:p>
        </w:tc>
        <w:tc>
          <w:tcPr>
            <w:tcW w:w="124" w:type="pct"/>
            <w:noWrap/>
            <w:vAlign w:val="bottom"/>
          </w:tcPr>
          <w:p w14:paraId="40B593A7"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10EE541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221D022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4DE9299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04ECD33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0C6F53D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25EF88A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7159BDE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1AD6A42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37643B3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4B5ADB3E" w14:textId="77777777" w:rsidTr="00FA3175">
        <w:trPr>
          <w:trHeight w:val="255"/>
          <w:jc w:val="center"/>
        </w:trPr>
        <w:tc>
          <w:tcPr>
            <w:tcW w:w="553" w:type="pct"/>
            <w:vAlign w:val="center"/>
            <w:hideMark/>
          </w:tcPr>
          <w:p w14:paraId="19216E31"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328D0C71"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68231F31"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114.224 </w:t>
            </w:r>
          </w:p>
        </w:tc>
        <w:tc>
          <w:tcPr>
            <w:tcW w:w="490" w:type="pct"/>
            <w:shd w:val="clear" w:color="auto" w:fill="FFFFFF"/>
            <w:noWrap/>
            <w:vAlign w:val="center"/>
            <w:hideMark/>
          </w:tcPr>
          <w:p w14:paraId="26709A55"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19.161 </w:t>
            </w:r>
          </w:p>
        </w:tc>
        <w:tc>
          <w:tcPr>
            <w:tcW w:w="456" w:type="pct"/>
            <w:shd w:val="clear" w:color="auto" w:fill="FFFFFF"/>
            <w:noWrap/>
            <w:vAlign w:val="center"/>
            <w:hideMark/>
          </w:tcPr>
          <w:p w14:paraId="48DD683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16,77%</w:t>
            </w:r>
          </w:p>
        </w:tc>
        <w:tc>
          <w:tcPr>
            <w:tcW w:w="527" w:type="pct"/>
            <w:shd w:val="clear" w:color="auto" w:fill="FFFFFF"/>
            <w:noWrap/>
            <w:vAlign w:val="center"/>
            <w:hideMark/>
          </w:tcPr>
          <w:p w14:paraId="70F344A4"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88.798 </w:t>
            </w:r>
          </w:p>
        </w:tc>
        <w:tc>
          <w:tcPr>
            <w:tcW w:w="451" w:type="pct"/>
            <w:shd w:val="clear" w:color="auto" w:fill="FFFFFF"/>
            <w:noWrap/>
            <w:vAlign w:val="center"/>
            <w:hideMark/>
          </w:tcPr>
          <w:p w14:paraId="3F9D38C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17.110 </w:t>
            </w:r>
          </w:p>
        </w:tc>
        <w:tc>
          <w:tcPr>
            <w:tcW w:w="456" w:type="pct"/>
            <w:shd w:val="clear" w:color="auto" w:fill="FFFFFF"/>
            <w:noWrap/>
            <w:vAlign w:val="center"/>
            <w:hideMark/>
          </w:tcPr>
          <w:p w14:paraId="0D98AF46"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19,27%</w:t>
            </w:r>
          </w:p>
        </w:tc>
        <w:tc>
          <w:tcPr>
            <w:tcW w:w="527" w:type="pct"/>
            <w:shd w:val="clear" w:color="auto" w:fill="FFFFFF"/>
            <w:noWrap/>
            <w:vAlign w:val="center"/>
            <w:hideMark/>
          </w:tcPr>
          <w:p w14:paraId="3588B6A5"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128.461 </w:t>
            </w:r>
          </w:p>
        </w:tc>
        <w:tc>
          <w:tcPr>
            <w:tcW w:w="435" w:type="pct"/>
            <w:shd w:val="clear" w:color="auto" w:fill="FFFFFF"/>
            <w:noWrap/>
            <w:vAlign w:val="center"/>
            <w:hideMark/>
          </w:tcPr>
          <w:p w14:paraId="58D3A3D8"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26.885 </w:t>
            </w:r>
          </w:p>
        </w:tc>
        <w:tc>
          <w:tcPr>
            <w:tcW w:w="454" w:type="pct"/>
            <w:shd w:val="clear" w:color="auto" w:fill="FFFFFF"/>
            <w:noWrap/>
            <w:vAlign w:val="center"/>
            <w:hideMark/>
          </w:tcPr>
          <w:p w14:paraId="4A416F6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20,93%</w:t>
            </w:r>
          </w:p>
        </w:tc>
      </w:tr>
      <w:tr w:rsidR="003B5193" w:rsidRPr="00AE4E8D" w14:paraId="5D8602EA" w14:textId="77777777" w:rsidTr="00FA3175">
        <w:trPr>
          <w:trHeight w:val="255"/>
          <w:jc w:val="center"/>
        </w:trPr>
        <w:tc>
          <w:tcPr>
            <w:tcW w:w="553" w:type="pct"/>
            <w:vAlign w:val="center"/>
            <w:hideMark/>
          </w:tcPr>
          <w:p w14:paraId="7799AECA"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5DD37058"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1389CEA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tcBorders>
              <w:top w:val="nil"/>
              <w:left w:val="nil"/>
              <w:bottom w:val="single" w:sz="4" w:space="0" w:color="000000"/>
              <w:right w:val="nil"/>
            </w:tcBorders>
            <w:shd w:val="clear" w:color="auto" w:fill="FFFFFF"/>
            <w:noWrap/>
            <w:vAlign w:val="center"/>
            <w:hideMark/>
          </w:tcPr>
          <w:p w14:paraId="28C927E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480D410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tcBorders>
              <w:top w:val="nil"/>
              <w:left w:val="nil"/>
              <w:bottom w:val="single" w:sz="4" w:space="0" w:color="000000"/>
              <w:right w:val="nil"/>
            </w:tcBorders>
            <w:shd w:val="clear" w:color="auto" w:fill="FFFFFF"/>
            <w:noWrap/>
            <w:vAlign w:val="center"/>
            <w:hideMark/>
          </w:tcPr>
          <w:p w14:paraId="3F83AD0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tcBorders>
              <w:top w:val="nil"/>
              <w:left w:val="nil"/>
              <w:bottom w:val="single" w:sz="4" w:space="0" w:color="000000"/>
              <w:right w:val="nil"/>
            </w:tcBorders>
            <w:shd w:val="clear" w:color="auto" w:fill="FFFFFF"/>
            <w:noWrap/>
            <w:vAlign w:val="center"/>
            <w:hideMark/>
          </w:tcPr>
          <w:p w14:paraId="39912A4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110FA5A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tcBorders>
              <w:top w:val="nil"/>
              <w:left w:val="nil"/>
              <w:bottom w:val="single" w:sz="4" w:space="0" w:color="000000"/>
              <w:right w:val="nil"/>
            </w:tcBorders>
            <w:shd w:val="clear" w:color="auto" w:fill="FFFFFF"/>
            <w:noWrap/>
            <w:vAlign w:val="center"/>
            <w:hideMark/>
          </w:tcPr>
          <w:p w14:paraId="2052086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tcBorders>
              <w:top w:val="nil"/>
              <w:left w:val="nil"/>
              <w:bottom w:val="single" w:sz="4" w:space="0" w:color="000000"/>
              <w:right w:val="nil"/>
            </w:tcBorders>
            <w:shd w:val="clear" w:color="auto" w:fill="FFFFFF"/>
            <w:noWrap/>
            <w:vAlign w:val="center"/>
            <w:hideMark/>
          </w:tcPr>
          <w:p w14:paraId="0619150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0B47D36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5E763B00" w14:textId="77777777" w:rsidTr="00FA3175">
        <w:trPr>
          <w:trHeight w:val="255"/>
          <w:jc w:val="center"/>
        </w:trPr>
        <w:tc>
          <w:tcPr>
            <w:tcW w:w="553" w:type="pct"/>
            <w:vAlign w:val="center"/>
            <w:hideMark/>
          </w:tcPr>
          <w:p w14:paraId="792AA571"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7419E977"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211E7F88"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114.224 </w:t>
            </w:r>
          </w:p>
        </w:tc>
        <w:tc>
          <w:tcPr>
            <w:tcW w:w="490" w:type="pct"/>
            <w:shd w:val="clear" w:color="auto" w:fill="FFFFFF"/>
            <w:noWrap/>
            <w:vAlign w:val="center"/>
            <w:hideMark/>
          </w:tcPr>
          <w:p w14:paraId="2A0F3D47"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19.161 </w:t>
            </w:r>
          </w:p>
        </w:tc>
        <w:tc>
          <w:tcPr>
            <w:tcW w:w="456" w:type="pct"/>
            <w:tcBorders>
              <w:top w:val="single" w:sz="4" w:space="0" w:color="auto"/>
              <w:left w:val="nil"/>
              <w:bottom w:val="nil"/>
              <w:right w:val="nil"/>
            </w:tcBorders>
            <w:shd w:val="clear" w:color="auto" w:fill="FFFFFF"/>
            <w:noWrap/>
            <w:vAlign w:val="center"/>
            <w:hideMark/>
          </w:tcPr>
          <w:p w14:paraId="25AEA17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16,77%</w:t>
            </w:r>
          </w:p>
        </w:tc>
        <w:tc>
          <w:tcPr>
            <w:tcW w:w="527" w:type="pct"/>
            <w:shd w:val="clear" w:color="auto" w:fill="FFFFFF"/>
            <w:noWrap/>
            <w:vAlign w:val="center"/>
            <w:hideMark/>
          </w:tcPr>
          <w:p w14:paraId="37750F73"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88.798 </w:t>
            </w:r>
          </w:p>
        </w:tc>
        <w:tc>
          <w:tcPr>
            <w:tcW w:w="451" w:type="pct"/>
            <w:shd w:val="clear" w:color="auto" w:fill="FFFFFF"/>
            <w:noWrap/>
            <w:vAlign w:val="center"/>
            <w:hideMark/>
          </w:tcPr>
          <w:p w14:paraId="20DE719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17.110 </w:t>
            </w:r>
          </w:p>
        </w:tc>
        <w:tc>
          <w:tcPr>
            <w:tcW w:w="456" w:type="pct"/>
            <w:tcBorders>
              <w:top w:val="single" w:sz="4" w:space="0" w:color="auto"/>
              <w:left w:val="nil"/>
              <w:bottom w:val="nil"/>
              <w:right w:val="nil"/>
            </w:tcBorders>
            <w:shd w:val="clear" w:color="auto" w:fill="FFFFFF"/>
            <w:noWrap/>
            <w:vAlign w:val="center"/>
            <w:hideMark/>
          </w:tcPr>
          <w:p w14:paraId="10B96EC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19,27%</w:t>
            </w:r>
          </w:p>
        </w:tc>
        <w:tc>
          <w:tcPr>
            <w:tcW w:w="527" w:type="pct"/>
            <w:shd w:val="clear" w:color="auto" w:fill="FFFFFF"/>
            <w:noWrap/>
            <w:vAlign w:val="center"/>
            <w:hideMark/>
          </w:tcPr>
          <w:p w14:paraId="34DB7A7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128.461 </w:t>
            </w:r>
          </w:p>
        </w:tc>
        <w:tc>
          <w:tcPr>
            <w:tcW w:w="435" w:type="pct"/>
            <w:shd w:val="clear" w:color="auto" w:fill="FFFFFF"/>
            <w:noWrap/>
            <w:vAlign w:val="center"/>
            <w:hideMark/>
          </w:tcPr>
          <w:p w14:paraId="62F7286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26.885 </w:t>
            </w:r>
          </w:p>
        </w:tc>
        <w:tc>
          <w:tcPr>
            <w:tcW w:w="454" w:type="pct"/>
            <w:tcBorders>
              <w:top w:val="single" w:sz="4" w:space="0" w:color="auto"/>
              <w:left w:val="nil"/>
              <w:bottom w:val="nil"/>
              <w:right w:val="nil"/>
            </w:tcBorders>
            <w:shd w:val="clear" w:color="auto" w:fill="FFFFFF"/>
            <w:noWrap/>
            <w:vAlign w:val="center"/>
            <w:hideMark/>
          </w:tcPr>
          <w:p w14:paraId="3ED7236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20,93%</w:t>
            </w:r>
          </w:p>
        </w:tc>
      </w:tr>
      <w:tr w:rsidR="003B5193" w:rsidRPr="00AE4E8D" w14:paraId="1E13B5AE" w14:textId="77777777" w:rsidTr="00FA3175">
        <w:trPr>
          <w:trHeight w:val="255"/>
          <w:jc w:val="center"/>
        </w:trPr>
        <w:tc>
          <w:tcPr>
            <w:tcW w:w="553" w:type="pct"/>
            <w:vAlign w:val="center"/>
            <w:hideMark/>
          </w:tcPr>
          <w:p w14:paraId="78C25041"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Al Sector Financiero</w:t>
            </w:r>
          </w:p>
        </w:tc>
        <w:tc>
          <w:tcPr>
            <w:tcW w:w="124" w:type="pct"/>
            <w:noWrap/>
            <w:vAlign w:val="bottom"/>
          </w:tcPr>
          <w:p w14:paraId="518DC4F9"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46CA6BE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5E9B83BE"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0F19FAA6"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72B177F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1D54FBE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6050A26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107379A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390EB78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04A3E1A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0CEF97DE" w14:textId="77777777" w:rsidTr="00FA3175">
        <w:trPr>
          <w:trHeight w:val="255"/>
          <w:jc w:val="center"/>
        </w:trPr>
        <w:tc>
          <w:tcPr>
            <w:tcW w:w="553" w:type="pct"/>
            <w:vAlign w:val="center"/>
            <w:hideMark/>
          </w:tcPr>
          <w:p w14:paraId="752DA608"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7347683B"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15768BD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403.127 </w:t>
            </w:r>
          </w:p>
        </w:tc>
        <w:tc>
          <w:tcPr>
            <w:tcW w:w="490" w:type="pct"/>
            <w:shd w:val="clear" w:color="auto" w:fill="FFFFFF"/>
            <w:noWrap/>
            <w:vAlign w:val="center"/>
            <w:hideMark/>
          </w:tcPr>
          <w:p w14:paraId="7FE0241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100.559 </w:t>
            </w:r>
          </w:p>
        </w:tc>
        <w:tc>
          <w:tcPr>
            <w:tcW w:w="456" w:type="pct"/>
            <w:shd w:val="clear" w:color="auto" w:fill="FFFFFF"/>
            <w:noWrap/>
            <w:vAlign w:val="center"/>
            <w:hideMark/>
          </w:tcPr>
          <w:p w14:paraId="54D5E79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24,94%</w:t>
            </w:r>
          </w:p>
        </w:tc>
        <w:tc>
          <w:tcPr>
            <w:tcW w:w="527" w:type="pct"/>
            <w:shd w:val="clear" w:color="auto" w:fill="FFFFFF"/>
            <w:noWrap/>
            <w:vAlign w:val="center"/>
            <w:hideMark/>
          </w:tcPr>
          <w:p w14:paraId="2D22664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286.120 </w:t>
            </w:r>
          </w:p>
        </w:tc>
        <w:tc>
          <w:tcPr>
            <w:tcW w:w="451" w:type="pct"/>
            <w:shd w:val="clear" w:color="auto" w:fill="FFFFFF"/>
            <w:noWrap/>
            <w:vAlign w:val="center"/>
            <w:hideMark/>
          </w:tcPr>
          <w:p w14:paraId="1BBB2E4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53.008 </w:t>
            </w:r>
          </w:p>
        </w:tc>
        <w:tc>
          <w:tcPr>
            <w:tcW w:w="456" w:type="pct"/>
            <w:shd w:val="clear" w:color="auto" w:fill="FFFFFF"/>
            <w:noWrap/>
            <w:vAlign w:val="center"/>
            <w:hideMark/>
          </w:tcPr>
          <w:p w14:paraId="76EC1EC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18,53%</w:t>
            </w:r>
          </w:p>
        </w:tc>
        <w:tc>
          <w:tcPr>
            <w:tcW w:w="527" w:type="pct"/>
            <w:shd w:val="clear" w:color="auto" w:fill="FFFFFF"/>
            <w:noWrap/>
            <w:vAlign w:val="center"/>
            <w:hideMark/>
          </w:tcPr>
          <w:p w14:paraId="5B64C9B3"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352.614 </w:t>
            </w:r>
          </w:p>
        </w:tc>
        <w:tc>
          <w:tcPr>
            <w:tcW w:w="435" w:type="pct"/>
            <w:shd w:val="clear" w:color="auto" w:fill="FFFFFF"/>
            <w:noWrap/>
            <w:vAlign w:val="center"/>
            <w:hideMark/>
          </w:tcPr>
          <w:p w14:paraId="449AADF8"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63.172 </w:t>
            </w:r>
          </w:p>
        </w:tc>
        <w:tc>
          <w:tcPr>
            <w:tcW w:w="454" w:type="pct"/>
            <w:shd w:val="clear" w:color="auto" w:fill="FFFFFF"/>
            <w:noWrap/>
            <w:vAlign w:val="center"/>
            <w:hideMark/>
          </w:tcPr>
          <w:p w14:paraId="7D10EA0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17,92%</w:t>
            </w:r>
          </w:p>
        </w:tc>
      </w:tr>
      <w:tr w:rsidR="003B5193" w:rsidRPr="00AE4E8D" w14:paraId="688BCE46" w14:textId="77777777" w:rsidTr="00FA3175">
        <w:trPr>
          <w:trHeight w:val="255"/>
          <w:jc w:val="center"/>
        </w:trPr>
        <w:tc>
          <w:tcPr>
            <w:tcW w:w="553" w:type="pct"/>
            <w:vAlign w:val="center"/>
            <w:hideMark/>
          </w:tcPr>
          <w:p w14:paraId="5EA1DA77"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0246F7A1"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77967A4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tcBorders>
              <w:top w:val="nil"/>
              <w:left w:val="nil"/>
              <w:bottom w:val="single" w:sz="4" w:space="0" w:color="000000"/>
              <w:right w:val="nil"/>
            </w:tcBorders>
            <w:shd w:val="clear" w:color="auto" w:fill="FFFFFF"/>
            <w:noWrap/>
            <w:vAlign w:val="center"/>
            <w:hideMark/>
          </w:tcPr>
          <w:p w14:paraId="62DE0F1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7BF6150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tcBorders>
              <w:top w:val="nil"/>
              <w:left w:val="nil"/>
              <w:bottom w:val="single" w:sz="4" w:space="0" w:color="000000"/>
              <w:right w:val="nil"/>
            </w:tcBorders>
            <w:shd w:val="clear" w:color="auto" w:fill="FFFFFF"/>
            <w:noWrap/>
            <w:vAlign w:val="center"/>
            <w:hideMark/>
          </w:tcPr>
          <w:p w14:paraId="2A92DEA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tcBorders>
              <w:top w:val="nil"/>
              <w:left w:val="nil"/>
              <w:bottom w:val="single" w:sz="4" w:space="0" w:color="000000"/>
              <w:right w:val="nil"/>
            </w:tcBorders>
            <w:shd w:val="clear" w:color="auto" w:fill="FFFFFF"/>
            <w:noWrap/>
            <w:vAlign w:val="center"/>
            <w:hideMark/>
          </w:tcPr>
          <w:p w14:paraId="5F739BD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712E0FF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tcBorders>
              <w:top w:val="nil"/>
              <w:left w:val="nil"/>
              <w:bottom w:val="single" w:sz="4" w:space="0" w:color="000000"/>
              <w:right w:val="nil"/>
            </w:tcBorders>
            <w:shd w:val="clear" w:color="auto" w:fill="FFFFFF"/>
            <w:noWrap/>
            <w:vAlign w:val="center"/>
            <w:hideMark/>
          </w:tcPr>
          <w:p w14:paraId="0F26A164"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35" w:type="pct"/>
            <w:tcBorders>
              <w:top w:val="nil"/>
              <w:left w:val="nil"/>
              <w:bottom w:val="single" w:sz="4" w:space="0" w:color="000000"/>
              <w:right w:val="nil"/>
            </w:tcBorders>
            <w:shd w:val="clear" w:color="auto" w:fill="FFFFFF"/>
            <w:noWrap/>
            <w:vAlign w:val="center"/>
            <w:hideMark/>
          </w:tcPr>
          <w:p w14:paraId="580A3126"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54" w:type="pct"/>
            <w:shd w:val="clear" w:color="auto" w:fill="FFFFFF"/>
            <w:noWrap/>
            <w:vAlign w:val="center"/>
            <w:hideMark/>
          </w:tcPr>
          <w:p w14:paraId="1A0C650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64CB7E27" w14:textId="77777777" w:rsidTr="00FA3175">
        <w:trPr>
          <w:trHeight w:val="255"/>
          <w:jc w:val="center"/>
        </w:trPr>
        <w:tc>
          <w:tcPr>
            <w:tcW w:w="553" w:type="pct"/>
            <w:vAlign w:val="center"/>
            <w:hideMark/>
          </w:tcPr>
          <w:p w14:paraId="56753762"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69DA9047"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00DDE04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403.127 </w:t>
            </w:r>
          </w:p>
        </w:tc>
        <w:tc>
          <w:tcPr>
            <w:tcW w:w="490" w:type="pct"/>
            <w:shd w:val="clear" w:color="auto" w:fill="FFFFFF"/>
            <w:noWrap/>
            <w:vAlign w:val="center"/>
            <w:hideMark/>
          </w:tcPr>
          <w:p w14:paraId="5AF25152"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100.559 </w:t>
            </w:r>
          </w:p>
        </w:tc>
        <w:tc>
          <w:tcPr>
            <w:tcW w:w="456" w:type="pct"/>
            <w:tcBorders>
              <w:top w:val="single" w:sz="4" w:space="0" w:color="auto"/>
              <w:left w:val="nil"/>
              <w:bottom w:val="nil"/>
              <w:right w:val="nil"/>
            </w:tcBorders>
            <w:shd w:val="clear" w:color="auto" w:fill="FFFFFF"/>
            <w:noWrap/>
            <w:vAlign w:val="center"/>
            <w:hideMark/>
          </w:tcPr>
          <w:p w14:paraId="1D2699D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24,94%</w:t>
            </w:r>
          </w:p>
        </w:tc>
        <w:tc>
          <w:tcPr>
            <w:tcW w:w="527" w:type="pct"/>
            <w:shd w:val="clear" w:color="auto" w:fill="FFFFFF"/>
            <w:noWrap/>
            <w:vAlign w:val="center"/>
            <w:hideMark/>
          </w:tcPr>
          <w:p w14:paraId="6CE8DDB7"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286.120 </w:t>
            </w:r>
          </w:p>
        </w:tc>
        <w:tc>
          <w:tcPr>
            <w:tcW w:w="451" w:type="pct"/>
            <w:shd w:val="clear" w:color="auto" w:fill="FFFFFF"/>
            <w:noWrap/>
            <w:vAlign w:val="center"/>
            <w:hideMark/>
          </w:tcPr>
          <w:p w14:paraId="3C8EA50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53.008 </w:t>
            </w:r>
          </w:p>
        </w:tc>
        <w:tc>
          <w:tcPr>
            <w:tcW w:w="456" w:type="pct"/>
            <w:tcBorders>
              <w:top w:val="single" w:sz="4" w:space="0" w:color="auto"/>
              <w:left w:val="nil"/>
              <w:bottom w:val="nil"/>
              <w:right w:val="nil"/>
            </w:tcBorders>
            <w:shd w:val="clear" w:color="auto" w:fill="FFFFFF"/>
            <w:noWrap/>
            <w:vAlign w:val="center"/>
            <w:hideMark/>
          </w:tcPr>
          <w:p w14:paraId="475EA90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18,53%</w:t>
            </w:r>
          </w:p>
        </w:tc>
        <w:tc>
          <w:tcPr>
            <w:tcW w:w="527" w:type="pct"/>
            <w:shd w:val="clear" w:color="auto" w:fill="FFFFFF"/>
            <w:noWrap/>
            <w:vAlign w:val="center"/>
            <w:hideMark/>
          </w:tcPr>
          <w:p w14:paraId="1587726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352.614 </w:t>
            </w:r>
          </w:p>
        </w:tc>
        <w:tc>
          <w:tcPr>
            <w:tcW w:w="435" w:type="pct"/>
            <w:shd w:val="clear" w:color="auto" w:fill="FFFFFF"/>
            <w:noWrap/>
            <w:vAlign w:val="center"/>
            <w:hideMark/>
          </w:tcPr>
          <w:p w14:paraId="083D5CE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63.172 </w:t>
            </w:r>
          </w:p>
        </w:tc>
        <w:tc>
          <w:tcPr>
            <w:tcW w:w="454" w:type="pct"/>
            <w:tcBorders>
              <w:top w:val="single" w:sz="4" w:space="0" w:color="auto"/>
              <w:left w:val="nil"/>
              <w:bottom w:val="nil"/>
              <w:right w:val="nil"/>
            </w:tcBorders>
            <w:shd w:val="clear" w:color="auto" w:fill="FFFFFF"/>
            <w:noWrap/>
            <w:vAlign w:val="center"/>
            <w:hideMark/>
          </w:tcPr>
          <w:p w14:paraId="352197D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17,92%</w:t>
            </w:r>
          </w:p>
        </w:tc>
      </w:tr>
      <w:tr w:rsidR="003B5193" w:rsidRPr="00AE4E8D" w14:paraId="2BEC31E3" w14:textId="77777777" w:rsidTr="00FA3175">
        <w:trPr>
          <w:trHeight w:val="255"/>
          <w:jc w:val="center"/>
        </w:trPr>
        <w:tc>
          <w:tcPr>
            <w:tcW w:w="553" w:type="pct"/>
            <w:vAlign w:val="center"/>
            <w:hideMark/>
          </w:tcPr>
          <w:p w14:paraId="6DB396F3"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Fideicomisos Financieros</w:t>
            </w:r>
          </w:p>
        </w:tc>
        <w:tc>
          <w:tcPr>
            <w:tcW w:w="124" w:type="pct"/>
            <w:noWrap/>
            <w:vAlign w:val="bottom"/>
          </w:tcPr>
          <w:p w14:paraId="1DB2E0FD"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726E155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0436674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3623F3C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1C4B872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188D0B6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75FA801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2612171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1F0C30C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31B9472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010D5064" w14:textId="77777777" w:rsidTr="00FA3175">
        <w:trPr>
          <w:trHeight w:val="255"/>
          <w:jc w:val="center"/>
        </w:trPr>
        <w:tc>
          <w:tcPr>
            <w:tcW w:w="553" w:type="pct"/>
            <w:vAlign w:val="center"/>
            <w:hideMark/>
          </w:tcPr>
          <w:p w14:paraId="1F428F35"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577CB181"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65B2861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3.534.171 </w:t>
            </w:r>
          </w:p>
        </w:tc>
        <w:tc>
          <w:tcPr>
            <w:tcW w:w="490" w:type="pct"/>
            <w:shd w:val="clear" w:color="auto" w:fill="FFFFFF"/>
            <w:noWrap/>
            <w:vAlign w:val="center"/>
            <w:hideMark/>
          </w:tcPr>
          <w:p w14:paraId="0CD00817"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741.702 </w:t>
            </w:r>
          </w:p>
        </w:tc>
        <w:tc>
          <w:tcPr>
            <w:tcW w:w="456" w:type="pct"/>
            <w:shd w:val="clear" w:color="auto" w:fill="FFFFFF"/>
            <w:noWrap/>
            <w:vAlign w:val="center"/>
            <w:hideMark/>
          </w:tcPr>
          <w:p w14:paraId="23D3100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20,99%</w:t>
            </w:r>
          </w:p>
        </w:tc>
        <w:tc>
          <w:tcPr>
            <w:tcW w:w="527" w:type="pct"/>
            <w:shd w:val="clear" w:color="auto" w:fill="FFFFFF"/>
            <w:noWrap/>
            <w:vAlign w:val="center"/>
            <w:hideMark/>
          </w:tcPr>
          <w:p w14:paraId="7319D24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1.884.231 </w:t>
            </w:r>
          </w:p>
        </w:tc>
        <w:tc>
          <w:tcPr>
            <w:tcW w:w="451" w:type="pct"/>
            <w:shd w:val="clear" w:color="auto" w:fill="FFFFFF"/>
            <w:noWrap/>
            <w:vAlign w:val="center"/>
            <w:hideMark/>
          </w:tcPr>
          <w:p w14:paraId="40A5A8F1"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404.010 </w:t>
            </w:r>
          </w:p>
        </w:tc>
        <w:tc>
          <w:tcPr>
            <w:tcW w:w="456" w:type="pct"/>
            <w:shd w:val="clear" w:color="auto" w:fill="FFFFFF"/>
            <w:noWrap/>
            <w:vAlign w:val="center"/>
            <w:hideMark/>
          </w:tcPr>
          <w:p w14:paraId="2E4EFEC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21,44%</w:t>
            </w:r>
          </w:p>
        </w:tc>
        <w:tc>
          <w:tcPr>
            <w:tcW w:w="527" w:type="pct"/>
            <w:shd w:val="clear" w:color="auto" w:fill="FFFFFF"/>
            <w:noWrap/>
            <w:vAlign w:val="center"/>
            <w:hideMark/>
          </w:tcPr>
          <w:p w14:paraId="2791720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834.595 </w:t>
            </w:r>
          </w:p>
        </w:tc>
        <w:tc>
          <w:tcPr>
            <w:tcW w:w="435" w:type="pct"/>
            <w:shd w:val="clear" w:color="auto" w:fill="FFFFFF"/>
            <w:noWrap/>
            <w:vAlign w:val="center"/>
            <w:hideMark/>
          </w:tcPr>
          <w:p w14:paraId="11D09744"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116.602 </w:t>
            </w:r>
          </w:p>
        </w:tc>
        <w:tc>
          <w:tcPr>
            <w:tcW w:w="454" w:type="pct"/>
            <w:shd w:val="clear" w:color="auto" w:fill="FFFFFF"/>
            <w:noWrap/>
            <w:vAlign w:val="center"/>
            <w:hideMark/>
          </w:tcPr>
          <w:p w14:paraId="0A47D6E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13,97%</w:t>
            </w:r>
          </w:p>
        </w:tc>
      </w:tr>
      <w:tr w:rsidR="003B5193" w:rsidRPr="00AE4E8D" w14:paraId="4FCC0858" w14:textId="77777777" w:rsidTr="00FA3175">
        <w:trPr>
          <w:trHeight w:val="255"/>
          <w:jc w:val="center"/>
        </w:trPr>
        <w:tc>
          <w:tcPr>
            <w:tcW w:w="553" w:type="pct"/>
            <w:vAlign w:val="center"/>
            <w:hideMark/>
          </w:tcPr>
          <w:p w14:paraId="76D1BD54"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675937C6"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64BDA0D6"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33.887 </w:t>
            </w:r>
          </w:p>
        </w:tc>
        <w:tc>
          <w:tcPr>
            <w:tcW w:w="490" w:type="pct"/>
            <w:tcBorders>
              <w:top w:val="nil"/>
              <w:left w:val="nil"/>
              <w:bottom w:val="single" w:sz="4" w:space="0" w:color="000000"/>
              <w:right w:val="nil"/>
            </w:tcBorders>
            <w:shd w:val="clear" w:color="auto" w:fill="FFFFFF"/>
            <w:noWrap/>
            <w:vAlign w:val="center"/>
            <w:hideMark/>
          </w:tcPr>
          <w:p w14:paraId="59D01FE3"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1.720 </w:t>
            </w:r>
          </w:p>
        </w:tc>
        <w:tc>
          <w:tcPr>
            <w:tcW w:w="456" w:type="pct"/>
            <w:tcBorders>
              <w:top w:val="nil"/>
              <w:left w:val="nil"/>
              <w:bottom w:val="single" w:sz="4" w:space="0" w:color="auto"/>
              <w:right w:val="nil"/>
            </w:tcBorders>
            <w:shd w:val="clear" w:color="auto" w:fill="FFFFFF"/>
            <w:noWrap/>
            <w:vAlign w:val="center"/>
            <w:hideMark/>
          </w:tcPr>
          <w:p w14:paraId="206421C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5,08%</w:t>
            </w:r>
          </w:p>
        </w:tc>
        <w:tc>
          <w:tcPr>
            <w:tcW w:w="527" w:type="pct"/>
            <w:tcBorders>
              <w:top w:val="nil"/>
              <w:left w:val="nil"/>
              <w:bottom w:val="single" w:sz="4" w:space="0" w:color="000000"/>
              <w:right w:val="nil"/>
            </w:tcBorders>
            <w:shd w:val="clear" w:color="auto" w:fill="FFFFFF"/>
            <w:noWrap/>
            <w:vAlign w:val="center"/>
            <w:hideMark/>
          </w:tcPr>
          <w:p w14:paraId="3C6FBE3B"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19.905 </w:t>
            </w:r>
          </w:p>
        </w:tc>
        <w:tc>
          <w:tcPr>
            <w:tcW w:w="451" w:type="pct"/>
            <w:tcBorders>
              <w:top w:val="nil"/>
              <w:left w:val="nil"/>
              <w:bottom w:val="single" w:sz="4" w:space="0" w:color="000000"/>
              <w:right w:val="nil"/>
            </w:tcBorders>
            <w:shd w:val="clear" w:color="auto" w:fill="FFFFFF"/>
            <w:noWrap/>
            <w:vAlign w:val="center"/>
            <w:hideMark/>
          </w:tcPr>
          <w:p w14:paraId="25E1C476"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547 </w:t>
            </w:r>
          </w:p>
        </w:tc>
        <w:tc>
          <w:tcPr>
            <w:tcW w:w="456" w:type="pct"/>
            <w:tcBorders>
              <w:top w:val="nil"/>
              <w:left w:val="nil"/>
              <w:bottom w:val="single" w:sz="4" w:space="0" w:color="auto"/>
              <w:right w:val="nil"/>
            </w:tcBorders>
            <w:shd w:val="clear" w:color="auto" w:fill="FFFFFF"/>
            <w:noWrap/>
            <w:vAlign w:val="center"/>
            <w:hideMark/>
          </w:tcPr>
          <w:p w14:paraId="613AB35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2,75%</w:t>
            </w:r>
          </w:p>
        </w:tc>
        <w:tc>
          <w:tcPr>
            <w:tcW w:w="527" w:type="pct"/>
            <w:tcBorders>
              <w:top w:val="nil"/>
              <w:left w:val="nil"/>
              <w:bottom w:val="single" w:sz="4" w:space="0" w:color="000000"/>
              <w:right w:val="nil"/>
            </w:tcBorders>
            <w:shd w:val="clear" w:color="auto" w:fill="FFFFFF"/>
            <w:noWrap/>
            <w:vAlign w:val="center"/>
            <w:hideMark/>
          </w:tcPr>
          <w:p w14:paraId="23FEED98"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18.614 </w:t>
            </w:r>
          </w:p>
        </w:tc>
        <w:tc>
          <w:tcPr>
            <w:tcW w:w="435" w:type="pct"/>
            <w:tcBorders>
              <w:top w:val="nil"/>
              <w:left w:val="nil"/>
              <w:bottom w:val="single" w:sz="4" w:space="0" w:color="000000"/>
              <w:right w:val="nil"/>
            </w:tcBorders>
            <w:shd w:val="clear" w:color="auto" w:fill="FFFFFF"/>
            <w:noWrap/>
            <w:vAlign w:val="center"/>
            <w:hideMark/>
          </w:tcPr>
          <w:p w14:paraId="05EDA3A8"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441 </w:t>
            </w:r>
          </w:p>
        </w:tc>
        <w:tc>
          <w:tcPr>
            <w:tcW w:w="454" w:type="pct"/>
            <w:tcBorders>
              <w:top w:val="nil"/>
              <w:left w:val="nil"/>
              <w:bottom w:val="single" w:sz="4" w:space="0" w:color="auto"/>
              <w:right w:val="nil"/>
            </w:tcBorders>
            <w:shd w:val="clear" w:color="auto" w:fill="FFFFFF"/>
            <w:noWrap/>
            <w:vAlign w:val="center"/>
            <w:hideMark/>
          </w:tcPr>
          <w:p w14:paraId="08AC29C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2,37%</w:t>
            </w:r>
          </w:p>
        </w:tc>
      </w:tr>
      <w:tr w:rsidR="003B5193" w:rsidRPr="00AE4E8D" w14:paraId="0FBE7D2E" w14:textId="77777777" w:rsidTr="00FA3175">
        <w:trPr>
          <w:trHeight w:val="255"/>
          <w:jc w:val="center"/>
        </w:trPr>
        <w:tc>
          <w:tcPr>
            <w:tcW w:w="553" w:type="pct"/>
            <w:vAlign w:val="center"/>
            <w:hideMark/>
          </w:tcPr>
          <w:p w14:paraId="6168E944"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10C9B29E"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24D613D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3.568.058 </w:t>
            </w:r>
          </w:p>
        </w:tc>
        <w:tc>
          <w:tcPr>
            <w:tcW w:w="490" w:type="pct"/>
            <w:shd w:val="clear" w:color="auto" w:fill="FFFFFF"/>
            <w:noWrap/>
            <w:vAlign w:val="center"/>
            <w:hideMark/>
          </w:tcPr>
          <w:p w14:paraId="43C4F587"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743.422 </w:t>
            </w:r>
          </w:p>
        </w:tc>
        <w:tc>
          <w:tcPr>
            <w:tcW w:w="456" w:type="pct"/>
            <w:shd w:val="clear" w:color="auto" w:fill="FFFFFF"/>
            <w:noWrap/>
            <w:vAlign w:val="center"/>
            <w:hideMark/>
          </w:tcPr>
          <w:p w14:paraId="760C19A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20,84%</w:t>
            </w:r>
          </w:p>
        </w:tc>
        <w:tc>
          <w:tcPr>
            <w:tcW w:w="527" w:type="pct"/>
            <w:shd w:val="clear" w:color="auto" w:fill="FFFFFF"/>
            <w:noWrap/>
            <w:vAlign w:val="center"/>
            <w:hideMark/>
          </w:tcPr>
          <w:p w14:paraId="49400A4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1.904.136 </w:t>
            </w:r>
          </w:p>
        </w:tc>
        <w:tc>
          <w:tcPr>
            <w:tcW w:w="451" w:type="pct"/>
            <w:shd w:val="clear" w:color="auto" w:fill="FFFFFF"/>
            <w:noWrap/>
            <w:vAlign w:val="center"/>
            <w:hideMark/>
          </w:tcPr>
          <w:p w14:paraId="38D843D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404.557 </w:t>
            </w:r>
          </w:p>
        </w:tc>
        <w:tc>
          <w:tcPr>
            <w:tcW w:w="456" w:type="pct"/>
            <w:shd w:val="clear" w:color="auto" w:fill="FFFFFF"/>
            <w:noWrap/>
            <w:vAlign w:val="center"/>
            <w:hideMark/>
          </w:tcPr>
          <w:p w14:paraId="5BAFE32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21,25%</w:t>
            </w:r>
          </w:p>
        </w:tc>
        <w:tc>
          <w:tcPr>
            <w:tcW w:w="527" w:type="pct"/>
            <w:shd w:val="clear" w:color="auto" w:fill="FFFFFF"/>
            <w:noWrap/>
            <w:vAlign w:val="center"/>
            <w:hideMark/>
          </w:tcPr>
          <w:p w14:paraId="05AA2AA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853.209 </w:t>
            </w:r>
          </w:p>
        </w:tc>
        <w:tc>
          <w:tcPr>
            <w:tcW w:w="435" w:type="pct"/>
            <w:shd w:val="clear" w:color="auto" w:fill="FFFFFF"/>
            <w:noWrap/>
            <w:vAlign w:val="center"/>
            <w:hideMark/>
          </w:tcPr>
          <w:p w14:paraId="6C33408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117.043 </w:t>
            </w:r>
          </w:p>
        </w:tc>
        <w:tc>
          <w:tcPr>
            <w:tcW w:w="454" w:type="pct"/>
            <w:shd w:val="clear" w:color="auto" w:fill="FFFFFF"/>
            <w:noWrap/>
            <w:vAlign w:val="center"/>
            <w:hideMark/>
          </w:tcPr>
          <w:p w14:paraId="0540530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13,72%</w:t>
            </w:r>
          </w:p>
        </w:tc>
      </w:tr>
      <w:tr w:rsidR="003B5193" w:rsidRPr="00AE4E8D" w14:paraId="640873C8" w14:textId="77777777" w:rsidTr="00FA3175">
        <w:trPr>
          <w:trHeight w:val="255"/>
          <w:jc w:val="center"/>
        </w:trPr>
        <w:tc>
          <w:tcPr>
            <w:tcW w:w="553" w:type="pct"/>
            <w:vAlign w:val="center"/>
            <w:hideMark/>
          </w:tcPr>
          <w:p w14:paraId="19D4F952" w14:textId="77777777" w:rsidR="00D218D0" w:rsidRPr="00AE4E8D" w:rsidRDefault="00D218D0" w:rsidP="00E90931">
            <w:pPr>
              <w:rPr>
                <w:rFonts w:ascii="Times New Roman" w:hAnsi="Times New Roman"/>
                <w:b/>
                <w:bCs/>
                <w:sz w:val="14"/>
                <w:szCs w:val="14"/>
                <w:lang w:val="es-ES"/>
              </w:rPr>
            </w:pPr>
            <w:r w:rsidRPr="00AE4E8D">
              <w:rPr>
                <w:rFonts w:ascii="Times New Roman" w:hAnsi="Times New Roman"/>
                <w:b/>
                <w:bCs/>
                <w:sz w:val="14"/>
                <w:szCs w:val="14"/>
                <w:lang w:val="es-ES"/>
              </w:rPr>
              <w:t>Obligaciones negociables</w:t>
            </w:r>
          </w:p>
        </w:tc>
        <w:tc>
          <w:tcPr>
            <w:tcW w:w="124" w:type="pct"/>
            <w:noWrap/>
            <w:vAlign w:val="bottom"/>
          </w:tcPr>
          <w:p w14:paraId="1A6D8DB1"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77E17D0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2086DC4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70BC413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011EBD2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134ABFC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35AB395D"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04C4797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0075AAB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3D2232ED"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29E00A1A" w14:textId="77777777" w:rsidTr="00FA3175">
        <w:trPr>
          <w:trHeight w:val="255"/>
          <w:jc w:val="center"/>
        </w:trPr>
        <w:tc>
          <w:tcPr>
            <w:tcW w:w="553" w:type="pct"/>
            <w:vAlign w:val="center"/>
            <w:hideMark/>
          </w:tcPr>
          <w:p w14:paraId="334EA21D"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6AADFFEF"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30406604"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173.991 </w:t>
            </w:r>
          </w:p>
        </w:tc>
        <w:tc>
          <w:tcPr>
            <w:tcW w:w="490" w:type="pct"/>
            <w:shd w:val="clear" w:color="auto" w:fill="FFFFFF"/>
            <w:noWrap/>
            <w:vAlign w:val="center"/>
            <w:hideMark/>
          </w:tcPr>
          <w:p w14:paraId="31967A6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51.601 </w:t>
            </w:r>
          </w:p>
        </w:tc>
        <w:tc>
          <w:tcPr>
            <w:tcW w:w="456" w:type="pct"/>
            <w:shd w:val="clear" w:color="auto" w:fill="FFFFFF"/>
            <w:noWrap/>
            <w:vAlign w:val="center"/>
            <w:hideMark/>
          </w:tcPr>
          <w:p w14:paraId="74E277D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29,66%</w:t>
            </w:r>
          </w:p>
        </w:tc>
        <w:tc>
          <w:tcPr>
            <w:tcW w:w="527" w:type="pct"/>
            <w:shd w:val="clear" w:color="auto" w:fill="FFFFFF"/>
            <w:noWrap/>
            <w:vAlign w:val="center"/>
            <w:hideMark/>
          </w:tcPr>
          <w:p w14:paraId="2F1B61D2"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75.248 </w:t>
            </w:r>
          </w:p>
        </w:tc>
        <w:tc>
          <w:tcPr>
            <w:tcW w:w="451" w:type="pct"/>
            <w:shd w:val="clear" w:color="auto" w:fill="FFFFFF"/>
            <w:noWrap/>
            <w:vAlign w:val="center"/>
            <w:hideMark/>
          </w:tcPr>
          <w:p w14:paraId="4884877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33.055 </w:t>
            </w:r>
          </w:p>
        </w:tc>
        <w:tc>
          <w:tcPr>
            <w:tcW w:w="456" w:type="pct"/>
            <w:shd w:val="clear" w:color="auto" w:fill="FFFFFF"/>
            <w:noWrap/>
            <w:vAlign w:val="center"/>
            <w:hideMark/>
          </w:tcPr>
          <w:p w14:paraId="1F4E83D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43,93%</w:t>
            </w:r>
          </w:p>
        </w:tc>
        <w:tc>
          <w:tcPr>
            <w:tcW w:w="527" w:type="pct"/>
            <w:shd w:val="clear" w:color="auto" w:fill="FFFFFF"/>
            <w:noWrap/>
            <w:vAlign w:val="center"/>
            <w:hideMark/>
          </w:tcPr>
          <w:p w14:paraId="222519F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116.444 </w:t>
            </w:r>
          </w:p>
        </w:tc>
        <w:tc>
          <w:tcPr>
            <w:tcW w:w="435" w:type="pct"/>
            <w:shd w:val="clear" w:color="auto" w:fill="FFFFFF"/>
            <w:noWrap/>
            <w:vAlign w:val="center"/>
            <w:hideMark/>
          </w:tcPr>
          <w:p w14:paraId="0460DA91"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41.970 </w:t>
            </w:r>
          </w:p>
        </w:tc>
        <w:tc>
          <w:tcPr>
            <w:tcW w:w="454" w:type="pct"/>
            <w:shd w:val="clear" w:color="auto" w:fill="FFFFFF"/>
            <w:noWrap/>
            <w:vAlign w:val="center"/>
            <w:hideMark/>
          </w:tcPr>
          <w:p w14:paraId="12ADA00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36,04%</w:t>
            </w:r>
          </w:p>
        </w:tc>
      </w:tr>
      <w:tr w:rsidR="003B5193" w:rsidRPr="00AE4E8D" w14:paraId="4704E432" w14:textId="77777777" w:rsidTr="00FA3175">
        <w:trPr>
          <w:trHeight w:val="255"/>
          <w:jc w:val="center"/>
        </w:trPr>
        <w:tc>
          <w:tcPr>
            <w:tcW w:w="553" w:type="pct"/>
            <w:vAlign w:val="center"/>
            <w:hideMark/>
          </w:tcPr>
          <w:p w14:paraId="12F042B7"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263C33F5"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6EA210CC"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69.466 </w:t>
            </w:r>
          </w:p>
        </w:tc>
        <w:tc>
          <w:tcPr>
            <w:tcW w:w="490" w:type="pct"/>
            <w:tcBorders>
              <w:top w:val="nil"/>
              <w:left w:val="nil"/>
              <w:bottom w:val="single" w:sz="4" w:space="0" w:color="000000"/>
              <w:right w:val="nil"/>
            </w:tcBorders>
            <w:shd w:val="clear" w:color="auto" w:fill="FFFFFF"/>
            <w:noWrap/>
            <w:vAlign w:val="center"/>
            <w:hideMark/>
          </w:tcPr>
          <w:p w14:paraId="5A6B574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15.278</w:t>
            </w:r>
          </w:p>
        </w:tc>
        <w:tc>
          <w:tcPr>
            <w:tcW w:w="456" w:type="pct"/>
            <w:tcBorders>
              <w:top w:val="nil"/>
              <w:left w:val="nil"/>
              <w:bottom w:val="single" w:sz="4" w:space="0" w:color="auto"/>
              <w:right w:val="nil"/>
            </w:tcBorders>
            <w:shd w:val="clear" w:color="auto" w:fill="FFFFFF"/>
            <w:noWrap/>
            <w:vAlign w:val="center"/>
            <w:hideMark/>
          </w:tcPr>
          <w:p w14:paraId="6300DBBE"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21,99%</w:t>
            </w:r>
          </w:p>
        </w:tc>
        <w:tc>
          <w:tcPr>
            <w:tcW w:w="527" w:type="pct"/>
            <w:tcBorders>
              <w:top w:val="nil"/>
              <w:left w:val="nil"/>
              <w:bottom w:val="single" w:sz="4" w:space="0" w:color="000000"/>
              <w:right w:val="nil"/>
            </w:tcBorders>
            <w:shd w:val="clear" w:color="auto" w:fill="FFFFFF"/>
            <w:noWrap/>
            <w:vAlign w:val="center"/>
            <w:hideMark/>
          </w:tcPr>
          <w:p w14:paraId="32FAFFC3"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85.040 </w:t>
            </w:r>
          </w:p>
        </w:tc>
        <w:tc>
          <w:tcPr>
            <w:tcW w:w="451" w:type="pct"/>
            <w:tcBorders>
              <w:top w:val="nil"/>
              <w:left w:val="nil"/>
              <w:bottom w:val="single" w:sz="4" w:space="0" w:color="000000"/>
              <w:right w:val="nil"/>
            </w:tcBorders>
            <w:shd w:val="clear" w:color="auto" w:fill="FFFFFF"/>
            <w:noWrap/>
            <w:vAlign w:val="center"/>
            <w:hideMark/>
          </w:tcPr>
          <w:p w14:paraId="6232995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18.766 </w:t>
            </w:r>
          </w:p>
        </w:tc>
        <w:tc>
          <w:tcPr>
            <w:tcW w:w="456" w:type="pct"/>
            <w:tcBorders>
              <w:top w:val="nil"/>
              <w:left w:val="nil"/>
              <w:bottom w:val="single" w:sz="4" w:space="0" w:color="auto"/>
              <w:right w:val="nil"/>
            </w:tcBorders>
            <w:shd w:val="clear" w:color="auto" w:fill="FFFFFF"/>
            <w:noWrap/>
            <w:vAlign w:val="center"/>
            <w:hideMark/>
          </w:tcPr>
          <w:p w14:paraId="4A3216C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22,07%</w:t>
            </w:r>
          </w:p>
        </w:tc>
        <w:tc>
          <w:tcPr>
            <w:tcW w:w="527" w:type="pct"/>
            <w:tcBorders>
              <w:top w:val="nil"/>
              <w:left w:val="nil"/>
              <w:bottom w:val="single" w:sz="4" w:space="0" w:color="000000"/>
              <w:right w:val="nil"/>
            </w:tcBorders>
            <w:shd w:val="clear" w:color="auto" w:fill="FFFFFF"/>
            <w:noWrap/>
            <w:vAlign w:val="center"/>
            <w:hideMark/>
          </w:tcPr>
          <w:p w14:paraId="7EA04DD1"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241.287 </w:t>
            </w:r>
          </w:p>
        </w:tc>
        <w:tc>
          <w:tcPr>
            <w:tcW w:w="435" w:type="pct"/>
            <w:tcBorders>
              <w:top w:val="nil"/>
              <w:left w:val="nil"/>
              <w:bottom w:val="single" w:sz="4" w:space="0" w:color="000000"/>
              <w:right w:val="nil"/>
            </w:tcBorders>
            <w:shd w:val="clear" w:color="auto" w:fill="FFFFFF"/>
            <w:noWrap/>
            <w:vAlign w:val="center"/>
            <w:hideMark/>
          </w:tcPr>
          <w:p w14:paraId="66D64B5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9.968 </w:t>
            </w:r>
          </w:p>
        </w:tc>
        <w:tc>
          <w:tcPr>
            <w:tcW w:w="454" w:type="pct"/>
            <w:tcBorders>
              <w:top w:val="nil"/>
              <w:left w:val="nil"/>
              <w:bottom w:val="single" w:sz="4" w:space="0" w:color="auto"/>
              <w:right w:val="nil"/>
            </w:tcBorders>
            <w:shd w:val="clear" w:color="auto" w:fill="FFFFFF"/>
            <w:noWrap/>
            <w:vAlign w:val="center"/>
            <w:hideMark/>
          </w:tcPr>
          <w:p w14:paraId="4615A26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4,13%</w:t>
            </w:r>
          </w:p>
        </w:tc>
      </w:tr>
      <w:tr w:rsidR="003B5193" w:rsidRPr="00AE4E8D" w14:paraId="19B8B14A" w14:textId="77777777" w:rsidTr="00FA3175">
        <w:trPr>
          <w:trHeight w:val="255"/>
          <w:jc w:val="center"/>
        </w:trPr>
        <w:tc>
          <w:tcPr>
            <w:tcW w:w="553" w:type="pct"/>
            <w:vAlign w:val="center"/>
            <w:hideMark/>
          </w:tcPr>
          <w:p w14:paraId="21B33FA3"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749D1226"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48CE3603"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243.457 </w:t>
            </w:r>
          </w:p>
        </w:tc>
        <w:tc>
          <w:tcPr>
            <w:tcW w:w="490" w:type="pct"/>
            <w:shd w:val="clear" w:color="auto" w:fill="FFFFFF"/>
            <w:noWrap/>
            <w:vAlign w:val="center"/>
            <w:hideMark/>
          </w:tcPr>
          <w:p w14:paraId="29FAF4D2"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66.879 </w:t>
            </w:r>
          </w:p>
        </w:tc>
        <w:tc>
          <w:tcPr>
            <w:tcW w:w="456" w:type="pct"/>
            <w:shd w:val="clear" w:color="auto" w:fill="FFFFFF"/>
            <w:noWrap/>
            <w:vAlign w:val="center"/>
            <w:hideMark/>
          </w:tcPr>
          <w:p w14:paraId="1B8EED1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27,47%</w:t>
            </w:r>
          </w:p>
        </w:tc>
        <w:tc>
          <w:tcPr>
            <w:tcW w:w="527" w:type="pct"/>
            <w:shd w:val="clear" w:color="auto" w:fill="FFFFFF"/>
            <w:noWrap/>
            <w:vAlign w:val="center"/>
            <w:hideMark/>
          </w:tcPr>
          <w:p w14:paraId="5529514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160.288 </w:t>
            </w:r>
          </w:p>
        </w:tc>
        <w:tc>
          <w:tcPr>
            <w:tcW w:w="451" w:type="pct"/>
            <w:shd w:val="clear" w:color="auto" w:fill="FFFFFF"/>
            <w:noWrap/>
            <w:vAlign w:val="center"/>
            <w:hideMark/>
          </w:tcPr>
          <w:p w14:paraId="2D211D04"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51.821 </w:t>
            </w:r>
          </w:p>
        </w:tc>
        <w:tc>
          <w:tcPr>
            <w:tcW w:w="456" w:type="pct"/>
            <w:shd w:val="clear" w:color="auto" w:fill="FFFFFF"/>
            <w:noWrap/>
            <w:vAlign w:val="center"/>
            <w:hideMark/>
          </w:tcPr>
          <w:p w14:paraId="6A62E9B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32,33%</w:t>
            </w:r>
          </w:p>
        </w:tc>
        <w:tc>
          <w:tcPr>
            <w:tcW w:w="527" w:type="pct"/>
            <w:shd w:val="clear" w:color="auto" w:fill="FFFFFF"/>
            <w:noWrap/>
            <w:vAlign w:val="center"/>
            <w:hideMark/>
          </w:tcPr>
          <w:p w14:paraId="6FACBAF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357.731 </w:t>
            </w:r>
          </w:p>
        </w:tc>
        <w:tc>
          <w:tcPr>
            <w:tcW w:w="435" w:type="pct"/>
            <w:shd w:val="clear" w:color="auto" w:fill="FFFFFF"/>
            <w:noWrap/>
            <w:vAlign w:val="center"/>
            <w:hideMark/>
          </w:tcPr>
          <w:p w14:paraId="508E6DE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51.938 </w:t>
            </w:r>
          </w:p>
        </w:tc>
        <w:tc>
          <w:tcPr>
            <w:tcW w:w="454" w:type="pct"/>
            <w:shd w:val="clear" w:color="auto" w:fill="FFFFFF"/>
            <w:noWrap/>
            <w:vAlign w:val="center"/>
            <w:hideMark/>
          </w:tcPr>
          <w:p w14:paraId="031A0ED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14,52%</w:t>
            </w:r>
          </w:p>
        </w:tc>
      </w:tr>
      <w:tr w:rsidR="003B5193" w:rsidRPr="00AE4E8D" w14:paraId="31CB73D4" w14:textId="77777777" w:rsidTr="00FA3175">
        <w:trPr>
          <w:trHeight w:val="255"/>
          <w:jc w:val="center"/>
        </w:trPr>
        <w:tc>
          <w:tcPr>
            <w:tcW w:w="553" w:type="pct"/>
            <w:vAlign w:val="center"/>
            <w:hideMark/>
          </w:tcPr>
          <w:p w14:paraId="5D763388" w14:textId="77777777" w:rsidR="00D218D0" w:rsidRPr="00AE4E8D" w:rsidRDefault="00D218D0" w:rsidP="00E90931">
            <w:pPr>
              <w:rPr>
                <w:rFonts w:ascii="Times New Roman" w:hAnsi="Times New Roman"/>
                <w:b/>
                <w:bCs/>
                <w:sz w:val="14"/>
                <w:szCs w:val="14"/>
                <w:lang w:val="es-ES"/>
              </w:rPr>
            </w:pPr>
            <w:r w:rsidRPr="00AE4E8D">
              <w:rPr>
                <w:rFonts w:ascii="Times New Roman" w:hAnsi="Times New Roman"/>
                <w:b/>
                <w:bCs/>
                <w:sz w:val="14"/>
                <w:szCs w:val="14"/>
                <w:lang w:val="es-ES"/>
              </w:rPr>
              <w:t>Pases activos</w:t>
            </w:r>
          </w:p>
        </w:tc>
        <w:tc>
          <w:tcPr>
            <w:tcW w:w="124" w:type="pct"/>
            <w:noWrap/>
            <w:vAlign w:val="bottom"/>
          </w:tcPr>
          <w:p w14:paraId="1AA3DC79"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1B4DCF4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1316591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5B63E5C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2273B04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4B3E869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38BDE67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683EF8A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52D6434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00E023D6"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19311A44" w14:textId="77777777" w:rsidTr="00FA3175">
        <w:trPr>
          <w:trHeight w:val="255"/>
          <w:jc w:val="center"/>
        </w:trPr>
        <w:tc>
          <w:tcPr>
            <w:tcW w:w="553" w:type="pct"/>
            <w:vAlign w:val="center"/>
            <w:hideMark/>
          </w:tcPr>
          <w:p w14:paraId="65275080"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30482497"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5AB08E2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609.711 </w:t>
            </w:r>
          </w:p>
        </w:tc>
        <w:tc>
          <w:tcPr>
            <w:tcW w:w="490" w:type="pct"/>
            <w:shd w:val="clear" w:color="auto" w:fill="FFFFFF"/>
            <w:noWrap/>
            <w:vAlign w:val="center"/>
            <w:hideMark/>
          </w:tcPr>
          <w:p w14:paraId="424AF53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143.090 </w:t>
            </w:r>
          </w:p>
        </w:tc>
        <w:tc>
          <w:tcPr>
            <w:tcW w:w="456" w:type="pct"/>
            <w:shd w:val="clear" w:color="auto" w:fill="FFFFFF"/>
            <w:noWrap/>
            <w:vAlign w:val="center"/>
            <w:hideMark/>
          </w:tcPr>
          <w:p w14:paraId="50AF1B6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23,47%</w:t>
            </w:r>
          </w:p>
        </w:tc>
        <w:tc>
          <w:tcPr>
            <w:tcW w:w="527" w:type="pct"/>
            <w:shd w:val="clear" w:color="auto" w:fill="FFFFFF"/>
            <w:noWrap/>
            <w:vAlign w:val="center"/>
            <w:hideMark/>
          </w:tcPr>
          <w:p w14:paraId="68BAE3A8"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412.986 </w:t>
            </w:r>
          </w:p>
        </w:tc>
        <w:tc>
          <w:tcPr>
            <w:tcW w:w="451" w:type="pct"/>
            <w:shd w:val="clear" w:color="auto" w:fill="FFFFFF"/>
            <w:noWrap/>
            <w:vAlign w:val="center"/>
            <w:hideMark/>
          </w:tcPr>
          <w:p w14:paraId="64BC886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89.690 </w:t>
            </w:r>
          </w:p>
        </w:tc>
        <w:tc>
          <w:tcPr>
            <w:tcW w:w="456" w:type="pct"/>
            <w:shd w:val="clear" w:color="auto" w:fill="FFFFFF"/>
            <w:noWrap/>
            <w:vAlign w:val="center"/>
            <w:hideMark/>
          </w:tcPr>
          <w:p w14:paraId="2FCAF37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21,72%</w:t>
            </w:r>
          </w:p>
        </w:tc>
        <w:tc>
          <w:tcPr>
            <w:tcW w:w="527" w:type="pct"/>
            <w:shd w:val="clear" w:color="auto" w:fill="FFFFFF"/>
            <w:noWrap/>
            <w:vAlign w:val="center"/>
            <w:hideMark/>
          </w:tcPr>
          <w:p w14:paraId="17EA568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326.110 </w:t>
            </w:r>
          </w:p>
        </w:tc>
        <w:tc>
          <w:tcPr>
            <w:tcW w:w="435" w:type="pct"/>
            <w:shd w:val="clear" w:color="auto" w:fill="FFFFFF"/>
            <w:noWrap/>
            <w:vAlign w:val="center"/>
            <w:hideMark/>
          </w:tcPr>
          <w:p w14:paraId="1407158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51.368 </w:t>
            </w:r>
          </w:p>
        </w:tc>
        <w:tc>
          <w:tcPr>
            <w:tcW w:w="454" w:type="pct"/>
            <w:shd w:val="clear" w:color="auto" w:fill="FFFFFF"/>
            <w:noWrap/>
            <w:vAlign w:val="center"/>
            <w:hideMark/>
          </w:tcPr>
          <w:p w14:paraId="6ED269C8"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15,75%</w:t>
            </w:r>
          </w:p>
        </w:tc>
      </w:tr>
      <w:tr w:rsidR="003B5193" w:rsidRPr="00AE4E8D" w14:paraId="0DED315A" w14:textId="77777777" w:rsidTr="00FA3175">
        <w:trPr>
          <w:trHeight w:val="255"/>
          <w:jc w:val="center"/>
        </w:trPr>
        <w:tc>
          <w:tcPr>
            <w:tcW w:w="553" w:type="pct"/>
            <w:vAlign w:val="center"/>
            <w:hideMark/>
          </w:tcPr>
          <w:p w14:paraId="0BC958E1"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46636FBA"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tcPr>
          <w:p w14:paraId="6FC2110D" w14:textId="77777777" w:rsidR="00D218D0" w:rsidRPr="00AE4E8D" w:rsidRDefault="00D218D0" w:rsidP="00FA3175">
            <w:pPr>
              <w:jc w:val="right"/>
              <w:rPr>
                <w:rFonts w:ascii="Times New Roman" w:hAnsi="Times New Roman"/>
                <w:sz w:val="14"/>
                <w:szCs w:val="14"/>
                <w:lang w:val="es-ES"/>
              </w:rPr>
            </w:pPr>
          </w:p>
        </w:tc>
        <w:tc>
          <w:tcPr>
            <w:tcW w:w="490" w:type="pct"/>
            <w:tcBorders>
              <w:top w:val="nil"/>
              <w:left w:val="nil"/>
              <w:bottom w:val="single" w:sz="4" w:space="0" w:color="000000"/>
              <w:right w:val="nil"/>
            </w:tcBorders>
            <w:shd w:val="clear" w:color="auto" w:fill="FFFFFF"/>
            <w:noWrap/>
            <w:vAlign w:val="center"/>
            <w:hideMark/>
          </w:tcPr>
          <w:p w14:paraId="031521CD"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12</w:t>
            </w:r>
          </w:p>
        </w:tc>
        <w:tc>
          <w:tcPr>
            <w:tcW w:w="456" w:type="pct"/>
            <w:shd w:val="clear" w:color="auto" w:fill="FFFFFF"/>
            <w:noWrap/>
            <w:vAlign w:val="center"/>
          </w:tcPr>
          <w:p w14:paraId="5CBE7589"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11AFEE3A"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24.314 </w:t>
            </w:r>
          </w:p>
        </w:tc>
        <w:tc>
          <w:tcPr>
            <w:tcW w:w="451" w:type="pct"/>
            <w:tcBorders>
              <w:top w:val="nil"/>
              <w:left w:val="nil"/>
              <w:bottom w:val="single" w:sz="4" w:space="0" w:color="000000"/>
              <w:right w:val="nil"/>
            </w:tcBorders>
            <w:shd w:val="clear" w:color="auto" w:fill="FFFFFF"/>
            <w:noWrap/>
            <w:vAlign w:val="center"/>
            <w:hideMark/>
          </w:tcPr>
          <w:p w14:paraId="2552EF4E"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12 </w:t>
            </w:r>
          </w:p>
        </w:tc>
        <w:tc>
          <w:tcPr>
            <w:tcW w:w="456" w:type="pct"/>
            <w:shd w:val="clear" w:color="auto" w:fill="FFFFFF"/>
            <w:noWrap/>
            <w:vAlign w:val="center"/>
            <w:hideMark/>
          </w:tcPr>
          <w:p w14:paraId="79B33AB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0,05%</w:t>
            </w:r>
          </w:p>
        </w:tc>
        <w:tc>
          <w:tcPr>
            <w:tcW w:w="527" w:type="pct"/>
            <w:tcBorders>
              <w:top w:val="nil"/>
              <w:left w:val="nil"/>
              <w:bottom w:val="single" w:sz="4" w:space="0" w:color="000000"/>
              <w:right w:val="nil"/>
            </w:tcBorders>
            <w:shd w:val="clear" w:color="auto" w:fill="FFFFFF"/>
            <w:noWrap/>
            <w:vAlign w:val="center"/>
            <w:hideMark/>
          </w:tcPr>
          <w:p w14:paraId="6BE01482"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34.456 </w:t>
            </w:r>
          </w:p>
        </w:tc>
        <w:tc>
          <w:tcPr>
            <w:tcW w:w="435" w:type="pct"/>
            <w:tcBorders>
              <w:top w:val="nil"/>
              <w:left w:val="nil"/>
              <w:bottom w:val="single" w:sz="4" w:space="0" w:color="000000"/>
              <w:right w:val="nil"/>
            </w:tcBorders>
            <w:shd w:val="clear" w:color="auto" w:fill="FFFFFF"/>
            <w:noWrap/>
            <w:vAlign w:val="center"/>
            <w:hideMark/>
          </w:tcPr>
          <w:p w14:paraId="0E7FA8A7"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16 </w:t>
            </w:r>
          </w:p>
        </w:tc>
        <w:tc>
          <w:tcPr>
            <w:tcW w:w="454" w:type="pct"/>
            <w:shd w:val="clear" w:color="auto" w:fill="FFFFFF"/>
            <w:noWrap/>
            <w:vAlign w:val="center"/>
            <w:hideMark/>
          </w:tcPr>
          <w:p w14:paraId="5275D806"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0,05%</w:t>
            </w:r>
          </w:p>
        </w:tc>
      </w:tr>
      <w:tr w:rsidR="003B5193" w:rsidRPr="00AE4E8D" w14:paraId="5E873892" w14:textId="77777777" w:rsidTr="00FA3175">
        <w:trPr>
          <w:trHeight w:val="255"/>
          <w:jc w:val="center"/>
        </w:trPr>
        <w:tc>
          <w:tcPr>
            <w:tcW w:w="553" w:type="pct"/>
            <w:vAlign w:val="center"/>
            <w:hideMark/>
          </w:tcPr>
          <w:p w14:paraId="5F8B14FF"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75B16987"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322A59A7"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609.711 </w:t>
            </w:r>
          </w:p>
        </w:tc>
        <w:tc>
          <w:tcPr>
            <w:tcW w:w="490" w:type="pct"/>
            <w:shd w:val="clear" w:color="auto" w:fill="FFFFFF"/>
            <w:noWrap/>
            <w:vAlign w:val="center"/>
            <w:hideMark/>
          </w:tcPr>
          <w:p w14:paraId="1DBE2E04"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143.102</w:t>
            </w:r>
          </w:p>
        </w:tc>
        <w:tc>
          <w:tcPr>
            <w:tcW w:w="456" w:type="pct"/>
            <w:tcBorders>
              <w:top w:val="single" w:sz="4" w:space="0" w:color="auto"/>
              <w:left w:val="nil"/>
              <w:bottom w:val="nil"/>
              <w:right w:val="nil"/>
            </w:tcBorders>
            <w:noWrap/>
            <w:vAlign w:val="center"/>
            <w:hideMark/>
          </w:tcPr>
          <w:p w14:paraId="23F81AD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23,47%</w:t>
            </w:r>
          </w:p>
        </w:tc>
        <w:tc>
          <w:tcPr>
            <w:tcW w:w="527" w:type="pct"/>
            <w:shd w:val="clear" w:color="auto" w:fill="FFFFFF"/>
            <w:noWrap/>
            <w:vAlign w:val="center"/>
            <w:hideMark/>
          </w:tcPr>
          <w:p w14:paraId="002A2CE2"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437.300 </w:t>
            </w:r>
          </w:p>
        </w:tc>
        <w:tc>
          <w:tcPr>
            <w:tcW w:w="451" w:type="pct"/>
            <w:shd w:val="clear" w:color="auto" w:fill="FFFFFF"/>
            <w:noWrap/>
            <w:vAlign w:val="center"/>
            <w:hideMark/>
          </w:tcPr>
          <w:p w14:paraId="6D0882D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89.702 </w:t>
            </w:r>
          </w:p>
        </w:tc>
        <w:tc>
          <w:tcPr>
            <w:tcW w:w="456" w:type="pct"/>
            <w:tcBorders>
              <w:top w:val="single" w:sz="4" w:space="0" w:color="auto"/>
              <w:left w:val="nil"/>
              <w:bottom w:val="nil"/>
              <w:right w:val="nil"/>
            </w:tcBorders>
            <w:noWrap/>
            <w:vAlign w:val="center"/>
            <w:hideMark/>
          </w:tcPr>
          <w:p w14:paraId="7A912AEE"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20,51%</w:t>
            </w:r>
          </w:p>
        </w:tc>
        <w:tc>
          <w:tcPr>
            <w:tcW w:w="527" w:type="pct"/>
            <w:shd w:val="clear" w:color="auto" w:fill="FFFFFF"/>
            <w:noWrap/>
            <w:vAlign w:val="center"/>
            <w:hideMark/>
          </w:tcPr>
          <w:p w14:paraId="2E28E22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360.566 </w:t>
            </w:r>
          </w:p>
        </w:tc>
        <w:tc>
          <w:tcPr>
            <w:tcW w:w="435" w:type="pct"/>
            <w:shd w:val="clear" w:color="auto" w:fill="FFFFFF"/>
            <w:noWrap/>
            <w:vAlign w:val="center"/>
            <w:hideMark/>
          </w:tcPr>
          <w:p w14:paraId="7179999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51.384 </w:t>
            </w:r>
          </w:p>
        </w:tc>
        <w:tc>
          <w:tcPr>
            <w:tcW w:w="454" w:type="pct"/>
            <w:tcBorders>
              <w:top w:val="single" w:sz="4" w:space="0" w:color="auto"/>
              <w:left w:val="nil"/>
              <w:bottom w:val="nil"/>
              <w:right w:val="nil"/>
            </w:tcBorders>
            <w:noWrap/>
            <w:vAlign w:val="center"/>
            <w:hideMark/>
          </w:tcPr>
          <w:p w14:paraId="6106D78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14,25%</w:t>
            </w:r>
          </w:p>
        </w:tc>
      </w:tr>
      <w:tr w:rsidR="003B5193" w:rsidRPr="00AE4E8D" w14:paraId="56C91D3E" w14:textId="77777777" w:rsidTr="00FA3175">
        <w:trPr>
          <w:trHeight w:val="255"/>
          <w:jc w:val="center"/>
        </w:trPr>
        <w:tc>
          <w:tcPr>
            <w:tcW w:w="553" w:type="pct"/>
            <w:vAlign w:val="center"/>
            <w:hideMark/>
          </w:tcPr>
          <w:p w14:paraId="049233C7" w14:textId="77777777" w:rsidR="00D218D0" w:rsidRPr="00AE4E8D" w:rsidRDefault="00D218D0" w:rsidP="00E90931">
            <w:pPr>
              <w:rPr>
                <w:rFonts w:ascii="Times New Roman" w:hAnsi="Times New Roman"/>
                <w:b/>
                <w:bCs/>
                <w:sz w:val="14"/>
                <w:szCs w:val="14"/>
                <w:lang w:val="es-ES"/>
              </w:rPr>
            </w:pPr>
            <w:r w:rsidRPr="00AE4E8D">
              <w:rPr>
                <w:rFonts w:ascii="Times New Roman" w:hAnsi="Times New Roman"/>
                <w:b/>
                <w:bCs/>
                <w:sz w:val="14"/>
                <w:szCs w:val="14"/>
                <w:lang w:val="es-ES"/>
              </w:rPr>
              <w:t>Total activos que devengan intereses</w:t>
            </w:r>
          </w:p>
        </w:tc>
        <w:tc>
          <w:tcPr>
            <w:tcW w:w="124" w:type="pct"/>
            <w:noWrap/>
            <w:vAlign w:val="bottom"/>
          </w:tcPr>
          <w:p w14:paraId="77D8FAA2"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5A14128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4F17EB02"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639F926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7BBF673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78E83406"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7F20B21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245D8D4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3400A93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18678795"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3EF377A2" w14:textId="77777777" w:rsidTr="00FA3175">
        <w:trPr>
          <w:trHeight w:val="255"/>
          <w:jc w:val="center"/>
        </w:trPr>
        <w:tc>
          <w:tcPr>
            <w:tcW w:w="553" w:type="pct"/>
            <w:vAlign w:val="center"/>
            <w:hideMark/>
          </w:tcPr>
          <w:p w14:paraId="7C73C39D"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lastRenderedPageBreak/>
              <w:t xml:space="preserve"> </w:t>
            </w:r>
            <w:r w:rsidR="00D218D0" w:rsidRPr="00AE4E8D">
              <w:rPr>
                <w:rFonts w:ascii="Times New Roman" w:hAnsi="Times New Roman"/>
                <w:sz w:val="14"/>
                <w:szCs w:val="14"/>
                <w:lang w:val="es-ES"/>
              </w:rPr>
              <w:t xml:space="preserve">Pesos </w:t>
            </w:r>
          </w:p>
        </w:tc>
        <w:tc>
          <w:tcPr>
            <w:tcW w:w="124" w:type="pct"/>
            <w:noWrap/>
            <w:vAlign w:val="bottom"/>
          </w:tcPr>
          <w:p w14:paraId="0024540D"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0CB92D8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34.300.250 </w:t>
            </w:r>
          </w:p>
        </w:tc>
        <w:tc>
          <w:tcPr>
            <w:tcW w:w="490" w:type="pct"/>
            <w:shd w:val="clear" w:color="auto" w:fill="FFFFFF"/>
            <w:noWrap/>
            <w:vAlign w:val="center"/>
            <w:hideMark/>
          </w:tcPr>
          <w:p w14:paraId="37133283"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9.244.968 </w:t>
            </w:r>
          </w:p>
        </w:tc>
        <w:tc>
          <w:tcPr>
            <w:tcW w:w="456" w:type="pct"/>
            <w:noWrap/>
            <w:vAlign w:val="center"/>
            <w:hideMark/>
          </w:tcPr>
          <w:p w14:paraId="7685977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26.95%</w:t>
            </w:r>
          </w:p>
        </w:tc>
        <w:tc>
          <w:tcPr>
            <w:tcW w:w="527" w:type="pct"/>
            <w:shd w:val="clear" w:color="auto" w:fill="FFFFFF"/>
            <w:noWrap/>
            <w:vAlign w:val="center"/>
            <w:hideMark/>
          </w:tcPr>
          <w:p w14:paraId="7E113AAC"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26.969.747 </w:t>
            </w:r>
          </w:p>
        </w:tc>
        <w:tc>
          <w:tcPr>
            <w:tcW w:w="451" w:type="pct"/>
            <w:shd w:val="clear" w:color="auto" w:fill="FFFFFF"/>
            <w:noWrap/>
            <w:vAlign w:val="center"/>
            <w:hideMark/>
          </w:tcPr>
          <w:p w14:paraId="7604D563"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6.796.524 </w:t>
            </w:r>
          </w:p>
        </w:tc>
        <w:tc>
          <w:tcPr>
            <w:tcW w:w="456" w:type="pct"/>
            <w:noWrap/>
            <w:vAlign w:val="center"/>
            <w:hideMark/>
          </w:tcPr>
          <w:p w14:paraId="327B2F6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25,20%</w:t>
            </w:r>
          </w:p>
        </w:tc>
        <w:tc>
          <w:tcPr>
            <w:tcW w:w="527" w:type="pct"/>
            <w:shd w:val="clear" w:color="auto" w:fill="FFFFFF"/>
            <w:noWrap/>
            <w:vAlign w:val="center"/>
            <w:hideMark/>
          </w:tcPr>
          <w:p w14:paraId="3AD54BD2"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19.797.888 </w:t>
            </w:r>
          </w:p>
        </w:tc>
        <w:tc>
          <w:tcPr>
            <w:tcW w:w="435" w:type="pct"/>
            <w:shd w:val="clear" w:color="auto" w:fill="FFFFFF"/>
            <w:noWrap/>
            <w:vAlign w:val="center"/>
            <w:hideMark/>
          </w:tcPr>
          <w:p w14:paraId="23CA77E1"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4.804.722 </w:t>
            </w:r>
          </w:p>
        </w:tc>
        <w:tc>
          <w:tcPr>
            <w:tcW w:w="454" w:type="pct"/>
            <w:noWrap/>
            <w:vAlign w:val="center"/>
            <w:hideMark/>
          </w:tcPr>
          <w:p w14:paraId="2965BC3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24,27%</w:t>
            </w:r>
          </w:p>
        </w:tc>
      </w:tr>
      <w:tr w:rsidR="003B5193" w:rsidRPr="00AE4E8D" w14:paraId="3903BD24" w14:textId="77777777" w:rsidTr="00FA3175">
        <w:trPr>
          <w:trHeight w:val="255"/>
          <w:jc w:val="center"/>
        </w:trPr>
        <w:tc>
          <w:tcPr>
            <w:tcW w:w="553" w:type="pct"/>
            <w:vAlign w:val="center"/>
            <w:hideMark/>
          </w:tcPr>
          <w:p w14:paraId="1D4144EA"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6BFD8E49"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79487915"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6.396.060 </w:t>
            </w:r>
          </w:p>
        </w:tc>
        <w:tc>
          <w:tcPr>
            <w:tcW w:w="490" w:type="pct"/>
            <w:shd w:val="clear" w:color="auto" w:fill="FFFFFF"/>
            <w:noWrap/>
            <w:vAlign w:val="center"/>
            <w:hideMark/>
          </w:tcPr>
          <w:p w14:paraId="6C5A107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163.965</w:t>
            </w:r>
          </w:p>
        </w:tc>
        <w:tc>
          <w:tcPr>
            <w:tcW w:w="456" w:type="pct"/>
            <w:tcBorders>
              <w:top w:val="nil"/>
              <w:left w:val="nil"/>
              <w:bottom w:val="single" w:sz="4" w:space="0" w:color="auto"/>
              <w:right w:val="nil"/>
            </w:tcBorders>
            <w:noWrap/>
            <w:vAlign w:val="center"/>
            <w:hideMark/>
          </w:tcPr>
          <w:p w14:paraId="563780F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2,56%</w:t>
            </w:r>
          </w:p>
        </w:tc>
        <w:tc>
          <w:tcPr>
            <w:tcW w:w="527" w:type="pct"/>
            <w:shd w:val="clear" w:color="auto" w:fill="FFFFFF"/>
            <w:noWrap/>
            <w:vAlign w:val="center"/>
            <w:hideMark/>
          </w:tcPr>
          <w:p w14:paraId="2A5BAA2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2.894.386 </w:t>
            </w:r>
          </w:p>
        </w:tc>
        <w:tc>
          <w:tcPr>
            <w:tcW w:w="451" w:type="pct"/>
            <w:shd w:val="clear" w:color="auto" w:fill="FFFFFF"/>
            <w:noWrap/>
            <w:vAlign w:val="center"/>
            <w:hideMark/>
          </w:tcPr>
          <w:p w14:paraId="199B378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211.310 </w:t>
            </w:r>
          </w:p>
        </w:tc>
        <w:tc>
          <w:tcPr>
            <w:tcW w:w="456" w:type="pct"/>
            <w:tcBorders>
              <w:top w:val="nil"/>
              <w:left w:val="nil"/>
              <w:bottom w:val="single" w:sz="4" w:space="0" w:color="auto"/>
              <w:right w:val="nil"/>
            </w:tcBorders>
            <w:noWrap/>
            <w:vAlign w:val="center"/>
            <w:hideMark/>
          </w:tcPr>
          <w:p w14:paraId="72AE8AC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7,30%</w:t>
            </w:r>
          </w:p>
        </w:tc>
        <w:tc>
          <w:tcPr>
            <w:tcW w:w="527" w:type="pct"/>
            <w:shd w:val="clear" w:color="auto" w:fill="FFFFFF"/>
            <w:noWrap/>
            <w:vAlign w:val="center"/>
            <w:hideMark/>
          </w:tcPr>
          <w:p w14:paraId="2D0E4EA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2.825.457 </w:t>
            </w:r>
          </w:p>
        </w:tc>
        <w:tc>
          <w:tcPr>
            <w:tcW w:w="435" w:type="pct"/>
            <w:shd w:val="clear" w:color="auto" w:fill="FFFFFF"/>
            <w:noWrap/>
            <w:vAlign w:val="center"/>
            <w:hideMark/>
          </w:tcPr>
          <w:p w14:paraId="18ED3C2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134.904 </w:t>
            </w:r>
          </w:p>
        </w:tc>
        <w:tc>
          <w:tcPr>
            <w:tcW w:w="454" w:type="pct"/>
            <w:tcBorders>
              <w:top w:val="nil"/>
              <w:left w:val="nil"/>
              <w:bottom w:val="single" w:sz="4" w:space="0" w:color="auto"/>
              <w:right w:val="nil"/>
            </w:tcBorders>
            <w:noWrap/>
            <w:vAlign w:val="center"/>
            <w:hideMark/>
          </w:tcPr>
          <w:p w14:paraId="6029A74A"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4,77%</w:t>
            </w:r>
          </w:p>
        </w:tc>
      </w:tr>
      <w:tr w:rsidR="003B5193" w:rsidRPr="00AE4E8D" w14:paraId="539D5060" w14:textId="77777777" w:rsidTr="00FA3175">
        <w:trPr>
          <w:trHeight w:val="255"/>
          <w:jc w:val="center"/>
        </w:trPr>
        <w:tc>
          <w:tcPr>
            <w:tcW w:w="553" w:type="pct"/>
            <w:vAlign w:val="center"/>
            <w:hideMark/>
          </w:tcPr>
          <w:p w14:paraId="5F7BE033"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Total</w:t>
            </w:r>
          </w:p>
        </w:tc>
        <w:tc>
          <w:tcPr>
            <w:tcW w:w="124" w:type="pct"/>
            <w:noWrap/>
            <w:vAlign w:val="bottom"/>
          </w:tcPr>
          <w:p w14:paraId="2E54E15D" w14:textId="77777777" w:rsidR="00D218D0" w:rsidRPr="00AE4E8D" w:rsidRDefault="00D218D0" w:rsidP="00E90931">
            <w:pPr>
              <w:rPr>
                <w:rFonts w:ascii="Times New Roman" w:hAnsi="Times New Roman"/>
                <w:b/>
                <w:bCs/>
                <w:sz w:val="14"/>
                <w:szCs w:val="14"/>
                <w:lang w:val="es-ES"/>
              </w:rPr>
            </w:pPr>
          </w:p>
        </w:tc>
        <w:tc>
          <w:tcPr>
            <w:tcW w:w="527" w:type="pct"/>
            <w:tcBorders>
              <w:top w:val="single" w:sz="4" w:space="0" w:color="000000"/>
              <w:left w:val="nil"/>
              <w:bottom w:val="single" w:sz="4" w:space="0" w:color="auto"/>
              <w:right w:val="nil"/>
            </w:tcBorders>
            <w:shd w:val="clear" w:color="auto" w:fill="FFFFFF"/>
            <w:noWrap/>
            <w:vAlign w:val="center"/>
            <w:hideMark/>
          </w:tcPr>
          <w:p w14:paraId="095688A7"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40.696.310 </w:t>
            </w:r>
          </w:p>
        </w:tc>
        <w:tc>
          <w:tcPr>
            <w:tcW w:w="490" w:type="pct"/>
            <w:tcBorders>
              <w:top w:val="single" w:sz="4" w:space="0" w:color="000000"/>
              <w:left w:val="nil"/>
              <w:bottom w:val="single" w:sz="4" w:space="0" w:color="auto"/>
              <w:right w:val="nil"/>
            </w:tcBorders>
            <w:shd w:val="clear" w:color="auto" w:fill="FFFFFF"/>
            <w:noWrap/>
            <w:vAlign w:val="center"/>
            <w:hideMark/>
          </w:tcPr>
          <w:p w14:paraId="57C5164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9.408.93</w:t>
            </w:r>
            <w:r w:rsidR="00CF4C7B" w:rsidRPr="00AE4E8D">
              <w:rPr>
                <w:rFonts w:ascii="Times New Roman" w:hAnsi="Times New Roman"/>
                <w:sz w:val="14"/>
                <w:szCs w:val="14"/>
                <w:lang w:val="es-ES"/>
              </w:rPr>
              <w:t>3</w:t>
            </w:r>
            <w:r w:rsidR="00D218D0" w:rsidRPr="00AE4E8D">
              <w:rPr>
                <w:rFonts w:ascii="Times New Roman" w:hAnsi="Times New Roman"/>
                <w:sz w:val="14"/>
                <w:szCs w:val="14"/>
                <w:lang w:val="es-ES"/>
              </w:rPr>
              <w:t xml:space="preserve"> </w:t>
            </w:r>
          </w:p>
        </w:tc>
        <w:tc>
          <w:tcPr>
            <w:tcW w:w="456" w:type="pct"/>
            <w:tcBorders>
              <w:top w:val="nil"/>
              <w:left w:val="nil"/>
              <w:bottom w:val="single" w:sz="4" w:space="0" w:color="auto"/>
              <w:right w:val="nil"/>
            </w:tcBorders>
            <w:noWrap/>
            <w:vAlign w:val="center"/>
            <w:hideMark/>
          </w:tcPr>
          <w:p w14:paraId="3EF58B8C"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23,12%</w:t>
            </w:r>
          </w:p>
        </w:tc>
        <w:tc>
          <w:tcPr>
            <w:tcW w:w="527" w:type="pct"/>
            <w:tcBorders>
              <w:top w:val="single" w:sz="4" w:space="0" w:color="000000"/>
              <w:left w:val="nil"/>
              <w:bottom w:val="single" w:sz="4" w:space="0" w:color="auto"/>
              <w:right w:val="nil"/>
            </w:tcBorders>
            <w:shd w:val="clear" w:color="auto" w:fill="FFFFFF"/>
            <w:noWrap/>
            <w:vAlign w:val="center"/>
            <w:hideMark/>
          </w:tcPr>
          <w:p w14:paraId="6CF75233"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29.864.133 </w:t>
            </w:r>
          </w:p>
        </w:tc>
        <w:tc>
          <w:tcPr>
            <w:tcW w:w="451" w:type="pct"/>
            <w:tcBorders>
              <w:top w:val="single" w:sz="4" w:space="0" w:color="000000"/>
              <w:left w:val="nil"/>
              <w:bottom w:val="single" w:sz="4" w:space="0" w:color="auto"/>
              <w:right w:val="nil"/>
            </w:tcBorders>
            <w:shd w:val="clear" w:color="auto" w:fill="FFFFFF"/>
            <w:noWrap/>
            <w:vAlign w:val="center"/>
            <w:hideMark/>
          </w:tcPr>
          <w:p w14:paraId="67194E4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7.007.834 </w:t>
            </w:r>
          </w:p>
        </w:tc>
        <w:tc>
          <w:tcPr>
            <w:tcW w:w="456" w:type="pct"/>
            <w:tcBorders>
              <w:top w:val="nil"/>
              <w:left w:val="nil"/>
              <w:bottom w:val="single" w:sz="4" w:space="0" w:color="auto"/>
              <w:right w:val="nil"/>
            </w:tcBorders>
            <w:noWrap/>
            <w:vAlign w:val="center"/>
            <w:hideMark/>
          </w:tcPr>
          <w:p w14:paraId="50DD25C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23,47%</w:t>
            </w:r>
          </w:p>
        </w:tc>
        <w:tc>
          <w:tcPr>
            <w:tcW w:w="527" w:type="pct"/>
            <w:tcBorders>
              <w:top w:val="single" w:sz="4" w:space="0" w:color="000000"/>
              <w:left w:val="nil"/>
              <w:bottom w:val="single" w:sz="4" w:space="0" w:color="auto"/>
              <w:right w:val="nil"/>
            </w:tcBorders>
            <w:shd w:val="clear" w:color="auto" w:fill="FFFFFF"/>
            <w:noWrap/>
            <w:vAlign w:val="center"/>
            <w:hideMark/>
          </w:tcPr>
          <w:p w14:paraId="4EFE31C8"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22.623.345 </w:t>
            </w:r>
          </w:p>
        </w:tc>
        <w:tc>
          <w:tcPr>
            <w:tcW w:w="435" w:type="pct"/>
            <w:tcBorders>
              <w:top w:val="single" w:sz="4" w:space="0" w:color="000000"/>
              <w:left w:val="nil"/>
              <w:bottom w:val="single" w:sz="4" w:space="0" w:color="auto"/>
              <w:right w:val="nil"/>
            </w:tcBorders>
            <w:shd w:val="clear" w:color="auto" w:fill="FFFFFF"/>
            <w:noWrap/>
            <w:vAlign w:val="center"/>
            <w:hideMark/>
          </w:tcPr>
          <w:p w14:paraId="08C8A93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4.939.626 </w:t>
            </w:r>
          </w:p>
        </w:tc>
        <w:tc>
          <w:tcPr>
            <w:tcW w:w="454" w:type="pct"/>
            <w:tcBorders>
              <w:top w:val="nil"/>
              <w:left w:val="nil"/>
              <w:bottom w:val="single" w:sz="4" w:space="0" w:color="auto"/>
              <w:right w:val="nil"/>
            </w:tcBorders>
            <w:noWrap/>
            <w:vAlign w:val="center"/>
            <w:hideMark/>
          </w:tcPr>
          <w:p w14:paraId="15114C00"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21,83%</w:t>
            </w:r>
          </w:p>
        </w:tc>
      </w:tr>
      <w:tr w:rsidR="003B5193" w:rsidRPr="00AE4E8D" w14:paraId="47B86868" w14:textId="77777777" w:rsidTr="00FA3175">
        <w:trPr>
          <w:trHeight w:val="255"/>
          <w:jc w:val="center"/>
        </w:trPr>
        <w:tc>
          <w:tcPr>
            <w:tcW w:w="553" w:type="pct"/>
            <w:vAlign w:val="center"/>
            <w:hideMark/>
          </w:tcPr>
          <w:p w14:paraId="55214B70" w14:textId="77777777" w:rsidR="00D218D0" w:rsidRPr="00AE4E8D" w:rsidRDefault="00D218D0" w:rsidP="00E90931">
            <w:pPr>
              <w:rPr>
                <w:rFonts w:ascii="Times New Roman" w:hAnsi="Times New Roman"/>
                <w:b/>
                <w:bCs/>
                <w:sz w:val="14"/>
                <w:szCs w:val="14"/>
                <w:lang w:val="es-ES"/>
              </w:rPr>
            </w:pPr>
            <w:r w:rsidRPr="00AE4E8D">
              <w:rPr>
                <w:rFonts w:ascii="Times New Roman" w:hAnsi="Times New Roman"/>
                <w:b/>
                <w:bCs/>
                <w:sz w:val="14"/>
                <w:szCs w:val="14"/>
                <w:lang w:val="es-ES"/>
              </w:rPr>
              <w:t>Activos que no devengan intereses</w:t>
            </w:r>
          </w:p>
        </w:tc>
        <w:tc>
          <w:tcPr>
            <w:tcW w:w="124" w:type="pct"/>
            <w:noWrap/>
            <w:vAlign w:val="bottom"/>
          </w:tcPr>
          <w:p w14:paraId="7957FC59"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3F78DB6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shd w:val="clear" w:color="auto" w:fill="FFFFFF"/>
            <w:noWrap/>
            <w:vAlign w:val="center"/>
            <w:hideMark/>
          </w:tcPr>
          <w:p w14:paraId="1A865FB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301343D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6E1DED0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shd w:val="clear" w:color="auto" w:fill="FFFFFF"/>
            <w:noWrap/>
            <w:vAlign w:val="center"/>
            <w:hideMark/>
          </w:tcPr>
          <w:p w14:paraId="0D1A737F"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6" w:type="pct"/>
            <w:shd w:val="clear" w:color="auto" w:fill="FFFFFF"/>
            <w:noWrap/>
            <w:vAlign w:val="center"/>
            <w:hideMark/>
          </w:tcPr>
          <w:p w14:paraId="4ACD75B9"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527" w:type="pct"/>
            <w:shd w:val="clear" w:color="auto" w:fill="FFFFFF"/>
            <w:noWrap/>
            <w:vAlign w:val="center"/>
            <w:hideMark/>
          </w:tcPr>
          <w:p w14:paraId="472A28F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35" w:type="pct"/>
            <w:shd w:val="clear" w:color="auto" w:fill="FFFFFF"/>
            <w:noWrap/>
            <w:vAlign w:val="center"/>
            <w:hideMark/>
          </w:tcPr>
          <w:p w14:paraId="3771DDF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4" w:type="pct"/>
            <w:shd w:val="clear" w:color="auto" w:fill="FFFFFF"/>
            <w:noWrap/>
            <w:vAlign w:val="center"/>
            <w:hideMark/>
          </w:tcPr>
          <w:p w14:paraId="265C8DCB"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0E61D3" w:rsidRPr="00AE4E8D" w14:paraId="245365E7" w14:textId="77777777" w:rsidTr="000400C8">
        <w:trPr>
          <w:trHeight w:val="255"/>
          <w:jc w:val="center"/>
        </w:trPr>
        <w:tc>
          <w:tcPr>
            <w:tcW w:w="553" w:type="pct"/>
            <w:vAlign w:val="center"/>
            <w:hideMark/>
          </w:tcPr>
          <w:p w14:paraId="088A3873"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Disponibilidades</w:t>
            </w:r>
          </w:p>
        </w:tc>
        <w:tc>
          <w:tcPr>
            <w:tcW w:w="124" w:type="pct"/>
            <w:noWrap/>
            <w:vAlign w:val="bottom"/>
          </w:tcPr>
          <w:p w14:paraId="39A43F03" w14:textId="77777777" w:rsidR="00D218D0" w:rsidRPr="00AE4E8D" w:rsidRDefault="00D218D0" w:rsidP="00E90931">
            <w:pPr>
              <w:rPr>
                <w:rFonts w:ascii="Times New Roman" w:hAnsi="Times New Roman"/>
                <w:b/>
                <w:bCs/>
                <w:sz w:val="14"/>
                <w:szCs w:val="14"/>
                <w:lang w:val="es-ES"/>
              </w:rPr>
            </w:pPr>
          </w:p>
        </w:tc>
        <w:tc>
          <w:tcPr>
            <w:tcW w:w="527" w:type="pct"/>
            <w:noWrap/>
            <w:vAlign w:val="center"/>
          </w:tcPr>
          <w:p w14:paraId="6D122882" w14:textId="77777777" w:rsidR="00D218D0" w:rsidRPr="00AE4E8D" w:rsidRDefault="00D218D0" w:rsidP="00FA3175">
            <w:pPr>
              <w:jc w:val="right"/>
              <w:rPr>
                <w:rFonts w:ascii="Times New Roman" w:hAnsi="Times New Roman"/>
                <w:sz w:val="14"/>
                <w:szCs w:val="14"/>
                <w:lang w:val="es-ES"/>
              </w:rPr>
            </w:pPr>
          </w:p>
        </w:tc>
        <w:tc>
          <w:tcPr>
            <w:tcW w:w="490" w:type="pct"/>
            <w:noWrap/>
            <w:vAlign w:val="center"/>
          </w:tcPr>
          <w:p w14:paraId="6CA8FBEF"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29D5F1A4"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0FA3F720" w14:textId="77777777" w:rsidR="00D218D0" w:rsidRPr="00AE4E8D" w:rsidRDefault="00D218D0" w:rsidP="00FA3175">
            <w:pPr>
              <w:jc w:val="right"/>
              <w:rPr>
                <w:rFonts w:ascii="Times New Roman" w:hAnsi="Times New Roman"/>
                <w:sz w:val="14"/>
                <w:szCs w:val="14"/>
                <w:lang w:val="es-ES"/>
              </w:rPr>
            </w:pPr>
          </w:p>
        </w:tc>
        <w:tc>
          <w:tcPr>
            <w:tcW w:w="451" w:type="pct"/>
            <w:noWrap/>
            <w:vAlign w:val="center"/>
          </w:tcPr>
          <w:p w14:paraId="204C323C"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262FF6B3"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1917EEC5" w14:textId="77777777" w:rsidR="00D218D0" w:rsidRPr="00AE4E8D" w:rsidRDefault="00D218D0" w:rsidP="00FA3175">
            <w:pPr>
              <w:jc w:val="right"/>
              <w:rPr>
                <w:rFonts w:ascii="Times New Roman" w:hAnsi="Times New Roman"/>
                <w:sz w:val="14"/>
                <w:szCs w:val="14"/>
                <w:lang w:val="es-ES"/>
              </w:rPr>
            </w:pPr>
          </w:p>
        </w:tc>
        <w:tc>
          <w:tcPr>
            <w:tcW w:w="435" w:type="pct"/>
            <w:noWrap/>
            <w:vAlign w:val="center"/>
          </w:tcPr>
          <w:p w14:paraId="462FC8D1"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3237DE2E" w14:textId="77777777" w:rsidR="00D218D0" w:rsidRPr="00AE4E8D" w:rsidRDefault="00D218D0" w:rsidP="00FA3175">
            <w:pPr>
              <w:jc w:val="right"/>
              <w:rPr>
                <w:rFonts w:ascii="Times New Roman" w:hAnsi="Times New Roman"/>
                <w:sz w:val="14"/>
                <w:szCs w:val="14"/>
                <w:lang w:val="es-ES"/>
              </w:rPr>
            </w:pPr>
          </w:p>
        </w:tc>
      </w:tr>
      <w:tr w:rsidR="003B5193" w:rsidRPr="00AE4E8D" w14:paraId="76B9498A" w14:textId="77777777" w:rsidTr="00FA3175">
        <w:trPr>
          <w:trHeight w:val="255"/>
          <w:jc w:val="center"/>
        </w:trPr>
        <w:tc>
          <w:tcPr>
            <w:tcW w:w="553" w:type="pct"/>
            <w:vAlign w:val="center"/>
            <w:hideMark/>
          </w:tcPr>
          <w:p w14:paraId="2E790491"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73B10A9C"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69F0FE0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503.388 </w:t>
            </w:r>
          </w:p>
        </w:tc>
        <w:tc>
          <w:tcPr>
            <w:tcW w:w="490" w:type="pct"/>
            <w:noWrap/>
            <w:vAlign w:val="center"/>
          </w:tcPr>
          <w:p w14:paraId="5D4D459A"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78740B98"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16EDC094"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450.740 </w:t>
            </w:r>
          </w:p>
        </w:tc>
        <w:tc>
          <w:tcPr>
            <w:tcW w:w="451" w:type="pct"/>
            <w:noWrap/>
            <w:vAlign w:val="center"/>
          </w:tcPr>
          <w:p w14:paraId="3A01B912"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F25B011"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13E075C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571.941 </w:t>
            </w:r>
          </w:p>
        </w:tc>
        <w:tc>
          <w:tcPr>
            <w:tcW w:w="435" w:type="pct"/>
            <w:noWrap/>
            <w:vAlign w:val="center"/>
          </w:tcPr>
          <w:p w14:paraId="2513725E"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76174B86" w14:textId="77777777" w:rsidR="00D218D0" w:rsidRPr="00AE4E8D" w:rsidRDefault="00D218D0" w:rsidP="00FA3175">
            <w:pPr>
              <w:jc w:val="right"/>
              <w:rPr>
                <w:rFonts w:ascii="Times New Roman" w:hAnsi="Times New Roman"/>
                <w:sz w:val="14"/>
                <w:szCs w:val="14"/>
                <w:lang w:val="es-ES"/>
              </w:rPr>
            </w:pPr>
          </w:p>
        </w:tc>
      </w:tr>
      <w:tr w:rsidR="003B5193" w:rsidRPr="00AE4E8D" w14:paraId="4A77FEBC" w14:textId="77777777" w:rsidTr="00FA3175">
        <w:trPr>
          <w:trHeight w:val="255"/>
          <w:jc w:val="center"/>
        </w:trPr>
        <w:tc>
          <w:tcPr>
            <w:tcW w:w="553" w:type="pct"/>
            <w:vAlign w:val="center"/>
            <w:hideMark/>
          </w:tcPr>
          <w:p w14:paraId="3D4728B2"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6DF10E5A"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53C07CC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343.765 </w:t>
            </w:r>
          </w:p>
        </w:tc>
        <w:tc>
          <w:tcPr>
            <w:tcW w:w="490" w:type="pct"/>
            <w:noWrap/>
            <w:vAlign w:val="center"/>
          </w:tcPr>
          <w:p w14:paraId="1A805961"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48F1ABB7"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000000"/>
              <w:right w:val="nil"/>
            </w:tcBorders>
            <w:noWrap/>
            <w:vAlign w:val="center"/>
            <w:hideMark/>
          </w:tcPr>
          <w:p w14:paraId="7A555E4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305.381 </w:t>
            </w:r>
          </w:p>
        </w:tc>
        <w:tc>
          <w:tcPr>
            <w:tcW w:w="451" w:type="pct"/>
            <w:noWrap/>
            <w:vAlign w:val="center"/>
          </w:tcPr>
          <w:p w14:paraId="380E989E"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2301C289"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000000"/>
              <w:right w:val="nil"/>
            </w:tcBorders>
            <w:noWrap/>
            <w:vAlign w:val="center"/>
            <w:hideMark/>
          </w:tcPr>
          <w:p w14:paraId="1590D325"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279.589 </w:t>
            </w:r>
          </w:p>
        </w:tc>
        <w:tc>
          <w:tcPr>
            <w:tcW w:w="435" w:type="pct"/>
            <w:noWrap/>
            <w:vAlign w:val="center"/>
          </w:tcPr>
          <w:p w14:paraId="7000EFF4"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6F0268B6" w14:textId="77777777" w:rsidR="00D218D0" w:rsidRPr="00AE4E8D" w:rsidRDefault="00D218D0" w:rsidP="00FA3175">
            <w:pPr>
              <w:jc w:val="right"/>
              <w:rPr>
                <w:rFonts w:ascii="Times New Roman" w:hAnsi="Times New Roman"/>
                <w:sz w:val="14"/>
                <w:szCs w:val="14"/>
                <w:lang w:val="es-ES"/>
              </w:rPr>
            </w:pPr>
          </w:p>
        </w:tc>
      </w:tr>
      <w:tr w:rsidR="003B5193" w:rsidRPr="00AE4E8D" w14:paraId="73E91593" w14:textId="77777777" w:rsidTr="00FA3175">
        <w:trPr>
          <w:trHeight w:val="255"/>
          <w:jc w:val="center"/>
        </w:trPr>
        <w:tc>
          <w:tcPr>
            <w:tcW w:w="553" w:type="pct"/>
            <w:vAlign w:val="center"/>
            <w:hideMark/>
          </w:tcPr>
          <w:p w14:paraId="78744C6F"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20A52BDF"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7B90D31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847.153 </w:t>
            </w:r>
          </w:p>
        </w:tc>
        <w:tc>
          <w:tcPr>
            <w:tcW w:w="490" w:type="pct"/>
            <w:noWrap/>
            <w:vAlign w:val="center"/>
          </w:tcPr>
          <w:p w14:paraId="7DFE10D5"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16D8BDAF"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13F19142"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756.121 </w:t>
            </w:r>
          </w:p>
        </w:tc>
        <w:tc>
          <w:tcPr>
            <w:tcW w:w="451" w:type="pct"/>
            <w:noWrap/>
            <w:vAlign w:val="center"/>
          </w:tcPr>
          <w:p w14:paraId="355E4AAC"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7D637D13"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6CC244E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851.530 </w:t>
            </w:r>
          </w:p>
        </w:tc>
        <w:tc>
          <w:tcPr>
            <w:tcW w:w="435" w:type="pct"/>
            <w:noWrap/>
            <w:vAlign w:val="center"/>
          </w:tcPr>
          <w:p w14:paraId="73D932B1"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6E7AB11A" w14:textId="77777777" w:rsidR="00D218D0" w:rsidRPr="00AE4E8D" w:rsidRDefault="00D218D0" w:rsidP="00FA3175">
            <w:pPr>
              <w:jc w:val="right"/>
              <w:rPr>
                <w:rFonts w:ascii="Times New Roman" w:hAnsi="Times New Roman"/>
                <w:sz w:val="14"/>
                <w:szCs w:val="14"/>
                <w:lang w:val="es-ES"/>
              </w:rPr>
            </w:pPr>
          </w:p>
        </w:tc>
      </w:tr>
      <w:tr w:rsidR="003B5193" w:rsidRPr="00AE4E8D" w14:paraId="4A1F8C15" w14:textId="77777777" w:rsidTr="00FA3175">
        <w:trPr>
          <w:trHeight w:val="255"/>
          <w:jc w:val="center"/>
        </w:trPr>
        <w:tc>
          <w:tcPr>
            <w:tcW w:w="553" w:type="pct"/>
            <w:vAlign w:val="center"/>
            <w:hideMark/>
          </w:tcPr>
          <w:p w14:paraId="4FED8E3B"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Activo fijo</w:t>
            </w:r>
          </w:p>
        </w:tc>
        <w:tc>
          <w:tcPr>
            <w:tcW w:w="124" w:type="pct"/>
            <w:noWrap/>
            <w:vAlign w:val="bottom"/>
          </w:tcPr>
          <w:p w14:paraId="67764193"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3EBEA3EE"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noWrap/>
            <w:vAlign w:val="center"/>
          </w:tcPr>
          <w:p w14:paraId="32A3C125"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4F35808E"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5291B8CD"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noWrap/>
            <w:vAlign w:val="center"/>
          </w:tcPr>
          <w:p w14:paraId="3B6B7BEC"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257DD258"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66FB49FD" w14:textId="77777777" w:rsidR="00D218D0" w:rsidRPr="00AE4E8D" w:rsidRDefault="00D218D0" w:rsidP="00FA3175">
            <w:pPr>
              <w:jc w:val="right"/>
              <w:rPr>
                <w:rFonts w:ascii="Times New Roman" w:hAnsi="Times New Roman"/>
                <w:sz w:val="14"/>
                <w:szCs w:val="14"/>
                <w:lang w:val="es-ES"/>
              </w:rPr>
            </w:pPr>
          </w:p>
        </w:tc>
        <w:tc>
          <w:tcPr>
            <w:tcW w:w="435" w:type="pct"/>
            <w:noWrap/>
            <w:vAlign w:val="center"/>
          </w:tcPr>
          <w:p w14:paraId="51526ED0"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6271FDB9" w14:textId="77777777" w:rsidR="00D218D0" w:rsidRPr="00AE4E8D" w:rsidRDefault="00D218D0" w:rsidP="00FA3175">
            <w:pPr>
              <w:jc w:val="right"/>
              <w:rPr>
                <w:rFonts w:ascii="Times New Roman" w:hAnsi="Times New Roman"/>
                <w:sz w:val="14"/>
                <w:szCs w:val="14"/>
                <w:lang w:val="es-ES"/>
              </w:rPr>
            </w:pPr>
          </w:p>
        </w:tc>
      </w:tr>
      <w:tr w:rsidR="003B5193" w:rsidRPr="00AE4E8D" w14:paraId="2DE1496E" w14:textId="77777777" w:rsidTr="00FA3175">
        <w:trPr>
          <w:trHeight w:val="255"/>
          <w:jc w:val="center"/>
        </w:trPr>
        <w:tc>
          <w:tcPr>
            <w:tcW w:w="553" w:type="pct"/>
            <w:vAlign w:val="center"/>
            <w:hideMark/>
          </w:tcPr>
          <w:p w14:paraId="374DCE5B"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3EF252E6"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7163133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563.500 </w:t>
            </w:r>
          </w:p>
        </w:tc>
        <w:tc>
          <w:tcPr>
            <w:tcW w:w="490" w:type="pct"/>
            <w:noWrap/>
            <w:vAlign w:val="center"/>
          </w:tcPr>
          <w:p w14:paraId="00E57177"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7D3E8A2A"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63476657"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251.144 </w:t>
            </w:r>
          </w:p>
        </w:tc>
        <w:tc>
          <w:tcPr>
            <w:tcW w:w="451" w:type="pct"/>
            <w:noWrap/>
            <w:vAlign w:val="center"/>
          </w:tcPr>
          <w:p w14:paraId="452E115D"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135CFCFF"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71627EC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196.697 </w:t>
            </w:r>
          </w:p>
        </w:tc>
        <w:tc>
          <w:tcPr>
            <w:tcW w:w="435" w:type="pct"/>
            <w:noWrap/>
            <w:vAlign w:val="center"/>
          </w:tcPr>
          <w:p w14:paraId="6AA77934"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35E1AE1C" w14:textId="77777777" w:rsidR="00D218D0" w:rsidRPr="00AE4E8D" w:rsidRDefault="00D218D0" w:rsidP="00FA3175">
            <w:pPr>
              <w:jc w:val="right"/>
              <w:rPr>
                <w:rFonts w:ascii="Times New Roman" w:hAnsi="Times New Roman"/>
                <w:sz w:val="14"/>
                <w:szCs w:val="14"/>
                <w:lang w:val="es-ES"/>
              </w:rPr>
            </w:pPr>
          </w:p>
        </w:tc>
      </w:tr>
      <w:tr w:rsidR="003B5193" w:rsidRPr="00AE4E8D" w14:paraId="5466B5E9" w14:textId="77777777" w:rsidTr="00FA3175">
        <w:trPr>
          <w:trHeight w:val="255"/>
          <w:jc w:val="center"/>
        </w:trPr>
        <w:tc>
          <w:tcPr>
            <w:tcW w:w="553" w:type="pct"/>
            <w:vAlign w:val="center"/>
            <w:hideMark/>
          </w:tcPr>
          <w:p w14:paraId="36CAD1F6"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1DE58B68"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0A21E1BC"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90" w:type="pct"/>
            <w:noWrap/>
            <w:vAlign w:val="center"/>
          </w:tcPr>
          <w:p w14:paraId="50DDB1AD"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3F62585"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000000"/>
              <w:right w:val="nil"/>
            </w:tcBorders>
            <w:noWrap/>
            <w:vAlign w:val="center"/>
            <w:hideMark/>
          </w:tcPr>
          <w:p w14:paraId="750A39D4"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51" w:type="pct"/>
            <w:noWrap/>
            <w:vAlign w:val="center"/>
          </w:tcPr>
          <w:p w14:paraId="2459640B"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145FAE60"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000000"/>
              <w:right w:val="nil"/>
            </w:tcBorders>
            <w:noWrap/>
            <w:vAlign w:val="center"/>
            <w:hideMark/>
          </w:tcPr>
          <w:p w14:paraId="35B14B14"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w:t>
            </w:r>
          </w:p>
        </w:tc>
        <w:tc>
          <w:tcPr>
            <w:tcW w:w="435" w:type="pct"/>
            <w:noWrap/>
            <w:vAlign w:val="center"/>
          </w:tcPr>
          <w:p w14:paraId="6D9A0C90"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49E0E965" w14:textId="77777777" w:rsidR="00D218D0" w:rsidRPr="00AE4E8D" w:rsidRDefault="00D218D0" w:rsidP="00FA3175">
            <w:pPr>
              <w:jc w:val="right"/>
              <w:rPr>
                <w:rFonts w:ascii="Times New Roman" w:hAnsi="Times New Roman"/>
                <w:sz w:val="14"/>
                <w:szCs w:val="14"/>
                <w:lang w:val="es-ES"/>
              </w:rPr>
            </w:pPr>
          </w:p>
        </w:tc>
      </w:tr>
      <w:tr w:rsidR="003B5193" w:rsidRPr="00AE4E8D" w14:paraId="3676C4AF" w14:textId="77777777" w:rsidTr="00FA3175">
        <w:trPr>
          <w:trHeight w:val="255"/>
          <w:jc w:val="center"/>
        </w:trPr>
        <w:tc>
          <w:tcPr>
            <w:tcW w:w="553" w:type="pct"/>
            <w:vAlign w:val="center"/>
            <w:hideMark/>
          </w:tcPr>
          <w:p w14:paraId="035D8CE8"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36F34AEB"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2E8DDA6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563.500 </w:t>
            </w:r>
          </w:p>
        </w:tc>
        <w:tc>
          <w:tcPr>
            <w:tcW w:w="490" w:type="pct"/>
            <w:noWrap/>
            <w:vAlign w:val="center"/>
          </w:tcPr>
          <w:p w14:paraId="1300BB19"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1E167677"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5ECB788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251.144 </w:t>
            </w:r>
          </w:p>
        </w:tc>
        <w:tc>
          <w:tcPr>
            <w:tcW w:w="451" w:type="pct"/>
            <w:noWrap/>
            <w:vAlign w:val="center"/>
          </w:tcPr>
          <w:p w14:paraId="3EDC20A6"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1DDD43F8"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4C853565"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196.697 </w:t>
            </w:r>
          </w:p>
        </w:tc>
        <w:tc>
          <w:tcPr>
            <w:tcW w:w="435" w:type="pct"/>
            <w:noWrap/>
            <w:vAlign w:val="center"/>
          </w:tcPr>
          <w:p w14:paraId="2D5E354A"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122F2A4F" w14:textId="77777777" w:rsidR="00D218D0" w:rsidRPr="00AE4E8D" w:rsidRDefault="00D218D0" w:rsidP="00FA3175">
            <w:pPr>
              <w:jc w:val="right"/>
              <w:rPr>
                <w:rFonts w:ascii="Times New Roman" w:hAnsi="Times New Roman"/>
                <w:sz w:val="14"/>
                <w:szCs w:val="14"/>
                <w:lang w:val="es-ES"/>
              </w:rPr>
            </w:pPr>
          </w:p>
        </w:tc>
      </w:tr>
      <w:tr w:rsidR="003B5193" w:rsidRPr="00AE4E8D" w14:paraId="1CDF1859" w14:textId="77777777" w:rsidTr="00FA3175">
        <w:trPr>
          <w:trHeight w:val="255"/>
          <w:jc w:val="center"/>
        </w:trPr>
        <w:tc>
          <w:tcPr>
            <w:tcW w:w="553" w:type="pct"/>
            <w:vAlign w:val="center"/>
            <w:hideMark/>
          </w:tcPr>
          <w:p w14:paraId="056438F5"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Otros</w:t>
            </w:r>
          </w:p>
        </w:tc>
        <w:tc>
          <w:tcPr>
            <w:tcW w:w="124" w:type="pct"/>
            <w:noWrap/>
            <w:vAlign w:val="bottom"/>
          </w:tcPr>
          <w:p w14:paraId="70E9B823"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514A0C34"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noWrap/>
            <w:vAlign w:val="center"/>
          </w:tcPr>
          <w:p w14:paraId="20C2F98A"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72EBE405"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5E977931"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noWrap/>
            <w:vAlign w:val="center"/>
          </w:tcPr>
          <w:p w14:paraId="741143DC"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556540D0"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28744900" w14:textId="77777777" w:rsidR="00D218D0" w:rsidRPr="00AE4E8D" w:rsidRDefault="00D218D0" w:rsidP="00FA3175">
            <w:pPr>
              <w:jc w:val="right"/>
              <w:rPr>
                <w:rFonts w:ascii="Times New Roman" w:hAnsi="Times New Roman"/>
                <w:sz w:val="14"/>
                <w:szCs w:val="14"/>
                <w:lang w:val="es-ES"/>
              </w:rPr>
            </w:pPr>
          </w:p>
        </w:tc>
        <w:tc>
          <w:tcPr>
            <w:tcW w:w="435" w:type="pct"/>
            <w:noWrap/>
            <w:vAlign w:val="center"/>
          </w:tcPr>
          <w:p w14:paraId="10214BE3"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6868F07F" w14:textId="77777777" w:rsidR="00D218D0" w:rsidRPr="00AE4E8D" w:rsidRDefault="00D218D0" w:rsidP="00FA3175">
            <w:pPr>
              <w:jc w:val="right"/>
              <w:rPr>
                <w:rFonts w:ascii="Times New Roman" w:hAnsi="Times New Roman"/>
                <w:sz w:val="14"/>
                <w:szCs w:val="14"/>
                <w:lang w:val="es-ES"/>
              </w:rPr>
            </w:pPr>
          </w:p>
        </w:tc>
      </w:tr>
      <w:tr w:rsidR="003B5193" w:rsidRPr="00AE4E8D" w14:paraId="72CA1881" w14:textId="77777777" w:rsidTr="00FA3175">
        <w:trPr>
          <w:trHeight w:val="255"/>
          <w:jc w:val="center"/>
        </w:trPr>
        <w:tc>
          <w:tcPr>
            <w:tcW w:w="553" w:type="pct"/>
            <w:vAlign w:val="center"/>
            <w:hideMark/>
          </w:tcPr>
          <w:p w14:paraId="35B5CA80"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1A2664DF"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4DF886B8"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5.458.468 </w:t>
            </w:r>
          </w:p>
        </w:tc>
        <w:tc>
          <w:tcPr>
            <w:tcW w:w="490" w:type="pct"/>
            <w:noWrap/>
            <w:vAlign w:val="center"/>
          </w:tcPr>
          <w:p w14:paraId="5255142A"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24F36880"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28FCB6C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3.016.033 </w:t>
            </w:r>
          </w:p>
        </w:tc>
        <w:tc>
          <w:tcPr>
            <w:tcW w:w="451" w:type="pct"/>
            <w:noWrap/>
            <w:vAlign w:val="center"/>
          </w:tcPr>
          <w:p w14:paraId="01FD3762"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A424F77"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0CEF702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2.259.689 </w:t>
            </w:r>
          </w:p>
        </w:tc>
        <w:tc>
          <w:tcPr>
            <w:tcW w:w="435" w:type="pct"/>
            <w:noWrap/>
            <w:vAlign w:val="center"/>
          </w:tcPr>
          <w:p w14:paraId="58AE9CE6"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3DC612C0" w14:textId="77777777" w:rsidR="00D218D0" w:rsidRPr="00AE4E8D" w:rsidRDefault="00D218D0" w:rsidP="00FA3175">
            <w:pPr>
              <w:jc w:val="right"/>
              <w:rPr>
                <w:rFonts w:ascii="Times New Roman" w:hAnsi="Times New Roman"/>
                <w:sz w:val="14"/>
                <w:szCs w:val="14"/>
                <w:lang w:val="es-ES"/>
              </w:rPr>
            </w:pPr>
          </w:p>
        </w:tc>
      </w:tr>
      <w:tr w:rsidR="003B5193" w:rsidRPr="00AE4E8D" w14:paraId="4EB9DD92" w14:textId="77777777" w:rsidTr="00FA3175">
        <w:trPr>
          <w:trHeight w:val="255"/>
          <w:jc w:val="center"/>
        </w:trPr>
        <w:tc>
          <w:tcPr>
            <w:tcW w:w="553" w:type="pct"/>
            <w:vAlign w:val="center"/>
            <w:hideMark/>
          </w:tcPr>
          <w:p w14:paraId="4E1AF503"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7B366082"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7021550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895.761 </w:t>
            </w:r>
          </w:p>
        </w:tc>
        <w:tc>
          <w:tcPr>
            <w:tcW w:w="490" w:type="pct"/>
            <w:noWrap/>
            <w:vAlign w:val="center"/>
          </w:tcPr>
          <w:p w14:paraId="49C907C6"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403C235A"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000000"/>
              <w:right w:val="nil"/>
            </w:tcBorders>
            <w:noWrap/>
            <w:vAlign w:val="center"/>
            <w:hideMark/>
          </w:tcPr>
          <w:p w14:paraId="5E25072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230.356 </w:t>
            </w:r>
          </w:p>
        </w:tc>
        <w:tc>
          <w:tcPr>
            <w:tcW w:w="451" w:type="pct"/>
            <w:noWrap/>
            <w:vAlign w:val="center"/>
          </w:tcPr>
          <w:p w14:paraId="4D90BD6F"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44C029BC"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000000"/>
              <w:right w:val="nil"/>
            </w:tcBorders>
            <w:noWrap/>
            <w:vAlign w:val="center"/>
            <w:hideMark/>
          </w:tcPr>
          <w:p w14:paraId="1B0DE60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312.582 </w:t>
            </w:r>
          </w:p>
        </w:tc>
        <w:tc>
          <w:tcPr>
            <w:tcW w:w="435" w:type="pct"/>
            <w:noWrap/>
            <w:vAlign w:val="center"/>
          </w:tcPr>
          <w:p w14:paraId="7F3EF82D"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2DC3E1CA" w14:textId="77777777" w:rsidR="00D218D0" w:rsidRPr="00AE4E8D" w:rsidRDefault="00D218D0" w:rsidP="00FA3175">
            <w:pPr>
              <w:jc w:val="right"/>
              <w:rPr>
                <w:rFonts w:ascii="Times New Roman" w:hAnsi="Times New Roman"/>
                <w:sz w:val="14"/>
                <w:szCs w:val="14"/>
                <w:lang w:val="es-ES"/>
              </w:rPr>
            </w:pPr>
          </w:p>
        </w:tc>
      </w:tr>
      <w:tr w:rsidR="003B5193" w:rsidRPr="00AE4E8D" w14:paraId="607692E2" w14:textId="77777777" w:rsidTr="00FA3175">
        <w:trPr>
          <w:trHeight w:val="255"/>
          <w:jc w:val="center"/>
        </w:trPr>
        <w:tc>
          <w:tcPr>
            <w:tcW w:w="553" w:type="pct"/>
            <w:vAlign w:val="center"/>
            <w:hideMark/>
          </w:tcPr>
          <w:p w14:paraId="4B76060D"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09D2FCAA" w14:textId="77777777" w:rsidR="00D218D0" w:rsidRPr="00AE4E8D" w:rsidRDefault="00D218D0" w:rsidP="00E90931">
            <w:pPr>
              <w:rPr>
                <w:rFonts w:ascii="Times New Roman" w:hAnsi="Times New Roman"/>
                <w:sz w:val="14"/>
                <w:szCs w:val="14"/>
                <w:lang w:val="es-ES"/>
              </w:rPr>
            </w:pPr>
          </w:p>
        </w:tc>
        <w:tc>
          <w:tcPr>
            <w:tcW w:w="527" w:type="pct"/>
            <w:shd w:val="clear" w:color="auto" w:fill="FFFFFF"/>
            <w:noWrap/>
            <w:vAlign w:val="center"/>
            <w:hideMark/>
          </w:tcPr>
          <w:p w14:paraId="7E33B45C" w14:textId="77777777" w:rsidR="00D218D0" w:rsidRPr="00AE4E8D" w:rsidRDefault="00EB3492" w:rsidP="00FA3175">
            <w:pPr>
              <w:jc w:val="right"/>
              <w:rPr>
                <w:rFonts w:ascii="Times New Roman" w:hAnsi="Times New Roman"/>
                <w:sz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6.354.229</w:t>
            </w:r>
            <w:r w:rsidR="00D218D0" w:rsidRPr="00AE4E8D">
              <w:rPr>
                <w:rFonts w:ascii="Times New Roman" w:hAnsi="Times New Roman"/>
                <w:sz w:val="14"/>
                <w:lang w:val="es-ES"/>
              </w:rPr>
              <w:t xml:space="preserve"> </w:t>
            </w:r>
          </w:p>
        </w:tc>
        <w:tc>
          <w:tcPr>
            <w:tcW w:w="490" w:type="pct"/>
            <w:noWrap/>
            <w:vAlign w:val="center"/>
          </w:tcPr>
          <w:p w14:paraId="209B2CE1" w14:textId="77777777" w:rsidR="00D218D0" w:rsidRPr="00AE4E8D" w:rsidRDefault="00D218D0" w:rsidP="00FA3175">
            <w:pPr>
              <w:jc w:val="right"/>
              <w:rPr>
                <w:rFonts w:ascii="Times New Roman" w:hAnsi="Times New Roman"/>
                <w:sz w:val="14"/>
                <w:lang w:val="es-ES"/>
              </w:rPr>
            </w:pPr>
          </w:p>
        </w:tc>
        <w:tc>
          <w:tcPr>
            <w:tcW w:w="456" w:type="pct"/>
            <w:noWrap/>
            <w:vAlign w:val="center"/>
          </w:tcPr>
          <w:p w14:paraId="7C156629" w14:textId="77777777" w:rsidR="00D218D0" w:rsidRPr="00AE4E8D" w:rsidRDefault="00D218D0" w:rsidP="00FA3175">
            <w:pPr>
              <w:jc w:val="right"/>
              <w:rPr>
                <w:rFonts w:ascii="Times New Roman" w:hAnsi="Times New Roman"/>
                <w:sz w:val="14"/>
                <w:lang w:val="es-ES"/>
              </w:rPr>
            </w:pPr>
          </w:p>
        </w:tc>
        <w:tc>
          <w:tcPr>
            <w:tcW w:w="527" w:type="pct"/>
            <w:noWrap/>
            <w:vAlign w:val="center"/>
            <w:hideMark/>
          </w:tcPr>
          <w:p w14:paraId="5BFD3C76" w14:textId="77777777" w:rsidR="00D218D0" w:rsidRPr="00AE4E8D" w:rsidRDefault="00EB3492" w:rsidP="00FA3175">
            <w:pPr>
              <w:jc w:val="right"/>
              <w:rPr>
                <w:rFonts w:ascii="Times New Roman" w:hAnsi="Times New Roman"/>
                <w:sz w:val="14"/>
                <w:lang w:val="es-ES"/>
              </w:rPr>
            </w:pPr>
            <w:r w:rsidRPr="00AE4E8D">
              <w:rPr>
                <w:rFonts w:ascii="Times New Roman" w:hAnsi="Times New Roman"/>
                <w:sz w:val="14"/>
                <w:lang w:val="es-ES"/>
              </w:rPr>
              <w:t xml:space="preserve">    </w:t>
            </w:r>
            <w:r w:rsidR="00D218D0" w:rsidRPr="00AE4E8D">
              <w:rPr>
                <w:rFonts w:ascii="Times New Roman" w:hAnsi="Times New Roman"/>
                <w:sz w:val="14"/>
                <w:lang w:val="es-ES"/>
              </w:rPr>
              <w:t xml:space="preserve"> </w:t>
            </w:r>
            <w:r w:rsidR="00D218D0" w:rsidRPr="00AE4E8D">
              <w:rPr>
                <w:rFonts w:ascii="Times New Roman" w:hAnsi="Times New Roman"/>
                <w:sz w:val="14"/>
                <w:szCs w:val="14"/>
                <w:lang w:val="es-ES"/>
              </w:rPr>
              <w:t>3.246.389</w:t>
            </w:r>
            <w:r w:rsidR="00D218D0" w:rsidRPr="00AE4E8D">
              <w:rPr>
                <w:rFonts w:ascii="Times New Roman" w:hAnsi="Times New Roman"/>
                <w:sz w:val="14"/>
                <w:lang w:val="es-ES"/>
              </w:rPr>
              <w:t xml:space="preserve"> </w:t>
            </w:r>
          </w:p>
        </w:tc>
        <w:tc>
          <w:tcPr>
            <w:tcW w:w="451" w:type="pct"/>
            <w:noWrap/>
            <w:vAlign w:val="center"/>
          </w:tcPr>
          <w:p w14:paraId="1D056797" w14:textId="77777777" w:rsidR="00D218D0" w:rsidRPr="00AE4E8D" w:rsidRDefault="00D218D0" w:rsidP="00FA3175">
            <w:pPr>
              <w:jc w:val="right"/>
              <w:rPr>
                <w:rFonts w:ascii="Times New Roman" w:hAnsi="Times New Roman"/>
                <w:sz w:val="14"/>
                <w:lang w:val="es-ES"/>
              </w:rPr>
            </w:pPr>
          </w:p>
        </w:tc>
        <w:tc>
          <w:tcPr>
            <w:tcW w:w="456" w:type="pct"/>
            <w:noWrap/>
            <w:vAlign w:val="center"/>
          </w:tcPr>
          <w:p w14:paraId="7363D4D5" w14:textId="77777777" w:rsidR="00D218D0" w:rsidRPr="00AE4E8D" w:rsidRDefault="00D218D0" w:rsidP="00FA3175">
            <w:pPr>
              <w:jc w:val="right"/>
              <w:rPr>
                <w:rFonts w:ascii="Times New Roman" w:hAnsi="Times New Roman"/>
                <w:sz w:val="14"/>
                <w:lang w:val="es-ES"/>
              </w:rPr>
            </w:pPr>
          </w:p>
        </w:tc>
        <w:tc>
          <w:tcPr>
            <w:tcW w:w="527" w:type="pct"/>
            <w:noWrap/>
            <w:vAlign w:val="center"/>
            <w:hideMark/>
          </w:tcPr>
          <w:p w14:paraId="57E8EC6F" w14:textId="77777777" w:rsidR="00D218D0" w:rsidRPr="00AE4E8D" w:rsidRDefault="00EB3492" w:rsidP="00FA3175">
            <w:pPr>
              <w:jc w:val="right"/>
              <w:rPr>
                <w:rFonts w:ascii="Times New Roman" w:hAnsi="Times New Roman"/>
                <w:sz w:val="14"/>
                <w:lang w:val="es-ES"/>
              </w:rPr>
            </w:pPr>
            <w:r w:rsidRPr="00AE4E8D">
              <w:rPr>
                <w:rFonts w:ascii="Times New Roman" w:hAnsi="Times New Roman"/>
                <w:sz w:val="14"/>
                <w:lang w:val="es-ES"/>
              </w:rPr>
              <w:t xml:space="preserve">    </w:t>
            </w:r>
            <w:r w:rsidR="00D218D0" w:rsidRPr="00AE4E8D">
              <w:rPr>
                <w:rFonts w:ascii="Times New Roman" w:hAnsi="Times New Roman"/>
                <w:sz w:val="14"/>
                <w:lang w:val="es-ES"/>
              </w:rPr>
              <w:t xml:space="preserve"> </w:t>
            </w:r>
            <w:r w:rsidR="00D218D0" w:rsidRPr="00AE4E8D">
              <w:rPr>
                <w:rFonts w:ascii="Times New Roman" w:hAnsi="Times New Roman"/>
                <w:sz w:val="14"/>
                <w:szCs w:val="14"/>
                <w:lang w:val="es-ES"/>
              </w:rPr>
              <w:t>2.572.271</w:t>
            </w:r>
            <w:r w:rsidR="00D218D0" w:rsidRPr="00AE4E8D">
              <w:rPr>
                <w:rFonts w:ascii="Times New Roman" w:hAnsi="Times New Roman"/>
                <w:sz w:val="14"/>
                <w:lang w:val="es-ES"/>
              </w:rPr>
              <w:t xml:space="preserve"> </w:t>
            </w:r>
          </w:p>
        </w:tc>
        <w:tc>
          <w:tcPr>
            <w:tcW w:w="435" w:type="pct"/>
            <w:noWrap/>
            <w:vAlign w:val="center"/>
          </w:tcPr>
          <w:p w14:paraId="1DC33E4F" w14:textId="77777777" w:rsidR="00D218D0" w:rsidRPr="00AE4E8D" w:rsidRDefault="00D218D0" w:rsidP="00FA3175">
            <w:pPr>
              <w:jc w:val="right"/>
              <w:rPr>
                <w:rFonts w:ascii="Times New Roman" w:hAnsi="Times New Roman"/>
                <w:sz w:val="14"/>
                <w:lang w:val="es-ES"/>
              </w:rPr>
            </w:pPr>
          </w:p>
        </w:tc>
        <w:tc>
          <w:tcPr>
            <w:tcW w:w="454" w:type="pct"/>
            <w:noWrap/>
            <w:vAlign w:val="center"/>
          </w:tcPr>
          <w:p w14:paraId="663A2A53" w14:textId="77777777" w:rsidR="00D218D0" w:rsidRPr="00AE4E8D" w:rsidRDefault="00D218D0" w:rsidP="00FA3175">
            <w:pPr>
              <w:jc w:val="right"/>
              <w:rPr>
                <w:rFonts w:ascii="Times New Roman" w:hAnsi="Times New Roman"/>
                <w:sz w:val="14"/>
                <w:lang w:val="es-ES"/>
              </w:rPr>
            </w:pPr>
          </w:p>
        </w:tc>
      </w:tr>
      <w:tr w:rsidR="003B5193" w:rsidRPr="00AE4E8D" w14:paraId="69AFBE49" w14:textId="77777777" w:rsidTr="00FA3175">
        <w:trPr>
          <w:trHeight w:val="255"/>
          <w:jc w:val="center"/>
        </w:trPr>
        <w:tc>
          <w:tcPr>
            <w:tcW w:w="553" w:type="pct"/>
            <w:vAlign w:val="center"/>
            <w:hideMark/>
          </w:tcPr>
          <w:p w14:paraId="3FEDD50C"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Previsión por riesgo incob. Préstamos</w:t>
            </w:r>
          </w:p>
        </w:tc>
        <w:tc>
          <w:tcPr>
            <w:tcW w:w="124" w:type="pct"/>
            <w:noWrap/>
            <w:vAlign w:val="bottom"/>
          </w:tcPr>
          <w:p w14:paraId="22130B3F" w14:textId="77777777" w:rsidR="00D218D0" w:rsidRPr="00AE4E8D" w:rsidRDefault="00D218D0" w:rsidP="00E90931">
            <w:pPr>
              <w:rPr>
                <w:rFonts w:ascii="Times New Roman" w:hAnsi="Times New Roman"/>
                <w:b/>
                <w:bCs/>
                <w:sz w:val="14"/>
                <w:szCs w:val="14"/>
                <w:lang w:val="es-ES"/>
              </w:rPr>
            </w:pPr>
          </w:p>
        </w:tc>
        <w:tc>
          <w:tcPr>
            <w:tcW w:w="527" w:type="pct"/>
            <w:shd w:val="clear" w:color="auto" w:fill="FFFFFF"/>
            <w:noWrap/>
            <w:vAlign w:val="center"/>
            <w:hideMark/>
          </w:tcPr>
          <w:p w14:paraId="4FA33A37"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90" w:type="pct"/>
            <w:noWrap/>
            <w:vAlign w:val="center"/>
          </w:tcPr>
          <w:p w14:paraId="43FD3103"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34E228B"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47902243" w14:textId="77777777" w:rsidR="00D218D0" w:rsidRPr="00AE4E8D" w:rsidRDefault="00D218D0"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51" w:type="pct"/>
            <w:noWrap/>
            <w:vAlign w:val="center"/>
          </w:tcPr>
          <w:p w14:paraId="7F7F302A"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4D67B491"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1E86FB84" w14:textId="77777777" w:rsidR="00D218D0" w:rsidRPr="00AE4E8D" w:rsidRDefault="00D218D0" w:rsidP="00FA3175">
            <w:pPr>
              <w:jc w:val="right"/>
              <w:rPr>
                <w:rFonts w:ascii="Times New Roman" w:hAnsi="Times New Roman"/>
                <w:sz w:val="14"/>
                <w:szCs w:val="14"/>
                <w:lang w:val="es-ES"/>
              </w:rPr>
            </w:pPr>
          </w:p>
        </w:tc>
        <w:tc>
          <w:tcPr>
            <w:tcW w:w="435" w:type="pct"/>
            <w:noWrap/>
            <w:vAlign w:val="center"/>
          </w:tcPr>
          <w:p w14:paraId="3B6BAC74"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2CC3AC24" w14:textId="77777777" w:rsidR="00D218D0" w:rsidRPr="00AE4E8D" w:rsidRDefault="00D218D0" w:rsidP="00FA3175">
            <w:pPr>
              <w:jc w:val="right"/>
              <w:rPr>
                <w:rFonts w:ascii="Times New Roman" w:hAnsi="Times New Roman"/>
                <w:sz w:val="14"/>
                <w:szCs w:val="14"/>
                <w:lang w:val="es-ES"/>
              </w:rPr>
            </w:pPr>
          </w:p>
        </w:tc>
      </w:tr>
      <w:tr w:rsidR="003B5193" w:rsidRPr="00AE4E8D" w14:paraId="3841328B" w14:textId="77777777" w:rsidTr="00FA3175">
        <w:trPr>
          <w:trHeight w:val="255"/>
          <w:jc w:val="center"/>
        </w:trPr>
        <w:tc>
          <w:tcPr>
            <w:tcW w:w="553" w:type="pct"/>
            <w:vAlign w:val="center"/>
            <w:hideMark/>
          </w:tcPr>
          <w:p w14:paraId="1623F53A" w14:textId="77777777" w:rsidR="00D218D0" w:rsidRPr="00AE4E8D" w:rsidRDefault="00EB3492" w:rsidP="00E90931">
            <w:pPr>
              <w:rPr>
                <w:rFonts w:ascii="Times New Roman" w:hAnsi="Times New Roman"/>
                <w:sz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lang w:val="es-ES"/>
              </w:rPr>
              <w:t xml:space="preserve">Pesos </w:t>
            </w:r>
          </w:p>
        </w:tc>
        <w:tc>
          <w:tcPr>
            <w:tcW w:w="124" w:type="pct"/>
            <w:noWrap/>
            <w:vAlign w:val="bottom"/>
          </w:tcPr>
          <w:p w14:paraId="7C836B76" w14:textId="77777777" w:rsidR="00D218D0" w:rsidRPr="00AE4E8D" w:rsidRDefault="00D218D0" w:rsidP="00E90931">
            <w:pPr>
              <w:rPr>
                <w:rFonts w:ascii="Times New Roman" w:hAnsi="Times New Roman"/>
                <w:sz w:val="14"/>
                <w:lang w:val="es-ES"/>
              </w:rPr>
            </w:pPr>
          </w:p>
        </w:tc>
        <w:tc>
          <w:tcPr>
            <w:tcW w:w="527" w:type="pct"/>
            <w:shd w:val="clear" w:color="auto" w:fill="FFFFFF"/>
            <w:noWrap/>
            <w:vAlign w:val="center"/>
            <w:hideMark/>
          </w:tcPr>
          <w:p w14:paraId="58BE935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lang w:val="es-ES"/>
              </w:rPr>
              <w:t xml:space="preserve">     </w:t>
            </w:r>
            <w:r w:rsidR="00D218D0" w:rsidRPr="00AE4E8D">
              <w:rPr>
                <w:rFonts w:ascii="Times New Roman" w:hAnsi="Times New Roman"/>
                <w:sz w:val="14"/>
                <w:lang w:val="es-ES"/>
              </w:rPr>
              <w:t xml:space="preserve"> (</w:t>
            </w:r>
            <w:r w:rsidR="00D218D0" w:rsidRPr="00AE4E8D">
              <w:rPr>
                <w:rFonts w:ascii="Times New Roman" w:hAnsi="Times New Roman"/>
                <w:sz w:val="14"/>
                <w:szCs w:val="14"/>
                <w:lang w:val="es-ES"/>
              </w:rPr>
              <w:t>523.810)</w:t>
            </w:r>
          </w:p>
        </w:tc>
        <w:tc>
          <w:tcPr>
            <w:tcW w:w="490" w:type="pct"/>
            <w:noWrap/>
            <w:vAlign w:val="center"/>
          </w:tcPr>
          <w:p w14:paraId="2226513C"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3307373A"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36DE6A0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(420.153)</w:t>
            </w:r>
          </w:p>
        </w:tc>
        <w:tc>
          <w:tcPr>
            <w:tcW w:w="451" w:type="pct"/>
            <w:noWrap/>
            <w:vAlign w:val="center"/>
          </w:tcPr>
          <w:p w14:paraId="0D96BD6E"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AEDD67C"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414A55B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(343.633)</w:t>
            </w:r>
          </w:p>
        </w:tc>
        <w:tc>
          <w:tcPr>
            <w:tcW w:w="435" w:type="pct"/>
            <w:noWrap/>
            <w:vAlign w:val="center"/>
          </w:tcPr>
          <w:p w14:paraId="5BC76BA7"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0C79D085" w14:textId="77777777" w:rsidR="00D218D0" w:rsidRPr="00AE4E8D" w:rsidRDefault="00D218D0" w:rsidP="00FA3175">
            <w:pPr>
              <w:jc w:val="right"/>
              <w:rPr>
                <w:rFonts w:ascii="Times New Roman" w:hAnsi="Times New Roman"/>
                <w:sz w:val="14"/>
                <w:szCs w:val="14"/>
                <w:lang w:val="es-ES"/>
              </w:rPr>
            </w:pPr>
          </w:p>
        </w:tc>
      </w:tr>
      <w:tr w:rsidR="003B5193" w:rsidRPr="00AE4E8D" w14:paraId="66352E93" w14:textId="77777777" w:rsidTr="00FA3175">
        <w:trPr>
          <w:trHeight w:val="255"/>
          <w:jc w:val="center"/>
        </w:trPr>
        <w:tc>
          <w:tcPr>
            <w:tcW w:w="553" w:type="pct"/>
            <w:vAlign w:val="center"/>
            <w:hideMark/>
          </w:tcPr>
          <w:p w14:paraId="383CC920"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0EFCA72C"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shd w:val="clear" w:color="auto" w:fill="FFFFFF"/>
            <w:noWrap/>
            <w:vAlign w:val="center"/>
            <w:hideMark/>
          </w:tcPr>
          <w:p w14:paraId="0DA5EE99"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(18.880)</w:t>
            </w:r>
          </w:p>
        </w:tc>
        <w:tc>
          <w:tcPr>
            <w:tcW w:w="490" w:type="pct"/>
            <w:noWrap/>
            <w:vAlign w:val="center"/>
          </w:tcPr>
          <w:p w14:paraId="31BF0C1F"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0940BF02"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13EC569E"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(12.974)</w:t>
            </w:r>
          </w:p>
        </w:tc>
        <w:tc>
          <w:tcPr>
            <w:tcW w:w="451" w:type="pct"/>
            <w:noWrap/>
            <w:vAlign w:val="center"/>
          </w:tcPr>
          <w:p w14:paraId="6CC3A949"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29425712"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711329A0" w14:textId="77777777" w:rsidR="00D218D0"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(12.422)</w:t>
            </w:r>
          </w:p>
        </w:tc>
        <w:tc>
          <w:tcPr>
            <w:tcW w:w="435" w:type="pct"/>
            <w:noWrap/>
            <w:vAlign w:val="center"/>
          </w:tcPr>
          <w:p w14:paraId="0730C209"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74907DC0" w14:textId="77777777" w:rsidR="00D218D0" w:rsidRPr="00AE4E8D" w:rsidRDefault="00D218D0" w:rsidP="00FA3175">
            <w:pPr>
              <w:jc w:val="right"/>
              <w:rPr>
                <w:rFonts w:ascii="Times New Roman" w:hAnsi="Times New Roman"/>
                <w:sz w:val="14"/>
                <w:szCs w:val="14"/>
                <w:lang w:val="es-ES"/>
              </w:rPr>
            </w:pPr>
          </w:p>
        </w:tc>
      </w:tr>
      <w:tr w:rsidR="003B5193" w:rsidRPr="00AE4E8D" w14:paraId="156EC263" w14:textId="77777777" w:rsidTr="00FA3175">
        <w:trPr>
          <w:trHeight w:val="255"/>
          <w:jc w:val="center"/>
        </w:trPr>
        <w:tc>
          <w:tcPr>
            <w:tcW w:w="553" w:type="pct"/>
            <w:vAlign w:val="center"/>
            <w:hideMark/>
          </w:tcPr>
          <w:p w14:paraId="2148B91C"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7DF23CBD" w14:textId="77777777" w:rsidR="00D218D0" w:rsidRPr="00AE4E8D" w:rsidRDefault="00D218D0" w:rsidP="00E90931">
            <w:pPr>
              <w:rPr>
                <w:rFonts w:ascii="Times New Roman" w:hAnsi="Times New Roman"/>
                <w:sz w:val="14"/>
                <w:szCs w:val="14"/>
                <w:lang w:val="es-ES"/>
              </w:rPr>
            </w:pPr>
          </w:p>
        </w:tc>
        <w:tc>
          <w:tcPr>
            <w:tcW w:w="527" w:type="pct"/>
            <w:tcBorders>
              <w:top w:val="single" w:sz="4" w:space="0" w:color="auto"/>
              <w:left w:val="nil"/>
              <w:bottom w:val="nil"/>
              <w:right w:val="nil"/>
            </w:tcBorders>
            <w:shd w:val="clear" w:color="auto" w:fill="FFFFFF"/>
            <w:noWrap/>
            <w:vAlign w:val="center"/>
            <w:hideMark/>
          </w:tcPr>
          <w:p w14:paraId="51110922"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(542.690)</w:t>
            </w:r>
          </w:p>
        </w:tc>
        <w:tc>
          <w:tcPr>
            <w:tcW w:w="490" w:type="pct"/>
            <w:noWrap/>
            <w:vAlign w:val="center"/>
          </w:tcPr>
          <w:p w14:paraId="15983B8A"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0C30DCFA" w14:textId="77777777" w:rsidR="00D218D0" w:rsidRPr="00AE4E8D" w:rsidRDefault="00D218D0" w:rsidP="00FA3175">
            <w:pPr>
              <w:jc w:val="right"/>
              <w:rPr>
                <w:rFonts w:ascii="Times New Roman" w:hAnsi="Times New Roman"/>
                <w:sz w:val="14"/>
                <w:szCs w:val="14"/>
                <w:lang w:val="es-ES"/>
              </w:rPr>
            </w:pPr>
          </w:p>
        </w:tc>
        <w:tc>
          <w:tcPr>
            <w:tcW w:w="527" w:type="pct"/>
            <w:tcBorders>
              <w:top w:val="single" w:sz="4" w:space="0" w:color="auto"/>
              <w:left w:val="nil"/>
              <w:bottom w:val="nil"/>
              <w:right w:val="nil"/>
            </w:tcBorders>
            <w:noWrap/>
            <w:vAlign w:val="center"/>
            <w:hideMark/>
          </w:tcPr>
          <w:p w14:paraId="499A0D01"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(433.127)</w:t>
            </w:r>
          </w:p>
        </w:tc>
        <w:tc>
          <w:tcPr>
            <w:tcW w:w="451" w:type="pct"/>
            <w:noWrap/>
            <w:vAlign w:val="center"/>
          </w:tcPr>
          <w:p w14:paraId="35F1C352"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16DEE01B" w14:textId="77777777" w:rsidR="00D218D0" w:rsidRPr="00AE4E8D" w:rsidRDefault="00D218D0" w:rsidP="00FA3175">
            <w:pPr>
              <w:jc w:val="right"/>
              <w:rPr>
                <w:rFonts w:ascii="Times New Roman" w:hAnsi="Times New Roman"/>
                <w:sz w:val="14"/>
                <w:szCs w:val="14"/>
                <w:lang w:val="es-ES"/>
              </w:rPr>
            </w:pPr>
          </w:p>
        </w:tc>
        <w:tc>
          <w:tcPr>
            <w:tcW w:w="527" w:type="pct"/>
            <w:tcBorders>
              <w:top w:val="single" w:sz="4" w:space="0" w:color="auto"/>
              <w:left w:val="nil"/>
              <w:bottom w:val="nil"/>
              <w:right w:val="nil"/>
            </w:tcBorders>
            <w:noWrap/>
            <w:vAlign w:val="center"/>
            <w:hideMark/>
          </w:tcPr>
          <w:p w14:paraId="7F4831F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(356.055)</w:t>
            </w:r>
          </w:p>
        </w:tc>
        <w:tc>
          <w:tcPr>
            <w:tcW w:w="435" w:type="pct"/>
            <w:noWrap/>
            <w:vAlign w:val="center"/>
          </w:tcPr>
          <w:p w14:paraId="0FB0C4FE"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0B82010B" w14:textId="77777777" w:rsidR="00D218D0" w:rsidRPr="00AE4E8D" w:rsidRDefault="00D218D0" w:rsidP="00FA3175">
            <w:pPr>
              <w:jc w:val="right"/>
              <w:rPr>
                <w:rFonts w:ascii="Times New Roman" w:hAnsi="Times New Roman"/>
                <w:sz w:val="14"/>
                <w:szCs w:val="14"/>
                <w:lang w:val="es-ES"/>
              </w:rPr>
            </w:pPr>
          </w:p>
        </w:tc>
      </w:tr>
      <w:tr w:rsidR="000E61D3" w:rsidRPr="00AE4E8D" w14:paraId="64F2E395" w14:textId="77777777" w:rsidTr="000400C8">
        <w:trPr>
          <w:trHeight w:val="450"/>
          <w:jc w:val="center"/>
        </w:trPr>
        <w:tc>
          <w:tcPr>
            <w:tcW w:w="553" w:type="pct"/>
            <w:vAlign w:val="center"/>
            <w:hideMark/>
          </w:tcPr>
          <w:p w14:paraId="55241D11" w14:textId="77777777" w:rsidR="00D218D0"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D218D0" w:rsidRPr="00AE4E8D">
              <w:rPr>
                <w:rFonts w:ascii="Times New Roman" w:hAnsi="Times New Roman"/>
                <w:b/>
                <w:bCs/>
                <w:sz w:val="14"/>
                <w:szCs w:val="14"/>
                <w:lang w:val="es-ES"/>
              </w:rPr>
              <w:t>Total activos que no devengan intereses, neto</w:t>
            </w:r>
          </w:p>
        </w:tc>
        <w:tc>
          <w:tcPr>
            <w:tcW w:w="124" w:type="pct"/>
            <w:noWrap/>
            <w:vAlign w:val="bottom"/>
          </w:tcPr>
          <w:p w14:paraId="657BEB7E" w14:textId="77777777" w:rsidR="00D218D0" w:rsidRPr="00AE4E8D" w:rsidRDefault="00D218D0" w:rsidP="00E90931">
            <w:pPr>
              <w:rPr>
                <w:rFonts w:ascii="Times New Roman" w:hAnsi="Times New Roman"/>
                <w:b/>
                <w:bCs/>
                <w:sz w:val="14"/>
                <w:szCs w:val="14"/>
                <w:lang w:val="es-ES"/>
              </w:rPr>
            </w:pPr>
          </w:p>
        </w:tc>
        <w:tc>
          <w:tcPr>
            <w:tcW w:w="527" w:type="pct"/>
            <w:noWrap/>
            <w:vAlign w:val="center"/>
          </w:tcPr>
          <w:p w14:paraId="5E062434" w14:textId="77777777" w:rsidR="00D218D0" w:rsidRPr="00AE4E8D" w:rsidRDefault="00D218D0" w:rsidP="00FA3175">
            <w:pPr>
              <w:jc w:val="right"/>
              <w:rPr>
                <w:rFonts w:ascii="Times New Roman" w:hAnsi="Times New Roman"/>
                <w:sz w:val="14"/>
                <w:szCs w:val="14"/>
                <w:lang w:val="es-ES"/>
              </w:rPr>
            </w:pPr>
          </w:p>
        </w:tc>
        <w:tc>
          <w:tcPr>
            <w:tcW w:w="490" w:type="pct"/>
            <w:noWrap/>
            <w:vAlign w:val="center"/>
          </w:tcPr>
          <w:p w14:paraId="2CA7BA28"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399D4D26"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62A5829E" w14:textId="77777777" w:rsidR="00D218D0" w:rsidRPr="00AE4E8D" w:rsidRDefault="00D218D0" w:rsidP="00FA3175">
            <w:pPr>
              <w:jc w:val="right"/>
              <w:rPr>
                <w:rFonts w:ascii="Times New Roman" w:hAnsi="Times New Roman"/>
                <w:sz w:val="14"/>
                <w:szCs w:val="14"/>
                <w:lang w:val="es-ES"/>
              </w:rPr>
            </w:pPr>
          </w:p>
        </w:tc>
        <w:tc>
          <w:tcPr>
            <w:tcW w:w="451" w:type="pct"/>
            <w:noWrap/>
            <w:vAlign w:val="center"/>
          </w:tcPr>
          <w:p w14:paraId="0290E31C"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0B655861"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49FC455A" w14:textId="77777777" w:rsidR="00D218D0" w:rsidRPr="00AE4E8D" w:rsidRDefault="00D218D0" w:rsidP="00FA3175">
            <w:pPr>
              <w:jc w:val="right"/>
              <w:rPr>
                <w:rFonts w:ascii="Times New Roman" w:hAnsi="Times New Roman"/>
                <w:sz w:val="14"/>
                <w:szCs w:val="14"/>
                <w:lang w:val="es-ES"/>
              </w:rPr>
            </w:pPr>
          </w:p>
        </w:tc>
        <w:tc>
          <w:tcPr>
            <w:tcW w:w="435" w:type="pct"/>
            <w:noWrap/>
            <w:vAlign w:val="center"/>
          </w:tcPr>
          <w:p w14:paraId="6DFD5C6F"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2BCFFB92" w14:textId="77777777" w:rsidR="00D218D0" w:rsidRPr="00AE4E8D" w:rsidRDefault="00D218D0" w:rsidP="00FA3175">
            <w:pPr>
              <w:jc w:val="right"/>
              <w:rPr>
                <w:rFonts w:ascii="Times New Roman" w:hAnsi="Times New Roman"/>
                <w:sz w:val="14"/>
                <w:szCs w:val="14"/>
                <w:lang w:val="es-ES"/>
              </w:rPr>
            </w:pPr>
          </w:p>
        </w:tc>
      </w:tr>
      <w:tr w:rsidR="000E61D3" w:rsidRPr="00AE4E8D" w14:paraId="44890223" w14:textId="77777777" w:rsidTr="000400C8">
        <w:trPr>
          <w:trHeight w:val="255"/>
          <w:jc w:val="center"/>
        </w:trPr>
        <w:tc>
          <w:tcPr>
            <w:tcW w:w="553" w:type="pct"/>
            <w:vAlign w:val="center"/>
            <w:hideMark/>
          </w:tcPr>
          <w:p w14:paraId="5511B946"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23FD8CB8" w14:textId="77777777" w:rsidR="00D218D0" w:rsidRPr="00AE4E8D" w:rsidRDefault="00D218D0" w:rsidP="00E90931">
            <w:pPr>
              <w:rPr>
                <w:rFonts w:ascii="Times New Roman" w:hAnsi="Times New Roman"/>
                <w:sz w:val="14"/>
                <w:szCs w:val="14"/>
                <w:lang w:val="es-ES"/>
              </w:rPr>
            </w:pPr>
          </w:p>
        </w:tc>
        <w:tc>
          <w:tcPr>
            <w:tcW w:w="527" w:type="pct"/>
            <w:noWrap/>
            <w:vAlign w:val="center"/>
            <w:hideMark/>
          </w:tcPr>
          <w:p w14:paraId="510C43F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6.001.546</w:t>
            </w:r>
          </w:p>
        </w:tc>
        <w:tc>
          <w:tcPr>
            <w:tcW w:w="490" w:type="pct"/>
            <w:noWrap/>
            <w:vAlign w:val="center"/>
          </w:tcPr>
          <w:p w14:paraId="5E981B64"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0C5FC22B"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50A8A23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3.297.764 </w:t>
            </w:r>
          </w:p>
        </w:tc>
        <w:tc>
          <w:tcPr>
            <w:tcW w:w="451" w:type="pct"/>
            <w:noWrap/>
            <w:vAlign w:val="center"/>
          </w:tcPr>
          <w:p w14:paraId="70650E52"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FE34BE8"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7DE407A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2.684.694 </w:t>
            </w:r>
          </w:p>
        </w:tc>
        <w:tc>
          <w:tcPr>
            <w:tcW w:w="435" w:type="pct"/>
            <w:noWrap/>
            <w:vAlign w:val="center"/>
          </w:tcPr>
          <w:p w14:paraId="3007768D"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295BDF0F" w14:textId="77777777" w:rsidR="00D218D0" w:rsidRPr="00AE4E8D" w:rsidRDefault="00D218D0" w:rsidP="00FA3175">
            <w:pPr>
              <w:jc w:val="right"/>
              <w:rPr>
                <w:rFonts w:ascii="Times New Roman" w:hAnsi="Times New Roman"/>
                <w:sz w:val="14"/>
                <w:szCs w:val="14"/>
                <w:lang w:val="es-ES"/>
              </w:rPr>
            </w:pPr>
          </w:p>
        </w:tc>
      </w:tr>
      <w:tr w:rsidR="003B5193" w:rsidRPr="00AE4E8D" w14:paraId="4B49365E" w14:textId="77777777" w:rsidTr="00FA3175">
        <w:trPr>
          <w:trHeight w:val="255"/>
          <w:jc w:val="center"/>
        </w:trPr>
        <w:tc>
          <w:tcPr>
            <w:tcW w:w="553" w:type="pct"/>
            <w:vAlign w:val="center"/>
            <w:hideMark/>
          </w:tcPr>
          <w:p w14:paraId="5723E1B0"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16960923"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auto"/>
              <w:right w:val="nil"/>
            </w:tcBorders>
            <w:noWrap/>
            <w:vAlign w:val="center"/>
            <w:hideMark/>
          </w:tcPr>
          <w:p w14:paraId="14E94248"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1.220.646 </w:t>
            </w:r>
          </w:p>
        </w:tc>
        <w:tc>
          <w:tcPr>
            <w:tcW w:w="490" w:type="pct"/>
            <w:noWrap/>
            <w:vAlign w:val="center"/>
          </w:tcPr>
          <w:p w14:paraId="53A09155"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51F4472A"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auto"/>
              <w:right w:val="nil"/>
            </w:tcBorders>
            <w:noWrap/>
            <w:vAlign w:val="center"/>
            <w:hideMark/>
          </w:tcPr>
          <w:p w14:paraId="235AF592"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522.763 </w:t>
            </w:r>
          </w:p>
        </w:tc>
        <w:tc>
          <w:tcPr>
            <w:tcW w:w="451" w:type="pct"/>
            <w:noWrap/>
            <w:vAlign w:val="center"/>
          </w:tcPr>
          <w:p w14:paraId="738B974F"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4D38B785"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auto"/>
              <w:right w:val="nil"/>
            </w:tcBorders>
            <w:noWrap/>
            <w:vAlign w:val="center"/>
            <w:hideMark/>
          </w:tcPr>
          <w:p w14:paraId="13E5530B"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579.749 </w:t>
            </w:r>
          </w:p>
        </w:tc>
        <w:tc>
          <w:tcPr>
            <w:tcW w:w="435" w:type="pct"/>
            <w:noWrap/>
            <w:vAlign w:val="center"/>
          </w:tcPr>
          <w:p w14:paraId="5FAF8BC9"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6C928019" w14:textId="77777777" w:rsidR="00D218D0" w:rsidRPr="00AE4E8D" w:rsidRDefault="00D218D0" w:rsidP="00FA3175">
            <w:pPr>
              <w:jc w:val="right"/>
              <w:rPr>
                <w:rFonts w:ascii="Times New Roman" w:hAnsi="Times New Roman"/>
                <w:sz w:val="14"/>
                <w:szCs w:val="14"/>
                <w:lang w:val="es-ES"/>
              </w:rPr>
            </w:pPr>
          </w:p>
        </w:tc>
      </w:tr>
      <w:tr w:rsidR="000E61D3" w:rsidRPr="00AE4E8D" w14:paraId="0EC043D7" w14:textId="77777777" w:rsidTr="000400C8">
        <w:trPr>
          <w:trHeight w:val="255"/>
          <w:jc w:val="center"/>
        </w:trPr>
        <w:tc>
          <w:tcPr>
            <w:tcW w:w="553" w:type="pct"/>
            <w:vAlign w:val="center"/>
            <w:hideMark/>
          </w:tcPr>
          <w:p w14:paraId="52B79495"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67CBE933" w14:textId="77777777" w:rsidR="00D218D0" w:rsidRPr="00AE4E8D" w:rsidRDefault="00D218D0" w:rsidP="00E90931">
            <w:pPr>
              <w:rPr>
                <w:rFonts w:ascii="Times New Roman" w:hAnsi="Times New Roman"/>
                <w:sz w:val="14"/>
                <w:szCs w:val="14"/>
                <w:lang w:val="es-ES"/>
              </w:rPr>
            </w:pPr>
          </w:p>
        </w:tc>
        <w:tc>
          <w:tcPr>
            <w:tcW w:w="527" w:type="pct"/>
            <w:noWrap/>
            <w:vAlign w:val="center"/>
            <w:hideMark/>
          </w:tcPr>
          <w:p w14:paraId="14BE37E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7.222.19</w:t>
            </w:r>
            <w:r w:rsidR="00D15165" w:rsidRPr="00AE4E8D">
              <w:rPr>
                <w:rFonts w:ascii="Times New Roman" w:hAnsi="Times New Roman"/>
                <w:sz w:val="14"/>
                <w:szCs w:val="14"/>
                <w:lang w:val="es-ES"/>
              </w:rPr>
              <w:t>2</w:t>
            </w:r>
            <w:r w:rsidR="00D218D0" w:rsidRPr="00AE4E8D">
              <w:rPr>
                <w:rFonts w:ascii="Times New Roman" w:hAnsi="Times New Roman"/>
                <w:sz w:val="14"/>
                <w:szCs w:val="14"/>
                <w:lang w:val="es-ES"/>
              </w:rPr>
              <w:t xml:space="preserve"> </w:t>
            </w:r>
          </w:p>
        </w:tc>
        <w:tc>
          <w:tcPr>
            <w:tcW w:w="490" w:type="pct"/>
            <w:noWrap/>
            <w:vAlign w:val="center"/>
          </w:tcPr>
          <w:p w14:paraId="60733B62"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3FBA0DB8"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5FAD33FE"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3.820.527 </w:t>
            </w:r>
          </w:p>
        </w:tc>
        <w:tc>
          <w:tcPr>
            <w:tcW w:w="451" w:type="pct"/>
            <w:noWrap/>
            <w:vAlign w:val="center"/>
          </w:tcPr>
          <w:p w14:paraId="12B0838C"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18B35765"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332C86BF"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3.264.443 </w:t>
            </w:r>
          </w:p>
        </w:tc>
        <w:tc>
          <w:tcPr>
            <w:tcW w:w="435" w:type="pct"/>
            <w:noWrap/>
            <w:vAlign w:val="center"/>
          </w:tcPr>
          <w:p w14:paraId="4E3A2B0C"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28924726" w14:textId="77777777" w:rsidR="00D218D0" w:rsidRPr="00AE4E8D" w:rsidRDefault="00D218D0" w:rsidP="00FA3175">
            <w:pPr>
              <w:jc w:val="right"/>
              <w:rPr>
                <w:rFonts w:ascii="Times New Roman" w:hAnsi="Times New Roman"/>
                <w:sz w:val="14"/>
                <w:szCs w:val="14"/>
                <w:lang w:val="es-ES"/>
              </w:rPr>
            </w:pPr>
          </w:p>
        </w:tc>
      </w:tr>
      <w:tr w:rsidR="000E61D3" w:rsidRPr="00AE4E8D" w14:paraId="0BDEBCE7" w14:textId="77777777" w:rsidTr="000400C8">
        <w:trPr>
          <w:trHeight w:val="255"/>
          <w:jc w:val="center"/>
        </w:trPr>
        <w:tc>
          <w:tcPr>
            <w:tcW w:w="553" w:type="pct"/>
            <w:vAlign w:val="center"/>
          </w:tcPr>
          <w:p w14:paraId="00F74A14" w14:textId="77777777" w:rsidR="00D218D0" w:rsidRPr="00AE4E8D" w:rsidRDefault="00D218D0" w:rsidP="00E90931">
            <w:pPr>
              <w:rPr>
                <w:rFonts w:ascii="Times New Roman" w:hAnsi="Times New Roman"/>
                <w:sz w:val="14"/>
                <w:szCs w:val="14"/>
                <w:lang w:val="es-ES"/>
              </w:rPr>
            </w:pPr>
          </w:p>
        </w:tc>
        <w:tc>
          <w:tcPr>
            <w:tcW w:w="124" w:type="pct"/>
            <w:noWrap/>
            <w:vAlign w:val="bottom"/>
          </w:tcPr>
          <w:p w14:paraId="29E192DF" w14:textId="77777777" w:rsidR="00D218D0" w:rsidRPr="00AE4E8D" w:rsidRDefault="00D218D0" w:rsidP="00E90931">
            <w:pPr>
              <w:rPr>
                <w:rFonts w:ascii="Times New Roman" w:hAnsi="Times New Roman"/>
                <w:sz w:val="14"/>
                <w:szCs w:val="14"/>
                <w:lang w:val="es-ES"/>
              </w:rPr>
            </w:pPr>
          </w:p>
        </w:tc>
        <w:tc>
          <w:tcPr>
            <w:tcW w:w="527" w:type="pct"/>
            <w:noWrap/>
            <w:vAlign w:val="center"/>
          </w:tcPr>
          <w:p w14:paraId="4DCC31EE" w14:textId="77777777" w:rsidR="00D218D0" w:rsidRPr="00AE4E8D" w:rsidRDefault="00D218D0" w:rsidP="00FA3175">
            <w:pPr>
              <w:jc w:val="right"/>
              <w:rPr>
                <w:rFonts w:ascii="Times New Roman" w:hAnsi="Times New Roman"/>
                <w:sz w:val="14"/>
                <w:szCs w:val="14"/>
                <w:lang w:val="es-ES"/>
              </w:rPr>
            </w:pPr>
          </w:p>
        </w:tc>
        <w:tc>
          <w:tcPr>
            <w:tcW w:w="490" w:type="pct"/>
            <w:noWrap/>
            <w:vAlign w:val="center"/>
          </w:tcPr>
          <w:p w14:paraId="2DA4504A"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13A8FA5B"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549935DF" w14:textId="77777777" w:rsidR="00D218D0" w:rsidRPr="00AE4E8D" w:rsidRDefault="00D218D0" w:rsidP="00FA3175">
            <w:pPr>
              <w:jc w:val="right"/>
              <w:rPr>
                <w:rFonts w:ascii="Times New Roman" w:hAnsi="Times New Roman"/>
                <w:sz w:val="14"/>
                <w:szCs w:val="14"/>
                <w:lang w:val="es-ES"/>
              </w:rPr>
            </w:pPr>
          </w:p>
        </w:tc>
        <w:tc>
          <w:tcPr>
            <w:tcW w:w="451" w:type="pct"/>
            <w:noWrap/>
            <w:vAlign w:val="center"/>
          </w:tcPr>
          <w:p w14:paraId="14B48A6D"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D2F25FA"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44D0D25E" w14:textId="77777777" w:rsidR="00D218D0" w:rsidRPr="00AE4E8D" w:rsidRDefault="00D218D0" w:rsidP="00FA3175">
            <w:pPr>
              <w:jc w:val="right"/>
              <w:rPr>
                <w:rFonts w:ascii="Times New Roman" w:hAnsi="Times New Roman"/>
                <w:sz w:val="14"/>
                <w:szCs w:val="14"/>
                <w:lang w:val="es-ES"/>
              </w:rPr>
            </w:pPr>
          </w:p>
        </w:tc>
        <w:tc>
          <w:tcPr>
            <w:tcW w:w="435" w:type="pct"/>
            <w:noWrap/>
            <w:vAlign w:val="center"/>
          </w:tcPr>
          <w:p w14:paraId="1A234561"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56295CEC" w14:textId="77777777" w:rsidR="00D218D0" w:rsidRPr="00AE4E8D" w:rsidRDefault="00D218D0" w:rsidP="00FA3175">
            <w:pPr>
              <w:jc w:val="right"/>
              <w:rPr>
                <w:rFonts w:ascii="Times New Roman" w:hAnsi="Times New Roman"/>
                <w:sz w:val="14"/>
                <w:szCs w:val="14"/>
                <w:lang w:val="es-ES"/>
              </w:rPr>
            </w:pPr>
          </w:p>
        </w:tc>
      </w:tr>
      <w:tr w:rsidR="000E61D3" w:rsidRPr="00AE4E8D" w14:paraId="60C0B913" w14:textId="77777777" w:rsidTr="000400C8">
        <w:trPr>
          <w:trHeight w:val="255"/>
          <w:jc w:val="center"/>
        </w:trPr>
        <w:tc>
          <w:tcPr>
            <w:tcW w:w="553" w:type="pct"/>
            <w:vAlign w:val="center"/>
            <w:hideMark/>
          </w:tcPr>
          <w:p w14:paraId="7B01A45C" w14:textId="77777777" w:rsidR="00D218D0" w:rsidRPr="00AE4E8D" w:rsidRDefault="00D218D0" w:rsidP="00E90931">
            <w:pPr>
              <w:rPr>
                <w:rFonts w:ascii="Times New Roman" w:hAnsi="Times New Roman"/>
                <w:b/>
                <w:bCs/>
                <w:sz w:val="14"/>
                <w:szCs w:val="14"/>
                <w:lang w:val="es-ES"/>
              </w:rPr>
            </w:pPr>
            <w:r w:rsidRPr="00AE4E8D">
              <w:rPr>
                <w:rFonts w:ascii="Times New Roman" w:hAnsi="Times New Roman"/>
                <w:b/>
                <w:bCs/>
                <w:sz w:val="14"/>
                <w:szCs w:val="14"/>
                <w:lang w:val="es-ES"/>
              </w:rPr>
              <w:lastRenderedPageBreak/>
              <w:t>Total Activos</w:t>
            </w:r>
          </w:p>
        </w:tc>
        <w:tc>
          <w:tcPr>
            <w:tcW w:w="124" w:type="pct"/>
            <w:noWrap/>
            <w:vAlign w:val="bottom"/>
          </w:tcPr>
          <w:p w14:paraId="090B5157" w14:textId="77777777" w:rsidR="00D218D0" w:rsidRPr="00AE4E8D" w:rsidRDefault="00D218D0" w:rsidP="00E90931">
            <w:pPr>
              <w:rPr>
                <w:rFonts w:ascii="Times New Roman" w:hAnsi="Times New Roman"/>
                <w:b/>
                <w:bCs/>
                <w:sz w:val="14"/>
                <w:szCs w:val="14"/>
                <w:lang w:val="es-ES"/>
              </w:rPr>
            </w:pPr>
          </w:p>
        </w:tc>
        <w:tc>
          <w:tcPr>
            <w:tcW w:w="527" w:type="pct"/>
            <w:noWrap/>
            <w:vAlign w:val="center"/>
          </w:tcPr>
          <w:p w14:paraId="123C2A16" w14:textId="77777777" w:rsidR="00D218D0" w:rsidRPr="00AE4E8D" w:rsidRDefault="00D218D0" w:rsidP="00FA3175">
            <w:pPr>
              <w:jc w:val="right"/>
              <w:rPr>
                <w:rFonts w:ascii="Times New Roman" w:hAnsi="Times New Roman"/>
                <w:sz w:val="14"/>
                <w:szCs w:val="14"/>
                <w:lang w:val="es-ES"/>
              </w:rPr>
            </w:pPr>
          </w:p>
        </w:tc>
        <w:tc>
          <w:tcPr>
            <w:tcW w:w="490" w:type="pct"/>
            <w:noWrap/>
            <w:vAlign w:val="center"/>
          </w:tcPr>
          <w:p w14:paraId="2927394D"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0CE185C"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5D897602" w14:textId="77777777" w:rsidR="00D218D0" w:rsidRPr="00AE4E8D" w:rsidRDefault="00D218D0" w:rsidP="00FA3175">
            <w:pPr>
              <w:jc w:val="right"/>
              <w:rPr>
                <w:rFonts w:ascii="Times New Roman" w:hAnsi="Times New Roman"/>
                <w:sz w:val="14"/>
                <w:szCs w:val="14"/>
                <w:lang w:val="es-ES"/>
              </w:rPr>
            </w:pPr>
          </w:p>
        </w:tc>
        <w:tc>
          <w:tcPr>
            <w:tcW w:w="451" w:type="pct"/>
            <w:noWrap/>
            <w:vAlign w:val="center"/>
          </w:tcPr>
          <w:p w14:paraId="7D811CD7"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5D3C5672" w14:textId="77777777" w:rsidR="00D218D0" w:rsidRPr="00AE4E8D" w:rsidRDefault="00D218D0" w:rsidP="00FA3175">
            <w:pPr>
              <w:jc w:val="right"/>
              <w:rPr>
                <w:rFonts w:ascii="Times New Roman" w:hAnsi="Times New Roman"/>
                <w:sz w:val="14"/>
                <w:szCs w:val="14"/>
                <w:lang w:val="es-ES"/>
              </w:rPr>
            </w:pPr>
          </w:p>
        </w:tc>
        <w:tc>
          <w:tcPr>
            <w:tcW w:w="527" w:type="pct"/>
            <w:noWrap/>
            <w:vAlign w:val="center"/>
          </w:tcPr>
          <w:p w14:paraId="6ECD3472" w14:textId="77777777" w:rsidR="00D218D0" w:rsidRPr="00AE4E8D" w:rsidRDefault="00D218D0" w:rsidP="00FA3175">
            <w:pPr>
              <w:jc w:val="right"/>
              <w:rPr>
                <w:rFonts w:ascii="Times New Roman" w:hAnsi="Times New Roman"/>
                <w:sz w:val="14"/>
                <w:szCs w:val="14"/>
                <w:lang w:val="es-ES"/>
              </w:rPr>
            </w:pPr>
          </w:p>
        </w:tc>
        <w:tc>
          <w:tcPr>
            <w:tcW w:w="435" w:type="pct"/>
            <w:noWrap/>
            <w:vAlign w:val="center"/>
          </w:tcPr>
          <w:p w14:paraId="5161DBDE"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323CC790" w14:textId="77777777" w:rsidR="00D218D0" w:rsidRPr="00AE4E8D" w:rsidRDefault="00D218D0" w:rsidP="00FA3175">
            <w:pPr>
              <w:jc w:val="right"/>
              <w:rPr>
                <w:rFonts w:ascii="Times New Roman" w:hAnsi="Times New Roman"/>
                <w:sz w:val="14"/>
                <w:szCs w:val="14"/>
                <w:lang w:val="es-ES"/>
              </w:rPr>
            </w:pPr>
          </w:p>
        </w:tc>
      </w:tr>
      <w:tr w:rsidR="000E61D3" w:rsidRPr="00AE4E8D" w14:paraId="660EDAB7" w14:textId="77777777" w:rsidTr="000400C8">
        <w:trPr>
          <w:trHeight w:val="255"/>
          <w:jc w:val="center"/>
        </w:trPr>
        <w:tc>
          <w:tcPr>
            <w:tcW w:w="553" w:type="pct"/>
            <w:vAlign w:val="center"/>
            <w:hideMark/>
          </w:tcPr>
          <w:p w14:paraId="5C88FEF8"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Pesos </w:t>
            </w:r>
          </w:p>
        </w:tc>
        <w:tc>
          <w:tcPr>
            <w:tcW w:w="124" w:type="pct"/>
            <w:noWrap/>
            <w:vAlign w:val="bottom"/>
          </w:tcPr>
          <w:p w14:paraId="0EAA4D9C" w14:textId="77777777" w:rsidR="00D218D0" w:rsidRPr="00AE4E8D" w:rsidRDefault="00D218D0" w:rsidP="00E90931">
            <w:pPr>
              <w:rPr>
                <w:rFonts w:ascii="Times New Roman" w:hAnsi="Times New Roman"/>
                <w:sz w:val="14"/>
                <w:szCs w:val="14"/>
                <w:lang w:val="es-ES"/>
              </w:rPr>
            </w:pPr>
          </w:p>
        </w:tc>
        <w:tc>
          <w:tcPr>
            <w:tcW w:w="527" w:type="pct"/>
            <w:noWrap/>
            <w:vAlign w:val="center"/>
            <w:hideMark/>
          </w:tcPr>
          <w:p w14:paraId="3670012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40.301.798 </w:t>
            </w:r>
          </w:p>
        </w:tc>
        <w:tc>
          <w:tcPr>
            <w:tcW w:w="490" w:type="pct"/>
            <w:noWrap/>
            <w:vAlign w:val="center"/>
          </w:tcPr>
          <w:p w14:paraId="01E9512C"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EDBBF33"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7F430CE6"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30.267.511 </w:t>
            </w:r>
          </w:p>
        </w:tc>
        <w:tc>
          <w:tcPr>
            <w:tcW w:w="451" w:type="pct"/>
            <w:noWrap/>
            <w:vAlign w:val="center"/>
          </w:tcPr>
          <w:p w14:paraId="4A52D0C2"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61F9065" w14:textId="77777777" w:rsidR="00D218D0" w:rsidRPr="00AE4E8D" w:rsidRDefault="00D218D0" w:rsidP="00FA3175">
            <w:pPr>
              <w:jc w:val="right"/>
              <w:rPr>
                <w:rFonts w:ascii="Times New Roman" w:hAnsi="Times New Roman"/>
                <w:sz w:val="14"/>
                <w:szCs w:val="14"/>
                <w:lang w:val="es-ES"/>
              </w:rPr>
            </w:pPr>
          </w:p>
        </w:tc>
        <w:tc>
          <w:tcPr>
            <w:tcW w:w="527" w:type="pct"/>
            <w:noWrap/>
            <w:vAlign w:val="center"/>
            <w:hideMark/>
          </w:tcPr>
          <w:p w14:paraId="63F35E70"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22.482.582 </w:t>
            </w:r>
          </w:p>
        </w:tc>
        <w:tc>
          <w:tcPr>
            <w:tcW w:w="435" w:type="pct"/>
            <w:noWrap/>
            <w:vAlign w:val="center"/>
          </w:tcPr>
          <w:p w14:paraId="0A7AD02C"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2490E787" w14:textId="77777777" w:rsidR="00D218D0" w:rsidRPr="00AE4E8D" w:rsidRDefault="00D218D0" w:rsidP="00FA3175">
            <w:pPr>
              <w:jc w:val="right"/>
              <w:rPr>
                <w:rFonts w:ascii="Times New Roman" w:hAnsi="Times New Roman"/>
                <w:sz w:val="14"/>
                <w:szCs w:val="14"/>
                <w:lang w:val="es-ES"/>
              </w:rPr>
            </w:pPr>
          </w:p>
        </w:tc>
      </w:tr>
      <w:tr w:rsidR="003B5193" w:rsidRPr="00AE4E8D" w14:paraId="23E6B0D6" w14:textId="77777777" w:rsidTr="00FA3175">
        <w:trPr>
          <w:trHeight w:val="255"/>
          <w:jc w:val="center"/>
        </w:trPr>
        <w:tc>
          <w:tcPr>
            <w:tcW w:w="553" w:type="pct"/>
            <w:vAlign w:val="center"/>
            <w:hideMark/>
          </w:tcPr>
          <w:p w14:paraId="62E992EB"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Dólares Est.</w:t>
            </w:r>
          </w:p>
        </w:tc>
        <w:tc>
          <w:tcPr>
            <w:tcW w:w="124" w:type="pct"/>
            <w:noWrap/>
            <w:vAlign w:val="bottom"/>
          </w:tcPr>
          <w:p w14:paraId="35B6258D"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single" w:sz="4" w:space="0" w:color="000000"/>
              <w:right w:val="nil"/>
            </w:tcBorders>
            <w:noWrap/>
            <w:vAlign w:val="center"/>
            <w:hideMark/>
          </w:tcPr>
          <w:p w14:paraId="27CB6672"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7.616.707 </w:t>
            </w:r>
          </w:p>
        </w:tc>
        <w:tc>
          <w:tcPr>
            <w:tcW w:w="490" w:type="pct"/>
            <w:noWrap/>
            <w:vAlign w:val="center"/>
          </w:tcPr>
          <w:p w14:paraId="4125DD2F"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4A32FA2"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000000"/>
              <w:right w:val="nil"/>
            </w:tcBorders>
            <w:noWrap/>
            <w:vAlign w:val="center"/>
            <w:hideMark/>
          </w:tcPr>
          <w:p w14:paraId="636758B4"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3.417.149 </w:t>
            </w:r>
          </w:p>
        </w:tc>
        <w:tc>
          <w:tcPr>
            <w:tcW w:w="451" w:type="pct"/>
            <w:noWrap/>
            <w:vAlign w:val="center"/>
          </w:tcPr>
          <w:p w14:paraId="0EC2DF17"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64F525D5"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single" w:sz="4" w:space="0" w:color="000000"/>
              <w:right w:val="nil"/>
            </w:tcBorders>
            <w:noWrap/>
            <w:vAlign w:val="center"/>
            <w:hideMark/>
          </w:tcPr>
          <w:p w14:paraId="2BB94A3A"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 3.405.206 </w:t>
            </w:r>
          </w:p>
        </w:tc>
        <w:tc>
          <w:tcPr>
            <w:tcW w:w="435" w:type="pct"/>
            <w:noWrap/>
            <w:vAlign w:val="center"/>
          </w:tcPr>
          <w:p w14:paraId="7E61517B"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767FE7A6" w14:textId="77777777" w:rsidR="00D218D0" w:rsidRPr="00AE4E8D" w:rsidRDefault="00D218D0" w:rsidP="00FA3175">
            <w:pPr>
              <w:jc w:val="right"/>
              <w:rPr>
                <w:rFonts w:ascii="Times New Roman" w:hAnsi="Times New Roman"/>
                <w:sz w:val="14"/>
                <w:szCs w:val="14"/>
                <w:lang w:val="es-ES"/>
              </w:rPr>
            </w:pPr>
          </w:p>
        </w:tc>
      </w:tr>
      <w:tr w:rsidR="003B5193" w:rsidRPr="00AE4E8D" w14:paraId="6827E68C" w14:textId="77777777" w:rsidTr="00FA3175">
        <w:trPr>
          <w:trHeight w:val="270"/>
          <w:jc w:val="center"/>
        </w:trPr>
        <w:tc>
          <w:tcPr>
            <w:tcW w:w="553" w:type="pct"/>
            <w:vAlign w:val="center"/>
            <w:hideMark/>
          </w:tcPr>
          <w:p w14:paraId="641ABA03" w14:textId="77777777" w:rsidR="00D218D0"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Total</w:t>
            </w:r>
          </w:p>
        </w:tc>
        <w:tc>
          <w:tcPr>
            <w:tcW w:w="124" w:type="pct"/>
            <w:noWrap/>
            <w:vAlign w:val="bottom"/>
          </w:tcPr>
          <w:p w14:paraId="705EEEBC" w14:textId="77777777" w:rsidR="00D218D0" w:rsidRPr="00AE4E8D" w:rsidRDefault="00D218D0" w:rsidP="00E90931">
            <w:pPr>
              <w:rPr>
                <w:rFonts w:ascii="Times New Roman" w:hAnsi="Times New Roman"/>
                <w:sz w:val="14"/>
                <w:szCs w:val="14"/>
                <w:lang w:val="es-ES"/>
              </w:rPr>
            </w:pPr>
          </w:p>
        </w:tc>
        <w:tc>
          <w:tcPr>
            <w:tcW w:w="527" w:type="pct"/>
            <w:tcBorders>
              <w:top w:val="nil"/>
              <w:left w:val="nil"/>
              <w:bottom w:val="double" w:sz="6" w:space="0" w:color="000000"/>
              <w:right w:val="nil"/>
            </w:tcBorders>
            <w:noWrap/>
            <w:vAlign w:val="center"/>
            <w:hideMark/>
          </w:tcPr>
          <w:p w14:paraId="04F9A6D9"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47.918.505 </w:t>
            </w:r>
          </w:p>
        </w:tc>
        <w:tc>
          <w:tcPr>
            <w:tcW w:w="490" w:type="pct"/>
            <w:noWrap/>
            <w:vAlign w:val="center"/>
          </w:tcPr>
          <w:p w14:paraId="788292BE"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444480E7"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double" w:sz="6" w:space="0" w:color="000000"/>
              <w:right w:val="nil"/>
            </w:tcBorders>
            <w:noWrap/>
            <w:vAlign w:val="center"/>
            <w:hideMark/>
          </w:tcPr>
          <w:p w14:paraId="1311FDC1"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33.684.660 </w:t>
            </w:r>
          </w:p>
        </w:tc>
        <w:tc>
          <w:tcPr>
            <w:tcW w:w="451" w:type="pct"/>
            <w:noWrap/>
            <w:vAlign w:val="center"/>
          </w:tcPr>
          <w:p w14:paraId="344094CE" w14:textId="77777777" w:rsidR="00D218D0" w:rsidRPr="00AE4E8D" w:rsidRDefault="00D218D0" w:rsidP="00FA3175">
            <w:pPr>
              <w:jc w:val="right"/>
              <w:rPr>
                <w:rFonts w:ascii="Times New Roman" w:hAnsi="Times New Roman"/>
                <w:sz w:val="14"/>
                <w:szCs w:val="14"/>
                <w:lang w:val="es-ES"/>
              </w:rPr>
            </w:pPr>
          </w:p>
        </w:tc>
        <w:tc>
          <w:tcPr>
            <w:tcW w:w="456" w:type="pct"/>
            <w:noWrap/>
            <w:vAlign w:val="center"/>
          </w:tcPr>
          <w:p w14:paraId="2C996573" w14:textId="77777777" w:rsidR="00D218D0" w:rsidRPr="00AE4E8D" w:rsidRDefault="00D218D0" w:rsidP="00FA3175">
            <w:pPr>
              <w:jc w:val="right"/>
              <w:rPr>
                <w:rFonts w:ascii="Times New Roman" w:hAnsi="Times New Roman"/>
                <w:sz w:val="14"/>
                <w:szCs w:val="14"/>
                <w:lang w:val="es-ES"/>
              </w:rPr>
            </w:pPr>
          </w:p>
        </w:tc>
        <w:tc>
          <w:tcPr>
            <w:tcW w:w="527" w:type="pct"/>
            <w:tcBorders>
              <w:top w:val="nil"/>
              <w:left w:val="nil"/>
              <w:bottom w:val="double" w:sz="6" w:space="0" w:color="000000"/>
              <w:right w:val="nil"/>
            </w:tcBorders>
            <w:noWrap/>
            <w:vAlign w:val="center"/>
            <w:hideMark/>
          </w:tcPr>
          <w:p w14:paraId="13D5B29D" w14:textId="77777777" w:rsidR="00D218D0"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218D0" w:rsidRPr="00AE4E8D">
              <w:rPr>
                <w:rFonts w:ascii="Times New Roman" w:hAnsi="Times New Roman"/>
                <w:sz w:val="14"/>
                <w:szCs w:val="14"/>
                <w:lang w:val="es-ES"/>
              </w:rPr>
              <w:t xml:space="preserve">25.887.788 </w:t>
            </w:r>
          </w:p>
        </w:tc>
        <w:tc>
          <w:tcPr>
            <w:tcW w:w="435" w:type="pct"/>
            <w:noWrap/>
            <w:vAlign w:val="center"/>
          </w:tcPr>
          <w:p w14:paraId="0831EF9B" w14:textId="77777777" w:rsidR="00D218D0" w:rsidRPr="00AE4E8D" w:rsidRDefault="00D218D0" w:rsidP="00FA3175">
            <w:pPr>
              <w:jc w:val="right"/>
              <w:rPr>
                <w:rFonts w:ascii="Times New Roman" w:hAnsi="Times New Roman"/>
                <w:sz w:val="14"/>
                <w:szCs w:val="14"/>
                <w:lang w:val="es-ES"/>
              </w:rPr>
            </w:pPr>
          </w:p>
        </w:tc>
        <w:tc>
          <w:tcPr>
            <w:tcW w:w="454" w:type="pct"/>
            <w:noWrap/>
            <w:vAlign w:val="center"/>
          </w:tcPr>
          <w:p w14:paraId="7EC1B41E" w14:textId="77777777" w:rsidR="00D218D0" w:rsidRPr="00AE4E8D" w:rsidRDefault="00D218D0" w:rsidP="00FA3175">
            <w:pPr>
              <w:jc w:val="right"/>
              <w:rPr>
                <w:rFonts w:ascii="Times New Roman" w:hAnsi="Times New Roman"/>
                <w:sz w:val="14"/>
                <w:szCs w:val="14"/>
                <w:lang w:val="es-ES"/>
              </w:rPr>
            </w:pPr>
          </w:p>
        </w:tc>
      </w:tr>
    </w:tbl>
    <w:p w14:paraId="5DC4683E" w14:textId="77777777" w:rsidR="00E90931" w:rsidRPr="00AE4E8D" w:rsidRDefault="00E90931" w:rsidP="00E90931">
      <w:pPr>
        <w:autoSpaceDE w:val="0"/>
        <w:autoSpaceDN w:val="0"/>
        <w:adjustRightInd w:val="0"/>
        <w:spacing w:before="120" w:after="120"/>
        <w:jc w:val="both"/>
        <w:rPr>
          <w:rFonts w:ascii="Times New Roman" w:hAnsi="Times New Roman"/>
          <w:highlight w:val="cyan"/>
          <w:lang w:val="es-ES" w:eastAsia="es-AR"/>
        </w:rPr>
      </w:pPr>
    </w:p>
    <w:p w14:paraId="52DFF521" w14:textId="77777777" w:rsidR="00E90931" w:rsidRPr="00AE4E8D" w:rsidRDefault="00E90931" w:rsidP="00E90931">
      <w:pPr>
        <w:autoSpaceDE w:val="0"/>
        <w:autoSpaceDN w:val="0"/>
        <w:adjustRightInd w:val="0"/>
        <w:spacing w:before="120" w:after="120"/>
        <w:jc w:val="both"/>
        <w:rPr>
          <w:rFonts w:ascii="Times New Roman" w:hAnsi="Times New Roman"/>
          <w:highlight w:val="cyan"/>
          <w:lang w:val="es-ES" w:eastAsia="es-AR"/>
        </w:rPr>
      </w:pPr>
    </w:p>
    <w:tbl>
      <w:tblPr>
        <w:tblW w:w="5000" w:type="pct"/>
        <w:jc w:val="center"/>
        <w:tblLook w:val="00A0" w:firstRow="1" w:lastRow="0" w:firstColumn="1" w:lastColumn="0" w:noHBand="0" w:noVBand="0"/>
      </w:tblPr>
      <w:tblGrid>
        <w:gridCol w:w="3355"/>
        <w:gridCol w:w="349"/>
        <w:gridCol w:w="1391"/>
        <w:gridCol w:w="1200"/>
        <w:gridCol w:w="987"/>
        <w:gridCol w:w="1391"/>
        <w:gridCol w:w="1092"/>
        <w:gridCol w:w="987"/>
        <w:gridCol w:w="1391"/>
        <w:gridCol w:w="1092"/>
        <w:gridCol w:w="986"/>
      </w:tblGrid>
      <w:tr w:rsidR="00B86C83" w:rsidRPr="00AE4E8D" w14:paraId="5AE5DF89" w14:textId="77777777" w:rsidTr="000400C8">
        <w:trPr>
          <w:trHeight w:val="255"/>
          <w:jc w:val="center"/>
        </w:trPr>
        <w:tc>
          <w:tcPr>
            <w:tcW w:w="1180" w:type="pct"/>
            <w:vAlign w:val="center"/>
          </w:tcPr>
          <w:p w14:paraId="74CBCE53" w14:textId="77777777" w:rsidR="00E90931" w:rsidRPr="00AE4E8D" w:rsidRDefault="00E90931" w:rsidP="00E90931">
            <w:pPr>
              <w:rPr>
                <w:rFonts w:ascii="Times New Roman" w:hAnsi="Times New Roman"/>
                <w:b/>
                <w:bCs/>
                <w:i/>
                <w:iCs/>
                <w:sz w:val="14"/>
                <w:szCs w:val="14"/>
                <w:lang w:val="es-ES"/>
              </w:rPr>
            </w:pPr>
          </w:p>
        </w:tc>
        <w:tc>
          <w:tcPr>
            <w:tcW w:w="123" w:type="pct"/>
            <w:noWrap/>
            <w:vAlign w:val="bottom"/>
          </w:tcPr>
          <w:p w14:paraId="49B7301A" w14:textId="77777777" w:rsidR="00E90931" w:rsidRPr="00AE4E8D" w:rsidRDefault="00E90931" w:rsidP="00E90931">
            <w:pPr>
              <w:rPr>
                <w:rFonts w:ascii="Times New Roman" w:hAnsi="Times New Roman"/>
                <w:b/>
                <w:bCs/>
                <w:i/>
                <w:iCs/>
                <w:sz w:val="14"/>
                <w:szCs w:val="14"/>
                <w:lang w:val="es-ES"/>
              </w:rPr>
            </w:pPr>
          </w:p>
        </w:tc>
        <w:tc>
          <w:tcPr>
            <w:tcW w:w="3698" w:type="pct"/>
            <w:gridSpan w:val="9"/>
            <w:tcBorders>
              <w:top w:val="nil"/>
              <w:left w:val="nil"/>
              <w:bottom w:val="single" w:sz="4" w:space="0" w:color="000000"/>
              <w:right w:val="nil"/>
            </w:tcBorders>
            <w:shd w:val="clear" w:color="auto" w:fill="FFFFFF"/>
            <w:noWrap/>
            <w:vAlign w:val="bottom"/>
            <w:hideMark/>
          </w:tcPr>
          <w:p w14:paraId="13BD294B"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Al 31 de diciembre de</w:t>
            </w:r>
          </w:p>
        </w:tc>
      </w:tr>
      <w:tr w:rsidR="003B5193" w:rsidRPr="00AE4E8D" w14:paraId="246B5A73" w14:textId="77777777" w:rsidTr="00E90931">
        <w:trPr>
          <w:trHeight w:val="255"/>
          <w:jc w:val="center"/>
        </w:trPr>
        <w:tc>
          <w:tcPr>
            <w:tcW w:w="1180" w:type="pct"/>
            <w:vAlign w:val="center"/>
          </w:tcPr>
          <w:p w14:paraId="3FBD7AF0" w14:textId="77777777" w:rsidR="00E90931" w:rsidRPr="00AE4E8D" w:rsidRDefault="00E90931" w:rsidP="00E90931">
            <w:pPr>
              <w:rPr>
                <w:rFonts w:ascii="Times New Roman" w:hAnsi="Times New Roman"/>
                <w:b/>
                <w:bCs/>
                <w:sz w:val="14"/>
                <w:szCs w:val="14"/>
                <w:lang w:val="es-ES"/>
              </w:rPr>
            </w:pPr>
          </w:p>
        </w:tc>
        <w:tc>
          <w:tcPr>
            <w:tcW w:w="123" w:type="pct"/>
            <w:noWrap/>
            <w:vAlign w:val="bottom"/>
          </w:tcPr>
          <w:p w14:paraId="63221FCE" w14:textId="77777777" w:rsidR="00E90931" w:rsidRPr="00AE4E8D" w:rsidRDefault="00E90931" w:rsidP="00E90931">
            <w:pPr>
              <w:rPr>
                <w:rFonts w:ascii="Times New Roman" w:hAnsi="Times New Roman"/>
                <w:b/>
                <w:bCs/>
                <w:sz w:val="14"/>
                <w:szCs w:val="14"/>
                <w:lang w:val="es-ES"/>
              </w:rPr>
            </w:pPr>
          </w:p>
        </w:tc>
        <w:tc>
          <w:tcPr>
            <w:tcW w:w="489" w:type="pct"/>
            <w:tcBorders>
              <w:top w:val="nil"/>
              <w:left w:val="nil"/>
              <w:bottom w:val="single" w:sz="4" w:space="0" w:color="000000"/>
              <w:right w:val="nil"/>
            </w:tcBorders>
            <w:shd w:val="clear" w:color="auto" w:fill="FFFFFF"/>
            <w:noWrap/>
            <w:vAlign w:val="bottom"/>
            <w:hideMark/>
          </w:tcPr>
          <w:p w14:paraId="2F2AFAC7"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422" w:type="pct"/>
            <w:tcBorders>
              <w:top w:val="nil"/>
              <w:left w:val="nil"/>
              <w:bottom w:val="single" w:sz="4" w:space="0" w:color="000000"/>
              <w:right w:val="nil"/>
            </w:tcBorders>
            <w:shd w:val="clear" w:color="auto" w:fill="FFFFFF"/>
            <w:noWrap/>
            <w:vAlign w:val="bottom"/>
            <w:hideMark/>
          </w:tcPr>
          <w:p w14:paraId="1EE36F13"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sz w:val="14"/>
                <w:lang w:val="es-ES"/>
              </w:rPr>
              <w:t>2016</w:t>
            </w:r>
            <w:r w:rsidRPr="00AE4E8D">
              <w:rPr>
                <w:rFonts w:ascii="Times New Roman" w:hAnsi="Times New Roman"/>
                <w:b/>
                <w:bCs/>
                <w:sz w:val="14"/>
                <w:szCs w:val="14"/>
                <w:lang w:val="es-ES"/>
              </w:rPr>
              <w:t xml:space="preserve"> </w:t>
            </w:r>
          </w:p>
        </w:tc>
        <w:tc>
          <w:tcPr>
            <w:tcW w:w="347" w:type="pct"/>
            <w:tcBorders>
              <w:top w:val="nil"/>
              <w:left w:val="nil"/>
              <w:bottom w:val="single" w:sz="4" w:space="0" w:color="000000"/>
              <w:right w:val="nil"/>
            </w:tcBorders>
            <w:shd w:val="clear" w:color="auto" w:fill="FFFFFF"/>
            <w:noWrap/>
            <w:vAlign w:val="bottom"/>
            <w:hideMark/>
          </w:tcPr>
          <w:p w14:paraId="1628EA05"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489" w:type="pct"/>
            <w:tcBorders>
              <w:top w:val="nil"/>
              <w:left w:val="nil"/>
              <w:bottom w:val="single" w:sz="4" w:space="0" w:color="000000"/>
              <w:right w:val="nil"/>
            </w:tcBorders>
            <w:shd w:val="clear" w:color="auto" w:fill="FFFFFF"/>
            <w:noWrap/>
            <w:vAlign w:val="bottom"/>
            <w:hideMark/>
          </w:tcPr>
          <w:p w14:paraId="3AA68B8C"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384" w:type="pct"/>
            <w:tcBorders>
              <w:top w:val="nil"/>
              <w:left w:val="nil"/>
              <w:bottom w:val="single" w:sz="4" w:space="0" w:color="000000"/>
              <w:right w:val="nil"/>
            </w:tcBorders>
            <w:shd w:val="clear" w:color="auto" w:fill="FFFFFF"/>
            <w:noWrap/>
            <w:vAlign w:val="bottom"/>
            <w:hideMark/>
          </w:tcPr>
          <w:p w14:paraId="22444983"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sz w:val="14"/>
                <w:lang w:val="es-ES"/>
              </w:rPr>
              <w:t>2015</w:t>
            </w:r>
            <w:r w:rsidRPr="00AE4E8D">
              <w:rPr>
                <w:rFonts w:ascii="Times New Roman" w:hAnsi="Times New Roman"/>
                <w:b/>
                <w:bCs/>
                <w:sz w:val="14"/>
                <w:szCs w:val="14"/>
                <w:lang w:val="es-ES"/>
              </w:rPr>
              <w:t xml:space="preserve"> </w:t>
            </w:r>
          </w:p>
        </w:tc>
        <w:tc>
          <w:tcPr>
            <w:tcW w:w="347" w:type="pct"/>
            <w:tcBorders>
              <w:top w:val="nil"/>
              <w:left w:val="nil"/>
              <w:bottom w:val="single" w:sz="4" w:space="0" w:color="000000"/>
              <w:right w:val="nil"/>
            </w:tcBorders>
            <w:shd w:val="clear" w:color="auto" w:fill="FFFFFF"/>
            <w:noWrap/>
            <w:vAlign w:val="bottom"/>
            <w:hideMark/>
          </w:tcPr>
          <w:p w14:paraId="30C4DD4A"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489" w:type="pct"/>
            <w:tcBorders>
              <w:top w:val="nil"/>
              <w:left w:val="nil"/>
              <w:bottom w:val="single" w:sz="4" w:space="0" w:color="000000"/>
              <w:right w:val="nil"/>
            </w:tcBorders>
            <w:shd w:val="clear" w:color="auto" w:fill="FFFFFF"/>
            <w:noWrap/>
            <w:vAlign w:val="bottom"/>
            <w:hideMark/>
          </w:tcPr>
          <w:p w14:paraId="0B6A2A4A"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c>
          <w:tcPr>
            <w:tcW w:w="384" w:type="pct"/>
            <w:tcBorders>
              <w:top w:val="nil"/>
              <w:left w:val="nil"/>
              <w:bottom w:val="single" w:sz="4" w:space="0" w:color="000000"/>
              <w:right w:val="nil"/>
            </w:tcBorders>
            <w:shd w:val="clear" w:color="auto" w:fill="FFFFFF"/>
            <w:noWrap/>
            <w:vAlign w:val="bottom"/>
            <w:hideMark/>
          </w:tcPr>
          <w:p w14:paraId="02E51A86"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sz w:val="14"/>
                <w:lang w:val="es-ES"/>
              </w:rPr>
              <w:t>2014</w:t>
            </w:r>
            <w:r w:rsidRPr="00AE4E8D">
              <w:rPr>
                <w:rFonts w:ascii="Times New Roman" w:hAnsi="Times New Roman"/>
                <w:b/>
                <w:bCs/>
                <w:sz w:val="14"/>
                <w:szCs w:val="14"/>
                <w:lang w:val="es-ES"/>
              </w:rPr>
              <w:t xml:space="preserve"> </w:t>
            </w:r>
          </w:p>
        </w:tc>
        <w:tc>
          <w:tcPr>
            <w:tcW w:w="347" w:type="pct"/>
            <w:tcBorders>
              <w:top w:val="nil"/>
              <w:left w:val="nil"/>
              <w:bottom w:val="single" w:sz="4" w:space="0" w:color="000000"/>
              <w:right w:val="nil"/>
            </w:tcBorders>
            <w:shd w:val="clear" w:color="auto" w:fill="FFFFFF"/>
            <w:noWrap/>
            <w:vAlign w:val="bottom"/>
            <w:hideMark/>
          </w:tcPr>
          <w:p w14:paraId="2A373EA7"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w:t>
            </w:r>
          </w:p>
        </w:tc>
      </w:tr>
      <w:tr w:rsidR="00B86C83" w:rsidRPr="00AE4E8D" w14:paraId="7A9FA51B" w14:textId="77777777" w:rsidTr="000400C8">
        <w:trPr>
          <w:trHeight w:val="660"/>
          <w:jc w:val="center"/>
        </w:trPr>
        <w:tc>
          <w:tcPr>
            <w:tcW w:w="1180" w:type="pct"/>
            <w:vAlign w:val="center"/>
          </w:tcPr>
          <w:p w14:paraId="4579A6B9" w14:textId="77777777" w:rsidR="00E90931" w:rsidRPr="00AE4E8D" w:rsidRDefault="00E90931" w:rsidP="00E90931">
            <w:pPr>
              <w:rPr>
                <w:rFonts w:ascii="Times New Roman" w:hAnsi="Times New Roman"/>
                <w:b/>
                <w:bCs/>
                <w:sz w:val="14"/>
                <w:szCs w:val="14"/>
                <w:lang w:val="es-ES"/>
              </w:rPr>
            </w:pPr>
          </w:p>
        </w:tc>
        <w:tc>
          <w:tcPr>
            <w:tcW w:w="123" w:type="pct"/>
            <w:noWrap/>
            <w:vAlign w:val="bottom"/>
          </w:tcPr>
          <w:p w14:paraId="66FDE2D8" w14:textId="77777777" w:rsidR="00E90931" w:rsidRPr="00AE4E8D" w:rsidRDefault="00E90931" w:rsidP="00E90931">
            <w:pPr>
              <w:rPr>
                <w:rFonts w:ascii="Times New Roman" w:hAnsi="Times New Roman"/>
                <w:b/>
                <w:bCs/>
                <w:sz w:val="14"/>
                <w:szCs w:val="14"/>
                <w:lang w:val="es-ES"/>
              </w:rPr>
            </w:pPr>
          </w:p>
        </w:tc>
        <w:tc>
          <w:tcPr>
            <w:tcW w:w="489" w:type="pct"/>
            <w:tcBorders>
              <w:top w:val="nil"/>
              <w:left w:val="nil"/>
              <w:bottom w:val="single" w:sz="8" w:space="0" w:color="auto"/>
              <w:right w:val="nil"/>
            </w:tcBorders>
            <w:vAlign w:val="bottom"/>
            <w:hideMark/>
          </w:tcPr>
          <w:p w14:paraId="34F457EE"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Saldo Promedio</w:t>
            </w:r>
          </w:p>
        </w:tc>
        <w:tc>
          <w:tcPr>
            <w:tcW w:w="422" w:type="pct"/>
            <w:tcBorders>
              <w:top w:val="nil"/>
              <w:left w:val="nil"/>
              <w:bottom w:val="single" w:sz="8" w:space="0" w:color="auto"/>
              <w:right w:val="nil"/>
            </w:tcBorders>
            <w:vAlign w:val="bottom"/>
            <w:hideMark/>
          </w:tcPr>
          <w:p w14:paraId="1CDE08AD"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Intereses Cobrados / Pagados</w:t>
            </w:r>
          </w:p>
        </w:tc>
        <w:tc>
          <w:tcPr>
            <w:tcW w:w="347" w:type="pct"/>
            <w:tcBorders>
              <w:top w:val="nil"/>
              <w:left w:val="nil"/>
              <w:bottom w:val="single" w:sz="8" w:space="0" w:color="auto"/>
              <w:right w:val="nil"/>
            </w:tcBorders>
            <w:vAlign w:val="bottom"/>
            <w:hideMark/>
          </w:tcPr>
          <w:p w14:paraId="0CFF85B4"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Rendimiento Promedio</w:t>
            </w:r>
          </w:p>
        </w:tc>
        <w:tc>
          <w:tcPr>
            <w:tcW w:w="489" w:type="pct"/>
            <w:tcBorders>
              <w:top w:val="nil"/>
              <w:left w:val="nil"/>
              <w:bottom w:val="single" w:sz="8" w:space="0" w:color="auto"/>
              <w:right w:val="nil"/>
            </w:tcBorders>
            <w:vAlign w:val="bottom"/>
            <w:hideMark/>
          </w:tcPr>
          <w:p w14:paraId="41B90E5A"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Saldo Promedio</w:t>
            </w:r>
          </w:p>
        </w:tc>
        <w:tc>
          <w:tcPr>
            <w:tcW w:w="384" w:type="pct"/>
            <w:tcBorders>
              <w:top w:val="nil"/>
              <w:left w:val="nil"/>
              <w:bottom w:val="single" w:sz="8" w:space="0" w:color="auto"/>
              <w:right w:val="nil"/>
            </w:tcBorders>
            <w:vAlign w:val="bottom"/>
            <w:hideMark/>
          </w:tcPr>
          <w:p w14:paraId="736862DE"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Intereses Cobrados / Pagados</w:t>
            </w:r>
          </w:p>
        </w:tc>
        <w:tc>
          <w:tcPr>
            <w:tcW w:w="347" w:type="pct"/>
            <w:tcBorders>
              <w:top w:val="nil"/>
              <w:left w:val="nil"/>
              <w:bottom w:val="single" w:sz="8" w:space="0" w:color="auto"/>
              <w:right w:val="nil"/>
            </w:tcBorders>
            <w:vAlign w:val="bottom"/>
            <w:hideMark/>
          </w:tcPr>
          <w:p w14:paraId="06A5C621"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Rendimiento Promedio</w:t>
            </w:r>
          </w:p>
        </w:tc>
        <w:tc>
          <w:tcPr>
            <w:tcW w:w="489" w:type="pct"/>
            <w:tcBorders>
              <w:top w:val="nil"/>
              <w:left w:val="nil"/>
              <w:bottom w:val="single" w:sz="8" w:space="0" w:color="auto"/>
              <w:right w:val="nil"/>
            </w:tcBorders>
            <w:vAlign w:val="bottom"/>
            <w:hideMark/>
          </w:tcPr>
          <w:p w14:paraId="20AE8D9F"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Saldo Promedio</w:t>
            </w:r>
          </w:p>
        </w:tc>
        <w:tc>
          <w:tcPr>
            <w:tcW w:w="384" w:type="pct"/>
            <w:tcBorders>
              <w:top w:val="nil"/>
              <w:left w:val="nil"/>
              <w:bottom w:val="single" w:sz="8" w:space="0" w:color="auto"/>
              <w:right w:val="nil"/>
            </w:tcBorders>
            <w:vAlign w:val="bottom"/>
            <w:hideMark/>
          </w:tcPr>
          <w:p w14:paraId="637BD7FD"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Intereses Cobrados / Pagados</w:t>
            </w:r>
          </w:p>
        </w:tc>
        <w:tc>
          <w:tcPr>
            <w:tcW w:w="347" w:type="pct"/>
            <w:tcBorders>
              <w:top w:val="nil"/>
              <w:left w:val="nil"/>
              <w:bottom w:val="single" w:sz="8" w:space="0" w:color="auto"/>
              <w:right w:val="nil"/>
            </w:tcBorders>
            <w:vAlign w:val="bottom"/>
            <w:hideMark/>
          </w:tcPr>
          <w:p w14:paraId="2119ECD7"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Rendimiento Promedio</w:t>
            </w:r>
          </w:p>
        </w:tc>
      </w:tr>
      <w:tr w:rsidR="003863FC" w:rsidRPr="00AE4E8D" w14:paraId="41C3B90E" w14:textId="77777777" w:rsidTr="000400C8">
        <w:trPr>
          <w:trHeight w:val="255"/>
          <w:jc w:val="center"/>
        </w:trPr>
        <w:tc>
          <w:tcPr>
            <w:tcW w:w="1180" w:type="pct"/>
            <w:vAlign w:val="center"/>
          </w:tcPr>
          <w:p w14:paraId="598DF511" w14:textId="77777777" w:rsidR="00E90931" w:rsidRPr="00AE4E8D" w:rsidRDefault="00E90931" w:rsidP="00E90931">
            <w:pPr>
              <w:rPr>
                <w:rFonts w:ascii="Times New Roman" w:hAnsi="Times New Roman"/>
                <w:sz w:val="14"/>
                <w:szCs w:val="14"/>
                <w:lang w:val="es-ES"/>
              </w:rPr>
            </w:pPr>
          </w:p>
        </w:tc>
        <w:tc>
          <w:tcPr>
            <w:tcW w:w="123" w:type="pct"/>
            <w:noWrap/>
            <w:vAlign w:val="bottom"/>
          </w:tcPr>
          <w:p w14:paraId="35FF7B8C" w14:textId="77777777" w:rsidR="00E90931" w:rsidRPr="00AE4E8D" w:rsidRDefault="00E90931" w:rsidP="00E90931">
            <w:pPr>
              <w:rPr>
                <w:rFonts w:ascii="Times New Roman" w:hAnsi="Times New Roman"/>
                <w:sz w:val="14"/>
                <w:szCs w:val="14"/>
                <w:lang w:val="es-ES"/>
              </w:rPr>
            </w:pPr>
          </w:p>
        </w:tc>
        <w:tc>
          <w:tcPr>
            <w:tcW w:w="3698" w:type="pct"/>
            <w:gridSpan w:val="9"/>
            <w:shd w:val="clear" w:color="auto" w:fill="FFFFFF"/>
            <w:noWrap/>
            <w:vAlign w:val="bottom"/>
            <w:hideMark/>
          </w:tcPr>
          <w:p w14:paraId="253372B1" w14:textId="77777777" w:rsidR="00E90931" w:rsidRPr="00AE4E8D" w:rsidRDefault="00E90931" w:rsidP="00E90931">
            <w:pPr>
              <w:jc w:val="center"/>
              <w:rPr>
                <w:rFonts w:ascii="Times New Roman" w:hAnsi="Times New Roman"/>
                <w:sz w:val="14"/>
                <w:szCs w:val="14"/>
                <w:lang w:val="es-ES"/>
              </w:rPr>
            </w:pPr>
            <w:r w:rsidRPr="00AE4E8D">
              <w:rPr>
                <w:rFonts w:ascii="Times New Roman" w:hAnsi="Times New Roman"/>
                <w:sz w:val="14"/>
                <w:szCs w:val="14"/>
                <w:lang w:val="es-ES"/>
              </w:rPr>
              <w:t>(en miles de Pesos, salvo porcentajes)</w:t>
            </w:r>
          </w:p>
        </w:tc>
      </w:tr>
      <w:tr w:rsidR="003B5193" w:rsidRPr="00AE4E8D" w14:paraId="6365C1E3" w14:textId="77777777" w:rsidTr="00E90931">
        <w:trPr>
          <w:trHeight w:val="255"/>
          <w:jc w:val="center"/>
        </w:trPr>
        <w:tc>
          <w:tcPr>
            <w:tcW w:w="1180" w:type="pct"/>
            <w:vAlign w:val="center"/>
            <w:hideMark/>
          </w:tcPr>
          <w:p w14:paraId="0C9F363D"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PASIVO</w:t>
            </w:r>
          </w:p>
        </w:tc>
        <w:tc>
          <w:tcPr>
            <w:tcW w:w="123" w:type="pct"/>
            <w:noWrap/>
            <w:vAlign w:val="bottom"/>
          </w:tcPr>
          <w:p w14:paraId="52F08811"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bottom"/>
            <w:hideMark/>
          </w:tcPr>
          <w:p w14:paraId="70A0E01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bottom"/>
            <w:hideMark/>
          </w:tcPr>
          <w:p w14:paraId="66C101F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bottom"/>
          </w:tcPr>
          <w:p w14:paraId="1574F1BE" w14:textId="77777777" w:rsidR="00E90931" w:rsidRPr="00AE4E8D" w:rsidRDefault="00E90931" w:rsidP="00E90931">
            <w:pPr>
              <w:rPr>
                <w:rFonts w:ascii="Times New Roman" w:hAnsi="Times New Roman"/>
                <w:sz w:val="14"/>
                <w:szCs w:val="14"/>
                <w:lang w:val="es-ES"/>
              </w:rPr>
            </w:pPr>
          </w:p>
        </w:tc>
        <w:tc>
          <w:tcPr>
            <w:tcW w:w="489" w:type="pct"/>
            <w:noWrap/>
            <w:vAlign w:val="bottom"/>
          </w:tcPr>
          <w:p w14:paraId="426AC26A" w14:textId="77777777" w:rsidR="00E90931" w:rsidRPr="00AE4E8D" w:rsidRDefault="00E90931" w:rsidP="00E90931">
            <w:pPr>
              <w:rPr>
                <w:rFonts w:ascii="Times New Roman" w:hAnsi="Times New Roman"/>
                <w:sz w:val="14"/>
                <w:szCs w:val="14"/>
                <w:lang w:val="es-ES"/>
              </w:rPr>
            </w:pPr>
          </w:p>
        </w:tc>
        <w:tc>
          <w:tcPr>
            <w:tcW w:w="384" w:type="pct"/>
            <w:noWrap/>
            <w:vAlign w:val="bottom"/>
          </w:tcPr>
          <w:p w14:paraId="14B145C9" w14:textId="77777777" w:rsidR="00E90931" w:rsidRPr="00AE4E8D" w:rsidRDefault="00E90931" w:rsidP="00E90931">
            <w:pPr>
              <w:rPr>
                <w:rFonts w:ascii="Times New Roman" w:hAnsi="Times New Roman"/>
                <w:sz w:val="14"/>
                <w:szCs w:val="14"/>
                <w:lang w:val="es-ES"/>
              </w:rPr>
            </w:pPr>
          </w:p>
        </w:tc>
        <w:tc>
          <w:tcPr>
            <w:tcW w:w="347" w:type="pct"/>
            <w:noWrap/>
            <w:vAlign w:val="bottom"/>
          </w:tcPr>
          <w:p w14:paraId="6FCEEB5C" w14:textId="77777777" w:rsidR="00E90931" w:rsidRPr="00AE4E8D" w:rsidRDefault="00E90931" w:rsidP="00E90931">
            <w:pPr>
              <w:rPr>
                <w:rFonts w:ascii="Times New Roman" w:hAnsi="Times New Roman"/>
                <w:sz w:val="14"/>
                <w:szCs w:val="14"/>
                <w:lang w:val="es-ES"/>
              </w:rPr>
            </w:pPr>
          </w:p>
        </w:tc>
        <w:tc>
          <w:tcPr>
            <w:tcW w:w="489" w:type="pct"/>
            <w:noWrap/>
            <w:vAlign w:val="bottom"/>
          </w:tcPr>
          <w:p w14:paraId="7028233A" w14:textId="77777777" w:rsidR="00E90931" w:rsidRPr="00AE4E8D" w:rsidRDefault="00E90931" w:rsidP="00E90931">
            <w:pPr>
              <w:rPr>
                <w:rFonts w:ascii="Times New Roman" w:hAnsi="Times New Roman"/>
                <w:sz w:val="14"/>
                <w:szCs w:val="14"/>
                <w:lang w:val="es-ES"/>
              </w:rPr>
            </w:pPr>
          </w:p>
        </w:tc>
        <w:tc>
          <w:tcPr>
            <w:tcW w:w="384" w:type="pct"/>
            <w:noWrap/>
            <w:vAlign w:val="bottom"/>
          </w:tcPr>
          <w:p w14:paraId="4EDC5D2F" w14:textId="77777777" w:rsidR="00E90931" w:rsidRPr="00AE4E8D" w:rsidRDefault="00E90931" w:rsidP="00E90931">
            <w:pPr>
              <w:rPr>
                <w:rFonts w:ascii="Times New Roman" w:hAnsi="Times New Roman"/>
                <w:sz w:val="14"/>
                <w:szCs w:val="14"/>
                <w:lang w:val="es-ES"/>
              </w:rPr>
            </w:pPr>
          </w:p>
        </w:tc>
        <w:tc>
          <w:tcPr>
            <w:tcW w:w="347" w:type="pct"/>
            <w:noWrap/>
            <w:vAlign w:val="bottom"/>
          </w:tcPr>
          <w:p w14:paraId="76EFAA50" w14:textId="77777777" w:rsidR="00E90931" w:rsidRPr="00AE4E8D" w:rsidRDefault="00E90931" w:rsidP="00E90931">
            <w:pPr>
              <w:rPr>
                <w:rFonts w:ascii="Times New Roman" w:hAnsi="Times New Roman"/>
                <w:sz w:val="14"/>
                <w:szCs w:val="14"/>
                <w:lang w:val="es-ES"/>
              </w:rPr>
            </w:pPr>
          </w:p>
        </w:tc>
      </w:tr>
      <w:tr w:rsidR="003B5193" w:rsidRPr="00AE4E8D" w14:paraId="1E8C0B42" w14:textId="77777777" w:rsidTr="00E90931">
        <w:trPr>
          <w:trHeight w:val="255"/>
          <w:jc w:val="center"/>
        </w:trPr>
        <w:tc>
          <w:tcPr>
            <w:tcW w:w="1180" w:type="pct"/>
            <w:vAlign w:val="center"/>
            <w:hideMark/>
          </w:tcPr>
          <w:p w14:paraId="51CC00FF"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Pasivos que devengan intereses</w:t>
            </w:r>
          </w:p>
        </w:tc>
        <w:tc>
          <w:tcPr>
            <w:tcW w:w="123" w:type="pct"/>
            <w:noWrap/>
            <w:vAlign w:val="bottom"/>
          </w:tcPr>
          <w:p w14:paraId="1A4F272E"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bottom"/>
            <w:hideMark/>
          </w:tcPr>
          <w:p w14:paraId="699EE2C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bottom"/>
            <w:hideMark/>
          </w:tcPr>
          <w:p w14:paraId="0F6FE38A"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bottom"/>
          </w:tcPr>
          <w:p w14:paraId="5278CB6C" w14:textId="77777777" w:rsidR="00E90931" w:rsidRPr="00AE4E8D" w:rsidRDefault="00E90931" w:rsidP="00E90931">
            <w:pPr>
              <w:rPr>
                <w:rFonts w:ascii="Times New Roman" w:hAnsi="Times New Roman"/>
                <w:sz w:val="14"/>
                <w:szCs w:val="14"/>
                <w:lang w:val="es-ES"/>
              </w:rPr>
            </w:pPr>
          </w:p>
        </w:tc>
        <w:tc>
          <w:tcPr>
            <w:tcW w:w="489" w:type="pct"/>
            <w:noWrap/>
            <w:vAlign w:val="bottom"/>
          </w:tcPr>
          <w:p w14:paraId="7F20C11A" w14:textId="77777777" w:rsidR="00E90931" w:rsidRPr="00AE4E8D" w:rsidRDefault="00E90931" w:rsidP="00E90931">
            <w:pPr>
              <w:rPr>
                <w:rFonts w:ascii="Times New Roman" w:hAnsi="Times New Roman"/>
                <w:sz w:val="14"/>
                <w:szCs w:val="14"/>
                <w:lang w:val="es-ES"/>
              </w:rPr>
            </w:pPr>
          </w:p>
        </w:tc>
        <w:tc>
          <w:tcPr>
            <w:tcW w:w="384" w:type="pct"/>
            <w:noWrap/>
            <w:vAlign w:val="bottom"/>
          </w:tcPr>
          <w:p w14:paraId="269CFE9A" w14:textId="77777777" w:rsidR="00E90931" w:rsidRPr="00AE4E8D" w:rsidRDefault="00E90931" w:rsidP="00E90931">
            <w:pPr>
              <w:rPr>
                <w:rFonts w:ascii="Times New Roman" w:hAnsi="Times New Roman"/>
                <w:sz w:val="14"/>
                <w:szCs w:val="14"/>
                <w:lang w:val="es-ES"/>
              </w:rPr>
            </w:pPr>
          </w:p>
        </w:tc>
        <w:tc>
          <w:tcPr>
            <w:tcW w:w="347" w:type="pct"/>
            <w:noWrap/>
            <w:vAlign w:val="bottom"/>
          </w:tcPr>
          <w:p w14:paraId="6FE03308" w14:textId="77777777" w:rsidR="00E90931" w:rsidRPr="00AE4E8D" w:rsidRDefault="00E90931" w:rsidP="00E90931">
            <w:pPr>
              <w:rPr>
                <w:rFonts w:ascii="Times New Roman" w:hAnsi="Times New Roman"/>
                <w:sz w:val="14"/>
                <w:szCs w:val="14"/>
                <w:lang w:val="es-ES"/>
              </w:rPr>
            </w:pPr>
          </w:p>
        </w:tc>
        <w:tc>
          <w:tcPr>
            <w:tcW w:w="489" w:type="pct"/>
            <w:noWrap/>
            <w:vAlign w:val="bottom"/>
          </w:tcPr>
          <w:p w14:paraId="0712B8FD" w14:textId="77777777" w:rsidR="00E90931" w:rsidRPr="00AE4E8D" w:rsidRDefault="00E90931" w:rsidP="00E90931">
            <w:pPr>
              <w:rPr>
                <w:rFonts w:ascii="Times New Roman" w:hAnsi="Times New Roman"/>
                <w:sz w:val="14"/>
                <w:szCs w:val="14"/>
                <w:lang w:val="es-ES"/>
              </w:rPr>
            </w:pPr>
          </w:p>
        </w:tc>
        <w:tc>
          <w:tcPr>
            <w:tcW w:w="384" w:type="pct"/>
            <w:noWrap/>
            <w:vAlign w:val="bottom"/>
          </w:tcPr>
          <w:p w14:paraId="744F77C8" w14:textId="77777777" w:rsidR="00E90931" w:rsidRPr="00AE4E8D" w:rsidRDefault="00E90931" w:rsidP="00E90931">
            <w:pPr>
              <w:rPr>
                <w:rFonts w:ascii="Times New Roman" w:hAnsi="Times New Roman"/>
                <w:sz w:val="14"/>
                <w:szCs w:val="14"/>
                <w:lang w:val="es-ES"/>
              </w:rPr>
            </w:pPr>
          </w:p>
        </w:tc>
        <w:tc>
          <w:tcPr>
            <w:tcW w:w="347" w:type="pct"/>
            <w:noWrap/>
            <w:vAlign w:val="bottom"/>
          </w:tcPr>
          <w:p w14:paraId="27B32480" w14:textId="77777777" w:rsidR="00E90931" w:rsidRPr="00AE4E8D" w:rsidRDefault="00E90931" w:rsidP="00E90931">
            <w:pPr>
              <w:rPr>
                <w:rFonts w:ascii="Times New Roman" w:hAnsi="Times New Roman"/>
                <w:sz w:val="14"/>
                <w:szCs w:val="14"/>
                <w:lang w:val="es-ES"/>
              </w:rPr>
            </w:pPr>
          </w:p>
        </w:tc>
      </w:tr>
      <w:tr w:rsidR="003B5193" w:rsidRPr="00AE4E8D" w14:paraId="38BFFD8F" w14:textId="77777777" w:rsidTr="00FA3175">
        <w:trPr>
          <w:trHeight w:val="255"/>
          <w:jc w:val="center"/>
        </w:trPr>
        <w:tc>
          <w:tcPr>
            <w:tcW w:w="1180" w:type="pct"/>
            <w:vAlign w:val="center"/>
            <w:hideMark/>
          </w:tcPr>
          <w:p w14:paraId="7D98A4C3"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Caja de Ahorro</w:t>
            </w:r>
          </w:p>
        </w:tc>
        <w:tc>
          <w:tcPr>
            <w:tcW w:w="123" w:type="pct"/>
            <w:noWrap/>
            <w:vAlign w:val="bottom"/>
          </w:tcPr>
          <w:p w14:paraId="63F5B91C"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64CB532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6741827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5736E8C5"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708CA9BA"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5F582E71"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54FA9837"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2CAE56CA"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374450EF"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52E1BA96" w14:textId="77777777" w:rsidR="00E90931" w:rsidRPr="00AE4E8D" w:rsidRDefault="00E90931" w:rsidP="00FA3175">
            <w:pPr>
              <w:jc w:val="right"/>
              <w:rPr>
                <w:rFonts w:ascii="Times New Roman" w:hAnsi="Times New Roman"/>
                <w:sz w:val="14"/>
                <w:szCs w:val="14"/>
                <w:lang w:val="es-ES"/>
              </w:rPr>
            </w:pPr>
          </w:p>
        </w:tc>
      </w:tr>
      <w:tr w:rsidR="003B5193" w:rsidRPr="00AE4E8D" w14:paraId="23FC0F18" w14:textId="77777777" w:rsidTr="00FA3175">
        <w:trPr>
          <w:trHeight w:val="255"/>
          <w:jc w:val="center"/>
        </w:trPr>
        <w:tc>
          <w:tcPr>
            <w:tcW w:w="1180" w:type="pct"/>
            <w:vAlign w:val="center"/>
            <w:hideMark/>
          </w:tcPr>
          <w:p w14:paraId="386F3476"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1D3C60B8"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3057421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1.705.927 </w:t>
            </w:r>
          </w:p>
        </w:tc>
        <w:tc>
          <w:tcPr>
            <w:tcW w:w="422" w:type="pct"/>
            <w:shd w:val="clear" w:color="auto" w:fill="FFFFFF"/>
            <w:noWrap/>
            <w:vAlign w:val="center"/>
            <w:hideMark/>
          </w:tcPr>
          <w:p w14:paraId="1E90597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3.076 </w:t>
            </w:r>
          </w:p>
        </w:tc>
        <w:tc>
          <w:tcPr>
            <w:tcW w:w="347" w:type="pct"/>
            <w:shd w:val="clear" w:color="auto" w:fill="FFFFFF"/>
            <w:noWrap/>
            <w:vAlign w:val="center"/>
            <w:hideMark/>
          </w:tcPr>
          <w:p w14:paraId="22C5A2B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0,18%</w:t>
            </w:r>
          </w:p>
        </w:tc>
        <w:tc>
          <w:tcPr>
            <w:tcW w:w="489" w:type="pct"/>
            <w:noWrap/>
            <w:vAlign w:val="center"/>
            <w:hideMark/>
          </w:tcPr>
          <w:p w14:paraId="12FF466E"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1.719.629 </w:t>
            </w:r>
          </w:p>
        </w:tc>
        <w:tc>
          <w:tcPr>
            <w:tcW w:w="384" w:type="pct"/>
            <w:noWrap/>
            <w:vAlign w:val="center"/>
            <w:hideMark/>
          </w:tcPr>
          <w:p w14:paraId="663DB38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2.905 </w:t>
            </w:r>
          </w:p>
        </w:tc>
        <w:tc>
          <w:tcPr>
            <w:tcW w:w="347" w:type="pct"/>
            <w:shd w:val="clear" w:color="auto" w:fill="FFFFFF"/>
            <w:noWrap/>
            <w:vAlign w:val="center"/>
            <w:hideMark/>
          </w:tcPr>
          <w:p w14:paraId="681D9D3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0,17%</w:t>
            </w:r>
          </w:p>
        </w:tc>
        <w:tc>
          <w:tcPr>
            <w:tcW w:w="489" w:type="pct"/>
            <w:noWrap/>
            <w:vAlign w:val="center"/>
            <w:hideMark/>
          </w:tcPr>
          <w:p w14:paraId="5324DF8E"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1.100.302 </w:t>
            </w:r>
          </w:p>
        </w:tc>
        <w:tc>
          <w:tcPr>
            <w:tcW w:w="384" w:type="pct"/>
            <w:noWrap/>
            <w:vAlign w:val="center"/>
            <w:hideMark/>
          </w:tcPr>
          <w:p w14:paraId="48A13A9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1.958 </w:t>
            </w:r>
          </w:p>
        </w:tc>
        <w:tc>
          <w:tcPr>
            <w:tcW w:w="347" w:type="pct"/>
            <w:shd w:val="clear" w:color="auto" w:fill="FFFFFF"/>
            <w:noWrap/>
            <w:vAlign w:val="center"/>
            <w:hideMark/>
          </w:tcPr>
          <w:p w14:paraId="6C5214F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0,18%</w:t>
            </w:r>
          </w:p>
        </w:tc>
      </w:tr>
      <w:tr w:rsidR="003B5193" w:rsidRPr="00AE4E8D" w14:paraId="763919CB" w14:textId="77777777" w:rsidTr="00FA3175">
        <w:trPr>
          <w:trHeight w:val="255"/>
          <w:jc w:val="center"/>
        </w:trPr>
        <w:tc>
          <w:tcPr>
            <w:tcW w:w="1180" w:type="pct"/>
            <w:vAlign w:val="center"/>
            <w:hideMark/>
          </w:tcPr>
          <w:p w14:paraId="17DBD5D3"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67A6CBC7"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04E4801E"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269.404 </w:t>
            </w:r>
          </w:p>
        </w:tc>
        <w:tc>
          <w:tcPr>
            <w:tcW w:w="422" w:type="pct"/>
            <w:tcBorders>
              <w:top w:val="nil"/>
              <w:left w:val="nil"/>
              <w:bottom w:val="single" w:sz="4" w:space="0" w:color="000000"/>
              <w:right w:val="nil"/>
            </w:tcBorders>
            <w:shd w:val="clear" w:color="auto" w:fill="FFFFFF"/>
            <w:noWrap/>
            <w:vAlign w:val="center"/>
            <w:hideMark/>
          </w:tcPr>
          <w:p w14:paraId="4D13A4D0"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174</w:t>
            </w:r>
          </w:p>
        </w:tc>
        <w:tc>
          <w:tcPr>
            <w:tcW w:w="347" w:type="pct"/>
            <w:shd w:val="clear" w:color="auto" w:fill="FFFFFF"/>
            <w:noWrap/>
            <w:vAlign w:val="center"/>
            <w:hideMark/>
          </w:tcPr>
          <w:p w14:paraId="05A695F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0,06%</w:t>
            </w:r>
          </w:p>
        </w:tc>
        <w:tc>
          <w:tcPr>
            <w:tcW w:w="489" w:type="pct"/>
            <w:tcBorders>
              <w:top w:val="nil"/>
              <w:left w:val="nil"/>
              <w:bottom w:val="single" w:sz="4" w:space="0" w:color="000000"/>
              <w:right w:val="nil"/>
            </w:tcBorders>
            <w:noWrap/>
            <w:vAlign w:val="center"/>
            <w:hideMark/>
          </w:tcPr>
          <w:p w14:paraId="62D39C0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119.172 </w:t>
            </w:r>
          </w:p>
        </w:tc>
        <w:tc>
          <w:tcPr>
            <w:tcW w:w="384" w:type="pct"/>
            <w:tcBorders>
              <w:top w:val="nil"/>
              <w:left w:val="nil"/>
              <w:bottom w:val="single" w:sz="4" w:space="0" w:color="000000"/>
              <w:right w:val="nil"/>
            </w:tcBorders>
            <w:noWrap/>
            <w:vAlign w:val="center"/>
            <w:hideMark/>
          </w:tcPr>
          <w:p w14:paraId="6B1602C6"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76 </w:t>
            </w:r>
          </w:p>
        </w:tc>
        <w:tc>
          <w:tcPr>
            <w:tcW w:w="347" w:type="pct"/>
            <w:shd w:val="clear" w:color="auto" w:fill="FFFFFF"/>
            <w:noWrap/>
            <w:vAlign w:val="center"/>
            <w:hideMark/>
          </w:tcPr>
          <w:p w14:paraId="4675494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0,06%</w:t>
            </w:r>
          </w:p>
        </w:tc>
        <w:tc>
          <w:tcPr>
            <w:tcW w:w="489" w:type="pct"/>
            <w:tcBorders>
              <w:top w:val="nil"/>
              <w:left w:val="nil"/>
              <w:bottom w:val="single" w:sz="4" w:space="0" w:color="000000"/>
              <w:right w:val="nil"/>
            </w:tcBorders>
            <w:noWrap/>
            <w:vAlign w:val="center"/>
            <w:hideMark/>
          </w:tcPr>
          <w:p w14:paraId="1C8949F7"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74.901 </w:t>
            </w:r>
          </w:p>
        </w:tc>
        <w:tc>
          <w:tcPr>
            <w:tcW w:w="384" w:type="pct"/>
            <w:tcBorders>
              <w:top w:val="nil"/>
              <w:left w:val="nil"/>
              <w:bottom w:val="single" w:sz="4" w:space="0" w:color="000000"/>
              <w:right w:val="nil"/>
            </w:tcBorders>
            <w:noWrap/>
            <w:vAlign w:val="center"/>
            <w:hideMark/>
          </w:tcPr>
          <w:p w14:paraId="59E75767"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53 </w:t>
            </w:r>
          </w:p>
        </w:tc>
        <w:tc>
          <w:tcPr>
            <w:tcW w:w="347" w:type="pct"/>
            <w:shd w:val="clear" w:color="auto" w:fill="FFFFFF"/>
            <w:noWrap/>
            <w:vAlign w:val="center"/>
            <w:hideMark/>
          </w:tcPr>
          <w:p w14:paraId="1B10FFF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0,07%</w:t>
            </w:r>
          </w:p>
        </w:tc>
      </w:tr>
      <w:tr w:rsidR="003B5193" w:rsidRPr="00AE4E8D" w14:paraId="58CA4A34" w14:textId="77777777" w:rsidTr="00FA3175">
        <w:trPr>
          <w:trHeight w:val="255"/>
          <w:jc w:val="center"/>
        </w:trPr>
        <w:tc>
          <w:tcPr>
            <w:tcW w:w="1180" w:type="pct"/>
            <w:vAlign w:val="center"/>
            <w:hideMark/>
          </w:tcPr>
          <w:p w14:paraId="079F8A3E"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0E872BFE"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72AF5CF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1.975.331 </w:t>
            </w:r>
          </w:p>
        </w:tc>
        <w:tc>
          <w:tcPr>
            <w:tcW w:w="422" w:type="pct"/>
            <w:shd w:val="clear" w:color="auto" w:fill="FFFFFF"/>
            <w:noWrap/>
            <w:vAlign w:val="center"/>
            <w:hideMark/>
          </w:tcPr>
          <w:p w14:paraId="4C8EDB61"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3.250 </w:t>
            </w:r>
          </w:p>
        </w:tc>
        <w:tc>
          <w:tcPr>
            <w:tcW w:w="347" w:type="pct"/>
            <w:tcBorders>
              <w:top w:val="single" w:sz="4" w:space="0" w:color="auto"/>
              <w:left w:val="nil"/>
              <w:bottom w:val="nil"/>
              <w:right w:val="nil"/>
            </w:tcBorders>
            <w:shd w:val="clear" w:color="auto" w:fill="FFFFFF"/>
            <w:noWrap/>
            <w:vAlign w:val="center"/>
            <w:hideMark/>
          </w:tcPr>
          <w:p w14:paraId="1F82FC1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0,16%</w:t>
            </w:r>
          </w:p>
        </w:tc>
        <w:tc>
          <w:tcPr>
            <w:tcW w:w="489" w:type="pct"/>
            <w:noWrap/>
            <w:vAlign w:val="center"/>
            <w:hideMark/>
          </w:tcPr>
          <w:p w14:paraId="7F0EE99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1.838.801 </w:t>
            </w:r>
          </w:p>
        </w:tc>
        <w:tc>
          <w:tcPr>
            <w:tcW w:w="384" w:type="pct"/>
            <w:noWrap/>
            <w:vAlign w:val="center"/>
            <w:hideMark/>
          </w:tcPr>
          <w:p w14:paraId="7A24CFE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2.981 </w:t>
            </w:r>
          </w:p>
        </w:tc>
        <w:tc>
          <w:tcPr>
            <w:tcW w:w="347" w:type="pct"/>
            <w:tcBorders>
              <w:top w:val="single" w:sz="4" w:space="0" w:color="auto"/>
              <w:left w:val="nil"/>
              <w:bottom w:val="nil"/>
              <w:right w:val="nil"/>
            </w:tcBorders>
            <w:shd w:val="clear" w:color="auto" w:fill="FFFFFF"/>
            <w:noWrap/>
            <w:vAlign w:val="center"/>
            <w:hideMark/>
          </w:tcPr>
          <w:p w14:paraId="7149913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0,16%</w:t>
            </w:r>
          </w:p>
        </w:tc>
        <w:tc>
          <w:tcPr>
            <w:tcW w:w="489" w:type="pct"/>
            <w:noWrap/>
            <w:vAlign w:val="center"/>
            <w:hideMark/>
          </w:tcPr>
          <w:p w14:paraId="2E55986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1.175.203 </w:t>
            </w:r>
          </w:p>
        </w:tc>
        <w:tc>
          <w:tcPr>
            <w:tcW w:w="384" w:type="pct"/>
            <w:noWrap/>
            <w:vAlign w:val="center"/>
            <w:hideMark/>
          </w:tcPr>
          <w:p w14:paraId="24C510D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2.011 </w:t>
            </w:r>
          </w:p>
        </w:tc>
        <w:tc>
          <w:tcPr>
            <w:tcW w:w="347" w:type="pct"/>
            <w:tcBorders>
              <w:top w:val="single" w:sz="4" w:space="0" w:color="auto"/>
              <w:left w:val="nil"/>
              <w:bottom w:val="nil"/>
              <w:right w:val="nil"/>
            </w:tcBorders>
            <w:shd w:val="clear" w:color="auto" w:fill="FFFFFF"/>
            <w:noWrap/>
            <w:vAlign w:val="center"/>
            <w:hideMark/>
          </w:tcPr>
          <w:p w14:paraId="37231AD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0,17%</w:t>
            </w:r>
          </w:p>
        </w:tc>
      </w:tr>
      <w:tr w:rsidR="003B5193" w:rsidRPr="00AE4E8D" w14:paraId="54D36398" w14:textId="77777777" w:rsidTr="00FA3175">
        <w:trPr>
          <w:trHeight w:val="255"/>
          <w:jc w:val="center"/>
        </w:trPr>
        <w:tc>
          <w:tcPr>
            <w:tcW w:w="1180" w:type="pct"/>
            <w:vAlign w:val="center"/>
            <w:hideMark/>
          </w:tcPr>
          <w:p w14:paraId="638D9663"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Cuentas Corrientes</w:t>
            </w:r>
          </w:p>
        </w:tc>
        <w:tc>
          <w:tcPr>
            <w:tcW w:w="123" w:type="pct"/>
            <w:noWrap/>
            <w:vAlign w:val="bottom"/>
          </w:tcPr>
          <w:p w14:paraId="49CF4A93"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306CD7D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5AA16FA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E445E7B"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1FE9A39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613500D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496EFC8B"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41DB4DAB"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153F658D"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3C279030" w14:textId="77777777" w:rsidR="00E90931" w:rsidRPr="00AE4E8D" w:rsidRDefault="00E90931" w:rsidP="00FA3175">
            <w:pPr>
              <w:jc w:val="right"/>
              <w:rPr>
                <w:rFonts w:ascii="Times New Roman" w:hAnsi="Times New Roman"/>
                <w:sz w:val="14"/>
                <w:szCs w:val="14"/>
                <w:lang w:val="es-ES"/>
              </w:rPr>
            </w:pPr>
          </w:p>
        </w:tc>
      </w:tr>
      <w:tr w:rsidR="003B5193" w:rsidRPr="00AE4E8D" w14:paraId="1207CC35" w14:textId="77777777" w:rsidTr="00FA3175">
        <w:trPr>
          <w:trHeight w:val="255"/>
          <w:jc w:val="center"/>
        </w:trPr>
        <w:tc>
          <w:tcPr>
            <w:tcW w:w="1180" w:type="pct"/>
            <w:vAlign w:val="center"/>
            <w:hideMark/>
          </w:tcPr>
          <w:p w14:paraId="4CA0961C"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47AB8C7C"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1B39427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131.806 </w:t>
            </w:r>
          </w:p>
        </w:tc>
        <w:tc>
          <w:tcPr>
            <w:tcW w:w="422" w:type="pct"/>
            <w:shd w:val="clear" w:color="auto" w:fill="FFFFFF"/>
            <w:noWrap/>
            <w:vAlign w:val="center"/>
            <w:hideMark/>
          </w:tcPr>
          <w:p w14:paraId="7EB8C69E"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47" w:type="pct"/>
            <w:shd w:val="clear" w:color="auto" w:fill="FFFFFF"/>
            <w:noWrap/>
            <w:vAlign w:val="center"/>
            <w:hideMark/>
          </w:tcPr>
          <w:p w14:paraId="11A89C5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0,00%</w:t>
            </w:r>
          </w:p>
        </w:tc>
        <w:tc>
          <w:tcPr>
            <w:tcW w:w="489" w:type="pct"/>
            <w:noWrap/>
            <w:vAlign w:val="center"/>
            <w:hideMark/>
          </w:tcPr>
          <w:p w14:paraId="0C82F367"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1.467.849 </w:t>
            </w:r>
          </w:p>
        </w:tc>
        <w:tc>
          <w:tcPr>
            <w:tcW w:w="384" w:type="pct"/>
            <w:noWrap/>
            <w:vAlign w:val="center"/>
            <w:hideMark/>
          </w:tcPr>
          <w:p w14:paraId="16C06D91"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47" w:type="pct"/>
            <w:shd w:val="clear" w:color="auto" w:fill="FFFFFF"/>
            <w:noWrap/>
            <w:vAlign w:val="center"/>
            <w:hideMark/>
          </w:tcPr>
          <w:p w14:paraId="6F38218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0,00%</w:t>
            </w:r>
          </w:p>
        </w:tc>
        <w:tc>
          <w:tcPr>
            <w:tcW w:w="489" w:type="pct"/>
            <w:noWrap/>
            <w:vAlign w:val="center"/>
            <w:hideMark/>
          </w:tcPr>
          <w:p w14:paraId="576B0751"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1.035.083 </w:t>
            </w:r>
          </w:p>
        </w:tc>
        <w:tc>
          <w:tcPr>
            <w:tcW w:w="384" w:type="pct"/>
            <w:noWrap/>
            <w:vAlign w:val="center"/>
            <w:hideMark/>
          </w:tcPr>
          <w:p w14:paraId="40048F29"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47" w:type="pct"/>
            <w:shd w:val="clear" w:color="auto" w:fill="FFFFFF"/>
            <w:noWrap/>
            <w:vAlign w:val="center"/>
            <w:hideMark/>
          </w:tcPr>
          <w:p w14:paraId="09F4DE7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0,00%</w:t>
            </w:r>
          </w:p>
        </w:tc>
      </w:tr>
      <w:tr w:rsidR="003B5193" w:rsidRPr="00AE4E8D" w14:paraId="1C54440E" w14:textId="77777777" w:rsidTr="00FA3175">
        <w:trPr>
          <w:trHeight w:val="255"/>
          <w:jc w:val="center"/>
        </w:trPr>
        <w:tc>
          <w:tcPr>
            <w:tcW w:w="1180" w:type="pct"/>
            <w:vAlign w:val="center"/>
            <w:hideMark/>
          </w:tcPr>
          <w:p w14:paraId="5031D795"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2328502A"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5C98175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tcBorders>
              <w:top w:val="nil"/>
              <w:left w:val="nil"/>
              <w:bottom w:val="single" w:sz="4" w:space="0" w:color="000000"/>
              <w:right w:val="nil"/>
            </w:tcBorders>
            <w:shd w:val="clear" w:color="auto" w:fill="FFFFFF"/>
            <w:noWrap/>
            <w:vAlign w:val="center"/>
            <w:hideMark/>
          </w:tcPr>
          <w:p w14:paraId="51C4A51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7FFE7BE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89" w:type="pct"/>
            <w:tcBorders>
              <w:top w:val="nil"/>
              <w:left w:val="nil"/>
              <w:bottom w:val="single" w:sz="4" w:space="0" w:color="000000"/>
              <w:right w:val="nil"/>
            </w:tcBorders>
            <w:noWrap/>
            <w:vAlign w:val="center"/>
            <w:hideMark/>
          </w:tcPr>
          <w:p w14:paraId="60E46C9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tcBorders>
              <w:top w:val="nil"/>
              <w:left w:val="nil"/>
              <w:bottom w:val="single" w:sz="4" w:space="0" w:color="000000"/>
              <w:right w:val="nil"/>
            </w:tcBorders>
            <w:noWrap/>
            <w:vAlign w:val="center"/>
            <w:hideMark/>
          </w:tcPr>
          <w:p w14:paraId="3626B9B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06AE972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89" w:type="pct"/>
            <w:tcBorders>
              <w:top w:val="nil"/>
              <w:left w:val="nil"/>
              <w:bottom w:val="single" w:sz="4" w:space="0" w:color="000000"/>
              <w:right w:val="nil"/>
            </w:tcBorders>
            <w:noWrap/>
            <w:vAlign w:val="center"/>
            <w:hideMark/>
          </w:tcPr>
          <w:p w14:paraId="72E9F44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tcBorders>
              <w:top w:val="nil"/>
              <w:left w:val="nil"/>
              <w:bottom w:val="single" w:sz="4" w:space="0" w:color="000000"/>
              <w:right w:val="nil"/>
            </w:tcBorders>
            <w:noWrap/>
            <w:vAlign w:val="center"/>
            <w:hideMark/>
          </w:tcPr>
          <w:p w14:paraId="144C653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51D2BAC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71F3D45F" w14:textId="77777777" w:rsidTr="00FA3175">
        <w:trPr>
          <w:trHeight w:val="255"/>
          <w:jc w:val="center"/>
        </w:trPr>
        <w:tc>
          <w:tcPr>
            <w:tcW w:w="1180" w:type="pct"/>
            <w:vAlign w:val="center"/>
            <w:hideMark/>
          </w:tcPr>
          <w:p w14:paraId="67C385CE"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52F11CEE"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06EFC24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131.806</w:t>
            </w:r>
            <w:r w:rsidRPr="00AE4E8D">
              <w:rPr>
                <w:rFonts w:ascii="Times New Roman" w:hAnsi="Times New Roman"/>
                <w:sz w:val="14"/>
                <w:szCs w:val="14"/>
                <w:lang w:val="es-ES"/>
              </w:rPr>
              <w:t xml:space="preserve"> </w:t>
            </w:r>
          </w:p>
        </w:tc>
        <w:tc>
          <w:tcPr>
            <w:tcW w:w="422" w:type="pct"/>
            <w:shd w:val="clear" w:color="auto" w:fill="FFFFFF"/>
            <w:noWrap/>
            <w:vAlign w:val="center"/>
            <w:hideMark/>
          </w:tcPr>
          <w:p w14:paraId="36FD2C9B"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47" w:type="pct"/>
            <w:tcBorders>
              <w:top w:val="single" w:sz="4" w:space="0" w:color="auto"/>
              <w:left w:val="nil"/>
              <w:bottom w:val="nil"/>
              <w:right w:val="nil"/>
            </w:tcBorders>
            <w:shd w:val="clear" w:color="auto" w:fill="FFFFFF"/>
            <w:noWrap/>
            <w:vAlign w:val="center"/>
            <w:hideMark/>
          </w:tcPr>
          <w:p w14:paraId="29A5181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0,00%</w:t>
            </w:r>
          </w:p>
        </w:tc>
        <w:tc>
          <w:tcPr>
            <w:tcW w:w="489" w:type="pct"/>
            <w:noWrap/>
            <w:vAlign w:val="center"/>
            <w:hideMark/>
          </w:tcPr>
          <w:p w14:paraId="3D9A05C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1.467.849 </w:t>
            </w:r>
          </w:p>
        </w:tc>
        <w:tc>
          <w:tcPr>
            <w:tcW w:w="384" w:type="pct"/>
            <w:noWrap/>
            <w:vAlign w:val="center"/>
            <w:hideMark/>
          </w:tcPr>
          <w:p w14:paraId="58DC211E"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47" w:type="pct"/>
            <w:tcBorders>
              <w:top w:val="single" w:sz="4" w:space="0" w:color="auto"/>
              <w:left w:val="nil"/>
              <w:bottom w:val="nil"/>
              <w:right w:val="nil"/>
            </w:tcBorders>
            <w:shd w:val="clear" w:color="auto" w:fill="FFFFFF"/>
            <w:noWrap/>
            <w:vAlign w:val="center"/>
            <w:hideMark/>
          </w:tcPr>
          <w:p w14:paraId="0FEF71D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0,00%</w:t>
            </w:r>
          </w:p>
        </w:tc>
        <w:tc>
          <w:tcPr>
            <w:tcW w:w="489" w:type="pct"/>
            <w:noWrap/>
            <w:vAlign w:val="center"/>
            <w:hideMark/>
          </w:tcPr>
          <w:p w14:paraId="6FEEF4D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1.035.083 </w:t>
            </w:r>
          </w:p>
        </w:tc>
        <w:tc>
          <w:tcPr>
            <w:tcW w:w="384" w:type="pct"/>
            <w:noWrap/>
            <w:vAlign w:val="center"/>
            <w:hideMark/>
          </w:tcPr>
          <w:p w14:paraId="3D338444"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47" w:type="pct"/>
            <w:tcBorders>
              <w:top w:val="single" w:sz="4" w:space="0" w:color="auto"/>
              <w:left w:val="nil"/>
              <w:bottom w:val="nil"/>
              <w:right w:val="nil"/>
            </w:tcBorders>
            <w:shd w:val="clear" w:color="auto" w:fill="FFFFFF"/>
            <w:noWrap/>
            <w:vAlign w:val="center"/>
            <w:hideMark/>
          </w:tcPr>
          <w:p w14:paraId="7C660C5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0,00%</w:t>
            </w:r>
          </w:p>
        </w:tc>
      </w:tr>
      <w:tr w:rsidR="003B5193" w:rsidRPr="00AE4E8D" w14:paraId="69AD8F2A" w14:textId="77777777" w:rsidTr="00FA3175">
        <w:trPr>
          <w:trHeight w:val="255"/>
          <w:jc w:val="center"/>
        </w:trPr>
        <w:tc>
          <w:tcPr>
            <w:tcW w:w="1180" w:type="pct"/>
            <w:vAlign w:val="center"/>
            <w:hideMark/>
          </w:tcPr>
          <w:p w14:paraId="3227230B"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Plazos Fijos</w:t>
            </w:r>
          </w:p>
        </w:tc>
        <w:tc>
          <w:tcPr>
            <w:tcW w:w="123" w:type="pct"/>
            <w:noWrap/>
            <w:vAlign w:val="bottom"/>
          </w:tcPr>
          <w:p w14:paraId="22783171"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780D8AB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3A8FD0C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3A48EF42"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1B0F7AB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3BE379C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20C2883A"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61F0EBDD"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72957278"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6A556917" w14:textId="77777777" w:rsidR="00E90931" w:rsidRPr="00AE4E8D" w:rsidRDefault="00E90931" w:rsidP="00FA3175">
            <w:pPr>
              <w:jc w:val="right"/>
              <w:rPr>
                <w:rFonts w:ascii="Times New Roman" w:hAnsi="Times New Roman"/>
                <w:sz w:val="14"/>
                <w:szCs w:val="14"/>
                <w:lang w:val="es-ES"/>
              </w:rPr>
            </w:pPr>
          </w:p>
        </w:tc>
      </w:tr>
      <w:tr w:rsidR="003B5193" w:rsidRPr="00AE4E8D" w14:paraId="2E18457F" w14:textId="77777777" w:rsidTr="00FA3175">
        <w:trPr>
          <w:trHeight w:val="255"/>
          <w:jc w:val="center"/>
        </w:trPr>
        <w:tc>
          <w:tcPr>
            <w:tcW w:w="1180" w:type="pct"/>
            <w:vAlign w:val="center"/>
            <w:hideMark/>
          </w:tcPr>
          <w:p w14:paraId="425A291B"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17E7CB66"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3272D2A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13.709</w:t>
            </w:r>
            <w:r w:rsidR="00D218D0" w:rsidRPr="00AE4E8D">
              <w:rPr>
                <w:rFonts w:ascii="Times New Roman" w:hAnsi="Times New Roman"/>
                <w:sz w:val="14"/>
                <w:szCs w:val="14"/>
                <w:lang w:val="es-ES"/>
              </w:rPr>
              <w:t>.</w:t>
            </w:r>
            <w:r w:rsidR="00E90931" w:rsidRPr="00AE4E8D">
              <w:rPr>
                <w:rFonts w:ascii="Times New Roman" w:hAnsi="Times New Roman"/>
                <w:sz w:val="14"/>
                <w:szCs w:val="14"/>
                <w:lang w:val="es-ES"/>
              </w:rPr>
              <w:t xml:space="preserve">320 </w:t>
            </w:r>
          </w:p>
        </w:tc>
        <w:tc>
          <w:tcPr>
            <w:tcW w:w="422" w:type="pct"/>
            <w:shd w:val="clear" w:color="auto" w:fill="FFFFFF"/>
            <w:noWrap/>
            <w:vAlign w:val="center"/>
            <w:hideMark/>
          </w:tcPr>
          <w:p w14:paraId="7A095A1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3.302.266 </w:t>
            </w:r>
          </w:p>
        </w:tc>
        <w:tc>
          <w:tcPr>
            <w:tcW w:w="347" w:type="pct"/>
            <w:shd w:val="clear" w:color="auto" w:fill="FFFFFF"/>
            <w:noWrap/>
            <w:vAlign w:val="center"/>
            <w:hideMark/>
          </w:tcPr>
          <w:p w14:paraId="53D302D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24,09%</w:t>
            </w:r>
          </w:p>
        </w:tc>
        <w:tc>
          <w:tcPr>
            <w:tcW w:w="489" w:type="pct"/>
            <w:noWrap/>
            <w:vAlign w:val="center"/>
            <w:hideMark/>
          </w:tcPr>
          <w:p w14:paraId="6121F40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11.625.856 </w:t>
            </w:r>
          </w:p>
        </w:tc>
        <w:tc>
          <w:tcPr>
            <w:tcW w:w="384" w:type="pct"/>
            <w:noWrap/>
            <w:vAlign w:val="center"/>
            <w:hideMark/>
          </w:tcPr>
          <w:p w14:paraId="6E9CD57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2.296.760 </w:t>
            </w:r>
          </w:p>
        </w:tc>
        <w:tc>
          <w:tcPr>
            <w:tcW w:w="347" w:type="pct"/>
            <w:shd w:val="clear" w:color="auto" w:fill="FFFFFF"/>
            <w:noWrap/>
            <w:vAlign w:val="center"/>
            <w:hideMark/>
          </w:tcPr>
          <w:p w14:paraId="11B707C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19,76%</w:t>
            </w:r>
          </w:p>
        </w:tc>
        <w:tc>
          <w:tcPr>
            <w:tcW w:w="489" w:type="pct"/>
            <w:noWrap/>
            <w:vAlign w:val="center"/>
            <w:hideMark/>
          </w:tcPr>
          <w:p w14:paraId="35B268B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8.413.502 </w:t>
            </w:r>
          </w:p>
        </w:tc>
        <w:tc>
          <w:tcPr>
            <w:tcW w:w="384" w:type="pct"/>
            <w:noWrap/>
            <w:vAlign w:val="center"/>
            <w:hideMark/>
          </w:tcPr>
          <w:p w14:paraId="1868CF6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1.651.046 </w:t>
            </w:r>
          </w:p>
        </w:tc>
        <w:tc>
          <w:tcPr>
            <w:tcW w:w="347" w:type="pct"/>
            <w:shd w:val="clear" w:color="auto" w:fill="FFFFFF"/>
            <w:noWrap/>
            <w:vAlign w:val="center"/>
            <w:hideMark/>
          </w:tcPr>
          <w:p w14:paraId="07E9C43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19,62%</w:t>
            </w:r>
          </w:p>
        </w:tc>
      </w:tr>
      <w:tr w:rsidR="003B5193" w:rsidRPr="00AE4E8D" w14:paraId="06F3C3AF" w14:textId="77777777" w:rsidTr="00FA3175">
        <w:trPr>
          <w:trHeight w:val="255"/>
          <w:jc w:val="center"/>
        </w:trPr>
        <w:tc>
          <w:tcPr>
            <w:tcW w:w="1180" w:type="pct"/>
            <w:vAlign w:val="center"/>
            <w:hideMark/>
          </w:tcPr>
          <w:p w14:paraId="742EEDBA"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4762FB8B"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3B58F0D1"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2.168.920 </w:t>
            </w:r>
          </w:p>
        </w:tc>
        <w:tc>
          <w:tcPr>
            <w:tcW w:w="422" w:type="pct"/>
            <w:tcBorders>
              <w:top w:val="nil"/>
              <w:left w:val="nil"/>
              <w:bottom w:val="single" w:sz="4" w:space="0" w:color="000000"/>
              <w:right w:val="nil"/>
            </w:tcBorders>
            <w:shd w:val="clear" w:color="auto" w:fill="FFFFFF"/>
            <w:noWrap/>
            <w:vAlign w:val="center"/>
            <w:hideMark/>
          </w:tcPr>
          <w:p w14:paraId="5E1B5C4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37.164</w:t>
            </w:r>
          </w:p>
        </w:tc>
        <w:tc>
          <w:tcPr>
            <w:tcW w:w="347" w:type="pct"/>
            <w:shd w:val="clear" w:color="auto" w:fill="FFFFFF"/>
            <w:noWrap/>
            <w:vAlign w:val="center"/>
            <w:hideMark/>
          </w:tcPr>
          <w:p w14:paraId="5AB05EF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1,71%</w:t>
            </w:r>
          </w:p>
        </w:tc>
        <w:tc>
          <w:tcPr>
            <w:tcW w:w="489" w:type="pct"/>
            <w:tcBorders>
              <w:top w:val="nil"/>
              <w:left w:val="nil"/>
              <w:bottom w:val="single" w:sz="4" w:space="0" w:color="000000"/>
              <w:right w:val="nil"/>
            </w:tcBorders>
            <w:noWrap/>
            <w:vAlign w:val="center"/>
            <w:hideMark/>
          </w:tcPr>
          <w:p w14:paraId="3B38330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492.382 </w:t>
            </w:r>
          </w:p>
        </w:tc>
        <w:tc>
          <w:tcPr>
            <w:tcW w:w="384" w:type="pct"/>
            <w:tcBorders>
              <w:top w:val="nil"/>
              <w:left w:val="nil"/>
              <w:bottom w:val="single" w:sz="4" w:space="0" w:color="000000"/>
              <w:right w:val="nil"/>
            </w:tcBorders>
            <w:noWrap/>
            <w:vAlign w:val="center"/>
            <w:hideMark/>
          </w:tcPr>
          <w:p w14:paraId="760957D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3.316 </w:t>
            </w:r>
          </w:p>
        </w:tc>
        <w:tc>
          <w:tcPr>
            <w:tcW w:w="347" w:type="pct"/>
            <w:shd w:val="clear" w:color="auto" w:fill="FFFFFF"/>
            <w:noWrap/>
            <w:vAlign w:val="center"/>
            <w:hideMark/>
          </w:tcPr>
          <w:p w14:paraId="5F7BF94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0,67%</w:t>
            </w:r>
          </w:p>
        </w:tc>
        <w:tc>
          <w:tcPr>
            <w:tcW w:w="489" w:type="pct"/>
            <w:tcBorders>
              <w:top w:val="nil"/>
              <w:left w:val="nil"/>
              <w:bottom w:val="single" w:sz="4" w:space="0" w:color="000000"/>
              <w:right w:val="nil"/>
            </w:tcBorders>
            <w:noWrap/>
            <w:vAlign w:val="center"/>
            <w:hideMark/>
          </w:tcPr>
          <w:p w14:paraId="3217ADF4"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707.841 </w:t>
            </w:r>
          </w:p>
        </w:tc>
        <w:tc>
          <w:tcPr>
            <w:tcW w:w="384" w:type="pct"/>
            <w:tcBorders>
              <w:top w:val="nil"/>
              <w:left w:val="nil"/>
              <w:bottom w:val="single" w:sz="4" w:space="0" w:color="000000"/>
              <w:right w:val="nil"/>
            </w:tcBorders>
            <w:noWrap/>
            <w:vAlign w:val="center"/>
            <w:hideMark/>
          </w:tcPr>
          <w:p w14:paraId="51793F3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7.058 </w:t>
            </w:r>
          </w:p>
        </w:tc>
        <w:tc>
          <w:tcPr>
            <w:tcW w:w="347" w:type="pct"/>
            <w:shd w:val="clear" w:color="auto" w:fill="FFFFFF"/>
            <w:noWrap/>
            <w:vAlign w:val="center"/>
            <w:hideMark/>
          </w:tcPr>
          <w:p w14:paraId="337ABEB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1,00%</w:t>
            </w:r>
          </w:p>
        </w:tc>
      </w:tr>
      <w:tr w:rsidR="003B5193" w:rsidRPr="00AE4E8D" w14:paraId="3941EED1" w14:textId="77777777" w:rsidTr="00FA3175">
        <w:trPr>
          <w:trHeight w:val="255"/>
          <w:jc w:val="center"/>
        </w:trPr>
        <w:tc>
          <w:tcPr>
            <w:tcW w:w="1180" w:type="pct"/>
            <w:vAlign w:val="center"/>
            <w:hideMark/>
          </w:tcPr>
          <w:p w14:paraId="50A6C972"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298AEF16"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5202DC3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15.878.240 </w:t>
            </w:r>
          </w:p>
        </w:tc>
        <w:tc>
          <w:tcPr>
            <w:tcW w:w="422" w:type="pct"/>
            <w:shd w:val="clear" w:color="auto" w:fill="FFFFFF"/>
            <w:noWrap/>
            <w:vAlign w:val="center"/>
            <w:hideMark/>
          </w:tcPr>
          <w:p w14:paraId="52C6C674"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3.339.430 </w:t>
            </w:r>
          </w:p>
        </w:tc>
        <w:tc>
          <w:tcPr>
            <w:tcW w:w="347" w:type="pct"/>
            <w:tcBorders>
              <w:top w:val="single" w:sz="4" w:space="0" w:color="auto"/>
              <w:left w:val="nil"/>
              <w:bottom w:val="nil"/>
              <w:right w:val="nil"/>
            </w:tcBorders>
            <w:shd w:val="clear" w:color="auto" w:fill="FFFFFF"/>
            <w:noWrap/>
            <w:vAlign w:val="center"/>
            <w:hideMark/>
          </w:tcPr>
          <w:p w14:paraId="2EB82AE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21,03%</w:t>
            </w:r>
          </w:p>
        </w:tc>
        <w:tc>
          <w:tcPr>
            <w:tcW w:w="489" w:type="pct"/>
            <w:noWrap/>
            <w:vAlign w:val="center"/>
            <w:hideMark/>
          </w:tcPr>
          <w:p w14:paraId="6A51D24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12.118.238 </w:t>
            </w:r>
          </w:p>
        </w:tc>
        <w:tc>
          <w:tcPr>
            <w:tcW w:w="384" w:type="pct"/>
            <w:noWrap/>
            <w:vAlign w:val="center"/>
            <w:hideMark/>
          </w:tcPr>
          <w:p w14:paraId="5FFDC8A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2.300.076 </w:t>
            </w:r>
          </w:p>
        </w:tc>
        <w:tc>
          <w:tcPr>
            <w:tcW w:w="347" w:type="pct"/>
            <w:tcBorders>
              <w:top w:val="single" w:sz="4" w:space="0" w:color="auto"/>
              <w:left w:val="nil"/>
              <w:bottom w:val="nil"/>
              <w:right w:val="nil"/>
            </w:tcBorders>
            <w:shd w:val="clear" w:color="auto" w:fill="FFFFFF"/>
            <w:noWrap/>
            <w:vAlign w:val="center"/>
            <w:hideMark/>
          </w:tcPr>
          <w:p w14:paraId="2606E7F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18,98%</w:t>
            </w:r>
          </w:p>
        </w:tc>
        <w:tc>
          <w:tcPr>
            <w:tcW w:w="489" w:type="pct"/>
            <w:noWrap/>
            <w:vAlign w:val="center"/>
            <w:hideMark/>
          </w:tcPr>
          <w:p w14:paraId="71FCAA0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9.121.343 </w:t>
            </w:r>
          </w:p>
        </w:tc>
        <w:tc>
          <w:tcPr>
            <w:tcW w:w="384" w:type="pct"/>
            <w:noWrap/>
            <w:vAlign w:val="center"/>
            <w:hideMark/>
          </w:tcPr>
          <w:p w14:paraId="0514494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1.658.104 </w:t>
            </w:r>
          </w:p>
        </w:tc>
        <w:tc>
          <w:tcPr>
            <w:tcW w:w="347" w:type="pct"/>
            <w:tcBorders>
              <w:top w:val="single" w:sz="4" w:space="0" w:color="auto"/>
              <w:left w:val="nil"/>
              <w:bottom w:val="nil"/>
              <w:right w:val="nil"/>
            </w:tcBorders>
            <w:shd w:val="clear" w:color="auto" w:fill="FFFFFF"/>
            <w:noWrap/>
            <w:vAlign w:val="center"/>
            <w:hideMark/>
          </w:tcPr>
          <w:p w14:paraId="764B13C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18,18%</w:t>
            </w:r>
          </w:p>
        </w:tc>
      </w:tr>
      <w:tr w:rsidR="003B5193" w:rsidRPr="00AE4E8D" w14:paraId="000D4F97" w14:textId="77777777" w:rsidTr="00FA3175">
        <w:trPr>
          <w:trHeight w:val="255"/>
          <w:jc w:val="center"/>
        </w:trPr>
        <w:tc>
          <w:tcPr>
            <w:tcW w:w="1180" w:type="pct"/>
            <w:vAlign w:val="center"/>
            <w:hideMark/>
          </w:tcPr>
          <w:p w14:paraId="31738CC9"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lastRenderedPageBreak/>
              <w:t xml:space="preserve"> </w:t>
            </w:r>
            <w:r w:rsidR="00E90931" w:rsidRPr="00AE4E8D">
              <w:rPr>
                <w:rFonts w:ascii="Times New Roman" w:hAnsi="Times New Roman"/>
                <w:b/>
                <w:bCs/>
                <w:sz w:val="14"/>
                <w:szCs w:val="14"/>
                <w:lang w:val="es-ES"/>
              </w:rPr>
              <w:t>Otros Bancos y Entidades Internacionales</w:t>
            </w:r>
          </w:p>
        </w:tc>
        <w:tc>
          <w:tcPr>
            <w:tcW w:w="123" w:type="pct"/>
            <w:noWrap/>
            <w:vAlign w:val="bottom"/>
          </w:tcPr>
          <w:p w14:paraId="38ECD216"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7044726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0CE4CBA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4065AC65"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179379A8"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0FAEE924"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4432CC04"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6BC9894C"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2DA50C44"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2FD456A9" w14:textId="77777777" w:rsidR="00E90931" w:rsidRPr="00AE4E8D" w:rsidRDefault="00E90931" w:rsidP="00FA3175">
            <w:pPr>
              <w:jc w:val="right"/>
              <w:rPr>
                <w:rFonts w:ascii="Times New Roman" w:hAnsi="Times New Roman"/>
                <w:sz w:val="14"/>
                <w:szCs w:val="14"/>
                <w:lang w:val="es-ES"/>
              </w:rPr>
            </w:pPr>
          </w:p>
        </w:tc>
      </w:tr>
      <w:tr w:rsidR="003B5193" w:rsidRPr="00AE4E8D" w14:paraId="7D3666E2" w14:textId="77777777" w:rsidTr="00FA3175">
        <w:trPr>
          <w:trHeight w:val="255"/>
          <w:jc w:val="center"/>
        </w:trPr>
        <w:tc>
          <w:tcPr>
            <w:tcW w:w="1180" w:type="pct"/>
            <w:vAlign w:val="center"/>
            <w:hideMark/>
          </w:tcPr>
          <w:p w14:paraId="19B2FE31"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02CE6955"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43ABA69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595.746 </w:t>
            </w:r>
          </w:p>
        </w:tc>
        <w:tc>
          <w:tcPr>
            <w:tcW w:w="422" w:type="pct"/>
            <w:shd w:val="clear" w:color="auto" w:fill="FFFFFF"/>
            <w:noWrap/>
            <w:vAlign w:val="center"/>
            <w:hideMark/>
          </w:tcPr>
          <w:p w14:paraId="2B236FF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185.389 </w:t>
            </w:r>
          </w:p>
        </w:tc>
        <w:tc>
          <w:tcPr>
            <w:tcW w:w="347" w:type="pct"/>
            <w:shd w:val="clear" w:color="auto" w:fill="FFFFFF"/>
            <w:noWrap/>
            <w:vAlign w:val="center"/>
            <w:hideMark/>
          </w:tcPr>
          <w:p w14:paraId="098AD4A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31,12%</w:t>
            </w:r>
          </w:p>
        </w:tc>
        <w:tc>
          <w:tcPr>
            <w:tcW w:w="489" w:type="pct"/>
            <w:noWrap/>
            <w:vAlign w:val="center"/>
            <w:hideMark/>
          </w:tcPr>
          <w:p w14:paraId="2E0C216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339.197 </w:t>
            </w:r>
          </w:p>
        </w:tc>
        <w:tc>
          <w:tcPr>
            <w:tcW w:w="384" w:type="pct"/>
            <w:noWrap/>
            <w:vAlign w:val="center"/>
            <w:hideMark/>
          </w:tcPr>
          <w:p w14:paraId="2269F1A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146.084 </w:t>
            </w:r>
          </w:p>
        </w:tc>
        <w:tc>
          <w:tcPr>
            <w:tcW w:w="347" w:type="pct"/>
            <w:shd w:val="clear" w:color="auto" w:fill="FFFFFF"/>
            <w:noWrap/>
            <w:vAlign w:val="center"/>
            <w:hideMark/>
          </w:tcPr>
          <w:p w14:paraId="5568D5A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43,07%</w:t>
            </w:r>
          </w:p>
        </w:tc>
        <w:tc>
          <w:tcPr>
            <w:tcW w:w="489" w:type="pct"/>
            <w:noWrap/>
            <w:vAlign w:val="center"/>
            <w:hideMark/>
          </w:tcPr>
          <w:p w14:paraId="31D97223"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353.580 </w:t>
            </w:r>
          </w:p>
        </w:tc>
        <w:tc>
          <w:tcPr>
            <w:tcW w:w="384" w:type="pct"/>
            <w:noWrap/>
            <w:vAlign w:val="center"/>
            <w:hideMark/>
          </w:tcPr>
          <w:p w14:paraId="7DFC75F6"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108.923 </w:t>
            </w:r>
          </w:p>
        </w:tc>
        <w:tc>
          <w:tcPr>
            <w:tcW w:w="347" w:type="pct"/>
            <w:shd w:val="clear" w:color="auto" w:fill="FFFFFF"/>
            <w:noWrap/>
            <w:vAlign w:val="center"/>
            <w:hideMark/>
          </w:tcPr>
          <w:p w14:paraId="594668F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30,81%</w:t>
            </w:r>
          </w:p>
        </w:tc>
      </w:tr>
      <w:tr w:rsidR="003B5193" w:rsidRPr="00AE4E8D" w14:paraId="6825CDA6" w14:textId="77777777" w:rsidTr="00FA3175">
        <w:trPr>
          <w:trHeight w:val="255"/>
          <w:jc w:val="center"/>
        </w:trPr>
        <w:tc>
          <w:tcPr>
            <w:tcW w:w="1180" w:type="pct"/>
            <w:vAlign w:val="center"/>
            <w:hideMark/>
          </w:tcPr>
          <w:p w14:paraId="2B15D60D"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7FC18490"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3E079255"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329 </w:t>
            </w:r>
          </w:p>
        </w:tc>
        <w:tc>
          <w:tcPr>
            <w:tcW w:w="422" w:type="pct"/>
            <w:tcBorders>
              <w:top w:val="nil"/>
              <w:left w:val="nil"/>
              <w:bottom w:val="single" w:sz="4" w:space="0" w:color="000000"/>
              <w:right w:val="nil"/>
            </w:tcBorders>
            <w:shd w:val="clear" w:color="auto" w:fill="FFFFFF"/>
            <w:noWrap/>
            <w:vAlign w:val="center"/>
            <w:hideMark/>
          </w:tcPr>
          <w:p w14:paraId="438590D5"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73 </w:t>
            </w:r>
          </w:p>
        </w:tc>
        <w:tc>
          <w:tcPr>
            <w:tcW w:w="347" w:type="pct"/>
            <w:shd w:val="clear" w:color="auto" w:fill="FFFFFF"/>
            <w:noWrap/>
            <w:vAlign w:val="center"/>
            <w:hideMark/>
          </w:tcPr>
          <w:p w14:paraId="76121FE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22,30%</w:t>
            </w:r>
          </w:p>
        </w:tc>
        <w:tc>
          <w:tcPr>
            <w:tcW w:w="489" w:type="pct"/>
            <w:tcBorders>
              <w:top w:val="nil"/>
              <w:left w:val="nil"/>
              <w:bottom w:val="single" w:sz="4" w:space="0" w:color="000000"/>
              <w:right w:val="nil"/>
            </w:tcBorders>
            <w:noWrap/>
            <w:vAlign w:val="center"/>
            <w:hideMark/>
          </w:tcPr>
          <w:p w14:paraId="305FE486"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4.940 </w:t>
            </w:r>
          </w:p>
        </w:tc>
        <w:tc>
          <w:tcPr>
            <w:tcW w:w="384" w:type="pct"/>
            <w:tcBorders>
              <w:top w:val="nil"/>
              <w:left w:val="nil"/>
              <w:bottom w:val="single" w:sz="4" w:space="0" w:color="000000"/>
              <w:right w:val="nil"/>
            </w:tcBorders>
            <w:noWrap/>
            <w:vAlign w:val="center"/>
            <w:hideMark/>
          </w:tcPr>
          <w:p w14:paraId="69CEB448"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330 </w:t>
            </w:r>
          </w:p>
        </w:tc>
        <w:tc>
          <w:tcPr>
            <w:tcW w:w="347" w:type="pct"/>
            <w:shd w:val="clear" w:color="auto" w:fill="FFFFFF"/>
            <w:noWrap/>
            <w:vAlign w:val="center"/>
            <w:hideMark/>
          </w:tcPr>
          <w:p w14:paraId="39E7129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6,68%</w:t>
            </w:r>
          </w:p>
        </w:tc>
        <w:tc>
          <w:tcPr>
            <w:tcW w:w="489" w:type="pct"/>
            <w:tcBorders>
              <w:top w:val="nil"/>
              <w:left w:val="nil"/>
              <w:bottom w:val="single" w:sz="4" w:space="0" w:color="000000"/>
              <w:right w:val="nil"/>
            </w:tcBorders>
            <w:noWrap/>
            <w:vAlign w:val="center"/>
            <w:hideMark/>
          </w:tcPr>
          <w:p w14:paraId="70BFE112"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37.514 </w:t>
            </w:r>
          </w:p>
        </w:tc>
        <w:tc>
          <w:tcPr>
            <w:tcW w:w="384" w:type="pct"/>
            <w:tcBorders>
              <w:top w:val="nil"/>
              <w:left w:val="nil"/>
              <w:bottom w:val="single" w:sz="4" w:space="0" w:color="000000"/>
              <w:right w:val="nil"/>
            </w:tcBorders>
            <w:noWrap/>
            <w:vAlign w:val="center"/>
            <w:hideMark/>
          </w:tcPr>
          <w:p w14:paraId="0C2A69A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2.397 </w:t>
            </w:r>
          </w:p>
        </w:tc>
        <w:tc>
          <w:tcPr>
            <w:tcW w:w="347" w:type="pct"/>
            <w:shd w:val="clear" w:color="auto" w:fill="FFFFFF"/>
            <w:noWrap/>
            <w:vAlign w:val="center"/>
            <w:hideMark/>
          </w:tcPr>
          <w:p w14:paraId="5224C85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6,39%</w:t>
            </w:r>
          </w:p>
        </w:tc>
      </w:tr>
      <w:tr w:rsidR="003B5193" w:rsidRPr="00AE4E8D" w14:paraId="551E9C12" w14:textId="77777777" w:rsidTr="00FA3175">
        <w:trPr>
          <w:trHeight w:val="255"/>
          <w:jc w:val="center"/>
        </w:trPr>
        <w:tc>
          <w:tcPr>
            <w:tcW w:w="1180" w:type="pct"/>
            <w:vAlign w:val="center"/>
            <w:hideMark/>
          </w:tcPr>
          <w:p w14:paraId="0D4F4DAC"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36637655"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20BF733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596.075 </w:t>
            </w:r>
          </w:p>
        </w:tc>
        <w:tc>
          <w:tcPr>
            <w:tcW w:w="422" w:type="pct"/>
            <w:shd w:val="clear" w:color="auto" w:fill="FFFFFF"/>
            <w:noWrap/>
            <w:vAlign w:val="center"/>
            <w:hideMark/>
          </w:tcPr>
          <w:p w14:paraId="6BB40B1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185.462 </w:t>
            </w:r>
          </w:p>
        </w:tc>
        <w:tc>
          <w:tcPr>
            <w:tcW w:w="347" w:type="pct"/>
            <w:tcBorders>
              <w:top w:val="single" w:sz="4" w:space="0" w:color="auto"/>
              <w:left w:val="nil"/>
              <w:bottom w:val="nil"/>
              <w:right w:val="nil"/>
            </w:tcBorders>
            <w:shd w:val="clear" w:color="auto" w:fill="FFFFFF"/>
            <w:noWrap/>
            <w:vAlign w:val="center"/>
            <w:hideMark/>
          </w:tcPr>
          <w:p w14:paraId="751AC38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31,11%</w:t>
            </w:r>
          </w:p>
        </w:tc>
        <w:tc>
          <w:tcPr>
            <w:tcW w:w="489" w:type="pct"/>
            <w:noWrap/>
            <w:vAlign w:val="center"/>
            <w:hideMark/>
          </w:tcPr>
          <w:p w14:paraId="1ECBFF37"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344.137 </w:t>
            </w:r>
          </w:p>
        </w:tc>
        <w:tc>
          <w:tcPr>
            <w:tcW w:w="384" w:type="pct"/>
            <w:noWrap/>
            <w:vAlign w:val="center"/>
            <w:hideMark/>
          </w:tcPr>
          <w:p w14:paraId="130AAD7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146.414 </w:t>
            </w:r>
          </w:p>
        </w:tc>
        <w:tc>
          <w:tcPr>
            <w:tcW w:w="347" w:type="pct"/>
            <w:tcBorders>
              <w:top w:val="single" w:sz="4" w:space="0" w:color="auto"/>
              <w:left w:val="nil"/>
              <w:bottom w:val="nil"/>
              <w:right w:val="nil"/>
            </w:tcBorders>
            <w:shd w:val="clear" w:color="auto" w:fill="FFFFFF"/>
            <w:noWrap/>
            <w:vAlign w:val="center"/>
            <w:hideMark/>
          </w:tcPr>
          <w:p w14:paraId="1BAE32F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42,55%</w:t>
            </w:r>
          </w:p>
        </w:tc>
        <w:tc>
          <w:tcPr>
            <w:tcW w:w="489" w:type="pct"/>
            <w:noWrap/>
            <w:vAlign w:val="center"/>
            <w:hideMark/>
          </w:tcPr>
          <w:p w14:paraId="04E6A53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391.094 </w:t>
            </w:r>
          </w:p>
        </w:tc>
        <w:tc>
          <w:tcPr>
            <w:tcW w:w="384" w:type="pct"/>
            <w:noWrap/>
            <w:vAlign w:val="center"/>
            <w:hideMark/>
          </w:tcPr>
          <w:p w14:paraId="1F5D2D9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111.320 </w:t>
            </w:r>
          </w:p>
        </w:tc>
        <w:tc>
          <w:tcPr>
            <w:tcW w:w="347" w:type="pct"/>
            <w:tcBorders>
              <w:top w:val="single" w:sz="4" w:space="0" w:color="auto"/>
              <w:left w:val="nil"/>
              <w:bottom w:val="nil"/>
              <w:right w:val="nil"/>
            </w:tcBorders>
            <w:shd w:val="clear" w:color="auto" w:fill="FFFFFF"/>
            <w:noWrap/>
            <w:vAlign w:val="center"/>
            <w:hideMark/>
          </w:tcPr>
          <w:p w14:paraId="54AB927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28,46%</w:t>
            </w:r>
          </w:p>
        </w:tc>
      </w:tr>
      <w:tr w:rsidR="003B5193" w:rsidRPr="00AE4E8D" w14:paraId="6C272865" w14:textId="77777777" w:rsidTr="00FA3175">
        <w:trPr>
          <w:trHeight w:val="255"/>
          <w:jc w:val="center"/>
        </w:trPr>
        <w:tc>
          <w:tcPr>
            <w:tcW w:w="1180" w:type="pct"/>
            <w:vAlign w:val="center"/>
            <w:hideMark/>
          </w:tcPr>
          <w:p w14:paraId="12564B43"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Obligaciones negociables</w:t>
            </w:r>
          </w:p>
        </w:tc>
        <w:tc>
          <w:tcPr>
            <w:tcW w:w="123" w:type="pct"/>
            <w:noWrap/>
            <w:vAlign w:val="bottom"/>
          </w:tcPr>
          <w:p w14:paraId="13921253"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65D5AA7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50FA109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245B5DE1"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602D3F3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42DF80A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1356F4FD"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0A01467C"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6DF9BBD7"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20A81B2C" w14:textId="77777777" w:rsidR="00E90931" w:rsidRPr="00AE4E8D" w:rsidRDefault="00E90931" w:rsidP="00FA3175">
            <w:pPr>
              <w:jc w:val="right"/>
              <w:rPr>
                <w:rFonts w:ascii="Times New Roman" w:hAnsi="Times New Roman"/>
                <w:sz w:val="14"/>
                <w:szCs w:val="14"/>
                <w:lang w:val="es-ES"/>
              </w:rPr>
            </w:pPr>
          </w:p>
        </w:tc>
      </w:tr>
      <w:tr w:rsidR="003B5193" w:rsidRPr="00AE4E8D" w14:paraId="2688352C" w14:textId="77777777" w:rsidTr="00FA3175">
        <w:trPr>
          <w:trHeight w:val="255"/>
          <w:jc w:val="center"/>
        </w:trPr>
        <w:tc>
          <w:tcPr>
            <w:tcW w:w="1180" w:type="pct"/>
            <w:vAlign w:val="center"/>
            <w:hideMark/>
          </w:tcPr>
          <w:p w14:paraId="35459A7C"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4A44612F"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3C51359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3.700.078 </w:t>
            </w:r>
          </w:p>
        </w:tc>
        <w:tc>
          <w:tcPr>
            <w:tcW w:w="422" w:type="pct"/>
            <w:shd w:val="clear" w:color="auto" w:fill="FFFFFF"/>
            <w:noWrap/>
            <w:vAlign w:val="center"/>
            <w:hideMark/>
          </w:tcPr>
          <w:p w14:paraId="1282DDA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1.531.587 </w:t>
            </w:r>
          </w:p>
        </w:tc>
        <w:tc>
          <w:tcPr>
            <w:tcW w:w="347" w:type="pct"/>
            <w:shd w:val="clear" w:color="auto" w:fill="FFFFFF"/>
            <w:noWrap/>
            <w:vAlign w:val="center"/>
            <w:hideMark/>
          </w:tcPr>
          <w:p w14:paraId="417EB8D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41.39%</w:t>
            </w:r>
          </w:p>
        </w:tc>
        <w:tc>
          <w:tcPr>
            <w:tcW w:w="489" w:type="pct"/>
            <w:noWrap/>
            <w:vAlign w:val="center"/>
            <w:hideMark/>
          </w:tcPr>
          <w:p w14:paraId="35861A8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2.597.208 </w:t>
            </w:r>
          </w:p>
        </w:tc>
        <w:tc>
          <w:tcPr>
            <w:tcW w:w="384" w:type="pct"/>
            <w:noWrap/>
            <w:vAlign w:val="center"/>
            <w:hideMark/>
          </w:tcPr>
          <w:p w14:paraId="74B366C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645.690 </w:t>
            </w:r>
          </w:p>
        </w:tc>
        <w:tc>
          <w:tcPr>
            <w:tcW w:w="347" w:type="pct"/>
            <w:shd w:val="clear" w:color="auto" w:fill="FFFFFF"/>
            <w:noWrap/>
            <w:vAlign w:val="center"/>
            <w:hideMark/>
          </w:tcPr>
          <w:p w14:paraId="217AEF0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24,86%</w:t>
            </w:r>
          </w:p>
        </w:tc>
        <w:tc>
          <w:tcPr>
            <w:tcW w:w="489" w:type="pct"/>
            <w:noWrap/>
            <w:vAlign w:val="center"/>
            <w:hideMark/>
          </w:tcPr>
          <w:p w14:paraId="0430E0C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1.587.760 </w:t>
            </w:r>
          </w:p>
        </w:tc>
        <w:tc>
          <w:tcPr>
            <w:tcW w:w="384" w:type="pct"/>
            <w:noWrap/>
            <w:vAlign w:val="center"/>
            <w:hideMark/>
          </w:tcPr>
          <w:p w14:paraId="622CB23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402.406 </w:t>
            </w:r>
          </w:p>
        </w:tc>
        <w:tc>
          <w:tcPr>
            <w:tcW w:w="347" w:type="pct"/>
            <w:shd w:val="clear" w:color="auto" w:fill="FFFFFF"/>
            <w:noWrap/>
            <w:vAlign w:val="center"/>
            <w:hideMark/>
          </w:tcPr>
          <w:p w14:paraId="67BF074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25,34%</w:t>
            </w:r>
          </w:p>
        </w:tc>
      </w:tr>
      <w:tr w:rsidR="003B5193" w:rsidRPr="00AE4E8D" w14:paraId="7354307C" w14:textId="77777777" w:rsidTr="00FA3175">
        <w:trPr>
          <w:trHeight w:val="255"/>
          <w:jc w:val="center"/>
        </w:trPr>
        <w:tc>
          <w:tcPr>
            <w:tcW w:w="1180" w:type="pct"/>
            <w:vAlign w:val="center"/>
            <w:hideMark/>
          </w:tcPr>
          <w:p w14:paraId="526C99CC"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2B550585"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77C1940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5.810.808 </w:t>
            </w:r>
          </w:p>
        </w:tc>
        <w:tc>
          <w:tcPr>
            <w:tcW w:w="422" w:type="pct"/>
            <w:tcBorders>
              <w:top w:val="nil"/>
              <w:left w:val="nil"/>
              <w:bottom w:val="single" w:sz="4" w:space="0" w:color="000000"/>
              <w:right w:val="nil"/>
            </w:tcBorders>
            <w:shd w:val="clear" w:color="auto" w:fill="FFFFFF"/>
            <w:noWrap/>
            <w:vAlign w:val="center"/>
            <w:hideMark/>
          </w:tcPr>
          <w:p w14:paraId="5859EDF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443.554 </w:t>
            </w:r>
          </w:p>
        </w:tc>
        <w:tc>
          <w:tcPr>
            <w:tcW w:w="347" w:type="pct"/>
            <w:shd w:val="clear" w:color="auto" w:fill="FFFFFF"/>
            <w:noWrap/>
            <w:vAlign w:val="center"/>
            <w:hideMark/>
          </w:tcPr>
          <w:p w14:paraId="0D0C34D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7,63%</w:t>
            </w:r>
          </w:p>
        </w:tc>
        <w:tc>
          <w:tcPr>
            <w:tcW w:w="489" w:type="pct"/>
            <w:tcBorders>
              <w:top w:val="nil"/>
              <w:left w:val="nil"/>
              <w:bottom w:val="single" w:sz="4" w:space="0" w:color="000000"/>
              <w:right w:val="nil"/>
            </w:tcBorders>
            <w:noWrap/>
            <w:vAlign w:val="center"/>
            <w:hideMark/>
          </w:tcPr>
          <w:p w14:paraId="2854EB56"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2.329.274 </w:t>
            </w:r>
          </w:p>
        </w:tc>
        <w:tc>
          <w:tcPr>
            <w:tcW w:w="384" w:type="pct"/>
            <w:tcBorders>
              <w:top w:val="nil"/>
              <w:left w:val="nil"/>
              <w:bottom w:val="single" w:sz="4" w:space="0" w:color="000000"/>
              <w:right w:val="nil"/>
            </w:tcBorders>
            <w:noWrap/>
            <w:vAlign w:val="center"/>
            <w:hideMark/>
          </w:tcPr>
          <w:p w14:paraId="5CD50F0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242.637 </w:t>
            </w:r>
          </w:p>
        </w:tc>
        <w:tc>
          <w:tcPr>
            <w:tcW w:w="347" w:type="pct"/>
            <w:shd w:val="clear" w:color="auto" w:fill="FFFFFF"/>
            <w:noWrap/>
            <w:vAlign w:val="center"/>
            <w:hideMark/>
          </w:tcPr>
          <w:p w14:paraId="74AEF9C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10,42%</w:t>
            </w:r>
          </w:p>
        </w:tc>
        <w:tc>
          <w:tcPr>
            <w:tcW w:w="489" w:type="pct"/>
            <w:tcBorders>
              <w:top w:val="nil"/>
              <w:left w:val="nil"/>
              <w:bottom w:val="single" w:sz="4" w:space="0" w:color="000000"/>
              <w:right w:val="nil"/>
            </w:tcBorders>
            <w:noWrap/>
            <w:vAlign w:val="center"/>
            <w:hideMark/>
          </w:tcPr>
          <w:p w14:paraId="77B2216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1.939.013 </w:t>
            </w:r>
          </w:p>
        </w:tc>
        <w:tc>
          <w:tcPr>
            <w:tcW w:w="384" w:type="pct"/>
            <w:tcBorders>
              <w:top w:val="nil"/>
              <w:left w:val="nil"/>
              <w:bottom w:val="single" w:sz="4" w:space="0" w:color="000000"/>
              <w:right w:val="nil"/>
            </w:tcBorders>
            <w:noWrap/>
            <w:vAlign w:val="center"/>
            <w:hideMark/>
          </w:tcPr>
          <w:p w14:paraId="07B7ACC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176.743 </w:t>
            </w:r>
          </w:p>
        </w:tc>
        <w:tc>
          <w:tcPr>
            <w:tcW w:w="347" w:type="pct"/>
            <w:shd w:val="clear" w:color="auto" w:fill="FFFFFF"/>
            <w:noWrap/>
            <w:vAlign w:val="center"/>
            <w:hideMark/>
          </w:tcPr>
          <w:p w14:paraId="2C6D2C9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9,12%</w:t>
            </w:r>
          </w:p>
        </w:tc>
      </w:tr>
      <w:tr w:rsidR="003B5193" w:rsidRPr="00AE4E8D" w14:paraId="4CEECC58" w14:textId="77777777" w:rsidTr="00FA3175">
        <w:trPr>
          <w:trHeight w:val="255"/>
          <w:jc w:val="center"/>
        </w:trPr>
        <w:tc>
          <w:tcPr>
            <w:tcW w:w="1180" w:type="pct"/>
            <w:vAlign w:val="center"/>
            <w:hideMark/>
          </w:tcPr>
          <w:p w14:paraId="7FD4F583"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27DB9528"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2DF5EF0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9.510.886 </w:t>
            </w:r>
          </w:p>
        </w:tc>
        <w:tc>
          <w:tcPr>
            <w:tcW w:w="422" w:type="pct"/>
            <w:shd w:val="clear" w:color="auto" w:fill="FFFFFF"/>
            <w:noWrap/>
            <w:vAlign w:val="center"/>
            <w:hideMark/>
          </w:tcPr>
          <w:p w14:paraId="4EDFD50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1.975.141 </w:t>
            </w:r>
          </w:p>
        </w:tc>
        <w:tc>
          <w:tcPr>
            <w:tcW w:w="347" w:type="pct"/>
            <w:tcBorders>
              <w:top w:val="single" w:sz="4" w:space="0" w:color="auto"/>
              <w:left w:val="nil"/>
              <w:bottom w:val="nil"/>
              <w:right w:val="nil"/>
            </w:tcBorders>
            <w:shd w:val="clear" w:color="auto" w:fill="FFFFFF"/>
            <w:noWrap/>
            <w:vAlign w:val="center"/>
            <w:hideMark/>
          </w:tcPr>
          <w:p w14:paraId="7BFC668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20,77%</w:t>
            </w:r>
          </w:p>
        </w:tc>
        <w:tc>
          <w:tcPr>
            <w:tcW w:w="489" w:type="pct"/>
            <w:noWrap/>
            <w:vAlign w:val="center"/>
            <w:hideMark/>
          </w:tcPr>
          <w:p w14:paraId="1CF7167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4.926.482 </w:t>
            </w:r>
          </w:p>
        </w:tc>
        <w:tc>
          <w:tcPr>
            <w:tcW w:w="384" w:type="pct"/>
            <w:noWrap/>
            <w:vAlign w:val="center"/>
            <w:hideMark/>
          </w:tcPr>
          <w:p w14:paraId="4E26057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888.327 </w:t>
            </w:r>
          </w:p>
        </w:tc>
        <w:tc>
          <w:tcPr>
            <w:tcW w:w="347" w:type="pct"/>
            <w:tcBorders>
              <w:top w:val="single" w:sz="4" w:space="0" w:color="auto"/>
              <w:left w:val="nil"/>
              <w:bottom w:val="nil"/>
              <w:right w:val="nil"/>
            </w:tcBorders>
            <w:shd w:val="clear" w:color="auto" w:fill="FFFFFF"/>
            <w:noWrap/>
            <w:vAlign w:val="center"/>
            <w:hideMark/>
          </w:tcPr>
          <w:p w14:paraId="23AD449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18,03%</w:t>
            </w:r>
          </w:p>
        </w:tc>
        <w:tc>
          <w:tcPr>
            <w:tcW w:w="489" w:type="pct"/>
            <w:noWrap/>
            <w:vAlign w:val="center"/>
            <w:hideMark/>
          </w:tcPr>
          <w:p w14:paraId="492DD0F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3.526.773 </w:t>
            </w:r>
          </w:p>
        </w:tc>
        <w:tc>
          <w:tcPr>
            <w:tcW w:w="384" w:type="pct"/>
            <w:noWrap/>
            <w:vAlign w:val="center"/>
            <w:hideMark/>
          </w:tcPr>
          <w:p w14:paraId="7DB75C36"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579.149 </w:t>
            </w:r>
          </w:p>
        </w:tc>
        <w:tc>
          <w:tcPr>
            <w:tcW w:w="347" w:type="pct"/>
            <w:tcBorders>
              <w:top w:val="single" w:sz="4" w:space="0" w:color="auto"/>
              <w:left w:val="nil"/>
              <w:bottom w:val="nil"/>
              <w:right w:val="nil"/>
            </w:tcBorders>
            <w:shd w:val="clear" w:color="auto" w:fill="FFFFFF"/>
            <w:noWrap/>
            <w:vAlign w:val="center"/>
            <w:hideMark/>
          </w:tcPr>
          <w:p w14:paraId="7E598FC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16,42%</w:t>
            </w:r>
          </w:p>
        </w:tc>
      </w:tr>
      <w:tr w:rsidR="003B5193" w:rsidRPr="00AE4E8D" w14:paraId="0D8985EB" w14:textId="77777777" w:rsidTr="00FA3175">
        <w:trPr>
          <w:trHeight w:val="255"/>
          <w:jc w:val="center"/>
        </w:trPr>
        <w:tc>
          <w:tcPr>
            <w:tcW w:w="1180" w:type="pct"/>
            <w:vAlign w:val="center"/>
            <w:hideMark/>
          </w:tcPr>
          <w:p w14:paraId="00222536"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Pases pasivos</w:t>
            </w:r>
          </w:p>
        </w:tc>
        <w:tc>
          <w:tcPr>
            <w:tcW w:w="123" w:type="pct"/>
            <w:noWrap/>
            <w:vAlign w:val="bottom"/>
          </w:tcPr>
          <w:p w14:paraId="38FA48E8"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74CBC04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479C3D6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4FECA1E9"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440C4D6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27020F2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150C47DA"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132D3344"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48146C9A"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529732ED" w14:textId="77777777" w:rsidR="00E90931" w:rsidRPr="00AE4E8D" w:rsidRDefault="00E90931" w:rsidP="00FA3175">
            <w:pPr>
              <w:jc w:val="right"/>
              <w:rPr>
                <w:rFonts w:ascii="Times New Roman" w:hAnsi="Times New Roman"/>
                <w:sz w:val="14"/>
                <w:szCs w:val="14"/>
                <w:lang w:val="es-ES"/>
              </w:rPr>
            </w:pPr>
          </w:p>
        </w:tc>
      </w:tr>
      <w:tr w:rsidR="003B5193" w:rsidRPr="00AE4E8D" w14:paraId="5FEAA73C" w14:textId="77777777" w:rsidTr="00FA3175">
        <w:trPr>
          <w:trHeight w:val="255"/>
          <w:jc w:val="center"/>
        </w:trPr>
        <w:tc>
          <w:tcPr>
            <w:tcW w:w="1180" w:type="pct"/>
            <w:vAlign w:val="center"/>
            <w:hideMark/>
          </w:tcPr>
          <w:p w14:paraId="6FE3375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7ACF4D43"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7DD3EDF6"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346.067 </w:t>
            </w:r>
          </w:p>
        </w:tc>
        <w:tc>
          <w:tcPr>
            <w:tcW w:w="422" w:type="pct"/>
            <w:shd w:val="clear" w:color="auto" w:fill="FFFFFF"/>
            <w:noWrap/>
            <w:vAlign w:val="center"/>
            <w:hideMark/>
          </w:tcPr>
          <w:p w14:paraId="465CE27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90.717 </w:t>
            </w:r>
          </w:p>
        </w:tc>
        <w:tc>
          <w:tcPr>
            <w:tcW w:w="347" w:type="pct"/>
            <w:shd w:val="clear" w:color="auto" w:fill="FFFFFF"/>
            <w:noWrap/>
            <w:vAlign w:val="center"/>
            <w:hideMark/>
          </w:tcPr>
          <w:p w14:paraId="7469B37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26,21%</w:t>
            </w:r>
          </w:p>
        </w:tc>
        <w:tc>
          <w:tcPr>
            <w:tcW w:w="489" w:type="pct"/>
            <w:noWrap/>
            <w:vAlign w:val="center"/>
            <w:hideMark/>
          </w:tcPr>
          <w:p w14:paraId="1615F4A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131.167 </w:t>
            </w:r>
          </w:p>
        </w:tc>
        <w:tc>
          <w:tcPr>
            <w:tcW w:w="384" w:type="pct"/>
            <w:noWrap/>
            <w:vAlign w:val="center"/>
            <w:hideMark/>
          </w:tcPr>
          <w:p w14:paraId="63589026"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26.666 </w:t>
            </w:r>
          </w:p>
        </w:tc>
        <w:tc>
          <w:tcPr>
            <w:tcW w:w="347" w:type="pct"/>
            <w:shd w:val="clear" w:color="auto" w:fill="FFFFFF"/>
            <w:noWrap/>
            <w:vAlign w:val="center"/>
            <w:hideMark/>
          </w:tcPr>
          <w:p w14:paraId="579EF2F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20,33%</w:t>
            </w:r>
          </w:p>
        </w:tc>
        <w:tc>
          <w:tcPr>
            <w:tcW w:w="489" w:type="pct"/>
            <w:noWrap/>
            <w:vAlign w:val="center"/>
            <w:hideMark/>
          </w:tcPr>
          <w:p w14:paraId="07DB1266"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270.306 </w:t>
            </w:r>
          </w:p>
        </w:tc>
        <w:tc>
          <w:tcPr>
            <w:tcW w:w="384" w:type="pct"/>
            <w:noWrap/>
            <w:vAlign w:val="center"/>
            <w:hideMark/>
          </w:tcPr>
          <w:p w14:paraId="7A5D766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46.541 </w:t>
            </w:r>
          </w:p>
        </w:tc>
        <w:tc>
          <w:tcPr>
            <w:tcW w:w="347" w:type="pct"/>
            <w:shd w:val="clear" w:color="auto" w:fill="FFFFFF"/>
            <w:noWrap/>
            <w:vAlign w:val="center"/>
            <w:hideMark/>
          </w:tcPr>
          <w:p w14:paraId="6E94DCE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17,22%</w:t>
            </w:r>
          </w:p>
        </w:tc>
      </w:tr>
      <w:tr w:rsidR="003B5193" w:rsidRPr="00AE4E8D" w14:paraId="28F4ACE5" w14:textId="77777777" w:rsidTr="00FA3175">
        <w:trPr>
          <w:trHeight w:val="255"/>
          <w:jc w:val="center"/>
        </w:trPr>
        <w:tc>
          <w:tcPr>
            <w:tcW w:w="1180" w:type="pct"/>
            <w:vAlign w:val="center"/>
            <w:hideMark/>
          </w:tcPr>
          <w:p w14:paraId="481EA09B"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5A044528"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70DDEA1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tcBorders>
              <w:top w:val="nil"/>
              <w:left w:val="nil"/>
              <w:bottom w:val="single" w:sz="4" w:space="0" w:color="000000"/>
              <w:right w:val="nil"/>
            </w:tcBorders>
            <w:shd w:val="clear" w:color="auto" w:fill="FFFFFF"/>
            <w:noWrap/>
            <w:vAlign w:val="center"/>
            <w:hideMark/>
          </w:tcPr>
          <w:p w14:paraId="0C6B71E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10FD0E6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89" w:type="pct"/>
            <w:tcBorders>
              <w:top w:val="nil"/>
              <w:left w:val="nil"/>
              <w:bottom w:val="single" w:sz="4" w:space="0" w:color="000000"/>
              <w:right w:val="nil"/>
            </w:tcBorders>
            <w:noWrap/>
            <w:vAlign w:val="center"/>
            <w:hideMark/>
          </w:tcPr>
          <w:p w14:paraId="571D247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tcBorders>
              <w:top w:val="nil"/>
              <w:left w:val="nil"/>
              <w:bottom w:val="single" w:sz="4" w:space="0" w:color="000000"/>
              <w:right w:val="nil"/>
            </w:tcBorders>
            <w:noWrap/>
            <w:vAlign w:val="center"/>
            <w:hideMark/>
          </w:tcPr>
          <w:p w14:paraId="140D77F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63BF630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89" w:type="pct"/>
            <w:tcBorders>
              <w:top w:val="nil"/>
              <w:left w:val="nil"/>
              <w:bottom w:val="single" w:sz="4" w:space="0" w:color="000000"/>
              <w:right w:val="nil"/>
            </w:tcBorders>
            <w:noWrap/>
            <w:vAlign w:val="center"/>
            <w:hideMark/>
          </w:tcPr>
          <w:p w14:paraId="4046841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tcBorders>
              <w:top w:val="nil"/>
              <w:left w:val="nil"/>
              <w:bottom w:val="single" w:sz="4" w:space="0" w:color="000000"/>
              <w:right w:val="nil"/>
            </w:tcBorders>
            <w:noWrap/>
            <w:vAlign w:val="center"/>
            <w:hideMark/>
          </w:tcPr>
          <w:p w14:paraId="6C45646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3D2AAB2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00CC1C76" w14:textId="77777777" w:rsidTr="00FA3175">
        <w:trPr>
          <w:trHeight w:val="255"/>
          <w:jc w:val="center"/>
        </w:trPr>
        <w:tc>
          <w:tcPr>
            <w:tcW w:w="1180" w:type="pct"/>
            <w:vAlign w:val="center"/>
            <w:hideMark/>
          </w:tcPr>
          <w:p w14:paraId="4D9989BC"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1645C226"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0D35DEE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346.067 </w:t>
            </w:r>
          </w:p>
        </w:tc>
        <w:tc>
          <w:tcPr>
            <w:tcW w:w="422" w:type="pct"/>
            <w:shd w:val="clear" w:color="auto" w:fill="FFFFFF"/>
            <w:noWrap/>
            <w:vAlign w:val="center"/>
            <w:hideMark/>
          </w:tcPr>
          <w:p w14:paraId="66B53F7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90.717 </w:t>
            </w:r>
          </w:p>
        </w:tc>
        <w:tc>
          <w:tcPr>
            <w:tcW w:w="347" w:type="pct"/>
            <w:tcBorders>
              <w:top w:val="single" w:sz="4" w:space="0" w:color="auto"/>
              <w:left w:val="nil"/>
              <w:bottom w:val="nil"/>
              <w:right w:val="nil"/>
            </w:tcBorders>
            <w:shd w:val="clear" w:color="auto" w:fill="FFFFFF"/>
            <w:noWrap/>
            <w:vAlign w:val="center"/>
            <w:hideMark/>
          </w:tcPr>
          <w:p w14:paraId="5250F2F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26,21%</w:t>
            </w:r>
          </w:p>
        </w:tc>
        <w:tc>
          <w:tcPr>
            <w:tcW w:w="489" w:type="pct"/>
            <w:noWrap/>
            <w:vAlign w:val="center"/>
            <w:hideMark/>
          </w:tcPr>
          <w:p w14:paraId="068546F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131.167 </w:t>
            </w:r>
          </w:p>
        </w:tc>
        <w:tc>
          <w:tcPr>
            <w:tcW w:w="384" w:type="pct"/>
            <w:noWrap/>
            <w:vAlign w:val="center"/>
            <w:hideMark/>
          </w:tcPr>
          <w:p w14:paraId="42015BA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26.666 </w:t>
            </w:r>
          </w:p>
        </w:tc>
        <w:tc>
          <w:tcPr>
            <w:tcW w:w="347" w:type="pct"/>
            <w:tcBorders>
              <w:top w:val="single" w:sz="4" w:space="0" w:color="auto"/>
              <w:left w:val="nil"/>
              <w:bottom w:val="nil"/>
              <w:right w:val="nil"/>
            </w:tcBorders>
            <w:shd w:val="clear" w:color="auto" w:fill="FFFFFF"/>
            <w:noWrap/>
            <w:vAlign w:val="center"/>
            <w:hideMark/>
          </w:tcPr>
          <w:p w14:paraId="49253C2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20,33%</w:t>
            </w:r>
          </w:p>
        </w:tc>
        <w:tc>
          <w:tcPr>
            <w:tcW w:w="489" w:type="pct"/>
            <w:noWrap/>
            <w:vAlign w:val="center"/>
            <w:hideMark/>
          </w:tcPr>
          <w:p w14:paraId="34809581"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270.306 </w:t>
            </w:r>
          </w:p>
        </w:tc>
        <w:tc>
          <w:tcPr>
            <w:tcW w:w="384" w:type="pct"/>
            <w:noWrap/>
            <w:vAlign w:val="center"/>
            <w:hideMark/>
          </w:tcPr>
          <w:p w14:paraId="43F455B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46.541 </w:t>
            </w:r>
          </w:p>
        </w:tc>
        <w:tc>
          <w:tcPr>
            <w:tcW w:w="347" w:type="pct"/>
            <w:tcBorders>
              <w:top w:val="single" w:sz="4" w:space="0" w:color="auto"/>
              <w:left w:val="nil"/>
              <w:bottom w:val="nil"/>
              <w:right w:val="nil"/>
            </w:tcBorders>
            <w:shd w:val="clear" w:color="auto" w:fill="FFFFFF"/>
            <w:noWrap/>
            <w:vAlign w:val="center"/>
            <w:hideMark/>
          </w:tcPr>
          <w:p w14:paraId="0F8873B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17,22%</w:t>
            </w:r>
          </w:p>
        </w:tc>
      </w:tr>
      <w:tr w:rsidR="003B5193" w:rsidRPr="00AE4E8D" w14:paraId="19E12170" w14:textId="77777777" w:rsidTr="00FA3175">
        <w:trPr>
          <w:trHeight w:val="255"/>
          <w:jc w:val="center"/>
        </w:trPr>
        <w:tc>
          <w:tcPr>
            <w:tcW w:w="1180" w:type="pct"/>
            <w:vAlign w:val="center"/>
            <w:hideMark/>
          </w:tcPr>
          <w:p w14:paraId="316C7A57"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Otros Pasivos</w:t>
            </w:r>
          </w:p>
        </w:tc>
        <w:tc>
          <w:tcPr>
            <w:tcW w:w="123" w:type="pct"/>
            <w:noWrap/>
            <w:vAlign w:val="bottom"/>
          </w:tcPr>
          <w:p w14:paraId="299E1A2C"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315EE2A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202A595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13B1CB3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89" w:type="pct"/>
            <w:noWrap/>
            <w:vAlign w:val="center"/>
            <w:hideMark/>
          </w:tcPr>
          <w:p w14:paraId="26CEAB9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619928B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4BBCC64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89" w:type="pct"/>
            <w:noWrap/>
            <w:vAlign w:val="center"/>
          </w:tcPr>
          <w:p w14:paraId="2410157F"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18157258" w14:textId="77777777" w:rsidR="00E90931" w:rsidRPr="00AE4E8D" w:rsidRDefault="00E90931" w:rsidP="00FA3175">
            <w:pPr>
              <w:jc w:val="right"/>
              <w:rPr>
                <w:rFonts w:ascii="Times New Roman" w:hAnsi="Times New Roman"/>
                <w:sz w:val="14"/>
                <w:szCs w:val="14"/>
                <w:lang w:val="es-ES"/>
              </w:rPr>
            </w:pPr>
          </w:p>
        </w:tc>
        <w:tc>
          <w:tcPr>
            <w:tcW w:w="347" w:type="pct"/>
            <w:shd w:val="clear" w:color="auto" w:fill="FFFFFF"/>
            <w:noWrap/>
            <w:vAlign w:val="center"/>
            <w:hideMark/>
          </w:tcPr>
          <w:p w14:paraId="09D05F3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246D5BAD" w14:textId="77777777" w:rsidTr="00FA3175">
        <w:trPr>
          <w:trHeight w:val="255"/>
          <w:jc w:val="center"/>
        </w:trPr>
        <w:tc>
          <w:tcPr>
            <w:tcW w:w="1180" w:type="pct"/>
            <w:vAlign w:val="center"/>
            <w:hideMark/>
          </w:tcPr>
          <w:p w14:paraId="6CCC8D77"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7E5C0EE1"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2CB3C94C"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281</w:t>
            </w:r>
          </w:p>
        </w:tc>
        <w:tc>
          <w:tcPr>
            <w:tcW w:w="422" w:type="pct"/>
            <w:shd w:val="clear" w:color="auto" w:fill="FFFFFF"/>
            <w:noWrap/>
            <w:vAlign w:val="center"/>
            <w:hideMark/>
          </w:tcPr>
          <w:p w14:paraId="083E3052"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128 </w:t>
            </w:r>
          </w:p>
        </w:tc>
        <w:tc>
          <w:tcPr>
            <w:tcW w:w="347" w:type="pct"/>
            <w:shd w:val="clear" w:color="auto" w:fill="FFFFFF"/>
            <w:noWrap/>
            <w:vAlign w:val="center"/>
            <w:hideMark/>
          </w:tcPr>
          <w:p w14:paraId="54D066B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45,67%</w:t>
            </w:r>
          </w:p>
        </w:tc>
        <w:tc>
          <w:tcPr>
            <w:tcW w:w="489" w:type="pct"/>
            <w:noWrap/>
            <w:vAlign w:val="center"/>
            <w:hideMark/>
          </w:tcPr>
          <w:p w14:paraId="5A0286A0"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589 </w:t>
            </w:r>
          </w:p>
        </w:tc>
        <w:tc>
          <w:tcPr>
            <w:tcW w:w="384" w:type="pct"/>
            <w:noWrap/>
            <w:vAlign w:val="center"/>
            <w:hideMark/>
          </w:tcPr>
          <w:p w14:paraId="2DF38EC7"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45 </w:t>
            </w:r>
          </w:p>
        </w:tc>
        <w:tc>
          <w:tcPr>
            <w:tcW w:w="347" w:type="pct"/>
            <w:shd w:val="clear" w:color="auto" w:fill="FFFFFF"/>
            <w:noWrap/>
            <w:vAlign w:val="center"/>
            <w:hideMark/>
          </w:tcPr>
          <w:p w14:paraId="73B93C4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7,64%</w:t>
            </w:r>
          </w:p>
        </w:tc>
        <w:tc>
          <w:tcPr>
            <w:tcW w:w="489" w:type="pct"/>
            <w:noWrap/>
            <w:vAlign w:val="center"/>
            <w:hideMark/>
          </w:tcPr>
          <w:p w14:paraId="244AAE1D"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668 </w:t>
            </w:r>
          </w:p>
        </w:tc>
        <w:tc>
          <w:tcPr>
            <w:tcW w:w="384" w:type="pct"/>
            <w:noWrap/>
            <w:vAlign w:val="center"/>
            <w:hideMark/>
          </w:tcPr>
          <w:p w14:paraId="60065019"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0 </w:t>
            </w:r>
          </w:p>
        </w:tc>
        <w:tc>
          <w:tcPr>
            <w:tcW w:w="347" w:type="pct"/>
            <w:shd w:val="clear" w:color="auto" w:fill="FFFFFF"/>
            <w:noWrap/>
            <w:vAlign w:val="center"/>
            <w:hideMark/>
          </w:tcPr>
          <w:p w14:paraId="6D3BA67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0,01%</w:t>
            </w:r>
          </w:p>
        </w:tc>
      </w:tr>
      <w:tr w:rsidR="003B5193" w:rsidRPr="00AE4E8D" w14:paraId="47049213" w14:textId="77777777" w:rsidTr="00FA3175">
        <w:trPr>
          <w:trHeight w:val="255"/>
          <w:jc w:val="center"/>
        </w:trPr>
        <w:tc>
          <w:tcPr>
            <w:tcW w:w="1180" w:type="pct"/>
            <w:vAlign w:val="center"/>
            <w:hideMark/>
          </w:tcPr>
          <w:p w14:paraId="1262C3DB"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72007163"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160AD21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tcBorders>
              <w:top w:val="nil"/>
              <w:left w:val="nil"/>
              <w:bottom w:val="single" w:sz="4" w:space="0" w:color="000000"/>
              <w:right w:val="nil"/>
            </w:tcBorders>
            <w:shd w:val="clear" w:color="auto" w:fill="FFFFFF"/>
            <w:noWrap/>
            <w:vAlign w:val="center"/>
            <w:hideMark/>
          </w:tcPr>
          <w:p w14:paraId="382A57D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4B79396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89" w:type="pct"/>
            <w:tcBorders>
              <w:top w:val="nil"/>
              <w:left w:val="nil"/>
              <w:bottom w:val="single" w:sz="4" w:space="0" w:color="000000"/>
              <w:right w:val="nil"/>
            </w:tcBorders>
            <w:noWrap/>
            <w:vAlign w:val="center"/>
            <w:hideMark/>
          </w:tcPr>
          <w:p w14:paraId="049D3F1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tcBorders>
              <w:top w:val="nil"/>
              <w:left w:val="nil"/>
              <w:bottom w:val="single" w:sz="4" w:space="0" w:color="000000"/>
              <w:right w:val="nil"/>
            </w:tcBorders>
            <w:noWrap/>
            <w:vAlign w:val="center"/>
            <w:hideMark/>
          </w:tcPr>
          <w:p w14:paraId="1F8A91E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shd w:val="clear" w:color="auto" w:fill="FFFFFF"/>
            <w:noWrap/>
            <w:vAlign w:val="center"/>
            <w:hideMark/>
          </w:tcPr>
          <w:p w14:paraId="220B188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89" w:type="pct"/>
            <w:tcBorders>
              <w:top w:val="nil"/>
              <w:left w:val="nil"/>
              <w:bottom w:val="single" w:sz="4" w:space="0" w:color="000000"/>
              <w:right w:val="nil"/>
            </w:tcBorders>
            <w:noWrap/>
            <w:vAlign w:val="center"/>
            <w:hideMark/>
          </w:tcPr>
          <w:p w14:paraId="1EB84723"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84" w:type="pct"/>
            <w:tcBorders>
              <w:top w:val="nil"/>
              <w:left w:val="nil"/>
              <w:bottom w:val="single" w:sz="4" w:space="0" w:color="000000"/>
              <w:right w:val="nil"/>
            </w:tcBorders>
            <w:noWrap/>
            <w:vAlign w:val="center"/>
            <w:hideMark/>
          </w:tcPr>
          <w:p w14:paraId="1E8DD29F"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47" w:type="pct"/>
            <w:shd w:val="clear" w:color="auto" w:fill="FFFFFF"/>
            <w:noWrap/>
            <w:vAlign w:val="center"/>
            <w:hideMark/>
          </w:tcPr>
          <w:p w14:paraId="41D5ED7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4299CF72" w14:textId="77777777" w:rsidTr="00FA3175">
        <w:trPr>
          <w:trHeight w:val="255"/>
          <w:jc w:val="center"/>
        </w:trPr>
        <w:tc>
          <w:tcPr>
            <w:tcW w:w="1180" w:type="pct"/>
            <w:vAlign w:val="center"/>
            <w:hideMark/>
          </w:tcPr>
          <w:p w14:paraId="1564CF8D"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577B163C"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2810D69D"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281</w:t>
            </w:r>
          </w:p>
        </w:tc>
        <w:tc>
          <w:tcPr>
            <w:tcW w:w="422" w:type="pct"/>
            <w:shd w:val="clear" w:color="auto" w:fill="FFFFFF"/>
            <w:noWrap/>
            <w:vAlign w:val="center"/>
            <w:hideMark/>
          </w:tcPr>
          <w:p w14:paraId="2905FE35"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128 </w:t>
            </w:r>
          </w:p>
        </w:tc>
        <w:tc>
          <w:tcPr>
            <w:tcW w:w="347" w:type="pct"/>
            <w:tcBorders>
              <w:top w:val="single" w:sz="4" w:space="0" w:color="auto"/>
              <w:left w:val="nil"/>
              <w:bottom w:val="nil"/>
              <w:right w:val="nil"/>
            </w:tcBorders>
            <w:shd w:val="clear" w:color="auto" w:fill="FFFFFF"/>
            <w:noWrap/>
            <w:vAlign w:val="center"/>
            <w:hideMark/>
          </w:tcPr>
          <w:p w14:paraId="65F6016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45,67%</w:t>
            </w:r>
          </w:p>
        </w:tc>
        <w:tc>
          <w:tcPr>
            <w:tcW w:w="489" w:type="pct"/>
            <w:noWrap/>
            <w:vAlign w:val="center"/>
            <w:hideMark/>
          </w:tcPr>
          <w:p w14:paraId="29A1D26C"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589 </w:t>
            </w:r>
          </w:p>
        </w:tc>
        <w:tc>
          <w:tcPr>
            <w:tcW w:w="384" w:type="pct"/>
            <w:noWrap/>
            <w:vAlign w:val="center"/>
            <w:hideMark/>
          </w:tcPr>
          <w:p w14:paraId="40123D92"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45 </w:t>
            </w:r>
          </w:p>
        </w:tc>
        <w:tc>
          <w:tcPr>
            <w:tcW w:w="347" w:type="pct"/>
            <w:tcBorders>
              <w:top w:val="single" w:sz="4" w:space="0" w:color="auto"/>
              <w:left w:val="nil"/>
              <w:bottom w:val="nil"/>
              <w:right w:val="nil"/>
            </w:tcBorders>
            <w:shd w:val="clear" w:color="auto" w:fill="FFFFFF"/>
            <w:noWrap/>
            <w:vAlign w:val="center"/>
            <w:hideMark/>
          </w:tcPr>
          <w:p w14:paraId="16D0D6B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7,64%</w:t>
            </w:r>
          </w:p>
        </w:tc>
        <w:tc>
          <w:tcPr>
            <w:tcW w:w="489" w:type="pct"/>
            <w:noWrap/>
            <w:vAlign w:val="center"/>
            <w:hideMark/>
          </w:tcPr>
          <w:p w14:paraId="64C9172B"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668 </w:t>
            </w:r>
          </w:p>
        </w:tc>
        <w:tc>
          <w:tcPr>
            <w:tcW w:w="384" w:type="pct"/>
            <w:noWrap/>
            <w:vAlign w:val="center"/>
            <w:hideMark/>
          </w:tcPr>
          <w:p w14:paraId="118AC8C8"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0 </w:t>
            </w:r>
          </w:p>
        </w:tc>
        <w:tc>
          <w:tcPr>
            <w:tcW w:w="347" w:type="pct"/>
            <w:tcBorders>
              <w:top w:val="single" w:sz="4" w:space="0" w:color="auto"/>
              <w:left w:val="nil"/>
              <w:bottom w:val="nil"/>
              <w:right w:val="nil"/>
            </w:tcBorders>
            <w:shd w:val="clear" w:color="auto" w:fill="FFFFFF"/>
            <w:noWrap/>
            <w:vAlign w:val="center"/>
            <w:hideMark/>
          </w:tcPr>
          <w:p w14:paraId="1445535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0,01%</w:t>
            </w:r>
          </w:p>
        </w:tc>
      </w:tr>
      <w:tr w:rsidR="003B5193" w:rsidRPr="00AE4E8D" w14:paraId="04AC7905" w14:textId="77777777" w:rsidTr="00FA3175">
        <w:trPr>
          <w:trHeight w:val="255"/>
          <w:jc w:val="center"/>
        </w:trPr>
        <w:tc>
          <w:tcPr>
            <w:tcW w:w="1180" w:type="pct"/>
            <w:vAlign w:val="center"/>
            <w:hideMark/>
          </w:tcPr>
          <w:p w14:paraId="21B828C6"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Total pasivos que devengan intereses</w:t>
            </w:r>
          </w:p>
        </w:tc>
        <w:tc>
          <w:tcPr>
            <w:tcW w:w="123" w:type="pct"/>
            <w:noWrap/>
            <w:vAlign w:val="bottom"/>
          </w:tcPr>
          <w:p w14:paraId="3100FE09"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0E1E6B6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400AF08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EB99DDD"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31EA240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7E757E1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C73AFEA"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7D30A99A"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4EE7740D"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205C0159" w14:textId="77777777" w:rsidR="00E90931" w:rsidRPr="00AE4E8D" w:rsidRDefault="00E90931" w:rsidP="00FA3175">
            <w:pPr>
              <w:jc w:val="right"/>
              <w:rPr>
                <w:rFonts w:ascii="Times New Roman" w:hAnsi="Times New Roman"/>
                <w:sz w:val="14"/>
                <w:szCs w:val="14"/>
                <w:lang w:val="es-ES"/>
              </w:rPr>
            </w:pPr>
          </w:p>
        </w:tc>
      </w:tr>
      <w:tr w:rsidR="003B5193" w:rsidRPr="00AE4E8D" w14:paraId="1ABC3523" w14:textId="77777777" w:rsidTr="00FA3175">
        <w:trPr>
          <w:trHeight w:val="255"/>
          <w:jc w:val="center"/>
        </w:trPr>
        <w:tc>
          <w:tcPr>
            <w:tcW w:w="1180" w:type="pct"/>
            <w:vAlign w:val="center"/>
            <w:hideMark/>
          </w:tcPr>
          <w:p w14:paraId="67AB6571"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355F9BD5"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2FEA16E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20.189.224 </w:t>
            </w:r>
          </w:p>
        </w:tc>
        <w:tc>
          <w:tcPr>
            <w:tcW w:w="422" w:type="pct"/>
            <w:shd w:val="clear" w:color="auto" w:fill="FFFFFF"/>
            <w:noWrap/>
            <w:vAlign w:val="center"/>
            <w:hideMark/>
          </w:tcPr>
          <w:p w14:paraId="427DF55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5.113.164 </w:t>
            </w:r>
          </w:p>
        </w:tc>
        <w:tc>
          <w:tcPr>
            <w:tcW w:w="347" w:type="pct"/>
            <w:shd w:val="clear" w:color="auto" w:fill="FFFFFF"/>
            <w:noWrap/>
            <w:vAlign w:val="center"/>
            <w:hideMark/>
          </w:tcPr>
          <w:p w14:paraId="753AA8E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25,33%</w:t>
            </w:r>
          </w:p>
        </w:tc>
        <w:tc>
          <w:tcPr>
            <w:tcW w:w="489" w:type="pct"/>
            <w:noWrap/>
            <w:vAlign w:val="center"/>
            <w:hideMark/>
          </w:tcPr>
          <w:p w14:paraId="666EA7FE"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17.881.495 </w:t>
            </w:r>
          </w:p>
        </w:tc>
        <w:tc>
          <w:tcPr>
            <w:tcW w:w="384" w:type="pct"/>
            <w:noWrap/>
            <w:vAlign w:val="center"/>
            <w:hideMark/>
          </w:tcPr>
          <w:p w14:paraId="3E2FA1B3"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3.118.150 </w:t>
            </w:r>
          </w:p>
        </w:tc>
        <w:tc>
          <w:tcPr>
            <w:tcW w:w="347" w:type="pct"/>
            <w:shd w:val="clear" w:color="auto" w:fill="FFFFFF"/>
            <w:noWrap/>
            <w:vAlign w:val="center"/>
            <w:hideMark/>
          </w:tcPr>
          <w:p w14:paraId="445B357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17,44%</w:t>
            </w:r>
          </w:p>
        </w:tc>
        <w:tc>
          <w:tcPr>
            <w:tcW w:w="489" w:type="pct"/>
            <w:noWrap/>
            <w:vAlign w:val="center"/>
            <w:hideMark/>
          </w:tcPr>
          <w:p w14:paraId="7A1F8746"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12.761.201 </w:t>
            </w:r>
          </w:p>
        </w:tc>
        <w:tc>
          <w:tcPr>
            <w:tcW w:w="384" w:type="pct"/>
            <w:noWrap/>
            <w:vAlign w:val="center"/>
            <w:hideMark/>
          </w:tcPr>
          <w:p w14:paraId="26956F3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2.210.874 </w:t>
            </w:r>
          </w:p>
        </w:tc>
        <w:tc>
          <w:tcPr>
            <w:tcW w:w="347" w:type="pct"/>
            <w:shd w:val="clear" w:color="auto" w:fill="FFFFFF"/>
            <w:noWrap/>
            <w:vAlign w:val="center"/>
            <w:hideMark/>
          </w:tcPr>
          <w:p w14:paraId="4DD90C5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17,32%</w:t>
            </w:r>
          </w:p>
        </w:tc>
      </w:tr>
      <w:tr w:rsidR="003B5193" w:rsidRPr="00AE4E8D" w14:paraId="4EF73140" w14:textId="77777777" w:rsidTr="00FA3175">
        <w:trPr>
          <w:trHeight w:val="255"/>
          <w:jc w:val="center"/>
        </w:trPr>
        <w:tc>
          <w:tcPr>
            <w:tcW w:w="1180" w:type="pct"/>
            <w:vAlign w:val="center"/>
            <w:hideMark/>
          </w:tcPr>
          <w:p w14:paraId="414F4207"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18A4D6DE"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06D3D1B4"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8.249.461 </w:t>
            </w:r>
          </w:p>
        </w:tc>
        <w:tc>
          <w:tcPr>
            <w:tcW w:w="422" w:type="pct"/>
            <w:shd w:val="clear" w:color="auto" w:fill="FFFFFF"/>
            <w:noWrap/>
            <w:vAlign w:val="center"/>
            <w:hideMark/>
          </w:tcPr>
          <w:p w14:paraId="07208BB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480.965 </w:t>
            </w:r>
          </w:p>
        </w:tc>
        <w:tc>
          <w:tcPr>
            <w:tcW w:w="347" w:type="pct"/>
            <w:shd w:val="clear" w:color="auto" w:fill="FFFFFF"/>
            <w:noWrap/>
            <w:vAlign w:val="center"/>
            <w:hideMark/>
          </w:tcPr>
          <w:p w14:paraId="069C63C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5,83%</w:t>
            </w:r>
          </w:p>
        </w:tc>
        <w:tc>
          <w:tcPr>
            <w:tcW w:w="489" w:type="pct"/>
            <w:noWrap/>
            <w:vAlign w:val="center"/>
            <w:hideMark/>
          </w:tcPr>
          <w:p w14:paraId="38AC14D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2.945.768 </w:t>
            </w:r>
          </w:p>
        </w:tc>
        <w:tc>
          <w:tcPr>
            <w:tcW w:w="384" w:type="pct"/>
            <w:noWrap/>
            <w:vAlign w:val="center"/>
            <w:hideMark/>
          </w:tcPr>
          <w:p w14:paraId="3CA8769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246.359 </w:t>
            </w:r>
          </w:p>
        </w:tc>
        <w:tc>
          <w:tcPr>
            <w:tcW w:w="347" w:type="pct"/>
            <w:shd w:val="clear" w:color="auto" w:fill="FFFFFF"/>
            <w:noWrap/>
            <w:vAlign w:val="center"/>
            <w:hideMark/>
          </w:tcPr>
          <w:p w14:paraId="25DB3E3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8,36%</w:t>
            </w:r>
          </w:p>
        </w:tc>
        <w:tc>
          <w:tcPr>
            <w:tcW w:w="489" w:type="pct"/>
            <w:noWrap/>
            <w:vAlign w:val="center"/>
            <w:hideMark/>
          </w:tcPr>
          <w:p w14:paraId="66EE0A3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2.759.269 </w:t>
            </w:r>
          </w:p>
        </w:tc>
        <w:tc>
          <w:tcPr>
            <w:tcW w:w="384" w:type="pct"/>
            <w:noWrap/>
            <w:vAlign w:val="center"/>
            <w:hideMark/>
          </w:tcPr>
          <w:p w14:paraId="550A91B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186.251 </w:t>
            </w:r>
          </w:p>
        </w:tc>
        <w:tc>
          <w:tcPr>
            <w:tcW w:w="347" w:type="pct"/>
            <w:shd w:val="clear" w:color="auto" w:fill="FFFFFF"/>
            <w:noWrap/>
            <w:vAlign w:val="center"/>
            <w:hideMark/>
          </w:tcPr>
          <w:p w14:paraId="1185A42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6,75%</w:t>
            </w:r>
          </w:p>
        </w:tc>
      </w:tr>
      <w:tr w:rsidR="003B5193" w:rsidRPr="00AE4E8D" w14:paraId="7AE2DA57" w14:textId="77777777" w:rsidTr="00FA3175">
        <w:trPr>
          <w:trHeight w:val="255"/>
          <w:jc w:val="center"/>
        </w:trPr>
        <w:tc>
          <w:tcPr>
            <w:tcW w:w="1180" w:type="pct"/>
            <w:vAlign w:val="center"/>
            <w:hideMark/>
          </w:tcPr>
          <w:p w14:paraId="7C295038"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Total</w:t>
            </w:r>
          </w:p>
        </w:tc>
        <w:tc>
          <w:tcPr>
            <w:tcW w:w="123" w:type="pct"/>
            <w:noWrap/>
            <w:vAlign w:val="bottom"/>
          </w:tcPr>
          <w:p w14:paraId="57F76ABB" w14:textId="77777777" w:rsidR="00E90931" w:rsidRPr="00AE4E8D" w:rsidRDefault="00E90931" w:rsidP="00E90931">
            <w:pPr>
              <w:rPr>
                <w:rFonts w:ascii="Times New Roman" w:hAnsi="Times New Roman"/>
                <w:b/>
                <w:bCs/>
                <w:sz w:val="14"/>
                <w:szCs w:val="14"/>
                <w:lang w:val="es-ES"/>
              </w:rPr>
            </w:pPr>
          </w:p>
        </w:tc>
        <w:tc>
          <w:tcPr>
            <w:tcW w:w="489" w:type="pct"/>
            <w:tcBorders>
              <w:top w:val="single" w:sz="4" w:space="0" w:color="000000"/>
              <w:left w:val="nil"/>
              <w:bottom w:val="single" w:sz="4" w:space="0" w:color="auto"/>
              <w:right w:val="nil"/>
            </w:tcBorders>
            <w:shd w:val="clear" w:color="auto" w:fill="FFFFFF"/>
            <w:noWrap/>
            <w:vAlign w:val="center"/>
            <w:hideMark/>
          </w:tcPr>
          <w:p w14:paraId="49C6617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28.438.685 </w:t>
            </w:r>
          </w:p>
        </w:tc>
        <w:tc>
          <w:tcPr>
            <w:tcW w:w="422" w:type="pct"/>
            <w:tcBorders>
              <w:top w:val="single" w:sz="4" w:space="0" w:color="000000"/>
              <w:left w:val="nil"/>
              <w:bottom w:val="single" w:sz="4" w:space="0" w:color="auto"/>
              <w:right w:val="nil"/>
            </w:tcBorders>
            <w:shd w:val="clear" w:color="auto" w:fill="FFFFFF"/>
            <w:noWrap/>
            <w:vAlign w:val="center"/>
            <w:hideMark/>
          </w:tcPr>
          <w:p w14:paraId="5A963B1E"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5.594.129 </w:t>
            </w:r>
          </w:p>
        </w:tc>
        <w:tc>
          <w:tcPr>
            <w:tcW w:w="347" w:type="pct"/>
            <w:tcBorders>
              <w:top w:val="single" w:sz="4" w:space="0" w:color="auto"/>
              <w:left w:val="nil"/>
              <w:bottom w:val="single" w:sz="4" w:space="0" w:color="auto"/>
              <w:right w:val="nil"/>
            </w:tcBorders>
            <w:shd w:val="clear" w:color="auto" w:fill="FFFFFF"/>
            <w:noWrap/>
            <w:vAlign w:val="center"/>
            <w:hideMark/>
          </w:tcPr>
          <w:p w14:paraId="5066D7C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19,67%</w:t>
            </w:r>
          </w:p>
        </w:tc>
        <w:tc>
          <w:tcPr>
            <w:tcW w:w="489" w:type="pct"/>
            <w:tcBorders>
              <w:top w:val="single" w:sz="4" w:space="0" w:color="000000"/>
              <w:left w:val="nil"/>
              <w:bottom w:val="single" w:sz="4" w:space="0" w:color="auto"/>
              <w:right w:val="nil"/>
            </w:tcBorders>
            <w:noWrap/>
            <w:vAlign w:val="center"/>
            <w:hideMark/>
          </w:tcPr>
          <w:p w14:paraId="147093A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20.827.263 </w:t>
            </w:r>
          </w:p>
        </w:tc>
        <w:tc>
          <w:tcPr>
            <w:tcW w:w="384" w:type="pct"/>
            <w:tcBorders>
              <w:top w:val="single" w:sz="4" w:space="0" w:color="000000"/>
              <w:left w:val="nil"/>
              <w:bottom w:val="single" w:sz="4" w:space="0" w:color="auto"/>
              <w:right w:val="nil"/>
            </w:tcBorders>
            <w:noWrap/>
            <w:vAlign w:val="center"/>
            <w:hideMark/>
          </w:tcPr>
          <w:p w14:paraId="3DDD6DD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3.364.509 </w:t>
            </w:r>
          </w:p>
        </w:tc>
        <w:tc>
          <w:tcPr>
            <w:tcW w:w="347" w:type="pct"/>
            <w:tcBorders>
              <w:top w:val="single" w:sz="4" w:space="0" w:color="auto"/>
              <w:left w:val="nil"/>
              <w:bottom w:val="single" w:sz="4" w:space="0" w:color="auto"/>
              <w:right w:val="nil"/>
            </w:tcBorders>
            <w:shd w:val="clear" w:color="auto" w:fill="FFFFFF"/>
            <w:noWrap/>
            <w:vAlign w:val="center"/>
            <w:hideMark/>
          </w:tcPr>
          <w:p w14:paraId="72CCD5A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16,15%</w:t>
            </w:r>
          </w:p>
        </w:tc>
        <w:tc>
          <w:tcPr>
            <w:tcW w:w="489" w:type="pct"/>
            <w:tcBorders>
              <w:top w:val="single" w:sz="4" w:space="0" w:color="000000"/>
              <w:left w:val="nil"/>
              <w:bottom w:val="single" w:sz="4" w:space="0" w:color="auto"/>
              <w:right w:val="nil"/>
            </w:tcBorders>
            <w:noWrap/>
            <w:vAlign w:val="center"/>
            <w:hideMark/>
          </w:tcPr>
          <w:p w14:paraId="372E73F7"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15.520.470 </w:t>
            </w:r>
          </w:p>
        </w:tc>
        <w:tc>
          <w:tcPr>
            <w:tcW w:w="384" w:type="pct"/>
            <w:tcBorders>
              <w:top w:val="single" w:sz="4" w:space="0" w:color="000000"/>
              <w:left w:val="nil"/>
              <w:bottom w:val="single" w:sz="4" w:space="0" w:color="auto"/>
              <w:right w:val="nil"/>
            </w:tcBorders>
            <w:noWrap/>
            <w:vAlign w:val="center"/>
            <w:hideMark/>
          </w:tcPr>
          <w:p w14:paraId="0C23990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2.397.125 </w:t>
            </w:r>
          </w:p>
        </w:tc>
        <w:tc>
          <w:tcPr>
            <w:tcW w:w="347" w:type="pct"/>
            <w:tcBorders>
              <w:top w:val="single" w:sz="4" w:space="0" w:color="auto"/>
              <w:left w:val="nil"/>
              <w:bottom w:val="single" w:sz="4" w:space="0" w:color="auto"/>
              <w:right w:val="nil"/>
            </w:tcBorders>
            <w:shd w:val="clear" w:color="auto" w:fill="FFFFFF"/>
            <w:noWrap/>
            <w:vAlign w:val="center"/>
            <w:hideMark/>
          </w:tcPr>
          <w:p w14:paraId="4CB29AA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15,44%</w:t>
            </w:r>
          </w:p>
        </w:tc>
      </w:tr>
      <w:tr w:rsidR="003B5193" w:rsidRPr="00AE4E8D" w14:paraId="2ED7FC46" w14:textId="77777777" w:rsidTr="00FA3175">
        <w:trPr>
          <w:trHeight w:val="255"/>
          <w:jc w:val="center"/>
        </w:trPr>
        <w:tc>
          <w:tcPr>
            <w:tcW w:w="1180" w:type="pct"/>
            <w:vAlign w:val="center"/>
            <w:hideMark/>
          </w:tcPr>
          <w:p w14:paraId="6BDF4339"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Pasivos que no devengan intereses</w:t>
            </w:r>
          </w:p>
        </w:tc>
        <w:tc>
          <w:tcPr>
            <w:tcW w:w="123" w:type="pct"/>
            <w:noWrap/>
            <w:vAlign w:val="bottom"/>
          </w:tcPr>
          <w:p w14:paraId="6F22D937"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26F4086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7AF2D67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51199F64"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5F04A05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4F88CBE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4E024424"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47FCE4E8"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4BE66B3A"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61AC6CD4" w14:textId="77777777" w:rsidR="00E90931" w:rsidRPr="00AE4E8D" w:rsidRDefault="00E90931" w:rsidP="00FA3175">
            <w:pPr>
              <w:jc w:val="right"/>
              <w:rPr>
                <w:rFonts w:ascii="Times New Roman" w:hAnsi="Times New Roman"/>
                <w:sz w:val="14"/>
                <w:szCs w:val="14"/>
                <w:lang w:val="es-ES"/>
              </w:rPr>
            </w:pPr>
          </w:p>
        </w:tc>
      </w:tr>
      <w:tr w:rsidR="003B5193" w:rsidRPr="00AE4E8D" w14:paraId="5185E384" w14:textId="77777777" w:rsidTr="00FA3175">
        <w:trPr>
          <w:trHeight w:val="255"/>
          <w:jc w:val="center"/>
        </w:trPr>
        <w:tc>
          <w:tcPr>
            <w:tcW w:w="1180" w:type="pct"/>
            <w:vAlign w:val="center"/>
            <w:hideMark/>
          </w:tcPr>
          <w:p w14:paraId="2EF5DB8D"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Depósitos</w:t>
            </w:r>
          </w:p>
        </w:tc>
        <w:tc>
          <w:tcPr>
            <w:tcW w:w="123" w:type="pct"/>
            <w:noWrap/>
            <w:vAlign w:val="bottom"/>
          </w:tcPr>
          <w:p w14:paraId="28F48D0F"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48D4545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14B34F1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3DECF606"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46A71C8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13FDFA1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116F89FD"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7F0D75A4"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42670066"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04873195" w14:textId="77777777" w:rsidR="00E90931" w:rsidRPr="00AE4E8D" w:rsidRDefault="00E90931" w:rsidP="00FA3175">
            <w:pPr>
              <w:jc w:val="right"/>
              <w:rPr>
                <w:rFonts w:ascii="Times New Roman" w:hAnsi="Times New Roman"/>
                <w:sz w:val="14"/>
                <w:szCs w:val="14"/>
                <w:lang w:val="es-ES"/>
              </w:rPr>
            </w:pPr>
          </w:p>
        </w:tc>
      </w:tr>
      <w:tr w:rsidR="003B5193" w:rsidRPr="00AE4E8D" w14:paraId="348F7CE8" w14:textId="77777777" w:rsidTr="00FA3175">
        <w:trPr>
          <w:trHeight w:val="255"/>
          <w:jc w:val="center"/>
        </w:trPr>
        <w:tc>
          <w:tcPr>
            <w:tcW w:w="1180" w:type="pct"/>
            <w:vAlign w:val="center"/>
            <w:hideMark/>
          </w:tcPr>
          <w:p w14:paraId="1876163F"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054039D2"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0BF6D2FB"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3.300.449 </w:t>
            </w:r>
          </w:p>
        </w:tc>
        <w:tc>
          <w:tcPr>
            <w:tcW w:w="422" w:type="pct"/>
            <w:shd w:val="clear" w:color="auto" w:fill="FFFFFF"/>
            <w:noWrap/>
            <w:vAlign w:val="center"/>
            <w:hideMark/>
          </w:tcPr>
          <w:p w14:paraId="1708A8A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423B9EE2"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044B1A2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3.017.124 </w:t>
            </w:r>
          </w:p>
        </w:tc>
        <w:tc>
          <w:tcPr>
            <w:tcW w:w="384" w:type="pct"/>
            <w:noWrap/>
            <w:vAlign w:val="center"/>
            <w:hideMark/>
          </w:tcPr>
          <w:p w14:paraId="5035DED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3DB1E3AC"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6C781EF7"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2.454.073 </w:t>
            </w:r>
          </w:p>
        </w:tc>
        <w:tc>
          <w:tcPr>
            <w:tcW w:w="384" w:type="pct"/>
            <w:noWrap/>
            <w:vAlign w:val="center"/>
          </w:tcPr>
          <w:p w14:paraId="5748CFA2"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1F5254E4" w14:textId="77777777" w:rsidR="00E90931" w:rsidRPr="00AE4E8D" w:rsidRDefault="00E90931" w:rsidP="00FA3175">
            <w:pPr>
              <w:jc w:val="right"/>
              <w:rPr>
                <w:rFonts w:ascii="Times New Roman" w:hAnsi="Times New Roman"/>
                <w:sz w:val="14"/>
                <w:szCs w:val="14"/>
                <w:lang w:val="es-ES"/>
              </w:rPr>
            </w:pPr>
          </w:p>
        </w:tc>
      </w:tr>
      <w:tr w:rsidR="003B5193" w:rsidRPr="00AE4E8D" w14:paraId="13E07A2E" w14:textId="77777777" w:rsidTr="00FA3175">
        <w:trPr>
          <w:trHeight w:val="255"/>
          <w:jc w:val="center"/>
        </w:trPr>
        <w:tc>
          <w:tcPr>
            <w:tcW w:w="1180" w:type="pct"/>
            <w:vAlign w:val="center"/>
            <w:hideMark/>
          </w:tcPr>
          <w:p w14:paraId="7FB78E18"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3FD3294D"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22E44F1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121.562 </w:t>
            </w:r>
          </w:p>
        </w:tc>
        <w:tc>
          <w:tcPr>
            <w:tcW w:w="422" w:type="pct"/>
            <w:shd w:val="clear" w:color="auto" w:fill="FFFFFF"/>
            <w:noWrap/>
            <w:vAlign w:val="center"/>
            <w:hideMark/>
          </w:tcPr>
          <w:p w14:paraId="2BBB9A5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571E0700"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35FF78B2"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71.192 </w:t>
            </w:r>
          </w:p>
        </w:tc>
        <w:tc>
          <w:tcPr>
            <w:tcW w:w="384" w:type="pct"/>
            <w:noWrap/>
            <w:vAlign w:val="center"/>
            <w:hideMark/>
          </w:tcPr>
          <w:p w14:paraId="24C61B8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5F1A11B5"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06263189"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58.387 </w:t>
            </w:r>
          </w:p>
        </w:tc>
        <w:tc>
          <w:tcPr>
            <w:tcW w:w="384" w:type="pct"/>
            <w:noWrap/>
            <w:vAlign w:val="center"/>
          </w:tcPr>
          <w:p w14:paraId="02471403"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7BD77640" w14:textId="77777777" w:rsidR="00E90931" w:rsidRPr="00AE4E8D" w:rsidRDefault="00E90931" w:rsidP="00FA3175">
            <w:pPr>
              <w:jc w:val="right"/>
              <w:rPr>
                <w:rFonts w:ascii="Times New Roman" w:hAnsi="Times New Roman"/>
                <w:sz w:val="14"/>
                <w:szCs w:val="14"/>
                <w:lang w:val="es-ES"/>
              </w:rPr>
            </w:pPr>
          </w:p>
        </w:tc>
      </w:tr>
      <w:tr w:rsidR="003B5193" w:rsidRPr="00AE4E8D" w14:paraId="6C7B522C" w14:textId="77777777" w:rsidTr="00FA3175">
        <w:trPr>
          <w:trHeight w:val="255"/>
          <w:jc w:val="center"/>
        </w:trPr>
        <w:tc>
          <w:tcPr>
            <w:tcW w:w="1180" w:type="pct"/>
            <w:vAlign w:val="center"/>
            <w:hideMark/>
          </w:tcPr>
          <w:p w14:paraId="25BBE3BF"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341CD03B"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506D49F7"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3.422.011 </w:t>
            </w:r>
          </w:p>
        </w:tc>
        <w:tc>
          <w:tcPr>
            <w:tcW w:w="422" w:type="pct"/>
            <w:shd w:val="clear" w:color="auto" w:fill="FFFFFF"/>
            <w:noWrap/>
            <w:vAlign w:val="center"/>
            <w:hideMark/>
          </w:tcPr>
          <w:p w14:paraId="0BBB5D1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2DEF7627"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5694897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3.088.316 </w:t>
            </w:r>
          </w:p>
        </w:tc>
        <w:tc>
          <w:tcPr>
            <w:tcW w:w="384" w:type="pct"/>
            <w:noWrap/>
            <w:vAlign w:val="center"/>
            <w:hideMark/>
          </w:tcPr>
          <w:p w14:paraId="1B6B59A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005B1BF6"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424C5A00"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2.512.460 </w:t>
            </w:r>
          </w:p>
        </w:tc>
        <w:tc>
          <w:tcPr>
            <w:tcW w:w="384" w:type="pct"/>
            <w:noWrap/>
            <w:vAlign w:val="center"/>
          </w:tcPr>
          <w:p w14:paraId="06257D3C"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67421061" w14:textId="77777777" w:rsidR="00E90931" w:rsidRPr="00AE4E8D" w:rsidRDefault="00E90931" w:rsidP="00FA3175">
            <w:pPr>
              <w:jc w:val="right"/>
              <w:rPr>
                <w:rFonts w:ascii="Times New Roman" w:hAnsi="Times New Roman"/>
                <w:sz w:val="14"/>
                <w:szCs w:val="14"/>
                <w:lang w:val="es-ES"/>
              </w:rPr>
            </w:pPr>
          </w:p>
        </w:tc>
      </w:tr>
      <w:tr w:rsidR="003B5193" w:rsidRPr="00AE4E8D" w14:paraId="4CB15F0B" w14:textId="77777777" w:rsidTr="00FA3175">
        <w:trPr>
          <w:trHeight w:val="255"/>
          <w:jc w:val="center"/>
        </w:trPr>
        <w:tc>
          <w:tcPr>
            <w:tcW w:w="1180" w:type="pct"/>
            <w:vAlign w:val="center"/>
            <w:hideMark/>
          </w:tcPr>
          <w:p w14:paraId="520C4244"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Otros Pasivos</w:t>
            </w:r>
          </w:p>
        </w:tc>
        <w:tc>
          <w:tcPr>
            <w:tcW w:w="123" w:type="pct"/>
            <w:noWrap/>
            <w:vAlign w:val="bottom"/>
          </w:tcPr>
          <w:p w14:paraId="3B571447"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16B1BF0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3BF99A0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197B4E5"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64039CA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799E201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4242EA20"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1C1CB58E"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146DB998"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5075A7C0" w14:textId="77777777" w:rsidR="00E90931" w:rsidRPr="00AE4E8D" w:rsidRDefault="00E90931" w:rsidP="00FA3175">
            <w:pPr>
              <w:jc w:val="right"/>
              <w:rPr>
                <w:rFonts w:ascii="Times New Roman" w:hAnsi="Times New Roman"/>
                <w:sz w:val="14"/>
                <w:szCs w:val="14"/>
                <w:lang w:val="es-ES"/>
              </w:rPr>
            </w:pPr>
          </w:p>
        </w:tc>
      </w:tr>
      <w:tr w:rsidR="003B5193" w:rsidRPr="00AE4E8D" w14:paraId="05BB2517" w14:textId="77777777" w:rsidTr="00FA3175">
        <w:trPr>
          <w:trHeight w:val="255"/>
          <w:jc w:val="center"/>
        </w:trPr>
        <w:tc>
          <w:tcPr>
            <w:tcW w:w="1180" w:type="pct"/>
            <w:vAlign w:val="center"/>
            <w:hideMark/>
          </w:tcPr>
          <w:p w14:paraId="4B98113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23D98496"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6AC02FE7"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B5586B" w:rsidRPr="00AE4E8D">
              <w:rPr>
                <w:rFonts w:ascii="Times New Roman" w:hAnsi="Times New Roman"/>
                <w:sz w:val="14"/>
                <w:szCs w:val="14"/>
                <w:lang w:val="es-ES"/>
              </w:rPr>
              <w:t>9.025.735</w:t>
            </w:r>
            <w:r w:rsidR="00E90931" w:rsidRPr="00AE4E8D">
              <w:rPr>
                <w:rFonts w:ascii="Times New Roman" w:hAnsi="Times New Roman"/>
                <w:sz w:val="14"/>
                <w:szCs w:val="14"/>
                <w:lang w:val="es-ES"/>
              </w:rPr>
              <w:t xml:space="preserve"> </w:t>
            </w:r>
          </w:p>
        </w:tc>
        <w:tc>
          <w:tcPr>
            <w:tcW w:w="422" w:type="pct"/>
            <w:shd w:val="clear" w:color="auto" w:fill="FFFFFF"/>
            <w:noWrap/>
            <w:vAlign w:val="center"/>
            <w:hideMark/>
          </w:tcPr>
          <w:p w14:paraId="69FAA0B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4EF44041"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0B51EB2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4.645.575 </w:t>
            </w:r>
          </w:p>
        </w:tc>
        <w:tc>
          <w:tcPr>
            <w:tcW w:w="384" w:type="pct"/>
            <w:noWrap/>
            <w:vAlign w:val="center"/>
            <w:hideMark/>
          </w:tcPr>
          <w:p w14:paraId="60B74CCC"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30A2432"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671B7631"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3.231.534 </w:t>
            </w:r>
          </w:p>
        </w:tc>
        <w:tc>
          <w:tcPr>
            <w:tcW w:w="384" w:type="pct"/>
            <w:noWrap/>
            <w:vAlign w:val="center"/>
          </w:tcPr>
          <w:p w14:paraId="23922286"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384337A9" w14:textId="77777777" w:rsidR="00E90931" w:rsidRPr="00AE4E8D" w:rsidRDefault="00E90931" w:rsidP="00FA3175">
            <w:pPr>
              <w:jc w:val="right"/>
              <w:rPr>
                <w:rFonts w:ascii="Times New Roman" w:hAnsi="Times New Roman"/>
                <w:sz w:val="14"/>
                <w:szCs w:val="14"/>
                <w:lang w:val="es-ES"/>
              </w:rPr>
            </w:pPr>
          </w:p>
        </w:tc>
      </w:tr>
      <w:tr w:rsidR="003B5193" w:rsidRPr="00AE4E8D" w14:paraId="18A13014" w14:textId="77777777" w:rsidTr="00FA3175">
        <w:trPr>
          <w:trHeight w:val="255"/>
          <w:jc w:val="center"/>
        </w:trPr>
        <w:tc>
          <w:tcPr>
            <w:tcW w:w="1180" w:type="pct"/>
            <w:vAlign w:val="center"/>
            <w:hideMark/>
          </w:tcPr>
          <w:p w14:paraId="778A9CE6"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1BB21094"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1932BC5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1.011.600 </w:t>
            </w:r>
          </w:p>
        </w:tc>
        <w:tc>
          <w:tcPr>
            <w:tcW w:w="422" w:type="pct"/>
            <w:shd w:val="clear" w:color="auto" w:fill="FFFFFF"/>
            <w:noWrap/>
            <w:vAlign w:val="center"/>
            <w:hideMark/>
          </w:tcPr>
          <w:p w14:paraId="4A6FD60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3F73B45F"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54DB7FD2"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271.705 </w:t>
            </w:r>
          </w:p>
        </w:tc>
        <w:tc>
          <w:tcPr>
            <w:tcW w:w="384" w:type="pct"/>
            <w:noWrap/>
            <w:vAlign w:val="center"/>
            <w:hideMark/>
          </w:tcPr>
          <w:p w14:paraId="03C376E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CB6418E"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76FDCE28"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304.269 </w:t>
            </w:r>
          </w:p>
        </w:tc>
        <w:tc>
          <w:tcPr>
            <w:tcW w:w="384" w:type="pct"/>
            <w:noWrap/>
            <w:vAlign w:val="center"/>
          </w:tcPr>
          <w:p w14:paraId="01DAD231"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42BE4671" w14:textId="77777777" w:rsidR="00E90931" w:rsidRPr="00AE4E8D" w:rsidRDefault="00E90931" w:rsidP="00FA3175">
            <w:pPr>
              <w:jc w:val="right"/>
              <w:rPr>
                <w:rFonts w:ascii="Times New Roman" w:hAnsi="Times New Roman"/>
                <w:sz w:val="14"/>
                <w:szCs w:val="14"/>
                <w:lang w:val="es-ES"/>
              </w:rPr>
            </w:pPr>
          </w:p>
        </w:tc>
      </w:tr>
      <w:tr w:rsidR="003B5193" w:rsidRPr="00AE4E8D" w14:paraId="7C276F33" w14:textId="77777777" w:rsidTr="00FA3175">
        <w:trPr>
          <w:trHeight w:val="255"/>
          <w:jc w:val="center"/>
        </w:trPr>
        <w:tc>
          <w:tcPr>
            <w:tcW w:w="1180" w:type="pct"/>
            <w:vAlign w:val="center"/>
            <w:hideMark/>
          </w:tcPr>
          <w:p w14:paraId="7ABE1D45"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6A75CE22"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4471E81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B5586B" w:rsidRPr="00AE4E8D">
              <w:rPr>
                <w:rFonts w:ascii="Times New Roman" w:hAnsi="Times New Roman"/>
                <w:sz w:val="14"/>
                <w:szCs w:val="14"/>
                <w:lang w:val="es-ES"/>
              </w:rPr>
              <w:t>10.037.335</w:t>
            </w:r>
            <w:r w:rsidR="00E90931" w:rsidRPr="00AE4E8D">
              <w:rPr>
                <w:rFonts w:ascii="Times New Roman" w:hAnsi="Times New Roman"/>
                <w:sz w:val="14"/>
                <w:szCs w:val="14"/>
                <w:lang w:val="es-ES"/>
              </w:rPr>
              <w:t xml:space="preserve"> </w:t>
            </w:r>
          </w:p>
        </w:tc>
        <w:tc>
          <w:tcPr>
            <w:tcW w:w="422" w:type="pct"/>
            <w:shd w:val="clear" w:color="auto" w:fill="FFFFFF"/>
            <w:noWrap/>
            <w:vAlign w:val="center"/>
            <w:hideMark/>
          </w:tcPr>
          <w:p w14:paraId="60E25A6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66B21DC4"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5A2CE2E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4.917.280 </w:t>
            </w:r>
          </w:p>
        </w:tc>
        <w:tc>
          <w:tcPr>
            <w:tcW w:w="384" w:type="pct"/>
            <w:noWrap/>
            <w:vAlign w:val="center"/>
            <w:hideMark/>
          </w:tcPr>
          <w:p w14:paraId="070AD8E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462F9C83"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2B9426D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3.535.803 </w:t>
            </w:r>
          </w:p>
        </w:tc>
        <w:tc>
          <w:tcPr>
            <w:tcW w:w="384" w:type="pct"/>
            <w:noWrap/>
            <w:vAlign w:val="center"/>
          </w:tcPr>
          <w:p w14:paraId="6DA279AA"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0D22691F" w14:textId="77777777" w:rsidR="00E90931" w:rsidRPr="00AE4E8D" w:rsidRDefault="00E90931" w:rsidP="00FA3175">
            <w:pPr>
              <w:jc w:val="right"/>
              <w:rPr>
                <w:rFonts w:ascii="Times New Roman" w:hAnsi="Times New Roman"/>
                <w:sz w:val="14"/>
                <w:szCs w:val="14"/>
                <w:lang w:val="es-ES"/>
              </w:rPr>
            </w:pPr>
          </w:p>
        </w:tc>
      </w:tr>
      <w:tr w:rsidR="003B5193" w:rsidRPr="00AE4E8D" w14:paraId="58B56C2E" w14:textId="77777777" w:rsidTr="00FA3175">
        <w:trPr>
          <w:trHeight w:val="255"/>
          <w:jc w:val="center"/>
        </w:trPr>
        <w:tc>
          <w:tcPr>
            <w:tcW w:w="1180" w:type="pct"/>
            <w:vAlign w:val="center"/>
            <w:hideMark/>
          </w:tcPr>
          <w:p w14:paraId="0FE1E66D"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Patrimonio Neto</w:t>
            </w:r>
          </w:p>
        </w:tc>
        <w:tc>
          <w:tcPr>
            <w:tcW w:w="123" w:type="pct"/>
            <w:noWrap/>
            <w:vAlign w:val="bottom"/>
          </w:tcPr>
          <w:p w14:paraId="6851907A"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1C2090F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2865CB6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64397520"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0B4F41B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7A99C5D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8472B81"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5D5CFDCE"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5381B11C"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317460E1" w14:textId="77777777" w:rsidR="00E90931" w:rsidRPr="00AE4E8D" w:rsidRDefault="00E90931" w:rsidP="00FA3175">
            <w:pPr>
              <w:jc w:val="right"/>
              <w:rPr>
                <w:rFonts w:ascii="Times New Roman" w:hAnsi="Times New Roman"/>
                <w:sz w:val="14"/>
                <w:szCs w:val="14"/>
                <w:lang w:val="es-ES"/>
              </w:rPr>
            </w:pPr>
          </w:p>
        </w:tc>
      </w:tr>
      <w:tr w:rsidR="003B5193" w:rsidRPr="00AE4E8D" w14:paraId="18446BE6" w14:textId="77777777" w:rsidTr="00FA3175">
        <w:trPr>
          <w:trHeight w:val="255"/>
          <w:jc w:val="center"/>
        </w:trPr>
        <w:tc>
          <w:tcPr>
            <w:tcW w:w="1180" w:type="pct"/>
            <w:vAlign w:val="center"/>
            <w:hideMark/>
          </w:tcPr>
          <w:p w14:paraId="430415C0"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0EC335F4"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71F984E4"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B5586B" w:rsidRPr="00AE4E8D">
              <w:rPr>
                <w:rFonts w:ascii="Times New Roman" w:hAnsi="Times New Roman"/>
                <w:sz w:val="14"/>
                <w:szCs w:val="14"/>
                <w:lang w:val="es-ES"/>
              </w:rPr>
              <w:t>6.139.544</w:t>
            </w:r>
            <w:r w:rsidR="00E90931" w:rsidRPr="00AE4E8D">
              <w:rPr>
                <w:rFonts w:ascii="Times New Roman" w:hAnsi="Times New Roman"/>
                <w:sz w:val="14"/>
                <w:szCs w:val="14"/>
                <w:lang w:val="es-ES"/>
              </w:rPr>
              <w:t xml:space="preserve"> </w:t>
            </w:r>
          </w:p>
        </w:tc>
        <w:tc>
          <w:tcPr>
            <w:tcW w:w="422" w:type="pct"/>
            <w:shd w:val="clear" w:color="auto" w:fill="FFFFFF"/>
            <w:noWrap/>
            <w:vAlign w:val="center"/>
            <w:hideMark/>
          </w:tcPr>
          <w:p w14:paraId="0C6C01F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2693F9D5"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15E43474"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4.777.209 </w:t>
            </w:r>
          </w:p>
        </w:tc>
        <w:tc>
          <w:tcPr>
            <w:tcW w:w="384" w:type="pct"/>
            <w:noWrap/>
            <w:vAlign w:val="center"/>
            <w:hideMark/>
          </w:tcPr>
          <w:p w14:paraId="6EBCF1F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619BC143"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2F51FF1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4.258.027 </w:t>
            </w:r>
          </w:p>
        </w:tc>
        <w:tc>
          <w:tcPr>
            <w:tcW w:w="384" w:type="pct"/>
            <w:noWrap/>
            <w:vAlign w:val="center"/>
          </w:tcPr>
          <w:p w14:paraId="77B39700"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3FB4DB0E" w14:textId="77777777" w:rsidR="00E90931" w:rsidRPr="00AE4E8D" w:rsidRDefault="00E90931" w:rsidP="00FA3175">
            <w:pPr>
              <w:jc w:val="right"/>
              <w:rPr>
                <w:rFonts w:ascii="Times New Roman" w:hAnsi="Times New Roman"/>
                <w:sz w:val="14"/>
                <w:szCs w:val="14"/>
                <w:lang w:val="es-ES"/>
              </w:rPr>
            </w:pPr>
          </w:p>
        </w:tc>
      </w:tr>
      <w:tr w:rsidR="003B5193" w:rsidRPr="00AE4E8D" w14:paraId="0D2D74EB" w14:textId="77777777" w:rsidTr="00FA3175">
        <w:trPr>
          <w:trHeight w:val="255"/>
          <w:jc w:val="center"/>
        </w:trPr>
        <w:tc>
          <w:tcPr>
            <w:tcW w:w="1180" w:type="pct"/>
            <w:vAlign w:val="center"/>
            <w:hideMark/>
          </w:tcPr>
          <w:p w14:paraId="13EC18CB"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637FED19"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3DB7D19E"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422" w:type="pct"/>
            <w:shd w:val="clear" w:color="auto" w:fill="FFFFFF"/>
            <w:noWrap/>
            <w:vAlign w:val="center"/>
            <w:hideMark/>
          </w:tcPr>
          <w:p w14:paraId="4FF165B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AD772EB"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36609AFB"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84" w:type="pct"/>
            <w:noWrap/>
            <w:vAlign w:val="center"/>
            <w:hideMark/>
          </w:tcPr>
          <w:p w14:paraId="3326618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627869C8"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407F1385"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84" w:type="pct"/>
            <w:noWrap/>
            <w:vAlign w:val="center"/>
          </w:tcPr>
          <w:p w14:paraId="661CA470"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73DD55B2" w14:textId="77777777" w:rsidR="00E90931" w:rsidRPr="00AE4E8D" w:rsidRDefault="00E90931" w:rsidP="00FA3175">
            <w:pPr>
              <w:jc w:val="right"/>
              <w:rPr>
                <w:rFonts w:ascii="Times New Roman" w:hAnsi="Times New Roman"/>
                <w:sz w:val="14"/>
                <w:szCs w:val="14"/>
                <w:lang w:val="es-ES"/>
              </w:rPr>
            </w:pPr>
          </w:p>
        </w:tc>
      </w:tr>
      <w:tr w:rsidR="003B5193" w:rsidRPr="00AE4E8D" w14:paraId="51871135" w14:textId="77777777" w:rsidTr="00FA3175">
        <w:trPr>
          <w:trHeight w:val="255"/>
          <w:jc w:val="center"/>
        </w:trPr>
        <w:tc>
          <w:tcPr>
            <w:tcW w:w="1180" w:type="pct"/>
            <w:vAlign w:val="center"/>
            <w:hideMark/>
          </w:tcPr>
          <w:p w14:paraId="23EB1A8A"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w:t>
            </w:r>
          </w:p>
        </w:tc>
        <w:tc>
          <w:tcPr>
            <w:tcW w:w="123" w:type="pct"/>
            <w:noWrap/>
            <w:vAlign w:val="bottom"/>
          </w:tcPr>
          <w:p w14:paraId="0D65D855"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1728F133"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B5586B" w:rsidRPr="00AE4E8D">
              <w:rPr>
                <w:rFonts w:ascii="Times New Roman" w:hAnsi="Times New Roman"/>
                <w:sz w:val="14"/>
                <w:szCs w:val="14"/>
                <w:lang w:val="es-ES"/>
              </w:rPr>
              <w:t>6.139.544</w:t>
            </w:r>
            <w:r w:rsidRPr="00AE4E8D">
              <w:rPr>
                <w:rFonts w:ascii="Times New Roman" w:hAnsi="Times New Roman"/>
                <w:sz w:val="14"/>
                <w:szCs w:val="14"/>
                <w:lang w:val="es-ES"/>
              </w:rPr>
              <w:t xml:space="preserve"> </w:t>
            </w:r>
          </w:p>
        </w:tc>
        <w:tc>
          <w:tcPr>
            <w:tcW w:w="422" w:type="pct"/>
            <w:shd w:val="clear" w:color="auto" w:fill="FFFFFF"/>
            <w:noWrap/>
            <w:vAlign w:val="center"/>
            <w:hideMark/>
          </w:tcPr>
          <w:p w14:paraId="18B9ED7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2FD7FA6C"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0BAED54F"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4.777.209 </w:t>
            </w:r>
          </w:p>
        </w:tc>
        <w:tc>
          <w:tcPr>
            <w:tcW w:w="384" w:type="pct"/>
            <w:noWrap/>
            <w:vAlign w:val="center"/>
            <w:hideMark/>
          </w:tcPr>
          <w:p w14:paraId="4D39E38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40DABC36"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22733B5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4.258.027 </w:t>
            </w:r>
          </w:p>
        </w:tc>
        <w:tc>
          <w:tcPr>
            <w:tcW w:w="384" w:type="pct"/>
            <w:noWrap/>
            <w:vAlign w:val="center"/>
          </w:tcPr>
          <w:p w14:paraId="39B906CC"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0A4699CD" w14:textId="77777777" w:rsidR="00E90931" w:rsidRPr="00AE4E8D" w:rsidRDefault="00E90931" w:rsidP="00FA3175">
            <w:pPr>
              <w:jc w:val="right"/>
              <w:rPr>
                <w:rFonts w:ascii="Times New Roman" w:hAnsi="Times New Roman"/>
                <w:sz w:val="14"/>
                <w:szCs w:val="14"/>
                <w:lang w:val="es-ES"/>
              </w:rPr>
            </w:pPr>
          </w:p>
        </w:tc>
      </w:tr>
      <w:tr w:rsidR="003B5193" w:rsidRPr="00AE4E8D" w14:paraId="784DE5C3" w14:textId="77777777" w:rsidTr="00FA3175">
        <w:trPr>
          <w:trHeight w:val="255"/>
          <w:jc w:val="center"/>
        </w:trPr>
        <w:tc>
          <w:tcPr>
            <w:tcW w:w="1180" w:type="pct"/>
            <w:vAlign w:val="center"/>
          </w:tcPr>
          <w:p w14:paraId="45ABFFE3" w14:textId="77777777" w:rsidR="00E90931" w:rsidRPr="00AE4E8D" w:rsidRDefault="00E90931" w:rsidP="00E90931">
            <w:pPr>
              <w:rPr>
                <w:rFonts w:ascii="Times New Roman" w:hAnsi="Times New Roman"/>
                <w:b/>
                <w:bCs/>
                <w:sz w:val="14"/>
                <w:szCs w:val="14"/>
                <w:lang w:val="es-ES"/>
              </w:rPr>
            </w:pPr>
          </w:p>
        </w:tc>
        <w:tc>
          <w:tcPr>
            <w:tcW w:w="123" w:type="pct"/>
            <w:noWrap/>
            <w:vAlign w:val="bottom"/>
          </w:tcPr>
          <w:p w14:paraId="728474F0"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5E871458"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7F24693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32E5E08A"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37E3DB62"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3B6422DB"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0B9A06C0"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2F01A966"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6DCC89FD"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5AD6AA3E" w14:textId="77777777" w:rsidR="00E90931" w:rsidRPr="00AE4E8D" w:rsidRDefault="00E90931" w:rsidP="00FA3175">
            <w:pPr>
              <w:jc w:val="right"/>
              <w:rPr>
                <w:rFonts w:ascii="Times New Roman" w:hAnsi="Times New Roman"/>
                <w:sz w:val="14"/>
                <w:szCs w:val="14"/>
                <w:lang w:val="es-ES"/>
              </w:rPr>
            </w:pPr>
          </w:p>
        </w:tc>
      </w:tr>
      <w:tr w:rsidR="003B5193" w:rsidRPr="00AE4E8D" w14:paraId="617668C3" w14:textId="77777777" w:rsidTr="00FA3175">
        <w:trPr>
          <w:trHeight w:val="255"/>
          <w:jc w:val="center"/>
        </w:trPr>
        <w:tc>
          <w:tcPr>
            <w:tcW w:w="1180" w:type="pct"/>
            <w:vAlign w:val="center"/>
            <w:hideMark/>
          </w:tcPr>
          <w:p w14:paraId="5F74507D"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Participación de terceros</w:t>
            </w:r>
          </w:p>
        </w:tc>
        <w:tc>
          <w:tcPr>
            <w:tcW w:w="123" w:type="pct"/>
            <w:noWrap/>
            <w:vAlign w:val="bottom"/>
          </w:tcPr>
          <w:p w14:paraId="0C40C5EC"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2BF5A18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(119.070) </w:t>
            </w:r>
          </w:p>
        </w:tc>
        <w:tc>
          <w:tcPr>
            <w:tcW w:w="422" w:type="pct"/>
            <w:shd w:val="clear" w:color="auto" w:fill="FFFFFF"/>
            <w:noWrap/>
            <w:vAlign w:val="center"/>
            <w:hideMark/>
          </w:tcPr>
          <w:p w14:paraId="0942E47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66430E41"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3586C4D5"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74.592 </w:t>
            </w:r>
          </w:p>
        </w:tc>
        <w:tc>
          <w:tcPr>
            <w:tcW w:w="384" w:type="pct"/>
            <w:noWrap/>
            <w:vAlign w:val="center"/>
            <w:hideMark/>
          </w:tcPr>
          <w:p w14:paraId="0E39E47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5DFE6ED6"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04EEFE22"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61.028 </w:t>
            </w:r>
          </w:p>
        </w:tc>
        <w:tc>
          <w:tcPr>
            <w:tcW w:w="384" w:type="pct"/>
            <w:noWrap/>
            <w:vAlign w:val="center"/>
          </w:tcPr>
          <w:p w14:paraId="5F981187"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67E54434" w14:textId="77777777" w:rsidR="00E90931" w:rsidRPr="00AE4E8D" w:rsidRDefault="00E90931" w:rsidP="00FA3175">
            <w:pPr>
              <w:jc w:val="right"/>
              <w:rPr>
                <w:rFonts w:ascii="Times New Roman" w:hAnsi="Times New Roman"/>
                <w:sz w:val="14"/>
                <w:szCs w:val="14"/>
                <w:lang w:val="es-ES"/>
              </w:rPr>
            </w:pPr>
          </w:p>
        </w:tc>
      </w:tr>
      <w:tr w:rsidR="003B5193" w:rsidRPr="00AE4E8D" w14:paraId="30169584" w14:textId="77777777" w:rsidTr="00FA3175">
        <w:trPr>
          <w:trHeight w:val="255"/>
          <w:jc w:val="center"/>
        </w:trPr>
        <w:tc>
          <w:tcPr>
            <w:tcW w:w="1180" w:type="pct"/>
            <w:vAlign w:val="center"/>
            <w:hideMark/>
          </w:tcPr>
          <w:p w14:paraId="169DF3EF"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44A3CB4D"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5ABB1AA5"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422" w:type="pct"/>
            <w:shd w:val="clear" w:color="auto" w:fill="FFFFFF"/>
            <w:noWrap/>
            <w:vAlign w:val="center"/>
            <w:hideMark/>
          </w:tcPr>
          <w:p w14:paraId="56FA055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50AB5C1A"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58F9438F"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84" w:type="pct"/>
            <w:noWrap/>
            <w:vAlign w:val="center"/>
            <w:hideMark/>
          </w:tcPr>
          <w:p w14:paraId="6DA1B74A"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00172C3"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029C9DCD" w14:textId="77777777" w:rsidR="00E90931" w:rsidRPr="00AE4E8D" w:rsidRDefault="00FA3175"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84" w:type="pct"/>
            <w:noWrap/>
            <w:vAlign w:val="center"/>
          </w:tcPr>
          <w:p w14:paraId="4D5E77CC"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3C269B0A" w14:textId="77777777" w:rsidR="00E90931" w:rsidRPr="00AE4E8D" w:rsidRDefault="00E90931" w:rsidP="00FA3175">
            <w:pPr>
              <w:jc w:val="right"/>
              <w:rPr>
                <w:rFonts w:ascii="Times New Roman" w:hAnsi="Times New Roman"/>
                <w:sz w:val="14"/>
                <w:szCs w:val="14"/>
                <w:lang w:val="es-ES"/>
              </w:rPr>
            </w:pPr>
          </w:p>
        </w:tc>
      </w:tr>
      <w:tr w:rsidR="003B5193" w:rsidRPr="00AE4E8D" w14:paraId="3856F44C" w14:textId="77777777" w:rsidTr="00FA3175">
        <w:trPr>
          <w:trHeight w:val="255"/>
          <w:jc w:val="center"/>
        </w:trPr>
        <w:tc>
          <w:tcPr>
            <w:tcW w:w="1180" w:type="pct"/>
            <w:vAlign w:val="center"/>
            <w:hideMark/>
          </w:tcPr>
          <w:p w14:paraId="6D72BC5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65B0828A"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3F8CCAAA" w14:textId="77777777" w:rsidR="00E90931" w:rsidRPr="00AE4E8D" w:rsidRDefault="00EB3492" w:rsidP="00FA3175">
            <w:pPr>
              <w:jc w:val="right"/>
              <w:rPr>
                <w:rFonts w:ascii="Times New Roman" w:hAnsi="Times New Roman"/>
                <w:sz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(119.070)</w:t>
            </w:r>
          </w:p>
        </w:tc>
        <w:tc>
          <w:tcPr>
            <w:tcW w:w="422" w:type="pct"/>
            <w:shd w:val="clear" w:color="auto" w:fill="FFFFFF"/>
            <w:noWrap/>
            <w:vAlign w:val="center"/>
            <w:hideMark/>
          </w:tcPr>
          <w:p w14:paraId="1747B021"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lang w:val="es-ES"/>
              </w:rPr>
              <w:t> </w:t>
            </w:r>
          </w:p>
        </w:tc>
        <w:tc>
          <w:tcPr>
            <w:tcW w:w="347" w:type="pct"/>
            <w:noWrap/>
            <w:vAlign w:val="center"/>
          </w:tcPr>
          <w:p w14:paraId="343CA9B2" w14:textId="77777777" w:rsidR="00E90931" w:rsidRPr="00AE4E8D" w:rsidRDefault="00E90931" w:rsidP="00FA3175">
            <w:pPr>
              <w:jc w:val="right"/>
              <w:rPr>
                <w:rFonts w:ascii="Times New Roman" w:hAnsi="Times New Roman"/>
                <w:sz w:val="14"/>
                <w:lang w:val="es-ES"/>
              </w:rPr>
            </w:pPr>
          </w:p>
        </w:tc>
        <w:tc>
          <w:tcPr>
            <w:tcW w:w="489" w:type="pct"/>
            <w:noWrap/>
            <w:vAlign w:val="center"/>
            <w:hideMark/>
          </w:tcPr>
          <w:p w14:paraId="1646E4FD" w14:textId="77777777" w:rsidR="00E90931" w:rsidRPr="00AE4E8D" w:rsidRDefault="00FA3175" w:rsidP="00FA3175">
            <w:pPr>
              <w:jc w:val="right"/>
              <w:rPr>
                <w:rFonts w:ascii="Times New Roman" w:hAnsi="Times New Roman"/>
                <w:sz w:val="14"/>
                <w:lang w:val="es-ES"/>
              </w:rPr>
            </w:pPr>
            <w:r w:rsidRPr="00AE4E8D">
              <w:rPr>
                <w:rFonts w:ascii="Times New Roman" w:hAnsi="Times New Roman"/>
                <w:sz w:val="14"/>
                <w:lang w:val="es-ES"/>
              </w:rPr>
              <w:t xml:space="preserve"> </w:t>
            </w:r>
            <w:r w:rsidR="00E90931" w:rsidRPr="00AE4E8D">
              <w:rPr>
                <w:rFonts w:ascii="Times New Roman" w:hAnsi="Times New Roman"/>
                <w:sz w:val="14"/>
                <w:szCs w:val="14"/>
                <w:lang w:val="es-ES"/>
              </w:rPr>
              <w:t>74.592</w:t>
            </w:r>
            <w:r w:rsidR="00E90931" w:rsidRPr="00AE4E8D">
              <w:rPr>
                <w:rFonts w:ascii="Times New Roman" w:hAnsi="Times New Roman"/>
                <w:sz w:val="14"/>
                <w:lang w:val="es-ES"/>
              </w:rPr>
              <w:t xml:space="preserve"> </w:t>
            </w:r>
          </w:p>
        </w:tc>
        <w:tc>
          <w:tcPr>
            <w:tcW w:w="384" w:type="pct"/>
            <w:noWrap/>
            <w:vAlign w:val="center"/>
            <w:hideMark/>
          </w:tcPr>
          <w:p w14:paraId="38CB70CA"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szCs w:val="14"/>
                <w:lang w:val="es-ES"/>
              </w:rPr>
              <w:t> </w:t>
            </w:r>
          </w:p>
        </w:tc>
        <w:tc>
          <w:tcPr>
            <w:tcW w:w="347" w:type="pct"/>
            <w:noWrap/>
            <w:vAlign w:val="center"/>
          </w:tcPr>
          <w:p w14:paraId="6FB2B5AB" w14:textId="77777777" w:rsidR="00E90931" w:rsidRPr="00AE4E8D" w:rsidRDefault="00E90931" w:rsidP="00FA3175">
            <w:pPr>
              <w:jc w:val="right"/>
              <w:rPr>
                <w:rFonts w:ascii="Times New Roman" w:hAnsi="Times New Roman"/>
                <w:sz w:val="14"/>
                <w:lang w:val="es-ES"/>
              </w:rPr>
            </w:pPr>
          </w:p>
        </w:tc>
        <w:tc>
          <w:tcPr>
            <w:tcW w:w="489" w:type="pct"/>
            <w:noWrap/>
            <w:vAlign w:val="center"/>
            <w:hideMark/>
          </w:tcPr>
          <w:p w14:paraId="35F05B7B" w14:textId="77777777" w:rsidR="00E90931" w:rsidRPr="00AE4E8D" w:rsidRDefault="00FA3175" w:rsidP="00FA3175">
            <w:pPr>
              <w:jc w:val="right"/>
              <w:rPr>
                <w:rFonts w:ascii="Times New Roman" w:hAnsi="Times New Roman"/>
                <w:sz w:val="14"/>
                <w:lang w:val="es-ES"/>
              </w:rPr>
            </w:pPr>
            <w:r w:rsidRPr="00AE4E8D">
              <w:rPr>
                <w:rFonts w:ascii="Times New Roman" w:hAnsi="Times New Roman"/>
                <w:sz w:val="14"/>
                <w:lang w:val="es-ES"/>
              </w:rPr>
              <w:t xml:space="preserve"> </w:t>
            </w:r>
            <w:r w:rsidR="00E90931" w:rsidRPr="00AE4E8D">
              <w:rPr>
                <w:rFonts w:ascii="Times New Roman" w:hAnsi="Times New Roman"/>
                <w:sz w:val="14"/>
                <w:szCs w:val="14"/>
                <w:lang w:val="es-ES"/>
              </w:rPr>
              <w:t>61.028</w:t>
            </w:r>
            <w:r w:rsidR="00E90931" w:rsidRPr="00AE4E8D">
              <w:rPr>
                <w:rFonts w:ascii="Times New Roman" w:hAnsi="Times New Roman"/>
                <w:sz w:val="14"/>
                <w:lang w:val="es-ES"/>
              </w:rPr>
              <w:t xml:space="preserve"> </w:t>
            </w:r>
          </w:p>
        </w:tc>
        <w:tc>
          <w:tcPr>
            <w:tcW w:w="384" w:type="pct"/>
            <w:noWrap/>
            <w:vAlign w:val="center"/>
          </w:tcPr>
          <w:p w14:paraId="60F248FC" w14:textId="77777777" w:rsidR="00E90931" w:rsidRPr="00AE4E8D" w:rsidRDefault="00E90931" w:rsidP="00FA3175">
            <w:pPr>
              <w:jc w:val="right"/>
              <w:rPr>
                <w:rFonts w:ascii="Times New Roman" w:hAnsi="Times New Roman"/>
                <w:sz w:val="14"/>
                <w:lang w:val="es-ES"/>
              </w:rPr>
            </w:pPr>
          </w:p>
        </w:tc>
        <w:tc>
          <w:tcPr>
            <w:tcW w:w="347" w:type="pct"/>
            <w:noWrap/>
            <w:vAlign w:val="center"/>
          </w:tcPr>
          <w:p w14:paraId="49E6DA71" w14:textId="77777777" w:rsidR="00E90931" w:rsidRPr="00AE4E8D" w:rsidRDefault="00E90931" w:rsidP="00FA3175">
            <w:pPr>
              <w:jc w:val="right"/>
              <w:rPr>
                <w:rFonts w:ascii="Times New Roman" w:hAnsi="Times New Roman"/>
                <w:sz w:val="14"/>
                <w:lang w:val="es-ES"/>
              </w:rPr>
            </w:pPr>
          </w:p>
        </w:tc>
      </w:tr>
      <w:tr w:rsidR="003B5193" w:rsidRPr="00AE4E8D" w14:paraId="7A2BA34A" w14:textId="77777777" w:rsidTr="00FA3175">
        <w:trPr>
          <w:trHeight w:val="255"/>
          <w:jc w:val="center"/>
        </w:trPr>
        <w:tc>
          <w:tcPr>
            <w:tcW w:w="1180" w:type="pct"/>
            <w:vAlign w:val="center"/>
            <w:hideMark/>
          </w:tcPr>
          <w:p w14:paraId="7AE6D9E1" w14:textId="77777777" w:rsidR="00E90931" w:rsidRPr="00AE4E8D" w:rsidRDefault="00E90931" w:rsidP="00E90931">
            <w:pPr>
              <w:rPr>
                <w:rFonts w:ascii="Times New Roman" w:hAnsi="Times New Roman"/>
                <w:b/>
                <w:sz w:val="14"/>
                <w:lang w:val="es-ES"/>
              </w:rPr>
            </w:pPr>
            <w:r w:rsidRPr="00AE4E8D">
              <w:rPr>
                <w:rFonts w:ascii="Times New Roman" w:hAnsi="Times New Roman"/>
                <w:b/>
                <w:sz w:val="14"/>
                <w:lang w:val="es-ES"/>
              </w:rPr>
              <w:t>Total</w:t>
            </w:r>
          </w:p>
        </w:tc>
        <w:tc>
          <w:tcPr>
            <w:tcW w:w="123" w:type="pct"/>
            <w:noWrap/>
            <w:vAlign w:val="bottom"/>
          </w:tcPr>
          <w:p w14:paraId="05417784" w14:textId="77777777" w:rsidR="00E90931" w:rsidRPr="00AE4E8D" w:rsidRDefault="00E90931" w:rsidP="00E90931">
            <w:pPr>
              <w:rPr>
                <w:rFonts w:ascii="Times New Roman" w:hAnsi="Times New Roman"/>
                <w:b/>
                <w:sz w:val="14"/>
                <w:lang w:val="es-ES"/>
              </w:rPr>
            </w:pPr>
          </w:p>
        </w:tc>
        <w:tc>
          <w:tcPr>
            <w:tcW w:w="489" w:type="pct"/>
            <w:shd w:val="clear" w:color="auto" w:fill="FFFFFF"/>
            <w:noWrap/>
            <w:vAlign w:val="center"/>
            <w:hideMark/>
          </w:tcPr>
          <w:p w14:paraId="3B92B049"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lang w:val="es-ES"/>
              </w:rPr>
              <w:t> </w:t>
            </w:r>
          </w:p>
        </w:tc>
        <w:tc>
          <w:tcPr>
            <w:tcW w:w="422" w:type="pct"/>
            <w:shd w:val="clear" w:color="auto" w:fill="FFFFFF"/>
            <w:noWrap/>
            <w:vAlign w:val="center"/>
            <w:hideMark/>
          </w:tcPr>
          <w:p w14:paraId="0581B63E"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lang w:val="es-ES"/>
              </w:rPr>
              <w:t> </w:t>
            </w:r>
          </w:p>
        </w:tc>
        <w:tc>
          <w:tcPr>
            <w:tcW w:w="347" w:type="pct"/>
            <w:noWrap/>
            <w:vAlign w:val="center"/>
          </w:tcPr>
          <w:p w14:paraId="5C391435" w14:textId="77777777" w:rsidR="00E90931" w:rsidRPr="00AE4E8D" w:rsidRDefault="00E90931" w:rsidP="00FA3175">
            <w:pPr>
              <w:jc w:val="right"/>
              <w:rPr>
                <w:rFonts w:ascii="Times New Roman" w:hAnsi="Times New Roman"/>
                <w:sz w:val="14"/>
                <w:lang w:val="es-ES"/>
              </w:rPr>
            </w:pPr>
          </w:p>
        </w:tc>
        <w:tc>
          <w:tcPr>
            <w:tcW w:w="489" w:type="pct"/>
            <w:noWrap/>
            <w:vAlign w:val="center"/>
            <w:hideMark/>
          </w:tcPr>
          <w:p w14:paraId="14C90B20"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szCs w:val="14"/>
                <w:lang w:val="es-ES"/>
              </w:rPr>
              <w:t> </w:t>
            </w:r>
          </w:p>
        </w:tc>
        <w:tc>
          <w:tcPr>
            <w:tcW w:w="384" w:type="pct"/>
            <w:noWrap/>
            <w:vAlign w:val="center"/>
            <w:hideMark/>
          </w:tcPr>
          <w:p w14:paraId="7FBC843E"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szCs w:val="14"/>
                <w:lang w:val="es-ES"/>
              </w:rPr>
              <w:t> </w:t>
            </w:r>
          </w:p>
        </w:tc>
        <w:tc>
          <w:tcPr>
            <w:tcW w:w="347" w:type="pct"/>
            <w:noWrap/>
            <w:vAlign w:val="center"/>
          </w:tcPr>
          <w:p w14:paraId="7E2A3282" w14:textId="77777777" w:rsidR="00E90931" w:rsidRPr="00AE4E8D" w:rsidRDefault="00E90931" w:rsidP="00FA3175">
            <w:pPr>
              <w:jc w:val="right"/>
              <w:rPr>
                <w:rFonts w:ascii="Times New Roman" w:hAnsi="Times New Roman"/>
                <w:sz w:val="14"/>
                <w:lang w:val="es-ES"/>
              </w:rPr>
            </w:pPr>
          </w:p>
        </w:tc>
        <w:tc>
          <w:tcPr>
            <w:tcW w:w="489" w:type="pct"/>
            <w:noWrap/>
            <w:vAlign w:val="center"/>
          </w:tcPr>
          <w:p w14:paraId="33E0AC53" w14:textId="77777777" w:rsidR="00E90931" w:rsidRPr="00AE4E8D" w:rsidRDefault="00E90931" w:rsidP="00FA3175">
            <w:pPr>
              <w:jc w:val="right"/>
              <w:rPr>
                <w:rFonts w:ascii="Times New Roman" w:hAnsi="Times New Roman"/>
                <w:sz w:val="14"/>
                <w:lang w:val="es-ES"/>
              </w:rPr>
            </w:pPr>
          </w:p>
        </w:tc>
        <w:tc>
          <w:tcPr>
            <w:tcW w:w="384" w:type="pct"/>
            <w:noWrap/>
            <w:vAlign w:val="center"/>
          </w:tcPr>
          <w:p w14:paraId="4D3FB2CF" w14:textId="77777777" w:rsidR="00E90931" w:rsidRPr="00AE4E8D" w:rsidRDefault="00E90931" w:rsidP="00FA3175">
            <w:pPr>
              <w:jc w:val="right"/>
              <w:rPr>
                <w:rFonts w:ascii="Times New Roman" w:hAnsi="Times New Roman"/>
                <w:sz w:val="14"/>
                <w:lang w:val="es-ES"/>
              </w:rPr>
            </w:pPr>
          </w:p>
        </w:tc>
        <w:tc>
          <w:tcPr>
            <w:tcW w:w="347" w:type="pct"/>
            <w:noWrap/>
            <w:vAlign w:val="center"/>
          </w:tcPr>
          <w:p w14:paraId="1FBB940E" w14:textId="77777777" w:rsidR="00E90931" w:rsidRPr="00AE4E8D" w:rsidRDefault="00E90931" w:rsidP="00FA3175">
            <w:pPr>
              <w:jc w:val="right"/>
              <w:rPr>
                <w:rFonts w:ascii="Times New Roman" w:hAnsi="Times New Roman"/>
                <w:sz w:val="14"/>
                <w:lang w:val="es-ES"/>
              </w:rPr>
            </w:pPr>
          </w:p>
        </w:tc>
      </w:tr>
      <w:tr w:rsidR="003B5193" w:rsidRPr="00AE4E8D" w14:paraId="01CF2076" w14:textId="77777777" w:rsidTr="00FA3175">
        <w:trPr>
          <w:trHeight w:val="255"/>
          <w:jc w:val="center"/>
        </w:trPr>
        <w:tc>
          <w:tcPr>
            <w:tcW w:w="1180" w:type="pct"/>
            <w:vAlign w:val="center"/>
          </w:tcPr>
          <w:p w14:paraId="772455A6" w14:textId="77777777" w:rsidR="00E90931" w:rsidRPr="00AE4E8D" w:rsidRDefault="00E90931" w:rsidP="00E90931">
            <w:pPr>
              <w:rPr>
                <w:rFonts w:ascii="Times New Roman" w:hAnsi="Times New Roman"/>
                <w:sz w:val="14"/>
                <w:lang w:val="es-ES"/>
              </w:rPr>
            </w:pPr>
          </w:p>
        </w:tc>
        <w:tc>
          <w:tcPr>
            <w:tcW w:w="123" w:type="pct"/>
            <w:noWrap/>
            <w:vAlign w:val="bottom"/>
          </w:tcPr>
          <w:p w14:paraId="47F6C69A" w14:textId="77777777" w:rsidR="00E90931" w:rsidRPr="00AE4E8D" w:rsidRDefault="00E90931" w:rsidP="00E90931">
            <w:pPr>
              <w:rPr>
                <w:rFonts w:ascii="Times New Roman" w:hAnsi="Times New Roman"/>
                <w:b/>
                <w:sz w:val="14"/>
                <w:lang w:val="es-ES"/>
              </w:rPr>
            </w:pPr>
          </w:p>
        </w:tc>
        <w:tc>
          <w:tcPr>
            <w:tcW w:w="489" w:type="pct"/>
            <w:shd w:val="clear" w:color="auto" w:fill="FFFFFF"/>
            <w:noWrap/>
            <w:vAlign w:val="center"/>
            <w:hideMark/>
          </w:tcPr>
          <w:p w14:paraId="612DE12D"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lang w:val="es-ES"/>
              </w:rPr>
              <w:t> </w:t>
            </w:r>
          </w:p>
        </w:tc>
        <w:tc>
          <w:tcPr>
            <w:tcW w:w="422" w:type="pct"/>
            <w:shd w:val="clear" w:color="auto" w:fill="FFFFFF"/>
            <w:noWrap/>
            <w:vAlign w:val="center"/>
            <w:hideMark/>
          </w:tcPr>
          <w:p w14:paraId="38247661"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lang w:val="es-ES"/>
              </w:rPr>
              <w:t> </w:t>
            </w:r>
          </w:p>
        </w:tc>
        <w:tc>
          <w:tcPr>
            <w:tcW w:w="347" w:type="pct"/>
            <w:noWrap/>
            <w:vAlign w:val="center"/>
          </w:tcPr>
          <w:p w14:paraId="69DE4AD1" w14:textId="77777777" w:rsidR="00E90931" w:rsidRPr="00AE4E8D" w:rsidRDefault="00E90931" w:rsidP="00FA3175">
            <w:pPr>
              <w:jc w:val="right"/>
              <w:rPr>
                <w:rFonts w:ascii="Times New Roman" w:hAnsi="Times New Roman"/>
                <w:sz w:val="14"/>
                <w:lang w:val="es-ES"/>
              </w:rPr>
            </w:pPr>
          </w:p>
        </w:tc>
        <w:tc>
          <w:tcPr>
            <w:tcW w:w="489" w:type="pct"/>
            <w:noWrap/>
            <w:vAlign w:val="center"/>
            <w:hideMark/>
          </w:tcPr>
          <w:p w14:paraId="0FE91D21"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szCs w:val="14"/>
                <w:lang w:val="es-ES"/>
              </w:rPr>
              <w:t> </w:t>
            </w:r>
          </w:p>
        </w:tc>
        <w:tc>
          <w:tcPr>
            <w:tcW w:w="384" w:type="pct"/>
            <w:noWrap/>
            <w:vAlign w:val="center"/>
            <w:hideMark/>
          </w:tcPr>
          <w:p w14:paraId="7D0F2F5C" w14:textId="77777777" w:rsidR="00E90931" w:rsidRPr="00AE4E8D" w:rsidRDefault="00E90931" w:rsidP="00FA3175">
            <w:pPr>
              <w:jc w:val="right"/>
              <w:rPr>
                <w:rFonts w:ascii="Times New Roman" w:hAnsi="Times New Roman"/>
                <w:sz w:val="14"/>
                <w:lang w:val="es-ES"/>
              </w:rPr>
            </w:pPr>
            <w:r w:rsidRPr="00AE4E8D">
              <w:rPr>
                <w:rFonts w:ascii="Times New Roman" w:hAnsi="Times New Roman"/>
                <w:sz w:val="14"/>
                <w:szCs w:val="14"/>
                <w:lang w:val="es-ES"/>
              </w:rPr>
              <w:t> </w:t>
            </w:r>
          </w:p>
        </w:tc>
        <w:tc>
          <w:tcPr>
            <w:tcW w:w="347" w:type="pct"/>
            <w:noWrap/>
            <w:vAlign w:val="center"/>
          </w:tcPr>
          <w:p w14:paraId="4A98DB5A" w14:textId="77777777" w:rsidR="00E90931" w:rsidRPr="00AE4E8D" w:rsidRDefault="00E90931" w:rsidP="00FA3175">
            <w:pPr>
              <w:jc w:val="right"/>
              <w:rPr>
                <w:rFonts w:ascii="Times New Roman" w:hAnsi="Times New Roman"/>
                <w:sz w:val="14"/>
                <w:lang w:val="es-ES"/>
              </w:rPr>
            </w:pPr>
          </w:p>
        </w:tc>
        <w:tc>
          <w:tcPr>
            <w:tcW w:w="489" w:type="pct"/>
            <w:noWrap/>
            <w:vAlign w:val="center"/>
          </w:tcPr>
          <w:p w14:paraId="6523DA25" w14:textId="77777777" w:rsidR="00E90931" w:rsidRPr="00AE4E8D" w:rsidRDefault="00E90931" w:rsidP="00FA3175">
            <w:pPr>
              <w:jc w:val="right"/>
              <w:rPr>
                <w:rFonts w:ascii="Times New Roman" w:hAnsi="Times New Roman"/>
                <w:sz w:val="14"/>
                <w:lang w:val="es-ES"/>
              </w:rPr>
            </w:pPr>
          </w:p>
        </w:tc>
        <w:tc>
          <w:tcPr>
            <w:tcW w:w="384" w:type="pct"/>
            <w:noWrap/>
            <w:vAlign w:val="center"/>
          </w:tcPr>
          <w:p w14:paraId="2B749E1A" w14:textId="77777777" w:rsidR="00E90931" w:rsidRPr="00AE4E8D" w:rsidRDefault="00E90931" w:rsidP="00FA3175">
            <w:pPr>
              <w:jc w:val="right"/>
              <w:rPr>
                <w:rFonts w:ascii="Times New Roman" w:hAnsi="Times New Roman"/>
                <w:sz w:val="14"/>
                <w:lang w:val="es-ES"/>
              </w:rPr>
            </w:pPr>
          </w:p>
        </w:tc>
        <w:tc>
          <w:tcPr>
            <w:tcW w:w="347" w:type="pct"/>
            <w:noWrap/>
            <w:vAlign w:val="center"/>
          </w:tcPr>
          <w:p w14:paraId="33E20B0F" w14:textId="77777777" w:rsidR="00E90931" w:rsidRPr="00AE4E8D" w:rsidRDefault="00E90931" w:rsidP="00FA3175">
            <w:pPr>
              <w:jc w:val="right"/>
              <w:rPr>
                <w:rFonts w:ascii="Times New Roman" w:hAnsi="Times New Roman"/>
                <w:sz w:val="14"/>
                <w:lang w:val="es-ES"/>
              </w:rPr>
            </w:pPr>
          </w:p>
        </w:tc>
      </w:tr>
      <w:tr w:rsidR="003B5193" w:rsidRPr="00AE4E8D" w14:paraId="4C0983F7" w14:textId="77777777" w:rsidTr="00FA3175">
        <w:trPr>
          <w:trHeight w:val="450"/>
          <w:jc w:val="center"/>
        </w:trPr>
        <w:tc>
          <w:tcPr>
            <w:tcW w:w="1180" w:type="pct"/>
            <w:vAlign w:val="center"/>
            <w:hideMark/>
          </w:tcPr>
          <w:p w14:paraId="021CF276"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Total pasivos que no devengan intereses y Patrimonio Neto</w:t>
            </w:r>
          </w:p>
        </w:tc>
        <w:tc>
          <w:tcPr>
            <w:tcW w:w="123" w:type="pct"/>
            <w:noWrap/>
            <w:vAlign w:val="bottom"/>
          </w:tcPr>
          <w:p w14:paraId="2B8E5710"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0EAEC226"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615AE69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74E5227"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12B28DB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66F28BF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01EFE284"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6AD19161"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04C3359F"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4FECD739" w14:textId="77777777" w:rsidR="00E90931" w:rsidRPr="00AE4E8D" w:rsidRDefault="00E90931" w:rsidP="00FA3175">
            <w:pPr>
              <w:jc w:val="right"/>
              <w:rPr>
                <w:rFonts w:ascii="Times New Roman" w:hAnsi="Times New Roman"/>
                <w:sz w:val="14"/>
                <w:szCs w:val="14"/>
                <w:lang w:val="es-ES"/>
              </w:rPr>
            </w:pPr>
          </w:p>
        </w:tc>
      </w:tr>
      <w:tr w:rsidR="003B5193" w:rsidRPr="00AE4E8D" w14:paraId="031547E2" w14:textId="77777777" w:rsidTr="00FA3175">
        <w:trPr>
          <w:trHeight w:val="255"/>
          <w:jc w:val="center"/>
        </w:trPr>
        <w:tc>
          <w:tcPr>
            <w:tcW w:w="1180" w:type="pct"/>
            <w:vAlign w:val="center"/>
            <w:hideMark/>
          </w:tcPr>
          <w:p w14:paraId="241887E7"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5C227558"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30FC954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DE4E89" w:rsidRPr="00AE4E8D">
              <w:rPr>
                <w:rFonts w:ascii="Times New Roman" w:hAnsi="Times New Roman"/>
                <w:sz w:val="14"/>
                <w:szCs w:val="14"/>
                <w:lang w:val="es-ES"/>
              </w:rPr>
              <w:t>18.346.658</w:t>
            </w:r>
            <w:r w:rsidR="00E90931" w:rsidRPr="00AE4E8D">
              <w:rPr>
                <w:rFonts w:ascii="Times New Roman" w:hAnsi="Times New Roman"/>
                <w:sz w:val="14"/>
                <w:szCs w:val="14"/>
                <w:lang w:val="es-ES"/>
              </w:rPr>
              <w:t xml:space="preserve"> </w:t>
            </w:r>
          </w:p>
        </w:tc>
        <w:tc>
          <w:tcPr>
            <w:tcW w:w="422" w:type="pct"/>
            <w:shd w:val="clear" w:color="auto" w:fill="FFFFFF"/>
            <w:noWrap/>
            <w:vAlign w:val="center"/>
            <w:hideMark/>
          </w:tcPr>
          <w:p w14:paraId="64F866C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288B4519"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01E6860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12.514.500 </w:t>
            </w:r>
          </w:p>
        </w:tc>
        <w:tc>
          <w:tcPr>
            <w:tcW w:w="384" w:type="pct"/>
            <w:noWrap/>
            <w:vAlign w:val="center"/>
            <w:hideMark/>
          </w:tcPr>
          <w:p w14:paraId="03B0B25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2CB7118C"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0628F31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10.004.662 </w:t>
            </w:r>
          </w:p>
        </w:tc>
        <w:tc>
          <w:tcPr>
            <w:tcW w:w="384" w:type="pct"/>
            <w:noWrap/>
            <w:vAlign w:val="center"/>
          </w:tcPr>
          <w:p w14:paraId="6C021EF1"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2869EF7D" w14:textId="77777777" w:rsidR="00E90931" w:rsidRPr="00AE4E8D" w:rsidRDefault="00E90931" w:rsidP="00FA3175">
            <w:pPr>
              <w:jc w:val="right"/>
              <w:rPr>
                <w:rFonts w:ascii="Times New Roman" w:hAnsi="Times New Roman"/>
                <w:sz w:val="14"/>
                <w:szCs w:val="14"/>
                <w:lang w:val="es-ES"/>
              </w:rPr>
            </w:pPr>
          </w:p>
        </w:tc>
      </w:tr>
      <w:tr w:rsidR="003B5193" w:rsidRPr="00AE4E8D" w14:paraId="343CB392" w14:textId="77777777" w:rsidTr="00FA3175">
        <w:trPr>
          <w:trHeight w:val="255"/>
          <w:jc w:val="center"/>
        </w:trPr>
        <w:tc>
          <w:tcPr>
            <w:tcW w:w="1180" w:type="pct"/>
            <w:vAlign w:val="center"/>
            <w:hideMark/>
          </w:tcPr>
          <w:p w14:paraId="627368CA"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0087F65D" w14:textId="77777777" w:rsidR="00E90931" w:rsidRPr="00AE4E8D" w:rsidRDefault="00E90931" w:rsidP="00E90931">
            <w:pPr>
              <w:rPr>
                <w:rFonts w:ascii="Times New Roman" w:hAnsi="Times New Roman"/>
                <w:b/>
                <w:bCs/>
                <w:sz w:val="14"/>
                <w:szCs w:val="14"/>
                <w:lang w:val="es-ES"/>
              </w:rPr>
            </w:pPr>
          </w:p>
        </w:tc>
        <w:tc>
          <w:tcPr>
            <w:tcW w:w="489" w:type="pct"/>
            <w:tcBorders>
              <w:top w:val="nil"/>
              <w:left w:val="nil"/>
              <w:bottom w:val="single" w:sz="4" w:space="0" w:color="000000"/>
              <w:right w:val="nil"/>
            </w:tcBorders>
            <w:shd w:val="clear" w:color="auto" w:fill="FFFFFF"/>
            <w:noWrap/>
            <w:vAlign w:val="center"/>
            <w:hideMark/>
          </w:tcPr>
          <w:p w14:paraId="7B030441"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1.133.162 </w:t>
            </w:r>
          </w:p>
        </w:tc>
        <w:tc>
          <w:tcPr>
            <w:tcW w:w="422" w:type="pct"/>
            <w:shd w:val="clear" w:color="auto" w:fill="FFFFFF"/>
            <w:noWrap/>
            <w:vAlign w:val="center"/>
            <w:hideMark/>
          </w:tcPr>
          <w:p w14:paraId="3DC733D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1E1C98A6"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4A18CE1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342.897 </w:t>
            </w:r>
          </w:p>
        </w:tc>
        <w:tc>
          <w:tcPr>
            <w:tcW w:w="384" w:type="pct"/>
            <w:noWrap/>
            <w:vAlign w:val="center"/>
            <w:hideMark/>
          </w:tcPr>
          <w:p w14:paraId="34A7A55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1E7E0785"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000000"/>
              <w:right w:val="nil"/>
            </w:tcBorders>
            <w:noWrap/>
            <w:vAlign w:val="center"/>
            <w:hideMark/>
          </w:tcPr>
          <w:p w14:paraId="63F32CC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362.656 </w:t>
            </w:r>
          </w:p>
        </w:tc>
        <w:tc>
          <w:tcPr>
            <w:tcW w:w="384" w:type="pct"/>
            <w:noWrap/>
            <w:vAlign w:val="center"/>
          </w:tcPr>
          <w:p w14:paraId="030A396C"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3A499743" w14:textId="77777777" w:rsidR="00E90931" w:rsidRPr="00AE4E8D" w:rsidRDefault="00E90931" w:rsidP="00FA3175">
            <w:pPr>
              <w:jc w:val="right"/>
              <w:rPr>
                <w:rFonts w:ascii="Times New Roman" w:hAnsi="Times New Roman"/>
                <w:sz w:val="14"/>
                <w:szCs w:val="14"/>
                <w:lang w:val="es-ES"/>
              </w:rPr>
            </w:pPr>
          </w:p>
        </w:tc>
      </w:tr>
      <w:tr w:rsidR="003B5193" w:rsidRPr="00AE4E8D" w14:paraId="118536B3" w14:textId="77777777" w:rsidTr="00FA3175">
        <w:trPr>
          <w:trHeight w:val="255"/>
          <w:jc w:val="center"/>
        </w:trPr>
        <w:tc>
          <w:tcPr>
            <w:tcW w:w="1180" w:type="pct"/>
            <w:vAlign w:val="center"/>
            <w:hideMark/>
          </w:tcPr>
          <w:p w14:paraId="17C1A46F"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Total</w:t>
            </w:r>
          </w:p>
        </w:tc>
        <w:tc>
          <w:tcPr>
            <w:tcW w:w="123" w:type="pct"/>
            <w:noWrap/>
            <w:vAlign w:val="bottom"/>
          </w:tcPr>
          <w:p w14:paraId="7ACDF93B"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auto"/>
              <w:right w:val="nil"/>
            </w:tcBorders>
            <w:shd w:val="clear" w:color="auto" w:fill="FFFFFF"/>
            <w:noWrap/>
            <w:vAlign w:val="center"/>
            <w:hideMark/>
          </w:tcPr>
          <w:p w14:paraId="4ADF5481"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B5586B" w:rsidRPr="00AE4E8D">
              <w:rPr>
                <w:rFonts w:ascii="Times New Roman" w:hAnsi="Times New Roman"/>
                <w:sz w:val="14"/>
                <w:szCs w:val="14"/>
                <w:lang w:val="es-ES"/>
              </w:rPr>
              <w:t>19.479.820</w:t>
            </w:r>
            <w:r w:rsidR="00E90931" w:rsidRPr="00AE4E8D">
              <w:rPr>
                <w:rFonts w:ascii="Times New Roman" w:hAnsi="Times New Roman"/>
                <w:sz w:val="14"/>
                <w:szCs w:val="14"/>
                <w:lang w:val="es-ES"/>
              </w:rPr>
              <w:t xml:space="preserve"> </w:t>
            </w:r>
          </w:p>
        </w:tc>
        <w:tc>
          <w:tcPr>
            <w:tcW w:w="422" w:type="pct"/>
            <w:shd w:val="clear" w:color="auto" w:fill="FFFFFF"/>
            <w:noWrap/>
            <w:vAlign w:val="center"/>
            <w:hideMark/>
          </w:tcPr>
          <w:p w14:paraId="74B9AD4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123A7E61"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auto"/>
              <w:right w:val="nil"/>
            </w:tcBorders>
            <w:noWrap/>
            <w:vAlign w:val="center"/>
            <w:hideMark/>
          </w:tcPr>
          <w:p w14:paraId="690EF839"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12.857.397 </w:t>
            </w:r>
          </w:p>
        </w:tc>
        <w:tc>
          <w:tcPr>
            <w:tcW w:w="384" w:type="pct"/>
            <w:noWrap/>
            <w:vAlign w:val="center"/>
            <w:hideMark/>
          </w:tcPr>
          <w:p w14:paraId="7E558A4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32A5E0DE"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auto"/>
              <w:right w:val="nil"/>
            </w:tcBorders>
            <w:noWrap/>
            <w:vAlign w:val="center"/>
            <w:hideMark/>
          </w:tcPr>
          <w:p w14:paraId="20B064DD"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10.367.318 </w:t>
            </w:r>
          </w:p>
        </w:tc>
        <w:tc>
          <w:tcPr>
            <w:tcW w:w="384" w:type="pct"/>
            <w:noWrap/>
            <w:vAlign w:val="center"/>
          </w:tcPr>
          <w:p w14:paraId="2A1A3F50"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4BFBAF69" w14:textId="77777777" w:rsidR="00E90931" w:rsidRPr="00AE4E8D" w:rsidRDefault="00E90931" w:rsidP="00FA3175">
            <w:pPr>
              <w:jc w:val="right"/>
              <w:rPr>
                <w:rFonts w:ascii="Times New Roman" w:hAnsi="Times New Roman"/>
                <w:sz w:val="14"/>
                <w:szCs w:val="14"/>
                <w:lang w:val="es-ES"/>
              </w:rPr>
            </w:pPr>
          </w:p>
        </w:tc>
      </w:tr>
      <w:tr w:rsidR="003B5193" w:rsidRPr="00AE4E8D" w14:paraId="5A0E5250" w14:textId="77777777" w:rsidTr="00FA3175">
        <w:trPr>
          <w:trHeight w:val="255"/>
          <w:jc w:val="center"/>
        </w:trPr>
        <w:tc>
          <w:tcPr>
            <w:tcW w:w="1180" w:type="pct"/>
            <w:vAlign w:val="center"/>
          </w:tcPr>
          <w:p w14:paraId="3E90258D" w14:textId="77777777" w:rsidR="00E90931" w:rsidRPr="00AE4E8D" w:rsidRDefault="00E90931" w:rsidP="00E90931">
            <w:pPr>
              <w:rPr>
                <w:rFonts w:ascii="Times New Roman" w:hAnsi="Times New Roman"/>
                <w:sz w:val="14"/>
                <w:szCs w:val="14"/>
                <w:lang w:val="es-ES"/>
              </w:rPr>
            </w:pPr>
          </w:p>
        </w:tc>
        <w:tc>
          <w:tcPr>
            <w:tcW w:w="123" w:type="pct"/>
            <w:noWrap/>
            <w:vAlign w:val="bottom"/>
          </w:tcPr>
          <w:p w14:paraId="3AFD78BA"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290D3DA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7C021CF4"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781DCA2D"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29E22532"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63B9CAF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69ABB9AC"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7BFEDCD0"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7B6A15E3"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2FD6AF42" w14:textId="77777777" w:rsidR="00E90931" w:rsidRPr="00AE4E8D" w:rsidRDefault="00E90931" w:rsidP="00FA3175">
            <w:pPr>
              <w:jc w:val="right"/>
              <w:rPr>
                <w:rFonts w:ascii="Times New Roman" w:hAnsi="Times New Roman"/>
                <w:sz w:val="14"/>
                <w:szCs w:val="14"/>
                <w:lang w:val="es-ES"/>
              </w:rPr>
            </w:pPr>
          </w:p>
        </w:tc>
      </w:tr>
      <w:tr w:rsidR="003B5193" w:rsidRPr="00AE4E8D" w14:paraId="015BA16E" w14:textId="77777777" w:rsidTr="00FA3175">
        <w:trPr>
          <w:trHeight w:val="255"/>
          <w:jc w:val="center"/>
        </w:trPr>
        <w:tc>
          <w:tcPr>
            <w:tcW w:w="1180" w:type="pct"/>
            <w:vAlign w:val="center"/>
          </w:tcPr>
          <w:p w14:paraId="7278B102" w14:textId="77777777" w:rsidR="00E90931" w:rsidRPr="00AE4E8D" w:rsidRDefault="00E90931" w:rsidP="00E90931">
            <w:pPr>
              <w:rPr>
                <w:rFonts w:ascii="Times New Roman" w:hAnsi="Times New Roman"/>
                <w:sz w:val="14"/>
                <w:szCs w:val="14"/>
                <w:lang w:val="es-ES"/>
              </w:rPr>
            </w:pPr>
          </w:p>
        </w:tc>
        <w:tc>
          <w:tcPr>
            <w:tcW w:w="123" w:type="pct"/>
            <w:noWrap/>
            <w:vAlign w:val="bottom"/>
          </w:tcPr>
          <w:p w14:paraId="1B2B93CA" w14:textId="77777777" w:rsidR="00E90931" w:rsidRPr="00AE4E8D" w:rsidRDefault="00E90931" w:rsidP="00E90931">
            <w:pPr>
              <w:rPr>
                <w:rFonts w:ascii="Times New Roman" w:hAnsi="Times New Roman"/>
                <w:b/>
                <w:bCs/>
                <w:sz w:val="14"/>
                <w:szCs w:val="14"/>
                <w:lang w:val="es-ES"/>
              </w:rPr>
            </w:pPr>
          </w:p>
        </w:tc>
        <w:tc>
          <w:tcPr>
            <w:tcW w:w="489" w:type="pct"/>
            <w:shd w:val="clear" w:color="auto" w:fill="FFFFFF"/>
            <w:noWrap/>
            <w:vAlign w:val="center"/>
            <w:hideMark/>
          </w:tcPr>
          <w:p w14:paraId="71D15BC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07BC139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5547E683"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42630FF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6D67A76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3C8D26BB"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0E139C65"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2163749B"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7F7D34B3" w14:textId="77777777" w:rsidR="00E90931" w:rsidRPr="00AE4E8D" w:rsidRDefault="00E90931" w:rsidP="00FA3175">
            <w:pPr>
              <w:jc w:val="right"/>
              <w:rPr>
                <w:rFonts w:ascii="Times New Roman" w:hAnsi="Times New Roman"/>
                <w:sz w:val="14"/>
                <w:szCs w:val="14"/>
                <w:lang w:val="es-ES"/>
              </w:rPr>
            </w:pPr>
          </w:p>
        </w:tc>
      </w:tr>
      <w:tr w:rsidR="003B5193" w:rsidRPr="00AE4E8D" w14:paraId="65B0E9D7" w14:textId="77777777" w:rsidTr="00FA3175">
        <w:trPr>
          <w:trHeight w:val="615"/>
          <w:jc w:val="center"/>
        </w:trPr>
        <w:tc>
          <w:tcPr>
            <w:tcW w:w="1180" w:type="pct"/>
            <w:vAlign w:val="center"/>
            <w:hideMark/>
          </w:tcPr>
          <w:p w14:paraId="334CA9BE"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Total pasivos y Patrimonio Neto</w:t>
            </w:r>
          </w:p>
        </w:tc>
        <w:tc>
          <w:tcPr>
            <w:tcW w:w="123" w:type="pct"/>
            <w:noWrap/>
            <w:vAlign w:val="bottom"/>
          </w:tcPr>
          <w:p w14:paraId="1F189B05"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0DFFC84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2" w:type="pct"/>
            <w:shd w:val="clear" w:color="auto" w:fill="FFFFFF"/>
            <w:noWrap/>
            <w:vAlign w:val="center"/>
            <w:hideMark/>
          </w:tcPr>
          <w:p w14:paraId="28B20EA3"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51E85B11"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59FA872F"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84" w:type="pct"/>
            <w:noWrap/>
            <w:vAlign w:val="center"/>
            <w:hideMark/>
          </w:tcPr>
          <w:p w14:paraId="7B20FCB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3B8C3F91" w14:textId="77777777" w:rsidR="00E90931" w:rsidRPr="00AE4E8D" w:rsidRDefault="00E90931" w:rsidP="00FA3175">
            <w:pPr>
              <w:jc w:val="right"/>
              <w:rPr>
                <w:rFonts w:ascii="Times New Roman" w:hAnsi="Times New Roman"/>
                <w:sz w:val="14"/>
                <w:szCs w:val="14"/>
                <w:lang w:val="es-ES"/>
              </w:rPr>
            </w:pPr>
          </w:p>
        </w:tc>
        <w:tc>
          <w:tcPr>
            <w:tcW w:w="489" w:type="pct"/>
            <w:noWrap/>
            <w:vAlign w:val="center"/>
          </w:tcPr>
          <w:p w14:paraId="0E6F68FB" w14:textId="77777777" w:rsidR="00E90931" w:rsidRPr="00AE4E8D" w:rsidRDefault="00E90931" w:rsidP="00FA3175">
            <w:pPr>
              <w:jc w:val="right"/>
              <w:rPr>
                <w:rFonts w:ascii="Times New Roman" w:hAnsi="Times New Roman"/>
                <w:sz w:val="14"/>
                <w:szCs w:val="14"/>
                <w:lang w:val="es-ES"/>
              </w:rPr>
            </w:pPr>
          </w:p>
        </w:tc>
        <w:tc>
          <w:tcPr>
            <w:tcW w:w="384" w:type="pct"/>
            <w:noWrap/>
            <w:vAlign w:val="center"/>
          </w:tcPr>
          <w:p w14:paraId="631B2DB6"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24B598BA" w14:textId="77777777" w:rsidR="00E90931" w:rsidRPr="00AE4E8D" w:rsidRDefault="00E90931" w:rsidP="00FA3175">
            <w:pPr>
              <w:jc w:val="right"/>
              <w:rPr>
                <w:rFonts w:ascii="Times New Roman" w:hAnsi="Times New Roman"/>
                <w:sz w:val="14"/>
                <w:szCs w:val="14"/>
                <w:lang w:val="es-ES"/>
              </w:rPr>
            </w:pPr>
          </w:p>
        </w:tc>
      </w:tr>
      <w:tr w:rsidR="003B5193" w:rsidRPr="00AE4E8D" w14:paraId="2D21CA4A" w14:textId="77777777" w:rsidTr="00FA3175">
        <w:trPr>
          <w:trHeight w:val="255"/>
          <w:jc w:val="center"/>
        </w:trPr>
        <w:tc>
          <w:tcPr>
            <w:tcW w:w="1180" w:type="pct"/>
            <w:vAlign w:val="center"/>
            <w:hideMark/>
          </w:tcPr>
          <w:p w14:paraId="4F07C7E1"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Pesos </w:t>
            </w:r>
          </w:p>
        </w:tc>
        <w:tc>
          <w:tcPr>
            <w:tcW w:w="123" w:type="pct"/>
            <w:noWrap/>
            <w:vAlign w:val="bottom"/>
          </w:tcPr>
          <w:p w14:paraId="788BD65B" w14:textId="77777777" w:rsidR="00E90931" w:rsidRPr="00AE4E8D" w:rsidRDefault="00E90931" w:rsidP="00E90931">
            <w:pPr>
              <w:rPr>
                <w:rFonts w:ascii="Times New Roman" w:hAnsi="Times New Roman"/>
                <w:sz w:val="14"/>
                <w:szCs w:val="14"/>
                <w:lang w:val="es-ES"/>
              </w:rPr>
            </w:pPr>
          </w:p>
        </w:tc>
        <w:tc>
          <w:tcPr>
            <w:tcW w:w="489" w:type="pct"/>
            <w:shd w:val="clear" w:color="auto" w:fill="FFFFFF"/>
            <w:noWrap/>
            <w:vAlign w:val="center"/>
            <w:hideMark/>
          </w:tcPr>
          <w:p w14:paraId="27AB562C"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r w:rsidR="00B5586B" w:rsidRPr="00AE4E8D">
              <w:rPr>
                <w:rFonts w:ascii="Times New Roman" w:hAnsi="Times New Roman"/>
                <w:sz w:val="14"/>
                <w:szCs w:val="14"/>
                <w:lang w:val="es-ES"/>
              </w:rPr>
              <w:t>38.535.882</w:t>
            </w:r>
          </w:p>
        </w:tc>
        <w:tc>
          <w:tcPr>
            <w:tcW w:w="422" w:type="pct"/>
            <w:shd w:val="clear" w:color="auto" w:fill="FFFFFF"/>
            <w:noWrap/>
            <w:vAlign w:val="center"/>
            <w:hideMark/>
          </w:tcPr>
          <w:p w14:paraId="7315AC39"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217D0989"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54E385F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30.395.995</w:t>
            </w:r>
          </w:p>
        </w:tc>
        <w:tc>
          <w:tcPr>
            <w:tcW w:w="384" w:type="pct"/>
            <w:noWrap/>
            <w:vAlign w:val="center"/>
            <w:hideMark/>
          </w:tcPr>
          <w:p w14:paraId="379638BB"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190B3108" w14:textId="77777777" w:rsidR="00E90931" w:rsidRPr="00AE4E8D" w:rsidRDefault="00E90931" w:rsidP="00FA3175">
            <w:pPr>
              <w:jc w:val="right"/>
              <w:rPr>
                <w:rFonts w:ascii="Times New Roman" w:hAnsi="Times New Roman"/>
                <w:sz w:val="14"/>
                <w:szCs w:val="14"/>
                <w:lang w:val="es-ES"/>
              </w:rPr>
            </w:pPr>
          </w:p>
        </w:tc>
        <w:tc>
          <w:tcPr>
            <w:tcW w:w="489" w:type="pct"/>
            <w:noWrap/>
            <w:vAlign w:val="center"/>
            <w:hideMark/>
          </w:tcPr>
          <w:p w14:paraId="5D64C43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22.765.863</w:t>
            </w:r>
          </w:p>
        </w:tc>
        <w:tc>
          <w:tcPr>
            <w:tcW w:w="384" w:type="pct"/>
            <w:noWrap/>
            <w:vAlign w:val="center"/>
          </w:tcPr>
          <w:p w14:paraId="7DC94B2C"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2E55D038" w14:textId="77777777" w:rsidR="00E90931" w:rsidRPr="00AE4E8D" w:rsidRDefault="00E90931" w:rsidP="00FA3175">
            <w:pPr>
              <w:jc w:val="right"/>
              <w:rPr>
                <w:rFonts w:ascii="Times New Roman" w:hAnsi="Times New Roman"/>
                <w:sz w:val="14"/>
                <w:szCs w:val="14"/>
                <w:lang w:val="es-ES"/>
              </w:rPr>
            </w:pPr>
          </w:p>
        </w:tc>
      </w:tr>
      <w:tr w:rsidR="003B5193" w:rsidRPr="00AE4E8D" w14:paraId="20A3075A" w14:textId="77777777" w:rsidTr="00FA3175">
        <w:trPr>
          <w:trHeight w:val="255"/>
          <w:jc w:val="center"/>
        </w:trPr>
        <w:tc>
          <w:tcPr>
            <w:tcW w:w="1180" w:type="pct"/>
            <w:vAlign w:val="center"/>
            <w:hideMark/>
          </w:tcPr>
          <w:p w14:paraId="045A397A"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Dólares Est.</w:t>
            </w:r>
          </w:p>
        </w:tc>
        <w:tc>
          <w:tcPr>
            <w:tcW w:w="123" w:type="pct"/>
            <w:noWrap/>
            <w:vAlign w:val="bottom"/>
          </w:tcPr>
          <w:p w14:paraId="145BA077"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single" w:sz="4" w:space="0" w:color="auto"/>
              <w:right w:val="nil"/>
            </w:tcBorders>
            <w:shd w:val="clear" w:color="auto" w:fill="FFFFFF"/>
            <w:noWrap/>
            <w:vAlign w:val="center"/>
            <w:hideMark/>
          </w:tcPr>
          <w:p w14:paraId="1A27AFFA"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9.382.623</w:t>
            </w:r>
          </w:p>
        </w:tc>
        <w:tc>
          <w:tcPr>
            <w:tcW w:w="422" w:type="pct"/>
            <w:shd w:val="clear" w:color="auto" w:fill="FFFFFF"/>
            <w:noWrap/>
            <w:vAlign w:val="center"/>
            <w:hideMark/>
          </w:tcPr>
          <w:p w14:paraId="7F96CCE1"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573EC361"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auto"/>
              <w:right w:val="nil"/>
            </w:tcBorders>
            <w:noWrap/>
            <w:vAlign w:val="center"/>
            <w:hideMark/>
          </w:tcPr>
          <w:p w14:paraId="1DDA52F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3.288.665</w:t>
            </w:r>
          </w:p>
        </w:tc>
        <w:tc>
          <w:tcPr>
            <w:tcW w:w="384" w:type="pct"/>
            <w:noWrap/>
            <w:vAlign w:val="center"/>
            <w:hideMark/>
          </w:tcPr>
          <w:p w14:paraId="5BAD380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1F4A3E48"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single" w:sz="4" w:space="0" w:color="auto"/>
              <w:right w:val="nil"/>
            </w:tcBorders>
            <w:noWrap/>
            <w:vAlign w:val="center"/>
            <w:hideMark/>
          </w:tcPr>
          <w:p w14:paraId="7E44014E"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3.121.925</w:t>
            </w:r>
          </w:p>
        </w:tc>
        <w:tc>
          <w:tcPr>
            <w:tcW w:w="384" w:type="pct"/>
            <w:noWrap/>
            <w:vAlign w:val="center"/>
          </w:tcPr>
          <w:p w14:paraId="11F31389"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35412E89" w14:textId="77777777" w:rsidR="00E90931" w:rsidRPr="00AE4E8D" w:rsidRDefault="00E90931" w:rsidP="00FA3175">
            <w:pPr>
              <w:jc w:val="right"/>
              <w:rPr>
                <w:rFonts w:ascii="Times New Roman" w:hAnsi="Times New Roman"/>
                <w:sz w:val="14"/>
                <w:szCs w:val="14"/>
                <w:lang w:val="es-ES"/>
              </w:rPr>
            </w:pPr>
          </w:p>
        </w:tc>
      </w:tr>
      <w:tr w:rsidR="003B5193" w:rsidRPr="00AE4E8D" w14:paraId="2FB48949" w14:textId="77777777" w:rsidTr="00FA3175">
        <w:trPr>
          <w:trHeight w:val="270"/>
          <w:jc w:val="center"/>
        </w:trPr>
        <w:tc>
          <w:tcPr>
            <w:tcW w:w="1180" w:type="pct"/>
            <w:vAlign w:val="center"/>
            <w:hideMark/>
          </w:tcPr>
          <w:p w14:paraId="295DC969"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Total</w:t>
            </w:r>
          </w:p>
        </w:tc>
        <w:tc>
          <w:tcPr>
            <w:tcW w:w="123" w:type="pct"/>
            <w:noWrap/>
            <w:vAlign w:val="bottom"/>
          </w:tcPr>
          <w:p w14:paraId="0E048016" w14:textId="77777777" w:rsidR="00E90931" w:rsidRPr="00AE4E8D" w:rsidRDefault="00E90931" w:rsidP="00E90931">
            <w:pPr>
              <w:rPr>
                <w:rFonts w:ascii="Times New Roman" w:hAnsi="Times New Roman"/>
                <w:sz w:val="14"/>
                <w:szCs w:val="14"/>
                <w:lang w:val="es-ES"/>
              </w:rPr>
            </w:pPr>
          </w:p>
        </w:tc>
        <w:tc>
          <w:tcPr>
            <w:tcW w:w="489" w:type="pct"/>
            <w:tcBorders>
              <w:top w:val="nil"/>
              <w:left w:val="nil"/>
              <w:bottom w:val="double" w:sz="6" w:space="0" w:color="000000"/>
              <w:right w:val="nil"/>
            </w:tcBorders>
            <w:shd w:val="clear" w:color="auto" w:fill="FFFFFF"/>
            <w:noWrap/>
            <w:vAlign w:val="center"/>
            <w:hideMark/>
          </w:tcPr>
          <w:p w14:paraId="5DB295A5" w14:textId="77777777" w:rsidR="00E90931" w:rsidRPr="00AE4E8D" w:rsidRDefault="00EB3492" w:rsidP="00FA3175">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B5586B" w:rsidRPr="00AE4E8D">
              <w:rPr>
                <w:rFonts w:ascii="Times New Roman" w:hAnsi="Times New Roman"/>
                <w:sz w:val="14"/>
                <w:szCs w:val="14"/>
                <w:lang w:val="es-ES"/>
              </w:rPr>
              <w:t>47.918.505</w:t>
            </w:r>
          </w:p>
        </w:tc>
        <w:tc>
          <w:tcPr>
            <w:tcW w:w="422" w:type="pct"/>
            <w:shd w:val="clear" w:color="auto" w:fill="FFFFFF"/>
            <w:noWrap/>
            <w:vAlign w:val="center"/>
            <w:hideMark/>
          </w:tcPr>
          <w:p w14:paraId="2723C9FD"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2308A9BB"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double" w:sz="6" w:space="0" w:color="000000"/>
              <w:right w:val="nil"/>
            </w:tcBorders>
            <w:noWrap/>
            <w:vAlign w:val="center"/>
            <w:hideMark/>
          </w:tcPr>
          <w:p w14:paraId="1E6434F7"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33.684.660</w:t>
            </w:r>
          </w:p>
        </w:tc>
        <w:tc>
          <w:tcPr>
            <w:tcW w:w="384" w:type="pct"/>
            <w:noWrap/>
            <w:vAlign w:val="center"/>
            <w:hideMark/>
          </w:tcPr>
          <w:p w14:paraId="0550ACE5"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47" w:type="pct"/>
            <w:noWrap/>
            <w:vAlign w:val="center"/>
          </w:tcPr>
          <w:p w14:paraId="03057369" w14:textId="77777777" w:rsidR="00E90931" w:rsidRPr="00AE4E8D" w:rsidRDefault="00E90931" w:rsidP="00FA3175">
            <w:pPr>
              <w:jc w:val="right"/>
              <w:rPr>
                <w:rFonts w:ascii="Times New Roman" w:hAnsi="Times New Roman"/>
                <w:sz w:val="14"/>
                <w:szCs w:val="14"/>
                <w:lang w:val="es-ES"/>
              </w:rPr>
            </w:pPr>
          </w:p>
        </w:tc>
        <w:tc>
          <w:tcPr>
            <w:tcW w:w="489" w:type="pct"/>
            <w:tcBorders>
              <w:top w:val="nil"/>
              <w:left w:val="nil"/>
              <w:bottom w:val="double" w:sz="6" w:space="0" w:color="000000"/>
              <w:right w:val="nil"/>
            </w:tcBorders>
            <w:noWrap/>
            <w:vAlign w:val="center"/>
            <w:hideMark/>
          </w:tcPr>
          <w:p w14:paraId="032928B0" w14:textId="77777777" w:rsidR="00E90931" w:rsidRPr="00AE4E8D" w:rsidRDefault="00E90931" w:rsidP="00FA3175">
            <w:pPr>
              <w:jc w:val="right"/>
              <w:rPr>
                <w:rFonts w:ascii="Times New Roman" w:hAnsi="Times New Roman"/>
                <w:sz w:val="14"/>
                <w:szCs w:val="14"/>
                <w:lang w:val="es-ES"/>
              </w:rPr>
            </w:pPr>
            <w:r w:rsidRPr="00AE4E8D">
              <w:rPr>
                <w:rFonts w:ascii="Times New Roman" w:hAnsi="Times New Roman"/>
                <w:sz w:val="14"/>
                <w:lang w:val="es-ES"/>
              </w:rPr>
              <w:t>25.887.788</w:t>
            </w:r>
          </w:p>
        </w:tc>
        <w:tc>
          <w:tcPr>
            <w:tcW w:w="384" w:type="pct"/>
            <w:noWrap/>
            <w:vAlign w:val="center"/>
          </w:tcPr>
          <w:p w14:paraId="5D0A9B7D" w14:textId="77777777" w:rsidR="00E90931" w:rsidRPr="00AE4E8D" w:rsidRDefault="00E90931" w:rsidP="00FA3175">
            <w:pPr>
              <w:jc w:val="right"/>
              <w:rPr>
                <w:rFonts w:ascii="Times New Roman" w:hAnsi="Times New Roman"/>
                <w:sz w:val="14"/>
                <w:szCs w:val="14"/>
                <w:lang w:val="es-ES"/>
              </w:rPr>
            </w:pPr>
          </w:p>
        </w:tc>
        <w:tc>
          <w:tcPr>
            <w:tcW w:w="347" w:type="pct"/>
            <w:noWrap/>
            <w:vAlign w:val="center"/>
          </w:tcPr>
          <w:p w14:paraId="7AFBFA0C" w14:textId="77777777" w:rsidR="00E90931" w:rsidRPr="00AE4E8D" w:rsidRDefault="00E90931" w:rsidP="00FA3175">
            <w:pPr>
              <w:jc w:val="right"/>
              <w:rPr>
                <w:rFonts w:ascii="Times New Roman" w:hAnsi="Times New Roman"/>
                <w:sz w:val="14"/>
                <w:szCs w:val="14"/>
                <w:lang w:val="es-ES"/>
              </w:rPr>
            </w:pPr>
          </w:p>
        </w:tc>
      </w:tr>
    </w:tbl>
    <w:p w14:paraId="3C0370CA" w14:textId="77777777" w:rsidR="00E90931" w:rsidRPr="00AE4E8D" w:rsidRDefault="00E90931" w:rsidP="00E90931">
      <w:pPr>
        <w:autoSpaceDE w:val="0"/>
        <w:autoSpaceDN w:val="0"/>
        <w:adjustRightInd w:val="0"/>
        <w:spacing w:before="120" w:after="120"/>
        <w:jc w:val="both"/>
        <w:rPr>
          <w:rFonts w:ascii="Times New Roman" w:hAnsi="Times New Roman"/>
          <w:highlight w:val="cyan"/>
          <w:lang w:val="es-ES" w:eastAsia="es-AR"/>
        </w:rPr>
      </w:pPr>
    </w:p>
    <w:p w14:paraId="6B0AC2DB" w14:textId="77777777" w:rsidR="009B67FC" w:rsidRPr="00AE4E8D" w:rsidRDefault="009B67FC" w:rsidP="00B52753">
      <w:pPr>
        <w:rPr>
          <w:rFonts w:ascii="Times New Roman" w:hAnsi="Times New Roman"/>
          <w:highlight w:val="cyan"/>
          <w:lang w:val="es-ES" w:eastAsia="es-AR"/>
        </w:rPr>
        <w:sectPr w:rsidR="009B67FC" w:rsidRPr="00AE4E8D" w:rsidSect="00B52753">
          <w:pgSz w:w="16839" w:h="11907" w:orient="landscape"/>
          <w:pgMar w:top="1701" w:right="1417" w:bottom="1701" w:left="1417" w:header="720" w:footer="720" w:gutter="0"/>
          <w:cols w:space="720"/>
        </w:sectPr>
      </w:pPr>
    </w:p>
    <w:p w14:paraId="16E244B8" w14:textId="77777777" w:rsidR="00E90931" w:rsidRPr="00AE4E8D" w:rsidRDefault="00E90931" w:rsidP="00E90931">
      <w:pPr>
        <w:keepNext/>
        <w:autoSpaceDE w:val="0"/>
        <w:autoSpaceDN w:val="0"/>
        <w:adjustRightInd w:val="0"/>
        <w:spacing w:before="240" w:after="240"/>
        <w:outlineLvl w:val="1"/>
        <w:rPr>
          <w:rFonts w:ascii="Times New Roman" w:hAnsi="Times New Roman"/>
          <w:b/>
          <w:lang w:val="es-ES"/>
        </w:rPr>
      </w:pPr>
      <w:bookmarkStart w:id="309" w:name="_Toc421201360"/>
      <w:bookmarkStart w:id="310" w:name="_Toc495972991"/>
      <w:bookmarkStart w:id="311" w:name="_Toc495399898"/>
      <w:r w:rsidRPr="00AE4E8D">
        <w:rPr>
          <w:rFonts w:ascii="Times New Roman" w:hAnsi="Times New Roman"/>
          <w:b/>
          <w:lang w:val="es-ES"/>
        </w:rPr>
        <w:lastRenderedPageBreak/>
        <w:t>Cambios en los Ingresos y Egresos Netos por Intereses - Análisis del Volumen y la Tasa</w:t>
      </w:r>
      <w:bookmarkEnd w:id="309"/>
      <w:bookmarkEnd w:id="310"/>
      <w:bookmarkEnd w:id="311"/>
    </w:p>
    <w:p w14:paraId="017315BF" w14:textId="77777777" w:rsidR="00E90931" w:rsidRPr="00AE4E8D" w:rsidRDefault="00E90931" w:rsidP="00E90931">
      <w:pPr>
        <w:autoSpaceDE w:val="0"/>
        <w:autoSpaceDN w:val="0"/>
        <w:adjustRightInd w:val="0"/>
        <w:spacing w:before="120" w:after="120"/>
        <w:jc w:val="both"/>
        <w:rPr>
          <w:rFonts w:ascii="Times New Roman" w:hAnsi="Times New Roman"/>
          <w:highlight w:val="cyan"/>
          <w:lang w:val="es-ES"/>
        </w:rPr>
      </w:pPr>
      <w:r w:rsidRPr="00AE4E8D">
        <w:rPr>
          <w:rFonts w:ascii="Times New Roman" w:hAnsi="Times New Roman"/>
          <w:lang w:val="es-ES"/>
        </w:rPr>
        <w:t xml:space="preserve">Los cuadros siguientes establecen, por moneda de denominación, las variaciones en los ingresos financieros y los egresos por intereses sobre depósitos y otras obligaciones por intermediación financiera del Banco entre variaciones en el volumen promedio de activos y pasivos que devengan intereses desde el 31 de diciembre de </w:t>
      </w:r>
      <w:r w:rsidRPr="00AE4E8D">
        <w:rPr>
          <w:rFonts w:ascii="Times New Roman" w:hAnsi="Times New Roman"/>
          <w:lang w:val="es-ES" w:eastAsia="es-AR"/>
        </w:rPr>
        <w:t>2014</w:t>
      </w:r>
      <w:r w:rsidRPr="00AE4E8D">
        <w:rPr>
          <w:rFonts w:ascii="Times New Roman" w:hAnsi="Times New Roman"/>
          <w:lang w:val="es-ES"/>
        </w:rPr>
        <w:t xml:space="preserve"> al 31 de diciembre de </w:t>
      </w:r>
      <w:r w:rsidRPr="00AE4E8D">
        <w:rPr>
          <w:rFonts w:ascii="Times New Roman" w:hAnsi="Times New Roman"/>
          <w:lang w:val="es-ES" w:eastAsia="es-AR"/>
        </w:rPr>
        <w:t>2015</w:t>
      </w:r>
      <w:r w:rsidRPr="00AE4E8D">
        <w:rPr>
          <w:rFonts w:ascii="Times New Roman" w:hAnsi="Times New Roman"/>
          <w:lang w:val="es-ES"/>
        </w:rPr>
        <w:t xml:space="preserve"> y desde el 31 de diciembre de </w:t>
      </w:r>
      <w:r w:rsidRPr="00AE4E8D">
        <w:rPr>
          <w:rFonts w:ascii="Times New Roman" w:hAnsi="Times New Roman"/>
          <w:lang w:val="es-ES" w:eastAsia="es-AR"/>
        </w:rPr>
        <w:t>2015</w:t>
      </w:r>
      <w:r w:rsidRPr="00AE4E8D">
        <w:rPr>
          <w:rFonts w:ascii="Times New Roman" w:hAnsi="Times New Roman"/>
          <w:lang w:val="es-ES"/>
        </w:rPr>
        <w:t xml:space="preserve"> al 31 de diciembre de </w:t>
      </w:r>
      <w:r w:rsidRPr="00AE4E8D">
        <w:rPr>
          <w:rFonts w:ascii="Times New Roman" w:hAnsi="Times New Roman"/>
          <w:lang w:val="es-ES" w:eastAsia="es-AR"/>
        </w:rPr>
        <w:t>2016</w:t>
      </w:r>
      <w:r w:rsidRPr="00AE4E8D">
        <w:rPr>
          <w:rFonts w:ascii="Times New Roman" w:hAnsi="Times New Roman"/>
          <w:lang w:val="es-ES"/>
        </w:rPr>
        <w:t>. Las variaciones en el volumen y tasas de interés se calcularon en base a los movimientos de los saldos promedio mensuales y las variaciones en las tasas de interés nominales sobre activos y pasivos promedio que devengan intereses. La variación neta atribuible a las variaciones tanto de volumen como de tasa de interés se ha distribuido proporcionalmente entre volumen y tasa.</w:t>
      </w:r>
    </w:p>
    <w:tbl>
      <w:tblPr>
        <w:tblW w:w="5000" w:type="pct"/>
        <w:jc w:val="center"/>
        <w:tblLook w:val="00A0" w:firstRow="1" w:lastRow="0" w:firstColumn="1" w:lastColumn="0" w:noHBand="0" w:noVBand="0"/>
      </w:tblPr>
      <w:tblGrid>
        <w:gridCol w:w="3916"/>
        <w:gridCol w:w="1786"/>
        <w:gridCol w:w="1786"/>
        <w:gridCol w:w="1698"/>
        <w:gridCol w:w="341"/>
        <w:gridCol w:w="1473"/>
        <w:gridCol w:w="1442"/>
        <w:gridCol w:w="1777"/>
      </w:tblGrid>
      <w:tr w:rsidR="00E90931" w:rsidRPr="00AE4E8D" w14:paraId="11ACE4E2" w14:textId="77777777" w:rsidTr="000400C8">
        <w:trPr>
          <w:trHeight w:val="255"/>
          <w:jc w:val="center"/>
        </w:trPr>
        <w:tc>
          <w:tcPr>
            <w:tcW w:w="1377" w:type="pct"/>
            <w:noWrap/>
            <w:vAlign w:val="bottom"/>
          </w:tcPr>
          <w:p w14:paraId="3715FE21" w14:textId="77777777" w:rsidR="00E90931" w:rsidRPr="00AE4E8D" w:rsidRDefault="00E90931" w:rsidP="00E90931">
            <w:pPr>
              <w:rPr>
                <w:rFonts w:ascii="Times New Roman" w:hAnsi="Times New Roman"/>
                <w:sz w:val="16"/>
                <w:szCs w:val="16"/>
                <w:lang w:val="es-ES"/>
              </w:rPr>
            </w:pPr>
          </w:p>
        </w:tc>
        <w:tc>
          <w:tcPr>
            <w:tcW w:w="3623" w:type="pct"/>
            <w:gridSpan w:val="7"/>
            <w:tcBorders>
              <w:top w:val="nil"/>
              <w:left w:val="nil"/>
              <w:bottom w:val="single" w:sz="4" w:space="0" w:color="auto"/>
              <w:right w:val="nil"/>
            </w:tcBorders>
            <w:noWrap/>
            <w:vAlign w:val="bottom"/>
            <w:hideMark/>
          </w:tcPr>
          <w:p w14:paraId="61C3053D"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Para el Ejercicio Finalizado al 31 de diciembre de</w:t>
            </w:r>
          </w:p>
        </w:tc>
      </w:tr>
      <w:tr w:rsidR="00E90931" w:rsidRPr="00AE4E8D" w14:paraId="68FFE8AF" w14:textId="77777777" w:rsidTr="000400C8">
        <w:trPr>
          <w:trHeight w:val="255"/>
          <w:jc w:val="center"/>
        </w:trPr>
        <w:tc>
          <w:tcPr>
            <w:tcW w:w="1377" w:type="pct"/>
            <w:noWrap/>
            <w:vAlign w:val="bottom"/>
          </w:tcPr>
          <w:p w14:paraId="30D55EE9" w14:textId="77777777" w:rsidR="00E90931" w:rsidRPr="00AE4E8D" w:rsidRDefault="00E90931" w:rsidP="00E90931">
            <w:pPr>
              <w:rPr>
                <w:rFonts w:ascii="Times New Roman" w:hAnsi="Times New Roman"/>
                <w:sz w:val="16"/>
                <w:szCs w:val="16"/>
                <w:lang w:val="es-ES"/>
              </w:rPr>
            </w:pPr>
          </w:p>
        </w:tc>
        <w:tc>
          <w:tcPr>
            <w:tcW w:w="1853" w:type="pct"/>
            <w:gridSpan w:val="3"/>
            <w:noWrap/>
            <w:vAlign w:val="bottom"/>
            <w:hideMark/>
          </w:tcPr>
          <w:p w14:paraId="04A6DBF4"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2016/2015</w:t>
            </w:r>
          </w:p>
        </w:tc>
        <w:tc>
          <w:tcPr>
            <w:tcW w:w="120" w:type="pct"/>
            <w:noWrap/>
            <w:vAlign w:val="bottom"/>
          </w:tcPr>
          <w:p w14:paraId="1050C1D0" w14:textId="77777777" w:rsidR="00E90931" w:rsidRPr="00AE4E8D" w:rsidRDefault="00E90931" w:rsidP="00E90931">
            <w:pPr>
              <w:rPr>
                <w:rFonts w:ascii="Times New Roman" w:hAnsi="Times New Roman"/>
                <w:b/>
                <w:bCs/>
                <w:sz w:val="16"/>
                <w:szCs w:val="16"/>
                <w:lang w:val="es-ES"/>
              </w:rPr>
            </w:pPr>
          </w:p>
        </w:tc>
        <w:tc>
          <w:tcPr>
            <w:tcW w:w="1650" w:type="pct"/>
            <w:gridSpan w:val="3"/>
            <w:noWrap/>
            <w:vAlign w:val="bottom"/>
            <w:hideMark/>
          </w:tcPr>
          <w:p w14:paraId="0527F573"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2015/2014</w:t>
            </w:r>
          </w:p>
        </w:tc>
      </w:tr>
      <w:tr w:rsidR="00B86C83" w:rsidRPr="00AE4E8D" w14:paraId="4392B7A1" w14:textId="77777777" w:rsidTr="000400C8">
        <w:trPr>
          <w:trHeight w:val="255"/>
          <w:jc w:val="center"/>
        </w:trPr>
        <w:tc>
          <w:tcPr>
            <w:tcW w:w="1377" w:type="pct"/>
            <w:noWrap/>
            <w:vAlign w:val="bottom"/>
          </w:tcPr>
          <w:p w14:paraId="3C8E6C59" w14:textId="77777777" w:rsidR="00E90931" w:rsidRPr="00AE4E8D" w:rsidRDefault="00E90931" w:rsidP="00E90931">
            <w:pPr>
              <w:rPr>
                <w:rFonts w:ascii="Times New Roman" w:hAnsi="Times New Roman"/>
                <w:sz w:val="16"/>
                <w:szCs w:val="16"/>
                <w:lang w:val="es-ES"/>
              </w:rPr>
            </w:pPr>
          </w:p>
        </w:tc>
        <w:tc>
          <w:tcPr>
            <w:tcW w:w="1853" w:type="pct"/>
            <w:gridSpan w:val="3"/>
            <w:tcBorders>
              <w:top w:val="nil"/>
              <w:left w:val="nil"/>
              <w:bottom w:val="single" w:sz="4" w:space="0" w:color="000000"/>
              <w:right w:val="nil"/>
            </w:tcBorders>
            <w:noWrap/>
            <w:vAlign w:val="bottom"/>
            <w:hideMark/>
          </w:tcPr>
          <w:p w14:paraId="3EDF65F4"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Aumento (disminución) debido a variaciones en</w:t>
            </w:r>
          </w:p>
        </w:tc>
        <w:tc>
          <w:tcPr>
            <w:tcW w:w="120" w:type="pct"/>
            <w:noWrap/>
            <w:vAlign w:val="bottom"/>
          </w:tcPr>
          <w:p w14:paraId="1B571065" w14:textId="77777777" w:rsidR="00E90931" w:rsidRPr="00AE4E8D" w:rsidRDefault="00E90931" w:rsidP="00E90931">
            <w:pPr>
              <w:rPr>
                <w:rFonts w:ascii="Times New Roman" w:hAnsi="Times New Roman"/>
                <w:sz w:val="16"/>
                <w:szCs w:val="16"/>
                <w:lang w:val="es-ES"/>
              </w:rPr>
            </w:pPr>
          </w:p>
        </w:tc>
        <w:tc>
          <w:tcPr>
            <w:tcW w:w="1650" w:type="pct"/>
            <w:gridSpan w:val="3"/>
            <w:tcBorders>
              <w:top w:val="nil"/>
              <w:left w:val="nil"/>
              <w:bottom w:val="single" w:sz="4" w:space="0" w:color="000000"/>
              <w:right w:val="nil"/>
            </w:tcBorders>
            <w:noWrap/>
            <w:vAlign w:val="bottom"/>
            <w:hideMark/>
          </w:tcPr>
          <w:p w14:paraId="761CA27E"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Aumento (disminución) debido a variaciones en</w:t>
            </w:r>
          </w:p>
        </w:tc>
      </w:tr>
      <w:tr w:rsidR="00B86C83" w:rsidRPr="00AE4E8D" w14:paraId="7E2F1FF7" w14:textId="77777777" w:rsidTr="000400C8">
        <w:trPr>
          <w:trHeight w:val="255"/>
          <w:jc w:val="center"/>
        </w:trPr>
        <w:tc>
          <w:tcPr>
            <w:tcW w:w="1377" w:type="pct"/>
            <w:noWrap/>
            <w:vAlign w:val="bottom"/>
          </w:tcPr>
          <w:p w14:paraId="6E9B7F11" w14:textId="77777777" w:rsidR="00E90931" w:rsidRPr="00AE4E8D" w:rsidRDefault="00E90931" w:rsidP="00E90931">
            <w:pPr>
              <w:rPr>
                <w:rFonts w:ascii="Times New Roman" w:hAnsi="Times New Roman"/>
                <w:sz w:val="16"/>
                <w:szCs w:val="16"/>
                <w:lang w:val="es-ES"/>
              </w:rPr>
            </w:pPr>
          </w:p>
        </w:tc>
        <w:tc>
          <w:tcPr>
            <w:tcW w:w="628" w:type="pct"/>
            <w:tcBorders>
              <w:top w:val="nil"/>
              <w:left w:val="nil"/>
              <w:bottom w:val="single" w:sz="4" w:space="0" w:color="000000"/>
              <w:right w:val="nil"/>
            </w:tcBorders>
            <w:noWrap/>
            <w:vAlign w:val="bottom"/>
            <w:hideMark/>
          </w:tcPr>
          <w:p w14:paraId="5E669860"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Volumen</w:t>
            </w:r>
          </w:p>
        </w:tc>
        <w:tc>
          <w:tcPr>
            <w:tcW w:w="628" w:type="pct"/>
            <w:tcBorders>
              <w:top w:val="nil"/>
              <w:left w:val="nil"/>
              <w:bottom w:val="single" w:sz="4" w:space="0" w:color="000000"/>
              <w:right w:val="nil"/>
            </w:tcBorders>
            <w:noWrap/>
            <w:vAlign w:val="bottom"/>
            <w:hideMark/>
          </w:tcPr>
          <w:p w14:paraId="20F0759E"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Tasa</w:t>
            </w:r>
          </w:p>
        </w:tc>
        <w:tc>
          <w:tcPr>
            <w:tcW w:w="597" w:type="pct"/>
            <w:tcBorders>
              <w:top w:val="nil"/>
              <w:left w:val="nil"/>
              <w:bottom w:val="single" w:sz="4" w:space="0" w:color="000000"/>
              <w:right w:val="nil"/>
            </w:tcBorders>
            <w:noWrap/>
            <w:vAlign w:val="bottom"/>
            <w:hideMark/>
          </w:tcPr>
          <w:p w14:paraId="43DCE09A"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Variación Neta</w:t>
            </w:r>
          </w:p>
        </w:tc>
        <w:tc>
          <w:tcPr>
            <w:tcW w:w="120" w:type="pct"/>
            <w:noWrap/>
            <w:vAlign w:val="bottom"/>
          </w:tcPr>
          <w:p w14:paraId="0BA14240" w14:textId="77777777" w:rsidR="00E90931" w:rsidRPr="00AE4E8D" w:rsidRDefault="00E90931"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44773D9C"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Volumen</w:t>
            </w:r>
          </w:p>
        </w:tc>
        <w:tc>
          <w:tcPr>
            <w:tcW w:w="507" w:type="pct"/>
            <w:tcBorders>
              <w:top w:val="nil"/>
              <w:left w:val="nil"/>
              <w:bottom w:val="single" w:sz="4" w:space="0" w:color="000000"/>
              <w:right w:val="nil"/>
            </w:tcBorders>
            <w:noWrap/>
            <w:vAlign w:val="bottom"/>
            <w:hideMark/>
          </w:tcPr>
          <w:p w14:paraId="2D835188"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Tasa</w:t>
            </w:r>
          </w:p>
        </w:tc>
        <w:tc>
          <w:tcPr>
            <w:tcW w:w="625" w:type="pct"/>
            <w:tcBorders>
              <w:top w:val="nil"/>
              <w:left w:val="nil"/>
              <w:bottom w:val="single" w:sz="4" w:space="0" w:color="000000"/>
              <w:right w:val="nil"/>
            </w:tcBorders>
            <w:noWrap/>
            <w:vAlign w:val="bottom"/>
            <w:hideMark/>
          </w:tcPr>
          <w:p w14:paraId="21DB894D"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Variación Neta</w:t>
            </w:r>
          </w:p>
        </w:tc>
      </w:tr>
      <w:tr w:rsidR="00B86C83" w:rsidRPr="00AE4E8D" w14:paraId="6D81107F" w14:textId="77777777" w:rsidTr="000400C8">
        <w:trPr>
          <w:trHeight w:val="255"/>
          <w:jc w:val="center"/>
        </w:trPr>
        <w:tc>
          <w:tcPr>
            <w:tcW w:w="1377" w:type="pct"/>
            <w:noWrap/>
            <w:vAlign w:val="bottom"/>
          </w:tcPr>
          <w:p w14:paraId="70EA547E" w14:textId="77777777" w:rsidR="00E90931" w:rsidRPr="00AE4E8D" w:rsidRDefault="00E90931" w:rsidP="00E90931">
            <w:pPr>
              <w:rPr>
                <w:rFonts w:ascii="Times New Roman" w:hAnsi="Times New Roman"/>
                <w:sz w:val="16"/>
                <w:szCs w:val="16"/>
                <w:lang w:val="es-ES"/>
              </w:rPr>
            </w:pPr>
          </w:p>
        </w:tc>
        <w:tc>
          <w:tcPr>
            <w:tcW w:w="1853" w:type="pct"/>
            <w:gridSpan w:val="3"/>
            <w:tcBorders>
              <w:top w:val="single" w:sz="4" w:space="0" w:color="000000"/>
              <w:left w:val="nil"/>
              <w:bottom w:val="nil"/>
              <w:right w:val="nil"/>
            </w:tcBorders>
            <w:noWrap/>
            <w:vAlign w:val="bottom"/>
            <w:hideMark/>
          </w:tcPr>
          <w:p w14:paraId="68B85916"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(en miles de Pesos)</w:t>
            </w:r>
          </w:p>
        </w:tc>
        <w:tc>
          <w:tcPr>
            <w:tcW w:w="120" w:type="pct"/>
            <w:noWrap/>
            <w:vAlign w:val="bottom"/>
          </w:tcPr>
          <w:p w14:paraId="033E8FD1" w14:textId="77777777" w:rsidR="00E90931" w:rsidRPr="00AE4E8D" w:rsidRDefault="00E90931" w:rsidP="00E90931">
            <w:pPr>
              <w:rPr>
                <w:rFonts w:ascii="Times New Roman" w:hAnsi="Times New Roman"/>
                <w:sz w:val="16"/>
                <w:szCs w:val="16"/>
                <w:lang w:val="es-ES"/>
              </w:rPr>
            </w:pPr>
          </w:p>
        </w:tc>
        <w:tc>
          <w:tcPr>
            <w:tcW w:w="1650" w:type="pct"/>
            <w:gridSpan w:val="3"/>
            <w:tcBorders>
              <w:top w:val="single" w:sz="4" w:space="0" w:color="000000"/>
              <w:left w:val="nil"/>
              <w:bottom w:val="nil"/>
              <w:right w:val="nil"/>
            </w:tcBorders>
            <w:noWrap/>
            <w:vAlign w:val="bottom"/>
            <w:hideMark/>
          </w:tcPr>
          <w:p w14:paraId="121FEAD8"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(en miles de Pesos)</w:t>
            </w:r>
          </w:p>
        </w:tc>
      </w:tr>
      <w:tr w:rsidR="008629DF" w:rsidRPr="00AE4E8D" w14:paraId="7C21AEB7" w14:textId="77777777" w:rsidTr="000400C8">
        <w:trPr>
          <w:trHeight w:val="255"/>
          <w:jc w:val="center"/>
        </w:trPr>
        <w:tc>
          <w:tcPr>
            <w:tcW w:w="1377" w:type="pct"/>
            <w:noWrap/>
            <w:vAlign w:val="bottom"/>
            <w:hideMark/>
          </w:tcPr>
          <w:p w14:paraId="0B62D98B"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Activos que devengan intereses</w:t>
            </w:r>
          </w:p>
        </w:tc>
        <w:tc>
          <w:tcPr>
            <w:tcW w:w="628" w:type="pct"/>
            <w:noWrap/>
            <w:vAlign w:val="bottom"/>
          </w:tcPr>
          <w:p w14:paraId="6A405148" w14:textId="77777777" w:rsidR="00E90931" w:rsidRPr="00AE4E8D" w:rsidRDefault="00E90931" w:rsidP="00E90931">
            <w:pPr>
              <w:rPr>
                <w:rFonts w:ascii="Times New Roman" w:hAnsi="Times New Roman"/>
                <w:sz w:val="16"/>
                <w:szCs w:val="16"/>
                <w:lang w:val="es-ES"/>
              </w:rPr>
            </w:pPr>
          </w:p>
        </w:tc>
        <w:tc>
          <w:tcPr>
            <w:tcW w:w="628" w:type="pct"/>
            <w:noWrap/>
            <w:vAlign w:val="bottom"/>
          </w:tcPr>
          <w:p w14:paraId="407B224E" w14:textId="77777777" w:rsidR="00E90931" w:rsidRPr="00AE4E8D" w:rsidRDefault="00E90931" w:rsidP="00E90931">
            <w:pPr>
              <w:rPr>
                <w:rFonts w:ascii="Times New Roman" w:hAnsi="Times New Roman"/>
                <w:sz w:val="16"/>
                <w:szCs w:val="16"/>
                <w:lang w:val="es-ES"/>
              </w:rPr>
            </w:pPr>
          </w:p>
        </w:tc>
        <w:tc>
          <w:tcPr>
            <w:tcW w:w="597" w:type="pct"/>
            <w:noWrap/>
            <w:vAlign w:val="bottom"/>
          </w:tcPr>
          <w:p w14:paraId="4EDFDA6F"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7CCBB4D4" w14:textId="77777777" w:rsidR="00E90931" w:rsidRPr="00AE4E8D" w:rsidRDefault="00E90931" w:rsidP="00E90931">
            <w:pPr>
              <w:rPr>
                <w:rFonts w:ascii="Times New Roman" w:hAnsi="Times New Roman"/>
                <w:sz w:val="16"/>
                <w:szCs w:val="16"/>
                <w:lang w:val="es-ES"/>
              </w:rPr>
            </w:pPr>
          </w:p>
        </w:tc>
        <w:tc>
          <w:tcPr>
            <w:tcW w:w="518" w:type="pct"/>
            <w:noWrap/>
            <w:vAlign w:val="bottom"/>
          </w:tcPr>
          <w:p w14:paraId="2DE5276C" w14:textId="77777777" w:rsidR="00E90931" w:rsidRPr="00AE4E8D" w:rsidRDefault="00E90931" w:rsidP="00E90931">
            <w:pPr>
              <w:rPr>
                <w:rFonts w:ascii="Times New Roman" w:hAnsi="Times New Roman"/>
                <w:sz w:val="16"/>
                <w:szCs w:val="16"/>
                <w:lang w:val="es-ES"/>
              </w:rPr>
            </w:pPr>
          </w:p>
        </w:tc>
        <w:tc>
          <w:tcPr>
            <w:tcW w:w="507" w:type="pct"/>
            <w:noWrap/>
            <w:vAlign w:val="bottom"/>
          </w:tcPr>
          <w:p w14:paraId="4B261E32" w14:textId="77777777" w:rsidR="00E90931" w:rsidRPr="00AE4E8D" w:rsidRDefault="00E90931" w:rsidP="00E90931">
            <w:pPr>
              <w:rPr>
                <w:rFonts w:ascii="Times New Roman" w:hAnsi="Times New Roman"/>
                <w:sz w:val="16"/>
                <w:szCs w:val="16"/>
                <w:lang w:val="es-ES"/>
              </w:rPr>
            </w:pPr>
          </w:p>
        </w:tc>
        <w:tc>
          <w:tcPr>
            <w:tcW w:w="625" w:type="pct"/>
            <w:noWrap/>
            <w:vAlign w:val="bottom"/>
          </w:tcPr>
          <w:p w14:paraId="10613457" w14:textId="77777777" w:rsidR="00E90931" w:rsidRPr="00AE4E8D" w:rsidRDefault="00E90931" w:rsidP="00E90931">
            <w:pPr>
              <w:rPr>
                <w:rFonts w:ascii="Times New Roman" w:hAnsi="Times New Roman"/>
                <w:sz w:val="16"/>
                <w:szCs w:val="16"/>
                <w:lang w:val="es-ES"/>
              </w:rPr>
            </w:pPr>
          </w:p>
        </w:tc>
      </w:tr>
      <w:tr w:rsidR="00B86C83" w:rsidRPr="00AE4E8D" w14:paraId="2918D275" w14:textId="77777777" w:rsidTr="000400C8">
        <w:trPr>
          <w:trHeight w:val="255"/>
          <w:jc w:val="center"/>
        </w:trPr>
        <w:tc>
          <w:tcPr>
            <w:tcW w:w="1377" w:type="pct"/>
            <w:noWrap/>
            <w:vAlign w:val="bottom"/>
            <w:hideMark/>
          </w:tcPr>
          <w:p w14:paraId="33389CC4"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Disponibilidades</w:t>
            </w:r>
          </w:p>
        </w:tc>
        <w:tc>
          <w:tcPr>
            <w:tcW w:w="628" w:type="pct"/>
            <w:shd w:val="clear" w:color="auto" w:fill="FFFFFF"/>
            <w:noWrap/>
            <w:vAlign w:val="bottom"/>
            <w:hideMark/>
          </w:tcPr>
          <w:p w14:paraId="1DE2CF77"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213DCDEA"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5B116100"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44C3126B" w14:textId="77777777" w:rsidR="00E90931" w:rsidRPr="00AE4E8D" w:rsidRDefault="00E90931" w:rsidP="00E90931">
            <w:pPr>
              <w:rPr>
                <w:rFonts w:ascii="Times New Roman" w:hAnsi="Times New Roman"/>
                <w:sz w:val="16"/>
                <w:szCs w:val="16"/>
                <w:lang w:val="es-ES"/>
              </w:rPr>
            </w:pPr>
          </w:p>
        </w:tc>
        <w:tc>
          <w:tcPr>
            <w:tcW w:w="518" w:type="pct"/>
            <w:noWrap/>
            <w:vAlign w:val="bottom"/>
          </w:tcPr>
          <w:p w14:paraId="0AA66F69" w14:textId="77777777" w:rsidR="00E90931" w:rsidRPr="00AE4E8D" w:rsidRDefault="00E90931" w:rsidP="00E90931">
            <w:pPr>
              <w:rPr>
                <w:rFonts w:ascii="Times New Roman" w:hAnsi="Times New Roman"/>
                <w:sz w:val="16"/>
                <w:szCs w:val="16"/>
                <w:lang w:val="es-ES"/>
              </w:rPr>
            </w:pPr>
          </w:p>
        </w:tc>
        <w:tc>
          <w:tcPr>
            <w:tcW w:w="507" w:type="pct"/>
            <w:noWrap/>
            <w:vAlign w:val="bottom"/>
          </w:tcPr>
          <w:p w14:paraId="2E0CCF22" w14:textId="77777777" w:rsidR="00E90931" w:rsidRPr="00AE4E8D" w:rsidRDefault="00E90931" w:rsidP="00E90931">
            <w:pPr>
              <w:rPr>
                <w:rFonts w:ascii="Times New Roman" w:hAnsi="Times New Roman"/>
                <w:sz w:val="16"/>
                <w:szCs w:val="16"/>
                <w:lang w:val="es-ES"/>
              </w:rPr>
            </w:pPr>
          </w:p>
        </w:tc>
        <w:tc>
          <w:tcPr>
            <w:tcW w:w="625" w:type="pct"/>
            <w:noWrap/>
            <w:vAlign w:val="bottom"/>
          </w:tcPr>
          <w:p w14:paraId="3C7329D6" w14:textId="77777777" w:rsidR="00E90931" w:rsidRPr="00AE4E8D" w:rsidRDefault="00E90931" w:rsidP="00E90931">
            <w:pPr>
              <w:rPr>
                <w:rFonts w:ascii="Times New Roman" w:hAnsi="Times New Roman"/>
                <w:sz w:val="16"/>
                <w:szCs w:val="16"/>
                <w:lang w:val="es-ES"/>
              </w:rPr>
            </w:pPr>
          </w:p>
        </w:tc>
      </w:tr>
      <w:tr w:rsidR="00B86C83" w:rsidRPr="00AE4E8D" w14:paraId="0EB57D30" w14:textId="77777777" w:rsidTr="000400C8">
        <w:trPr>
          <w:trHeight w:val="255"/>
          <w:jc w:val="center"/>
        </w:trPr>
        <w:tc>
          <w:tcPr>
            <w:tcW w:w="1377" w:type="pct"/>
            <w:noWrap/>
            <w:vAlign w:val="bottom"/>
            <w:hideMark/>
          </w:tcPr>
          <w:p w14:paraId="384E9292"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3959AA21" w14:textId="77777777" w:rsidR="00E90931"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(3.446)</w:t>
            </w:r>
          </w:p>
        </w:tc>
        <w:tc>
          <w:tcPr>
            <w:tcW w:w="628" w:type="pct"/>
            <w:shd w:val="clear" w:color="auto" w:fill="FFFFFF"/>
            <w:noWrap/>
            <w:vAlign w:val="bottom"/>
            <w:hideMark/>
          </w:tcPr>
          <w:p w14:paraId="3FE08B94" w14:textId="77777777" w:rsidR="00E90931" w:rsidRPr="00AE4E8D" w:rsidRDefault="00FA3175"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9.182 </w:t>
            </w:r>
          </w:p>
        </w:tc>
        <w:tc>
          <w:tcPr>
            <w:tcW w:w="597" w:type="pct"/>
            <w:noWrap/>
            <w:vAlign w:val="bottom"/>
            <w:hideMark/>
          </w:tcPr>
          <w:p w14:paraId="24579392" w14:textId="77777777" w:rsidR="00E90931" w:rsidRPr="00AE4E8D" w:rsidRDefault="00FA3175"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5.736 </w:t>
            </w:r>
          </w:p>
        </w:tc>
        <w:tc>
          <w:tcPr>
            <w:tcW w:w="120" w:type="pct"/>
            <w:noWrap/>
            <w:vAlign w:val="bottom"/>
          </w:tcPr>
          <w:p w14:paraId="4EC5039B" w14:textId="77777777" w:rsidR="00E90931" w:rsidRPr="00AE4E8D" w:rsidRDefault="00E90931" w:rsidP="00E90931">
            <w:pPr>
              <w:rPr>
                <w:rFonts w:ascii="Times New Roman" w:hAnsi="Times New Roman"/>
                <w:sz w:val="16"/>
                <w:szCs w:val="16"/>
                <w:lang w:val="es-ES"/>
              </w:rPr>
            </w:pPr>
          </w:p>
        </w:tc>
        <w:tc>
          <w:tcPr>
            <w:tcW w:w="518" w:type="pct"/>
            <w:noWrap/>
            <w:vAlign w:val="bottom"/>
            <w:hideMark/>
          </w:tcPr>
          <w:p w14:paraId="77283AA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7.832</w:t>
            </w:r>
          </w:p>
        </w:tc>
        <w:tc>
          <w:tcPr>
            <w:tcW w:w="507" w:type="pct"/>
            <w:noWrap/>
            <w:vAlign w:val="bottom"/>
            <w:hideMark/>
          </w:tcPr>
          <w:p w14:paraId="5D5F27B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(20.167)</w:t>
            </w:r>
          </w:p>
        </w:tc>
        <w:tc>
          <w:tcPr>
            <w:tcW w:w="625" w:type="pct"/>
            <w:noWrap/>
            <w:vAlign w:val="bottom"/>
            <w:hideMark/>
          </w:tcPr>
          <w:p w14:paraId="26831B27"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(12.335)</w:t>
            </w:r>
          </w:p>
        </w:tc>
      </w:tr>
      <w:tr w:rsidR="003B5193" w:rsidRPr="00AE4E8D" w14:paraId="3B23C668" w14:textId="77777777" w:rsidTr="00E90931">
        <w:trPr>
          <w:trHeight w:val="255"/>
          <w:jc w:val="center"/>
        </w:trPr>
        <w:tc>
          <w:tcPr>
            <w:tcW w:w="1377" w:type="pct"/>
            <w:noWrap/>
            <w:vAlign w:val="bottom"/>
            <w:hideMark/>
          </w:tcPr>
          <w:p w14:paraId="639061FE"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350C3905"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(4.323)</w:t>
            </w:r>
            <w:r w:rsidR="00EB3492" w:rsidRPr="00AE4E8D">
              <w:rPr>
                <w:rFonts w:ascii="Times New Roman" w:hAnsi="Times New Roman"/>
                <w:color w:val="000000"/>
                <w:sz w:val="16"/>
                <w:szCs w:val="16"/>
                <w:lang w:val="es-ES"/>
              </w:rPr>
              <w:t xml:space="preserve">      </w:t>
            </w:r>
          </w:p>
        </w:tc>
        <w:tc>
          <w:tcPr>
            <w:tcW w:w="628" w:type="pct"/>
            <w:tcBorders>
              <w:top w:val="nil"/>
              <w:left w:val="nil"/>
              <w:bottom w:val="single" w:sz="4" w:space="0" w:color="000000"/>
              <w:right w:val="nil"/>
            </w:tcBorders>
            <w:shd w:val="clear" w:color="auto" w:fill="FFFFFF"/>
            <w:noWrap/>
            <w:vAlign w:val="bottom"/>
            <w:hideMark/>
          </w:tcPr>
          <w:p w14:paraId="30F4564D"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10.627</w:t>
            </w:r>
          </w:p>
        </w:tc>
        <w:tc>
          <w:tcPr>
            <w:tcW w:w="597" w:type="pct"/>
            <w:tcBorders>
              <w:top w:val="nil"/>
              <w:left w:val="nil"/>
              <w:bottom w:val="single" w:sz="4" w:space="0" w:color="000000"/>
              <w:right w:val="nil"/>
            </w:tcBorders>
            <w:noWrap/>
            <w:vAlign w:val="bottom"/>
            <w:hideMark/>
          </w:tcPr>
          <w:p w14:paraId="289F8783"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6.304</w:t>
            </w:r>
          </w:p>
        </w:tc>
        <w:tc>
          <w:tcPr>
            <w:tcW w:w="120" w:type="pct"/>
            <w:noWrap/>
            <w:vAlign w:val="bottom"/>
          </w:tcPr>
          <w:p w14:paraId="0B1E87A2" w14:textId="77777777" w:rsidR="00E90931" w:rsidRPr="00AE4E8D" w:rsidRDefault="00E90931"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2D45F99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(3.908)</w:t>
            </w:r>
          </w:p>
        </w:tc>
        <w:tc>
          <w:tcPr>
            <w:tcW w:w="507" w:type="pct"/>
            <w:tcBorders>
              <w:top w:val="nil"/>
              <w:left w:val="nil"/>
              <w:bottom w:val="single" w:sz="4" w:space="0" w:color="000000"/>
              <w:right w:val="nil"/>
            </w:tcBorders>
            <w:noWrap/>
            <w:vAlign w:val="bottom"/>
            <w:hideMark/>
          </w:tcPr>
          <w:p w14:paraId="7083ED7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(2.905)</w:t>
            </w:r>
          </w:p>
        </w:tc>
        <w:tc>
          <w:tcPr>
            <w:tcW w:w="625" w:type="pct"/>
            <w:tcBorders>
              <w:top w:val="nil"/>
              <w:left w:val="nil"/>
              <w:bottom w:val="single" w:sz="4" w:space="0" w:color="000000"/>
              <w:right w:val="nil"/>
            </w:tcBorders>
            <w:noWrap/>
            <w:vAlign w:val="bottom"/>
            <w:hideMark/>
          </w:tcPr>
          <w:p w14:paraId="103ACEF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(6.813)</w:t>
            </w:r>
          </w:p>
        </w:tc>
      </w:tr>
      <w:tr w:rsidR="00B86C83" w:rsidRPr="00AE4E8D" w14:paraId="58C272C5" w14:textId="77777777" w:rsidTr="000400C8">
        <w:trPr>
          <w:trHeight w:val="255"/>
          <w:jc w:val="center"/>
        </w:trPr>
        <w:tc>
          <w:tcPr>
            <w:tcW w:w="1377" w:type="pct"/>
            <w:noWrap/>
            <w:vAlign w:val="bottom"/>
            <w:hideMark/>
          </w:tcPr>
          <w:p w14:paraId="667F5F57"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Total</w:t>
            </w:r>
          </w:p>
        </w:tc>
        <w:tc>
          <w:tcPr>
            <w:tcW w:w="628" w:type="pct"/>
            <w:shd w:val="clear" w:color="auto" w:fill="FFFFFF"/>
            <w:noWrap/>
            <w:vAlign w:val="bottom"/>
            <w:hideMark/>
          </w:tcPr>
          <w:p w14:paraId="3F798B76"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(7.</w:t>
            </w:r>
            <w:r w:rsidRPr="00AE4E8D">
              <w:rPr>
                <w:rFonts w:ascii="Times New Roman" w:hAnsi="Times New Roman"/>
                <w:color w:val="000000"/>
                <w:sz w:val="16"/>
                <w:szCs w:val="16"/>
                <w:lang w:val="es-ES"/>
              </w:rPr>
              <w:t>769)</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34E7F533"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19.809</w:t>
            </w:r>
            <w:r w:rsidR="00EB3492" w:rsidRPr="00AE4E8D">
              <w:rPr>
                <w:rFonts w:ascii="Times New Roman" w:hAnsi="Times New Roman"/>
                <w:color w:val="000000"/>
                <w:sz w:val="16"/>
                <w:szCs w:val="16"/>
                <w:lang w:val="es-ES"/>
              </w:rPr>
              <w:t xml:space="preserve">      </w:t>
            </w:r>
          </w:p>
        </w:tc>
        <w:tc>
          <w:tcPr>
            <w:tcW w:w="597" w:type="pct"/>
            <w:noWrap/>
            <w:vAlign w:val="bottom"/>
            <w:hideMark/>
          </w:tcPr>
          <w:p w14:paraId="41B67C5F" w14:textId="77777777" w:rsidR="00E90931"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12.040 </w:t>
            </w:r>
          </w:p>
        </w:tc>
        <w:tc>
          <w:tcPr>
            <w:tcW w:w="120" w:type="pct"/>
            <w:noWrap/>
            <w:vAlign w:val="bottom"/>
          </w:tcPr>
          <w:p w14:paraId="10CE0FFF" w14:textId="77777777" w:rsidR="00E90931" w:rsidRPr="00AE4E8D" w:rsidRDefault="00E90931" w:rsidP="00E90931">
            <w:pPr>
              <w:rPr>
                <w:rFonts w:ascii="Times New Roman" w:hAnsi="Times New Roman"/>
                <w:sz w:val="16"/>
                <w:szCs w:val="16"/>
                <w:lang w:val="es-ES"/>
              </w:rPr>
            </w:pPr>
          </w:p>
        </w:tc>
        <w:tc>
          <w:tcPr>
            <w:tcW w:w="518" w:type="pct"/>
            <w:noWrap/>
            <w:vAlign w:val="bottom"/>
            <w:hideMark/>
          </w:tcPr>
          <w:p w14:paraId="4C48680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3.924</w:t>
            </w:r>
          </w:p>
        </w:tc>
        <w:tc>
          <w:tcPr>
            <w:tcW w:w="507" w:type="pct"/>
            <w:noWrap/>
            <w:vAlign w:val="bottom"/>
            <w:hideMark/>
          </w:tcPr>
          <w:p w14:paraId="10CCA05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(23.072)</w:t>
            </w:r>
          </w:p>
        </w:tc>
        <w:tc>
          <w:tcPr>
            <w:tcW w:w="625" w:type="pct"/>
            <w:noWrap/>
            <w:vAlign w:val="bottom"/>
            <w:hideMark/>
          </w:tcPr>
          <w:p w14:paraId="152F75A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(19.148)</w:t>
            </w:r>
          </w:p>
        </w:tc>
      </w:tr>
      <w:tr w:rsidR="00B86C83" w:rsidRPr="00AE4E8D" w14:paraId="76186B2D" w14:textId="77777777" w:rsidTr="000400C8">
        <w:trPr>
          <w:trHeight w:val="255"/>
          <w:jc w:val="center"/>
        </w:trPr>
        <w:tc>
          <w:tcPr>
            <w:tcW w:w="1377" w:type="pct"/>
            <w:noWrap/>
            <w:vAlign w:val="bottom"/>
            <w:hideMark/>
          </w:tcPr>
          <w:p w14:paraId="36B9D23F"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Títulos Públicos </w:t>
            </w:r>
          </w:p>
        </w:tc>
        <w:tc>
          <w:tcPr>
            <w:tcW w:w="628" w:type="pct"/>
            <w:shd w:val="clear" w:color="auto" w:fill="FFFFFF"/>
            <w:noWrap/>
            <w:vAlign w:val="bottom"/>
            <w:hideMark/>
          </w:tcPr>
          <w:p w14:paraId="11C39D32"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187246A2"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730C628E"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3D2DDA25" w14:textId="77777777" w:rsidR="00E90931" w:rsidRPr="00AE4E8D" w:rsidRDefault="00E90931" w:rsidP="00E90931">
            <w:pPr>
              <w:rPr>
                <w:rFonts w:ascii="Times New Roman" w:hAnsi="Times New Roman"/>
                <w:sz w:val="16"/>
                <w:szCs w:val="16"/>
                <w:lang w:val="es-ES"/>
              </w:rPr>
            </w:pPr>
          </w:p>
        </w:tc>
        <w:tc>
          <w:tcPr>
            <w:tcW w:w="518" w:type="pct"/>
            <w:noWrap/>
            <w:vAlign w:val="bottom"/>
          </w:tcPr>
          <w:p w14:paraId="2316A153" w14:textId="77777777" w:rsidR="00E90931" w:rsidRPr="00AE4E8D" w:rsidRDefault="00E90931" w:rsidP="00E90931">
            <w:pPr>
              <w:rPr>
                <w:rFonts w:ascii="Times New Roman" w:hAnsi="Times New Roman"/>
                <w:sz w:val="16"/>
                <w:szCs w:val="16"/>
                <w:lang w:val="es-ES"/>
              </w:rPr>
            </w:pPr>
          </w:p>
        </w:tc>
        <w:tc>
          <w:tcPr>
            <w:tcW w:w="507" w:type="pct"/>
            <w:noWrap/>
            <w:vAlign w:val="bottom"/>
          </w:tcPr>
          <w:p w14:paraId="3637A580" w14:textId="77777777" w:rsidR="00E90931" w:rsidRPr="00AE4E8D" w:rsidRDefault="00E90931" w:rsidP="00E90931">
            <w:pPr>
              <w:rPr>
                <w:rFonts w:ascii="Times New Roman" w:hAnsi="Times New Roman"/>
                <w:sz w:val="16"/>
                <w:szCs w:val="16"/>
                <w:lang w:val="es-ES"/>
              </w:rPr>
            </w:pPr>
          </w:p>
        </w:tc>
        <w:tc>
          <w:tcPr>
            <w:tcW w:w="625" w:type="pct"/>
            <w:noWrap/>
            <w:vAlign w:val="bottom"/>
          </w:tcPr>
          <w:p w14:paraId="0FD4E9C2" w14:textId="77777777" w:rsidR="00E90931" w:rsidRPr="00AE4E8D" w:rsidRDefault="00E90931" w:rsidP="00E90931">
            <w:pPr>
              <w:rPr>
                <w:rFonts w:ascii="Times New Roman" w:hAnsi="Times New Roman"/>
                <w:sz w:val="16"/>
                <w:szCs w:val="16"/>
                <w:lang w:val="es-ES"/>
              </w:rPr>
            </w:pPr>
          </w:p>
        </w:tc>
      </w:tr>
      <w:tr w:rsidR="00B86C83" w:rsidRPr="00AE4E8D" w14:paraId="31AA802B" w14:textId="77777777" w:rsidTr="000400C8">
        <w:trPr>
          <w:trHeight w:val="255"/>
          <w:jc w:val="center"/>
        </w:trPr>
        <w:tc>
          <w:tcPr>
            <w:tcW w:w="1377" w:type="pct"/>
            <w:noWrap/>
            <w:vAlign w:val="bottom"/>
            <w:hideMark/>
          </w:tcPr>
          <w:p w14:paraId="21D483ED"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70D5E832"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(111.672)</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5939C2D8"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(153.936)</w:t>
            </w:r>
            <w:r w:rsidR="00EB3492" w:rsidRPr="00AE4E8D">
              <w:rPr>
                <w:rFonts w:ascii="Times New Roman" w:hAnsi="Times New Roman"/>
                <w:color w:val="000000"/>
                <w:sz w:val="16"/>
                <w:szCs w:val="16"/>
                <w:lang w:val="es-ES"/>
              </w:rPr>
              <w:t xml:space="preserve">    </w:t>
            </w:r>
          </w:p>
        </w:tc>
        <w:tc>
          <w:tcPr>
            <w:tcW w:w="597" w:type="pct"/>
            <w:noWrap/>
            <w:vAlign w:val="bottom"/>
            <w:hideMark/>
          </w:tcPr>
          <w:p w14:paraId="17F4BBE7"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(265.608)</w:t>
            </w:r>
            <w:r w:rsidR="00EB3492" w:rsidRPr="00AE4E8D">
              <w:rPr>
                <w:rFonts w:ascii="Times New Roman" w:hAnsi="Times New Roman"/>
                <w:color w:val="000000"/>
                <w:sz w:val="16"/>
                <w:szCs w:val="16"/>
                <w:lang w:val="es-ES"/>
              </w:rPr>
              <w:t xml:space="preserve">    </w:t>
            </w:r>
          </w:p>
        </w:tc>
        <w:tc>
          <w:tcPr>
            <w:tcW w:w="120" w:type="pct"/>
            <w:noWrap/>
            <w:vAlign w:val="bottom"/>
          </w:tcPr>
          <w:p w14:paraId="22D941D2" w14:textId="77777777" w:rsidR="00E90931" w:rsidRPr="00AE4E8D" w:rsidRDefault="00E90931" w:rsidP="00E90931">
            <w:pPr>
              <w:rPr>
                <w:rFonts w:ascii="Times New Roman" w:hAnsi="Times New Roman"/>
                <w:sz w:val="16"/>
                <w:szCs w:val="16"/>
                <w:lang w:val="es-ES"/>
              </w:rPr>
            </w:pPr>
          </w:p>
        </w:tc>
        <w:tc>
          <w:tcPr>
            <w:tcW w:w="518" w:type="pct"/>
            <w:noWrap/>
            <w:vAlign w:val="bottom"/>
            <w:hideMark/>
          </w:tcPr>
          <w:p w14:paraId="03BED1E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276.342</w:t>
            </w:r>
          </w:p>
        </w:tc>
        <w:tc>
          <w:tcPr>
            <w:tcW w:w="507" w:type="pct"/>
            <w:noWrap/>
            <w:vAlign w:val="bottom"/>
            <w:hideMark/>
          </w:tcPr>
          <w:p w14:paraId="4A87891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222.897</w:t>
            </w:r>
          </w:p>
        </w:tc>
        <w:tc>
          <w:tcPr>
            <w:tcW w:w="625" w:type="pct"/>
            <w:noWrap/>
            <w:vAlign w:val="bottom"/>
            <w:hideMark/>
          </w:tcPr>
          <w:p w14:paraId="4CA3596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499.239</w:t>
            </w:r>
          </w:p>
        </w:tc>
      </w:tr>
      <w:tr w:rsidR="003B5193" w:rsidRPr="00AE4E8D" w14:paraId="25E2F86B" w14:textId="77777777" w:rsidTr="00E90931">
        <w:trPr>
          <w:trHeight w:val="255"/>
          <w:jc w:val="center"/>
        </w:trPr>
        <w:tc>
          <w:tcPr>
            <w:tcW w:w="1377" w:type="pct"/>
            <w:noWrap/>
            <w:vAlign w:val="bottom"/>
            <w:hideMark/>
          </w:tcPr>
          <w:p w14:paraId="7503B5BA"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2A5FA50C"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391.520</w:t>
            </w:r>
            <w:r w:rsidR="00EB3492" w:rsidRPr="00AE4E8D">
              <w:rPr>
                <w:rFonts w:ascii="Times New Roman" w:hAnsi="Times New Roman"/>
                <w:color w:val="000000"/>
                <w:sz w:val="16"/>
                <w:szCs w:val="16"/>
                <w:lang w:val="es-ES"/>
              </w:rPr>
              <w:t xml:space="preserve">     </w:t>
            </w:r>
          </w:p>
        </w:tc>
        <w:tc>
          <w:tcPr>
            <w:tcW w:w="628" w:type="pct"/>
            <w:tcBorders>
              <w:top w:val="nil"/>
              <w:left w:val="nil"/>
              <w:bottom w:val="single" w:sz="4" w:space="0" w:color="000000"/>
              <w:right w:val="nil"/>
            </w:tcBorders>
            <w:shd w:val="clear" w:color="auto" w:fill="FFFFFF"/>
            <w:noWrap/>
            <w:vAlign w:val="bottom"/>
            <w:hideMark/>
          </w:tcPr>
          <w:p w14:paraId="324B763B"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(490.429)</w:t>
            </w:r>
          </w:p>
        </w:tc>
        <w:tc>
          <w:tcPr>
            <w:tcW w:w="597" w:type="pct"/>
            <w:tcBorders>
              <w:top w:val="nil"/>
              <w:left w:val="nil"/>
              <w:bottom w:val="single" w:sz="4" w:space="0" w:color="000000"/>
              <w:right w:val="nil"/>
            </w:tcBorders>
            <w:noWrap/>
            <w:vAlign w:val="bottom"/>
            <w:hideMark/>
          </w:tcPr>
          <w:p w14:paraId="14038A1B"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(98.909)</w:t>
            </w:r>
          </w:p>
        </w:tc>
        <w:tc>
          <w:tcPr>
            <w:tcW w:w="120" w:type="pct"/>
            <w:noWrap/>
            <w:vAlign w:val="bottom"/>
          </w:tcPr>
          <w:p w14:paraId="66D5EB06" w14:textId="77777777" w:rsidR="00E90931" w:rsidRPr="00AE4E8D" w:rsidRDefault="00E90931"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37A62E6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(4.097)</w:t>
            </w:r>
          </w:p>
        </w:tc>
        <w:tc>
          <w:tcPr>
            <w:tcW w:w="507" w:type="pct"/>
            <w:tcBorders>
              <w:top w:val="nil"/>
              <w:left w:val="nil"/>
              <w:bottom w:val="single" w:sz="4" w:space="0" w:color="000000"/>
              <w:right w:val="nil"/>
            </w:tcBorders>
            <w:noWrap/>
            <w:vAlign w:val="bottom"/>
            <w:hideMark/>
          </w:tcPr>
          <w:p w14:paraId="7D4E19F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(2.527)</w:t>
            </w:r>
          </w:p>
        </w:tc>
        <w:tc>
          <w:tcPr>
            <w:tcW w:w="625" w:type="pct"/>
            <w:tcBorders>
              <w:top w:val="nil"/>
              <w:left w:val="nil"/>
              <w:bottom w:val="single" w:sz="4" w:space="0" w:color="000000"/>
              <w:right w:val="nil"/>
            </w:tcBorders>
            <w:noWrap/>
            <w:vAlign w:val="bottom"/>
            <w:hideMark/>
          </w:tcPr>
          <w:p w14:paraId="3847646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(6.624)</w:t>
            </w:r>
          </w:p>
        </w:tc>
      </w:tr>
      <w:tr w:rsidR="00B86C83" w:rsidRPr="00AE4E8D" w14:paraId="10121801" w14:textId="77777777" w:rsidTr="000400C8">
        <w:trPr>
          <w:trHeight w:val="255"/>
          <w:jc w:val="center"/>
        </w:trPr>
        <w:tc>
          <w:tcPr>
            <w:tcW w:w="1377" w:type="pct"/>
            <w:noWrap/>
            <w:vAlign w:val="bottom"/>
            <w:hideMark/>
          </w:tcPr>
          <w:p w14:paraId="0F60DB2B"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Total</w:t>
            </w:r>
          </w:p>
        </w:tc>
        <w:tc>
          <w:tcPr>
            <w:tcW w:w="628" w:type="pct"/>
            <w:shd w:val="clear" w:color="auto" w:fill="FFFFFF"/>
            <w:noWrap/>
            <w:vAlign w:val="bottom"/>
            <w:hideMark/>
          </w:tcPr>
          <w:p w14:paraId="11C4C03D"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279.848</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440F9FCE"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(644.365)</w:t>
            </w:r>
            <w:r w:rsidR="00EB3492" w:rsidRPr="00AE4E8D">
              <w:rPr>
                <w:rFonts w:ascii="Times New Roman" w:hAnsi="Times New Roman"/>
                <w:color w:val="000000"/>
                <w:sz w:val="16"/>
                <w:szCs w:val="16"/>
                <w:lang w:val="es-ES"/>
              </w:rPr>
              <w:t xml:space="preserve">    </w:t>
            </w:r>
          </w:p>
        </w:tc>
        <w:tc>
          <w:tcPr>
            <w:tcW w:w="597" w:type="pct"/>
            <w:noWrap/>
            <w:vAlign w:val="bottom"/>
            <w:hideMark/>
          </w:tcPr>
          <w:p w14:paraId="26726BCB"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(364.517)</w:t>
            </w:r>
            <w:r w:rsidR="00EB3492" w:rsidRPr="00AE4E8D">
              <w:rPr>
                <w:rFonts w:ascii="Times New Roman" w:hAnsi="Times New Roman"/>
                <w:color w:val="000000"/>
                <w:sz w:val="16"/>
                <w:szCs w:val="16"/>
                <w:lang w:val="es-ES"/>
              </w:rPr>
              <w:t xml:space="preserve">    </w:t>
            </w:r>
          </w:p>
        </w:tc>
        <w:tc>
          <w:tcPr>
            <w:tcW w:w="120" w:type="pct"/>
            <w:noWrap/>
            <w:vAlign w:val="bottom"/>
          </w:tcPr>
          <w:p w14:paraId="0E9E08F1" w14:textId="77777777" w:rsidR="00E90931" w:rsidRPr="00AE4E8D" w:rsidRDefault="00E90931" w:rsidP="00E90931">
            <w:pPr>
              <w:rPr>
                <w:rFonts w:ascii="Times New Roman" w:hAnsi="Times New Roman"/>
                <w:sz w:val="16"/>
                <w:szCs w:val="16"/>
                <w:lang w:val="es-ES"/>
              </w:rPr>
            </w:pPr>
          </w:p>
        </w:tc>
        <w:tc>
          <w:tcPr>
            <w:tcW w:w="518" w:type="pct"/>
            <w:noWrap/>
            <w:vAlign w:val="bottom"/>
            <w:hideMark/>
          </w:tcPr>
          <w:p w14:paraId="5FC9AFE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272.245</w:t>
            </w:r>
          </w:p>
        </w:tc>
        <w:tc>
          <w:tcPr>
            <w:tcW w:w="507" w:type="pct"/>
            <w:noWrap/>
            <w:vAlign w:val="bottom"/>
            <w:hideMark/>
          </w:tcPr>
          <w:p w14:paraId="576D62F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220.370</w:t>
            </w:r>
          </w:p>
        </w:tc>
        <w:tc>
          <w:tcPr>
            <w:tcW w:w="625" w:type="pct"/>
            <w:noWrap/>
            <w:vAlign w:val="bottom"/>
            <w:hideMark/>
          </w:tcPr>
          <w:p w14:paraId="1A7B87B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492.615</w:t>
            </w:r>
          </w:p>
        </w:tc>
      </w:tr>
      <w:tr w:rsidR="00B86C83" w:rsidRPr="00AE4E8D" w14:paraId="675B348B" w14:textId="77777777" w:rsidTr="000400C8">
        <w:trPr>
          <w:trHeight w:val="255"/>
          <w:jc w:val="center"/>
        </w:trPr>
        <w:tc>
          <w:tcPr>
            <w:tcW w:w="1377" w:type="pct"/>
            <w:noWrap/>
            <w:vAlign w:val="bottom"/>
            <w:hideMark/>
          </w:tcPr>
          <w:p w14:paraId="212F8B66"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Préstamos Hipotecarios</w:t>
            </w:r>
          </w:p>
        </w:tc>
        <w:tc>
          <w:tcPr>
            <w:tcW w:w="628" w:type="pct"/>
            <w:shd w:val="clear" w:color="auto" w:fill="FFFFFF"/>
            <w:noWrap/>
            <w:vAlign w:val="bottom"/>
            <w:hideMark/>
          </w:tcPr>
          <w:p w14:paraId="380381E6"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799B3715"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529D1B5C"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702F86A4" w14:textId="77777777" w:rsidR="00E90931" w:rsidRPr="00AE4E8D" w:rsidRDefault="00E90931" w:rsidP="00E90931">
            <w:pPr>
              <w:rPr>
                <w:rFonts w:ascii="Times New Roman" w:hAnsi="Times New Roman"/>
                <w:sz w:val="16"/>
                <w:szCs w:val="16"/>
                <w:lang w:val="es-ES"/>
              </w:rPr>
            </w:pPr>
          </w:p>
        </w:tc>
        <w:tc>
          <w:tcPr>
            <w:tcW w:w="518" w:type="pct"/>
            <w:noWrap/>
            <w:vAlign w:val="bottom"/>
          </w:tcPr>
          <w:p w14:paraId="6A4D22D5" w14:textId="77777777" w:rsidR="00E90931" w:rsidRPr="00AE4E8D" w:rsidRDefault="00E90931" w:rsidP="00E90931">
            <w:pPr>
              <w:rPr>
                <w:rFonts w:ascii="Times New Roman" w:hAnsi="Times New Roman"/>
                <w:sz w:val="16"/>
                <w:szCs w:val="16"/>
                <w:lang w:val="es-ES"/>
              </w:rPr>
            </w:pPr>
          </w:p>
        </w:tc>
        <w:tc>
          <w:tcPr>
            <w:tcW w:w="507" w:type="pct"/>
            <w:noWrap/>
            <w:vAlign w:val="bottom"/>
          </w:tcPr>
          <w:p w14:paraId="2C3E3CE4" w14:textId="77777777" w:rsidR="00E90931" w:rsidRPr="00AE4E8D" w:rsidRDefault="00E90931" w:rsidP="00E90931">
            <w:pPr>
              <w:rPr>
                <w:rFonts w:ascii="Times New Roman" w:hAnsi="Times New Roman"/>
                <w:sz w:val="16"/>
                <w:szCs w:val="16"/>
                <w:lang w:val="es-ES"/>
              </w:rPr>
            </w:pPr>
          </w:p>
        </w:tc>
        <w:tc>
          <w:tcPr>
            <w:tcW w:w="625" w:type="pct"/>
            <w:noWrap/>
            <w:vAlign w:val="bottom"/>
          </w:tcPr>
          <w:p w14:paraId="6AB2C5CD" w14:textId="77777777" w:rsidR="00E90931" w:rsidRPr="00AE4E8D" w:rsidRDefault="00E90931" w:rsidP="00E90931">
            <w:pPr>
              <w:rPr>
                <w:rFonts w:ascii="Times New Roman" w:hAnsi="Times New Roman"/>
                <w:sz w:val="16"/>
                <w:szCs w:val="16"/>
                <w:lang w:val="es-ES"/>
              </w:rPr>
            </w:pPr>
          </w:p>
        </w:tc>
      </w:tr>
      <w:tr w:rsidR="00B86C83" w:rsidRPr="00AE4E8D" w14:paraId="4A8587D3" w14:textId="77777777" w:rsidTr="000400C8">
        <w:trPr>
          <w:trHeight w:val="255"/>
          <w:jc w:val="center"/>
        </w:trPr>
        <w:tc>
          <w:tcPr>
            <w:tcW w:w="1377" w:type="pct"/>
            <w:noWrap/>
            <w:vAlign w:val="bottom"/>
            <w:hideMark/>
          </w:tcPr>
          <w:p w14:paraId="30FBA7FE"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4168798A"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(14.244)</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600B7ACC"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(33.211)</w:t>
            </w:r>
            <w:r w:rsidR="00EB3492" w:rsidRPr="00AE4E8D">
              <w:rPr>
                <w:rFonts w:ascii="Times New Roman" w:hAnsi="Times New Roman"/>
                <w:color w:val="000000"/>
                <w:sz w:val="16"/>
                <w:szCs w:val="16"/>
                <w:lang w:val="es-ES"/>
              </w:rPr>
              <w:t xml:space="preserve">     </w:t>
            </w:r>
          </w:p>
        </w:tc>
        <w:tc>
          <w:tcPr>
            <w:tcW w:w="597" w:type="pct"/>
            <w:noWrap/>
            <w:vAlign w:val="bottom"/>
            <w:hideMark/>
          </w:tcPr>
          <w:p w14:paraId="3372D1E1"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(47.456)</w:t>
            </w:r>
            <w:r w:rsidR="00EB3492" w:rsidRPr="00AE4E8D">
              <w:rPr>
                <w:rFonts w:ascii="Times New Roman" w:hAnsi="Times New Roman"/>
                <w:color w:val="000000"/>
                <w:sz w:val="16"/>
                <w:szCs w:val="16"/>
                <w:lang w:val="es-ES"/>
              </w:rPr>
              <w:t xml:space="preserve">     </w:t>
            </w:r>
          </w:p>
        </w:tc>
        <w:tc>
          <w:tcPr>
            <w:tcW w:w="120" w:type="pct"/>
            <w:noWrap/>
            <w:vAlign w:val="bottom"/>
          </w:tcPr>
          <w:p w14:paraId="56EA828C" w14:textId="77777777" w:rsidR="00E90931" w:rsidRPr="00AE4E8D" w:rsidRDefault="00E90931" w:rsidP="00E90931">
            <w:pPr>
              <w:rPr>
                <w:rFonts w:ascii="Times New Roman" w:hAnsi="Times New Roman"/>
                <w:sz w:val="16"/>
                <w:szCs w:val="16"/>
                <w:lang w:val="es-ES"/>
              </w:rPr>
            </w:pPr>
          </w:p>
        </w:tc>
        <w:tc>
          <w:tcPr>
            <w:tcW w:w="518" w:type="pct"/>
            <w:noWrap/>
            <w:vAlign w:val="bottom"/>
            <w:hideMark/>
          </w:tcPr>
          <w:p w14:paraId="7D9F1E9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29.366</w:t>
            </w:r>
          </w:p>
        </w:tc>
        <w:tc>
          <w:tcPr>
            <w:tcW w:w="507" w:type="pct"/>
            <w:noWrap/>
            <w:vAlign w:val="bottom"/>
            <w:hideMark/>
          </w:tcPr>
          <w:p w14:paraId="5C651F4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48.691</w:t>
            </w:r>
          </w:p>
        </w:tc>
        <w:tc>
          <w:tcPr>
            <w:tcW w:w="625" w:type="pct"/>
            <w:noWrap/>
            <w:vAlign w:val="bottom"/>
            <w:hideMark/>
          </w:tcPr>
          <w:p w14:paraId="2E6DEF6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78.057</w:t>
            </w:r>
          </w:p>
        </w:tc>
      </w:tr>
      <w:tr w:rsidR="003B5193" w:rsidRPr="00AE4E8D" w14:paraId="6168060E" w14:textId="77777777" w:rsidTr="00E90931">
        <w:trPr>
          <w:trHeight w:val="255"/>
          <w:jc w:val="center"/>
        </w:trPr>
        <w:tc>
          <w:tcPr>
            <w:tcW w:w="1377" w:type="pct"/>
            <w:noWrap/>
            <w:vAlign w:val="bottom"/>
            <w:hideMark/>
          </w:tcPr>
          <w:p w14:paraId="7FB881D7"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645A0D4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tcBorders>
              <w:top w:val="nil"/>
              <w:left w:val="nil"/>
              <w:bottom w:val="single" w:sz="4" w:space="0" w:color="000000"/>
              <w:right w:val="nil"/>
            </w:tcBorders>
            <w:shd w:val="clear" w:color="auto" w:fill="FFFFFF"/>
            <w:noWrap/>
            <w:vAlign w:val="bottom"/>
            <w:hideMark/>
          </w:tcPr>
          <w:p w14:paraId="6DBCB73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hideMark/>
          </w:tcPr>
          <w:p w14:paraId="7BCD589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0FCCD89A"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409E3887" w14:textId="77777777" w:rsidR="00D218D0" w:rsidRPr="00AE4E8D" w:rsidRDefault="00D218D0" w:rsidP="00BD536D">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07" w:type="pct"/>
            <w:tcBorders>
              <w:top w:val="nil"/>
              <w:left w:val="nil"/>
              <w:bottom w:val="single" w:sz="4" w:space="0" w:color="000000"/>
              <w:right w:val="nil"/>
            </w:tcBorders>
            <w:noWrap/>
            <w:vAlign w:val="bottom"/>
            <w:hideMark/>
          </w:tcPr>
          <w:p w14:paraId="10EB6FCF" w14:textId="77777777" w:rsidR="00D218D0" w:rsidRPr="00AE4E8D" w:rsidRDefault="00D218D0" w:rsidP="00BD536D">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5" w:type="pct"/>
            <w:tcBorders>
              <w:top w:val="nil"/>
              <w:left w:val="nil"/>
              <w:bottom w:val="single" w:sz="4" w:space="0" w:color="000000"/>
              <w:right w:val="nil"/>
            </w:tcBorders>
            <w:noWrap/>
            <w:vAlign w:val="bottom"/>
            <w:hideMark/>
          </w:tcPr>
          <w:p w14:paraId="332D06B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D218D0" w:rsidRPr="00AE4E8D" w14:paraId="10D6D9B3" w14:textId="77777777" w:rsidTr="000400C8">
        <w:trPr>
          <w:trHeight w:val="255"/>
          <w:jc w:val="center"/>
        </w:trPr>
        <w:tc>
          <w:tcPr>
            <w:tcW w:w="1377" w:type="pct"/>
            <w:noWrap/>
            <w:vAlign w:val="bottom"/>
            <w:hideMark/>
          </w:tcPr>
          <w:p w14:paraId="6EBD23EB"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6917F098"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(14.244)</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5675EBBB"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(33.211)</w:t>
            </w:r>
            <w:r w:rsidR="00EB3492" w:rsidRPr="00AE4E8D">
              <w:rPr>
                <w:rFonts w:ascii="Times New Roman" w:hAnsi="Times New Roman"/>
                <w:color w:val="000000"/>
                <w:sz w:val="16"/>
                <w:szCs w:val="16"/>
                <w:lang w:val="es-ES"/>
              </w:rPr>
              <w:t xml:space="preserve">     </w:t>
            </w:r>
          </w:p>
        </w:tc>
        <w:tc>
          <w:tcPr>
            <w:tcW w:w="597" w:type="pct"/>
            <w:noWrap/>
            <w:vAlign w:val="bottom"/>
            <w:hideMark/>
          </w:tcPr>
          <w:p w14:paraId="04E15016"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(47.456)</w:t>
            </w:r>
            <w:r w:rsidR="00EB3492" w:rsidRPr="00AE4E8D">
              <w:rPr>
                <w:rFonts w:ascii="Times New Roman" w:hAnsi="Times New Roman"/>
                <w:color w:val="000000"/>
                <w:sz w:val="16"/>
                <w:szCs w:val="16"/>
                <w:lang w:val="es-ES"/>
              </w:rPr>
              <w:t xml:space="preserve">     </w:t>
            </w:r>
          </w:p>
        </w:tc>
        <w:tc>
          <w:tcPr>
            <w:tcW w:w="120" w:type="pct"/>
            <w:noWrap/>
            <w:vAlign w:val="bottom"/>
          </w:tcPr>
          <w:p w14:paraId="52CA05BA"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2B4A911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29.366</w:t>
            </w:r>
          </w:p>
        </w:tc>
        <w:tc>
          <w:tcPr>
            <w:tcW w:w="507" w:type="pct"/>
            <w:noWrap/>
            <w:vAlign w:val="bottom"/>
            <w:hideMark/>
          </w:tcPr>
          <w:p w14:paraId="66AC844E"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48.691</w:t>
            </w:r>
          </w:p>
        </w:tc>
        <w:tc>
          <w:tcPr>
            <w:tcW w:w="625" w:type="pct"/>
            <w:noWrap/>
            <w:vAlign w:val="bottom"/>
            <w:hideMark/>
          </w:tcPr>
          <w:p w14:paraId="035C8E97"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78.057</w:t>
            </w:r>
          </w:p>
        </w:tc>
      </w:tr>
      <w:tr w:rsidR="00D218D0" w:rsidRPr="00AE4E8D" w14:paraId="27FCE6A4" w14:textId="77777777" w:rsidTr="000400C8">
        <w:trPr>
          <w:trHeight w:val="255"/>
          <w:jc w:val="center"/>
        </w:trPr>
        <w:tc>
          <w:tcPr>
            <w:tcW w:w="1377" w:type="pct"/>
            <w:noWrap/>
            <w:vAlign w:val="bottom"/>
            <w:hideMark/>
          </w:tcPr>
          <w:p w14:paraId="1D6A6D43"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Préstamos Personales</w:t>
            </w:r>
          </w:p>
        </w:tc>
        <w:tc>
          <w:tcPr>
            <w:tcW w:w="628" w:type="pct"/>
            <w:shd w:val="clear" w:color="auto" w:fill="FFFFFF"/>
            <w:noWrap/>
            <w:vAlign w:val="bottom"/>
            <w:hideMark/>
          </w:tcPr>
          <w:p w14:paraId="16EE76E3"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5553AA3F"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05B70D2E"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5A814C77"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2D5F5842"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3DC9AC73"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7CE994C3" w14:textId="77777777" w:rsidR="00D218D0" w:rsidRPr="00AE4E8D" w:rsidRDefault="00D218D0" w:rsidP="00E90931">
            <w:pPr>
              <w:rPr>
                <w:rFonts w:ascii="Times New Roman" w:hAnsi="Times New Roman"/>
                <w:sz w:val="16"/>
                <w:szCs w:val="16"/>
                <w:lang w:val="es-ES"/>
              </w:rPr>
            </w:pPr>
          </w:p>
        </w:tc>
      </w:tr>
      <w:tr w:rsidR="00D218D0" w:rsidRPr="00AE4E8D" w14:paraId="0BFAE22D" w14:textId="77777777" w:rsidTr="000400C8">
        <w:trPr>
          <w:trHeight w:val="255"/>
          <w:jc w:val="center"/>
        </w:trPr>
        <w:tc>
          <w:tcPr>
            <w:tcW w:w="1377" w:type="pct"/>
            <w:noWrap/>
            <w:vAlign w:val="bottom"/>
            <w:hideMark/>
          </w:tcPr>
          <w:p w14:paraId="2C28E757"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383FAC34"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189.787</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7DBE182F"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(70.892)</w:t>
            </w:r>
            <w:r w:rsidR="00EB3492" w:rsidRPr="00AE4E8D">
              <w:rPr>
                <w:rFonts w:ascii="Times New Roman" w:hAnsi="Times New Roman"/>
                <w:color w:val="000000"/>
                <w:sz w:val="16"/>
                <w:szCs w:val="16"/>
                <w:lang w:val="es-ES"/>
              </w:rPr>
              <w:t xml:space="preserve">     </w:t>
            </w:r>
          </w:p>
        </w:tc>
        <w:tc>
          <w:tcPr>
            <w:tcW w:w="597" w:type="pct"/>
            <w:noWrap/>
            <w:vAlign w:val="bottom"/>
            <w:hideMark/>
          </w:tcPr>
          <w:p w14:paraId="00B2C65A"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118.895 </w:t>
            </w:r>
          </w:p>
        </w:tc>
        <w:tc>
          <w:tcPr>
            <w:tcW w:w="120" w:type="pct"/>
            <w:noWrap/>
            <w:vAlign w:val="bottom"/>
          </w:tcPr>
          <w:p w14:paraId="65702729"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1A9B402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244.295</w:t>
            </w:r>
          </w:p>
        </w:tc>
        <w:tc>
          <w:tcPr>
            <w:tcW w:w="507" w:type="pct"/>
            <w:noWrap/>
            <w:vAlign w:val="bottom"/>
            <w:hideMark/>
          </w:tcPr>
          <w:p w14:paraId="50F867C3"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68.743</w:t>
            </w:r>
          </w:p>
        </w:tc>
        <w:tc>
          <w:tcPr>
            <w:tcW w:w="625" w:type="pct"/>
            <w:noWrap/>
            <w:vAlign w:val="bottom"/>
            <w:hideMark/>
          </w:tcPr>
          <w:p w14:paraId="64B19701"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313.038</w:t>
            </w:r>
          </w:p>
        </w:tc>
      </w:tr>
      <w:tr w:rsidR="003B5193" w:rsidRPr="00AE4E8D" w14:paraId="66D78547" w14:textId="77777777" w:rsidTr="00E90931">
        <w:trPr>
          <w:trHeight w:val="255"/>
          <w:jc w:val="center"/>
        </w:trPr>
        <w:tc>
          <w:tcPr>
            <w:tcW w:w="1377" w:type="pct"/>
            <w:noWrap/>
            <w:vAlign w:val="bottom"/>
            <w:hideMark/>
          </w:tcPr>
          <w:p w14:paraId="32C37F89"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1100848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tcBorders>
              <w:top w:val="nil"/>
              <w:left w:val="nil"/>
              <w:bottom w:val="single" w:sz="4" w:space="0" w:color="000000"/>
              <w:right w:val="nil"/>
            </w:tcBorders>
            <w:shd w:val="clear" w:color="auto" w:fill="FFFFFF"/>
            <w:noWrap/>
            <w:vAlign w:val="bottom"/>
            <w:hideMark/>
          </w:tcPr>
          <w:p w14:paraId="5BE9467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hideMark/>
          </w:tcPr>
          <w:p w14:paraId="1F416D7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2C116272" w14:textId="77777777" w:rsidR="00D218D0" w:rsidRPr="00AE4E8D" w:rsidRDefault="00D218D0" w:rsidP="00E90931">
            <w:pPr>
              <w:rPr>
                <w:rFonts w:ascii="Times New Roman" w:hAnsi="Times New Roman"/>
                <w:sz w:val="16"/>
                <w:szCs w:val="16"/>
                <w:lang w:val="es-ES"/>
              </w:rPr>
            </w:pPr>
          </w:p>
        </w:tc>
        <w:tc>
          <w:tcPr>
            <w:tcW w:w="518" w:type="pct"/>
            <w:shd w:val="clear" w:color="auto" w:fill="FFFFFF"/>
            <w:noWrap/>
            <w:vAlign w:val="bottom"/>
            <w:hideMark/>
          </w:tcPr>
          <w:p w14:paraId="31FA7EB0" w14:textId="77777777" w:rsidR="00D218D0" w:rsidRPr="00AE4E8D" w:rsidRDefault="00D218D0" w:rsidP="00BD536D">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07" w:type="pct"/>
            <w:shd w:val="clear" w:color="auto" w:fill="FFFFFF"/>
            <w:noWrap/>
            <w:vAlign w:val="bottom"/>
            <w:hideMark/>
          </w:tcPr>
          <w:p w14:paraId="71DB0684" w14:textId="77777777" w:rsidR="00D218D0" w:rsidRPr="00AE4E8D" w:rsidRDefault="00D218D0" w:rsidP="00BD536D">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5" w:type="pct"/>
            <w:tcBorders>
              <w:top w:val="nil"/>
              <w:left w:val="nil"/>
              <w:bottom w:val="single" w:sz="4" w:space="0" w:color="000000"/>
              <w:right w:val="nil"/>
            </w:tcBorders>
            <w:noWrap/>
            <w:vAlign w:val="bottom"/>
            <w:hideMark/>
          </w:tcPr>
          <w:p w14:paraId="7A95FB52"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3B5193" w:rsidRPr="00AE4E8D" w14:paraId="5F36ECF9" w14:textId="77777777" w:rsidTr="00E90931">
        <w:trPr>
          <w:trHeight w:val="255"/>
          <w:jc w:val="center"/>
        </w:trPr>
        <w:tc>
          <w:tcPr>
            <w:tcW w:w="1377" w:type="pct"/>
            <w:noWrap/>
            <w:vAlign w:val="bottom"/>
            <w:hideMark/>
          </w:tcPr>
          <w:p w14:paraId="7520E4CF"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09F6C83F"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189.787</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5B6CD3DB"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(70.892)</w:t>
            </w:r>
            <w:r w:rsidR="00EB3492" w:rsidRPr="00AE4E8D">
              <w:rPr>
                <w:rFonts w:ascii="Times New Roman" w:hAnsi="Times New Roman"/>
                <w:color w:val="000000"/>
                <w:sz w:val="16"/>
                <w:szCs w:val="16"/>
                <w:lang w:val="es-ES"/>
              </w:rPr>
              <w:t xml:space="preserve">     </w:t>
            </w:r>
          </w:p>
        </w:tc>
        <w:tc>
          <w:tcPr>
            <w:tcW w:w="597" w:type="pct"/>
            <w:noWrap/>
            <w:vAlign w:val="bottom"/>
            <w:hideMark/>
          </w:tcPr>
          <w:p w14:paraId="79085085"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118.895 </w:t>
            </w:r>
          </w:p>
        </w:tc>
        <w:tc>
          <w:tcPr>
            <w:tcW w:w="120" w:type="pct"/>
            <w:noWrap/>
            <w:vAlign w:val="bottom"/>
          </w:tcPr>
          <w:p w14:paraId="4F0607F6" w14:textId="77777777" w:rsidR="00D218D0" w:rsidRPr="00AE4E8D" w:rsidRDefault="00D218D0" w:rsidP="00E90931">
            <w:pPr>
              <w:rPr>
                <w:rFonts w:ascii="Times New Roman" w:hAnsi="Times New Roman"/>
                <w:sz w:val="16"/>
                <w:szCs w:val="16"/>
                <w:lang w:val="es-ES"/>
              </w:rPr>
            </w:pPr>
          </w:p>
        </w:tc>
        <w:tc>
          <w:tcPr>
            <w:tcW w:w="518" w:type="pct"/>
            <w:tcBorders>
              <w:top w:val="single" w:sz="4" w:space="0" w:color="auto"/>
              <w:left w:val="nil"/>
              <w:bottom w:val="nil"/>
              <w:right w:val="nil"/>
            </w:tcBorders>
            <w:noWrap/>
            <w:vAlign w:val="bottom"/>
            <w:hideMark/>
          </w:tcPr>
          <w:p w14:paraId="356C35C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244.295</w:t>
            </w:r>
          </w:p>
        </w:tc>
        <w:tc>
          <w:tcPr>
            <w:tcW w:w="507" w:type="pct"/>
            <w:tcBorders>
              <w:top w:val="single" w:sz="4" w:space="0" w:color="auto"/>
              <w:left w:val="nil"/>
              <w:bottom w:val="nil"/>
              <w:right w:val="nil"/>
            </w:tcBorders>
            <w:noWrap/>
            <w:vAlign w:val="bottom"/>
            <w:hideMark/>
          </w:tcPr>
          <w:p w14:paraId="13579266"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68.743</w:t>
            </w:r>
          </w:p>
        </w:tc>
        <w:tc>
          <w:tcPr>
            <w:tcW w:w="625" w:type="pct"/>
            <w:noWrap/>
            <w:vAlign w:val="bottom"/>
            <w:hideMark/>
          </w:tcPr>
          <w:p w14:paraId="2197FFA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313.038</w:t>
            </w:r>
          </w:p>
        </w:tc>
      </w:tr>
      <w:tr w:rsidR="00D218D0" w:rsidRPr="00AE4E8D" w14:paraId="77EF8C59" w14:textId="77777777" w:rsidTr="000400C8">
        <w:trPr>
          <w:trHeight w:val="255"/>
          <w:jc w:val="center"/>
        </w:trPr>
        <w:tc>
          <w:tcPr>
            <w:tcW w:w="1377" w:type="pct"/>
            <w:noWrap/>
            <w:vAlign w:val="bottom"/>
            <w:hideMark/>
          </w:tcPr>
          <w:p w14:paraId="592E07B6"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Tarjetas de Crédito</w:t>
            </w:r>
          </w:p>
        </w:tc>
        <w:tc>
          <w:tcPr>
            <w:tcW w:w="628" w:type="pct"/>
            <w:shd w:val="clear" w:color="auto" w:fill="FFFFFF"/>
            <w:noWrap/>
            <w:vAlign w:val="bottom"/>
            <w:hideMark/>
          </w:tcPr>
          <w:p w14:paraId="55EAC99A"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2B44F5C8"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0F95D586"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022D1D52"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17CA89A4"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500F0A8F"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6C14E058" w14:textId="77777777" w:rsidR="00D218D0" w:rsidRPr="00AE4E8D" w:rsidRDefault="00D218D0" w:rsidP="00E90931">
            <w:pPr>
              <w:rPr>
                <w:rFonts w:ascii="Times New Roman" w:hAnsi="Times New Roman"/>
                <w:sz w:val="16"/>
                <w:szCs w:val="16"/>
                <w:lang w:val="es-ES"/>
              </w:rPr>
            </w:pPr>
          </w:p>
        </w:tc>
      </w:tr>
      <w:tr w:rsidR="00D218D0" w:rsidRPr="00AE4E8D" w14:paraId="40E18A94" w14:textId="77777777" w:rsidTr="000400C8">
        <w:trPr>
          <w:trHeight w:val="255"/>
          <w:jc w:val="center"/>
        </w:trPr>
        <w:tc>
          <w:tcPr>
            <w:tcW w:w="1377" w:type="pct"/>
            <w:noWrap/>
            <w:vAlign w:val="bottom"/>
            <w:hideMark/>
          </w:tcPr>
          <w:p w14:paraId="3BE82041"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532A2312"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133.911 </w:t>
            </w:r>
          </w:p>
        </w:tc>
        <w:tc>
          <w:tcPr>
            <w:tcW w:w="628" w:type="pct"/>
            <w:shd w:val="clear" w:color="auto" w:fill="FFFFFF"/>
            <w:noWrap/>
            <w:vAlign w:val="bottom"/>
            <w:hideMark/>
          </w:tcPr>
          <w:p w14:paraId="129051FE"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388.401</w:t>
            </w:r>
            <w:r w:rsidR="00EB3492" w:rsidRPr="00AE4E8D">
              <w:rPr>
                <w:rFonts w:ascii="Times New Roman" w:hAnsi="Times New Roman"/>
                <w:color w:val="000000"/>
                <w:sz w:val="16"/>
                <w:szCs w:val="16"/>
                <w:lang w:val="es-ES"/>
              </w:rPr>
              <w:t xml:space="preserve">     </w:t>
            </w:r>
          </w:p>
        </w:tc>
        <w:tc>
          <w:tcPr>
            <w:tcW w:w="597" w:type="pct"/>
            <w:noWrap/>
            <w:vAlign w:val="bottom"/>
            <w:hideMark/>
          </w:tcPr>
          <w:p w14:paraId="45A638B1"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522.313 </w:t>
            </w:r>
          </w:p>
        </w:tc>
        <w:tc>
          <w:tcPr>
            <w:tcW w:w="120" w:type="pct"/>
            <w:noWrap/>
            <w:vAlign w:val="bottom"/>
          </w:tcPr>
          <w:p w14:paraId="14D9B9B7"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7FB66C0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424.680</w:t>
            </w:r>
          </w:p>
        </w:tc>
        <w:tc>
          <w:tcPr>
            <w:tcW w:w="507" w:type="pct"/>
            <w:noWrap/>
            <w:vAlign w:val="bottom"/>
            <w:hideMark/>
          </w:tcPr>
          <w:p w14:paraId="145B64D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195.738</w:t>
            </w:r>
          </w:p>
        </w:tc>
        <w:tc>
          <w:tcPr>
            <w:tcW w:w="625" w:type="pct"/>
            <w:noWrap/>
            <w:vAlign w:val="bottom"/>
            <w:hideMark/>
          </w:tcPr>
          <w:p w14:paraId="113888B7"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620.418</w:t>
            </w:r>
          </w:p>
        </w:tc>
      </w:tr>
      <w:tr w:rsidR="003B5193" w:rsidRPr="00AE4E8D" w14:paraId="084E03D2" w14:textId="77777777" w:rsidTr="00E90931">
        <w:trPr>
          <w:trHeight w:val="255"/>
          <w:jc w:val="center"/>
        </w:trPr>
        <w:tc>
          <w:tcPr>
            <w:tcW w:w="1377" w:type="pct"/>
            <w:noWrap/>
            <w:vAlign w:val="bottom"/>
            <w:hideMark/>
          </w:tcPr>
          <w:p w14:paraId="278E2F27"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14B3A76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tcBorders>
              <w:top w:val="nil"/>
              <w:left w:val="nil"/>
              <w:bottom w:val="single" w:sz="4" w:space="0" w:color="000000"/>
              <w:right w:val="nil"/>
            </w:tcBorders>
            <w:shd w:val="clear" w:color="auto" w:fill="FFFFFF"/>
            <w:noWrap/>
            <w:vAlign w:val="bottom"/>
            <w:hideMark/>
          </w:tcPr>
          <w:p w14:paraId="4B2A427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hideMark/>
          </w:tcPr>
          <w:p w14:paraId="2F4552A2"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117FE48D"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726FA493" w14:textId="77777777" w:rsidR="00D218D0" w:rsidRPr="00AE4E8D" w:rsidRDefault="00D218D0" w:rsidP="00BD536D">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07" w:type="pct"/>
            <w:tcBorders>
              <w:top w:val="nil"/>
              <w:left w:val="nil"/>
              <w:bottom w:val="single" w:sz="4" w:space="0" w:color="000000"/>
              <w:right w:val="nil"/>
            </w:tcBorders>
            <w:noWrap/>
            <w:vAlign w:val="bottom"/>
            <w:hideMark/>
          </w:tcPr>
          <w:p w14:paraId="400993D0" w14:textId="77777777" w:rsidR="00D218D0" w:rsidRPr="00AE4E8D" w:rsidRDefault="00D218D0" w:rsidP="00BD536D">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5" w:type="pct"/>
            <w:tcBorders>
              <w:top w:val="nil"/>
              <w:left w:val="nil"/>
              <w:bottom w:val="single" w:sz="4" w:space="0" w:color="000000"/>
              <w:right w:val="nil"/>
            </w:tcBorders>
            <w:noWrap/>
            <w:vAlign w:val="bottom"/>
            <w:hideMark/>
          </w:tcPr>
          <w:p w14:paraId="4A786881"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D218D0" w:rsidRPr="00AE4E8D" w14:paraId="4BE92080" w14:textId="77777777" w:rsidTr="000400C8">
        <w:trPr>
          <w:trHeight w:val="255"/>
          <w:jc w:val="center"/>
        </w:trPr>
        <w:tc>
          <w:tcPr>
            <w:tcW w:w="1377" w:type="pct"/>
            <w:noWrap/>
            <w:vAlign w:val="bottom"/>
            <w:hideMark/>
          </w:tcPr>
          <w:p w14:paraId="33F5326E"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609C8711"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133.911 </w:t>
            </w:r>
          </w:p>
        </w:tc>
        <w:tc>
          <w:tcPr>
            <w:tcW w:w="628" w:type="pct"/>
            <w:shd w:val="clear" w:color="auto" w:fill="FFFFFF"/>
            <w:noWrap/>
            <w:vAlign w:val="bottom"/>
            <w:hideMark/>
          </w:tcPr>
          <w:p w14:paraId="6FF68099"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388.401</w:t>
            </w:r>
            <w:r w:rsidR="00EB3492" w:rsidRPr="00AE4E8D">
              <w:rPr>
                <w:rFonts w:ascii="Times New Roman" w:hAnsi="Times New Roman"/>
                <w:color w:val="000000"/>
                <w:sz w:val="16"/>
                <w:szCs w:val="16"/>
                <w:lang w:val="es-ES"/>
              </w:rPr>
              <w:t xml:space="preserve">     </w:t>
            </w:r>
          </w:p>
        </w:tc>
        <w:tc>
          <w:tcPr>
            <w:tcW w:w="597" w:type="pct"/>
            <w:noWrap/>
            <w:vAlign w:val="bottom"/>
            <w:hideMark/>
          </w:tcPr>
          <w:p w14:paraId="5EB05D39"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522.313 </w:t>
            </w:r>
          </w:p>
        </w:tc>
        <w:tc>
          <w:tcPr>
            <w:tcW w:w="120" w:type="pct"/>
            <w:noWrap/>
            <w:vAlign w:val="bottom"/>
          </w:tcPr>
          <w:p w14:paraId="2EF5466C"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129B7A9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424.680</w:t>
            </w:r>
          </w:p>
        </w:tc>
        <w:tc>
          <w:tcPr>
            <w:tcW w:w="507" w:type="pct"/>
            <w:noWrap/>
            <w:vAlign w:val="bottom"/>
            <w:hideMark/>
          </w:tcPr>
          <w:p w14:paraId="71BAFF7E"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195.738</w:t>
            </w:r>
          </w:p>
        </w:tc>
        <w:tc>
          <w:tcPr>
            <w:tcW w:w="625" w:type="pct"/>
            <w:noWrap/>
            <w:vAlign w:val="bottom"/>
            <w:hideMark/>
          </w:tcPr>
          <w:p w14:paraId="2DE882A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620.418</w:t>
            </w:r>
          </w:p>
        </w:tc>
      </w:tr>
      <w:tr w:rsidR="00D218D0" w:rsidRPr="00AE4E8D" w14:paraId="40B9C613" w14:textId="77777777" w:rsidTr="000400C8">
        <w:trPr>
          <w:trHeight w:val="255"/>
          <w:jc w:val="center"/>
        </w:trPr>
        <w:tc>
          <w:tcPr>
            <w:tcW w:w="1377" w:type="pct"/>
            <w:noWrap/>
            <w:vAlign w:val="bottom"/>
            <w:hideMark/>
          </w:tcPr>
          <w:p w14:paraId="4990B48D"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Adelantos</w:t>
            </w:r>
          </w:p>
        </w:tc>
        <w:tc>
          <w:tcPr>
            <w:tcW w:w="628" w:type="pct"/>
            <w:shd w:val="clear" w:color="auto" w:fill="FFFFFF"/>
            <w:noWrap/>
            <w:vAlign w:val="bottom"/>
            <w:hideMark/>
          </w:tcPr>
          <w:p w14:paraId="4F6B6E32"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676F605C"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36D08E5A"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79F1DFDE"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4F264B4C"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0B2381FF"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6C3ECFE0" w14:textId="77777777" w:rsidR="00D218D0" w:rsidRPr="00AE4E8D" w:rsidRDefault="00D218D0" w:rsidP="00E90931">
            <w:pPr>
              <w:rPr>
                <w:rFonts w:ascii="Times New Roman" w:hAnsi="Times New Roman"/>
                <w:sz w:val="16"/>
                <w:szCs w:val="16"/>
                <w:lang w:val="es-ES"/>
              </w:rPr>
            </w:pPr>
          </w:p>
        </w:tc>
      </w:tr>
      <w:tr w:rsidR="00D218D0" w:rsidRPr="00AE4E8D" w14:paraId="18D65328" w14:textId="77777777" w:rsidTr="000400C8">
        <w:trPr>
          <w:trHeight w:val="255"/>
          <w:jc w:val="center"/>
        </w:trPr>
        <w:tc>
          <w:tcPr>
            <w:tcW w:w="1377" w:type="pct"/>
            <w:noWrap/>
            <w:vAlign w:val="bottom"/>
            <w:hideMark/>
          </w:tcPr>
          <w:p w14:paraId="31F0B0ED"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lastRenderedPageBreak/>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79C04EC2"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(21.599)</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619A606F"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43.213</w:t>
            </w:r>
            <w:r w:rsidR="00EB3492" w:rsidRPr="00AE4E8D">
              <w:rPr>
                <w:rFonts w:ascii="Times New Roman" w:hAnsi="Times New Roman"/>
                <w:color w:val="000000"/>
                <w:sz w:val="16"/>
                <w:szCs w:val="16"/>
                <w:lang w:val="es-ES"/>
              </w:rPr>
              <w:t xml:space="preserve">      </w:t>
            </w:r>
          </w:p>
        </w:tc>
        <w:tc>
          <w:tcPr>
            <w:tcW w:w="597" w:type="pct"/>
            <w:noWrap/>
            <w:vAlign w:val="bottom"/>
            <w:hideMark/>
          </w:tcPr>
          <w:p w14:paraId="7A727B2E"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21.614 </w:t>
            </w:r>
          </w:p>
        </w:tc>
        <w:tc>
          <w:tcPr>
            <w:tcW w:w="120" w:type="pct"/>
            <w:noWrap/>
            <w:vAlign w:val="bottom"/>
          </w:tcPr>
          <w:p w14:paraId="14EC9364"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52DF2A96"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(74)</w:t>
            </w:r>
          </w:p>
        </w:tc>
        <w:tc>
          <w:tcPr>
            <w:tcW w:w="507" w:type="pct"/>
            <w:noWrap/>
            <w:vAlign w:val="bottom"/>
            <w:hideMark/>
          </w:tcPr>
          <w:p w14:paraId="56718C5D"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94.508</w:t>
            </w:r>
          </w:p>
        </w:tc>
        <w:tc>
          <w:tcPr>
            <w:tcW w:w="625" w:type="pct"/>
            <w:noWrap/>
            <w:vAlign w:val="bottom"/>
            <w:hideMark/>
          </w:tcPr>
          <w:p w14:paraId="5D22BDC0"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94.434</w:t>
            </w:r>
          </w:p>
        </w:tc>
      </w:tr>
      <w:tr w:rsidR="003B5193" w:rsidRPr="00AE4E8D" w14:paraId="7C113C7C" w14:textId="77777777" w:rsidTr="00E90931">
        <w:trPr>
          <w:trHeight w:val="255"/>
          <w:jc w:val="center"/>
        </w:trPr>
        <w:tc>
          <w:tcPr>
            <w:tcW w:w="1377" w:type="pct"/>
            <w:noWrap/>
            <w:vAlign w:val="bottom"/>
            <w:hideMark/>
          </w:tcPr>
          <w:p w14:paraId="7140E84A"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621C590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tcBorders>
              <w:top w:val="nil"/>
              <w:left w:val="nil"/>
              <w:bottom w:val="single" w:sz="4" w:space="0" w:color="000000"/>
              <w:right w:val="nil"/>
            </w:tcBorders>
            <w:shd w:val="clear" w:color="auto" w:fill="FFFFFF"/>
            <w:noWrap/>
            <w:vAlign w:val="bottom"/>
            <w:hideMark/>
          </w:tcPr>
          <w:p w14:paraId="748FCB4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hideMark/>
          </w:tcPr>
          <w:p w14:paraId="4B76B1BF"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238DBA8A"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0F3A04EC"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07" w:type="pct"/>
            <w:tcBorders>
              <w:top w:val="nil"/>
              <w:left w:val="nil"/>
              <w:bottom w:val="single" w:sz="4" w:space="0" w:color="000000"/>
              <w:right w:val="nil"/>
            </w:tcBorders>
            <w:noWrap/>
            <w:vAlign w:val="bottom"/>
            <w:hideMark/>
          </w:tcPr>
          <w:p w14:paraId="3FDB7B78"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5" w:type="pct"/>
            <w:tcBorders>
              <w:top w:val="nil"/>
              <w:left w:val="nil"/>
              <w:bottom w:val="single" w:sz="4" w:space="0" w:color="000000"/>
              <w:right w:val="nil"/>
            </w:tcBorders>
            <w:noWrap/>
            <w:vAlign w:val="bottom"/>
            <w:hideMark/>
          </w:tcPr>
          <w:p w14:paraId="621C8B1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D218D0" w:rsidRPr="00AE4E8D" w14:paraId="4C32AEA6" w14:textId="77777777" w:rsidTr="000400C8">
        <w:trPr>
          <w:trHeight w:val="255"/>
          <w:jc w:val="center"/>
        </w:trPr>
        <w:tc>
          <w:tcPr>
            <w:tcW w:w="1377" w:type="pct"/>
            <w:noWrap/>
            <w:vAlign w:val="bottom"/>
            <w:hideMark/>
          </w:tcPr>
          <w:p w14:paraId="3C4A4B4C"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09376BF8"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(21.599)</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2E35B5E7"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43.213</w:t>
            </w:r>
            <w:r w:rsidR="00EB3492" w:rsidRPr="00AE4E8D">
              <w:rPr>
                <w:rFonts w:ascii="Times New Roman" w:hAnsi="Times New Roman"/>
                <w:color w:val="000000"/>
                <w:sz w:val="16"/>
                <w:szCs w:val="16"/>
                <w:lang w:val="es-ES"/>
              </w:rPr>
              <w:t xml:space="preserve">      </w:t>
            </w:r>
          </w:p>
        </w:tc>
        <w:tc>
          <w:tcPr>
            <w:tcW w:w="597" w:type="pct"/>
            <w:noWrap/>
            <w:vAlign w:val="bottom"/>
            <w:hideMark/>
          </w:tcPr>
          <w:p w14:paraId="5D902A38"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21.614 </w:t>
            </w:r>
          </w:p>
        </w:tc>
        <w:tc>
          <w:tcPr>
            <w:tcW w:w="120" w:type="pct"/>
            <w:noWrap/>
            <w:vAlign w:val="bottom"/>
          </w:tcPr>
          <w:p w14:paraId="7EB0953C"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575A186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(74)</w:t>
            </w:r>
          </w:p>
        </w:tc>
        <w:tc>
          <w:tcPr>
            <w:tcW w:w="507" w:type="pct"/>
            <w:noWrap/>
            <w:vAlign w:val="bottom"/>
            <w:hideMark/>
          </w:tcPr>
          <w:p w14:paraId="36672021"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94.508</w:t>
            </w:r>
          </w:p>
        </w:tc>
        <w:tc>
          <w:tcPr>
            <w:tcW w:w="625" w:type="pct"/>
            <w:noWrap/>
            <w:vAlign w:val="bottom"/>
            <w:hideMark/>
          </w:tcPr>
          <w:p w14:paraId="2D485D5E"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94.434</w:t>
            </w:r>
          </w:p>
        </w:tc>
      </w:tr>
      <w:tr w:rsidR="00D218D0" w:rsidRPr="00AE4E8D" w14:paraId="2DACC142" w14:textId="77777777" w:rsidTr="000400C8">
        <w:trPr>
          <w:trHeight w:val="255"/>
          <w:jc w:val="center"/>
        </w:trPr>
        <w:tc>
          <w:tcPr>
            <w:tcW w:w="1377" w:type="pct"/>
            <w:noWrap/>
            <w:vAlign w:val="bottom"/>
            <w:hideMark/>
          </w:tcPr>
          <w:p w14:paraId="4F62E56E"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Otros Préstamos</w:t>
            </w:r>
          </w:p>
        </w:tc>
        <w:tc>
          <w:tcPr>
            <w:tcW w:w="628" w:type="pct"/>
            <w:shd w:val="clear" w:color="auto" w:fill="FFFFFF"/>
            <w:noWrap/>
            <w:vAlign w:val="bottom"/>
            <w:hideMark/>
          </w:tcPr>
          <w:p w14:paraId="20087F9C"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01144490"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01970755"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1A00F224"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31561F23"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4FF55AEB"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12ADB95C" w14:textId="77777777" w:rsidR="00D218D0" w:rsidRPr="00AE4E8D" w:rsidRDefault="00D218D0" w:rsidP="00E90931">
            <w:pPr>
              <w:rPr>
                <w:rFonts w:ascii="Times New Roman" w:hAnsi="Times New Roman"/>
                <w:sz w:val="16"/>
                <w:szCs w:val="16"/>
                <w:lang w:val="es-ES"/>
              </w:rPr>
            </w:pPr>
          </w:p>
        </w:tc>
      </w:tr>
      <w:tr w:rsidR="00D218D0" w:rsidRPr="00AE4E8D" w14:paraId="06C2CFA5" w14:textId="77777777" w:rsidTr="000400C8">
        <w:trPr>
          <w:trHeight w:val="255"/>
          <w:jc w:val="center"/>
        </w:trPr>
        <w:tc>
          <w:tcPr>
            <w:tcW w:w="1377" w:type="pct"/>
            <w:noWrap/>
            <w:vAlign w:val="bottom"/>
            <w:hideMark/>
          </w:tcPr>
          <w:p w14:paraId="577EDBB7"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38BFD40C"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(270.954)</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32369EA9"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60.103</w:t>
            </w:r>
            <w:r w:rsidR="00EB3492" w:rsidRPr="00AE4E8D">
              <w:rPr>
                <w:rFonts w:ascii="Times New Roman" w:hAnsi="Times New Roman"/>
                <w:color w:val="000000"/>
                <w:sz w:val="16"/>
                <w:szCs w:val="16"/>
                <w:lang w:val="es-ES"/>
              </w:rPr>
              <w:t xml:space="preserve">      </w:t>
            </w:r>
          </w:p>
        </w:tc>
        <w:tc>
          <w:tcPr>
            <w:tcW w:w="597" w:type="pct"/>
            <w:noWrap/>
            <w:vAlign w:val="bottom"/>
            <w:hideMark/>
          </w:tcPr>
          <w:p w14:paraId="74718C1D"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(210.852)</w:t>
            </w:r>
            <w:r w:rsidR="00EB3492" w:rsidRPr="00AE4E8D">
              <w:rPr>
                <w:rFonts w:ascii="Times New Roman" w:hAnsi="Times New Roman"/>
                <w:color w:val="000000"/>
                <w:sz w:val="16"/>
                <w:szCs w:val="16"/>
                <w:lang w:val="es-ES"/>
              </w:rPr>
              <w:t xml:space="preserve">    </w:t>
            </w:r>
          </w:p>
        </w:tc>
        <w:tc>
          <w:tcPr>
            <w:tcW w:w="120" w:type="pct"/>
            <w:noWrap/>
            <w:vAlign w:val="bottom"/>
          </w:tcPr>
          <w:p w14:paraId="431922C1"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36572772"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318.851</w:t>
            </w:r>
          </w:p>
        </w:tc>
        <w:tc>
          <w:tcPr>
            <w:tcW w:w="507" w:type="pct"/>
            <w:noWrap/>
            <w:vAlign w:val="bottom"/>
            <w:hideMark/>
          </w:tcPr>
          <w:p w14:paraId="48911861"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113.576</w:t>
            </w:r>
          </w:p>
        </w:tc>
        <w:tc>
          <w:tcPr>
            <w:tcW w:w="625" w:type="pct"/>
            <w:noWrap/>
            <w:vAlign w:val="bottom"/>
            <w:hideMark/>
          </w:tcPr>
          <w:p w14:paraId="01612486"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432.427</w:t>
            </w:r>
          </w:p>
        </w:tc>
      </w:tr>
      <w:tr w:rsidR="003B5193" w:rsidRPr="00AE4E8D" w14:paraId="44C1C096" w14:textId="77777777" w:rsidTr="00E90931">
        <w:trPr>
          <w:trHeight w:val="255"/>
          <w:jc w:val="center"/>
        </w:trPr>
        <w:tc>
          <w:tcPr>
            <w:tcW w:w="1377" w:type="pct"/>
            <w:noWrap/>
            <w:vAlign w:val="bottom"/>
            <w:hideMark/>
          </w:tcPr>
          <w:p w14:paraId="7AA4B1CC"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1B45E80B"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41.137 </w:t>
            </w:r>
          </w:p>
        </w:tc>
        <w:tc>
          <w:tcPr>
            <w:tcW w:w="628" w:type="pct"/>
            <w:tcBorders>
              <w:top w:val="nil"/>
              <w:left w:val="nil"/>
              <w:bottom w:val="single" w:sz="4" w:space="0" w:color="000000"/>
              <w:right w:val="nil"/>
            </w:tcBorders>
            <w:shd w:val="clear" w:color="auto" w:fill="FFFFFF"/>
            <w:noWrap/>
            <w:vAlign w:val="bottom"/>
            <w:hideMark/>
          </w:tcPr>
          <w:p w14:paraId="63E3B2B4"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6.438</w:t>
            </w:r>
          </w:p>
        </w:tc>
        <w:tc>
          <w:tcPr>
            <w:tcW w:w="597" w:type="pct"/>
            <w:tcBorders>
              <w:top w:val="nil"/>
              <w:left w:val="nil"/>
              <w:bottom w:val="single" w:sz="4" w:space="0" w:color="auto"/>
              <w:right w:val="nil"/>
            </w:tcBorders>
            <w:noWrap/>
            <w:vAlign w:val="bottom"/>
            <w:hideMark/>
          </w:tcPr>
          <w:p w14:paraId="314B92E3"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47.576</w:t>
            </w:r>
          </w:p>
        </w:tc>
        <w:tc>
          <w:tcPr>
            <w:tcW w:w="120" w:type="pct"/>
            <w:noWrap/>
            <w:vAlign w:val="bottom"/>
          </w:tcPr>
          <w:p w14:paraId="3B4ECCBB"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5910F99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8.187</w:t>
            </w:r>
          </w:p>
        </w:tc>
        <w:tc>
          <w:tcPr>
            <w:tcW w:w="507" w:type="pct"/>
            <w:tcBorders>
              <w:top w:val="nil"/>
              <w:left w:val="nil"/>
              <w:bottom w:val="single" w:sz="4" w:space="0" w:color="000000"/>
              <w:right w:val="nil"/>
            </w:tcBorders>
            <w:noWrap/>
            <w:vAlign w:val="bottom"/>
            <w:hideMark/>
          </w:tcPr>
          <w:p w14:paraId="7B44505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(7.473)</w:t>
            </w:r>
          </w:p>
        </w:tc>
        <w:tc>
          <w:tcPr>
            <w:tcW w:w="625" w:type="pct"/>
            <w:tcBorders>
              <w:top w:val="nil"/>
              <w:left w:val="nil"/>
              <w:bottom w:val="single" w:sz="4" w:space="0" w:color="000000"/>
              <w:right w:val="nil"/>
            </w:tcBorders>
            <w:noWrap/>
            <w:vAlign w:val="bottom"/>
            <w:hideMark/>
          </w:tcPr>
          <w:p w14:paraId="06CB6A82"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714</w:t>
            </w:r>
          </w:p>
        </w:tc>
      </w:tr>
      <w:tr w:rsidR="003B5193" w:rsidRPr="00AE4E8D" w14:paraId="2CFC3180" w14:textId="77777777" w:rsidTr="00E90931">
        <w:trPr>
          <w:trHeight w:val="255"/>
          <w:jc w:val="center"/>
        </w:trPr>
        <w:tc>
          <w:tcPr>
            <w:tcW w:w="1377" w:type="pct"/>
            <w:noWrap/>
            <w:vAlign w:val="bottom"/>
            <w:hideMark/>
          </w:tcPr>
          <w:p w14:paraId="58061FA5"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7DF8DF05"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(229.817)</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4F90BA1A"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66.541</w:t>
            </w:r>
            <w:r w:rsidR="00EB3492" w:rsidRPr="00AE4E8D">
              <w:rPr>
                <w:rFonts w:ascii="Times New Roman" w:hAnsi="Times New Roman"/>
                <w:color w:val="000000"/>
                <w:sz w:val="16"/>
                <w:szCs w:val="16"/>
                <w:lang w:val="es-ES"/>
              </w:rPr>
              <w:t xml:space="preserve">      </w:t>
            </w:r>
          </w:p>
        </w:tc>
        <w:tc>
          <w:tcPr>
            <w:tcW w:w="597" w:type="pct"/>
            <w:tcBorders>
              <w:top w:val="single" w:sz="4" w:space="0" w:color="auto"/>
              <w:left w:val="nil"/>
              <w:bottom w:val="nil"/>
              <w:right w:val="nil"/>
            </w:tcBorders>
            <w:noWrap/>
            <w:vAlign w:val="bottom"/>
            <w:hideMark/>
          </w:tcPr>
          <w:p w14:paraId="7E4057E0"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(163.276)</w:t>
            </w:r>
            <w:r w:rsidR="00EB3492" w:rsidRPr="00AE4E8D">
              <w:rPr>
                <w:rFonts w:ascii="Times New Roman" w:hAnsi="Times New Roman"/>
                <w:color w:val="000000"/>
                <w:sz w:val="16"/>
                <w:szCs w:val="16"/>
                <w:lang w:val="es-ES"/>
              </w:rPr>
              <w:t xml:space="preserve">    </w:t>
            </w:r>
          </w:p>
        </w:tc>
        <w:tc>
          <w:tcPr>
            <w:tcW w:w="120" w:type="pct"/>
            <w:noWrap/>
            <w:vAlign w:val="bottom"/>
          </w:tcPr>
          <w:p w14:paraId="057823D1"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6D02AAB7"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327.038</w:t>
            </w:r>
          </w:p>
        </w:tc>
        <w:tc>
          <w:tcPr>
            <w:tcW w:w="507" w:type="pct"/>
            <w:noWrap/>
            <w:vAlign w:val="bottom"/>
            <w:hideMark/>
          </w:tcPr>
          <w:p w14:paraId="1A5C2B9D"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106.103</w:t>
            </w:r>
          </w:p>
        </w:tc>
        <w:tc>
          <w:tcPr>
            <w:tcW w:w="625" w:type="pct"/>
            <w:noWrap/>
            <w:vAlign w:val="bottom"/>
            <w:hideMark/>
          </w:tcPr>
          <w:p w14:paraId="5D01E6B2"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433.141</w:t>
            </w:r>
          </w:p>
        </w:tc>
      </w:tr>
      <w:tr w:rsidR="00D218D0" w:rsidRPr="00AE4E8D" w14:paraId="01F20BA7" w14:textId="77777777" w:rsidTr="000400C8">
        <w:trPr>
          <w:trHeight w:val="255"/>
          <w:jc w:val="center"/>
        </w:trPr>
        <w:tc>
          <w:tcPr>
            <w:tcW w:w="1377" w:type="pct"/>
            <w:noWrap/>
            <w:vAlign w:val="bottom"/>
            <w:hideMark/>
          </w:tcPr>
          <w:p w14:paraId="6203D87C"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Al Sector Público no Financiero</w:t>
            </w:r>
          </w:p>
        </w:tc>
        <w:tc>
          <w:tcPr>
            <w:tcW w:w="628" w:type="pct"/>
            <w:shd w:val="clear" w:color="auto" w:fill="FFFFFF"/>
            <w:noWrap/>
            <w:vAlign w:val="bottom"/>
            <w:hideMark/>
          </w:tcPr>
          <w:p w14:paraId="4894F6D8"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15CEA898"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342686D1"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450ED139"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647D549E"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3724143B"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7E28E54F" w14:textId="77777777" w:rsidR="00D218D0" w:rsidRPr="00AE4E8D" w:rsidRDefault="00D218D0" w:rsidP="00E90931">
            <w:pPr>
              <w:rPr>
                <w:rFonts w:ascii="Times New Roman" w:hAnsi="Times New Roman"/>
                <w:sz w:val="16"/>
                <w:szCs w:val="16"/>
                <w:lang w:val="es-ES"/>
              </w:rPr>
            </w:pPr>
          </w:p>
        </w:tc>
      </w:tr>
      <w:tr w:rsidR="00D218D0" w:rsidRPr="00AE4E8D" w14:paraId="0B951FB5" w14:textId="77777777" w:rsidTr="000400C8">
        <w:trPr>
          <w:trHeight w:val="255"/>
          <w:jc w:val="center"/>
        </w:trPr>
        <w:tc>
          <w:tcPr>
            <w:tcW w:w="1377" w:type="pct"/>
            <w:noWrap/>
            <w:vAlign w:val="bottom"/>
            <w:hideMark/>
          </w:tcPr>
          <w:p w14:paraId="3DB5B433"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7ECEDAA6"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15.333</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60A70624"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(83)</w:t>
            </w:r>
            <w:r w:rsidR="00FA3175"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p>
        </w:tc>
        <w:tc>
          <w:tcPr>
            <w:tcW w:w="597" w:type="pct"/>
            <w:noWrap/>
            <w:vAlign w:val="bottom"/>
            <w:hideMark/>
          </w:tcPr>
          <w:p w14:paraId="02A38C64"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15.250 </w:t>
            </w:r>
          </w:p>
        </w:tc>
        <w:tc>
          <w:tcPr>
            <w:tcW w:w="120" w:type="pct"/>
            <w:noWrap/>
            <w:vAlign w:val="bottom"/>
          </w:tcPr>
          <w:p w14:paraId="574D8EBA"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55694A77"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7.689</w:t>
            </w:r>
          </w:p>
        </w:tc>
        <w:tc>
          <w:tcPr>
            <w:tcW w:w="507" w:type="pct"/>
            <w:noWrap/>
            <w:vAlign w:val="bottom"/>
            <w:hideMark/>
          </w:tcPr>
          <w:p w14:paraId="435AA05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(1.250)</w:t>
            </w:r>
          </w:p>
        </w:tc>
        <w:tc>
          <w:tcPr>
            <w:tcW w:w="625" w:type="pct"/>
            <w:noWrap/>
            <w:vAlign w:val="bottom"/>
            <w:hideMark/>
          </w:tcPr>
          <w:p w14:paraId="06C696D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6.439</w:t>
            </w:r>
          </w:p>
        </w:tc>
      </w:tr>
      <w:tr w:rsidR="003B5193" w:rsidRPr="00AE4E8D" w14:paraId="516D8DFB" w14:textId="77777777" w:rsidTr="00E90931">
        <w:trPr>
          <w:trHeight w:val="255"/>
          <w:jc w:val="center"/>
        </w:trPr>
        <w:tc>
          <w:tcPr>
            <w:tcW w:w="1377" w:type="pct"/>
            <w:noWrap/>
            <w:vAlign w:val="bottom"/>
            <w:hideMark/>
          </w:tcPr>
          <w:p w14:paraId="72EE0A50"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310E9BA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tcBorders>
              <w:top w:val="nil"/>
              <w:left w:val="nil"/>
              <w:bottom w:val="single" w:sz="4" w:space="0" w:color="000000"/>
              <w:right w:val="nil"/>
            </w:tcBorders>
            <w:shd w:val="clear" w:color="auto" w:fill="FFFFFF"/>
            <w:noWrap/>
            <w:vAlign w:val="bottom"/>
            <w:hideMark/>
          </w:tcPr>
          <w:p w14:paraId="1876CBA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hideMark/>
          </w:tcPr>
          <w:p w14:paraId="206FD263"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7CE6D815"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3EFC9FB4"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07" w:type="pct"/>
            <w:tcBorders>
              <w:top w:val="nil"/>
              <w:left w:val="nil"/>
              <w:bottom w:val="single" w:sz="4" w:space="0" w:color="000000"/>
              <w:right w:val="nil"/>
            </w:tcBorders>
            <w:noWrap/>
            <w:vAlign w:val="bottom"/>
            <w:hideMark/>
          </w:tcPr>
          <w:p w14:paraId="7C87A2D0"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5" w:type="pct"/>
            <w:tcBorders>
              <w:top w:val="nil"/>
              <w:left w:val="nil"/>
              <w:bottom w:val="single" w:sz="4" w:space="0" w:color="000000"/>
              <w:right w:val="nil"/>
            </w:tcBorders>
            <w:noWrap/>
            <w:vAlign w:val="bottom"/>
            <w:hideMark/>
          </w:tcPr>
          <w:p w14:paraId="7A7E1160"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D218D0" w:rsidRPr="00AE4E8D" w14:paraId="1CE7DA38" w14:textId="77777777" w:rsidTr="000400C8">
        <w:trPr>
          <w:trHeight w:val="255"/>
          <w:jc w:val="center"/>
        </w:trPr>
        <w:tc>
          <w:tcPr>
            <w:tcW w:w="1377" w:type="pct"/>
            <w:noWrap/>
            <w:vAlign w:val="bottom"/>
            <w:hideMark/>
          </w:tcPr>
          <w:p w14:paraId="72ECA4A1"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7B74BB81"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15.333</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484A505B"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(83)</w:t>
            </w:r>
            <w:r w:rsidR="00FA3175"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p>
        </w:tc>
        <w:tc>
          <w:tcPr>
            <w:tcW w:w="597" w:type="pct"/>
            <w:noWrap/>
            <w:vAlign w:val="bottom"/>
            <w:hideMark/>
          </w:tcPr>
          <w:p w14:paraId="65F97CB6"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15.250 </w:t>
            </w:r>
          </w:p>
        </w:tc>
        <w:tc>
          <w:tcPr>
            <w:tcW w:w="120" w:type="pct"/>
            <w:noWrap/>
            <w:vAlign w:val="bottom"/>
          </w:tcPr>
          <w:p w14:paraId="2F32412A"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35FAA31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7.689</w:t>
            </w:r>
          </w:p>
        </w:tc>
        <w:tc>
          <w:tcPr>
            <w:tcW w:w="507" w:type="pct"/>
            <w:noWrap/>
            <w:vAlign w:val="bottom"/>
            <w:hideMark/>
          </w:tcPr>
          <w:p w14:paraId="6B4F004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(1.250)</w:t>
            </w:r>
          </w:p>
        </w:tc>
        <w:tc>
          <w:tcPr>
            <w:tcW w:w="625" w:type="pct"/>
            <w:noWrap/>
            <w:vAlign w:val="bottom"/>
            <w:hideMark/>
          </w:tcPr>
          <w:p w14:paraId="50CB28C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6.439</w:t>
            </w:r>
          </w:p>
        </w:tc>
      </w:tr>
      <w:tr w:rsidR="00D218D0" w:rsidRPr="00AE4E8D" w14:paraId="7D1B7EC8" w14:textId="77777777" w:rsidTr="000400C8">
        <w:trPr>
          <w:trHeight w:val="255"/>
          <w:jc w:val="center"/>
        </w:trPr>
        <w:tc>
          <w:tcPr>
            <w:tcW w:w="1377" w:type="pct"/>
            <w:noWrap/>
            <w:vAlign w:val="bottom"/>
            <w:hideMark/>
          </w:tcPr>
          <w:p w14:paraId="05AB6938"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Al Sector Financiero</w:t>
            </w:r>
          </w:p>
        </w:tc>
        <w:tc>
          <w:tcPr>
            <w:tcW w:w="628" w:type="pct"/>
            <w:shd w:val="clear" w:color="auto" w:fill="FFFFFF"/>
            <w:noWrap/>
            <w:vAlign w:val="bottom"/>
            <w:hideMark/>
          </w:tcPr>
          <w:p w14:paraId="1BF038C7"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69BEDCF1"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5A2F01A9"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585F90C0"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65410637"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0A985E79"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126D106A" w14:textId="77777777" w:rsidR="00D218D0" w:rsidRPr="00AE4E8D" w:rsidRDefault="00D218D0" w:rsidP="00E90931">
            <w:pPr>
              <w:rPr>
                <w:rFonts w:ascii="Times New Roman" w:hAnsi="Times New Roman"/>
                <w:sz w:val="16"/>
                <w:szCs w:val="16"/>
                <w:lang w:val="es-ES"/>
              </w:rPr>
            </w:pPr>
          </w:p>
        </w:tc>
      </w:tr>
      <w:tr w:rsidR="00D218D0" w:rsidRPr="00AE4E8D" w14:paraId="2C21CF02" w14:textId="77777777" w:rsidTr="000400C8">
        <w:trPr>
          <w:trHeight w:val="255"/>
          <w:jc w:val="center"/>
        </w:trPr>
        <w:tc>
          <w:tcPr>
            <w:tcW w:w="1377" w:type="pct"/>
            <w:noWrap/>
            <w:vAlign w:val="bottom"/>
            <w:hideMark/>
          </w:tcPr>
          <w:p w14:paraId="22DBBB6A"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62B1959E"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31.435 </w:t>
            </w:r>
          </w:p>
        </w:tc>
        <w:tc>
          <w:tcPr>
            <w:tcW w:w="628" w:type="pct"/>
            <w:shd w:val="clear" w:color="auto" w:fill="FFFFFF"/>
            <w:noWrap/>
            <w:vAlign w:val="bottom"/>
            <w:hideMark/>
          </w:tcPr>
          <w:p w14:paraId="51C5AC82"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16.209</w:t>
            </w:r>
            <w:r w:rsidR="00EB3492"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597" w:type="pct"/>
            <w:noWrap/>
            <w:vAlign w:val="bottom"/>
            <w:hideMark/>
          </w:tcPr>
          <w:p w14:paraId="2777D676"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47.644 </w:t>
            </w:r>
          </w:p>
        </w:tc>
        <w:tc>
          <w:tcPr>
            <w:tcW w:w="120" w:type="pct"/>
            <w:noWrap/>
            <w:vAlign w:val="bottom"/>
          </w:tcPr>
          <w:p w14:paraId="3B6B4189"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1CBE085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1.125</w:t>
            </w:r>
          </w:p>
        </w:tc>
        <w:tc>
          <w:tcPr>
            <w:tcW w:w="507" w:type="pct"/>
            <w:noWrap/>
            <w:vAlign w:val="bottom"/>
            <w:hideMark/>
          </w:tcPr>
          <w:p w14:paraId="4153278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3.794</w:t>
            </w:r>
          </w:p>
        </w:tc>
        <w:tc>
          <w:tcPr>
            <w:tcW w:w="625" w:type="pct"/>
            <w:noWrap/>
            <w:vAlign w:val="bottom"/>
            <w:hideMark/>
          </w:tcPr>
          <w:p w14:paraId="2E20672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4.919</w:t>
            </w:r>
          </w:p>
        </w:tc>
      </w:tr>
      <w:tr w:rsidR="003B5193" w:rsidRPr="00AE4E8D" w14:paraId="6CD24E06" w14:textId="77777777" w:rsidTr="00E90931">
        <w:trPr>
          <w:trHeight w:val="255"/>
          <w:jc w:val="center"/>
        </w:trPr>
        <w:tc>
          <w:tcPr>
            <w:tcW w:w="1377" w:type="pct"/>
            <w:noWrap/>
            <w:vAlign w:val="bottom"/>
            <w:hideMark/>
          </w:tcPr>
          <w:p w14:paraId="280F4E07"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6E313543"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tcBorders>
              <w:top w:val="nil"/>
              <w:left w:val="nil"/>
              <w:bottom w:val="single" w:sz="4" w:space="0" w:color="000000"/>
              <w:right w:val="nil"/>
            </w:tcBorders>
            <w:shd w:val="clear" w:color="auto" w:fill="FFFFFF"/>
            <w:noWrap/>
            <w:vAlign w:val="bottom"/>
            <w:hideMark/>
          </w:tcPr>
          <w:p w14:paraId="70D5398F"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hideMark/>
          </w:tcPr>
          <w:p w14:paraId="3F0E044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17C71633"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4BAB6669"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07" w:type="pct"/>
            <w:tcBorders>
              <w:top w:val="nil"/>
              <w:left w:val="nil"/>
              <w:bottom w:val="single" w:sz="4" w:space="0" w:color="000000"/>
              <w:right w:val="nil"/>
            </w:tcBorders>
            <w:noWrap/>
            <w:vAlign w:val="bottom"/>
            <w:hideMark/>
          </w:tcPr>
          <w:p w14:paraId="0984B9B7"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5" w:type="pct"/>
            <w:tcBorders>
              <w:top w:val="nil"/>
              <w:left w:val="nil"/>
              <w:bottom w:val="single" w:sz="4" w:space="0" w:color="000000"/>
              <w:right w:val="nil"/>
            </w:tcBorders>
            <w:noWrap/>
            <w:vAlign w:val="bottom"/>
            <w:hideMark/>
          </w:tcPr>
          <w:p w14:paraId="43D566B7"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D218D0" w:rsidRPr="00AE4E8D" w14:paraId="122EF386" w14:textId="77777777" w:rsidTr="000400C8">
        <w:trPr>
          <w:trHeight w:val="255"/>
          <w:jc w:val="center"/>
        </w:trPr>
        <w:tc>
          <w:tcPr>
            <w:tcW w:w="1377" w:type="pct"/>
            <w:noWrap/>
            <w:vAlign w:val="bottom"/>
            <w:hideMark/>
          </w:tcPr>
          <w:p w14:paraId="5B082A53"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634C8C97"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31.435</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0ABA5FEA"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16.209</w:t>
            </w:r>
            <w:r w:rsidR="00EB3492"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597" w:type="pct"/>
            <w:noWrap/>
            <w:vAlign w:val="bottom"/>
            <w:hideMark/>
          </w:tcPr>
          <w:p w14:paraId="2AFE4C6E"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47.644 </w:t>
            </w:r>
          </w:p>
        </w:tc>
        <w:tc>
          <w:tcPr>
            <w:tcW w:w="120" w:type="pct"/>
            <w:noWrap/>
            <w:vAlign w:val="bottom"/>
          </w:tcPr>
          <w:p w14:paraId="78C6E92E"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01EC860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1.125</w:t>
            </w:r>
          </w:p>
        </w:tc>
        <w:tc>
          <w:tcPr>
            <w:tcW w:w="507" w:type="pct"/>
            <w:noWrap/>
            <w:vAlign w:val="bottom"/>
            <w:hideMark/>
          </w:tcPr>
          <w:p w14:paraId="69DE2E7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3.794</w:t>
            </w:r>
          </w:p>
        </w:tc>
        <w:tc>
          <w:tcPr>
            <w:tcW w:w="625" w:type="pct"/>
            <w:noWrap/>
            <w:vAlign w:val="bottom"/>
            <w:hideMark/>
          </w:tcPr>
          <w:p w14:paraId="0BA9F52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4.919</w:t>
            </w:r>
          </w:p>
        </w:tc>
      </w:tr>
      <w:tr w:rsidR="00D218D0" w:rsidRPr="00AE4E8D" w14:paraId="480C81DA" w14:textId="77777777" w:rsidTr="000400C8">
        <w:trPr>
          <w:trHeight w:val="255"/>
          <w:jc w:val="center"/>
        </w:trPr>
        <w:tc>
          <w:tcPr>
            <w:tcW w:w="1377" w:type="pct"/>
            <w:noWrap/>
            <w:vAlign w:val="bottom"/>
            <w:hideMark/>
          </w:tcPr>
          <w:p w14:paraId="2E41160D"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Fideicomisos Financieros</w:t>
            </w:r>
          </w:p>
        </w:tc>
        <w:tc>
          <w:tcPr>
            <w:tcW w:w="628" w:type="pct"/>
            <w:shd w:val="clear" w:color="auto" w:fill="FFFFFF"/>
            <w:noWrap/>
            <w:vAlign w:val="bottom"/>
            <w:hideMark/>
          </w:tcPr>
          <w:p w14:paraId="11F7B74F"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67400938"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1EAE9A0A"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2B582C4E"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70A8686D"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07BB115E"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2E95E8B0" w14:textId="77777777" w:rsidR="00D218D0" w:rsidRPr="00AE4E8D" w:rsidRDefault="00D218D0" w:rsidP="00E90931">
            <w:pPr>
              <w:rPr>
                <w:rFonts w:ascii="Times New Roman" w:hAnsi="Times New Roman"/>
                <w:sz w:val="16"/>
                <w:szCs w:val="16"/>
                <w:lang w:val="es-ES"/>
              </w:rPr>
            </w:pPr>
          </w:p>
        </w:tc>
      </w:tr>
      <w:tr w:rsidR="00D218D0" w:rsidRPr="00AE4E8D" w14:paraId="24F0A752" w14:textId="77777777" w:rsidTr="000400C8">
        <w:trPr>
          <w:trHeight w:val="255"/>
          <w:jc w:val="center"/>
        </w:trPr>
        <w:tc>
          <w:tcPr>
            <w:tcW w:w="1377" w:type="pct"/>
            <w:noWrap/>
            <w:vAlign w:val="bottom"/>
            <w:hideMark/>
          </w:tcPr>
          <w:p w14:paraId="22DE60D6"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4835C703"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144.780</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52208CB0"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(70.923)</w:t>
            </w:r>
            <w:r w:rsidR="00EB3492" w:rsidRPr="00AE4E8D">
              <w:rPr>
                <w:rFonts w:ascii="Times New Roman" w:hAnsi="Times New Roman"/>
                <w:color w:val="000000"/>
                <w:sz w:val="16"/>
                <w:szCs w:val="16"/>
                <w:lang w:val="es-ES"/>
              </w:rPr>
              <w:t xml:space="preserve">     </w:t>
            </w:r>
          </w:p>
        </w:tc>
        <w:tc>
          <w:tcPr>
            <w:tcW w:w="597" w:type="pct"/>
            <w:noWrap/>
            <w:vAlign w:val="bottom"/>
            <w:hideMark/>
          </w:tcPr>
          <w:p w14:paraId="45C22A88"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73.857 </w:t>
            </w:r>
          </w:p>
        </w:tc>
        <w:tc>
          <w:tcPr>
            <w:tcW w:w="120" w:type="pct"/>
            <w:noWrap/>
            <w:vAlign w:val="bottom"/>
          </w:tcPr>
          <w:p w14:paraId="44E68124"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59F524D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81.679</w:t>
            </w:r>
          </w:p>
        </w:tc>
        <w:tc>
          <w:tcPr>
            <w:tcW w:w="507" w:type="pct"/>
            <w:noWrap/>
            <w:vAlign w:val="bottom"/>
            <w:hideMark/>
          </w:tcPr>
          <w:p w14:paraId="2C92E8A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(117.697)</w:t>
            </w:r>
          </w:p>
        </w:tc>
        <w:tc>
          <w:tcPr>
            <w:tcW w:w="625" w:type="pct"/>
            <w:noWrap/>
            <w:vAlign w:val="bottom"/>
            <w:hideMark/>
          </w:tcPr>
          <w:p w14:paraId="1AF43061"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(36.018)</w:t>
            </w:r>
          </w:p>
        </w:tc>
      </w:tr>
      <w:tr w:rsidR="003B5193" w:rsidRPr="00AE4E8D" w14:paraId="3C7ACFCD" w14:textId="77777777" w:rsidTr="00E90931">
        <w:trPr>
          <w:trHeight w:val="255"/>
          <w:jc w:val="center"/>
        </w:trPr>
        <w:tc>
          <w:tcPr>
            <w:tcW w:w="1377" w:type="pct"/>
            <w:noWrap/>
            <w:vAlign w:val="bottom"/>
            <w:hideMark/>
          </w:tcPr>
          <w:p w14:paraId="3F4FC377"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720A7B6D"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384</w:t>
            </w:r>
            <w:r w:rsidR="00FA3175"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628" w:type="pct"/>
            <w:tcBorders>
              <w:top w:val="nil"/>
              <w:left w:val="nil"/>
              <w:bottom w:val="single" w:sz="4" w:space="0" w:color="000000"/>
              <w:right w:val="nil"/>
            </w:tcBorders>
            <w:shd w:val="clear" w:color="auto" w:fill="FFFFFF"/>
            <w:noWrap/>
            <w:vAlign w:val="bottom"/>
            <w:hideMark/>
          </w:tcPr>
          <w:p w14:paraId="172E0494"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789</w:t>
            </w:r>
          </w:p>
        </w:tc>
        <w:tc>
          <w:tcPr>
            <w:tcW w:w="597" w:type="pct"/>
            <w:tcBorders>
              <w:top w:val="nil"/>
              <w:left w:val="nil"/>
              <w:bottom w:val="single" w:sz="4" w:space="0" w:color="000000"/>
              <w:right w:val="nil"/>
            </w:tcBorders>
            <w:noWrap/>
            <w:vAlign w:val="bottom"/>
            <w:hideMark/>
          </w:tcPr>
          <w:p w14:paraId="5B725E88"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1.173</w:t>
            </w:r>
          </w:p>
        </w:tc>
        <w:tc>
          <w:tcPr>
            <w:tcW w:w="120" w:type="pct"/>
            <w:noWrap/>
            <w:vAlign w:val="bottom"/>
          </w:tcPr>
          <w:p w14:paraId="4DA16D29"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44E58AFF"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9</w:t>
            </w:r>
          </w:p>
        </w:tc>
        <w:tc>
          <w:tcPr>
            <w:tcW w:w="507" w:type="pct"/>
            <w:tcBorders>
              <w:top w:val="nil"/>
              <w:left w:val="nil"/>
              <w:bottom w:val="single" w:sz="4" w:space="0" w:color="000000"/>
              <w:right w:val="nil"/>
            </w:tcBorders>
            <w:noWrap/>
            <w:vAlign w:val="bottom"/>
            <w:hideMark/>
          </w:tcPr>
          <w:p w14:paraId="35122EF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(232)</w:t>
            </w:r>
          </w:p>
        </w:tc>
        <w:tc>
          <w:tcPr>
            <w:tcW w:w="625" w:type="pct"/>
            <w:tcBorders>
              <w:top w:val="nil"/>
              <w:left w:val="nil"/>
              <w:bottom w:val="single" w:sz="4" w:space="0" w:color="000000"/>
              <w:right w:val="nil"/>
            </w:tcBorders>
            <w:noWrap/>
            <w:vAlign w:val="bottom"/>
            <w:hideMark/>
          </w:tcPr>
          <w:p w14:paraId="15A02A13"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(223)</w:t>
            </w:r>
          </w:p>
        </w:tc>
      </w:tr>
      <w:tr w:rsidR="00D218D0" w:rsidRPr="00AE4E8D" w14:paraId="0D264646" w14:textId="77777777" w:rsidTr="000400C8">
        <w:trPr>
          <w:trHeight w:val="255"/>
          <w:jc w:val="center"/>
        </w:trPr>
        <w:tc>
          <w:tcPr>
            <w:tcW w:w="1377" w:type="pct"/>
            <w:noWrap/>
            <w:vAlign w:val="bottom"/>
            <w:hideMark/>
          </w:tcPr>
          <w:p w14:paraId="4E82CE74"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0B370FF6"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145.164</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5A6BFF59" w14:textId="77777777" w:rsidR="00D218D0" w:rsidRPr="00AE4E8D" w:rsidRDefault="00D218D0" w:rsidP="00326001">
            <w:pPr>
              <w:jc w:val="right"/>
              <w:rPr>
                <w:rFonts w:ascii="Times New Roman" w:hAnsi="Times New Roman"/>
                <w:color w:val="000000"/>
                <w:sz w:val="16"/>
                <w:lang w:val="es-ES"/>
              </w:rPr>
            </w:pPr>
            <w:r w:rsidRPr="00AE4E8D">
              <w:rPr>
                <w:rFonts w:ascii="Times New Roman" w:hAnsi="Times New Roman"/>
                <w:color w:val="000000"/>
                <w:sz w:val="16"/>
                <w:szCs w:val="16"/>
                <w:lang w:val="es-ES"/>
              </w:rPr>
              <w:t>(70.</w:t>
            </w:r>
            <w:r w:rsidR="00CF4C7B" w:rsidRPr="00AE4E8D">
              <w:rPr>
                <w:rFonts w:ascii="Times New Roman" w:hAnsi="Times New Roman"/>
                <w:color w:val="000000"/>
                <w:sz w:val="16"/>
                <w:szCs w:val="16"/>
                <w:lang w:val="es-ES"/>
              </w:rPr>
              <w:t>13</w:t>
            </w:r>
            <w:r w:rsidR="00326001" w:rsidRPr="00AE4E8D">
              <w:rPr>
                <w:rFonts w:ascii="Times New Roman" w:hAnsi="Times New Roman"/>
                <w:color w:val="000000"/>
                <w:sz w:val="16"/>
                <w:szCs w:val="16"/>
                <w:lang w:val="es-ES"/>
              </w:rPr>
              <w:t>4</w:t>
            </w:r>
            <w:r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p>
        </w:tc>
        <w:tc>
          <w:tcPr>
            <w:tcW w:w="597" w:type="pct"/>
            <w:noWrap/>
            <w:vAlign w:val="bottom"/>
            <w:hideMark/>
          </w:tcPr>
          <w:p w14:paraId="7C2FCEE6"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75.030 </w:t>
            </w:r>
          </w:p>
        </w:tc>
        <w:tc>
          <w:tcPr>
            <w:tcW w:w="120" w:type="pct"/>
            <w:noWrap/>
            <w:vAlign w:val="bottom"/>
          </w:tcPr>
          <w:p w14:paraId="51213807"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026F42BB" w14:textId="77777777" w:rsidR="00D218D0" w:rsidRPr="00AE4E8D" w:rsidRDefault="00D218D0" w:rsidP="00CF4C7B">
            <w:pPr>
              <w:jc w:val="right"/>
              <w:rPr>
                <w:rFonts w:ascii="Times New Roman" w:hAnsi="Times New Roman"/>
                <w:sz w:val="16"/>
                <w:szCs w:val="16"/>
                <w:lang w:val="es-ES"/>
              </w:rPr>
            </w:pPr>
            <w:r w:rsidRPr="00AE4E8D">
              <w:rPr>
                <w:rFonts w:ascii="Times New Roman" w:hAnsi="Times New Roman"/>
                <w:sz w:val="16"/>
                <w:szCs w:val="16"/>
                <w:lang w:val="es-ES"/>
              </w:rPr>
              <w:t>81.</w:t>
            </w:r>
            <w:r w:rsidR="00CF4C7B" w:rsidRPr="00AE4E8D">
              <w:rPr>
                <w:rFonts w:ascii="Times New Roman" w:hAnsi="Times New Roman"/>
                <w:sz w:val="16"/>
                <w:szCs w:val="16"/>
                <w:lang w:val="es-ES"/>
              </w:rPr>
              <w:t>688</w:t>
            </w:r>
          </w:p>
        </w:tc>
        <w:tc>
          <w:tcPr>
            <w:tcW w:w="507" w:type="pct"/>
            <w:noWrap/>
            <w:vAlign w:val="bottom"/>
            <w:hideMark/>
          </w:tcPr>
          <w:p w14:paraId="015FBFC7" w14:textId="77777777" w:rsidR="00D218D0" w:rsidRPr="00AE4E8D" w:rsidRDefault="00D218D0" w:rsidP="00CF4C7B">
            <w:pPr>
              <w:jc w:val="right"/>
              <w:rPr>
                <w:rFonts w:ascii="Times New Roman" w:hAnsi="Times New Roman"/>
                <w:sz w:val="16"/>
                <w:szCs w:val="16"/>
                <w:lang w:val="es-ES"/>
              </w:rPr>
            </w:pPr>
            <w:r w:rsidRPr="00AE4E8D">
              <w:rPr>
                <w:rFonts w:ascii="Times New Roman" w:hAnsi="Times New Roman"/>
                <w:sz w:val="16"/>
                <w:szCs w:val="16"/>
                <w:lang w:val="es-ES"/>
              </w:rPr>
              <w:t>(117.</w:t>
            </w:r>
            <w:r w:rsidR="00CF4C7B" w:rsidRPr="00AE4E8D">
              <w:rPr>
                <w:rFonts w:ascii="Times New Roman" w:hAnsi="Times New Roman"/>
                <w:sz w:val="16"/>
                <w:szCs w:val="16"/>
                <w:lang w:val="es-ES"/>
              </w:rPr>
              <w:t>929</w:t>
            </w:r>
            <w:r w:rsidRPr="00AE4E8D">
              <w:rPr>
                <w:rFonts w:ascii="Times New Roman" w:hAnsi="Times New Roman"/>
                <w:sz w:val="16"/>
                <w:szCs w:val="16"/>
                <w:lang w:val="es-ES"/>
              </w:rPr>
              <w:t>)</w:t>
            </w:r>
          </w:p>
        </w:tc>
        <w:tc>
          <w:tcPr>
            <w:tcW w:w="625" w:type="pct"/>
            <w:noWrap/>
            <w:vAlign w:val="bottom"/>
            <w:hideMark/>
          </w:tcPr>
          <w:p w14:paraId="514CDF7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(36.241)</w:t>
            </w:r>
          </w:p>
        </w:tc>
      </w:tr>
      <w:tr w:rsidR="00D218D0" w:rsidRPr="00AE4E8D" w14:paraId="437C5CE4" w14:textId="77777777" w:rsidTr="000400C8">
        <w:trPr>
          <w:trHeight w:val="255"/>
          <w:jc w:val="center"/>
        </w:trPr>
        <w:tc>
          <w:tcPr>
            <w:tcW w:w="1377" w:type="pct"/>
            <w:noWrap/>
            <w:vAlign w:val="bottom"/>
            <w:hideMark/>
          </w:tcPr>
          <w:p w14:paraId="1062B4F0" w14:textId="77777777" w:rsidR="00D218D0" w:rsidRPr="00AE4E8D" w:rsidRDefault="00D218D0" w:rsidP="00E90931">
            <w:pPr>
              <w:rPr>
                <w:rFonts w:ascii="Times New Roman" w:hAnsi="Times New Roman"/>
                <w:b/>
                <w:bCs/>
                <w:sz w:val="16"/>
                <w:szCs w:val="16"/>
                <w:lang w:val="es-ES"/>
              </w:rPr>
            </w:pPr>
            <w:r w:rsidRPr="00AE4E8D">
              <w:rPr>
                <w:rFonts w:ascii="Times New Roman" w:hAnsi="Times New Roman"/>
                <w:b/>
                <w:bCs/>
                <w:sz w:val="16"/>
                <w:szCs w:val="16"/>
                <w:lang w:val="es-ES"/>
              </w:rPr>
              <w:t>Obligaciones negociables</w:t>
            </w:r>
          </w:p>
        </w:tc>
        <w:tc>
          <w:tcPr>
            <w:tcW w:w="628" w:type="pct"/>
            <w:shd w:val="clear" w:color="auto" w:fill="FFFFFF"/>
            <w:noWrap/>
            <w:vAlign w:val="bottom"/>
            <w:hideMark/>
          </w:tcPr>
          <w:p w14:paraId="35C415EF"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3E8A34E3"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571BB1BE"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5C7EB896"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047C4849"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2EEDBA50"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711165D4" w14:textId="77777777" w:rsidR="00D218D0" w:rsidRPr="00AE4E8D" w:rsidRDefault="00D218D0" w:rsidP="00E90931">
            <w:pPr>
              <w:rPr>
                <w:rFonts w:ascii="Times New Roman" w:hAnsi="Times New Roman"/>
                <w:sz w:val="16"/>
                <w:szCs w:val="16"/>
                <w:lang w:val="es-ES"/>
              </w:rPr>
            </w:pPr>
          </w:p>
        </w:tc>
      </w:tr>
      <w:tr w:rsidR="00D218D0" w:rsidRPr="00AE4E8D" w14:paraId="7EA63B20" w14:textId="77777777" w:rsidTr="000400C8">
        <w:trPr>
          <w:trHeight w:val="255"/>
          <w:jc w:val="center"/>
        </w:trPr>
        <w:tc>
          <w:tcPr>
            <w:tcW w:w="1377" w:type="pct"/>
            <w:noWrap/>
            <w:vAlign w:val="bottom"/>
            <w:hideMark/>
          </w:tcPr>
          <w:p w14:paraId="15047FCE"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68A7C7AB"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49.042</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07A3D00E"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(19.920)</w:t>
            </w:r>
            <w:r w:rsidR="00EB3492" w:rsidRPr="00AE4E8D">
              <w:rPr>
                <w:rFonts w:ascii="Times New Roman" w:hAnsi="Times New Roman"/>
                <w:color w:val="000000"/>
                <w:sz w:val="16"/>
                <w:szCs w:val="16"/>
                <w:lang w:val="es-ES"/>
              </w:rPr>
              <w:t xml:space="preserve">     </w:t>
            </w:r>
          </w:p>
        </w:tc>
        <w:tc>
          <w:tcPr>
            <w:tcW w:w="597" w:type="pct"/>
            <w:noWrap/>
            <w:vAlign w:val="bottom"/>
            <w:hideMark/>
          </w:tcPr>
          <w:p w14:paraId="32714FE6"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29.123 </w:t>
            </w:r>
          </w:p>
        </w:tc>
        <w:tc>
          <w:tcPr>
            <w:tcW w:w="120" w:type="pct"/>
            <w:noWrap/>
            <w:vAlign w:val="bottom"/>
          </w:tcPr>
          <w:p w14:paraId="401307D7"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3520A26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2.073</w:t>
            </w:r>
          </w:p>
        </w:tc>
        <w:tc>
          <w:tcPr>
            <w:tcW w:w="507" w:type="pct"/>
            <w:noWrap/>
            <w:vAlign w:val="bottom"/>
            <w:hideMark/>
          </w:tcPr>
          <w:p w14:paraId="4003982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9.152</w:t>
            </w:r>
          </w:p>
        </w:tc>
        <w:tc>
          <w:tcPr>
            <w:tcW w:w="625" w:type="pct"/>
            <w:noWrap/>
            <w:vAlign w:val="bottom"/>
            <w:hideMark/>
          </w:tcPr>
          <w:p w14:paraId="64F0A2E6" w14:textId="77777777" w:rsidR="00D218D0" w:rsidRPr="00AE4E8D" w:rsidRDefault="00506F68" w:rsidP="00E90931">
            <w:pPr>
              <w:jc w:val="right"/>
              <w:rPr>
                <w:rFonts w:ascii="Times New Roman" w:hAnsi="Times New Roman"/>
                <w:sz w:val="16"/>
                <w:szCs w:val="16"/>
                <w:lang w:val="es-ES"/>
              </w:rPr>
            </w:pPr>
            <w:r>
              <w:rPr>
                <w:rFonts w:ascii="Times New Roman" w:hAnsi="Times New Roman"/>
                <w:sz w:val="16"/>
                <w:szCs w:val="16"/>
                <w:lang w:val="es-ES"/>
              </w:rPr>
              <w:t>1</w:t>
            </w:r>
            <w:r w:rsidR="00D218D0" w:rsidRPr="00AE4E8D">
              <w:rPr>
                <w:rFonts w:ascii="Times New Roman" w:hAnsi="Times New Roman"/>
                <w:sz w:val="16"/>
                <w:szCs w:val="16"/>
                <w:lang w:val="es-ES"/>
              </w:rPr>
              <w:t>1.225</w:t>
            </w:r>
          </w:p>
        </w:tc>
      </w:tr>
      <w:tr w:rsidR="003B5193" w:rsidRPr="00AE4E8D" w14:paraId="7F6A38E6" w14:textId="77777777" w:rsidTr="00E90931">
        <w:trPr>
          <w:trHeight w:val="255"/>
          <w:jc w:val="center"/>
        </w:trPr>
        <w:tc>
          <w:tcPr>
            <w:tcW w:w="1377" w:type="pct"/>
            <w:noWrap/>
            <w:vAlign w:val="bottom"/>
            <w:hideMark/>
          </w:tcPr>
          <w:p w14:paraId="4A373834"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43740D37"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(3.437)</w:t>
            </w:r>
            <w:r w:rsidR="00EB3492" w:rsidRPr="00AE4E8D">
              <w:rPr>
                <w:rFonts w:ascii="Times New Roman" w:hAnsi="Times New Roman"/>
                <w:color w:val="000000"/>
                <w:sz w:val="16"/>
                <w:szCs w:val="16"/>
                <w:lang w:val="es-ES"/>
              </w:rPr>
              <w:t xml:space="preserve">      </w:t>
            </w:r>
          </w:p>
        </w:tc>
        <w:tc>
          <w:tcPr>
            <w:tcW w:w="628" w:type="pct"/>
            <w:tcBorders>
              <w:top w:val="nil"/>
              <w:left w:val="nil"/>
              <w:bottom w:val="single" w:sz="4" w:space="0" w:color="000000"/>
              <w:right w:val="nil"/>
            </w:tcBorders>
            <w:shd w:val="clear" w:color="auto" w:fill="FFFFFF"/>
            <w:noWrap/>
            <w:vAlign w:val="bottom"/>
            <w:hideMark/>
          </w:tcPr>
          <w:p w14:paraId="562BC727"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(51)</w:t>
            </w:r>
          </w:p>
        </w:tc>
        <w:tc>
          <w:tcPr>
            <w:tcW w:w="597" w:type="pct"/>
            <w:tcBorders>
              <w:top w:val="nil"/>
              <w:left w:val="nil"/>
              <w:bottom w:val="single" w:sz="4" w:space="0" w:color="000000"/>
              <w:right w:val="nil"/>
            </w:tcBorders>
            <w:noWrap/>
            <w:vAlign w:val="bottom"/>
            <w:hideMark/>
          </w:tcPr>
          <w:p w14:paraId="68840AA4"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(3.488)</w:t>
            </w:r>
          </w:p>
        </w:tc>
        <w:tc>
          <w:tcPr>
            <w:tcW w:w="120" w:type="pct"/>
            <w:noWrap/>
            <w:vAlign w:val="bottom"/>
          </w:tcPr>
          <w:p w14:paraId="2C992FDD"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0BCDF58C"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2.691</w:t>
            </w:r>
          </w:p>
        </w:tc>
        <w:tc>
          <w:tcPr>
            <w:tcW w:w="507" w:type="pct"/>
            <w:tcBorders>
              <w:top w:val="nil"/>
              <w:left w:val="nil"/>
              <w:bottom w:val="single" w:sz="4" w:space="0" w:color="000000"/>
              <w:right w:val="nil"/>
            </w:tcBorders>
            <w:noWrap/>
            <w:vAlign w:val="bottom"/>
            <w:hideMark/>
          </w:tcPr>
          <w:p w14:paraId="7751C18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(33.002)</w:t>
            </w:r>
          </w:p>
        </w:tc>
        <w:tc>
          <w:tcPr>
            <w:tcW w:w="625" w:type="pct"/>
            <w:tcBorders>
              <w:top w:val="nil"/>
              <w:left w:val="nil"/>
              <w:bottom w:val="single" w:sz="4" w:space="0" w:color="000000"/>
              <w:right w:val="nil"/>
            </w:tcBorders>
            <w:noWrap/>
            <w:vAlign w:val="bottom"/>
            <w:hideMark/>
          </w:tcPr>
          <w:p w14:paraId="167AC87E"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(30.311)</w:t>
            </w:r>
          </w:p>
        </w:tc>
      </w:tr>
      <w:tr w:rsidR="00D218D0" w:rsidRPr="00AE4E8D" w14:paraId="2B4FE96E" w14:textId="77777777" w:rsidTr="000400C8">
        <w:trPr>
          <w:trHeight w:val="255"/>
          <w:jc w:val="center"/>
        </w:trPr>
        <w:tc>
          <w:tcPr>
            <w:tcW w:w="1377" w:type="pct"/>
            <w:noWrap/>
            <w:vAlign w:val="bottom"/>
            <w:hideMark/>
          </w:tcPr>
          <w:p w14:paraId="2915D96D"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4642E677" w14:textId="77777777" w:rsidR="00D218D0" w:rsidRPr="00AE4E8D" w:rsidRDefault="00D218D0" w:rsidP="00942294">
            <w:pPr>
              <w:jc w:val="right"/>
              <w:rPr>
                <w:rFonts w:ascii="Times New Roman" w:hAnsi="Times New Roman"/>
                <w:color w:val="000000"/>
                <w:sz w:val="16"/>
                <w:lang w:val="es-ES"/>
              </w:rPr>
            </w:pPr>
            <w:r w:rsidRPr="00AE4E8D">
              <w:rPr>
                <w:rFonts w:ascii="Times New Roman" w:hAnsi="Times New Roman"/>
                <w:color w:val="000000"/>
                <w:sz w:val="16"/>
                <w:szCs w:val="16"/>
                <w:lang w:val="es-ES"/>
              </w:rPr>
              <w:t>45.</w:t>
            </w:r>
            <w:r w:rsidR="00CF4C7B" w:rsidRPr="00AE4E8D">
              <w:rPr>
                <w:rFonts w:ascii="Times New Roman" w:hAnsi="Times New Roman"/>
                <w:color w:val="000000"/>
                <w:sz w:val="16"/>
                <w:szCs w:val="16"/>
                <w:lang w:val="es-ES"/>
              </w:rPr>
              <w:t>60</w:t>
            </w:r>
            <w:r w:rsidR="00506F68">
              <w:rPr>
                <w:rFonts w:ascii="Times New Roman" w:hAnsi="Times New Roman"/>
                <w:color w:val="000000"/>
                <w:sz w:val="16"/>
                <w:szCs w:val="16"/>
                <w:lang w:val="es-ES"/>
              </w:rPr>
              <w:t>5</w:t>
            </w:r>
            <w:r w:rsidR="00EB3492" w:rsidRPr="00AE4E8D">
              <w:rPr>
                <w:rFonts w:ascii="Times New Roman" w:hAnsi="Times New Roman"/>
                <w:color w:val="000000"/>
                <w:sz w:val="16"/>
                <w:szCs w:val="16"/>
                <w:lang w:val="es-ES"/>
              </w:rPr>
              <w:t xml:space="preserve">     </w:t>
            </w:r>
            <w:r w:rsidR="00CF4C7B"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0F904218" w14:textId="77777777" w:rsidR="00D218D0" w:rsidRPr="00AE4E8D" w:rsidRDefault="00D218D0" w:rsidP="00326001">
            <w:pPr>
              <w:jc w:val="right"/>
              <w:rPr>
                <w:rFonts w:ascii="Times New Roman" w:hAnsi="Times New Roman"/>
                <w:color w:val="000000"/>
                <w:sz w:val="16"/>
                <w:lang w:val="es-ES"/>
              </w:rPr>
            </w:pPr>
            <w:r w:rsidRPr="00AE4E8D">
              <w:rPr>
                <w:rFonts w:ascii="Times New Roman" w:hAnsi="Times New Roman"/>
                <w:color w:val="000000"/>
                <w:sz w:val="16"/>
                <w:szCs w:val="16"/>
                <w:lang w:val="es-ES"/>
              </w:rPr>
              <w:t>(19.</w:t>
            </w:r>
            <w:r w:rsidR="00CF4C7B" w:rsidRPr="00AE4E8D">
              <w:rPr>
                <w:rFonts w:ascii="Times New Roman" w:hAnsi="Times New Roman"/>
                <w:color w:val="000000"/>
                <w:sz w:val="16"/>
                <w:szCs w:val="16"/>
                <w:lang w:val="es-ES"/>
              </w:rPr>
              <w:t>97</w:t>
            </w:r>
            <w:r w:rsidR="00326001" w:rsidRPr="00AE4E8D">
              <w:rPr>
                <w:rFonts w:ascii="Times New Roman" w:hAnsi="Times New Roman"/>
                <w:color w:val="000000"/>
                <w:sz w:val="16"/>
                <w:szCs w:val="16"/>
                <w:lang w:val="es-ES"/>
              </w:rPr>
              <w:t>1</w:t>
            </w:r>
            <w:r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p>
        </w:tc>
        <w:tc>
          <w:tcPr>
            <w:tcW w:w="597" w:type="pct"/>
            <w:noWrap/>
            <w:vAlign w:val="bottom"/>
            <w:hideMark/>
          </w:tcPr>
          <w:p w14:paraId="2C44448C"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25.635 </w:t>
            </w:r>
          </w:p>
        </w:tc>
        <w:tc>
          <w:tcPr>
            <w:tcW w:w="120" w:type="pct"/>
            <w:noWrap/>
            <w:vAlign w:val="bottom"/>
          </w:tcPr>
          <w:p w14:paraId="520680AE"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5E837A8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4.764</w:t>
            </w:r>
          </w:p>
        </w:tc>
        <w:tc>
          <w:tcPr>
            <w:tcW w:w="507" w:type="pct"/>
            <w:noWrap/>
            <w:vAlign w:val="bottom"/>
            <w:hideMark/>
          </w:tcPr>
          <w:p w14:paraId="7500C61D"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(23.850)</w:t>
            </w:r>
          </w:p>
        </w:tc>
        <w:tc>
          <w:tcPr>
            <w:tcW w:w="625" w:type="pct"/>
            <w:noWrap/>
            <w:vAlign w:val="bottom"/>
            <w:hideMark/>
          </w:tcPr>
          <w:p w14:paraId="39BD3967"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(19.086)</w:t>
            </w:r>
          </w:p>
        </w:tc>
      </w:tr>
      <w:tr w:rsidR="00D218D0" w:rsidRPr="00AE4E8D" w14:paraId="32D05E7B" w14:textId="77777777" w:rsidTr="000400C8">
        <w:trPr>
          <w:trHeight w:val="255"/>
          <w:jc w:val="center"/>
        </w:trPr>
        <w:tc>
          <w:tcPr>
            <w:tcW w:w="1377" w:type="pct"/>
            <w:noWrap/>
            <w:vAlign w:val="bottom"/>
            <w:hideMark/>
          </w:tcPr>
          <w:p w14:paraId="33BADF9A" w14:textId="77777777" w:rsidR="00D218D0" w:rsidRPr="00AE4E8D" w:rsidRDefault="00D218D0" w:rsidP="00E90931">
            <w:pPr>
              <w:rPr>
                <w:rFonts w:ascii="Times New Roman" w:hAnsi="Times New Roman"/>
                <w:b/>
                <w:bCs/>
                <w:sz w:val="16"/>
                <w:szCs w:val="16"/>
                <w:lang w:val="es-ES"/>
              </w:rPr>
            </w:pPr>
            <w:r w:rsidRPr="00AE4E8D">
              <w:rPr>
                <w:rFonts w:ascii="Times New Roman" w:hAnsi="Times New Roman"/>
                <w:b/>
                <w:bCs/>
                <w:sz w:val="16"/>
                <w:szCs w:val="16"/>
                <w:lang w:val="es-ES"/>
              </w:rPr>
              <w:t>Pases activos</w:t>
            </w:r>
          </w:p>
        </w:tc>
        <w:tc>
          <w:tcPr>
            <w:tcW w:w="628" w:type="pct"/>
            <w:shd w:val="clear" w:color="auto" w:fill="FFFFFF"/>
            <w:noWrap/>
            <w:vAlign w:val="bottom"/>
            <w:hideMark/>
          </w:tcPr>
          <w:p w14:paraId="2320EB18"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40E7AA85"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12859001" w14:textId="77777777" w:rsidR="00D218D0" w:rsidRPr="00AE4E8D" w:rsidRDefault="00D218D0" w:rsidP="00B52753">
            <w:pPr>
              <w:jc w:val="right"/>
              <w:rPr>
                <w:rFonts w:ascii="Times New Roman" w:hAnsi="Times New Roman"/>
                <w:sz w:val="16"/>
                <w:szCs w:val="16"/>
                <w:lang w:val="es-ES"/>
              </w:rPr>
            </w:pPr>
          </w:p>
        </w:tc>
        <w:tc>
          <w:tcPr>
            <w:tcW w:w="120" w:type="pct"/>
            <w:noWrap/>
            <w:vAlign w:val="bottom"/>
          </w:tcPr>
          <w:p w14:paraId="28F2281E"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6CF9D1C0"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46F09E32"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17F1D04A" w14:textId="77777777" w:rsidR="00D218D0" w:rsidRPr="00AE4E8D" w:rsidRDefault="00D218D0" w:rsidP="00E90931">
            <w:pPr>
              <w:rPr>
                <w:rFonts w:ascii="Times New Roman" w:hAnsi="Times New Roman"/>
                <w:sz w:val="16"/>
                <w:szCs w:val="16"/>
                <w:lang w:val="es-ES"/>
              </w:rPr>
            </w:pPr>
          </w:p>
        </w:tc>
      </w:tr>
      <w:tr w:rsidR="00D218D0" w:rsidRPr="00AE4E8D" w14:paraId="59ACE50E" w14:textId="77777777" w:rsidTr="000400C8">
        <w:trPr>
          <w:trHeight w:val="255"/>
          <w:jc w:val="center"/>
        </w:trPr>
        <w:tc>
          <w:tcPr>
            <w:tcW w:w="1377" w:type="pct"/>
            <w:noWrap/>
            <w:vAlign w:val="bottom"/>
            <w:hideMark/>
          </w:tcPr>
          <w:p w14:paraId="7EC565FA"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75E62B17"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9.584</w:t>
            </w:r>
            <w:r w:rsidR="00FA3175"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1A101A8D"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(12.223)</w:t>
            </w:r>
            <w:r w:rsidR="00EB3492" w:rsidRPr="00AE4E8D">
              <w:rPr>
                <w:rFonts w:ascii="Times New Roman" w:hAnsi="Times New Roman"/>
                <w:color w:val="000000"/>
                <w:sz w:val="16"/>
                <w:szCs w:val="16"/>
                <w:lang w:val="es-ES"/>
              </w:rPr>
              <w:t xml:space="preserve">     </w:t>
            </w:r>
          </w:p>
        </w:tc>
        <w:tc>
          <w:tcPr>
            <w:tcW w:w="597" w:type="pct"/>
            <w:noWrap/>
            <w:vAlign w:val="bottom"/>
            <w:hideMark/>
          </w:tcPr>
          <w:p w14:paraId="76D75D2D"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(2.639)</w:t>
            </w:r>
          </w:p>
        </w:tc>
        <w:tc>
          <w:tcPr>
            <w:tcW w:w="120" w:type="pct"/>
            <w:noWrap/>
            <w:vAlign w:val="bottom"/>
          </w:tcPr>
          <w:p w14:paraId="3F1E6BE7"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0D1E4DC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9.722</w:t>
            </w:r>
          </w:p>
        </w:tc>
        <w:tc>
          <w:tcPr>
            <w:tcW w:w="507" w:type="pct"/>
            <w:noWrap/>
            <w:vAlign w:val="bottom"/>
            <w:hideMark/>
          </w:tcPr>
          <w:p w14:paraId="5E9A31A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14.566</w:t>
            </w:r>
          </w:p>
        </w:tc>
        <w:tc>
          <w:tcPr>
            <w:tcW w:w="625" w:type="pct"/>
            <w:noWrap/>
            <w:vAlign w:val="bottom"/>
            <w:hideMark/>
          </w:tcPr>
          <w:p w14:paraId="5C704250"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24.288</w:t>
            </w:r>
          </w:p>
        </w:tc>
      </w:tr>
      <w:tr w:rsidR="003B5193" w:rsidRPr="00AE4E8D" w14:paraId="5B1ED1A6" w14:textId="77777777" w:rsidTr="00E90931">
        <w:trPr>
          <w:trHeight w:val="255"/>
          <w:jc w:val="center"/>
        </w:trPr>
        <w:tc>
          <w:tcPr>
            <w:tcW w:w="1377" w:type="pct"/>
            <w:noWrap/>
            <w:vAlign w:val="bottom"/>
            <w:hideMark/>
          </w:tcPr>
          <w:p w14:paraId="58DC3CCD"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141561D6"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(12)</w:t>
            </w:r>
          </w:p>
        </w:tc>
        <w:tc>
          <w:tcPr>
            <w:tcW w:w="628" w:type="pct"/>
            <w:tcBorders>
              <w:top w:val="nil"/>
              <w:left w:val="nil"/>
              <w:bottom w:val="single" w:sz="4" w:space="0" w:color="000000"/>
              <w:right w:val="nil"/>
            </w:tcBorders>
            <w:shd w:val="clear" w:color="auto" w:fill="FFFFFF"/>
            <w:noWrap/>
            <w:vAlign w:val="bottom"/>
          </w:tcPr>
          <w:p w14:paraId="13570EA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tcPr>
          <w:p w14:paraId="0DDA1A8D"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(12)</w:t>
            </w:r>
          </w:p>
        </w:tc>
        <w:tc>
          <w:tcPr>
            <w:tcW w:w="120" w:type="pct"/>
            <w:noWrap/>
            <w:vAlign w:val="bottom"/>
          </w:tcPr>
          <w:p w14:paraId="03394CB2"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4840085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w:t>
            </w:r>
          </w:p>
        </w:tc>
        <w:tc>
          <w:tcPr>
            <w:tcW w:w="507" w:type="pct"/>
            <w:tcBorders>
              <w:top w:val="nil"/>
              <w:left w:val="nil"/>
              <w:bottom w:val="single" w:sz="4" w:space="0" w:color="000000"/>
              <w:right w:val="nil"/>
            </w:tcBorders>
            <w:noWrap/>
            <w:vAlign w:val="bottom"/>
            <w:hideMark/>
          </w:tcPr>
          <w:p w14:paraId="5B8D4DAC"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w:t>
            </w:r>
          </w:p>
        </w:tc>
        <w:tc>
          <w:tcPr>
            <w:tcW w:w="625" w:type="pct"/>
            <w:tcBorders>
              <w:top w:val="nil"/>
              <w:left w:val="nil"/>
              <w:bottom w:val="single" w:sz="4" w:space="0" w:color="000000"/>
              <w:right w:val="nil"/>
            </w:tcBorders>
            <w:noWrap/>
            <w:vAlign w:val="bottom"/>
            <w:hideMark/>
          </w:tcPr>
          <w:p w14:paraId="56E99C52"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5</w:t>
            </w:r>
          </w:p>
        </w:tc>
      </w:tr>
      <w:tr w:rsidR="00D218D0" w:rsidRPr="00AE4E8D" w14:paraId="2EDD9938" w14:textId="77777777" w:rsidTr="000400C8">
        <w:trPr>
          <w:trHeight w:val="255"/>
          <w:jc w:val="center"/>
        </w:trPr>
        <w:tc>
          <w:tcPr>
            <w:tcW w:w="1377" w:type="pct"/>
            <w:noWrap/>
            <w:vAlign w:val="bottom"/>
            <w:hideMark/>
          </w:tcPr>
          <w:p w14:paraId="485DC1AB"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4FDB9A5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 9.572</w:t>
            </w:r>
          </w:p>
        </w:tc>
        <w:tc>
          <w:tcPr>
            <w:tcW w:w="628" w:type="pct"/>
            <w:shd w:val="clear" w:color="auto" w:fill="FFFFFF"/>
            <w:noWrap/>
            <w:vAlign w:val="bottom"/>
            <w:hideMark/>
          </w:tcPr>
          <w:p w14:paraId="36BC8738" w14:textId="77777777" w:rsidR="00D218D0" w:rsidRPr="00AE4E8D" w:rsidRDefault="00D218D0" w:rsidP="00B15C7E">
            <w:pPr>
              <w:jc w:val="right"/>
              <w:rPr>
                <w:rFonts w:ascii="Times New Roman" w:hAnsi="Times New Roman"/>
                <w:sz w:val="16"/>
                <w:szCs w:val="16"/>
                <w:lang w:val="es-ES"/>
              </w:rPr>
            </w:pPr>
            <w:r w:rsidRPr="00AE4E8D">
              <w:rPr>
                <w:rFonts w:ascii="Times New Roman" w:hAnsi="Times New Roman"/>
                <w:sz w:val="16"/>
                <w:szCs w:val="16"/>
                <w:lang w:val="es-ES"/>
              </w:rPr>
              <w:t>(12.22</w:t>
            </w:r>
            <w:r w:rsidR="00B15C7E" w:rsidRPr="00AE4E8D">
              <w:rPr>
                <w:rFonts w:ascii="Times New Roman" w:hAnsi="Times New Roman"/>
                <w:sz w:val="16"/>
                <w:szCs w:val="16"/>
                <w:lang w:val="es-ES"/>
              </w:rPr>
              <w:t>3</w:t>
            </w:r>
            <w:r w:rsidRPr="00AE4E8D">
              <w:rPr>
                <w:rFonts w:ascii="Times New Roman" w:hAnsi="Times New Roman"/>
                <w:sz w:val="16"/>
                <w:szCs w:val="16"/>
                <w:lang w:val="es-ES"/>
              </w:rPr>
              <w:t>)</w:t>
            </w:r>
          </w:p>
        </w:tc>
        <w:tc>
          <w:tcPr>
            <w:tcW w:w="597" w:type="pct"/>
            <w:noWrap/>
            <w:vAlign w:val="bottom"/>
            <w:hideMark/>
          </w:tcPr>
          <w:p w14:paraId="799C4F1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(2.6</w:t>
            </w:r>
            <w:r w:rsidR="00C25856" w:rsidRPr="00AE4E8D">
              <w:rPr>
                <w:rFonts w:ascii="Times New Roman" w:hAnsi="Times New Roman"/>
                <w:sz w:val="16"/>
                <w:szCs w:val="16"/>
                <w:lang w:val="es-ES"/>
              </w:rPr>
              <w:t>51</w:t>
            </w:r>
            <w:r w:rsidRPr="00AE4E8D">
              <w:rPr>
                <w:rFonts w:ascii="Times New Roman" w:hAnsi="Times New Roman"/>
                <w:sz w:val="16"/>
                <w:szCs w:val="16"/>
                <w:lang w:val="es-ES"/>
              </w:rPr>
              <w:t>)</w:t>
            </w:r>
          </w:p>
        </w:tc>
        <w:tc>
          <w:tcPr>
            <w:tcW w:w="120" w:type="pct"/>
            <w:noWrap/>
            <w:vAlign w:val="bottom"/>
          </w:tcPr>
          <w:p w14:paraId="7C937787"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405D6337"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9.728</w:t>
            </w:r>
          </w:p>
        </w:tc>
        <w:tc>
          <w:tcPr>
            <w:tcW w:w="507" w:type="pct"/>
            <w:noWrap/>
            <w:vAlign w:val="bottom"/>
            <w:hideMark/>
          </w:tcPr>
          <w:p w14:paraId="59B4017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14.565</w:t>
            </w:r>
          </w:p>
        </w:tc>
        <w:tc>
          <w:tcPr>
            <w:tcW w:w="625" w:type="pct"/>
            <w:noWrap/>
            <w:vAlign w:val="bottom"/>
            <w:hideMark/>
          </w:tcPr>
          <w:p w14:paraId="69A9B6F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24.293</w:t>
            </w:r>
          </w:p>
        </w:tc>
      </w:tr>
      <w:tr w:rsidR="00D218D0" w:rsidRPr="00AE4E8D" w14:paraId="7AA2634D" w14:textId="77777777" w:rsidTr="000400C8">
        <w:trPr>
          <w:trHeight w:val="255"/>
          <w:jc w:val="center"/>
        </w:trPr>
        <w:tc>
          <w:tcPr>
            <w:tcW w:w="1377" w:type="pct"/>
            <w:noWrap/>
            <w:vAlign w:val="bottom"/>
            <w:hideMark/>
          </w:tcPr>
          <w:p w14:paraId="064BD19D"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Total activos que devengan intereses</w:t>
            </w:r>
          </w:p>
        </w:tc>
        <w:tc>
          <w:tcPr>
            <w:tcW w:w="628" w:type="pct"/>
            <w:noWrap/>
            <w:vAlign w:val="bottom"/>
          </w:tcPr>
          <w:p w14:paraId="25B52677" w14:textId="77777777" w:rsidR="00D218D0" w:rsidRPr="00AE4E8D" w:rsidRDefault="00D218D0" w:rsidP="00E90931">
            <w:pPr>
              <w:rPr>
                <w:rFonts w:ascii="Times New Roman" w:hAnsi="Times New Roman"/>
                <w:sz w:val="16"/>
                <w:szCs w:val="16"/>
                <w:lang w:val="es-ES"/>
              </w:rPr>
            </w:pPr>
          </w:p>
        </w:tc>
        <w:tc>
          <w:tcPr>
            <w:tcW w:w="628" w:type="pct"/>
            <w:noWrap/>
            <w:vAlign w:val="bottom"/>
          </w:tcPr>
          <w:p w14:paraId="31916013" w14:textId="77777777" w:rsidR="00D218D0" w:rsidRPr="00AE4E8D" w:rsidRDefault="00D218D0" w:rsidP="00E90931">
            <w:pPr>
              <w:rPr>
                <w:rFonts w:ascii="Times New Roman" w:hAnsi="Times New Roman"/>
                <w:sz w:val="16"/>
                <w:szCs w:val="16"/>
                <w:lang w:val="es-ES"/>
              </w:rPr>
            </w:pPr>
          </w:p>
        </w:tc>
        <w:tc>
          <w:tcPr>
            <w:tcW w:w="597" w:type="pct"/>
            <w:noWrap/>
            <w:vAlign w:val="bottom"/>
          </w:tcPr>
          <w:p w14:paraId="311F7F43"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2061F652"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69337E7B"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77881497"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3A8AD1E0" w14:textId="77777777" w:rsidR="00D218D0" w:rsidRPr="00AE4E8D" w:rsidRDefault="00D218D0" w:rsidP="00E90931">
            <w:pPr>
              <w:rPr>
                <w:rFonts w:ascii="Times New Roman" w:hAnsi="Times New Roman"/>
                <w:sz w:val="16"/>
                <w:szCs w:val="16"/>
                <w:lang w:val="es-ES"/>
              </w:rPr>
            </w:pPr>
          </w:p>
        </w:tc>
      </w:tr>
      <w:tr w:rsidR="00D218D0" w:rsidRPr="00AE4E8D" w14:paraId="65DBE97F" w14:textId="77777777" w:rsidTr="000400C8">
        <w:trPr>
          <w:trHeight w:val="255"/>
          <w:jc w:val="center"/>
        </w:trPr>
        <w:tc>
          <w:tcPr>
            <w:tcW w:w="1377" w:type="pct"/>
            <w:noWrap/>
            <w:vAlign w:val="bottom"/>
            <w:hideMark/>
          </w:tcPr>
          <w:p w14:paraId="42C87483"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noWrap/>
            <w:vAlign w:val="bottom"/>
            <w:hideMark/>
          </w:tcPr>
          <w:p w14:paraId="1F2AA307"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151.957</w:t>
            </w:r>
            <w:r w:rsidR="00EB3492" w:rsidRPr="00AE4E8D">
              <w:rPr>
                <w:rFonts w:ascii="Times New Roman" w:hAnsi="Times New Roman"/>
                <w:color w:val="000000"/>
                <w:sz w:val="16"/>
                <w:szCs w:val="16"/>
                <w:lang w:val="es-ES"/>
              </w:rPr>
              <w:t xml:space="preserve">     </w:t>
            </w:r>
          </w:p>
        </w:tc>
        <w:tc>
          <w:tcPr>
            <w:tcW w:w="628" w:type="pct"/>
            <w:noWrap/>
            <w:vAlign w:val="bottom"/>
            <w:hideMark/>
          </w:tcPr>
          <w:p w14:paraId="41BD0A6D"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155.920</w:t>
            </w:r>
            <w:r w:rsidR="00EB3492" w:rsidRPr="00AE4E8D">
              <w:rPr>
                <w:rFonts w:ascii="Times New Roman" w:hAnsi="Times New Roman"/>
                <w:color w:val="000000"/>
                <w:sz w:val="16"/>
                <w:szCs w:val="16"/>
                <w:lang w:val="es-ES"/>
              </w:rPr>
              <w:t xml:space="preserve">     </w:t>
            </w:r>
          </w:p>
        </w:tc>
        <w:tc>
          <w:tcPr>
            <w:tcW w:w="597" w:type="pct"/>
            <w:noWrap/>
            <w:vAlign w:val="bottom"/>
            <w:hideMark/>
          </w:tcPr>
          <w:p w14:paraId="0C45CAFF"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307.87</w:t>
            </w:r>
            <w:r w:rsidR="00C25856" w:rsidRPr="00AE4E8D">
              <w:rPr>
                <w:rFonts w:ascii="Times New Roman" w:hAnsi="Times New Roman"/>
                <w:color w:val="000000"/>
                <w:sz w:val="16"/>
                <w:szCs w:val="16"/>
                <w:lang w:val="es-ES"/>
              </w:rPr>
              <w:t>7</w:t>
            </w:r>
            <w:r w:rsidR="00D218D0" w:rsidRPr="00AE4E8D">
              <w:rPr>
                <w:rFonts w:ascii="Times New Roman" w:hAnsi="Times New Roman"/>
                <w:color w:val="000000"/>
                <w:sz w:val="16"/>
                <w:szCs w:val="16"/>
                <w:lang w:val="es-ES"/>
              </w:rPr>
              <w:t xml:space="preserve"> </w:t>
            </w:r>
          </w:p>
        </w:tc>
        <w:tc>
          <w:tcPr>
            <w:tcW w:w="120" w:type="pct"/>
            <w:noWrap/>
            <w:vAlign w:val="bottom"/>
          </w:tcPr>
          <w:p w14:paraId="6C89527B"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6B2E1B36" w14:textId="77777777" w:rsidR="00D218D0" w:rsidRPr="00AE4E8D" w:rsidRDefault="00B15C7E" w:rsidP="00942294">
            <w:pPr>
              <w:jc w:val="right"/>
              <w:rPr>
                <w:rFonts w:ascii="Times New Roman" w:hAnsi="Times New Roman"/>
                <w:sz w:val="16"/>
                <w:szCs w:val="16"/>
                <w:lang w:val="es-ES"/>
              </w:rPr>
            </w:pPr>
            <w:r w:rsidRPr="00AE4E8D">
              <w:rPr>
                <w:rFonts w:ascii="Times New Roman" w:hAnsi="Times New Roman"/>
                <w:sz w:val="16"/>
                <w:szCs w:val="16"/>
                <w:lang w:val="es-ES"/>
              </w:rPr>
              <w:t>1.</w:t>
            </w:r>
            <w:r w:rsidR="00D218D0" w:rsidRPr="00AE4E8D">
              <w:rPr>
                <w:rFonts w:ascii="Times New Roman" w:hAnsi="Times New Roman"/>
                <w:sz w:val="16"/>
                <w:szCs w:val="16"/>
                <w:lang w:val="es-ES"/>
              </w:rPr>
              <w:t>403.580</w:t>
            </w:r>
          </w:p>
        </w:tc>
        <w:tc>
          <w:tcPr>
            <w:tcW w:w="507" w:type="pct"/>
            <w:noWrap/>
            <w:vAlign w:val="bottom"/>
            <w:hideMark/>
          </w:tcPr>
          <w:p w14:paraId="62D6E16C"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632.551</w:t>
            </w:r>
          </w:p>
        </w:tc>
        <w:tc>
          <w:tcPr>
            <w:tcW w:w="625" w:type="pct"/>
            <w:noWrap/>
            <w:vAlign w:val="bottom"/>
            <w:hideMark/>
          </w:tcPr>
          <w:p w14:paraId="6892E15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2.036.131</w:t>
            </w:r>
          </w:p>
        </w:tc>
      </w:tr>
      <w:tr w:rsidR="00D218D0" w:rsidRPr="00AE4E8D" w14:paraId="00251FDF" w14:textId="77777777" w:rsidTr="000400C8">
        <w:trPr>
          <w:trHeight w:val="255"/>
          <w:jc w:val="center"/>
        </w:trPr>
        <w:tc>
          <w:tcPr>
            <w:tcW w:w="1377" w:type="pct"/>
            <w:noWrap/>
            <w:vAlign w:val="bottom"/>
            <w:hideMark/>
          </w:tcPr>
          <w:p w14:paraId="4099A8FE"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noWrap/>
            <w:vAlign w:val="bottom"/>
            <w:hideMark/>
          </w:tcPr>
          <w:p w14:paraId="61F4FBC7"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425.269</w:t>
            </w:r>
            <w:r w:rsidR="00EB3492" w:rsidRPr="00AE4E8D">
              <w:rPr>
                <w:rFonts w:ascii="Times New Roman" w:hAnsi="Times New Roman"/>
                <w:color w:val="000000"/>
                <w:sz w:val="16"/>
                <w:szCs w:val="16"/>
                <w:lang w:val="es-ES"/>
              </w:rPr>
              <w:t xml:space="preserve">     </w:t>
            </w:r>
          </w:p>
        </w:tc>
        <w:tc>
          <w:tcPr>
            <w:tcW w:w="628" w:type="pct"/>
            <w:noWrap/>
            <w:vAlign w:val="bottom"/>
            <w:hideMark/>
          </w:tcPr>
          <w:p w14:paraId="0E6BE387"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(472.62</w:t>
            </w:r>
            <w:r w:rsidR="00C25856" w:rsidRPr="00AE4E8D">
              <w:rPr>
                <w:rFonts w:ascii="Times New Roman" w:hAnsi="Times New Roman"/>
                <w:color w:val="000000"/>
                <w:sz w:val="16"/>
                <w:szCs w:val="16"/>
                <w:lang w:val="es-ES"/>
              </w:rPr>
              <w:t>6</w:t>
            </w:r>
            <w:r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p>
        </w:tc>
        <w:tc>
          <w:tcPr>
            <w:tcW w:w="597" w:type="pct"/>
            <w:noWrap/>
            <w:vAlign w:val="bottom"/>
            <w:hideMark/>
          </w:tcPr>
          <w:p w14:paraId="5C046A8A"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(47.3</w:t>
            </w:r>
            <w:r w:rsidR="00C25856" w:rsidRPr="00AE4E8D">
              <w:rPr>
                <w:rFonts w:ascii="Times New Roman" w:hAnsi="Times New Roman"/>
                <w:color w:val="000000"/>
                <w:sz w:val="16"/>
                <w:szCs w:val="16"/>
                <w:lang w:val="es-ES"/>
              </w:rPr>
              <w:t>56</w:t>
            </w:r>
            <w:r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p>
        </w:tc>
        <w:tc>
          <w:tcPr>
            <w:tcW w:w="120" w:type="pct"/>
            <w:noWrap/>
            <w:vAlign w:val="bottom"/>
          </w:tcPr>
          <w:p w14:paraId="30780853"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07E429F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2.888</w:t>
            </w:r>
          </w:p>
        </w:tc>
        <w:tc>
          <w:tcPr>
            <w:tcW w:w="507" w:type="pct"/>
            <w:noWrap/>
            <w:vAlign w:val="bottom"/>
            <w:hideMark/>
          </w:tcPr>
          <w:p w14:paraId="572B1CC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(46.140)</w:t>
            </w:r>
          </w:p>
        </w:tc>
        <w:tc>
          <w:tcPr>
            <w:tcW w:w="625" w:type="pct"/>
            <w:noWrap/>
            <w:vAlign w:val="bottom"/>
            <w:hideMark/>
          </w:tcPr>
          <w:p w14:paraId="2BFC1101"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(43.252)</w:t>
            </w:r>
          </w:p>
        </w:tc>
      </w:tr>
      <w:tr w:rsidR="00D218D0" w:rsidRPr="00AE4E8D" w14:paraId="30E0BDEA" w14:textId="77777777" w:rsidTr="000400C8">
        <w:trPr>
          <w:trHeight w:val="270"/>
          <w:jc w:val="center"/>
        </w:trPr>
        <w:tc>
          <w:tcPr>
            <w:tcW w:w="1377" w:type="pct"/>
            <w:noWrap/>
            <w:vAlign w:val="bottom"/>
            <w:hideMark/>
          </w:tcPr>
          <w:p w14:paraId="2B444C96"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Total</w:t>
            </w:r>
          </w:p>
        </w:tc>
        <w:tc>
          <w:tcPr>
            <w:tcW w:w="628" w:type="pct"/>
            <w:tcBorders>
              <w:top w:val="single" w:sz="4" w:space="0" w:color="000000"/>
              <w:left w:val="nil"/>
              <w:bottom w:val="double" w:sz="6" w:space="0" w:color="000000"/>
              <w:right w:val="nil"/>
            </w:tcBorders>
            <w:noWrap/>
            <w:vAlign w:val="bottom"/>
            <w:hideMark/>
          </w:tcPr>
          <w:p w14:paraId="763ACE2A" w14:textId="77777777" w:rsidR="00D218D0" w:rsidRPr="00AE4E8D" w:rsidRDefault="00D218D0"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577.226</w:t>
            </w:r>
            <w:r w:rsidR="00EB3492" w:rsidRPr="00AE4E8D">
              <w:rPr>
                <w:rFonts w:ascii="Times New Roman" w:hAnsi="Times New Roman"/>
                <w:b/>
                <w:bCs/>
                <w:color w:val="000000"/>
                <w:sz w:val="16"/>
                <w:szCs w:val="16"/>
                <w:lang w:val="es-ES"/>
              </w:rPr>
              <w:t xml:space="preserve">     </w:t>
            </w:r>
          </w:p>
        </w:tc>
        <w:tc>
          <w:tcPr>
            <w:tcW w:w="628" w:type="pct"/>
            <w:tcBorders>
              <w:top w:val="single" w:sz="4" w:space="0" w:color="000000"/>
              <w:left w:val="nil"/>
              <w:bottom w:val="double" w:sz="6" w:space="0" w:color="000000"/>
              <w:right w:val="nil"/>
            </w:tcBorders>
            <w:noWrap/>
            <w:vAlign w:val="bottom"/>
            <w:hideMark/>
          </w:tcPr>
          <w:p w14:paraId="490407E9" w14:textId="77777777" w:rsidR="00D218D0" w:rsidRPr="00AE4E8D" w:rsidRDefault="00D218D0"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(316.70</w:t>
            </w:r>
            <w:r w:rsidR="00C25856" w:rsidRPr="00AE4E8D">
              <w:rPr>
                <w:rFonts w:ascii="Times New Roman" w:hAnsi="Times New Roman"/>
                <w:b/>
                <w:bCs/>
                <w:color w:val="000000"/>
                <w:sz w:val="16"/>
                <w:szCs w:val="16"/>
                <w:lang w:val="es-ES"/>
              </w:rPr>
              <w:t>6</w:t>
            </w:r>
            <w:r w:rsidRPr="00AE4E8D">
              <w:rPr>
                <w:rFonts w:ascii="Times New Roman" w:hAnsi="Times New Roman"/>
                <w:b/>
                <w:bCs/>
                <w:color w:val="000000"/>
                <w:sz w:val="16"/>
                <w:szCs w:val="16"/>
                <w:lang w:val="es-ES"/>
              </w:rPr>
              <w:t>)</w:t>
            </w:r>
            <w:r w:rsidR="00EB3492" w:rsidRPr="00AE4E8D">
              <w:rPr>
                <w:rFonts w:ascii="Times New Roman" w:hAnsi="Times New Roman"/>
                <w:b/>
                <w:bCs/>
                <w:color w:val="000000"/>
                <w:sz w:val="16"/>
                <w:szCs w:val="16"/>
                <w:lang w:val="es-ES"/>
              </w:rPr>
              <w:t xml:space="preserve">    </w:t>
            </w:r>
          </w:p>
        </w:tc>
        <w:tc>
          <w:tcPr>
            <w:tcW w:w="597" w:type="pct"/>
            <w:tcBorders>
              <w:top w:val="single" w:sz="4" w:space="0" w:color="000000"/>
              <w:left w:val="nil"/>
              <w:bottom w:val="double" w:sz="6" w:space="0" w:color="000000"/>
              <w:right w:val="nil"/>
            </w:tcBorders>
            <w:noWrap/>
            <w:vAlign w:val="bottom"/>
            <w:hideMark/>
          </w:tcPr>
          <w:p w14:paraId="3AB049CA" w14:textId="77777777" w:rsidR="00D218D0" w:rsidRPr="00AE4E8D" w:rsidRDefault="00EB3492"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 xml:space="preserve">    </w:t>
            </w:r>
            <w:r w:rsidR="00D218D0" w:rsidRPr="00AE4E8D">
              <w:rPr>
                <w:rFonts w:ascii="Times New Roman" w:hAnsi="Times New Roman"/>
                <w:b/>
                <w:bCs/>
                <w:color w:val="000000"/>
                <w:sz w:val="16"/>
                <w:szCs w:val="16"/>
                <w:lang w:val="es-ES"/>
              </w:rPr>
              <w:t xml:space="preserve"> 260.52</w:t>
            </w:r>
            <w:r w:rsidR="00C25856" w:rsidRPr="00AE4E8D">
              <w:rPr>
                <w:rFonts w:ascii="Times New Roman" w:hAnsi="Times New Roman"/>
                <w:b/>
                <w:bCs/>
                <w:color w:val="000000"/>
                <w:sz w:val="16"/>
                <w:szCs w:val="16"/>
                <w:lang w:val="es-ES"/>
              </w:rPr>
              <w:t>1</w:t>
            </w:r>
            <w:r w:rsidR="00D218D0" w:rsidRPr="00AE4E8D">
              <w:rPr>
                <w:rFonts w:ascii="Times New Roman" w:hAnsi="Times New Roman"/>
                <w:b/>
                <w:bCs/>
                <w:color w:val="000000"/>
                <w:sz w:val="16"/>
                <w:szCs w:val="16"/>
                <w:lang w:val="es-ES"/>
              </w:rPr>
              <w:t xml:space="preserve"> </w:t>
            </w:r>
          </w:p>
        </w:tc>
        <w:tc>
          <w:tcPr>
            <w:tcW w:w="120" w:type="pct"/>
            <w:noWrap/>
            <w:vAlign w:val="bottom"/>
          </w:tcPr>
          <w:p w14:paraId="180BA38D" w14:textId="77777777" w:rsidR="00D218D0" w:rsidRPr="00AE4E8D" w:rsidRDefault="00D218D0" w:rsidP="00E90931">
            <w:pPr>
              <w:rPr>
                <w:rFonts w:ascii="Times New Roman" w:hAnsi="Times New Roman"/>
                <w:sz w:val="16"/>
                <w:szCs w:val="16"/>
                <w:lang w:val="es-ES"/>
              </w:rPr>
            </w:pPr>
          </w:p>
        </w:tc>
        <w:tc>
          <w:tcPr>
            <w:tcW w:w="518" w:type="pct"/>
            <w:tcBorders>
              <w:top w:val="single" w:sz="4" w:space="0" w:color="000000"/>
              <w:left w:val="nil"/>
              <w:bottom w:val="double" w:sz="6" w:space="0" w:color="000000"/>
              <w:right w:val="nil"/>
            </w:tcBorders>
            <w:noWrap/>
            <w:vAlign w:val="bottom"/>
            <w:hideMark/>
          </w:tcPr>
          <w:p w14:paraId="118E118C" w14:textId="77777777" w:rsidR="00D218D0" w:rsidRPr="00AE4E8D" w:rsidRDefault="00B15C7E" w:rsidP="00942294">
            <w:pPr>
              <w:jc w:val="right"/>
              <w:rPr>
                <w:rFonts w:ascii="Times New Roman" w:hAnsi="Times New Roman"/>
                <w:sz w:val="16"/>
                <w:szCs w:val="16"/>
                <w:lang w:val="es-ES"/>
              </w:rPr>
            </w:pPr>
            <w:r w:rsidRPr="00AE4E8D">
              <w:rPr>
                <w:rFonts w:ascii="Times New Roman" w:hAnsi="Times New Roman"/>
                <w:sz w:val="16"/>
                <w:szCs w:val="16"/>
                <w:lang w:val="es-ES"/>
              </w:rPr>
              <w:t>1.</w:t>
            </w:r>
            <w:r w:rsidR="00D218D0" w:rsidRPr="00AE4E8D">
              <w:rPr>
                <w:rFonts w:ascii="Times New Roman" w:hAnsi="Times New Roman"/>
                <w:sz w:val="16"/>
                <w:szCs w:val="16"/>
                <w:lang w:val="es-ES"/>
              </w:rPr>
              <w:t>406.468</w:t>
            </w:r>
          </w:p>
        </w:tc>
        <w:tc>
          <w:tcPr>
            <w:tcW w:w="507" w:type="pct"/>
            <w:tcBorders>
              <w:top w:val="single" w:sz="4" w:space="0" w:color="000000"/>
              <w:left w:val="nil"/>
              <w:bottom w:val="double" w:sz="6" w:space="0" w:color="000000"/>
              <w:right w:val="nil"/>
            </w:tcBorders>
            <w:noWrap/>
            <w:vAlign w:val="bottom"/>
            <w:hideMark/>
          </w:tcPr>
          <w:p w14:paraId="1243D99D"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586.411</w:t>
            </w:r>
          </w:p>
        </w:tc>
        <w:tc>
          <w:tcPr>
            <w:tcW w:w="625" w:type="pct"/>
            <w:tcBorders>
              <w:top w:val="single" w:sz="4" w:space="0" w:color="000000"/>
              <w:left w:val="nil"/>
              <w:bottom w:val="double" w:sz="6" w:space="0" w:color="000000"/>
              <w:right w:val="nil"/>
            </w:tcBorders>
            <w:noWrap/>
            <w:vAlign w:val="bottom"/>
            <w:hideMark/>
          </w:tcPr>
          <w:p w14:paraId="500026E3"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1.992.879</w:t>
            </w:r>
          </w:p>
        </w:tc>
      </w:tr>
      <w:tr w:rsidR="00D218D0" w:rsidRPr="00AE4E8D" w14:paraId="5CBF7A7B" w14:textId="77777777" w:rsidTr="000400C8">
        <w:trPr>
          <w:trHeight w:val="270"/>
          <w:jc w:val="center"/>
        </w:trPr>
        <w:tc>
          <w:tcPr>
            <w:tcW w:w="1377" w:type="pct"/>
            <w:noWrap/>
            <w:vAlign w:val="bottom"/>
          </w:tcPr>
          <w:p w14:paraId="38E27F9E" w14:textId="77777777" w:rsidR="00D218D0" w:rsidRPr="00AE4E8D" w:rsidRDefault="00D218D0" w:rsidP="00E90931">
            <w:pPr>
              <w:rPr>
                <w:rFonts w:ascii="Times New Roman" w:hAnsi="Times New Roman"/>
                <w:sz w:val="16"/>
                <w:szCs w:val="16"/>
                <w:lang w:val="es-ES"/>
              </w:rPr>
            </w:pPr>
          </w:p>
        </w:tc>
        <w:tc>
          <w:tcPr>
            <w:tcW w:w="628" w:type="pct"/>
            <w:noWrap/>
            <w:vAlign w:val="bottom"/>
          </w:tcPr>
          <w:p w14:paraId="6446A06C" w14:textId="77777777" w:rsidR="00D218D0" w:rsidRPr="00AE4E8D" w:rsidRDefault="00D218D0" w:rsidP="00E90931">
            <w:pPr>
              <w:rPr>
                <w:rFonts w:ascii="Times New Roman" w:hAnsi="Times New Roman"/>
                <w:sz w:val="16"/>
                <w:szCs w:val="16"/>
                <w:lang w:val="es-ES"/>
              </w:rPr>
            </w:pPr>
          </w:p>
        </w:tc>
        <w:tc>
          <w:tcPr>
            <w:tcW w:w="628" w:type="pct"/>
            <w:noWrap/>
            <w:vAlign w:val="bottom"/>
          </w:tcPr>
          <w:p w14:paraId="048528C7" w14:textId="77777777" w:rsidR="00D218D0" w:rsidRPr="00AE4E8D" w:rsidRDefault="00D218D0" w:rsidP="00E90931">
            <w:pPr>
              <w:rPr>
                <w:rFonts w:ascii="Times New Roman" w:hAnsi="Times New Roman"/>
                <w:sz w:val="16"/>
                <w:szCs w:val="16"/>
                <w:lang w:val="es-ES"/>
              </w:rPr>
            </w:pPr>
          </w:p>
        </w:tc>
        <w:tc>
          <w:tcPr>
            <w:tcW w:w="597" w:type="pct"/>
            <w:noWrap/>
            <w:vAlign w:val="bottom"/>
          </w:tcPr>
          <w:p w14:paraId="037A1018"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7CC82C3A"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2655A029"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3DEE1EBC"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731DE3F7" w14:textId="77777777" w:rsidR="00D218D0" w:rsidRPr="00AE4E8D" w:rsidRDefault="00D218D0" w:rsidP="00E90931">
            <w:pPr>
              <w:rPr>
                <w:rFonts w:ascii="Times New Roman" w:hAnsi="Times New Roman"/>
                <w:sz w:val="16"/>
                <w:szCs w:val="16"/>
                <w:lang w:val="es-ES"/>
              </w:rPr>
            </w:pPr>
          </w:p>
        </w:tc>
      </w:tr>
      <w:tr w:rsidR="00D218D0" w:rsidRPr="00AE4E8D" w14:paraId="1FA2AE87" w14:textId="77777777" w:rsidTr="000400C8">
        <w:trPr>
          <w:trHeight w:val="255"/>
          <w:jc w:val="center"/>
        </w:trPr>
        <w:tc>
          <w:tcPr>
            <w:tcW w:w="1377" w:type="pct"/>
            <w:noWrap/>
            <w:vAlign w:val="bottom"/>
            <w:hideMark/>
          </w:tcPr>
          <w:p w14:paraId="38CAB559" w14:textId="77777777" w:rsidR="00D218D0" w:rsidRPr="00AE4E8D" w:rsidRDefault="00D218D0" w:rsidP="00091EF5">
            <w:pPr>
              <w:keepNext/>
              <w:keepLines/>
              <w:rPr>
                <w:rFonts w:ascii="Times New Roman" w:hAnsi="Times New Roman"/>
                <w:b/>
                <w:bCs/>
                <w:sz w:val="16"/>
                <w:szCs w:val="16"/>
                <w:lang w:val="es-ES"/>
              </w:rPr>
            </w:pPr>
            <w:r w:rsidRPr="00AE4E8D">
              <w:rPr>
                <w:rFonts w:ascii="Times New Roman" w:hAnsi="Times New Roman"/>
                <w:b/>
                <w:bCs/>
                <w:sz w:val="16"/>
                <w:szCs w:val="16"/>
                <w:lang w:val="es-ES"/>
              </w:rPr>
              <w:lastRenderedPageBreak/>
              <w:t>Pasivos que devengan intereses</w:t>
            </w:r>
          </w:p>
        </w:tc>
        <w:tc>
          <w:tcPr>
            <w:tcW w:w="628" w:type="pct"/>
            <w:shd w:val="clear" w:color="auto" w:fill="FFFFFF"/>
            <w:noWrap/>
            <w:vAlign w:val="bottom"/>
            <w:hideMark/>
          </w:tcPr>
          <w:p w14:paraId="539BEA0D" w14:textId="77777777" w:rsidR="00D218D0" w:rsidRPr="00AE4E8D" w:rsidRDefault="00D218D0" w:rsidP="00091EF5">
            <w:pPr>
              <w:keepNext/>
              <w:keepLines/>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1F6EE2F2" w14:textId="77777777" w:rsidR="00D218D0" w:rsidRPr="00AE4E8D" w:rsidRDefault="00D218D0" w:rsidP="00091EF5">
            <w:pPr>
              <w:keepNext/>
              <w:keepLines/>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7C0518CE" w14:textId="77777777" w:rsidR="00D218D0" w:rsidRPr="00AE4E8D" w:rsidRDefault="00D218D0" w:rsidP="00091EF5">
            <w:pPr>
              <w:keepNext/>
              <w:keepLines/>
              <w:rPr>
                <w:rFonts w:ascii="Times New Roman" w:hAnsi="Times New Roman"/>
                <w:sz w:val="16"/>
                <w:szCs w:val="16"/>
                <w:lang w:val="es-ES"/>
              </w:rPr>
            </w:pPr>
          </w:p>
        </w:tc>
        <w:tc>
          <w:tcPr>
            <w:tcW w:w="120" w:type="pct"/>
            <w:noWrap/>
            <w:vAlign w:val="bottom"/>
          </w:tcPr>
          <w:p w14:paraId="6A958E32" w14:textId="77777777" w:rsidR="00D218D0" w:rsidRPr="00AE4E8D" w:rsidRDefault="00D218D0" w:rsidP="00091EF5">
            <w:pPr>
              <w:keepNext/>
              <w:keepLines/>
              <w:rPr>
                <w:rFonts w:ascii="Times New Roman" w:hAnsi="Times New Roman"/>
                <w:sz w:val="16"/>
                <w:szCs w:val="16"/>
                <w:lang w:val="es-ES"/>
              </w:rPr>
            </w:pPr>
          </w:p>
        </w:tc>
        <w:tc>
          <w:tcPr>
            <w:tcW w:w="518" w:type="pct"/>
            <w:noWrap/>
            <w:vAlign w:val="bottom"/>
          </w:tcPr>
          <w:p w14:paraId="067CFBA5" w14:textId="77777777" w:rsidR="00D218D0" w:rsidRPr="00AE4E8D" w:rsidRDefault="00D218D0" w:rsidP="00091EF5">
            <w:pPr>
              <w:keepNext/>
              <w:keepLines/>
              <w:rPr>
                <w:rFonts w:ascii="Times New Roman" w:hAnsi="Times New Roman"/>
                <w:sz w:val="16"/>
                <w:szCs w:val="16"/>
                <w:lang w:val="es-ES"/>
              </w:rPr>
            </w:pPr>
          </w:p>
        </w:tc>
        <w:tc>
          <w:tcPr>
            <w:tcW w:w="507" w:type="pct"/>
            <w:noWrap/>
            <w:vAlign w:val="bottom"/>
          </w:tcPr>
          <w:p w14:paraId="03CE9680" w14:textId="77777777" w:rsidR="00D218D0" w:rsidRPr="00AE4E8D" w:rsidRDefault="00D218D0" w:rsidP="00091EF5">
            <w:pPr>
              <w:keepNext/>
              <w:keepLines/>
              <w:rPr>
                <w:rFonts w:ascii="Times New Roman" w:hAnsi="Times New Roman"/>
                <w:sz w:val="16"/>
                <w:szCs w:val="16"/>
                <w:lang w:val="es-ES"/>
              </w:rPr>
            </w:pPr>
          </w:p>
        </w:tc>
        <w:tc>
          <w:tcPr>
            <w:tcW w:w="625" w:type="pct"/>
            <w:noWrap/>
            <w:vAlign w:val="bottom"/>
          </w:tcPr>
          <w:p w14:paraId="277070C3" w14:textId="77777777" w:rsidR="00D218D0" w:rsidRPr="00AE4E8D" w:rsidRDefault="00D218D0" w:rsidP="00091EF5">
            <w:pPr>
              <w:keepNext/>
              <w:keepLines/>
              <w:rPr>
                <w:rFonts w:ascii="Times New Roman" w:hAnsi="Times New Roman"/>
                <w:sz w:val="16"/>
                <w:szCs w:val="16"/>
                <w:lang w:val="es-ES"/>
              </w:rPr>
            </w:pPr>
          </w:p>
        </w:tc>
      </w:tr>
      <w:tr w:rsidR="00D218D0" w:rsidRPr="00AE4E8D" w14:paraId="377F27F5" w14:textId="77777777" w:rsidTr="000400C8">
        <w:trPr>
          <w:trHeight w:val="255"/>
          <w:jc w:val="center"/>
        </w:trPr>
        <w:tc>
          <w:tcPr>
            <w:tcW w:w="1377" w:type="pct"/>
            <w:noWrap/>
            <w:vAlign w:val="bottom"/>
            <w:hideMark/>
          </w:tcPr>
          <w:p w14:paraId="3F0E21AC" w14:textId="77777777" w:rsidR="00D218D0" w:rsidRPr="00AE4E8D" w:rsidRDefault="00EB3492" w:rsidP="00091EF5">
            <w:pPr>
              <w:keepNext/>
              <w:keepLines/>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Cajas de Ahorro</w:t>
            </w:r>
          </w:p>
        </w:tc>
        <w:tc>
          <w:tcPr>
            <w:tcW w:w="628" w:type="pct"/>
            <w:shd w:val="clear" w:color="auto" w:fill="FFFFFF"/>
            <w:noWrap/>
            <w:vAlign w:val="bottom"/>
            <w:hideMark/>
          </w:tcPr>
          <w:p w14:paraId="1C2E98E8" w14:textId="77777777" w:rsidR="00D218D0" w:rsidRPr="00AE4E8D" w:rsidRDefault="00D218D0" w:rsidP="00091EF5">
            <w:pPr>
              <w:keepNext/>
              <w:keepLines/>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42ACB274" w14:textId="77777777" w:rsidR="00D218D0" w:rsidRPr="00AE4E8D" w:rsidRDefault="00D218D0" w:rsidP="00091EF5">
            <w:pPr>
              <w:keepNext/>
              <w:keepLines/>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7646F27D" w14:textId="77777777" w:rsidR="00D218D0" w:rsidRPr="00AE4E8D" w:rsidRDefault="00D218D0" w:rsidP="00091EF5">
            <w:pPr>
              <w:keepNext/>
              <w:keepLines/>
              <w:rPr>
                <w:rFonts w:ascii="Times New Roman" w:hAnsi="Times New Roman"/>
                <w:sz w:val="16"/>
                <w:szCs w:val="16"/>
                <w:lang w:val="es-ES"/>
              </w:rPr>
            </w:pPr>
          </w:p>
        </w:tc>
        <w:tc>
          <w:tcPr>
            <w:tcW w:w="120" w:type="pct"/>
            <w:noWrap/>
            <w:vAlign w:val="bottom"/>
          </w:tcPr>
          <w:p w14:paraId="1AD1AA43" w14:textId="77777777" w:rsidR="00D218D0" w:rsidRPr="00AE4E8D" w:rsidRDefault="00D218D0" w:rsidP="00091EF5">
            <w:pPr>
              <w:keepNext/>
              <w:keepLines/>
              <w:rPr>
                <w:rFonts w:ascii="Times New Roman" w:hAnsi="Times New Roman"/>
                <w:sz w:val="16"/>
                <w:szCs w:val="16"/>
                <w:lang w:val="es-ES"/>
              </w:rPr>
            </w:pPr>
          </w:p>
        </w:tc>
        <w:tc>
          <w:tcPr>
            <w:tcW w:w="518" w:type="pct"/>
            <w:noWrap/>
            <w:vAlign w:val="bottom"/>
          </w:tcPr>
          <w:p w14:paraId="787D81C3" w14:textId="77777777" w:rsidR="00D218D0" w:rsidRPr="00AE4E8D" w:rsidRDefault="00D218D0" w:rsidP="00091EF5">
            <w:pPr>
              <w:keepNext/>
              <w:keepLines/>
              <w:rPr>
                <w:rFonts w:ascii="Times New Roman" w:hAnsi="Times New Roman"/>
                <w:sz w:val="16"/>
                <w:szCs w:val="16"/>
                <w:lang w:val="es-ES"/>
              </w:rPr>
            </w:pPr>
          </w:p>
        </w:tc>
        <w:tc>
          <w:tcPr>
            <w:tcW w:w="507" w:type="pct"/>
            <w:noWrap/>
            <w:vAlign w:val="bottom"/>
          </w:tcPr>
          <w:p w14:paraId="01E8033D" w14:textId="77777777" w:rsidR="00D218D0" w:rsidRPr="00AE4E8D" w:rsidRDefault="00D218D0" w:rsidP="00091EF5">
            <w:pPr>
              <w:keepNext/>
              <w:keepLines/>
              <w:rPr>
                <w:rFonts w:ascii="Times New Roman" w:hAnsi="Times New Roman"/>
                <w:sz w:val="16"/>
                <w:szCs w:val="16"/>
                <w:lang w:val="es-ES"/>
              </w:rPr>
            </w:pPr>
          </w:p>
        </w:tc>
        <w:tc>
          <w:tcPr>
            <w:tcW w:w="625" w:type="pct"/>
            <w:noWrap/>
            <w:vAlign w:val="bottom"/>
          </w:tcPr>
          <w:p w14:paraId="3CD0F621" w14:textId="77777777" w:rsidR="00D218D0" w:rsidRPr="00AE4E8D" w:rsidRDefault="00D218D0" w:rsidP="00091EF5">
            <w:pPr>
              <w:keepNext/>
              <w:keepLines/>
              <w:rPr>
                <w:rFonts w:ascii="Times New Roman" w:hAnsi="Times New Roman"/>
                <w:sz w:val="16"/>
                <w:szCs w:val="16"/>
                <w:lang w:val="es-ES"/>
              </w:rPr>
            </w:pPr>
          </w:p>
        </w:tc>
      </w:tr>
      <w:tr w:rsidR="00D218D0" w:rsidRPr="00AE4E8D" w14:paraId="5E183D3D" w14:textId="77777777" w:rsidTr="000400C8">
        <w:trPr>
          <w:trHeight w:val="255"/>
          <w:jc w:val="center"/>
        </w:trPr>
        <w:tc>
          <w:tcPr>
            <w:tcW w:w="1377" w:type="pct"/>
            <w:noWrap/>
            <w:vAlign w:val="bottom"/>
            <w:hideMark/>
          </w:tcPr>
          <w:p w14:paraId="242CB5ED" w14:textId="77777777" w:rsidR="00D218D0" w:rsidRPr="00AE4E8D" w:rsidRDefault="00EB3492" w:rsidP="00091EF5">
            <w:pPr>
              <w:keepNext/>
              <w:keepLines/>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624C095B" w14:textId="77777777" w:rsidR="00D218D0" w:rsidRPr="00AE4E8D" w:rsidRDefault="00D218D0"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w:t>
            </w:r>
            <w:r w:rsidRPr="00AE4E8D">
              <w:rPr>
                <w:rFonts w:ascii="Times New Roman" w:hAnsi="Times New Roman"/>
                <w:color w:val="000000"/>
                <w:sz w:val="16"/>
                <w:lang w:val="es-ES"/>
              </w:rPr>
              <w:t>1.</w:t>
            </w:r>
            <w:r w:rsidRPr="00AE4E8D">
              <w:rPr>
                <w:rFonts w:ascii="Times New Roman" w:hAnsi="Times New Roman"/>
                <w:color w:val="000000"/>
                <w:sz w:val="16"/>
                <w:szCs w:val="16"/>
                <w:lang w:val="es-ES"/>
              </w:rPr>
              <w:t>026)</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1A0FD41C" w14:textId="77777777" w:rsidR="00D218D0" w:rsidRPr="00AE4E8D" w:rsidRDefault="00D218D0"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296</w:t>
            </w:r>
            <w:r w:rsidR="00FA3175"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597" w:type="pct"/>
            <w:noWrap/>
            <w:vAlign w:val="bottom"/>
            <w:hideMark/>
          </w:tcPr>
          <w:p w14:paraId="6C48E6CC" w14:textId="77777777" w:rsidR="00D218D0" w:rsidRPr="00AE4E8D" w:rsidRDefault="00D218D0"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(730)</w:t>
            </w:r>
            <w:r w:rsidR="00FA3175"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120" w:type="pct"/>
            <w:noWrap/>
            <w:vAlign w:val="bottom"/>
          </w:tcPr>
          <w:p w14:paraId="43CB1BE4" w14:textId="77777777" w:rsidR="00D218D0" w:rsidRPr="00AE4E8D" w:rsidRDefault="00D218D0" w:rsidP="00091EF5">
            <w:pPr>
              <w:keepNext/>
              <w:keepLines/>
              <w:rPr>
                <w:rFonts w:ascii="Times New Roman" w:hAnsi="Times New Roman"/>
                <w:sz w:val="16"/>
                <w:szCs w:val="16"/>
                <w:lang w:val="es-ES"/>
              </w:rPr>
            </w:pPr>
          </w:p>
        </w:tc>
        <w:tc>
          <w:tcPr>
            <w:tcW w:w="518" w:type="pct"/>
            <w:noWrap/>
            <w:vAlign w:val="bottom"/>
            <w:hideMark/>
          </w:tcPr>
          <w:p w14:paraId="61F9D65D" w14:textId="77777777" w:rsidR="00D218D0" w:rsidRPr="00AE4E8D" w:rsidRDefault="00D218D0"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188</w:t>
            </w:r>
          </w:p>
        </w:tc>
        <w:tc>
          <w:tcPr>
            <w:tcW w:w="507" w:type="pct"/>
            <w:noWrap/>
            <w:vAlign w:val="bottom"/>
            <w:hideMark/>
          </w:tcPr>
          <w:p w14:paraId="48A19423" w14:textId="77777777" w:rsidR="00D218D0" w:rsidRPr="00AE4E8D" w:rsidRDefault="00D218D0"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(114)</w:t>
            </w:r>
          </w:p>
        </w:tc>
        <w:tc>
          <w:tcPr>
            <w:tcW w:w="625" w:type="pct"/>
            <w:noWrap/>
            <w:vAlign w:val="bottom"/>
            <w:hideMark/>
          </w:tcPr>
          <w:p w14:paraId="79BCE132" w14:textId="77777777" w:rsidR="00D218D0" w:rsidRPr="00AE4E8D" w:rsidRDefault="00D218D0"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74</w:t>
            </w:r>
          </w:p>
        </w:tc>
      </w:tr>
      <w:tr w:rsidR="003B5193" w:rsidRPr="00AE4E8D" w14:paraId="7B54D0EA" w14:textId="77777777" w:rsidTr="00E90931">
        <w:trPr>
          <w:trHeight w:val="255"/>
          <w:jc w:val="center"/>
        </w:trPr>
        <w:tc>
          <w:tcPr>
            <w:tcW w:w="1377" w:type="pct"/>
            <w:noWrap/>
            <w:vAlign w:val="bottom"/>
            <w:hideMark/>
          </w:tcPr>
          <w:p w14:paraId="62F23396" w14:textId="77777777" w:rsidR="00D218D0" w:rsidRPr="00AE4E8D" w:rsidRDefault="00EB3492" w:rsidP="00091EF5">
            <w:pPr>
              <w:keepNext/>
              <w:keepLines/>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00B1E6F3" w14:textId="77777777" w:rsidR="00D218D0" w:rsidRPr="00AE4E8D" w:rsidRDefault="00D218D0"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97</w:t>
            </w:r>
          </w:p>
        </w:tc>
        <w:tc>
          <w:tcPr>
            <w:tcW w:w="628" w:type="pct"/>
            <w:tcBorders>
              <w:top w:val="nil"/>
              <w:left w:val="nil"/>
              <w:bottom w:val="single" w:sz="4" w:space="0" w:color="000000"/>
              <w:right w:val="nil"/>
            </w:tcBorders>
            <w:shd w:val="clear" w:color="auto" w:fill="FFFFFF"/>
            <w:noWrap/>
            <w:vAlign w:val="bottom"/>
            <w:hideMark/>
          </w:tcPr>
          <w:p w14:paraId="43F5A981" w14:textId="77777777" w:rsidR="00D218D0" w:rsidRPr="00AE4E8D" w:rsidRDefault="00D218D0"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2</w:t>
            </w:r>
          </w:p>
        </w:tc>
        <w:tc>
          <w:tcPr>
            <w:tcW w:w="597" w:type="pct"/>
            <w:tcBorders>
              <w:top w:val="nil"/>
              <w:left w:val="nil"/>
              <w:bottom w:val="single" w:sz="4" w:space="0" w:color="000000"/>
              <w:right w:val="nil"/>
            </w:tcBorders>
            <w:noWrap/>
            <w:vAlign w:val="bottom"/>
            <w:hideMark/>
          </w:tcPr>
          <w:p w14:paraId="4274A0AB" w14:textId="77777777" w:rsidR="00D218D0" w:rsidRPr="00AE4E8D" w:rsidRDefault="00D218D0"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99</w:t>
            </w:r>
          </w:p>
        </w:tc>
        <w:tc>
          <w:tcPr>
            <w:tcW w:w="120" w:type="pct"/>
            <w:noWrap/>
            <w:vAlign w:val="bottom"/>
          </w:tcPr>
          <w:p w14:paraId="0F448728" w14:textId="77777777" w:rsidR="00D218D0" w:rsidRPr="00AE4E8D" w:rsidRDefault="00D218D0" w:rsidP="00091EF5">
            <w:pPr>
              <w:keepNext/>
              <w:keepLines/>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5301C480" w14:textId="77777777" w:rsidR="00D218D0" w:rsidRPr="00AE4E8D" w:rsidRDefault="00D218D0"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16</w:t>
            </w:r>
          </w:p>
        </w:tc>
        <w:tc>
          <w:tcPr>
            <w:tcW w:w="507" w:type="pct"/>
            <w:noWrap/>
            <w:vAlign w:val="bottom"/>
            <w:hideMark/>
          </w:tcPr>
          <w:p w14:paraId="05DC3A78" w14:textId="77777777" w:rsidR="00D218D0" w:rsidRPr="00AE4E8D" w:rsidRDefault="00D218D0"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(2)</w:t>
            </w:r>
          </w:p>
        </w:tc>
        <w:tc>
          <w:tcPr>
            <w:tcW w:w="625" w:type="pct"/>
            <w:tcBorders>
              <w:top w:val="nil"/>
              <w:left w:val="nil"/>
              <w:bottom w:val="single" w:sz="4" w:space="0" w:color="000000"/>
              <w:right w:val="nil"/>
            </w:tcBorders>
            <w:noWrap/>
            <w:vAlign w:val="bottom"/>
            <w:hideMark/>
          </w:tcPr>
          <w:p w14:paraId="6CBBCA82" w14:textId="77777777" w:rsidR="00D218D0" w:rsidRPr="00AE4E8D" w:rsidRDefault="00D218D0"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14</w:t>
            </w:r>
          </w:p>
        </w:tc>
      </w:tr>
      <w:tr w:rsidR="003B5193" w:rsidRPr="00AE4E8D" w14:paraId="4376455E" w14:textId="77777777" w:rsidTr="00E90931">
        <w:trPr>
          <w:trHeight w:val="255"/>
          <w:jc w:val="center"/>
        </w:trPr>
        <w:tc>
          <w:tcPr>
            <w:tcW w:w="1377" w:type="pct"/>
            <w:noWrap/>
            <w:vAlign w:val="bottom"/>
            <w:hideMark/>
          </w:tcPr>
          <w:p w14:paraId="7FDF8C3A"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3E138A93"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(929)</w:t>
            </w:r>
            <w:r w:rsidR="00FA3175"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0EB80CD6"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298</w:t>
            </w:r>
            <w:r w:rsidR="00FA3175"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597" w:type="pct"/>
            <w:noWrap/>
            <w:vAlign w:val="bottom"/>
            <w:hideMark/>
          </w:tcPr>
          <w:p w14:paraId="45D122A4"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(631)</w:t>
            </w:r>
            <w:r w:rsidR="00FA3175"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120" w:type="pct"/>
            <w:noWrap/>
            <w:vAlign w:val="bottom"/>
          </w:tcPr>
          <w:p w14:paraId="032AD090"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1C8FD5C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204</w:t>
            </w:r>
          </w:p>
        </w:tc>
        <w:tc>
          <w:tcPr>
            <w:tcW w:w="507" w:type="pct"/>
            <w:tcBorders>
              <w:top w:val="single" w:sz="4" w:space="0" w:color="auto"/>
              <w:left w:val="nil"/>
              <w:bottom w:val="nil"/>
              <w:right w:val="nil"/>
            </w:tcBorders>
            <w:noWrap/>
            <w:vAlign w:val="bottom"/>
            <w:hideMark/>
          </w:tcPr>
          <w:p w14:paraId="5508958C"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(116)</w:t>
            </w:r>
          </w:p>
        </w:tc>
        <w:tc>
          <w:tcPr>
            <w:tcW w:w="625" w:type="pct"/>
            <w:noWrap/>
            <w:vAlign w:val="bottom"/>
            <w:hideMark/>
          </w:tcPr>
          <w:p w14:paraId="455E086E"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88</w:t>
            </w:r>
          </w:p>
        </w:tc>
      </w:tr>
      <w:tr w:rsidR="00D218D0" w:rsidRPr="00AE4E8D" w14:paraId="1FD2E5CB" w14:textId="77777777" w:rsidTr="000400C8">
        <w:trPr>
          <w:trHeight w:val="255"/>
          <w:jc w:val="center"/>
        </w:trPr>
        <w:tc>
          <w:tcPr>
            <w:tcW w:w="1377" w:type="pct"/>
            <w:noWrap/>
            <w:vAlign w:val="bottom"/>
            <w:hideMark/>
          </w:tcPr>
          <w:p w14:paraId="2B500616"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Cuentas Corriente</w:t>
            </w:r>
          </w:p>
        </w:tc>
        <w:tc>
          <w:tcPr>
            <w:tcW w:w="628" w:type="pct"/>
            <w:shd w:val="clear" w:color="auto" w:fill="FFFFFF"/>
            <w:noWrap/>
            <w:vAlign w:val="bottom"/>
            <w:hideMark/>
          </w:tcPr>
          <w:p w14:paraId="380632CA"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60D73D15"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3C4F3655" w14:textId="77777777" w:rsidR="00D218D0" w:rsidRPr="00AE4E8D" w:rsidRDefault="00D218D0" w:rsidP="00B52753">
            <w:pPr>
              <w:jc w:val="right"/>
              <w:rPr>
                <w:rFonts w:ascii="Times New Roman" w:hAnsi="Times New Roman"/>
                <w:sz w:val="16"/>
                <w:szCs w:val="16"/>
                <w:lang w:val="es-ES"/>
              </w:rPr>
            </w:pPr>
          </w:p>
        </w:tc>
        <w:tc>
          <w:tcPr>
            <w:tcW w:w="120" w:type="pct"/>
            <w:noWrap/>
            <w:vAlign w:val="bottom"/>
          </w:tcPr>
          <w:p w14:paraId="45E41D57"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5B4670DD"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3864BB75"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0B7843EF" w14:textId="77777777" w:rsidR="00D218D0" w:rsidRPr="00AE4E8D" w:rsidRDefault="00D218D0" w:rsidP="00E90931">
            <w:pPr>
              <w:rPr>
                <w:rFonts w:ascii="Times New Roman" w:hAnsi="Times New Roman"/>
                <w:sz w:val="16"/>
                <w:szCs w:val="16"/>
                <w:lang w:val="es-ES"/>
              </w:rPr>
            </w:pPr>
          </w:p>
        </w:tc>
      </w:tr>
      <w:tr w:rsidR="00C25856" w:rsidRPr="00AE4E8D" w14:paraId="5506F6E4" w14:textId="77777777" w:rsidTr="000400C8">
        <w:trPr>
          <w:trHeight w:val="255"/>
          <w:jc w:val="center"/>
        </w:trPr>
        <w:tc>
          <w:tcPr>
            <w:tcW w:w="1377" w:type="pct"/>
            <w:noWrap/>
            <w:vAlign w:val="bottom"/>
            <w:hideMark/>
          </w:tcPr>
          <w:p w14:paraId="78C65889" w14:textId="77777777" w:rsidR="00C25856"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C25856"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6C3F7E05"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shd w:val="clear" w:color="auto" w:fill="FFFFFF"/>
            <w:noWrap/>
            <w:vAlign w:val="bottom"/>
            <w:hideMark/>
          </w:tcPr>
          <w:p w14:paraId="5AD28891"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noWrap/>
            <w:vAlign w:val="bottom"/>
            <w:hideMark/>
          </w:tcPr>
          <w:p w14:paraId="59CDFB2A"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4E2967F4" w14:textId="77777777" w:rsidR="00C25856" w:rsidRPr="00AE4E8D" w:rsidRDefault="00C25856" w:rsidP="00E90931">
            <w:pPr>
              <w:rPr>
                <w:rFonts w:ascii="Times New Roman" w:hAnsi="Times New Roman"/>
                <w:sz w:val="16"/>
                <w:szCs w:val="16"/>
                <w:lang w:val="es-ES"/>
              </w:rPr>
            </w:pPr>
          </w:p>
        </w:tc>
        <w:tc>
          <w:tcPr>
            <w:tcW w:w="518" w:type="pct"/>
            <w:noWrap/>
            <w:vAlign w:val="bottom"/>
            <w:hideMark/>
          </w:tcPr>
          <w:p w14:paraId="2585D27C"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07" w:type="pct"/>
            <w:noWrap/>
            <w:vAlign w:val="bottom"/>
            <w:hideMark/>
          </w:tcPr>
          <w:p w14:paraId="19E8A688"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5" w:type="pct"/>
            <w:noWrap/>
            <w:vAlign w:val="bottom"/>
            <w:hideMark/>
          </w:tcPr>
          <w:p w14:paraId="0D496DD3"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3B5193" w:rsidRPr="00AE4E8D" w14:paraId="1B5E72A2" w14:textId="77777777" w:rsidTr="00E90931">
        <w:trPr>
          <w:trHeight w:val="255"/>
          <w:jc w:val="center"/>
        </w:trPr>
        <w:tc>
          <w:tcPr>
            <w:tcW w:w="1377" w:type="pct"/>
            <w:noWrap/>
            <w:vAlign w:val="bottom"/>
            <w:hideMark/>
          </w:tcPr>
          <w:p w14:paraId="073A6E5C" w14:textId="77777777" w:rsidR="00C25856"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C25856"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67A8779E"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tcBorders>
              <w:top w:val="nil"/>
              <w:left w:val="nil"/>
              <w:bottom w:val="single" w:sz="4" w:space="0" w:color="000000"/>
              <w:right w:val="nil"/>
            </w:tcBorders>
            <w:shd w:val="clear" w:color="auto" w:fill="FFFFFF"/>
            <w:noWrap/>
            <w:vAlign w:val="bottom"/>
            <w:hideMark/>
          </w:tcPr>
          <w:p w14:paraId="4501CB14"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hideMark/>
          </w:tcPr>
          <w:p w14:paraId="70D8A092"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4194E6DE" w14:textId="77777777" w:rsidR="00C25856" w:rsidRPr="00AE4E8D" w:rsidRDefault="00C25856" w:rsidP="00E90931">
            <w:pPr>
              <w:rPr>
                <w:rFonts w:ascii="Times New Roman" w:hAnsi="Times New Roman"/>
                <w:sz w:val="16"/>
                <w:szCs w:val="16"/>
                <w:lang w:val="es-ES"/>
              </w:rPr>
            </w:pPr>
          </w:p>
        </w:tc>
        <w:tc>
          <w:tcPr>
            <w:tcW w:w="518" w:type="pct"/>
            <w:noWrap/>
            <w:vAlign w:val="bottom"/>
            <w:hideMark/>
          </w:tcPr>
          <w:p w14:paraId="0869A6CC"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07" w:type="pct"/>
            <w:noWrap/>
            <w:vAlign w:val="bottom"/>
            <w:hideMark/>
          </w:tcPr>
          <w:p w14:paraId="583092E9"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5" w:type="pct"/>
            <w:tcBorders>
              <w:top w:val="nil"/>
              <w:left w:val="nil"/>
              <w:bottom w:val="single" w:sz="4" w:space="0" w:color="000000"/>
              <w:right w:val="nil"/>
            </w:tcBorders>
            <w:noWrap/>
            <w:vAlign w:val="bottom"/>
            <w:hideMark/>
          </w:tcPr>
          <w:p w14:paraId="5A80D454"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3B5193" w:rsidRPr="00AE4E8D" w14:paraId="6EBFAE0B" w14:textId="77777777" w:rsidTr="00E90931">
        <w:trPr>
          <w:trHeight w:val="255"/>
          <w:jc w:val="center"/>
        </w:trPr>
        <w:tc>
          <w:tcPr>
            <w:tcW w:w="1377" w:type="pct"/>
            <w:noWrap/>
            <w:vAlign w:val="bottom"/>
            <w:hideMark/>
          </w:tcPr>
          <w:p w14:paraId="11607BB5" w14:textId="77777777" w:rsidR="00C25856"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C25856" w:rsidRPr="00AE4E8D">
              <w:rPr>
                <w:rFonts w:ascii="Times New Roman" w:hAnsi="Times New Roman"/>
                <w:sz w:val="16"/>
                <w:szCs w:val="16"/>
                <w:lang w:val="es-ES"/>
              </w:rPr>
              <w:t>Total</w:t>
            </w:r>
          </w:p>
        </w:tc>
        <w:tc>
          <w:tcPr>
            <w:tcW w:w="628" w:type="pct"/>
            <w:shd w:val="clear" w:color="auto" w:fill="FFFFFF"/>
            <w:noWrap/>
            <w:vAlign w:val="bottom"/>
            <w:hideMark/>
          </w:tcPr>
          <w:p w14:paraId="3D7693D7"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shd w:val="clear" w:color="auto" w:fill="FFFFFF"/>
            <w:noWrap/>
            <w:vAlign w:val="bottom"/>
            <w:hideMark/>
          </w:tcPr>
          <w:p w14:paraId="091264B8"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noWrap/>
            <w:vAlign w:val="bottom"/>
            <w:hideMark/>
          </w:tcPr>
          <w:p w14:paraId="21AE9082"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40EA7E67" w14:textId="77777777" w:rsidR="00C25856" w:rsidRPr="00AE4E8D" w:rsidRDefault="00C25856" w:rsidP="00E90931">
            <w:pPr>
              <w:rPr>
                <w:rFonts w:ascii="Times New Roman" w:hAnsi="Times New Roman"/>
                <w:sz w:val="16"/>
                <w:szCs w:val="16"/>
                <w:lang w:val="es-ES"/>
              </w:rPr>
            </w:pPr>
          </w:p>
        </w:tc>
        <w:tc>
          <w:tcPr>
            <w:tcW w:w="518" w:type="pct"/>
            <w:tcBorders>
              <w:top w:val="single" w:sz="4" w:space="0" w:color="auto"/>
              <w:left w:val="nil"/>
              <w:bottom w:val="nil"/>
              <w:right w:val="nil"/>
            </w:tcBorders>
            <w:noWrap/>
            <w:vAlign w:val="bottom"/>
            <w:hideMark/>
          </w:tcPr>
          <w:p w14:paraId="7F001194"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07" w:type="pct"/>
            <w:tcBorders>
              <w:top w:val="single" w:sz="4" w:space="0" w:color="auto"/>
              <w:left w:val="nil"/>
              <w:bottom w:val="nil"/>
              <w:right w:val="nil"/>
            </w:tcBorders>
            <w:noWrap/>
            <w:vAlign w:val="bottom"/>
            <w:hideMark/>
          </w:tcPr>
          <w:p w14:paraId="40AF44A4"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5" w:type="pct"/>
            <w:noWrap/>
            <w:vAlign w:val="bottom"/>
            <w:hideMark/>
          </w:tcPr>
          <w:p w14:paraId="1EE91462"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D218D0" w:rsidRPr="00AE4E8D" w14:paraId="4FABBE94" w14:textId="77777777" w:rsidTr="000400C8">
        <w:trPr>
          <w:trHeight w:val="255"/>
          <w:jc w:val="center"/>
        </w:trPr>
        <w:tc>
          <w:tcPr>
            <w:tcW w:w="1377" w:type="pct"/>
            <w:noWrap/>
            <w:vAlign w:val="bottom"/>
            <w:hideMark/>
          </w:tcPr>
          <w:p w14:paraId="4A84CFE9"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Depósitos a plazo fijo</w:t>
            </w:r>
          </w:p>
        </w:tc>
        <w:tc>
          <w:tcPr>
            <w:tcW w:w="628" w:type="pct"/>
            <w:shd w:val="clear" w:color="auto" w:fill="FFFFFF"/>
            <w:noWrap/>
            <w:vAlign w:val="bottom"/>
            <w:hideMark/>
          </w:tcPr>
          <w:p w14:paraId="6428F77B"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12AB21B9"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4A39693C" w14:textId="77777777" w:rsidR="00D218D0" w:rsidRPr="00AE4E8D" w:rsidRDefault="00D218D0" w:rsidP="00B52753">
            <w:pPr>
              <w:jc w:val="right"/>
              <w:rPr>
                <w:rFonts w:ascii="Times New Roman" w:hAnsi="Times New Roman"/>
                <w:sz w:val="16"/>
                <w:szCs w:val="16"/>
                <w:lang w:val="es-ES"/>
              </w:rPr>
            </w:pPr>
          </w:p>
        </w:tc>
        <w:tc>
          <w:tcPr>
            <w:tcW w:w="120" w:type="pct"/>
            <w:noWrap/>
            <w:vAlign w:val="bottom"/>
          </w:tcPr>
          <w:p w14:paraId="1786F106"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2ED93EEF"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5F5022CD"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2053F35B" w14:textId="77777777" w:rsidR="00D218D0" w:rsidRPr="00AE4E8D" w:rsidRDefault="00D218D0" w:rsidP="00E90931">
            <w:pPr>
              <w:rPr>
                <w:rFonts w:ascii="Times New Roman" w:hAnsi="Times New Roman"/>
                <w:sz w:val="16"/>
                <w:szCs w:val="16"/>
                <w:lang w:val="es-ES"/>
              </w:rPr>
            </w:pPr>
          </w:p>
        </w:tc>
      </w:tr>
      <w:tr w:rsidR="00D218D0" w:rsidRPr="00AE4E8D" w14:paraId="300BE62C" w14:textId="77777777" w:rsidTr="000400C8">
        <w:trPr>
          <w:trHeight w:val="255"/>
          <w:jc w:val="center"/>
        </w:trPr>
        <w:tc>
          <w:tcPr>
            <w:tcW w:w="1377" w:type="pct"/>
            <w:noWrap/>
            <w:vAlign w:val="bottom"/>
            <w:hideMark/>
          </w:tcPr>
          <w:p w14:paraId="0ABB096A"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4464CC39"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(229.877)</w:t>
            </w:r>
          </w:p>
        </w:tc>
        <w:tc>
          <w:tcPr>
            <w:tcW w:w="628" w:type="pct"/>
            <w:shd w:val="clear" w:color="auto" w:fill="FFFFFF"/>
            <w:noWrap/>
            <w:vAlign w:val="bottom"/>
            <w:hideMark/>
          </w:tcPr>
          <w:p w14:paraId="69FB80B2"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492.554 </w:t>
            </w:r>
          </w:p>
        </w:tc>
        <w:tc>
          <w:tcPr>
            <w:tcW w:w="597" w:type="pct"/>
            <w:noWrap/>
            <w:vAlign w:val="bottom"/>
            <w:hideMark/>
          </w:tcPr>
          <w:p w14:paraId="70850C45"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262.677 </w:t>
            </w:r>
          </w:p>
        </w:tc>
        <w:tc>
          <w:tcPr>
            <w:tcW w:w="120" w:type="pct"/>
            <w:noWrap/>
            <w:vAlign w:val="bottom"/>
          </w:tcPr>
          <w:p w14:paraId="3B34AA94"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6E80BED0"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461.550</w:t>
            </w:r>
          </w:p>
        </w:tc>
        <w:tc>
          <w:tcPr>
            <w:tcW w:w="507" w:type="pct"/>
            <w:noWrap/>
            <w:vAlign w:val="bottom"/>
            <w:hideMark/>
          </w:tcPr>
          <w:p w14:paraId="5C25239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360.175</w:t>
            </w:r>
          </w:p>
        </w:tc>
        <w:tc>
          <w:tcPr>
            <w:tcW w:w="625" w:type="pct"/>
            <w:noWrap/>
            <w:vAlign w:val="bottom"/>
            <w:hideMark/>
          </w:tcPr>
          <w:p w14:paraId="17D3B67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821.725</w:t>
            </w:r>
          </w:p>
        </w:tc>
      </w:tr>
      <w:tr w:rsidR="003B5193" w:rsidRPr="00AE4E8D" w14:paraId="79F0FCA1" w14:textId="77777777" w:rsidTr="00E90931">
        <w:trPr>
          <w:trHeight w:val="255"/>
          <w:jc w:val="center"/>
        </w:trPr>
        <w:tc>
          <w:tcPr>
            <w:tcW w:w="1377" w:type="pct"/>
            <w:noWrap/>
            <w:vAlign w:val="bottom"/>
            <w:hideMark/>
          </w:tcPr>
          <w:p w14:paraId="5389F1E3"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6E116B60"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11.291 </w:t>
            </w:r>
          </w:p>
        </w:tc>
        <w:tc>
          <w:tcPr>
            <w:tcW w:w="628" w:type="pct"/>
            <w:tcBorders>
              <w:top w:val="nil"/>
              <w:left w:val="nil"/>
              <w:bottom w:val="single" w:sz="4" w:space="0" w:color="000000"/>
              <w:right w:val="nil"/>
            </w:tcBorders>
            <w:shd w:val="clear" w:color="auto" w:fill="FFFFFF"/>
            <w:noWrap/>
            <w:vAlign w:val="bottom"/>
            <w:hideMark/>
          </w:tcPr>
          <w:p w14:paraId="2D5140E1"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22.558</w:t>
            </w:r>
          </w:p>
        </w:tc>
        <w:tc>
          <w:tcPr>
            <w:tcW w:w="597" w:type="pct"/>
            <w:tcBorders>
              <w:top w:val="nil"/>
              <w:left w:val="nil"/>
              <w:bottom w:val="single" w:sz="4" w:space="0" w:color="000000"/>
              <w:right w:val="nil"/>
            </w:tcBorders>
            <w:noWrap/>
            <w:vAlign w:val="bottom"/>
            <w:hideMark/>
          </w:tcPr>
          <w:p w14:paraId="2132CD15"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33.848</w:t>
            </w:r>
          </w:p>
        </w:tc>
        <w:tc>
          <w:tcPr>
            <w:tcW w:w="120" w:type="pct"/>
            <w:noWrap/>
            <w:vAlign w:val="bottom"/>
          </w:tcPr>
          <w:p w14:paraId="34F27433"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54608CA3"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(1.109)</w:t>
            </w:r>
          </w:p>
        </w:tc>
        <w:tc>
          <w:tcPr>
            <w:tcW w:w="507" w:type="pct"/>
            <w:noWrap/>
            <w:vAlign w:val="bottom"/>
            <w:hideMark/>
          </w:tcPr>
          <w:p w14:paraId="17002754" w14:textId="77777777" w:rsidR="00D218D0" w:rsidRPr="00AE4E8D" w:rsidRDefault="00D218D0" w:rsidP="00CF4C7B">
            <w:pPr>
              <w:jc w:val="right"/>
              <w:rPr>
                <w:rFonts w:ascii="Times New Roman" w:hAnsi="Times New Roman"/>
                <w:sz w:val="16"/>
                <w:szCs w:val="16"/>
                <w:lang w:val="es-ES"/>
              </w:rPr>
            </w:pPr>
            <w:r w:rsidRPr="00AE4E8D">
              <w:rPr>
                <w:rFonts w:ascii="Times New Roman" w:hAnsi="Times New Roman"/>
                <w:sz w:val="16"/>
                <w:szCs w:val="16"/>
                <w:lang w:val="es-ES"/>
              </w:rPr>
              <w:t>(1.49</w:t>
            </w:r>
            <w:r w:rsidR="00CF4C7B" w:rsidRPr="00AE4E8D">
              <w:rPr>
                <w:rFonts w:ascii="Times New Roman" w:hAnsi="Times New Roman"/>
                <w:sz w:val="16"/>
                <w:szCs w:val="16"/>
                <w:lang w:val="es-ES"/>
              </w:rPr>
              <w:t>2</w:t>
            </w:r>
            <w:r w:rsidRPr="00AE4E8D">
              <w:rPr>
                <w:rFonts w:ascii="Times New Roman" w:hAnsi="Times New Roman"/>
                <w:sz w:val="16"/>
                <w:szCs w:val="16"/>
                <w:lang w:val="es-ES"/>
              </w:rPr>
              <w:t>)</w:t>
            </w:r>
          </w:p>
        </w:tc>
        <w:tc>
          <w:tcPr>
            <w:tcW w:w="625" w:type="pct"/>
            <w:tcBorders>
              <w:top w:val="nil"/>
              <w:left w:val="nil"/>
              <w:bottom w:val="single" w:sz="4" w:space="0" w:color="000000"/>
              <w:right w:val="nil"/>
            </w:tcBorders>
            <w:noWrap/>
            <w:vAlign w:val="bottom"/>
            <w:hideMark/>
          </w:tcPr>
          <w:p w14:paraId="7BF17A62"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(2.600)</w:t>
            </w:r>
          </w:p>
        </w:tc>
      </w:tr>
      <w:tr w:rsidR="003B5193" w:rsidRPr="00AE4E8D" w14:paraId="6FC3E1F9" w14:textId="77777777" w:rsidTr="00E90931">
        <w:trPr>
          <w:trHeight w:val="255"/>
          <w:jc w:val="center"/>
        </w:trPr>
        <w:tc>
          <w:tcPr>
            <w:tcW w:w="1377" w:type="pct"/>
            <w:noWrap/>
            <w:vAlign w:val="bottom"/>
            <w:hideMark/>
          </w:tcPr>
          <w:p w14:paraId="2D18B695"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282142FA"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(218.586)</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1F134A49"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515.112</w:t>
            </w:r>
            <w:r w:rsidR="00EB3492" w:rsidRPr="00AE4E8D">
              <w:rPr>
                <w:rFonts w:ascii="Times New Roman" w:hAnsi="Times New Roman"/>
                <w:color w:val="000000"/>
                <w:sz w:val="16"/>
                <w:szCs w:val="16"/>
                <w:lang w:val="es-ES"/>
              </w:rPr>
              <w:t xml:space="preserve">     </w:t>
            </w:r>
          </w:p>
        </w:tc>
        <w:tc>
          <w:tcPr>
            <w:tcW w:w="597" w:type="pct"/>
            <w:noWrap/>
            <w:vAlign w:val="bottom"/>
            <w:hideMark/>
          </w:tcPr>
          <w:p w14:paraId="4215A7B7"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296.525 </w:t>
            </w:r>
          </w:p>
        </w:tc>
        <w:tc>
          <w:tcPr>
            <w:tcW w:w="120" w:type="pct"/>
            <w:noWrap/>
            <w:vAlign w:val="bottom"/>
          </w:tcPr>
          <w:p w14:paraId="53CFDF1C"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68AF27E3"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460.44</w:t>
            </w:r>
            <w:r w:rsidR="00CF4C7B" w:rsidRPr="00AE4E8D">
              <w:rPr>
                <w:rFonts w:ascii="Times New Roman" w:hAnsi="Times New Roman"/>
                <w:sz w:val="16"/>
                <w:szCs w:val="16"/>
                <w:lang w:val="es-ES"/>
              </w:rPr>
              <w:t>1</w:t>
            </w:r>
          </w:p>
        </w:tc>
        <w:tc>
          <w:tcPr>
            <w:tcW w:w="507" w:type="pct"/>
            <w:tcBorders>
              <w:top w:val="single" w:sz="4" w:space="0" w:color="auto"/>
              <w:left w:val="nil"/>
              <w:bottom w:val="nil"/>
              <w:right w:val="nil"/>
            </w:tcBorders>
            <w:noWrap/>
            <w:vAlign w:val="bottom"/>
            <w:hideMark/>
          </w:tcPr>
          <w:p w14:paraId="229A0CD4" w14:textId="77777777" w:rsidR="00D218D0" w:rsidRPr="00AE4E8D" w:rsidRDefault="00D218D0" w:rsidP="00CF4C7B">
            <w:pPr>
              <w:jc w:val="right"/>
              <w:rPr>
                <w:rFonts w:ascii="Times New Roman" w:hAnsi="Times New Roman"/>
                <w:sz w:val="16"/>
                <w:szCs w:val="16"/>
                <w:lang w:val="es-ES"/>
              </w:rPr>
            </w:pPr>
            <w:r w:rsidRPr="00AE4E8D">
              <w:rPr>
                <w:rFonts w:ascii="Times New Roman" w:hAnsi="Times New Roman"/>
                <w:sz w:val="16"/>
                <w:szCs w:val="16"/>
                <w:lang w:val="es-ES"/>
              </w:rPr>
              <w:t>358.</w:t>
            </w:r>
            <w:r w:rsidR="00CF4C7B" w:rsidRPr="00AE4E8D">
              <w:rPr>
                <w:rFonts w:ascii="Times New Roman" w:hAnsi="Times New Roman"/>
                <w:sz w:val="16"/>
                <w:szCs w:val="16"/>
                <w:lang w:val="es-ES"/>
              </w:rPr>
              <w:t>683</w:t>
            </w:r>
          </w:p>
        </w:tc>
        <w:tc>
          <w:tcPr>
            <w:tcW w:w="625" w:type="pct"/>
            <w:noWrap/>
            <w:vAlign w:val="bottom"/>
            <w:hideMark/>
          </w:tcPr>
          <w:p w14:paraId="0AEAE0EF"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819.125</w:t>
            </w:r>
          </w:p>
        </w:tc>
      </w:tr>
      <w:tr w:rsidR="00D218D0" w:rsidRPr="00AE4E8D" w14:paraId="387447D4" w14:textId="77777777" w:rsidTr="000400C8">
        <w:trPr>
          <w:trHeight w:val="255"/>
          <w:jc w:val="center"/>
        </w:trPr>
        <w:tc>
          <w:tcPr>
            <w:tcW w:w="1377" w:type="pct"/>
            <w:noWrap/>
            <w:vAlign w:val="bottom"/>
            <w:hideMark/>
          </w:tcPr>
          <w:p w14:paraId="48C113A7"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Otros bancos y ent. Internacionales</w:t>
            </w:r>
          </w:p>
        </w:tc>
        <w:tc>
          <w:tcPr>
            <w:tcW w:w="628" w:type="pct"/>
            <w:shd w:val="clear" w:color="auto" w:fill="FFFFFF"/>
            <w:noWrap/>
            <w:vAlign w:val="bottom"/>
            <w:hideMark/>
          </w:tcPr>
          <w:p w14:paraId="321BD3CC"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709902B0"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39090203"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299F1278"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56945637"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13BC66E8"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3DC48D7A" w14:textId="77777777" w:rsidR="00D218D0" w:rsidRPr="00AE4E8D" w:rsidRDefault="00D218D0" w:rsidP="00E90931">
            <w:pPr>
              <w:rPr>
                <w:rFonts w:ascii="Times New Roman" w:hAnsi="Times New Roman"/>
                <w:sz w:val="16"/>
                <w:szCs w:val="16"/>
                <w:lang w:val="es-ES"/>
              </w:rPr>
            </w:pPr>
          </w:p>
        </w:tc>
      </w:tr>
      <w:tr w:rsidR="00D218D0" w:rsidRPr="00AE4E8D" w14:paraId="0A5486EF" w14:textId="77777777" w:rsidTr="000400C8">
        <w:trPr>
          <w:trHeight w:val="255"/>
          <w:jc w:val="center"/>
        </w:trPr>
        <w:tc>
          <w:tcPr>
            <w:tcW w:w="1377" w:type="pct"/>
            <w:noWrap/>
            <w:vAlign w:val="bottom"/>
            <w:hideMark/>
          </w:tcPr>
          <w:p w14:paraId="5FF466EE"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3E1DAD46"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71.565</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138D3717"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(83.886)</w:t>
            </w:r>
            <w:r w:rsidR="00EB3492" w:rsidRPr="00AE4E8D">
              <w:rPr>
                <w:rFonts w:ascii="Times New Roman" w:hAnsi="Times New Roman"/>
                <w:color w:val="000000"/>
                <w:sz w:val="16"/>
                <w:szCs w:val="16"/>
                <w:lang w:val="es-ES"/>
              </w:rPr>
              <w:t xml:space="preserve">     </w:t>
            </w:r>
          </w:p>
        </w:tc>
        <w:tc>
          <w:tcPr>
            <w:tcW w:w="597" w:type="pct"/>
            <w:noWrap/>
            <w:vAlign w:val="bottom"/>
            <w:hideMark/>
          </w:tcPr>
          <w:p w14:paraId="2B872CF9"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(12.321)</w:t>
            </w:r>
            <w:r w:rsidR="00EB3492" w:rsidRPr="00AE4E8D">
              <w:rPr>
                <w:rFonts w:ascii="Times New Roman" w:hAnsi="Times New Roman"/>
                <w:color w:val="000000"/>
                <w:sz w:val="16"/>
                <w:szCs w:val="16"/>
                <w:lang w:val="es-ES"/>
              </w:rPr>
              <w:t xml:space="preserve">     </w:t>
            </w:r>
          </w:p>
        </w:tc>
        <w:tc>
          <w:tcPr>
            <w:tcW w:w="120" w:type="pct"/>
            <w:noWrap/>
            <w:vAlign w:val="bottom"/>
          </w:tcPr>
          <w:p w14:paraId="7BD50819"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36A49767"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25.226</w:t>
            </w:r>
          </w:p>
        </w:tc>
        <w:tc>
          <w:tcPr>
            <w:tcW w:w="507" w:type="pct"/>
            <w:noWrap/>
            <w:vAlign w:val="bottom"/>
            <w:hideMark/>
          </w:tcPr>
          <w:p w14:paraId="635108AE"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7.486</w:t>
            </w:r>
          </w:p>
        </w:tc>
        <w:tc>
          <w:tcPr>
            <w:tcW w:w="625" w:type="pct"/>
            <w:noWrap/>
            <w:vAlign w:val="bottom"/>
            <w:hideMark/>
          </w:tcPr>
          <w:p w14:paraId="36C6F93E"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32.712</w:t>
            </w:r>
          </w:p>
        </w:tc>
      </w:tr>
      <w:tr w:rsidR="003B5193" w:rsidRPr="00AE4E8D" w14:paraId="510AB1E0" w14:textId="77777777" w:rsidTr="00E90931">
        <w:trPr>
          <w:trHeight w:val="255"/>
          <w:jc w:val="center"/>
        </w:trPr>
        <w:tc>
          <w:tcPr>
            <w:tcW w:w="1377" w:type="pct"/>
            <w:noWrap/>
            <w:vAlign w:val="bottom"/>
            <w:hideMark/>
          </w:tcPr>
          <w:p w14:paraId="67C93645"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2D33DECB"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(308)</w:t>
            </w:r>
            <w:r w:rsidR="00FA3175"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628" w:type="pct"/>
            <w:tcBorders>
              <w:top w:val="nil"/>
              <w:left w:val="nil"/>
              <w:bottom w:val="single" w:sz="4" w:space="0" w:color="000000"/>
              <w:right w:val="nil"/>
            </w:tcBorders>
            <w:shd w:val="clear" w:color="auto" w:fill="FFFFFF"/>
            <w:noWrap/>
            <w:vAlign w:val="bottom"/>
            <w:hideMark/>
          </w:tcPr>
          <w:p w14:paraId="39F6D089"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51</w:t>
            </w:r>
          </w:p>
        </w:tc>
        <w:tc>
          <w:tcPr>
            <w:tcW w:w="597" w:type="pct"/>
            <w:tcBorders>
              <w:top w:val="nil"/>
              <w:left w:val="nil"/>
              <w:bottom w:val="single" w:sz="4" w:space="0" w:color="000000"/>
              <w:right w:val="nil"/>
            </w:tcBorders>
            <w:noWrap/>
            <w:vAlign w:val="bottom"/>
            <w:hideMark/>
          </w:tcPr>
          <w:p w14:paraId="4CAAF9DA"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lang w:val="es-ES"/>
              </w:rPr>
              <w:t>(</w:t>
            </w:r>
            <w:r w:rsidRPr="00AE4E8D">
              <w:rPr>
                <w:rFonts w:ascii="Times New Roman" w:hAnsi="Times New Roman"/>
                <w:color w:val="000000"/>
                <w:sz w:val="16"/>
                <w:szCs w:val="16"/>
                <w:lang w:val="es-ES"/>
              </w:rPr>
              <w:t>257</w:t>
            </w:r>
            <w:r w:rsidRPr="00AE4E8D">
              <w:rPr>
                <w:rFonts w:ascii="Times New Roman" w:hAnsi="Times New Roman"/>
                <w:color w:val="000000"/>
                <w:sz w:val="16"/>
                <w:lang w:val="es-ES"/>
              </w:rPr>
              <w:t>)</w:t>
            </w:r>
          </w:p>
        </w:tc>
        <w:tc>
          <w:tcPr>
            <w:tcW w:w="120" w:type="pct"/>
            <w:noWrap/>
            <w:vAlign w:val="bottom"/>
          </w:tcPr>
          <w:p w14:paraId="563FF11E"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6E11EC5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3.746</w:t>
            </w:r>
          </w:p>
        </w:tc>
        <w:tc>
          <w:tcPr>
            <w:tcW w:w="507" w:type="pct"/>
            <w:tcBorders>
              <w:top w:val="nil"/>
              <w:left w:val="nil"/>
              <w:bottom w:val="single" w:sz="4" w:space="0" w:color="000000"/>
              <w:right w:val="nil"/>
            </w:tcBorders>
            <w:noWrap/>
            <w:vAlign w:val="bottom"/>
            <w:hideMark/>
          </w:tcPr>
          <w:p w14:paraId="40A449F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(1.363)</w:t>
            </w:r>
          </w:p>
        </w:tc>
        <w:tc>
          <w:tcPr>
            <w:tcW w:w="625" w:type="pct"/>
            <w:tcBorders>
              <w:top w:val="nil"/>
              <w:left w:val="nil"/>
              <w:bottom w:val="single" w:sz="4" w:space="0" w:color="000000"/>
              <w:right w:val="nil"/>
            </w:tcBorders>
            <w:noWrap/>
            <w:vAlign w:val="bottom"/>
            <w:hideMark/>
          </w:tcPr>
          <w:p w14:paraId="79B5DDC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2.383</w:t>
            </w:r>
          </w:p>
        </w:tc>
      </w:tr>
      <w:tr w:rsidR="00D218D0" w:rsidRPr="00AE4E8D" w14:paraId="6E664656" w14:textId="77777777" w:rsidTr="000400C8">
        <w:trPr>
          <w:trHeight w:val="255"/>
          <w:jc w:val="center"/>
        </w:trPr>
        <w:tc>
          <w:tcPr>
            <w:tcW w:w="1377" w:type="pct"/>
            <w:noWrap/>
            <w:vAlign w:val="bottom"/>
            <w:hideMark/>
          </w:tcPr>
          <w:p w14:paraId="2256C567"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75DFD0E3"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71.257</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265D97D1"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(83.83</w:t>
            </w:r>
            <w:r w:rsidR="00C25856" w:rsidRPr="00AE4E8D">
              <w:rPr>
                <w:rFonts w:ascii="Times New Roman" w:hAnsi="Times New Roman"/>
                <w:color w:val="000000"/>
                <w:sz w:val="16"/>
                <w:szCs w:val="16"/>
                <w:lang w:val="es-ES"/>
              </w:rPr>
              <w:t>5</w:t>
            </w:r>
            <w:r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p>
        </w:tc>
        <w:tc>
          <w:tcPr>
            <w:tcW w:w="597" w:type="pct"/>
            <w:noWrap/>
            <w:vAlign w:val="bottom"/>
            <w:hideMark/>
          </w:tcPr>
          <w:p w14:paraId="6F95F06F" w14:textId="77777777" w:rsidR="00D218D0" w:rsidRPr="00AE4E8D" w:rsidRDefault="00D218D0" w:rsidP="00326001">
            <w:pPr>
              <w:jc w:val="right"/>
              <w:rPr>
                <w:rFonts w:ascii="Times New Roman" w:hAnsi="Times New Roman"/>
                <w:color w:val="000000"/>
                <w:sz w:val="16"/>
                <w:lang w:val="es-ES"/>
              </w:rPr>
            </w:pPr>
            <w:r w:rsidRPr="00AE4E8D">
              <w:rPr>
                <w:rFonts w:ascii="Times New Roman" w:hAnsi="Times New Roman"/>
                <w:color w:val="000000"/>
                <w:sz w:val="16"/>
                <w:szCs w:val="16"/>
                <w:lang w:val="es-ES"/>
              </w:rPr>
              <w:t>(12.</w:t>
            </w:r>
            <w:r w:rsidR="00CF4C7B" w:rsidRPr="00AE4E8D">
              <w:rPr>
                <w:rFonts w:ascii="Times New Roman" w:hAnsi="Times New Roman"/>
                <w:color w:val="000000"/>
                <w:sz w:val="16"/>
                <w:szCs w:val="16"/>
                <w:lang w:val="es-ES"/>
              </w:rPr>
              <w:t>57</w:t>
            </w:r>
            <w:r w:rsidR="00326001" w:rsidRPr="00AE4E8D">
              <w:rPr>
                <w:rFonts w:ascii="Times New Roman" w:hAnsi="Times New Roman"/>
                <w:color w:val="000000"/>
                <w:sz w:val="16"/>
                <w:szCs w:val="16"/>
                <w:lang w:val="es-ES"/>
              </w:rPr>
              <w:t>8</w:t>
            </w:r>
            <w:r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p>
        </w:tc>
        <w:tc>
          <w:tcPr>
            <w:tcW w:w="120" w:type="pct"/>
            <w:noWrap/>
            <w:vAlign w:val="bottom"/>
          </w:tcPr>
          <w:p w14:paraId="6635C569"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37E34D5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28.972</w:t>
            </w:r>
          </w:p>
        </w:tc>
        <w:tc>
          <w:tcPr>
            <w:tcW w:w="507" w:type="pct"/>
            <w:noWrap/>
            <w:vAlign w:val="bottom"/>
            <w:hideMark/>
          </w:tcPr>
          <w:p w14:paraId="261B2101"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6.123</w:t>
            </w:r>
          </w:p>
        </w:tc>
        <w:tc>
          <w:tcPr>
            <w:tcW w:w="625" w:type="pct"/>
            <w:noWrap/>
            <w:vAlign w:val="bottom"/>
            <w:hideMark/>
          </w:tcPr>
          <w:p w14:paraId="79CDFCC0"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35.095</w:t>
            </w:r>
          </w:p>
        </w:tc>
      </w:tr>
      <w:tr w:rsidR="00D218D0" w:rsidRPr="00AE4E8D" w14:paraId="46213F9F" w14:textId="77777777" w:rsidTr="000400C8">
        <w:trPr>
          <w:trHeight w:val="255"/>
          <w:jc w:val="center"/>
        </w:trPr>
        <w:tc>
          <w:tcPr>
            <w:tcW w:w="1377" w:type="pct"/>
            <w:noWrap/>
            <w:vAlign w:val="bottom"/>
            <w:hideMark/>
          </w:tcPr>
          <w:p w14:paraId="64A5435B" w14:textId="77777777" w:rsidR="00D218D0" w:rsidRPr="00AE4E8D" w:rsidRDefault="00D218D0" w:rsidP="00E90931">
            <w:pPr>
              <w:rPr>
                <w:rFonts w:ascii="Times New Roman" w:hAnsi="Times New Roman"/>
                <w:b/>
                <w:bCs/>
                <w:sz w:val="16"/>
                <w:szCs w:val="16"/>
                <w:lang w:val="es-ES"/>
              </w:rPr>
            </w:pPr>
            <w:r w:rsidRPr="00AE4E8D">
              <w:rPr>
                <w:rFonts w:ascii="Times New Roman" w:hAnsi="Times New Roman"/>
                <w:b/>
                <w:bCs/>
                <w:sz w:val="16"/>
                <w:szCs w:val="16"/>
                <w:lang w:val="es-ES"/>
              </w:rPr>
              <w:t>Obligaciones negociables</w:t>
            </w:r>
          </w:p>
        </w:tc>
        <w:tc>
          <w:tcPr>
            <w:tcW w:w="628" w:type="pct"/>
            <w:shd w:val="clear" w:color="auto" w:fill="FFFFFF"/>
            <w:noWrap/>
            <w:vAlign w:val="bottom"/>
            <w:hideMark/>
          </w:tcPr>
          <w:p w14:paraId="3315EC7A"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6B1DC5CE"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703A6698" w14:textId="77777777" w:rsidR="00D218D0" w:rsidRPr="00AE4E8D" w:rsidRDefault="00D218D0" w:rsidP="00B52753">
            <w:pPr>
              <w:jc w:val="right"/>
              <w:rPr>
                <w:rFonts w:ascii="Times New Roman" w:hAnsi="Times New Roman"/>
                <w:sz w:val="16"/>
                <w:szCs w:val="16"/>
                <w:lang w:val="es-ES"/>
              </w:rPr>
            </w:pPr>
          </w:p>
        </w:tc>
        <w:tc>
          <w:tcPr>
            <w:tcW w:w="120" w:type="pct"/>
            <w:noWrap/>
            <w:vAlign w:val="bottom"/>
          </w:tcPr>
          <w:p w14:paraId="0B7ED1AE"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1B3EA873"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4DD10C02"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67C68676" w14:textId="77777777" w:rsidR="00D218D0" w:rsidRPr="00AE4E8D" w:rsidRDefault="00D218D0" w:rsidP="00E90931">
            <w:pPr>
              <w:rPr>
                <w:rFonts w:ascii="Times New Roman" w:hAnsi="Times New Roman"/>
                <w:sz w:val="16"/>
                <w:szCs w:val="16"/>
                <w:lang w:val="es-ES"/>
              </w:rPr>
            </w:pPr>
          </w:p>
        </w:tc>
      </w:tr>
      <w:tr w:rsidR="00D218D0" w:rsidRPr="00AE4E8D" w14:paraId="701749B8" w14:textId="77777777" w:rsidTr="000400C8">
        <w:trPr>
          <w:trHeight w:val="255"/>
          <w:jc w:val="center"/>
        </w:trPr>
        <w:tc>
          <w:tcPr>
            <w:tcW w:w="1377" w:type="pct"/>
            <w:noWrap/>
            <w:vAlign w:val="bottom"/>
            <w:hideMark/>
          </w:tcPr>
          <w:p w14:paraId="0492A00A"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08125AFB"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26.021 </w:t>
            </w:r>
          </w:p>
        </w:tc>
        <w:tc>
          <w:tcPr>
            <w:tcW w:w="628" w:type="pct"/>
            <w:shd w:val="clear" w:color="auto" w:fill="FFFFFF"/>
            <w:noWrap/>
            <w:vAlign w:val="bottom"/>
            <w:hideMark/>
          </w:tcPr>
          <w:p w14:paraId="4338FD44"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437.057 </w:t>
            </w:r>
          </w:p>
        </w:tc>
        <w:tc>
          <w:tcPr>
            <w:tcW w:w="597" w:type="pct"/>
            <w:noWrap/>
            <w:vAlign w:val="bottom"/>
            <w:hideMark/>
          </w:tcPr>
          <w:p w14:paraId="7C58E860"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463.078 </w:t>
            </w:r>
          </w:p>
        </w:tc>
        <w:tc>
          <w:tcPr>
            <w:tcW w:w="120" w:type="pct"/>
            <w:noWrap/>
            <w:vAlign w:val="bottom"/>
          </w:tcPr>
          <w:p w14:paraId="79D7A06F"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6032C260"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159.903</w:t>
            </w:r>
          </w:p>
        </w:tc>
        <w:tc>
          <w:tcPr>
            <w:tcW w:w="507" w:type="pct"/>
            <w:noWrap/>
            <w:vAlign w:val="bottom"/>
            <w:hideMark/>
          </w:tcPr>
          <w:p w14:paraId="1657C70D"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55.173</w:t>
            </w:r>
          </w:p>
        </w:tc>
        <w:tc>
          <w:tcPr>
            <w:tcW w:w="625" w:type="pct"/>
            <w:noWrap/>
            <w:vAlign w:val="bottom"/>
            <w:hideMark/>
          </w:tcPr>
          <w:p w14:paraId="407BFFF6"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215.076</w:t>
            </w:r>
          </w:p>
        </w:tc>
      </w:tr>
      <w:tr w:rsidR="003B5193" w:rsidRPr="00AE4E8D" w14:paraId="615D398D" w14:textId="77777777" w:rsidTr="00E90931">
        <w:trPr>
          <w:trHeight w:val="255"/>
          <w:jc w:val="center"/>
        </w:trPr>
        <w:tc>
          <w:tcPr>
            <w:tcW w:w="1377" w:type="pct"/>
            <w:noWrap/>
            <w:vAlign w:val="bottom"/>
            <w:hideMark/>
          </w:tcPr>
          <w:p w14:paraId="48741161"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27CB81B1"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362.666 </w:t>
            </w:r>
          </w:p>
        </w:tc>
        <w:tc>
          <w:tcPr>
            <w:tcW w:w="628" w:type="pct"/>
            <w:tcBorders>
              <w:top w:val="nil"/>
              <w:left w:val="nil"/>
              <w:bottom w:val="single" w:sz="4" w:space="0" w:color="000000"/>
              <w:right w:val="nil"/>
            </w:tcBorders>
            <w:shd w:val="clear" w:color="auto" w:fill="FFFFFF"/>
            <w:noWrap/>
            <w:vAlign w:val="bottom"/>
            <w:hideMark/>
          </w:tcPr>
          <w:p w14:paraId="453B39C5"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(161.750)</w:t>
            </w:r>
          </w:p>
        </w:tc>
        <w:tc>
          <w:tcPr>
            <w:tcW w:w="597" w:type="pct"/>
            <w:tcBorders>
              <w:top w:val="nil"/>
              <w:left w:val="nil"/>
              <w:bottom w:val="single" w:sz="4" w:space="0" w:color="000000"/>
              <w:right w:val="nil"/>
            </w:tcBorders>
            <w:noWrap/>
            <w:vAlign w:val="bottom"/>
            <w:hideMark/>
          </w:tcPr>
          <w:p w14:paraId="0C240593"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200.917</w:t>
            </w:r>
          </w:p>
        </w:tc>
        <w:tc>
          <w:tcPr>
            <w:tcW w:w="120" w:type="pct"/>
            <w:noWrap/>
            <w:vAlign w:val="bottom"/>
          </w:tcPr>
          <w:p w14:paraId="5CF6850F" w14:textId="77777777" w:rsidR="00D218D0" w:rsidRPr="00AE4E8D" w:rsidRDefault="00D218D0"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785B742D"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40.066</w:t>
            </w:r>
          </w:p>
        </w:tc>
        <w:tc>
          <w:tcPr>
            <w:tcW w:w="507" w:type="pct"/>
            <w:tcBorders>
              <w:top w:val="nil"/>
              <w:left w:val="nil"/>
              <w:bottom w:val="single" w:sz="4" w:space="0" w:color="000000"/>
              <w:right w:val="nil"/>
            </w:tcBorders>
            <w:noWrap/>
            <w:vAlign w:val="bottom"/>
            <w:hideMark/>
          </w:tcPr>
          <w:p w14:paraId="6784D97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338</w:t>
            </w:r>
          </w:p>
        </w:tc>
        <w:tc>
          <w:tcPr>
            <w:tcW w:w="625" w:type="pct"/>
            <w:tcBorders>
              <w:top w:val="nil"/>
              <w:left w:val="nil"/>
              <w:bottom w:val="single" w:sz="4" w:space="0" w:color="000000"/>
              <w:right w:val="nil"/>
            </w:tcBorders>
            <w:noWrap/>
            <w:vAlign w:val="bottom"/>
            <w:hideMark/>
          </w:tcPr>
          <w:p w14:paraId="6E983CB1"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40.404</w:t>
            </w:r>
          </w:p>
        </w:tc>
      </w:tr>
      <w:tr w:rsidR="00D218D0" w:rsidRPr="00AE4E8D" w14:paraId="52C806F2" w14:textId="77777777" w:rsidTr="000400C8">
        <w:trPr>
          <w:trHeight w:val="255"/>
          <w:jc w:val="center"/>
        </w:trPr>
        <w:tc>
          <w:tcPr>
            <w:tcW w:w="1377" w:type="pct"/>
            <w:noWrap/>
            <w:vAlign w:val="bottom"/>
            <w:hideMark/>
          </w:tcPr>
          <w:p w14:paraId="5075BBC0"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4FB0934F"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388.687 </w:t>
            </w:r>
          </w:p>
        </w:tc>
        <w:tc>
          <w:tcPr>
            <w:tcW w:w="628" w:type="pct"/>
            <w:shd w:val="clear" w:color="auto" w:fill="FFFFFF"/>
            <w:noWrap/>
            <w:vAlign w:val="bottom"/>
            <w:hideMark/>
          </w:tcPr>
          <w:p w14:paraId="44102061"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275.307</w:t>
            </w:r>
            <w:r w:rsidR="00EB3492" w:rsidRPr="00AE4E8D">
              <w:rPr>
                <w:rFonts w:ascii="Times New Roman" w:hAnsi="Times New Roman"/>
                <w:color w:val="000000"/>
                <w:sz w:val="16"/>
                <w:szCs w:val="16"/>
                <w:lang w:val="es-ES"/>
              </w:rPr>
              <w:t xml:space="preserve">     </w:t>
            </w:r>
          </w:p>
        </w:tc>
        <w:tc>
          <w:tcPr>
            <w:tcW w:w="597" w:type="pct"/>
            <w:noWrap/>
            <w:vAlign w:val="bottom"/>
            <w:hideMark/>
          </w:tcPr>
          <w:p w14:paraId="39B70B8B" w14:textId="77777777" w:rsidR="00D218D0" w:rsidRPr="00AE4E8D" w:rsidRDefault="00EB3492" w:rsidP="00942294">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663.</w:t>
            </w:r>
            <w:r w:rsidR="00CF4C7B" w:rsidRPr="00AE4E8D">
              <w:rPr>
                <w:rFonts w:ascii="Times New Roman" w:hAnsi="Times New Roman"/>
                <w:color w:val="000000"/>
                <w:sz w:val="16"/>
                <w:szCs w:val="16"/>
                <w:lang w:val="es-ES"/>
              </w:rPr>
              <w:t>99</w:t>
            </w:r>
            <w:r w:rsidR="00506F68">
              <w:rPr>
                <w:rFonts w:ascii="Times New Roman" w:hAnsi="Times New Roman"/>
                <w:color w:val="000000"/>
                <w:sz w:val="16"/>
                <w:szCs w:val="16"/>
                <w:lang w:val="es-ES"/>
              </w:rPr>
              <w:t>5</w:t>
            </w:r>
            <w:r w:rsidR="00CF4C7B" w:rsidRPr="00AE4E8D">
              <w:rPr>
                <w:rFonts w:ascii="Times New Roman" w:hAnsi="Times New Roman"/>
                <w:color w:val="000000"/>
                <w:sz w:val="16"/>
                <w:szCs w:val="16"/>
                <w:lang w:val="es-ES"/>
              </w:rPr>
              <w:t xml:space="preserve"> </w:t>
            </w:r>
          </w:p>
        </w:tc>
        <w:tc>
          <w:tcPr>
            <w:tcW w:w="120" w:type="pct"/>
            <w:noWrap/>
            <w:vAlign w:val="bottom"/>
          </w:tcPr>
          <w:p w14:paraId="3E42B953"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20CC7939"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199.969</w:t>
            </w:r>
          </w:p>
        </w:tc>
        <w:tc>
          <w:tcPr>
            <w:tcW w:w="507" w:type="pct"/>
            <w:noWrap/>
            <w:vAlign w:val="bottom"/>
            <w:hideMark/>
          </w:tcPr>
          <w:p w14:paraId="5F5351E7"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55.511</w:t>
            </w:r>
          </w:p>
        </w:tc>
        <w:tc>
          <w:tcPr>
            <w:tcW w:w="625" w:type="pct"/>
            <w:noWrap/>
            <w:vAlign w:val="bottom"/>
            <w:hideMark/>
          </w:tcPr>
          <w:p w14:paraId="1A79EEB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255.480</w:t>
            </w:r>
          </w:p>
        </w:tc>
      </w:tr>
      <w:tr w:rsidR="00D218D0" w:rsidRPr="00AE4E8D" w14:paraId="4BA38239" w14:textId="77777777" w:rsidTr="000400C8">
        <w:trPr>
          <w:trHeight w:val="255"/>
          <w:jc w:val="center"/>
        </w:trPr>
        <w:tc>
          <w:tcPr>
            <w:tcW w:w="1377" w:type="pct"/>
            <w:noWrap/>
            <w:vAlign w:val="bottom"/>
            <w:hideMark/>
          </w:tcPr>
          <w:p w14:paraId="5EBF66A7" w14:textId="77777777" w:rsidR="00D218D0" w:rsidRPr="00AE4E8D" w:rsidRDefault="00D218D0" w:rsidP="00E90931">
            <w:pPr>
              <w:rPr>
                <w:rFonts w:ascii="Times New Roman" w:hAnsi="Times New Roman"/>
                <w:b/>
                <w:bCs/>
                <w:sz w:val="16"/>
                <w:szCs w:val="16"/>
                <w:lang w:val="es-ES"/>
              </w:rPr>
            </w:pPr>
            <w:r w:rsidRPr="00AE4E8D">
              <w:rPr>
                <w:rFonts w:ascii="Times New Roman" w:hAnsi="Times New Roman"/>
                <w:b/>
                <w:bCs/>
                <w:sz w:val="16"/>
                <w:szCs w:val="16"/>
                <w:lang w:val="es-ES"/>
              </w:rPr>
              <w:t>Pases pasivos</w:t>
            </w:r>
          </w:p>
        </w:tc>
        <w:tc>
          <w:tcPr>
            <w:tcW w:w="628" w:type="pct"/>
            <w:shd w:val="clear" w:color="auto" w:fill="FFFFFF"/>
            <w:noWrap/>
            <w:vAlign w:val="bottom"/>
            <w:hideMark/>
          </w:tcPr>
          <w:p w14:paraId="6FD1EE5B"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63B20328" w14:textId="77777777" w:rsidR="00D218D0" w:rsidRPr="00AE4E8D" w:rsidRDefault="00D218D0"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3F2FF72A" w14:textId="77777777" w:rsidR="00D218D0" w:rsidRPr="00AE4E8D" w:rsidRDefault="00D218D0" w:rsidP="00E90931">
            <w:pPr>
              <w:rPr>
                <w:rFonts w:ascii="Times New Roman" w:hAnsi="Times New Roman"/>
                <w:sz w:val="16"/>
                <w:szCs w:val="16"/>
                <w:lang w:val="es-ES"/>
              </w:rPr>
            </w:pPr>
          </w:p>
        </w:tc>
        <w:tc>
          <w:tcPr>
            <w:tcW w:w="120" w:type="pct"/>
            <w:noWrap/>
            <w:vAlign w:val="bottom"/>
          </w:tcPr>
          <w:p w14:paraId="2E29D3BC"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15ACA618"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1B6CB58C"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347D72A2" w14:textId="77777777" w:rsidR="00D218D0" w:rsidRPr="00AE4E8D" w:rsidRDefault="00D218D0" w:rsidP="00E90931">
            <w:pPr>
              <w:rPr>
                <w:rFonts w:ascii="Times New Roman" w:hAnsi="Times New Roman"/>
                <w:sz w:val="16"/>
                <w:szCs w:val="16"/>
                <w:lang w:val="es-ES"/>
              </w:rPr>
            </w:pPr>
          </w:p>
        </w:tc>
      </w:tr>
      <w:tr w:rsidR="00D218D0" w:rsidRPr="00AE4E8D" w14:paraId="46A7E361" w14:textId="77777777" w:rsidTr="000400C8">
        <w:trPr>
          <w:trHeight w:val="255"/>
          <w:jc w:val="center"/>
        </w:trPr>
        <w:tc>
          <w:tcPr>
            <w:tcW w:w="1377" w:type="pct"/>
            <w:noWrap/>
            <w:vAlign w:val="bottom"/>
            <w:hideMark/>
          </w:tcPr>
          <w:p w14:paraId="5AC7A896"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389B6134"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59.234</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3BECD225"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(693)</w:t>
            </w:r>
            <w:r w:rsidR="00FA3175"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597" w:type="pct"/>
            <w:noWrap/>
            <w:vAlign w:val="bottom"/>
            <w:hideMark/>
          </w:tcPr>
          <w:p w14:paraId="0746AF82"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58.541 </w:t>
            </w:r>
          </w:p>
        </w:tc>
        <w:tc>
          <w:tcPr>
            <w:tcW w:w="120" w:type="pct"/>
            <w:noWrap/>
            <w:vAlign w:val="bottom"/>
          </w:tcPr>
          <w:p w14:paraId="3DC7CE71"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3547921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36.027</w:t>
            </w:r>
          </w:p>
        </w:tc>
        <w:tc>
          <w:tcPr>
            <w:tcW w:w="507" w:type="pct"/>
            <w:noWrap/>
            <w:vAlign w:val="bottom"/>
            <w:hideMark/>
          </w:tcPr>
          <w:p w14:paraId="15BBD89E"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3.661</w:t>
            </w:r>
          </w:p>
        </w:tc>
        <w:tc>
          <w:tcPr>
            <w:tcW w:w="625" w:type="pct"/>
            <w:noWrap/>
            <w:vAlign w:val="bottom"/>
            <w:hideMark/>
          </w:tcPr>
          <w:p w14:paraId="6271E696"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39.688</w:t>
            </w:r>
          </w:p>
        </w:tc>
      </w:tr>
      <w:tr w:rsidR="003B5193" w:rsidRPr="00AE4E8D" w14:paraId="272CE8BA" w14:textId="77777777" w:rsidTr="00E90931">
        <w:trPr>
          <w:trHeight w:val="255"/>
          <w:jc w:val="center"/>
        </w:trPr>
        <w:tc>
          <w:tcPr>
            <w:tcW w:w="1377" w:type="pct"/>
            <w:noWrap/>
            <w:vAlign w:val="bottom"/>
            <w:hideMark/>
          </w:tcPr>
          <w:p w14:paraId="31CAE6BE" w14:textId="77777777" w:rsidR="00C25856"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C25856"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5002CD15"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tcBorders>
              <w:top w:val="nil"/>
              <w:left w:val="nil"/>
              <w:bottom w:val="single" w:sz="4" w:space="0" w:color="000000"/>
              <w:right w:val="nil"/>
            </w:tcBorders>
            <w:shd w:val="clear" w:color="auto" w:fill="FFFFFF"/>
            <w:noWrap/>
            <w:vAlign w:val="bottom"/>
            <w:hideMark/>
          </w:tcPr>
          <w:p w14:paraId="1682721A"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hideMark/>
          </w:tcPr>
          <w:p w14:paraId="25601043"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715C9262" w14:textId="77777777" w:rsidR="00C25856" w:rsidRPr="00AE4E8D" w:rsidRDefault="00C25856"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0768B4B6"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07" w:type="pct"/>
            <w:tcBorders>
              <w:top w:val="nil"/>
              <w:left w:val="nil"/>
              <w:bottom w:val="single" w:sz="4" w:space="0" w:color="000000"/>
              <w:right w:val="nil"/>
            </w:tcBorders>
            <w:noWrap/>
            <w:vAlign w:val="bottom"/>
            <w:hideMark/>
          </w:tcPr>
          <w:p w14:paraId="56E96E60"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5" w:type="pct"/>
            <w:tcBorders>
              <w:top w:val="nil"/>
              <w:left w:val="nil"/>
              <w:bottom w:val="single" w:sz="4" w:space="0" w:color="000000"/>
              <w:right w:val="nil"/>
            </w:tcBorders>
            <w:noWrap/>
            <w:vAlign w:val="bottom"/>
            <w:hideMark/>
          </w:tcPr>
          <w:p w14:paraId="543C44EC"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D218D0" w:rsidRPr="00AE4E8D" w14:paraId="37BA46A6" w14:textId="77777777" w:rsidTr="000400C8">
        <w:trPr>
          <w:trHeight w:val="255"/>
          <w:jc w:val="center"/>
        </w:trPr>
        <w:tc>
          <w:tcPr>
            <w:tcW w:w="1377" w:type="pct"/>
            <w:noWrap/>
            <w:vAlign w:val="bottom"/>
            <w:hideMark/>
          </w:tcPr>
          <w:p w14:paraId="00E8FCFE"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053E5273"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59.234</w:t>
            </w:r>
            <w:r w:rsidR="00EB3492" w:rsidRPr="00AE4E8D">
              <w:rPr>
                <w:rFonts w:ascii="Times New Roman" w:hAnsi="Times New Roman"/>
                <w:color w:val="000000"/>
                <w:sz w:val="16"/>
                <w:szCs w:val="16"/>
                <w:lang w:val="es-ES"/>
              </w:rPr>
              <w:t xml:space="preserve">      </w:t>
            </w:r>
          </w:p>
        </w:tc>
        <w:tc>
          <w:tcPr>
            <w:tcW w:w="628" w:type="pct"/>
            <w:shd w:val="clear" w:color="auto" w:fill="FFFFFF"/>
            <w:noWrap/>
            <w:vAlign w:val="bottom"/>
            <w:hideMark/>
          </w:tcPr>
          <w:p w14:paraId="42EDC5C4"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(693)</w:t>
            </w:r>
            <w:r w:rsidR="00FA3175" w:rsidRPr="00AE4E8D">
              <w:rPr>
                <w:rFonts w:ascii="Times New Roman" w:hAnsi="Times New Roman"/>
                <w:color w:val="000000"/>
                <w:sz w:val="16"/>
                <w:szCs w:val="16"/>
                <w:lang w:val="es-ES"/>
              </w:rPr>
              <w:t xml:space="preserve"> </w:t>
            </w:r>
            <w:r w:rsidRPr="00AE4E8D">
              <w:rPr>
                <w:rFonts w:ascii="Times New Roman" w:hAnsi="Times New Roman"/>
                <w:color w:val="000000"/>
                <w:sz w:val="16"/>
                <w:szCs w:val="16"/>
                <w:lang w:val="es-ES"/>
              </w:rPr>
              <w:t xml:space="preserve"> </w:t>
            </w:r>
          </w:p>
        </w:tc>
        <w:tc>
          <w:tcPr>
            <w:tcW w:w="597" w:type="pct"/>
            <w:noWrap/>
            <w:vAlign w:val="bottom"/>
            <w:hideMark/>
          </w:tcPr>
          <w:p w14:paraId="36C8DA2F" w14:textId="77777777" w:rsidR="00D218D0"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58.541 </w:t>
            </w:r>
          </w:p>
        </w:tc>
        <w:tc>
          <w:tcPr>
            <w:tcW w:w="120" w:type="pct"/>
            <w:noWrap/>
            <w:vAlign w:val="bottom"/>
          </w:tcPr>
          <w:p w14:paraId="52671FD4"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593CF14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36.027</w:t>
            </w:r>
          </w:p>
        </w:tc>
        <w:tc>
          <w:tcPr>
            <w:tcW w:w="507" w:type="pct"/>
            <w:noWrap/>
            <w:vAlign w:val="bottom"/>
            <w:hideMark/>
          </w:tcPr>
          <w:p w14:paraId="1201859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3.661</w:t>
            </w:r>
          </w:p>
        </w:tc>
        <w:tc>
          <w:tcPr>
            <w:tcW w:w="625" w:type="pct"/>
            <w:noWrap/>
            <w:vAlign w:val="bottom"/>
            <w:hideMark/>
          </w:tcPr>
          <w:p w14:paraId="5F6EC64C"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39.688</w:t>
            </w:r>
          </w:p>
        </w:tc>
      </w:tr>
      <w:tr w:rsidR="00D218D0" w:rsidRPr="00AE4E8D" w14:paraId="11EE978F" w14:textId="77777777" w:rsidTr="000400C8">
        <w:trPr>
          <w:trHeight w:val="255"/>
          <w:jc w:val="center"/>
        </w:trPr>
        <w:tc>
          <w:tcPr>
            <w:tcW w:w="1377" w:type="pct"/>
            <w:noWrap/>
            <w:vAlign w:val="bottom"/>
            <w:hideMark/>
          </w:tcPr>
          <w:p w14:paraId="00351D82"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Otros Depósitos</w:t>
            </w:r>
          </w:p>
        </w:tc>
        <w:tc>
          <w:tcPr>
            <w:tcW w:w="628" w:type="pct"/>
            <w:shd w:val="clear" w:color="auto" w:fill="FFFFFF"/>
            <w:noWrap/>
            <w:vAlign w:val="bottom"/>
            <w:hideMark/>
          </w:tcPr>
          <w:p w14:paraId="10B9B77B"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3FC0A674"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5CBE7DE5" w14:textId="77777777" w:rsidR="00D218D0" w:rsidRPr="00AE4E8D" w:rsidRDefault="00D218D0" w:rsidP="00B52753">
            <w:pPr>
              <w:jc w:val="right"/>
              <w:rPr>
                <w:rFonts w:ascii="Times New Roman" w:hAnsi="Times New Roman"/>
                <w:sz w:val="16"/>
                <w:szCs w:val="16"/>
                <w:lang w:val="es-ES"/>
              </w:rPr>
            </w:pPr>
          </w:p>
        </w:tc>
        <w:tc>
          <w:tcPr>
            <w:tcW w:w="120" w:type="pct"/>
            <w:noWrap/>
            <w:vAlign w:val="bottom"/>
          </w:tcPr>
          <w:p w14:paraId="12F0B0BB"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36B8B70C"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67531B47"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7A4A5D6A" w14:textId="77777777" w:rsidR="00D218D0" w:rsidRPr="00AE4E8D" w:rsidRDefault="00D218D0" w:rsidP="00E90931">
            <w:pPr>
              <w:rPr>
                <w:rFonts w:ascii="Times New Roman" w:hAnsi="Times New Roman"/>
                <w:sz w:val="16"/>
                <w:szCs w:val="16"/>
                <w:lang w:val="es-ES"/>
              </w:rPr>
            </w:pPr>
          </w:p>
        </w:tc>
      </w:tr>
      <w:tr w:rsidR="00D218D0" w:rsidRPr="00AE4E8D" w14:paraId="57B22C41" w14:textId="77777777" w:rsidTr="000400C8">
        <w:trPr>
          <w:trHeight w:val="255"/>
          <w:jc w:val="center"/>
        </w:trPr>
        <w:tc>
          <w:tcPr>
            <w:tcW w:w="1377" w:type="pct"/>
            <w:noWrap/>
            <w:vAlign w:val="bottom"/>
            <w:hideMark/>
          </w:tcPr>
          <w:p w14:paraId="0938F9BB"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shd w:val="clear" w:color="auto" w:fill="FFFFFF"/>
            <w:noWrap/>
            <w:vAlign w:val="bottom"/>
            <w:hideMark/>
          </w:tcPr>
          <w:p w14:paraId="69D137EC" w14:textId="77777777" w:rsidR="00D218D0" w:rsidRPr="00AE4E8D" w:rsidRDefault="00FA3175"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(29)</w:t>
            </w:r>
          </w:p>
        </w:tc>
        <w:tc>
          <w:tcPr>
            <w:tcW w:w="628" w:type="pct"/>
            <w:shd w:val="clear" w:color="auto" w:fill="FFFFFF"/>
            <w:noWrap/>
            <w:vAlign w:val="bottom"/>
            <w:hideMark/>
          </w:tcPr>
          <w:p w14:paraId="1A5B5365" w14:textId="77777777" w:rsidR="00D218D0" w:rsidRPr="00AE4E8D" w:rsidRDefault="00FA3175"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173 </w:t>
            </w:r>
          </w:p>
        </w:tc>
        <w:tc>
          <w:tcPr>
            <w:tcW w:w="597" w:type="pct"/>
            <w:noWrap/>
            <w:vAlign w:val="bottom"/>
            <w:hideMark/>
          </w:tcPr>
          <w:p w14:paraId="3C9B0A6E" w14:textId="77777777" w:rsidR="00D218D0" w:rsidRPr="00AE4E8D" w:rsidRDefault="00FA3175"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144 </w:t>
            </w:r>
          </w:p>
        </w:tc>
        <w:tc>
          <w:tcPr>
            <w:tcW w:w="120" w:type="pct"/>
            <w:noWrap/>
            <w:vAlign w:val="bottom"/>
          </w:tcPr>
          <w:p w14:paraId="22EBF568"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51324948"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w:t>
            </w:r>
          </w:p>
        </w:tc>
        <w:tc>
          <w:tcPr>
            <w:tcW w:w="507" w:type="pct"/>
            <w:noWrap/>
            <w:vAlign w:val="bottom"/>
            <w:hideMark/>
          </w:tcPr>
          <w:p w14:paraId="11323955"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(5)</w:t>
            </w:r>
          </w:p>
        </w:tc>
        <w:tc>
          <w:tcPr>
            <w:tcW w:w="625" w:type="pct"/>
            <w:noWrap/>
            <w:vAlign w:val="bottom"/>
            <w:hideMark/>
          </w:tcPr>
          <w:p w14:paraId="4ECE341D"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w:t>
            </w:r>
          </w:p>
        </w:tc>
      </w:tr>
      <w:tr w:rsidR="003B5193" w:rsidRPr="00AE4E8D" w14:paraId="3713668A" w14:textId="77777777" w:rsidTr="00E90931">
        <w:trPr>
          <w:trHeight w:val="255"/>
          <w:jc w:val="center"/>
        </w:trPr>
        <w:tc>
          <w:tcPr>
            <w:tcW w:w="1377" w:type="pct"/>
            <w:noWrap/>
            <w:vAlign w:val="bottom"/>
            <w:hideMark/>
          </w:tcPr>
          <w:p w14:paraId="69588CC8" w14:textId="77777777" w:rsidR="00C25856"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C25856" w:rsidRPr="00AE4E8D">
              <w:rPr>
                <w:rFonts w:ascii="Times New Roman" w:hAnsi="Times New Roman"/>
                <w:sz w:val="16"/>
                <w:szCs w:val="16"/>
                <w:lang w:val="es-ES"/>
              </w:rPr>
              <w:t>Dólares Est.</w:t>
            </w:r>
          </w:p>
        </w:tc>
        <w:tc>
          <w:tcPr>
            <w:tcW w:w="628" w:type="pct"/>
            <w:tcBorders>
              <w:top w:val="nil"/>
              <w:left w:val="nil"/>
              <w:bottom w:val="single" w:sz="4" w:space="0" w:color="000000"/>
              <w:right w:val="nil"/>
            </w:tcBorders>
            <w:shd w:val="clear" w:color="auto" w:fill="FFFFFF"/>
            <w:noWrap/>
            <w:vAlign w:val="bottom"/>
            <w:hideMark/>
          </w:tcPr>
          <w:p w14:paraId="051DC654"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8" w:type="pct"/>
            <w:tcBorders>
              <w:top w:val="nil"/>
              <w:left w:val="nil"/>
              <w:bottom w:val="single" w:sz="4" w:space="0" w:color="000000"/>
              <w:right w:val="nil"/>
            </w:tcBorders>
            <w:shd w:val="clear" w:color="auto" w:fill="FFFFFF"/>
            <w:noWrap/>
            <w:vAlign w:val="bottom"/>
            <w:hideMark/>
          </w:tcPr>
          <w:p w14:paraId="624E26AE"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97" w:type="pct"/>
            <w:tcBorders>
              <w:top w:val="nil"/>
              <w:left w:val="nil"/>
              <w:bottom w:val="single" w:sz="4" w:space="0" w:color="000000"/>
              <w:right w:val="nil"/>
            </w:tcBorders>
            <w:noWrap/>
            <w:vAlign w:val="bottom"/>
            <w:hideMark/>
          </w:tcPr>
          <w:p w14:paraId="6B2EDAD1" w14:textId="77777777" w:rsidR="00C25856"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bottom"/>
          </w:tcPr>
          <w:p w14:paraId="7F8D7C8F" w14:textId="77777777" w:rsidR="00C25856" w:rsidRPr="00AE4E8D" w:rsidRDefault="00C25856" w:rsidP="00E90931">
            <w:pPr>
              <w:rPr>
                <w:rFonts w:ascii="Times New Roman" w:hAnsi="Times New Roman"/>
                <w:sz w:val="16"/>
                <w:szCs w:val="16"/>
                <w:lang w:val="es-ES"/>
              </w:rPr>
            </w:pPr>
          </w:p>
        </w:tc>
        <w:tc>
          <w:tcPr>
            <w:tcW w:w="518" w:type="pct"/>
            <w:tcBorders>
              <w:top w:val="nil"/>
              <w:left w:val="nil"/>
              <w:bottom w:val="single" w:sz="4" w:space="0" w:color="000000"/>
              <w:right w:val="nil"/>
            </w:tcBorders>
            <w:noWrap/>
            <w:vAlign w:val="bottom"/>
            <w:hideMark/>
          </w:tcPr>
          <w:p w14:paraId="71F064DF" w14:textId="77777777" w:rsidR="00C25856" w:rsidRPr="00AE4E8D" w:rsidRDefault="00C25856" w:rsidP="00BD536D">
            <w:pPr>
              <w:jc w:val="right"/>
              <w:rPr>
                <w:rFonts w:ascii="Times New Roman" w:hAnsi="Times New Roman"/>
                <w:sz w:val="16"/>
                <w:szCs w:val="16"/>
                <w:lang w:val="es-ES"/>
              </w:rPr>
            </w:pPr>
            <w:r w:rsidRPr="00AE4E8D">
              <w:rPr>
                <w:rFonts w:ascii="Times New Roman" w:hAnsi="Times New Roman"/>
                <w:sz w:val="16"/>
                <w:szCs w:val="16"/>
                <w:lang w:val="es-ES"/>
              </w:rPr>
              <w:t>-</w:t>
            </w:r>
          </w:p>
        </w:tc>
        <w:tc>
          <w:tcPr>
            <w:tcW w:w="507" w:type="pct"/>
            <w:tcBorders>
              <w:top w:val="nil"/>
              <w:left w:val="nil"/>
              <w:bottom w:val="single" w:sz="4" w:space="0" w:color="000000"/>
              <w:right w:val="nil"/>
            </w:tcBorders>
            <w:noWrap/>
            <w:vAlign w:val="bottom"/>
            <w:hideMark/>
          </w:tcPr>
          <w:p w14:paraId="2E5AA0A5" w14:textId="77777777" w:rsidR="00C25856" w:rsidRPr="00AE4E8D" w:rsidRDefault="00C25856" w:rsidP="00BD536D">
            <w:pPr>
              <w:jc w:val="right"/>
              <w:rPr>
                <w:rFonts w:ascii="Times New Roman" w:hAnsi="Times New Roman"/>
                <w:sz w:val="16"/>
                <w:szCs w:val="16"/>
                <w:lang w:val="es-ES"/>
              </w:rPr>
            </w:pPr>
            <w:r w:rsidRPr="00AE4E8D">
              <w:rPr>
                <w:rFonts w:ascii="Times New Roman" w:hAnsi="Times New Roman"/>
                <w:sz w:val="16"/>
                <w:szCs w:val="16"/>
                <w:lang w:val="es-ES"/>
              </w:rPr>
              <w:t>-</w:t>
            </w:r>
          </w:p>
        </w:tc>
        <w:tc>
          <w:tcPr>
            <w:tcW w:w="625" w:type="pct"/>
            <w:tcBorders>
              <w:top w:val="nil"/>
              <w:left w:val="nil"/>
              <w:bottom w:val="single" w:sz="4" w:space="0" w:color="000000"/>
              <w:right w:val="nil"/>
            </w:tcBorders>
            <w:noWrap/>
            <w:vAlign w:val="bottom"/>
            <w:hideMark/>
          </w:tcPr>
          <w:p w14:paraId="65D1A77D" w14:textId="77777777" w:rsidR="00C25856" w:rsidRPr="00AE4E8D" w:rsidRDefault="00C25856" w:rsidP="009D0AFD">
            <w:pPr>
              <w:jc w:val="right"/>
              <w:rPr>
                <w:rFonts w:ascii="Times New Roman" w:hAnsi="Times New Roman"/>
                <w:sz w:val="16"/>
                <w:szCs w:val="16"/>
                <w:lang w:val="es-ES"/>
              </w:rPr>
            </w:pPr>
            <w:r w:rsidRPr="00AE4E8D">
              <w:rPr>
                <w:rFonts w:ascii="Times New Roman" w:hAnsi="Times New Roman"/>
                <w:sz w:val="16"/>
                <w:szCs w:val="16"/>
                <w:lang w:val="es-ES"/>
              </w:rPr>
              <w:t>-</w:t>
            </w:r>
          </w:p>
        </w:tc>
      </w:tr>
      <w:tr w:rsidR="00D218D0" w:rsidRPr="00AE4E8D" w14:paraId="30F65D62" w14:textId="77777777" w:rsidTr="000400C8">
        <w:trPr>
          <w:trHeight w:val="255"/>
          <w:jc w:val="center"/>
        </w:trPr>
        <w:tc>
          <w:tcPr>
            <w:tcW w:w="1377" w:type="pct"/>
            <w:noWrap/>
            <w:vAlign w:val="bottom"/>
            <w:hideMark/>
          </w:tcPr>
          <w:p w14:paraId="7E5186D5"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Total</w:t>
            </w:r>
          </w:p>
        </w:tc>
        <w:tc>
          <w:tcPr>
            <w:tcW w:w="628" w:type="pct"/>
            <w:shd w:val="clear" w:color="auto" w:fill="FFFFFF"/>
            <w:noWrap/>
            <w:vAlign w:val="bottom"/>
            <w:hideMark/>
          </w:tcPr>
          <w:p w14:paraId="18AE9D41" w14:textId="77777777" w:rsidR="00D218D0" w:rsidRPr="00AE4E8D" w:rsidRDefault="009D0AFD" w:rsidP="00E90931">
            <w:pPr>
              <w:jc w:val="right"/>
              <w:rPr>
                <w:rFonts w:ascii="Times New Roman" w:hAnsi="Times New Roman"/>
                <w:sz w:val="16"/>
                <w:szCs w:val="16"/>
                <w:lang w:val="es-ES"/>
              </w:rPr>
            </w:pPr>
            <w:r w:rsidRPr="00AE4E8D">
              <w:rPr>
                <w:rFonts w:ascii="Times New Roman" w:hAnsi="Times New Roman"/>
                <w:sz w:val="16"/>
                <w:szCs w:val="16"/>
                <w:lang w:val="es-ES"/>
              </w:rPr>
              <w:t>(</w:t>
            </w:r>
            <w:r w:rsidR="00C25856" w:rsidRPr="00AE4E8D">
              <w:rPr>
                <w:rFonts w:ascii="Times New Roman" w:hAnsi="Times New Roman"/>
                <w:sz w:val="16"/>
                <w:szCs w:val="16"/>
                <w:lang w:val="es-ES"/>
              </w:rPr>
              <w:t>29</w:t>
            </w:r>
            <w:r w:rsidRPr="00AE4E8D">
              <w:rPr>
                <w:rFonts w:ascii="Times New Roman" w:hAnsi="Times New Roman"/>
                <w:sz w:val="16"/>
                <w:szCs w:val="16"/>
                <w:lang w:val="es-ES"/>
              </w:rPr>
              <w:t>)</w:t>
            </w:r>
          </w:p>
        </w:tc>
        <w:tc>
          <w:tcPr>
            <w:tcW w:w="628" w:type="pct"/>
            <w:shd w:val="clear" w:color="auto" w:fill="FFFFFF"/>
            <w:noWrap/>
            <w:vAlign w:val="bottom"/>
            <w:hideMark/>
          </w:tcPr>
          <w:p w14:paraId="7DD39476" w14:textId="77777777" w:rsidR="00D218D0" w:rsidRPr="00AE4E8D" w:rsidRDefault="00C25856" w:rsidP="00E90931">
            <w:pPr>
              <w:jc w:val="right"/>
              <w:rPr>
                <w:rFonts w:ascii="Times New Roman" w:hAnsi="Times New Roman"/>
                <w:sz w:val="16"/>
                <w:szCs w:val="16"/>
                <w:lang w:val="es-ES"/>
              </w:rPr>
            </w:pPr>
            <w:r w:rsidRPr="00AE4E8D">
              <w:rPr>
                <w:rFonts w:ascii="Times New Roman" w:hAnsi="Times New Roman"/>
                <w:sz w:val="16"/>
                <w:szCs w:val="16"/>
                <w:lang w:val="es-ES"/>
              </w:rPr>
              <w:t>173</w:t>
            </w:r>
          </w:p>
        </w:tc>
        <w:tc>
          <w:tcPr>
            <w:tcW w:w="597" w:type="pct"/>
            <w:noWrap/>
            <w:vAlign w:val="bottom"/>
            <w:hideMark/>
          </w:tcPr>
          <w:p w14:paraId="38F36881" w14:textId="77777777" w:rsidR="00D218D0" w:rsidRPr="00AE4E8D" w:rsidRDefault="003D638D" w:rsidP="00E90931">
            <w:pPr>
              <w:jc w:val="right"/>
              <w:rPr>
                <w:rFonts w:ascii="Times New Roman" w:hAnsi="Times New Roman"/>
                <w:sz w:val="16"/>
                <w:szCs w:val="16"/>
                <w:lang w:val="es-ES"/>
              </w:rPr>
            </w:pPr>
            <w:r w:rsidRPr="00AE4E8D">
              <w:rPr>
                <w:rFonts w:ascii="Times New Roman" w:hAnsi="Times New Roman"/>
                <w:sz w:val="16"/>
                <w:szCs w:val="16"/>
                <w:lang w:val="es-ES"/>
              </w:rPr>
              <w:t>144</w:t>
            </w:r>
          </w:p>
        </w:tc>
        <w:tc>
          <w:tcPr>
            <w:tcW w:w="120" w:type="pct"/>
            <w:noWrap/>
            <w:vAlign w:val="bottom"/>
          </w:tcPr>
          <w:p w14:paraId="6CFCFD98"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40999D2A"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w:t>
            </w:r>
          </w:p>
        </w:tc>
        <w:tc>
          <w:tcPr>
            <w:tcW w:w="507" w:type="pct"/>
            <w:noWrap/>
            <w:vAlign w:val="bottom"/>
            <w:hideMark/>
          </w:tcPr>
          <w:p w14:paraId="602F324B"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(5)</w:t>
            </w:r>
          </w:p>
        </w:tc>
        <w:tc>
          <w:tcPr>
            <w:tcW w:w="625" w:type="pct"/>
            <w:noWrap/>
            <w:vAlign w:val="bottom"/>
            <w:hideMark/>
          </w:tcPr>
          <w:p w14:paraId="0DA93F84"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w:t>
            </w:r>
          </w:p>
        </w:tc>
      </w:tr>
      <w:tr w:rsidR="00D218D0" w:rsidRPr="00AE4E8D" w14:paraId="42C551E3" w14:textId="77777777" w:rsidTr="000400C8">
        <w:trPr>
          <w:trHeight w:val="255"/>
          <w:jc w:val="center"/>
        </w:trPr>
        <w:tc>
          <w:tcPr>
            <w:tcW w:w="1377" w:type="pct"/>
            <w:noWrap/>
            <w:vAlign w:val="bottom"/>
            <w:hideMark/>
          </w:tcPr>
          <w:p w14:paraId="76693571" w14:textId="77777777" w:rsidR="00D218D0" w:rsidRPr="00AE4E8D" w:rsidRDefault="00D218D0"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Total Pasivos que devengan intereses</w:t>
            </w:r>
          </w:p>
        </w:tc>
        <w:tc>
          <w:tcPr>
            <w:tcW w:w="628" w:type="pct"/>
            <w:shd w:val="clear" w:color="auto" w:fill="FFFFFF"/>
            <w:noWrap/>
            <w:vAlign w:val="bottom"/>
            <w:hideMark/>
          </w:tcPr>
          <w:p w14:paraId="3D341CC6"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628" w:type="pct"/>
            <w:shd w:val="clear" w:color="auto" w:fill="FFFFFF"/>
            <w:noWrap/>
            <w:vAlign w:val="bottom"/>
            <w:hideMark/>
          </w:tcPr>
          <w:p w14:paraId="1340A0FD" w14:textId="77777777" w:rsidR="00D218D0" w:rsidRPr="00AE4E8D" w:rsidRDefault="00D218D0" w:rsidP="00B52753">
            <w:pPr>
              <w:jc w:val="right"/>
              <w:rPr>
                <w:rFonts w:ascii="Times New Roman" w:hAnsi="Times New Roman"/>
                <w:sz w:val="16"/>
                <w:szCs w:val="16"/>
                <w:lang w:val="es-ES"/>
              </w:rPr>
            </w:pPr>
            <w:r w:rsidRPr="00AE4E8D">
              <w:rPr>
                <w:rFonts w:ascii="Times New Roman" w:hAnsi="Times New Roman"/>
                <w:sz w:val="16"/>
                <w:szCs w:val="16"/>
                <w:lang w:val="es-ES"/>
              </w:rPr>
              <w:t> </w:t>
            </w:r>
          </w:p>
        </w:tc>
        <w:tc>
          <w:tcPr>
            <w:tcW w:w="597" w:type="pct"/>
            <w:noWrap/>
            <w:vAlign w:val="bottom"/>
          </w:tcPr>
          <w:p w14:paraId="316CC135" w14:textId="77777777" w:rsidR="00D218D0" w:rsidRPr="00AE4E8D" w:rsidRDefault="00D218D0" w:rsidP="00B52753">
            <w:pPr>
              <w:jc w:val="right"/>
              <w:rPr>
                <w:rFonts w:ascii="Times New Roman" w:hAnsi="Times New Roman"/>
                <w:sz w:val="16"/>
                <w:szCs w:val="16"/>
                <w:lang w:val="es-ES"/>
              </w:rPr>
            </w:pPr>
          </w:p>
        </w:tc>
        <w:tc>
          <w:tcPr>
            <w:tcW w:w="120" w:type="pct"/>
            <w:noWrap/>
            <w:vAlign w:val="bottom"/>
          </w:tcPr>
          <w:p w14:paraId="343CEA0B" w14:textId="77777777" w:rsidR="00D218D0" w:rsidRPr="00AE4E8D" w:rsidRDefault="00D218D0" w:rsidP="00E90931">
            <w:pPr>
              <w:rPr>
                <w:rFonts w:ascii="Times New Roman" w:hAnsi="Times New Roman"/>
                <w:sz w:val="16"/>
                <w:szCs w:val="16"/>
                <w:lang w:val="es-ES"/>
              </w:rPr>
            </w:pPr>
          </w:p>
        </w:tc>
        <w:tc>
          <w:tcPr>
            <w:tcW w:w="518" w:type="pct"/>
            <w:noWrap/>
            <w:vAlign w:val="bottom"/>
          </w:tcPr>
          <w:p w14:paraId="1FEB6F08" w14:textId="77777777" w:rsidR="00D218D0" w:rsidRPr="00AE4E8D" w:rsidRDefault="00D218D0" w:rsidP="00E90931">
            <w:pPr>
              <w:rPr>
                <w:rFonts w:ascii="Times New Roman" w:hAnsi="Times New Roman"/>
                <w:sz w:val="16"/>
                <w:szCs w:val="16"/>
                <w:lang w:val="es-ES"/>
              </w:rPr>
            </w:pPr>
          </w:p>
        </w:tc>
        <w:tc>
          <w:tcPr>
            <w:tcW w:w="507" w:type="pct"/>
            <w:noWrap/>
            <w:vAlign w:val="bottom"/>
          </w:tcPr>
          <w:p w14:paraId="260F40E0" w14:textId="77777777" w:rsidR="00D218D0" w:rsidRPr="00AE4E8D" w:rsidRDefault="00D218D0" w:rsidP="00E90931">
            <w:pPr>
              <w:rPr>
                <w:rFonts w:ascii="Times New Roman" w:hAnsi="Times New Roman"/>
                <w:sz w:val="16"/>
                <w:szCs w:val="16"/>
                <w:lang w:val="es-ES"/>
              </w:rPr>
            </w:pPr>
          </w:p>
        </w:tc>
        <w:tc>
          <w:tcPr>
            <w:tcW w:w="625" w:type="pct"/>
            <w:noWrap/>
            <w:vAlign w:val="bottom"/>
          </w:tcPr>
          <w:p w14:paraId="3238A958" w14:textId="77777777" w:rsidR="00D218D0" w:rsidRPr="00AE4E8D" w:rsidRDefault="00D218D0" w:rsidP="00E90931">
            <w:pPr>
              <w:rPr>
                <w:rFonts w:ascii="Times New Roman" w:hAnsi="Times New Roman"/>
                <w:sz w:val="16"/>
                <w:szCs w:val="16"/>
                <w:lang w:val="es-ES"/>
              </w:rPr>
            </w:pPr>
          </w:p>
        </w:tc>
      </w:tr>
      <w:tr w:rsidR="00D218D0" w:rsidRPr="00AE4E8D" w14:paraId="7D78656C" w14:textId="77777777" w:rsidTr="000400C8">
        <w:trPr>
          <w:trHeight w:val="255"/>
          <w:jc w:val="center"/>
        </w:trPr>
        <w:tc>
          <w:tcPr>
            <w:tcW w:w="1377" w:type="pct"/>
            <w:noWrap/>
            <w:vAlign w:val="bottom"/>
            <w:hideMark/>
          </w:tcPr>
          <w:p w14:paraId="26E33ECB"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 xml:space="preserve">Pesos </w:t>
            </w:r>
          </w:p>
        </w:tc>
        <w:tc>
          <w:tcPr>
            <w:tcW w:w="628" w:type="pct"/>
            <w:noWrap/>
            <w:vAlign w:val="bottom"/>
            <w:hideMark/>
          </w:tcPr>
          <w:p w14:paraId="76ECB69A" w14:textId="77777777" w:rsidR="00D218D0" w:rsidRPr="00AE4E8D" w:rsidRDefault="00D218D0" w:rsidP="00FF662D">
            <w:pPr>
              <w:jc w:val="right"/>
              <w:rPr>
                <w:rFonts w:ascii="Times New Roman" w:hAnsi="Times New Roman"/>
                <w:color w:val="000000"/>
                <w:sz w:val="16"/>
                <w:lang w:val="es-ES"/>
              </w:rPr>
            </w:pPr>
            <w:r w:rsidRPr="00AE4E8D">
              <w:rPr>
                <w:rFonts w:ascii="Times New Roman" w:hAnsi="Times New Roman"/>
                <w:color w:val="000000"/>
                <w:sz w:val="16"/>
                <w:szCs w:val="16"/>
                <w:lang w:val="es-ES"/>
              </w:rPr>
              <w:t>(74.11</w:t>
            </w:r>
            <w:r w:rsidR="00B15C7E" w:rsidRPr="00AE4E8D">
              <w:rPr>
                <w:rFonts w:ascii="Times New Roman" w:hAnsi="Times New Roman"/>
                <w:color w:val="000000"/>
                <w:sz w:val="16"/>
                <w:szCs w:val="16"/>
                <w:lang w:val="es-ES"/>
              </w:rPr>
              <w:t>2</w:t>
            </w:r>
            <w:r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p>
        </w:tc>
        <w:tc>
          <w:tcPr>
            <w:tcW w:w="628" w:type="pct"/>
            <w:noWrap/>
            <w:vAlign w:val="bottom"/>
            <w:hideMark/>
          </w:tcPr>
          <w:p w14:paraId="72262F5F"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845.501</w:t>
            </w:r>
            <w:r w:rsidR="00EB3492" w:rsidRPr="00AE4E8D">
              <w:rPr>
                <w:rFonts w:ascii="Times New Roman" w:hAnsi="Times New Roman"/>
                <w:color w:val="000000"/>
                <w:sz w:val="16"/>
                <w:szCs w:val="16"/>
                <w:lang w:val="es-ES"/>
              </w:rPr>
              <w:t xml:space="preserve">     </w:t>
            </w:r>
          </w:p>
        </w:tc>
        <w:tc>
          <w:tcPr>
            <w:tcW w:w="597" w:type="pct"/>
            <w:noWrap/>
            <w:vAlign w:val="bottom"/>
            <w:hideMark/>
          </w:tcPr>
          <w:p w14:paraId="3DF45269" w14:textId="77777777" w:rsidR="00D218D0" w:rsidRPr="00AE4E8D" w:rsidRDefault="00EB3492">
            <w:pPr>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D218D0" w:rsidRPr="00AE4E8D">
              <w:rPr>
                <w:rFonts w:ascii="Times New Roman" w:hAnsi="Times New Roman"/>
                <w:color w:val="000000"/>
                <w:sz w:val="16"/>
                <w:szCs w:val="16"/>
                <w:lang w:val="es-ES"/>
              </w:rPr>
              <w:t xml:space="preserve"> 771.38</w:t>
            </w:r>
            <w:r w:rsidR="00B15C7E" w:rsidRPr="00AE4E8D">
              <w:rPr>
                <w:rFonts w:ascii="Times New Roman" w:hAnsi="Times New Roman"/>
                <w:color w:val="000000"/>
                <w:sz w:val="16"/>
                <w:szCs w:val="16"/>
                <w:lang w:val="es-ES"/>
              </w:rPr>
              <w:t>9</w:t>
            </w:r>
          </w:p>
        </w:tc>
        <w:tc>
          <w:tcPr>
            <w:tcW w:w="120" w:type="pct"/>
            <w:noWrap/>
            <w:vAlign w:val="bottom"/>
          </w:tcPr>
          <w:p w14:paraId="610A6C92"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67F4027D"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682.893</w:t>
            </w:r>
          </w:p>
        </w:tc>
        <w:tc>
          <w:tcPr>
            <w:tcW w:w="507" w:type="pct"/>
            <w:noWrap/>
            <w:vAlign w:val="bottom"/>
            <w:hideMark/>
          </w:tcPr>
          <w:p w14:paraId="1710735E"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426.376</w:t>
            </w:r>
          </w:p>
        </w:tc>
        <w:tc>
          <w:tcPr>
            <w:tcW w:w="625" w:type="pct"/>
            <w:noWrap/>
            <w:vAlign w:val="bottom"/>
            <w:hideMark/>
          </w:tcPr>
          <w:p w14:paraId="6D269D96"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1.109.269</w:t>
            </w:r>
          </w:p>
        </w:tc>
      </w:tr>
      <w:tr w:rsidR="00D218D0" w:rsidRPr="00AE4E8D" w14:paraId="5CDC3552" w14:textId="77777777" w:rsidTr="000400C8">
        <w:trPr>
          <w:trHeight w:val="255"/>
          <w:jc w:val="center"/>
        </w:trPr>
        <w:tc>
          <w:tcPr>
            <w:tcW w:w="1377" w:type="pct"/>
            <w:noWrap/>
            <w:vAlign w:val="bottom"/>
            <w:hideMark/>
          </w:tcPr>
          <w:p w14:paraId="0ED7C9A9" w14:textId="77777777" w:rsidR="00D218D0"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D218D0" w:rsidRPr="00AE4E8D">
              <w:rPr>
                <w:rFonts w:ascii="Times New Roman" w:hAnsi="Times New Roman"/>
                <w:sz w:val="16"/>
                <w:szCs w:val="16"/>
                <w:lang w:val="es-ES"/>
              </w:rPr>
              <w:t>Dólares Est.</w:t>
            </w:r>
          </w:p>
        </w:tc>
        <w:tc>
          <w:tcPr>
            <w:tcW w:w="628" w:type="pct"/>
            <w:noWrap/>
            <w:vAlign w:val="bottom"/>
            <w:hideMark/>
          </w:tcPr>
          <w:p w14:paraId="076021C1" w14:textId="77777777" w:rsidR="00D218D0" w:rsidRPr="00AE4E8D" w:rsidRDefault="00D218D0">
            <w:pPr>
              <w:jc w:val="right"/>
              <w:rPr>
                <w:rFonts w:ascii="Times New Roman" w:hAnsi="Times New Roman"/>
                <w:color w:val="000000"/>
                <w:sz w:val="16"/>
                <w:lang w:val="es-ES"/>
              </w:rPr>
            </w:pPr>
            <w:r w:rsidRPr="00AE4E8D">
              <w:rPr>
                <w:rFonts w:ascii="Times New Roman" w:hAnsi="Times New Roman"/>
                <w:color w:val="000000"/>
                <w:sz w:val="16"/>
                <w:szCs w:val="16"/>
                <w:lang w:val="es-ES"/>
              </w:rPr>
              <w:t>373.74</w:t>
            </w:r>
            <w:r w:rsidR="00B15C7E" w:rsidRPr="00AE4E8D">
              <w:rPr>
                <w:rFonts w:ascii="Times New Roman" w:hAnsi="Times New Roman"/>
                <w:color w:val="000000"/>
                <w:sz w:val="16"/>
                <w:szCs w:val="16"/>
                <w:lang w:val="es-ES"/>
              </w:rPr>
              <w:t>6</w:t>
            </w:r>
            <w:r w:rsidR="00EB3492" w:rsidRPr="00AE4E8D">
              <w:rPr>
                <w:rFonts w:ascii="Times New Roman" w:hAnsi="Times New Roman"/>
                <w:color w:val="000000"/>
                <w:sz w:val="16"/>
                <w:szCs w:val="16"/>
                <w:lang w:val="es-ES"/>
              </w:rPr>
              <w:t xml:space="preserve">     </w:t>
            </w:r>
          </w:p>
        </w:tc>
        <w:tc>
          <w:tcPr>
            <w:tcW w:w="628" w:type="pct"/>
            <w:noWrap/>
            <w:vAlign w:val="bottom"/>
            <w:hideMark/>
          </w:tcPr>
          <w:p w14:paraId="0DFB95EC" w14:textId="77777777" w:rsidR="00D218D0" w:rsidRPr="00AE4E8D" w:rsidRDefault="00D218D0" w:rsidP="00942294">
            <w:pPr>
              <w:jc w:val="right"/>
              <w:rPr>
                <w:rFonts w:ascii="Times New Roman" w:hAnsi="Times New Roman"/>
                <w:color w:val="000000"/>
                <w:sz w:val="16"/>
                <w:lang w:val="es-ES"/>
              </w:rPr>
            </w:pPr>
            <w:r w:rsidRPr="00AE4E8D">
              <w:rPr>
                <w:rFonts w:ascii="Times New Roman" w:hAnsi="Times New Roman"/>
                <w:color w:val="000000"/>
                <w:sz w:val="16"/>
                <w:szCs w:val="16"/>
                <w:lang w:val="es-ES"/>
              </w:rPr>
              <w:t>(139.13</w:t>
            </w:r>
            <w:r w:rsidR="00B15C7E" w:rsidRPr="00AE4E8D">
              <w:rPr>
                <w:rFonts w:ascii="Times New Roman" w:hAnsi="Times New Roman"/>
                <w:color w:val="000000"/>
                <w:sz w:val="16"/>
                <w:szCs w:val="16"/>
                <w:lang w:val="es-ES"/>
              </w:rPr>
              <w:t>9</w:t>
            </w:r>
            <w:r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p>
        </w:tc>
        <w:tc>
          <w:tcPr>
            <w:tcW w:w="597" w:type="pct"/>
            <w:noWrap/>
            <w:vAlign w:val="bottom"/>
            <w:hideMark/>
          </w:tcPr>
          <w:p w14:paraId="07B34A0B" w14:textId="77777777" w:rsidR="00D218D0" w:rsidRPr="00AE4E8D" w:rsidRDefault="00D218D0"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234.607</w:t>
            </w:r>
          </w:p>
        </w:tc>
        <w:tc>
          <w:tcPr>
            <w:tcW w:w="120" w:type="pct"/>
            <w:noWrap/>
            <w:vAlign w:val="bottom"/>
          </w:tcPr>
          <w:p w14:paraId="042C2A2B" w14:textId="77777777" w:rsidR="00D218D0" w:rsidRPr="00AE4E8D" w:rsidRDefault="00D218D0" w:rsidP="00E90931">
            <w:pPr>
              <w:rPr>
                <w:rFonts w:ascii="Times New Roman" w:hAnsi="Times New Roman"/>
                <w:sz w:val="16"/>
                <w:szCs w:val="16"/>
                <w:lang w:val="es-ES"/>
              </w:rPr>
            </w:pPr>
          </w:p>
        </w:tc>
        <w:tc>
          <w:tcPr>
            <w:tcW w:w="518" w:type="pct"/>
            <w:noWrap/>
            <w:vAlign w:val="bottom"/>
            <w:hideMark/>
          </w:tcPr>
          <w:p w14:paraId="2D5A6081"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42.719</w:t>
            </w:r>
          </w:p>
        </w:tc>
        <w:tc>
          <w:tcPr>
            <w:tcW w:w="507" w:type="pct"/>
            <w:noWrap/>
            <w:vAlign w:val="bottom"/>
            <w:hideMark/>
          </w:tcPr>
          <w:p w14:paraId="7F350722"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(2.519)</w:t>
            </w:r>
          </w:p>
        </w:tc>
        <w:tc>
          <w:tcPr>
            <w:tcW w:w="625" w:type="pct"/>
            <w:noWrap/>
            <w:vAlign w:val="bottom"/>
            <w:hideMark/>
          </w:tcPr>
          <w:p w14:paraId="305F8E20" w14:textId="77777777" w:rsidR="00D218D0" w:rsidRPr="00AE4E8D" w:rsidRDefault="00D218D0" w:rsidP="00E90931">
            <w:pPr>
              <w:jc w:val="right"/>
              <w:rPr>
                <w:rFonts w:ascii="Times New Roman" w:hAnsi="Times New Roman"/>
                <w:sz w:val="16"/>
                <w:szCs w:val="16"/>
                <w:lang w:val="es-ES"/>
              </w:rPr>
            </w:pPr>
            <w:r w:rsidRPr="00AE4E8D">
              <w:rPr>
                <w:rFonts w:ascii="Times New Roman" w:hAnsi="Times New Roman"/>
                <w:sz w:val="16"/>
                <w:szCs w:val="16"/>
                <w:lang w:val="es-ES"/>
              </w:rPr>
              <w:t>40.20</w:t>
            </w:r>
            <w:r w:rsidR="00CF4C7B" w:rsidRPr="00AE4E8D">
              <w:rPr>
                <w:rFonts w:ascii="Times New Roman" w:hAnsi="Times New Roman"/>
                <w:sz w:val="16"/>
                <w:szCs w:val="16"/>
                <w:lang w:val="es-ES"/>
              </w:rPr>
              <w:t>1</w:t>
            </w:r>
          </w:p>
        </w:tc>
      </w:tr>
      <w:tr w:rsidR="00D218D0" w:rsidRPr="00AE4E8D" w14:paraId="7660DEF6" w14:textId="77777777" w:rsidTr="000400C8">
        <w:trPr>
          <w:trHeight w:val="270"/>
          <w:jc w:val="center"/>
        </w:trPr>
        <w:tc>
          <w:tcPr>
            <w:tcW w:w="1377" w:type="pct"/>
            <w:noWrap/>
            <w:vAlign w:val="bottom"/>
            <w:hideMark/>
          </w:tcPr>
          <w:p w14:paraId="06F66083" w14:textId="77777777" w:rsidR="00D218D0"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D218D0" w:rsidRPr="00AE4E8D">
              <w:rPr>
                <w:rFonts w:ascii="Times New Roman" w:hAnsi="Times New Roman"/>
                <w:b/>
                <w:bCs/>
                <w:sz w:val="16"/>
                <w:szCs w:val="16"/>
                <w:lang w:val="es-ES"/>
              </w:rPr>
              <w:t>Total</w:t>
            </w:r>
          </w:p>
        </w:tc>
        <w:tc>
          <w:tcPr>
            <w:tcW w:w="628" w:type="pct"/>
            <w:tcBorders>
              <w:top w:val="single" w:sz="4" w:space="0" w:color="000000"/>
              <w:left w:val="nil"/>
              <w:bottom w:val="double" w:sz="6" w:space="0" w:color="auto"/>
              <w:right w:val="nil"/>
            </w:tcBorders>
            <w:noWrap/>
            <w:vAlign w:val="bottom"/>
            <w:hideMark/>
          </w:tcPr>
          <w:p w14:paraId="34E12D46" w14:textId="77777777" w:rsidR="00D218D0" w:rsidRPr="00AE4E8D" w:rsidRDefault="00EB3492" w:rsidP="00942294">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 xml:space="preserve">    </w:t>
            </w:r>
            <w:r w:rsidR="00D218D0" w:rsidRPr="00AE4E8D">
              <w:rPr>
                <w:rFonts w:ascii="Times New Roman" w:hAnsi="Times New Roman"/>
                <w:b/>
                <w:bCs/>
                <w:color w:val="000000"/>
                <w:sz w:val="16"/>
                <w:szCs w:val="16"/>
                <w:lang w:val="es-ES"/>
              </w:rPr>
              <w:t xml:space="preserve"> 299.63</w:t>
            </w:r>
            <w:r w:rsidR="00506F68">
              <w:rPr>
                <w:rFonts w:ascii="Times New Roman" w:hAnsi="Times New Roman"/>
                <w:b/>
                <w:bCs/>
                <w:color w:val="000000"/>
                <w:sz w:val="16"/>
                <w:szCs w:val="16"/>
                <w:lang w:val="es-ES"/>
              </w:rPr>
              <w:t>4</w:t>
            </w:r>
            <w:r w:rsidR="00D218D0" w:rsidRPr="00AE4E8D">
              <w:rPr>
                <w:rFonts w:ascii="Times New Roman" w:hAnsi="Times New Roman"/>
                <w:b/>
                <w:bCs/>
                <w:color w:val="000000"/>
                <w:sz w:val="16"/>
                <w:szCs w:val="16"/>
                <w:lang w:val="es-ES"/>
              </w:rPr>
              <w:t xml:space="preserve"> </w:t>
            </w:r>
          </w:p>
        </w:tc>
        <w:tc>
          <w:tcPr>
            <w:tcW w:w="628" w:type="pct"/>
            <w:tcBorders>
              <w:top w:val="single" w:sz="4" w:space="0" w:color="000000"/>
              <w:left w:val="nil"/>
              <w:bottom w:val="double" w:sz="6" w:space="0" w:color="auto"/>
              <w:right w:val="nil"/>
            </w:tcBorders>
            <w:noWrap/>
            <w:vAlign w:val="bottom"/>
            <w:hideMark/>
          </w:tcPr>
          <w:p w14:paraId="3D92AC4C" w14:textId="77777777" w:rsidR="00D218D0" w:rsidRPr="00AE4E8D" w:rsidRDefault="00D218D0">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706.36</w:t>
            </w:r>
            <w:r w:rsidR="00B15C7E" w:rsidRPr="00AE4E8D">
              <w:rPr>
                <w:rFonts w:ascii="Times New Roman" w:hAnsi="Times New Roman"/>
                <w:b/>
                <w:bCs/>
                <w:color w:val="000000"/>
                <w:sz w:val="16"/>
                <w:szCs w:val="16"/>
                <w:lang w:val="es-ES"/>
              </w:rPr>
              <w:t>2</w:t>
            </w:r>
            <w:r w:rsidR="00EB3492" w:rsidRPr="00AE4E8D">
              <w:rPr>
                <w:rFonts w:ascii="Times New Roman" w:hAnsi="Times New Roman"/>
                <w:b/>
                <w:bCs/>
                <w:color w:val="000000"/>
                <w:sz w:val="16"/>
                <w:szCs w:val="16"/>
                <w:lang w:val="es-ES"/>
              </w:rPr>
              <w:t xml:space="preserve">     </w:t>
            </w:r>
          </w:p>
        </w:tc>
        <w:tc>
          <w:tcPr>
            <w:tcW w:w="597" w:type="pct"/>
            <w:tcBorders>
              <w:top w:val="single" w:sz="4" w:space="0" w:color="000000"/>
              <w:left w:val="nil"/>
              <w:bottom w:val="double" w:sz="6" w:space="0" w:color="auto"/>
              <w:right w:val="nil"/>
            </w:tcBorders>
            <w:noWrap/>
            <w:vAlign w:val="bottom"/>
            <w:hideMark/>
          </w:tcPr>
          <w:p w14:paraId="3EE8BF98" w14:textId="77777777" w:rsidR="00D218D0" w:rsidRPr="00AE4E8D" w:rsidRDefault="00EB3492"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 xml:space="preserve">   </w:t>
            </w:r>
            <w:r w:rsidR="00D218D0" w:rsidRPr="00AE4E8D">
              <w:rPr>
                <w:rFonts w:ascii="Times New Roman" w:hAnsi="Times New Roman"/>
                <w:b/>
                <w:bCs/>
                <w:color w:val="000000"/>
                <w:sz w:val="16"/>
                <w:szCs w:val="16"/>
                <w:lang w:val="es-ES"/>
              </w:rPr>
              <w:t>1.005.99</w:t>
            </w:r>
            <w:r w:rsidR="00C25856" w:rsidRPr="00AE4E8D">
              <w:rPr>
                <w:rFonts w:ascii="Times New Roman" w:hAnsi="Times New Roman"/>
                <w:b/>
                <w:bCs/>
                <w:color w:val="000000"/>
                <w:sz w:val="16"/>
                <w:szCs w:val="16"/>
                <w:lang w:val="es-ES"/>
              </w:rPr>
              <w:t>6</w:t>
            </w:r>
            <w:r w:rsidR="00D218D0" w:rsidRPr="00AE4E8D">
              <w:rPr>
                <w:rFonts w:ascii="Times New Roman" w:hAnsi="Times New Roman"/>
                <w:b/>
                <w:bCs/>
                <w:color w:val="000000"/>
                <w:sz w:val="16"/>
                <w:szCs w:val="16"/>
                <w:lang w:val="es-ES"/>
              </w:rPr>
              <w:t xml:space="preserve"> </w:t>
            </w:r>
          </w:p>
        </w:tc>
        <w:tc>
          <w:tcPr>
            <w:tcW w:w="120" w:type="pct"/>
            <w:noWrap/>
            <w:vAlign w:val="bottom"/>
          </w:tcPr>
          <w:p w14:paraId="020AF7D9" w14:textId="77777777" w:rsidR="00D218D0" w:rsidRPr="00AE4E8D" w:rsidRDefault="00D218D0" w:rsidP="00E90931">
            <w:pPr>
              <w:rPr>
                <w:rFonts w:ascii="Times New Roman" w:hAnsi="Times New Roman"/>
                <w:sz w:val="16"/>
                <w:szCs w:val="16"/>
                <w:lang w:val="es-ES"/>
              </w:rPr>
            </w:pPr>
          </w:p>
        </w:tc>
        <w:tc>
          <w:tcPr>
            <w:tcW w:w="518" w:type="pct"/>
            <w:tcBorders>
              <w:top w:val="single" w:sz="4" w:space="0" w:color="000000"/>
              <w:left w:val="nil"/>
              <w:bottom w:val="double" w:sz="6" w:space="0" w:color="auto"/>
              <w:right w:val="nil"/>
            </w:tcBorders>
            <w:noWrap/>
            <w:vAlign w:val="bottom"/>
            <w:hideMark/>
          </w:tcPr>
          <w:p w14:paraId="79D2FA33" w14:textId="77777777" w:rsidR="00D218D0" w:rsidRPr="00AE4E8D" w:rsidRDefault="00D218D0" w:rsidP="003D638D">
            <w:pPr>
              <w:jc w:val="right"/>
              <w:rPr>
                <w:rFonts w:ascii="Times New Roman" w:hAnsi="Times New Roman"/>
                <w:sz w:val="16"/>
                <w:szCs w:val="16"/>
                <w:lang w:val="es-ES"/>
              </w:rPr>
            </w:pPr>
            <w:r w:rsidRPr="00AE4E8D">
              <w:rPr>
                <w:rFonts w:ascii="Times New Roman" w:hAnsi="Times New Roman"/>
                <w:sz w:val="16"/>
                <w:szCs w:val="16"/>
                <w:lang w:val="es-ES"/>
              </w:rPr>
              <w:t>725.61</w:t>
            </w:r>
            <w:r w:rsidR="003D638D" w:rsidRPr="00AE4E8D">
              <w:rPr>
                <w:rFonts w:ascii="Times New Roman" w:hAnsi="Times New Roman"/>
                <w:sz w:val="16"/>
                <w:szCs w:val="16"/>
                <w:lang w:val="es-ES"/>
              </w:rPr>
              <w:t>2</w:t>
            </w:r>
          </w:p>
        </w:tc>
        <w:tc>
          <w:tcPr>
            <w:tcW w:w="507" w:type="pct"/>
            <w:tcBorders>
              <w:top w:val="single" w:sz="4" w:space="0" w:color="000000"/>
              <w:left w:val="nil"/>
              <w:bottom w:val="double" w:sz="6" w:space="0" w:color="auto"/>
              <w:right w:val="nil"/>
            </w:tcBorders>
            <w:noWrap/>
            <w:vAlign w:val="bottom"/>
            <w:hideMark/>
          </w:tcPr>
          <w:p w14:paraId="2DD5637A" w14:textId="77777777" w:rsidR="00D218D0" w:rsidRPr="00AE4E8D" w:rsidRDefault="00D218D0" w:rsidP="00CF4C7B">
            <w:pPr>
              <w:jc w:val="right"/>
              <w:rPr>
                <w:rFonts w:ascii="Times New Roman" w:hAnsi="Times New Roman"/>
                <w:sz w:val="16"/>
                <w:szCs w:val="16"/>
                <w:lang w:val="es-ES"/>
              </w:rPr>
            </w:pPr>
            <w:r w:rsidRPr="00AE4E8D">
              <w:rPr>
                <w:rFonts w:ascii="Times New Roman" w:hAnsi="Times New Roman"/>
                <w:sz w:val="16"/>
                <w:szCs w:val="16"/>
                <w:lang w:val="es-ES"/>
              </w:rPr>
              <w:t>423.</w:t>
            </w:r>
            <w:r w:rsidR="00CF4C7B" w:rsidRPr="00AE4E8D">
              <w:rPr>
                <w:rFonts w:ascii="Times New Roman" w:hAnsi="Times New Roman"/>
                <w:sz w:val="16"/>
                <w:szCs w:val="16"/>
                <w:lang w:val="es-ES"/>
              </w:rPr>
              <w:t>857</w:t>
            </w:r>
          </w:p>
        </w:tc>
        <w:tc>
          <w:tcPr>
            <w:tcW w:w="625" w:type="pct"/>
            <w:tcBorders>
              <w:top w:val="single" w:sz="4" w:space="0" w:color="000000"/>
              <w:left w:val="nil"/>
              <w:bottom w:val="double" w:sz="6" w:space="0" w:color="auto"/>
              <w:right w:val="nil"/>
            </w:tcBorders>
            <w:noWrap/>
            <w:vAlign w:val="bottom"/>
            <w:hideMark/>
          </w:tcPr>
          <w:p w14:paraId="6E560DEB" w14:textId="77777777" w:rsidR="00D218D0" w:rsidRPr="00AE4E8D" w:rsidRDefault="00D218D0" w:rsidP="00CF4C7B">
            <w:pPr>
              <w:jc w:val="right"/>
              <w:rPr>
                <w:rFonts w:ascii="Times New Roman" w:hAnsi="Times New Roman"/>
                <w:sz w:val="16"/>
                <w:szCs w:val="16"/>
                <w:lang w:val="es-ES"/>
              </w:rPr>
            </w:pPr>
            <w:r w:rsidRPr="00AE4E8D">
              <w:rPr>
                <w:rFonts w:ascii="Times New Roman" w:hAnsi="Times New Roman"/>
                <w:sz w:val="16"/>
                <w:szCs w:val="16"/>
                <w:lang w:val="es-ES"/>
              </w:rPr>
              <w:t>1.149.</w:t>
            </w:r>
            <w:r w:rsidR="00CF4C7B" w:rsidRPr="00AE4E8D">
              <w:rPr>
                <w:rFonts w:ascii="Times New Roman" w:hAnsi="Times New Roman"/>
                <w:sz w:val="16"/>
                <w:szCs w:val="16"/>
                <w:lang w:val="es-ES"/>
              </w:rPr>
              <w:t>470</w:t>
            </w:r>
          </w:p>
        </w:tc>
      </w:tr>
    </w:tbl>
    <w:p w14:paraId="7D568776" w14:textId="77777777" w:rsidR="00E90931" w:rsidRPr="00AE4E8D" w:rsidRDefault="00E90931" w:rsidP="00E90931">
      <w:pPr>
        <w:keepNext/>
        <w:autoSpaceDE w:val="0"/>
        <w:autoSpaceDN w:val="0"/>
        <w:adjustRightInd w:val="0"/>
        <w:spacing w:before="240" w:after="240"/>
        <w:outlineLvl w:val="1"/>
        <w:rPr>
          <w:rFonts w:ascii="Times New Roman" w:hAnsi="Times New Roman"/>
          <w:b/>
          <w:lang w:val="es-ES"/>
        </w:rPr>
      </w:pPr>
      <w:bookmarkStart w:id="312" w:name="_Toc421201361"/>
      <w:bookmarkStart w:id="313" w:name="_Toc495972992"/>
      <w:bookmarkStart w:id="314" w:name="_Toc495399899"/>
      <w:r w:rsidRPr="00AE4E8D">
        <w:rPr>
          <w:rFonts w:ascii="Times New Roman" w:hAnsi="Times New Roman"/>
          <w:b/>
          <w:lang w:val="es-ES"/>
        </w:rPr>
        <w:lastRenderedPageBreak/>
        <w:t>Activos que Devengan Intereses, Margen de Interés Neto y Diferencial de Interés Neto</w:t>
      </w:r>
      <w:bookmarkEnd w:id="312"/>
      <w:bookmarkEnd w:id="313"/>
      <w:bookmarkEnd w:id="314"/>
    </w:p>
    <w:p w14:paraId="7B97C30F" w14:textId="77777777" w:rsidR="00E90931" w:rsidRPr="00AE4E8D" w:rsidRDefault="00E90931" w:rsidP="00474216">
      <w:pPr>
        <w:rPr>
          <w:rFonts w:ascii="Times New Roman" w:hAnsi="Times New Roman"/>
          <w:lang w:val="es-ES"/>
        </w:rPr>
      </w:pPr>
      <w:r w:rsidRPr="00AE4E8D">
        <w:rPr>
          <w:rFonts w:ascii="Times New Roman" w:hAnsi="Times New Roman"/>
          <w:lang w:val="es-ES"/>
        </w:rPr>
        <w:t>El cuadro siguiente presenta, por moneda de denominación, los niveles del promedio de activos que devengan intereses, ingresos netos por intereses, rendimiento bruto, diferencial de interés neto y diferencial de rendimiento todos en base nominal para cada uno de los períodos indicados.</w:t>
      </w:r>
    </w:p>
    <w:tbl>
      <w:tblPr>
        <w:tblW w:w="5000" w:type="pct"/>
        <w:jc w:val="center"/>
        <w:tblLook w:val="00A0" w:firstRow="1" w:lastRow="0" w:firstColumn="1" w:lastColumn="0" w:noHBand="0" w:noVBand="0"/>
      </w:tblPr>
      <w:tblGrid>
        <w:gridCol w:w="6539"/>
        <w:gridCol w:w="2559"/>
        <w:gridCol w:w="2559"/>
        <w:gridCol w:w="2562"/>
      </w:tblGrid>
      <w:tr w:rsidR="00E90931" w:rsidRPr="00AE4E8D" w14:paraId="7866D00B" w14:textId="77777777" w:rsidTr="000400C8">
        <w:trPr>
          <w:trHeight w:val="255"/>
          <w:jc w:val="center"/>
        </w:trPr>
        <w:tc>
          <w:tcPr>
            <w:tcW w:w="2299" w:type="pct"/>
            <w:noWrap/>
            <w:vAlign w:val="bottom"/>
          </w:tcPr>
          <w:p w14:paraId="082306C5" w14:textId="77777777" w:rsidR="00E90931" w:rsidRPr="00AE4E8D" w:rsidRDefault="00E90931" w:rsidP="00E90931">
            <w:pPr>
              <w:rPr>
                <w:rFonts w:ascii="Times New Roman" w:hAnsi="Times New Roman"/>
                <w:sz w:val="16"/>
                <w:szCs w:val="16"/>
                <w:lang w:val="es-ES"/>
              </w:rPr>
            </w:pPr>
          </w:p>
        </w:tc>
        <w:tc>
          <w:tcPr>
            <w:tcW w:w="2701" w:type="pct"/>
            <w:gridSpan w:val="3"/>
            <w:tcBorders>
              <w:top w:val="nil"/>
              <w:left w:val="nil"/>
              <w:bottom w:val="single" w:sz="4" w:space="0" w:color="auto"/>
              <w:right w:val="nil"/>
            </w:tcBorders>
            <w:noWrap/>
            <w:vAlign w:val="bottom"/>
            <w:hideMark/>
          </w:tcPr>
          <w:p w14:paraId="42C771D5"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Por el Ejercicio Finalizado el 31 de diciembre de</w:t>
            </w:r>
          </w:p>
        </w:tc>
      </w:tr>
      <w:tr w:rsidR="00E90931" w:rsidRPr="00AE4E8D" w14:paraId="40B46EC4" w14:textId="77777777" w:rsidTr="000400C8">
        <w:trPr>
          <w:trHeight w:val="255"/>
          <w:jc w:val="center"/>
        </w:trPr>
        <w:tc>
          <w:tcPr>
            <w:tcW w:w="2299" w:type="pct"/>
            <w:noWrap/>
            <w:vAlign w:val="bottom"/>
          </w:tcPr>
          <w:p w14:paraId="1B4823C5" w14:textId="77777777" w:rsidR="00E90931" w:rsidRPr="00AE4E8D" w:rsidRDefault="00E90931" w:rsidP="00E90931">
            <w:pPr>
              <w:rPr>
                <w:rFonts w:ascii="Times New Roman" w:hAnsi="Times New Roman"/>
                <w:sz w:val="16"/>
                <w:szCs w:val="16"/>
                <w:lang w:val="es-ES"/>
              </w:rPr>
            </w:pPr>
          </w:p>
        </w:tc>
        <w:tc>
          <w:tcPr>
            <w:tcW w:w="900" w:type="pct"/>
            <w:tcBorders>
              <w:top w:val="single" w:sz="4" w:space="0" w:color="auto"/>
              <w:left w:val="nil"/>
              <w:bottom w:val="single" w:sz="4" w:space="0" w:color="auto"/>
              <w:right w:val="nil"/>
            </w:tcBorders>
            <w:noWrap/>
            <w:vAlign w:val="bottom"/>
            <w:hideMark/>
          </w:tcPr>
          <w:p w14:paraId="3990F417" w14:textId="77777777" w:rsidR="00E90931" w:rsidRPr="00AE4E8D" w:rsidRDefault="00E90931" w:rsidP="00E90931">
            <w:pPr>
              <w:jc w:val="center"/>
              <w:rPr>
                <w:rFonts w:ascii="Times New Roman" w:hAnsi="Times New Roman"/>
                <w:sz w:val="16"/>
                <w:szCs w:val="16"/>
                <w:u w:val="single"/>
                <w:lang w:val="es-ES"/>
              </w:rPr>
            </w:pPr>
            <w:r w:rsidRPr="00AE4E8D">
              <w:rPr>
                <w:rFonts w:ascii="Times New Roman" w:hAnsi="Times New Roman"/>
                <w:sz w:val="16"/>
                <w:u w:val="single"/>
                <w:lang w:val="es-ES"/>
              </w:rPr>
              <w:t>2016</w:t>
            </w:r>
            <w:r w:rsidRPr="00AE4E8D">
              <w:rPr>
                <w:rFonts w:ascii="Times New Roman" w:hAnsi="Times New Roman"/>
                <w:sz w:val="16"/>
                <w:szCs w:val="16"/>
                <w:u w:val="single"/>
                <w:lang w:val="es-ES"/>
              </w:rPr>
              <w:t xml:space="preserve"> </w:t>
            </w:r>
          </w:p>
        </w:tc>
        <w:tc>
          <w:tcPr>
            <w:tcW w:w="900" w:type="pct"/>
            <w:tcBorders>
              <w:top w:val="single" w:sz="4" w:space="0" w:color="auto"/>
              <w:left w:val="nil"/>
              <w:bottom w:val="single" w:sz="4" w:space="0" w:color="auto"/>
              <w:right w:val="nil"/>
            </w:tcBorders>
            <w:noWrap/>
            <w:vAlign w:val="bottom"/>
            <w:hideMark/>
          </w:tcPr>
          <w:p w14:paraId="08F0E0B0" w14:textId="77777777" w:rsidR="00E90931" w:rsidRPr="00AE4E8D" w:rsidRDefault="00E90931" w:rsidP="00E90931">
            <w:pPr>
              <w:jc w:val="center"/>
              <w:rPr>
                <w:rFonts w:ascii="Times New Roman" w:hAnsi="Times New Roman"/>
                <w:sz w:val="16"/>
                <w:szCs w:val="16"/>
                <w:u w:val="single"/>
                <w:lang w:val="es-ES"/>
              </w:rPr>
            </w:pPr>
            <w:r w:rsidRPr="00AE4E8D">
              <w:rPr>
                <w:rFonts w:ascii="Times New Roman" w:hAnsi="Times New Roman"/>
                <w:sz w:val="16"/>
                <w:u w:val="single"/>
                <w:lang w:val="es-ES"/>
              </w:rPr>
              <w:t>2015</w:t>
            </w:r>
            <w:r w:rsidRPr="00AE4E8D">
              <w:rPr>
                <w:rFonts w:ascii="Times New Roman" w:hAnsi="Times New Roman"/>
                <w:sz w:val="16"/>
                <w:szCs w:val="16"/>
                <w:u w:val="single"/>
                <w:lang w:val="es-ES"/>
              </w:rPr>
              <w:t xml:space="preserve"> </w:t>
            </w:r>
          </w:p>
        </w:tc>
        <w:tc>
          <w:tcPr>
            <w:tcW w:w="900" w:type="pct"/>
            <w:tcBorders>
              <w:top w:val="single" w:sz="4" w:space="0" w:color="auto"/>
              <w:left w:val="nil"/>
              <w:bottom w:val="single" w:sz="4" w:space="0" w:color="auto"/>
              <w:right w:val="nil"/>
            </w:tcBorders>
            <w:noWrap/>
            <w:vAlign w:val="bottom"/>
            <w:hideMark/>
          </w:tcPr>
          <w:p w14:paraId="1BE87A9C" w14:textId="77777777" w:rsidR="00E90931" w:rsidRPr="00AE4E8D" w:rsidRDefault="00E90931" w:rsidP="00E90931">
            <w:pPr>
              <w:jc w:val="center"/>
              <w:rPr>
                <w:rFonts w:ascii="Times New Roman" w:hAnsi="Times New Roman"/>
                <w:sz w:val="16"/>
                <w:szCs w:val="16"/>
                <w:u w:val="single"/>
                <w:lang w:val="es-ES"/>
              </w:rPr>
            </w:pPr>
            <w:r w:rsidRPr="00AE4E8D">
              <w:rPr>
                <w:rFonts w:ascii="Times New Roman" w:hAnsi="Times New Roman"/>
                <w:sz w:val="16"/>
                <w:u w:val="single"/>
                <w:lang w:val="es-ES"/>
              </w:rPr>
              <w:t>2014</w:t>
            </w:r>
            <w:r w:rsidRPr="00AE4E8D">
              <w:rPr>
                <w:rFonts w:ascii="Times New Roman" w:hAnsi="Times New Roman"/>
                <w:sz w:val="16"/>
                <w:szCs w:val="16"/>
                <w:u w:val="single"/>
                <w:lang w:val="es-ES"/>
              </w:rPr>
              <w:t xml:space="preserve"> </w:t>
            </w:r>
          </w:p>
        </w:tc>
      </w:tr>
      <w:tr w:rsidR="00E90931" w:rsidRPr="00AE4E8D" w14:paraId="7E1AF1A8" w14:textId="77777777" w:rsidTr="000400C8">
        <w:trPr>
          <w:trHeight w:val="255"/>
          <w:jc w:val="center"/>
        </w:trPr>
        <w:tc>
          <w:tcPr>
            <w:tcW w:w="2299" w:type="pct"/>
            <w:noWrap/>
            <w:vAlign w:val="bottom"/>
          </w:tcPr>
          <w:p w14:paraId="650A229A" w14:textId="77777777" w:rsidR="00E90931" w:rsidRPr="00AE4E8D" w:rsidRDefault="00E90931" w:rsidP="00E90931">
            <w:pPr>
              <w:rPr>
                <w:rFonts w:ascii="Times New Roman" w:hAnsi="Times New Roman"/>
                <w:sz w:val="16"/>
                <w:szCs w:val="16"/>
                <w:lang w:val="es-ES"/>
              </w:rPr>
            </w:pPr>
          </w:p>
        </w:tc>
        <w:tc>
          <w:tcPr>
            <w:tcW w:w="2701" w:type="pct"/>
            <w:gridSpan w:val="3"/>
            <w:noWrap/>
            <w:vAlign w:val="bottom"/>
            <w:hideMark/>
          </w:tcPr>
          <w:p w14:paraId="50DE6023" w14:textId="77777777" w:rsidR="00E90931" w:rsidRPr="00AE4E8D" w:rsidRDefault="00E90931">
            <w:pPr>
              <w:jc w:val="center"/>
              <w:rPr>
                <w:rFonts w:ascii="Times New Roman" w:hAnsi="Times New Roman"/>
                <w:sz w:val="16"/>
                <w:szCs w:val="16"/>
                <w:lang w:val="es-ES"/>
              </w:rPr>
            </w:pPr>
            <w:r w:rsidRPr="00AE4E8D">
              <w:rPr>
                <w:rFonts w:ascii="Times New Roman" w:hAnsi="Times New Roman"/>
                <w:sz w:val="16"/>
                <w:szCs w:val="16"/>
                <w:lang w:val="es-ES"/>
              </w:rPr>
              <w:t>(</w:t>
            </w:r>
            <w:r w:rsidR="00B15EC5" w:rsidRPr="00AE4E8D">
              <w:rPr>
                <w:rFonts w:ascii="Times New Roman" w:hAnsi="Times New Roman"/>
                <w:sz w:val="16"/>
                <w:szCs w:val="16"/>
                <w:lang w:val="es-ES"/>
              </w:rPr>
              <w:t>en miles de Pesos, salvo porcentajes</w:t>
            </w:r>
            <w:r w:rsidRPr="00AE4E8D">
              <w:rPr>
                <w:rFonts w:ascii="Times New Roman" w:hAnsi="Times New Roman"/>
                <w:sz w:val="16"/>
                <w:szCs w:val="16"/>
                <w:lang w:val="es-ES"/>
              </w:rPr>
              <w:t>)</w:t>
            </w:r>
          </w:p>
        </w:tc>
      </w:tr>
      <w:tr w:rsidR="00E90931" w:rsidRPr="00AE4E8D" w14:paraId="6B38ED7A" w14:textId="77777777" w:rsidTr="000400C8">
        <w:trPr>
          <w:trHeight w:val="255"/>
          <w:jc w:val="center"/>
        </w:trPr>
        <w:tc>
          <w:tcPr>
            <w:tcW w:w="2299" w:type="pct"/>
            <w:noWrap/>
            <w:vAlign w:val="bottom"/>
            <w:hideMark/>
          </w:tcPr>
          <w:p w14:paraId="6AB5BD27"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Total promedio activos que devengan intereses</w:t>
            </w:r>
          </w:p>
        </w:tc>
        <w:tc>
          <w:tcPr>
            <w:tcW w:w="900" w:type="pct"/>
            <w:noWrap/>
            <w:vAlign w:val="bottom"/>
          </w:tcPr>
          <w:p w14:paraId="59267C93"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3485F376"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11D9CA77" w14:textId="77777777" w:rsidR="00E90931" w:rsidRPr="00AE4E8D" w:rsidRDefault="00E90931" w:rsidP="00E90931">
            <w:pPr>
              <w:rPr>
                <w:rFonts w:ascii="Times New Roman" w:hAnsi="Times New Roman"/>
                <w:sz w:val="16"/>
                <w:szCs w:val="16"/>
                <w:lang w:val="es-ES"/>
              </w:rPr>
            </w:pPr>
          </w:p>
        </w:tc>
      </w:tr>
      <w:tr w:rsidR="00E90931" w:rsidRPr="00AE4E8D" w14:paraId="66F69E9B" w14:textId="77777777" w:rsidTr="000400C8">
        <w:trPr>
          <w:trHeight w:val="255"/>
          <w:jc w:val="center"/>
        </w:trPr>
        <w:tc>
          <w:tcPr>
            <w:tcW w:w="2299" w:type="pct"/>
            <w:noWrap/>
            <w:vAlign w:val="bottom"/>
            <w:hideMark/>
          </w:tcPr>
          <w:p w14:paraId="01FB4EA5"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Pesos </w:t>
            </w:r>
          </w:p>
        </w:tc>
        <w:tc>
          <w:tcPr>
            <w:tcW w:w="900" w:type="pct"/>
            <w:noWrap/>
            <w:vAlign w:val="bottom"/>
            <w:hideMark/>
          </w:tcPr>
          <w:p w14:paraId="2104C40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34.300.251</w:t>
            </w:r>
          </w:p>
        </w:tc>
        <w:tc>
          <w:tcPr>
            <w:tcW w:w="900" w:type="pct"/>
            <w:noWrap/>
            <w:vAlign w:val="bottom"/>
            <w:hideMark/>
          </w:tcPr>
          <w:p w14:paraId="4EE0B08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26.969.747</w:t>
            </w:r>
          </w:p>
        </w:tc>
        <w:tc>
          <w:tcPr>
            <w:tcW w:w="900" w:type="pct"/>
            <w:noWrap/>
            <w:vAlign w:val="bottom"/>
            <w:hideMark/>
          </w:tcPr>
          <w:p w14:paraId="1CE0610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19.797.888</w:t>
            </w:r>
          </w:p>
        </w:tc>
      </w:tr>
      <w:tr w:rsidR="00E90931" w:rsidRPr="00AE4E8D" w14:paraId="78E89084" w14:textId="77777777" w:rsidTr="000400C8">
        <w:trPr>
          <w:trHeight w:val="255"/>
          <w:jc w:val="center"/>
        </w:trPr>
        <w:tc>
          <w:tcPr>
            <w:tcW w:w="2299" w:type="pct"/>
            <w:noWrap/>
            <w:vAlign w:val="bottom"/>
            <w:hideMark/>
          </w:tcPr>
          <w:p w14:paraId="1E2F9D71"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Dólares Est.</w:t>
            </w:r>
          </w:p>
        </w:tc>
        <w:tc>
          <w:tcPr>
            <w:tcW w:w="900" w:type="pct"/>
            <w:tcBorders>
              <w:top w:val="nil"/>
              <w:left w:val="nil"/>
              <w:bottom w:val="single" w:sz="4" w:space="0" w:color="auto"/>
              <w:right w:val="nil"/>
            </w:tcBorders>
            <w:noWrap/>
            <w:vAlign w:val="bottom"/>
            <w:hideMark/>
          </w:tcPr>
          <w:p w14:paraId="23B7B89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6.396.060</w:t>
            </w:r>
          </w:p>
        </w:tc>
        <w:tc>
          <w:tcPr>
            <w:tcW w:w="900" w:type="pct"/>
            <w:tcBorders>
              <w:top w:val="nil"/>
              <w:left w:val="nil"/>
              <w:bottom w:val="single" w:sz="4" w:space="0" w:color="auto"/>
              <w:right w:val="nil"/>
            </w:tcBorders>
            <w:noWrap/>
            <w:vAlign w:val="bottom"/>
            <w:hideMark/>
          </w:tcPr>
          <w:p w14:paraId="5A30553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2.894.386</w:t>
            </w:r>
          </w:p>
        </w:tc>
        <w:tc>
          <w:tcPr>
            <w:tcW w:w="900" w:type="pct"/>
            <w:tcBorders>
              <w:top w:val="nil"/>
              <w:left w:val="nil"/>
              <w:bottom w:val="single" w:sz="4" w:space="0" w:color="000000"/>
              <w:right w:val="nil"/>
            </w:tcBorders>
            <w:noWrap/>
            <w:vAlign w:val="bottom"/>
            <w:hideMark/>
          </w:tcPr>
          <w:p w14:paraId="0B41DDD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2.825.457</w:t>
            </w:r>
          </w:p>
        </w:tc>
      </w:tr>
      <w:tr w:rsidR="00E90931" w:rsidRPr="00AE4E8D" w14:paraId="6AA70D59" w14:textId="77777777" w:rsidTr="000400C8">
        <w:trPr>
          <w:trHeight w:val="255"/>
          <w:jc w:val="center"/>
        </w:trPr>
        <w:tc>
          <w:tcPr>
            <w:tcW w:w="2299" w:type="pct"/>
            <w:noWrap/>
            <w:vAlign w:val="bottom"/>
            <w:hideMark/>
          </w:tcPr>
          <w:p w14:paraId="0CFD0B1F"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Total</w:t>
            </w:r>
          </w:p>
        </w:tc>
        <w:tc>
          <w:tcPr>
            <w:tcW w:w="900" w:type="pct"/>
            <w:noWrap/>
            <w:vAlign w:val="bottom"/>
            <w:hideMark/>
          </w:tcPr>
          <w:p w14:paraId="62A05EC7"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40.696.311</w:t>
            </w:r>
          </w:p>
        </w:tc>
        <w:tc>
          <w:tcPr>
            <w:tcW w:w="900" w:type="pct"/>
            <w:noWrap/>
            <w:vAlign w:val="bottom"/>
            <w:hideMark/>
          </w:tcPr>
          <w:p w14:paraId="3D60F32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29.864.133</w:t>
            </w:r>
          </w:p>
        </w:tc>
        <w:tc>
          <w:tcPr>
            <w:tcW w:w="900" w:type="pct"/>
            <w:noWrap/>
            <w:vAlign w:val="bottom"/>
            <w:hideMark/>
          </w:tcPr>
          <w:p w14:paraId="4B5DDAF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22.623.345</w:t>
            </w:r>
          </w:p>
        </w:tc>
      </w:tr>
      <w:tr w:rsidR="00E90931" w:rsidRPr="00AE4E8D" w14:paraId="14BACB70" w14:textId="77777777" w:rsidTr="000400C8">
        <w:trPr>
          <w:trHeight w:val="255"/>
          <w:jc w:val="center"/>
        </w:trPr>
        <w:tc>
          <w:tcPr>
            <w:tcW w:w="2299" w:type="pct"/>
            <w:noWrap/>
            <w:vAlign w:val="bottom"/>
          </w:tcPr>
          <w:p w14:paraId="25B80FB0"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213E8C2F"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7794B838"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1F6C31AF" w14:textId="77777777" w:rsidR="00E90931" w:rsidRPr="00AE4E8D" w:rsidRDefault="00E90931" w:rsidP="00E90931">
            <w:pPr>
              <w:rPr>
                <w:rFonts w:ascii="Times New Roman" w:hAnsi="Times New Roman"/>
                <w:sz w:val="16"/>
                <w:szCs w:val="16"/>
                <w:lang w:val="es-ES"/>
              </w:rPr>
            </w:pPr>
          </w:p>
        </w:tc>
      </w:tr>
      <w:tr w:rsidR="00E90931" w:rsidRPr="00AE4E8D" w14:paraId="0D5E6156" w14:textId="77777777" w:rsidTr="000400C8">
        <w:trPr>
          <w:trHeight w:val="255"/>
          <w:jc w:val="center"/>
        </w:trPr>
        <w:tc>
          <w:tcPr>
            <w:tcW w:w="2299" w:type="pct"/>
            <w:noWrap/>
            <w:vAlign w:val="bottom"/>
            <w:hideMark/>
          </w:tcPr>
          <w:p w14:paraId="5D1B3864"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Interés neto ganado (1)</w:t>
            </w:r>
          </w:p>
        </w:tc>
        <w:tc>
          <w:tcPr>
            <w:tcW w:w="900" w:type="pct"/>
            <w:noWrap/>
            <w:vAlign w:val="bottom"/>
          </w:tcPr>
          <w:p w14:paraId="784F30B6"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110CB4E6"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2F849BEB" w14:textId="77777777" w:rsidR="00E90931" w:rsidRPr="00AE4E8D" w:rsidRDefault="00E90931" w:rsidP="00E90931">
            <w:pPr>
              <w:rPr>
                <w:rFonts w:ascii="Times New Roman" w:hAnsi="Times New Roman"/>
                <w:sz w:val="16"/>
                <w:szCs w:val="16"/>
                <w:lang w:val="es-ES"/>
              </w:rPr>
            </w:pPr>
          </w:p>
        </w:tc>
      </w:tr>
      <w:tr w:rsidR="00E90931" w:rsidRPr="00AE4E8D" w14:paraId="65149A97" w14:textId="77777777" w:rsidTr="000400C8">
        <w:trPr>
          <w:trHeight w:val="255"/>
          <w:jc w:val="center"/>
        </w:trPr>
        <w:tc>
          <w:tcPr>
            <w:tcW w:w="2299" w:type="pct"/>
            <w:noWrap/>
            <w:vAlign w:val="bottom"/>
            <w:hideMark/>
          </w:tcPr>
          <w:p w14:paraId="78C8E759"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Pesos </w:t>
            </w:r>
          </w:p>
        </w:tc>
        <w:tc>
          <w:tcPr>
            <w:tcW w:w="900" w:type="pct"/>
            <w:noWrap/>
            <w:vAlign w:val="bottom"/>
            <w:hideMark/>
          </w:tcPr>
          <w:p w14:paraId="4E6029A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4.131.805</w:t>
            </w:r>
          </w:p>
        </w:tc>
        <w:tc>
          <w:tcPr>
            <w:tcW w:w="900" w:type="pct"/>
            <w:noWrap/>
            <w:vAlign w:val="bottom"/>
            <w:hideMark/>
          </w:tcPr>
          <w:p w14:paraId="5A29FFB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3.678.374</w:t>
            </w:r>
          </w:p>
        </w:tc>
        <w:tc>
          <w:tcPr>
            <w:tcW w:w="900" w:type="pct"/>
            <w:noWrap/>
            <w:vAlign w:val="bottom"/>
            <w:hideMark/>
          </w:tcPr>
          <w:p w14:paraId="1843335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2.593.848</w:t>
            </w:r>
          </w:p>
        </w:tc>
      </w:tr>
      <w:tr w:rsidR="00E90931" w:rsidRPr="00AE4E8D" w14:paraId="73BE3A13" w14:textId="77777777" w:rsidTr="000400C8">
        <w:trPr>
          <w:trHeight w:val="255"/>
          <w:jc w:val="center"/>
        </w:trPr>
        <w:tc>
          <w:tcPr>
            <w:tcW w:w="2299" w:type="pct"/>
            <w:noWrap/>
            <w:vAlign w:val="bottom"/>
            <w:hideMark/>
          </w:tcPr>
          <w:p w14:paraId="627B8FD6"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Dólares Est.</w:t>
            </w:r>
          </w:p>
        </w:tc>
        <w:tc>
          <w:tcPr>
            <w:tcW w:w="900" w:type="pct"/>
            <w:tcBorders>
              <w:top w:val="nil"/>
              <w:left w:val="nil"/>
              <w:bottom w:val="single" w:sz="4" w:space="0" w:color="auto"/>
              <w:right w:val="nil"/>
            </w:tcBorders>
            <w:noWrap/>
            <w:vAlign w:val="bottom"/>
            <w:hideMark/>
          </w:tcPr>
          <w:p w14:paraId="3949DDA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(316.999)</w:t>
            </w:r>
          </w:p>
        </w:tc>
        <w:tc>
          <w:tcPr>
            <w:tcW w:w="900" w:type="pct"/>
            <w:tcBorders>
              <w:top w:val="nil"/>
              <w:left w:val="nil"/>
              <w:bottom w:val="single" w:sz="4" w:space="0" w:color="auto"/>
              <w:right w:val="nil"/>
            </w:tcBorders>
            <w:noWrap/>
            <w:vAlign w:val="bottom"/>
            <w:hideMark/>
          </w:tcPr>
          <w:p w14:paraId="61CA4D5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(35.049)</w:t>
            </w:r>
          </w:p>
        </w:tc>
        <w:tc>
          <w:tcPr>
            <w:tcW w:w="900" w:type="pct"/>
            <w:tcBorders>
              <w:top w:val="nil"/>
              <w:left w:val="nil"/>
              <w:bottom w:val="single" w:sz="4" w:space="0" w:color="000000"/>
              <w:right w:val="nil"/>
            </w:tcBorders>
            <w:noWrap/>
            <w:vAlign w:val="bottom"/>
            <w:hideMark/>
          </w:tcPr>
          <w:p w14:paraId="29065A2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(51.347)</w:t>
            </w:r>
          </w:p>
        </w:tc>
      </w:tr>
      <w:tr w:rsidR="00E90931" w:rsidRPr="00AE4E8D" w14:paraId="150C02C3" w14:textId="77777777" w:rsidTr="000400C8">
        <w:trPr>
          <w:trHeight w:val="255"/>
          <w:jc w:val="center"/>
        </w:trPr>
        <w:tc>
          <w:tcPr>
            <w:tcW w:w="2299" w:type="pct"/>
            <w:noWrap/>
            <w:vAlign w:val="bottom"/>
            <w:hideMark/>
          </w:tcPr>
          <w:p w14:paraId="63C6E0EA"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Total</w:t>
            </w:r>
          </w:p>
        </w:tc>
        <w:tc>
          <w:tcPr>
            <w:tcW w:w="900" w:type="pct"/>
            <w:noWrap/>
            <w:vAlign w:val="bottom"/>
            <w:hideMark/>
          </w:tcPr>
          <w:p w14:paraId="5FAF4E2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3.814.806</w:t>
            </w:r>
          </w:p>
        </w:tc>
        <w:tc>
          <w:tcPr>
            <w:tcW w:w="900" w:type="pct"/>
            <w:noWrap/>
            <w:vAlign w:val="bottom"/>
            <w:hideMark/>
          </w:tcPr>
          <w:p w14:paraId="6355B2D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3.643.325</w:t>
            </w:r>
          </w:p>
        </w:tc>
        <w:tc>
          <w:tcPr>
            <w:tcW w:w="900" w:type="pct"/>
            <w:noWrap/>
            <w:vAlign w:val="bottom"/>
            <w:hideMark/>
          </w:tcPr>
          <w:p w14:paraId="69B9B97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2.542.501</w:t>
            </w:r>
          </w:p>
        </w:tc>
      </w:tr>
      <w:tr w:rsidR="00E90931" w:rsidRPr="00AE4E8D" w14:paraId="7ED86DFF" w14:textId="77777777" w:rsidTr="000400C8">
        <w:trPr>
          <w:trHeight w:val="255"/>
          <w:jc w:val="center"/>
        </w:trPr>
        <w:tc>
          <w:tcPr>
            <w:tcW w:w="2299" w:type="pct"/>
            <w:noWrap/>
            <w:vAlign w:val="bottom"/>
          </w:tcPr>
          <w:p w14:paraId="08D2BD19"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17AD1BC9"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670FAE3B"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5F9C00D2" w14:textId="77777777" w:rsidR="00E90931" w:rsidRPr="00AE4E8D" w:rsidRDefault="00E90931" w:rsidP="00E90931">
            <w:pPr>
              <w:rPr>
                <w:rFonts w:ascii="Times New Roman" w:hAnsi="Times New Roman"/>
                <w:sz w:val="16"/>
                <w:szCs w:val="16"/>
                <w:lang w:val="es-ES"/>
              </w:rPr>
            </w:pPr>
          </w:p>
        </w:tc>
      </w:tr>
      <w:tr w:rsidR="00E90931" w:rsidRPr="00AE4E8D" w14:paraId="16901329" w14:textId="77777777" w:rsidTr="000400C8">
        <w:trPr>
          <w:trHeight w:val="255"/>
          <w:jc w:val="center"/>
        </w:trPr>
        <w:tc>
          <w:tcPr>
            <w:tcW w:w="2299" w:type="pct"/>
            <w:noWrap/>
            <w:vAlign w:val="bottom"/>
            <w:hideMark/>
          </w:tcPr>
          <w:p w14:paraId="5000DD8D"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Margen de interés neto, base nominal (2)</w:t>
            </w:r>
          </w:p>
        </w:tc>
        <w:tc>
          <w:tcPr>
            <w:tcW w:w="900" w:type="pct"/>
            <w:noWrap/>
            <w:vAlign w:val="bottom"/>
          </w:tcPr>
          <w:p w14:paraId="4C404543"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58ADE96A"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22E06BB0" w14:textId="77777777" w:rsidR="00E90931" w:rsidRPr="00AE4E8D" w:rsidRDefault="00E90931" w:rsidP="00E90931">
            <w:pPr>
              <w:rPr>
                <w:rFonts w:ascii="Times New Roman" w:hAnsi="Times New Roman"/>
                <w:sz w:val="16"/>
                <w:szCs w:val="16"/>
                <w:lang w:val="es-ES"/>
              </w:rPr>
            </w:pPr>
          </w:p>
        </w:tc>
      </w:tr>
      <w:tr w:rsidR="00E90931" w:rsidRPr="00AE4E8D" w14:paraId="3B417DA4" w14:textId="77777777" w:rsidTr="000400C8">
        <w:trPr>
          <w:trHeight w:val="255"/>
          <w:jc w:val="center"/>
        </w:trPr>
        <w:tc>
          <w:tcPr>
            <w:tcW w:w="2299" w:type="pct"/>
            <w:noWrap/>
            <w:vAlign w:val="bottom"/>
            <w:hideMark/>
          </w:tcPr>
          <w:p w14:paraId="303BC5AA"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Pesos </w:t>
            </w:r>
          </w:p>
        </w:tc>
        <w:tc>
          <w:tcPr>
            <w:tcW w:w="900" w:type="pct"/>
            <w:noWrap/>
            <w:vAlign w:val="bottom"/>
            <w:hideMark/>
          </w:tcPr>
          <w:p w14:paraId="001AE65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12,05%</w:t>
            </w:r>
          </w:p>
        </w:tc>
        <w:tc>
          <w:tcPr>
            <w:tcW w:w="900" w:type="pct"/>
            <w:noWrap/>
            <w:vAlign w:val="bottom"/>
            <w:hideMark/>
          </w:tcPr>
          <w:p w14:paraId="2302B04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13,64%</w:t>
            </w:r>
          </w:p>
        </w:tc>
        <w:tc>
          <w:tcPr>
            <w:tcW w:w="900" w:type="pct"/>
            <w:noWrap/>
            <w:vAlign w:val="bottom"/>
            <w:hideMark/>
          </w:tcPr>
          <w:p w14:paraId="3931817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13,10%</w:t>
            </w:r>
          </w:p>
        </w:tc>
      </w:tr>
      <w:tr w:rsidR="00E90931" w:rsidRPr="00AE4E8D" w14:paraId="2D117409" w14:textId="77777777" w:rsidTr="000400C8">
        <w:trPr>
          <w:trHeight w:val="255"/>
          <w:jc w:val="center"/>
        </w:trPr>
        <w:tc>
          <w:tcPr>
            <w:tcW w:w="2299" w:type="pct"/>
            <w:noWrap/>
            <w:vAlign w:val="bottom"/>
            <w:hideMark/>
          </w:tcPr>
          <w:p w14:paraId="5A7DBF43"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Dólares Est.</w:t>
            </w:r>
          </w:p>
        </w:tc>
        <w:tc>
          <w:tcPr>
            <w:tcW w:w="900" w:type="pct"/>
            <w:tcBorders>
              <w:top w:val="nil"/>
              <w:left w:val="nil"/>
              <w:bottom w:val="single" w:sz="4" w:space="0" w:color="000000"/>
              <w:right w:val="nil"/>
            </w:tcBorders>
            <w:noWrap/>
            <w:vAlign w:val="bottom"/>
            <w:hideMark/>
          </w:tcPr>
          <w:p w14:paraId="251F608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(4,96)%</w:t>
            </w:r>
          </w:p>
        </w:tc>
        <w:tc>
          <w:tcPr>
            <w:tcW w:w="900" w:type="pct"/>
            <w:tcBorders>
              <w:top w:val="nil"/>
              <w:left w:val="nil"/>
              <w:bottom w:val="single" w:sz="4" w:space="0" w:color="000000"/>
              <w:right w:val="nil"/>
            </w:tcBorders>
            <w:noWrap/>
            <w:vAlign w:val="bottom"/>
            <w:hideMark/>
          </w:tcPr>
          <w:p w14:paraId="3FC615AC"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(1,21)%</w:t>
            </w:r>
          </w:p>
        </w:tc>
        <w:tc>
          <w:tcPr>
            <w:tcW w:w="900" w:type="pct"/>
            <w:tcBorders>
              <w:top w:val="nil"/>
              <w:left w:val="nil"/>
              <w:bottom w:val="single" w:sz="4" w:space="0" w:color="000000"/>
              <w:right w:val="nil"/>
            </w:tcBorders>
            <w:noWrap/>
            <w:vAlign w:val="bottom"/>
            <w:hideMark/>
          </w:tcPr>
          <w:p w14:paraId="2D3A350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(1,82)%</w:t>
            </w:r>
          </w:p>
        </w:tc>
      </w:tr>
      <w:tr w:rsidR="00E90931" w:rsidRPr="00AE4E8D" w14:paraId="266AC006" w14:textId="77777777" w:rsidTr="000400C8">
        <w:trPr>
          <w:trHeight w:val="255"/>
          <w:jc w:val="center"/>
        </w:trPr>
        <w:tc>
          <w:tcPr>
            <w:tcW w:w="2299" w:type="pct"/>
            <w:noWrap/>
            <w:vAlign w:val="bottom"/>
            <w:hideMark/>
          </w:tcPr>
          <w:p w14:paraId="119D47FA"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Total</w:t>
            </w:r>
          </w:p>
        </w:tc>
        <w:tc>
          <w:tcPr>
            <w:tcW w:w="900" w:type="pct"/>
            <w:noWrap/>
            <w:vAlign w:val="bottom"/>
            <w:hideMark/>
          </w:tcPr>
          <w:p w14:paraId="59DEF8F7"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 9.37%</w:t>
            </w:r>
          </w:p>
        </w:tc>
        <w:tc>
          <w:tcPr>
            <w:tcW w:w="900" w:type="pct"/>
            <w:noWrap/>
            <w:vAlign w:val="bottom"/>
            <w:hideMark/>
          </w:tcPr>
          <w:p w14:paraId="5A020FF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12,20%</w:t>
            </w:r>
          </w:p>
        </w:tc>
        <w:tc>
          <w:tcPr>
            <w:tcW w:w="900" w:type="pct"/>
            <w:noWrap/>
            <w:vAlign w:val="bottom"/>
            <w:hideMark/>
          </w:tcPr>
          <w:p w14:paraId="1C2A863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11,24%</w:t>
            </w:r>
          </w:p>
        </w:tc>
      </w:tr>
      <w:tr w:rsidR="00E90931" w:rsidRPr="00AE4E8D" w14:paraId="376F2551" w14:textId="77777777" w:rsidTr="000400C8">
        <w:trPr>
          <w:trHeight w:val="255"/>
          <w:jc w:val="center"/>
        </w:trPr>
        <w:tc>
          <w:tcPr>
            <w:tcW w:w="2299" w:type="pct"/>
            <w:noWrap/>
            <w:vAlign w:val="bottom"/>
          </w:tcPr>
          <w:p w14:paraId="68555ED3"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2E23AAC8"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295B843D"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36ECD9E0" w14:textId="77777777" w:rsidR="00E90931" w:rsidRPr="00AE4E8D" w:rsidRDefault="00E90931" w:rsidP="00E90931">
            <w:pPr>
              <w:rPr>
                <w:rFonts w:ascii="Times New Roman" w:hAnsi="Times New Roman"/>
                <w:sz w:val="16"/>
                <w:szCs w:val="16"/>
                <w:lang w:val="es-ES"/>
              </w:rPr>
            </w:pPr>
          </w:p>
        </w:tc>
      </w:tr>
      <w:tr w:rsidR="00E90931" w:rsidRPr="00AE4E8D" w14:paraId="777CF882" w14:textId="77777777" w:rsidTr="000400C8">
        <w:trPr>
          <w:trHeight w:val="255"/>
          <w:jc w:val="center"/>
        </w:trPr>
        <w:tc>
          <w:tcPr>
            <w:tcW w:w="2299" w:type="pct"/>
            <w:noWrap/>
            <w:vAlign w:val="bottom"/>
            <w:hideMark/>
          </w:tcPr>
          <w:p w14:paraId="3DF75E15"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Promedio de tasa nominal ganada</w:t>
            </w:r>
          </w:p>
        </w:tc>
        <w:tc>
          <w:tcPr>
            <w:tcW w:w="900" w:type="pct"/>
            <w:noWrap/>
            <w:vAlign w:val="bottom"/>
          </w:tcPr>
          <w:p w14:paraId="55E1144F"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36D4FBE2"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23CFD722" w14:textId="77777777" w:rsidR="00E90931" w:rsidRPr="00AE4E8D" w:rsidRDefault="00E90931" w:rsidP="00E90931">
            <w:pPr>
              <w:rPr>
                <w:rFonts w:ascii="Times New Roman" w:hAnsi="Times New Roman"/>
                <w:sz w:val="16"/>
                <w:szCs w:val="16"/>
                <w:lang w:val="es-ES"/>
              </w:rPr>
            </w:pPr>
          </w:p>
        </w:tc>
      </w:tr>
      <w:tr w:rsidR="00E90931" w:rsidRPr="00AE4E8D" w14:paraId="3277A5AC" w14:textId="77777777" w:rsidTr="000400C8">
        <w:trPr>
          <w:trHeight w:val="255"/>
          <w:jc w:val="center"/>
        </w:trPr>
        <w:tc>
          <w:tcPr>
            <w:tcW w:w="2299" w:type="pct"/>
            <w:noWrap/>
            <w:vAlign w:val="bottom"/>
            <w:hideMark/>
          </w:tcPr>
          <w:p w14:paraId="1056862B"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Pesos </w:t>
            </w:r>
          </w:p>
        </w:tc>
        <w:tc>
          <w:tcPr>
            <w:tcW w:w="900" w:type="pct"/>
            <w:noWrap/>
            <w:vAlign w:val="bottom"/>
            <w:hideMark/>
          </w:tcPr>
          <w:p w14:paraId="6265EBAC"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26,95%</w:t>
            </w:r>
          </w:p>
        </w:tc>
        <w:tc>
          <w:tcPr>
            <w:tcW w:w="900" w:type="pct"/>
            <w:noWrap/>
            <w:vAlign w:val="bottom"/>
            <w:hideMark/>
          </w:tcPr>
          <w:p w14:paraId="7B0F0D5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25,20%</w:t>
            </w:r>
          </w:p>
        </w:tc>
        <w:tc>
          <w:tcPr>
            <w:tcW w:w="900" w:type="pct"/>
            <w:noWrap/>
            <w:vAlign w:val="bottom"/>
            <w:hideMark/>
          </w:tcPr>
          <w:p w14:paraId="0B7F6CA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24,27%</w:t>
            </w:r>
          </w:p>
        </w:tc>
      </w:tr>
      <w:tr w:rsidR="00E90931" w:rsidRPr="00AE4E8D" w14:paraId="244F4FBE" w14:textId="77777777" w:rsidTr="000400C8">
        <w:trPr>
          <w:trHeight w:val="255"/>
          <w:jc w:val="center"/>
        </w:trPr>
        <w:tc>
          <w:tcPr>
            <w:tcW w:w="2299" w:type="pct"/>
            <w:noWrap/>
            <w:vAlign w:val="bottom"/>
            <w:hideMark/>
          </w:tcPr>
          <w:p w14:paraId="331B8603"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Dólares Est.</w:t>
            </w:r>
          </w:p>
        </w:tc>
        <w:tc>
          <w:tcPr>
            <w:tcW w:w="900" w:type="pct"/>
            <w:tcBorders>
              <w:top w:val="nil"/>
              <w:left w:val="nil"/>
              <w:bottom w:val="single" w:sz="4" w:space="0" w:color="auto"/>
              <w:right w:val="nil"/>
            </w:tcBorders>
            <w:noWrap/>
            <w:vAlign w:val="bottom"/>
            <w:hideMark/>
          </w:tcPr>
          <w:p w14:paraId="41F0E25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2,56%</w:t>
            </w:r>
          </w:p>
        </w:tc>
        <w:tc>
          <w:tcPr>
            <w:tcW w:w="900" w:type="pct"/>
            <w:tcBorders>
              <w:top w:val="nil"/>
              <w:left w:val="nil"/>
              <w:bottom w:val="single" w:sz="4" w:space="0" w:color="auto"/>
              <w:right w:val="nil"/>
            </w:tcBorders>
            <w:noWrap/>
            <w:vAlign w:val="bottom"/>
            <w:hideMark/>
          </w:tcPr>
          <w:p w14:paraId="5128788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7,30%</w:t>
            </w:r>
          </w:p>
        </w:tc>
        <w:tc>
          <w:tcPr>
            <w:tcW w:w="900" w:type="pct"/>
            <w:tcBorders>
              <w:top w:val="nil"/>
              <w:left w:val="nil"/>
              <w:bottom w:val="single" w:sz="4" w:space="0" w:color="000000"/>
              <w:right w:val="nil"/>
            </w:tcBorders>
            <w:noWrap/>
            <w:vAlign w:val="bottom"/>
            <w:hideMark/>
          </w:tcPr>
          <w:p w14:paraId="18A59B9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4,77%</w:t>
            </w:r>
          </w:p>
        </w:tc>
      </w:tr>
      <w:tr w:rsidR="00E90931" w:rsidRPr="00AE4E8D" w14:paraId="1208F66B" w14:textId="77777777" w:rsidTr="000400C8">
        <w:trPr>
          <w:trHeight w:val="255"/>
          <w:jc w:val="center"/>
        </w:trPr>
        <w:tc>
          <w:tcPr>
            <w:tcW w:w="2299" w:type="pct"/>
            <w:noWrap/>
            <w:vAlign w:val="bottom"/>
            <w:hideMark/>
          </w:tcPr>
          <w:p w14:paraId="11B2FBFA"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Total</w:t>
            </w:r>
          </w:p>
        </w:tc>
        <w:tc>
          <w:tcPr>
            <w:tcW w:w="900" w:type="pct"/>
            <w:noWrap/>
            <w:vAlign w:val="bottom"/>
            <w:hideMark/>
          </w:tcPr>
          <w:p w14:paraId="1A79520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23,12%</w:t>
            </w:r>
          </w:p>
        </w:tc>
        <w:tc>
          <w:tcPr>
            <w:tcW w:w="900" w:type="pct"/>
            <w:noWrap/>
            <w:vAlign w:val="bottom"/>
            <w:hideMark/>
          </w:tcPr>
          <w:p w14:paraId="3B4CB6D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23,47%</w:t>
            </w:r>
          </w:p>
        </w:tc>
        <w:tc>
          <w:tcPr>
            <w:tcW w:w="900" w:type="pct"/>
            <w:noWrap/>
            <w:vAlign w:val="bottom"/>
            <w:hideMark/>
          </w:tcPr>
          <w:p w14:paraId="090EA62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21,83%</w:t>
            </w:r>
          </w:p>
        </w:tc>
      </w:tr>
      <w:tr w:rsidR="00E90931" w:rsidRPr="00AE4E8D" w14:paraId="6A3364B8" w14:textId="77777777" w:rsidTr="000400C8">
        <w:trPr>
          <w:trHeight w:val="255"/>
          <w:jc w:val="center"/>
        </w:trPr>
        <w:tc>
          <w:tcPr>
            <w:tcW w:w="2299" w:type="pct"/>
            <w:noWrap/>
            <w:vAlign w:val="bottom"/>
          </w:tcPr>
          <w:p w14:paraId="7CE22EF3"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0C301671"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2BD9B1C3"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59854EF8" w14:textId="77777777" w:rsidR="00E90931" w:rsidRPr="00AE4E8D" w:rsidRDefault="00E90931" w:rsidP="00E90931">
            <w:pPr>
              <w:rPr>
                <w:rFonts w:ascii="Times New Roman" w:hAnsi="Times New Roman"/>
                <w:sz w:val="16"/>
                <w:szCs w:val="16"/>
                <w:lang w:val="es-ES"/>
              </w:rPr>
            </w:pPr>
          </w:p>
        </w:tc>
      </w:tr>
      <w:tr w:rsidR="00E90931" w:rsidRPr="00AE4E8D" w14:paraId="6DE95DCB" w14:textId="77777777" w:rsidTr="000400C8">
        <w:trPr>
          <w:trHeight w:val="255"/>
          <w:jc w:val="center"/>
        </w:trPr>
        <w:tc>
          <w:tcPr>
            <w:tcW w:w="2299" w:type="pct"/>
            <w:noWrap/>
            <w:vAlign w:val="bottom"/>
            <w:hideMark/>
          </w:tcPr>
          <w:p w14:paraId="50ABE4DF"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Promedio de tasa nominal pagada</w:t>
            </w:r>
          </w:p>
        </w:tc>
        <w:tc>
          <w:tcPr>
            <w:tcW w:w="900" w:type="pct"/>
            <w:noWrap/>
            <w:vAlign w:val="bottom"/>
          </w:tcPr>
          <w:p w14:paraId="6D782CC7"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365AD278"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554908F4" w14:textId="77777777" w:rsidR="00E90931" w:rsidRPr="00AE4E8D" w:rsidRDefault="00E90931" w:rsidP="00E90931">
            <w:pPr>
              <w:rPr>
                <w:rFonts w:ascii="Times New Roman" w:hAnsi="Times New Roman"/>
                <w:sz w:val="16"/>
                <w:szCs w:val="16"/>
                <w:lang w:val="es-ES"/>
              </w:rPr>
            </w:pPr>
          </w:p>
        </w:tc>
      </w:tr>
      <w:tr w:rsidR="00E90931" w:rsidRPr="00AE4E8D" w14:paraId="79276C06" w14:textId="77777777" w:rsidTr="000400C8">
        <w:trPr>
          <w:trHeight w:val="255"/>
          <w:jc w:val="center"/>
        </w:trPr>
        <w:tc>
          <w:tcPr>
            <w:tcW w:w="2299" w:type="pct"/>
            <w:noWrap/>
            <w:vAlign w:val="bottom"/>
            <w:hideMark/>
          </w:tcPr>
          <w:p w14:paraId="2CC016D4"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Pesos </w:t>
            </w:r>
          </w:p>
        </w:tc>
        <w:tc>
          <w:tcPr>
            <w:tcW w:w="900" w:type="pct"/>
            <w:noWrap/>
            <w:vAlign w:val="bottom"/>
            <w:hideMark/>
          </w:tcPr>
          <w:p w14:paraId="6038940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25,33%</w:t>
            </w:r>
          </w:p>
        </w:tc>
        <w:tc>
          <w:tcPr>
            <w:tcW w:w="900" w:type="pct"/>
            <w:noWrap/>
            <w:vAlign w:val="bottom"/>
            <w:hideMark/>
          </w:tcPr>
          <w:p w14:paraId="75931E7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17,44%</w:t>
            </w:r>
          </w:p>
        </w:tc>
        <w:tc>
          <w:tcPr>
            <w:tcW w:w="900" w:type="pct"/>
            <w:noWrap/>
            <w:vAlign w:val="bottom"/>
            <w:hideMark/>
          </w:tcPr>
          <w:p w14:paraId="280594B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17,32%</w:t>
            </w:r>
          </w:p>
        </w:tc>
      </w:tr>
      <w:tr w:rsidR="00E90931" w:rsidRPr="00AE4E8D" w14:paraId="45949337" w14:textId="77777777" w:rsidTr="000400C8">
        <w:trPr>
          <w:trHeight w:val="255"/>
          <w:jc w:val="center"/>
        </w:trPr>
        <w:tc>
          <w:tcPr>
            <w:tcW w:w="2299" w:type="pct"/>
            <w:noWrap/>
            <w:vAlign w:val="bottom"/>
            <w:hideMark/>
          </w:tcPr>
          <w:p w14:paraId="786814D1"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Dólares Est.</w:t>
            </w:r>
          </w:p>
        </w:tc>
        <w:tc>
          <w:tcPr>
            <w:tcW w:w="900" w:type="pct"/>
            <w:tcBorders>
              <w:top w:val="nil"/>
              <w:left w:val="nil"/>
              <w:bottom w:val="single" w:sz="4" w:space="0" w:color="auto"/>
              <w:right w:val="nil"/>
            </w:tcBorders>
            <w:noWrap/>
            <w:vAlign w:val="bottom"/>
            <w:hideMark/>
          </w:tcPr>
          <w:p w14:paraId="4BF392D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5,83%</w:t>
            </w:r>
          </w:p>
        </w:tc>
        <w:tc>
          <w:tcPr>
            <w:tcW w:w="900" w:type="pct"/>
            <w:tcBorders>
              <w:top w:val="nil"/>
              <w:left w:val="nil"/>
              <w:bottom w:val="single" w:sz="4" w:space="0" w:color="auto"/>
              <w:right w:val="nil"/>
            </w:tcBorders>
            <w:noWrap/>
            <w:vAlign w:val="bottom"/>
            <w:hideMark/>
          </w:tcPr>
          <w:p w14:paraId="5A54C76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8,36%</w:t>
            </w:r>
          </w:p>
        </w:tc>
        <w:tc>
          <w:tcPr>
            <w:tcW w:w="900" w:type="pct"/>
            <w:tcBorders>
              <w:top w:val="nil"/>
              <w:left w:val="nil"/>
              <w:bottom w:val="single" w:sz="4" w:space="0" w:color="000000"/>
              <w:right w:val="nil"/>
            </w:tcBorders>
            <w:noWrap/>
            <w:vAlign w:val="bottom"/>
            <w:hideMark/>
          </w:tcPr>
          <w:p w14:paraId="0173767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6,75%</w:t>
            </w:r>
          </w:p>
        </w:tc>
      </w:tr>
      <w:tr w:rsidR="00E90931" w:rsidRPr="00AE4E8D" w14:paraId="7D15242B" w14:textId="77777777" w:rsidTr="000400C8">
        <w:trPr>
          <w:trHeight w:val="255"/>
          <w:jc w:val="center"/>
        </w:trPr>
        <w:tc>
          <w:tcPr>
            <w:tcW w:w="2299" w:type="pct"/>
            <w:noWrap/>
            <w:vAlign w:val="bottom"/>
            <w:hideMark/>
          </w:tcPr>
          <w:p w14:paraId="6FE0729B"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Total</w:t>
            </w:r>
          </w:p>
        </w:tc>
        <w:tc>
          <w:tcPr>
            <w:tcW w:w="900" w:type="pct"/>
            <w:noWrap/>
            <w:vAlign w:val="bottom"/>
            <w:hideMark/>
          </w:tcPr>
          <w:p w14:paraId="1099908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19,67%</w:t>
            </w:r>
          </w:p>
        </w:tc>
        <w:tc>
          <w:tcPr>
            <w:tcW w:w="900" w:type="pct"/>
            <w:noWrap/>
            <w:vAlign w:val="bottom"/>
            <w:hideMark/>
          </w:tcPr>
          <w:p w14:paraId="6E4989C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16,15%</w:t>
            </w:r>
          </w:p>
        </w:tc>
        <w:tc>
          <w:tcPr>
            <w:tcW w:w="900" w:type="pct"/>
            <w:noWrap/>
            <w:vAlign w:val="bottom"/>
            <w:hideMark/>
          </w:tcPr>
          <w:p w14:paraId="1637FDE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15,44%</w:t>
            </w:r>
          </w:p>
        </w:tc>
      </w:tr>
      <w:tr w:rsidR="00E90931" w:rsidRPr="00AE4E8D" w14:paraId="3E8BFCC0" w14:textId="77777777" w:rsidTr="000400C8">
        <w:trPr>
          <w:trHeight w:val="255"/>
          <w:jc w:val="center"/>
        </w:trPr>
        <w:tc>
          <w:tcPr>
            <w:tcW w:w="2299" w:type="pct"/>
            <w:noWrap/>
            <w:vAlign w:val="bottom"/>
          </w:tcPr>
          <w:p w14:paraId="2F1972DE"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7E588231"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24877FF3"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7D444159" w14:textId="77777777" w:rsidR="00E90931" w:rsidRPr="00AE4E8D" w:rsidRDefault="00E90931" w:rsidP="00E90931">
            <w:pPr>
              <w:rPr>
                <w:rFonts w:ascii="Times New Roman" w:hAnsi="Times New Roman"/>
                <w:sz w:val="16"/>
                <w:szCs w:val="16"/>
                <w:lang w:val="es-ES"/>
              </w:rPr>
            </w:pPr>
          </w:p>
        </w:tc>
      </w:tr>
      <w:tr w:rsidR="00E90931" w:rsidRPr="00AE4E8D" w14:paraId="3246DB11" w14:textId="77777777" w:rsidTr="000400C8">
        <w:trPr>
          <w:trHeight w:val="255"/>
          <w:jc w:val="center"/>
        </w:trPr>
        <w:tc>
          <w:tcPr>
            <w:tcW w:w="2299" w:type="pct"/>
            <w:noWrap/>
            <w:vAlign w:val="bottom"/>
            <w:hideMark/>
          </w:tcPr>
          <w:p w14:paraId="1B6C30B0"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Diferencial de interés neto, base nominal (3)</w:t>
            </w:r>
          </w:p>
        </w:tc>
        <w:tc>
          <w:tcPr>
            <w:tcW w:w="900" w:type="pct"/>
            <w:noWrap/>
            <w:vAlign w:val="bottom"/>
          </w:tcPr>
          <w:p w14:paraId="209488BC"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7D4E61FE" w14:textId="77777777" w:rsidR="00E90931" w:rsidRPr="00AE4E8D" w:rsidRDefault="00E90931" w:rsidP="00E90931">
            <w:pPr>
              <w:rPr>
                <w:rFonts w:ascii="Times New Roman" w:hAnsi="Times New Roman"/>
                <w:sz w:val="16"/>
                <w:szCs w:val="16"/>
                <w:lang w:val="es-ES"/>
              </w:rPr>
            </w:pPr>
          </w:p>
        </w:tc>
        <w:tc>
          <w:tcPr>
            <w:tcW w:w="900" w:type="pct"/>
            <w:noWrap/>
            <w:vAlign w:val="bottom"/>
          </w:tcPr>
          <w:p w14:paraId="43125B56" w14:textId="77777777" w:rsidR="00E90931" w:rsidRPr="00AE4E8D" w:rsidRDefault="00E90931" w:rsidP="00E90931">
            <w:pPr>
              <w:rPr>
                <w:rFonts w:ascii="Times New Roman" w:hAnsi="Times New Roman"/>
                <w:sz w:val="16"/>
                <w:szCs w:val="16"/>
                <w:lang w:val="es-ES"/>
              </w:rPr>
            </w:pPr>
          </w:p>
        </w:tc>
      </w:tr>
      <w:tr w:rsidR="00E90931" w:rsidRPr="00AE4E8D" w14:paraId="01F095BD" w14:textId="77777777" w:rsidTr="000400C8">
        <w:trPr>
          <w:trHeight w:val="255"/>
          <w:jc w:val="center"/>
        </w:trPr>
        <w:tc>
          <w:tcPr>
            <w:tcW w:w="2299" w:type="pct"/>
            <w:noWrap/>
            <w:vAlign w:val="bottom"/>
            <w:hideMark/>
          </w:tcPr>
          <w:p w14:paraId="634EF96F"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Pesos </w:t>
            </w:r>
          </w:p>
        </w:tc>
        <w:tc>
          <w:tcPr>
            <w:tcW w:w="900" w:type="pct"/>
            <w:noWrap/>
            <w:vAlign w:val="bottom"/>
            <w:hideMark/>
          </w:tcPr>
          <w:p w14:paraId="67C4047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1,63%</w:t>
            </w:r>
          </w:p>
        </w:tc>
        <w:tc>
          <w:tcPr>
            <w:tcW w:w="900" w:type="pct"/>
            <w:noWrap/>
            <w:vAlign w:val="bottom"/>
            <w:hideMark/>
          </w:tcPr>
          <w:p w14:paraId="65ED489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7,75%</w:t>
            </w:r>
          </w:p>
        </w:tc>
        <w:tc>
          <w:tcPr>
            <w:tcW w:w="900" w:type="pct"/>
            <w:noWrap/>
            <w:vAlign w:val="bottom"/>
            <w:hideMark/>
          </w:tcPr>
          <w:p w14:paraId="5B05A0A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6,93%</w:t>
            </w:r>
          </w:p>
        </w:tc>
      </w:tr>
      <w:tr w:rsidR="00E90931" w:rsidRPr="00AE4E8D" w14:paraId="2FA192ED" w14:textId="77777777" w:rsidTr="000400C8">
        <w:trPr>
          <w:trHeight w:val="255"/>
          <w:jc w:val="center"/>
        </w:trPr>
        <w:tc>
          <w:tcPr>
            <w:tcW w:w="2299" w:type="pct"/>
            <w:noWrap/>
            <w:vAlign w:val="bottom"/>
            <w:hideMark/>
          </w:tcPr>
          <w:p w14:paraId="05AD2531"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Dólares Est.</w:t>
            </w:r>
          </w:p>
        </w:tc>
        <w:tc>
          <w:tcPr>
            <w:tcW w:w="900" w:type="pct"/>
            <w:tcBorders>
              <w:top w:val="nil"/>
              <w:left w:val="nil"/>
              <w:bottom w:val="single" w:sz="4" w:space="0" w:color="000000"/>
              <w:right w:val="nil"/>
            </w:tcBorders>
            <w:noWrap/>
            <w:vAlign w:val="bottom"/>
            <w:hideMark/>
          </w:tcPr>
          <w:p w14:paraId="5E787EC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(3,27)%</w:t>
            </w:r>
          </w:p>
        </w:tc>
        <w:tc>
          <w:tcPr>
            <w:tcW w:w="900" w:type="pct"/>
            <w:tcBorders>
              <w:top w:val="nil"/>
              <w:left w:val="nil"/>
              <w:bottom w:val="single" w:sz="4" w:space="0" w:color="000000"/>
              <w:right w:val="nil"/>
            </w:tcBorders>
            <w:noWrap/>
            <w:vAlign w:val="bottom"/>
            <w:hideMark/>
          </w:tcPr>
          <w:p w14:paraId="4FA3743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(1,06)%</w:t>
            </w:r>
          </w:p>
        </w:tc>
        <w:tc>
          <w:tcPr>
            <w:tcW w:w="900" w:type="pct"/>
            <w:tcBorders>
              <w:top w:val="nil"/>
              <w:left w:val="nil"/>
              <w:bottom w:val="single" w:sz="4" w:space="0" w:color="000000"/>
              <w:right w:val="nil"/>
            </w:tcBorders>
            <w:noWrap/>
            <w:vAlign w:val="bottom"/>
            <w:hideMark/>
          </w:tcPr>
          <w:p w14:paraId="4CAD4E4C"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(1,98)%</w:t>
            </w:r>
          </w:p>
        </w:tc>
      </w:tr>
      <w:tr w:rsidR="00E90931" w:rsidRPr="00AE4E8D" w14:paraId="0E981621" w14:textId="77777777" w:rsidTr="000400C8">
        <w:trPr>
          <w:trHeight w:val="255"/>
          <w:jc w:val="center"/>
        </w:trPr>
        <w:tc>
          <w:tcPr>
            <w:tcW w:w="2299" w:type="pct"/>
            <w:noWrap/>
            <w:vAlign w:val="bottom"/>
            <w:hideMark/>
          </w:tcPr>
          <w:p w14:paraId="648E555A"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lastRenderedPageBreak/>
              <w:t xml:space="preserve"> </w:t>
            </w:r>
            <w:r w:rsidR="00E90931" w:rsidRPr="00AE4E8D">
              <w:rPr>
                <w:rFonts w:ascii="Times New Roman" w:hAnsi="Times New Roman"/>
                <w:sz w:val="16"/>
                <w:szCs w:val="16"/>
                <w:lang w:val="es-ES"/>
              </w:rPr>
              <w:t>Total</w:t>
            </w:r>
          </w:p>
        </w:tc>
        <w:tc>
          <w:tcPr>
            <w:tcW w:w="900" w:type="pct"/>
            <w:noWrap/>
            <w:vAlign w:val="bottom"/>
            <w:hideMark/>
          </w:tcPr>
          <w:p w14:paraId="436D53E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3,45%</w:t>
            </w:r>
          </w:p>
        </w:tc>
        <w:tc>
          <w:tcPr>
            <w:tcW w:w="900" w:type="pct"/>
            <w:noWrap/>
            <w:vAlign w:val="bottom"/>
            <w:hideMark/>
          </w:tcPr>
          <w:p w14:paraId="5439C36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7,31%</w:t>
            </w:r>
          </w:p>
        </w:tc>
        <w:tc>
          <w:tcPr>
            <w:tcW w:w="900" w:type="pct"/>
            <w:noWrap/>
            <w:vAlign w:val="bottom"/>
            <w:hideMark/>
          </w:tcPr>
          <w:p w14:paraId="470B110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6,39%</w:t>
            </w:r>
          </w:p>
        </w:tc>
      </w:tr>
      <w:tr w:rsidR="00E90931" w:rsidRPr="00AE4E8D" w14:paraId="6205E8DA" w14:textId="77777777" w:rsidTr="000400C8">
        <w:trPr>
          <w:trHeight w:val="255"/>
          <w:jc w:val="center"/>
        </w:trPr>
        <w:tc>
          <w:tcPr>
            <w:tcW w:w="2299" w:type="pct"/>
            <w:noWrap/>
            <w:vAlign w:val="bottom"/>
          </w:tcPr>
          <w:p w14:paraId="7B959D64" w14:textId="77777777" w:rsidR="00E90931" w:rsidRPr="00AE4E8D" w:rsidRDefault="00E90931" w:rsidP="00E90931">
            <w:pPr>
              <w:jc w:val="both"/>
              <w:rPr>
                <w:rFonts w:ascii="Times New Roman" w:hAnsi="Times New Roman"/>
                <w:sz w:val="16"/>
                <w:szCs w:val="16"/>
                <w:lang w:val="es-ES"/>
              </w:rPr>
            </w:pPr>
          </w:p>
        </w:tc>
        <w:tc>
          <w:tcPr>
            <w:tcW w:w="900" w:type="pct"/>
            <w:noWrap/>
            <w:vAlign w:val="bottom"/>
          </w:tcPr>
          <w:p w14:paraId="35C40861" w14:textId="77777777" w:rsidR="00E90931" w:rsidRPr="00AE4E8D" w:rsidRDefault="00E90931" w:rsidP="00E90931">
            <w:pPr>
              <w:jc w:val="both"/>
              <w:rPr>
                <w:rFonts w:ascii="Times New Roman" w:hAnsi="Times New Roman"/>
                <w:sz w:val="16"/>
                <w:szCs w:val="16"/>
                <w:lang w:val="es-ES"/>
              </w:rPr>
            </w:pPr>
          </w:p>
        </w:tc>
        <w:tc>
          <w:tcPr>
            <w:tcW w:w="900" w:type="pct"/>
            <w:noWrap/>
            <w:vAlign w:val="bottom"/>
          </w:tcPr>
          <w:p w14:paraId="3C823F3D" w14:textId="77777777" w:rsidR="00E90931" w:rsidRPr="00AE4E8D" w:rsidRDefault="00E90931" w:rsidP="00E90931">
            <w:pPr>
              <w:jc w:val="both"/>
              <w:rPr>
                <w:rFonts w:ascii="Times New Roman" w:hAnsi="Times New Roman"/>
                <w:sz w:val="16"/>
                <w:szCs w:val="16"/>
                <w:lang w:val="es-ES"/>
              </w:rPr>
            </w:pPr>
          </w:p>
        </w:tc>
        <w:tc>
          <w:tcPr>
            <w:tcW w:w="900" w:type="pct"/>
            <w:noWrap/>
            <w:vAlign w:val="bottom"/>
          </w:tcPr>
          <w:p w14:paraId="6BC0E45E" w14:textId="77777777" w:rsidR="00E90931" w:rsidRPr="00AE4E8D" w:rsidRDefault="00E90931" w:rsidP="00E90931">
            <w:pPr>
              <w:jc w:val="both"/>
              <w:rPr>
                <w:rFonts w:ascii="Times New Roman" w:hAnsi="Times New Roman"/>
                <w:sz w:val="16"/>
                <w:szCs w:val="16"/>
                <w:lang w:val="es-ES"/>
              </w:rPr>
            </w:pPr>
          </w:p>
        </w:tc>
      </w:tr>
      <w:tr w:rsidR="00E90931" w:rsidRPr="00AE4E8D" w14:paraId="28269999" w14:textId="77777777" w:rsidTr="000400C8">
        <w:trPr>
          <w:trHeight w:val="255"/>
          <w:jc w:val="center"/>
        </w:trPr>
        <w:tc>
          <w:tcPr>
            <w:tcW w:w="5000" w:type="pct"/>
            <w:gridSpan w:val="4"/>
            <w:vAlign w:val="bottom"/>
            <w:hideMark/>
          </w:tcPr>
          <w:p w14:paraId="17C2D308" w14:textId="77777777" w:rsidR="00E90931" w:rsidRPr="00AE4E8D" w:rsidRDefault="00E90931">
            <w:pPr>
              <w:jc w:val="both"/>
              <w:rPr>
                <w:rFonts w:ascii="Times New Roman" w:hAnsi="Times New Roman"/>
                <w:sz w:val="16"/>
                <w:szCs w:val="16"/>
                <w:lang w:val="es-ES"/>
              </w:rPr>
            </w:pPr>
            <w:r w:rsidRPr="00AE4E8D">
              <w:rPr>
                <w:rFonts w:ascii="Times New Roman" w:hAnsi="Times New Roman"/>
                <w:sz w:val="16"/>
                <w:szCs w:val="16"/>
                <w:lang w:val="es-ES"/>
              </w:rPr>
              <w:t>(1) Interés neto ganado corresponde al margen de intermediación bruto, según lo indicado en el Estado de Resultados, más (a) aportes al fondo de garantía de depósitos, incluidos en gastos financieros, (b) diferencias de cotización de oro moneda extranjera, incluidas en gastos financieros, (c) impuesto a los ingresos brutos sobre ingresos financieros, incluido en gastos financieros, y (d) Resultado de valores</w:t>
            </w:r>
            <w:r w:rsidR="00BD2106" w:rsidRPr="00AE4E8D">
              <w:rPr>
                <w:rFonts w:ascii="Times New Roman" w:hAnsi="Times New Roman"/>
                <w:sz w:val="16"/>
                <w:szCs w:val="16"/>
                <w:lang w:val="es-ES"/>
              </w:rPr>
              <w:t xml:space="preserve"> negociables</w:t>
            </w:r>
            <w:r w:rsidRPr="00AE4E8D">
              <w:rPr>
                <w:rFonts w:ascii="Times New Roman" w:hAnsi="Times New Roman"/>
                <w:sz w:val="16"/>
                <w:szCs w:val="16"/>
                <w:lang w:val="es-ES"/>
              </w:rPr>
              <w:t xml:space="preserve"> dados como garantía, incluidos en otros ingresos, menos (a) Primas por operaciones a término , incluidas en ingresos financieros, y (b) resultados de </w:t>
            </w:r>
            <w:r w:rsidR="00F80D63" w:rsidRPr="00AE4E8D">
              <w:rPr>
                <w:rFonts w:ascii="Times New Roman" w:hAnsi="Times New Roman"/>
                <w:sz w:val="16"/>
                <w:szCs w:val="16"/>
                <w:lang w:val="es-ES"/>
              </w:rPr>
              <w:t>instrumentos</w:t>
            </w:r>
            <w:r w:rsidRPr="00AE4E8D">
              <w:rPr>
                <w:rFonts w:ascii="Times New Roman" w:hAnsi="Times New Roman"/>
                <w:sz w:val="16"/>
                <w:szCs w:val="16"/>
                <w:lang w:val="es-ES"/>
              </w:rPr>
              <w:t xml:space="preserve"> derivados sin entrega del activo subyacente, incluidos en ingresos financieros y gastos financieros.</w:t>
            </w:r>
          </w:p>
        </w:tc>
      </w:tr>
      <w:tr w:rsidR="00E90931" w:rsidRPr="00AE4E8D" w14:paraId="6F6E54FF" w14:textId="77777777" w:rsidTr="000400C8">
        <w:trPr>
          <w:trHeight w:val="255"/>
          <w:jc w:val="center"/>
        </w:trPr>
        <w:tc>
          <w:tcPr>
            <w:tcW w:w="5000" w:type="pct"/>
            <w:gridSpan w:val="4"/>
            <w:vAlign w:val="bottom"/>
            <w:hideMark/>
          </w:tcPr>
          <w:p w14:paraId="6BDF4531" w14:textId="77777777" w:rsidR="00E90931" w:rsidRPr="00AE4E8D" w:rsidRDefault="00E90931" w:rsidP="00E90931">
            <w:pPr>
              <w:jc w:val="both"/>
              <w:rPr>
                <w:rFonts w:ascii="Times New Roman" w:hAnsi="Times New Roman"/>
                <w:sz w:val="16"/>
                <w:szCs w:val="16"/>
                <w:lang w:val="es-ES"/>
              </w:rPr>
            </w:pPr>
            <w:r w:rsidRPr="00AE4E8D">
              <w:rPr>
                <w:rFonts w:ascii="Times New Roman" w:hAnsi="Times New Roman"/>
                <w:sz w:val="16"/>
                <w:szCs w:val="16"/>
                <w:lang w:val="es-ES"/>
              </w:rPr>
              <w:t>(2) Margen de interés neto se define como interés ganado neto dividido por promedio de activos que devengan intereses.</w:t>
            </w:r>
          </w:p>
        </w:tc>
      </w:tr>
      <w:tr w:rsidR="00E90931" w:rsidRPr="00AE4E8D" w14:paraId="30594AEE" w14:textId="77777777" w:rsidTr="000400C8">
        <w:trPr>
          <w:trHeight w:val="255"/>
          <w:jc w:val="center"/>
        </w:trPr>
        <w:tc>
          <w:tcPr>
            <w:tcW w:w="5000" w:type="pct"/>
            <w:gridSpan w:val="4"/>
            <w:vAlign w:val="bottom"/>
            <w:hideMark/>
          </w:tcPr>
          <w:p w14:paraId="76BF9F90" w14:textId="77777777" w:rsidR="00E90931" w:rsidRPr="00AE4E8D" w:rsidRDefault="00E90931" w:rsidP="00E90931">
            <w:pPr>
              <w:jc w:val="both"/>
              <w:rPr>
                <w:rFonts w:ascii="Times New Roman" w:hAnsi="Times New Roman"/>
                <w:sz w:val="16"/>
                <w:szCs w:val="16"/>
                <w:lang w:val="es-ES"/>
              </w:rPr>
            </w:pPr>
            <w:r w:rsidRPr="00AE4E8D">
              <w:rPr>
                <w:rFonts w:ascii="Times New Roman" w:hAnsi="Times New Roman"/>
                <w:sz w:val="16"/>
                <w:szCs w:val="16"/>
                <w:lang w:val="es-ES"/>
              </w:rPr>
              <w:t>(3) El diferencial de interés neto corresponde al promedio de tasa nominal ganada menos el promedio de tasas nominal pagada.</w:t>
            </w:r>
          </w:p>
        </w:tc>
      </w:tr>
    </w:tbl>
    <w:p w14:paraId="6C9C4A6D" w14:textId="77777777" w:rsidR="00E90931" w:rsidRPr="00AE4E8D" w:rsidRDefault="00E90931" w:rsidP="00E90931">
      <w:pPr>
        <w:keepNext/>
        <w:autoSpaceDE w:val="0"/>
        <w:autoSpaceDN w:val="0"/>
        <w:adjustRightInd w:val="0"/>
        <w:spacing w:before="240" w:after="240"/>
        <w:outlineLvl w:val="1"/>
        <w:rPr>
          <w:rFonts w:ascii="Times New Roman" w:hAnsi="Times New Roman"/>
          <w:b/>
          <w:lang w:val="es-ES"/>
        </w:rPr>
      </w:pPr>
      <w:bookmarkStart w:id="315" w:name="_Toc421201362"/>
      <w:r w:rsidRPr="00AE4E8D">
        <w:rPr>
          <w:rFonts w:ascii="Times New Roman" w:hAnsi="Times New Roman"/>
          <w:b/>
          <w:w w:val="1"/>
          <w:highlight w:val="cyan"/>
          <w:lang w:val="es-ES"/>
        </w:rPr>
        <w:br w:type="page"/>
      </w:r>
      <w:bookmarkStart w:id="316" w:name="_Toc495972993"/>
      <w:bookmarkStart w:id="317" w:name="_Toc495399900"/>
      <w:r w:rsidRPr="00AE4E8D">
        <w:rPr>
          <w:rFonts w:ascii="Times New Roman" w:hAnsi="Times New Roman"/>
          <w:b/>
          <w:lang w:val="es-ES"/>
        </w:rPr>
        <w:lastRenderedPageBreak/>
        <w:t>Rendimiento del Patrimonio Neto y del Activo</w:t>
      </w:r>
      <w:bookmarkEnd w:id="315"/>
      <w:bookmarkEnd w:id="316"/>
      <w:bookmarkEnd w:id="317"/>
    </w:p>
    <w:p w14:paraId="42E019C1" w14:textId="77777777" w:rsidR="00E90931" w:rsidRPr="00AE4E8D" w:rsidRDefault="00E90931" w:rsidP="00E9093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El cuadro siguiente presenta determinada información financiera seleccionada e índices del Banco correspondientes a los períodos que se indican. </w:t>
      </w:r>
    </w:p>
    <w:tbl>
      <w:tblPr>
        <w:tblW w:w="5000" w:type="pct"/>
        <w:jc w:val="center"/>
        <w:tblLook w:val="00A0" w:firstRow="1" w:lastRow="0" w:firstColumn="1" w:lastColumn="0" w:noHBand="0" w:noVBand="0"/>
      </w:tblPr>
      <w:tblGrid>
        <w:gridCol w:w="5358"/>
        <w:gridCol w:w="785"/>
        <w:gridCol w:w="3111"/>
        <w:gridCol w:w="3111"/>
        <w:gridCol w:w="1854"/>
      </w:tblGrid>
      <w:tr w:rsidR="00E90931" w:rsidRPr="00AE4E8D" w14:paraId="2C9C9D80" w14:textId="77777777" w:rsidTr="000400C8">
        <w:trPr>
          <w:trHeight w:val="255"/>
          <w:jc w:val="center"/>
        </w:trPr>
        <w:tc>
          <w:tcPr>
            <w:tcW w:w="1884" w:type="pct"/>
            <w:noWrap/>
            <w:vAlign w:val="bottom"/>
          </w:tcPr>
          <w:p w14:paraId="2A48D928" w14:textId="77777777" w:rsidR="00E90931" w:rsidRPr="00AE4E8D" w:rsidRDefault="00E90931" w:rsidP="00E90931">
            <w:pPr>
              <w:jc w:val="center"/>
              <w:rPr>
                <w:rFonts w:ascii="Times New Roman" w:hAnsi="Times New Roman"/>
                <w:sz w:val="16"/>
                <w:szCs w:val="16"/>
                <w:lang w:val="es-ES"/>
              </w:rPr>
            </w:pPr>
          </w:p>
        </w:tc>
        <w:tc>
          <w:tcPr>
            <w:tcW w:w="276" w:type="pct"/>
            <w:noWrap/>
            <w:vAlign w:val="bottom"/>
          </w:tcPr>
          <w:p w14:paraId="47BF976B" w14:textId="77777777" w:rsidR="00E90931" w:rsidRPr="00AE4E8D" w:rsidRDefault="00E90931" w:rsidP="00E90931">
            <w:pPr>
              <w:rPr>
                <w:rFonts w:ascii="Times New Roman" w:hAnsi="Times New Roman"/>
                <w:sz w:val="16"/>
                <w:szCs w:val="16"/>
                <w:lang w:val="es-ES"/>
              </w:rPr>
            </w:pPr>
          </w:p>
        </w:tc>
        <w:tc>
          <w:tcPr>
            <w:tcW w:w="2840" w:type="pct"/>
            <w:gridSpan w:val="3"/>
            <w:tcBorders>
              <w:top w:val="nil"/>
              <w:left w:val="nil"/>
              <w:bottom w:val="single" w:sz="4" w:space="0" w:color="000000"/>
              <w:right w:val="nil"/>
            </w:tcBorders>
            <w:noWrap/>
            <w:vAlign w:val="bottom"/>
            <w:hideMark/>
          </w:tcPr>
          <w:p w14:paraId="1C20AD14"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Por el Ejercicio Finalizado el 31 de diciembre de</w:t>
            </w:r>
          </w:p>
        </w:tc>
      </w:tr>
      <w:tr w:rsidR="00E90931" w:rsidRPr="00AE4E8D" w14:paraId="1AD95C4D" w14:textId="77777777" w:rsidTr="000400C8">
        <w:trPr>
          <w:trHeight w:val="255"/>
          <w:jc w:val="center"/>
        </w:trPr>
        <w:tc>
          <w:tcPr>
            <w:tcW w:w="1884" w:type="pct"/>
            <w:noWrap/>
            <w:vAlign w:val="bottom"/>
          </w:tcPr>
          <w:p w14:paraId="0F530B0C" w14:textId="77777777" w:rsidR="00E90931" w:rsidRPr="00AE4E8D" w:rsidRDefault="00E90931" w:rsidP="00E90931">
            <w:pPr>
              <w:rPr>
                <w:rFonts w:ascii="Times New Roman" w:hAnsi="Times New Roman"/>
                <w:sz w:val="16"/>
                <w:szCs w:val="16"/>
                <w:lang w:val="es-ES"/>
              </w:rPr>
            </w:pPr>
          </w:p>
        </w:tc>
        <w:tc>
          <w:tcPr>
            <w:tcW w:w="276" w:type="pct"/>
            <w:noWrap/>
            <w:vAlign w:val="bottom"/>
          </w:tcPr>
          <w:p w14:paraId="7FDB9323" w14:textId="77777777" w:rsidR="00E90931" w:rsidRPr="00AE4E8D" w:rsidRDefault="00E90931" w:rsidP="00E90931">
            <w:pPr>
              <w:rPr>
                <w:rFonts w:ascii="Times New Roman" w:hAnsi="Times New Roman"/>
                <w:sz w:val="16"/>
                <w:szCs w:val="16"/>
                <w:lang w:val="es-ES"/>
              </w:rPr>
            </w:pPr>
          </w:p>
        </w:tc>
        <w:tc>
          <w:tcPr>
            <w:tcW w:w="1094" w:type="pct"/>
            <w:tcBorders>
              <w:top w:val="nil"/>
              <w:left w:val="nil"/>
              <w:bottom w:val="single" w:sz="4" w:space="0" w:color="000000"/>
              <w:right w:val="nil"/>
            </w:tcBorders>
            <w:noWrap/>
            <w:vAlign w:val="bottom"/>
            <w:hideMark/>
          </w:tcPr>
          <w:p w14:paraId="25A8A65E"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lang w:val="es-ES"/>
              </w:rPr>
              <w:t>2016</w:t>
            </w:r>
          </w:p>
        </w:tc>
        <w:tc>
          <w:tcPr>
            <w:tcW w:w="1094" w:type="pct"/>
            <w:tcBorders>
              <w:top w:val="nil"/>
              <w:left w:val="nil"/>
              <w:bottom w:val="single" w:sz="4" w:space="0" w:color="000000"/>
              <w:right w:val="nil"/>
            </w:tcBorders>
            <w:noWrap/>
            <w:vAlign w:val="bottom"/>
            <w:hideMark/>
          </w:tcPr>
          <w:p w14:paraId="52033957"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lang w:val="es-ES"/>
              </w:rPr>
              <w:t>2015</w:t>
            </w:r>
          </w:p>
        </w:tc>
        <w:tc>
          <w:tcPr>
            <w:tcW w:w="652" w:type="pct"/>
            <w:tcBorders>
              <w:top w:val="nil"/>
              <w:left w:val="nil"/>
              <w:bottom w:val="single" w:sz="4" w:space="0" w:color="000000"/>
              <w:right w:val="nil"/>
            </w:tcBorders>
            <w:noWrap/>
            <w:vAlign w:val="bottom"/>
            <w:hideMark/>
          </w:tcPr>
          <w:p w14:paraId="60BBAC99"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lang w:val="es-ES"/>
              </w:rPr>
              <w:t>2014</w:t>
            </w:r>
          </w:p>
        </w:tc>
      </w:tr>
      <w:tr w:rsidR="00E90931" w:rsidRPr="00AE4E8D" w14:paraId="51EC1C60" w14:textId="77777777" w:rsidTr="000400C8">
        <w:trPr>
          <w:trHeight w:val="255"/>
          <w:jc w:val="center"/>
        </w:trPr>
        <w:tc>
          <w:tcPr>
            <w:tcW w:w="1884" w:type="pct"/>
            <w:noWrap/>
            <w:vAlign w:val="bottom"/>
          </w:tcPr>
          <w:p w14:paraId="1FB6ACF9" w14:textId="77777777" w:rsidR="00E90931" w:rsidRPr="00AE4E8D" w:rsidRDefault="00E90931" w:rsidP="00E90931">
            <w:pPr>
              <w:rPr>
                <w:rFonts w:ascii="Times New Roman" w:hAnsi="Times New Roman"/>
                <w:b/>
                <w:bCs/>
                <w:sz w:val="16"/>
                <w:szCs w:val="16"/>
                <w:lang w:val="es-ES"/>
              </w:rPr>
            </w:pPr>
          </w:p>
        </w:tc>
        <w:tc>
          <w:tcPr>
            <w:tcW w:w="276" w:type="pct"/>
            <w:noWrap/>
            <w:vAlign w:val="bottom"/>
          </w:tcPr>
          <w:p w14:paraId="3E168C5F" w14:textId="77777777" w:rsidR="00E90931" w:rsidRPr="00AE4E8D" w:rsidRDefault="00E90931" w:rsidP="00E90931">
            <w:pPr>
              <w:rPr>
                <w:rFonts w:ascii="Times New Roman" w:hAnsi="Times New Roman"/>
                <w:b/>
                <w:bCs/>
                <w:sz w:val="16"/>
                <w:szCs w:val="16"/>
                <w:lang w:val="es-ES"/>
              </w:rPr>
            </w:pPr>
          </w:p>
        </w:tc>
        <w:tc>
          <w:tcPr>
            <w:tcW w:w="2840" w:type="pct"/>
            <w:gridSpan w:val="3"/>
            <w:tcBorders>
              <w:top w:val="single" w:sz="4" w:space="0" w:color="000000"/>
              <w:left w:val="nil"/>
              <w:bottom w:val="nil"/>
              <w:right w:val="nil"/>
            </w:tcBorders>
            <w:noWrap/>
            <w:vAlign w:val="bottom"/>
            <w:hideMark/>
          </w:tcPr>
          <w:p w14:paraId="0213F008" w14:textId="77777777" w:rsidR="00E90931" w:rsidRPr="00AE4E8D" w:rsidRDefault="00E90931">
            <w:pPr>
              <w:jc w:val="center"/>
              <w:rPr>
                <w:rFonts w:ascii="Times New Roman" w:hAnsi="Times New Roman"/>
                <w:sz w:val="16"/>
                <w:szCs w:val="16"/>
                <w:lang w:val="es-ES"/>
              </w:rPr>
            </w:pPr>
            <w:r w:rsidRPr="00AE4E8D">
              <w:rPr>
                <w:rFonts w:ascii="Times New Roman" w:hAnsi="Times New Roman"/>
                <w:sz w:val="16"/>
                <w:szCs w:val="16"/>
                <w:lang w:val="es-ES"/>
              </w:rPr>
              <w:t>(</w:t>
            </w:r>
            <w:r w:rsidR="00B15EC5" w:rsidRPr="00AE4E8D">
              <w:rPr>
                <w:rFonts w:ascii="Times New Roman" w:hAnsi="Times New Roman"/>
                <w:sz w:val="16"/>
                <w:szCs w:val="16"/>
                <w:lang w:val="es-ES"/>
              </w:rPr>
              <w:t>en miles de Pesos, salvo porcentajes</w:t>
            </w:r>
            <w:r w:rsidRPr="00AE4E8D">
              <w:rPr>
                <w:rFonts w:ascii="Times New Roman" w:hAnsi="Times New Roman"/>
                <w:sz w:val="16"/>
                <w:szCs w:val="16"/>
                <w:lang w:val="es-ES"/>
              </w:rPr>
              <w:t>)</w:t>
            </w:r>
          </w:p>
        </w:tc>
      </w:tr>
      <w:tr w:rsidR="00E90931" w:rsidRPr="00AE4E8D" w14:paraId="205EEA46" w14:textId="77777777" w:rsidTr="000400C8">
        <w:trPr>
          <w:trHeight w:val="255"/>
          <w:jc w:val="center"/>
        </w:trPr>
        <w:tc>
          <w:tcPr>
            <w:tcW w:w="1884" w:type="pct"/>
            <w:vAlign w:val="center"/>
          </w:tcPr>
          <w:p w14:paraId="6A0974ED" w14:textId="77777777" w:rsidR="00E90931" w:rsidRPr="00AE4E8D" w:rsidRDefault="00E90931" w:rsidP="00E90931">
            <w:pPr>
              <w:rPr>
                <w:rFonts w:ascii="Times New Roman" w:hAnsi="Times New Roman"/>
                <w:sz w:val="16"/>
                <w:szCs w:val="16"/>
                <w:lang w:val="es-ES"/>
              </w:rPr>
            </w:pPr>
          </w:p>
        </w:tc>
        <w:tc>
          <w:tcPr>
            <w:tcW w:w="276" w:type="pct"/>
            <w:noWrap/>
            <w:vAlign w:val="bottom"/>
          </w:tcPr>
          <w:p w14:paraId="07D7A814"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7757C408"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7D084CA8" w14:textId="77777777" w:rsidR="00E90931" w:rsidRPr="00AE4E8D" w:rsidRDefault="00E90931" w:rsidP="00E90931">
            <w:pPr>
              <w:rPr>
                <w:rFonts w:ascii="Times New Roman" w:hAnsi="Times New Roman"/>
                <w:sz w:val="16"/>
                <w:szCs w:val="16"/>
                <w:lang w:val="es-ES"/>
              </w:rPr>
            </w:pPr>
          </w:p>
        </w:tc>
        <w:tc>
          <w:tcPr>
            <w:tcW w:w="652" w:type="pct"/>
            <w:noWrap/>
            <w:vAlign w:val="bottom"/>
          </w:tcPr>
          <w:p w14:paraId="4271BCA5" w14:textId="77777777" w:rsidR="00E90931" w:rsidRPr="00AE4E8D" w:rsidRDefault="00E90931" w:rsidP="00E90931">
            <w:pPr>
              <w:rPr>
                <w:rFonts w:ascii="Times New Roman" w:hAnsi="Times New Roman"/>
                <w:sz w:val="16"/>
                <w:szCs w:val="16"/>
                <w:lang w:val="es-ES"/>
              </w:rPr>
            </w:pPr>
          </w:p>
        </w:tc>
      </w:tr>
      <w:tr w:rsidR="00E90931" w:rsidRPr="00AE4E8D" w14:paraId="4EBD327E" w14:textId="77777777" w:rsidTr="000400C8">
        <w:trPr>
          <w:trHeight w:val="255"/>
          <w:jc w:val="center"/>
        </w:trPr>
        <w:tc>
          <w:tcPr>
            <w:tcW w:w="1884" w:type="pct"/>
            <w:vAlign w:val="center"/>
            <w:hideMark/>
          </w:tcPr>
          <w:p w14:paraId="744E3B38"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Resultado Neto</w:t>
            </w:r>
          </w:p>
        </w:tc>
        <w:tc>
          <w:tcPr>
            <w:tcW w:w="276" w:type="pct"/>
            <w:noWrap/>
            <w:vAlign w:val="bottom"/>
          </w:tcPr>
          <w:p w14:paraId="7842D198"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366FB6F8" w14:textId="77777777" w:rsidR="00E90931" w:rsidRPr="00AE4E8D" w:rsidRDefault="00EB3492"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615.328</w:t>
            </w:r>
          </w:p>
        </w:tc>
        <w:tc>
          <w:tcPr>
            <w:tcW w:w="1094" w:type="pct"/>
            <w:noWrap/>
            <w:vAlign w:val="bottom"/>
            <w:hideMark/>
          </w:tcPr>
          <w:p w14:paraId="76CB209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1.085.814</w:t>
            </w:r>
          </w:p>
        </w:tc>
        <w:tc>
          <w:tcPr>
            <w:tcW w:w="652" w:type="pct"/>
            <w:noWrap/>
            <w:vAlign w:val="bottom"/>
            <w:hideMark/>
          </w:tcPr>
          <w:p w14:paraId="69ADE1D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549.972</w:t>
            </w:r>
          </w:p>
        </w:tc>
      </w:tr>
      <w:tr w:rsidR="00E90931" w:rsidRPr="00AE4E8D" w14:paraId="0EFB9B60" w14:textId="77777777" w:rsidTr="000400C8">
        <w:trPr>
          <w:trHeight w:val="255"/>
          <w:jc w:val="center"/>
        </w:trPr>
        <w:tc>
          <w:tcPr>
            <w:tcW w:w="1884" w:type="pct"/>
            <w:vAlign w:val="center"/>
            <w:hideMark/>
          </w:tcPr>
          <w:p w14:paraId="4B46F99E"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Activo promedio total (1)</w:t>
            </w:r>
          </w:p>
        </w:tc>
        <w:tc>
          <w:tcPr>
            <w:tcW w:w="276" w:type="pct"/>
            <w:noWrap/>
            <w:vAlign w:val="bottom"/>
          </w:tcPr>
          <w:p w14:paraId="7CE3072C"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2C972EF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47.918.505</w:t>
            </w:r>
          </w:p>
        </w:tc>
        <w:tc>
          <w:tcPr>
            <w:tcW w:w="1094" w:type="pct"/>
            <w:noWrap/>
            <w:vAlign w:val="bottom"/>
            <w:hideMark/>
          </w:tcPr>
          <w:p w14:paraId="3EF105C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lang w:val="es-ES"/>
              </w:rPr>
              <w:t>33.684.660</w:t>
            </w:r>
          </w:p>
        </w:tc>
        <w:tc>
          <w:tcPr>
            <w:tcW w:w="652" w:type="pct"/>
            <w:noWrap/>
            <w:vAlign w:val="bottom"/>
            <w:hideMark/>
          </w:tcPr>
          <w:p w14:paraId="3F788E6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25.887.788</w:t>
            </w:r>
          </w:p>
        </w:tc>
      </w:tr>
      <w:tr w:rsidR="00E90931" w:rsidRPr="00AE4E8D" w14:paraId="45AB69C1" w14:textId="77777777" w:rsidTr="000400C8">
        <w:trPr>
          <w:trHeight w:val="255"/>
          <w:jc w:val="center"/>
        </w:trPr>
        <w:tc>
          <w:tcPr>
            <w:tcW w:w="1884" w:type="pct"/>
            <w:vAlign w:val="center"/>
            <w:hideMark/>
          </w:tcPr>
          <w:p w14:paraId="65846DD1"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Patrimonio neto promedio (1)</w:t>
            </w:r>
          </w:p>
        </w:tc>
        <w:tc>
          <w:tcPr>
            <w:tcW w:w="276" w:type="pct"/>
            <w:noWrap/>
            <w:vAlign w:val="bottom"/>
          </w:tcPr>
          <w:p w14:paraId="2475D0C1"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56D6502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5.935.529</w:t>
            </w:r>
          </w:p>
        </w:tc>
        <w:tc>
          <w:tcPr>
            <w:tcW w:w="1094" w:type="pct"/>
            <w:noWrap/>
            <w:vAlign w:val="bottom"/>
            <w:hideMark/>
          </w:tcPr>
          <w:p w14:paraId="76CEED4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4.777.209</w:t>
            </w:r>
          </w:p>
        </w:tc>
        <w:tc>
          <w:tcPr>
            <w:tcW w:w="652" w:type="pct"/>
            <w:noWrap/>
            <w:vAlign w:val="bottom"/>
            <w:hideMark/>
          </w:tcPr>
          <w:p w14:paraId="7B7153D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4.258.027</w:t>
            </w:r>
          </w:p>
        </w:tc>
      </w:tr>
      <w:tr w:rsidR="00E90931" w:rsidRPr="00AE4E8D" w14:paraId="5394EF1E" w14:textId="77777777" w:rsidTr="000400C8">
        <w:trPr>
          <w:trHeight w:val="300"/>
          <w:jc w:val="center"/>
        </w:trPr>
        <w:tc>
          <w:tcPr>
            <w:tcW w:w="1884" w:type="pct"/>
            <w:vAlign w:val="center"/>
            <w:hideMark/>
          </w:tcPr>
          <w:p w14:paraId="5C04DF90"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Patrimonio neto al final del período (3)</w:t>
            </w:r>
          </w:p>
        </w:tc>
        <w:tc>
          <w:tcPr>
            <w:tcW w:w="276" w:type="pct"/>
            <w:noWrap/>
            <w:vAlign w:val="bottom"/>
          </w:tcPr>
          <w:p w14:paraId="420177F8"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4D644B1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6.056.228</w:t>
            </w:r>
          </w:p>
        </w:tc>
        <w:tc>
          <w:tcPr>
            <w:tcW w:w="1094" w:type="pct"/>
            <w:noWrap/>
            <w:vAlign w:val="bottom"/>
            <w:hideMark/>
          </w:tcPr>
          <w:p w14:paraId="1BA0D38C"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5.440.904</w:t>
            </w:r>
          </w:p>
        </w:tc>
        <w:tc>
          <w:tcPr>
            <w:tcW w:w="652" w:type="pct"/>
            <w:noWrap/>
            <w:vAlign w:val="bottom"/>
            <w:hideMark/>
          </w:tcPr>
          <w:p w14:paraId="03E06BD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4.396.907</w:t>
            </w:r>
          </w:p>
        </w:tc>
      </w:tr>
      <w:tr w:rsidR="00E90931" w:rsidRPr="00AE4E8D" w14:paraId="4D0B5C64" w14:textId="77777777" w:rsidTr="000400C8">
        <w:trPr>
          <w:trHeight w:val="285"/>
          <w:jc w:val="center"/>
        </w:trPr>
        <w:tc>
          <w:tcPr>
            <w:tcW w:w="1884" w:type="pct"/>
            <w:vAlign w:val="center"/>
            <w:hideMark/>
          </w:tcPr>
          <w:p w14:paraId="13A62299"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Dividendo en efectivo (2)</w:t>
            </w:r>
          </w:p>
        </w:tc>
        <w:tc>
          <w:tcPr>
            <w:tcW w:w="276" w:type="pct"/>
            <w:noWrap/>
            <w:vAlign w:val="bottom"/>
          </w:tcPr>
          <w:p w14:paraId="678A131C"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370BF69C" w14:textId="77777777" w:rsidR="00E90931" w:rsidRPr="00AE4E8D" w:rsidRDefault="00FA3175" w:rsidP="00BD536D">
            <w:pPr>
              <w:jc w:val="right"/>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w:t>
            </w:r>
          </w:p>
        </w:tc>
        <w:tc>
          <w:tcPr>
            <w:tcW w:w="1094" w:type="pct"/>
            <w:noWrap/>
            <w:vAlign w:val="bottom"/>
            <w:hideMark/>
          </w:tcPr>
          <w:p w14:paraId="6100858D" w14:textId="77777777" w:rsidR="00E90931" w:rsidRPr="00AE4E8D" w:rsidRDefault="00FA3175" w:rsidP="00BD536D">
            <w:pPr>
              <w:jc w:val="right"/>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w:t>
            </w:r>
          </w:p>
        </w:tc>
        <w:tc>
          <w:tcPr>
            <w:tcW w:w="652" w:type="pct"/>
            <w:noWrap/>
            <w:vAlign w:val="bottom"/>
            <w:hideMark/>
          </w:tcPr>
          <w:p w14:paraId="6C106BFB" w14:textId="77777777" w:rsidR="00E90931" w:rsidRPr="00AE4E8D" w:rsidRDefault="00FA3175" w:rsidP="00BD536D">
            <w:pPr>
              <w:jc w:val="right"/>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w:t>
            </w:r>
          </w:p>
        </w:tc>
      </w:tr>
      <w:tr w:rsidR="00E90931" w:rsidRPr="00AE4E8D" w14:paraId="3ED51BF6" w14:textId="77777777" w:rsidTr="000400C8">
        <w:trPr>
          <w:trHeight w:val="285"/>
          <w:jc w:val="center"/>
        </w:trPr>
        <w:tc>
          <w:tcPr>
            <w:tcW w:w="1884" w:type="pct"/>
            <w:vAlign w:val="center"/>
          </w:tcPr>
          <w:p w14:paraId="47E44ADC" w14:textId="77777777" w:rsidR="00E90931" w:rsidRPr="00AE4E8D" w:rsidRDefault="00E90931" w:rsidP="00E90931">
            <w:pPr>
              <w:rPr>
                <w:rFonts w:ascii="Times New Roman" w:hAnsi="Times New Roman"/>
                <w:sz w:val="16"/>
                <w:szCs w:val="16"/>
                <w:lang w:val="es-ES"/>
              </w:rPr>
            </w:pPr>
          </w:p>
        </w:tc>
        <w:tc>
          <w:tcPr>
            <w:tcW w:w="276" w:type="pct"/>
            <w:noWrap/>
            <w:vAlign w:val="bottom"/>
          </w:tcPr>
          <w:p w14:paraId="1C18AE4B"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79E33AF3" w14:textId="77777777" w:rsidR="00E90931" w:rsidRPr="00AE4E8D" w:rsidRDefault="00E90931" w:rsidP="00E90931">
            <w:pPr>
              <w:rPr>
                <w:rFonts w:ascii="Times New Roman" w:hAnsi="Times New Roman"/>
                <w:color w:val="000000"/>
                <w:sz w:val="16"/>
                <w:szCs w:val="16"/>
                <w:lang w:val="es-ES"/>
              </w:rPr>
            </w:pPr>
          </w:p>
        </w:tc>
        <w:tc>
          <w:tcPr>
            <w:tcW w:w="1094" w:type="pct"/>
            <w:noWrap/>
            <w:vAlign w:val="bottom"/>
          </w:tcPr>
          <w:p w14:paraId="1D5975F7" w14:textId="77777777" w:rsidR="00E90931" w:rsidRPr="00AE4E8D" w:rsidRDefault="00E90931" w:rsidP="00E90931">
            <w:pPr>
              <w:rPr>
                <w:rFonts w:ascii="Times New Roman" w:hAnsi="Times New Roman"/>
                <w:color w:val="000000"/>
                <w:sz w:val="16"/>
                <w:szCs w:val="16"/>
                <w:lang w:val="es-ES"/>
              </w:rPr>
            </w:pPr>
          </w:p>
        </w:tc>
        <w:tc>
          <w:tcPr>
            <w:tcW w:w="652" w:type="pct"/>
            <w:noWrap/>
            <w:vAlign w:val="bottom"/>
          </w:tcPr>
          <w:p w14:paraId="0C0F379C" w14:textId="77777777" w:rsidR="00E90931" w:rsidRPr="00AE4E8D" w:rsidRDefault="00E90931" w:rsidP="00E90931">
            <w:pPr>
              <w:rPr>
                <w:rFonts w:ascii="Times New Roman" w:hAnsi="Times New Roman"/>
                <w:color w:val="000000"/>
                <w:sz w:val="16"/>
                <w:szCs w:val="16"/>
                <w:lang w:val="es-ES"/>
              </w:rPr>
            </w:pPr>
          </w:p>
        </w:tc>
      </w:tr>
      <w:tr w:rsidR="00E90931" w:rsidRPr="00AE4E8D" w14:paraId="48907D1C" w14:textId="77777777" w:rsidTr="000400C8">
        <w:trPr>
          <w:trHeight w:val="255"/>
          <w:jc w:val="center"/>
        </w:trPr>
        <w:tc>
          <w:tcPr>
            <w:tcW w:w="1884" w:type="pct"/>
            <w:vAlign w:val="center"/>
            <w:hideMark/>
          </w:tcPr>
          <w:p w14:paraId="109E805D"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Resultado Neto como porcentaje de:</w:t>
            </w:r>
          </w:p>
        </w:tc>
        <w:tc>
          <w:tcPr>
            <w:tcW w:w="276" w:type="pct"/>
            <w:noWrap/>
            <w:vAlign w:val="bottom"/>
          </w:tcPr>
          <w:p w14:paraId="2BAF3B04"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7C77CA03"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1A8DD2D2" w14:textId="77777777" w:rsidR="00E90931" w:rsidRPr="00AE4E8D" w:rsidRDefault="00E90931" w:rsidP="00E90931">
            <w:pPr>
              <w:rPr>
                <w:rFonts w:ascii="Times New Roman" w:hAnsi="Times New Roman"/>
                <w:sz w:val="16"/>
                <w:szCs w:val="16"/>
                <w:lang w:val="es-ES"/>
              </w:rPr>
            </w:pPr>
          </w:p>
        </w:tc>
        <w:tc>
          <w:tcPr>
            <w:tcW w:w="652" w:type="pct"/>
            <w:noWrap/>
            <w:vAlign w:val="bottom"/>
          </w:tcPr>
          <w:p w14:paraId="4DDD9456" w14:textId="77777777" w:rsidR="00E90931" w:rsidRPr="00AE4E8D" w:rsidRDefault="00E90931" w:rsidP="00E90931">
            <w:pPr>
              <w:rPr>
                <w:rFonts w:ascii="Times New Roman" w:hAnsi="Times New Roman"/>
                <w:sz w:val="16"/>
                <w:szCs w:val="16"/>
                <w:lang w:val="es-ES"/>
              </w:rPr>
            </w:pPr>
          </w:p>
        </w:tc>
      </w:tr>
      <w:tr w:rsidR="00E90931" w:rsidRPr="00AE4E8D" w14:paraId="7B6DEB1B" w14:textId="77777777" w:rsidTr="000400C8">
        <w:trPr>
          <w:trHeight w:val="255"/>
          <w:jc w:val="center"/>
        </w:trPr>
        <w:tc>
          <w:tcPr>
            <w:tcW w:w="1884" w:type="pct"/>
            <w:vAlign w:val="center"/>
            <w:hideMark/>
          </w:tcPr>
          <w:p w14:paraId="6A1C7B27"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Activos promedio total</w:t>
            </w:r>
          </w:p>
        </w:tc>
        <w:tc>
          <w:tcPr>
            <w:tcW w:w="276" w:type="pct"/>
            <w:noWrap/>
            <w:vAlign w:val="bottom"/>
          </w:tcPr>
          <w:p w14:paraId="61AD7B28"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575A8E4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1,28%</w:t>
            </w:r>
          </w:p>
        </w:tc>
        <w:tc>
          <w:tcPr>
            <w:tcW w:w="1094" w:type="pct"/>
            <w:noWrap/>
            <w:vAlign w:val="bottom"/>
            <w:hideMark/>
          </w:tcPr>
          <w:p w14:paraId="48108D4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3,22%</w:t>
            </w:r>
          </w:p>
        </w:tc>
        <w:tc>
          <w:tcPr>
            <w:tcW w:w="652" w:type="pct"/>
            <w:noWrap/>
            <w:vAlign w:val="bottom"/>
            <w:hideMark/>
          </w:tcPr>
          <w:p w14:paraId="3E09076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2,12%</w:t>
            </w:r>
          </w:p>
        </w:tc>
      </w:tr>
      <w:tr w:rsidR="00E90931" w:rsidRPr="00AE4E8D" w14:paraId="7EA6292A" w14:textId="77777777" w:rsidTr="000400C8">
        <w:trPr>
          <w:trHeight w:val="255"/>
          <w:jc w:val="center"/>
        </w:trPr>
        <w:tc>
          <w:tcPr>
            <w:tcW w:w="1884" w:type="pct"/>
            <w:vAlign w:val="center"/>
            <w:hideMark/>
          </w:tcPr>
          <w:p w14:paraId="42E17234"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Patrimonio neto promedio</w:t>
            </w:r>
          </w:p>
        </w:tc>
        <w:tc>
          <w:tcPr>
            <w:tcW w:w="276" w:type="pct"/>
            <w:noWrap/>
            <w:vAlign w:val="bottom"/>
          </w:tcPr>
          <w:p w14:paraId="5DE7176B"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057A5E9C"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10,37%</w:t>
            </w:r>
          </w:p>
        </w:tc>
        <w:tc>
          <w:tcPr>
            <w:tcW w:w="1094" w:type="pct"/>
            <w:noWrap/>
            <w:vAlign w:val="bottom"/>
            <w:hideMark/>
          </w:tcPr>
          <w:p w14:paraId="428C280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22,73%</w:t>
            </w:r>
          </w:p>
        </w:tc>
        <w:tc>
          <w:tcPr>
            <w:tcW w:w="652" w:type="pct"/>
            <w:noWrap/>
            <w:vAlign w:val="bottom"/>
            <w:hideMark/>
          </w:tcPr>
          <w:p w14:paraId="15E7F4C7"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12,92%</w:t>
            </w:r>
          </w:p>
        </w:tc>
      </w:tr>
      <w:tr w:rsidR="00E90931" w:rsidRPr="00AE4E8D" w14:paraId="6FF1D9FC" w14:textId="77777777" w:rsidTr="000400C8">
        <w:trPr>
          <w:trHeight w:val="255"/>
          <w:jc w:val="center"/>
        </w:trPr>
        <w:tc>
          <w:tcPr>
            <w:tcW w:w="1884" w:type="pct"/>
            <w:vAlign w:val="center"/>
          </w:tcPr>
          <w:p w14:paraId="47863D46" w14:textId="77777777" w:rsidR="00E90931" w:rsidRPr="00AE4E8D" w:rsidRDefault="00E90931" w:rsidP="00E90931">
            <w:pPr>
              <w:rPr>
                <w:rFonts w:ascii="Times New Roman" w:hAnsi="Times New Roman"/>
                <w:sz w:val="16"/>
                <w:szCs w:val="16"/>
                <w:lang w:val="es-ES"/>
              </w:rPr>
            </w:pPr>
          </w:p>
        </w:tc>
        <w:tc>
          <w:tcPr>
            <w:tcW w:w="276" w:type="pct"/>
            <w:noWrap/>
            <w:vAlign w:val="bottom"/>
          </w:tcPr>
          <w:p w14:paraId="03E97A94"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2F103292"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1B70C45D" w14:textId="77777777" w:rsidR="00E90931" w:rsidRPr="00AE4E8D" w:rsidRDefault="00E90931" w:rsidP="00E90931">
            <w:pPr>
              <w:rPr>
                <w:rFonts w:ascii="Times New Roman" w:hAnsi="Times New Roman"/>
                <w:sz w:val="16"/>
                <w:szCs w:val="16"/>
                <w:lang w:val="es-ES"/>
              </w:rPr>
            </w:pPr>
          </w:p>
        </w:tc>
        <w:tc>
          <w:tcPr>
            <w:tcW w:w="652" w:type="pct"/>
            <w:noWrap/>
            <w:vAlign w:val="bottom"/>
          </w:tcPr>
          <w:p w14:paraId="5029D589" w14:textId="77777777" w:rsidR="00E90931" w:rsidRPr="00AE4E8D" w:rsidRDefault="00E90931" w:rsidP="00E90931">
            <w:pPr>
              <w:rPr>
                <w:rFonts w:ascii="Times New Roman" w:hAnsi="Times New Roman"/>
                <w:sz w:val="16"/>
                <w:szCs w:val="16"/>
                <w:lang w:val="es-ES"/>
              </w:rPr>
            </w:pPr>
          </w:p>
        </w:tc>
      </w:tr>
      <w:tr w:rsidR="00E90931" w:rsidRPr="00AE4E8D" w14:paraId="0225A86A" w14:textId="77777777" w:rsidTr="000400C8">
        <w:trPr>
          <w:trHeight w:val="450"/>
          <w:jc w:val="center"/>
        </w:trPr>
        <w:tc>
          <w:tcPr>
            <w:tcW w:w="1884" w:type="pct"/>
            <w:vAlign w:val="center"/>
            <w:hideMark/>
          </w:tcPr>
          <w:p w14:paraId="2C4483FF"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Patrimonio neto promedio como porcentaje de promedio de activos</w:t>
            </w:r>
          </w:p>
        </w:tc>
        <w:tc>
          <w:tcPr>
            <w:tcW w:w="276" w:type="pct"/>
            <w:noWrap/>
            <w:vAlign w:val="bottom"/>
          </w:tcPr>
          <w:p w14:paraId="5B889365"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218B67A7"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12,39%</w:t>
            </w:r>
          </w:p>
        </w:tc>
        <w:tc>
          <w:tcPr>
            <w:tcW w:w="1094" w:type="pct"/>
            <w:noWrap/>
            <w:vAlign w:val="bottom"/>
            <w:hideMark/>
          </w:tcPr>
          <w:p w14:paraId="7C1442F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14,18%</w:t>
            </w:r>
          </w:p>
        </w:tc>
        <w:tc>
          <w:tcPr>
            <w:tcW w:w="652" w:type="pct"/>
            <w:noWrap/>
            <w:vAlign w:val="bottom"/>
            <w:hideMark/>
          </w:tcPr>
          <w:p w14:paraId="3059DAA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16,45%</w:t>
            </w:r>
          </w:p>
        </w:tc>
      </w:tr>
      <w:tr w:rsidR="00E90931" w:rsidRPr="00AE4E8D" w14:paraId="2FDBCA7B" w14:textId="77777777" w:rsidTr="000400C8">
        <w:trPr>
          <w:trHeight w:val="255"/>
          <w:jc w:val="center"/>
        </w:trPr>
        <w:tc>
          <w:tcPr>
            <w:tcW w:w="1884" w:type="pct"/>
            <w:vAlign w:val="center"/>
          </w:tcPr>
          <w:p w14:paraId="79BA8E05" w14:textId="77777777" w:rsidR="00E90931" w:rsidRPr="00AE4E8D" w:rsidRDefault="00E90931" w:rsidP="00E90931">
            <w:pPr>
              <w:rPr>
                <w:rFonts w:ascii="Times New Roman" w:hAnsi="Times New Roman"/>
                <w:sz w:val="16"/>
                <w:szCs w:val="16"/>
                <w:lang w:val="es-ES"/>
              </w:rPr>
            </w:pPr>
          </w:p>
        </w:tc>
        <w:tc>
          <w:tcPr>
            <w:tcW w:w="276" w:type="pct"/>
            <w:noWrap/>
            <w:vAlign w:val="bottom"/>
          </w:tcPr>
          <w:p w14:paraId="04E759C5"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3A6BA007"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4DE6EEA1" w14:textId="77777777" w:rsidR="00E90931" w:rsidRPr="00AE4E8D" w:rsidRDefault="00E90931" w:rsidP="00E90931">
            <w:pPr>
              <w:rPr>
                <w:rFonts w:ascii="Times New Roman" w:hAnsi="Times New Roman"/>
                <w:sz w:val="16"/>
                <w:szCs w:val="16"/>
                <w:lang w:val="es-ES"/>
              </w:rPr>
            </w:pPr>
          </w:p>
        </w:tc>
        <w:tc>
          <w:tcPr>
            <w:tcW w:w="652" w:type="pct"/>
            <w:noWrap/>
            <w:vAlign w:val="bottom"/>
          </w:tcPr>
          <w:p w14:paraId="2F5D7845" w14:textId="77777777" w:rsidR="00E90931" w:rsidRPr="00AE4E8D" w:rsidRDefault="00E90931" w:rsidP="00E90931">
            <w:pPr>
              <w:rPr>
                <w:rFonts w:ascii="Times New Roman" w:hAnsi="Times New Roman"/>
                <w:sz w:val="16"/>
                <w:szCs w:val="16"/>
                <w:lang w:val="es-ES"/>
              </w:rPr>
            </w:pPr>
          </w:p>
        </w:tc>
      </w:tr>
      <w:tr w:rsidR="00E90931" w:rsidRPr="00AE4E8D" w14:paraId="44C1EA38" w14:textId="77777777" w:rsidTr="000400C8">
        <w:trPr>
          <w:trHeight w:val="630"/>
          <w:jc w:val="center"/>
        </w:trPr>
        <w:tc>
          <w:tcPr>
            <w:tcW w:w="1884" w:type="pct"/>
            <w:vAlign w:val="center"/>
            <w:hideMark/>
          </w:tcPr>
          <w:p w14:paraId="1DF39B3D"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Patrimonio neto al final del período como porcentaje de los Activos Promedio</w:t>
            </w:r>
          </w:p>
        </w:tc>
        <w:tc>
          <w:tcPr>
            <w:tcW w:w="276" w:type="pct"/>
            <w:noWrap/>
            <w:vAlign w:val="bottom"/>
          </w:tcPr>
          <w:p w14:paraId="259742BC"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36E7FC6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12,64%</w:t>
            </w:r>
          </w:p>
        </w:tc>
        <w:tc>
          <w:tcPr>
            <w:tcW w:w="1094" w:type="pct"/>
            <w:noWrap/>
            <w:vAlign w:val="bottom"/>
            <w:hideMark/>
          </w:tcPr>
          <w:p w14:paraId="7CCA56D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16,15%</w:t>
            </w:r>
          </w:p>
        </w:tc>
        <w:tc>
          <w:tcPr>
            <w:tcW w:w="652" w:type="pct"/>
            <w:noWrap/>
            <w:vAlign w:val="bottom"/>
            <w:hideMark/>
          </w:tcPr>
          <w:p w14:paraId="7972D0D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16,98%</w:t>
            </w:r>
          </w:p>
        </w:tc>
      </w:tr>
      <w:tr w:rsidR="00E90931" w:rsidRPr="00AE4E8D" w14:paraId="66C9410E" w14:textId="77777777" w:rsidTr="000400C8">
        <w:trPr>
          <w:trHeight w:val="255"/>
          <w:jc w:val="center"/>
        </w:trPr>
        <w:tc>
          <w:tcPr>
            <w:tcW w:w="1884" w:type="pct"/>
            <w:vAlign w:val="center"/>
          </w:tcPr>
          <w:p w14:paraId="5E434FC4" w14:textId="77777777" w:rsidR="00E90931" w:rsidRPr="00AE4E8D" w:rsidRDefault="00E90931" w:rsidP="00E90931">
            <w:pPr>
              <w:rPr>
                <w:rFonts w:ascii="Times New Roman" w:hAnsi="Times New Roman"/>
                <w:sz w:val="16"/>
                <w:szCs w:val="16"/>
                <w:lang w:val="es-ES"/>
              </w:rPr>
            </w:pPr>
          </w:p>
        </w:tc>
        <w:tc>
          <w:tcPr>
            <w:tcW w:w="276" w:type="pct"/>
            <w:noWrap/>
            <w:vAlign w:val="bottom"/>
          </w:tcPr>
          <w:p w14:paraId="575801D8"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664BAE08"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00605EB3" w14:textId="77777777" w:rsidR="00E90931" w:rsidRPr="00AE4E8D" w:rsidRDefault="00E90931" w:rsidP="00E90931">
            <w:pPr>
              <w:rPr>
                <w:rFonts w:ascii="Times New Roman" w:hAnsi="Times New Roman"/>
                <w:sz w:val="16"/>
                <w:szCs w:val="16"/>
                <w:lang w:val="es-ES"/>
              </w:rPr>
            </w:pPr>
          </w:p>
        </w:tc>
        <w:tc>
          <w:tcPr>
            <w:tcW w:w="652" w:type="pct"/>
            <w:noWrap/>
            <w:vAlign w:val="bottom"/>
          </w:tcPr>
          <w:p w14:paraId="0C1D9AD3" w14:textId="77777777" w:rsidR="00E90931" w:rsidRPr="00AE4E8D" w:rsidRDefault="00E90931" w:rsidP="00E90931">
            <w:pPr>
              <w:rPr>
                <w:rFonts w:ascii="Times New Roman" w:hAnsi="Times New Roman"/>
                <w:sz w:val="16"/>
                <w:szCs w:val="16"/>
                <w:lang w:val="es-ES"/>
              </w:rPr>
            </w:pPr>
          </w:p>
        </w:tc>
      </w:tr>
      <w:tr w:rsidR="00E90931" w:rsidRPr="00AE4E8D" w14:paraId="271737F0" w14:textId="77777777" w:rsidTr="000400C8">
        <w:trPr>
          <w:trHeight w:val="675"/>
          <w:jc w:val="center"/>
        </w:trPr>
        <w:tc>
          <w:tcPr>
            <w:tcW w:w="1884" w:type="pct"/>
            <w:vAlign w:val="center"/>
            <w:hideMark/>
          </w:tcPr>
          <w:p w14:paraId="51D1AB57"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Dividendos declarados por acción como porcentaje del Resultado Neto por acción (3)</w:t>
            </w:r>
          </w:p>
        </w:tc>
        <w:tc>
          <w:tcPr>
            <w:tcW w:w="276" w:type="pct"/>
            <w:noWrap/>
            <w:vAlign w:val="bottom"/>
          </w:tcPr>
          <w:p w14:paraId="73A6FD6C" w14:textId="77777777" w:rsidR="00E90931" w:rsidRPr="00AE4E8D" w:rsidRDefault="00E90931" w:rsidP="00E90931">
            <w:pPr>
              <w:rPr>
                <w:rFonts w:ascii="Times New Roman" w:hAnsi="Times New Roman"/>
                <w:sz w:val="16"/>
                <w:szCs w:val="16"/>
                <w:lang w:val="es-ES"/>
              </w:rPr>
            </w:pPr>
          </w:p>
        </w:tc>
        <w:tc>
          <w:tcPr>
            <w:tcW w:w="1094" w:type="pct"/>
            <w:noWrap/>
            <w:vAlign w:val="bottom"/>
            <w:hideMark/>
          </w:tcPr>
          <w:p w14:paraId="685509C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0,00%</w:t>
            </w:r>
          </w:p>
        </w:tc>
        <w:tc>
          <w:tcPr>
            <w:tcW w:w="1094" w:type="pct"/>
            <w:noWrap/>
            <w:vAlign w:val="bottom"/>
            <w:hideMark/>
          </w:tcPr>
          <w:p w14:paraId="2163EBC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0,00%</w:t>
            </w:r>
          </w:p>
        </w:tc>
        <w:tc>
          <w:tcPr>
            <w:tcW w:w="652" w:type="pct"/>
            <w:noWrap/>
            <w:vAlign w:val="bottom"/>
            <w:hideMark/>
          </w:tcPr>
          <w:p w14:paraId="11593A1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0,00%</w:t>
            </w:r>
          </w:p>
        </w:tc>
      </w:tr>
      <w:tr w:rsidR="00E90931" w:rsidRPr="00AE4E8D" w14:paraId="1B14FBDB" w14:textId="77777777" w:rsidTr="000400C8">
        <w:trPr>
          <w:trHeight w:val="255"/>
          <w:jc w:val="center"/>
        </w:trPr>
        <w:tc>
          <w:tcPr>
            <w:tcW w:w="1884" w:type="pct"/>
            <w:vAlign w:val="center"/>
          </w:tcPr>
          <w:p w14:paraId="40C9BE04" w14:textId="77777777" w:rsidR="00E90931" w:rsidRPr="00AE4E8D" w:rsidRDefault="00E90931" w:rsidP="00E90931">
            <w:pPr>
              <w:rPr>
                <w:rFonts w:ascii="Times New Roman" w:hAnsi="Times New Roman"/>
                <w:sz w:val="16"/>
                <w:szCs w:val="16"/>
                <w:lang w:val="es-ES"/>
              </w:rPr>
            </w:pPr>
          </w:p>
        </w:tc>
        <w:tc>
          <w:tcPr>
            <w:tcW w:w="276" w:type="pct"/>
            <w:noWrap/>
            <w:vAlign w:val="bottom"/>
          </w:tcPr>
          <w:p w14:paraId="168B7267"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7EB08FD0" w14:textId="77777777" w:rsidR="00E90931" w:rsidRPr="00AE4E8D" w:rsidRDefault="00E90931" w:rsidP="00E90931">
            <w:pPr>
              <w:rPr>
                <w:rFonts w:ascii="Times New Roman" w:hAnsi="Times New Roman"/>
                <w:sz w:val="16"/>
                <w:szCs w:val="16"/>
                <w:lang w:val="es-ES"/>
              </w:rPr>
            </w:pPr>
          </w:p>
        </w:tc>
        <w:tc>
          <w:tcPr>
            <w:tcW w:w="1094" w:type="pct"/>
            <w:noWrap/>
            <w:vAlign w:val="bottom"/>
          </w:tcPr>
          <w:p w14:paraId="568A19D2" w14:textId="77777777" w:rsidR="00E90931" w:rsidRPr="00AE4E8D" w:rsidRDefault="00E90931" w:rsidP="00E90931">
            <w:pPr>
              <w:rPr>
                <w:rFonts w:ascii="Times New Roman" w:hAnsi="Times New Roman"/>
                <w:sz w:val="16"/>
                <w:szCs w:val="16"/>
                <w:lang w:val="es-ES"/>
              </w:rPr>
            </w:pPr>
          </w:p>
        </w:tc>
        <w:tc>
          <w:tcPr>
            <w:tcW w:w="652" w:type="pct"/>
            <w:noWrap/>
            <w:vAlign w:val="bottom"/>
          </w:tcPr>
          <w:p w14:paraId="0B0D5F7D" w14:textId="77777777" w:rsidR="00E90931" w:rsidRPr="00AE4E8D" w:rsidRDefault="00E90931" w:rsidP="00E90931">
            <w:pPr>
              <w:rPr>
                <w:rFonts w:ascii="Times New Roman" w:hAnsi="Times New Roman"/>
                <w:sz w:val="16"/>
                <w:szCs w:val="16"/>
                <w:lang w:val="es-ES"/>
              </w:rPr>
            </w:pPr>
          </w:p>
        </w:tc>
      </w:tr>
      <w:tr w:rsidR="00E90931" w:rsidRPr="00AE4E8D" w14:paraId="41CD1290" w14:textId="77777777" w:rsidTr="000400C8">
        <w:trPr>
          <w:trHeight w:val="255"/>
          <w:jc w:val="center"/>
        </w:trPr>
        <w:tc>
          <w:tcPr>
            <w:tcW w:w="5000" w:type="pct"/>
            <w:gridSpan w:val="5"/>
            <w:noWrap/>
            <w:vAlign w:val="center"/>
            <w:hideMark/>
          </w:tcPr>
          <w:p w14:paraId="0F0EB1F1"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(1) Calculado como el promedio diario.</w:t>
            </w:r>
          </w:p>
        </w:tc>
      </w:tr>
      <w:tr w:rsidR="00E90931" w:rsidRPr="00AE4E8D" w14:paraId="1130021A" w14:textId="77777777" w:rsidTr="000400C8">
        <w:trPr>
          <w:trHeight w:val="838"/>
          <w:jc w:val="center"/>
        </w:trPr>
        <w:tc>
          <w:tcPr>
            <w:tcW w:w="5000" w:type="pct"/>
            <w:gridSpan w:val="5"/>
            <w:vAlign w:val="center"/>
            <w:hideMark/>
          </w:tcPr>
          <w:p w14:paraId="734DF800" w14:textId="77777777" w:rsidR="00E90931" w:rsidRPr="00AE4E8D" w:rsidRDefault="00E90931" w:rsidP="00B23BF7">
            <w:pPr>
              <w:rPr>
                <w:rFonts w:ascii="Times New Roman" w:hAnsi="Times New Roman"/>
                <w:sz w:val="16"/>
                <w:szCs w:val="16"/>
                <w:lang w:val="es-ES"/>
              </w:rPr>
            </w:pPr>
            <w:r w:rsidRPr="00AE4E8D">
              <w:rPr>
                <w:rFonts w:ascii="Times New Roman" w:hAnsi="Times New Roman"/>
                <w:sz w:val="16"/>
                <w:szCs w:val="16"/>
                <w:lang w:val="es-ES"/>
              </w:rPr>
              <w:t xml:space="preserve">(2) Para el ejercicio cerrado el 31 de diciembre de 2015 y 2016, </w:t>
            </w:r>
            <w:r w:rsidR="008B50BC" w:rsidRPr="00AE4E8D">
              <w:rPr>
                <w:rFonts w:ascii="Times New Roman" w:hAnsi="Times New Roman"/>
                <w:sz w:val="16"/>
                <w:szCs w:val="16"/>
                <w:lang w:val="es-ES"/>
              </w:rPr>
              <w:t xml:space="preserve">nuestro directorio decidió </w:t>
            </w:r>
            <w:r w:rsidRPr="00AE4E8D">
              <w:rPr>
                <w:rFonts w:ascii="Times New Roman" w:hAnsi="Times New Roman"/>
                <w:sz w:val="16"/>
                <w:szCs w:val="16"/>
                <w:lang w:val="es-ES"/>
              </w:rPr>
              <w:t xml:space="preserve">no declarar </w:t>
            </w:r>
            <w:r w:rsidR="008B50BC" w:rsidRPr="00AE4E8D">
              <w:rPr>
                <w:rFonts w:ascii="Times New Roman" w:hAnsi="Times New Roman"/>
                <w:sz w:val="16"/>
                <w:szCs w:val="16"/>
                <w:lang w:val="es-ES"/>
              </w:rPr>
              <w:t xml:space="preserve">ni </w:t>
            </w:r>
            <w:r w:rsidRPr="00AE4E8D">
              <w:rPr>
                <w:rFonts w:ascii="Times New Roman" w:hAnsi="Times New Roman"/>
                <w:sz w:val="16"/>
                <w:szCs w:val="16"/>
                <w:lang w:val="es-ES"/>
              </w:rPr>
              <w:t xml:space="preserve">distribuir dividendos como consecuencia del dictado de las Comunicaciones "A" 5272 y </w:t>
            </w:r>
            <w:r w:rsidR="00B23BF7" w:rsidRPr="00AE4E8D">
              <w:rPr>
                <w:rFonts w:ascii="Times New Roman" w:hAnsi="Times New Roman"/>
                <w:sz w:val="16"/>
                <w:szCs w:val="16"/>
                <w:lang w:val="es-ES"/>
              </w:rPr>
              <w:t>5827</w:t>
            </w:r>
            <w:r w:rsidRPr="00AE4E8D">
              <w:rPr>
                <w:rFonts w:ascii="Times New Roman" w:hAnsi="Times New Roman"/>
                <w:sz w:val="16"/>
                <w:szCs w:val="16"/>
                <w:lang w:val="es-ES"/>
              </w:rPr>
              <w:t xml:space="preserve"> del BCRA. </w:t>
            </w:r>
          </w:p>
        </w:tc>
      </w:tr>
      <w:tr w:rsidR="00E90931" w:rsidRPr="00AE4E8D" w14:paraId="561DEBF5" w14:textId="77777777" w:rsidTr="000400C8">
        <w:trPr>
          <w:trHeight w:val="80"/>
          <w:jc w:val="center"/>
        </w:trPr>
        <w:tc>
          <w:tcPr>
            <w:tcW w:w="5000" w:type="pct"/>
            <w:gridSpan w:val="5"/>
            <w:noWrap/>
            <w:vAlign w:val="center"/>
            <w:hideMark/>
          </w:tcPr>
          <w:p w14:paraId="79CD5AB6"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xml:space="preserve">(3) De acuerdo a los Estados Contables Consolidados </w:t>
            </w:r>
          </w:p>
        </w:tc>
      </w:tr>
    </w:tbl>
    <w:p w14:paraId="54F1E8F3" w14:textId="77777777" w:rsidR="00E90931" w:rsidRPr="00AE4E8D" w:rsidRDefault="00E90931" w:rsidP="00E90931">
      <w:pPr>
        <w:keepNext/>
        <w:autoSpaceDE w:val="0"/>
        <w:autoSpaceDN w:val="0"/>
        <w:adjustRightInd w:val="0"/>
        <w:spacing w:before="240" w:after="240"/>
        <w:outlineLvl w:val="1"/>
        <w:rPr>
          <w:rFonts w:ascii="Times New Roman" w:hAnsi="Times New Roman"/>
          <w:b/>
          <w:lang w:val="es-ES"/>
        </w:rPr>
      </w:pPr>
      <w:bookmarkStart w:id="318" w:name="_Toc421201363"/>
      <w:bookmarkStart w:id="319" w:name="_Toc495972994"/>
      <w:bookmarkStart w:id="320" w:name="_Toc495399901"/>
      <w:r w:rsidRPr="00AE4E8D">
        <w:rPr>
          <w:rFonts w:ascii="Times New Roman" w:hAnsi="Times New Roman"/>
          <w:b/>
          <w:lang w:val="es-ES"/>
        </w:rPr>
        <w:lastRenderedPageBreak/>
        <w:t>Títulos Públicos y Privados</w:t>
      </w:r>
      <w:bookmarkEnd w:id="318"/>
      <w:bookmarkEnd w:id="319"/>
      <w:bookmarkEnd w:id="320"/>
    </w:p>
    <w:p w14:paraId="5F828F09" w14:textId="77777777" w:rsidR="00E90931" w:rsidRPr="00AE4E8D" w:rsidRDefault="00E90931" w:rsidP="00E90931">
      <w:pPr>
        <w:keepNext/>
        <w:autoSpaceDE w:val="0"/>
        <w:autoSpaceDN w:val="0"/>
        <w:adjustRightInd w:val="0"/>
        <w:spacing w:before="240" w:after="240"/>
        <w:outlineLvl w:val="2"/>
        <w:rPr>
          <w:rFonts w:ascii="Times New Roman" w:hAnsi="Times New Roman"/>
          <w:b/>
          <w:lang w:val="es-ES"/>
        </w:rPr>
      </w:pPr>
      <w:bookmarkStart w:id="321" w:name="_Toc421201364"/>
      <w:r w:rsidRPr="00AE4E8D">
        <w:rPr>
          <w:rFonts w:ascii="Times New Roman" w:hAnsi="Times New Roman"/>
          <w:b/>
          <w:lang w:val="es-ES"/>
        </w:rPr>
        <w:t>Generalidades</w:t>
      </w:r>
      <w:bookmarkEnd w:id="321"/>
    </w:p>
    <w:p w14:paraId="2EB64787" w14:textId="77777777" w:rsidR="00E90931" w:rsidRPr="00AE4E8D" w:rsidRDefault="00E90931" w:rsidP="00E9093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Nuestra tenencia de títulos públicos y privados está compuesta de títulos públicos emitidos por el Gobierno Argentino (nacional y provincial), instrumentos emitidos por el BCRA y títulos privados. </w:t>
      </w:r>
    </w:p>
    <w:p w14:paraId="21E2D82B" w14:textId="77777777" w:rsidR="00E90931" w:rsidRPr="00AE4E8D" w:rsidRDefault="00E90931" w:rsidP="00E9093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Los títulos clasificados en las cuentas de “Tenencias registradas a valor razonable de mercado”, “Inversiones en títulos privados con cotización” e “Instrumentos emitidos por el BCRA” que cuenten con volatilidad publicada por el BCRA, se han valuado de acuerdo al valor de cotización al último día de operaciones del ejercicio. </w:t>
      </w:r>
    </w:p>
    <w:p w14:paraId="168BA019" w14:textId="77777777" w:rsidR="00E90931" w:rsidRPr="00AE4E8D" w:rsidRDefault="00E90931" w:rsidP="00E9093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siguiente cuadro presenta nuestra tenencia de títulos públicos y privados por tipo y moneda, para los períodos indicados:</w:t>
      </w:r>
    </w:p>
    <w:tbl>
      <w:tblPr>
        <w:tblW w:w="5000" w:type="pct"/>
        <w:jc w:val="center"/>
        <w:tblLook w:val="00A0" w:firstRow="1" w:lastRow="0" w:firstColumn="1" w:lastColumn="0" w:noHBand="0" w:noVBand="0"/>
      </w:tblPr>
      <w:tblGrid>
        <w:gridCol w:w="7480"/>
        <w:gridCol w:w="2269"/>
        <w:gridCol w:w="2235"/>
        <w:gridCol w:w="2235"/>
      </w:tblGrid>
      <w:tr w:rsidR="00E90931" w:rsidRPr="00AE4E8D" w14:paraId="052A5D34" w14:textId="77777777" w:rsidTr="000400C8">
        <w:trPr>
          <w:trHeight w:val="255"/>
          <w:jc w:val="center"/>
        </w:trPr>
        <w:tc>
          <w:tcPr>
            <w:tcW w:w="2630" w:type="pct"/>
            <w:vAlign w:val="center"/>
          </w:tcPr>
          <w:p w14:paraId="05899496" w14:textId="77777777" w:rsidR="00E90931" w:rsidRPr="00AE4E8D" w:rsidRDefault="00E90931" w:rsidP="00E90931">
            <w:pPr>
              <w:rPr>
                <w:rFonts w:ascii="Times New Roman" w:hAnsi="Times New Roman"/>
                <w:sz w:val="16"/>
                <w:szCs w:val="16"/>
                <w:lang w:val="es-ES"/>
              </w:rPr>
            </w:pPr>
          </w:p>
        </w:tc>
        <w:tc>
          <w:tcPr>
            <w:tcW w:w="2370" w:type="pct"/>
            <w:gridSpan w:val="3"/>
            <w:tcBorders>
              <w:top w:val="nil"/>
              <w:left w:val="nil"/>
              <w:bottom w:val="single" w:sz="4" w:space="0" w:color="000000"/>
              <w:right w:val="nil"/>
            </w:tcBorders>
            <w:noWrap/>
            <w:vAlign w:val="bottom"/>
            <w:hideMark/>
          </w:tcPr>
          <w:p w14:paraId="0A15E622"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Al 31 de diciembre de</w:t>
            </w:r>
          </w:p>
        </w:tc>
      </w:tr>
      <w:tr w:rsidR="00E90931" w:rsidRPr="00AE4E8D" w14:paraId="5B9A910F" w14:textId="77777777" w:rsidTr="000400C8">
        <w:trPr>
          <w:trHeight w:val="255"/>
          <w:jc w:val="center"/>
        </w:trPr>
        <w:tc>
          <w:tcPr>
            <w:tcW w:w="2630" w:type="pct"/>
            <w:vAlign w:val="center"/>
          </w:tcPr>
          <w:p w14:paraId="454645DE" w14:textId="77777777" w:rsidR="00E90931" w:rsidRPr="00AE4E8D" w:rsidRDefault="00E90931" w:rsidP="00E90931">
            <w:pPr>
              <w:rPr>
                <w:rFonts w:ascii="Times New Roman" w:hAnsi="Times New Roman"/>
                <w:sz w:val="16"/>
                <w:szCs w:val="16"/>
                <w:lang w:val="es-ES"/>
              </w:rPr>
            </w:pPr>
          </w:p>
        </w:tc>
        <w:tc>
          <w:tcPr>
            <w:tcW w:w="798" w:type="pct"/>
            <w:tcBorders>
              <w:top w:val="nil"/>
              <w:left w:val="nil"/>
              <w:bottom w:val="single" w:sz="4" w:space="0" w:color="000000"/>
              <w:right w:val="nil"/>
            </w:tcBorders>
            <w:noWrap/>
            <w:vAlign w:val="bottom"/>
            <w:hideMark/>
          </w:tcPr>
          <w:p w14:paraId="33F33568"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2016</w:t>
            </w:r>
          </w:p>
        </w:tc>
        <w:tc>
          <w:tcPr>
            <w:tcW w:w="786" w:type="pct"/>
            <w:tcBorders>
              <w:top w:val="nil"/>
              <w:left w:val="nil"/>
              <w:bottom w:val="single" w:sz="4" w:space="0" w:color="000000"/>
              <w:right w:val="nil"/>
            </w:tcBorders>
            <w:noWrap/>
            <w:vAlign w:val="bottom"/>
            <w:hideMark/>
          </w:tcPr>
          <w:p w14:paraId="1454B5DE"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2015</w:t>
            </w:r>
          </w:p>
        </w:tc>
        <w:tc>
          <w:tcPr>
            <w:tcW w:w="786" w:type="pct"/>
            <w:tcBorders>
              <w:top w:val="nil"/>
              <w:left w:val="nil"/>
              <w:bottom w:val="single" w:sz="4" w:space="0" w:color="000000"/>
              <w:right w:val="nil"/>
            </w:tcBorders>
            <w:noWrap/>
            <w:vAlign w:val="bottom"/>
            <w:hideMark/>
          </w:tcPr>
          <w:p w14:paraId="10D1CC62"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2014</w:t>
            </w:r>
          </w:p>
        </w:tc>
      </w:tr>
      <w:tr w:rsidR="00E90931" w:rsidRPr="00AE4E8D" w14:paraId="188087A8" w14:textId="77777777" w:rsidTr="000400C8">
        <w:trPr>
          <w:trHeight w:val="255"/>
          <w:jc w:val="center"/>
        </w:trPr>
        <w:tc>
          <w:tcPr>
            <w:tcW w:w="2630" w:type="pct"/>
            <w:vAlign w:val="center"/>
          </w:tcPr>
          <w:p w14:paraId="53BBD4E6" w14:textId="77777777" w:rsidR="00E90931" w:rsidRPr="00AE4E8D" w:rsidRDefault="00E90931" w:rsidP="00E90931">
            <w:pPr>
              <w:rPr>
                <w:rFonts w:ascii="Times New Roman" w:hAnsi="Times New Roman"/>
                <w:sz w:val="16"/>
                <w:szCs w:val="16"/>
                <w:lang w:val="es-ES"/>
              </w:rPr>
            </w:pPr>
          </w:p>
        </w:tc>
        <w:tc>
          <w:tcPr>
            <w:tcW w:w="2370" w:type="pct"/>
            <w:gridSpan w:val="3"/>
            <w:tcBorders>
              <w:top w:val="single" w:sz="4" w:space="0" w:color="000000"/>
              <w:left w:val="nil"/>
              <w:bottom w:val="nil"/>
              <w:right w:val="nil"/>
            </w:tcBorders>
            <w:noWrap/>
            <w:vAlign w:val="bottom"/>
            <w:hideMark/>
          </w:tcPr>
          <w:p w14:paraId="67E35D56"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 xml:space="preserve"> (en miles de Pesos)</w:t>
            </w:r>
            <w:r w:rsidR="00EB3492" w:rsidRPr="00AE4E8D">
              <w:rPr>
                <w:rFonts w:ascii="Times New Roman" w:hAnsi="Times New Roman"/>
                <w:sz w:val="16"/>
                <w:szCs w:val="16"/>
                <w:lang w:val="es-ES"/>
              </w:rPr>
              <w:t xml:space="preserve"> </w:t>
            </w:r>
          </w:p>
        </w:tc>
      </w:tr>
      <w:tr w:rsidR="00E90931" w:rsidRPr="00AE4E8D" w14:paraId="567BDF6D" w14:textId="77777777" w:rsidTr="000400C8">
        <w:trPr>
          <w:trHeight w:val="255"/>
          <w:jc w:val="center"/>
        </w:trPr>
        <w:tc>
          <w:tcPr>
            <w:tcW w:w="2630" w:type="pct"/>
            <w:vAlign w:val="center"/>
          </w:tcPr>
          <w:p w14:paraId="15E10296" w14:textId="77777777" w:rsidR="00E90931" w:rsidRPr="00AE4E8D" w:rsidRDefault="00E90931" w:rsidP="00E90931">
            <w:pPr>
              <w:rPr>
                <w:rFonts w:ascii="Times New Roman" w:hAnsi="Times New Roman"/>
                <w:sz w:val="16"/>
                <w:szCs w:val="16"/>
                <w:lang w:val="es-ES"/>
              </w:rPr>
            </w:pPr>
          </w:p>
        </w:tc>
        <w:tc>
          <w:tcPr>
            <w:tcW w:w="798" w:type="pct"/>
            <w:noWrap/>
            <w:vAlign w:val="bottom"/>
          </w:tcPr>
          <w:p w14:paraId="742D0410"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7E01D644"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2785E3AB" w14:textId="77777777" w:rsidR="00E90931" w:rsidRPr="00AE4E8D" w:rsidRDefault="00E90931" w:rsidP="00E90931">
            <w:pPr>
              <w:jc w:val="right"/>
              <w:rPr>
                <w:rFonts w:ascii="Times New Roman" w:hAnsi="Times New Roman"/>
                <w:sz w:val="16"/>
                <w:szCs w:val="16"/>
                <w:lang w:val="es-ES"/>
              </w:rPr>
            </w:pPr>
          </w:p>
        </w:tc>
      </w:tr>
      <w:tr w:rsidR="00E90931" w:rsidRPr="00AE4E8D" w14:paraId="02C988B8" w14:textId="77777777" w:rsidTr="000400C8">
        <w:trPr>
          <w:trHeight w:val="510"/>
          <w:jc w:val="center"/>
        </w:trPr>
        <w:tc>
          <w:tcPr>
            <w:tcW w:w="2630" w:type="pct"/>
            <w:vAlign w:val="center"/>
            <w:hideMark/>
          </w:tcPr>
          <w:p w14:paraId="69373D4D"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Títulos Públicos registrados a valor razonable de mercado</w:t>
            </w:r>
          </w:p>
        </w:tc>
        <w:tc>
          <w:tcPr>
            <w:tcW w:w="798" w:type="pct"/>
            <w:noWrap/>
            <w:vAlign w:val="bottom"/>
          </w:tcPr>
          <w:p w14:paraId="0737919C" w14:textId="77777777" w:rsidR="00E90931" w:rsidRPr="00AE4E8D" w:rsidRDefault="00E90931" w:rsidP="00E90931">
            <w:pPr>
              <w:rPr>
                <w:rFonts w:ascii="Times New Roman" w:hAnsi="Times New Roman"/>
                <w:b/>
                <w:bCs/>
                <w:sz w:val="16"/>
                <w:szCs w:val="16"/>
                <w:lang w:val="es-ES"/>
              </w:rPr>
            </w:pPr>
          </w:p>
        </w:tc>
        <w:tc>
          <w:tcPr>
            <w:tcW w:w="786" w:type="pct"/>
            <w:noWrap/>
            <w:vAlign w:val="bottom"/>
          </w:tcPr>
          <w:p w14:paraId="79D9D0F4" w14:textId="77777777" w:rsidR="00E90931" w:rsidRPr="00AE4E8D" w:rsidRDefault="00E90931" w:rsidP="00E90931">
            <w:pPr>
              <w:rPr>
                <w:rFonts w:ascii="Times New Roman" w:hAnsi="Times New Roman"/>
                <w:b/>
                <w:bCs/>
                <w:sz w:val="16"/>
                <w:szCs w:val="16"/>
                <w:lang w:val="es-ES"/>
              </w:rPr>
            </w:pPr>
          </w:p>
        </w:tc>
        <w:tc>
          <w:tcPr>
            <w:tcW w:w="786" w:type="pct"/>
            <w:noWrap/>
            <w:vAlign w:val="bottom"/>
          </w:tcPr>
          <w:p w14:paraId="34322531" w14:textId="77777777" w:rsidR="00E90931" w:rsidRPr="00AE4E8D" w:rsidRDefault="00E90931" w:rsidP="00E90931">
            <w:pPr>
              <w:jc w:val="right"/>
              <w:rPr>
                <w:rFonts w:ascii="Times New Roman" w:hAnsi="Times New Roman"/>
                <w:sz w:val="16"/>
                <w:szCs w:val="16"/>
                <w:lang w:val="es-ES"/>
              </w:rPr>
            </w:pPr>
          </w:p>
        </w:tc>
      </w:tr>
      <w:tr w:rsidR="00E90931" w:rsidRPr="00AE4E8D" w14:paraId="0B60A474" w14:textId="77777777" w:rsidTr="000400C8">
        <w:trPr>
          <w:trHeight w:val="255"/>
          <w:jc w:val="center"/>
        </w:trPr>
        <w:tc>
          <w:tcPr>
            <w:tcW w:w="2630" w:type="pct"/>
            <w:vAlign w:val="center"/>
          </w:tcPr>
          <w:p w14:paraId="088EAC00" w14:textId="77777777" w:rsidR="00E90931" w:rsidRPr="00AE4E8D" w:rsidRDefault="00E90931" w:rsidP="00E90931">
            <w:pPr>
              <w:rPr>
                <w:rFonts w:ascii="Times New Roman" w:hAnsi="Times New Roman"/>
                <w:sz w:val="16"/>
                <w:szCs w:val="16"/>
                <w:lang w:val="es-ES"/>
              </w:rPr>
            </w:pPr>
          </w:p>
        </w:tc>
        <w:tc>
          <w:tcPr>
            <w:tcW w:w="798" w:type="pct"/>
            <w:noWrap/>
            <w:vAlign w:val="bottom"/>
          </w:tcPr>
          <w:p w14:paraId="64693578"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333539A4"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1BF11934" w14:textId="77777777" w:rsidR="00E90931" w:rsidRPr="00AE4E8D" w:rsidRDefault="00E90931" w:rsidP="00E90931">
            <w:pPr>
              <w:jc w:val="right"/>
              <w:rPr>
                <w:rFonts w:ascii="Times New Roman" w:hAnsi="Times New Roman"/>
                <w:sz w:val="16"/>
                <w:szCs w:val="16"/>
                <w:lang w:val="es-ES"/>
              </w:rPr>
            </w:pPr>
          </w:p>
        </w:tc>
      </w:tr>
      <w:tr w:rsidR="00E90931" w:rsidRPr="00AE4E8D" w14:paraId="54F501B2" w14:textId="77777777" w:rsidTr="000400C8">
        <w:trPr>
          <w:trHeight w:val="255"/>
          <w:jc w:val="center"/>
        </w:trPr>
        <w:tc>
          <w:tcPr>
            <w:tcW w:w="2630" w:type="pct"/>
            <w:vAlign w:val="center"/>
            <w:hideMark/>
          </w:tcPr>
          <w:p w14:paraId="1591B156"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 En pesos</w:t>
            </w:r>
          </w:p>
        </w:tc>
        <w:tc>
          <w:tcPr>
            <w:tcW w:w="798" w:type="pct"/>
            <w:shd w:val="clear" w:color="auto" w:fill="FFFFFF"/>
            <w:noWrap/>
            <w:vAlign w:val="bottom"/>
            <w:hideMark/>
          </w:tcPr>
          <w:p w14:paraId="114CF6C1"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1.447.625</w:t>
            </w:r>
          </w:p>
        </w:tc>
        <w:tc>
          <w:tcPr>
            <w:tcW w:w="786" w:type="pct"/>
            <w:noWrap/>
            <w:vAlign w:val="bottom"/>
            <w:hideMark/>
          </w:tcPr>
          <w:p w14:paraId="50A2FAAB"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1.492.885</w:t>
            </w:r>
          </w:p>
        </w:tc>
        <w:tc>
          <w:tcPr>
            <w:tcW w:w="786" w:type="pct"/>
            <w:noWrap/>
            <w:vAlign w:val="bottom"/>
            <w:hideMark/>
          </w:tcPr>
          <w:p w14:paraId="17774093"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684.951</w:t>
            </w:r>
          </w:p>
        </w:tc>
      </w:tr>
      <w:tr w:rsidR="00E90931" w:rsidRPr="00AE4E8D" w14:paraId="4EAD3BCA" w14:textId="77777777" w:rsidTr="000400C8">
        <w:trPr>
          <w:trHeight w:val="255"/>
          <w:jc w:val="center"/>
        </w:trPr>
        <w:tc>
          <w:tcPr>
            <w:tcW w:w="2630" w:type="pct"/>
            <w:vAlign w:val="center"/>
            <w:hideMark/>
          </w:tcPr>
          <w:p w14:paraId="564EEFA4"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Títulos Públicos del Gobierno Nacional</w:t>
            </w:r>
          </w:p>
        </w:tc>
        <w:tc>
          <w:tcPr>
            <w:tcW w:w="798" w:type="pct"/>
            <w:shd w:val="clear" w:color="auto" w:fill="FFFFFF"/>
            <w:noWrap/>
            <w:vAlign w:val="bottom"/>
            <w:hideMark/>
          </w:tcPr>
          <w:p w14:paraId="2D4C489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1.447.625</w:t>
            </w:r>
          </w:p>
        </w:tc>
        <w:tc>
          <w:tcPr>
            <w:tcW w:w="786" w:type="pct"/>
            <w:noWrap/>
            <w:vAlign w:val="bottom"/>
            <w:hideMark/>
          </w:tcPr>
          <w:p w14:paraId="62896C7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1.492.885</w:t>
            </w:r>
          </w:p>
        </w:tc>
        <w:tc>
          <w:tcPr>
            <w:tcW w:w="786" w:type="pct"/>
            <w:noWrap/>
            <w:vAlign w:val="bottom"/>
            <w:hideMark/>
          </w:tcPr>
          <w:p w14:paraId="4D1235F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lang w:val="es-ES"/>
              </w:rPr>
              <w:t>684.951</w:t>
            </w:r>
          </w:p>
        </w:tc>
      </w:tr>
      <w:tr w:rsidR="00E90931" w:rsidRPr="00AE4E8D" w14:paraId="7B1A67AD" w14:textId="77777777" w:rsidTr="000400C8">
        <w:trPr>
          <w:trHeight w:val="255"/>
          <w:jc w:val="center"/>
        </w:trPr>
        <w:tc>
          <w:tcPr>
            <w:tcW w:w="2630" w:type="pct"/>
            <w:vAlign w:val="center"/>
            <w:hideMark/>
          </w:tcPr>
          <w:p w14:paraId="66DBA646"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Títulos Públicos del Gobierno Provincial</w:t>
            </w:r>
          </w:p>
        </w:tc>
        <w:tc>
          <w:tcPr>
            <w:tcW w:w="798" w:type="pct"/>
            <w:shd w:val="clear" w:color="auto" w:fill="FFFFFF"/>
            <w:noWrap/>
            <w:vAlign w:val="bottom"/>
            <w:hideMark/>
          </w:tcPr>
          <w:p w14:paraId="1386A8D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3009138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673F1BC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E90931" w:rsidRPr="00AE4E8D" w14:paraId="35DF5351" w14:textId="77777777" w:rsidTr="000400C8">
        <w:trPr>
          <w:trHeight w:val="255"/>
          <w:jc w:val="center"/>
        </w:trPr>
        <w:tc>
          <w:tcPr>
            <w:tcW w:w="2630" w:type="pct"/>
            <w:vAlign w:val="center"/>
          </w:tcPr>
          <w:p w14:paraId="3F0860BE" w14:textId="77777777" w:rsidR="00E90931" w:rsidRPr="00AE4E8D" w:rsidRDefault="00E90931" w:rsidP="00E90931">
            <w:pPr>
              <w:rPr>
                <w:rFonts w:ascii="Times New Roman" w:hAnsi="Times New Roman"/>
                <w:sz w:val="16"/>
                <w:szCs w:val="16"/>
                <w:lang w:val="es-ES"/>
              </w:rPr>
            </w:pPr>
          </w:p>
        </w:tc>
        <w:tc>
          <w:tcPr>
            <w:tcW w:w="798" w:type="pct"/>
            <w:shd w:val="clear" w:color="auto" w:fill="FFFFFF"/>
            <w:noWrap/>
            <w:vAlign w:val="bottom"/>
            <w:hideMark/>
          </w:tcPr>
          <w:p w14:paraId="3F742D78"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hideMark/>
          </w:tcPr>
          <w:p w14:paraId="67012344"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tcPr>
          <w:p w14:paraId="31B2DD44" w14:textId="77777777" w:rsidR="00E90931" w:rsidRPr="00AE4E8D" w:rsidRDefault="00E90931" w:rsidP="00B52753">
            <w:pPr>
              <w:rPr>
                <w:rFonts w:ascii="Times New Roman" w:hAnsi="Times New Roman"/>
                <w:sz w:val="16"/>
                <w:szCs w:val="16"/>
                <w:lang w:val="es-ES"/>
              </w:rPr>
            </w:pPr>
          </w:p>
        </w:tc>
      </w:tr>
      <w:tr w:rsidR="00E90931" w:rsidRPr="00AE4E8D" w14:paraId="78BD97F7" w14:textId="77777777" w:rsidTr="000400C8">
        <w:trPr>
          <w:trHeight w:val="255"/>
          <w:jc w:val="center"/>
        </w:trPr>
        <w:tc>
          <w:tcPr>
            <w:tcW w:w="2630" w:type="pct"/>
            <w:vAlign w:val="center"/>
            <w:hideMark/>
          </w:tcPr>
          <w:p w14:paraId="538C2D8E"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 En Dólares Est.</w:t>
            </w:r>
          </w:p>
        </w:tc>
        <w:tc>
          <w:tcPr>
            <w:tcW w:w="798" w:type="pct"/>
            <w:shd w:val="clear" w:color="auto" w:fill="FFFFFF"/>
            <w:noWrap/>
            <w:vAlign w:val="bottom"/>
            <w:hideMark/>
          </w:tcPr>
          <w:p w14:paraId="43BC8657"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809.634</w:t>
            </w:r>
          </w:p>
        </w:tc>
        <w:tc>
          <w:tcPr>
            <w:tcW w:w="786" w:type="pct"/>
            <w:noWrap/>
            <w:vAlign w:val="bottom"/>
            <w:hideMark/>
          </w:tcPr>
          <w:p w14:paraId="327A84B5"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1.026.248</w:t>
            </w:r>
          </w:p>
        </w:tc>
        <w:tc>
          <w:tcPr>
            <w:tcW w:w="786" w:type="pct"/>
            <w:noWrap/>
            <w:vAlign w:val="bottom"/>
            <w:hideMark/>
          </w:tcPr>
          <w:p w14:paraId="2141EA13"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797.612</w:t>
            </w:r>
          </w:p>
        </w:tc>
      </w:tr>
      <w:tr w:rsidR="00E90931" w:rsidRPr="00AE4E8D" w14:paraId="7A10153B" w14:textId="77777777" w:rsidTr="000400C8">
        <w:trPr>
          <w:trHeight w:val="255"/>
          <w:jc w:val="center"/>
        </w:trPr>
        <w:tc>
          <w:tcPr>
            <w:tcW w:w="2630" w:type="pct"/>
            <w:vAlign w:val="center"/>
            <w:hideMark/>
          </w:tcPr>
          <w:p w14:paraId="1C7BE05C"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Títulos Públicos del Gobierno Nacional</w:t>
            </w:r>
          </w:p>
        </w:tc>
        <w:tc>
          <w:tcPr>
            <w:tcW w:w="798" w:type="pct"/>
            <w:shd w:val="clear" w:color="auto" w:fill="FFFFFF"/>
            <w:noWrap/>
            <w:vAlign w:val="bottom"/>
            <w:hideMark/>
          </w:tcPr>
          <w:p w14:paraId="575AE630"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577.840</w:t>
            </w:r>
          </w:p>
        </w:tc>
        <w:tc>
          <w:tcPr>
            <w:tcW w:w="786" w:type="pct"/>
            <w:noWrap/>
            <w:vAlign w:val="bottom"/>
            <w:hideMark/>
          </w:tcPr>
          <w:p w14:paraId="553DA530"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705.231</w:t>
            </w:r>
          </w:p>
        </w:tc>
        <w:tc>
          <w:tcPr>
            <w:tcW w:w="786" w:type="pct"/>
            <w:noWrap/>
            <w:vAlign w:val="bottom"/>
            <w:hideMark/>
          </w:tcPr>
          <w:p w14:paraId="38F715E7"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440.518</w:t>
            </w:r>
          </w:p>
        </w:tc>
      </w:tr>
      <w:tr w:rsidR="00E90931" w:rsidRPr="00AE4E8D" w14:paraId="7ED36034" w14:textId="77777777" w:rsidTr="000400C8">
        <w:trPr>
          <w:trHeight w:val="255"/>
          <w:jc w:val="center"/>
        </w:trPr>
        <w:tc>
          <w:tcPr>
            <w:tcW w:w="2630" w:type="pct"/>
            <w:vAlign w:val="center"/>
            <w:hideMark/>
          </w:tcPr>
          <w:p w14:paraId="560B823A"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Títulos Públicos del Gobierno Provincial</w:t>
            </w:r>
          </w:p>
        </w:tc>
        <w:tc>
          <w:tcPr>
            <w:tcW w:w="798" w:type="pct"/>
            <w:shd w:val="clear" w:color="auto" w:fill="FFFFFF"/>
            <w:noWrap/>
            <w:vAlign w:val="bottom"/>
            <w:hideMark/>
          </w:tcPr>
          <w:p w14:paraId="128FC669"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231.794</w:t>
            </w:r>
          </w:p>
        </w:tc>
        <w:tc>
          <w:tcPr>
            <w:tcW w:w="786" w:type="pct"/>
            <w:noWrap/>
            <w:vAlign w:val="bottom"/>
            <w:hideMark/>
          </w:tcPr>
          <w:p w14:paraId="30BB6DBB"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321.017</w:t>
            </w:r>
          </w:p>
        </w:tc>
        <w:tc>
          <w:tcPr>
            <w:tcW w:w="786" w:type="pct"/>
            <w:noWrap/>
            <w:vAlign w:val="bottom"/>
            <w:hideMark/>
          </w:tcPr>
          <w:p w14:paraId="216D72A1"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357.094</w:t>
            </w:r>
          </w:p>
        </w:tc>
      </w:tr>
      <w:tr w:rsidR="00E90931" w:rsidRPr="00AE4E8D" w14:paraId="7F29771E" w14:textId="77777777" w:rsidTr="000400C8">
        <w:trPr>
          <w:trHeight w:val="255"/>
          <w:jc w:val="center"/>
        </w:trPr>
        <w:tc>
          <w:tcPr>
            <w:tcW w:w="2630" w:type="pct"/>
            <w:vAlign w:val="center"/>
          </w:tcPr>
          <w:p w14:paraId="0E1EA34E" w14:textId="77777777" w:rsidR="00E90931" w:rsidRPr="00AE4E8D" w:rsidRDefault="00E90931" w:rsidP="00E90931">
            <w:pPr>
              <w:rPr>
                <w:rFonts w:ascii="Times New Roman" w:hAnsi="Times New Roman"/>
                <w:sz w:val="16"/>
                <w:lang w:val="es-ES"/>
              </w:rPr>
            </w:pPr>
          </w:p>
        </w:tc>
        <w:tc>
          <w:tcPr>
            <w:tcW w:w="798" w:type="pct"/>
            <w:shd w:val="clear" w:color="auto" w:fill="FFFFFF"/>
            <w:noWrap/>
            <w:vAlign w:val="bottom"/>
            <w:hideMark/>
          </w:tcPr>
          <w:p w14:paraId="486B96EA" w14:textId="77777777" w:rsidR="00E90931" w:rsidRPr="00AE4E8D" w:rsidRDefault="00E90931" w:rsidP="00E90931">
            <w:pPr>
              <w:rPr>
                <w:rFonts w:ascii="Times New Roman" w:hAnsi="Times New Roman"/>
                <w:sz w:val="16"/>
                <w:lang w:val="es-ES"/>
              </w:rPr>
            </w:pPr>
            <w:r w:rsidRPr="00AE4E8D">
              <w:rPr>
                <w:rFonts w:ascii="Times New Roman" w:hAnsi="Times New Roman"/>
                <w:sz w:val="16"/>
                <w:lang w:val="es-ES"/>
              </w:rPr>
              <w:t> </w:t>
            </w:r>
          </w:p>
        </w:tc>
        <w:tc>
          <w:tcPr>
            <w:tcW w:w="786" w:type="pct"/>
            <w:noWrap/>
            <w:vAlign w:val="bottom"/>
            <w:hideMark/>
          </w:tcPr>
          <w:p w14:paraId="628975F5" w14:textId="77777777" w:rsidR="00E90931" w:rsidRPr="00AE4E8D" w:rsidRDefault="00E90931" w:rsidP="00E90931">
            <w:pPr>
              <w:rPr>
                <w:rFonts w:ascii="Times New Roman" w:hAnsi="Times New Roman"/>
                <w:sz w:val="16"/>
                <w:lang w:val="es-ES"/>
              </w:rPr>
            </w:pPr>
            <w:r w:rsidRPr="00AE4E8D">
              <w:rPr>
                <w:rFonts w:ascii="Times New Roman" w:hAnsi="Times New Roman"/>
                <w:sz w:val="16"/>
                <w:szCs w:val="16"/>
                <w:lang w:val="es-ES"/>
              </w:rPr>
              <w:t> </w:t>
            </w:r>
          </w:p>
        </w:tc>
        <w:tc>
          <w:tcPr>
            <w:tcW w:w="786" w:type="pct"/>
            <w:noWrap/>
            <w:vAlign w:val="bottom"/>
          </w:tcPr>
          <w:p w14:paraId="4E7F27DF" w14:textId="77777777" w:rsidR="00E90931" w:rsidRPr="00AE4E8D" w:rsidRDefault="00E90931" w:rsidP="00B52753">
            <w:pPr>
              <w:rPr>
                <w:rFonts w:ascii="Times New Roman" w:hAnsi="Times New Roman"/>
                <w:sz w:val="16"/>
                <w:lang w:val="es-ES"/>
              </w:rPr>
            </w:pPr>
          </w:p>
        </w:tc>
      </w:tr>
      <w:tr w:rsidR="00E90931" w:rsidRPr="00AE4E8D" w14:paraId="455AADD8" w14:textId="77777777" w:rsidTr="000400C8">
        <w:trPr>
          <w:trHeight w:val="510"/>
          <w:jc w:val="center"/>
        </w:trPr>
        <w:tc>
          <w:tcPr>
            <w:tcW w:w="2630" w:type="pct"/>
            <w:vAlign w:val="center"/>
            <w:hideMark/>
          </w:tcPr>
          <w:p w14:paraId="74CBA352"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Total de Títulos Públicos registrados a valor razonable de mercado</w:t>
            </w:r>
          </w:p>
        </w:tc>
        <w:tc>
          <w:tcPr>
            <w:tcW w:w="798" w:type="pct"/>
            <w:tcBorders>
              <w:top w:val="single" w:sz="4" w:space="0" w:color="auto"/>
              <w:left w:val="nil"/>
              <w:bottom w:val="single" w:sz="4" w:space="0" w:color="auto"/>
              <w:right w:val="nil"/>
            </w:tcBorders>
            <w:shd w:val="clear" w:color="auto" w:fill="FFFFFF"/>
            <w:noWrap/>
            <w:vAlign w:val="bottom"/>
            <w:hideMark/>
          </w:tcPr>
          <w:p w14:paraId="43457082" w14:textId="77777777" w:rsidR="00E90931" w:rsidRPr="00AE4E8D" w:rsidRDefault="00EB3492"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2.257.259 </w:t>
            </w:r>
          </w:p>
        </w:tc>
        <w:tc>
          <w:tcPr>
            <w:tcW w:w="786" w:type="pct"/>
            <w:tcBorders>
              <w:top w:val="single" w:sz="4" w:space="0" w:color="auto"/>
              <w:left w:val="nil"/>
              <w:bottom w:val="single" w:sz="4" w:space="0" w:color="auto"/>
              <w:right w:val="nil"/>
            </w:tcBorders>
            <w:noWrap/>
            <w:vAlign w:val="bottom"/>
            <w:hideMark/>
          </w:tcPr>
          <w:p w14:paraId="59F9FE78" w14:textId="77777777" w:rsidR="00E90931" w:rsidRPr="00AE4E8D" w:rsidRDefault="00EB3492" w:rsidP="00E90931">
            <w:pPr>
              <w:jc w:val="right"/>
              <w:rPr>
                <w:rFonts w:ascii="Times New Roman" w:hAnsi="Times New Roman"/>
                <w:sz w:val="16"/>
                <w:szCs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 xml:space="preserve">2.519.133 </w:t>
            </w:r>
          </w:p>
        </w:tc>
        <w:tc>
          <w:tcPr>
            <w:tcW w:w="786" w:type="pct"/>
            <w:tcBorders>
              <w:top w:val="single" w:sz="4" w:space="0" w:color="auto"/>
              <w:left w:val="nil"/>
              <w:bottom w:val="single" w:sz="4" w:space="0" w:color="auto"/>
              <w:right w:val="nil"/>
            </w:tcBorders>
            <w:noWrap/>
            <w:vAlign w:val="bottom"/>
            <w:hideMark/>
          </w:tcPr>
          <w:p w14:paraId="66A43A3A" w14:textId="77777777" w:rsidR="00E90931" w:rsidRPr="00AE4E8D" w:rsidRDefault="00EB3492"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1.482.563 </w:t>
            </w:r>
          </w:p>
        </w:tc>
      </w:tr>
      <w:tr w:rsidR="00E90931" w:rsidRPr="00AE4E8D" w14:paraId="571F6591" w14:textId="77777777" w:rsidTr="000400C8">
        <w:trPr>
          <w:trHeight w:val="255"/>
          <w:jc w:val="center"/>
        </w:trPr>
        <w:tc>
          <w:tcPr>
            <w:tcW w:w="2630" w:type="pct"/>
            <w:vAlign w:val="center"/>
          </w:tcPr>
          <w:p w14:paraId="42CC0B17" w14:textId="77777777" w:rsidR="00E90931" w:rsidRPr="00AE4E8D" w:rsidRDefault="00E90931" w:rsidP="00E90931">
            <w:pPr>
              <w:rPr>
                <w:rFonts w:ascii="Times New Roman" w:hAnsi="Times New Roman"/>
                <w:sz w:val="16"/>
                <w:szCs w:val="16"/>
                <w:lang w:val="es-ES"/>
              </w:rPr>
            </w:pPr>
          </w:p>
        </w:tc>
        <w:tc>
          <w:tcPr>
            <w:tcW w:w="798" w:type="pct"/>
            <w:shd w:val="clear" w:color="auto" w:fill="FFFFFF"/>
            <w:noWrap/>
            <w:vAlign w:val="bottom"/>
            <w:hideMark/>
          </w:tcPr>
          <w:p w14:paraId="28D2401B"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hideMark/>
          </w:tcPr>
          <w:p w14:paraId="24F221FA"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tcPr>
          <w:p w14:paraId="780E494F" w14:textId="77777777" w:rsidR="00E90931" w:rsidRPr="00AE4E8D" w:rsidRDefault="00E90931" w:rsidP="00B52753">
            <w:pPr>
              <w:rPr>
                <w:rFonts w:ascii="Times New Roman" w:hAnsi="Times New Roman"/>
                <w:sz w:val="16"/>
                <w:szCs w:val="16"/>
                <w:lang w:val="es-ES"/>
              </w:rPr>
            </w:pPr>
          </w:p>
        </w:tc>
      </w:tr>
      <w:tr w:rsidR="00E90931" w:rsidRPr="00AE4E8D" w14:paraId="266B64CB" w14:textId="77777777" w:rsidTr="000400C8">
        <w:trPr>
          <w:trHeight w:val="255"/>
          <w:jc w:val="center"/>
        </w:trPr>
        <w:tc>
          <w:tcPr>
            <w:tcW w:w="2630" w:type="pct"/>
            <w:vAlign w:val="center"/>
            <w:hideMark/>
          </w:tcPr>
          <w:p w14:paraId="6A884DE8"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Títulos Públicos registrados a costo más rendimiento</w:t>
            </w:r>
          </w:p>
        </w:tc>
        <w:tc>
          <w:tcPr>
            <w:tcW w:w="798" w:type="pct"/>
            <w:shd w:val="clear" w:color="auto" w:fill="FFFFFF"/>
            <w:noWrap/>
            <w:vAlign w:val="bottom"/>
            <w:hideMark/>
          </w:tcPr>
          <w:p w14:paraId="0A219C25"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 </w:t>
            </w:r>
          </w:p>
        </w:tc>
        <w:tc>
          <w:tcPr>
            <w:tcW w:w="786" w:type="pct"/>
            <w:noWrap/>
            <w:vAlign w:val="bottom"/>
            <w:hideMark/>
          </w:tcPr>
          <w:p w14:paraId="466FE945"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 </w:t>
            </w:r>
          </w:p>
        </w:tc>
        <w:tc>
          <w:tcPr>
            <w:tcW w:w="786" w:type="pct"/>
            <w:noWrap/>
            <w:vAlign w:val="bottom"/>
          </w:tcPr>
          <w:p w14:paraId="4E54CDE3" w14:textId="77777777" w:rsidR="00E90931" w:rsidRPr="00AE4E8D" w:rsidRDefault="00E90931" w:rsidP="00B52753">
            <w:pPr>
              <w:rPr>
                <w:rFonts w:ascii="Times New Roman" w:hAnsi="Times New Roman"/>
                <w:b/>
                <w:sz w:val="16"/>
                <w:lang w:val="es-ES"/>
              </w:rPr>
            </w:pPr>
          </w:p>
        </w:tc>
      </w:tr>
      <w:tr w:rsidR="00E90931" w:rsidRPr="00AE4E8D" w14:paraId="517EC775" w14:textId="77777777" w:rsidTr="000400C8">
        <w:trPr>
          <w:trHeight w:val="255"/>
          <w:jc w:val="center"/>
        </w:trPr>
        <w:tc>
          <w:tcPr>
            <w:tcW w:w="2630" w:type="pct"/>
            <w:vAlign w:val="center"/>
          </w:tcPr>
          <w:p w14:paraId="010685BC" w14:textId="77777777" w:rsidR="00E90931" w:rsidRPr="00AE4E8D" w:rsidRDefault="00E90931" w:rsidP="00E90931">
            <w:pPr>
              <w:rPr>
                <w:rFonts w:ascii="Times New Roman" w:hAnsi="Times New Roman"/>
                <w:sz w:val="16"/>
                <w:szCs w:val="16"/>
                <w:lang w:val="es-ES"/>
              </w:rPr>
            </w:pPr>
          </w:p>
        </w:tc>
        <w:tc>
          <w:tcPr>
            <w:tcW w:w="798" w:type="pct"/>
            <w:shd w:val="clear" w:color="auto" w:fill="FFFFFF"/>
            <w:noWrap/>
            <w:vAlign w:val="bottom"/>
            <w:hideMark/>
          </w:tcPr>
          <w:p w14:paraId="7245236F"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hideMark/>
          </w:tcPr>
          <w:p w14:paraId="616D449F"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tcPr>
          <w:p w14:paraId="37EE7156" w14:textId="77777777" w:rsidR="00E90931" w:rsidRPr="00AE4E8D" w:rsidRDefault="00E90931" w:rsidP="00B52753">
            <w:pPr>
              <w:rPr>
                <w:rFonts w:ascii="Times New Roman" w:hAnsi="Times New Roman"/>
                <w:sz w:val="16"/>
                <w:szCs w:val="16"/>
                <w:lang w:val="es-ES"/>
              </w:rPr>
            </w:pPr>
          </w:p>
        </w:tc>
      </w:tr>
      <w:tr w:rsidR="00E90931" w:rsidRPr="00AE4E8D" w14:paraId="356F50B9" w14:textId="77777777" w:rsidTr="000400C8">
        <w:trPr>
          <w:trHeight w:val="255"/>
          <w:jc w:val="center"/>
        </w:trPr>
        <w:tc>
          <w:tcPr>
            <w:tcW w:w="2630" w:type="pct"/>
            <w:vAlign w:val="center"/>
            <w:hideMark/>
          </w:tcPr>
          <w:p w14:paraId="07B6BDD5"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 En pesos</w:t>
            </w:r>
          </w:p>
        </w:tc>
        <w:tc>
          <w:tcPr>
            <w:tcW w:w="798" w:type="pct"/>
            <w:shd w:val="clear" w:color="auto" w:fill="FFFFFF"/>
            <w:noWrap/>
            <w:vAlign w:val="bottom"/>
            <w:hideMark/>
          </w:tcPr>
          <w:p w14:paraId="089D3E31" w14:textId="77777777" w:rsidR="00E90931" w:rsidRPr="00AE4E8D" w:rsidRDefault="001656AD"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52.921</w:t>
            </w:r>
          </w:p>
        </w:tc>
        <w:tc>
          <w:tcPr>
            <w:tcW w:w="786" w:type="pct"/>
            <w:noWrap/>
            <w:vAlign w:val="bottom"/>
            <w:hideMark/>
          </w:tcPr>
          <w:p w14:paraId="13679EEB"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sz w:val="16"/>
                <w:lang w:val="es-ES"/>
              </w:rPr>
              <w:t>329.595</w:t>
            </w:r>
          </w:p>
        </w:tc>
        <w:tc>
          <w:tcPr>
            <w:tcW w:w="786" w:type="pct"/>
            <w:noWrap/>
            <w:vAlign w:val="bottom"/>
            <w:hideMark/>
          </w:tcPr>
          <w:p w14:paraId="09484AEE"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sz w:val="16"/>
                <w:lang w:val="es-ES"/>
              </w:rPr>
              <w:t>101.943</w:t>
            </w:r>
          </w:p>
        </w:tc>
      </w:tr>
      <w:tr w:rsidR="00E90931" w:rsidRPr="00AE4E8D" w14:paraId="46E8F13C" w14:textId="77777777" w:rsidTr="000400C8">
        <w:trPr>
          <w:trHeight w:val="255"/>
          <w:jc w:val="center"/>
        </w:trPr>
        <w:tc>
          <w:tcPr>
            <w:tcW w:w="2630" w:type="pct"/>
            <w:vAlign w:val="center"/>
            <w:hideMark/>
          </w:tcPr>
          <w:p w14:paraId="0A788EE5"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Títulos Públicos del Gobierno Nacional</w:t>
            </w:r>
          </w:p>
        </w:tc>
        <w:tc>
          <w:tcPr>
            <w:tcW w:w="798" w:type="pct"/>
            <w:shd w:val="clear" w:color="auto" w:fill="FFFFFF"/>
            <w:noWrap/>
            <w:vAlign w:val="bottom"/>
            <w:hideMark/>
          </w:tcPr>
          <w:p w14:paraId="4E0E97D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20E328B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459D844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lang w:val="es-ES"/>
              </w:rPr>
              <w:t>101.943</w:t>
            </w:r>
          </w:p>
        </w:tc>
      </w:tr>
      <w:tr w:rsidR="00E90931" w:rsidRPr="00AE4E8D" w14:paraId="346335A7" w14:textId="77777777" w:rsidTr="000400C8">
        <w:trPr>
          <w:trHeight w:val="255"/>
          <w:jc w:val="center"/>
        </w:trPr>
        <w:tc>
          <w:tcPr>
            <w:tcW w:w="2630" w:type="pct"/>
            <w:vAlign w:val="center"/>
            <w:hideMark/>
          </w:tcPr>
          <w:p w14:paraId="717B6947"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Títulos Públicos del Gobierno Provincial</w:t>
            </w:r>
          </w:p>
        </w:tc>
        <w:tc>
          <w:tcPr>
            <w:tcW w:w="798" w:type="pct"/>
            <w:shd w:val="clear" w:color="auto" w:fill="FFFFFF"/>
            <w:noWrap/>
            <w:vAlign w:val="bottom"/>
            <w:hideMark/>
          </w:tcPr>
          <w:p w14:paraId="2682CAD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52.921</w:t>
            </w:r>
          </w:p>
        </w:tc>
        <w:tc>
          <w:tcPr>
            <w:tcW w:w="786" w:type="pct"/>
            <w:noWrap/>
            <w:vAlign w:val="bottom"/>
            <w:hideMark/>
          </w:tcPr>
          <w:p w14:paraId="02AD8D1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lang w:val="es-ES"/>
              </w:rPr>
              <w:t>329.595</w:t>
            </w:r>
          </w:p>
        </w:tc>
        <w:tc>
          <w:tcPr>
            <w:tcW w:w="786" w:type="pct"/>
            <w:noWrap/>
            <w:vAlign w:val="bottom"/>
            <w:hideMark/>
          </w:tcPr>
          <w:p w14:paraId="5709F75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E90931" w:rsidRPr="00AE4E8D" w14:paraId="157E2307" w14:textId="77777777" w:rsidTr="000400C8">
        <w:trPr>
          <w:trHeight w:val="255"/>
          <w:jc w:val="center"/>
        </w:trPr>
        <w:tc>
          <w:tcPr>
            <w:tcW w:w="2630" w:type="pct"/>
            <w:vAlign w:val="center"/>
          </w:tcPr>
          <w:p w14:paraId="5D0E1F1C" w14:textId="77777777" w:rsidR="00E90931" w:rsidRPr="00AE4E8D" w:rsidRDefault="00E90931" w:rsidP="00E90931">
            <w:pPr>
              <w:rPr>
                <w:rFonts w:ascii="Times New Roman" w:hAnsi="Times New Roman"/>
                <w:sz w:val="16"/>
                <w:szCs w:val="16"/>
                <w:lang w:val="es-ES"/>
              </w:rPr>
            </w:pPr>
          </w:p>
        </w:tc>
        <w:tc>
          <w:tcPr>
            <w:tcW w:w="798" w:type="pct"/>
            <w:shd w:val="clear" w:color="auto" w:fill="FFFFFF"/>
            <w:noWrap/>
            <w:vAlign w:val="bottom"/>
            <w:hideMark/>
          </w:tcPr>
          <w:p w14:paraId="01CC4E0A"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hideMark/>
          </w:tcPr>
          <w:p w14:paraId="15DA9972"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tcPr>
          <w:p w14:paraId="7E3D6CA6" w14:textId="77777777" w:rsidR="00E90931" w:rsidRPr="00AE4E8D" w:rsidRDefault="00E90931" w:rsidP="00B52753">
            <w:pPr>
              <w:rPr>
                <w:rFonts w:ascii="Times New Roman" w:hAnsi="Times New Roman"/>
                <w:sz w:val="16"/>
                <w:szCs w:val="16"/>
                <w:lang w:val="es-ES"/>
              </w:rPr>
            </w:pPr>
          </w:p>
        </w:tc>
      </w:tr>
      <w:tr w:rsidR="00E90931" w:rsidRPr="00AE4E8D" w14:paraId="6A6A3CF4" w14:textId="77777777" w:rsidTr="000400C8">
        <w:trPr>
          <w:trHeight w:val="255"/>
          <w:jc w:val="center"/>
        </w:trPr>
        <w:tc>
          <w:tcPr>
            <w:tcW w:w="2630" w:type="pct"/>
            <w:vAlign w:val="center"/>
            <w:hideMark/>
          </w:tcPr>
          <w:p w14:paraId="23128DCD"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 En Dólares Est.</w:t>
            </w:r>
          </w:p>
        </w:tc>
        <w:tc>
          <w:tcPr>
            <w:tcW w:w="798" w:type="pct"/>
            <w:shd w:val="clear" w:color="auto" w:fill="FFFFFF"/>
            <w:noWrap/>
            <w:vAlign w:val="bottom"/>
            <w:hideMark/>
          </w:tcPr>
          <w:p w14:paraId="19D6A52D"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964.164</w:t>
            </w:r>
          </w:p>
        </w:tc>
        <w:tc>
          <w:tcPr>
            <w:tcW w:w="786" w:type="pct"/>
            <w:noWrap/>
            <w:vAlign w:val="bottom"/>
            <w:hideMark/>
          </w:tcPr>
          <w:p w14:paraId="5A8B6F8F"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199.341</w:t>
            </w:r>
          </w:p>
        </w:tc>
        <w:tc>
          <w:tcPr>
            <w:tcW w:w="786" w:type="pct"/>
            <w:noWrap/>
            <w:vAlign w:val="bottom"/>
            <w:hideMark/>
          </w:tcPr>
          <w:p w14:paraId="3243B457"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sz w:val="16"/>
                <w:lang w:val="es-ES"/>
              </w:rPr>
              <w:t>39.204</w:t>
            </w:r>
          </w:p>
        </w:tc>
      </w:tr>
      <w:tr w:rsidR="00E90931" w:rsidRPr="00AE4E8D" w14:paraId="57C73AA4" w14:textId="77777777" w:rsidTr="000400C8">
        <w:trPr>
          <w:trHeight w:val="255"/>
          <w:jc w:val="center"/>
        </w:trPr>
        <w:tc>
          <w:tcPr>
            <w:tcW w:w="2630" w:type="pct"/>
            <w:vAlign w:val="center"/>
            <w:hideMark/>
          </w:tcPr>
          <w:p w14:paraId="08B14432"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lastRenderedPageBreak/>
              <w:t xml:space="preserve">   </w:t>
            </w:r>
            <w:r w:rsidR="00E90931" w:rsidRPr="00AE4E8D">
              <w:rPr>
                <w:rFonts w:ascii="Times New Roman" w:hAnsi="Times New Roman"/>
                <w:sz w:val="16"/>
                <w:szCs w:val="16"/>
                <w:lang w:val="es-ES"/>
              </w:rPr>
              <w:t xml:space="preserve"> Títulos Públicos del Gobierno Nacional</w:t>
            </w:r>
          </w:p>
        </w:tc>
        <w:tc>
          <w:tcPr>
            <w:tcW w:w="798" w:type="pct"/>
            <w:shd w:val="clear" w:color="auto" w:fill="FFFFFF"/>
            <w:noWrap/>
            <w:vAlign w:val="bottom"/>
            <w:hideMark/>
          </w:tcPr>
          <w:p w14:paraId="1391E6B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807.100</w:t>
            </w:r>
          </w:p>
        </w:tc>
        <w:tc>
          <w:tcPr>
            <w:tcW w:w="786" w:type="pct"/>
            <w:noWrap/>
            <w:vAlign w:val="bottom"/>
            <w:hideMark/>
          </w:tcPr>
          <w:p w14:paraId="5F4BD47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7B21B91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E90931" w:rsidRPr="00AE4E8D" w14:paraId="6AE8D078" w14:textId="77777777" w:rsidTr="000400C8">
        <w:trPr>
          <w:trHeight w:val="255"/>
          <w:jc w:val="center"/>
        </w:trPr>
        <w:tc>
          <w:tcPr>
            <w:tcW w:w="2630" w:type="pct"/>
            <w:vAlign w:val="center"/>
            <w:hideMark/>
          </w:tcPr>
          <w:p w14:paraId="11218CE8"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 Títulos Públicos del Gobierno Provincial</w:t>
            </w:r>
          </w:p>
        </w:tc>
        <w:tc>
          <w:tcPr>
            <w:tcW w:w="798" w:type="pct"/>
            <w:shd w:val="clear" w:color="auto" w:fill="FFFFFF"/>
            <w:noWrap/>
            <w:vAlign w:val="bottom"/>
            <w:hideMark/>
          </w:tcPr>
          <w:p w14:paraId="4F27664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157.064</w:t>
            </w:r>
          </w:p>
        </w:tc>
        <w:tc>
          <w:tcPr>
            <w:tcW w:w="786" w:type="pct"/>
            <w:noWrap/>
            <w:vAlign w:val="bottom"/>
            <w:hideMark/>
          </w:tcPr>
          <w:p w14:paraId="358B0B3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lang w:val="es-ES"/>
              </w:rPr>
              <w:t>199.341</w:t>
            </w:r>
          </w:p>
        </w:tc>
        <w:tc>
          <w:tcPr>
            <w:tcW w:w="786" w:type="pct"/>
            <w:noWrap/>
            <w:vAlign w:val="bottom"/>
            <w:hideMark/>
          </w:tcPr>
          <w:p w14:paraId="3239B53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39.204</w:t>
            </w:r>
          </w:p>
        </w:tc>
      </w:tr>
      <w:tr w:rsidR="00E90931" w:rsidRPr="00AE4E8D" w14:paraId="0AD7B617" w14:textId="77777777" w:rsidTr="000400C8">
        <w:trPr>
          <w:trHeight w:val="255"/>
          <w:jc w:val="center"/>
        </w:trPr>
        <w:tc>
          <w:tcPr>
            <w:tcW w:w="2630" w:type="pct"/>
            <w:vAlign w:val="center"/>
          </w:tcPr>
          <w:p w14:paraId="00928A3A" w14:textId="77777777" w:rsidR="00E90931" w:rsidRPr="00AE4E8D" w:rsidRDefault="00E90931" w:rsidP="00E90931">
            <w:pPr>
              <w:rPr>
                <w:rFonts w:ascii="Times New Roman" w:hAnsi="Times New Roman"/>
                <w:sz w:val="16"/>
                <w:szCs w:val="16"/>
                <w:lang w:val="es-ES"/>
              </w:rPr>
            </w:pPr>
          </w:p>
        </w:tc>
        <w:tc>
          <w:tcPr>
            <w:tcW w:w="798" w:type="pct"/>
            <w:shd w:val="clear" w:color="auto" w:fill="FFFFFF"/>
            <w:noWrap/>
            <w:vAlign w:val="bottom"/>
            <w:hideMark/>
          </w:tcPr>
          <w:p w14:paraId="10CD85A6"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hideMark/>
          </w:tcPr>
          <w:p w14:paraId="378CFC16"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tcPr>
          <w:p w14:paraId="36AFA19C" w14:textId="77777777" w:rsidR="00E90931" w:rsidRPr="00AE4E8D" w:rsidRDefault="00E90931" w:rsidP="00B52753">
            <w:pPr>
              <w:rPr>
                <w:rFonts w:ascii="Times New Roman" w:hAnsi="Times New Roman"/>
                <w:sz w:val="16"/>
                <w:szCs w:val="16"/>
                <w:lang w:val="es-ES"/>
              </w:rPr>
            </w:pPr>
          </w:p>
        </w:tc>
      </w:tr>
      <w:tr w:rsidR="00E90931" w:rsidRPr="00AE4E8D" w14:paraId="7048160F" w14:textId="77777777" w:rsidTr="000400C8">
        <w:trPr>
          <w:trHeight w:val="510"/>
          <w:jc w:val="center"/>
        </w:trPr>
        <w:tc>
          <w:tcPr>
            <w:tcW w:w="2630" w:type="pct"/>
            <w:vAlign w:val="center"/>
            <w:hideMark/>
          </w:tcPr>
          <w:p w14:paraId="107150B9"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Total de Títulos Públicos registrados a costo más rendimiento</w:t>
            </w:r>
          </w:p>
        </w:tc>
        <w:tc>
          <w:tcPr>
            <w:tcW w:w="798" w:type="pct"/>
            <w:tcBorders>
              <w:top w:val="single" w:sz="4" w:space="0" w:color="auto"/>
              <w:left w:val="nil"/>
              <w:bottom w:val="single" w:sz="4" w:space="0" w:color="auto"/>
              <w:right w:val="nil"/>
            </w:tcBorders>
            <w:noWrap/>
            <w:vAlign w:val="bottom"/>
            <w:hideMark/>
          </w:tcPr>
          <w:p w14:paraId="66327DCE" w14:textId="77777777" w:rsidR="00E90931" w:rsidRPr="00AE4E8D" w:rsidRDefault="00FA3175"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1.017.085 </w:t>
            </w:r>
          </w:p>
        </w:tc>
        <w:tc>
          <w:tcPr>
            <w:tcW w:w="786" w:type="pct"/>
            <w:tcBorders>
              <w:top w:val="single" w:sz="4" w:space="0" w:color="auto"/>
              <w:left w:val="nil"/>
              <w:bottom w:val="single" w:sz="4" w:space="0" w:color="auto"/>
              <w:right w:val="nil"/>
            </w:tcBorders>
            <w:noWrap/>
            <w:vAlign w:val="bottom"/>
            <w:hideMark/>
          </w:tcPr>
          <w:p w14:paraId="3A11354F" w14:textId="77777777" w:rsidR="00E90931" w:rsidRPr="00AE4E8D" w:rsidRDefault="00FA3175" w:rsidP="00E90931">
            <w:pPr>
              <w:jc w:val="right"/>
              <w:rPr>
                <w:rFonts w:ascii="Times New Roman" w:hAnsi="Times New Roman"/>
                <w:sz w:val="16"/>
                <w:szCs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 xml:space="preserve">528.936 </w:t>
            </w:r>
          </w:p>
        </w:tc>
        <w:tc>
          <w:tcPr>
            <w:tcW w:w="786" w:type="pct"/>
            <w:tcBorders>
              <w:top w:val="single" w:sz="4" w:space="0" w:color="auto"/>
              <w:left w:val="nil"/>
              <w:bottom w:val="single" w:sz="4" w:space="0" w:color="auto"/>
              <w:right w:val="nil"/>
            </w:tcBorders>
            <w:noWrap/>
            <w:vAlign w:val="bottom"/>
            <w:hideMark/>
          </w:tcPr>
          <w:p w14:paraId="4136D9A3" w14:textId="77777777" w:rsidR="00E90931" w:rsidRPr="00AE4E8D" w:rsidRDefault="00FA3175"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141.147 </w:t>
            </w:r>
          </w:p>
        </w:tc>
      </w:tr>
      <w:tr w:rsidR="00E90931" w:rsidRPr="00AE4E8D" w14:paraId="4AE5AD99" w14:textId="77777777" w:rsidTr="000400C8">
        <w:trPr>
          <w:trHeight w:val="255"/>
          <w:jc w:val="center"/>
        </w:trPr>
        <w:tc>
          <w:tcPr>
            <w:tcW w:w="2630" w:type="pct"/>
            <w:vAlign w:val="center"/>
          </w:tcPr>
          <w:p w14:paraId="1883211B" w14:textId="77777777" w:rsidR="00E90931" w:rsidRPr="00AE4E8D" w:rsidRDefault="00E90931" w:rsidP="00E90931">
            <w:pPr>
              <w:rPr>
                <w:rFonts w:ascii="Times New Roman" w:hAnsi="Times New Roman"/>
                <w:sz w:val="16"/>
                <w:szCs w:val="16"/>
                <w:lang w:val="es-ES"/>
              </w:rPr>
            </w:pPr>
          </w:p>
        </w:tc>
        <w:tc>
          <w:tcPr>
            <w:tcW w:w="798" w:type="pct"/>
            <w:noWrap/>
            <w:vAlign w:val="bottom"/>
          </w:tcPr>
          <w:p w14:paraId="7999D2C2"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1D376765"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71865E89" w14:textId="77777777" w:rsidR="00E90931" w:rsidRPr="00AE4E8D" w:rsidRDefault="00E90931" w:rsidP="00B52753">
            <w:pPr>
              <w:rPr>
                <w:rFonts w:ascii="Times New Roman" w:hAnsi="Times New Roman"/>
                <w:sz w:val="16"/>
                <w:szCs w:val="16"/>
                <w:lang w:val="es-ES"/>
              </w:rPr>
            </w:pPr>
          </w:p>
        </w:tc>
      </w:tr>
      <w:tr w:rsidR="00E90931" w:rsidRPr="00AE4E8D" w14:paraId="7B4140BA" w14:textId="77777777" w:rsidTr="000400C8">
        <w:trPr>
          <w:trHeight w:val="255"/>
          <w:jc w:val="center"/>
        </w:trPr>
        <w:tc>
          <w:tcPr>
            <w:tcW w:w="2630" w:type="pct"/>
            <w:vAlign w:val="center"/>
            <w:hideMark/>
          </w:tcPr>
          <w:p w14:paraId="68419BEC" w14:textId="77777777" w:rsidR="00E90931" w:rsidRPr="00AE4E8D" w:rsidRDefault="00E90931" w:rsidP="002C3DEF">
            <w:pPr>
              <w:rPr>
                <w:rFonts w:ascii="Times New Roman" w:hAnsi="Times New Roman"/>
                <w:b/>
                <w:bCs/>
                <w:sz w:val="16"/>
                <w:szCs w:val="16"/>
                <w:lang w:val="es-ES"/>
              </w:rPr>
            </w:pPr>
            <w:r w:rsidRPr="00AE4E8D">
              <w:rPr>
                <w:rFonts w:ascii="Times New Roman" w:hAnsi="Times New Roman"/>
                <w:b/>
                <w:bCs/>
                <w:sz w:val="16"/>
                <w:szCs w:val="16"/>
                <w:lang w:val="es-ES"/>
              </w:rPr>
              <w:t xml:space="preserve">Instrumentos emitidos por el </w:t>
            </w:r>
            <w:r w:rsidR="002C3DEF" w:rsidRPr="00AE4E8D">
              <w:rPr>
                <w:rFonts w:ascii="Times New Roman" w:hAnsi="Times New Roman"/>
                <w:b/>
                <w:bCs/>
                <w:sz w:val="16"/>
                <w:szCs w:val="16"/>
                <w:lang w:val="es-ES"/>
              </w:rPr>
              <w:t>BCRA</w:t>
            </w:r>
          </w:p>
        </w:tc>
        <w:tc>
          <w:tcPr>
            <w:tcW w:w="798" w:type="pct"/>
            <w:noWrap/>
            <w:vAlign w:val="bottom"/>
          </w:tcPr>
          <w:p w14:paraId="3807A8AB" w14:textId="77777777" w:rsidR="00E90931" w:rsidRPr="00AE4E8D" w:rsidRDefault="00E90931" w:rsidP="00E90931">
            <w:pPr>
              <w:rPr>
                <w:rFonts w:ascii="Times New Roman" w:hAnsi="Times New Roman"/>
                <w:b/>
                <w:bCs/>
                <w:sz w:val="16"/>
                <w:szCs w:val="16"/>
                <w:lang w:val="es-ES"/>
              </w:rPr>
            </w:pPr>
          </w:p>
        </w:tc>
        <w:tc>
          <w:tcPr>
            <w:tcW w:w="786" w:type="pct"/>
            <w:noWrap/>
            <w:vAlign w:val="bottom"/>
          </w:tcPr>
          <w:p w14:paraId="18DE6C3C" w14:textId="77777777" w:rsidR="00E90931" w:rsidRPr="00AE4E8D" w:rsidRDefault="00E90931" w:rsidP="00E90931">
            <w:pPr>
              <w:rPr>
                <w:rFonts w:ascii="Times New Roman" w:hAnsi="Times New Roman"/>
                <w:b/>
                <w:bCs/>
                <w:sz w:val="16"/>
                <w:szCs w:val="16"/>
                <w:lang w:val="es-ES"/>
              </w:rPr>
            </w:pPr>
          </w:p>
        </w:tc>
        <w:tc>
          <w:tcPr>
            <w:tcW w:w="786" w:type="pct"/>
            <w:noWrap/>
            <w:vAlign w:val="bottom"/>
          </w:tcPr>
          <w:p w14:paraId="27EAF18C" w14:textId="77777777" w:rsidR="00E90931" w:rsidRPr="00AE4E8D" w:rsidRDefault="00E90931" w:rsidP="00B52753">
            <w:pPr>
              <w:rPr>
                <w:rFonts w:ascii="Times New Roman" w:hAnsi="Times New Roman"/>
                <w:b/>
                <w:sz w:val="16"/>
                <w:lang w:val="es-ES"/>
              </w:rPr>
            </w:pPr>
          </w:p>
        </w:tc>
      </w:tr>
      <w:tr w:rsidR="00E90931" w:rsidRPr="00AE4E8D" w14:paraId="6E227D4A" w14:textId="77777777" w:rsidTr="000400C8">
        <w:trPr>
          <w:trHeight w:val="255"/>
          <w:jc w:val="center"/>
        </w:trPr>
        <w:tc>
          <w:tcPr>
            <w:tcW w:w="2630" w:type="pct"/>
            <w:vAlign w:val="center"/>
            <w:hideMark/>
          </w:tcPr>
          <w:p w14:paraId="115D1A9B"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 En pesos</w:t>
            </w:r>
          </w:p>
        </w:tc>
        <w:tc>
          <w:tcPr>
            <w:tcW w:w="798" w:type="pct"/>
            <w:noWrap/>
            <w:vAlign w:val="bottom"/>
            <w:hideMark/>
          </w:tcPr>
          <w:p w14:paraId="3BD269AD"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1.382.076</w:t>
            </w:r>
          </w:p>
        </w:tc>
        <w:tc>
          <w:tcPr>
            <w:tcW w:w="786" w:type="pct"/>
            <w:noWrap/>
            <w:vAlign w:val="bottom"/>
            <w:hideMark/>
          </w:tcPr>
          <w:p w14:paraId="122CE2A0"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1.814.986</w:t>
            </w:r>
          </w:p>
        </w:tc>
        <w:tc>
          <w:tcPr>
            <w:tcW w:w="786" w:type="pct"/>
            <w:noWrap/>
            <w:vAlign w:val="bottom"/>
            <w:hideMark/>
          </w:tcPr>
          <w:p w14:paraId="5EFEC042"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2.524.738</w:t>
            </w:r>
          </w:p>
        </w:tc>
      </w:tr>
      <w:tr w:rsidR="00E90931" w:rsidRPr="00AE4E8D" w14:paraId="453E675A" w14:textId="77777777" w:rsidTr="000400C8">
        <w:trPr>
          <w:trHeight w:val="255"/>
          <w:jc w:val="center"/>
        </w:trPr>
        <w:tc>
          <w:tcPr>
            <w:tcW w:w="2630" w:type="pct"/>
            <w:vAlign w:val="center"/>
            <w:hideMark/>
          </w:tcPr>
          <w:p w14:paraId="3C2D6D81"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Lebacs registradas a valor razonable de mercado </w:t>
            </w:r>
          </w:p>
        </w:tc>
        <w:tc>
          <w:tcPr>
            <w:tcW w:w="798" w:type="pct"/>
            <w:shd w:val="clear" w:color="auto" w:fill="FFFFFF"/>
            <w:noWrap/>
            <w:vAlign w:val="bottom"/>
            <w:hideMark/>
          </w:tcPr>
          <w:p w14:paraId="35CEBDD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711.280</w:t>
            </w:r>
          </w:p>
        </w:tc>
        <w:tc>
          <w:tcPr>
            <w:tcW w:w="786" w:type="pct"/>
            <w:noWrap/>
            <w:vAlign w:val="bottom"/>
            <w:hideMark/>
          </w:tcPr>
          <w:p w14:paraId="5754A72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937.617</w:t>
            </w:r>
          </w:p>
        </w:tc>
        <w:tc>
          <w:tcPr>
            <w:tcW w:w="786" w:type="pct"/>
            <w:noWrap/>
            <w:vAlign w:val="bottom"/>
            <w:hideMark/>
          </w:tcPr>
          <w:p w14:paraId="659CA3A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636.192</w:t>
            </w:r>
          </w:p>
        </w:tc>
      </w:tr>
      <w:tr w:rsidR="00E90931" w:rsidRPr="00AE4E8D" w14:paraId="6743BF50" w14:textId="77777777" w:rsidTr="000400C8">
        <w:trPr>
          <w:trHeight w:val="255"/>
          <w:jc w:val="center"/>
        </w:trPr>
        <w:tc>
          <w:tcPr>
            <w:tcW w:w="2630" w:type="pct"/>
            <w:vAlign w:val="center"/>
            <w:hideMark/>
          </w:tcPr>
          <w:p w14:paraId="060FB7F3"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Lebacs registradas a costo más rendimiento</w:t>
            </w:r>
          </w:p>
        </w:tc>
        <w:tc>
          <w:tcPr>
            <w:tcW w:w="798" w:type="pct"/>
            <w:shd w:val="clear" w:color="auto" w:fill="FFFFFF"/>
            <w:noWrap/>
            <w:vAlign w:val="bottom"/>
            <w:hideMark/>
          </w:tcPr>
          <w:p w14:paraId="241086F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670.796</w:t>
            </w:r>
          </w:p>
        </w:tc>
        <w:tc>
          <w:tcPr>
            <w:tcW w:w="786" w:type="pct"/>
            <w:noWrap/>
            <w:vAlign w:val="bottom"/>
            <w:hideMark/>
          </w:tcPr>
          <w:p w14:paraId="2917B47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877.369</w:t>
            </w:r>
          </w:p>
        </w:tc>
        <w:tc>
          <w:tcPr>
            <w:tcW w:w="786" w:type="pct"/>
            <w:noWrap/>
            <w:vAlign w:val="bottom"/>
            <w:hideMark/>
          </w:tcPr>
          <w:p w14:paraId="0D71F15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1.888.546</w:t>
            </w:r>
          </w:p>
        </w:tc>
      </w:tr>
      <w:tr w:rsidR="00E90931" w:rsidRPr="00AE4E8D" w14:paraId="0975EFB9" w14:textId="77777777" w:rsidTr="000400C8">
        <w:trPr>
          <w:trHeight w:val="255"/>
          <w:jc w:val="center"/>
        </w:trPr>
        <w:tc>
          <w:tcPr>
            <w:tcW w:w="2630" w:type="pct"/>
            <w:vAlign w:val="center"/>
            <w:hideMark/>
          </w:tcPr>
          <w:p w14:paraId="2D0F48D0"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Nobacs registradas a valor razonable de mercado </w:t>
            </w:r>
          </w:p>
        </w:tc>
        <w:tc>
          <w:tcPr>
            <w:tcW w:w="798" w:type="pct"/>
            <w:shd w:val="clear" w:color="auto" w:fill="FFFFFF"/>
            <w:noWrap/>
            <w:vAlign w:val="bottom"/>
            <w:hideMark/>
          </w:tcPr>
          <w:p w14:paraId="3E692AD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639DDE7C"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3A6D2D77"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E90931" w:rsidRPr="00AE4E8D" w14:paraId="71F7B513" w14:textId="77777777" w:rsidTr="000400C8">
        <w:trPr>
          <w:trHeight w:val="255"/>
          <w:jc w:val="center"/>
        </w:trPr>
        <w:tc>
          <w:tcPr>
            <w:tcW w:w="2630" w:type="pct"/>
            <w:vAlign w:val="center"/>
            <w:hideMark/>
          </w:tcPr>
          <w:p w14:paraId="0C7A363F"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Nobacs registradas a costo más rendimiento</w:t>
            </w:r>
          </w:p>
        </w:tc>
        <w:tc>
          <w:tcPr>
            <w:tcW w:w="798" w:type="pct"/>
            <w:shd w:val="clear" w:color="auto" w:fill="FFFFFF"/>
            <w:noWrap/>
            <w:vAlign w:val="bottom"/>
            <w:hideMark/>
          </w:tcPr>
          <w:p w14:paraId="477FBE8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0ABDA20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27FEB87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E90931" w:rsidRPr="00AE4E8D" w14:paraId="2C35B13A" w14:textId="77777777" w:rsidTr="000400C8">
        <w:trPr>
          <w:trHeight w:val="255"/>
          <w:jc w:val="center"/>
        </w:trPr>
        <w:tc>
          <w:tcPr>
            <w:tcW w:w="2630" w:type="pct"/>
            <w:vAlign w:val="center"/>
          </w:tcPr>
          <w:p w14:paraId="46EA7FCE" w14:textId="77777777" w:rsidR="00E90931" w:rsidRPr="00AE4E8D" w:rsidRDefault="00E90931" w:rsidP="00E90931">
            <w:pPr>
              <w:rPr>
                <w:rFonts w:ascii="Times New Roman" w:hAnsi="Times New Roman"/>
                <w:sz w:val="16"/>
                <w:szCs w:val="16"/>
                <w:lang w:val="es-ES"/>
              </w:rPr>
            </w:pPr>
          </w:p>
        </w:tc>
        <w:tc>
          <w:tcPr>
            <w:tcW w:w="798" w:type="pct"/>
            <w:noWrap/>
            <w:vAlign w:val="bottom"/>
          </w:tcPr>
          <w:p w14:paraId="2D35DCE0"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06674B74"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43C65EF5" w14:textId="77777777" w:rsidR="00E90931" w:rsidRPr="00AE4E8D" w:rsidRDefault="00E90931" w:rsidP="00B52753">
            <w:pPr>
              <w:rPr>
                <w:rFonts w:ascii="Times New Roman" w:hAnsi="Times New Roman"/>
                <w:sz w:val="16"/>
                <w:szCs w:val="16"/>
                <w:lang w:val="es-ES"/>
              </w:rPr>
            </w:pPr>
          </w:p>
        </w:tc>
      </w:tr>
      <w:tr w:rsidR="00E90931" w:rsidRPr="00AE4E8D" w14:paraId="263740FE" w14:textId="77777777" w:rsidTr="000400C8">
        <w:trPr>
          <w:trHeight w:val="510"/>
          <w:jc w:val="center"/>
        </w:trPr>
        <w:tc>
          <w:tcPr>
            <w:tcW w:w="2630" w:type="pct"/>
            <w:vAlign w:val="center"/>
            <w:hideMark/>
          </w:tcPr>
          <w:p w14:paraId="22DCB7D8" w14:textId="77777777" w:rsidR="00E90931" w:rsidRPr="00AE4E8D" w:rsidRDefault="00E90931" w:rsidP="002C3DEF">
            <w:pPr>
              <w:rPr>
                <w:rFonts w:ascii="Times New Roman" w:hAnsi="Times New Roman"/>
                <w:b/>
                <w:bCs/>
                <w:sz w:val="16"/>
                <w:szCs w:val="16"/>
                <w:lang w:val="es-ES"/>
              </w:rPr>
            </w:pPr>
            <w:r w:rsidRPr="00AE4E8D">
              <w:rPr>
                <w:rFonts w:ascii="Times New Roman" w:hAnsi="Times New Roman"/>
                <w:b/>
                <w:bCs/>
                <w:sz w:val="16"/>
                <w:szCs w:val="16"/>
                <w:lang w:val="es-ES"/>
              </w:rPr>
              <w:t xml:space="preserve">Total de Instrumentos emitidos por el </w:t>
            </w:r>
            <w:r w:rsidR="002C3DEF" w:rsidRPr="00AE4E8D">
              <w:rPr>
                <w:rFonts w:ascii="Times New Roman" w:hAnsi="Times New Roman"/>
                <w:b/>
                <w:bCs/>
                <w:sz w:val="16"/>
                <w:szCs w:val="16"/>
                <w:lang w:val="es-ES"/>
              </w:rPr>
              <w:t>BCRA</w:t>
            </w:r>
          </w:p>
        </w:tc>
        <w:tc>
          <w:tcPr>
            <w:tcW w:w="798" w:type="pct"/>
            <w:tcBorders>
              <w:top w:val="single" w:sz="4" w:space="0" w:color="auto"/>
              <w:left w:val="nil"/>
              <w:bottom w:val="single" w:sz="4" w:space="0" w:color="auto"/>
              <w:right w:val="nil"/>
            </w:tcBorders>
            <w:noWrap/>
            <w:vAlign w:val="bottom"/>
            <w:hideMark/>
          </w:tcPr>
          <w:p w14:paraId="08858EAC" w14:textId="77777777" w:rsidR="00E90931" w:rsidRPr="00AE4E8D" w:rsidRDefault="00EB3492"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1.382.076 </w:t>
            </w:r>
          </w:p>
        </w:tc>
        <w:tc>
          <w:tcPr>
            <w:tcW w:w="786" w:type="pct"/>
            <w:tcBorders>
              <w:top w:val="single" w:sz="4" w:space="0" w:color="auto"/>
              <w:left w:val="nil"/>
              <w:bottom w:val="single" w:sz="4" w:space="0" w:color="auto"/>
              <w:right w:val="nil"/>
            </w:tcBorders>
            <w:noWrap/>
            <w:vAlign w:val="bottom"/>
            <w:hideMark/>
          </w:tcPr>
          <w:p w14:paraId="06BF0E9D" w14:textId="77777777" w:rsidR="00E90931" w:rsidRPr="00AE4E8D" w:rsidRDefault="00EB3492" w:rsidP="00E90931">
            <w:pPr>
              <w:jc w:val="right"/>
              <w:rPr>
                <w:rFonts w:ascii="Times New Roman" w:hAnsi="Times New Roman"/>
                <w:b/>
                <w:bCs/>
                <w:sz w:val="16"/>
                <w:szCs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 xml:space="preserve">1.814.986 </w:t>
            </w:r>
          </w:p>
        </w:tc>
        <w:tc>
          <w:tcPr>
            <w:tcW w:w="786" w:type="pct"/>
            <w:tcBorders>
              <w:top w:val="single" w:sz="4" w:space="0" w:color="auto"/>
              <w:left w:val="nil"/>
              <w:bottom w:val="single" w:sz="4" w:space="0" w:color="auto"/>
              <w:right w:val="nil"/>
            </w:tcBorders>
            <w:noWrap/>
            <w:vAlign w:val="bottom"/>
            <w:hideMark/>
          </w:tcPr>
          <w:p w14:paraId="6AA0645D" w14:textId="77777777" w:rsidR="00E90931" w:rsidRPr="00AE4E8D" w:rsidRDefault="00EB3492"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2.524.738 </w:t>
            </w:r>
          </w:p>
        </w:tc>
      </w:tr>
      <w:tr w:rsidR="00E90931" w:rsidRPr="00AE4E8D" w14:paraId="776F3DF7" w14:textId="77777777" w:rsidTr="000400C8">
        <w:trPr>
          <w:trHeight w:val="255"/>
          <w:jc w:val="center"/>
        </w:trPr>
        <w:tc>
          <w:tcPr>
            <w:tcW w:w="2630" w:type="pct"/>
            <w:vAlign w:val="center"/>
            <w:hideMark/>
          </w:tcPr>
          <w:p w14:paraId="30C517C2" w14:textId="77777777" w:rsidR="00E90931" w:rsidRPr="00AE4E8D" w:rsidRDefault="006D55C2" w:rsidP="00E90931">
            <w:pPr>
              <w:rPr>
                <w:rFonts w:ascii="Times New Roman" w:hAnsi="Times New Roman"/>
                <w:b/>
                <w:bCs/>
                <w:sz w:val="16"/>
                <w:szCs w:val="16"/>
                <w:lang w:val="es-ES"/>
              </w:rPr>
            </w:pPr>
            <w:r w:rsidRPr="00AE4E8D">
              <w:rPr>
                <w:rFonts w:ascii="Times New Roman" w:hAnsi="Times New Roman"/>
                <w:b/>
                <w:bCs/>
                <w:sz w:val="16"/>
                <w:szCs w:val="16"/>
                <w:lang w:val="es-ES"/>
              </w:rPr>
              <w:t>Títulos</w:t>
            </w:r>
            <w:r w:rsidR="00E90931" w:rsidRPr="00AE4E8D">
              <w:rPr>
                <w:rFonts w:ascii="Times New Roman" w:hAnsi="Times New Roman"/>
                <w:b/>
                <w:bCs/>
                <w:sz w:val="16"/>
                <w:szCs w:val="16"/>
                <w:lang w:val="es-ES"/>
              </w:rPr>
              <w:t xml:space="preserve"> Privados</w:t>
            </w:r>
          </w:p>
        </w:tc>
        <w:tc>
          <w:tcPr>
            <w:tcW w:w="798" w:type="pct"/>
            <w:noWrap/>
            <w:vAlign w:val="bottom"/>
          </w:tcPr>
          <w:p w14:paraId="142D2BE5" w14:textId="77777777" w:rsidR="00E90931" w:rsidRPr="00AE4E8D" w:rsidRDefault="00E90931" w:rsidP="00E90931">
            <w:pPr>
              <w:rPr>
                <w:rFonts w:ascii="Times New Roman" w:hAnsi="Times New Roman"/>
                <w:b/>
                <w:bCs/>
                <w:sz w:val="16"/>
                <w:szCs w:val="16"/>
                <w:lang w:val="es-ES"/>
              </w:rPr>
            </w:pPr>
          </w:p>
        </w:tc>
        <w:tc>
          <w:tcPr>
            <w:tcW w:w="786" w:type="pct"/>
            <w:noWrap/>
            <w:vAlign w:val="bottom"/>
          </w:tcPr>
          <w:p w14:paraId="23F9AF6F" w14:textId="77777777" w:rsidR="00E90931" w:rsidRPr="00AE4E8D" w:rsidRDefault="00E90931" w:rsidP="00E90931">
            <w:pPr>
              <w:rPr>
                <w:rFonts w:ascii="Times New Roman" w:hAnsi="Times New Roman"/>
                <w:b/>
                <w:bCs/>
                <w:sz w:val="16"/>
                <w:szCs w:val="16"/>
                <w:lang w:val="es-ES"/>
              </w:rPr>
            </w:pPr>
          </w:p>
        </w:tc>
        <w:tc>
          <w:tcPr>
            <w:tcW w:w="786" w:type="pct"/>
            <w:noWrap/>
            <w:vAlign w:val="bottom"/>
          </w:tcPr>
          <w:p w14:paraId="3CCBF47D" w14:textId="77777777" w:rsidR="00E90931" w:rsidRPr="00AE4E8D" w:rsidRDefault="00E90931" w:rsidP="00B52753">
            <w:pPr>
              <w:rPr>
                <w:rFonts w:ascii="Times New Roman" w:hAnsi="Times New Roman"/>
                <w:b/>
                <w:sz w:val="16"/>
                <w:lang w:val="es-ES"/>
              </w:rPr>
            </w:pPr>
          </w:p>
        </w:tc>
      </w:tr>
      <w:tr w:rsidR="00E90931" w:rsidRPr="00AE4E8D" w14:paraId="1D0D88C7" w14:textId="77777777" w:rsidTr="000400C8">
        <w:trPr>
          <w:trHeight w:val="255"/>
          <w:jc w:val="center"/>
        </w:trPr>
        <w:tc>
          <w:tcPr>
            <w:tcW w:w="2630" w:type="pct"/>
            <w:vAlign w:val="center"/>
            <w:hideMark/>
          </w:tcPr>
          <w:p w14:paraId="01A935C7"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 En pesos</w:t>
            </w:r>
          </w:p>
        </w:tc>
        <w:tc>
          <w:tcPr>
            <w:tcW w:w="798" w:type="pct"/>
            <w:shd w:val="clear" w:color="auto" w:fill="FFFFFF"/>
            <w:noWrap/>
            <w:vAlign w:val="bottom"/>
            <w:hideMark/>
          </w:tcPr>
          <w:p w14:paraId="5380CF4F"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352.854</w:t>
            </w:r>
          </w:p>
        </w:tc>
        <w:tc>
          <w:tcPr>
            <w:tcW w:w="786" w:type="pct"/>
            <w:noWrap/>
            <w:vAlign w:val="bottom"/>
            <w:hideMark/>
          </w:tcPr>
          <w:p w14:paraId="0F9DF680"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590.328</w:t>
            </w:r>
          </w:p>
        </w:tc>
        <w:tc>
          <w:tcPr>
            <w:tcW w:w="786" w:type="pct"/>
            <w:noWrap/>
            <w:vAlign w:val="bottom"/>
            <w:hideMark/>
          </w:tcPr>
          <w:p w14:paraId="3A06418D"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369.587</w:t>
            </w:r>
          </w:p>
        </w:tc>
      </w:tr>
      <w:tr w:rsidR="00E90931" w:rsidRPr="00AE4E8D" w14:paraId="78002AFA" w14:textId="77777777" w:rsidTr="000400C8">
        <w:trPr>
          <w:trHeight w:val="255"/>
          <w:jc w:val="center"/>
        </w:trPr>
        <w:tc>
          <w:tcPr>
            <w:tcW w:w="2630" w:type="pct"/>
            <w:vAlign w:val="center"/>
            <w:hideMark/>
          </w:tcPr>
          <w:p w14:paraId="2B4509DE"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Acciones</w:t>
            </w:r>
          </w:p>
        </w:tc>
        <w:tc>
          <w:tcPr>
            <w:tcW w:w="798" w:type="pct"/>
            <w:shd w:val="clear" w:color="auto" w:fill="FFFFFF"/>
            <w:noWrap/>
            <w:vAlign w:val="bottom"/>
            <w:hideMark/>
          </w:tcPr>
          <w:p w14:paraId="12985FB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105.712</w:t>
            </w:r>
          </w:p>
        </w:tc>
        <w:tc>
          <w:tcPr>
            <w:tcW w:w="786" w:type="pct"/>
            <w:noWrap/>
            <w:vAlign w:val="bottom"/>
            <w:hideMark/>
          </w:tcPr>
          <w:p w14:paraId="7A9DCA8C"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235.349</w:t>
            </w:r>
          </w:p>
        </w:tc>
        <w:tc>
          <w:tcPr>
            <w:tcW w:w="786" w:type="pct"/>
            <w:noWrap/>
            <w:vAlign w:val="bottom"/>
            <w:hideMark/>
          </w:tcPr>
          <w:p w14:paraId="1270447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214.643</w:t>
            </w:r>
          </w:p>
        </w:tc>
      </w:tr>
      <w:tr w:rsidR="00E90931" w:rsidRPr="00AE4E8D" w14:paraId="7A21CF74" w14:textId="77777777" w:rsidTr="000400C8">
        <w:trPr>
          <w:trHeight w:val="255"/>
          <w:jc w:val="center"/>
        </w:trPr>
        <w:tc>
          <w:tcPr>
            <w:tcW w:w="2630" w:type="pct"/>
            <w:vAlign w:val="center"/>
            <w:hideMark/>
          </w:tcPr>
          <w:p w14:paraId="397DA22C"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Otros</w:t>
            </w:r>
          </w:p>
        </w:tc>
        <w:tc>
          <w:tcPr>
            <w:tcW w:w="798" w:type="pct"/>
            <w:shd w:val="clear" w:color="auto" w:fill="FFFFFF"/>
            <w:noWrap/>
            <w:vAlign w:val="bottom"/>
            <w:hideMark/>
          </w:tcPr>
          <w:p w14:paraId="23C3347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247.142</w:t>
            </w:r>
          </w:p>
        </w:tc>
        <w:tc>
          <w:tcPr>
            <w:tcW w:w="786" w:type="pct"/>
            <w:noWrap/>
            <w:vAlign w:val="bottom"/>
            <w:hideMark/>
          </w:tcPr>
          <w:p w14:paraId="12BFD7A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lang w:val="es-ES"/>
              </w:rPr>
              <w:t>354.979</w:t>
            </w:r>
          </w:p>
        </w:tc>
        <w:tc>
          <w:tcPr>
            <w:tcW w:w="786" w:type="pct"/>
            <w:noWrap/>
            <w:vAlign w:val="bottom"/>
            <w:hideMark/>
          </w:tcPr>
          <w:p w14:paraId="64C1CEA7"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154.944</w:t>
            </w:r>
          </w:p>
        </w:tc>
      </w:tr>
      <w:tr w:rsidR="00E90931" w:rsidRPr="00AE4E8D" w14:paraId="5D8D254B" w14:textId="77777777" w:rsidTr="000400C8">
        <w:trPr>
          <w:trHeight w:val="255"/>
          <w:jc w:val="center"/>
        </w:trPr>
        <w:tc>
          <w:tcPr>
            <w:tcW w:w="2630" w:type="pct"/>
            <w:vAlign w:val="center"/>
          </w:tcPr>
          <w:p w14:paraId="7E209FD4" w14:textId="77777777" w:rsidR="00E90931" w:rsidRPr="00AE4E8D" w:rsidRDefault="00E90931" w:rsidP="00E90931">
            <w:pPr>
              <w:rPr>
                <w:rFonts w:ascii="Times New Roman" w:hAnsi="Times New Roman"/>
                <w:sz w:val="16"/>
                <w:szCs w:val="16"/>
                <w:lang w:val="es-ES"/>
              </w:rPr>
            </w:pPr>
          </w:p>
        </w:tc>
        <w:tc>
          <w:tcPr>
            <w:tcW w:w="798" w:type="pct"/>
            <w:shd w:val="clear" w:color="auto" w:fill="FFFFFF"/>
            <w:noWrap/>
            <w:vAlign w:val="bottom"/>
            <w:hideMark/>
          </w:tcPr>
          <w:p w14:paraId="44A0909C"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hideMark/>
          </w:tcPr>
          <w:p w14:paraId="5ED88F9B"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786" w:type="pct"/>
            <w:noWrap/>
            <w:vAlign w:val="bottom"/>
          </w:tcPr>
          <w:p w14:paraId="350A0C78" w14:textId="77777777" w:rsidR="00E90931" w:rsidRPr="00AE4E8D" w:rsidRDefault="00E90931" w:rsidP="00B52753">
            <w:pPr>
              <w:rPr>
                <w:rFonts w:ascii="Times New Roman" w:hAnsi="Times New Roman"/>
                <w:sz w:val="16"/>
                <w:szCs w:val="16"/>
                <w:lang w:val="es-ES"/>
              </w:rPr>
            </w:pPr>
          </w:p>
        </w:tc>
      </w:tr>
      <w:tr w:rsidR="00E90931" w:rsidRPr="00AE4E8D" w14:paraId="211BE5ED" w14:textId="77777777" w:rsidTr="000400C8">
        <w:trPr>
          <w:trHeight w:val="255"/>
          <w:jc w:val="center"/>
        </w:trPr>
        <w:tc>
          <w:tcPr>
            <w:tcW w:w="2630" w:type="pct"/>
            <w:vAlign w:val="center"/>
            <w:hideMark/>
          </w:tcPr>
          <w:p w14:paraId="0ADC95F3" w14:textId="77777777" w:rsidR="00E90931" w:rsidRPr="00AE4E8D" w:rsidRDefault="00EB3492"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 En Dólares Est.</w:t>
            </w:r>
          </w:p>
        </w:tc>
        <w:tc>
          <w:tcPr>
            <w:tcW w:w="798" w:type="pct"/>
            <w:shd w:val="clear" w:color="auto" w:fill="FFFFFF"/>
            <w:noWrap/>
            <w:vAlign w:val="bottom"/>
            <w:hideMark/>
          </w:tcPr>
          <w:p w14:paraId="4B714DBD"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w:t>
            </w:r>
          </w:p>
        </w:tc>
        <w:tc>
          <w:tcPr>
            <w:tcW w:w="786" w:type="pct"/>
            <w:noWrap/>
            <w:vAlign w:val="bottom"/>
            <w:hideMark/>
          </w:tcPr>
          <w:p w14:paraId="54C029EB"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w:t>
            </w:r>
          </w:p>
        </w:tc>
        <w:tc>
          <w:tcPr>
            <w:tcW w:w="786" w:type="pct"/>
            <w:noWrap/>
            <w:vAlign w:val="bottom"/>
            <w:hideMark/>
          </w:tcPr>
          <w:p w14:paraId="6B15098A"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w:t>
            </w:r>
          </w:p>
        </w:tc>
      </w:tr>
      <w:tr w:rsidR="00E90931" w:rsidRPr="00AE4E8D" w14:paraId="25E29B5F" w14:textId="77777777" w:rsidTr="000400C8">
        <w:trPr>
          <w:trHeight w:val="255"/>
          <w:jc w:val="center"/>
        </w:trPr>
        <w:tc>
          <w:tcPr>
            <w:tcW w:w="2630" w:type="pct"/>
            <w:vAlign w:val="center"/>
            <w:hideMark/>
          </w:tcPr>
          <w:p w14:paraId="46507310"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Acciones</w:t>
            </w:r>
          </w:p>
        </w:tc>
        <w:tc>
          <w:tcPr>
            <w:tcW w:w="798" w:type="pct"/>
            <w:shd w:val="clear" w:color="auto" w:fill="FFFFFF"/>
            <w:noWrap/>
            <w:vAlign w:val="bottom"/>
            <w:hideMark/>
          </w:tcPr>
          <w:p w14:paraId="175B0EF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1B5A17F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6A56FAD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E90931" w:rsidRPr="00AE4E8D" w14:paraId="06F6BB33" w14:textId="77777777" w:rsidTr="000400C8">
        <w:trPr>
          <w:trHeight w:val="255"/>
          <w:jc w:val="center"/>
        </w:trPr>
        <w:tc>
          <w:tcPr>
            <w:tcW w:w="2630" w:type="pct"/>
            <w:vAlign w:val="center"/>
            <w:hideMark/>
          </w:tcPr>
          <w:p w14:paraId="016F5000" w14:textId="77777777" w:rsidR="00E90931" w:rsidRPr="00AE4E8D" w:rsidRDefault="00EB3492" w:rsidP="00E90931">
            <w:pPr>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Otros</w:t>
            </w:r>
          </w:p>
        </w:tc>
        <w:tc>
          <w:tcPr>
            <w:tcW w:w="798" w:type="pct"/>
            <w:noWrap/>
            <w:vAlign w:val="bottom"/>
            <w:hideMark/>
          </w:tcPr>
          <w:p w14:paraId="265CC43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4FE0AFB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786" w:type="pct"/>
            <w:noWrap/>
            <w:vAlign w:val="bottom"/>
            <w:hideMark/>
          </w:tcPr>
          <w:p w14:paraId="79C1481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r>
      <w:tr w:rsidR="00E90931" w:rsidRPr="00AE4E8D" w14:paraId="00C1A609" w14:textId="77777777" w:rsidTr="000400C8">
        <w:trPr>
          <w:trHeight w:val="255"/>
          <w:jc w:val="center"/>
        </w:trPr>
        <w:tc>
          <w:tcPr>
            <w:tcW w:w="2630" w:type="pct"/>
            <w:vAlign w:val="center"/>
          </w:tcPr>
          <w:p w14:paraId="4278534B" w14:textId="77777777" w:rsidR="00E90931" w:rsidRPr="00AE4E8D" w:rsidRDefault="00E90931" w:rsidP="00E90931">
            <w:pPr>
              <w:rPr>
                <w:rFonts w:ascii="Times New Roman" w:hAnsi="Times New Roman"/>
                <w:sz w:val="16"/>
                <w:szCs w:val="16"/>
                <w:lang w:val="es-ES"/>
              </w:rPr>
            </w:pPr>
          </w:p>
        </w:tc>
        <w:tc>
          <w:tcPr>
            <w:tcW w:w="798" w:type="pct"/>
            <w:noWrap/>
            <w:vAlign w:val="bottom"/>
          </w:tcPr>
          <w:p w14:paraId="1D202DD4"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768ADFBA" w14:textId="77777777" w:rsidR="00E90931" w:rsidRPr="00AE4E8D" w:rsidRDefault="00E90931" w:rsidP="00E90931">
            <w:pPr>
              <w:rPr>
                <w:rFonts w:ascii="Times New Roman" w:hAnsi="Times New Roman"/>
                <w:sz w:val="16"/>
                <w:szCs w:val="16"/>
                <w:lang w:val="es-ES"/>
              </w:rPr>
            </w:pPr>
          </w:p>
        </w:tc>
        <w:tc>
          <w:tcPr>
            <w:tcW w:w="786" w:type="pct"/>
            <w:noWrap/>
            <w:vAlign w:val="bottom"/>
          </w:tcPr>
          <w:p w14:paraId="48B5C7E0" w14:textId="77777777" w:rsidR="00E90931" w:rsidRPr="00AE4E8D" w:rsidRDefault="00E90931" w:rsidP="00B52753">
            <w:pPr>
              <w:rPr>
                <w:rFonts w:ascii="Times New Roman" w:hAnsi="Times New Roman"/>
                <w:sz w:val="16"/>
                <w:szCs w:val="16"/>
                <w:lang w:val="es-ES"/>
              </w:rPr>
            </w:pPr>
          </w:p>
        </w:tc>
      </w:tr>
      <w:tr w:rsidR="00E90931" w:rsidRPr="00AE4E8D" w14:paraId="2BD58449" w14:textId="77777777" w:rsidTr="000400C8">
        <w:trPr>
          <w:trHeight w:val="255"/>
          <w:jc w:val="center"/>
        </w:trPr>
        <w:tc>
          <w:tcPr>
            <w:tcW w:w="2630" w:type="pct"/>
            <w:vAlign w:val="center"/>
            <w:hideMark/>
          </w:tcPr>
          <w:p w14:paraId="200B4997"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 xml:space="preserve">Total de </w:t>
            </w:r>
            <w:r w:rsidR="006D55C2" w:rsidRPr="00AE4E8D">
              <w:rPr>
                <w:rFonts w:ascii="Times New Roman" w:hAnsi="Times New Roman"/>
                <w:b/>
                <w:bCs/>
                <w:sz w:val="16"/>
                <w:szCs w:val="16"/>
                <w:lang w:val="es-ES"/>
              </w:rPr>
              <w:t>Títulos</w:t>
            </w:r>
            <w:r w:rsidRPr="00AE4E8D">
              <w:rPr>
                <w:rFonts w:ascii="Times New Roman" w:hAnsi="Times New Roman"/>
                <w:b/>
                <w:bCs/>
                <w:sz w:val="16"/>
                <w:szCs w:val="16"/>
                <w:lang w:val="es-ES"/>
              </w:rPr>
              <w:t xml:space="preserve"> Privados</w:t>
            </w:r>
          </w:p>
        </w:tc>
        <w:tc>
          <w:tcPr>
            <w:tcW w:w="798" w:type="pct"/>
            <w:tcBorders>
              <w:top w:val="single" w:sz="4" w:space="0" w:color="auto"/>
              <w:left w:val="nil"/>
              <w:bottom w:val="single" w:sz="4" w:space="0" w:color="auto"/>
              <w:right w:val="nil"/>
            </w:tcBorders>
            <w:noWrap/>
            <w:vAlign w:val="bottom"/>
            <w:hideMark/>
          </w:tcPr>
          <w:p w14:paraId="6C12E0AC" w14:textId="77777777" w:rsidR="00E90931" w:rsidRPr="00AE4E8D" w:rsidRDefault="00FA317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352.854 </w:t>
            </w:r>
          </w:p>
        </w:tc>
        <w:tc>
          <w:tcPr>
            <w:tcW w:w="786" w:type="pct"/>
            <w:tcBorders>
              <w:top w:val="single" w:sz="4" w:space="0" w:color="auto"/>
              <w:left w:val="nil"/>
              <w:bottom w:val="single" w:sz="4" w:space="0" w:color="auto"/>
              <w:right w:val="nil"/>
            </w:tcBorders>
            <w:noWrap/>
            <w:vAlign w:val="bottom"/>
            <w:hideMark/>
          </w:tcPr>
          <w:p w14:paraId="2B422261" w14:textId="77777777" w:rsidR="00E90931" w:rsidRPr="00AE4E8D" w:rsidRDefault="00FA317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590.328 </w:t>
            </w:r>
          </w:p>
        </w:tc>
        <w:tc>
          <w:tcPr>
            <w:tcW w:w="786" w:type="pct"/>
            <w:tcBorders>
              <w:top w:val="single" w:sz="4" w:space="0" w:color="auto"/>
              <w:left w:val="nil"/>
              <w:bottom w:val="single" w:sz="4" w:space="0" w:color="auto"/>
              <w:right w:val="nil"/>
            </w:tcBorders>
            <w:noWrap/>
            <w:vAlign w:val="bottom"/>
            <w:hideMark/>
          </w:tcPr>
          <w:p w14:paraId="232DB716" w14:textId="77777777" w:rsidR="00E90931" w:rsidRPr="00AE4E8D" w:rsidRDefault="00FA317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369.587 </w:t>
            </w:r>
          </w:p>
        </w:tc>
      </w:tr>
      <w:tr w:rsidR="00E90931" w:rsidRPr="00AE4E8D" w14:paraId="79D2BE4E" w14:textId="77777777" w:rsidTr="000400C8">
        <w:trPr>
          <w:trHeight w:val="255"/>
          <w:jc w:val="center"/>
        </w:trPr>
        <w:tc>
          <w:tcPr>
            <w:tcW w:w="2630" w:type="pct"/>
            <w:vAlign w:val="center"/>
          </w:tcPr>
          <w:p w14:paraId="3940AE53" w14:textId="77777777" w:rsidR="00E90931" w:rsidRPr="00AE4E8D" w:rsidRDefault="00E90931" w:rsidP="00E90931">
            <w:pPr>
              <w:rPr>
                <w:rFonts w:ascii="Times New Roman" w:hAnsi="Times New Roman"/>
                <w:sz w:val="16"/>
                <w:szCs w:val="16"/>
                <w:lang w:val="es-ES"/>
              </w:rPr>
            </w:pPr>
          </w:p>
        </w:tc>
        <w:tc>
          <w:tcPr>
            <w:tcW w:w="798" w:type="pct"/>
            <w:noWrap/>
            <w:vAlign w:val="bottom"/>
          </w:tcPr>
          <w:p w14:paraId="016C7CC6" w14:textId="77777777" w:rsidR="00E90931" w:rsidRPr="00AE4E8D" w:rsidRDefault="00E90931" w:rsidP="00E90931">
            <w:pPr>
              <w:jc w:val="right"/>
              <w:rPr>
                <w:rFonts w:ascii="Times New Roman" w:hAnsi="Times New Roman"/>
                <w:sz w:val="16"/>
                <w:szCs w:val="16"/>
                <w:lang w:val="es-ES"/>
              </w:rPr>
            </w:pPr>
          </w:p>
        </w:tc>
        <w:tc>
          <w:tcPr>
            <w:tcW w:w="786" w:type="pct"/>
            <w:noWrap/>
            <w:vAlign w:val="bottom"/>
          </w:tcPr>
          <w:p w14:paraId="39FB6A82" w14:textId="77777777" w:rsidR="00E90931" w:rsidRPr="00AE4E8D" w:rsidRDefault="00E90931" w:rsidP="00E90931">
            <w:pPr>
              <w:jc w:val="right"/>
              <w:rPr>
                <w:rFonts w:ascii="Times New Roman" w:hAnsi="Times New Roman"/>
                <w:sz w:val="16"/>
                <w:szCs w:val="16"/>
                <w:lang w:val="es-ES"/>
              </w:rPr>
            </w:pPr>
          </w:p>
        </w:tc>
        <w:tc>
          <w:tcPr>
            <w:tcW w:w="786" w:type="pct"/>
            <w:noWrap/>
            <w:vAlign w:val="bottom"/>
          </w:tcPr>
          <w:p w14:paraId="7D31C801" w14:textId="77777777" w:rsidR="00E90931" w:rsidRPr="00AE4E8D" w:rsidRDefault="00E90931" w:rsidP="00E90931">
            <w:pPr>
              <w:jc w:val="right"/>
              <w:rPr>
                <w:rFonts w:ascii="Times New Roman" w:hAnsi="Times New Roman"/>
                <w:sz w:val="16"/>
                <w:szCs w:val="16"/>
                <w:lang w:val="es-ES"/>
              </w:rPr>
            </w:pPr>
          </w:p>
        </w:tc>
      </w:tr>
      <w:tr w:rsidR="00E90931" w:rsidRPr="00AE4E8D" w14:paraId="5EA4F57C" w14:textId="77777777" w:rsidTr="000400C8">
        <w:trPr>
          <w:trHeight w:val="255"/>
          <w:jc w:val="center"/>
        </w:trPr>
        <w:tc>
          <w:tcPr>
            <w:tcW w:w="2630" w:type="pct"/>
            <w:vAlign w:val="center"/>
            <w:hideMark/>
          </w:tcPr>
          <w:p w14:paraId="24DB9E90"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Previsiones Totales</w:t>
            </w:r>
          </w:p>
        </w:tc>
        <w:tc>
          <w:tcPr>
            <w:tcW w:w="798" w:type="pct"/>
            <w:tcBorders>
              <w:top w:val="single" w:sz="4" w:space="0" w:color="auto"/>
              <w:left w:val="nil"/>
              <w:bottom w:val="single" w:sz="4" w:space="0" w:color="auto"/>
              <w:right w:val="nil"/>
            </w:tcBorders>
            <w:noWrap/>
            <w:vAlign w:val="bottom"/>
            <w:hideMark/>
          </w:tcPr>
          <w:p w14:paraId="185EC744" w14:textId="77777777" w:rsidR="00E90931" w:rsidRPr="00AE4E8D" w:rsidRDefault="00FA317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 (11.662)</w:t>
            </w:r>
          </w:p>
        </w:tc>
        <w:tc>
          <w:tcPr>
            <w:tcW w:w="786" w:type="pct"/>
            <w:tcBorders>
              <w:top w:val="single" w:sz="4" w:space="0" w:color="auto"/>
              <w:left w:val="nil"/>
              <w:bottom w:val="single" w:sz="4" w:space="0" w:color="auto"/>
              <w:right w:val="nil"/>
            </w:tcBorders>
            <w:noWrap/>
            <w:vAlign w:val="bottom"/>
            <w:hideMark/>
          </w:tcPr>
          <w:p w14:paraId="070F4416" w14:textId="77777777" w:rsidR="00E90931" w:rsidRPr="00AE4E8D" w:rsidRDefault="00FA317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 (7.121)</w:t>
            </w:r>
          </w:p>
        </w:tc>
        <w:tc>
          <w:tcPr>
            <w:tcW w:w="786" w:type="pct"/>
            <w:tcBorders>
              <w:top w:val="single" w:sz="4" w:space="0" w:color="auto"/>
              <w:left w:val="nil"/>
              <w:bottom w:val="single" w:sz="4" w:space="0" w:color="auto"/>
              <w:right w:val="nil"/>
            </w:tcBorders>
            <w:noWrap/>
            <w:vAlign w:val="bottom"/>
            <w:hideMark/>
          </w:tcPr>
          <w:p w14:paraId="6FB3C54C"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w:t>
            </w:r>
          </w:p>
        </w:tc>
      </w:tr>
      <w:tr w:rsidR="00E90931" w:rsidRPr="00AE4E8D" w14:paraId="3D608782" w14:textId="77777777" w:rsidTr="000400C8">
        <w:trPr>
          <w:trHeight w:val="255"/>
          <w:jc w:val="center"/>
        </w:trPr>
        <w:tc>
          <w:tcPr>
            <w:tcW w:w="2630" w:type="pct"/>
            <w:vAlign w:val="center"/>
          </w:tcPr>
          <w:p w14:paraId="796A8011" w14:textId="77777777" w:rsidR="00E90931" w:rsidRPr="00AE4E8D" w:rsidRDefault="00E90931" w:rsidP="00E90931">
            <w:pPr>
              <w:rPr>
                <w:rFonts w:ascii="Times New Roman" w:hAnsi="Times New Roman"/>
                <w:sz w:val="16"/>
                <w:szCs w:val="16"/>
                <w:lang w:val="es-ES"/>
              </w:rPr>
            </w:pPr>
          </w:p>
        </w:tc>
        <w:tc>
          <w:tcPr>
            <w:tcW w:w="798" w:type="pct"/>
            <w:noWrap/>
            <w:vAlign w:val="bottom"/>
          </w:tcPr>
          <w:p w14:paraId="05C00D35" w14:textId="77777777" w:rsidR="00E90931" w:rsidRPr="00AE4E8D" w:rsidRDefault="00E90931" w:rsidP="00E90931">
            <w:pPr>
              <w:jc w:val="right"/>
              <w:rPr>
                <w:rFonts w:ascii="Times New Roman" w:hAnsi="Times New Roman"/>
                <w:sz w:val="16"/>
                <w:szCs w:val="16"/>
                <w:lang w:val="es-ES"/>
              </w:rPr>
            </w:pPr>
          </w:p>
        </w:tc>
        <w:tc>
          <w:tcPr>
            <w:tcW w:w="786" w:type="pct"/>
            <w:noWrap/>
            <w:vAlign w:val="bottom"/>
          </w:tcPr>
          <w:p w14:paraId="33C755A3" w14:textId="77777777" w:rsidR="00E90931" w:rsidRPr="00AE4E8D" w:rsidRDefault="00E90931" w:rsidP="00E90931">
            <w:pPr>
              <w:jc w:val="right"/>
              <w:rPr>
                <w:rFonts w:ascii="Times New Roman" w:hAnsi="Times New Roman"/>
                <w:sz w:val="16"/>
                <w:szCs w:val="16"/>
                <w:lang w:val="es-ES"/>
              </w:rPr>
            </w:pPr>
          </w:p>
        </w:tc>
        <w:tc>
          <w:tcPr>
            <w:tcW w:w="786" w:type="pct"/>
            <w:noWrap/>
            <w:vAlign w:val="bottom"/>
          </w:tcPr>
          <w:p w14:paraId="012D2E94" w14:textId="77777777" w:rsidR="00E90931" w:rsidRPr="00AE4E8D" w:rsidRDefault="00E90931" w:rsidP="00E90931">
            <w:pPr>
              <w:jc w:val="right"/>
              <w:rPr>
                <w:rFonts w:ascii="Times New Roman" w:hAnsi="Times New Roman"/>
                <w:sz w:val="16"/>
                <w:szCs w:val="16"/>
                <w:lang w:val="es-ES"/>
              </w:rPr>
            </w:pPr>
          </w:p>
        </w:tc>
      </w:tr>
      <w:tr w:rsidR="00E90931" w:rsidRPr="00AE4E8D" w14:paraId="3DB96DF2" w14:textId="77777777" w:rsidTr="000400C8">
        <w:trPr>
          <w:trHeight w:val="255"/>
          <w:jc w:val="center"/>
        </w:trPr>
        <w:tc>
          <w:tcPr>
            <w:tcW w:w="2630" w:type="pct"/>
            <w:tcBorders>
              <w:top w:val="single" w:sz="4" w:space="0" w:color="auto"/>
              <w:left w:val="nil"/>
              <w:bottom w:val="single" w:sz="4" w:space="0" w:color="auto"/>
              <w:right w:val="nil"/>
            </w:tcBorders>
            <w:vAlign w:val="center"/>
            <w:hideMark/>
          </w:tcPr>
          <w:p w14:paraId="3B3B525B"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Total Títulos Públicos y Privados</w:t>
            </w:r>
          </w:p>
        </w:tc>
        <w:tc>
          <w:tcPr>
            <w:tcW w:w="798" w:type="pct"/>
            <w:tcBorders>
              <w:top w:val="single" w:sz="4" w:space="0" w:color="auto"/>
              <w:left w:val="nil"/>
              <w:bottom w:val="single" w:sz="4" w:space="0" w:color="auto"/>
              <w:right w:val="nil"/>
            </w:tcBorders>
            <w:noWrap/>
            <w:vAlign w:val="bottom"/>
            <w:hideMark/>
          </w:tcPr>
          <w:p w14:paraId="6DD340FA" w14:textId="77777777" w:rsidR="00E90931" w:rsidRPr="00AE4E8D" w:rsidRDefault="00EB3492"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4.997.612 </w:t>
            </w:r>
          </w:p>
        </w:tc>
        <w:tc>
          <w:tcPr>
            <w:tcW w:w="786" w:type="pct"/>
            <w:tcBorders>
              <w:top w:val="single" w:sz="4" w:space="0" w:color="auto"/>
              <w:left w:val="nil"/>
              <w:bottom w:val="single" w:sz="4" w:space="0" w:color="auto"/>
              <w:right w:val="nil"/>
            </w:tcBorders>
            <w:noWrap/>
            <w:vAlign w:val="bottom"/>
            <w:hideMark/>
          </w:tcPr>
          <w:p w14:paraId="5C70A171" w14:textId="77777777" w:rsidR="00E90931" w:rsidRPr="00AE4E8D" w:rsidRDefault="00EB3492" w:rsidP="00E90931">
            <w:pPr>
              <w:jc w:val="right"/>
              <w:rPr>
                <w:rFonts w:ascii="Times New Roman" w:hAnsi="Times New Roman"/>
                <w:b/>
                <w:bCs/>
                <w:sz w:val="16"/>
                <w:szCs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 xml:space="preserve">5.446.262 </w:t>
            </w:r>
          </w:p>
        </w:tc>
        <w:tc>
          <w:tcPr>
            <w:tcW w:w="786" w:type="pct"/>
            <w:tcBorders>
              <w:top w:val="single" w:sz="4" w:space="0" w:color="auto"/>
              <w:left w:val="nil"/>
              <w:bottom w:val="single" w:sz="4" w:space="0" w:color="auto"/>
              <w:right w:val="nil"/>
            </w:tcBorders>
            <w:noWrap/>
            <w:vAlign w:val="bottom"/>
            <w:hideMark/>
          </w:tcPr>
          <w:p w14:paraId="67EE582C" w14:textId="77777777" w:rsidR="00E90931" w:rsidRPr="00AE4E8D" w:rsidRDefault="00EB3492"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 xml:space="preserve">     </w:t>
            </w:r>
            <w:r w:rsidR="00E90931" w:rsidRPr="00AE4E8D">
              <w:rPr>
                <w:rFonts w:ascii="Times New Roman" w:hAnsi="Times New Roman"/>
                <w:b/>
                <w:bCs/>
                <w:sz w:val="16"/>
                <w:szCs w:val="16"/>
                <w:lang w:val="es-ES"/>
              </w:rPr>
              <w:t xml:space="preserve">4.518.035 </w:t>
            </w:r>
          </w:p>
        </w:tc>
      </w:tr>
    </w:tbl>
    <w:p w14:paraId="0DBBAE37" w14:textId="77777777" w:rsidR="002E1264" w:rsidRPr="00AE4E8D" w:rsidRDefault="002E1264" w:rsidP="00E90931">
      <w:pPr>
        <w:autoSpaceDE w:val="0"/>
        <w:autoSpaceDN w:val="0"/>
        <w:adjustRightInd w:val="0"/>
        <w:spacing w:before="120" w:after="120"/>
        <w:jc w:val="both"/>
        <w:rPr>
          <w:rFonts w:ascii="Times New Roman" w:hAnsi="Times New Roman"/>
          <w:w w:val="1"/>
          <w:highlight w:val="cyan"/>
          <w:lang w:val="es-ES" w:eastAsia="es-AR"/>
        </w:rPr>
      </w:pPr>
      <w:bookmarkStart w:id="322" w:name="_Toc421201365"/>
    </w:p>
    <w:p w14:paraId="74172A87" w14:textId="77777777" w:rsidR="002E1264" w:rsidRPr="00AE4E8D" w:rsidRDefault="002E1264" w:rsidP="00E90931">
      <w:pPr>
        <w:autoSpaceDE w:val="0"/>
        <w:autoSpaceDN w:val="0"/>
        <w:adjustRightInd w:val="0"/>
        <w:spacing w:before="120" w:after="120"/>
        <w:jc w:val="both"/>
        <w:rPr>
          <w:rFonts w:ascii="Times New Roman" w:hAnsi="Times New Roman"/>
          <w:w w:val="1"/>
          <w:highlight w:val="cyan"/>
          <w:lang w:val="es-ES" w:eastAsia="es-AR"/>
        </w:rPr>
      </w:pPr>
    </w:p>
    <w:p w14:paraId="37C75FE0" w14:textId="77777777" w:rsidR="002E1264" w:rsidRPr="00AE4E8D" w:rsidRDefault="002E1264" w:rsidP="00E90931">
      <w:pPr>
        <w:autoSpaceDE w:val="0"/>
        <w:autoSpaceDN w:val="0"/>
        <w:adjustRightInd w:val="0"/>
        <w:spacing w:before="120" w:after="120"/>
        <w:jc w:val="both"/>
        <w:rPr>
          <w:rFonts w:ascii="Times New Roman" w:hAnsi="Times New Roman"/>
          <w:w w:val="1"/>
          <w:highlight w:val="cyan"/>
          <w:lang w:val="es-ES" w:eastAsia="es-AR"/>
        </w:rPr>
      </w:pPr>
    </w:p>
    <w:p w14:paraId="76B5DE54" w14:textId="77777777" w:rsidR="002E1264" w:rsidRPr="00AE4E8D" w:rsidRDefault="002E1264" w:rsidP="002E1264">
      <w:pPr>
        <w:keepNext/>
        <w:autoSpaceDE w:val="0"/>
        <w:autoSpaceDN w:val="0"/>
        <w:adjustRightInd w:val="0"/>
        <w:spacing w:before="240" w:after="240"/>
        <w:outlineLvl w:val="2"/>
        <w:rPr>
          <w:rFonts w:ascii="Times New Roman" w:hAnsi="Times New Roman"/>
          <w:b/>
          <w:lang w:val="es-ES"/>
        </w:rPr>
      </w:pPr>
      <w:r w:rsidRPr="00AE4E8D">
        <w:rPr>
          <w:rFonts w:ascii="Times New Roman" w:hAnsi="Times New Roman"/>
          <w:b/>
          <w:lang w:val="es-ES"/>
        </w:rPr>
        <w:lastRenderedPageBreak/>
        <w:t>Análisis de Vencimiento</w:t>
      </w:r>
      <w:bookmarkEnd w:id="322"/>
    </w:p>
    <w:p w14:paraId="3A1F2112" w14:textId="77777777" w:rsidR="002E1264" w:rsidRPr="00AE4E8D" w:rsidRDefault="002E1264" w:rsidP="00B52753">
      <w:pPr>
        <w:keepNext/>
        <w:autoSpaceDE w:val="0"/>
        <w:autoSpaceDN w:val="0"/>
        <w:adjustRightInd w:val="0"/>
        <w:spacing w:before="240" w:after="240"/>
        <w:outlineLvl w:val="2"/>
        <w:rPr>
          <w:rFonts w:ascii="Times New Roman" w:hAnsi="Times New Roman"/>
          <w:lang w:val="es-ES"/>
        </w:rPr>
      </w:pPr>
      <w:r w:rsidRPr="00AE4E8D">
        <w:rPr>
          <w:rFonts w:ascii="Times New Roman" w:hAnsi="Times New Roman"/>
          <w:lang w:val="es-ES"/>
        </w:rPr>
        <w:t xml:space="preserve">El cuadro que se incluye a continuación analiza los vencimientos pendientes y los rendimientos promedio ponderados, según corresponda, de nuestra cartera de inversiones al 31 de diciembre de </w:t>
      </w:r>
      <w:r w:rsidRPr="00AE4E8D">
        <w:rPr>
          <w:rFonts w:ascii="Times New Roman" w:hAnsi="Times New Roman"/>
          <w:lang w:val="es-ES" w:eastAsia="es-AR"/>
        </w:rPr>
        <w:t>2016</w:t>
      </w:r>
      <w:r w:rsidRPr="00AE4E8D">
        <w:rPr>
          <w:rFonts w:ascii="Times New Roman" w:hAnsi="Times New Roman"/>
          <w:lang w:val="es-ES"/>
        </w:rPr>
        <w:t>.</w:t>
      </w:r>
    </w:p>
    <w:tbl>
      <w:tblPr>
        <w:tblW w:w="5000" w:type="pct"/>
        <w:jc w:val="center"/>
        <w:tblLook w:val="00A0" w:firstRow="1" w:lastRow="0" w:firstColumn="1" w:lastColumn="0" w:noHBand="0" w:noVBand="0"/>
      </w:tblPr>
      <w:tblGrid>
        <w:gridCol w:w="1383"/>
        <w:gridCol w:w="1238"/>
        <w:gridCol w:w="1220"/>
        <w:gridCol w:w="390"/>
        <w:gridCol w:w="1237"/>
        <w:gridCol w:w="1012"/>
        <w:gridCol w:w="392"/>
        <w:gridCol w:w="1209"/>
        <w:gridCol w:w="1012"/>
        <w:gridCol w:w="392"/>
        <w:gridCol w:w="1163"/>
        <w:gridCol w:w="1012"/>
        <w:gridCol w:w="392"/>
        <w:gridCol w:w="1163"/>
        <w:gridCol w:w="1004"/>
      </w:tblGrid>
      <w:tr w:rsidR="00E90931" w:rsidRPr="00AE4E8D" w14:paraId="7BF76CEB" w14:textId="77777777" w:rsidTr="000400C8">
        <w:trPr>
          <w:trHeight w:val="255"/>
          <w:jc w:val="center"/>
        </w:trPr>
        <w:tc>
          <w:tcPr>
            <w:tcW w:w="486" w:type="pct"/>
            <w:vAlign w:val="center"/>
          </w:tcPr>
          <w:p w14:paraId="57448063" w14:textId="77777777" w:rsidR="00E90931" w:rsidRPr="00AE4E8D" w:rsidRDefault="00E90931" w:rsidP="00E90931">
            <w:pPr>
              <w:rPr>
                <w:rFonts w:ascii="Times New Roman" w:hAnsi="Times New Roman"/>
                <w:b/>
                <w:bCs/>
                <w:sz w:val="14"/>
                <w:szCs w:val="14"/>
                <w:lang w:val="es-ES"/>
              </w:rPr>
            </w:pPr>
          </w:p>
        </w:tc>
        <w:tc>
          <w:tcPr>
            <w:tcW w:w="435" w:type="pct"/>
            <w:noWrap/>
            <w:vAlign w:val="bottom"/>
          </w:tcPr>
          <w:p w14:paraId="79FE2F6D" w14:textId="77777777" w:rsidR="00E90931" w:rsidRPr="00AE4E8D" w:rsidRDefault="00E90931" w:rsidP="00E90931">
            <w:pPr>
              <w:rPr>
                <w:rFonts w:ascii="Times New Roman" w:hAnsi="Times New Roman"/>
                <w:b/>
                <w:bCs/>
                <w:sz w:val="14"/>
                <w:szCs w:val="14"/>
                <w:lang w:val="es-ES"/>
              </w:rPr>
            </w:pPr>
          </w:p>
        </w:tc>
        <w:tc>
          <w:tcPr>
            <w:tcW w:w="429" w:type="pct"/>
            <w:noWrap/>
            <w:vAlign w:val="bottom"/>
          </w:tcPr>
          <w:p w14:paraId="276E6428" w14:textId="77777777" w:rsidR="00E90931" w:rsidRPr="00AE4E8D" w:rsidRDefault="00E90931" w:rsidP="00E90931">
            <w:pPr>
              <w:rPr>
                <w:rFonts w:ascii="Times New Roman" w:hAnsi="Times New Roman"/>
                <w:b/>
                <w:bCs/>
                <w:sz w:val="14"/>
                <w:szCs w:val="14"/>
                <w:lang w:val="es-ES"/>
              </w:rPr>
            </w:pPr>
          </w:p>
        </w:tc>
        <w:tc>
          <w:tcPr>
            <w:tcW w:w="137" w:type="pct"/>
            <w:noWrap/>
            <w:vAlign w:val="bottom"/>
          </w:tcPr>
          <w:p w14:paraId="51051A3D" w14:textId="77777777" w:rsidR="00E90931" w:rsidRPr="00AE4E8D" w:rsidRDefault="00E90931" w:rsidP="00E90931">
            <w:pPr>
              <w:rPr>
                <w:rFonts w:ascii="Times New Roman" w:hAnsi="Times New Roman"/>
                <w:b/>
                <w:bCs/>
                <w:sz w:val="14"/>
                <w:szCs w:val="14"/>
                <w:lang w:val="es-ES"/>
              </w:rPr>
            </w:pPr>
          </w:p>
        </w:tc>
        <w:tc>
          <w:tcPr>
            <w:tcW w:w="3512" w:type="pct"/>
            <w:gridSpan w:val="11"/>
            <w:tcBorders>
              <w:top w:val="nil"/>
              <w:left w:val="nil"/>
              <w:bottom w:val="single" w:sz="4" w:space="0" w:color="auto"/>
              <w:right w:val="nil"/>
            </w:tcBorders>
            <w:noWrap/>
            <w:vAlign w:val="bottom"/>
            <w:hideMark/>
          </w:tcPr>
          <w:p w14:paraId="4BCC697B"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Vencimiento </w:t>
            </w:r>
          </w:p>
        </w:tc>
      </w:tr>
      <w:tr w:rsidR="003B5193" w:rsidRPr="00AE4E8D" w14:paraId="0F1F8469" w14:textId="77777777" w:rsidTr="00091EF5">
        <w:trPr>
          <w:trHeight w:val="255"/>
          <w:jc w:val="center"/>
        </w:trPr>
        <w:tc>
          <w:tcPr>
            <w:tcW w:w="486" w:type="pct"/>
            <w:vAlign w:val="center"/>
          </w:tcPr>
          <w:p w14:paraId="5E1A8062" w14:textId="77777777" w:rsidR="00E90931" w:rsidRPr="00AE4E8D" w:rsidRDefault="00E90931" w:rsidP="00E90931">
            <w:pPr>
              <w:rPr>
                <w:rFonts w:ascii="Times New Roman" w:hAnsi="Times New Roman"/>
                <w:b/>
                <w:bCs/>
                <w:sz w:val="14"/>
                <w:szCs w:val="14"/>
                <w:lang w:val="es-ES"/>
              </w:rPr>
            </w:pPr>
          </w:p>
        </w:tc>
        <w:tc>
          <w:tcPr>
            <w:tcW w:w="864" w:type="pct"/>
            <w:gridSpan w:val="2"/>
            <w:vMerge w:val="restart"/>
            <w:noWrap/>
            <w:vAlign w:val="center"/>
            <w:hideMark/>
          </w:tcPr>
          <w:p w14:paraId="39BC2A1C"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31 de diciembre de 2016</w:t>
            </w:r>
          </w:p>
        </w:tc>
        <w:tc>
          <w:tcPr>
            <w:tcW w:w="137" w:type="pct"/>
            <w:noWrap/>
            <w:vAlign w:val="bottom"/>
          </w:tcPr>
          <w:p w14:paraId="02A84D57" w14:textId="77777777" w:rsidR="00E90931" w:rsidRPr="00AE4E8D" w:rsidRDefault="00E90931" w:rsidP="00E90931">
            <w:pPr>
              <w:rPr>
                <w:rFonts w:ascii="Times New Roman" w:hAnsi="Times New Roman"/>
                <w:b/>
                <w:bCs/>
                <w:sz w:val="14"/>
                <w:szCs w:val="14"/>
                <w:lang w:val="es-ES"/>
              </w:rPr>
            </w:pPr>
          </w:p>
        </w:tc>
        <w:tc>
          <w:tcPr>
            <w:tcW w:w="791" w:type="pct"/>
            <w:gridSpan w:val="2"/>
            <w:vMerge w:val="restart"/>
            <w:tcBorders>
              <w:top w:val="single" w:sz="4" w:space="0" w:color="auto"/>
              <w:left w:val="nil"/>
              <w:bottom w:val="nil"/>
              <w:right w:val="nil"/>
            </w:tcBorders>
            <w:noWrap/>
            <w:vAlign w:val="center"/>
            <w:hideMark/>
          </w:tcPr>
          <w:p w14:paraId="0DABBBEE"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En el plazo de 1 año </w:t>
            </w:r>
          </w:p>
        </w:tc>
        <w:tc>
          <w:tcPr>
            <w:tcW w:w="138" w:type="pct"/>
            <w:noWrap/>
            <w:vAlign w:val="bottom"/>
          </w:tcPr>
          <w:p w14:paraId="10554B38" w14:textId="77777777" w:rsidR="00E90931" w:rsidRPr="00AE4E8D" w:rsidRDefault="00E90931" w:rsidP="00E90931">
            <w:pPr>
              <w:rPr>
                <w:rFonts w:ascii="Times New Roman" w:hAnsi="Times New Roman"/>
                <w:b/>
                <w:bCs/>
                <w:sz w:val="14"/>
                <w:szCs w:val="14"/>
                <w:lang w:val="es-ES"/>
              </w:rPr>
            </w:pPr>
          </w:p>
        </w:tc>
        <w:tc>
          <w:tcPr>
            <w:tcW w:w="781" w:type="pct"/>
            <w:gridSpan w:val="2"/>
            <w:vMerge w:val="restart"/>
            <w:tcBorders>
              <w:top w:val="single" w:sz="4" w:space="0" w:color="auto"/>
              <w:left w:val="nil"/>
              <w:bottom w:val="nil"/>
              <w:right w:val="nil"/>
            </w:tcBorders>
            <w:vAlign w:val="center"/>
            <w:hideMark/>
          </w:tcPr>
          <w:p w14:paraId="33335ED7"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Después de 1 año pero dentro de un plazo de 5 años </w:t>
            </w:r>
          </w:p>
        </w:tc>
        <w:tc>
          <w:tcPr>
            <w:tcW w:w="138" w:type="pct"/>
            <w:noWrap/>
            <w:vAlign w:val="bottom"/>
          </w:tcPr>
          <w:p w14:paraId="54CA1A1F" w14:textId="77777777" w:rsidR="00E90931" w:rsidRPr="00AE4E8D" w:rsidRDefault="00E90931" w:rsidP="00E90931">
            <w:pPr>
              <w:rPr>
                <w:rFonts w:ascii="Times New Roman" w:hAnsi="Times New Roman"/>
                <w:b/>
                <w:bCs/>
                <w:sz w:val="14"/>
                <w:szCs w:val="14"/>
                <w:lang w:val="es-ES"/>
              </w:rPr>
            </w:pPr>
          </w:p>
        </w:tc>
        <w:tc>
          <w:tcPr>
            <w:tcW w:w="765" w:type="pct"/>
            <w:gridSpan w:val="2"/>
            <w:vMerge w:val="restart"/>
            <w:tcBorders>
              <w:top w:val="single" w:sz="4" w:space="0" w:color="auto"/>
              <w:left w:val="nil"/>
              <w:bottom w:val="nil"/>
              <w:right w:val="nil"/>
            </w:tcBorders>
            <w:vAlign w:val="center"/>
            <w:hideMark/>
          </w:tcPr>
          <w:p w14:paraId="6859040E"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Después de 5 año pero dentro de un plazo de 10 años </w:t>
            </w:r>
          </w:p>
        </w:tc>
        <w:tc>
          <w:tcPr>
            <w:tcW w:w="138" w:type="pct"/>
            <w:noWrap/>
            <w:vAlign w:val="bottom"/>
          </w:tcPr>
          <w:p w14:paraId="39FD8366" w14:textId="77777777" w:rsidR="00E90931" w:rsidRPr="00AE4E8D" w:rsidRDefault="00E90931" w:rsidP="00E90931">
            <w:pPr>
              <w:rPr>
                <w:rFonts w:ascii="Times New Roman" w:hAnsi="Times New Roman"/>
                <w:b/>
                <w:bCs/>
                <w:sz w:val="14"/>
                <w:szCs w:val="14"/>
                <w:lang w:val="es-ES"/>
              </w:rPr>
            </w:pPr>
          </w:p>
        </w:tc>
        <w:tc>
          <w:tcPr>
            <w:tcW w:w="762" w:type="pct"/>
            <w:gridSpan w:val="2"/>
            <w:vMerge w:val="restart"/>
            <w:tcBorders>
              <w:top w:val="single" w:sz="4" w:space="0" w:color="auto"/>
              <w:left w:val="nil"/>
              <w:bottom w:val="nil"/>
              <w:right w:val="nil"/>
            </w:tcBorders>
            <w:vAlign w:val="center"/>
            <w:hideMark/>
          </w:tcPr>
          <w:p w14:paraId="4DA6B2A0"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Después 10 años </w:t>
            </w:r>
          </w:p>
        </w:tc>
      </w:tr>
      <w:tr w:rsidR="003B5193" w:rsidRPr="00AE4E8D" w14:paraId="3FAEBE56" w14:textId="77777777" w:rsidTr="00091EF5">
        <w:trPr>
          <w:trHeight w:val="255"/>
          <w:jc w:val="center"/>
        </w:trPr>
        <w:tc>
          <w:tcPr>
            <w:tcW w:w="486" w:type="pct"/>
            <w:vAlign w:val="center"/>
          </w:tcPr>
          <w:p w14:paraId="47277348" w14:textId="77777777" w:rsidR="00E90931" w:rsidRPr="00AE4E8D" w:rsidRDefault="00E90931" w:rsidP="00E90931">
            <w:pPr>
              <w:rPr>
                <w:rFonts w:ascii="Times New Roman" w:hAnsi="Times New Roman"/>
                <w:b/>
                <w:bCs/>
                <w:sz w:val="14"/>
                <w:szCs w:val="14"/>
                <w:lang w:val="es-ES"/>
              </w:rPr>
            </w:pPr>
          </w:p>
        </w:tc>
        <w:tc>
          <w:tcPr>
            <w:tcW w:w="864" w:type="pct"/>
            <w:gridSpan w:val="2"/>
            <w:vMerge/>
            <w:vAlign w:val="center"/>
            <w:hideMark/>
          </w:tcPr>
          <w:p w14:paraId="4F7E6167" w14:textId="77777777" w:rsidR="00E90931" w:rsidRPr="00AE4E8D" w:rsidRDefault="00E90931" w:rsidP="00E90931">
            <w:pPr>
              <w:rPr>
                <w:rFonts w:ascii="Times New Roman" w:hAnsi="Times New Roman"/>
                <w:b/>
                <w:bCs/>
                <w:sz w:val="14"/>
                <w:szCs w:val="14"/>
                <w:lang w:val="es-ES"/>
              </w:rPr>
            </w:pPr>
          </w:p>
        </w:tc>
        <w:tc>
          <w:tcPr>
            <w:tcW w:w="137" w:type="pct"/>
            <w:noWrap/>
            <w:vAlign w:val="bottom"/>
          </w:tcPr>
          <w:p w14:paraId="3E6B9ADD" w14:textId="77777777" w:rsidR="00E90931" w:rsidRPr="00AE4E8D" w:rsidRDefault="00E90931" w:rsidP="00E90931">
            <w:pPr>
              <w:rPr>
                <w:rFonts w:ascii="Times New Roman" w:hAnsi="Times New Roman"/>
                <w:b/>
                <w:bCs/>
                <w:sz w:val="14"/>
                <w:szCs w:val="14"/>
                <w:lang w:val="es-ES"/>
              </w:rPr>
            </w:pPr>
          </w:p>
        </w:tc>
        <w:tc>
          <w:tcPr>
            <w:tcW w:w="791" w:type="pct"/>
            <w:gridSpan w:val="2"/>
            <w:vMerge/>
            <w:tcBorders>
              <w:top w:val="single" w:sz="4" w:space="0" w:color="auto"/>
              <w:left w:val="nil"/>
              <w:bottom w:val="nil"/>
              <w:right w:val="nil"/>
            </w:tcBorders>
            <w:vAlign w:val="center"/>
            <w:hideMark/>
          </w:tcPr>
          <w:p w14:paraId="4120E016" w14:textId="77777777" w:rsidR="00E90931" w:rsidRPr="00AE4E8D" w:rsidRDefault="00E90931" w:rsidP="00E90931">
            <w:pPr>
              <w:rPr>
                <w:rFonts w:ascii="Times New Roman" w:hAnsi="Times New Roman"/>
                <w:b/>
                <w:sz w:val="14"/>
                <w:lang w:val="es-ES"/>
              </w:rPr>
            </w:pPr>
          </w:p>
        </w:tc>
        <w:tc>
          <w:tcPr>
            <w:tcW w:w="138" w:type="pct"/>
            <w:noWrap/>
            <w:vAlign w:val="bottom"/>
          </w:tcPr>
          <w:p w14:paraId="254170A1" w14:textId="77777777" w:rsidR="00E90931" w:rsidRPr="00AE4E8D" w:rsidRDefault="00E90931" w:rsidP="00E90931">
            <w:pPr>
              <w:rPr>
                <w:rFonts w:ascii="Times New Roman" w:hAnsi="Times New Roman"/>
                <w:b/>
                <w:bCs/>
                <w:sz w:val="14"/>
                <w:szCs w:val="14"/>
                <w:u w:val="single"/>
                <w:lang w:val="es-ES"/>
              </w:rPr>
            </w:pPr>
          </w:p>
        </w:tc>
        <w:tc>
          <w:tcPr>
            <w:tcW w:w="781" w:type="pct"/>
            <w:gridSpan w:val="2"/>
            <w:vMerge/>
            <w:tcBorders>
              <w:top w:val="single" w:sz="4" w:space="0" w:color="auto"/>
              <w:left w:val="nil"/>
              <w:bottom w:val="nil"/>
              <w:right w:val="nil"/>
            </w:tcBorders>
            <w:vAlign w:val="center"/>
            <w:hideMark/>
          </w:tcPr>
          <w:p w14:paraId="5A8A92A6" w14:textId="77777777" w:rsidR="00E90931" w:rsidRPr="00AE4E8D" w:rsidRDefault="00E90931" w:rsidP="00E90931">
            <w:pPr>
              <w:rPr>
                <w:rFonts w:ascii="Times New Roman" w:hAnsi="Times New Roman"/>
                <w:b/>
                <w:sz w:val="14"/>
                <w:lang w:val="es-ES"/>
              </w:rPr>
            </w:pPr>
          </w:p>
        </w:tc>
        <w:tc>
          <w:tcPr>
            <w:tcW w:w="138" w:type="pct"/>
            <w:noWrap/>
            <w:vAlign w:val="bottom"/>
          </w:tcPr>
          <w:p w14:paraId="1128D30F" w14:textId="77777777" w:rsidR="00E90931" w:rsidRPr="00AE4E8D" w:rsidRDefault="00E90931" w:rsidP="00E90931">
            <w:pPr>
              <w:rPr>
                <w:rFonts w:ascii="Times New Roman" w:hAnsi="Times New Roman"/>
                <w:b/>
                <w:bCs/>
                <w:sz w:val="14"/>
                <w:szCs w:val="14"/>
                <w:lang w:val="es-ES"/>
              </w:rPr>
            </w:pPr>
          </w:p>
        </w:tc>
        <w:tc>
          <w:tcPr>
            <w:tcW w:w="765" w:type="pct"/>
            <w:gridSpan w:val="2"/>
            <w:vMerge/>
            <w:tcBorders>
              <w:top w:val="single" w:sz="4" w:space="0" w:color="auto"/>
              <w:left w:val="nil"/>
              <w:bottom w:val="nil"/>
              <w:right w:val="nil"/>
            </w:tcBorders>
            <w:vAlign w:val="center"/>
            <w:hideMark/>
          </w:tcPr>
          <w:p w14:paraId="66359760" w14:textId="77777777" w:rsidR="00E90931" w:rsidRPr="00AE4E8D" w:rsidRDefault="00E90931" w:rsidP="00E90931">
            <w:pPr>
              <w:rPr>
                <w:rFonts w:ascii="Times New Roman" w:hAnsi="Times New Roman"/>
                <w:b/>
                <w:sz w:val="14"/>
                <w:lang w:val="es-ES"/>
              </w:rPr>
            </w:pPr>
          </w:p>
        </w:tc>
        <w:tc>
          <w:tcPr>
            <w:tcW w:w="138" w:type="pct"/>
            <w:noWrap/>
            <w:vAlign w:val="bottom"/>
          </w:tcPr>
          <w:p w14:paraId="30FD2F2B" w14:textId="77777777" w:rsidR="00E90931" w:rsidRPr="00AE4E8D" w:rsidRDefault="00E90931" w:rsidP="00E90931">
            <w:pPr>
              <w:rPr>
                <w:rFonts w:ascii="Times New Roman" w:hAnsi="Times New Roman"/>
                <w:b/>
                <w:bCs/>
                <w:sz w:val="14"/>
                <w:szCs w:val="14"/>
                <w:lang w:val="es-ES"/>
              </w:rPr>
            </w:pPr>
          </w:p>
        </w:tc>
        <w:tc>
          <w:tcPr>
            <w:tcW w:w="762" w:type="pct"/>
            <w:gridSpan w:val="2"/>
            <w:vMerge/>
            <w:tcBorders>
              <w:top w:val="single" w:sz="4" w:space="0" w:color="auto"/>
              <w:left w:val="nil"/>
              <w:bottom w:val="nil"/>
              <w:right w:val="nil"/>
            </w:tcBorders>
            <w:vAlign w:val="center"/>
            <w:hideMark/>
          </w:tcPr>
          <w:p w14:paraId="7C0750AC" w14:textId="77777777" w:rsidR="00E90931" w:rsidRPr="00AE4E8D" w:rsidRDefault="00E90931" w:rsidP="00E90931">
            <w:pPr>
              <w:rPr>
                <w:rFonts w:ascii="Times New Roman" w:hAnsi="Times New Roman"/>
                <w:b/>
                <w:bCs/>
                <w:sz w:val="14"/>
                <w:szCs w:val="14"/>
                <w:lang w:val="es-ES"/>
              </w:rPr>
            </w:pPr>
          </w:p>
        </w:tc>
      </w:tr>
      <w:tr w:rsidR="003B5193" w:rsidRPr="00AE4E8D" w14:paraId="4BED5EE8" w14:textId="77777777" w:rsidTr="00091EF5">
        <w:trPr>
          <w:trHeight w:val="255"/>
          <w:jc w:val="center"/>
        </w:trPr>
        <w:tc>
          <w:tcPr>
            <w:tcW w:w="486" w:type="pct"/>
            <w:vAlign w:val="center"/>
          </w:tcPr>
          <w:p w14:paraId="2DC8B9CB" w14:textId="77777777" w:rsidR="00E90931" w:rsidRPr="00AE4E8D" w:rsidRDefault="00E90931" w:rsidP="00E90931">
            <w:pPr>
              <w:rPr>
                <w:rFonts w:ascii="Times New Roman" w:hAnsi="Times New Roman"/>
                <w:b/>
                <w:bCs/>
                <w:sz w:val="14"/>
                <w:szCs w:val="14"/>
                <w:lang w:val="es-ES"/>
              </w:rPr>
            </w:pPr>
          </w:p>
        </w:tc>
        <w:tc>
          <w:tcPr>
            <w:tcW w:w="435" w:type="pct"/>
            <w:vMerge w:val="restart"/>
            <w:tcBorders>
              <w:top w:val="nil"/>
              <w:left w:val="nil"/>
              <w:bottom w:val="single" w:sz="4" w:space="0" w:color="000000"/>
              <w:right w:val="nil"/>
            </w:tcBorders>
            <w:vAlign w:val="bottom"/>
            <w:hideMark/>
          </w:tcPr>
          <w:p w14:paraId="088C5E57"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Valor Libros </w:t>
            </w:r>
          </w:p>
        </w:tc>
        <w:tc>
          <w:tcPr>
            <w:tcW w:w="429" w:type="pct"/>
            <w:vMerge w:val="restart"/>
            <w:tcBorders>
              <w:top w:val="nil"/>
              <w:left w:val="nil"/>
              <w:bottom w:val="single" w:sz="4" w:space="0" w:color="000000"/>
              <w:right w:val="nil"/>
            </w:tcBorders>
            <w:vAlign w:val="center"/>
            <w:hideMark/>
          </w:tcPr>
          <w:p w14:paraId="0C0BEEEC"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Tasa de Interés Nominal (1)</w:t>
            </w:r>
          </w:p>
        </w:tc>
        <w:tc>
          <w:tcPr>
            <w:tcW w:w="137" w:type="pct"/>
            <w:noWrap/>
            <w:vAlign w:val="bottom"/>
          </w:tcPr>
          <w:p w14:paraId="40D999DE" w14:textId="77777777" w:rsidR="00E90931" w:rsidRPr="00AE4E8D" w:rsidRDefault="00E90931" w:rsidP="00E90931">
            <w:pPr>
              <w:jc w:val="center"/>
              <w:rPr>
                <w:rFonts w:ascii="Times New Roman" w:hAnsi="Times New Roman"/>
                <w:b/>
                <w:bCs/>
                <w:sz w:val="14"/>
                <w:szCs w:val="14"/>
                <w:lang w:val="es-ES"/>
              </w:rPr>
            </w:pPr>
          </w:p>
        </w:tc>
        <w:tc>
          <w:tcPr>
            <w:tcW w:w="435" w:type="pct"/>
            <w:vMerge w:val="restart"/>
            <w:tcBorders>
              <w:top w:val="nil"/>
              <w:left w:val="nil"/>
              <w:bottom w:val="single" w:sz="4" w:space="0" w:color="000000"/>
              <w:right w:val="nil"/>
            </w:tcBorders>
            <w:vAlign w:val="bottom"/>
            <w:hideMark/>
          </w:tcPr>
          <w:p w14:paraId="76F0B415"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Valor Libros </w:t>
            </w:r>
          </w:p>
        </w:tc>
        <w:tc>
          <w:tcPr>
            <w:tcW w:w="356" w:type="pct"/>
            <w:vMerge w:val="restart"/>
            <w:tcBorders>
              <w:top w:val="nil"/>
              <w:left w:val="nil"/>
              <w:bottom w:val="single" w:sz="4" w:space="0" w:color="000000"/>
              <w:right w:val="nil"/>
            </w:tcBorders>
            <w:vAlign w:val="center"/>
            <w:hideMark/>
          </w:tcPr>
          <w:p w14:paraId="0B39930D"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Tasa de Interés Nominal (1)</w:t>
            </w:r>
          </w:p>
        </w:tc>
        <w:tc>
          <w:tcPr>
            <w:tcW w:w="138" w:type="pct"/>
            <w:noWrap/>
            <w:vAlign w:val="bottom"/>
          </w:tcPr>
          <w:p w14:paraId="3ACB124B" w14:textId="77777777" w:rsidR="00E90931" w:rsidRPr="00AE4E8D" w:rsidRDefault="00E90931" w:rsidP="00E90931">
            <w:pPr>
              <w:jc w:val="center"/>
              <w:rPr>
                <w:rFonts w:ascii="Times New Roman" w:hAnsi="Times New Roman"/>
                <w:b/>
                <w:bCs/>
                <w:sz w:val="14"/>
                <w:szCs w:val="14"/>
                <w:lang w:val="es-ES"/>
              </w:rPr>
            </w:pPr>
          </w:p>
        </w:tc>
        <w:tc>
          <w:tcPr>
            <w:tcW w:w="425" w:type="pct"/>
            <w:vMerge w:val="restart"/>
            <w:tcBorders>
              <w:top w:val="nil"/>
              <w:left w:val="nil"/>
              <w:bottom w:val="single" w:sz="4" w:space="0" w:color="000000"/>
              <w:right w:val="nil"/>
            </w:tcBorders>
            <w:vAlign w:val="bottom"/>
            <w:hideMark/>
          </w:tcPr>
          <w:p w14:paraId="1B89A668"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Valor Libros </w:t>
            </w:r>
          </w:p>
        </w:tc>
        <w:tc>
          <w:tcPr>
            <w:tcW w:w="356" w:type="pct"/>
            <w:vMerge w:val="restart"/>
            <w:tcBorders>
              <w:top w:val="nil"/>
              <w:left w:val="nil"/>
              <w:bottom w:val="single" w:sz="4" w:space="0" w:color="000000"/>
              <w:right w:val="nil"/>
            </w:tcBorders>
            <w:vAlign w:val="center"/>
            <w:hideMark/>
          </w:tcPr>
          <w:p w14:paraId="0AC1B17C"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Tasa de Interés Nominal (1)</w:t>
            </w:r>
          </w:p>
        </w:tc>
        <w:tc>
          <w:tcPr>
            <w:tcW w:w="138" w:type="pct"/>
            <w:noWrap/>
            <w:vAlign w:val="bottom"/>
          </w:tcPr>
          <w:p w14:paraId="43C2A362" w14:textId="77777777" w:rsidR="00E90931" w:rsidRPr="00AE4E8D" w:rsidRDefault="00E90931" w:rsidP="00E90931">
            <w:pPr>
              <w:jc w:val="center"/>
              <w:rPr>
                <w:rFonts w:ascii="Times New Roman" w:hAnsi="Times New Roman"/>
                <w:b/>
                <w:bCs/>
                <w:sz w:val="14"/>
                <w:szCs w:val="14"/>
                <w:lang w:val="es-ES"/>
              </w:rPr>
            </w:pPr>
          </w:p>
        </w:tc>
        <w:tc>
          <w:tcPr>
            <w:tcW w:w="409" w:type="pct"/>
            <w:vMerge w:val="restart"/>
            <w:tcBorders>
              <w:top w:val="nil"/>
              <w:left w:val="nil"/>
              <w:bottom w:val="single" w:sz="4" w:space="0" w:color="000000"/>
              <w:right w:val="nil"/>
            </w:tcBorders>
            <w:vAlign w:val="bottom"/>
            <w:hideMark/>
          </w:tcPr>
          <w:p w14:paraId="1D02CF6E"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Valor Libros </w:t>
            </w:r>
          </w:p>
        </w:tc>
        <w:tc>
          <w:tcPr>
            <w:tcW w:w="356" w:type="pct"/>
            <w:vMerge w:val="restart"/>
            <w:tcBorders>
              <w:top w:val="nil"/>
              <w:left w:val="nil"/>
              <w:bottom w:val="single" w:sz="4" w:space="0" w:color="000000"/>
              <w:right w:val="nil"/>
            </w:tcBorders>
            <w:vAlign w:val="center"/>
            <w:hideMark/>
          </w:tcPr>
          <w:p w14:paraId="0FDC66DC"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Tasa de Interés Nominal (1)</w:t>
            </w:r>
          </w:p>
        </w:tc>
        <w:tc>
          <w:tcPr>
            <w:tcW w:w="138" w:type="pct"/>
            <w:noWrap/>
            <w:vAlign w:val="bottom"/>
          </w:tcPr>
          <w:p w14:paraId="1562CCBB" w14:textId="77777777" w:rsidR="00E90931" w:rsidRPr="00AE4E8D" w:rsidRDefault="00E90931" w:rsidP="00E90931">
            <w:pPr>
              <w:jc w:val="center"/>
              <w:rPr>
                <w:rFonts w:ascii="Times New Roman" w:hAnsi="Times New Roman"/>
                <w:b/>
                <w:bCs/>
                <w:sz w:val="14"/>
                <w:szCs w:val="14"/>
                <w:lang w:val="es-ES"/>
              </w:rPr>
            </w:pPr>
          </w:p>
        </w:tc>
        <w:tc>
          <w:tcPr>
            <w:tcW w:w="409" w:type="pct"/>
            <w:vMerge w:val="restart"/>
            <w:tcBorders>
              <w:top w:val="nil"/>
              <w:left w:val="nil"/>
              <w:bottom w:val="single" w:sz="4" w:space="0" w:color="000000"/>
              <w:right w:val="nil"/>
            </w:tcBorders>
            <w:vAlign w:val="bottom"/>
            <w:hideMark/>
          </w:tcPr>
          <w:p w14:paraId="0A54EE5D"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 xml:space="preserve"> Valor Libros </w:t>
            </w:r>
          </w:p>
        </w:tc>
        <w:tc>
          <w:tcPr>
            <w:tcW w:w="353" w:type="pct"/>
            <w:vMerge w:val="restart"/>
            <w:tcBorders>
              <w:top w:val="nil"/>
              <w:left w:val="nil"/>
              <w:bottom w:val="single" w:sz="4" w:space="0" w:color="000000"/>
              <w:right w:val="nil"/>
            </w:tcBorders>
            <w:vAlign w:val="center"/>
            <w:hideMark/>
          </w:tcPr>
          <w:p w14:paraId="774923BF"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bCs/>
                <w:sz w:val="14"/>
                <w:szCs w:val="14"/>
                <w:lang w:val="es-ES"/>
              </w:rPr>
              <w:t>Tasa de Interés Nominal (1)</w:t>
            </w:r>
          </w:p>
        </w:tc>
      </w:tr>
      <w:tr w:rsidR="003B5193" w:rsidRPr="00AE4E8D" w14:paraId="1AED96BB" w14:textId="77777777" w:rsidTr="00091EF5">
        <w:trPr>
          <w:trHeight w:val="255"/>
          <w:jc w:val="center"/>
        </w:trPr>
        <w:tc>
          <w:tcPr>
            <w:tcW w:w="486" w:type="pct"/>
            <w:vAlign w:val="center"/>
          </w:tcPr>
          <w:p w14:paraId="6C5EC252" w14:textId="77777777" w:rsidR="00E90931" w:rsidRPr="00AE4E8D" w:rsidRDefault="00E90931" w:rsidP="00E90931">
            <w:pPr>
              <w:rPr>
                <w:rFonts w:ascii="Times New Roman" w:hAnsi="Times New Roman"/>
                <w:b/>
                <w:bCs/>
                <w:sz w:val="14"/>
                <w:szCs w:val="14"/>
                <w:lang w:val="es-ES"/>
              </w:rPr>
            </w:pPr>
          </w:p>
        </w:tc>
        <w:tc>
          <w:tcPr>
            <w:tcW w:w="435" w:type="pct"/>
            <w:vMerge/>
            <w:tcBorders>
              <w:top w:val="nil"/>
              <w:left w:val="nil"/>
              <w:bottom w:val="single" w:sz="4" w:space="0" w:color="000000"/>
              <w:right w:val="nil"/>
            </w:tcBorders>
            <w:vAlign w:val="center"/>
            <w:hideMark/>
          </w:tcPr>
          <w:p w14:paraId="0A51AE0A" w14:textId="77777777" w:rsidR="00E90931" w:rsidRPr="00AE4E8D" w:rsidRDefault="00E90931" w:rsidP="00E90931">
            <w:pPr>
              <w:rPr>
                <w:rFonts w:ascii="Times New Roman" w:hAnsi="Times New Roman"/>
                <w:b/>
                <w:bCs/>
                <w:sz w:val="14"/>
                <w:szCs w:val="14"/>
                <w:lang w:val="es-ES"/>
              </w:rPr>
            </w:pPr>
          </w:p>
        </w:tc>
        <w:tc>
          <w:tcPr>
            <w:tcW w:w="429" w:type="pct"/>
            <w:vMerge/>
            <w:tcBorders>
              <w:top w:val="nil"/>
              <w:left w:val="nil"/>
              <w:bottom w:val="single" w:sz="4" w:space="0" w:color="000000"/>
              <w:right w:val="nil"/>
            </w:tcBorders>
            <w:vAlign w:val="center"/>
            <w:hideMark/>
          </w:tcPr>
          <w:p w14:paraId="7A8E7EFC" w14:textId="77777777" w:rsidR="00E90931" w:rsidRPr="00AE4E8D" w:rsidRDefault="00E90931" w:rsidP="00E90931">
            <w:pPr>
              <w:rPr>
                <w:rFonts w:ascii="Times New Roman" w:hAnsi="Times New Roman"/>
                <w:b/>
                <w:bCs/>
                <w:sz w:val="14"/>
                <w:szCs w:val="14"/>
                <w:lang w:val="es-ES"/>
              </w:rPr>
            </w:pPr>
          </w:p>
        </w:tc>
        <w:tc>
          <w:tcPr>
            <w:tcW w:w="137" w:type="pct"/>
            <w:noWrap/>
            <w:vAlign w:val="bottom"/>
          </w:tcPr>
          <w:p w14:paraId="47AA8315" w14:textId="77777777" w:rsidR="00E90931" w:rsidRPr="00AE4E8D" w:rsidRDefault="00E90931" w:rsidP="00E90931">
            <w:pPr>
              <w:jc w:val="center"/>
              <w:rPr>
                <w:rFonts w:ascii="Times New Roman" w:hAnsi="Times New Roman"/>
                <w:b/>
                <w:bCs/>
                <w:sz w:val="14"/>
                <w:szCs w:val="14"/>
                <w:lang w:val="es-ES"/>
              </w:rPr>
            </w:pPr>
          </w:p>
        </w:tc>
        <w:tc>
          <w:tcPr>
            <w:tcW w:w="435" w:type="pct"/>
            <w:vMerge/>
            <w:tcBorders>
              <w:top w:val="nil"/>
              <w:left w:val="nil"/>
              <w:bottom w:val="single" w:sz="4" w:space="0" w:color="000000"/>
              <w:right w:val="nil"/>
            </w:tcBorders>
            <w:vAlign w:val="center"/>
            <w:hideMark/>
          </w:tcPr>
          <w:p w14:paraId="73738814" w14:textId="77777777" w:rsidR="00E90931" w:rsidRPr="00AE4E8D" w:rsidRDefault="00E90931" w:rsidP="00E90931">
            <w:pPr>
              <w:rPr>
                <w:rFonts w:ascii="Times New Roman" w:hAnsi="Times New Roman"/>
                <w:b/>
                <w:bCs/>
                <w:sz w:val="14"/>
                <w:szCs w:val="14"/>
                <w:lang w:val="es-ES"/>
              </w:rPr>
            </w:pPr>
          </w:p>
        </w:tc>
        <w:tc>
          <w:tcPr>
            <w:tcW w:w="356" w:type="pct"/>
            <w:vMerge/>
            <w:tcBorders>
              <w:top w:val="nil"/>
              <w:left w:val="nil"/>
              <w:bottom w:val="single" w:sz="4" w:space="0" w:color="000000"/>
              <w:right w:val="nil"/>
            </w:tcBorders>
            <w:vAlign w:val="center"/>
            <w:hideMark/>
          </w:tcPr>
          <w:p w14:paraId="32386419" w14:textId="77777777" w:rsidR="00E90931" w:rsidRPr="00AE4E8D" w:rsidRDefault="00E90931" w:rsidP="00E90931">
            <w:pPr>
              <w:rPr>
                <w:rFonts w:ascii="Times New Roman" w:hAnsi="Times New Roman"/>
                <w:b/>
                <w:bCs/>
                <w:sz w:val="14"/>
                <w:szCs w:val="14"/>
                <w:lang w:val="es-ES"/>
              </w:rPr>
            </w:pPr>
          </w:p>
        </w:tc>
        <w:tc>
          <w:tcPr>
            <w:tcW w:w="138" w:type="pct"/>
            <w:noWrap/>
            <w:vAlign w:val="bottom"/>
          </w:tcPr>
          <w:p w14:paraId="3864DE3C" w14:textId="77777777" w:rsidR="00E90931" w:rsidRPr="00AE4E8D" w:rsidRDefault="00E90931" w:rsidP="00E90931">
            <w:pPr>
              <w:jc w:val="center"/>
              <w:rPr>
                <w:rFonts w:ascii="Times New Roman" w:hAnsi="Times New Roman"/>
                <w:b/>
                <w:bCs/>
                <w:sz w:val="14"/>
                <w:szCs w:val="14"/>
                <w:lang w:val="es-ES"/>
              </w:rPr>
            </w:pPr>
          </w:p>
        </w:tc>
        <w:tc>
          <w:tcPr>
            <w:tcW w:w="425" w:type="pct"/>
            <w:vMerge/>
            <w:tcBorders>
              <w:top w:val="nil"/>
              <w:left w:val="nil"/>
              <w:bottom w:val="single" w:sz="4" w:space="0" w:color="000000"/>
              <w:right w:val="nil"/>
            </w:tcBorders>
            <w:vAlign w:val="center"/>
            <w:hideMark/>
          </w:tcPr>
          <w:p w14:paraId="10AE84C2" w14:textId="77777777" w:rsidR="00E90931" w:rsidRPr="00AE4E8D" w:rsidRDefault="00E90931" w:rsidP="00E90931">
            <w:pPr>
              <w:rPr>
                <w:rFonts w:ascii="Times New Roman" w:hAnsi="Times New Roman"/>
                <w:b/>
                <w:bCs/>
                <w:sz w:val="14"/>
                <w:szCs w:val="14"/>
                <w:lang w:val="es-ES"/>
              </w:rPr>
            </w:pPr>
          </w:p>
        </w:tc>
        <w:tc>
          <w:tcPr>
            <w:tcW w:w="356" w:type="pct"/>
            <w:vMerge/>
            <w:tcBorders>
              <w:top w:val="nil"/>
              <w:left w:val="nil"/>
              <w:bottom w:val="single" w:sz="4" w:space="0" w:color="000000"/>
              <w:right w:val="nil"/>
            </w:tcBorders>
            <w:vAlign w:val="center"/>
            <w:hideMark/>
          </w:tcPr>
          <w:p w14:paraId="1227BB9B" w14:textId="77777777" w:rsidR="00E90931" w:rsidRPr="00AE4E8D" w:rsidRDefault="00E90931" w:rsidP="00E90931">
            <w:pPr>
              <w:rPr>
                <w:rFonts w:ascii="Times New Roman" w:hAnsi="Times New Roman"/>
                <w:b/>
                <w:bCs/>
                <w:sz w:val="14"/>
                <w:szCs w:val="14"/>
                <w:lang w:val="es-ES"/>
              </w:rPr>
            </w:pPr>
          </w:p>
        </w:tc>
        <w:tc>
          <w:tcPr>
            <w:tcW w:w="138" w:type="pct"/>
            <w:noWrap/>
            <w:vAlign w:val="bottom"/>
          </w:tcPr>
          <w:p w14:paraId="1954D478" w14:textId="77777777" w:rsidR="00E90931" w:rsidRPr="00AE4E8D" w:rsidRDefault="00E90931" w:rsidP="00E90931">
            <w:pPr>
              <w:jc w:val="center"/>
              <w:rPr>
                <w:rFonts w:ascii="Times New Roman" w:hAnsi="Times New Roman"/>
                <w:b/>
                <w:bCs/>
                <w:sz w:val="14"/>
                <w:szCs w:val="14"/>
                <w:lang w:val="es-ES"/>
              </w:rPr>
            </w:pPr>
          </w:p>
        </w:tc>
        <w:tc>
          <w:tcPr>
            <w:tcW w:w="409" w:type="pct"/>
            <w:vMerge/>
            <w:tcBorders>
              <w:top w:val="nil"/>
              <w:left w:val="nil"/>
              <w:bottom w:val="single" w:sz="4" w:space="0" w:color="000000"/>
              <w:right w:val="nil"/>
            </w:tcBorders>
            <w:vAlign w:val="center"/>
            <w:hideMark/>
          </w:tcPr>
          <w:p w14:paraId="6667CB0B" w14:textId="77777777" w:rsidR="00E90931" w:rsidRPr="00AE4E8D" w:rsidRDefault="00E90931" w:rsidP="00E90931">
            <w:pPr>
              <w:rPr>
                <w:rFonts w:ascii="Times New Roman" w:hAnsi="Times New Roman"/>
                <w:b/>
                <w:bCs/>
                <w:sz w:val="14"/>
                <w:szCs w:val="14"/>
                <w:lang w:val="es-ES"/>
              </w:rPr>
            </w:pPr>
          </w:p>
        </w:tc>
        <w:tc>
          <w:tcPr>
            <w:tcW w:w="356" w:type="pct"/>
            <w:vMerge/>
            <w:tcBorders>
              <w:top w:val="nil"/>
              <w:left w:val="nil"/>
              <w:bottom w:val="single" w:sz="4" w:space="0" w:color="000000"/>
              <w:right w:val="nil"/>
            </w:tcBorders>
            <w:vAlign w:val="center"/>
            <w:hideMark/>
          </w:tcPr>
          <w:p w14:paraId="36E561D4" w14:textId="77777777" w:rsidR="00E90931" w:rsidRPr="00AE4E8D" w:rsidRDefault="00E90931" w:rsidP="00E90931">
            <w:pPr>
              <w:rPr>
                <w:rFonts w:ascii="Times New Roman" w:hAnsi="Times New Roman"/>
                <w:b/>
                <w:bCs/>
                <w:sz w:val="14"/>
                <w:szCs w:val="14"/>
                <w:lang w:val="es-ES"/>
              </w:rPr>
            </w:pPr>
          </w:p>
        </w:tc>
        <w:tc>
          <w:tcPr>
            <w:tcW w:w="138" w:type="pct"/>
            <w:noWrap/>
            <w:vAlign w:val="bottom"/>
          </w:tcPr>
          <w:p w14:paraId="18E6CD06" w14:textId="77777777" w:rsidR="00E90931" w:rsidRPr="00AE4E8D" w:rsidRDefault="00E90931" w:rsidP="00E90931">
            <w:pPr>
              <w:jc w:val="center"/>
              <w:rPr>
                <w:rFonts w:ascii="Times New Roman" w:hAnsi="Times New Roman"/>
                <w:b/>
                <w:bCs/>
                <w:sz w:val="14"/>
                <w:szCs w:val="14"/>
                <w:lang w:val="es-ES"/>
              </w:rPr>
            </w:pPr>
          </w:p>
        </w:tc>
        <w:tc>
          <w:tcPr>
            <w:tcW w:w="409" w:type="pct"/>
            <w:vMerge/>
            <w:tcBorders>
              <w:top w:val="nil"/>
              <w:left w:val="nil"/>
              <w:bottom w:val="single" w:sz="4" w:space="0" w:color="000000"/>
              <w:right w:val="nil"/>
            </w:tcBorders>
            <w:vAlign w:val="center"/>
            <w:hideMark/>
          </w:tcPr>
          <w:p w14:paraId="69540BD6" w14:textId="77777777" w:rsidR="00E90931" w:rsidRPr="00AE4E8D" w:rsidRDefault="00E90931" w:rsidP="00E90931">
            <w:pPr>
              <w:rPr>
                <w:rFonts w:ascii="Times New Roman" w:hAnsi="Times New Roman"/>
                <w:b/>
                <w:bCs/>
                <w:sz w:val="14"/>
                <w:szCs w:val="14"/>
                <w:lang w:val="es-ES"/>
              </w:rPr>
            </w:pPr>
          </w:p>
        </w:tc>
        <w:tc>
          <w:tcPr>
            <w:tcW w:w="353" w:type="pct"/>
            <w:vMerge/>
            <w:tcBorders>
              <w:top w:val="nil"/>
              <w:left w:val="nil"/>
              <w:bottom w:val="single" w:sz="4" w:space="0" w:color="000000"/>
              <w:right w:val="nil"/>
            </w:tcBorders>
            <w:vAlign w:val="center"/>
            <w:hideMark/>
          </w:tcPr>
          <w:p w14:paraId="5856F478" w14:textId="77777777" w:rsidR="00E90931" w:rsidRPr="00AE4E8D" w:rsidRDefault="00E90931" w:rsidP="00E90931">
            <w:pPr>
              <w:rPr>
                <w:rFonts w:ascii="Times New Roman" w:hAnsi="Times New Roman"/>
                <w:b/>
                <w:bCs/>
                <w:sz w:val="14"/>
                <w:szCs w:val="14"/>
                <w:lang w:val="es-ES"/>
              </w:rPr>
            </w:pPr>
          </w:p>
        </w:tc>
      </w:tr>
      <w:tr w:rsidR="00E90931" w:rsidRPr="00AE4E8D" w14:paraId="37BAD20D" w14:textId="77777777" w:rsidTr="000400C8">
        <w:trPr>
          <w:trHeight w:val="255"/>
          <w:jc w:val="center"/>
        </w:trPr>
        <w:tc>
          <w:tcPr>
            <w:tcW w:w="486" w:type="pct"/>
            <w:vAlign w:val="center"/>
          </w:tcPr>
          <w:p w14:paraId="27BC566E" w14:textId="77777777" w:rsidR="00E90931" w:rsidRPr="00AE4E8D" w:rsidRDefault="00E90931" w:rsidP="00E90931">
            <w:pPr>
              <w:rPr>
                <w:rFonts w:ascii="Times New Roman" w:hAnsi="Times New Roman"/>
                <w:sz w:val="14"/>
                <w:szCs w:val="14"/>
                <w:lang w:val="es-ES"/>
              </w:rPr>
            </w:pPr>
          </w:p>
        </w:tc>
        <w:tc>
          <w:tcPr>
            <w:tcW w:w="4514" w:type="pct"/>
            <w:gridSpan w:val="14"/>
            <w:noWrap/>
            <w:vAlign w:val="bottom"/>
            <w:hideMark/>
          </w:tcPr>
          <w:p w14:paraId="7F4C9346" w14:textId="77777777" w:rsidR="00E90931" w:rsidRPr="00AE4E8D" w:rsidRDefault="00E90931" w:rsidP="00E90931">
            <w:pPr>
              <w:jc w:val="center"/>
              <w:rPr>
                <w:rFonts w:ascii="Times New Roman" w:hAnsi="Times New Roman"/>
                <w:sz w:val="14"/>
                <w:szCs w:val="14"/>
                <w:lang w:val="es-ES"/>
              </w:rPr>
            </w:pPr>
            <w:r w:rsidRPr="00AE4E8D">
              <w:rPr>
                <w:rFonts w:ascii="Times New Roman" w:hAnsi="Times New Roman"/>
                <w:sz w:val="14"/>
                <w:szCs w:val="14"/>
                <w:lang w:val="es-ES"/>
              </w:rPr>
              <w:t xml:space="preserve"> (en miles de Pesos, salvo porcentajes) </w:t>
            </w:r>
          </w:p>
        </w:tc>
      </w:tr>
      <w:tr w:rsidR="00B86C83" w:rsidRPr="00AE4E8D" w14:paraId="47CD9AFB" w14:textId="77777777" w:rsidTr="000400C8">
        <w:trPr>
          <w:trHeight w:val="255"/>
          <w:jc w:val="center"/>
        </w:trPr>
        <w:tc>
          <w:tcPr>
            <w:tcW w:w="486" w:type="pct"/>
            <w:vAlign w:val="center"/>
          </w:tcPr>
          <w:p w14:paraId="15190CAD"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7D07F50D"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3550FA5F"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7EA1D1B8"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20F77D6D"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5193828F"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3047820"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7D8124BC"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5E6B3A94"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52B32A63"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3E6E0403"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1D9CBE16"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135010D"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097605E6"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0FCD088C" w14:textId="77777777" w:rsidR="00E90931" w:rsidRPr="00AE4E8D" w:rsidRDefault="00E90931" w:rsidP="00E90931">
            <w:pPr>
              <w:jc w:val="right"/>
              <w:rPr>
                <w:rFonts w:ascii="Times New Roman" w:hAnsi="Times New Roman"/>
                <w:sz w:val="14"/>
                <w:szCs w:val="14"/>
                <w:lang w:val="es-ES"/>
              </w:rPr>
            </w:pPr>
          </w:p>
        </w:tc>
      </w:tr>
      <w:tr w:rsidR="00B86C83" w:rsidRPr="00AE4E8D" w14:paraId="2401EFE8" w14:textId="77777777" w:rsidTr="000400C8">
        <w:trPr>
          <w:trHeight w:val="510"/>
          <w:jc w:val="center"/>
        </w:trPr>
        <w:tc>
          <w:tcPr>
            <w:tcW w:w="486" w:type="pct"/>
            <w:vAlign w:val="center"/>
            <w:hideMark/>
          </w:tcPr>
          <w:p w14:paraId="35BF6AE6"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Títulos Públicos registrados a valor razonable de mercado</w:t>
            </w:r>
          </w:p>
        </w:tc>
        <w:tc>
          <w:tcPr>
            <w:tcW w:w="435" w:type="pct"/>
            <w:noWrap/>
            <w:vAlign w:val="bottom"/>
          </w:tcPr>
          <w:p w14:paraId="0B74B99F"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1801C7DB"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175CCDCA"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5E4F7ED2"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2AC12039"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4DFDEDB1"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219487FA"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5A315224"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3129247E"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1269C174"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7E2F4425"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76564ACE"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6780BB57"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509FF835" w14:textId="77777777" w:rsidR="00E90931" w:rsidRPr="00AE4E8D" w:rsidRDefault="00E90931" w:rsidP="00E90931">
            <w:pPr>
              <w:jc w:val="right"/>
              <w:rPr>
                <w:rFonts w:ascii="Times New Roman" w:hAnsi="Times New Roman"/>
                <w:sz w:val="14"/>
                <w:szCs w:val="14"/>
                <w:lang w:val="es-ES"/>
              </w:rPr>
            </w:pPr>
          </w:p>
        </w:tc>
      </w:tr>
      <w:tr w:rsidR="00B86C83" w:rsidRPr="00AE4E8D" w14:paraId="76B345EF" w14:textId="77777777" w:rsidTr="000400C8">
        <w:trPr>
          <w:trHeight w:val="255"/>
          <w:jc w:val="center"/>
        </w:trPr>
        <w:tc>
          <w:tcPr>
            <w:tcW w:w="486" w:type="pct"/>
            <w:vAlign w:val="center"/>
          </w:tcPr>
          <w:p w14:paraId="795D6B46"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0FE94E06"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0462FDBF"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64AD3963"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647F8339"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0ADA1001"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6AA4B839"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4C3C55F2"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41BA0CB1"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1985ABBC"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3819FF13"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585B4315" w14:textId="77777777" w:rsidR="00E90931" w:rsidRPr="00AE4E8D" w:rsidRDefault="00E90931" w:rsidP="00E90931">
            <w:pPr>
              <w:jc w:val="right"/>
              <w:rPr>
                <w:rFonts w:ascii="Times New Roman" w:hAnsi="Times New Roman"/>
                <w:b/>
                <w:bCs/>
                <w:sz w:val="14"/>
                <w:szCs w:val="14"/>
                <w:lang w:val="es-ES"/>
              </w:rPr>
            </w:pPr>
          </w:p>
        </w:tc>
        <w:tc>
          <w:tcPr>
            <w:tcW w:w="138" w:type="pct"/>
            <w:noWrap/>
            <w:vAlign w:val="bottom"/>
          </w:tcPr>
          <w:p w14:paraId="40296BE6"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101D2648"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495255D2" w14:textId="77777777" w:rsidR="00E90931" w:rsidRPr="00AE4E8D" w:rsidRDefault="00E90931" w:rsidP="00E90931">
            <w:pPr>
              <w:jc w:val="right"/>
              <w:rPr>
                <w:rFonts w:ascii="Times New Roman" w:hAnsi="Times New Roman"/>
                <w:b/>
                <w:bCs/>
                <w:sz w:val="14"/>
                <w:szCs w:val="14"/>
                <w:lang w:val="es-ES"/>
              </w:rPr>
            </w:pPr>
          </w:p>
        </w:tc>
      </w:tr>
      <w:tr w:rsidR="00B86C83" w:rsidRPr="00AE4E8D" w14:paraId="6CCD5A80" w14:textId="77777777" w:rsidTr="000400C8">
        <w:trPr>
          <w:trHeight w:val="255"/>
          <w:jc w:val="center"/>
        </w:trPr>
        <w:tc>
          <w:tcPr>
            <w:tcW w:w="486" w:type="pct"/>
            <w:vAlign w:val="center"/>
            <w:hideMark/>
          </w:tcPr>
          <w:p w14:paraId="568ECA33"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En pesos</w:t>
            </w:r>
          </w:p>
        </w:tc>
        <w:tc>
          <w:tcPr>
            <w:tcW w:w="435" w:type="pct"/>
            <w:noWrap/>
            <w:vAlign w:val="bottom"/>
            <w:hideMark/>
          </w:tcPr>
          <w:p w14:paraId="3EEFE16A"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lang w:val="es-ES"/>
              </w:rPr>
              <w:t xml:space="preserve"> 1.</w:t>
            </w:r>
            <w:r w:rsidRPr="00AE4E8D">
              <w:rPr>
                <w:rFonts w:ascii="Times New Roman" w:hAnsi="Times New Roman"/>
                <w:b/>
                <w:sz w:val="16"/>
                <w:szCs w:val="16"/>
                <w:lang w:val="es-ES"/>
              </w:rPr>
              <w:t>447.625</w:t>
            </w:r>
            <w:r w:rsidRPr="00AE4E8D">
              <w:rPr>
                <w:rFonts w:ascii="Times New Roman" w:hAnsi="Times New Roman"/>
                <w:b/>
                <w:sz w:val="16"/>
                <w:lang w:val="es-ES"/>
              </w:rPr>
              <w:t xml:space="preserve"> </w:t>
            </w:r>
          </w:p>
        </w:tc>
        <w:tc>
          <w:tcPr>
            <w:tcW w:w="429" w:type="pct"/>
            <w:noWrap/>
            <w:vAlign w:val="bottom"/>
            <w:hideMark/>
          </w:tcPr>
          <w:p w14:paraId="13A78603"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szCs w:val="16"/>
                <w:lang w:val="es-ES"/>
              </w:rPr>
              <w:t>8,81</w:t>
            </w:r>
            <w:r w:rsidRPr="00AE4E8D">
              <w:rPr>
                <w:rFonts w:ascii="Times New Roman" w:hAnsi="Times New Roman"/>
                <w:b/>
                <w:sz w:val="16"/>
                <w:lang w:val="es-ES"/>
              </w:rPr>
              <w:t>%</w:t>
            </w:r>
          </w:p>
        </w:tc>
        <w:tc>
          <w:tcPr>
            <w:tcW w:w="137" w:type="pct"/>
            <w:noWrap/>
            <w:vAlign w:val="bottom"/>
          </w:tcPr>
          <w:p w14:paraId="1CCCE726" w14:textId="77777777" w:rsidR="00E90931" w:rsidRPr="00AE4E8D" w:rsidRDefault="00E90931" w:rsidP="00E90931">
            <w:pPr>
              <w:jc w:val="right"/>
              <w:rPr>
                <w:rFonts w:ascii="Times New Roman" w:hAnsi="Times New Roman"/>
                <w:b/>
                <w:sz w:val="16"/>
                <w:lang w:val="es-ES"/>
              </w:rPr>
            </w:pPr>
          </w:p>
        </w:tc>
        <w:tc>
          <w:tcPr>
            <w:tcW w:w="435" w:type="pct"/>
            <w:noWrap/>
            <w:vAlign w:val="bottom"/>
            <w:hideMark/>
          </w:tcPr>
          <w:p w14:paraId="7BCC7045"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sz w:val="16"/>
                <w:szCs w:val="16"/>
                <w:lang w:val="es-ES"/>
              </w:rPr>
              <w:t>299.296</w:t>
            </w:r>
            <w:r w:rsidR="00E90931" w:rsidRPr="00AE4E8D">
              <w:rPr>
                <w:rFonts w:ascii="Times New Roman" w:hAnsi="Times New Roman"/>
                <w:b/>
                <w:sz w:val="16"/>
                <w:lang w:val="es-ES"/>
              </w:rPr>
              <w:t xml:space="preserve"> </w:t>
            </w:r>
          </w:p>
        </w:tc>
        <w:tc>
          <w:tcPr>
            <w:tcW w:w="356" w:type="pct"/>
            <w:noWrap/>
            <w:vAlign w:val="bottom"/>
            <w:hideMark/>
          </w:tcPr>
          <w:p w14:paraId="6CFC149B"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szCs w:val="16"/>
                <w:lang w:val="es-ES"/>
              </w:rPr>
              <w:t>2,46</w:t>
            </w:r>
            <w:r w:rsidRPr="00AE4E8D">
              <w:rPr>
                <w:rFonts w:ascii="Times New Roman" w:hAnsi="Times New Roman"/>
                <w:b/>
                <w:sz w:val="16"/>
                <w:lang w:val="es-ES"/>
              </w:rPr>
              <w:t>%</w:t>
            </w:r>
          </w:p>
        </w:tc>
        <w:tc>
          <w:tcPr>
            <w:tcW w:w="138" w:type="pct"/>
            <w:noWrap/>
            <w:vAlign w:val="bottom"/>
          </w:tcPr>
          <w:p w14:paraId="1DAF5CCC" w14:textId="77777777" w:rsidR="00E90931" w:rsidRPr="00AE4E8D" w:rsidRDefault="00E90931" w:rsidP="00E90931">
            <w:pPr>
              <w:jc w:val="right"/>
              <w:rPr>
                <w:rFonts w:ascii="Times New Roman" w:hAnsi="Times New Roman"/>
                <w:b/>
                <w:sz w:val="16"/>
                <w:lang w:val="es-ES"/>
              </w:rPr>
            </w:pPr>
          </w:p>
        </w:tc>
        <w:tc>
          <w:tcPr>
            <w:tcW w:w="425" w:type="pct"/>
            <w:noWrap/>
            <w:vAlign w:val="bottom"/>
            <w:hideMark/>
          </w:tcPr>
          <w:p w14:paraId="6B87B388"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sz w:val="16"/>
                <w:szCs w:val="16"/>
                <w:lang w:val="es-ES"/>
              </w:rPr>
              <w:t>286.620</w:t>
            </w:r>
            <w:r w:rsidR="00E90931" w:rsidRPr="00AE4E8D">
              <w:rPr>
                <w:rFonts w:ascii="Times New Roman" w:hAnsi="Times New Roman"/>
                <w:b/>
                <w:sz w:val="16"/>
                <w:lang w:val="es-ES"/>
              </w:rPr>
              <w:t xml:space="preserve"> </w:t>
            </w:r>
          </w:p>
        </w:tc>
        <w:tc>
          <w:tcPr>
            <w:tcW w:w="356" w:type="pct"/>
            <w:noWrap/>
            <w:vAlign w:val="bottom"/>
            <w:hideMark/>
          </w:tcPr>
          <w:p w14:paraId="4FFF55CD"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szCs w:val="16"/>
                <w:lang w:val="es-ES"/>
              </w:rPr>
              <w:t>13,31</w:t>
            </w:r>
            <w:r w:rsidRPr="00AE4E8D">
              <w:rPr>
                <w:rFonts w:ascii="Times New Roman" w:hAnsi="Times New Roman"/>
                <w:b/>
                <w:sz w:val="16"/>
                <w:lang w:val="es-ES"/>
              </w:rPr>
              <w:t>%</w:t>
            </w:r>
          </w:p>
        </w:tc>
        <w:tc>
          <w:tcPr>
            <w:tcW w:w="138" w:type="pct"/>
            <w:noWrap/>
            <w:vAlign w:val="bottom"/>
          </w:tcPr>
          <w:p w14:paraId="118B7ACF" w14:textId="77777777" w:rsidR="00E90931" w:rsidRPr="00AE4E8D" w:rsidRDefault="00E90931" w:rsidP="00E90931">
            <w:pPr>
              <w:jc w:val="right"/>
              <w:rPr>
                <w:rFonts w:ascii="Times New Roman" w:hAnsi="Times New Roman"/>
                <w:b/>
                <w:sz w:val="16"/>
                <w:lang w:val="es-ES"/>
              </w:rPr>
            </w:pPr>
          </w:p>
        </w:tc>
        <w:tc>
          <w:tcPr>
            <w:tcW w:w="409" w:type="pct"/>
            <w:noWrap/>
            <w:vAlign w:val="bottom"/>
            <w:hideMark/>
          </w:tcPr>
          <w:p w14:paraId="2EF308CE"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szCs w:val="16"/>
                <w:lang w:val="es-ES"/>
              </w:rPr>
              <w:t xml:space="preserve">  </w:t>
            </w:r>
            <w:r w:rsidR="00E90931" w:rsidRPr="00AE4E8D">
              <w:rPr>
                <w:rFonts w:ascii="Times New Roman" w:hAnsi="Times New Roman"/>
                <w:b/>
                <w:sz w:val="16"/>
                <w:szCs w:val="16"/>
                <w:lang w:val="es-ES"/>
              </w:rPr>
              <w:t xml:space="preserve">469.942 </w:t>
            </w:r>
          </w:p>
        </w:tc>
        <w:tc>
          <w:tcPr>
            <w:tcW w:w="356" w:type="pct"/>
            <w:noWrap/>
            <w:vAlign w:val="bottom"/>
            <w:hideMark/>
          </w:tcPr>
          <w:p w14:paraId="3CA583C1"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szCs w:val="16"/>
                <w:lang w:val="es-ES"/>
              </w:rPr>
              <w:t>11,44%</w:t>
            </w:r>
          </w:p>
        </w:tc>
        <w:tc>
          <w:tcPr>
            <w:tcW w:w="138" w:type="pct"/>
            <w:noWrap/>
            <w:vAlign w:val="bottom"/>
          </w:tcPr>
          <w:p w14:paraId="34BC5071" w14:textId="77777777" w:rsidR="00E90931" w:rsidRPr="00AE4E8D" w:rsidRDefault="00E90931" w:rsidP="00E90931">
            <w:pPr>
              <w:jc w:val="right"/>
              <w:rPr>
                <w:rFonts w:ascii="Times New Roman" w:hAnsi="Times New Roman"/>
                <w:b/>
                <w:sz w:val="16"/>
                <w:lang w:val="es-ES"/>
              </w:rPr>
            </w:pPr>
          </w:p>
        </w:tc>
        <w:tc>
          <w:tcPr>
            <w:tcW w:w="409" w:type="pct"/>
            <w:noWrap/>
            <w:vAlign w:val="bottom"/>
            <w:hideMark/>
          </w:tcPr>
          <w:p w14:paraId="3766C3E9"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sz w:val="16"/>
                <w:szCs w:val="16"/>
                <w:lang w:val="es-ES"/>
              </w:rPr>
              <w:t>391.766</w:t>
            </w:r>
            <w:r w:rsidR="00E90931" w:rsidRPr="00AE4E8D">
              <w:rPr>
                <w:rFonts w:ascii="Times New Roman" w:hAnsi="Times New Roman"/>
                <w:b/>
                <w:sz w:val="16"/>
                <w:lang w:val="es-ES"/>
              </w:rPr>
              <w:t xml:space="preserve"> </w:t>
            </w:r>
          </w:p>
        </w:tc>
        <w:tc>
          <w:tcPr>
            <w:tcW w:w="353" w:type="pct"/>
            <w:noWrap/>
            <w:vAlign w:val="bottom"/>
            <w:hideMark/>
          </w:tcPr>
          <w:p w14:paraId="7C7698B5"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szCs w:val="16"/>
                <w:lang w:val="es-ES"/>
              </w:rPr>
              <w:t>7,22</w:t>
            </w:r>
            <w:r w:rsidRPr="00AE4E8D">
              <w:rPr>
                <w:rFonts w:ascii="Times New Roman" w:hAnsi="Times New Roman"/>
                <w:b/>
                <w:sz w:val="16"/>
                <w:lang w:val="es-ES"/>
              </w:rPr>
              <w:t>%</w:t>
            </w:r>
          </w:p>
        </w:tc>
      </w:tr>
      <w:tr w:rsidR="003B5193" w:rsidRPr="00AE4E8D" w14:paraId="273A7E81" w14:textId="77777777" w:rsidTr="00091EF5">
        <w:trPr>
          <w:trHeight w:val="255"/>
          <w:jc w:val="center"/>
        </w:trPr>
        <w:tc>
          <w:tcPr>
            <w:tcW w:w="486" w:type="pct"/>
            <w:vAlign w:val="center"/>
            <w:hideMark/>
          </w:tcPr>
          <w:p w14:paraId="1D15DF5B"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Títulos Públicos del Gobierno Nacional</w:t>
            </w:r>
          </w:p>
        </w:tc>
        <w:tc>
          <w:tcPr>
            <w:tcW w:w="435" w:type="pct"/>
            <w:noWrap/>
            <w:vAlign w:val="bottom"/>
            <w:hideMark/>
          </w:tcPr>
          <w:p w14:paraId="6B266D77"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 xml:space="preserve"> 1.</w:t>
            </w:r>
            <w:r w:rsidRPr="00AE4E8D">
              <w:rPr>
                <w:rFonts w:ascii="Times New Roman" w:hAnsi="Times New Roman"/>
                <w:sz w:val="16"/>
                <w:szCs w:val="16"/>
                <w:lang w:val="es-ES"/>
              </w:rPr>
              <w:t>447.625</w:t>
            </w:r>
            <w:r w:rsidRPr="00AE4E8D">
              <w:rPr>
                <w:rFonts w:ascii="Times New Roman" w:hAnsi="Times New Roman"/>
                <w:sz w:val="16"/>
                <w:lang w:val="es-ES"/>
              </w:rPr>
              <w:t xml:space="preserve"> </w:t>
            </w:r>
          </w:p>
        </w:tc>
        <w:tc>
          <w:tcPr>
            <w:tcW w:w="429" w:type="pct"/>
            <w:noWrap/>
            <w:vAlign w:val="bottom"/>
            <w:hideMark/>
          </w:tcPr>
          <w:p w14:paraId="3C424C0B"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8,81</w:t>
            </w:r>
            <w:r w:rsidRPr="00AE4E8D">
              <w:rPr>
                <w:rFonts w:ascii="Times New Roman" w:hAnsi="Times New Roman"/>
                <w:sz w:val="16"/>
                <w:lang w:val="es-ES"/>
              </w:rPr>
              <w:t>%</w:t>
            </w:r>
          </w:p>
        </w:tc>
        <w:tc>
          <w:tcPr>
            <w:tcW w:w="137" w:type="pct"/>
            <w:noWrap/>
            <w:vAlign w:val="bottom"/>
          </w:tcPr>
          <w:p w14:paraId="566C055B" w14:textId="77777777" w:rsidR="00E90931" w:rsidRPr="00AE4E8D" w:rsidRDefault="00E90931" w:rsidP="00E90931">
            <w:pPr>
              <w:jc w:val="right"/>
              <w:rPr>
                <w:rFonts w:ascii="Times New Roman" w:hAnsi="Times New Roman"/>
                <w:sz w:val="16"/>
                <w:lang w:val="es-ES"/>
              </w:rPr>
            </w:pPr>
          </w:p>
        </w:tc>
        <w:tc>
          <w:tcPr>
            <w:tcW w:w="435" w:type="pct"/>
            <w:shd w:val="clear" w:color="auto" w:fill="FFFFFF"/>
            <w:noWrap/>
            <w:vAlign w:val="bottom"/>
            <w:hideMark/>
          </w:tcPr>
          <w:p w14:paraId="09165937"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299.296</w:t>
            </w:r>
            <w:r w:rsidR="00E90931" w:rsidRPr="00AE4E8D">
              <w:rPr>
                <w:rFonts w:ascii="Times New Roman" w:hAnsi="Times New Roman"/>
                <w:sz w:val="16"/>
                <w:lang w:val="es-ES"/>
              </w:rPr>
              <w:t xml:space="preserve"> </w:t>
            </w:r>
          </w:p>
        </w:tc>
        <w:tc>
          <w:tcPr>
            <w:tcW w:w="356" w:type="pct"/>
            <w:shd w:val="clear" w:color="auto" w:fill="FFFFFF"/>
            <w:noWrap/>
            <w:vAlign w:val="bottom"/>
            <w:hideMark/>
          </w:tcPr>
          <w:p w14:paraId="39694EB3"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2,46</w:t>
            </w:r>
            <w:r w:rsidRPr="00AE4E8D">
              <w:rPr>
                <w:rFonts w:ascii="Times New Roman" w:hAnsi="Times New Roman"/>
                <w:sz w:val="16"/>
                <w:lang w:val="es-ES"/>
              </w:rPr>
              <w:t>%</w:t>
            </w:r>
          </w:p>
        </w:tc>
        <w:tc>
          <w:tcPr>
            <w:tcW w:w="138" w:type="pct"/>
            <w:shd w:val="clear" w:color="auto" w:fill="FFFFFF"/>
            <w:noWrap/>
            <w:vAlign w:val="bottom"/>
          </w:tcPr>
          <w:p w14:paraId="17FCF9F4" w14:textId="77777777" w:rsidR="00E90931" w:rsidRPr="00AE4E8D" w:rsidRDefault="00E90931" w:rsidP="00E90931">
            <w:pPr>
              <w:jc w:val="right"/>
              <w:rPr>
                <w:rFonts w:ascii="Times New Roman" w:hAnsi="Times New Roman"/>
                <w:sz w:val="16"/>
                <w:lang w:val="es-ES"/>
              </w:rPr>
            </w:pPr>
          </w:p>
        </w:tc>
        <w:tc>
          <w:tcPr>
            <w:tcW w:w="425" w:type="pct"/>
            <w:shd w:val="clear" w:color="auto" w:fill="FFFFFF"/>
            <w:noWrap/>
            <w:vAlign w:val="bottom"/>
            <w:hideMark/>
          </w:tcPr>
          <w:p w14:paraId="5F0DBFB5"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286.620</w:t>
            </w:r>
            <w:r w:rsidR="00E90931" w:rsidRPr="00AE4E8D">
              <w:rPr>
                <w:rFonts w:ascii="Times New Roman" w:hAnsi="Times New Roman"/>
                <w:sz w:val="16"/>
                <w:lang w:val="es-ES"/>
              </w:rPr>
              <w:t xml:space="preserve"> </w:t>
            </w:r>
          </w:p>
        </w:tc>
        <w:tc>
          <w:tcPr>
            <w:tcW w:w="356" w:type="pct"/>
            <w:shd w:val="clear" w:color="auto" w:fill="FFFFFF"/>
            <w:noWrap/>
            <w:vAlign w:val="bottom"/>
            <w:hideMark/>
          </w:tcPr>
          <w:p w14:paraId="2D807A31"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13,31</w:t>
            </w:r>
            <w:r w:rsidRPr="00AE4E8D">
              <w:rPr>
                <w:rFonts w:ascii="Times New Roman" w:hAnsi="Times New Roman"/>
                <w:sz w:val="16"/>
                <w:lang w:val="es-ES"/>
              </w:rPr>
              <w:t>%</w:t>
            </w:r>
          </w:p>
        </w:tc>
        <w:tc>
          <w:tcPr>
            <w:tcW w:w="138" w:type="pct"/>
            <w:shd w:val="clear" w:color="auto" w:fill="FFFFFF"/>
            <w:noWrap/>
            <w:vAlign w:val="bottom"/>
          </w:tcPr>
          <w:p w14:paraId="34DC71CF" w14:textId="77777777" w:rsidR="00E90931" w:rsidRPr="00AE4E8D" w:rsidRDefault="00E90931" w:rsidP="00E90931">
            <w:pPr>
              <w:jc w:val="right"/>
              <w:rPr>
                <w:rFonts w:ascii="Times New Roman" w:hAnsi="Times New Roman"/>
                <w:sz w:val="16"/>
                <w:lang w:val="es-ES"/>
              </w:rPr>
            </w:pPr>
          </w:p>
        </w:tc>
        <w:tc>
          <w:tcPr>
            <w:tcW w:w="409" w:type="pct"/>
            <w:shd w:val="clear" w:color="auto" w:fill="FFFFFF"/>
            <w:noWrap/>
            <w:vAlign w:val="bottom"/>
            <w:hideMark/>
          </w:tcPr>
          <w:p w14:paraId="0806DB09"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 xml:space="preserve">469.942 </w:t>
            </w:r>
          </w:p>
        </w:tc>
        <w:tc>
          <w:tcPr>
            <w:tcW w:w="356" w:type="pct"/>
            <w:shd w:val="clear" w:color="auto" w:fill="FFFFFF"/>
            <w:noWrap/>
            <w:vAlign w:val="bottom"/>
            <w:hideMark/>
          </w:tcPr>
          <w:p w14:paraId="0A0D8AAA"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11,44%</w:t>
            </w:r>
          </w:p>
        </w:tc>
        <w:tc>
          <w:tcPr>
            <w:tcW w:w="138" w:type="pct"/>
            <w:shd w:val="clear" w:color="auto" w:fill="FFFFFF"/>
            <w:noWrap/>
            <w:vAlign w:val="bottom"/>
          </w:tcPr>
          <w:p w14:paraId="448D5D8B" w14:textId="77777777" w:rsidR="00E90931" w:rsidRPr="00AE4E8D" w:rsidRDefault="00E90931" w:rsidP="00E90931">
            <w:pPr>
              <w:jc w:val="right"/>
              <w:rPr>
                <w:rFonts w:ascii="Times New Roman" w:hAnsi="Times New Roman"/>
                <w:sz w:val="16"/>
                <w:lang w:val="es-ES"/>
              </w:rPr>
            </w:pPr>
          </w:p>
        </w:tc>
        <w:tc>
          <w:tcPr>
            <w:tcW w:w="409" w:type="pct"/>
            <w:shd w:val="clear" w:color="auto" w:fill="FFFFFF"/>
            <w:noWrap/>
            <w:vAlign w:val="bottom"/>
            <w:hideMark/>
          </w:tcPr>
          <w:p w14:paraId="7E4A89C4"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391.766</w:t>
            </w:r>
            <w:r w:rsidR="00E90931" w:rsidRPr="00AE4E8D">
              <w:rPr>
                <w:rFonts w:ascii="Times New Roman" w:hAnsi="Times New Roman"/>
                <w:sz w:val="16"/>
                <w:lang w:val="es-ES"/>
              </w:rPr>
              <w:t xml:space="preserve"> </w:t>
            </w:r>
          </w:p>
        </w:tc>
        <w:tc>
          <w:tcPr>
            <w:tcW w:w="353" w:type="pct"/>
            <w:shd w:val="clear" w:color="auto" w:fill="FFFFFF"/>
            <w:noWrap/>
            <w:vAlign w:val="bottom"/>
            <w:hideMark/>
          </w:tcPr>
          <w:p w14:paraId="0C94101A"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7,22</w:t>
            </w:r>
            <w:r w:rsidRPr="00AE4E8D">
              <w:rPr>
                <w:rFonts w:ascii="Times New Roman" w:hAnsi="Times New Roman"/>
                <w:sz w:val="16"/>
                <w:lang w:val="es-ES"/>
              </w:rPr>
              <w:t>%</w:t>
            </w:r>
          </w:p>
        </w:tc>
      </w:tr>
      <w:tr w:rsidR="003B5193" w:rsidRPr="00AE4E8D" w14:paraId="47279026" w14:textId="77777777" w:rsidTr="00091EF5">
        <w:trPr>
          <w:trHeight w:val="255"/>
          <w:jc w:val="center"/>
        </w:trPr>
        <w:tc>
          <w:tcPr>
            <w:tcW w:w="486" w:type="pct"/>
            <w:vAlign w:val="center"/>
            <w:hideMark/>
          </w:tcPr>
          <w:p w14:paraId="0A13D22A"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Títulos Públicos del Gobierno Provincial</w:t>
            </w:r>
          </w:p>
        </w:tc>
        <w:tc>
          <w:tcPr>
            <w:tcW w:w="435" w:type="pct"/>
            <w:noWrap/>
            <w:vAlign w:val="bottom"/>
            <w:hideMark/>
          </w:tcPr>
          <w:p w14:paraId="35724AAF" w14:textId="77777777" w:rsidR="00E90931" w:rsidRPr="00AE4E8D" w:rsidRDefault="00FA3175" w:rsidP="00E90931">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429" w:type="pct"/>
            <w:noWrap/>
            <w:vAlign w:val="bottom"/>
          </w:tcPr>
          <w:p w14:paraId="7CA7E29A"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4FAD35A4" w14:textId="77777777" w:rsidR="00E90931" w:rsidRPr="00AE4E8D" w:rsidRDefault="00E90931" w:rsidP="00E90931">
            <w:pPr>
              <w:jc w:val="right"/>
              <w:rPr>
                <w:rFonts w:ascii="Times New Roman" w:hAnsi="Times New Roman"/>
                <w:sz w:val="14"/>
                <w:szCs w:val="14"/>
                <w:lang w:val="es-ES"/>
              </w:rPr>
            </w:pPr>
          </w:p>
        </w:tc>
        <w:tc>
          <w:tcPr>
            <w:tcW w:w="435" w:type="pct"/>
            <w:shd w:val="clear" w:color="auto" w:fill="FFFFFF"/>
            <w:noWrap/>
            <w:vAlign w:val="bottom"/>
            <w:hideMark/>
          </w:tcPr>
          <w:p w14:paraId="42EFAC9E" w14:textId="77777777" w:rsidR="00E90931" w:rsidRPr="00AE4E8D" w:rsidRDefault="00FA3175" w:rsidP="00E90931">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56" w:type="pct"/>
            <w:shd w:val="clear" w:color="auto" w:fill="FFFFFF"/>
            <w:noWrap/>
            <w:vAlign w:val="bottom"/>
            <w:hideMark/>
          </w:tcPr>
          <w:p w14:paraId="7FBE13A5"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0,00%</w:t>
            </w:r>
          </w:p>
        </w:tc>
        <w:tc>
          <w:tcPr>
            <w:tcW w:w="138" w:type="pct"/>
            <w:shd w:val="clear" w:color="auto" w:fill="FFFFFF"/>
            <w:noWrap/>
            <w:vAlign w:val="bottom"/>
            <w:hideMark/>
          </w:tcPr>
          <w:p w14:paraId="3A049083"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5" w:type="pct"/>
            <w:shd w:val="clear" w:color="auto" w:fill="FFFFFF"/>
            <w:noWrap/>
            <w:vAlign w:val="bottom"/>
            <w:hideMark/>
          </w:tcPr>
          <w:p w14:paraId="5C28B6E6" w14:textId="77777777" w:rsidR="00E90931" w:rsidRPr="00AE4E8D" w:rsidRDefault="00FA3175" w:rsidP="00E90931">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56" w:type="pct"/>
            <w:shd w:val="clear" w:color="auto" w:fill="FFFFFF"/>
            <w:noWrap/>
            <w:vAlign w:val="bottom"/>
            <w:hideMark/>
          </w:tcPr>
          <w:p w14:paraId="20FD701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0,00%</w:t>
            </w:r>
          </w:p>
        </w:tc>
        <w:tc>
          <w:tcPr>
            <w:tcW w:w="138" w:type="pct"/>
            <w:shd w:val="clear" w:color="auto" w:fill="FFFFFF"/>
            <w:noWrap/>
            <w:vAlign w:val="bottom"/>
            <w:hideMark/>
          </w:tcPr>
          <w:p w14:paraId="35C12633"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4DE34D3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24152266"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shd w:val="clear" w:color="auto" w:fill="FFFFFF"/>
            <w:noWrap/>
            <w:vAlign w:val="bottom"/>
            <w:hideMark/>
          </w:tcPr>
          <w:p w14:paraId="59D57579"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6D089BAA" w14:textId="77777777" w:rsidR="00E90931" w:rsidRPr="00AE4E8D" w:rsidRDefault="00FA3175" w:rsidP="00E90931">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353" w:type="pct"/>
            <w:shd w:val="clear" w:color="auto" w:fill="FFFFFF"/>
            <w:noWrap/>
            <w:vAlign w:val="bottom"/>
            <w:hideMark/>
          </w:tcPr>
          <w:p w14:paraId="7E48BA7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0,00%</w:t>
            </w:r>
          </w:p>
        </w:tc>
      </w:tr>
      <w:tr w:rsidR="00B86C83" w:rsidRPr="00AE4E8D" w14:paraId="20F934A2" w14:textId="77777777" w:rsidTr="000400C8">
        <w:trPr>
          <w:trHeight w:val="255"/>
          <w:jc w:val="center"/>
        </w:trPr>
        <w:tc>
          <w:tcPr>
            <w:tcW w:w="486" w:type="pct"/>
            <w:vAlign w:val="center"/>
          </w:tcPr>
          <w:p w14:paraId="53D1DEF1"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356294ED"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21F8059E"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42FC36BF"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60CD07A4"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34AAF8A5"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1E119228"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2320D58F"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3DAD9E4C"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489EB129"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0AFF4CC9"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7F317B28" w14:textId="77777777" w:rsidR="00E90931" w:rsidRPr="00AE4E8D" w:rsidRDefault="00E90931" w:rsidP="00E90931">
            <w:pPr>
              <w:jc w:val="right"/>
              <w:rPr>
                <w:rFonts w:ascii="Times New Roman" w:hAnsi="Times New Roman"/>
                <w:b/>
                <w:bCs/>
                <w:sz w:val="14"/>
                <w:szCs w:val="14"/>
                <w:lang w:val="es-ES"/>
              </w:rPr>
            </w:pPr>
          </w:p>
        </w:tc>
        <w:tc>
          <w:tcPr>
            <w:tcW w:w="138" w:type="pct"/>
            <w:noWrap/>
            <w:vAlign w:val="bottom"/>
          </w:tcPr>
          <w:p w14:paraId="284E99F4"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6A74F92F"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24886E39" w14:textId="77777777" w:rsidR="00E90931" w:rsidRPr="00AE4E8D" w:rsidRDefault="00E90931" w:rsidP="00E90931">
            <w:pPr>
              <w:jc w:val="right"/>
              <w:rPr>
                <w:rFonts w:ascii="Times New Roman" w:hAnsi="Times New Roman"/>
                <w:b/>
                <w:bCs/>
                <w:sz w:val="14"/>
                <w:szCs w:val="14"/>
                <w:lang w:val="es-ES"/>
              </w:rPr>
            </w:pPr>
          </w:p>
        </w:tc>
      </w:tr>
      <w:tr w:rsidR="00B86C83" w:rsidRPr="00AE4E8D" w14:paraId="0F458B7A" w14:textId="77777777" w:rsidTr="000400C8">
        <w:trPr>
          <w:trHeight w:val="255"/>
          <w:jc w:val="center"/>
        </w:trPr>
        <w:tc>
          <w:tcPr>
            <w:tcW w:w="486" w:type="pct"/>
            <w:vAlign w:val="center"/>
            <w:hideMark/>
          </w:tcPr>
          <w:p w14:paraId="1364FFF9"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En Dólares Est.</w:t>
            </w:r>
          </w:p>
        </w:tc>
        <w:tc>
          <w:tcPr>
            <w:tcW w:w="435" w:type="pct"/>
            <w:noWrap/>
            <w:vAlign w:val="bottom"/>
            <w:hideMark/>
          </w:tcPr>
          <w:p w14:paraId="24BCB41F"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809.634</w:t>
            </w:r>
            <w:r w:rsidR="00E90931" w:rsidRPr="00AE4E8D">
              <w:rPr>
                <w:rFonts w:ascii="Times New Roman" w:hAnsi="Times New Roman"/>
                <w:b/>
                <w:sz w:val="16"/>
                <w:lang w:val="es-ES"/>
              </w:rPr>
              <w:t xml:space="preserve"> </w:t>
            </w:r>
          </w:p>
        </w:tc>
        <w:tc>
          <w:tcPr>
            <w:tcW w:w="429" w:type="pct"/>
            <w:noWrap/>
            <w:vAlign w:val="bottom"/>
            <w:hideMark/>
          </w:tcPr>
          <w:p w14:paraId="7656D9BB"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3,56</w:t>
            </w:r>
            <w:r w:rsidRPr="00AE4E8D">
              <w:rPr>
                <w:rFonts w:ascii="Times New Roman" w:hAnsi="Times New Roman"/>
                <w:b/>
                <w:sz w:val="16"/>
                <w:lang w:val="es-ES"/>
              </w:rPr>
              <w:t>%</w:t>
            </w:r>
          </w:p>
        </w:tc>
        <w:tc>
          <w:tcPr>
            <w:tcW w:w="137" w:type="pct"/>
            <w:noWrap/>
            <w:vAlign w:val="bottom"/>
          </w:tcPr>
          <w:p w14:paraId="7CEBDE48" w14:textId="77777777" w:rsidR="00E90931" w:rsidRPr="00AE4E8D" w:rsidRDefault="00E90931" w:rsidP="00E90931">
            <w:pPr>
              <w:jc w:val="right"/>
              <w:rPr>
                <w:rFonts w:ascii="Times New Roman" w:hAnsi="Times New Roman"/>
                <w:sz w:val="16"/>
                <w:lang w:val="es-ES"/>
              </w:rPr>
            </w:pPr>
          </w:p>
        </w:tc>
        <w:tc>
          <w:tcPr>
            <w:tcW w:w="435" w:type="pct"/>
            <w:noWrap/>
            <w:vAlign w:val="bottom"/>
            <w:hideMark/>
          </w:tcPr>
          <w:p w14:paraId="7FBB5A07"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212.225</w:t>
            </w:r>
            <w:r w:rsidR="00E90931" w:rsidRPr="00AE4E8D">
              <w:rPr>
                <w:rFonts w:ascii="Times New Roman" w:hAnsi="Times New Roman"/>
                <w:b/>
                <w:sz w:val="16"/>
                <w:lang w:val="es-ES"/>
              </w:rPr>
              <w:t xml:space="preserve"> </w:t>
            </w:r>
          </w:p>
        </w:tc>
        <w:tc>
          <w:tcPr>
            <w:tcW w:w="356" w:type="pct"/>
            <w:noWrap/>
            <w:vAlign w:val="bottom"/>
            <w:hideMark/>
          </w:tcPr>
          <w:p w14:paraId="5179B1B5"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1,92</w:t>
            </w:r>
            <w:r w:rsidRPr="00AE4E8D">
              <w:rPr>
                <w:rFonts w:ascii="Times New Roman" w:hAnsi="Times New Roman"/>
                <w:b/>
                <w:sz w:val="16"/>
                <w:lang w:val="es-ES"/>
              </w:rPr>
              <w:t>%</w:t>
            </w:r>
          </w:p>
        </w:tc>
        <w:tc>
          <w:tcPr>
            <w:tcW w:w="138" w:type="pct"/>
            <w:noWrap/>
            <w:vAlign w:val="bottom"/>
          </w:tcPr>
          <w:p w14:paraId="44A34DA3" w14:textId="77777777" w:rsidR="00E90931" w:rsidRPr="00AE4E8D" w:rsidRDefault="00E90931" w:rsidP="00E90931">
            <w:pPr>
              <w:jc w:val="right"/>
              <w:rPr>
                <w:rFonts w:ascii="Times New Roman" w:hAnsi="Times New Roman"/>
                <w:sz w:val="16"/>
                <w:lang w:val="es-ES"/>
              </w:rPr>
            </w:pPr>
          </w:p>
        </w:tc>
        <w:tc>
          <w:tcPr>
            <w:tcW w:w="425" w:type="pct"/>
            <w:noWrap/>
            <w:vAlign w:val="bottom"/>
            <w:hideMark/>
          </w:tcPr>
          <w:p w14:paraId="47E63ABC"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309.509</w:t>
            </w:r>
            <w:r w:rsidR="00E90931" w:rsidRPr="00AE4E8D">
              <w:rPr>
                <w:rFonts w:ascii="Times New Roman" w:hAnsi="Times New Roman"/>
                <w:b/>
                <w:sz w:val="16"/>
                <w:lang w:val="es-ES"/>
              </w:rPr>
              <w:t xml:space="preserve"> </w:t>
            </w:r>
          </w:p>
        </w:tc>
        <w:tc>
          <w:tcPr>
            <w:tcW w:w="356" w:type="pct"/>
            <w:noWrap/>
            <w:vAlign w:val="bottom"/>
            <w:hideMark/>
          </w:tcPr>
          <w:p w14:paraId="666813F0"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3,00</w:t>
            </w:r>
            <w:r w:rsidRPr="00AE4E8D">
              <w:rPr>
                <w:rFonts w:ascii="Times New Roman" w:hAnsi="Times New Roman"/>
                <w:b/>
                <w:sz w:val="16"/>
                <w:lang w:val="es-ES"/>
              </w:rPr>
              <w:t>%</w:t>
            </w:r>
          </w:p>
        </w:tc>
        <w:tc>
          <w:tcPr>
            <w:tcW w:w="138" w:type="pct"/>
            <w:noWrap/>
            <w:vAlign w:val="bottom"/>
          </w:tcPr>
          <w:p w14:paraId="41D1CFA1" w14:textId="77777777" w:rsidR="00E90931" w:rsidRPr="00AE4E8D" w:rsidRDefault="00E90931" w:rsidP="00E90931">
            <w:pPr>
              <w:jc w:val="right"/>
              <w:rPr>
                <w:rFonts w:ascii="Times New Roman" w:hAnsi="Times New Roman"/>
                <w:sz w:val="16"/>
                <w:lang w:val="es-ES"/>
              </w:rPr>
            </w:pPr>
          </w:p>
        </w:tc>
        <w:tc>
          <w:tcPr>
            <w:tcW w:w="409" w:type="pct"/>
            <w:noWrap/>
            <w:vAlign w:val="bottom"/>
            <w:hideMark/>
          </w:tcPr>
          <w:p w14:paraId="29172D7B"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110.424</w:t>
            </w:r>
            <w:r w:rsidR="00E90931" w:rsidRPr="00AE4E8D">
              <w:rPr>
                <w:rFonts w:ascii="Times New Roman" w:hAnsi="Times New Roman"/>
                <w:b/>
                <w:sz w:val="16"/>
                <w:lang w:val="es-ES"/>
              </w:rPr>
              <w:t xml:space="preserve"> </w:t>
            </w:r>
          </w:p>
        </w:tc>
        <w:tc>
          <w:tcPr>
            <w:tcW w:w="356" w:type="pct"/>
            <w:noWrap/>
            <w:vAlign w:val="bottom"/>
            <w:hideMark/>
          </w:tcPr>
          <w:p w14:paraId="793880ED"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lang w:val="es-ES"/>
              </w:rPr>
              <w:t>8,75%</w:t>
            </w:r>
          </w:p>
        </w:tc>
        <w:tc>
          <w:tcPr>
            <w:tcW w:w="138" w:type="pct"/>
            <w:noWrap/>
            <w:vAlign w:val="bottom"/>
          </w:tcPr>
          <w:p w14:paraId="07B6FB9D" w14:textId="77777777" w:rsidR="00E90931" w:rsidRPr="00AE4E8D" w:rsidRDefault="00E90931" w:rsidP="00E90931">
            <w:pPr>
              <w:jc w:val="right"/>
              <w:rPr>
                <w:rFonts w:ascii="Times New Roman" w:hAnsi="Times New Roman"/>
                <w:sz w:val="16"/>
                <w:lang w:val="es-ES"/>
              </w:rPr>
            </w:pPr>
          </w:p>
        </w:tc>
        <w:tc>
          <w:tcPr>
            <w:tcW w:w="409" w:type="pct"/>
            <w:noWrap/>
            <w:vAlign w:val="bottom"/>
            <w:hideMark/>
          </w:tcPr>
          <w:p w14:paraId="11DF5EB9"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177.477</w:t>
            </w:r>
            <w:r w:rsidR="00E90931" w:rsidRPr="00AE4E8D">
              <w:rPr>
                <w:rFonts w:ascii="Times New Roman" w:hAnsi="Times New Roman"/>
                <w:b/>
                <w:sz w:val="16"/>
                <w:lang w:val="es-ES"/>
              </w:rPr>
              <w:t xml:space="preserve"> </w:t>
            </w:r>
          </w:p>
        </w:tc>
        <w:tc>
          <w:tcPr>
            <w:tcW w:w="353" w:type="pct"/>
            <w:noWrap/>
            <w:vAlign w:val="bottom"/>
            <w:hideMark/>
          </w:tcPr>
          <w:p w14:paraId="4141AAE3"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3,26</w:t>
            </w:r>
            <w:r w:rsidRPr="00AE4E8D">
              <w:rPr>
                <w:rFonts w:ascii="Times New Roman" w:hAnsi="Times New Roman"/>
                <w:b/>
                <w:sz w:val="16"/>
                <w:lang w:val="es-ES"/>
              </w:rPr>
              <w:t>%</w:t>
            </w:r>
          </w:p>
        </w:tc>
      </w:tr>
      <w:tr w:rsidR="003B5193" w:rsidRPr="00AE4E8D" w14:paraId="6B66C57C" w14:textId="77777777" w:rsidTr="00091EF5">
        <w:trPr>
          <w:trHeight w:val="255"/>
          <w:jc w:val="center"/>
        </w:trPr>
        <w:tc>
          <w:tcPr>
            <w:tcW w:w="486" w:type="pct"/>
            <w:vAlign w:val="center"/>
            <w:hideMark/>
          </w:tcPr>
          <w:p w14:paraId="7A0485F5"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Títulos Públicos del Gobierno Nacional</w:t>
            </w:r>
          </w:p>
        </w:tc>
        <w:tc>
          <w:tcPr>
            <w:tcW w:w="435" w:type="pct"/>
            <w:noWrap/>
            <w:vAlign w:val="bottom"/>
            <w:hideMark/>
          </w:tcPr>
          <w:p w14:paraId="1A940284"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lang w:val="es-ES"/>
              </w:rPr>
              <w:t xml:space="preserve"> </w:t>
            </w:r>
            <w:r w:rsidR="00E90931" w:rsidRPr="00AE4E8D">
              <w:rPr>
                <w:rFonts w:ascii="Times New Roman" w:hAnsi="Times New Roman"/>
                <w:sz w:val="16"/>
                <w:szCs w:val="16"/>
                <w:lang w:val="es-ES"/>
              </w:rPr>
              <w:t>577.840</w:t>
            </w:r>
            <w:r w:rsidR="00E90931" w:rsidRPr="00AE4E8D">
              <w:rPr>
                <w:rFonts w:ascii="Times New Roman" w:hAnsi="Times New Roman"/>
                <w:sz w:val="16"/>
                <w:lang w:val="es-ES"/>
              </w:rPr>
              <w:t xml:space="preserve"> </w:t>
            </w:r>
          </w:p>
        </w:tc>
        <w:tc>
          <w:tcPr>
            <w:tcW w:w="429" w:type="pct"/>
            <w:noWrap/>
            <w:vAlign w:val="bottom"/>
            <w:hideMark/>
          </w:tcPr>
          <w:p w14:paraId="3B3134D4"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3,55</w:t>
            </w:r>
            <w:r w:rsidRPr="00AE4E8D">
              <w:rPr>
                <w:rFonts w:ascii="Times New Roman" w:hAnsi="Times New Roman"/>
                <w:sz w:val="16"/>
                <w:lang w:val="es-ES"/>
              </w:rPr>
              <w:t>%</w:t>
            </w:r>
          </w:p>
        </w:tc>
        <w:tc>
          <w:tcPr>
            <w:tcW w:w="137" w:type="pct"/>
            <w:noWrap/>
            <w:vAlign w:val="bottom"/>
          </w:tcPr>
          <w:p w14:paraId="69C48FAA" w14:textId="77777777" w:rsidR="00E90931" w:rsidRPr="00AE4E8D" w:rsidRDefault="00E90931" w:rsidP="00E90931">
            <w:pPr>
              <w:jc w:val="right"/>
              <w:rPr>
                <w:rFonts w:ascii="Times New Roman" w:hAnsi="Times New Roman"/>
                <w:sz w:val="16"/>
                <w:lang w:val="es-ES"/>
              </w:rPr>
            </w:pPr>
          </w:p>
        </w:tc>
        <w:tc>
          <w:tcPr>
            <w:tcW w:w="435" w:type="pct"/>
            <w:shd w:val="clear" w:color="auto" w:fill="FFFFFF"/>
            <w:noWrap/>
            <w:vAlign w:val="bottom"/>
            <w:hideMark/>
          </w:tcPr>
          <w:p w14:paraId="34C8671E"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197.650</w:t>
            </w:r>
            <w:r w:rsidR="00E90931" w:rsidRPr="00AE4E8D">
              <w:rPr>
                <w:rFonts w:ascii="Times New Roman" w:hAnsi="Times New Roman"/>
                <w:sz w:val="16"/>
                <w:lang w:val="es-ES"/>
              </w:rPr>
              <w:t xml:space="preserve"> </w:t>
            </w:r>
          </w:p>
        </w:tc>
        <w:tc>
          <w:tcPr>
            <w:tcW w:w="356" w:type="pct"/>
            <w:shd w:val="clear" w:color="auto" w:fill="FFFFFF"/>
            <w:noWrap/>
            <w:vAlign w:val="bottom"/>
            <w:hideMark/>
          </w:tcPr>
          <w:p w14:paraId="0728B521"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1,</w:t>
            </w:r>
            <w:r w:rsidRPr="00AE4E8D">
              <w:rPr>
                <w:rFonts w:ascii="Times New Roman" w:hAnsi="Times New Roman"/>
                <w:sz w:val="16"/>
                <w:szCs w:val="16"/>
                <w:lang w:val="es-ES"/>
              </w:rPr>
              <w:t>72</w:t>
            </w:r>
            <w:r w:rsidRPr="00AE4E8D">
              <w:rPr>
                <w:rFonts w:ascii="Times New Roman" w:hAnsi="Times New Roman"/>
                <w:sz w:val="16"/>
                <w:lang w:val="es-ES"/>
              </w:rPr>
              <w:t>%</w:t>
            </w:r>
          </w:p>
        </w:tc>
        <w:tc>
          <w:tcPr>
            <w:tcW w:w="138" w:type="pct"/>
            <w:shd w:val="clear" w:color="auto" w:fill="FFFFFF"/>
            <w:noWrap/>
            <w:vAlign w:val="bottom"/>
          </w:tcPr>
          <w:p w14:paraId="3FB9748D" w14:textId="77777777" w:rsidR="00E90931" w:rsidRPr="00AE4E8D" w:rsidRDefault="00E90931" w:rsidP="00E90931">
            <w:pPr>
              <w:jc w:val="right"/>
              <w:rPr>
                <w:rFonts w:ascii="Times New Roman" w:hAnsi="Times New Roman"/>
                <w:sz w:val="16"/>
                <w:lang w:val="es-ES"/>
              </w:rPr>
            </w:pPr>
          </w:p>
        </w:tc>
        <w:tc>
          <w:tcPr>
            <w:tcW w:w="425" w:type="pct"/>
            <w:shd w:val="clear" w:color="auto" w:fill="FFFFFF"/>
            <w:noWrap/>
            <w:vAlign w:val="bottom"/>
            <w:hideMark/>
          </w:tcPr>
          <w:p w14:paraId="48B91C97"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92.290</w:t>
            </w:r>
            <w:r w:rsidR="00E90931" w:rsidRPr="00AE4E8D">
              <w:rPr>
                <w:rFonts w:ascii="Times New Roman" w:hAnsi="Times New Roman"/>
                <w:sz w:val="16"/>
                <w:lang w:val="es-ES"/>
              </w:rPr>
              <w:t xml:space="preserve"> </w:t>
            </w:r>
          </w:p>
        </w:tc>
        <w:tc>
          <w:tcPr>
            <w:tcW w:w="356" w:type="pct"/>
            <w:shd w:val="clear" w:color="auto" w:fill="FFFFFF"/>
            <w:noWrap/>
            <w:vAlign w:val="bottom"/>
            <w:hideMark/>
          </w:tcPr>
          <w:p w14:paraId="008A9EC2"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1,84</w:t>
            </w:r>
            <w:r w:rsidRPr="00AE4E8D">
              <w:rPr>
                <w:rFonts w:ascii="Times New Roman" w:hAnsi="Times New Roman"/>
                <w:sz w:val="16"/>
                <w:lang w:val="es-ES"/>
              </w:rPr>
              <w:t>%</w:t>
            </w:r>
          </w:p>
        </w:tc>
        <w:tc>
          <w:tcPr>
            <w:tcW w:w="138" w:type="pct"/>
            <w:shd w:val="clear" w:color="auto" w:fill="FFFFFF"/>
            <w:noWrap/>
            <w:vAlign w:val="bottom"/>
          </w:tcPr>
          <w:p w14:paraId="60F91A0B" w14:textId="77777777" w:rsidR="00E90931" w:rsidRPr="00AE4E8D" w:rsidRDefault="00E90931" w:rsidP="00E90931">
            <w:pPr>
              <w:jc w:val="right"/>
              <w:rPr>
                <w:rFonts w:ascii="Times New Roman" w:hAnsi="Times New Roman"/>
                <w:sz w:val="16"/>
                <w:lang w:val="es-ES"/>
              </w:rPr>
            </w:pPr>
          </w:p>
        </w:tc>
        <w:tc>
          <w:tcPr>
            <w:tcW w:w="409" w:type="pct"/>
            <w:shd w:val="clear" w:color="auto" w:fill="FFFFFF"/>
            <w:noWrap/>
            <w:vAlign w:val="bottom"/>
            <w:hideMark/>
          </w:tcPr>
          <w:p w14:paraId="4F690039"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110.424</w:t>
            </w:r>
            <w:r w:rsidR="00E90931" w:rsidRPr="00AE4E8D">
              <w:rPr>
                <w:rFonts w:ascii="Times New Roman" w:hAnsi="Times New Roman"/>
                <w:sz w:val="16"/>
                <w:lang w:val="es-ES"/>
              </w:rPr>
              <w:t xml:space="preserve"> </w:t>
            </w:r>
          </w:p>
        </w:tc>
        <w:tc>
          <w:tcPr>
            <w:tcW w:w="356" w:type="pct"/>
            <w:shd w:val="clear" w:color="auto" w:fill="FFFFFF"/>
            <w:noWrap/>
            <w:vAlign w:val="bottom"/>
            <w:hideMark/>
          </w:tcPr>
          <w:p w14:paraId="0A3A630D"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8,75%</w:t>
            </w:r>
          </w:p>
        </w:tc>
        <w:tc>
          <w:tcPr>
            <w:tcW w:w="138" w:type="pct"/>
            <w:shd w:val="clear" w:color="auto" w:fill="FFFFFF"/>
            <w:noWrap/>
            <w:vAlign w:val="bottom"/>
          </w:tcPr>
          <w:p w14:paraId="7CF6A31D" w14:textId="77777777" w:rsidR="00E90931" w:rsidRPr="00AE4E8D" w:rsidRDefault="00E90931" w:rsidP="00E90931">
            <w:pPr>
              <w:jc w:val="right"/>
              <w:rPr>
                <w:rFonts w:ascii="Times New Roman" w:hAnsi="Times New Roman"/>
                <w:sz w:val="16"/>
                <w:lang w:val="es-ES"/>
              </w:rPr>
            </w:pPr>
          </w:p>
        </w:tc>
        <w:tc>
          <w:tcPr>
            <w:tcW w:w="409" w:type="pct"/>
            <w:shd w:val="clear" w:color="auto" w:fill="FFFFFF"/>
            <w:noWrap/>
            <w:vAlign w:val="bottom"/>
            <w:hideMark/>
          </w:tcPr>
          <w:p w14:paraId="1CDC94FC"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177.477</w:t>
            </w:r>
            <w:r w:rsidR="00E90931" w:rsidRPr="00AE4E8D">
              <w:rPr>
                <w:rFonts w:ascii="Times New Roman" w:hAnsi="Times New Roman"/>
                <w:sz w:val="16"/>
                <w:lang w:val="es-ES"/>
              </w:rPr>
              <w:t xml:space="preserve"> </w:t>
            </w:r>
          </w:p>
        </w:tc>
        <w:tc>
          <w:tcPr>
            <w:tcW w:w="353" w:type="pct"/>
            <w:shd w:val="clear" w:color="auto" w:fill="FFFFFF"/>
            <w:noWrap/>
            <w:vAlign w:val="bottom"/>
            <w:hideMark/>
          </w:tcPr>
          <w:p w14:paraId="554C4E5A"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3,26</w:t>
            </w:r>
            <w:r w:rsidRPr="00AE4E8D">
              <w:rPr>
                <w:rFonts w:ascii="Times New Roman" w:hAnsi="Times New Roman"/>
                <w:sz w:val="16"/>
                <w:lang w:val="es-ES"/>
              </w:rPr>
              <w:t>%</w:t>
            </w:r>
          </w:p>
        </w:tc>
      </w:tr>
      <w:tr w:rsidR="003B5193" w:rsidRPr="00AE4E8D" w14:paraId="66F5CA1C" w14:textId="77777777" w:rsidTr="00091EF5">
        <w:trPr>
          <w:trHeight w:val="255"/>
          <w:jc w:val="center"/>
        </w:trPr>
        <w:tc>
          <w:tcPr>
            <w:tcW w:w="486" w:type="pct"/>
            <w:vAlign w:val="center"/>
            <w:hideMark/>
          </w:tcPr>
          <w:p w14:paraId="60B30A60"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Títulos Públicos del Gobierno Provincial</w:t>
            </w:r>
          </w:p>
        </w:tc>
        <w:tc>
          <w:tcPr>
            <w:tcW w:w="435" w:type="pct"/>
            <w:noWrap/>
            <w:vAlign w:val="bottom"/>
            <w:hideMark/>
          </w:tcPr>
          <w:p w14:paraId="4FA1E71B"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lang w:val="es-ES"/>
              </w:rPr>
              <w:t xml:space="preserve"> </w:t>
            </w:r>
            <w:r w:rsidR="00E90931" w:rsidRPr="00AE4E8D">
              <w:rPr>
                <w:rFonts w:ascii="Times New Roman" w:hAnsi="Times New Roman"/>
                <w:sz w:val="16"/>
                <w:szCs w:val="16"/>
                <w:lang w:val="es-ES"/>
              </w:rPr>
              <w:t>231.794</w:t>
            </w:r>
            <w:r w:rsidR="00E90931" w:rsidRPr="00AE4E8D">
              <w:rPr>
                <w:rFonts w:ascii="Times New Roman" w:hAnsi="Times New Roman"/>
                <w:sz w:val="16"/>
                <w:lang w:val="es-ES"/>
              </w:rPr>
              <w:t xml:space="preserve"> </w:t>
            </w:r>
          </w:p>
        </w:tc>
        <w:tc>
          <w:tcPr>
            <w:tcW w:w="429" w:type="pct"/>
            <w:noWrap/>
            <w:vAlign w:val="bottom"/>
            <w:hideMark/>
          </w:tcPr>
          <w:p w14:paraId="112BD5AC"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3,57</w:t>
            </w:r>
            <w:r w:rsidRPr="00AE4E8D">
              <w:rPr>
                <w:rFonts w:ascii="Times New Roman" w:hAnsi="Times New Roman"/>
                <w:sz w:val="16"/>
                <w:lang w:val="es-ES"/>
              </w:rPr>
              <w:t>%</w:t>
            </w:r>
          </w:p>
        </w:tc>
        <w:tc>
          <w:tcPr>
            <w:tcW w:w="137" w:type="pct"/>
            <w:noWrap/>
            <w:vAlign w:val="bottom"/>
          </w:tcPr>
          <w:p w14:paraId="59B0D94F" w14:textId="77777777" w:rsidR="00E90931" w:rsidRPr="00AE4E8D" w:rsidRDefault="00E90931" w:rsidP="00E90931">
            <w:pPr>
              <w:jc w:val="right"/>
              <w:rPr>
                <w:rFonts w:ascii="Times New Roman" w:hAnsi="Times New Roman"/>
                <w:sz w:val="16"/>
                <w:lang w:val="es-ES"/>
              </w:rPr>
            </w:pPr>
          </w:p>
        </w:tc>
        <w:tc>
          <w:tcPr>
            <w:tcW w:w="435" w:type="pct"/>
            <w:shd w:val="clear" w:color="auto" w:fill="FFFFFF"/>
            <w:noWrap/>
            <w:vAlign w:val="bottom"/>
            <w:hideMark/>
          </w:tcPr>
          <w:p w14:paraId="708DA3E2"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14.575</w:t>
            </w:r>
            <w:r w:rsidR="00E90931" w:rsidRPr="00AE4E8D">
              <w:rPr>
                <w:rFonts w:ascii="Times New Roman" w:hAnsi="Times New Roman"/>
                <w:sz w:val="16"/>
                <w:lang w:val="es-ES"/>
              </w:rPr>
              <w:t xml:space="preserve"> </w:t>
            </w:r>
          </w:p>
        </w:tc>
        <w:tc>
          <w:tcPr>
            <w:tcW w:w="356" w:type="pct"/>
            <w:shd w:val="clear" w:color="auto" w:fill="FFFFFF"/>
            <w:noWrap/>
            <w:vAlign w:val="bottom"/>
            <w:hideMark/>
          </w:tcPr>
          <w:p w14:paraId="04D4FC6E"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4,65</w:t>
            </w:r>
            <w:r w:rsidRPr="00AE4E8D">
              <w:rPr>
                <w:rFonts w:ascii="Times New Roman" w:hAnsi="Times New Roman"/>
                <w:sz w:val="16"/>
                <w:lang w:val="es-ES"/>
              </w:rPr>
              <w:t>%</w:t>
            </w:r>
          </w:p>
        </w:tc>
        <w:tc>
          <w:tcPr>
            <w:tcW w:w="138" w:type="pct"/>
            <w:shd w:val="clear" w:color="auto" w:fill="FFFFFF"/>
            <w:noWrap/>
            <w:vAlign w:val="bottom"/>
          </w:tcPr>
          <w:p w14:paraId="79E4CE04" w14:textId="77777777" w:rsidR="00E90931" w:rsidRPr="00AE4E8D" w:rsidRDefault="00E90931" w:rsidP="00E90931">
            <w:pPr>
              <w:jc w:val="right"/>
              <w:rPr>
                <w:rFonts w:ascii="Times New Roman" w:hAnsi="Times New Roman"/>
                <w:sz w:val="16"/>
                <w:lang w:val="es-ES"/>
              </w:rPr>
            </w:pPr>
          </w:p>
        </w:tc>
        <w:tc>
          <w:tcPr>
            <w:tcW w:w="425" w:type="pct"/>
            <w:shd w:val="clear" w:color="auto" w:fill="FFFFFF"/>
            <w:noWrap/>
            <w:vAlign w:val="bottom"/>
            <w:hideMark/>
          </w:tcPr>
          <w:p w14:paraId="59C06949"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217.219</w:t>
            </w:r>
            <w:r w:rsidR="00E90931" w:rsidRPr="00AE4E8D">
              <w:rPr>
                <w:rFonts w:ascii="Times New Roman" w:hAnsi="Times New Roman"/>
                <w:sz w:val="16"/>
                <w:lang w:val="es-ES"/>
              </w:rPr>
              <w:t xml:space="preserve"> </w:t>
            </w:r>
          </w:p>
        </w:tc>
        <w:tc>
          <w:tcPr>
            <w:tcW w:w="356" w:type="pct"/>
            <w:shd w:val="clear" w:color="auto" w:fill="FFFFFF"/>
            <w:noWrap/>
            <w:vAlign w:val="bottom"/>
            <w:hideMark/>
          </w:tcPr>
          <w:p w14:paraId="4593FCD8"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3,50</w:t>
            </w:r>
            <w:r w:rsidRPr="00AE4E8D">
              <w:rPr>
                <w:rFonts w:ascii="Times New Roman" w:hAnsi="Times New Roman"/>
                <w:sz w:val="16"/>
                <w:lang w:val="es-ES"/>
              </w:rPr>
              <w:t>%</w:t>
            </w:r>
          </w:p>
        </w:tc>
        <w:tc>
          <w:tcPr>
            <w:tcW w:w="138" w:type="pct"/>
            <w:shd w:val="clear" w:color="auto" w:fill="FFFFFF"/>
            <w:noWrap/>
            <w:vAlign w:val="bottom"/>
            <w:hideMark/>
          </w:tcPr>
          <w:p w14:paraId="5957D6D0" w14:textId="77777777" w:rsidR="00E90931" w:rsidRPr="00AE4E8D" w:rsidRDefault="00E90931" w:rsidP="00B52753">
            <w:pPr>
              <w:jc w:val="right"/>
              <w:rPr>
                <w:rFonts w:ascii="Times New Roman" w:hAnsi="Times New Roman"/>
                <w:sz w:val="16"/>
                <w:lang w:val="es-ES"/>
              </w:rPr>
            </w:pPr>
            <w:r w:rsidRPr="00AE4E8D">
              <w:rPr>
                <w:rFonts w:ascii="Times New Roman" w:hAnsi="Times New Roman"/>
                <w:sz w:val="16"/>
                <w:lang w:val="es-ES"/>
              </w:rPr>
              <w:t> </w:t>
            </w:r>
          </w:p>
        </w:tc>
        <w:tc>
          <w:tcPr>
            <w:tcW w:w="409" w:type="pct"/>
            <w:shd w:val="clear" w:color="auto" w:fill="FFFFFF"/>
            <w:noWrap/>
            <w:vAlign w:val="bottom"/>
            <w:hideMark/>
          </w:tcPr>
          <w:p w14:paraId="19D8DC6E"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 </w:t>
            </w:r>
          </w:p>
        </w:tc>
        <w:tc>
          <w:tcPr>
            <w:tcW w:w="356" w:type="pct"/>
            <w:shd w:val="clear" w:color="auto" w:fill="FFFFFF"/>
            <w:noWrap/>
            <w:vAlign w:val="bottom"/>
            <w:hideMark/>
          </w:tcPr>
          <w:p w14:paraId="2F8D2CE5"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 </w:t>
            </w:r>
          </w:p>
        </w:tc>
        <w:tc>
          <w:tcPr>
            <w:tcW w:w="138" w:type="pct"/>
            <w:shd w:val="clear" w:color="auto" w:fill="FFFFFF"/>
            <w:noWrap/>
            <w:vAlign w:val="bottom"/>
            <w:hideMark/>
          </w:tcPr>
          <w:p w14:paraId="56002B3A"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 </w:t>
            </w:r>
          </w:p>
        </w:tc>
        <w:tc>
          <w:tcPr>
            <w:tcW w:w="409" w:type="pct"/>
            <w:shd w:val="clear" w:color="auto" w:fill="FFFFFF"/>
            <w:noWrap/>
            <w:vAlign w:val="bottom"/>
            <w:hideMark/>
          </w:tcPr>
          <w:p w14:paraId="5F872856"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 </w:t>
            </w:r>
          </w:p>
        </w:tc>
        <w:tc>
          <w:tcPr>
            <w:tcW w:w="353" w:type="pct"/>
            <w:shd w:val="clear" w:color="auto" w:fill="FFFFFF"/>
            <w:noWrap/>
            <w:vAlign w:val="bottom"/>
            <w:hideMark/>
          </w:tcPr>
          <w:p w14:paraId="5F234408"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 </w:t>
            </w:r>
          </w:p>
        </w:tc>
      </w:tr>
      <w:tr w:rsidR="00B86C83" w:rsidRPr="00AE4E8D" w14:paraId="5342D258" w14:textId="77777777" w:rsidTr="000400C8">
        <w:trPr>
          <w:trHeight w:val="255"/>
          <w:jc w:val="center"/>
        </w:trPr>
        <w:tc>
          <w:tcPr>
            <w:tcW w:w="486" w:type="pct"/>
            <w:vAlign w:val="center"/>
          </w:tcPr>
          <w:p w14:paraId="7E5780E4"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7DF89A2B"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453F60D4"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2B726C93"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5FBC08C9"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4BA9E880"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50495C67"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296AB675"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7DE67493"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0D1335F3"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35095936"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42B02D5B"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7BC8D37F"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6266AE5D"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183C101C" w14:textId="77777777" w:rsidR="00E90931" w:rsidRPr="00AE4E8D" w:rsidRDefault="00E90931" w:rsidP="00E90931">
            <w:pPr>
              <w:jc w:val="right"/>
              <w:rPr>
                <w:rFonts w:ascii="Times New Roman" w:hAnsi="Times New Roman"/>
                <w:sz w:val="14"/>
                <w:szCs w:val="14"/>
                <w:lang w:val="es-ES"/>
              </w:rPr>
            </w:pPr>
          </w:p>
        </w:tc>
      </w:tr>
      <w:tr w:rsidR="003B5193" w:rsidRPr="00AE4E8D" w14:paraId="3B74F2FC" w14:textId="77777777" w:rsidTr="00091EF5">
        <w:trPr>
          <w:trHeight w:val="510"/>
          <w:jc w:val="center"/>
        </w:trPr>
        <w:tc>
          <w:tcPr>
            <w:tcW w:w="486" w:type="pct"/>
            <w:vAlign w:val="center"/>
            <w:hideMark/>
          </w:tcPr>
          <w:p w14:paraId="458C6172"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Total de Títulos Públicos registrados a valor razonable de mercado</w:t>
            </w:r>
          </w:p>
        </w:tc>
        <w:tc>
          <w:tcPr>
            <w:tcW w:w="435" w:type="pct"/>
            <w:tcBorders>
              <w:top w:val="single" w:sz="4" w:space="0" w:color="auto"/>
              <w:left w:val="nil"/>
              <w:bottom w:val="single" w:sz="4" w:space="0" w:color="auto"/>
              <w:right w:val="nil"/>
            </w:tcBorders>
            <w:noWrap/>
            <w:vAlign w:val="bottom"/>
            <w:hideMark/>
          </w:tcPr>
          <w:p w14:paraId="35832656"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lang w:val="es-ES"/>
              </w:rPr>
              <w:t xml:space="preserve"> 2.</w:t>
            </w:r>
            <w:r w:rsidRPr="00AE4E8D">
              <w:rPr>
                <w:rFonts w:ascii="Times New Roman" w:hAnsi="Times New Roman"/>
                <w:b/>
                <w:bCs/>
                <w:sz w:val="16"/>
                <w:szCs w:val="16"/>
                <w:lang w:val="es-ES"/>
              </w:rPr>
              <w:t>257.259</w:t>
            </w:r>
            <w:r w:rsidRPr="00AE4E8D">
              <w:rPr>
                <w:rFonts w:ascii="Times New Roman" w:hAnsi="Times New Roman"/>
                <w:b/>
                <w:sz w:val="16"/>
                <w:lang w:val="es-ES"/>
              </w:rPr>
              <w:t xml:space="preserve"> </w:t>
            </w:r>
          </w:p>
        </w:tc>
        <w:tc>
          <w:tcPr>
            <w:tcW w:w="429" w:type="pct"/>
            <w:tcBorders>
              <w:top w:val="single" w:sz="4" w:space="0" w:color="auto"/>
              <w:left w:val="nil"/>
              <w:bottom w:val="single" w:sz="4" w:space="0" w:color="auto"/>
              <w:right w:val="nil"/>
            </w:tcBorders>
            <w:noWrap/>
            <w:vAlign w:val="bottom"/>
            <w:hideMark/>
          </w:tcPr>
          <w:p w14:paraId="03627582"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6,93</w:t>
            </w:r>
            <w:r w:rsidRPr="00AE4E8D">
              <w:rPr>
                <w:rFonts w:ascii="Times New Roman" w:hAnsi="Times New Roman"/>
                <w:b/>
                <w:sz w:val="16"/>
                <w:lang w:val="es-ES"/>
              </w:rPr>
              <w:t>%</w:t>
            </w:r>
          </w:p>
        </w:tc>
        <w:tc>
          <w:tcPr>
            <w:tcW w:w="137" w:type="pct"/>
            <w:noWrap/>
            <w:vAlign w:val="bottom"/>
          </w:tcPr>
          <w:p w14:paraId="73429B8B" w14:textId="77777777" w:rsidR="00E90931" w:rsidRPr="00AE4E8D" w:rsidRDefault="00E90931" w:rsidP="00E90931">
            <w:pPr>
              <w:jc w:val="right"/>
              <w:rPr>
                <w:rFonts w:ascii="Times New Roman" w:hAnsi="Times New Roman"/>
                <w:b/>
                <w:sz w:val="16"/>
                <w:lang w:val="es-ES"/>
              </w:rPr>
            </w:pPr>
          </w:p>
        </w:tc>
        <w:tc>
          <w:tcPr>
            <w:tcW w:w="435" w:type="pct"/>
            <w:tcBorders>
              <w:top w:val="single" w:sz="4" w:space="0" w:color="auto"/>
              <w:left w:val="nil"/>
              <w:bottom w:val="single" w:sz="4" w:space="0" w:color="auto"/>
              <w:right w:val="nil"/>
            </w:tcBorders>
            <w:noWrap/>
            <w:vAlign w:val="bottom"/>
            <w:hideMark/>
          </w:tcPr>
          <w:p w14:paraId="5D5620DA"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511.520</w:t>
            </w:r>
            <w:r w:rsidR="00E90931" w:rsidRPr="00AE4E8D">
              <w:rPr>
                <w:rFonts w:ascii="Times New Roman" w:hAnsi="Times New Roman"/>
                <w:b/>
                <w:sz w:val="16"/>
                <w:lang w:val="es-ES"/>
              </w:rPr>
              <w:t xml:space="preserve"> </w:t>
            </w:r>
          </w:p>
        </w:tc>
        <w:tc>
          <w:tcPr>
            <w:tcW w:w="356" w:type="pct"/>
            <w:tcBorders>
              <w:top w:val="single" w:sz="4" w:space="0" w:color="auto"/>
              <w:left w:val="nil"/>
              <w:bottom w:val="single" w:sz="4" w:space="0" w:color="auto"/>
              <w:right w:val="nil"/>
            </w:tcBorders>
            <w:noWrap/>
            <w:vAlign w:val="bottom"/>
            <w:hideMark/>
          </w:tcPr>
          <w:p w14:paraId="4C3720B0"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2,23</w:t>
            </w:r>
            <w:r w:rsidRPr="00AE4E8D">
              <w:rPr>
                <w:rFonts w:ascii="Times New Roman" w:hAnsi="Times New Roman"/>
                <w:b/>
                <w:sz w:val="16"/>
                <w:lang w:val="es-ES"/>
              </w:rPr>
              <w:t>%</w:t>
            </w:r>
          </w:p>
        </w:tc>
        <w:tc>
          <w:tcPr>
            <w:tcW w:w="138" w:type="pct"/>
            <w:noWrap/>
            <w:vAlign w:val="bottom"/>
          </w:tcPr>
          <w:p w14:paraId="79EDE370" w14:textId="77777777" w:rsidR="00E90931" w:rsidRPr="00AE4E8D" w:rsidRDefault="00E90931" w:rsidP="00E90931">
            <w:pPr>
              <w:jc w:val="right"/>
              <w:rPr>
                <w:rFonts w:ascii="Times New Roman" w:hAnsi="Times New Roman"/>
                <w:b/>
                <w:sz w:val="16"/>
                <w:lang w:val="es-ES"/>
              </w:rPr>
            </w:pPr>
          </w:p>
        </w:tc>
        <w:tc>
          <w:tcPr>
            <w:tcW w:w="425" w:type="pct"/>
            <w:tcBorders>
              <w:top w:val="single" w:sz="4" w:space="0" w:color="auto"/>
              <w:left w:val="nil"/>
              <w:bottom w:val="single" w:sz="4" w:space="0" w:color="auto"/>
              <w:right w:val="nil"/>
            </w:tcBorders>
            <w:noWrap/>
            <w:vAlign w:val="bottom"/>
            <w:hideMark/>
          </w:tcPr>
          <w:p w14:paraId="363B4848"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596.130</w:t>
            </w:r>
            <w:r w:rsidR="00E90931" w:rsidRPr="00AE4E8D">
              <w:rPr>
                <w:rFonts w:ascii="Times New Roman" w:hAnsi="Times New Roman"/>
                <w:b/>
                <w:sz w:val="16"/>
                <w:lang w:val="es-ES"/>
              </w:rPr>
              <w:t xml:space="preserve"> </w:t>
            </w:r>
          </w:p>
        </w:tc>
        <w:tc>
          <w:tcPr>
            <w:tcW w:w="356" w:type="pct"/>
            <w:tcBorders>
              <w:top w:val="single" w:sz="4" w:space="0" w:color="auto"/>
              <w:left w:val="nil"/>
              <w:bottom w:val="single" w:sz="4" w:space="0" w:color="auto"/>
              <w:right w:val="nil"/>
            </w:tcBorders>
            <w:noWrap/>
            <w:vAlign w:val="bottom"/>
            <w:hideMark/>
          </w:tcPr>
          <w:p w14:paraId="1B50D118"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7,96</w:t>
            </w:r>
            <w:r w:rsidRPr="00AE4E8D">
              <w:rPr>
                <w:rFonts w:ascii="Times New Roman" w:hAnsi="Times New Roman"/>
                <w:b/>
                <w:sz w:val="16"/>
                <w:lang w:val="es-ES"/>
              </w:rPr>
              <w:t>%</w:t>
            </w:r>
          </w:p>
        </w:tc>
        <w:tc>
          <w:tcPr>
            <w:tcW w:w="138" w:type="pct"/>
            <w:noWrap/>
            <w:vAlign w:val="bottom"/>
          </w:tcPr>
          <w:p w14:paraId="06723E85" w14:textId="77777777" w:rsidR="00E90931" w:rsidRPr="00AE4E8D" w:rsidRDefault="00E90931" w:rsidP="00E90931">
            <w:pPr>
              <w:jc w:val="right"/>
              <w:rPr>
                <w:rFonts w:ascii="Times New Roman" w:hAnsi="Times New Roman"/>
                <w:b/>
                <w:sz w:val="16"/>
                <w:lang w:val="es-ES"/>
              </w:rPr>
            </w:pPr>
          </w:p>
        </w:tc>
        <w:tc>
          <w:tcPr>
            <w:tcW w:w="409" w:type="pct"/>
            <w:tcBorders>
              <w:top w:val="single" w:sz="4" w:space="0" w:color="auto"/>
              <w:left w:val="nil"/>
              <w:bottom w:val="single" w:sz="4" w:space="0" w:color="auto"/>
              <w:right w:val="nil"/>
            </w:tcBorders>
            <w:noWrap/>
            <w:vAlign w:val="bottom"/>
            <w:hideMark/>
          </w:tcPr>
          <w:p w14:paraId="67D51BA7"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580.366</w:t>
            </w:r>
            <w:r w:rsidR="00E90931" w:rsidRPr="00AE4E8D">
              <w:rPr>
                <w:rFonts w:ascii="Times New Roman" w:hAnsi="Times New Roman"/>
                <w:b/>
                <w:sz w:val="16"/>
                <w:lang w:val="es-ES"/>
              </w:rPr>
              <w:t xml:space="preserve"> </w:t>
            </w:r>
          </w:p>
        </w:tc>
        <w:tc>
          <w:tcPr>
            <w:tcW w:w="356" w:type="pct"/>
            <w:tcBorders>
              <w:top w:val="single" w:sz="4" w:space="0" w:color="auto"/>
              <w:left w:val="nil"/>
              <w:bottom w:val="single" w:sz="4" w:space="0" w:color="auto"/>
              <w:right w:val="nil"/>
            </w:tcBorders>
            <w:noWrap/>
            <w:vAlign w:val="bottom"/>
            <w:hideMark/>
          </w:tcPr>
          <w:p w14:paraId="7592BD5E"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10,93</w:t>
            </w:r>
            <w:r w:rsidRPr="00AE4E8D">
              <w:rPr>
                <w:rFonts w:ascii="Times New Roman" w:hAnsi="Times New Roman"/>
                <w:b/>
                <w:sz w:val="16"/>
                <w:lang w:val="es-ES"/>
              </w:rPr>
              <w:t>%</w:t>
            </w:r>
          </w:p>
        </w:tc>
        <w:tc>
          <w:tcPr>
            <w:tcW w:w="138" w:type="pct"/>
            <w:noWrap/>
            <w:vAlign w:val="bottom"/>
          </w:tcPr>
          <w:p w14:paraId="1977A7FA" w14:textId="77777777" w:rsidR="00E90931" w:rsidRPr="00AE4E8D" w:rsidRDefault="00E90931" w:rsidP="00E90931">
            <w:pPr>
              <w:jc w:val="right"/>
              <w:rPr>
                <w:rFonts w:ascii="Times New Roman" w:hAnsi="Times New Roman"/>
                <w:b/>
                <w:sz w:val="16"/>
                <w:lang w:val="es-ES"/>
              </w:rPr>
            </w:pPr>
          </w:p>
        </w:tc>
        <w:tc>
          <w:tcPr>
            <w:tcW w:w="409" w:type="pct"/>
            <w:tcBorders>
              <w:top w:val="single" w:sz="4" w:space="0" w:color="auto"/>
              <w:left w:val="nil"/>
              <w:bottom w:val="single" w:sz="4" w:space="0" w:color="auto"/>
              <w:right w:val="nil"/>
            </w:tcBorders>
            <w:noWrap/>
            <w:vAlign w:val="bottom"/>
            <w:hideMark/>
          </w:tcPr>
          <w:p w14:paraId="1E73D9CB"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569.243</w:t>
            </w:r>
            <w:r w:rsidR="00E90931" w:rsidRPr="00AE4E8D">
              <w:rPr>
                <w:rFonts w:ascii="Times New Roman" w:hAnsi="Times New Roman"/>
                <w:b/>
                <w:sz w:val="16"/>
                <w:lang w:val="es-ES"/>
              </w:rPr>
              <w:t xml:space="preserve"> </w:t>
            </w:r>
          </w:p>
        </w:tc>
        <w:tc>
          <w:tcPr>
            <w:tcW w:w="353" w:type="pct"/>
            <w:tcBorders>
              <w:top w:val="single" w:sz="4" w:space="0" w:color="auto"/>
              <w:left w:val="nil"/>
              <w:bottom w:val="single" w:sz="4" w:space="0" w:color="auto"/>
              <w:right w:val="nil"/>
            </w:tcBorders>
            <w:noWrap/>
            <w:vAlign w:val="bottom"/>
            <w:hideMark/>
          </w:tcPr>
          <w:p w14:paraId="5D770E85"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5,99</w:t>
            </w:r>
            <w:r w:rsidRPr="00AE4E8D">
              <w:rPr>
                <w:rFonts w:ascii="Times New Roman" w:hAnsi="Times New Roman"/>
                <w:b/>
                <w:sz w:val="16"/>
                <w:lang w:val="es-ES"/>
              </w:rPr>
              <w:t>%</w:t>
            </w:r>
          </w:p>
        </w:tc>
      </w:tr>
      <w:tr w:rsidR="00B86C83" w:rsidRPr="00AE4E8D" w14:paraId="28AFFD19" w14:textId="77777777" w:rsidTr="000400C8">
        <w:trPr>
          <w:trHeight w:val="255"/>
          <w:jc w:val="center"/>
        </w:trPr>
        <w:tc>
          <w:tcPr>
            <w:tcW w:w="486" w:type="pct"/>
            <w:vAlign w:val="center"/>
          </w:tcPr>
          <w:p w14:paraId="109A9241"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14E97FE3"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5CDBEAC0"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7BC9A5EE"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01EFA808"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20DE517"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4A1A8750"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76C5DE60"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1FF112AC"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7E660575"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2AEC4374"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44E48CFC"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0F018334"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48132BB2"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22802249" w14:textId="77777777" w:rsidR="00E90931" w:rsidRPr="00AE4E8D" w:rsidRDefault="00E90931" w:rsidP="00E90931">
            <w:pPr>
              <w:jc w:val="right"/>
              <w:rPr>
                <w:rFonts w:ascii="Times New Roman" w:hAnsi="Times New Roman"/>
                <w:sz w:val="14"/>
                <w:szCs w:val="14"/>
                <w:lang w:val="es-ES"/>
              </w:rPr>
            </w:pPr>
          </w:p>
        </w:tc>
      </w:tr>
      <w:tr w:rsidR="00B86C83" w:rsidRPr="00AE4E8D" w14:paraId="13FFA5BA" w14:textId="77777777" w:rsidTr="000400C8">
        <w:trPr>
          <w:trHeight w:val="510"/>
          <w:jc w:val="center"/>
        </w:trPr>
        <w:tc>
          <w:tcPr>
            <w:tcW w:w="486" w:type="pct"/>
            <w:vAlign w:val="center"/>
            <w:hideMark/>
          </w:tcPr>
          <w:p w14:paraId="028D72DD"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Títulos Públicos registrados a costo más rendimiento</w:t>
            </w:r>
          </w:p>
        </w:tc>
        <w:tc>
          <w:tcPr>
            <w:tcW w:w="435" w:type="pct"/>
            <w:noWrap/>
            <w:vAlign w:val="bottom"/>
          </w:tcPr>
          <w:p w14:paraId="077C4668"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45A5A726"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7F0A4372"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47CA577D"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388B1F9E"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4C48B5A2"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1C6CDB66"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17299FD7"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32E5AF08"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30789B07"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1DE01C35"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39A6EDBA"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53FAD58E"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58DF9262" w14:textId="77777777" w:rsidR="00E90931" w:rsidRPr="00AE4E8D" w:rsidRDefault="00E90931" w:rsidP="00E90931">
            <w:pPr>
              <w:jc w:val="right"/>
              <w:rPr>
                <w:rFonts w:ascii="Times New Roman" w:hAnsi="Times New Roman"/>
                <w:sz w:val="14"/>
                <w:szCs w:val="14"/>
                <w:lang w:val="es-ES"/>
              </w:rPr>
            </w:pPr>
          </w:p>
        </w:tc>
      </w:tr>
      <w:tr w:rsidR="003B5193" w:rsidRPr="00AE4E8D" w14:paraId="206C0C00" w14:textId="77777777" w:rsidTr="00091EF5">
        <w:trPr>
          <w:trHeight w:val="255"/>
          <w:jc w:val="center"/>
        </w:trPr>
        <w:tc>
          <w:tcPr>
            <w:tcW w:w="486" w:type="pct"/>
            <w:vAlign w:val="center"/>
          </w:tcPr>
          <w:p w14:paraId="5185882B"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0AC5AAEC"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5C3AD648"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583B6AFC" w14:textId="77777777" w:rsidR="00E90931" w:rsidRPr="00AE4E8D" w:rsidRDefault="00E90931" w:rsidP="00E90931">
            <w:pPr>
              <w:jc w:val="right"/>
              <w:rPr>
                <w:rFonts w:ascii="Times New Roman" w:hAnsi="Times New Roman"/>
                <w:sz w:val="14"/>
                <w:szCs w:val="14"/>
                <w:lang w:val="es-ES"/>
              </w:rPr>
            </w:pPr>
          </w:p>
        </w:tc>
        <w:tc>
          <w:tcPr>
            <w:tcW w:w="435" w:type="pct"/>
            <w:shd w:val="clear" w:color="auto" w:fill="FFFFFF"/>
            <w:noWrap/>
            <w:vAlign w:val="bottom"/>
            <w:hideMark/>
          </w:tcPr>
          <w:p w14:paraId="7A8435C9"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3D1063F8"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shd w:val="clear" w:color="auto" w:fill="FFFFFF"/>
            <w:noWrap/>
            <w:vAlign w:val="bottom"/>
            <w:hideMark/>
          </w:tcPr>
          <w:p w14:paraId="38D7F5F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5" w:type="pct"/>
            <w:shd w:val="clear" w:color="auto" w:fill="FFFFFF"/>
            <w:noWrap/>
            <w:vAlign w:val="bottom"/>
            <w:hideMark/>
          </w:tcPr>
          <w:p w14:paraId="5004BD08"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60D4B8BE"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shd w:val="clear" w:color="auto" w:fill="FFFFFF"/>
            <w:noWrap/>
            <w:vAlign w:val="bottom"/>
            <w:hideMark/>
          </w:tcPr>
          <w:p w14:paraId="5BC02CE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7686CE76"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2CAB887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shd w:val="clear" w:color="auto" w:fill="FFFFFF"/>
            <w:noWrap/>
            <w:vAlign w:val="bottom"/>
            <w:hideMark/>
          </w:tcPr>
          <w:p w14:paraId="4B9E2F64"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0E8CEF1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3" w:type="pct"/>
            <w:shd w:val="clear" w:color="auto" w:fill="FFFFFF"/>
            <w:noWrap/>
            <w:vAlign w:val="bottom"/>
            <w:hideMark/>
          </w:tcPr>
          <w:p w14:paraId="4FBCFE13"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77B596F3" w14:textId="77777777" w:rsidTr="00091EF5">
        <w:trPr>
          <w:trHeight w:val="255"/>
          <w:jc w:val="center"/>
        </w:trPr>
        <w:tc>
          <w:tcPr>
            <w:tcW w:w="486" w:type="pct"/>
            <w:vAlign w:val="center"/>
            <w:hideMark/>
          </w:tcPr>
          <w:p w14:paraId="6C152175"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En pesos</w:t>
            </w:r>
          </w:p>
        </w:tc>
        <w:tc>
          <w:tcPr>
            <w:tcW w:w="435" w:type="pct"/>
            <w:noWrap/>
            <w:vAlign w:val="bottom"/>
            <w:hideMark/>
          </w:tcPr>
          <w:p w14:paraId="01B16DF5" w14:textId="77777777" w:rsidR="00E90931" w:rsidRPr="00AE4E8D" w:rsidRDefault="00EB3492"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w:t>
            </w:r>
            <w:r w:rsidR="00E90931" w:rsidRPr="00AE4E8D">
              <w:rPr>
                <w:rFonts w:ascii="Times New Roman" w:hAnsi="Times New Roman"/>
                <w:b/>
                <w:color w:val="000000"/>
                <w:sz w:val="16"/>
                <w:lang w:val="es-ES"/>
              </w:rPr>
              <w:t xml:space="preserve"> </w:t>
            </w:r>
            <w:r w:rsidR="00E90931" w:rsidRPr="00AE4E8D">
              <w:rPr>
                <w:rFonts w:ascii="Times New Roman" w:hAnsi="Times New Roman"/>
                <w:b/>
                <w:bCs/>
                <w:color w:val="000000"/>
                <w:sz w:val="16"/>
                <w:szCs w:val="16"/>
                <w:lang w:val="es-ES"/>
              </w:rPr>
              <w:t>52.921</w:t>
            </w:r>
            <w:r w:rsidR="00E90931" w:rsidRPr="00AE4E8D">
              <w:rPr>
                <w:rFonts w:ascii="Times New Roman" w:hAnsi="Times New Roman"/>
                <w:b/>
                <w:color w:val="000000"/>
                <w:sz w:val="16"/>
                <w:lang w:val="es-ES"/>
              </w:rPr>
              <w:t xml:space="preserve"> </w:t>
            </w:r>
          </w:p>
        </w:tc>
        <w:tc>
          <w:tcPr>
            <w:tcW w:w="429" w:type="pct"/>
            <w:noWrap/>
            <w:vAlign w:val="bottom"/>
            <w:hideMark/>
          </w:tcPr>
          <w:p w14:paraId="0ED40B93"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23,91</w:t>
            </w:r>
            <w:r w:rsidRPr="00AE4E8D">
              <w:rPr>
                <w:rFonts w:ascii="Times New Roman" w:hAnsi="Times New Roman"/>
                <w:b/>
                <w:color w:val="000000"/>
                <w:sz w:val="16"/>
                <w:lang w:val="es-ES"/>
              </w:rPr>
              <w:t>%</w:t>
            </w:r>
          </w:p>
        </w:tc>
        <w:tc>
          <w:tcPr>
            <w:tcW w:w="137" w:type="pct"/>
            <w:noWrap/>
            <w:vAlign w:val="bottom"/>
          </w:tcPr>
          <w:p w14:paraId="77CCC963" w14:textId="77777777" w:rsidR="00E90931" w:rsidRPr="00AE4E8D" w:rsidRDefault="00E90931" w:rsidP="00E90931">
            <w:pPr>
              <w:jc w:val="right"/>
              <w:rPr>
                <w:rFonts w:ascii="Times New Roman" w:hAnsi="Times New Roman"/>
                <w:color w:val="000000"/>
                <w:sz w:val="16"/>
                <w:lang w:val="es-ES"/>
              </w:rPr>
            </w:pPr>
          </w:p>
        </w:tc>
        <w:tc>
          <w:tcPr>
            <w:tcW w:w="435" w:type="pct"/>
            <w:noWrap/>
            <w:vAlign w:val="bottom"/>
            <w:hideMark/>
          </w:tcPr>
          <w:p w14:paraId="0656DAA6" w14:textId="77777777" w:rsidR="00E90931" w:rsidRPr="00AE4E8D" w:rsidRDefault="00EB3492"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w:t>
            </w:r>
            <w:r w:rsidRPr="00AE4E8D">
              <w:rPr>
                <w:rFonts w:ascii="Times New Roman" w:hAnsi="Times New Roman"/>
                <w:b/>
                <w:bCs/>
                <w:color w:val="000000"/>
                <w:sz w:val="16"/>
                <w:szCs w:val="16"/>
                <w:lang w:val="es-ES"/>
              </w:rPr>
              <w:t xml:space="preserve"> </w:t>
            </w:r>
            <w:r w:rsidR="00E90931" w:rsidRPr="00AE4E8D">
              <w:rPr>
                <w:rFonts w:ascii="Times New Roman" w:hAnsi="Times New Roman"/>
                <w:b/>
                <w:bCs/>
                <w:color w:val="000000"/>
                <w:sz w:val="16"/>
                <w:szCs w:val="16"/>
                <w:lang w:val="es-ES"/>
              </w:rPr>
              <w:t>2.092</w:t>
            </w:r>
            <w:r w:rsidR="00E90931" w:rsidRPr="00AE4E8D">
              <w:rPr>
                <w:rFonts w:ascii="Times New Roman" w:hAnsi="Times New Roman"/>
                <w:b/>
                <w:color w:val="000000"/>
                <w:sz w:val="16"/>
                <w:lang w:val="es-ES"/>
              </w:rPr>
              <w:t xml:space="preserve"> </w:t>
            </w:r>
          </w:p>
        </w:tc>
        <w:tc>
          <w:tcPr>
            <w:tcW w:w="356" w:type="pct"/>
            <w:noWrap/>
            <w:vAlign w:val="bottom"/>
            <w:hideMark/>
          </w:tcPr>
          <w:p w14:paraId="4D0EB333"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24,88</w:t>
            </w:r>
            <w:r w:rsidRPr="00AE4E8D">
              <w:rPr>
                <w:rFonts w:ascii="Times New Roman" w:hAnsi="Times New Roman"/>
                <w:b/>
                <w:color w:val="000000"/>
                <w:sz w:val="16"/>
                <w:lang w:val="es-ES"/>
              </w:rPr>
              <w:t>%</w:t>
            </w:r>
          </w:p>
        </w:tc>
        <w:tc>
          <w:tcPr>
            <w:tcW w:w="138" w:type="pct"/>
            <w:noWrap/>
            <w:vAlign w:val="bottom"/>
          </w:tcPr>
          <w:p w14:paraId="47FD7B67" w14:textId="77777777" w:rsidR="00E90931" w:rsidRPr="00AE4E8D" w:rsidRDefault="00E90931" w:rsidP="00E90931">
            <w:pPr>
              <w:jc w:val="right"/>
              <w:rPr>
                <w:rFonts w:ascii="Times New Roman" w:hAnsi="Times New Roman"/>
                <w:color w:val="000000"/>
                <w:sz w:val="16"/>
                <w:lang w:val="es-ES"/>
              </w:rPr>
            </w:pPr>
          </w:p>
        </w:tc>
        <w:tc>
          <w:tcPr>
            <w:tcW w:w="425" w:type="pct"/>
            <w:noWrap/>
            <w:vAlign w:val="bottom"/>
            <w:hideMark/>
          </w:tcPr>
          <w:p w14:paraId="6273EA05" w14:textId="77777777" w:rsidR="00E90931" w:rsidRPr="00AE4E8D" w:rsidRDefault="00EB3492"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w:t>
            </w:r>
            <w:r w:rsidR="00E90931" w:rsidRPr="00AE4E8D">
              <w:rPr>
                <w:rFonts w:ascii="Times New Roman" w:hAnsi="Times New Roman"/>
                <w:b/>
                <w:bCs/>
                <w:color w:val="000000"/>
                <w:sz w:val="16"/>
                <w:szCs w:val="16"/>
                <w:lang w:val="es-ES"/>
              </w:rPr>
              <w:t>50.829</w:t>
            </w:r>
            <w:r w:rsidR="00E90931" w:rsidRPr="00AE4E8D">
              <w:rPr>
                <w:rFonts w:ascii="Times New Roman" w:hAnsi="Times New Roman"/>
                <w:b/>
                <w:color w:val="000000"/>
                <w:sz w:val="16"/>
                <w:lang w:val="es-ES"/>
              </w:rPr>
              <w:t xml:space="preserve"> </w:t>
            </w:r>
          </w:p>
        </w:tc>
        <w:tc>
          <w:tcPr>
            <w:tcW w:w="356" w:type="pct"/>
            <w:noWrap/>
            <w:vAlign w:val="bottom"/>
            <w:hideMark/>
          </w:tcPr>
          <w:p w14:paraId="13E5A639"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23,88</w:t>
            </w:r>
            <w:r w:rsidRPr="00AE4E8D">
              <w:rPr>
                <w:rFonts w:ascii="Times New Roman" w:hAnsi="Times New Roman"/>
                <w:b/>
                <w:color w:val="000000"/>
                <w:sz w:val="16"/>
                <w:lang w:val="es-ES"/>
              </w:rPr>
              <w:t>%</w:t>
            </w:r>
          </w:p>
        </w:tc>
        <w:tc>
          <w:tcPr>
            <w:tcW w:w="138" w:type="pct"/>
            <w:noWrap/>
            <w:vAlign w:val="bottom"/>
            <w:hideMark/>
          </w:tcPr>
          <w:p w14:paraId="6C269B77"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409" w:type="pct"/>
            <w:noWrap/>
            <w:vAlign w:val="bottom"/>
            <w:hideMark/>
          </w:tcPr>
          <w:p w14:paraId="20271E5E"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w:t>
            </w:r>
          </w:p>
        </w:tc>
        <w:tc>
          <w:tcPr>
            <w:tcW w:w="356" w:type="pct"/>
            <w:noWrap/>
            <w:vAlign w:val="bottom"/>
            <w:hideMark/>
          </w:tcPr>
          <w:p w14:paraId="17C4B2A0"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w:t>
            </w:r>
          </w:p>
        </w:tc>
        <w:tc>
          <w:tcPr>
            <w:tcW w:w="138" w:type="pct"/>
            <w:shd w:val="clear" w:color="auto" w:fill="FFFFFF"/>
            <w:noWrap/>
            <w:vAlign w:val="bottom"/>
            <w:hideMark/>
          </w:tcPr>
          <w:p w14:paraId="7005599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184C1D21"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353" w:type="pct"/>
            <w:shd w:val="clear" w:color="auto" w:fill="FFFFFF"/>
            <w:noWrap/>
            <w:vAlign w:val="bottom"/>
            <w:hideMark/>
          </w:tcPr>
          <w:p w14:paraId="3B0631E9"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r>
      <w:tr w:rsidR="003B5193" w:rsidRPr="00AE4E8D" w14:paraId="5A56626D" w14:textId="77777777" w:rsidTr="00091EF5">
        <w:trPr>
          <w:trHeight w:val="255"/>
          <w:jc w:val="center"/>
        </w:trPr>
        <w:tc>
          <w:tcPr>
            <w:tcW w:w="486" w:type="pct"/>
            <w:vAlign w:val="center"/>
            <w:hideMark/>
          </w:tcPr>
          <w:p w14:paraId="0C6CEA48"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lastRenderedPageBreak/>
              <w:t xml:space="preserve">   </w:t>
            </w:r>
            <w:r w:rsidR="00E90931" w:rsidRPr="00AE4E8D">
              <w:rPr>
                <w:rFonts w:ascii="Times New Roman" w:hAnsi="Times New Roman"/>
                <w:sz w:val="14"/>
                <w:szCs w:val="14"/>
                <w:lang w:val="es-ES"/>
              </w:rPr>
              <w:t xml:space="preserve"> Títulos Públicos del Gobierno Nacional</w:t>
            </w:r>
          </w:p>
        </w:tc>
        <w:tc>
          <w:tcPr>
            <w:tcW w:w="435" w:type="pct"/>
            <w:noWrap/>
            <w:vAlign w:val="bottom"/>
            <w:hideMark/>
          </w:tcPr>
          <w:p w14:paraId="49648554" w14:textId="77777777" w:rsidR="00E90931" w:rsidRPr="00AE4E8D" w:rsidRDefault="00FA3175" w:rsidP="00E90931">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lang w:val="es-ES"/>
              </w:rPr>
              <w:t>-</w:t>
            </w:r>
            <w:r w:rsidR="00EB3492" w:rsidRPr="00AE4E8D">
              <w:rPr>
                <w:rFonts w:ascii="Times New Roman" w:hAnsi="Times New Roman"/>
                <w:color w:val="000000"/>
                <w:sz w:val="16"/>
                <w:lang w:val="es-ES"/>
              </w:rPr>
              <w:t xml:space="preserve"> </w:t>
            </w:r>
            <w:r w:rsidR="00E90931" w:rsidRPr="00AE4E8D">
              <w:rPr>
                <w:rFonts w:ascii="Times New Roman" w:hAnsi="Times New Roman"/>
                <w:color w:val="000000"/>
                <w:sz w:val="16"/>
                <w:lang w:val="es-ES"/>
              </w:rPr>
              <w:t xml:space="preserve"> </w:t>
            </w:r>
          </w:p>
        </w:tc>
        <w:tc>
          <w:tcPr>
            <w:tcW w:w="429" w:type="pct"/>
            <w:noWrap/>
            <w:vAlign w:val="bottom"/>
          </w:tcPr>
          <w:p w14:paraId="305BB1B2" w14:textId="77777777" w:rsidR="00E90931" w:rsidRPr="00AE4E8D" w:rsidRDefault="00E90931" w:rsidP="00E90931">
            <w:pPr>
              <w:jc w:val="right"/>
              <w:rPr>
                <w:rFonts w:ascii="Times New Roman" w:hAnsi="Times New Roman"/>
                <w:color w:val="000000"/>
                <w:sz w:val="16"/>
                <w:lang w:val="es-ES"/>
              </w:rPr>
            </w:pPr>
          </w:p>
        </w:tc>
        <w:tc>
          <w:tcPr>
            <w:tcW w:w="137" w:type="pct"/>
            <w:noWrap/>
            <w:vAlign w:val="bottom"/>
          </w:tcPr>
          <w:p w14:paraId="48BCCCC2" w14:textId="77777777" w:rsidR="00E90931" w:rsidRPr="00AE4E8D" w:rsidRDefault="00E90931" w:rsidP="00E90931">
            <w:pPr>
              <w:jc w:val="right"/>
              <w:rPr>
                <w:rFonts w:ascii="Times New Roman" w:hAnsi="Times New Roman"/>
                <w:color w:val="000000"/>
                <w:sz w:val="16"/>
                <w:lang w:val="es-ES"/>
              </w:rPr>
            </w:pPr>
          </w:p>
        </w:tc>
        <w:tc>
          <w:tcPr>
            <w:tcW w:w="435" w:type="pct"/>
            <w:noWrap/>
            <w:vAlign w:val="bottom"/>
            <w:hideMark/>
          </w:tcPr>
          <w:p w14:paraId="0E08192E"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356" w:type="pct"/>
            <w:noWrap/>
            <w:vAlign w:val="bottom"/>
            <w:hideMark/>
          </w:tcPr>
          <w:p w14:paraId="67BA9FFF"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138" w:type="pct"/>
            <w:noWrap/>
            <w:vAlign w:val="bottom"/>
            <w:hideMark/>
          </w:tcPr>
          <w:p w14:paraId="7D98F2DE"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425" w:type="pct"/>
            <w:noWrap/>
            <w:vAlign w:val="bottom"/>
            <w:hideMark/>
          </w:tcPr>
          <w:p w14:paraId="6FAA2ACD"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356" w:type="pct"/>
            <w:noWrap/>
            <w:vAlign w:val="bottom"/>
            <w:hideMark/>
          </w:tcPr>
          <w:p w14:paraId="6E38F9EC"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138" w:type="pct"/>
            <w:noWrap/>
            <w:vAlign w:val="bottom"/>
            <w:hideMark/>
          </w:tcPr>
          <w:p w14:paraId="1AD8D1E4"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409" w:type="pct"/>
            <w:noWrap/>
            <w:vAlign w:val="bottom"/>
            <w:hideMark/>
          </w:tcPr>
          <w:p w14:paraId="0AF8D4C0"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356" w:type="pct"/>
            <w:noWrap/>
            <w:vAlign w:val="bottom"/>
            <w:hideMark/>
          </w:tcPr>
          <w:p w14:paraId="070670B7"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138" w:type="pct"/>
            <w:shd w:val="clear" w:color="auto" w:fill="FFFFFF"/>
            <w:noWrap/>
            <w:vAlign w:val="bottom"/>
            <w:hideMark/>
          </w:tcPr>
          <w:p w14:paraId="1D1EE158"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44B79DAC"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3" w:type="pct"/>
            <w:shd w:val="clear" w:color="auto" w:fill="FFFFFF"/>
            <w:noWrap/>
            <w:vAlign w:val="bottom"/>
            <w:hideMark/>
          </w:tcPr>
          <w:p w14:paraId="5328ABD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2EA7E017" w14:textId="77777777" w:rsidTr="00091EF5">
        <w:trPr>
          <w:trHeight w:val="255"/>
          <w:jc w:val="center"/>
        </w:trPr>
        <w:tc>
          <w:tcPr>
            <w:tcW w:w="486" w:type="pct"/>
            <w:vAlign w:val="center"/>
            <w:hideMark/>
          </w:tcPr>
          <w:p w14:paraId="3F0AD653"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Títulos Públicos del Gobierno Provincial</w:t>
            </w:r>
          </w:p>
        </w:tc>
        <w:tc>
          <w:tcPr>
            <w:tcW w:w="435" w:type="pct"/>
            <w:noWrap/>
            <w:vAlign w:val="bottom"/>
            <w:hideMark/>
          </w:tcPr>
          <w:p w14:paraId="1DCD091E"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52.921 </w:t>
            </w:r>
          </w:p>
        </w:tc>
        <w:tc>
          <w:tcPr>
            <w:tcW w:w="429" w:type="pct"/>
            <w:noWrap/>
            <w:vAlign w:val="bottom"/>
            <w:hideMark/>
          </w:tcPr>
          <w:p w14:paraId="5DE38B01"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23,91%</w:t>
            </w:r>
          </w:p>
        </w:tc>
        <w:tc>
          <w:tcPr>
            <w:tcW w:w="137" w:type="pct"/>
            <w:noWrap/>
            <w:vAlign w:val="bottom"/>
          </w:tcPr>
          <w:p w14:paraId="7D588DA9" w14:textId="77777777" w:rsidR="00E90931" w:rsidRPr="00AE4E8D" w:rsidRDefault="00E90931" w:rsidP="00E90931">
            <w:pPr>
              <w:jc w:val="right"/>
              <w:rPr>
                <w:rFonts w:ascii="Times New Roman" w:hAnsi="Times New Roman"/>
                <w:color w:val="000000"/>
                <w:sz w:val="16"/>
                <w:szCs w:val="16"/>
                <w:lang w:val="es-ES"/>
              </w:rPr>
            </w:pPr>
          </w:p>
        </w:tc>
        <w:tc>
          <w:tcPr>
            <w:tcW w:w="435" w:type="pct"/>
            <w:noWrap/>
            <w:vAlign w:val="bottom"/>
            <w:hideMark/>
          </w:tcPr>
          <w:p w14:paraId="493F869A"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2.092 </w:t>
            </w:r>
          </w:p>
        </w:tc>
        <w:tc>
          <w:tcPr>
            <w:tcW w:w="356" w:type="pct"/>
            <w:noWrap/>
            <w:vAlign w:val="bottom"/>
            <w:hideMark/>
          </w:tcPr>
          <w:p w14:paraId="251BA5AD"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24,88%</w:t>
            </w:r>
          </w:p>
        </w:tc>
        <w:tc>
          <w:tcPr>
            <w:tcW w:w="138" w:type="pct"/>
            <w:noWrap/>
            <w:vAlign w:val="bottom"/>
          </w:tcPr>
          <w:p w14:paraId="30AFAE9F" w14:textId="77777777" w:rsidR="00E90931" w:rsidRPr="00AE4E8D" w:rsidRDefault="00E90931" w:rsidP="00E90931">
            <w:pPr>
              <w:jc w:val="right"/>
              <w:rPr>
                <w:rFonts w:ascii="Times New Roman" w:hAnsi="Times New Roman"/>
                <w:color w:val="000000"/>
                <w:sz w:val="16"/>
                <w:szCs w:val="16"/>
                <w:lang w:val="es-ES"/>
              </w:rPr>
            </w:pPr>
          </w:p>
        </w:tc>
        <w:tc>
          <w:tcPr>
            <w:tcW w:w="425" w:type="pct"/>
            <w:noWrap/>
            <w:vAlign w:val="bottom"/>
            <w:hideMark/>
          </w:tcPr>
          <w:p w14:paraId="5ECADC42"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50.829 </w:t>
            </w:r>
          </w:p>
        </w:tc>
        <w:tc>
          <w:tcPr>
            <w:tcW w:w="356" w:type="pct"/>
            <w:noWrap/>
            <w:vAlign w:val="bottom"/>
            <w:hideMark/>
          </w:tcPr>
          <w:p w14:paraId="2770A94B"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23,88%</w:t>
            </w:r>
          </w:p>
        </w:tc>
        <w:tc>
          <w:tcPr>
            <w:tcW w:w="138" w:type="pct"/>
            <w:noWrap/>
            <w:vAlign w:val="bottom"/>
            <w:hideMark/>
          </w:tcPr>
          <w:p w14:paraId="281B6981"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409" w:type="pct"/>
            <w:noWrap/>
            <w:vAlign w:val="bottom"/>
            <w:hideMark/>
          </w:tcPr>
          <w:p w14:paraId="3EAB49BD"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356" w:type="pct"/>
            <w:noWrap/>
            <w:vAlign w:val="bottom"/>
            <w:hideMark/>
          </w:tcPr>
          <w:p w14:paraId="4C38A343"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38" w:type="pct"/>
            <w:shd w:val="clear" w:color="auto" w:fill="FFFFFF"/>
            <w:noWrap/>
            <w:vAlign w:val="bottom"/>
            <w:hideMark/>
          </w:tcPr>
          <w:p w14:paraId="33DC25B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1FA0D326"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3" w:type="pct"/>
            <w:shd w:val="clear" w:color="auto" w:fill="FFFFFF"/>
            <w:noWrap/>
            <w:vAlign w:val="bottom"/>
            <w:hideMark/>
          </w:tcPr>
          <w:p w14:paraId="77D12C9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0FF5A0EC" w14:textId="77777777" w:rsidTr="00091EF5">
        <w:trPr>
          <w:trHeight w:val="255"/>
          <w:jc w:val="center"/>
        </w:trPr>
        <w:tc>
          <w:tcPr>
            <w:tcW w:w="486" w:type="pct"/>
            <w:vAlign w:val="center"/>
          </w:tcPr>
          <w:p w14:paraId="794CA05A"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0BB0A046" w14:textId="77777777" w:rsidR="00E90931" w:rsidRPr="00AE4E8D" w:rsidRDefault="00E90931" w:rsidP="00E90931">
            <w:pPr>
              <w:jc w:val="right"/>
              <w:rPr>
                <w:rFonts w:ascii="Times New Roman" w:hAnsi="Times New Roman"/>
                <w:color w:val="000000"/>
                <w:sz w:val="16"/>
                <w:szCs w:val="16"/>
                <w:lang w:val="es-ES"/>
              </w:rPr>
            </w:pPr>
          </w:p>
        </w:tc>
        <w:tc>
          <w:tcPr>
            <w:tcW w:w="429" w:type="pct"/>
            <w:noWrap/>
            <w:vAlign w:val="bottom"/>
          </w:tcPr>
          <w:p w14:paraId="12014F69" w14:textId="77777777" w:rsidR="00E90931" w:rsidRPr="00AE4E8D" w:rsidRDefault="00E90931" w:rsidP="00E90931">
            <w:pPr>
              <w:jc w:val="right"/>
              <w:rPr>
                <w:rFonts w:ascii="Times New Roman" w:hAnsi="Times New Roman"/>
                <w:color w:val="000000"/>
                <w:sz w:val="16"/>
                <w:szCs w:val="16"/>
                <w:lang w:val="es-ES"/>
              </w:rPr>
            </w:pPr>
          </w:p>
        </w:tc>
        <w:tc>
          <w:tcPr>
            <w:tcW w:w="137" w:type="pct"/>
            <w:noWrap/>
            <w:vAlign w:val="bottom"/>
          </w:tcPr>
          <w:p w14:paraId="5750288A" w14:textId="77777777" w:rsidR="00E90931" w:rsidRPr="00AE4E8D" w:rsidRDefault="00E90931" w:rsidP="00E90931">
            <w:pPr>
              <w:jc w:val="right"/>
              <w:rPr>
                <w:rFonts w:ascii="Times New Roman" w:hAnsi="Times New Roman"/>
                <w:color w:val="000000"/>
                <w:sz w:val="16"/>
                <w:szCs w:val="16"/>
                <w:lang w:val="es-ES"/>
              </w:rPr>
            </w:pPr>
          </w:p>
        </w:tc>
        <w:tc>
          <w:tcPr>
            <w:tcW w:w="435" w:type="pct"/>
            <w:noWrap/>
            <w:vAlign w:val="bottom"/>
            <w:hideMark/>
          </w:tcPr>
          <w:p w14:paraId="39301538"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356" w:type="pct"/>
            <w:noWrap/>
            <w:vAlign w:val="bottom"/>
            <w:hideMark/>
          </w:tcPr>
          <w:p w14:paraId="04AACC14"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38" w:type="pct"/>
            <w:noWrap/>
            <w:vAlign w:val="bottom"/>
            <w:hideMark/>
          </w:tcPr>
          <w:p w14:paraId="2763E0BA"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425" w:type="pct"/>
            <w:noWrap/>
            <w:vAlign w:val="bottom"/>
            <w:hideMark/>
          </w:tcPr>
          <w:p w14:paraId="3DB101A8"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356" w:type="pct"/>
            <w:noWrap/>
            <w:vAlign w:val="bottom"/>
            <w:hideMark/>
          </w:tcPr>
          <w:p w14:paraId="4A996BD0"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38" w:type="pct"/>
            <w:noWrap/>
            <w:vAlign w:val="bottom"/>
            <w:hideMark/>
          </w:tcPr>
          <w:p w14:paraId="7AC9E5F9"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409" w:type="pct"/>
            <w:noWrap/>
            <w:vAlign w:val="bottom"/>
            <w:hideMark/>
          </w:tcPr>
          <w:p w14:paraId="2E887260"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356" w:type="pct"/>
            <w:noWrap/>
            <w:vAlign w:val="bottom"/>
            <w:hideMark/>
          </w:tcPr>
          <w:p w14:paraId="43989C86"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38" w:type="pct"/>
            <w:shd w:val="clear" w:color="auto" w:fill="FFFFFF"/>
            <w:noWrap/>
            <w:vAlign w:val="bottom"/>
            <w:hideMark/>
          </w:tcPr>
          <w:p w14:paraId="50B99DB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7BE54C6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3" w:type="pct"/>
            <w:shd w:val="clear" w:color="auto" w:fill="FFFFFF"/>
            <w:noWrap/>
            <w:vAlign w:val="bottom"/>
            <w:hideMark/>
          </w:tcPr>
          <w:p w14:paraId="26B1D99A"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37ACBDDC" w14:textId="77777777" w:rsidTr="00091EF5">
        <w:trPr>
          <w:trHeight w:val="255"/>
          <w:jc w:val="center"/>
        </w:trPr>
        <w:tc>
          <w:tcPr>
            <w:tcW w:w="486" w:type="pct"/>
            <w:vAlign w:val="center"/>
            <w:hideMark/>
          </w:tcPr>
          <w:p w14:paraId="5D2B2525"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En Dólares Est.</w:t>
            </w:r>
          </w:p>
        </w:tc>
        <w:tc>
          <w:tcPr>
            <w:tcW w:w="435" w:type="pct"/>
            <w:noWrap/>
            <w:vAlign w:val="bottom"/>
            <w:hideMark/>
          </w:tcPr>
          <w:p w14:paraId="5B3CEB1C" w14:textId="77777777" w:rsidR="00E90931" w:rsidRPr="00AE4E8D" w:rsidRDefault="00EB3492" w:rsidP="00E90931">
            <w:pPr>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w:t>
            </w:r>
            <w:r w:rsidR="00E90931" w:rsidRPr="00AE4E8D">
              <w:rPr>
                <w:rFonts w:ascii="Times New Roman" w:hAnsi="Times New Roman"/>
                <w:b/>
                <w:bCs/>
                <w:color w:val="000000"/>
                <w:sz w:val="16"/>
                <w:szCs w:val="16"/>
                <w:lang w:val="es-ES"/>
              </w:rPr>
              <w:t xml:space="preserve"> 964.164 </w:t>
            </w:r>
          </w:p>
        </w:tc>
        <w:tc>
          <w:tcPr>
            <w:tcW w:w="429" w:type="pct"/>
            <w:noWrap/>
            <w:vAlign w:val="bottom"/>
            <w:hideMark/>
          </w:tcPr>
          <w:p w14:paraId="4B1475E0" w14:textId="77777777" w:rsidR="00E90931" w:rsidRPr="00AE4E8D" w:rsidRDefault="00E90931" w:rsidP="00E90931">
            <w:pPr>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9,43%</w:t>
            </w:r>
          </w:p>
        </w:tc>
        <w:tc>
          <w:tcPr>
            <w:tcW w:w="137" w:type="pct"/>
            <w:noWrap/>
            <w:vAlign w:val="bottom"/>
          </w:tcPr>
          <w:p w14:paraId="6AFAF102" w14:textId="77777777" w:rsidR="00E90931" w:rsidRPr="00AE4E8D" w:rsidRDefault="00E90931" w:rsidP="00E90931">
            <w:pPr>
              <w:jc w:val="right"/>
              <w:rPr>
                <w:rFonts w:ascii="Times New Roman" w:hAnsi="Times New Roman"/>
                <w:color w:val="000000"/>
                <w:sz w:val="16"/>
                <w:szCs w:val="16"/>
                <w:lang w:val="es-ES"/>
              </w:rPr>
            </w:pPr>
          </w:p>
        </w:tc>
        <w:tc>
          <w:tcPr>
            <w:tcW w:w="435" w:type="pct"/>
            <w:noWrap/>
            <w:vAlign w:val="bottom"/>
            <w:hideMark/>
          </w:tcPr>
          <w:p w14:paraId="37FCC360" w14:textId="77777777" w:rsidR="00E90931" w:rsidRPr="00AE4E8D" w:rsidRDefault="00EB3492" w:rsidP="00E90931">
            <w:pPr>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w:t>
            </w:r>
            <w:r w:rsidR="00E90931" w:rsidRPr="00AE4E8D">
              <w:rPr>
                <w:rFonts w:ascii="Times New Roman" w:hAnsi="Times New Roman"/>
                <w:b/>
                <w:bCs/>
                <w:color w:val="000000"/>
                <w:sz w:val="16"/>
                <w:szCs w:val="16"/>
                <w:lang w:val="es-ES"/>
              </w:rPr>
              <w:t xml:space="preserve">704.384 </w:t>
            </w:r>
          </w:p>
        </w:tc>
        <w:tc>
          <w:tcPr>
            <w:tcW w:w="356" w:type="pct"/>
            <w:noWrap/>
            <w:vAlign w:val="bottom"/>
            <w:hideMark/>
          </w:tcPr>
          <w:p w14:paraId="76E01835" w14:textId="77777777" w:rsidR="00E90931" w:rsidRPr="00AE4E8D" w:rsidRDefault="00E90931" w:rsidP="00E90931">
            <w:pPr>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10,87%</w:t>
            </w:r>
          </w:p>
        </w:tc>
        <w:tc>
          <w:tcPr>
            <w:tcW w:w="138" w:type="pct"/>
            <w:noWrap/>
            <w:vAlign w:val="bottom"/>
          </w:tcPr>
          <w:p w14:paraId="0E0D9D65" w14:textId="77777777" w:rsidR="00E90931" w:rsidRPr="00AE4E8D" w:rsidRDefault="00E90931" w:rsidP="00E90931">
            <w:pPr>
              <w:jc w:val="right"/>
              <w:rPr>
                <w:rFonts w:ascii="Times New Roman" w:hAnsi="Times New Roman"/>
                <w:color w:val="000000"/>
                <w:sz w:val="16"/>
                <w:szCs w:val="16"/>
                <w:lang w:val="es-ES"/>
              </w:rPr>
            </w:pPr>
          </w:p>
        </w:tc>
        <w:tc>
          <w:tcPr>
            <w:tcW w:w="425" w:type="pct"/>
            <w:noWrap/>
            <w:vAlign w:val="bottom"/>
            <w:hideMark/>
          </w:tcPr>
          <w:p w14:paraId="3B5BF426" w14:textId="77777777" w:rsidR="00E90931" w:rsidRPr="00AE4E8D" w:rsidRDefault="00EB3492" w:rsidP="00E90931">
            <w:pPr>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w:t>
            </w:r>
            <w:r w:rsidR="00E90931" w:rsidRPr="00AE4E8D">
              <w:rPr>
                <w:rFonts w:ascii="Times New Roman" w:hAnsi="Times New Roman"/>
                <w:b/>
                <w:bCs/>
                <w:color w:val="000000"/>
                <w:sz w:val="16"/>
                <w:szCs w:val="16"/>
                <w:lang w:val="es-ES"/>
              </w:rPr>
              <w:t xml:space="preserve">259.780 </w:t>
            </w:r>
          </w:p>
        </w:tc>
        <w:tc>
          <w:tcPr>
            <w:tcW w:w="356" w:type="pct"/>
            <w:noWrap/>
            <w:vAlign w:val="bottom"/>
            <w:hideMark/>
          </w:tcPr>
          <w:p w14:paraId="51B22215" w14:textId="77777777" w:rsidR="00E90931" w:rsidRPr="00AE4E8D" w:rsidRDefault="00E90931" w:rsidP="00E90931">
            <w:pPr>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5,52%</w:t>
            </w:r>
          </w:p>
        </w:tc>
        <w:tc>
          <w:tcPr>
            <w:tcW w:w="138" w:type="pct"/>
            <w:noWrap/>
            <w:vAlign w:val="bottom"/>
            <w:hideMark/>
          </w:tcPr>
          <w:p w14:paraId="39D25606"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409" w:type="pct"/>
            <w:noWrap/>
            <w:vAlign w:val="bottom"/>
          </w:tcPr>
          <w:p w14:paraId="553AE837" w14:textId="77777777" w:rsidR="00E90931" w:rsidRPr="00AE4E8D" w:rsidRDefault="00E90931" w:rsidP="00E90931">
            <w:pPr>
              <w:jc w:val="right"/>
              <w:rPr>
                <w:rFonts w:ascii="Times New Roman" w:hAnsi="Times New Roman"/>
                <w:b/>
                <w:bCs/>
                <w:color w:val="000000"/>
                <w:sz w:val="16"/>
                <w:szCs w:val="16"/>
                <w:lang w:val="es-ES"/>
              </w:rPr>
            </w:pPr>
          </w:p>
        </w:tc>
        <w:tc>
          <w:tcPr>
            <w:tcW w:w="356" w:type="pct"/>
            <w:noWrap/>
            <w:vAlign w:val="bottom"/>
          </w:tcPr>
          <w:p w14:paraId="4FEB5D1F" w14:textId="77777777" w:rsidR="00E90931" w:rsidRPr="00AE4E8D" w:rsidRDefault="00E90931" w:rsidP="00E90931">
            <w:pPr>
              <w:jc w:val="right"/>
              <w:rPr>
                <w:rFonts w:ascii="Times New Roman" w:hAnsi="Times New Roman"/>
                <w:b/>
                <w:bCs/>
                <w:color w:val="000000"/>
                <w:sz w:val="16"/>
                <w:szCs w:val="16"/>
                <w:lang w:val="es-ES"/>
              </w:rPr>
            </w:pPr>
          </w:p>
        </w:tc>
        <w:tc>
          <w:tcPr>
            <w:tcW w:w="138" w:type="pct"/>
            <w:shd w:val="clear" w:color="auto" w:fill="FFFFFF"/>
            <w:noWrap/>
            <w:vAlign w:val="bottom"/>
            <w:hideMark/>
          </w:tcPr>
          <w:p w14:paraId="1360519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7127EEB1"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353" w:type="pct"/>
            <w:shd w:val="clear" w:color="auto" w:fill="FFFFFF"/>
            <w:noWrap/>
            <w:vAlign w:val="bottom"/>
            <w:hideMark/>
          </w:tcPr>
          <w:p w14:paraId="23FCE367"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r>
      <w:tr w:rsidR="003B5193" w:rsidRPr="00AE4E8D" w14:paraId="436B9976" w14:textId="77777777" w:rsidTr="00091EF5">
        <w:trPr>
          <w:trHeight w:val="255"/>
          <w:jc w:val="center"/>
        </w:trPr>
        <w:tc>
          <w:tcPr>
            <w:tcW w:w="486" w:type="pct"/>
            <w:vAlign w:val="center"/>
            <w:hideMark/>
          </w:tcPr>
          <w:p w14:paraId="78FC79C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Títulos Públicos del Gobierno Nacional</w:t>
            </w:r>
          </w:p>
        </w:tc>
        <w:tc>
          <w:tcPr>
            <w:tcW w:w="435" w:type="pct"/>
            <w:noWrap/>
            <w:vAlign w:val="bottom"/>
            <w:hideMark/>
          </w:tcPr>
          <w:p w14:paraId="08D8FE32"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807.100 </w:t>
            </w:r>
          </w:p>
        </w:tc>
        <w:tc>
          <w:tcPr>
            <w:tcW w:w="429" w:type="pct"/>
            <w:noWrap/>
            <w:vAlign w:val="bottom"/>
            <w:hideMark/>
          </w:tcPr>
          <w:p w14:paraId="079C867B"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10,54%</w:t>
            </w:r>
          </w:p>
        </w:tc>
        <w:tc>
          <w:tcPr>
            <w:tcW w:w="137" w:type="pct"/>
            <w:noWrap/>
            <w:vAlign w:val="bottom"/>
          </w:tcPr>
          <w:p w14:paraId="1ADFC6A5" w14:textId="77777777" w:rsidR="00E90931" w:rsidRPr="00AE4E8D" w:rsidRDefault="00E90931" w:rsidP="00E90931">
            <w:pPr>
              <w:jc w:val="right"/>
              <w:rPr>
                <w:rFonts w:ascii="Times New Roman" w:hAnsi="Times New Roman"/>
                <w:color w:val="000000"/>
                <w:sz w:val="16"/>
                <w:szCs w:val="16"/>
                <w:lang w:val="es-ES"/>
              </w:rPr>
            </w:pPr>
          </w:p>
        </w:tc>
        <w:tc>
          <w:tcPr>
            <w:tcW w:w="435" w:type="pct"/>
            <w:noWrap/>
            <w:vAlign w:val="bottom"/>
            <w:hideMark/>
          </w:tcPr>
          <w:p w14:paraId="15D476FE"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704.377 </w:t>
            </w:r>
          </w:p>
        </w:tc>
        <w:tc>
          <w:tcPr>
            <w:tcW w:w="356" w:type="pct"/>
            <w:noWrap/>
            <w:vAlign w:val="bottom"/>
            <w:hideMark/>
          </w:tcPr>
          <w:p w14:paraId="12E5B9F4"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10,86%</w:t>
            </w:r>
          </w:p>
        </w:tc>
        <w:tc>
          <w:tcPr>
            <w:tcW w:w="138" w:type="pct"/>
            <w:noWrap/>
            <w:vAlign w:val="bottom"/>
          </w:tcPr>
          <w:p w14:paraId="121B8AA7" w14:textId="77777777" w:rsidR="00E90931" w:rsidRPr="00AE4E8D" w:rsidRDefault="00E90931" w:rsidP="00E90931">
            <w:pPr>
              <w:jc w:val="right"/>
              <w:rPr>
                <w:rFonts w:ascii="Times New Roman" w:hAnsi="Times New Roman"/>
                <w:color w:val="000000"/>
                <w:sz w:val="16"/>
                <w:szCs w:val="16"/>
                <w:lang w:val="es-ES"/>
              </w:rPr>
            </w:pPr>
          </w:p>
        </w:tc>
        <w:tc>
          <w:tcPr>
            <w:tcW w:w="425" w:type="pct"/>
            <w:noWrap/>
            <w:vAlign w:val="bottom"/>
            <w:hideMark/>
          </w:tcPr>
          <w:p w14:paraId="45A2E74F"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102.723 </w:t>
            </w:r>
          </w:p>
        </w:tc>
        <w:tc>
          <w:tcPr>
            <w:tcW w:w="356" w:type="pct"/>
            <w:noWrap/>
            <w:vAlign w:val="bottom"/>
            <w:hideMark/>
          </w:tcPr>
          <w:p w14:paraId="159095D9"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8,28%</w:t>
            </w:r>
          </w:p>
        </w:tc>
        <w:tc>
          <w:tcPr>
            <w:tcW w:w="138" w:type="pct"/>
            <w:noWrap/>
            <w:vAlign w:val="bottom"/>
            <w:hideMark/>
          </w:tcPr>
          <w:p w14:paraId="66D158A2"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409" w:type="pct"/>
            <w:noWrap/>
            <w:vAlign w:val="bottom"/>
          </w:tcPr>
          <w:p w14:paraId="08421E8A" w14:textId="77777777" w:rsidR="00E90931" w:rsidRPr="00AE4E8D" w:rsidRDefault="00E90931" w:rsidP="00E90931">
            <w:pPr>
              <w:jc w:val="right"/>
              <w:rPr>
                <w:rFonts w:ascii="Times New Roman" w:hAnsi="Times New Roman"/>
                <w:color w:val="000000"/>
                <w:sz w:val="16"/>
                <w:szCs w:val="16"/>
                <w:lang w:val="es-ES"/>
              </w:rPr>
            </w:pPr>
          </w:p>
        </w:tc>
        <w:tc>
          <w:tcPr>
            <w:tcW w:w="356" w:type="pct"/>
            <w:noWrap/>
            <w:vAlign w:val="bottom"/>
          </w:tcPr>
          <w:p w14:paraId="6B9A45E2" w14:textId="77777777" w:rsidR="00E90931" w:rsidRPr="00AE4E8D" w:rsidRDefault="00E90931" w:rsidP="00E90931">
            <w:pPr>
              <w:jc w:val="right"/>
              <w:rPr>
                <w:rFonts w:ascii="Times New Roman" w:hAnsi="Times New Roman"/>
                <w:color w:val="000000"/>
                <w:sz w:val="16"/>
                <w:szCs w:val="16"/>
                <w:lang w:val="es-ES"/>
              </w:rPr>
            </w:pPr>
          </w:p>
        </w:tc>
        <w:tc>
          <w:tcPr>
            <w:tcW w:w="138" w:type="pct"/>
            <w:shd w:val="clear" w:color="auto" w:fill="FFFFFF"/>
            <w:noWrap/>
            <w:vAlign w:val="bottom"/>
            <w:hideMark/>
          </w:tcPr>
          <w:p w14:paraId="1877E05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49E56EF3"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3" w:type="pct"/>
            <w:shd w:val="clear" w:color="auto" w:fill="FFFFFF"/>
            <w:noWrap/>
            <w:vAlign w:val="bottom"/>
            <w:hideMark/>
          </w:tcPr>
          <w:p w14:paraId="01DE2CDC"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4A4572EA" w14:textId="77777777" w:rsidTr="00091EF5">
        <w:trPr>
          <w:trHeight w:val="255"/>
          <w:jc w:val="center"/>
        </w:trPr>
        <w:tc>
          <w:tcPr>
            <w:tcW w:w="486" w:type="pct"/>
            <w:vAlign w:val="center"/>
            <w:hideMark/>
          </w:tcPr>
          <w:p w14:paraId="11EB1DC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Títulos Públicos del Gobierno Provincial</w:t>
            </w:r>
          </w:p>
        </w:tc>
        <w:tc>
          <w:tcPr>
            <w:tcW w:w="435" w:type="pct"/>
            <w:noWrap/>
            <w:vAlign w:val="bottom"/>
            <w:hideMark/>
          </w:tcPr>
          <w:p w14:paraId="03E2714E" w14:textId="77777777" w:rsidR="00E90931"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157.064</w:t>
            </w:r>
            <w:r w:rsidR="00E90931" w:rsidRPr="00AE4E8D">
              <w:rPr>
                <w:rFonts w:ascii="Times New Roman" w:hAnsi="Times New Roman"/>
                <w:color w:val="000000"/>
                <w:sz w:val="16"/>
                <w:lang w:val="es-ES"/>
              </w:rPr>
              <w:t xml:space="preserve"> </w:t>
            </w:r>
          </w:p>
        </w:tc>
        <w:tc>
          <w:tcPr>
            <w:tcW w:w="429" w:type="pct"/>
            <w:noWrap/>
            <w:vAlign w:val="bottom"/>
            <w:hideMark/>
          </w:tcPr>
          <w:p w14:paraId="2121632D"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3,</w:t>
            </w:r>
            <w:r w:rsidRPr="00AE4E8D">
              <w:rPr>
                <w:rFonts w:ascii="Times New Roman" w:hAnsi="Times New Roman"/>
                <w:color w:val="000000"/>
                <w:sz w:val="16"/>
                <w:szCs w:val="16"/>
                <w:lang w:val="es-ES"/>
              </w:rPr>
              <w:t>72</w:t>
            </w:r>
            <w:r w:rsidRPr="00AE4E8D">
              <w:rPr>
                <w:rFonts w:ascii="Times New Roman" w:hAnsi="Times New Roman"/>
                <w:color w:val="000000"/>
                <w:sz w:val="16"/>
                <w:lang w:val="es-ES"/>
              </w:rPr>
              <w:t>%</w:t>
            </w:r>
          </w:p>
        </w:tc>
        <w:tc>
          <w:tcPr>
            <w:tcW w:w="137" w:type="pct"/>
            <w:noWrap/>
            <w:vAlign w:val="bottom"/>
          </w:tcPr>
          <w:p w14:paraId="18E684C6" w14:textId="77777777" w:rsidR="00E90931" w:rsidRPr="00AE4E8D" w:rsidRDefault="00E90931" w:rsidP="00E90931">
            <w:pPr>
              <w:jc w:val="right"/>
              <w:rPr>
                <w:rFonts w:ascii="Times New Roman" w:hAnsi="Times New Roman"/>
                <w:color w:val="000000"/>
                <w:sz w:val="16"/>
                <w:lang w:val="es-ES"/>
              </w:rPr>
            </w:pPr>
          </w:p>
        </w:tc>
        <w:tc>
          <w:tcPr>
            <w:tcW w:w="435" w:type="pct"/>
            <w:noWrap/>
            <w:vAlign w:val="bottom"/>
            <w:hideMark/>
          </w:tcPr>
          <w:p w14:paraId="5E806816" w14:textId="77777777" w:rsidR="00E90931" w:rsidRPr="00AE4E8D" w:rsidRDefault="00FA3175" w:rsidP="00E90931">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7</w:t>
            </w:r>
            <w:r w:rsidR="00E90931" w:rsidRPr="00AE4E8D">
              <w:rPr>
                <w:rFonts w:ascii="Times New Roman" w:hAnsi="Times New Roman"/>
                <w:color w:val="000000"/>
                <w:sz w:val="16"/>
                <w:lang w:val="es-ES"/>
              </w:rPr>
              <w:t xml:space="preserve"> </w:t>
            </w:r>
          </w:p>
        </w:tc>
        <w:tc>
          <w:tcPr>
            <w:tcW w:w="356" w:type="pct"/>
            <w:noWrap/>
            <w:vAlign w:val="bottom"/>
            <w:hideMark/>
          </w:tcPr>
          <w:p w14:paraId="7F25EAC1"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42,89</w:t>
            </w:r>
            <w:r w:rsidRPr="00AE4E8D">
              <w:rPr>
                <w:rFonts w:ascii="Times New Roman" w:hAnsi="Times New Roman"/>
                <w:color w:val="000000"/>
                <w:sz w:val="16"/>
                <w:lang w:val="es-ES"/>
              </w:rPr>
              <w:t>%</w:t>
            </w:r>
          </w:p>
        </w:tc>
        <w:tc>
          <w:tcPr>
            <w:tcW w:w="138" w:type="pct"/>
            <w:noWrap/>
            <w:vAlign w:val="bottom"/>
          </w:tcPr>
          <w:p w14:paraId="6CABFB5A" w14:textId="77777777" w:rsidR="00E90931" w:rsidRPr="00AE4E8D" w:rsidRDefault="00E90931" w:rsidP="00E90931">
            <w:pPr>
              <w:jc w:val="right"/>
              <w:rPr>
                <w:rFonts w:ascii="Times New Roman" w:hAnsi="Times New Roman"/>
                <w:color w:val="000000"/>
                <w:sz w:val="16"/>
                <w:lang w:val="es-ES"/>
              </w:rPr>
            </w:pPr>
          </w:p>
        </w:tc>
        <w:tc>
          <w:tcPr>
            <w:tcW w:w="425" w:type="pct"/>
            <w:noWrap/>
            <w:vAlign w:val="bottom"/>
            <w:hideMark/>
          </w:tcPr>
          <w:p w14:paraId="1CD694AC" w14:textId="77777777" w:rsidR="00E90931"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157.057</w:t>
            </w:r>
            <w:r w:rsidR="00E90931" w:rsidRPr="00AE4E8D">
              <w:rPr>
                <w:rFonts w:ascii="Times New Roman" w:hAnsi="Times New Roman"/>
                <w:color w:val="000000"/>
                <w:sz w:val="16"/>
                <w:lang w:val="es-ES"/>
              </w:rPr>
              <w:t xml:space="preserve"> </w:t>
            </w:r>
          </w:p>
        </w:tc>
        <w:tc>
          <w:tcPr>
            <w:tcW w:w="356" w:type="pct"/>
            <w:noWrap/>
            <w:vAlign w:val="bottom"/>
            <w:hideMark/>
          </w:tcPr>
          <w:p w14:paraId="6F125064"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3,72</w:t>
            </w:r>
            <w:r w:rsidRPr="00AE4E8D">
              <w:rPr>
                <w:rFonts w:ascii="Times New Roman" w:hAnsi="Times New Roman"/>
                <w:color w:val="000000"/>
                <w:sz w:val="16"/>
                <w:lang w:val="es-ES"/>
              </w:rPr>
              <w:t>%</w:t>
            </w:r>
          </w:p>
        </w:tc>
        <w:tc>
          <w:tcPr>
            <w:tcW w:w="138" w:type="pct"/>
            <w:noWrap/>
            <w:vAlign w:val="bottom"/>
            <w:hideMark/>
          </w:tcPr>
          <w:p w14:paraId="2CA2F83A"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409" w:type="pct"/>
            <w:noWrap/>
            <w:vAlign w:val="bottom"/>
          </w:tcPr>
          <w:p w14:paraId="03199221" w14:textId="77777777" w:rsidR="00E90931" w:rsidRPr="00AE4E8D" w:rsidRDefault="00E90931" w:rsidP="00E90931">
            <w:pPr>
              <w:jc w:val="right"/>
              <w:rPr>
                <w:rFonts w:ascii="Times New Roman" w:hAnsi="Times New Roman"/>
                <w:color w:val="000000"/>
                <w:sz w:val="16"/>
                <w:lang w:val="es-ES"/>
              </w:rPr>
            </w:pPr>
          </w:p>
        </w:tc>
        <w:tc>
          <w:tcPr>
            <w:tcW w:w="356" w:type="pct"/>
            <w:noWrap/>
            <w:vAlign w:val="bottom"/>
          </w:tcPr>
          <w:p w14:paraId="0707B34A" w14:textId="77777777" w:rsidR="00E90931" w:rsidRPr="00AE4E8D" w:rsidRDefault="00E90931" w:rsidP="00E90931">
            <w:pPr>
              <w:jc w:val="right"/>
              <w:rPr>
                <w:rFonts w:ascii="Times New Roman" w:hAnsi="Times New Roman"/>
                <w:color w:val="000000"/>
                <w:sz w:val="16"/>
                <w:lang w:val="es-ES"/>
              </w:rPr>
            </w:pPr>
          </w:p>
        </w:tc>
        <w:tc>
          <w:tcPr>
            <w:tcW w:w="138" w:type="pct"/>
            <w:shd w:val="clear" w:color="auto" w:fill="FFFFFF"/>
            <w:noWrap/>
            <w:vAlign w:val="bottom"/>
            <w:hideMark/>
          </w:tcPr>
          <w:p w14:paraId="4D75D34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3C385BBA"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3" w:type="pct"/>
            <w:shd w:val="clear" w:color="auto" w:fill="FFFFFF"/>
            <w:noWrap/>
            <w:vAlign w:val="bottom"/>
            <w:hideMark/>
          </w:tcPr>
          <w:p w14:paraId="5923B78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13C165D8" w14:textId="77777777" w:rsidTr="00091EF5">
        <w:trPr>
          <w:trHeight w:val="255"/>
          <w:jc w:val="center"/>
        </w:trPr>
        <w:tc>
          <w:tcPr>
            <w:tcW w:w="486" w:type="pct"/>
            <w:vAlign w:val="center"/>
          </w:tcPr>
          <w:p w14:paraId="65565AEA"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3CEAB007" w14:textId="77777777" w:rsidR="00E90931" w:rsidRPr="00AE4E8D" w:rsidRDefault="00E90931" w:rsidP="00E90931">
            <w:pPr>
              <w:jc w:val="right"/>
              <w:rPr>
                <w:rFonts w:ascii="Times New Roman" w:hAnsi="Times New Roman"/>
                <w:color w:val="000000"/>
                <w:sz w:val="16"/>
                <w:lang w:val="es-ES"/>
              </w:rPr>
            </w:pPr>
          </w:p>
        </w:tc>
        <w:tc>
          <w:tcPr>
            <w:tcW w:w="429" w:type="pct"/>
            <w:noWrap/>
            <w:vAlign w:val="bottom"/>
          </w:tcPr>
          <w:p w14:paraId="126FE166" w14:textId="77777777" w:rsidR="00E90931" w:rsidRPr="00AE4E8D" w:rsidRDefault="00E90931" w:rsidP="00E90931">
            <w:pPr>
              <w:jc w:val="right"/>
              <w:rPr>
                <w:rFonts w:ascii="Times New Roman" w:hAnsi="Times New Roman"/>
                <w:color w:val="000000"/>
                <w:sz w:val="16"/>
                <w:lang w:val="es-ES"/>
              </w:rPr>
            </w:pPr>
          </w:p>
        </w:tc>
        <w:tc>
          <w:tcPr>
            <w:tcW w:w="137" w:type="pct"/>
            <w:noWrap/>
            <w:vAlign w:val="bottom"/>
          </w:tcPr>
          <w:p w14:paraId="6926CC43" w14:textId="77777777" w:rsidR="00E90931" w:rsidRPr="00AE4E8D" w:rsidRDefault="00E90931" w:rsidP="00E90931">
            <w:pPr>
              <w:jc w:val="right"/>
              <w:rPr>
                <w:rFonts w:ascii="Times New Roman" w:hAnsi="Times New Roman"/>
                <w:color w:val="000000"/>
                <w:sz w:val="16"/>
                <w:lang w:val="es-ES"/>
              </w:rPr>
            </w:pPr>
          </w:p>
        </w:tc>
        <w:tc>
          <w:tcPr>
            <w:tcW w:w="435" w:type="pct"/>
            <w:noWrap/>
            <w:vAlign w:val="bottom"/>
            <w:hideMark/>
          </w:tcPr>
          <w:p w14:paraId="107707C0"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356" w:type="pct"/>
            <w:noWrap/>
            <w:vAlign w:val="bottom"/>
            <w:hideMark/>
          </w:tcPr>
          <w:p w14:paraId="41710952"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138" w:type="pct"/>
            <w:noWrap/>
            <w:vAlign w:val="bottom"/>
            <w:hideMark/>
          </w:tcPr>
          <w:p w14:paraId="287F6DF3"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425" w:type="pct"/>
            <w:noWrap/>
            <w:vAlign w:val="bottom"/>
            <w:hideMark/>
          </w:tcPr>
          <w:p w14:paraId="3BA9D0FB"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356" w:type="pct"/>
            <w:noWrap/>
            <w:vAlign w:val="bottom"/>
            <w:hideMark/>
          </w:tcPr>
          <w:p w14:paraId="7CC2EE85"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138" w:type="pct"/>
            <w:noWrap/>
            <w:vAlign w:val="bottom"/>
            <w:hideMark/>
          </w:tcPr>
          <w:p w14:paraId="5D454D24"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409" w:type="pct"/>
            <w:noWrap/>
            <w:vAlign w:val="bottom"/>
          </w:tcPr>
          <w:p w14:paraId="46AD3C6A" w14:textId="77777777" w:rsidR="00E90931" w:rsidRPr="00AE4E8D" w:rsidRDefault="00E90931" w:rsidP="00E90931">
            <w:pPr>
              <w:jc w:val="right"/>
              <w:rPr>
                <w:rFonts w:ascii="Times New Roman" w:hAnsi="Times New Roman"/>
                <w:color w:val="000000"/>
                <w:sz w:val="16"/>
                <w:lang w:val="es-ES"/>
              </w:rPr>
            </w:pPr>
          </w:p>
        </w:tc>
        <w:tc>
          <w:tcPr>
            <w:tcW w:w="356" w:type="pct"/>
            <w:noWrap/>
            <w:vAlign w:val="bottom"/>
          </w:tcPr>
          <w:p w14:paraId="7EF37C48" w14:textId="77777777" w:rsidR="00E90931" w:rsidRPr="00AE4E8D" w:rsidRDefault="00E90931" w:rsidP="00E90931">
            <w:pPr>
              <w:jc w:val="right"/>
              <w:rPr>
                <w:rFonts w:ascii="Times New Roman" w:hAnsi="Times New Roman"/>
                <w:color w:val="000000"/>
                <w:sz w:val="16"/>
                <w:lang w:val="es-ES"/>
              </w:rPr>
            </w:pPr>
          </w:p>
        </w:tc>
        <w:tc>
          <w:tcPr>
            <w:tcW w:w="138" w:type="pct"/>
            <w:shd w:val="clear" w:color="auto" w:fill="FFFFFF"/>
            <w:noWrap/>
            <w:vAlign w:val="bottom"/>
            <w:hideMark/>
          </w:tcPr>
          <w:p w14:paraId="5DF3C4D3"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6BD2B76E"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3" w:type="pct"/>
            <w:shd w:val="clear" w:color="auto" w:fill="FFFFFF"/>
            <w:noWrap/>
            <w:vAlign w:val="bottom"/>
            <w:hideMark/>
          </w:tcPr>
          <w:p w14:paraId="0DD3DC9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7C893C74" w14:textId="77777777" w:rsidTr="00091EF5">
        <w:trPr>
          <w:trHeight w:val="510"/>
          <w:jc w:val="center"/>
        </w:trPr>
        <w:tc>
          <w:tcPr>
            <w:tcW w:w="486" w:type="pct"/>
            <w:vAlign w:val="center"/>
            <w:hideMark/>
          </w:tcPr>
          <w:p w14:paraId="7D6CC7A9"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Total de Títulos Públicos registrados a costo más rendimiento</w:t>
            </w:r>
          </w:p>
        </w:tc>
        <w:tc>
          <w:tcPr>
            <w:tcW w:w="435" w:type="pct"/>
            <w:tcBorders>
              <w:top w:val="single" w:sz="4" w:space="0" w:color="auto"/>
              <w:left w:val="nil"/>
              <w:bottom w:val="single" w:sz="4" w:space="0" w:color="auto"/>
              <w:right w:val="nil"/>
            </w:tcBorders>
            <w:noWrap/>
            <w:vAlign w:val="bottom"/>
            <w:hideMark/>
          </w:tcPr>
          <w:p w14:paraId="5134A770"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w:t>
            </w:r>
            <w:r w:rsidRPr="00AE4E8D">
              <w:rPr>
                <w:rFonts w:ascii="Times New Roman" w:hAnsi="Times New Roman"/>
                <w:b/>
                <w:bCs/>
                <w:color w:val="000000"/>
                <w:sz w:val="16"/>
                <w:szCs w:val="16"/>
                <w:lang w:val="es-ES"/>
              </w:rPr>
              <w:t>1.017.085</w:t>
            </w:r>
            <w:r w:rsidRPr="00AE4E8D">
              <w:rPr>
                <w:rFonts w:ascii="Times New Roman" w:hAnsi="Times New Roman"/>
                <w:b/>
                <w:color w:val="000000"/>
                <w:sz w:val="16"/>
                <w:lang w:val="es-ES"/>
              </w:rPr>
              <w:t xml:space="preserve"> </w:t>
            </w:r>
          </w:p>
        </w:tc>
        <w:tc>
          <w:tcPr>
            <w:tcW w:w="429" w:type="pct"/>
            <w:tcBorders>
              <w:top w:val="single" w:sz="4" w:space="0" w:color="auto"/>
              <w:left w:val="nil"/>
              <w:bottom w:val="single" w:sz="4" w:space="0" w:color="auto"/>
              <w:right w:val="nil"/>
            </w:tcBorders>
            <w:noWrap/>
            <w:vAlign w:val="bottom"/>
            <w:hideMark/>
          </w:tcPr>
          <w:p w14:paraId="6C085611"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10,18</w:t>
            </w:r>
            <w:r w:rsidRPr="00AE4E8D">
              <w:rPr>
                <w:rFonts w:ascii="Times New Roman" w:hAnsi="Times New Roman"/>
                <w:b/>
                <w:color w:val="000000"/>
                <w:sz w:val="16"/>
                <w:lang w:val="es-ES"/>
              </w:rPr>
              <w:t>%</w:t>
            </w:r>
          </w:p>
        </w:tc>
        <w:tc>
          <w:tcPr>
            <w:tcW w:w="137" w:type="pct"/>
            <w:noWrap/>
            <w:vAlign w:val="bottom"/>
          </w:tcPr>
          <w:p w14:paraId="16DAB6F9" w14:textId="77777777" w:rsidR="00E90931" w:rsidRPr="00AE4E8D" w:rsidRDefault="00E90931" w:rsidP="00E90931">
            <w:pPr>
              <w:jc w:val="right"/>
              <w:rPr>
                <w:rFonts w:ascii="Times New Roman" w:hAnsi="Times New Roman"/>
                <w:b/>
                <w:color w:val="000000"/>
                <w:sz w:val="16"/>
                <w:lang w:val="es-ES"/>
              </w:rPr>
            </w:pPr>
          </w:p>
        </w:tc>
        <w:tc>
          <w:tcPr>
            <w:tcW w:w="435" w:type="pct"/>
            <w:tcBorders>
              <w:top w:val="single" w:sz="4" w:space="0" w:color="auto"/>
              <w:left w:val="nil"/>
              <w:bottom w:val="single" w:sz="4" w:space="0" w:color="auto"/>
              <w:right w:val="nil"/>
            </w:tcBorders>
            <w:noWrap/>
            <w:vAlign w:val="bottom"/>
            <w:hideMark/>
          </w:tcPr>
          <w:p w14:paraId="5FAA3E67" w14:textId="77777777" w:rsidR="00E90931" w:rsidRPr="00AE4E8D" w:rsidRDefault="00EB3492"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w:t>
            </w:r>
            <w:r w:rsidR="00E90931" w:rsidRPr="00AE4E8D">
              <w:rPr>
                <w:rFonts w:ascii="Times New Roman" w:hAnsi="Times New Roman"/>
                <w:b/>
                <w:bCs/>
                <w:color w:val="000000"/>
                <w:sz w:val="16"/>
                <w:szCs w:val="16"/>
                <w:lang w:val="es-ES"/>
              </w:rPr>
              <w:t>706.476</w:t>
            </w:r>
            <w:r w:rsidR="00E90931" w:rsidRPr="00AE4E8D">
              <w:rPr>
                <w:rFonts w:ascii="Times New Roman" w:hAnsi="Times New Roman"/>
                <w:b/>
                <w:color w:val="000000"/>
                <w:sz w:val="16"/>
                <w:lang w:val="es-ES"/>
              </w:rPr>
              <w:t xml:space="preserve"> </w:t>
            </w:r>
          </w:p>
        </w:tc>
        <w:tc>
          <w:tcPr>
            <w:tcW w:w="356" w:type="pct"/>
            <w:tcBorders>
              <w:top w:val="single" w:sz="4" w:space="0" w:color="auto"/>
              <w:left w:val="nil"/>
              <w:bottom w:val="single" w:sz="4" w:space="0" w:color="auto"/>
              <w:right w:val="nil"/>
            </w:tcBorders>
            <w:noWrap/>
            <w:vAlign w:val="bottom"/>
            <w:hideMark/>
          </w:tcPr>
          <w:p w14:paraId="2128EE5B"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10,91</w:t>
            </w:r>
            <w:r w:rsidRPr="00AE4E8D">
              <w:rPr>
                <w:rFonts w:ascii="Times New Roman" w:hAnsi="Times New Roman"/>
                <w:b/>
                <w:color w:val="000000"/>
                <w:sz w:val="16"/>
                <w:lang w:val="es-ES"/>
              </w:rPr>
              <w:t>%</w:t>
            </w:r>
          </w:p>
        </w:tc>
        <w:tc>
          <w:tcPr>
            <w:tcW w:w="138" w:type="pct"/>
            <w:noWrap/>
            <w:vAlign w:val="bottom"/>
          </w:tcPr>
          <w:p w14:paraId="3A4CD2FB" w14:textId="77777777" w:rsidR="00E90931" w:rsidRPr="00AE4E8D" w:rsidRDefault="00E90931" w:rsidP="00E90931">
            <w:pPr>
              <w:jc w:val="right"/>
              <w:rPr>
                <w:rFonts w:ascii="Times New Roman" w:hAnsi="Times New Roman"/>
                <w:b/>
                <w:color w:val="000000"/>
                <w:sz w:val="16"/>
                <w:lang w:val="es-ES"/>
              </w:rPr>
            </w:pPr>
          </w:p>
        </w:tc>
        <w:tc>
          <w:tcPr>
            <w:tcW w:w="425" w:type="pct"/>
            <w:tcBorders>
              <w:top w:val="single" w:sz="4" w:space="0" w:color="auto"/>
              <w:left w:val="nil"/>
              <w:bottom w:val="single" w:sz="4" w:space="0" w:color="auto"/>
              <w:right w:val="nil"/>
            </w:tcBorders>
            <w:noWrap/>
            <w:vAlign w:val="bottom"/>
            <w:hideMark/>
          </w:tcPr>
          <w:p w14:paraId="3046AA52" w14:textId="77777777" w:rsidR="00E90931" w:rsidRPr="00AE4E8D" w:rsidRDefault="00EB3492"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w:t>
            </w:r>
            <w:r w:rsidR="00E90931" w:rsidRPr="00AE4E8D">
              <w:rPr>
                <w:rFonts w:ascii="Times New Roman" w:hAnsi="Times New Roman"/>
                <w:b/>
                <w:bCs/>
                <w:color w:val="000000"/>
                <w:sz w:val="16"/>
                <w:szCs w:val="16"/>
                <w:lang w:val="es-ES"/>
              </w:rPr>
              <w:t>310.609</w:t>
            </w:r>
            <w:r w:rsidR="00E90931" w:rsidRPr="00AE4E8D">
              <w:rPr>
                <w:rFonts w:ascii="Times New Roman" w:hAnsi="Times New Roman"/>
                <w:b/>
                <w:color w:val="000000"/>
                <w:sz w:val="16"/>
                <w:lang w:val="es-ES"/>
              </w:rPr>
              <w:t xml:space="preserve"> </w:t>
            </w:r>
          </w:p>
        </w:tc>
        <w:tc>
          <w:tcPr>
            <w:tcW w:w="356" w:type="pct"/>
            <w:tcBorders>
              <w:top w:val="single" w:sz="4" w:space="0" w:color="auto"/>
              <w:left w:val="nil"/>
              <w:bottom w:val="single" w:sz="4" w:space="0" w:color="auto"/>
              <w:right w:val="nil"/>
            </w:tcBorders>
            <w:noWrap/>
            <w:vAlign w:val="bottom"/>
            <w:hideMark/>
          </w:tcPr>
          <w:p w14:paraId="2200DC0A"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8,53</w:t>
            </w:r>
            <w:r w:rsidRPr="00AE4E8D">
              <w:rPr>
                <w:rFonts w:ascii="Times New Roman" w:hAnsi="Times New Roman"/>
                <w:b/>
                <w:color w:val="000000"/>
                <w:sz w:val="16"/>
                <w:lang w:val="es-ES"/>
              </w:rPr>
              <w:t>%</w:t>
            </w:r>
          </w:p>
        </w:tc>
        <w:tc>
          <w:tcPr>
            <w:tcW w:w="138" w:type="pct"/>
            <w:noWrap/>
            <w:vAlign w:val="bottom"/>
            <w:hideMark/>
          </w:tcPr>
          <w:p w14:paraId="160633B7"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w:t>
            </w:r>
          </w:p>
        </w:tc>
        <w:tc>
          <w:tcPr>
            <w:tcW w:w="409" w:type="pct"/>
            <w:tcBorders>
              <w:top w:val="single" w:sz="4" w:space="0" w:color="auto"/>
              <w:left w:val="nil"/>
              <w:bottom w:val="single" w:sz="4" w:space="0" w:color="auto"/>
              <w:right w:val="nil"/>
            </w:tcBorders>
            <w:noWrap/>
            <w:vAlign w:val="bottom"/>
          </w:tcPr>
          <w:p w14:paraId="06FAC348" w14:textId="77777777" w:rsidR="00E90931" w:rsidRPr="00AE4E8D" w:rsidRDefault="00E90931" w:rsidP="00E90931">
            <w:pPr>
              <w:jc w:val="right"/>
              <w:rPr>
                <w:rFonts w:ascii="Times New Roman" w:hAnsi="Times New Roman"/>
                <w:b/>
                <w:color w:val="000000"/>
                <w:sz w:val="16"/>
                <w:lang w:val="es-ES"/>
              </w:rPr>
            </w:pPr>
          </w:p>
        </w:tc>
        <w:tc>
          <w:tcPr>
            <w:tcW w:w="356" w:type="pct"/>
            <w:tcBorders>
              <w:top w:val="single" w:sz="4" w:space="0" w:color="auto"/>
              <w:left w:val="nil"/>
              <w:bottom w:val="single" w:sz="4" w:space="0" w:color="auto"/>
              <w:right w:val="nil"/>
            </w:tcBorders>
            <w:noWrap/>
            <w:vAlign w:val="bottom"/>
          </w:tcPr>
          <w:p w14:paraId="5D2265CA" w14:textId="77777777" w:rsidR="00E90931" w:rsidRPr="00AE4E8D" w:rsidRDefault="00E90931" w:rsidP="00E90931">
            <w:pPr>
              <w:jc w:val="right"/>
              <w:rPr>
                <w:rFonts w:ascii="Times New Roman" w:hAnsi="Times New Roman"/>
                <w:b/>
                <w:color w:val="000000"/>
                <w:sz w:val="16"/>
                <w:lang w:val="es-ES"/>
              </w:rPr>
            </w:pPr>
          </w:p>
        </w:tc>
        <w:tc>
          <w:tcPr>
            <w:tcW w:w="138" w:type="pct"/>
            <w:shd w:val="clear" w:color="auto" w:fill="FFFFFF"/>
            <w:noWrap/>
            <w:vAlign w:val="bottom"/>
            <w:hideMark/>
          </w:tcPr>
          <w:p w14:paraId="0BA7DEE9"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409" w:type="pct"/>
            <w:tcBorders>
              <w:top w:val="single" w:sz="4" w:space="0" w:color="auto"/>
              <w:left w:val="nil"/>
              <w:bottom w:val="single" w:sz="4" w:space="0" w:color="auto"/>
              <w:right w:val="nil"/>
            </w:tcBorders>
            <w:shd w:val="clear" w:color="auto" w:fill="FFFFFF"/>
            <w:noWrap/>
            <w:vAlign w:val="bottom"/>
            <w:hideMark/>
          </w:tcPr>
          <w:p w14:paraId="421F5308"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353" w:type="pct"/>
            <w:tcBorders>
              <w:top w:val="single" w:sz="4" w:space="0" w:color="auto"/>
              <w:left w:val="nil"/>
              <w:bottom w:val="single" w:sz="4" w:space="0" w:color="auto"/>
              <w:right w:val="nil"/>
            </w:tcBorders>
            <w:shd w:val="clear" w:color="auto" w:fill="FFFFFF"/>
            <w:noWrap/>
            <w:vAlign w:val="bottom"/>
            <w:hideMark/>
          </w:tcPr>
          <w:p w14:paraId="46C13133"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r>
      <w:tr w:rsidR="003B5193" w:rsidRPr="00AE4E8D" w14:paraId="249905E2" w14:textId="77777777" w:rsidTr="00091EF5">
        <w:trPr>
          <w:trHeight w:val="255"/>
          <w:jc w:val="center"/>
        </w:trPr>
        <w:tc>
          <w:tcPr>
            <w:tcW w:w="486" w:type="pct"/>
            <w:vAlign w:val="center"/>
          </w:tcPr>
          <w:p w14:paraId="37E1208F"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52AACF83"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7DE7ABF4"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3BBCA7E7" w14:textId="77777777" w:rsidR="00E90931" w:rsidRPr="00AE4E8D" w:rsidRDefault="00E90931" w:rsidP="00E90931">
            <w:pPr>
              <w:jc w:val="right"/>
              <w:rPr>
                <w:rFonts w:ascii="Times New Roman" w:hAnsi="Times New Roman"/>
                <w:sz w:val="14"/>
                <w:szCs w:val="14"/>
                <w:lang w:val="es-ES"/>
              </w:rPr>
            </w:pPr>
          </w:p>
        </w:tc>
        <w:tc>
          <w:tcPr>
            <w:tcW w:w="435" w:type="pct"/>
            <w:shd w:val="clear" w:color="auto" w:fill="FFFFFF"/>
            <w:noWrap/>
            <w:vAlign w:val="bottom"/>
            <w:hideMark/>
          </w:tcPr>
          <w:p w14:paraId="4F8210EC"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4BD01CE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shd w:val="clear" w:color="auto" w:fill="FFFFFF"/>
            <w:noWrap/>
            <w:vAlign w:val="bottom"/>
            <w:hideMark/>
          </w:tcPr>
          <w:p w14:paraId="09F29F38"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25" w:type="pct"/>
            <w:shd w:val="clear" w:color="auto" w:fill="FFFFFF"/>
            <w:noWrap/>
            <w:vAlign w:val="bottom"/>
            <w:hideMark/>
          </w:tcPr>
          <w:p w14:paraId="3BD2E92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25468343"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shd w:val="clear" w:color="auto" w:fill="FFFFFF"/>
            <w:noWrap/>
            <w:vAlign w:val="bottom"/>
            <w:hideMark/>
          </w:tcPr>
          <w:p w14:paraId="1D2666E0"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6545686E"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32C4219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shd w:val="clear" w:color="auto" w:fill="FFFFFF"/>
            <w:noWrap/>
            <w:vAlign w:val="bottom"/>
            <w:hideMark/>
          </w:tcPr>
          <w:p w14:paraId="294AAC8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409" w:type="pct"/>
            <w:shd w:val="clear" w:color="auto" w:fill="FFFFFF"/>
            <w:noWrap/>
            <w:vAlign w:val="bottom"/>
            <w:hideMark/>
          </w:tcPr>
          <w:p w14:paraId="30CA644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3" w:type="pct"/>
            <w:shd w:val="clear" w:color="auto" w:fill="FFFFFF"/>
            <w:noWrap/>
            <w:vAlign w:val="bottom"/>
            <w:hideMark/>
          </w:tcPr>
          <w:p w14:paraId="5F74F2F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r>
      <w:tr w:rsidR="00B86C83" w:rsidRPr="00AE4E8D" w14:paraId="1D079BA1" w14:textId="77777777" w:rsidTr="000400C8">
        <w:trPr>
          <w:trHeight w:val="510"/>
          <w:jc w:val="center"/>
        </w:trPr>
        <w:tc>
          <w:tcPr>
            <w:tcW w:w="486" w:type="pct"/>
            <w:vAlign w:val="center"/>
            <w:hideMark/>
          </w:tcPr>
          <w:p w14:paraId="1D836C05" w14:textId="77777777" w:rsidR="00E90931" w:rsidRPr="00AE4E8D" w:rsidRDefault="00E90931" w:rsidP="002C3DEF">
            <w:pPr>
              <w:rPr>
                <w:rFonts w:ascii="Times New Roman" w:hAnsi="Times New Roman"/>
                <w:b/>
                <w:bCs/>
                <w:sz w:val="14"/>
                <w:szCs w:val="14"/>
                <w:lang w:val="es-ES"/>
              </w:rPr>
            </w:pPr>
            <w:r w:rsidRPr="00AE4E8D">
              <w:rPr>
                <w:rFonts w:ascii="Times New Roman" w:hAnsi="Times New Roman"/>
                <w:b/>
                <w:bCs/>
                <w:sz w:val="14"/>
                <w:szCs w:val="14"/>
                <w:lang w:val="es-ES"/>
              </w:rPr>
              <w:t xml:space="preserve">Instrumentos emitidos por el </w:t>
            </w:r>
            <w:r w:rsidR="002C3DEF" w:rsidRPr="00AE4E8D">
              <w:rPr>
                <w:rFonts w:ascii="Times New Roman" w:hAnsi="Times New Roman"/>
                <w:b/>
                <w:bCs/>
                <w:sz w:val="14"/>
                <w:szCs w:val="14"/>
                <w:lang w:val="es-ES"/>
              </w:rPr>
              <w:t>BCRA</w:t>
            </w:r>
          </w:p>
        </w:tc>
        <w:tc>
          <w:tcPr>
            <w:tcW w:w="435" w:type="pct"/>
            <w:noWrap/>
            <w:vAlign w:val="bottom"/>
          </w:tcPr>
          <w:p w14:paraId="55D3C924"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38D8554D"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5E4D420A"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54EB5605"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34FD63B"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08DA7C2A"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40DA0BDC"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0805BE08"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5F57FAD7"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4D3F0450"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059554B9"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4CDFE0A6"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43BA16EC"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550E34AC" w14:textId="77777777" w:rsidR="00E90931" w:rsidRPr="00AE4E8D" w:rsidRDefault="00E90931" w:rsidP="00E90931">
            <w:pPr>
              <w:jc w:val="right"/>
              <w:rPr>
                <w:rFonts w:ascii="Times New Roman" w:hAnsi="Times New Roman"/>
                <w:sz w:val="14"/>
                <w:szCs w:val="14"/>
                <w:lang w:val="es-ES"/>
              </w:rPr>
            </w:pPr>
          </w:p>
        </w:tc>
      </w:tr>
      <w:tr w:rsidR="003B5193" w:rsidRPr="00AE4E8D" w14:paraId="35EEEFC6" w14:textId="77777777" w:rsidTr="00091EF5">
        <w:trPr>
          <w:trHeight w:val="255"/>
          <w:jc w:val="center"/>
        </w:trPr>
        <w:tc>
          <w:tcPr>
            <w:tcW w:w="486" w:type="pct"/>
            <w:vAlign w:val="center"/>
            <w:hideMark/>
          </w:tcPr>
          <w:p w14:paraId="47EA2D9B"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En pesos</w:t>
            </w:r>
          </w:p>
        </w:tc>
        <w:tc>
          <w:tcPr>
            <w:tcW w:w="435" w:type="pct"/>
            <w:noWrap/>
            <w:vAlign w:val="bottom"/>
            <w:hideMark/>
          </w:tcPr>
          <w:p w14:paraId="7DE45D09"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1.</w:t>
            </w:r>
            <w:r w:rsidRPr="00AE4E8D">
              <w:rPr>
                <w:rFonts w:ascii="Times New Roman" w:hAnsi="Times New Roman"/>
                <w:b/>
                <w:bCs/>
                <w:color w:val="000000"/>
                <w:sz w:val="16"/>
                <w:szCs w:val="16"/>
                <w:lang w:val="es-ES"/>
              </w:rPr>
              <w:t>382.076</w:t>
            </w:r>
            <w:r w:rsidRPr="00AE4E8D">
              <w:rPr>
                <w:rFonts w:ascii="Times New Roman" w:hAnsi="Times New Roman"/>
                <w:b/>
                <w:color w:val="000000"/>
                <w:sz w:val="16"/>
                <w:lang w:val="es-ES"/>
              </w:rPr>
              <w:t xml:space="preserve"> </w:t>
            </w:r>
          </w:p>
        </w:tc>
        <w:tc>
          <w:tcPr>
            <w:tcW w:w="429" w:type="pct"/>
            <w:noWrap/>
            <w:vAlign w:val="bottom"/>
            <w:hideMark/>
          </w:tcPr>
          <w:p w14:paraId="3CD21848"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29,61</w:t>
            </w:r>
            <w:r w:rsidRPr="00AE4E8D">
              <w:rPr>
                <w:rFonts w:ascii="Times New Roman" w:hAnsi="Times New Roman"/>
                <w:b/>
                <w:color w:val="000000"/>
                <w:sz w:val="16"/>
                <w:lang w:val="es-ES"/>
              </w:rPr>
              <w:t>%</w:t>
            </w:r>
          </w:p>
        </w:tc>
        <w:tc>
          <w:tcPr>
            <w:tcW w:w="137" w:type="pct"/>
            <w:noWrap/>
            <w:vAlign w:val="bottom"/>
          </w:tcPr>
          <w:p w14:paraId="62FA5F4A" w14:textId="77777777" w:rsidR="00E90931" w:rsidRPr="00AE4E8D" w:rsidRDefault="00E90931" w:rsidP="00E90931">
            <w:pPr>
              <w:jc w:val="right"/>
              <w:rPr>
                <w:rFonts w:ascii="Times New Roman" w:hAnsi="Times New Roman"/>
                <w:color w:val="000000"/>
                <w:sz w:val="16"/>
                <w:lang w:val="es-ES"/>
              </w:rPr>
            </w:pPr>
          </w:p>
        </w:tc>
        <w:tc>
          <w:tcPr>
            <w:tcW w:w="435" w:type="pct"/>
            <w:shd w:val="clear" w:color="auto" w:fill="FFFFFF"/>
            <w:noWrap/>
            <w:vAlign w:val="bottom"/>
            <w:hideMark/>
          </w:tcPr>
          <w:p w14:paraId="3A26919E" w14:textId="77777777" w:rsidR="00E90931" w:rsidRPr="00AE4E8D" w:rsidRDefault="00EB3492"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w:t>
            </w:r>
            <w:r w:rsidR="00E90931" w:rsidRPr="00AE4E8D">
              <w:rPr>
                <w:rFonts w:ascii="Times New Roman" w:hAnsi="Times New Roman"/>
                <w:b/>
                <w:color w:val="000000"/>
                <w:sz w:val="16"/>
                <w:lang w:val="es-ES"/>
              </w:rPr>
              <w:t>1.</w:t>
            </w:r>
            <w:r w:rsidR="00E90931" w:rsidRPr="00AE4E8D">
              <w:rPr>
                <w:rFonts w:ascii="Times New Roman" w:hAnsi="Times New Roman"/>
                <w:b/>
                <w:bCs/>
                <w:color w:val="000000"/>
                <w:sz w:val="16"/>
                <w:szCs w:val="16"/>
                <w:lang w:val="es-ES"/>
              </w:rPr>
              <w:t>382.076</w:t>
            </w:r>
            <w:r w:rsidR="00E90931" w:rsidRPr="00AE4E8D">
              <w:rPr>
                <w:rFonts w:ascii="Times New Roman" w:hAnsi="Times New Roman"/>
                <w:b/>
                <w:color w:val="000000"/>
                <w:sz w:val="16"/>
                <w:lang w:val="es-ES"/>
              </w:rPr>
              <w:t xml:space="preserve"> </w:t>
            </w:r>
          </w:p>
        </w:tc>
        <w:tc>
          <w:tcPr>
            <w:tcW w:w="356" w:type="pct"/>
            <w:shd w:val="clear" w:color="auto" w:fill="FFFFFF"/>
            <w:noWrap/>
            <w:vAlign w:val="bottom"/>
            <w:hideMark/>
          </w:tcPr>
          <w:p w14:paraId="74AD3E46"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29,61</w:t>
            </w:r>
            <w:r w:rsidRPr="00AE4E8D">
              <w:rPr>
                <w:rFonts w:ascii="Times New Roman" w:hAnsi="Times New Roman"/>
                <w:b/>
                <w:color w:val="000000"/>
                <w:sz w:val="16"/>
                <w:lang w:val="es-ES"/>
              </w:rPr>
              <w:t>%</w:t>
            </w:r>
          </w:p>
        </w:tc>
        <w:tc>
          <w:tcPr>
            <w:tcW w:w="138" w:type="pct"/>
            <w:noWrap/>
            <w:vAlign w:val="bottom"/>
          </w:tcPr>
          <w:p w14:paraId="353B0881" w14:textId="77777777" w:rsidR="00E90931" w:rsidRPr="00AE4E8D" w:rsidRDefault="00E90931" w:rsidP="00E90931">
            <w:pPr>
              <w:jc w:val="right"/>
              <w:rPr>
                <w:rFonts w:ascii="Times New Roman" w:hAnsi="Times New Roman"/>
                <w:sz w:val="14"/>
                <w:szCs w:val="14"/>
                <w:lang w:val="es-ES"/>
              </w:rPr>
            </w:pPr>
          </w:p>
        </w:tc>
        <w:tc>
          <w:tcPr>
            <w:tcW w:w="425" w:type="pct"/>
            <w:noWrap/>
            <w:vAlign w:val="bottom"/>
            <w:hideMark/>
          </w:tcPr>
          <w:p w14:paraId="34C2071E"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noWrap/>
            <w:vAlign w:val="bottom"/>
          </w:tcPr>
          <w:p w14:paraId="1297E3F7" w14:textId="77777777" w:rsidR="00E90931" w:rsidRPr="00AE4E8D" w:rsidRDefault="00E90931" w:rsidP="00E90931">
            <w:pPr>
              <w:jc w:val="right"/>
              <w:rPr>
                <w:rFonts w:ascii="Times New Roman" w:hAnsi="Times New Roman"/>
                <w:b/>
                <w:bCs/>
                <w:sz w:val="14"/>
                <w:szCs w:val="14"/>
                <w:lang w:val="es-ES"/>
              </w:rPr>
            </w:pPr>
          </w:p>
        </w:tc>
        <w:tc>
          <w:tcPr>
            <w:tcW w:w="138" w:type="pct"/>
            <w:noWrap/>
            <w:vAlign w:val="bottom"/>
          </w:tcPr>
          <w:p w14:paraId="68113AF1" w14:textId="77777777" w:rsidR="00E90931" w:rsidRPr="00AE4E8D" w:rsidRDefault="00E90931" w:rsidP="00E90931">
            <w:pPr>
              <w:jc w:val="right"/>
              <w:rPr>
                <w:rFonts w:ascii="Times New Roman" w:hAnsi="Times New Roman"/>
                <w:sz w:val="14"/>
                <w:szCs w:val="14"/>
                <w:lang w:val="es-ES"/>
              </w:rPr>
            </w:pPr>
          </w:p>
        </w:tc>
        <w:tc>
          <w:tcPr>
            <w:tcW w:w="409" w:type="pct"/>
            <w:noWrap/>
            <w:vAlign w:val="bottom"/>
            <w:hideMark/>
          </w:tcPr>
          <w:p w14:paraId="780F22F0"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noWrap/>
            <w:vAlign w:val="bottom"/>
          </w:tcPr>
          <w:p w14:paraId="77BC46E6" w14:textId="77777777" w:rsidR="00E90931" w:rsidRPr="00AE4E8D" w:rsidRDefault="00E90931" w:rsidP="00E90931">
            <w:pPr>
              <w:jc w:val="right"/>
              <w:rPr>
                <w:rFonts w:ascii="Times New Roman" w:hAnsi="Times New Roman"/>
                <w:b/>
                <w:bCs/>
                <w:sz w:val="14"/>
                <w:szCs w:val="14"/>
                <w:lang w:val="es-ES"/>
              </w:rPr>
            </w:pPr>
          </w:p>
        </w:tc>
        <w:tc>
          <w:tcPr>
            <w:tcW w:w="138" w:type="pct"/>
            <w:noWrap/>
            <w:vAlign w:val="bottom"/>
          </w:tcPr>
          <w:p w14:paraId="0CF8CD2F" w14:textId="77777777" w:rsidR="00E90931" w:rsidRPr="00AE4E8D" w:rsidRDefault="00E90931" w:rsidP="00E90931">
            <w:pPr>
              <w:jc w:val="right"/>
              <w:rPr>
                <w:rFonts w:ascii="Times New Roman" w:hAnsi="Times New Roman"/>
                <w:sz w:val="14"/>
                <w:szCs w:val="14"/>
                <w:lang w:val="es-ES"/>
              </w:rPr>
            </w:pPr>
          </w:p>
        </w:tc>
        <w:tc>
          <w:tcPr>
            <w:tcW w:w="409" w:type="pct"/>
            <w:noWrap/>
            <w:vAlign w:val="bottom"/>
            <w:hideMark/>
          </w:tcPr>
          <w:p w14:paraId="3FE43FA4"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3" w:type="pct"/>
            <w:noWrap/>
            <w:vAlign w:val="bottom"/>
          </w:tcPr>
          <w:p w14:paraId="326A5FEE" w14:textId="77777777" w:rsidR="00E90931" w:rsidRPr="00AE4E8D" w:rsidRDefault="00E90931" w:rsidP="00E90931">
            <w:pPr>
              <w:jc w:val="right"/>
              <w:rPr>
                <w:rFonts w:ascii="Times New Roman" w:hAnsi="Times New Roman"/>
                <w:b/>
                <w:bCs/>
                <w:sz w:val="14"/>
                <w:szCs w:val="14"/>
                <w:lang w:val="es-ES"/>
              </w:rPr>
            </w:pPr>
          </w:p>
        </w:tc>
      </w:tr>
      <w:tr w:rsidR="003B5193" w:rsidRPr="00AE4E8D" w14:paraId="5A228978" w14:textId="77777777" w:rsidTr="00091EF5">
        <w:trPr>
          <w:trHeight w:val="510"/>
          <w:jc w:val="center"/>
        </w:trPr>
        <w:tc>
          <w:tcPr>
            <w:tcW w:w="486" w:type="pct"/>
            <w:vAlign w:val="center"/>
            <w:hideMark/>
          </w:tcPr>
          <w:p w14:paraId="2A714F41"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Lebacs registradas a valor razonable de mercado </w:t>
            </w:r>
          </w:p>
        </w:tc>
        <w:tc>
          <w:tcPr>
            <w:tcW w:w="435" w:type="pct"/>
            <w:noWrap/>
            <w:vAlign w:val="bottom"/>
            <w:hideMark/>
          </w:tcPr>
          <w:p w14:paraId="57FA3FA9" w14:textId="77777777" w:rsidR="00E90931"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711.280</w:t>
            </w:r>
            <w:r w:rsidR="00E90931" w:rsidRPr="00AE4E8D">
              <w:rPr>
                <w:rFonts w:ascii="Times New Roman" w:hAnsi="Times New Roman"/>
                <w:color w:val="000000"/>
                <w:sz w:val="16"/>
                <w:lang w:val="es-ES"/>
              </w:rPr>
              <w:t xml:space="preserve"> </w:t>
            </w:r>
          </w:p>
        </w:tc>
        <w:tc>
          <w:tcPr>
            <w:tcW w:w="429" w:type="pct"/>
            <w:noWrap/>
            <w:vAlign w:val="bottom"/>
            <w:hideMark/>
          </w:tcPr>
          <w:p w14:paraId="36692870"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34,69</w:t>
            </w:r>
            <w:r w:rsidRPr="00AE4E8D">
              <w:rPr>
                <w:rFonts w:ascii="Times New Roman" w:hAnsi="Times New Roman"/>
                <w:color w:val="000000"/>
                <w:sz w:val="16"/>
                <w:lang w:val="es-ES"/>
              </w:rPr>
              <w:t>%</w:t>
            </w:r>
          </w:p>
        </w:tc>
        <w:tc>
          <w:tcPr>
            <w:tcW w:w="137" w:type="pct"/>
            <w:noWrap/>
            <w:vAlign w:val="bottom"/>
          </w:tcPr>
          <w:p w14:paraId="7B4115B1" w14:textId="77777777" w:rsidR="00E90931" w:rsidRPr="00AE4E8D" w:rsidRDefault="00E90931" w:rsidP="00E90931">
            <w:pPr>
              <w:jc w:val="right"/>
              <w:rPr>
                <w:rFonts w:ascii="Times New Roman" w:hAnsi="Times New Roman"/>
                <w:color w:val="000000"/>
                <w:sz w:val="16"/>
                <w:lang w:val="es-ES"/>
              </w:rPr>
            </w:pPr>
          </w:p>
        </w:tc>
        <w:tc>
          <w:tcPr>
            <w:tcW w:w="435" w:type="pct"/>
            <w:shd w:val="clear" w:color="auto" w:fill="FFFFFF"/>
            <w:noWrap/>
            <w:vAlign w:val="bottom"/>
            <w:hideMark/>
          </w:tcPr>
          <w:p w14:paraId="0AEA32AC" w14:textId="77777777" w:rsidR="00E90931"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711.280</w:t>
            </w:r>
            <w:r w:rsidR="00E90931" w:rsidRPr="00AE4E8D">
              <w:rPr>
                <w:rFonts w:ascii="Times New Roman" w:hAnsi="Times New Roman"/>
                <w:color w:val="000000"/>
                <w:sz w:val="16"/>
                <w:lang w:val="es-ES"/>
              </w:rPr>
              <w:t xml:space="preserve"> </w:t>
            </w:r>
          </w:p>
        </w:tc>
        <w:tc>
          <w:tcPr>
            <w:tcW w:w="356" w:type="pct"/>
            <w:shd w:val="clear" w:color="auto" w:fill="FFFFFF"/>
            <w:noWrap/>
            <w:vAlign w:val="bottom"/>
            <w:hideMark/>
          </w:tcPr>
          <w:p w14:paraId="55A69E44"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34,69</w:t>
            </w:r>
            <w:r w:rsidRPr="00AE4E8D">
              <w:rPr>
                <w:rFonts w:ascii="Times New Roman" w:hAnsi="Times New Roman"/>
                <w:color w:val="000000"/>
                <w:sz w:val="16"/>
                <w:lang w:val="es-ES"/>
              </w:rPr>
              <w:t>%</w:t>
            </w:r>
          </w:p>
        </w:tc>
        <w:tc>
          <w:tcPr>
            <w:tcW w:w="138" w:type="pct"/>
            <w:noWrap/>
            <w:vAlign w:val="bottom"/>
          </w:tcPr>
          <w:p w14:paraId="74126FDD"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025A7756"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3A0D011"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B5B145D"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60290BC0"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21B4A808"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A9F083C"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320BAAA8"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049EC61A" w14:textId="77777777" w:rsidR="00E90931" w:rsidRPr="00AE4E8D" w:rsidRDefault="00E90931" w:rsidP="00E90931">
            <w:pPr>
              <w:jc w:val="right"/>
              <w:rPr>
                <w:rFonts w:ascii="Times New Roman" w:hAnsi="Times New Roman"/>
                <w:sz w:val="14"/>
                <w:szCs w:val="14"/>
                <w:lang w:val="es-ES"/>
              </w:rPr>
            </w:pPr>
          </w:p>
        </w:tc>
      </w:tr>
      <w:tr w:rsidR="003B5193" w:rsidRPr="00AE4E8D" w14:paraId="6EC9F52C" w14:textId="77777777" w:rsidTr="00091EF5">
        <w:trPr>
          <w:trHeight w:val="510"/>
          <w:jc w:val="center"/>
        </w:trPr>
        <w:tc>
          <w:tcPr>
            <w:tcW w:w="486" w:type="pct"/>
            <w:vAlign w:val="center"/>
            <w:hideMark/>
          </w:tcPr>
          <w:p w14:paraId="7A009902"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Lebacs registradas a costo más rendimiento</w:t>
            </w:r>
          </w:p>
        </w:tc>
        <w:tc>
          <w:tcPr>
            <w:tcW w:w="435" w:type="pct"/>
            <w:noWrap/>
            <w:vAlign w:val="bottom"/>
            <w:hideMark/>
          </w:tcPr>
          <w:p w14:paraId="03FAC875" w14:textId="77777777" w:rsidR="00E90931"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670.796</w:t>
            </w:r>
            <w:r w:rsidR="00E90931" w:rsidRPr="00AE4E8D">
              <w:rPr>
                <w:rFonts w:ascii="Times New Roman" w:hAnsi="Times New Roman"/>
                <w:color w:val="000000"/>
                <w:sz w:val="16"/>
                <w:lang w:val="es-ES"/>
              </w:rPr>
              <w:t xml:space="preserve"> </w:t>
            </w:r>
          </w:p>
        </w:tc>
        <w:tc>
          <w:tcPr>
            <w:tcW w:w="429" w:type="pct"/>
            <w:noWrap/>
            <w:vAlign w:val="bottom"/>
            <w:hideMark/>
          </w:tcPr>
          <w:p w14:paraId="46E8E52E"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24,22</w:t>
            </w:r>
            <w:r w:rsidRPr="00AE4E8D">
              <w:rPr>
                <w:rFonts w:ascii="Times New Roman" w:hAnsi="Times New Roman"/>
                <w:color w:val="000000"/>
                <w:sz w:val="16"/>
                <w:lang w:val="es-ES"/>
              </w:rPr>
              <w:t>%</w:t>
            </w:r>
          </w:p>
        </w:tc>
        <w:tc>
          <w:tcPr>
            <w:tcW w:w="137" w:type="pct"/>
            <w:noWrap/>
            <w:vAlign w:val="bottom"/>
          </w:tcPr>
          <w:p w14:paraId="6FACE3C9" w14:textId="77777777" w:rsidR="00E90931" w:rsidRPr="00AE4E8D" w:rsidRDefault="00E90931" w:rsidP="00E90931">
            <w:pPr>
              <w:jc w:val="right"/>
              <w:rPr>
                <w:rFonts w:ascii="Times New Roman" w:hAnsi="Times New Roman"/>
                <w:color w:val="000000"/>
                <w:sz w:val="16"/>
                <w:lang w:val="es-ES"/>
              </w:rPr>
            </w:pPr>
          </w:p>
        </w:tc>
        <w:tc>
          <w:tcPr>
            <w:tcW w:w="435" w:type="pct"/>
            <w:shd w:val="clear" w:color="auto" w:fill="FFFFFF"/>
            <w:noWrap/>
            <w:vAlign w:val="bottom"/>
            <w:hideMark/>
          </w:tcPr>
          <w:p w14:paraId="56AB7A33" w14:textId="77777777" w:rsidR="00E90931" w:rsidRPr="00AE4E8D" w:rsidRDefault="00EB3492" w:rsidP="00E90931">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670.796</w:t>
            </w:r>
            <w:r w:rsidR="00E90931" w:rsidRPr="00AE4E8D">
              <w:rPr>
                <w:rFonts w:ascii="Times New Roman" w:hAnsi="Times New Roman"/>
                <w:color w:val="000000"/>
                <w:sz w:val="16"/>
                <w:lang w:val="es-ES"/>
              </w:rPr>
              <w:t xml:space="preserve"> </w:t>
            </w:r>
          </w:p>
        </w:tc>
        <w:tc>
          <w:tcPr>
            <w:tcW w:w="356" w:type="pct"/>
            <w:shd w:val="clear" w:color="auto" w:fill="FFFFFF"/>
            <w:noWrap/>
            <w:vAlign w:val="bottom"/>
            <w:hideMark/>
          </w:tcPr>
          <w:p w14:paraId="0B7BCAD3"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szCs w:val="16"/>
                <w:lang w:val="es-ES"/>
              </w:rPr>
              <w:t>24,22</w:t>
            </w:r>
            <w:r w:rsidRPr="00AE4E8D">
              <w:rPr>
                <w:rFonts w:ascii="Times New Roman" w:hAnsi="Times New Roman"/>
                <w:color w:val="000000"/>
                <w:sz w:val="16"/>
                <w:lang w:val="es-ES"/>
              </w:rPr>
              <w:t>%</w:t>
            </w:r>
          </w:p>
        </w:tc>
        <w:tc>
          <w:tcPr>
            <w:tcW w:w="138" w:type="pct"/>
            <w:noWrap/>
            <w:vAlign w:val="bottom"/>
          </w:tcPr>
          <w:p w14:paraId="2720C164"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2EA7F0C5"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7BCC8E6E"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7180FC22"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7C558D06"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791015F0"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792694A4"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58214C8A"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108238CE" w14:textId="77777777" w:rsidR="00E90931" w:rsidRPr="00AE4E8D" w:rsidRDefault="00E90931" w:rsidP="00E90931">
            <w:pPr>
              <w:jc w:val="right"/>
              <w:rPr>
                <w:rFonts w:ascii="Times New Roman" w:hAnsi="Times New Roman"/>
                <w:sz w:val="14"/>
                <w:szCs w:val="14"/>
                <w:lang w:val="es-ES"/>
              </w:rPr>
            </w:pPr>
          </w:p>
        </w:tc>
      </w:tr>
      <w:tr w:rsidR="003B5193" w:rsidRPr="00AE4E8D" w14:paraId="1C40FC87" w14:textId="77777777" w:rsidTr="00091EF5">
        <w:trPr>
          <w:trHeight w:val="510"/>
          <w:jc w:val="center"/>
        </w:trPr>
        <w:tc>
          <w:tcPr>
            <w:tcW w:w="486" w:type="pct"/>
            <w:vAlign w:val="center"/>
            <w:hideMark/>
          </w:tcPr>
          <w:p w14:paraId="54CF9DFB"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Nobacs registradas a valor razonable de mercado </w:t>
            </w:r>
          </w:p>
        </w:tc>
        <w:tc>
          <w:tcPr>
            <w:tcW w:w="435" w:type="pct"/>
            <w:noWrap/>
            <w:vAlign w:val="bottom"/>
            <w:hideMark/>
          </w:tcPr>
          <w:p w14:paraId="3BEC8FE8" w14:textId="77777777" w:rsidR="00E90931" w:rsidRPr="00AE4E8D" w:rsidRDefault="00FA3175" w:rsidP="00E90931">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429" w:type="pct"/>
            <w:noWrap/>
            <w:vAlign w:val="bottom"/>
          </w:tcPr>
          <w:p w14:paraId="7D599C6E"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71D33067" w14:textId="77777777" w:rsidR="00E90931" w:rsidRPr="00AE4E8D" w:rsidRDefault="00E90931" w:rsidP="00E90931">
            <w:pPr>
              <w:jc w:val="right"/>
              <w:rPr>
                <w:rFonts w:ascii="Times New Roman" w:hAnsi="Times New Roman"/>
                <w:sz w:val="14"/>
                <w:szCs w:val="14"/>
                <w:lang w:val="es-ES"/>
              </w:rPr>
            </w:pPr>
          </w:p>
        </w:tc>
        <w:tc>
          <w:tcPr>
            <w:tcW w:w="435" w:type="pct"/>
            <w:shd w:val="clear" w:color="auto" w:fill="FFFFFF"/>
            <w:noWrap/>
            <w:vAlign w:val="bottom"/>
            <w:hideMark/>
          </w:tcPr>
          <w:p w14:paraId="4DF4D6C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44E077C5"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725F947C"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57D043AB"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BC0E33E"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61DA9F7B"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1B25297F"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7BB5B19E"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046BFB5B"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3D967666"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50490491" w14:textId="77777777" w:rsidR="00E90931" w:rsidRPr="00AE4E8D" w:rsidRDefault="00E90931" w:rsidP="00E90931">
            <w:pPr>
              <w:jc w:val="right"/>
              <w:rPr>
                <w:rFonts w:ascii="Times New Roman" w:hAnsi="Times New Roman"/>
                <w:sz w:val="14"/>
                <w:szCs w:val="14"/>
                <w:lang w:val="es-ES"/>
              </w:rPr>
            </w:pPr>
          </w:p>
        </w:tc>
      </w:tr>
      <w:tr w:rsidR="003B5193" w:rsidRPr="00AE4E8D" w14:paraId="21C1C390" w14:textId="77777777" w:rsidTr="00091EF5">
        <w:trPr>
          <w:trHeight w:val="510"/>
          <w:jc w:val="center"/>
        </w:trPr>
        <w:tc>
          <w:tcPr>
            <w:tcW w:w="486" w:type="pct"/>
            <w:vAlign w:val="center"/>
            <w:hideMark/>
          </w:tcPr>
          <w:p w14:paraId="04249652"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Nobacs registradas a costo más rendimiento</w:t>
            </w:r>
          </w:p>
        </w:tc>
        <w:tc>
          <w:tcPr>
            <w:tcW w:w="435" w:type="pct"/>
            <w:noWrap/>
            <w:vAlign w:val="bottom"/>
            <w:hideMark/>
          </w:tcPr>
          <w:p w14:paraId="0AA78203" w14:textId="77777777" w:rsidR="00E90931" w:rsidRPr="00AE4E8D" w:rsidRDefault="00FA3175" w:rsidP="00E90931">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429" w:type="pct"/>
            <w:noWrap/>
            <w:vAlign w:val="bottom"/>
          </w:tcPr>
          <w:p w14:paraId="573365BC"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69D2C36C" w14:textId="77777777" w:rsidR="00E90931" w:rsidRPr="00AE4E8D" w:rsidRDefault="00E90931" w:rsidP="00E90931">
            <w:pPr>
              <w:jc w:val="right"/>
              <w:rPr>
                <w:rFonts w:ascii="Times New Roman" w:hAnsi="Times New Roman"/>
                <w:sz w:val="14"/>
                <w:szCs w:val="14"/>
                <w:lang w:val="es-ES"/>
              </w:rPr>
            </w:pPr>
          </w:p>
        </w:tc>
        <w:tc>
          <w:tcPr>
            <w:tcW w:w="435" w:type="pct"/>
            <w:shd w:val="clear" w:color="auto" w:fill="FFFFFF"/>
            <w:noWrap/>
            <w:vAlign w:val="bottom"/>
            <w:hideMark/>
          </w:tcPr>
          <w:p w14:paraId="559FF62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74B4046C"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391A888A"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49F4DFC9"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523A1110"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18AD73FF"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5147C7AA"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49C3B048"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734E86BB"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2693A633"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095BCC85" w14:textId="77777777" w:rsidR="00E90931" w:rsidRPr="00AE4E8D" w:rsidRDefault="00E90931" w:rsidP="00E90931">
            <w:pPr>
              <w:jc w:val="right"/>
              <w:rPr>
                <w:rFonts w:ascii="Times New Roman" w:hAnsi="Times New Roman"/>
                <w:sz w:val="14"/>
                <w:szCs w:val="14"/>
                <w:lang w:val="es-ES"/>
              </w:rPr>
            </w:pPr>
          </w:p>
        </w:tc>
      </w:tr>
      <w:tr w:rsidR="003B5193" w:rsidRPr="00AE4E8D" w14:paraId="42C0E404" w14:textId="77777777" w:rsidTr="00091EF5">
        <w:trPr>
          <w:trHeight w:val="255"/>
          <w:jc w:val="center"/>
        </w:trPr>
        <w:tc>
          <w:tcPr>
            <w:tcW w:w="486" w:type="pct"/>
            <w:vAlign w:val="center"/>
          </w:tcPr>
          <w:p w14:paraId="21783C76"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1CB449D8"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4B81A82D"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481DB5D7" w14:textId="77777777" w:rsidR="00E90931" w:rsidRPr="00AE4E8D" w:rsidRDefault="00E90931" w:rsidP="00E90931">
            <w:pPr>
              <w:jc w:val="right"/>
              <w:rPr>
                <w:rFonts w:ascii="Times New Roman" w:hAnsi="Times New Roman"/>
                <w:sz w:val="14"/>
                <w:szCs w:val="14"/>
                <w:lang w:val="es-ES"/>
              </w:rPr>
            </w:pPr>
          </w:p>
        </w:tc>
        <w:tc>
          <w:tcPr>
            <w:tcW w:w="435" w:type="pct"/>
            <w:shd w:val="clear" w:color="auto" w:fill="FFFFFF"/>
            <w:noWrap/>
            <w:vAlign w:val="bottom"/>
            <w:hideMark/>
          </w:tcPr>
          <w:p w14:paraId="36D5DDBC"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45A84CF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649D6723"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058A8787"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2E7E0968"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343B9992"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6D7F581E"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49646E2F"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CE3E182"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3D4F094D"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1C2496FB" w14:textId="77777777" w:rsidR="00E90931" w:rsidRPr="00AE4E8D" w:rsidRDefault="00E90931" w:rsidP="00E90931">
            <w:pPr>
              <w:jc w:val="right"/>
              <w:rPr>
                <w:rFonts w:ascii="Times New Roman" w:hAnsi="Times New Roman"/>
                <w:sz w:val="14"/>
                <w:szCs w:val="14"/>
                <w:lang w:val="es-ES"/>
              </w:rPr>
            </w:pPr>
          </w:p>
        </w:tc>
      </w:tr>
      <w:tr w:rsidR="003B5193" w:rsidRPr="00AE4E8D" w14:paraId="10B78496" w14:textId="77777777" w:rsidTr="00091EF5">
        <w:trPr>
          <w:trHeight w:val="255"/>
          <w:jc w:val="center"/>
        </w:trPr>
        <w:tc>
          <w:tcPr>
            <w:tcW w:w="486" w:type="pct"/>
            <w:vAlign w:val="center"/>
          </w:tcPr>
          <w:p w14:paraId="7CF83635"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59447767"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32A596D7"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15988994" w14:textId="77777777" w:rsidR="00E90931" w:rsidRPr="00AE4E8D" w:rsidRDefault="00E90931" w:rsidP="00E90931">
            <w:pPr>
              <w:jc w:val="right"/>
              <w:rPr>
                <w:rFonts w:ascii="Times New Roman" w:hAnsi="Times New Roman"/>
                <w:sz w:val="14"/>
                <w:szCs w:val="14"/>
                <w:lang w:val="es-ES"/>
              </w:rPr>
            </w:pPr>
          </w:p>
        </w:tc>
        <w:tc>
          <w:tcPr>
            <w:tcW w:w="435" w:type="pct"/>
            <w:shd w:val="clear" w:color="auto" w:fill="FFFFFF"/>
            <w:noWrap/>
            <w:vAlign w:val="bottom"/>
            <w:hideMark/>
          </w:tcPr>
          <w:p w14:paraId="17E2B395"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6F10132C"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56BC7A17"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17A4AEFB"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23D998DE"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6DCA53A3"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05F79000"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055C062D"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3665AC56"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75913DB9"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5FF9E448" w14:textId="77777777" w:rsidR="00E90931" w:rsidRPr="00AE4E8D" w:rsidRDefault="00E90931" w:rsidP="00E90931">
            <w:pPr>
              <w:jc w:val="right"/>
              <w:rPr>
                <w:rFonts w:ascii="Times New Roman" w:hAnsi="Times New Roman"/>
                <w:sz w:val="14"/>
                <w:szCs w:val="14"/>
                <w:lang w:val="es-ES"/>
              </w:rPr>
            </w:pPr>
          </w:p>
        </w:tc>
      </w:tr>
      <w:tr w:rsidR="003B5193" w:rsidRPr="00AE4E8D" w14:paraId="3A7E37D5" w14:textId="77777777" w:rsidTr="00091EF5">
        <w:trPr>
          <w:trHeight w:val="510"/>
          <w:jc w:val="center"/>
        </w:trPr>
        <w:tc>
          <w:tcPr>
            <w:tcW w:w="486" w:type="pct"/>
            <w:vAlign w:val="center"/>
            <w:hideMark/>
          </w:tcPr>
          <w:p w14:paraId="6B662D94" w14:textId="77777777" w:rsidR="00E90931" w:rsidRPr="00AE4E8D" w:rsidRDefault="00E90931" w:rsidP="002C3DEF">
            <w:pPr>
              <w:rPr>
                <w:rFonts w:ascii="Times New Roman" w:hAnsi="Times New Roman"/>
                <w:b/>
                <w:bCs/>
                <w:sz w:val="14"/>
                <w:szCs w:val="14"/>
                <w:lang w:val="es-ES"/>
              </w:rPr>
            </w:pPr>
            <w:r w:rsidRPr="00AE4E8D">
              <w:rPr>
                <w:rFonts w:ascii="Times New Roman" w:hAnsi="Times New Roman"/>
                <w:b/>
                <w:bCs/>
                <w:sz w:val="14"/>
                <w:szCs w:val="14"/>
                <w:lang w:val="es-ES"/>
              </w:rPr>
              <w:t xml:space="preserve">Total de Instrumentos emitidos por el </w:t>
            </w:r>
            <w:r w:rsidR="002C3DEF" w:rsidRPr="00AE4E8D">
              <w:rPr>
                <w:rFonts w:ascii="Times New Roman" w:hAnsi="Times New Roman"/>
                <w:b/>
                <w:bCs/>
                <w:sz w:val="14"/>
                <w:szCs w:val="14"/>
                <w:lang w:val="es-ES"/>
              </w:rPr>
              <w:t>BCRA</w:t>
            </w:r>
          </w:p>
        </w:tc>
        <w:tc>
          <w:tcPr>
            <w:tcW w:w="435" w:type="pct"/>
            <w:tcBorders>
              <w:top w:val="single" w:sz="4" w:space="0" w:color="auto"/>
              <w:left w:val="nil"/>
              <w:bottom w:val="single" w:sz="4" w:space="0" w:color="auto"/>
              <w:right w:val="nil"/>
            </w:tcBorders>
            <w:noWrap/>
            <w:vAlign w:val="bottom"/>
            <w:hideMark/>
          </w:tcPr>
          <w:p w14:paraId="49EF84B8"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1.</w:t>
            </w:r>
            <w:r w:rsidRPr="00AE4E8D">
              <w:rPr>
                <w:rFonts w:ascii="Times New Roman" w:hAnsi="Times New Roman"/>
                <w:b/>
                <w:bCs/>
                <w:color w:val="000000"/>
                <w:sz w:val="16"/>
                <w:szCs w:val="16"/>
                <w:lang w:val="es-ES"/>
              </w:rPr>
              <w:t>382.076</w:t>
            </w:r>
            <w:r w:rsidRPr="00AE4E8D">
              <w:rPr>
                <w:rFonts w:ascii="Times New Roman" w:hAnsi="Times New Roman"/>
                <w:b/>
                <w:color w:val="000000"/>
                <w:sz w:val="16"/>
                <w:lang w:val="es-ES"/>
              </w:rPr>
              <w:t xml:space="preserve"> </w:t>
            </w:r>
          </w:p>
        </w:tc>
        <w:tc>
          <w:tcPr>
            <w:tcW w:w="429" w:type="pct"/>
            <w:tcBorders>
              <w:top w:val="single" w:sz="4" w:space="0" w:color="auto"/>
              <w:left w:val="nil"/>
              <w:bottom w:val="single" w:sz="4" w:space="0" w:color="auto"/>
              <w:right w:val="nil"/>
            </w:tcBorders>
            <w:noWrap/>
            <w:vAlign w:val="bottom"/>
            <w:hideMark/>
          </w:tcPr>
          <w:p w14:paraId="04C36DB9"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29,61</w:t>
            </w:r>
            <w:r w:rsidRPr="00AE4E8D">
              <w:rPr>
                <w:rFonts w:ascii="Times New Roman" w:hAnsi="Times New Roman"/>
                <w:b/>
                <w:color w:val="000000"/>
                <w:sz w:val="16"/>
                <w:lang w:val="es-ES"/>
              </w:rPr>
              <w:t>%</w:t>
            </w:r>
          </w:p>
        </w:tc>
        <w:tc>
          <w:tcPr>
            <w:tcW w:w="137" w:type="pct"/>
            <w:noWrap/>
            <w:vAlign w:val="bottom"/>
          </w:tcPr>
          <w:p w14:paraId="585514BE" w14:textId="77777777" w:rsidR="00E90931" w:rsidRPr="00AE4E8D" w:rsidRDefault="00E90931" w:rsidP="00E90931">
            <w:pPr>
              <w:jc w:val="right"/>
              <w:rPr>
                <w:rFonts w:ascii="Times New Roman" w:hAnsi="Times New Roman"/>
                <w:color w:val="000000"/>
                <w:sz w:val="16"/>
                <w:lang w:val="es-ES"/>
              </w:rPr>
            </w:pPr>
          </w:p>
        </w:tc>
        <w:tc>
          <w:tcPr>
            <w:tcW w:w="435" w:type="pct"/>
            <w:tcBorders>
              <w:top w:val="single" w:sz="4" w:space="0" w:color="auto"/>
              <w:left w:val="nil"/>
              <w:bottom w:val="single" w:sz="4" w:space="0" w:color="auto"/>
              <w:right w:val="nil"/>
            </w:tcBorders>
            <w:shd w:val="clear" w:color="auto" w:fill="FFFFFF"/>
            <w:noWrap/>
            <w:vAlign w:val="bottom"/>
            <w:hideMark/>
          </w:tcPr>
          <w:p w14:paraId="5309A240" w14:textId="77777777" w:rsidR="00E90931" w:rsidRPr="00AE4E8D" w:rsidRDefault="00EB3492" w:rsidP="00E90931">
            <w:pPr>
              <w:jc w:val="right"/>
              <w:rPr>
                <w:rFonts w:ascii="Times New Roman" w:hAnsi="Times New Roman"/>
                <w:b/>
                <w:color w:val="000000"/>
                <w:sz w:val="16"/>
                <w:lang w:val="es-ES"/>
              </w:rPr>
            </w:pPr>
            <w:r w:rsidRPr="00AE4E8D">
              <w:rPr>
                <w:rFonts w:ascii="Times New Roman" w:hAnsi="Times New Roman"/>
                <w:b/>
                <w:color w:val="000000"/>
                <w:sz w:val="16"/>
                <w:lang w:val="es-ES"/>
              </w:rPr>
              <w:t xml:space="preserve"> </w:t>
            </w:r>
            <w:r w:rsidR="00E90931" w:rsidRPr="00AE4E8D">
              <w:rPr>
                <w:rFonts w:ascii="Times New Roman" w:hAnsi="Times New Roman"/>
                <w:b/>
                <w:color w:val="000000"/>
                <w:sz w:val="16"/>
                <w:lang w:val="es-ES"/>
              </w:rPr>
              <w:t>1.</w:t>
            </w:r>
            <w:r w:rsidR="00E90931" w:rsidRPr="00AE4E8D">
              <w:rPr>
                <w:rFonts w:ascii="Times New Roman" w:hAnsi="Times New Roman"/>
                <w:b/>
                <w:bCs/>
                <w:color w:val="000000"/>
                <w:sz w:val="16"/>
                <w:szCs w:val="16"/>
                <w:lang w:val="es-ES"/>
              </w:rPr>
              <w:t>382.076</w:t>
            </w:r>
            <w:r w:rsidR="00E90931" w:rsidRPr="00AE4E8D">
              <w:rPr>
                <w:rFonts w:ascii="Times New Roman" w:hAnsi="Times New Roman"/>
                <w:b/>
                <w:color w:val="000000"/>
                <w:sz w:val="16"/>
                <w:lang w:val="es-ES"/>
              </w:rPr>
              <w:t xml:space="preserve"> </w:t>
            </w:r>
          </w:p>
        </w:tc>
        <w:tc>
          <w:tcPr>
            <w:tcW w:w="356" w:type="pct"/>
            <w:tcBorders>
              <w:top w:val="single" w:sz="4" w:space="0" w:color="auto"/>
              <w:left w:val="nil"/>
              <w:bottom w:val="single" w:sz="4" w:space="0" w:color="auto"/>
              <w:right w:val="nil"/>
            </w:tcBorders>
            <w:shd w:val="clear" w:color="auto" w:fill="FFFFFF"/>
            <w:noWrap/>
            <w:vAlign w:val="bottom"/>
            <w:hideMark/>
          </w:tcPr>
          <w:p w14:paraId="33A25A4D" w14:textId="77777777" w:rsidR="00E90931" w:rsidRPr="00AE4E8D" w:rsidRDefault="00E90931" w:rsidP="00E90931">
            <w:pPr>
              <w:jc w:val="right"/>
              <w:rPr>
                <w:rFonts w:ascii="Times New Roman" w:hAnsi="Times New Roman"/>
                <w:b/>
                <w:color w:val="000000"/>
                <w:sz w:val="16"/>
                <w:lang w:val="es-ES"/>
              </w:rPr>
            </w:pPr>
            <w:r w:rsidRPr="00AE4E8D">
              <w:rPr>
                <w:rFonts w:ascii="Times New Roman" w:hAnsi="Times New Roman"/>
                <w:b/>
                <w:bCs/>
                <w:color w:val="000000"/>
                <w:sz w:val="16"/>
                <w:szCs w:val="16"/>
                <w:lang w:val="es-ES"/>
              </w:rPr>
              <w:t>29,61</w:t>
            </w:r>
            <w:r w:rsidRPr="00AE4E8D">
              <w:rPr>
                <w:rFonts w:ascii="Times New Roman" w:hAnsi="Times New Roman"/>
                <w:b/>
                <w:color w:val="000000"/>
                <w:sz w:val="16"/>
                <w:lang w:val="es-ES"/>
              </w:rPr>
              <w:t>%</w:t>
            </w:r>
          </w:p>
        </w:tc>
        <w:tc>
          <w:tcPr>
            <w:tcW w:w="138" w:type="pct"/>
            <w:noWrap/>
            <w:vAlign w:val="bottom"/>
          </w:tcPr>
          <w:p w14:paraId="766F08C5" w14:textId="77777777" w:rsidR="00E90931" w:rsidRPr="00AE4E8D" w:rsidRDefault="00E90931" w:rsidP="00E90931">
            <w:pPr>
              <w:jc w:val="right"/>
              <w:rPr>
                <w:rFonts w:ascii="Times New Roman" w:hAnsi="Times New Roman"/>
                <w:b/>
                <w:bCs/>
                <w:sz w:val="14"/>
                <w:szCs w:val="14"/>
                <w:lang w:val="es-ES"/>
              </w:rPr>
            </w:pPr>
          </w:p>
        </w:tc>
        <w:tc>
          <w:tcPr>
            <w:tcW w:w="425" w:type="pct"/>
            <w:tcBorders>
              <w:top w:val="single" w:sz="4" w:space="0" w:color="auto"/>
              <w:left w:val="nil"/>
              <w:bottom w:val="single" w:sz="4" w:space="0" w:color="auto"/>
              <w:right w:val="nil"/>
            </w:tcBorders>
            <w:noWrap/>
            <w:vAlign w:val="bottom"/>
            <w:hideMark/>
          </w:tcPr>
          <w:p w14:paraId="1CB074BD"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tcBorders>
              <w:top w:val="single" w:sz="4" w:space="0" w:color="auto"/>
              <w:left w:val="nil"/>
              <w:bottom w:val="single" w:sz="4" w:space="0" w:color="auto"/>
              <w:right w:val="nil"/>
            </w:tcBorders>
            <w:noWrap/>
            <w:vAlign w:val="bottom"/>
            <w:hideMark/>
          </w:tcPr>
          <w:p w14:paraId="387B4436"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8" w:type="pct"/>
            <w:noWrap/>
            <w:vAlign w:val="bottom"/>
          </w:tcPr>
          <w:p w14:paraId="6BF4A561" w14:textId="77777777" w:rsidR="00E90931" w:rsidRPr="00AE4E8D" w:rsidRDefault="00E90931" w:rsidP="00E90931">
            <w:pPr>
              <w:jc w:val="right"/>
              <w:rPr>
                <w:rFonts w:ascii="Times New Roman" w:hAnsi="Times New Roman"/>
                <w:b/>
                <w:bCs/>
                <w:sz w:val="14"/>
                <w:szCs w:val="14"/>
                <w:lang w:val="es-ES"/>
              </w:rPr>
            </w:pPr>
          </w:p>
        </w:tc>
        <w:tc>
          <w:tcPr>
            <w:tcW w:w="409" w:type="pct"/>
            <w:tcBorders>
              <w:top w:val="single" w:sz="4" w:space="0" w:color="auto"/>
              <w:left w:val="nil"/>
              <w:bottom w:val="single" w:sz="4" w:space="0" w:color="auto"/>
              <w:right w:val="nil"/>
            </w:tcBorders>
            <w:noWrap/>
            <w:vAlign w:val="bottom"/>
            <w:hideMark/>
          </w:tcPr>
          <w:p w14:paraId="23796B4F"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tcBorders>
              <w:top w:val="single" w:sz="4" w:space="0" w:color="auto"/>
              <w:left w:val="nil"/>
              <w:bottom w:val="single" w:sz="4" w:space="0" w:color="auto"/>
              <w:right w:val="nil"/>
            </w:tcBorders>
            <w:noWrap/>
            <w:vAlign w:val="bottom"/>
            <w:hideMark/>
          </w:tcPr>
          <w:p w14:paraId="04166CED"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8" w:type="pct"/>
            <w:noWrap/>
            <w:vAlign w:val="bottom"/>
          </w:tcPr>
          <w:p w14:paraId="6B5D6E8D" w14:textId="77777777" w:rsidR="00E90931" w:rsidRPr="00AE4E8D" w:rsidRDefault="00E90931" w:rsidP="00E90931">
            <w:pPr>
              <w:jc w:val="right"/>
              <w:rPr>
                <w:rFonts w:ascii="Times New Roman" w:hAnsi="Times New Roman"/>
                <w:b/>
                <w:bCs/>
                <w:sz w:val="14"/>
                <w:szCs w:val="14"/>
                <w:lang w:val="es-ES"/>
              </w:rPr>
            </w:pPr>
          </w:p>
        </w:tc>
        <w:tc>
          <w:tcPr>
            <w:tcW w:w="409" w:type="pct"/>
            <w:tcBorders>
              <w:top w:val="single" w:sz="4" w:space="0" w:color="auto"/>
              <w:left w:val="nil"/>
              <w:bottom w:val="single" w:sz="4" w:space="0" w:color="auto"/>
              <w:right w:val="nil"/>
            </w:tcBorders>
            <w:noWrap/>
            <w:vAlign w:val="bottom"/>
            <w:hideMark/>
          </w:tcPr>
          <w:p w14:paraId="7A6708BC"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3" w:type="pct"/>
            <w:tcBorders>
              <w:top w:val="single" w:sz="4" w:space="0" w:color="auto"/>
              <w:left w:val="nil"/>
              <w:bottom w:val="single" w:sz="4" w:space="0" w:color="auto"/>
              <w:right w:val="nil"/>
            </w:tcBorders>
            <w:noWrap/>
            <w:vAlign w:val="bottom"/>
            <w:hideMark/>
          </w:tcPr>
          <w:p w14:paraId="5DC71BB1"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r>
      <w:tr w:rsidR="003B5193" w:rsidRPr="00AE4E8D" w14:paraId="600D7E41" w14:textId="77777777" w:rsidTr="00091EF5">
        <w:trPr>
          <w:trHeight w:val="255"/>
          <w:jc w:val="center"/>
        </w:trPr>
        <w:tc>
          <w:tcPr>
            <w:tcW w:w="486" w:type="pct"/>
            <w:vAlign w:val="center"/>
          </w:tcPr>
          <w:p w14:paraId="1730BAC0"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43791F75"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18B89ED4"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7DB1DDE3" w14:textId="77777777" w:rsidR="00E90931" w:rsidRPr="00AE4E8D" w:rsidRDefault="00E90931" w:rsidP="00E90931">
            <w:pPr>
              <w:jc w:val="right"/>
              <w:rPr>
                <w:rFonts w:ascii="Times New Roman" w:hAnsi="Times New Roman"/>
                <w:sz w:val="14"/>
                <w:szCs w:val="14"/>
                <w:lang w:val="es-ES"/>
              </w:rPr>
            </w:pPr>
          </w:p>
        </w:tc>
        <w:tc>
          <w:tcPr>
            <w:tcW w:w="435" w:type="pct"/>
            <w:shd w:val="clear" w:color="auto" w:fill="FFFFFF"/>
            <w:noWrap/>
            <w:vAlign w:val="bottom"/>
            <w:hideMark/>
          </w:tcPr>
          <w:p w14:paraId="2B9A5A7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5B8DF4D4"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6FF6422D"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5555BE65"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557600E2"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B0CAFED"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20C5D810"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0FEA3CB"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3DE959D"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2D1E6CF8"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03474422" w14:textId="77777777" w:rsidR="00E90931" w:rsidRPr="00AE4E8D" w:rsidRDefault="00E90931" w:rsidP="00E90931">
            <w:pPr>
              <w:jc w:val="right"/>
              <w:rPr>
                <w:rFonts w:ascii="Times New Roman" w:hAnsi="Times New Roman"/>
                <w:sz w:val="14"/>
                <w:szCs w:val="14"/>
                <w:lang w:val="es-ES"/>
              </w:rPr>
            </w:pPr>
          </w:p>
        </w:tc>
      </w:tr>
      <w:tr w:rsidR="003B5193" w:rsidRPr="00AE4E8D" w14:paraId="73D40D66" w14:textId="77777777" w:rsidTr="00091EF5">
        <w:trPr>
          <w:trHeight w:val="255"/>
          <w:jc w:val="center"/>
        </w:trPr>
        <w:tc>
          <w:tcPr>
            <w:tcW w:w="486" w:type="pct"/>
            <w:vAlign w:val="center"/>
            <w:hideMark/>
          </w:tcPr>
          <w:p w14:paraId="00B15C69" w14:textId="77777777" w:rsidR="00E90931" w:rsidRPr="00AE4E8D" w:rsidRDefault="006D55C2" w:rsidP="00E90931">
            <w:pPr>
              <w:rPr>
                <w:rFonts w:ascii="Times New Roman" w:hAnsi="Times New Roman"/>
                <w:b/>
                <w:bCs/>
                <w:sz w:val="14"/>
                <w:szCs w:val="14"/>
                <w:lang w:val="es-ES"/>
              </w:rPr>
            </w:pPr>
            <w:r w:rsidRPr="00AE4E8D">
              <w:rPr>
                <w:rFonts w:ascii="Times New Roman" w:hAnsi="Times New Roman"/>
                <w:b/>
                <w:bCs/>
                <w:sz w:val="14"/>
                <w:szCs w:val="14"/>
                <w:lang w:val="es-ES"/>
              </w:rPr>
              <w:t>Títulos</w:t>
            </w:r>
            <w:r w:rsidR="00E90931" w:rsidRPr="00AE4E8D">
              <w:rPr>
                <w:rFonts w:ascii="Times New Roman" w:hAnsi="Times New Roman"/>
                <w:b/>
                <w:bCs/>
                <w:sz w:val="14"/>
                <w:szCs w:val="14"/>
                <w:lang w:val="es-ES"/>
              </w:rPr>
              <w:t xml:space="preserve"> Privados</w:t>
            </w:r>
          </w:p>
        </w:tc>
        <w:tc>
          <w:tcPr>
            <w:tcW w:w="435" w:type="pct"/>
            <w:noWrap/>
            <w:vAlign w:val="bottom"/>
          </w:tcPr>
          <w:p w14:paraId="2F32D5A1"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4C3A3EC8"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718753F6" w14:textId="77777777" w:rsidR="00E90931" w:rsidRPr="00AE4E8D" w:rsidRDefault="00E90931" w:rsidP="00E90931">
            <w:pPr>
              <w:jc w:val="right"/>
              <w:rPr>
                <w:rFonts w:ascii="Times New Roman" w:hAnsi="Times New Roman"/>
                <w:sz w:val="14"/>
                <w:szCs w:val="14"/>
                <w:lang w:val="es-ES"/>
              </w:rPr>
            </w:pPr>
          </w:p>
        </w:tc>
        <w:tc>
          <w:tcPr>
            <w:tcW w:w="435" w:type="pct"/>
            <w:shd w:val="clear" w:color="auto" w:fill="FFFFFF"/>
            <w:noWrap/>
            <w:vAlign w:val="bottom"/>
            <w:hideMark/>
          </w:tcPr>
          <w:p w14:paraId="6FACE9A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578D3523"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5F3C6ED5"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2C74C988"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17642C51"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7904E4F5"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4BD07A6C"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17F55EF9"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3B4932DA"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0230981C"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1D482584" w14:textId="77777777" w:rsidR="00E90931" w:rsidRPr="00AE4E8D" w:rsidRDefault="00E90931" w:rsidP="00E90931">
            <w:pPr>
              <w:jc w:val="right"/>
              <w:rPr>
                <w:rFonts w:ascii="Times New Roman" w:hAnsi="Times New Roman"/>
                <w:sz w:val="14"/>
                <w:szCs w:val="14"/>
                <w:lang w:val="es-ES"/>
              </w:rPr>
            </w:pPr>
          </w:p>
        </w:tc>
      </w:tr>
      <w:tr w:rsidR="003B5193" w:rsidRPr="00AE4E8D" w14:paraId="5017D807" w14:textId="77777777" w:rsidTr="00091EF5">
        <w:trPr>
          <w:trHeight w:val="255"/>
          <w:jc w:val="center"/>
        </w:trPr>
        <w:tc>
          <w:tcPr>
            <w:tcW w:w="486" w:type="pct"/>
            <w:vAlign w:val="center"/>
            <w:hideMark/>
          </w:tcPr>
          <w:p w14:paraId="2912E7BC"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En pesos</w:t>
            </w:r>
          </w:p>
        </w:tc>
        <w:tc>
          <w:tcPr>
            <w:tcW w:w="435" w:type="pct"/>
            <w:noWrap/>
            <w:vAlign w:val="bottom"/>
            <w:hideMark/>
          </w:tcPr>
          <w:p w14:paraId="5550DD81"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352.854</w:t>
            </w:r>
            <w:r w:rsidR="00E90931" w:rsidRPr="00AE4E8D">
              <w:rPr>
                <w:rFonts w:ascii="Times New Roman" w:hAnsi="Times New Roman"/>
                <w:b/>
                <w:sz w:val="16"/>
                <w:lang w:val="es-ES"/>
              </w:rPr>
              <w:t xml:space="preserve"> </w:t>
            </w:r>
          </w:p>
        </w:tc>
        <w:tc>
          <w:tcPr>
            <w:tcW w:w="429" w:type="pct"/>
            <w:noWrap/>
            <w:vAlign w:val="bottom"/>
          </w:tcPr>
          <w:p w14:paraId="1A4E7F46" w14:textId="77777777" w:rsidR="00E90931" w:rsidRPr="00AE4E8D" w:rsidRDefault="00E90931" w:rsidP="00E90931">
            <w:pPr>
              <w:jc w:val="right"/>
              <w:rPr>
                <w:rFonts w:ascii="Times New Roman" w:hAnsi="Times New Roman"/>
                <w:b/>
                <w:sz w:val="16"/>
                <w:lang w:val="es-ES"/>
              </w:rPr>
            </w:pPr>
          </w:p>
        </w:tc>
        <w:tc>
          <w:tcPr>
            <w:tcW w:w="137" w:type="pct"/>
            <w:noWrap/>
            <w:vAlign w:val="bottom"/>
          </w:tcPr>
          <w:p w14:paraId="50755900" w14:textId="77777777" w:rsidR="00E90931" w:rsidRPr="00AE4E8D" w:rsidRDefault="00E90931" w:rsidP="00E90931">
            <w:pPr>
              <w:jc w:val="right"/>
              <w:rPr>
                <w:rFonts w:ascii="Times New Roman" w:hAnsi="Times New Roman"/>
                <w:sz w:val="16"/>
                <w:lang w:val="es-ES"/>
              </w:rPr>
            </w:pPr>
          </w:p>
        </w:tc>
        <w:tc>
          <w:tcPr>
            <w:tcW w:w="435" w:type="pct"/>
            <w:shd w:val="clear" w:color="auto" w:fill="FFFFFF"/>
            <w:noWrap/>
            <w:vAlign w:val="bottom"/>
            <w:hideMark/>
          </w:tcPr>
          <w:p w14:paraId="40E43429"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352.854</w:t>
            </w:r>
            <w:r w:rsidR="00E90931" w:rsidRPr="00AE4E8D">
              <w:rPr>
                <w:rFonts w:ascii="Times New Roman" w:hAnsi="Times New Roman"/>
                <w:b/>
                <w:sz w:val="16"/>
                <w:lang w:val="es-ES"/>
              </w:rPr>
              <w:t xml:space="preserve"> </w:t>
            </w:r>
          </w:p>
        </w:tc>
        <w:tc>
          <w:tcPr>
            <w:tcW w:w="356" w:type="pct"/>
            <w:shd w:val="clear" w:color="auto" w:fill="FFFFFF"/>
            <w:noWrap/>
            <w:vAlign w:val="bottom"/>
            <w:hideMark/>
          </w:tcPr>
          <w:p w14:paraId="0DB1D699"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8" w:type="pct"/>
            <w:noWrap/>
            <w:vAlign w:val="bottom"/>
          </w:tcPr>
          <w:p w14:paraId="7A826CEB" w14:textId="77777777" w:rsidR="00E90931" w:rsidRPr="00AE4E8D" w:rsidRDefault="00E90931" w:rsidP="00E90931">
            <w:pPr>
              <w:jc w:val="right"/>
              <w:rPr>
                <w:rFonts w:ascii="Times New Roman" w:hAnsi="Times New Roman"/>
                <w:sz w:val="14"/>
                <w:szCs w:val="14"/>
                <w:lang w:val="es-ES"/>
              </w:rPr>
            </w:pPr>
          </w:p>
        </w:tc>
        <w:tc>
          <w:tcPr>
            <w:tcW w:w="425" w:type="pct"/>
            <w:noWrap/>
            <w:vAlign w:val="bottom"/>
            <w:hideMark/>
          </w:tcPr>
          <w:p w14:paraId="78995C31"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noWrap/>
            <w:vAlign w:val="bottom"/>
          </w:tcPr>
          <w:p w14:paraId="2E72C880" w14:textId="77777777" w:rsidR="00E90931" w:rsidRPr="00AE4E8D" w:rsidRDefault="00E90931" w:rsidP="00E90931">
            <w:pPr>
              <w:jc w:val="right"/>
              <w:rPr>
                <w:rFonts w:ascii="Times New Roman" w:hAnsi="Times New Roman"/>
                <w:b/>
                <w:bCs/>
                <w:sz w:val="14"/>
                <w:szCs w:val="14"/>
                <w:lang w:val="es-ES"/>
              </w:rPr>
            </w:pPr>
          </w:p>
        </w:tc>
        <w:tc>
          <w:tcPr>
            <w:tcW w:w="138" w:type="pct"/>
            <w:noWrap/>
            <w:vAlign w:val="bottom"/>
          </w:tcPr>
          <w:p w14:paraId="0482A45B" w14:textId="77777777" w:rsidR="00E90931" w:rsidRPr="00AE4E8D" w:rsidRDefault="00E90931" w:rsidP="00E90931">
            <w:pPr>
              <w:jc w:val="right"/>
              <w:rPr>
                <w:rFonts w:ascii="Times New Roman" w:hAnsi="Times New Roman"/>
                <w:sz w:val="14"/>
                <w:szCs w:val="14"/>
                <w:lang w:val="es-ES"/>
              </w:rPr>
            </w:pPr>
          </w:p>
        </w:tc>
        <w:tc>
          <w:tcPr>
            <w:tcW w:w="409" w:type="pct"/>
            <w:noWrap/>
            <w:vAlign w:val="bottom"/>
            <w:hideMark/>
          </w:tcPr>
          <w:p w14:paraId="22E7DFF9"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noWrap/>
            <w:vAlign w:val="bottom"/>
          </w:tcPr>
          <w:p w14:paraId="34880DAD" w14:textId="77777777" w:rsidR="00E90931" w:rsidRPr="00AE4E8D" w:rsidRDefault="00E90931" w:rsidP="00E90931">
            <w:pPr>
              <w:jc w:val="right"/>
              <w:rPr>
                <w:rFonts w:ascii="Times New Roman" w:hAnsi="Times New Roman"/>
                <w:b/>
                <w:bCs/>
                <w:sz w:val="14"/>
                <w:szCs w:val="14"/>
                <w:lang w:val="es-ES"/>
              </w:rPr>
            </w:pPr>
          </w:p>
        </w:tc>
        <w:tc>
          <w:tcPr>
            <w:tcW w:w="138" w:type="pct"/>
            <w:noWrap/>
            <w:vAlign w:val="bottom"/>
          </w:tcPr>
          <w:p w14:paraId="628184DB" w14:textId="77777777" w:rsidR="00E90931" w:rsidRPr="00AE4E8D" w:rsidRDefault="00E90931" w:rsidP="00E90931">
            <w:pPr>
              <w:jc w:val="right"/>
              <w:rPr>
                <w:rFonts w:ascii="Times New Roman" w:hAnsi="Times New Roman"/>
                <w:sz w:val="14"/>
                <w:szCs w:val="14"/>
                <w:lang w:val="es-ES"/>
              </w:rPr>
            </w:pPr>
          </w:p>
        </w:tc>
        <w:tc>
          <w:tcPr>
            <w:tcW w:w="409" w:type="pct"/>
            <w:noWrap/>
            <w:vAlign w:val="bottom"/>
            <w:hideMark/>
          </w:tcPr>
          <w:p w14:paraId="1DD2ABB0"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3" w:type="pct"/>
            <w:noWrap/>
            <w:vAlign w:val="bottom"/>
          </w:tcPr>
          <w:p w14:paraId="36114885" w14:textId="77777777" w:rsidR="00E90931" w:rsidRPr="00AE4E8D" w:rsidRDefault="00E90931" w:rsidP="00E90931">
            <w:pPr>
              <w:jc w:val="right"/>
              <w:rPr>
                <w:rFonts w:ascii="Times New Roman" w:hAnsi="Times New Roman"/>
                <w:b/>
                <w:bCs/>
                <w:sz w:val="14"/>
                <w:szCs w:val="14"/>
                <w:lang w:val="es-ES"/>
              </w:rPr>
            </w:pPr>
          </w:p>
        </w:tc>
      </w:tr>
      <w:tr w:rsidR="003B5193" w:rsidRPr="00AE4E8D" w14:paraId="55D5CB7D" w14:textId="77777777" w:rsidTr="00091EF5">
        <w:trPr>
          <w:trHeight w:val="255"/>
          <w:jc w:val="center"/>
        </w:trPr>
        <w:tc>
          <w:tcPr>
            <w:tcW w:w="486" w:type="pct"/>
            <w:vAlign w:val="center"/>
            <w:hideMark/>
          </w:tcPr>
          <w:p w14:paraId="3DC769D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Acciones</w:t>
            </w:r>
          </w:p>
        </w:tc>
        <w:tc>
          <w:tcPr>
            <w:tcW w:w="435" w:type="pct"/>
            <w:noWrap/>
            <w:vAlign w:val="bottom"/>
            <w:hideMark/>
          </w:tcPr>
          <w:p w14:paraId="2634737D"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lang w:val="es-ES"/>
              </w:rPr>
              <w:t xml:space="preserve"> </w:t>
            </w:r>
            <w:r w:rsidR="00E90931" w:rsidRPr="00AE4E8D">
              <w:rPr>
                <w:rFonts w:ascii="Times New Roman" w:hAnsi="Times New Roman"/>
                <w:sz w:val="16"/>
                <w:szCs w:val="16"/>
                <w:lang w:val="es-ES"/>
              </w:rPr>
              <w:t>105.712</w:t>
            </w:r>
            <w:r w:rsidR="00E90931" w:rsidRPr="00AE4E8D">
              <w:rPr>
                <w:rFonts w:ascii="Times New Roman" w:hAnsi="Times New Roman"/>
                <w:sz w:val="16"/>
                <w:lang w:val="es-ES"/>
              </w:rPr>
              <w:t xml:space="preserve"> </w:t>
            </w:r>
          </w:p>
        </w:tc>
        <w:tc>
          <w:tcPr>
            <w:tcW w:w="429" w:type="pct"/>
            <w:noWrap/>
            <w:vAlign w:val="bottom"/>
          </w:tcPr>
          <w:p w14:paraId="453F4B17" w14:textId="77777777" w:rsidR="00E90931" w:rsidRPr="00AE4E8D" w:rsidRDefault="00E90931" w:rsidP="00E90931">
            <w:pPr>
              <w:jc w:val="right"/>
              <w:rPr>
                <w:rFonts w:ascii="Times New Roman" w:hAnsi="Times New Roman"/>
                <w:sz w:val="16"/>
                <w:lang w:val="es-ES"/>
              </w:rPr>
            </w:pPr>
          </w:p>
        </w:tc>
        <w:tc>
          <w:tcPr>
            <w:tcW w:w="137" w:type="pct"/>
            <w:noWrap/>
            <w:vAlign w:val="bottom"/>
          </w:tcPr>
          <w:p w14:paraId="2830928A" w14:textId="77777777" w:rsidR="00E90931" w:rsidRPr="00AE4E8D" w:rsidRDefault="00E90931" w:rsidP="00E90931">
            <w:pPr>
              <w:jc w:val="right"/>
              <w:rPr>
                <w:rFonts w:ascii="Times New Roman" w:hAnsi="Times New Roman"/>
                <w:sz w:val="16"/>
                <w:lang w:val="es-ES"/>
              </w:rPr>
            </w:pPr>
          </w:p>
        </w:tc>
        <w:tc>
          <w:tcPr>
            <w:tcW w:w="435" w:type="pct"/>
            <w:shd w:val="clear" w:color="auto" w:fill="FFFFFF"/>
            <w:noWrap/>
            <w:vAlign w:val="bottom"/>
            <w:hideMark/>
          </w:tcPr>
          <w:p w14:paraId="6A728229"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105.712</w:t>
            </w:r>
            <w:r w:rsidR="00E90931" w:rsidRPr="00AE4E8D">
              <w:rPr>
                <w:rFonts w:ascii="Times New Roman" w:hAnsi="Times New Roman"/>
                <w:sz w:val="16"/>
                <w:lang w:val="es-ES"/>
              </w:rPr>
              <w:t xml:space="preserve"> </w:t>
            </w:r>
          </w:p>
        </w:tc>
        <w:tc>
          <w:tcPr>
            <w:tcW w:w="356" w:type="pct"/>
            <w:shd w:val="clear" w:color="auto" w:fill="FFFFFF"/>
            <w:noWrap/>
            <w:vAlign w:val="bottom"/>
            <w:hideMark/>
          </w:tcPr>
          <w:p w14:paraId="45F84A6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614BB772"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30C982AE"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3DA72720"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5094CF44"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77E038F8"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FF6770E"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5D4242C1"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5207CAE4"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0FFF726F" w14:textId="77777777" w:rsidR="00E90931" w:rsidRPr="00AE4E8D" w:rsidRDefault="00E90931" w:rsidP="00E90931">
            <w:pPr>
              <w:jc w:val="right"/>
              <w:rPr>
                <w:rFonts w:ascii="Times New Roman" w:hAnsi="Times New Roman"/>
                <w:sz w:val="14"/>
                <w:szCs w:val="14"/>
                <w:lang w:val="es-ES"/>
              </w:rPr>
            </w:pPr>
          </w:p>
        </w:tc>
      </w:tr>
      <w:tr w:rsidR="003B5193" w:rsidRPr="00AE4E8D" w14:paraId="42E5F29F" w14:textId="77777777" w:rsidTr="00091EF5">
        <w:trPr>
          <w:trHeight w:val="255"/>
          <w:jc w:val="center"/>
        </w:trPr>
        <w:tc>
          <w:tcPr>
            <w:tcW w:w="486" w:type="pct"/>
            <w:vAlign w:val="center"/>
            <w:hideMark/>
          </w:tcPr>
          <w:p w14:paraId="05EC58F9"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lastRenderedPageBreak/>
              <w:t xml:space="preserve">    </w:t>
            </w:r>
            <w:r w:rsidR="00E90931" w:rsidRPr="00AE4E8D">
              <w:rPr>
                <w:rFonts w:ascii="Times New Roman" w:hAnsi="Times New Roman"/>
                <w:sz w:val="14"/>
                <w:szCs w:val="14"/>
                <w:lang w:val="es-ES"/>
              </w:rPr>
              <w:t>Otros</w:t>
            </w:r>
          </w:p>
        </w:tc>
        <w:tc>
          <w:tcPr>
            <w:tcW w:w="435" w:type="pct"/>
            <w:noWrap/>
            <w:vAlign w:val="bottom"/>
            <w:hideMark/>
          </w:tcPr>
          <w:p w14:paraId="571E04C6"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lang w:val="es-ES"/>
              </w:rPr>
              <w:t xml:space="preserve"> </w:t>
            </w:r>
            <w:r w:rsidR="00E90931" w:rsidRPr="00AE4E8D">
              <w:rPr>
                <w:rFonts w:ascii="Times New Roman" w:hAnsi="Times New Roman"/>
                <w:sz w:val="16"/>
                <w:szCs w:val="16"/>
                <w:lang w:val="es-ES"/>
              </w:rPr>
              <w:t>247.142</w:t>
            </w:r>
            <w:r w:rsidR="00E90931" w:rsidRPr="00AE4E8D">
              <w:rPr>
                <w:rFonts w:ascii="Times New Roman" w:hAnsi="Times New Roman"/>
                <w:sz w:val="16"/>
                <w:lang w:val="es-ES"/>
              </w:rPr>
              <w:t xml:space="preserve"> </w:t>
            </w:r>
          </w:p>
        </w:tc>
        <w:tc>
          <w:tcPr>
            <w:tcW w:w="429" w:type="pct"/>
            <w:noWrap/>
            <w:vAlign w:val="bottom"/>
          </w:tcPr>
          <w:p w14:paraId="35AA023D" w14:textId="77777777" w:rsidR="00E90931" w:rsidRPr="00AE4E8D" w:rsidRDefault="00E90931" w:rsidP="00E90931">
            <w:pPr>
              <w:jc w:val="right"/>
              <w:rPr>
                <w:rFonts w:ascii="Times New Roman" w:hAnsi="Times New Roman"/>
                <w:sz w:val="16"/>
                <w:lang w:val="es-ES"/>
              </w:rPr>
            </w:pPr>
          </w:p>
        </w:tc>
        <w:tc>
          <w:tcPr>
            <w:tcW w:w="137" w:type="pct"/>
            <w:noWrap/>
            <w:vAlign w:val="bottom"/>
          </w:tcPr>
          <w:p w14:paraId="56249DA0" w14:textId="77777777" w:rsidR="00E90931" w:rsidRPr="00AE4E8D" w:rsidRDefault="00E90931" w:rsidP="00E90931">
            <w:pPr>
              <w:jc w:val="right"/>
              <w:rPr>
                <w:rFonts w:ascii="Times New Roman" w:hAnsi="Times New Roman"/>
                <w:sz w:val="16"/>
                <w:lang w:val="es-ES"/>
              </w:rPr>
            </w:pPr>
          </w:p>
        </w:tc>
        <w:tc>
          <w:tcPr>
            <w:tcW w:w="435" w:type="pct"/>
            <w:shd w:val="clear" w:color="auto" w:fill="FFFFFF"/>
            <w:noWrap/>
            <w:vAlign w:val="bottom"/>
            <w:hideMark/>
          </w:tcPr>
          <w:p w14:paraId="55BFD732" w14:textId="77777777" w:rsidR="00E90931" w:rsidRPr="00AE4E8D" w:rsidRDefault="00EB3492" w:rsidP="00E90931">
            <w:pPr>
              <w:jc w:val="right"/>
              <w:rPr>
                <w:rFonts w:ascii="Times New Roman" w:hAnsi="Times New Roman"/>
                <w:sz w:val="16"/>
                <w:lang w:val="es-ES"/>
              </w:rPr>
            </w:pPr>
            <w:r w:rsidRPr="00AE4E8D">
              <w:rPr>
                <w:rFonts w:ascii="Times New Roman" w:hAnsi="Times New Roman"/>
                <w:sz w:val="16"/>
                <w:lang w:val="es-ES"/>
              </w:rPr>
              <w:t xml:space="preserve">  </w:t>
            </w:r>
            <w:r w:rsidR="00E90931" w:rsidRPr="00AE4E8D">
              <w:rPr>
                <w:rFonts w:ascii="Times New Roman" w:hAnsi="Times New Roman"/>
                <w:sz w:val="16"/>
                <w:szCs w:val="16"/>
                <w:lang w:val="es-ES"/>
              </w:rPr>
              <w:t>247.142</w:t>
            </w:r>
            <w:r w:rsidR="00E90931" w:rsidRPr="00AE4E8D">
              <w:rPr>
                <w:rFonts w:ascii="Times New Roman" w:hAnsi="Times New Roman"/>
                <w:sz w:val="16"/>
                <w:lang w:val="es-ES"/>
              </w:rPr>
              <w:t xml:space="preserve"> </w:t>
            </w:r>
          </w:p>
        </w:tc>
        <w:tc>
          <w:tcPr>
            <w:tcW w:w="356" w:type="pct"/>
            <w:shd w:val="clear" w:color="auto" w:fill="FFFFFF"/>
            <w:noWrap/>
            <w:vAlign w:val="bottom"/>
            <w:hideMark/>
          </w:tcPr>
          <w:p w14:paraId="3BAF6B5C"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53B68C3A"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1D2E64D0"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17DE4DF1"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4660C9E0"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0A2D807A"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0EA68398"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5130555"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65C060AC"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20499BAD" w14:textId="77777777" w:rsidR="00E90931" w:rsidRPr="00AE4E8D" w:rsidRDefault="00E90931" w:rsidP="00E90931">
            <w:pPr>
              <w:jc w:val="right"/>
              <w:rPr>
                <w:rFonts w:ascii="Times New Roman" w:hAnsi="Times New Roman"/>
                <w:sz w:val="14"/>
                <w:szCs w:val="14"/>
                <w:lang w:val="es-ES"/>
              </w:rPr>
            </w:pPr>
          </w:p>
        </w:tc>
      </w:tr>
      <w:tr w:rsidR="00B86C83" w:rsidRPr="00AE4E8D" w14:paraId="0F2174AC" w14:textId="77777777" w:rsidTr="000400C8">
        <w:trPr>
          <w:trHeight w:val="255"/>
          <w:jc w:val="center"/>
        </w:trPr>
        <w:tc>
          <w:tcPr>
            <w:tcW w:w="486" w:type="pct"/>
            <w:vAlign w:val="center"/>
          </w:tcPr>
          <w:p w14:paraId="0A998F23"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4014EF3B"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7E2A8924"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40DC1AB2"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56F8F8CD"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286DBE05"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151F8EB9"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76B31EED"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50B6747D"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029FCC23"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4766FD55"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55117C93"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1AE4E3F4"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5A09C53B"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43E04E1D" w14:textId="77777777" w:rsidR="00E90931" w:rsidRPr="00AE4E8D" w:rsidRDefault="00E90931" w:rsidP="00E90931">
            <w:pPr>
              <w:jc w:val="right"/>
              <w:rPr>
                <w:rFonts w:ascii="Times New Roman" w:hAnsi="Times New Roman"/>
                <w:sz w:val="14"/>
                <w:szCs w:val="14"/>
                <w:lang w:val="es-ES"/>
              </w:rPr>
            </w:pPr>
          </w:p>
        </w:tc>
      </w:tr>
      <w:tr w:rsidR="00B86C83" w:rsidRPr="00AE4E8D" w14:paraId="00301405" w14:textId="77777777" w:rsidTr="000400C8">
        <w:trPr>
          <w:trHeight w:val="255"/>
          <w:jc w:val="center"/>
        </w:trPr>
        <w:tc>
          <w:tcPr>
            <w:tcW w:w="486" w:type="pct"/>
            <w:vAlign w:val="center"/>
            <w:hideMark/>
          </w:tcPr>
          <w:p w14:paraId="11859E90" w14:textId="77777777" w:rsidR="00E90931" w:rsidRPr="00AE4E8D" w:rsidRDefault="00EB3492"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En Dólares Est.</w:t>
            </w:r>
          </w:p>
        </w:tc>
        <w:tc>
          <w:tcPr>
            <w:tcW w:w="435" w:type="pct"/>
            <w:noWrap/>
            <w:vAlign w:val="bottom"/>
            <w:hideMark/>
          </w:tcPr>
          <w:p w14:paraId="4E20B701"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429" w:type="pct"/>
            <w:noWrap/>
            <w:vAlign w:val="bottom"/>
          </w:tcPr>
          <w:p w14:paraId="58198025" w14:textId="77777777" w:rsidR="00E90931" w:rsidRPr="00AE4E8D" w:rsidRDefault="00E90931" w:rsidP="00E90931">
            <w:pPr>
              <w:jc w:val="right"/>
              <w:rPr>
                <w:rFonts w:ascii="Times New Roman" w:hAnsi="Times New Roman"/>
                <w:b/>
                <w:bCs/>
                <w:sz w:val="14"/>
                <w:szCs w:val="14"/>
                <w:lang w:val="es-ES"/>
              </w:rPr>
            </w:pPr>
          </w:p>
        </w:tc>
        <w:tc>
          <w:tcPr>
            <w:tcW w:w="137" w:type="pct"/>
            <w:noWrap/>
            <w:vAlign w:val="bottom"/>
          </w:tcPr>
          <w:p w14:paraId="65560306" w14:textId="77777777" w:rsidR="00E90931" w:rsidRPr="00AE4E8D" w:rsidRDefault="00E90931" w:rsidP="00E90931">
            <w:pPr>
              <w:jc w:val="right"/>
              <w:rPr>
                <w:rFonts w:ascii="Times New Roman" w:hAnsi="Times New Roman"/>
                <w:b/>
                <w:bCs/>
                <w:sz w:val="14"/>
                <w:szCs w:val="14"/>
                <w:lang w:val="es-ES"/>
              </w:rPr>
            </w:pPr>
          </w:p>
        </w:tc>
        <w:tc>
          <w:tcPr>
            <w:tcW w:w="435" w:type="pct"/>
            <w:noWrap/>
            <w:vAlign w:val="bottom"/>
          </w:tcPr>
          <w:p w14:paraId="2FBEF97D" w14:textId="77777777" w:rsidR="00E90931" w:rsidRPr="00AE4E8D" w:rsidRDefault="00E90931" w:rsidP="00E90931">
            <w:pPr>
              <w:jc w:val="right"/>
              <w:rPr>
                <w:rFonts w:ascii="Times New Roman" w:hAnsi="Times New Roman"/>
                <w:b/>
                <w:bCs/>
                <w:sz w:val="14"/>
                <w:szCs w:val="14"/>
                <w:lang w:val="es-ES"/>
              </w:rPr>
            </w:pPr>
          </w:p>
        </w:tc>
        <w:tc>
          <w:tcPr>
            <w:tcW w:w="356" w:type="pct"/>
            <w:noWrap/>
            <w:vAlign w:val="bottom"/>
          </w:tcPr>
          <w:p w14:paraId="4C75F0FF" w14:textId="77777777" w:rsidR="00E90931" w:rsidRPr="00AE4E8D" w:rsidRDefault="00E90931" w:rsidP="00E90931">
            <w:pPr>
              <w:jc w:val="right"/>
              <w:rPr>
                <w:rFonts w:ascii="Times New Roman" w:hAnsi="Times New Roman"/>
                <w:b/>
                <w:bCs/>
                <w:sz w:val="14"/>
                <w:szCs w:val="14"/>
                <w:lang w:val="es-ES"/>
              </w:rPr>
            </w:pPr>
          </w:p>
        </w:tc>
        <w:tc>
          <w:tcPr>
            <w:tcW w:w="138" w:type="pct"/>
            <w:noWrap/>
            <w:vAlign w:val="bottom"/>
          </w:tcPr>
          <w:p w14:paraId="63AB5681"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3F2273F9" w14:textId="77777777" w:rsidR="00E90931" w:rsidRPr="00AE4E8D" w:rsidRDefault="00E90931" w:rsidP="00E90931">
            <w:pPr>
              <w:jc w:val="right"/>
              <w:rPr>
                <w:rFonts w:ascii="Times New Roman" w:hAnsi="Times New Roman"/>
                <w:b/>
                <w:bCs/>
                <w:sz w:val="14"/>
                <w:szCs w:val="14"/>
                <w:lang w:val="es-ES"/>
              </w:rPr>
            </w:pPr>
          </w:p>
        </w:tc>
        <w:tc>
          <w:tcPr>
            <w:tcW w:w="356" w:type="pct"/>
            <w:noWrap/>
            <w:vAlign w:val="bottom"/>
          </w:tcPr>
          <w:p w14:paraId="27C7DA85" w14:textId="77777777" w:rsidR="00E90931" w:rsidRPr="00AE4E8D" w:rsidRDefault="00E90931" w:rsidP="00E90931">
            <w:pPr>
              <w:jc w:val="right"/>
              <w:rPr>
                <w:rFonts w:ascii="Times New Roman" w:hAnsi="Times New Roman"/>
                <w:b/>
                <w:bCs/>
                <w:sz w:val="14"/>
                <w:szCs w:val="14"/>
                <w:lang w:val="es-ES"/>
              </w:rPr>
            </w:pPr>
          </w:p>
        </w:tc>
        <w:tc>
          <w:tcPr>
            <w:tcW w:w="138" w:type="pct"/>
            <w:noWrap/>
            <w:vAlign w:val="bottom"/>
          </w:tcPr>
          <w:p w14:paraId="3916E999"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3F0C5EC9" w14:textId="77777777" w:rsidR="00E90931" w:rsidRPr="00AE4E8D" w:rsidRDefault="00E90931" w:rsidP="00E90931">
            <w:pPr>
              <w:jc w:val="right"/>
              <w:rPr>
                <w:rFonts w:ascii="Times New Roman" w:hAnsi="Times New Roman"/>
                <w:b/>
                <w:bCs/>
                <w:sz w:val="14"/>
                <w:szCs w:val="14"/>
                <w:lang w:val="es-ES"/>
              </w:rPr>
            </w:pPr>
          </w:p>
        </w:tc>
        <w:tc>
          <w:tcPr>
            <w:tcW w:w="356" w:type="pct"/>
            <w:noWrap/>
            <w:vAlign w:val="bottom"/>
          </w:tcPr>
          <w:p w14:paraId="589D1471" w14:textId="77777777" w:rsidR="00E90931" w:rsidRPr="00AE4E8D" w:rsidRDefault="00E90931" w:rsidP="00E90931">
            <w:pPr>
              <w:jc w:val="right"/>
              <w:rPr>
                <w:rFonts w:ascii="Times New Roman" w:hAnsi="Times New Roman"/>
                <w:b/>
                <w:bCs/>
                <w:sz w:val="14"/>
                <w:szCs w:val="14"/>
                <w:lang w:val="es-ES"/>
              </w:rPr>
            </w:pPr>
          </w:p>
        </w:tc>
        <w:tc>
          <w:tcPr>
            <w:tcW w:w="138" w:type="pct"/>
            <w:noWrap/>
            <w:vAlign w:val="bottom"/>
          </w:tcPr>
          <w:p w14:paraId="1D262193"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5AE2B4CE" w14:textId="77777777" w:rsidR="00E90931" w:rsidRPr="00AE4E8D" w:rsidRDefault="00E90931" w:rsidP="00E90931">
            <w:pPr>
              <w:jc w:val="right"/>
              <w:rPr>
                <w:rFonts w:ascii="Times New Roman" w:hAnsi="Times New Roman"/>
                <w:b/>
                <w:bCs/>
                <w:sz w:val="14"/>
                <w:szCs w:val="14"/>
                <w:lang w:val="es-ES"/>
              </w:rPr>
            </w:pPr>
          </w:p>
        </w:tc>
        <w:tc>
          <w:tcPr>
            <w:tcW w:w="353" w:type="pct"/>
            <w:noWrap/>
            <w:vAlign w:val="bottom"/>
          </w:tcPr>
          <w:p w14:paraId="463F29B6" w14:textId="77777777" w:rsidR="00E90931" w:rsidRPr="00AE4E8D" w:rsidRDefault="00E90931" w:rsidP="00E90931">
            <w:pPr>
              <w:jc w:val="right"/>
              <w:rPr>
                <w:rFonts w:ascii="Times New Roman" w:hAnsi="Times New Roman"/>
                <w:b/>
                <w:bCs/>
                <w:sz w:val="14"/>
                <w:szCs w:val="14"/>
                <w:lang w:val="es-ES"/>
              </w:rPr>
            </w:pPr>
          </w:p>
        </w:tc>
      </w:tr>
      <w:tr w:rsidR="003B5193" w:rsidRPr="00AE4E8D" w14:paraId="12745EA6" w14:textId="77777777" w:rsidTr="00091EF5">
        <w:trPr>
          <w:trHeight w:val="255"/>
          <w:jc w:val="center"/>
        </w:trPr>
        <w:tc>
          <w:tcPr>
            <w:tcW w:w="486" w:type="pct"/>
            <w:vAlign w:val="center"/>
            <w:hideMark/>
          </w:tcPr>
          <w:p w14:paraId="4F7CC2AE"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Acciones</w:t>
            </w:r>
          </w:p>
        </w:tc>
        <w:tc>
          <w:tcPr>
            <w:tcW w:w="435" w:type="pct"/>
            <w:noWrap/>
            <w:vAlign w:val="bottom"/>
            <w:hideMark/>
          </w:tcPr>
          <w:p w14:paraId="00457644" w14:textId="77777777" w:rsidR="00E90931" w:rsidRPr="00AE4E8D" w:rsidRDefault="00FA3175" w:rsidP="00E90931">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429" w:type="pct"/>
            <w:noWrap/>
            <w:vAlign w:val="bottom"/>
          </w:tcPr>
          <w:p w14:paraId="03D6C388"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6117EE0E" w14:textId="77777777" w:rsidR="00E90931" w:rsidRPr="00AE4E8D" w:rsidRDefault="00E90931" w:rsidP="00E90931">
            <w:pPr>
              <w:jc w:val="right"/>
              <w:rPr>
                <w:rFonts w:ascii="Times New Roman" w:hAnsi="Times New Roman"/>
                <w:b/>
                <w:bCs/>
                <w:sz w:val="14"/>
                <w:szCs w:val="14"/>
                <w:lang w:val="es-ES"/>
              </w:rPr>
            </w:pPr>
          </w:p>
        </w:tc>
        <w:tc>
          <w:tcPr>
            <w:tcW w:w="435" w:type="pct"/>
            <w:shd w:val="clear" w:color="auto" w:fill="FFFFFF"/>
            <w:noWrap/>
            <w:vAlign w:val="bottom"/>
            <w:hideMark/>
          </w:tcPr>
          <w:p w14:paraId="6E147965"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2281F76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6EFBF610"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531BBBFF"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A080CF6"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51E625B6"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0541A9FC"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4322ED7B"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DFD65B8"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6D341C1B"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032736F7" w14:textId="77777777" w:rsidR="00E90931" w:rsidRPr="00AE4E8D" w:rsidRDefault="00E90931" w:rsidP="00E90931">
            <w:pPr>
              <w:jc w:val="right"/>
              <w:rPr>
                <w:rFonts w:ascii="Times New Roman" w:hAnsi="Times New Roman"/>
                <w:sz w:val="14"/>
                <w:szCs w:val="14"/>
                <w:lang w:val="es-ES"/>
              </w:rPr>
            </w:pPr>
          </w:p>
        </w:tc>
      </w:tr>
      <w:tr w:rsidR="003B5193" w:rsidRPr="00AE4E8D" w14:paraId="0DFF22A1" w14:textId="77777777" w:rsidTr="00091EF5">
        <w:trPr>
          <w:trHeight w:val="255"/>
          <w:jc w:val="center"/>
        </w:trPr>
        <w:tc>
          <w:tcPr>
            <w:tcW w:w="486" w:type="pct"/>
            <w:vAlign w:val="center"/>
            <w:hideMark/>
          </w:tcPr>
          <w:p w14:paraId="155FD3A3"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Otros</w:t>
            </w:r>
          </w:p>
        </w:tc>
        <w:tc>
          <w:tcPr>
            <w:tcW w:w="435" w:type="pct"/>
            <w:noWrap/>
            <w:vAlign w:val="bottom"/>
            <w:hideMark/>
          </w:tcPr>
          <w:p w14:paraId="1846C9B7" w14:textId="77777777" w:rsidR="00E90931" w:rsidRPr="00AE4E8D" w:rsidRDefault="00FA3175" w:rsidP="00E90931">
            <w:pPr>
              <w:jc w:val="right"/>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w:t>
            </w:r>
            <w:r w:rsidR="00EB3492"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 xml:space="preserve"> </w:t>
            </w:r>
          </w:p>
        </w:tc>
        <w:tc>
          <w:tcPr>
            <w:tcW w:w="429" w:type="pct"/>
            <w:noWrap/>
            <w:vAlign w:val="bottom"/>
          </w:tcPr>
          <w:p w14:paraId="6EB53F7A"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3A512EE5" w14:textId="77777777" w:rsidR="00E90931" w:rsidRPr="00AE4E8D" w:rsidRDefault="00E90931" w:rsidP="00E90931">
            <w:pPr>
              <w:jc w:val="right"/>
              <w:rPr>
                <w:rFonts w:ascii="Times New Roman" w:hAnsi="Times New Roman"/>
                <w:b/>
                <w:bCs/>
                <w:sz w:val="14"/>
                <w:szCs w:val="14"/>
                <w:lang w:val="es-ES"/>
              </w:rPr>
            </w:pPr>
          </w:p>
        </w:tc>
        <w:tc>
          <w:tcPr>
            <w:tcW w:w="435" w:type="pct"/>
            <w:shd w:val="clear" w:color="auto" w:fill="FFFFFF"/>
            <w:noWrap/>
            <w:vAlign w:val="bottom"/>
            <w:hideMark/>
          </w:tcPr>
          <w:p w14:paraId="5780DF88"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356" w:type="pct"/>
            <w:shd w:val="clear" w:color="auto" w:fill="FFFFFF"/>
            <w:noWrap/>
            <w:vAlign w:val="bottom"/>
            <w:hideMark/>
          </w:tcPr>
          <w:p w14:paraId="060C442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 </w:t>
            </w:r>
          </w:p>
        </w:tc>
        <w:tc>
          <w:tcPr>
            <w:tcW w:w="138" w:type="pct"/>
            <w:noWrap/>
            <w:vAlign w:val="bottom"/>
          </w:tcPr>
          <w:p w14:paraId="1F9FDE58"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53219CB3"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4B856AD9"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5860EF48"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19C87EF1"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3BBA989A"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007D1681"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59D4FC13"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5AD73AFF" w14:textId="77777777" w:rsidR="00E90931" w:rsidRPr="00AE4E8D" w:rsidRDefault="00E90931" w:rsidP="00E90931">
            <w:pPr>
              <w:jc w:val="right"/>
              <w:rPr>
                <w:rFonts w:ascii="Times New Roman" w:hAnsi="Times New Roman"/>
                <w:sz w:val="14"/>
                <w:szCs w:val="14"/>
                <w:lang w:val="es-ES"/>
              </w:rPr>
            </w:pPr>
          </w:p>
        </w:tc>
      </w:tr>
      <w:tr w:rsidR="00B86C83" w:rsidRPr="00AE4E8D" w14:paraId="55C90BFE" w14:textId="77777777" w:rsidTr="000400C8">
        <w:trPr>
          <w:trHeight w:val="255"/>
          <w:jc w:val="center"/>
        </w:trPr>
        <w:tc>
          <w:tcPr>
            <w:tcW w:w="486" w:type="pct"/>
            <w:vAlign w:val="center"/>
          </w:tcPr>
          <w:p w14:paraId="0FE033BD"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272D8472"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183ED864"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3E00390A" w14:textId="77777777" w:rsidR="00E90931" w:rsidRPr="00AE4E8D" w:rsidRDefault="00E90931" w:rsidP="00E90931">
            <w:pPr>
              <w:jc w:val="right"/>
              <w:rPr>
                <w:rFonts w:ascii="Times New Roman" w:hAnsi="Times New Roman"/>
                <w:b/>
                <w:bCs/>
                <w:sz w:val="14"/>
                <w:szCs w:val="14"/>
                <w:lang w:val="es-ES"/>
              </w:rPr>
            </w:pPr>
          </w:p>
        </w:tc>
        <w:tc>
          <w:tcPr>
            <w:tcW w:w="435" w:type="pct"/>
            <w:noWrap/>
            <w:vAlign w:val="bottom"/>
          </w:tcPr>
          <w:p w14:paraId="2998FDC4"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D4C0677"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18A10143"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73BA2EE5"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48A5F2F0"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165C2D2"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57EFBFC4"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239C9500"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490CEFD3"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10594ECB"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4D306CC1" w14:textId="77777777" w:rsidR="00E90931" w:rsidRPr="00AE4E8D" w:rsidRDefault="00E90931" w:rsidP="00E90931">
            <w:pPr>
              <w:jc w:val="right"/>
              <w:rPr>
                <w:rFonts w:ascii="Times New Roman" w:hAnsi="Times New Roman"/>
                <w:sz w:val="14"/>
                <w:szCs w:val="14"/>
                <w:lang w:val="es-ES"/>
              </w:rPr>
            </w:pPr>
          </w:p>
        </w:tc>
      </w:tr>
      <w:tr w:rsidR="003B5193" w:rsidRPr="00AE4E8D" w14:paraId="545F934A" w14:textId="77777777" w:rsidTr="00091EF5">
        <w:trPr>
          <w:trHeight w:val="255"/>
          <w:jc w:val="center"/>
        </w:trPr>
        <w:tc>
          <w:tcPr>
            <w:tcW w:w="486" w:type="pct"/>
            <w:vAlign w:val="center"/>
            <w:hideMark/>
          </w:tcPr>
          <w:p w14:paraId="1CDDEDFC"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 xml:space="preserve">Total de </w:t>
            </w:r>
            <w:r w:rsidR="006D55C2" w:rsidRPr="00AE4E8D">
              <w:rPr>
                <w:rFonts w:ascii="Times New Roman" w:hAnsi="Times New Roman"/>
                <w:b/>
                <w:bCs/>
                <w:sz w:val="14"/>
                <w:szCs w:val="14"/>
                <w:lang w:val="es-ES"/>
              </w:rPr>
              <w:t>Títulos</w:t>
            </w:r>
            <w:r w:rsidRPr="00AE4E8D">
              <w:rPr>
                <w:rFonts w:ascii="Times New Roman" w:hAnsi="Times New Roman"/>
                <w:b/>
                <w:bCs/>
                <w:sz w:val="14"/>
                <w:szCs w:val="14"/>
                <w:lang w:val="es-ES"/>
              </w:rPr>
              <w:t xml:space="preserve"> Privados</w:t>
            </w:r>
          </w:p>
        </w:tc>
        <w:tc>
          <w:tcPr>
            <w:tcW w:w="435" w:type="pct"/>
            <w:tcBorders>
              <w:top w:val="single" w:sz="4" w:space="0" w:color="auto"/>
              <w:left w:val="nil"/>
              <w:bottom w:val="single" w:sz="4" w:space="0" w:color="auto"/>
              <w:right w:val="nil"/>
            </w:tcBorders>
            <w:noWrap/>
            <w:vAlign w:val="bottom"/>
            <w:hideMark/>
          </w:tcPr>
          <w:p w14:paraId="08FFA6CE"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352.854</w:t>
            </w:r>
            <w:r w:rsidR="00E90931" w:rsidRPr="00AE4E8D">
              <w:rPr>
                <w:rFonts w:ascii="Times New Roman" w:hAnsi="Times New Roman"/>
                <w:b/>
                <w:sz w:val="16"/>
                <w:lang w:val="es-ES"/>
              </w:rPr>
              <w:t xml:space="preserve"> </w:t>
            </w:r>
          </w:p>
        </w:tc>
        <w:tc>
          <w:tcPr>
            <w:tcW w:w="429" w:type="pct"/>
            <w:tcBorders>
              <w:top w:val="single" w:sz="4" w:space="0" w:color="auto"/>
              <w:left w:val="nil"/>
              <w:bottom w:val="single" w:sz="4" w:space="0" w:color="auto"/>
              <w:right w:val="nil"/>
            </w:tcBorders>
            <w:noWrap/>
            <w:vAlign w:val="bottom"/>
          </w:tcPr>
          <w:p w14:paraId="52AEE089" w14:textId="77777777" w:rsidR="00E90931" w:rsidRPr="00AE4E8D" w:rsidRDefault="00E90931" w:rsidP="00E90931">
            <w:pPr>
              <w:jc w:val="right"/>
              <w:rPr>
                <w:rFonts w:ascii="Times New Roman" w:hAnsi="Times New Roman"/>
                <w:b/>
                <w:sz w:val="16"/>
                <w:lang w:val="es-ES"/>
              </w:rPr>
            </w:pPr>
          </w:p>
        </w:tc>
        <w:tc>
          <w:tcPr>
            <w:tcW w:w="137" w:type="pct"/>
            <w:noWrap/>
            <w:vAlign w:val="bottom"/>
          </w:tcPr>
          <w:p w14:paraId="19E8CE59" w14:textId="77777777" w:rsidR="00E90931" w:rsidRPr="00AE4E8D" w:rsidRDefault="00E90931" w:rsidP="00E90931">
            <w:pPr>
              <w:jc w:val="right"/>
              <w:rPr>
                <w:rFonts w:ascii="Times New Roman" w:hAnsi="Times New Roman"/>
                <w:sz w:val="16"/>
                <w:lang w:val="es-ES"/>
              </w:rPr>
            </w:pPr>
          </w:p>
        </w:tc>
        <w:tc>
          <w:tcPr>
            <w:tcW w:w="435" w:type="pct"/>
            <w:tcBorders>
              <w:top w:val="single" w:sz="4" w:space="0" w:color="auto"/>
              <w:left w:val="nil"/>
              <w:bottom w:val="single" w:sz="4" w:space="0" w:color="auto"/>
              <w:right w:val="nil"/>
            </w:tcBorders>
            <w:noWrap/>
            <w:vAlign w:val="bottom"/>
            <w:hideMark/>
          </w:tcPr>
          <w:p w14:paraId="1340F95D"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352.854</w:t>
            </w:r>
            <w:r w:rsidR="00E90931" w:rsidRPr="00AE4E8D">
              <w:rPr>
                <w:rFonts w:ascii="Times New Roman" w:hAnsi="Times New Roman"/>
                <w:b/>
                <w:sz w:val="16"/>
                <w:lang w:val="es-ES"/>
              </w:rPr>
              <w:t xml:space="preserve"> </w:t>
            </w:r>
          </w:p>
        </w:tc>
        <w:tc>
          <w:tcPr>
            <w:tcW w:w="356" w:type="pct"/>
            <w:tcBorders>
              <w:top w:val="single" w:sz="4" w:space="0" w:color="auto"/>
              <w:left w:val="nil"/>
              <w:bottom w:val="single" w:sz="4" w:space="0" w:color="auto"/>
              <w:right w:val="nil"/>
            </w:tcBorders>
            <w:noWrap/>
            <w:vAlign w:val="bottom"/>
            <w:hideMark/>
          </w:tcPr>
          <w:p w14:paraId="3EAB0DC5"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8" w:type="pct"/>
            <w:noWrap/>
            <w:vAlign w:val="bottom"/>
          </w:tcPr>
          <w:p w14:paraId="433C261E" w14:textId="77777777" w:rsidR="00E90931" w:rsidRPr="00AE4E8D" w:rsidRDefault="00E90931" w:rsidP="00E90931">
            <w:pPr>
              <w:jc w:val="right"/>
              <w:rPr>
                <w:rFonts w:ascii="Times New Roman" w:hAnsi="Times New Roman"/>
                <w:b/>
                <w:bCs/>
                <w:sz w:val="14"/>
                <w:szCs w:val="14"/>
                <w:lang w:val="es-ES"/>
              </w:rPr>
            </w:pPr>
          </w:p>
        </w:tc>
        <w:tc>
          <w:tcPr>
            <w:tcW w:w="425" w:type="pct"/>
            <w:tcBorders>
              <w:top w:val="single" w:sz="4" w:space="0" w:color="auto"/>
              <w:left w:val="nil"/>
              <w:bottom w:val="single" w:sz="4" w:space="0" w:color="auto"/>
              <w:right w:val="nil"/>
            </w:tcBorders>
            <w:noWrap/>
            <w:vAlign w:val="bottom"/>
            <w:hideMark/>
          </w:tcPr>
          <w:p w14:paraId="758F27C9"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tcBorders>
              <w:top w:val="single" w:sz="4" w:space="0" w:color="auto"/>
              <w:left w:val="nil"/>
              <w:bottom w:val="single" w:sz="4" w:space="0" w:color="auto"/>
              <w:right w:val="nil"/>
            </w:tcBorders>
            <w:noWrap/>
            <w:vAlign w:val="bottom"/>
            <w:hideMark/>
          </w:tcPr>
          <w:p w14:paraId="0FF63086"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8" w:type="pct"/>
            <w:noWrap/>
            <w:vAlign w:val="bottom"/>
          </w:tcPr>
          <w:p w14:paraId="72B04ABC" w14:textId="77777777" w:rsidR="00E90931" w:rsidRPr="00AE4E8D" w:rsidRDefault="00E90931" w:rsidP="00E90931">
            <w:pPr>
              <w:jc w:val="right"/>
              <w:rPr>
                <w:rFonts w:ascii="Times New Roman" w:hAnsi="Times New Roman"/>
                <w:b/>
                <w:bCs/>
                <w:sz w:val="14"/>
                <w:szCs w:val="14"/>
                <w:lang w:val="es-ES"/>
              </w:rPr>
            </w:pPr>
          </w:p>
        </w:tc>
        <w:tc>
          <w:tcPr>
            <w:tcW w:w="409" w:type="pct"/>
            <w:tcBorders>
              <w:top w:val="single" w:sz="4" w:space="0" w:color="auto"/>
              <w:left w:val="nil"/>
              <w:bottom w:val="single" w:sz="4" w:space="0" w:color="auto"/>
              <w:right w:val="nil"/>
            </w:tcBorders>
            <w:noWrap/>
            <w:vAlign w:val="bottom"/>
            <w:hideMark/>
          </w:tcPr>
          <w:p w14:paraId="70300821"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tcBorders>
              <w:top w:val="single" w:sz="4" w:space="0" w:color="auto"/>
              <w:left w:val="nil"/>
              <w:bottom w:val="single" w:sz="4" w:space="0" w:color="auto"/>
              <w:right w:val="nil"/>
            </w:tcBorders>
            <w:noWrap/>
            <w:vAlign w:val="bottom"/>
            <w:hideMark/>
          </w:tcPr>
          <w:p w14:paraId="7DB4C150"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8" w:type="pct"/>
            <w:noWrap/>
            <w:vAlign w:val="bottom"/>
          </w:tcPr>
          <w:p w14:paraId="1A69067D" w14:textId="77777777" w:rsidR="00E90931" w:rsidRPr="00AE4E8D" w:rsidRDefault="00E90931" w:rsidP="00E90931">
            <w:pPr>
              <w:jc w:val="right"/>
              <w:rPr>
                <w:rFonts w:ascii="Times New Roman" w:hAnsi="Times New Roman"/>
                <w:b/>
                <w:bCs/>
                <w:sz w:val="14"/>
                <w:szCs w:val="14"/>
                <w:lang w:val="es-ES"/>
              </w:rPr>
            </w:pPr>
          </w:p>
        </w:tc>
        <w:tc>
          <w:tcPr>
            <w:tcW w:w="409" w:type="pct"/>
            <w:tcBorders>
              <w:top w:val="single" w:sz="4" w:space="0" w:color="auto"/>
              <w:left w:val="nil"/>
              <w:bottom w:val="single" w:sz="4" w:space="0" w:color="auto"/>
              <w:right w:val="nil"/>
            </w:tcBorders>
            <w:noWrap/>
            <w:vAlign w:val="bottom"/>
            <w:hideMark/>
          </w:tcPr>
          <w:p w14:paraId="4A2A9697"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3" w:type="pct"/>
            <w:tcBorders>
              <w:top w:val="single" w:sz="4" w:space="0" w:color="auto"/>
              <w:left w:val="nil"/>
              <w:bottom w:val="single" w:sz="4" w:space="0" w:color="auto"/>
              <w:right w:val="nil"/>
            </w:tcBorders>
            <w:noWrap/>
            <w:vAlign w:val="bottom"/>
            <w:hideMark/>
          </w:tcPr>
          <w:p w14:paraId="5EE00D00"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r>
      <w:tr w:rsidR="00B86C83" w:rsidRPr="00AE4E8D" w14:paraId="3EF42AB6" w14:textId="77777777" w:rsidTr="000400C8">
        <w:trPr>
          <w:trHeight w:val="255"/>
          <w:jc w:val="center"/>
        </w:trPr>
        <w:tc>
          <w:tcPr>
            <w:tcW w:w="486" w:type="pct"/>
            <w:vAlign w:val="center"/>
          </w:tcPr>
          <w:p w14:paraId="71A25300"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7B570E06"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55C1F317"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0C979D63"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2F7DA540"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02394A44"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6AE2C727"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18FF02B5"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0A179494"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45AB956E"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6290887B"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5DD0C99F"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2DD3CB07"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3120A575"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4C785225" w14:textId="77777777" w:rsidR="00E90931" w:rsidRPr="00AE4E8D" w:rsidRDefault="00E90931" w:rsidP="00E90931">
            <w:pPr>
              <w:jc w:val="right"/>
              <w:rPr>
                <w:rFonts w:ascii="Times New Roman" w:hAnsi="Times New Roman"/>
                <w:sz w:val="14"/>
                <w:szCs w:val="14"/>
                <w:lang w:val="es-ES"/>
              </w:rPr>
            </w:pPr>
          </w:p>
        </w:tc>
      </w:tr>
      <w:tr w:rsidR="003B5193" w:rsidRPr="00AE4E8D" w14:paraId="129C5A29" w14:textId="77777777" w:rsidTr="00091EF5">
        <w:trPr>
          <w:trHeight w:val="255"/>
          <w:jc w:val="center"/>
        </w:trPr>
        <w:tc>
          <w:tcPr>
            <w:tcW w:w="486" w:type="pct"/>
            <w:vAlign w:val="center"/>
            <w:hideMark/>
          </w:tcPr>
          <w:p w14:paraId="381756B8"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Previsiones Totales</w:t>
            </w:r>
          </w:p>
        </w:tc>
        <w:tc>
          <w:tcPr>
            <w:tcW w:w="435" w:type="pct"/>
            <w:tcBorders>
              <w:top w:val="single" w:sz="4" w:space="0" w:color="auto"/>
              <w:left w:val="nil"/>
              <w:bottom w:val="single" w:sz="4" w:space="0" w:color="auto"/>
              <w:right w:val="nil"/>
            </w:tcBorders>
            <w:noWrap/>
            <w:vAlign w:val="bottom"/>
            <w:hideMark/>
          </w:tcPr>
          <w:p w14:paraId="72669912" w14:textId="77777777" w:rsidR="00E90931" w:rsidRPr="00AE4E8D" w:rsidRDefault="00EB3492"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(11.662)</w:t>
            </w:r>
          </w:p>
        </w:tc>
        <w:tc>
          <w:tcPr>
            <w:tcW w:w="429" w:type="pct"/>
            <w:tcBorders>
              <w:top w:val="single" w:sz="4" w:space="0" w:color="auto"/>
              <w:left w:val="nil"/>
              <w:bottom w:val="single" w:sz="4" w:space="0" w:color="auto"/>
              <w:right w:val="nil"/>
            </w:tcBorders>
            <w:noWrap/>
            <w:vAlign w:val="bottom"/>
            <w:hideMark/>
          </w:tcPr>
          <w:p w14:paraId="650B4BA3"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7" w:type="pct"/>
            <w:noWrap/>
            <w:vAlign w:val="bottom"/>
          </w:tcPr>
          <w:p w14:paraId="7D618F0B" w14:textId="77777777" w:rsidR="00E90931" w:rsidRPr="00AE4E8D" w:rsidRDefault="00E90931" w:rsidP="00E90931">
            <w:pPr>
              <w:jc w:val="right"/>
              <w:rPr>
                <w:rFonts w:ascii="Times New Roman" w:hAnsi="Times New Roman"/>
                <w:b/>
                <w:bCs/>
                <w:sz w:val="14"/>
                <w:szCs w:val="14"/>
                <w:lang w:val="es-ES"/>
              </w:rPr>
            </w:pPr>
          </w:p>
        </w:tc>
        <w:tc>
          <w:tcPr>
            <w:tcW w:w="435" w:type="pct"/>
            <w:tcBorders>
              <w:top w:val="single" w:sz="4" w:space="0" w:color="auto"/>
              <w:left w:val="nil"/>
              <w:bottom w:val="single" w:sz="4" w:space="0" w:color="auto"/>
              <w:right w:val="nil"/>
            </w:tcBorders>
            <w:noWrap/>
            <w:vAlign w:val="bottom"/>
            <w:hideMark/>
          </w:tcPr>
          <w:p w14:paraId="22B9893E" w14:textId="77777777" w:rsidR="00E90931" w:rsidRPr="00AE4E8D" w:rsidRDefault="00EB3492"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(11.662)</w:t>
            </w:r>
          </w:p>
        </w:tc>
        <w:tc>
          <w:tcPr>
            <w:tcW w:w="356" w:type="pct"/>
            <w:tcBorders>
              <w:top w:val="single" w:sz="4" w:space="0" w:color="auto"/>
              <w:left w:val="nil"/>
              <w:bottom w:val="single" w:sz="4" w:space="0" w:color="auto"/>
              <w:right w:val="nil"/>
            </w:tcBorders>
            <w:noWrap/>
            <w:vAlign w:val="bottom"/>
            <w:hideMark/>
          </w:tcPr>
          <w:p w14:paraId="42D2C6E5"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8" w:type="pct"/>
            <w:noWrap/>
            <w:vAlign w:val="bottom"/>
          </w:tcPr>
          <w:p w14:paraId="2B2521F3" w14:textId="77777777" w:rsidR="00E90931" w:rsidRPr="00AE4E8D" w:rsidRDefault="00E90931" w:rsidP="00E90931">
            <w:pPr>
              <w:jc w:val="right"/>
              <w:rPr>
                <w:rFonts w:ascii="Times New Roman" w:hAnsi="Times New Roman"/>
                <w:b/>
                <w:bCs/>
                <w:sz w:val="14"/>
                <w:szCs w:val="14"/>
                <w:lang w:val="es-ES"/>
              </w:rPr>
            </w:pPr>
          </w:p>
        </w:tc>
        <w:tc>
          <w:tcPr>
            <w:tcW w:w="425" w:type="pct"/>
            <w:tcBorders>
              <w:top w:val="single" w:sz="4" w:space="0" w:color="auto"/>
              <w:left w:val="nil"/>
              <w:bottom w:val="single" w:sz="4" w:space="0" w:color="auto"/>
              <w:right w:val="nil"/>
            </w:tcBorders>
            <w:noWrap/>
            <w:vAlign w:val="bottom"/>
            <w:hideMark/>
          </w:tcPr>
          <w:p w14:paraId="4A942A30"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tcBorders>
              <w:top w:val="single" w:sz="4" w:space="0" w:color="auto"/>
              <w:left w:val="nil"/>
              <w:bottom w:val="single" w:sz="4" w:space="0" w:color="auto"/>
              <w:right w:val="nil"/>
            </w:tcBorders>
            <w:noWrap/>
            <w:vAlign w:val="bottom"/>
            <w:hideMark/>
          </w:tcPr>
          <w:p w14:paraId="31235525"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8" w:type="pct"/>
            <w:noWrap/>
            <w:vAlign w:val="bottom"/>
          </w:tcPr>
          <w:p w14:paraId="338640E3" w14:textId="77777777" w:rsidR="00E90931" w:rsidRPr="00AE4E8D" w:rsidRDefault="00E90931" w:rsidP="00E90931">
            <w:pPr>
              <w:jc w:val="right"/>
              <w:rPr>
                <w:rFonts w:ascii="Times New Roman" w:hAnsi="Times New Roman"/>
                <w:b/>
                <w:bCs/>
                <w:sz w:val="14"/>
                <w:szCs w:val="14"/>
                <w:lang w:val="es-ES"/>
              </w:rPr>
            </w:pPr>
          </w:p>
        </w:tc>
        <w:tc>
          <w:tcPr>
            <w:tcW w:w="409" w:type="pct"/>
            <w:tcBorders>
              <w:top w:val="single" w:sz="4" w:space="0" w:color="auto"/>
              <w:left w:val="nil"/>
              <w:bottom w:val="single" w:sz="4" w:space="0" w:color="auto"/>
              <w:right w:val="nil"/>
            </w:tcBorders>
            <w:noWrap/>
            <w:vAlign w:val="bottom"/>
            <w:hideMark/>
          </w:tcPr>
          <w:p w14:paraId="40741324"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6" w:type="pct"/>
            <w:tcBorders>
              <w:top w:val="single" w:sz="4" w:space="0" w:color="auto"/>
              <w:left w:val="nil"/>
              <w:bottom w:val="single" w:sz="4" w:space="0" w:color="auto"/>
              <w:right w:val="nil"/>
            </w:tcBorders>
            <w:noWrap/>
            <w:vAlign w:val="bottom"/>
            <w:hideMark/>
          </w:tcPr>
          <w:p w14:paraId="400F1B47"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c>
          <w:tcPr>
            <w:tcW w:w="138" w:type="pct"/>
            <w:noWrap/>
            <w:vAlign w:val="bottom"/>
          </w:tcPr>
          <w:p w14:paraId="1E964C69" w14:textId="77777777" w:rsidR="00E90931" w:rsidRPr="00AE4E8D" w:rsidRDefault="00E90931" w:rsidP="00E90931">
            <w:pPr>
              <w:jc w:val="right"/>
              <w:rPr>
                <w:rFonts w:ascii="Times New Roman" w:hAnsi="Times New Roman"/>
                <w:b/>
                <w:bCs/>
                <w:sz w:val="14"/>
                <w:szCs w:val="14"/>
                <w:lang w:val="es-ES"/>
              </w:rPr>
            </w:pPr>
          </w:p>
        </w:tc>
        <w:tc>
          <w:tcPr>
            <w:tcW w:w="409" w:type="pct"/>
            <w:tcBorders>
              <w:top w:val="single" w:sz="4" w:space="0" w:color="auto"/>
              <w:left w:val="nil"/>
              <w:bottom w:val="single" w:sz="4" w:space="0" w:color="auto"/>
              <w:right w:val="nil"/>
            </w:tcBorders>
            <w:noWrap/>
            <w:vAlign w:val="bottom"/>
            <w:hideMark/>
          </w:tcPr>
          <w:p w14:paraId="06FE14EA" w14:textId="77777777" w:rsidR="00E90931" w:rsidRPr="00AE4E8D" w:rsidRDefault="00FA3175"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w:t>
            </w:r>
            <w:r w:rsidR="00EB3492" w:rsidRPr="00AE4E8D">
              <w:rPr>
                <w:rFonts w:ascii="Times New Roman" w:hAnsi="Times New Roman"/>
                <w:b/>
                <w:bCs/>
                <w:sz w:val="14"/>
                <w:szCs w:val="14"/>
                <w:lang w:val="es-ES"/>
              </w:rPr>
              <w:t xml:space="preserve"> </w:t>
            </w:r>
            <w:r w:rsidR="00E90931" w:rsidRPr="00AE4E8D">
              <w:rPr>
                <w:rFonts w:ascii="Times New Roman" w:hAnsi="Times New Roman"/>
                <w:b/>
                <w:bCs/>
                <w:sz w:val="14"/>
                <w:szCs w:val="14"/>
                <w:lang w:val="es-ES"/>
              </w:rPr>
              <w:t xml:space="preserve"> </w:t>
            </w:r>
          </w:p>
        </w:tc>
        <w:tc>
          <w:tcPr>
            <w:tcW w:w="353" w:type="pct"/>
            <w:tcBorders>
              <w:top w:val="single" w:sz="4" w:space="0" w:color="auto"/>
              <w:left w:val="nil"/>
              <w:bottom w:val="single" w:sz="4" w:space="0" w:color="auto"/>
              <w:right w:val="nil"/>
            </w:tcBorders>
            <w:noWrap/>
            <w:vAlign w:val="bottom"/>
            <w:hideMark/>
          </w:tcPr>
          <w:p w14:paraId="5C751465" w14:textId="77777777" w:rsidR="00E90931" w:rsidRPr="00AE4E8D" w:rsidRDefault="00E90931" w:rsidP="00E90931">
            <w:pPr>
              <w:jc w:val="right"/>
              <w:rPr>
                <w:rFonts w:ascii="Times New Roman" w:hAnsi="Times New Roman"/>
                <w:b/>
                <w:bCs/>
                <w:sz w:val="14"/>
                <w:szCs w:val="14"/>
                <w:lang w:val="es-ES"/>
              </w:rPr>
            </w:pPr>
            <w:r w:rsidRPr="00AE4E8D">
              <w:rPr>
                <w:rFonts w:ascii="Times New Roman" w:hAnsi="Times New Roman"/>
                <w:b/>
                <w:bCs/>
                <w:sz w:val="14"/>
                <w:szCs w:val="14"/>
                <w:lang w:val="es-ES"/>
              </w:rPr>
              <w:t> </w:t>
            </w:r>
          </w:p>
        </w:tc>
      </w:tr>
      <w:tr w:rsidR="00B86C83" w:rsidRPr="00AE4E8D" w14:paraId="19DC1EC3" w14:textId="77777777" w:rsidTr="000400C8">
        <w:trPr>
          <w:trHeight w:val="255"/>
          <w:jc w:val="center"/>
        </w:trPr>
        <w:tc>
          <w:tcPr>
            <w:tcW w:w="486" w:type="pct"/>
            <w:vAlign w:val="center"/>
          </w:tcPr>
          <w:p w14:paraId="133B86DA" w14:textId="77777777" w:rsidR="00E90931" w:rsidRPr="00AE4E8D" w:rsidRDefault="00E90931" w:rsidP="00E90931">
            <w:pPr>
              <w:rPr>
                <w:rFonts w:ascii="Times New Roman" w:hAnsi="Times New Roman"/>
                <w:sz w:val="14"/>
                <w:szCs w:val="14"/>
                <w:lang w:val="es-ES"/>
              </w:rPr>
            </w:pPr>
          </w:p>
        </w:tc>
        <w:tc>
          <w:tcPr>
            <w:tcW w:w="435" w:type="pct"/>
            <w:noWrap/>
            <w:vAlign w:val="bottom"/>
          </w:tcPr>
          <w:p w14:paraId="6DB11642" w14:textId="77777777" w:rsidR="00E90931" w:rsidRPr="00AE4E8D" w:rsidRDefault="00E90931" w:rsidP="00E90931">
            <w:pPr>
              <w:jc w:val="right"/>
              <w:rPr>
                <w:rFonts w:ascii="Times New Roman" w:hAnsi="Times New Roman"/>
                <w:sz w:val="14"/>
                <w:szCs w:val="14"/>
                <w:lang w:val="es-ES"/>
              </w:rPr>
            </w:pPr>
          </w:p>
        </w:tc>
        <w:tc>
          <w:tcPr>
            <w:tcW w:w="429" w:type="pct"/>
            <w:noWrap/>
            <w:vAlign w:val="bottom"/>
          </w:tcPr>
          <w:p w14:paraId="3DAFE39A" w14:textId="77777777" w:rsidR="00E90931" w:rsidRPr="00AE4E8D" w:rsidRDefault="00E90931" w:rsidP="00E90931">
            <w:pPr>
              <w:jc w:val="right"/>
              <w:rPr>
                <w:rFonts w:ascii="Times New Roman" w:hAnsi="Times New Roman"/>
                <w:sz w:val="14"/>
                <w:szCs w:val="14"/>
                <w:lang w:val="es-ES"/>
              </w:rPr>
            </w:pPr>
          </w:p>
        </w:tc>
        <w:tc>
          <w:tcPr>
            <w:tcW w:w="137" w:type="pct"/>
            <w:noWrap/>
            <w:vAlign w:val="bottom"/>
          </w:tcPr>
          <w:p w14:paraId="1FBB6E14" w14:textId="77777777" w:rsidR="00E90931" w:rsidRPr="00AE4E8D" w:rsidRDefault="00E90931" w:rsidP="00E90931">
            <w:pPr>
              <w:jc w:val="right"/>
              <w:rPr>
                <w:rFonts w:ascii="Times New Roman" w:hAnsi="Times New Roman"/>
                <w:sz w:val="14"/>
                <w:szCs w:val="14"/>
                <w:lang w:val="es-ES"/>
              </w:rPr>
            </w:pPr>
          </w:p>
        </w:tc>
        <w:tc>
          <w:tcPr>
            <w:tcW w:w="435" w:type="pct"/>
            <w:noWrap/>
            <w:vAlign w:val="bottom"/>
          </w:tcPr>
          <w:p w14:paraId="747AB4A7"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22715E22"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723514BE" w14:textId="77777777" w:rsidR="00E90931" w:rsidRPr="00AE4E8D" w:rsidRDefault="00E90931" w:rsidP="00E90931">
            <w:pPr>
              <w:jc w:val="right"/>
              <w:rPr>
                <w:rFonts w:ascii="Times New Roman" w:hAnsi="Times New Roman"/>
                <w:sz w:val="14"/>
                <w:szCs w:val="14"/>
                <w:lang w:val="es-ES"/>
              </w:rPr>
            </w:pPr>
          </w:p>
        </w:tc>
        <w:tc>
          <w:tcPr>
            <w:tcW w:w="425" w:type="pct"/>
            <w:noWrap/>
            <w:vAlign w:val="bottom"/>
          </w:tcPr>
          <w:p w14:paraId="7969A76B"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548B160"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30C9934E"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4024F299" w14:textId="77777777" w:rsidR="00E90931" w:rsidRPr="00AE4E8D" w:rsidRDefault="00E90931" w:rsidP="00E90931">
            <w:pPr>
              <w:jc w:val="right"/>
              <w:rPr>
                <w:rFonts w:ascii="Times New Roman" w:hAnsi="Times New Roman"/>
                <w:sz w:val="14"/>
                <w:szCs w:val="14"/>
                <w:lang w:val="es-ES"/>
              </w:rPr>
            </w:pPr>
          </w:p>
        </w:tc>
        <w:tc>
          <w:tcPr>
            <w:tcW w:w="356" w:type="pct"/>
            <w:noWrap/>
            <w:vAlign w:val="bottom"/>
          </w:tcPr>
          <w:p w14:paraId="647BBA8F" w14:textId="77777777" w:rsidR="00E90931" w:rsidRPr="00AE4E8D" w:rsidRDefault="00E90931" w:rsidP="00E90931">
            <w:pPr>
              <w:jc w:val="right"/>
              <w:rPr>
                <w:rFonts w:ascii="Times New Roman" w:hAnsi="Times New Roman"/>
                <w:sz w:val="14"/>
                <w:szCs w:val="14"/>
                <w:lang w:val="es-ES"/>
              </w:rPr>
            </w:pPr>
          </w:p>
        </w:tc>
        <w:tc>
          <w:tcPr>
            <w:tcW w:w="138" w:type="pct"/>
            <w:noWrap/>
            <w:vAlign w:val="bottom"/>
          </w:tcPr>
          <w:p w14:paraId="79B0FE20" w14:textId="77777777" w:rsidR="00E90931" w:rsidRPr="00AE4E8D" w:rsidRDefault="00E90931" w:rsidP="00E90931">
            <w:pPr>
              <w:jc w:val="right"/>
              <w:rPr>
                <w:rFonts w:ascii="Times New Roman" w:hAnsi="Times New Roman"/>
                <w:sz w:val="14"/>
                <w:szCs w:val="14"/>
                <w:lang w:val="es-ES"/>
              </w:rPr>
            </w:pPr>
          </w:p>
        </w:tc>
        <w:tc>
          <w:tcPr>
            <w:tcW w:w="409" w:type="pct"/>
            <w:noWrap/>
            <w:vAlign w:val="bottom"/>
          </w:tcPr>
          <w:p w14:paraId="16120D56" w14:textId="77777777" w:rsidR="00E90931" w:rsidRPr="00AE4E8D" w:rsidRDefault="00E90931" w:rsidP="00E90931">
            <w:pPr>
              <w:jc w:val="right"/>
              <w:rPr>
                <w:rFonts w:ascii="Times New Roman" w:hAnsi="Times New Roman"/>
                <w:sz w:val="14"/>
                <w:szCs w:val="14"/>
                <w:lang w:val="es-ES"/>
              </w:rPr>
            </w:pPr>
          </w:p>
        </w:tc>
        <w:tc>
          <w:tcPr>
            <w:tcW w:w="353" w:type="pct"/>
            <w:noWrap/>
            <w:vAlign w:val="bottom"/>
          </w:tcPr>
          <w:p w14:paraId="4D964B85" w14:textId="77777777" w:rsidR="00E90931" w:rsidRPr="00AE4E8D" w:rsidRDefault="00E90931" w:rsidP="00E90931">
            <w:pPr>
              <w:jc w:val="right"/>
              <w:rPr>
                <w:rFonts w:ascii="Times New Roman" w:hAnsi="Times New Roman"/>
                <w:sz w:val="14"/>
                <w:szCs w:val="14"/>
                <w:lang w:val="es-ES"/>
              </w:rPr>
            </w:pPr>
          </w:p>
        </w:tc>
      </w:tr>
      <w:tr w:rsidR="003B5193" w:rsidRPr="00AE4E8D" w14:paraId="0843C001" w14:textId="77777777" w:rsidTr="00091EF5">
        <w:trPr>
          <w:trHeight w:val="510"/>
          <w:jc w:val="center"/>
        </w:trPr>
        <w:tc>
          <w:tcPr>
            <w:tcW w:w="486" w:type="pct"/>
            <w:tcBorders>
              <w:top w:val="single" w:sz="4" w:space="0" w:color="auto"/>
              <w:left w:val="nil"/>
              <w:bottom w:val="single" w:sz="4" w:space="0" w:color="auto"/>
              <w:right w:val="nil"/>
            </w:tcBorders>
            <w:vAlign w:val="center"/>
            <w:hideMark/>
          </w:tcPr>
          <w:p w14:paraId="2C94D278"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Total Títulos Públicos y Privados</w:t>
            </w:r>
          </w:p>
        </w:tc>
        <w:tc>
          <w:tcPr>
            <w:tcW w:w="435" w:type="pct"/>
            <w:tcBorders>
              <w:top w:val="single" w:sz="4" w:space="0" w:color="auto"/>
              <w:left w:val="nil"/>
              <w:bottom w:val="single" w:sz="4" w:space="0" w:color="auto"/>
              <w:right w:val="nil"/>
            </w:tcBorders>
            <w:noWrap/>
            <w:vAlign w:val="bottom"/>
            <w:hideMark/>
          </w:tcPr>
          <w:p w14:paraId="645AFED6"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lang w:val="es-ES"/>
              </w:rPr>
              <w:t xml:space="preserve"> </w:t>
            </w:r>
            <w:r w:rsidRPr="00AE4E8D">
              <w:rPr>
                <w:rFonts w:ascii="Times New Roman" w:hAnsi="Times New Roman"/>
                <w:b/>
                <w:bCs/>
                <w:sz w:val="16"/>
                <w:szCs w:val="16"/>
                <w:lang w:val="es-ES"/>
              </w:rPr>
              <w:t>4.997.612</w:t>
            </w:r>
            <w:r w:rsidRPr="00AE4E8D">
              <w:rPr>
                <w:rFonts w:ascii="Times New Roman" w:hAnsi="Times New Roman"/>
                <w:b/>
                <w:sz w:val="16"/>
                <w:lang w:val="es-ES"/>
              </w:rPr>
              <w:t xml:space="preserve"> </w:t>
            </w:r>
          </w:p>
        </w:tc>
        <w:tc>
          <w:tcPr>
            <w:tcW w:w="429" w:type="pct"/>
            <w:tcBorders>
              <w:top w:val="single" w:sz="4" w:space="0" w:color="auto"/>
              <w:left w:val="nil"/>
              <w:bottom w:val="single" w:sz="4" w:space="0" w:color="auto"/>
              <w:right w:val="nil"/>
            </w:tcBorders>
            <w:noWrap/>
            <w:vAlign w:val="bottom"/>
            <w:hideMark/>
          </w:tcPr>
          <w:p w14:paraId="11EF4F42"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13,39</w:t>
            </w:r>
            <w:r w:rsidRPr="00AE4E8D">
              <w:rPr>
                <w:rFonts w:ascii="Times New Roman" w:hAnsi="Times New Roman"/>
                <w:b/>
                <w:sz w:val="16"/>
                <w:lang w:val="es-ES"/>
              </w:rPr>
              <w:t>%</w:t>
            </w:r>
          </w:p>
        </w:tc>
        <w:tc>
          <w:tcPr>
            <w:tcW w:w="137" w:type="pct"/>
            <w:tcBorders>
              <w:top w:val="nil"/>
              <w:left w:val="nil"/>
              <w:bottom w:val="single" w:sz="4" w:space="0" w:color="auto"/>
              <w:right w:val="nil"/>
            </w:tcBorders>
            <w:noWrap/>
            <w:vAlign w:val="bottom"/>
            <w:hideMark/>
          </w:tcPr>
          <w:p w14:paraId="24C03F97"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lang w:val="es-ES"/>
              </w:rPr>
              <w:t> </w:t>
            </w:r>
          </w:p>
        </w:tc>
        <w:tc>
          <w:tcPr>
            <w:tcW w:w="435" w:type="pct"/>
            <w:tcBorders>
              <w:top w:val="single" w:sz="4" w:space="0" w:color="auto"/>
              <w:left w:val="nil"/>
              <w:bottom w:val="single" w:sz="4" w:space="0" w:color="auto"/>
              <w:right w:val="nil"/>
            </w:tcBorders>
            <w:noWrap/>
            <w:vAlign w:val="bottom"/>
            <w:hideMark/>
          </w:tcPr>
          <w:p w14:paraId="7E544890"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2.952.926</w:t>
            </w:r>
            <w:r w:rsidR="00E90931" w:rsidRPr="00AE4E8D">
              <w:rPr>
                <w:rFonts w:ascii="Times New Roman" w:hAnsi="Times New Roman"/>
                <w:b/>
                <w:sz w:val="16"/>
                <w:lang w:val="es-ES"/>
              </w:rPr>
              <w:t xml:space="preserve"> </w:t>
            </w:r>
          </w:p>
        </w:tc>
        <w:tc>
          <w:tcPr>
            <w:tcW w:w="356" w:type="pct"/>
            <w:tcBorders>
              <w:top w:val="single" w:sz="4" w:space="0" w:color="auto"/>
              <w:left w:val="nil"/>
              <w:bottom w:val="single" w:sz="4" w:space="0" w:color="auto"/>
              <w:right w:val="nil"/>
            </w:tcBorders>
            <w:noWrap/>
            <w:vAlign w:val="bottom"/>
            <w:hideMark/>
          </w:tcPr>
          <w:p w14:paraId="0270ABCF"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16,85</w:t>
            </w:r>
            <w:r w:rsidRPr="00AE4E8D">
              <w:rPr>
                <w:rFonts w:ascii="Times New Roman" w:hAnsi="Times New Roman"/>
                <w:b/>
                <w:sz w:val="16"/>
                <w:lang w:val="es-ES"/>
              </w:rPr>
              <w:t>%</w:t>
            </w:r>
          </w:p>
        </w:tc>
        <w:tc>
          <w:tcPr>
            <w:tcW w:w="138" w:type="pct"/>
            <w:tcBorders>
              <w:top w:val="nil"/>
              <w:left w:val="nil"/>
              <w:bottom w:val="single" w:sz="4" w:space="0" w:color="auto"/>
              <w:right w:val="nil"/>
            </w:tcBorders>
            <w:noWrap/>
            <w:vAlign w:val="bottom"/>
            <w:hideMark/>
          </w:tcPr>
          <w:p w14:paraId="377BE277"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lang w:val="es-ES"/>
              </w:rPr>
              <w:t> </w:t>
            </w:r>
          </w:p>
        </w:tc>
        <w:tc>
          <w:tcPr>
            <w:tcW w:w="425" w:type="pct"/>
            <w:tcBorders>
              <w:top w:val="single" w:sz="4" w:space="0" w:color="auto"/>
              <w:left w:val="nil"/>
              <w:bottom w:val="single" w:sz="4" w:space="0" w:color="auto"/>
              <w:right w:val="nil"/>
            </w:tcBorders>
            <w:noWrap/>
            <w:vAlign w:val="bottom"/>
            <w:hideMark/>
          </w:tcPr>
          <w:p w14:paraId="26ABC6E7"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906.739</w:t>
            </w:r>
            <w:r w:rsidR="00E90931" w:rsidRPr="00AE4E8D">
              <w:rPr>
                <w:rFonts w:ascii="Times New Roman" w:hAnsi="Times New Roman"/>
                <w:b/>
                <w:sz w:val="16"/>
                <w:lang w:val="es-ES"/>
              </w:rPr>
              <w:t xml:space="preserve"> </w:t>
            </w:r>
          </w:p>
        </w:tc>
        <w:tc>
          <w:tcPr>
            <w:tcW w:w="356" w:type="pct"/>
            <w:tcBorders>
              <w:top w:val="single" w:sz="4" w:space="0" w:color="auto"/>
              <w:left w:val="nil"/>
              <w:bottom w:val="single" w:sz="4" w:space="0" w:color="auto"/>
              <w:right w:val="nil"/>
            </w:tcBorders>
            <w:noWrap/>
            <w:vAlign w:val="bottom"/>
            <w:hideMark/>
          </w:tcPr>
          <w:p w14:paraId="26FA43F7"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8,15</w:t>
            </w:r>
            <w:r w:rsidRPr="00AE4E8D">
              <w:rPr>
                <w:rFonts w:ascii="Times New Roman" w:hAnsi="Times New Roman"/>
                <w:b/>
                <w:sz w:val="16"/>
                <w:lang w:val="es-ES"/>
              </w:rPr>
              <w:t>%</w:t>
            </w:r>
          </w:p>
        </w:tc>
        <w:tc>
          <w:tcPr>
            <w:tcW w:w="138" w:type="pct"/>
            <w:tcBorders>
              <w:top w:val="nil"/>
              <w:left w:val="nil"/>
              <w:bottom w:val="single" w:sz="4" w:space="0" w:color="auto"/>
              <w:right w:val="nil"/>
            </w:tcBorders>
            <w:noWrap/>
            <w:vAlign w:val="bottom"/>
            <w:hideMark/>
          </w:tcPr>
          <w:p w14:paraId="6A0E2F79"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lang w:val="es-ES"/>
              </w:rPr>
              <w:t> </w:t>
            </w:r>
          </w:p>
        </w:tc>
        <w:tc>
          <w:tcPr>
            <w:tcW w:w="409" w:type="pct"/>
            <w:tcBorders>
              <w:top w:val="single" w:sz="4" w:space="0" w:color="auto"/>
              <w:left w:val="nil"/>
              <w:bottom w:val="single" w:sz="4" w:space="0" w:color="auto"/>
              <w:right w:val="nil"/>
            </w:tcBorders>
            <w:noWrap/>
            <w:vAlign w:val="bottom"/>
            <w:hideMark/>
          </w:tcPr>
          <w:p w14:paraId="3D401F81"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580.366</w:t>
            </w:r>
            <w:r w:rsidR="00E90931" w:rsidRPr="00AE4E8D">
              <w:rPr>
                <w:rFonts w:ascii="Times New Roman" w:hAnsi="Times New Roman"/>
                <w:b/>
                <w:sz w:val="16"/>
                <w:lang w:val="es-ES"/>
              </w:rPr>
              <w:t xml:space="preserve"> </w:t>
            </w:r>
          </w:p>
        </w:tc>
        <w:tc>
          <w:tcPr>
            <w:tcW w:w="356" w:type="pct"/>
            <w:tcBorders>
              <w:top w:val="single" w:sz="4" w:space="0" w:color="auto"/>
              <w:left w:val="nil"/>
              <w:bottom w:val="single" w:sz="4" w:space="0" w:color="auto"/>
              <w:right w:val="nil"/>
            </w:tcBorders>
            <w:noWrap/>
            <w:vAlign w:val="bottom"/>
            <w:hideMark/>
          </w:tcPr>
          <w:p w14:paraId="60057CF1"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10,93</w:t>
            </w:r>
            <w:r w:rsidRPr="00AE4E8D">
              <w:rPr>
                <w:rFonts w:ascii="Times New Roman" w:hAnsi="Times New Roman"/>
                <w:b/>
                <w:sz w:val="16"/>
                <w:lang w:val="es-ES"/>
              </w:rPr>
              <w:t>%</w:t>
            </w:r>
          </w:p>
        </w:tc>
        <w:tc>
          <w:tcPr>
            <w:tcW w:w="138" w:type="pct"/>
            <w:tcBorders>
              <w:top w:val="nil"/>
              <w:left w:val="nil"/>
              <w:bottom w:val="single" w:sz="4" w:space="0" w:color="auto"/>
              <w:right w:val="nil"/>
            </w:tcBorders>
            <w:noWrap/>
            <w:vAlign w:val="bottom"/>
            <w:hideMark/>
          </w:tcPr>
          <w:p w14:paraId="4D9704AA"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sz w:val="16"/>
                <w:lang w:val="es-ES"/>
              </w:rPr>
              <w:t> </w:t>
            </w:r>
          </w:p>
        </w:tc>
        <w:tc>
          <w:tcPr>
            <w:tcW w:w="409" w:type="pct"/>
            <w:tcBorders>
              <w:top w:val="single" w:sz="4" w:space="0" w:color="auto"/>
              <w:left w:val="nil"/>
              <w:bottom w:val="single" w:sz="4" w:space="0" w:color="auto"/>
              <w:right w:val="nil"/>
            </w:tcBorders>
            <w:noWrap/>
            <w:vAlign w:val="bottom"/>
            <w:hideMark/>
          </w:tcPr>
          <w:p w14:paraId="359AC2CD" w14:textId="77777777" w:rsidR="00E90931" w:rsidRPr="00AE4E8D" w:rsidRDefault="00EB3492" w:rsidP="00E90931">
            <w:pPr>
              <w:jc w:val="right"/>
              <w:rPr>
                <w:rFonts w:ascii="Times New Roman" w:hAnsi="Times New Roman"/>
                <w:b/>
                <w:sz w:val="16"/>
                <w:lang w:val="es-ES"/>
              </w:rPr>
            </w:pPr>
            <w:r w:rsidRPr="00AE4E8D">
              <w:rPr>
                <w:rFonts w:ascii="Times New Roman" w:hAnsi="Times New Roman"/>
                <w:b/>
                <w:sz w:val="16"/>
                <w:lang w:val="es-ES"/>
              </w:rPr>
              <w:t xml:space="preserve">  </w:t>
            </w:r>
            <w:r w:rsidR="00E90931" w:rsidRPr="00AE4E8D">
              <w:rPr>
                <w:rFonts w:ascii="Times New Roman" w:hAnsi="Times New Roman"/>
                <w:b/>
                <w:bCs/>
                <w:sz w:val="16"/>
                <w:szCs w:val="16"/>
                <w:lang w:val="es-ES"/>
              </w:rPr>
              <w:t>569.243</w:t>
            </w:r>
            <w:r w:rsidR="00E90931" w:rsidRPr="00AE4E8D">
              <w:rPr>
                <w:rFonts w:ascii="Times New Roman" w:hAnsi="Times New Roman"/>
                <w:b/>
                <w:sz w:val="16"/>
                <w:lang w:val="es-ES"/>
              </w:rPr>
              <w:t xml:space="preserve"> </w:t>
            </w:r>
          </w:p>
        </w:tc>
        <w:tc>
          <w:tcPr>
            <w:tcW w:w="353" w:type="pct"/>
            <w:tcBorders>
              <w:top w:val="single" w:sz="4" w:space="0" w:color="auto"/>
              <w:left w:val="nil"/>
              <w:bottom w:val="single" w:sz="4" w:space="0" w:color="auto"/>
              <w:right w:val="nil"/>
            </w:tcBorders>
            <w:noWrap/>
            <w:vAlign w:val="bottom"/>
            <w:hideMark/>
          </w:tcPr>
          <w:p w14:paraId="0D301289" w14:textId="77777777" w:rsidR="00E90931" w:rsidRPr="00AE4E8D" w:rsidRDefault="00E90931" w:rsidP="00E90931">
            <w:pPr>
              <w:jc w:val="right"/>
              <w:rPr>
                <w:rFonts w:ascii="Times New Roman" w:hAnsi="Times New Roman"/>
                <w:b/>
                <w:sz w:val="16"/>
                <w:lang w:val="es-ES"/>
              </w:rPr>
            </w:pPr>
            <w:r w:rsidRPr="00AE4E8D">
              <w:rPr>
                <w:rFonts w:ascii="Times New Roman" w:hAnsi="Times New Roman"/>
                <w:b/>
                <w:bCs/>
                <w:sz w:val="16"/>
                <w:szCs w:val="16"/>
                <w:lang w:val="es-ES"/>
              </w:rPr>
              <w:t>5,99</w:t>
            </w:r>
            <w:r w:rsidRPr="00AE4E8D">
              <w:rPr>
                <w:rFonts w:ascii="Times New Roman" w:hAnsi="Times New Roman"/>
                <w:b/>
                <w:sz w:val="16"/>
                <w:lang w:val="es-ES"/>
              </w:rPr>
              <w:t>%</w:t>
            </w:r>
          </w:p>
        </w:tc>
      </w:tr>
    </w:tbl>
    <w:p w14:paraId="2A299C9D" w14:textId="77777777" w:rsidR="00E90931" w:rsidRPr="00AE4E8D" w:rsidRDefault="00140C31" w:rsidP="000668B5">
      <w:pPr>
        <w:numPr>
          <w:ilvl w:val="0"/>
          <w:numId w:val="72"/>
        </w:numPr>
        <w:autoSpaceDE w:val="0"/>
        <w:autoSpaceDN w:val="0"/>
        <w:adjustRightInd w:val="0"/>
        <w:spacing w:before="120" w:after="120"/>
        <w:jc w:val="both"/>
        <w:rPr>
          <w:rFonts w:ascii="Times New Roman" w:hAnsi="Times New Roman"/>
          <w:sz w:val="16"/>
          <w:lang w:val="es-ES" w:eastAsia="es-AR"/>
        </w:rPr>
      </w:pPr>
      <w:r w:rsidRPr="00AE4E8D">
        <w:rPr>
          <w:rFonts w:ascii="Times New Roman" w:hAnsi="Times New Roman"/>
          <w:sz w:val="16"/>
          <w:lang w:val="es-ES" w:eastAsia="es-AR"/>
        </w:rPr>
        <w:t>La</w:t>
      </w:r>
      <w:r w:rsidR="00E90931" w:rsidRPr="00AE4E8D">
        <w:rPr>
          <w:rFonts w:ascii="Times New Roman" w:hAnsi="Times New Roman"/>
          <w:sz w:val="16"/>
          <w:lang w:val="es-ES" w:eastAsia="es-AR"/>
        </w:rPr>
        <w:t xml:space="preserve"> </w:t>
      </w:r>
      <w:r w:rsidR="00E90931" w:rsidRPr="00AE4E8D">
        <w:rPr>
          <w:rFonts w:ascii="Times New Roman" w:hAnsi="Times New Roman"/>
          <w:bCs/>
          <w:sz w:val="16"/>
          <w:lang w:val="es-ES" w:eastAsia="es-AR"/>
        </w:rPr>
        <w:t>Tasa de Interés Nominal</w:t>
      </w:r>
      <w:r w:rsidR="00E90931" w:rsidRPr="00AE4E8D">
        <w:rPr>
          <w:rFonts w:ascii="Times New Roman" w:hAnsi="Times New Roman"/>
          <w:sz w:val="16"/>
          <w:lang w:val="es-ES" w:eastAsia="es-AR"/>
        </w:rPr>
        <w:t xml:space="preserve"> no incluye las ganancias o las perdidas por las fluctuaciones de la moneda extranjera.</w:t>
      </w:r>
    </w:p>
    <w:p w14:paraId="1969F9FF" w14:textId="77777777" w:rsidR="009B67FC" w:rsidRPr="00AE4E8D" w:rsidRDefault="009B67FC" w:rsidP="00B52753">
      <w:pPr>
        <w:rPr>
          <w:rFonts w:ascii="Times New Roman" w:hAnsi="Times New Roman"/>
          <w:sz w:val="16"/>
          <w:highlight w:val="cyan"/>
          <w:lang w:val="es-ES" w:eastAsia="es-AR"/>
        </w:rPr>
        <w:sectPr w:rsidR="009B67FC" w:rsidRPr="00AE4E8D" w:rsidSect="00B52753">
          <w:headerReference w:type="default" r:id="rId26"/>
          <w:pgSz w:w="16839" w:h="11907" w:orient="landscape"/>
          <w:pgMar w:top="1701" w:right="1418" w:bottom="1185" w:left="1418" w:header="709" w:footer="709" w:gutter="0"/>
          <w:cols w:space="720"/>
        </w:sectPr>
      </w:pPr>
    </w:p>
    <w:p w14:paraId="11A85FA4" w14:textId="77777777" w:rsidR="00E90931" w:rsidRPr="00AE4E8D" w:rsidRDefault="00E90931" w:rsidP="00E90931">
      <w:pPr>
        <w:keepNext/>
        <w:autoSpaceDE w:val="0"/>
        <w:autoSpaceDN w:val="0"/>
        <w:adjustRightInd w:val="0"/>
        <w:spacing w:before="240" w:after="240"/>
        <w:outlineLvl w:val="1"/>
        <w:rPr>
          <w:rFonts w:ascii="Times New Roman" w:hAnsi="Times New Roman"/>
          <w:b/>
          <w:lang w:val="es-ES" w:eastAsia="es-AR"/>
        </w:rPr>
      </w:pPr>
      <w:bookmarkStart w:id="323" w:name="_Toc421201366"/>
      <w:bookmarkStart w:id="324" w:name="_Toc495972995"/>
      <w:bookmarkStart w:id="325" w:name="_Toc495399902"/>
      <w:r w:rsidRPr="00AE4E8D">
        <w:rPr>
          <w:rFonts w:ascii="Times New Roman" w:hAnsi="Times New Roman"/>
          <w:b/>
          <w:lang w:val="es-ES" w:eastAsia="es-AR"/>
        </w:rPr>
        <w:lastRenderedPageBreak/>
        <w:t>Cartera de Préstamos</w:t>
      </w:r>
      <w:bookmarkEnd w:id="323"/>
      <w:bookmarkEnd w:id="324"/>
      <w:bookmarkEnd w:id="325"/>
    </w:p>
    <w:p w14:paraId="0369CC4E" w14:textId="77777777" w:rsidR="00E90931" w:rsidRPr="00AE4E8D" w:rsidRDefault="00E90931" w:rsidP="00E9093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siguiente cuadro presenta nuestra cartera por tipo de préstamo en términos reales.</w:t>
      </w:r>
    </w:p>
    <w:tbl>
      <w:tblPr>
        <w:tblW w:w="5000" w:type="pct"/>
        <w:jc w:val="center"/>
        <w:tblLook w:val="00A0" w:firstRow="1" w:lastRow="0" w:firstColumn="1" w:lastColumn="0" w:noHBand="0" w:noVBand="0"/>
      </w:tblPr>
      <w:tblGrid>
        <w:gridCol w:w="4053"/>
        <w:gridCol w:w="283"/>
        <w:gridCol w:w="1635"/>
        <w:gridCol w:w="1633"/>
        <w:gridCol w:w="1633"/>
      </w:tblGrid>
      <w:tr w:rsidR="00E90931" w:rsidRPr="00AE4E8D" w14:paraId="59972332" w14:textId="77777777" w:rsidTr="000400C8">
        <w:trPr>
          <w:trHeight w:val="255"/>
          <w:jc w:val="center"/>
        </w:trPr>
        <w:tc>
          <w:tcPr>
            <w:tcW w:w="2194" w:type="pct"/>
            <w:vAlign w:val="center"/>
          </w:tcPr>
          <w:p w14:paraId="0CCF88E2" w14:textId="77777777" w:rsidR="00E90931" w:rsidRPr="00AE4E8D" w:rsidRDefault="00E90931" w:rsidP="00E90931">
            <w:pPr>
              <w:rPr>
                <w:rFonts w:ascii="Times New Roman" w:hAnsi="Times New Roman"/>
                <w:sz w:val="16"/>
                <w:szCs w:val="16"/>
                <w:lang w:val="es-ES"/>
              </w:rPr>
            </w:pPr>
          </w:p>
        </w:tc>
        <w:tc>
          <w:tcPr>
            <w:tcW w:w="153" w:type="pct"/>
            <w:noWrap/>
            <w:vAlign w:val="bottom"/>
          </w:tcPr>
          <w:p w14:paraId="10C2F097" w14:textId="77777777" w:rsidR="00E90931" w:rsidRPr="00AE4E8D" w:rsidRDefault="00E90931" w:rsidP="00E90931">
            <w:pPr>
              <w:rPr>
                <w:rFonts w:ascii="Times New Roman" w:hAnsi="Times New Roman"/>
                <w:sz w:val="16"/>
                <w:szCs w:val="16"/>
                <w:lang w:val="es-ES"/>
              </w:rPr>
            </w:pPr>
          </w:p>
        </w:tc>
        <w:tc>
          <w:tcPr>
            <w:tcW w:w="2653" w:type="pct"/>
            <w:gridSpan w:val="3"/>
            <w:tcBorders>
              <w:top w:val="nil"/>
              <w:left w:val="nil"/>
              <w:bottom w:val="single" w:sz="4" w:space="0" w:color="auto"/>
              <w:right w:val="nil"/>
            </w:tcBorders>
            <w:noWrap/>
            <w:vAlign w:val="bottom"/>
            <w:hideMark/>
          </w:tcPr>
          <w:p w14:paraId="219483F5"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Al 31 de diciembre de</w:t>
            </w:r>
          </w:p>
        </w:tc>
      </w:tr>
      <w:tr w:rsidR="00E90931" w:rsidRPr="00AE4E8D" w14:paraId="43995B0F" w14:textId="77777777" w:rsidTr="000400C8">
        <w:trPr>
          <w:trHeight w:val="255"/>
          <w:jc w:val="center"/>
        </w:trPr>
        <w:tc>
          <w:tcPr>
            <w:tcW w:w="2194" w:type="pct"/>
            <w:vAlign w:val="center"/>
          </w:tcPr>
          <w:p w14:paraId="162E2329" w14:textId="77777777" w:rsidR="00E90931" w:rsidRPr="00AE4E8D" w:rsidRDefault="00E90931" w:rsidP="00E90931">
            <w:pPr>
              <w:rPr>
                <w:rFonts w:ascii="Times New Roman" w:hAnsi="Times New Roman"/>
                <w:sz w:val="16"/>
                <w:szCs w:val="16"/>
                <w:lang w:val="es-ES"/>
              </w:rPr>
            </w:pPr>
          </w:p>
        </w:tc>
        <w:tc>
          <w:tcPr>
            <w:tcW w:w="153" w:type="pct"/>
            <w:noWrap/>
            <w:vAlign w:val="bottom"/>
          </w:tcPr>
          <w:p w14:paraId="0307A840" w14:textId="77777777" w:rsidR="00E90931" w:rsidRPr="00AE4E8D" w:rsidRDefault="00E90931" w:rsidP="00E90931">
            <w:pPr>
              <w:rPr>
                <w:rFonts w:ascii="Times New Roman" w:hAnsi="Times New Roman"/>
                <w:sz w:val="16"/>
                <w:szCs w:val="16"/>
                <w:lang w:val="es-ES"/>
              </w:rPr>
            </w:pPr>
          </w:p>
        </w:tc>
        <w:tc>
          <w:tcPr>
            <w:tcW w:w="885" w:type="pct"/>
            <w:tcBorders>
              <w:top w:val="nil"/>
              <w:left w:val="nil"/>
              <w:bottom w:val="single" w:sz="4" w:space="0" w:color="auto"/>
              <w:right w:val="nil"/>
            </w:tcBorders>
            <w:noWrap/>
            <w:vAlign w:val="bottom"/>
            <w:hideMark/>
          </w:tcPr>
          <w:p w14:paraId="57CE563F"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lang w:val="es-ES"/>
              </w:rPr>
              <w:t>2016</w:t>
            </w:r>
            <w:r w:rsidRPr="00AE4E8D">
              <w:rPr>
                <w:rFonts w:ascii="Times New Roman" w:hAnsi="Times New Roman"/>
                <w:sz w:val="16"/>
                <w:szCs w:val="16"/>
                <w:lang w:val="es-ES"/>
              </w:rPr>
              <w:t xml:space="preserve"> </w:t>
            </w:r>
          </w:p>
        </w:tc>
        <w:tc>
          <w:tcPr>
            <w:tcW w:w="884" w:type="pct"/>
            <w:tcBorders>
              <w:top w:val="nil"/>
              <w:left w:val="nil"/>
              <w:bottom w:val="single" w:sz="4" w:space="0" w:color="auto"/>
              <w:right w:val="nil"/>
            </w:tcBorders>
            <w:noWrap/>
            <w:vAlign w:val="bottom"/>
            <w:hideMark/>
          </w:tcPr>
          <w:p w14:paraId="21CF952B"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lang w:val="es-ES"/>
              </w:rPr>
              <w:t>2015</w:t>
            </w:r>
            <w:r w:rsidRPr="00AE4E8D">
              <w:rPr>
                <w:rFonts w:ascii="Times New Roman" w:hAnsi="Times New Roman"/>
                <w:sz w:val="16"/>
                <w:szCs w:val="16"/>
                <w:lang w:val="es-ES"/>
              </w:rPr>
              <w:t xml:space="preserve"> </w:t>
            </w:r>
          </w:p>
        </w:tc>
        <w:tc>
          <w:tcPr>
            <w:tcW w:w="884" w:type="pct"/>
            <w:tcBorders>
              <w:top w:val="nil"/>
              <w:left w:val="nil"/>
              <w:bottom w:val="single" w:sz="4" w:space="0" w:color="auto"/>
              <w:right w:val="nil"/>
            </w:tcBorders>
            <w:noWrap/>
            <w:vAlign w:val="bottom"/>
            <w:hideMark/>
          </w:tcPr>
          <w:p w14:paraId="339A5AC7"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lang w:val="es-ES"/>
              </w:rPr>
              <w:t>2014</w:t>
            </w:r>
            <w:r w:rsidRPr="00AE4E8D">
              <w:rPr>
                <w:rFonts w:ascii="Times New Roman" w:hAnsi="Times New Roman"/>
                <w:sz w:val="16"/>
                <w:szCs w:val="16"/>
                <w:lang w:val="es-ES"/>
              </w:rPr>
              <w:t xml:space="preserve"> </w:t>
            </w:r>
          </w:p>
        </w:tc>
      </w:tr>
      <w:tr w:rsidR="00E90931" w:rsidRPr="00AE4E8D" w14:paraId="7AE75853" w14:textId="77777777" w:rsidTr="000400C8">
        <w:trPr>
          <w:trHeight w:val="255"/>
          <w:jc w:val="center"/>
        </w:trPr>
        <w:tc>
          <w:tcPr>
            <w:tcW w:w="2194" w:type="pct"/>
            <w:vAlign w:val="center"/>
          </w:tcPr>
          <w:p w14:paraId="6D473553" w14:textId="77777777" w:rsidR="00E90931" w:rsidRPr="00AE4E8D" w:rsidRDefault="00E90931" w:rsidP="00E90931">
            <w:pPr>
              <w:rPr>
                <w:rFonts w:ascii="Times New Roman" w:hAnsi="Times New Roman"/>
                <w:b/>
                <w:bCs/>
                <w:sz w:val="16"/>
                <w:szCs w:val="16"/>
                <w:lang w:val="es-ES"/>
              </w:rPr>
            </w:pPr>
          </w:p>
        </w:tc>
        <w:tc>
          <w:tcPr>
            <w:tcW w:w="153" w:type="pct"/>
            <w:noWrap/>
            <w:vAlign w:val="bottom"/>
          </w:tcPr>
          <w:p w14:paraId="5FD59A0D" w14:textId="77777777" w:rsidR="00E90931" w:rsidRPr="00AE4E8D" w:rsidRDefault="00E90931" w:rsidP="00E90931">
            <w:pPr>
              <w:rPr>
                <w:rFonts w:ascii="Times New Roman" w:hAnsi="Times New Roman"/>
                <w:sz w:val="16"/>
                <w:szCs w:val="16"/>
                <w:lang w:val="es-ES"/>
              </w:rPr>
            </w:pPr>
          </w:p>
        </w:tc>
        <w:tc>
          <w:tcPr>
            <w:tcW w:w="2653" w:type="pct"/>
            <w:gridSpan w:val="3"/>
            <w:noWrap/>
            <w:vAlign w:val="bottom"/>
            <w:hideMark/>
          </w:tcPr>
          <w:p w14:paraId="2083C9F4"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 xml:space="preserve"> (en miles de pesos) </w:t>
            </w:r>
          </w:p>
        </w:tc>
      </w:tr>
      <w:tr w:rsidR="00E90931" w:rsidRPr="00AE4E8D" w14:paraId="1C7CC2E7" w14:textId="77777777" w:rsidTr="000400C8">
        <w:trPr>
          <w:trHeight w:val="255"/>
          <w:jc w:val="center"/>
        </w:trPr>
        <w:tc>
          <w:tcPr>
            <w:tcW w:w="2194" w:type="pct"/>
            <w:vAlign w:val="center"/>
          </w:tcPr>
          <w:p w14:paraId="18345B52" w14:textId="77777777" w:rsidR="00E90931" w:rsidRPr="00AE4E8D" w:rsidRDefault="00E90931" w:rsidP="00E90931">
            <w:pPr>
              <w:rPr>
                <w:rFonts w:ascii="Times New Roman" w:hAnsi="Times New Roman"/>
                <w:sz w:val="16"/>
                <w:szCs w:val="16"/>
                <w:lang w:val="es-ES"/>
              </w:rPr>
            </w:pPr>
          </w:p>
        </w:tc>
        <w:tc>
          <w:tcPr>
            <w:tcW w:w="153" w:type="pct"/>
            <w:noWrap/>
            <w:vAlign w:val="bottom"/>
          </w:tcPr>
          <w:p w14:paraId="2BA0134F" w14:textId="77777777" w:rsidR="00E90931" w:rsidRPr="00AE4E8D" w:rsidRDefault="00E90931" w:rsidP="00E90931">
            <w:pPr>
              <w:rPr>
                <w:rFonts w:ascii="Times New Roman" w:hAnsi="Times New Roman"/>
                <w:sz w:val="16"/>
                <w:szCs w:val="16"/>
                <w:lang w:val="es-ES"/>
              </w:rPr>
            </w:pPr>
          </w:p>
        </w:tc>
        <w:tc>
          <w:tcPr>
            <w:tcW w:w="885" w:type="pct"/>
            <w:noWrap/>
            <w:vAlign w:val="bottom"/>
          </w:tcPr>
          <w:p w14:paraId="37119238"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382343FD"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3BF40BFD" w14:textId="77777777" w:rsidR="00E90931" w:rsidRPr="00AE4E8D" w:rsidRDefault="00E90931" w:rsidP="00E90931">
            <w:pPr>
              <w:rPr>
                <w:rFonts w:ascii="Times New Roman" w:hAnsi="Times New Roman"/>
                <w:sz w:val="16"/>
                <w:szCs w:val="16"/>
                <w:lang w:val="es-ES"/>
              </w:rPr>
            </w:pPr>
          </w:p>
        </w:tc>
      </w:tr>
      <w:tr w:rsidR="00E90931" w:rsidRPr="00AE4E8D" w14:paraId="7973DD81" w14:textId="77777777" w:rsidTr="000400C8">
        <w:trPr>
          <w:trHeight w:val="255"/>
          <w:jc w:val="center"/>
        </w:trPr>
        <w:tc>
          <w:tcPr>
            <w:tcW w:w="2194" w:type="pct"/>
            <w:vAlign w:val="center"/>
            <w:hideMark/>
          </w:tcPr>
          <w:p w14:paraId="794DD129"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Préstamos Hipotecarios</w:t>
            </w:r>
          </w:p>
        </w:tc>
        <w:tc>
          <w:tcPr>
            <w:tcW w:w="153" w:type="pct"/>
            <w:noWrap/>
            <w:vAlign w:val="bottom"/>
          </w:tcPr>
          <w:p w14:paraId="395E0968"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679BA9D4"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lang w:val="es-ES"/>
              </w:rPr>
              <w:t>2.</w:t>
            </w:r>
            <w:r w:rsidRPr="00AE4E8D">
              <w:rPr>
                <w:rFonts w:ascii="Times New Roman" w:hAnsi="Times New Roman"/>
                <w:sz w:val="16"/>
                <w:szCs w:val="16"/>
                <w:lang w:val="es-ES"/>
              </w:rPr>
              <w:t xml:space="preserve">581.614 </w:t>
            </w:r>
          </w:p>
        </w:tc>
        <w:tc>
          <w:tcPr>
            <w:tcW w:w="884" w:type="pct"/>
            <w:noWrap/>
            <w:vAlign w:val="bottom"/>
            <w:hideMark/>
          </w:tcPr>
          <w:p w14:paraId="59CF1C0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2.493.521</w:t>
            </w:r>
          </w:p>
        </w:tc>
        <w:tc>
          <w:tcPr>
            <w:tcW w:w="884" w:type="pct"/>
            <w:noWrap/>
            <w:vAlign w:val="bottom"/>
            <w:hideMark/>
          </w:tcPr>
          <w:p w14:paraId="7974307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2.232.292</w:t>
            </w:r>
          </w:p>
        </w:tc>
      </w:tr>
      <w:tr w:rsidR="00E90931" w:rsidRPr="00AE4E8D" w14:paraId="37C3116D" w14:textId="77777777" w:rsidTr="000400C8">
        <w:trPr>
          <w:trHeight w:val="255"/>
          <w:jc w:val="center"/>
        </w:trPr>
        <w:tc>
          <w:tcPr>
            <w:tcW w:w="2194" w:type="pct"/>
            <w:vAlign w:val="center"/>
            <w:hideMark/>
          </w:tcPr>
          <w:p w14:paraId="6D05985E"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Préstamos Al Sector Público</w:t>
            </w:r>
          </w:p>
        </w:tc>
        <w:tc>
          <w:tcPr>
            <w:tcW w:w="153" w:type="pct"/>
            <w:noWrap/>
            <w:vAlign w:val="bottom"/>
          </w:tcPr>
          <w:p w14:paraId="0AB34DC1"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1BBAA57B"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 xml:space="preserve">153.032 </w:t>
            </w:r>
          </w:p>
        </w:tc>
        <w:tc>
          <w:tcPr>
            <w:tcW w:w="884" w:type="pct"/>
            <w:noWrap/>
            <w:vAlign w:val="bottom"/>
            <w:hideMark/>
          </w:tcPr>
          <w:p w14:paraId="626B144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lang w:val="es-ES"/>
              </w:rPr>
              <w:t>46.999</w:t>
            </w:r>
          </w:p>
        </w:tc>
        <w:tc>
          <w:tcPr>
            <w:tcW w:w="884" w:type="pct"/>
            <w:noWrap/>
            <w:vAlign w:val="bottom"/>
            <w:hideMark/>
          </w:tcPr>
          <w:p w14:paraId="40F5FBA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112.133</w:t>
            </w:r>
          </w:p>
        </w:tc>
      </w:tr>
      <w:tr w:rsidR="00E90931" w:rsidRPr="00AE4E8D" w14:paraId="393EE02D" w14:textId="77777777" w:rsidTr="000400C8">
        <w:trPr>
          <w:trHeight w:val="255"/>
          <w:jc w:val="center"/>
        </w:trPr>
        <w:tc>
          <w:tcPr>
            <w:tcW w:w="2194" w:type="pct"/>
            <w:vAlign w:val="center"/>
            <w:hideMark/>
          </w:tcPr>
          <w:p w14:paraId="51805671"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Préstamos Personales</w:t>
            </w:r>
          </w:p>
        </w:tc>
        <w:tc>
          <w:tcPr>
            <w:tcW w:w="153" w:type="pct"/>
            <w:noWrap/>
            <w:vAlign w:val="bottom"/>
          </w:tcPr>
          <w:p w14:paraId="438110B5"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496AB98F"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 xml:space="preserve">4.611.052 </w:t>
            </w:r>
          </w:p>
        </w:tc>
        <w:tc>
          <w:tcPr>
            <w:tcW w:w="884" w:type="pct"/>
            <w:noWrap/>
            <w:vAlign w:val="bottom"/>
            <w:hideMark/>
          </w:tcPr>
          <w:p w14:paraId="1E5D799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2.970.468</w:t>
            </w:r>
          </w:p>
        </w:tc>
        <w:tc>
          <w:tcPr>
            <w:tcW w:w="884" w:type="pct"/>
            <w:noWrap/>
            <w:vAlign w:val="bottom"/>
            <w:hideMark/>
          </w:tcPr>
          <w:p w14:paraId="030D889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2.354.793</w:t>
            </w:r>
          </w:p>
        </w:tc>
      </w:tr>
      <w:tr w:rsidR="00E90931" w:rsidRPr="00AE4E8D" w14:paraId="1BA25C71" w14:textId="77777777" w:rsidTr="000400C8">
        <w:trPr>
          <w:trHeight w:val="255"/>
          <w:jc w:val="center"/>
        </w:trPr>
        <w:tc>
          <w:tcPr>
            <w:tcW w:w="2194" w:type="pct"/>
            <w:vAlign w:val="center"/>
            <w:hideMark/>
          </w:tcPr>
          <w:p w14:paraId="3C2B02D4"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Tarjetas de Crédito</w:t>
            </w:r>
          </w:p>
        </w:tc>
        <w:tc>
          <w:tcPr>
            <w:tcW w:w="153" w:type="pct"/>
            <w:noWrap/>
            <w:vAlign w:val="bottom"/>
          </w:tcPr>
          <w:p w14:paraId="59185FBF"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171E0F56"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 xml:space="preserve">12.663.403 </w:t>
            </w:r>
          </w:p>
        </w:tc>
        <w:tc>
          <w:tcPr>
            <w:tcW w:w="884" w:type="pct"/>
            <w:noWrap/>
            <w:vAlign w:val="bottom"/>
            <w:hideMark/>
          </w:tcPr>
          <w:p w14:paraId="773F0DC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9.903.383</w:t>
            </w:r>
          </w:p>
        </w:tc>
        <w:tc>
          <w:tcPr>
            <w:tcW w:w="884" w:type="pct"/>
            <w:noWrap/>
            <w:vAlign w:val="bottom"/>
            <w:hideMark/>
          </w:tcPr>
          <w:p w14:paraId="48FFE28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7.155.260</w:t>
            </w:r>
          </w:p>
        </w:tc>
      </w:tr>
      <w:tr w:rsidR="00E90931" w:rsidRPr="00AE4E8D" w14:paraId="69739A39" w14:textId="77777777" w:rsidTr="000400C8">
        <w:trPr>
          <w:trHeight w:val="255"/>
          <w:jc w:val="center"/>
        </w:trPr>
        <w:tc>
          <w:tcPr>
            <w:tcW w:w="2194" w:type="pct"/>
            <w:vAlign w:val="center"/>
            <w:hideMark/>
          </w:tcPr>
          <w:p w14:paraId="3EC11725"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Adelantos</w:t>
            </w:r>
          </w:p>
        </w:tc>
        <w:tc>
          <w:tcPr>
            <w:tcW w:w="153" w:type="pct"/>
            <w:noWrap/>
            <w:vAlign w:val="bottom"/>
          </w:tcPr>
          <w:p w14:paraId="10A1B3D8"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267D314C"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 xml:space="preserve">290.153 </w:t>
            </w:r>
          </w:p>
        </w:tc>
        <w:tc>
          <w:tcPr>
            <w:tcW w:w="884" w:type="pct"/>
            <w:noWrap/>
            <w:vAlign w:val="bottom"/>
            <w:hideMark/>
          </w:tcPr>
          <w:p w14:paraId="2BD9038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493.226</w:t>
            </w:r>
          </w:p>
        </w:tc>
        <w:tc>
          <w:tcPr>
            <w:tcW w:w="884" w:type="pct"/>
            <w:noWrap/>
            <w:vAlign w:val="bottom"/>
            <w:hideMark/>
          </w:tcPr>
          <w:p w14:paraId="3F6A3B5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1.173.527</w:t>
            </w:r>
          </w:p>
        </w:tc>
      </w:tr>
      <w:tr w:rsidR="00E90931" w:rsidRPr="00AE4E8D" w14:paraId="6FF3C958" w14:textId="77777777" w:rsidTr="000400C8">
        <w:trPr>
          <w:trHeight w:val="255"/>
          <w:jc w:val="center"/>
        </w:trPr>
        <w:tc>
          <w:tcPr>
            <w:tcW w:w="2194" w:type="pct"/>
            <w:vAlign w:val="center"/>
            <w:hideMark/>
          </w:tcPr>
          <w:p w14:paraId="12F07532"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Otros Préstamos</w:t>
            </w:r>
          </w:p>
        </w:tc>
        <w:tc>
          <w:tcPr>
            <w:tcW w:w="153" w:type="pct"/>
            <w:noWrap/>
            <w:vAlign w:val="bottom"/>
          </w:tcPr>
          <w:p w14:paraId="2DCCB5A3"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21610A14" w14:textId="77777777" w:rsidR="00E90931" w:rsidRPr="00AE4E8D" w:rsidRDefault="00E90931" w:rsidP="00E90931">
            <w:pPr>
              <w:jc w:val="right"/>
              <w:rPr>
                <w:rFonts w:ascii="Times New Roman" w:hAnsi="Times New Roman"/>
                <w:sz w:val="16"/>
                <w:lang w:val="es-ES"/>
              </w:rPr>
            </w:pPr>
            <w:r w:rsidRPr="00AE4E8D">
              <w:rPr>
                <w:rFonts w:ascii="Times New Roman" w:hAnsi="Times New Roman"/>
                <w:sz w:val="16"/>
                <w:szCs w:val="16"/>
                <w:lang w:val="es-ES"/>
              </w:rPr>
              <w:t xml:space="preserve">7.412.062 </w:t>
            </w:r>
          </w:p>
        </w:tc>
        <w:tc>
          <w:tcPr>
            <w:tcW w:w="884" w:type="pct"/>
            <w:noWrap/>
            <w:vAlign w:val="bottom"/>
            <w:hideMark/>
          </w:tcPr>
          <w:p w14:paraId="22CC6F4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4.709.084</w:t>
            </w:r>
          </w:p>
        </w:tc>
        <w:tc>
          <w:tcPr>
            <w:tcW w:w="884" w:type="pct"/>
            <w:noWrap/>
            <w:vAlign w:val="bottom"/>
            <w:hideMark/>
          </w:tcPr>
          <w:p w14:paraId="17D560E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4.620.666</w:t>
            </w:r>
          </w:p>
        </w:tc>
      </w:tr>
      <w:tr w:rsidR="00E90931" w:rsidRPr="00AE4E8D" w14:paraId="711E2349" w14:textId="77777777" w:rsidTr="000400C8">
        <w:trPr>
          <w:trHeight w:val="255"/>
          <w:jc w:val="center"/>
        </w:trPr>
        <w:tc>
          <w:tcPr>
            <w:tcW w:w="2194" w:type="pct"/>
            <w:vAlign w:val="center"/>
          </w:tcPr>
          <w:p w14:paraId="76803B16" w14:textId="77777777" w:rsidR="00E90931" w:rsidRPr="00AE4E8D" w:rsidRDefault="00E90931" w:rsidP="00E90931">
            <w:pPr>
              <w:rPr>
                <w:rFonts w:ascii="Times New Roman" w:hAnsi="Times New Roman"/>
                <w:b/>
                <w:bCs/>
                <w:sz w:val="16"/>
                <w:szCs w:val="16"/>
                <w:lang w:val="es-ES"/>
              </w:rPr>
            </w:pPr>
          </w:p>
        </w:tc>
        <w:tc>
          <w:tcPr>
            <w:tcW w:w="153" w:type="pct"/>
            <w:noWrap/>
            <w:vAlign w:val="bottom"/>
          </w:tcPr>
          <w:p w14:paraId="3067C097" w14:textId="77777777" w:rsidR="00E90931" w:rsidRPr="00AE4E8D" w:rsidRDefault="00E90931" w:rsidP="00E90931">
            <w:pPr>
              <w:rPr>
                <w:rFonts w:ascii="Times New Roman" w:hAnsi="Times New Roman"/>
                <w:sz w:val="16"/>
                <w:szCs w:val="16"/>
                <w:lang w:val="es-ES"/>
              </w:rPr>
            </w:pPr>
          </w:p>
        </w:tc>
        <w:tc>
          <w:tcPr>
            <w:tcW w:w="885" w:type="pct"/>
            <w:noWrap/>
            <w:vAlign w:val="bottom"/>
          </w:tcPr>
          <w:p w14:paraId="1754359A"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14991922"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5065EC11" w14:textId="77777777" w:rsidR="00E90931" w:rsidRPr="00AE4E8D" w:rsidRDefault="00E90931" w:rsidP="00E90931">
            <w:pPr>
              <w:rPr>
                <w:rFonts w:ascii="Times New Roman" w:hAnsi="Times New Roman"/>
                <w:sz w:val="16"/>
                <w:szCs w:val="16"/>
                <w:lang w:val="es-ES"/>
              </w:rPr>
            </w:pPr>
          </w:p>
        </w:tc>
      </w:tr>
      <w:tr w:rsidR="00E90931" w:rsidRPr="00AE4E8D" w14:paraId="427D34A2" w14:textId="77777777" w:rsidTr="000400C8">
        <w:trPr>
          <w:trHeight w:val="255"/>
          <w:jc w:val="center"/>
        </w:trPr>
        <w:tc>
          <w:tcPr>
            <w:tcW w:w="2194" w:type="pct"/>
            <w:vAlign w:val="center"/>
            <w:hideMark/>
          </w:tcPr>
          <w:p w14:paraId="2C3CA2EE"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Intereses devengados a cobrar</w:t>
            </w:r>
          </w:p>
        </w:tc>
        <w:tc>
          <w:tcPr>
            <w:tcW w:w="153" w:type="pct"/>
            <w:noWrap/>
            <w:vAlign w:val="bottom"/>
          </w:tcPr>
          <w:p w14:paraId="2D433E3B"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07B7390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240.825</w:t>
            </w:r>
          </w:p>
        </w:tc>
        <w:tc>
          <w:tcPr>
            <w:tcW w:w="884" w:type="pct"/>
            <w:noWrap/>
            <w:vAlign w:val="bottom"/>
            <w:hideMark/>
          </w:tcPr>
          <w:p w14:paraId="1B12672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224.698</w:t>
            </w:r>
          </w:p>
        </w:tc>
        <w:tc>
          <w:tcPr>
            <w:tcW w:w="884" w:type="pct"/>
            <w:noWrap/>
            <w:vAlign w:val="bottom"/>
            <w:hideMark/>
          </w:tcPr>
          <w:p w14:paraId="2C0B245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182.922</w:t>
            </w:r>
          </w:p>
        </w:tc>
      </w:tr>
      <w:tr w:rsidR="00E90931" w:rsidRPr="00AE4E8D" w14:paraId="5EA740CA" w14:textId="77777777" w:rsidTr="000400C8">
        <w:trPr>
          <w:trHeight w:val="255"/>
          <w:jc w:val="center"/>
        </w:trPr>
        <w:tc>
          <w:tcPr>
            <w:tcW w:w="2194" w:type="pct"/>
            <w:vAlign w:val="center"/>
          </w:tcPr>
          <w:p w14:paraId="5858F255" w14:textId="77777777" w:rsidR="00E90931" w:rsidRPr="00AE4E8D" w:rsidRDefault="00E90931" w:rsidP="00E90931">
            <w:pPr>
              <w:rPr>
                <w:rFonts w:ascii="Times New Roman" w:hAnsi="Times New Roman"/>
                <w:sz w:val="16"/>
                <w:szCs w:val="16"/>
                <w:lang w:val="es-ES"/>
              </w:rPr>
            </w:pPr>
          </w:p>
        </w:tc>
        <w:tc>
          <w:tcPr>
            <w:tcW w:w="153" w:type="pct"/>
            <w:noWrap/>
            <w:vAlign w:val="bottom"/>
          </w:tcPr>
          <w:p w14:paraId="67558BA8" w14:textId="77777777" w:rsidR="00E90931" w:rsidRPr="00AE4E8D" w:rsidRDefault="00E90931" w:rsidP="00E90931">
            <w:pPr>
              <w:rPr>
                <w:rFonts w:ascii="Times New Roman" w:hAnsi="Times New Roman"/>
                <w:sz w:val="16"/>
                <w:szCs w:val="16"/>
                <w:lang w:val="es-ES"/>
              </w:rPr>
            </w:pPr>
          </w:p>
        </w:tc>
        <w:tc>
          <w:tcPr>
            <w:tcW w:w="885" w:type="pct"/>
            <w:noWrap/>
            <w:vAlign w:val="bottom"/>
          </w:tcPr>
          <w:p w14:paraId="57DB91A2"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1D6ED962"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40963CCC" w14:textId="77777777" w:rsidR="00E90931" w:rsidRPr="00AE4E8D" w:rsidRDefault="00E90931" w:rsidP="00E90931">
            <w:pPr>
              <w:rPr>
                <w:rFonts w:ascii="Times New Roman" w:hAnsi="Times New Roman"/>
                <w:sz w:val="16"/>
                <w:szCs w:val="16"/>
                <w:lang w:val="es-ES"/>
              </w:rPr>
            </w:pPr>
          </w:p>
        </w:tc>
      </w:tr>
      <w:tr w:rsidR="00E90931" w:rsidRPr="00AE4E8D" w14:paraId="14F95523" w14:textId="77777777" w:rsidTr="000400C8">
        <w:trPr>
          <w:trHeight w:val="510"/>
          <w:jc w:val="center"/>
        </w:trPr>
        <w:tc>
          <w:tcPr>
            <w:tcW w:w="2194" w:type="pct"/>
            <w:vAlign w:val="center"/>
            <w:hideMark/>
          </w:tcPr>
          <w:p w14:paraId="516D67B0"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Previsión por riesgo incob. préstamos</w:t>
            </w:r>
          </w:p>
        </w:tc>
        <w:tc>
          <w:tcPr>
            <w:tcW w:w="153" w:type="pct"/>
            <w:noWrap/>
            <w:vAlign w:val="bottom"/>
          </w:tcPr>
          <w:p w14:paraId="6D2FB0C3"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599D234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(676.141)</w:t>
            </w:r>
          </w:p>
        </w:tc>
        <w:tc>
          <w:tcPr>
            <w:tcW w:w="884" w:type="pct"/>
            <w:noWrap/>
            <w:vAlign w:val="bottom"/>
            <w:hideMark/>
          </w:tcPr>
          <w:p w14:paraId="7C5F06C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(451.751)</w:t>
            </w:r>
          </w:p>
        </w:tc>
        <w:tc>
          <w:tcPr>
            <w:tcW w:w="884" w:type="pct"/>
            <w:noWrap/>
            <w:vAlign w:val="bottom"/>
            <w:hideMark/>
          </w:tcPr>
          <w:p w14:paraId="6493CBA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(407.140)</w:t>
            </w:r>
          </w:p>
        </w:tc>
      </w:tr>
      <w:tr w:rsidR="00E90931" w:rsidRPr="00AE4E8D" w14:paraId="1CB9B27F" w14:textId="77777777" w:rsidTr="000400C8">
        <w:trPr>
          <w:trHeight w:val="255"/>
          <w:jc w:val="center"/>
        </w:trPr>
        <w:tc>
          <w:tcPr>
            <w:tcW w:w="2194" w:type="pct"/>
            <w:vAlign w:val="center"/>
          </w:tcPr>
          <w:p w14:paraId="3C43D66A" w14:textId="77777777" w:rsidR="00E90931" w:rsidRPr="00AE4E8D" w:rsidRDefault="00E90931" w:rsidP="00E90931">
            <w:pPr>
              <w:rPr>
                <w:rFonts w:ascii="Times New Roman" w:hAnsi="Times New Roman"/>
                <w:sz w:val="16"/>
                <w:szCs w:val="16"/>
                <w:lang w:val="es-ES"/>
              </w:rPr>
            </w:pPr>
          </w:p>
        </w:tc>
        <w:tc>
          <w:tcPr>
            <w:tcW w:w="153" w:type="pct"/>
            <w:noWrap/>
            <w:vAlign w:val="bottom"/>
          </w:tcPr>
          <w:p w14:paraId="11856AEA" w14:textId="77777777" w:rsidR="00E90931" w:rsidRPr="00AE4E8D" w:rsidRDefault="00E90931" w:rsidP="00E90931">
            <w:pPr>
              <w:rPr>
                <w:rFonts w:ascii="Times New Roman" w:hAnsi="Times New Roman"/>
                <w:sz w:val="16"/>
                <w:szCs w:val="16"/>
                <w:lang w:val="es-ES"/>
              </w:rPr>
            </w:pPr>
          </w:p>
        </w:tc>
        <w:tc>
          <w:tcPr>
            <w:tcW w:w="885" w:type="pct"/>
            <w:noWrap/>
            <w:vAlign w:val="bottom"/>
          </w:tcPr>
          <w:p w14:paraId="466354A5"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6BB31C46"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51509D91" w14:textId="77777777" w:rsidR="00E90931" w:rsidRPr="00AE4E8D" w:rsidRDefault="00E90931" w:rsidP="00E90931">
            <w:pPr>
              <w:rPr>
                <w:rFonts w:ascii="Times New Roman" w:hAnsi="Times New Roman"/>
                <w:sz w:val="16"/>
                <w:szCs w:val="16"/>
                <w:lang w:val="es-ES"/>
              </w:rPr>
            </w:pPr>
          </w:p>
        </w:tc>
      </w:tr>
      <w:tr w:rsidR="00E90931" w:rsidRPr="00AE4E8D" w14:paraId="6E34D562" w14:textId="77777777" w:rsidTr="000400C8">
        <w:trPr>
          <w:trHeight w:val="270"/>
          <w:jc w:val="center"/>
        </w:trPr>
        <w:tc>
          <w:tcPr>
            <w:tcW w:w="2194" w:type="pct"/>
            <w:vAlign w:val="center"/>
            <w:hideMark/>
          </w:tcPr>
          <w:p w14:paraId="1B017E6B"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Total Préstamos</w:t>
            </w:r>
          </w:p>
        </w:tc>
        <w:tc>
          <w:tcPr>
            <w:tcW w:w="153" w:type="pct"/>
            <w:noWrap/>
            <w:vAlign w:val="bottom"/>
          </w:tcPr>
          <w:p w14:paraId="235B7EE7" w14:textId="77777777" w:rsidR="00E90931" w:rsidRPr="00AE4E8D" w:rsidRDefault="00E90931" w:rsidP="00E90931">
            <w:pPr>
              <w:rPr>
                <w:rFonts w:ascii="Times New Roman" w:hAnsi="Times New Roman"/>
                <w:sz w:val="16"/>
                <w:szCs w:val="16"/>
                <w:lang w:val="es-ES"/>
              </w:rPr>
            </w:pPr>
          </w:p>
        </w:tc>
        <w:tc>
          <w:tcPr>
            <w:tcW w:w="885" w:type="pct"/>
            <w:tcBorders>
              <w:top w:val="nil"/>
              <w:left w:val="nil"/>
              <w:bottom w:val="double" w:sz="6" w:space="0" w:color="000000"/>
              <w:right w:val="nil"/>
            </w:tcBorders>
            <w:noWrap/>
            <w:vAlign w:val="bottom"/>
            <w:hideMark/>
          </w:tcPr>
          <w:p w14:paraId="082027F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27.276.000</w:t>
            </w:r>
          </w:p>
        </w:tc>
        <w:tc>
          <w:tcPr>
            <w:tcW w:w="884" w:type="pct"/>
            <w:tcBorders>
              <w:top w:val="nil"/>
              <w:left w:val="nil"/>
              <w:bottom w:val="double" w:sz="6" w:space="0" w:color="000000"/>
              <w:right w:val="nil"/>
            </w:tcBorders>
            <w:noWrap/>
            <w:vAlign w:val="bottom"/>
            <w:hideMark/>
          </w:tcPr>
          <w:p w14:paraId="54A992C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20.389.628</w:t>
            </w:r>
          </w:p>
        </w:tc>
        <w:tc>
          <w:tcPr>
            <w:tcW w:w="884" w:type="pct"/>
            <w:tcBorders>
              <w:top w:val="nil"/>
              <w:left w:val="nil"/>
              <w:bottom w:val="double" w:sz="6" w:space="0" w:color="000000"/>
              <w:right w:val="nil"/>
            </w:tcBorders>
            <w:noWrap/>
            <w:vAlign w:val="bottom"/>
            <w:hideMark/>
          </w:tcPr>
          <w:p w14:paraId="0870E60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17.424.453</w:t>
            </w:r>
          </w:p>
        </w:tc>
      </w:tr>
      <w:tr w:rsidR="00E90931" w:rsidRPr="00AE4E8D" w14:paraId="37F8756E" w14:textId="77777777" w:rsidTr="000400C8">
        <w:trPr>
          <w:trHeight w:val="270"/>
          <w:jc w:val="center"/>
        </w:trPr>
        <w:tc>
          <w:tcPr>
            <w:tcW w:w="2194" w:type="pct"/>
            <w:vAlign w:val="center"/>
          </w:tcPr>
          <w:p w14:paraId="7BEAF7B3" w14:textId="77777777" w:rsidR="00E90931" w:rsidRPr="00AE4E8D" w:rsidRDefault="00E90931" w:rsidP="00E90931">
            <w:pPr>
              <w:rPr>
                <w:rFonts w:ascii="Times New Roman" w:hAnsi="Times New Roman"/>
                <w:sz w:val="16"/>
                <w:szCs w:val="16"/>
                <w:lang w:val="es-ES"/>
              </w:rPr>
            </w:pPr>
          </w:p>
        </w:tc>
        <w:tc>
          <w:tcPr>
            <w:tcW w:w="153" w:type="pct"/>
            <w:noWrap/>
            <w:vAlign w:val="bottom"/>
          </w:tcPr>
          <w:p w14:paraId="002D8BD6" w14:textId="77777777" w:rsidR="00E90931" w:rsidRPr="00AE4E8D" w:rsidRDefault="00E90931" w:rsidP="00E90931">
            <w:pPr>
              <w:rPr>
                <w:rFonts w:ascii="Times New Roman" w:hAnsi="Times New Roman"/>
                <w:sz w:val="16"/>
                <w:szCs w:val="16"/>
                <w:lang w:val="es-ES"/>
              </w:rPr>
            </w:pPr>
          </w:p>
        </w:tc>
        <w:tc>
          <w:tcPr>
            <w:tcW w:w="885" w:type="pct"/>
            <w:noWrap/>
            <w:vAlign w:val="bottom"/>
          </w:tcPr>
          <w:p w14:paraId="6E5A4351"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17D56B92"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718C8C8A" w14:textId="77777777" w:rsidR="00E90931" w:rsidRPr="00AE4E8D" w:rsidRDefault="00E90931" w:rsidP="00E90931">
            <w:pPr>
              <w:rPr>
                <w:rFonts w:ascii="Times New Roman" w:hAnsi="Times New Roman"/>
                <w:sz w:val="16"/>
                <w:szCs w:val="16"/>
                <w:lang w:val="es-ES"/>
              </w:rPr>
            </w:pPr>
          </w:p>
        </w:tc>
      </w:tr>
      <w:tr w:rsidR="00E90931" w:rsidRPr="00AE4E8D" w14:paraId="44D56971" w14:textId="77777777" w:rsidTr="000400C8">
        <w:trPr>
          <w:trHeight w:val="510"/>
          <w:jc w:val="center"/>
        </w:trPr>
        <w:tc>
          <w:tcPr>
            <w:tcW w:w="2194" w:type="pct"/>
            <w:vAlign w:val="center"/>
            <w:hideMark/>
          </w:tcPr>
          <w:p w14:paraId="51BDDAFF"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Préstamos en fideicomiso pendiente de titulización</w:t>
            </w:r>
          </w:p>
        </w:tc>
        <w:tc>
          <w:tcPr>
            <w:tcW w:w="153" w:type="pct"/>
            <w:noWrap/>
            <w:vAlign w:val="bottom"/>
          </w:tcPr>
          <w:p w14:paraId="7B8740E6"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0ED1B6B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7.345</w:t>
            </w:r>
          </w:p>
        </w:tc>
        <w:tc>
          <w:tcPr>
            <w:tcW w:w="884" w:type="pct"/>
            <w:noWrap/>
            <w:vAlign w:val="bottom"/>
            <w:hideMark/>
          </w:tcPr>
          <w:p w14:paraId="1E5B210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9.174</w:t>
            </w:r>
          </w:p>
        </w:tc>
        <w:tc>
          <w:tcPr>
            <w:tcW w:w="884" w:type="pct"/>
            <w:noWrap/>
            <w:vAlign w:val="bottom"/>
            <w:hideMark/>
          </w:tcPr>
          <w:p w14:paraId="290F239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10.436</w:t>
            </w:r>
          </w:p>
        </w:tc>
      </w:tr>
      <w:tr w:rsidR="00E90931" w:rsidRPr="00AE4E8D" w14:paraId="7ACDF58B" w14:textId="77777777" w:rsidTr="000400C8">
        <w:trPr>
          <w:trHeight w:val="255"/>
          <w:jc w:val="center"/>
        </w:trPr>
        <w:tc>
          <w:tcPr>
            <w:tcW w:w="2194" w:type="pct"/>
            <w:vAlign w:val="center"/>
            <w:hideMark/>
          </w:tcPr>
          <w:p w14:paraId="4A3AEB1E"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Leasing</w:t>
            </w:r>
          </w:p>
        </w:tc>
        <w:tc>
          <w:tcPr>
            <w:tcW w:w="153" w:type="pct"/>
            <w:noWrap/>
            <w:vAlign w:val="bottom"/>
          </w:tcPr>
          <w:p w14:paraId="515ABA49"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20A95AF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155.775</w:t>
            </w:r>
          </w:p>
        </w:tc>
        <w:tc>
          <w:tcPr>
            <w:tcW w:w="884" w:type="pct"/>
            <w:noWrap/>
            <w:vAlign w:val="bottom"/>
            <w:hideMark/>
          </w:tcPr>
          <w:p w14:paraId="1C12698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129.179</w:t>
            </w:r>
          </w:p>
        </w:tc>
        <w:tc>
          <w:tcPr>
            <w:tcW w:w="884" w:type="pct"/>
            <w:noWrap/>
            <w:vAlign w:val="bottom"/>
            <w:hideMark/>
          </w:tcPr>
          <w:p w14:paraId="0968213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106.740</w:t>
            </w:r>
          </w:p>
        </w:tc>
      </w:tr>
      <w:tr w:rsidR="00E90931" w:rsidRPr="00AE4E8D" w14:paraId="3F4AE091" w14:textId="77777777" w:rsidTr="000400C8">
        <w:trPr>
          <w:trHeight w:val="255"/>
          <w:jc w:val="center"/>
        </w:trPr>
        <w:tc>
          <w:tcPr>
            <w:tcW w:w="2194" w:type="pct"/>
            <w:vAlign w:val="center"/>
            <w:hideMark/>
          </w:tcPr>
          <w:p w14:paraId="4A51BDCC"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Intereses devengados a cobrar</w:t>
            </w:r>
          </w:p>
        </w:tc>
        <w:tc>
          <w:tcPr>
            <w:tcW w:w="153" w:type="pct"/>
            <w:noWrap/>
            <w:vAlign w:val="bottom"/>
          </w:tcPr>
          <w:p w14:paraId="3CEB0EF4"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20A98A4C"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6.303</w:t>
            </w:r>
          </w:p>
        </w:tc>
        <w:tc>
          <w:tcPr>
            <w:tcW w:w="884" w:type="pct"/>
            <w:noWrap/>
            <w:vAlign w:val="bottom"/>
            <w:hideMark/>
          </w:tcPr>
          <w:p w14:paraId="232B4F6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5.892</w:t>
            </w:r>
          </w:p>
        </w:tc>
        <w:tc>
          <w:tcPr>
            <w:tcW w:w="884" w:type="pct"/>
            <w:noWrap/>
            <w:vAlign w:val="bottom"/>
            <w:hideMark/>
          </w:tcPr>
          <w:p w14:paraId="4F926C2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4.561</w:t>
            </w:r>
          </w:p>
        </w:tc>
      </w:tr>
      <w:tr w:rsidR="00E90931" w:rsidRPr="00AE4E8D" w14:paraId="632DBB03" w14:textId="77777777" w:rsidTr="000400C8">
        <w:trPr>
          <w:trHeight w:val="255"/>
          <w:jc w:val="center"/>
        </w:trPr>
        <w:tc>
          <w:tcPr>
            <w:tcW w:w="2194" w:type="pct"/>
            <w:vAlign w:val="center"/>
            <w:hideMark/>
          </w:tcPr>
          <w:p w14:paraId="3695E575"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Otros</w:t>
            </w:r>
          </w:p>
        </w:tc>
        <w:tc>
          <w:tcPr>
            <w:tcW w:w="153" w:type="pct"/>
            <w:noWrap/>
            <w:vAlign w:val="bottom"/>
          </w:tcPr>
          <w:p w14:paraId="2F90779F" w14:textId="77777777" w:rsidR="00E90931" w:rsidRPr="00AE4E8D" w:rsidRDefault="00E90931" w:rsidP="00E90931">
            <w:pPr>
              <w:rPr>
                <w:rFonts w:ascii="Times New Roman" w:hAnsi="Times New Roman"/>
                <w:sz w:val="16"/>
                <w:szCs w:val="16"/>
                <w:lang w:val="es-ES"/>
              </w:rPr>
            </w:pPr>
          </w:p>
        </w:tc>
        <w:tc>
          <w:tcPr>
            <w:tcW w:w="885" w:type="pct"/>
            <w:noWrap/>
            <w:vAlign w:val="bottom"/>
          </w:tcPr>
          <w:p w14:paraId="5449D87E"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3003296C" w14:textId="77777777" w:rsidR="00E90931" w:rsidRPr="00AE4E8D" w:rsidRDefault="00E90931" w:rsidP="00E90931">
            <w:pPr>
              <w:rPr>
                <w:rFonts w:ascii="Times New Roman" w:hAnsi="Times New Roman"/>
                <w:sz w:val="16"/>
                <w:szCs w:val="16"/>
                <w:lang w:val="es-ES"/>
              </w:rPr>
            </w:pPr>
          </w:p>
        </w:tc>
        <w:tc>
          <w:tcPr>
            <w:tcW w:w="884" w:type="pct"/>
            <w:noWrap/>
            <w:vAlign w:val="bottom"/>
          </w:tcPr>
          <w:p w14:paraId="0458F14D" w14:textId="77777777" w:rsidR="00E90931" w:rsidRPr="00AE4E8D" w:rsidRDefault="00E90931" w:rsidP="00E90931">
            <w:pPr>
              <w:rPr>
                <w:rFonts w:ascii="Times New Roman" w:hAnsi="Times New Roman"/>
                <w:sz w:val="16"/>
                <w:szCs w:val="16"/>
                <w:lang w:val="es-ES"/>
              </w:rPr>
            </w:pPr>
          </w:p>
        </w:tc>
      </w:tr>
      <w:tr w:rsidR="00E90931" w:rsidRPr="00AE4E8D" w14:paraId="5A21EDEF" w14:textId="77777777" w:rsidTr="000400C8">
        <w:trPr>
          <w:trHeight w:val="510"/>
          <w:jc w:val="center"/>
        </w:trPr>
        <w:tc>
          <w:tcPr>
            <w:tcW w:w="2194" w:type="pct"/>
            <w:vAlign w:val="center"/>
            <w:hideMark/>
          </w:tcPr>
          <w:p w14:paraId="6C6C4A17"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Previsión por riesgo incob. préstamos</w:t>
            </w:r>
          </w:p>
        </w:tc>
        <w:tc>
          <w:tcPr>
            <w:tcW w:w="153" w:type="pct"/>
            <w:noWrap/>
            <w:vAlign w:val="bottom"/>
          </w:tcPr>
          <w:p w14:paraId="116332B2" w14:textId="77777777" w:rsidR="00E90931" w:rsidRPr="00AE4E8D" w:rsidRDefault="00E90931" w:rsidP="00E90931">
            <w:pPr>
              <w:rPr>
                <w:rFonts w:ascii="Times New Roman" w:hAnsi="Times New Roman"/>
                <w:sz w:val="16"/>
                <w:szCs w:val="16"/>
                <w:lang w:val="es-ES"/>
              </w:rPr>
            </w:pPr>
          </w:p>
        </w:tc>
        <w:tc>
          <w:tcPr>
            <w:tcW w:w="885" w:type="pct"/>
            <w:noWrap/>
            <w:vAlign w:val="bottom"/>
            <w:hideMark/>
          </w:tcPr>
          <w:p w14:paraId="259C7E27"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(2.922)</w:t>
            </w:r>
          </w:p>
        </w:tc>
        <w:tc>
          <w:tcPr>
            <w:tcW w:w="884" w:type="pct"/>
            <w:noWrap/>
            <w:vAlign w:val="bottom"/>
            <w:hideMark/>
          </w:tcPr>
          <w:p w14:paraId="7FA06D70"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(3.210)</w:t>
            </w:r>
          </w:p>
        </w:tc>
        <w:tc>
          <w:tcPr>
            <w:tcW w:w="884" w:type="pct"/>
            <w:noWrap/>
            <w:vAlign w:val="bottom"/>
            <w:hideMark/>
          </w:tcPr>
          <w:p w14:paraId="489368A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(3.416)</w:t>
            </w:r>
          </w:p>
        </w:tc>
      </w:tr>
      <w:tr w:rsidR="00E90931" w:rsidRPr="00AE4E8D" w14:paraId="1DD41C58" w14:textId="77777777" w:rsidTr="000400C8">
        <w:trPr>
          <w:trHeight w:val="270"/>
          <w:jc w:val="center"/>
        </w:trPr>
        <w:tc>
          <w:tcPr>
            <w:tcW w:w="2194" w:type="pct"/>
            <w:vAlign w:val="center"/>
            <w:hideMark/>
          </w:tcPr>
          <w:p w14:paraId="62B1D6EB"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Total Préstamos</w:t>
            </w:r>
          </w:p>
        </w:tc>
        <w:tc>
          <w:tcPr>
            <w:tcW w:w="153" w:type="pct"/>
            <w:noWrap/>
            <w:vAlign w:val="bottom"/>
          </w:tcPr>
          <w:p w14:paraId="5B8EE131" w14:textId="77777777" w:rsidR="00E90931" w:rsidRPr="00AE4E8D" w:rsidRDefault="00E90931" w:rsidP="00E90931">
            <w:pPr>
              <w:rPr>
                <w:rFonts w:ascii="Times New Roman" w:hAnsi="Times New Roman"/>
                <w:sz w:val="16"/>
                <w:szCs w:val="16"/>
                <w:lang w:val="es-ES"/>
              </w:rPr>
            </w:pPr>
          </w:p>
        </w:tc>
        <w:tc>
          <w:tcPr>
            <w:tcW w:w="885" w:type="pct"/>
            <w:tcBorders>
              <w:top w:val="single" w:sz="4" w:space="0" w:color="auto"/>
              <w:left w:val="nil"/>
              <w:bottom w:val="double" w:sz="6" w:space="0" w:color="auto"/>
              <w:right w:val="nil"/>
            </w:tcBorders>
            <w:noWrap/>
            <w:vAlign w:val="bottom"/>
            <w:hideMark/>
          </w:tcPr>
          <w:p w14:paraId="1361FD41"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27.442.501</w:t>
            </w:r>
          </w:p>
        </w:tc>
        <w:tc>
          <w:tcPr>
            <w:tcW w:w="884" w:type="pct"/>
            <w:tcBorders>
              <w:top w:val="single" w:sz="4" w:space="0" w:color="auto"/>
              <w:left w:val="nil"/>
              <w:bottom w:val="double" w:sz="6" w:space="0" w:color="auto"/>
              <w:right w:val="nil"/>
            </w:tcBorders>
            <w:noWrap/>
            <w:vAlign w:val="bottom"/>
            <w:hideMark/>
          </w:tcPr>
          <w:p w14:paraId="313D6208"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20.530.663</w:t>
            </w:r>
          </w:p>
        </w:tc>
        <w:tc>
          <w:tcPr>
            <w:tcW w:w="884" w:type="pct"/>
            <w:tcBorders>
              <w:top w:val="single" w:sz="4" w:space="0" w:color="auto"/>
              <w:left w:val="nil"/>
              <w:bottom w:val="double" w:sz="6" w:space="0" w:color="auto"/>
              <w:right w:val="nil"/>
            </w:tcBorders>
            <w:noWrap/>
            <w:vAlign w:val="bottom"/>
            <w:hideMark/>
          </w:tcPr>
          <w:p w14:paraId="1AE6A852" w14:textId="77777777" w:rsidR="00E90931" w:rsidRPr="00AE4E8D" w:rsidRDefault="00E90931"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17.542.774</w:t>
            </w:r>
          </w:p>
        </w:tc>
      </w:tr>
    </w:tbl>
    <w:p w14:paraId="6D502B8A" w14:textId="77777777" w:rsidR="00E90931" w:rsidRPr="00AE4E8D" w:rsidRDefault="00E90931" w:rsidP="00091EF5">
      <w:pPr>
        <w:pStyle w:val="BHTexto"/>
      </w:pPr>
      <w:r w:rsidRPr="00AE4E8D">
        <w:t>Las categorías de préstamos son las siguientes:</w:t>
      </w:r>
    </w:p>
    <w:p w14:paraId="37A34997" w14:textId="77777777" w:rsidR="00342CC9" w:rsidRPr="00AE4E8D" w:rsidRDefault="00E90931" w:rsidP="00091EF5">
      <w:pPr>
        <w:pStyle w:val="BHTexto"/>
      </w:pPr>
      <w:r w:rsidRPr="00AE4E8D">
        <w:rPr>
          <w:i/>
        </w:rPr>
        <w:t xml:space="preserve">Préstamos Hipotecarios. </w:t>
      </w:r>
      <w:r w:rsidR="00342CC9" w:rsidRPr="00AE4E8D">
        <w:t>Ofrecemos una línea de préstamos hipotecarios ajustable por UVAs</w:t>
      </w:r>
      <w:r w:rsidR="008B50BC" w:rsidRPr="00AE4E8D">
        <w:rPr>
          <w:lang w:val="es-AR"/>
        </w:rPr>
        <w:t>.</w:t>
      </w:r>
      <w:r w:rsidR="00342CC9" w:rsidRPr="00AE4E8D">
        <w:t xml:space="preserve"> </w:t>
      </w:r>
      <w:r w:rsidR="008B50BC" w:rsidRPr="00AE4E8D">
        <w:t>Como condición general, ofrecemos préstamos hipotecarios en una cantidad de hasta el 75% del valor de la propiedad cuando la propiedad se usará como vivienda principal. Cuando las propiedades se adquieren con fines de construcción, generalmente financiamos hasta el 75% del valor de la propiedad</w:t>
      </w:r>
      <w:r w:rsidR="00342CC9" w:rsidRPr="00AE4E8D">
        <w:t>. El monto máximo de préstamo es hasta Ps.</w:t>
      </w:r>
      <w:r w:rsidR="008B50BC" w:rsidRPr="00AE4E8D">
        <w:rPr>
          <w:lang w:val="es-AR"/>
        </w:rPr>
        <w:t>5</w:t>
      </w:r>
      <w:r w:rsidR="00342CC9" w:rsidRPr="00AE4E8D">
        <w:t xml:space="preserve">.000.000. La cuota del préstamo nunca podrá superar el 30% del ingreso del grupo familiar, entendiendo por grupo a cónyuges, concubinos y convivientes. Contamos con un sistema de precalificación que les permite a los clientes conocer y enterarse al momento de asesoramiento el monto máximo al cual podrá acceder en caso de cumplir todos los requisitos personales, análisis crediticio del cliente y del inmueble que será objeto de garantía. </w:t>
      </w:r>
    </w:p>
    <w:p w14:paraId="0E4AF475" w14:textId="77777777" w:rsidR="00E90931" w:rsidRPr="00AE4E8D" w:rsidRDefault="00E90931" w:rsidP="00091EF5">
      <w:pPr>
        <w:pStyle w:val="BHTexto"/>
        <w:rPr>
          <w:i/>
        </w:rPr>
      </w:pPr>
      <w:r w:rsidRPr="00AE4E8D">
        <w:rPr>
          <w:i/>
        </w:rPr>
        <w:t>Préstamos Personales.</w:t>
      </w:r>
      <w:r w:rsidRPr="00AE4E8D">
        <w:t xml:space="preserve"> Los préstamos personales son préstamos generalmente denominados en Pesos otorgados a personas humanas, a tasa fija por hasta </w:t>
      </w:r>
      <w:r w:rsidR="00C74907" w:rsidRPr="00AE4E8D">
        <w:t>8</w:t>
      </w:r>
      <w:r w:rsidRPr="00AE4E8D">
        <w:t>0 meses y por un monto máximo no superior al menor entre (i) equivalente a los ingresos de ocho meses del solicitante o (ii) Ps.</w:t>
      </w:r>
      <w:r w:rsidR="00C74907" w:rsidRPr="00AE4E8D">
        <w:t>5</w:t>
      </w:r>
      <w:r w:rsidRPr="00AE4E8D">
        <w:t>00.000.</w:t>
      </w:r>
    </w:p>
    <w:p w14:paraId="6C90F4BB" w14:textId="77777777" w:rsidR="00E90931" w:rsidRPr="00AE4E8D" w:rsidRDefault="00E90931" w:rsidP="00091EF5">
      <w:pPr>
        <w:pStyle w:val="BHTexto"/>
      </w:pPr>
      <w:r w:rsidRPr="00AE4E8D">
        <w:rPr>
          <w:i/>
        </w:rPr>
        <w:t xml:space="preserve">Tarjetas de Crédito. </w:t>
      </w:r>
      <w:r w:rsidRPr="00AE4E8D">
        <w:t>Las financiaciones por tarjetas de crédito son usualmente saldos por tarjetas de crédito Visa sujetas a interés. Los intereses se devengan diariamente sobre una base de 30 o 360 días. Los pagos de las financiaciones vencen en forma mensual. Hemos implementado una serie de medidas promocionales por plazos limitados y para ciertas líneas de negocios y productos, alianzas con diferentes minoristas reconocidos así como acuerdos de co-branding. Si bien tenemos flexibilidad para determinar la tasa de interés devengada por las financiaciones de tarjetas de crédito, la tasa no puede superar por más del 25% las tasas de interés promedio que la entidad ha aplicado durante el mes inmediato anterior, ponderadas por el monto correspondiente de préstamos personales no garantizados otorgados en el mismo período de acuerdo con las leyes argentinas aplicables.</w:t>
      </w:r>
    </w:p>
    <w:p w14:paraId="1009AE09" w14:textId="77777777" w:rsidR="00E90931" w:rsidRPr="00AE4E8D" w:rsidRDefault="00E90931" w:rsidP="00091EF5">
      <w:pPr>
        <w:pStyle w:val="BHTexto"/>
      </w:pPr>
      <w:r w:rsidRPr="00AE4E8D">
        <w:rPr>
          <w:i/>
        </w:rPr>
        <w:t>Sobregiros.</w:t>
      </w:r>
      <w:r w:rsidRPr="00AE4E8D">
        <w:t xml:space="preserve"> Los sobregiros son generalmente préstamos de consumo / comerciales operativos de corto plazo en virtud de los cuales nuestros clientes pueden retirar fondos en préstamo hasta ciertos límites crediticios.</w:t>
      </w:r>
    </w:p>
    <w:p w14:paraId="5E664BBC" w14:textId="77777777" w:rsidR="00E90931" w:rsidRPr="00AE4E8D" w:rsidRDefault="00E90931" w:rsidP="00091EF5">
      <w:pPr>
        <w:pStyle w:val="BHTexto"/>
      </w:pPr>
      <w:r w:rsidRPr="00AE4E8D">
        <w:rPr>
          <w:i/>
        </w:rPr>
        <w:lastRenderedPageBreak/>
        <w:t xml:space="preserve">Préstamos al sector público. </w:t>
      </w:r>
      <w:r w:rsidRPr="00AE4E8D">
        <w:t>Los préstamos al sector público, o préstamos al sector público no financiero, son préstamos generalmente denominados en Pesos que generalmente consisten de préstamos otorgados a los gobiernos nacional, provinciales y municipales (incluyendo los ministerios, dependencias, agencias y oficinas y departamentos gubernamentales) y al sector público no financiero, que está compuesto principalmente por compañías del sector público. Los préstamos al sector público se otorgan comúnmente con una garantía de flujos de fondos, por un plazo de hasta 36 meses, a una tasa variable.</w:t>
      </w:r>
    </w:p>
    <w:p w14:paraId="15745B8B" w14:textId="77777777" w:rsidR="00E90931" w:rsidRPr="00AE4E8D" w:rsidRDefault="00E90931" w:rsidP="00091EF5">
      <w:pPr>
        <w:pStyle w:val="BH2Izquierda"/>
        <w:keepNext w:val="0"/>
        <w:widowControl w:val="0"/>
        <w:rPr>
          <w:lang w:val="es-ES"/>
        </w:rPr>
      </w:pPr>
      <w:bookmarkStart w:id="326" w:name="_Toc421201367"/>
      <w:bookmarkStart w:id="327" w:name="_Toc495972996"/>
      <w:bookmarkStart w:id="328" w:name="_Toc495399903"/>
      <w:r w:rsidRPr="00AE4E8D">
        <w:rPr>
          <w:lang w:val="es-ES"/>
        </w:rPr>
        <w:t>Garantías</w:t>
      </w:r>
      <w:bookmarkEnd w:id="326"/>
      <w:bookmarkEnd w:id="327"/>
      <w:bookmarkEnd w:id="328"/>
    </w:p>
    <w:p w14:paraId="2BE89AB8" w14:textId="77777777" w:rsidR="00E90931" w:rsidRPr="00AE4E8D" w:rsidRDefault="00E90931" w:rsidP="00091EF5">
      <w:pPr>
        <w:pStyle w:val="BHTexto"/>
        <w:widowControl w:val="0"/>
      </w:pPr>
      <w:r w:rsidRPr="00AE4E8D">
        <w:t>El siguiente cuadro clasifica nuestra cartera de préstamos por tipo de garantía en términos reales:</w:t>
      </w:r>
    </w:p>
    <w:tbl>
      <w:tblPr>
        <w:tblW w:w="5000" w:type="pct"/>
        <w:jc w:val="center"/>
        <w:tblLook w:val="00A0" w:firstRow="1" w:lastRow="0" w:firstColumn="1" w:lastColumn="0" w:noHBand="0" w:noVBand="0"/>
      </w:tblPr>
      <w:tblGrid>
        <w:gridCol w:w="2070"/>
        <w:gridCol w:w="1033"/>
        <w:gridCol w:w="1033"/>
        <w:gridCol w:w="1012"/>
        <w:gridCol w:w="1033"/>
        <w:gridCol w:w="1011"/>
        <w:gridCol w:w="1033"/>
        <w:gridCol w:w="1012"/>
      </w:tblGrid>
      <w:tr w:rsidR="00E90931" w:rsidRPr="00AE4E8D" w14:paraId="0CFFCF70" w14:textId="77777777" w:rsidTr="000400C8">
        <w:trPr>
          <w:trHeight w:val="270"/>
          <w:jc w:val="center"/>
        </w:trPr>
        <w:tc>
          <w:tcPr>
            <w:tcW w:w="1120" w:type="pct"/>
            <w:noWrap/>
            <w:vAlign w:val="bottom"/>
          </w:tcPr>
          <w:p w14:paraId="158459AA" w14:textId="77777777" w:rsidR="00E90931" w:rsidRPr="00AE4E8D" w:rsidRDefault="00E90931" w:rsidP="00091EF5">
            <w:pPr>
              <w:widowControl w:val="0"/>
              <w:rPr>
                <w:rFonts w:ascii="Times New Roman" w:hAnsi="Times New Roman"/>
                <w:sz w:val="16"/>
                <w:szCs w:val="16"/>
                <w:lang w:val="es-ES"/>
              </w:rPr>
            </w:pPr>
          </w:p>
        </w:tc>
        <w:tc>
          <w:tcPr>
            <w:tcW w:w="559" w:type="pct"/>
            <w:noWrap/>
            <w:vAlign w:val="bottom"/>
          </w:tcPr>
          <w:p w14:paraId="117099EA" w14:textId="77777777" w:rsidR="00E90931" w:rsidRPr="00AE4E8D" w:rsidRDefault="00E90931" w:rsidP="00091EF5">
            <w:pPr>
              <w:widowControl w:val="0"/>
              <w:rPr>
                <w:rFonts w:ascii="Times New Roman" w:hAnsi="Times New Roman"/>
                <w:sz w:val="16"/>
                <w:szCs w:val="16"/>
                <w:lang w:val="es-ES"/>
              </w:rPr>
            </w:pPr>
          </w:p>
        </w:tc>
        <w:tc>
          <w:tcPr>
            <w:tcW w:w="3320" w:type="pct"/>
            <w:gridSpan w:val="6"/>
            <w:tcBorders>
              <w:top w:val="nil"/>
              <w:left w:val="nil"/>
              <w:bottom w:val="single" w:sz="4" w:space="0" w:color="auto"/>
              <w:right w:val="nil"/>
            </w:tcBorders>
            <w:noWrap/>
            <w:vAlign w:val="bottom"/>
            <w:hideMark/>
          </w:tcPr>
          <w:p w14:paraId="27CD609B"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Al 31 de diciembre de</w:t>
            </w:r>
          </w:p>
        </w:tc>
      </w:tr>
      <w:tr w:rsidR="00E90931" w:rsidRPr="00AE4E8D" w14:paraId="7136F445" w14:textId="77777777" w:rsidTr="000400C8">
        <w:trPr>
          <w:trHeight w:val="270"/>
          <w:jc w:val="center"/>
        </w:trPr>
        <w:tc>
          <w:tcPr>
            <w:tcW w:w="1120" w:type="pct"/>
            <w:noWrap/>
            <w:vAlign w:val="bottom"/>
          </w:tcPr>
          <w:p w14:paraId="4CC5A6D9" w14:textId="77777777" w:rsidR="00E90931" w:rsidRPr="00AE4E8D" w:rsidRDefault="00E90931" w:rsidP="00091EF5">
            <w:pPr>
              <w:widowControl w:val="0"/>
              <w:rPr>
                <w:rFonts w:ascii="Times New Roman" w:hAnsi="Times New Roman"/>
                <w:sz w:val="16"/>
                <w:szCs w:val="16"/>
                <w:lang w:val="es-ES"/>
              </w:rPr>
            </w:pPr>
          </w:p>
        </w:tc>
        <w:tc>
          <w:tcPr>
            <w:tcW w:w="559" w:type="pct"/>
            <w:noWrap/>
            <w:vAlign w:val="bottom"/>
          </w:tcPr>
          <w:p w14:paraId="559E9E49" w14:textId="77777777" w:rsidR="00E90931" w:rsidRPr="00AE4E8D" w:rsidRDefault="00E90931" w:rsidP="00091EF5">
            <w:pPr>
              <w:widowControl w:val="0"/>
              <w:rPr>
                <w:rFonts w:ascii="Times New Roman" w:hAnsi="Times New Roman"/>
                <w:sz w:val="16"/>
                <w:szCs w:val="16"/>
                <w:lang w:val="es-ES"/>
              </w:rPr>
            </w:pPr>
          </w:p>
        </w:tc>
        <w:tc>
          <w:tcPr>
            <w:tcW w:w="1107" w:type="pct"/>
            <w:gridSpan w:val="2"/>
            <w:tcBorders>
              <w:top w:val="single" w:sz="4" w:space="0" w:color="auto"/>
              <w:left w:val="nil"/>
              <w:bottom w:val="single" w:sz="4" w:space="0" w:color="auto"/>
              <w:right w:val="nil"/>
            </w:tcBorders>
            <w:noWrap/>
            <w:vAlign w:val="bottom"/>
            <w:hideMark/>
          </w:tcPr>
          <w:p w14:paraId="412B2CFD"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2016</w:t>
            </w:r>
          </w:p>
        </w:tc>
        <w:tc>
          <w:tcPr>
            <w:tcW w:w="1106" w:type="pct"/>
            <w:gridSpan w:val="2"/>
            <w:tcBorders>
              <w:top w:val="single" w:sz="4" w:space="0" w:color="auto"/>
              <w:left w:val="nil"/>
              <w:bottom w:val="single" w:sz="4" w:space="0" w:color="auto"/>
              <w:right w:val="nil"/>
            </w:tcBorders>
            <w:noWrap/>
            <w:vAlign w:val="bottom"/>
            <w:hideMark/>
          </w:tcPr>
          <w:p w14:paraId="3069B0EA"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lang w:val="es-ES"/>
              </w:rPr>
              <w:t>2015</w:t>
            </w:r>
          </w:p>
        </w:tc>
        <w:tc>
          <w:tcPr>
            <w:tcW w:w="1107" w:type="pct"/>
            <w:gridSpan w:val="2"/>
            <w:tcBorders>
              <w:top w:val="single" w:sz="4" w:space="0" w:color="auto"/>
              <w:left w:val="nil"/>
              <w:bottom w:val="single" w:sz="4" w:space="0" w:color="auto"/>
              <w:right w:val="nil"/>
            </w:tcBorders>
            <w:noWrap/>
            <w:vAlign w:val="bottom"/>
            <w:hideMark/>
          </w:tcPr>
          <w:p w14:paraId="61B4D407"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2014</w:t>
            </w:r>
          </w:p>
        </w:tc>
      </w:tr>
      <w:tr w:rsidR="00E90931" w:rsidRPr="00AE4E8D" w14:paraId="58E4967F" w14:textId="77777777" w:rsidTr="000400C8">
        <w:trPr>
          <w:trHeight w:val="765"/>
          <w:jc w:val="center"/>
        </w:trPr>
        <w:tc>
          <w:tcPr>
            <w:tcW w:w="1120" w:type="pct"/>
            <w:noWrap/>
            <w:vAlign w:val="bottom"/>
          </w:tcPr>
          <w:p w14:paraId="6445F233" w14:textId="77777777" w:rsidR="00E90931" w:rsidRPr="00AE4E8D" w:rsidRDefault="00E90931" w:rsidP="00091EF5">
            <w:pPr>
              <w:widowControl w:val="0"/>
              <w:rPr>
                <w:rFonts w:ascii="Times New Roman" w:hAnsi="Times New Roman"/>
                <w:sz w:val="16"/>
                <w:szCs w:val="16"/>
                <w:lang w:val="es-ES"/>
              </w:rPr>
            </w:pPr>
          </w:p>
        </w:tc>
        <w:tc>
          <w:tcPr>
            <w:tcW w:w="559" w:type="pct"/>
            <w:noWrap/>
            <w:vAlign w:val="bottom"/>
          </w:tcPr>
          <w:p w14:paraId="6A698789" w14:textId="77777777" w:rsidR="00E90931" w:rsidRPr="00AE4E8D" w:rsidRDefault="00E90931" w:rsidP="00091EF5">
            <w:pPr>
              <w:widowControl w:val="0"/>
              <w:rPr>
                <w:rFonts w:ascii="Times New Roman" w:hAnsi="Times New Roman"/>
                <w:sz w:val="16"/>
                <w:szCs w:val="16"/>
                <w:lang w:val="es-ES"/>
              </w:rPr>
            </w:pPr>
          </w:p>
        </w:tc>
        <w:tc>
          <w:tcPr>
            <w:tcW w:w="559" w:type="pct"/>
            <w:tcBorders>
              <w:top w:val="nil"/>
              <w:left w:val="nil"/>
              <w:bottom w:val="single" w:sz="4" w:space="0" w:color="auto"/>
              <w:right w:val="nil"/>
            </w:tcBorders>
            <w:vAlign w:val="center"/>
            <w:hideMark/>
          </w:tcPr>
          <w:p w14:paraId="6D817A05"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548" w:type="pct"/>
            <w:tcBorders>
              <w:top w:val="nil"/>
              <w:left w:val="nil"/>
              <w:bottom w:val="single" w:sz="4" w:space="0" w:color="auto"/>
              <w:right w:val="nil"/>
            </w:tcBorders>
            <w:vAlign w:val="center"/>
            <w:hideMark/>
          </w:tcPr>
          <w:p w14:paraId="1B32F732"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c>
          <w:tcPr>
            <w:tcW w:w="559" w:type="pct"/>
            <w:tcBorders>
              <w:top w:val="nil"/>
              <w:left w:val="nil"/>
              <w:bottom w:val="single" w:sz="4" w:space="0" w:color="auto"/>
              <w:right w:val="nil"/>
            </w:tcBorders>
            <w:vAlign w:val="center"/>
            <w:hideMark/>
          </w:tcPr>
          <w:p w14:paraId="0D4209DE"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547" w:type="pct"/>
            <w:tcBorders>
              <w:top w:val="nil"/>
              <w:left w:val="nil"/>
              <w:bottom w:val="single" w:sz="4" w:space="0" w:color="auto"/>
              <w:right w:val="nil"/>
            </w:tcBorders>
            <w:vAlign w:val="center"/>
            <w:hideMark/>
          </w:tcPr>
          <w:p w14:paraId="39812ED0"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c>
          <w:tcPr>
            <w:tcW w:w="559" w:type="pct"/>
            <w:tcBorders>
              <w:top w:val="nil"/>
              <w:left w:val="nil"/>
              <w:bottom w:val="single" w:sz="4" w:space="0" w:color="auto"/>
              <w:right w:val="nil"/>
            </w:tcBorders>
            <w:vAlign w:val="center"/>
            <w:hideMark/>
          </w:tcPr>
          <w:p w14:paraId="2BEDBF00"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548" w:type="pct"/>
            <w:tcBorders>
              <w:top w:val="nil"/>
              <w:left w:val="nil"/>
              <w:bottom w:val="single" w:sz="4" w:space="0" w:color="auto"/>
              <w:right w:val="nil"/>
            </w:tcBorders>
            <w:vAlign w:val="center"/>
            <w:hideMark/>
          </w:tcPr>
          <w:p w14:paraId="5AC529E1"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r>
      <w:tr w:rsidR="00E90931" w:rsidRPr="00AE4E8D" w14:paraId="22B50CB8" w14:textId="77777777" w:rsidTr="000400C8">
        <w:trPr>
          <w:trHeight w:val="255"/>
          <w:jc w:val="center"/>
        </w:trPr>
        <w:tc>
          <w:tcPr>
            <w:tcW w:w="1120" w:type="pct"/>
            <w:noWrap/>
            <w:vAlign w:val="bottom"/>
          </w:tcPr>
          <w:p w14:paraId="546E6658" w14:textId="77777777" w:rsidR="00E90931" w:rsidRPr="00AE4E8D" w:rsidRDefault="00E90931" w:rsidP="00091EF5">
            <w:pPr>
              <w:widowControl w:val="0"/>
              <w:rPr>
                <w:rFonts w:ascii="Times New Roman" w:hAnsi="Times New Roman"/>
                <w:sz w:val="16"/>
                <w:szCs w:val="16"/>
                <w:lang w:val="es-ES"/>
              </w:rPr>
            </w:pPr>
          </w:p>
        </w:tc>
        <w:tc>
          <w:tcPr>
            <w:tcW w:w="559" w:type="pct"/>
            <w:noWrap/>
            <w:vAlign w:val="bottom"/>
          </w:tcPr>
          <w:p w14:paraId="2A592080" w14:textId="77777777" w:rsidR="00E90931" w:rsidRPr="00AE4E8D" w:rsidRDefault="00E90931" w:rsidP="00091EF5">
            <w:pPr>
              <w:widowControl w:val="0"/>
              <w:rPr>
                <w:rFonts w:ascii="Times New Roman" w:hAnsi="Times New Roman"/>
                <w:sz w:val="16"/>
                <w:szCs w:val="16"/>
                <w:lang w:val="es-ES"/>
              </w:rPr>
            </w:pPr>
          </w:p>
        </w:tc>
        <w:tc>
          <w:tcPr>
            <w:tcW w:w="3320" w:type="pct"/>
            <w:gridSpan w:val="6"/>
            <w:noWrap/>
            <w:vAlign w:val="bottom"/>
            <w:hideMark/>
          </w:tcPr>
          <w:p w14:paraId="3840A2DF" w14:textId="77777777" w:rsidR="00E90931" w:rsidRPr="00AE4E8D" w:rsidRDefault="00E90931" w:rsidP="00091EF5">
            <w:pPr>
              <w:widowControl w:val="0"/>
              <w:jc w:val="center"/>
              <w:rPr>
                <w:rFonts w:ascii="Times New Roman" w:hAnsi="Times New Roman"/>
                <w:sz w:val="16"/>
                <w:szCs w:val="16"/>
                <w:lang w:val="es-ES"/>
              </w:rPr>
            </w:pPr>
            <w:r w:rsidRPr="00AE4E8D">
              <w:rPr>
                <w:rFonts w:ascii="Times New Roman" w:hAnsi="Times New Roman"/>
                <w:sz w:val="16"/>
                <w:szCs w:val="16"/>
                <w:lang w:val="es-ES"/>
              </w:rPr>
              <w:t>(en miles de Pesos, salvo porcentajes)</w:t>
            </w:r>
          </w:p>
        </w:tc>
      </w:tr>
      <w:tr w:rsidR="00E90931" w:rsidRPr="00AE4E8D" w14:paraId="45F68A26" w14:textId="77777777" w:rsidTr="000400C8">
        <w:trPr>
          <w:trHeight w:val="255"/>
          <w:jc w:val="center"/>
        </w:trPr>
        <w:tc>
          <w:tcPr>
            <w:tcW w:w="1120" w:type="pct"/>
            <w:vAlign w:val="center"/>
            <w:hideMark/>
          </w:tcPr>
          <w:p w14:paraId="16B5C22B" w14:textId="77777777" w:rsidR="00E90931" w:rsidRPr="00AE4E8D" w:rsidRDefault="00E90931" w:rsidP="00091EF5">
            <w:pPr>
              <w:widowControl w:val="0"/>
              <w:rPr>
                <w:rFonts w:ascii="Times New Roman" w:hAnsi="Times New Roman"/>
                <w:sz w:val="16"/>
                <w:szCs w:val="16"/>
                <w:lang w:val="es-ES"/>
              </w:rPr>
            </w:pPr>
            <w:r w:rsidRPr="00AE4E8D">
              <w:rPr>
                <w:rFonts w:ascii="Times New Roman" w:hAnsi="Times New Roman"/>
                <w:sz w:val="16"/>
                <w:szCs w:val="16"/>
                <w:lang w:val="es-ES"/>
              </w:rPr>
              <w:t>Con garantías preferidas</w:t>
            </w:r>
          </w:p>
        </w:tc>
        <w:tc>
          <w:tcPr>
            <w:tcW w:w="559" w:type="pct"/>
            <w:noWrap/>
            <w:vAlign w:val="bottom"/>
          </w:tcPr>
          <w:p w14:paraId="55E69E7F" w14:textId="77777777" w:rsidR="00E90931" w:rsidRPr="00AE4E8D" w:rsidRDefault="00E90931" w:rsidP="00091EF5">
            <w:pPr>
              <w:widowControl w:val="0"/>
              <w:rPr>
                <w:rFonts w:ascii="Times New Roman" w:hAnsi="Times New Roman"/>
                <w:sz w:val="16"/>
                <w:szCs w:val="16"/>
                <w:lang w:val="es-ES"/>
              </w:rPr>
            </w:pPr>
          </w:p>
        </w:tc>
        <w:tc>
          <w:tcPr>
            <w:tcW w:w="559" w:type="pct"/>
            <w:noWrap/>
            <w:vAlign w:val="bottom"/>
            <w:hideMark/>
          </w:tcPr>
          <w:p w14:paraId="0B5B54CB"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2.969.395</w:t>
            </w:r>
          </w:p>
        </w:tc>
        <w:tc>
          <w:tcPr>
            <w:tcW w:w="548" w:type="pct"/>
            <w:noWrap/>
            <w:vAlign w:val="bottom"/>
            <w:hideMark/>
          </w:tcPr>
          <w:p w14:paraId="49D09D61"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10,6%</w:t>
            </w:r>
          </w:p>
        </w:tc>
        <w:tc>
          <w:tcPr>
            <w:tcW w:w="559" w:type="pct"/>
            <w:noWrap/>
            <w:vAlign w:val="bottom"/>
            <w:hideMark/>
          </w:tcPr>
          <w:p w14:paraId="63325D77"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2.704.950</w:t>
            </w:r>
          </w:p>
        </w:tc>
        <w:tc>
          <w:tcPr>
            <w:tcW w:w="547" w:type="pct"/>
            <w:noWrap/>
            <w:vAlign w:val="bottom"/>
            <w:hideMark/>
          </w:tcPr>
          <w:p w14:paraId="1E388629"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12,9%</w:t>
            </w:r>
          </w:p>
        </w:tc>
        <w:tc>
          <w:tcPr>
            <w:tcW w:w="559" w:type="pct"/>
            <w:noWrap/>
            <w:vAlign w:val="bottom"/>
            <w:hideMark/>
          </w:tcPr>
          <w:p w14:paraId="797F83E5"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2.378.327</w:t>
            </w:r>
          </w:p>
        </w:tc>
        <w:tc>
          <w:tcPr>
            <w:tcW w:w="548" w:type="pct"/>
            <w:noWrap/>
            <w:vAlign w:val="bottom"/>
            <w:hideMark/>
          </w:tcPr>
          <w:p w14:paraId="2BF3E074"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13,2%</w:t>
            </w:r>
          </w:p>
        </w:tc>
      </w:tr>
      <w:tr w:rsidR="00E90931" w:rsidRPr="00AE4E8D" w14:paraId="00DC2CD5" w14:textId="77777777" w:rsidTr="000400C8">
        <w:trPr>
          <w:trHeight w:val="255"/>
          <w:jc w:val="center"/>
        </w:trPr>
        <w:tc>
          <w:tcPr>
            <w:tcW w:w="1120" w:type="pct"/>
            <w:vAlign w:val="center"/>
            <w:hideMark/>
          </w:tcPr>
          <w:p w14:paraId="1E1E9CA3" w14:textId="77777777" w:rsidR="00E90931" w:rsidRPr="00AE4E8D" w:rsidRDefault="00E90931" w:rsidP="00091EF5">
            <w:pPr>
              <w:widowControl w:val="0"/>
              <w:rPr>
                <w:rFonts w:ascii="Times New Roman" w:hAnsi="Times New Roman"/>
                <w:sz w:val="16"/>
                <w:szCs w:val="16"/>
                <w:lang w:val="es-ES"/>
              </w:rPr>
            </w:pPr>
            <w:r w:rsidRPr="00AE4E8D">
              <w:rPr>
                <w:rFonts w:ascii="Times New Roman" w:hAnsi="Times New Roman"/>
                <w:sz w:val="16"/>
                <w:szCs w:val="16"/>
                <w:lang w:val="es-ES"/>
              </w:rPr>
              <w:t>Sin garantías</w:t>
            </w:r>
          </w:p>
        </w:tc>
        <w:tc>
          <w:tcPr>
            <w:tcW w:w="559" w:type="pct"/>
            <w:noWrap/>
            <w:vAlign w:val="bottom"/>
          </w:tcPr>
          <w:p w14:paraId="176BE1F9" w14:textId="77777777" w:rsidR="00E90931" w:rsidRPr="00AE4E8D" w:rsidRDefault="00E90931" w:rsidP="00091EF5">
            <w:pPr>
              <w:widowControl w:val="0"/>
              <w:rPr>
                <w:rFonts w:ascii="Times New Roman" w:hAnsi="Times New Roman"/>
                <w:sz w:val="16"/>
                <w:szCs w:val="16"/>
                <w:lang w:val="es-ES"/>
              </w:rPr>
            </w:pPr>
          </w:p>
        </w:tc>
        <w:tc>
          <w:tcPr>
            <w:tcW w:w="559" w:type="pct"/>
            <w:tcBorders>
              <w:top w:val="nil"/>
              <w:left w:val="nil"/>
              <w:bottom w:val="single" w:sz="4" w:space="0" w:color="auto"/>
              <w:right w:val="nil"/>
            </w:tcBorders>
            <w:noWrap/>
            <w:vAlign w:val="bottom"/>
            <w:hideMark/>
          </w:tcPr>
          <w:p w14:paraId="20C8CF3F" w14:textId="77777777" w:rsidR="00E90931" w:rsidRPr="00AE4E8D" w:rsidRDefault="00E90931" w:rsidP="00FF662D">
            <w:pPr>
              <w:widowControl w:val="0"/>
              <w:jc w:val="right"/>
              <w:rPr>
                <w:rFonts w:ascii="Times New Roman" w:hAnsi="Times New Roman"/>
                <w:sz w:val="16"/>
                <w:szCs w:val="16"/>
                <w:lang w:val="es-ES"/>
              </w:rPr>
            </w:pPr>
            <w:r w:rsidRPr="00AE4E8D">
              <w:rPr>
                <w:rFonts w:ascii="Times New Roman" w:hAnsi="Times New Roman"/>
                <w:sz w:val="16"/>
                <w:szCs w:val="16"/>
                <w:lang w:val="es-ES"/>
              </w:rPr>
              <w:t>25.152.</w:t>
            </w:r>
            <w:r w:rsidR="00B15C7E" w:rsidRPr="00AE4E8D">
              <w:rPr>
                <w:rFonts w:ascii="Times New Roman" w:hAnsi="Times New Roman"/>
                <w:sz w:val="16"/>
                <w:szCs w:val="16"/>
                <w:lang w:val="es-ES"/>
              </w:rPr>
              <w:t>168</w:t>
            </w:r>
          </w:p>
        </w:tc>
        <w:tc>
          <w:tcPr>
            <w:tcW w:w="548" w:type="pct"/>
            <w:tcBorders>
              <w:top w:val="nil"/>
              <w:left w:val="nil"/>
              <w:bottom w:val="single" w:sz="4" w:space="0" w:color="auto"/>
              <w:right w:val="nil"/>
            </w:tcBorders>
            <w:noWrap/>
            <w:vAlign w:val="bottom"/>
            <w:hideMark/>
          </w:tcPr>
          <w:p w14:paraId="52C369CB"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89,4%</w:t>
            </w:r>
          </w:p>
        </w:tc>
        <w:tc>
          <w:tcPr>
            <w:tcW w:w="559" w:type="pct"/>
            <w:tcBorders>
              <w:top w:val="nil"/>
              <w:left w:val="nil"/>
              <w:bottom w:val="single" w:sz="4" w:space="0" w:color="auto"/>
              <w:right w:val="nil"/>
            </w:tcBorders>
            <w:noWrap/>
            <w:vAlign w:val="bottom"/>
            <w:hideMark/>
          </w:tcPr>
          <w:p w14:paraId="2DBE7CA5"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18.280.674</w:t>
            </w:r>
          </w:p>
        </w:tc>
        <w:tc>
          <w:tcPr>
            <w:tcW w:w="547" w:type="pct"/>
            <w:tcBorders>
              <w:top w:val="nil"/>
              <w:left w:val="nil"/>
              <w:bottom w:val="single" w:sz="4" w:space="0" w:color="auto"/>
              <w:right w:val="nil"/>
            </w:tcBorders>
            <w:noWrap/>
            <w:vAlign w:val="bottom"/>
            <w:hideMark/>
          </w:tcPr>
          <w:p w14:paraId="7FC08EFE"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87,1%</w:t>
            </w:r>
          </w:p>
        </w:tc>
        <w:tc>
          <w:tcPr>
            <w:tcW w:w="559" w:type="pct"/>
            <w:tcBorders>
              <w:top w:val="nil"/>
              <w:left w:val="nil"/>
              <w:bottom w:val="single" w:sz="4" w:space="0" w:color="auto"/>
              <w:right w:val="nil"/>
            </w:tcBorders>
            <w:noWrap/>
            <w:vAlign w:val="bottom"/>
            <w:hideMark/>
          </w:tcPr>
          <w:p w14:paraId="193AAA4D"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15.575.003</w:t>
            </w:r>
          </w:p>
        </w:tc>
        <w:tc>
          <w:tcPr>
            <w:tcW w:w="548" w:type="pct"/>
            <w:tcBorders>
              <w:top w:val="nil"/>
              <w:left w:val="nil"/>
              <w:bottom w:val="single" w:sz="4" w:space="0" w:color="auto"/>
              <w:right w:val="nil"/>
            </w:tcBorders>
            <w:noWrap/>
            <w:vAlign w:val="bottom"/>
            <w:hideMark/>
          </w:tcPr>
          <w:p w14:paraId="7AA4018B" w14:textId="77777777" w:rsidR="00E90931" w:rsidRPr="00AE4E8D" w:rsidRDefault="00E90931" w:rsidP="00091EF5">
            <w:pPr>
              <w:widowControl w:val="0"/>
              <w:jc w:val="right"/>
              <w:rPr>
                <w:rFonts w:ascii="Times New Roman" w:hAnsi="Times New Roman"/>
                <w:sz w:val="16"/>
                <w:szCs w:val="16"/>
                <w:lang w:val="es-ES"/>
              </w:rPr>
            </w:pPr>
            <w:r w:rsidRPr="00AE4E8D">
              <w:rPr>
                <w:rFonts w:ascii="Times New Roman" w:hAnsi="Times New Roman"/>
                <w:sz w:val="16"/>
                <w:szCs w:val="16"/>
                <w:lang w:val="es-ES"/>
              </w:rPr>
              <w:t>86,8%</w:t>
            </w:r>
          </w:p>
        </w:tc>
      </w:tr>
      <w:tr w:rsidR="00E90931" w:rsidRPr="00AE4E8D" w14:paraId="7AA18DCB" w14:textId="77777777" w:rsidTr="000400C8">
        <w:trPr>
          <w:trHeight w:val="270"/>
          <w:jc w:val="center"/>
        </w:trPr>
        <w:tc>
          <w:tcPr>
            <w:tcW w:w="1120" w:type="pct"/>
            <w:vAlign w:val="center"/>
            <w:hideMark/>
          </w:tcPr>
          <w:p w14:paraId="19B09A42" w14:textId="77777777" w:rsidR="00E90931" w:rsidRPr="00AE4E8D" w:rsidRDefault="00E90931" w:rsidP="00091EF5">
            <w:pPr>
              <w:widowControl w:val="0"/>
              <w:rPr>
                <w:rFonts w:ascii="Times New Roman" w:hAnsi="Times New Roman"/>
                <w:b/>
                <w:bCs/>
                <w:sz w:val="16"/>
                <w:szCs w:val="16"/>
                <w:lang w:val="es-ES"/>
              </w:rPr>
            </w:pPr>
            <w:r w:rsidRPr="00AE4E8D">
              <w:rPr>
                <w:rFonts w:ascii="Times New Roman" w:hAnsi="Times New Roman"/>
                <w:b/>
                <w:bCs/>
                <w:sz w:val="16"/>
                <w:szCs w:val="16"/>
                <w:lang w:val="es-ES"/>
              </w:rPr>
              <w:t>Total Préstamos</w:t>
            </w:r>
          </w:p>
        </w:tc>
        <w:tc>
          <w:tcPr>
            <w:tcW w:w="559" w:type="pct"/>
            <w:noWrap/>
            <w:vAlign w:val="bottom"/>
          </w:tcPr>
          <w:p w14:paraId="271A9645" w14:textId="77777777" w:rsidR="00E90931" w:rsidRPr="00AE4E8D" w:rsidRDefault="00E90931" w:rsidP="00091EF5">
            <w:pPr>
              <w:widowControl w:val="0"/>
              <w:rPr>
                <w:rFonts w:ascii="Times New Roman" w:hAnsi="Times New Roman"/>
                <w:sz w:val="16"/>
                <w:szCs w:val="16"/>
                <w:lang w:val="es-ES"/>
              </w:rPr>
            </w:pPr>
          </w:p>
        </w:tc>
        <w:tc>
          <w:tcPr>
            <w:tcW w:w="559" w:type="pct"/>
            <w:noWrap/>
            <w:vAlign w:val="bottom"/>
            <w:hideMark/>
          </w:tcPr>
          <w:p w14:paraId="42038E33" w14:textId="77777777" w:rsidR="00E90931" w:rsidRPr="00AE4E8D" w:rsidRDefault="00E90931" w:rsidP="00091EF5">
            <w:pPr>
              <w:widowControl w:val="0"/>
              <w:jc w:val="right"/>
              <w:rPr>
                <w:rFonts w:ascii="Times New Roman" w:hAnsi="Times New Roman"/>
                <w:sz w:val="16"/>
                <w:lang w:val="es-ES"/>
              </w:rPr>
            </w:pPr>
            <w:r w:rsidRPr="00AE4E8D">
              <w:rPr>
                <w:rFonts w:ascii="Times New Roman" w:hAnsi="Times New Roman"/>
                <w:sz w:val="16"/>
                <w:szCs w:val="16"/>
                <w:lang w:val="es-ES"/>
              </w:rPr>
              <w:t>28.121.56</w:t>
            </w:r>
            <w:r w:rsidR="003E4335" w:rsidRPr="00AE4E8D">
              <w:rPr>
                <w:rFonts w:ascii="Times New Roman" w:hAnsi="Times New Roman"/>
                <w:sz w:val="16"/>
                <w:szCs w:val="16"/>
                <w:lang w:val="es-ES"/>
              </w:rPr>
              <w:t>3</w:t>
            </w:r>
          </w:p>
        </w:tc>
        <w:tc>
          <w:tcPr>
            <w:tcW w:w="548" w:type="pct"/>
            <w:noWrap/>
            <w:vAlign w:val="bottom"/>
            <w:hideMark/>
          </w:tcPr>
          <w:p w14:paraId="1D731468" w14:textId="77777777" w:rsidR="00E90931" w:rsidRPr="00AE4E8D" w:rsidRDefault="00E90931" w:rsidP="00091EF5">
            <w:pPr>
              <w:widowControl w:val="0"/>
              <w:jc w:val="right"/>
              <w:rPr>
                <w:rFonts w:ascii="Times New Roman" w:hAnsi="Times New Roman"/>
                <w:sz w:val="16"/>
                <w:lang w:val="es-ES"/>
              </w:rPr>
            </w:pPr>
            <w:r w:rsidRPr="00AE4E8D">
              <w:rPr>
                <w:rFonts w:ascii="Times New Roman" w:hAnsi="Times New Roman"/>
                <w:sz w:val="16"/>
                <w:lang w:val="es-ES"/>
              </w:rPr>
              <w:t>100,0%</w:t>
            </w:r>
          </w:p>
        </w:tc>
        <w:tc>
          <w:tcPr>
            <w:tcW w:w="559" w:type="pct"/>
            <w:noWrap/>
            <w:vAlign w:val="bottom"/>
            <w:hideMark/>
          </w:tcPr>
          <w:p w14:paraId="62E29BB7" w14:textId="77777777" w:rsidR="00E90931" w:rsidRPr="00AE4E8D" w:rsidRDefault="00E90931" w:rsidP="00091EF5">
            <w:pPr>
              <w:widowControl w:val="0"/>
              <w:jc w:val="right"/>
              <w:rPr>
                <w:rFonts w:ascii="Times New Roman" w:hAnsi="Times New Roman"/>
                <w:b/>
                <w:bCs/>
                <w:sz w:val="16"/>
                <w:szCs w:val="16"/>
                <w:lang w:val="es-ES"/>
              </w:rPr>
            </w:pPr>
            <w:r w:rsidRPr="00AE4E8D">
              <w:rPr>
                <w:rFonts w:ascii="Times New Roman" w:hAnsi="Times New Roman"/>
                <w:b/>
                <w:bCs/>
                <w:sz w:val="16"/>
                <w:szCs w:val="16"/>
                <w:lang w:val="es-ES"/>
              </w:rPr>
              <w:t>20.985.624</w:t>
            </w:r>
          </w:p>
        </w:tc>
        <w:tc>
          <w:tcPr>
            <w:tcW w:w="547" w:type="pct"/>
            <w:noWrap/>
            <w:vAlign w:val="bottom"/>
            <w:hideMark/>
          </w:tcPr>
          <w:p w14:paraId="2A7CB5B1" w14:textId="77777777" w:rsidR="00E90931" w:rsidRPr="00AE4E8D" w:rsidRDefault="00E90931" w:rsidP="00091EF5">
            <w:pPr>
              <w:widowControl w:val="0"/>
              <w:jc w:val="right"/>
              <w:rPr>
                <w:rFonts w:ascii="Times New Roman" w:hAnsi="Times New Roman"/>
                <w:b/>
                <w:bCs/>
                <w:sz w:val="16"/>
                <w:szCs w:val="16"/>
                <w:lang w:val="es-ES"/>
              </w:rPr>
            </w:pPr>
            <w:r w:rsidRPr="00AE4E8D">
              <w:rPr>
                <w:rFonts w:ascii="Times New Roman" w:hAnsi="Times New Roman"/>
                <w:b/>
                <w:bCs/>
                <w:sz w:val="16"/>
                <w:szCs w:val="16"/>
                <w:lang w:val="es-ES"/>
              </w:rPr>
              <w:t>100,0%</w:t>
            </w:r>
          </w:p>
        </w:tc>
        <w:tc>
          <w:tcPr>
            <w:tcW w:w="559" w:type="pct"/>
            <w:noWrap/>
            <w:vAlign w:val="bottom"/>
            <w:hideMark/>
          </w:tcPr>
          <w:p w14:paraId="0D530498" w14:textId="77777777" w:rsidR="00E90931" w:rsidRPr="00AE4E8D" w:rsidRDefault="00E90931" w:rsidP="00091EF5">
            <w:pPr>
              <w:widowControl w:val="0"/>
              <w:jc w:val="right"/>
              <w:rPr>
                <w:rFonts w:ascii="Times New Roman" w:hAnsi="Times New Roman"/>
                <w:b/>
                <w:bCs/>
                <w:sz w:val="16"/>
                <w:szCs w:val="16"/>
                <w:lang w:val="es-ES"/>
              </w:rPr>
            </w:pPr>
            <w:r w:rsidRPr="00AE4E8D">
              <w:rPr>
                <w:rFonts w:ascii="Times New Roman" w:hAnsi="Times New Roman"/>
                <w:b/>
                <w:bCs/>
                <w:sz w:val="16"/>
                <w:szCs w:val="16"/>
                <w:lang w:val="es-ES"/>
              </w:rPr>
              <w:t>17.953.330</w:t>
            </w:r>
          </w:p>
        </w:tc>
        <w:tc>
          <w:tcPr>
            <w:tcW w:w="548" w:type="pct"/>
            <w:noWrap/>
            <w:vAlign w:val="bottom"/>
            <w:hideMark/>
          </w:tcPr>
          <w:p w14:paraId="44E40506" w14:textId="77777777" w:rsidR="00E90931" w:rsidRPr="00AE4E8D" w:rsidRDefault="00E90931" w:rsidP="00091EF5">
            <w:pPr>
              <w:widowControl w:val="0"/>
              <w:jc w:val="right"/>
              <w:rPr>
                <w:rFonts w:ascii="Times New Roman" w:hAnsi="Times New Roman"/>
                <w:b/>
                <w:bCs/>
                <w:sz w:val="16"/>
                <w:szCs w:val="16"/>
                <w:lang w:val="es-ES"/>
              </w:rPr>
            </w:pPr>
            <w:r w:rsidRPr="00AE4E8D">
              <w:rPr>
                <w:rFonts w:ascii="Times New Roman" w:hAnsi="Times New Roman"/>
                <w:b/>
                <w:bCs/>
                <w:sz w:val="16"/>
                <w:szCs w:val="16"/>
                <w:lang w:val="es-ES"/>
              </w:rPr>
              <w:t>100,0%</w:t>
            </w:r>
          </w:p>
        </w:tc>
      </w:tr>
    </w:tbl>
    <w:p w14:paraId="22C9A40D" w14:textId="77777777" w:rsidR="00003798" w:rsidRPr="00AE4E8D" w:rsidRDefault="00003798" w:rsidP="00003798">
      <w:pPr>
        <w:keepNext/>
        <w:keepLines/>
        <w:rPr>
          <w:rFonts w:ascii="Times New Roman" w:hAnsi="Times New Roman"/>
          <w:sz w:val="16"/>
          <w:szCs w:val="16"/>
          <w:highlight w:val="cyan"/>
          <w:lang w:val="es-ES"/>
        </w:rPr>
      </w:pPr>
    </w:p>
    <w:p w14:paraId="2CA75194" w14:textId="77777777" w:rsidR="00003798" w:rsidRPr="00AE4E8D" w:rsidRDefault="00003798" w:rsidP="00003798">
      <w:pPr>
        <w:keepNext/>
        <w:keepLines/>
        <w:rPr>
          <w:rFonts w:ascii="Times New Roman" w:hAnsi="Times New Roman"/>
          <w:sz w:val="16"/>
          <w:szCs w:val="16"/>
          <w:highlight w:val="cyan"/>
          <w:lang w:val="es-ES"/>
        </w:rPr>
        <w:sectPr w:rsidR="00003798" w:rsidRPr="00AE4E8D" w:rsidSect="00B52753">
          <w:pgSz w:w="11907" w:h="16839"/>
          <w:pgMar w:top="1418" w:right="1185" w:bottom="1418" w:left="1701" w:header="709" w:footer="709" w:gutter="0"/>
          <w:cols w:space="720"/>
        </w:sectPr>
      </w:pPr>
    </w:p>
    <w:p w14:paraId="29F15FDA" w14:textId="77777777" w:rsidR="00003798" w:rsidRPr="00AE4E8D" w:rsidRDefault="00003798" w:rsidP="00003798">
      <w:pPr>
        <w:pStyle w:val="BH2Izquierda"/>
        <w:keepNext w:val="0"/>
        <w:widowControl w:val="0"/>
        <w:rPr>
          <w:lang w:val="es-ES"/>
        </w:rPr>
      </w:pPr>
      <w:bookmarkStart w:id="329" w:name="_Toc421201368"/>
      <w:bookmarkStart w:id="330" w:name="_Toc495972997"/>
      <w:bookmarkStart w:id="331" w:name="_Toc495399904"/>
      <w:r w:rsidRPr="00AE4E8D">
        <w:rPr>
          <w:lang w:val="es-ES"/>
        </w:rPr>
        <w:lastRenderedPageBreak/>
        <w:t>Composición de la Cartera de Préstamos por Vencimiento</w:t>
      </w:r>
      <w:bookmarkEnd w:id="329"/>
      <w:bookmarkEnd w:id="330"/>
      <w:bookmarkEnd w:id="331"/>
    </w:p>
    <w:p w14:paraId="2BF6F3CE" w14:textId="77777777" w:rsidR="00003798" w:rsidRPr="00AE4E8D" w:rsidRDefault="00003798" w:rsidP="00003798">
      <w:pPr>
        <w:pStyle w:val="BHTexto"/>
        <w:keepNext/>
        <w:keepLines/>
      </w:pPr>
      <w:r w:rsidRPr="00AE4E8D">
        <w:t>El siguiente cuadro establece un análisis de nuestra cartera de préstamos (antes de descontar la previsión por riesgo de incobrabilidad) por tipo de créditos y el plazo remanente de los mismos hasta el vencimiento al 31 de diciembre de 2016.</w:t>
      </w:r>
    </w:p>
    <w:tbl>
      <w:tblPr>
        <w:tblW w:w="5000" w:type="pct"/>
        <w:jc w:val="center"/>
        <w:tblLook w:val="00A0" w:firstRow="1" w:lastRow="0" w:firstColumn="1" w:lastColumn="0" w:noHBand="0" w:noVBand="0"/>
      </w:tblPr>
      <w:tblGrid>
        <w:gridCol w:w="2815"/>
        <w:gridCol w:w="1598"/>
        <w:gridCol w:w="1547"/>
        <w:gridCol w:w="1231"/>
        <w:gridCol w:w="1337"/>
        <w:gridCol w:w="1337"/>
        <w:gridCol w:w="1419"/>
        <w:gridCol w:w="1388"/>
        <w:gridCol w:w="1547"/>
      </w:tblGrid>
      <w:tr w:rsidR="00140C31" w:rsidRPr="00AE4E8D" w14:paraId="3DC921BE" w14:textId="77777777" w:rsidTr="000400C8">
        <w:trPr>
          <w:trHeight w:val="259"/>
          <w:jc w:val="center"/>
        </w:trPr>
        <w:tc>
          <w:tcPr>
            <w:tcW w:w="990" w:type="pct"/>
            <w:noWrap/>
            <w:vAlign w:val="bottom"/>
          </w:tcPr>
          <w:p w14:paraId="3BF3F5DC" w14:textId="77777777" w:rsidR="00140C31" w:rsidRPr="00AE4E8D" w:rsidRDefault="00140C31" w:rsidP="00091EF5">
            <w:pPr>
              <w:keepNext/>
              <w:keepLines/>
              <w:rPr>
                <w:rFonts w:ascii="Times New Roman" w:hAnsi="Times New Roman"/>
                <w:sz w:val="16"/>
                <w:szCs w:val="16"/>
                <w:lang w:val="es-ES"/>
              </w:rPr>
            </w:pPr>
          </w:p>
        </w:tc>
        <w:tc>
          <w:tcPr>
            <w:tcW w:w="562" w:type="pct"/>
            <w:vMerge w:val="restart"/>
            <w:tcBorders>
              <w:top w:val="nil"/>
              <w:left w:val="nil"/>
              <w:bottom w:val="single" w:sz="4" w:space="0" w:color="000000"/>
              <w:right w:val="nil"/>
            </w:tcBorders>
            <w:vAlign w:val="center"/>
            <w:hideMark/>
          </w:tcPr>
          <w:p w14:paraId="192BD277" w14:textId="77777777" w:rsidR="00140C31" w:rsidRPr="00AE4E8D" w:rsidRDefault="00140C31" w:rsidP="00091EF5">
            <w:pPr>
              <w:keepNext/>
              <w:keepLines/>
              <w:jc w:val="center"/>
              <w:rPr>
                <w:rFonts w:ascii="Times New Roman" w:hAnsi="Times New Roman"/>
                <w:b/>
                <w:bCs/>
                <w:sz w:val="16"/>
                <w:szCs w:val="16"/>
                <w:lang w:val="es-ES"/>
              </w:rPr>
            </w:pPr>
            <w:r w:rsidRPr="00AE4E8D">
              <w:rPr>
                <w:rFonts w:ascii="Times New Roman" w:hAnsi="Times New Roman"/>
                <w:b/>
                <w:bCs/>
                <w:sz w:val="16"/>
                <w:szCs w:val="16"/>
                <w:lang w:val="es-ES"/>
              </w:rPr>
              <w:t>Vto. dentro del plazo de 1 año</w:t>
            </w:r>
          </w:p>
        </w:tc>
        <w:tc>
          <w:tcPr>
            <w:tcW w:w="544" w:type="pct"/>
            <w:vMerge w:val="restart"/>
            <w:tcBorders>
              <w:top w:val="nil"/>
              <w:left w:val="nil"/>
              <w:bottom w:val="single" w:sz="4" w:space="0" w:color="000000"/>
              <w:right w:val="nil"/>
            </w:tcBorders>
            <w:vAlign w:val="center"/>
            <w:hideMark/>
          </w:tcPr>
          <w:p w14:paraId="4135D507" w14:textId="77777777" w:rsidR="00140C31" w:rsidRPr="00AE4E8D" w:rsidRDefault="00140C31" w:rsidP="00091EF5">
            <w:pPr>
              <w:keepNext/>
              <w:keepLines/>
              <w:jc w:val="center"/>
              <w:rPr>
                <w:rFonts w:ascii="Times New Roman" w:hAnsi="Times New Roman"/>
                <w:b/>
                <w:bCs/>
                <w:sz w:val="16"/>
                <w:szCs w:val="16"/>
                <w:lang w:val="es-ES"/>
              </w:rPr>
            </w:pPr>
            <w:r w:rsidRPr="00AE4E8D">
              <w:rPr>
                <w:rFonts w:ascii="Times New Roman" w:hAnsi="Times New Roman"/>
                <w:b/>
                <w:bCs/>
                <w:sz w:val="16"/>
                <w:szCs w:val="16"/>
                <w:lang w:val="es-ES"/>
              </w:rPr>
              <w:t>Vto. mayor al año pero dentro de los 5 años</w:t>
            </w:r>
          </w:p>
        </w:tc>
        <w:tc>
          <w:tcPr>
            <w:tcW w:w="433" w:type="pct"/>
            <w:vMerge w:val="restart"/>
            <w:tcBorders>
              <w:top w:val="nil"/>
              <w:left w:val="nil"/>
              <w:bottom w:val="single" w:sz="4" w:space="0" w:color="000000"/>
              <w:right w:val="nil"/>
            </w:tcBorders>
            <w:vAlign w:val="center"/>
            <w:hideMark/>
          </w:tcPr>
          <w:p w14:paraId="493A576B" w14:textId="77777777" w:rsidR="00140C31" w:rsidRPr="00AE4E8D" w:rsidRDefault="00140C31" w:rsidP="00091EF5">
            <w:pPr>
              <w:keepNext/>
              <w:keepLines/>
              <w:jc w:val="center"/>
              <w:rPr>
                <w:rFonts w:ascii="Times New Roman" w:hAnsi="Times New Roman"/>
                <w:b/>
                <w:bCs/>
                <w:sz w:val="16"/>
                <w:szCs w:val="16"/>
                <w:lang w:val="es-ES"/>
              </w:rPr>
            </w:pPr>
            <w:r w:rsidRPr="00AE4E8D">
              <w:rPr>
                <w:rFonts w:ascii="Times New Roman" w:hAnsi="Times New Roman"/>
                <w:b/>
                <w:bCs/>
                <w:sz w:val="16"/>
                <w:szCs w:val="16"/>
                <w:lang w:val="es-ES"/>
              </w:rPr>
              <w:t>Vto. mayor a 5 año pero dentro de los 10 años</w:t>
            </w:r>
          </w:p>
        </w:tc>
        <w:tc>
          <w:tcPr>
            <w:tcW w:w="470" w:type="pct"/>
            <w:vMerge w:val="restart"/>
            <w:tcBorders>
              <w:top w:val="nil"/>
              <w:left w:val="nil"/>
              <w:bottom w:val="single" w:sz="4" w:space="0" w:color="000000"/>
              <w:right w:val="nil"/>
            </w:tcBorders>
            <w:vAlign w:val="center"/>
            <w:hideMark/>
          </w:tcPr>
          <w:p w14:paraId="5E387099" w14:textId="77777777" w:rsidR="00140C31" w:rsidRPr="00AE4E8D" w:rsidRDefault="00140C31" w:rsidP="00091EF5">
            <w:pPr>
              <w:keepNext/>
              <w:keepLines/>
              <w:jc w:val="center"/>
              <w:rPr>
                <w:rFonts w:ascii="Times New Roman" w:hAnsi="Times New Roman"/>
                <w:b/>
                <w:bCs/>
                <w:sz w:val="16"/>
                <w:szCs w:val="16"/>
                <w:lang w:val="es-ES"/>
              </w:rPr>
            </w:pPr>
            <w:r w:rsidRPr="00AE4E8D">
              <w:rPr>
                <w:rFonts w:ascii="Times New Roman" w:hAnsi="Times New Roman"/>
                <w:b/>
                <w:bCs/>
                <w:sz w:val="16"/>
                <w:szCs w:val="16"/>
                <w:lang w:val="es-ES"/>
              </w:rPr>
              <w:t>Vto. mayor a 10 año pero dentro de los 15 años</w:t>
            </w:r>
          </w:p>
        </w:tc>
        <w:tc>
          <w:tcPr>
            <w:tcW w:w="470" w:type="pct"/>
            <w:vMerge w:val="restart"/>
            <w:tcBorders>
              <w:top w:val="nil"/>
              <w:left w:val="nil"/>
              <w:bottom w:val="single" w:sz="4" w:space="0" w:color="000000"/>
              <w:right w:val="nil"/>
            </w:tcBorders>
            <w:vAlign w:val="center"/>
            <w:hideMark/>
          </w:tcPr>
          <w:p w14:paraId="3644776C" w14:textId="77777777" w:rsidR="00140C31" w:rsidRPr="00AE4E8D" w:rsidRDefault="00140C31" w:rsidP="00091EF5">
            <w:pPr>
              <w:keepNext/>
              <w:keepLines/>
              <w:jc w:val="center"/>
              <w:rPr>
                <w:rFonts w:ascii="Times New Roman" w:hAnsi="Times New Roman"/>
                <w:b/>
                <w:bCs/>
                <w:sz w:val="16"/>
                <w:szCs w:val="16"/>
                <w:lang w:val="es-ES"/>
              </w:rPr>
            </w:pPr>
            <w:r w:rsidRPr="00AE4E8D">
              <w:rPr>
                <w:rFonts w:ascii="Times New Roman" w:hAnsi="Times New Roman"/>
                <w:b/>
                <w:bCs/>
                <w:sz w:val="16"/>
                <w:szCs w:val="16"/>
                <w:lang w:val="es-ES"/>
              </w:rPr>
              <w:t>Vto. mayor a 15 año pero dentro de los 20 años</w:t>
            </w:r>
          </w:p>
        </w:tc>
        <w:tc>
          <w:tcPr>
            <w:tcW w:w="499" w:type="pct"/>
            <w:vMerge w:val="restart"/>
            <w:tcBorders>
              <w:top w:val="nil"/>
              <w:left w:val="nil"/>
              <w:bottom w:val="single" w:sz="4" w:space="0" w:color="000000"/>
              <w:right w:val="nil"/>
            </w:tcBorders>
            <w:vAlign w:val="center"/>
            <w:hideMark/>
          </w:tcPr>
          <w:p w14:paraId="7BA63BE7" w14:textId="77777777" w:rsidR="00140C31" w:rsidRPr="00AE4E8D" w:rsidRDefault="00140C31" w:rsidP="00091EF5">
            <w:pPr>
              <w:keepNext/>
              <w:keepLines/>
              <w:jc w:val="center"/>
              <w:rPr>
                <w:rFonts w:ascii="Times New Roman" w:hAnsi="Times New Roman"/>
                <w:b/>
                <w:bCs/>
                <w:sz w:val="16"/>
                <w:szCs w:val="16"/>
                <w:lang w:val="es-ES"/>
              </w:rPr>
            </w:pPr>
            <w:r w:rsidRPr="00AE4E8D">
              <w:rPr>
                <w:rFonts w:ascii="Times New Roman" w:hAnsi="Times New Roman"/>
                <w:b/>
                <w:bCs/>
                <w:sz w:val="16"/>
                <w:szCs w:val="16"/>
                <w:lang w:val="es-ES"/>
              </w:rPr>
              <w:t>Vencimiento mayor a 20 años</w:t>
            </w:r>
          </w:p>
        </w:tc>
        <w:tc>
          <w:tcPr>
            <w:tcW w:w="488" w:type="pct"/>
            <w:vMerge w:val="restart"/>
            <w:tcBorders>
              <w:top w:val="nil"/>
              <w:left w:val="nil"/>
              <w:bottom w:val="single" w:sz="4" w:space="0" w:color="000000"/>
              <w:right w:val="nil"/>
            </w:tcBorders>
            <w:vAlign w:val="center"/>
            <w:hideMark/>
          </w:tcPr>
          <w:p w14:paraId="33550CAC" w14:textId="77777777" w:rsidR="00140C31" w:rsidRPr="00AE4E8D" w:rsidRDefault="00140C31" w:rsidP="00091EF5">
            <w:pPr>
              <w:keepNext/>
              <w:keepLines/>
              <w:jc w:val="center"/>
              <w:rPr>
                <w:rFonts w:ascii="Times New Roman" w:hAnsi="Times New Roman"/>
                <w:b/>
                <w:bCs/>
                <w:sz w:val="16"/>
                <w:szCs w:val="16"/>
                <w:lang w:val="es-ES"/>
              </w:rPr>
            </w:pPr>
            <w:r w:rsidRPr="00AE4E8D">
              <w:rPr>
                <w:rFonts w:ascii="Times New Roman" w:hAnsi="Times New Roman"/>
                <w:b/>
                <w:bCs/>
                <w:sz w:val="16"/>
                <w:szCs w:val="16"/>
                <w:lang w:val="es-ES"/>
              </w:rPr>
              <w:t>Monto Vencido</w:t>
            </w:r>
          </w:p>
        </w:tc>
        <w:tc>
          <w:tcPr>
            <w:tcW w:w="544" w:type="pct"/>
            <w:vMerge w:val="restart"/>
            <w:tcBorders>
              <w:top w:val="nil"/>
              <w:left w:val="nil"/>
              <w:bottom w:val="single" w:sz="4" w:space="0" w:color="000000"/>
              <w:right w:val="nil"/>
            </w:tcBorders>
            <w:vAlign w:val="center"/>
            <w:hideMark/>
          </w:tcPr>
          <w:p w14:paraId="60D3F0C8" w14:textId="77777777" w:rsidR="00140C31" w:rsidRPr="00AE4E8D" w:rsidRDefault="00140C31" w:rsidP="00091EF5">
            <w:pPr>
              <w:keepNext/>
              <w:keepLines/>
              <w:jc w:val="center"/>
              <w:rPr>
                <w:rFonts w:ascii="Times New Roman" w:hAnsi="Times New Roman"/>
                <w:b/>
                <w:bCs/>
                <w:sz w:val="16"/>
                <w:szCs w:val="16"/>
                <w:lang w:val="es-ES"/>
              </w:rPr>
            </w:pPr>
            <w:r w:rsidRPr="00AE4E8D">
              <w:rPr>
                <w:rFonts w:ascii="Times New Roman" w:hAnsi="Times New Roman"/>
                <w:b/>
                <w:bCs/>
                <w:sz w:val="16"/>
                <w:szCs w:val="16"/>
                <w:lang w:val="es-ES"/>
              </w:rPr>
              <w:t>Monto al 31 de diciembre de 2016</w:t>
            </w:r>
          </w:p>
        </w:tc>
      </w:tr>
      <w:tr w:rsidR="00140C31" w:rsidRPr="00AE4E8D" w14:paraId="23F251C9" w14:textId="77777777" w:rsidTr="000400C8">
        <w:trPr>
          <w:trHeight w:val="259"/>
          <w:jc w:val="center"/>
        </w:trPr>
        <w:tc>
          <w:tcPr>
            <w:tcW w:w="990" w:type="pct"/>
            <w:noWrap/>
            <w:vAlign w:val="bottom"/>
          </w:tcPr>
          <w:p w14:paraId="68203DE1" w14:textId="77777777" w:rsidR="00140C31" w:rsidRPr="00AE4E8D" w:rsidRDefault="00140C31" w:rsidP="00091EF5">
            <w:pPr>
              <w:keepNext/>
              <w:keepLines/>
              <w:rPr>
                <w:rFonts w:ascii="Times New Roman" w:hAnsi="Times New Roman"/>
                <w:sz w:val="16"/>
                <w:szCs w:val="16"/>
                <w:lang w:val="es-ES"/>
              </w:rPr>
            </w:pPr>
          </w:p>
        </w:tc>
        <w:tc>
          <w:tcPr>
            <w:tcW w:w="562" w:type="pct"/>
            <w:vMerge/>
            <w:tcBorders>
              <w:top w:val="nil"/>
              <w:left w:val="nil"/>
              <w:bottom w:val="single" w:sz="4" w:space="0" w:color="000000"/>
              <w:right w:val="nil"/>
            </w:tcBorders>
            <w:vAlign w:val="center"/>
            <w:hideMark/>
          </w:tcPr>
          <w:p w14:paraId="37F2C1FF" w14:textId="77777777" w:rsidR="00140C31" w:rsidRPr="00AE4E8D" w:rsidRDefault="00140C31" w:rsidP="00091EF5">
            <w:pPr>
              <w:keepNext/>
              <w:keepLines/>
              <w:rPr>
                <w:rFonts w:ascii="Times New Roman" w:hAnsi="Times New Roman"/>
                <w:b/>
                <w:bCs/>
                <w:sz w:val="16"/>
                <w:szCs w:val="16"/>
                <w:lang w:val="es-ES"/>
              </w:rPr>
            </w:pPr>
          </w:p>
        </w:tc>
        <w:tc>
          <w:tcPr>
            <w:tcW w:w="544" w:type="pct"/>
            <w:vMerge/>
            <w:tcBorders>
              <w:top w:val="nil"/>
              <w:left w:val="nil"/>
              <w:bottom w:val="single" w:sz="4" w:space="0" w:color="000000"/>
              <w:right w:val="nil"/>
            </w:tcBorders>
            <w:vAlign w:val="center"/>
            <w:hideMark/>
          </w:tcPr>
          <w:p w14:paraId="770924A2" w14:textId="77777777" w:rsidR="00140C31" w:rsidRPr="00AE4E8D" w:rsidRDefault="00140C31" w:rsidP="00091EF5">
            <w:pPr>
              <w:keepNext/>
              <w:keepLines/>
              <w:rPr>
                <w:rFonts w:ascii="Times New Roman" w:hAnsi="Times New Roman"/>
                <w:b/>
                <w:bCs/>
                <w:sz w:val="16"/>
                <w:szCs w:val="16"/>
                <w:lang w:val="es-ES"/>
              </w:rPr>
            </w:pPr>
          </w:p>
        </w:tc>
        <w:tc>
          <w:tcPr>
            <w:tcW w:w="433" w:type="pct"/>
            <w:vMerge/>
            <w:tcBorders>
              <w:top w:val="nil"/>
              <w:left w:val="nil"/>
              <w:bottom w:val="single" w:sz="4" w:space="0" w:color="000000"/>
              <w:right w:val="nil"/>
            </w:tcBorders>
            <w:vAlign w:val="center"/>
            <w:hideMark/>
          </w:tcPr>
          <w:p w14:paraId="34CF4241" w14:textId="77777777" w:rsidR="00140C31" w:rsidRPr="00AE4E8D" w:rsidRDefault="00140C31" w:rsidP="00091EF5">
            <w:pPr>
              <w:keepNext/>
              <w:keepLines/>
              <w:rPr>
                <w:rFonts w:ascii="Times New Roman" w:hAnsi="Times New Roman"/>
                <w:b/>
                <w:bCs/>
                <w:sz w:val="16"/>
                <w:szCs w:val="16"/>
                <w:lang w:val="es-ES"/>
              </w:rPr>
            </w:pPr>
          </w:p>
        </w:tc>
        <w:tc>
          <w:tcPr>
            <w:tcW w:w="470" w:type="pct"/>
            <w:vMerge/>
            <w:tcBorders>
              <w:top w:val="nil"/>
              <w:left w:val="nil"/>
              <w:bottom w:val="single" w:sz="4" w:space="0" w:color="000000"/>
              <w:right w:val="nil"/>
            </w:tcBorders>
            <w:vAlign w:val="center"/>
            <w:hideMark/>
          </w:tcPr>
          <w:p w14:paraId="0E2D8491" w14:textId="77777777" w:rsidR="00140C31" w:rsidRPr="00AE4E8D" w:rsidRDefault="00140C31" w:rsidP="00091EF5">
            <w:pPr>
              <w:keepNext/>
              <w:keepLines/>
              <w:rPr>
                <w:rFonts w:ascii="Times New Roman" w:hAnsi="Times New Roman"/>
                <w:b/>
                <w:bCs/>
                <w:sz w:val="16"/>
                <w:szCs w:val="16"/>
                <w:lang w:val="es-ES"/>
              </w:rPr>
            </w:pPr>
          </w:p>
        </w:tc>
        <w:tc>
          <w:tcPr>
            <w:tcW w:w="470" w:type="pct"/>
            <w:vMerge/>
            <w:tcBorders>
              <w:top w:val="nil"/>
              <w:left w:val="nil"/>
              <w:bottom w:val="single" w:sz="4" w:space="0" w:color="000000"/>
              <w:right w:val="nil"/>
            </w:tcBorders>
            <w:vAlign w:val="center"/>
            <w:hideMark/>
          </w:tcPr>
          <w:p w14:paraId="0343770F" w14:textId="77777777" w:rsidR="00140C31" w:rsidRPr="00AE4E8D" w:rsidRDefault="00140C31" w:rsidP="00091EF5">
            <w:pPr>
              <w:keepNext/>
              <w:keepLines/>
              <w:rPr>
                <w:rFonts w:ascii="Times New Roman" w:hAnsi="Times New Roman"/>
                <w:b/>
                <w:bCs/>
                <w:sz w:val="16"/>
                <w:szCs w:val="16"/>
                <w:lang w:val="es-ES"/>
              </w:rPr>
            </w:pPr>
          </w:p>
        </w:tc>
        <w:tc>
          <w:tcPr>
            <w:tcW w:w="499" w:type="pct"/>
            <w:vMerge/>
            <w:tcBorders>
              <w:top w:val="nil"/>
              <w:left w:val="nil"/>
              <w:bottom w:val="single" w:sz="4" w:space="0" w:color="000000"/>
              <w:right w:val="nil"/>
            </w:tcBorders>
            <w:vAlign w:val="center"/>
            <w:hideMark/>
          </w:tcPr>
          <w:p w14:paraId="4E3B3FC2" w14:textId="77777777" w:rsidR="00140C31" w:rsidRPr="00AE4E8D" w:rsidRDefault="00140C31" w:rsidP="00091EF5">
            <w:pPr>
              <w:keepNext/>
              <w:keepLines/>
              <w:rPr>
                <w:rFonts w:ascii="Times New Roman" w:hAnsi="Times New Roman"/>
                <w:b/>
                <w:sz w:val="16"/>
                <w:lang w:val="es-ES"/>
              </w:rPr>
            </w:pPr>
          </w:p>
        </w:tc>
        <w:tc>
          <w:tcPr>
            <w:tcW w:w="488" w:type="pct"/>
            <w:vMerge/>
            <w:tcBorders>
              <w:top w:val="nil"/>
              <w:left w:val="nil"/>
              <w:bottom w:val="single" w:sz="4" w:space="0" w:color="000000"/>
              <w:right w:val="nil"/>
            </w:tcBorders>
            <w:vAlign w:val="center"/>
            <w:hideMark/>
          </w:tcPr>
          <w:p w14:paraId="5209CFFE" w14:textId="77777777" w:rsidR="00140C31" w:rsidRPr="00AE4E8D" w:rsidRDefault="00140C31" w:rsidP="00091EF5">
            <w:pPr>
              <w:keepNext/>
              <w:keepLines/>
              <w:rPr>
                <w:rFonts w:ascii="Times New Roman" w:hAnsi="Times New Roman"/>
                <w:b/>
                <w:sz w:val="16"/>
                <w:lang w:val="es-ES"/>
              </w:rPr>
            </w:pPr>
          </w:p>
        </w:tc>
        <w:tc>
          <w:tcPr>
            <w:tcW w:w="544" w:type="pct"/>
            <w:vMerge/>
            <w:tcBorders>
              <w:top w:val="nil"/>
              <w:left w:val="nil"/>
              <w:bottom w:val="single" w:sz="4" w:space="0" w:color="000000"/>
              <w:right w:val="nil"/>
            </w:tcBorders>
            <w:vAlign w:val="center"/>
            <w:hideMark/>
          </w:tcPr>
          <w:p w14:paraId="5D7D1DEF" w14:textId="77777777" w:rsidR="00140C31" w:rsidRPr="00AE4E8D" w:rsidRDefault="00140C31" w:rsidP="00091EF5">
            <w:pPr>
              <w:keepNext/>
              <w:keepLines/>
              <w:rPr>
                <w:rFonts w:ascii="Times New Roman" w:hAnsi="Times New Roman"/>
                <w:b/>
                <w:bCs/>
                <w:sz w:val="16"/>
                <w:szCs w:val="16"/>
                <w:lang w:val="es-ES"/>
              </w:rPr>
            </w:pPr>
          </w:p>
        </w:tc>
      </w:tr>
      <w:tr w:rsidR="00140C31" w:rsidRPr="00AE4E8D" w14:paraId="0BFCE0F1" w14:textId="77777777" w:rsidTr="000400C8">
        <w:trPr>
          <w:trHeight w:val="259"/>
          <w:jc w:val="center"/>
        </w:trPr>
        <w:tc>
          <w:tcPr>
            <w:tcW w:w="990" w:type="pct"/>
            <w:noWrap/>
            <w:vAlign w:val="bottom"/>
          </w:tcPr>
          <w:p w14:paraId="22385E71" w14:textId="77777777" w:rsidR="00140C31" w:rsidRPr="00AE4E8D" w:rsidRDefault="00140C31" w:rsidP="00091EF5">
            <w:pPr>
              <w:keepNext/>
              <w:keepLines/>
              <w:rPr>
                <w:rFonts w:ascii="Times New Roman" w:hAnsi="Times New Roman"/>
                <w:sz w:val="16"/>
                <w:szCs w:val="16"/>
                <w:lang w:val="es-ES"/>
              </w:rPr>
            </w:pPr>
          </w:p>
        </w:tc>
        <w:tc>
          <w:tcPr>
            <w:tcW w:w="562" w:type="pct"/>
            <w:vMerge/>
            <w:tcBorders>
              <w:top w:val="nil"/>
              <w:left w:val="nil"/>
              <w:bottom w:val="single" w:sz="4" w:space="0" w:color="000000"/>
              <w:right w:val="nil"/>
            </w:tcBorders>
            <w:vAlign w:val="center"/>
            <w:hideMark/>
          </w:tcPr>
          <w:p w14:paraId="678BE765" w14:textId="77777777" w:rsidR="00140C31" w:rsidRPr="00AE4E8D" w:rsidRDefault="00140C31" w:rsidP="00091EF5">
            <w:pPr>
              <w:keepNext/>
              <w:keepLines/>
              <w:rPr>
                <w:rFonts w:ascii="Times New Roman" w:hAnsi="Times New Roman"/>
                <w:b/>
                <w:bCs/>
                <w:sz w:val="16"/>
                <w:szCs w:val="16"/>
                <w:lang w:val="es-ES"/>
              </w:rPr>
            </w:pPr>
          </w:p>
        </w:tc>
        <w:tc>
          <w:tcPr>
            <w:tcW w:w="544" w:type="pct"/>
            <w:vMerge/>
            <w:tcBorders>
              <w:top w:val="nil"/>
              <w:left w:val="nil"/>
              <w:bottom w:val="single" w:sz="4" w:space="0" w:color="000000"/>
              <w:right w:val="nil"/>
            </w:tcBorders>
            <w:vAlign w:val="center"/>
            <w:hideMark/>
          </w:tcPr>
          <w:p w14:paraId="7D38FF6E" w14:textId="77777777" w:rsidR="00140C31" w:rsidRPr="00AE4E8D" w:rsidRDefault="00140C31" w:rsidP="00091EF5">
            <w:pPr>
              <w:keepNext/>
              <w:keepLines/>
              <w:rPr>
                <w:rFonts w:ascii="Times New Roman" w:hAnsi="Times New Roman"/>
                <w:b/>
                <w:bCs/>
                <w:sz w:val="16"/>
                <w:szCs w:val="16"/>
                <w:lang w:val="es-ES"/>
              </w:rPr>
            </w:pPr>
          </w:p>
        </w:tc>
        <w:tc>
          <w:tcPr>
            <w:tcW w:w="433" w:type="pct"/>
            <w:vMerge/>
            <w:tcBorders>
              <w:top w:val="nil"/>
              <w:left w:val="nil"/>
              <w:bottom w:val="single" w:sz="4" w:space="0" w:color="000000"/>
              <w:right w:val="nil"/>
            </w:tcBorders>
            <w:vAlign w:val="center"/>
            <w:hideMark/>
          </w:tcPr>
          <w:p w14:paraId="0EAC14D4" w14:textId="77777777" w:rsidR="00140C31" w:rsidRPr="00AE4E8D" w:rsidRDefault="00140C31" w:rsidP="00091EF5">
            <w:pPr>
              <w:keepNext/>
              <w:keepLines/>
              <w:rPr>
                <w:rFonts w:ascii="Times New Roman" w:hAnsi="Times New Roman"/>
                <w:b/>
                <w:bCs/>
                <w:sz w:val="16"/>
                <w:szCs w:val="16"/>
                <w:lang w:val="es-ES"/>
              </w:rPr>
            </w:pPr>
          </w:p>
        </w:tc>
        <w:tc>
          <w:tcPr>
            <w:tcW w:w="470" w:type="pct"/>
            <w:vMerge/>
            <w:tcBorders>
              <w:top w:val="nil"/>
              <w:left w:val="nil"/>
              <w:bottom w:val="single" w:sz="4" w:space="0" w:color="000000"/>
              <w:right w:val="nil"/>
            </w:tcBorders>
            <w:vAlign w:val="center"/>
            <w:hideMark/>
          </w:tcPr>
          <w:p w14:paraId="7AA7B1D9" w14:textId="77777777" w:rsidR="00140C31" w:rsidRPr="00AE4E8D" w:rsidRDefault="00140C31" w:rsidP="00091EF5">
            <w:pPr>
              <w:keepNext/>
              <w:keepLines/>
              <w:rPr>
                <w:rFonts w:ascii="Times New Roman" w:hAnsi="Times New Roman"/>
                <w:b/>
                <w:bCs/>
                <w:sz w:val="16"/>
                <w:szCs w:val="16"/>
                <w:lang w:val="es-ES"/>
              </w:rPr>
            </w:pPr>
          </w:p>
        </w:tc>
        <w:tc>
          <w:tcPr>
            <w:tcW w:w="470" w:type="pct"/>
            <w:vMerge/>
            <w:tcBorders>
              <w:top w:val="nil"/>
              <w:left w:val="nil"/>
              <w:bottom w:val="single" w:sz="4" w:space="0" w:color="000000"/>
              <w:right w:val="nil"/>
            </w:tcBorders>
            <w:vAlign w:val="center"/>
            <w:hideMark/>
          </w:tcPr>
          <w:p w14:paraId="0E5ED1D0" w14:textId="77777777" w:rsidR="00140C31" w:rsidRPr="00AE4E8D" w:rsidRDefault="00140C31" w:rsidP="00091EF5">
            <w:pPr>
              <w:keepNext/>
              <w:keepLines/>
              <w:rPr>
                <w:rFonts w:ascii="Times New Roman" w:hAnsi="Times New Roman"/>
                <w:b/>
                <w:bCs/>
                <w:sz w:val="16"/>
                <w:szCs w:val="16"/>
                <w:lang w:val="es-ES"/>
              </w:rPr>
            </w:pPr>
          </w:p>
        </w:tc>
        <w:tc>
          <w:tcPr>
            <w:tcW w:w="499" w:type="pct"/>
            <w:vMerge/>
            <w:tcBorders>
              <w:top w:val="nil"/>
              <w:left w:val="nil"/>
              <w:bottom w:val="single" w:sz="4" w:space="0" w:color="000000"/>
              <w:right w:val="nil"/>
            </w:tcBorders>
            <w:vAlign w:val="center"/>
            <w:hideMark/>
          </w:tcPr>
          <w:p w14:paraId="66A3D554" w14:textId="77777777" w:rsidR="00140C31" w:rsidRPr="00AE4E8D" w:rsidRDefault="00140C31" w:rsidP="00091EF5">
            <w:pPr>
              <w:keepNext/>
              <w:keepLines/>
              <w:rPr>
                <w:rFonts w:ascii="Times New Roman" w:hAnsi="Times New Roman"/>
                <w:b/>
                <w:sz w:val="16"/>
                <w:lang w:val="es-ES"/>
              </w:rPr>
            </w:pPr>
          </w:p>
        </w:tc>
        <w:tc>
          <w:tcPr>
            <w:tcW w:w="488" w:type="pct"/>
            <w:vMerge/>
            <w:tcBorders>
              <w:top w:val="nil"/>
              <w:left w:val="nil"/>
              <w:bottom w:val="single" w:sz="4" w:space="0" w:color="000000"/>
              <w:right w:val="nil"/>
            </w:tcBorders>
            <w:vAlign w:val="center"/>
            <w:hideMark/>
          </w:tcPr>
          <w:p w14:paraId="363BDD45" w14:textId="77777777" w:rsidR="00140C31" w:rsidRPr="00AE4E8D" w:rsidRDefault="00140C31" w:rsidP="00091EF5">
            <w:pPr>
              <w:keepNext/>
              <w:keepLines/>
              <w:rPr>
                <w:rFonts w:ascii="Times New Roman" w:hAnsi="Times New Roman"/>
                <w:b/>
                <w:sz w:val="16"/>
                <w:lang w:val="es-ES"/>
              </w:rPr>
            </w:pPr>
          </w:p>
        </w:tc>
        <w:tc>
          <w:tcPr>
            <w:tcW w:w="544" w:type="pct"/>
            <w:vMerge/>
            <w:tcBorders>
              <w:top w:val="nil"/>
              <w:left w:val="nil"/>
              <w:bottom w:val="single" w:sz="4" w:space="0" w:color="000000"/>
              <w:right w:val="nil"/>
            </w:tcBorders>
            <w:vAlign w:val="center"/>
            <w:hideMark/>
          </w:tcPr>
          <w:p w14:paraId="31A46D2B" w14:textId="77777777" w:rsidR="00140C31" w:rsidRPr="00AE4E8D" w:rsidRDefault="00140C31" w:rsidP="00091EF5">
            <w:pPr>
              <w:keepNext/>
              <w:keepLines/>
              <w:rPr>
                <w:rFonts w:ascii="Times New Roman" w:hAnsi="Times New Roman"/>
                <w:b/>
                <w:bCs/>
                <w:sz w:val="16"/>
                <w:szCs w:val="16"/>
                <w:lang w:val="es-ES"/>
              </w:rPr>
            </w:pPr>
          </w:p>
        </w:tc>
      </w:tr>
      <w:tr w:rsidR="00140C31" w:rsidRPr="00AE4E8D" w14:paraId="5ED92886" w14:textId="77777777" w:rsidTr="000400C8">
        <w:trPr>
          <w:trHeight w:val="259"/>
          <w:jc w:val="center"/>
        </w:trPr>
        <w:tc>
          <w:tcPr>
            <w:tcW w:w="990" w:type="pct"/>
            <w:noWrap/>
            <w:vAlign w:val="bottom"/>
          </w:tcPr>
          <w:p w14:paraId="7F4E3A9D" w14:textId="77777777" w:rsidR="00140C31" w:rsidRPr="00AE4E8D" w:rsidRDefault="00140C31" w:rsidP="00091EF5">
            <w:pPr>
              <w:keepNext/>
              <w:keepLines/>
              <w:rPr>
                <w:rFonts w:ascii="Times New Roman" w:hAnsi="Times New Roman"/>
                <w:sz w:val="16"/>
                <w:szCs w:val="16"/>
                <w:lang w:val="es-ES"/>
              </w:rPr>
            </w:pPr>
          </w:p>
        </w:tc>
        <w:tc>
          <w:tcPr>
            <w:tcW w:w="4010" w:type="pct"/>
            <w:gridSpan w:val="8"/>
            <w:tcBorders>
              <w:top w:val="single" w:sz="4" w:space="0" w:color="000000"/>
              <w:left w:val="nil"/>
              <w:bottom w:val="nil"/>
              <w:right w:val="nil"/>
            </w:tcBorders>
            <w:noWrap/>
            <w:vAlign w:val="bottom"/>
            <w:hideMark/>
          </w:tcPr>
          <w:p w14:paraId="772B9AA8" w14:textId="77777777" w:rsidR="00140C31" w:rsidRPr="00AE4E8D" w:rsidRDefault="00140C31" w:rsidP="00091EF5">
            <w:pPr>
              <w:keepNext/>
              <w:keepLines/>
              <w:jc w:val="center"/>
              <w:rPr>
                <w:rFonts w:ascii="Times New Roman" w:hAnsi="Times New Roman"/>
                <w:sz w:val="16"/>
                <w:szCs w:val="16"/>
                <w:lang w:val="es-ES"/>
              </w:rPr>
            </w:pPr>
            <w:r w:rsidRPr="00AE4E8D">
              <w:rPr>
                <w:rFonts w:ascii="Times New Roman" w:hAnsi="Times New Roman"/>
                <w:sz w:val="16"/>
                <w:szCs w:val="16"/>
                <w:lang w:val="es-ES"/>
              </w:rPr>
              <w:t>(en miles de Pesos, salvo porcentajes)</w:t>
            </w:r>
          </w:p>
        </w:tc>
      </w:tr>
      <w:tr w:rsidR="00140C31" w:rsidRPr="00AE4E8D" w14:paraId="67C6B7D6" w14:textId="77777777" w:rsidTr="000400C8">
        <w:trPr>
          <w:trHeight w:val="259"/>
          <w:jc w:val="center"/>
        </w:trPr>
        <w:tc>
          <w:tcPr>
            <w:tcW w:w="990" w:type="pct"/>
            <w:noWrap/>
            <w:vAlign w:val="bottom"/>
          </w:tcPr>
          <w:p w14:paraId="4BF48282" w14:textId="77777777" w:rsidR="00140C31" w:rsidRPr="00AE4E8D" w:rsidRDefault="00140C31" w:rsidP="00091EF5">
            <w:pPr>
              <w:keepNext/>
              <w:keepLines/>
              <w:rPr>
                <w:rFonts w:ascii="Times New Roman" w:hAnsi="Times New Roman"/>
                <w:sz w:val="16"/>
                <w:szCs w:val="16"/>
                <w:lang w:val="es-ES"/>
              </w:rPr>
            </w:pPr>
          </w:p>
        </w:tc>
        <w:tc>
          <w:tcPr>
            <w:tcW w:w="562" w:type="pct"/>
            <w:noWrap/>
            <w:vAlign w:val="bottom"/>
          </w:tcPr>
          <w:p w14:paraId="7E3F894B" w14:textId="77777777" w:rsidR="00140C31" w:rsidRPr="00AE4E8D" w:rsidRDefault="00140C31" w:rsidP="00091EF5">
            <w:pPr>
              <w:keepNext/>
              <w:keepLines/>
              <w:rPr>
                <w:rFonts w:ascii="Times New Roman" w:hAnsi="Times New Roman"/>
                <w:sz w:val="16"/>
                <w:szCs w:val="16"/>
                <w:lang w:val="es-ES"/>
              </w:rPr>
            </w:pPr>
          </w:p>
        </w:tc>
        <w:tc>
          <w:tcPr>
            <w:tcW w:w="544" w:type="pct"/>
            <w:noWrap/>
            <w:vAlign w:val="bottom"/>
          </w:tcPr>
          <w:p w14:paraId="6682FACE" w14:textId="77777777" w:rsidR="00140C31" w:rsidRPr="00AE4E8D" w:rsidRDefault="00140C31" w:rsidP="00091EF5">
            <w:pPr>
              <w:keepNext/>
              <w:keepLines/>
              <w:rPr>
                <w:rFonts w:ascii="Times New Roman" w:hAnsi="Times New Roman"/>
                <w:sz w:val="16"/>
                <w:szCs w:val="16"/>
                <w:lang w:val="es-ES"/>
              </w:rPr>
            </w:pPr>
          </w:p>
        </w:tc>
        <w:tc>
          <w:tcPr>
            <w:tcW w:w="433" w:type="pct"/>
            <w:noWrap/>
            <w:vAlign w:val="bottom"/>
          </w:tcPr>
          <w:p w14:paraId="49DC94B7" w14:textId="77777777" w:rsidR="00140C31" w:rsidRPr="00AE4E8D" w:rsidRDefault="00140C31" w:rsidP="00091EF5">
            <w:pPr>
              <w:keepNext/>
              <w:keepLines/>
              <w:rPr>
                <w:rFonts w:ascii="Times New Roman" w:hAnsi="Times New Roman"/>
                <w:sz w:val="16"/>
                <w:szCs w:val="16"/>
                <w:lang w:val="es-ES"/>
              </w:rPr>
            </w:pPr>
          </w:p>
        </w:tc>
        <w:tc>
          <w:tcPr>
            <w:tcW w:w="470" w:type="pct"/>
            <w:noWrap/>
            <w:vAlign w:val="bottom"/>
          </w:tcPr>
          <w:p w14:paraId="2E420F31" w14:textId="77777777" w:rsidR="00140C31" w:rsidRPr="00AE4E8D" w:rsidRDefault="00140C31" w:rsidP="00091EF5">
            <w:pPr>
              <w:keepNext/>
              <w:keepLines/>
              <w:rPr>
                <w:rFonts w:ascii="Times New Roman" w:hAnsi="Times New Roman"/>
                <w:sz w:val="16"/>
                <w:szCs w:val="16"/>
                <w:lang w:val="es-ES"/>
              </w:rPr>
            </w:pPr>
          </w:p>
        </w:tc>
        <w:tc>
          <w:tcPr>
            <w:tcW w:w="470" w:type="pct"/>
            <w:noWrap/>
            <w:vAlign w:val="bottom"/>
          </w:tcPr>
          <w:p w14:paraId="374D950E" w14:textId="77777777" w:rsidR="00140C31" w:rsidRPr="00AE4E8D" w:rsidRDefault="00140C31" w:rsidP="00091EF5">
            <w:pPr>
              <w:keepNext/>
              <w:keepLines/>
              <w:rPr>
                <w:rFonts w:ascii="Times New Roman" w:hAnsi="Times New Roman"/>
                <w:sz w:val="16"/>
                <w:szCs w:val="16"/>
                <w:lang w:val="es-ES"/>
              </w:rPr>
            </w:pPr>
          </w:p>
        </w:tc>
        <w:tc>
          <w:tcPr>
            <w:tcW w:w="499" w:type="pct"/>
            <w:noWrap/>
            <w:vAlign w:val="bottom"/>
          </w:tcPr>
          <w:p w14:paraId="365C1427" w14:textId="77777777" w:rsidR="00140C31" w:rsidRPr="00AE4E8D" w:rsidRDefault="00140C31" w:rsidP="00091EF5">
            <w:pPr>
              <w:keepNext/>
              <w:keepLines/>
              <w:rPr>
                <w:rFonts w:ascii="Times New Roman" w:hAnsi="Times New Roman"/>
                <w:sz w:val="16"/>
                <w:szCs w:val="16"/>
                <w:lang w:val="es-ES"/>
              </w:rPr>
            </w:pPr>
          </w:p>
        </w:tc>
        <w:tc>
          <w:tcPr>
            <w:tcW w:w="488" w:type="pct"/>
            <w:noWrap/>
            <w:vAlign w:val="bottom"/>
          </w:tcPr>
          <w:p w14:paraId="057DDC63" w14:textId="77777777" w:rsidR="00140C31" w:rsidRPr="00AE4E8D" w:rsidRDefault="00140C31" w:rsidP="00091EF5">
            <w:pPr>
              <w:keepNext/>
              <w:keepLines/>
              <w:rPr>
                <w:rFonts w:ascii="Times New Roman" w:hAnsi="Times New Roman"/>
                <w:sz w:val="16"/>
                <w:szCs w:val="16"/>
                <w:lang w:val="es-ES"/>
              </w:rPr>
            </w:pPr>
          </w:p>
        </w:tc>
        <w:tc>
          <w:tcPr>
            <w:tcW w:w="544" w:type="pct"/>
            <w:noWrap/>
            <w:vAlign w:val="bottom"/>
          </w:tcPr>
          <w:p w14:paraId="487C68A1" w14:textId="77777777" w:rsidR="00140C31" w:rsidRPr="00AE4E8D" w:rsidRDefault="00140C31" w:rsidP="00091EF5">
            <w:pPr>
              <w:keepNext/>
              <w:keepLines/>
              <w:rPr>
                <w:rFonts w:ascii="Times New Roman" w:hAnsi="Times New Roman"/>
                <w:sz w:val="16"/>
                <w:szCs w:val="16"/>
                <w:lang w:val="es-ES"/>
              </w:rPr>
            </w:pPr>
          </w:p>
        </w:tc>
      </w:tr>
      <w:tr w:rsidR="00140C31" w:rsidRPr="00AE4E8D" w14:paraId="5DD05156" w14:textId="77777777" w:rsidTr="000400C8">
        <w:trPr>
          <w:trHeight w:val="259"/>
          <w:jc w:val="center"/>
        </w:trPr>
        <w:tc>
          <w:tcPr>
            <w:tcW w:w="990" w:type="pct"/>
            <w:noWrap/>
            <w:vAlign w:val="bottom"/>
            <w:hideMark/>
          </w:tcPr>
          <w:p w14:paraId="4D87744B" w14:textId="77777777" w:rsidR="00140C31" w:rsidRPr="00AE4E8D" w:rsidRDefault="00140C31" w:rsidP="00091EF5">
            <w:pPr>
              <w:keepNext/>
              <w:keepLines/>
              <w:rPr>
                <w:rFonts w:ascii="Times New Roman" w:hAnsi="Times New Roman"/>
                <w:sz w:val="16"/>
                <w:szCs w:val="16"/>
                <w:lang w:val="es-ES"/>
              </w:rPr>
            </w:pPr>
            <w:r w:rsidRPr="00AE4E8D">
              <w:rPr>
                <w:rFonts w:ascii="Times New Roman" w:hAnsi="Times New Roman"/>
                <w:sz w:val="16"/>
                <w:szCs w:val="16"/>
                <w:lang w:val="es-ES"/>
              </w:rPr>
              <w:t>Préstamos Hipotecarios</w:t>
            </w:r>
          </w:p>
        </w:tc>
        <w:tc>
          <w:tcPr>
            <w:tcW w:w="562" w:type="pct"/>
            <w:noWrap/>
            <w:vAlign w:val="bottom"/>
            <w:hideMark/>
          </w:tcPr>
          <w:p w14:paraId="60853C22"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671.087 </w:t>
            </w:r>
          </w:p>
        </w:tc>
        <w:tc>
          <w:tcPr>
            <w:tcW w:w="544" w:type="pct"/>
            <w:noWrap/>
            <w:vAlign w:val="bottom"/>
            <w:hideMark/>
          </w:tcPr>
          <w:p w14:paraId="7260CADA"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lang w:val="es-ES"/>
              </w:rPr>
              <w:t>1.</w:t>
            </w:r>
            <w:r w:rsidR="00140C31" w:rsidRPr="00AE4E8D">
              <w:rPr>
                <w:rFonts w:ascii="Times New Roman" w:hAnsi="Times New Roman"/>
                <w:color w:val="000000"/>
                <w:sz w:val="16"/>
                <w:szCs w:val="16"/>
                <w:lang w:val="es-ES"/>
              </w:rPr>
              <w:t xml:space="preserve">123.139 </w:t>
            </w:r>
          </w:p>
        </w:tc>
        <w:tc>
          <w:tcPr>
            <w:tcW w:w="433" w:type="pct"/>
            <w:noWrap/>
            <w:vAlign w:val="bottom"/>
            <w:hideMark/>
          </w:tcPr>
          <w:p w14:paraId="0652F99F"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575.076 </w:t>
            </w:r>
          </w:p>
        </w:tc>
        <w:tc>
          <w:tcPr>
            <w:tcW w:w="470" w:type="pct"/>
            <w:noWrap/>
            <w:vAlign w:val="bottom"/>
            <w:hideMark/>
          </w:tcPr>
          <w:p w14:paraId="383EF5F2"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276.528 </w:t>
            </w:r>
          </w:p>
        </w:tc>
        <w:tc>
          <w:tcPr>
            <w:tcW w:w="470" w:type="pct"/>
            <w:noWrap/>
            <w:vAlign w:val="bottom"/>
            <w:hideMark/>
          </w:tcPr>
          <w:p w14:paraId="626E0CB2"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20.849 </w:t>
            </w:r>
          </w:p>
        </w:tc>
        <w:tc>
          <w:tcPr>
            <w:tcW w:w="499" w:type="pct"/>
            <w:noWrap/>
            <w:vAlign w:val="bottom"/>
          </w:tcPr>
          <w:p w14:paraId="32E9E2F4" w14:textId="77777777" w:rsidR="00140C31" w:rsidRPr="00AE4E8D" w:rsidRDefault="00BA6262" w:rsidP="00091EF5">
            <w:pPr>
              <w:keepNext/>
              <w:keepLines/>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488" w:type="pct"/>
            <w:noWrap/>
            <w:vAlign w:val="bottom"/>
            <w:hideMark/>
          </w:tcPr>
          <w:p w14:paraId="51B47FC2" w14:textId="77777777" w:rsidR="00140C31" w:rsidRPr="00AE4E8D" w:rsidRDefault="00EB3492"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78.055 </w:t>
            </w:r>
          </w:p>
        </w:tc>
        <w:tc>
          <w:tcPr>
            <w:tcW w:w="544" w:type="pct"/>
            <w:noWrap/>
            <w:vAlign w:val="bottom"/>
            <w:hideMark/>
          </w:tcPr>
          <w:p w14:paraId="14961C82" w14:textId="77777777" w:rsidR="00140C31" w:rsidRPr="00AE4E8D" w:rsidRDefault="00FA3175"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 2.744.734 </w:t>
            </w:r>
          </w:p>
        </w:tc>
      </w:tr>
      <w:tr w:rsidR="00140C31" w:rsidRPr="00AE4E8D" w14:paraId="7FFEE4E5" w14:textId="77777777" w:rsidTr="000400C8">
        <w:trPr>
          <w:trHeight w:val="259"/>
          <w:jc w:val="center"/>
        </w:trPr>
        <w:tc>
          <w:tcPr>
            <w:tcW w:w="990" w:type="pct"/>
            <w:noWrap/>
            <w:vAlign w:val="bottom"/>
            <w:hideMark/>
          </w:tcPr>
          <w:p w14:paraId="1BCD2D3B" w14:textId="77777777" w:rsidR="00140C31" w:rsidRPr="00AE4E8D" w:rsidRDefault="00140C31" w:rsidP="00091EF5">
            <w:pPr>
              <w:keepNext/>
              <w:keepLines/>
              <w:rPr>
                <w:rFonts w:ascii="Times New Roman" w:hAnsi="Times New Roman"/>
                <w:sz w:val="16"/>
                <w:szCs w:val="16"/>
                <w:lang w:val="es-ES"/>
              </w:rPr>
            </w:pPr>
            <w:r w:rsidRPr="00AE4E8D">
              <w:rPr>
                <w:rFonts w:ascii="Times New Roman" w:hAnsi="Times New Roman"/>
                <w:sz w:val="16"/>
                <w:szCs w:val="16"/>
                <w:lang w:val="es-ES"/>
              </w:rPr>
              <w:t>Préstamos Personales</w:t>
            </w:r>
          </w:p>
        </w:tc>
        <w:tc>
          <w:tcPr>
            <w:tcW w:w="562" w:type="pct"/>
            <w:noWrap/>
            <w:vAlign w:val="bottom"/>
            <w:hideMark/>
          </w:tcPr>
          <w:p w14:paraId="294CF3DF"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1.472.543 </w:t>
            </w:r>
          </w:p>
        </w:tc>
        <w:tc>
          <w:tcPr>
            <w:tcW w:w="544" w:type="pct"/>
            <w:noWrap/>
            <w:vAlign w:val="bottom"/>
            <w:hideMark/>
          </w:tcPr>
          <w:p w14:paraId="083477C6"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2.917.374 </w:t>
            </w:r>
          </w:p>
        </w:tc>
        <w:tc>
          <w:tcPr>
            <w:tcW w:w="433" w:type="pct"/>
            <w:noWrap/>
            <w:vAlign w:val="bottom"/>
            <w:hideMark/>
          </w:tcPr>
          <w:p w14:paraId="5FE39E86"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69.976 </w:t>
            </w:r>
          </w:p>
        </w:tc>
        <w:tc>
          <w:tcPr>
            <w:tcW w:w="470" w:type="pct"/>
            <w:noWrap/>
            <w:vAlign w:val="bottom"/>
            <w:hideMark/>
          </w:tcPr>
          <w:p w14:paraId="3A457257"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70" w:type="pct"/>
            <w:noWrap/>
            <w:vAlign w:val="bottom"/>
            <w:hideMark/>
          </w:tcPr>
          <w:p w14:paraId="15405085"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99" w:type="pct"/>
            <w:noWrap/>
            <w:vAlign w:val="bottom"/>
          </w:tcPr>
          <w:p w14:paraId="5F5DBAC8" w14:textId="77777777" w:rsidR="00140C31" w:rsidRPr="00AE4E8D" w:rsidRDefault="00BA6262" w:rsidP="00091EF5">
            <w:pPr>
              <w:keepNext/>
              <w:keepLines/>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488" w:type="pct"/>
            <w:noWrap/>
            <w:vAlign w:val="bottom"/>
            <w:hideMark/>
          </w:tcPr>
          <w:p w14:paraId="29D37AE7" w14:textId="77777777" w:rsidR="00140C31" w:rsidRPr="00AE4E8D" w:rsidRDefault="00EB3492"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151.159 </w:t>
            </w:r>
          </w:p>
        </w:tc>
        <w:tc>
          <w:tcPr>
            <w:tcW w:w="544" w:type="pct"/>
            <w:noWrap/>
            <w:vAlign w:val="bottom"/>
            <w:hideMark/>
          </w:tcPr>
          <w:p w14:paraId="311EA724" w14:textId="77777777" w:rsidR="00140C31" w:rsidRPr="00AE4E8D" w:rsidRDefault="00FA3175"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 4.611.052 </w:t>
            </w:r>
          </w:p>
        </w:tc>
      </w:tr>
      <w:tr w:rsidR="00140C31" w:rsidRPr="00AE4E8D" w14:paraId="668C1A58" w14:textId="77777777" w:rsidTr="000400C8">
        <w:trPr>
          <w:trHeight w:val="259"/>
          <w:jc w:val="center"/>
        </w:trPr>
        <w:tc>
          <w:tcPr>
            <w:tcW w:w="990" w:type="pct"/>
            <w:noWrap/>
            <w:vAlign w:val="bottom"/>
            <w:hideMark/>
          </w:tcPr>
          <w:p w14:paraId="70A016B5" w14:textId="77777777" w:rsidR="00140C31" w:rsidRPr="00AE4E8D" w:rsidRDefault="00140C31" w:rsidP="00091EF5">
            <w:pPr>
              <w:keepNext/>
              <w:keepLines/>
              <w:rPr>
                <w:rFonts w:ascii="Times New Roman" w:hAnsi="Times New Roman"/>
                <w:sz w:val="16"/>
                <w:szCs w:val="16"/>
                <w:lang w:val="es-ES"/>
              </w:rPr>
            </w:pPr>
            <w:r w:rsidRPr="00AE4E8D">
              <w:rPr>
                <w:rFonts w:ascii="Times New Roman" w:hAnsi="Times New Roman"/>
                <w:sz w:val="16"/>
                <w:szCs w:val="16"/>
                <w:lang w:val="es-ES"/>
              </w:rPr>
              <w:t>Tarjetas de Crédito</w:t>
            </w:r>
          </w:p>
        </w:tc>
        <w:tc>
          <w:tcPr>
            <w:tcW w:w="562" w:type="pct"/>
            <w:noWrap/>
            <w:vAlign w:val="bottom"/>
            <w:hideMark/>
          </w:tcPr>
          <w:p w14:paraId="4893FEC9"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12.147.158 </w:t>
            </w:r>
          </w:p>
        </w:tc>
        <w:tc>
          <w:tcPr>
            <w:tcW w:w="544" w:type="pct"/>
            <w:noWrap/>
            <w:vAlign w:val="bottom"/>
            <w:hideMark/>
          </w:tcPr>
          <w:p w14:paraId="70A2478C"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33" w:type="pct"/>
            <w:noWrap/>
            <w:vAlign w:val="bottom"/>
            <w:hideMark/>
          </w:tcPr>
          <w:p w14:paraId="1C9FC098"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70" w:type="pct"/>
            <w:noWrap/>
            <w:vAlign w:val="bottom"/>
            <w:hideMark/>
          </w:tcPr>
          <w:p w14:paraId="37AC4F13"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70" w:type="pct"/>
            <w:noWrap/>
            <w:vAlign w:val="bottom"/>
            <w:hideMark/>
          </w:tcPr>
          <w:p w14:paraId="68626D28"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99" w:type="pct"/>
            <w:noWrap/>
            <w:vAlign w:val="bottom"/>
          </w:tcPr>
          <w:p w14:paraId="23028EE5" w14:textId="77777777" w:rsidR="00140C31" w:rsidRPr="00AE4E8D" w:rsidRDefault="00BA6262" w:rsidP="00091EF5">
            <w:pPr>
              <w:keepNext/>
              <w:keepLines/>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488" w:type="pct"/>
            <w:noWrap/>
            <w:vAlign w:val="bottom"/>
            <w:hideMark/>
          </w:tcPr>
          <w:p w14:paraId="3430A83B" w14:textId="77777777" w:rsidR="00140C31" w:rsidRPr="00AE4E8D" w:rsidRDefault="00EB3492"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516.245 </w:t>
            </w:r>
          </w:p>
        </w:tc>
        <w:tc>
          <w:tcPr>
            <w:tcW w:w="544" w:type="pct"/>
            <w:noWrap/>
            <w:vAlign w:val="bottom"/>
            <w:hideMark/>
          </w:tcPr>
          <w:p w14:paraId="49B2AC62" w14:textId="77777777" w:rsidR="00140C31" w:rsidRPr="00AE4E8D" w:rsidRDefault="00FA3175"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 12.663.403 </w:t>
            </w:r>
          </w:p>
        </w:tc>
      </w:tr>
      <w:tr w:rsidR="00140C31" w:rsidRPr="00AE4E8D" w14:paraId="7E9033C9" w14:textId="77777777" w:rsidTr="000400C8">
        <w:trPr>
          <w:trHeight w:val="259"/>
          <w:jc w:val="center"/>
        </w:trPr>
        <w:tc>
          <w:tcPr>
            <w:tcW w:w="990" w:type="pct"/>
            <w:noWrap/>
            <w:vAlign w:val="bottom"/>
            <w:hideMark/>
          </w:tcPr>
          <w:p w14:paraId="27DB8DA4" w14:textId="77777777" w:rsidR="00140C31" w:rsidRPr="00AE4E8D" w:rsidRDefault="006D55C2" w:rsidP="00091EF5">
            <w:pPr>
              <w:keepNext/>
              <w:keepLines/>
              <w:rPr>
                <w:rFonts w:ascii="Times New Roman" w:hAnsi="Times New Roman"/>
                <w:sz w:val="16"/>
                <w:szCs w:val="16"/>
                <w:lang w:val="es-ES"/>
              </w:rPr>
            </w:pPr>
            <w:r w:rsidRPr="00AE4E8D">
              <w:rPr>
                <w:rFonts w:ascii="Times New Roman" w:hAnsi="Times New Roman"/>
                <w:sz w:val="16"/>
                <w:szCs w:val="16"/>
                <w:lang w:val="es-ES"/>
              </w:rPr>
              <w:t>Adelantos</w:t>
            </w:r>
            <w:r w:rsidR="00140C31" w:rsidRPr="00AE4E8D">
              <w:rPr>
                <w:rFonts w:ascii="Times New Roman" w:hAnsi="Times New Roman"/>
                <w:sz w:val="16"/>
                <w:szCs w:val="16"/>
                <w:lang w:val="es-ES"/>
              </w:rPr>
              <w:t xml:space="preserve"> en Cta. Cte.</w:t>
            </w:r>
          </w:p>
        </w:tc>
        <w:tc>
          <w:tcPr>
            <w:tcW w:w="562" w:type="pct"/>
            <w:noWrap/>
            <w:vAlign w:val="bottom"/>
            <w:hideMark/>
          </w:tcPr>
          <w:p w14:paraId="2CD5A718"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241.164 </w:t>
            </w:r>
          </w:p>
        </w:tc>
        <w:tc>
          <w:tcPr>
            <w:tcW w:w="544" w:type="pct"/>
            <w:noWrap/>
            <w:vAlign w:val="bottom"/>
            <w:hideMark/>
          </w:tcPr>
          <w:p w14:paraId="1B780762"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148 </w:t>
            </w:r>
          </w:p>
        </w:tc>
        <w:tc>
          <w:tcPr>
            <w:tcW w:w="433" w:type="pct"/>
            <w:noWrap/>
            <w:vAlign w:val="bottom"/>
            <w:hideMark/>
          </w:tcPr>
          <w:p w14:paraId="66BFEEE6"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70" w:type="pct"/>
            <w:noWrap/>
            <w:vAlign w:val="bottom"/>
            <w:hideMark/>
          </w:tcPr>
          <w:p w14:paraId="6C3CE583"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70" w:type="pct"/>
            <w:noWrap/>
            <w:vAlign w:val="bottom"/>
            <w:hideMark/>
          </w:tcPr>
          <w:p w14:paraId="773DCB5F"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99" w:type="pct"/>
            <w:noWrap/>
            <w:vAlign w:val="bottom"/>
          </w:tcPr>
          <w:p w14:paraId="18AFF439" w14:textId="77777777" w:rsidR="00140C31" w:rsidRPr="00AE4E8D" w:rsidRDefault="00BA6262" w:rsidP="00091EF5">
            <w:pPr>
              <w:keepNext/>
              <w:keepLines/>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488" w:type="pct"/>
            <w:noWrap/>
            <w:vAlign w:val="bottom"/>
            <w:hideMark/>
          </w:tcPr>
          <w:p w14:paraId="3138FA29" w14:textId="77777777" w:rsidR="00140C31" w:rsidRPr="00AE4E8D" w:rsidRDefault="00EB3492"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48.841 </w:t>
            </w:r>
          </w:p>
        </w:tc>
        <w:tc>
          <w:tcPr>
            <w:tcW w:w="544" w:type="pct"/>
            <w:noWrap/>
            <w:vAlign w:val="bottom"/>
            <w:hideMark/>
          </w:tcPr>
          <w:p w14:paraId="71E1CD5C" w14:textId="77777777" w:rsidR="00140C31" w:rsidRPr="00AE4E8D" w:rsidRDefault="00FA3175"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 290.153 </w:t>
            </w:r>
          </w:p>
        </w:tc>
      </w:tr>
      <w:tr w:rsidR="00140C31" w:rsidRPr="00AE4E8D" w14:paraId="3CCE918A" w14:textId="77777777" w:rsidTr="000400C8">
        <w:trPr>
          <w:trHeight w:val="259"/>
          <w:jc w:val="center"/>
        </w:trPr>
        <w:tc>
          <w:tcPr>
            <w:tcW w:w="990" w:type="pct"/>
            <w:noWrap/>
            <w:vAlign w:val="bottom"/>
            <w:hideMark/>
          </w:tcPr>
          <w:p w14:paraId="7D1F9F7A" w14:textId="77777777" w:rsidR="00140C31" w:rsidRPr="00AE4E8D" w:rsidRDefault="00140C31" w:rsidP="00091EF5">
            <w:pPr>
              <w:keepNext/>
              <w:keepLines/>
              <w:rPr>
                <w:rFonts w:ascii="Times New Roman" w:hAnsi="Times New Roman"/>
                <w:sz w:val="16"/>
                <w:szCs w:val="16"/>
                <w:lang w:val="es-ES"/>
              </w:rPr>
            </w:pPr>
            <w:r w:rsidRPr="00AE4E8D">
              <w:rPr>
                <w:rFonts w:ascii="Times New Roman" w:hAnsi="Times New Roman"/>
                <w:sz w:val="16"/>
                <w:szCs w:val="16"/>
                <w:lang w:val="es-ES"/>
              </w:rPr>
              <w:t>Otros Préstamos</w:t>
            </w:r>
          </w:p>
        </w:tc>
        <w:tc>
          <w:tcPr>
            <w:tcW w:w="562" w:type="pct"/>
            <w:noWrap/>
            <w:vAlign w:val="bottom"/>
            <w:hideMark/>
          </w:tcPr>
          <w:p w14:paraId="4135F618"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5.552.974 </w:t>
            </w:r>
          </w:p>
        </w:tc>
        <w:tc>
          <w:tcPr>
            <w:tcW w:w="544" w:type="pct"/>
            <w:noWrap/>
            <w:vAlign w:val="bottom"/>
            <w:hideMark/>
          </w:tcPr>
          <w:p w14:paraId="4E2ECA6A"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lang w:val="es-ES"/>
              </w:rPr>
              <w:t>1.</w:t>
            </w:r>
            <w:r w:rsidR="00140C31" w:rsidRPr="00AE4E8D">
              <w:rPr>
                <w:rFonts w:ascii="Times New Roman" w:hAnsi="Times New Roman"/>
                <w:color w:val="000000"/>
                <w:sz w:val="16"/>
                <w:szCs w:val="16"/>
                <w:lang w:val="es-ES"/>
              </w:rPr>
              <w:t xml:space="preserve">790.090 </w:t>
            </w:r>
          </w:p>
        </w:tc>
        <w:tc>
          <w:tcPr>
            <w:tcW w:w="433" w:type="pct"/>
            <w:noWrap/>
            <w:vAlign w:val="bottom"/>
            <w:hideMark/>
          </w:tcPr>
          <w:p w14:paraId="74181A39"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16.632 </w:t>
            </w:r>
          </w:p>
        </w:tc>
        <w:tc>
          <w:tcPr>
            <w:tcW w:w="470" w:type="pct"/>
            <w:noWrap/>
            <w:vAlign w:val="bottom"/>
            <w:hideMark/>
          </w:tcPr>
          <w:p w14:paraId="5BB2F51E"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4.568 </w:t>
            </w:r>
          </w:p>
        </w:tc>
        <w:tc>
          <w:tcPr>
            <w:tcW w:w="470" w:type="pct"/>
            <w:noWrap/>
            <w:vAlign w:val="bottom"/>
            <w:hideMark/>
          </w:tcPr>
          <w:p w14:paraId="7B7255D6"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99" w:type="pct"/>
            <w:noWrap/>
            <w:vAlign w:val="bottom"/>
          </w:tcPr>
          <w:p w14:paraId="6C54000E" w14:textId="77777777" w:rsidR="00140C31" w:rsidRPr="00AE4E8D" w:rsidRDefault="00BA6262" w:rsidP="00091EF5">
            <w:pPr>
              <w:keepNext/>
              <w:keepLines/>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488" w:type="pct"/>
            <w:noWrap/>
            <w:vAlign w:val="bottom"/>
            <w:hideMark/>
          </w:tcPr>
          <w:p w14:paraId="6D93091A" w14:textId="77777777" w:rsidR="00140C31" w:rsidRPr="00AE4E8D" w:rsidRDefault="00EB3492"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47.798 </w:t>
            </w:r>
          </w:p>
        </w:tc>
        <w:tc>
          <w:tcPr>
            <w:tcW w:w="544" w:type="pct"/>
            <w:noWrap/>
            <w:vAlign w:val="bottom"/>
            <w:hideMark/>
          </w:tcPr>
          <w:p w14:paraId="3CD11991" w14:textId="77777777" w:rsidR="00140C31" w:rsidRPr="00AE4E8D" w:rsidRDefault="00FA3175"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 7.412.062 </w:t>
            </w:r>
          </w:p>
        </w:tc>
      </w:tr>
      <w:tr w:rsidR="00140C31" w:rsidRPr="00AE4E8D" w14:paraId="644E5E87" w14:textId="77777777" w:rsidTr="000400C8">
        <w:trPr>
          <w:trHeight w:val="259"/>
          <w:jc w:val="center"/>
        </w:trPr>
        <w:tc>
          <w:tcPr>
            <w:tcW w:w="990" w:type="pct"/>
            <w:noWrap/>
            <w:vAlign w:val="bottom"/>
            <w:hideMark/>
          </w:tcPr>
          <w:p w14:paraId="5BB22802" w14:textId="77777777" w:rsidR="00140C31" w:rsidRPr="00AE4E8D" w:rsidRDefault="00140C31" w:rsidP="00091EF5">
            <w:pPr>
              <w:keepNext/>
              <w:keepLines/>
              <w:rPr>
                <w:rFonts w:ascii="Times New Roman" w:hAnsi="Times New Roman"/>
                <w:sz w:val="16"/>
                <w:szCs w:val="16"/>
                <w:lang w:val="es-ES"/>
              </w:rPr>
            </w:pPr>
            <w:r w:rsidRPr="00AE4E8D">
              <w:rPr>
                <w:rFonts w:ascii="Times New Roman" w:hAnsi="Times New Roman"/>
                <w:sz w:val="16"/>
                <w:szCs w:val="16"/>
                <w:lang w:val="es-ES"/>
              </w:rPr>
              <w:t>Sector Público</w:t>
            </w:r>
          </w:p>
        </w:tc>
        <w:tc>
          <w:tcPr>
            <w:tcW w:w="562" w:type="pct"/>
            <w:noWrap/>
            <w:vAlign w:val="bottom"/>
            <w:hideMark/>
          </w:tcPr>
          <w:p w14:paraId="5CB5BC80"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60.465 </w:t>
            </w:r>
          </w:p>
        </w:tc>
        <w:tc>
          <w:tcPr>
            <w:tcW w:w="544" w:type="pct"/>
            <w:noWrap/>
            <w:vAlign w:val="bottom"/>
            <w:hideMark/>
          </w:tcPr>
          <w:p w14:paraId="430D6A4B"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92.567 </w:t>
            </w:r>
          </w:p>
        </w:tc>
        <w:tc>
          <w:tcPr>
            <w:tcW w:w="433" w:type="pct"/>
            <w:noWrap/>
            <w:vAlign w:val="bottom"/>
            <w:hideMark/>
          </w:tcPr>
          <w:p w14:paraId="74B39962"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70" w:type="pct"/>
            <w:noWrap/>
            <w:vAlign w:val="bottom"/>
            <w:hideMark/>
          </w:tcPr>
          <w:p w14:paraId="29103226"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70" w:type="pct"/>
            <w:noWrap/>
            <w:vAlign w:val="bottom"/>
            <w:hideMark/>
          </w:tcPr>
          <w:p w14:paraId="6D60A4DB"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99" w:type="pct"/>
            <w:noWrap/>
            <w:vAlign w:val="bottom"/>
          </w:tcPr>
          <w:p w14:paraId="2FA16995" w14:textId="77777777" w:rsidR="00140C31" w:rsidRPr="00AE4E8D" w:rsidRDefault="00BA6262" w:rsidP="00091EF5">
            <w:pPr>
              <w:keepNext/>
              <w:keepLines/>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488" w:type="pct"/>
            <w:noWrap/>
            <w:vAlign w:val="bottom"/>
            <w:hideMark/>
          </w:tcPr>
          <w:p w14:paraId="5E5C5510" w14:textId="77777777" w:rsidR="00140C31" w:rsidRPr="00AE4E8D" w:rsidRDefault="00140C31"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544" w:type="pct"/>
            <w:noWrap/>
            <w:vAlign w:val="bottom"/>
            <w:hideMark/>
          </w:tcPr>
          <w:p w14:paraId="17384226" w14:textId="77777777" w:rsidR="00140C31" w:rsidRPr="00AE4E8D" w:rsidRDefault="00FA3175"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 153.032 </w:t>
            </w:r>
          </w:p>
        </w:tc>
      </w:tr>
      <w:tr w:rsidR="00140C31" w:rsidRPr="00AE4E8D" w14:paraId="6B449902" w14:textId="77777777" w:rsidTr="000400C8">
        <w:trPr>
          <w:trHeight w:val="259"/>
          <w:jc w:val="center"/>
        </w:trPr>
        <w:tc>
          <w:tcPr>
            <w:tcW w:w="990" w:type="pct"/>
            <w:noWrap/>
            <w:vAlign w:val="bottom"/>
            <w:hideMark/>
          </w:tcPr>
          <w:p w14:paraId="2D8D601F" w14:textId="77777777" w:rsidR="00140C31" w:rsidRPr="00AE4E8D" w:rsidRDefault="00140C31" w:rsidP="00091EF5">
            <w:pPr>
              <w:keepNext/>
              <w:keepLines/>
              <w:rPr>
                <w:rFonts w:ascii="Times New Roman" w:hAnsi="Times New Roman"/>
                <w:sz w:val="16"/>
                <w:szCs w:val="16"/>
                <w:lang w:val="es-ES"/>
              </w:rPr>
            </w:pPr>
            <w:r w:rsidRPr="00AE4E8D">
              <w:rPr>
                <w:rFonts w:ascii="Times New Roman" w:hAnsi="Times New Roman"/>
                <w:sz w:val="16"/>
                <w:szCs w:val="16"/>
                <w:lang w:val="es-ES"/>
              </w:rPr>
              <w:t>Intereses devengados a cobrar</w:t>
            </w:r>
          </w:p>
        </w:tc>
        <w:tc>
          <w:tcPr>
            <w:tcW w:w="562" w:type="pct"/>
            <w:noWrap/>
            <w:vAlign w:val="bottom"/>
            <w:hideMark/>
          </w:tcPr>
          <w:p w14:paraId="23AD6180" w14:textId="77777777" w:rsidR="00140C31" w:rsidRPr="00AE4E8D" w:rsidRDefault="00EB3492"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247.128 </w:t>
            </w:r>
          </w:p>
        </w:tc>
        <w:tc>
          <w:tcPr>
            <w:tcW w:w="544" w:type="pct"/>
            <w:noWrap/>
            <w:vAlign w:val="bottom"/>
            <w:hideMark/>
          </w:tcPr>
          <w:p w14:paraId="4D8235FA"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33" w:type="pct"/>
            <w:noWrap/>
            <w:vAlign w:val="bottom"/>
            <w:hideMark/>
          </w:tcPr>
          <w:p w14:paraId="175DA6CB"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70" w:type="pct"/>
            <w:noWrap/>
            <w:vAlign w:val="bottom"/>
            <w:hideMark/>
          </w:tcPr>
          <w:p w14:paraId="7ED46D98"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70" w:type="pct"/>
            <w:noWrap/>
            <w:vAlign w:val="bottom"/>
            <w:hideMark/>
          </w:tcPr>
          <w:p w14:paraId="367D54BC" w14:textId="77777777" w:rsidR="00140C31" w:rsidRPr="00AE4E8D" w:rsidRDefault="00FA3175" w:rsidP="00091EF5">
            <w:pPr>
              <w:keepNext/>
              <w:keepLines/>
              <w:jc w:val="right"/>
              <w:rPr>
                <w:rFonts w:ascii="Times New Roman" w:hAnsi="Times New Roman"/>
                <w:color w:val="000000"/>
                <w:sz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140C31" w:rsidRPr="00AE4E8D">
              <w:rPr>
                <w:rFonts w:ascii="Times New Roman" w:hAnsi="Times New Roman"/>
                <w:color w:val="000000"/>
                <w:sz w:val="16"/>
                <w:szCs w:val="16"/>
                <w:lang w:val="es-ES"/>
              </w:rPr>
              <w:t xml:space="preserve"> </w:t>
            </w:r>
          </w:p>
        </w:tc>
        <w:tc>
          <w:tcPr>
            <w:tcW w:w="499" w:type="pct"/>
            <w:noWrap/>
            <w:vAlign w:val="bottom"/>
          </w:tcPr>
          <w:p w14:paraId="01287529" w14:textId="77777777" w:rsidR="00140C31" w:rsidRPr="00AE4E8D" w:rsidRDefault="00BA6262" w:rsidP="00091EF5">
            <w:pPr>
              <w:keepNext/>
              <w:keepLines/>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488" w:type="pct"/>
            <w:noWrap/>
            <w:vAlign w:val="bottom"/>
            <w:hideMark/>
          </w:tcPr>
          <w:p w14:paraId="0823569A" w14:textId="77777777" w:rsidR="00140C31" w:rsidRPr="00AE4E8D" w:rsidRDefault="00140C31"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544" w:type="pct"/>
            <w:noWrap/>
            <w:vAlign w:val="bottom"/>
            <w:hideMark/>
          </w:tcPr>
          <w:p w14:paraId="4EBE07F8" w14:textId="77777777" w:rsidR="00140C31" w:rsidRPr="00AE4E8D" w:rsidRDefault="00FA3175" w:rsidP="00091EF5">
            <w:pPr>
              <w:keepNext/>
              <w:keepLines/>
              <w:jc w:val="right"/>
              <w:rPr>
                <w:rFonts w:ascii="Times New Roman" w:hAnsi="Times New Roman"/>
                <w:sz w:val="16"/>
                <w:lang w:val="es-ES"/>
              </w:rPr>
            </w:pPr>
            <w:r w:rsidRPr="00AE4E8D">
              <w:rPr>
                <w:rFonts w:ascii="Times New Roman" w:hAnsi="Times New Roman"/>
                <w:sz w:val="16"/>
                <w:szCs w:val="16"/>
                <w:lang w:val="es-ES"/>
              </w:rPr>
              <w:t xml:space="preserve"> </w:t>
            </w:r>
            <w:r w:rsidR="00EB3492"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 247.128 </w:t>
            </w:r>
          </w:p>
        </w:tc>
      </w:tr>
      <w:tr w:rsidR="00140C31" w:rsidRPr="00AE4E8D" w14:paraId="13C670DC" w14:textId="77777777" w:rsidTr="000400C8">
        <w:trPr>
          <w:trHeight w:val="259"/>
          <w:jc w:val="center"/>
        </w:trPr>
        <w:tc>
          <w:tcPr>
            <w:tcW w:w="990" w:type="pct"/>
            <w:noWrap/>
            <w:vAlign w:val="bottom"/>
          </w:tcPr>
          <w:p w14:paraId="41AED711" w14:textId="77777777" w:rsidR="00140C31" w:rsidRPr="00AE4E8D" w:rsidRDefault="00140C31" w:rsidP="00091EF5">
            <w:pPr>
              <w:keepNext/>
              <w:keepLines/>
              <w:rPr>
                <w:rFonts w:ascii="Times New Roman" w:hAnsi="Times New Roman"/>
                <w:sz w:val="16"/>
                <w:szCs w:val="16"/>
                <w:lang w:val="es-ES"/>
              </w:rPr>
            </w:pPr>
          </w:p>
        </w:tc>
        <w:tc>
          <w:tcPr>
            <w:tcW w:w="562" w:type="pct"/>
            <w:noWrap/>
            <w:vAlign w:val="bottom"/>
          </w:tcPr>
          <w:p w14:paraId="6B7D6C08" w14:textId="77777777" w:rsidR="00140C31" w:rsidRPr="00AE4E8D" w:rsidRDefault="00140C31" w:rsidP="00091EF5">
            <w:pPr>
              <w:keepNext/>
              <w:keepLines/>
              <w:jc w:val="right"/>
              <w:rPr>
                <w:rFonts w:ascii="Times New Roman" w:hAnsi="Times New Roman"/>
                <w:sz w:val="16"/>
                <w:szCs w:val="16"/>
                <w:lang w:val="es-ES"/>
              </w:rPr>
            </w:pPr>
          </w:p>
        </w:tc>
        <w:tc>
          <w:tcPr>
            <w:tcW w:w="544" w:type="pct"/>
            <w:noWrap/>
            <w:vAlign w:val="bottom"/>
          </w:tcPr>
          <w:p w14:paraId="45A66C56" w14:textId="77777777" w:rsidR="00140C31" w:rsidRPr="00AE4E8D" w:rsidRDefault="00140C31" w:rsidP="00091EF5">
            <w:pPr>
              <w:keepNext/>
              <w:keepLines/>
              <w:jc w:val="right"/>
              <w:rPr>
                <w:rFonts w:ascii="Times New Roman" w:hAnsi="Times New Roman"/>
                <w:sz w:val="16"/>
                <w:szCs w:val="16"/>
                <w:lang w:val="es-ES"/>
              </w:rPr>
            </w:pPr>
          </w:p>
        </w:tc>
        <w:tc>
          <w:tcPr>
            <w:tcW w:w="433" w:type="pct"/>
            <w:noWrap/>
            <w:vAlign w:val="bottom"/>
          </w:tcPr>
          <w:p w14:paraId="1C96FBC8" w14:textId="77777777" w:rsidR="00140C31" w:rsidRPr="00AE4E8D" w:rsidRDefault="00140C31" w:rsidP="00091EF5">
            <w:pPr>
              <w:keepNext/>
              <w:keepLines/>
              <w:jc w:val="right"/>
              <w:rPr>
                <w:rFonts w:ascii="Times New Roman" w:hAnsi="Times New Roman"/>
                <w:sz w:val="16"/>
                <w:szCs w:val="16"/>
                <w:lang w:val="es-ES"/>
              </w:rPr>
            </w:pPr>
          </w:p>
        </w:tc>
        <w:tc>
          <w:tcPr>
            <w:tcW w:w="470" w:type="pct"/>
            <w:noWrap/>
            <w:vAlign w:val="bottom"/>
          </w:tcPr>
          <w:p w14:paraId="6745E7A5" w14:textId="77777777" w:rsidR="00140C31" w:rsidRPr="00AE4E8D" w:rsidRDefault="00140C31" w:rsidP="00091EF5">
            <w:pPr>
              <w:keepNext/>
              <w:keepLines/>
              <w:jc w:val="right"/>
              <w:rPr>
                <w:rFonts w:ascii="Times New Roman" w:hAnsi="Times New Roman"/>
                <w:sz w:val="16"/>
                <w:szCs w:val="16"/>
                <w:lang w:val="es-ES"/>
              </w:rPr>
            </w:pPr>
          </w:p>
        </w:tc>
        <w:tc>
          <w:tcPr>
            <w:tcW w:w="470" w:type="pct"/>
            <w:noWrap/>
            <w:vAlign w:val="bottom"/>
          </w:tcPr>
          <w:p w14:paraId="7FD4836C" w14:textId="77777777" w:rsidR="00140C31" w:rsidRPr="00AE4E8D" w:rsidRDefault="00140C31" w:rsidP="00091EF5">
            <w:pPr>
              <w:keepNext/>
              <w:keepLines/>
              <w:jc w:val="right"/>
              <w:rPr>
                <w:rFonts w:ascii="Times New Roman" w:hAnsi="Times New Roman"/>
                <w:sz w:val="16"/>
                <w:szCs w:val="16"/>
                <w:lang w:val="es-ES"/>
              </w:rPr>
            </w:pPr>
          </w:p>
        </w:tc>
        <w:tc>
          <w:tcPr>
            <w:tcW w:w="499" w:type="pct"/>
            <w:noWrap/>
            <w:vAlign w:val="bottom"/>
          </w:tcPr>
          <w:p w14:paraId="16C2C850" w14:textId="77777777" w:rsidR="00140C31" w:rsidRPr="00AE4E8D" w:rsidRDefault="00140C31" w:rsidP="00091EF5">
            <w:pPr>
              <w:keepNext/>
              <w:keepLines/>
              <w:jc w:val="right"/>
              <w:rPr>
                <w:rFonts w:ascii="Times New Roman" w:hAnsi="Times New Roman"/>
                <w:sz w:val="16"/>
                <w:szCs w:val="16"/>
                <w:lang w:val="es-ES"/>
              </w:rPr>
            </w:pPr>
          </w:p>
        </w:tc>
        <w:tc>
          <w:tcPr>
            <w:tcW w:w="488" w:type="pct"/>
            <w:noWrap/>
            <w:vAlign w:val="bottom"/>
          </w:tcPr>
          <w:p w14:paraId="498B6520" w14:textId="77777777" w:rsidR="00140C31" w:rsidRPr="00AE4E8D" w:rsidRDefault="00140C31" w:rsidP="00091EF5">
            <w:pPr>
              <w:keepNext/>
              <w:keepLines/>
              <w:jc w:val="right"/>
              <w:rPr>
                <w:rFonts w:ascii="Times New Roman" w:hAnsi="Times New Roman"/>
                <w:sz w:val="16"/>
                <w:szCs w:val="16"/>
                <w:lang w:val="es-ES"/>
              </w:rPr>
            </w:pPr>
          </w:p>
        </w:tc>
        <w:tc>
          <w:tcPr>
            <w:tcW w:w="544" w:type="pct"/>
            <w:noWrap/>
            <w:vAlign w:val="bottom"/>
          </w:tcPr>
          <w:p w14:paraId="03B36215" w14:textId="77777777" w:rsidR="00140C31" w:rsidRPr="00AE4E8D" w:rsidRDefault="00140C31" w:rsidP="00091EF5">
            <w:pPr>
              <w:keepNext/>
              <w:keepLines/>
              <w:jc w:val="right"/>
              <w:rPr>
                <w:rFonts w:ascii="Times New Roman" w:hAnsi="Times New Roman"/>
                <w:sz w:val="16"/>
                <w:szCs w:val="16"/>
                <w:lang w:val="es-ES"/>
              </w:rPr>
            </w:pPr>
          </w:p>
        </w:tc>
      </w:tr>
      <w:tr w:rsidR="00140C31" w:rsidRPr="00AE4E8D" w14:paraId="5830FA15" w14:textId="77777777" w:rsidTr="000400C8">
        <w:trPr>
          <w:trHeight w:val="259"/>
          <w:jc w:val="center"/>
        </w:trPr>
        <w:tc>
          <w:tcPr>
            <w:tcW w:w="990" w:type="pct"/>
            <w:noWrap/>
            <w:vAlign w:val="bottom"/>
            <w:hideMark/>
          </w:tcPr>
          <w:p w14:paraId="3EE4685C" w14:textId="77777777" w:rsidR="00140C31" w:rsidRPr="00AE4E8D" w:rsidRDefault="00140C31" w:rsidP="00091EF5">
            <w:pPr>
              <w:keepNext/>
              <w:keepLines/>
              <w:rPr>
                <w:rFonts w:ascii="Times New Roman" w:hAnsi="Times New Roman"/>
                <w:sz w:val="16"/>
                <w:szCs w:val="16"/>
                <w:lang w:val="es-ES"/>
              </w:rPr>
            </w:pPr>
            <w:r w:rsidRPr="00AE4E8D">
              <w:rPr>
                <w:rFonts w:ascii="Times New Roman" w:hAnsi="Times New Roman"/>
                <w:sz w:val="16"/>
                <w:szCs w:val="16"/>
                <w:lang w:val="es-ES"/>
              </w:rPr>
              <w:t>Total Préstamos</w:t>
            </w:r>
          </w:p>
        </w:tc>
        <w:tc>
          <w:tcPr>
            <w:tcW w:w="562" w:type="pct"/>
            <w:tcBorders>
              <w:top w:val="single" w:sz="4" w:space="0" w:color="auto"/>
              <w:left w:val="nil"/>
              <w:bottom w:val="nil"/>
              <w:right w:val="nil"/>
            </w:tcBorders>
            <w:noWrap/>
            <w:vAlign w:val="bottom"/>
            <w:hideMark/>
          </w:tcPr>
          <w:p w14:paraId="5B84735A" w14:textId="77777777" w:rsidR="00140C31" w:rsidRPr="00AE4E8D" w:rsidRDefault="00EB3492" w:rsidP="00091EF5">
            <w:pPr>
              <w:keepNext/>
              <w:keepLines/>
              <w:jc w:val="right"/>
              <w:rPr>
                <w:rFonts w:ascii="Times New Roman" w:hAnsi="Times New Roman"/>
                <w:b/>
                <w:sz w:val="16"/>
                <w:lang w:val="es-ES"/>
              </w:rPr>
            </w:pPr>
            <w:r w:rsidRPr="00AE4E8D">
              <w:rPr>
                <w:rFonts w:ascii="Times New Roman" w:hAnsi="Times New Roman"/>
                <w:b/>
                <w:bCs/>
                <w:sz w:val="16"/>
                <w:szCs w:val="16"/>
                <w:lang w:val="es-ES"/>
              </w:rPr>
              <w:t xml:space="preserve">   </w:t>
            </w:r>
            <w:r w:rsidR="00140C31" w:rsidRPr="00AE4E8D">
              <w:rPr>
                <w:rFonts w:ascii="Times New Roman" w:hAnsi="Times New Roman"/>
                <w:b/>
                <w:bCs/>
                <w:sz w:val="16"/>
                <w:szCs w:val="16"/>
                <w:lang w:val="es-ES"/>
              </w:rPr>
              <w:t xml:space="preserve"> 20.392.519 </w:t>
            </w:r>
          </w:p>
        </w:tc>
        <w:tc>
          <w:tcPr>
            <w:tcW w:w="544" w:type="pct"/>
            <w:tcBorders>
              <w:top w:val="single" w:sz="4" w:space="0" w:color="auto"/>
              <w:left w:val="nil"/>
              <w:bottom w:val="nil"/>
              <w:right w:val="nil"/>
            </w:tcBorders>
            <w:noWrap/>
            <w:vAlign w:val="bottom"/>
            <w:hideMark/>
          </w:tcPr>
          <w:p w14:paraId="034A2D0C" w14:textId="77777777" w:rsidR="00140C31" w:rsidRPr="00AE4E8D" w:rsidRDefault="00EB3492" w:rsidP="00091EF5">
            <w:pPr>
              <w:keepNext/>
              <w:keepLines/>
              <w:jc w:val="right"/>
              <w:rPr>
                <w:rFonts w:ascii="Times New Roman" w:hAnsi="Times New Roman"/>
                <w:b/>
                <w:sz w:val="16"/>
                <w:lang w:val="es-ES"/>
              </w:rPr>
            </w:pPr>
            <w:r w:rsidRPr="00AE4E8D">
              <w:rPr>
                <w:rFonts w:ascii="Times New Roman" w:hAnsi="Times New Roman"/>
                <w:b/>
                <w:bCs/>
                <w:sz w:val="16"/>
                <w:szCs w:val="16"/>
                <w:lang w:val="es-ES"/>
              </w:rPr>
              <w:t xml:space="preserve">    </w:t>
            </w:r>
            <w:r w:rsidR="00140C31" w:rsidRPr="00AE4E8D">
              <w:rPr>
                <w:rFonts w:ascii="Times New Roman" w:hAnsi="Times New Roman"/>
                <w:b/>
                <w:bCs/>
                <w:sz w:val="16"/>
                <w:szCs w:val="16"/>
                <w:lang w:val="es-ES"/>
              </w:rPr>
              <w:t xml:space="preserve">5.923.318 </w:t>
            </w:r>
          </w:p>
        </w:tc>
        <w:tc>
          <w:tcPr>
            <w:tcW w:w="433" w:type="pct"/>
            <w:tcBorders>
              <w:top w:val="single" w:sz="4" w:space="0" w:color="auto"/>
              <w:left w:val="nil"/>
              <w:bottom w:val="nil"/>
              <w:right w:val="nil"/>
            </w:tcBorders>
            <w:noWrap/>
            <w:vAlign w:val="bottom"/>
            <w:hideMark/>
          </w:tcPr>
          <w:p w14:paraId="4FAEE7AC" w14:textId="77777777" w:rsidR="00140C31" w:rsidRPr="00AE4E8D" w:rsidRDefault="00EB3492" w:rsidP="00091EF5">
            <w:pPr>
              <w:keepNext/>
              <w:keepLines/>
              <w:jc w:val="right"/>
              <w:rPr>
                <w:rFonts w:ascii="Times New Roman" w:hAnsi="Times New Roman"/>
                <w:b/>
                <w:sz w:val="16"/>
                <w:lang w:val="es-ES"/>
              </w:rPr>
            </w:pPr>
            <w:r w:rsidRPr="00AE4E8D">
              <w:rPr>
                <w:rFonts w:ascii="Times New Roman" w:hAnsi="Times New Roman"/>
                <w:b/>
                <w:bCs/>
                <w:sz w:val="16"/>
                <w:szCs w:val="16"/>
                <w:lang w:val="es-ES"/>
              </w:rPr>
              <w:t xml:space="preserve">  </w:t>
            </w:r>
            <w:r w:rsidR="00140C31" w:rsidRPr="00AE4E8D">
              <w:rPr>
                <w:rFonts w:ascii="Times New Roman" w:hAnsi="Times New Roman"/>
                <w:b/>
                <w:bCs/>
                <w:sz w:val="16"/>
                <w:szCs w:val="16"/>
                <w:lang w:val="es-ES"/>
              </w:rPr>
              <w:t xml:space="preserve"> 661.684 </w:t>
            </w:r>
          </w:p>
        </w:tc>
        <w:tc>
          <w:tcPr>
            <w:tcW w:w="470" w:type="pct"/>
            <w:tcBorders>
              <w:top w:val="single" w:sz="4" w:space="0" w:color="auto"/>
              <w:left w:val="nil"/>
              <w:bottom w:val="nil"/>
              <w:right w:val="nil"/>
            </w:tcBorders>
            <w:noWrap/>
            <w:vAlign w:val="bottom"/>
            <w:hideMark/>
          </w:tcPr>
          <w:p w14:paraId="03FA81D0" w14:textId="77777777" w:rsidR="00140C31" w:rsidRPr="00AE4E8D" w:rsidRDefault="00EB3492" w:rsidP="00091EF5">
            <w:pPr>
              <w:keepNext/>
              <w:keepLines/>
              <w:jc w:val="right"/>
              <w:rPr>
                <w:rFonts w:ascii="Times New Roman" w:hAnsi="Times New Roman"/>
                <w:b/>
                <w:sz w:val="16"/>
                <w:lang w:val="es-ES"/>
              </w:rPr>
            </w:pPr>
            <w:r w:rsidRPr="00AE4E8D">
              <w:rPr>
                <w:rFonts w:ascii="Times New Roman" w:hAnsi="Times New Roman"/>
                <w:b/>
                <w:bCs/>
                <w:sz w:val="16"/>
                <w:szCs w:val="16"/>
                <w:lang w:val="es-ES"/>
              </w:rPr>
              <w:t xml:space="preserve">   </w:t>
            </w:r>
            <w:r w:rsidR="00140C31" w:rsidRPr="00AE4E8D">
              <w:rPr>
                <w:rFonts w:ascii="Times New Roman" w:hAnsi="Times New Roman"/>
                <w:b/>
                <w:bCs/>
                <w:sz w:val="16"/>
                <w:szCs w:val="16"/>
                <w:lang w:val="es-ES"/>
              </w:rPr>
              <w:t xml:space="preserve"> 281.096 </w:t>
            </w:r>
          </w:p>
        </w:tc>
        <w:tc>
          <w:tcPr>
            <w:tcW w:w="470" w:type="pct"/>
            <w:tcBorders>
              <w:top w:val="single" w:sz="4" w:space="0" w:color="auto"/>
              <w:left w:val="nil"/>
              <w:bottom w:val="nil"/>
              <w:right w:val="nil"/>
            </w:tcBorders>
            <w:noWrap/>
            <w:vAlign w:val="bottom"/>
            <w:hideMark/>
          </w:tcPr>
          <w:p w14:paraId="3C52C841" w14:textId="77777777" w:rsidR="00140C31" w:rsidRPr="00AE4E8D" w:rsidRDefault="00EB3492" w:rsidP="00091EF5">
            <w:pPr>
              <w:keepNext/>
              <w:keepLines/>
              <w:jc w:val="right"/>
              <w:rPr>
                <w:rFonts w:ascii="Times New Roman" w:hAnsi="Times New Roman"/>
                <w:b/>
                <w:sz w:val="16"/>
                <w:lang w:val="es-ES"/>
              </w:rPr>
            </w:pPr>
            <w:r w:rsidRPr="00AE4E8D">
              <w:rPr>
                <w:rFonts w:ascii="Times New Roman" w:hAnsi="Times New Roman"/>
                <w:b/>
                <w:bCs/>
                <w:sz w:val="16"/>
                <w:szCs w:val="16"/>
                <w:lang w:val="es-ES"/>
              </w:rPr>
              <w:t xml:space="preserve">    </w:t>
            </w:r>
            <w:r w:rsidR="00140C31" w:rsidRPr="00AE4E8D">
              <w:rPr>
                <w:rFonts w:ascii="Times New Roman" w:hAnsi="Times New Roman"/>
                <w:b/>
                <w:bCs/>
                <w:sz w:val="16"/>
                <w:szCs w:val="16"/>
                <w:lang w:val="es-ES"/>
              </w:rPr>
              <w:t xml:space="preserve"> 20.849 </w:t>
            </w:r>
          </w:p>
        </w:tc>
        <w:tc>
          <w:tcPr>
            <w:tcW w:w="499" w:type="pct"/>
            <w:tcBorders>
              <w:top w:val="single" w:sz="4" w:space="0" w:color="auto"/>
              <w:left w:val="nil"/>
              <w:bottom w:val="nil"/>
              <w:right w:val="nil"/>
            </w:tcBorders>
            <w:noWrap/>
            <w:vAlign w:val="bottom"/>
            <w:hideMark/>
          </w:tcPr>
          <w:p w14:paraId="4ED92839" w14:textId="77777777" w:rsidR="00140C31" w:rsidRPr="00AE4E8D" w:rsidRDefault="00140C31"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488" w:type="pct"/>
            <w:tcBorders>
              <w:top w:val="single" w:sz="4" w:space="0" w:color="auto"/>
              <w:left w:val="nil"/>
              <w:bottom w:val="nil"/>
              <w:right w:val="nil"/>
            </w:tcBorders>
            <w:noWrap/>
            <w:vAlign w:val="bottom"/>
            <w:hideMark/>
          </w:tcPr>
          <w:p w14:paraId="7BE8FEE6" w14:textId="77777777" w:rsidR="00140C31" w:rsidRPr="00AE4E8D" w:rsidRDefault="00140C31"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842.098</w:t>
            </w:r>
          </w:p>
        </w:tc>
        <w:tc>
          <w:tcPr>
            <w:tcW w:w="544" w:type="pct"/>
            <w:tcBorders>
              <w:top w:val="single" w:sz="4" w:space="0" w:color="auto"/>
              <w:left w:val="nil"/>
              <w:bottom w:val="nil"/>
              <w:right w:val="nil"/>
            </w:tcBorders>
            <w:noWrap/>
            <w:vAlign w:val="bottom"/>
            <w:hideMark/>
          </w:tcPr>
          <w:p w14:paraId="3487C8D9" w14:textId="77777777" w:rsidR="00140C31" w:rsidRPr="00AE4E8D" w:rsidRDefault="00EB3492"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 xml:space="preserve">   </w:t>
            </w:r>
            <w:r w:rsidR="00140C31" w:rsidRPr="00AE4E8D">
              <w:rPr>
                <w:rFonts w:ascii="Times New Roman" w:hAnsi="Times New Roman"/>
                <w:sz w:val="16"/>
                <w:szCs w:val="16"/>
                <w:lang w:val="es-ES"/>
              </w:rPr>
              <w:t xml:space="preserve">28.121.564 </w:t>
            </w:r>
          </w:p>
        </w:tc>
      </w:tr>
      <w:tr w:rsidR="00140C31" w:rsidRPr="00AE4E8D" w14:paraId="4281E280" w14:textId="77777777" w:rsidTr="000400C8">
        <w:trPr>
          <w:trHeight w:val="259"/>
          <w:jc w:val="center"/>
        </w:trPr>
        <w:tc>
          <w:tcPr>
            <w:tcW w:w="990" w:type="pct"/>
            <w:noWrap/>
            <w:vAlign w:val="bottom"/>
            <w:hideMark/>
          </w:tcPr>
          <w:p w14:paraId="69F6DBE1" w14:textId="77777777" w:rsidR="00140C31" w:rsidRPr="00AE4E8D" w:rsidRDefault="00140C31" w:rsidP="00091EF5">
            <w:pPr>
              <w:keepNext/>
              <w:keepLines/>
              <w:rPr>
                <w:rFonts w:ascii="Times New Roman" w:hAnsi="Times New Roman"/>
                <w:sz w:val="16"/>
                <w:szCs w:val="16"/>
                <w:lang w:val="es-ES"/>
              </w:rPr>
            </w:pPr>
            <w:r w:rsidRPr="00AE4E8D">
              <w:rPr>
                <w:rFonts w:ascii="Times New Roman" w:hAnsi="Times New Roman"/>
                <w:sz w:val="16"/>
                <w:szCs w:val="16"/>
                <w:lang w:val="es-ES"/>
              </w:rPr>
              <w:t>Total %</w:t>
            </w:r>
          </w:p>
        </w:tc>
        <w:tc>
          <w:tcPr>
            <w:tcW w:w="562" w:type="pct"/>
            <w:noWrap/>
            <w:vAlign w:val="bottom"/>
            <w:hideMark/>
          </w:tcPr>
          <w:p w14:paraId="3E5E484A" w14:textId="77777777" w:rsidR="00140C31" w:rsidRPr="00AE4E8D" w:rsidRDefault="00140C31" w:rsidP="00091EF5">
            <w:pPr>
              <w:keepNext/>
              <w:keepLines/>
              <w:jc w:val="right"/>
              <w:rPr>
                <w:rFonts w:ascii="Times New Roman" w:hAnsi="Times New Roman"/>
                <w:b/>
                <w:sz w:val="16"/>
                <w:lang w:val="es-ES"/>
              </w:rPr>
            </w:pPr>
            <w:r w:rsidRPr="00AE4E8D">
              <w:rPr>
                <w:rFonts w:ascii="Times New Roman" w:hAnsi="Times New Roman"/>
                <w:b/>
                <w:bCs/>
                <w:sz w:val="16"/>
                <w:szCs w:val="16"/>
                <w:lang w:val="es-ES"/>
              </w:rPr>
              <w:t>72,52</w:t>
            </w:r>
            <w:r w:rsidRPr="00AE4E8D">
              <w:rPr>
                <w:rFonts w:ascii="Times New Roman" w:hAnsi="Times New Roman"/>
                <w:b/>
                <w:sz w:val="16"/>
                <w:lang w:val="es-ES"/>
              </w:rPr>
              <w:t>%</w:t>
            </w:r>
          </w:p>
        </w:tc>
        <w:tc>
          <w:tcPr>
            <w:tcW w:w="544" w:type="pct"/>
            <w:noWrap/>
            <w:vAlign w:val="bottom"/>
            <w:hideMark/>
          </w:tcPr>
          <w:p w14:paraId="42081AE5" w14:textId="77777777" w:rsidR="00140C31" w:rsidRPr="00AE4E8D" w:rsidRDefault="00140C31" w:rsidP="00091EF5">
            <w:pPr>
              <w:keepNext/>
              <w:keepLines/>
              <w:jc w:val="right"/>
              <w:rPr>
                <w:rFonts w:ascii="Times New Roman" w:hAnsi="Times New Roman"/>
                <w:b/>
                <w:sz w:val="16"/>
                <w:lang w:val="es-ES"/>
              </w:rPr>
            </w:pPr>
            <w:r w:rsidRPr="00AE4E8D">
              <w:rPr>
                <w:rFonts w:ascii="Times New Roman" w:hAnsi="Times New Roman"/>
                <w:b/>
                <w:bCs/>
                <w:sz w:val="16"/>
                <w:szCs w:val="16"/>
                <w:lang w:val="es-ES"/>
              </w:rPr>
              <w:t>21,06</w:t>
            </w:r>
            <w:r w:rsidRPr="00AE4E8D">
              <w:rPr>
                <w:rFonts w:ascii="Times New Roman" w:hAnsi="Times New Roman"/>
                <w:b/>
                <w:sz w:val="16"/>
                <w:lang w:val="es-ES"/>
              </w:rPr>
              <w:t>%</w:t>
            </w:r>
          </w:p>
        </w:tc>
        <w:tc>
          <w:tcPr>
            <w:tcW w:w="433" w:type="pct"/>
            <w:noWrap/>
            <w:vAlign w:val="bottom"/>
            <w:hideMark/>
          </w:tcPr>
          <w:p w14:paraId="4BFC9F21" w14:textId="77777777" w:rsidR="00140C31" w:rsidRPr="00AE4E8D" w:rsidRDefault="00140C31" w:rsidP="00091EF5">
            <w:pPr>
              <w:keepNext/>
              <w:keepLines/>
              <w:jc w:val="right"/>
              <w:rPr>
                <w:rFonts w:ascii="Times New Roman" w:hAnsi="Times New Roman"/>
                <w:b/>
                <w:sz w:val="16"/>
                <w:lang w:val="es-ES"/>
              </w:rPr>
            </w:pPr>
            <w:r w:rsidRPr="00AE4E8D">
              <w:rPr>
                <w:rFonts w:ascii="Times New Roman" w:hAnsi="Times New Roman"/>
                <w:b/>
                <w:bCs/>
                <w:sz w:val="16"/>
                <w:szCs w:val="16"/>
                <w:lang w:val="es-ES"/>
              </w:rPr>
              <w:t>2,35</w:t>
            </w:r>
            <w:r w:rsidRPr="00AE4E8D">
              <w:rPr>
                <w:rFonts w:ascii="Times New Roman" w:hAnsi="Times New Roman"/>
                <w:b/>
                <w:sz w:val="16"/>
                <w:lang w:val="es-ES"/>
              </w:rPr>
              <w:t>%</w:t>
            </w:r>
          </w:p>
        </w:tc>
        <w:tc>
          <w:tcPr>
            <w:tcW w:w="470" w:type="pct"/>
            <w:noWrap/>
            <w:vAlign w:val="bottom"/>
            <w:hideMark/>
          </w:tcPr>
          <w:p w14:paraId="357189F5" w14:textId="77777777" w:rsidR="00140C31" w:rsidRPr="00AE4E8D" w:rsidRDefault="00140C31" w:rsidP="00091EF5">
            <w:pPr>
              <w:keepNext/>
              <w:keepLines/>
              <w:jc w:val="right"/>
              <w:rPr>
                <w:rFonts w:ascii="Times New Roman" w:hAnsi="Times New Roman"/>
                <w:b/>
                <w:sz w:val="16"/>
                <w:lang w:val="es-ES"/>
              </w:rPr>
            </w:pPr>
            <w:r w:rsidRPr="00AE4E8D">
              <w:rPr>
                <w:rFonts w:ascii="Times New Roman" w:hAnsi="Times New Roman"/>
                <w:b/>
                <w:sz w:val="16"/>
                <w:lang w:val="es-ES"/>
              </w:rPr>
              <w:t>1,</w:t>
            </w:r>
            <w:r w:rsidRPr="00AE4E8D">
              <w:rPr>
                <w:rFonts w:ascii="Times New Roman" w:hAnsi="Times New Roman"/>
                <w:b/>
                <w:bCs/>
                <w:sz w:val="16"/>
                <w:szCs w:val="16"/>
                <w:lang w:val="es-ES"/>
              </w:rPr>
              <w:t>00</w:t>
            </w:r>
            <w:r w:rsidRPr="00AE4E8D">
              <w:rPr>
                <w:rFonts w:ascii="Times New Roman" w:hAnsi="Times New Roman"/>
                <w:b/>
                <w:sz w:val="16"/>
                <w:lang w:val="es-ES"/>
              </w:rPr>
              <w:t>%</w:t>
            </w:r>
          </w:p>
        </w:tc>
        <w:tc>
          <w:tcPr>
            <w:tcW w:w="470" w:type="pct"/>
            <w:noWrap/>
            <w:vAlign w:val="bottom"/>
            <w:hideMark/>
          </w:tcPr>
          <w:p w14:paraId="5FC65518" w14:textId="77777777" w:rsidR="00140C31" w:rsidRPr="00AE4E8D" w:rsidRDefault="00140C31" w:rsidP="00091EF5">
            <w:pPr>
              <w:keepNext/>
              <w:keepLines/>
              <w:jc w:val="right"/>
              <w:rPr>
                <w:rFonts w:ascii="Times New Roman" w:hAnsi="Times New Roman"/>
                <w:b/>
                <w:sz w:val="16"/>
                <w:lang w:val="es-ES"/>
              </w:rPr>
            </w:pPr>
            <w:r w:rsidRPr="00AE4E8D">
              <w:rPr>
                <w:rFonts w:ascii="Times New Roman" w:hAnsi="Times New Roman"/>
                <w:b/>
                <w:sz w:val="16"/>
                <w:lang w:val="es-ES"/>
              </w:rPr>
              <w:t>0,</w:t>
            </w:r>
            <w:r w:rsidRPr="00AE4E8D">
              <w:rPr>
                <w:rFonts w:ascii="Times New Roman" w:hAnsi="Times New Roman"/>
                <w:b/>
                <w:bCs/>
                <w:sz w:val="16"/>
                <w:szCs w:val="16"/>
                <w:lang w:val="es-ES"/>
              </w:rPr>
              <w:t>07</w:t>
            </w:r>
            <w:r w:rsidRPr="00AE4E8D">
              <w:rPr>
                <w:rFonts w:ascii="Times New Roman" w:hAnsi="Times New Roman"/>
                <w:b/>
                <w:sz w:val="16"/>
                <w:lang w:val="es-ES"/>
              </w:rPr>
              <w:t>%</w:t>
            </w:r>
          </w:p>
        </w:tc>
        <w:tc>
          <w:tcPr>
            <w:tcW w:w="499" w:type="pct"/>
            <w:noWrap/>
            <w:vAlign w:val="bottom"/>
            <w:hideMark/>
          </w:tcPr>
          <w:p w14:paraId="56BB526F" w14:textId="77777777" w:rsidR="00140C31" w:rsidRPr="00AE4E8D" w:rsidRDefault="00140C31"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0,00%</w:t>
            </w:r>
          </w:p>
        </w:tc>
        <w:tc>
          <w:tcPr>
            <w:tcW w:w="488" w:type="pct"/>
            <w:noWrap/>
            <w:vAlign w:val="bottom"/>
            <w:hideMark/>
          </w:tcPr>
          <w:p w14:paraId="6B56488F" w14:textId="77777777" w:rsidR="00140C31" w:rsidRPr="00AE4E8D" w:rsidRDefault="00140C31"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2,99%</w:t>
            </w:r>
          </w:p>
        </w:tc>
        <w:tc>
          <w:tcPr>
            <w:tcW w:w="544" w:type="pct"/>
            <w:noWrap/>
            <w:vAlign w:val="bottom"/>
            <w:hideMark/>
          </w:tcPr>
          <w:p w14:paraId="682A86CA" w14:textId="77777777" w:rsidR="00140C31" w:rsidRPr="00AE4E8D" w:rsidRDefault="00140C31" w:rsidP="00091EF5">
            <w:pPr>
              <w:keepNext/>
              <w:keepLines/>
              <w:jc w:val="right"/>
              <w:rPr>
                <w:rFonts w:ascii="Times New Roman" w:hAnsi="Times New Roman"/>
                <w:sz w:val="16"/>
                <w:szCs w:val="16"/>
                <w:lang w:val="es-ES"/>
              </w:rPr>
            </w:pPr>
            <w:r w:rsidRPr="00AE4E8D">
              <w:rPr>
                <w:rFonts w:ascii="Times New Roman" w:hAnsi="Times New Roman"/>
                <w:sz w:val="16"/>
                <w:szCs w:val="16"/>
                <w:lang w:val="es-ES"/>
              </w:rPr>
              <w:t>100,00%</w:t>
            </w:r>
          </w:p>
        </w:tc>
      </w:tr>
    </w:tbl>
    <w:p w14:paraId="0BDB30A7" w14:textId="77777777" w:rsidR="001656AD" w:rsidRPr="00AE4E8D" w:rsidRDefault="001656AD" w:rsidP="00E90931">
      <w:pPr>
        <w:keepNext/>
        <w:autoSpaceDE w:val="0"/>
        <w:autoSpaceDN w:val="0"/>
        <w:adjustRightInd w:val="0"/>
        <w:spacing w:before="240" w:after="240"/>
        <w:outlineLvl w:val="1"/>
        <w:rPr>
          <w:rFonts w:ascii="Times New Roman" w:hAnsi="Times New Roman"/>
          <w:b/>
          <w:highlight w:val="cyan"/>
          <w:lang w:val="es-ES" w:eastAsia="es-AR"/>
        </w:rPr>
        <w:sectPr w:rsidR="001656AD" w:rsidRPr="00AE4E8D" w:rsidSect="006238FE">
          <w:pgSz w:w="16839" w:h="11907" w:orient="landscape"/>
          <w:pgMar w:top="1701" w:right="1418" w:bottom="1185" w:left="1418" w:header="709" w:footer="709" w:gutter="0"/>
          <w:cols w:space="720"/>
        </w:sectPr>
      </w:pPr>
      <w:bookmarkStart w:id="332" w:name="_Toc421201369"/>
    </w:p>
    <w:p w14:paraId="72E63C93" w14:textId="77777777" w:rsidR="00140C31" w:rsidRPr="00AE4E8D" w:rsidRDefault="00140C31" w:rsidP="00474216">
      <w:pPr>
        <w:rPr>
          <w:rFonts w:ascii="Times New Roman" w:hAnsi="Times New Roman"/>
          <w:b/>
          <w:lang w:val="es-ES" w:eastAsia="es-AR"/>
        </w:rPr>
      </w:pPr>
    </w:p>
    <w:p w14:paraId="05AEBF4E" w14:textId="77777777" w:rsidR="00E90931" w:rsidRPr="00AE4E8D" w:rsidRDefault="00E90931" w:rsidP="00E71CBF">
      <w:pPr>
        <w:pStyle w:val="BH2Izquierda"/>
        <w:rPr>
          <w:lang w:val="es-ES"/>
        </w:rPr>
      </w:pPr>
      <w:bookmarkStart w:id="333" w:name="_Toc495972998"/>
      <w:bookmarkStart w:id="334" w:name="_Toc495399905"/>
      <w:r w:rsidRPr="00AE4E8D">
        <w:rPr>
          <w:lang w:val="es-ES"/>
        </w:rPr>
        <w:t>Composición de la Cartera de Préstamos por Tasas de Interés</w:t>
      </w:r>
      <w:bookmarkEnd w:id="333"/>
      <w:bookmarkEnd w:id="334"/>
      <w:r w:rsidRPr="00AE4E8D">
        <w:rPr>
          <w:rFonts w:eastAsia="Arial Unicode MS"/>
          <w:color w:val="000000"/>
          <w:w w:val="1"/>
          <w:lang w:val="es-ES"/>
        </w:rPr>
        <w:t xml:space="preserve"> </w:t>
      </w:r>
      <w:bookmarkEnd w:id="332"/>
    </w:p>
    <w:p w14:paraId="1BEDB608" w14:textId="77777777" w:rsidR="00E90931" w:rsidRPr="00AE4E8D" w:rsidRDefault="00E90931" w:rsidP="00003798">
      <w:pPr>
        <w:pStyle w:val="BHTexto"/>
      </w:pPr>
      <w:r w:rsidRPr="00AE4E8D">
        <w:t>El siguiente cuadro indica los préstamos en nuestra cartera de préstamos por tipo de tasa de interés en los períodos indicados.</w:t>
      </w:r>
    </w:p>
    <w:tbl>
      <w:tblPr>
        <w:tblW w:w="5000" w:type="pct"/>
        <w:jc w:val="center"/>
        <w:tblLook w:val="00A0" w:firstRow="1" w:lastRow="0" w:firstColumn="1" w:lastColumn="0" w:noHBand="0" w:noVBand="0"/>
      </w:tblPr>
      <w:tblGrid>
        <w:gridCol w:w="1760"/>
        <w:gridCol w:w="1120"/>
        <w:gridCol w:w="260"/>
        <w:gridCol w:w="951"/>
        <w:gridCol w:w="222"/>
        <w:gridCol w:w="1120"/>
        <w:gridCol w:w="257"/>
        <w:gridCol w:w="955"/>
        <w:gridCol w:w="222"/>
        <w:gridCol w:w="1075"/>
        <w:gridCol w:w="222"/>
        <w:gridCol w:w="1073"/>
      </w:tblGrid>
      <w:tr w:rsidR="00140C31" w:rsidRPr="00AE4E8D" w14:paraId="5FCE703E" w14:textId="77777777" w:rsidTr="000400C8">
        <w:trPr>
          <w:trHeight w:val="255"/>
          <w:jc w:val="center"/>
        </w:trPr>
        <w:tc>
          <w:tcPr>
            <w:tcW w:w="953" w:type="pct"/>
            <w:vAlign w:val="bottom"/>
          </w:tcPr>
          <w:p w14:paraId="096D0835" w14:textId="77777777" w:rsidR="00140C31" w:rsidRPr="00AE4E8D" w:rsidRDefault="00140C31" w:rsidP="00140C31">
            <w:pPr>
              <w:rPr>
                <w:rFonts w:ascii="Times New Roman" w:hAnsi="Times New Roman"/>
                <w:b/>
                <w:bCs/>
                <w:sz w:val="16"/>
                <w:szCs w:val="16"/>
                <w:lang w:val="es-ES"/>
              </w:rPr>
            </w:pPr>
          </w:p>
        </w:tc>
        <w:tc>
          <w:tcPr>
            <w:tcW w:w="4047" w:type="pct"/>
            <w:gridSpan w:val="11"/>
            <w:tcBorders>
              <w:bottom w:val="single" w:sz="8" w:space="0" w:color="auto"/>
            </w:tcBorders>
            <w:shd w:val="clear" w:color="auto" w:fill="FFFFFF"/>
            <w:vAlign w:val="bottom"/>
            <w:hideMark/>
          </w:tcPr>
          <w:p w14:paraId="36E08EAE" w14:textId="77777777" w:rsidR="00140C31" w:rsidRPr="00AE4E8D" w:rsidRDefault="00140C31" w:rsidP="00140C31">
            <w:pPr>
              <w:jc w:val="center"/>
              <w:rPr>
                <w:rFonts w:ascii="Times New Roman" w:hAnsi="Times New Roman"/>
                <w:b/>
                <w:sz w:val="16"/>
                <w:lang w:val="es-ES"/>
              </w:rPr>
            </w:pPr>
            <w:r w:rsidRPr="00AE4E8D">
              <w:rPr>
                <w:rFonts w:ascii="Times New Roman" w:hAnsi="Times New Roman"/>
                <w:b/>
                <w:sz w:val="16"/>
                <w:lang w:val="es-ES"/>
              </w:rPr>
              <w:t>Al 31 de diciembre de</w:t>
            </w:r>
          </w:p>
        </w:tc>
      </w:tr>
      <w:tr w:rsidR="00140C31" w:rsidRPr="00AE4E8D" w14:paraId="65061EDD" w14:textId="77777777" w:rsidTr="000400C8">
        <w:trPr>
          <w:trHeight w:val="255"/>
          <w:jc w:val="center"/>
        </w:trPr>
        <w:tc>
          <w:tcPr>
            <w:tcW w:w="953" w:type="pct"/>
            <w:vAlign w:val="bottom"/>
          </w:tcPr>
          <w:p w14:paraId="0DB4DBDC" w14:textId="77777777" w:rsidR="00140C31" w:rsidRPr="00AE4E8D" w:rsidRDefault="00140C31" w:rsidP="00140C31">
            <w:pPr>
              <w:rPr>
                <w:rFonts w:ascii="Times New Roman" w:hAnsi="Times New Roman"/>
                <w:b/>
                <w:bCs/>
                <w:sz w:val="16"/>
                <w:szCs w:val="16"/>
                <w:lang w:val="es-ES"/>
              </w:rPr>
            </w:pPr>
          </w:p>
        </w:tc>
        <w:tc>
          <w:tcPr>
            <w:tcW w:w="1262" w:type="pct"/>
            <w:gridSpan w:val="3"/>
            <w:tcBorders>
              <w:top w:val="single" w:sz="8" w:space="0" w:color="auto"/>
              <w:left w:val="nil"/>
              <w:bottom w:val="single" w:sz="8" w:space="0" w:color="auto"/>
              <w:right w:val="nil"/>
            </w:tcBorders>
            <w:vAlign w:val="bottom"/>
            <w:hideMark/>
          </w:tcPr>
          <w:p w14:paraId="6E633886" w14:textId="77777777" w:rsidR="00140C31" w:rsidRPr="00AE4E8D" w:rsidRDefault="00140C31" w:rsidP="00140C31">
            <w:pPr>
              <w:jc w:val="center"/>
              <w:rPr>
                <w:rFonts w:ascii="Times New Roman" w:hAnsi="Times New Roman"/>
                <w:b/>
                <w:bCs/>
                <w:sz w:val="16"/>
                <w:szCs w:val="16"/>
                <w:lang w:val="es-ES"/>
              </w:rPr>
            </w:pPr>
            <w:r w:rsidRPr="00AE4E8D">
              <w:rPr>
                <w:rFonts w:ascii="Times New Roman" w:hAnsi="Times New Roman"/>
                <w:b/>
                <w:bCs/>
                <w:sz w:val="16"/>
                <w:szCs w:val="16"/>
                <w:lang w:val="es-ES"/>
              </w:rPr>
              <w:t xml:space="preserve">2016 </w:t>
            </w:r>
          </w:p>
        </w:tc>
        <w:tc>
          <w:tcPr>
            <w:tcW w:w="120" w:type="pct"/>
            <w:tcBorders>
              <w:top w:val="single" w:sz="8" w:space="0" w:color="auto"/>
              <w:bottom w:val="single" w:sz="8" w:space="0" w:color="auto"/>
            </w:tcBorders>
            <w:vAlign w:val="bottom"/>
          </w:tcPr>
          <w:p w14:paraId="6F7C4FF5" w14:textId="77777777" w:rsidR="00140C31" w:rsidRPr="00AE4E8D" w:rsidRDefault="00140C31" w:rsidP="00140C31">
            <w:pPr>
              <w:rPr>
                <w:rFonts w:ascii="Times New Roman" w:hAnsi="Times New Roman"/>
                <w:b/>
                <w:bCs/>
                <w:sz w:val="16"/>
                <w:szCs w:val="16"/>
                <w:lang w:val="es-ES"/>
              </w:rPr>
            </w:pPr>
          </w:p>
        </w:tc>
        <w:tc>
          <w:tcPr>
            <w:tcW w:w="1262" w:type="pct"/>
            <w:gridSpan w:val="3"/>
            <w:tcBorders>
              <w:top w:val="single" w:sz="8" w:space="0" w:color="auto"/>
              <w:left w:val="nil"/>
              <w:bottom w:val="single" w:sz="8" w:space="0" w:color="auto"/>
              <w:right w:val="nil"/>
            </w:tcBorders>
            <w:vAlign w:val="bottom"/>
            <w:hideMark/>
          </w:tcPr>
          <w:p w14:paraId="0F145DC5" w14:textId="77777777" w:rsidR="00140C31" w:rsidRPr="00AE4E8D" w:rsidRDefault="00140C31" w:rsidP="00140C31">
            <w:pPr>
              <w:jc w:val="center"/>
              <w:rPr>
                <w:rFonts w:ascii="Times New Roman" w:hAnsi="Times New Roman"/>
                <w:b/>
                <w:bCs/>
                <w:sz w:val="16"/>
                <w:szCs w:val="16"/>
                <w:lang w:val="es-ES"/>
              </w:rPr>
            </w:pPr>
            <w:r w:rsidRPr="00AE4E8D">
              <w:rPr>
                <w:rFonts w:ascii="Times New Roman" w:hAnsi="Times New Roman"/>
                <w:b/>
                <w:sz w:val="16"/>
                <w:lang w:val="es-ES"/>
              </w:rPr>
              <w:t>2015</w:t>
            </w:r>
            <w:r w:rsidRPr="00AE4E8D">
              <w:rPr>
                <w:rFonts w:ascii="Times New Roman" w:hAnsi="Times New Roman"/>
                <w:b/>
                <w:bCs/>
                <w:sz w:val="16"/>
                <w:szCs w:val="16"/>
                <w:lang w:val="es-ES"/>
              </w:rPr>
              <w:t xml:space="preserve"> </w:t>
            </w:r>
          </w:p>
        </w:tc>
        <w:tc>
          <w:tcPr>
            <w:tcW w:w="120" w:type="pct"/>
            <w:tcBorders>
              <w:top w:val="single" w:sz="8" w:space="0" w:color="auto"/>
              <w:bottom w:val="single" w:sz="8" w:space="0" w:color="auto"/>
            </w:tcBorders>
            <w:vAlign w:val="bottom"/>
          </w:tcPr>
          <w:p w14:paraId="1B5E1A79" w14:textId="77777777" w:rsidR="00140C31" w:rsidRPr="00AE4E8D" w:rsidRDefault="00140C31" w:rsidP="00140C31">
            <w:pPr>
              <w:rPr>
                <w:rFonts w:ascii="Times New Roman" w:hAnsi="Times New Roman"/>
                <w:b/>
                <w:bCs/>
                <w:sz w:val="16"/>
                <w:szCs w:val="16"/>
                <w:lang w:val="es-ES"/>
              </w:rPr>
            </w:pPr>
          </w:p>
        </w:tc>
        <w:tc>
          <w:tcPr>
            <w:tcW w:w="1282" w:type="pct"/>
            <w:gridSpan w:val="3"/>
            <w:tcBorders>
              <w:top w:val="single" w:sz="8" w:space="0" w:color="auto"/>
              <w:left w:val="nil"/>
              <w:bottom w:val="single" w:sz="8" w:space="0" w:color="auto"/>
              <w:right w:val="nil"/>
            </w:tcBorders>
            <w:vAlign w:val="bottom"/>
            <w:hideMark/>
          </w:tcPr>
          <w:p w14:paraId="042A4783" w14:textId="77777777" w:rsidR="00140C31" w:rsidRPr="00AE4E8D" w:rsidRDefault="00140C31" w:rsidP="00140C31">
            <w:pPr>
              <w:jc w:val="center"/>
              <w:rPr>
                <w:rFonts w:ascii="Times New Roman" w:hAnsi="Times New Roman"/>
                <w:b/>
                <w:bCs/>
                <w:sz w:val="16"/>
                <w:szCs w:val="16"/>
                <w:lang w:val="es-ES"/>
              </w:rPr>
            </w:pPr>
            <w:r w:rsidRPr="00AE4E8D">
              <w:rPr>
                <w:rFonts w:ascii="Times New Roman" w:hAnsi="Times New Roman"/>
                <w:b/>
                <w:bCs/>
                <w:sz w:val="16"/>
                <w:szCs w:val="16"/>
                <w:lang w:val="es-ES"/>
              </w:rPr>
              <w:t xml:space="preserve">2014 </w:t>
            </w:r>
          </w:p>
        </w:tc>
      </w:tr>
      <w:tr w:rsidR="00140C31" w:rsidRPr="00AE4E8D" w14:paraId="34771BB8" w14:textId="77777777" w:rsidTr="000400C8">
        <w:trPr>
          <w:trHeight w:val="450"/>
          <w:jc w:val="center"/>
        </w:trPr>
        <w:tc>
          <w:tcPr>
            <w:tcW w:w="953" w:type="pct"/>
            <w:vAlign w:val="bottom"/>
          </w:tcPr>
          <w:p w14:paraId="36DAFFEB" w14:textId="77777777" w:rsidR="00140C31" w:rsidRPr="00AE4E8D" w:rsidRDefault="00140C31" w:rsidP="00140C31">
            <w:pPr>
              <w:rPr>
                <w:rFonts w:ascii="Times New Roman" w:hAnsi="Times New Roman"/>
                <w:sz w:val="16"/>
                <w:szCs w:val="16"/>
                <w:lang w:val="es-ES"/>
              </w:rPr>
            </w:pPr>
          </w:p>
        </w:tc>
        <w:tc>
          <w:tcPr>
            <w:tcW w:w="606" w:type="pct"/>
            <w:tcBorders>
              <w:top w:val="single" w:sz="8" w:space="0" w:color="auto"/>
              <w:bottom w:val="single" w:sz="8" w:space="0" w:color="auto"/>
            </w:tcBorders>
            <w:vAlign w:val="bottom"/>
            <w:hideMark/>
          </w:tcPr>
          <w:p w14:paraId="0A98A8F9" w14:textId="77777777" w:rsidR="00140C31" w:rsidRPr="00AE4E8D" w:rsidRDefault="00140C31" w:rsidP="00140C31">
            <w:pPr>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141" w:type="pct"/>
            <w:tcBorders>
              <w:top w:val="single" w:sz="8" w:space="0" w:color="auto"/>
              <w:bottom w:val="single" w:sz="8" w:space="0" w:color="auto"/>
            </w:tcBorders>
            <w:vAlign w:val="bottom"/>
          </w:tcPr>
          <w:p w14:paraId="1D9720B1" w14:textId="77777777" w:rsidR="00140C31" w:rsidRPr="00AE4E8D" w:rsidRDefault="00140C31" w:rsidP="00140C31">
            <w:pPr>
              <w:jc w:val="center"/>
              <w:rPr>
                <w:rFonts w:ascii="Times New Roman" w:hAnsi="Times New Roman"/>
                <w:sz w:val="16"/>
                <w:szCs w:val="16"/>
                <w:lang w:val="es-ES"/>
              </w:rPr>
            </w:pPr>
          </w:p>
        </w:tc>
        <w:tc>
          <w:tcPr>
            <w:tcW w:w="515" w:type="pct"/>
            <w:tcBorders>
              <w:top w:val="single" w:sz="8" w:space="0" w:color="auto"/>
              <w:bottom w:val="single" w:sz="8" w:space="0" w:color="auto"/>
            </w:tcBorders>
            <w:vAlign w:val="bottom"/>
            <w:hideMark/>
          </w:tcPr>
          <w:p w14:paraId="49CDDDAC" w14:textId="77777777" w:rsidR="00140C31" w:rsidRPr="00AE4E8D" w:rsidRDefault="00140C31" w:rsidP="00140C31">
            <w:pPr>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c>
          <w:tcPr>
            <w:tcW w:w="120" w:type="pct"/>
            <w:tcBorders>
              <w:top w:val="single" w:sz="8" w:space="0" w:color="auto"/>
              <w:bottom w:val="single" w:sz="8" w:space="0" w:color="auto"/>
            </w:tcBorders>
            <w:vAlign w:val="bottom"/>
          </w:tcPr>
          <w:p w14:paraId="79BDF23D" w14:textId="77777777" w:rsidR="00140C31" w:rsidRPr="00AE4E8D" w:rsidRDefault="00140C31" w:rsidP="00140C31">
            <w:pPr>
              <w:rPr>
                <w:rFonts w:ascii="Times New Roman" w:hAnsi="Times New Roman"/>
                <w:sz w:val="16"/>
                <w:szCs w:val="16"/>
                <w:lang w:val="es-ES"/>
              </w:rPr>
            </w:pPr>
          </w:p>
        </w:tc>
        <w:tc>
          <w:tcPr>
            <w:tcW w:w="606" w:type="pct"/>
            <w:tcBorders>
              <w:top w:val="single" w:sz="8" w:space="0" w:color="auto"/>
              <w:bottom w:val="single" w:sz="8" w:space="0" w:color="auto"/>
            </w:tcBorders>
            <w:vAlign w:val="bottom"/>
            <w:hideMark/>
          </w:tcPr>
          <w:p w14:paraId="0702F770" w14:textId="77777777" w:rsidR="00140C31" w:rsidRPr="00AE4E8D" w:rsidRDefault="00140C31" w:rsidP="00140C31">
            <w:pPr>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139" w:type="pct"/>
            <w:tcBorders>
              <w:top w:val="single" w:sz="8" w:space="0" w:color="auto"/>
              <w:bottom w:val="single" w:sz="8" w:space="0" w:color="auto"/>
            </w:tcBorders>
            <w:vAlign w:val="bottom"/>
          </w:tcPr>
          <w:p w14:paraId="17DB3F1C" w14:textId="77777777" w:rsidR="00140C31" w:rsidRPr="00AE4E8D" w:rsidRDefault="00140C31" w:rsidP="00140C31">
            <w:pPr>
              <w:jc w:val="center"/>
              <w:rPr>
                <w:rFonts w:ascii="Times New Roman" w:hAnsi="Times New Roman"/>
                <w:sz w:val="16"/>
                <w:szCs w:val="16"/>
                <w:lang w:val="es-ES"/>
              </w:rPr>
            </w:pPr>
          </w:p>
        </w:tc>
        <w:tc>
          <w:tcPr>
            <w:tcW w:w="517" w:type="pct"/>
            <w:tcBorders>
              <w:top w:val="single" w:sz="8" w:space="0" w:color="auto"/>
              <w:bottom w:val="single" w:sz="8" w:space="0" w:color="auto"/>
            </w:tcBorders>
            <w:vAlign w:val="bottom"/>
            <w:hideMark/>
          </w:tcPr>
          <w:p w14:paraId="5110CA38" w14:textId="77777777" w:rsidR="00140C31" w:rsidRPr="00AE4E8D" w:rsidRDefault="00140C31" w:rsidP="00140C31">
            <w:pPr>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c>
          <w:tcPr>
            <w:tcW w:w="120" w:type="pct"/>
            <w:tcBorders>
              <w:top w:val="single" w:sz="8" w:space="0" w:color="auto"/>
              <w:bottom w:val="single" w:sz="8" w:space="0" w:color="auto"/>
            </w:tcBorders>
            <w:vAlign w:val="bottom"/>
          </w:tcPr>
          <w:p w14:paraId="0C2AB744" w14:textId="77777777" w:rsidR="00140C31" w:rsidRPr="00AE4E8D" w:rsidRDefault="00140C31" w:rsidP="00140C31">
            <w:pPr>
              <w:rPr>
                <w:rFonts w:ascii="Times New Roman" w:hAnsi="Times New Roman"/>
                <w:sz w:val="16"/>
                <w:szCs w:val="16"/>
                <w:lang w:val="es-ES"/>
              </w:rPr>
            </w:pPr>
          </w:p>
        </w:tc>
        <w:tc>
          <w:tcPr>
            <w:tcW w:w="582" w:type="pct"/>
            <w:tcBorders>
              <w:top w:val="single" w:sz="8" w:space="0" w:color="auto"/>
              <w:bottom w:val="single" w:sz="8" w:space="0" w:color="auto"/>
            </w:tcBorders>
            <w:vAlign w:val="bottom"/>
            <w:hideMark/>
          </w:tcPr>
          <w:p w14:paraId="5DC554EA" w14:textId="77777777" w:rsidR="00140C31" w:rsidRPr="00AE4E8D" w:rsidRDefault="00140C31" w:rsidP="00140C31">
            <w:pPr>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120" w:type="pct"/>
            <w:tcBorders>
              <w:top w:val="single" w:sz="8" w:space="0" w:color="auto"/>
              <w:bottom w:val="single" w:sz="8" w:space="0" w:color="auto"/>
            </w:tcBorders>
            <w:vAlign w:val="bottom"/>
          </w:tcPr>
          <w:p w14:paraId="76576B19" w14:textId="77777777" w:rsidR="00140C31" w:rsidRPr="00AE4E8D" w:rsidRDefault="00140C31" w:rsidP="00140C31">
            <w:pPr>
              <w:jc w:val="center"/>
              <w:rPr>
                <w:rFonts w:ascii="Times New Roman" w:hAnsi="Times New Roman"/>
                <w:sz w:val="16"/>
                <w:szCs w:val="16"/>
                <w:lang w:val="es-ES"/>
              </w:rPr>
            </w:pPr>
          </w:p>
        </w:tc>
        <w:tc>
          <w:tcPr>
            <w:tcW w:w="580" w:type="pct"/>
            <w:tcBorders>
              <w:top w:val="single" w:sz="8" w:space="0" w:color="auto"/>
              <w:bottom w:val="single" w:sz="8" w:space="0" w:color="auto"/>
            </w:tcBorders>
            <w:vAlign w:val="bottom"/>
            <w:hideMark/>
          </w:tcPr>
          <w:p w14:paraId="12B492F9" w14:textId="77777777" w:rsidR="00140C31" w:rsidRPr="00AE4E8D" w:rsidRDefault="00140C31" w:rsidP="00140C31">
            <w:pPr>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r>
      <w:tr w:rsidR="003B5193" w:rsidRPr="00AE4E8D" w14:paraId="0CA6D939" w14:textId="77777777" w:rsidTr="00160FCA">
        <w:trPr>
          <w:trHeight w:val="255"/>
          <w:jc w:val="center"/>
        </w:trPr>
        <w:tc>
          <w:tcPr>
            <w:tcW w:w="953" w:type="pct"/>
            <w:vAlign w:val="bottom"/>
            <w:hideMark/>
          </w:tcPr>
          <w:p w14:paraId="586F43B3"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Tasa Variable</w:t>
            </w:r>
          </w:p>
        </w:tc>
        <w:tc>
          <w:tcPr>
            <w:tcW w:w="1262" w:type="pct"/>
            <w:gridSpan w:val="3"/>
            <w:tcBorders>
              <w:top w:val="single" w:sz="8" w:space="0" w:color="auto"/>
            </w:tcBorders>
            <w:shd w:val="clear" w:color="auto" w:fill="FFFFFF"/>
            <w:vAlign w:val="bottom"/>
            <w:hideMark/>
          </w:tcPr>
          <w:p w14:paraId="3F850C69" w14:textId="77777777" w:rsidR="00140C31" w:rsidRPr="00AE4E8D" w:rsidRDefault="00140C31" w:rsidP="00140C31">
            <w:pPr>
              <w:jc w:val="center"/>
              <w:rPr>
                <w:rFonts w:ascii="Times New Roman" w:hAnsi="Times New Roman"/>
                <w:sz w:val="16"/>
                <w:szCs w:val="16"/>
                <w:lang w:val="es-ES"/>
              </w:rPr>
            </w:pPr>
            <w:r w:rsidRPr="00AE4E8D">
              <w:rPr>
                <w:rFonts w:ascii="Times New Roman" w:hAnsi="Times New Roman"/>
                <w:sz w:val="16"/>
                <w:szCs w:val="16"/>
                <w:lang w:val="es-ES"/>
              </w:rPr>
              <w:t> </w:t>
            </w:r>
          </w:p>
        </w:tc>
        <w:tc>
          <w:tcPr>
            <w:tcW w:w="120" w:type="pct"/>
            <w:tcBorders>
              <w:top w:val="single" w:sz="8" w:space="0" w:color="auto"/>
            </w:tcBorders>
            <w:vAlign w:val="bottom"/>
          </w:tcPr>
          <w:p w14:paraId="6E39DE93" w14:textId="77777777" w:rsidR="00140C31" w:rsidRPr="00AE4E8D" w:rsidRDefault="00140C31" w:rsidP="00140C31">
            <w:pPr>
              <w:rPr>
                <w:rFonts w:ascii="Times New Roman" w:hAnsi="Times New Roman"/>
                <w:b/>
                <w:bCs/>
                <w:sz w:val="16"/>
                <w:szCs w:val="16"/>
                <w:lang w:val="es-ES"/>
              </w:rPr>
            </w:pPr>
          </w:p>
        </w:tc>
        <w:tc>
          <w:tcPr>
            <w:tcW w:w="1262" w:type="pct"/>
            <w:gridSpan w:val="3"/>
            <w:tcBorders>
              <w:top w:val="single" w:sz="8" w:space="0" w:color="auto"/>
            </w:tcBorders>
            <w:shd w:val="clear" w:color="auto" w:fill="FFFFFF"/>
            <w:vAlign w:val="bottom"/>
            <w:hideMark/>
          </w:tcPr>
          <w:p w14:paraId="3D1CA3B7" w14:textId="77777777" w:rsidR="00140C31" w:rsidRPr="00AE4E8D" w:rsidRDefault="00140C31" w:rsidP="00140C31">
            <w:pPr>
              <w:jc w:val="center"/>
              <w:rPr>
                <w:rFonts w:ascii="Times New Roman" w:hAnsi="Times New Roman"/>
                <w:sz w:val="16"/>
                <w:szCs w:val="16"/>
                <w:lang w:val="es-ES"/>
              </w:rPr>
            </w:pPr>
            <w:r w:rsidRPr="00AE4E8D">
              <w:rPr>
                <w:rFonts w:ascii="Times New Roman" w:hAnsi="Times New Roman"/>
                <w:sz w:val="16"/>
                <w:szCs w:val="16"/>
                <w:lang w:val="es-ES"/>
              </w:rPr>
              <w:t> </w:t>
            </w:r>
          </w:p>
        </w:tc>
        <w:tc>
          <w:tcPr>
            <w:tcW w:w="120" w:type="pct"/>
            <w:tcBorders>
              <w:top w:val="single" w:sz="8" w:space="0" w:color="auto"/>
            </w:tcBorders>
            <w:vAlign w:val="bottom"/>
          </w:tcPr>
          <w:p w14:paraId="0EC17621" w14:textId="77777777" w:rsidR="00140C31" w:rsidRPr="00AE4E8D" w:rsidRDefault="00140C31" w:rsidP="00140C31">
            <w:pPr>
              <w:rPr>
                <w:rFonts w:ascii="Times New Roman" w:hAnsi="Times New Roman"/>
                <w:b/>
                <w:bCs/>
                <w:sz w:val="16"/>
                <w:szCs w:val="16"/>
                <w:lang w:val="es-ES"/>
              </w:rPr>
            </w:pPr>
          </w:p>
        </w:tc>
        <w:tc>
          <w:tcPr>
            <w:tcW w:w="582" w:type="pct"/>
            <w:tcBorders>
              <w:top w:val="single" w:sz="8" w:space="0" w:color="auto"/>
            </w:tcBorders>
            <w:vAlign w:val="bottom"/>
          </w:tcPr>
          <w:p w14:paraId="2EDD90E1" w14:textId="77777777" w:rsidR="00140C31" w:rsidRPr="00AE4E8D" w:rsidRDefault="00140C31" w:rsidP="00140C31">
            <w:pPr>
              <w:rPr>
                <w:rFonts w:ascii="Times New Roman" w:hAnsi="Times New Roman"/>
                <w:sz w:val="16"/>
                <w:szCs w:val="16"/>
                <w:lang w:val="es-ES"/>
              </w:rPr>
            </w:pPr>
          </w:p>
        </w:tc>
        <w:tc>
          <w:tcPr>
            <w:tcW w:w="120" w:type="pct"/>
            <w:tcBorders>
              <w:top w:val="single" w:sz="8" w:space="0" w:color="auto"/>
            </w:tcBorders>
            <w:vAlign w:val="bottom"/>
          </w:tcPr>
          <w:p w14:paraId="050BC6C2" w14:textId="77777777" w:rsidR="00140C31" w:rsidRPr="00AE4E8D" w:rsidRDefault="00140C31" w:rsidP="00140C31">
            <w:pPr>
              <w:rPr>
                <w:rFonts w:ascii="Times New Roman" w:hAnsi="Times New Roman"/>
                <w:sz w:val="16"/>
                <w:szCs w:val="16"/>
                <w:lang w:val="es-ES"/>
              </w:rPr>
            </w:pPr>
          </w:p>
        </w:tc>
        <w:tc>
          <w:tcPr>
            <w:tcW w:w="580" w:type="pct"/>
            <w:tcBorders>
              <w:top w:val="single" w:sz="8" w:space="0" w:color="auto"/>
            </w:tcBorders>
            <w:vAlign w:val="bottom"/>
          </w:tcPr>
          <w:p w14:paraId="2FD4AABD" w14:textId="77777777" w:rsidR="00140C31" w:rsidRPr="00AE4E8D" w:rsidRDefault="00140C31" w:rsidP="00140C31">
            <w:pPr>
              <w:rPr>
                <w:rFonts w:ascii="Times New Roman" w:hAnsi="Times New Roman"/>
                <w:sz w:val="16"/>
                <w:szCs w:val="16"/>
                <w:lang w:val="es-ES"/>
              </w:rPr>
            </w:pPr>
          </w:p>
        </w:tc>
      </w:tr>
      <w:tr w:rsidR="003B5193" w:rsidRPr="00AE4E8D" w14:paraId="5E73A769" w14:textId="77777777" w:rsidTr="00415D8D">
        <w:trPr>
          <w:trHeight w:val="255"/>
          <w:jc w:val="center"/>
        </w:trPr>
        <w:tc>
          <w:tcPr>
            <w:tcW w:w="953" w:type="pct"/>
            <w:vAlign w:val="bottom"/>
          </w:tcPr>
          <w:p w14:paraId="77E81AE6" w14:textId="77777777" w:rsidR="00140C31" w:rsidRPr="00AE4E8D" w:rsidRDefault="00140C31" w:rsidP="00140C31">
            <w:pPr>
              <w:rPr>
                <w:rFonts w:ascii="Times New Roman" w:hAnsi="Times New Roman"/>
                <w:b/>
                <w:bCs/>
                <w:sz w:val="16"/>
                <w:szCs w:val="16"/>
                <w:lang w:val="es-ES"/>
              </w:rPr>
            </w:pPr>
          </w:p>
        </w:tc>
        <w:tc>
          <w:tcPr>
            <w:tcW w:w="606" w:type="pct"/>
            <w:shd w:val="clear" w:color="auto" w:fill="FFFFFF"/>
            <w:vAlign w:val="bottom"/>
            <w:hideMark/>
          </w:tcPr>
          <w:p w14:paraId="1E5CD66E"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 </w:t>
            </w:r>
          </w:p>
        </w:tc>
        <w:tc>
          <w:tcPr>
            <w:tcW w:w="141" w:type="pct"/>
            <w:shd w:val="clear" w:color="auto" w:fill="FFFFFF"/>
            <w:vAlign w:val="bottom"/>
            <w:hideMark/>
          </w:tcPr>
          <w:p w14:paraId="6A9AEA96"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5" w:type="pct"/>
            <w:shd w:val="clear" w:color="auto" w:fill="FFFFFF"/>
            <w:vAlign w:val="bottom"/>
            <w:hideMark/>
          </w:tcPr>
          <w:p w14:paraId="54267846"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 </w:t>
            </w:r>
          </w:p>
        </w:tc>
        <w:tc>
          <w:tcPr>
            <w:tcW w:w="120" w:type="pct"/>
            <w:vAlign w:val="bottom"/>
          </w:tcPr>
          <w:p w14:paraId="62E0F1F7" w14:textId="77777777" w:rsidR="00140C31" w:rsidRPr="00AE4E8D" w:rsidRDefault="00140C31" w:rsidP="00140C31">
            <w:pPr>
              <w:rPr>
                <w:rFonts w:ascii="Times New Roman" w:hAnsi="Times New Roman"/>
                <w:b/>
                <w:bCs/>
                <w:sz w:val="16"/>
                <w:szCs w:val="16"/>
                <w:lang w:val="es-ES"/>
              </w:rPr>
            </w:pPr>
          </w:p>
        </w:tc>
        <w:tc>
          <w:tcPr>
            <w:tcW w:w="606" w:type="pct"/>
            <w:shd w:val="clear" w:color="auto" w:fill="FFFFFF"/>
            <w:vAlign w:val="bottom"/>
            <w:hideMark/>
          </w:tcPr>
          <w:p w14:paraId="6AAF7715"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 </w:t>
            </w:r>
          </w:p>
        </w:tc>
        <w:tc>
          <w:tcPr>
            <w:tcW w:w="139" w:type="pct"/>
            <w:shd w:val="clear" w:color="auto" w:fill="FFFFFF"/>
            <w:vAlign w:val="bottom"/>
            <w:hideMark/>
          </w:tcPr>
          <w:p w14:paraId="68783F1D"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681A173F"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 </w:t>
            </w:r>
          </w:p>
        </w:tc>
        <w:tc>
          <w:tcPr>
            <w:tcW w:w="120" w:type="pct"/>
            <w:vAlign w:val="bottom"/>
          </w:tcPr>
          <w:p w14:paraId="4BFAB250" w14:textId="77777777" w:rsidR="00140C31" w:rsidRPr="00AE4E8D" w:rsidRDefault="00140C31" w:rsidP="00140C31">
            <w:pPr>
              <w:rPr>
                <w:rFonts w:ascii="Times New Roman" w:hAnsi="Times New Roman"/>
                <w:b/>
                <w:bCs/>
                <w:sz w:val="16"/>
                <w:szCs w:val="16"/>
                <w:lang w:val="es-ES"/>
              </w:rPr>
            </w:pPr>
          </w:p>
        </w:tc>
        <w:tc>
          <w:tcPr>
            <w:tcW w:w="582" w:type="pct"/>
            <w:vAlign w:val="bottom"/>
          </w:tcPr>
          <w:p w14:paraId="6B978C83" w14:textId="77777777" w:rsidR="00140C31" w:rsidRPr="00AE4E8D" w:rsidRDefault="00140C31" w:rsidP="00140C31">
            <w:pPr>
              <w:rPr>
                <w:rFonts w:ascii="Times New Roman" w:hAnsi="Times New Roman"/>
                <w:sz w:val="16"/>
                <w:szCs w:val="16"/>
                <w:lang w:val="es-ES"/>
              </w:rPr>
            </w:pPr>
          </w:p>
        </w:tc>
        <w:tc>
          <w:tcPr>
            <w:tcW w:w="120" w:type="pct"/>
            <w:vAlign w:val="bottom"/>
          </w:tcPr>
          <w:p w14:paraId="2FF67B8C" w14:textId="77777777" w:rsidR="00140C31" w:rsidRPr="00AE4E8D" w:rsidRDefault="00140C31" w:rsidP="00140C31">
            <w:pPr>
              <w:rPr>
                <w:rFonts w:ascii="Times New Roman" w:hAnsi="Times New Roman"/>
                <w:sz w:val="16"/>
                <w:szCs w:val="16"/>
                <w:lang w:val="es-ES"/>
              </w:rPr>
            </w:pPr>
          </w:p>
        </w:tc>
        <w:tc>
          <w:tcPr>
            <w:tcW w:w="580" w:type="pct"/>
            <w:vAlign w:val="bottom"/>
          </w:tcPr>
          <w:p w14:paraId="1DEE6A60" w14:textId="77777777" w:rsidR="00140C31" w:rsidRPr="00AE4E8D" w:rsidRDefault="00140C31" w:rsidP="00140C31">
            <w:pPr>
              <w:rPr>
                <w:rFonts w:ascii="Times New Roman" w:hAnsi="Times New Roman"/>
                <w:sz w:val="16"/>
                <w:szCs w:val="16"/>
                <w:lang w:val="es-ES"/>
              </w:rPr>
            </w:pPr>
          </w:p>
        </w:tc>
      </w:tr>
      <w:tr w:rsidR="003B5193" w:rsidRPr="00AE4E8D" w14:paraId="449E43F2" w14:textId="77777777" w:rsidTr="00415D8D">
        <w:trPr>
          <w:trHeight w:val="255"/>
          <w:jc w:val="center"/>
        </w:trPr>
        <w:tc>
          <w:tcPr>
            <w:tcW w:w="953" w:type="pct"/>
            <w:vAlign w:val="bottom"/>
            <w:hideMark/>
          </w:tcPr>
          <w:p w14:paraId="15EA4C60"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Pesos</w:t>
            </w:r>
          </w:p>
        </w:tc>
        <w:tc>
          <w:tcPr>
            <w:tcW w:w="606" w:type="pct"/>
            <w:shd w:val="clear" w:color="auto" w:fill="FFFFFF"/>
            <w:vAlign w:val="bottom"/>
            <w:hideMark/>
          </w:tcPr>
          <w:p w14:paraId="5880C18F"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szCs w:val="16"/>
                <w:lang w:val="es-ES"/>
              </w:rPr>
              <w:t xml:space="preserve">2.468.684 </w:t>
            </w:r>
          </w:p>
        </w:tc>
        <w:tc>
          <w:tcPr>
            <w:tcW w:w="141" w:type="pct"/>
            <w:shd w:val="clear" w:color="auto" w:fill="FFFFFF"/>
            <w:vAlign w:val="bottom"/>
            <w:hideMark/>
          </w:tcPr>
          <w:p w14:paraId="5E8E7E1D" w14:textId="77777777" w:rsidR="00140C31" w:rsidRPr="00AE4E8D" w:rsidRDefault="00140C31" w:rsidP="00140C31">
            <w:pPr>
              <w:rPr>
                <w:rFonts w:ascii="Times New Roman" w:hAnsi="Times New Roman"/>
                <w:sz w:val="16"/>
                <w:lang w:val="es-ES"/>
              </w:rPr>
            </w:pPr>
            <w:r w:rsidRPr="00AE4E8D">
              <w:rPr>
                <w:rFonts w:ascii="Times New Roman" w:hAnsi="Times New Roman"/>
                <w:sz w:val="16"/>
                <w:lang w:val="es-ES"/>
              </w:rPr>
              <w:t> </w:t>
            </w:r>
          </w:p>
        </w:tc>
        <w:tc>
          <w:tcPr>
            <w:tcW w:w="515" w:type="pct"/>
            <w:shd w:val="clear" w:color="auto" w:fill="FFFFFF"/>
            <w:vAlign w:val="bottom"/>
            <w:hideMark/>
          </w:tcPr>
          <w:p w14:paraId="1B88FF58"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szCs w:val="16"/>
                <w:lang w:val="es-ES"/>
              </w:rPr>
              <w:t>8,78</w:t>
            </w:r>
            <w:r w:rsidRPr="00AE4E8D">
              <w:rPr>
                <w:rFonts w:ascii="Times New Roman" w:hAnsi="Times New Roman"/>
                <w:sz w:val="16"/>
                <w:lang w:val="es-ES"/>
              </w:rPr>
              <w:t>%</w:t>
            </w:r>
          </w:p>
        </w:tc>
        <w:tc>
          <w:tcPr>
            <w:tcW w:w="120" w:type="pct"/>
            <w:vAlign w:val="bottom"/>
          </w:tcPr>
          <w:p w14:paraId="71B8A084"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52F2E814"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3.326.799</w:t>
            </w:r>
          </w:p>
        </w:tc>
        <w:tc>
          <w:tcPr>
            <w:tcW w:w="139" w:type="pct"/>
            <w:shd w:val="clear" w:color="auto" w:fill="FFFFFF"/>
            <w:vAlign w:val="bottom"/>
            <w:hideMark/>
          </w:tcPr>
          <w:p w14:paraId="4BBE387B"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5B89B221"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15,85%</w:t>
            </w:r>
          </w:p>
        </w:tc>
        <w:tc>
          <w:tcPr>
            <w:tcW w:w="120" w:type="pct"/>
            <w:vAlign w:val="bottom"/>
          </w:tcPr>
          <w:p w14:paraId="4C8387F6" w14:textId="77777777" w:rsidR="00140C31" w:rsidRPr="00AE4E8D" w:rsidRDefault="00140C31" w:rsidP="00140C31">
            <w:pPr>
              <w:rPr>
                <w:rFonts w:ascii="Times New Roman" w:hAnsi="Times New Roman"/>
                <w:sz w:val="16"/>
                <w:szCs w:val="16"/>
                <w:lang w:val="es-ES"/>
              </w:rPr>
            </w:pPr>
          </w:p>
        </w:tc>
        <w:tc>
          <w:tcPr>
            <w:tcW w:w="582" w:type="pct"/>
            <w:vAlign w:val="bottom"/>
            <w:hideMark/>
          </w:tcPr>
          <w:p w14:paraId="6D03B863" w14:textId="77777777" w:rsidR="00140C31" w:rsidRPr="00AE4E8D" w:rsidRDefault="00192BC8" w:rsidP="001656AD">
            <w:pPr>
              <w:jc w:val="right"/>
              <w:rPr>
                <w:rFonts w:ascii="Times New Roman" w:hAnsi="Times New Roman"/>
                <w:sz w:val="16"/>
                <w:szCs w:val="16"/>
                <w:lang w:val="es-ES"/>
              </w:rPr>
            </w:pPr>
            <w:r w:rsidRPr="00AE4E8D">
              <w:rPr>
                <w:rFonts w:ascii="Times New Roman" w:hAnsi="Times New Roman"/>
                <w:sz w:val="16"/>
                <w:szCs w:val="16"/>
                <w:lang w:val="es-ES"/>
              </w:rPr>
              <w:t>2.343.885</w:t>
            </w:r>
          </w:p>
        </w:tc>
        <w:tc>
          <w:tcPr>
            <w:tcW w:w="120" w:type="pct"/>
            <w:vAlign w:val="bottom"/>
          </w:tcPr>
          <w:p w14:paraId="42C5ADDE"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34ABF9E3" w14:textId="77777777" w:rsidR="00140C31" w:rsidRPr="00AE4E8D" w:rsidRDefault="00192BC8" w:rsidP="00140C31">
            <w:pPr>
              <w:jc w:val="right"/>
              <w:rPr>
                <w:rFonts w:ascii="Times New Roman" w:hAnsi="Times New Roman"/>
                <w:sz w:val="16"/>
                <w:szCs w:val="16"/>
                <w:lang w:val="es-ES"/>
              </w:rPr>
            </w:pPr>
            <w:r w:rsidRPr="00AE4E8D">
              <w:rPr>
                <w:rFonts w:ascii="Times New Roman" w:hAnsi="Times New Roman"/>
                <w:sz w:val="16"/>
                <w:szCs w:val="16"/>
                <w:lang w:val="es-ES"/>
              </w:rPr>
              <w:t>13,06</w:t>
            </w:r>
            <w:r w:rsidR="00140C31" w:rsidRPr="00AE4E8D">
              <w:rPr>
                <w:rFonts w:ascii="Times New Roman" w:hAnsi="Times New Roman"/>
                <w:sz w:val="16"/>
                <w:szCs w:val="16"/>
                <w:lang w:val="es-ES"/>
              </w:rPr>
              <w:t>%</w:t>
            </w:r>
          </w:p>
        </w:tc>
      </w:tr>
      <w:tr w:rsidR="003B5193" w:rsidRPr="00AE4E8D" w14:paraId="2791E90B" w14:textId="77777777" w:rsidTr="00415D8D">
        <w:trPr>
          <w:trHeight w:val="255"/>
          <w:jc w:val="center"/>
        </w:trPr>
        <w:tc>
          <w:tcPr>
            <w:tcW w:w="953" w:type="pct"/>
            <w:vAlign w:val="bottom"/>
            <w:hideMark/>
          </w:tcPr>
          <w:p w14:paraId="06A16386"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Dólares Est.</w:t>
            </w:r>
          </w:p>
        </w:tc>
        <w:tc>
          <w:tcPr>
            <w:tcW w:w="606" w:type="pct"/>
            <w:shd w:val="clear" w:color="auto" w:fill="FFFFFF"/>
            <w:vAlign w:val="bottom"/>
            <w:hideMark/>
          </w:tcPr>
          <w:p w14:paraId="7873BF87" w14:textId="77777777" w:rsidR="00140C31" w:rsidRPr="00AE4E8D" w:rsidRDefault="00192BC8" w:rsidP="00140C31">
            <w:pPr>
              <w:jc w:val="right"/>
              <w:rPr>
                <w:rFonts w:ascii="Times New Roman" w:hAnsi="Times New Roman"/>
                <w:sz w:val="16"/>
                <w:lang w:val="es-ES"/>
              </w:rPr>
            </w:pPr>
            <w:r w:rsidRPr="00AE4E8D">
              <w:rPr>
                <w:rFonts w:ascii="Times New Roman" w:hAnsi="Times New Roman"/>
                <w:sz w:val="16"/>
                <w:lang w:val="es-ES"/>
              </w:rPr>
              <w:t>-</w:t>
            </w:r>
          </w:p>
        </w:tc>
        <w:tc>
          <w:tcPr>
            <w:tcW w:w="141" w:type="pct"/>
            <w:shd w:val="clear" w:color="auto" w:fill="FFFFFF"/>
            <w:vAlign w:val="bottom"/>
            <w:hideMark/>
          </w:tcPr>
          <w:p w14:paraId="0B87928F" w14:textId="77777777" w:rsidR="00140C31" w:rsidRPr="00AE4E8D" w:rsidRDefault="00140C31" w:rsidP="00140C31">
            <w:pPr>
              <w:rPr>
                <w:rFonts w:ascii="Times New Roman" w:hAnsi="Times New Roman"/>
                <w:sz w:val="16"/>
                <w:lang w:val="es-ES"/>
              </w:rPr>
            </w:pPr>
            <w:r w:rsidRPr="00AE4E8D">
              <w:rPr>
                <w:rFonts w:ascii="Times New Roman" w:hAnsi="Times New Roman"/>
                <w:sz w:val="16"/>
                <w:lang w:val="es-ES"/>
              </w:rPr>
              <w:t> </w:t>
            </w:r>
          </w:p>
        </w:tc>
        <w:tc>
          <w:tcPr>
            <w:tcW w:w="515" w:type="pct"/>
            <w:shd w:val="clear" w:color="auto" w:fill="FFFFFF"/>
            <w:vAlign w:val="bottom"/>
            <w:hideMark/>
          </w:tcPr>
          <w:p w14:paraId="6B0E3CCE"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lang w:val="es-ES"/>
              </w:rPr>
              <w:t>0,00%</w:t>
            </w:r>
          </w:p>
        </w:tc>
        <w:tc>
          <w:tcPr>
            <w:tcW w:w="120" w:type="pct"/>
            <w:vAlign w:val="bottom"/>
          </w:tcPr>
          <w:p w14:paraId="1C3FA845"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5127153D" w14:textId="77777777" w:rsidR="00140C31" w:rsidRPr="00AE4E8D" w:rsidRDefault="00192BC8" w:rsidP="00140C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39" w:type="pct"/>
            <w:shd w:val="clear" w:color="auto" w:fill="FFFFFF"/>
            <w:vAlign w:val="bottom"/>
            <w:hideMark/>
          </w:tcPr>
          <w:p w14:paraId="6366AB83"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74CE9F12"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0,00%</w:t>
            </w:r>
          </w:p>
        </w:tc>
        <w:tc>
          <w:tcPr>
            <w:tcW w:w="120" w:type="pct"/>
            <w:vAlign w:val="bottom"/>
          </w:tcPr>
          <w:p w14:paraId="35B9779E" w14:textId="77777777" w:rsidR="00140C31" w:rsidRPr="00AE4E8D" w:rsidRDefault="00140C31" w:rsidP="00140C31">
            <w:pPr>
              <w:rPr>
                <w:rFonts w:ascii="Times New Roman" w:hAnsi="Times New Roman"/>
                <w:sz w:val="16"/>
                <w:szCs w:val="16"/>
                <w:lang w:val="es-ES"/>
              </w:rPr>
            </w:pPr>
          </w:p>
        </w:tc>
        <w:tc>
          <w:tcPr>
            <w:tcW w:w="582" w:type="pct"/>
            <w:vAlign w:val="bottom"/>
            <w:hideMark/>
          </w:tcPr>
          <w:p w14:paraId="272EA877" w14:textId="77777777" w:rsidR="00140C31" w:rsidRPr="00AE4E8D" w:rsidRDefault="00192BC8" w:rsidP="00140C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vAlign w:val="bottom"/>
          </w:tcPr>
          <w:p w14:paraId="44019C52"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0CD6CD62"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0,00%</w:t>
            </w:r>
          </w:p>
        </w:tc>
      </w:tr>
      <w:tr w:rsidR="003B5193" w:rsidRPr="00AE4E8D" w14:paraId="6B865D4F" w14:textId="77777777" w:rsidTr="00415D8D">
        <w:trPr>
          <w:trHeight w:val="255"/>
          <w:jc w:val="center"/>
        </w:trPr>
        <w:tc>
          <w:tcPr>
            <w:tcW w:w="953" w:type="pct"/>
            <w:vAlign w:val="bottom"/>
            <w:hideMark/>
          </w:tcPr>
          <w:p w14:paraId="23A60691"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Total</w:t>
            </w:r>
          </w:p>
        </w:tc>
        <w:tc>
          <w:tcPr>
            <w:tcW w:w="606" w:type="pct"/>
            <w:tcBorders>
              <w:top w:val="single" w:sz="4" w:space="0" w:color="000000"/>
              <w:left w:val="nil"/>
              <w:bottom w:val="single" w:sz="4" w:space="0" w:color="000000"/>
              <w:right w:val="nil"/>
            </w:tcBorders>
            <w:shd w:val="clear" w:color="auto" w:fill="FFFFFF"/>
            <w:vAlign w:val="bottom"/>
            <w:hideMark/>
          </w:tcPr>
          <w:p w14:paraId="3356ABAA" w14:textId="77777777" w:rsidR="00140C31" w:rsidRPr="00AE4E8D" w:rsidRDefault="00140C31" w:rsidP="00140C31">
            <w:pPr>
              <w:jc w:val="right"/>
              <w:rPr>
                <w:rFonts w:ascii="Times New Roman" w:hAnsi="Times New Roman"/>
                <w:b/>
                <w:sz w:val="16"/>
                <w:lang w:val="es-ES"/>
              </w:rPr>
            </w:pPr>
            <w:r w:rsidRPr="00AE4E8D">
              <w:rPr>
                <w:rFonts w:ascii="Times New Roman" w:hAnsi="Times New Roman"/>
                <w:b/>
                <w:bCs/>
                <w:sz w:val="16"/>
                <w:szCs w:val="16"/>
                <w:lang w:val="es-ES"/>
              </w:rPr>
              <w:t xml:space="preserve">2.468.684 </w:t>
            </w:r>
          </w:p>
        </w:tc>
        <w:tc>
          <w:tcPr>
            <w:tcW w:w="141" w:type="pct"/>
            <w:shd w:val="clear" w:color="auto" w:fill="FFFFFF"/>
            <w:vAlign w:val="bottom"/>
            <w:hideMark/>
          </w:tcPr>
          <w:p w14:paraId="1F045B12" w14:textId="77777777" w:rsidR="00140C31" w:rsidRPr="00AE4E8D" w:rsidRDefault="00140C31" w:rsidP="00140C31">
            <w:pPr>
              <w:rPr>
                <w:rFonts w:ascii="Times New Roman" w:hAnsi="Times New Roman"/>
                <w:sz w:val="16"/>
                <w:lang w:val="es-ES"/>
              </w:rPr>
            </w:pPr>
            <w:r w:rsidRPr="00AE4E8D">
              <w:rPr>
                <w:rFonts w:ascii="Times New Roman" w:hAnsi="Times New Roman"/>
                <w:sz w:val="16"/>
                <w:lang w:val="es-ES"/>
              </w:rPr>
              <w:t> </w:t>
            </w:r>
          </w:p>
        </w:tc>
        <w:tc>
          <w:tcPr>
            <w:tcW w:w="515" w:type="pct"/>
            <w:tcBorders>
              <w:top w:val="single" w:sz="4" w:space="0" w:color="000000"/>
              <w:left w:val="nil"/>
              <w:bottom w:val="single" w:sz="4" w:space="0" w:color="000000"/>
              <w:right w:val="nil"/>
            </w:tcBorders>
            <w:shd w:val="clear" w:color="auto" w:fill="FFFFFF"/>
            <w:vAlign w:val="bottom"/>
            <w:hideMark/>
          </w:tcPr>
          <w:p w14:paraId="052691DE" w14:textId="77777777" w:rsidR="00140C31" w:rsidRPr="00AE4E8D" w:rsidRDefault="00140C31" w:rsidP="00140C31">
            <w:pPr>
              <w:jc w:val="right"/>
              <w:rPr>
                <w:rFonts w:ascii="Times New Roman" w:hAnsi="Times New Roman"/>
                <w:b/>
                <w:sz w:val="16"/>
                <w:lang w:val="es-ES"/>
              </w:rPr>
            </w:pPr>
            <w:r w:rsidRPr="00AE4E8D">
              <w:rPr>
                <w:rFonts w:ascii="Times New Roman" w:hAnsi="Times New Roman"/>
                <w:b/>
                <w:bCs/>
                <w:sz w:val="16"/>
                <w:szCs w:val="16"/>
                <w:lang w:val="es-ES"/>
              </w:rPr>
              <w:t>8,78</w:t>
            </w:r>
            <w:r w:rsidRPr="00AE4E8D">
              <w:rPr>
                <w:rFonts w:ascii="Times New Roman" w:hAnsi="Times New Roman"/>
                <w:b/>
                <w:sz w:val="16"/>
                <w:lang w:val="es-ES"/>
              </w:rPr>
              <w:t>%</w:t>
            </w:r>
          </w:p>
        </w:tc>
        <w:tc>
          <w:tcPr>
            <w:tcW w:w="120" w:type="pct"/>
            <w:vAlign w:val="bottom"/>
          </w:tcPr>
          <w:p w14:paraId="33B69A56" w14:textId="77777777" w:rsidR="00140C31" w:rsidRPr="00AE4E8D" w:rsidRDefault="00140C31" w:rsidP="00140C31">
            <w:pPr>
              <w:rPr>
                <w:rFonts w:ascii="Times New Roman" w:hAnsi="Times New Roman"/>
                <w:b/>
                <w:bCs/>
                <w:sz w:val="16"/>
                <w:szCs w:val="16"/>
                <w:lang w:val="es-ES"/>
              </w:rPr>
            </w:pPr>
          </w:p>
        </w:tc>
        <w:tc>
          <w:tcPr>
            <w:tcW w:w="606" w:type="pct"/>
            <w:tcBorders>
              <w:top w:val="single" w:sz="4" w:space="0" w:color="000000"/>
              <w:left w:val="nil"/>
              <w:bottom w:val="single" w:sz="4" w:space="0" w:color="000000"/>
              <w:right w:val="nil"/>
            </w:tcBorders>
            <w:shd w:val="clear" w:color="auto" w:fill="FFFFFF"/>
            <w:vAlign w:val="bottom"/>
            <w:hideMark/>
          </w:tcPr>
          <w:p w14:paraId="7F4BA0EB"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3.326.799</w:t>
            </w:r>
          </w:p>
        </w:tc>
        <w:tc>
          <w:tcPr>
            <w:tcW w:w="139" w:type="pct"/>
            <w:shd w:val="clear" w:color="auto" w:fill="FFFFFF"/>
            <w:vAlign w:val="bottom"/>
            <w:hideMark/>
          </w:tcPr>
          <w:p w14:paraId="136942BF"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tcBorders>
              <w:top w:val="single" w:sz="4" w:space="0" w:color="000000"/>
              <w:left w:val="nil"/>
              <w:bottom w:val="single" w:sz="4" w:space="0" w:color="000000"/>
              <w:right w:val="nil"/>
            </w:tcBorders>
            <w:shd w:val="clear" w:color="auto" w:fill="FFFFFF"/>
            <w:vAlign w:val="bottom"/>
            <w:hideMark/>
          </w:tcPr>
          <w:p w14:paraId="4832581A"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15,85%</w:t>
            </w:r>
          </w:p>
        </w:tc>
        <w:tc>
          <w:tcPr>
            <w:tcW w:w="120" w:type="pct"/>
            <w:vAlign w:val="bottom"/>
          </w:tcPr>
          <w:p w14:paraId="4E6AB88F" w14:textId="77777777" w:rsidR="00140C31" w:rsidRPr="00AE4E8D" w:rsidRDefault="00140C31" w:rsidP="00140C31">
            <w:pPr>
              <w:rPr>
                <w:rFonts w:ascii="Times New Roman" w:hAnsi="Times New Roman"/>
                <w:b/>
                <w:bCs/>
                <w:sz w:val="16"/>
                <w:szCs w:val="16"/>
                <w:lang w:val="es-ES"/>
              </w:rPr>
            </w:pPr>
          </w:p>
        </w:tc>
        <w:tc>
          <w:tcPr>
            <w:tcW w:w="582" w:type="pct"/>
            <w:tcBorders>
              <w:top w:val="single" w:sz="4" w:space="0" w:color="000000"/>
              <w:left w:val="nil"/>
              <w:bottom w:val="single" w:sz="4" w:space="0" w:color="000000"/>
              <w:right w:val="nil"/>
            </w:tcBorders>
            <w:vAlign w:val="bottom"/>
            <w:hideMark/>
          </w:tcPr>
          <w:p w14:paraId="6F371AFE" w14:textId="77777777" w:rsidR="00140C31" w:rsidRPr="00AE4E8D" w:rsidRDefault="00192BC8"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2.343.885</w:t>
            </w:r>
          </w:p>
        </w:tc>
        <w:tc>
          <w:tcPr>
            <w:tcW w:w="120" w:type="pct"/>
            <w:vAlign w:val="bottom"/>
          </w:tcPr>
          <w:p w14:paraId="30136255" w14:textId="77777777" w:rsidR="00140C31" w:rsidRPr="00AE4E8D" w:rsidRDefault="00140C31" w:rsidP="00140C31">
            <w:pPr>
              <w:rPr>
                <w:rFonts w:ascii="Times New Roman" w:hAnsi="Times New Roman"/>
                <w:sz w:val="16"/>
                <w:szCs w:val="16"/>
                <w:lang w:val="es-ES"/>
              </w:rPr>
            </w:pPr>
          </w:p>
        </w:tc>
        <w:tc>
          <w:tcPr>
            <w:tcW w:w="580" w:type="pct"/>
            <w:tcBorders>
              <w:top w:val="single" w:sz="4" w:space="0" w:color="000000"/>
              <w:left w:val="nil"/>
              <w:bottom w:val="single" w:sz="4" w:space="0" w:color="000000"/>
              <w:right w:val="nil"/>
            </w:tcBorders>
            <w:shd w:val="clear" w:color="auto" w:fill="FFFFFF"/>
            <w:vAlign w:val="bottom"/>
            <w:hideMark/>
          </w:tcPr>
          <w:p w14:paraId="72B02B9F" w14:textId="77777777" w:rsidR="00140C31" w:rsidRPr="00AE4E8D" w:rsidRDefault="00192BC8"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13,06</w:t>
            </w:r>
            <w:r w:rsidR="00140C31" w:rsidRPr="00AE4E8D">
              <w:rPr>
                <w:rFonts w:ascii="Times New Roman" w:hAnsi="Times New Roman"/>
                <w:b/>
                <w:bCs/>
                <w:sz w:val="16"/>
                <w:szCs w:val="16"/>
                <w:lang w:val="es-ES"/>
              </w:rPr>
              <w:t>%</w:t>
            </w:r>
          </w:p>
        </w:tc>
      </w:tr>
      <w:tr w:rsidR="003B5193" w:rsidRPr="00AE4E8D" w14:paraId="0786DA7C" w14:textId="77777777" w:rsidTr="00415D8D">
        <w:trPr>
          <w:trHeight w:val="255"/>
          <w:jc w:val="center"/>
        </w:trPr>
        <w:tc>
          <w:tcPr>
            <w:tcW w:w="953" w:type="pct"/>
            <w:vAlign w:val="bottom"/>
          </w:tcPr>
          <w:p w14:paraId="1CB684EE"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21166139"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41" w:type="pct"/>
            <w:shd w:val="clear" w:color="auto" w:fill="FFFFFF"/>
            <w:vAlign w:val="bottom"/>
            <w:hideMark/>
          </w:tcPr>
          <w:p w14:paraId="729C9B79"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5" w:type="pct"/>
            <w:shd w:val="clear" w:color="auto" w:fill="FFFFFF"/>
            <w:vAlign w:val="bottom"/>
            <w:hideMark/>
          </w:tcPr>
          <w:p w14:paraId="7D057401"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55403EBA"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1CB342DC"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39" w:type="pct"/>
            <w:shd w:val="clear" w:color="auto" w:fill="FFFFFF"/>
            <w:vAlign w:val="bottom"/>
            <w:hideMark/>
          </w:tcPr>
          <w:p w14:paraId="2418AADF"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615FE249"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3678E9FB" w14:textId="77777777" w:rsidR="00140C31" w:rsidRPr="00AE4E8D" w:rsidRDefault="00140C31" w:rsidP="00140C31">
            <w:pPr>
              <w:rPr>
                <w:rFonts w:ascii="Times New Roman" w:hAnsi="Times New Roman"/>
                <w:sz w:val="16"/>
                <w:szCs w:val="16"/>
                <w:lang w:val="es-ES"/>
              </w:rPr>
            </w:pPr>
          </w:p>
        </w:tc>
        <w:tc>
          <w:tcPr>
            <w:tcW w:w="582" w:type="pct"/>
            <w:vAlign w:val="bottom"/>
          </w:tcPr>
          <w:p w14:paraId="57B50565" w14:textId="77777777" w:rsidR="00140C31" w:rsidRPr="00AE4E8D" w:rsidRDefault="00140C31" w:rsidP="00140C31">
            <w:pPr>
              <w:rPr>
                <w:rFonts w:ascii="Times New Roman" w:hAnsi="Times New Roman"/>
                <w:sz w:val="16"/>
                <w:szCs w:val="16"/>
                <w:lang w:val="es-ES"/>
              </w:rPr>
            </w:pPr>
          </w:p>
        </w:tc>
        <w:tc>
          <w:tcPr>
            <w:tcW w:w="120" w:type="pct"/>
            <w:vAlign w:val="bottom"/>
          </w:tcPr>
          <w:p w14:paraId="569CCAE8"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5821109A"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4413B733" w14:textId="77777777" w:rsidTr="00415D8D">
        <w:trPr>
          <w:trHeight w:val="255"/>
          <w:jc w:val="center"/>
        </w:trPr>
        <w:tc>
          <w:tcPr>
            <w:tcW w:w="953" w:type="pct"/>
            <w:vAlign w:val="bottom"/>
            <w:hideMark/>
          </w:tcPr>
          <w:p w14:paraId="5B788829"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Tasa Fija</w:t>
            </w:r>
          </w:p>
        </w:tc>
        <w:tc>
          <w:tcPr>
            <w:tcW w:w="606" w:type="pct"/>
            <w:shd w:val="clear" w:color="auto" w:fill="FFFFFF"/>
            <w:vAlign w:val="bottom"/>
            <w:hideMark/>
          </w:tcPr>
          <w:p w14:paraId="3A0C60D1"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41" w:type="pct"/>
            <w:shd w:val="clear" w:color="auto" w:fill="FFFFFF"/>
            <w:vAlign w:val="bottom"/>
            <w:hideMark/>
          </w:tcPr>
          <w:p w14:paraId="07EAF630"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5" w:type="pct"/>
            <w:shd w:val="clear" w:color="auto" w:fill="FFFFFF"/>
            <w:vAlign w:val="bottom"/>
            <w:hideMark/>
          </w:tcPr>
          <w:p w14:paraId="5BF3551F"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21155D41" w14:textId="77777777" w:rsidR="00140C31" w:rsidRPr="00AE4E8D" w:rsidRDefault="00140C31" w:rsidP="00140C31">
            <w:pPr>
              <w:rPr>
                <w:rFonts w:ascii="Times New Roman" w:hAnsi="Times New Roman"/>
                <w:b/>
                <w:bCs/>
                <w:sz w:val="16"/>
                <w:szCs w:val="16"/>
                <w:lang w:val="es-ES"/>
              </w:rPr>
            </w:pPr>
          </w:p>
        </w:tc>
        <w:tc>
          <w:tcPr>
            <w:tcW w:w="606" w:type="pct"/>
            <w:shd w:val="clear" w:color="auto" w:fill="FFFFFF"/>
            <w:vAlign w:val="bottom"/>
            <w:hideMark/>
          </w:tcPr>
          <w:p w14:paraId="4BA75C08"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39" w:type="pct"/>
            <w:shd w:val="clear" w:color="auto" w:fill="FFFFFF"/>
            <w:vAlign w:val="bottom"/>
            <w:hideMark/>
          </w:tcPr>
          <w:p w14:paraId="6E827B71"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1EC68468"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40D2420D" w14:textId="77777777" w:rsidR="00140C31" w:rsidRPr="00AE4E8D" w:rsidRDefault="00140C31" w:rsidP="00140C31">
            <w:pPr>
              <w:rPr>
                <w:rFonts w:ascii="Times New Roman" w:hAnsi="Times New Roman"/>
                <w:b/>
                <w:bCs/>
                <w:sz w:val="16"/>
                <w:szCs w:val="16"/>
                <w:lang w:val="es-ES"/>
              </w:rPr>
            </w:pPr>
          </w:p>
        </w:tc>
        <w:tc>
          <w:tcPr>
            <w:tcW w:w="582" w:type="pct"/>
            <w:vAlign w:val="bottom"/>
          </w:tcPr>
          <w:p w14:paraId="5D3CD65F" w14:textId="77777777" w:rsidR="00140C31" w:rsidRPr="00AE4E8D" w:rsidRDefault="00140C31" w:rsidP="00140C31">
            <w:pPr>
              <w:rPr>
                <w:rFonts w:ascii="Times New Roman" w:hAnsi="Times New Roman"/>
                <w:sz w:val="16"/>
                <w:szCs w:val="16"/>
                <w:lang w:val="es-ES"/>
              </w:rPr>
            </w:pPr>
          </w:p>
        </w:tc>
        <w:tc>
          <w:tcPr>
            <w:tcW w:w="120" w:type="pct"/>
            <w:vAlign w:val="bottom"/>
          </w:tcPr>
          <w:p w14:paraId="01F8D8B3"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429E0ADE"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703A4BA9" w14:textId="77777777" w:rsidTr="00415D8D">
        <w:trPr>
          <w:trHeight w:val="255"/>
          <w:jc w:val="center"/>
        </w:trPr>
        <w:tc>
          <w:tcPr>
            <w:tcW w:w="953" w:type="pct"/>
            <w:vAlign w:val="bottom"/>
          </w:tcPr>
          <w:p w14:paraId="4367F41F" w14:textId="77777777" w:rsidR="00140C31" w:rsidRPr="00AE4E8D" w:rsidRDefault="00140C31" w:rsidP="00140C31">
            <w:pPr>
              <w:rPr>
                <w:rFonts w:ascii="Times New Roman" w:hAnsi="Times New Roman"/>
                <w:b/>
                <w:bCs/>
                <w:sz w:val="16"/>
                <w:szCs w:val="16"/>
                <w:lang w:val="es-ES"/>
              </w:rPr>
            </w:pPr>
          </w:p>
        </w:tc>
        <w:tc>
          <w:tcPr>
            <w:tcW w:w="606" w:type="pct"/>
            <w:shd w:val="clear" w:color="auto" w:fill="FFFFFF"/>
            <w:vAlign w:val="bottom"/>
            <w:hideMark/>
          </w:tcPr>
          <w:p w14:paraId="060D25E0"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41" w:type="pct"/>
            <w:shd w:val="clear" w:color="auto" w:fill="FFFFFF"/>
            <w:vAlign w:val="bottom"/>
            <w:hideMark/>
          </w:tcPr>
          <w:p w14:paraId="4172C955"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5" w:type="pct"/>
            <w:shd w:val="clear" w:color="auto" w:fill="FFFFFF"/>
            <w:vAlign w:val="bottom"/>
            <w:hideMark/>
          </w:tcPr>
          <w:p w14:paraId="6BA29C3D"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5850D29C" w14:textId="77777777" w:rsidR="00140C31" w:rsidRPr="00AE4E8D" w:rsidRDefault="00140C31" w:rsidP="00140C31">
            <w:pPr>
              <w:rPr>
                <w:rFonts w:ascii="Times New Roman" w:hAnsi="Times New Roman"/>
                <w:b/>
                <w:bCs/>
                <w:sz w:val="16"/>
                <w:szCs w:val="16"/>
                <w:lang w:val="es-ES"/>
              </w:rPr>
            </w:pPr>
          </w:p>
        </w:tc>
        <w:tc>
          <w:tcPr>
            <w:tcW w:w="606" w:type="pct"/>
            <w:shd w:val="clear" w:color="auto" w:fill="FFFFFF"/>
            <w:vAlign w:val="bottom"/>
            <w:hideMark/>
          </w:tcPr>
          <w:p w14:paraId="2FAC8DA7"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39" w:type="pct"/>
            <w:shd w:val="clear" w:color="auto" w:fill="FFFFFF"/>
            <w:vAlign w:val="bottom"/>
            <w:hideMark/>
          </w:tcPr>
          <w:p w14:paraId="09C3177D"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1C68C565"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7A6962E5" w14:textId="77777777" w:rsidR="00140C31" w:rsidRPr="00AE4E8D" w:rsidRDefault="00140C31" w:rsidP="00140C31">
            <w:pPr>
              <w:rPr>
                <w:rFonts w:ascii="Times New Roman" w:hAnsi="Times New Roman"/>
                <w:b/>
                <w:bCs/>
                <w:sz w:val="16"/>
                <w:szCs w:val="16"/>
                <w:lang w:val="es-ES"/>
              </w:rPr>
            </w:pPr>
          </w:p>
        </w:tc>
        <w:tc>
          <w:tcPr>
            <w:tcW w:w="582" w:type="pct"/>
            <w:vAlign w:val="bottom"/>
          </w:tcPr>
          <w:p w14:paraId="3803D5AA" w14:textId="77777777" w:rsidR="00140C31" w:rsidRPr="00AE4E8D" w:rsidRDefault="00140C31" w:rsidP="00140C31">
            <w:pPr>
              <w:rPr>
                <w:rFonts w:ascii="Times New Roman" w:hAnsi="Times New Roman"/>
                <w:sz w:val="16"/>
                <w:szCs w:val="16"/>
                <w:lang w:val="es-ES"/>
              </w:rPr>
            </w:pPr>
          </w:p>
        </w:tc>
        <w:tc>
          <w:tcPr>
            <w:tcW w:w="120" w:type="pct"/>
            <w:vAlign w:val="bottom"/>
          </w:tcPr>
          <w:p w14:paraId="0628B8F2"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634BDBC0"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31156C8D" w14:textId="77777777" w:rsidTr="00415D8D">
        <w:trPr>
          <w:trHeight w:val="255"/>
          <w:jc w:val="center"/>
        </w:trPr>
        <w:tc>
          <w:tcPr>
            <w:tcW w:w="953" w:type="pct"/>
            <w:vAlign w:val="bottom"/>
            <w:hideMark/>
          </w:tcPr>
          <w:p w14:paraId="0775765A"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Pesos</w:t>
            </w:r>
          </w:p>
        </w:tc>
        <w:tc>
          <w:tcPr>
            <w:tcW w:w="606" w:type="pct"/>
            <w:shd w:val="clear" w:color="auto" w:fill="FFFFFF"/>
            <w:vAlign w:val="bottom"/>
            <w:hideMark/>
          </w:tcPr>
          <w:p w14:paraId="404A1A29"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szCs w:val="16"/>
                <w:lang w:val="es-ES"/>
              </w:rPr>
              <w:t xml:space="preserve">22.313.167 </w:t>
            </w:r>
          </w:p>
        </w:tc>
        <w:tc>
          <w:tcPr>
            <w:tcW w:w="141" w:type="pct"/>
            <w:shd w:val="clear" w:color="auto" w:fill="FFFFFF"/>
            <w:vAlign w:val="bottom"/>
            <w:hideMark/>
          </w:tcPr>
          <w:p w14:paraId="75DA6AF6" w14:textId="77777777" w:rsidR="00140C31" w:rsidRPr="00AE4E8D" w:rsidRDefault="00140C31" w:rsidP="00140C31">
            <w:pPr>
              <w:rPr>
                <w:rFonts w:ascii="Times New Roman" w:hAnsi="Times New Roman"/>
                <w:sz w:val="16"/>
                <w:lang w:val="es-ES"/>
              </w:rPr>
            </w:pPr>
            <w:r w:rsidRPr="00AE4E8D">
              <w:rPr>
                <w:rFonts w:ascii="Times New Roman" w:hAnsi="Times New Roman"/>
                <w:sz w:val="16"/>
                <w:lang w:val="es-ES"/>
              </w:rPr>
              <w:t> </w:t>
            </w:r>
          </w:p>
        </w:tc>
        <w:tc>
          <w:tcPr>
            <w:tcW w:w="515" w:type="pct"/>
            <w:shd w:val="clear" w:color="auto" w:fill="FFFFFF"/>
            <w:vAlign w:val="bottom"/>
            <w:hideMark/>
          </w:tcPr>
          <w:p w14:paraId="574657ED"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szCs w:val="16"/>
                <w:lang w:val="es-ES"/>
              </w:rPr>
              <w:t>79,35</w:t>
            </w:r>
            <w:r w:rsidRPr="00AE4E8D">
              <w:rPr>
                <w:rFonts w:ascii="Times New Roman" w:hAnsi="Times New Roman"/>
                <w:sz w:val="16"/>
                <w:lang w:val="es-ES"/>
              </w:rPr>
              <w:t>%</w:t>
            </w:r>
          </w:p>
        </w:tc>
        <w:tc>
          <w:tcPr>
            <w:tcW w:w="120" w:type="pct"/>
            <w:vAlign w:val="bottom"/>
          </w:tcPr>
          <w:p w14:paraId="40A802FA"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08870F89"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16.526.559</w:t>
            </w:r>
          </w:p>
        </w:tc>
        <w:tc>
          <w:tcPr>
            <w:tcW w:w="139" w:type="pct"/>
            <w:shd w:val="clear" w:color="auto" w:fill="FFFFFF"/>
            <w:vAlign w:val="bottom"/>
            <w:hideMark/>
          </w:tcPr>
          <w:p w14:paraId="406B9EA9"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7BB29374"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78,76%</w:t>
            </w:r>
          </w:p>
        </w:tc>
        <w:tc>
          <w:tcPr>
            <w:tcW w:w="120" w:type="pct"/>
            <w:vAlign w:val="bottom"/>
          </w:tcPr>
          <w:p w14:paraId="0CCFD616" w14:textId="77777777" w:rsidR="00140C31" w:rsidRPr="00AE4E8D" w:rsidRDefault="00140C31" w:rsidP="00140C31">
            <w:pPr>
              <w:rPr>
                <w:rFonts w:ascii="Times New Roman" w:hAnsi="Times New Roman"/>
                <w:sz w:val="16"/>
                <w:szCs w:val="16"/>
                <w:lang w:val="es-ES"/>
              </w:rPr>
            </w:pPr>
          </w:p>
        </w:tc>
        <w:tc>
          <w:tcPr>
            <w:tcW w:w="582" w:type="pct"/>
            <w:vAlign w:val="bottom"/>
            <w:hideMark/>
          </w:tcPr>
          <w:p w14:paraId="1C54B0BC" w14:textId="77777777" w:rsidR="00140C31" w:rsidRPr="00AE4E8D" w:rsidRDefault="00192BC8" w:rsidP="00140C31">
            <w:pPr>
              <w:jc w:val="right"/>
              <w:rPr>
                <w:rFonts w:ascii="Times New Roman" w:hAnsi="Times New Roman"/>
                <w:sz w:val="16"/>
                <w:szCs w:val="16"/>
                <w:lang w:val="es-ES"/>
              </w:rPr>
            </w:pPr>
            <w:r w:rsidRPr="00AE4E8D">
              <w:rPr>
                <w:rFonts w:ascii="Times New Roman" w:hAnsi="Times New Roman"/>
                <w:sz w:val="16"/>
                <w:szCs w:val="16"/>
                <w:lang w:val="es-ES"/>
              </w:rPr>
              <w:t>14.332.780</w:t>
            </w:r>
          </w:p>
        </w:tc>
        <w:tc>
          <w:tcPr>
            <w:tcW w:w="120" w:type="pct"/>
            <w:vAlign w:val="bottom"/>
          </w:tcPr>
          <w:p w14:paraId="780CCC3F"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1E0496AF" w14:textId="77777777" w:rsidR="00140C31" w:rsidRPr="00AE4E8D" w:rsidRDefault="00192BC8" w:rsidP="00140C31">
            <w:pPr>
              <w:jc w:val="right"/>
              <w:rPr>
                <w:rFonts w:ascii="Times New Roman" w:hAnsi="Times New Roman"/>
                <w:sz w:val="16"/>
                <w:szCs w:val="16"/>
                <w:lang w:val="es-ES"/>
              </w:rPr>
            </w:pPr>
            <w:r w:rsidRPr="00AE4E8D">
              <w:rPr>
                <w:rFonts w:ascii="Times New Roman" w:hAnsi="Times New Roman"/>
                <w:sz w:val="16"/>
                <w:szCs w:val="16"/>
                <w:lang w:val="es-ES"/>
              </w:rPr>
              <w:t>79,83</w:t>
            </w:r>
            <w:r w:rsidR="00140C31" w:rsidRPr="00AE4E8D">
              <w:rPr>
                <w:rFonts w:ascii="Times New Roman" w:hAnsi="Times New Roman"/>
                <w:sz w:val="16"/>
                <w:szCs w:val="16"/>
                <w:lang w:val="es-ES"/>
              </w:rPr>
              <w:t>%</w:t>
            </w:r>
          </w:p>
        </w:tc>
      </w:tr>
      <w:tr w:rsidR="003B5193" w:rsidRPr="00AE4E8D" w14:paraId="11AA32E8" w14:textId="77777777" w:rsidTr="00415D8D">
        <w:trPr>
          <w:trHeight w:val="255"/>
          <w:jc w:val="center"/>
        </w:trPr>
        <w:tc>
          <w:tcPr>
            <w:tcW w:w="953" w:type="pct"/>
            <w:vAlign w:val="bottom"/>
            <w:hideMark/>
          </w:tcPr>
          <w:p w14:paraId="1DF220CF"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Dólares Est.</w:t>
            </w:r>
          </w:p>
        </w:tc>
        <w:tc>
          <w:tcPr>
            <w:tcW w:w="606" w:type="pct"/>
            <w:shd w:val="clear" w:color="auto" w:fill="FFFFFF"/>
            <w:vAlign w:val="bottom"/>
            <w:hideMark/>
          </w:tcPr>
          <w:p w14:paraId="6CE178E4"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szCs w:val="16"/>
                <w:lang w:val="es-ES"/>
              </w:rPr>
              <w:t xml:space="preserve">2.919.660 </w:t>
            </w:r>
          </w:p>
        </w:tc>
        <w:tc>
          <w:tcPr>
            <w:tcW w:w="141" w:type="pct"/>
            <w:shd w:val="clear" w:color="auto" w:fill="FFFFFF"/>
            <w:vAlign w:val="bottom"/>
            <w:hideMark/>
          </w:tcPr>
          <w:p w14:paraId="20E7BEE9" w14:textId="77777777" w:rsidR="00140C31" w:rsidRPr="00AE4E8D" w:rsidRDefault="00140C31" w:rsidP="00140C31">
            <w:pPr>
              <w:rPr>
                <w:rFonts w:ascii="Times New Roman" w:hAnsi="Times New Roman"/>
                <w:sz w:val="16"/>
                <w:lang w:val="es-ES"/>
              </w:rPr>
            </w:pPr>
            <w:r w:rsidRPr="00AE4E8D">
              <w:rPr>
                <w:rFonts w:ascii="Times New Roman" w:hAnsi="Times New Roman"/>
                <w:sz w:val="16"/>
                <w:lang w:val="es-ES"/>
              </w:rPr>
              <w:t> </w:t>
            </w:r>
          </w:p>
        </w:tc>
        <w:tc>
          <w:tcPr>
            <w:tcW w:w="515" w:type="pct"/>
            <w:shd w:val="clear" w:color="auto" w:fill="FFFFFF"/>
            <w:vAlign w:val="bottom"/>
            <w:hideMark/>
          </w:tcPr>
          <w:p w14:paraId="7593C2B0"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szCs w:val="16"/>
                <w:lang w:val="es-ES"/>
              </w:rPr>
              <w:t>10,38</w:t>
            </w:r>
            <w:r w:rsidRPr="00AE4E8D">
              <w:rPr>
                <w:rFonts w:ascii="Times New Roman" w:hAnsi="Times New Roman"/>
                <w:sz w:val="16"/>
                <w:lang w:val="es-ES"/>
              </w:rPr>
              <w:t>%</w:t>
            </w:r>
          </w:p>
        </w:tc>
        <w:tc>
          <w:tcPr>
            <w:tcW w:w="120" w:type="pct"/>
            <w:vAlign w:val="bottom"/>
          </w:tcPr>
          <w:p w14:paraId="40A0D62B"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75450FC0"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886.280</w:t>
            </w:r>
          </w:p>
        </w:tc>
        <w:tc>
          <w:tcPr>
            <w:tcW w:w="139" w:type="pct"/>
            <w:shd w:val="clear" w:color="auto" w:fill="FFFFFF"/>
            <w:vAlign w:val="bottom"/>
            <w:hideMark/>
          </w:tcPr>
          <w:p w14:paraId="757A3AAC"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6D29D77C"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4,22%</w:t>
            </w:r>
          </w:p>
        </w:tc>
        <w:tc>
          <w:tcPr>
            <w:tcW w:w="120" w:type="pct"/>
            <w:vAlign w:val="bottom"/>
          </w:tcPr>
          <w:p w14:paraId="793CABC0" w14:textId="77777777" w:rsidR="00140C31" w:rsidRPr="00AE4E8D" w:rsidRDefault="00140C31" w:rsidP="00140C31">
            <w:pPr>
              <w:rPr>
                <w:rFonts w:ascii="Times New Roman" w:hAnsi="Times New Roman"/>
                <w:sz w:val="16"/>
                <w:szCs w:val="16"/>
                <w:lang w:val="es-ES"/>
              </w:rPr>
            </w:pPr>
          </w:p>
        </w:tc>
        <w:tc>
          <w:tcPr>
            <w:tcW w:w="582" w:type="pct"/>
            <w:vAlign w:val="bottom"/>
            <w:hideMark/>
          </w:tcPr>
          <w:p w14:paraId="2795E0C2" w14:textId="77777777" w:rsidR="00140C31" w:rsidRPr="00AE4E8D" w:rsidRDefault="00192BC8" w:rsidP="00140C31">
            <w:pPr>
              <w:jc w:val="right"/>
              <w:rPr>
                <w:rFonts w:ascii="Times New Roman" w:hAnsi="Times New Roman"/>
                <w:sz w:val="16"/>
                <w:szCs w:val="16"/>
                <w:lang w:val="es-ES"/>
              </w:rPr>
            </w:pPr>
            <w:r w:rsidRPr="00AE4E8D">
              <w:rPr>
                <w:rFonts w:ascii="Times New Roman" w:hAnsi="Times New Roman"/>
                <w:sz w:val="16"/>
                <w:szCs w:val="16"/>
                <w:lang w:val="es-ES"/>
              </w:rPr>
              <w:t>1.014.477</w:t>
            </w:r>
          </w:p>
        </w:tc>
        <w:tc>
          <w:tcPr>
            <w:tcW w:w="120" w:type="pct"/>
            <w:vAlign w:val="bottom"/>
          </w:tcPr>
          <w:p w14:paraId="3BDC3DA1"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0B352A73" w14:textId="77777777" w:rsidR="00140C31" w:rsidRPr="00AE4E8D" w:rsidRDefault="00192BC8" w:rsidP="00140C31">
            <w:pPr>
              <w:jc w:val="right"/>
              <w:rPr>
                <w:rFonts w:ascii="Times New Roman" w:hAnsi="Times New Roman"/>
                <w:sz w:val="16"/>
                <w:szCs w:val="16"/>
                <w:lang w:val="es-ES"/>
              </w:rPr>
            </w:pPr>
            <w:r w:rsidRPr="00AE4E8D">
              <w:rPr>
                <w:rFonts w:ascii="Times New Roman" w:hAnsi="Times New Roman"/>
                <w:sz w:val="16"/>
                <w:szCs w:val="16"/>
                <w:lang w:val="es-ES"/>
              </w:rPr>
              <w:t>6,65</w:t>
            </w:r>
            <w:r w:rsidR="00140C31" w:rsidRPr="00AE4E8D">
              <w:rPr>
                <w:rFonts w:ascii="Times New Roman" w:hAnsi="Times New Roman"/>
                <w:sz w:val="16"/>
                <w:szCs w:val="16"/>
                <w:lang w:val="es-ES"/>
              </w:rPr>
              <w:t>%</w:t>
            </w:r>
          </w:p>
        </w:tc>
      </w:tr>
      <w:tr w:rsidR="003B5193" w:rsidRPr="00AE4E8D" w14:paraId="6DD97E47" w14:textId="77777777" w:rsidTr="00415D8D">
        <w:trPr>
          <w:trHeight w:val="255"/>
          <w:jc w:val="center"/>
        </w:trPr>
        <w:tc>
          <w:tcPr>
            <w:tcW w:w="953" w:type="pct"/>
            <w:vAlign w:val="bottom"/>
            <w:hideMark/>
          </w:tcPr>
          <w:p w14:paraId="496F9971"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Total</w:t>
            </w:r>
          </w:p>
        </w:tc>
        <w:tc>
          <w:tcPr>
            <w:tcW w:w="606" w:type="pct"/>
            <w:tcBorders>
              <w:top w:val="single" w:sz="4" w:space="0" w:color="000000"/>
              <w:left w:val="nil"/>
              <w:bottom w:val="single" w:sz="4" w:space="0" w:color="000000"/>
              <w:right w:val="nil"/>
            </w:tcBorders>
            <w:shd w:val="clear" w:color="auto" w:fill="FFFFFF"/>
            <w:vAlign w:val="bottom"/>
            <w:hideMark/>
          </w:tcPr>
          <w:p w14:paraId="595E4F81" w14:textId="77777777" w:rsidR="00140C31" w:rsidRPr="00AE4E8D" w:rsidRDefault="00140C31" w:rsidP="00140C31">
            <w:pPr>
              <w:jc w:val="right"/>
              <w:rPr>
                <w:rFonts w:ascii="Times New Roman" w:hAnsi="Times New Roman"/>
                <w:b/>
                <w:sz w:val="16"/>
                <w:lang w:val="es-ES"/>
              </w:rPr>
            </w:pPr>
            <w:r w:rsidRPr="00AE4E8D">
              <w:rPr>
                <w:rFonts w:ascii="Times New Roman" w:hAnsi="Times New Roman"/>
                <w:b/>
                <w:bCs/>
                <w:sz w:val="16"/>
                <w:szCs w:val="16"/>
                <w:lang w:val="es-ES"/>
              </w:rPr>
              <w:t>25.232.82</w:t>
            </w:r>
            <w:r w:rsidR="003E4335" w:rsidRPr="00AE4E8D">
              <w:rPr>
                <w:rFonts w:ascii="Times New Roman" w:hAnsi="Times New Roman"/>
                <w:b/>
                <w:bCs/>
                <w:sz w:val="16"/>
                <w:szCs w:val="16"/>
                <w:lang w:val="es-ES"/>
              </w:rPr>
              <w:t>7</w:t>
            </w:r>
            <w:r w:rsidRPr="00AE4E8D">
              <w:rPr>
                <w:rFonts w:ascii="Times New Roman" w:hAnsi="Times New Roman"/>
                <w:b/>
                <w:bCs/>
                <w:sz w:val="16"/>
                <w:szCs w:val="16"/>
                <w:lang w:val="es-ES"/>
              </w:rPr>
              <w:t xml:space="preserve"> </w:t>
            </w:r>
          </w:p>
        </w:tc>
        <w:tc>
          <w:tcPr>
            <w:tcW w:w="141" w:type="pct"/>
            <w:shd w:val="clear" w:color="auto" w:fill="FFFFFF"/>
            <w:vAlign w:val="bottom"/>
            <w:hideMark/>
          </w:tcPr>
          <w:p w14:paraId="121CDE55" w14:textId="77777777" w:rsidR="00140C31" w:rsidRPr="00AE4E8D" w:rsidRDefault="00140C31" w:rsidP="00140C31">
            <w:pPr>
              <w:rPr>
                <w:rFonts w:ascii="Times New Roman" w:hAnsi="Times New Roman"/>
                <w:sz w:val="16"/>
                <w:lang w:val="es-ES"/>
              </w:rPr>
            </w:pPr>
            <w:r w:rsidRPr="00AE4E8D">
              <w:rPr>
                <w:rFonts w:ascii="Times New Roman" w:hAnsi="Times New Roman"/>
                <w:sz w:val="16"/>
                <w:lang w:val="es-ES"/>
              </w:rPr>
              <w:t> </w:t>
            </w:r>
          </w:p>
        </w:tc>
        <w:tc>
          <w:tcPr>
            <w:tcW w:w="515" w:type="pct"/>
            <w:tcBorders>
              <w:top w:val="single" w:sz="4" w:space="0" w:color="000000"/>
              <w:left w:val="nil"/>
              <w:bottom w:val="single" w:sz="4" w:space="0" w:color="000000"/>
              <w:right w:val="nil"/>
            </w:tcBorders>
            <w:shd w:val="clear" w:color="auto" w:fill="FFFFFF"/>
            <w:vAlign w:val="bottom"/>
            <w:hideMark/>
          </w:tcPr>
          <w:p w14:paraId="788A2DE1" w14:textId="77777777" w:rsidR="00140C31" w:rsidRPr="00AE4E8D" w:rsidRDefault="00140C31" w:rsidP="00140C31">
            <w:pPr>
              <w:jc w:val="right"/>
              <w:rPr>
                <w:rFonts w:ascii="Times New Roman" w:hAnsi="Times New Roman"/>
                <w:b/>
                <w:sz w:val="16"/>
                <w:lang w:val="es-ES"/>
              </w:rPr>
            </w:pPr>
            <w:r w:rsidRPr="00AE4E8D">
              <w:rPr>
                <w:rFonts w:ascii="Times New Roman" w:hAnsi="Times New Roman"/>
                <w:b/>
                <w:bCs/>
                <w:sz w:val="16"/>
                <w:szCs w:val="16"/>
                <w:lang w:val="es-ES"/>
              </w:rPr>
              <w:t>89,73</w:t>
            </w:r>
            <w:r w:rsidRPr="00AE4E8D">
              <w:rPr>
                <w:rFonts w:ascii="Times New Roman" w:hAnsi="Times New Roman"/>
                <w:b/>
                <w:sz w:val="16"/>
                <w:lang w:val="es-ES"/>
              </w:rPr>
              <w:t>%</w:t>
            </w:r>
          </w:p>
        </w:tc>
        <w:tc>
          <w:tcPr>
            <w:tcW w:w="120" w:type="pct"/>
            <w:vAlign w:val="bottom"/>
          </w:tcPr>
          <w:p w14:paraId="680F0A1F" w14:textId="77777777" w:rsidR="00140C31" w:rsidRPr="00AE4E8D" w:rsidRDefault="00140C31" w:rsidP="00140C31">
            <w:pPr>
              <w:rPr>
                <w:rFonts w:ascii="Times New Roman" w:hAnsi="Times New Roman"/>
                <w:b/>
                <w:bCs/>
                <w:sz w:val="16"/>
                <w:szCs w:val="16"/>
                <w:lang w:val="es-ES"/>
              </w:rPr>
            </w:pPr>
          </w:p>
        </w:tc>
        <w:tc>
          <w:tcPr>
            <w:tcW w:w="606" w:type="pct"/>
            <w:tcBorders>
              <w:top w:val="single" w:sz="4" w:space="0" w:color="000000"/>
              <w:left w:val="nil"/>
              <w:bottom w:val="single" w:sz="4" w:space="0" w:color="000000"/>
              <w:right w:val="nil"/>
            </w:tcBorders>
            <w:shd w:val="clear" w:color="auto" w:fill="FFFFFF"/>
            <w:vAlign w:val="bottom"/>
            <w:hideMark/>
          </w:tcPr>
          <w:p w14:paraId="24042AFE"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17.412.839</w:t>
            </w:r>
          </w:p>
        </w:tc>
        <w:tc>
          <w:tcPr>
            <w:tcW w:w="139" w:type="pct"/>
            <w:shd w:val="clear" w:color="auto" w:fill="FFFFFF"/>
            <w:vAlign w:val="bottom"/>
            <w:hideMark/>
          </w:tcPr>
          <w:p w14:paraId="4EF2230C"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tcBorders>
              <w:top w:val="single" w:sz="4" w:space="0" w:color="000000"/>
              <w:left w:val="nil"/>
              <w:bottom w:val="single" w:sz="4" w:space="0" w:color="000000"/>
              <w:right w:val="nil"/>
            </w:tcBorders>
            <w:shd w:val="clear" w:color="auto" w:fill="FFFFFF"/>
            <w:vAlign w:val="bottom"/>
            <w:hideMark/>
          </w:tcPr>
          <w:p w14:paraId="3A3755DB"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82,98%</w:t>
            </w:r>
          </w:p>
        </w:tc>
        <w:tc>
          <w:tcPr>
            <w:tcW w:w="120" w:type="pct"/>
            <w:vAlign w:val="bottom"/>
          </w:tcPr>
          <w:p w14:paraId="77E58BDF" w14:textId="77777777" w:rsidR="00140C31" w:rsidRPr="00AE4E8D" w:rsidRDefault="00140C31" w:rsidP="00140C31">
            <w:pPr>
              <w:rPr>
                <w:rFonts w:ascii="Times New Roman" w:hAnsi="Times New Roman"/>
                <w:b/>
                <w:bCs/>
                <w:sz w:val="16"/>
                <w:szCs w:val="16"/>
                <w:lang w:val="es-ES"/>
              </w:rPr>
            </w:pPr>
          </w:p>
        </w:tc>
        <w:tc>
          <w:tcPr>
            <w:tcW w:w="582" w:type="pct"/>
            <w:tcBorders>
              <w:top w:val="single" w:sz="4" w:space="0" w:color="000000"/>
              <w:left w:val="nil"/>
              <w:bottom w:val="single" w:sz="4" w:space="0" w:color="000000"/>
              <w:right w:val="nil"/>
            </w:tcBorders>
            <w:vAlign w:val="bottom"/>
            <w:hideMark/>
          </w:tcPr>
          <w:p w14:paraId="3C33D7A2" w14:textId="77777777" w:rsidR="00140C31" w:rsidRPr="00AE4E8D" w:rsidRDefault="00192BC8"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15.347.257</w:t>
            </w:r>
          </w:p>
        </w:tc>
        <w:tc>
          <w:tcPr>
            <w:tcW w:w="120" w:type="pct"/>
            <w:vAlign w:val="bottom"/>
          </w:tcPr>
          <w:p w14:paraId="2BE431CD" w14:textId="77777777" w:rsidR="00140C31" w:rsidRPr="00AE4E8D" w:rsidRDefault="00140C31" w:rsidP="00140C31">
            <w:pPr>
              <w:rPr>
                <w:rFonts w:ascii="Times New Roman" w:hAnsi="Times New Roman"/>
                <w:sz w:val="16"/>
                <w:szCs w:val="16"/>
                <w:lang w:val="es-ES"/>
              </w:rPr>
            </w:pPr>
          </w:p>
        </w:tc>
        <w:tc>
          <w:tcPr>
            <w:tcW w:w="580" w:type="pct"/>
            <w:tcBorders>
              <w:top w:val="single" w:sz="4" w:space="0" w:color="000000"/>
              <w:left w:val="nil"/>
              <w:bottom w:val="single" w:sz="4" w:space="0" w:color="000000"/>
              <w:right w:val="nil"/>
            </w:tcBorders>
            <w:shd w:val="clear" w:color="auto" w:fill="FFFFFF"/>
            <w:vAlign w:val="bottom"/>
            <w:hideMark/>
          </w:tcPr>
          <w:p w14:paraId="6C57580B" w14:textId="77777777" w:rsidR="00140C31" w:rsidRPr="00AE4E8D" w:rsidRDefault="00192BC8"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85,49</w:t>
            </w:r>
            <w:r w:rsidR="00140C31" w:rsidRPr="00AE4E8D">
              <w:rPr>
                <w:rFonts w:ascii="Times New Roman" w:hAnsi="Times New Roman"/>
                <w:b/>
                <w:bCs/>
                <w:sz w:val="16"/>
                <w:szCs w:val="16"/>
                <w:lang w:val="es-ES"/>
              </w:rPr>
              <w:t>%</w:t>
            </w:r>
          </w:p>
        </w:tc>
      </w:tr>
      <w:tr w:rsidR="003B5193" w:rsidRPr="00AE4E8D" w14:paraId="3469E9B8" w14:textId="77777777" w:rsidTr="00415D8D">
        <w:trPr>
          <w:trHeight w:val="255"/>
          <w:jc w:val="center"/>
        </w:trPr>
        <w:tc>
          <w:tcPr>
            <w:tcW w:w="953" w:type="pct"/>
            <w:vAlign w:val="bottom"/>
          </w:tcPr>
          <w:p w14:paraId="4BCE535E"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45611471"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41" w:type="pct"/>
            <w:shd w:val="clear" w:color="auto" w:fill="FFFFFF"/>
            <w:vAlign w:val="bottom"/>
            <w:hideMark/>
          </w:tcPr>
          <w:p w14:paraId="3859FDFB"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5" w:type="pct"/>
            <w:shd w:val="clear" w:color="auto" w:fill="FFFFFF"/>
            <w:vAlign w:val="bottom"/>
            <w:hideMark/>
          </w:tcPr>
          <w:p w14:paraId="6F71523C"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696CAFA5"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099B43DB"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39" w:type="pct"/>
            <w:shd w:val="clear" w:color="auto" w:fill="FFFFFF"/>
            <w:vAlign w:val="bottom"/>
            <w:hideMark/>
          </w:tcPr>
          <w:p w14:paraId="2486E627"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6638257B"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1302CC2F" w14:textId="77777777" w:rsidR="00140C31" w:rsidRPr="00AE4E8D" w:rsidRDefault="00140C31" w:rsidP="00140C31">
            <w:pPr>
              <w:rPr>
                <w:rFonts w:ascii="Times New Roman" w:hAnsi="Times New Roman"/>
                <w:sz w:val="16"/>
                <w:szCs w:val="16"/>
                <w:lang w:val="es-ES"/>
              </w:rPr>
            </w:pPr>
          </w:p>
        </w:tc>
        <w:tc>
          <w:tcPr>
            <w:tcW w:w="582" w:type="pct"/>
            <w:vAlign w:val="bottom"/>
          </w:tcPr>
          <w:p w14:paraId="6D5FDB26" w14:textId="77777777" w:rsidR="00140C31" w:rsidRPr="00AE4E8D" w:rsidRDefault="00140C31" w:rsidP="00140C31">
            <w:pPr>
              <w:rPr>
                <w:rFonts w:ascii="Times New Roman" w:hAnsi="Times New Roman"/>
                <w:sz w:val="16"/>
                <w:szCs w:val="16"/>
                <w:lang w:val="es-ES"/>
              </w:rPr>
            </w:pPr>
          </w:p>
        </w:tc>
        <w:tc>
          <w:tcPr>
            <w:tcW w:w="120" w:type="pct"/>
            <w:vAlign w:val="bottom"/>
          </w:tcPr>
          <w:p w14:paraId="116723DD"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3CD78DDB"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1C32407A" w14:textId="77777777" w:rsidTr="00415D8D">
        <w:trPr>
          <w:trHeight w:val="255"/>
          <w:jc w:val="center"/>
        </w:trPr>
        <w:tc>
          <w:tcPr>
            <w:tcW w:w="953" w:type="pct"/>
            <w:vAlign w:val="bottom"/>
            <w:hideMark/>
          </w:tcPr>
          <w:p w14:paraId="5E38058B"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Otros</w:t>
            </w:r>
          </w:p>
        </w:tc>
        <w:tc>
          <w:tcPr>
            <w:tcW w:w="606" w:type="pct"/>
            <w:shd w:val="clear" w:color="auto" w:fill="FFFFFF"/>
            <w:vAlign w:val="bottom"/>
            <w:hideMark/>
          </w:tcPr>
          <w:p w14:paraId="26398D33"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41" w:type="pct"/>
            <w:shd w:val="clear" w:color="auto" w:fill="FFFFFF"/>
            <w:vAlign w:val="bottom"/>
            <w:hideMark/>
          </w:tcPr>
          <w:p w14:paraId="08EA9FFE"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5" w:type="pct"/>
            <w:shd w:val="clear" w:color="auto" w:fill="FFFFFF"/>
            <w:vAlign w:val="bottom"/>
            <w:hideMark/>
          </w:tcPr>
          <w:p w14:paraId="2C088B2C"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5ECFDDCA" w14:textId="77777777" w:rsidR="00140C31" w:rsidRPr="00AE4E8D" w:rsidRDefault="00140C31" w:rsidP="00140C31">
            <w:pPr>
              <w:rPr>
                <w:rFonts w:ascii="Times New Roman" w:hAnsi="Times New Roman"/>
                <w:b/>
                <w:bCs/>
                <w:sz w:val="16"/>
                <w:szCs w:val="16"/>
                <w:lang w:val="es-ES"/>
              </w:rPr>
            </w:pPr>
          </w:p>
        </w:tc>
        <w:tc>
          <w:tcPr>
            <w:tcW w:w="606" w:type="pct"/>
            <w:shd w:val="clear" w:color="auto" w:fill="FFFFFF"/>
            <w:vAlign w:val="bottom"/>
            <w:hideMark/>
          </w:tcPr>
          <w:p w14:paraId="677C812C"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39" w:type="pct"/>
            <w:shd w:val="clear" w:color="auto" w:fill="FFFFFF"/>
            <w:vAlign w:val="bottom"/>
            <w:hideMark/>
          </w:tcPr>
          <w:p w14:paraId="2E745951"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40933438"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6A47203B" w14:textId="77777777" w:rsidR="00140C31" w:rsidRPr="00AE4E8D" w:rsidRDefault="00140C31" w:rsidP="00140C31">
            <w:pPr>
              <w:rPr>
                <w:rFonts w:ascii="Times New Roman" w:hAnsi="Times New Roman"/>
                <w:b/>
                <w:bCs/>
                <w:sz w:val="16"/>
                <w:szCs w:val="16"/>
                <w:lang w:val="es-ES"/>
              </w:rPr>
            </w:pPr>
          </w:p>
        </w:tc>
        <w:tc>
          <w:tcPr>
            <w:tcW w:w="582" w:type="pct"/>
            <w:vAlign w:val="bottom"/>
          </w:tcPr>
          <w:p w14:paraId="45AC7A1C" w14:textId="77777777" w:rsidR="00140C31" w:rsidRPr="00AE4E8D" w:rsidRDefault="00140C31" w:rsidP="00140C31">
            <w:pPr>
              <w:rPr>
                <w:rFonts w:ascii="Times New Roman" w:hAnsi="Times New Roman"/>
                <w:sz w:val="16"/>
                <w:szCs w:val="16"/>
                <w:lang w:val="es-ES"/>
              </w:rPr>
            </w:pPr>
          </w:p>
        </w:tc>
        <w:tc>
          <w:tcPr>
            <w:tcW w:w="120" w:type="pct"/>
            <w:vAlign w:val="bottom"/>
          </w:tcPr>
          <w:p w14:paraId="04D5559F"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07427940"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051AFD79" w14:textId="77777777" w:rsidTr="00415D8D">
        <w:trPr>
          <w:trHeight w:val="255"/>
          <w:jc w:val="center"/>
        </w:trPr>
        <w:tc>
          <w:tcPr>
            <w:tcW w:w="953" w:type="pct"/>
            <w:vAlign w:val="bottom"/>
          </w:tcPr>
          <w:p w14:paraId="4EE052F3"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0EDB0AD3"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41" w:type="pct"/>
            <w:shd w:val="clear" w:color="auto" w:fill="FFFFFF"/>
            <w:vAlign w:val="bottom"/>
            <w:hideMark/>
          </w:tcPr>
          <w:p w14:paraId="043AEC44"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5" w:type="pct"/>
            <w:shd w:val="clear" w:color="auto" w:fill="FFFFFF"/>
            <w:vAlign w:val="bottom"/>
            <w:hideMark/>
          </w:tcPr>
          <w:p w14:paraId="6386953D"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3D182944"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62F3E2F4"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39" w:type="pct"/>
            <w:shd w:val="clear" w:color="auto" w:fill="FFFFFF"/>
            <w:vAlign w:val="bottom"/>
            <w:hideMark/>
          </w:tcPr>
          <w:p w14:paraId="41568EE5"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30B4C261"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2191DF41" w14:textId="77777777" w:rsidR="00140C31" w:rsidRPr="00AE4E8D" w:rsidRDefault="00140C31" w:rsidP="00140C31">
            <w:pPr>
              <w:rPr>
                <w:rFonts w:ascii="Times New Roman" w:hAnsi="Times New Roman"/>
                <w:sz w:val="16"/>
                <w:szCs w:val="16"/>
                <w:lang w:val="es-ES"/>
              </w:rPr>
            </w:pPr>
          </w:p>
        </w:tc>
        <w:tc>
          <w:tcPr>
            <w:tcW w:w="582" w:type="pct"/>
            <w:vAlign w:val="bottom"/>
          </w:tcPr>
          <w:p w14:paraId="742E762F" w14:textId="77777777" w:rsidR="00140C31" w:rsidRPr="00AE4E8D" w:rsidRDefault="00140C31" w:rsidP="00140C31">
            <w:pPr>
              <w:rPr>
                <w:rFonts w:ascii="Times New Roman" w:hAnsi="Times New Roman"/>
                <w:sz w:val="16"/>
                <w:szCs w:val="16"/>
                <w:lang w:val="es-ES"/>
              </w:rPr>
            </w:pPr>
          </w:p>
        </w:tc>
        <w:tc>
          <w:tcPr>
            <w:tcW w:w="120" w:type="pct"/>
            <w:vAlign w:val="bottom"/>
          </w:tcPr>
          <w:p w14:paraId="3578E468"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79DF4305"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49DFB70B" w14:textId="77777777" w:rsidTr="00415D8D">
        <w:trPr>
          <w:trHeight w:val="255"/>
          <w:jc w:val="center"/>
        </w:trPr>
        <w:tc>
          <w:tcPr>
            <w:tcW w:w="953" w:type="pct"/>
            <w:vAlign w:val="bottom"/>
            <w:hideMark/>
          </w:tcPr>
          <w:p w14:paraId="777AB8BC"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Pesos</w:t>
            </w:r>
          </w:p>
        </w:tc>
        <w:tc>
          <w:tcPr>
            <w:tcW w:w="606" w:type="pct"/>
            <w:shd w:val="clear" w:color="auto" w:fill="FFFFFF"/>
            <w:vAlign w:val="bottom"/>
            <w:hideMark/>
          </w:tcPr>
          <w:p w14:paraId="3A0E03D3"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szCs w:val="16"/>
                <w:lang w:val="es-ES"/>
              </w:rPr>
              <w:t xml:space="preserve">420.052 </w:t>
            </w:r>
          </w:p>
        </w:tc>
        <w:tc>
          <w:tcPr>
            <w:tcW w:w="141" w:type="pct"/>
            <w:shd w:val="clear" w:color="auto" w:fill="FFFFFF"/>
            <w:vAlign w:val="bottom"/>
            <w:hideMark/>
          </w:tcPr>
          <w:p w14:paraId="46B5957C" w14:textId="77777777" w:rsidR="00140C31" w:rsidRPr="00AE4E8D" w:rsidRDefault="00140C31" w:rsidP="00140C31">
            <w:pPr>
              <w:rPr>
                <w:rFonts w:ascii="Times New Roman" w:hAnsi="Times New Roman"/>
                <w:sz w:val="16"/>
                <w:lang w:val="es-ES"/>
              </w:rPr>
            </w:pPr>
            <w:r w:rsidRPr="00AE4E8D">
              <w:rPr>
                <w:rFonts w:ascii="Times New Roman" w:hAnsi="Times New Roman"/>
                <w:sz w:val="16"/>
                <w:lang w:val="es-ES"/>
              </w:rPr>
              <w:t> </w:t>
            </w:r>
          </w:p>
        </w:tc>
        <w:tc>
          <w:tcPr>
            <w:tcW w:w="515" w:type="pct"/>
            <w:shd w:val="clear" w:color="auto" w:fill="FFFFFF"/>
            <w:vAlign w:val="bottom"/>
            <w:hideMark/>
          </w:tcPr>
          <w:p w14:paraId="3F349C19"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lang w:val="es-ES"/>
              </w:rPr>
              <w:t>1,</w:t>
            </w:r>
            <w:r w:rsidRPr="00AE4E8D">
              <w:rPr>
                <w:rFonts w:ascii="Times New Roman" w:hAnsi="Times New Roman"/>
                <w:sz w:val="16"/>
                <w:szCs w:val="16"/>
                <w:lang w:val="es-ES"/>
              </w:rPr>
              <w:t>49</w:t>
            </w:r>
            <w:r w:rsidRPr="00AE4E8D">
              <w:rPr>
                <w:rFonts w:ascii="Times New Roman" w:hAnsi="Times New Roman"/>
                <w:sz w:val="16"/>
                <w:lang w:val="es-ES"/>
              </w:rPr>
              <w:t>%</w:t>
            </w:r>
          </w:p>
        </w:tc>
        <w:tc>
          <w:tcPr>
            <w:tcW w:w="120" w:type="pct"/>
            <w:vAlign w:val="bottom"/>
          </w:tcPr>
          <w:p w14:paraId="6055540E"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44868948"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245.986</w:t>
            </w:r>
          </w:p>
        </w:tc>
        <w:tc>
          <w:tcPr>
            <w:tcW w:w="139" w:type="pct"/>
            <w:shd w:val="clear" w:color="auto" w:fill="FFFFFF"/>
            <w:vAlign w:val="bottom"/>
            <w:hideMark/>
          </w:tcPr>
          <w:p w14:paraId="784D7415"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4E6B3D2B"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1,17%</w:t>
            </w:r>
          </w:p>
        </w:tc>
        <w:tc>
          <w:tcPr>
            <w:tcW w:w="120" w:type="pct"/>
            <w:vAlign w:val="bottom"/>
          </w:tcPr>
          <w:p w14:paraId="03167810" w14:textId="77777777" w:rsidR="00140C31" w:rsidRPr="00AE4E8D" w:rsidRDefault="00140C31" w:rsidP="00140C31">
            <w:pPr>
              <w:rPr>
                <w:rFonts w:ascii="Times New Roman" w:hAnsi="Times New Roman"/>
                <w:sz w:val="16"/>
                <w:szCs w:val="16"/>
                <w:lang w:val="es-ES"/>
              </w:rPr>
            </w:pPr>
          </w:p>
        </w:tc>
        <w:tc>
          <w:tcPr>
            <w:tcW w:w="582" w:type="pct"/>
            <w:vAlign w:val="bottom"/>
            <w:hideMark/>
          </w:tcPr>
          <w:p w14:paraId="10089E56" w14:textId="77777777" w:rsidR="00140C31" w:rsidRPr="00AE4E8D" w:rsidRDefault="00192BC8" w:rsidP="00140C31">
            <w:pPr>
              <w:jc w:val="right"/>
              <w:rPr>
                <w:rFonts w:ascii="Times New Roman" w:hAnsi="Times New Roman"/>
                <w:sz w:val="16"/>
                <w:szCs w:val="16"/>
                <w:lang w:val="es-ES"/>
              </w:rPr>
            </w:pPr>
            <w:r w:rsidRPr="00AE4E8D">
              <w:rPr>
                <w:rFonts w:ascii="Times New Roman" w:hAnsi="Times New Roman"/>
                <w:sz w:val="16"/>
                <w:szCs w:val="16"/>
                <w:lang w:val="es-ES"/>
              </w:rPr>
              <w:t>262.188</w:t>
            </w:r>
          </w:p>
        </w:tc>
        <w:tc>
          <w:tcPr>
            <w:tcW w:w="120" w:type="pct"/>
            <w:vAlign w:val="bottom"/>
          </w:tcPr>
          <w:p w14:paraId="35AEF647"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142AD2A5" w14:textId="77777777" w:rsidR="00140C31" w:rsidRPr="00AE4E8D" w:rsidRDefault="00192BC8" w:rsidP="00140C31">
            <w:pPr>
              <w:jc w:val="right"/>
              <w:rPr>
                <w:rFonts w:ascii="Times New Roman" w:hAnsi="Times New Roman"/>
                <w:sz w:val="16"/>
                <w:szCs w:val="16"/>
                <w:lang w:val="es-ES"/>
              </w:rPr>
            </w:pPr>
            <w:r w:rsidRPr="00AE4E8D">
              <w:rPr>
                <w:rFonts w:ascii="Times New Roman" w:hAnsi="Times New Roman"/>
                <w:sz w:val="16"/>
                <w:szCs w:val="16"/>
                <w:lang w:val="es-ES"/>
              </w:rPr>
              <w:t>1,46</w:t>
            </w:r>
            <w:r w:rsidR="00140C31" w:rsidRPr="00AE4E8D">
              <w:rPr>
                <w:rFonts w:ascii="Times New Roman" w:hAnsi="Times New Roman"/>
                <w:sz w:val="16"/>
                <w:szCs w:val="16"/>
                <w:lang w:val="es-ES"/>
              </w:rPr>
              <w:t>%</w:t>
            </w:r>
          </w:p>
        </w:tc>
      </w:tr>
      <w:tr w:rsidR="003B5193" w:rsidRPr="00AE4E8D" w14:paraId="011BFF0A" w14:textId="77777777" w:rsidTr="00415D8D">
        <w:trPr>
          <w:trHeight w:val="255"/>
          <w:jc w:val="center"/>
        </w:trPr>
        <w:tc>
          <w:tcPr>
            <w:tcW w:w="953" w:type="pct"/>
            <w:vAlign w:val="bottom"/>
            <w:hideMark/>
          </w:tcPr>
          <w:p w14:paraId="267DF631"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Dólares Est.</w:t>
            </w:r>
          </w:p>
        </w:tc>
        <w:tc>
          <w:tcPr>
            <w:tcW w:w="606" w:type="pct"/>
            <w:shd w:val="clear" w:color="auto" w:fill="FFFFFF"/>
            <w:vAlign w:val="bottom"/>
            <w:hideMark/>
          </w:tcPr>
          <w:p w14:paraId="495A7D6F" w14:textId="77777777" w:rsidR="00140C31" w:rsidRPr="00AE4E8D" w:rsidRDefault="001656AD" w:rsidP="00140C31">
            <w:pPr>
              <w:jc w:val="right"/>
              <w:rPr>
                <w:rFonts w:ascii="Times New Roman" w:hAnsi="Times New Roman"/>
                <w:sz w:val="16"/>
                <w:lang w:val="es-ES"/>
              </w:rPr>
            </w:pPr>
            <w:r w:rsidRPr="00AE4E8D">
              <w:rPr>
                <w:rFonts w:ascii="Times New Roman" w:hAnsi="Times New Roman"/>
                <w:sz w:val="16"/>
                <w:lang w:val="es-ES"/>
              </w:rPr>
              <w:t>-</w:t>
            </w:r>
            <w:r w:rsidR="00140C31" w:rsidRPr="00AE4E8D">
              <w:rPr>
                <w:rFonts w:ascii="Times New Roman" w:hAnsi="Times New Roman"/>
                <w:sz w:val="16"/>
                <w:szCs w:val="16"/>
                <w:lang w:val="es-ES"/>
              </w:rPr>
              <w:t xml:space="preserve"> </w:t>
            </w:r>
          </w:p>
        </w:tc>
        <w:tc>
          <w:tcPr>
            <w:tcW w:w="141" w:type="pct"/>
            <w:shd w:val="clear" w:color="auto" w:fill="FFFFFF"/>
            <w:vAlign w:val="bottom"/>
            <w:hideMark/>
          </w:tcPr>
          <w:p w14:paraId="2F8AD7AD" w14:textId="77777777" w:rsidR="00140C31" w:rsidRPr="00AE4E8D" w:rsidRDefault="00140C31" w:rsidP="00140C31">
            <w:pPr>
              <w:rPr>
                <w:rFonts w:ascii="Times New Roman" w:hAnsi="Times New Roman"/>
                <w:sz w:val="16"/>
                <w:lang w:val="es-ES"/>
              </w:rPr>
            </w:pPr>
            <w:r w:rsidRPr="00AE4E8D">
              <w:rPr>
                <w:rFonts w:ascii="Times New Roman" w:hAnsi="Times New Roman"/>
                <w:sz w:val="16"/>
                <w:lang w:val="es-ES"/>
              </w:rPr>
              <w:t> </w:t>
            </w:r>
          </w:p>
        </w:tc>
        <w:tc>
          <w:tcPr>
            <w:tcW w:w="515" w:type="pct"/>
            <w:shd w:val="clear" w:color="auto" w:fill="FFFFFF"/>
            <w:vAlign w:val="bottom"/>
            <w:hideMark/>
          </w:tcPr>
          <w:p w14:paraId="7C80E534" w14:textId="77777777" w:rsidR="00140C31" w:rsidRPr="00AE4E8D" w:rsidRDefault="00140C31" w:rsidP="00140C31">
            <w:pPr>
              <w:jc w:val="right"/>
              <w:rPr>
                <w:rFonts w:ascii="Times New Roman" w:hAnsi="Times New Roman"/>
                <w:sz w:val="16"/>
                <w:lang w:val="es-ES"/>
              </w:rPr>
            </w:pPr>
            <w:r w:rsidRPr="00AE4E8D">
              <w:rPr>
                <w:rFonts w:ascii="Times New Roman" w:hAnsi="Times New Roman"/>
                <w:sz w:val="16"/>
                <w:lang w:val="es-ES"/>
              </w:rPr>
              <w:t>0,00%</w:t>
            </w:r>
          </w:p>
        </w:tc>
        <w:tc>
          <w:tcPr>
            <w:tcW w:w="120" w:type="pct"/>
            <w:vAlign w:val="bottom"/>
          </w:tcPr>
          <w:p w14:paraId="77E60887"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4EE220FF" w14:textId="77777777" w:rsidR="00140C31" w:rsidRPr="00AE4E8D" w:rsidRDefault="001656AD" w:rsidP="00140C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39" w:type="pct"/>
            <w:shd w:val="clear" w:color="auto" w:fill="FFFFFF"/>
            <w:vAlign w:val="bottom"/>
            <w:hideMark/>
          </w:tcPr>
          <w:p w14:paraId="5418BD83"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542B337D"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0,00%</w:t>
            </w:r>
          </w:p>
        </w:tc>
        <w:tc>
          <w:tcPr>
            <w:tcW w:w="120" w:type="pct"/>
            <w:vAlign w:val="bottom"/>
          </w:tcPr>
          <w:p w14:paraId="186327A4" w14:textId="77777777" w:rsidR="00140C31" w:rsidRPr="00AE4E8D" w:rsidRDefault="00140C31" w:rsidP="00140C31">
            <w:pPr>
              <w:rPr>
                <w:rFonts w:ascii="Times New Roman" w:hAnsi="Times New Roman"/>
                <w:sz w:val="16"/>
                <w:szCs w:val="16"/>
                <w:lang w:val="es-ES"/>
              </w:rPr>
            </w:pPr>
          </w:p>
        </w:tc>
        <w:tc>
          <w:tcPr>
            <w:tcW w:w="582" w:type="pct"/>
            <w:vAlign w:val="bottom"/>
            <w:hideMark/>
          </w:tcPr>
          <w:p w14:paraId="2EF48144" w14:textId="77777777" w:rsidR="00140C31" w:rsidRPr="00AE4E8D" w:rsidRDefault="001656AD" w:rsidP="00140C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vAlign w:val="bottom"/>
          </w:tcPr>
          <w:p w14:paraId="750FDA80"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7C3E67AB" w14:textId="77777777" w:rsidR="00140C31" w:rsidRPr="00AE4E8D" w:rsidRDefault="00140C31" w:rsidP="00140C31">
            <w:pPr>
              <w:jc w:val="right"/>
              <w:rPr>
                <w:rFonts w:ascii="Times New Roman" w:hAnsi="Times New Roman"/>
                <w:sz w:val="16"/>
                <w:szCs w:val="16"/>
                <w:lang w:val="es-ES"/>
              </w:rPr>
            </w:pPr>
            <w:r w:rsidRPr="00AE4E8D">
              <w:rPr>
                <w:rFonts w:ascii="Times New Roman" w:hAnsi="Times New Roman"/>
                <w:sz w:val="16"/>
                <w:szCs w:val="16"/>
                <w:lang w:val="es-ES"/>
              </w:rPr>
              <w:t>0,00%</w:t>
            </w:r>
          </w:p>
        </w:tc>
      </w:tr>
      <w:tr w:rsidR="003B5193" w:rsidRPr="00AE4E8D" w14:paraId="5916269E" w14:textId="77777777" w:rsidTr="00415D8D">
        <w:trPr>
          <w:trHeight w:val="255"/>
          <w:jc w:val="center"/>
        </w:trPr>
        <w:tc>
          <w:tcPr>
            <w:tcW w:w="953" w:type="pct"/>
            <w:vAlign w:val="bottom"/>
            <w:hideMark/>
          </w:tcPr>
          <w:p w14:paraId="2A13D61C"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Total</w:t>
            </w:r>
          </w:p>
        </w:tc>
        <w:tc>
          <w:tcPr>
            <w:tcW w:w="606" w:type="pct"/>
            <w:tcBorders>
              <w:top w:val="single" w:sz="4" w:space="0" w:color="000000"/>
              <w:left w:val="nil"/>
              <w:bottom w:val="single" w:sz="4" w:space="0" w:color="000000"/>
              <w:right w:val="nil"/>
            </w:tcBorders>
            <w:shd w:val="clear" w:color="auto" w:fill="FFFFFF"/>
            <w:vAlign w:val="bottom"/>
            <w:hideMark/>
          </w:tcPr>
          <w:p w14:paraId="5609C1D8" w14:textId="77777777" w:rsidR="00140C31" w:rsidRPr="00AE4E8D" w:rsidRDefault="00140C31" w:rsidP="00140C31">
            <w:pPr>
              <w:jc w:val="right"/>
              <w:rPr>
                <w:rFonts w:ascii="Times New Roman" w:hAnsi="Times New Roman"/>
                <w:b/>
                <w:sz w:val="16"/>
                <w:lang w:val="es-ES"/>
              </w:rPr>
            </w:pPr>
            <w:r w:rsidRPr="00AE4E8D">
              <w:rPr>
                <w:rFonts w:ascii="Times New Roman" w:hAnsi="Times New Roman"/>
                <w:b/>
                <w:bCs/>
                <w:sz w:val="16"/>
                <w:szCs w:val="16"/>
                <w:lang w:val="es-ES"/>
              </w:rPr>
              <w:t xml:space="preserve">420.052 </w:t>
            </w:r>
          </w:p>
        </w:tc>
        <w:tc>
          <w:tcPr>
            <w:tcW w:w="141" w:type="pct"/>
            <w:shd w:val="clear" w:color="auto" w:fill="FFFFFF"/>
            <w:vAlign w:val="bottom"/>
            <w:hideMark/>
          </w:tcPr>
          <w:p w14:paraId="4F5E605C" w14:textId="77777777" w:rsidR="00140C31" w:rsidRPr="00AE4E8D" w:rsidRDefault="00140C31" w:rsidP="00140C31">
            <w:pPr>
              <w:rPr>
                <w:rFonts w:ascii="Times New Roman" w:hAnsi="Times New Roman"/>
                <w:sz w:val="16"/>
                <w:lang w:val="es-ES"/>
              </w:rPr>
            </w:pPr>
            <w:r w:rsidRPr="00AE4E8D">
              <w:rPr>
                <w:rFonts w:ascii="Times New Roman" w:hAnsi="Times New Roman"/>
                <w:sz w:val="16"/>
                <w:lang w:val="es-ES"/>
              </w:rPr>
              <w:t> </w:t>
            </w:r>
          </w:p>
        </w:tc>
        <w:tc>
          <w:tcPr>
            <w:tcW w:w="515" w:type="pct"/>
            <w:tcBorders>
              <w:top w:val="single" w:sz="4" w:space="0" w:color="000000"/>
              <w:left w:val="nil"/>
              <w:bottom w:val="single" w:sz="4" w:space="0" w:color="000000"/>
              <w:right w:val="nil"/>
            </w:tcBorders>
            <w:shd w:val="clear" w:color="auto" w:fill="FFFFFF"/>
            <w:vAlign w:val="bottom"/>
            <w:hideMark/>
          </w:tcPr>
          <w:p w14:paraId="72A38655" w14:textId="77777777" w:rsidR="00140C31" w:rsidRPr="00AE4E8D" w:rsidRDefault="00140C31" w:rsidP="00140C31">
            <w:pPr>
              <w:jc w:val="right"/>
              <w:rPr>
                <w:rFonts w:ascii="Times New Roman" w:hAnsi="Times New Roman"/>
                <w:b/>
                <w:sz w:val="16"/>
                <w:lang w:val="es-ES"/>
              </w:rPr>
            </w:pPr>
            <w:r w:rsidRPr="00AE4E8D">
              <w:rPr>
                <w:rFonts w:ascii="Times New Roman" w:hAnsi="Times New Roman"/>
                <w:b/>
                <w:sz w:val="16"/>
                <w:lang w:val="es-ES"/>
              </w:rPr>
              <w:t>1,</w:t>
            </w:r>
            <w:r w:rsidRPr="00AE4E8D">
              <w:rPr>
                <w:rFonts w:ascii="Times New Roman" w:hAnsi="Times New Roman"/>
                <w:b/>
                <w:bCs/>
                <w:sz w:val="16"/>
                <w:szCs w:val="16"/>
                <w:lang w:val="es-ES"/>
              </w:rPr>
              <w:t>49</w:t>
            </w:r>
            <w:r w:rsidRPr="00AE4E8D">
              <w:rPr>
                <w:rFonts w:ascii="Times New Roman" w:hAnsi="Times New Roman"/>
                <w:b/>
                <w:sz w:val="16"/>
                <w:lang w:val="es-ES"/>
              </w:rPr>
              <w:t>%</w:t>
            </w:r>
          </w:p>
        </w:tc>
        <w:tc>
          <w:tcPr>
            <w:tcW w:w="120" w:type="pct"/>
            <w:vAlign w:val="bottom"/>
          </w:tcPr>
          <w:p w14:paraId="06654DB7" w14:textId="77777777" w:rsidR="00140C31" w:rsidRPr="00AE4E8D" w:rsidRDefault="00140C31" w:rsidP="00140C31">
            <w:pPr>
              <w:rPr>
                <w:rFonts w:ascii="Times New Roman" w:hAnsi="Times New Roman"/>
                <w:b/>
                <w:bCs/>
                <w:sz w:val="16"/>
                <w:szCs w:val="16"/>
                <w:lang w:val="es-ES"/>
              </w:rPr>
            </w:pPr>
          </w:p>
        </w:tc>
        <w:tc>
          <w:tcPr>
            <w:tcW w:w="606" w:type="pct"/>
            <w:tcBorders>
              <w:top w:val="single" w:sz="4" w:space="0" w:color="000000"/>
              <w:left w:val="nil"/>
              <w:bottom w:val="single" w:sz="4" w:space="0" w:color="000000"/>
              <w:right w:val="nil"/>
            </w:tcBorders>
            <w:shd w:val="clear" w:color="auto" w:fill="FFFFFF"/>
            <w:vAlign w:val="bottom"/>
            <w:hideMark/>
          </w:tcPr>
          <w:p w14:paraId="77630911"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sz w:val="16"/>
                <w:lang w:val="es-ES"/>
              </w:rPr>
              <w:t>245.986</w:t>
            </w:r>
          </w:p>
        </w:tc>
        <w:tc>
          <w:tcPr>
            <w:tcW w:w="139" w:type="pct"/>
            <w:shd w:val="clear" w:color="auto" w:fill="FFFFFF"/>
            <w:vAlign w:val="bottom"/>
            <w:hideMark/>
          </w:tcPr>
          <w:p w14:paraId="2D5FDC18"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tcBorders>
              <w:top w:val="single" w:sz="4" w:space="0" w:color="000000"/>
              <w:left w:val="nil"/>
              <w:bottom w:val="single" w:sz="4" w:space="0" w:color="000000"/>
              <w:right w:val="nil"/>
            </w:tcBorders>
            <w:shd w:val="clear" w:color="auto" w:fill="FFFFFF"/>
            <w:vAlign w:val="bottom"/>
            <w:hideMark/>
          </w:tcPr>
          <w:p w14:paraId="518B5591"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1,17%</w:t>
            </w:r>
          </w:p>
        </w:tc>
        <w:tc>
          <w:tcPr>
            <w:tcW w:w="120" w:type="pct"/>
            <w:vAlign w:val="bottom"/>
          </w:tcPr>
          <w:p w14:paraId="695E7523" w14:textId="77777777" w:rsidR="00140C31" w:rsidRPr="00AE4E8D" w:rsidRDefault="00140C31" w:rsidP="00140C31">
            <w:pPr>
              <w:rPr>
                <w:rFonts w:ascii="Times New Roman" w:hAnsi="Times New Roman"/>
                <w:b/>
                <w:bCs/>
                <w:sz w:val="16"/>
                <w:szCs w:val="16"/>
                <w:lang w:val="es-ES"/>
              </w:rPr>
            </w:pPr>
          </w:p>
        </w:tc>
        <w:tc>
          <w:tcPr>
            <w:tcW w:w="582" w:type="pct"/>
            <w:tcBorders>
              <w:top w:val="single" w:sz="4" w:space="0" w:color="000000"/>
              <w:left w:val="nil"/>
              <w:bottom w:val="single" w:sz="4" w:space="0" w:color="000000"/>
              <w:right w:val="nil"/>
            </w:tcBorders>
            <w:vAlign w:val="bottom"/>
            <w:hideMark/>
          </w:tcPr>
          <w:p w14:paraId="67C0BB45" w14:textId="77777777" w:rsidR="00140C31" w:rsidRPr="00AE4E8D" w:rsidRDefault="00192BC8"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262.188</w:t>
            </w:r>
          </w:p>
        </w:tc>
        <w:tc>
          <w:tcPr>
            <w:tcW w:w="120" w:type="pct"/>
            <w:vAlign w:val="bottom"/>
          </w:tcPr>
          <w:p w14:paraId="67DD340F" w14:textId="77777777" w:rsidR="00140C31" w:rsidRPr="00AE4E8D" w:rsidRDefault="00140C31" w:rsidP="00140C31">
            <w:pPr>
              <w:rPr>
                <w:rFonts w:ascii="Times New Roman" w:hAnsi="Times New Roman"/>
                <w:sz w:val="16"/>
                <w:szCs w:val="16"/>
                <w:lang w:val="es-ES"/>
              </w:rPr>
            </w:pPr>
          </w:p>
        </w:tc>
        <w:tc>
          <w:tcPr>
            <w:tcW w:w="580" w:type="pct"/>
            <w:tcBorders>
              <w:top w:val="single" w:sz="4" w:space="0" w:color="000000"/>
              <w:left w:val="nil"/>
              <w:bottom w:val="single" w:sz="4" w:space="0" w:color="000000"/>
              <w:right w:val="nil"/>
            </w:tcBorders>
            <w:shd w:val="clear" w:color="auto" w:fill="FFFFFF"/>
            <w:vAlign w:val="bottom"/>
            <w:hideMark/>
          </w:tcPr>
          <w:p w14:paraId="2C23162A" w14:textId="77777777" w:rsidR="00140C31" w:rsidRPr="00AE4E8D" w:rsidRDefault="00192BC8"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1,46</w:t>
            </w:r>
            <w:r w:rsidR="00140C31" w:rsidRPr="00AE4E8D">
              <w:rPr>
                <w:rFonts w:ascii="Times New Roman" w:hAnsi="Times New Roman"/>
                <w:b/>
                <w:bCs/>
                <w:sz w:val="16"/>
                <w:szCs w:val="16"/>
                <w:lang w:val="es-ES"/>
              </w:rPr>
              <w:t>%</w:t>
            </w:r>
          </w:p>
        </w:tc>
      </w:tr>
      <w:tr w:rsidR="003B5193" w:rsidRPr="00AE4E8D" w14:paraId="3E15D2F4" w14:textId="77777777" w:rsidTr="00415D8D">
        <w:trPr>
          <w:trHeight w:val="255"/>
          <w:jc w:val="center"/>
        </w:trPr>
        <w:tc>
          <w:tcPr>
            <w:tcW w:w="953" w:type="pct"/>
            <w:vAlign w:val="bottom"/>
          </w:tcPr>
          <w:p w14:paraId="41D461AD"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0BB4015E"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41" w:type="pct"/>
            <w:shd w:val="clear" w:color="auto" w:fill="FFFFFF"/>
            <w:vAlign w:val="bottom"/>
            <w:hideMark/>
          </w:tcPr>
          <w:p w14:paraId="13A52C9F"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5" w:type="pct"/>
            <w:shd w:val="clear" w:color="auto" w:fill="FFFFFF"/>
            <w:vAlign w:val="bottom"/>
            <w:hideMark/>
          </w:tcPr>
          <w:p w14:paraId="42AD8F73"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176517C1" w14:textId="77777777" w:rsidR="00140C31" w:rsidRPr="00AE4E8D" w:rsidRDefault="00140C31" w:rsidP="00140C31">
            <w:pPr>
              <w:rPr>
                <w:rFonts w:ascii="Times New Roman" w:hAnsi="Times New Roman"/>
                <w:sz w:val="16"/>
                <w:szCs w:val="16"/>
                <w:lang w:val="es-ES"/>
              </w:rPr>
            </w:pPr>
          </w:p>
        </w:tc>
        <w:tc>
          <w:tcPr>
            <w:tcW w:w="606" w:type="pct"/>
            <w:shd w:val="clear" w:color="auto" w:fill="FFFFFF"/>
            <w:vAlign w:val="bottom"/>
            <w:hideMark/>
          </w:tcPr>
          <w:p w14:paraId="1C4D0CF3"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39" w:type="pct"/>
            <w:shd w:val="clear" w:color="auto" w:fill="FFFFFF"/>
            <w:vAlign w:val="bottom"/>
            <w:hideMark/>
          </w:tcPr>
          <w:p w14:paraId="52F684D7"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shd w:val="clear" w:color="auto" w:fill="FFFFFF"/>
            <w:vAlign w:val="bottom"/>
            <w:hideMark/>
          </w:tcPr>
          <w:p w14:paraId="56531FA5"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120" w:type="pct"/>
            <w:vAlign w:val="bottom"/>
          </w:tcPr>
          <w:p w14:paraId="4DF1DA3A" w14:textId="77777777" w:rsidR="00140C31" w:rsidRPr="00AE4E8D" w:rsidRDefault="00140C31" w:rsidP="00140C31">
            <w:pPr>
              <w:rPr>
                <w:rFonts w:ascii="Times New Roman" w:hAnsi="Times New Roman"/>
                <w:sz w:val="16"/>
                <w:szCs w:val="16"/>
                <w:lang w:val="es-ES"/>
              </w:rPr>
            </w:pPr>
          </w:p>
        </w:tc>
        <w:tc>
          <w:tcPr>
            <w:tcW w:w="582" w:type="pct"/>
            <w:vAlign w:val="bottom"/>
          </w:tcPr>
          <w:p w14:paraId="524DC261" w14:textId="77777777" w:rsidR="00140C31" w:rsidRPr="00AE4E8D" w:rsidRDefault="00140C31" w:rsidP="00140C31">
            <w:pPr>
              <w:rPr>
                <w:rFonts w:ascii="Times New Roman" w:hAnsi="Times New Roman"/>
                <w:sz w:val="16"/>
                <w:szCs w:val="16"/>
                <w:lang w:val="es-ES"/>
              </w:rPr>
            </w:pPr>
          </w:p>
        </w:tc>
        <w:tc>
          <w:tcPr>
            <w:tcW w:w="120" w:type="pct"/>
            <w:vAlign w:val="bottom"/>
          </w:tcPr>
          <w:p w14:paraId="0C26DEE1" w14:textId="77777777" w:rsidR="00140C31" w:rsidRPr="00AE4E8D" w:rsidRDefault="00140C31" w:rsidP="00140C31">
            <w:pPr>
              <w:rPr>
                <w:rFonts w:ascii="Times New Roman" w:hAnsi="Times New Roman"/>
                <w:sz w:val="16"/>
                <w:szCs w:val="16"/>
                <w:lang w:val="es-ES"/>
              </w:rPr>
            </w:pPr>
          </w:p>
        </w:tc>
        <w:tc>
          <w:tcPr>
            <w:tcW w:w="580" w:type="pct"/>
            <w:shd w:val="clear" w:color="auto" w:fill="FFFFFF"/>
            <w:vAlign w:val="bottom"/>
            <w:hideMark/>
          </w:tcPr>
          <w:p w14:paraId="4A4116D5"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19D0B3EE" w14:textId="77777777" w:rsidTr="00415D8D">
        <w:trPr>
          <w:trHeight w:val="270"/>
          <w:jc w:val="center"/>
        </w:trPr>
        <w:tc>
          <w:tcPr>
            <w:tcW w:w="953" w:type="pct"/>
            <w:vAlign w:val="bottom"/>
            <w:hideMark/>
          </w:tcPr>
          <w:p w14:paraId="664AB1DB" w14:textId="77777777" w:rsidR="00140C31" w:rsidRPr="00AE4E8D" w:rsidRDefault="00140C31" w:rsidP="00140C31">
            <w:pPr>
              <w:rPr>
                <w:rFonts w:ascii="Times New Roman" w:hAnsi="Times New Roman"/>
                <w:b/>
                <w:bCs/>
                <w:sz w:val="16"/>
                <w:szCs w:val="16"/>
                <w:lang w:val="es-ES"/>
              </w:rPr>
            </w:pPr>
            <w:r w:rsidRPr="00AE4E8D">
              <w:rPr>
                <w:rFonts w:ascii="Times New Roman" w:hAnsi="Times New Roman"/>
                <w:b/>
                <w:bCs/>
                <w:sz w:val="16"/>
                <w:szCs w:val="16"/>
                <w:lang w:val="es-ES"/>
              </w:rPr>
              <w:t>Total Cartera de Préstamos</w:t>
            </w:r>
          </w:p>
        </w:tc>
        <w:tc>
          <w:tcPr>
            <w:tcW w:w="606" w:type="pct"/>
            <w:tcBorders>
              <w:top w:val="nil"/>
              <w:left w:val="nil"/>
              <w:bottom w:val="double" w:sz="6" w:space="0" w:color="000000"/>
              <w:right w:val="nil"/>
            </w:tcBorders>
            <w:shd w:val="clear" w:color="auto" w:fill="FFFFFF"/>
            <w:vAlign w:val="bottom"/>
            <w:hideMark/>
          </w:tcPr>
          <w:p w14:paraId="5A9608E1"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28.121.56</w:t>
            </w:r>
            <w:r w:rsidR="003E4335" w:rsidRPr="00AE4E8D">
              <w:rPr>
                <w:rFonts w:ascii="Times New Roman" w:hAnsi="Times New Roman"/>
                <w:b/>
                <w:bCs/>
                <w:sz w:val="16"/>
                <w:szCs w:val="16"/>
                <w:lang w:val="es-ES"/>
              </w:rPr>
              <w:t>3</w:t>
            </w:r>
          </w:p>
        </w:tc>
        <w:tc>
          <w:tcPr>
            <w:tcW w:w="141" w:type="pct"/>
            <w:shd w:val="clear" w:color="auto" w:fill="FFFFFF"/>
            <w:vAlign w:val="bottom"/>
            <w:hideMark/>
          </w:tcPr>
          <w:p w14:paraId="48DF9646"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5" w:type="pct"/>
            <w:tcBorders>
              <w:top w:val="nil"/>
              <w:left w:val="nil"/>
              <w:bottom w:val="double" w:sz="6" w:space="0" w:color="000000"/>
              <w:right w:val="nil"/>
            </w:tcBorders>
            <w:shd w:val="clear" w:color="auto" w:fill="FFFFFF"/>
            <w:vAlign w:val="bottom"/>
            <w:hideMark/>
          </w:tcPr>
          <w:p w14:paraId="4494E2E8"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100,00%</w:t>
            </w:r>
          </w:p>
        </w:tc>
        <w:tc>
          <w:tcPr>
            <w:tcW w:w="120" w:type="pct"/>
            <w:vAlign w:val="bottom"/>
          </w:tcPr>
          <w:p w14:paraId="1ED1B234" w14:textId="77777777" w:rsidR="00140C31" w:rsidRPr="00AE4E8D" w:rsidRDefault="00140C31" w:rsidP="00140C31">
            <w:pPr>
              <w:rPr>
                <w:rFonts w:ascii="Times New Roman" w:hAnsi="Times New Roman"/>
                <w:sz w:val="16"/>
                <w:szCs w:val="16"/>
                <w:lang w:val="es-ES"/>
              </w:rPr>
            </w:pPr>
          </w:p>
        </w:tc>
        <w:tc>
          <w:tcPr>
            <w:tcW w:w="606" w:type="pct"/>
            <w:tcBorders>
              <w:top w:val="nil"/>
              <w:left w:val="nil"/>
              <w:bottom w:val="double" w:sz="6" w:space="0" w:color="000000"/>
              <w:right w:val="nil"/>
            </w:tcBorders>
            <w:shd w:val="clear" w:color="auto" w:fill="FFFFFF"/>
            <w:vAlign w:val="bottom"/>
            <w:hideMark/>
          </w:tcPr>
          <w:p w14:paraId="6DAE3926"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sz w:val="16"/>
                <w:lang w:val="es-ES"/>
              </w:rPr>
              <w:t>20.985.624</w:t>
            </w:r>
          </w:p>
        </w:tc>
        <w:tc>
          <w:tcPr>
            <w:tcW w:w="139" w:type="pct"/>
            <w:shd w:val="clear" w:color="auto" w:fill="FFFFFF"/>
            <w:vAlign w:val="bottom"/>
            <w:hideMark/>
          </w:tcPr>
          <w:p w14:paraId="4FD352DA" w14:textId="77777777" w:rsidR="00140C31" w:rsidRPr="00AE4E8D" w:rsidRDefault="00140C31" w:rsidP="00140C31">
            <w:pPr>
              <w:rPr>
                <w:rFonts w:ascii="Times New Roman" w:hAnsi="Times New Roman"/>
                <w:sz w:val="16"/>
                <w:szCs w:val="16"/>
                <w:lang w:val="es-ES"/>
              </w:rPr>
            </w:pPr>
            <w:r w:rsidRPr="00AE4E8D">
              <w:rPr>
                <w:rFonts w:ascii="Times New Roman" w:hAnsi="Times New Roman"/>
                <w:sz w:val="16"/>
                <w:szCs w:val="16"/>
                <w:lang w:val="es-ES"/>
              </w:rPr>
              <w:t> </w:t>
            </w:r>
          </w:p>
        </w:tc>
        <w:tc>
          <w:tcPr>
            <w:tcW w:w="517" w:type="pct"/>
            <w:tcBorders>
              <w:top w:val="nil"/>
              <w:left w:val="nil"/>
              <w:bottom w:val="double" w:sz="6" w:space="0" w:color="000000"/>
              <w:right w:val="nil"/>
            </w:tcBorders>
            <w:shd w:val="clear" w:color="auto" w:fill="FFFFFF"/>
            <w:vAlign w:val="bottom"/>
            <w:hideMark/>
          </w:tcPr>
          <w:p w14:paraId="791E4C55"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100,00%</w:t>
            </w:r>
          </w:p>
        </w:tc>
        <w:tc>
          <w:tcPr>
            <w:tcW w:w="120" w:type="pct"/>
            <w:vAlign w:val="bottom"/>
          </w:tcPr>
          <w:p w14:paraId="1A63629A" w14:textId="77777777" w:rsidR="00140C31" w:rsidRPr="00AE4E8D" w:rsidRDefault="00140C31" w:rsidP="00140C31">
            <w:pPr>
              <w:rPr>
                <w:rFonts w:ascii="Times New Roman" w:hAnsi="Times New Roman"/>
                <w:sz w:val="16"/>
                <w:szCs w:val="16"/>
                <w:lang w:val="es-ES"/>
              </w:rPr>
            </w:pPr>
          </w:p>
        </w:tc>
        <w:tc>
          <w:tcPr>
            <w:tcW w:w="582" w:type="pct"/>
            <w:tcBorders>
              <w:top w:val="nil"/>
              <w:left w:val="nil"/>
              <w:bottom w:val="double" w:sz="6" w:space="0" w:color="000000"/>
              <w:right w:val="nil"/>
            </w:tcBorders>
            <w:vAlign w:val="bottom"/>
            <w:hideMark/>
          </w:tcPr>
          <w:p w14:paraId="71CA5C06" w14:textId="77777777" w:rsidR="00140C31" w:rsidRPr="00AE4E8D" w:rsidRDefault="00192BC8"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17.953.330</w:t>
            </w:r>
          </w:p>
        </w:tc>
        <w:tc>
          <w:tcPr>
            <w:tcW w:w="120" w:type="pct"/>
            <w:vAlign w:val="bottom"/>
          </w:tcPr>
          <w:p w14:paraId="7B394737" w14:textId="77777777" w:rsidR="00140C31" w:rsidRPr="00AE4E8D" w:rsidRDefault="00140C31" w:rsidP="00140C31">
            <w:pPr>
              <w:rPr>
                <w:rFonts w:ascii="Times New Roman" w:hAnsi="Times New Roman"/>
                <w:sz w:val="16"/>
                <w:szCs w:val="16"/>
                <w:lang w:val="es-ES"/>
              </w:rPr>
            </w:pPr>
          </w:p>
        </w:tc>
        <w:tc>
          <w:tcPr>
            <w:tcW w:w="580" w:type="pct"/>
            <w:tcBorders>
              <w:top w:val="nil"/>
              <w:left w:val="nil"/>
              <w:bottom w:val="double" w:sz="6" w:space="0" w:color="000000"/>
              <w:right w:val="nil"/>
            </w:tcBorders>
            <w:shd w:val="clear" w:color="auto" w:fill="FFFFFF"/>
            <w:vAlign w:val="bottom"/>
            <w:hideMark/>
          </w:tcPr>
          <w:p w14:paraId="5F6DFEB1" w14:textId="77777777" w:rsidR="00140C31" w:rsidRPr="00AE4E8D" w:rsidRDefault="00140C31" w:rsidP="00140C31">
            <w:pPr>
              <w:jc w:val="right"/>
              <w:rPr>
                <w:rFonts w:ascii="Times New Roman" w:hAnsi="Times New Roman"/>
                <w:b/>
                <w:bCs/>
                <w:sz w:val="16"/>
                <w:szCs w:val="16"/>
                <w:lang w:val="es-ES"/>
              </w:rPr>
            </w:pPr>
            <w:r w:rsidRPr="00AE4E8D">
              <w:rPr>
                <w:rFonts w:ascii="Times New Roman" w:hAnsi="Times New Roman"/>
                <w:b/>
                <w:bCs/>
                <w:sz w:val="16"/>
                <w:szCs w:val="16"/>
                <w:lang w:val="es-ES"/>
              </w:rPr>
              <w:t>100,00%</w:t>
            </w:r>
          </w:p>
        </w:tc>
      </w:tr>
    </w:tbl>
    <w:p w14:paraId="76936CF3" w14:textId="77777777" w:rsidR="00E90931" w:rsidRPr="00AE4E8D" w:rsidRDefault="00E90931" w:rsidP="00E71CBF">
      <w:pPr>
        <w:pStyle w:val="BH2Izquierda"/>
        <w:rPr>
          <w:lang w:val="es-ES"/>
        </w:rPr>
      </w:pPr>
      <w:bookmarkStart w:id="335" w:name="_Toc421201370"/>
      <w:bookmarkStart w:id="336" w:name="_Toc495972999"/>
      <w:bookmarkStart w:id="337" w:name="_Toc495399906"/>
      <w:r w:rsidRPr="00AE4E8D">
        <w:rPr>
          <w:lang w:val="es-ES"/>
        </w:rPr>
        <w:t>Préstamos por Actividad Económica</w:t>
      </w:r>
      <w:bookmarkEnd w:id="335"/>
      <w:bookmarkEnd w:id="336"/>
      <w:bookmarkEnd w:id="337"/>
    </w:p>
    <w:p w14:paraId="10C7AF06" w14:textId="77777777" w:rsidR="00E90931" w:rsidRPr="00AE4E8D" w:rsidRDefault="00E90931" w:rsidP="00003798">
      <w:pPr>
        <w:pStyle w:val="BHTexto"/>
        <w:rPr>
          <w:lang w:val="es-ES"/>
        </w:rPr>
      </w:pPr>
      <w:r w:rsidRPr="00AE4E8D">
        <w:rPr>
          <w:lang w:val="es-ES"/>
        </w:rPr>
        <w:t>El siguiente cuadro analiza nuestra cartera de préstamos según la principal actividad económica del prestatario. Los préstamos están expresados antes de la deducción de la previsión por incobrabilidad de préstamos.</w:t>
      </w:r>
    </w:p>
    <w:tbl>
      <w:tblPr>
        <w:tblW w:w="5000" w:type="pct"/>
        <w:jc w:val="center"/>
        <w:tblLook w:val="00A0" w:firstRow="1" w:lastRow="0" w:firstColumn="1" w:lastColumn="0" w:noHBand="0" w:noVBand="0"/>
      </w:tblPr>
      <w:tblGrid>
        <w:gridCol w:w="1650"/>
        <w:gridCol w:w="222"/>
        <w:gridCol w:w="1234"/>
        <w:gridCol w:w="1219"/>
        <w:gridCol w:w="1236"/>
        <w:gridCol w:w="1219"/>
        <w:gridCol w:w="1236"/>
        <w:gridCol w:w="1221"/>
      </w:tblGrid>
      <w:tr w:rsidR="00E90931" w:rsidRPr="00AE4E8D" w14:paraId="331AEE63" w14:textId="77777777" w:rsidTr="000400C8">
        <w:trPr>
          <w:trHeight w:val="255"/>
          <w:jc w:val="center"/>
        </w:trPr>
        <w:tc>
          <w:tcPr>
            <w:tcW w:w="893" w:type="pct"/>
            <w:vAlign w:val="center"/>
          </w:tcPr>
          <w:p w14:paraId="57923FB0"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20A219DB" w14:textId="77777777" w:rsidR="00E90931" w:rsidRPr="00AE4E8D" w:rsidRDefault="00E90931" w:rsidP="00E90931">
            <w:pPr>
              <w:rPr>
                <w:rFonts w:ascii="Times New Roman" w:hAnsi="Times New Roman"/>
                <w:sz w:val="16"/>
                <w:szCs w:val="16"/>
                <w:lang w:val="es-ES"/>
              </w:rPr>
            </w:pPr>
          </w:p>
        </w:tc>
        <w:tc>
          <w:tcPr>
            <w:tcW w:w="3987" w:type="pct"/>
            <w:gridSpan w:val="6"/>
            <w:tcBorders>
              <w:top w:val="nil"/>
              <w:left w:val="nil"/>
              <w:bottom w:val="single" w:sz="4" w:space="0" w:color="auto"/>
              <w:right w:val="nil"/>
            </w:tcBorders>
            <w:noWrap/>
            <w:vAlign w:val="bottom"/>
            <w:hideMark/>
          </w:tcPr>
          <w:p w14:paraId="05C6B503"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Al 31 de diciembre de</w:t>
            </w:r>
          </w:p>
        </w:tc>
      </w:tr>
      <w:tr w:rsidR="00E90931" w:rsidRPr="00AE4E8D" w14:paraId="204EC377" w14:textId="77777777" w:rsidTr="000400C8">
        <w:trPr>
          <w:trHeight w:val="255"/>
          <w:jc w:val="center"/>
        </w:trPr>
        <w:tc>
          <w:tcPr>
            <w:tcW w:w="893" w:type="pct"/>
            <w:vAlign w:val="center"/>
          </w:tcPr>
          <w:p w14:paraId="2B380B95"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20210EC6" w14:textId="77777777" w:rsidR="00E90931" w:rsidRPr="00AE4E8D" w:rsidRDefault="00E90931" w:rsidP="00E90931">
            <w:pPr>
              <w:rPr>
                <w:rFonts w:ascii="Times New Roman" w:hAnsi="Times New Roman"/>
                <w:sz w:val="16"/>
                <w:szCs w:val="16"/>
                <w:lang w:val="es-ES"/>
              </w:rPr>
            </w:pPr>
          </w:p>
        </w:tc>
        <w:tc>
          <w:tcPr>
            <w:tcW w:w="1328" w:type="pct"/>
            <w:gridSpan w:val="2"/>
            <w:tcBorders>
              <w:top w:val="single" w:sz="4" w:space="0" w:color="auto"/>
              <w:left w:val="nil"/>
              <w:bottom w:val="single" w:sz="4" w:space="0" w:color="auto"/>
              <w:right w:val="nil"/>
            </w:tcBorders>
            <w:noWrap/>
            <w:vAlign w:val="bottom"/>
            <w:hideMark/>
          </w:tcPr>
          <w:p w14:paraId="2F408BE3"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2016</w:t>
            </w:r>
            <w:r w:rsidRPr="00AE4E8D">
              <w:rPr>
                <w:rFonts w:ascii="Times New Roman" w:hAnsi="Times New Roman"/>
                <w:b/>
                <w:bCs/>
                <w:sz w:val="16"/>
                <w:szCs w:val="16"/>
                <w:lang w:val="es-ES"/>
              </w:rPr>
              <w:t xml:space="preserve"> </w:t>
            </w:r>
          </w:p>
        </w:tc>
        <w:tc>
          <w:tcPr>
            <w:tcW w:w="1329" w:type="pct"/>
            <w:gridSpan w:val="2"/>
            <w:tcBorders>
              <w:top w:val="single" w:sz="4" w:space="0" w:color="auto"/>
              <w:left w:val="nil"/>
              <w:bottom w:val="single" w:sz="4" w:space="0" w:color="auto"/>
              <w:right w:val="nil"/>
            </w:tcBorders>
            <w:noWrap/>
            <w:vAlign w:val="bottom"/>
            <w:hideMark/>
          </w:tcPr>
          <w:p w14:paraId="5A4341A7"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2015</w:t>
            </w:r>
            <w:r w:rsidRPr="00AE4E8D">
              <w:rPr>
                <w:rFonts w:ascii="Times New Roman" w:hAnsi="Times New Roman"/>
                <w:b/>
                <w:bCs/>
                <w:sz w:val="16"/>
                <w:szCs w:val="16"/>
                <w:lang w:val="es-ES"/>
              </w:rPr>
              <w:t xml:space="preserve"> </w:t>
            </w:r>
          </w:p>
        </w:tc>
        <w:tc>
          <w:tcPr>
            <w:tcW w:w="1330" w:type="pct"/>
            <w:gridSpan w:val="2"/>
            <w:tcBorders>
              <w:top w:val="single" w:sz="4" w:space="0" w:color="auto"/>
              <w:left w:val="nil"/>
              <w:bottom w:val="single" w:sz="4" w:space="0" w:color="auto"/>
              <w:right w:val="nil"/>
            </w:tcBorders>
            <w:noWrap/>
            <w:vAlign w:val="bottom"/>
            <w:hideMark/>
          </w:tcPr>
          <w:p w14:paraId="613A9ABA"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 xml:space="preserve">2014 </w:t>
            </w:r>
          </w:p>
        </w:tc>
      </w:tr>
      <w:tr w:rsidR="00EF2D26" w:rsidRPr="00AE4E8D" w14:paraId="24D97080" w14:textId="77777777" w:rsidTr="000400C8">
        <w:trPr>
          <w:trHeight w:val="510"/>
          <w:jc w:val="center"/>
        </w:trPr>
        <w:tc>
          <w:tcPr>
            <w:tcW w:w="893" w:type="pct"/>
            <w:vAlign w:val="center"/>
          </w:tcPr>
          <w:p w14:paraId="08AD634E" w14:textId="77777777" w:rsidR="00E90931" w:rsidRPr="00AE4E8D" w:rsidRDefault="00E90931" w:rsidP="00E90931">
            <w:pPr>
              <w:jc w:val="center"/>
              <w:rPr>
                <w:rFonts w:ascii="Times New Roman" w:hAnsi="Times New Roman"/>
                <w:b/>
                <w:bCs/>
                <w:sz w:val="16"/>
                <w:szCs w:val="16"/>
                <w:u w:val="single"/>
                <w:lang w:val="es-ES"/>
              </w:rPr>
            </w:pPr>
          </w:p>
        </w:tc>
        <w:tc>
          <w:tcPr>
            <w:tcW w:w="120" w:type="pct"/>
            <w:vAlign w:val="bottom"/>
          </w:tcPr>
          <w:p w14:paraId="7EC76E37" w14:textId="77777777" w:rsidR="00E90931" w:rsidRPr="00AE4E8D" w:rsidRDefault="00E90931" w:rsidP="00E90931">
            <w:pPr>
              <w:jc w:val="center"/>
              <w:rPr>
                <w:rFonts w:ascii="Times New Roman" w:hAnsi="Times New Roman"/>
                <w:b/>
                <w:bCs/>
                <w:sz w:val="16"/>
                <w:szCs w:val="16"/>
                <w:u w:val="single"/>
                <w:lang w:val="es-ES"/>
              </w:rPr>
            </w:pPr>
          </w:p>
        </w:tc>
        <w:tc>
          <w:tcPr>
            <w:tcW w:w="668" w:type="pct"/>
            <w:tcBorders>
              <w:top w:val="nil"/>
              <w:left w:val="nil"/>
              <w:bottom w:val="single" w:sz="4" w:space="0" w:color="auto"/>
              <w:right w:val="nil"/>
            </w:tcBorders>
            <w:vAlign w:val="center"/>
            <w:hideMark/>
          </w:tcPr>
          <w:p w14:paraId="43DC2DBD"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660" w:type="pct"/>
            <w:tcBorders>
              <w:top w:val="nil"/>
              <w:left w:val="nil"/>
              <w:bottom w:val="single" w:sz="4" w:space="0" w:color="auto"/>
              <w:right w:val="nil"/>
            </w:tcBorders>
            <w:vAlign w:val="center"/>
            <w:hideMark/>
          </w:tcPr>
          <w:p w14:paraId="70D38BF1"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c>
          <w:tcPr>
            <w:tcW w:w="669" w:type="pct"/>
            <w:tcBorders>
              <w:top w:val="nil"/>
              <w:left w:val="nil"/>
              <w:bottom w:val="single" w:sz="4" w:space="0" w:color="auto"/>
              <w:right w:val="nil"/>
            </w:tcBorders>
            <w:vAlign w:val="center"/>
            <w:hideMark/>
          </w:tcPr>
          <w:p w14:paraId="7EAC860C"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660" w:type="pct"/>
            <w:tcBorders>
              <w:top w:val="nil"/>
              <w:left w:val="nil"/>
              <w:bottom w:val="single" w:sz="4" w:space="0" w:color="auto"/>
              <w:right w:val="nil"/>
            </w:tcBorders>
            <w:vAlign w:val="center"/>
            <w:hideMark/>
          </w:tcPr>
          <w:p w14:paraId="3B9F70F9"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c>
          <w:tcPr>
            <w:tcW w:w="669" w:type="pct"/>
            <w:tcBorders>
              <w:top w:val="nil"/>
              <w:left w:val="nil"/>
              <w:bottom w:val="single" w:sz="4" w:space="0" w:color="auto"/>
              <w:right w:val="nil"/>
            </w:tcBorders>
            <w:vAlign w:val="center"/>
            <w:hideMark/>
          </w:tcPr>
          <w:p w14:paraId="6EBDC89C"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661" w:type="pct"/>
            <w:tcBorders>
              <w:top w:val="nil"/>
              <w:left w:val="nil"/>
              <w:bottom w:val="single" w:sz="4" w:space="0" w:color="auto"/>
              <w:right w:val="nil"/>
            </w:tcBorders>
            <w:vAlign w:val="center"/>
            <w:hideMark/>
          </w:tcPr>
          <w:p w14:paraId="01C605CE"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r>
      <w:tr w:rsidR="00E90931" w:rsidRPr="00AE4E8D" w14:paraId="0BC8A064" w14:textId="77777777" w:rsidTr="000400C8">
        <w:trPr>
          <w:trHeight w:val="255"/>
          <w:jc w:val="center"/>
        </w:trPr>
        <w:tc>
          <w:tcPr>
            <w:tcW w:w="893" w:type="pct"/>
            <w:vAlign w:val="center"/>
          </w:tcPr>
          <w:p w14:paraId="44BDAEFA" w14:textId="77777777" w:rsidR="00E90931" w:rsidRPr="00AE4E8D" w:rsidRDefault="00E90931" w:rsidP="00E90931">
            <w:pPr>
              <w:rPr>
                <w:rFonts w:ascii="Times New Roman" w:hAnsi="Times New Roman"/>
                <w:b/>
                <w:bCs/>
                <w:sz w:val="16"/>
                <w:szCs w:val="16"/>
                <w:lang w:val="es-ES"/>
              </w:rPr>
            </w:pPr>
          </w:p>
        </w:tc>
        <w:tc>
          <w:tcPr>
            <w:tcW w:w="120" w:type="pct"/>
            <w:noWrap/>
            <w:vAlign w:val="bottom"/>
          </w:tcPr>
          <w:p w14:paraId="3BEE7A72" w14:textId="77777777" w:rsidR="00E90931" w:rsidRPr="00AE4E8D" w:rsidRDefault="00E90931" w:rsidP="00E90931">
            <w:pPr>
              <w:rPr>
                <w:rFonts w:ascii="Times New Roman" w:hAnsi="Times New Roman"/>
                <w:sz w:val="16"/>
                <w:szCs w:val="16"/>
                <w:lang w:val="es-ES"/>
              </w:rPr>
            </w:pPr>
          </w:p>
        </w:tc>
        <w:tc>
          <w:tcPr>
            <w:tcW w:w="3987" w:type="pct"/>
            <w:gridSpan w:val="6"/>
            <w:noWrap/>
            <w:vAlign w:val="bottom"/>
            <w:hideMark/>
          </w:tcPr>
          <w:p w14:paraId="46DC4825"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 xml:space="preserve"> (en millones de Pesos, salvo porcentajes) </w:t>
            </w:r>
          </w:p>
        </w:tc>
      </w:tr>
      <w:tr w:rsidR="00E90931" w:rsidRPr="00AE4E8D" w14:paraId="4AF6BE10" w14:textId="77777777" w:rsidTr="000400C8">
        <w:trPr>
          <w:trHeight w:val="255"/>
          <w:jc w:val="center"/>
        </w:trPr>
        <w:tc>
          <w:tcPr>
            <w:tcW w:w="893" w:type="pct"/>
            <w:vAlign w:val="center"/>
          </w:tcPr>
          <w:p w14:paraId="2ABDD3DA"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4F751C86" w14:textId="77777777" w:rsidR="00E90931" w:rsidRPr="00AE4E8D" w:rsidRDefault="00E90931" w:rsidP="00E90931">
            <w:pPr>
              <w:rPr>
                <w:rFonts w:ascii="Times New Roman" w:hAnsi="Times New Roman"/>
                <w:sz w:val="16"/>
                <w:szCs w:val="16"/>
                <w:lang w:val="es-ES"/>
              </w:rPr>
            </w:pPr>
          </w:p>
        </w:tc>
        <w:tc>
          <w:tcPr>
            <w:tcW w:w="668" w:type="pct"/>
            <w:noWrap/>
            <w:vAlign w:val="bottom"/>
          </w:tcPr>
          <w:p w14:paraId="5AD421B6" w14:textId="77777777" w:rsidR="00E90931" w:rsidRPr="00AE4E8D" w:rsidRDefault="00E90931" w:rsidP="00E90931">
            <w:pPr>
              <w:rPr>
                <w:rFonts w:ascii="Times New Roman" w:hAnsi="Times New Roman"/>
                <w:sz w:val="16"/>
                <w:szCs w:val="16"/>
                <w:lang w:val="es-ES"/>
              </w:rPr>
            </w:pPr>
          </w:p>
        </w:tc>
        <w:tc>
          <w:tcPr>
            <w:tcW w:w="660" w:type="pct"/>
            <w:noWrap/>
            <w:vAlign w:val="bottom"/>
          </w:tcPr>
          <w:p w14:paraId="171E2593" w14:textId="77777777" w:rsidR="00E90931" w:rsidRPr="00AE4E8D" w:rsidRDefault="00E90931" w:rsidP="00E90931">
            <w:pPr>
              <w:rPr>
                <w:rFonts w:ascii="Times New Roman" w:hAnsi="Times New Roman"/>
                <w:sz w:val="16"/>
                <w:szCs w:val="16"/>
                <w:lang w:val="es-ES"/>
              </w:rPr>
            </w:pPr>
          </w:p>
        </w:tc>
        <w:tc>
          <w:tcPr>
            <w:tcW w:w="669" w:type="pct"/>
            <w:noWrap/>
            <w:vAlign w:val="bottom"/>
          </w:tcPr>
          <w:p w14:paraId="7A9445CD" w14:textId="77777777" w:rsidR="00E90931" w:rsidRPr="00AE4E8D" w:rsidRDefault="00E90931" w:rsidP="00E90931">
            <w:pPr>
              <w:rPr>
                <w:rFonts w:ascii="Times New Roman" w:hAnsi="Times New Roman"/>
                <w:sz w:val="16"/>
                <w:szCs w:val="16"/>
                <w:lang w:val="es-ES"/>
              </w:rPr>
            </w:pPr>
          </w:p>
        </w:tc>
        <w:tc>
          <w:tcPr>
            <w:tcW w:w="660" w:type="pct"/>
            <w:noWrap/>
            <w:vAlign w:val="bottom"/>
          </w:tcPr>
          <w:p w14:paraId="2546BBAA" w14:textId="77777777" w:rsidR="00E90931" w:rsidRPr="00AE4E8D" w:rsidRDefault="00E90931" w:rsidP="00E90931">
            <w:pPr>
              <w:rPr>
                <w:rFonts w:ascii="Times New Roman" w:hAnsi="Times New Roman"/>
                <w:sz w:val="16"/>
                <w:szCs w:val="16"/>
                <w:lang w:val="es-ES"/>
              </w:rPr>
            </w:pPr>
          </w:p>
        </w:tc>
        <w:tc>
          <w:tcPr>
            <w:tcW w:w="669" w:type="pct"/>
            <w:noWrap/>
            <w:vAlign w:val="bottom"/>
          </w:tcPr>
          <w:p w14:paraId="259A3BB5" w14:textId="77777777" w:rsidR="00E90931" w:rsidRPr="00AE4E8D" w:rsidRDefault="00E90931" w:rsidP="00E90931">
            <w:pPr>
              <w:rPr>
                <w:rFonts w:ascii="Times New Roman" w:hAnsi="Times New Roman"/>
                <w:sz w:val="16"/>
                <w:szCs w:val="16"/>
                <w:lang w:val="es-ES"/>
              </w:rPr>
            </w:pPr>
          </w:p>
        </w:tc>
        <w:tc>
          <w:tcPr>
            <w:tcW w:w="661" w:type="pct"/>
            <w:noWrap/>
            <w:vAlign w:val="bottom"/>
          </w:tcPr>
          <w:p w14:paraId="28F14527" w14:textId="77777777" w:rsidR="00E90931" w:rsidRPr="00AE4E8D" w:rsidRDefault="00E90931" w:rsidP="00E90931">
            <w:pPr>
              <w:rPr>
                <w:rFonts w:ascii="Times New Roman" w:hAnsi="Times New Roman"/>
                <w:sz w:val="16"/>
                <w:szCs w:val="16"/>
                <w:lang w:val="es-ES"/>
              </w:rPr>
            </w:pPr>
          </w:p>
        </w:tc>
      </w:tr>
      <w:tr w:rsidR="00F23D85" w:rsidRPr="00AE4E8D" w14:paraId="6C63A8BD" w14:textId="77777777" w:rsidTr="000400C8">
        <w:trPr>
          <w:trHeight w:val="255"/>
          <w:jc w:val="center"/>
        </w:trPr>
        <w:tc>
          <w:tcPr>
            <w:tcW w:w="893" w:type="pct"/>
            <w:vAlign w:val="center"/>
            <w:hideMark/>
          </w:tcPr>
          <w:p w14:paraId="76E63DEE"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Consumo</w:t>
            </w:r>
          </w:p>
        </w:tc>
        <w:tc>
          <w:tcPr>
            <w:tcW w:w="120" w:type="pct"/>
            <w:noWrap/>
            <w:vAlign w:val="bottom"/>
          </w:tcPr>
          <w:p w14:paraId="79E2D6A8" w14:textId="77777777" w:rsidR="00F23D85" w:rsidRPr="00AE4E8D" w:rsidRDefault="00F23D85" w:rsidP="00E90931">
            <w:pPr>
              <w:rPr>
                <w:rFonts w:ascii="Times New Roman" w:hAnsi="Times New Roman"/>
                <w:sz w:val="16"/>
                <w:szCs w:val="16"/>
                <w:lang w:val="es-ES"/>
              </w:rPr>
            </w:pPr>
          </w:p>
        </w:tc>
        <w:tc>
          <w:tcPr>
            <w:tcW w:w="668" w:type="pct"/>
            <w:noWrap/>
            <w:vAlign w:val="bottom"/>
            <w:hideMark/>
          </w:tcPr>
          <w:p w14:paraId="0E51ED56"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19.361.913</w:t>
            </w:r>
          </w:p>
        </w:tc>
        <w:tc>
          <w:tcPr>
            <w:tcW w:w="660" w:type="pct"/>
            <w:noWrap/>
            <w:vAlign w:val="bottom"/>
            <w:hideMark/>
          </w:tcPr>
          <w:p w14:paraId="780AAAEB"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68,9%</w:t>
            </w:r>
          </w:p>
        </w:tc>
        <w:tc>
          <w:tcPr>
            <w:tcW w:w="669" w:type="pct"/>
            <w:noWrap/>
            <w:vAlign w:val="bottom"/>
            <w:hideMark/>
          </w:tcPr>
          <w:p w14:paraId="4C4BFFCB"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14.753.387</w:t>
            </w:r>
          </w:p>
        </w:tc>
        <w:tc>
          <w:tcPr>
            <w:tcW w:w="660" w:type="pct"/>
            <w:noWrap/>
            <w:vAlign w:val="bottom"/>
            <w:hideMark/>
          </w:tcPr>
          <w:p w14:paraId="1AA0E37E"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70,3%</w:t>
            </w:r>
          </w:p>
        </w:tc>
        <w:tc>
          <w:tcPr>
            <w:tcW w:w="669" w:type="pct"/>
            <w:noWrap/>
            <w:vAlign w:val="bottom"/>
            <w:hideMark/>
          </w:tcPr>
          <w:p w14:paraId="29441CF6"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11.318.236</w:t>
            </w:r>
          </w:p>
        </w:tc>
        <w:tc>
          <w:tcPr>
            <w:tcW w:w="661" w:type="pct"/>
            <w:noWrap/>
            <w:vAlign w:val="bottom"/>
            <w:hideMark/>
          </w:tcPr>
          <w:p w14:paraId="3517C815"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63,0%</w:t>
            </w:r>
          </w:p>
        </w:tc>
      </w:tr>
      <w:tr w:rsidR="00F23D85" w:rsidRPr="00AE4E8D" w14:paraId="78A77DD3" w14:textId="77777777" w:rsidTr="000400C8">
        <w:trPr>
          <w:trHeight w:val="255"/>
          <w:jc w:val="center"/>
        </w:trPr>
        <w:tc>
          <w:tcPr>
            <w:tcW w:w="893" w:type="pct"/>
            <w:vAlign w:val="center"/>
            <w:hideMark/>
          </w:tcPr>
          <w:p w14:paraId="464D5611"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 xml:space="preserve">Industria y </w:t>
            </w:r>
            <w:r w:rsidR="00F80D63" w:rsidRPr="00AE4E8D">
              <w:rPr>
                <w:rFonts w:ascii="Times New Roman" w:hAnsi="Times New Roman"/>
                <w:sz w:val="16"/>
                <w:szCs w:val="16"/>
                <w:lang w:val="es-ES"/>
              </w:rPr>
              <w:t>Minería</w:t>
            </w:r>
          </w:p>
        </w:tc>
        <w:tc>
          <w:tcPr>
            <w:tcW w:w="120" w:type="pct"/>
            <w:noWrap/>
            <w:vAlign w:val="bottom"/>
          </w:tcPr>
          <w:p w14:paraId="1FEBAA50" w14:textId="77777777" w:rsidR="00F23D85" w:rsidRPr="00AE4E8D" w:rsidRDefault="00F23D85" w:rsidP="00E90931">
            <w:pPr>
              <w:rPr>
                <w:rFonts w:ascii="Times New Roman" w:hAnsi="Times New Roman"/>
                <w:sz w:val="16"/>
                <w:szCs w:val="16"/>
                <w:lang w:val="es-ES"/>
              </w:rPr>
            </w:pPr>
          </w:p>
        </w:tc>
        <w:tc>
          <w:tcPr>
            <w:tcW w:w="668" w:type="pct"/>
            <w:noWrap/>
            <w:vAlign w:val="bottom"/>
            <w:hideMark/>
          </w:tcPr>
          <w:p w14:paraId="2EF17443" w14:textId="77777777" w:rsidR="00F23D85" w:rsidRPr="00AE4E8D" w:rsidRDefault="00F23D85" w:rsidP="00900974">
            <w:pPr>
              <w:jc w:val="right"/>
              <w:rPr>
                <w:rFonts w:ascii="Times New Roman" w:hAnsi="Times New Roman"/>
                <w:sz w:val="16"/>
                <w:lang w:val="es-ES"/>
              </w:rPr>
            </w:pPr>
            <w:r w:rsidRPr="00AE4E8D">
              <w:rPr>
                <w:rFonts w:ascii="Times New Roman" w:hAnsi="Times New Roman"/>
                <w:sz w:val="16"/>
                <w:szCs w:val="16"/>
                <w:lang w:val="es-ES"/>
              </w:rPr>
              <w:t>3.967.679</w:t>
            </w:r>
          </w:p>
        </w:tc>
        <w:tc>
          <w:tcPr>
            <w:tcW w:w="660" w:type="pct"/>
            <w:noWrap/>
            <w:vAlign w:val="bottom"/>
            <w:hideMark/>
          </w:tcPr>
          <w:p w14:paraId="000606D6"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14,1%</w:t>
            </w:r>
          </w:p>
        </w:tc>
        <w:tc>
          <w:tcPr>
            <w:tcW w:w="669" w:type="pct"/>
            <w:noWrap/>
            <w:vAlign w:val="bottom"/>
            <w:hideMark/>
          </w:tcPr>
          <w:p w14:paraId="0240E0B7"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3.669.281</w:t>
            </w:r>
          </w:p>
        </w:tc>
        <w:tc>
          <w:tcPr>
            <w:tcW w:w="660" w:type="pct"/>
            <w:noWrap/>
            <w:vAlign w:val="bottom"/>
            <w:hideMark/>
          </w:tcPr>
          <w:p w14:paraId="0DF97CF7"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17,5%</w:t>
            </w:r>
          </w:p>
        </w:tc>
        <w:tc>
          <w:tcPr>
            <w:tcW w:w="669" w:type="pct"/>
            <w:noWrap/>
            <w:vAlign w:val="bottom"/>
            <w:hideMark/>
          </w:tcPr>
          <w:p w14:paraId="373BBE81"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3.283.257</w:t>
            </w:r>
          </w:p>
        </w:tc>
        <w:tc>
          <w:tcPr>
            <w:tcW w:w="661" w:type="pct"/>
            <w:noWrap/>
            <w:vAlign w:val="bottom"/>
            <w:hideMark/>
          </w:tcPr>
          <w:p w14:paraId="0A083A0B"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18,3%</w:t>
            </w:r>
          </w:p>
        </w:tc>
      </w:tr>
      <w:tr w:rsidR="00F23D85" w:rsidRPr="00AE4E8D" w14:paraId="460B0428" w14:textId="77777777" w:rsidTr="000400C8">
        <w:trPr>
          <w:trHeight w:val="255"/>
          <w:jc w:val="center"/>
        </w:trPr>
        <w:tc>
          <w:tcPr>
            <w:tcW w:w="893" w:type="pct"/>
            <w:vAlign w:val="center"/>
            <w:hideMark/>
          </w:tcPr>
          <w:p w14:paraId="4C9312F2"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Comercio</w:t>
            </w:r>
          </w:p>
        </w:tc>
        <w:tc>
          <w:tcPr>
            <w:tcW w:w="120" w:type="pct"/>
            <w:noWrap/>
            <w:vAlign w:val="bottom"/>
          </w:tcPr>
          <w:p w14:paraId="414A9B2A" w14:textId="77777777" w:rsidR="00F23D85" w:rsidRPr="00AE4E8D" w:rsidRDefault="00F23D85" w:rsidP="00E90931">
            <w:pPr>
              <w:rPr>
                <w:rFonts w:ascii="Times New Roman" w:hAnsi="Times New Roman"/>
                <w:sz w:val="16"/>
                <w:szCs w:val="16"/>
                <w:lang w:val="es-ES"/>
              </w:rPr>
            </w:pPr>
          </w:p>
        </w:tc>
        <w:tc>
          <w:tcPr>
            <w:tcW w:w="668" w:type="pct"/>
            <w:noWrap/>
            <w:vAlign w:val="bottom"/>
            <w:hideMark/>
          </w:tcPr>
          <w:p w14:paraId="662F7E83"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1.208.300</w:t>
            </w:r>
          </w:p>
        </w:tc>
        <w:tc>
          <w:tcPr>
            <w:tcW w:w="660" w:type="pct"/>
            <w:noWrap/>
            <w:vAlign w:val="bottom"/>
            <w:hideMark/>
          </w:tcPr>
          <w:p w14:paraId="471542C7"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4,3%</w:t>
            </w:r>
          </w:p>
        </w:tc>
        <w:tc>
          <w:tcPr>
            <w:tcW w:w="669" w:type="pct"/>
            <w:noWrap/>
            <w:vAlign w:val="bottom"/>
            <w:hideMark/>
          </w:tcPr>
          <w:p w14:paraId="15AFA84F"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805.188</w:t>
            </w:r>
          </w:p>
        </w:tc>
        <w:tc>
          <w:tcPr>
            <w:tcW w:w="660" w:type="pct"/>
            <w:noWrap/>
            <w:vAlign w:val="bottom"/>
            <w:hideMark/>
          </w:tcPr>
          <w:p w14:paraId="0ED89447"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3,8%</w:t>
            </w:r>
          </w:p>
        </w:tc>
        <w:tc>
          <w:tcPr>
            <w:tcW w:w="669" w:type="pct"/>
            <w:noWrap/>
            <w:vAlign w:val="bottom"/>
            <w:hideMark/>
          </w:tcPr>
          <w:p w14:paraId="25BD1666"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1.117.335</w:t>
            </w:r>
          </w:p>
        </w:tc>
        <w:tc>
          <w:tcPr>
            <w:tcW w:w="661" w:type="pct"/>
            <w:noWrap/>
            <w:vAlign w:val="bottom"/>
            <w:hideMark/>
          </w:tcPr>
          <w:p w14:paraId="62112025"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6,2%</w:t>
            </w:r>
          </w:p>
        </w:tc>
      </w:tr>
      <w:tr w:rsidR="00F23D85" w:rsidRPr="00AE4E8D" w14:paraId="6766817B" w14:textId="77777777" w:rsidTr="000400C8">
        <w:trPr>
          <w:trHeight w:val="255"/>
          <w:jc w:val="center"/>
        </w:trPr>
        <w:tc>
          <w:tcPr>
            <w:tcW w:w="893" w:type="pct"/>
            <w:vAlign w:val="center"/>
            <w:hideMark/>
          </w:tcPr>
          <w:p w14:paraId="2FAB4EC5"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Servicios</w:t>
            </w:r>
          </w:p>
        </w:tc>
        <w:tc>
          <w:tcPr>
            <w:tcW w:w="120" w:type="pct"/>
            <w:noWrap/>
            <w:vAlign w:val="bottom"/>
          </w:tcPr>
          <w:p w14:paraId="59F9A60B" w14:textId="77777777" w:rsidR="00F23D85" w:rsidRPr="00AE4E8D" w:rsidRDefault="00F23D85" w:rsidP="00E90931">
            <w:pPr>
              <w:rPr>
                <w:rFonts w:ascii="Times New Roman" w:hAnsi="Times New Roman"/>
                <w:sz w:val="16"/>
                <w:szCs w:val="16"/>
                <w:lang w:val="es-ES"/>
              </w:rPr>
            </w:pPr>
          </w:p>
        </w:tc>
        <w:tc>
          <w:tcPr>
            <w:tcW w:w="668" w:type="pct"/>
            <w:noWrap/>
            <w:vAlign w:val="bottom"/>
            <w:hideMark/>
          </w:tcPr>
          <w:p w14:paraId="5963E2F7"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2.062.864</w:t>
            </w:r>
          </w:p>
        </w:tc>
        <w:tc>
          <w:tcPr>
            <w:tcW w:w="660" w:type="pct"/>
            <w:noWrap/>
            <w:vAlign w:val="bottom"/>
            <w:hideMark/>
          </w:tcPr>
          <w:p w14:paraId="6806F7F1"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7,3%</w:t>
            </w:r>
          </w:p>
        </w:tc>
        <w:tc>
          <w:tcPr>
            <w:tcW w:w="669" w:type="pct"/>
            <w:noWrap/>
            <w:vAlign w:val="bottom"/>
            <w:hideMark/>
          </w:tcPr>
          <w:p w14:paraId="6E62CD10"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946.155</w:t>
            </w:r>
          </w:p>
        </w:tc>
        <w:tc>
          <w:tcPr>
            <w:tcW w:w="660" w:type="pct"/>
            <w:noWrap/>
            <w:vAlign w:val="bottom"/>
            <w:hideMark/>
          </w:tcPr>
          <w:p w14:paraId="5F61C9F5"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4,5%</w:t>
            </w:r>
          </w:p>
        </w:tc>
        <w:tc>
          <w:tcPr>
            <w:tcW w:w="669" w:type="pct"/>
            <w:noWrap/>
            <w:vAlign w:val="bottom"/>
            <w:hideMark/>
          </w:tcPr>
          <w:p w14:paraId="458DB29E"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1.018.658</w:t>
            </w:r>
          </w:p>
        </w:tc>
        <w:tc>
          <w:tcPr>
            <w:tcW w:w="661" w:type="pct"/>
            <w:noWrap/>
            <w:vAlign w:val="bottom"/>
            <w:hideMark/>
          </w:tcPr>
          <w:p w14:paraId="680A1F7A"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5,7%</w:t>
            </w:r>
          </w:p>
        </w:tc>
      </w:tr>
      <w:tr w:rsidR="00F23D85" w:rsidRPr="00AE4E8D" w14:paraId="4242BD24" w14:textId="77777777" w:rsidTr="000400C8">
        <w:trPr>
          <w:trHeight w:val="255"/>
          <w:jc w:val="center"/>
        </w:trPr>
        <w:tc>
          <w:tcPr>
            <w:tcW w:w="893" w:type="pct"/>
            <w:vAlign w:val="center"/>
            <w:hideMark/>
          </w:tcPr>
          <w:p w14:paraId="628236AE"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Agropecuario</w:t>
            </w:r>
          </w:p>
        </w:tc>
        <w:tc>
          <w:tcPr>
            <w:tcW w:w="120" w:type="pct"/>
            <w:noWrap/>
            <w:vAlign w:val="bottom"/>
          </w:tcPr>
          <w:p w14:paraId="387899BD" w14:textId="77777777" w:rsidR="00F23D85" w:rsidRPr="00AE4E8D" w:rsidRDefault="00F23D85" w:rsidP="00E90931">
            <w:pPr>
              <w:rPr>
                <w:rFonts w:ascii="Times New Roman" w:hAnsi="Times New Roman"/>
                <w:sz w:val="16"/>
                <w:szCs w:val="16"/>
                <w:lang w:val="es-ES"/>
              </w:rPr>
            </w:pPr>
          </w:p>
        </w:tc>
        <w:tc>
          <w:tcPr>
            <w:tcW w:w="668" w:type="pct"/>
            <w:noWrap/>
            <w:vAlign w:val="bottom"/>
            <w:hideMark/>
          </w:tcPr>
          <w:p w14:paraId="05AEAA0D"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665.256</w:t>
            </w:r>
          </w:p>
        </w:tc>
        <w:tc>
          <w:tcPr>
            <w:tcW w:w="660" w:type="pct"/>
            <w:noWrap/>
            <w:vAlign w:val="bottom"/>
            <w:hideMark/>
          </w:tcPr>
          <w:p w14:paraId="18BE65A7"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2,4%</w:t>
            </w:r>
          </w:p>
        </w:tc>
        <w:tc>
          <w:tcPr>
            <w:tcW w:w="669" w:type="pct"/>
            <w:noWrap/>
            <w:vAlign w:val="bottom"/>
            <w:hideMark/>
          </w:tcPr>
          <w:p w14:paraId="5B4E8298"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425.015</w:t>
            </w:r>
          </w:p>
        </w:tc>
        <w:tc>
          <w:tcPr>
            <w:tcW w:w="660" w:type="pct"/>
            <w:noWrap/>
            <w:vAlign w:val="bottom"/>
            <w:hideMark/>
          </w:tcPr>
          <w:p w14:paraId="6DF4F3A2"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2,0%</w:t>
            </w:r>
          </w:p>
        </w:tc>
        <w:tc>
          <w:tcPr>
            <w:tcW w:w="669" w:type="pct"/>
            <w:noWrap/>
            <w:vAlign w:val="bottom"/>
            <w:hideMark/>
          </w:tcPr>
          <w:p w14:paraId="693375B3"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362.386</w:t>
            </w:r>
          </w:p>
        </w:tc>
        <w:tc>
          <w:tcPr>
            <w:tcW w:w="661" w:type="pct"/>
            <w:noWrap/>
            <w:vAlign w:val="bottom"/>
            <w:hideMark/>
          </w:tcPr>
          <w:p w14:paraId="76374AF0"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2,0%</w:t>
            </w:r>
          </w:p>
        </w:tc>
      </w:tr>
      <w:tr w:rsidR="00F23D85" w:rsidRPr="00AE4E8D" w14:paraId="0A91C9C8" w14:textId="77777777" w:rsidTr="000400C8">
        <w:trPr>
          <w:trHeight w:val="255"/>
          <w:jc w:val="center"/>
        </w:trPr>
        <w:tc>
          <w:tcPr>
            <w:tcW w:w="893" w:type="pct"/>
            <w:vAlign w:val="center"/>
            <w:hideMark/>
          </w:tcPr>
          <w:p w14:paraId="155EF3E9"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Construcci</w:t>
            </w:r>
            <w:r w:rsidR="00934FBF" w:rsidRPr="00AE4E8D">
              <w:rPr>
                <w:rFonts w:ascii="Times New Roman" w:hAnsi="Times New Roman"/>
                <w:sz w:val="16"/>
                <w:szCs w:val="16"/>
                <w:lang w:val="es-ES"/>
              </w:rPr>
              <w:t>ó</w:t>
            </w:r>
            <w:r w:rsidRPr="00AE4E8D">
              <w:rPr>
                <w:rFonts w:ascii="Times New Roman" w:hAnsi="Times New Roman"/>
                <w:sz w:val="16"/>
                <w:szCs w:val="16"/>
                <w:lang w:val="es-ES"/>
              </w:rPr>
              <w:t>n</w:t>
            </w:r>
          </w:p>
        </w:tc>
        <w:tc>
          <w:tcPr>
            <w:tcW w:w="120" w:type="pct"/>
            <w:noWrap/>
            <w:vAlign w:val="bottom"/>
          </w:tcPr>
          <w:p w14:paraId="76BFDF59" w14:textId="77777777" w:rsidR="00F23D85" w:rsidRPr="00AE4E8D" w:rsidRDefault="00F23D85" w:rsidP="00E90931">
            <w:pPr>
              <w:rPr>
                <w:rFonts w:ascii="Times New Roman" w:hAnsi="Times New Roman"/>
                <w:sz w:val="16"/>
                <w:szCs w:val="16"/>
                <w:lang w:val="es-ES"/>
              </w:rPr>
            </w:pPr>
          </w:p>
        </w:tc>
        <w:tc>
          <w:tcPr>
            <w:tcW w:w="668" w:type="pct"/>
            <w:noWrap/>
            <w:vAlign w:val="bottom"/>
            <w:hideMark/>
          </w:tcPr>
          <w:p w14:paraId="39E851E4"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260.966</w:t>
            </w:r>
          </w:p>
        </w:tc>
        <w:tc>
          <w:tcPr>
            <w:tcW w:w="660" w:type="pct"/>
            <w:noWrap/>
            <w:vAlign w:val="bottom"/>
            <w:hideMark/>
          </w:tcPr>
          <w:p w14:paraId="209A7BB6"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0,9%</w:t>
            </w:r>
          </w:p>
        </w:tc>
        <w:tc>
          <w:tcPr>
            <w:tcW w:w="669" w:type="pct"/>
            <w:noWrap/>
            <w:vAlign w:val="bottom"/>
            <w:hideMark/>
          </w:tcPr>
          <w:p w14:paraId="6188AD76"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361.888</w:t>
            </w:r>
          </w:p>
        </w:tc>
        <w:tc>
          <w:tcPr>
            <w:tcW w:w="660" w:type="pct"/>
            <w:noWrap/>
            <w:vAlign w:val="bottom"/>
            <w:hideMark/>
          </w:tcPr>
          <w:p w14:paraId="5373787C"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1,7%</w:t>
            </w:r>
          </w:p>
        </w:tc>
        <w:tc>
          <w:tcPr>
            <w:tcW w:w="669" w:type="pct"/>
            <w:noWrap/>
            <w:vAlign w:val="bottom"/>
            <w:hideMark/>
          </w:tcPr>
          <w:p w14:paraId="0FE2071D"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437.621</w:t>
            </w:r>
          </w:p>
        </w:tc>
        <w:tc>
          <w:tcPr>
            <w:tcW w:w="661" w:type="pct"/>
            <w:noWrap/>
            <w:vAlign w:val="bottom"/>
            <w:hideMark/>
          </w:tcPr>
          <w:p w14:paraId="6D37A3BF"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2,4%</w:t>
            </w:r>
          </w:p>
        </w:tc>
      </w:tr>
      <w:tr w:rsidR="00F23D85" w:rsidRPr="00AE4E8D" w14:paraId="43A92F1C" w14:textId="77777777" w:rsidTr="000400C8">
        <w:trPr>
          <w:trHeight w:val="255"/>
          <w:jc w:val="center"/>
        </w:trPr>
        <w:tc>
          <w:tcPr>
            <w:tcW w:w="893" w:type="pct"/>
            <w:vAlign w:val="center"/>
            <w:hideMark/>
          </w:tcPr>
          <w:p w14:paraId="15F6A6A5"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Otros</w:t>
            </w:r>
          </w:p>
        </w:tc>
        <w:tc>
          <w:tcPr>
            <w:tcW w:w="120" w:type="pct"/>
            <w:noWrap/>
            <w:vAlign w:val="bottom"/>
          </w:tcPr>
          <w:p w14:paraId="3263C921" w14:textId="77777777" w:rsidR="00F23D85" w:rsidRPr="00AE4E8D" w:rsidRDefault="00F23D85" w:rsidP="00E90931">
            <w:pPr>
              <w:rPr>
                <w:rFonts w:ascii="Times New Roman" w:hAnsi="Times New Roman"/>
                <w:sz w:val="16"/>
                <w:szCs w:val="16"/>
                <w:lang w:val="es-ES"/>
              </w:rPr>
            </w:pPr>
          </w:p>
        </w:tc>
        <w:tc>
          <w:tcPr>
            <w:tcW w:w="668" w:type="pct"/>
            <w:noWrap/>
            <w:vAlign w:val="bottom"/>
            <w:hideMark/>
          </w:tcPr>
          <w:p w14:paraId="3927D1E1" w14:textId="77777777" w:rsidR="00F23D85" w:rsidRPr="00AE4E8D" w:rsidRDefault="00F23D85" w:rsidP="00BD536D">
            <w:pPr>
              <w:jc w:val="right"/>
              <w:rPr>
                <w:rFonts w:ascii="Times New Roman" w:hAnsi="Times New Roman"/>
                <w:sz w:val="16"/>
                <w:lang w:val="es-ES"/>
              </w:rPr>
            </w:pPr>
            <w:r w:rsidRPr="00AE4E8D">
              <w:rPr>
                <w:rFonts w:ascii="Times New Roman" w:hAnsi="Times New Roman"/>
                <w:sz w:val="16"/>
                <w:szCs w:val="16"/>
                <w:lang w:val="es-ES"/>
              </w:rPr>
              <w:t>594.585</w:t>
            </w:r>
          </w:p>
        </w:tc>
        <w:tc>
          <w:tcPr>
            <w:tcW w:w="660" w:type="pct"/>
            <w:noWrap/>
            <w:vAlign w:val="bottom"/>
            <w:hideMark/>
          </w:tcPr>
          <w:p w14:paraId="47AB64E0"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2,1%</w:t>
            </w:r>
          </w:p>
        </w:tc>
        <w:tc>
          <w:tcPr>
            <w:tcW w:w="669" w:type="pct"/>
            <w:noWrap/>
            <w:vAlign w:val="bottom"/>
            <w:hideMark/>
          </w:tcPr>
          <w:p w14:paraId="1549D1CD"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24.710</w:t>
            </w:r>
          </w:p>
        </w:tc>
        <w:tc>
          <w:tcPr>
            <w:tcW w:w="660" w:type="pct"/>
            <w:noWrap/>
            <w:vAlign w:val="bottom"/>
            <w:hideMark/>
          </w:tcPr>
          <w:p w14:paraId="4C025294"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0,2%</w:t>
            </w:r>
          </w:p>
        </w:tc>
        <w:tc>
          <w:tcPr>
            <w:tcW w:w="669" w:type="pct"/>
            <w:noWrap/>
            <w:vAlign w:val="bottom"/>
            <w:hideMark/>
          </w:tcPr>
          <w:p w14:paraId="1026DEF2"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415.837</w:t>
            </w:r>
          </w:p>
        </w:tc>
        <w:tc>
          <w:tcPr>
            <w:tcW w:w="661" w:type="pct"/>
            <w:noWrap/>
            <w:vAlign w:val="bottom"/>
            <w:hideMark/>
          </w:tcPr>
          <w:p w14:paraId="3E43A1F6"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2,3%</w:t>
            </w:r>
          </w:p>
        </w:tc>
      </w:tr>
      <w:tr w:rsidR="00F23D85" w:rsidRPr="00AE4E8D" w14:paraId="3E918540" w14:textId="77777777" w:rsidTr="000400C8">
        <w:trPr>
          <w:trHeight w:val="255"/>
          <w:jc w:val="center"/>
        </w:trPr>
        <w:tc>
          <w:tcPr>
            <w:tcW w:w="893" w:type="pct"/>
            <w:vAlign w:val="center"/>
          </w:tcPr>
          <w:p w14:paraId="4C812FB8" w14:textId="77777777" w:rsidR="00F23D85" w:rsidRPr="00AE4E8D" w:rsidRDefault="00F23D85" w:rsidP="00E90931">
            <w:pPr>
              <w:rPr>
                <w:rFonts w:ascii="Times New Roman" w:hAnsi="Times New Roman"/>
                <w:sz w:val="16"/>
                <w:szCs w:val="16"/>
                <w:lang w:val="es-ES"/>
              </w:rPr>
            </w:pPr>
          </w:p>
        </w:tc>
        <w:tc>
          <w:tcPr>
            <w:tcW w:w="120" w:type="pct"/>
            <w:noWrap/>
            <w:vAlign w:val="bottom"/>
          </w:tcPr>
          <w:p w14:paraId="13108AED" w14:textId="77777777" w:rsidR="00F23D85" w:rsidRPr="00AE4E8D" w:rsidRDefault="00F23D85" w:rsidP="00E90931">
            <w:pPr>
              <w:rPr>
                <w:rFonts w:ascii="Times New Roman" w:hAnsi="Times New Roman"/>
                <w:sz w:val="16"/>
                <w:szCs w:val="16"/>
                <w:lang w:val="es-ES"/>
              </w:rPr>
            </w:pPr>
          </w:p>
        </w:tc>
        <w:tc>
          <w:tcPr>
            <w:tcW w:w="668" w:type="pct"/>
            <w:noWrap/>
            <w:vAlign w:val="bottom"/>
          </w:tcPr>
          <w:p w14:paraId="7CAE5AD8" w14:textId="77777777" w:rsidR="00F23D85" w:rsidRPr="00AE4E8D" w:rsidRDefault="00F23D85" w:rsidP="00E90931">
            <w:pPr>
              <w:rPr>
                <w:rFonts w:ascii="Times New Roman" w:hAnsi="Times New Roman"/>
                <w:sz w:val="16"/>
                <w:lang w:val="es-ES"/>
              </w:rPr>
            </w:pPr>
          </w:p>
        </w:tc>
        <w:tc>
          <w:tcPr>
            <w:tcW w:w="660" w:type="pct"/>
            <w:noWrap/>
            <w:vAlign w:val="bottom"/>
          </w:tcPr>
          <w:p w14:paraId="47E00BE0" w14:textId="77777777" w:rsidR="00F23D85" w:rsidRPr="00AE4E8D" w:rsidRDefault="00F23D85" w:rsidP="00E90931">
            <w:pPr>
              <w:rPr>
                <w:rFonts w:ascii="Times New Roman" w:hAnsi="Times New Roman"/>
                <w:sz w:val="16"/>
                <w:lang w:val="es-ES"/>
              </w:rPr>
            </w:pPr>
          </w:p>
        </w:tc>
        <w:tc>
          <w:tcPr>
            <w:tcW w:w="669" w:type="pct"/>
            <w:noWrap/>
            <w:vAlign w:val="bottom"/>
          </w:tcPr>
          <w:p w14:paraId="79347081" w14:textId="77777777" w:rsidR="00F23D85" w:rsidRPr="00AE4E8D" w:rsidRDefault="00F23D85" w:rsidP="00E90931">
            <w:pPr>
              <w:rPr>
                <w:rFonts w:ascii="Times New Roman" w:hAnsi="Times New Roman"/>
                <w:sz w:val="16"/>
                <w:szCs w:val="16"/>
                <w:lang w:val="es-ES"/>
              </w:rPr>
            </w:pPr>
          </w:p>
        </w:tc>
        <w:tc>
          <w:tcPr>
            <w:tcW w:w="660" w:type="pct"/>
            <w:noWrap/>
            <w:vAlign w:val="bottom"/>
          </w:tcPr>
          <w:p w14:paraId="6BCD06C9" w14:textId="77777777" w:rsidR="00F23D85" w:rsidRPr="00AE4E8D" w:rsidRDefault="00F23D85" w:rsidP="00E90931">
            <w:pPr>
              <w:rPr>
                <w:rFonts w:ascii="Times New Roman" w:hAnsi="Times New Roman"/>
                <w:sz w:val="16"/>
                <w:szCs w:val="16"/>
                <w:lang w:val="es-ES"/>
              </w:rPr>
            </w:pPr>
          </w:p>
        </w:tc>
        <w:tc>
          <w:tcPr>
            <w:tcW w:w="669" w:type="pct"/>
            <w:noWrap/>
            <w:vAlign w:val="bottom"/>
          </w:tcPr>
          <w:p w14:paraId="338A4C06" w14:textId="77777777" w:rsidR="00F23D85" w:rsidRPr="00AE4E8D" w:rsidRDefault="00F23D85" w:rsidP="00E90931">
            <w:pPr>
              <w:rPr>
                <w:rFonts w:ascii="Times New Roman" w:hAnsi="Times New Roman"/>
                <w:sz w:val="16"/>
                <w:szCs w:val="16"/>
                <w:lang w:val="es-ES"/>
              </w:rPr>
            </w:pPr>
          </w:p>
        </w:tc>
        <w:tc>
          <w:tcPr>
            <w:tcW w:w="661" w:type="pct"/>
            <w:noWrap/>
            <w:vAlign w:val="bottom"/>
          </w:tcPr>
          <w:p w14:paraId="5B935786" w14:textId="77777777" w:rsidR="00F23D85" w:rsidRPr="00AE4E8D" w:rsidRDefault="00F23D85" w:rsidP="00E90931">
            <w:pPr>
              <w:rPr>
                <w:rFonts w:ascii="Times New Roman" w:hAnsi="Times New Roman"/>
                <w:sz w:val="16"/>
                <w:szCs w:val="16"/>
                <w:lang w:val="es-ES"/>
              </w:rPr>
            </w:pPr>
          </w:p>
        </w:tc>
      </w:tr>
      <w:tr w:rsidR="00F23D85" w:rsidRPr="00AE4E8D" w14:paraId="525BEB85" w14:textId="77777777" w:rsidTr="000400C8">
        <w:trPr>
          <w:trHeight w:val="270"/>
          <w:jc w:val="center"/>
        </w:trPr>
        <w:tc>
          <w:tcPr>
            <w:tcW w:w="893" w:type="pct"/>
            <w:vAlign w:val="center"/>
            <w:hideMark/>
          </w:tcPr>
          <w:p w14:paraId="6FB1AC5B"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Total Préstamos</w:t>
            </w:r>
          </w:p>
        </w:tc>
        <w:tc>
          <w:tcPr>
            <w:tcW w:w="120" w:type="pct"/>
            <w:noWrap/>
            <w:vAlign w:val="bottom"/>
          </w:tcPr>
          <w:p w14:paraId="0E2E2389" w14:textId="77777777" w:rsidR="00F23D85" w:rsidRPr="00AE4E8D" w:rsidRDefault="00F23D85" w:rsidP="00E90931">
            <w:pPr>
              <w:rPr>
                <w:rFonts w:ascii="Times New Roman" w:hAnsi="Times New Roman"/>
                <w:sz w:val="16"/>
                <w:szCs w:val="16"/>
                <w:lang w:val="es-ES"/>
              </w:rPr>
            </w:pPr>
          </w:p>
        </w:tc>
        <w:tc>
          <w:tcPr>
            <w:tcW w:w="668" w:type="pct"/>
            <w:tcBorders>
              <w:top w:val="single" w:sz="4" w:space="0" w:color="auto"/>
              <w:left w:val="nil"/>
              <w:bottom w:val="double" w:sz="6" w:space="0" w:color="auto"/>
              <w:right w:val="nil"/>
            </w:tcBorders>
            <w:noWrap/>
            <w:vAlign w:val="bottom"/>
            <w:hideMark/>
          </w:tcPr>
          <w:p w14:paraId="1B15F7A5" w14:textId="77777777" w:rsidR="00F23D85" w:rsidRPr="00AE4E8D" w:rsidRDefault="00F23D85" w:rsidP="00E90931">
            <w:pPr>
              <w:jc w:val="right"/>
              <w:rPr>
                <w:rFonts w:ascii="Times New Roman" w:hAnsi="Times New Roman"/>
                <w:b/>
                <w:sz w:val="16"/>
                <w:lang w:val="es-ES"/>
              </w:rPr>
            </w:pPr>
            <w:r w:rsidRPr="00AE4E8D">
              <w:rPr>
                <w:rFonts w:ascii="Times New Roman" w:hAnsi="Times New Roman"/>
                <w:b/>
                <w:bCs/>
                <w:sz w:val="16"/>
                <w:szCs w:val="16"/>
                <w:lang w:val="es-ES"/>
              </w:rPr>
              <w:t>28.121.56</w:t>
            </w:r>
            <w:r w:rsidR="003E4335" w:rsidRPr="00AE4E8D">
              <w:rPr>
                <w:rFonts w:ascii="Times New Roman" w:hAnsi="Times New Roman"/>
                <w:b/>
                <w:bCs/>
                <w:sz w:val="16"/>
                <w:szCs w:val="16"/>
                <w:lang w:val="es-ES"/>
              </w:rPr>
              <w:t>3</w:t>
            </w:r>
          </w:p>
        </w:tc>
        <w:tc>
          <w:tcPr>
            <w:tcW w:w="660" w:type="pct"/>
            <w:tcBorders>
              <w:top w:val="single" w:sz="4" w:space="0" w:color="auto"/>
              <w:left w:val="nil"/>
              <w:bottom w:val="double" w:sz="6" w:space="0" w:color="auto"/>
              <w:right w:val="nil"/>
            </w:tcBorders>
            <w:noWrap/>
            <w:vAlign w:val="bottom"/>
            <w:hideMark/>
          </w:tcPr>
          <w:p w14:paraId="34CA2340" w14:textId="77777777" w:rsidR="00F23D85" w:rsidRPr="00AE4E8D" w:rsidRDefault="00F23D85" w:rsidP="00E90931">
            <w:pPr>
              <w:jc w:val="right"/>
              <w:rPr>
                <w:rFonts w:ascii="Times New Roman" w:hAnsi="Times New Roman"/>
                <w:b/>
                <w:sz w:val="16"/>
                <w:lang w:val="es-ES"/>
              </w:rPr>
            </w:pPr>
            <w:r w:rsidRPr="00AE4E8D">
              <w:rPr>
                <w:rFonts w:ascii="Times New Roman" w:hAnsi="Times New Roman"/>
                <w:b/>
                <w:bCs/>
                <w:sz w:val="16"/>
                <w:szCs w:val="16"/>
                <w:lang w:val="es-ES"/>
              </w:rPr>
              <w:t>100,0%</w:t>
            </w:r>
          </w:p>
        </w:tc>
        <w:tc>
          <w:tcPr>
            <w:tcW w:w="669" w:type="pct"/>
            <w:tcBorders>
              <w:top w:val="single" w:sz="4" w:space="0" w:color="auto"/>
              <w:left w:val="nil"/>
              <w:bottom w:val="double" w:sz="6" w:space="0" w:color="auto"/>
              <w:right w:val="nil"/>
            </w:tcBorders>
            <w:noWrap/>
            <w:vAlign w:val="bottom"/>
            <w:hideMark/>
          </w:tcPr>
          <w:p w14:paraId="49B70B77" w14:textId="77777777" w:rsidR="00F23D85" w:rsidRPr="00AE4E8D" w:rsidRDefault="00F23D8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20.985.624</w:t>
            </w:r>
          </w:p>
        </w:tc>
        <w:tc>
          <w:tcPr>
            <w:tcW w:w="660" w:type="pct"/>
            <w:tcBorders>
              <w:top w:val="single" w:sz="4" w:space="0" w:color="auto"/>
              <w:left w:val="nil"/>
              <w:bottom w:val="double" w:sz="6" w:space="0" w:color="auto"/>
              <w:right w:val="nil"/>
            </w:tcBorders>
            <w:noWrap/>
            <w:vAlign w:val="bottom"/>
            <w:hideMark/>
          </w:tcPr>
          <w:p w14:paraId="0E3FBD6F" w14:textId="77777777" w:rsidR="00F23D85" w:rsidRPr="00AE4E8D" w:rsidRDefault="00F23D8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100,0%</w:t>
            </w:r>
          </w:p>
        </w:tc>
        <w:tc>
          <w:tcPr>
            <w:tcW w:w="669" w:type="pct"/>
            <w:tcBorders>
              <w:top w:val="single" w:sz="4" w:space="0" w:color="auto"/>
              <w:left w:val="nil"/>
              <w:bottom w:val="double" w:sz="6" w:space="0" w:color="auto"/>
              <w:right w:val="nil"/>
            </w:tcBorders>
            <w:noWrap/>
            <w:vAlign w:val="bottom"/>
            <w:hideMark/>
          </w:tcPr>
          <w:p w14:paraId="3E52FFB3" w14:textId="77777777" w:rsidR="00F23D85" w:rsidRPr="00AE4E8D" w:rsidRDefault="00F23D8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17.953.330</w:t>
            </w:r>
          </w:p>
        </w:tc>
        <w:tc>
          <w:tcPr>
            <w:tcW w:w="661" w:type="pct"/>
            <w:tcBorders>
              <w:top w:val="single" w:sz="4" w:space="0" w:color="auto"/>
              <w:left w:val="nil"/>
              <w:bottom w:val="double" w:sz="6" w:space="0" w:color="auto"/>
              <w:right w:val="nil"/>
            </w:tcBorders>
            <w:noWrap/>
            <w:vAlign w:val="bottom"/>
            <w:hideMark/>
          </w:tcPr>
          <w:p w14:paraId="11284E99" w14:textId="77777777" w:rsidR="00F23D85" w:rsidRPr="00AE4E8D" w:rsidRDefault="00F23D8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100,0%</w:t>
            </w:r>
          </w:p>
        </w:tc>
      </w:tr>
    </w:tbl>
    <w:p w14:paraId="2B67200A" w14:textId="77777777" w:rsidR="00E90931" w:rsidRPr="00AE4E8D" w:rsidRDefault="00E90931" w:rsidP="00E90931">
      <w:pPr>
        <w:keepNext/>
        <w:autoSpaceDE w:val="0"/>
        <w:autoSpaceDN w:val="0"/>
        <w:adjustRightInd w:val="0"/>
        <w:spacing w:before="240" w:after="240"/>
        <w:outlineLvl w:val="1"/>
        <w:rPr>
          <w:rFonts w:ascii="Times New Roman" w:hAnsi="Times New Roman"/>
          <w:b/>
          <w:lang w:val="es-ES" w:eastAsia="es-AR"/>
        </w:rPr>
      </w:pPr>
      <w:bookmarkStart w:id="338" w:name="_Toc421201371"/>
      <w:bookmarkStart w:id="339" w:name="_Toc495973000"/>
      <w:bookmarkStart w:id="340" w:name="_Toc495399907"/>
      <w:r w:rsidRPr="00AE4E8D">
        <w:rPr>
          <w:rFonts w:ascii="Times New Roman" w:hAnsi="Times New Roman"/>
          <w:b/>
          <w:lang w:val="es-ES" w:eastAsia="es-AR"/>
        </w:rPr>
        <w:lastRenderedPageBreak/>
        <w:t>Políticas Crediticias</w:t>
      </w:r>
      <w:bookmarkEnd w:id="338"/>
      <w:bookmarkEnd w:id="339"/>
      <w:bookmarkEnd w:id="340"/>
    </w:p>
    <w:p w14:paraId="2E44E77E" w14:textId="77777777" w:rsidR="00E90931" w:rsidRPr="00AE4E8D" w:rsidRDefault="00E90931" w:rsidP="00E71CBF">
      <w:pPr>
        <w:pStyle w:val="BH3Izquierda"/>
        <w:rPr>
          <w:lang w:val="es-ES"/>
        </w:rPr>
      </w:pPr>
      <w:bookmarkStart w:id="341" w:name="_Toc421201372"/>
      <w:bookmarkStart w:id="342" w:name="_Toc424148923"/>
      <w:r w:rsidRPr="00AE4E8D">
        <w:rPr>
          <w:lang w:val="es-ES"/>
        </w:rPr>
        <w:t>Cultura Corporativa de Riesgos: Principios Generales de su Gestión</w:t>
      </w:r>
      <w:bookmarkEnd w:id="341"/>
      <w:bookmarkEnd w:id="342"/>
    </w:p>
    <w:p w14:paraId="247187AB" w14:textId="77777777" w:rsidR="004D2E2C" w:rsidRPr="00AE4E8D" w:rsidRDefault="004D2E2C" w:rsidP="00003798">
      <w:pPr>
        <w:pStyle w:val="BHTexto"/>
        <w:rPr>
          <w:lang w:val="es-ES"/>
        </w:rPr>
      </w:pPr>
      <w:r w:rsidRPr="00AE4E8D">
        <w:rPr>
          <w:lang w:val="es-ES"/>
        </w:rPr>
        <w:t>El Banco cuenta con un proceso integral para la gestión de riesgos, esto es, para identificar, evaluar, controlar y mitigar todos los riesgos significativos. El proceso integral para la gestión de riesgos está orientado a que el Directorio y la Alta Gerencia se involucren en la gestión de los riesgos, supervisen las actividades y comprendan la naturaleza y el nivel de riesgo asumido por la entidad y su relación con la suficiencia de capital.</w:t>
      </w:r>
    </w:p>
    <w:p w14:paraId="326E7C1F" w14:textId="77777777" w:rsidR="004D2E2C" w:rsidRPr="00AE4E8D" w:rsidRDefault="004D2E2C" w:rsidP="00003798">
      <w:pPr>
        <w:pStyle w:val="BHTexto"/>
        <w:rPr>
          <w:lang w:val="es-ES"/>
        </w:rPr>
      </w:pPr>
      <w:r w:rsidRPr="00AE4E8D">
        <w:rPr>
          <w:lang w:val="es-ES"/>
        </w:rPr>
        <w:t>Nuestra gestión de riesgos está en línea con las buenas prácticas en la materia y con los lineamientos para la gestión de riesgos de las entidades financieras establecidas por el BCRA (Comunicación “A” 5398, 6210 y subsiguientes).</w:t>
      </w:r>
    </w:p>
    <w:p w14:paraId="539C724C" w14:textId="77777777" w:rsidR="004D2E2C" w:rsidRPr="00AE4E8D" w:rsidRDefault="004D2E2C" w:rsidP="00003798">
      <w:pPr>
        <w:pStyle w:val="BHTexto"/>
        <w:rPr>
          <w:lang w:val="es-ES"/>
        </w:rPr>
      </w:pPr>
      <w:r w:rsidRPr="00AE4E8D">
        <w:rPr>
          <w:lang w:val="es-ES"/>
        </w:rPr>
        <w:t>La administración de los riesgos significativos se desarrolla dentro de un marco de gestión que incluy</w:t>
      </w:r>
      <w:r w:rsidR="001C099B" w:rsidRPr="00AE4E8D">
        <w:rPr>
          <w:bCs/>
          <w:lang w:val="es-ES"/>
        </w:rPr>
        <w:t xml:space="preserve">e </w:t>
      </w:r>
      <w:r w:rsidRPr="00AE4E8D">
        <w:rPr>
          <w:lang w:val="es-ES"/>
        </w:rPr>
        <w:t xml:space="preserve">el empleo de herramientas específicas para su evaluación y monitoreo. </w:t>
      </w:r>
    </w:p>
    <w:p w14:paraId="33D9C0ED" w14:textId="77777777" w:rsidR="00E90931" w:rsidRPr="00AE4E8D" w:rsidRDefault="00E90931" w:rsidP="00E71CBF">
      <w:pPr>
        <w:pStyle w:val="BH3Izquierda"/>
        <w:rPr>
          <w:lang w:val="es-ES"/>
        </w:rPr>
      </w:pPr>
      <w:bookmarkStart w:id="343" w:name="_Toc421201373"/>
      <w:bookmarkStart w:id="344" w:name="_Toc424148924"/>
      <w:r w:rsidRPr="00AE4E8D">
        <w:rPr>
          <w:lang w:val="es-ES"/>
        </w:rPr>
        <w:t>Estructura Organizacional</w:t>
      </w:r>
      <w:bookmarkEnd w:id="343"/>
      <w:bookmarkEnd w:id="344"/>
    </w:p>
    <w:p w14:paraId="43CB0C7A" w14:textId="77777777" w:rsidR="004D2E2C" w:rsidRPr="00AE4E8D" w:rsidRDefault="004D2E2C" w:rsidP="00003798">
      <w:pPr>
        <w:pStyle w:val="BHTexto"/>
        <w:rPr>
          <w:lang w:val="es-ES"/>
        </w:rPr>
      </w:pPr>
      <w:r w:rsidRPr="00AE4E8D">
        <w:rPr>
          <w:lang w:val="es-ES"/>
        </w:rPr>
        <w:t>El Banco cuenta con diferentes unidades responsables de la gestión de cada uno de los riesgos significativos comprendidos en esta política. Tales unidades adoptan la forma de comité o están conformadas por áreas de nivel gerencial. Asimismo, el Banco ha constituido un Comité de Gestión de Riesgos, integrado por al menos tres directores y el responsable máximo de la Gerencia de Área de Riesgo. El Comité tiene como objetivo principal realizar un seguimiento de las actividades de la Alta Gerencia relacionadas a la gestión de riesgos y asesorar al Directorio sobre los riesgos de la entidad.</w:t>
      </w:r>
    </w:p>
    <w:p w14:paraId="5FAA8FFE" w14:textId="77777777" w:rsidR="00E90931" w:rsidRPr="00AE4E8D" w:rsidRDefault="00E90931" w:rsidP="00E71CBF">
      <w:pPr>
        <w:pStyle w:val="BH3Izquierda"/>
        <w:rPr>
          <w:lang w:val="es-ES"/>
        </w:rPr>
      </w:pPr>
      <w:bookmarkStart w:id="345" w:name="_Toc424148925"/>
      <w:bookmarkStart w:id="346" w:name="_Toc421201375"/>
      <w:r w:rsidRPr="00AE4E8D">
        <w:rPr>
          <w:lang w:val="es-ES"/>
        </w:rPr>
        <w:t>Riesgo de Crédito; Banca Corporativa</w:t>
      </w:r>
      <w:bookmarkEnd w:id="345"/>
    </w:p>
    <w:p w14:paraId="2D62DDCA" w14:textId="77777777" w:rsidR="00E90931" w:rsidRPr="00AE4E8D" w:rsidRDefault="00E90931" w:rsidP="00003798">
      <w:pPr>
        <w:pStyle w:val="BHTexto"/>
        <w:rPr>
          <w:lang w:val="es-ES"/>
        </w:rPr>
      </w:pPr>
      <w:bookmarkStart w:id="347" w:name="_Toc424148926"/>
      <w:bookmarkStart w:id="348" w:name="_Toc426455297"/>
      <w:r w:rsidRPr="00AE4E8D">
        <w:rPr>
          <w:lang w:val="es-ES"/>
        </w:rPr>
        <w:t xml:space="preserve">El </w:t>
      </w:r>
      <w:r w:rsidR="00D24E24" w:rsidRPr="00AE4E8D">
        <w:rPr>
          <w:lang w:val="es-ES"/>
        </w:rPr>
        <w:t>n</w:t>
      </w:r>
      <w:r w:rsidRPr="00AE4E8D">
        <w:rPr>
          <w:lang w:val="es-ES"/>
        </w:rPr>
        <w:t xml:space="preserve">egocio de Banca Empresas en su conjunto se enfoca en fortalecer y expandir nuestras relaciones con grandes Empresas, PyMEs, sociedades relacionadas con el </w:t>
      </w:r>
      <w:r w:rsidRPr="00AE4E8D">
        <w:rPr>
          <w:i/>
          <w:lang w:val="es-ES"/>
        </w:rPr>
        <w:t>real estate</w:t>
      </w:r>
      <w:r w:rsidRPr="00AE4E8D">
        <w:rPr>
          <w:lang w:val="es-ES"/>
        </w:rPr>
        <w:t xml:space="preserve"> y entidades financieras que sean locales. Asimismo, generamos negocios con organizaciones del sector público.</w:t>
      </w:r>
    </w:p>
    <w:p w14:paraId="44E3520B" w14:textId="77777777" w:rsidR="00E90931" w:rsidRPr="00AE4E8D" w:rsidRDefault="00E90931" w:rsidP="00003798">
      <w:pPr>
        <w:pStyle w:val="BHTexto"/>
        <w:rPr>
          <w:lang w:val="es-ES"/>
        </w:rPr>
      </w:pPr>
      <w:r w:rsidRPr="00AE4E8D">
        <w:rPr>
          <w:lang w:val="es-ES"/>
        </w:rPr>
        <w:t xml:space="preserve">Nuestros objetivos de </w:t>
      </w:r>
      <w:r w:rsidR="00D24E24" w:rsidRPr="00AE4E8D">
        <w:rPr>
          <w:lang w:val="es-ES"/>
        </w:rPr>
        <w:t>B</w:t>
      </w:r>
      <w:r w:rsidRPr="00AE4E8D">
        <w:rPr>
          <w:lang w:val="es-ES"/>
        </w:rPr>
        <w:t xml:space="preserve">anca Empresas son acordados anualmente, incluyendo: (i) el volumen de transacciones a ser concedidas en diferentes segmentos de negocios, teniendo en cuenta la diversificación de la cartera respecto del sector de la economía; (ii) calificaciones de riesgo crediticio; (iii) plazo de las transacciones en cuestión, y (iv) garantías; entre otros factores que son cuidadosamente tenidos en cuenta para alcanzar y mantener una cartera equilibrada. Como parte de nuestra estrategia global de </w:t>
      </w:r>
      <w:r w:rsidR="00D24E24" w:rsidRPr="00AE4E8D">
        <w:rPr>
          <w:lang w:val="es-ES"/>
        </w:rPr>
        <w:t>B</w:t>
      </w:r>
      <w:r w:rsidRPr="00AE4E8D">
        <w:rPr>
          <w:lang w:val="es-ES"/>
        </w:rPr>
        <w:t>anca Empresas, nuestro riesgo de crédito admitido es fijado, y los diferentes límites son acordados y monitoreados usando indicadores, tales como porcentajes de riesgo máximo en todos los sectores de la economía, probabilidades incumplimiento, y préstamos incumplidos, así como también la concentración de la cartera.</w:t>
      </w:r>
    </w:p>
    <w:p w14:paraId="5FCF4AA8" w14:textId="77777777" w:rsidR="00E90931" w:rsidRPr="00AE4E8D" w:rsidRDefault="00E90931" w:rsidP="00003798">
      <w:pPr>
        <w:pStyle w:val="BHTexto"/>
        <w:rPr>
          <w:lang w:val="es-ES"/>
        </w:rPr>
      </w:pPr>
      <w:r w:rsidRPr="00AE4E8D">
        <w:rPr>
          <w:lang w:val="es-ES"/>
        </w:rPr>
        <w:t xml:space="preserve">La originación de crédito corporativo está gobernada por políticas de crédito y un análisis de cada transacción es llevado cabo por un equipo de especialistas en esta materia. El departamento de Riesgo de Crédito está dividido en diferentes unidades basado en el sector de la economía de la transacción en cuestión. Una calificación de riesgo de crédito interna es asignada a cada compañía. </w:t>
      </w:r>
    </w:p>
    <w:p w14:paraId="2E7006FE" w14:textId="77777777" w:rsidR="00E90931" w:rsidRPr="00AE4E8D" w:rsidRDefault="00E90931" w:rsidP="00003798">
      <w:pPr>
        <w:pStyle w:val="BHTexto"/>
        <w:rPr>
          <w:lang w:val="es-ES"/>
        </w:rPr>
      </w:pPr>
      <w:r w:rsidRPr="00AE4E8D">
        <w:rPr>
          <w:lang w:val="es-ES"/>
        </w:rPr>
        <w:t>Por su parte, los clientes que entran en mora en sus pagos son manejados por un sector especial de recupero con independencia de los departamentos comercial y de riesgo crediticio.</w:t>
      </w:r>
    </w:p>
    <w:p w14:paraId="1AC910B2" w14:textId="77777777" w:rsidR="00E90931" w:rsidRPr="00AE4E8D" w:rsidRDefault="00E90931" w:rsidP="00003798">
      <w:pPr>
        <w:pStyle w:val="BHTexto"/>
        <w:rPr>
          <w:lang w:val="es-ES"/>
        </w:rPr>
      </w:pPr>
      <w:r w:rsidRPr="00AE4E8D">
        <w:rPr>
          <w:lang w:val="es-ES"/>
        </w:rPr>
        <w:t xml:space="preserve">Todas las transacciones están sujetas a la aprobación del Comité de Crédito y este podría requerir la aprobación del Comité Ejecutivo o Directorio dependiendo del monto final de las transacciones involucradas, en el caso que se trate de financiaciones significativas. </w:t>
      </w:r>
    </w:p>
    <w:p w14:paraId="2E924F03" w14:textId="77777777" w:rsidR="00E90931" w:rsidRPr="00AE4E8D" w:rsidRDefault="00E90931" w:rsidP="00003798">
      <w:pPr>
        <w:pStyle w:val="BHTexto"/>
        <w:rPr>
          <w:lang w:val="es-ES"/>
        </w:rPr>
      </w:pPr>
      <w:r w:rsidRPr="00AE4E8D">
        <w:rPr>
          <w:lang w:val="es-ES"/>
        </w:rPr>
        <w:t xml:space="preserve">Otras metodologías han sido desarrolladas para el monitoreo del riesgo crediticio, incluyendo pruebas de estrés, ya sean pruebas globales como </w:t>
      </w:r>
      <w:r w:rsidRPr="00AE4E8D">
        <w:rPr>
          <w:i/>
          <w:lang w:val="es-ES"/>
        </w:rPr>
        <w:t xml:space="preserve">ad-hoc, </w:t>
      </w:r>
      <w:r w:rsidRPr="00AE4E8D">
        <w:rPr>
          <w:lang w:val="es-ES"/>
        </w:rPr>
        <w:t>las cuales nos permiten evaluar que impacto tiene en la cartera un potencial desvío en las variables bajo estudio</w:t>
      </w:r>
      <w:r w:rsidRPr="00AE4E8D">
        <w:rPr>
          <w:i/>
          <w:lang w:val="es-ES"/>
        </w:rPr>
        <w:t xml:space="preserve">. </w:t>
      </w:r>
      <w:r w:rsidRPr="00AE4E8D">
        <w:rPr>
          <w:lang w:val="es-ES"/>
        </w:rPr>
        <w:t>La asignación de capital también es usada como una metodología que estima una medición del riesgo asumido que sea consistente con la medición de otros tipos de riesgo, con la tasa historia de volatilidad del incumplimiento, y con las pérdidas en función del incumplimiento tanto en situaciones normales como de estrés. Estos dos instrumentos son útiles para establecer los niveles de riesgos admitidos mencionados previamente.</w:t>
      </w:r>
      <w:bookmarkEnd w:id="347"/>
      <w:bookmarkEnd w:id="348"/>
    </w:p>
    <w:p w14:paraId="3DEDF178" w14:textId="77777777" w:rsidR="00E90931" w:rsidRPr="00AE4E8D" w:rsidRDefault="00E90931" w:rsidP="00E71CBF">
      <w:pPr>
        <w:pStyle w:val="BH3Izquierda"/>
        <w:rPr>
          <w:lang w:val="es-ES"/>
        </w:rPr>
      </w:pPr>
      <w:bookmarkStart w:id="349" w:name="_Toc424148931"/>
      <w:bookmarkStart w:id="350" w:name="_Toc426455302"/>
      <w:r w:rsidRPr="00AE4E8D">
        <w:rPr>
          <w:lang w:val="es-ES"/>
        </w:rPr>
        <w:lastRenderedPageBreak/>
        <w:t xml:space="preserve">Riesgo de Crédito; Banca </w:t>
      </w:r>
      <w:bookmarkEnd w:id="349"/>
      <w:r w:rsidRPr="00AE4E8D">
        <w:rPr>
          <w:lang w:val="es-ES"/>
        </w:rPr>
        <w:t>Minorista</w:t>
      </w:r>
      <w:bookmarkEnd w:id="350"/>
    </w:p>
    <w:p w14:paraId="6C555817" w14:textId="77777777" w:rsidR="004D2E2C" w:rsidRPr="00AE4E8D" w:rsidRDefault="004D2E2C" w:rsidP="00003798">
      <w:pPr>
        <w:pStyle w:val="BHTexto"/>
        <w:rPr>
          <w:lang w:val="es-ES"/>
        </w:rPr>
      </w:pPr>
      <w:bookmarkStart w:id="351" w:name="_Toc424148932"/>
      <w:bookmarkStart w:id="352" w:name="_Toc426455303"/>
      <w:r w:rsidRPr="00AE4E8D">
        <w:rPr>
          <w:lang w:val="es-ES"/>
        </w:rPr>
        <w:t xml:space="preserve">La gestión de riesgo de crédito de banca minorista se realiza sobre la base del proceso de planificación que anualmente realiza el Banco. Como resultado del mismo se acuerdan los objetivos comerciales, esto es, el volumen de créditos a otorgar durante el año mediante cada uno de los productos activos de dicha banca (préstamos hipotecarios, personales y tarjetas de crédito). Como parte de este proceso se estima la calidad crediticia que tendrán los nuevos créditos, considerando los canales de venta por los cuales se otorgarán y el mercado objetivo al que se apuntará, y se proyecta la morosidad y la incobrabilidad esperadas. En correspondencia con los objetivos comerciales y considerando las proyecciones referidas se </w:t>
      </w:r>
      <w:proofErr w:type="gramStart"/>
      <w:r w:rsidRPr="00AE4E8D">
        <w:rPr>
          <w:lang w:val="es-ES"/>
        </w:rPr>
        <w:t>establece</w:t>
      </w:r>
      <w:proofErr w:type="gramEnd"/>
      <w:r w:rsidRPr="00AE4E8D">
        <w:rPr>
          <w:lang w:val="es-ES"/>
        </w:rPr>
        <w:t xml:space="preserve"> el apetito de riesgo de crédito, esto es, límites o niveles de tolerancia sobre indicadores tales como el porcentaje de cartera irregular o la tasa de pérdida anual (desactivación contable). De todo este proceso de planificación, que normalmente incluye una jornada de definición en la que participa la alta gerencia y otra de presentación a los directores del Banco, resulta el plan de negocios y la estrategia de riesgo, documentos en los que se plasman los objetivos y límites mencionados para su aprobación por parte de directorio.</w:t>
      </w:r>
    </w:p>
    <w:p w14:paraId="21215FD8" w14:textId="77777777" w:rsidR="004D2E2C" w:rsidRPr="00AE4E8D" w:rsidRDefault="004D2E2C" w:rsidP="00003798">
      <w:pPr>
        <w:pStyle w:val="BHTexto"/>
        <w:rPr>
          <w:lang w:val="es-ES"/>
        </w:rPr>
      </w:pPr>
      <w:r w:rsidRPr="00AE4E8D">
        <w:rPr>
          <w:lang w:val="es-ES"/>
        </w:rPr>
        <w:t xml:space="preserve">En este marco, el otorgamiento de nuevos créditos se regula a través de las políticas de crédito y los modelos de score. Las políticas, que establecen los requisitos de acceso al crédito y los criterios de asignación de líneas, son definidas por la gerencia de área de riesgo de crédito de banca minorista y aprobadas por el comité de gestión de riesgos y el directorio de manera anual. Los modelos, desarrollados por el Banco o de mercado (desarrollados por Veraz, Nosis y Visa), se encuentran sujetos a un proceso de validación, definido en la política de validación aprobada por directorio. En la misma se definen las responsabilidades y los criterios a aplicar en la validación de los modelos, orientada a mantener un estándar en la capacidad predictiva de los mismos. </w:t>
      </w:r>
    </w:p>
    <w:p w14:paraId="1866B41E" w14:textId="77777777" w:rsidR="004D2E2C" w:rsidRPr="00AE4E8D" w:rsidRDefault="004D2E2C" w:rsidP="00003798">
      <w:pPr>
        <w:pStyle w:val="BHTexto"/>
        <w:rPr>
          <w:lang w:val="es-ES"/>
        </w:rPr>
      </w:pPr>
      <w:r w:rsidRPr="00AE4E8D">
        <w:rPr>
          <w:lang w:val="es-ES"/>
        </w:rPr>
        <w:t>El otorgamiento de créditos es realizado mediante un motor de decisión en el que se incorporan tanto los parámetros de los modelos de score como la mayor parte de las reglas fijadas en las políticas de crédito. Esto asegura en general una correcta aplicación de las políticas definidas y a la vez deja lugar a que las solicitudes sean evaluadas adicionalmente de acuerdo al criterio de los analistas, sea para rechazarlas o para aprobarlas por excepción. Las excepciones tienen un cupo que es fijado por la política de crédito.</w:t>
      </w:r>
    </w:p>
    <w:p w14:paraId="3718A3CA" w14:textId="77777777" w:rsidR="004D2E2C" w:rsidRPr="00AE4E8D" w:rsidRDefault="004D2E2C" w:rsidP="00003798">
      <w:pPr>
        <w:pStyle w:val="BHTexto"/>
        <w:rPr>
          <w:lang w:val="es-ES"/>
        </w:rPr>
      </w:pPr>
      <w:r w:rsidRPr="00AE4E8D">
        <w:rPr>
          <w:lang w:val="es-ES"/>
        </w:rPr>
        <w:t xml:space="preserve">Continuamente se elaboran y reportan indicadores que permiten monitorear la performance de las distintas carteras de crédito y en particular la calidad de los nuevos créditos. Los principales indicadores en este sentido forman parte del tablero de control de riesgos que es elaborado mensualmente por el área de control de gestión y presentado al comité de gestión de riesgos y al directorio como mínimo de manera trimestral. Asimismo se elabora un reporte de principales indicadores de riesgo, que es presentado a miembros de la alta gerencia de manera mensual, en el que se monitorea la evolución de la morosidad y la incobrabilidad con distintas aperturas orientadas a detectar tempranamente desvíos respecto de lo previsto. Adicionalmente se elabora una serie de reportes más específicos que permiten a la gerencia de área monitorear tanto los volúmenes de otorgamiento como la composición y la calidad en términos de canales, negocios, segmentos y otras variables relevantes. </w:t>
      </w:r>
    </w:p>
    <w:p w14:paraId="47503B66" w14:textId="77777777" w:rsidR="004D2E2C" w:rsidRPr="00AE4E8D" w:rsidRDefault="004D2E2C" w:rsidP="00003798">
      <w:pPr>
        <w:pStyle w:val="BHTexto"/>
        <w:rPr>
          <w:lang w:val="es-ES"/>
        </w:rPr>
      </w:pPr>
      <w:r w:rsidRPr="00AE4E8D">
        <w:rPr>
          <w:lang w:val="es-ES"/>
        </w:rPr>
        <w:t>Tanto el mantenimiento de la cartera, que refiere a la cartera de tarjetas de crédito fundamentalmente, como la gestión de mora se encuentran regulados también a través de las políticas de crédito y los modelos de score referidos anteriormente. En relación con el mantenimiento de la cartera de tarjetas, la política regula fundamentalmente el manejo de las líneas de crédito y el acceso a los atributos del producto –por ejemplo, a los adelantos en efectivo. En relación con la gestión de mora las políticas regulan el inicio de las distintas etapas de gestión –mora temprana, avanzada y judicial– y los medios de gestión, esto es, los instrumentos de regularización (restructuraciones, quitas, etc.) y las acciones de control de riesgo o recupero (inhibición, inhabilitación, cierre operativo, etc.) habilitadas para cada etapa. Ambos procesos son monitoreados por la gerencia de área mediante reportes elaborados por las distintas gerencias.</w:t>
      </w:r>
    </w:p>
    <w:p w14:paraId="6C0388AD" w14:textId="77777777" w:rsidR="004D2E2C" w:rsidRPr="00AE4E8D" w:rsidRDefault="004D2E2C" w:rsidP="00003798">
      <w:pPr>
        <w:pStyle w:val="BHTexto"/>
        <w:rPr>
          <w:lang w:val="es-ES"/>
        </w:rPr>
      </w:pPr>
      <w:r w:rsidRPr="00AE4E8D">
        <w:rPr>
          <w:lang w:val="es-ES"/>
        </w:rPr>
        <w:t>Para la gestión del riesgo de crédito en sí, esto es, de las pérdidas inesperadas, se han desarrollado metodologías para la realización periódica de pruebas de estrés, tanto integrales como individuales, y el cálculo de capital económico. El cálculo de capital bajo un enfoque económico, que se realiza de manera trimestral, permite contar con una medida del riesgo asumido, homogénea con la de los otros tipos de riesgo y que considera la volatilidad histórica de la tasa de default, la exposición que normalmente tienen los créditos al momento del default y las pérdidas dado el default en situaciones normales y de estrés</w:t>
      </w:r>
      <w:proofErr w:type="gramStart"/>
      <w:r w:rsidRPr="00AE4E8D">
        <w:rPr>
          <w:lang w:val="es-ES"/>
        </w:rPr>
        <w:t>..</w:t>
      </w:r>
      <w:proofErr w:type="gramEnd"/>
      <w:r w:rsidRPr="00AE4E8D">
        <w:rPr>
          <w:lang w:val="es-ES"/>
        </w:rPr>
        <w:t xml:space="preserve"> Las pruebas de estrés, por su parte, permiten estimar mediante la aplicación de modelos predictivos el impacto en los resultados de un deterioro significativo del nivel de actividad y el empleo. Ambos instrumentos sirven como criterio para establecer los niveles de apetito de riesgo, mencionados anteriormente, y establecer planes de contingencia ante eventuales situaciones de estrés.</w:t>
      </w:r>
    </w:p>
    <w:p w14:paraId="5E9F3FC5" w14:textId="77777777" w:rsidR="00E90931" w:rsidRPr="00AE4E8D" w:rsidRDefault="00E90931" w:rsidP="00E71CBF">
      <w:pPr>
        <w:pStyle w:val="BH3Izquierda"/>
        <w:rPr>
          <w:lang w:val="es-ES"/>
        </w:rPr>
      </w:pPr>
      <w:bookmarkStart w:id="353" w:name="_Toc424148940"/>
      <w:bookmarkEnd w:id="351"/>
      <w:bookmarkEnd w:id="352"/>
      <w:r w:rsidRPr="00AE4E8D">
        <w:rPr>
          <w:lang w:val="es-ES"/>
        </w:rPr>
        <w:lastRenderedPageBreak/>
        <w:t>Gestión de Incumplimientos</w:t>
      </w:r>
      <w:bookmarkEnd w:id="346"/>
      <w:bookmarkEnd w:id="353"/>
    </w:p>
    <w:p w14:paraId="1E5E4A33" w14:textId="77777777" w:rsidR="00E90931" w:rsidRPr="00AE4E8D" w:rsidRDefault="00E90931" w:rsidP="00003798">
      <w:pPr>
        <w:pStyle w:val="BHTexto"/>
        <w:rPr>
          <w:b/>
          <w:lang w:val="es-ES"/>
        </w:rPr>
      </w:pPr>
      <w:r w:rsidRPr="00AE4E8D">
        <w:rPr>
          <w:lang w:val="es-ES"/>
        </w:rPr>
        <w:t xml:space="preserve">Hemos implementado un sistema más profesional de gestión de incumplimientos que se organiza básicamente en los siguientes tres períodos de tiempo: </w:t>
      </w:r>
    </w:p>
    <w:p w14:paraId="22515401" w14:textId="77777777" w:rsidR="00E90931" w:rsidRPr="00AE4E8D" w:rsidRDefault="00E90931" w:rsidP="000668B5">
      <w:pPr>
        <w:pStyle w:val="BHTexto"/>
        <w:numPr>
          <w:ilvl w:val="0"/>
          <w:numId w:val="94"/>
        </w:numPr>
        <w:rPr>
          <w:lang w:val="es-ES"/>
        </w:rPr>
      </w:pPr>
      <w:r w:rsidRPr="00AE4E8D">
        <w:rPr>
          <w:lang w:val="es-ES"/>
        </w:rPr>
        <w:t>Gestión de mora temprana;</w:t>
      </w:r>
    </w:p>
    <w:p w14:paraId="25107D29" w14:textId="77777777" w:rsidR="00E90931" w:rsidRPr="00AE4E8D" w:rsidRDefault="00E90931" w:rsidP="000668B5">
      <w:pPr>
        <w:pStyle w:val="BHTexto"/>
        <w:numPr>
          <w:ilvl w:val="0"/>
          <w:numId w:val="94"/>
        </w:numPr>
        <w:rPr>
          <w:lang w:val="es-ES"/>
        </w:rPr>
      </w:pPr>
      <w:r w:rsidRPr="00AE4E8D">
        <w:rPr>
          <w:lang w:val="es-ES"/>
        </w:rPr>
        <w:t>Gestión de incumplimiento avanzado; y</w:t>
      </w:r>
    </w:p>
    <w:p w14:paraId="049E5CB9" w14:textId="77777777" w:rsidR="00E90931" w:rsidRPr="00AE4E8D" w:rsidRDefault="00E90931" w:rsidP="000668B5">
      <w:pPr>
        <w:pStyle w:val="BHTexto"/>
        <w:numPr>
          <w:ilvl w:val="0"/>
          <w:numId w:val="94"/>
        </w:numPr>
        <w:rPr>
          <w:lang w:val="es-ES"/>
        </w:rPr>
      </w:pPr>
      <w:r w:rsidRPr="00AE4E8D">
        <w:rPr>
          <w:lang w:val="es-ES"/>
        </w:rPr>
        <w:t>Gestión de incumplimiento legal/judicial.</w:t>
      </w:r>
    </w:p>
    <w:p w14:paraId="4A57DBFB" w14:textId="77777777" w:rsidR="00E90931" w:rsidRPr="00AE4E8D" w:rsidRDefault="00E90931" w:rsidP="00003798">
      <w:pPr>
        <w:pStyle w:val="BHTexto"/>
        <w:rPr>
          <w:lang w:val="es-ES"/>
        </w:rPr>
      </w:pPr>
      <w:r w:rsidRPr="00AE4E8D">
        <w:rPr>
          <w:lang w:val="es-ES"/>
        </w:rPr>
        <w:t>La actual concentración y éxito de nuestra gestión de incumplimiento pone énfasis en las negociaciones comerciales llevadas a cabo por telecobradores capacitados y funcionarios de negociación especializados. Los procedimientos legales se inician únicamente después de que, como consecuencia de varios tipos de negociaciones comerciales, se concluya que los préstamos son incobrables o difíciles de normalizar.</w:t>
      </w:r>
    </w:p>
    <w:p w14:paraId="279EFD8F" w14:textId="77777777" w:rsidR="00E90931" w:rsidRPr="00AE4E8D" w:rsidRDefault="00E90931" w:rsidP="00E71CBF">
      <w:pPr>
        <w:pStyle w:val="BH3Izquierda"/>
        <w:rPr>
          <w:lang w:val="es-ES"/>
        </w:rPr>
      </w:pPr>
      <w:bookmarkStart w:id="354" w:name="_Toc421201376"/>
      <w:bookmarkStart w:id="355" w:name="_Toc424148941"/>
      <w:r w:rsidRPr="00AE4E8D">
        <w:rPr>
          <w:lang w:val="es-ES"/>
        </w:rPr>
        <w:t>Gestión de Mora Temprana</w:t>
      </w:r>
      <w:bookmarkEnd w:id="354"/>
      <w:bookmarkEnd w:id="355"/>
    </w:p>
    <w:p w14:paraId="19721478" w14:textId="77777777" w:rsidR="00E90931" w:rsidRPr="00AE4E8D" w:rsidRDefault="00E90931" w:rsidP="00003798">
      <w:pPr>
        <w:pStyle w:val="BHTexto"/>
        <w:rPr>
          <w:lang w:val="es-ES"/>
        </w:rPr>
      </w:pPr>
      <w:r w:rsidRPr="00AE4E8D">
        <w:rPr>
          <w:lang w:val="es-ES"/>
        </w:rPr>
        <w:t xml:space="preserve">Esta tarea la realiza la Gerencia de Cobranzas, a través de los Call Centers contratados para tal fin. La gestión de mora temprana se realiza desde el día 1 y hasta los 90 días de mora en el caso de productos sin garantía y hasta 180 días de mora en el caso de préstamos con garantía, a través de acciones automáticas y llamados de cobradores especializados. </w:t>
      </w:r>
    </w:p>
    <w:p w14:paraId="4887F7F1" w14:textId="77777777" w:rsidR="00E90931" w:rsidRPr="00AE4E8D" w:rsidRDefault="00E90931" w:rsidP="00E71CBF">
      <w:pPr>
        <w:pStyle w:val="BH3Izquierda"/>
        <w:rPr>
          <w:lang w:val="es-ES"/>
        </w:rPr>
      </w:pPr>
      <w:bookmarkStart w:id="356" w:name="_Toc421201377"/>
      <w:bookmarkStart w:id="357" w:name="_Toc424148942"/>
      <w:r w:rsidRPr="00AE4E8D">
        <w:rPr>
          <w:lang w:val="es-ES"/>
        </w:rPr>
        <w:t>Gestión de Incumplimiento Avanzado</w:t>
      </w:r>
      <w:bookmarkEnd w:id="356"/>
      <w:bookmarkEnd w:id="357"/>
    </w:p>
    <w:p w14:paraId="233FA2CF" w14:textId="77777777" w:rsidR="00E90931" w:rsidRPr="00AE4E8D" w:rsidRDefault="00E90931" w:rsidP="00003798">
      <w:pPr>
        <w:pStyle w:val="BHTexto"/>
        <w:rPr>
          <w:lang w:val="es-ES"/>
        </w:rPr>
      </w:pPr>
      <w:r w:rsidRPr="00AE4E8D">
        <w:rPr>
          <w:lang w:val="es-ES"/>
        </w:rPr>
        <w:t>Esta unidad de incumplimiento avanzado maneja casos con más de 90 días de morosidad, exceptuándose los préstamos con garantía. La gestión se terceriza en agencias de cobranza externa.</w:t>
      </w:r>
    </w:p>
    <w:p w14:paraId="5B5592E6" w14:textId="77777777" w:rsidR="00E90931" w:rsidRPr="00AE4E8D" w:rsidRDefault="00E90931" w:rsidP="00E71CBF">
      <w:pPr>
        <w:pStyle w:val="BH3Izquierda"/>
        <w:rPr>
          <w:lang w:val="es-ES"/>
        </w:rPr>
      </w:pPr>
      <w:bookmarkStart w:id="358" w:name="_Toc421201378"/>
      <w:bookmarkStart w:id="359" w:name="_Toc424148943"/>
      <w:r w:rsidRPr="00AE4E8D">
        <w:rPr>
          <w:lang w:val="es-ES"/>
        </w:rPr>
        <w:t>Gestión de Incumplimiento Legal/Judicial</w:t>
      </w:r>
      <w:bookmarkEnd w:id="358"/>
      <w:bookmarkEnd w:id="359"/>
    </w:p>
    <w:p w14:paraId="7CF16821" w14:textId="77777777" w:rsidR="00E90931" w:rsidRPr="00AE4E8D" w:rsidRDefault="00E90931" w:rsidP="00003798">
      <w:pPr>
        <w:pStyle w:val="BHTexto"/>
        <w:rPr>
          <w:lang w:val="es-ES"/>
        </w:rPr>
      </w:pPr>
      <w:r w:rsidRPr="00AE4E8D">
        <w:rPr>
          <w:lang w:val="es-ES"/>
        </w:rPr>
        <w:t>La unidad legal/judicial está a cargo de casos en los que los préstamos han sido declarados de imposible cobro una vez finalizadas las gestiones de mora avanzada (en el caso de los préstamos sin garantía) o una vez transcurridos 180 días (en el caso de préstamos con garantía) de negociaciones y esfuerzos para reestablecer el cumplimiento debido a la falta de voluntad de pago o insolvencia del deudor o la imposibilidad de celebrar un acuerdo de reprogramación o reestructuración. La unidad legal/judicial organiza, dirige y supervisa la gestión de incumplimientos en todo el país desde nuestra sede central en la Ciudad Autónoma de Buenos Aires. Esta unidad legal/judicial incluye una red de 130 estudios jurídicos independientes que son responsables de las cobranzas judiciales y extrajudiciales. Los pagos a estos estudios jurídicos son efectuados por el prestatario en mora. Las gestiones de cobranza finalizan con la ejecución forzada de bienes y embargos hasta la satisfacción completa de la deuda.</w:t>
      </w:r>
    </w:p>
    <w:p w14:paraId="5434AD60" w14:textId="77777777" w:rsidR="00E90931" w:rsidRPr="00AE4E8D" w:rsidRDefault="00E90931" w:rsidP="0008264A">
      <w:pPr>
        <w:pStyle w:val="BH2Izquierda"/>
        <w:keepNext w:val="0"/>
        <w:widowControl w:val="0"/>
        <w:rPr>
          <w:lang w:val="es-ES"/>
        </w:rPr>
      </w:pPr>
      <w:bookmarkStart w:id="360" w:name="_Toc421201379"/>
      <w:bookmarkStart w:id="361" w:name="_Toc495973001"/>
      <w:bookmarkStart w:id="362" w:name="_Toc495399908"/>
      <w:r w:rsidRPr="00AE4E8D">
        <w:rPr>
          <w:lang w:val="es-ES"/>
        </w:rPr>
        <w:t>Cartera de Préstamos</w:t>
      </w:r>
      <w:bookmarkEnd w:id="360"/>
      <w:bookmarkEnd w:id="361"/>
      <w:bookmarkEnd w:id="362"/>
    </w:p>
    <w:p w14:paraId="03EC3197" w14:textId="77777777" w:rsidR="00705F00" w:rsidRPr="00AE4E8D" w:rsidRDefault="00705F00" w:rsidP="00705F00">
      <w:pPr>
        <w:pStyle w:val="BHTexto"/>
        <w:widowControl w:val="0"/>
        <w:rPr>
          <w:lang w:val="es-ES"/>
        </w:rPr>
      </w:pPr>
      <w:r w:rsidRPr="00AE4E8D">
        <w:rPr>
          <w:lang w:val="es-ES"/>
        </w:rPr>
        <w:t>Las normas de clasificación de deuda tienen como objeto establecer pautas claras para identificar y clasificar la calidad de los activos y evaluar el riesgo real o potencial de que un prestamista sufra pérdidas de capital y/o interés, a fin de determinar, tomando en cuenta cualquier garantía de préstamos, si las disposiciones contra dichas contingencias son adecuadas. Los bancos deben clasificar sus carteras de préstamos en dos categorías diferentes (i) préstamos de consumo o de vivienda; y (ii) préstamos comerciales. Los préstamos de consumo y vivienda incluyen préstamos personales para vivienda (compra, construcción o remodelación), préstamos de consumo, financiación de tarjetas de crédito, préstamos a micro-crédito y préstamos comerciales de hasta el 40% del importe del nivel máximo de valor de ventas totales anuales para la categoría Micro" correspondiente al sector "Comercio", de las normas sobre "Determinación de la condición de micro, pequeña o mediana empresa establecida por la SEPYME para créditos con o sin garantías, si así lo resuelve la entidad financiera. Todos los demás préstamos son considerados préstamos comerciales, incluyendo préstamos de consumo o para la vivienda superiores al monto definido en el párrafo anterior, cuya cancelación está vinculada a la evolución de la actividad productiva o comercial del prestatario.</w:t>
      </w:r>
    </w:p>
    <w:p w14:paraId="17372F0C" w14:textId="77777777" w:rsidR="00705F00" w:rsidRPr="00AE4E8D" w:rsidRDefault="00705F00" w:rsidP="00705F00">
      <w:pPr>
        <w:pStyle w:val="BHTexto"/>
        <w:widowControl w:val="0"/>
        <w:rPr>
          <w:lang w:val="es-ES"/>
        </w:rPr>
      </w:pPr>
      <w:r w:rsidRPr="00AE4E8D">
        <w:rPr>
          <w:lang w:val="es-ES"/>
        </w:rPr>
        <w:t>Asimismo, las Normas del BCRA establecen que si un consumidor tiene ambos tipos de préstamos (comerciales y de consumo o de vivienda) los préstamos de consumo o de vivienda se sumarán a la cartera comercial para determinar bajo qué cartera deben ser clasificados en base al monto indicado. En estos casos, los préstamos garantizados por garantías preferidas se considerarán al 50%.</w:t>
      </w:r>
    </w:p>
    <w:p w14:paraId="3B1493E2" w14:textId="77777777" w:rsidR="00E90931" w:rsidRPr="00AE4E8D" w:rsidRDefault="00705F00" w:rsidP="00705F00">
      <w:pPr>
        <w:pStyle w:val="BHTexto"/>
        <w:widowControl w:val="0"/>
        <w:rPr>
          <w:lang w:val="es-ES"/>
        </w:rPr>
      </w:pPr>
      <w:r w:rsidRPr="00AE4E8D">
        <w:rPr>
          <w:lang w:val="es-ES"/>
        </w:rPr>
        <w:t xml:space="preserve">Según el sistema de clasificación de préstamos actual junto con todas sus obligaciones pendientes de pago para </w:t>
      </w:r>
      <w:r w:rsidRPr="00AE4E8D">
        <w:rPr>
          <w:lang w:val="es-ES"/>
        </w:rPr>
        <w:lastRenderedPageBreak/>
        <w:t>con nosotros, se clasifica dentro de una de las seis sub-categorías descriptas a continuación. Los criterios de clasificación de préstamos aplicados a la cartera de préstamos de consumo se basan principalmente en factores objetivos relacionados con el desempeño de los clientes o su situación jurídica, mientras que el criterio principal de clasificación de la cartera de préstamos comerciales es la capacidad de pago del prestatario, que se evalúa por el flujo de fondos futuro esperado del prestatario.</w:t>
      </w:r>
    </w:p>
    <w:p w14:paraId="1F7A2B9B" w14:textId="77777777" w:rsidR="00E90931" w:rsidRPr="00AE4E8D" w:rsidRDefault="00E90931" w:rsidP="0008264A">
      <w:pPr>
        <w:pStyle w:val="BH2Izquierda"/>
        <w:rPr>
          <w:lang w:val="es-ES"/>
        </w:rPr>
      </w:pPr>
      <w:bookmarkStart w:id="363" w:name="_Toc421201380"/>
      <w:bookmarkStart w:id="364" w:name="_Toc495973002"/>
      <w:bookmarkStart w:id="365" w:name="_Toc495399909"/>
      <w:r w:rsidRPr="00AE4E8D">
        <w:rPr>
          <w:lang w:val="es-ES"/>
        </w:rPr>
        <w:t>Clasificación de Préstamos Comerciales</w:t>
      </w:r>
      <w:bookmarkEnd w:id="363"/>
      <w:bookmarkEnd w:id="364"/>
      <w:bookmarkEnd w:id="365"/>
    </w:p>
    <w:p w14:paraId="2CE79F5E" w14:textId="77777777" w:rsidR="00E90931" w:rsidRPr="00AE4E8D" w:rsidRDefault="00E90931" w:rsidP="0008264A">
      <w:pPr>
        <w:pStyle w:val="BHTexto"/>
        <w:widowControl w:val="0"/>
        <w:rPr>
          <w:lang w:val="es-ES"/>
        </w:rPr>
      </w:pPr>
      <w:r w:rsidRPr="00AE4E8D">
        <w:rPr>
          <w:lang w:val="es-ES"/>
        </w:rPr>
        <w:t xml:space="preserve">El principal criterio para evaluar un préstamo comercial es la capacidad del prestatario de cancelarlo, la cual se mide por el flujo de fondos futuro del prestatario. De acuerdo con las </w:t>
      </w:r>
      <w:r w:rsidR="00A667F7" w:rsidRPr="00AE4E8D">
        <w:rPr>
          <w:lang w:val="es-ES"/>
        </w:rPr>
        <w:t>normas del BCRA</w:t>
      </w:r>
      <w:r w:rsidRPr="00AE4E8D">
        <w:rPr>
          <w:lang w:val="es-ES"/>
        </w:rPr>
        <w:t>, los préstamos comerciales se clasifican de la siguiente manera:</w:t>
      </w:r>
    </w:p>
    <w:tbl>
      <w:tblPr>
        <w:tblW w:w="5000" w:type="pct"/>
        <w:tblLook w:val="04A0" w:firstRow="1" w:lastRow="0" w:firstColumn="1" w:lastColumn="0" w:noHBand="0" w:noVBand="1"/>
      </w:tblPr>
      <w:tblGrid>
        <w:gridCol w:w="2372"/>
        <w:gridCol w:w="6865"/>
      </w:tblGrid>
      <w:tr w:rsidR="00E90931" w:rsidRPr="00AE4E8D" w14:paraId="4448B5D0" w14:textId="77777777" w:rsidTr="000400C8">
        <w:trPr>
          <w:trHeight w:val="336"/>
          <w:tblHeader/>
        </w:trPr>
        <w:tc>
          <w:tcPr>
            <w:tcW w:w="1284" w:type="pct"/>
            <w:tcBorders>
              <w:top w:val="single" w:sz="4" w:space="0" w:color="auto"/>
              <w:left w:val="nil"/>
              <w:bottom w:val="single" w:sz="4" w:space="0" w:color="auto"/>
              <w:right w:val="nil"/>
            </w:tcBorders>
            <w:vAlign w:val="center"/>
            <w:hideMark/>
          </w:tcPr>
          <w:p w14:paraId="4CD9AC9E" w14:textId="77777777" w:rsidR="00E90931" w:rsidRPr="00AE4E8D" w:rsidRDefault="00E90931" w:rsidP="0008264A">
            <w:pPr>
              <w:widowControl w:val="0"/>
              <w:autoSpaceDE w:val="0"/>
              <w:autoSpaceDN w:val="0"/>
              <w:adjustRightInd w:val="0"/>
              <w:jc w:val="center"/>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Clasificación</w:t>
            </w:r>
          </w:p>
        </w:tc>
        <w:tc>
          <w:tcPr>
            <w:tcW w:w="3716" w:type="pct"/>
            <w:tcBorders>
              <w:top w:val="single" w:sz="4" w:space="0" w:color="auto"/>
              <w:left w:val="nil"/>
              <w:bottom w:val="single" w:sz="4" w:space="0" w:color="auto"/>
              <w:right w:val="nil"/>
            </w:tcBorders>
            <w:vAlign w:val="center"/>
            <w:hideMark/>
          </w:tcPr>
          <w:p w14:paraId="55C01093" w14:textId="77777777" w:rsidR="00E90931" w:rsidRPr="00AE4E8D" w:rsidRDefault="00E90931" w:rsidP="0008264A">
            <w:pPr>
              <w:widowControl w:val="0"/>
              <w:autoSpaceDE w:val="0"/>
              <w:autoSpaceDN w:val="0"/>
              <w:adjustRightInd w:val="0"/>
              <w:jc w:val="center"/>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Criterios</w:t>
            </w:r>
          </w:p>
        </w:tc>
      </w:tr>
      <w:tr w:rsidR="00E90931" w:rsidRPr="00AE4E8D" w14:paraId="3D5A3E2E" w14:textId="77777777" w:rsidTr="000400C8">
        <w:trPr>
          <w:tblHeader/>
        </w:trPr>
        <w:tc>
          <w:tcPr>
            <w:tcW w:w="1284" w:type="pct"/>
            <w:tcBorders>
              <w:top w:val="single" w:sz="4" w:space="0" w:color="auto"/>
              <w:left w:val="nil"/>
              <w:bottom w:val="nil"/>
              <w:right w:val="nil"/>
            </w:tcBorders>
          </w:tcPr>
          <w:p w14:paraId="3473C14F" w14:textId="77777777" w:rsidR="00E90931" w:rsidRPr="00AE4E8D" w:rsidRDefault="00E90931" w:rsidP="0008264A">
            <w:pPr>
              <w:widowControl w:val="0"/>
              <w:autoSpaceDE w:val="0"/>
              <w:autoSpaceDN w:val="0"/>
              <w:adjustRightInd w:val="0"/>
              <w:jc w:val="both"/>
              <w:rPr>
                <w:rFonts w:ascii="Times New Roman" w:eastAsia="SimSun" w:hAnsi="Times New Roman"/>
                <w:b/>
                <w:sz w:val="16"/>
                <w:szCs w:val="16"/>
                <w:lang w:val="es-ES" w:eastAsia="es-AR"/>
              </w:rPr>
            </w:pPr>
          </w:p>
        </w:tc>
        <w:tc>
          <w:tcPr>
            <w:tcW w:w="3716" w:type="pct"/>
            <w:tcBorders>
              <w:top w:val="single" w:sz="4" w:space="0" w:color="auto"/>
              <w:left w:val="nil"/>
              <w:bottom w:val="nil"/>
              <w:right w:val="nil"/>
            </w:tcBorders>
          </w:tcPr>
          <w:p w14:paraId="57CBB7E2"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p>
        </w:tc>
      </w:tr>
      <w:tr w:rsidR="00E90931" w:rsidRPr="00AE4E8D" w14:paraId="52550DF3" w14:textId="77777777" w:rsidTr="000400C8">
        <w:tc>
          <w:tcPr>
            <w:tcW w:w="1284" w:type="pct"/>
            <w:hideMark/>
          </w:tcPr>
          <w:p w14:paraId="4A1045D3" w14:textId="77777777" w:rsidR="00E90931" w:rsidRPr="00AE4E8D" w:rsidRDefault="00E90931" w:rsidP="0008264A">
            <w:pPr>
              <w:widowControl w:val="0"/>
              <w:tabs>
                <w:tab w:val="left" w:leader="dot" w:pos="2156"/>
              </w:tabs>
              <w:autoSpaceDE w:val="0"/>
              <w:autoSpaceDN w:val="0"/>
              <w:adjustRightInd w:val="0"/>
              <w:jc w:val="both"/>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Normal</w:t>
            </w:r>
            <w:r w:rsidRPr="00AE4E8D">
              <w:rPr>
                <w:rFonts w:ascii="Times New Roman" w:hAnsi="Times New Roman"/>
                <w:sz w:val="18"/>
                <w:szCs w:val="18"/>
                <w:lang w:val="es-ES" w:eastAsia="es-AR"/>
              </w:rPr>
              <w:tab/>
            </w:r>
          </w:p>
        </w:tc>
        <w:tc>
          <w:tcPr>
            <w:tcW w:w="3716" w:type="pct"/>
          </w:tcPr>
          <w:p w14:paraId="6D5384B2"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r w:rsidRPr="00AE4E8D">
              <w:rPr>
                <w:rFonts w:ascii="Times New Roman" w:eastAsia="SimSun" w:hAnsi="Times New Roman"/>
                <w:sz w:val="16"/>
                <w:szCs w:val="16"/>
                <w:lang w:val="es-ES" w:eastAsia="es-AR"/>
              </w:rPr>
              <w:t>Prestatarios para los que no existen dudas respecto de su capacidad para cumplir con sus obligaciones de pago (alta capacidad de pago).</w:t>
            </w:r>
          </w:p>
          <w:p w14:paraId="381680B9"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p>
        </w:tc>
      </w:tr>
      <w:tr w:rsidR="00E90931" w:rsidRPr="00AE4E8D" w14:paraId="57397A67" w14:textId="77777777" w:rsidTr="000400C8">
        <w:tc>
          <w:tcPr>
            <w:tcW w:w="1284" w:type="pct"/>
            <w:hideMark/>
          </w:tcPr>
          <w:p w14:paraId="24050DD4" w14:textId="77777777" w:rsidR="00E90931" w:rsidRPr="00AE4E8D" w:rsidRDefault="00E90931" w:rsidP="0008264A">
            <w:pPr>
              <w:widowControl w:val="0"/>
              <w:tabs>
                <w:tab w:val="left" w:leader="dot" w:pos="2156"/>
              </w:tabs>
              <w:autoSpaceDE w:val="0"/>
              <w:autoSpaceDN w:val="0"/>
              <w:adjustRightInd w:val="0"/>
              <w:jc w:val="both"/>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Bajo seguimiento especial /En observación</w:t>
            </w:r>
            <w:r w:rsidRPr="00AE4E8D">
              <w:rPr>
                <w:rFonts w:ascii="Times New Roman" w:hAnsi="Times New Roman"/>
                <w:sz w:val="18"/>
                <w:szCs w:val="18"/>
                <w:lang w:val="es-ES" w:eastAsia="es-AR"/>
              </w:rPr>
              <w:tab/>
            </w:r>
          </w:p>
        </w:tc>
        <w:tc>
          <w:tcPr>
            <w:tcW w:w="3716" w:type="pct"/>
          </w:tcPr>
          <w:p w14:paraId="70F03CBA"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r w:rsidRPr="00AE4E8D">
              <w:rPr>
                <w:rFonts w:ascii="Times New Roman" w:eastAsia="SimSun" w:hAnsi="Times New Roman"/>
                <w:sz w:val="16"/>
                <w:szCs w:val="16"/>
                <w:lang w:val="es-ES" w:eastAsia="es-AR"/>
              </w:rPr>
              <w:t>Prestatarios cuya mora no supera los 90 días, entre otros criterios, aunque son considerados capaces de hacer frente a todas sus obligaciones financieras, son sensibles a los cambios que puedan comprometer su capacidad para honrar deudas en ausencia de medidas correctivas oportunas.</w:t>
            </w:r>
          </w:p>
          <w:p w14:paraId="4B56AD0C"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p>
        </w:tc>
      </w:tr>
      <w:tr w:rsidR="00E90931" w:rsidRPr="00AE4E8D" w14:paraId="25197136" w14:textId="77777777" w:rsidTr="000400C8">
        <w:tc>
          <w:tcPr>
            <w:tcW w:w="1284" w:type="pct"/>
            <w:hideMark/>
          </w:tcPr>
          <w:p w14:paraId="5319A17A" w14:textId="77777777" w:rsidR="00E90931" w:rsidRPr="00AE4E8D" w:rsidRDefault="00E90931" w:rsidP="0008264A">
            <w:pPr>
              <w:widowControl w:val="0"/>
              <w:tabs>
                <w:tab w:val="left" w:leader="dot" w:pos="2156"/>
              </w:tabs>
              <w:autoSpaceDE w:val="0"/>
              <w:autoSpaceDN w:val="0"/>
              <w:adjustRightInd w:val="0"/>
              <w:jc w:val="both"/>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 xml:space="preserve">Bajo seguimiento especial </w:t>
            </w:r>
          </w:p>
          <w:p w14:paraId="195499EB" w14:textId="77777777" w:rsidR="00E90931" w:rsidRPr="00AE4E8D" w:rsidRDefault="00E90931" w:rsidP="0008264A">
            <w:pPr>
              <w:widowControl w:val="0"/>
              <w:tabs>
                <w:tab w:val="left" w:leader="dot" w:pos="2156"/>
              </w:tabs>
              <w:autoSpaceDE w:val="0"/>
              <w:autoSpaceDN w:val="0"/>
              <w:adjustRightInd w:val="0"/>
              <w:jc w:val="both"/>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 xml:space="preserve">En negociación o con acuerdos de refinanciación </w:t>
            </w:r>
            <w:r w:rsidRPr="00AE4E8D">
              <w:rPr>
                <w:rFonts w:ascii="Times New Roman" w:hAnsi="Times New Roman"/>
                <w:sz w:val="18"/>
                <w:szCs w:val="18"/>
                <w:lang w:val="es-ES" w:eastAsia="es-AR"/>
              </w:rPr>
              <w:tab/>
            </w:r>
          </w:p>
        </w:tc>
        <w:tc>
          <w:tcPr>
            <w:tcW w:w="3716" w:type="pct"/>
          </w:tcPr>
          <w:p w14:paraId="5DA1829E"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r w:rsidRPr="00AE4E8D">
              <w:rPr>
                <w:rFonts w:ascii="Times New Roman" w:eastAsia="SimSun" w:hAnsi="Times New Roman"/>
                <w:sz w:val="16"/>
                <w:szCs w:val="16"/>
                <w:lang w:val="es-ES" w:eastAsia="es-AR"/>
              </w:rPr>
              <w:t>Prestatarios que no están en condiciones de cumplir con sus obligaciones convenidas con el banco y, por lo tanto, indican formalmente, dentro de los 60 días calendario después de la fecha de vencimiento, su intención de refinanciar tales deudas. El prestatario deberá celebrar un convenio de refinanciamiento con el banco dentro de los 90 días calendario (si se encuentran involucrados hasta dos prestamistas) o más de 180 días calendario (si se encuentran involucrados más de dos prestamistas) después de la fecha de incumplimiento en el pago. Si no se hubiera alcanzado ningún acuerdo dentro del plazo establecido, el prestatario deberá ser reclasificado en la categoría inferior que corresponda, según los indicadores establecidos para cada nivel.</w:t>
            </w:r>
          </w:p>
          <w:p w14:paraId="181CD4B9"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p>
        </w:tc>
      </w:tr>
      <w:tr w:rsidR="00E90931" w:rsidRPr="00AE4E8D" w14:paraId="2A359A27" w14:textId="77777777" w:rsidTr="000400C8">
        <w:tc>
          <w:tcPr>
            <w:tcW w:w="1284" w:type="pct"/>
            <w:hideMark/>
          </w:tcPr>
          <w:p w14:paraId="5C18DA57" w14:textId="77777777" w:rsidR="00E90931" w:rsidRPr="00AE4E8D" w:rsidRDefault="00E90931" w:rsidP="0008264A">
            <w:pPr>
              <w:widowControl w:val="0"/>
              <w:tabs>
                <w:tab w:val="left" w:leader="dot" w:pos="2156"/>
              </w:tabs>
              <w:autoSpaceDE w:val="0"/>
              <w:autoSpaceDN w:val="0"/>
              <w:adjustRightInd w:val="0"/>
              <w:jc w:val="both"/>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Con problemas</w:t>
            </w:r>
            <w:r w:rsidRPr="00AE4E8D">
              <w:rPr>
                <w:rFonts w:ascii="Times New Roman" w:hAnsi="Times New Roman"/>
                <w:sz w:val="18"/>
                <w:szCs w:val="18"/>
                <w:lang w:val="es-ES" w:eastAsia="es-AR"/>
              </w:rPr>
              <w:tab/>
            </w:r>
          </w:p>
        </w:tc>
        <w:tc>
          <w:tcPr>
            <w:tcW w:w="3716" w:type="pct"/>
          </w:tcPr>
          <w:p w14:paraId="407D1E83"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r w:rsidRPr="00AE4E8D">
              <w:rPr>
                <w:rFonts w:ascii="Times New Roman" w:eastAsia="SimSun" w:hAnsi="Times New Roman"/>
                <w:sz w:val="16"/>
                <w:szCs w:val="16"/>
                <w:lang w:val="es-ES" w:eastAsia="es-AR"/>
              </w:rPr>
              <w:t>Prestatarios con dificultades para cumplir con sus obligaciones financieras en forma regular que, de no ser corregidas, pueden dar como resultado pérdidas para el banco.</w:t>
            </w:r>
          </w:p>
          <w:p w14:paraId="1B085871"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p>
        </w:tc>
      </w:tr>
      <w:tr w:rsidR="00E90931" w:rsidRPr="00AE4E8D" w14:paraId="427F9311" w14:textId="77777777" w:rsidTr="000400C8">
        <w:tc>
          <w:tcPr>
            <w:tcW w:w="1284" w:type="pct"/>
            <w:hideMark/>
          </w:tcPr>
          <w:p w14:paraId="65679F5C" w14:textId="77777777" w:rsidR="00E90931" w:rsidRPr="00AE4E8D" w:rsidRDefault="00E90931" w:rsidP="0008264A">
            <w:pPr>
              <w:widowControl w:val="0"/>
              <w:tabs>
                <w:tab w:val="left" w:leader="dot" w:pos="2156"/>
              </w:tabs>
              <w:autoSpaceDE w:val="0"/>
              <w:autoSpaceDN w:val="0"/>
              <w:adjustRightInd w:val="0"/>
              <w:jc w:val="both"/>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Con alto riesgo de insolvencia</w:t>
            </w:r>
            <w:r w:rsidRPr="00AE4E8D">
              <w:rPr>
                <w:rFonts w:ascii="Times New Roman" w:hAnsi="Times New Roman"/>
                <w:sz w:val="18"/>
                <w:szCs w:val="18"/>
                <w:lang w:val="es-ES" w:eastAsia="es-AR"/>
              </w:rPr>
              <w:tab/>
            </w:r>
          </w:p>
        </w:tc>
        <w:tc>
          <w:tcPr>
            <w:tcW w:w="3716" w:type="pct"/>
          </w:tcPr>
          <w:p w14:paraId="53597A6A"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r w:rsidRPr="00AE4E8D">
              <w:rPr>
                <w:rFonts w:ascii="Times New Roman" w:eastAsia="SimSun" w:hAnsi="Times New Roman"/>
                <w:sz w:val="16"/>
                <w:szCs w:val="16"/>
                <w:lang w:val="es-ES" w:eastAsia="es-AR"/>
              </w:rPr>
              <w:t>Prestatarios con una alta probabilidad de que no cumplan con sus obligaciones financieras.</w:t>
            </w:r>
          </w:p>
          <w:p w14:paraId="2ABA273A"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p>
        </w:tc>
      </w:tr>
      <w:tr w:rsidR="00E90931" w:rsidRPr="00AE4E8D" w14:paraId="4C415E56" w14:textId="77777777" w:rsidTr="000400C8">
        <w:tc>
          <w:tcPr>
            <w:tcW w:w="1284" w:type="pct"/>
            <w:hideMark/>
          </w:tcPr>
          <w:p w14:paraId="3339D974" w14:textId="77777777" w:rsidR="00E90931" w:rsidRPr="00AE4E8D" w:rsidRDefault="00E90931" w:rsidP="0008264A">
            <w:pPr>
              <w:widowControl w:val="0"/>
              <w:tabs>
                <w:tab w:val="left" w:leader="dot" w:pos="2156"/>
              </w:tabs>
              <w:autoSpaceDE w:val="0"/>
              <w:autoSpaceDN w:val="0"/>
              <w:adjustRightInd w:val="0"/>
              <w:jc w:val="both"/>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Irrecuperable</w:t>
            </w:r>
            <w:r w:rsidRPr="00AE4E8D">
              <w:rPr>
                <w:rFonts w:ascii="Times New Roman" w:hAnsi="Times New Roman"/>
                <w:sz w:val="18"/>
                <w:szCs w:val="18"/>
                <w:lang w:val="es-ES" w:eastAsia="es-AR"/>
              </w:rPr>
              <w:tab/>
            </w:r>
          </w:p>
        </w:tc>
        <w:tc>
          <w:tcPr>
            <w:tcW w:w="3716" w:type="pct"/>
          </w:tcPr>
          <w:p w14:paraId="4D580EA8"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r w:rsidRPr="00AE4E8D">
              <w:rPr>
                <w:rFonts w:ascii="Times New Roman" w:eastAsia="SimSun" w:hAnsi="Times New Roman"/>
                <w:sz w:val="16"/>
                <w:szCs w:val="16"/>
                <w:lang w:val="es-ES" w:eastAsia="es-AR"/>
              </w:rPr>
              <w:t>Préstamos clasificados como irrecuperables al momento en que son revisados (aunque podría existir la posibilidad de que tales préstamos se cobraran en el futuro). El prestatario no cumplirá sus obligaciones financieras con la entidad financiera.</w:t>
            </w:r>
          </w:p>
          <w:p w14:paraId="463722DD"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p>
        </w:tc>
      </w:tr>
      <w:tr w:rsidR="00E90931" w:rsidRPr="00AE4E8D" w14:paraId="2593E748" w14:textId="77777777" w:rsidTr="000400C8">
        <w:tc>
          <w:tcPr>
            <w:tcW w:w="1284" w:type="pct"/>
            <w:hideMark/>
          </w:tcPr>
          <w:p w14:paraId="02CCF239" w14:textId="77777777" w:rsidR="00E90931" w:rsidRPr="00AE4E8D" w:rsidRDefault="00E90931" w:rsidP="0008264A">
            <w:pPr>
              <w:widowControl w:val="0"/>
              <w:tabs>
                <w:tab w:val="left" w:leader="dot" w:pos="2156"/>
              </w:tabs>
              <w:autoSpaceDE w:val="0"/>
              <w:autoSpaceDN w:val="0"/>
              <w:adjustRightInd w:val="0"/>
              <w:jc w:val="both"/>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Irrecuperable por disposición técnica</w:t>
            </w:r>
            <w:r w:rsidRPr="00AE4E8D">
              <w:rPr>
                <w:rFonts w:ascii="Times New Roman" w:hAnsi="Times New Roman"/>
                <w:sz w:val="18"/>
                <w:szCs w:val="18"/>
                <w:lang w:val="es-ES" w:eastAsia="es-AR"/>
              </w:rPr>
              <w:tab/>
            </w:r>
          </w:p>
        </w:tc>
        <w:tc>
          <w:tcPr>
            <w:tcW w:w="3716" w:type="pct"/>
            <w:hideMark/>
          </w:tcPr>
          <w:p w14:paraId="0B75142E" w14:textId="77777777" w:rsidR="00E90931" w:rsidRPr="00AE4E8D" w:rsidRDefault="00E90931" w:rsidP="0008264A">
            <w:pPr>
              <w:widowControl w:val="0"/>
              <w:autoSpaceDE w:val="0"/>
              <w:autoSpaceDN w:val="0"/>
              <w:adjustRightInd w:val="0"/>
              <w:jc w:val="both"/>
              <w:rPr>
                <w:rFonts w:ascii="Times New Roman" w:eastAsia="SimSun" w:hAnsi="Times New Roman"/>
                <w:sz w:val="16"/>
                <w:szCs w:val="16"/>
                <w:lang w:val="es-ES" w:eastAsia="es-AR"/>
              </w:rPr>
            </w:pPr>
            <w:r w:rsidRPr="00AE4E8D">
              <w:rPr>
                <w:rFonts w:ascii="Times New Roman" w:eastAsia="SimSun" w:hAnsi="Times New Roman"/>
                <w:sz w:val="16"/>
                <w:szCs w:val="16"/>
                <w:lang w:val="es-ES" w:eastAsia="es-AR"/>
              </w:rPr>
              <w:t>(a) Un prestatario no ha cumplido con sus obligaciones de pago durante más de 180 días calendario según el informe correspondiente suministrado por el BCRA, informe que incluye (1) las entidades financieras liquidadas por el BCRA, (2) entidades residuales creadas como resultado de la privatización de entidades financieras públicas, o en procesos de privatización o disolución, (3) entidades financieras cuya licencia ha sido revocada por el BCRA y que se encuentran sujetas a liquidación judicial o procedimientos de quiebra, y (4) fideicomisos en los que Seguro de Depósitos S.A. (SEDESA) es beneficiario, o (b) determinada clase de prestatario extranjero (incluyendo bancos u otras entidades financieras que no están sujetos a la supervisión del BCRA o autoridad similar del país en el cual están constituidos) que no están clasificados como “</w:t>
            </w:r>
            <w:r w:rsidRPr="00AE4E8D">
              <w:rPr>
                <w:rFonts w:ascii="Times New Roman" w:eastAsia="SimSun" w:hAnsi="Times New Roman"/>
                <w:i/>
                <w:sz w:val="16"/>
                <w:szCs w:val="16"/>
                <w:lang w:val="es-ES" w:eastAsia="es-AR"/>
              </w:rPr>
              <w:t>investment grade</w:t>
            </w:r>
            <w:r w:rsidRPr="00AE4E8D">
              <w:rPr>
                <w:rFonts w:ascii="Times New Roman" w:eastAsia="SimSun" w:hAnsi="Times New Roman"/>
                <w:sz w:val="16"/>
                <w:szCs w:val="16"/>
                <w:lang w:val="es-ES" w:eastAsia="es-AR"/>
              </w:rPr>
              <w:t>” por cualquiera de las agencias calificadoras de riesgo reconocidas por el BCRA.</w:t>
            </w:r>
          </w:p>
        </w:tc>
      </w:tr>
    </w:tbl>
    <w:p w14:paraId="361C72F7" w14:textId="77777777" w:rsidR="00E90931" w:rsidRPr="00AE4E8D" w:rsidRDefault="00E90931" w:rsidP="0008264A">
      <w:pPr>
        <w:pStyle w:val="BH2Izquierda"/>
        <w:rPr>
          <w:lang w:val="es-ES"/>
        </w:rPr>
      </w:pPr>
      <w:bookmarkStart w:id="366" w:name="_Toc421201381"/>
      <w:bookmarkStart w:id="367" w:name="_Toc495973003"/>
      <w:bookmarkStart w:id="368" w:name="_Toc495399910"/>
      <w:r w:rsidRPr="00AE4E8D">
        <w:rPr>
          <w:lang w:val="es-ES"/>
        </w:rPr>
        <w:t>Clasificación de Préstamos para el Consumo y la Vivienda</w:t>
      </w:r>
      <w:bookmarkEnd w:id="366"/>
      <w:bookmarkEnd w:id="367"/>
      <w:bookmarkEnd w:id="368"/>
    </w:p>
    <w:p w14:paraId="7C7332B3" w14:textId="77777777" w:rsidR="00E90931" w:rsidRPr="00AE4E8D" w:rsidRDefault="00E90931" w:rsidP="0008264A">
      <w:pPr>
        <w:pStyle w:val="BHTexto"/>
        <w:widowControl w:val="0"/>
        <w:rPr>
          <w:lang w:val="es-ES"/>
        </w:rPr>
      </w:pPr>
      <w:r w:rsidRPr="00AE4E8D">
        <w:rPr>
          <w:lang w:val="es-ES"/>
        </w:rPr>
        <w:t xml:space="preserve">El principal criterio aplicado a los préstamos en la cartera de préstamos al consumo y la vivienda es la duración de los incumplimientos. Bajo las </w:t>
      </w:r>
      <w:r w:rsidR="00A667F7" w:rsidRPr="00AE4E8D">
        <w:rPr>
          <w:lang w:val="es-ES"/>
        </w:rPr>
        <w:t>normas del BCRA</w:t>
      </w:r>
      <w:r w:rsidRPr="00AE4E8D">
        <w:rPr>
          <w:lang w:val="es-ES"/>
        </w:rPr>
        <w:t>, los prestatarios son clasificados del siguiente modo:</w:t>
      </w:r>
    </w:p>
    <w:tbl>
      <w:tblPr>
        <w:tblW w:w="5000" w:type="pct"/>
        <w:tblLook w:val="04A0" w:firstRow="1" w:lastRow="0" w:firstColumn="1" w:lastColumn="0" w:noHBand="0" w:noVBand="1"/>
      </w:tblPr>
      <w:tblGrid>
        <w:gridCol w:w="2328"/>
        <w:gridCol w:w="44"/>
        <w:gridCol w:w="6828"/>
        <w:gridCol w:w="37"/>
      </w:tblGrid>
      <w:tr w:rsidR="00140C31" w:rsidRPr="00AE4E8D" w14:paraId="0A5165AC" w14:textId="77777777" w:rsidTr="000400C8">
        <w:trPr>
          <w:gridAfter w:val="1"/>
          <w:wAfter w:w="20" w:type="pct"/>
          <w:trHeight w:val="258"/>
        </w:trPr>
        <w:tc>
          <w:tcPr>
            <w:tcW w:w="1260" w:type="pct"/>
            <w:tcBorders>
              <w:top w:val="single" w:sz="4" w:space="0" w:color="auto"/>
              <w:left w:val="nil"/>
              <w:bottom w:val="single" w:sz="4" w:space="0" w:color="auto"/>
              <w:right w:val="nil"/>
            </w:tcBorders>
            <w:vAlign w:val="center"/>
            <w:hideMark/>
          </w:tcPr>
          <w:p w14:paraId="6A6CF1C3" w14:textId="77777777" w:rsidR="00140C31" w:rsidRPr="00AE4E8D" w:rsidRDefault="00140C31" w:rsidP="0008264A">
            <w:pPr>
              <w:widowControl w:val="0"/>
              <w:autoSpaceDE w:val="0"/>
              <w:autoSpaceDN w:val="0"/>
              <w:adjustRightInd w:val="0"/>
              <w:jc w:val="center"/>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Clasificación</w:t>
            </w:r>
          </w:p>
        </w:tc>
        <w:tc>
          <w:tcPr>
            <w:tcW w:w="3720" w:type="pct"/>
            <w:gridSpan w:val="2"/>
            <w:tcBorders>
              <w:top w:val="single" w:sz="4" w:space="0" w:color="auto"/>
              <w:left w:val="nil"/>
              <w:bottom w:val="single" w:sz="4" w:space="0" w:color="auto"/>
              <w:right w:val="nil"/>
            </w:tcBorders>
            <w:vAlign w:val="center"/>
            <w:hideMark/>
          </w:tcPr>
          <w:p w14:paraId="7083C60A" w14:textId="77777777" w:rsidR="00140C31" w:rsidRPr="00AE4E8D" w:rsidRDefault="00140C31" w:rsidP="0008264A">
            <w:pPr>
              <w:widowControl w:val="0"/>
              <w:autoSpaceDE w:val="0"/>
              <w:autoSpaceDN w:val="0"/>
              <w:adjustRightInd w:val="0"/>
              <w:jc w:val="center"/>
              <w:rPr>
                <w:rFonts w:ascii="Times New Roman" w:eastAsia="SimSun" w:hAnsi="Times New Roman"/>
                <w:b/>
                <w:sz w:val="16"/>
                <w:szCs w:val="16"/>
                <w:lang w:val="es-ES" w:eastAsia="es-AR"/>
              </w:rPr>
            </w:pPr>
            <w:r w:rsidRPr="00AE4E8D">
              <w:rPr>
                <w:rFonts w:ascii="Times New Roman" w:eastAsia="SimSun" w:hAnsi="Times New Roman"/>
                <w:b/>
                <w:sz w:val="16"/>
                <w:szCs w:val="16"/>
                <w:lang w:val="es-ES" w:eastAsia="es-AR"/>
              </w:rPr>
              <w:t>Criterio</w:t>
            </w:r>
          </w:p>
        </w:tc>
      </w:tr>
      <w:tr w:rsidR="00140C31" w:rsidRPr="00AE4E8D" w14:paraId="2C043E9C" w14:textId="77777777" w:rsidTr="000400C8">
        <w:tc>
          <w:tcPr>
            <w:tcW w:w="1284" w:type="pct"/>
            <w:gridSpan w:val="2"/>
          </w:tcPr>
          <w:p w14:paraId="6FB62AA8" w14:textId="77777777" w:rsidR="00140C31" w:rsidRPr="00AE4E8D" w:rsidRDefault="00140C31" w:rsidP="0008264A">
            <w:pPr>
              <w:widowControl w:val="0"/>
              <w:autoSpaceDE w:val="0"/>
              <w:autoSpaceDN w:val="0"/>
              <w:adjustRightInd w:val="0"/>
              <w:jc w:val="both"/>
              <w:rPr>
                <w:rFonts w:ascii="Times New Roman" w:eastAsia="SimSun" w:hAnsi="Times New Roman"/>
                <w:b/>
                <w:sz w:val="16"/>
                <w:szCs w:val="16"/>
                <w:lang w:val="es-ES" w:eastAsia="es-AR"/>
              </w:rPr>
            </w:pPr>
          </w:p>
        </w:tc>
        <w:tc>
          <w:tcPr>
            <w:tcW w:w="3716" w:type="pct"/>
            <w:gridSpan w:val="2"/>
          </w:tcPr>
          <w:p w14:paraId="3A8F718F" w14:textId="77777777" w:rsidR="00140C31" w:rsidRPr="00AE4E8D" w:rsidRDefault="00140C31" w:rsidP="0008264A">
            <w:pPr>
              <w:widowControl w:val="0"/>
              <w:autoSpaceDE w:val="0"/>
              <w:autoSpaceDN w:val="0"/>
              <w:adjustRightInd w:val="0"/>
              <w:jc w:val="both"/>
              <w:rPr>
                <w:rFonts w:ascii="Times New Roman" w:eastAsia="SimSun" w:hAnsi="Times New Roman"/>
                <w:sz w:val="16"/>
                <w:szCs w:val="16"/>
                <w:lang w:val="es-ES" w:eastAsia="es-AR"/>
              </w:rPr>
            </w:pPr>
          </w:p>
        </w:tc>
      </w:tr>
      <w:tr w:rsidR="00140C31" w:rsidRPr="00AE4E8D" w14:paraId="1EC1F787" w14:textId="77777777" w:rsidTr="000400C8">
        <w:trPr>
          <w:gridAfter w:val="1"/>
          <w:wAfter w:w="20" w:type="pct"/>
          <w:trHeight w:val="448"/>
        </w:trPr>
        <w:tc>
          <w:tcPr>
            <w:tcW w:w="1260" w:type="pct"/>
            <w:hideMark/>
          </w:tcPr>
          <w:p w14:paraId="39E2C156" w14:textId="77777777" w:rsidR="00140C31" w:rsidRPr="00AE4E8D" w:rsidRDefault="00140C31" w:rsidP="0008264A">
            <w:pPr>
              <w:widowControl w:val="0"/>
              <w:tabs>
                <w:tab w:val="left" w:leader="dot" w:pos="2112"/>
              </w:tabs>
              <w:spacing w:after="240"/>
              <w:jc w:val="both"/>
              <w:rPr>
                <w:rFonts w:ascii="Times New Roman" w:eastAsia="SimSun" w:hAnsi="Times New Roman"/>
                <w:b/>
                <w:iCs/>
                <w:sz w:val="16"/>
                <w:szCs w:val="16"/>
                <w:lang w:val="es-ES" w:eastAsia="es-AR"/>
              </w:rPr>
            </w:pPr>
            <w:r w:rsidRPr="00AE4E8D">
              <w:rPr>
                <w:rFonts w:ascii="Times New Roman" w:eastAsia="SimSun" w:hAnsi="Times New Roman"/>
                <w:b/>
                <w:iCs/>
                <w:sz w:val="16"/>
                <w:szCs w:val="16"/>
                <w:lang w:val="es-ES" w:eastAsia="es-AR"/>
              </w:rPr>
              <w:t>Cumplimiento Normal</w:t>
            </w:r>
            <w:r w:rsidRPr="00AE4E8D">
              <w:rPr>
                <w:rFonts w:ascii="Times New Roman" w:hAnsi="Times New Roman"/>
                <w:sz w:val="18"/>
                <w:szCs w:val="18"/>
                <w:lang w:val="es-ES" w:eastAsia="es-AR"/>
              </w:rPr>
              <w:tab/>
            </w:r>
          </w:p>
        </w:tc>
        <w:tc>
          <w:tcPr>
            <w:tcW w:w="3720" w:type="pct"/>
            <w:gridSpan w:val="2"/>
            <w:hideMark/>
          </w:tcPr>
          <w:p w14:paraId="4B1FD1D7" w14:textId="77777777" w:rsidR="00140C31" w:rsidRPr="00AE4E8D" w:rsidRDefault="00140C31" w:rsidP="0008264A">
            <w:pPr>
              <w:widowControl w:val="0"/>
              <w:spacing w:after="240"/>
              <w:jc w:val="both"/>
              <w:rPr>
                <w:rFonts w:ascii="Times New Roman" w:eastAsia="SimSun" w:hAnsi="Times New Roman"/>
                <w:iCs/>
                <w:sz w:val="16"/>
                <w:szCs w:val="16"/>
                <w:lang w:val="es-ES" w:eastAsia="es-AR"/>
              </w:rPr>
            </w:pPr>
            <w:r w:rsidRPr="00AE4E8D">
              <w:rPr>
                <w:rFonts w:ascii="Times New Roman" w:eastAsia="SimSun" w:hAnsi="Times New Roman"/>
                <w:iCs/>
                <w:sz w:val="16"/>
                <w:szCs w:val="16"/>
                <w:lang w:val="es-ES" w:eastAsia="es-AR"/>
              </w:rPr>
              <w:t>Si todas las obligaciones de pago están vigentes o en mora por menos de 31 días calendario y, en caso de adelantos en cuentas corrientes, en mora por menos de 61 días calendario.</w:t>
            </w:r>
          </w:p>
        </w:tc>
      </w:tr>
      <w:tr w:rsidR="00140C31" w:rsidRPr="00AE4E8D" w14:paraId="32174241" w14:textId="77777777" w:rsidTr="000400C8">
        <w:trPr>
          <w:gridAfter w:val="1"/>
          <w:wAfter w:w="20" w:type="pct"/>
        </w:trPr>
        <w:tc>
          <w:tcPr>
            <w:tcW w:w="1260" w:type="pct"/>
            <w:hideMark/>
          </w:tcPr>
          <w:p w14:paraId="1241C864" w14:textId="77777777" w:rsidR="00140C31" w:rsidRPr="00AE4E8D" w:rsidRDefault="00140C31" w:rsidP="0008264A">
            <w:pPr>
              <w:widowControl w:val="0"/>
              <w:tabs>
                <w:tab w:val="left" w:leader="dot" w:pos="2112"/>
              </w:tabs>
              <w:spacing w:after="240"/>
              <w:jc w:val="both"/>
              <w:rPr>
                <w:rFonts w:ascii="Times New Roman" w:eastAsia="SimSun" w:hAnsi="Times New Roman"/>
                <w:b/>
                <w:iCs/>
                <w:sz w:val="16"/>
                <w:szCs w:val="16"/>
                <w:lang w:val="es-ES" w:eastAsia="es-AR"/>
              </w:rPr>
            </w:pPr>
            <w:r w:rsidRPr="00AE4E8D">
              <w:rPr>
                <w:rFonts w:ascii="Times New Roman" w:eastAsia="SimSun" w:hAnsi="Times New Roman"/>
                <w:b/>
                <w:iCs/>
                <w:sz w:val="16"/>
                <w:szCs w:val="16"/>
                <w:lang w:val="es-ES" w:eastAsia="es-AR"/>
              </w:rPr>
              <w:t>Riesgo Bajo</w:t>
            </w:r>
            <w:r w:rsidRPr="00AE4E8D">
              <w:rPr>
                <w:rFonts w:ascii="Times New Roman" w:hAnsi="Times New Roman"/>
                <w:sz w:val="18"/>
                <w:szCs w:val="18"/>
                <w:lang w:val="es-ES" w:eastAsia="es-AR"/>
              </w:rPr>
              <w:tab/>
            </w:r>
          </w:p>
        </w:tc>
        <w:tc>
          <w:tcPr>
            <w:tcW w:w="3720" w:type="pct"/>
            <w:gridSpan w:val="2"/>
            <w:hideMark/>
          </w:tcPr>
          <w:p w14:paraId="00B16FB6" w14:textId="77777777" w:rsidR="00140C31" w:rsidRPr="00AE4E8D" w:rsidRDefault="00140C31" w:rsidP="0008264A">
            <w:pPr>
              <w:widowControl w:val="0"/>
              <w:spacing w:after="240"/>
              <w:jc w:val="both"/>
              <w:rPr>
                <w:rFonts w:ascii="Times New Roman" w:eastAsia="SimSun" w:hAnsi="Times New Roman"/>
                <w:iCs/>
                <w:sz w:val="16"/>
                <w:szCs w:val="16"/>
                <w:lang w:val="es-ES" w:eastAsia="es-AR"/>
              </w:rPr>
            </w:pPr>
            <w:r w:rsidRPr="00AE4E8D">
              <w:rPr>
                <w:rFonts w:ascii="Times New Roman" w:eastAsia="SimSun" w:hAnsi="Times New Roman"/>
                <w:iCs/>
                <w:sz w:val="16"/>
                <w:szCs w:val="16"/>
                <w:lang w:val="es-ES" w:eastAsia="es-AR"/>
              </w:rPr>
              <w:t>Préstamos en los cuales sus obligaciones de pago están en mora por un período de más de 31 días pero menos de 90 días calendario.</w:t>
            </w:r>
          </w:p>
        </w:tc>
      </w:tr>
      <w:tr w:rsidR="00140C31" w:rsidRPr="00AE4E8D" w14:paraId="00567AC7" w14:textId="77777777" w:rsidTr="000400C8">
        <w:trPr>
          <w:gridAfter w:val="1"/>
          <w:wAfter w:w="20" w:type="pct"/>
        </w:trPr>
        <w:tc>
          <w:tcPr>
            <w:tcW w:w="1260" w:type="pct"/>
            <w:hideMark/>
          </w:tcPr>
          <w:p w14:paraId="415586BD" w14:textId="77777777" w:rsidR="00140C31" w:rsidRPr="00AE4E8D" w:rsidRDefault="00140C31" w:rsidP="0008264A">
            <w:pPr>
              <w:widowControl w:val="0"/>
              <w:tabs>
                <w:tab w:val="left" w:leader="dot" w:pos="2112"/>
              </w:tabs>
              <w:spacing w:after="240"/>
              <w:jc w:val="both"/>
              <w:rPr>
                <w:rFonts w:ascii="Times New Roman" w:eastAsia="SimSun" w:hAnsi="Times New Roman"/>
                <w:b/>
                <w:iCs/>
                <w:sz w:val="16"/>
                <w:szCs w:val="16"/>
                <w:lang w:val="es-ES" w:eastAsia="es-AR"/>
              </w:rPr>
            </w:pPr>
            <w:r w:rsidRPr="00AE4E8D">
              <w:rPr>
                <w:rFonts w:ascii="Times New Roman" w:eastAsia="SimSun" w:hAnsi="Times New Roman"/>
                <w:b/>
                <w:iCs/>
                <w:sz w:val="16"/>
                <w:szCs w:val="16"/>
                <w:lang w:val="es-ES" w:eastAsia="es-AR"/>
              </w:rPr>
              <w:t>Riesgo Medio</w:t>
            </w:r>
            <w:r w:rsidRPr="00AE4E8D">
              <w:rPr>
                <w:rFonts w:ascii="Times New Roman" w:hAnsi="Times New Roman"/>
                <w:sz w:val="18"/>
                <w:szCs w:val="18"/>
                <w:lang w:val="es-ES" w:eastAsia="es-AR"/>
              </w:rPr>
              <w:tab/>
            </w:r>
          </w:p>
        </w:tc>
        <w:tc>
          <w:tcPr>
            <w:tcW w:w="3720" w:type="pct"/>
            <w:gridSpan w:val="2"/>
            <w:hideMark/>
          </w:tcPr>
          <w:p w14:paraId="091EDED0" w14:textId="77777777" w:rsidR="00140C31" w:rsidRPr="00AE4E8D" w:rsidRDefault="00140C31" w:rsidP="0008264A">
            <w:pPr>
              <w:widowControl w:val="0"/>
              <w:spacing w:after="240"/>
              <w:jc w:val="both"/>
              <w:rPr>
                <w:rFonts w:ascii="Times New Roman" w:eastAsia="SimSun" w:hAnsi="Times New Roman"/>
                <w:iCs/>
                <w:sz w:val="16"/>
                <w:szCs w:val="16"/>
                <w:lang w:val="es-ES" w:eastAsia="es-AR"/>
              </w:rPr>
            </w:pPr>
            <w:r w:rsidRPr="00AE4E8D">
              <w:rPr>
                <w:rFonts w:ascii="Times New Roman" w:eastAsia="SimSun" w:hAnsi="Times New Roman"/>
                <w:iCs/>
                <w:sz w:val="16"/>
                <w:szCs w:val="16"/>
                <w:lang w:val="es-ES" w:eastAsia="es-AR"/>
              </w:rPr>
              <w:t>Préstamos en los cuales sus obligaciones de pago están en mora por un período de más de 90 días pero menos de 180 días calendario.</w:t>
            </w:r>
          </w:p>
        </w:tc>
      </w:tr>
      <w:tr w:rsidR="00140C31" w:rsidRPr="00AE4E8D" w14:paraId="4B34C762" w14:textId="77777777" w:rsidTr="000400C8">
        <w:trPr>
          <w:gridAfter w:val="1"/>
          <w:wAfter w:w="20" w:type="pct"/>
        </w:trPr>
        <w:tc>
          <w:tcPr>
            <w:tcW w:w="1260" w:type="pct"/>
            <w:hideMark/>
          </w:tcPr>
          <w:p w14:paraId="10B0D407" w14:textId="77777777" w:rsidR="00140C31" w:rsidRPr="00AE4E8D" w:rsidRDefault="00140C31" w:rsidP="0008264A">
            <w:pPr>
              <w:widowControl w:val="0"/>
              <w:tabs>
                <w:tab w:val="left" w:leader="dot" w:pos="2112"/>
              </w:tabs>
              <w:spacing w:after="240"/>
              <w:jc w:val="both"/>
              <w:rPr>
                <w:rFonts w:ascii="Times New Roman" w:eastAsia="SimSun" w:hAnsi="Times New Roman"/>
                <w:b/>
                <w:iCs/>
                <w:sz w:val="16"/>
                <w:szCs w:val="16"/>
                <w:lang w:val="es-ES" w:eastAsia="es-AR"/>
              </w:rPr>
            </w:pPr>
            <w:r w:rsidRPr="00AE4E8D">
              <w:rPr>
                <w:rFonts w:ascii="Times New Roman" w:eastAsia="SimSun" w:hAnsi="Times New Roman"/>
                <w:b/>
                <w:iCs/>
                <w:sz w:val="16"/>
                <w:szCs w:val="16"/>
                <w:lang w:val="es-ES" w:eastAsia="es-AR"/>
              </w:rPr>
              <w:t>Riesgo Alto</w:t>
            </w:r>
            <w:r w:rsidRPr="00AE4E8D">
              <w:rPr>
                <w:rFonts w:ascii="Times New Roman" w:hAnsi="Times New Roman"/>
                <w:sz w:val="18"/>
                <w:szCs w:val="18"/>
                <w:lang w:val="es-ES" w:eastAsia="es-AR"/>
              </w:rPr>
              <w:tab/>
            </w:r>
          </w:p>
        </w:tc>
        <w:tc>
          <w:tcPr>
            <w:tcW w:w="3720" w:type="pct"/>
            <w:gridSpan w:val="2"/>
            <w:hideMark/>
          </w:tcPr>
          <w:p w14:paraId="6AC2B8B4" w14:textId="77777777" w:rsidR="00140C31" w:rsidRPr="00AE4E8D" w:rsidRDefault="00140C31" w:rsidP="0008264A">
            <w:pPr>
              <w:widowControl w:val="0"/>
              <w:spacing w:after="240"/>
              <w:jc w:val="both"/>
              <w:rPr>
                <w:rFonts w:ascii="Times New Roman" w:eastAsia="SimSun" w:hAnsi="Times New Roman"/>
                <w:iCs/>
                <w:sz w:val="16"/>
                <w:szCs w:val="16"/>
                <w:lang w:val="es-ES" w:eastAsia="es-AR"/>
              </w:rPr>
            </w:pPr>
            <w:r w:rsidRPr="00AE4E8D">
              <w:rPr>
                <w:rFonts w:ascii="Times New Roman" w:eastAsia="SimSun" w:hAnsi="Times New Roman"/>
                <w:iCs/>
                <w:sz w:val="16"/>
                <w:szCs w:val="16"/>
                <w:lang w:val="es-ES" w:eastAsia="es-AR"/>
              </w:rPr>
              <w:t>Préstamos en cuyo respecto se ha entablado una acción judicial de cobro, o préstamos que tengan obligaciones de pago en mora durante más de 180 días calendario pero menos de 365 días calendario.</w:t>
            </w:r>
          </w:p>
        </w:tc>
      </w:tr>
      <w:tr w:rsidR="00140C31" w:rsidRPr="00AE4E8D" w14:paraId="2C6FFE6B" w14:textId="77777777" w:rsidTr="000400C8">
        <w:trPr>
          <w:gridAfter w:val="1"/>
          <w:wAfter w:w="20" w:type="pct"/>
        </w:trPr>
        <w:tc>
          <w:tcPr>
            <w:tcW w:w="1260" w:type="pct"/>
            <w:hideMark/>
          </w:tcPr>
          <w:p w14:paraId="42D1DF88" w14:textId="77777777" w:rsidR="00140C31" w:rsidRPr="00AE4E8D" w:rsidRDefault="00140C31" w:rsidP="0008264A">
            <w:pPr>
              <w:widowControl w:val="0"/>
              <w:tabs>
                <w:tab w:val="left" w:leader="dot" w:pos="2112"/>
              </w:tabs>
              <w:spacing w:after="240"/>
              <w:jc w:val="both"/>
              <w:rPr>
                <w:rFonts w:ascii="Times New Roman" w:eastAsia="SimSun" w:hAnsi="Times New Roman"/>
                <w:b/>
                <w:iCs/>
                <w:sz w:val="16"/>
                <w:szCs w:val="16"/>
                <w:lang w:val="es-ES" w:eastAsia="es-AR"/>
              </w:rPr>
            </w:pPr>
            <w:r w:rsidRPr="00AE4E8D">
              <w:rPr>
                <w:rFonts w:ascii="Times New Roman" w:eastAsia="SimSun" w:hAnsi="Times New Roman"/>
                <w:b/>
                <w:iCs/>
                <w:sz w:val="16"/>
                <w:szCs w:val="16"/>
                <w:lang w:val="es-ES" w:eastAsia="es-AR"/>
              </w:rPr>
              <w:lastRenderedPageBreak/>
              <w:t>Irrecuperables</w:t>
            </w:r>
            <w:r w:rsidRPr="00AE4E8D">
              <w:rPr>
                <w:rFonts w:ascii="Times New Roman" w:hAnsi="Times New Roman"/>
                <w:sz w:val="18"/>
                <w:szCs w:val="18"/>
                <w:lang w:val="es-ES" w:eastAsia="es-AR"/>
              </w:rPr>
              <w:tab/>
            </w:r>
          </w:p>
        </w:tc>
        <w:tc>
          <w:tcPr>
            <w:tcW w:w="3720" w:type="pct"/>
            <w:gridSpan w:val="2"/>
            <w:hideMark/>
          </w:tcPr>
          <w:p w14:paraId="08793196" w14:textId="77777777" w:rsidR="00140C31" w:rsidRPr="00AE4E8D" w:rsidRDefault="00140C31" w:rsidP="0008264A">
            <w:pPr>
              <w:widowControl w:val="0"/>
              <w:spacing w:after="240"/>
              <w:jc w:val="both"/>
              <w:rPr>
                <w:rFonts w:ascii="Times New Roman" w:eastAsia="SimSun" w:hAnsi="Times New Roman"/>
                <w:iCs/>
                <w:sz w:val="16"/>
                <w:szCs w:val="16"/>
                <w:lang w:val="es-ES" w:eastAsia="es-AR"/>
              </w:rPr>
            </w:pPr>
            <w:r w:rsidRPr="00AE4E8D">
              <w:rPr>
                <w:rFonts w:ascii="Times New Roman" w:eastAsia="SimSun" w:hAnsi="Times New Roman"/>
                <w:iCs/>
                <w:sz w:val="16"/>
                <w:szCs w:val="16"/>
                <w:lang w:val="es-ES" w:eastAsia="es-AR"/>
              </w:rPr>
              <w:t>Préstamos en los cuales las obligaciones de pago están en mora durante más de un año o bien el deudor es insolvente o fallido o se encuentra en proceso de liquidación.</w:t>
            </w:r>
          </w:p>
        </w:tc>
      </w:tr>
      <w:tr w:rsidR="00140C31" w:rsidRPr="00AE4E8D" w14:paraId="428D4BC5" w14:textId="77777777" w:rsidTr="000400C8">
        <w:trPr>
          <w:gridAfter w:val="1"/>
          <w:wAfter w:w="20" w:type="pct"/>
        </w:trPr>
        <w:tc>
          <w:tcPr>
            <w:tcW w:w="1260" w:type="pct"/>
            <w:hideMark/>
          </w:tcPr>
          <w:p w14:paraId="5F8007D1" w14:textId="77777777" w:rsidR="00140C31" w:rsidRPr="00AE4E8D" w:rsidRDefault="00140C31" w:rsidP="0008264A">
            <w:pPr>
              <w:widowControl w:val="0"/>
              <w:tabs>
                <w:tab w:val="left" w:leader="dot" w:pos="2112"/>
              </w:tabs>
              <w:spacing w:after="240"/>
              <w:rPr>
                <w:rFonts w:ascii="Times New Roman" w:eastAsia="SimSun" w:hAnsi="Times New Roman"/>
                <w:b/>
                <w:iCs/>
                <w:sz w:val="16"/>
                <w:szCs w:val="16"/>
                <w:lang w:val="es-ES" w:eastAsia="es-AR"/>
              </w:rPr>
            </w:pPr>
            <w:r w:rsidRPr="00AE4E8D">
              <w:rPr>
                <w:rFonts w:ascii="Times New Roman" w:eastAsia="SimSun" w:hAnsi="Times New Roman"/>
                <w:b/>
                <w:iCs/>
                <w:sz w:val="16"/>
                <w:szCs w:val="16"/>
                <w:lang w:val="es-ES" w:eastAsia="es-AR"/>
              </w:rPr>
              <w:t xml:space="preserve">Irrecuperable por disposición técnica </w:t>
            </w:r>
            <w:r w:rsidRPr="00AE4E8D">
              <w:rPr>
                <w:rFonts w:ascii="Times New Roman" w:hAnsi="Times New Roman"/>
                <w:sz w:val="18"/>
                <w:szCs w:val="18"/>
                <w:lang w:val="es-ES" w:eastAsia="es-AR"/>
              </w:rPr>
              <w:tab/>
            </w:r>
          </w:p>
        </w:tc>
        <w:tc>
          <w:tcPr>
            <w:tcW w:w="3720" w:type="pct"/>
            <w:gridSpan w:val="2"/>
            <w:hideMark/>
          </w:tcPr>
          <w:p w14:paraId="4DB8B890" w14:textId="77777777" w:rsidR="00140C31" w:rsidRPr="00AE4E8D" w:rsidRDefault="00140C31" w:rsidP="0008264A">
            <w:pPr>
              <w:widowControl w:val="0"/>
              <w:spacing w:after="240"/>
              <w:jc w:val="both"/>
              <w:rPr>
                <w:rFonts w:ascii="Times New Roman" w:eastAsia="SimSun" w:hAnsi="Times New Roman"/>
                <w:iCs/>
                <w:sz w:val="16"/>
                <w:szCs w:val="16"/>
                <w:lang w:val="es-ES" w:eastAsia="es-AR"/>
              </w:rPr>
            </w:pPr>
            <w:r w:rsidRPr="00AE4E8D">
              <w:rPr>
                <w:rFonts w:ascii="Times New Roman" w:eastAsia="SimSun" w:hAnsi="Times New Roman"/>
                <w:iCs/>
                <w:sz w:val="16"/>
                <w:szCs w:val="16"/>
                <w:lang w:val="es-ES" w:eastAsia="es-AR"/>
              </w:rPr>
              <w:t xml:space="preserve">Se aplican los mismos criterios que para los préstamos comerciales en estado de técnicamente irrecuperables según las </w:t>
            </w:r>
            <w:r w:rsidR="00A667F7" w:rsidRPr="00AE4E8D">
              <w:rPr>
                <w:rFonts w:ascii="Times New Roman" w:eastAsia="SimSun" w:hAnsi="Times New Roman"/>
                <w:iCs/>
                <w:sz w:val="16"/>
                <w:szCs w:val="16"/>
                <w:lang w:val="es-ES" w:eastAsia="es-AR"/>
              </w:rPr>
              <w:t>normas del BCRA</w:t>
            </w:r>
            <w:r w:rsidRPr="00AE4E8D">
              <w:rPr>
                <w:rFonts w:ascii="Times New Roman" w:eastAsia="SimSun" w:hAnsi="Times New Roman"/>
                <w:iCs/>
                <w:sz w:val="16"/>
                <w:szCs w:val="16"/>
                <w:lang w:val="es-ES" w:eastAsia="es-AR"/>
              </w:rPr>
              <w:t xml:space="preserve">. </w:t>
            </w:r>
          </w:p>
        </w:tc>
      </w:tr>
    </w:tbl>
    <w:p w14:paraId="41A0AE24" w14:textId="77777777" w:rsidR="00415D8D" w:rsidRPr="00AE4E8D" w:rsidRDefault="00415D8D" w:rsidP="0008264A">
      <w:pPr>
        <w:pStyle w:val="BH2Izquierda"/>
        <w:rPr>
          <w:lang w:val="es-ES"/>
        </w:rPr>
      </w:pPr>
      <w:bookmarkStart w:id="369" w:name="_Toc495973004"/>
      <w:bookmarkStart w:id="370" w:name="_Toc495399911"/>
      <w:r w:rsidRPr="00AE4E8D">
        <w:rPr>
          <w:lang w:val="es-ES"/>
        </w:rPr>
        <w:t>Previsiones de Crédito Mínimas</w:t>
      </w:r>
      <w:bookmarkEnd w:id="369"/>
      <w:bookmarkEnd w:id="370"/>
    </w:p>
    <w:p w14:paraId="4C45724B" w14:textId="77777777" w:rsidR="00E90931" w:rsidRPr="00AE4E8D" w:rsidRDefault="00415D8D" w:rsidP="000935B8">
      <w:pPr>
        <w:keepLines/>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Los bancos argentinos están obligados a establecer las siguientes previsiones de crédito mínimas en relación con la categoría de cartera de crédito:</w:t>
      </w:r>
    </w:p>
    <w:tbl>
      <w:tblPr>
        <w:tblW w:w="5000" w:type="pct"/>
        <w:jc w:val="center"/>
        <w:tblLook w:val="04A0" w:firstRow="1" w:lastRow="0" w:firstColumn="1" w:lastColumn="0" w:noHBand="0" w:noVBand="1"/>
      </w:tblPr>
      <w:tblGrid>
        <w:gridCol w:w="5631"/>
        <w:gridCol w:w="1877"/>
        <w:gridCol w:w="1729"/>
      </w:tblGrid>
      <w:tr w:rsidR="00E90931" w:rsidRPr="00AE4E8D" w14:paraId="09F5DDA4" w14:textId="77777777" w:rsidTr="000400C8">
        <w:trPr>
          <w:trHeight w:val="70"/>
          <w:jc w:val="center"/>
        </w:trPr>
        <w:tc>
          <w:tcPr>
            <w:tcW w:w="3048" w:type="pct"/>
            <w:tcBorders>
              <w:top w:val="single" w:sz="4" w:space="0" w:color="auto"/>
              <w:left w:val="nil"/>
              <w:bottom w:val="nil"/>
              <w:right w:val="nil"/>
            </w:tcBorders>
            <w:vAlign w:val="center"/>
            <w:hideMark/>
          </w:tcPr>
          <w:p w14:paraId="1F3E9192" w14:textId="77777777" w:rsidR="00E90931" w:rsidRPr="00AE4E8D" w:rsidRDefault="00E90931" w:rsidP="00E90931">
            <w:pPr>
              <w:keepNext/>
              <w:tabs>
                <w:tab w:val="right" w:leader="dot" w:pos="5310"/>
              </w:tabs>
              <w:autoSpaceDE w:val="0"/>
              <w:autoSpaceDN w:val="0"/>
              <w:adjustRightInd w:val="0"/>
              <w:rPr>
                <w:rFonts w:ascii="Times New Roman" w:hAnsi="Times New Roman"/>
                <w:b/>
                <w:sz w:val="16"/>
                <w:szCs w:val="16"/>
                <w:lang w:val="es-ES" w:eastAsia="es-AR"/>
              </w:rPr>
            </w:pPr>
            <w:r w:rsidRPr="00AE4E8D">
              <w:rPr>
                <w:rFonts w:ascii="Times New Roman" w:hAnsi="Times New Roman"/>
                <w:b/>
                <w:sz w:val="16"/>
                <w:szCs w:val="16"/>
                <w:lang w:val="es-ES" w:eastAsia="es-AR"/>
              </w:rPr>
              <w:t>Categoría</w:t>
            </w:r>
          </w:p>
        </w:tc>
        <w:tc>
          <w:tcPr>
            <w:tcW w:w="1016" w:type="pct"/>
            <w:tcBorders>
              <w:top w:val="single" w:sz="4" w:space="0" w:color="auto"/>
              <w:left w:val="nil"/>
              <w:bottom w:val="nil"/>
              <w:right w:val="nil"/>
            </w:tcBorders>
            <w:vAlign w:val="center"/>
            <w:hideMark/>
          </w:tcPr>
          <w:p w14:paraId="3E635E36" w14:textId="77777777" w:rsidR="00E90931" w:rsidRPr="00AE4E8D" w:rsidRDefault="00E90931" w:rsidP="00E90931">
            <w:pPr>
              <w:keepNext/>
              <w:tabs>
                <w:tab w:val="center" w:pos="1125"/>
                <w:tab w:val="right" w:leader="dot" w:pos="5310"/>
              </w:tabs>
              <w:autoSpaceDE w:val="0"/>
              <w:autoSpaceDN w:val="0"/>
              <w:adjustRightInd w:val="0"/>
              <w:jc w:val="center"/>
              <w:rPr>
                <w:rFonts w:ascii="Times New Roman" w:hAnsi="Times New Roman"/>
                <w:b/>
                <w:sz w:val="16"/>
                <w:szCs w:val="16"/>
                <w:lang w:val="es-ES" w:eastAsia="es-AR"/>
              </w:rPr>
            </w:pPr>
            <w:r w:rsidRPr="00AE4E8D">
              <w:rPr>
                <w:rFonts w:ascii="Times New Roman" w:hAnsi="Times New Roman"/>
                <w:b/>
                <w:sz w:val="16"/>
                <w:szCs w:val="16"/>
                <w:lang w:val="es-ES" w:eastAsia="es-AR"/>
              </w:rPr>
              <w:t>Con Garantías Preferidas</w:t>
            </w:r>
          </w:p>
        </w:tc>
        <w:tc>
          <w:tcPr>
            <w:tcW w:w="936" w:type="pct"/>
            <w:tcBorders>
              <w:top w:val="single" w:sz="4" w:space="0" w:color="auto"/>
              <w:left w:val="nil"/>
              <w:bottom w:val="nil"/>
              <w:right w:val="nil"/>
            </w:tcBorders>
            <w:vAlign w:val="center"/>
            <w:hideMark/>
          </w:tcPr>
          <w:p w14:paraId="05222519" w14:textId="77777777" w:rsidR="00E90931" w:rsidRPr="00AE4E8D" w:rsidRDefault="00E90931" w:rsidP="00E90931">
            <w:pPr>
              <w:keepNext/>
              <w:jc w:val="center"/>
              <w:rPr>
                <w:rFonts w:ascii="Times New Roman" w:hAnsi="Times New Roman"/>
                <w:b/>
                <w:sz w:val="16"/>
                <w:szCs w:val="16"/>
                <w:lang w:val="es-ES" w:eastAsia="es-AR"/>
              </w:rPr>
            </w:pPr>
            <w:r w:rsidRPr="00AE4E8D">
              <w:rPr>
                <w:rFonts w:ascii="Times New Roman" w:hAnsi="Times New Roman"/>
                <w:b/>
                <w:sz w:val="16"/>
                <w:szCs w:val="16"/>
                <w:lang w:val="es-ES" w:eastAsia="es-AR"/>
              </w:rPr>
              <w:t>Sin Garantías Preferidas</w:t>
            </w:r>
          </w:p>
        </w:tc>
      </w:tr>
      <w:tr w:rsidR="00E90931" w:rsidRPr="00AE4E8D" w14:paraId="465F294B" w14:textId="77777777" w:rsidTr="000400C8">
        <w:trPr>
          <w:trHeight w:val="70"/>
          <w:jc w:val="center"/>
        </w:trPr>
        <w:tc>
          <w:tcPr>
            <w:tcW w:w="3048" w:type="pct"/>
            <w:tcBorders>
              <w:top w:val="single" w:sz="4" w:space="0" w:color="auto"/>
              <w:left w:val="nil"/>
              <w:bottom w:val="nil"/>
              <w:right w:val="nil"/>
            </w:tcBorders>
            <w:hideMark/>
          </w:tcPr>
          <w:p w14:paraId="3844A0D7" w14:textId="77777777" w:rsidR="00E90931" w:rsidRPr="00AE4E8D" w:rsidRDefault="00E90931" w:rsidP="00E90931">
            <w:pPr>
              <w:keepNext/>
              <w:tabs>
                <w:tab w:val="right" w:leader="dot" w:pos="5387"/>
              </w:tabs>
              <w:autoSpaceDE w:val="0"/>
              <w:autoSpaceDN w:val="0"/>
              <w:adjustRightInd w:val="0"/>
              <w:spacing w:before="120"/>
              <w:jc w:val="both"/>
              <w:rPr>
                <w:rFonts w:ascii="Times New Roman" w:hAnsi="Times New Roman"/>
                <w:sz w:val="16"/>
                <w:szCs w:val="16"/>
                <w:lang w:val="es-ES" w:eastAsia="es-AR"/>
              </w:rPr>
            </w:pPr>
            <w:r w:rsidRPr="00AE4E8D">
              <w:rPr>
                <w:rFonts w:ascii="Times New Roman" w:hAnsi="Times New Roman"/>
                <w:sz w:val="16"/>
                <w:szCs w:val="16"/>
                <w:lang w:val="es-ES" w:eastAsia="es-AR"/>
              </w:rPr>
              <w:t xml:space="preserve">“Normal” </w:t>
            </w:r>
            <w:r w:rsidRPr="00AE4E8D">
              <w:rPr>
                <w:rFonts w:ascii="Times New Roman" w:hAnsi="Times New Roman"/>
                <w:sz w:val="18"/>
                <w:szCs w:val="18"/>
                <w:lang w:val="es-ES" w:eastAsia="es-AR"/>
              </w:rPr>
              <w:tab/>
            </w:r>
          </w:p>
        </w:tc>
        <w:tc>
          <w:tcPr>
            <w:tcW w:w="1016" w:type="pct"/>
            <w:tcBorders>
              <w:top w:val="single" w:sz="4" w:space="0" w:color="auto"/>
              <w:left w:val="nil"/>
              <w:bottom w:val="nil"/>
              <w:right w:val="nil"/>
            </w:tcBorders>
            <w:hideMark/>
          </w:tcPr>
          <w:p w14:paraId="3BDB1DCA" w14:textId="77777777" w:rsidR="00E90931" w:rsidRPr="00AE4E8D" w:rsidRDefault="00E90931" w:rsidP="00E90931">
            <w:pPr>
              <w:keepNext/>
              <w:tabs>
                <w:tab w:val="right" w:leader="dot" w:pos="5310"/>
              </w:tabs>
              <w:autoSpaceDE w:val="0"/>
              <w:autoSpaceDN w:val="0"/>
              <w:adjustRightInd w:val="0"/>
              <w:spacing w:before="120"/>
              <w:jc w:val="center"/>
              <w:rPr>
                <w:rFonts w:ascii="Times New Roman" w:hAnsi="Times New Roman"/>
                <w:sz w:val="16"/>
                <w:szCs w:val="16"/>
                <w:lang w:val="es-ES" w:eastAsia="es-AR"/>
              </w:rPr>
            </w:pPr>
            <w:r w:rsidRPr="00AE4E8D">
              <w:rPr>
                <w:rFonts w:ascii="Times New Roman" w:hAnsi="Times New Roman"/>
                <w:sz w:val="16"/>
                <w:szCs w:val="16"/>
                <w:lang w:val="es-ES" w:eastAsia="es-AR"/>
              </w:rPr>
              <w:t>1%</w:t>
            </w:r>
          </w:p>
        </w:tc>
        <w:tc>
          <w:tcPr>
            <w:tcW w:w="936" w:type="pct"/>
            <w:tcBorders>
              <w:top w:val="single" w:sz="4" w:space="0" w:color="auto"/>
              <w:left w:val="nil"/>
              <w:bottom w:val="nil"/>
              <w:right w:val="nil"/>
            </w:tcBorders>
            <w:vAlign w:val="bottom"/>
            <w:hideMark/>
          </w:tcPr>
          <w:p w14:paraId="6012A55F" w14:textId="77777777" w:rsidR="00E90931" w:rsidRPr="00AE4E8D" w:rsidRDefault="00E90931" w:rsidP="00E90931">
            <w:pPr>
              <w:keepNext/>
              <w:tabs>
                <w:tab w:val="right" w:leader="dot" w:pos="5310"/>
              </w:tabs>
              <w:autoSpaceDE w:val="0"/>
              <w:autoSpaceDN w:val="0"/>
              <w:adjustRightInd w:val="0"/>
              <w:spacing w:before="120"/>
              <w:jc w:val="center"/>
              <w:rPr>
                <w:rFonts w:ascii="Times New Roman" w:hAnsi="Times New Roman"/>
                <w:sz w:val="16"/>
                <w:szCs w:val="16"/>
                <w:lang w:val="es-ES" w:eastAsia="es-AR"/>
              </w:rPr>
            </w:pPr>
            <w:r w:rsidRPr="00AE4E8D">
              <w:rPr>
                <w:rFonts w:ascii="Times New Roman" w:hAnsi="Times New Roman"/>
                <w:sz w:val="16"/>
                <w:szCs w:val="16"/>
                <w:lang w:val="es-ES" w:eastAsia="es-AR"/>
              </w:rPr>
              <w:t>1%</w:t>
            </w:r>
          </w:p>
        </w:tc>
      </w:tr>
      <w:tr w:rsidR="00E90931" w:rsidRPr="00AE4E8D" w14:paraId="12BB9F55" w14:textId="77777777" w:rsidTr="000400C8">
        <w:trPr>
          <w:jc w:val="center"/>
        </w:trPr>
        <w:tc>
          <w:tcPr>
            <w:tcW w:w="3048" w:type="pct"/>
            <w:hideMark/>
          </w:tcPr>
          <w:p w14:paraId="4BBFFEC8" w14:textId="77777777" w:rsidR="00E90931" w:rsidRPr="00AE4E8D" w:rsidRDefault="00E90931" w:rsidP="00E90931">
            <w:pPr>
              <w:keepNext/>
              <w:tabs>
                <w:tab w:val="right" w:leader="dot" w:pos="5387"/>
              </w:tabs>
              <w:autoSpaceDE w:val="0"/>
              <w:autoSpaceDN w:val="0"/>
              <w:adjustRightInd w:val="0"/>
              <w:jc w:val="both"/>
              <w:rPr>
                <w:rFonts w:ascii="Times New Roman" w:hAnsi="Times New Roman"/>
                <w:sz w:val="16"/>
                <w:szCs w:val="16"/>
                <w:lang w:val="es-ES" w:eastAsia="es-AR"/>
              </w:rPr>
            </w:pPr>
            <w:r w:rsidRPr="00AE4E8D">
              <w:rPr>
                <w:rFonts w:ascii="Times New Roman" w:hAnsi="Times New Roman"/>
                <w:sz w:val="16"/>
                <w:szCs w:val="16"/>
                <w:lang w:val="es-ES" w:eastAsia="es-AR"/>
              </w:rPr>
              <w:t>“En observación” y “Bajo Riesgo”</w:t>
            </w:r>
            <w:r w:rsidRPr="00AE4E8D">
              <w:rPr>
                <w:rFonts w:ascii="Times New Roman" w:hAnsi="Times New Roman"/>
                <w:sz w:val="18"/>
                <w:szCs w:val="18"/>
                <w:lang w:val="es-ES" w:eastAsia="es-AR"/>
              </w:rPr>
              <w:t xml:space="preserve"> </w:t>
            </w:r>
            <w:r w:rsidRPr="00AE4E8D">
              <w:rPr>
                <w:rFonts w:ascii="Times New Roman" w:hAnsi="Times New Roman"/>
                <w:sz w:val="18"/>
                <w:szCs w:val="18"/>
                <w:lang w:val="es-ES" w:eastAsia="es-AR"/>
              </w:rPr>
              <w:tab/>
            </w:r>
          </w:p>
        </w:tc>
        <w:tc>
          <w:tcPr>
            <w:tcW w:w="1016" w:type="pct"/>
            <w:hideMark/>
          </w:tcPr>
          <w:p w14:paraId="1F9E2503"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3%</w:t>
            </w:r>
          </w:p>
        </w:tc>
        <w:tc>
          <w:tcPr>
            <w:tcW w:w="936" w:type="pct"/>
            <w:vAlign w:val="bottom"/>
            <w:hideMark/>
          </w:tcPr>
          <w:p w14:paraId="10FE9C37"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5%</w:t>
            </w:r>
          </w:p>
        </w:tc>
      </w:tr>
      <w:tr w:rsidR="00E90931" w:rsidRPr="00AE4E8D" w14:paraId="6EAEF671" w14:textId="77777777" w:rsidTr="000400C8">
        <w:trPr>
          <w:jc w:val="center"/>
        </w:trPr>
        <w:tc>
          <w:tcPr>
            <w:tcW w:w="3048" w:type="pct"/>
            <w:hideMark/>
          </w:tcPr>
          <w:p w14:paraId="42DC3FF1" w14:textId="77777777" w:rsidR="00E90931" w:rsidRPr="00AE4E8D" w:rsidRDefault="00E90931" w:rsidP="00E90931">
            <w:pPr>
              <w:keepNext/>
              <w:tabs>
                <w:tab w:val="right" w:leader="dot" w:pos="5387"/>
              </w:tabs>
              <w:autoSpaceDE w:val="0"/>
              <w:autoSpaceDN w:val="0"/>
              <w:adjustRightInd w:val="0"/>
              <w:jc w:val="both"/>
              <w:rPr>
                <w:rFonts w:ascii="Times New Roman" w:hAnsi="Times New Roman"/>
                <w:sz w:val="16"/>
                <w:szCs w:val="16"/>
                <w:lang w:val="es-ES" w:eastAsia="es-AR"/>
              </w:rPr>
            </w:pPr>
            <w:r w:rsidRPr="00AE4E8D">
              <w:rPr>
                <w:rFonts w:ascii="Times New Roman" w:hAnsi="Times New Roman"/>
                <w:sz w:val="16"/>
                <w:szCs w:val="16"/>
                <w:lang w:val="es-ES" w:eastAsia="es-AR"/>
              </w:rPr>
              <w:t>“Bajo negociación o convenio de refinanciamiento”</w:t>
            </w:r>
            <w:r w:rsidRPr="00AE4E8D">
              <w:rPr>
                <w:rFonts w:ascii="Times New Roman" w:hAnsi="Times New Roman"/>
                <w:sz w:val="18"/>
                <w:szCs w:val="18"/>
                <w:lang w:val="es-ES" w:eastAsia="es-AR"/>
              </w:rPr>
              <w:t xml:space="preserve"> </w:t>
            </w:r>
            <w:r w:rsidRPr="00AE4E8D">
              <w:rPr>
                <w:rFonts w:ascii="Times New Roman" w:hAnsi="Times New Roman"/>
                <w:sz w:val="18"/>
                <w:szCs w:val="18"/>
                <w:lang w:val="es-ES" w:eastAsia="es-AR"/>
              </w:rPr>
              <w:tab/>
            </w:r>
          </w:p>
        </w:tc>
        <w:tc>
          <w:tcPr>
            <w:tcW w:w="1016" w:type="pct"/>
            <w:hideMark/>
          </w:tcPr>
          <w:p w14:paraId="168DE602"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6%</w:t>
            </w:r>
          </w:p>
        </w:tc>
        <w:tc>
          <w:tcPr>
            <w:tcW w:w="936" w:type="pct"/>
            <w:vAlign w:val="bottom"/>
            <w:hideMark/>
          </w:tcPr>
          <w:p w14:paraId="5CBD8BF4"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12%</w:t>
            </w:r>
          </w:p>
        </w:tc>
      </w:tr>
      <w:tr w:rsidR="00E90931" w:rsidRPr="00AE4E8D" w14:paraId="3AE95DFE" w14:textId="77777777" w:rsidTr="000400C8">
        <w:trPr>
          <w:jc w:val="center"/>
        </w:trPr>
        <w:tc>
          <w:tcPr>
            <w:tcW w:w="3048" w:type="pct"/>
            <w:hideMark/>
          </w:tcPr>
          <w:p w14:paraId="49312EFB" w14:textId="77777777" w:rsidR="00E90931" w:rsidRPr="00AE4E8D" w:rsidRDefault="00E90931" w:rsidP="00E90931">
            <w:pPr>
              <w:keepNext/>
              <w:tabs>
                <w:tab w:val="right" w:leader="dot" w:pos="5387"/>
              </w:tabs>
              <w:autoSpaceDE w:val="0"/>
              <w:autoSpaceDN w:val="0"/>
              <w:adjustRightInd w:val="0"/>
              <w:jc w:val="both"/>
              <w:rPr>
                <w:rFonts w:ascii="Times New Roman" w:hAnsi="Times New Roman"/>
                <w:sz w:val="16"/>
                <w:szCs w:val="16"/>
                <w:lang w:val="es-ES" w:eastAsia="es-AR"/>
              </w:rPr>
            </w:pPr>
            <w:r w:rsidRPr="00AE4E8D">
              <w:rPr>
                <w:rFonts w:ascii="Times New Roman" w:hAnsi="Times New Roman"/>
                <w:sz w:val="16"/>
                <w:szCs w:val="16"/>
                <w:lang w:val="es-ES" w:eastAsia="es-AR"/>
              </w:rPr>
              <w:t>“Con Problemas” y “Riesgo Medio”</w:t>
            </w:r>
            <w:r w:rsidRPr="00AE4E8D">
              <w:rPr>
                <w:rFonts w:ascii="Times New Roman" w:hAnsi="Times New Roman"/>
                <w:sz w:val="18"/>
                <w:szCs w:val="18"/>
                <w:lang w:val="es-ES" w:eastAsia="es-AR"/>
              </w:rPr>
              <w:t xml:space="preserve"> </w:t>
            </w:r>
            <w:r w:rsidRPr="00AE4E8D">
              <w:rPr>
                <w:rFonts w:ascii="Times New Roman" w:hAnsi="Times New Roman"/>
                <w:sz w:val="18"/>
                <w:szCs w:val="18"/>
                <w:lang w:val="es-ES" w:eastAsia="es-AR"/>
              </w:rPr>
              <w:tab/>
            </w:r>
          </w:p>
        </w:tc>
        <w:tc>
          <w:tcPr>
            <w:tcW w:w="1016" w:type="pct"/>
            <w:hideMark/>
          </w:tcPr>
          <w:p w14:paraId="7EE43C9B"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12%</w:t>
            </w:r>
          </w:p>
        </w:tc>
        <w:tc>
          <w:tcPr>
            <w:tcW w:w="936" w:type="pct"/>
            <w:vAlign w:val="bottom"/>
            <w:hideMark/>
          </w:tcPr>
          <w:p w14:paraId="14F5F5F4"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25%</w:t>
            </w:r>
          </w:p>
        </w:tc>
      </w:tr>
      <w:tr w:rsidR="00E90931" w:rsidRPr="00AE4E8D" w14:paraId="2EEC1CB3" w14:textId="77777777" w:rsidTr="000400C8">
        <w:trPr>
          <w:jc w:val="center"/>
        </w:trPr>
        <w:tc>
          <w:tcPr>
            <w:tcW w:w="3048" w:type="pct"/>
            <w:hideMark/>
          </w:tcPr>
          <w:p w14:paraId="25C7B6A3" w14:textId="77777777" w:rsidR="00E90931" w:rsidRPr="00AE4E8D" w:rsidRDefault="00E90931" w:rsidP="00E90931">
            <w:pPr>
              <w:keepNext/>
              <w:tabs>
                <w:tab w:val="right" w:leader="dot" w:pos="5387"/>
              </w:tabs>
              <w:jc w:val="both"/>
              <w:rPr>
                <w:rFonts w:ascii="Times New Roman" w:hAnsi="Times New Roman"/>
                <w:sz w:val="16"/>
                <w:szCs w:val="16"/>
                <w:lang w:val="es-ES" w:eastAsia="es-AR"/>
              </w:rPr>
            </w:pPr>
            <w:r w:rsidRPr="00AE4E8D">
              <w:rPr>
                <w:rFonts w:ascii="Times New Roman" w:hAnsi="Times New Roman"/>
                <w:sz w:val="16"/>
                <w:szCs w:val="16"/>
                <w:lang w:val="es-ES" w:eastAsia="es-AR"/>
              </w:rPr>
              <w:t>“Con alto riesgo de insolvencia” y “Alto Riesgo”</w:t>
            </w:r>
            <w:r w:rsidRPr="00AE4E8D">
              <w:rPr>
                <w:rFonts w:ascii="Times New Roman" w:hAnsi="Times New Roman"/>
                <w:sz w:val="18"/>
                <w:szCs w:val="18"/>
                <w:lang w:val="es-ES" w:eastAsia="es-AR"/>
              </w:rPr>
              <w:t xml:space="preserve"> </w:t>
            </w:r>
            <w:r w:rsidRPr="00AE4E8D">
              <w:rPr>
                <w:rFonts w:ascii="Times New Roman" w:hAnsi="Times New Roman"/>
                <w:sz w:val="18"/>
                <w:szCs w:val="18"/>
                <w:lang w:val="es-ES" w:eastAsia="es-AR"/>
              </w:rPr>
              <w:tab/>
            </w:r>
          </w:p>
        </w:tc>
        <w:tc>
          <w:tcPr>
            <w:tcW w:w="1016" w:type="pct"/>
            <w:hideMark/>
          </w:tcPr>
          <w:p w14:paraId="79B64B20"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25%</w:t>
            </w:r>
          </w:p>
        </w:tc>
        <w:tc>
          <w:tcPr>
            <w:tcW w:w="936" w:type="pct"/>
            <w:vAlign w:val="bottom"/>
            <w:hideMark/>
          </w:tcPr>
          <w:p w14:paraId="616D0881"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50%</w:t>
            </w:r>
          </w:p>
        </w:tc>
      </w:tr>
      <w:tr w:rsidR="00E90931" w:rsidRPr="00AE4E8D" w14:paraId="0EF8912D" w14:textId="77777777" w:rsidTr="000400C8">
        <w:trPr>
          <w:jc w:val="center"/>
        </w:trPr>
        <w:tc>
          <w:tcPr>
            <w:tcW w:w="3048" w:type="pct"/>
            <w:hideMark/>
          </w:tcPr>
          <w:p w14:paraId="3315BEB8" w14:textId="77777777" w:rsidR="00E90931" w:rsidRPr="00AE4E8D" w:rsidRDefault="00E90931" w:rsidP="00E90931">
            <w:pPr>
              <w:keepNext/>
              <w:tabs>
                <w:tab w:val="right" w:leader="dot" w:pos="5387"/>
              </w:tabs>
              <w:autoSpaceDE w:val="0"/>
              <w:autoSpaceDN w:val="0"/>
              <w:adjustRightInd w:val="0"/>
              <w:jc w:val="both"/>
              <w:rPr>
                <w:rFonts w:ascii="Times New Roman" w:hAnsi="Times New Roman"/>
                <w:sz w:val="16"/>
                <w:szCs w:val="16"/>
                <w:lang w:val="es-ES" w:eastAsia="es-AR"/>
              </w:rPr>
            </w:pPr>
            <w:r w:rsidRPr="00AE4E8D">
              <w:rPr>
                <w:rFonts w:ascii="Times New Roman" w:hAnsi="Times New Roman"/>
                <w:sz w:val="16"/>
                <w:szCs w:val="16"/>
                <w:lang w:val="es-ES" w:eastAsia="es-AR"/>
              </w:rPr>
              <w:t>“Irrecuperable”</w:t>
            </w:r>
            <w:r w:rsidRPr="00AE4E8D">
              <w:rPr>
                <w:rFonts w:ascii="Times New Roman" w:hAnsi="Times New Roman"/>
                <w:sz w:val="18"/>
                <w:szCs w:val="18"/>
                <w:lang w:val="es-ES" w:eastAsia="es-AR"/>
              </w:rPr>
              <w:t xml:space="preserve"> </w:t>
            </w:r>
            <w:r w:rsidRPr="00AE4E8D">
              <w:rPr>
                <w:rFonts w:ascii="Times New Roman" w:hAnsi="Times New Roman"/>
                <w:sz w:val="18"/>
                <w:szCs w:val="18"/>
                <w:lang w:val="es-ES" w:eastAsia="es-AR"/>
              </w:rPr>
              <w:tab/>
            </w:r>
          </w:p>
        </w:tc>
        <w:tc>
          <w:tcPr>
            <w:tcW w:w="1016" w:type="pct"/>
            <w:hideMark/>
          </w:tcPr>
          <w:p w14:paraId="64425B74"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50%</w:t>
            </w:r>
          </w:p>
        </w:tc>
        <w:tc>
          <w:tcPr>
            <w:tcW w:w="936" w:type="pct"/>
            <w:vAlign w:val="bottom"/>
            <w:hideMark/>
          </w:tcPr>
          <w:p w14:paraId="60BB5D56"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100%</w:t>
            </w:r>
          </w:p>
        </w:tc>
      </w:tr>
      <w:tr w:rsidR="00E90931" w:rsidRPr="00AE4E8D" w14:paraId="714B9B52" w14:textId="77777777" w:rsidTr="000400C8">
        <w:trPr>
          <w:jc w:val="center"/>
        </w:trPr>
        <w:tc>
          <w:tcPr>
            <w:tcW w:w="3048" w:type="pct"/>
            <w:hideMark/>
          </w:tcPr>
          <w:p w14:paraId="70E61228" w14:textId="77777777" w:rsidR="00E90931" w:rsidRPr="00AE4E8D" w:rsidRDefault="00E90931" w:rsidP="00E90931">
            <w:pPr>
              <w:keepNext/>
              <w:tabs>
                <w:tab w:val="right" w:leader="dot" w:pos="5387"/>
              </w:tabs>
              <w:autoSpaceDE w:val="0"/>
              <w:autoSpaceDN w:val="0"/>
              <w:adjustRightInd w:val="0"/>
              <w:jc w:val="both"/>
              <w:rPr>
                <w:rFonts w:ascii="Times New Roman" w:hAnsi="Times New Roman"/>
                <w:sz w:val="16"/>
                <w:szCs w:val="16"/>
                <w:lang w:val="es-ES" w:eastAsia="es-AR"/>
              </w:rPr>
            </w:pPr>
            <w:r w:rsidRPr="00AE4E8D">
              <w:rPr>
                <w:rFonts w:ascii="Times New Roman" w:hAnsi="Times New Roman"/>
                <w:sz w:val="16"/>
                <w:szCs w:val="16"/>
                <w:lang w:val="es-ES" w:eastAsia="es-AR"/>
              </w:rPr>
              <w:t>“Irrecuperable por disposición técnica”</w:t>
            </w:r>
            <w:r w:rsidRPr="00AE4E8D">
              <w:rPr>
                <w:rFonts w:ascii="Times New Roman" w:hAnsi="Times New Roman"/>
                <w:sz w:val="18"/>
                <w:szCs w:val="18"/>
                <w:lang w:val="es-ES" w:eastAsia="es-AR"/>
              </w:rPr>
              <w:t xml:space="preserve"> </w:t>
            </w:r>
            <w:r w:rsidRPr="00AE4E8D">
              <w:rPr>
                <w:rFonts w:ascii="Times New Roman" w:hAnsi="Times New Roman"/>
                <w:sz w:val="18"/>
                <w:szCs w:val="18"/>
                <w:lang w:val="es-ES" w:eastAsia="es-AR"/>
              </w:rPr>
              <w:tab/>
            </w:r>
          </w:p>
        </w:tc>
        <w:tc>
          <w:tcPr>
            <w:tcW w:w="1016" w:type="pct"/>
            <w:hideMark/>
          </w:tcPr>
          <w:p w14:paraId="45538C2E"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100%</w:t>
            </w:r>
          </w:p>
        </w:tc>
        <w:tc>
          <w:tcPr>
            <w:tcW w:w="936" w:type="pct"/>
            <w:vAlign w:val="bottom"/>
            <w:hideMark/>
          </w:tcPr>
          <w:p w14:paraId="3135A019" w14:textId="77777777" w:rsidR="00E90931" w:rsidRPr="00AE4E8D" w:rsidRDefault="00E90931" w:rsidP="00E90931">
            <w:pPr>
              <w:keepNext/>
              <w:tabs>
                <w:tab w:val="right" w:leader="dot" w:pos="5310"/>
              </w:tabs>
              <w:autoSpaceDE w:val="0"/>
              <w:autoSpaceDN w:val="0"/>
              <w:adjustRightInd w:val="0"/>
              <w:jc w:val="center"/>
              <w:rPr>
                <w:rFonts w:ascii="Times New Roman" w:hAnsi="Times New Roman"/>
                <w:sz w:val="16"/>
                <w:szCs w:val="16"/>
                <w:lang w:val="es-ES" w:eastAsia="es-AR"/>
              </w:rPr>
            </w:pPr>
            <w:r w:rsidRPr="00AE4E8D">
              <w:rPr>
                <w:rFonts w:ascii="Times New Roman" w:hAnsi="Times New Roman"/>
                <w:sz w:val="16"/>
                <w:szCs w:val="16"/>
                <w:lang w:val="es-ES" w:eastAsia="es-AR"/>
              </w:rPr>
              <w:t>100%</w:t>
            </w:r>
          </w:p>
        </w:tc>
      </w:tr>
    </w:tbl>
    <w:p w14:paraId="7C929A7D" w14:textId="77777777" w:rsidR="00E90931" w:rsidRPr="00AE4E8D" w:rsidRDefault="00E90931" w:rsidP="00003798">
      <w:pPr>
        <w:pStyle w:val="BHTexto"/>
        <w:rPr>
          <w:lang w:val="es-ES"/>
        </w:rPr>
      </w:pPr>
      <w:r w:rsidRPr="00AE4E8D">
        <w:rPr>
          <w:lang w:val="es-ES"/>
        </w:rPr>
        <w:t>La Superintendencia de Entidades Financieras podría exigir previsiones adicionales si determina que el nivel actual es inadecuado.</w:t>
      </w:r>
    </w:p>
    <w:p w14:paraId="1F3D9770" w14:textId="77777777" w:rsidR="00E90931" w:rsidRPr="00AE4E8D" w:rsidRDefault="00E90931" w:rsidP="00003798">
      <w:pPr>
        <w:pStyle w:val="BHTexto"/>
        <w:rPr>
          <w:lang w:val="es-ES"/>
        </w:rPr>
      </w:pPr>
      <w:r w:rsidRPr="00AE4E8D">
        <w:rPr>
          <w:lang w:val="es-ES"/>
        </w:rPr>
        <w:t xml:space="preserve">Las entidades financieras tienen derecho a registrar previsiones por incobrabilidad por montos superiores a los exigidos por las </w:t>
      </w:r>
      <w:r w:rsidR="00A667F7" w:rsidRPr="00AE4E8D">
        <w:rPr>
          <w:lang w:val="es-ES"/>
        </w:rPr>
        <w:t>normas del BCRA</w:t>
      </w:r>
      <w:r w:rsidRPr="00AE4E8D">
        <w:rPr>
          <w:lang w:val="es-ES"/>
        </w:rPr>
        <w:t xml:space="preserve">. En tales casos y sin perjuicio de la existencia de determinadas excepciones, el hecho de registrar una previsión mayor para un crédito comercial, en la medida en que el monto de la previsión registrada quede comprendido en la siguiente categoría de la cartera de créditos establecida por las </w:t>
      </w:r>
      <w:r w:rsidR="00A667F7" w:rsidRPr="00AE4E8D">
        <w:rPr>
          <w:lang w:val="es-ES"/>
        </w:rPr>
        <w:t>normas del BCRA</w:t>
      </w:r>
      <w:r w:rsidRPr="00AE4E8D">
        <w:rPr>
          <w:lang w:val="es-ES"/>
        </w:rPr>
        <w:t>, tendrá como resultado automático que el deudor quede recategorizado de modo acorde.</w:t>
      </w:r>
    </w:p>
    <w:p w14:paraId="18E75811" w14:textId="77777777" w:rsidR="00E90931" w:rsidRPr="00AE4E8D" w:rsidRDefault="00E90931" w:rsidP="0008264A">
      <w:pPr>
        <w:pStyle w:val="BH2Izquierda"/>
        <w:rPr>
          <w:lang w:val="es-ES"/>
        </w:rPr>
      </w:pPr>
      <w:bookmarkStart w:id="371" w:name="_Toc421201383"/>
      <w:bookmarkStart w:id="372" w:name="_Toc495973005"/>
      <w:bookmarkStart w:id="373" w:name="_Toc495399912"/>
      <w:r w:rsidRPr="00AE4E8D">
        <w:rPr>
          <w:lang w:val="es-ES"/>
        </w:rPr>
        <w:t>Revisión de Frecuencia Mínima para Clasificación</w:t>
      </w:r>
      <w:bookmarkEnd w:id="371"/>
      <w:bookmarkEnd w:id="372"/>
      <w:bookmarkEnd w:id="373"/>
    </w:p>
    <w:p w14:paraId="7E2A3660" w14:textId="77777777" w:rsidR="00E90931" w:rsidRPr="00AE4E8D" w:rsidRDefault="00E90931" w:rsidP="00003798">
      <w:pPr>
        <w:pStyle w:val="BHTexto"/>
        <w:rPr>
          <w:b/>
          <w:lang w:val="es-ES"/>
        </w:rPr>
      </w:pPr>
      <w:r w:rsidRPr="00AE4E8D">
        <w:rPr>
          <w:lang w:val="es-ES"/>
        </w:rPr>
        <w:t xml:space="preserve">De acuerdo con las </w:t>
      </w:r>
      <w:r w:rsidR="00A667F7" w:rsidRPr="00AE4E8D">
        <w:rPr>
          <w:lang w:val="es-ES"/>
        </w:rPr>
        <w:t>normas del BCRA</w:t>
      </w:r>
      <w:r w:rsidRPr="00AE4E8D">
        <w:rPr>
          <w:lang w:val="es-ES"/>
        </w:rPr>
        <w:t xml:space="preserve">, las entidades financieras deben desarrollar procedimientos para el análisis de las facilidades de crédito. Tales procedimientos aseguran la debida evaluación de la situación financiera de un deudor y una revisión periódica de su situación respecto de condiciones objetivas y subjetivas de todos los riesgos asumidos. Estos procedimientos deben detallarse en un manual titulado “Manual de Procedimientos para la Clasificación y Previsiones” que es de acceso permanente para la Superintendencia de Entidades Financieras a efectos de su revisión. Las entidades financieras deben clasificar los préstamos al menos una vez al año de acuerdo con las </w:t>
      </w:r>
      <w:r w:rsidR="00A667F7" w:rsidRPr="00AE4E8D">
        <w:rPr>
          <w:lang w:val="es-ES"/>
        </w:rPr>
        <w:t>normas del BCRA</w:t>
      </w:r>
      <w:r w:rsidRPr="00AE4E8D">
        <w:rPr>
          <w:lang w:val="es-ES"/>
        </w:rPr>
        <w:t>. No obstante, se requiere una revisión trimestral para créditos que asciendan al 5% o más de la responsabilidad patrimonial computable (“</w:t>
      </w:r>
      <w:r w:rsidRPr="00AE4E8D">
        <w:rPr>
          <w:u w:val="single"/>
          <w:lang w:val="es-ES"/>
        </w:rPr>
        <w:t>RPC</w:t>
      </w:r>
      <w:r w:rsidRPr="00AE4E8D">
        <w:rPr>
          <w:lang w:val="es-ES"/>
        </w:rPr>
        <w:t>”) de la entidad y una revisión semestral para créditos que asciendan a: (i) Ps.2 millones, o (ii) oscilen entre el 1% y el 5% de la RPC de la entidad, el que sea menor</w:t>
      </w:r>
      <w:r w:rsidRPr="00AE4E8D">
        <w:rPr>
          <w:b/>
          <w:lang w:val="es-ES"/>
        </w:rPr>
        <w:t xml:space="preserve">. </w:t>
      </w:r>
    </w:p>
    <w:p w14:paraId="3474F58A" w14:textId="77777777" w:rsidR="00E90931" w:rsidRPr="00AE4E8D" w:rsidRDefault="00E90931" w:rsidP="00003798">
      <w:pPr>
        <w:pStyle w:val="BHTexto"/>
        <w:rPr>
          <w:lang w:val="es-ES"/>
        </w:rPr>
      </w:pPr>
      <w:r w:rsidRPr="00AE4E8D">
        <w:rPr>
          <w:lang w:val="es-ES"/>
        </w:rPr>
        <w:t>En el caso de los préstamos comerciales, las normas aplicables exigen que la revisión mínima de la cartera ocurra: (i) trimestralmente para clientes con deudas iguales o mayores al 5% de la RPC de la entidad financiera para el mes anterior, y (ii) semestralmente para clientes cuya deuda es (x) mayor a lo que sea menor entre 1% de la RPC de la entidad financiera para el mes anterior o Ps.4 millones, y (y) menor al 5% de la RPC de la entidad financiera para el mes anterior. Al final del primer semestre calendario, la revisión total bajo los puntos (i) y (ii) de arriba debe haberse cubierto en no menos del 50% de la cartera de préstamos comerciales de la entidad, y si fuera menor, debe completarse incorporando clientes (en orden descendente) cuya deuda total sea inferior a los límites descriptos en el punto (ii</w:t>
      </w:r>
      <w:proofErr w:type="gramStart"/>
      <w:r w:rsidRPr="00AE4E8D">
        <w:rPr>
          <w:lang w:val="es-ES"/>
        </w:rPr>
        <w:t>)(</w:t>
      </w:r>
      <w:proofErr w:type="gramEnd"/>
      <w:r w:rsidRPr="00AE4E8D">
        <w:rPr>
          <w:lang w:val="es-ES"/>
        </w:rPr>
        <w:t>x) más arriba.</w:t>
      </w:r>
    </w:p>
    <w:p w14:paraId="05FC81EF" w14:textId="77777777" w:rsidR="00E90931" w:rsidRPr="00AE4E8D" w:rsidRDefault="00E90931" w:rsidP="00003798">
      <w:pPr>
        <w:pStyle w:val="BHTexto"/>
        <w:rPr>
          <w:lang w:val="es-ES"/>
        </w:rPr>
      </w:pPr>
      <w:r w:rsidRPr="00AE4E8D">
        <w:rPr>
          <w:lang w:val="es-ES"/>
        </w:rPr>
        <w:t>Por otra parte, las entidades financieras deben reconsiderar obligatoriamente la clasificación asignada a un deudor en ciertas circunstancias, tales como cuando otra entidad financiera reduce la clasificación del deudor en la "Central de Deudores del Sistema Financiero" y otorga un 10% o más de la financiación total del deudor en el sistema financiero. Se permite una discrepancia de solo un nivel en relación con la información presentada por las entidades financieras a la “Central de Deudores del Sistema Financiero" y la menor clasificación otorgada por al menos dos otros bancos cuyo total de préstamos representa el 40% o más del total informado; si existe una discrepancia mayor, la entidad financiera recategorizar obligatoriamente al deudor.</w:t>
      </w:r>
    </w:p>
    <w:p w14:paraId="43115649" w14:textId="77777777" w:rsidR="00E90931" w:rsidRPr="00AE4E8D" w:rsidRDefault="00E90931" w:rsidP="0008264A">
      <w:pPr>
        <w:pStyle w:val="BH2Izquierda"/>
        <w:rPr>
          <w:i/>
          <w:lang w:val="es-ES"/>
        </w:rPr>
      </w:pPr>
      <w:bookmarkStart w:id="374" w:name="_Toc421201384"/>
      <w:bookmarkStart w:id="375" w:name="_Toc495973006"/>
      <w:bookmarkStart w:id="376" w:name="_Toc495399913"/>
      <w:r w:rsidRPr="00AE4E8D">
        <w:rPr>
          <w:lang w:val="es-ES"/>
        </w:rPr>
        <w:lastRenderedPageBreak/>
        <w:t>Previsiones por Incobrabilidad</w:t>
      </w:r>
      <w:bookmarkEnd w:id="374"/>
      <w:bookmarkEnd w:id="375"/>
      <w:bookmarkEnd w:id="376"/>
    </w:p>
    <w:p w14:paraId="0B280BA9" w14:textId="77777777" w:rsidR="00E90931" w:rsidRPr="00AE4E8D" w:rsidRDefault="00E90931" w:rsidP="00003798">
      <w:pPr>
        <w:pStyle w:val="BHTexto"/>
        <w:rPr>
          <w:b/>
          <w:lang w:val="es-ES"/>
        </w:rPr>
      </w:pPr>
      <w:r w:rsidRPr="00AE4E8D">
        <w:rPr>
          <w:lang w:val="es-ES"/>
        </w:rPr>
        <w:t>La previsión por riesgo de incobrabilidad es mantenida de conformidad con los requisitos reglamentarios aplicables del BCRA. Los incrementos en la previsión se basan en el nivel de crecimiento de la cartera de préstamos así como en el deterioro de la calidad de préstamos existentes, mientras que las disminuciones en la previsión se basan en reglamentaciones que requieren que los préstamos en situación irregular clasificados como “irrecuperables” sean pasados a pérdida después de determinado período de tiempo y en las decisiones de la administración de pasar a pérdida aquellos préstamos en situación irregular que evidencien una muy baja probabilidad de recuperación.</w:t>
      </w:r>
    </w:p>
    <w:p w14:paraId="1A53FD68" w14:textId="77777777" w:rsidR="009B67FC" w:rsidRPr="00AE4E8D" w:rsidRDefault="009B67FC" w:rsidP="00003798">
      <w:pPr>
        <w:pStyle w:val="BHTexto"/>
        <w:rPr>
          <w:b/>
          <w:lang w:val="es-ES"/>
        </w:rPr>
        <w:sectPr w:rsidR="009B67FC" w:rsidRPr="00AE4E8D" w:rsidSect="00B52753">
          <w:pgSz w:w="11907" w:h="16839"/>
          <w:pgMar w:top="1418" w:right="1185" w:bottom="1418" w:left="1701" w:header="709" w:footer="709" w:gutter="0"/>
          <w:cols w:space="720"/>
        </w:sectPr>
      </w:pPr>
      <w:bookmarkStart w:id="377" w:name="_Toc421201385"/>
    </w:p>
    <w:p w14:paraId="232D3C4D" w14:textId="77777777" w:rsidR="00E90931" w:rsidRPr="00AE4E8D" w:rsidRDefault="00E90931" w:rsidP="0008264A">
      <w:pPr>
        <w:pStyle w:val="BH2Izquierda"/>
        <w:rPr>
          <w:lang w:val="es-ES"/>
        </w:rPr>
      </w:pPr>
      <w:bookmarkStart w:id="378" w:name="_Toc495973007"/>
      <w:bookmarkStart w:id="379" w:name="_Toc495399914"/>
      <w:r w:rsidRPr="00AE4E8D">
        <w:rPr>
          <w:lang w:val="es-ES"/>
        </w:rPr>
        <w:lastRenderedPageBreak/>
        <w:t>Clasificación de la Cartera de Préstamos</w:t>
      </w:r>
      <w:bookmarkEnd w:id="377"/>
      <w:bookmarkEnd w:id="378"/>
      <w:bookmarkEnd w:id="379"/>
      <w:r w:rsidRPr="00AE4E8D">
        <w:rPr>
          <w:lang w:val="es-ES"/>
        </w:rPr>
        <w:t xml:space="preserve"> </w:t>
      </w:r>
    </w:p>
    <w:p w14:paraId="196F0E52" w14:textId="77777777" w:rsidR="00E90931" w:rsidRPr="00AE4E8D" w:rsidRDefault="00E90931" w:rsidP="00003798">
      <w:pPr>
        <w:pStyle w:val="BHTexto"/>
        <w:rPr>
          <w:lang w:val="es-ES"/>
        </w:rPr>
      </w:pPr>
      <w:r w:rsidRPr="00AE4E8D">
        <w:rPr>
          <w:lang w:val="es-ES"/>
        </w:rPr>
        <w:t>Los cuadros que se incluyen a continuación presentan información sobre la clasificación de préstamos por nuestra parte a las fechas que allí se indican, en base a las categorías de clasificación exigidas por el BCRA. Los montos presentados incluyen tanto el saldo de capital como el interés devengado a cobrar, conforme lo requiere el BCRA.</w:t>
      </w:r>
    </w:p>
    <w:p w14:paraId="54852A0B" w14:textId="77777777" w:rsidR="00E90931" w:rsidRPr="00AE4E8D" w:rsidRDefault="00E90931" w:rsidP="00003798">
      <w:pPr>
        <w:pStyle w:val="BHTexto"/>
        <w:rPr>
          <w:sz w:val="16"/>
          <w:lang w:val="es-ES"/>
        </w:rPr>
      </w:pPr>
    </w:p>
    <w:tbl>
      <w:tblPr>
        <w:tblW w:w="5000" w:type="pct"/>
        <w:tblCellMar>
          <w:left w:w="70" w:type="dxa"/>
          <w:right w:w="70" w:type="dxa"/>
        </w:tblCellMar>
        <w:tblLook w:val="04A0" w:firstRow="1" w:lastRow="0" w:firstColumn="1" w:lastColumn="0" w:noHBand="0" w:noVBand="1"/>
      </w:tblPr>
      <w:tblGrid>
        <w:gridCol w:w="1241"/>
        <w:gridCol w:w="3018"/>
        <w:gridCol w:w="1624"/>
        <w:gridCol w:w="979"/>
        <w:gridCol w:w="979"/>
        <w:gridCol w:w="1030"/>
        <w:gridCol w:w="1137"/>
        <w:gridCol w:w="1363"/>
        <w:gridCol w:w="1083"/>
        <w:gridCol w:w="716"/>
        <w:gridCol w:w="973"/>
      </w:tblGrid>
      <w:tr w:rsidR="00E90931" w:rsidRPr="00AE4E8D" w14:paraId="75392563" w14:textId="77777777" w:rsidTr="000400C8">
        <w:trPr>
          <w:trHeight w:val="270"/>
        </w:trPr>
        <w:tc>
          <w:tcPr>
            <w:tcW w:w="439" w:type="pct"/>
            <w:shd w:val="clear" w:color="auto" w:fill="FFFFFF"/>
            <w:noWrap/>
            <w:vAlign w:val="bottom"/>
            <w:hideMark/>
          </w:tcPr>
          <w:p w14:paraId="13AAC210"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1067" w:type="pct"/>
            <w:shd w:val="clear" w:color="auto" w:fill="FFFFFF"/>
            <w:noWrap/>
            <w:vAlign w:val="bottom"/>
            <w:hideMark/>
          </w:tcPr>
          <w:p w14:paraId="18E3A007"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95" w:type="pct"/>
            <w:gridSpan w:val="9"/>
            <w:tcBorders>
              <w:top w:val="nil"/>
              <w:left w:val="nil"/>
              <w:bottom w:val="single" w:sz="4" w:space="0" w:color="auto"/>
              <w:right w:val="nil"/>
            </w:tcBorders>
            <w:shd w:val="clear" w:color="auto" w:fill="FFFFFF"/>
            <w:noWrap/>
            <w:vAlign w:val="bottom"/>
            <w:hideMark/>
          </w:tcPr>
          <w:p w14:paraId="6F7EF991" w14:textId="77777777" w:rsidR="00E90931" w:rsidRPr="00AE4E8D" w:rsidRDefault="00E90931" w:rsidP="00E90931">
            <w:pPr>
              <w:jc w:val="center"/>
              <w:rPr>
                <w:rFonts w:ascii="Times New Roman" w:hAnsi="Times New Roman"/>
                <w:b/>
                <w:bCs/>
                <w:sz w:val="16"/>
                <w:szCs w:val="16"/>
                <w:lang w:val="es-ES" w:eastAsia="es-AR"/>
              </w:rPr>
            </w:pPr>
            <w:r w:rsidRPr="00AE4E8D">
              <w:rPr>
                <w:rFonts w:ascii="Times New Roman" w:hAnsi="Times New Roman"/>
                <w:b/>
                <w:sz w:val="16"/>
                <w:lang w:val="es-ES"/>
              </w:rPr>
              <w:t>Al 31 de diciembre de</w:t>
            </w:r>
            <w:r w:rsidRPr="00AE4E8D">
              <w:rPr>
                <w:rFonts w:ascii="Times New Roman" w:hAnsi="Times New Roman"/>
                <w:b/>
                <w:bCs/>
                <w:sz w:val="16"/>
                <w:szCs w:val="16"/>
                <w:lang w:val="es-ES" w:eastAsia="es-AR"/>
              </w:rPr>
              <w:t xml:space="preserve"> 2016</w:t>
            </w:r>
          </w:p>
        </w:tc>
      </w:tr>
      <w:tr w:rsidR="003B5193" w:rsidRPr="00AE4E8D" w14:paraId="40E569BE" w14:textId="77777777" w:rsidTr="00003798">
        <w:trPr>
          <w:trHeight w:val="270"/>
        </w:trPr>
        <w:tc>
          <w:tcPr>
            <w:tcW w:w="439" w:type="pct"/>
            <w:shd w:val="clear" w:color="auto" w:fill="FFFFFF"/>
            <w:noWrap/>
            <w:vAlign w:val="bottom"/>
            <w:hideMark/>
          </w:tcPr>
          <w:p w14:paraId="2C5C2E98"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1067" w:type="pct"/>
            <w:shd w:val="clear" w:color="auto" w:fill="FFFFFF"/>
            <w:noWrap/>
            <w:vAlign w:val="bottom"/>
            <w:hideMark/>
          </w:tcPr>
          <w:p w14:paraId="677438C9"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1629" w:type="pct"/>
            <w:gridSpan w:val="4"/>
            <w:tcBorders>
              <w:top w:val="single" w:sz="4" w:space="0" w:color="auto"/>
              <w:left w:val="single" w:sz="4" w:space="0" w:color="auto"/>
              <w:bottom w:val="single" w:sz="4" w:space="0" w:color="auto"/>
              <w:right w:val="single" w:sz="4" w:space="0" w:color="000000"/>
            </w:tcBorders>
            <w:shd w:val="clear" w:color="auto" w:fill="FFFFFF"/>
            <w:noWrap/>
            <w:vAlign w:val="bottom"/>
            <w:hideMark/>
          </w:tcPr>
          <w:p w14:paraId="70B3605E"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Consumo</w:t>
            </w:r>
          </w:p>
        </w:tc>
        <w:tc>
          <w:tcPr>
            <w:tcW w:w="1520" w:type="pct"/>
            <w:gridSpan w:val="4"/>
            <w:tcBorders>
              <w:top w:val="single" w:sz="4" w:space="0" w:color="auto"/>
              <w:left w:val="nil"/>
              <w:bottom w:val="single" w:sz="4" w:space="0" w:color="auto"/>
              <w:right w:val="single" w:sz="4" w:space="0" w:color="000000"/>
            </w:tcBorders>
            <w:shd w:val="clear" w:color="auto" w:fill="FFFFFF"/>
            <w:noWrap/>
            <w:vAlign w:val="bottom"/>
            <w:hideMark/>
          </w:tcPr>
          <w:p w14:paraId="2C84DED3"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Comercial</w:t>
            </w:r>
          </w:p>
        </w:tc>
        <w:tc>
          <w:tcPr>
            <w:tcW w:w="346" w:type="pct"/>
            <w:tcBorders>
              <w:top w:val="nil"/>
              <w:left w:val="nil"/>
              <w:bottom w:val="single" w:sz="4" w:space="0" w:color="auto"/>
              <w:right w:val="single" w:sz="4" w:space="0" w:color="auto"/>
            </w:tcBorders>
            <w:shd w:val="clear" w:color="auto" w:fill="FFFFFF"/>
            <w:noWrap/>
            <w:vAlign w:val="bottom"/>
            <w:hideMark/>
          </w:tcPr>
          <w:p w14:paraId="0065150E"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Total</w:t>
            </w:r>
          </w:p>
        </w:tc>
      </w:tr>
      <w:tr w:rsidR="003B5193" w:rsidRPr="00AE4E8D" w14:paraId="54BAE763" w14:textId="77777777" w:rsidTr="00003798">
        <w:trPr>
          <w:trHeight w:val="270"/>
        </w:trPr>
        <w:tc>
          <w:tcPr>
            <w:tcW w:w="439" w:type="pct"/>
            <w:shd w:val="clear" w:color="auto" w:fill="FFFFFF"/>
            <w:noWrap/>
            <w:vAlign w:val="bottom"/>
            <w:hideMark/>
          </w:tcPr>
          <w:p w14:paraId="3C166595"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1067" w:type="pct"/>
            <w:shd w:val="clear" w:color="auto" w:fill="FFFFFF"/>
            <w:noWrap/>
            <w:vAlign w:val="bottom"/>
            <w:hideMark/>
          </w:tcPr>
          <w:p w14:paraId="4243D8E6"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574" w:type="pct"/>
            <w:shd w:val="clear" w:color="auto" w:fill="FFFFFF"/>
            <w:noWrap/>
            <w:vAlign w:val="bottom"/>
            <w:hideMark/>
          </w:tcPr>
          <w:p w14:paraId="3FE4CC3E"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Prest. Hipotecarios</w:t>
            </w:r>
          </w:p>
        </w:tc>
        <w:tc>
          <w:tcPr>
            <w:tcW w:w="346" w:type="pct"/>
            <w:shd w:val="clear" w:color="auto" w:fill="FFFFFF"/>
            <w:noWrap/>
            <w:vAlign w:val="bottom"/>
            <w:hideMark/>
          </w:tcPr>
          <w:p w14:paraId="477C3473"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Personales</w:t>
            </w:r>
          </w:p>
        </w:tc>
        <w:tc>
          <w:tcPr>
            <w:tcW w:w="346" w:type="pct"/>
            <w:shd w:val="clear" w:color="auto" w:fill="FFFFFF"/>
            <w:noWrap/>
            <w:vAlign w:val="bottom"/>
            <w:hideMark/>
          </w:tcPr>
          <w:p w14:paraId="02F4F606"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Tarjetas y</w:t>
            </w:r>
          </w:p>
        </w:tc>
        <w:tc>
          <w:tcPr>
            <w:tcW w:w="364" w:type="pct"/>
            <w:shd w:val="clear" w:color="auto" w:fill="FFFFFF"/>
            <w:noWrap/>
            <w:vAlign w:val="bottom"/>
            <w:hideMark/>
          </w:tcPr>
          <w:p w14:paraId="0A8EFA48"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Otros</w:t>
            </w:r>
          </w:p>
        </w:tc>
        <w:tc>
          <w:tcPr>
            <w:tcW w:w="402" w:type="pct"/>
            <w:shd w:val="clear" w:color="auto" w:fill="FFFFFF"/>
            <w:noWrap/>
            <w:vAlign w:val="bottom"/>
            <w:hideMark/>
          </w:tcPr>
          <w:p w14:paraId="2A24552E"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Construcci</w:t>
            </w:r>
            <w:r w:rsidR="00934FBF" w:rsidRPr="00AE4E8D">
              <w:rPr>
                <w:rFonts w:ascii="Times New Roman" w:hAnsi="Times New Roman"/>
                <w:sz w:val="16"/>
                <w:szCs w:val="16"/>
                <w:lang w:val="es-ES" w:eastAsia="es-AR"/>
              </w:rPr>
              <w:t>ó</w:t>
            </w:r>
            <w:r w:rsidRPr="00AE4E8D">
              <w:rPr>
                <w:rFonts w:ascii="Times New Roman" w:hAnsi="Times New Roman"/>
                <w:sz w:val="16"/>
                <w:szCs w:val="16"/>
                <w:lang w:val="es-ES" w:eastAsia="es-AR"/>
              </w:rPr>
              <w:t>n</w:t>
            </w:r>
          </w:p>
        </w:tc>
        <w:tc>
          <w:tcPr>
            <w:tcW w:w="482" w:type="pct"/>
            <w:shd w:val="clear" w:color="auto" w:fill="FFFFFF"/>
            <w:noWrap/>
            <w:vAlign w:val="bottom"/>
            <w:hideMark/>
          </w:tcPr>
          <w:p w14:paraId="4EE498F2"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Asistencia corto</w:t>
            </w:r>
          </w:p>
        </w:tc>
        <w:tc>
          <w:tcPr>
            <w:tcW w:w="383" w:type="pct"/>
            <w:shd w:val="clear" w:color="auto" w:fill="FFFFFF"/>
            <w:noWrap/>
            <w:vAlign w:val="bottom"/>
            <w:hideMark/>
          </w:tcPr>
          <w:p w14:paraId="32CC654D"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Otros</w:t>
            </w:r>
          </w:p>
        </w:tc>
        <w:tc>
          <w:tcPr>
            <w:tcW w:w="253" w:type="pct"/>
            <w:shd w:val="clear" w:color="auto" w:fill="FFFFFF"/>
            <w:noWrap/>
            <w:vAlign w:val="bottom"/>
            <w:hideMark/>
          </w:tcPr>
          <w:p w14:paraId="665713FC"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Sector</w:t>
            </w:r>
          </w:p>
        </w:tc>
        <w:tc>
          <w:tcPr>
            <w:tcW w:w="346" w:type="pct"/>
            <w:shd w:val="clear" w:color="auto" w:fill="FFFFFF"/>
            <w:noWrap/>
            <w:vAlign w:val="bottom"/>
            <w:hideMark/>
          </w:tcPr>
          <w:p w14:paraId="35A6A2A8"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r>
      <w:tr w:rsidR="003B5193" w:rsidRPr="00AE4E8D" w14:paraId="0F35D09C" w14:textId="77777777" w:rsidTr="00003798">
        <w:trPr>
          <w:trHeight w:val="270"/>
        </w:trPr>
        <w:tc>
          <w:tcPr>
            <w:tcW w:w="439" w:type="pct"/>
            <w:tcBorders>
              <w:top w:val="nil"/>
              <w:left w:val="nil"/>
              <w:bottom w:val="single" w:sz="4" w:space="0" w:color="auto"/>
              <w:right w:val="nil"/>
            </w:tcBorders>
            <w:shd w:val="clear" w:color="auto" w:fill="FFFFFF"/>
            <w:noWrap/>
            <w:vAlign w:val="bottom"/>
            <w:hideMark/>
          </w:tcPr>
          <w:p w14:paraId="214BB16F" w14:textId="77777777" w:rsidR="00E90931" w:rsidRPr="00AE4E8D" w:rsidRDefault="00934FBF" w:rsidP="00E90931">
            <w:pPr>
              <w:rPr>
                <w:rFonts w:ascii="Times New Roman" w:hAnsi="Times New Roman"/>
                <w:sz w:val="16"/>
                <w:szCs w:val="16"/>
                <w:lang w:val="es-ES" w:eastAsia="es-AR"/>
              </w:rPr>
            </w:pPr>
            <w:r w:rsidRPr="00AE4E8D">
              <w:rPr>
                <w:rFonts w:ascii="Times New Roman" w:hAnsi="Times New Roman"/>
                <w:sz w:val="16"/>
                <w:szCs w:val="16"/>
                <w:lang w:val="es-ES" w:eastAsia="es-AR"/>
              </w:rPr>
              <w:t>Categorías</w:t>
            </w:r>
            <w:r w:rsidR="00E90931" w:rsidRPr="00AE4E8D">
              <w:rPr>
                <w:rFonts w:ascii="Times New Roman" w:hAnsi="Times New Roman"/>
                <w:sz w:val="16"/>
                <w:szCs w:val="16"/>
                <w:lang w:val="es-ES" w:eastAsia="es-AR"/>
              </w:rPr>
              <w:t>/d</w:t>
            </w:r>
            <w:r w:rsidRPr="00AE4E8D">
              <w:rPr>
                <w:rFonts w:ascii="Times New Roman" w:hAnsi="Times New Roman"/>
                <w:sz w:val="16"/>
                <w:szCs w:val="16"/>
                <w:lang w:val="es-ES" w:eastAsia="es-AR"/>
              </w:rPr>
              <w:t>í</w:t>
            </w:r>
            <w:r w:rsidR="00E90931" w:rsidRPr="00AE4E8D">
              <w:rPr>
                <w:rFonts w:ascii="Times New Roman" w:hAnsi="Times New Roman"/>
                <w:sz w:val="16"/>
                <w:szCs w:val="16"/>
                <w:lang w:val="es-ES" w:eastAsia="es-AR"/>
              </w:rPr>
              <w:t>as</w:t>
            </w:r>
          </w:p>
        </w:tc>
        <w:tc>
          <w:tcPr>
            <w:tcW w:w="1067" w:type="pct"/>
            <w:tcBorders>
              <w:top w:val="nil"/>
              <w:left w:val="nil"/>
              <w:bottom w:val="single" w:sz="4" w:space="0" w:color="auto"/>
              <w:right w:val="nil"/>
            </w:tcBorders>
            <w:shd w:val="clear" w:color="auto" w:fill="FFFFFF"/>
            <w:noWrap/>
            <w:vAlign w:val="bottom"/>
            <w:hideMark/>
          </w:tcPr>
          <w:p w14:paraId="6FE2BB73"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574" w:type="pct"/>
            <w:tcBorders>
              <w:top w:val="nil"/>
              <w:left w:val="nil"/>
              <w:bottom w:val="single" w:sz="4" w:space="0" w:color="auto"/>
              <w:right w:val="nil"/>
            </w:tcBorders>
            <w:shd w:val="clear" w:color="auto" w:fill="FFFFFF"/>
            <w:noWrap/>
            <w:vAlign w:val="bottom"/>
            <w:hideMark/>
          </w:tcPr>
          <w:p w14:paraId="683E1998"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6" w:type="pct"/>
            <w:tcBorders>
              <w:top w:val="nil"/>
              <w:left w:val="nil"/>
              <w:bottom w:val="single" w:sz="4" w:space="0" w:color="auto"/>
              <w:right w:val="nil"/>
            </w:tcBorders>
            <w:shd w:val="clear" w:color="auto" w:fill="FFFFFF"/>
            <w:noWrap/>
            <w:vAlign w:val="bottom"/>
            <w:hideMark/>
          </w:tcPr>
          <w:p w14:paraId="3168CEEF"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6" w:type="pct"/>
            <w:tcBorders>
              <w:top w:val="nil"/>
              <w:left w:val="nil"/>
              <w:bottom w:val="single" w:sz="4" w:space="0" w:color="auto"/>
              <w:right w:val="nil"/>
            </w:tcBorders>
            <w:shd w:val="clear" w:color="auto" w:fill="FFFFFF"/>
            <w:noWrap/>
            <w:vAlign w:val="bottom"/>
            <w:hideMark/>
          </w:tcPr>
          <w:p w14:paraId="1CD78430"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Adelantos</w:t>
            </w:r>
          </w:p>
        </w:tc>
        <w:tc>
          <w:tcPr>
            <w:tcW w:w="364" w:type="pct"/>
            <w:tcBorders>
              <w:top w:val="nil"/>
              <w:left w:val="nil"/>
              <w:bottom w:val="single" w:sz="4" w:space="0" w:color="auto"/>
              <w:right w:val="nil"/>
            </w:tcBorders>
            <w:shd w:val="clear" w:color="auto" w:fill="FFFFFF"/>
            <w:noWrap/>
            <w:vAlign w:val="bottom"/>
            <w:hideMark/>
          </w:tcPr>
          <w:p w14:paraId="12F6E55B"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Individuales</w:t>
            </w:r>
          </w:p>
        </w:tc>
        <w:tc>
          <w:tcPr>
            <w:tcW w:w="402" w:type="pct"/>
            <w:tcBorders>
              <w:top w:val="nil"/>
              <w:left w:val="nil"/>
              <w:bottom w:val="single" w:sz="4" w:space="0" w:color="auto"/>
              <w:right w:val="nil"/>
            </w:tcBorders>
            <w:shd w:val="clear" w:color="auto" w:fill="FFFFFF"/>
            <w:noWrap/>
            <w:vAlign w:val="bottom"/>
            <w:hideMark/>
          </w:tcPr>
          <w:p w14:paraId="24C98537"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482" w:type="pct"/>
            <w:tcBorders>
              <w:top w:val="nil"/>
              <w:left w:val="nil"/>
              <w:bottom w:val="single" w:sz="4" w:space="0" w:color="auto"/>
              <w:right w:val="nil"/>
            </w:tcBorders>
            <w:shd w:val="clear" w:color="auto" w:fill="FFFFFF"/>
            <w:noWrap/>
            <w:vAlign w:val="bottom"/>
            <w:hideMark/>
          </w:tcPr>
          <w:p w14:paraId="62084873"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plazo empresas</w:t>
            </w:r>
          </w:p>
        </w:tc>
        <w:tc>
          <w:tcPr>
            <w:tcW w:w="383" w:type="pct"/>
            <w:tcBorders>
              <w:top w:val="nil"/>
              <w:left w:val="nil"/>
              <w:bottom w:val="single" w:sz="4" w:space="0" w:color="auto"/>
              <w:right w:val="nil"/>
            </w:tcBorders>
            <w:shd w:val="clear" w:color="auto" w:fill="FFFFFF"/>
            <w:noWrap/>
            <w:vAlign w:val="bottom"/>
            <w:hideMark/>
          </w:tcPr>
          <w:p w14:paraId="72D049D4"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Comerciales</w:t>
            </w:r>
          </w:p>
        </w:tc>
        <w:tc>
          <w:tcPr>
            <w:tcW w:w="253" w:type="pct"/>
            <w:tcBorders>
              <w:top w:val="nil"/>
              <w:left w:val="nil"/>
              <w:bottom w:val="single" w:sz="4" w:space="0" w:color="auto"/>
              <w:right w:val="nil"/>
            </w:tcBorders>
            <w:shd w:val="clear" w:color="auto" w:fill="FFFFFF"/>
            <w:noWrap/>
            <w:vAlign w:val="bottom"/>
            <w:hideMark/>
          </w:tcPr>
          <w:p w14:paraId="3BAD32FE"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Público</w:t>
            </w:r>
          </w:p>
        </w:tc>
        <w:tc>
          <w:tcPr>
            <w:tcW w:w="346" w:type="pct"/>
            <w:tcBorders>
              <w:top w:val="nil"/>
              <w:left w:val="nil"/>
              <w:bottom w:val="single" w:sz="4" w:space="0" w:color="auto"/>
              <w:right w:val="nil"/>
            </w:tcBorders>
            <w:shd w:val="clear" w:color="auto" w:fill="FFFFFF"/>
            <w:noWrap/>
            <w:vAlign w:val="bottom"/>
            <w:hideMark/>
          </w:tcPr>
          <w:p w14:paraId="7E8A002E"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r>
      <w:tr w:rsidR="00E90931" w:rsidRPr="00AE4E8D" w14:paraId="386A5ABD" w14:textId="77777777" w:rsidTr="000400C8">
        <w:trPr>
          <w:trHeight w:val="270"/>
        </w:trPr>
        <w:tc>
          <w:tcPr>
            <w:tcW w:w="439" w:type="pct"/>
            <w:shd w:val="clear" w:color="auto" w:fill="FFFFFF"/>
            <w:noWrap/>
            <w:vAlign w:val="bottom"/>
            <w:hideMark/>
          </w:tcPr>
          <w:p w14:paraId="1E90B9BB"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1067" w:type="pct"/>
            <w:shd w:val="clear" w:color="auto" w:fill="FFFFFF"/>
            <w:noWrap/>
            <w:vAlign w:val="bottom"/>
            <w:hideMark/>
          </w:tcPr>
          <w:p w14:paraId="3131F23B"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95" w:type="pct"/>
            <w:gridSpan w:val="9"/>
            <w:tcBorders>
              <w:top w:val="single" w:sz="4" w:space="0" w:color="auto"/>
              <w:left w:val="nil"/>
              <w:bottom w:val="nil"/>
              <w:right w:val="nil"/>
            </w:tcBorders>
            <w:shd w:val="clear" w:color="auto" w:fill="FFFFFF"/>
            <w:noWrap/>
            <w:vAlign w:val="bottom"/>
            <w:hideMark/>
          </w:tcPr>
          <w:p w14:paraId="64269D38"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(En miles de pesos excepto porcentajes)</w:t>
            </w:r>
          </w:p>
        </w:tc>
      </w:tr>
      <w:tr w:rsidR="003B5193" w:rsidRPr="00AE4E8D" w14:paraId="51536726" w14:textId="77777777" w:rsidTr="00003798">
        <w:trPr>
          <w:trHeight w:val="270"/>
        </w:trPr>
        <w:tc>
          <w:tcPr>
            <w:tcW w:w="439" w:type="pct"/>
            <w:shd w:val="clear" w:color="auto" w:fill="FFFFFF"/>
            <w:noWrap/>
            <w:vAlign w:val="bottom"/>
            <w:hideMark/>
          </w:tcPr>
          <w:p w14:paraId="6327E5FD"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1067" w:type="pct"/>
            <w:shd w:val="clear" w:color="auto" w:fill="FFFFFF"/>
            <w:noWrap/>
            <w:vAlign w:val="bottom"/>
            <w:hideMark/>
          </w:tcPr>
          <w:p w14:paraId="0CAF193E"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574" w:type="pct"/>
            <w:shd w:val="clear" w:color="auto" w:fill="FFFFFF"/>
            <w:noWrap/>
            <w:vAlign w:val="bottom"/>
            <w:hideMark/>
          </w:tcPr>
          <w:p w14:paraId="34681C71"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6" w:type="pct"/>
            <w:shd w:val="clear" w:color="auto" w:fill="FFFFFF"/>
            <w:noWrap/>
            <w:vAlign w:val="bottom"/>
            <w:hideMark/>
          </w:tcPr>
          <w:p w14:paraId="1917E861"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6" w:type="pct"/>
            <w:shd w:val="clear" w:color="auto" w:fill="FFFFFF"/>
            <w:noWrap/>
            <w:vAlign w:val="bottom"/>
            <w:hideMark/>
          </w:tcPr>
          <w:p w14:paraId="453A9619"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64" w:type="pct"/>
            <w:shd w:val="clear" w:color="auto" w:fill="FFFFFF"/>
            <w:noWrap/>
            <w:vAlign w:val="bottom"/>
            <w:hideMark/>
          </w:tcPr>
          <w:p w14:paraId="739D1425"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402" w:type="pct"/>
            <w:shd w:val="clear" w:color="auto" w:fill="FFFFFF"/>
            <w:noWrap/>
            <w:vAlign w:val="bottom"/>
            <w:hideMark/>
          </w:tcPr>
          <w:p w14:paraId="6C1AD230"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482" w:type="pct"/>
            <w:shd w:val="clear" w:color="auto" w:fill="FFFFFF"/>
            <w:noWrap/>
            <w:vAlign w:val="bottom"/>
            <w:hideMark/>
          </w:tcPr>
          <w:p w14:paraId="5BFE7A4A"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83" w:type="pct"/>
            <w:shd w:val="clear" w:color="auto" w:fill="FFFFFF"/>
            <w:noWrap/>
            <w:vAlign w:val="bottom"/>
            <w:hideMark/>
          </w:tcPr>
          <w:p w14:paraId="4CA656A7"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253" w:type="pct"/>
            <w:shd w:val="clear" w:color="auto" w:fill="FFFFFF"/>
            <w:noWrap/>
            <w:vAlign w:val="bottom"/>
            <w:hideMark/>
          </w:tcPr>
          <w:p w14:paraId="2457227B"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6" w:type="pct"/>
            <w:shd w:val="clear" w:color="auto" w:fill="FFFFFF"/>
            <w:noWrap/>
            <w:vAlign w:val="bottom"/>
            <w:hideMark/>
          </w:tcPr>
          <w:p w14:paraId="3DD28C0B" w14:textId="77777777" w:rsidR="00E90931" w:rsidRPr="00AE4E8D" w:rsidRDefault="00E90931" w:rsidP="00E90931">
            <w:pPr>
              <w:jc w:val="center"/>
              <w:rPr>
                <w:rFonts w:ascii="Times New Roman" w:hAnsi="Times New Roman"/>
                <w:sz w:val="16"/>
                <w:szCs w:val="16"/>
                <w:lang w:val="es-ES" w:eastAsia="es-AR"/>
              </w:rPr>
            </w:pPr>
            <w:r w:rsidRPr="00AE4E8D">
              <w:rPr>
                <w:rFonts w:ascii="Times New Roman" w:hAnsi="Times New Roman"/>
                <w:sz w:val="16"/>
                <w:szCs w:val="16"/>
                <w:lang w:val="es-ES" w:eastAsia="es-AR"/>
              </w:rPr>
              <w:t> </w:t>
            </w:r>
          </w:p>
        </w:tc>
      </w:tr>
      <w:tr w:rsidR="003B5193" w:rsidRPr="00AE4E8D" w14:paraId="4BB1B781" w14:textId="77777777" w:rsidTr="00003798">
        <w:trPr>
          <w:trHeight w:val="255"/>
        </w:trPr>
        <w:tc>
          <w:tcPr>
            <w:tcW w:w="439" w:type="pct"/>
            <w:shd w:val="clear" w:color="auto" w:fill="FFFFFF"/>
            <w:noWrap/>
            <w:vAlign w:val="bottom"/>
            <w:hideMark/>
          </w:tcPr>
          <w:p w14:paraId="07A8FEE4"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Normal (0-30)</w:t>
            </w:r>
          </w:p>
        </w:tc>
        <w:tc>
          <w:tcPr>
            <w:tcW w:w="1067" w:type="pct"/>
            <w:shd w:val="clear" w:color="auto" w:fill="FFFFFF"/>
            <w:noWrap/>
            <w:vAlign w:val="bottom"/>
            <w:hideMark/>
          </w:tcPr>
          <w:p w14:paraId="79471B62"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574" w:type="pct"/>
            <w:shd w:val="clear" w:color="auto" w:fill="FFFFFF"/>
            <w:noWrap/>
            <w:vAlign w:val="bottom"/>
            <w:hideMark/>
          </w:tcPr>
          <w:p w14:paraId="37F28566"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1.729.473</w:t>
            </w:r>
          </w:p>
        </w:tc>
        <w:tc>
          <w:tcPr>
            <w:tcW w:w="346" w:type="pct"/>
            <w:shd w:val="clear" w:color="auto" w:fill="FFFFFF"/>
            <w:noWrap/>
            <w:vAlign w:val="bottom"/>
            <w:hideMark/>
          </w:tcPr>
          <w:p w14:paraId="6DF46B33"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4.154.664</w:t>
            </w:r>
          </w:p>
        </w:tc>
        <w:tc>
          <w:tcPr>
            <w:tcW w:w="346" w:type="pct"/>
            <w:shd w:val="clear" w:color="auto" w:fill="FFFFFF"/>
            <w:noWrap/>
            <w:vAlign w:val="bottom"/>
            <w:hideMark/>
          </w:tcPr>
          <w:p w14:paraId="54C178DD"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12.182.155</w:t>
            </w:r>
          </w:p>
        </w:tc>
        <w:tc>
          <w:tcPr>
            <w:tcW w:w="364" w:type="pct"/>
            <w:shd w:val="clear" w:color="auto" w:fill="FFFFFF"/>
            <w:noWrap/>
            <w:vAlign w:val="bottom"/>
            <w:hideMark/>
          </w:tcPr>
          <w:p w14:paraId="1D46A183"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193.040</w:t>
            </w:r>
          </w:p>
        </w:tc>
        <w:tc>
          <w:tcPr>
            <w:tcW w:w="402" w:type="pct"/>
            <w:shd w:val="clear" w:color="auto" w:fill="FFFFFF"/>
            <w:noWrap/>
            <w:vAlign w:val="bottom"/>
            <w:hideMark/>
          </w:tcPr>
          <w:p w14:paraId="39AECF4B"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267.688</w:t>
            </w:r>
          </w:p>
        </w:tc>
        <w:tc>
          <w:tcPr>
            <w:tcW w:w="482" w:type="pct"/>
            <w:shd w:val="clear" w:color="auto" w:fill="FFFFFF"/>
            <w:noWrap/>
            <w:vAlign w:val="bottom"/>
            <w:hideMark/>
          </w:tcPr>
          <w:p w14:paraId="02534CA3"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5.654.907</w:t>
            </w:r>
          </w:p>
        </w:tc>
        <w:tc>
          <w:tcPr>
            <w:tcW w:w="383" w:type="pct"/>
            <w:shd w:val="clear" w:color="auto" w:fill="FFFFFF"/>
            <w:noWrap/>
            <w:vAlign w:val="bottom"/>
            <w:hideMark/>
          </w:tcPr>
          <w:p w14:paraId="50AFBB44" w14:textId="77777777" w:rsidR="00E90931" w:rsidRPr="00AE4E8D" w:rsidRDefault="00E90931" w:rsidP="00942294">
            <w:pPr>
              <w:jc w:val="right"/>
              <w:rPr>
                <w:rFonts w:ascii="Times New Roman" w:hAnsi="Times New Roman"/>
                <w:sz w:val="16"/>
                <w:szCs w:val="16"/>
                <w:lang w:val="es-ES" w:eastAsia="es-AR"/>
              </w:rPr>
            </w:pPr>
            <w:r w:rsidRPr="00AE4E8D">
              <w:rPr>
                <w:rFonts w:ascii="Times New Roman" w:hAnsi="Times New Roman"/>
                <w:sz w:val="16"/>
                <w:szCs w:val="16"/>
                <w:lang w:val="es-ES" w:eastAsia="es-AR"/>
              </w:rPr>
              <w:t>6</w:t>
            </w:r>
            <w:r w:rsidR="008C0F46" w:rsidRPr="00AE4E8D">
              <w:rPr>
                <w:rFonts w:ascii="Times New Roman" w:hAnsi="Times New Roman"/>
                <w:sz w:val="16"/>
                <w:szCs w:val="16"/>
                <w:lang w:val="es-ES" w:eastAsia="es-AR"/>
              </w:rPr>
              <w:t>05.690</w:t>
            </w:r>
          </w:p>
        </w:tc>
        <w:tc>
          <w:tcPr>
            <w:tcW w:w="253" w:type="pct"/>
            <w:shd w:val="clear" w:color="auto" w:fill="FFFFFF"/>
            <w:noWrap/>
            <w:vAlign w:val="bottom"/>
            <w:hideMark/>
          </w:tcPr>
          <w:p w14:paraId="00B00670"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153.032</w:t>
            </w:r>
          </w:p>
        </w:tc>
        <w:tc>
          <w:tcPr>
            <w:tcW w:w="346" w:type="pct"/>
            <w:shd w:val="clear" w:color="auto" w:fill="FFFFFF"/>
            <w:noWrap/>
            <w:vAlign w:val="bottom"/>
            <w:hideMark/>
          </w:tcPr>
          <w:p w14:paraId="7BF39BEC"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26.940.649</w:t>
            </w:r>
          </w:p>
        </w:tc>
      </w:tr>
      <w:tr w:rsidR="003B5193" w:rsidRPr="00AE4E8D" w14:paraId="1EFC36B9" w14:textId="77777777" w:rsidTr="00003798">
        <w:trPr>
          <w:trHeight w:val="270"/>
        </w:trPr>
        <w:tc>
          <w:tcPr>
            <w:tcW w:w="1505" w:type="pct"/>
            <w:gridSpan w:val="2"/>
            <w:shd w:val="clear" w:color="auto" w:fill="FFFFFF"/>
            <w:noWrap/>
            <w:vAlign w:val="bottom"/>
            <w:hideMark/>
          </w:tcPr>
          <w:p w14:paraId="7BD99E29"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Con Seguimiento especial /cumplimiento inadecuado (31-90)</w:t>
            </w:r>
          </w:p>
        </w:tc>
        <w:tc>
          <w:tcPr>
            <w:tcW w:w="574" w:type="pct"/>
            <w:shd w:val="clear" w:color="auto" w:fill="FFFFFF"/>
            <w:noWrap/>
            <w:vAlign w:val="bottom"/>
            <w:hideMark/>
          </w:tcPr>
          <w:p w14:paraId="669583FA"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22.300</w:t>
            </w:r>
          </w:p>
        </w:tc>
        <w:tc>
          <w:tcPr>
            <w:tcW w:w="346" w:type="pct"/>
            <w:shd w:val="clear" w:color="auto" w:fill="FFFFFF"/>
            <w:noWrap/>
            <w:vAlign w:val="bottom"/>
            <w:hideMark/>
          </w:tcPr>
          <w:p w14:paraId="10F4FC0B"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180.714</w:t>
            </w:r>
          </w:p>
        </w:tc>
        <w:tc>
          <w:tcPr>
            <w:tcW w:w="346" w:type="pct"/>
            <w:shd w:val="clear" w:color="auto" w:fill="FFFFFF"/>
            <w:noWrap/>
            <w:vAlign w:val="bottom"/>
            <w:hideMark/>
          </w:tcPr>
          <w:p w14:paraId="2175ECE4"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258.520</w:t>
            </w:r>
          </w:p>
        </w:tc>
        <w:tc>
          <w:tcPr>
            <w:tcW w:w="364" w:type="pct"/>
            <w:shd w:val="clear" w:color="auto" w:fill="FFFFFF"/>
            <w:noWrap/>
            <w:vAlign w:val="bottom"/>
            <w:hideMark/>
          </w:tcPr>
          <w:p w14:paraId="440DB7D3"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14.902</w:t>
            </w:r>
          </w:p>
        </w:tc>
        <w:tc>
          <w:tcPr>
            <w:tcW w:w="402" w:type="pct"/>
            <w:shd w:val="clear" w:color="auto" w:fill="FFFFFF"/>
            <w:noWrap/>
            <w:vAlign w:val="bottom"/>
            <w:hideMark/>
          </w:tcPr>
          <w:p w14:paraId="5D52010D"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482" w:type="pct"/>
            <w:shd w:val="clear" w:color="auto" w:fill="FFFFFF"/>
            <w:noWrap/>
            <w:vAlign w:val="bottom"/>
            <w:hideMark/>
          </w:tcPr>
          <w:p w14:paraId="2DFF430A"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387</w:t>
            </w:r>
          </w:p>
        </w:tc>
        <w:tc>
          <w:tcPr>
            <w:tcW w:w="383" w:type="pct"/>
            <w:shd w:val="clear" w:color="auto" w:fill="FFFFFF"/>
            <w:noWrap/>
            <w:vAlign w:val="bottom"/>
            <w:hideMark/>
          </w:tcPr>
          <w:p w14:paraId="34BB9F04"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253" w:type="pct"/>
            <w:shd w:val="clear" w:color="auto" w:fill="FFFFFF"/>
            <w:noWrap/>
            <w:vAlign w:val="bottom"/>
            <w:hideMark/>
          </w:tcPr>
          <w:p w14:paraId="1CD021C4"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346" w:type="pct"/>
            <w:shd w:val="clear" w:color="auto" w:fill="FFFFFF"/>
            <w:noWrap/>
            <w:vAlign w:val="bottom"/>
            <w:hideMark/>
          </w:tcPr>
          <w:p w14:paraId="77AC105A"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476.823</w:t>
            </w:r>
          </w:p>
        </w:tc>
      </w:tr>
      <w:tr w:rsidR="003B5193" w:rsidRPr="00AE4E8D" w14:paraId="51C8013A" w14:textId="77777777" w:rsidTr="00003798">
        <w:trPr>
          <w:trHeight w:val="270"/>
        </w:trPr>
        <w:tc>
          <w:tcPr>
            <w:tcW w:w="1505" w:type="pct"/>
            <w:gridSpan w:val="2"/>
            <w:shd w:val="clear" w:color="auto" w:fill="FFFFFF"/>
            <w:noWrap/>
            <w:vAlign w:val="bottom"/>
            <w:hideMark/>
          </w:tcPr>
          <w:p w14:paraId="4CCC0B95"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Con problemas /cumplimiento deficiente (91-180)</w:t>
            </w:r>
          </w:p>
        </w:tc>
        <w:tc>
          <w:tcPr>
            <w:tcW w:w="574" w:type="pct"/>
            <w:shd w:val="clear" w:color="auto" w:fill="FFFFFF"/>
            <w:noWrap/>
            <w:vAlign w:val="bottom"/>
            <w:hideMark/>
          </w:tcPr>
          <w:p w14:paraId="4AE52BB2"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5.136</w:t>
            </w:r>
          </w:p>
        </w:tc>
        <w:tc>
          <w:tcPr>
            <w:tcW w:w="346" w:type="pct"/>
            <w:shd w:val="clear" w:color="auto" w:fill="FFFFFF"/>
            <w:noWrap/>
            <w:vAlign w:val="bottom"/>
            <w:hideMark/>
          </w:tcPr>
          <w:p w14:paraId="54CA19F7"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91.209</w:t>
            </w:r>
          </w:p>
        </w:tc>
        <w:tc>
          <w:tcPr>
            <w:tcW w:w="346" w:type="pct"/>
            <w:shd w:val="clear" w:color="auto" w:fill="FFFFFF"/>
            <w:noWrap/>
            <w:vAlign w:val="bottom"/>
            <w:hideMark/>
          </w:tcPr>
          <w:p w14:paraId="6852EB73"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173.680</w:t>
            </w:r>
          </w:p>
        </w:tc>
        <w:tc>
          <w:tcPr>
            <w:tcW w:w="364" w:type="pct"/>
            <w:shd w:val="clear" w:color="auto" w:fill="FFFFFF"/>
            <w:noWrap/>
            <w:vAlign w:val="bottom"/>
            <w:hideMark/>
          </w:tcPr>
          <w:p w14:paraId="501F88FF"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6.264</w:t>
            </w:r>
          </w:p>
        </w:tc>
        <w:tc>
          <w:tcPr>
            <w:tcW w:w="402" w:type="pct"/>
            <w:shd w:val="clear" w:color="auto" w:fill="FFFFFF"/>
            <w:noWrap/>
            <w:vAlign w:val="bottom"/>
            <w:hideMark/>
          </w:tcPr>
          <w:p w14:paraId="64D77FE4"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482" w:type="pct"/>
            <w:shd w:val="clear" w:color="auto" w:fill="FFFFFF"/>
            <w:noWrap/>
            <w:vAlign w:val="bottom"/>
            <w:hideMark/>
          </w:tcPr>
          <w:p w14:paraId="3A524531"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992</w:t>
            </w:r>
          </w:p>
        </w:tc>
        <w:tc>
          <w:tcPr>
            <w:tcW w:w="383" w:type="pct"/>
            <w:shd w:val="clear" w:color="auto" w:fill="FFFFFF"/>
            <w:noWrap/>
            <w:vAlign w:val="bottom"/>
            <w:hideMark/>
          </w:tcPr>
          <w:p w14:paraId="013529D8"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253" w:type="pct"/>
            <w:shd w:val="clear" w:color="auto" w:fill="FFFFFF"/>
            <w:noWrap/>
            <w:vAlign w:val="bottom"/>
            <w:hideMark/>
          </w:tcPr>
          <w:p w14:paraId="6F92EA0E"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346" w:type="pct"/>
            <w:shd w:val="clear" w:color="auto" w:fill="FFFFFF"/>
            <w:noWrap/>
            <w:vAlign w:val="bottom"/>
            <w:hideMark/>
          </w:tcPr>
          <w:p w14:paraId="722A09D4"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277.281</w:t>
            </w:r>
          </w:p>
        </w:tc>
      </w:tr>
      <w:tr w:rsidR="003B5193" w:rsidRPr="00AE4E8D" w14:paraId="1028899E" w14:textId="77777777" w:rsidTr="00003798">
        <w:trPr>
          <w:trHeight w:val="270"/>
        </w:trPr>
        <w:tc>
          <w:tcPr>
            <w:tcW w:w="1505" w:type="pct"/>
            <w:gridSpan w:val="2"/>
            <w:shd w:val="clear" w:color="auto" w:fill="FFFFFF"/>
            <w:noWrap/>
            <w:vAlign w:val="bottom"/>
            <w:hideMark/>
          </w:tcPr>
          <w:p w14:paraId="00E3E79D"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Alto riesgo de insolvencia /Difícil recuperación (180-365)</w:t>
            </w:r>
          </w:p>
        </w:tc>
        <w:tc>
          <w:tcPr>
            <w:tcW w:w="574" w:type="pct"/>
            <w:shd w:val="clear" w:color="auto" w:fill="FFFFFF"/>
            <w:noWrap/>
            <w:vAlign w:val="bottom"/>
            <w:hideMark/>
          </w:tcPr>
          <w:p w14:paraId="423927D5"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8.127</w:t>
            </w:r>
          </w:p>
        </w:tc>
        <w:tc>
          <w:tcPr>
            <w:tcW w:w="346" w:type="pct"/>
            <w:shd w:val="clear" w:color="auto" w:fill="FFFFFF"/>
            <w:noWrap/>
            <w:vAlign w:val="bottom"/>
            <w:hideMark/>
          </w:tcPr>
          <w:p w14:paraId="25BA0041"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85.843</w:t>
            </w:r>
          </w:p>
        </w:tc>
        <w:tc>
          <w:tcPr>
            <w:tcW w:w="346" w:type="pct"/>
            <w:shd w:val="clear" w:color="auto" w:fill="FFFFFF"/>
            <w:noWrap/>
            <w:vAlign w:val="bottom"/>
            <w:hideMark/>
          </w:tcPr>
          <w:p w14:paraId="6BA895CD"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293.434</w:t>
            </w:r>
          </w:p>
        </w:tc>
        <w:tc>
          <w:tcPr>
            <w:tcW w:w="364" w:type="pct"/>
            <w:shd w:val="clear" w:color="auto" w:fill="FFFFFF"/>
            <w:noWrap/>
            <w:vAlign w:val="bottom"/>
            <w:hideMark/>
          </w:tcPr>
          <w:p w14:paraId="3D87D1A8"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4.801</w:t>
            </w:r>
          </w:p>
        </w:tc>
        <w:tc>
          <w:tcPr>
            <w:tcW w:w="402" w:type="pct"/>
            <w:shd w:val="clear" w:color="auto" w:fill="FFFFFF"/>
            <w:noWrap/>
            <w:vAlign w:val="bottom"/>
            <w:hideMark/>
          </w:tcPr>
          <w:p w14:paraId="1E83015C"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482" w:type="pct"/>
            <w:shd w:val="clear" w:color="auto" w:fill="FFFFFF"/>
            <w:noWrap/>
            <w:vAlign w:val="bottom"/>
            <w:hideMark/>
          </w:tcPr>
          <w:p w14:paraId="22D7EC68"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5.090</w:t>
            </w:r>
          </w:p>
        </w:tc>
        <w:tc>
          <w:tcPr>
            <w:tcW w:w="383" w:type="pct"/>
            <w:shd w:val="clear" w:color="auto" w:fill="FFFFFF"/>
            <w:noWrap/>
            <w:vAlign w:val="bottom"/>
            <w:hideMark/>
          </w:tcPr>
          <w:p w14:paraId="50951E48"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253" w:type="pct"/>
            <w:shd w:val="clear" w:color="auto" w:fill="FFFFFF"/>
            <w:noWrap/>
            <w:vAlign w:val="bottom"/>
            <w:hideMark/>
          </w:tcPr>
          <w:p w14:paraId="03B79B75"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346" w:type="pct"/>
            <w:shd w:val="clear" w:color="auto" w:fill="FFFFFF"/>
            <w:noWrap/>
            <w:vAlign w:val="bottom"/>
            <w:hideMark/>
          </w:tcPr>
          <w:p w14:paraId="35D38F2D"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397.295</w:t>
            </w:r>
          </w:p>
        </w:tc>
      </w:tr>
      <w:tr w:rsidR="003B5193" w:rsidRPr="00AE4E8D" w14:paraId="182BA118" w14:textId="77777777" w:rsidTr="00003798">
        <w:trPr>
          <w:trHeight w:val="270"/>
        </w:trPr>
        <w:tc>
          <w:tcPr>
            <w:tcW w:w="1505" w:type="pct"/>
            <w:gridSpan w:val="2"/>
            <w:shd w:val="clear" w:color="auto" w:fill="FFFFFF"/>
            <w:noWrap/>
            <w:vAlign w:val="bottom"/>
            <w:hideMark/>
          </w:tcPr>
          <w:p w14:paraId="7E3424D2"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Irrecuperable (&gt;365)</w:t>
            </w:r>
          </w:p>
        </w:tc>
        <w:tc>
          <w:tcPr>
            <w:tcW w:w="574" w:type="pct"/>
            <w:shd w:val="clear" w:color="auto" w:fill="FFFFFF"/>
            <w:noWrap/>
            <w:vAlign w:val="bottom"/>
            <w:hideMark/>
          </w:tcPr>
          <w:p w14:paraId="317595DC"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5.640</w:t>
            </w:r>
          </w:p>
        </w:tc>
        <w:tc>
          <w:tcPr>
            <w:tcW w:w="346" w:type="pct"/>
            <w:shd w:val="clear" w:color="auto" w:fill="FFFFFF"/>
            <w:noWrap/>
            <w:vAlign w:val="bottom"/>
            <w:hideMark/>
          </w:tcPr>
          <w:p w14:paraId="0702DF49"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2.063</w:t>
            </w:r>
          </w:p>
        </w:tc>
        <w:tc>
          <w:tcPr>
            <w:tcW w:w="346" w:type="pct"/>
            <w:shd w:val="clear" w:color="auto" w:fill="FFFFFF"/>
            <w:noWrap/>
            <w:vAlign w:val="bottom"/>
            <w:hideMark/>
          </w:tcPr>
          <w:p w14:paraId="143C9624"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241</w:t>
            </w:r>
          </w:p>
        </w:tc>
        <w:tc>
          <w:tcPr>
            <w:tcW w:w="364" w:type="pct"/>
            <w:shd w:val="clear" w:color="auto" w:fill="FFFFFF"/>
            <w:noWrap/>
            <w:vAlign w:val="bottom"/>
            <w:hideMark/>
          </w:tcPr>
          <w:p w14:paraId="73589367"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4.379</w:t>
            </w:r>
          </w:p>
        </w:tc>
        <w:tc>
          <w:tcPr>
            <w:tcW w:w="402" w:type="pct"/>
            <w:shd w:val="clear" w:color="auto" w:fill="FFFFFF"/>
            <w:noWrap/>
            <w:vAlign w:val="bottom"/>
            <w:hideMark/>
          </w:tcPr>
          <w:p w14:paraId="281BDCB1"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482" w:type="pct"/>
            <w:shd w:val="clear" w:color="auto" w:fill="FFFFFF"/>
            <w:noWrap/>
            <w:vAlign w:val="bottom"/>
            <w:hideMark/>
          </w:tcPr>
          <w:p w14:paraId="4FEE38F5"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16.805</w:t>
            </w:r>
          </w:p>
        </w:tc>
        <w:tc>
          <w:tcPr>
            <w:tcW w:w="383" w:type="pct"/>
            <w:shd w:val="clear" w:color="auto" w:fill="FFFFFF"/>
            <w:noWrap/>
            <w:vAlign w:val="bottom"/>
            <w:hideMark/>
          </w:tcPr>
          <w:p w14:paraId="010BF3DD"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127</w:t>
            </w:r>
          </w:p>
        </w:tc>
        <w:tc>
          <w:tcPr>
            <w:tcW w:w="253" w:type="pct"/>
            <w:shd w:val="clear" w:color="auto" w:fill="FFFFFF"/>
            <w:noWrap/>
            <w:vAlign w:val="bottom"/>
            <w:hideMark/>
          </w:tcPr>
          <w:p w14:paraId="42970521"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346" w:type="pct"/>
            <w:shd w:val="clear" w:color="auto" w:fill="FFFFFF"/>
            <w:noWrap/>
            <w:vAlign w:val="bottom"/>
            <w:hideMark/>
          </w:tcPr>
          <w:p w14:paraId="36ACA466"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29.255</w:t>
            </w:r>
          </w:p>
        </w:tc>
      </w:tr>
      <w:tr w:rsidR="003B5193" w:rsidRPr="00AE4E8D" w14:paraId="1490D940" w14:textId="77777777" w:rsidTr="00003798">
        <w:trPr>
          <w:trHeight w:val="270"/>
        </w:trPr>
        <w:tc>
          <w:tcPr>
            <w:tcW w:w="1505" w:type="pct"/>
            <w:gridSpan w:val="2"/>
            <w:shd w:val="clear" w:color="auto" w:fill="FFFFFF"/>
            <w:noWrap/>
            <w:vAlign w:val="bottom"/>
            <w:hideMark/>
          </w:tcPr>
          <w:p w14:paraId="5CCFC67F"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Irrecuperable por disposición técnica</w:t>
            </w:r>
          </w:p>
        </w:tc>
        <w:tc>
          <w:tcPr>
            <w:tcW w:w="574" w:type="pct"/>
            <w:shd w:val="clear" w:color="auto" w:fill="FFFFFF"/>
            <w:noWrap/>
            <w:vAlign w:val="bottom"/>
            <w:hideMark/>
          </w:tcPr>
          <w:p w14:paraId="29FED97E"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94</w:t>
            </w:r>
          </w:p>
        </w:tc>
        <w:tc>
          <w:tcPr>
            <w:tcW w:w="346" w:type="pct"/>
            <w:shd w:val="clear" w:color="auto" w:fill="FFFFFF"/>
            <w:noWrap/>
            <w:vAlign w:val="bottom"/>
            <w:hideMark/>
          </w:tcPr>
          <w:p w14:paraId="30EA8B12"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99</w:t>
            </w:r>
          </w:p>
        </w:tc>
        <w:tc>
          <w:tcPr>
            <w:tcW w:w="346" w:type="pct"/>
            <w:shd w:val="clear" w:color="auto" w:fill="FFFFFF"/>
            <w:noWrap/>
            <w:vAlign w:val="bottom"/>
            <w:hideMark/>
          </w:tcPr>
          <w:p w14:paraId="30E5F247"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66</w:t>
            </w:r>
          </w:p>
        </w:tc>
        <w:tc>
          <w:tcPr>
            <w:tcW w:w="364" w:type="pct"/>
            <w:shd w:val="clear" w:color="auto" w:fill="FFFFFF"/>
            <w:noWrap/>
            <w:vAlign w:val="bottom"/>
            <w:hideMark/>
          </w:tcPr>
          <w:p w14:paraId="008C653D"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w:t>
            </w:r>
          </w:p>
        </w:tc>
        <w:tc>
          <w:tcPr>
            <w:tcW w:w="402" w:type="pct"/>
            <w:shd w:val="clear" w:color="auto" w:fill="FFFFFF"/>
            <w:noWrap/>
            <w:vAlign w:val="bottom"/>
            <w:hideMark/>
          </w:tcPr>
          <w:p w14:paraId="251487AA"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482" w:type="pct"/>
            <w:shd w:val="clear" w:color="auto" w:fill="FFFFFF"/>
            <w:noWrap/>
            <w:vAlign w:val="bottom"/>
            <w:hideMark/>
          </w:tcPr>
          <w:p w14:paraId="1FA54892"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383" w:type="pct"/>
            <w:shd w:val="clear" w:color="auto" w:fill="FFFFFF"/>
            <w:noWrap/>
            <w:vAlign w:val="bottom"/>
            <w:hideMark/>
          </w:tcPr>
          <w:p w14:paraId="22DDD6C7"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253" w:type="pct"/>
            <w:shd w:val="clear" w:color="auto" w:fill="FFFFFF"/>
            <w:noWrap/>
            <w:vAlign w:val="bottom"/>
            <w:hideMark/>
          </w:tcPr>
          <w:p w14:paraId="3385684C"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346" w:type="pct"/>
            <w:shd w:val="clear" w:color="auto" w:fill="FFFFFF"/>
            <w:noWrap/>
            <w:vAlign w:val="bottom"/>
            <w:hideMark/>
          </w:tcPr>
          <w:p w14:paraId="1FFEFF32"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260</w:t>
            </w:r>
          </w:p>
        </w:tc>
      </w:tr>
      <w:tr w:rsidR="003B5193" w:rsidRPr="00AE4E8D" w14:paraId="11F0C150" w14:textId="77777777" w:rsidTr="00003798">
        <w:trPr>
          <w:trHeight w:val="270"/>
        </w:trPr>
        <w:tc>
          <w:tcPr>
            <w:tcW w:w="439" w:type="pct"/>
            <w:shd w:val="clear" w:color="auto" w:fill="FFFFFF"/>
            <w:noWrap/>
            <w:vAlign w:val="bottom"/>
            <w:hideMark/>
          </w:tcPr>
          <w:p w14:paraId="13EB314D"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1067" w:type="pct"/>
            <w:shd w:val="clear" w:color="auto" w:fill="FFFFFF"/>
            <w:noWrap/>
            <w:vAlign w:val="bottom"/>
            <w:hideMark/>
          </w:tcPr>
          <w:p w14:paraId="40CF05EA"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574" w:type="pct"/>
            <w:tcBorders>
              <w:top w:val="single" w:sz="4" w:space="0" w:color="auto"/>
              <w:left w:val="nil"/>
              <w:bottom w:val="double" w:sz="6" w:space="0" w:color="auto"/>
              <w:right w:val="nil"/>
            </w:tcBorders>
            <w:shd w:val="clear" w:color="auto" w:fill="FFFFFF"/>
            <w:noWrap/>
            <w:vAlign w:val="bottom"/>
            <w:hideMark/>
          </w:tcPr>
          <w:p w14:paraId="6122C746"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1.770.770</w:t>
            </w:r>
          </w:p>
        </w:tc>
        <w:tc>
          <w:tcPr>
            <w:tcW w:w="346" w:type="pct"/>
            <w:tcBorders>
              <w:top w:val="single" w:sz="4" w:space="0" w:color="auto"/>
              <w:left w:val="nil"/>
              <w:bottom w:val="double" w:sz="6" w:space="0" w:color="auto"/>
              <w:right w:val="nil"/>
            </w:tcBorders>
            <w:shd w:val="clear" w:color="auto" w:fill="FFFFFF"/>
            <w:noWrap/>
            <w:vAlign w:val="bottom"/>
            <w:hideMark/>
          </w:tcPr>
          <w:p w14:paraId="0E43A1BF"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4.514.592</w:t>
            </w:r>
          </w:p>
        </w:tc>
        <w:tc>
          <w:tcPr>
            <w:tcW w:w="346" w:type="pct"/>
            <w:tcBorders>
              <w:top w:val="single" w:sz="4" w:space="0" w:color="auto"/>
              <w:left w:val="nil"/>
              <w:bottom w:val="double" w:sz="6" w:space="0" w:color="auto"/>
              <w:right w:val="nil"/>
            </w:tcBorders>
            <w:shd w:val="clear" w:color="auto" w:fill="FFFFFF"/>
            <w:noWrap/>
            <w:vAlign w:val="bottom"/>
            <w:hideMark/>
          </w:tcPr>
          <w:p w14:paraId="53A0E3A5"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12.908.097</w:t>
            </w:r>
          </w:p>
        </w:tc>
        <w:tc>
          <w:tcPr>
            <w:tcW w:w="364" w:type="pct"/>
            <w:tcBorders>
              <w:top w:val="single" w:sz="4" w:space="0" w:color="auto"/>
              <w:left w:val="nil"/>
              <w:bottom w:val="double" w:sz="6" w:space="0" w:color="auto"/>
              <w:right w:val="nil"/>
            </w:tcBorders>
            <w:shd w:val="clear" w:color="auto" w:fill="FFFFFF"/>
            <w:noWrap/>
            <w:vAlign w:val="bottom"/>
            <w:hideMark/>
          </w:tcPr>
          <w:p w14:paraId="5E4A00D0"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223.387</w:t>
            </w:r>
          </w:p>
        </w:tc>
        <w:tc>
          <w:tcPr>
            <w:tcW w:w="402" w:type="pct"/>
            <w:tcBorders>
              <w:top w:val="single" w:sz="4" w:space="0" w:color="auto"/>
              <w:left w:val="nil"/>
              <w:bottom w:val="double" w:sz="6" w:space="0" w:color="auto"/>
              <w:right w:val="nil"/>
            </w:tcBorders>
            <w:shd w:val="clear" w:color="auto" w:fill="FFFFFF"/>
            <w:noWrap/>
            <w:vAlign w:val="bottom"/>
            <w:hideMark/>
          </w:tcPr>
          <w:p w14:paraId="580E1D87"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267.688</w:t>
            </w:r>
          </w:p>
        </w:tc>
        <w:tc>
          <w:tcPr>
            <w:tcW w:w="482" w:type="pct"/>
            <w:tcBorders>
              <w:top w:val="single" w:sz="4" w:space="0" w:color="auto"/>
              <w:left w:val="nil"/>
              <w:bottom w:val="double" w:sz="6" w:space="0" w:color="auto"/>
              <w:right w:val="nil"/>
            </w:tcBorders>
            <w:shd w:val="clear" w:color="auto" w:fill="FFFFFF"/>
            <w:noWrap/>
            <w:vAlign w:val="bottom"/>
            <w:hideMark/>
          </w:tcPr>
          <w:p w14:paraId="308FA873"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5.678.181</w:t>
            </w:r>
          </w:p>
        </w:tc>
        <w:tc>
          <w:tcPr>
            <w:tcW w:w="383" w:type="pct"/>
            <w:tcBorders>
              <w:top w:val="single" w:sz="4" w:space="0" w:color="auto"/>
              <w:left w:val="nil"/>
              <w:bottom w:val="double" w:sz="6" w:space="0" w:color="auto"/>
              <w:right w:val="nil"/>
            </w:tcBorders>
            <w:shd w:val="clear" w:color="auto" w:fill="FFFFFF"/>
            <w:noWrap/>
            <w:vAlign w:val="bottom"/>
            <w:hideMark/>
          </w:tcPr>
          <w:p w14:paraId="123E068B" w14:textId="77777777" w:rsidR="00E90931" w:rsidRPr="00AE4E8D" w:rsidRDefault="00E90931" w:rsidP="00942294">
            <w:pPr>
              <w:jc w:val="right"/>
              <w:rPr>
                <w:rFonts w:ascii="Times New Roman" w:hAnsi="Times New Roman"/>
                <w:sz w:val="16"/>
                <w:szCs w:val="16"/>
                <w:lang w:val="es-ES" w:eastAsia="es-AR"/>
              </w:rPr>
            </w:pPr>
            <w:r w:rsidRPr="00AE4E8D">
              <w:rPr>
                <w:rFonts w:ascii="Times New Roman" w:hAnsi="Times New Roman"/>
                <w:sz w:val="16"/>
                <w:szCs w:val="16"/>
                <w:lang w:val="es-ES" w:eastAsia="es-AR"/>
              </w:rPr>
              <w:t>6</w:t>
            </w:r>
            <w:r w:rsidR="00F6738D" w:rsidRPr="00AE4E8D">
              <w:rPr>
                <w:rFonts w:ascii="Times New Roman" w:hAnsi="Times New Roman"/>
                <w:sz w:val="16"/>
                <w:szCs w:val="16"/>
                <w:lang w:val="es-ES" w:eastAsia="es-AR"/>
              </w:rPr>
              <w:t>05.817</w:t>
            </w:r>
          </w:p>
        </w:tc>
        <w:tc>
          <w:tcPr>
            <w:tcW w:w="253" w:type="pct"/>
            <w:tcBorders>
              <w:top w:val="single" w:sz="4" w:space="0" w:color="auto"/>
              <w:left w:val="nil"/>
              <w:bottom w:val="double" w:sz="6" w:space="0" w:color="auto"/>
              <w:right w:val="nil"/>
            </w:tcBorders>
            <w:shd w:val="clear" w:color="auto" w:fill="FFFFFF"/>
            <w:noWrap/>
            <w:vAlign w:val="bottom"/>
            <w:hideMark/>
          </w:tcPr>
          <w:p w14:paraId="708DAFE6"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153.032</w:t>
            </w:r>
          </w:p>
        </w:tc>
        <w:tc>
          <w:tcPr>
            <w:tcW w:w="346" w:type="pct"/>
            <w:tcBorders>
              <w:top w:val="single" w:sz="4" w:space="0" w:color="auto"/>
              <w:left w:val="nil"/>
              <w:bottom w:val="double" w:sz="6" w:space="0" w:color="auto"/>
              <w:right w:val="nil"/>
            </w:tcBorders>
            <w:noWrap/>
            <w:vAlign w:val="bottom"/>
            <w:hideMark/>
          </w:tcPr>
          <w:p w14:paraId="06A20D9C" w14:textId="77777777" w:rsidR="00E90931" w:rsidRPr="00AE4E8D" w:rsidRDefault="00E90931" w:rsidP="00942294">
            <w:pPr>
              <w:jc w:val="right"/>
              <w:rPr>
                <w:rFonts w:ascii="Times New Roman" w:hAnsi="Times New Roman"/>
                <w:sz w:val="16"/>
                <w:szCs w:val="16"/>
                <w:lang w:val="es-ES" w:eastAsia="es-AR"/>
              </w:rPr>
            </w:pPr>
            <w:r w:rsidRPr="00AE4E8D">
              <w:rPr>
                <w:rFonts w:ascii="Times New Roman" w:hAnsi="Times New Roman"/>
                <w:sz w:val="16"/>
                <w:szCs w:val="16"/>
                <w:lang w:val="es-ES" w:eastAsia="es-AR"/>
              </w:rPr>
              <w:t>28.121.56</w:t>
            </w:r>
            <w:r w:rsidR="00942294" w:rsidRPr="00AE4E8D">
              <w:rPr>
                <w:rFonts w:ascii="Times New Roman" w:hAnsi="Times New Roman"/>
                <w:sz w:val="16"/>
                <w:szCs w:val="16"/>
                <w:lang w:val="es-ES" w:eastAsia="es-AR"/>
              </w:rPr>
              <w:t>4</w:t>
            </w:r>
          </w:p>
        </w:tc>
      </w:tr>
      <w:tr w:rsidR="003B5193" w:rsidRPr="00AE4E8D" w14:paraId="5E778D1C" w14:textId="77777777" w:rsidTr="00003798">
        <w:trPr>
          <w:trHeight w:val="270"/>
        </w:trPr>
        <w:tc>
          <w:tcPr>
            <w:tcW w:w="439" w:type="pct"/>
            <w:shd w:val="clear" w:color="auto" w:fill="FFFFFF"/>
            <w:noWrap/>
            <w:vAlign w:val="bottom"/>
            <w:hideMark/>
          </w:tcPr>
          <w:p w14:paraId="5C34D0E9"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1067" w:type="pct"/>
            <w:shd w:val="clear" w:color="auto" w:fill="FFFFFF"/>
            <w:noWrap/>
            <w:vAlign w:val="bottom"/>
            <w:hideMark/>
          </w:tcPr>
          <w:p w14:paraId="713F52FB"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574" w:type="pct"/>
            <w:shd w:val="clear" w:color="auto" w:fill="FFFFFF"/>
            <w:noWrap/>
            <w:vAlign w:val="bottom"/>
            <w:hideMark/>
          </w:tcPr>
          <w:p w14:paraId="255F6D4F"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6" w:type="pct"/>
            <w:shd w:val="clear" w:color="auto" w:fill="FFFFFF"/>
            <w:noWrap/>
            <w:vAlign w:val="bottom"/>
            <w:hideMark/>
          </w:tcPr>
          <w:p w14:paraId="58F12892"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6" w:type="pct"/>
            <w:shd w:val="clear" w:color="auto" w:fill="FFFFFF"/>
            <w:noWrap/>
            <w:vAlign w:val="bottom"/>
            <w:hideMark/>
          </w:tcPr>
          <w:p w14:paraId="36AE3DB5"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64" w:type="pct"/>
            <w:shd w:val="clear" w:color="auto" w:fill="FFFFFF"/>
            <w:noWrap/>
            <w:vAlign w:val="bottom"/>
            <w:hideMark/>
          </w:tcPr>
          <w:p w14:paraId="55822C55"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402" w:type="pct"/>
            <w:shd w:val="clear" w:color="auto" w:fill="FFFFFF"/>
            <w:noWrap/>
            <w:vAlign w:val="bottom"/>
            <w:hideMark/>
          </w:tcPr>
          <w:p w14:paraId="7DEBA213"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482" w:type="pct"/>
            <w:shd w:val="clear" w:color="auto" w:fill="FFFFFF"/>
            <w:noWrap/>
            <w:vAlign w:val="bottom"/>
            <w:hideMark/>
          </w:tcPr>
          <w:p w14:paraId="53B5B401"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83" w:type="pct"/>
            <w:shd w:val="clear" w:color="auto" w:fill="FFFFFF"/>
            <w:noWrap/>
            <w:vAlign w:val="bottom"/>
            <w:hideMark/>
          </w:tcPr>
          <w:p w14:paraId="7CC76300"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253" w:type="pct"/>
            <w:shd w:val="clear" w:color="auto" w:fill="FFFFFF"/>
            <w:noWrap/>
            <w:vAlign w:val="bottom"/>
            <w:hideMark/>
          </w:tcPr>
          <w:p w14:paraId="082DF2A3"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6" w:type="pct"/>
            <w:shd w:val="clear" w:color="auto" w:fill="FFFFFF"/>
            <w:noWrap/>
            <w:vAlign w:val="bottom"/>
            <w:hideMark/>
          </w:tcPr>
          <w:p w14:paraId="65C1FF99"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r>
      <w:tr w:rsidR="003B5193" w:rsidRPr="00AE4E8D" w14:paraId="51348DC3" w14:textId="77777777" w:rsidTr="00003798">
        <w:trPr>
          <w:trHeight w:val="270"/>
        </w:trPr>
        <w:tc>
          <w:tcPr>
            <w:tcW w:w="1505" w:type="pct"/>
            <w:gridSpan w:val="2"/>
            <w:shd w:val="clear" w:color="auto" w:fill="FFFFFF"/>
            <w:noWrap/>
            <w:vAlign w:val="bottom"/>
            <w:hideMark/>
          </w:tcPr>
          <w:p w14:paraId="2B6D6708"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Préstamos en situación irregular</w:t>
            </w:r>
          </w:p>
        </w:tc>
        <w:tc>
          <w:tcPr>
            <w:tcW w:w="574" w:type="pct"/>
            <w:shd w:val="clear" w:color="auto" w:fill="FFFFFF"/>
            <w:noWrap/>
            <w:vAlign w:val="bottom"/>
            <w:hideMark/>
          </w:tcPr>
          <w:p w14:paraId="1F165B0D"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18.997</w:t>
            </w:r>
          </w:p>
        </w:tc>
        <w:tc>
          <w:tcPr>
            <w:tcW w:w="346" w:type="pct"/>
            <w:shd w:val="clear" w:color="auto" w:fill="FFFFFF"/>
            <w:noWrap/>
            <w:vAlign w:val="bottom"/>
            <w:hideMark/>
          </w:tcPr>
          <w:p w14:paraId="37AFBD97"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179.214</w:t>
            </w:r>
          </w:p>
        </w:tc>
        <w:tc>
          <w:tcPr>
            <w:tcW w:w="346" w:type="pct"/>
            <w:shd w:val="clear" w:color="auto" w:fill="FFFFFF"/>
            <w:noWrap/>
            <w:vAlign w:val="bottom"/>
            <w:hideMark/>
          </w:tcPr>
          <w:p w14:paraId="6C0928B6"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467.421</w:t>
            </w:r>
          </w:p>
        </w:tc>
        <w:tc>
          <w:tcPr>
            <w:tcW w:w="364" w:type="pct"/>
            <w:shd w:val="clear" w:color="auto" w:fill="FFFFFF"/>
            <w:noWrap/>
            <w:vAlign w:val="bottom"/>
            <w:hideMark/>
          </w:tcPr>
          <w:p w14:paraId="366BCCAC"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15.445</w:t>
            </w:r>
          </w:p>
        </w:tc>
        <w:tc>
          <w:tcPr>
            <w:tcW w:w="402" w:type="pct"/>
            <w:shd w:val="clear" w:color="auto" w:fill="FFFFFF"/>
            <w:noWrap/>
            <w:vAlign w:val="bottom"/>
            <w:hideMark/>
          </w:tcPr>
          <w:p w14:paraId="6097B461"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482" w:type="pct"/>
            <w:shd w:val="clear" w:color="auto" w:fill="FFFFFF"/>
            <w:noWrap/>
            <w:vAlign w:val="bottom"/>
            <w:hideMark/>
          </w:tcPr>
          <w:p w14:paraId="36EFDB89"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22.887</w:t>
            </w:r>
          </w:p>
        </w:tc>
        <w:tc>
          <w:tcPr>
            <w:tcW w:w="383" w:type="pct"/>
            <w:shd w:val="clear" w:color="auto" w:fill="FFFFFF"/>
            <w:noWrap/>
            <w:vAlign w:val="bottom"/>
            <w:hideMark/>
          </w:tcPr>
          <w:p w14:paraId="2AC5D8A2"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127</w:t>
            </w:r>
          </w:p>
        </w:tc>
        <w:tc>
          <w:tcPr>
            <w:tcW w:w="253" w:type="pct"/>
            <w:shd w:val="clear" w:color="auto" w:fill="FFFFFF"/>
            <w:noWrap/>
            <w:vAlign w:val="bottom"/>
            <w:hideMark/>
          </w:tcPr>
          <w:p w14:paraId="03148BBB" w14:textId="77777777" w:rsidR="00E90931" w:rsidRPr="00AE4E8D" w:rsidRDefault="00F6738D"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w:t>
            </w:r>
          </w:p>
        </w:tc>
        <w:tc>
          <w:tcPr>
            <w:tcW w:w="346" w:type="pct"/>
            <w:shd w:val="clear" w:color="auto" w:fill="FFFFFF"/>
            <w:noWrap/>
            <w:vAlign w:val="bottom"/>
            <w:hideMark/>
          </w:tcPr>
          <w:p w14:paraId="46414659"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704.091</w:t>
            </w:r>
          </w:p>
        </w:tc>
      </w:tr>
      <w:tr w:rsidR="003B5193" w:rsidRPr="00AE4E8D" w14:paraId="6D90A01C" w14:textId="77777777" w:rsidTr="00003798">
        <w:trPr>
          <w:trHeight w:val="270"/>
        </w:trPr>
        <w:tc>
          <w:tcPr>
            <w:tcW w:w="1505" w:type="pct"/>
            <w:gridSpan w:val="2"/>
            <w:shd w:val="clear" w:color="auto" w:fill="FFFFFF"/>
            <w:noWrap/>
            <w:vAlign w:val="bottom"/>
            <w:hideMark/>
          </w:tcPr>
          <w:p w14:paraId="682F62FB"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Prestamos en situación irregular / Total Préstamos</w:t>
            </w:r>
          </w:p>
        </w:tc>
        <w:tc>
          <w:tcPr>
            <w:tcW w:w="574" w:type="pct"/>
            <w:shd w:val="clear" w:color="auto" w:fill="FFFFFF"/>
            <w:noWrap/>
            <w:vAlign w:val="bottom"/>
            <w:hideMark/>
          </w:tcPr>
          <w:p w14:paraId="7CF51BA9"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1,07%</w:t>
            </w:r>
          </w:p>
        </w:tc>
        <w:tc>
          <w:tcPr>
            <w:tcW w:w="346" w:type="pct"/>
            <w:shd w:val="clear" w:color="auto" w:fill="FFFFFF"/>
            <w:noWrap/>
            <w:vAlign w:val="bottom"/>
            <w:hideMark/>
          </w:tcPr>
          <w:p w14:paraId="6233127C"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3,97%</w:t>
            </w:r>
          </w:p>
        </w:tc>
        <w:tc>
          <w:tcPr>
            <w:tcW w:w="346" w:type="pct"/>
            <w:shd w:val="clear" w:color="auto" w:fill="FFFFFF"/>
            <w:noWrap/>
            <w:vAlign w:val="bottom"/>
            <w:hideMark/>
          </w:tcPr>
          <w:p w14:paraId="5C59150F"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3,62%</w:t>
            </w:r>
          </w:p>
        </w:tc>
        <w:tc>
          <w:tcPr>
            <w:tcW w:w="364" w:type="pct"/>
            <w:shd w:val="clear" w:color="auto" w:fill="FFFFFF"/>
            <w:noWrap/>
            <w:vAlign w:val="bottom"/>
            <w:hideMark/>
          </w:tcPr>
          <w:p w14:paraId="6089BD82"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9,17%</w:t>
            </w:r>
          </w:p>
        </w:tc>
        <w:tc>
          <w:tcPr>
            <w:tcW w:w="402" w:type="pct"/>
            <w:shd w:val="clear" w:color="auto" w:fill="FFFFFF"/>
            <w:noWrap/>
            <w:vAlign w:val="bottom"/>
            <w:hideMark/>
          </w:tcPr>
          <w:p w14:paraId="1F3814FF"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0,00%</w:t>
            </w:r>
          </w:p>
        </w:tc>
        <w:tc>
          <w:tcPr>
            <w:tcW w:w="482" w:type="pct"/>
            <w:shd w:val="clear" w:color="auto" w:fill="FFFFFF"/>
            <w:noWrap/>
            <w:vAlign w:val="bottom"/>
            <w:hideMark/>
          </w:tcPr>
          <w:p w14:paraId="458A3C46"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0,40%</w:t>
            </w:r>
          </w:p>
        </w:tc>
        <w:tc>
          <w:tcPr>
            <w:tcW w:w="383" w:type="pct"/>
            <w:shd w:val="clear" w:color="auto" w:fill="FFFFFF"/>
            <w:noWrap/>
            <w:vAlign w:val="bottom"/>
            <w:hideMark/>
          </w:tcPr>
          <w:p w14:paraId="633727C3"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0,00%</w:t>
            </w:r>
          </w:p>
        </w:tc>
        <w:tc>
          <w:tcPr>
            <w:tcW w:w="253" w:type="pct"/>
            <w:shd w:val="clear" w:color="auto" w:fill="FFFFFF"/>
            <w:noWrap/>
            <w:vAlign w:val="bottom"/>
            <w:hideMark/>
          </w:tcPr>
          <w:p w14:paraId="55FD57FA"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0,00%</w:t>
            </w:r>
          </w:p>
        </w:tc>
        <w:tc>
          <w:tcPr>
            <w:tcW w:w="346" w:type="pct"/>
            <w:shd w:val="clear" w:color="auto" w:fill="FFFFFF"/>
            <w:noWrap/>
            <w:vAlign w:val="bottom"/>
            <w:hideMark/>
          </w:tcPr>
          <w:p w14:paraId="7325007D" w14:textId="77777777" w:rsidR="00E90931" w:rsidRPr="00AE4E8D" w:rsidRDefault="00E90931"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2,50%</w:t>
            </w:r>
          </w:p>
        </w:tc>
      </w:tr>
      <w:tr w:rsidR="003B5193" w:rsidRPr="00AE4E8D" w14:paraId="63FC8889" w14:textId="77777777" w:rsidTr="00003798">
        <w:trPr>
          <w:trHeight w:val="255"/>
        </w:trPr>
        <w:tc>
          <w:tcPr>
            <w:tcW w:w="439" w:type="pct"/>
            <w:shd w:val="clear" w:color="auto" w:fill="FFFFFF"/>
            <w:noWrap/>
            <w:vAlign w:val="bottom"/>
            <w:hideMark/>
          </w:tcPr>
          <w:p w14:paraId="605B572B"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Previsiones</w:t>
            </w:r>
          </w:p>
        </w:tc>
        <w:tc>
          <w:tcPr>
            <w:tcW w:w="1067" w:type="pct"/>
            <w:shd w:val="clear" w:color="auto" w:fill="FFFFFF"/>
            <w:noWrap/>
            <w:vAlign w:val="bottom"/>
            <w:hideMark/>
          </w:tcPr>
          <w:p w14:paraId="2B2BF659" w14:textId="77777777" w:rsidR="00E90931" w:rsidRPr="00AE4E8D" w:rsidRDefault="00E90931"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574" w:type="pct"/>
            <w:shd w:val="clear" w:color="auto" w:fill="FFFFFF"/>
            <w:noWrap/>
            <w:vAlign w:val="bottom"/>
            <w:hideMark/>
          </w:tcPr>
          <w:p w14:paraId="5096731F" w14:textId="77777777" w:rsidR="00E90931" w:rsidRPr="00AE4E8D" w:rsidRDefault="00E90931" w:rsidP="00E90931">
            <w:pPr>
              <w:jc w:val="right"/>
              <w:rPr>
                <w:rFonts w:ascii="Times New Roman" w:hAnsi="Times New Roman"/>
                <w:b/>
                <w:bCs/>
                <w:i/>
                <w:iCs/>
                <w:sz w:val="16"/>
                <w:szCs w:val="16"/>
                <w:lang w:val="es-ES" w:eastAsia="es-AR"/>
              </w:rPr>
            </w:pPr>
            <w:r w:rsidRPr="00AE4E8D">
              <w:rPr>
                <w:rFonts w:ascii="Times New Roman" w:hAnsi="Times New Roman"/>
                <w:b/>
                <w:bCs/>
                <w:i/>
                <w:iCs/>
                <w:sz w:val="16"/>
                <w:szCs w:val="16"/>
                <w:lang w:val="es-ES" w:eastAsia="es-AR"/>
              </w:rPr>
              <w:t>55.227</w:t>
            </w:r>
          </w:p>
        </w:tc>
        <w:tc>
          <w:tcPr>
            <w:tcW w:w="346" w:type="pct"/>
            <w:shd w:val="clear" w:color="auto" w:fill="FFFFFF"/>
            <w:noWrap/>
            <w:vAlign w:val="bottom"/>
            <w:hideMark/>
          </w:tcPr>
          <w:p w14:paraId="36CB4E58" w14:textId="77777777" w:rsidR="00E90931" w:rsidRPr="00AE4E8D" w:rsidRDefault="00E90931" w:rsidP="00E90931">
            <w:pPr>
              <w:jc w:val="right"/>
              <w:rPr>
                <w:rFonts w:ascii="Times New Roman" w:hAnsi="Times New Roman"/>
                <w:b/>
                <w:bCs/>
                <w:i/>
                <w:iCs/>
                <w:sz w:val="16"/>
                <w:szCs w:val="16"/>
                <w:lang w:val="es-ES" w:eastAsia="es-AR"/>
              </w:rPr>
            </w:pPr>
            <w:r w:rsidRPr="00AE4E8D">
              <w:rPr>
                <w:rFonts w:ascii="Times New Roman" w:hAnsi="Times New Roman"/>
                <w:b/>
                <w:bCs/>
                <w:i/>
                <w:iCs/>
                <w:sz w:val="16"/>
                <w:szCs w:val="16"/>
                <w:lang w:val="es-ES" w:eastAsia="es-AR"/>
              </w:rPr>
              <w:t>118.363</w:t>
            </w:r>
          </w:p>
        </w:tc>
        <w:tc>
          <w:tcPr>
            <w:tcW w:w="346" w:type="pct"/>
            <w:shd w:val="clear" w:color="auto" w:fill="FFFFFF"/>
            <w:noWrap/>
            <w:vAlign w:val="bottom"/>
            <w:hideMark/>
          </w:tcPr>
          <w:p w14:paraId="308956E4" w14:textId="77777777" w:rsidR="00E90931" w:rsidRPr="00AE4E8D" w:rsidRDefault="00E90931" w:rsidP="00E90931">
            <w:pPr>
              <w:jc w:val="right"/>
              <w:rPr>
                <w:rFonts w:ascii="Times New Roman" w:hAnsi="Times New Roman"/>
                <w:b/>
                <w:bCs/>
                <w:i/>
                <w:iCs/>
                <w:sz w:val="16"/>
                <w:szCs w:val="16"/>
                <w:lang w:val="es-ES" w:eastAsia="es-AR"/>
              </w:rPr>
            </w:pPr>
            <w:r w:rsidRPr="00AE4E8D">
              <w:rPr>
                <w:rFonts w:ascii="Times New Roman" w:hAnsi="Times New Roman"/>
                <w:b/>
                <w:bCs/>
                <w:i/>
                <w:iCs/>
                <w:sz w:val="16"/>
                <w:szCs w:val="16"/>
                <w:lang w:val="es-ES" w:eastAsia="es-AR"/>
              </w:rPr>
              <w:t>394.233</w:t>
            </w:r>
          </w:p>
        </w:tc>
        <w:tc>
          <w:tcPr>
            <w:tcW w:w="364" w:type="pct"/>
            <w:shd w:val="clear" w:color="auto" w:fill="FFFFFF"/>
            <w:noWrap/>
            <w:vAlign w:val="bottom"/>
            <w:hideMark/>
          </w:tcPr>
          <w:p w14:paraId="1FD74943" w14:textId="77777777" w:rsidR="00E90931" w:rsidRPr="00AE4E8D" w:rsidRDefault="00E90931" w:rsidP="00E90931">
            <w:pPr>
              <w:jc w:val="right"/>
              <w:rPr>
                <w:rFonts w:ascii="Times New Roman" w:hAnsi="Times New Roman"/>
                <w:b/>
                <w:bCs/>
                <w:i/>
                <w:iCs/>
                <w:sz w:val="16"/>
                <w:szCs w:val="16"/>
                <w:lang w:val="es-ES" w:eastAsia="es-AR"/>
              </w:rPr>
            </w:pPr>
            <w:r w:rsidRPr="00AE4E8D">
              <w:rPr>
                <w:rFonts w:ascii="Times New Roman" w:hAnsi="Times New Roman"/>
                <w:b/>
                <w:bCs/>
                <w:i/>
                <w:iCs/>
                <w:sz w:val="16"/>
                <w:szCs w:val="16"/>
                <w:lang w:val="es-ES" w:eastAsia="es-AR"/>
              </w:rPr>
              <w:t>340</w:t>
            </w:r>
          </w:p>
        </w:tc>
        <w:tc>
          <w:tcPr>
            <w:tcW w:w="402" w:type="pct"/>
            <w:shd w:val="clear" w:color="auto" w:fill="FFFFFF"/>
            <w:noWrap/>
            <w:vAlign w:val="bottom"/>
            <w:hideMark/>
          </w:tcPr>
          <w:p w14:paraId="2122606A" w14:textId="77777777" w:rsidR="00E90931" w:rsidRPr="00AE4E8D" w:rsidRDefault="00E90931" w:rsidP="00E90931">
            <w:pPr>
              <w:jc w:val="right"/>
              <w:rPr>
                <w:rFonts w:ascii="Times New Roman" w:hAnsi="Times New Roman"/>
                <w:b/>
                <w:bCs/>
                <w:i/>
                <w:iCs/>
                <w:sz w:val="16"/>
                <w:szCs w:val="16"/>
                <w:lang w:val="es-ES" w:eastAsia="es-AR"/>
              </w:rPr>
            </w:pPr>
            <w:r w:rsidRPr="00AE4E8D">
              <w:rPr>
                <w:rFonts w:ascii="Times New Roman" w:hAnsi="Times New Roman"/>
                <w:b/>
                <w:bCs/>
                <w:i/>
                <w:iCs/>
                <w:sz w:val="16"/>
                <w:szCs w:val="16"/>
                <w:lang w:val="es-ES" w:eastAsia="es-AR"/>
              </w:rPr>
              <w:t>2.677</w:t>
            </w:r>
          </w:p>
        </w:tc>
        <w:tc>
          <w:tcPr>
            <w:tcW w:w="482" w:type="pct"/>
            <w:shd w:val="clear" w:color="auto" w:fill="FFFFFF"/>
            <w:noWrap/>
            <w:vAlign w:val="bottom"/>
            <w:hideMark/>
          </w:tcPr>
          <w:p w14:paraId="3ED98A84" w14:textId="77777777" w:rsidR="00E90931" w:rsidRPr="00AE4E8D" w:rsidRDefault="00E90931" w:rsidP="00E90931">
            <w:pPr>
              <w:jc w:val="right"/>
              <w:rPr>
                <w:rFonts w:ascii="Times New Roman" w:hAnsi="Times New Roman"/>
                <w:b/>
                <w:bCs/>
                <w:i/>
                <w:iCs/>
                <w:sz w:val="16"/>
                <w:szCs w:val="16"/>
                <w:lang w:val="es-ES" w:eastAsia="es-AR"/>
              </w:rPr>
            </w:pPr>
            <w:r w:rsidRPr="00AE4E8D">
              <w:rPr>
                <w:rFonts w:ascii="Times New Roman" w:hAnsi="Times New Roman"/>
                <w:b/>
                <w:bCs/>
                <w:i/>
                <w:iCs/>
                <w:sz w:val="16"/>
                <w:szCs w:val="16"/>
                <w:lang w:val="es-ES" w:eastAsia="es-AR"/>
              </w:rPr>
              <w:t>75.847</w:t>
            </w:r>
          </w:p>
        </w:tc>
        <w:tc>
          <w:tcPr>
            <w:tcW w:w="383" w:type="pct"/>
            <w:shd w:val="clear" w:color="auto" w:fill="FFFFFF"/>
            <w:noWrap/>
            <w:vAlign w:val="bottom"/>
            <w:hideMark/>
          </w:tcPr>
          <w:p w14:paraId="3AA3B2C9" w14:textId="77777777" w:rsidR="00E90931" w:rsidRPr="00AE4E8D" w:rsidRDefault="00E90931" w:rsidP="00E90931">
            <w:pPr>
              <w:jc w:val="right"/>
              <w:rPr>
                <w:rFonts w:ascii="Times New Roman" w:hAnsi="Times New Roman"/>
                <w:b/>
                <w:bCs/>
                <w:i/>
                <w:iCs/>
                <w:sz w:val="16"/>
                <w:szCs w:val="16"/>
                <w:lang w:val="es-ES" w:eastAsia="es-AR"/>
              </w:rPr>
            </w:pPr>
            <w:r w:rsidRPr="00AE4E8D">
              <w:rPr>
                <w:rFonts w:ascii="Times New Roman" w:hAnsi="Times New Roman"/>
                <w:b/>
                <w:bCs/>
                <w:i/>
                <w:iCs/>
                <w:sz w:val="16"/>
                <w:szCs w:val="16"/>
                <w:lang w:val="es-ES" w:eastAsia="es-AR"/>
              </w:rPr>
              <w:t>32.376</w:t>
            </w:r>
          </w:p>
        </w:tc>
        <w:tc>
          <w:tcPr>
            <w:tcW w:w="253" w:type="pct"/>
            <w:shd w:val="clear" w:color="auto" w:fill="FFFFFF"/>
            <w:noWrap/>
            <w:vAlign w:val="bottom"/>
            <w:hideMark/>
          </w:tcPr>
          <w:p w14:paraId="350E91C7" w14:textId="77777777" w:rsidR="00E90931" w:rsidRPr="00AE4E8D" w:rsidRDefault="00F6738D" w:rsidP="00E90931">
            <w:pPr>
              <w:jc w:val="right"/>
              <w:rPr>
                <w:rFonts w:ascii="Times New Roman" w:hAnsi="Times New Roman"/>
                <w:b/>
                <w:bCs/>
                <w:i/>
                <w:iCs/>
                <w:sz w:val="16"/>
                <w:szCs w:val="16"/>
                <w:lang w:val="es-ES" w:eastAsia="es-AR"/>
              </w:rPr>
            </w:pPr>
            <w:r w:rsidRPr="00AE4E8D">
              <w:rPr>
                <w:rFonts w:ascii="Times New Roman" w:hAnsi="Times New Roman"/>
                <w:b/>
                <w:bCs/>
                <w:i/>
                <w:iCs/>
                <w:sz w:val="16"/>
                <w:szCs w:val="16"/>
                <w:lang w:val="es-ES" w:eastAsia="es-AR"/>
              </w:rPr>
              <w:t>-</w:t>
            </w:r>
          </w:p>
        </w:tc>
        <w:tc>
          <w:tcPr>
            <w:tcW w:w="346" w:type="pct"/>
            <w:shd w:val="clear" w:color="auto" w:fill="FFFFFF"/>
            <w:noWrap/>
            <w:vAlign w:val="bottom"/>
            <w:hideMark/>
          </w:tcPr>
          <w:p w14:paraId="0AFB4115" w14:textId="77777777" w:rsidR="00E90931" w:rsidRPr="00AE4E8D" w:rsidRDefault="00E90931" w:rsidP="00E90931">
            <w:pPr>
              <w:jc w:val="right"/>
              <w:rPr>
                <w:rFonts w:ascii="Times New Roman" w:hAnsi="Times New Roman"/>
                <w:b/>
                <w:bCs/>
                <w:i/>
                <w:iCs/>
                <w:sz w:val="16"/>
                <w:szCs w:val="16"/>
                <w:lang w:val="es-ES" w:eastAsia="es-AR"/>
              </w:rPr>
            </w:pPr>
            <w:r w:rsidRPr="00AE4E8D">
              <w:rPr>
                <w:rFonts w:ascii="Times New Roman" w:hAnsi="Times New Roman"/>
                <w:b/>
                <w:bCs/>
                <w:i/>
                <w:iCs/>
                <w:sz w:val="16"/>
                <w:szCs w:val="16"/>
                <w:lang w:val="es-ES" w:eastAsia="es-AR"/>
              </w:rPr>
              <w:t>679.063</w:t>
            </w:r>
          </w:p>
        </w:tc>
      </w:tr>
      <w:tr w:rsidR="003B5193" w:rsidRPr="00AE4E8D" w14:paraId="74504430" w14:textId="77777777" w:rsidTr="00003798">
        <w:trPr>
          <w:trHeight w:val="270"/>
        </w:trPr>
        <w:tc>
          <w:tcPr>
            <w:tcW w:w="1505" w:type="pct"/>
            <w:gridSpan w:val="2"/>
            <w:shd w:val="clear" w:color="auto" w:fill="FFFFFF"/>
            <w:noWrap/>
            <w:vAlign w:val="bottom"/>
            <w:hideMark/>
          </w:tcPr>
          <w:p w14:paraId="6A0EDBAA" w14:textId="77777777" w:rsidR="00B362BA" w:rsidRPr="00AE4E8D" w:rsidRDefault="00B362BA" w:rsidP="00E90931">
            <w:pPr>
              <w:rPr>
                <w:rFonts w:ascii="Times New Roman" w:hAnsi="Times New Roman"/>
                <w:sz w:val="16"/>
                <w:szCs w:val="16"/>
                <w:lang w:val="es-ES" w:eastAsia="es-AR"/>
              </w:rPr>
            </w:pPr>
            <w:r w:rsidRPr="00AE4E8D">
              <w:rPr>
                <w:rFonts w:ascii="Times New Roman" w:hAnsi="Times New Roman"/>
                <w:sz w:val="16"/>
                <w:szCs w:val="16"/>
                <w:lang w:val="es-ES" w:eastAsia="es-AR"/>
              </w:rPr>
              <w:t xml:space="preserve">Previsiones / Prestamos en </w:t>
            </w:r>
            <w:r w:rsidR="00934FBF" w:rsidRPr="00AE4E8D">
              <w:rPr>
                <w:rFonts w:ascii="Times New Roman" w:hAnsi="Times New Roman"/>
                <w:sz w:val="16"/>
                <w:szCs w:val="16"/>
                <w:lang w:val="es-ES" w:eastAsia="es-AR"/>
              </w:rPr>
              <w:t>situación</w:t>
            </w:r>
            <w:r w:rsidRPr="00AE4E8D">
              <w:rPr>
                <w:rFonts w:ascii="Times New Roman" w:hAnsi="Times New Roman"/>
                <w:sz w:val="16"/>
                <w:szCs w:val="16"/>
                <w:lang w:val="es-ES" w:eastAsia="es-AR"/>
              </w:rPr>
              <w:t xml:space="preserve"> irregular</w:t>
            </w:r>
          </w:p>
        </w:tc>
        <w:tc>
          <w:tcPr>
            <w:tcW w:w="574" w:type="pct"/>
            <w:shd w:val="clear" w:color="auto" w:fill="FFFFFF"/>
            <w:noWrap/>
            <w:vAlign w:val="bottom"/>
            <w:hideMark/>
          </w:tcPr>
          <w:p w14:paraId="570DF82D" w14:textId="77777777" w:rsidR="00B362BA" w:rsidRPr="00AE4E8D" w:rsidRDefault="00B362BA"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290,71%</w:t>
            </w:r>
          </w:p>
        </w:tc>
        <w:tc>
          <w:tcPr>
            <w:tcW w:w="346" w:type="pct"/>
            <w:shd w:val="clear" w:color="auto" w:fill="FFFFFF"/>
            <w:noWrap/>
            <w:vAlign w:val="bottom"/>
            <w:hideMark/>
          </w:tcPr>
          <w:p w14:paraId="4DF6B402" w14:textId="77777777" w:rsidR="00B362BA" w:rsidRPr="00AE4E8D" w:rsidRDefault="00B362BA"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66,05%</w:t>
            </w:r>
          </w:p>
        </w:tc>
        <w:tc>
          <w:tcPr>
            <w:tcW w:w="346" w:type="pct"/>
            <w:shd w:val="clear" w:color="auto" w:fill="FFFFFF"/>
            <w:noWrap/>
            <w:vAlign w:val="bottom"/>
            <w:hideMark/>
          </w:tcPr>
          <w:p w14:paraId="0C648C84" w14:textId="77777777" w:rsidR="00B362BA" w:rsidRPr="00AE4E8D" w:rsidRDefault="00B362BA"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84,34%</w:t>
            </w:r>
          </w:p>
        </w:tc>
        <w:tc>
          <w:tcPr>
            <w:tcW w:w="364" w:type="pct"/>
            <w:shd w:val="clear" w:color="auto" w:fill="FFFFFF"/>
            <w:noWrap/>
            <w:vAlign w:val="bottom"/>
            <w:hideMark/>
          </w:tcPr>
          <w:p w14:paraId="086F6AFD" w14:textId="77777777" w:rsidR="00B362BA" w:rsidRPr="00AE4E8D" w:rsidRDefault="00B362BA"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2,20%</w:t>
            </w:r>
          </w:p>
        </w:tc>
        <w:tc>
          <w:tcPr>
            <w:tcW w:w="402" w:type="pct"/>
            <w:shd w:val="clear" w:color="auto" w:fill="FFFFFF"/>
            <w:noWrap/>
            <w:vAlign w:val="bottom"/>
            <w:hideMark/>
          </w:tcPr>
          <w:p w14:paraId="356826E1" w14:textId="77777777" w:rsidR="00B362BA" w:rsidRPr="00AE4E8D" w:rsidRDefault="00B362BA" w:rsidP="00BD536D">
            <w:pPr>
              <w:jc w:val="right"/>
              <w:rPr>
                <w:rFonts w:ascii="Times New Roman" w:hAnsi="Times New Roman"/>
                <w:sz w:val="16"/>
                <w:szCs w:val="16"/>
                <w:lang w:val="es-ES" w:eastAsia="es-AR"/>
              </w:rPr>
            </w:pPr>
            <w:r w:rsidRPr="00AE4E8D">
              <w:rPr>
                <w:rFonts w:ascii="Times New Roman" w:hAnsi="Times New Roman"/>
                <w:sz w:val="16"/>
                <w:szCs w:val="16"/>
                <w:lang w:val="es-ES" w:eastAsia="es-AR"/>
              </w:rPr>
              <w:t>NA</w:t>
            </w:r>
          </w:p>
        </w:tc>
        <w:tc>
          <w:tcPr>
            <w:tcW w:w="482" w:type="pct"/>
            <w:shd w:val="clear" w:color="auto" w:fill="FFFFFF"/>
            <w:noWrap/>
            <w:vAlign w:val="bottom"/>
            <w:hideMark/>
          </w:tcPr>
          <w:p w14:paraId="77A85DB3" w14:textId="77777777" w:rsidR="00B362BA" w:rsidRPr="00AE4E8D" w:rsidRDefault="00B362BA"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331,40%</w:t>
            </w:r>
          </w:p>
        </w:tc>
        <w:tc>
          <w:tcPr>
            <w:tcW w:w="383" w:type="pct"/>
            <w:shd w:val="clear" w:color="auto" w:fill="FFFFFF"/>
            <w:noWrap/>
            <w:vAlign w:val="bottom"/>
            <w:hideMark/>
          </w:tcPr>
          <w:p w14:paraId="111FA5AC" w14:textId="77777777" w:rsidR="00B362BA" w:rsidRPr="00AE4E8D" w:rsidRDefault="00B362BA"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NA</w:t>
            </w:r>
          </w:p>
        </w:tc>
        <w:tc>
          <w:tcPr>
            <w:tcW w:w="253" w:type="pct"/>
            <w:shd w:val="clear" w:color="auto" w:fill="FFFFFF"/>
            <w:noWrap/>
            <w:vAlign w:val="bottom"/>
            <w:hideMark/>
          </w:tcPr>
          <w:p w14:paraId="062384E4" w14:textId="77777777" w:rsidR="00B362BA" w:rsidRPr="00AE4E8D" w:rsidRDefault="00B362BA" w:rsidP="00E90931">
            <w:pPr>
              <w:rPr>
                <w:rFonts w:ascii="Times New Roman" w:hAnsi="Times New Roman"/>
                <w:sz w:val="16"/>
                <w:szCs w:val="16"/>
                <w:lang w:val="es-ES" w:eastAsia="es-AR"/>
              </w:rPr>
            </w:pPr>
            <w:r w:rsidRPr="00AE4E8D">
              <w:rPr>
                <w:rFonts w:ascii="Times New Roman" w:hAnsi="Times New Roman"/>
                <w:sz w:val="16"/>
                <w:szCs w:val="16"/>
                <w:lang w:val="es-ES" w:eastAsia="es-AR"/>
              </w:rPr>
              <w:t> </w:t>
            </w:r>
          </w:p>
        </w:tc>
        <w:tc>
          <w:tcPr>
            <w:tcW w:w="346" w:type="pct"/>
            <w:shd w:val="clear" w:color="auto" w:fill="FFFFFF"/>
            <w:noWrap/>
            <w:vAlign w:val="bottom"/>
            <w:hideMark/>
          </w:tcPr>
          <w:p w14:paraId="1BADC44B" w14:textId="77777777" w:rsidR="00B362BA" w:rsidRPr="00AE4E8D" w:rsidRDefault="00B362BA" w:rsidP="00E90931">
            <w:pPr>
              <w:jc w:val="right"/>
              <w:rPr>
                <w:rFonts w:ascii="Times New Roman" w:hAnsi="Times New Roman"/>
                <w:sz w:val="16"/>
                <w:szCs w:val="16"/>
                <w:lang w:val="es-ES" w:eastAsia="es-AR"/>
              </w:rPr>
            </w:pPr>
            <w:r w:rsidRPr="00AE4E8D">
              <w:rPr>
                <w:rFonts w:ascii="Times New Roman" w:hAnsi="Times New Roman"/>
                <w:sz w:val="16"/>
                <w:szCs w:val="16"/>
                <w:lang w:val="es-ES" w:eastAsia="es-AR"/>
              </w:rPr>
              <w:t>96,45%</w:t>
            </w:r>
          </w:p>
        </w:tc>
      </w:tr>
      <w:tr w:rsidR="003B5193" w:rsidRPr="00AE4E8D" w14:paraId="215A4F4B" w14:textId="77777777" w:rsidTr="00003798">
        <w:trPr>
          <w:trHeight w:val="270"/>
        </w:trPr>
        <w:tc>
          <w:tcPr>
            <w:tcW w:w="1505" w:type="pct"/>
            <w:gridSpan w:val="2"/>
            <w:shd w:val="clear" w:color="auto" w:fill="FFFFFF"/>
            <w:noWrap/>
            <w:vAlign w:val="bottom"/>
          </w:tcPr>
          <w:p w14:paraId="4654E890" w14:textId="77777777" w:rsidR="00E90931" w:rsidRPr="00AE4E8D" w:rsidRDefault="00E90931" w:rsidP="00E90931">
            <w:pPr>
              <w:rPr>
                <w:rFonts w:ascii="Times New Roman" w:hAnsi="Times New Roman"/>
                <w:sz w:val="16"/>
                <w:szCs w:val="16"/>
                <w:lang w:val="es-ES" w:eastAsia="es-AR"/>
              </w:rPr>
            </w:pPr>
          </w:p>
        </w:tc>
        <w:tc>
          <w:tcPr>
            <w:tcW w:w="574" w:type="pct"/>
            <w:shd w:val="clear" w:color="auto" w:fill="FFFFFF"/>
            <w:noWrap/>
            <w:vAlign w:val="bottom"/>
          </w:tcPr>
          <w:p w14:paraId="426AB15B" w14:textId="77777777" w:rsidR="00E90931" w:rsidRPr="00AE4E8D" w:rsidRDefault="00E90931" w:rsidP="00E90931">
            <w:pPr>
              <w:rPr>
                <w:rFonts w:ascii="Times New Roman" w:hAnsi="Times New Roman"/>
                <w:sz w:val="16"/>
                <w:szCs w:val="16"/>
                <w:lang w:val="es-ES" w:eastAsia="es-AR"/>
              </w:rPr>
            </w:pPr>
          </w:p>
        </w:tc>
        <w:tc>
          <w:tcPr>
            <w:tcW w:w="346" w:type="pct"/>
            <w:shd w:val="clear" w:color="auto" w:fill="FFFFFF"/>
            <w:noWrap/>
            <w:vAlign w:val="bottom"/>
          </w:tcPr>
          <w:p w14:paraId="1222D01F" w14:textId="77777777" w:rsidR="00E90931" w:rsidRPr="00AE4E8D" w:rsidRDefault="00E90931" w:rsidP="00E90931">
            <w:pPr>
              <w:rPr>
                <w:rFonts w:ascii="Times New Roman" w:hAnsi="Times New Roman"/>
                <w:sz w:val="16"/>
                <w:szCs w:val="16"/>
                <w:lang w:val="es-ES" w:eastAsia="es-AR"/>
              </w:rPr>
            </w:pPr>
          </w:p>
        </w:tc>
        <w:tc>
          <w:tcPr>
            <w:tcW w:w="346" w:type="pct"/>
            <w:shd w:val="clear" w:color="auto" w:fill="FFFFFF"/>
            <w:noWrap/>
            <w:vAlign w:val="bottom"/>
          </w:tcPr>
          <w:p w14:paraId="5C96E37E" w14:textId="77777777" w:rsidR="00E90931" w:rsidRPr="00AE4E8D" w:rsidRDefault="00E90931" w:rsidP="00E90931">
            <w:pPr>
              <w:rPr>
                <w:rFonts w:ascii="Times New Roman" w:hAnsi="Times New Roman"/>
                <w:sz w:val="16"/>
                <w:szCs w:val="16"/>
                <w:lang w:val="es-ES" w:eastAsia="es-AR"/>
              </w:rPr>
            </w:pPr>
          </w:p>
        </w:tc>
        <w:tc>
          <w:tcPr>
            <w:tcW w:w="364" w:type="pct"/>
            <w:shd w:val="clear" w:color="auto" w:fill="FFFFFF"/>
            <w:noWrap/>
            <w:vAlign w:val="bottom"/>
          </w:tcPr>
          <w:p w14:paraId="23A23563" w14:textId="77777777" w:rsidR="00E90931" w:rsidRPr="00AE4E8D" w:rsidRDefault="00E90931" w:rsidP="00E90931">
            <w:pPr>
              <w:rPr>
                <w:rFonts w:ascii="Times New Roman" w:hAnsi="Times New Roman"/>
                <w:sz w:val="16"/>
                <w:szCs w:val="16"/>
                <w:lang w:val="es-ES" w:eastAsia="es-AR"/>
              </w:rPr>
            </w:pPr>
          </w:p>
        </w:tc>
        <w:tc>
          <w:tcPr>
            <w:tcW w:w="402" w:type="pct"/>
            <w:shd w:val="clear" w:color="auto" w:fill="FFFFFF"/>
            <w:noWrap/>
            <w:vAlign w:val="bottom"/>
          </w:tcPr>
          <w:p w14:paraId="20E6DDED" w14:textId="77777777" w:rsidR="00E90931" w:rsidRPr="00AE4E8D" w:rsidRDefault="00E90931" w:rsidP="00E90931">
            <w:pPr>
              <w:rPr>
                <w:rFonts w:ascii="Times New Roman" w:hAnsi="Times New Roman"/>
                <w:sz w:val="16"/>
                <w:szCs w:val="16"/>
                <w:lang w:val="es-ES" w:eastAsia="es-AR"/>
              </w:rPr>
            </w:pPr>
          </w:p>
        </w:tc>
        <w:tc>
          <w:tcPr>
            <w:tcW w:w="482" w:type="pct"/>
            <w:shd w:val="clear" w:color="auto" w:fill="FFFFFF"/>
            <w:noWrap/>
            <w:vAlign w:val="bottom"/>
          </w:tcPr>
          <w:p w14:paraId="53DC8119" w14:textId="77777777" w:rsidR="00E90931" w:rsidRPr="00AE4E8D" w:rsidRDefault="00E90931" w:rsidP="00E90931">
            <w:pPr>
              <w:rPr>
                <w:rFonts w:ascii="Times New Roman" w:hAnsi="Times New Roman"/>
                <w:sz w:val="16"/>
                <w:szCs w:val="16"/>
                <w:lang w:val="es-ES" w:eastAsia="es-AR"/>
              </w:rPr>
            </w:pPr>
          </w:p>
        </w:tc>
        <w:tc>
          <w:tcPr>
            <w:tcW w:w="383" w:type="pct"/>
            <w:shd w:val="clear" w:color="auto" w:fill="FFFFFF"/>
            <w:noWrap/>
            <w:vAlign w:val="bottom"/>
          </w:tcPr>
          <w:p w14:paraId="4D51782B" w14:textId="77777777" w:rsidR="00E90931" w:rsidRPr="00AE4E8D" w:rsidRDefault="00E90931" w:rsidP="00E90931">
            <w:pPr>
              <w:rPr>
                <w:rFonts w:ascii="Times New Roman" w:hAnsi="Times New Roman"/>
                <w:sz w:val="16"/>
                <w:szCs w:val="16"/>
                <w:lang w:val="es-ES" w:eastAsia="es-AR"/>
              </w:rPr>
            </w:pPr>
          </w:p>
        </w:tc>
        <w:tc>
          <w:tcPr>
            <w:tcW w:w="253" w:type="pct"/>
            <w:shd w:val="clear" w:color="auto" w:fill="FFFFFF"/>
            <w:noWrap/>
            <w:vAlign w:val="bottom"/>
          </w:tcPr>
          <w:p w14:paraId="497BEC87" w14:textId="77777777" w:rsidR="00E90931" w:rsidRPr="00AE4E8D" w:rsidRDefault="00E90931" w:rsidP="00E90931">
            <w:pPr>
              <w:rPr>
                <w:rFonts w:ascii="Times New Roman" w:hAnsi="Times New Roman"/>
                <w:sz w:val="16"/>
                <w:szCs w:val="16"/>
                <w:lang w:val="es-ES" w:eastAsia="es-AR"/>
              </w:rPr>
            </w:pPr>
          </w:p>
        </w:tc>
        <w:tc>
          <w:tcPr>
            <w:tcW w:w="346" w:type="pct"/>
            <w:shd w:val="clear" w:color="auto" w:fill="FFFFFF"/>
            <w:noWrap/>
            <w:vAlign w:val="bottom"/>
          </w:tcPr>
          <w:p w14:paraId="322DC7E4" w14:textId="77777777" w:rsidR="00E90931" w:rsidRPr="00AE4E8D" w:rsidRDefault="00E90931" w:rsidP="00E90931">
            <w:pPr>
              <w:jc w:val="right"/>
              <w:rPr>
                <w:rFonts w:ascii="Times New Roman" w:hAnsi="Times New Roman"/>
                <w:sz w:val="16"/>
                <w:szCs w:val="16"/>
                <w:lang w:val="es-ES" w:eastAsia="es-AR"/>
              </w:rPr>
            </w:pPr>
          </w:p>
        </w:tc>
      </w:tr>
    </w:tbl>
    <w:p w14:paraId="20A0C571" w14:textId="77777777" w:rsidR="00003798" w:rsidRPr="00AE4E8D" w:rsidRDefault="00003798" w:rsidP="00E90931">
      <w:pPr>
        <w:autoSpaceDE w:val="0"/>
        <w:autoSpaceDN w:val="0"/>
        <w:adjustRightInd w:val="0"/>
        <w:spacing w:before="120" w:after="120"/>
        <w:jc w:val="both"/>
        <w:rPr>
          <w:rFonts w:ascii="Times New Roman" w:hAnsi="Times New Roman"/>
          <w:lang w:val="es-ES" w:eastAsia="es-AR"/>
        </w:rPr>
      </w:pPr>
    </w:p>
    <w:tbl>
      <w:tblPr>
        <w:tblW w:w="0" w:type="auto"/>
        <w:jc w:val="center"/>
        <w:tblLayout w:type="fixed"/>
        <w:tblLook w:val="00A0" w:firstRow="1" w:lastRow="0" w:firstColumn="1" w:lastColumn="0" w:noHBand="0" w:noVBand="0"/>
      </w:tblPr>
      <w:tblGrid>
        <w:gridCol w:w="3936"/>
        <w:gridCol w:w="1085"/>
        <w:gridCol w:w="901"/>
        <w:gridCol w:w="1236"/>
        <w:gridCol w:w="1224"/>
        <w:gridCol w:w="1070"/>
        <w:gridCol w:w="1647"/>
        <w:gridCol w:w="1233"/>
        <w:gridCol w:w="951"/>
        <w:gridCol w:w="936"/>
      </w:tblGrid>
      <w:tr w:rsidR="00E90931" w:rsidRPr="00AE4E8D" w14:paraId="62D8F175" w14:textId="77777777" w:rsidTr="000400C8">
        <w:trPr>
          <w:trHeight w:val="267"/>
          <w:jc w:val="center"/>
        </w:trPr>
        <w:tc>
          <w:tcPr>
            <w:tcW w:w="3936" w:type="dxa"/>
            <w:shd w:val="clear" w:color="auto" w:fill="FFFFFF"/>
            <w:noWrap/>
            <w:vAlign w:val="bottom"/>
            <w:hideMark/>
          </w:tcPr>
          <w:p w14:paraId="52C347AE" w14:textId="77777777" w:rsidR="00E90931" w:rsidRPr="00AE4E8D" w:rsidRDefault="00003798" w:rsidP="00003798">
            <w:pPr>
              <w:keepNext/>
              <w:keepLines/>
              <w:rPr>
                <w:rFonts w:ascii="Times New Roman" w:hAnsi="Times New Roman"/>
                <w:sz w:val="16"/>
                <w:szCs w:val="16"/>
                <w:lang w:val="es-ES"/>
              </w:rPr>
            </w:pPr>
            <w:r w:rsidRPr="00AE4E8D">
              <w:rPr>
                <w:rFonts w:ascii="Times New Roman" w:hAnsi="Times New Roman"/>
                <w:lang w:val="es-ES" w:eastAsia="es-AR"/>
              </w:rPr>
              <w:lastRenderedPageBreak/>
              <w:br w:type="page"/>
            </w:r>
            <w:r w:rsidRPr="00AE4E8D">
              <w:rPr>
                <w:rFonts w:ascii="Times New Roman" w:hAnsi="Times New Roman"/>
                <w:lang w:val="es-ES" w:eastAsia="es-AR"/>
              </w:rPr>
              <w:br w:type="page"/>
            </w:r>
            <w:r w:rsidR="00E90931" w:rsidRPr="00AE4E8D">
              <w:rPr>
                <w:rFonts w:ascii="Times New Roman" w:hAnsi="Times New Roman"/>
                <w:sz w:val="16"/>
                <w:szCs w:val="16"/>
                <w:lang w:val="es-ES"/>
              </w:rPr>
              <w:t> </w:t>
            </w:r>
          </w:p>
        </w:tc>
        <w:tc>
          <w:tcPr>
            <w:tcW w:w="10283" w:type="dxa"/>
            <w:gridSpan w:val="9"/>
            <w:tcBorders>
              <w:top w:val="nil"/>
              <w:left w:val="nil"/>
              <w:bottom w:val="single" w:sz="4" w:space="0" w:color="auto"/>
              <w:right w:val="nil"/>
            </w:tcBorders>
            <w:shd w:val="clear" w:color="auto" w:fill="FFFFFF"/>
            <w:noWrap/>
            <w:vAlign w:val="bottom"/>
            <w:hideMark/>
          </w:tcPr>
          <w:p w14:paraId="28A1D0EE" w14:textId="77777777" w:rsidR="00E90931" w:rsidRPr="00AE4E8D" w:rsidRDefault="00E90931" w:rsidP="00003798">
            <w:pPr>
              <w:keepNext/>
              <w:keepLines/>
              <w:jc w:val="center"/>
              <w:rPr>
                <w:rFonts w:ascii="Times New Roman" w:hAnsi="Times New Roman"/>
                <w:b/>
                <w:sz w:val="16"/>
                <w:lang w:val="es-ES"/>
              </w:rPr>
            </w:pPr>
            <w:r w:rsidRPr="00AE4E8D">
              <w:rPr>
                <w:rFonts w:ascii="Times New Roman" w:hAnsi="Times New Roman"/>
                <w:b/>
                <w:sz w:val="16"/>
                <w:lang w:val="es-ES"/>
              </w:rPr>
              <w:t>Al 31 de diciembre de 2015</w:t>
            </w:r>
          </w:p>
        </w:tc>
      </w:tr>
      <w:tr w:rsidR="003B5193" w:rsidRPr="00AE4E8D" w14:paraId="22D2C4CC" w14:textId="77777777" w:rsidTr="00003798">
        <w:trPr>
          <w:trHeight w:val="267"/>
          <w:jc w:val="center"/>
        </w:trPr>
        <w:tc>
          <w:tcPr>
            <w:tcW w:w="3936" w:type="dxa"/>
            <w:shd w:val="clear" w:color="auto" w:fill="FFFFFF"/>
            <w:noWrap/>
            <w:vAlign w:val="bottom"/>
            <w:hideMark/>
          </w:tcPr>
          <w:p w14:paraId="37B3FBC8"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w:t>
            </w:r>
          </w:p>
        </w:tc>
        <w:tc>
          <w:tcPr>
            <w:tcW w:w="4446" w:type="dxa"/>
            <w:gridSpan w:val="4"/>
            <w:tcBorders>
              <w:top w:val="single" w:sz="4" w:space="0" w:color="auto"/>
              <w:left w:val="nil"/>
              <w:bottom w:val="single" w:sz="4" w:space="0" w:color="auto"/>
              <w:right w:val="nil"/>
            </w:tcBorders>
            <w:shd w:val="clear" w:color="auto" w:fill="FFFFFF"/>
            <w:noWrap/>
            <w:vAlign w:val="bottom"/>
            <w:hideMark/>
          </w:tcPr>
          <w:p w14:paraId="0ECEFF2D"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Consumo</w:t>
            </w:r>
          </w:p>
        </w:tc>
        <w:tc>
          <w:tcPr>
            <w:tcW w:w="4901" w:type="dxa"/>
            <w:gridSpan w:val="4"/>
            <w:tcBorders>
              <w:top w:val="single" w:sz="4" w:space="0" w:color="auto"/>
              <w:left w:val="nil"/>
              <w:bottom w:val="single" w:sz="4" w:space="0" w:color="auto"/>
              <w:right w:val="nil"/>
            </w:tcBorders>
            <w:shd w:val="clear" w:color="auto" w:fill="FFFFFF"/>
            <w:noWrap/>
            <w:vAlign w:val="bottom"/>
            <w:hideMark/>
          </w:tcPr>
          <w:p w14:paraId="36201AD2"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Comercial</w:t>
            </w:r>
          </w:p>
        </w:tc>
        <w:tc>
          <w:tcPr>
            <w:tcW w:w="936" w:type="dxa"/>
            <w:vMerge w:val="restart"/>
            <w:tcBorders>
              <w:top w:val="single" w:sz="4" w:space="0" w:color="auto"/>
              <w:left w:val="nil"/>
              <w:bottom w:val="single" w:sz="4" w:space="0" w:color="000000"/>
              <w:right w:val="nil"/>
            </w:tcBorders>
            <w:shd w:val="clear" w:color="auto" w:fill="FFFFFF"/>
            <w:vAlign w:val="center"/>
            <w:hideMark/>
          </w:tcPr>
          <w:p w14:paraId="08B1A9FB"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Total</w:t>
            </w:r>
          </w:p>
        </w:tc>
      </w:tr>
      <w:tr w:rsidR="003B5193" w:rsidRPr="00AE4E8D" w14:paraId="73051A02" w14:textId="77777777" w:rsidTr="00003798">
        <w:trPr>
          <w:trHeight w:val="267"/>
          <w:jc w:val="center"/>
        </w:trPr>
        <w:tc>
          <w:tcPr>
            <w:tcW w:w="3936" w:type="dxa"/>
            <w:noWrap/>
            <w:vAlign w:val="bottom"/>
          </w:tcPr>
          <w:p w14:paraId="0AD48BF2" w14:textId="77777777" w:rsidR="00E90931" w:rsidRPr="00AE4E8D" w:rsidRDefault="00E90931" w:rsidP="00003798">
            <w:pPr>
              <w:keepNext/>
              <w:keepLines/>
              <w:rPr>
                <w:rFonts w:ascii="Times New Roman" w:hAnsi="Times New Roman"/>
                <w:sz w:val="16"/>
                <w:szCs w:val="16"/>
                <w:lang w:val="es-ES"/>
              </w:rPr>
            </w:pPr>
          </w:p>
        </w:tc>
        <w:tc>
          <w:tcPr>
            <w:tcW w:w="1085" w:type="dxa"/>
            <w:vMerge w:val="restart"/>
            <w:tcBorders>
              <w:top w:val="nil"/>
              <w:left w:val="nil"/>
              <w:bottom w:val="single" w:sz="4" w:space="0" w:color="000000"/>
              <w:right w:val="nil"/>
            </w:tcBorders>
            <w:shd w:val="clear" w:color="auto" w:fill="FFFFFF"/>
            <w:vAlign w:val="center"/>
            <w:hideMark/>
          </w:tcPr>
          <w:p w14:paraId="1709817B"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Prest. Hipotecarios</w:t>
            </w:r>
          </w:p>
        </w:tc>
        <w:tc>
          <w:tcPr>
            <w:tcW w:w="901" w:type="dxa"/>
            <w:vMerge w:val="restart"/>
            <w:tcBorders>
              <w:top w:val="nil"/>
              <w:left w:val="nil"/>
              <w:bottom w:val="single" w:sz="4" w:space="0" w:color="000000"/>
              <w:right w:val="nil"/>
            </w:tcBorders>
            <w:shd w:val="clear" w:color="auto" w:fill="FFFFFF"/>
            <w:vAlign w:val="center"/>
            <w:hideMark/>
          </w:tcPr>
          <w:p w14:paraId="62B918DC"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Personales</w:t>
            </w:r>
          </w:p>
        </w:tc>
        <w:tc>
          <w:tcPr>
            <w:tcW w:w="1236" w:type="dxa"/>
            <w:vMerge w:val="restart"/>
            <w:tcBorders>
              <w:top w:val="nil"/>
              <w:left w:val="nil"/>
              <w:bottom w:val="single" w:sz="4" w:space="0" w:color="000000"/>
              <w:right w:val="nil"/>
            </w:tcBorders>
            <w:shd w:val="clear" w:color="auto" w:fill="FFFFFF"/>
            <w:vAlign w:val="center"/>
            <w:hideMark/>
          </w:tcPr>
          <w:p w14:paraId="71FB8D34"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Tarjetas y Adelantos</w:t>
            </w:r>
          </w:p>
        </w:tc>
        <w:tc>
          <w:tcPr>
            <w:tcW w:w="1224" w:type="dxa"/>
            <w:vMerge w:val="restart"/>
            <w:tcBorders>
              <w:top w:val="nil"/>
              <w:left w:val="nil"/>
              <w:bottom w:val="single" w:sz="4" w:space="0" w:color="000000"/>
              <w:right w:val="nil"/>
            </w:tcBorders>
            <w:shd w:val="clear" w:color="auto" w:fill="FFFFFF"/>
            <w:vAlign w:val="center"/>
            <w:hideMark/>
          </w:tcPr>
          <w:p w14:paraId="5A650990"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Otros Individuales</w:t>
            </w:r>
          </w:p>
        </w:tc>
        <w:tc>
          <w:tcPr>
            <w:tcW w:w="1070" w:type="dxa"/>
            <w:vMerge w:val="restart"/>
            <w:tcBorders>
              <w:top w:val="nil"/>
              <w:left w:val="nil"/>
              <w:bottom w:val="single" w:sz="4" w:space="0" w:color="000000"/>
              <w:right w:val="nil"/>
            </w:tcBorders>
            <w:shd w:val="clear" w:color="auto" w:fill="FFFFFF"/>
            <w:vAlign w:val="center"/>
            <w:hideMark/>
          </w:tcPr>
          <w:p w14:paraId="712CB4F2"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Construcci</w:t>
            </w:r>
            <w:r w:rsidR="00934FBF" w:rsidRPr="00AE4E8D">
              <w:rPr>
                <w:rFonts w:ascii="Times New Roman" w:hAnsi="Times New Roman"/>
                <w:sz w:val="16"/>
                <w:szCs w:val="16"/>
                <w:lang w:val="es-ES"/>
              </w:rPr>
              <w:t>ó</w:t>
            </w:r>
            <w:r w:rsidRPr="00AE4E8D">
              <w:rPr>
                <w:rFonts w:ascii="Times New Roman" w:hAnsi="Times New Roman"/>
                <w:sz w:val="16"/>
                <w:szCs w:val="16"/>
                <w:lang w:val="es-ES"/>
              </w:rPr>
              <w:t>n</w:t>
            </w:r>
          </w:p>
        </w:tc>
        <w:tc>
          <w:tcPr>
            <w:tcW w:w="1647" w:type="dxa"/>
            <w:vMerge w:val="restart"/>
            <w:tcBorders>
              <w:top w:val="nil"/>
              <w:left w:val="nil"/>
              <w:bottom w:val="single" w:sz="4" w:space="0" w:color="000000"/>
              <w:right w:val="nil"/>
            </w:tcBorders>
            <w:shd w:val="clear" w:color="auto" w:fill="FFFFFF"/>
            <w:vAlign w:val="center"/>
            <w:hideMark/>
          </w:tcPr>
          <w:p w14:paraId="5B26ADBC"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Asistencia corto plazo empresas</w:t>
            </w:r>
          </w:p>
        </w:tc>
        <w:tc>
          <w:tcPr>
            <w:tcW w:w="1233" w:type="dxa"/>
            <w:vMerge w:val="restart"/>
            <w:tcBorders>
              <w:top w:val="nil"/>
              <w:left w:val="nil"/>
              <w:bottom w:val="single" w:sz="4" w:space="0" w:color="000000"/>
              <w:right w:val="nil"/>
            </w:tcBorders>
            <w:shd w:val="clear" w:color="auto" w:fill="FFFFFF"/>
            <w:vAlign w:val="center"/>
            <w:hideMark/>
          </w:tcPr>
          <w:p w14:paraId="75E3EF05"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Otros Comerciales</w:t>
            </w:r>
          </w:p>
        </w:tc>
        <w:tc>
          <w:tcPr>
            <w:tcW w:w="951" w:type="dxa"/>
            <w:vMerge w:val="restart"/>
            <w:tcBorders>
              <w:top w:val="nil"/>
              <w:left w:val="nil"/>
              <w:bottom w:val="single" w:sz="4" w:space="0" w:color="000000"/>
              <w:right w:val="nil"/>
            </w:tcBorders>
            <w:shd w:val="clear" w:color="auto" w:fill="FFFFFF"/>
            <w:vAlign w:val="center"/>
            <w:hideMark/>
          </w:tcPr>
          <w:p w14:paraId="445577F8"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Sector Público</w:t>
            </w:r>
          </w:p>
        </w:tc>
        <w:tc>
          <w:tcPr>
            <w:tcW w:w="936" w:type="dxa"/>
            <w:vMerge/>
            <w:tcBorders>
              <w:top w:val="single" w:sz="4" w:space="0" w:color="auto"/>
              <w:left w:val="nil"/>
              <w:bottom w:val="single" w:sz="4" w:space="0" w:color="000000"/>
              <w:right w:val="nil"/>
            </w:tcBorders>
            <w:vAlign w:val="center"/>
            <w:hideMark/>
          </w:tcPr>
          <w:p w14:paraId="1DE84754" w14:textId="77777777" w:rsidR="00E90931" w:rsidRPr="00AE4E8D" w:rsidRDefault="00E90931" w:rsidP="00003798">
            <w:pPr>
              <w:keepNext/>
              <w:keepLines/>
              <w:rPr>
                <w:rFonts w:ascii="Times New Roman" w:hAnsi="Times New Roman"/>
                <w:sz w:val="16"/>
                <w:szCs w:val="16"/>
                <w:lang w:val="es-ES"/>
              </w:rPr>
            </w:pPr>
          </w:p>
        </w:tc>
      </w:tr>
      <w:tr w:rsidR="00C274BF" w:rsidRPr="00AE4E8D" w14:paraId="5B33F48E" w14:textId="77777777" w:rsidTr="000400C8">
        <w:trPr>
          <w:trHeight w:val="267"/>
          <w:jc w:val="center"/>
        </w:trPr>
        <w:tc>
          <w:tcPr>
            <w:tcW w:w="3936" w:type="dxa"/>
            <w:noWrap/>
            <w:vAlign w:val="bottom"/>
          </w:tcPr>
          <w:p w14:paraId="25C3BD48" w14:textId="77777777" w:rsidR="00E90931" w:rsidRPr="00AE4E8D" w:rsidRDefault="00E90931" w:rsidP="00003798">
            <w:pPr>
              <w:keepNext/>
              <w:keepLines/>
              <w:rPr>
                <w:rFonts w:ascii="Times New Roman" w:hAnsi="Times New Roman"/>
                <w:sz w:val="16"/>
                <w:szCs w:val="16"/>
                <w:lang w:val="es-ES"/>
              </w:rPr>
            </w:pPr>
          </w:p>
        </w:tc>
        <w:tc>
          <w:tcPr>
            <w:tcW w:w="1085" w:type="dxa"/>
            <w:vMerge/>
            <w:tcBorders>
              <w:top w:val="nil"/>
              <w:left w:val="nil"/>
              <w:bottom w:val="single" w:sz="4" w:space="0" w:color="000000"/>
              <w:right w:val="nil"/>
            </w:tcBorders>
            <w:vAlign w:val="center"/>
            <w:hideMark/>
          </w:tcPr>
          <w:p w14:paraId="6141450D" w14:textId="77777777" w:rsidR="00E90931" w:rsidRPr="00AE4E8D" w:rsidRDefault="00E90931" w:rsidP="00003798">
            <w:pPr>
              <w:keepNext/>
              <w:keepLines/>
              <w:rPr>
                <w:rFonts w:ascii="Times New Roman" w:hAnsi="Times New Roman"/>
                <w:sz w:val="16"/>
                <w:szCs w:val="16"/>
                <w:lang w:val="es-ES"/>
              </w:rPr>
            </w:pPr>
          </w:p>
        </w:tc>
        <w:tc>
          <w:tcPr>
            <w:tcW w:w="901" w:type="dxa"/>
            <w:vMerge/>
            <w:tcBorders>
              <w:top w:val="nil"/>
              <w:left w:val="nil"/>
              <w:bottom w:val="single" w:sz="4" w:space="0" w:color="000000"/>
              <w:right w:val="nil"/>
            </w:tcBorders>
            <w:vAlign w:val="center"/>
            <w:hideMark/>
          </w:tcPr>
          <w:p w14:paraId="2002F205" w14:textId="77777777" w:rsidR="00E90931" w:rsidRPr="00AE4E8D" w:rsidRDefault="00E90931" w:rsidP="00003798">
            <w:pPr>
              <w:keepNext/>
              <w:keepLines/>
              <w:rPr>
                <w:rFonts w:ascii="Times New Roman" w:hAnsi="Times New Roman"/>
                <w:sz w:val="16"/>
                <w:szCs w:val="16"/>
                <w:lang w:val="es-ES"/>
              </w:rPr>
            </w:pPr>
          </w:p>
        </w:tc>
        <w:tc>
          <w:tcPr>
            <w:tcW w:w="1236" w:type="dxa"/>
            <w:vMerge/>
            <w:tcBorders>
              <w:top w:val="nil"/>
              <w:left w:val="nil"/>
              <w:bottom w:val="single" w:sz="4" w:space="0" w:color="000000"/>
              <w:right w:val="nil"/>
            </w:tcBorders>
            <w:vAlign w:val="center"/>
            <w:hideMark/>
          </w:tcPr>
          <w:p w14:paraId="2C0B6BAE" w14:textId="77777777" w:rsidR="00E90931" w:rsidRPr="00AE4E8D" w:rsidRDefault="00E90931" w:rsidP="00003798">
            <w:pPr>
              <w:keepNext/>
              <w:keepLines/>
              <w:rPr>
                <w:rFonts w:ascii="Times New Roman" w:hAnsi="Times New Roman"/>
                <w:sz w:val="16"/>
                <w:szCs w:val="16"/>
                <w:lang w:val="es-ES"/>
              </w:rPr>
            </w:pPr>
          </w:p>
        </w:tc>
        <w:tc>
          <w:tcPr>
            <w:tcW w:w="1224" w:type="dxa"/>
            <w:vMerge/>
            <w:tcBorders>
              <w:top w:val="nil"/>
              <w:left w:val="nil"/>
              <w:bottom w:val="single" w:sz="4" w:space="0" w:color="000000"/>
              <w:right w:val="nil"/>
            </w:tcBorders>
            <w:vAlign w:val="center"/>
            <w:hideMark/>
          </w:tcPr>
          <w:p w14:paraId="4D2EBF16" w14:textId="77777777" w:rsidR="00E90931" w:rsidRPr="00AE4E8D" w:rsidRDefault="00E90931" w:rsidP="00003798">
            <w:pPr>
              <w:keepNext/>
              <w:keepLines/>
              <w:rPr>
                <w:rFonts w:ascii="Times New Roman" w:hAnsi="Times New Roman"/>
                <w:sz w:val="16"/>
                <w:szCs w:val="16"/>
                <w:lang w:val="es-ES"/>
              </w:rPr>
            </w:pPr>
          </w:p>
        </w:tc>
        <w:tc>
          <w:tcPr>
            <w:tcW w:w="1070" w:type="dxa"/>
            <w:vMerge/>
            <w:tcBorders>
              <w:top w:val="nil"/>
              <w:left w:val="nil"/>
              <w:bottom w:val="single" w:sz="4" w:space="0" w:color="000000"/>
              <w:right w:val="nil"/>
            </w:tcBorders>
            <w:vAlign w:val="center"/>
            <w:hideMark/>
          </w:tcPr>
          <w:p w14:paraId="156596C5" w14:textId="77777777" w:rsidR="00E90931" w:rsidRPr="00AE4E8D" w:rsidRDefault="00E90931" w:rsidP="00003798">
            <w:pPr>
              <w:keepNext/>
              <w:keepLines/>
              <w:rPr>
                <w:rFonts w:ascii="Times New Roman" w:hAnsi="Times New Roman"/>
                <w:sz w:val="16"/>
                <w:szCs w:val="16"/>
                <w:lang w:val="es-ES"/>
              </w:rPr>
            </w:pPr>
          </w:p>
        </w:tc>
        <w:tc>
          <w:tcPr>
            <w:tcW w:w="1647" w:type="dxa"/>
            <w:vMerge/>
            <w:tcBorders>
              <w:top w:val="nil"/>
              <w:left w:val="nil"/>
              <w:bottom w:val="single" w:sz="4" w:space="0" w:color="000000"/>
              <w:right w:val="nil"/>
            </w:tcBorders>
            <w:vAlign w:val="center"/>
            <w:hideMark/>
          </w:tcPr>
          <w:p w14:paraId="7555CCFE" w14:textId="77777777" w:rsidR="00E90931" w:rsidRPr="00AE4E8D" w:rsidRDefault="00E90931" w:rsidP="00003798">
            <w:pPr>
              <w:keepNext/>
              <w:keepLines/>
              <w:rPr>
                <w:rFonts w:ascii="Times New Roman" w:hAnsi="Times New Roman"/>
                <w:sz w:val="16"/>
                <w:szCs w:val="16"/>
                <w:lang w:val="es-ES"/>
              </w:rPr>
            </w:pPr>
          </w:p>
        </w:tc>
        <w:tc>
          <w:tcPr>
            <w:tcW w:w="1233" w:type="dxa"/>
            <w:vMerge/>
            <w:tcBorders>
              <w:top w:val="nil"/>
              <w:left w:val="nil"/>
              <w:bottom w:val="single" w:sz="4" w:space="0" w:color="000000"/>
              <w:right w:val="nil"/>
            </w:tcBorders>
            <w:vAlign w:val="center"/>
            <w:hideMark/>
          </w:tcPr>
          <w:p w14:paraId="77A62CC6" w14:textId="77777777" w:rsidR="00E90931" w:rsidRPr="00AE4E8D" w:rsidRDefault="00E90931" w:rsidP="00003798">
            <w:pPr>
              <w:keepNext/>
              <w:keepLines/>
              <w:rPr>
                <w:rFonts w:ascii="Times New Roman" w:hAnsi="Times New Roman"/>
                <w:sz w:val="16"/>
                <w:szCs w:val="16"/>
                <w:lang w:val="es-ES"/>
              </w:rPr>
            </w:pPr>
          </w:p>
        </w:tc>
        <w:tc>
          <w:tcPr>
            <w:tcW w:w="951" w:type="dxa"/>
            <w:vMerge/>
            <w:tcBorders>
              <w:top w:val="nil"/>
              <w:left w:val="nil"/>
              <w:bottom w:val="single" w:sz="4" w:space="0" w:color="000000"/>
              <w:right w:val="nil"/>
            </w:tcBorders>
            <w:vAlign w:val="center"/>
            <w:hideMark/>
          </w:tcPr>
          <w:p w14:paraId="3D10958D" w14:textId="77777777" w:rsidR="00E90931" w:rsidRPr="00AE4E8D" w:rsidRDefault="00E90931" w:rsidP="00003798">
            <w:pPr>
              <w:keepNext/>
              <w:keepLines/>
              <w:rPr>
                <w:rFonts w:ascii="Times New Roman" w:hAnsi="Times New Roman"/>
                <w:sz w:val="16"/>
                <w:szCs w:val="16"/>
                <w:lang w:val="es-ES"/>
              </w:rPr>
            </w:pPr>
          </w:p>
        </w:tc>
        <w:tc>
          <w:tcPr>
            <w:tcW w:w="936" w:type="dxa"/>
            <w:vMerge/>
            <w:tcBorders>
              <w:top w:val="single" w:sz="4" w:space="0" w:color="auto"/>
              <w:left w:val="nil"/>
              <w:bottom w:val="single" w:sz="4" w:space="0" w:color="000000"/>
              <w:right w:val="nil"/>
            </w:tcBorders>
            <w:vAlign w:val="center"/>
            <w:hideMark/>
          </w:tcPr>
          <w:p w14:paraId="4046122C" w14:textId="77777777" w:rsidR="00E90931" w:rsidRPr="00AE4E8D" w:rsidRDefault="00E90931" w:rsidP="00003798">
            <w:pPr>
              <w:keepNext/>
              <w:keepLines/>
              <w:rPr>
                <w:rFonts w:ascii="Times New Roman" w:hAnsi="Times New Roman"/>
                <w:sz w:val="16"/>
                <w:szCs w:val="16"/>
                <w:lang w:val="es-ES"/>
              </w:rPr>
            </w:pPr>
          </w:p>
        </w:tc>
      </w:tr>
      <w:tr w:rsidR="00E90931" w:rsidRPr="00AE4E8D" w14:paraId="6DEC9B0D" w14:textId="77777777" w:rsidTr="000400C8">
        <w:trPr>
          <w:trHeight w:val="267"/>
          <w:jc w:val="center"/>
        </w:trPr>
        <w:tc>
          <w:tcPr>
            <w:tcW w:w="3936" w:type="dxa"/>
            <w:noWrap/>
            <w:vAlign w:val="bottom"/>
          </w:tcPr>
          <w:p w14:paraId="7339CBDE" w14:textId="77777777" w:rsidR="00E90931" w:rsidRPr="00AE4E8D" w:rsidRDefault="00E90931" w:rsidP="00003798">
            <w:pPr>
              <w:keepNext/>
              <w:keepLines/>
              <w:rPr>
                <w:rFonts w:ascii="Times New Roman" w:hAnsi="Times New Roman"/>
                <w:sz w:val="16"/>
                <w:szCs w:val="16"/>
                <w:lang w:val="es-ES"/>
              </w:rPr>
            </w:pPr>
          </w:p>
        </w:tc>
        <w:tc>
          <w:tcPr>
            <w:tcW w:w="10283" w:type="dxa"/>
            <w:gridSpan w:val="9"/>
            <w:tcBorders>
              <w:top w:val="single" w:sz="4" w:space="0" w:color="auto"/>
              <w:left w:val="nil"/>
              <w:bottom w:val="nil"/>
              <w:right w:val="nil"/>
            </w:tcBorders>
            <w:shd w:val="clear" w:color="auto" w:fill="FFFFFF"/>
            <w:noWrap/>
            <w:vAlign w:val="bottom"/>
            <w:hideMark/>
          </w:tcPr>
          <w:p w14:paraId="0B4EED27" w14:textId="77777777" w:rsidR="00E90931" w:rsidRPr="00AE4E8D" w:rsidRDefault="00E90931" w:rsidP="00003798">
            <w:pPr>
              <w:keepNext/>
              <w:keepLines/>
              <w:jc w:val="center"/>
              <w:rPr>
                <w:rFonts w:ascii="Times New Roman" w:hAnsi="Times New Roman"/>
                <w:sz w:val="16"/>
                <w:szCs w:val="16"/>
                <w:lang w:val="es-ES"/>
              </w:rPr>
            </w:pPr>
            <w:r w:rsidRPr="00AE4E8D">
              <w:rPr>
                <w:rFonts w:ascii="Times New Roman" w:hAnsi="Times New Roman"/>
                <w:sz w:val="16"/>
                <w:szCs w:val="16"/>
                <w:lang w:val="es-ES"/>
              </w:rPr>
              <w:t>(En miles de pesos excepto porcentajes)</w:t>
            </w:r>
          </w:p>
        </w:tc>
      </w:tr>
      <w:tr w:rsidR="003B5193" w:rsidRPr="00AE4E8D" w14:paraId="1173BD7E" w14:textId="77777777" w:rsidTr="00003798">
        <w:trPr>
          <w:trHeight w:val="267"/>
          <w:jc w:val="center"/>
        </w:trPr>
        <w:tc>
          <w:tcPr>
            <w:tcW w:w="3936" w:type="dxa"/>
            <w:shd w:val="clear" w:color="auto" w:fill="FFFFFF"/>
            <w:noWrap/>
            <w:vAlign w:val="bottom"/>
            <w:hideMark/>
          </w:tcPr>
          <w:p w14:paraId="2905302B"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Normal </w:t>
            </w:r>
          </w:p>
        </w:tc>
        <w:tc>
          <w:tcPr>
            <w:tcW w:w="1085" w:type="dxa"/>
            <w:shd w:val="clear" w:color="auto" w:fill="FFFFFF"/>
            <w:noWrap/>
            <w:vAlign w:val="bottom"/>
            <w:hideMark/>
          </w:tcPr>
          <w:p w14:paraId="4715B192"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1.663.338</w:t>
            </w:r>
          </w:p>
        </w:tc>
        <w:tc>
          <w:tcPr>
            <w:tcW w:w="901" w:type="dxa"/>
            <w:shd w:val="clear" w:color="auto" w:fill="FFFFFF"/>
            <w:noWrap/>
            <w:vAlign w:val="bottom"/>
            <w:hideMark/>
          </w:tcPr>
          <w:p w14:paraId="264A009D"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2.717.740</w:t>
            </w:r>
          </w:p>
        </w:tc>
        <w:tc>
          <w:tcPr>
            <w:tcW w:w="1236" w:type="dxa"/>
            <w:shd w:val="clear" w:color="auto" w:fill="FFFFFF"/>
            <w:noWrap/>
            <w:vAlign w:val="bottom"/>
            <w:hideMark/>
          </w:tcPr>
          <w:p w14:paraId="000640F5"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9.539.361</w:t>
            </w:r>
          </w:p>
        </w:tc>
        <w:tc>
          <w:tcPr>
            <w:tcW w:w="1224" w:type="dxa"/>
            <w:shd w:val="clear" w:color="auto" w:fill="FFFFFF"/>
            <w:noWrap/>
            <w:vAlign w:val="bottom"/>
            <w:hideMark/>
          </w:tcPr>
          <w:p w14:paraId="0AF6BA25"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129.867</w:t>
            </w:r>
          </w:p>
        </w:tc>
        <w:tc>
          <w:tcPr>
            <w:tcW w:w="1070" w:type="dxa"/>
            <w:shd w:val="clear" w:color="auto" w:fill="FFFFFF"/>
            <w:noWrap/>
            <w:vAlign w:val="bottom"/>
            <w:hideMark/>
          </w:tcPr>
          <w:p w14:paraId="364FC754"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274.858</w:t>
            </w:r>
          </w:p>
        </w:tc>
        <w:tc>
          <w:tcPr>
            <w:tcW w:w="1647" w:type="dxa"/>
            <w:shd w:val="clear" w:color="auto" w:fill="FFFFFF"/>
            <w:noWrap/>
            <w:vAlign w:val="bottom"/>
            <w:hideMark/>
          </w:tcPr>
          <w:p w14:paraId="2D9EB741"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4.933.287</w:t>
            </w:r>
          </w:p>
        </w:tc>
        <w:tc>
          <w:tcPr>
            <w:tcW w:w="1233" w:type="dxa"/>
            <w:shd w:val="clear" w:color="auto" w:fill="FFFFFF"/>
            <w:noWrap/>
            <w:vAlign w:val="bottom"/>
            <w:hideMark/>
          </w:tcPr>
          <w:p w14:paraId="3CE902CB"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929.017</w:t>
            </w:r>
          </w:p>
        </w:tc>
        <w:tc>
          <w:tcPr>
            <w:tcW w:w="951" w:type="dxa"/>
            <w:shd w:val="clear" w:color="auto" w:fill="FFFFFF"/>
            <w:noWrap/>
            <w:vAlign w:val="bottom"/>
            <w:hideMark/>
          </w:tcPr>
          <w:p w14:paraId="521CF8D7"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46.999</w:t>
            </w:r>
          </w:p>
        </w:tc>
        <w:tc>
          <w:tcPr>
            <w:tcW w:w="936" w:type="dxa"/>
            <w:shd w:val="clear" w:color="auto" w:fill="FFFFFF"/>
            <w:noWrap/>
            <w:vAlign w:val="bottom"/>
            <w:hideMark/>
          </w:tcPr>
          <w:p w14:paraId="3C833ACE"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20.234.467</w:t>
            </w:r>
          </w:p>
        </w:tc>
      </w:tr>
      <w:tr w:rsidR="003B5193" w:rsidRPr="00AE4E8D" w14:paraId="5AC0CEFA" w14:textId="77777777" w:rsidTr="00003798">
        <w:trPr>
          <w:trHeight w:val="267"/>
          <w:jc w:val="center"/>
        </w:trPr>
        <w:tc>
          <w:tcPr>
            <w:tcW w:w="3936" w:type="dxa"/>
            <w:shd w:val="clear" w:color="auto" w:fill="FFFFFF"/>
            <w:noWrap/>
            <w:vAlign w:val="bottom"/>
            <w:hideMark/>
          </w:tcPr>
          <w:p w14:paraId="20393748"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Riesgo potencial y cumplimiento inadecuado </w:t>
            </w:r>
          </w:p>
        </w:tc>
        <w:tc>
          <w:tcPr>
            <w:tcW w:w="1085" w:type="dxa"/>
            <w:shd w:val="clear" w:color="auto" w:fill="FFFFFF"/>
            <w:noWrap/>
            <w:vAlign w:val="bottom"/>
            <w:hideMark/>
          </w:tcPr>
          <w:p w14:paraId="4E0A9AF3"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21.083</w:t>
            </w:r>
          </w:p>
        </w:tc>
        <w:tc>
          <w:tcPr>
            <w:tcW w:w="901" w:type="dxa"/>
            <w:shd w:val="clear" w:color="auto" w:fill="FFFFFF"/>
            <w:noWrap/>
            <w:vAlign w:val="bottom"/>
            <w:hideMark/>
          </w:tcPr>
          <w:p w14:paraId="07E7354C"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124.778</w:t>
            </w:r>
          </w:p>
        </w:tc>
        <w:tc>
          <w:tcPr>
            <w:tcW w:w="1236" w:type="dxa"/>
            <w:shd w:val="clear" w:color="auto" w:fill="FFFFFF"/>
            <w:noWrap/>
            <w:vAlign w:val="bottom"/>
            <w:hideMark/>
          </w:tcPr>
          <w:p w14:paraId="4BF44FFE"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167.509</w:t>
            </w:r>
          </w:p>
        </w:tc>
        <w:tc>
          <w:tcPr>
            <w:tcW w:w="1224" w:type="dxa"/>
            <w:shd w:val="clear" w:color="auto" w:fill="FFFFFF"/>
            <w:noWrap/>
            <w:vAlign w:val="bottom"/>
            <w:hideMark/>
          </w:tcPr>
          <w:p w14:paraId="76ADA3A1"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7.824</w:t>
            </w:r>
          </w:p>
        </w:tc>
        <w:tc>
          <w:tcPr>
            <w:tcW w:w="1070" w:type="dxa"/>
            <w:shd w:val="clear" w:color="auto" w:fill="FFFFFF"/>
            <w:noWrap/>
            <w:vAlign w:val="bottom"/>
            <w:hideMark/>
          </w:tcPr>
          <w:p w14:paraId="7E6B47F4" w14:textId="77777777" w:rsidR="00E90931" w:rsidRPr="00AE4E8D" w:rsidRDefault="00767C53"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1647" w:type="dxa"/>
            <w:shd w:val="clear" w:color="auto" w:fill="FFFFFF"/>
            <w:noWrap/>
            <w:vAlign w:val="bottom"/>
            <w:hideMark/>
          </w:tcPr>
          <w:p w14:paraId="74B44E34"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170</w:t>
            </w:r>
          </w:p>
        </w:tc>
        <w:tc>
          <w:tcPr>
            <w:tcW w:w="1233" w:type="dxa"/>
            <w:shd w:val="clear" w:color="auto" w:fill="FFFFFF"/>
            <w:noWrap/>
            <w:vAlign w:val="bottom"/>
            <w:hideMark/>
          </w:tcPr>
          <w:p w14:paraId="442916C1"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1.040</w:t>
            </w:r>
          </w:p>
        </w:tc>
        <w:tc>
          <w:tcPr>
            <w:tcW w:w="951" w:type="dxa"/>
            <w:shd w:val="clear" w:color="auto" w:fill="FFFFFF"/>
            <w:noWrap/>
            <w:vAlign w:val="bottom"/>
            <w:hideMark/>
          </w:tcPr>
          <w:p w14:paraId="775AB94F"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936" w:type="dxa"/>
            <w:shd w:val="clear" w:color="auto" w:fill="FFFFFF"/>
            <w:noWrap/>
            <w:vAlign w:val="bottom"/>
            <w:hideMark/>
          </w:tcPr>
          <w:p w14:paraId="6E840BAD"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322.404</w:t>
            </w:r>
          </w:p>
        </w:tc>
      </w:tr>
      <w:tr w:rsidR="003B5193" w:rsidRPr="00AE4E8D" w14:paraId="168E3223" w14:textId="77777777" w:rsidTr="00003798">
        <w:trPr>
          <w:trHeight w:val="267"/>
          <w:jc w:val="center"/>
        </w:trPr>
        <w:tc>
          <w:tcPr>
            <w:tcW w:w="3936" w:type="dxa"/>
            <w:shd w:val="clear" w:color="auto" w:fill="FFFFFF"/>
            <w:noWrap/>
            <w:vAlign w:val="bottom"/>
            <w:hideMark/>
          </w:tcPr>
          <w:p w14:paraId="31D132A6"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Con problemas u de cumplimiento deficiente </w:t>
            </w:r>
          </w:p>
        </w:tc>
        <w:tc>
          <w:tcPr>
            <w:tcW w:w="1085" w:type="dxa"/>
            <w:shd w:val="clear" w:color="auto" w:fill="FFFFFF"/>
            <w:noWrap/>
            <w:vAlign w:val="bottom"/>
            <w:hideMark/>
          </w:tcPr>
          <w:p w14:paraId="4190DE60"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4.924</w:t>
            </w:r>
          </w:p>
        </w:tc>
        <w:tc>
          <w:tcPr>
            <w:tcW w:w="901" w:type="dxa"/>
            <w:shd w:val="clear" w:color="auto" w:fill="FFFFFF"/>
            <w:noWrap/>
            <w:vAlign w:val="bottom"/>
            <w:hideMark/>
          </w:tcPr>
          <w:p w14:paraId="6DAFDB12"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58.518</w:t>
            </w:r>
          </w:p>
        </w:tc>
        <w:tc>
          <w:tcPr>
            <w:tcW w:w="1236" w:type="dxa"/>
            <w:shd w:val="clear" w:color="auto" w:fill="FFFFFF"/>
            <w:noWrap/>
            <w:vAlign w:val="bottom"/>
            <w:hideMark/>
          </w:tcPr>
          <w:p w14:paraId="0E742559"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96.077</w:t>
            </w:r>
          </w:p>
        </w:tc>
        <w:tc>
          <w:tcPr>
            <w:tcW w:w="1224" w:type="dxa"/>
            <w:shd w:val="clear" w:color="auto" w:fill="FFFFFF"/>
            <w:noWrap/>
            <w:vAlign w:val="bottom"/>
            <w:hideMark/>
          </w:tcPr>
          <w:p w14:paraId="18C978B6"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2.148</w:t>
            </w:r>
          </w:p>
        </w:tc>
        <w:tc>
          <w:tcPr>
            <w:tcW w:w="1070" w:type="dxa"/>
            <w:shd w:val="clear" w:color="auto" w:fill="FFFFFF"/>
            <w:noWrap/>
            <w:vAlign w:val="bottom"/>
            <w:hideMark/>
          </w:tcPr>
          <w:p w14:paraId="0428AC7F" w14:textId="77777777" w:rsidR="00E90931" w:rsidRPr="00AE4E8D" w:rsidRDefault="00767C53"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1647" w:type="dxa"/>
            <w:shd w:val="clear" w:color="auto" w:fill="FFFFFF"/>
            <w:noWrap/>
            <w:vAlign w:val="bottom"/>
            <w:hideMark/>
          </w:tcPr>
          <w:p w14:paraId="276E3777"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270</w:t>
            </w:r>
          </w:p>
        </w:tc>
        <w:tc>
          <w:tcPr>
            <w:tcW w:w="1233" w:type="dxa"/>
            <w:shd w:val="clear" w:color="auto" w:fill="FFFFFF"/>
            <w:noWrap/>
            <w:vAlign w:val="bottom"/>
            <w:hideMark/>
          </w:tcPr>
          <w:p w14:paraId="4A5293F7"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951" w:type="dxa"/>
            <w:shd w:val="clear" w:color="auto" w:fill="FFFFFF"/>
            <w:noWrap/>
            <w:vAlign w:val="bottom"/>
            <w:hideMark/>
          </w:tcPr>
          <w:p w14:paraId="5D034C5C"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936" w:type="dxa"/>
            <w:shd w:val="clear" w:color="auto" w:fill="FFFFFF"/>
            <w:noWrap/>
            <w:vAlign w:val="bottom"/>
            <w:hideMark/>
          </w:tcPr>
          <w:p w14:paraId="62955942"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161.937</w:t>
            </w:r>
          </w:p>
        </w:tc>
      </w:tr>
      <w:tr w:rsidR="003B5193" w:rsidRPr="00AE4E8D" w14:paraId="40F6D91D" w14:textId="77777777" w:rsidTr="00003798">
        <w:trPr>
          <w:trHeight w:val="267"/>
          <w:jc w:val="center"/>
        </w:trPr>
        <w:tc>
          <w:tcPr>
            <w:tcW w:w="3936" w:type="dxa"/>
            <w:shd w:val="clear" w:color="auto" w:fill="FFFFFF"/>
            <w:noWrap/>
            <w:vAlign w:val="bottom"/>
            <w:hideMark/>
          </w:tcPr>
          <w:p w14:paraId="6826378A"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Alto riesgo de insolvencia y de difícil recuperación </w:t>
            </w:r>
          </w:p>
        </w:tc>
        <w:tc>
          <w:tcPr>
            <w:tcW w:w="1085" w:type="dxa"/>
            <w:shd w:val="clear" w:color="auto" w:fill="FFFFFF"/>
            <w:noWrap/>
            <w:vAlign w:val="bottom"/>
            <w:hideMark/>
          </w:tcPr>
          <w:p w14:paraId="1D2D8645"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6.505</w:t>
            </w:r>
          </w:p>
        </w:tc>
        <w:tc>
          <w:tcPr>
            <w:tcW w:w="901" w:type="dxa"/>
            <w:shd w:val="clear" w:color="auto" w:fill="FFFFFF"/>
            <w:noWrap/>
            <w:vAlign w:val="bottom"/>
            <w:hideMark/>
          </w:tcPr>
          <w:p w14:paraId="7684D66F"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65.397</w:t>
            </w:r>
          </w:p>
        </w:tc>
        <w:tc>
          <w:tcPr>
            <w:tcW w:w="1236" w:type="dxa"/>
            <w:shd w:val="clear" w:color="auto" w:fill="FFFFFF"/>
            <w:noWrap/>
            <w:vAlign w:val="bottom"/>
            <w:hideMark/>
          </w:tcPr>
          <w:p w14:paraId="61236A91"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132.902</w:t>
            </w:r>
          </w:p>
        </w:tc>
        <w:tc>
          <w:tcPr>
            <w:tcW w:w="1224" w:type="dxa"/>
            <w:shd w:val="clear" w:color="auto" w:fill="FFFFFF"/>
            <w:noWrap/>
            <w:vAlign w:val="bottom"/>
            <w:hideMark/>
          </w:tcPr>
          <w:p w14:paraId="26BC1B76"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2.116</w:t>
            </w:r>
          </w:p>
        </w:tc>
        <w:tc>
          <w:tcPr>
            <w:tcW w:w="1070" w:type="dxa"/>
            <w:shd w:val="clear" w:color="auto" w:fill="FFFFFF"/>
            <w:noWrap/>
            <w:vAlign w:val="bottom"/>
            <w:hideMark/>
          </w:tcPr>
          <w:p w14:paraId="19764F18" w14:textId="77777777" w:rsidR="00E90931" w:rsidRPr="00AE4E8D" w:rsidRDefault="00767C53"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1647" w:type="dxa"/>
            <w:shd w:val="clear" w:color="auto" w:fill="FFFFFF"/>
            <w:noWrap/>
            <w:vAlign w:val="bottom"/>
            <w:hideMark/>
          </w:tcPr>
          <w:p w14:paraId="6AC4FB4C"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3.125</w:t>
            </w:r>
          </w:p>
        </w:tc>
        <w:tc>
          <w:tcPr>
            <w:tcW w:w="1233" w:type="dxa"/>
            <w:shd w:val="clear" w:color="auto" w:fill="FFFFFF"/>
            <w:noWrap/>
            <w:vAlign w:val="bottom"/>
            <w:hideMark/>
          </w:tcPr>
          <w:p w14:paraId="21E97990"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951" w:type="dxa"/>
            <w:shd w:val="clear" w:color="auto" w:fill="FFFFFF"/>
            <w:noWrap/>
            <w:vAlign w:val="bottom"/>
            <w:hideMark/>
          </w:tcPr>
          <w:p w14:paraId="14E952F8"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936" w:type="dxa"/>
            <w:shd w:val="clear" w:color="auto" w:fill="FFFFFF"/>
            <w:noWrap/>
            <w:vAlign w:val="bottom"/>
            <w:hideMark/>
          </w:tcPr>
          <w:p w14:paraId="5620BCC6"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210.045</w:t>
            </w:r>
          </w:p>
        </w:tc>
      </w:tr>
      <w:tr w:rsidR="003B5193" w:rsidRPr="00AE4E8D" w14:paraId="2D6814EB" w14:textId="77777777" w:rsidTr="00003798">
        <w:trPr>
          <w:trHeight w:val="267"/>
          <w:jc w:val="center"/>
        </w:trPr>
        <w:tc>
          <w:tcPr>
            <w:tcW w:w="3936" w:type="dxa"/>
            <w:shd w:val="clear" w:color="auto" w:fill="FFFFFF"/>
            <w:noWrap/>
            <w:vAlign w:val="bottom"/>
            <w:hideMark/>
          </w:tcPr>
          <w:p w14:paraId="58F3F790"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Irrecuperable </w:t>
            </w:r>
          </w:p>
        </w:tc>
        <w:tc>
          <w:tcPr>
            <w:tcW w:w="1085" w:type="dxa"/>
            <w:shd w:val="clear" w:color="auto" w:fill="FFFFFF"/>
            <w:noWrap/>
            <w:vAlign w:val="bottom"/>
            <w:hideMark/>
          </w:tcPr>
          <w:p w14:paraId="226D3AD6"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8.159</w:t>
            </w:r>
          </w:p>
        </w:tc>
        <w:tc>
          <w:tcPr>
            <w:tcW w:w="901" w:type="dxa"/>
            <w:shd w:val="clear" w:color="auto" w:fill="FFFFFF"/>
            <w:noWrap/>
            <w:vAlign w:val="bottom"/>
            <w:hideMark/>
          </w:tcPr>
          <w:p w14:paraId="5376F051"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3.116</w:t>
            </w:r>
          </w:p>
        </w:tc>
        <w:tc>
          <w:tcPr>
            <w:tcW w:w="1236" w:type="dxa"/>
            <w:shd w:val="clear" w:color="auto" w:fill="FFFFFF"/>
            <w:noWrap/>
            <w:vAlign w:val="bottom"/>
            <w:hideMark/>
          </w:tcPr>
          <w:p w14:paraId="14EE45B2"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581</w:t>
            </w:r>
          </w:p>
        </w:tc>
        <w:tc>
          <w:tcPr>
            <w:tcW w:w="1224" w:type="dxa"/>
            <w:shd w:val="clear" w:color="auto" w:fill="FFFFFF"/>
            <w:noWrap/>
            <w:vAlign w:val="bottom"/>
            <w:hideMark/>
          </w:tcPr>
          <w:p w14:paraId="13F47138"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1.162</w:t>
            </w:r>
          </w:p>
        </w:tc>
        <w:tc>
          <w:tcPr>
            <w:tcW w:w="1070" w:type="dxa"/>
            <w:shd w:val="clear" w:color="auto" w:fill="FFFFFF"/>
            <w:noWrap/>
            <w:vAlign w:val="bottom"/>
            <w:hideMark/>
          </w:tcPr>
          <w:p w14:paraId="23A8239F"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556</w:t>
            </w:r>
          </w:p>
        </w:tc>
        <w:tc>
          <w:tcPr>
            <w:tcW w:w="1647" w:type="dxa"/>
            <w:shd w:val="clear" w:color="auto" w:fill="FFFFFF"/>
            <w:noWrap/>
            <w:vAlign w:val="bottom"/>
            <w:hideMark/>
          </w:tcPr>
          <w:p w14:paraId="046B6009"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42.709</w:t>
            </w:r>
          </w:p>
        </w:tc>
        <w:tc>
          <w:tcPr>
            <w:tcW w:w="1233" w:type="dxa"/>
            <w:shd w:val="clear" w:color="auto" w:fill="FFFFFF"/>
            <w:noWrap/>
            <w:vAlign w:val="bottom"/>
            <w:hideMark/>
          </w:tcPr>
          <w:p w14:paraId="264FE182"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206</w:t>
            </w:r>
          </w:p>
        </w:tc>
        <w:tc>
          <w:tcPr>
            <w:tcW w:w="951" w:type="dxa"/>
            <w:shd w:val="clear" w:color="auto" w:fill="FFFFFF"/>
            <w:noWrap/>
            <w:vAlign w:val="bottom"/>
            <w:hideMark/>
          </w:tcPr>
          <w:p w14:paraId="618B0075"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936" w:type="dxa"/>
            <w:shd w:val="clear" w:color="auto" w:fill="FFFFFF"/>
            <w:noWrap/>
            <w:vAlign w:val="bottom"/>
            <w:hideMark/>
          </w:tcPr>
          <w:p w14:paraId="2C9D663E"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56.489</w:t>
            </w:r>
          </w:p>
        </w:tc>
      </w:tr>
      <w:tr w:rsidR="003B5193" w:rsidRPr="00AE4E8D" w14:paraId="40D09C6A" w14:textId="77777777" w:rsidTr="00003798">
        <w:trPr>
          <w:trHeight w:val="267"/>
          <w:jc w:val="center"/>
        </w:trPr>
        <w:tc>
          <w:tcPr>
            <w:tcW w:w="3936" w:type="dxa"/>
            <w:shd w:val="clear" w:color="auto" w:fill="FFFFFF"/>
            <w:noWrap/>
            <w:vAlign w:val="bottom"/>
            <w:hideMark/>
          </w:tcPr>
          <w:p w14:paraId="0CF73E49"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Irrecuperable por disposición técnica </w:t>
            </w:r>
          </w:p>
        </w:tc>
        <w:tc>
          <w:tcPr>
            <w:tcW w:w="1085" w:type="dxa"/>
            <w:shd w:val="clear" w:color="auto" w:fill="FFFFFF"/>
            <w:noWrap/>
            <w:vAlign w:val="bottom"/>
            <w:hideMark/>
          </w:tcPr>
          <w:p w14:paraId="041D31DE"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141</w:t>
            </w:r>
          </w:p>
        </w:tc>
        <w:tc>
          <w:tcPr>
            <w:tcW w:w="901" w:type="dxa"/>
            <w:shd w:val="clear" w:color="auto" w:fill="FFFFFF"/>
            <w:noWrap/>
            <w:vAlign w:val="bottom"/>
            <w:hideMark/>
          </w:tcPr>
          <w:p w14:paraId="6F0EBFBA"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73</w:t>
            </w:r>
          </w:p>
        </w:tc>
        <w:tc>
          <w:tcPr>
            <w:tcW w:w="1236" w:type="dxa"/>
            <w:shd w:val="clear" w:color="auto" w:fill="FFFFFF"/>
            <w:noWrap/>
            <w:vAlign w:val="bottom"/>
            <w:hideMark/>
          </w:tcPr>
          <w:p w14:paraId="23DE379C"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68</w:t>
            </w:r>
          </w:p>
        </w:tc>
        <w:tc>
          <w:tcPr>
            <w:tcW w:w="1224" w:type="dxa"/>
            <w:shd w:val="clear" w:color="auto" w:fill="FFFFFF"/>
            <w:noWrap/>
            <w:vAlign w:val="bottom"/>
            <w:hideMark/>
          </w:tcPr>
          <w:p w14:paraId="1F082B06"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1070" w:type="dxa"/>
            <w:shd w:val="clear" w:color="auto" w:fill="FFFFFF"/>
            <w:noWrap/>
            <w:vAlign w:val="bottom"/>
            <w:hideMark/>
          </w:tcPr>
          <w:p w14:paraId="1767465F"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1647" w:type="dxa"/>
            <w:shd w:val="clear" w:color="auto" w:fill="FFFFFF"/>
            <w:noWrap/>
            <w:vAlign w:val="bottom"/>
            <w:hideMark/>
          </w:tcPr>
          <w:p w14:paraId="70035F09"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1233" w:type="dxa"/>
            <w:shd w:val="clear" w:color="auto" w:fill="FFFFFF"/>
            <w:noWrap/>
            <w:vAlign w:val="bottom"/>
            <w:hideMark/>
          </w:tcPr>
          <w:p w14:paraId="4C61C2C5"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951" w:type="dxa"/>
            <w:shd w:val="clear" w:color="auto" w:fill="FFFFFF"/>
            <w:noWrap/>
            <w:vAlign w:val="bottom"/>
            <w:hideMark/>
          </w:tcPr>
          <w:p w14:paraId="5D79EBFC"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936" w:type="dxa"/>
            <w:shd w:val="clear" w:color="auto" w:fill="FFFFFF"/>
            <w:noWrap/>
            <w:vAlign w:val="bottom"/>
            <w:hideMark/>
          </w:tcPr>
          <w:p w14:paraId="295F1C62"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282</w:t>
            </w:r>
          </w:p>
        </w:tc>
      </w:tr>
      <w:tr w:rsidR="003B5193" w:rsidRPr="00AE4E8D" w14:paraId="438A319B" w14:textId="77777777" w:rsidTr="00003798">
        <w:trPr>
          <w:trHeight w:val="283"/>
          <w:jc w:val="center"/>
        </w:trPr>
        <w:tc>
          <w:tcPr>
            <w:tcW w:w="3936" w:type="dxa"/>
            <w:shd w:val="clear" w:color="auto" w:fill="FFFFFF"/>
            <w:noWrap/>
            <w:vAlign w:val="bottom"/>
            <w:hideMark/>
          </w:tcPr>
          <w:p w14:paraId="1E0D6CEB"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Total </w:t>
            </w:r>
          </w:p>
        </w:tc>
        <w:tc>
          <w:tcPr>
            <w:tcW w:w="1085" w:type="dxa"/>
            <w:tcBorders>
              <w:top w:val="single" w:sz="4" w:space="0" w:color="auto"/>
              <w:left w:val="nil"/>
              <w:bottom w:val="double" w:sz="6" w:space="0" w:color="auto"/>
              <w:right w:val="nil"/>
            </w:tcBorders>
            <w:shd w:val="clear" w:color="auto" w:fill="FFFFFF"/>
            <w:noWrap/>
            <w:vAlign w:val="bottom"/>
            <w:hideMark/>
          </w:tcPr>
          <w:p w14:paraId="0418481E"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1.704.150</w:t>
            </w:r>
          </w:p>
        </w:tc>
        <w:tc>
          <w:tcPr>
            <w:tcW w:w="901" w:type="dxa"/>
            <w:tcBorders>
              <w:top w:val="single" w:sz="4" w:space="0" w:color="auto"/>
              <w:left w:val="nil"/>
              <w:bottom w:val="double" w:sz="6" w:space="0" w:color="auto"/>
              <w:right w:val="nil"/>
            </w:tcBorders>
            <w:shd w:val="clear" w:color="auto" w:fill="FFFFFF"/>
            <w:noWrap/>
            <w:vAlign w:val="bottom"/>
            <w:hideMark/>
          </w:tcPr>
          <w:p w14:paraId="32936B16"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2.969.622</w:t>
            </w:r>
          </w:p>
        </w:tc>
        <w:tc>
          <w:tcPr>
            <w:tcW w:w="1236" w:type="dxa"/>
            <w:tcBorders>
              <w:top w:val="single" w:sz="4" w:space="0" w:color="auto"/>
              <w:left w:val="nil"/>
              <w:bottom w:val="double" w:sz="6" w:space="0" w:color="auto"/>
              <w:right w:val="nil"/>
            </w:tcBorders>
            <w:shd w:val="clear" w:color="auto" w:fill="FFFFFF"/>
            <w:noWrap/>
            <w:vAlign w:val="bottom"/>
            <w:hideMark/>
          </w:tcPr>
          <w:p w14:paraId="5C7FE9B5"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9.936.498</w:t>
            </w:r>
          </w:p>
        </w:tc>
        <w:tc>
          <w:tcPr>
            <w:tcW w:w="1224" w:type="dxa"/>
            <w:tcBorders>
              <w:top w:val="single" w:sz="4" w:space="0" w:color="auto"/>
              <w:left w:val="nil"/>
              <w:bottom w:val="double" w:sz="6" w:space="0" w:color="auto"/>
              <w:right w:val="nil"/>
            </w:tcBorders>
            <w:shd w:val="clear" w:color="auto" w:fill="FFFFFF"/>
            <w:noWrap/>
            <w:vAlign w:val="bottom"/>
            <w:hideMark/>
          </w:tcPr>
          <w:p w14:paraId="32359FDE"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143.117</w:t>
            </w:r>
          </w:p>
        </w:tc>
        <w:tc>
          <w:tcPr>
            <w:tcW w:w="1070" w:type="dxa"/>
            <w:tcBorders>
              <w:top w:val="single" w:sz="4" w:space="0" w:color="auto"/>
              <w:left w:val="nil"/>
              <w:bottom w:val="double" w:sz="6" w:space="0" w:color="auto"/>
              <w:right w:val="nil"/>
            </w:tcBorders>
            <w:shd w:val="clear" w:color="auto" w:fill="FFFFFF"/>
            <w:noWrap/>
            <w:vAlign w:val="bottom"/>
            <w:hideMark/>
          </w:tcPr>
          <w:p w14:paraId="4E42DCB1"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275.414</w:t>
            </w:r>
          </w:p>
        </w:tc>
        <w:tc>
          <w:tcPr>
            <w:tcW w:w="1647" w:type="dxa"/>
            <w:tcBorders>
              <w:top w:val="single" w:sz="4" w:space="0" w:color="auto"/>
              <w:left w:val="nil"/>
              <w:bottom w:val="double" w:sz="6" w:space="0" w:color="auto"/>
              <w:right w:val="nil"/>
            </w:tcBorders>
            <w:shd w:val="clear" w:color="auto" w:fill="FFFFFF"/>
            <w:noWrap/>
            <w:vAlign w:val="bottom"/>
            <w:hideMark/>
          </w:tcPr>
          <w:p w14:paraId="7619525B"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4.979.561</w:t>
            </w:r>
          </w:p>
        </w:tc>
        <w:tc>
          <w:tcPr>
            <w:tcW w:w="1233" w:type="dxa"/>
            <w:tcBorders>
              <w:top w:val="single" w:sz="4" w:space="0" w:color="auto"/>
              <w:left w:val="nil"/>
              <w:bottom w:val="double" w:sz="6" w:space="0" w:color="auto"/>
              <w:right w:val="nil"/>
            </w:tcBorders>
            <w:shd w:val="clear" w:color="auto" w:fill="FFFFFF"/>
            <w:noWrap/>
            <w:vAlign w:val="bottom"/>
            <w:hideMark/>
          </w:tcPr>
          <w:p w14:paraId="44796804"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930.263</w:t>
            </w:r>
          </w:p>
        </w:tc>
        <w:tc>
          <w:tcPr>
            <w:tcW w:w="951" w:type="dxa"/>
            <w:tcBorders>
              <w:top w:val="single" w:sz="4" w:space="0" w:color="auto"/>
              <w:left w:val="nil"/>
              <w:bottom w:val="double" w:sz="6" w:space="0" w:color="auto"/>
              <w:right w:val="nil"/>
            </w:tcBorders>
            <w:shd w:val="clear" w:color="auto" w:fill="FFFFFF"/>
            <w:noWrap/>
            <w:vAlign w:val="bottom"/>
            <w:hideMark/>
          </w:tcPr>
          <w:p w14:paraId="00983E25"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46.999</w:t>
            </w:r>
          </w:p>
        </w:tc>
        <w:tc>
          <w:tcPr>
            <w:tcW w:w="936" w:type="dxa"/>
            <w:tcBorders>
              <w:top w:val="single" w:sz="4" w:space="0" w:color="auto"/>
              <w:left w:val="nil"/>
              <w:bottom w:val="double" w:sz="6" w:space="0" w:color="auto"/>
              <w:right w:val="nil"/>
            </w:tcBorders>
            <w:shd w:val="clear" w:color="auto" w:fill="FFFFFF"/>
            <w:noWrap/>
            <w:vAlign w:val="bottom"/>
            <w:hideMark/>
          </w:tcPr>
          <w:p w14:paraId="6B94B900"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20.985.624</w:t>
            </w:r>
          </w:p>
        </w:tc>
      </w:tr>
      <w:tr w:rsidR="003B5193" w:rsidRPr="00AE4E8D" w14:paraId="231DDB68" w14:textId="77777777" w:rsidTr="00003798">
        <w:trPr>
          <w:trHeight w:val="267"/>
          <w:jc w:val="center"/>
        </w:trPr>
        <w:tc>
          <w:tcPr>
            <w:tcW w:w="3936" w:type="dxa"/>
            <w:shd w:val="clear" w:color="auto" w:fill="FFFFFF"/>
            <w:noWrap/>
            <w:vAlign w:val="bottom"/>
            <w:hideMark/>
          </w:tcPr>
          <w:p w14:paraId="279DEF63"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Préstamos morosos (1) </w:t>
            </w:r>
          </w:p>
        </w:tc>
        <w:tc>
          <w:tcPr>
            <w:tcW w:w="1085" w:type="dxa"/>
            <w:shd w:val="clear" w:color="auto" w:fill="FFFFFF"/>
            <w:noWrap/>
            <w:vAlign w:val="bottom"/>
            <w:hideMark/>
          </w:tcPr>
          <w:p w14:paraId="70F567E7"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19.729</w:t>
            </w:r>
          </w:p>
        </w:tc>
        <w:tc>
          <w:tcPr>
            <w:tcW w:w="901" w:type="dxa"/>
            <w:shd w:val="clear" w:color="auto" w:fill="FFFFFF"/>
            <w:noWrap/>
            <w:vAlign w:val="bottom"/>
            <w:hideMark/>
          </w:tcPr>
          <w:p w14:paraId="119FF8F0"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127.104</w:t>
            </w:r>
          </w:p>
        </w:tc>
        <w:tc>
          <w:tcPr>
            <w:tcW w:w="1236" w:type="dxa"/>
            <w:shd w:val="clear" w:color="auto" w:fill="FFFFFF"/>
            <w:noWrap/>
            <w:vAlign w:val="bottom"/>
            <w:hideMark/>
          </w:tcPr>
          <w:p w14:paraId="411DD7F1"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229.629</w:t>
            </w:r>
          </w:p>
        </w:tc>
        <w:tc>
          <w:tcPr>
            <w:tcW w:w="1224" w:type="dxa"/>
            <w:shd w:val="clear" w:color="auto" w:fill="FFFFFF"/>
            <w:noWrap/>
            <w:vAlign w:val="bottom"/>
            <w:hideMark/>
          </w:tcPr>
          <w:p w14:paraId="30F220B4"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5.426</w:t>
            </w:r>
          </w:p>
        </w:tc>
        <w:tc>
          <w:tcPr>
            <w:tcW w:w="1070" w:type="dxa"/>
            <w:shd w:val="clear" w:color="auto" w:fill="FFFFFF"/>
            <w:noWrap/>
            <w:vAlign w:val="bottom"/>
            <w:hideMark/>
          </w:tcPr>
          <w:p w14:paraId="53DD5F4C"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556</w:t>
            </w:r>
          </w:p>
        </w:tc>
        <w:tc>
          <w:tcPr>
            <w:tcW w:w="1647" w:type="dxa"/>
            <w:shd w:val="clear" w:color="auto" w:fill="FFFFFF"/>
            <w:noWrap/>
            <w:vAlign w:val="bottom"/>
            <w:hideMark/>
          </w:tcPr>
          <w:p w14:paraId="6E9DD281"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46.104</w:t>
            </w:r>
          </w:p>
        </w:tc>
        <w:tc>
          <w:tcPr>
            <w:tcW w:w="1233" w:type="dxa"/>
            <w:shd w:val="clear" w:color="auto" w:fill="FFFFFF"/>
            <w:noWrap/>
            <w:vAlign w:val="bottom"/>
            <w:hideMark/>
          </w:tcPr>
          <w:p w14:paraId="37A18E48"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206</w:t>
            </w:r>
          </w:p>
        </w:tc>
        <w:tc>
          <w:tcPr>
            <w:tcW w:w="951" w:type="dxa"/>
            <w:shd w:val="clear" w:color="auto" w:fill="FFFFFF"/>
            <w:noWrap/>
            <w:vAlign w:val="bottom"/>
            <w:hideMark/>
          </w:tcPr>
          <w:p w14:paraId="4BDC3DE4" w14:textId="77777777" w:rsidR="00E90931" w:rsidRPr="00AE4E8D" w:rsidRDefault="006D1D9D"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936" w:type="dxa"/>
            <w:shd w:val="clear" w:color="auto" w:fill="FFFFFF"/>
            <w:noWrap/>
            <w:vAlign w:val="bottom"/>
            <w:hideMark/>
          </w:tcPr>
          <w:p w14:paraId="5B3F3695"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428.754</w:t>
            </w:r>
          </w:p>
        </w:tc>
      </w:tr>
      <w:tr w:rsidR="003B5193" w:rsidRPr="00AE4E8D" w14:paraId="4F80C5F5" w14:textId="77777777" w:rsidTr="00003798">
        <w:trPr>
          <w:trHeight w:val="267"/>
          <w:jc w:val="center"/>
        </w:trPr>
        <w:tc>
          <w:tcPr>
            <w:tcW w:w="3936" w:type="dxa"/>
            <w:shd w:val="clear" w:color="auto" w:fill="FFFFFF"/>
            <w:noWrap/>
            <w:vAlign w:val="bottom"/>
            <w:hideMark/>
          </w:tcPr>
          <w:p w14:paraId="4B76E020"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Préstamos morosos / total préstamos </w:t>
            </w:r>
          </w:p>
        </w:tc>
        <w:tc>
          <w:tcPr>
            <w:tcW w:w="1085" w:type="dxa"/>
            <w:shd w:val="clear" w:color="auto" w:fill="FFFFFF"/>
            <w:noWrap/>
            <w:vAlign w:val="bottom"/>
            <w:hideMark/>
          </w:tcPr>
          <w:p w14:paraId="2A810012"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1,16%</w:t>
            </w:r>
          </w:p>
        </w:tc>
        <w:tc>
          <w:tcPr>
            <w:tcW w:w="901" w:type="dxa"/>
            <w:shd w:val="clear" w:color="auto" w:fill="FFFFFF"/>
            <w:noWrap/>
            <w:vAlign w:val="bottom"/>
            <w:hideMark/>
          </w:tcPr>
          <w:p w14:paraId="31EC8137"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4,28%</w:t>
            </w:r>
          </w:p>
        </w:tc>
        <w:tc>
          <w:tcPr>
            <w:tcW w:w="1236" w:type="dxa"/>
            <w:shd w:val="clear" w:color="auto" w:fill="FFFFFF"/>
            <w:noWrap/>
            <w:vAlign w:val="bottom"/>
            <w:hideMark/>
          </w:tcPr>
          <w:p w14:paraId="5925EA2E"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2,31%</w:t>
            </w:r>
          </w:p>
        </w:tc>
        <w:tc>
          <w:tcPr>
            <w:tcW w:w="1224" w:type="dxa"/>
            <w:shd w:val="clear" w:color="auto" w:fill="FFFFFF"/>
            <w:noWrap/>
            <w:vAlign w:val="bottom"/>
            <w:hideMark/>
          </w:tcPr>
          <w:p w14:paraId="1E95C054"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3,79%</w:t>
            </w:r>
          </w:p>
        </w:tc>
        <w:tc>
          <w:tcPr>
            <w:tcW w:w="1070" w:type="dxa"/>
            <w:shd w:val="clear" w:color="auto" w:fill="FFFFFF"/>
            <w:noWrap/>
            <w:vAlign w:val="bottom"/>
            <w:hideMark/>
          </w:tcPr>
          <w:p w14:paraId="72001348"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0,20%</w:t>
            </w:r>
          </w:p>
        </w:tc>
        <w:tc>
          <w:tcPr>
            <w:tcW w:w="1647" w:type="dxa"/>
            <w:shd w:val="clear" w:color="auto" w:fill="FFFFFF"/>
            <w:noWrap/>
            <w:vAlign w:val="bottom"/>
            <w:hideMark/>
          </w:tcPr>
          <w:p w14:paraId="07F096EA"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0,93%</w:t>
            </w:r>
          </w:p>
        </w:tc>
        <w:tc>
          <w:tcPr>
            <w:tcW w:w="1233" w:type="dxa"/>
            <w:shd w:val="clear" w:color="auto" w:fill="FFFFFF"/>
            <w:noWrap/>
            <w:vAlign w:val="bottom"/>
            <w:hideMark/>
          </w:tcPr>
          <w:p w14:paraId="33DA35E6"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0,02%</w:t>
            </w:r>
          </w:p>
        </w:tc>
        <w:tc>
          <w:tcPr>
            <w:tcW w:w="951" w:type="dxa"/>
            <w:shd w:val="clear" w:color="auto" w:fill="FFFFFF"/>
            <w:noWrap/>
            <w:vAlign w:val="bottom"/>
            <w:hideMark/>
          </w:tcPr>
          <w:p w14:paraId="55527672" w14:textId="77777777" w:rsidR="00E90931" w:rsidRPr="00AE4E8D" w:rsidRDefault="00CE1483" w:rsidP="00003798">
            <w:pPr>
              <w:keepNext/>
              <w:keepLines/>
              <w:jc w:val="right"/>
              <w:rPr>
                <w:rFonts w:ascii="Times New Roman" w:hAnsi="Times New Roman"/>
                <w:sz w:val="16"/>
                <w:szCs w:val="16"/>
                <w:lang w:val="es-ES"/>
              </w:rPr>
            </w:pPr>
            <w:r>
              <w:rPr>
                <w:rFonts w:ascii="Times New Roman" w:hAnsi="Times New Roman"/>
                <w:sz w:val="16"/>
                <w:szCs w:val="16"/>
                <w:lang w:val="es-ES"/>
              </w:rPr>
              <w:t>-</w:t>
            </w:r>
          </w:p>
        </w:tc>
        <w:tc>
          <w:tcPr>
            <w:tcW w:w="936" w:type="dxa"/>
            <w:shd w:val="clear" w:color="auto" w:fill="FFFFFF"/>
            <w:noWrap/>
            <w:vAlign w:val="bottom"/>
            <w:hideMark/>
          </w:tcPr>
          <w:p w14:paraId="5796CE9A"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2,04%</w:t>
            </w:r>
          </w:p>
        </w:tc>
      </w:tr>
      <w:tr w:rsidR="003B5193" w:rsidRPr="00AE4E8D" w14:paraId="3C3DF09A" w14:textId="77777777" w:rsidTr="00003798">
        <w:trPr>
          <w:trHeight w:val="267"/>
          <w:jc w:val="center"/>
        </w:trPr>
        <w:tc>
          <w:tcPr>
            <w:tcW w:w="3936" w:type="dxa"/>
            <w:shd w:val="clear" w:color="auto" w:fill="FFFFFF"/>
            <w:noWrap/>
            <w:vAlign w:val="bottom"/>
            <w:hideMark/>
          </w:tcPr>
          <w:p w14:paraId="1A3723F2"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Asignación de la previsión por riesgo de incobrabilidad </w:t>
            </w:r>
          </w:p>
        </w:tc>
        <w:tc>
          <w:tcPr>
            <w:tcW w:w="1085" w:type="dxa"/>
            <w:shd w:val="clear" w:color="auto" w:fill="FFFFFF"/>
            <w:noWrap/>
            <w:vAlign w:val="bottom"/>
            <w:hideMark/>
          </w:tcPr>
          <w:p w14:paraId="506AA985" w14:textId="77777777" w:rsidR="00E90931" w:rsidRPr="00AE4E8D" w:rsidRDefault="00E90931" w:rsidP="00003798">
            <w:pPr>
              <w:keepNext/>
              <w:keepLines/>
              <w:jc w:val="right"/>
              <w:rPr>
                <w:rFonts w:ascii="Times New Roman" w:hAnsi="Times New Roman"/>
                <w:b/>
                <w:bCs/>
                <w:i/>
                <w:iCs/>
                <w:sz w:val="16"/>
                <w:szCs w:val="16"/>
                <w:lang w:val="es-ES"/>
              </w:rPr>
            </w:pPr>
            <w:r w:rsidRPr="00AE4E8D">
              <w:rPr>
                <w:rFonts w:ascii="Times New Roman" w:hAnsi="Times New Roman"/>
                <w:b/>
                <w:bCs/>
                <w:i/>
                <w:iCs/>
                <w:sz w:val="16"/>
                <w:szCs w:val="16"/>
                <w:lang w:val="es-ES"/>
              </w:rPr>
              <w:t>57.655</w:t>
            </w:r>
          </w:p>
        </w:tc>
        <w:tc>
          <w:tcPr>
            <w:tcW w:w="901" w:type="dxa"/>
            <w:shd w:val="clear" w:color="auto" w:fill="FFFFFF"/>
            <w:noWrap/>
            <w:vAlign w:val="bottom"/>
            <w:hideMark/>
          </w:tcPr>
          <w:p w14:paraId="26F62C68" w14:textId="77777777" w:rsidR="00E90931" w:rsidRPr="00AE4E8D" w:rsidRDefault="00E90931" w:rsidP="00003798">
            <w:pPr>
              <w:keepNext/>
              <w:keepLines/>
              <w:jc w:val="right"/>
              <w:rPr>
                <w:rFonts w:ascii="Times New Roman" w:hAnsi="Times New Roman"/>
                <w:b/>
                <w:bCs/>
                <w:i/>
                <w:iCs/>
                <w:sz w:val="16"/>
                <w:szCs w:val="16"/>
                <w:lang w:val="es-ES"/>
              </w:rPr>
            </w:pPr>
            <w:r w:rsidRPr="00AE4E8D">
              <w:rPr>
                <w:rFonts w:ascii="Times New Roman" w:hAnsi="Times New Roman"/>
                <w:b/>
                <w:bCs/>
                <w:i/>
                <w:iCs/>
                <w:sz w:val="16"/>
                <w:szCs w:val="16"/>
                <w:lang w:val="es-ES"/>
              </w:rPr>
              <w:t>83.861</w:t>
            </w:r>
          </w:p>
        </w:tc>
        <w:tc>
          <w:tcPr>
            <w:tcW w:w="1236" w:type="dxa"/>
            <w:shd w:val="clear" w:color="auto" w:fill="FFFFFF"/>
            <w:noWrap/>
            <w:vAlign w:val="bottom"/>
            <w:hideMark/>
          </w:tcPr>
          <w:p w14:paraId="4D126A7F" w14:textId="77777777" w:rsidR="00E90931" w:rsidRPr="00AE4E8D" w:rsidRDefault="00E90931" w:rsidP="00003798">
            <w:pPr>
              <w:keepNext/>
              <w:keepLines/>
              <w:jc w:val="right"/>
              <w:rPr>
                <w:rFonts w:ascii="Times New Roman" w:hAnsi="Times New Roman"/>
                <w:b/>
                <w:bCs/>
                <w:i/>
                <w:iCs/>
                <w:sz w:val="16"/>
                <w:szCs w:val="16"/>
                <w:lang w:val="es-ES"/>
              </w:rPr>
            </w:pPr>
            <w:r w:rsidRPr="00AE4E8D">
              <w:rPr>
                <w:rFonts w:ascii="Times New Roman" w:hAnsi="Times New Roman"/>
                <w:b/>
                <w:bCs/>
                <w:i/>
                <w:iCs/>
                <w:sz w:val="16"/>
                <w:szCs w:val="16"/>
                <w:lang w:val="es-ES"/>
              </w:rPr>
              <w:t>208.649</w:t>
            </w:r>
          </w:p>
        </w:tc>
        <w:tc>
          <w:tcPr>
            <w:tcW w:w="1224" w:type="dxa"/>
            <w:shd w:val="clear" w:color="auto" w:fill="FFFFFF"/>
            <w:noWrap/>
            <w:vAlign w:val="bottom"/>
            <w:hideMark/>
          </w:tcPr>
          <w:p w14:paraId="568C665F" w14:textId="77777777" w:rsidR="00E90931" w:rsidRPr="00AE4E8D" w:rsidRDefault="00E90931" w:rsidP="00003798">
            <w:pPr>
              <w:keepNext/>
              <w:keepLines/>
              <w:jc w:val="right"/>
              <w:rPr>
                <w:rFonts w:ascii="Times New Roman" w:hAnsi="Times New Roman"/>
                <w:b/>
                <w:bCs/>
                <w:i/>
                <w:iCs/>
                <w:sz w:val="16"/>
                <w:szCs w:val="16"/>
                <w:lang w:val="es-ES"/>
              </w:rPr>
            </w:pPr>
            <w:r w:rsidRPr="00AE4E8D">
              <w:rPr>
                <w:rFonts w:ascii="Times New Roman" w:hAnsi="Times New Roman"/>
                <w:b/>
                <w:bCs/>
                <w:i/>
                <w:iCs/>
                <w:sz w:val="16"/>
                <w:szCs w:val="16"/>
                <w:lang w:val="es-ES"/>
              </w:rPr>
              <w:t>291</w:t>
            </w:r>
          </w:p>
        </w:tc>
        <w:tc>
          <w:tcPr>
            <w:tcW w:w="1070" w:type="dxa"/>
            <w:shd w:val="clear" w:color="auto" w:fill="FFFFFF"/>
            <w:noWrap/>
            <w:vAlign w:val="bottom"/>
            <w:hideMark/>
          </w:tcPr>
          <w:p w14:paraId="63403B5A" w14:textId="77777777" w:rsidR="00E90931" w:rsidRPr="00AE4E8D" w:rsidRDefault="00E90931" w:rsidP="00003798">
            <w:pPr>
              <w:keepNext/>
              <w:keepLines/>
              <w:jc w:val="right"/>
              <w:rPr>
                <w:rFonts w:ascii="Times New Roman" w:hAnsi="Times New Roman"/>
                <w:b/>
                <w:bCs/>
                <w:i/>
                <w:iCs/>
                <w:sz w:val="16"/>
                <w:szCs w:val="16"/>
                <w:lang w:val="es-ES"/>
              </w:rPr>
            </w:pPr>
            <w:r w:rsidRPr="00AE4E8D">
              <w:rPr>
                <w:rFonts w:ascii="Times New Roman" w:hAnsi="Times New Roman"/>
                <w:b/>
                <w:bCs/>
                <w:i/>
                <w:iCs/>
                <w:sz w:val="16"/>
                <w:szCs w:val="16"/>
                <w:lang w:val="es-ES"/>
              </w:rPr>
              <w:t>3.305</w:t>
            </w:r>
          </w:p>
        </w:tc>
        <w:tc>
          <w:tcPr>
            <w:tcW w:w="1647" w:type="dxa"/>
            <w:shd w:val="clear" w:color="auto" w:fill="FFFFFF"/>
            <w:noWrap/>
            <w:vAlign w:val="bottom"/>
            <w:hideMark/>
          </w:tcPr>
          <w:p w14:paraId="3231DAAA" w14:textId="77777777" w:rsidR="00E90931" w:rsidRPr="00AE4E8D" w:rsidRDefault="00E90931" w:rsidP="00003798">
            <w:pPr>
              <w:keepNext/>
              <w:keepLines/>
              <w:jc w:val="right"/>
              <w:rPr>
                <w:rFonts w:ascii="Times New Roman" w:hAnsi="Times New Roman"/>
                <w:b/>
                <w:bCs/>
                <w:i/>
                <w:iCs/>
                <w:sz w:val="16"/>
                <w:szCs w:val="16"/>
                <w:lang w:val="es-ES"/>
              </w:rPr>
            </w:pPr>
            <w:r w:rsidRPr="00AE4E8D">
              <w:rPr>
                <w:rFonts w:ascii="Times New Roman" w:hAnsi="Times New Roman"/>
                <w:b/>
                <w:bCs/>
                <w:i/>
                <w:iCs/>
                <w:sz w:val="16"/>
                <w:szCs w:val="16"/>
                <w:lang w:val="es-ES"/>
              </w:rPr>
              <w:t>85.858</w:t>
            </w:r>
          </w:p>
        </w:tc>
        <w:tc>
          <w:tcPr>
            <w:tcW w:w="1233" w:type="dxa"/>
            <w:shd w:val="clear" w:color="auto" w:fill="FFFFFF"/>
            <w:noWrap/>
            <w:vAlign w:val="bottom"/>
            <w:hideMark/>
          </w:tcPr>
          <w:p w14:paraId="3D9E85F9" w14:textId="77777777" w:rsidR="00E90931" w:rsidRPr="00AE4E8D" w:rsidRDefault="00E90931" w:rsidP="00003798">
            <w:pPr>
              <w:keepNext/>
              <w:keepLines/>
              <w:jc w:val="right"/>
              <w:rPr>
                <w:rFonts w:ascii="Times New Roman" w:hAnsi="Times New Roman"/>
                <w:b/>
                <w:bCs/>
                <w:i/>
                <w:iCs/>
                <w:sz w:val="16"/>
                <w:szCs w:val="16"/>
                <w:lang w:val="es-ES"/>
              </w:rPr>
            </w:pPr>
            <w:r w:rsidRPr="00AE4E8D">
              <w:rPr>
                <w:rFonts w:ascii="Times New Roman" w:hAnsi="Times New Roman"/>
                <w:b/>
                <w:bCs/>
                <w:i/>
                <w:iCs/>
                <w:sz w:val="16"/>
                <w:szCs w:val="16"/>
                <w:lang w:val="es-ES"/>
              </w:rPr>
              <w:t>15.341</w:t>
            </w:r>
          </w:p>
        </w:tc>
        <w:tc>
          <w:tcPr>
            <w:tcW w:w="951" w:type="dxa"/>
            <w:shd w:val="clear" w:color="auto" w:fill="FFFFFF"/>
            <w:noWrap/>
            <w:vAlign w:val="bottom"/>
            <w:hideMark/>
          </w:tcPr>
          <w:p w14:paraId="05866F9C" w14:textId="77777777" w:rsidR="00E90931" w:rsidRPr="00AE4E8D" w:rsidRDefault="006D1D9D" w:rsidP="00003798">
            <w:pPr>
              <w:keepNext/>
              <w:keepLines/>
              <w:jc w:val="right"/>
              <w:rPr>
                <w:rFonts w:ascii="Times New Roman" w:hAnsi="Times New Roman"/>
                <w:b/>
                <w:bCs/>
                <w:i/>
                <w:iCs/>
                <w:sz w:val="16"/>
                <w:szCs w:val="16"/>
                <w:lang w:val="es-ES"/>
              </w:rPr>
            </w:pPr>
            <w:r w:rsidRPr="00AE4E8D">
              <w:rPr>
                <w:rFonts w:ascii="Times New Roman" w:hAnsi="Times New Roman"/>
                <w:b/>
                <w:bCs/>
                <w:i/>
                <w:iCs/>
                <w:sz w:val="16"/>
                <w:szCs w:val="16"/>
                <w:lang w:val="es-ES"/>
              </w:rPr>
              <w:t>-</w:t>
            </w:r>
          </w:p>
        </w:tc>
        <w:tc>
          <w:tcPr>
            <w:tcW w:w="936" w:type="dxa"/>
            <w:shd w:val="clear" w:color="auto" w:fill="FFFFFF"/>
            <w:noWrap/>
            <w:vAlign w:val="bottom"/>
            <w:hideMark/>
          </w:tcPr>
          <w:p w14:paraId="11747876" w14:textId="77777777" w:rsidR="00E90931" w:rsidRPr="00AE4E8D" w:rsidRDefault="00E90931" w:rsidP="00003798">
            <w:pPr>
              <w:keepNext/>
              <w:keepLines/>
              <w:jc w:val="right"/>
              <w:rPr>
                <w:rFonts w:ascii="Times New Roman" w:hAnsi="Times New Roman"/>
                <w:b/>
                <w:bCs/>
                <w:i/>
                <w:iCs/>
                <w:sz w:val="16"/>
                <w:szCs w:val="16"/>
                <w:lang w:val="es-ES"/>
              </w:rPr>
            </w:pPr>
            <w:r w:rsidRPr="00AE4E8D">
              <w:rPr>
                <w:rFonts w:ascii="Times New Roman" w:hAnsi="Times New Roman"/>
                <w:b/>
                <w:bCs/>
                <w:i/>
                <w:iCs/>
                <w:sz w:val="16"/>
                <w:szCs w:val="16"/>
                <w:lang w:val="es-ES"/>
              </w:rPr>
              <w:t>454.960</w:t>
            </w:r>
          </w:p>
        </w:tc>
      </w:tr>
      <w:tr w:rsidR="003B5193" w:rsidRPr="00AE4E8D" w14:paraId="670B3ED3" w14:textId="77777777" w:rsidTr="00003798">
        <w:trPr>
          <w:trHeight w:val="267"/>
          <w:jc w:val="center"/>
        </w:trPr>
        <w:tc>
          <w:tcPr>
            <w:tcW w:w="3936" w:type="dxa"/>
            <w:shd w:val="clear" w:color="auto" w:fill="FFFFFF"/>
            <w:noWrap/>
            <w:vAlign w:val="bottom"/>
            <w:hideMark/>
          </w:tcPr>
          <w:p w14:paraId="2F442474"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xml:space="preserve">Previsión por riesgo incob. / préstamos morosos </w:t>
            </w:r>
          </w:p>
        </w:tc>
        <w:tc>
          <w:tcPr>
            <w:tcW w:w="1085" w:type="dxa"/>
            <w:shd w:val="clear" w:color="auto" w:fill="FFFFFF"/>
            <w:noWrap/>
            <w:vAlign w:val="bottom"/>
            <w:hideMark/>
          </w:tcPr>
          <w:p w14:paraId="64374E2E"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292,23%</w:t>
            </w:r>
          </w:p>
        </w:tc>
        <w:tc>
          <w:tcPr>
            <w:tcW w:w="901" w:type="dxa"/>
            <w:shd w:val="clear" w:color="auto" w:fill="FFFFFF"/>
            <w:noWrap/>
            <w:vAlign w:val="bottom"/>
            <w:hideMark/>
          </w:tcPr>
          <w:p w14:paraId="38BF24F6"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65,98%</w:t>
            </w:r>
          </w:p>
        </w:tc>
        <w:tc>
          <w:tcPr>
            <w:tcW w:w="1236" w:type="dxa"/>
            <w:shd w:val="clear" w:color="auto" w:fill="FFFFFF"/>
            <w:noWrap/>
            <w:vAlign w:val="bottom"/>
            <w:hideMark/>
          </w:tcPr>
          <w:p w14:paraId="17F9BA93"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90,86%</w:t>
            </w:r>
          </w:p>
        </w:tc>
        <w:tc>
          <w:tcPr>
            <w:tcW w:w="1224" w:type="dxa"/>
            <w:shd w:val="clear" w:color="auto" w:fill="FFFFFF"/>
            <w:noWrap/>
            <w:vAlign w:val="bottom"/>
            <w:hideMark/>
          </w:tcPr>
          <w:p w14:paraId="62775EA2"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5,36%</w:t>
            </w:r>
          </w:p>
        </w:tc>
        <w:tc>
          <w:tcPr>
            <w:tcW w:w="1070" w:type="dxa"/>
            <w:shd w:val="clear" w:color="auto" w:fill="FFFFFF"/>
            <w:noWrap/>
            <w:vAlign w:val="bottom"/>
            <w:hideMark/>
          </w:tcPr>
          <w:p w14:paraId="187666C3"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594,42%</w:t>
            </w:r>
          </w:p>
        </w:tc>
        <w:tc>
          <w:tcPr>
            <w:tcW w:w="1647" w:type="dxa"/>
            <w:shd w:val="clear" w:color="auto" w:fill="FFFFFF"/>
            <w:noWrap/>
            <w:vAlign w:val="bottom"/>
            <w:hideMark/>
          </w:tcPr>
          <w:p w14:paraId="11510EA0"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186,23%</w:t>
            </w:r>
          </w:p>
        </w:tc>
        <w:tc>
          <w:tcPr>
            <w:tcW w:w="1233" w:type="dxa"/>
            <w:shd w:val="clear" w:color="auto" w:fill="FFFFFF"/>
            <w:noWrap/>
            <w:vAlign w:val="bottom"/>
            <w:hideMark/>
          </w:tcPr>
          <w:p w14:paraId="6DAAC40C" w14:textId="77777777" w:rsidR="00E90931" w:rsidRPr="00AE4E8D" w:rsidRDefault="00CE1483" w:rsidP="00003798">
            <w:pPr>
              <w:keepNext/>
              <w:keepLines/>
              <w:jc w:val="right"/>
              <w:rPr>
                <w:rFonts w:ascii="Times New Roman" w:hAnsi="Times New Roman"/>
                <w:sz w:val="16"/>
                <w:szCs w:val="16"/>
                <w:lang w:val="es-ES"/>
              </w:rPr>
            </w:pPr>
            <w:r>
              <w:rPr>
                <w:rFonts w:ascii="Times New Roman" w:hAnsi="Times New Roman"/>
                <w:sz w:val="16"/>
                <w:szCs w:val="16"/>
                <w:lang w:val="es-ES"/>
              </w:rPr>
              <w:t>NM</w:t>
            </w:r>
          </w:p>
        </w:tc>
        <w:tc>
          <w:tcPr>
            <w:tcW w:w="951" w:type="dxa"/>
            <w:shd w:val="clear" w:color="auto" w:fill="FFFFFF"/>
            <w:noWrap/>
            <w:vAlign w:val="bottom"/>
            <w:hideMark/>
          </w:tcPr>
          <w:p w14:paraId="4B2FFBD7" w14:textId="77777777" w:rsidR="00E90931" w:rsidRPr="00AE4E8D" w:rsidRDefault="00E90931" w:rsidP="00003798">
            <w:pPr>
              <w:keepNext/>
              <w:keepLines/>
              <w:rPr>
                <w:rFonts w:ascii="Times New Roman" w:hAnsi="Times New Roman"/>
                <w:sz w:val="16"/>
                <w:szCs w:val="16"/>
                <w:lang w:val="es-ES"/>
              </w:rPr>
            </w:pPr>
            <w:r w:rsidRPr="00AE4E8D">
              <w:rPr>
                <w:rFonts w:ascii="Times New Roman" w:hAnsi="Times New Roman"/>
                <w:sz w:val="16"/>
                <w:szCs w:val="16"/>
                <w:lang w:val="es-ES"/>
              </w:rPr>
              <w:t> </w:t>
            </w:r>
          </w:p>
        </w:tc>
        <w:tc>
          <w:tcPr>
            <w:tcW w:w="936" w:type="dxa"/>
            <w:shd w:val="clear" w:color="auto" w:fill="FFFFFF"/>
            <w:noWrap/>
            <w:vAlign w:val="bottom"/>
            <w:hideMark/>
          </w:tcPr>
          <w:p w14:paraId="0ADD4E23" w14:textId="77777777" w:rsidR="00E90931" w:rsidRPr="00AE4E8D" w:rsidRDefault="00E90931" w:rsidP="00003798">
            <w:pPr>
              <w:keepNext/>
              <w:keepLines/>
              <w:jc w:val="right"/>
              <w:rPr>
                <w:rFonts w:ascii="Times New Roman" w:hAnsi="Times New Roman"/>
                <w:sz w:val="16"/>
                <w:szCs w:val="16"/>
                <w:lang w:val="es-ES"/>
              </w:rPr>
            </w:pPr>
            <w:r w:rsidRPr="00AE4E8D">
              <w:rPr>
                <w:rFonts w:ascii="Times New Roman" w:hAnsi="Times New Roman"/>
                <w:sz w:val="16"/>
                <w:szCs w:val="16"/>
                <w:lang w:val="es-ES"/>
              </w:rPr>
              <w:t>106,11%</w:t>
            </w:r>
          </w:p>
        </w:tc>
      </w:tr>
    </w:tbl>
    <w:p w14:paraId="357601A4" w14:textId="77777777" w:rsidR="00E90931" w:rsidRPr="00AE4E8D" w:rsidRDefault="00E90931" w:rsidP="00003798">
      <w:pPr>
        <w:pStyle w:val="BHTexto"/>
        <w:keepNext/>
        <w:keepLines/>
        <w:rPr>
          <w:lang w:val="es-ES"/>
        </w:rPr>
      </w:pPr>
    </w:p>
    <w:tbl>
      <w:tblPr>
        <w:tblW w:w="5000" w:type="pct"/>
        <w:jc w:val="center"/>
        <w:tblLayout w:type="fixed"/>
        <w:tblCellMar>
          <w:left w:w="70" w:type="dxa"/>
          <w:right w:w="70" w:type="dxa"/>
        </w:tblCellMar>
        <w:tblLook w:val="00A0" w:firstRow="1" w:lastRow="0" w:firstColumn="1" w:lastColumn="0" w:noHBand="0" w:noVBand="0"/>
      </w:tblPr>
      <w:tblGrid>
        <w:gridCol w:w="3910"/>
        <w:gridCol w:w="1124"/>
        <w:gridCol w:w="1134"/>
        <w:gridCol w:w="1134"/>
        <w:gridCol w:w="1134"/>
        <w:gridCol w:w="1106"/>
        <w:gridCol w:w="1445"/>
        <w:gridCol w:w="1134"/>
        <w:gridCol w:w="990"/>
        <w:gridCol w:w="1032"/>
      </w:tblGrid>
      <w:tr w:rsidR="00E90931" w:rsidRPr="00AE4E8D" w14:paraId="44ACCC94" w14:textId="77777777" w:rsidTr="000400C8">
        <w:trPr>
          <w:cantSplit/>
          <w:trHeight w:val="245"/>
          <w:jc w:val="center"/>
        </w:trPr>
        <w:tc>
          <w:tcPr>
            <w:tcW w:w="1382" w:type="pct"/>
            <w:shd w:val="clear" w:color="auto" w:fill="FFFFFF"/>
            <w:noWrap/>
            <w:vAlign w:val="bottom"/>
            <w:hideMark/>
          </w:tcPr>
          <w:p w14:paraId="0B29B404" w14:textId="77777777" w:rsidR="00E90931" w:rsidRPr="00AE4E8D" w:rsidRDefault="00E90931" w:rsidP="00003798">
            <w:pPr>
              <w:keepNext/>
              <w:keepLines/>
              <w:rPr>
                <w:rFonts w:ascii="Times New Roman" w:hAnsi="Times New Roman"/>
                <w:sz w:val="16"/>
                <w:lang w:val="es-ES"/>
              </w:rPr>
            </w:pPr>
            <w:r w:rsidRPr="00AE4E8D">
              <w:rPr>
                <w:rFonts w:ascii="Times New Roman" w:hAnsi="Times New Roman"/>
                <w:sz w:val="16"/>
                <w:lang w:val="es-ES"/>
              </w:rPr>
              <w:t> </w:t>
            </w:r>
          </w:p>
        </w:tc>
        <w:tc>
          <w:tcPr>
            <w:tcW w:w="3618" w:type="pct"/>
            <w:gridSpan w:val="9"/>
            <w:shd w:val="clear" w:color="auto" w:fill="FFFFFF"/>
            <w:noWrap/>
            <w:vAlign w:val="bottom"/>
            <w:hideMark/>
          </w:tcPr>
          <w:p w14:paraId="59EBC336"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b/>
                <w:sz w:val="16"/>
                <w:lang w:val="es-ES"/>
              </w:rPr>
              <w:t>Al 31 de diciembre de 2014</w:t>
            </w:r>
          </w:p>
        </w:tc>
      </w:tr>
      <w:tr w:rsidR="00003798" w:rsidRPr="00AE4E8D" w14:paraId="5705D52D" w14:textId="77777777" w:rsidTr="000400C8">
        <w:trPr>
          <w:cantSplit/>
          <w:trHeight w:val="266"/>
          <w:jc w:val="center"/>
        </w:trPr>
        <w:tc>
          <w:tcPr>
            <w:tcW w:w="1382" w:type="pct"/>
            <w:shd w:val="clear" w:color="auto" w:fill="FFFFFF"/>
            <w:noWrap/>
            <w:vAlign w:val="bottom"/>
          </w:tcPr>
          <w:p w14:paraId="34311B10" w14:textId="77777777" w:rsidR="00E90931" w:rsidRPr="00AE4E8D" w:rsidRDefault="00E90931" w:rsidP="00003798">
            <w:pPr>
              <w:keepNext/>
              <w:keepLines/>
              <w:rPr>
                <w:rFonts w:ascii="Times New Roman" w:hAnsi="Times New Roman"/>
                <w:sz w:val="16"/>
                <w:lang w:val="es-ES"/>
              </w:rPr>
            </w:pPr>
          </w:p>
        </w:tc>
        <w:tc>
          <w:tcPr>
            <w:tcW w:w="1600" w:type="pct"/>
            <w:gridSpan w:val="4"/>
            <w:shd w:val="clear" w:color="auto" w:fill="FFFFFF"/>
            <w:noWrap/>
            <w:vAlign w:val="bottom"/>
            <w:hideMark/>
          </w:tcPr>
          <w:p w14:paraId="5AE811B9"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Consumo</w:t>
            </w:r>
          </w:p>
        </w:tc>
        <w:tc>
          <w:tcPr>
            <w:tcW w:w="1653" w:type="pct"/>
            <w:gridSpan w:val="4"/>
            <w:shd w:val="clear" w:color="auto" w:fill="FFFFFF"/>
            <w:noWrap/>
            <w:vAlign w:val="bottom"/>
            <w:hideMark/>
          </w:tcPr>
          <w:p w14:paraId="13FCC90A"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Comercial</w:t>
            </w:r>
          </w:p>
        </w:tc>
        <w:tc>
          <w:tcPr>
            <w:tcW w:w="365" w:type="pct"/>
            <w:vMerge w:val="restart"/>
            <w:shd w:val="clear" w:color="auto" w:fill="FFFFFF"/>
            <w:noWrap/>
            <w:vAlign w:val="bottom"/>
            <w:hideMark/>
          </w:tcPr>
          <w:p w14:paraId="63B94E83"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Total</w:t>
            </w:r>
          </w:p>
        </w:tc>
      </w:tr>
      <w:tr w:rsidR="003B5193" w:rsidRPr="00AE4E8D" w14:paraId="35A06423" w14:textId="77777777" w:rsidTr="00003798">
        <w:trPr>
          <w:cantSplit/>
          <w:trHeight w:val="467"/>
          <w:jc w:val="center"/>
        </w:trPr>
        <w:tc>
          <w:tcPr>
            <w:tcW w:w="1382" w:type="pct"/>
            <w:shd w:val="clear" w:color="auto" w:fill="FFFFFF"/>
            <w:noWrap/>
            <w:vAlign w:val="bottom"/>
            <w:hideMark/>
          </w:tcPr>
          <w:p w14:paraId="15CFF42B" w14:textId="77777777" w:rsidR="00E90931" w:rsidRPr="00AE4E8D" w:rsidRDefault="00E90931" w:rsidP="00003798">
            <w:pPr>
              <w:keepNext/>
              <w:keepLines/>
              <w:rPr>
                <w:rFonts w:ascii="Times New Roman" w:hAnsi="Times New Roman"/>
                <w:sz w:val="16"/>
                <w:lang w:val="es-ES"/>
              </w:rPr>
            </w:pPr>
            <w:r w:rsidRPr="00AE4E8D">
              <w:rPr>
                <w:rFonts w:ascii="Times New Roman" w:hAnsi="Times New Roman"/>
                <w:sz w:val="16"/>
                <w:lang w:val="es-ES"/>
              </w:rPr>
              <w:t> </w:t>
            </w:r>
          </w:p>
        </w:tc>
        <w:tc>
          <w:tcPr>
            <w:tcW w:w="397" w:type="pct"/>
            <w:shd w:val="clear" w:color="auto" w:fill="FFFFFF"/>
            <w:noWrap/>
            <w:vAlign w:val="bottom"/>
            <w:hideMark/>
          </w:tcPr>
          <w:p w14:paraId="65D6E0C6"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Préstamos hipotecarios</w:t>
            </w:r>
          </w:p>
        </w:tc>
        <w:tc>
          <w:tcPr>
            <w:tcW w:w="401" w:type="pct"/>
            <w:shd w:val="clear" w:color="auto" w:fill="FFFFFF"/>
            <w:noWrap/>
            <w:vAlign w:val="bottom"/>
            <w:hideMark/>
          </w:tcPr>
          <w:p w14:paraId="7F79ECE2"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Préstamos personales</w:t>
            </w:r>
          </w:p>
        </w:tc>
        <w:tc>
          <w:tcPr>
            <w:tcW w:w="401" w:type="pct"/>
            <w:shd w:val="clear" w:color="auto" w:fill="FFFFFF"/>
            <w:noWrap/>
            <w:vAlign w:val="bottom"/>
            <w:hideMark/>
          </w:tcPr>
          <w:p w14:paraId="03819BF5"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Tarjetas y adelantos</w:t>
            </w:r>
          </w:p>
        </w:tc>
        <w:tc>
          <w:tcPr>
            <w:tcW w:w="401" w:type="pct"/>
            <w:shd w:val="clear" w:color="auto" w:fill="FFFFFF"/>
            <w:noWrap/>
            <w:vAlign w:val="bottom"/>
            <w:hideMark/>
          </w:tcPr>
          <w:p w14:paraId="1E48B13D"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Otros individuales</w:t>
            </w:r>
          </w:p>
        </w:tc>
        <w:tc>
          <w:tcPr>
            <w:tcW w:w="391" w:type="pct"/>
            <w:shd w:val="clear" w:color="auto" w:fill="FFFFFF"/>
            <w:noWrap/>
            <w:vAlign w:val="bottom"/>
            <w:hideMark/>
          </w:tcPr>
          <w:p w14:paraId="65C44394"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Construcción</w:t>
            </w:r>
          </w:p>
        </w:tc>
        <w:tc>
          <w:tcPr>
            <w:tcW w:w="511" w:type="pct"/>
            <w:shd w:val="clear" w:color="auto" w:fill="FFFFFF"/>
            <w:noWrap/>
            <w:vAlign w:val="bottom"/>
            <w:hideMark/>
          </w:tcPr>
          <w:p w14:paraId="35617D7A"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Asistencia de corto plazo empresas</w:t>
            </w:r>
          </w:p>
        </w:tc>
        <w:tc>
          <w:tcPr>
            <w:tcW w:w="401" w:type="pct"/>
            <w:shd w:val="clear" w:color="auto" w:fill="FFFFFF"/>
            <w:noWrap/>
            <w:vAlign w:val="bottom"/>
            <w:hideMark/>
          </w:tcPr>
          <w:p w14:paraId="78177CB2"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Otros comerciales</w:t>
            </w:r>
          </w:p>
        </w:tc>
        <w:tc>
          <w:tcPr>
            <w:tcW w:w="350" w:type="pct"/>
            <w:shd w:val="clear" w:color="auto" w:fill="FFFFFF"/>
            <w:noWrap/>
            <w:vAlign w:val="bottom"/>
            <w:hideMark/>
          </w:tcPr>
          <w:p w14:paraId="3817AE87" w14:textId="77777777" w:rsidR="00E90931" w:rsidRPr="00AE4E8D" w:rsidRDefault="00E90931" w:rsidP="00003798">
            <w:pPr>
              <w:keepNext/>
              <w:keepLines/>
              <w:pBdr>
                <w:bottom w:val="single" w:sz="4" w:space="1" w:color="auto"/>
              </w:pBdr>
              <w:jc w:val="center"/>
              <w:rPr>
                <w:rFonts w:ascii="Times New Roman" w:hAnsi="Times New Roman"/>
                <w:sz w:val="16"/>
                <w:lang w:val="es-ES"/>
              </w:rPr>
            </w:pPr>
            <w:r w:rsidRPr="00AE4E8D">
              <w:rPr>
                <w:rFonts w:ascii="Times New Roman" w:hAnsi="Times New Roman"/>
                <w:sz w:val="16"/>
                <w:lang w:val="es-ES"/>
              </w:rPr>
              <w:t>Sector público</w:t>
            </w:r>
          </w:p>
        </w:tc>
        <w:tc>
          <w:tcPr>
            <w:tcW w:w="365" w:type="pct"/>
            <w:vMerge/>
            <w:vAlign w:val="center"/>
            <w:hideMark/>
          </w:tcPr>
          <w:p w14:paraId="7F8F403D" w14:textId="77777777" w:rsidR="00E90931" w:rsidRPr="00AE4E8D" w:rsidRDefault="00E90931" w:rsidP="00003798">
            <w:pPr>
              <w:keepNext/>
              <w:keepLines/>
              <w:rPr>
                <w:rFonts w:ascii="Times New Roman" w:hAnsi="Times New Roman"/>
                <w:sz w:val="16"/>
                <w:lang w:val="es-ES"/>
              </w:rPr>
            </w:pPr>
          </w:p>
        </w:tc>
      </w:tr>
      <w:tr w:rsidR="00E90931" w:rsidRPr="00AE4E8D" w14:paraId="3B79E8CF" w14:textId="77777777" w:rsidTr="000400C8">
        <w:trPr>
          <w:cantSplit/>
          <w:trHeight w:val="222"/>
          <w:jc w:val="center"/>
        </w:trPr>
        <w:tc>
          <w:tcPr>
            <w:tcW w:w="1382" w:type="pct"/>
            <w:shd w:val="clear" w:color="auto" w:fill="FFFFFF"/>
            <w:noWrap/>
            <w:vAlign w:val="bottom"/>
            <w:hideMark/>
          </w:tcPr>
          <w:p w14:paraId="652E75D8" w14:textId="77777777" w:rsidR="00E90931" w:rsidRPr="00AE4E8D" w:rsidRDefault="00E90931" w:rsidP="00003798">
            <w:pPr>
              <w:keepNext/>
              <w:keepLines/>
              <w:rPr>
                <w:rFonts w:ascii="Times New Roman" w:hAnsi="Times New Roman"/>
                <w:sz w:val="16"/>
                <w:lang w:val="es-ES"/>
              </w:rPr>
            </w:pPr>
            <w:r w:rsidRPr="00AE4E8D">
              <w:rPr>
                <w:rFonts w:ascii="Times New Roman" w:hAnsi="Times New Roman"/>
                <w:sz w:val="16"/>
                <w:lang w:val="es-ES"/>
              </w:rPr>
              <w:t> </w:t>
            </w:r>
          </w:p>
        </w:tc>
        <w:tc>
          <w:tcPr>
            <w:tcW w:w="3618" w:type="pct"/>
            <w:gridSpan w:val="9"/>
            <w:shd w:val="clear" w:color="auto" w:fill="FFFFFF"/>
            <w:noWrap/>
            <w:vAlign w:val="bottom"/>
            <w:hideMark/>
          </w:tcPr>
          <w:p w14:paraId="426BC539" w14:textId="77777777" w:rsidR="00E90931" w:rsidRPr="00AE4E8D" w:rsidRDefault="00E90931" w:rsidP="00003798">
            <w:pPr>
              <w:keepNext/>
              <w:keepLines/>
              <w:jc w:val="center"/>
              <w:rPr>
                <w:rFonts w:ascii="Times New Roman" w:hAnsi="Times New Roman"/>
                <w:sz w:val="16"/>
                <w:lang w:val="es-ES"/>
              </w:rPr>
            </w:pPr>
            <w:r w:rsidRPr="00AE4E8D">
              <w:rPr>
                <w:rFonts w:ascii="Times New Roman" w:hAnsi="Times New Roman"/>
                <w:sz w:val="16"/>
                <w:lang w:val="es-ES"/>
              </w:rPr>
              <w:t>(En miles de pesos, salvo porcentajes)</w:t>
            </w:r>
          </w:p>
        </w:tc>
      </w:tr>
      <w:tr w:rsidR="003B5193" w:rsidRPr="00AE4E8D" w14:paraId="64CA150E" w14:textId="77777777" w:rsidTr="00003798">
        <w:trPr>
          <w:cantSplit/>
          <w:trHeight w:val="255"/>
          <w:jc w:val="center"/>
        </w:trPr>
        <w:tc>
          <w:tcPr>
            <w:tcW w:w="1382" w:type="pct"/>
            <w:shd w:val="clear" w:color="auto" w:fill="FFFFFF"/>
            <w:noWrap/>
            <w:vAlign w:val="bottom"/>
            <w:hideMark/>
          </w:tcPr>
          <w:p w14:paraId="4EE52384"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Normal</w:t>
            </w:r>
            <w:r w:rsidRPr="00AE4E8D">
              <w:rPr>
                <w:rFonts w:ascii="Times New Roman" w:hAnsi="Times New Roman"/>
                <w:sz w:val="16"/>
                <w:lang w:val="es-ES"/>
              </w:rPr>
              <w:tab/>
            </w:r>
          </w:p>
        </w:tc>
        <w:tc>
          <w:tcPr>
            <w:tcW w:w="397" w:type="pct"/>
            <w:shd w:val="clear" w:color="auto" w:fill="FFFFFF"/>
            <w:noWrap/>
            <w:vAlign w:val="bottom"/>
            <w:hideMark/>
          </w:tcPr>
          <w:p w14:paraId="47906262"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1.676.972</w:t>
            </w:r>
          </w:p>
        </w:tc>
        <w:tc>
          <w:tcPr>
            <w:tcW w:w="401" w:type="pct"/>
            <w:shd w:val="clear" w:color="auto" w:fill="FFFFFF"/>
            <w:noWrap/>
            <w:vAlign w:val="bottom"/>
            <w:hideMark/>
          </w:tcPr>
          <w:p w14:paraId="091B24D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2.114.976</w:t>
            </w:r>
          </w:p>
        </w:tc>
        <w:tc>
          <w:tcPr>
            <w:tcW w:w="401" w:type="pct"/>
            <w:shd w:val="clear" w:color="auto" w:fill="FFFFFF"/>
            <w:noWrap/>
            <w:vAlign w:val="bottom"/>
            <w:hideMark/>
          </w:tcPr>
          <w:p w14:paraId="71621543"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6.810.527</w:t>
            </w:r>
          </w:p>
        </w:tc>
        <w:tc>
          <w:tcPr>
            <w:tcW w:w="401" w:type="pct"/>
            <w:shd w:val="clear" w:color="auto" w:fill="FFFFFF"/>
            <w:noWrap/>
            <w:vAlign w:val="bottom"/>
            <w:hideMark/>
          </w:tcPr>
          <w:p w14:paraId="5AD6A985"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89.985</w:t>
            </w:r>
          </w:p>
        </w:tc>
        <w:tc>
          <w:tcPr>
            <w:tcW w:w="391" w:type="pct"/>
            <w:shd w:val="clear" w:color="auto" w:fill="FFFFFF"/>
            <w:noWrap/>
            <w:vAlign w:val="bottom"/>
            <w:hideMark/>
          </w:tcPr>
          <w:p w14:paraId="783228A8"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184.027</w:t>
            </w:r>
          </w:p>
        </w:tc>
        <w:tc>
          <w:tcPr>
            <w:tcW w:w="511" w:type="pct"/>
            <w:shd w:val="clear" w:color="auto" w:fill="FFFFFF"/>
            <w:noWrap/>
            <w:vAlign w:val="bottom"/>
            <w:hideMark/>
          </w:tcPr>
          <w:p w14:paraId="374EB0F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4.983.008</w:t>
            </w:r>
          </w:p>
        </w:tc>
        <w:tc>
          <w:tcPr>
            <w:tcW w:w="401" w:type="pct"/>
            <w:shd w:val="clear" w:color="auto" w:fill="FFFFFF"/>
            <w:noWrap/>
            <w:vAlign w:val="bottom"/>
            <w:hideMark/>
          </w:tcPr>
          <w:p w14:paraId="60E7B7FD"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1.314.208</w:t>
            </w:r>
          </w:p>
        </w:tc>
        <w:tc>
          <w:tcPr>
            <w:tcW w:w="350" w:type="pct"/>
            <w:shd w:val="clear" w:color="auto" w:fill="FFFFFF"/>
            <w:noWrap/>
            <w:vAlign w:val="bottom"/>
            <w:hideMark/>
          </w:tcPr>
          <w:p w14:paraId="348A50F5"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112.131</w:t>
            </w:r>
          </w:p>
        </w:tc>
        <w:tc>
          <w:tcPr>
            <w:tcW w:w="365" w:type="pct"/>
            <w:shd w:val="clear" w:color="auto" w:fill="FFFFFF"/>
            <w:noWrap/>
            <w:vAlign w:val="bottom"/>
            <w:hideMark/>
          </w:tcPr>
          <w:p w14:paraId="39509DFF"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17.285.834</w:t>
            </w:r>
          </w:p>
        </w:tc>
      </w:tr>
      <w:tr w:rsidR="003B5193" w:rsidRPr="00AE4E8D" w14:paraId="5AC0726A" w14:textId="77777777" w:rsidTr="00003798">
        <w:trPr>
          <w:cantSplit/>
          <w:trHeight w:val="222"/>
          <w:jc w:val="center"/>
        </w:trPr>
        <w:tc>
          <w:tcPr>
            <w:tcW w:w="1382" w:type="pct"/>
            <w:shd w:val="clear" w:color="auto" w:fill="FFFFFF"/>
            <w:noWrap/>
            <w:vAlign w:val="bottom"/>
            <w:hideMark/>
          </w:tcPr>
          <w:p w14:paraId="379696A0"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Riesgo potencial y cumplimiento inadecuado</w:t>
            </w:r>
            <w:r w:rsidRPr="00AE4E8D">
              <w:rPr>
                <w:rFonts w:ascii="Times New Roman" w:hAnsi="Times New Roman"/>
                <w:sz w:val="16"/>
                <w:lang w:val="es-ES"/>
              </w:rPr>
              <w:tab/>
            </w:r>
          </w:p>
        </w:tc>
        <w:tc>
          <w:tcPr>
            <w:tcW w:w="397" w:type="pct"/>
            <w:shd w:val="clear" w:color="auto" w:fill="FFFFFF"/>
            <w:noWrap/>
            <w:vAlign w:val="bottom"/>
            <w:hideMark/>
          </w:tcPr>
          <w:p w14:paraId="271D381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21.269</w:t>
            </w:r>
          </w:p>
        </w:tc>
        <w:tc>
          <w:tcPr>
            <w:tcW w:w="401" w:type="pct"/>
            <w:shd w:val="clear" w:color="auto" w:fill="FFFFFF"/>
            <w:noWrap/>
            <w:vAlign w:val="bottom"/>
            <w:hideMark/>
          </w:tcPr>
          <w:p w14:paraId="26FE8F06"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79.144</w:t>
            </w:r>
          </w:p>
        </w:tc>
        <w:tc>
          <w:tcPr>
            <w:tcW w:w="401" w:type="pct"/>
            <w:shd w:val="clear" w:color="auto" w:fill="FFFFFF"/>
            <w:noWrap/>
            <w:vAlign w:val="bottom"/>
            <w:hideMark/>
          </w:tcPr>
          <w:p w14:paraId="0EC18E88"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116.917</w:t>
            </w:r>
          </w:p>
        </w:tc>
        <w:tc>
          <w:tcPr>
            <w:tcW w:w="401" w:type="pct"/>
            <w:shd w:val="clear" w:color="auto" w:fill="FFFFFF"/>
            <w:noWrap/>
            <w:vAlign w:val="bottom"/>
            <w:hideMark/>
          </w:tcPr>
          <w:p w14:paraId="3285B779"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22.449</w:t>
            </w:r>
          </w:p>
        </w:tc>
        <w:tc>
          <w:tcPr>
            <w:tcW w:w="391" w:type="pct"/>
            <w:shd w:val="clear" w:color="auto" w:fill="FFFFFF"/>
            <w:noWrap/>
            <w:vAlign w:val="bottom"/>
            <w:hideMark/>
          </w:tcPr>
          <w:p w14:paraId="4EDC5C0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511" w:type="pct"/>
            <w:shd w:val="clear" w:color="auto" w:fill="FFFFFF"/>
            <w:noWrap/>
            <w:vAlign w:val="bottom"/>
            <w:hideMark/>
          </w:tcPr>
          <w:p w14:paraId="76C40FF3"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1.056</w:t>
            </w:r>
          </w:p>
        </w:tc>
        <w:tc>
          <w:tcPr>
            <w:tcW w:w="401" w:type="pct"/>
            <w:shd w:val="clear" w:color="auto" w:fill="FFFFFF"/>
            <w:noWrap/>
            <w:vAlign w:val="bottom"/>
            <w:hideMark/>
          </w:tcPr>
          <w:p w14:paraId="5AA4C414"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589</w:t>
            </w:r>
          </w:p>
        </w:tc>
        <w:tc>
          <w:tcPr>
            <w:tcW w:w="350" w:type="pct"/>
            <w:shd w:val="clear" w:color="auto" w:fill="FFFFFF"/>
            <w:noWrap/>
            <w:vAlign w:val="bottom"/>
            <w:hideMark/>
          </w:tcPr>
          <w:p w14:paraId="7E031532"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65" w:type="pct"/>
            <w:shd w:val="clear" w:color="auto" w:fill="FFFFFF"/>
            <w:noWrap/>
            <w:vAlign w:val="bottom"/>
            <w:hideMark/>
          </w:tcPr>
          <w:p w14:paraId="57510883"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241.424</w:t>
            </w:r>
          </w:p>
        </w:tc>
      </w:tr>
      <w:tr w:rsidR="003B5193" w:rsidRPr="00AE4E8D" w14:paraId="620903B3" w14:textId="77777777" w:rsidTr="00003798">
        <w:trPr>
          <w:cantSplit/>
          <w:trHeight w:val="222"/>
          <w:jc w:val="center"/>
        </w:trPr>
        <w:tc>
          <w:tcPr>
            <w:tcW w:w="1382" w:type="pct"/>
            <w:shd w:val="clear" w:color="auto" w:fill="FFFFFF"/>
            <w:noWrap/>
            <w:vAlign w:val="bottom"/>
            <w:hideMark/>
          </w:tcPr>
          <w:p w14:paraId="23F22AC5"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Con problemas u de cumplimiento deficiente</w:t>
            </w:r>
            <w:r w:rsidRPr="00AE4E8D">
              <w:rPr>
                <w:rFonts w:ascii="Times New Roman" w:hAnsi="Times New Roman"/>
                <w:sz w:val="16"/>
                <w:lang w:val="es-ES"/>
              </w:rPr>
              <w:tab/>
            </w:r>
          </w:p>
        </w:tc>
        <w:tc>
          <w:tcPr>
            <w:tcW w:w="397" w:type="pct"/>
            <w:shd w:val="clear" w:color="auto" w:fill="FFFFFF"/>
            <w:noWrap/>
            <w:vAlign w:val="bottom"/>
            <w:hideMark/>
          </w:tcPr>
          <w:p w14:paraId="1C5F8E60"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5.796</w:t>
            </w:r>
          </w:p>
        </w:tc>
        <w:tc>
          <w:tcPr>
            <w:tcW w:w="401" w:type="pct"/>
            <w:shd w:val="clear" w:color="auto" w:fill="FFFFFF"/>
            <w:noWrap/>
            <w:vAlign w:val="bottom"/>
            <w:hideMark/>
          </w:tcPr>
          <w:p w14:paraId="18E5C54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36.071</w:t>
            </w:r>
          </w:p>
        </w:tc>
        <w:tc>
          <w:tcPr>
            <w:tcW w:w="401" w:type="pct"/>
            <w:shd w:val="clear" w:color="auto" w:fill="FFFFFF"/>
            <w:noWrap/>
            <w:vAlign w:val="bottom"/>
            <w:hideMark/>
          </w:tcPr>
          <w:p w14:paraId="41CEFF4D"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82.337</w:t>
            </w:r>
          </w:p>
        </w:tc>
        <w:tc>
          <w:tcPr>
            <w:tcW w:w="401" w:type="pct"/>
            <w:shd w:val="clear" w:color="auto" w:fill="FFFFFF"/>
            <w:noWrap/>
            <w:vAlign w:val="bottom"/>
            <w:hideMark/>
          </w:tcPr>
          <w:p w14:paraId="3D250F21"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21.382</w:t>
            </w:r>
          </w:p>
        </w:tc>
        <w:tc>
          <w:tcPr>
            <w:tcW w:w="391" w:type="pct"/>
            <w:shd w:val="clear" w:color="auto" w:fill="FFFFFF"/>
            <w:noWrap/>
            <w:vAlign w:val="bottom"/>
            <w:hideMark/>
          </w:tcPr>
          <w:p w14:paraId="51C23CE1"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511" w:type="pct"/>
            <w:shd w:val="clear" w:color="auto" w:fill="FFFFFF"/>
            <w:noWrap/>
            <w:vAlign w:val="bottom"/>
            <w:hideMark/>
          </w:tcPr>
          <w:p w14:paraId="23A6600D"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441</w:t>
            </w:r>
          </w:p>
        </w:tc>
        <w:tc>
          <w:tcPr>
            <w:tcW w:w="401" w:type="pct"/>
            <w:shd w:val="clear" w:color="auto" w:fill="FFFFFF"/>
            <w:noWrap/>
            <w:vAlign w:val="bottom"/>
            <w:hideMark/>
          </w:tcPr>
          <w:p w14:paraId="40BFA42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50" w:type="pct"/>
            <w:shd w:val="clear" w:color="auto" w:fill="FFFFFF"/>
            <w:noWrap/>
            <w:vAlign w:val="bottom"/>
            <w:hideMark/>
          </w:tcPr>
          <w:p w14:paraId="1309F079"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65" w:type="pct"/>
            <w:shd w:val="clear" w:color="auto" w:fill="FFFFFF"/>
            <w:noWrap/>
            <w:vAlign w:val="bottom"/>
            <w:hideMark/>
          </w:tcPr>
          <w:p w14:paraId="7F5B062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146.027</w:t>
            </w:r>
          </w:p>
        </w:tc>
      </w:tr>
      <w:tr w:rsidR="003B5193" w:rsidRPr="00AE4E8D" w14:paraId="050511C5" w14:textId="77777777" w:rsidTr="00003798">
        <w:trPr>
          <w:cantSplit/>
          <w:trHeight w:val="222"/>
          <w:jc w:val="center"/>
        </w:trPr>
        <w:tc>
          <w:tcPr>
            <w:tcW w:w="1382" w:type="pct"/>
            <w:shd w:val="clear" w:color="auto" w:fill="FFFFFF"/>
            <w:noWrap/>
            <w:vAlign w:val="bottom"/>
            <w:hideMark/>
          </w:tcPr>
          <w:p w14:paraId="0EDFE6F0"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Alto riesgo de insolvencia y de difícil recuperación</w:t>
            </w:r>
            <w:r w:rsidRPr="00AE4E8D">
              <w:rPr>
                <w:rFonts w:ascii="Times New Roman" w:hAnsi="Times New Roman"/>
                <w:sz w:val="16"/>
                <w:lang w:val="es-ES"/>
              </w:rPr>
              <w:tab/>
            </w:r>
          </w:p>
        </w:tc>
        <w:tc>
          <w:tcPr>
            <w:tcW w:w="397" w:type="pct"/>
            <w:shd w:val="clear" w:color="auto" w:fill="FFFFFF"/>
            <w:noWrap/>
            <w:vAlign w:val="bottom"/>
            <w:hideMark/>
          </w:tcPr>
          <w:p w14:paraId="3EAB30C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8.365</w:t>
            </w:r>
          </w:p>
        </w:tc>
        <w:tc>
          <w:tcPr>
            <w:tcW w:w="401" w:type="pct"/>
            <w:shd w:val="clear" w:color="auto" w:fill="FFFFFF"/>
            <w:noWrap/>
            <w:vAlign w:val="bottom"/>
            <w:hideMark/>
          </w:tcPr>
          <w:p w14:paraId="487BD102"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52.574</w:t>
            </w:r>
          </w:p>
        </w:tc>
        <w:tc>
          <w:tcPr>
            <w:tcW w:w="401" w:type="pct"/>
            <w:shd w:val="clear" w:color="auto" w:fill="FFFFFF"/>
            <w:noWrap/>
            <w:vAlign w:val="bottom"/>
            <w:hideMark/>
          </w:tcPr>
          <w:p w14:paraId="510E1DD4"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146.807</w:t>
            </w:r>
          </w:p>
        </w:tc>
        <w:tc>
          <w:tcPr>
            <w:tcW w:w="401" w:type="pct"/>
            <w:shd w:val="clear" w:color="auto" w:fill="FFFFFF"/>
            <w:noWrap/>
            <w:vAlign w:val="bottom"/>
            <w:hideMark/>
          </w:tcPr>
          <w:p w14:paraId="259B41A2"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19.948</w:t>
            </w:r>
          </w:p>
        </w:tc>
        <w:tc>
          <w:tcPr>
            <w:tcW w:w="391" w:type="pct"/>
            <w:shd w:val="clear" w:color="auto" w:fill="FFFFFF"/>
            <w:noWrap/>
            <w:vAlign w:val="bottom"/>
            <w:hideMark/>
          </w:tcPr>
          <w:p w14:paraId="5031A1B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511" w:type="pct"/>
            <w:shd w:val="clear" w:color="auto" w:fill="FFFFFF"/>
            <w:noWrap/>
            <w:vAlign w:val="bottom"/>
            <w:hideMark/>
          </w:tcPr>
          <w:p w14:paraId="1B16D13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21.266</w:t>
            </w:r>
          </w:p>
        </w:tc>
        <w:tc>
          <w:tcPr>
            <w:tcW w:w="401" w:type="pct"/>
            <w:shd w:val="clear" w:color="auto" w:fill="FFFFFF"/>
            <w:noWrap/>
            <w:vAlign w:val="bottom"/>
            <w:hideMark/>
          </w:tcPr>
          <w:p w14:paraId="5564E0A1"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50" w:type="pct"/>
            <w:shd w:val="clear" w:color="auto" w:fill="FFFFFF"/>
            <w:noWrap/>
            <w:vAlign w:val="bottom"/>
            <w:hideMark/>
          </w:tcPr>
          <w:p w14:paraId="1A0A5C6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65" w:type="pct"/>
            <w:shd w:val="clear" w:color="auto" w:fill="FFFFFF"/>
            <w:noWrap/>
            <w:vAlign w:val="bottom"/>
            <w:hideMark/>
          </w:tcPr>
          <w:p w14:paraId="1A889692"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248.960</w:t>
            </w:r>
          </w:p>
        </w:tc>
      </w:tr>
      <w:tr w:rsidR="003B5193" w:rsidRPr="00AE4E8D" w14:paraId="14128D82" w14:textId="77777777" w:rsidTr="00003798">
        <w:trPr>
          <w:cantSplit/>
          <w:trHeight w:val="222"/>
          <w:jc w:val="center"/>
        </w:trPr>
        <w:tc>
          <w:tcPr>
            <w:tcW w:w="1382" w:type="pct"/>
            <w:shd w:val="clear" w:color="auto" w:fill="FFFFFF"/>
            <w:noWrap/>
            <w:vAlign w:val="bottom"/>
            <w:hideMark/>
          </w:tcPr>
          <w:p w14:paraId="2E8764EB"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Irrecuperable</w:t>
            </w:r>
            <w:r w:rsidRPr="00AE4E8D">
              <w:rPr>
                <w:rFonts w:ascii="Times New Roman" w:hAnsi="Times New Roman"/>
                <w:sz w:val="16"/>
                <w:lang w:val="es-ES"/>
              </w:rPr>
              <w:tab/>
            </w:r>
          </w:p>
        </w:tc>
        <w:tc>
          <w:tcPr>
            <w:tcW w:w="397" w:type="pct"/>
            <w:shd w:val="clear" w:color="auto" w:fill="FFFFFF"/>
            <w:noWrap/>
            <w:vAlign w:val="bottom"/>
            <w:hideMark/>
          </w:tcPr>
          <w:p w14:paraId="1B37679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9.726</w:t>
            </w:r>
          </w:p>
        </w:tc>
        <w:tc>
          <w:tcPr>
            <w:tcW w:w="401" w:type="pct"/>
            <w:shd w:val="clear" w:color="auto" w:fill="FFFFFF"/>
            <w:noWrap/>
            <w:vAlign w:val="bottom"/>
            <w:hideMark/>
          </w:tcPr>
          <w:p w14:paraId="378E962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352</w:t>
            </w:r>
          </w:p>
        </w:tc>
        <w:tc>
          <w:tcPr>
            <w:tcW w:w="401" w:type="pct"/>
            <w:shd w:val="clear" w:color="auto" w:fill="FFFFFF"/>
            <w:noWrap/>
            <w:vAlign w:val="bottom"/>
            <w:hideMark/>
          </w:tcPr>
          <w:p w14:paraId="74231EC5"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312</w:t>
            </w:r>
          </w:p>
        </w:tc>
        <w:tc>
          <w:tcPr>
            <w:tcW w:w="401" w:type="pct"/>
            <w:shd w:val="clear" w:color="auto" w:fill="FFFFFF"/>
            <w:noWrap/>
            <w:vAlign w:val="bottom"/>
            <w:hideMark/>
          </w:tcPr>
          <w:p w14:paraId="02606C26"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2.111</w:t>
            </w:r>
          </w:p>
        </w:tc>
        <w:tc>
          <w:tcPr>
            <w:tcW w:w="391" w:type="pct"/>
            <w:shd w:val="clear" w:color="auto" w:fill="FFFFFF"/>
            <w:noWrap/>
            <w:vAlign w:val="bottom"/>
            <w:hideMark/>
          </w:tcPr>
          <w:p w14:paraId="4821959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470</w:t>
            </w:r>
          </w:p>
        </w:tc>
        <w:tc>
          <w:tcPr>
            <w:tcW w:w="511" w:type="pct"/>
            <w:shd w:val="clear" w:color="auto" w:fill="FFFFFF"/>
            <w:noWrap/>
            <w:vAlign w:val="bottom"/>
            <w:hideMark/>
          </w:tcPr>
          <w:p w14:paraId="4B74AD01"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17.897</w:t>
            </w:r>
          </w:p>
        </w:tc>
        <w:tc>
          <w:tcPr>
            <w:tcW w:w="401" w:type="pct"/>
            <w:shd w:val="clear" w:color="auto" w:fill="FFFFFF"/>
            <w:noWrap/>
            <w:vAlign w:val="bottom"/>
            <w:hideMark/>
          </w:tcPr>
          <w:p w14:paraId="561DE67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50" w:type="pct"/>
            <w:shd w:val="clear" w:color="auto" w:fill="FFFFFF"/>
            <w:noWrap/>
            <w:vAlign w:val="bottom"/>
            <w:hideMark/>
          </w:tcPr>
          <w:p w14:paraId="541F3AA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65" w:type="pct"/>
            <w:shd w:val="clear" w:color="auto" w:fill="FFFFFF"/>
            <w:noWrap/>
            <w:vAlign w:val="bottom"/>
            <w:hideMark/>
          </w:tcPr>
          <w:p w14:paraId="4D1AB159"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30.868</w:t>
            </w:r>
          </w:p>
        </w:tc>
      </w:tr>
      <w:tr w:rsidR="003B5193" w:rsidRPr="00AE4E8D" w14:paraId="4985053E" w14:textId="77777777" w:rsidTr="00003798">
        <w:trPr>
          <w:cantSplit/>
          <w:trHeight w:val="245"/>
          <w:jc w:val="center"/>
        </w:trPr>
        <w:tc>
          <w:tcPr>
            <w:tcW w:w="1382" w:type="pct"/>
            <w:shd w:val="clear" w:color="auto" w:fill="FFFFFF"/>
            <w:noWrap/>
            <w:vAlign w:val="bottom"/>
            <w:hideMark/>
          </w:tcPr>
          <w:p w14:paraId="26CB7677"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Irrecuperable por disposición técnica</w:t>
            </w:r>
            <w:r w:rsidRPr="00AE4E8D">
              <w:rPr>
                <w:rFonts w:ascii="Times New Roman" w:hAnsi="Times New Roman"/>
                <w:sz w:val="16"/>
                <w:lang w:val="es-ES"/>
              </w:rPr>
              <w:tab/>
            </w:r>
          </w:p>
        </w:tc>
        <w:tc>
          <w:tcPr>
            <w:tcW w:w="397" w:type="pct"/>
            <w:shd w:val="clear" w:color="auto" w:fill="FFFFFF"/>
            <w:noWrap/>
            <w:vAlign w:val="bottom"/>
            <w:hideMark/>
          </w:tcPr>
          <w:p w14:paraId="668C7C95" w14:textId="77777777" w:rsidR="00E90931" w:rsidRPr="00AE4E8D" w:rsidRDefault="00E90931" w:rsidP="00003798">
            <w:pPr>
              <w:keepNext/>
              <w:keepLines/>
              <w:pBdr>
                <w:bottom w:val="single" w:sz="4" w:space="1" w:color="auto"/>
              </w:pBdr>
              <w:jc w:val="right"/>
              <w:rPr>
                <w:rFonts w:ascii="Times New Roman" w:hAnsi="Times New Roman"/>
                <w:sz w:val="16"/>
                <w:lang w:val="es-ES"/>
              </w:rPr>
            </w:pPr>
            <w:r w:rsidRPr="00AE4E8D">
              <w:rPr>
                <w:rFonts w:ascii="Times New Roman" w:hAnsi="Times New Roman"/>
                <w:sz w:val="16"/>
                <w:lang w:val="es-ES"/>
              </w:rPr>
              <w:t>164</w:t>
            </w:r>
          </w:p>
        </w:tc>
        <w:tc>
          <w:tcPr>
            <w:tcW w:w="401" w:type="pct"/>
            <w:shd w:val="clear" w:color="auto" w:fill="FFFFFF"/>
            <w:noWrap/>
            <w:vAlign w:val="bottom"/>
            <w:hideMark/>
          </w:tcPr>
          <w:p w14:paraId="369459AA" w14:textId="77777777" w:rsidR="00E90931" w:rsidRPr="00AE4E8D" w:rsidRDefault="00E90931" w:rsidP="00003798">
            <w:pPr>
              <w:keepNext/>
              <w:keepLines/>
              <w:pBdr>
                <w:bottom w:val="single" w:sz="4" w:space="1" w:color="auto"/>
              </w:pBdr>
              <w:jc w:val="right"/>
              <w:rPr>
                <w:rFonts w:ascii="Times New Roman" w:hAnsi="Times New Roman"/>
                <w:sz w:val="16"/>
                <w:lang w:val="es-ES"/>
              </w:rPr>
            </w:pPr>
            <w:r w:rsidRPr="00AE4E8D">
              <w:rPr>
                <w:rFonts w:ascii="Times New Roman" w:hAnsi="Times New Roman"/>
                <w:sz w:val="16"/>
                <w:lang w:val="es-ES"/>
              </w:rPr>
              <w:t>47</w:t>
            </w:r>
          </w:p>
        </w:tc>
        <w:tc>
          <w:tcPr>
            <w:tcW w:w="401" w:type="pct"/>
            <w:shd w:val="clear" w:color="auto" w:fill="FFFFFF"/>
            <w:noWrap/>
            <w:vAlign w:val="bottom"/>
            <w:hideMark/>
          </w:tcPr>
          <w:p w14:paraId="74409A0F" w14:textId="77777777" w:rsidR="00E90931" w:rsidRPr="00AE4E8D" w:rsidRDefault="00E90931" w:rsidP="00003798">
            <w:pPr>
              <w:keepNext/>
              <w:keepLines/>
              <w:pBdr>
                <w:bottom w:val="single" w:sz="4" w:space="1" w:color="auto"/>
              </w:pBdr>
              <w:jc w:val="right"/>
              <w:rPr>
                <w:rFonts w:ascii="Times New Roman" w:hAnsi="Times New Roman"/>
                <w:sz w:val="16"/>
                <w:lang w:val="es-ES"/>
              </w:rPr>
            </w:pPr>
            <w:r w:rsidRPr="00AE4E8D">
              <w:rPr>
                <w:rFonts w:ascii="Times New Roman" w:hAnsi="Times New Roman"/>
                <w:sz w:val="16"/>
                <w:lang w:val="es-ES"/>
              </w:rPr>
              <w:t>6</w:t>
            </w:r>
          </w:p>
        </w:tc>
        <w:tc>
          <w:tcPr>
            <w:tcW w:w="401" w:type="pct"/>
            <w:shd w:val="clear" w:color="auto" w:fill="FFFFFF"/>
            <w:noWrap/>
            <w:vAlign w:val="bottom"/>
            <w:hideMark/>
          </w:tcPr>
          <w:p w14:paraId="6D632057" w14:textId="77777777" w:rsidR="00E90931" w:rsidRPr="00AE4E8D" w:rsidRDefault="00E90931" w:rsidP="00003798">
            <w:pPr>
              <w:keepNext/>
              <w:keepLines/>
              <w:pBdr>
                <w:bottom w:val="single" w:sz="4" w:space="1" w:color="auto"/>
              </w:pBdr>
              <w:jc w:val="right"/>
              <w:rPr>
                <w:rFonts w:ascii="Times New Roman" w:hAnsi="Times New Roman"/>
                <w:sz w:val="16"/>
                <w:lang w:val="es-ES"/>
              </w:rPr>
            </w:pPr>
            <w:r w:rsidRPr="00AE4E8D">
              <w:rPr>
                <w:rFonts w:ascii="Times New Roman" w:hAnsi="Times New Roman"/>
                <w:sz w:val="16"/>
                <w:lang w:val="es-ES"/>
              </w:rPr>
              <w:t>-</w:t>
            </w:r>
          </w:p>
        </w:tc>
        <w:tc>
          <w:tcPr>
            <w:tcW w:w="391" w:type="pct"/>
            <w:shd w:val="clear" w:color="auto" w:fill="FFFFFF"/>
            <w:noWrap/>
            <w:vAlign w:val="bottom"/>
            <w:hideMark/>
          </w:tcPr>
          <w:p w14:paraId="0EDCA338" w14:textId="77777777" w:rsidR="00E90931" w:rsidRPr="00AE4E8D" w:rsidRDefault="00E90931" w:rsidP="00003798">
            <w:pPr>
              <w:keepNext/>
              <w:keepLines/>
              <w:pBdr>
                <w:bottom w:val="single" w:sz="4" w:space="1" w:color="auto"/>
              </w:pBdr>
              <w:jc w:val="right"/>
              <w:rPr>
                <w:rFonts w:ascii="Times New Roman" w:hAnsi="Times New Roman"/>
                <w:sz w:val="16"/>
                <w:lang w:val="es-ES"/>
              </w:rPr>
            </w:pPr>
            <w:r w:rsidRPr="00AE4E8D">
              <w:rPr>
                <w:rFonts w:ascii="Times New Roman" w:hAnsi="Times New Roman"/>
                <w:sz w:val="16"/>
                <w:lang w:val="es-ES"/>
              </w:rPr>
              <w:t>-</w:t>
            </w:r>
          </w:p>
        </w:tc>
        <w:tc>
          <w:tcPr>
            <w:tcW w:w="511" w:type="pct"/>
            <w:shd w:val="clear" w:color="auto" w:fill="FFFFFF"/>
            <w:noWrap/>
            <w:vAlign w:val="bottom"/>
            <w:hideMark/>
          </w:tcPr>
          <w:p w14:paraId="416E4754" w14:textId="77777777" w:rsidR="00E90931" w:rsidRPr="00AE4E8D" w:rsidRDefault="00E90931" w:rsidP="00003798">
            <w:pPr>
              <w:keepNext/>
              <w:keepLines/>
              <w:pBdr>
                <w:bottom w:val="single" w:sz="4" w:space="1" w:color="auto"/>
              </w:pBdr>
              <w:jc w:val="right"/>
              <w:rPr>
                <w:rFonts w:ascii="Times New Roman" w:hAnsi="Times New Roman"/>
                <w:sz w:val="16"/>
                <w:lang w:val="es-ES"/>
              </w:rPr>
            </w:pPr>
            <w:r w:rsidRPr="00AE4E8D">
              <w:rPr>
                <w:rFonts w:ascii="Times New Roman" w:hAnsi="Times New Roman"/>
                <w:sz w:val="16"/>
                <w:lang w:val="es-ES"/>
              </w:rPr>
              <w:t>-</w:t>
            </w:r>
          </w:p>
        </w:tc>
        <w:tc>
          <w:tcPr>
            <w:tcW w:w="401" w:type="pct"/>
            <w:shd w:val="clear" w:color="auto" w:fill="FFFFFF"/>
            <w:noWrap/>
            <w:vAlign w:val="bottom"/>
            <w:hideMark/>
          </w:tcPr>
          <w:p w14:paraId="3EB32CE5" w14:textId="77777777" w:rsidR="00E90931" w:rsidRPr="00AE4E8D" w:rsidRDefault="00E90931" w:rsidP="00003798">
            <w:pPr>
              <w:keepNext/>
              <w:keepLines/>
              <w:pBdr>
                <w:bottom w:val="single" w:sz="4" w:space="1" w:color="auto"/>
              </w:pBdr>
              <w:jc w:val="right"/>
              <w:rPr>
                <w:rFonts w:ascii="Times New Roman" w:hAnsi="Times New Roman"/>
                <w:sz w:val="16"/>
                <w:lang w:val="es-ES"/>
              </w:rPr>
            </w:pPr>
            <w:r w:rsidRPr="00AE4E8D">
              <w:rPr>
                <w:rFonts w:ascii="Times New Roman" w:hAnsi="Times New Roman"/>
                <w:sz w:val="16"/>
                <w:lang w:val="es-ES"/>
              </w:rPr>
              <w:t>-</w:t>
            </w:r>
          </w:p>
        </w:tc>
        <w:tc>
          <w:tcPr>
            <w:tcW w:w="350" w:type="pct"/>
            <w:shd w:val="clear" w:color="auto" w:fill="FFFFFF"/>
            <w:noWrap/>
            <w:vAlign w:val="bottom"/>
            <w:hideMark/>
          </w:tcPr>
          <w:p w14:paraId="7ACE1CB0" w14:textId="77777777" w:rsidR="00E90931" w:rsidRPr="00AE4E8D" w:rsidRDefault="00E90931" w:rsidP="00003798">
            <w:pPr>
              <w:keepNext/>
              <w:keepLines/>
              <w:pBdr>
                <w:bottom w:val="single" w:sz="4" w:space="1" w:color="auto"/>
              </w:pBdr>
              <w:jc w:val="right"/>
              <w:rPr>
                <w:rFonts w:ascii="Times New Roman" w:hAnsi="Times New Roman"/>
                <w:sz w:val="16"/>
                <w:lang w:val="es-ES"/>
              </w:rPr>
            </w:pPr>
            <w:r w:rsidRPr="00AE4E8D">
              <w:rPr>
                <w:rFonts w:ascii="Times New Roman" w:hAnsi="Times New Roman"/>
                <w:sz w:val="16"/>
                <w:lang w:val="es-ES"/>
              </w:rPr>
              <w:t>-</w:t>
            </w:r>
          </w:p>
        </w:tc>
        <w:tc>
          <w:tcPr>
            <w:tcW w:w="365" w:type="pct"/>
            <w:shd w:val="clear" w:color="auto" w:fill="FFFFFF"/>
            <w:noWrap/>
            <w:vAlign w:val="bottom"/>
            <w:hideMark/>
          </w:tcPr>
          <w:p w14:paraId="502F816D" w14:textId="77777777" w:rsidR="00E90931" w:rsidRPr="00AE4E8D" w:rsidRDefault="00E90931" w:rsidP="00003798">
            <w:pPr>
              <w:keepNext/>
              <w:keepLines/>
              <w:pBdr>
                <w:bottom w:val="single" w:sz="4" w:space="1" w:color="auto"/>
              </w:pBdr>
              <w:jc w:val="right"/>
              <w:rPr>
                <w:rFonts w:ascii="Times New Roman" w:hAnsi="Times New Roman"/>
                <w:sz w:val="16"/>
                <w:lang w:val="es-ES"/>
              </w:rPr>
            </w:pPr>
            <w:r w:rsidRPr="00AE4E8D">
              <w:rPr>
                <w:rFonts w:ascii="Times New Roman" w:hAnsi="Times New Roman"/>
                <w:sz w:val="16"/>
                <w:lang w:val="es-ES"/>
              </w:rPr>
              <w:t>217</w:t>
            </w:r>
          </w:p>
        </w:tc>
      </w:tr>
      <w:tr w:rsidR="003B5193" w:rsidRPr="00AE4E8D" w14:paraId="239070BA" w14:textId="77777777" w:rsidTr="00003798">
        <w:trPr>
          <w:cantSplit/>
          <w:trHeight w:val="293"/>
          <w:jc w:val="center"/>
        </w:trPr>
        <w:tc>
          <w:tcPr>
            <w:tcW w:w="1382" w:type="pct"/>
            <w:shd w:val="clear" w:color="auto" w:fill="FFFFFF"/>
            <w:noWrap/>
            <w:vAlign w:val="bottom"/>
            <w:hideMark/>
          </w:tcPr>
          <w:p w14:paraId="0F2702C7" w14:textId="77777777" w:rsidR="00E90931" w:rsidRPr="00AE4E8D" w:rsidRDefault="00E90931" w:rsidP="00003798">
            <w:pPr>
              <w:keepNext/>
              <w:keepLines/>
              <w:tabs>
                <w:tab w:val="right" w:leader="dot" w:pos="3369"/>
              </w:tabs>
              <w:ind w:left="144" w:right="173"/>
              <w:rPr>
                <w:rFonts w:ascii="Times New Roman" w:hAnsi="Times New Roman"/>
                <w:sz w:val="16"/>
                <w:lang w:val="es-ES"/>
              </w:rPr>
            </w:pPr>
            <w:r w:rsidRPr="00AE4E8D">
              <w:rPr>
                <w:rFonts w:ascii="Times New Roman" w:hAnsi="Times New Roman"/>
                <w:sz w:val="16"/>
                <w:lang w:val="es-ES"/>
              </w:rPr>
              <w:t>Total</w:t>
            </w:r>
            <w:r w:rsidRPr="00AE4E8D">
              <w:rPr>
                <w:rFonts w:ascii="Times New Roman" w:hAnsi="Times New Roman"/>
                <w:sz w:val="16"/>
                <w:lang w:val="es-ES"/>
              </w:rPr>
              <w:tab/>
            </w:r>
          </w:p>
        </w:tc>
        <w:tc>
          <w:tcPr>
            <w:tcW w:w="397" w:type="pct"/>
            <w:shd w:val="clear" w:color="auto" w:fill="FFFFFF"/>
            <w:noWrap/>
            <w:vAlign w:val="bottom"/>
            <w:hideMark/>
          </w:tcPr>
          <w:p w14:paraId="66A24B4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1.722.292</w:t>
            </w:r>
          </w:p>
        </w:tc>
        <w:tc>
          <w:tcPr>
            <w:tcW w:w="401" w:type="pct"/>
            <w:shd w:val="clear" w:color="auto" w:fill="FFFFFF"/>
            <w:noWrap/>
            <w:vAlign w:val="bottom"/>
            <w:hideMark/>
          </w:tcPr>
          <w:p w14:paraId="7B2FE652"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2.283.164</w:t>
            </w:r>
          </w:p>
        </w:tc>
        <w:tc>
          <w:tcPr>
            <w:tcW w:w="401" w:type="pct"/>
            <w:shd w:val="clear" w:color="auto" w:fill="FFFFFF"/>
            <w:noWrap/>
            <w:vAlign w:val="bottom"/>
            <w:hideMark/>
          </w:tcPr>
          <w:p w14:paraId="77A3C2B5"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7.156.906</w:t>
            </w:r>
          </w:p>
        </w:tc>
        <w:tc>
          <w:tcPr>
            <w:tcW w:w="401" w:type="pct"/>
            <w:shd w:val="clear" w:color="auto" w:fill="FFFFFF"/>
            <w:noWrap/>
            <w:vAlign w:val="bottom"/>
            <w:hideMark/>
          </w:tcPr>
          <w:p w14:paraId="6071A1BF"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155.875</w:t>
            </w:r>
          </w:p>
        </w:tc>
        <w:tc>
          <w:tcPr>
            <w:tcW w:w="391" w:type="pct"/>
            <w:shd w:val="clear" w:color="auto" w:fill="FFFFFF"/>
            <w:noWrap/>
            <w:vAlign w:val="bottom"/>
            <w:hideMark/>
          </w:tcPr>
          <w:p w14:paraId="0257104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184.497</w:t>
            </w:r>
          </w:p>
        </w:tc>
        <w:tc>
          <w:tcPr>
            <w:tcW w:w="511" w:type="pct"/>
            <w:shd w:val="clear" w:color="auto" w:fill="FFFFFF"/>
            <w:noWrap/>
            <w:vAlign w:val="bottom"/>
            <w:hideMark/>
          </w:tcPr>
          <w:p w14:paraId="611933B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5.023.668</w:t>
            </w:r>
          </w:p>
        </w:tc>
        <w:tc>
          <w:tcPr>
            <w:tcW w:w="401" w:type="pct"/>
            <w:shd w:val="clear" w:color="auto" w:fill="FFFFFF"/>
            <w:noWrap/>
            <w:vAlign w:val="bottom"/>
            <w:hideMark/>
          </w:tcPr>
          <w:p w14:paraId="1EE2A45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1.314.797</w:t>
            </w:r>
          </w:p>
        </w:tc>
        <w:tc>
          <w:tcPr>
            <w:tcW w:w="350" w:type="pct"/>
            <w:shd w:val="clear" w:color="auto" w:fill="FFFFFF"/>
            <w:noWrap/>
            <w:vAlign w:val="bottom"/>
            <w:hideMark/>
          </w:tcPr>
          <w:p w14:paraId="77C8784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112.131</w:t>
            </w:r>
          </w:p>
        </w:tc>
        <w:tc>
          <w:tcPr>
            <w:tcW w:w="365" w:type="pct"/>
            <w:shd w:val="clear" w:color="auto" w:fill="FFFFFF"/>
            <w:noWrap/>
            <w:vAlign w:val="bottom"/>
            <w:hideMark/>
          </w:tcPr>
          <w:p w14:paraId="60BBE6C1"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17.953.330</w:t>
            </w:r>
          </w:p>
        </w:tc>
      </w:tr>
      <w:tr w:rsidR="003B5193" w:rsidRPr="00AE4E8D" w14:paraId="50B1B13F" w14:textId="77777777" w:rsidTr="00003798">
        <w:trPr>
          <w:cantSplit/>
          <w:trHeight w:val="222"/>
          <w:jc w:val="center"/>
        </w:trPr>
        <w:tc>
          <w:tcPr>
            <w:tcW w:w="1382" w:type="pct"/>
            <w:shd w:val="clear" w:color="auto" w:fill="FFFFFF"/>
            <w:noWrap/>
            <w:vAlign w:val="bottom"/>
            <w:hideMark/>
          </w:tcPr>
          <w:p w14:paraId="774157A6"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 </w:t>
            </w:r>
          </w:p>
        </w:tc>
        <w:tc>
          <w:tcPr>
            <w:tcW w:w="397" w:type="pct"/>
            <w:shd w:val="clear" w:color="auto" w:fill="FFFFFF"/>
            <w:noWrap/>
            <w:vAlign w:val="bottom"/>
            <w:hideMark/>
          </w:tcPr>
          <w:p w14:paraId="20CC7178"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 </w:t>
            </w:r>
          </w:p>
        </w:tc>
        <w:tc>
          <w:tcPr>
            <w:tcW w:w="401" w:type="pct"/>
            <w:shd w:val="clear" w:color="auto" w:fill="FFFFFF"/>
            <w:noWrap/>
            <w:vAlign w:val="bottom"/>
            <w:hideMark/>
          </w:tcPr>
          <w:p w14:paraId="5E29CD4D"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 </w:t>
            </w:r>
          </w:p>
        </w:tc>
        <w:tc>
          <w:tcPr>
            <w:tcW w:w="401" w:type="pct"/>
            <w:shd w:val="clear" w:color="auto" w:fill="FFFFFF"/>
            <w:noWrap/>
            <w:vAlign w:val="bottom"/>
            <w:hideMark/>
          </w:tcPr>
          <w:p w14:paraId="04B5F278"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 </w:t>
            </w:r>
          </w:p>
        </w:tc>
        <w:tc>
          <w:tcPr>
            <w:tcW w:w="401" w:type="pct"/>
            <w:shd w:val="clear" w:color="auto" w:fill="FFFFFF"/>
            <w:noWrap/>
            <w:vAlign w:val="bottom"/>
            <w:hideMark/>
          </w:tcPr>
          <w:p w14:paraId="5323A3D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 </w:t>
            </w:r>
          </w:p>
        </w:tc>
        <w:tc>
          <w:tcPr>
            <w:tcW w:w="391" w:type="pct"/>
            <w:shd w:val="clear" w:color="auto" w:fill="FFFFFF"/>
            <w:noWrap/>
            <w:vAlign w:val="bottom"/>
            <w:hideMark/>
          </w:tcPr>
          <w:p w14:paraId="1952069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 </w:t>
            </w:r>
          </w:p>
        </w:tc>
        <w:tc>
          <w:tcPr>
            <w:tcW w:w="511" w:type="pct"/>
            <w:shd w:val="clear" w:color="auto" w:fill="FFFFFF"/>
            <w:noWrap/>
            <w:vAlign w:val="bottom"/>
            <w:hideMark/>
          </w:tcPr>
          <w:p w14:paraId="7AD39642"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 </w:t>
            </w:r>
          </w:p>
        </w:tc>
        <w:tc>
          <w:tcPr>
            <w:tcW w:w="401" w:type="pct"/>
            <w:shd w:val="clear" w:color="auto" w:fill="FFFFFF"/>
            <w:noWrap/>
            <w:vAlign w:val="bottom"/>
            <w:hideMark/>
          </w:tcPr>
          <w:p w14:paraId="2238662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 </w:t>
            </w:r>
          </w:p>
        </w:tc>
        <w:tc>
          <w:tcPr>
            <w:tcW w:w="350" w:type="pct"/>
            <w:shd w:val="clear" w:color="auto" w:fill="FFFFFF"/>
            <w:noWrap/>
            <w:vAlign w:val="bottom"/>
            <w:hideMark/>
          </w:tcPr>
          <w:p w14:paraId="68B3A98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 </w:t>
            </w:r>
          </w:p>
        </w:tc>
        <w:tc>
          <w:tcPr>
            <w:tcW w:w="365" w:type="pct"/>
            <w:shd w:val="clear" w:color="auto" w:fill="FFFFFF"/>
            <w:noWrap/>
            <w:vAlign w:val="bottom"/>
            <w:hideMark/>
          </w:tcPr>
          <w:p w14:paraId="4F7B8532"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 </w:t>
            </w:r>
          </w:p>
        </w:tc>
      </w:tr>
      <w:tr w:rsidR="003B5193" w:rsidRPr="00AE4E8D" w14:paraId="0921546C" w14:textId="77777777" w:rsidTr="00003798">
        <w:trPr>
          <w:cantSplit/>
          <w:trHeight w:val="200"/>
          <w:jc w:val="center"/>
        </w:trPr>
        <w:tc>
          <w:tcPr>
            <w:tcW w:w="1382" w:type="pct"/>
            <w:shd w:val="clear" w:color="auto" w:fill="FFFFFF"/>
            <w:noWrap/>
            <w:vAlign w:val="bottom"/>
            <w:hideMark/>
          </w:tcPr>
          <w:p w14:paraId="4BE98ECF"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Préstamos morosos (1)</w:t>
            </w:r>
            <w:r w:rsidRPr="00AE4E8D">
              <w:rPr>
                <w:rFonts w:ascii="Times New Roman" w:hAnsi="Times New Roman"/>
                <w:sz w:val="16"/>
                <w:lang w:val="es-ES"/>
              </w:rPr>
              <w:tab/>
            </w:r>
          </w:p>
        </w:tc>
        <w:tc>
          <w:tcPr>
            <w:tcW w:w="397" w:type="pct"/>
            <w:shd w:val="clear" w:color="auto" w:fill="FFFFFF"/>
            <w:noWrap/>
            <w:vAlign w:val="bottom"/>
            <w:hideMark/>
          </w:tcPr>
          <w:p w14:paraId="5A187BA1"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24.051</w:t>
            </w:r>
          </w:p>
        </w:tc>
        <w:tc>
          <w:tcPr>
            <w:tcW w:w="401" w:type="pct"/>
            <w:shd w:val="clear" w:color="auto" w:fill="FFFFFF"/>
            <w:noWrap/>
            <w:vAlign w:val="bottom"/>
            <w:hideMark/>
          </w:tcPr>
          <w:p w14:paraId="784BC6E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89.044</w:t>
            </w:r>
          </w:p>
        </w:tc>
        <w:tc>
          <w:tcPr>
            <w:tcW w:w="401" w:type="pct"/>
            <w:shd w:val="clear" w:color="auto" w:fill="FFFFFF"/>
            <w:noWrap/>
            <w:vAlign w:val="bottom"/>
            <w:hideMark/>
          </w:tcPr>
          <w:p w14:paraId="0E1B3A1B"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229.462</w:t>
            </w:r>
          </w:p>
        </w:tc>
        <w:tc>
          <w:tcPr>
            <w:tcW w:w="401" w:type="pct"/>
            <w:shd w:val="clear" w:color="auto" w:fill="FFFFFF"/>
            <w:noWrap/>
            <w:vAlign w:val="bottom"/>
            <w:hideMark/>
          </w:tcPr>
          <w:p w14:paraId="4590E6B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43.441</w:t>
            </w:r>
          </w:p>
        </w:tc>
        <w:tc>
          <w:tcPr>
            <w:tcW w:w="391" w:type="pct"/>
            <w:shd w:val="clear" w:color="auto" w:fill="FFFFFF"/>
            <w:noWrap/>
            <w:vAlign w:val="bottom"/>
            <w:hideMark/>
          </w:tcPr>
          <w:p w14:paraId="62EFCA34"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470</w:t>
            </w:r>
          </w:p>
        </w:tc>
        <w:tc>
          <w:tcPr>
            <w:tcW w:w="511" w:type="pct"/>
            <w:shd w:val="clear" w:color="auto" w:fill="FFFFFF"/>
            <w:noWrap/>
            <w:vAlign w:val="bottom"/>
            <w:hideMark/>
          </w:tcPr>
          <w:p w14:paraId="242D10E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39.604</w:t>
            </w:r>
          </w:p>
        </w:tc>
        <w:tc>
          <w:tcPr>
            <w:tcW w:w="401" w:type="pct"/>
            <w:shd w:val="clear" w:color="auto" w:fill="FFFFFF"/>
            <w:noWrap/>
            <w:vAlign w:val="bottom"/>
            <w:hideMark/>
          </w:tcPr>
          <w:p w14:paraId="6FEEF404"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50" w:type="pct"/>
            <w:shd w:val="clear" w:color="auto" w:fill="FFFFFF"/>
            <w:noWrap/>
            <w:vAlign w:val="bottom"/>
            <w:hideMark/>
          </w:tcPr>
          <w:p w14:paraId="3D1425D4"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65" w:type="pct"/>
            <w:shd w:val="clear" w:color="auto" w:fill="FFFFFF"/>
            <w:noWrap/>
            <w:vAlign w:val="bottom"/>
            <w:hideMark/>
          </w:tcPr>
          <w:p w14:paraId="48FC10E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426.072</w:t>
            </w:r>
          </w:p>
        </w:tc>
      </w:tr>
      <w:tr w:rsidR="003B5193" w:rsidRPr="00AE4E8D" w14:paraId="344A6702" w14:textId="77777777" w:rsidTr="00003798">
        <w:trPr>
          <w:cantSplit/>
          <w:trHeight w:val="222"/>
          <w:jc w:val="center"/>
        </w:trPr>
        <w:tc>
          <w:tcPr>
            <w:tcW w:w="1382" w:type="pct"/>
            <w:shd w:val="clear" w:color="auto" w:fill="FFFFFF"/>
            <w:noWrap/>
            <w:vAlign w:val="bottom"/>
            <w:hideMark/>
          </w:tcPr>
          <w:p w14:paraId="5EB0794A"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Préstamos morosos / total préstamos</w:t>
            </w:r>
            <w:r w:rsidRPr="00AE4E8D">
              <w:rPr>
                <w:rFonts w:ascii="Times New Roman" w:hAnsi="Times New Roman"/>
                <w:sz w:val="16"/>
                <w:lang w:val="es-ES"/>
              </w:rPr>
              <w:tab/>
            </w:r>
          </w:p>
        </w:tc>
        <w:tc>
          <w:tcPr>
            <w:tcW w:w="397" w:type="pct"/>
            <w:shd w:val="clear" w:color="auto" w:fill="FFFFFF"/>
            <w:noWrap/>
            <w:vAlign w:val="bottom"/>
            <w:hideMark/>
          </w:tcPr>
          <w:p w14:paraId="332A05B8"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1,40%</w:t>
            </w:r>
          </w:p>
        </w:tc>
        <w:tc>
          <w:tcPr>
            <w:tcW w:w="401" w:type="pct"/>
            <w:shd w:val="clear" w:color="auto" w:fill="FFFFFF"/>
            <w:noWrap/>
            <w:vAlign w:val="bottom"/>
            <w:hideMark/>
          </w:tcPr>
          <w:p w14:paraId="6E2A24A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3,90%</w:t>
            </w:r>
          </w:p>
        </w:tc>
        <w:tc>
          <w:tcPr>
            <w:tcW w:w="401" w:type="pct"/>
            <w:shd w:val="clear" w:color="auto" w:fill="FFFFFF"/>
            <w:noWrap/>
            <w:vAlign w:val="bottom"/>
            <w:hideMark/>
          </w:tcPr>
          <w:p w14:paraId="61CD1F70"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3,21%</w:t>
            </w:r>
          </w:p>
        </w:tc>
        <w:tc>
          <w:tcPr>
            <w:tcW w:w="401" w:type="pct"/>
            <w:shd w:val="clear" w:color="auto" w:fill="FFFFFF"/>
            <w:noWrap/>
            <w:vAlign w:val="bottom"/>
            <w:hideMark/>
          </w:tcPr>
          <w:p w14:paraId="153C06C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27,87%</w:t>
            </w:r>
          </w:p>
        </w:tc>
        <w:tc>
          <w:tcPr>
            <w:tcW w:w="391" w:type="pct"/>
            <w:shd w:val="clear" w:color="auto" w:fill="FFFFFF"/>
            <w:noWrap/>
            <w:vAlign w:val="bottom"/>
            <w:hideMark/>
          </w:tcPr>
          <w:p w14:paraId="3ADD844B"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0,25%</w:t>
            </w:r>
          </w:p>
        </w:tc>
        <w:tc>
          <w:tcPr>
            <w:tcW w:w="511" w:type="pct"/>
            <w:shd w:val="clear" w:color="auto" w:fill="FFFFFF"/>
            <w:noWrap/>
            <w:vAlign w:val="bottom"/>
            <w:hideMark/>
          </w:tcPr>
          <w:p w14:paraId="5F291653"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0,79%</w:t>
            </w:r>
          </w:p>
        </w:tc>
        <w:tc>
          <w:tcPr>
            <w:tcW w:w="401" w:type="pct"/>
            <w:shd w:val="clear" w:color="auto" w:fill="FFFFFF"/>
            <w:noWrap/>
            <w:vAlign w:val="bottom"/>
            <w:hideMark/>
          </w:tcPr>
          <w:p w14:paraId="464A4944"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0,00%</w:t>
            </w:r>
          </w:p>
        </w:tc>
        <w:tc>
          <w:tcPr>
            <w:tcW w:w="350" w:type="pct"/>
            <w:shd w:val="clear" w:color="auto" w:fill="FFFFFF"/>
            <w:noWrap/>
            <w:vAlign w:val="bottom"/>
            <w:hideMark/>
          </w:tcPr>
          <w:p w14:paraId="2AE98AC0"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0,00%</w:t>
            </w:r>
          </w:p>
        </w:tc>
        <w:tc>
          <w:tcPr>
            <w:tcW w:w="365" w:type="pct"/>
            <w:shd w:val="clear" w:color="auto" w:fill="FFFFFF"/>
            <w:noWrap/>
            <w:vAlign w:val="bottom"/>
            <w:hideMark/>
          </w:tcPr>
          <w:p w14:paraId="5C7CA172"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2,37%</w:t>
            </w:r>
          </w:p>
        </w:tc>
      </w:tr>
      <w:tr w:rsidR="003B5193" w:rsidRPr="00AE4E8D" w14:paraId="341D7F8A" w14:textId="77777777" w:rsidTr="00003798">
        <w:trPr>
          <w:cantSplit/>
          <w:trHeight w:val="292"/>
          <w:jc w:val="center"/>
        </w:trPr>
        <w:tc>
          <w:tcPr>
            <w:tcW w:w="1382" w:type="pct"/>
            <w:shd w:val="clear" w:color="auto" w:fill="FFFFFF"/>
            <w:noWrap/>
            <w:vAlign w:val="bottom"/>
            <w:hideMark/>
          </w:tcPr>
          <w:p w14:paraId="255E9457"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Asignación de la previsi</w:t>
            </w:r>
            <w:r w:rsidR="00003798" w:rsidRPr="00AE4E8D">
              <w:rPr>
                <w:rFonts w:ascii="Times New Roman" w:hAnsi="Times New Roman"/>
                <w:sz w:val="16"/>
                <w:lang w:val="es-ES"/>
              </w:rPr>
              <w:t>ón por riesgo de incobrabilidad</w:t>
            </w:r>
          </w:p>
        </w:tc>
        <w:tc>
          <w:tcPr>
            <w:tcW w:w="397" w:type="pct"/>
            <w:shd w:val="clear" w:color="auto" w:fill="FFFFFF"/>
            <w:noWrap/>
            <w:vAlign w:val="bottom"/>
            <w:hideMark/>
          </w:tcPr>
          <w:p w14:paraId="386D9490" w14:textId="77777777" w:rsidR="00E90931" w:rsidRPr="00AE4E8D" w:rsidRDefault="00E90931" w:rsidP="00003798">
            <w:pPr>
              <w:keepNext/>
              <w:keepLines/>
              <w:jc w:val="right"/>
              <w:rPr>
                <w:rFonts w:ascii="Times New Roman" w:hAnsi="Times New Roman"/>
                <w:b/>
                <w:i/>
                <w:sz w:val="16"/>
                <w:lang w:val="es-ES"/>
              </w:rPr>
            </w:pPr>
            <w:r w:rsidRPr="00AE4E8D">
              <w:rPr>
                <w:rFonts w:ascii="Times New Roman" w:hAnsi="Times New Roman"/>
                <w:b/>
                <w:i/>
                <w:sz w:val="16"/>
                <w:lang w:val="es-ES"/>
              </w:rPr>
              <w:t>62.403</w:t>
            </w:r>
          </w:p>
        </w:tc>
        <w:tc>
          <w:tcPr>
            <w:tcW w:w="401" w:type="pct"/>
            <w:shd w:val="clear" w:color="auto" w:fill="FFFFFF"/>
            <w:noWrap/>
            <w:vAlign w:val="bottom"/>
            <w:hideMark/>
          </w:tcPr>
          <w:p w14:paraId="5EE932AD" w14:textId="77777777" w:rsidR="00E90931" w:rsidRPr="00AE4E8D" w:rsidRDefault="00E90931" w:rsidP="00003798">
            <w:pPr>
              <w:keepNext/>
              <w:keepLines/>
              <w:jc w:val="right"/>
              <w:rPr>
                <w:rFonts w:ascii="Times New Roman" w:hAnsi="Times New Roman"/>
                <w:b/>
                <w:i/>
                <w:sz w:val="16"/>
                <w:lang w:val="es-ES"/>
              </w:rPr>
            </w:pPr>
            <w:r w:rsidRPr="00AE4E8D">
              <w:rPr>
                <w:rFonts w:ascii="Times New Roman" w:hAnsi="Times New Roman"/>
                <w:b/>
                <w:i/>
                <w:sz w:val="16"/>
                <w:lang w:val="es-ES"/>
              </w:rPr>
              <w:t>60.759</w:t>
            </w:r>
          </w:p>
        </w:tc>
        <w:tc>
          <w:tcPr>
            <w:tcW w:w="401" w:type="pct"/>
            <w:shd w:val="clear" w:color="auto" w:fill="FFFFFF"/>
            <w:noWrap/>
            <w:vAlign w:val="bottom"/>
            <w:hideMark/>
          </w:tcPr>
          <w:p w14:paraId="3349F2F0" w14:textId="77777777" w:rsidR="00E90931" w:rsidRPr="00AE4E8D" w:rsidRDefault="00E90931" w:rsidP="00003798">
            <w:pPr>
              <w:keepNext/>
              <w:keepLines/>
              <w:jc w:val="right"/>
              <w:rPr>
                <w:rFonts w:ascii="Times New Roman" w:hAnsi="Times New Roman"/>
                <w:b/>
                <w:i/>
                <w:sz w:val="16"/>
                <w:lang w:val="es-ES"/>
              </w:rPr>
            </w:pPr>
            <w:r w:rsidRPr="00AE4E8D">
              <w:rPr>
                <w:rFonts w:ascii="Times New Roman" w:hAnsi="Times New Roman"/>
                <w:b/>
                <w:i/>
                <w:sz w:val="16"/>
                <w:lang w:val="es-ES"/>
              </w:rPr>
              <w:t>180.857</w:t>
            </w:r>
          </w:p>
        </w:tc>
        <w:tc>
          <w:tcPr>
            <w:tcW w:w="401" w:type="pct"/>
            <w:shd w:val="clear" w:color="auto" w:fill="FFFFFF"/>
            <w:noWrap/>
            <w:vAlign w:val="bottom"/>
            <w:hideMark/>
          </w:tcPr>
          <w:p w14:paraId="36F99DBB" w14:textId="77777777" w:rsidR="00E90931" w:rsidRPr="00AE4E8D" w:rsidRDefault="00E90931" w:rsidP="00003798">
            <w:pPr>
              <w:keepNext/>
              <w:keepLines/>
              <w:jc w:val="right"/>
              <w:rPr>
                <w:rFonts w:ascii="Times New Roman" w:hAnsi="Times New Roman"/>
                <w:b/>
                <w:i/>
                <w:sz w:val="16"/>
                <w:lang w:val="es-ES"/>
              </w:rPr>
            </w:pPr>
            <w:r w:rsidRPr="00AE4E8D">
              <w:rPr>
                <w:rFonts w:ascii="Times New Roman" w:hAnsi="Times New Roman"/>
                <w:b/>
                <w:i/>
                <w:sz w:val="16"/>
                <w:lang w:val="es-ES"/>
              </w:rPr>
              <w:t>19.438</w:t>
            </w:r>
          </w:p>
        </w:tc>
        <w:tc>
          <w:tcPr>
            <w:tcW w:w="391" w:type="pct"/>
            <w:shd w:val="clear" w:color="auto" w:fill="FFFFFF"/>
            <w:noWrap/>
            <w:vAlign w:val="bottom"/>
            <w:hideMark/>
          </w:tcPr>
          <w:p w14:paraId="2124DFC9" w14:textId="77777777" w:rsidR="00E90931" w:rsidRPr="00AE4E8D" w:rsidRDefault="00E90931" w:rsidP="00003798">
            <w:pPr>
              <w:keepNext/>
              <w:keepLines/>
              <w:jc w:val="right"/>
              <w:rPr>
                <w:rFonts w:ascii="Times New Roman" w:hAnsi="Times New Roman"/>
                <w:b/>
                <w:i/>
                <w:sz w:val="16"/>
                <w:lang w:val="es-ES"/>
              </w:rPr>
            </w:pPr>
            <w:r w:rsidRPr="00AE4E8D">
              <w:rPr>
                <w:rFonts w:ascii="Times New Roman" w:hAnsi="Times New Roman"/>
                <w:b/>
                <w:i/>
                <w:sz w:val="16"/>
                <w:lang w:val="es-ES"/>
              </w:rPr>
              <w:t>2.310</w:t>
            </w:r>
          </w:p>
        </w:tc>
        <w:tc>
          <w:tcPr>
            <w:tcW w:w="511" w:type="pct"/>
            <w:shd w:val="clear" w:color="auto" w:fill="FFFFFF"/>
            <w:noWrap/>
            <w:vAlign w:val="bottom"/>
            <w:hideMark/>
          </w:tcPr>
          <w:p w14:paraId="1EA9D51F" w14:textId="77777777" w:rsidR="00E90931" w:rsidRPr="00AE4E8D" w:rsidRDefault="00E90931" w:rsidP="00003798">
            <w:pPr>
              <w:keepNext/>
              <w:keepLines/>
              <w:jc w:val="right"/>
              <w:rPr>
                <w:rFonts w:ascii="Times New Roman" w:hAnsi="Times New Roman"/>
                <w:b/>
                <w:i/>
                <w:sz w:val="16"/>
                <w:lang w:val="es-ES"/>
              </w:rPr>
            </w:pPr>
            <w:r w:rsidRPr="00AE4E8D">
              <w:rPr>
                <w:rFonts w:ascii="Times New Roman" w:hAnsi="Times New Roman"/>
                <w:b/>
                <w:i/>
                <w:sz w:val="16"/>
                <w:lang w:val="es-ES"/>
              </w:rPr>
              <w:t>70.705</w:t>
            </w:r>
          </w:p>
        </w:tc>
        <w:tc>
          <w:tcPr>
            <w:tcW w:w="401" w:type="pct"/>
            <w:shd w:val="clear" w:color="auto" w:fill="FFFFFF"/>
            <w:noWrap/>
            <w:vAlign w:val="bottom"/>
            <w:hideMark/>
          </w:tcPr>
          <w:p w14:paraId="7461DB74" w14:textId="77777777" w:rsidR="00E90931" w:rsidRPr="00AE4E8D" w:rsidRDefault="00E90931" w:rsidP="00003798">
            <w:pPr>
              <w:keepNext/>
              <w:keepLines/>
              <w:jc w:val="right"/>
              <w:rPr>
                <w:rFonts w:ascii="Times New Roman" w:hAnsi="Times New Roman"/>
                <w:b/>
                <w:i/>
                <w:sz w:val="16"/>
                <w:lang w:val="es-ES"/>
              </w:rPr>
            </w:pPr>
            <w:r w:rsidRPr="00AE4E8D">
              <w:rPr>
                <w:rFonts w:ascii="Times New Roman" w:hAnsi="Times New Roman"/>
                <w:b/>
                <w:i/>
                <w:sz w:val="16"/>
                <w:lang w:val="es-ES"/>
              </w:rPr>
              <w:t>14.084</w:t>
            </w:r>
          </w:p>
        </w:tc>
        <w:tc>
          <w:tcPr>
            <w:tcW w:w="350" w:type="pct"/>
            <w:shd w:val="clear" w:color="auto" w:fill="FFFFFF"/>
            <w:noWrap/>
            <w:vAlign w:val="bottom"/>
            <w:hideMark/>
          </w:tcPr>
          <w:p w14:paraId="692CDF22" w14:textId="77777777" w:rsidR="00E90931" w:rsidRPr="00AE4E8D" w:rsidRDefault="00E90931" w:rsidP="00003798">
            <w:pPr>
              <w:keepNext/>
              <w:keepLines/>
              <w:jc w:val="right"/>
              <w:rPr>
                <w:rFonts w:ascii="Times New Roman" w:hAnsi="Times New Roman"/>
                <w:b/>
                <w:i/>
                <w:sz w:val="16"/>
                <w:lang w:val="es-ES"/>
              </w:rPr>
            </w:pPr>
            <w:r w:rsidRPr="00AE4E8D">
              <w:rPr>
                <w:rFonts w:ascii="Times New Roman" w:hAnsi="Times New Roman"/>
                <w:b/>
                <w:i/>
                <w:sz w:val="16"/>
                <w:lang w:val="es-ES"/>
              </w:rPr>
              <w:t>-</w:t>
            </w:r>
          </w:p>
        </w:tc>
        <w:tc>
          <w:tcPr>
            <w:tcW w:w="365" w:type="pct"/>
            <w:shd w:val="clear" w:color="auto" w:fill="FFFFFF"/>
            <w:noWrap/>
            <w:vAlign w:val="bottom"/>
            <w:hideMark/>
          </w:tcPr>
          <w:p w14:paraId="79790E10" w14:textId="77777777" w:rsidR="00E90931" w:rsidRPr="00AE4E8D" w:rsidRDefault="00E90931" w:rsidP="00003798">
            <w:pPr>
              <w:keepNext/>
              <w:keepLines/>
              <w:jc w:val="right"/>
              <w:rPr>
                <w:rFonts w:ascii="Times New Roman" w:hAnsi="Times New Roman"/>
                <w:b/>
                <w:i/>
                <w:sz w:val="16"/>
                <w:lang w:val="es-ES"/>
              </w:rPr>
            </w:pPr>
            <w:r w:rsidRPr="00AE4E8D">
              <w:rPr>
                <w:rFonts w:ascii="Times New Roman" w:hAnsi="Times New Roman"/>
                <w:b/>
                <w:i/>
                <w:sz w:val="16"/>
                <w:lang w:val="es-ES"/>
              </w:rPr>
              <w:t>410.556</w:t>
            </w:r>
          </w:p>
        </w:tc>
      </w:tr>
      <w:tr w:rsidR="003B5193" w:rsidRPr="00AE4E8D" w14:paraId="115A7C0F" w14:textId="77777777" w:rsidTr="00003798">
        <w:trPr>
          <w:cantSplit/>
          <w:trHeight w:val="222"/>
          <w:jc w:val="center"/>
        </w:trPr>
        <w:tc>
          <w:tcPr>
            <w:tcW w:w="1382" w:type="pct"/>
            <w:shd w:val="clear" w:color="auto" w:fill="FFFFFF"/>
            <w:noWrap/>
            <w:vAlign w:val="bottom"/>
            <w:hideMark/>
          </w:tcPr>
          <w:p w14:paraId="6AB29132" w14:textId="77777777" w:rsidR="00E90931" w:rsidRPr="00AE4E8D" w:rsidRDefault="00E90931" w:rsidP="00003798">
            <w:pPr>
              <w:keepNext/>
              <w:keepLines/>
              <w:tabs>
                <w:tab w:val="right" w:leader="dot" w:pos="3369"/>
              </w:tabs>
              <w:ind w:right="178"/>
              <w:rPr>
                <w:rFonts w:ascii="Times New Roman" w:hAnsi="Times New Roman"/>
                <w:sz w:val="16"/>
                <w:lang w:val="es-ES"/>
              </w:rPr>
            </w:pPr>
            <w:r w:rsidRPr="00AE4E8D">
              <w:rPr>
                <w:rFonts w:ascii="Times New Roman" w:hAnsi="Times New Roman"/>
                <w:sz w:val="16"/>
                <w:lang w:val="es-ES"/>
              </w:rPr>
              <w:t>Previsión por riesgo incob. / préstamos morosos</w:t>
            </w:r>
            <w:r w:rsidRPr="00AE4E8D">
              <w:rPr>
                <w:rFonts w:ascii="Times New Roman" w:hAnsi="Times New Roman"/>
                <w:sz w:val="16"/>
                <w:lang w:val="es-ES"/>
              </w:rPr>
              <w:tab/>
            </w:r>
          </w:p>
        </w:tc>
        <w:tc>
          <w:tcPr>
            <w:tcW w:w="397" w:type="pct"/>
            <w:shd w:val="clear" w:color="auto" w:fill="FFFFFF"/>
            <w:noWrap/>
            <w:vAlign w:val="bottom"/>
            <w:hideMark/>
          </w:tcPr>
          <w:p w14:paraId="5F79109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259,46%</w:t>
            </w:r>
          </w:p>
        </w:tc>
        <w:tc>
          <w:tcPr>
            <w:tcW w:w="401" w:type="pct"/>
            <w:shd w:val="clear" w:color="auto" w:fill="FFFFFF"/>
            <w:noWrap/>
            <w:vAlign w:val="bottom"/>
            <w:hideMark/>
          </w:tcPr>
          <w:p w14:paraId="427F54FD"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68,23%</w:t>
            </w:r>
          </w:p>
        </w:tc>
        <w:tc>
          <w:tcPr>
            <w:tcW w:w="401" w:type="pct"/>
            <w:shd w:val="clear" w:color="auto" w:fill="FFFFFF"/>
            <w:noWrap/>
            <w:vAlign w:val="bottom"/>
            <w:hideMark/>
          </w:tcPr>
          <w:p w14:paraId="29EC54B7"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78,82%</w:t>
            </w:r>
          </w:p>
        </w:tc>
        <w:tc>
          <w:tcPr>
            <w:tcW w:w="401" w:type="pct"/>
            <w:shd w:val="clear" w:color="auto" w:fill="FFFFFF"/>
            <w:noWrap/>
            <w:vAlign w:val="bottom"/>
            <w:hideMark/>
          </w:tcPr>
          <w:p w14:paraId="6A7AAC0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44,75%</w:t>
            </w:r>
          </w:p>
        </w:tc>
        <w:tc>
          <w:tcPr>
            <w:tcW w:w="391" w:type="pct"/>
            <w:shd w:val="clear" w:color="auto" w:fill="FFFFFF"/>
            <w:noWrap/>
            <w:vAlign w:val="bottom"/>
            <w:hideMark/>
          </w:tcPr>
          <w:p w14:paraId="7F2731B4"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491,49%</w:t>
            </w:r>
          </w:p>
        </w:tc>
        <w:tc>
          <w:tcPr>
            <w:tcW w:w="511" w:type="pct"/>
            <w:shd w:val="clear" w:color="auto" w:fill="FFFFFF"/>
            <w:noWrap/>
            <w:vAlign w:val="bottom"/>
            <w:hideMark/>
          </w:tcPr>
          <w:p w14:paraId="1DAAD56E"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178,53%</w:t>
            </w:r>
          </w:p>
        </w:tc>
        <w:tc>
          <w:tcPr>
            <w:tcW w:w="401" w:type="pct"/>
            <w:shd w:val="clear" w:color="auto" w:fill="FFFFFF"/>
            <w:noWrap/>
            <w:vAlign w:val="bottom"/>
            <w:hideMark/>
          </w:tcPr>
          <w:p w14:paraId="3DCAAD5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50" w:type="pct"/>
            <w:shd w:val="clear" w:color="auto" w:fill="FFFFFF"/>
            <w:noWrap/>
            <w:vAlign w:val="bottom"/>
            <w:hideMark/>
          </w:tcPr>
          <w:p w14:paraId="23697871"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w:t>
            </w:r>
          </w:p>
        </w:tc>
        <w:tc>
          <w:tcPr>
            <w:tcW w:w="365" w:type="pct"/>
            <w:shd w:val="clear" w:color="auto" w:fill="FFFFFF"/>
            <w:noWrap/>
            <w:vAlign w:val="bottom"/>
            <w:hideMark/>
          </w:tcPr>
          <w:p w14:paraId="203E4E9C" w14:textId="77777777" w:rsidR="00E90931" w:rsidRPr="00AE4E8D" w:rsidRDefault="00E90931" w:rsidP="00003798">
            <w:pPr>
              <w:keepNext/>
              <w:keepLines/>
              <w:jc w:val="right"/>
              <w:rPr>
                <w:rFonts w:ascii="Times New Roman" w:hAnsi="Times New Roman"/>
                <w:sz w:val="16"/>
                <w:lang w:val="es-ES"/>
              </w:rPr>
            </w:pPr>
            <w:r w:rsidRPr="00AE4E8D">
              <w:rPr>
                <w:rFonts w:ascii="Times New Roman" w:hAnsi="Times New Roman"/>
                <w:sz w:val="16"/>
                <w:lang w:val="es-ES"/>
              </w:rPr>
              <w:t>96,36%</w:t>
            </w:r>
          </w:p>
        </w:tc>
      </w:tr>
    </w:tbl>
    <w:p w14:paraId="57560691" w14:textId="77777777" w:rsidR="00E90931" w:rsidRPr="00AE4E8D" w:rsidRDefault="00E90931" w:rsidP="00003798">
      <w:pPr>
        <w:keepNext/>
        <w:keepLines/>
        <w:autoSpaceDE w:val="0"/>
        <w:autoSpaceDN w:val="0"/>
        <w:adjustRightInd w:val="0"/>
        <w:spacing w:before="120" w:after="120"/>
        <w:jc w:val="both"/>
        <w:rPr>
          <w:rFonts w:ascii="Times New Roman" w:hAnsi="Times New Roman"/>
          <w:sz w:val="16"/>
          <w:szCs w:val="16"/>
          <w:lang w:val="es-ES" w:eastAsia="es-AR"/>
        </w:rPr>
      </w:pPr>
      <w:r w:rsidRPr="00AE4E8D">
        <w:rPr>
          <w:rFonts w:ascii="Times New Roman" w:hAnsi="Times New Roman"/>
          <w:sz w:val="16"/>
          <w:szCs w:val="16"/>
          <w:lang w:val="es-ES" w:eastAsia="es-AR"/>
        </w:rPr>
        <w:t>(1) Los préstamos morosos incluyen todos los préstamos a prestatarios clasificados como “Riesgo Medio”, “Con Problemas”, “Riesgo Alto”, “Alto Riesgo de Insolvencia”, “Irrecuperables” e “Irrecuperables por Decisión Técnica bajo el sistema de clasificación de préstamos del BCRA Los préstamos en mora también incluyen todos los préstamos con atrasos de 90 días o más.</w:t>
      </w:r>
    </w:p>
    <w:p w14:paraId="1A46CE95" w14:textId="77777777" w:rsidR="008A00C6" w:rsidRPr="00AE4E8D" w:rsidRDefault="008A00C6" w:rsidP="00B52753">
      <w:pPr>
        <w:rPr>
          <w:rFonts w:ascii="Times New Roman" w:hAnsi="Times New Roman"/>
          <w:b/>
          <w:sz w:val="16"/>
          <w:lang w:val="es-ES"/>
        </w:rPr>
        <w:sectPr w:rsidR="008A00C6" w:rsidRPr="00AE4E8D" w:rsidSect="00003798">
          <w:pgSz w:w="16839" w:h="11907" w:orient="landscape"/>
          <w:pgMar w:top="1134" w:right="1418" w:bottom="1185" w:left="1418" w:header="709" w:footer="709" w:gutter="0"/>
          <w:cols w:space="720"/>
        </w:sectPr>
      </w:pPr>
      <w:bookmarkStart w:id="380" w:name="_Toc421201386"/>
    </w:p>
    <w:p w14:paraId="296FDECE" w14:textId="77777777" w:rsidR="00E90931" w:rsidRPr="00AE4E8D" w:rsidRDefault="00E90931" w:rsidP="0008264A">
      <w:pPr>
        <w:pStyle w:val="BH2Izquierda"/>
        <w:rPr>
          <w:lang w:val="es-ES"/>
        </w:rPr>
      </w:pPr>
      <w:bookmarkStart w:id="381" w:name="_Toc495973008"/>
      <w:bookmarkStart w:id="382" w:name="_Toc495399915"/>
      <w:r w:rsidRPr="00AE4E8D">
        <w:rPr>
          <w:lang w:val="es-ES"/>
        </w:rPr>
        <w:lastRenderedPageBreak/>
        <w:t>Análisis de la Cartera de Préstamos Morosos</w:t>
      </w:r>
      <w:bookmarkEnd w:id="380"/>
      <w:bookmarkEnd w:id="381"/>
      <w:bookmarkEnd w:id="382"/>
    </w:p>
    <w:p w14:paraId="43C352E9" w14:textId="77777777" w:rsidR="00E90931" w:rsidRPr="00AE4E8D" w:rsidRDefault="006476E2" w:rsidP="00474216">
      <w:pPr>
        <w:rPr>
          <w:rFonts w:ascii="Times New Roman" w:hAnsi="Times New Roman"/>
          <w:lang w:val="es-ES"/>
        </w:rPr>
      </w:pPr>
      <w:r w:rsidRPr="00AE4E8D">
        <w:rPr>
          <w:rFonts w:ascii="Times New Roman" w:hAnsi="Times New Roman"/>
          <w:lang w:val="es-ES"/>
        </w:rPr>
        <w:t>El siguiente cuadro presenta información acerca de los préstamos morosos a las fechas que se indican:</w:t>
      </w:r>
    </w:p>
    <w:tbl>
      <w:tblPr>
        <w:tblW w:w="5000" w:type="pct"/>
        <w:jc w:val="center"/>
        <w:tblLook w:val="00A0" w:firstRow="1" w:lastRow="0" w:firstColumn="1" w:lastColumn="0" w:noHBand="0" w:noVBand="0"/>
      </w:tblPr>
      <w:tblGrid>
        <w:gridCol w:w="3842"/>
        <w:gridCol w:w="801"/>
        <w:gridCol w:w="761"/>
        <w:gridCol w:w="222"/>
        <w:gridCol w:w="802"/>
        <w:gridCol w:w="763"/>
        <w:gridCol w:w="222"/>
        <w:gridCol w:w="802"/>
        <w:gridCol w:w="763"/>
        <w:gridCol w:w="259"/>
      </w:tblGrid>
      <w:tr w:rsidR="00E90931" w:rsidRPr="00AE4E8D" w14:paraId="69BF0D24" w14:textId="77777777" w:rsidTr="000400C8">
        <w:trPr>
          <w:trHeight w:val="255"/>
          <w:jc w:val="center"/>
        </w:trPr>
        <w:tc>
          <w:tcPr>
            <w:tcW w:w="2080" w:type="pct"/>
            <w:vAlign w:val="center"/>
          </w:tcPr>
          <w:p w14:paraId="375098D3" w14:textId="77777777" w:rsidR="00E90931" w:rsidRPr="00AE4E8D" w:rsidRDefault="00E90931" w:rsidP="00E90931">
            <w:pPr>
              <w:rPr>
                <w:rFonts w:ascii="Times New Roman" w:hAnsi="Times New Roman"/>
                <w:b/>
                <w:bCs/>
                <w:sz w:val="16"/>
                <w:szCs w:val="16"/>
                <w:lang w:val="es-ES"/>
              </w:rPr>
            </w:pPr>
          </w:p>
        </w:tc>
        <w:tc>
          <w:tcPr>
            <w:tcW w:w="2920" w:type="pct"/>
            <w:gridSpan w:val="9"/>
            <w:noWrap/>
            <w:vAlign w:val="bottom"/>
            <w:hideMark/>
          </w:tcPr>
          <w:p w14:paraId="2A03AAE0"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Al 31 de diciembre de</w:t>
            </w:r>
          </w:p>
        </w:tc>
      </w:tr>
      <w:tr w:rsidR="00B86C83" w:rsidRPr="00AE4E8D" w14:paraId="633B6A8B" w14:textId="77777777" w:rsidTr="000400C8">
        <w:trPr>
          <w:trHeight w:val="255"/>
          <w:jc w:val="center"/>
        </w:trPr>
        <w:tc>
          <w:tcPr>
            <w:tcW w:w="2080" w:type="pct"/>
            <w:vAlign w:val="center"/>
          </w:tcPr>
          <w:p w14:paraId="61682001" w14:textId="77777777" w:rsidR="00E90931" w:rsidRPr="00AE4E8D" w:rsidRDefault="00E90931" w:rsidP="00E90931">
            <w:pPr>
              <w:rPr>
                <w:rFonts w:ascii="Times New Roman" w:hAnsi="Times New Roman"/>
                <w:b/>
                <w:bCs/>
                <w:sz w:val="16"/>
                <w:szCs w:val="16"/>
                <w:lang w:val="es-ES"/>
              </w:rPr>
            </w:pPr>
          </w:p>
        </w:tc>
        <w:tc>
          <w:tcPr>
            <w:tcW w:w="846" w:type="pct"/>
            <w:gridSpan w:val="2"/>
            <w:tcBorders>
              <w:top w:val="single" w:sz="4" w:space="0" w:color="auto"/>
              <w:left w:val="nil"/>
              <w:bottom w:val="single" w:sz="4" w:space="0" w:color="auto"/>
              <w:right w:val="nil"/>
            </w:tcBorders>
            <w:noWrap/>
            <w:vAlign w:val="bottom"/>
            <w:hideMark/>
          </w:tcPr>
          <w:p w14:paraId="72A09EDA"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2016</w:t>
            </w:r>
          </w:p>
        </w:tc>
        <w:tc>
          <w:tcPr>
            <w:tcW w:w="120" w:type="pct"/>
            <w:noWrap/>
            <w:vAlign w:val="bottom"/>
          </w:tcPr>
          <w:p w14:paraId="16FAFEE5" w14:textId="77777777" w:rsidR="00E90931" w:rsidRPr="00AE4E8D" w:rsidRDefault="00E90931" w:rsidP="00E90931">
            <w:pPr>
              <w:rPr>
                <w:rFonts w:ascii="Times New Roman" w:hAnsi="Times New Roman"/>
                <w:b/>
                <w:bCs/>
                <w:sz w:val="16"/>
                <w:szCs w:val="16"/>
                <w:lang w:val="es-ES"/>
              </w:rPr>
            </w:pPr>
          </w:p>
        </w:tc>
        <w:tc>
          <w:tcPr>
            <w:tcW w:w="847" w:type="pct"/>
            <w:gridSpan w:val="2"/>
            <w:tcBorders>
              <w:top w:val="single" w:sz="4" w:space="0" w:color="auto"/>
              <w:left w:val="nil"/>
              <w:bottom w:val="single" w:sz="4" w:space="0" w:color="auto"/>
              <w:right w:val="nil"/>
            </w:tcBorders>
            <w:noWrap/>
            <w:vAlign w:val="bottom"/>
            <w:hideMark/>
          </w:tcPr>
          <w:p w14:paraId="361147AC"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2015</w:t>
            </w:r>
          </w:p>
        </w:tc>
        <w:tc>
          <w:tcPr>
            <w:tcW w:w="120" w:type="pct"/>
            <w:noWrap/>
            <w:vAlign w:val="bottom"/>
          </w:tcPr>
          <w:p w14:paraId="4FF758F7" w14:textId="77777777" w:rsidR="00E90931" w:rsidRPr="00AE4E8D" w:rsidRDefault="00E90931" w:rsidP="00E90931">
            <w:pPr>
              <w:rPr>
                <w:rFonts w:ascii="Times New Roman" w:hAnsi="Times New Roman"/>
                <w:b/>
                <w:bCs/>
                <w:sz w:val="16"/>
                <w:szCs w:val="16"/>
                <w:lang w:val="es-ES"/>
              </w:rPr>
            </w:pPr>
          </w:p>
        </w:tc>
        <w:tc>
          <w:tcPr>
            <w:tcW w:w="847" w:type="pct"/>
            <w:gridSpan w:val="2"/>
            <w:tcBorders>
              <w:top w:val="single" w:sz="4" w:space="0" w:color="auto"/>
              <w:left w:val="nil"/>
              <w:bottom w:val="single" w:sz="4" w:space="0" w:color="auto"/>
              <w:right w:val="nil"/>
            </w:tcBorders>
            <w:noWrap/>
            <w:vAlign w:val="bottom"/>
            <w:hideMark/>
          </w:tcPr>
          <w:p w14:paraId="5F1CE082"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2014</w:t>
            </w:r>
          </w:p>
        </w:tc>
        <w:tc>
          <w:tcPr>
            <w:tcW w:w="139" w:type="pct"/>
            <w:noWrap/>
            <w:vAlign w:val="bottom"/>
          </w:tcPr>
          <w:p w14:paraId="71DDC0D4" w14:textId="77777777" w:rsidR="00E90931" w:rsidRPr="00AE4E8D" w:rsidRDefault="00E90931" w:rsidP="00E90931">
            <w:pPr>
              <w:rPr>
                <w:rFonts w:ascii="Times New Roman" w:hAnsi="Times New Roman"/>
                <w:sz w:val="16"/>
                <w:szCs w:val="16"/>
                <w:lang w:val="es-ES"/>
              </w:rPr>
            </w:pPr>
          </w:p>
        </w:tc>
      </w:tr>
      <w:tr w:rsidR="00E90931" w:rsidRPr="00AE4E8D" w14:paraId="0BB9778E" w14:textId="77777777" w:rsidTr="000400C8">
        <w:trPr>
          <w:trHeight w:val="255"/>
          <w:jc w:val="center"/>
        </w:trPr>
        <w:tc>
          <w:tcPr>
            <w:tcW w:w="2080" w:type="pct"/>
            <w:vAlign w:val="center"/>
          </w:tcPr>
          <w:p w14:paraId="79733521" w14:textId="77777777" w:rsidR="00E90931" w:rsidRPr="00AE4E8D" w:rsidRDefault="00E90931" w:rsidP="00E90931">
            <w:pPr>
              <w:rPr>
                <w:rFonts w:ascii="Times New Roman" w:hAnsi="Times New Roman"/>
                <w:b/>
                <w:bCs/>
                <w:sz w:val="16"/>
                <w:szCs w:val="16"/>
                <w:lang w:val="es-ES"/>
              </w:rPr>
            </w:pPr>
          </w:p>
        </w:tc>
        <w:tc>
          <w:tcPr>
            <w:tcW w:w="2920" w:type="pct"/>
            <w:gridSpan w:val="9"/>
            <w:noWrap/>
            <w:vAlign w:val="bottom"/>
            <w:hideMark/>
          </w:tcPr>
          <w:p w14:paraId="53CA1CA3"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(en miles de Pesos, salvo porcentajes)</w:t>
            </w:r>
          </w:p>
        </w:tc>
      </w:tr>
      <w:tr w:rsidR="00EF2D26" w:rsidRPr="00AE4E8D" w14:paraId="354BAD69" w14:textId="77777777" w:rsidTr="000400C8">
        <w:trPr>
          <w:trHeight w:val="255"/>
          <w:jc w:val="center"/>
        </w:trPr>
        <w:tc>
          <w:tcPr>
            <w:tcW w:w="2080" w:type="pct"/>
            <w:noWrap/>
            <w:vAlign w:val="bottom"/>
            <w:hideMark/>
          </w:tcPr>
          <w:p w14:paraId="652C29FF"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Préstamos Morosos</w:t>
            </w:r>
          </w:p>
        </w:tc>
        <w:tc>
          <w:tcPr>
            <w:tcW w:w="434" w:type="pct"/>
            <w:noWrap/>
            <w:vAlign w:val="bottom"/>
          </w:tcPr>
          <w:p w14:paraId="6A540A4E" w14:textId="77777777" w:rsidR="00E90931" w:rsidRPr="00AE4E8D" w:rsidRDefault="00E90931" w:rsidP="00E90931">
            <w:pPr>
              <w:rPr>
                <w:rFonts w:ascii="Times New Roman" w:hAnsi="Times New Roman"/>
                <w:sz w:val="16"/>
                <w:szCs w:val="16"/>
                <w:lang w:val="es-ES"/>
              </w:rPr>
            </w:pPr>
          </w:p>
        </w:tc>
        <w:tc>
          <w:tcPr>
            <w:tcW w:w="412" w:type="pct"/>
            <w:noWrap/>
            <w:vAlign w:val="bottom"/>
          </w:tcPr>
          <w:p w14:paraId="351C370A"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16785945" w14:textId="77777777" w:rsidR="00E90931" w:rsidRPr="00AE4E8D" w:rsidRDefault="00E90931" w:rsidP="00E90931">
            <w:pPr>
              <w:rPr>
                <w:rFonts w:ascii="Times New Roman" w:hAnsi="Times New Roman"/>
                <w:sz w:val="16"/>
                <w:szCs w:val="16"/>
                <w:lang w:val="es-ES"/>
              </w:rPr>
            </w:pPr>
          </w:p>
        </w:tc>
        <w:tc>
          <w:tcPr>
            <w:tcW w:w="434" w:type="pct"/>
            <w:noWrap/>
            <w:vAlign w:val="bottom"/>
          </w:tcPr>
          <w:p w14:paraId="22056F5B" w14:textId="77777777" w:rsidR="00E90931" w:rsidRPr="00AE4E8D" w:rsidRDefault="00E90931" w:rsidP="00E90931">
            <w:pPr>
              <w:rPr>
                <w:rFonts w:ascii="Times New Roman" w:hAnsi="Times New Roman"/>
                <w:sz w:val="16"/>
                <w:szCs w:val="16"/>
                <w:lang w:val="es-ES"/>
              </w:rPr>
            </w:pPr>
          </w:p>
        </w:tc>
        <w:tc>
          <w:tcPr>
            <w:tcW w:w="413" w:type="pct"/>
            <w:noWrap/>
            <w:vAlign w:val="bottom"/>
          </w:tcPr>
          <w:p w14:paraId="458DADE1"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675476F0" w14:textId="77777777" w:rsidR="00E90931" w:rsidRPr="00AE4E8D" w:rsidRDefault="00E90931" w:rsidP="00E90931">
            <w:pPr>
              <w:rPr>
                <w:rFonts w:ascii="Times New Roman" w:hAnsi="Times New Roman"/>
                <w:sz w:val="16"/>
                <w:szCs w:val="16"/>
                <w:lang w:val="es-ES"/>
              </w:rPr>
            </w:pPr>
          </w:p>
        </w:tc>
        <w:tc>
          <w:tcPr>
            <w:tcW w:w="434" w:type="pct"/>
            <w:noWrap/>
            <w:vAlign w:val="bottom"/>
          </w:tcPr>
          <w:p w14:paraId="2E63CC1A" w14:textId="77777777" w:rsidR="00E90931" w:rsidRPr="00AE4E8D" w:rsidRDefault="00E90931" w:rsidP="00E90931">
            <w:pPr>
              <w:rPr>
                <w:rFonts w:ascii="Times New Roman" w:hAnsi="Times New Roman"/>
                <w:sz w:val="16"/>
                <w:szCs w:val="16"/>
                <w:lang w:val="es-ES"/>
              </w:rPr>
            </w:pPr>
          </w:p>
        </w:tc>
        <w:tc>
          <w:tcPr>
            <w:tcW w:w="413" w:type="pct"/>
            <w:noWrap/>
            <w:vAlign w:val="bottom"/>
          </w:tcPr>
          <w:p w14:paraId="4599BF09" w14:textId="77777777" w:rsidR="00E90931" w:rsidRPr="00AE4E8D" w:rsidRDefault="00E90931" w:rsidP="00E90931">
            <w:pPr>
              <w:rPr>
                <w:rFonts w:ascii="Times New Roman" w:hAnsi="Times New Roman"/>
                <w:sz w:val="16"/>
                <w:szCs w:val="16"/>
                <w:lang w:val="es-ES"/>
              </w:rPr>
            </w:pPr>
          </w:p>
        </w:tc>
        <w:tc>
          <w:tcPr>
            <w:tcW w:w="139" w:type="pct"/>
            <w:noWrap/>
            <w:vAlign w:val="bottom"/>
          </w:tcPr>
          <w:p w14:paraId="3642A1F3" w14:textId="77777777" w:rsidR="00E90931" w:rsidRPr="00AE4E8D" w:rsidRDefault="00E90931" w:rsidP="00E90931">
            <w:pPr>
              <w:rPr>
                <w:rFonts w:ascii="Times New Roman" w:hAnsi="Times New Roman"/>
                <w:sz w:val="16"/>
                <w:szCs w:val="16"/>
                <w:lang w:val="es-ES"/>
              </w:rPr>
            </w:pPr>
          </w:p>
        </w:tc>
      </w:tr>
      <w:tr w:rsidR="00EF2D26" w:rsidRPr="00AE4E8D" w14:paraId="34FC793E" w14:textId="77777777" w:rsidTr="000400C8">
        <w:trPr>
          <w:trHeight w:val="255"/>
          <w:jc w:val="center"/>
        </w:trPr>
        <w:tc>
          <w:tcPr>
            <w:tcW w:w="2080" w:type="pct"/>
            <w:vAlign w:val="center"/>
          </w:tcPr>
          <w:p w14:paraId="33486F96" w14:textId="77777777" w:rsidR="00E90931" w:rsidRPr="00AE4E8D" w:rsidRDefault="00E90931" w:rsidP="00E90931">
            <w:pPr>
              <w:rPr>
                <w:rFonts w:ascii="Times New Roman" w:hAnsi="Times New Roman"/>
                <w:sz w:val="16"/>
                <w:szCs w:val="16"/>
                <w:lang w:val="es-ES"/>
              </w:rPr>
            </w:pPr>
          </w:p>
        </w:tc>
        <w:tc>
          <w:tcPr>
            <w:tcW w:w="434" w:type="pct"/>
            <w:noWrap/>
            <w:vAlign w:val="bottom"/>
          </w:tcPr>
          <w:p w14:paraId="7CED8A2E" w14:textId="77777777" w:rsidR="00E90931" w:rsidRPr="00AE4E8D" w:rsidRDefault="00E90931" w:rsidP="00E90931">
            <w:pPr>
              <w:rPr>
                <w:rFonts w:ascii="Times New Roman" w:hAnsi="Times New Roman"/>
                <w:sz w:val="16"/>
                <w:szCs w:val="16"/>
                <w:lang w:val="es-ES"/>
              </w:rPr>
            </w:pPr>
          </w:p>
        </w:tc>
        <w:tc>
          <w:tcPr>
            <w:tcW w:w="412" w:type="pct"/>
            <w:noWrap/>
            <w:vAlign w:val="bottom"/>
          </w:tcPr>
          <w:p w14:paraId="3FDB0BDC"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5162C838" w14:textId="77777777" w:rsidR="00E90931" w:rsidRPr="00AE4E8D" w:rsidRDefault="00E90931" w:rsidP="00E90931">
            <w:pPr>
              <w:rPr>
                <w:rFonts w:ascii="Times New Roman" w:hAnsi="Times New Roman"/>
                <w:sz w:val="16"/>
                <w:szCs w:val="16"/>
                <w:lang w:val="es-ES"/>
              </w:rPr>
            </w:pPr>
          </w:p>
        </w:tc>
        <w:tc>
          <w:tcPr>
            <w:tcW w:w="434" w:type="pct"/>
            <w:noWrap/>
            <w:vAlign w:val="bottom"/>
          </w:tcPr>
          <w:p w14:paraId="55A7E941" w14:textId="77777777" w:rsidR="00E90931" w:rsidRPr="00AE4E8D" w:rsidRDefault="00E90931" w:rsidP="00E90931">
            <w:pPr>
              <w:rPr>
                <w:rFonts w:ascii="Times New Roman" w:hAnsi="Times New Roman"/>
                <w:sz w:val="16"/>
                <w:szCs w:val="16"/>
                <w:lang w:val="es-ES"/>
              </w:rPr>
            </w:pPr>
          </w:p>
        </w:tc>
        <w:tc>
          <w:tcPr>
            <w:tcW w:w="413" w:type="pct"/>
            <w:noWrap/>
            <w:vAlign w:val="bottom"/>
          </w:tcPr>
          <w:p w14:paraId="25AC4572"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5CF0F04B" w14:textId="77777777" w:rsidR="00E90931" w:rsidRPr="00AE4E8D" w:rsidRDefault="00E90931" w:rsidP="00E90931">
            <w:pPr>
              <w:rPr>
                <w:rFonts w:ascii="Times New Roman" w:hAnsi="Times New Roman"/>
                <w:sz w:val="16"/>
                <w:szCs w:val="16"/>
                <w:lang w:val="es-ES"/>
              </w:rPr>
            </w:pPr>
          </w:p>
        </w:tc>
        <w:tc>
          <w:tcPr>
            <w:tcW w:w="434" w:type="pct"/>
            <w:noWrap/>
            <w:vAlign w:val="bottom"/>
          </w:tcPr>
          <w:p w14:paraId="223F4AD5" w14:textId="77777777" w:rsidR="00E90931" w:rsidRPr="00AE4E8D" w:rsidRDefault="00E90931" w:rsidP="00E90931">
            <w:pPr>
              <w:rPr>
                <w:rFonts w:ascii="Times New Roman" w:hAnsi="Times New Roman"/>
                <w:sz w:val="16"/>
                <w:szCs w:val="16"/>
                <w:lang w:val="es-ES"/>
              </w:rPr>
            </w:pPr>
          </w:p>
        </w:tc>
        <w:tc>
          <w:tcPr>
            <w:tcW w:w="413" w:type="pct"/>
            <w:noWrap/>
            <w:vAlign w:val="bottom"/>
          </w:tcPr>
          <w:p w14:paraId="7126A232" w14:textId="77777777" w:rsidR="00E90931" w:rsidRPr="00AE4E8D" w:rsidRDefault="00E90931" w:rsidP="00E90931">
            <w:pPr>
              <w:rPr>
                <w:rFonts w:ascii="Times New Roman" w:hAnsi="Times New Roman"/>
                <w:sz w:val="16"/>
                <w:szCs w:val="16"/>
                <w:lang w:val="es-ES"/>
              </w:rPr>
            </w:pPr>
          </w:p>
        </w:tc>
        <w:tc>
          <w:tcPr>
            <w:tcW w:w="139" w:type="pct"/>
            <w:noWrap/>
            <w:vAlign w:val="bottom"/>
          </w:tcPr>
          <w:p w14:paraId="722949AD" w14:textId="77777777" w:rsidR="00E90931" w:rsidRPr="00AE4E8D" w:rsidRDefault="00E90931" w:rsidP="00E90931">
            <w:pPr>
              <w:rPr>
                <w:rFonts w:ascii="Times New Roman" w:hAnsi="Times New Roman"/>
                <w:sz w:val="16"/>
                <w:szCs w:val="16"/>
                <w:lang w:val="es-ES"/>
              </w:rPr>
            </w:pPr>
          </w:p>
        </w:tc>
      </w:tr>
      <w:tr w:rsidR="00B86C83" w:rsidRPr="00AE4E8D" w14:paraId="19788D09" w14:textId="77777777" w:rsidTr="000400C8">
        <w:trPr>
          <w:trHeight w:val="255"/>
          <w:jc w:val="center"/>
        </w:trPr>
        <w:tc>
          <w:tcPr>
            <w:tcW w:w="2080" w:type="pct"/>
            <w:vAlign w:val="bottom"/>
            <w:hideMark/>
          </w:tcPr>
          <w:p w14:paraId="54C4220E"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Préstamos hipotecarios </w:t>
            </w:r>
          </w:p>
        </w:tc>
        <w:tc>
          <w:tcPr>
            <w:tcW w:w="434" w:type="pct"/>
            <w:noWrap/>
            <w:vAlign w:val="bottom"/>
            <w:hideMark/>
          </w:tcPr>
          <w:p w14:paraId="035B477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18.9</w:t>
            </w:r>
            <w:r w:rsidR="00F15FE8" w:rsidRPr="00AE4E8D">
              <w:rPr>
                <w:rFonts w:ascii="Times New Roman" w:hAnsi="Times New Roman"/>
                <w:sz w:val="16"/>
                <w:szCs w:val="16"/>
                <w:lang w:val="es-ES"/>
              </w:rPr>
              <w:t>9</w:t>
            </w:r>
            <w:r w:rsidRPr="00AE4E8D">
              <w:rPr>
                <w:rFonts w:ascii="Times New Roman" w:hAnsi="Times New Roman"/>
                <w:sz w:val="16"/>
                <w:szCs w:val="16"/>
                <w:lang w:val="es-ES"/>
              </w:rPr>
              <w:t xml:space="preserve">7 </w:t>
            </w:r>
          </w:p>
        </w:tc>
        <w:tc>
          <w:tcPr>
            <w:tcW w:w="412" w:type="pct"/>
            <w:noWrap/>
            <w:vAlign w:val="bottom"/>
            <w:hideMark/>
          </w:tcPr>
          <w:p w14:paraId="5FD11B3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2,70%</w:t>
            </w:r>
          </w:p>
        </w:tc>
        <w:tc>
          <w:tcPr>
            <w:tcW w:w="120" w:type="pct"/>
            <w:noWrap/>
            <w:vAlign w:val="center"/>
          </w:tcPr>
          <w:p w14:paraId="740DB9EF"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4DA3056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19.729</w:t>
            </w:r>
          </w:p>
        </w:tc>
        <w:tc>
          <w:tcPr>
            <w:tcW w:w="413" w:type="pct"/>
            <w:noWrap/>
            <w:vAlign w:val="center"/>
            <w:hideMark/>
          </w:tcPr>
          <w:p w14:paraId="02140D5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4,6%</w:t>
            </w:r>
          </w:p>
        </w:tc>
        <w:tc>
          <w:tcPr>
            <w:tcW w:w="120" w:type="pct"/>
            <w:noWrap/>
            <w:vAlign w:val="center"/>
          </w:tcPr>
          <w:p w14:paraId="5650041D"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56BABA0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24.051</w:t>
            </w:r>
          </w:p>
        </w:tc>
        <w:tc>
          <w:tcPr>
            <w:tcW w:w="413" w:type="pct"/>
            <w:noWrap/>
            <w:vAlign w:val="center"/>
            <w:hideMark/>
          </w:tcPr>
          <w:p w14:paraId="547EB7A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5,6%</w:t>
            </w:r>
          </w:p>
        </w:tc>
        <w:tc>
          <w:tcPr>
            <w:tcW w:w="139" w:type="pct"/>
            <w:noWrap/>
            <w:vAlign w:val="bottom"/>
          </w:tcPr>
          <w:p w14:paraId="1C58E5E7" w14:textId="77777777" w:rsidR="00E90931" w:rsidRPr="00AE4E8D" w:rsidRDefault="00E90931" w:rsidP="00E90931">
            <w:pPr>
              <w:rPr>
                <w:rFonts w:ascii="Times New Roman" w:hAnsi="Times New Roman"/>
                <w:sz w:val="16"/>
                <w:szCs w:val="16"/>
                <w:lang w:val="es-ES"/>
              </w:rPr>
            </w:pPr>
          </w:p>
        </w:tc>
      </w:tr>
      <w:tr w:rsidR="00B86C83" w:rsidRPr="00AE4E8D" w14:paraId="028D7614" w14:textId="77777777" w:rsidTr="000400C8">
        <w:trPr>
          <w:trHeight w:val="255"/>
          <w:jc w:val="center"/>
        </w:trPr>
        <w:tc>
          <w:tcPr>
            <w:tcW w:w="2080" w:type="pct"/>
            <w:vAlign w:val="bottom"/>
            <w:hideMark/>
          </w:tcPr>
          <w:p w14:paraId="40C75C00"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Préstamos Personales </w:t>
            </w:r>
          </w:p>
        </w:tc>
        <w:tc>
          <w:tcPr>
            <w:tcW w:w="434" w:type="pct"/>
            <w:noWrap/>
            <w:vAlign w:val="bottom"/>
            <w:hideMark/>
          </w:tcPr>
          <w:p w14:paraId="3B213BA6" w14:textId="77777777" w:rsidR="00E90931" w:rsidRPr="00AE4E8D" w:rsidRDefault="0073242E"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 </w:t>
            </w:r>
          </w:p>
        </w:tc>
        <w:tc>
          <w:tcPr>
            <w:tcW w:w="412" w:type="pct"/>
            <w:noWrap/>
            <w:vAlign w:val="bottom"/>
            <w:hideMark/>
          </w:tcPr>
          <w:p w14:paraId="04FA2C5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0,00%</w:t>
            </w:r>
          </w:p>
        </w:tc>
        <w:tc>
          <w:tcPr>
            <w:tcW w:w="120" w:type="pct"/>
            <w:noWrap/>
            <w:vAlign w:val="center"/>
          </w:tcPr>
          <w:p w14:paraId="0C84DC8E"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600DF53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127.104</w:t>
            </w:r>
          </w:p>
        </w:tc>
        <w:tc>
          <w:tcPr>
            <w:tcW w:w="413" w:type="pct"/>
            <w:noWrap/>
            <w:vAlign w:val="center"/>
            <w:hideMark/>
          </w:tcPr>
          <w:p w14:paraId="12856A0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29,6%</w:t>
            </w:r>
          </w:p>
        </w:tc>
        <w:tc>
          <w:tcPr>
            <w:tcW w:w="120" w:type="pct"/>
            <w:noWrap/>
            <w:vAlign w:val="center"/>
          </w:tcPr>
          <w:p w14:paraId="2341F5C6"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347E753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89.044</w:t>
            </w:r>
          </w:p>
        </w:tc>
        <w:tc>
          <w:tcPr>
            <w:tcW w:w="413" w:type="pct"/>
            <w:noWrap/>
            <w:vAlign w:val="center"/>
            <w:hideMark/>
          </w:tcPr>
          <w:p w14:paraId="7264637F"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20,9%</w:t>
            </w:r>
          </w:p>
        </w:tc>
        <w:tc>
          <w:tcPr>
            <w:tcW w:w="139" w:type="pct"/>
            <w:noWrap/>
            <w:vAlign w:val="bottom"/>
          </w:tcPr>
          <w:p w14:paraId="104A0423" w14:textId="77777777" w:rsidR="00E90931" w:rsidRPr="00AE4E8D" w:rsidRDefault="00E90931" w:rsidP="00E90931">
            <w:pPr>
              <w:rPr>
                <w:rFonts w:ascii="Times New Roman" w:hAnsi="Times New Roman"/>
                <w:sz w:val="16"/>
                <w:szCs w:val="16"/>
                <w:lang w:val="es-ES"/>
              </w:rPr>
            </w:pPr>
          </w:p>
        </w:tc>
      </w:tr>
      <w:tr w:rsidR="00B86C83" w:rsidRPr="00AE4E8D" w14:paraId="066E784E" w14:textId="77777777" w:rsidTr="000400C8">
        <w:trPr>
          <w:trHeight w:val="255"/>
          <w:jc w:val="center"/>
        </w:trPr>
        <w:tc>
          <w:tcPr>
            <w:tcW w:w="2080" w:type="pct"/>
            <w:vAlign w:val="bottom"/>
            <w:hideMark/>
          </w:tcPr>
          <w:p w14:paraId="07F79C0F"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Tarjetas de Crédito </w:t>
            </w:r>
          </w:p>
        </w:tc>
        <w:tc>
          <w:tcPr>
            <w:tcW w:w="434" w:type="pct"/>
            <w:noWrap/>
            <w:vAlign w:val="bottom"/>
            <w:hideMark/>
          </w:tcPr>
          <w:p w14:paraId="412AA72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22.887 </w:t>
            </w:r>
          </w:p>
        </w:tc>
        <w:tc>
          <w:tcPr>
            <w:tcW w:w="412" w:type="pct"/>
            <w:noWrap/>
            <w:vAlign w:val="bottom"/>
            <w:hideMark/>
          </w:tcPr>
          <w:p w14:paraId="1C5C048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3,25%</w:t>
            </w:r>
          </w:p>
        </w:tc>
        <w:tc>
          <w:tcPr>
            <w:tcW w:w="120" w:type="pct"/>
            <w:noWrap/>
            <w:vAlign w:val="center"/>
          </w:tcPr>
          <w:p w14:paraId="1126EA38"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1CF40FC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229.629</w:t>
            </w:r>
          </w:p>
        </w:tc>
        <w:tc>
          <w:tcPr>
            <w:tcW w:w="413" w:type="pct"/>
            <w:noWrap/>
            <w:vAlign w:val="center"/>
            <w:hideMark/>
          </w:tcPr>
          <w:p w14:paraId="5A0E304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53,6%</w:t>
            </w:r>
          </w:p>
        </w:tc>
        <w:tc>
          <w:tcPr>
            <w:tcW w:w="120" w:type="pct"/>
            <w:noWrap/>
            <w:vAlign w:val="center"/>
          </w:tcPr>
          <w:p w14:paraId="6D5F6F68"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0141D18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229.462</w:t>
            </w:r>
          </w:p>
        </w:tc>
        <w:tc>
          <w:tcPr>
            <w:tcW w:w="413" w:type="pct"/>
            <w:noWrap/>
            <w:vAlign w:val="center"/>
            <w:hideMark/>
          </w:tcPr>
          <w:p w14:paraId="551025D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53,9%</w:t>
            </w:r>
          </w:p>
        </w:tc>
        <w:tc>
          <w:tcPr>
            <w:tcW w:w="139" w:type="pct"/>
            <w:noWrap/>
            <w:vAlign w:val="bottom"/>
          </w:tcPr>
          <w:p w14:paraId="6788CEB2" w14:textId="77777777" w:rsidR="00E90931" w:rsidRPr="00AE4E8D" w:rsidRDefault="00E90931" w:rsidP="00E90931">
            <w:pPr>
              <w:rPr>
                <w:rFonts w:ascii="Times New Roman" w:hAnsi="Times New Roman"/>
                <w:sz w:val="16"/>
                <w:szCs w:val="16"/>
                <w:lang w:val="es-ES"/>
              </w:rPr>
            </w:pPr>
          </w:p>
        </w:tc>
      </w:tr>
      <w:tr w:rsidR="00B86C83" w:rsidRPr="00AE4E8D" w14:paraId="054F4DB5" w14:textId="77777777" w:rsidTr="000400C8">
        <w:trPr>
          <w:trHeight w:val="255"/>
          <w:jc w:val="center"/>
        </w:trPr>
        <w:tc>
          <w:tcPr>
            <w:tcW w:w="2080" w:type="pct"/>
            <w:vAlign w:val="bottom"/>
            <w:hideMark/>
          </w:tcPr>
          <w:p w14:paraId="570A028E"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Adelantos </w:t>
            </w:r>
          </w:p>
        </w:tc>
        <w:tc>
          <w:tcPr>
            <w:tcW w:w="434" w:type="pct"/>
            <w:noWrap/>
            <w:vAlign w:val="bottom"/>
            <w:hideMark/>
          </w:tcPr>
          <w:p w14:paraId="3610E09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127 </w:t>
            </w:r>
          </w:p>
        </w:tc>
        <w:tc>
          <w:tcPr>
            <w:tcW w:w="412" w:type="pct"/>
            <w:noWrap/>
            <w:vAlign w:val="bottom"/>
            <w:hideMark/>
          </w:tcPr>
          <w:p w14:paraId="40850D59" w14:textId="77777777" w:rsidR="00E90931" w:rsidRPr="00AE4E8D" w:rsidRDefault="00E90931" w:rsidP="00E51B9E">
            <w:pPr>
              <w:jc w:val="right"/>
              <w:rPr>
                <w:rFonts w:ascii="Times New Roman" w:hAnsi="Times New Roman"/>
                <w:sz w:val="16"/>
                <w:szCs w:val="16"/>
                <w:lang w:val="es-ES"/>
              </w:rPr>
            </w:pPr>
            <w:r w:rsidRPr="00AE4E8D">
              <w:rPr>
                <w:rFonts w:ascii="Times New Roman" w:hAnsi="Times New Roman"/>
                <w:sz w:val="16"/>
                <w:szCs w:val="16"/>
                <w:lang w:val="es-ES"/>
              </w:rPr>
              <w:t>0,02%</w:t>
            </w:r>
          </w:p>
        </w:tc>
        <w:tc>
          <w:tcPr>
            <w:tcW w:w="120" w:type="pct"/>
            <w:noWrap/>
            <w:vAlign w:val="center"/>
          </w:tcPr>
          <w:p w14:paraId="4B5DD8E9"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6A574AB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362</w:t>
            </w:r>
          </w:p>
        </w:tc>
        <w:tc>
          <w:tcPr>
            <w:tcW w:w="413" w:type="pct"/>
            <w:noWrap/>
            <w:vAlign w:val="center"/>
            <w:hideMark/>
          </w:tcPr>
          <w:p w14:paraId="31DA5A2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0,1%</w:t>
            </w:r>
          </w:p>
        </w:tc>
        <w:tc>
          <w:tcPr>
            <w:tcW w:w="120" w:type="pct"/>
            <w:noWrap/>
            <w:vAlign w:val="center"/>
          </w:tcPr>
          <w:p w14:paraId="20C12D76"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2DF9D08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997</w:t>
            </w:r>
          </w:p>
        </w:tc>
        <w:tc>
          <w:tcPr>
            <w:tcW w:w="413" w:type="pct"/>
            <w:noWrap/>
            <w:vAlign w:val="center"/>
            <w:hideMark/>
          </w:tcPr>
          <w:p w14:paraId="63C26C0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0,2%</w:t>
            </w:r>
          </w:p>
        </w:tc>
        <w:tc>
          <w:tcPr>
            <w:tcW w:w="139" w:type="pct"/>
            <w:noWrap/>
            <w:vAlign w:val="bottom"/>
          </w:tcPr>
          <w:p w14:paraId="34B7AC07" w14:textId="77777777" w:rsidR="00E90931" w:rsidRPr="00AE4E8D" w:rsidRDefault="00E90931" w:rsidP="00E90931">
            <w:pPr>
              <w:rPr>
                <w:rFonts w:ascii="Times New Roman" w:hAnsi="Times New Roman"/>
                <w:sz w:val="16"/>
                <w:szCs w:val="16"/>
                <w:lang w:val="es-ES"/>
              </w:rPr>
            </w:pPr>
          </w:p>
        </w:tc>
      </w:tr>
      <w:tr w:rsidR="00B86C83" w:rsidRPr="00AE4E8D" w14:paraId="182B0BC4" w14:textId="77777777" w:rsidTr="000400C8">
        <w:trPr>
          <w:trHeight w:val="255"/>
          <w:jc w:val="center"/>
        </w:trPr>
        <w:tc>
          <w:tcPr>
            <w:tcW w:w="2080" w:type="pct"/>
            <w:vAlign w:val="bottom"/>
            <w:hideMark/>
          </w:tcPr>
          <w:p w14:paraId="4E64BEF7"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Sector Público </w:t>
            </w:r>
          </w:p>
        </w:tc>
        <w:tc>
          <w:tcPr>
            <w:tcW w:w="434" w:type="pct"/>
            <w:noWrap/>
            <w:vAlign w:val="bottom"/>
            <w:hideMark/>
          </w:tcPr>
          <w:p w14:paraId="09FEFC00" w14:textId="77777777" w:rsidR="00E90931" w:rsidRPr="00AE4E8D" w:rsidRDefault="0073242E" w:rsidP="00E90931">
            <w:pPr>
              <w:jc w:val="right"/>
              <w:rPr>
                <w:rFonts w:ascii="Times New Roman" w:hAnsi="Times New Roman"/>
                <w:sz w:val="16"/>
                <w:szCs w:val="16"/>
                <w:lang w:val="es-ES"/>
              </w:rPr>
            </w:pPr>
            <w:r w:rsidRPr="00AE4E8D">
              <w:rPr>
                <w:rFonts w:ascii="Times New Roman" w:hAnsi="Times New Roman"/>
                <w:sz w:val="16"/>
                <w:szCs w:val="16"/>
                <w:lang w:val="es-ES"/>
              </w:rPr>
              <w:t>-</w:t>
            </w:r>
            <w:r w:rsidR="00E90931" w:rsidRPr="00AE4E8D">
              <w:rPr>
                <w:rFonts w:ascii="Times New Roman" w:hAnsi="Times New Roman"/>
                <w:sz w:val="16"/>
                <w:szCs w:val="16"/>
                <w:lang w:val="es-ES"/>
              </w:rPr>
              <w:t xml:space="preserve"> </w:t>
            </w:r>
          </w:p>
        </w:tc>
        <w:tc>
          <w:tcPr>
            <w:tcW w:w="412" w:type="pct"/>
            <w:noWrap/>
            <w:vAlign w:val="bottom"/>
            <w:hideMark/>
          </w:tcPr>
          <w:p w14:paraId="16163F8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0,00%</w:t>
            </w:r>
          </w:p>
        </w:tc>
        <w:tc>
          <w:tcPr>
            <w:tcW w:w="120" w:type="pct"/>
            <w:noWrap/>
            <w:vAlign w:val="center"/>
          </w:tcPr>
          <w:p w14:paraId="6E90DCDC"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4675DF8E" w14:textId="77777777" w:rsidR="00E90931" w:rsidRPr="00AE4E8D" w:rsidRDefault="0073242E"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413" w:type="pct"/>
            <w:noWrap/>
            <w:vAlign w:val="center"/>
            <w:hideMark/>
          </w:tcPr>
          <w:p w14:paraId="330E195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w:t>
            </w:r>
          </w:p>
        </w:tc>
        <w:tc>
          <w:tcPr>
            <w:tcW w:w="120" w:type="pct"/>
            <w:noWrap/>
            <w:vAlign w:val="center"/>
          </w:tcPr>
          <w:p w14:paraId="3EEECE69"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6A7167A3" w14:textId="77777777" w:rsidR="00E90931" w:rsidRPr="00AE4E8D" w:rsidRDefault="0073242E"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413" w:type="pct"/>
            <w:noWrap/>
            <w:vAlign w:val="center"/>
            <w:hideMark/>
          </w:tcPr>
          <w:p w14:paraId="1BA1BBB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w:t>
            </w:r>
          </w:p>
        </w:tc>
        <w:tc>
          <w:tcPr>
            <w:tcW w:w="139" w:type="pct"/>
            <w:noWrap/>
            <w:vAlign w:val="bottom"/>
          </w:tcPr>
          <w:p w14:paraId="26AB6414" w14:textId="77777777" w:rsidR="00E90931" w:rsidRPr="00AE4E8D" w:rsidRDefault="00E90931" w:rsidP="00E90931">
            <w:pPr>
              <w:rPr>
                <w:rFonts w:ascii="Times New Roman" w:hAnsi="Times New Roman"/>
                <w:sz w:val="16"/>
                <w:szCs w:val="16"/>
                <w:lang w:val="es-ES"/>
              </w:rPr>
            </w:pPr>
          </w:p>
        </w:tc>
      </w:tr>
      <w:tr w:rsidR="00B86C83" w:rsidRPr="00AE4E8D" w14:paraId="794651F9" w14:textId="77777777" w:rsidTr="000400C8">
        <w:trPr>
          <w:trHeight w:val="255"/>
          <w:jc w:val="center"/>
        </w:trPr>
        <w:tc>
          <w:tcPr>
            <w:tcW w:w="2080" w:type="pct"/>
            <w:vAlign w:val="bottom"/>
            <w:hideMark/>
          </w:tcPr>
          <w:p w14:paraId="466F1008"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Otros Préstamos </w:t>
            </w:r>
          </w:p>
        </w:tc>
        <w:tc>
          <w:tcPr>
            <w:tcW w:w="434" w:type="pct"/>
            <w:noWrap/>
            <w:vAlign w:val="bottom"/>
            <w:hideMark/>
          </w:tcPr>
          <w:p w14:paraId="2DC6D4BB"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179.214 </w:t>
            </w:r>
          </w:p>
        </w:tc>
        <w:tc>
          <w:tcPr>
            <w:tcW w:w="412" w:type="pct"/>
            <w:noWrap/>
            <w:vAlign w:val="bottom"/>
            <w:hideMark/>
          </w:tcPr>
          <w:p w14:paraId="3FDBCAE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25,45%</w:t>
            </w:r>
          </w:p>
        </w:tc>
        <w:tc>
          <w:tcPr>
            <w:tcW w:w="120" w:type="pct"/>
            <w:noWrap/>
            <w:vAlign w:val="center"/>
          </w:tcPr>
          <w:p w14:paraId="6E039F89"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1C0C3DA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5.064</w:t>
            </w:r>
          </w:p>
        </w:tc>
        <w:tc>
          <w:tcPr>
            <w:tcW w:w="413" w:type="pct"/>
            <w:noWrap/>
            <w:vAlign w:val="center"/>
            <w:hideMark/>
          </w:tcPr>
          <w:p w14:paraId="1CA55B3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1,2%</w:t>
            </w:r>
          </w:p>
        </w:tc>
        <w:tc>
          <w:tcPr>
            <w:tcW w:w="120" w:type="pct"/>
            <w:noWrap/>
            <w:vAlign w:val="center"/>
          </w:tcPr>
          <w:p w14:paraId="0EA97EB7"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176EE04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42.444</w:t>
            </w:r>
          </w:p>
        </w:tc>
        <w:tc>
          <w:tcPr>
            <w:tcW w:w="413" w:type="pct"/>
            <w:noWrap/>
            <w:vAlign w:val="center"/>
            <w:hideMark/>
          </w:tcPr>
          <w:p w14:paraId="139E438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10,0%</w:t>
            </w:r>
          </w:p>
        </w:tc>
        <w:tc>
          <w:tcPr>
            <w:tcW w:w="139" w:type="pct"/>
            <w:noWrap/>
            <w:vAlign w:val="bottom"/>
          </w:tcPr>
          <w:p w14:paraId="39908B8C" w14:textId="77777777" w:rsidR="00E90931" w:rsidRPr="00AE4E8D" w:rsidRDefault="00E90931" w:rsidP="00E90931">
            <w:pPr>
              <w:rPr>
                <w:rFonts w:ascii="Times New Roman" w:hAnsi="Times New Roman"/>
                <w:sz w:val="16"/>
                <w:szCs w:val="16"/>
                <w:lang w:val="es-ES"/>
              </w:rPr>
            </w:pPr>
          </w:p>
        </w:tc>
      </w:tr>
      <w:tr w:rsidR="00B86C83" w:rsidRPr="00AE4E8D" w14:paraId="43EC32D2" w14:textId="77777777" w:rsidTr="000400C8">
        <w:trPr>
          <w:trHeight w:val="255"/>
          <w:jc w:val="center"/>
        </w:trPr>
        <w:tc>
          <w:tcPr>
            <w:tcW w:w="2080" w:type="pct"/>
            <w:vAlign w:val="bottom"/>
            <w:hideMark/>
          </w:tcPr>
          <w:p w14:paraId="19C3AEAD"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Comerciales – Construcción </w:t>
            </w:r>
          </w:p>
        </w:tc>
        <w:tc>
          <w:tcPr>
            <w:tcW w:w="434" w:type="pct"/>
            <w:noWrap/>
            <w:vAlign w:val="bottom"/>
            <w:hideMark/>
          </w:tcPr>
          <w:p w14:paraId="0310E80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467.421 </w:t>
            </w:r>
          </w:p>
        </w:tc>
        <w:tc>
          <w:tcPr>
            <w:tcW w:w="412" w:type="pct"/>
            <w:noWrap/>
            <w:vAlign w:val="bottom"/>
            <w:hideMark/>
          </w:tcPr>
          <w:p w14:paraId="3AA1614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66,39%</w:t>
            </w:r>
          </w:p>
        </w:tc>
        <w:tc>
          <w:tcPr>
            <w:tcW w:w="120" w:type="pct"/>
            <w:noWrap/>
            <w:vAlign w:val="center"/>
          </w:tcPr>
          <w:p w14:paraId="5C1EB93D"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21B54A14"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556</w:t>
            </w:r>
          </w:p>
        </w:tc>
        <w:tc>
          <w:tcPr>
            <w:tcW w:w="413" w:type="pct"/>
            <w:noWrap/>
            <w:vAlign w:val="center"/>
            <w:hideMark/>
          </w:tcPr>
          <w:p w14:paraId="42E7B0D7"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0,1%</w:t>
            </w:r>
          </w:p>
        </w:tc>
        <w:tc>
          <w:tcPr>
            <w:tcW w:w="120" w:type="pct"/>
            <w:noWrap/>
            <w:vAlign w:val="center"/>
          </w:tcPr>
          <w:p w14:paraId="4D77FE33"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0F5FB90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470</w:t>
            </w:r>
          </w:p>
        </w:tc>
        <w:tc>
          <w:tcPr>
            <w:tcW w:w="413" w:type="pct"/>
            <w:noWrap/>
            <w:vAlign w:val="center"/>
            <w:hideMark/>
          </w:tcPr>
          <w:p w14:paraId="664B0F5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0,1%</w:t>
            </w:r>
          </w:p>
        </w:tc>
        <w:tc>
          <w:tcPr>
            <w:tcW w:w="139" w:type="pct"/>
            <w:noWrap/>
            <w:vAlign w:val="bottom"/>
          </w:tcPr>
          <w:p w14:paraId="6898AB30" w14:textId="77777777" w:rsidR="00E90931" w:rsidRPr="00AE4E8D" w:rsidRDefault="00E90931" w:rsidP="00E90931">
            <w:pPr>
              <w:rPr>
                <w:rFonts w:ascii="Times New Roman" w:hAnsi="Times New Roman"/>
                <w:sz w:val="16"/>
                <w:szCs w:val="16"/>
                <w:lang w:val="es-ES"/>
              </w:rPr>
            </w:pPr>
          </w:p>
        </w:tc>
      </w:tr>
      <w:tr w:rsidR="00B86C83" w:rsidRPr="00AE4E8D" w14:paraId="1F247AC9" w14:textId="77777777" w:rsidTr="000400C8">
        <w:trPr>
          <w:trHeight w:val="255"/>
          <w:jc w:val="center"/>
        </w:trPr>
        <w:tc>
          <w:tcPr>
            <w:tcW w:w="2080" w:type="pct"/>
            <w:vAlign w:val="bottom"/>
            <w:hideMark/>
          </w:tcPr>
          <w:p w14:paraId="576668B8"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Comerciales – Asistencia de corto plazo </w:t>
            </w:r>
          </w:p>
        </w:tc>
        <w:tc>
          <w:tcPr>
            <w:tcW w:w="434" w:type="pct"/>
            <w:noWrap/>
            <w:vAlign w:val="bottom"/>
            <w:hideMark/>
          </w:tcPr>
          <w:p w14:paraId="0ECC512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 xml:space="preserve">15.445 </w:t>
            </w:r>
          </w:p>
        </w:tc>
        <w:tc>
          <w:tcPr>
            <w:tcW w:w="412" w:type="pct"/>
            <w:noWrap/>
            <w:vAlign w:val="bottom"/>
            <w:hideMark/>
          </w:tcPr>
          <w:p w14:paraId="4F523E1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2,19%</w:t>
            </w:r>
          </w:p>
        </w:tc>
        <w:tc>
          <w:tcPr>
            <w:tcW w:w="120" w:type="pct"/>
            <w:noWrap/>
            <w:vAlign w:val="center"/>
          </w:tcPr>
          <w:p w14:paraId="21254BBB"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2ED70812"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46.104</w:t>
            </w:r>
          </w:p>
        </w:tc>
        <w:tc>
          <w:tcPr>
            <w:tcW w:w="413" w:type="pct"/>
            <w:noWrap/>
            <w:vAlign w:val="center"/>
            <w:hideMark/>
          </w:tcPr>
          <w:p w14:paraId="0A5D6AC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10,8%</w:t>
            </w:r>
          </w:p>
        </w:tc>
        <w:tc>
          <w:tcPr>
            <w:tcW w:w="120" w:type="pct"/>
            <w:noWrap/>
            <w:vAlign w:val="center"/>
          </w:tcPr>
          <w:p w14:paraId="3CD68F77"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0E4A9808"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39.604</w:t>
            </w:r>
          </w:p>
        </w:tc>
        <w:tc>
          <w:tcPr>
            <w:tcW w:w="413" w:type="pct"/>
            <w:noWrap/>
            <w:vAlign w:val="center"/>
            <w:hideMark/>
          </w:tcPr>
          <w:p w14:paraId="5EB72F8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9,3%</w:t>
            </w:r>
          </w:p>
        </w:tc>
        <w:tc>
          <w:tcPr>
            <w:tcW w:w="139" w:type="pct"/>
            <w:noWrap/>
            <w:vAlign w:val="bottom"/>
          </w:tcPr>
          <w:p w14:paraId="34A7A9A9" w14:textId="77777777" w:rsidR="00E90931" w:rsidRPr="00AE4E8D" w:rsidRDefault="00E90931" w:rsidP="00E90931">
            <w:pPr>
              <w:rPr>
                <w:rFonts w:ascii="Times New Roman" w:hAnsi="Times New Roman"/>
                <w:sz w:val="16"/>
                <w:szCs w:val="16"/>
                <w:lang w:val="es-ES"/>
              </w:rPr>
            </w:pPr>
          </w:p>
        </w:tc>
      </w:tr>
      <w:tr w:rsidR="00B86C83" w:rsidRPr="00AE4E8D" w14:paraId="784BFDB7" w14:textId="77777777" w:rsidTr="000400C8">
        <w:trPr>
          <w:trHeight w:val="255"/>
          <w:jc w:val="center"/>
        </w:trPr>
        <w:tc>
          <w:tcPr>
            <w:tcW w:w="2080" w:type="pct"/>
            <w:vAlign w:val="bottom"/>
            <w:hideMark/>
          </w:tcPr>
          <w:p w14:paraId="558721F2"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Comerciales - Otros </w:t>
            </w:r>
          </w:p>
        </w:tc>
        <w:tc>
          <w:tcPr>
            <w:tcW w:w="434" w:type="pct"/>
            <w:noWrap/>
            <w:vAlign w:val="bottom"/>
            <w:hideMark/>
          </w:tcPr>
          <w:p w14:paraId="3C2E3235" w14:textId="77777777" w:rsidR="00E90931" w:rsidRPr="00AE4E8D" w:rsidRDefault="0073242E" w:rsidP="00E90931">
            <w:pPr>
              <w:jc w:val="right"/>
              <w:rPr>
                <w:rFonts w:ascii="Times New Roman" w:hAnsi="Times New Roman"/>
                <w:sz w:val="16"/>
                <w:szCs w:val="16"/>
                <w:lang w:val="es-ES"/>
              </w:rPr>
            </w:pPr>
            <w:r w:rsidRPr="00AE4E8D">
              <w:rPr>
                <w:rFonts w:ascii="Times New Roman" w:hAnsi="Times New Roman"/>
                <w:sz w:val="16"/>
                <w:szCs w:val="16"/>
                <w:lang w:val="es-ES"/>
              </w:rPr>
              <w:t>-</w:t>
            </w:r>
            <w:r w:rsidR="00E90931" w:rsidRPr="00AE4E8D">
              <w:rPr>
                <w:rFonts w:ascii="Times New Roman" w:hAnsi="Times New Roman"/>
                <w:sz w:val="16"/>
                <w:szCs w:val="16"/>
                <w:lang w:val="es-ES"/>
              </w:rPr>
              <w:t xml:space="preserve"> </w:t>
            </w:r>
          </w:p>
        </w:tc>
        <w:tc>
          <w:tcPr>
            <w:tcW w:w="412" w:type="pct"/>
            <w:noWrap/>
            <w:vAlign w:val="bottom"/>
            <w:hideMark/>
          </w:tcPr>
          <w:p w14:paraId="5348E74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0,00%</w:t>
            </w:r>
          </w:p>
        </w:tc>
        <w:tc>
          <w:tcPr>
            <w:tcW w:w="120" w:type="pct"/>
            <w:noWrap/>
            <w:vAlign w:val="center"/>
          </w:tcPr>
          <w:p w14:paraId="2EDE8330"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295B98D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206</w:t>
            </w:r>
          </w:p>
        </w:tc>
        <w:tc>
          <w:tcPr>
            <w:tcW w:w="413" w:type="pct"/>
            <w:noWrap/>
            <w:vAlign w:val="center"/>
            <w:hideMark/>
          </w:tcPr>
          <w:p w14:paraId="3A031FC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w:t>
            </w:r>
          </w:p>
        </w:tc>
        <w:tc>
          <w:tcPr>
            <w:tcW w:w="120" w:type="pct"/>
            <w:noWrap/>
            <w:vAlign w:val="center"/>
          </w:tcPr>
          <w:p w14:paraId="24E64366"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30B46571" w14:textId="77777777" w:rsidR="00E90931" w:rsidRPr="00AE4E8D" w:rsidRDefault="0073242E"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413" w:type="pct"/>
            <w:noWrap/>
            <w:vAlign w:val="center"/>
            <w:hideMark/>
          </w:tcPr>
          <w:p w14:paraId="13A45B2C"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0,0%</w:t>
            </w:r>
          </w:p>
        </w:tc>
        <w:tc>
          <w:tcPr>
            <w:tcW w:w="139" w:type="pct"/>
            <w:noWrap/>
            <w:vAlign w:val="bottom"/>
          </w:tcPr>
          <w:p w14:paraId="234A6687" w14:textId="77777777" w:rsidR="00E90931" w:rsidRPr="00AE4E8D" w:rsidRDefault="00E90931" w:rsidP="00E90931">
            <w:pPr>
              <w:rPr>
                <w:rFonts w:ascii="Times New Roman" w:hAnsi="Times New Roman"/>
                <w:sz w:val="16"/>
                <w:szCs w:val="16"/>
                <w:lang w:val="es-ES"/>
              </w:rPr>
            </w:pPr>
          </w:p>
        </w:tc>
      </w:tr>
      <w:tr w:rsidR="00EF2D26" w:rsidRPr="00AE4E8D" w14:paraId="51A43AC0" w14:textId="77777777" w:rsidTr="000400C8">
        <w:trPr>
          <w:trHeight w:val="255"/>
          <w:jc w:val="center"/>
        </w:trPr>
        <w:tc>
          <w:tcPr>
            <w:tcW w:w="2080" w:type="pct"/>
            <w:vAlign w:val="center"/>
          </w:tcPr>
          <w:p w14:paraId="165149EC" w14:textId="77777777" w:rsidR="00E90931" w:rsidRPr="00AE4E8D" w:rsidRDefault="00E90931" w:rsidP="00E90931">
            <w:pPr>
              <w:rPr>
                <w:rFonts w:ascii="Times New Roman" w:hAnsi="Times New Roman"/>
                <w:sz w:val="16"/>
                <w:szCs w:val="16"/>
                <w:lang w:val="es-ES"/>
              </w:rPr>
            </w:pPr>
          </w:p>
        </w:tc>
        <w:tc>
          <w:tcPr>
            <w:tcW w:w="434" w:type="pct"/>
            <w:noWrap/>
            <w:vAlign w:val="center"/>
          </w:tcPr>
          <w:p w14:paraId="478DA0B3" w14:textId="77777777" w:rsidR="00E90931" w:rsidRPr="00AE4E8D" w:rsidRDefault="00E90931" w:rsidP="00E90931">
            <w:pPr>
              <w:jc w:val="right"/>
              <w:rPr>
                <w:rFonts w:ascii="Times New Roman" w:hAnsi="Times New Roman"/>
                <w:sz w:val="16"/>
                <w:szCs w:val="16"/>
                <w:lang w:val="es-ES"/>
              </w:rPr>
            </w:pPr>
          </w:p>
        </w:tc>
        <w:tc>
          <w:tcPr>
            <w:tcW w:w="412" w:type="pct"/>
            <w:noWrap/>
            <w:vAlign w:val="center"/>
          </w:tcPr>
          <w:p w14:paraId="1F5AD530"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7AB143F6" w14:textId="77777777" w:rsidR="00E90931" w:rsidRPr="00AE4E8D" w:rsidRDefault="00E90931" w:rsidP="00E90931">
            <w:pPr>
              <w:jc w:val="right"/>
              <w:rPr>
                <w:rFonts w:ascii="Times New Roman" w:hAnsi="Times New Roman"/>
                <w:sz w:val="16"/>
                <w:szCs w:val="16"/>
                <w:lang w:val="es-ES"/>
              </w:rPr>
            </w:pPr>
          </w:p>
        </w:tc>
        <w:tc>
          <w:tcPr>
            <w:tcW w:w="434" w:type="pct"/>
            <w:noWrap/>
            <w:vAlign w:val="center"/>
          </w:tcPr>
          <w:p w14:paraId="7D89370A" w14:textId="77777777" w:rsidR="00E90931" w:rsidRPr="00AE4E8D" w:rsidRDefault="00E90931" w:rsidP="00E90931">
            <w:pPr>
              <w:jc w:val="right"/>
              <w:rPr>
                <w:rFonts w:ascii="Times New Roman" w:hAnsi="Times New Roman"/>
                <w:sz w:val="16"/>
                <w:szCs w:val="16"/>
                <w:lang w:val="es-ES"/>
              </w:rPr>
            </w:pPr>
          </w:p>
        </w:tc>
        <w:tc>
          <w:tcPr>
            <w:tcW w:w="413" w:type="pct"/>
            <w:noWrap/>
            <w:vAlign w:val="center"/>
          </w:tcPr>
          <w:p w14:paraId="14117272"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7C6043F8" w14:textId="77777777" w:rsidR="00E90931" w:rsidRPr="00AE4E8D" w:rsidRDefault="00E90931" w:rsidP="00E90931">
            <w:pPr>
              <w:jc w:val="right"/>
              <w:rPr>
                <w:rFonts w:ascii="Times New Roman" w:hAnsi="Times New Roman"/>
                <w:sz w:val="16"/>
                <w:szCs w:val="16"/>
                <w:lang w:val="es-ES"/>
              </w:rPr>
            </w:pPr>
          </w:p>
        </w:tc>
        <w:tc>
          <w:tcPr>
            <w:tcW w:w="434" w:type="pct"/>
            <w:noWrap/>
            <w:vAlign w:val="center"/>
          </w:tcPr>
          <w:p w14:paraId="141C8904" w14:textId="77777777" w:rsidR="00E90931" w:rsidRPr="00AE4E8D" w:rsidRDefault="00E90931" w:rsidP="00E90931">
            <w:pPr>
              <w:jc w:val="right"/>
              <w:rPr>
                <w:rFonts w:ascii="Times New Roman" w:hAnsi="Times New Roman"/>
                <w:sz w:val="16"/>
                <w:szCs w:val="16"/>
                <w:lang w:val="es-ES"/>
              </w:rPr>
            </w:pPr>
          </w:p>
        </w:tc>
        <w:tc>
          <w:tcPr>
            <w:tcW w:w="413" w:type="pct"/>
            <w:noWrap/>
            <w:vAlign w:val="center"/>
          </w:tcPr>
          <w:p w14:paraId="25C1251D" w14:textId="77777777" w:rsidR="00E90931" w:rsidRPr="00AE4E8D" w:rsidRDefault="00E90931" w:rsidP="00E90931">
            <w:pPr>
              <w:jc w:val="right"/>
              <w:rPr>
                <w:rFonts w:ascii="Times New Roman" w:hAnsi="Times New Roman"/>
                <w:sz w:val="16"/>
                <w:szCs w:val="16"/>
                <w:lang w:val="es-ES"/>
              </w:rPr>
            </w:pPr>
          </w:p>
        </w:tc>
        <w:tc>
          <w:tcPr>
            <w:tcW w:w="139" w:type="pct"/>
            <w:noWrap/>
            <w:vAlign w:val="bottom"/>
          </w:tcPr>
          <w:p w14:paraId="7DB98806" w14:textId="77777777" w:rsidR="00E90931" w:rsidRPr="00AE4E8D" w:rsidRDefault="00E90931" w:rsidP="00E90931">
            <w:pPr>
              <w:rPr>
                <w:rFonts w:ascii="Times New Roman" w:hAnsi="Times New Roman"/>
                <w:sz w:val="16"/>
                <w:szCs w:val="16"/>
                <w:lang w:val="es-ES"/>
              </w:rPr>
            </w:pPr>
          </w:p>
        </w:tc>
      </w:tr>
      <w:tr w:rsidR="003B5193" w:rsidRPr="00AE4E8D" w14:paraId="61B9ED65" w14:textId="77777777" w:rsidTr="00E90931">
        <w:trPr>
          <w:trHeight w:val="255"/>
          <w:jc w:val="center"/>
        </w:trPr>
        <w:tc>
          <w:tcPr>
            <w:tcW w:w="2080" w:type="pct"/>
            <w:vAlign w:val="bottom"/>
            <w:hideMark/>
          </w:tcPr>
          <w:p w14:paraId="246EB93C"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 Total préstamos morosos (1) </w:t>
            </w:r>
          </w:p>
        </w:tc>
        <w:tc>
          <w:tcPr>
            <w:tcW w:w="434" w:type="pct"/>
            <w:tcBorders>
              <w:top w:val="single" w:sz="4" w:space="0" w:color="auto"/>
              <w:left w:val="nil"/>
              <w:bottom w:val="nil"/>
              <w:right w:val="nil"/>
            </w:tcBorders>
            <w:noWrap/>
            <w:vAlign w:val="center"/>
            <w:hideMark/>
          </w:tcPr>
          <w:p w14:paraId="46C4F25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704.091</w:t>
            </w:r>
          </w:p>
        </w:tc>
        <w:tc>
          <w:tcPr>
            <w:tcW w:w="412" w:type="pct"/>
            <w:tcBorders>
              <w:top w:val="single" w:sz="4" w:space="0" w:color="auto"/>
              <w:left w:val="nil"/>
              <w:bottom w:val="nil"/>
              <w:right w:val="nil"/>
            </w:tcBorders>
            <w:noWrap/>
            <w:vAlign w:val="center"/>
            <w:hideMark/>
          </w:tcPr>
          <w:p w14:paraId="0C91A84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100,0%</w:t>
            </w:r>
          </w:p>
        </w:tc>
        <w:tc>
          <w:tcPr>
            <w:tcW w:w="120" w:type="pct"/>
            <w:noWrap/>
            <w:vAlign w:val="center"/>
          </w:tcPr>
          <w:p w14:paraId="4AF1A03B" w14:textId="77777777" w:rsidR="00E90931" w:rsidRPr="00AE4E8D" w:rsidRDefault="00E90931" w:rsidP="00E90931">
            <w:pPr>
              <w:jc w:val="right"/>
              <w:rPr>
                <w:rFonts w:ascii="Times New Roman" w:hAnsi="Times New Roman"/>
                <w:sz w:val="16"/>
                <w:szCs w:val="16"/>
                <w:lang w:val="es-ES"/>
              </w:rPr>
            </w:pPr>
          </w:p>
        </w:tc>
        <w:tc>
          <w:tcPr>
            <w:tcW w:w="434" w:type="pct"/>
            <w:tcBorders>
              <w:top w:val="single" w:sz="4" w:space="0" w:color="auto"/>
              <w:left w:val="nil"/>
              <w:bottom w:val="nil"/>
              <w:right w:val="nil"/>
            </w:tcBorders>
            <w:noWrap/>
            <w:vAlign w:val="center"/>
            <w:hideMark/>
          </w:tcPr>
          <w:p w14:paraId="329CDB9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428.754</w:t>
            </w:r>
          </w:p>
        </w:tc>
        <w:tc>
          <w:tcPr>
            <w:tcW w:w="413" w:type="pct"/>
            <w:tcBorders>
              <w:top w:val="single" w:sz="4" w:space="0" w:color="auto"/>
              <w:left w:val="nil"/>
              <w:bottom w:val="nil"/>
              <w:right w:val="nil"/>
            </w:tcBorders>
            <w:noWrap/>
            <w:vAlign w:val="center"/>
            <w:hideMark/>
          </w:tcPr>
          <w:p w14:paraId="46A1EA4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100,0%</w:t>
            </w:r>
          </w:p>
        </w:tc>
        <w:tc>
          <w:tcPr>
            <w:tcW w:w="120" w:type="pct"/>
            <w:noWrap/>
            <w:vAlign w:val="center"/>
          </w:tcPr>
          <w:p w14:paraId="4CA49FBF" w14:textId="77777777" w:rsidR="00E90931" w:rsidRPr="00AE4E8D" w:rsidRDefault="00E90931" w:rsidP="00E90931">
            <w:pPr>
              <w:jc w:val="right"/>
              <w:rPr>
                <w:rFonts w:ascii="Times New Roman" w:hAnsi="Times New Roman"/>
                <w:sz w:val="16"/>
                <w:szCs w:val="16"/>
                <w:lang w:val="es-ES"/>
              </w:rPr>
            </w:pPr>
          </w:p>
        </w:tc>
        <w:tc>
          <w:tcPr>
            <w:tcW w:w="434" w:type="pct"/>
            <w:tcBorders>
              <w:top w:val="single" w:sz="4" w:space="0" w:color="auto"/>
              <w:left w:val="nil"/>
              <w:bottom w:val="nil"/>
              <w:right w:val="nil"/>
            </w:tcBorders>
            <w:noWrap/>
            <w:vAlign w:val="center"/>
            <w:hideMark/>
          </w:tcPr>
          <w:p w14:paraId="62913DF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426.072</w:t>
            </w:r>
          </w:p>
        </w:tc>
        <w:tc>
          <w:tcPr>
            <w:tcW w:w="413" w:type="pct"/>
            <w:tcBorders>
              <w:top w:val="single" w:sz="4" w:space="0" w:color="auto"/>
              <w:left w:val="nil"/>
              <w:bottom w:val="nil"/>
              <w:right w:val="nil"/>
            </w:tcBorders>
            <w:noWrap/>
            <w:vAlign w:val="center"/>
            <w:hideMark/>
          </w:tcPr>
          <w:p w14:paraId="79026BC4" w14:textId="77777777" w:rsidR="00E90931" w:rsidRPr="00AE4E8D" w:rsidRDefault="00F15FE8" w:rsidP="00F15FE8">
            <w:pPr>
              <w:jc w:val="right"/>
              <w:rPr>
                <w:rFonts w:ascii="Times New Roman" w:hAnsi="Times New Roman"/>
                <w:sz w:val="16"/>
                <w:szCs w:val="16"/>
                <w:lang w:val="es-ES"/>
              </w:rPr>
            </w:pPr>
            <w:r w:rsidRPr="00AE4E8D">
              <w:rPr>
                <w:rFonts w:ascii="Times New Roman" w:hAnsi="Times New Roman"/>
                <w:sz w:val="16"/>
                <w:szCs w:val="16"/>
                <w:lang w:val="es-ES"/>
              </w:rPr>
              <w:t>100</w:t>
            </w:r>
            <w:r w:rsidR="004553A3" w:rsidRPr="00AE4E8D">
              <w:rPr>
                <w:rFonts w:ascii="Times New Roman" w:hAnsi="Times New Roman"/>
                <w:sz w:val="16"/>
                <w:szCs w:val="16"/>
                <w:lang w:val="es-ES"/>
              </w:rPr>
              <w:t>,0</w:t>
            </w:r>
            <w:r w:rsidR="00E90931" w:rsidRPr="00AE4E8D">
              <w:rPr>
                <w:rFonts w:ascii="Times New Roman" w:hAnsi="Times New Roman"/>
                <w:sz w:val="16"/>
                <w:szCs w:val="16"/>
                <w:lang w:val="es-ES"/>
              </w:rPr>
              <w:t>%</w:t>
            </w:r>
          </w:p>
        </w:tc>
        <w:tc>
          <w:tcPr>
            <w:tcW w:w="139" w:type="pct"/>
            <w:tcBorders>
              <w:top w:val="single" w:sz="4" w:space="0" w:color="auto"/>
              <w:left w:val="nil"/>
              <w:bottom w:val="nil"/>
              <w:right w:val="nil"/>
            </w:tcBorders>
            <w:noWrap/>
            <w:vAlign w:val="bottom"/>
            <w:hideMark/>
          </w:tcPr>
          <w:p w14:paraId="6CED2BE5"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EF2D26" w:rsidRPr="00AE4E8D" w14:paraId="210A1230" w14:textId="77777777" w:rsidTr="000400C8">
        <w:trPr>
          <w:trHeight w:val="255"/>
          <w:jc w:val="center"/>
        </w:trPr>
        <w:tc>
          <w:tcPr>
            <w:tcW w:w="2080" w:type="pct"/>
            <w:vAlign w:val="center"/>
          </w:tcPr>
          <w:p w14:paraId="34D5299D" w14:textId="77777777" w:rsidR="00E90931" w:rsidRPr="00AE4E8D" w:rsidRDefault="00E90931" w:rsidP="00E90931">
            <w:pPr>
              <w:rPr>
                <w:rFonts w:ascii="Times New Roman" w:hAnsi="Times New Roman"/>
                <w:sz w:val="16"/>
                <w:szCs w:val="16"/>
                <w:lang w:val="es-ES"/>
              </w:rPr>
            </w:pPr>
          </w:p>
        </w:tc>
        <w:tc>
          <w:tcPr>
            <w:tcW w:w="434" w:type="pct"/>
            <w:noWrap/>
            <w:vAlign w:val="center"/>
          </w:tcPr>
          <w:p w14:paraId="70AA316B" w14:textId="77777777" w:rsidR="00E90931" w:rsidRPr="00AE4E8D" w:rsidRDefault="00E90931" w:rsidP="00E90931">
            <w:pPr>
              <w:jc w:val="right"/>
              <w:rPr>
                <w:rFonts w:ascii="Times New Roman" w:hAnsi="Times New Roman"/>
                <w:sz w:val="16"/>
                <w:szCs w:val="16"/>
                <w:lang w:val="es-ES"/>
              </w:rPr>
            </w:pPr>
          </w:p>
        </w:tc>
        <w:tc>
          <w:tcPr>
            <w:tcW w:w="412" w:type="pct"/>
            <w:noWrap/>
            <w:vAlign w:val="center"/>
          </w:tcPr>
          <w:p w14:paraId="4C36B75A"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6A24DDAC" w14:textId="77777777" w:rsidR="00E90931" w:rsidRPr="00AE4E8D" w:rsidRDefault="00E90931" w:rsidP="00E90931">
            <w:pPr>
              <w:jc w:val="right"/>
              <w:rPr>
                <w:rFonts w:ascii="Times New Roman" w:hAnsi="Times New Roman"/>
                <w:sz w:val="16"/>
                <w:szCs w:val="16"/>
                <w:lang w:val="es-ES"/>
              </w:rPr>
            </w:pPr>
          </w:p>
        </w:tc>
        <w:tc>
          <w:tcPr>
            <w:tcW w:w="434" w:type="pct"/>
            <w:noWrap/>
            <w:vAlign w:val="center"/>
          </w:tcPr>
          <w:p w14:paraId="2358F17E" w14:textId="77777777" w:rsidR="00E90931" w:rsidRPr="00AE4E8D" w:rsidRDefault="00E90931" w:rsidP="00E90931">
            <w:pPr>
              <w:jc w:val="right"/>
              <w:rPr>
                <w:rFonts w:ascii="Times New Roman" w:hAnsi="Times New Roman"/>
                <w:sz w:val="16"/>
                <w:szCs w:val="16"/>
                <w:lang w:val="es-ES"/>
              </w:rPr>
            </w:pPr>
          </w:p>
        </w:tc>
        <w:tc>
          <w:tcPr>
            <w:tcW w:w="413" w:type="pct"/>
            <w:noWrap/>
            <w:vAlign w:val="center"/>
          </w:tcPr>
          <w:p w14:paraId="263538BB"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62CE1C1F" w14:textId="77777777" w:rsidR="00E90931" w:rsidRPr="00AE4E8D" w:rsidRDefault="00E90931" w:rsidP="00E90931">
            <w:pPr>
              <w:jc w:val="right"/>
              <w:rPr>
                <w:rFonts w:ascii="Times New Roman" w:hAnsi="Times New Roman"/>
                <w:sz w:val="16"/>
                <w:szCs w:val="16"/>
                <w:lang w:val="es-ES"/>
              </w:rPr>
            </w:pPr>
          </w:p>
        </w:tc>
        <w:tc>
          <w:tcPr>
            <w:tcW w:w="434" w:type="pct"/>
            <w:noWrap/>
            <w:vAlign w:val="center"/>
          </w:tcPr>
          <w:p w14:paraId="1819C853" w14:textId="77777777" w:rsidR="00E90931" w:rsidRPr="00AE4E8D" w:rsidRDefault="00E90931" w:rsidP="00E90931">
            <w:pPr>
              <w:jc w:val="right"/>
              <w:rPr>
                <w:rFonts w:ascii="Times New Roman" w:hAnsi="Times New Roman"/>
                <w:sz w:val="16"/>
                <w:szCs w:val="16"/>
                <w:lang w:val="es-ES"/>
              </w:rPr>
            </w:pPr>
          </w:p>
        </w:tc>
        <w:tc>
          <w:tcPr>
            <w:tcW w:w="413" w:type="pct"/>
            <w:noWrap/>
            <w:vAlign w:val="center"/>
          </w:tcPr>
          <w:p w14:paraId="3026E3AE" w14:textId="77777777" w:rsidR="00E90931" w:rsidRPr="00AE4E8D" w:rsidRDefault="00E90931" w:rsidP="00E90931">
            <w:pPr>
              <w:jc w:val="right"/>
              <w:rPr>
                <w:rFonts w:ascii="Times New Roman" w:hAnsi="Times New Roman"/>
                <w:sz w:val="16"/>
                <w:szCs w:val="16"/>
                <w:lang w:val="es-ES"/>
              </w:rPr>
            </w:pPr>
          </w:p>
        </w:tc>
        <w:tc>
          <w:tcPr>
            <w:tcW w:w="139" w:type="pct"/>
            <w:noWrap/>
            <w:vAlign w:val="bottom"/>
          </w:tcPr>
          <w:p w14:paraId="5EF967A5" w14:textId="77777777" w:rsidR="00E90931" w:rsidRPr="00AE4E8D" w:rsidRDefault="00E90931" w:rsidP="00E90931">
            <w:pPr>
              <w:rPr>
                <w:rFonts w:ascii="Times New Roman" w:hAnsi="Times New Roman"/>
                <w:sz w:val="16"/>
                <w:szCs w:val="16"/>
                <w:lang w:val="es-ES"/>
              </w:rPr>
            </w:pPr>
          </w:p>
        </w:tc>
      </w:tr>
      <w:tr w:rsidR="003B5193" w:rsidRPr="00AE4E8D" w14:paraId="328E327B" w14:textId="77777777" w:rsidTr="00E90931">
        <w:trPr>
          <w:trHeight w:val="255"/>
          <w:jc w:val="center"/>
        </w:trPr>
        <w:tc>
          <w:tcPr>
            <w:tcW w:w="2080" w:type="pct"/>
            <w:vAlign w:val="bottom"/>
            <w:hideMark/>
          </w:tcPr>
          <w:p w14:paraId="1A688ED6" w14:textId="77777777" w:rsidR="00E90931" w:rsidRPr="00AE4E8D" w:rsidRDefault="00E90931" w:rsidP="00E90931">
            <w:pPr>
              <w:ind w:firstLineChars="100" w:firstLine="160"/>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Previsión por riesgo incobrabilidad de préstamos </w:t>
            </w:r>
          </w:p>
        </w:tc>
        <w:tc>
          <w:tcPr>
            <w:tcW w:w="434" w:type="pct"/>
            <w:tcBorders>
              <w:top w:val="nil"/>
              <w:left w:val="nil"/>
              <w:bottom w:val="single" w:sz="4" w:space="0" w:color="000000"/>
              <w:right w:val="nil"/>
            </w:tcBorders>
            <w:noWrap/>
            <w:vAlign w:val="center"/>
            <w:hideMark/>
          </w:tcPr>
          <w:p w14:paraId="383C619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679.063</w:t>
            </w:r>
          </w:p>
        </w:tc>
        <w:tc>
          <w:tcPr>
            <w:tcW w:w="412" w:type="pct"/>
            <w:tcBorders>
              <w:top w:val="nil"/>
              <w:left w:val="nil"/>
              <w:bottom w:val="single" w:sz="4" w:space="0" w:color="000000"/>
              <w:right w:val="nil"/>
            </w:tcBorders>
            <w:noWrap/>
            <w:vAlign w:val="center"/>
            <w:hideMark/>
          </w:tcPr>
          <w:p w14:paraId="7F789A05"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center"/>
          </w:tcPr>
          <w:p w14:paraId="50B9AC8C" w14:textId="77777777" w:rsidR="00E90931" w:rsidRPr="00AE4E8D" w:rsidRDefault="00E90931" w:rsidP="00E90931">
            <w:pPr>
              <w:jc w:val="right"/>
              <w:rPr>
                <w:rFonts w:ascii="Times New Roman" w:hAnsi="Times New Roman"/>
                <w:sz w:val="16"/>
                <w:szCs w:val="16"/>
                <w:lang w:val="es-ES"/>
              </w:rPr>
            </w:pPr>
          </w:p>
        </w:tc>
        <w:tc>
          <w:tcPr>
            <w:tcW w:w="434" w:type="pct"/>
            <w:tcBorders>
              <w:top w:val="nil"/>
              <w:left w:val="nil"/>
              <w:bottom w:val="single" w:sz="4" w:space="0" w:color="000000"/>
              <w:right w:val="nil"/>
            </w:tcBorders>
            <w:noWrap/>
            <w:vAlign w:val="center"/>
            <w:hideMark/>
          </w:tcPr>
          <w:p w14:paraId="7E1D651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454.960</w:t>
            </w:r>
          </w:p>
        </w:tc>
        <w:tc>
          <w:tcPr>
            <w:tcW w:w="413" w:type="pct"/>
            <w:tcBorders>
              <w:top w:val="nil"/>
              <w:left w:val="nil"/>
              <w:bottom w:val="single" w:sz="4" w:space="0" w:color="000000"/>
              <w:right w:val="nil"/>
            </w:tcBorders>
            <w:noWrap/>
            <w:vAlign w:val="center"/>
            <w:hideMark/>
          </w:tcPr>
          <w:p w14:paraId="48BB9186"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20" w:type="pct"/>
            <w:noWrap/>
            <w:vAlign w:val="center"/>
          </w:tcPr>
          <w:p w14:paraId="5ECA92D3" w14:textId="77777777" w:rsidR="00E90931" w:rsidRPr="00AE4E8D" w:rsidRDefault="00E90931" w:rsidP="00E90931">
            <w:pPr>
              <w:jc w:val="right"/>
              <w:rPr>
                <w:rFonts w:ascii="Times New Roman" w:hAnsi="Times New Roman"/>
                <w:sz w:val="16"/>
                <w:szCs w:val="16"/>
                <w:lang w:val="es-ES"/>
              </w:rPr>
            </w:pPr>
          </w:p>
        </w:tc>
        <w:tc>
          <w:tcPr>
            <w:tcW w:w="434" w:type="pct"/>
            <w:tcBorders>
              <w:top w:val="nil"/>
              <w:left w:val="nil"/>
              <w:bottom w:val="single" w:sz="4" w:space="0" w:color="000000"/>
              <w:right w:val="nil"/>
            </w:tcBorders>
            <w:noWrap/>
            <w:vAlign w:val="center"/>
            <w:hideMark/>
          </w:tcPr>
          <w:p w14:paraId="1C6F9DFE"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410.556</w:t>
            </w:r>
          </w:p>
        </w:tc>
        <w:tc>
          <w:tcPr>
            <w:tcW w:w="413" w:type="pct"/>
            <w:tcBorders>
              <w:top w:val="nil"/>
              <w:left w:val="nil"/>
              <w:bottom w:val="single" w:sz="4" w:space="0" w:color="000000"/>
              <w:right w:val="nil"/>
            </w:tcBorders>
            <w:noWrap/>
            <w:vAlign w:val="center"/>
            <w:hideMark/>
          </w:tcPr>
          <w:p w14:paraId="010CDDFD"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w:t>
            </w:r>
          </w:p>
        </w:tc>
        <w:tc>
          <w:tcPr>
            <w:tcW w:w="139" w:type="pct"/>
            <w:tcBorders>
              <w:top w:val="nil"/>
              <w:left w:val="nil"/>
              <w:bottom w:val="single" w:sz="4" w:space="0" w:color="000000"/>
              <w:right w:val="nil"/>
            </w:tcBorders>
            <w:noWrap/>
            <w:vAlign w:val="bottom"/>
            <w:hideMark/>
          </w:tcPr>
          <w:p w14:paraId="65ACD5AD"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EF2D26" w:rsidRPr="00AE4E8D" w14:paraId="5E7BDF9E" w14:textId="77777777" w:rsidTr="000400C8">
        <w:trPr>
          <w:trHeight w:val="76"/>
          <w:jc w:val="center"/>
        </w:trPr>
        <w:tc>
          <w:tcPr>
            <w:tcW w:w="2080" w:type="pct"/>
            <w:vAlign w:val="center"/>
          </w:tcPr>
          <w:p w14:paraId="14335574" w14:textId="77777777" w:rsidR="00E90931" w:rsidRPr="00AE4E8D" w:rsidRDefault="00E90931" w:rsidP="00E90931">
            <w:pPr>
              <w:rPr>
                <w:rFonts w:ascii="Times New Roman" w:hAnsi="Times New Roman"/>
                <w:sz w:val="16"/>
                <w:szCs w:val="16"/>
                <w:lang w:val="es-ES"/>
              </w:rPr>
            </w:pPr>
          </w:p>
        </w:tc>
        <w:tc>
          <w:tcPr>
            <w:tcW w:w="434" w:type="pct"/>
            <w:noWrap/>
            <w:vAlign w:val="center"/>
          </w:tcPr>
          <w:p w14:paraId="10620288" w14:textId="77777777" w:rsidR="00E90931" w:rsidRPr="00AE4E8D" w:rsidRDefault="00E90931" w:rsidP="00E90931">
            <w:pPr>
              <w:jc w:val="right"/>
              <w:rPr>
                <w:rFonts w:ascii="Times New Roman" w:hAnsi="Times New Roman"/>
                <w:sz w:val="16"/>
                <w:szCs w:val="16"/>
                <w:lang w:val="es-ES"/>
              </w:rPr>
            </w:pPr>
          </w:p>
        </w:tc>
        <w:tc>
          <w:tcPr>
            <w:tcW w:w="412" w:type="pct"/>
            <w:noWrap/>
            <w:vAlign w:val="center"/>
          </w:tcPr>
          <w:p w14:paraId="1B07E883"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196F998C" w14:textId="77777777" w:rsidR="00E90931" w:rsidRPr="00AE4E8D" w:rsidRDefault="00E90931" w:rsidP="00E90931">
            <w:pPr>
              <w:jc w:val="right"/>
              <w:rPr>
                <w:rFonts w:ascii="Times New Roman" w:hAnsi="Times New Roman"/>
                <w:sz w:val="16"/>
                <w:szCs w:val="16"/>
                <w:lang w:val="es-ES"/>
              </w:rPr>
            </w:pPr>
          </w:p>
        </w:tc>
        <w:tc>
          <w:tcPr>
            <w:tcW w:w="434" w:type="pct"/>
            <w:noWrap/>
            <w:vAlign w:val="center"/>
          </w:tcPr>
          <w:p w14:paraId="69624CEC" w14:textId="77777777" w:rsidR="00E90931" w:rsidRPr="00AE4E8D" w:rsidRDefault="00E90931" w:rsidP="00E90931">
            <w:pPr>
              <w:jc w:val="right"/>
              <w:rPr>
                <w:rFonts w:ascii="Times New Roman" w:hAnsi="Times New Roman"/>
                <w:sz w:val="16"/>
                <w:szCs w:val="16"/>
                <w:lang w:val="es-ES"/>
              </w:rPr>
            </w:pPr>
          </w:p>
        </w:tc>
        <w:tc>
          <w:tcPr>
            <w:tcW w:w="413" w:type="pct"/>
            <w:noWrap/>
            <w:vAlign w:val="center"/>
          </w:tcPr>
          <w:p w14:paraId="7B2DFB5B"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2E10DB67" w14:textId="77777777" w:rsidR="00E90931" w:rsidRPr="00AE4E8D" w:rsidRDefault="00E90931" w:rsidP="00E90931">
            <w:pPr>
              <w:jc w:val="right"/>
              <w:rPr>
                <w:rFonts w:ascii="Times New Roman" w:hAnsi="Times New Roman"/>
                <w:sz w:val="16"/>
                <w:szCs w:val="16"/>
                <w:lang w:val="es-ES"/>
              </w:rPr>
            </w:pPr>
          </w:p>
        </w:tc>
        <w:tc>
          <w:tcPr>
            <w:tcW w:w="434" w:type="pct"/>
            <w:noWrap/>
            <w:vAlign w:val="center"/>
          </w:tcPr>
          <w:p w14:paraId="57BDD64F" w14:textId="77777777" w:rsidR="00E90931" w:rsidRPr="00AE4E8D" w:rsidRDefault="00E90931" w:rsidP="00E90931">
            <w:pPr>
              <w:jc w:val="right"/>
              <w:rPr>
                <w:rFonts w:ascii="Times New Roman" w:hAnsi="Times New Roman"/>
                <w:sz w:val="16"/>
                <w:szCs w:val="16"/>
                <w:lang w:val="es-ES"/>
              </w:rPr>
            </w:pPr>
          </w:p>
        </w:tc>
        <w:tc>
          <w:tcPr>
            <w:tcW w:w="413" w:type="pct"/>
            <w:noWrap/>
            <w:vAlign w:val="center"/>
          </w:tcPr>
          <w:p w14:paraId="28D37103" w14:textId="77777777" w:rsidR="00E90931" w:rsidRPr="00AE4E8D" w:rsidRDefault="00E90931" w:rsidP="00E90931">
            <w:pPr>
              <w:jc w:val="right"/>
              <w:rPr>
                <w:rFonts w:ascii="Times New Roman" w:hAnsi="Times New Roman"/>
                <w:sz w:val="16"/>
                <w:szCs w:val="16"/>
                <w:lang w:val="es-ES"/>
              </w:rPr>
            </w:pPr>
          </w:p>
        </w:tc>
        <w:tc>
          <w:tcPr>
            <w:tcW w:w="139" w:type="pct"/>
            <w:noWrap/>
            <w:vAlign w:val="bottom"/>
          </w:tcPr>
          <w:p w14:paraId="52A35189" w14:textId="77777777" w:rsidR="00E90931" w:rsidRPr="00AE4E8D" w:rsidRDefault="00E90931" w:rsidP="00E90931">
            <w:pPr>
              <w:rPr>
                <w:rFonts w:ascii="Times New Roman" w:hAnsi="Times New Roman"/>
                <w:sz w:val="16"/>
                <w:szCs w:val="16"/>
                <w:lang w:val="es-ES"/>
              </w:rPr>
            </w:pPr>
          </w:p>
        </w:tc>
      </w:tr>
      <w:tr w:rsidR="00B86C83" w:rsidRPr="00AE4E8D" w14:paraId="47268DF7" w14:textId="77777777" w:rsidTr="000400C8">
        <w:trPr>
          <w:trHeight w:val="510"/>
          <w:jc w:val="center"/>
        </w:trPr>
        <w:tc>
          <w:tcPr>
            <w:tcW w:w="2080" w:type="pct"/>
            <w:vAlign w:val="bottom"/>
            <w:hideMark/>
          </w:tcPr>
          <w:p w14:paraId="513E8AFC" w14:textId="77777777" w:rsidR="00E90931" w:rsidRPr="00AE4E8D" w:rsidRDefault="00E90931" w:rsidP="00E90931">
            <w:pPr>
              <w:ind w:firstLineChars="100" w:firstLine="160"/>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Previsión por riesgo incobrabilidad de préstamos como porcentaje de préstamos morosos </w:t>
            </w:r>
          </w:p>
        </w:tc>
        <w:tc>
          <w:tcPr>
            <w:tcW w:w="434" w:type="pct"/>
            <w:noWrap/>
            <w:vAlign w:val="center"/>
            <w:hideMark/>
          </w:tcPr>
          <w:p w14:paraId="6766D689"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96,5%</w:t>
            </w:r>
          </w:p>
        </w:tc>
        <w:tc>
          <w:tcPr>
            <w:tcW w:w="412" w:type="pct"/>
            <w:noWrap/>
            <w:vAlign w:val="center"/>
          </w:tcPr>
          <w:p w14:paraId="6F4142AC"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35A7B8D2"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7E6A1F56" w14:textId="77777777" w:rsidR="00E90931" w:rsidRPr="00AE4E8D" w:rsidRDefault="00E90931" w:rsidP="00F15FE8">
            <w:pPr>
              <w:jc w:val="right"/>
              <w:rPr>
                <w:rFonts w:ascii="Times New Roman" w:hAnsi="Times New Roman"/>
                <w:sz w:val="16"/>
                <w:szCs w:val="16"/>
                <w:lang w:val="es-ES"/>
              </w:rPr>
            </w:pPr>
            <w:r w:rsidRPr="00AE4E8D">
              <w:rPr>
                <w:rFonts w:ascii="Times New Roman" w:hAnsi="Times New Roman"/>
                <w:sz w:val="16"/>
                <w:szCs w:val="16"/>
                <w:lang w:val="es-ES"/>
              </w:rPr>
              <w:t>106,1</w:t>
            </w:r>
            <w:r w:rsidR="0096266A" w:rsidRPr="00AE4E8D">
              <w:rPr>
                <w:rFonts w:ascii="Times New Roman" w:hAnsi="Times New Roman"/>
                <w:sz w:val="16"/>
                <w:szCs w:val="16"/>
                <w:lang w:val="es-ES"/>
              </w:rPr>
              <w:t>%</w:t>
            </w:r>
          </w:p>
        </w:tc>
        <w:tc>
          <w:tcPr>
            <w:tcW w:w="413" w:type="pct"/>
            <w:noWrap/>
            <w:vAlign w:val="center"/>
          </w:tcPr>
          <w:p w14:paraId="48411848"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044D6DAF"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297578CA"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96,4%</w:t>
            </w:r>
          </w:p>
        </w:tc>
        <w:tc>
          <w:tcPr>
            <w:tcW w:w="413" w:type="pct"/>
            <w:noWrap/>
            <w:vAlign w:val="center"/>
          </w:tcPr>
          <w:p w14:paraId="1AA7A94A" w14:textId="77777777" w:rsidR="00E90931" w:rsidRPr="00AE4E8D" w:rsidRDefault="00E90931" w:rsidP="00E90931">
            <w:pPr>
              <w:jc w:val="right"/>
              <w:rPr>
                <w:rFonts w:ascii="Times New Roman" w:hAnsi="Times New Roman"/>
                <w:sz w:val="16"/>
                <w:szCs w:val="16"/>
                <w:lang w:val="es-ES"/>
              </w:rPr>
            </w:pPr>
          </w:p>
        </w:tc>
        <w:tc>
          <w:tcPr>
            <w:tcW w:w="139" w:type="pct"/>
            <w:noWrap/>
            <w:vAlign w:val="bottom"/>
          </w:tcPr>
          <w:p w14:paraId="2D162F6F" w14:textId="77777777" w:rsidR="00E90931" w:rsidRPr="00AE4E8D" w:rsidRDefault="00E90931" w:rsidP="00E90931">
            <w:pPr>
              <w:rPr>
                <w:rFonts w:ascii="Times New Roman" w:hAnsi="Times New Roman"/>
                <w:sz w:val="16"/>
                <w:szCs w:val="16"/>
                <w:lang w:val="es-ES"/>
              </w:rPr>
            </w:pPr>
          </w:p>
        </w:tc>
      </w:tr>
      <w:tr w:rsidR="00B86C83" w:rsidRPr="00AE4E8D" w14:paraId="3BB6C4B7" w14:textId="77777777" w:rsidTr="000400C8">
        <w:trPr>
          <w:trHeight w:val="330"/>
          <w:jc w:val="center"/>
        </w:trPr>
        <w:tc>
          <w:tcPr>
            <w:tcW w:w="2080" w:type="pct"/>
            <w:vAlign w:val="bottom"/>
            <w:hideMark/>
          </w:tcPr>
          <w:p w14:paraId="2D211200" w14:textId="77777777" w:rsidR="00E90931" w:rsidRPr="00AE4E8D" w:rsidRDefault="00E90931" w:rsidP="00E90931">
            <w:pPr>
              <w:ind w:firstLineChars="100" w:firstLine="160"/>
              <w:rPr>
                <w:rFonts w:ascii="Times New Roman" w:hAnsi="Times New Roman"/>
                <w:sz w:val="16"/>
                <w:szCs w:val="16"/>
                <w:lang w:val="es-ES"/>
              </w:rPr>
            </w:pPr>
            <w:r w:rsidRPr="00AE4E8D">
              <w:rPr>
                <w:rFonts w:ascii="Times New Roman" w:hAnsi="Times New Roman"/>
                <w:sz w:val="16"/>
                <w:szCs w:val="16"/>
                <w:lang w:val="es-ES"/>
              </w:rPr>
              <w:t xml:space="preserve">Préstamos morosos como porcentaje de préstamos totales </w:t>
            </w:r>
          </w:p>
        </w:tc>
        <w:tc>
          <w:tcPr>
            <w:tcW w:w="434" w:type="pct"/>
            <w:noWrap/>
            <w:vAlign w:val="center"/>
            <w:hideMark/>
          </w:tcPr>
          <w:p w14:paraId="68BC5899" w14:textId="77777777" w:rsidR="00E90931" w:rsidRPr="00AE4E8D" w:rsidRDefault="008C0F46" w:rsidP="00E90931">
            <w:pPr>
              <w:jc w:val="right"/>
              <w:rPr>
                <w:rFonts w:ascii="Times New Roman" w:hAnsi="Times New Roman"/>
                <w:sz w:val="16"/>
                <w:szCs w:val="16"/>
                <w:lang w:val="es-ES"/>
              </w:rPr>
            </w:pPr>
            <w:r w:rsidRPr="00AE4E8D">
              <w:rPr>
                <w:rFonts w:ascii="Times New Roman" w:hAnsi="Times New Roman"/>
                <w:sz w:val="16"/>
                <w:szCs w:val="16"/>
                <w:lang w:val="es-ES"/>
              </w:rPr>
              <w:t>2</w:t>
            </w:r>
            <w:r w:rsidR="00E90931" w:rsidRPr="00AE4E8D">
              <w:rPr>
                <w:rFonts w:ascii="Times New Roman" w:hAnsi="Times New Roman"/>
                <w:sz w:val="16"/>
                <w:szCs w:val="16"/>
                <w:lang w:val="es-ES"/>
              </w:rPr>
              <w:t>,5%</w:t>
            </w:r>
          </w:p>
        </w:tc>
        <w:tc>
          <w:tcPr>
            <w:tcW w:w="412" w:type="pct"/>
            <w:noWrap/>
            <w:vAlign w:val="center"/>
          </w:tcPr>
          <w:p w14:paraId="1C9FD42E"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3A9BA015"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7F592861"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2,0%</w:t>
            </w:r>
          </w:p>
        </w:tc>
        <w:tc>
          <w:tcPr>
            <w:tcW w:w="413" w:type="pct"/>
            <w:noWrap/>
            <w:vAlign w:val="center"/>
          </w:tcPr>
          <w:p w14:paraId="1A6F20E1" w14:textId="77777777" w:rsidR="00E90931" w:rsidRPr="00AE4E8D" w:rsidRDefault="00E90931" w:rsidP="00E90931">
            <w:pPr>
              <w:jc w:val="right"/>
              <w:rPr>
                <w:rFonts w:ascii="Times New Roman" w:hAnsi="Times New Roman"/>
                <w:sz w:val="16"/>
                <w:szCs w:val="16"/>
                <w:lang w:val="es-ES"/>
              </w:rPr>
            </w:pPr>
          </w:p>
        </w:tc>
        <w:tc>
          <w:tcPr>
            <w:tcW w:w="120" w:type="pct"/>
            <w:noWrap/>
            <w:vAlign w:val="center"/>
          </w:tcPr>
          <w:p w14:paraId="344D1328" w14:textId="77777777" w:rsidR="00E90931" w:rsidRPr="00AE4E8D" w:rsidRDefault="00E90931" w:rsidP="00E90931">
            <w:pPr>
              <w:jc w:val="right"/>
              <w:rPr>
                <w:rFonts w:ascii="Times New Roman" w:hAnsi="Times New Roman"/>
                <w:sz w:val="16"/>
                <w:szCs w:val="16"/>
                <w:lang w:val="es-ES"/>
              </w:rPr>
            </w:pPr>
          </w:p>
        </w:tc>
        <w:tc>
          <w:tcPr>
            <w:tcW w:w="434" w:type="pct"/>
            <w:noWrap/>
            <w:vAlign w:val="center"/>
            <w:hideMark/>
          </w:tcPr>
          <w:p w14:paraId="0BE4C0F3" w14:textId="77777777" w:rsidR="00E90931" w:rsidRPr="00AE4E8D" w:rsidRDefault="00E90931" w:rsidP="00E90931">
            <w:pPr>
              <w:jc w:val="right"/>
              <w:rPr>
                <w:rFonts w:ascii="Times New Roman" w:hAnsi="Times New Roman"/>
                <w:sz w:val="16"/>
                <w:szCs w:val="16"/>
                <w:lang w:val="es-ES"/>
              </w:rPr>
            </w:pPr>
            <w:r w:rsidRPr="00AE4E8D">
              <w:rPr>
                <w:rFonts w:ascii="Times New Roman" w:hAnsi="Times New Roman"/>
                <w:sz w:val="16"/>
                <w:szCs w:val="16"/>
                <w:lang w:val="es-ES"/>
              </w:rPr>
              <w:t>2,4%</w:t>
            </w:r>
          </w:p>
        </w:tc>
        <w:tc>
          <w:tcPr>
            <w:tcW w:w="413" w:type="pct"/>
            <w:noWrap/>
            <w:vAlign w:val="center"/>
          </w:tcPr>
          <w:p w14:paraId="61CACE77" w14:textId="77777777" w:rsidR="00E90931" w:rsidRPr="00AE4E8D" w:rsidRDefault="00E90931" w:rsidP="00E90931">
            <w:pPr>
              <w:jc w:val="right"/>
              <w:rPr>
                <w:rFonts w:ascii="Times New Roman" w:hAnsi="Times New Roman"/>
                <w:sz w:val="16"/>
                <w:szCs w:val="16"/>
                <w:lang w:val="es-ES"/>
              </w:rPr>
            </w:pPr>
          </w:p>
        </w:tc>
        <w:tc>
          <w:tcPr>
            <w:tcW w:w="139" w:type="pct"/>
            <w:noWrap/>
            <w:vAlign w:val="bottom"/>
          </w:tcPr>
          <w:p w14:paraId="3C5FA12B" w14:textId="77777777" w:rsidR="00E90931" w:rsidRPr="00AE4E8D" w:rsidRDefault="00E90931" w:rsidP="00E90931">
            <w:pPr>
              <w:rPr>
                <w:rFonts w:ascii="Times New Roman" w:hAnsi="Times New Roman"/>
                <w:sz w:val="16"/>
                <w:szCs w:val="16"/>
                <w:lang w:val="es-ES"/>
              </w:rPr>
            </w:pPr>
          </w:p>
        </w:tc>
      </w:tr>
    </w:tbl>
    <w:p w14:paraId="6DA56F01" w14:textId="77777777" w:rsidR="00E90931" w:rsidRPr="00AE4E8D" w:rsidRDefault="00E90931" w:rsidP="00E90931">
      <w:pPr>
        <w:autoSpaceDE w:val="0"/>
        <w:autoSpaceDN w:val="0"/>
        <w:adjustRightInd w:val="0"/>
        <w:spacing w:before="120" w:after="120"/>
        <w:jc w:val="both"/>
        <w:rPr>
          <w:rFonts w:ascii="Times New Roman" w:hAnsi="Times New Roman"/>
          <w:sz w:val="16"/>
          <w:lang w:val="es-ES" w:eastAsia="es-AR"/>
        </w:rPr>
      </w:pPr>
      <w:r w:rsidRPr="00AE4E8D">
        <w:rPr>
          <w:rFonts w:ascii="Times New Roman" w:hAnsi="Times New Roman"/>
          <w:sz w:val="16"/>
          <w:lang w:val="es-ES" w:eastAsia="es-AR"/>
        </w:rPr>
        <w:t>(1) Los préstamos morosos incluyen todos los préstamos a prestatarios clasificados como “Riesgo Medio”, “Irrecuperables”, “Irrecuperables por Decisión Técnica”, “Sujeto a monitoreo especial / Bajo negociación o sujeto a acuerdo de refinanciación”, “Con Problemas” y “Alto Riesgo de Insolvencia”, bajo el sistema de clasificación de préstamos del BCRA Los préstamos en mora también incluyen todos los préstamos con atrasos de 90 días o más.</w:t>
      </w:r>
    </w:p>
    <w:p w14:paraId="7EA060FC" w14:textId="77777777" w:rsidR="00E90931" w:rsidRPr="00AE4E8D" w:rsidRDefault="00E90931" w:rsidP="00E9093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muestra los préstamos en mora por actividad económica a cada una de las fechas indicadas:</w:t>
      </w:r>
    </w:p>
    <w:tbl>
      <w:tblPr>
        <w:tblW w:w="5000" w:type="pct"/>
        <w:jc w:val="center"/>
        <w:tblLook w:val="00A0" w:firstRow="1" w:lastRow="0" w:firstColumn="1" w:lastColumn="0" w:noHBand="0" w:noVBand="0"/>
      </w:tblPr>
      <w:tblGrid>
        <w:gridCol w:w="1533"/>
        <w:gridCol w:w="222"/>
        <w:gridCol w:w="1205"/>
        <w:gridCol w:w="1288"/>
        <w:gridCol w:w="1205"/>
        <w:gridCol w:w="1288"/>
        <w:gridCol w:w="1205"/>
        <w:gridCol w:w="1291"/>
      </w:tblGrid>
      <w:tr w:rsidR="00E90931" w:rsidRPr="00AE4E8D" w14:paraId="185FAE4B" w14:textId="77777777" w:rsidTr="000400C8">
        <w:trPr>
          <w:trHeight w:val="255"/>
          <w:jc w:val="center"/>
        </w:trPr>
        <w:tc>
          <w:tcPr>
            <w:tcW w:w="830" w:type="pct"/>
            <w:vAlign w:val="center"/>
          </w:tcPr>
          <w:p w14:paraId="69B5ABD7"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798E4087" w14:textId="77777777" w:rsidR="00E90931" w:rsidRPr="00AE4E8D" w:rsidRDefault="00E90931" w:rsidP="00E90931">
            <w:pPr>
              <w:rPr>
                <w:rFonts w:ascii="Times New Roman" w:hAnsi="Times New Roman"/>
                <w:sz w:val="16"/>
                <w:szCs w:val="16"/>
                <w:lang w:val="es-ES"/>
              </w:rPr>
            </w:pPr>
          </w:p>
        </w:tc>
        <w:tc>
          <w:tcPr>
            <w:tcW w:w="4049" w:type="pct"/>
            <w:gridSpan w:val="6"/>
            <w:tcBorders>
              <w:top w:val="nil"/>
              <w:left w:val="nil"/>
              <w:bottom w:val="single" w:sz="4" w:space="0" w:color="auto"/>
              <w:right w:val="nil"/>
            </w:tcBorders>
            <w:noWrap/>
            <w:vAlign w:val="bottom"/>
            <w:hideMark/>
          </w:tcPr>
          <w:p w14:paraId="614E6AAF"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Al 31 de diciembre de</w:t>
            </w:r>
          </w:p>
        </w:tc>
      </w:tr>
      <w:tr w:rsidR="00E90931" w:rsidRPr="00AE4E8D" w14:paraId="6D89F2E0" w14:textId="77777777" w:rsidTr="000400C8">
        <w:trPr>
          <w:trHeight w:val="255"/>
          <w:jc w:val="center"/>
        </w:trPr>
        <w:tc>
          <w:tcPr>
            <w:tcW w:w="830" w:type="pct"/>
            <w:vAlign w:val="center"/>
          </w:tcPr>
          <w:p w14:paraId="29AE2A3F"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199772CE" w14:textId="77777777" w:rsidR="00E90931" w:rsidRPr="00AE4E8D" w:rsidRDefault="00E90931" w:rsidP="00E90931">
            <w:pPr>
              <w:rPr>
                <w:rFonts w:ascii="Times New Roman" w:hAnsi="Times New Roman"/>
                <w:sz w:val="16"/>
                <w:szCs w:val="16"/>
                <w:lang w:val="es-ES"/>
              </w:rPr>
            </w:pPr>
          </w:p>
        </w:tc>
        <w:tc>
          <w:tcPr>
            <w:tcW w:w="1349" w:type="pct"/>
            <w:gridSpan w:val="2"/>
            <w:tcBorders>
              <w:top w:val="single" w:sz="4" w:space="0" w:color="auto"/>
              <w:left w:val="nil"/>
              <w:bottom w:val="single" w:sz="4" w:space="0" w:color="auto"/>
              <w:right w:val="nil"/>
            </w:tcBorders>
            <w:noWrap/>
            <w:vAlign w:val="bottom"/>
            <w:hideMark/>
          </w:tcPr>
          <w:p w14:paraId="621BF9FD"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2016</w:t>
            </w:r>
            <w:r w:rsidRPr="00AE4E8D">
              <w:rPr>
                <w:rFonts w:ascii="Times New Roman" w:hAnsi="Times New Roman"/>
                <w:b/>
                <w:bCs/>
                <w:sz w:val="16"/>
                <w:szCs w:val="16"/>
                <w:lang w:val="es-ES"/>
              </w:rPr>
              <w:t xml:space="preserve"> </w:t>
            </w:r>
          </w:p>
        </w:tc>
        <w:tc>
          <w:tcPr>
            <w:tcW w:w="1349" w:type="pct"/>
            <w:gridSpan w:val="2"/>
            <w:tcBorders>
              <w:top w:val="single" w:sz="4" w:space="0" w:color="auto"/>
              <w:left w:val="nil"/>
              <w:bottom w:val="single" w:sz="4" w:space="0" w:color="auto"/>
              <w:right w:val="nil"/>
            </w:tcBorders>
            <w:noWrap/>
            <w:vAlign w:val="bottom"/>
            <w:hideMark/>
          </w:tcPr>
          <w:p w14:paraId="66523EBE"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2015</w:t>
            </w:r>
            <w:r w:rsidRPr="00AE4E8D">
              <w:rPr>
                <w:rFonts w:ascii="Times New Roman" w:hAnsi="Times New Roman"/>
                <w:b/>
                <w:bCs/>
                <w:sz w:val="16"/>
                <w:szCs w:val="16"/>
                <w:lang w:val="es-ES"/>
              </w:rPr>
              <w:t xml:space="preserve"> </w:t>
            </w:r>
          </w:p>
        </w:tc>
        <w:tc>
          <w:tcPr>
            <w:tcW w:w="1351" w:type="pct"/>
            <w:gridSpan w:val="2"/>
            <w:tcBorders>
              <w:top w:val="single" w:sz="4" w:space="0" w:color="auto"/>
              <w:left w:val="nil"/>
              <w:bottom w:val="single" w:sz="4" w:space="0" w:color="auto"/>
              <w:right w:val="nil"/>
            </w:tcBorders>
            <w:noWrap/>
            <w:vAlign w:val="bottom"/>
            <w:hideMark/>
          </w:tcPr>
          <w:p w14:paraId="7C3DE513"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2014</w:t>
            </w:r>
            <w:r w:rsidRPr="00AE4E8D">
              <w:rPr>
                <w:rFonts w:ascii="Times New Roman" w:hAnsi="Times New Roman"/>
                <w:b/>
                <w:bCs/>
                <w:sz w:val="16"/>
                <w:szCs w:val="16"/>
                <w:lang w:val="es-ES"/>
              </w:rPr>
              <w:t xml:space="preserve"> </w:t>
            </w:r>
          </w:p>
        </w:tc>
      </w:tr>
      <w:tr w:rsidR="00EF2D26" w:rsidRPr="00AE4E8D" w14:paraId="1E314335" w14:textId="77777777" w:rsidTr="000400C8">
        <w:trPr>
          <w:trHeight w:val="510"/>
          <w:jc w:val="center"/>
        </w:trPr>
        <w:tc>
          <w:tcPr>
            <w:tcW w:w="830" w:type="pct"/>
            <w:vAlign w:val="center"/>
          </w:tcPr>
          <w:p w14:paraId="603767A5" w14:textId="77777777" w:rsidR="00E90931" w:rsidRPr="00AE4E8D" w:rsidRDefault="00E90931" w:rsidP="00E90931">
            <w:pPr>
              <w:jc w:val="center"/>
              <w:rPr>
                <w:rFonts w:ascii="Times New Roman" w:hAnsi="Times New Roman"/>
                <w:b/>
                <w:bCs/>
                <w:sz w:val="16"/>
                <w:szCs w:val="16"/>
                <w:u w:val="single"/>
                <w:lang w:val="es-ES"/>
              </w:rPr>
            </w:pPr>
          </w:p>
        </w:tc>
        <w:tc>
          <w:tcPr>
            <w:tcW w:w="120" w:type="pct"/>
            <w:vAlign w:val="bottom"/>
          </w:tcPr>
          <w:p w14:paraId="489010EA" w14:textId="77777777" w:rsidR="00E90931" w:rsidRPr="00AE4E8D" w:rsidRDefault="00E90931" w:rsidP="00E90931">
            <w:pPr>
              <w:jc w:val="center"/>
              <w:rPr>
                <w:rFonts w:ascii="Times New Roman" w:hAnsi="Times New Roman"/>
                <w:b/>
                <w:bCs/>
                <w:sz w:val="16"/>
                <w:szCs w:val="16"/>
                <w:u w:val="single"/>
                <w:lang w:val="es-ES"/>
              </w:rPr>
            </w:pPr>
          </w:p>
        </w:tc>
        <w:tc>
          <w:tcPr>
            <w:tcW w:w="652" w:type="pct"/>
            <w:tcBorders>
              <w:top w:val="nil"/>
              <w:left w:val="nil"/>
              <w:bottom w:val="single" w:sz="4" w:space="0" w:color="auto"/>
              <w:right w:val="nil"/>
            </w:tcBorders>
            <w:vAlign w:val="center"/>
            <w:hideMark/>
          </w:tcPr>
          <w:p w14:paraId="59E5B108"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697" w:type="pct"/>
            <w:tcBorders>
              <w:top w:val="nil"/>
              <w:left w:val="nil"/>
              <w:bottom w:val="single" w:sz="4" w:space="0" w:color="auto"/>
              <w:right w:val="nil"/>
            </w:tcBorders>
            <w:vAlign w:val="center"/>
            <w:hideMark/>
          </w:tcPr>
          <w:p w14:paraId="5BC55972"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c>
          <w:tcPr>
            <w:tcW w:w="652" w:type="pct"/>
            <w:tcBorders>
              <w:top w:val="nil"/>
              <w:left w:val="nil"/>
              <w:bottom w:val="single" w:sz="4" w:space="0" w:color="auto"/>
              <w:right w:val="nil"/>
            </w:tcBorders>
            <w:vAlign w:val="center"/>
            <w:hideMark/>
          </w:tcPr>
          <w:p w14:paraId="3D054694"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697" w:type="pct"/>
            <w:tcBorders>
              <w:top w:val="nil"/>
              <w:left w:val="nil"/>
              <w:bottom w:val="single" w:sz="4" w:space="0" w:color="auto"/>
              <w:right w:val="nil"/>
            </w:tcBorders>
            <w:vAlign w:val="center"/>
            <w:hideMark/>
          </w:tcPr>
          <w:p w14:paraId="0E715F48"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c>
          <w:tcPr>
            <w:tcW w:w="652" w:type="pct"/>
            <w:tcBorders>
              <w:top w:val="nil"/>
              <w:left w:val="nil"/>
              <w:bottom w:val="single" w:sz="4" w:space="0" w:color="auto"/>
              <w:right w:val="nil"/>
            </w:tcBorders>
            <w:vAlign w:val="center"/>
            <w:hideMark/>
          </w:tcPr>
          <w:p w14:paraId="2E60F385"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Montos</w:t>
            </w:r>
          </w:p>
        </w:tc>
        <w:tc>
          <w:tcPr>
            <w:tcW w:w="699" w:type="pct"/>
            <w:tcBorders>
              <w:top w:val="nil"/>
              <w:left w:val="nil"/>
              <w:bottom w:val="single" w:sz="4" w:space="0" w:color="auto"/>
              <w:right w:val="nil"/>
            </w:tcBorders>
            <w:vAlign w:val="center"/>
            <w:hideMark/>
          </w:tcPr>
          <w:p w14:paraId="586B0F27" w14:textId="77777777" w:rsidR="00E90931" w:rsidRPr="00AE4E8D" w:rsidRDefault="00E90931" w:rsidP="00E90931">
            <w:pPr>
              <w:jc w:val="center"/>
              <w:rPr>
                <w:rFonts w:ascii="Times New Roman" w:hAnsi="Times New Roman"/>
                <w:sz w:val="16"/>
                <w:szCs w:val="16"/>
                <w:lang w:val="es-ES"/>
              </w:rPr>
            </w:pPr>
            <w:r w:rsidRPr="00AE4E8D">
              <w:rPr>
                <w:rFonts w:ascii="Times New Roman" w:hAnsi="Times New Roman"/>
                <w:sz w:val="16"/>
                <w:szCs w:val="16"/>
                <w:lang w:val="es-ES"/>
              </w:rPr>
              <w:t>% del total de Préstamos</w:t>
            </w:r>
          </w:p>
        </w:tc>
      </w:tr>
      <w:tr w:rsidR="00E90931" w:rsidRPr="00AE4E8D" w14:paraId="4CCA5D09" w14:textId="77777777" w:rsidTr="000400C8">
        <w:trPr>
          <w:trHeight w:val="255"/>
          <w:jc w:val="center"/>
        </w:trPr>
        <w:tc>
          <w:tcPr>
            <w:tcW w:w="830" w:type="pct"/>
            <w:vAlign w:val="center"/>
          </w:tcPr>
          <w:p w14:paraId="62EBFB47" w14:textId="77777777" w:rsidR="00E90931" w:rsidRPr="00AE4E8D" w:rsidRDefault="00E90931" w:rsidP="00E90931">
            <w:pPr>
              <w:rPr>
                <w:rFonts w:ascii="Times New Roman" w:hAnsi="Times New Roman"/>
                <w:b/>
                <w:bCs/>
                <w:sz w:val="16"/>
                <w:szCs w:val="16"/>
                <w:lang w:val="es-ES"/>
              </w:rPr>
            </w:pPr>
          </w:p>
        </w:tc>
        <w:tc>
          <w:tcPr>
            <w:tcW w:w="120" w:type="pct"/>
            <w:noWrap/>
            <w:vAlign w:val="bottom"/>
          </w:tcPr>
          <w:p w14:paraId="1213C762" w14:textId="77777777" w:rsidR="00E90931" w:rsidRPr="00AE4E8D" w:rsidRDefault="00E90931" w:rsidP="00E90931">
            <w:pPr>
              <w:rPr>
                <w:rFonts w:ascii="Times New Roman" w:hAnsi="Times New Roman"/>
                <w:sz w:val="16"/>
                <w:szCs w:val="16"/>
                <w:lang w:val="es-ES"/>
              </w:rPr>
            </w:pPr>
          </w:p>
        </w:tc>
        <w:tc>
          <w:tcPr>
            <w:tcW w:w="4049" w:type="pct"/>
            <w:gridSpan w:val="6"/>
            <w:noWrap/>
            <w:vAlign w:val="bottom"/>
            <w:hideMark/>
          </w:tcPr>
          <w:p w14:paraId="1BD4C65B" w14:textId="77777777" w:rsidR="00E90931" w:rsidRPr="00AE4E8D" w:rsidRDefault="00E90931">
            <w:pPr>
              <w:jc w:val="center"/>
              <w:rPr>
                <w:rFonts w:ascii="Times New Roman" w:hAnsi="Times New Roman"/>
                <w:sz w:val="16"/>
                <w:szCs w:val="16"/>
                <w:lang w:val="es-ES"/>
              </w:rPr>
            </w:pPr>
            <w:r w:rsidRPr="00AE4E8D">
              <w:rPr>
                <w:rFonts w:ascii="Times New Roman" w:hAnsi="Times New Roman"/>
                <w:sz w:val="16"/>
                <w:szCs w:val="16"/>
                <w:lang w:val="es-ES"/>
              </w:rPr>
              <w:t xml:space="preserve"> (en </w:t>
            </w:r>
            <w:r w:rsidR="0073242E" w:rsidRPr="00AE4E8D">
              <w:rPr>
                <w:rFonts w:ascii="Times New Roman" w:hAnsi="Times New Roman"/>
                <w:sz w:val="16"/>
                <w:szCs w:val="16"/>
                <w:lang w:val="es-ES"/>
              </w:rPr>
              <w:t xml:space="preserve">miles </w:t>
            </w:r>
            <w:r w:rsidRPr="00AE4E8D">
              <w:rPr>
                <w:rFonts w:ascii="Times New Roman" w:hAnsi="Times New Roman"/>
                <w:sz w:val="16"/>
                <w:szCs w:val="16"/>
                <w:lang w:val="es-ES"/>
              </w:rPr>
              <w:t xml:space="preserve">de Pesos, salvo porcentajes) </w:t>
            </w:r>
          </w:p>
        </w:tc>
      </w:tr>
      <w:tr w:rsidR="00E90931" w:rsidRPr="00AE4E8D" w14:paraId="7A3A18C2" w14:textId="77777777" w:rsidTr="000400C8">
        <w:trPr>
          <w:trHeight w:val="255"/>
          <w:jc w:val="center"/>
        </w:trPr>
        <w:tc>
          <w:tcPr>
            <w:tcW w:w="830" w:type="pct"/>
            <w:vAlign w:val="center"/>
          </w:tcPr>
          <w:p w14:paraId="0A600328" w14:textId="77777777" w:rsidR="00E90931" w:rsidRPr="00AE4E8D" w:rsidRDefault="00E90931" w:rsidP="00E90931">
            <w:pPr>
              <w:rPr>
                <w:rFonts w:ascii="Times New Roman" w:hAnsi="Times New Roman"/>
                <w:sz w:val="16"/>
                <w:szCs w:val="16"/>
                <w:lang w:val="es-ES"/>
              </w:rPr>
            </w:pPr>
          </w:p>
        </w:tc>
        <w:tc>
          <w:tcPr>
            <w:tcW w:w="120" w:type="pct"/>
            <w:noWrap/>
            <w:vAlign w:val="bottom"/>
          </w:tcPr>
          <w:p w14:paraId="2065C3B0" w14:textId="77777777" w:rsidR="00E90931" w:rsidRPr="00AE4E8D" w:rsidRDefault="00E90931" w:rsidP="00E90931">
            <w:pPr>
              <w:rPr>
                <w:rFonts w:ascii="Times New Roman" w:hAnsi="Times New Roman"/>
                <w:sz w:val="16"/>
                <w:szCs w:val="16"/>
                <w:lang w:val="es-ES"/>
              </w:rPr>
            </w:pPr>
          </w:p>
        </w:tc>
        <w:tc>
          <w:tcPr>
            <w:tcW w:w="652" w:type="pct"/>
            <w:noWrap/>
            <w:vAlign w:val="bottom"/>
          </w:tcPr>
          <w:p w14:paraId="7B110C94" w14:textId="77777777" w:rsidR="00E90931" w:rsidRPr="00AE4E8D" w:rsidRDefault="00E90931" w:rsidP="00E90931">
            <w:pPr>
              <w:rPr>
                <w:rFonts w:ascii="Times New Roman" w:hAnsi="Times New Roman"/>
                <w:sz w:val="16"/>
                <w:szCs w:val="16"/>
                <w:lang w:val="es-ES"/>
              </w:rPr>
            </w:pPr>
          </w:p>
        </w:tc>
        <w:tc>
          <w:tcPr>
            <w:tcW w:w="697" w:type="pct"/>
            <w:noWrap/>
            <w:vAlign w:val="bottom"/>
          </w:tcPr>
          <w:p w14:paraId="581C7B35" w14:textId="77777777" w:rsidR="00E90931" w:rsidRPr="00AE4E8D" w:rsidRDefault="00E90931" w:rsidP="00E90931">
            <w:pPr>
              <w:rPr>
                <w:rFonts w:ascii="Times New Roman" w:hAnsi="Times New Roman"/>
                <w:sz w:val="16"/>
                <w:szCs w:val="16"/>
                <w:lang w:val="es-ES"/>
              </w:rPr>
            </w:pPr>
          </w:p>
        </w:tc>
        <w:tc>
          <w:tcPr>
            <w:tcW w:w="652" w:type="pct"/>
            <w:noWrap/>
            <w:vAlign w:val="bottom"/>
          </w:tcPr>
          <w:p w14:paraId="57AF7A64" w14:textId="77777777" w:rsidR="00E90931" w:rsidRPr="00AE4E8D" w:rsidRDefault="00E90931" w:rsidP="00E90931">
            <w:pPr>
              <w:rPr>
                <w:rFonts w:ascii="Times New Roman" w:hAnsi="Times New Roman"/>
                <w:sz w:val="16"/>
                <w:szCs w:val="16"/>
                <w:lang w:val="es-ES"/>
              </w:rPr>
            </w:pPr>
          </w:p>
        </w:tc>
        <w:tc>
          <w:tcPr>
            <w:tcW w:w="697" w:type="pct"/>
            <w:noWrap/>
            <w:vAlign w:val="bottom"/>
          </w:tcPr>
          <w:p w14:paraId="01F73BE1" w14:textId="77777777" w:rsidR="00E90931" w:rsidRPr="00AE4E8D" w:rsidRDefault="00E90931" w:rsidP="00E90931">
            <w:pPr>
              <w:rPr>
                <w:rFonts w:ascii="Times New Roman" w:hAnsi="Times New Roman"/>
                <w:sz w:val="16"/>
                <w:szCs w:val="16"/>
                <w:lang w:val="es-ES"/>
              </w:rPr>
            </w:pPr>
          </w:p>
        </w:tc>
        <w:tc>
          <w:tcPr>
            <w:tcW w:w="652" w:type="pct"/>
            <w:noWrap/>
            <w:vAlign w:val="bottom"/>
          </w:tcPr>
          <w:p w14:paraId="04C0C949" w14:textId="77777777" w:rsidR="00E90931" w:rsidRPr="00AE4E8D" w:rsidRDefault="00E90931" w:rsidP="00E90931">
            <w:pPr>
              <w:rPr>
                <w:rFonts w:ascii="Times New Roman" w:hAnsi="Times New Roman"/>
                <w:sz w:val="16"/>
                <w:szCs w:val="16"/>
                <w:lang w:val="es-ES"/>
              </w:rPr>
            </w:pPr>
          </w:p>
        </w:tc>
        <w:tc>
          <w:tcPr>
            <w:tcW w:w="699" w:type="pct"/>
            <w:noWrap/>
            <w:vAlign w:val="bottom"/>
          </w:tcPr>
          <w:p w14:paraId="72F69EE1" w14:textId="77777777" w:rsidR="00E90931" w:rsidRPr="00AE4E8D" w:rsidRDefault="00E90931" w:rsidP="00E90931">
            <w:pPr>
              <w:rPr>
                <w:rFonts w:ascii="Times New Roman" w:hAnsi="Times New Roman"/>
                <w:sz w:val="16"/>
                <w:szCs w:val="16"/>
                <w:lang w:val="es-ES"/>
              </w:rPr>
            </w:pPr>
          </w:p>
        </w:tc>
      </w:tr>
      <w:tr w:rsidR="00F23D85" w:rsidRPr="00AE4E8D" w14:paraId="3EFC8750" w14:textId="77777777" w:rsidTr="000400C8">
        <w:trPr>
          <w:trHeight w:val="255"/>
          <w:jc w:val="center"/>
        </w:trPr>
        <w:tc>
          <w:tcPr>
            <w:tcW w:w="830" w:type="pct"/>
            <w:vAlign w:val="center"/>
            <w:hideMark/>
          </w:tcPr>
          <w:p w14:paraId="21D4C549"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Consumo</w:t>
            </w:r>
          </w:p>
        </w:tc>
        <w:tc>
          <w:tcPr>
            <w:tcW w:w="120" w:type="pct"/>
            <w:noWrap/>
            <w:vAlign w:val="bottom"/>
          </w:tcPr>
          <w:p w14:paraId="7AA15044" w14:textId="77777777" w:rsidR="00F23D85" w:rsidRPr="00AE4E8D" w:rsidRDefault="00F23D85" w:rsidP="00E90931">
            <w:pPr>
              <w:rPr>
                <w:rFonts w:ascii="Times New Roman" w:hAnsi="Times New Roman"/>
                <w:sz w:val="16"/>
                <w:szCs w:val="16"/>
                <w:lang w:val="es-ES"/>
              </w:rPr>
            </w:pPr>
          </w:p>
        </w:tc>
        <w:tc>
          <w:tcPr>
            <w:tcW w:w="652" w:type="pct"/>
            <w:noWrap/>
            <w:vAlign w:val="bottom"/>
            <w:hideMark/>
          </w:tcPr>
          <w:p w14:paraId="19913D3D"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681.077</w:t>
            </w:r>
          </w:p>
        </w:tc>
        <w:tc>
          <w:tcPr>
            <w:tcW w:w="697" w:type="pct"/>
            <w:noWrap/>
            <w:vAlign w:val="bottom"/>
            <w:hideMark/>
          </w:tcPr>
          <w:p w14:paraId="73E6FC70"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96,7%</w:t>
            </w:r>
          </w:p>
        </w:tc>
        <w:tc>
          <w:tcPr>
            <w:tcW w:w="652" w:type="pct"/>
            <w:noWrap/>
            <w:vAlign w:val="bottom"/>
            <w:hideMark/>
          </w:tcPr>
          <w:p w14:paraId="7F6F4620"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380.678</w:t>
            </w:r>
          </w:p>
        </w:tc>
        <w:tc>
          <w:tcPr>
            <w:tcW w:w="697" w:type="pct"/>
            <w:noWrap/>
            <w:vAlign w:val="bottom"/>
            <w:hideMark/>
          </w:tcPr>
          <w:p w14:paraId="6AE23A20"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88,8%</w:t>
            </w:r>
          </w:p>
        </w:tc>
        <w:tc>
          <w:tcPr>
            <w:tcW w:w="652" w:type="pct"/>
            <w:noWrap/>
            <w:vAlign w:val="bottom"/>
            <w:hideMark/>
          </w:tcPr>
          <w:p w14:paraId="03DCCB40"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385.997</w:t>
            </w:r>
          </w:p>
        </w:tc>
        <w:tc>
          <w:tcPr>
            <w:tcW w:w="699" w:type="pct"/>
            <w:noWrap/>
            <w:vAlign w:val="bottom"/>
            <w:hideMark/>
          </w:tcPr>
          <w:p w14:paraId="486DFFD6"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90,6%</w:t>
            </w:r>
          </w:p>
        </w:tc>
      </w:tr>
      <w:tr w:rsidR="00F23D85" w:rsidRPr="00AE4E8D" w14:paraId="0AF6F152" w14:textId="77777777" w:rsidTr="000400C8">
        <w:trPr>
          <w:trHeight w:val="255"/>
          <w:jc w:val="center"/>
        </w:trPr>
        <w:tc>
          <w:tcPr>
            <w:tcW w:w="830" w:type="pct"/>
            <w:vAlign w:val="center"/>
            <w:hideMark/>
          </w:tcPr>
          <w:p w14:paraId="78DFE858"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 xml:space="preserve">Industria y </w:t>
            </w:r>
            <w:r w:rsidR="00F80D63" w:rsidRPr="00AE4E8D">
              <w:rPr>
                <w:rFonts w:ascii="Times New Roman" w:hAnsi="Times New Roman"/>
                <w:sz w:val="16"/>
                <w:szCs w:val="16"/>
                <w:lang w:val="es-ES"/>
              </w:rPr>
              <w:t>Minería</w:t>
            </w:r>
          </w:p>
        </w:tc>
        <w:tc>
          <w:tcPr>
            <w:tcW w:w="120" w:type="pct"/>
            <w:noWrap/>
            <w:vAlign w:val="bottom"/>
          </w:tcPr>
          <w:p w14:paraId="40E16178" w14:textId="77777777" w:rsidR="00F23D85" w:rsidRPr="00AE4E8D" w:rsidRDefault="00F23D85" w:rsidP="00E90931">
            <w:pPr>
              <w:rPr>
                <w:rFonts w:ascii="Times New Roman" w:hAnsi="Times New Roman"/>
                <w:sz w:val="16"/>
                <w:szCs w:val="16"/>
                <w:lang w:val="es-ES"/>
              </w:rPr>
            </w:pPr>
          </w:p>
        </w:tc>
        <w:tc>
          <w:tcPr>
            <w:tcW w:w="652" w:type="pct"/>
            <w:noWrap/>
            <w:vAlign w:val="bottom"/>
            <w:hideMark/>
          </w:tcPr>
          <w:p w14:paraId="216508D8"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16.367</w:t>
            </w:r>
          </w:p>
        </w:tc>
        <w:tc>
          <w:tcPr>
            <w:tcW w:w="697" w:type="pct"/>
            <w:noWrap/>
            <w:vAlign w:val="bottom"/>
            <w:hideMark/>
          </w:tcPr>
          <w:p w14:paraId="3C110E8D"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2,3%</w:t>
            </w:r>
          </w:p>
        </w:tc>
        <w:tc>
          <w:tcPr>
            <w:tcW w:w="652" w:type="pct"/>
            <w:noWrap/>
            <w:vAlign w:val="bottom"/>
            <w:hideMark/>
          </w:tcPr>
          <w:p w14:paraId="75680705"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32.530</w:t>
            </w:r>
          </w:p>
        </w:tc>
        <w:tc>
          <w:tcPr>
            <w:tcW w:w="697" w:type="pct"/>
            <w:noWrap/>
            <w:vAlign w:val="bottom"/>
            <w:hideMark/>
          </w:tcPr>
          <w:p w14:paraId="32E235D1"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7,6%</w:t>
            </w:r>
          </w:p>
        </w:tc>
        <w:tc>
          <w:tcPr>
            <w:tcW w:w="652" w:type="pct"/>
            <w:noWrap/>
            <w:vAlign w:val="bottom"/>
            <w:hideMark/>
          </w:tcPr>
          <w:p w14:paraId="2B375517"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31.660</w:t>
            </w:r>
          </w:p>
        </w:tc>
        <w:tc>
          <w:tcPr>
            <w:tcW w:w="699" w:type="pct"/>
            <w:noWrap/>
            <w:vAlign w:val="bottom"/>
            <w:hideMark/>
          </w:tcPr>
          <w:p w14:paraId="04C815BF"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7,4%</w:t>
            </w:r>
          </w:p>
        </w:tc>
      </w:tr>
      <w:tr w:rsidR="00F23D85" w:rsidRPr="00AE4E8D" w14:paraId="7B8C776B" w14:textId="77777777" w:rsidTr="000400C8">
        <w:trPr>
          <w:trHeight w:val="255"/>
          <w:jc w:val="center"/>
        </w:trPr>
        <w:tc>
          <w:tcPr>
            <w:tcW w:w="830" w:type="pct"/>
            <w:vAlign w:val="center"/>
            <w:hideMark/>
          </w:tcPr>
          <w:p w14:paraId="3E947B5B"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Comercio</w:t>
            </w:r>
          </w:p>
        </w:tc>
        <w:tc>
          <w:tcPr>
            <w:tcW w:w="120" w:type="pct"/>
            <w:noWrap/>
            <w:vAlign w:val="bottom"/>
          </w:tcPr>
          <w:p w14:paraId="614D1E1C" w14:textId="77777777" w:rsidR="00F23D85" w:rsidRPr="00AE4E8D" w:rsidRDefault="00F23D85" w:rsidP="00E90931">
            <w:pPr>
              <w:rPr>
                <w:rFonts w:ascii="Times New Roman" w:hAnsi="Times New Roman"/>
                <w:sz w:val="16"/>
                <w:szCs w:val="16"/>
                <w:lang w:val="es-ES"/>
              </w:rPr>
            </w:pPr>
          </w:p>
        </w:tc>
        <w:tc>
          <w:tcPr>
            <w:tcW w:w="652" w:type="pct"/>
            <w:noWrap/>
            <w:vAlign w:val="bottom"/>
            <w:hideMark/>
          </w:tcPr>
          <w:p w14:paraId="66890005"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3.607</w:t>
            </w:r>
          </w:p>
        </w:tc>
        <w:tc>
          <w:tcPr>
            <w:tcW w:w="697" w:type="pct"/>
            <w:noWrap/>
            <w:vAlign w:val="bottom"/>
            <w:hideMark/>
          </w:tcPr>
          <w:p w14:paraId="30D2B694"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0,5%</w:t>
            </w:r>
          </w:p>
        </w:tc>
        <w:tc>
          <w:tcPr>
            <w:tcW w:w="652" w:type="pct"/>
            <w:noWrap/>
            <w:vAlign w:val="bottom"/>
            <w:hideMark/>
          </w:tcPr>
          <w:p w14:paraId="1EB321C9"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10.257</w:t>
            </w:r>
          </w:p>
        </w:tc>
        <w:tc>
          <w:tcPr>
            <w:tcW w:w="697" w:type="pct"/>
            <w:noWrap/>
            <w:vAlign w:val="bottom"/>
            <w:hideMark/>
          </w:tcPr>
          <w:p w14:paraId="5923E393"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2,4%</w:t>
            </w:r>
          </w:p>
        </w:tc>
        <w:tc>
          <w:tcPr>
            <w:tcW w:w="652" w:type="pct"/>
            <w:noWrap/>
            <w:vAlign w:val="bottom"/>
            <w:hideMark/>
          </w:tcPr>
          <w:p w14:paraId="50DE6A26"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409</w:t>
            </w:r>
          </w:p>
        </w:tc>
        <w:tc>
          <w:tcPr>
            <w:tcW w:w="699" w:type="pct"/>
            <w:noWrap/>
            <w:vAlign w:val="bottom"/>
            <w:hideMark/>
          </w:tcPr>
          <w:p w14:paraId="7F9B1548"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0,1%</w:t>
            </w:r>
          </w:p>
        </w:tc>
      </w:tr>
      <w:tr w:rsidR="00F23D85" w:rsidRPr="00AE4E8D" w14:paraId="57ACA610" w14:textId="77777777" w:rsidTr="000400C8">
        <w:trPr>
          <w:trHeight w:val="255"/>
          <w:jc w:val="center"/>
        </w:trPr>
        <w:tc>
          <w:tcPr>
            <w:tcW w:w="830" w:type="pct"/>
            <w:vAlign w:val="center"/>
            <w:hideMark/>
          </w:tcPr>
          <w:p w14:paraId="56CE4545"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Servicios</w:t>
            </w:r>
          </w:p>
        </w:tc>
        <w:tc>
          <w:tcPr>
            <w:tcW w:w="120" w:type="pct"/>
            <w:noWrap/>
            <w:vAlign w:val="bottom"/>
          </w:tcPr>
          <w:p w14:paraId="42445C95" w14:textId="77777777" w:rsidR="00F23D85" w:rsidRPr="00AE4E8D" w:rsidRDefault="00F23D85" w:rsidP="00E90931">
            <w:pPr>
              <w:rPr>
                <w:rFonts w:ascii="Times New Roman" w:hAnsi="Times New Roman"/>
                <w:sz w:val="16"/>
                <w:szCs w:val="16"/>
                <w:lang w:val="es-ES"/>
              </w:rPr>
            </w:pPr>
          </w:p>
        </w:tc>
        <w:tc>
          <w:tcPr>
            <w:tcW w:w="652" w:type="pct"/>
            <w:noWrap/>
            <w:vAlign w:val="bottom"/>
            <w:hideMark/>
          </w:tcPr>
          <w:p w14:paraId="53A084EA"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951</w:t>
            </w:r>
          </w:p>
        </w:tc>
        <w:tc>
          <w:tcPr>
            <w:tcW w:w="697" w:type="pct"/>
            <w:noWrap/>
            <w:vAlign w:val="bottom"/>
            <w:hideMark/>
          </w:tcPr>
          <w:p w14:paraId="5017D51B"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0,1%</w:t>
            </w:r>
          </w:p>
        </w:tc>
        <w:tc>
          <w:tcPr>
            <w:tcW w:w="652" w:type="pct"/>
            <w:noWrap/>
            <w:vAlign w:val="bottom"/>
            <w:hideMark/>
          </w:tcPr>
          <w:p w14:paraId="3D574D51"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2.321</w:t>
            </w:r>
          </w:p>
        </w:tc>
        <w:tc>
          <w:tcPr>
            <w:tcW w:w="697" w:type="pct"/>
            <w:noWrap/>
            <w:vAlign w:val="bottom"/>
            <w:hideMark/>
          </w:tcPr>
          <w:p w14:paraId="593DF477"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0,5%</w:t>
            </w:r>
          </w:p>
        </w:tc>
        <w:tc>
          <w:tcPr>
            <w:tcW w:w="652" w:type="pct"/>
            <w:noWrap/>
            <w:vAlign w:val="bottom"/>
            <w:hideMark/>
          </w:tcPr>
          <w:p w14:paraId="38D8637B"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4.902</w:t>
            </w:r>
          </w:p>
        </w:tc>
        <w:tc>
          <w:tcPr>
            <w:tcW w:w="699" w:type="pct"/>
            <w:noWrap/>
            <w:vAlign w:val="bottom"/>
            <w:hideMark/>
          </w:tcPr>
          <w:p w14:paraId="606D2EE3"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1,2%</w:t>
            </w:r>
          </w:p>
        </w:tc>
      </w:tr>
      <w:tr w:rsidR="00F23D85" w:rsidRPr="00AE4E8D" w14:paraId="1FC75B70" w14:textId="77777777" w:rsidTr="000400C8">
        <w:trPr>
          <w:trHeight w:val="255"/>
          <w:jc w:val="center"/>
        </w:trPr>
        <w:tc>
          <w:tcPr>
            <w:tcW w:w="830" w:type="pct"/>
            <w:vAlign w:val="center"/>
            <w:hideMark/>
          </w:tcPr>
          <w:p w14:paraId="156B875C"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Agropecuario</w:t>
            </w:r>
          </w:p>
        </w:tc>
        <w:tc>
          <w:tcPr>
            <w:tcW w:w="120" w:type="pct"/>
            <w:noWrap/>
            <w:vAlign w:val="bottom"/>
          </w:tcPr>
          <w:p w14:paraId="59349C34" w14:textId="77777777" w:rsidR="00F23D85" w:rsidRPr="00AE4E8D" w:rsidRDefault="00F23D85" w:rsidP="00E90931">
            <w:pPr>
              <w:rPr>
                <w:rFonts w:ascii="Times New Roman" w:hAnsi="Times New Roman"/>
                <w:sz w:val="16"/>
                <w:szCs w:val="16"/>
                <w:lang w:val="es-ES"/>
              </w:rPr>
            </w:pPr>
          </w:p>
        </w:tc>
        <w:tc>
          <w:tcPr>
            <w:tcW w:w="652" w:type="pct"/>
            <w:noWrap/>
            <w:vAlign w:val="bottom"/>
            <w:hideMark/>
          </w:tcPr>
          <w:p w14:paraId="5259512E"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1.927</w:t>
            </w:r>
          </w:p>
        </w:tc>
        <w:tc>
          <w:tcPr>
            <w:tcW w:w="697" w:type="pct"/>
            <w:noWrap/>
            <w:vAlign w:val="bottom"/>
            <w:hideMark/>
          </w:tcPr>
          <w:p w14:paraId="478C26D4"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0,3%</w:t>
            </w:r>
          </w:p>
        </w:tc>
        <w:tc>
          <w:tcPr>
            <w:tcW w:w="652" w:type="pct"/>
            <w:noWrap/>
            <w:vAlign w:val="bottom"/>
            <w:hideMark/>
          </w:tcPr>
          <w:p w14:paraId="66BA7A0A"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2.166</w:t>
            </w:r>
          </w:p>
        </w:tc>
        <w:tc>
          <w:tcPr>
            <w:tcW w:w="697" w:type="pct"/>
            <w:noWrap/>
            <w:vAlign w:val="bottom"/>
            <w:hideMark/>
          </w:tcPr>
          <w:p w14:paraId="1AE8C879"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0,5%</w:t>
            </w:r>
          </w:p>
        </w:tc>
        <w:tc>
          <w:tcPr>
            <w:tcW w:w="652" w:type="pct"/>
            <w:noWrap/>
            <w:vAlign w:val="bottom"/>
            <w:hideMark/>
          </w:tcPr>
          <w:p w14:paraId="6F5F8094"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2.015</w:t>
            </w:r>
          </w:p>
        </w:tc>
        <w:tc>
          <w:tcPr>
            <w:tcW w:w="699" w:type="pct"/>
            <w:noWrap/>
            <w:vAlign w:val="bottom"/>
            <w:hideMark/>
          </w:tcPr>
          <w:p w14:paraId="3DD49791"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0,5%</w:t>
            </w:r>
          </w:p>
        </w:tc>
      </w:tr>
      <w:tr w:rsidR="00F23D85" w:rsidRPr="00AE4E8D" w14:paraId="6AE0B91F" w14:textId="77777777" w:rsidTr="000400C8">
        <w:trPr>
          <w:trHeight w:val="255"/>
          <w:jc w:val="center"/>
        </w:trPr>
        <w:tc>
          <w:tcPr>
            <w:tcW w:w="830" w:type="pct"/>
            <w:vAlign w:val="center"/>
            <w:hideMark/>
          </w:tcPr>
          <w:p w14:paraId="3E0B8F49" w14:textId="77777777" w:rsidR="00F23D85" w:rsidRPr="00AE4E8D" w:rsidRDefault="00F80D63" w:rsidP="00E90931">
            <w:pPr>
              <w:rPr>
                <w:rFonts w:ascii="Times New Roman" w:hAnsi="Times New Roman"/>
                <w:sz w:val="16"/>
                <w:szCs w:val="16"/>
                <w:lang w:val="es-ES"/>
              </w:rPr>
            </w:pPr>
            <w:r w:rsidRPr="00AE4E8D">
              <w:rPr>
                <w:rFonts w:ascii="Times New Roman" w:hAnsi="Times New Roman"/>
                <w:sz w:val="16"/>
                <w:szCs w:val="16"/>
                <w:lang w:val="es-ES"/>
              </w:rPr>
              <w:t>Construcción</w:t>
            </w:r>
          </w:p>
        </w:tc>
        <w:tc>
          <w:tcPr>
            <w:tcW w:w="120" w:type="pct"/>
            <w:noWrap/>
            <w:vAlign w:val="bottom"/>
          </w:tcPr>
          <w:p w14:paraId="5C84B4D1" w14:textId="77777777" w:rsidR="00F23D85" w:rsidRPr="00AE4E8D" w:rsidRDefault="00F23D85" w:rsidP="00E90931">
            <w:pPr>
              <w:rPr>
                <w:rFonts w:ascii="Times New Roman" w:hAnsi="Times New Roman"/>
                <w:sz w:val="16"/>
                <w:szCs w:val="16"/>
                <w:lang w:val="es-ES"/>
              </w:rPr>
            </w:pPr>
          </w:p>
        </w:tc>
        <w:tc>
          <w:tcPr>
            <w:tcW w:w="652" w:type="pct"/>
            <w:noWrap/>
            <w:vAlign w:val="bottom"/>
            <w:hideMark/>
          </w:tcPr>
          <w:p w14:paraId="6A1992D6"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152</w:t>
            </w:r>
          </w:p>
        </w:tc>
        <w:tc>
          <w:tcPr>
            <w:tcW w:w="697" w:type="pct"/>
            <w:noWrap/>
            <w:vAlign w:val="bottom"/>
            <w:hideMark/>
          </w:tcPr>
          <w:p w14:paraId="7222FE92"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0,0%</w:t>
            </w:r>
          </w:p>
        </w:tc>
        <w:tc>
          <w:tcPr>
            <w:tcW w:w="652" w:type="pct"/>
            <w:noWrap/>
            <w:vAlign w:val="bottom"/>
            <w:hideMark/>
          </w:tcPr>
          <w:p w14:paraId="438D1748"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4</w:t>
            </w:r>
          </w:p>
        </w:tc>
        <w:tc>
          <w:tcPr>
            <w:tcW w:w="697" w:type="pct"/>
            <w:noWrap/>
            <w:vAlign w:val="bottom"/>
            <w:hideMark/>
          </w:tcPr>
          <w:p w14:paraId="16C302E5"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0,0%</w:t>
            </w:r>
          </w:p>
        </w:tc>
        <w:tc>
          <w:tcPr>
            <w:tcW w:w="652" w:type="pct"/>
            <w:noWrap/>
            <w:vAlign w:val="bottom"/>
            <w:hideMark/>
          </w:tcPr>
          <w:p w14:paraId="5252C795"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978</w:t>
            </w:r>
          </w:p>
        </w:tc>
        <w:tc>
          <w:tcPr>
            <w:tcW w:w="699" w:type="pct"/>
            <w:noWrap/>
            <w:vAlign w:val="bottom"/>
            <w:hideMark/>
          </w:tcPr>
          <w:p w14:paraId="4CBF8867"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0,2%</w:t>
            </w:r>
          </w:p>
        </w:tc>
      </w:tr>
      <w:tr w:rsidR="00F23D85" w:rsidRPr="00AE4E8D" w14:paraId="7D24CAFD" w14:textId="77777777" w:rsidTr="000400C8">
        <w:trPr>
          <w:trHeight w:val="255"/>
          <w:jc w:val="center"/>
        </w:trPr>
        <w:tc>
          <w:tcPr>
            <w:tcW w:w="830" w:type="pct"/>
            <w:vAlign w:val="center"/>
            <w:hideMark/>
          </w:tcPr>
          <w:p w14:paraId="4A2AD512" w14:textId="77777777" w:rsidR="00F23D85" w:rsidRPr="00AE4E8D" w:rsidRDefault="00F23D85" w:rsidP="00E90931">
            <w:pPr>
              <w:rPr>
                <w:rFonts w:ascii="Times New Roman" w:hAnsi="Times New Roman"/>
                <w:sz w:val="16"/>
                <w:szCs w:val="16"/>
                <w:lang w:val="es-ES"/>
              </w:rPr>
            </w:pPr>
            <w:r w:rsidRPr="00AE4E8D">
              <w:rPr>
                <w:rFonts w:ascii="Times New Roman" w:hAnsi="Times New Roman"/>
                <w:sz w:val="16"/>
                <w:szCs w:val="16"/>
                <w:lang w:val="es-ES"/>
              </w:rPr>
              <w:t>Otros</w:t>
            </w:r>
          </w:p>
        </w:tc>
        <w:tc>
          <w:tcPr>
            <w:tcW w:w="120" w:type="pct"/>
            <w:noWrap/>
            <w:vAlign w:val="bottom"/>
          </w:tcPr>
          <w:p w14:paraId="683CE249" w14:textId="77777777" w:rsidR="00F23D85" w:rsidRPr="00AE4E8D" w:rsidRDefault="00F23D85" w:rsidP="00E90931">
            <w:pPr>
              <w:rPr>
                <w:rFonts w:ascii="Times New Roman" w:hAnsi="Times New Roman"/>
                <w:sz w:val="16"/>
                <w:szCs w:val="16"/>
                <w:lang w:val="es-ES"/>
              </w:rPr>
            </w:pPr>
          </w:p>
        </w:tc>
        <w:tc>
          <w:tcPr>
            <w:tcW w:w="652" w:type="pct"/>
            <w:noWrap/>
            <w:vAlign w:val="bottom"/>
            <w:hideMark/>
          </w:tcPr>
          <w:p w14:paraId="02C2070E"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11</w:t>
            </w:r>
          </w:p>
        </w:tc>
        <w:tc>
          <w:tcPr>
            <w:tcW w:w="697" w:type="pct"/>
            <w:noWrap/>
            <w:vAlign w:val="bottom"/>
            <w:hideMark/>
          </w:tcPr>
          <w:p w14:paraId="68955337" w14:textId="77777777" w:rsidR="00F23D85" w:rsidRPr="00AE4E8D" w:rsidRDefault="00F23D85" w:rsidP="00E90931">
            <w:pPr>
              <w:jc w:val="right"/>
              <w:rPr>
                <w:rFonts w:ascii="Times New Roman" w:hAnsi="Times New Roman"/>
                <w:sz w:val="16"/>
                <w:lang w:val="es-ES"/>
              </w:rPr>
            </w:pPr>
            <w:r w:rsidRPr="00AE4E8D">
              <w:rPr>
                <w:rFonts w:ascii="Times New Roman" w:hAnsi="Times New Roman"/>
                <w:sz w:val="16"/>
                <w:szCs w:val="16"/>
                <w:lang w:val="es-ES"/>
              </w:rPr>
              <w:t>0,0%</w:t>
            </w:r>
          </w:p>
        </w:tc>
        <w:tc>
          <w:tcPr>
            <w:tcW w:w="652" w:type="pct"/>
            <w:noWrap/>
            <w:vAlign w:val="bottom"/>
            <w:hideMark/>
          </w:tcPr>
          <w:p w14:paraId="43A6487D"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798</w:t>
            </w:r>
          </w:p>
        </w:tc>
        <w:tc>
          <w:tcPr>
            <w:tcW w:w="697" w:type="pct"/>
            <w:noWrap/>
            <w:vAlign w:val="bottom"/>
            <w:hideMark/>
          </w:tcPr>
          <w:p w14:paraId="5D37B648"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0,2%</w:t>
            </w:r>
          </w:p>
        </w:tc>
        <w:tc>
          <w:tcPr>
            <w:tcW w:w="652" w:type="pct"/>
            <w:noWrap/>
            <w:vAlign w:val="bottom"/>
            <w:hideMark/>
          </w:tcPr>
          <w:p w14:paraId="3D58BDF3"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111</w:t>
            </w:r>
          </w:p>
        </w:tc>
        <w:tc>
          <w:tcPr>
            <w:tcW w:w="699" w:type="pct"/>
            <w:noWrap/>
            <w:vAlign w:val="bottom"/>
            <w:hideMark/>
          </w:tcPr>
          <w:p w14:paraId="107BEC4C" w14:textId="77777777" w:rsidR="00F23D85" w:rsidRPr="00AE4E8D" w:rsidRDefault="00F23D85" w:rsidP="00E90931">
            <w:pPr>
              <w:jc w:val="right"/>
              <w:rPr>
                <w:rFonts w:ascii="Times New Roman" w:hAnsi="Times New Roman"/>
                <w:sz w:val="16"/>
                <w:szCs w:val="16"/>
                <w:lang w:val="es-ES"/>
              </w:rPr>
            </w:pPr>
            <w:r w:rsidRPr="00AE4E8D">
              <w:rPr>
                <w:rFonts w:ascii="Times New Roman" w:hAnsi="Times New Roman"/>
                <w:sz w:val="16"/>
                <w:szCs w:val="16"/>
                <w:lang w:val="es-ES"/>
              </w:rPr>
              <w:t>0,0%</w:t>
            </w:r>
          </w:p>
        </w:tc>
      </w:tr>
      <w:tr w:rsidR="00F23D85" w:rsidRPr="00AE4E8D" w14:paraId="64458CFE" w14:textId="77777777" w:rsidTr="000400C8">
        <w:trPr>
          <w:trHeight w:val="255"/>
          <w:jc w:val="center"/>
        </w:trPr>
        <w:tc>
          <w:tcPr>
            <w:tcW w:w="830" w:type="pct"/>
            <w:vAlign w:val="center"/>
          </w:tcPr>
          <w:p w14:paraId="078C52A3" w14:textId="77777777" w:rsidR="00F23D85" w:rsidRPr="00AE4E8D" w:rsidRDefault="00F23D85" w:rsidP="00E90931">
            <w:pPr>
              <w:rPr>
                <w:rFonts w:ascii="Times New Roman" w:hAnsi="Times New Roman"/>
                <w:b/>
                <w:bCs/>
                <w:sz w:val="16"/>
                <w:szCs w:val="16"/>
                <w:lang w:val="es-ES"/>
              </w:rPr>
            </w:pPr>
          </w:p>
        </w:tc>
        <w:tc>
          <w:tcPr>
            <w:tcW w:w="120" w:type="pct"/>
            <w:noWrap/>
            <w:vAlign w:val="bottom"/>
          </w:tcPr>
          <w:p w14:paraId="2D4ADB1B" w14:textId="77777777" w:rsidR="00F23D85" w:rsidRPr="00AE4E8D" w:rsidRDefault="00F23D85" w:rsidP="00E90931">
            <w:pPr>
              <w:rPr>
                <w:rFonts w:ascii="Times New Roman" w:hAnsi="Times New Roman"/>
                <w:sz w:val="16"/>
                <w:szCs w:val="16"/>
                <w:lang w:val="es-ES"/>
              </w:rPr>
            </w:pPr>
          </w:p>
        </w:tc>
        <w:tc>
          <w:tcPr>
            <w:tcW w:w="652" w:type="pct"/>
            <w:noWrap/>
            <w:vAlign w:val="bottom"/>
          </w:tcPr>
          <w:p w14:paraId="2BC474E0" w14:textId="77777777" w:rsidR="00F23D85" w:rsidRPr="00AE4E8D" w:rsidRDefault="00F23D85" w:rsidP="00E90931">
            <w:pPr>
              <w:rPr>
                <w:rFonts w:ascii="Times New Roman" w:hAnsi="Times New Roman"/>
                <w:sz w:val="16"/>
                <w:lang w:val="es-ES"/>
              </w:rPr>
            </w:pPr>
          </w:p>
        </w:tc>
        <w:tc>
          <w:tcPr>
            <w:tcW w:w="697" w:type="pct"/>
            <w:noWrap/>
            <w:vAlign w:val="bottom"/>
          </w:tcPr>
          <w:p w14:paraId="2AC47597" w14:textId="77777777" w:rsidR="00F23D85" w:rsidRPr="00AE4E8D" w:rsidRDefault="00F23D85" w:rsidP="00E90931">
            <w:pPr>
              <w:rPr>
                <w:rFonts w:ascii="Times New Roman" w:hAnsi="Times New Roman"/>
                <w:sz w:val="16"/>
                <w:lang w:val="es-ES"/>
              </w:rPr>
            </w:pPr>
          </w:p>
        </w:tc>
        <w:tc>
          <w:tcPr>
            <w:tcW w:w="652" w:type="pct"/>
            <w:noWrap/>
            <w:vAlign w:val="bottom"/>
          </w:tcPr>
          <w:p w14:paraId="4DDFEEE2" w14:textId="77777777" w:rsidR="00F23D85" w:rsidRPr="00AE4E8D" w:rsidRDefault="00F23D85" w:rsidP="00E90931">
            <w:pPr>
              <w:rPr>
                <w:rFonts w:ascii="Times New Roman" w:hAnsi="Times New Roman"/>
                <w:sz w:val="16"/>
                <w:szCs w:val="16"/>
                <w:lang w:val="es-ES"/>
              </w:rPr>
            </w:pPr>
          </w:p>
        </w:tc>
        <w:tc>
          <w:tcPr>
            <w:tcW w:w="697" w:type="pct"/>
            <w:noWrap/>
            <w:vAlign w:val="bottom"/>
          </w:tcPr>
          <w:p w14:paraId="22DC2374" w14:textId="77777777" w:rsidR="00F23D85" w:rsidRPr="00AE4E8D" w:rsidRDefault="00F23D85" w:rsidP="00E90931">
            <w:pPr>
              <w:rPr>
                <w:rFonts w:ascii="Times New Roman" w:hAnsi="Times New Roman"/>
                <w:sz w:val="16"/>
                <w:szCs w:val="16"/>
                <w:lang w:val="es-ES"/>
              </w:rPr>
            </w:pPr>
          </w:p>
        </w:tc>
        <w:tc>
          <w:tcPr>
            <w:tcW w:w="652" w:type="pct"/>
            <w:noWrap/>
            <w:vAlign w:val="bottom"/>
          </w:tcPr>
          <w:p w14:paraId="7248DA53" w14:textId="77777777" w:rsidR="00F23D85" w:rsidRPr="00AE4E8D" w:rsidRDefault="00F23D85" w:rsidP="00E90931">
            <w:pPr>
              <w:rPr>
                <w:rFonts w:ascii="Times New Roman" w:hAnsi="Times New Roman"/>
                <w:sz w:val="16"/>
                <w:szCs w:val="16"/>
                <w:lang w:val="es-ES"/>
              </w:rPr>
            </w:pPr>
          </w:p>
        </w:tc>
        <w:tc>
          <w:tcPr>
            <w:tcW w:w="699" w:type="pct"/>
            <w:noWrap/>
            <w:vAlign w:val="bottom"/>
          </w:tcPr>
          <w:p w14:paraId="6FECA367" w14:textId="77777777" w:rsidR="00F23D85" w:rsidRPr="00AE4E8D" w:rsidRDefault="00F23D85" w:rsidP="00E90931">
            <w:pPr>
              <w:rPr>
                <w:rFonts w:ascii="Times New Roman" w:hAnsi="Times New Roman"/>
                <w:sz w:val="16"/>
                <w:szCs w:val="16"/>
                <w:lang w:val="es-ES"/>
              </w:rPr>
            </w:pPr>
          </w:p>
        </w:tc>
      </w:tr>
      <w:tr w:rsidR="00B86C83" w:rsidRPr="00AE4E8D" w14:paraId="36DDD385" w14:textId="77777777" w:rsidTr="000400C8">
        <w:trPr>
          <w:trHeight w:val="270"/>
          <w:jc w:val="center"/>
        </w:trPr>
        <w:tc>
          <w:tcPr>
            <w:tcW w:w="830" w:type="pct"/>
            <w:vAlign w:val="center"/>
            <w:hideMark/>
          </w:tcPr>
          <w:p w14:paraId="5B3EDFBD" w14:textId="77777777" w:rsidR="00F23D85" w:rsidRPr="00AE4E8D" w:rsidRDefault="00F23D85" w:rsidP="00E90931">
            <w:pPr>
              <w:rPr>
                <w:rFonts w:ascii="Times New Roman" w:hAnsi="Times New Roman"/>
                <w:b/>
                <w:bCs/>
                <w:sz w:val="16"/>
                <w:szCs w:val="16"/>
                <w:lang w:val="es-ES"/>
              </w:rPr>
            </w:pPr>
            <w:r w:rsidRPr="00AE4E8D">
              <w:rPr>
                <w:rFonts w:ascii="Times New Roman" w:hAnsi="Times New Roman"/>
                <w:b/>
                <w:bCs/>
                <w:sz w:val="16"/>
                <w:szCs w:val="16"/>
                <w:lang w:val="es-ES"/>
              </w:rPr>
              <w:t>Total Préstamos</w:t>
            </w:r>
          </w:p>
        </w:tc>
        <w:tc>
          <w:tcPr>
            <w:tcW w:w="120" w:type="pct"/>
            <w:noWrap/>
            <w:vAlign w:val="bottom"/>
          </w:tcPr>
          <w:p w14:paraId="161A2BFB" w14:textId="77777777" w:rsidR="00F23D85" w:rsidRPr="00AE4E8D" w:rsidRDefault="00F23D85" w:rsidP="00E90931">
            <w:pPr>
              <w:rPr>
                <w:rFonts w:ascii="Times New Roman" w:hAnsi="Times New Roman"/>
                <w:sz w:val="16"/>
                <w:szCs w:val="16"/>
                <w:lang w:val="es-ES"/>
              </w:rPr>
            </w:pPr>
          </w:p>
        </w:tc>
        <w:tc>
          <w:tcPr>
            <w:tcW w:w="652" w:type="pct"/>
            <w:tcBorders>
              <w:top w:val="single" w:sz="4" w:space="0" w:color="auto"/>
              <w:left w:val="nil"/>
              <w:bottom w:val="double" w:sz="6" w:space="0" w:color="auto"/>
              <w:right w:val="nil"/>
            </w:tcBorders>
            <w:noWrap/>
            <w:vAlign w:val="bottom"/>
            <w:hideMark/>
          </w:tcPr>
          <w:p w14:paraId="0515F941" w14:textId="77777777" w:rsidR="00F23D85" w:rsidRPr="00AE4E8D" w:rsidRDefault="00F23D85" w:rsidP="00E90931">
            <w:pPr>
              <w:jc w:val="right"/>
              <w:rPr>
                <w:rFonts w:ascii="Times New Roman" w:hAnsi="Times New Roman"/>
                <w:b/>
                <w:sz w:val="16"/>
                <w:lang w:val="es-ES"/>
              </w:rPr>
            </w:pPr>
            <w:r w:rsidRPr="00AE4E8D">
              <w:rPr>
                <w:rFonts w:ascii="Times New Roman" w:hAnsi="Times New Roman"/>
                <w:b/>
                <w:bCs/>
                <w:sz w:val="16"/>
                <w:szCs w:val="16"/>
                <w:lang w:val="es-ES"/>
              </w:rPr>
              <w:t>704.091</w:t>
            </w:r>
          </w:p>
        </w:tc>
        <w:tc>
          <w:tcPr>
            <w:tcW w:w="697" w:type="pct"/>
            <w:tcBorders>
              <w:top w:val="single" w:sz="4" w:space="0" w:color="auto"/>
              <w:left w:val="nil"/>
              <w:bottom w:val="double" w:sz="6" w:space="0" w:color="auto"/>
              <w:right w:val="nil"/>
            </w:tcBorders>
            <w:noWrap/>
            <w:vAlign w:val="bottom"/>
            <w:hideMark/>
          </w:tcPr>
          <w:p w14:paraId="3707E783" w14:textId="77777777" w:rsidR="00F23D85" w:rsidRPr="00AE4E8D" w:rsidRDefault="00F23D85" w:rsidP="00E90931">
            <w:pPr>
              <w:jc w:val="right"/>
              <w:rPr>
                <w:rFonts w:ascii="Times New Roman" w:hAnsi="Times New Roman"/>
                <w:b/>
                <w:sz w:val="16"/>
                <w:lang w:val="es-ES"/>
              </w:rPr>
            </w:pPr>
            <w:r w:rsidRPr="00AE4E8D">
              <w:rPr>
                <w:rFonts w:ascii="Times New Roman" w:hAnsi="Times New Roman"/>
                <w:b/>
                <w:bCs/>
                <w:sz w:val="16"/>
                <w:szCs w:val="16"/>
                <w:lang w:val="es-ES"/>
              </w:rPr>
              <w:t>100,0%</w:t>
            </w:r>
          </w:p>
        </w:tc>
        <w:tc>
          <w:tcPr>
            <w:tcW w:w="652" w:type="pct"/>
            <w:tcBorders>
              <w:top w:val="single" w:sz="4" w:space="0" w:color="auto"/>
              <w:left w:val="nil"/>
              <w:bottom w:val="double" w:sz="6" w:space="0" w:color="auto"/>
              <w:right w:val="nil"/>
            </w:tcBorders>
            <w:noWrap/>
            <w:vAlign w:val="bottom"/>
            <w:hideMark/>
          </w:tcPr>
          <w:p w14:paraId="45496F92" w14:textId="77777777" w:rsidR="00F23D85" w:rsidRPr="00AE4E8D" w:rsidRDefault="00F23D8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428.754</w:t>
            </w:r>
          </w:p>
        </w:tc>
        <w:tc>
          <w:tcPr>
            <w:tcW w:w="697" w:type="pct"/>
            <w:tcBorders>
              <w:top w:val="single" w:sz="4" w:space="0" w:color="auto"/>
              <w:left w:val="nil"/>
              <w:bottom w:val="double" w:sz="6" w:space="0" w:color="auto"/>
              <w:right w:val="nil"/>
            </w:tcBorders>
            <w:noWrap/>
            <w:vAlign w:val="bottom"/>
            <w:hideMark/>
          </w:tcPr>
          <w:p w14:paraId="2D4A0BDB" w14:textId="77777777" w:rsidR="00F23D85" w:rsidRPr="00AE4E8D" w:rsidRDefault="00F23D8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100,0%</w:t>
            </w:r>
          </w:p>
        </w:tc>
        <w:tc>
          <w:tcPr>
            <w:tcW w:w="652" w:type="pct"/>
            <w:tcBorders>
              <w:top w:val="single" w:sz="4" w:space="0" w:color="auto"/>
              <w:left w:val="nil"/>
              <w:bottom w:val="double" w:sz="6" w:space="0" w:color="auto"/>
              <w:right w:val="nil"/>
            </w:tcBorders>
            <w:noWrap/>
            <w:vAlign w:val="bottom"/>
            <w:hideMark/>
          </w:tcPr>
          <w:p w14:paraId="0CB5A5E8" w14:textId="77777777" w:rsidR="00F23D85" w:rsidRPr="00AE4E8D" w:rsidRDefault="00F23D85" w:rsidP="00E90931">
            <w:pPr>
              <w:jc w:val="right"/>
              <w:rPr>
                <w:rFonts w:ascii="Times New Roman" w:hAnsi="Times New Roman"/>
                <w:b/>
                <w:bCs/>
                <w:sz w:val="16"/>
                <w:szCs w:val="16"/>
                <w:lang w:val="es-ES"/>
              </w:rPr>
            </w:pPr>
            <w:r w:rsidRPr="00AE4E8D">
              <w:rPr>
                <w:rFonts w:ascii="Times New Roman" w:hAnsi="Times New Roman"/>
                <w:b/>
                <w:sz w:val="16"/>
                <w:lang w:val="es-ES"/>
              </w:rPr>
              <w:t>426.072</w:t>
            </w:r>
          </w:p>
        </w:tc>
        <w:tc>
          <w:tcPr>
            <w:tcW w:w="699" w:type="pct"/>
            <w:tcBorders>
              <w:top w:val="single" w:sz="4" w:space="0" w:color="auto"/>
              <w:left w:val="nil"/>
              <w:bottom w:val="double" w:sz="6" w:space="0" w:color="auto"/>
              <w:right w:val="nil"/>
            </w:tcBorders>
            <w:noWrap/>
            <w:vAlign w:val="bottom"/>
            <w:hideMark/>
          </w:tcPr>
          <w:p w14:paraId="2FAA647D" w14:textId="77777777" w:rsidR="00F23D85" w:rsidRPr="00AE4E8D" w:rsidRDefault="00F23D85" w:rsidP="00E90931">
            <w:pPr>
              <w:jc w:val="right"/>
              <w:rPr>
                <w:rFonts w:ascii="Times New Roman" w:hAnsi="Times New Roman"/>
                <w:b/>
                <w:bCs/>
                <w:sz w:val="16"/>
                <w:szCs w:val="16"/>
                <w:lang w:val="es-ES"/>
              </w:rPr>
            </w:pPr>
            <w:r w:rsidRPr="00AE4E8D">
              <w:rPr>
                <w:rFonts w:ascii="Times New Roman" w:hAnsi="Times New Roman"/>
                <w:b/>
                <w:bCs/>
                <w:sz w:val="16"/>
                <w:szCs w:val="16"/>
                <w:lang w:val="es-ES"/>
              </w:rPr>
              <w:t>100,0%</w:t>
            </w:r>
          </w:p>
        </w:tc>
      </w:tr>
    </w:tbl>
    <w:p w14:paraId="7708736C" w14:textId="77777777" w:rsidR="00E90931" w:rsidRPr="00AE4E8D" w:rsidRDefault="00E90931" w:rsidP="00E90931">
      <w:pPr>
        <w:autoSpaceDE w:val="0"/>
        <w:autoSpaceDN w:val="0"/>
        <w:adjustRightInd w:val="0"/>
        <w:spacing w:before="120" w:after="120"/>
        <w:jc w:val="both"/>
        <w:rPr>
          <w:rFonts w:ascii="Times New Roman" w:hAnsi="Times New Roman"/>
          <w:lang w:val="es-ES" w:eastAsia="es-AR"/>
        </w:rPr>
      </w:pPr>
    </w:p>
    <w:p w14:paraId="1A40FBD6" w14:textId="77777777" w:rsidR="006476E2" w:rsidRPr="00AE4E8D" w:rsidRDefault="006476E2" w:rsidP="0008264A">
      <w:pPr>
        <w:pStyle w:val="BH2Izquierda"/>
        <w:rPr>
          <w:lang w:val="es-ES"/>
        </w:rPr>
      </w:pPr>
      <w:bookmarkStart w:id="383" w:name="_Toc421201387"/>
      <w:bookmarkStart w:id="384" w:name="_Toc495973009"/>
      <w:bookmarkStart w:id="385" w:name="_Toc495399916"/>
      <w:r w:rsidRPr="00AE4E8D">
        <w:rPr>
          <w:lang w:val="es-ES"/>
        </w:rPr>
        <w:lastRenderedPageBreak/>
        <w:t>Análisis de la Previsión por Riesgo de Incobrabilidad de Préstamos</w:t>
      </w:r>
      <w:bookmarkEnd w:id="383"/>
      <w:bookmarkEnd w:id="384"/>
      <w:bookmarkEnd w:id="385"/>
    </w:p>
    <w:p w14:paraId="4A09EF1F" w14:textId="77777777" w:rsidR="00E90931" w:rsidRPr="00AE4E8D" w:rsidRDefault="00E90931" w:rsidP="00E71CBF">
      <w:pPr>
        <w:keepNext/>
        <w:keepLines/>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muestra nuestras previsiones por incobrabilidad de préstamos:</w:t>
      </w:r>
    </w:p>
    <w:tbl>
      <w:tblPr>
        <w:tblW w:w="5000" w:type="pct"/>
        <w:jc w:val="center"/>
        <w:tblLook w:val="00A0" w:firstRow="1" w:lastRow="0" w:firstColumn="1" w:lastColumn="0" w:noHBand="0" w:noVBand="0"/>
      </w:tblPr>
      <w:tblGrid>
        <w:gridCol w:w="3377"/>
        <w:gridCol w:w="1738"/>
        <w:gridCol w:w="325"/>
        <w:gridCol w:w="1737"/>
        <w:gridCol w:w="325"/>
        <w:gridCol w:w="1735"/>
      </w:tblGrid>
      <w:tr w:rsidR="00E90931" w:rsidRPr="00AE4E8D" w14:paraId="190D72FC" w14:textId="77777777" w:rsidTr="000400C8">
        <w:trPr>
          <w:trHeight w:val="255"/>
          <w:jc w:val="center"/>
        </w:trPr>
        <w:tc>
          <w:tcPr>
            <w:tcW w:w="1828" w:type="pct"/>
            <w:vAlign w:val="center"/>
          </w:tcPr>
          <w:p w14:paraId="7A2762CE" w14:textId="77777777" w:rsidR="00E90931" w:rsidRPr="00AE4E8D" w:rsidRDefault="00E90931" w:rsidP="00E71CBF">
            <w:pPr>
              <w:keepNext/>
              <w:keepLines/>
              <w:rPr>
                <w:rFonts w:ascii="Times New Roman" w:hAnsi="Times New Roman"/>
                <w:b/>
                <w:bCs/>
                <w:sz w:val="16"/>
                <w:szCs w:val="16"/>
                <w:lang w:val="es-ES"/>
              </w:rPr>
            </w:pPr>
          </w:p>
        </w:tc>
        <w:tc>
          <w:tcPr>
            <w:tcW w:w="3172" w:type="pct"/>
            <w:gridSpan w:val="5"/>
            <w:tcBorders>
              <w:top w:val="nil"/>
              <w:left w:val="nil"/>
              <w:bottom w:val="single" w:sz="4" w:space="0" w:color="auto"/>
              <w:right w:val="nil"/>
            </w:tcBorders>
            <w:noWrap/>
            <w:vAlign w:val="bottom"/>
            <w:hideMark/>
          </w:tcPr>
          <w:p w14:paraId="54068447" w14:textId="77777777" w:rsidR="00E90931" w:rsidRPr="00AE4E8D" w:rsidRDefault="00E90931" w:rsidP="00E71CBF">
            <w:pPr>
              <w:keepNext/>
              <w:keepLines/>
              <w:jc w:val="center"/>
              <w:rPr>
                <w:rFonts w:ascii="Times New Roman" w:hAnsi="Times New Roman"/>
                <w:b/>
                <w:bCs/>
                <w:sz w:val="16"/>
                <w:szCs w:val="16"/>
                <w:lang w:val="es-ES"/>
              </w:rPr>
            </w:pPr>
            <w:r w:rsidRPr="00AE4E8D">
              <w:rPr>
                <w:rFonts w:ascii="Times New Roman" w:hAnsi="Times New Roman"/>
                <w:b/>
                <w:bCs/>
                <w:sz w:val="16"/>
                <w:szCs w:val="16"/>
                <w:lang w:val="es-ES"/>
              </w:rPr>
              <w:t>Al 31 de diciembre de</w:t>
            </w:r>
          </w:p>
        </w:tc>
      </w:tr>
      <w:tr w:rsidR="003B5193" w:rsidRPr="00AE4E8D" w14:paraId="1835A650" w14:textId="77777777" w:rsidTr="007D6748">
        <w:trPr>
          <w:trHeight w:val="255"/>
          <w:jc w:val="center"/>
        </w:trPr>
        <w:tc>
          <w:tcPr>
            <w:tcW w:w="1828" w:type="pct"/>
            <w:vAlign w:val="center"/>
          </w:tcPr>
          <w:p w14:paraId="3400E332" w14:textId="77777777" w:rsidR="00E90931" w:rsidRPr="00AE4E8D" w:rsidRDefault="00E90931" w:rsidP="00E71CBF">
            <w:pPr>
              <w:keepNext/>
              <w:keepLines/>
              <w:rPr>
                <w:rFonts w:ascii="Times New Roman" w:hAnsi="Times New Roman"/>
                <w:b/>
                <w:bCs/>
                <w:sz w:val="16"/>
                <w:szCs w:val="16"/>
                <w:lang w:val="es-ES"/>
              </w:rPr>
            </w:pPr>
          </w:p>
        </w:tc>
        <w:tc>
          <w:tcPr>
            <w:tcW w:w="941" w:type="pct"/>
            <w:tcBorders>
              <w:top w:val="single" w:sz="4" w:space="0" w:color="auto"/>
              <w:left w:val="nil"/>
              <w:bottom w:val="single" w:sz="4" w:space="0" w:color="auto"/>
              <w:right w:val="nil"/>
            </w:tcBorders>
            <w:noWrap/>
            <w:vAlign w:val="bottom"/>
            <w:hideMark/>
          </w:tcPr>
          <w:p w14:paraId="2118D11A" w14:textId="77777777" w:rsidR="00E90931" w:rsidRPr="00AE4E8D" w:rsidRDefault="00E90931" w:rsidP="00E71CBF">
            <w:pPr>
              <w:keepNext/>
              <w:keepLines/>
              <w:jc w:val="center"/>
              <w:rPr>
                <w:rFonts w:ascii="Times New Roman" w:hAnsi="Times New Roman"/>
                <w:sz w:val="16"/>
                <w:szCs w:val="16"/>
                <w:lang w:val="es-ES"/>
              </w:rPr>
            </w:pPr>
            <w:r w:rsidRPr="00AE4E8D">
              <w:rPr>
                <w:rFonts w:ascii="Times New Roman" w:hAnsi="Times New Roman"/>
                <w:sz w:val="16"/>
                <w:lang w:val="es-ES"/>
              </w:rPr>
              <w:t>2016</w:t>
            </w:r>
          </w:p>
        </w:tc>
        <w:tc>
          <w:tcPr>
            <w:tcW w:w="176" w:type="pct"/>
            <w:tcBorders>
              <w:top w:val="single" w:sz="4" w:space="0" w:color="auto"/>
              <w:left w:val="nil"/>
              <w:bottom w:val="nil"/>
              <w:right w:val="nil"/>
            </w:tcBorders>
            <w:noWrap/>
            <w:vAlign w:val="bottom"/>
            <w:hideMark/>
          </w:tcPr>
          <w:p w14:paraId="501AA76A" w14:textId="77777777" w:rsidR="00E90931" w:rsidRPr="00AE4E8D" w:rsidRDefault="00E90931" w:rsidP="00E71CBF">
            <w:pPr>
              <w:keepNext/>
              <w:keepLines/>
              <w:jc w:val="center"/>
              <w:rPr>
                <w:rFonts w:ascii="Times New Roman" w:hAnsi="Times New Roman"/>
                <w:sz w:val="16"/>
                <w:szCs w:val="16"/>
                <w:lang w:val="es-ES"/>
              </w:rPr>
            </w:pPr>
            <w:r w:rsidRPr="00AE4E8D">
              <w:rPr>
                <w:rFonts w:ascii="Times New Roman" w:hAnsi="Times New Roman"/>
                <w:sz w:val="16"/>
                <w:szCs w:val="16"/>
                <w:lang w:val="es-ES"/>
              </w:rPr>
              <w:t> </w:t>
            </w:r>
          </w:p>
        </w:tc>
        <w:tc>
          <w:tcPr>
            <w:tcW w:w="940" w:type="pct"/>
            <w:tcBorders>
              <w:top w:val="single" w:sz="4" w:space="0" w:color="auto"/>
              <w:left w:val="nil"/>
              <w:bottom w:val="single" w:sz="4" w:space="0" w:color="auto"/>
              <w:right w:val="nil"/>
            </w:tcBorders>
            <w:noWrap/>
            <w:vAlign w:val="bottom"/>
            <w:hideMark/>
          </w:tcPr>
          <w:p w14:paraId="29956699" w14:textId="77777777" w:rsidR="00E90931" w:rsidRPr="00AE4E8D" w:rsidRDefault="00E90931" w:rsidP="00E71CBF">
            <w:pPr>
              <w:keepNext/>
              <w:keepLines/>
              <w:jc w:val="center"/>
              <w:rPr>
                <w:rFonts w:ascii="Times New Roman" w:hAnsi="Times New Roman"/>
                <w:sz w:val="16"/>
                <w:szCs w:val="16"/>
                <w:lang w:val="es-ES"/>
              </w:rPr>
            </w:pPr>
            <w:r w:rsidRPr="00AE4E8D">
              <w:rPr>
                <w:rFonts w:ascii="Times New Roman" w:hAnsi="Times New Roman"/>
                <w:sz w:val="16"/>
                <w:lang w:val="es-ES"/>
              </w:rPr>
              <w:t>2015</w:t>
            </w:r>
          </w:p>
        </w:tc>
        <w:tc>
          <w:tcPr>
            <w:tcW w:w="176" w:type="pct"/>
            <w:tcBorders>
              <w:top w:val="single" w:sz="4" w:space="0" w:color="auto"/>
              <w:left w:val="nil"/>
              <w:bottom w:val="nil"/>
              <w:right w:val="nil"/>
            </w:tcBorders>
            <w:noWrap/>
            <w:vAlign w:val="bottom"/>
            <w:hideMark/>
          </w:tcPr>
          <w:p w14:paraId="638DD44C" w14:textId="77777777" w:rsidR="00E90931" w:rsidRPr="00AE4E8D" w:rsidRDefault="00E90931" w:rsidP="00E71CBF">
            <w:pPr>
              <w:keepNext/>
              <w:keepLines/>
              <w:jc w:val="center"/>
              <w:rPr>
                <w:rFonts w:ascii="Times New Roman" w:hAnsi="Times New Roman"/>
                <w:sz w:val="16"/>
                <w:szCs w:val="16"/>
                <w:lang w:val="es-ES"/>
              </w:rPr>
            </w:pPr>
            <w:r w:rsidRPr="00AE4E8D">
              <w:rPr>
                <w:rFonts w:ascii="Times New Roman" w:hAnsi="Times New Roman"/>
                <w:sz w:val="16"/>
                <w:szCs w:val="16"/>
                <w:lang w:val="es-ES"/>
              </w:rPr>
              <w:t> </w:t>
            </w:r>
          </w:p>
        </w:tc>
        <w:tc>
          <w:tcPr>
            <w:tcW w:w="939" w:type="pct"/>
            <w:tcBorders>
              <w:top w:val="single" w:sz="4" w:space="0" w:color="auto"/>
              <w:left w:val="nil"/>
              <w:bottom w:val="single" w:sz="4" w:space="0" w:color="auto"/>
              <w:right w:val="nil"/>
            </w:tcBorders>
            <w:noWrap/>
            <w:vAlign w:val="bottom"/>
            <w:hideMark/>
          </w:tcPr>
          <w:p w14:paraId="531643D8" w14:textId="77777777" w:rsidR="00E90931" w:rsidRPr="00AE4E8D" w:rsidRDefault="00E90931" w:rsidP="00E71CBF">
            <w:pPr>
              <w:keepNext/>
              <w:keepLines/>
              <w:jc w:val="center"/>
              <w:rPr>
                <w:rFonts w:ascii="Times New Roman" w:hAnsi="Times New Roman"/>
                <w:sz w:val="16"/>
                <w:szCs w:val="16"/>
                <w:lang w:val="es-ES"/>
              </w:rPr>
            </w:pPr>
            <w:r w:rsidRPr="00AE4E8D">
              <w:rPr>
                <w:rFonts w:ascii="Times New Roman" w:hAnsi="Times New Roman"/>
                <w:sz w:val="16"/>
                <w:lang w:val="es-ES"/>
              </w:rPr>
              <w:t>2014</w:t>
            </w:r>
          </w:p>
        </w:tc>
      </w:tr>
      <w:tr w:rsidR="00E90931" w:rsidRPr="00AE4E8D" w14:paraId="6DCFEE64" w14:textId="77777777" w:rsidTr="000400C8">
        <w:trPr>
          <w:trHeight w:val="255"/>
          <w:jc w:val="center"/>
        </w:trPr>
        <w:tc>
          <w:tcPr>
            <w:tcW w:w="1828" w:type="pct"/>
            <w:vAlign w:val="center"/>
          </w:tcPr>
          <w:p w14:paraId="5D3A13AB" w14:textId="77777777" w:rsidR="00E90931" w:rsidRPr="00AE4E8D" w:rsidRDefault="00E90931" w:rsidP="00E71CBF">
            <w:pPr>
              <w:keepNext/>
              <w:keepLines/>
              <w:rPr>
                <w:rFonts w:ascii="Times New Roman" w:hAnsi="Times New Roman"/>
                <w:b/>
                <w:bCs/>
                <w:sz w:val="16"/>
                <w:szCs w:val="16"/>
                <w:lang w:val="es-ES"/>
              </w:rPr>
            </w:pPr>
          </w:p>
        </w:tc>
        <w:tc>
          <w:tcPr>
            <w:tcW w:w="3172" w:type="pct"/>
            <w:gridSpan w:val="5"/>
            <w:noWrap/>
            <w:vAlign w:val="bottom"/>
            <w:hideMark/>
          </w:tcPr>
          <w:p w14:paraId="18116156" w14:textId="77777777" w:rsidR="00E90931" w:rsidRPr="00AE4E8D" w:rsidRDefault="00E90931" w:rsidP="00E71CBF">
            <w:pPr>
              <w:keepNext/>
              <w:keepLines/>
              <w:jc w:val="center"/>
              <w:rPr>
                <w:rFonts w:ascii="Times New Roman" w:hAnsi="Times New Roman"/>
                <w:sz w:val="16"/>
                <w:szCs w:val="16"/>
                <w:lang w:val="es-ES"/>
              </w:rPr>
            </w:pPr>
            <w:r w:rsidRPr="00AE4E8D">
              <w:rPr>
                <w:rFonts w:ascii="Times New Roman" w:hAnsi="Times New Roman"/>
                <w:sz w:val="16"/>
                <w:szCs w:val="16"/>
                <w:lang w:val="es-ES"/>
              </w:rPr>
              <w:t>(en miles de Pesos)</w:t>
            </w:r>
          </w:p>
        </w:tc>
      </w:tr>
      <w:tr w:rsidR="00E90931" w:rsidRPr="00AE4E8D" w14:paraId="44EB5203" w14:textId="77777777" w:rsidTr="000400C8">
        <w:trPr>
          <w:trHeight w:val="255"/>
          <w:jc w:val="center"/>
        </w:trPr>
        <w:tc>
          <w:tcPr>
            <w:tcW w:w="1828" w:type="pct"/>
            <w:vAlign w:val="center"/>
          </w:tcPr>
          <w:p w14:paraId="5CF95D79" w14:textId="77777777" w:rsidR="00E90931" w:rsidRPr="00AE4E8D" w:rsidRDefault="00E90931" w:rsidP="00E71CBF">
            <w:pPr>
              <w:keepNext/>
              <w:keepLines/>
              <w:rPr>
                <w:rFonts w:ascii="Times New Roman" w:hAnsi="Times New Roman"/>
                <w:b/>
                <w:bCs/>
                <w:sz w:val="16"/>
                <w:szCs w:val="16"/>
                <w:lang w:val="es-ES"/>
              </w:rPr>
            </w:pPr>
          </w:p>
        </w:tc>
        <w:tc>
          <w:tcPr>
            <w:tcW w:w="941" w:type="pct"/>
            <w:noWrap/>
            <w:vAlign w:val="bottom"/>
          </w:tcPr>
          <w:p w14:paraId="6583E191" w14:textId="77777777" w:rsidR="00E90931" w:rsidRPr="00AE4E8D" w:rsidRDefault="00E90931" w:rsidP="00E71CBF">
            <w:pPr>
              <w:keepNext/>
              <w:keepLines/>
              <w:rPr>
                <w:rFonts w:ascii="Times New Roman" w:hAnsi="Times New Roman"/>
                <w:sz w:val="16"/>
                <w:szCs w:val="16"/>
                <w:lang w:val="es-ES"/>
              </w:rPr>
            </w:pPr>
          </w:p>
        </w:tc>
        <w:tc>
          <w:tcPr>
            <w:tcW w:w="176" w:type="pct"/>
            <w:noWrap/>
            <w:vAlign w:val="bottom"/>
          </w:tcPr>
          <w:p w14:paraId="0F716620"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tcPr>
          <w:p w14:paraId="0C678310" w14:textId="77777777" w:rsidR="00E90931" w:rsidRPr="00AE4E8D" w:rsidRDefault="00E90931" w:rsidP="00E71CBF">
            <w:pPr>
              <w:keepNext/>
              <w:keepLines/>
              <w:rPr>
                <w:rFonts w:ascii="Times New Roman" w:hAnsi="Times New Roman"/>
                <w:sz w:val="16"/>
                <w:szCs w:val="16"/>
                <w:lang w:val="es-ES"/>
              </w:rPr>
            </w:pPr>
          </w:p>
        </w:tc>
        <w:tc>
          <w:tcPr>
            <w:tcW w:w="176" w:type="pct"/>
            <w:noWrap/>
            <w:vAlign w:val="bottom"/>
          </w:tcPr>
          <w:p w14:paraId="7A1BC172"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tcPr>
          <w:p w14:paraId="15D91AF1" w14:textId="77777777" w:rsidR="00E90931" w:rsidRPr="00AE4E8D" w:rsidRDefault="00E90931" w:rsidP="00E71CBF">
            <w:pPr>
              <w:keepNext/>
              <w:keepLines/>
              <w:rPr>
                <w:rFonts w:ascii="Times New Roman" w:hAnsi="Times New Roman"/>
                <w:sz w:val="16"/>
                <w:szCs w:val="16"/>
                <w:lang w:val="es-ES"/>
              </w:rPr>
            </w:pPr>
          </w:p>
        </w:tc>
      </w:tr>
      <w:tr w:rsidR="00E90931" w:rsidRPr="00AE4E8D" w14:paraId="61AAEE99" w14:textId="77777777" w:rsidTr="000400C8">
        <w:trPr>
          <w:trHeight w:val="255"/>
          <w:jc w:val="center"/>
        </w:trPr>
        <w:tc>
          <w:tcPr>
            <w:tcW w:w="1828" w:type="pct"/>
            <w:shd w:val="clear" w:color="auto" w:fill="FFFFFF"/>
            <w:vAlign w:val="center"/>
            <w:hideMark/>
          </w:tcPr>
          <w:p w14:paraId="12B61B5A" w14:textId="77777777" w:rsidR="00E90931" w:rsidRPr="00AE4E8D" w:rsidRDefault="00E90931" w:rsidP="00E71CBF">
            <w:pPr>
              <w:keepNext/>
              <w:keepLines/>
              <w:rPr>
                <w:rFonts w:ascii="Times New Roman" w:hAnsi="Times New Roman"/>
                <w:sz w:val="16"/>
                <w:szCs w:val="16"/>
                <w:lang w:val="es-ES"/>
              </w:rPr>
            </w:pPr>
            <w:r w:rsidRPr="00AE4E8D">
              <w:rPr>
                <w:rFonts w:ascii="Times New Roman" w:hAnsi="Times New Roman"/>
                <w:sz w:val="16"/>
                <w:szCs w:val="16"/>
                <w:lang w:val="es-ES"/>
              </w:rPr>
              <w:t>Reserva al inicio del periodo</w:t>
            </w:r>
          </w:p>
        </w:tc>
        <w:tc>
          <w:tcPr>
            <w:tcW w:w="941" w:type="pct"/>
            <w:noWrap/>
            <w:vAlign w:val="bottom"/>
            <w:hideMark/>
          </w:tcPr>
          <w:p w14:paraId="6F441280" w14:textId="77777777" w:rsidR="00E90931" w:rsidRPr="00AE4E8D" w:rsidRDefault="00E90931" w:rsidP="00E71CBF">
            <w:pPr>
              <w:keepNext/>
              <w:keepLines/>
              <w:jc w:val="right"/>
              <w:rPr>
                <w:rFonts w:ascii="Times New Roman" w:hAnsi="Times New Roman"/>
                <w:sz w:val="16"/>
                <w:lang w:val="es-ES"/>
              </w:rPr>
            </w:pPr>
            <w:r w:rsidRPr="00AE4E8D">
              <w:rPr>
                <w:rFonts w:ascii="Times New Roman" w:hAnsi="Times New Roman"/>
                <w:sz w:val="16"/>
                <w:lang w:val="es-ES"/>
              </w:rPr>
              <w:t>452.022</w:t>
            </w:r>
            <w:r w:rsidRPr="00AE4E8D">
              <w:rPr>
                <w:rFonts w:ascii="Times New Roman" w:hAnsi="Times New Roman"/>
                <w:sz w:val="16"/>
                <w:szCs w:val="16"/>
                <w:lang w:val="es-ES"/>
              </w:rPr>
              <w:t xml:space="preserve"> </w:t>
            </w:r>
          </w:p>
        </w:tc>
        <w:tc>
          <w:tcPr>
            <w:tcW w:w="176" w:type="pct"/>
            <w:noWrap/>
            <w:vAlign w:val="bottom"/>
          </w:tcPr>
          <w:p w14:paraId="2186AB4B"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hideMark/>
          </w:tcPr>
          <w:p w14:paraId="46661A36"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410.556</w:t>
            </w:r>
          </w:p>
        </w:tc>
        <w:tc>
          <w:tcPr>
            <w:tcW w:w="176" w:type="pct"/>
            <w:noWrap/>
            <w:vAlign w:val="bottom"/>
          </w:tcPr>
          <w:p w14:paraId="56086BC6"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hideMark/>
          </w:tcPr>
          <w:p w14:paraId="1C1B62D3"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312.082</w:t>
            </w:r>
          </w:p>
        </w:tc>
      </w:tr>
      <w:tr w:rsidR="003B5193" w:rsidRPr="00AE4E8D" w14:paraId="2F9AB451" w14:textId="77777777" w:rsidTr="007D6748">
        <w:trPr>
          <w:trHeight w:val="255"/>
          <w:jc w:val="center"/>
        </w:trPr>
        <w:tc>
          <w:tcPr>
            <w:tcW w:w="1828" w:type="pct"/>
            <w:shd w:val="clear" w:color="auto" w:fill="FFFFFF"/>
            <w:vAlign w:val="center"/>
            <w:hideMark/>
          </w:tcPr>
          <w:p w14:paraId="75905B64" w14:textId="77777777" w:rsidR="00E90931" w:rsidRPr="00AE4E8D" w:rsidRDefault="00E90931" w:rsidP="00E71CBF">
            <w:pPr>
              <w:keepNext/>
              <w:keepLines/>
              <w:rPr>
                <w:rFonts w:ascii="Times New Roman" w:hAnsi="Times New Roman"/>
                <w:sz w:val="16"/>
                <w:szCs w:val="16"/>
                <w:lang w:val="es-ES"/>
              </w:rPr>
            </w:pPr>
            <w:r w:rsidRPr="00AE4E8D">
              <w:rPr>
                <w:rFonts w:ascii="Times New Roman" w:hAnsi="Times New Roman"/>
                <w:sz w:val="16"/>
                <w:szCs w:val="16"/>
                <w:lang w:val="es-ES"/>
              </w:rPr>
              <w:t>Previsiones Cargadas a resultados</w:t>
            </w:r>
          </w:p>
        </w:tc>
        <w:tc>
          <w:tcPr>
            <w:tcW w:w="941" w:type="pct"/>
            <w:tcBorders>
              <w:top w:val="nil"/>
              <w:left w:val="nil"/>
              <w:bottom w:val="single" w:sz="4" w:space="0" w:color="auto"/>
              <w:right w:val="nil"/>
            </w:tcBorders>
            <w:noWrap/>
            <w:vAlign w:val="bottom"/>
            <w:hideMark/>
          </w:tcPr>
          <w:p w14:paraId="3E0EF62D" w14:textId="77777777" w:rsidR="00E90931" w:rsidRPr="00AE4E8D" w:rsidRDefault="00E90931" w:rsidP="00E71CBF">
            <w:pPr>
              <w:keepNext/>
              <w:keepLines/>
              <w:jc w:val="right"/>
              <w:rPr>
                <w:rFonts w:ascii="Times New Roman" w:hAnsi="Times New Roman"/>
                <w:sz w:val="16"/>
                <w:lang w:val="es-ES"/>
              </w:rPr>
            </w:pPr>
            <w:r w:rsidRPr="00AE4E8D">
              <w:rPr>
                <w:rFonts w:ascii="Times New Roman" w:hAnsi="Times New Roman"/>
                <w:sz w:val="16"/>
                <w:szCs w:val="16"/>
                <w:lang w:val="es-ES"/>
              </w:rPr>
              <w:t xml:space="preserve">517.137 </w:t>
            </w:r>
          </w:p>
        </w:tc>
        <w:tc>
          <w:tcPr>
            <w:tcW w:w="176" w:type="pct"/>
            <w:noWrap/>
            <w:vAlign w:val="bottom"/>
          </w:tcPr>
          <w:p w14:paraId="5F06F716" w14:textId="77777777" w:rsidR="00E90931" w:rsidRPr="00AE4E8D" w:rsidRDefault="00E90931" w:rsidP="00E71CBF">
            <w:pPr>
              <w:keepNext/>
              <w:keepLines/>
              <w:rPr>
                <w:rFonts w:ascii="Times New Roman" w:hAnsi="Times New Roman"/>
                <w:sz w:val="16"/>
                <w:szCs w:val="16"/>
                <w:lang w:val="es-ES"/>
              </w:rPr>
            </w:pPr>
          </w:p>
        </w:tc>
        <w:tc>
          <w:tcPr>
            <w:tcW w:w="940" w:type="pct"/>
            <w:tcBorders>
              <w:top w:val="nil"/>
              <w:left w:val="nil"/>
              <w:bottom w:val="single" w:sz="4" w:space="0" w:color="auto"/>
              <w:right w:val="nil"/>
            </w:tcBorders>
            <w:noWrap/>
            <w:vAlign w:val="bottom"/>
            <w:hideMark/>
          </w:tcPr>
          <w:p w14:paraId="2941DF8F"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347.621</w:t>
            </w:r>
          </w:p>
        </w:tc>
        <w:tc>
          <w:tcPr>
            <w:tcW w:w="176" w:type="pct"/>
            <w:noWrap/>
            <w:vAlign w:val="bottom"/>
          </w:tcPr>
          <w:p w14:paraId="5F2A3F3F" w14:textId="77777777" w:rsidR="00E90931" w:rsidRPr="00AE4E8D" w:rsidRDefault="00E90931" w:rsidP="00E71CBF">
            <w:pPr>
              <w:keepNext/>
              <w:keepLines/>
              <w:rPr>
                <w:rFonts w:ascii="Times New Roman" w:hAnsi="Times New Roman"/>
                <w:sz w:val="16"/>
                <w:szCs w:val="16"/>
                <w:lang w:val="es-ES"/>
              </w:rPr>
            </w:pPr>
          </w:p>
        </w:tc>
        <w:tc>
          <w:tcPr>
            <w:tcW w:w="939" w:type="pct"/>
            <w:tcBorders>
              <w:top w:val="nil"/>
              <w:left w:val="nil"/>
              <w:bottom w:val="single" w:sz="4" w:space="0" w:color="auto"/>
              <w:right w:val="nil"/>
            </w:tcBorders>
            <w:noWrap/>
            <w:vAlign w:val="bottom"/>
            <w:hideMark/>
          </w:tcPr>
          <w:p w14:paraId="72C94CF8"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348.949</w:t>
            </w:r>
          </w:p>
        </w:tc>
      </w:tr>
      <w:tr w:rsidR="00E90931" w:rsidRPr="00AE4E8D" w14:paraId="7336883F" w14:textId="77777777" w:rsidTr="000400C8">
        <w:trPr>
          <w:trHeight w:val="255"/>
          <w:jc w:val="center"/>
        </w:trPr>
        <w:tc>
          <w:tcPr>
            <w:tcW w:w="1828" w:type="pct"/>
            <w:vAlign w:val="center"/>
            <w:hideMark/>
          </w:tcPr>
          <w:p w14:paraId="5D044265" w14:textId="77777777" w:rsidR="00E90931" w:rsidRPr="00AE4E8D" w:rsidRDefault="00EB3492" w:rsidP="00E71CBF">
            <w:pPr>
              <w:keepNext/>
              <w:keepLines/>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Subtotal</w:t>
            </w:r>
          </w:p>
        </w:tc>
        <w:tc>
          <w:tcPr>
            <w:tcW w:w="941" w:type="pct"/>
            <w:tcBorders>
              <w:top w:val="single" w:sz="4" w:space="0" w:color="auto"/>
              <w:left w:val="nil"/>
              <w:bottom w:val="nil"/>
              <w:right w:val="nil"/>
            </w:tcBorders>
            <w:noWrap/>
            <w:vAlign w:val="bottom"/>
            <w:hideMark/>
          </w:tcPr>
          <w:p w14:paraId="0773F4A9"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969.159</w:t>
            </w:r>
          </w:p>
        </w:tc>
        <w:tc>
          <w:tcPr>
            <w:tcW w:w="176" w:type="pct"/>
            <w:noWrap/>
            <w:vAlign w:val="bottom"/>
          </w:tcPr>
          <w:p w14:paraId="067DB451" w14:textId="77777777" w:rsidR="00E90931" w:rsidRPr="00AE4E8D" w:rsidRDefault="00E90931" w:rsidP="00E71CBF">
            <w:pPr>
              <w:keepNext/>
              <w:keepLines/>
              <w:rPr>
                <w:rFonts w:ascii="Times New Roman" w:hAnsi="Times New Roman"/>
                <w:sz w:val="16"/>
                <w:szCs w:val="16"/>
                <w:lang w:val="es-ES"/>
              </w:rPr>
            </w:pPr>
          </w:p>
        </w:tc>
        <w:tc>
          <w:tcPr>
            <w:tcW w:w="940" w:type="pct"/>
            <w:tcBorders>
              <w:top w:val="single" w:sz="4" w:space="0" w:color="auto"/>
              <w:left w:val="nil"/>
              <w:bottom w:val="nil"/>
              <w:right w:val="nil"/>
            </w:tcBorders>
            <w:noWrap/>
            <w:vAlign w:val="bottom"/>
            <w:hideMark/>
          </w:tcPr>
          <w:p w14:paraId="1F7B2E64"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758.177</w:t>
            </w:r>
          </w:p>
        </w:tc>
        <w:tc>
          <w:tcPr>
            <w:tcW w:w="176" w:type="pct"/>
            <w:noWrap/>
            <w:vAlign w:val="bottom"/>
          </w:tcPr>
          <w:p w14:paraId="53AF7730"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hideMark/>
          </w:tcPr>
          <w:p w14:paraId="0D7C4382"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661.031</w:t>
            </w:r>
          </w:p>
        </w:tc>
      </w:tr>
      <w:tr w:rsidR="00E90931" w:rsidRPr="00AE4E8D" w14:paraId="4D5F08B4" w14:textId="77777777" w:rsidTr="000400C8">
        <w:trPr>
          <w:trHeight w:val="255"/>
          <w:jc w:val="center"/>
        </w:trPr>
        <w:tc>
          <w:tcPr>
            <w:tcW w:w="1828" w:type="pct"/>
            <w:vAlign w:val="center"/>
            <w:hideMark/>
          </w:tcPr>
          <w:p w14:paraId="0E15D7AB" w14:textId="77777777" w:rsidR="00E90931" w:rsidRPr="00AE4E8D" w:rsidRDefault="00E90931" w:rsidP="00E71CBF">
            <w:pPr>
              <w:keepNext/>
              <w:keepLines/>
              <w:rPr>
                <w:rFonts w:ascii="Times New Roman" w:hAnsi="Times New Roman"/>
                <w:sz w:val="16"/>
                <w:szCs w:val="16"/>
                <w:lang w:val="es-ES"/>
              </w:rPr>
            </w:pPr>
            <w:r w:rsidRPr="00AE4E8D">
              <w:rPr>
                <w:rFonts w:ascii="Times New Roman" w:hAnsi="Times New Roman"/>
                <w:sz w:val="16"/>
                <w:szCs w:val="16"/>
                <w:lang w:val="es-ES"/>
              </w:rPr>
              <w:t>Aplicaciones</w:t>
            </w:r>
          </w:p>
        </w:tc>
        <w:tc>
          <w:tcPr>
            <w:tcW w:w="941" w:type="pct"/>
            <w:noWrap/>
            <w:vAlign w:val="bottom"/>
          </w:tcPr>
          <w:p w14:paraId="76FF7B7B" w14:textId="77777777" w:rsidR="00E90931" w:rsidRPr="00AE4E8D" w:rsidRDefault="00E90931" w:rsidP="00E71CBF">
            <w:pPr>
              <w:keepNext/>
              <w:keepLines/>
              <w:rPr>
                <w:rFonts w:ascii="Times New Roman" w:hAnsi="Times New Roman"/>
                <w:sz w:val="16"/>
                <w:szCs w:val="16"/>
                <w:lang w:val="es-ES"/>
              </w:rPr>
            </w:pPr>
          </w:p>
        </w:tc>
        <w:tc>
          <w:tcPr>
            <w:tcW w:w="176" w:type="pct"/>
            <w:noWrap/>
            <w:vAlign w:val="bottom"/>
          </w:tcPr>
          <w:p w14:paraId="42311F03"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tcPr>
          <w:p w14:paraId="717F7D58" w14:textId="77777777" w:rsidR="00E90931" w:rsidRPr="00AE4E8D" w:rsidRDefault="00E90931" w:rsidP="00E71CBF">
            <w:pPr>
              <w:keepNext/>
              <w:keepLines/>
              <w:rPr>
                <w:rFonts w:ascii="Times New Roman" w:hAnsi="Times New Roman"/>
                <w:sz w:val="16"/>
                <w:szCs w:val="16"/>
                <w:lang w:val="es-ES"/>
              </w:rPr>
            </w:pPr>
          </w:p>
        </w:tc>
        <w:tc>
          <w:tcPr>
            <w:tcW w:w="176" w:type="pct"/>
            <w:noWrap/>
            <w:vAlign w:val="bottom"/>
          </w:tcPr>
          <w:p w14:paraId="42F88F35"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tcPr>
          <w:p w14:paraId="549AB001" w14:textId="77777777" w:rsidR="00E90931" w:rsidRPr="00AE4E8D" w:rsidRDefault="00E90931" w:rsidP="00E71CBF">
            <w:pPr>
              <w:keepNext/>
              <w:keepLines/>
              <w:rPr>
                <w:rFonts w:ascii="Times New Roman" w:hAnsi="Times New Roman"/>
                <w:sz w:val="16"/>
                <w:szCs w:val="16"/>
                <w:lang w:val="es-ES"/>
              </w:rPr>
            </w:pPr>
          </w:p>
        </w:tc>
      </w:tr>
      <w:tr w:rsidR="00E90931" w:rsidRPr="00AE4E8D" w14:paraId="4DE2AF65" w14:textId="77777777" w:rsidTr="000400C8">
        <w:trPr>
          <w:trHeight w:val="255"/>
          <w:jc w:val="center"/>
        </w:trPr>
        <w:tc>
          <w:tcPr>
            <w:tcW w:w="1828" w:type="pct"/>
            <w:vAlign w:val="center"/>
            <w:hideMark/>
          </w:tcPr>
          <w:p w14:paraId="51DDC246" w14:textId="77777777" w:rsidR="00E90931" w:rsidRPr="00AE4E8D" w:rsidRDefault="00E90931" w:rsidP="00E71CBF">
            <w:pPr>
              <w:keepNext/>
              <w:keepLines/>
              <w:rPr>
                <w:rFonts w:ascii="Times New Roman" w:hAnsi="Times New Roman"/>
                <w:sz w:val="16"/>
                <w:szCs w:val="16"/>
                <w:lang w:val="es-ES"/>
              </w:rPr>
            </w:pPr>
            <w:r w:rsidRPr="00AE4E8D">
              <w:rPr>
                <w:rFonts w:ascii="Times New Roman" w:hAnsi="Times New Roman"/>
                <w:sz w:val="16"/>
                <w:szCs w:val="16"/>
                <w:lang w:val="es-ES"/>
              </w:rPr>
              <w:t>Préstamos Hipotecarios</w:t>
            </w:r>
          </w:p>
        </w:tc>
        <w:tc>
          <w:tcPr>
            <w:tcW w:w="941" w:type="pct"/>
            <w:noWrap/>
            <w:vAlign w:val="bottom"/>
            <w:hideMark/>
          </w:tcPr>
          <w:p w14:paraId="4372CBF3"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(3.528)</w:t>
            </w:r>
          </w:p>
        </w:tc>
        <w:tc>
          <w:tcPr>
            <w:tcW w:w="176" w:type="pct"/>
            <w:noWrap/>
            <w:vAlign w:val="bottom"/>
          </w:tcPr>
          <w:p w14:paraId="2606FEEC"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hideMark/>
          </w:tcPr>
          <w:p w14:paraId="756E6ECF"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(4.508)</w:t>
            </w:r>
          </w:p>
        </w:tc>
        <w:tc>
          <w:tcPr>
            <w:tcW w:w="176" w:type="pct"/>
            <w:noWrap/>
            <w:vAlign w:val="bottom"/>
          </w:tcPr>
          <w:p w14:paraId="289DFB8E"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hideMark/>
          </w:tcPr>
          <w:p w14:paraId="4FC82FE8"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(11.421)</w:t>
            </w:r>
          </w:p>
        </w:tc>
      </w:tr>
      <w:tr w:rsidR="00E90931" w:rsidRPr="00AE4E8D" w14:paraId="7A4B9C96" w14:textId="77777777" w:rsidTr="000400C8">
        <w:trPr>
          <w:trHeight w:val="255"/>
          <w:jc w:val="center"/>
        </w:trPr>
        <w:tc>
          <w:tcPr>
            <w:tcW w:w="1828" w:type="pct"/>
            <w:vAlign w:val="center"/>
            <w:hideMark/>
          </w:tcPr>
          <w:p w14:paraId="0C6FA6E9" w14:textId="77777777" w:rsidR="00E90931" w:rsidRPr="00AE4E8D" w:rsidRDefault="00E90931" w:rsidP="00E71CBF">
            <w:pPr>
              <w:keepNext/>
              <w:keepLines/>
              <w:rPr>
                <w:rFonts w:ascii="Times New Roman" w:hAnsi="Times New Roman"/>
                <w:sz w:val="16"/>
                <w:szCs w:val="16"/>
                <w:lang w:val="es-ES"/>
              </w:rPr>
            </w:pPr>
            <w:r w:rsidRPr="00AE4E8D">
              <w:rPr>
                <w:rFonts w:ascii="Times New Roman" w:hAnsi="Times New Roman"/>
                <w:sz w:val="16"/>
                <w:szCs w:val="16"/>
                <w:lang w:val="es-ES"/>
              </w:rPr>
              <w:t>Préstamos Personales</w:t>
            </w:r>
          </w:p>
        </w:tc>
        <w:tc>
          <w:tcPr>
            <w:tcW w:w="941" w:type="pct"/>
            <w:noWrap/>
            <w:vAlign w:val="bottom"/>
            <w:hideMark/>
          </w:tcPr>
          <w:p w14:paraId="3262FDBB"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(86.957)</w:t>
            </w:r>
          </w:p>
        </w:tc>
        <w:tc>
          <w:tcPr>
            <w:tcW w:w="176" w:type="pct"/>
            <w:noWrap/>
            <w:vAlign w:val="bottom"/>
          </w:tcPr>
          <w:p w14:paraId="1AACB48B"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hideMark/>
          </w:tcPr>
          <w:p w14:paraId="6E970884"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(86.264)</w:t>
            </w:r>
          </w:p>
        </w:tc>
        <w:tc>
          <w:tcPr>
            <w:tcW w:w="176" w:type="pct"/>
            <w:noWrap/>
            <w:vAlign w:val="bottom"/>
          </w:tcPr>
          <w:p w14:paraId="332EAFDB"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hideMark/>
          </w:tcPr>
          <w:p w14:paraId="211D40CC"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(59.348)</w:t>
            </w:r>
          </w:p>
        </w:tc>
      </w:tr>
      <w:tr w:rsidR="00E90931" w:rsidRPr="00AE4E8D" w14:paraId="4D8E0F02" w14:textId="77777777" w:rsidTr="000400C8">
        <w:trPr>
          <w:trHeight w:val="255"/>
          <w:jc w:val="center"/>
        </w:trPr>
        <w:tc>
          <w:tcPr>
            <w:tcW w:w="1828" w:type="pct"/>
            <w:vAlign w:val="center"/>
            <w:hideMark/>
          </w:tcPr>
          <w:p w14:paraId="41C31576" w14:textId="77777777" w:rsidR="00E90931" w:rsidRPr="00AE4E8D" w:rsidRDefault="00E90931" w:rsidP="00E71CBF">
            <w:pPr>
              <w:keepNext/>
              <w:keepLines/>
              <w:rPr>
                <w:rFonts w:ascii="Times New Roman" w:hAnsi="Times New Roman"/>
                <w:sz w:val="16"/>
                <w:szCs w:val="16"/>
                <w:lang w:val="es-ES"/>
              </w:rPr>
            </w:pPr>
            <w:r w:rsidRPr="00AE4E8D">
              <w:rPr>
                <w:rFonts w:ascii="Times New Roman" w:hAnsi="Times New Roman"/>
                <w:sz w:val="16"/>
                <w:szCs w:val="16"/>
                <w:lang w:val="es-ES"/>
              </w:rPr>
              <w:t>Tarjetas de Crédito</w:t>
            </w:r>
          </w:p>
        </w:tc>
        <w:tc>
          <w:tcPr>
            <w:tcW w:w="941" w:type="pct"/>
            <w:noWrap/>
            <w:vAlign w:val="bottom"/>
            <w:hideMark/>
          </w:tcPr>
          <w:p w14:paraId="741B2A27"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(199.138)</w:t>
            </w:r>
          </w:p>
        </w:tc>
        <w:tc>
          <w:tcPr>
            <w:tcW w:w="176" w:type="pct"/>
            <w:noWrap/>
            <w:vAlign w:val="bottom"/>
          </w:tcPr>
          <w:p w14:paraId="512D15A6"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hideMark/>
          </w:tcPr>
          <w:p w14:paraId="49A46855"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(213.237)</w:t>
            </w:r>
          </w:p>
        </w:tc>
        <w:tc>
          <w:tcPr>
            <w:tcW w:w="176" w:type="pct"/>
            <w:noWrap/>
            <w:vAlign w:val="bottom"/>
          </w:tcPr>
          <w:p w14:paraId="4343555A"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hideMark/>
          </w:tcPr>
          <w:p w14:paraId="092E3AAF"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(177.946)</w:t>
            </w:r>
          </w:p>
        </w:tc>
      </w:tr>
      <w:tr w:rsidR="00E90931" w:rsidRPr="00AE4E8D" w14:paraId="17D5FD19" w14:textId="77777777" w:rsidTr="000400C8">
        <w:trPr>
          <w:trHeight w:val="255"/>
          <w:jc w:val="center"/>
        </w:trPr>
        <w:tc>
          <w:tcPr>
            <w:tcW w:w="1828" w:type="pct"/>
            <w:vAlign w:val="center"/>
            <w:hideMark/>
          </w:tcPr>
          <w:p w14:paraId="5DE2ABD9" w14:textId="77777777" w:rsidR="00E90931" w:rsidRPr="00AE4E8D" w:rsidRDefault="00E90931" w:rsidP="00E71CBF">
            <w:pPr>
              <w:keepNext/>
              <w:keepLines/>
              <w:rPr>
                <w:rFonts w:ascii="Times New Roman" w:hAnsi="Times New Roman"/>
                <w:sz w:val="16"/>
                <w:szCs w:val="16"/>
                <w:lang w:val="es-ES"/>
              </w:rPr>
            </w:pPr>
            <w:r w:rsidRPr="00AE4E8D">
              <w:rPr>
                <w:rFonts w:ascii="Times New Roman" w:hAnsi="Times New Roman"/>
                <w:sz w:val="16"/>
                <w:szCs w:val="16"/>
                <w:lang w:val="es-ES"/>
              </w:rPr>
              <w:t>Adelantos</w:t>
            </w:r>
          </w:p>
        </w:tc>
        <w:tc>
          <w:tcPr>
            <w:tcW w:w="941" w:type="pct"/>
            <w:noWrap/>
            <w:vAlign w:val="bottom"/>
            <w:hideMark/>
          </w:tcPr>
          <w:p w14:paraId="5BE781CA"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(473)</w:t>
            </w:r>
          </w:p>
        </w:tc>
        <w:tc>
          <w:tcPr>
            <w:tcW w:w="176" w:type="pct"/>
            <w:noWrap/>
            <w:vAlign w:val="bottom"/>
          </w:tcPr>
          <w:p w14:paraId="5B6B1A0B"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hideMark/>
          </w:tcPr>
          <w:p w14:paraId="36D2F4E8"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(1.079)</w:t>
            </w:r>
          </w:p>
        </w:tc>
        <w:tc>
          <w:tcPr>
            <w:tcW w:w="176" w:type="pct"/>
            <w:noWrap/>
            <w:vAlign w:val="bottom"/>
          </w:tcPr>
          <w:p w14:paraId="560A4B1C"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hideMark/>
          </w:tcPr>
          <w:p w14:paraId="63F0616A"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(536)</w:t>
            </w:r>
          </w:p>
        </w:tc>
      </w:tr>
      <w:tr w:rsidR="00E90931" w:rsidRPr="00AE4E8D" w14:paraId="6CFFDEDC" w14:textId="77777777" w:rsidTr="000400C8">
        <w:trPr>
          <w:trHeight w:val="255"/>
          <w:jc w:val="center"/>
        </w:trPr>
        <w:tc>
          <w:tcPr>
            <w:tcW w:w="1828" w:type="pct"/>
            <w:vAlign w:val="center"/>
          </w:tcPr>
          <w:p w14:paraId="075B568B" w14:textId="77777777" w:rsidR="00E90931" w:rsidRPr="00AE4E8D" w:rsidRDefault="00E90931" w:rsidP="00E71CBF">
            <w:pPr>
              <w:keepNext/>
              <w:keepLines/>
              <w:rPr>
                <w:rFonts w:ascii="Times New Roman" w:hAnsi="Times New Roman"/>
                <w:sz w:val="16"/>
                <w:szCs w:val="16"/>
                <w:lang w:val="es-ES"/>
              </w:rPr>
            </w:pPr>
          </w:p>
        </w:tc>
        <w:tc>
          <w:tcPr>
            <w:tcW w:w="941" w:type="pct"/>
            <w:noWrap/>
            <w:vAlign w:val="bottom"/>
            <w:hideMark/>
          </w:tcPr>
          <w:p w14:paraId="5613B749"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176" w:type="pct"/>
            <w:noWrap/>
            <w:vAlign w:val="bottom"/>
          </w:tcPr>
          <w:p w14:paraId="4D6B4C7A"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hideMark/>
          </w:tcPr>
          <w:p w14:paraId="2861BFCF"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176" w:type="pct"/>
            <w:noWrap/>
            <w:vAlign w:val="bottom"/>
          </w:tcPr>
          <w:p w14:paraId="490839B9"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hideMark/>
          </w:tcPr>
          <w:p w14:paraId="5B9B39A9"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r>
      <w:tr w:rsidR="00E90931" w:rsidRPr="00AE4E8D" w14:paraId="12631DC6" w14:textId="77777777" w:rsidTr="000400C8">
        <w:trPr>
          <w:trHeight w:val="255"/>
          <w:jc w:val="center"/>
        </w:trPr>
        <w:tc>
          <w:tcPr>
            <w:tcW w:w="1828" w:type="pct"/>
            <w:vAlign w:val="center"/>
            <w:hideMark/>
          </w:tcPr>
          <w:p w14:paraId="2F158F4A" w14:textId="77777777" w:rsidR="00E90931" w:rsidRPr="00AE4E8D" w:rsidRDefault="00E90931" w:rsidP="00E71CBF">
            <w:pPr>
              <w:keepNext/>
              <w:keepLines/>
              <w:rPr>
                <w:rFonts w:ascii="Times New Roman" w:hAnsi="Times New Roman"/>
                <w:sz w:val="16"/>
                <w:szCs w:val="16"/>
                <w:lang w:val="es-ES"/>
              </w:rPr>
            </w:pPr>
            <w:r w:rsidRPr="00AE4E8D">
              <w:rPr>
                <w:rFonts w:ascii="Times New Roman" w:hAnsi="Times New Roman"/>
                <w:sz w:val="16"/>
                <w:szCs w:val="16"/>
                <w:lang w:val="es-ES"/>
              </w:rPr>
              <w:t>Otros préstamos</w:t>
            </w:r>
          </w:p>
        </w:tc>
        <w:tc>
          <w:tcPr>
            <w:tcW w:w="941" w:type="pct"/>
            <w:noWrap/>
            <w:vAlign w:val="bottom"/>
            <w:hideMark/>
          </w:tcPr>
          <w:p w14:paraId="6926DCFA"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w:t>
            </w:r>
          </w:p>
        </w:tc>
        <w:tc>
          <w:tcPr>
            <w:tcW w:w="176" w:type="pct"/>
            <w:noWrap/>
            <w:vAlign w:val="bottom"/>
          </w:tcPr>
          <w:p w14:paraId="12F84D85"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hideMark/>
          </w:tcPr>
          <w:p w14:paraId="5AC2B3F7"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(1.067)</w:t>
            </w:r>
          </w:p>
        </w:tc>
        <w:tc>
          <w:tcPr>
            <w:tcW w:w="176" w:type="pct"/>
            <w:noWrap/>
            <w:vAlign w:val="bottom"/>
          </w:tcPr>
          <w:p w14:paraId="7A7F03F6"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hideMark/>
          </w:tcPr>
          <w:p w14:paraId="75C7F085"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(1.224)</w:t>
            </w:r>
          </w:p>
        </w:tc>
      </w:tr>
      <w:tr w:rsidR="00B86C83" w:rsidRPr="00AE4E8D" w14:paraId="4CE5B4AC" w14:textId="77777777" w:rsidTr="000400C8">
        <w:trPr>
          <w:trHeight w:val="255"/>
          <w:jc w:val="center"/>
        </w:trPr>
        <w:tc>
          <w:tcPr>
            <w:tcW w:w="1828" w:type="pct"/>
            <w:vAlign w:val="center"/>
            <w:hideMark/>
          </w:tcPr>
          <w:p w14:paraId="7F79E75A" w14:textId="77777777" w:rsidR="00E90931" w:rsidRPr="00AE4E8D" w:rsidRDefault="00EB3492" w:rsidP="00E71CBF">
            <w:pPr>
              <w:keepNext/>
              <w:keepLines/>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Total de aplicaciones</w:t>
            </w:r>
          </w:p>
        </w:tc>
        <w:tc>
          <w:tcPr>
            <w:tcW w:w="941" w:type="pct"/>
            <w:tcBorders>
              <w:top w:val="single" w:sz="4" w:space="0" w:color="auto"/>
              <w:left w:val="nil"/>
              <w:bottom w:val="nil"/>
              <w:right w:val="nil"/>
            </w:tcBorders>
            <w:noWrap/>
            <w:vAlign w:val="bottom"/>
            <w:hideMark/>
          </w:tcPr>
          <w:p w14:paraId="02AD7145"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(290.096)</w:t>
            </w:r>
          </w:p>
        </w:tc>
        <w:tc>
          <w:tcPr>
            <w:tcW w:w="176" w:type="pct"/>
            <w:noWrap/>
            <w:vAlign w:val="bottom"/>
          </w:tcPr>
          <w:p w14:paraId="52DF040F" w14:textId="77777777" w:rsidR="00E90931" w:rsidRPr="00AE4E8D" w:rsidRDefault="00E90931" w:rsidP="00E71CBF">
            <w:pPr>
              <w:keepNext/>
              <w:keepLines/>
              <w:rPr>
                <w:rFonts w:ascii="Times New Roman" w:hAnsi="Times New Roman"/>
                <w:sz w:val="16"/>
                <w:szCs w:val="16"/>
                <w:lang w:val="es-ES"/>
              </w:rPr>
            </w:pPr>
          </w:p>
        </w:tc>
        <w:tc>
          <w:tcPr>
            <w:tcW w:w="940" w:type="pct"/>
            <w:tcBorders>
              <w:top w:val="single" w:sz="4" w:space="0" w:color="auto"/>
              <w:left w:val="nil"/>
              <w:bottom w:val="nil"/>
              <w:right w:val="nil"/>
            </w:tcBorders>
            <w:noWrap/>
            <w:vAlign w:val="bottom"/>
            <w:hideMark/>
          </w:tcPr>
          <w:p w14:paraId="50ABA2CB"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(306.155)</w:t>
            </w:r>
          </w:p>
        </w:tc>
        <w:tc>
          <w:tcPr>
            <w:tcW w:w="176" w:type="pct"/>
            <w:noWrap/>
            <w:vAlign w:val="bottom"/>
          </w:tcPr>
          <w:p w14:paraId="63913370" w14:textId="77777777" w:rsidR="00E90931" w:rsidRPr="00AE4E8D" w:rsidRDefault="00E90931" w:rsidP="00E71CBF">
            <w:pPr>
              <w:keepNext/>
              <w:keepLines/>
              <w:rPr>
                <w:rFonts w:ascii="Times New Roman" w:hAnsi="Times New Roman"/>
                <w:sz w:val="16"/>
                <w:szCs w:val="16"/>
                <w:lang w:val="es-ES"/>
              </w:rPr>
            </w:pPr>
          </w:p>
        </w:tc>
        <w:tc>
          <w:tcPr>
            <w:tcW w:w="939" w:type="pct"/>
            <w:tcBorders>
              <w:top w:val="single" w:sz="4" w:space="0" w:color="auto"/>
              <w:left w:val="nil"/>
              <w:bottom w:val="nil"/>
              <w:right w:val="nil"/>
            </w:tcBorders>
            <w:noWrap/>
            <w:vAlign w:val="bottom"/>
            <w:hideMark/>
          </w:tcPr>
          <w:p w14:paraId="546F4CE4"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(250.475)</w:t>
            </w:r>
          </w:p>
        </w:tc>
      </w:tr>
      <w:tr w:rsidR="00E90931" w:rsidRPr="00AE4E8D" w14:paraId="0A80CB1C" w14:textId="77777777" w:rsidTr="000400C8">
        <w:trPr>
          <w:trHeight w:val="255"/>
          <w:jc w:val="center"/>
        </w:trPr>
        <w:tc>
          <w:tcPr>
            <w:tcW w:w="1828" w:type="pct"/>
            <w:vAlign w:val="center"/>
          </w:tcPr>
          <w:p w14:paraId="23510F44" w14:textId="77777777" w:rsidR="00E90931" w:rsidRPr="00AE4E8D" w:rsidRDefault="00E90931" w:rsidP="00E71CBF">
            <w:pPr>
              <w:keepNext/>
              <w:keepLines/>
              <w:rPr>
                <w:rFonts w:ascii="Times New Roman" w:hAnsi="Times New Roman"/>
                <w:sz w:val="16"/>
                <w:szCs w:val="16"/>
                <w:lang w:val="es-ES"/>
              </w:rPr>
            </w:pPr>
          </w:p>
        </w:tc>
        <w:tc>
          <w:tcPr>
            <w:tcW w:w="941" w:type="pct"/>
            <w:noWrap/>
            <w:vAlign w:val="bottom"/>
          </w:tcPr>
          <w:p w14:paraId="77C362F1" w14:textId="77777777" w:rsidR="00E90931" w:rsidRPr="00AE4E8D" w:rsidRDefault="00E90931" w:rsidP="00E71CBF">
            <w:pPr>
              <w:keepNext/>
              <w:keepLines/>
              <w:rPr>
                <w:rFonts w:ascii="Times New Roman" w:hAnsi="Times New Roman"/>
                <w:sz w:val="16"/>
                <w:szCs w:val="16"/>
                <w:lang w:val="es-ES"/>
              </w:rPr>
            </w:pPr>
          </w:p>
        </w:tc>
        <w:tc>
          <w:tcPr>
            <w:tcW w:w="176" w:type="pct"/>
            <w:noWrap/>
            <w:vAlign w:val="bottom"/>
          </w:tcPr>
          <w:p w14:paraId="1DB79D15"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tcPr>
          <w:p w14:paraId="2811E6E7" w14:textId="77777777" w:rsidR="00E90931" w:rsidRPr="00AE4E8D" w:rsidRDefault="00E90931" w:rsidP="00E71CBF">
            <w:pPr>
              <w:keepNext/>
              <w:keepLines/>
              <w:rPr>
                <w:rFonts w:ascii="Times New Roman" w:hAnsi="Times New Roman"/>
                <w:sz w:val="16"/>
                <w:szCs w:val="16"/>
                <w:lang w:val="es-ES"/>
              </w:rPr>
            </w:pPr>
          </w:p>
        </w:tc>
        <w:tc>
          <w:tcPr>
            <w:tcW w:w="176" w:type="pct"/>
            <w:noWrap/>
            <w:vAlign w:val="bottom"/>
          </w:tcPr>
          <w:p w14:paraId="51D3EF34"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tcPr>
          <w:p w14:paraId="4A8C7C13" w14:textId="77777777" w:rsidR="00E90931" w:rsidRPr="00AE4E8D" w:rsidRDefault="00E90931" w:rsidP="00E71CBF">
            <w:pPr>
              <w:keepNext/>
              <w:keepLines/>
              <w:rPr>
                <w:rFonts w:ascii="Times New Roman" w:hAnsi="Times New Roman"/>
                <w:sz w:val="16"/>
                <w:szCs w:val="16"/>
                <w:lang w:val="es-ES"/>
              </w:rPr>
            </w:pPr>
          </w:p>
        </w:tc>
      </w:tr>
      <w:tr w:rsidR="00B86C83" w:rsidRPr="00AE4E8D" w14:paraId="1F76E94E" w14:textId="77777777" w:rsidTr="000400C8">
        <w:trPr>
          <w:trHeight w:val="255"/>
          <w:jc w:val="center"/>
        </w:trPr>
        <w:tc>
          <w:tcPr>
            <w:tcW w:w="1828" w:type="pct"/>
            <w:vAlign w:val="center"/>
            <w:hideMark/>
          </w:tcPr>
          <w:p w14:paraId="09FC9B5C" w14:textId="77777777" w:rsidR="00E90931" w:rsidRPr="00AE4E8D" w:rsidRDefault="00EB3492" w:rsidP="00E71CBF">
            <w:pPr>
              <w:keepNext/>
              <w:keepLines/>
              <w:rPr>
                <w:rFonts w:ascii="Times New Roman" w:hAnsi="Times New Roman"/>
                <w:sz w:val="16"/>
                <w:szCs w:val="16"/>
                <w:lang w:val="es-ES"/>
              </w:rPr>
            </w:pPr>
            <w:r w:rsidRPr="00AE4E8D">
              <w:rPr>
                <w:rFonts w:ascii="Times New Roman" w:hAnsi="Times New Roman"/>
                <w:sz w:val="16"/>
                <w:szCs w:val="16"/>
                <w:lang w:val="es-ES"/>
              </w:rPr>
              <w:t xml:space="preserve"> </w:t>
            </w:r>
            <w:r w:rsidR="00E90931" w:rsidRPr="00AE4E8D">
              <w:rPr>
                <w:rFonts w:ascii="Times New Roman" w:hAnsi="Times New Roman"/>
                <w:sz w:val="16"/>
                <w:szCs w:val="16"/>
                <w:lang w:val="es-ES"/>
              </w:rPr>
              <w:t>Reservas al final del período</w:t>
            </w:r>
          </w:p>
        </w:tc>
        <w:tc>
          <w:tcPr>
            <w:tcW w:w="941" w:type="pct"/>
            <w:tcBorders>
              <w:top w:val="single" w:sz="4" w:space="0" w:color="auto"/>
              <w:left w:val="nil"/>
              <w:bottom w:val="nil"/>
              <w:right w:val="nil"/>
            </w:tcBorders>
            <w:noWrap/>
            <w:vAlign w:val="bottom"/>
            <w:hideMark/>
          </w:tcPr>
          <w:p w14:paraId="3AE0D603"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679.063</w:t>
            </w:r>
          </w:p>
        </w:tc>
        <w:tc>
          <w:tcPr>
            <w:tcW w:w="176" w:type="pct"/>
            <w:noWrap/>
            <w:vAlign w:val="bottom"/>
          </w:tcPr>
          <w:p w14:paraId="5E7F16C4" w14:textId="77777777" w:rsidR="00E90931" w:rsidRPr="00AE4E8D" w:rsidRDefault="00E90931" w:rsidP="00E71CBF">
            <w:pPr>
              <w:keepNext/>
              <w:keepLines/>
              <w:rPr>
                <w:rFonts w:ascii="Times New Roman" w:hAnsi="Times New Roman"/>
                <w:sz w:val="16"/>
                <w:szCs w:val="16"/>
                <w:lang w:val="es-ES"/>
              </w:rPr>
            </w:pPr>
          </w:p>
        </w:tc>
        <w:tc>
          <w:tcPr>
            <w:tcW w:w="940" w:type="pct"/>
            <w:tcBorders>
              <w:top w:val="single" w:sz="4" w:space="0" w:color="auto"/>
              <w:left w:val="nil"/>
              <w:bottom w:val="nil"/>
              <w:right w:val="nil"/>
            </w:tcBorders>
            <w:noWrap/>
            <w:vAlign w:val="bottom"/>
            <w:hideMark/>
          </w:tcPr>
          <w:p w14:paraId="4C9949B3"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452.022</w:t>
            </w:r>
          </w:p>
        </w:tc>
        <w:tc>
          <w:tcPr>
            <w:tcW w:w="176" w:type="pct"/>
            <w:noWrap/>
            <w:vAlign w:val="bottom"/>
          </w:tcPr>
          <w:p w14:paraId="2FAD3278" w14:textId="77777777" w:rsidR="00E90931" w:rsidRPr="00AE4E8D" w:rsidRDefault="00E90931" w:rsidP="00E71CBF">
            <w:pPr>
              <w:keepNext/>
              <w:keepLines/>
              <w:rPr>
                <w:rFonts w:ascii="Times New Roman" w:hAnsi="Times New Roman"/>
                <w:sz w:val="16"/>
                <w:szCs w:val="16"/>
                <w:lang w:val="es-ES"/>
              </w:rPr>
            </w:pPr>
          </w:p>
        </w:tc>
        <w:tc>
          <w:tcPr>
            <w:tcW w:w="939" w:type="pct"/>
            <w:tcBorders>
              <w:top w:val="single" w:sz="4" w:space="0" w:color="auto"/>
              <w:left w:val="nil"/>
              <w:bottom w:val="nil"/>
              <w:right w:val="nil"/>
            </w:tcBorders>
            <w:noWrap/>
            <w:vAlign w:val="bottom"/>
            <w:hideMark/>
          </w:tcPr>
          <w:p w14:paraId="2275E24A"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410.556</w:t>
            </w:r>
          </w:p>
        </w:tc>
      </w:tr>
      <w:tr w:rsidR="00E90931" w:rsidRPr="00AE4E8D" w14:paraId="69CC8248" w14:textId="77777777" w:rsidTr="000400C8">
        <w:trPr>
          <w:trHeight w:val="255"/>
          <w:jc w:val="center"/>
        </w:trPr>
        <w:tc>
          <w:tcPr>
            <w:tcW w:w="1828" w:type="pct"/>
            <w:vAlign w:val="center"/>
          </w:tcPr>
          <w:p w14:paraId="2FE1268F" w14:textId="77777777" w:rsidR="00E90931" w:rsidRPr="00AE4E8D" w:rsidRDefault="00E90931" w:rsidP="00E71CBF">
            <w:pPr>
              <w:keepNext/>
              <w:keepLines/>
              <w:rPr>
                <w:rFonts w:ascii="Times New Roman" w:hAnsi="Times New Roman"/>
                <w:sz w:val="16"/>
                <w:szCs w:val="16"/>
                <w:lang w:val="es-ES"/>
              </w:rPr>
            </w:pPr>
          </w:p>
        </w:tc>
        <w:tc>
          <w:tcPr>
            <w:tcW w:w="941" w:type="pct"/>
            <w:noWrap/>
            <w:vAlign w:val="bottom"/>
          </w:tcPr>
          <w:p w14:paraId="6B9111E4" w14:textId="77777777" w:rsidR="00E90931" w:rsidRPr="00AE4E8D" w:rsidRDefault="00E90931" w:rsidP="00E71CBF">
            <w:pPr>
              <w:keepNext/>
              <w:keepLines/>
              <w:rPr>
                <w:rFonts w:ascii="Times New Roman" w:hAnsi="Times New Roman"/>
                <w:sz w:val="16"/>
                <w:szCs w:val="16"/>
                <w:lang w:val="es-ES"/>
              </w:rPr>
            </w:pPr>
          </w:p>
        </w:tc>
        <w:tc>
          <w:tcPr>
            <w:tcW w:w="176" w:type="pct"/>
            <w:noWrap/>
            <w:vAlign w:val="bottom"/>
          </w:tcPr>
          <w:p w14:paraId="37683EC8"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tcPr>
          <w:p w14:paraId="353D4850" w14:textId="77777777" w:rsidR="00E90931" w:rsidRPr="00AE4E8D" w:rsidRDefault="00E90931" w:rsidP="00E71CBF">
            <w:pPr>
              <w:keepNext/>
              <w:keepLines/>
              <w:rPr>
                <w:rFonts w:ascii="Times New Roman" w:hAnsi="Times New Roman"/>
                <w:sz w:val="16"/>
                <w:szCs w:val="16"/>
                <w:lang w:val="es-ES"/>
              </w:rPr>
            </w:pPr>
          </w:p>
        </w:tc>
        <w:tc>
          <w:tcPr>
            <w:tcW w:w="176" w:type="pct"/>
            <w:noWrap/>
            <w:vAlign w:val="bottom"/>
          </w:tcPr>
          <w:p w14:paraId="0B0BEDBF"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tcPr>
          <w:p w14:paraId="63AC7334" w14:textId="77777777" w:rsidR="00E90931" w:rsidRPr="00AE4E8D" w:rsidRDefault="00E90931" w:rsidP="00E71CBF">
            <w:pPr>
              <w:keepNext/>
              <w:keepLines/>
              <w:rPr>
                <w:rFonts w:ascii="Times New Roman" w:hAnsi="Times New Roman"/>
                <w:sz w:val="16"/>
                <w:szCs w:val="16"/>
                <w:lang w:val="es-ES"/>
              </w:rPr>
            </w:pPr>
          </w:p>
        </w:tc>
      </w:tr>
      <w:tr w:rsidR="00E90931" w:rsidRPr="00AE4E8D" w14:paraId="5F8925D8" w14:textId="77777777" w:rsidTr="000400C8">
        <w:trPr>
          <w:trHeight w:val="255"/>
          <w:jc w:val="center"/>
        </w:trPr>
        <w:tc>
          <w:tcPr>
            <w:tcW w:w="1828" w:type="pct"/>
            <w:vAlign w:val="center"/>
            <w:hideMark/>
          </w:tcPr>
          <w:p w14:paraId="65AEEFAD" w14:textId="77777777" w:rsidR="00E90931" w:rsidRPr="00AE4E8D" w:rsidRDefault="00E90931" w:rsidP="00E71CBF">
            <w:pPr>
              <w:keepNext/>
              <w:keepLines/>
              <w:rPr>
                <w:rFonts w:ascii="Times New Roman" w:hAnsi="Times New Roman"/>
                <w:sz w:val="16"/>
                <w:szCs w:val="16"/>
                <w:lang w:val="es-ES"/>
              </w:rPr>
            </w:pPr>
            <w:r w:rsidRPr="00AE4E8D">
              <w:rPr>
                <w:rFonts w:ascii="Times New Roman" w:hAnsi="Times New Roman"/>
                <w:sz w:val="16"/>
                <w:szCs w:val="16"/>
                <w:lang w:val="es-ES"/>
              </w:rPr>
              <w:t>Cargo neto al estado de resultados</w:t>
            </w:r>
          </w:p>
        </w:tc>
        <w:tc>
          <w:tcPr>
            <w:tcW w:w="941" w:type="pct"/>
            <w:noWrap/>
            <w:vAlign w:val="bottom"/>
            <w:hideMark/>
          </w:tcPr>
          <w:p w14:paraId="032DB2CB"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517.137</w:t>
            </w:r>
          </w:p>
        </w:tc>
        <w:tc>
          <w:tcPr>
            <w:tcW w:w="176" w:type="pct"/>
            <w:noWrap/>
            <w:vAlign w:val="bottom"/>
          </w:tcPr>
          <w:p w14:paraId="0B30BB4A" w14:textId="77777777" w:rsidR="00E90931" w:rsidRPr="00AE4E8D" w:rsidRDefault="00E90931" w:rsidP="00E71CBF">
            <w:pPr>
              <w:keepNext/>
              <w:keepLines/>
              <w:rPr>
                <w:rFonts w:ascii="Times New Roman" w:hAnsi="Times New Roman"/>
                <w:sz w:val="16"/>
                <w:szCs w:val="16"/>
                <w:lang w:val="es-ES"/>
              </w:rPr>
            </w:pPr>
          </w:p>
        </w:tc>
        <w:tc>
          <w:tcPr>
            <w:tcW w:w="940" w:type="pct"/>
            <w:noWrap/>
            <w:vAlign w:val="bottom"/>
            <w:hideMark/>
          </w:tcPr>
          <w:p w14:paraId="678DB96F"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347.621</w:t>
            </w:r>
          </w:p>
        </w:tc>
        <w:tc>
          <w:tcPr>
            <w:tcW w:w="176" w:type="pct"/>
            <w:noWrap/>
            <w:vAlign w:val="bottom"/>
          </w:tcPr>
          <w:p w14:paraId="430FC6F5" w14:textId="77777777" w:rsidR="00E90931" w:rsidRPr="00AE4E8D" w:rsidRDefault="00E90931" w:rsidP="00E71CBF">
            <w:pPr>
              <w:keepNext/>
              <w:keepLines/>
              <w:rPr>
                <w:rFonts w:ascii="Times New Roman" w:hAnsi="Times New Roman"/>
                <w:sz w:val="16"/>
                <w:szCs w:val="16"/>
                <w:lang w:val="es-ES"/>
              </w:rPr>
            </w:pPr>
          </w:p>
        </w:tc>
        <w:tc>
          <w:tcPr>
            <w:tcW w:w="939" w:type="pct"/>
            <w:noWrap/>
            <w:vAlign w:val="bottom"/>
            <w:hideMark/>
          </w:tcPr>
          <w:p w14:paraId="4F508849" w14:textId="77777777" w:rsidR="00E90931" w:rsidRPr="00AE4E8D" w:rsidRDefault="00E90931" w:rsidP="00E71CBF">
            <w:pPr>
              <w:keepNext/>
              <w:keepLines/>
              <w:jc w:val="right"/>
              <w:rPr>
                <w:rFonts w:ascii="Times New Roman" w:hAnsi="Times New Roman"/>
                <w:sz w:val="16"/>
                <w:szCs w:val="16"/>
                <w:lang w:val="es-ES"/>
              </w:rPr>
            </w:pPr>
            <w:r w:rsidRPr="00AE4E8D">
              <w:rPr>
                <w:rFonts w:ascii="Times New Roman" w:hAnsi="Times New Roman"/>
                <w:sz w:val="16"/>
                <w:szCs w:val="16"/>
                <w:lang w:val="es-ES"/>
              </w:rPr>
              <w:t>348.949</w:t>
            </w:r>
          </w:p>
        </w:tc>
      </w:tr>
    </w:tbl>
    <w:p w14:paraId="2B7DBAB1" w14:textId="77777777" w:rsidR="00E90931" w:rsidRPr="00AE4E8D" w:rsidRDefault="00E90931" w:rsidP="0008264A">
      <w:pPr>
        <w:pStyle w:val="BH2Izquierda"/>
        <w:rPr>
          <w:lang w:val="es-ES"/>
        </w:rPr>
      </w:pPr>
      <w:bookmarkStart w:id="386" w:name="_Toc421201388"/>
      <w:bookmarkStart w:id="387" w:name="_Toc495973010"/>
      <w:bookmarkStart w:id="388" w:name="_Toc495399917"/>
      <w:r w:rsidRPr="00AE4E8D">
        <w:rPr>
          <w:lang w:val="es-ES"/>
        </w:rPr>
        <w:t>Política de Aplicación de Previsiones por Riesgo de Incobrabilidad</w:t>
      </w:r>
      <w:bookmarkEnd w:id="386"/>
      <w:bookmarkEnd w:id="387"/>
      <w:bookmarkEnd w:id="388"/>
    </w:p>
    <w:p w14:paraId="116FEF5F" w14:textId="77777777" w:rsidR="00E90931" w:rsidRPr="00AE4E8D" w:rsidRDefault="00E90931" w:rsidP="00E71CBF">
      <w:pPr>
        <w:pStyle w:val="BHTexto"/>
        <w:rPr>
          <w:lang w:val="es-ES"/>
        </w:rPr>
      </w:pPr>
      <w:r w:rsidRPr="00AE4E8D">
        <w:rPr>
          <w:lang w:val="es-ES"/>
        </w:rPr>
        <w:t xml:space="preserve">Nuestra política en materia de aplicación de previsiones por riesgo de incobrabilidad se ajusta a las reglamentaciones establecidas por el BCRA. Bajo las Normas Contables del BCRA, un préstamo hipotecario queda clasificado en la categoría "irrecuperable" (punto en el cual debe constituirse una reserva del 50,0% siempre que tenga una garantía preferida) luego de estar en mora por más de un año. Luego de un período de un año en la categoría "irrecuperable" el préstamo se previsiona entonces en un 100%. El BCRA requiere que los préstamos en general se consideren incobrables al séptimo mes luego de haber sido totalmente previsionados en la categoría "irrecuperable" (es decir, 31 meses después de que el préstamo entre en mora inicialmente). </w:t>
      </w:r>
    </w:p>
    <w:p w14:paraId="0E3EC58A" w14:textId="77777777" w:rsidR="00E90931" w:rsidRPr="00AE4E8D" w:rsidRDefault="00E90931" w:rsidP="00E71CBF">
      <w:pPr>
        <w:pStyle w:val="BHTexto"/>
        <w:rPr>
          <w:lang w:val="es-ES"/>
        </w:rPr>
      </w:pPr>
      <w:r w:rsidRPr="00AE4E8D">
        <w:rPr>
          <w:lang w:val="es-ES"/>
        </w:rPr>
        <w:t>En forma adicional, aplicamos previsiones con respecto a los préstamos para proyectos de construcción para reducir el saldo de capital pendiente al valor del bien subyacente. Dichas aplicaciones de previsiones por riesgo de incobrabilidad se evalúan en una base caso por caso y en general tienen lugar al completarse el proyecto de construcción, cuando el proyecto finalizado es tasado.</w:t>
      </w:r>
    </w:p>
    <w:p w14:paraId="192CF130" w14:textId="77777777" w:rsidR="009B67FC" w:rsidRPr="00AE4E8D" w:rsidRDefault="009B67FC" w:rsidP="00E71CBF">
      <w:pPr>
        <w:pStyle w:val="BHTexto"/>
        <w:rPr>
          <w:lang w:val="es-ES"/>
        </w:rPr>
        <w:sectPr w:rsidR="009B67FC" w:rsidRPr="00AE4E8D" w:rsidSect="00B52753">
          <w:pgSz w:w="11907" w:h="16839"/>
          <w:pgMar w:top="1418" w:right="1185" w:bottom="1418" w:left="1701" w:header="709" w:footer="709" w:gutter="0"/>
          <w:cols w:space="720"/>
        </w:sectPr>
      </w:pPr>
    </w:p>
    <w:p w14:paraId="6C2D7ECC" w14:textId="77777777" w:rsidR="00E90931" w:rsidRPr="00AE4E8D" w:rsidRDefault="00E90931" w:rsidP="0008264A">
      <w:pPr>
        <w:pStyle w:val="BH2Izquierda"/>
        <w:rPr>
          <w:lang w:val="es-ES"/>
        </w:rPr>
      </w:pPr>
      <w:bookmarkStart w:id="389" w:name="_Toc421201389"/>
      <w:bookmarkStart w:id="390" w:name="_Toc495973011"/>
      <w:bookmarkStart w:id="391" w:name="_Toc495399918"/>
      <w:r w:rsidRPr="00AE4E8D">
        <w:rPr>
          <w:lang w:val="es-ES"/>
        </w:rPr>
        <w:lastRenderedPageBreak/>
        <w:t>Asignación de la Previsión por Riesgo de Incobrabilidad de Préstamos</w:t>
      </w:r>
      <w:bookmarkEnd w:id="389"/>
      <w:bookmarkEnd w:id="390"/>
      <w:bookmarkEnd w:id="391"/>
    </w:p>
    <w:p w14:paraId="28665970" w14:textId="77777777" w:rsidR="00E90931" w:rsidRPr="00AE4E8D" w:rsidRDefault="00E90931" w:rsidP="00E9093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Los siguientes cuadros muestran información con respecto a la distribución de la previsión por riesgo de incobrabilidad de préstamos entre los distintos tipos de préstamos a las fechas allí indicadas.</w:t>
      </w:r>
    </w:p>
    <w:tbl>
      <w:tblPr>
        <w:tblW w:w="5000" w:type="pct"/>
        <w:jc w:val="center"/>
        <w:tblLook w:val="00A0" w:firstRow="1" w:lastRow="0" w:firstColumn="1" w:lastColumn="0" w:noHBand="0" w:noVBand="0"/>
      </w:tblPr>
      <w:tblGrid>
        <w:gridCol w:w="1811"/>
        <w:gridCol w:w="940"/>
        <w:gridCol w:w="251"/>
        <w:gridCol w:w="815"/>
        <w:gridCol w:w="251"/>
        <w:gridCol w:w="815"/>
        <w:gridCol w:w="251"/>
        <w:gridCol w:w="818"/>
        <w:gridCol w:w="251"/>
        <w:gridCol w:w="675"/>
        <w:gridCol w:w="251"/>
        <w:gridCol w:w="815"/>
        <w:gridCol w:w="251"/>
        <w:gridCol w:w="815"/>
        <w:gridCol w:w="251"/>
        <w:gridCol w:w="815"/>
        <w:gridCol w:w="255"/>
        <w:gridCol w:w="675"/>
        <w:gridCol w:w="255"/>
        <w:gridCol w:w="815"/>
        <w:gridCol w:w="256"/>
        <w:gridCol w:w="816"/>
        <w:gridCol w:w="256"/>
        <w:gridCol w:w="815"/>
      </w:tblGrid>
      <w:tr w:rsidR="003B5193" w:rsidRPr="00AE4E8D" w14:paraId="20EC6CDD" w14:textId="77777777" w:rsidTr="00E90931">
        <w:trPr>
          <w:trHeight w:val="255"/>
          <w:tblHeader/>
          <w:jc w:val="center"/>
        </w:trPr>
        <w:tc>
          <w:tcPr>
            <w:tcW w:w="637" w:type="pct"/>
            <w:shd w:val="clear" w:color="auto" w:fill="FFFFFF"/>
            <w:vAlign w:val="center"/>
            <w:hideMark/>
          </w:tcPr>
          <w:p w14:paraId="7981E4F1" w14:textId="77777777" w:rsidR="00E90931" w:rsidRPr="00AE4E8D" w:rsidRDefault="00E90931" w:rsidP="00E90931">
            <w:pPr>
              <w:rPr>
                <w:rFonts w:ascii="Times New Roman" w:hAnsi="Times New Roman"/>
                <w:b/>
                <w:bCs/>
                <w:i/>
                <w:iCs/>
                <w:sz w:val="14"/>
                <w:szCs w:val="14"/>
                <w:lang w:val="es-ES"/>
              </w:rPr>
            </w:pPr>
            <w:r w:rsidRPr="00AE4E8D">
              <w:rPr>
                <w:rFonts w:ascii="Times New Roman" w:hAnsi="Times New Roman"/>
                <w:b/>
                <w:bCs/>
                <w:i/>
                <w:iCs/>
                <w:sz w:val="14"/>
                <w:szCs w:val="14"/>
                <w:lang w:val="es-ES"/>
              </w:rPr>
              <w:t> </w:t>
            </w:r>
          </w:p>
        </w:tc>
        <w:tc>
          <w:tcPr>
            <w:tcW w:w="1457" w:type="pct"/>
            <w:gridSpan w:val="7"/>
            <w:tcBorders>
              <w:top w:val="nil"/>
              <w:left w:val="nil"/>
              <w:bottom w:val="single" w:sz="4" w:space="0" w:color="auto"/>
              <w:right w:val="nil"/>
            </w:tcBorders>
            <w:shd w:val="clear" w:color="auto" w:fill="FFFFFF"/>
            <w:noWrap/>
            <w:vAlign w:val="bottom"/>
            <w:hideMark/>
          </w:tcPr>
          <w:p w14:paraId="0738E7CB"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sz w:val="14"/>
                <w:lang w:val="es-ES"/>
              </w:rPr>
              <w:t>2016</w:t>
            </w:r>
          </w:p>
        </w:tc>
        <w:tc>
          <w:tcPr>
            <w:tcW w:w="88" w:type="pct"/>
            <w:shd w:val="clear" w:color="auto" w:fill="FFFFFF"/>
            <w:noWrap/>
            <w:vAlign w:val="bottom"/>
            <w:hideMark/>
          </w:tcPr>
          <w:p w14:paraId="2D20FC2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1362" w:type="pct"/>
            <w:gridSpan w:val="7"/>
            <w:tcBorders>
              <w:top w:val="nil"/>
              <w:left w:val="nil"/>
              <w:bottom w:val="single" w:sz="4" w:space="0" w:color="auto"/>
              <w:right w:val="nil"/>
            </w:tcBorders>
            <w:shd w:val="clear" w:color="auto" w:fill="FFFFFF"/>
            <w:noWrap/>
            <w:vAlign w:val="bottom"/>
            <w:hideMark/>
          </w:tcPr>
          <w:p w14:paraId="657596B1"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sz w:val="14"/>
                <w:lang w:val="es-ES"/>
              </w:rPr>
              <w:t>2015</w:t>
            </w:r>
          </w:p>
        </w:tc>
        <w:tc>
          <w:tcPr>
            <w:tcW w:w="90" w:type="pct"/>
            <w:shd w:val="clear" w:color="auto" w:fill="FFFFFF"/>
            <w:noWrap/>
            <w:vAlign w:val="bottom"/>
            <w:hideMark/>
          </w:tcPr>
          <w:p w14:paraId="6B22E52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1366" w:type="pct"/>
            <w:gridSpan w:val="7"/>
            <w:tcBorders>
              <w:top w:val="nil"/>
              <w:left w:val="nil"/>
              <w:bottom w:val="single" w:sz="4" w:space="0" w:color="auto"/>
              <w:right w:val="nil"/>
            </w:tcBorders>
            <w:shd w:val="clear" w:color="auto" w:fill="FFFFFF"/>
            <w:noWrap/>
            <w:vAlign w:val="bottom"/>
            <w:hideMark/>
          </w:tcPr>
          <w:p w14:paraId="34BF1098" w14:textId="77777777" w:rsidR="00E90931" w:rsidRPr="00AE4E8D" w:rsidRDefault="00E90931" w:rsidP="00E90931">
            <w:pPr>
              <w:jc w:val="center"/>
              <w:rPr>
                <w:rFonts w:ascii="Times New Roman" w:hAnsi="Times New Roman"/>
                <w:b/>
                <w:bCs/>
                <w:sz w:val="14"/>
                <w:szCs w:val="14"/>
                <w:lang w:val="es-ES"/>
              </w:rPr>
            </w:pPr>
            <w:r w:rsidRPr="00AE4E8D">
              <w:rPr>
                <w:rFonts w:ascii="Times New Roman" w:hAnsi="Times New Roman"/>
                <w:b/>
                <w:sz w:val="14"/>
                <w:lang w:val="es-ES"/>
              </w:rPr>
              <w:t>2014</w:t>
            </w:r>
          </w:p>
        </w:tc>
      </w:tr>
      <w:tr w:rsidR="003B5193" w:rsidRPr="00AE4E8D" w14:paraId="4F392D9C" w14:textId="77777777" w:rsidTr="00E90931">
        <w:trPr>
          <w:trHeight w:val="1080"/>
          <w:tblHeader/>
          <w:jc w:val="center"/>
        </w:trPr>
        <w:tc>
          <w:tcPr>
            <w:tcW w:w="637" w:type="pct"/>
            <w:shd w:val="clear" w:color="auto" w:fill="FFFFFF"/>
            <w:noWrap/>
            <w:vAlign w:val="bottom"/>
            <w:hideMark/>
          </w:tcPr>
          <w:p w14:paraId="2919255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331" w:type="pct"/>
            <w:tcBorders>
              <w:top w:val="single" w:sz="4" w:space="0" w:color="auto"/>
              <w:left w:val="nil"/>
              <w:bottom w:val="single" w:sz="4" w:space="0" w:color="auto"/>
              <w:right w:val="nil"/>
            </w:tcBorders>
            <w:vAlign w:val="center"/>
            <w:hideMark/>
          </w:tcPr>
          <w:p w14:paraId="44BB3AC6"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Reserva</w:t>
            </w:r>
          </w:p>
        </w:tc>
        <w:tc>
          <w:tcPr>
            <w:tcW w:w="88" w:type="pct"/>
            <w:vAlign w:val="center"/>
          </w:tcPr>
          <w:p w14:paraId="5DCA9D89" w14:textId="77777777" w:rsidR="00E90931" w:rsidRPr="00AE4E8D" w:rsidRDefault="00E90931" w:rsidP="00E90931">
            <w:pPr>
              <w:jc w:val="center"/>
              <w:rPr>
                <w:rFonts w:ascii="Times New Roman" w:hAnsi="Times New Roman"/>
                <w:b/>
                <w:bCs/>
                <w:i/>
                <w:iCs/>
                <w:color w:val="000000"/>
                <w:sz w:val="14"/>
                <w:szCs w:val="14"/>
                <w:lang w:val="es-ES"/>
              </w:rPr>
            </w:pPr>
          </w:p>
        </w:tc>
        <w:tc>
          <w:tcPr>
            <w:tcW w:w="287" w:type="pct"/>
            <w:tcBorders>
              <w:top w:val="single" w:sz="4" w:space="0" w:color="auto"/>
              <w:left w:val="nil"/>
              <w:bottom w:val="single" w:sz="4" w:space="0" w:color="auto"/>
              <w:right w:val="nil"/>
            </w:tcBorders>
            <w:vAlign w:val="center"/>
            <w:hideMark/>
          </w:tcPr>
          <w:p w14:paraId="410A8848"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Reserva/ Préstamos en Categoría</w:t>
            </w:r>
          </w:p>
        </w:tc>
        <w:tc>
          <w:tcPr>
            <w:tcW w:w="88" w:type="pct"/>
            <w:vAlign w:val="center"/>
          </w:tcPr>
          <w:p w14:paraId="4C1B0121" w14:textId="77777777" w:rsidR="00E90931" w:rsidRPr="00AE4E8D" w:rsidRDefault="00E90931" w:rsidP="00E90931">
            <w:pPr>
              <w:jc w:val="center"/>
              <w:rPr>
                <w:rFonts w:ascii="Times New Roman" w:hAnsi="Times New Roman"/>
                <w:b/>
                <w:bCs/>
                <w:i/>
                <w:iCs/>
                <w:color w:val="000000"/>
                <w:sz w:val="14"/>
                <w:szCs w:val="14"/>
                <w:lang w:val="es-ES"/>
              </w:rPr>
            </w:pPr>
          </w:p>
        </w:tc>
        <w:tc>
          <w:tcPr>
            <w:tcW w:w="287" w:type="pct"/>
            <w:tcBorders>
              <w:top w:val="single" w:sz="4" w:space="0" w:color="auto"/>
              <w:left w:val="nil"/>
              <w:bottom w:val="single" w:sz="4" w:space="0" w:color="auto"/>
              <w:right w:val="nil"/>
            </w:tcBorders>
            <w:vAlign w:val="center"/>
            <w:hideMark/>
          </w:tcPr>
          <w:p w14:paraId="43073A10"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Reserva/ Préstamos en Categoría</w:t>
            </w:r>
          </w:p>
        </w:tc>
        <w:tc>
          <w:tcPr>
            <w:tcW w:w="88" w:type="pct"/>
            <w:vAlign w:val="center"/>
          </w:tcPr>
          <w:p w14:paraId="074B40F2" w14:textId="77777777" w:rsidR="00E90931" w:rsidRPr="00AE4E8D" w:rsidRDefault="00E90931" w:rsidP="00E90931">
            <w:pPr>
              <w:jc w:val="center"/>
              <w:rPr>
                <w:rFonts w:ascii="Times New Roman" w:hAnsi="Times New Roman"/>
                <w:b/>
                <w:bCs/>
                <w:i/>
                <w:iCs/>
                <w:color w:val="000000"/>
                <w:sz w:val="14"/>
                <w:szCs w:val="14"/>
                <w:lang w:val="es-ES"/>
              </w:rPr>
            </w:pPr>
          </w:p>
        </w:tc>
        <w:tc>
          <w:tcPr>
            <w:tcW w:w="288" w:type="pct"/>
            <w:tcBorders>
              <w:top w:val="single" w:sz="4" w:space="0" w:color="auto"/>
              <w:left w:val="nil"/>
              <w:bottom w:val="single" w:sz="4" w:space="0" w:color="auto"/>
              <w:right w:val="nil"/>
            </w:tcBorders>
            <w:vAlign w:val="center"/>
            <w:hideMark/>
          </w:tcPr>
          <w:p w14:paraId="6D07422D"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Total Préstamos en la categoría / Total Préstamos</w:t>
            </w:r>
          </w:p>
        </w:tc>
        <w:tc>
          <w:tcPr>
            <w:tcW w:w="88" w:type="pct"/>
            <w:shd w:val="clear" w:color="auto" w:fill="FFFFFF"/>
            <w:noWrap/>
            <w:vAlign w:val="bottom"/>
            <w:hideMark/>
          </w:tcPr>
          <w:p w14:paraId="4A82B66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tcBorders>
              <w:top w:val="single" w:sz="4" w:space="0" w:color="auto"/>
              <w:left w:val="nil"/>
              <w:bottom w:val="single" w:sz="4" w:space="0" w:color="auto"/>
              <w:right w:val="nil"/>
            </w:tcBorders>
            <w:vAlign w:val="center"/>
            <w:hideMark/>
          </w:tcPr>
          <w:p w14:paraId="139B6ECC"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Reserva</w:t>
            </w:r>
          </w:p>
        </w:tc>
        <w:tc>
          <w:tcPr>
            <w:tcW w:w="88" w:type="pct"/>
            <w:vAlign w:val="center"/>
          </w:tcPr>
          <w:p w14:paraId="4CF64D7E" w14:textId="77777777" w:rsidR="00E90931" w:rsidRPr="00AE4E8D" w:rsidRDefault="00E90931" w:rsidP="00E90931">
            <w:pPr>
              <w:jc w:val="center"/>
              <w:rPr>
                <w:rFonts w:ascii="Times New Roman" w:hAnsi="Times New Roman"/>
                <w:b/>
                <w:bCs/>
                <w:i/>
                <w:iCs/>
                <w:color w:val="000000"/>
                <w:sz w:val="14"/>
                <w:szCs w:val="14"/>
                <w:lang w:val="es-ES"/>
              </w:rPr>
            </w:pPr>
          </w:p>
        </w:tc>
        <w:tc>
          <w:tcPr>
            <w:tcW w:w="287" w:type="pct"/>
            <w:tcBorders>
              <w:top w:val="single" w:sz="4" w:space="0" w:color="auto"/>
              <w:left w:val="nil"/>
              <w:bottom w:val="single" w:sz="4" w:space="0" w:color="auto"/>
              <w:right w:val="nil"/>
            </w:tcBorders>
            <w:vAlign w:val="center"/>
            <w:hideMark/>
          </w:tcPr>
          <w:p w14:paraId="2007BC42"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Reserva/ Préstamos en Categoría</w:t>
            </w:r>
          </w:p>
        </w:tc>
        <w:tc>
          <w:tcPr>
            <w:tcW w:w="88" w:type="pct"/>
            <w:vAlign w:val="center"/>
          </w:tcPr>
          <w:p w14:paraId="63CDEF84" w14:textId="77777777" w:rsidR="00E90931" w:rsidRPr="00AE4E8D" w:rsidRDefault="00E90931" w:rsidP="00E90931">
            <w:pPr>
              <w:jc w:val="center"/>
              <w:rPr>
                <w:rFonts w:ascii="Times New Roman" w:hAnsi="Times New Roman"/>
                <w:b/>
                <w:bCs/>
                <w:i/>
                <w:iCs/>
                <w:color w:val="000000"/>
                <w:sz w:val="14"/>
                <w:szCs w:val="14"/>
                <w:lang w:val="es-ES"/>
              </w:rPr>
            </w:pPr>
          </w:p>
        </w:tc>
        <w:tc>
          <w:tcPr>
            <w:tcW w:w="287" w:type="pct"/>
            <w:tcBorders>
              <w:top w:val="single" w:sz="4" w:space="0" w:color="auto"/>
              <w:left w:val="nil"/>
              <w:bottom w:val="single" w:sz="4" w:space="0" w:color="auto"/>
              <w:right w:val="nil"/>
            </w:tcBorders>
            <w:vAlign w:val="center"/>
            <w:hideMark/>
          </w:tcPr>
          <w:p w14:paraId="6E6A75FD"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Reserva/ Préstamos en Categoría</w:t>
            </w:r>
          </w:p>
        </w:tc>
        <w:tc>
          <w:tcPr>
            <w:tcW w:w="88" w:type="pct"/>
            <w:vAlign w:val="center"/>
          </w:tcPr>
          <w:p w14:paraId="053D5F5A" w14:textId="77777777" w:rsidR="00E90931" w:rsidRPr="00AE4E8D" w:rsidRDefault="00E90931" w:rsidP="00E90931">
            <w:pPr>
              <w:jc w:val="center"/>
              <w:rPr>
                <w:rFonts w:ascii="Times New Roman" w:hAnsi="Times New Roman"/>
                <w:b/>
                <w:bCs/>
                <w:i/>
                <w:iCs/>
                <w:color w:val="000000"/>
                <w:sz w:val="14"/>
                <w:szCs w:val="14"/>
                <w:lang w:val="es-ES"/>
              </w:rPr>
            </w:pPr>
          </w:p>
        </w:tc>
        <w:tc>
          <w:tcPr>
            <w:tcW w:w="287" w:type="pct"/>
            <w:tcBorders>
              <w:top w:val="single" w:sz="4" w:space="0" w:color="auto"/>
              <w:left w:val="nil"/>
              <w:bottom w:val="single" w:sz="4" w:space="0" w:color="auto"/>
              <w:right w:val="nil"/>
            </w:tcBorders>
            <w:vAlign w:val="center"/>
            <w:hideMark/>
          </w:tcPr>
          <w:p w14:paraId="1E7FBDAA"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Total Préstamos en la categoría / Total Préstamos</w:t>
            </w:r>
          </w:p>
        </w:tc>
        <w:tc>
          <w:tcPr>
            <w:tcW w:w="90" w:type="pct"/>
            <w:shd w:val="clear" w:color="auto" w:fill="FFFFFF"/>
            <w:noWrap/>
            <w:vAlign w:val="bottom"/>
            <w:hideMark/>
          </w:tcPr>
          <w:p w14:paraId="259BDE8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tcBorders>
              <w:top w:val="nil"/>
              <w:left w:val="nil"/>
              <w:bottom w:val="single" w:sz="4" w:space="0" w:color="auto"/>
              <w:right w:val="nil"/>
            </w:tcBorders>
            <w:vAlign w:val="center"/>
            <w:hideMark/>
          </w:tcPr>
          <w:p w14:paraId="67B59F1D"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Reserva</w:t>
            </w:r>
          </w:p>
        </w:tc>
        <w:tc>
          <w:tcPr>
            <w:tcW w:w="90" w:type="pct"/>
            <w:shd w:val="clear" w:color="auto" w:fill="FFFFFF"/>
            <w:noWrap/>
            <w:vAlign w:val="bottom"/>
            <w:hideMark/>
          </w:tcPr>
          <w:p w14:paraId="3DA5F7D9"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tcBorders>
              <w:top w:val="nil"/>
              <w:left w:val="nil"/>
              <w:bottom w:val="single" w:sz="4" w:space="0" w:color="auto"/>
              <w:right w:val="nil"/>
            </w:tcBorders>
            <w:vAlign w:val="center"/>
            <w:hideMark/>
          </w:tcPr>
          <w:p w14:paraId="23221148"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Reserva/ Préstamos en Categoría</w:t>
            </w:r>
          </w:p>
        </w:tc>
        <w:tc>
          <w:tcPr>
            <w:tcW w:w="90" w:type="pct"/>
            <w:shd w:val="clear" w:color="auto" w:fill="FFFFFF"/>
            <w:noWrap/>
            <w:vAlign w:val="bottom"/>
            <w:hideMark/>
          </w:tcPr>
          <w:p w14:paraId="6CFDBBA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tcBorders>
              <w:top w:val="nil"/>
              <w:left w:val="nil"/>
              <w:bottom w:val="single" w:sz="4" w:space="0" w:color="auto"/>
              <w:right w:val="nil"/>
            </w:tcBorders>
            <w:vAlign w:val="center"/>
            <w:hideMark/>
          </w:tcPr>
          <w:p w14:paraId="5D145D2A"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Reserva/ Préstamos en Categoría</w:t>
            </w:r>
          </w:p>
        </w:tc>
        <w:tc>
          <w:tcPr>
            <w:tcW w:w="90" w:type="pct"/>
            <w:shd w:val="clear" w:color="auto" w:fill="FFFFFF"/>
            <w:noWrap/>
            <w:vAlign w:val="bottom"/>
            <w:hideMark/>
          </w:tcPr>
          <w:p w14:paraId="7147055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tcBorders>
              <w:top w:val="nil"/>
              <w:left w:val="nil"/>
              <w:bottom w:val="single" w:sz="4" w:space="0" w:color="auto"/>
              <w:right w:val="nil"/>
            </w:tcBorders>
            <w:vAlign w:val="center"/>
            <w:hideMark/>
          </w:tcPr>
          <w:p w14:paraId="4CA41EAA"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Total Préstamos en la categoría / Total Préstamos</w:t>
            </w:r>
          </w:p>
        </w:tc>
      </w:tr>
      <w:tr w:rsidR="00E90931" w:rsidRPr="00AE4E8D" w14:paraId="2CB3C326" w14:textId="77777777" w:rsidTr="000400C8">
        <w:trPr>
          <w:trHeight w:val="300"/>
          <w:tblHeader/>
          <w:jc w:val="center"/>
        </w:trPr>
        <w:tc>
          <w:tcPr>
            <w:tcW w:w="637" w:type="pct"/>
            <w:shd w:val="clear" w:color="auto" w:fill="FFFFFF"/>
            <w:vAlign w:val="center"/>
            <w:hideMark/>
          </w:tcPr>
          <w:p w14:paraId="5F9788F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4363" w:type="pct"/>
            <w:gridSpan w:val="23"/>
            <w:shd w:val="clear" w:color="auto" w:fill="FFFFFF"/>
            <w:vAlign w:val="center"/>
            <w:hideMark/>
          </w:tcPr>
          <w:p w14:paraId="536D8C7F" w14:textId="77777777" w:rsidR="00E90931" w:rsidRPr="00AE4E8D" w:rsidRDefault="00E90931" w:rsidP="00E90931">
            <w:pPr>
              <w:jc w:val="center"/>
              <w:rPr>
                <w:rFonts w:ascii="Times New Roman" w:hAnsi="Times New Roman"/>
                <w:color w:val="000000"/>
                <w:sz w:val="14"/>
                <w:szCs w:val="14"/>
                <w:lang w:val="es-ES"/>
              </w:rPr>
            </w:pPr>
            <w:r w:rsidRPr="00AE4E8D">
              <w:rPr>
                <w:rFonts w:ascii="Times New Roman" w:hAnsi="Times New Roman"/>
                <w:color w:val="000000"/>
                <w:sz w:val="14"/>
                <w:szCs w:val="14"/>
                <w:lang w:val="es-ES"/>
              </w:rPr>
              <w:t>(en miles de Pesos, salvo porcentajes)</w:t>
            </w:r>
          </w:p>
        </w:tc>
      </w:tr>
      <w:tr w:rsidR="003B5193" w:rsidRPr="00AE4E8D" w14:paraId="66C2CC7C" w14:textId="77777777" w:rsidTr="00E90931">
        <w:trPr>
          <w:trHeight w:val="255"/>
          <w:jc w:val="center"/>
        </w:trPr>
        <w:tc>
          <w:tcPr>
            <w:tcW w:w="637" w:type="pct"/>
            <w:shd w:val="clear" w:color="auto" w:fill="FFFFFF"/>
            <w:vAlign w:val="center"/>
            <w:hideMark/>
          </w:tcPr>
          <w:p w14:paraId="07524893"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Consumo</w:t>
            </w:r>
          </w:p>
        </w:tc>
        <w:tc>
          <w:tcPr>
            <w:tcW w:w="331" w:type="pct"/>
            <w:shd w:val="clear" w:color="auto" w:fill="FFFFFF"/>
            <w:vAlign w:val="center"/>
            <w:hideMark/>
          </w:tcPr>
          <w:p w14:paraId="7AB6D29E"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88" w:type="pct"/>
            <w:shd w:val="clear" w:color="auto" w:fill="FFFFFF"/>
            <w:vAlign w:val="center"/>
            <w:hideMark/>
          </w:tcPr>
          <w:p w14:paraId="52BADF79"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287" w:type="pct"/>
            <w:shd w:val="clear" w:color="auto" w:fill="FFFFFF"/>
            <w:vAlign w:val="center"/>
            <w:hideMark/>
          </w:tcPr>
          <w:p w14:paraId="661C0A55"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88" w:type="pct"/>
            <w:shd w:val="clear" w:color="auto" w:fill="FFFFFF"/>
            <w:vAlign w:val="center"/>
            <w:hideMark/>
          </w:tcPr>
          <w:p w14:paraId="5CC555DD"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287" w:type="pct"/>
            <w:shd w:val="clear" w:color="auto" w:fill="FFFFFF"/>
            <w:vAlign w:val="center"/>
            <w:hideMark/>
          </w:tcPr>
          <w:p w14:paraId="197BEA36"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88" w:type="pct"/>
            <w:shd w:val="clear" w:color="auto" w:fill="FFFFFF"/>
            <w:vAlign w:val="center"/>
            <w:hideMark/>
          </w:tcPr>
          <w:p w14:paraId="41D4D4D0"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288" w:type="pct"/>
            <w:shd w:val="clear" w:color="auto" w:fill="FFFFFF"/>
            <w:vAlign w:val="center"/>
            <w:hideMark/>
          </w:tcPr>
          <w:p w14:paraId="1CF4F613"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88" w:type="pct"/>
            <w:shd w:val="clear" w:color="auto" w:fill="FFFFFF"/>
            <w:noWrap/>
            <w:vAlign w:val="bottom"/>
            <w:hideMark/>
          </w:tcPr>
          <w:p w14:paraId="7C90E77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vAlign w:val="center"/>
            <w:hideMark/>
          </w:tcPr>
          <w:p w14:paraId="5E0C41F4"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88" w:type="pct"/>
            <w:shd w:val="clear" w:color="auto" w:fill="FFFFFF"/>
            <w:vAlign w:val="center"/>
            <w:hideMark/>
          </w:tcPr>
          <w:p w14:paraId="174B0E60"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287" w:type="pct"/>
            <w:shd w:val="clear" w:color="auto" w:fill="FFFFFF"/>
            <w:vAlign w:val="center"/>
            <w:hideMark/>
          </w:tcPr>
          <w:p w14:paraId="35733F75"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88" w:type="pct"/>
            <w:shd w:val="clear" w:color="auto" w:fill="FFFFFF"/>
            <w:vAlign w:val="center"/>
            <w:hideMark/>
          </w:tcPr>
          <w:p w14:paraId="21564964"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287" w:type="pct"/>
            <w:shd w:val="clear" w:color="auto" w:fill="FFFFFF"/>
            <w:vAlign w:val="center"/>
            <w:hideMark/>
          </w:tcPr>
          <w:p w14:paraId="064A4BA9"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88" w:type="pct"/>
            <w:shd w:val="clear" w:color="auto" w:fill="FFFFFF"/>
            <w:vAlign w:val="center"/>
            <w:hideMark/>
          </w:tcPr>
          <w:p w14:paraId="6B454D10"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287" w:type="pct"/>
            <w:shd w:val="clear" w:color="auto" w:fill="FFFFFF"/>
            <w:vAlign w:val="center"/>
            <w:hideMark/>
          </w:tcPr>
          <w:p w14:paraId="5CAA4144" w14:textId="77777777" w:rsidR="00E90931" w:rsidRPr="00AE4E8D" w:rsidRDefault="00E90931" w:rsidP="00E90931">
            <w:pPr>
              <w:jc w:val="center"/>
              <w:rPr>
                <w:rFonts w:ascii="Times New Roman" w:hAnsi="Times New Roman"/>
                <w:b/>
                <w:bCs/>
                <w:i/>
                <w:iCs/>
                <w:color w:val="000000"/>
                <w:sz w:val="14"/>
                <w:szCs w:val="14"/>
                <w:lang w:val="es-ES"/>
              </w:rPr>
            </w:pPr>
            <w:r w:rsidRPr="00AE4E8D">
              <w:rPr>
                <w:rFonts w:ascii="Times New Roman" w:hAnsi="Times New Roman"/>
                <w:b/>
                <w:bCs/>
                <w:i/>
                <w:iCs/>
                <w:color w:val="000000"/>
                <w:sz w:val="14"/>
                <w:szCs w:val="14"/>
                <w:lang w:val="es-ES"/>
              </w:rPr>
              <w:t> </w:t>
            </w:r>
          </w:p>
        </w:tc>
        <w:tc>
          <w:tcPr>
            <w:tcW w:w="90" w:type="pct"/>
            <w:shd w:val="clear" w:color="auto" w:fill="FFFFFF"/>
            <w:noWrap/>
            <w:vAlign w:val="bottom"/>
            <w:hideMark/>
          </w:tcPr>
          <w:p w14:paraId="0A96C19F"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548EA429"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90" w:type="pct"/>
            <w:shd w:val="clear" w:color="auto" w:fill="FFFFFF"/>
            <w:noWrap/>
            <w:vAlign w:val="bottom"/>
            <w:hideMark/>
          </w:tcPr>
          <w:p w14:paraId="7F3CA9F5"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87" w:type="pct"/>
            <w:shd w:val="clear" w:color="auto" w:fill="FFFFFF"/>
            <w:noWrap/>
            <w:vAlign w:val="bottom"/>
            <w:hideMark/>
          </w:tcPr>
          <w:p w14:paraId="55511FE0"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90" w:type="pct"/>
            <w:shd w:val="clear" w:color="auto" w:fill="FFFFFF"/>
            <w:noWrap/>
            <w:vAlign w:val="bottom"/>
            <w:hideMark/>
          </w:tcPr>
          <w:p w14:paraId="2440C897"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87" w:type="pct"/>
            <w:shd w:val="clear" w:color="auto" w:fill="FFFFFF"/>
            <w:noWrap/>
            <w:vAlign w:val="bottom"/>
            <w:hideMark/>
          </w:tcPr>
          <w:p w14:paraId="645C1821"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90" w:type="pct"/>
            <w:shd w:val="clear" w:color="auto" w:fill="FFFFFF"/>
            <w:noWrap/>
            <w:vAlign w:val="bottom"/>
            <w:hideMark/>
          </w:tcPr>
          <w:p w14:paraId="3C168A92"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87" w:type="pct"/>
            <w:shd w:val="clear" w:color="auto" w:fill="FFFFFF"/>
            <w:noWrap/>
            <w:vAlign w:val="bottom"/>
            <w:hideMark/>
          </w:tcPr>
          <w:p w14:paraId="47CEE20C"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r>
      <w:tr w:rsidR="003B5193" w:rsidRPr="00AE4E8D" w14:paraId="7F57933B" w14:textId="77777777" w:rsidTr="00E90931">
        <w:trPr>
          <w:trHeight w:val="255"/>
          <w:jc w:val="center"/>
        </w:trPr>
        <w:tc>
          <w:tcPr>
            <w:tcW w:w="637" w:type="pct"/>
            <w:shd w:val="clear" w:color="auto" w:fill="FFFFFF"/>
            <w:vAlign w:val="center"/>
            <w:hideMark/>
          </w:tcPr>
          <w:p w14:paraId="5A2BA0F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Préstamos Hipotecarios</w:t>
            </w:r>
          </w:p>
        </w:tc>
        <w:tc>
          <w:tcPr>
            <w:tcW w:w="331" w:type="pct"/>
            <w:shd w:val="clear" w:color="auto" w:fill="FFFFFF"/>
            <w:noWrap/>
            <w:vAlign w:val="bottom"/>
            <w:hideMark/>
          </w:tcPr>
          <w:p w14:paraId="56CBF1FC"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55.227</w:t>
            </w:r>
          </w:p>
        </w:tc>
        <w:tc>
          <w:tcPr>
            <w:tcW w:w="88" w:type="pct"/>
            <w:shd w:val="clear" w:color="auto" w:fill="FFFFFF"/>
            <w:noWrap/>
            <w:vAlign w:val="bottom"/>
          </w:tcPr>
          <w:p w14:paraId="690F35D9"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0791B5DB"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rPr>
              <w:t>1</w:t>
            </w:r>
            <w:r w:rsidRPr="00AE4E8D">
              <w:rPr>
                <w:rFonts w:ascii="Times New Roman" w:hAnsi="Times New Roman"/>
                <w:color w:val="000000"/>
                <w:sz w:val="14"/>
                <w:lang w:val="es-ES"/>
              </w:rPr>
              <w:t>%</w:t>
            </w:r>
          </w:p>
        </w:tc>
        <w:tc>
          <w:tcPr>
            <w:tcW w:w="88" w:type="pct"/>
            <w:shd w:val="clear" w:color="auto" w:fill="FFFFFF"/>
            <w:noWrap/>
            <w:vAlign w:val="bottom"/>
          </w:tcPr>
          <w:p w14:paraId="7BFA34DF"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48CB568F"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w:t>
            </w:r>
            <w:r w:rsidRPr="00AE4E8D">
              <w:rPr>
                <w:rFonts w:ascii="Times New Roman" w:hAnsi="Times New Roman"/>
                <w:color w:val="000000"/>
                <w:sz w:val="14"/>
                <w:szCs w:val="14"/>
                <w:lang w:val="es-ES"/>
              </w:rPr>
              <w:t>2</w:t>
            </w:r>
            <w:r w:rsidRPr="00AE4E8D">
              <w:rPr>
                <w:rFonts w:ascii="Times New Roman" w:hAnsi="Times New Roman"/>
                <w:color w:val="000000"/>
                <w:sz w:val="14"/>
                <w:lang w:val="es-ES"/>
              </w:rPr>
              <w:t>%</w:t>
            </w:r>
          </w:p>
        </w:tc>
        <w:tc>
          <w:tcPr>
            <w:tcW w:w="88" w:type="pct"/>
            <w:shd w:val="clear" w:color="auto" w:fill="FFFFFF"/>
            <w:noWrap/>
            <w:vAlign w:val="bottom"/>
          </w:tcPr>
          <w:p w14:paraId="3BC4760E" w14:textId="77777777" w:rsidR="00E90931" w:rsidRPr="00AE4E8D" w:rsidRDefault="00E90931" w:rsidP="00E90931">
            <w:pPr>
              <w:rPr>
                <w:rFonts w:ascii="Times New Roman" w:hAnsi="Times New Roman"/>
                <w:color w:val="000000"/>
                <w:sz w:val="14"/>
                <w:lang w:val="es-ES"/>
              </w:rPr>
            </w:pPr>
          </w:p>
        </w:tc>
        <w:tc>
          <w:tcPr>
            <w:tcW w:w="288" w:type="pct"/>
            <w:shd w:val="clear" w:color="auto" w:fill="FFFFFF"/>
            <w:noWrap/>
            <w:vAlign w:val="bottom"/>
            <w:hideMark/>
          </w:tcPr>
          <w:p w14:paraId="7AF1C336"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6,3</w:t>
            </w:r>
            <w:r w:rsidRPr="00AE4E8D">
              <w:rPr>
                <w:rFonts w:ascii="Times New Roman" w:hAnsi="Times New Roman"/>
                <w:color w:val="000000"/>
                <w:sz w:val="14"/>
                <w:lang w:val="es-ES"/>
              </w:rPr>
              <w:t>%</w:t>
            </w:r>
          </w:p>
        </w:tc>
        <w:tc>
          <w:tcPr>
            <w:tcW w:w="88" w:type="pct"/>
            <w:shd w:val="clear" w:color="auto" w:fill="FFFFFF"/>
            <w:noWrap/>
            <w:vAlign w:val="bottom"/>
            <w:hideMark/>
          </w:tcPr>
          <w:p w14:paraId="27DADD7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noWrap/>
            <w:vAlign w:val="bottom"/>
            <w:hideMark/>
          </w:tcPr>
          <w:p w14:paraId="126DDE0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57.655</w:t>
            </w:r>
          </w:p>
        </w:tc>
        <w:tc>
          <w:tcPr>
            <w:tcW w:w="88" w:type="pct"/>
            <w:shd w:val="clear" w:color="auto" w:fill="FFFFFF"/>
            <w:noWrap/>
            <w:vAlign w:val="bottom"/>
            <w:hideMark/>
          </w:tcPr>
          <w:p w14:paraId="1BEC02FF"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83BB08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3,4%</w:t>
            </w:r>
          </w:p>
        </w:tc>
        <w:tc>
          <w:tcPr>
            <w:tcW w:w="88" w:type="pct"/>
            <w:shd w:val="clear" w:color="auto" w:fill="FFFFFF"/>
            <w:noWrap/>
            <w:vAlign w:val="bottom"/>
            <w:hideMark/>
          </w:tcPr>
          <w:p w14:paraId="34F0E8B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191D7A7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0,3%</w:t>
            </w:r>
          </w:p>
        </w:tc>
        <w:tc>
          <w:tcPr>
            <w:tcW w:w="88" w:type="pct"/>
            <w:shd w:val="clear" w:color="auto" w:fill="FFFFFF"/>
            <w:noWrap/>
            <w:vAlign w:val="bottom"/>
            <w:hideMark/>
          </w:tcPr>
          <w:p w14:paraId="1AF119D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2E789CA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8,1%</w:t>
            </w:r>
          </w:p>
        </w:tc>
        <w:tc>
          <w:tcPr>
            <w:tcW w:w="90" w:type="pct"/>
            <w:shd w:val="clear" w:color="auto" w:fill="FFFFFF"/>
            <w:noWrap/>
            <w:vAlign w:val="bottom"/>
            <w:hideMark/>
          </w:tcPr>
          <w:p w14:paraId="641D9252"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5D8338B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62.403</w:t>
            </w:r>
          </w:p>
        </w:tc>
        <w:tc>
          <w:tcPr>
            <w:tcW w:w="90" w:type="pct"/>
            <w:shd w:val="clear" w:color="auto" w:fill="FFFFFF"/>
            <w:noWrap/>
            <w:vAlign w:val="bottom"/>
            <w:hideMark/>
          </w:tcPr>
          <w:p w14:paraId="0E23B80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B57751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3,6%</w:t>
            </w:r>
          </w:p>
        </w:tc>
        <w:tc>
          <w:tcPr>
            <w:tcW w:w="90" w:type="pct"/>
            <w:shd w:val="clear" w:color="auto" w:fill="FFFFFF"/>
            <w:noWrap/>
            <w:vAlign w:val="bottom"/>
            <w:hideMark/>
          </w:tcPr>
          <w:p w14:paraId="353445C1"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3164D8C0"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0,3%</w:t>
            </w:r>
          </w:p>
        </w:tc>
        <w:tc>
          <w:tcPr>
            <w:tcW w:w="90" w:type="pct"/>
            <w:shd w:val="clear" w:color="auto" w:fill="FFFFFF"/>
            <w:noWrap/>
            <w:vAlign w:val="bottom"/>
            <w:hideMark/>
          </w:tcPr>
          <w:p w14:paraId="04DC1D3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B5963D5"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9,6%</w:t>
            </w:r>
          </w:p>
        </w:tc>
      </w:tr>
      <w:tr w:rsidR="003B5193" w:rsidRPr="00AE4E8D" w14:paraId="7C42F076" w14:textId="77777777" w:rsidTr="00E90931">
        <w:trPr>
          <w:trHeight w:val="255"/>
          <w:jc w:val="center"/>
        </w:trPr>
        <w:tc>
          <w:tcPr>
            <w:tcW w:w="637" w:type="pct"/>
            <w:shd w:val="clear" w:color="auto" w:fill="FFFFFF"/>
            <w:vAlign w:val="center"/>
            <w:hideMark/>
          </w:tcPr>
          <w:p w14:paraId="5DB828C1"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Préstamos Personales</w:t>
            </w:r>
          </w:p>
        </w:tc>
        <w:tc>
          <w:tcPr>
            <w:tcW w:w="331" w:type="pct"/>
            <w:shd w:val="clear" w:color="auto" w:fill="FFFFFF"/>
            <w:noWrap/>
            <w:vAlign w:val="bottom"/>
            <w:hideMark/>
          </w:tcPr>
          <w:p w14:paraId="7D006AB9"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118.363</w:t>
            </w:r>
          </w:p>
        </w:tc>
        <w:tc>
          <w:tcPr>
            <w:tcW w:w="88" w:type="pct"/>
            <w:shd w:val="clear" w:color="auto" w:fill="FFFFFF"/>
            <w:noWrap/>
            <w:vAlign w:val="bottom"/>
          </w:tcPr>
          <w:p w14:paraId="140B29A8"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0B49BB9F"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rPr>
              <w:t>6</w:t>
            </w:r>
            <w:r w:rsidRPr="00AE4E8D">
              <w:rPr>
                <w:rFonts w:ascii="Times New Roman" w:hAnsi="Times New Roman"/>
                <w:color w:val="000000"/>
                <w:sz w:val="14"/>
                <w:lang w:val="es-ES"/>
              </w:rPr>
              <w:t>%</w:t>
            </w:r>
          </w:p>
        </w:tc>
        <w:tc>
          <w:tcPr>
            <w:tcW w:w="88" w:type="pct"/>
            <w:shd w:val="clear" w:color="auto" w:fill="FFFFFF"/>
            <w:noWrap/>
            <w:vAlign w:val="bottom"/>
          </w:tcPr>
          <w:p w14:paraId="26AF6EF9"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33410061"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0,4%</w:t>
            </w:r>
          </w:p>
        </w:tc>
        <w:tc>
          <w:tcPr>
            <w:tcW w:w="88" w:type="pct"/>
            <w:shd w:val="clear" w:color="auto" w:fill="FFFFFF"/>
            <w:noWrap/>
            <w:vAlign w:val="bottom"/>
          </w:tcPr>
          <w:p w14:paraId="5FB84C5F" w14:textId="77777777" w:rsidR="00E90931" w:rsidRPr="00AE4E8D" w:rsidRDefault="00E90931" w:rsidP="00E90931">
            <w:pPr>
              <w:rPr>
                <w:rFonts w:ascii="Times New Roman" w:hAnsi="Times New Roman"/>
                <w:color w:val="000000"/>
                <w:sz w:val="14"/>
                <w:lang w:val="es-ES"/>
              </w:rPr>
            </w:pPr>
          </w:p>
        </w:tc>
        <w:tc>
          <w:tcPr>
            <w:tcW w:w="288" w:type="pct"/>
            <w:shd w:val="clear" w:color="auto" w:fill="FFFFFF"/>
            <w:noWrap/>
            <w:vAlign w:val="bottom"/>
            <w:hideMark/>
          </w:tcPr>
          <w:p w14:paraId="3C56CF20"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16,1</w:t>
            </w:r>
            <w:r w:rsidRPr="00AE4E8D">
              <w:rPr>
                <w:rFonts w:ascii="Times New Roman" w:hAnsi="Times New Roman"/>
                <w:color w:val="000000"/>
                <w:sz w:val="14"/>
                <w:lang w:val="es-ES"/>
              </w:rPr>
              <w:t>%</w:t>
            </w:r>
          </w:p>
        </w:tc>
        <w:tc>
          <w:tcPr>
            <w:tcW w:w="88" w:type="pct"/>
            <w:shd w:val="clear" w:color="auto" w:fill="FFFFFF"/>
            <w:noWrap/>
            <w:vAlign w:val="bottom"/>
            <w:hideMark/>
          </w:tcPr>
          <w:p w14:paraId="6954C6B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noWrap/>
            <w:vAlign w:val="bottom"/>
            <w:hideMark/>
          </w:tcPr>
          <w:p w14:paraId="7457DD8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83.861</w:t>
            </w:r>
          </w:p>
        </w:tc>
        <w:tc>
          <w:tcPr>
            <w:tcW w:w="88" w:type="pct"/>
            <w:shd w:val="clear" w:color="auto" w:fill="FFFFFF"/>
            <w:noWrap/>
            <w:vAlign w:val="bottom"/>
            <w:hideMark/>
          </w:tcPr>
          <w:p w14:paraId="69DB5538"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1E612DD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2,8%</w:t>
            </w:r>
          </w:p>
        </w:tc>
        <w:tc>
          <w:tcPr>
            <w:tcW w:w="88" w:type="pct"/>
            <w:shd w:val="clear" w:color="auto" w:fill="FFFFFF"/>
            <w:noWrap/>
            <w:vAlign w:val="bottom"/>
            <w:hideMark/>
          </w:tcPr>
          <w:p w14:paraId="11298667"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115CE5A"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0,4%</w:t>
            </w:r>
          </w:p>
        </w:tc>
        <w:tc>
          <w:tcPr>
            <w:tcW w:w="88" w:type="pct"/>
            <w:shd w:val="clear" w:color="auto" w:fill="FFFFFF"/>
            <w:noWrap/>
            <w:vAlign w:val="bottom"/>
            <w:hideMark/>
          </w:tcPr>
          <w:p w14:paraId="3C99F74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9AF9164"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14,2%</w:t>
            </w:r>
          </w:p>
        </w:tc>
        <w:tc>
          <w:tcPr>
            <w:tcW w:w="90" w:type="pct"/>
            <w:shd w:val="clear" w:color="auto" w:fill="FFFFFF"/>
            <w:noWrap/>
            <w:vAlign w:val="bottom"/>
            <w:hideMark/>
          </w:tcPr>
          <w:p w14:paraId="5F699CA4"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71AB2E65"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60.759</w:t>
            </w:r>
          </w:p>
        </w:tc>
        <w:tc>
          <w:tcPr>
            <w:tcW w:w="90" w:type="pct"/>
            <w:shd w:val="clear" w:color="auto" w:fill="FFFFFF"/>
            <w:noWrap/>
            <w:vAlign w:val="bottom"/>
            <w:hideMark/>
          </w:tcPr>
          <w:p w14:paraId="4F1FCB5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11C8526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2,7%</w:t>
            </w:r>
          </w:p>
        </w:tc>
        <w:tc>
          <w:tcPr>
            <w:tcW w:w="90" w:type="pct"/>
            <w:shd w:val="clear" w:color="auto" w:fill="FFFFFF"/>
            <w:noWrap/>
            <w:vAlign w:val="bottom"/>
            <w:hideMark/>
          </w:tcPr>
          <w:p w14:paraId="4D0ECB3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B967F2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0,3%</w:t>
            </w:r>
          </w:p>
        </w:tc>
        <w:tc>
          <w:tcPr>
            <w:tcW w:w="90" w:type="pct"/>
            <w:shd w:val="clear" w:color="auto" w:fill="FFFFFF"/>
            <w:noWrap/>
            <w:vAlign w:val="bottom"/>
            <w:hideMark/>
          </w:tcPr>
          <w:p w14:paraId="6798DF4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6EBA4DAE"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12,7%</w:t>
            </w:r>
          </w:p>
        </w:tc>
      </w:tr>
      <w:tr w:rsidR="003B5193" w:rsidRPr="00AE4E8D" w14:paraId="4BA08E61" w14:textId="77777777" w:rsidTr="00E90931">
        <w:trPr>
          <w:trHeight w:val="255"/>
          <w:jc w:val="center"/>
        </w:trPr>
        <w:tc>
          <w:tcPr>
            <w:tcW w:w="637" w:type="pct"/>
            <w:shd w:val="clear" w:color="auto" w:fill="FFFFFF"/>
            <w:vAlign w:val="center"/>
            <w:hideMark/>
          </w:tcPr>
          <w:p w14:paraId="2F0FE09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Tarjetas de crédito</w:t>
            </w:r>
          </w:p>
        </w:tc>
        <w:tc>
          <w:tcPr>
            <w:tcW w:w="331" w:type="pct"/>
            <w:shd w:val="clear" w:color="auto" w:fill="FFFFFF"/>
            <w:noWrap/>
            <w:vAlign w:val="bottom"/>
            <w:hideMark/>
          </w:tcPr>
          <w:p w14:paraId="0F2704B4"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394.233</w:t>
            </w:r>
          </w:p>
        </w:tc>
        <w:tc>
          <w:tcPr>
            <w:tcW w:w="88" w:type="pct"/>
            <w:shd w:val="clear" w:color="auto" w:fill="FFFFFF"/>
            <w:noWrap/>
            <w:vAlign w:val="bottom"/>
          </w:tcPr>
          <w:p w14:paraId="66EC21B0"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0BD554E7"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3</w:t>
            </w:r>
            <w:r w:rsidRPr="00AE4E8D">
              <w:rPr>
                <w:rFonts w:ascii="Times New Roman" w:hAnsi="Times New Roman"/>
                <w:color w:val="000000"/>
                <w:sz w:val="14"/>
                <w:lang w:val="es-ES"/>
              </w:rPr>
              <w:t>,1%</w:t>
            </w:r>
          </w:p>
        </w:tc>
        <w:tc>
          <w:tcPr>
            <w:tcW w:w="88" w:type="pct"/>
            <w:shd w:val="clear" w:color="auto" w:fill="FFFFFF"/>
            <w:noWrap/>
            <w:vAlign w:val="bottom"/>
          </w:tcPr>
          <w:p w14:paraId="1226CDFB"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75B8C22A"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rPr>
              <w:t>4</w:t>
            </w:r>
            <w:r w:rsidRPr="00AE4E8D">
              <w:rPr>
                <w:rFonts w:ascii="Times New Roman" w:hAnsi="Times New Roman"/>
                <w:color w:val="000000"/>
                <w:sz w:val="14"/>
                <w:lang w:val="es-ES"/>
              </w:rPr>
              <w:t>%</w:t>
            </w:r>
          </w:p>
        </w:tc>
        <w:tc>
          <w:tcPr>
            <w:tcW w:w="88" w:type="pct"/>
            <w:shd w:val="clear" w:color="auto" w:fill="FFFFFF"/>
            <w:noWrap/>
            <w:vAlign w:val="bottom"/>
          </w:tcPr>
          <w:p w14:paraId="4BFDB700" w14:textId="77777777" w:rsidR="00E90931" w:rsidRPr="00AE4E8D" w:rsidRDefault="00E90931" w:rsidP="00E90931">
            <w:pPr>
              <w:rPr>
                <w:rFonts w:ascii="Times New Roman" w:hAnsi="Times New Roman"/>
                <w:color w:val="000000"/>
                <w:sz w:val="14"/>
                <w:lang w:val="es-ES"/>
              </w:rPr>
            </w:pPr>
          </w:p>
        </w:tc>
        <w:tc>
          <w:tcPr>
            <w:tcW w:w="288" w:type="pct"/>
            <w:shd w:val="clear" w:color="auto" w:fill="FFFFFF"/>
            <w:noWrap/>
            <w:vAlign w:val="bottom"/>
            <w:hideMark/>
          </w:tcPr>
          <w:p w14:paraId="5F624AA6"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45,9</w:t>
            </w:r>
            <w:r w:rsidRPr="00AE4E8D">
              <w:rPr>
                <w:rFonts w:ascii="Times New Roman" w:hAnsi="Times New Roman"/>
                <w:color w:val="000000"/>
                <w:sz w:val="14"/>
                <w:lang w:val="es-ES"/>
              </w:rPr>
              <w:t>%</w:t>
            </w:r>
          </w:p>
        </w:tc>
        <w:tc>
          <w:tcPr>
            <w:tcW w:w="88" w:type="pct"/>
            <w:shd w:val="clear" w:color="auto" w:fill="FFFFFF"/>
            <w:noWrap/>
            <w:vAlign w:val="bottom"/>
            <w:hideMark/>
          </w:tcPr>
          <w:p w14:paraId="58D69F5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noWrap/>
            <w:vAlign w:val="bottom"/>
            <w:hideMark/>
          </w:tcPr>
          <w:p w14:paraId="3CACA38E"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208.649</w:t>
            </w:r>
          </w:p>
        </w:tc>
        <w:tc>
          <w:tcPr>
            <w:tcW w:w="88" w:type="pct"/>
            <w:shd w:val="clear" w:color="auto" w:fill="FFFFFF"/>
            <w:noWrap/>
            <w:vAlign w:val="bottom"/>
            <w:hideMark/>
          </w:tcPr>
          <w:p w14:paraId="460B4039"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38ABA90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2,1%</w:t>
            </w:r>
          </w:p>
        </w:tc>
        <w:tc>
          <w:tcPr>
            <w:tcW w:w="88" w:type="pct"/>
            <w:shd w:val="clear" w:color="auto" w:fill="FFFFFF"/>
            <w:noWrap/>
            <w:vAlign w:val="bottom"/>
            <w:hideMark/>
          </w:tcPr>
          <w:p w14:paraId="2C80D8C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6608EC3C"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1,0%</w:t>
            </w:r>
          </w:p>
        </w:tc>
        <w:tc>
          <w:tcPr>
            <w:tcW w:w="88" w:type="pct"/>
            <w:shd w:val="clear" w:color="auto" w:fill="FFFFFF"/>
            <w:noWrap/>
            <w:vAlign w:val="bottom"/>
            <w:hideMark/>
          </w:tcPr>
          <w:p w14:paraId="7F5B9E7F"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8DC732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47,3%</w:t>
            </w:r>
          </w:p>
        </w:tc>
        <w:tc>
          <w:tcPr>
            <w:tcW w:w="90" w:type="pct"/>
            <w:shd w:val="clear" w:color="auto" w:fill="FFFFFF"/>
            <w:noWrap/>
            <w:vAlign w:val="bottom"/>
            <w:hideMark/>
          </w:tcPr>
          <w:p w14:paraId="3C39C913"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0FE3C32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180.857</w:t>
            </w:r>
          </w:p>
        </w:tc>
        <w:tc>
          <w:tcPr>
            <w:tcW w:w="90" w:type="pct"/>
            <w:shd w:val="clear" w:color="auto" w:fill="FFFFFF"/>
            <w:noWrap/>
            <w:vAlign w:val="bottom"/>
            <w:hideMark/>
          </w:tcPr>
          <w:p w14:paraId="2FC1B20A"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34D7F66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2,5%</w:t>
            </w:r>
          </w:p>
        </w:tc>
        <w:tc>
          <w:tcPr>
            <w:tcW w:w="90" w:type="pct"/>
            <w:shd w:val="clear" w:color="auto" w:fill="FFFFFF"/>
            <w:noWrap/>
            <w:vAlign w:val="bottom"/>
            <w:hideMark/>
          </w:tcPr>
          <w:p w14:paraId="5C15E121"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E6AA2E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1,0%</w:t>
            </w:r>
          </w:p>
        </w:tc>
        <w:tc>
          <w:tcPr>
            <w:tcW w:w="90" w:type="pct"/>
            <w:shd w:val="clear" w:color="auto" w:fill="FFFFFF"/>
            <w:noWrap/>
            <w:vAlign w:val="bottom"/>
            <w:hideMark/>
          </w:tcPr>
          <w:p w14:paraId="6BF851A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3062714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39,9%</w:t>
            </w:r>
          </w:p>
        </w:tc>
      </w:tr>
      <w:tr w:rsidR="003B5193" w:rsidRPr="00AE4E8D" w14:paraId="0E4E4F86" w14:textId="77777777" w:rsidTr="00E90931">
        <w:trPr>
          <w:trHeight w:val="255"/>
          <w:jc w:val="center"/>
        </w:trPr>
        <w:tc>
          <w:tcPr>
            <w:tcW w:w="637" w:type="pct"/>
            <w:shd w:val="clear" w:color="auto" w:fill="FFFFFF"/>
            <w:vAlign w:val="center"/>
            <w:hideMark/>
          </w:tcPr>
          <w:p w14:paraId="6982F40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Adelantos</w:t>
            </w:r>
          </w:p>
        </w:tc>
        <w:tc>
          <w:tcPr>
            <w:tcW w:w="331" w:type="pct"/>
            <w:shd w:val="clear" w:color="auto" w:fill="FFFFFF"/>
            <w:noWrap/>
            <w:vAlign w:val="bottom"/>
            <w:hideMark/>
          </w:tcPr>
          <w:p w14:paraId="5FD9AE9A"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340</w:t>
            </w:r>
          </w:p>
        </w:tc>
        <w:tc>
          <w:tcPr>
            <w:tcW w:w="88" w:type="pct"/>
            <w:shd w:val="clear" w:color="auto" w:fill="FFFFFF"/>
            <w:noWrap/>
            <w:vAlign w:val="bottom"/>
          </w:tcPr>
          <w:p w14:paraId="3D0C2AE7"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16D6BB69"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0,2%</w:t>
            </w:r>
          </w:p>
        </w:tc>
        <w:tc>
          <w:tcPr>
            <w:tcW w:w="88" w:type="pct"/>
            <w:shd w:val="clear" w:color="auto" w:fill="FFFFFF"/>
            <w:noWrap/>
            <w:vAlign w:val="bottom"/>
          </w:tcPr>
          <w:p w14:paraId="46E0564E"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275BB9CA"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0,0%</w:t>
            </w:r>
          </w:p>
        </w:tc>
        <w:tc>
          <w:tcPr>
            <w:tcW w:w="88" w:type="pct"/>
            <w:shd w:val="clear" w:color="auto" w:fill="FFFFFF"/>
            <w:noWrap/>
            <w:vAlign w:val="bottom"/>
          </w:tcPr>
          <w:p w14:paraId="04F350DB" w14:textId="77777777" w:rsidR="00E90931" w:rsidRPr="00AE4E8D" w:rsidRDefault="00E90931" w:rsidP="00E90931">
            <w:pPr>
              <w:rPr>
                <w:rFonts w:ascii="Times New Roman" w:hAnsi="Times New Roman"/>
                <w:color w:val="000000"/>
                <w:sz w:val="14"/>
                <w:lang w:val="es-ES"/>
              </w:rPr>
            </w:pPr>
          </w:p>
        </w:tc>
        <w:tc>
          <w:tcPr>
            <w:tcW w:w="288" w:type="pct"/>
            <w:shd w:val="clear" w:color="auto" w:fill="FFFFFF"/>
            <w:noWrap/>
            <w:vAlign w:val="bottom"/>
            <w:hideMark/>
          </w:tcPr>
          <w:p w14:paraId="05718634"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w:t>
            </w:r>
            <w:r w:rsidRPr="00AE4E8D">
              <w:rPr>
                <w:rFonts w:ascii="Times New Roman" w:hAnsi="Times New Roman"/>
                <w:color w:val="000000"/>
                <w:sz w:val="14"/>
                <w:szCs w:val="14"/>
                <w:lang w:val="es-ES"/>
              </w:rPr>
              <w:t>6</w:t>
            </w:r>
            <w:r w:rsidRPr="00AE4E8D">
              <w:rPr>
                <w:rFonts w:ascii="Times New Roman" w:hAnsi="Times New Roman"/>
                <w:color w:val="000000"/>
                <w:sz w:val="14"/>
                <w:lang w:val="es-ES"/>
              </w:rPr>
              <w:t>%</w:t>
            </w:r>
          </w:p>
        </w:tc>
        <w:tc>
          <w:tcPr>
            <w:tcW w:w="88" w:type="pct"/>
            <w:shd w:val="clear" w:color="auto" w:fill="FFFFFF"/>
            <w:noWrap/>
            <w:vAlign w:val="bottom"/>
            <w:hideMark/>
          </w:tcPr>
          <w:p w14:paraId="6F36258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noWrap/>
            <w:vAlign w:val="bottom"/>
            <w:hideMark/>
          </w:tcPr>
          <w:p w14:paraId="0B4B4F98"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291</w:t>
            </w:r>
          </w:p>
        </w:tc>
        <w:tc>
          <w:tcPr>
            <w:tcW w:w="88" w:type="pct"/>
            <w:shd w:val="clear" w:color="auto" w:fill="FFFFFF"/>
            <w:noWrap/>
            <w:vAlign w:val="bottom"/>
            <w:hideMark/>
          </w:tcPr>
          <w:p w14:paraId="633924B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2241E6D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0,2%</w:t>
            </w:r>
          </w:p>
        </w:tc>
        <w:tc>
          <w:tcPr>
            <w:tcW w:w="88" w:type="pct"/>
            <w:shd w:val="clear" w:color="auto" w:fill="FFFFFF"/>
            <w:noWrap/>
            <w:vAlign w:val="bottom"/>
            <w:hideMark/>
          </w:tcPr>
          <w:p w14:paraId="554234C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67EE97BE"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w:t>
            </w:r>
          </w:p>
        </w:tc>
        <w:tc>
          <w:tcPr>
            <w:tcW w:w="88" w:type="pct"/>
            <w:shd w:val="clear" w:color="auto" w:fill="FFFFFF"/>
            <w:noWrap/>
            <w:vAlign w:val="bottom"/>
            <w:hideMark/>
          </w:tcPr>
          <w:p w14:paraId="474046B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7E69E06"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0,7%</w:t>
            </w:r>
          </w:p>
        </w:tc>
        <w:tc>
          <w:tcPr>
            <w:tcW w:w="90" w:type="pct"/>
            <w:shd w:val="clear" w:color="auto" w:fill="FFFFFF"/>
            <w:noWrap/>
            <w:vAlign w:val="bottom"/>
            <w:hideMark/>
          </w:tcPr>
          <w:p w14:paraId="35490C18"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4E61CC3C"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19.438</w:t>
            </w:r>
          </w:p>
        </w:tc>
        <w:tc>
          <w:tcPr>
            <w:tcW w:w="90" w:type="pct"/>
            <w:shd w:val="clear" w:color="auto" w:fill="FFFFFF"/>
            <w:noWrap/>
            <w:vAlign w:val="bottom"/>
            <w:hideMark/>
          </w:tcPr>
          <w:p w14:paraId="18E4F9A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23497B8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12,5%</w:t>
            </w:r>
          </w:p>
        </w:tc>
        <w:tc>
          <w:tcPr>
            <w:tcW w:w="90" w:type="pct"/>
            <w:shd w:val="clear" w:color="auto" w:fill="FFFFFF"/>
            <w:noWrap/>
            <w:vAlign w:val="bottom"/>
            <w:hideMark/>
          </w:tcPr>
          <w:p w14:paraId="5515461B"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2C2F660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0,1%</w:t>
            </w:r>
          </w:p>
        </w:tc>
        <w:tc>
          <w:tcPr>
            <w:tcW w:w="90" w:type="pct"/>
            <w:shd w:val="clear" w:color="auto" w:fill="FFFFFF"/>
            <w:noWrap/>
            <w:vAlign w:val="bottom"/>
            <w:hideMark/>
          </w:tcPr>
          <w:p w14:paraId="3169194B"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27FC1F6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0,9%</w:t>
            </w:r>
          </w:p>
        </w:tc>
      </w:tr>
      <w:tr w:rsidR="003B5193" w:rsidRPr="00AE4E8D" w14:paraId="11034BDB" w14:textId="77777777" w:rsidTr="00E90931">
        <w:trPr>
          <w:trHeight w:val="255"/>
          <w:jc w:val="center"/>
        </w:trPr>
        <w:tc>
          <w:tcPr>
            <w:tcW w:w="637" w:type="pct"/>
            <w:shd w:val="clear" w:color="auto" w:fill="FFFFFF"/>
            <w:vAlign w:val="center"/>
            <w:hideMark/>
          </w:tcPr>
          <w:p w14:paraId="6D4D809F"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331" w:type="pct"/>
            <w:shd w:val="clear" w:color="auto" w:fill="FFFFFF"/>
            <w:noWrap/>
            <w:vAlign w:val="bottom"/>
            <w:hideMark/>
          </w:tcPr>
          <w:p w14:paraId="514C55C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7882F95F"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53A5A20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1446C65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A337D2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2455059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8" w:type="pct"/>
            <w:shd w:val="clear" w:color="auto" w:fill="FFFFFF"/>
            <w:noWrap/>
            <w:vAlign w:val="bottom"/>
            <w:hideMark/>
          </w:tcPr>
          <w:p w14:paraId="6CC3D27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2F6DCE9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noWrap/>
            <w:vAlign w:val="bottom"/>
            <w:hideMark/>
          </w:tcPr>
          <w:p w14:paraId="229B228A"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3488DE0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1B985F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4555E22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AD292B9"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4B537A6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5C8CA2C7"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1A4D9DD0"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2EABEF28"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1502AD0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22B46A57"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7E60570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50F8B0EA"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6FA7F28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190FDFA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0E397BF9" w14:textId="77777777" w:rsidTr="00E90931">
        <w:trPr>
          <w:trHeight w:val="255"/>
          <w:jc w:val="center"/>
        </w:trPr>
        <w:tc>
          <w:tcPr>
            <w:tcW w:w="637" w:type="pct"/>
            <w:shd w:val="clear" w:color="auto" w:fill="FFFFFF"/>
            <w:vAlign w:val="center"/>
            <w:hideMark/>
          </w:tcPr>
          <w:p w14:paraId="4681C9A7" w14:textId="77777777" w:rsidR="00E90931" w:rsidRPr="00AE4E8D" w:rsidRDefault="00E90931" w:rsidP="00E90931">
            <w:pPr>
              <w:rPr>
                <w:rFonts w:ascii="Times New Roman" w:hAnsi="Times New Roman"/>
                <w:b/>
                <w:bCs/>
                <w:sz w:val="14"/>
                <w:szCs w:val="14"/>
                <w:lang w:val="es-ES"/>
              </w:rPr>
            </w:pPr>
            <w:r w:rsidRPr="00AE4E8D">
              <w:rPr>
                <w:rFonts w:ascii="Times New Roman" w:hAnsi="Times New Roman"/>
                <w:b/>
                <w:bCs/>
                <w:sz w:val="14"/>
                <w:szCs w:val="14"/>
                <w:lang w:val="es-ES"/>
              </w:rPr>
              <w:t>Comercial</w:t>
            </w:r>
          </w:p>
        </w:tc>
        <w:tc>
          <w:tcPr>
            <w:tcW w:w="331" w:type="pct"/>
            <w:shd w:val="clear" w:color="auto" w:fill="FFFFFF"/>
            <w:noWrap/>
            <w:vAlign w:val="bottom"/>
            <w:hideMark/>
          </w:tcPr>
          <w:p w14:paraId="7C21F53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3DCA22B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EA396F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34E411B9"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2C88A75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1187C8B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8" w:type="pct"/>
            <w:shd w:val="clear" w:color="auto" w:fill="FFFFFF"/>
            <w:noWrap/>
            <w:vAlign w:val="bottom"/>
            <w:hideMark/>
          </w:tcPr>
          <w:p w14:paraId="212BB261"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2466F8E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noWrap/>
            <w:vAlign w:val="bottom"/>
            <w:hideMark/>
          </w:tcPr>
          <w:p w14:paraId="1D684CBB"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455450F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EB3D67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6436B9C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228172B1"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5B19A5A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1F4B7B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24396663"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4919BB8F"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7B3D346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60FB931"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5440772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826D6DF"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150E177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58A6B34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r>
      <w:tr w:rsidR="003B5193" w:rsidRPr="00AE4E8D" w14:paraId="46528C71" w14:textId="77777777" w:rsidTr="00E90931">
        <w:trPr>
          <w:trHeight w:val="255"/>
          <w:jc w:val="center"/>
        </w:trPr>
        <w:tc>
          <w:tcPr>
            <w:tcW w:w="637" w:type="pct"/>
            <w:shd w:val="clear" w:color="auto" w:fill="FFFFFF"/>
            <w:vAlign w:val="center"/>
            <w:hideMark/>
          </w:tcPr>
          <w:p w14:paraId="4E55C19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xml:space="preserve">Construcción </w:t>
            </w:r>
          </w:p>
        </w:tc>
        <w:tc>
          <w:tcPr>
            <w:tcW w:w="331" w:type="pct"/>
            <w:shd w:val="clear" w:color="auto" w:fill="FFFFFF"/>
            <w:noWrap/>
            <w:vAlign w:val="bottom"/>
            <w:hideMark/>
          </w:tcPr>
          <w:p w14:paraId="4AF1B326"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2.677</w:t>
            </w:r>
          </w:p>
        </w:tc>
        <w:tc>
          <w:tcPr>
            <w:tcW w:w="88" w:type="pct"/>
            <w:shd w:val="clear" w:color="auto" w:fill="FFFFFF"/>
            <w:noWrap/>
            <w:vAlign w:val="bottom"/>
          </w:tcPr>
          <w:p w14:paraId="35729019"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070EDA04"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rPr>
              <w:t>0</w:t>
            </w:r>
            <w:r w:rsidRPr="00AE4E8D">
              <w:rPr>
                <w:rFonts w:ascii="Times New Roman" w:hAnsi="Times New Roman"/>
                <w:color w:val="000000"/>
                <w:sz w:val="14"/>
                <w:lang w:val="es-ES"/>
              </w:rPr>
              <w:t>%</w:t>
            </w:r>
          </w:p>
        </w:tc>
        <w:tc>
          <w:tcPr>
            <w:tcW w:w="88" w:type="pct"/>
            <w:shd w:val="clear" w:color="auto" w:fill="FFFFFF"/>
            <w:noWrap/>
            <w:vAlign w:val="bottom"/>
          </w:tcPr>
          <w:p w14:paraId="5FCE7124"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0DD759EF"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0,0%</w:t>
            </w:r>
          </w:p>
        </w:tc>
        <w:tc>
          <w:tcPr>
            <w:tcW w:w="88" w:type="pct"/>
            <w:shd w:val="clear" w:color="auto" w:fill="FFFFFF"/>
            <w:noWrap/>
            <w:vAlign w:val="bottom"/>
          </w:tcPr>
          <w:p w14:paraId="19A1CFDD" w14:textId="77777777" w:rsidR="00E90931" w:rsidRPr="00AE4E8D" w:rsidRDefault="00E90931" w:rsidP="00E90931">
            <w:pPr>
              <w:rPr>
                <w:rFonts w:ascii="Times New Roman" w:hAnsi="Times New Roman"/>
                <w:color w:val="000000"/>
                <w:sz w:val="14"/>
                <w:lang w:val="es-ES"/>
              </w:rPr>
            </w:pPr>
          </w:p>
        </w:tc>
        <w:tc>
          <w:tcPr>
            <w:tcW w:w="288" w:type="pct"/>
            <w:shd w:val="clear" w:color="auto" w:fill="FFFFFF"/>
            <w:noWrap/>
            <w:vAlign w:val="bottom"/>
            <w:hideMark/>
          </w:tcPr>
          <w:p w14:paraId="6FB000F0"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rPr>
              <w:t>0</w:t>
            </w:r>
            <w:r w:rsidRPr="00AE4E8D">
              <w:rPr>
                <w:rFonts w:ascii="Times New Roman" w:hAnsi="Times New Roman"/>
                <w:color w:val="000000"/>
                <w:sz w:val="14"/>
                <w:lang w:val="es-ES"/>
              </w:rPr>
              <w:t>%</w:t>
            </w:r>
          </w:p>
        </w:tc>
        <w:tc>
          <w:tcPr>
            <w:tcW w:w="88" w:type="pct"/>
            <w:shd w:val="clear" w:color="auto" w:fill="FFFFFF"/>
            <w:noWrap/>
            <w:vAlign w:val="bottom"/>
            <w:hideMark/>
          </w:tcPr>
          <w:p w14:paraId="4E20E51B"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noWrap/>
            <w:vAlign w:val="bottom"/>
            <w:hideMark/>
          </w:tcPr>
          <w:p w14:paraId="5F0228A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3.305</w:t>
            </w:r>
          </w:p>
        </w:tc>
        <w:tc>
          <w:tcPr>
            <w:tcW w:w="88" w:type="pct"/>
            <w:shd w:val="clear" w:color="auto" w:fill="FFFFFF"/>
            <w:noWrap/>
            <w:vAlign w:val="bottom"/>
            <w:hideMark/>
          </w:tcPr>
          <w:p w14:paraId="70DD90F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F0E28F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1,2%</w:t>
            </w:r>
          </w:p>
        </w:tc>
        <w:tc>
          <w:tcPr>
            <w:tcW w:w="88" w:type="pct"/>
            <w:shd w:val="clear" w:color="auto" w:fill="FFFFFF"/>
            <w:noWrap/>
            <w:vAlign w:val="bottom"/>
            <w:hideMark/>
          </w:tcPr>
          <w:p w14:paraId="5D468D9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6B25EB9"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w:t>
            </w:r>
          </w:p>
        </w:tc>
        <w:tc>
          <w:tcPr>
            <w:tcW w:w="88" w:type="pct"/>
            <w:shd w:val="clear" w:color="auto" w:fill="FFFFFF"/>
            <w:noWrap/>
            <w:vAlign w:val="bottom"/>
            <w:hideMark/>
          </w:tcPr>
          <w:p w14:paraId="33E8D7FE"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6B2FDA0"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1,3%</w:t>
            </w:r>
          </w:p>
        </w:tc>
        <w:tc>
          <w:tcPr>
            <w:tcW w:w="90" w:type="pct"/>
            <w:shd w:val="clear" w:color="auto" w:fill="FFFFFF"/>
            <w:noWrap/>
            <w:vAlign w:val="bottom"/>
            <w:hideMark/>
          </w:tcPr>
          <w:p w14:paraId="1BB88824"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114B9C95"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2.310</w:t>
            </w:r>
          </w:p>
        </w:tc>
        <w:tc>
          <w:tcPr>
            <w:tcW w:w="90" w:type="pct"/>
            <w:shd w:val="clear" w:color="auto" w:fill="FFFFFF"/>
            <w:noWrap/>
            <w:vAlign w:val="bottom"/>
            <w:hideMark/>
          </w:tcPr>
          <w:p w14:paraId="1CC2A8E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2D60579"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1,3%</w:t>
            </w:r>
          </w:p>
        </w:tc>
        <w:tc>
          <w:tcPr>
            <w:tcW w:w="90" w:type="pct"/>
            <w:shd w:val="clear" w:color="auto" w:fill="FFFFFF"/>
            <w:noWrap/>
            <w:vAlign w:val="bottom"/>
            <w:hideMark/>
          </w:tcPr>
          <w:p w14:paraId="179CDA3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76C08C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w:t>
            </w:r>
          </w:p>
        </w:tc>
        <w:tc>
          <w:tcPr>
            <w:tcW w:w="90" w:type="pct"/>
            <w:shd w:val="clear" w:color="auto" w:fill="FFFFFF"/>
            <w:noWrap/>
            <w:vAlign w:val="bottom"/>
            <w:hideMark/>
          </w:tcPr>
          <w:p w14:paraId="0699BF38"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534983C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1,0%</w:t>
            </w:r>
          </w:p>
        </w:tc>
      </w:tr>
      <w:tr w:rsidR="003B5193" w:rsidRPr="00AE4E8D" w14:paraId="6B3A2266" w14:textId="77777777" w:rsidTr="00E90931">
        <w:trPr>
          <w:trHeight w:val="255"/>
          <w:jc w:val="center"/>
        </w:trPr>
        <w:tc>
          <w:tcPr>
            <w:tcW w:w="637" w:type="pct"/>
            <w:shd w:val="clear" w:color="auto" w:fill="FFFFFF"/>
            <w:vAlign w:val="center"/>
            <w:hideMark/>
          </w:tcPr>
          <w:p w14:paraId="67E2A8A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xml:space="preserve">Asistencia de corto plazo </w:t>
            </w:r>
          </w:p>
        </w:tc>
        <w:tc>
          <w:tcPr>
            <w:tcW w:w="331" w:type="pct"/>
            <w:shd w:val="clear" w:color="auto" w:fill="FFFFFF"/>
            <w:noWrap/>
            <w:vAlign w:val="bottom"/>
            <w:hideMark/>
          </w:tcPr>
          <w:p w14:paraId="7D6C4A08"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75.847</w:t>
            </w:r>
          </w:p>
        </w:tc>
        <w:tc>
          <w:tcPr>
            <w:tcW w:w="88" w:type="pct"/>
            <w:shd w:val="clear" w:color="auto" w:fill="FFFFFF"/>
            <w:noWrap/>
            <w:vAlign w:val="bottom"/>
          </w:tcPr>
          <w:p w14:paraId="3E61066C"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2B403E45"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rPr>
              <w:t>3</w:t>
            </w:r>
            <w:r w:rsidRPr="00AE4E8D">
              <w:rPr>
                <w:rFonts w:ascii="Times New Roman" w:hAnsi="Times New Roman"/>
                <w:color w:val="000000"/>
                <w:sz w:val="14"/>
                <w:lang w:val="es-ES"/>
              </w:rPr>
              <w:t>%</w:t>
            </w:r>
          </w:p>
        </w:tc>
        <w:tc>
          <w:tcPr>
            <w:tcW w:w="88" w:type="pct"/>
            <w:shd w:val="clear" w:color="auto" w:fill="FFFFFF"/>
            <w:noWrap/>
            <w:vAlign w:val="bottom"/>
          </w:tcPr>
          <w:p w14:paraId="5AA19928"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047D874D"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w:t>
            </w:r>
            <w:r w:rsidRPr="00AE4E8D">
              <w:rPr>
                <w:rFonts w:ascii="Times New Roman" w:hAnsi="Times New Roman"/>
                <w:color w:val="000000"/>
                <w:sz w:val="14"/>
                <w:szCs w:val="14"/>
                <w:lang w:val="es-ES"/>
              </w:rPr>
              <w:t>3</w:t>
            </w:r>
            <w:r w:rsidRPr="00AE4E8D">
              <w:rPr>
                <w:rFonts w:ascii="Times New Roman" w:hAnsi="Times New Roman"/>
                <w:color w:val="000000"/>
                <w:sz w:val="14"/>
                <w:lang w:val="es-ES"/>
              </w:rPr>
              <w:t>%</w:t>
            </w:r>
          </w:p>
        </w:tc>
        <w:tc>
          <w:tcPr>
            <w:tcW w:w="88" w:type="pct"/>
            <w:shd w:val="clear" w:color="auto" w:fill="FFFFFF"/>
            <w:noWrap/>
            <w:vAlign w:val="bottom"/>
          </w:tcPr>
          <w:p w14:paraId="5EBC3A6F" w14:textId="77777777" w:rsidR="00E90931" w:rsidRPr="00AE4E8D" w:rsidRDefault="00E90931" w:rsidP="00E90931">
            <w:pPr>
              <w:rPr>
                <w:rFonts w:ascii="Times New Roman" w:hAnsi="Times New Roman"/>
                <w:color w:val="000000"/>
                <w:sz w:val="14"/>
                <w:lang w:val="es-ES"/>
              </w:rPr>
            </w:pPr>
          </w:p>
        </w:tc>
        <w:tc>
          <w:tcPr>
            <w:tcW w:w="288" w:type="pct"/>
            <w:shd w:val="clear" w:color="auto" w:fill="FFFFFF"/>
            <w:noWrap/>
            <w:vAlign w:val="bottom"/>
            <w:hideMark/>
          </w:tcPr>
          <w:p w14:paraId="761AADA1"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20,2</w:t>
            </w:r>
            <w:r w:rsidRPr="00AE4E8D">
              <w:rPr>
                <w:rFonts w:ascii="Times New Roman" w:hAnsi="Times New Roman"/>
                <w:color w:val="000000"/>
                <w:sz w:val="14"/>
                <w:lang w:val="es-ES"/>
              </w:rPr>
              <w:t>%</w:t>
            </w:r>
          </w:p>
        </w:tc>
        <w:tc>
          <w:tcPr>
            <w:tcW w:w="88" w:type="pct"/>
            <w:shd w:val="clear" w:color="auto" w:fill="FFFFFF"/>
            <w:noWrap/>
            <w:vAlign w:val="bottom"/>
            <w:hideMark/>
          </w:tcPr>
          <w:p w14:paraId="7883FC9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noWrap/>
            <w:vAlign w:val="bottom"/>
            <w:hideMark/>
          </w:tcPr>
          <w:p w14:paraId="7A7EE813"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85.858</w:t>
            </w:r>
          </w:p>
        </w:tc>
        <w:tc>
          <w:tcPr>
            <w:tcW w:w="88" w:type="pct"/>
            <w:shd w:val="clear" w:color="auto" w:fill="FFFFFF"/>
            <w:noWrap/>
            <w:vAlign w:val="bottom"/>
            <w:hideMark/>
          </w:tcPr>
          <w:p w14:paraId="719A276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1E64FB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1,7%</w:t>
            </w:r>
          </w:p>
        </w:tc>
        <w:tc>
          <w:tcPr>
            <w:tcW w:w="88" w:type="pct"/>
            <w:shd w:val="clear" w:color="auto" w:fill="FFFFFF"/>
            <w:noWrap/>
            <w:vAlign w:val="bottom"/>
            <w:hideMark/>
          </w:tcPr>
          <w:p w14:paraId="3B8C18D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8A193ED"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0,4%</w:t>
            </w:r>
          </w:p>
        </w:tc>
        <w:tc>
          <w:tcPr>
            <w:tcW w:w="88" w:type="pct"/>
            <w:shd w:val="clear" w:color="auto" w:fill="FFFFFF"/>
            <w:noWrap/>
            <w:vAlign w:val="bottom"/>
            <w:hideMark/>
          </w:tcPr>
          <w:p w14:paraId="39B497D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60318AB6"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23,7%</w:t>
            </w:r>
          </w:p>
        </w:tc>
        <w:tc>
          <w:tcPr>
            <w:tcW w:w="90" w:type="pct"/>
            <w:shd w:val="clear" w:color="auto" w:fill="FFFFFF"/>
            <w:noWrap/>
            <w:vAlign w:val="bottom"/>
            <w:hideMark/>
          </w:tcPr>
          <w:p w14:paraId="67A35B21"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00EBFA3A"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70.705</w:t>
            </w:r>
          </w:p>
        </w:tc>
        <w:tc>
          <w:tcPr>
            <w:tcW w:w="90" w:type="pct"/>
            <w:shd w:val="clear" w:color="auto" w:fill="FFFFFF"/>
            <w:noWrap/>
            <w:vAlign w:val="bottom"/>
            <w:hideMark/>
          </w:tcPr>
          <w:p w14:paraId="77EB327F"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14FD3185"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1,4%</w:t>
            </w:r>
          </w:p>
        </w:tc>
        <w:tc>
          <w:tcPr>
            <w:tcW w:w="90" w:type="pct"/>
            <w:shd w:val="clear" w:color="auto" w:fill="FFFFFF"/>
            <w:noWrap/>
            <w:vAlign w:val="bottom"/>
            <w:hideMark/>
          </w:tcPr>
          <w:p w14:paraId="5061723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5686D78"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0,4%</w:t>
            </w:r>
          </w:p>
        </w:tc>
        <w:tc>
          <w:tcPr>
            <w:tcW w:w="90" w:type="pct"/>
            <w:shd w:val="clear" w:color="auto" w:fill="FFFFFF"/>
            <w:noWrap/>
            <w:vAlign w:val="bottom"/>
            <w:hideMark/>
          </w:tcPr>
          <w:p w14:paraId="523C703B"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3AA66E4"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28,0%</w:t>
            </w:r>
          </w:p>
        </w:tc>
      </w:tr>
      <w:tr w:rsidR="003B5193" w:rsidRPr="00AE4E8D" w14:paraId="21256973" w14:textId="77777777" w:rsidTr="00E90931">
        <w:trPr>
          <w:trHeight w:val="255"/>
          <w:jc w:val="center"/>
        </w:trPr>
        <w:tc>
          <w:tcPr>
            <w:tcW w:w="637" w:type="pct"/>
            <w:shd w:val="clear" w:color="auto" w:fill="FFFFFF"/>
            <w:vAlign w:val="center"/>
            <w:hideMark/>
          </w:tcPr>
          <w:p w14:paraId="3046A0B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xml:space="preserve">Otros comerciales </w:t>
            </w:r>
          </w:p>
        </w:tc>
        <w:tc>
          <w:tcPr>
            <w:tcW w:w="331" w:type="pct"/>
            <w:shd w:val="clear" w:color="auto" w:fill="FFFFFF"/>
            <w:noWrap/>
            <w:vAlign w:val="bottom"/>
            <w:hideMark/>
          </w:tcPr>
          <w:p w14:paraId="2090311F"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32.376</w:t>
            </w:r>
          </w:p>
        </w:tc>
        <w:tc>
          <w:tcPr>
            <w:tcW w:w="88" w:type="pct"/>
            <w:shd w:val="clear" w:color="auto" w:fill="FFFFFF"/>
            <w:noWrap/>
            <w:vAlign w:val="bottom"/>
          </w:tcPr>
          <w:p w14:paraId="56B94548"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1CA3BEE3"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rPr>
              <w:t>2</w:t>
            </w:r>
            <w:r w:rsidRPr="00AE4E8D">
              <w:rPr>
                <w:rFonts w:ascii="Times New Roman" w:hAnsi="Times New Roman"/>
                <w:color w:val="000000"/>
                <w:sz w:val="14"/>
                <w:lang w:val="es-ES"/>
              </w:rPr>
              <w:t>%</w:t>
            </w:r>
          </w:p>
        </w:tc>
        <w:tc>
          <w:tcPr>
            <w:tcW w:w="88" w:type="pct"/>
            <w:shd w:val="clear" w:color="auto" w:fill="FFFFFF"/>
            <w:noWrap/>
            <w:vAlign w:val="bottom"/>
          </w:tcPr>
          <w:p w14:paraId="50DEDB3D"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108D85A9"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0,1%</w:t>
            </w:r>
          </w:p>
        </w:tc>
        <w:tc>
          <w:tcPr>
            <w:tcW w:w="88" w:type="pct"/>
            <w:shd w:val="clear" w:color="auto" w:fill="FFFFFF"/>
            <w:noWrap/>
            <w:vAlign w:val="bottom"/>
          </w:tcPr>
          <w:p w14:paraId="204D5759" w14:textId="77777777" w:rsidR="00E90931" w:rsidRPr="00AE4E8D" w:rsidRDefault="00E90931" w:rsidP="00E90931">
            <w:pPr>
              <w:rPr>
                <w:rFonts w:ascii="Times New Roman" w:hAnsi="Times New Roman"/>
                <w:color w:val="000000"/>
                <w:sz w:val="14"/>
                <w:lang w:val="es-ES"/>
              </w:rPr>
            </w:pPr>
          </w:p>
        </w:tc>
        <w:tc>
          <w:tcPr>
            <w:tcW w:w="288" w:type="pct"/>
            <w:shd w:val="clear" w:color="auto" w:fill="FFFFFF"/>
            <w:noWrap/>
            <w:vAlign w:val="bottom"/>
            <w:hideMark/>
          </w:tcPr>
          <w:p w14:paraId="521CB897"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szCs w:val="14"/>
                <w:lang w:val="es-ES"/>
              </w:rPr>
              <w:t>9</w:t>
            </w:r>
            <w:r w:rsidRPr="00AE4E8D">
              <w:rPr>
                <w:rFonts w:ascii="Times New Roman" w:hAnsi="Times New Roman"/>
                <w:color w:val="000000"/>
                <w:sz w:val="14"/>
                <w:lang w:val="es-ES"/>
              </w:rPr>
              <w:t>,5%</w:t>
            </w:r>
          </w:p>
        </w:tc>
        <w:tc>
          <w:tcPr>
            <w:tcW w:w="88" w:type="pct"/>
            <w:shd w:val="clear" w:color="auto" w:fill="FFFFFF"/>
            <w:noWrap/>
            <w:vAlign w:val="bottom"/>
            <w:hideMark/>
          </w:tcPr>
          <w:p w14:paraId="32E248BB"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shd w:val="clear" w:color="auto" w:fill="FFFFFF"/>
            <w:noWrap/>
            <w:vAlign w:val="bottom"/>
            <w:hideMark/>
          </w:tcPr>
          <w:p w14:paraId="2E0CF98A"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15.341</w:t>
            </w:r>
          </w:p>
        </w:tc>
        <w:tc>
          <w:tcPr>
            <w:tcW w:w="88" w:type="pct"/>
            <w:shd w:val="clear" w:color="auto" w:fill="FFFFFF"/>
            <w:noWrap/>
            <w:vAlign w:val="bottom"/>
            <w:hideMark/>
          </w:tcPr>
          <w:p w14:paraId="42CDE12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6F443E1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1,6%</w:t>
            </w:r>
          </w:p>
        </w:tc>
        <w:tc>
          <w:tcPr>
            <w:tcW w:w="88" w:type="pct"/>
            <w:shd w:val="clear" w:color="auto" w:fill="FFFFFF"/>
            <w:noWrap/>
            <w:vAlign w:val="bottom"/>
            <w:hideMark/>
          </w:tcPr>
          <w:p w14:paraId="280F8BF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7787962"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0,1%</w:t>
            </w:r>
          </w:p>
        </w:tc>
        <w:tc>
          <w:tcPr>
            <w:tcW w:w="88" w:type="pct"/>
            <w:shd w:val="clear" w:color="auto" w:fill="FFFFFF"/>
            <w:noWrap/>
            <w:vAlign w:val="bottom"/>
            <w:hideMark/>
          </w:tcPr>
          <w:p w14:paraId="63D5A6D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166DE12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4,5%</w:t>
            </w:r>
          </w:p>
        </w:tc>
        <w:tc>
          <w:tcPr>
            <w:tcW w:w="90" w:type="pct"/>
            <w:shd w:val="clear" w:color="auto" w:fill="FFFFFF"/>
            <w:noWrap/>
            <w:vAlign w:val="bottom"/>
            <w:hideMark/>
          </w:tcPr>
          <w:p w14:paraId="1063F369"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shd w:val="clear" w:color="auto" w:fill="FFFFFF"/>
            <w:noWrap/>
            <w:vAlign w:val="bottom"/>
            <w:hideMark/>
          </w:tcPr>
          <w:p w14:paraId="657DACE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14.084</w:t>
            </w:r>
          </w:p>
        </w:tc>
        <w:tc>
          <w:tcPr>
            <w:tcW w:w="90" w:type="pct"/>
            <w:shd w:val="clear" w:color="auto" w:fill="FFFFFF"/>
            <w:noWrap/>
            <w:vAlign w:val="bottom"/>
            <w:hideMark/>
          </w:tcPr>
          <w:p w14:paraId="215E144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313B8CEE"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1,1%</w:t>
            </w:r>
          </w:p>
        </w:tc>
        <w:tc>
          <w:tcPr>
            <w:tcW w:w="90" w:type="pct"/>
            <w:shd w:val="clear" w:color="auto" w:fill="FFFFFF"/>
            <w:noWrap/>
            <w:vAlign w:val="bottom"/>
            <w:hideMark/>
          </w:tcPr>
          <w:p w14:paraId="549A4A58"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3E23018A"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0,1%</w:t>
            </w:r>
          </w:p>
        </w:tc>
        <w:tc>
          <w:tcPr>
            <w:tcW w:w="90" w:type="pct"/>
            <w:shd w:val="clear" w:color="auto" w:fill="FFFFFF"/>
            <w:noWrap/>
            <w:vAlign w:val="bottom"/>
            <w:hideMark/>
          </w:tcPr>
          <w:p w14:paraId="5FFED05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D8C79B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7,3%</w:t>
            </w:r>
          </w:p>
        </w:tc>
      </w:tr>
      <w:tr w:rsidR="003B5193" w:rsidRPr="00AE4E8D" w14:paraId="7C9F7548" w14:textId="77777777" w:rsidTr="00E90931">
        <w:trPr>
          <w:trHeight w:val="255"/>
          <w:jc w:val="center"/>
        </w:trPr>
        <w:tc>
          <w:tcPr>
            <w:tcW w:w="637" w:type="pct"/>
            <w:shd w:val="clear" w:color="auto" w:fill="FFFFFF"/>
            <w:vAlign w:val="center"/>
            <w:hideMark/>
          </w:tcPr>
          <w:p w14:paraId="334B14B4"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xml:space="preserve">Sector público </w:t>
            </w:r>
          </w:p>
        </w:tc>
        <w:tc>
          <w:tcPr>
            <w:tcW w:w="331" w:type="pct"/>
            <w:tcBorders>
              <w:top w:val="nil"/>
              <w:left w:val="nil"/>
              <w:bottom w:val="single" w:sz="4" w:space="0" w:color="auto"/>
              <w:right w:val="nil"/>
            </w:tcBorders>
            <w:shd w:val="clear" w:color="auto" w:fill="FFFFFF"/>
            <w:noWrap/>
            <w:vAlign w:val="bottom"/>
            <w:hideMark/>
          </w:tcPr>
          <w:p w14:paraId="62661282" w14:textId="77777777" w:rsidR="00E90931" w:rsidRPr="00AE4E8D" w:rsidRDefault="00B950A4" w:rsidP="00E90931">
            <w:pPr>
              <w:jc w:val="right"/>
              <w:rPr>
                <w:rFonts w:ascii="Times New Roman" w:hAnsi="Times New Roman"/>
                <w:color w:val="000000"/>
                <w:sz w:val="14"/>
                <w:lang w:val="es-ES"/>
              </w:rPr>
            </w:pPr>
            <w:r w:rsidRPr="00AE4E8D">
              <w:rPr>
                <w:rFonts w:ascii="Times New Roman" w:hAnsi="Times New Roman"/>
                <w:color w:val="000000"/>
                <w:sz w:val="14"/>
                <w:lang w:val="es-ES"/>
              </w:rPr>
              <w:t>-</w:t>
            </w:r>
          </w:p>
        </w:tc>
        <w:tc>
          <w:tcPr>
            <w:tcW w:w="88" w:type="pct"/>
            <w:shd w:val="clear" w:color="auto" w:fill="FFFFFF"/>
            <w:noWrap/>
            <w:vAlign w:val="bottom"/>
          </w:tcPr>
          <w:p w14:paraId="00E0EC42"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4FD44A16"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0,0%</w:t>
            </w:r>
          </w:p>
        </w:tc>
        <w:tc>
          <w:tcPr>
            <w:tcW w:w="88" w:type="pct"/>
            <w:shd w:val="clear" w:color="auto" w:fill="FFFFFF"/>
            <w:noWrap/>
            <w:vAlign w:val="bottom"/>
          </w:tcPr>
          <w:p w14:paraId="1E2B0AFB" w14:textId="77777777" w:rsidR="00E90931" w:rsidRPr="00AE4E8D" w:rsidRDefault="00E90931" w:rsidP="00E90931">
            <w:pPr>
              <w:rPr>
                <w:rFonts w:ascii="Times New Roman" w:hAnsi="Times New Roman"/>
                <w:color w:val="000000"/>
                <w:sz w:val="14"/>
                <w:lang w:val="es-ES"/>
              </w:rPr>
            </w:pPr>
          </w:p>
        </w:tc>
        <w:tc>
          <w:tcPr>
            <w:tcW w:w="287" w:type="pct"/>
            <w:shd w:val="clear" w:color="auto" w:fill="FFFFFF"/>
            <w:noWrap/>
            <w:vAlign w:val="bottom"/>
            <w:hideMark/>
          </w:tcPr>
          <w:p w14:paraId="74510E15"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0,0%</w:t>
            </w:r>
          </w:p>
        </w:tc>
        <w:tc>
          <w:tcPr>
            <w:tcW w:w="88" w:type="pct"/>
            <w:shd w:val="clear" w:color="auto" w:fill="FFFFFF"/>
            <w:noWrap/>
            <w:vAlign w:val="bottom"/>
          </w:tcPr>
          <w:p w14:paraId="64961FBB" w14:textId="77777777" w:rsidR="00E90931" w:rsidRPr="00AE4E8D" w:rsidRDefault="00E90931" w:rsidP="00E90931">
            <w:pPr>
              <w:rPr>
                <w:rFonts w:ascii="Times New Roman" w:hAnsi="Times New Roman"/>
                <w:color w:val="000000"/>
                <w:sz w:val="14"/>
                <w:lang w:val="es-ES"/>
              </w:rPr>
            </w:pPr>
          </w:p>
        </w:tc>
        <w:tc>
          <w:tcPr>
            <w:tcW w:w="288" w:type="pct"/>
            <w:tcBorders>
              <w:top w:val="nil"/>
              <w:left w:val="nil"/>
              <w:bottom w:val="single" w:sz="4" w:space="0" w:color="auto"/>
              <w:right w:val="nil"/>
            </w:tcBorders>
            <w:shd w:val="clear" w:color="auto" w:fill="FFFFFF"/>
            <w:noWrap/>
            <w:vAlign w:val="bottom"/>
            <w:hideMark/>
          </w:tcPr>
          <w:p w14:paraId="6E4C3C8C" w14:textId="77777777" w:rsidR="00E90931" w:rsidRPr="00AE4E8D" w:rsidRDefault="00E90931" w:rsidP="00E90931">
            <w:pPr>
              <w:jc w:val="right"/>
              <w:rPr>
                <w:rFonts w:ascii="Times New Roman" w:hAnsi="Times New Roman"/>
                <w:color w:val="000000"/>
                <w:sz w:val="14"/>
                <w:lang w:val="es-ES"/>
              </w:rPr>
            </w:pPr>
            <w:r w:rsidRPr="00AE4E8D">
              <w:rPr>
                <w:rFonts w:ascii="Times New Roman" w:hAnsi="Times New Roman"/>
                <w:color w:val="000000"/>
                <w:sz w:val="14"/>
                <w:lang w:val="es-ES"/>
              </w:rPr>
              <w:t>0,</w:t>
            </w:r>
            <w:r w:rsidRPr="00AE4E8D">
              <w:rPr>
                <w:rFonts w:ascii="Times New Roman" w:hAnsi="Times New Roman"/>
                <w:color w:val="000000"/>
                <w:sz w:val="14"/>
                <w:szCs w:val="14"/>
                <w:lang w:val="es-ES"/>
              </w:rPr>
              <w:t>5</w:t>
            </w:r>
            <w:r w:rsidRPr="00AE4E8D">
              <w:rPr>
                <w:rFonts w:ascii="Times New Roman" w:hAnsi="Times New Roman"/>
                <w:color w:val="000000"/>
                <w:sz w:val="14"/>
                <w:lang w:val="es-ES"/>
              </w:rPr>
              <w:t>%</w:t>
            </w:r>
          </w:p>
        </w:tc>
        <w:tc>
          <w:tcPr>
            <w:tcW w:w="88" w:type="pct"/>
            <w:shd w:val="clear" w:color="auto" w:fill="FFFFFF"/>
            <w:noWrap/>
            <w:vAlign w:val="bottom"/>
            <w:hideMark/>
          </w:tcPr>
          <w:p w14:paraId="7DBBAB1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tcBorders>
              <w:top w:val="nil"/>
              <w:left w:val="nil"/>
              <w:bottom w:val="single" w:sz="4" w:space="0" w:color="auto"/>
              <w:right w:val="nil"/>
            </w:tcBorders>
            <w:shd w:val="clear" w:color="auto" w:fill="FFFFFF"/>
            <w:noWrap/>
            <w:vAlign w:val="bottom"/>
            <w:hideMark/>
          </w:tcPr>
          <w:p w14:paraId="23A052E0" w14:textId="77777777" w:rsidR="00E90931" w:rsidRPr="00AE4E8D" w:rsidRDefault="00B950A4" w:rsidP="00E90931">
            <w:pPr>
              <w:jc w:val="right"/>
              <w:rPr>
                <w:rFonts w:ascii="Times New Roman" w:hAnsi="Times New Roman"/>
                <w:sz w:val="14"/>
                <w:szCs w:val="14"/>
                <w:lang w:val="es-ES"/>
              </w:rPr>
            </w:pPr>
            <w:r w:rsidRPr="00AE4E8D">
              <w:rPr>
                <w:rFonts w:ascii="Times New Roman" w:hAnsi="Times New Roman"/>
                <w:sz w:val="14"/>
                <w:szCs w:val="14"/>
                <w:lang w:val="es-ES"/>
              </w:rPr>
              <w:t>-</w:t>
            </w:r>
          </w:p>
        </w:tc>
        <w:tc>
          <w:tcPr>
            <w:tcW w:w="88" w:type="pct"/>
            <w:shd w:val="clear" w:color="auto" w:fill="FFFFFF"/>
            <w:noWrap/>
            <w:vAlign w:val="bottom"/>
            <w:hideMark/>
          </w:tcPr>
          <w:p w14:paraId="58981F09"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5EEB76EE"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w:t>
            </w:r>
          </w:p>
        </w:tc>
        <w:tc>
          <w:tcPr>
            <w:tcW w:w="88" w:type="pct"/>
            <w:shd w:val="clear" w:color="auto" w:fill="FFFFFF"/>
            <w:noWrap/>
            <w:vAlign w:val="bottom"/>
            <w:hideMark/>
          </w:tcPr>
          <w:p w14:paraId="0A3E806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1AD181A8"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w:t>
            </w:r>
          </w:p>
        </w:tc>
        <w:tc>
          <w:tcPr>
            <w:tcW w:w="88" w:type="pct"/>
            <w:shd w:val="clear" w:color="auto" w:fill="FFFFFF"/>
            <w:noWrap/>
            <w:vAlign w:val="bottom"/>
            <w:hideMark/>
          </w:tcPr>
          <w:p w14:paraId="7267DC6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tcBorders>
              <w:top w:val="nil"/>
              <w:left w:val="nil"/>
              <w:bottom w:val="single" w:sz="4" w:space="0" w:color="auto"/>
              <w:right w:val="nil"/>
            </w:tcBorders>
            <w:shd w:val="clear" w:color="auto" w:fill="FFFFFF"/>
            <w:noWrap/>
            <w:vAlign w:val="bottom"/>
            <w:hideMark/>
          </w:tcPr>
          <w:p w14:paraId="157E409E"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0,2%</w:t>
            </w:r>
          </w:p>
        </w:tc>
        <w:tc>
          <w:tcPr>
            <w:tcW w:w="90" w:type="pct"/>
            <w:shd w:val="clear" w:color="auto" w:fill="FFFFFF"/>
            <w:noWrap/>
            <w:vAlign w:val="bottom"/>
            <w:hideMark/>
          </w:tcPr>
          <w:p w14:paraId="2781BD0D"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tcBorders>
              <w:top w:val="nil"/>
              <w:left w:val="nil"/>
              <w:bottom w:val="single" w:sz="4" w:space="0" w:color="auto"/>
              <w:right w:val="nil"/>
            </w:tcBorders>
            <w:shd w:val="clear" w:color="auto" w:fill="FFFFFF"/>
            <w:noWrap/>
            <w:vAlign w:val="bottom"/>
            <w:hideMark/>
          </w:tcPr>
          <w:p w14:paraId="373E526C" w14:textId="77777777" w:rsidR="00E90931" w:rsidRPr="00AE4E8D" w:rsidRDefault="00B950A4" w:rsidP="00E90931">
            <w:pPr>
              <w:jc w:val="right"/>
              <w:rPr>
                <w:rFonts w:ascii="Times New Roman" w:hAnsi="Times New Roman"/>
                <w:sz w:val="14"/>
                <w:szCs w:val="14"/>
                <w:lang w:val="es-ES"/>
              </w:rPr>
            </w:pPr>
            <w:r w:rsidRPr="00AE4E8D">
              <w:rPr>
                <w:rFonts w:ascii="Times New Roman" w:hAnsi="Times New Roman"/>
                <w:sz w:val="14"/>
                <w:szCs w:val="14"/>
                <w:lang w:val="es-ES"/>
              </w:rPr>
              <w:t>-</w:t>
            </w:r>
          </w:p>
        </w:tc>
        <w:tc>
          <w:tcPr>
            <w:tcW w:w="90" w:type="pct"/>
            <w:shd w:val="clear" w:color="auto" w:fill="FFFFFF"/>
            <w:noWrap/>
            <w:vAlign w:val="bottom"/>
            <w:hideMark/>
          </w:tcPr>
          <w:p w14:paraId="6CECC3A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521A2C37"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w:t>
            </w:r>
          </w:p>
        </w:tc>
        <w:tc>
          <w:tcPr>
            <w:tcW w:w="90" w:type="pct"/>
            <w:shd w:val="clear" w:color="auto" w:fill="FFFFFF"/>
            <w:noWrap/>
            <w:vAlign w:val="bottom"/>
            <w:hideMark/>
          </w:tcPr>
          <w:p w14:paraId="511F1851"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30F4A934"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0,0%</w:t>
            </w:r>
          </w:p>
        </w:tc>
        <w:tc>
          <w:tcPr>
            <w:tcW w:w="90" w:type="pct"/>
            <w:shd w:val="clear" w:color="auto" w:fill="FFFFFF"/>
            <w:noWrap/>
            <w:vAlign w:val="bottom"/>
            <w:hideMark/>
          </w:tcPr>
          <w:p w14:paraId="350BF83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tcBorders>
              <w:top w:val="nil"/>
              <w:left w:val="nil"/>
              <w:bottom w:val="single" w:sz="4" w:space="0" w:color="auto"/>
              <w:right w:val="nil"/>
            </w:tcBorders>
            <w:shd w:val="clear" w:color="auto" w:fill="FFFFFF"/>
            <w:noWrap/>
            <w:vAlign w:val="bottom"/>
            <w:hideMark/>
          </w:tcPr>
          <w:p w14:paraId="273D7AD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0,6%</w:t>
            </w:r>
          </w:p>
        </w:tc>
      </w:tr>
      <w:tr w:rsidR="003B5193" w:rsidRPr="00AE4E8D" w14:paraId="39B7EF12" w14:textId="77777777" w:rsidTr="00E90931">
        <w:trPr>
          <w:trHeight w:val="225"/>
          <w:jc w:val="center"/>
        </w:trPr>
        <w:tc>
          <w:tcPr>
            <w:tcW w:w="637" w:type="pct"/>
            <w:shd w:val="clear" w:color="auto" w:fill="FFFFFF"/>
            <w:vAlign w:val="center"/>
            <w:hideMark/>
          </w:tcPr>
          <w:p w14:paraId="0C6334CF" w14:textId="77777777" w:rsidR="00E90931" w:rsidRPr="00AE4E8D" w:rsidRDefault="00EB3492" w:rsidP="00E90931">
            <w:pPr>
              <w:rPr>
                <w:rFonts w:ascii="Times New Roman" w:hAnsi="Times New Roman"/>
                <w:sz w:val="14"/>
                <w:szCs w:val="14"/>
                <w:lang w:val="es-ES"/>
              </w:rPr>
            </w:pPr>
            <w:r w:rsidRPr="00AE4E8D">
              <w:rPr>
                <w:rFonts w:ascii="Times New Roman" w:hAnsi="Times New Roman"/>
                <w:sz w:val="14"/>
                <w:szCs w:val="14"/>
                <w:lang w:val="es-ES"/>
              </w:rPr>
              <w:t xml:space="preserve">   </w:t>
            </w:r>
            <w:r w:rsidR="00E90931" w:rsidRPr="00AE4E8D">
              <w:rPr>
                <w:rFonts w:ascii="Times New Roman" w:hAnsi="Times New Roman"/>
                <w:sz w:val="14"/>
                <w:szCs w:val="14"/>
                <w:lang w:val="es-ES"/>
              </w:rPr>
              <w:t>Total previsión por incobrabilidad de préstamos</w:t>
            </w:r>
          </w:p>
        </w:tc>
        <w:tc>
          <w:tcPr>
            <w:tcW w:w="331" w:type="pct"/>
            <w:noWrap/>
            <w:vAlign w:val="bottom"/>
            <w:hideMark/>
          </w:tcPr>
          <w:p w14:paraId="54EDA12B"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679.063</w:t>
            </w:r>
          </w:p>
        </w:tc>
        <w:tc>
          <w:tcPr>
            <w:tcW w:w="88" w:type="pct"/>
            <w:shd w:val="clear" w:color="auto" w:fill="FFFFFF"/>
            <w:noWrap/>
            <w:vAlign w:val="bottom"/>
            <w:hideMark/>
          </w:tcPr>
          <w:p w14:paraId="3B4CE2C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FA41B2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25B23F26"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22D4D13"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5EF2BB8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8" w:type="pct"/>
            <w:noWrap/>
            <w:vAlign w:val="bottom"/>
            <w:hideMark/>
          </w:tcPr>
          <w:p w14:paraId="2111EE69"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100,0%</w:t>
            </w:r>
          </w:p>
        </w:tc>
        <w:tc>
          <w:tcPr>
            <w:tcW w:w="88" w:type="pct"/>
            <w:shd w:val="clear" w:color="auto" w:fill="FFFFFF"/>
            <w:noWrap/>
            <w:vAlign w:val="bottom"/>
            <w:hideMark/>
          </w:tcPr>
          <w:p w14:paraId="47F3F1F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37" w:type="pct"/>
            <w:noWrap/>
            <w:vAlign w:val="bottom"/>
            <w:hideMark/>
          </w:tcPr>
          <w:p w14:paraId="74972118"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454.960</w:t>
            </w:r>
          </w:p>
        </w:tc>
        <w:tc>
          <w:tcPr>
            <w:tcW w:w="88" w:type="pct"/>
            <w:shd w:val="clear" w:color="auto" w:fill="FFFFFF"/>
            <w:noWrap/>
            <w:vAlign w:val="bottom"/>
            <w:hideMark/>
          </w:tcPr>
          <w:p w14:paraId="64DD79A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1F91A150"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30E64E22"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0E50408D"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88" w:type="pct"/>
            <w:shd w:val="clear" w:color="auto" w:fill="FFFFFF"/>
            <w:noWrap/>
            <w:vAlign w:val="bottom"/>
            <w:hideMark/>
          </w:tcPr>
          <w:p w14:paraId="37C91EAA"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noWrap/>
            <w:vAlign w:val="bottom"/>
            <w:hideMark/>
          </w:tcPr>
          <w:p w14:paraId="39AA3780"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100,0%</w:t>
            </w:r>
          </w:p>
        </w:tc>
        <w:tc>
          <w:tcPr>
            <w:tcW w:w="90" w:type="pct"/>
            <w:shd w:val="clear" w:color="auto" w:fill="FFFFFF"/>
            <w:noWrap/>
            <w:vAlign w:val="bottom"/>
            <w:hideMark/>
          </w:tcPr>
          <w:p w14:paraId="521FF7E0" w14:textId="77777777" w:rsidR="00E90931" w:rsidRPr="00AE4E8D" w:rsidRDefault="00E90931" w:rsidP="00E90931">
            <w:pPr>
              <w:rPr>
                <w:rFonts w:ascii="Times New Roman" w:hAnsi="Times New Roman"/>
                <w:sz w:val="14"/>
                <w:lang w:val="es-ES"/>
              </w:rPr>
            </w:pPr>
            <w:r w:rsidRPr="00AE4E8D">
              <w:rPr>
                <w:rFonts w:ascii="Times New Roman" w:hAnsi="Times New Roman"/>
                <w:sz w:val="14"/>
                <w:lang w:val="es-ES"/>
              </w:rPr>
              <w:t> </w:t>
            </w:r>
          </w:p>
        </w:tc>
        <w:tc>
          <w:tcPr>
            <w:tcW w:w="237" w:type="pct"/>
            <w:noWrap/>
            <w:vAlign w:val="bottom"/>
            <w:hideMark/>
          </w:tcPr>
          <w:p w14:paraId="2F752611"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lang w:val="es-ES"/>
              </w:rPr>
              <w:t>410.556</w:t>
            </w:r>
          </w:p>
        </w:tc>
        <w:tc>
          <w:tcPr>
            <w:tcW w:w="90" w:type="pct"/>
            <w:shd w:val="clear" w:color="auto" w:fill="FFFFFF"/>
            <w:noWrap/>
            <w:vAlign w:val="bottom"/>
            <w:hideMark/>
          </w:tcPr>
          <w:p w14:paraId="3C421DE9"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4F825547"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560E5245"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shd w:val="clear" w:color="auto" w:fill="FFFFFF"/>
            <w:noWrap/>
            <w:vAlign w:val="bottom"/>
            <w:hideMark/>
          </w:tcPr>
          <w:p w14:paraId="7E76F3D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90" w:type="pct"/>
            <w:shd w:val="clear" w:color="auto" w:fill="FFFFFF"/>
            <w:noWrap/>
            <w:vAlign w:val="bottom"/>
            <w:hideMark/>
          </w:tcPr>
          <w:p w14:paraId="3476341C" w14:textId="77777777" w:rsidR="00E90931" w:rsidRPr="00AE4E8D" w:rsidRDefault="00E90931" w:rsidP="00E90931">
            <w:pPr>
              <w:rPr>
                <w:rFonts w:ascii="Times New Roman" w:hAnsi="Times New Roman"/>
                <w:sz w:val="14"/>
                <w:szCs w:val="14"/>
                <w:lang w:val="es-ES"/>
              </w:rPr>
            </w:pPr>
            <w:r w:rsidRPr="00AE4E8D">
              <w:rPr>
                <w:rFonts w:ascii="Times New Roman" w:hAnsi="Times New Roman"/>
                <w:sz w:val="14"/>
                <w:szCs w:val="14"/>
                <w:lang w:val="es-ES"/>
              </w:rPr>
              <w:t> </w:t>
            </w:r>
          </w:p>
        </w:tc>
        <w:tc>
          <w:tcPr>
            <w:tcW w:w="287" w:type="pct"/>
            <w:noWrap/>
            <w:vAlign w:val="bottom"/>
            <w:hideMark/>
          </w:tcPr>
          <w:p w14:paraId="35B9F34F" w14:textId="77777777" w:rsidR="00E90931" w:rsidRPr="00AE4E8D" w:rsidRDefault="00E90931" w:rsidP="00E90931">
            <w:pPr>
              <w:jc w:val="right"/>
              <w:rPr>
                <w:rFonts w:ascii="Times New Roman" w:hAnsi="Times New Roman"/>
                <w:sz w:val="14"/>
                <w:szCs w:val="14"/>
                <w:lang w:val="es-ES"/>
              </w:rPr>
            </w:pPr>
            <w:r w:rsidRPr="00AE4E8D">
              <w:rPr>
                <w:rFonts w:ascii="Times New Roman" w:hAnsi="Times New Roman"/>
                <w:sz w:val="14"/>
                <w:szCs w:val="14"/>
                <w:lang w:val="es-ES"/>
              </w:rPr>
              <w:t>100,0%</w:t>
            </w:r>
          </w:p>
        </w:tc>
      </w:tr>
    </w:tbl>
    <w:p w14:paraId="605B696B" w14:textId="77777777" w:rsidR="006476E2" w:rsidRPr="00AE4E8D" w:rsidRDefault="00E90931" w:rsidP="0008264A">
      <w:pPr>
        <w:pStyle w:val="BH2Izquierda"/>
        <w:rPr>
          <w:lang w:val="es-ES"/>
        </w:rPr>
      </w:pPr>
      <w:bookmarkStart w:id="392" w:name="_Toc421201390"/>
      <w:r w:rsidRPr="00AE4E8D">
        <w:rPr>
          <w:w w:val="1"/>
          <w:lang w:val="es-ES"/>
        </w:rPr>
        <w:br w:type="page"/>
      </w:r>
      <w:bookmarkStart w:id="393" w:name="_Toc495973012"/>
      <w:bookmarkStart w:id="394" w:name="_Toc495399919"/>
      <w:r w:rsidR="006476E2" w:rsidRPr="00AE4E8D">
        <w:rPr>
          <w:lang w:val="es-ES"/>
        </w:rPr>
        <w:lastRenderedPageBreak/>
        <w:t>Composición de los Depósitos</w:t>
      </w:r>
      <w:bookmarkEnd w:id="392"/>
      <w:bookmarkEnd w:id="393"/>
      <w:bookmarkEnd w:id="394"/>
    </w:p>
    <w:p w14:paraId="2DE80C95" w14:textId="77777777" w:rsidR="00E90931" w:rsidRPr="00AE4E8D" w:rsidRDefault="00E90931" w:rsidP="00474216">
      <w:pPr>
        <w:rPr>
          <w:rFonts w:ascii="Times New Roman" w:hAnsi="Times New Roman"/>
          <w:b/>
          <w:strike/>
          <w:w w:val="1"/>
          <w:lang w:val="es-ES"/>
        </w:rPr>
      </w:pPr>
      <w:r w:rsidRPr="00AE4E8D">
        <w:rPr>
          <w:rFonts w:ascii="Times New Roman" w:hAnsi="Times New Roman"/>
          <w:lang w:val="es-ES" w:eastAsia="es-AR"/>
        </w:rPr>
        <w:t>El siguiente cuadro muestra la composición de nuestros depósitos a las fechas indicadas:</w:t>
      </w:r>
    </w:p>
    <w:tbl>
      <w:tblPr>
        <w:tblW w:w="5000" w:type="pct"/>
        <w:jc w:val="center"/>
        <w:tblLook w:val="00A0" w:firstRow="1" w:lastRow="0" w:firstColumn="1" w:lastColumn="0" w:noHBand="0" w:noVBand="0"/>
      </w:tblPr>
      <w:tblGrid>
        <w:gridCol w:w="3451"/>
        <w:gridCol w:w="1735"/>
        <w:gridCol w:w="1780"/>
        <w:gridCol w:w="336"/>
        <w:gridCol w:w="1735"/>
        <w:gridCol w:w="1558"/>
        <w:gridCol w:w="336"/>
        <w:gridCol w:w="1735"/>
        <w:gridCol w:w="1553"/>
      </w:tblGrid>
      <w:tr w:rsidR="00E90931" w:rsidRPr="00AE4E8D" w14:paraId="3B1DEF56" w14:textId="77777777" w:rsidTr="000400C8">
        <w:trPr>
          <w:trHeight w:val="300"/>
          <w:jc w:val="center"/>
        </w:trPr>
        <w:tc>
          <w:tcPr>
            <w:tcW w:w="1214" w:type="pct"/>
            <w:shd w:val="clear" w:color="auto" w:fill="FFFFFF"/>
            <w:vAlign w:val="center"/>
            <w:hideMark/>
          </w:tcPr>
          <w:p w14:paraId="3A377A62"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3786" w:type="pct"/>
            <w:gridSpan w:val="8"/>
            <w:tcBorders>
              <w:top w:val="nil"/>
              <w:left w:val="nil"/>
              <w:bottom w:val="single" w:sz="4" w:space="0" w:color="auto"/>
              <w:right w:val="nil"/>
            </w:tcBorders>
            <w:shd w:val="clear" w:color="auto" w:fill="FFFFFF"/>
            <w:noWrap/>
            <w:vAlign w:val="bottom"/>
            <w:hideMark/>
          </w:tcPr>
          <w:p w14:paraId="7D5EDBA9"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Al 31 de diciembre de</w:t>
            </w:r>
          </w:p>
        </w:tc>
      </w:tr>
      <w:tr w:rsidR="003B5193" w:rsidRPr="00AE4E8D" w14:paraId="0D4E900B" w14:textId="77777777" w:rsidTr="00E90931">
        <w:trPr>
          <w:trHeight w:val="300"/>
          <w:jc w:val="center"/>
        </w:trPr>
        <w:tc>
          <w:tcPr>
            <w:tcW w:w="1214" w:type="pct"/>
            <w:shd w:val="clear" w:color="auto" w:fill="FFFFFF"/>
            <w:vAlign w:val="center"/>
            <w:hideMark/>
          </w:tcPr>
          <w:p w14:paraId="06738359"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1236" w:type="pct"/>
            <w:gridSpan w:val="2"/>
            <w:tcBorders>
              <w:top w:val="nil"/>
              <w:left w:val="nil"/>
              <w:bottom w:val="single" w:sz="4" w:space="0" w:color="auto"/>
              <w:right w:val="nil"/>
            </w:tcBorders>
            <w:shd w:val="clear" w:color="auto" w:fill="FFFFFF"/>
            <w:noWrap/>
            <w:vAlign w:val="bottom"/>
            <w:hideMark/>
          </w:tcPr>
          <w:p w14:paraId="18829D4A"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color w:val="000000"/>
                <w:sz w:val="16"/>
                <w:lang w:val="es-ES"/>
              </w:rPr>
              <w:t>2016</w:t>
            </w:r>
          </w:p>
        </w:tc>
        <w:tc>
          <w:tcPr>
            <w:tcW w:w="118" w:type="pct"/>
            <w:shd w:val="clear" w:color="auto" w:fill="FFFFFF"/>
            <w:noWrap/>
            <w:vAlign w:val="bottom"/>
            <w:hideMark/>
          </w:tcPr>
          <w:p w14:paraId="65D8DCF3"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w:t>
            </w:r>
          </w:p>
        </w:tc>
        <w:tc>
          <w:tcPr>
            <w:tcW w:w="1158" w:type="pct"/>
            <w:gridSpan w:val="2"/>
            <w:tcBorders>
              <w:top w:val="nil"/>
              <w:left w:val="nil"/>
              <w:bottom w:val="single" w:sz="4" w:space="0" w:color="auto"/>
              <w:right w:val="nil"/>
            </w:tcBorders>
            <w:shd w:val="clear" w:color="auto" w:fill="FFFFFF"/>
            <w:noWrap/>
            <w:vAlign w:val="bottom"/>
            <w:hideMark/>
          </w:tcPr>
          <w:p w14:paraId="4BA1318A"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color w:val="000000"/>
                <w:sz w:val="16"/>
                <w:lang w:val="es-ES"/>
              </w:rPr>
              <w:t>2015</w:t>
            </w:r>
          </w:p>
        </w:tc>
        <w:tc>
          <w:tcPr>
            <w:tcW w:w="118" w:type="pct"/>
            <w:shd w:val="clear" w:color="auto" w:fill="FFFFFF"/>
            <w:noWrap/>
            <w:vAlign w:val="bottom"/>
            <w:hideMark/>
          </w:tcPr>
          <w:p w14:paraId="01F65E1E"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w:t>
            </w:r>
          </w:p>
        </w:tc>
        <w:tc>
          <w:tcPr>
            <w:tcW w:w="1156" w:type="pct"/>
            <w:gridSpan w:val="2"/>
            <w:tcBorders>
              <w:top w:val="nil"/>
              <w:left w:val="nil"/>
              <w:bottom w:val="single" w:sz="4" w:space="0" w:color="auto"/>
              <w:right w:val="nil"/>
            </w:tcBorders>
            <w:shd w:val="clear" w:color="auto" w:fill="FFFFFF"/>
            <w:noWrap/>
            <w:vAlign w:val="bottom"/>
            <w:hideMark/>
          </w:tcPr>
          <w:p w14:paraId="63855659"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color w:val="000000"/>
                <w:sz w:val="16"/>
                <w:lang w:val="es-ES"/>
              </w:rPr>
              <w:t>2014</w:t>
            </w:r>
          </w:p>
        </w:tc>
      </w:tr>
      <w:tr w:rsidR="003B5193" w:rsidRPr="00AE4E8D" w14:paraId="54D93BA2" w14:textId="77777777" w:rsidTr="00E90931">
        <w:trPr>
          <w:trHeight w:val="900"/>
          <w:jc w:val="center"/>
        </w:trPr>
        <w:tc>
          <w:tcPr>
            <w:tcW w:w="1214" w:type="pct"/>
            <w:shd w:val="clear" w:color="auto" w:fill="FFFFFF"/>
            <w:vAlign w:val="center"/>
            <w:hideMark/>
          </w:tcPr>
          <w:p w14:paraId="19F8BC35" w14:textId="77777777" w:rsidR="00E90931" w:rsidRPr="00AE4E8D" w:rsidRDefault="00E90931" w:rsidP="00E90931">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w:t>
            </w:r>
          </w:p>
        </w:tc>
        <w:tc>
          <w:tcPr>
            <w:tcW w:w="610" w:type="pct"/>
            <w:tcBorders>
              <w:top w:val="single" w:sz="4" w:space="0" w:color="auto"/>
              <w:left w:val="nil"/>
              <w:bottom w:val="single" w:sz="4" w:space="0" w:color="auto"/>
              <w:right w:val="nil"/>
            </w:tcBorders>
            <w:shd w:val="clear" w:color="auto" w:fill="FFFFFF"/>
            <w:vAlign w:val="center"/>
            <w:hideMark/>
          </w:tcPr>
          <w:p w14:paraId="7658F84B"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Saldos promedio</w:t>
            </w:r>
          </w:p>
        </w:tc>
        <w:tc>
          <w:tcPr>
            <w:tcW w:w="626" w:type="pct"/>
            <w:tcBorders>
              <w:top w:val="single" w:sz="4" w:space="0" w:color="auto"/>
              <w:left w:val="nil"/>
              <w:bottom w:val="single" w:sz="4" w:space="0" w:color="auto"/>
              <w:right w:val="nil"/>
            </w:tcBorders>
            <w:shd w:val="clear" w:color="auto" w:fill="FFFFFF"/>
            <w:vAlign w:val="center"/>
            <w:hideMark/>
          </w:tcPr>
          <w:p w14:paraId="4E3A5A8B"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Tasa de interés promedio (%)</w:t>
            </w:r>
          </w:p>
        </w:tc>
        <w:tc>
          <w:tcPr>
            <w:tcW w:w="118" w:type="pct"/>
            <w:shd w:val="clear" w:color="auto" w:fill="FFFFFF"/>
            <w:vAlign w:val="center"/>
            <w:hideMark/>
          </w:tcPr>
          <w:p w14:paraId="2FB065BB"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w:t>
            </w:r>
          </w:p>
        </w:tc>
        <w:tc>
          <w:tcPr>
            <w:tcW w:w="610" w:type="pct"/>
            <w:tcBorders>
              <w:top w:val="single" w:sz="4" w:space="0" w:color="auto"/>
              <w:left w:val="nil"/>
              <w:bottom w:val="single" w:sz="4" w:space="0" w:color="auto"/>
              <w:right w:val="nil"/>
            </w:tcBorders>
            <w:shd w:val="clear" w:color="auto" w:fill="FFFFFF"/>
            <w:vAlign w:val="center"/>
            <w:hideMark/>
          </w:tcPr>
          <w:p w14:paraId="1D3B8B9B"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Saldos promedio</w:t>
            </w:r>
          </w:p>
        </w:tc>
        <w:tc>
          <w:tcPr>
            <w:tcW w:w="548" w:type="pct"/>
            <w:tcBorders>
              <w:top w:val="single" w:sz="4" w:space="0" w:color="auto"/>
              <w:left w:val="nil"/>
              <w:bottom w:val="single" w:sz="4" w:space="0" w:color="auto"/>
              <w:right w:val="nil"/>
            </w:tcBorders>
            <w:shd w:val="clear" w:color="auto" w:fill="FFFFFF"/>
            <w:vAlign w:val="center"/>
            <w:hideMark/>
          </w:tcPr>
          <w:p w14:paraId="10677687"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Tasa de interés promedio (%)</w:t>
            </w:r>
          </w:p>
        </w:tc>
        <w:tc>
          <w:tcPr>
            <w:tcW w:w="118" w:type="pct"/>
            <w:shd w:val="clear" w:color="auto" w:fill="FFFFFF"/>
            <w:vAlign w:val="center"/>
            <w:hideMark/>
          </w:tcPr>
          <w:p w14:paraId="6C3ADBE0"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w:t>
            </w:r>
          </w:p>
        </w:tc>
        <w:tc>
          <w:tcPr>
            <w:tcW w:w="610" w:type="pct"/>
            <w:tcBorders>
              <w:top w:val="single" w:sz="4" w:space="0" w:color="auto"/>
              <w:left w:val="nil"/>
              <w:bottom w:val="single" w:sz="4" w:space="0" w:color="auto"/>
              <w:right w:val="nil"/>
            </w:tcBorders>
            <w:shd w:val="clear" w:color="auto" w:fill="FFFFFF"/>
            <w:vAlign w:val="center"/>
            <w:hideMark/>
          </w:tcPr>
          <w:p w14:paraId="2912217A"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Saldos promedio</w:t>
            </w:r>
          </w:p>
        </w:tc>
        <w:tc>
          <w:tcPr>
            <w:tcW w:w="546" w:type="pct"/>
            <w:tcBorders>
              <w:top w:val="single" w:sz="4" w:space="0" w:color="auto"/>
              <w:left w:val="nil"/>
              <w:bottom w:val="single" w:sz="4" w:space="0" w:color="auto"/>
              <w:right w:val="nil"/>
            </w:tcBorders>
            <w:shd w:val="clear" w:color="auto" w:fill="FFFFFF"/>
            <w:vAlign w:val="center"/>
            <w:hideMark/>
          </w:tcPr>
          <w:p w14:paraId="379B1DF6" w14:textId="77777777" w:rsidR="00E90931" w:rsidRPr="00AE4E8D" w:rsidRDefault="00E90931" w:rsidP="00E90931">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Tasa de interés promedio (%)</w:t>
            </w:r>
          </w:p>
        </w:tc>
      </w:tr>
      <w:tr w:rsidR="003B5193" w:rsidRPr="00AE4E8D" w14:paraId="5F8EF67A" w14:textId="77777777" w:rsidTr="00E90931">
        <w:trPr>
          <w:trHeight w:val="300"/>
          <w:jc w:val="center"/>
        </w:trPr>
        <w:tc>
          <w:tcPr>
            <w:tcW w:w="1214" w:type="pct"/>
            <w:shd w:val="clear" w:color="auto" w:fill="FFFFFF"/>
            <w:vAlign w:val="center"/>
            <w:hideMark/>
          </w:tcPr>
          <w:p w14:paraId="2CD1AAD1"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10" w:type="pct"/>
            <w:shd w:val="clear" w:color="auto" w:fill="FFFFFF"/>
            <w:noWrap/>
            <w:vAlign w:val="bottom"/>
            <w:hideMark/>
          </w:tcPr>
          <w:p w14:paraId="0292DC29"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26" w:type="pct"/>
            <w:shd w:val="clear" w:color="auto" w:fill="FFFFFF"/>
            <w:noWrap/>
            <w:vAlign w:val="bottom"/>
            <w:hideMark/>
          </w:tcPr>
          <w:p w14:paraId="5714C844"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118" w:type="pct"/>
            <w:shd w:val="clear" w:color="auto" w:fill="FFFFFF"/>
            <w:noWrap/>
            <w:vAlign w:val="bottom"/>
            <w:hideMark/>
          </w:tcPr>
          <w:p w14:paraId="5353BB76"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10" w:type="pct"/>
            <w:shd w:val="clear" w:color="auto" w:fill="FFFFFF"/>
            <w:noWrap/>
            <w:vAlign w:val="bottom"/>
            <w:hideMark/>
          </w:tcPr>
          <w:p w14:paraId="4E4B77C8"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48" w:type="pct"/>
            <w:shd w:val="clear" w:color="auto" w:fill="FFFFFF"/>
            <w:noWrap/>
            <w:vAlign w:val="bottom"/>
            <w:hideMark/>
          </w:tcPr>
          <w:p w14:paraId="403F0C4C"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118" w:type="pct"/>
            <w:shd w:val="clear" w:color="auto" w:fill="FFFFFF"/>
            <w:noWrap/>
            <w:vAlign w:val="bottom"/>
            <w:hideMark/>
          </w:tcPr>
          <w:p w14:paraId="4DC794E1"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610" w:type="pct"/>
            <w:shd w:val="clear" w:color="auto" w:fill="FFFFFF"/>
            <w:noWrap/>
            <w:vAlign w:val="bottom"/>
            <w:hideMark/>
          </w:tcPr>
          <w:p w14:paraId="7CA74A56"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c>
          <w:tcPr>
            <w:tcW w:w="546" w:type="pct"/>
            <w:shd w:val="clear" w:color="auto" w:fill="FFFFFF"/>
            <w:noWrap/>
            <w:vAlign w:val="bottom"/>
            <w:hideMark/>
          </w:tcPr>
          <w:p w14:paraId="38DBB3D6"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08D49041" w14:textId="77777777" w:rsidTr="00FA3175">
        <w:trPr>
          <w:trHeight w:val="300"/>
          <w:jc w:val="center"/>
        </w:trPr>
        <w:tc>
          <w:tcPr>
            <w:tcW w:w="1214" w:type="pct"/>
            <w:shd w:val="clear" w:color="auto" w:fill="FFFFFF"/>
            <w:vAlign w:val="center"/>
            <w:hideMark/>
          </w:tcPr>
          <w:p w14:paraId="0A928914" w14:textId="77777777" w:rsidR="00E90931" w:rsidRPr="00AE4E8D" w:rsidRDefault="00E90931" w:rsidP="00E90931">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Depósitos que no devengan intereses</w:t>
            </w:r>
          </w:p>
        </w:tc>
        <w:tc>
          <w:tcPr>
            <w:tcW w:w="610" w:type="pct"/>
            <w:shd w:val="clear" w:color="auto" w:fill="FFFFFF"/>
            <w:noWrap/>
            <w:vAlign w:val="center"/>
            <w:hideMark/>
          </w:tcPr>
          <w:p w14:paraId="32A1872D"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26" w:type="pct"/>
            <w:shd w:val="clear" w:color="auto" w:fill="FFFFFF"/>
            <w:noWrap/>
            <w:vAlign w:val="center"/>
            <w:hideMark/>
          </w:tcPr>
          <w:p w14:paraId="79CBAB0D"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156E0C88"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39E38C28"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548" w:type="pct"/>
            <w:shd w:val="clear" w:color="auto" w:fill="FFFFFF"/>
            <w:noWrap/>
            <w:vAlign w:val="center"/>
            <w:hideMark/>
          </w:tcPr>
          <w:p w14:paraId="6984B0B2"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227B9886"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7A9709D1"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546" w:type="pct"/>
            <w:shd w:val="clear" w:color="auto" w:fill="FFFFFF"/>
            <w:noWrap/>
            <w:vAlign w:val="center"/>
            <w:hideMark/>
          </w:tcPr>
          <w:p w14:paraId="0F609F86"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r>
      <w:tr w:rsidR="003B5193" w:rsidRPr="00AE4E8D" w14:paraId="536BB231" w14:textId="77777777" w:rsidTr="00FA3175">
        <w:trPr>
          <w:trHeight w:val="300"/>
          <w:jc w:val="center"/>
        </w:trPr>
        <w:tc>
          <w:tcPr>
            <w:tcW w:w="1214" w:type="pct"/>
            <w:shd w:val="clear" w:color="auto" w:fill="FFFFFF"/>
            <w:vAlign w:val="center"/>
            <w:hideMark/>
          </w:tcPr>
          <w:p w14:paraId="5DAEC668"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Pesos </w:t>
            </w:r>
          </w:p>
        </w:tc>
        <w:tc>
          <w:tcPr>
            <w:tcW w:w="610" w:type="pct"/>
            <w:shd w:val="clear" w:color="auto" w:fill="FFFFFF"/>
            <w:noWrap/>
            <w:vAlign w:val="center"/>
            <w:hideMark/>
          </w:tcPr>
          <w:p w14:paraId="14FE77D9" w14:textId="77777777" w:rsidR="00E90931" w:rsidRPr="00AE4E8D" w:rsidRDefault="00EB3492" w:rsidP="00FA3175">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lang w:val="es-ES"/>
              </w:rPr>
              <w:t>3.</w:t>
            </w:r>
            <w:r w:rsidR="00E90931" w:rsidRPr="00AE4E8D">
              <w:rPr>
                <w:rFonts w:ascii="Times New Roman" w:hAnsi="Times New Roman"/>
                <w:color w:val="000000"/>
                <w:sz w:val="16"/>
                <w:szCs w:val="16"/>
                <w:lang w:val="es-ES"/>
              </w:rPr>
              <w:t>300.449</w:t>
            </w:r>
            <w:r w:rsidR="00E90931" w:rsidRPr="00AE4E8D">
              <w:rPr>
                <w:rFonts w:ascii="Times New Roman" w:hAnsi="Times New Roman"/>
                <w:color w:val="000000"/>
                <w:sz w:val="16"/>
                <w:lang w:val="es-ES"/>
              </w:rPr>
              <w:t xml:space="preserve"> </w:t>
            </w:r>
          </w:p>
        </w:tc>
        <w:tc>
          <w:tcPr>
            <w:tcW w:w="626" w:type="pct"/>
            <w:shd w:val="clear" w:color="auto" w:fill="FFFFFF"/>
            <w:noWrap/>
            <w:vAlign w:val="center"/>
            <w:hideMark/>
          </w:tcPr>
          <w:p w14:paraId="0148812C"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55903772"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18ABEEAE"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3.017.124 </w:t>
            </w:r>
          </w:p>
        </w:tc>
        <w:tc>
          <w:tcPr>
            <w:tcW w:w="548" w:type="pct"/>
            <w:shd w:val="clear" w:color="auto" w:fill="FFFFFF"/>
            <w:noWrap/>
            <w:vAlign w:val="center"/>
            <w:hideMark/>
          </w:tcPr>
          <w:p w14:paraId="16F0351F"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1832AAAD"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6ACA5C1A"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2.454.073 </w:t>
            </w:r>
          </w:p>
        </w:tc>
        <w:tc>
          <w:tcPr>
            <w:tcW w:w="546" w:type="pct"/>
            <w:shd w:val="clear" w:color="auto" w:fill="FFFFFF"/>
            <w:noWrap/>
            <w:vAlign w:val="center"/>
            <w:hideMark/>
          </w:tcPr>
          <w:p w14:paraId="703C468E"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r>
      <w:tr w:rsidR="003B5193" w:rsidRPr="00AE4E8D" w14:paraId="6669BF2A" w14:textId="77777777" w:rsidTr="00FA3175">
        <w:trPr>
          <w:trHeight w:val="300"/>
          <w:jc w:val="center"/>
        </w:trPr>
        <w:tc>
          <w:tcPr>
            <w:tcW w:w="1214" w:type="pct"/>
            <w:shd w:val="clear" w:color="auto" w:fill="FFFFFF"/>
            <w:vAlign w:val="center"/>
            <w:hideMark/>
          </w:tcPr>
          <w:p w14:paraId="659FDE56"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Dólares Est. </w:t>
            </w:r>
          </w:p>
        </w:tc>
        <w:tc>
          <w:tcPr>
            <w:tcW w:w="610" w:type="pct"/>
            <w:shd w:val="clear" w:color="auto" w:fill="FFFFFF"/>
            <w:noWrap/>
            <w:vAlign w:val="center"/>
            <w:hideMark/>
          </w:tcPr>
          <w:p w14:paraId="41216F98" w14:textId="77777777" w:rsidR="00E90931" w:rsidRPr="00AE4E8D" w:rsidRDefault="00FA3175" w:rsidP="00FA3175">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121.562</w:t>
            </w:r>
            <w:r w:rsidR="00E90931" w:rsidRPr="00AE4E8D">
              <w:rPr>
                <w:rFonts w:ascii="Times New Roman" w:hAnsi="Times New Roman"/>
                <w:color w:val="000000"/>
                <w:sz w:val="16"/>
                <w:lang w:val="es-ES"/>
              </w:rPr>
              <w:t xml:space="preserve"> </w:t>
            </w:r>
          </w:p>
        </w:tc>
        <w:tc>
          <w:tcPr>
            <w:tcW w:w="626" w:type="pct"/>
            <w:shd w:val="clear" w:color="auto" w:fill="FFFFFF"/>
            <w:noWrap/>
            <w:vAlign w:val="center"/>
            <w:hideMark/>
          </w:tcPr>
          <w:p w14:paraId="3AC2F8B4"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64CBED1A"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7E53E4DE" w14:textId="77777777" w:rsidR="00E90931" w:rsidRPr="00AE4E8D" w:rsidRDefault="00FA3175"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71.192 </w:t>
            </w:r>
          </w:p>
        </w:tc>
        <w:tc>
          <w:tcPr>
            <w:tcW w:w="548" w:type="pct"/>
            <w:shd w:val="clear" w:color="auto" w:fill="FFFFFF"/>
            <w:noWrap/>
            <w:vAlign w:val="center"/>
            <w:hideMark/>
          </w:tcPr>
          <w:p w14:paraId="73802476"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1603C0F9"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290EDEE9" w14:textId="77777777" w:rsidR="00E90931" w:rsidRPr="00AE4E8D" w:rsidRDefault="00FA3175"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58.387 </w:t>
            </w:r>
          </w:p>
        </w:tc>
        <w:tc>
          <w:tcPr>
            <w:tcW w:w="546" w:type="pct"/>
            <w:shd w:val="clear" w:color="auto" w:fill="FFFFFF"/>
            <w:noWrap/>
            <w:vAlign w:val="center"/>
            <w:hideMark/>
          </w:tcPr>
          <w:p w14:paraId="3A8A4AF0"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r>
      <w:tr w:rsidR="003B5193" w:rsidRPr="00AE4E8D" w14:paraId="5CFD2E50" w14:textId="77777777" w:rsidTr="00FA3175">
        <w:trPr>
          <w:trHeight w:val="300"/>
          <w:jc w:val="center"/>
        </w:trPr>
        <w:tc>
          <w:tcPr>
            <w:tcW w:w="1214" w:type="pct"/>
            <w:shd w:val="clear" w:color="auto" w:fill="FFFFFF"/>
            <w:vAlign w:val="center"/>
            <w:hideMark/>
          </w:tcPr>
          <w:p w14:paraId="01D79045"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Total</w:t>
            </w:r>
          </w:p>
        </w:tc>
        <w:tc>
          <w:tcPr>
            <w:tcW w:w="610" w:type="pct"/>
            <w:tcBorders>
              <w:top w:val="single" w:sz="4" w:space="0" w:color="auto"/>
              <w:left w:val="nil"/>
              <w:bottom w:val="nil"/>
              <w:right w:val="nil"/>
            </w:tcBorders>
            <w:shd w:val="clear" w:color="auto" w:fill="FFFFFF"/>
            <w:noWrap/>
            <w:vAlign w:val="center"/>
            <w:hideMark/>
          </w:tcPr>
          <w:p w14:paraId="45C64AA8" w14:textId="77777777" w:rsidR="00E90931" w:rsidRPr="00AE4E8D" w:rsidRDefault="00EB3492" w:rsidP="00FA3175">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lang w:val="es-ES"/>
              </w:rPr>
              <w:t>3.</w:t>
            </w:r>
            <w:r w:rsidR="00E90931" w:rsidRPr="00AE4E8D">
              <w:rPr>
                <w:rFonts w:ascii="Times New Roman" w:hAnsi="Times New Roman"/>
                <w:color w:val="000000"/>
                <w:sz w:val="16"/>
                <w:szCs w:val="16"/>
                <w:lang w:val="es-ES"/>
              </w:rPr>
              <w:t>422.011</w:t>
            </w:r>
            <w:r w:rsidR="00E90931" w:rsidRPr="00AE4E8D">
              <w:rPr>
                <w:rFonts w:ascii="Times New Roman" w:hAnsi="Times New Roman"/>
                <w:color w:val="000000"/>
                <w:sz w:val="16"/>
                <w:lang w:val="es-ES"/>
              </w:rPr>
              <w:t xml:space="preserve"> </w:t>
            </w:r>
          </w:p>
        </w:tc>
        <w:tc>
          <w:tcPr>
            <w:tcW w:w="626" w:type="pct"/>
            <w:shd w:val="clear" w:color="auto" w:fill="FFFFFF"/>
            <w:noWrap/>
            <w:vAlign w:val="center"/>
            <w:hideMark/>
          </w:tcPr>
          <w:p w14:paraId="632AF396"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01CFA932"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tcBorders>
              <w:top w:val="single" w:sz="4" w:space="0" w:color="auto"/>
              <w:left w:val="nil"/>
              <w:bottom w:val="nil"/>
              <w:right w:val="nil"/>
            </w:tcBorders>
            <w:shd w:val="clear" w:color="auto" w:fill="FFFFFF"/>
            <w:noWrap/>
            <w:vAlign w:val="center"/>
            <w:hideMark/>
          </w:tcPr>
          <w:p w14:paraId="169AA5A1"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3.088.316 </w:t>
            </w:r>
          </w:p>
        </w:tc>
        <w:tc>
          <w:tcPr>
            <w:tcW w:w="548" w:type="pct"/>
            <w:shd w:val="clear" w:color="auto" w:fill="FFFFFF"/>
            <w:noWrap/>
            <w:vAlign w:val="center"/>
            <w:hideMark/>
          </w:tcPr>
          <w:p w14:paraId="45D0C963"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75CAB8C6"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tcBorders>
              <w:top w:val="single" w:sz="4" w:space="0" w:color="auto"/>
              <w:left w:val="nil"/>
              <w:bottom w:val="nil"/>
              <w:right w:val="nil"/>
            </w:tcBorders>
            <w:shd w:val="clear" w:color="auto" w:fill="FFFFFF"/>
            <w:noWrap/>
            <w:vAlign w:val="center"/>
            <w:hideMark/>
          </w:tcPr>
          <w:p w14:paraId="7D1F6DA6"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2.512.460 </w:t>
            </w:r>
          </w:p>
        </w:tc>
        <w:tc>
          <w:tcPr>
            <w:tcW w:w="546" w:type="pct"/>
            <w:shd w:val="clear" w:color="auto" w:fill="FFFFFF"/>
            <w:noWrap/>
            <w:vAlign w:val="center"/>
            <w:hideMark/>
          </w:tcPr>
          <w:p w14:paraId="39BE84E6"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r>
      <w:tr w:rsidR="003B5193" w:rsidRPr="00AE4E8D" w14:paraId="735C0381" w14:textId="77777777" w:rsidTr="00FA3175">
        <w:trPr>
          <w:trHeight w:val="300"/>
          <w:jc w:val="center"/>
        </w:trPr>
        <w:tc>
          <w:tcPr>
            <w:tcW w:w="1214" w:type="pct"/>
            <w:shd w:val="clear" w:color="auto" w:fill="FFFFFF"/>
            <w:vAlign w:val="center"/>
            <w:hideMark/>
          </w:tcPr>
          <w:p w14:paraId="77E6AD31" w14:textId="77777777" w:rsidR="00E90931" w:rsidRPr="00AE4E8D" w:rsidRDefault="00E90931" w:rsidP="00E90931">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Cajas de ahorro</w:t>
            </w:r>
          </w:p>
        </w:tc>
        <w:tc>
          <w:tcPr>
            <w:tcW w:w="610" w:type="pct"/>
            <w:shd w:val="clear" w:color="auto" w:fill="FFFFFF"/>
            <w:noWrap/>
            <w:vAlign w:val="center"/>
            <w:hideMark/>
          </w:tcPr>
          <w:p w14:paraId="678F33D9"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26" w:type="pct"/>
            <w:shd w:val="clear" w:color="auto" w:fill="FFFFFF"/>
            <w:noWrap/>
            <w:vAlign w:val="center"/>
            <w:hideMark/>
          </w:tcPr>
          <w:p w14:paraId="7BC50031"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4FA55B60"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15AF4A38"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548" w:type="pct"/>
            <w:shd w:val="clear" w:color="auto" w:fill="FFFFFF"/>
            <w:noWrap/>
            <w:vAlign w:val="center"/>
            <w:hideMark/>
          </w:tcPr>
          <w:p w14:paraId="00BEFFBE"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3A65D4BF"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6F9F6A1E"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546" w:type="pct"/>
            <w:shd w:val="clear" w:color="auto" w:fill="FFFFFF"/>
            <w:noWrap/>
            <w:vAlign w:val="center"/>
            <w:hideMark/>
          </w:tcPr>
          <w:p w14:paraId="51B6F82F"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r>
      <w:tr w:rsidR="003B5193" w:rsidRPr="00AE4E8D" w14:paraId="20780833" w14:textId="77777777" w:rsidTr="00FA3175">
        <w:trPr>
          <w:trHeight w:val="300"/>
          <w:jc w:val="center"/>
        </w:trPr>
        <w:tc>
          <w:tcPr>
            <w:tcW w:w="1214" w:type="pct"/>
            <w:shd w:val="clear" w:color="auto" w:fill="FFFFFF"/>
            <w:vAlign w:val="center"/>
            <w:hideMark/>
          </w:tcPr>
          <w:p w14:paraId="2BFF634D"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Pesos </w:t>
            </w:r>
          </w:p>
        </w:tc>
        <w:tc>
          <w:tcPr>
            <w:tcW w:w="610" w:type="pct"/>
            <w:shd w:val="clear" w:color="auto" w:fill="FFFFFF"/>
            <w:noWrap/>
            <w:vAlign w:val="center"/>
            <w:hideMark/>
          </w:tcPr>
          <w:p w14:paraId="7F914920" w14:textId="77777777" w:rsidR="00E90931" w:rsidRPr="00AE4E8D" w:rsidRDefault="00EB3492" w:rsidP="00FA3175">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lang w:val="es-ES"/>
              </w:rPr>
              <w:t>1.</w:t>
            </w:r>
            <w:r w:rsidR="00E90931" w:rsidRPr="00AE4E8D">
              <w:rPr>
                <w:rFonts w:ascii="Times New Roman" w:hAnsi="Times New Roman"/>
                <w:color w:val="000000"/>
                <w:sz w:val="16"/>
                <w:szCs w:val="16"/>
                <w:lang w:val="es-ES"/>
              </w:rPr>
              <w:t>705.827</w:t>
            </w:r>
            <w:r w:rsidR="00E90931" w:rsidRPr="00AE4E8D">
              <w:rPr>
                <w:rFonts w:ascii="Times New Roman" w:hAnsi="Times New Roman"/>
                <w:color w:val="000000"/>
                <w:sz w:val="16"/>
                <w:lang w:val="es-ES"/>
              </w:rPr>
              <w:t xml:space="preserve"> </w:t>
            </w:r>
          </w:p>
        </w:tc>
        <w:tc>
          <w:tcPr>
            <w:tcW w:w="626" w:type="pct"/>
            <w:shd w:val="clear" w:color="auto" w:fill="FFFFFF"/>
            <w:noWrap/>
            <w:vAlign w:val="center"/>
            <w:hideMark/>
          </w:tcPr>
          <w:p w14:paraId="03AF4DC2" w14:textId="77777777" w:rsidR="00E90931" w:rsidRPr="00AE4E8D" w:rsidRDefault="00E90931" w:rsidP="00FA3175">
            <w:pPr>
              <w:jc w:val="right"/>
              <w:rPr>
                <w:rFonts w:ascii="Times New Roman" w:hAnsi="Times New Roman"/>
                <w:color w:val="000000"/>
                <w:sz w:val="16"/>
                <w:lang w:val="es-ES"/>
              </w:rPr>
            </w:pPr>
            <w:r w:rsidRPr="00AE4E8D">
              <w:rPr>
                <w:rFonts w:ascii="Times New Roman" w:hAnsi="Times New Roman"/>
                <w:color w:val="000000"/>
                <w:sz w:val="16"/>
                <w:lang w:val="es-ES"/>
              </w:rPr>
              <w:t>0,</w:t>
            </w:r>
            <w:r w:rsidR="00CE1483">
              <w:rPr>
                <w:rFonts w:ascii="Times New Roman" w:hAnsi="Times New Roman"/>
                <w:color w:val="000000"/>
                <w:sz w:val="16"/>
                <w:lang w:val="es-ES"/>
              </w:rPr>
              <w:t>18</w:t>
            </w:r>
            <w:r w:rsidRPr="00AE4E8D">
              <w:rPr>
                <w:rFonts w:ascii="Times New Roman" w:hAnsi="Times New Roman"/>
                <w:color w:val="000000"/>
                <w:sz w:val="16"/>
                <w:lang w:val="es-ES"/>
              </w:rPr>
              <w:t>%</w:t>
            </w:r>
          </w:p>
        </w:tc>
        <w:tc>
          <w:tcPr>
            <w:tcW w:w="118" w:type="pct"/>
            <w:shd w:val="clear" w:color="auto" w:fill="FFFFFF"/>
            <w:noWrap/>
            <w:vAlign w:val="center"/>
            <w:hideMark/>
          </w:tcPr>
          <w:p w14:paraId="7746CC23"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7212518C"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1.719.629 </w:t>
            </w:r>
          </w:p>
        </w:tc>
        <w:tc>
          <w:tcPr>
            <w:tcW w:w="548" w:type="pct"/>
            <w:shd w:val="clear" w:color="auto" w:fill="FFFFFF"/>
            <w:noWrap/>
            <w:vAlign w:val="center"/>
            <w:hideMark/>
          </w:tcPr>
          <w:p w14:paraId="43CF6B5C"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0,17%</w:t>
            </w:r>
          </w:p>
        </w:tc>
        <w:tc>
          <w:tcPr>
            <w:tcW w:w="118" w:type="pct"/>
            <w:shd w:val="clear" w:color="auto" w:fill="FFFFFF"/>
            <w:noWrap/>
            <w:vAlign w:val="center"/>
            <w:hideMark/>
          </w:tcPr>
          <w:p w14:paraId="075679DF"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1B8E2480"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1.100.302 </w:t>
            </w:r>
          </w:p>
        </w:tc>
        <w:tc>
          <w:tcPr>
            <w:tcW w:w="546" w:type="pct"/>
            <w:shd w:val="clear" w:color="auto" w:fill="FFFFFF"/>
            <w:noWrap/>
            <w:vAlign w:val="center"/>
            <w:hideMark/>
          </w:tcPr>
          <w:p w14:paraId="371AF6BA"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0,18%</w:t>
            </w:r>
          </w:p>
        </w:tc>
      </w:tr>
      <w:tr w:rsidR="003B5193" w:rsidRPr="00AE4E8D" w14:paraId="0BBDFBA9" w14:textId="77777777" w:rsidTr="00FA3175">
        <w:trPr>
          <w:trHeight w:val="300"/>
          <w:jc w:val="center"/>
        </w:trPr>
        <w:tc>
          <w:tcPr>
            <w:tcW w:w="1214" w:type="pct"/>
            <w:shd w:val="clear" w:color="auto" w:fill="FFFFFF"/>
            <w:vAlign w:val="center"/>
            <w:hideMark/>
          </w:tcPr>
          <w:p w14:paraId="37DF6312"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Dólares Est. </w:t>
            </w:r>
          </w:p>
        </w:tc>
        <w:tc>
          <w:tcPr>
            <w:tcW w:w="610" w:type="pct"/>
            <w:shd w:val="clear" w:color="auto" w:fill="FFFFFF"/>
            <w:noWrap/>
            <w:vAlign w:val="center"/>
            <w:hideMark/>
          </w:tcPr>
          <w:p w14:paraId="0FE87B84" w14:textId="77777777" w:rsidR="00E90931" w:rsidRPr="00AE4E8D" w:rsidRDefault="00FA3175" w:rsidP="00FA3175">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 xml:space="preserve"> 269.404</w:t>
            </w:r>
            <w:r w:rsidR="00E90931" w:rsidRPr="00AE4E8D">
              <w:rPr>
                <w:rFonts w:ascii="Times New Roman" w:hAnsi="Times New Roman"/>
                <w:color w:val="000000"/>
                <w:sz w:val="16"/>
                <w:lang w:val="es-ES"/>
              </w:rPr>
              <w:t xml:space="preserve"> </w:t>
            </w:r>
          </w:p>
        </w:tc>
        <w:tc>
          <w:tcPr>
            <w:tcW w:w="626" w:type="pct"/>
            <w:tcBorders>
              <w:top w:val="nil"/>
              <w:left w:val="nil"/>
              <w:bottom w:val="single" w:sz="4" w:space="0" w:color="auto"/>
              <w:right w:val="nil"/>
            </w:tcBorders>
            <w:shd w:val="clear" w:color="auto" w:fill="FFFFFF"/>
            <w:noWrap/>
            <w:vAlign w:val="center"/>
            <w:hideMark/>
          </w:tcPr>
          <w:p w14:paraId="64D71F7D" w14:textId="77777777" w:rsidR="00E90931" w:rsidRPr="00AE4E8D" w:rsidRDefault="00E90931" w:rsidP="00FA3175">
            <w:pPr>
              <w:jc w:val="right"/>
              <w:rPr>
                <w:rFonts w:ascii="Times New Roman" w:hAnsi="Times New Roman"/>
                <w:color w:val="000000"/>
                <w:sz w:val="16"/>
                <w:lang w:val="es-ES"/>
              </w:rPr>
            </w:pPr>
            <w:r w:rsidRPr="00AE4E8D">
              <w:rPr>
                <w:rFonts w:ascii="Times New Roman" w:hAnsi="Times New Roman"/>
                <w:color w:val="000000"/>
                <w:sz w:val="16"/>
                <w:lang w:val="es-ES"/>
              </w:rPr>
              <w:t>0,06%</w:t>
            </w:r>
          </w:p>
        </w:tc>
        <w:tc>
          <w:tcPr>
            <w:tcW w:w="118" w:type="pct"/>
            <w:shd w:val="clear" w:color="auto" w:fill="FFFFFF"/>
            <w:noWrap/>
            <w:vAlign w:val="center"/>
            <w:hideMark/>
          </w:tcPr>
          <w:p w14:paraId="2BDFE284"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4701AF34"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119.172 </w:t>
            </w:r>
          </w:p>
        </w:tc>
        <w:tc>
          <w:tcPr>
            <w:tcW w:w="548" w:type="pct"/>
            <w:tcBorders>
              <w:top w:val="nil"/>
              <w:left w:val="nil"/>
              <w:bottom w:val="single" w:sz="4" w:space="0" w:color="auto"/>
              <w:right w:val="nil"/>
            </w:tcBorders>
            <w:shd w:val="clear" w:color="auto" w:fill="FFFFFF"/>
            <w:noWrap/>
            <w:vAlign w:val="center"/>
            <w:hideMark/>
          </w:tcPr>
          <w:p w14:paraId="26AB4226"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0,06%</w:t>
            </w:r>
          </w:p>
        </w:tc>
        <w:tc>
          <w:tcPr>
            <w:tcW w:w="118" w:type="pct"/>
            <w:shd w:val="clear" w:color="auto" w:fill="FFFFFF"/>
            <w:noWrap/>
            <w:vAlign w:val="center"/>
            <w:hideMark/>
          </w:tcPr>
          <w:p w14:paraId="131560A2"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3628DC80" w14:textId="77777777" w:rsidR="00E90931" w:rsidRPr="00AE4E8D" w:rsidRDefault="00FA3175"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74.901 </w:t>
            </w:r>
          </w:p>
        </w:tc>
        <w:tc>
          <w:tcPr>
            <w:tcW w:w="546" w:type="pct"/>
            <w:shd w:val="clear" w:color="auto" w:fill="FFFFFF"/>
            <w:noWrap/>
            <w:vAlign w:val="center"/>
            <w:hideMark/>
          </w:tcPr>
          <w:p w14:paraId="589FF670"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0,07%</w:t>
            </w:r>
          </w:p>
        </w:tc>
      </w:tr>
      <w:tr w:rsidR="003B5193" w:rsidRPr="00AE4E8D" w14:paraId="7C9D6AFD" w14:textId="77777777" w:rsidTr="00FA3175">
        <w:trPr>
          <w:trHeight w:val="300"/>
          <w:jc w:val="center"/>
        </w:trPr>
        <w:tc>
          <w:tcPr>
            <w:tcW w:w="1214" w:type="pct"/>
            <w:shd w:val="clear" w:color="auto" w:fill="FFFFFF"/>
            <w:vAlign w:val="center"/>
            <w:hideMark/>
          </w:tcPr>
          <w:p w14:paraId="126C3520"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Total</w:t>
            </w:r>
          </w:p>
        </w:tc>
        <w:tc>
          <w:tcPr>
            <w:tcW w:w="610" w:type="pct"/>
            <w:tcBorders>
              <w:top w:val="single" w:sz="4" w:space="0" w:color="auto"/>
              <w:left w:val="nil"/>
              <w:bottom w:val="nil"/>
              <w:right w:val="nil"/>
            </w:tcBorders>
            <w:shd w:val="clear" w:color="auto" w:fill="FFFFFF"/>
            <w:noWrap/>
            <w:vAlign w:val="center"/>
            <w:hideMark/>
          </w:tcPr>
          <w:p w14:paraId="5C3EBEFA" w14:textId="77777777" w:rsidR="00E90931" w:rsidRPr="00AE4E8D" w:rsidRDefault="00EB3492" w:rsidP="00FA3175">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lang w:val="es-ES"/>
              </w:rPr>
              <w:t>1.</w:t>
            </w:r>
            <w:r w:rsidR="00E90931" w:rsidRPr="00AE4E8D">
              <w:rPr>
                <w:rFonts w:ascii="Times New Roman" w:hAnsi="Times New Roman"/>
                <w:color w:val="000000"/>
                <w:sz w:val="16"/>
                <w:szCs w:val="16"/>
                <w:lang w:val="es-ES"/>
              </w:rPr>
              <w:t>975.231</w:t>
            </w:r>
            <w:r w:rsidR="00E90931" w:rsidRPr="00AE4E8D">
              <w:rPr>
                <w:rFonts w:ascii="Times New Roman" w:hAnsi="Times New Roman"/>
                <w:color w:val="000000"/>
                <w:sz w:val="16"/>
                <w:lang w:val="es-ES"/>
              </w:rPr>
              <w:t xml:space="preserve"> </w:t>
            </w:r>
          </w:p>
        </w:tc>
        <w:tc>
          <w:tcPr>
            <w:tcW w:w="626" w:type="pct"/>
            <w:shd w:val="clear" w:color="auto" w:fill="FFFFFF"/>
            <w:noWrap/>
            <w:vAlign w:val="center"/>
            <w:hideMark/>
          </w:tcPr>
          <w:p w14:paraId="6E31590E" w14:textId="77777777" w:rsidR="00E90931" w:rsidRPr="00AE4E8D" w:rsidRDefault="00E90931" w:rsidP="00FA3175">
            <w:pPr>
              <w:jc w:val="right"/>
              <w:rPr>
                <w:rFonts w:ascii="Times New Roman" w:hAnsi="Times New Roman"/>
                <w:color w:val="000000"/>
                <w:sz w:val="16"/>
                <w:lang w:val="es-ES"/>
              </w:rPr>
            </w:pPr>
            <w:r w:rsidRPr="00AE4E8D">
              <w:rPr>
                <w:rFonts w:ascii="Times New Roman" w:hAnsi="Times New Roman"/>
                <w:color w:val="000000"/>
                <w:sz w:val="16"/>
                <w:lang w:val="es-ES"/>
              </w:rPr>
              <w:t>0,16%</w:t>
            </w:r>
          </w:p>
        </w:tc>
        <w:tc>
          <w:tcPr>
            <w:tcW w:w="118" w:type="pct"/>
            <w:shd w:val="clear" w:color="auto" w:fill="FFFFFF"/>
            <w:noWrap/>
            <w:vAlign w:val="center"/>
            <w:hideMark/>
          </w:tcPr>
          <w:p w14:paraId="76325EED"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tcBorders>
              <w:top w:val="single" w:sz="4" w:space="0" w:color="auto"/>
              <w:left w:val="nil"/>
              <w:bottom w:val="nil"/>
              <w:right w:val="nil"/>
            </w:tcBorders>
            <w:shd w:val="clear" w:color="auto" w:fill="FFFFFF"/>
            <w:noWrap/>
            <w:vAlign w:val="center"/>
            <w:hideMark/>
          </w:tcPr>
          <w:p w14:paraId="05709938"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1.838.801 </w:t>
            </w:r>
          </w:p>
        </w:tc>
        <w:tc>
          <w:tcPr>
            <w:tcW w:w="548" w:type="pct"/>
            <w:shd w:val="clear" w:color="auto" w:fill="FFFFFF"/>
            <w:noWrap/>
            <w:vAlign w:val="center"/>
            <w:hideMark/>
          </w:tcPr>
          <w:p w14:paraId="4BB2BB35"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0,16%</w:t>
            </w:r>
          </w:p>
        </w:tc>
        <w:tc>
          <w:tcPr>
            <w:tcW w:w="118" w:type="pct"/>
            <w:shd w:val="clear" w:color="auto" w:fill="FFFFFF"/>
            <w:noWrap/>
            <w:vAlign w:val="center"/>
            <w:hideMark/>
          </w:tcPr>
          <w:p w14:paraId="22C4AD22"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tcBorders>
              <w:top w:val="single" w:sz="4" w:space="0" w:color="auto"/>
              <w:left w:val="nil"/>
              <w:bottom w:val="nil"/>
              <w:right w:val="nil"/>
            </w:tcBorders>
            <w:shd w:val="clear" w:color="auto" w:fill="FFFFFF"/>
            <w:noWrap/>
            <w:vAlign w:val="center"/>
            <w:hideMark/>
          </w:tcPr>
          <w:p w14:paraId="6E32B2C3"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1.175.203 </w:t>
            </w:r>
          </w:p>
        </w:tc>
        <w:tc>
          <w:tcPr>
            <w:tcW w:w="546" w:type="pct"/>
            <w:tcBorders>
              <w:top w:val="single" w:sz="4" w:space="0" w:color="auto"/>
              <w:left w:val="nil"/>
              <w:bottom w:val="nil"/>
              <w:right w:val="nil"/>
            </w:tcBorders>
            <w:shd w:val="clear" w:color="auto" w:fill="FFFFFF"/>
            <w:noWrap/>
            <w:vAlign w:val="center"/>
            <w:hideMark/>
          </w:tcPr>
          <w:p w14:paraId="2A00D2A2"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0,17%</w:t>
            </w:r>
          </w:p>
        </w:tc>
      </w:tr>
      <w:tr w:rsidR="003B5193" w:rsidRPr="00AE4E8D" w14:paraId="16659056" w14:textId="77777777" w:rsidTr="00FA3175">
        <w:trPr>
          <w:trHeight w:val="300"/>
          <w:jc w:val="center"/>
        </w:trPr>
        <w:tc>
          <w:tcPr>
            <w:tcW w:w="1214" w:type="pct"/>
            <w:shd w:val="clear" w:color="auto" w:fill="FFFFFF"/>
            <w:vAlign w:val="center"/>
            <w:hideMark/>
          </w:tcPr>
          <w:p w14:paraId="3E1E5975"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Cuentas Corrientes</w:t>
            </w:r>
          </w:p>
        </w:tc>
        <w:tc>
          <w:tcPr>
            <w:tcW w:w="610" w:type="pct"/>
            <w:shd w:val="clear" w:color="auto" w:fill="FFFFFF"/>
            <w:noWrap/>
            <w:vAlign w:val="center"/>
            <w:hideMark/>
          </w:tcPr>
          <w:p w14:paraId="2D5AA68F"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26" w:type="pct"/>
            <w:shd w:val="clear" w:color="auto" w:fill="FFFFFF"/>
            <w:noWrap/>
            <w:vAlign w:val="center"/>
            <w:hideMark/>
          </w:tcPr>
          <w:p w14:paraId="09B4999D"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7075D175"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72F162E5"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548" w:type="pct"/>
            <w:shd w:val="clear" w:color="auto" w:fill="FFFFFF"/>
            <w:noWrap/>
            <w:vAlign w:val="center"/>
            <w:hideMark/>
          </w:tcPr>
          <w:p w14:paraId="316BF2E3"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1551C682"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7D392D1C"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546" w:type="pct"/>
            <w:shd w:val="clear" w:color="auto" w:fill="FFFFFF"/>
            <w:noWrap/>
            <w:vAlign w:val="center"/>
            <w:hideMark/>
          </w:tcPr>
          <w:p w14:paraId="15847ABE"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r>
      <w:tr w:rsidR="003B5193" w:rsidRPr="00AE4E8D" w14:paraId="62A726E4" w14:textId="77777777" w:rsidTr="00FA3175">
        <w:trPr>
          <w:trHeight w:val="300"/>
          <w:jc w:val="center"/>
        </w:trPr>
        <w:tc>
          <w:tcPr>
            <w:tcW w:w="1214" w:type="pct"/>
            <w:shd w:val="clear" w:color="auto" w:fill="FFFFFF"/>
            <w:vAlign w:val="center"/>
            <w:hideMark/>
          </w:tcPr>
          <w:p w14:paraId="515EE764"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Pesos </w:t>
            </w:r>
          </w:p>
        </w:tc>
        <w:tc>
          <w:tcPr>
            <w:tcW w:w="610" w:type="pct"/>
            <w:shd w:val="clear" w:color="auto" w:fill="FFFFFF"/>
            <w:noWrap/>
            <w:vAlign w:val="center"/>
            <w:hideMark/>
          </w:tcPr>
          <w:p w14:paraId="40DFD15A" w14:textId="77777777" w:rsidR="00E90931" w:rsidRPr="00AE4E8D" w:rsidRDefault="00FA3175"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131.806 </w:t>
            </w:r>
          </w:p>
        </w:tc>
        <w:tc>
          <w:tcPr>
            <w:tcW w:w="626" w:type="pct"/>
            <w:shd w:val="clear" w:color="auto" w:fill="FFFFFF"/>
            <w:noWrap/>
            <w:vAlign w:val="center"/>
            <w:hideMark/>
          </w:tcPr>
          <w:p w14:paraId="656F445B"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0,00%</w:t>
            </w:r>
          </w:p>
        </w:tc>
        <w:tc>
          <w:tcPr>
            <w:tcW w:w="118" w:type="pct"/>
            <w:shd w:val="clear" w:color="auto" w:fill="FFFFFF"/>
            <w:noWrap/>
            <w:vAlign w:val="center"/>
            <w:hideMark/>
          </w:tcPr>
          <w:p w14:paraId="789E4F04"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6C4A453C"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1.467.849 </w:t>
            </w:r>
          </w:p>
        </w:tc>
        <w:tc>
          <w:tcPr>
            <w:tcW w:w="548" w:type="pct"/>
            <w:shd w:val="clear" w:color="auto" w:fill="FFFFFF"/>
            <w:noWrap/>
            <w:vAlign w:val="center"/>
            <w:hideMark/>
          </w:tcPr>
          <w:p w14:paraId="784F0781"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0,00%</w:t>
            </w:r>
          </w:p>
        </w:tc>
        <w:tc>
          <w:tcPr>
            <w:tcW w:w="118" w:type="pct"/>
            <w:shd w:val="clear" w:color="auto" w:fill="FFFFFF"/>
            <w:noWrap/>
            <w:vAlign w:val="center"/>
            <w:hideMark/>
          </w:tcPr>
          <w:p w14:paraId="0ADFD1AF"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477BD6C1"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1.035.083 </w:t>
            </w:r>
          </w:p>
        </w:tc>
        <w:tc>
          <w:tcPr>
            <w:tcW w:w="546" w:type="pct"/>
            <w:shd w:val="clear" w:color="auto" w:fill="FFFFFF"/>
            <w:noWrap/>
            <w:vAlign w:val="center"/>
            <w:hideMark/>
          </w:tcPr>
          <w:p w14:paraId="74EA7C15"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0,00%</w:t>
            </w:r>
          </w:p>
        </w:tc>
      </w:tr>
      <w:tr w:rsidR="003B5193" w:rsidRPr="00AE4E8D" w14:paraId="3A5B7998" w14:textId="77777777" w:rsidTr="00FA3175">
        <w:trPr>
          <w:trHeight w:val="300"/>
          <w:jc w:val="center"/>
        </w:trPr>
        <w:tc>
          <w:tcPr>
            <w:tcW w:w="1214" w:type="pct"/>
            <w:shd w:val="clear" w:color="auto" w:fill="FFFFFF"/>
            <w:vAlign w:val="center"/>
            <w:hideMark/>
          </w:tcPr>
          <w:p w14:paraId="418BDD02"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Dólares Est. </w:t>
            </w:r>
          </w:p>
        </w:tc>
        <w:tc>
          <w:tcPr>
            <w:tcW w:w="610" w:type="pct"/>
            <w:shd w:val="clear" w:color="auto" w:fill="FFFFFF"/>
            <w:noWrap/>
            <w:vAlign w:val="center"/>
            <w:hideMark/>
          </w:tcPr>
          <w:p w14:paraId="2DAA69F3" w14:textId="77777777" w:rsidR="00E90931" w:rsidRPr="00AE4E8D" w:rsidRDefault="00FA3175"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w:t>
            </w:r>
          </w:p>
        </w:tc>
        <w:tc>
          <w:tcPr>
            <w:tcW w:w="626" w:type="pct"/>
            <w:shd w:val="clear" w:color="auto" w:fill="FFFFFF"/>
            <w:noWrap/>
            <w:vAlign w:val="center"/>
            <w:hideMark/>
          </w:tcPr>
          <w:p w14:paraId="7DAF490B"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48922CEC"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2AD23260" w14:textId="77777777" w:rsidR="00E90931" w:rsidRPr="00AE4E8D" w:rsidRDefault="00FA3175"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w:t>
            </w:r>
          </w:p>
        </w:tc>
        <w:tc>
          <w:tcPr>
            <w:tcW w:w="548" w:type="pct"/>
            <w:shd w:val="clear" w:color="auto" w:fill="FFFFFF"/>
            <w:noWrap/>
            <w:vAlign w:val="center"/>
            <w:hideMark/>
          </w:tcPr>
          <w:p w14:paraId="5CE36224"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1A38F40B"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15F7123B" w14:textId="77777777" w:rsidR="00E90931" w:rsidRPr="00AE4E8D" w:rsidRDefault="00FA3175"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w:t>
            </w:r>
          </w:p>
        </w:tc>
        <w:tc>
          <w:tcPr>
            <w:tcW w:w="546" w:type="pct"/>
            <w:shd w:val="clear" w:color="auto" w:fill="FFFFFF"/>
            <w:noWrap/>
            <w:vAlign w:val="center"/>
            <w:hideMark/>
          </w:tcPr>
          <w:p w14:paraId="428318CE"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r>
      <w:tr w:rsidR="003B5193" w:rsidRPr="00AE4E8D" w14:paraId="737B9E56" w14:textId="77777777" w:rsidTr="00FA3175">
        <w:trPr>
          <w:trHeight w:val="300"/>
          <w:jc w:val="center"/>
        </w:trPr>
        <w:tc>
          <w:tcPr>
            <w:tcW w:w="1214" w:type="pct"/>
            <w:shd w:val="clear" w:color="auto" w:fill="FFFFFF"/>
            <w:vAlign w:val="center"/>
            <w:hideMark/>
          </w:tcPr>
          <w:p w14:paraId="62547F21"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Total</w:t>
            </w:r>
          </w:p>
        </w:tc>
        <w:tc>
          <w:tcPr>
            <w:tcW w:w="610" w:type="pct"/>
            <w:tcBorders>
              <w:top w:val="single" w:sz="4" w:space="0" w:color="auto"/>
              <w:left w:val="nil"/>
              <w:bottom w:val="nil"/>
              <w:right w:val="nil"/>
            </w:tcBorders>
            <w:shd w:val="clear" w:color="auto" w:fill="FFFFFF"/>
            <w:noWrap/>
            <w:vAlign w:val="center"/>
            <w:hideMark/>
          </w:tcPr>
          <w:p w14:paraId="5E9DF6B1" w14:textId="77777777" w:rsidR="00E90931" w:rsidRPr="00AE4E8D" w:rsidRDefault="00FA3175"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131.806</w:t>
            </w:r>
          </w:p>
        </w:tc>
        <w:tc>
          <w:tcPr>
            <w:tcW w:w="626" w:type="pct"/>
            <w:tcBorders>
              <w:top w:val="single" w:sz="4" w:space="0" w:color="auto"/>
              <w:left w:val="nil"/>
              <w:bottom w:val="nil"/>
              <w:right w:val="nil"/>
            </w:tcBorders>
            <w:shd w:val="clear" w:color="auto" w:fill="FFFFFF"/>
            <w:noWrap/>
            <w:vAlign w:val="center"/>
            <w:hideMark/>
          </w:tcPr>
          <w:p w14:paraId="6D0DDF1B"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0,00%</w:t>
            </w:r>
          </w:p>
        </w:tc>
        <w:tc>
          <w:tcPr>
            <w:tcW w:w="118" w:type="pct"/>
            <w:shd w:val="clear" w:color="auto" w:fill="FFFFFF"/>
            <w:noWrap/>
            <w:vAlign w:val="center"/>
            <w:hideMark/>
          </w:tcPr>
          <w:p w14:paraId="483503D9"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tcBorders>
              <w:top w:val="single" w:sz="4" w:space="0" w:color="auto"/>
              <w:left w:val="nil"/>
              <w:bottom w:val="nil"/>
              <w:right w:val="nil"/>
            </w:tcBorders>
            <w:shd w:val="clear" w:color="auto" w:fill="FFFFFF"/>
            <w:noWrap/>
            <w:vAlign w:val="center"/>
            <w:hideMark/>
          </w:tcPr>
          <w:p w14:paraId="34E16B2F"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1.467.849 </w:t>
            </w:r>
          </w:p>
        </w:tc>
        <w:tc>
          <w:tcPr>
            <w:tcW w:w="548" w:type="pct"/>
            <w:tcBorders>
              <w:top w:val="single" w:sz="4" w:space="0" w:color="auto"/>
              <w:left w:val="nil"/>
              <w:bottom w:val="nil"/>
              <w:right w:val="nil"/>
            </w:tcBorders>
            <w:shd w:val="clear" w:color="auto" w:fill="FFFFFF"/>
            <w:noWrap/>
            <w:vAlign w:val="center"/>
            <w:hideMark/>
          </w:tcPr>
          <w:p w14:paraId="46D9AB43"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0,00%</w:t>
            </w:r>
          </w:p>
        </w:tc>
        <w:tc>
          <w:tcPr>
            <w:tcW w:w="118" w:type="pct"/>
            <w:shd w:val="clear" w:color="auto" w:fill="FFFFFF"/>
            <w:noWrap/>
            <w:vAlign w:val="center"/>
            <w:hideMark/>
          </w:tcPr>
          <w:p w14:paraId="278C043B"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tcBorders>
              <w:top w:val="single" w:sz="4" w:space="0" w:color="auto"/>
              <w:left w:val="nil"/>
              <w:bottom w:val="nil"/>
              <w:right w:val="nil"/>
            </w:tcBorders>
            <w:shd w:val="clear" w:color="auto" w:fill="FFFFFF"/>
            <w:noWrap/>
            <w:vAlign w:val="center"/>
            <w:hideMark/>
          </w:tcPr>
          <w:p w14:paraId="418B0B93"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1.035.083 </w:t>
            </w:r>
          </w:p>
        </w:tc>
        <w:tc>
          <w:tcPr>
            <w:tcW w:w="546" w:type="pct"/>
            <w:tcBorders>
              <w:top w:val="single" w:sz="4" w:space="0" w:color="auto"/>
              <w:left w:val="nil"/>
              <w:bottom w:val="nil"/>
              <w:right w:val="nil"/>
            </w:tcBorders>
            <w:shd w:val="clear" w:color="auto" w:fill="FFFFFF"/>
            <w:noWrap/>
            <w:vAlign w:val="center"/>
            <w:hideMark/>
          </w:tcPr>
          <w:p w14:paraId="0E47CC77"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0,00%</w:t>
            </w:r>
          </w:p>
        </w:tc>
      </w:tr>
      <w:tr w:rsidR="003B5193" w:rsidRPr="00AE4E8D" w14:paraId="5DC650A0" w14:textId="77777777" w:rsidTr="00FA3175">
        <w:trPr>
          <w:trHeight w:val="300"/>
          <w:jc w:val="center"/>
        </w:trPr>
        <w:tc>
          <w:tcPr>
            <w:tcW w:w="1214" w:type="pct"/>
            <w:shd w:val="clear" w:color="auto" w:fill="FFFFFF"/>
            <w:vAlign w:val="center"/>
            <w:hideMark/>
          </w:tcPr>
          <w:p w14:paraId="6876306B"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Plazo Fijo</w:t>
            </w:r>
          </w:p>
        </w:tc>
        <w:tc>
          <w:tcPr>
            <w:tcW w:w="610" w:type="pct"/>
            <w:shd w:val="clear" w:color="auto" w:fill="FFFFFF"/>
            <w:noWrap/>
            <w:vAlign w:val="center"/>
            <w:hideMark/>
          </w:tcPr>
          <w:p w14:paraId="192C575C"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26" w:type="pct"/>
            <w:shd w:val="clear" w:color="auto" w:fill="FFFFFF"/>
            <w:noWrap/>
            <w:vAlign w:val="center"/>
            <w:hideMark/>
          </w:tcPr>
          <w:p w14:paraId="552019C5"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4B8980FE"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752675B9"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548" w:type="pct"/>
            <w:shd w:val="clear" w:color="auto" w:fill="FFFFFF"/>
            <w:noWrap/>
            <w:vAlign w:val="center"/>
            <w:hideMark/>
          </w:tcPr>
          <w:p w14:paraId="5F7F3829"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2E9A63C6"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73F26577"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546" w:type="pct"/>
            <w:shd w:val="clear" w:color="auto" w:fill="FFFFFF"/>
            <w:noWrap/>
            <w:vAlign w:val="center"/>
            <w:hideMark/>
          </w:tcPr>
          <w:p w14:paraId="352B6B76"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r>
      <w:tr w:rsidR="003B5193" w:rsidRPr="00AE4E8D" w14:paraId="74258D55" w14:textId="77777777" w:rsidTr="00FA3175">
        <w:trPr>
          <w:trHeight w:val="300"/>
          <w:jc w:val="center"/>
        </w:trPr>
        <w:tc>
          <w:tcPr>
            <w:tcW w:w="1214" w:type="pct"/>
            <w:shd w:val="clear" w:color="auto" w:fill="FFFFFF"/>
            <w:vAlign w:val="center"/>
            <w:hideMark/>
          </w:tcPr>
          <w:p w14:paraId="1C100443"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Pesos </w:t>
            </w:r>
          </w:p>
        </w:tc>
        <w:tc>
          <w:tcPr>
            <w:tcW w:w="610" w:type="pct"/>
            <w:shd w:val="clear" w:color="auto" w:fill="FFFFFF"/>
            <w:noWrap/>
            <w:vAlign w:val="center"/>
            <w:hideMark/>
          </w:tcPr>
          <w:p w14:paraId="2D8034AA" w14:textId="77777777" w:rsidR="00E90931" w:rsidRPr="00AE4E8D" w:rsidRDefault="00EB3492" w:rsidP="00FA3175">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13.709.320</w:t>
            </w:r>
            <w:r w:rsidR="00E90931" w:rsidRPr="00AE4E8D">
              <w:rPr>
                <w:rFonts w:ascii="Times New Roman" w:hAnsi="Times New Roman"/>
                <w:color w:val="000000"/>
                <w:sz w:val="16"/>
                <w:lang w:val="es-ES"/>
              </w:rPr>
              <w:t xml:space="preserve"> </w:t>
            </w:r>
          </w:p>
        </w:tc>
        <w:tc>
          <w:tcPr>
            <w:tcW w:w="626" w:type="pct"/>
            <w:shd w:val="clear" w:color="auto" w:fill="FFFFFF"/>
            <w:noWrap/>
            <w:vAlign w:val="center"/>
            <w:hideMark/>
          </w:tcPr>
          <w:p w14:paraId="2A712BAF" w14:textId="77777777" w:rsidR="00E90931" w:rsidRPr="00AE4E8D" w:rsidRDefault="00CE1483" w:rsidP="00FA3175">
            <w:pPr>
              <w:jc w:val="right"/>
              <w:rPr>
                <w:rFonts w:ascii="Times New Roman" w:hAnsi="Times New Roman"/>
                <w:color w:val="000000"/>
                <w:sz w:val="16"/>
                <w:lang w:val="es-ES"/>
              </w:rPr>
            </w:pPr>
            <w:r>
              <w:rPr>
                <w:rFonts w:ascii="Times New Roman" w:hAnsi="Times New Roman"/>
                <w:color w:val="000000"/>
                <w:sz w:val="16"/>
                <w:lang w:val="es-ES"/>
              </w:rPr>
              <w:t>24,09</w:t>
            </w:r>
            <w:r w:rsidR="00E90931" w:rsidRPr="00AE4E8D">
              <w:rPr>
                <w:rFonts w:ascii="Times New Roman" w:hAnsi="Times New Roman"/>
                <w:color w:val="000000"/>
                <w:sz w:val="16"/>
                <w:lang w:val="es-ES"/>
              </w:rPr>
              <w:t>%</w:t>
            </w:r>
          </w:p>
        </w:tc>
        <w:tc>
          <w:tcPr>
            <w:tcW w:w="118" w:type="pct"/>
            <w:shd w:val="clear" w:color="auto" w:fill="FFFFFF"/>
            <w:noWrap/>
            <w:vAlign w:val="center"/>
            <w:hideMark/>
          </w:tcPr>
          <w:p w14:paraId="52A5AED1"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39306463"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11.625.856 </w:t>
            </w:r>
          </w:p>
        </w:tc>
        <w:tc>
          <w:tcPr>
            <w:tcW w:w="548" w:type="pct"/>
            <w:shd w:val="clear" w:color="auto" w:fill="FFFFFF"/>
            <w:noWrap/>
            <w:vAlign w:val="center"/>
            <w:hideMark/>
          </w:tcPr>
          <w:p w14:paraId="1088095A"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19,76%</w:t>
            </w:r>
          </w:p>
        </w:tc>
        <w:tc>
          <w:tcPr>
            <w:tcW w:w="118" w:type="pct"/>
            <w:shd w:val="clear" w:color="auto" w:fill="FFFFFF"/>
            <w:noWrap/>
            <w:vAlign w:val="center"/>
            <w:hideMark/>
          </w:tcPr>
          <w:p w14:paraId="4DDB7DF0"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787B3B86"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8.413.502 </w:t>
            </w:r>
          </w:p>
        </w:tc>
        <w:tc>
          <w:tcPr>
            <w:tcW w:w="546" w:type="pct"/>
            <w:shd w:val="clear" w:color="auto" w:fill="FFFFFF"/>
            <w:noWrap/>
            <w:vAlign w:val="center"/>
            <w:hideMark/>
          </w:tcPr>
          <w:p w14:paraId="2AA76DA1"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19,62%</w:t>
            </w:r>
          </w:p>
        </w:tc>
      </w:tr>
      <w:tr w:rsidR="003B5193" w:rsidRPr="00AE4E8D" w14:paraId="21736F65" w14:textId="77777777" w:rsidTr="00FA3175">
        <w:trPr>
          <w:trHeight w:val="300"/>
          <w:jc w:val="center"/>
        </w:trPr>
        <w:tc>
          <w:tcPr>
            <w:tcW w:w="1214" w:type="pct"/>
            <w:shd w:val="clear" w:color="auto" w:fill="FFFFFF"/>
            <w:vAlign w:val="center"/>
            <w:hideMark/>
          </w:tcPr>
          <w:p w14:paraId="5FABD988"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Dólares Est. </w:t>
            </w:r>
          </w:p>
        </w:tc>
        <w:tc>
          <w:tcPr>
            <w:tcW w:w="610" w:type="pct"/>
            <w:shd w:val="clear" w:color="auto" w:fill="FFFFFF"/>
            <w:noWrap/>
            <w:vAlign w:val="center"/>
            <w:hideMark/>
          </w:tcPr>
          <w:p w14:paraId="5EC526B9" w14:textId="77777777" w:rsidR="00E90931" w:rsidRPr="00AE4E8D" w:rsidRDefault="00EB3492" w:rsidP="00FA3175">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2.168.920</w:t>
            </w:r>
            <w:r w:rsidR="00E90931" w:rsidRPr="00AE4E8D">
              <w:rPr>
                <w:rFonts w:ascii="Times New Roman" w:hAnsi="Times New Roman"/>
                <w:color w:val="000000"/>
                <w:sz w:val="16"/>
                <w:lang w:val="es-ES"/>
              </w:rPr>
              <w:t xml:space="preserve"> </w:t>
            </w:r>
          </w:p>
        </w:tc>
        <w:tc>
          <w:tcPr>
            <w:tcW w:w="626" w:type="pct"/>
            <w:tcBorders>
              <w:top w:val="nil"/>
              <w:left w:val="nil"/>
              <w:bottom w:val="single" w:sz="4" w:space="0" w:color="auto"/>
              <w:right w:val="nil"/>
            </w:tcBorders>
            <w:shd w:val="clear" w:color="auto" w:fill="FFFFFF"/>
            <w:noWrap/>
            <w:vAlign w:val="center"/>
            <w:hideMark/>
          </w:tcPr>
          <w:p w14:paraId="4C6B6BC3" w14:textId="77777777" w:rsidR="00E90931" w:rsidRPr="00AE4E8D" w:rsidRDefault="00CE1483" w:rsidP="00FA3175">
            <w:pPr>
              <w:jc w:val="right"/>
              <w:rPr>
                <w:rFonts w:ascii="Times New Roman" w:hAnsi="Times New Roman"/>
                <w:color w:val="000000"/>
                <w:sz w:val="16"/>
                <w:lang w:val="es-ES"/>
              </w:rPr>
            </w:pPr>
            <w:r>
              <w:rPr>
                <w:rFonts w:ascii="Times New Roman" w:hAnsi="Times New Roman"/>
                <w:color w:val="000000"/>
                <w:sz w:val="16"/>
                <w:lang w:val="es-ES"/>
              </w:rPr>
              <w:t>1,71</w:t>
            </w:r>
            <w:r w:rsidR="00E90931" w:rsidRPr="00AE4E8D">
              <w:rPr>
                <w:rFonts w:ascii="Times New Roman" w:hAnsi="Times New Roman"/>
                <w:color w:val="000000"/>
                <w:sz w:val="16"/>
                <w:lang w:val="es-ES"/>
              </w:rPr>
              <w:t>%</w:t>
            </w:r>
          </w:p>
        </w:tc>
        <w:tc>
          <w:tcPr>
            <w:tcW w:w="118" w:type="pct"/>
            <w:shd w:val="clear" w:color="auto" w:fill="FFFFFF"/>
            <w:noWrap/>
            <w:vAlign w:val="center"/>
            <w:hideMark/>
          </w:tcPr>
          <w:p w14:paraId="5011E889"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5A12C1A9"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492.382 </w:t>
            </w:r>
          </w:p>
        </w:tc>
        <w:tc>
          <w:tcPr>
            <w:tcW w:w="548" w:type="pct"/>
            <w:tcBorders>
              <w:top w:val="nil"/>
              <w:left w:val="nil"/>
              <w:bottom w:val="single" w:sz="4" w:space="0" w:color="auto"/>
              <w:right w:val="nil"/>
            </w:tcBorders>
            <w:shd w:val="clear" w:color="auto" w:fill="FFFFFF"/>
            <w:noWrap/>
            <w:vAlign w:val="center"/>
            <w:hideMark/>
          </w:tcPr>
          <w:p w14:paraId="1C9C4DD5"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0,67%</w:t>
            </w:r>
          </w:p>
        </w:tc>
        <w:tc>
          <w:tcPr>
            <w:tcW w:w="118" w:type="pct"/>
            <w:shd w:val="clear" w:color="auto" w:fill="FFFFFF"/>
            <w:noWrap/>
            <w:vAlign w:val="center"/>
            <w:hideMark/>
          </w:tcPr>
          <w:p w14:paraId="3362AB43"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6B50FCBC"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707.841 </w:t>
            </w:r>
          </w:p>
        </w:tc>
        <w:tc>
          <w:tcPr>
            <w:tcW w:w="546" w:type="pct"/>
            <w:tcBorders>
              <w:top w:val="nil"/>
              <w:left w:val="nil"/>
              <w:bottom w:val="single" w:sz="4" w:space="0" w:color="auto"/>
              <w:right w:val="nil"/>
            </w:tcBorders>
            <w:shd w:val="clear" w:color="auto" w:fill="FFFFFF"/>
            <w:noWrap/>
            <w:vAlign w:val="center"/>
            <w:hideMark/>
          </w:tcPr>
          <w:p w14:paraId="1CFC9882"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1,00%</w:t>
            </w:r>
          </w:p>
        </w:tc>
      </w:tr>
      <w:tr w:rsidR="003B5193" w:rsidRPr="00AE4E8D" w14:paraId="16DB4A1E" w14:textId="77777777" w:rsidTr="00FA3175">
        <w:trPr>
          <w:trHeight w:val="300"/>
          <w:jc w:val="center"/>
        </w:trPr>
        <w:tc>
          <w:tcPr>
            <w:tcW w:w="1214" w:type="pct"/>
            <w:shd w:val="clear" w:color="auto" w:fill="FFFFFF"/>
            <w:vAlign w:val="center"/>
            <w:hideMark/>
          </w:tcPr>
          <w:p w14:paraId="64854A0F" w14:textId="77777777" w:rsidR="00E90931" w:rsidRPr="00AE4E8D" w:rsidRDefault="00EB3492"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Total</w:t>
            </w:r>
          </w:p>
        </w:tc>
        <w:tc>
          <w:tcPr>
            <w:tcW w:w="610" w:type="pct"/>
            <w:tcBorders>
              <w:top w:val="single" w:sz="4" w:space="0" w:color="auto"/>
              <w:left w:val="nil"/>
              <w:bottom w:val="nil"/>
              <w:right w:val="nil"/>
            </w:tcBorders>
            <w:shd w:val="clear" w:color="auto" w:fill="FFFFFF"/>
            <w:noWrap/>
            <w:vAlign w:val="center"/>
            <w:hideMark/>
          </w:tcPr>
          <w:p w14:paraId="68770F84" w14:textId="77777777" w:rsidR="00E90931" w:rsidRPr="00AE4E8D" w:rsidRDefault="00EB3492" w:rsidP="00FA3175">
            <w:pPr>
              <w:jc w:val="right"/>
              <w:rPr>
                <w:rFonts w:ascii="Times New Roman" w:hAnsi="Times New Roman"/>
                <w:color w:val="000000"/>
                <w:sz w:val="16"/>
                <w:lang w:val="es-ES"/>
              </w:rPr>
            </w:pPr>
            <w:r w:rsidRPr="00AE4E8D">
              <w:rPr>
                <w:rFonts w:ascii="Times New Roman" w:hAnsi="Times New Roman"/>
                <w:color w:val="000000"/>
                <w:sz w:val="16"/>
                <w:lang w:val="es-ES"/>
              </w:rPr>
              <w:t xml:space="preserve">   </w:t>
            </w: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15.878.240</w:t>
            </w:r>
            <w:r w:rsidR="00E90931" w:rsidRPr="00AE4E8D">
              <w:rPr>
                <w:rFonts w:ascii="Times New Roman" w:hAnsi="Times New Roman"/>
                <w:color w:val="000000"/>
                <w:sz w:val="16"/>
                <w:lang w:val="es-ES"/>
              </w:rPr>
              <w:t xml:space="preserve"> </w:t>
            </w:r>
          </w:p>
        </w:tc>
        <w:tc>
          <w:tcPr>
            <w:tcW w:w="626" w:type="pct"/>
            <w:shd w:val="clear" w:color="auto" w:fill="FFFFFF"/>
            <w:noWrap/>
            <w:vAlign w:val="center"/>
            <w:hideMark/>
          </w:tcPr>
          <w:p w14:paraId="3A9B34A3" w14:textId="77777777" w:rsidR="00E90931" w:rsidRPr="00AE4E8D" w:rsidRDefault="00CE1483" w:rsidP="00FA3175">
            <w:pPr>
              <w:jc w:val="right"/>
              <w:rPr>
                <w:rFonts w:ascii="Times New Roman" w:hAnsi="Times New Roman"/>
                <w:color w:val="000000"/>
                <w:sz w:val="16"/>
                <w:lang w:val="es-ES"/>
              </w:rPr>
            </w:pPr>
            <w:r>
              <w:rPr>
                <w:rFonts w:ascii="Times New Roman" w:hAnsi="Times New Roman"/>
                <w:color w:val="000000"/>
                <w:sz w:val="16"/>
                <w:lang w:val="es-ES"/>
              </w:rPr>
              <w:t>21,03</w:t>
            </w:r>
            <w:r w:rsidR="00E90931" w:rsidRPr="00AE4E8D">
              <w:rPr>
                <w:rFonts w:ascii="Times New Roman" w:hAnsi="Times New Roman"/>
                <w:color w:val="000000"/>
                <w:sz w:val="16"/>
                <w:lang w:val="es-ES"/>
              </w:rPr>
              <w:t>%</w:t>
            </w:r>
          </w:p>
        </w:tc>
        <w:tc>
          <w:tcPr>
            <w:tcW w:w="118" w:type="pct"/>
            <w:shd w:val="clear" w:color="auto" w:fill="FFFFFF"/>
            <w:noWrap/>
            <w:vAlign w:val="center"/>
            <w:hideMark/>
          </w:tcPr>
          <w:p w14:paraId="6F3F2A74"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tcBorders>
              <w:top w:val="single" w:sz="4" w:space="0" w:color="auto"/>
              <w:left w:val="nil"/>
              <w:bottom w:val="nil"/>
              <w:right w:val="nil"/>
            </w:tcBorders>
            <w:shd w:val="clear" w:color="auto" w:fill="FFFFFF"/>
            <w:noWrap/>
            <w:vAlign w:val="center"/>
            <w:hideMark/>
          </w:tcPr>
          <w:p w14:paraId="654C8ACA"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12.118.238 </w:t>
            </w:r>
          </w:p>
        </w:tc>
        <w:tc>
          <w:tcPr>
            <w:tcW w:w="548" w:type="pct"/>
            <w:shd w:val="clear" w:color="auto" w:fill="FFFFFF"/>
            <w:noWrap/>
            <w:vAlign w:val="center"/>
            <w:hideMark/>
          </w:tcPr>
          <w:p w14:paraId="447561E4"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18,98%</w:t>
            </w:r>
          </w:p>
        </w:tc>
        <w:tc>
          <w:tcPr>
            <w:tcW w:w="118" w:type="pct"/>
            <w:shd w:val="clear" w:color="auto" w:fill="FFFFFF"/>
            <w:noWrap/>
            <w:vAlign w:val="center"/>
            <w:hideMark/>
          </w:tcPr>
          <w:p w14:paraId="663940FE"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tcBorders>
              <w:top w:val="single" w:sz="4" w:space="0" w:color="auto"/>
              <w:left w:val="nil"/>
              <w:bottom w:val="nil"/>
              <w:right w:val="nil"/>
            </w:tcBorders>
            <w:shd w:val="clear" w:color="auto" w:fill="FFFFFF"/>
            <w:noWrap/>
            <w:vAlign w:val="center"/>
            <w:hideMark/>
          </w:tcPr>
          <w:p w14:paraId="3D7F2FF5"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9.121.343 </w:t>
            </w:r>
          </w:p>
        </w:tc>
        <w:tc>
          <w:tcPr>
            <w:tcW w:w="546" w:type="pct"/>
            <w:shd w:val="clear" w:color="auto" w:fill="FFFFFF"/>
            <w:noWrap/>
            <w:vAlign w:val="center"/>
            <w:hideMark/>
          </w:tcPr>
          <w:p w14:paraId="535FA21E"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18,18%</w:t>
            </w:r>
          </w:p>
        </w:tc>
      </w:tr>
      <w:tr w:rsidR="003B5193" w:rsidRPr="00AE4E8D" w14:paraId="7DBE5358" w14:textId="77777777" w:rsidTr="00FA3175">
        <w:trPr>
          <w:trHeight w:val="300"/>
          <w:jc w:val="center"/>
        </w:trPr>
        <w:tc>
          <w:tcPr>
            <w:tcW w:w="1214" w:type="pct"/>
            <w:shd w:val="clear" w:color="auto" w:fill="FFFFFF"/>
            <w:vAlign w:val="center"/>
            <w:hideMark/>
          </w:tcPr>
          <w:p w14:paraId="75B725FB" w14:textId="77777777" w:rsidR="00E90931" w:rsidRPr="00AE4E8D" w:rsidRDefault="00E90931" w:rsidP="00E90931">
            <w:pPr>
              <w:rPr>
                <w:rFonts w:ascii="Times New Roman" w:hAnsi="Times New Roman"/>
                <w:b/>
                <w:bCs/>
                <w:sz w:val="16"/>
                <w:szCs w:val="16"/>
                <w:lang w:val="es-ES"/>
              </w:rPr>
            </w:pPr>
            <w:r w:rsidRPr="00AE4E8D">
              <w:rPr>
                <w:rFonts w:ascii="Times New Roman" w:hAnsi="Times New Roman"/>
                <w:b/>
                <w:bCs/>
                <w:sz w:val="16"/>
                <w:szCs w:val="16"/>
                <w:lang w:val="es-ES"/>
              </w:rPr>
              <w:t>Promedio total de los depósitos</w:t>
            </w:r>
          </w:p>
        </w:tc>
        <w:tc>
          <w:tcPr>
            <w:tcW w:w="610" w:type="pct"/>
            <w:shd w:val="clear" w:color="auto" w:fill="FFFFFF"/>
            <w:noWrap/>
            <w:vAlign w:val="center"/>
            <w:hideMark/>
          </w:tcPr>
          <w:p w14:paraId="0E38FA29"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21.407.288 </w:t>
            </w:r>
          </w:p>
        </w:tc>
        <w:tc>
          <w:tcPr>
            <w:tcW w:w="626" w:type="pct"/>
            <w:shd w:val="clear" w:color="auto" w:fill="FFFFFF"/>
            <w:noWrap/>
            <w:vAlign w:val="center"/>
            <w:hideMark/>
          </w:tcPr>
          <w:p w14:paraId="3AE1A0A1"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7CDC20FE"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23EAAEAE"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 xml:space="preserve">18.513.204 </w:t>
            </w:r>
          </w:p>
        </w:tc>
        <w:tc>
          <w:tcPr>
            <w:tcW w:w="548" w:type="pct"/>
            <w:shd w:val="clear" w:color="auto" w:fill="FFFFFF"/>
            <w:noWrap/>
            <w:vAlign w:val="center"/>
            <w:hideMark/>
          </w:tcPr>
          <w:p w14:paraId="7D3C0D2B"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18" w:type="pct"/>
            <w:shd w:val="clear" w:color="auto" w:fill="FFFFFF"/>
            <w:noWrap/>
            <w:vAlign w:val="center"/>
            <w:hideMark/>
          </w:tcPr>
          <w:p w14:paraId="03D22129"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610" w:type="pct"/>
            <w:shd w:val="clear" w:color="auto" w:fill="FFFFFF"/>
            <w:noWrap/>
            <w:vAlign w:val="center"/>
            <w:hideMark/>
          </w:tcPr>
          <w:p w14:paraId="2F4EE329" w14:textId="77777777" w:rsidR="00E90931" w:rsidRPr="00AE4E8D" w:rsidRDefault="00EB3492"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13.844.089 </w:t>
            </w:r>
          </w:p>
        </w:tc>
        <w:tc>
          <w:tcPr>
            <w:tcW w:w="546" w:type="pct"/>
            <w:shd w:val="clear" w:color="auto" w:fill="FFFFFF"/>
            <w:noWrap/>
            <w:vAlign w:val="center"/>
            <w:hideMark/>
          </w:tcPr>
          <w:p w14:paraId="006D5764" w14:textId="77777777" w:rsidR="00E90931" w:rsidRPr="00AE4E8D" w:rsidRDefault="00E90931" w:rsidP="00FA3175">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r>
    </w:tbl>
    <w:p w14:paraId="099043C5" w14:textId="77777777" w:rsidR="00E90931" w:rsidRPr="00AE4E8D" w:rsidRDefault="00E90931" w:rsidP="00E90931">
      <w:pPr>
        <w:keepNext/>
        <w:autoSpaceDE w:val="0"/>
        <w:autoSpaceDN w:val="0"/>
        <w:adjustRightInd w:val="0"/>
        <w:rPr>
          <w:rFonts w:ascii="Times New Roman" w:eastAsia="Arial Unicode MS" w:hAnsi="Times New Roman"/>
          <w:b/>
          <w:color w:val="000000"/>
          <w:w w:val="1"/>
          <w:sz w:val="16"/>
          <w:szCs w:val="16"/>
          <w:lang w:val="es-ES" w:eastAsia="es-AR"/>
        </w:rPr>
      </w:pPr>
    </w:p>
    <w:p w14:paraId="7E8491B0" w14:textId="77777777" w:rsidR="006476E2" w:rsidRPr="00AE4E8D" w:rsidRDefault="006476E2" w:rsidP="00B52753">
      <w:pPr>
        <w:rPr>
          <w:rFonts w:ascii="Times New Roman" w:eastAsia="Arial Unicode MS" w:hAnsi="Times New Roman"/>
          <w:b/>
          <w:color w:val="000000"/>
          <w:w w:val="1"/>
          <w:lang w:val="es-ES"/>
        </w:rPr>
      </w:pPr>
    </w:p>
    <w:p w14:paraId="3ED604D3" w14:textId="77777777" w:rsidR="008A00C6" w:rsidRPr="00AE4E8D" w:rsidRDefault="008A00C6" w:rsidP="00B52753">
      <w:pPr>
        <w:rPr>
          <w:rFonts w:ascii="Times New Roman" w:eastAsia="Arial Unicode MS" w:hAnsi="Times New Roman"/>
          <w:lang w:val="es-ES"/>
        </w:rPr>
        <w:sectPr w:rsidR="008A00C6" w:rsidRPr="00AE4E8D" w:rsidSect="00B52753">
          <w:headerReference w:type="default" r:id="rId27"/>
          <w:pgSz w:w="16839" w:h="11907" w:orient="landscape"/>
          <w:pgMar w:top="1701" w:right="1418" w:bottom="1185" w:left="1418" w:header="709" w:footer="709" w:gutter="0"/>
          <w:cols w:space="720"/>
        </w:sectPr>
      </w:pPr>
    </w:p>
    <w:p w14:paraId="3383DE1B" w14:textId="77777777" w:rsidR="006476E2" w:rsidRPr="00AE4E8D" w:rsidRDefault="006476E2" w:rsidP="0008264A">
      <w:pPr>
        <w:pStyle w:val="BH2Izquierda"/>
        <w:rPr>
          <w:lang w:val="es-ES"/>
        </w:rPr>
      </w:pPr>
      <w:bookmarkStart w:id="395" w:name="_Toc495973013"/>
      <w:bookmarkStart w:id="396" w:name="_Toc495399920"/>
      <w:r w:rsidRPr="00AE4E8D">
        <w:rPr>
          <w:lang w:val="es-ES"/>
        </w:rPr>
        <w:lastRenderedPageBreak/>
        <w:t>Vencimiento de los Depósitos</w:t>
      </w:r>
      <w:bookmarkEnd w:id="395"/>
      <w:bookmarkEnd w:id="396"/>
    </w:p>
    <w:p w14:paraId="64EC8846" w14:textId="77777777" w:rsidR="00E90931" w:rsidRPr="00AE4E8D" w:rsidRDefault="006476E2" w:rsidP="00E71CBF">
      <w:pPr>
        <w:pStyle w:val="BHTexto"/>
        <w:rPr>
          <w:rFonts w:eastAsia="Arial Unicode MS"/>
          <w:b/>
          <w:color w:val="000000"/>
          <w:w w:val="1"/>
          <w:lang w:val="es-ES"/>
        </w:rPr>
      </w:pPr>
      <w:r w:rsidRPr="00AE4E8D">
        <w:rPr>
          <w:lang w:val="es-ES"/>
        </w:rPr>
        <w:t>L</w:t>
      </w:r>
      <w:r w:rsidR="00E90931" w:rsidRPr="00AE4E8D">
        <w:rPr>
          <w:lang w:val="es-ES"/>
        </w:rPr>
        <w:t>os siguientes cuadros muestran los vencimientos de nuestros depósitos a las fechas indicadas:</w:t>
      </w:r>
    </w:p>
    <w:tbl>
      <w:tblPr>
        <w:tblW w:w="5000" w:type="pct"/>
        <w:jc w:val="center"/>
        <w:tblLook w:val="00A0" w:firstRow="1" w:lastRow="0" w:firstColumn="1" w:lastColumn="0" w:noHBand="0" w:noVBand="0"/>
      </w:tblPr>
      <w:tblGrid>
        <w:gridCol w:w="1747"/>
        <w:gridCol w:w="1026"/>
        <w:gridCol w:w="1587"/>
        <w:gridCol w:w="1460"/>
        <w:gridCol w:w="937"/>
        <w:gridCol w:w="937"/>
        <w:gridCol w:w="1027"/>
      </w:tblGrid>
      <w:tr w:rsidR="00E90931" w:rsidRPr="00AE4E8D" w14:paraId="694D8CB7" w14:textId="77777777" w:rsidTr="002D2C44">
        <w:trPr>
          <w:trHeight w:val="345"/>
          <w:jc w:val="center"/>
        </w:trPr>
        <w:tc>
          <w:tcPr>
            <w:tcW w:w="1002" w:type="pct"/>
            <w:vAlign w:val="bottom"/>
          </w:tcPr>
          <w:p w14:paraId="6134D6CB" w14:textId="77777777" w:rsidR="00E90931" w:rsidRPr="00AE4E8D" w:rsidRDefault="00E90931" w:rsidP="00E90931">
            <w:pPr>
              <w:spacing w:after="200" w:line="276" w:lineRule="auto"/>
              <w:rPr>
                <w:rFonts w:ascii="Times New Roman" w:hAnsi="Times New Roman"/>
                <w:sz w:val="22"/>
                <w:lang w:val="es-ES"/>
              </w:rPr>
            </w:pPr>
          </w:p>
        </w:tc>
        <w:tc>
          <w:tcPr>
            <w:tcW w:w="3998" w:type="pct"/>
            <w:gridSpan w:val="6"/>
            <w:tcBorders>
              <w:top w:val="nil"/>
              <w:left w:val="nil"/>
              <w:bottom w:val="single" w:sz="8" w:space="0" w:color="auto"/>
              <w:right w:val="nil"/>
            </w:tcBorders>
            <w:vAlign w:val="bottom"/>
            <w:hideMark/>
          </w:tcPr>
          <w:p w14:paraId="43212321" w14:textId="77777777" w:rsidR="00E90931" w:rsidRPr="00AE4E8D" w:rsidRDefault="00E90931" w:rsidP="00E90931">
            <w:pPr>
              <w:spacing w:line="276" w:lineRule="auto"/>
              <w:jc w:val="center"/>
              <w:rPr>
                <w:rFonts w:ascii="Times New Roman" w:hAnsi="Times New Roman"/>
                <w:b/>
                <w:sz w:val="18"/>
                <w:lang w:val="es-ES"/>
              </w:rPr>
            </w:pPr>
            <w:r w:rsidRPr="00AE4E8D">
              <w:rPr>
                <w:rFonts w:ascii="Times New Roman" w:hAnsi="Times New Roman"/>
                <w:b/>
                <w:sz w:val="18"/>
                <w:lang w:val="es-ES"/>
              </w:rPr>
              <w:t>Al 31 de diciembre de 2016</w:t>
            </w:r>
          </w:p>
        </w:tc>
      </w:tr>
      <w:tr w:rsidR="00E90931" w:rsidRPr="00AE4E8D" w14:paraId="4913B945" w14:textId="77777777" w:rsidTr="000400C8">
        <w:trPr>
          <w:trHeight w:val="957"/>
          <w:jc w:val="center"/>
        </w:trPr>
        <w:tc>
          <w:tcPr>
            <w:tcW w:w="1002" w:type="pct"/>
            <w:vAlign w:val="bottom"/>
          </w:tcPr>
          <w:p w14:paraId="5F1C3F9D" w14:textId="77777777" w:rsidR="00E90931" w:rsidRPr="00AE4E8D" w:rsidRDefault="00E90931" w:rsidP="00E90931">
            <w:pPr>
              <w:spacing w:line="276" w:lineRule="auto"/>
              <w:rPr>
                <w:rFonts w:ascii="Times New Roman" w:hAnsi="Times New Roman"/>
                <w:sz w:val="22"/>
                <w:lang w:val="es-ES"/>
              </w:rPr>
            </w:pPr>
          </w:p>
        </w:tc>
        <w:tc>
          <w:tcPr>
            <w:tcW w:w="588" w:type="pct"/>
            <w:tcBorders>
              <w:top w:val="nil"/>
              <w:left w:val="nil"/>
              <w:bottom w:val="single" w:sz="8" w:space="0" w:color="auto"/>
              <w:right w:val="nil"/>
            </w:tcBorders>
            <w:vAlign w:val="center"/>
            <w:hideMark/>
          </w:tcPr>
          <w:p w14:paraId="59C162E5" w14:textId="77777777" w:rsidR="00E90931" w:rsidRPr="00AE4E8D" w:rsidRDefault="00E90931" w:rsidP="00E90931">
            <w:pPr>
              <w:spacing w:line="276" w:lineRule="auto"/>
              <w:jc w:val="center"/>
              <w:rPr>
                <w:rFonts w:ascii="Times New Roman" w:hAnsi="Times New Roman"/>
                <w:b/>
                <w:sz w:val="18"/>
                <w:lang w:val="es-ES"/>
              </w:rPr>
            </w:pPr>
            <w:r w:rsidRPr="00AE4E8D">
              <w:rPr>
                <w:rFonts w:ascii="Times New Roman" w:hAnsi="Times New Roman"/>
                <w:b/>
                <w:sz w:val="18"/>
                <w:lang w:val="es-ES"/>
              </w:rPr>
              <w:t>Dentro del mes</w:t>
            </w:r>
          </w:p>
        </w:tc>
        <w:tc>
          <w:tcPr>
            <w:tcW w:w="910" w:type="pct"/>
            <w:tcBorders>
              <w:top w:val="nil"/>
              <w:left w:val="nil"/>
              <w:bottom w:val="single" w:sz="8" w:space="0" w:color="auto"/>
              <w:right w:val="nil"/>
            </w:tcBorders>
            <w:vAlign w:val="center"/>
            <w:hideMark/>
          </w:tcPr>
          <w:p w14:paraId="6AFBC481" w14:textId="77777777" w:rsidR="00E90931" w:rsidRPr="00AE4E8D" w:rsidRDefault="00E90931" w:rsidP="00E90931">
            <w:pPr>
              <w:spacing w:line="276" w:lineRule="auto"/>
              <w:jc w:val="center"/>
              <w:rPr>
                <w:rFonts w:ascii="Times New Roman" w:hAnsi="Times New Roman"/>
                <w:b/>
                <w:sz w:val="18"/>
                <w:lang w:val="es-ES"/>
              </w:rPr>
            </w:pPr>
            <w:r w:rsidRPr="00AE4E8D">
              <w:rPr>
                <w:rFonts w:ascii="Times New Roman" w:hAnsi="Times New Roman"/>
                <w:b/>
                <w:sz w:val="18"/>
                <w:lang w:val="es-ES"/>
              </w:rPr>
              <w:t>Entre los próximos 1 y 3 meses</w:t>
            </w:r>
          </w:p>
        </w:tc>
        <w:tc>
          <w:tcPr>
            <w:tcW w:w="837" w:type="pct"/>
            <w:tcBorders>
              <w:top w:val="nil"/>
              <w:left w:val="nil"/>
              <w:bottom w:val="single" w:sz="8" w:space="0" w:color="auto"/>
              <w:right w:val="nil"/>
            </w:tcBorders>
            <w:vAlign w:val="center"/>
            <w:hideMark/>
          </w:tcPr>
          <w:p w14:paraId="57AE767B" w14:textId="77777777" w:rsidR="00E90931" w:rsidRPr="00AE4E8D" w:rsidRDefault="00E90931" w:rsidP="00E90931">
            <w:pPr>
              <w:spacing w:line="276" w:lineRule="auto"/>
              <w:jc w:val="center"/>
              <w:rPr>
                <w:rFonts w:ascii="Times New Roman" w:hAnsi="Times New Roman"/>
                <w:b/>
                <w:sz w:val="18"/>
                <w:lang w:val="es-ES"/>
              </w:rPr>
            </w:pPr>
            <w:r w:rsidRPr="00AE4E8D">
              <w:rPr>
                <w:rFonts w:ascii="Times New Roman" w:hAnsi="Times New Roman"/>
                <w:b/>
                <w:sz w:val="18"/>
                <w:lang w:val="es-ES"/>
              </w:rPr>
              <w:t>Entre los próximos 3 y 6 meses</w:t>
            </w:r>
          </w:p>
        </w:tc>
        <w:tc>
          <w:tcPr>
            <w:tcW w:w="537" w:type="pct"/>
            <w:tcBorders>
              <w:top w:val="nil"/>
              <w:left w:val="nil"/>
              <w:bottom w:val="single" w:sz="8" w:space="0" w:color="auto"/>
              <w:right w:val="nil"/>
            </w:tcBorders>
            <w:vAlign w:val="center"/>
            <w:hideMark/>
          </w:tcPr>
          <w:p w14:paraId="5B0442FE" w14:textId="77777777" w:rsidR="00E90931" w:rsidRPr="00AE4E8D" w:rsidRDefault="00E90931" w:rsidP="00E90931">
            <w:pPr>
              <w:spacing w:line="276" w:lineRule="auto"/>
              <w:jc w:val="center"/>
              <w:rPr>
                <w:rFonts w:ascii="Times New Roman" w:hAnsi="Times New Roman"/>
                <w:b/>
                <w:sz w:val="18"/>
                <w:lang w:val="es-ES"/>
              </w:rPr>
            </w:pPr>
            <w:r w:rsidRPr="00AE4E8D">
              <w:rPr>
                <w:rFonts w:ascii="Times New Roman" w:hAnsi="Times New Roman"/>
                <w:b/>
                <w:sz w:val="18"/>
                <w:lang w:val="es-ES"/>
              </w:rPr>
              <w:t>Entre los próximos 6 y 12 meses</w:t>
            </w:r>
          </w:p>
        </w:tc>
        <w:tc>
          <w:tcPr>
            <w:tcW w:w="537" w:type="pct"/>
            <w:tcBorders>
              <w:top w:val="nil"/>
              <w:left w:val="nil"/>
              <w:bottom w:val="single" w:sz="8" w:space="0" w:color="auto"/>
              <w:right w:val="nil"/>
            </w:tcBorders>
            <w:vAlign w:val="center"/>
            <w:hideMark/>
          </w:tcPr>
          <w:p w14:paraId="4D8B0335" w14:textId="77777777" w:rsidR="00E90931" w:rsidRPr="00AE4E8D" w:rsidRDefault="00E90931" w:rsidP="00E90931">
            <w:pPr>
              <w:spacing w:line="276" w:lineRule="auto"/>
              <w:jc w:val="center"/>
              <w:rPr>
                <w:rFonts w:ascii="Times New Roman" w:hAnsi="Times New Roman"/>
                <w:b/>
                <w:sz w:val="18"/>
                <w:lang w:val="es-ES"/>
              </w:rPr>
            </w:pPr>
            <w:r w:rsidRPr="00AE4E8D">
              <w:rPr>
                <w:rFonts w:ascii="Times New Roman" w:hAnsi="Times New Roman"/>
                <w:b/>
                <w:sz w:val="18"/>
                <w:lang w:val="es-ES"/>
              </w:rPr>
              <w:t>Después de los próximos 12 meses</w:t>
            </w:r>
          </w:p>
        </w:tc>
        <w:tc>
          <w:tcPr>
            <w:tcW w:w="589" w:type="pct"/>
            <w:tcBorders>
              <w:top w:val="nil"/>
              <w:left w:val="nil"/>
              <w:bottom w:val="single" w:sz="8" w:space="0" w:color="auto"/>
              <w:right w:val="nil"/>
            </w:tcBorders>
            <w:vAlign w:val="center"/>
            <w:hideMark/>
          </w:tcPr>
          <w:p w14:paraId="6906E889" w14:textId="77777777" w:rsidR="00E90931" w:rsidRPr="00AE4E8D" w:rsidRDefault="00E90931" w:rsidP="00E90931">
            <w:pPr>
              <w:spacing w:line="276" w:lineRule="auto"/>
              <w:jc w:val="center"/>
              <w:rPr>
                <w:rFonts w:ascii="Times New Roman" w:hAnsi="Times New Roman"/>
                <w:b/>
                <w:sz w:val="18"/>
                <w:lang w:val="es-ES"/>
              </w:rPr>
            </w:pPr>
            <w:r w:rsidRPr="00AE4E8D">
              <w:rPr>
                <w:rFonts w:ascii="Times New Roman" w:hAnsi="Times New Roman"/>
                <w:b/>
                <w:sz w:val="18"/>
                <w:lang w:val="es-ES"/>
              </w:rPr>
              <w:t>Total</w:t>
            </w:r>
          </w:p>
        </w:tc>
      </w:tr>
      <w:tr w:rsidR="00E90931" w:rsidRPr="00AE4E8D" w14:paraId="6CF2E606" w14:textId="77777777" w:rsidTr="002D2C44">
        <w:trPr>
          <w:trHeight w:val="267"/>
          <w:jc w:val="center"/>
        </w:trPr>
        <w:tc>
          <w:tcPr>
            <w:tcW w:w="1002" w:type="pct"/>
            <w:vAlign w:val="bottom"/>
          </w:tcPr>
          <w:p w14:paraId="14B75C51" w14:textId="77777777" w:rsidR="00E90931" w:rsidRPr="00AE4E8D" w:rsidRDefault="00E90931" w:rsidP="00E90931">
            <w:pPr>
              <w:spacing w:line="276" w:lineRule="auto"/>
              <w:rPr>
                <w:rFonts w:ascii="Times New Roman" w:hAnsi="Times New Roman"/>
                <w:sz w:val="22"/>
                <w:lang w:val="es-ES"/>
              </w:rPr>
            </w:pPr>
          </w:p>
        </w:tc>
        <w:tc>
          <w:tcPr>
            <w:tcW w:w="3998" w:type="pct"/>
            <w:gridSpan w:val="6"/>
            <w:tcBorders>
              <w:top w:val="single" w:sz="8" w:space="0" w:color="auto"/>
              <w:left w:val="nil"/>
              <w:bottom w:val="nil"/>
              <w:right w:val="nil"/>
            </w:tcBorders>
            <w:vAlign w:val="bottom"/>
            <w:hideMark/>
          </w:tcPr>
          <w:p w14:paraId="595D5781" w14:textId="77777777" w:rsidR="00E90931" w:rsidRPr="00AE4E8D" w:rsidRDefault="00E90931" w:rsidP="00E90931">
            <w:pPr>
              <w:spacing w:line="276" w:lineRule="auto"/>
              <w:jc w:val="center"/>
              <w:rPr>
                <w:rFonts w:ascii="Times New Roman" w:hAnsi="Times New Roman"/>
                <w:sz w:val="18"/>
                <w:lang w:val="es-ES"/>
              </w:rPr>
            </w:pPr>
            <w:r w:rsidRPr="00AE4E8D">
              <w:rPr>
                <w:rFonts w:ascii="Times New Roman" w:hAnsi="Times New Roman"/>
                <w:sz w:val="18"/>
                <w:lang w:val="es-ES"/>
              </w:rPr>
              <w:t>(</w:t>
            </w:r>
            <w:proofErr w:type="gramStart"/>
            <w:r w:rsidRPr="00AE4E8D">
              <w:rPr>
                <w:rFonts w:ascii="Times New Roman" w:hAnsi="Times New Roman"/>
                <w:sz w:val="18"/>
                <w:lang w:val="es-ES"/>
              </w:rPr>
              <w:t>en</w:t>
            </w:r>
            <w:proofErr w:type="gramEnd"/>
            <w:r w:rsidRPr="00AE4E8D">
              <w:rPr>
                <w:rFonts w:ascii="Times New Roman" w:hAnsi="Times New Roman"/>
                <w:sz w:val="18"/>
                <w:lang w:val="es-ES"/>
              </w:rPr>
              <w:t xml:space="preserve"> miles de Ps.)</w:t>
            </w:r>
          </w:p>
        </w:tc>
      </w:tr>
      <w:tr w:rsidR="003B5193" w:rsidRPr="00AE4E8D" w14:paraId="1B7950BB" w14:textId="77777777" w:rsidTr="000400C8">
        <w:trPr>
          <w:trHeight w:val="314"/>
          <w:jc w:val="center"/>
        </w:trPr>
        <w:tc>
          <w:tcPr>
            <w:tcW w:w="1002" w:type="pct"/>
            <w:shd w:val="clear" w:color="auto" w:fill="FFFFFF"/>
            <w:vAlign w:val="center"/>
            <w:hideMark/>
          </w:tcPr>
          <w:p w14:paraId="3D6F5F2E" w14:textId="77777777" w:rsidR="00E90931" w:rsidRPr="00AE4E8D" w:rsidRDefault="00E90931" w:rsidP="00E90931">
            <w:pPr>
              <w:spacing w:line="276" w:lineRule="auto"/>
              <w:rPr>
                <w:rFonts w:ascii="Times New Roman" w:hAnsi="Times New Roman"/>
                <w:color w:val="000000"/>
                <w:sz w:val="18"/>
                <w:lang w:val="es-ES"/>
              </w:rPr>
            </w:pPr>
            <w:r w:rsidRPr="00AE4E8D">
              <w:rPr>
                <w:rFonts w:ascii="Times New Roman" w:hAnsi="Times New Roman"/>
                <w:color w:val="000000"/>
                <w:sz w:val="18"/>
                <w:lang w:val="es-ES"/>
              </w:rPr>
              <w:t>Plazo Fijo</w:t>
            </w:r>
          </w:p>
        </w:tc>
        <w:tc>
          <w:tcPr>
            <w:tcW w:w="588" w:type="pct"/>
            <w:shd w:val="clear" w:color="auto" w:fill="FFFFFF"/>
            <w:noWrap/>
            <w:vAlign w:val="bottom"/>
            <w:hideMark/>
          </w:tcPr>
          <w:p w14:paraId="74A329DF" w14:textId="77777777" w:rsidR="00E90931" w:rsidRPr="00AE4E8D" w:rsidRDefault="00E90931" w:rsidP="00E909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7.817.948</w:t>
            </w:r>
          </w:p>
        </w:tc>
        <w:tc>
          <w:tcPr>
            <w:tcW w:w="910" w:type="pct"/>
            <w:shd w:val="clear" w:color="auto" w:fill="FFFFFF"/>
            <w:noWrap/>
            <w:vAlign w:val="bottom"/>
            <w:hideMark/>
          </w:tcPr>
          <w:p w14:paraId="328A38C3" w14:textId="77777777" w:rsidR="00E90931" w:rsidRPr="00AE4E8D" w:rsidRDefault="009F52EE" w:rsidP="009F52EE">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3.951.475</w:t>
            </w:r>
          </w:p>
        </w:tc>
        <w:tc>
          <w:tcPr>
            <w:tcW w:w="837" w:type="pct"/>
            <w:shd w:val="clear" w:color="auto" w:fill="FFFFFF"/>
            <w:noWrap/>
            <w:vAlign w:val="bottom"/>
            <w:hideMark/>
          </w:tcPr>
          <w:p w14:paraId="7BB06847" w14:textId="77777777" w:rsidR="00E90931" w:rsidRPr="00AE4E8D" w:rsidRDefault="00C55B80" w:rsidP="00E909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1.877.213</w:t>
            </w:r>
          </w:p>
        </w:tc>
        <w:tc>
          <w:tcPr>
            <w:tcW w:w="537" w:type="pct"/>
            <w:shd w:val="clear" w:color="auto" w:fill="FFFFFF"/>
            <w:noWrap/>
            <w:vAlign w:val="bottom"/>
            <w:hideMark/>
          </w:tcPr>
          <w:p w14:paraId="399D6B06" w14:textId="77777777" w:rsidR="00E90931" w:rsidRPr="00AE4E8D" w:rsidRDefault="00C55B80" w:rsidP="00E909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144.886</w:t>
            </w:r>
          </w:p>
        </w:tc>
        <w:tc>
          <w:tcPr>
            <w:tcW w:w="537" w:type="pct"/>
            <w:shd w:val="clear" w:color="auto" w:fill="FFFFFF"/>
            <w:noWrap/>
            <w:vAlign w:val="bottom"/>
            <w:hideMark/>
          </w:tcPr>
          <w:p w14:paraId="671F8923" w14:textId="77777777" w:rsidR="00E90931" w:rsidRPr="00AE4E8D" w:rsidRDefault="00C55B80" w:rsidP="00E909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27.893</w:t>
            </w:r>
          </w:p>
        </w:tc>
        <w:tc>
          <w:tcPr>
            <w:tcW w:w="589" w:type="pct"/>
            <w:shd w:val="clear" w:color="auto" w:fill="FFFFFF"/>
            <w:noWrap/>
            <w:vAlign w:val="bottom"/>
            <w:hideMark/>
          </w:tcPr>
          <w:p w14:paraId="3FDCFA40" w14:textId="77777777" w:rsidR="00E90931" w:rsidRPr="00AE4E8D" w:rsidRDefault="00E90931" w:rsidP="00E909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13.819.415</w:t>
            </w:r>
          </w:p>
        </w:tc>
      </w:tr>
      <w:tr w:rsidR="005370B2" w:rsidRPr="00AE4E8D" w14:paraId="73F3BD17" w14:textId="77777777" w:rsidTr="000400C8">
        <w:trPr>
          <w:trHeight w:val="314"/>
          <w:jc w:val="center"/>
        </w:trPr>
        <w:tc>
          <w:tcPr>
            <w:tcW w:w="1002" w:type="pct"/>
            <w:shd w:val="clear" w:color="auto" w:fill="FFFFFF"/>
            <w:vAlign w:val="center"/>
            <w:hideMark/>
          </w:tcPr>
          <w:p w14:paraId="181AC37E" w14:textId="77777777" w:rsidR="005370B2" w:rsidRPr="00AE4E8D" w:rsidRDefault="005370B2" w:rsidP="00863248">
            <w:pPr>
              <w:spacing w:line="276" w:lineRule="auto"/>
              <w:rPr>
                <w:rFonts w:ascii="Times New Roman" w:hAnsi="Times New Roman"/>
                <w:color w:val="000000"/>
                <w:sz w:val="18"/>
                <w:lang w:val="es-ES"/>
              </w:rPr>
            </w:pPr>
            <w:r w:rsidRPr="00AE4E8D">
              <w:rPr>
                <w:rFonts w:ascii="Times New Roman" w:hAnsi="Times New Roman"/>
                <w:color w:val="000000"/>
                <w:sz w:val="18"/>
                <w:lang w:val="es-ES"/>
              </w:rPr>
              <w:t>Caja de Ahorro</w:t>
            </w:r>
          </w:p>
        </w:tc>
        <w:tc>
          <w:tcPr>
            <w:tcW w:w="588" w:type="pct"/>
            <w:shd w:val="clear" w:color="auto" w:fill="FFFFFF"/>
            <w:noWrap/>
            <w:vAlign w:val="bottom"/>
            <w:hideMark/>
          </w:tcPr>
          <w:p w14:paraId="55CA7D08" w14:textId="77777777" w:rsidR="005370B2" w:rsidRPr="00AE4E8D" w:rsidRDefault="005370B2"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3.611.713</w:t>
            </w:r>
          </w:p>
        </w:tc>
        <w:tc>
          <w:tcPr>
            <w:tcW w:w="910" w:type="pct"/>
            <w:shd w:val="clear" w:color="auto" w:fill="FFFFFF"/>
            <w:noWrap/>
            <w:vAlign w:val="bottom"/>
            <w:hideMark/>
          </w:tcPr>
          <w:p w14:paraId="542B87F4" w14:textId="77777777" w:rsidR="005370B2" w:rsidRPr="00AE4E8D" w:rsidRDefault="005370B2"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837" w:type="pct"/>
            <w:shd w:val="clear" w:color="auto" w:fill="FFFFFF"/>
            <w:vAlign w:val="bottom"/>
          </w:tcPr>
          <w:p w14:paraId="250B72A2" w14:textId="77777777" w:rsidR="005370B2" w:rsidRPr="00AE4E8D" w:rsidRDefault="005370B2" w:rsidP="002A5A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537" w:type="pct"/>
            <w:shd w:val="clear" w:color="auto" w:fill="FFFFFF"/>
            <w:noWrap/>
            <w:vAlign w:val="bottom"/>
          </w:tcPr>
          <w:p w14:paraId="43398645" w14:textId="77777777" w:rsidR="005370B2" w:rsidRPr="00AE4E8D" w:rsidRDefault="005370B2" w:rsidP="002A5A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537" w:type="pct"/>
            <w:shd w:val="clear" w:color="auto" w:fill="FFFFFF"/>
            <w:noWrap/>
            <w:vAlign w:val="bottom"/>
          </w:tcPr>
          <w:p w14:paraId="10E0E19B" w14:textId="77777777" w:rsidR="005370B2" w:rsidRPr="00AE4E8D" w:rsidRDefault="005370B2" w:rsidP="002A5A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589" w:type="pct"/>
            <w:shd w:val="clear" w:color="auto" w:fill="FFFFFF"/>
            <w:noWrap/>
            <w:vAlign w:val="bottom"/>
          </w:tcPr>
          <w:p w14:paraId="1E3BB74D" w14:textId="77777777" w:rsidR="005370B2" w:rsidRPr="00AE4E8D" w:rsidRDefault="005370B2" w:rsidP="00863248">
            <w:pPr>
              <w:spacing w:line="276" w:lineRule="auto"/>
              <w:jc w:val="right"/>
              <w:rPr>
                <w:rFonts w:ascii="Times New Roman" w:hAnsi="Times New Roman"/>
                <w:color w:val="000000"/>
                <w:sz w:val="18"/>
                <w:szCs w:val="18"/>
                <w:lang w:val="es-ES"/>
              </w:rPr>
            </w:pPr>
            <w:r w:rsidRPr="00AE4E8D">
              <w:rPr>
                <w:rFonts w:ascii="Times New Roman" w:hAnsi="Times New Roman"/>
                <w:color w:val="000000"/>
                <w:sz w:val="18"/>
                <w:lang w:val="es-ES"/>
              </w:rPr>
              <w:t>3.611.713</w:t>
            </w:r>
          </w:p>
        </w:tc>
      </w:tr>
      <w:tr w:rsidR="005370B2" w:rsidRPr="00AE4E8D" w14:paraId="716D7436" w14:textId="77777777" w:rsidTr="000400C8">
        <w:trPr>
          <w:trHeight w:val="314"/>
          <w:jc w:val="center"/>
        </w:trPr>
        <w:tc>
          <w:tcPr>
            <w:tcW w:w="1002" w:type="pct"/>
            <w:shd w:val="clear" w:color="auto" w:fill="FFFFFF"/>
            <w:vAlign w:val="center"/>
            <w:hideMark/>
          </w:tcPr>
          <w:p w14:paraId="68AA1D6E" w14:textId="77777777" w:rsidR="005370B2" w:rsidRPr="00AE4E8D" w:rsidRDefault="005370B2" w:rsidP="00863248">
            <w:pPr>
              <w:spacing w:line="276" w:lineRule="auto"/>
              <w:rPr>
                <w:rFonts w:ascii="Times New Roman" w:hAnsi="Times New Roman"/>
                <w:color w:val="000000"/>
                <w:sz w:val="18"/>
                <w:lang w:val="es-ES"/>
              </w:rPr>
            </w:pPr>
            <w:r w:rsidRPr="00AE4E8D">
              <w:rPr>
                <w:rFonts w:ascii="Times New Roman" w:hAnsi="Times New Roman"/>
                <w:color w:val="000000"/>
                <w:sz w:val="18"/>
                <w:lang w:val="es-ES"/>
              </w:rPr>
              <w:t>Cuentas Corrientes</w:t>
            </w:r>
          </w:p>
        </w:tc>
        <w:tc>
          <w:tcPr>
            <w:tcW w:w="588" w:type="pct"/>
            <w:shd w:val="clear" w:color="auto" w:fill="FFFFFF"/>
            <w:noWrap/>
            <w:vAlign w:val="bottom"/>
            <w:hideMark/>
          </w:tcPr>
          <w:p w14:paraId="6137EB63" w14:textId="77777777" w:rsidR="005370B2" w:rsidRPr="00AE4E8D" w:rsidRDefault="005370B2"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1.362.218</w:t>
            </w:r>
          </w:p>
        </w:tc>
        <w:tc>
          <w:tcPr>
            <w:tcW w:w="910" w:type="pct"/>
            <w:shd w:val="clear" w:color="auto" w:fill="FFFFFF"/>
            <w:noWrap/>
            <w:vAlign w:val="bottom"/>
            <w:hideMark/>
          </w:tcPr>
          <w:p w14:paraId="394E1A6B" w14:textId="77777777" w:rsidR="005370B2" w:rsidRPr="00AE4E8D" w:rsidRDefault="005370B2"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837" w:type="pct"/>
            <w:shd w:val="clear" w:color="auto" w:fill="FFFFFF"/>
            <w:vAlign w:val="bottom"/>
          </w:tcPr>
          <w:p w14:paraId="04585277" w14:textId="77777777" w:rsidR="005370B2" w:rsidRPr="00AE4E8D" w:rsidRDefault="005370B2" w:rsidP="002A5A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537" w:type="pct"/>
            <w:shd w:val="clear" w:color="auto" w:fill="FFFFFF"/>
            <w:noWrap/>
            <w:vAlign w:val="bottom"/>
          </w:tcPr>
          <w:p w14:paraId="4B605FAB" w14:textId="77777777" w:rsidR="005370B2" w:rsidRPr="00AE4E8D" w:rsidRDefault="005370B2" w:rsidP="002A5A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537" w:type="pct"/>
            <w:shd w:val="clear" w:color="auto" w:fill="FFFFFF"/>
            <w:noWrap/>
            <w:vAlign w:val="bottom"/>
          </w:tcPr>
          <w:p w14:paraId="4B43050D" w14:textId="77777777" w:rsidR="005370B2" w:rsidRPr="00AE4E8D" w:rsidRDefault="005370B2" w:rsidP="002A5A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589" w:type="pct"/>
            <w:shd w:val="clear" w:color="auto" w:fill="FFFFFF"/>
            <w:noWrap/>
            <w:vAlign w:val="bottom"/>
          </w:tcPr>
          <w:p w14:paraId="6525AD12" w14:textId="77777777" w:rsidR="005370B2" w:rsidRPr="00AE4E8D" w:rsidRDefault="005370B2" w:rsidP="00863248">
            <w:pPr>
              <w:spacing w:line="276" w:lineRule="auto"/>
              <w:jc w:val="right"/>
              <w:rPr>
                <w:rFonts w:ascii="Times New Roman" w:hAnsi="Times New Roman"/>
                <w:color w:val="000000"/>
                <w:sz w:val="18"/>
                <w:szCs w:val="18"/>
                <w:lang w:val="es-ES"/>
              </w:rPr>
            </w:pPr>
            <w:r w:rsidRPr="00AE4E8D">
              <w:rPr>
                <w:rFonts w:ascii="Times New Roman" w:hAnsi="Times New Roman"/>
                <w:color w:val="000000"/>
                <w:sz w:val="18"/>
                <w:lang w:val="es-ES"/>
              </w:rPr>
              <w:t>1.362.218</w:t>
            </w:r>
          </w:p>
        </w:tc>
      </w:tr>
      <w:tr w:rsidR="005370B2" w:rsidRPr="00AE4E8D" w14:paraId="7435C922" w14:textId="77777777" w:rsidTr="000400C8">
        <w:trPr>
          <w:trHeight w:val="314"/>
          <w:jc w:val="center"/>
        </w:trPr>
        <w:tc>
          <w:tcPr>
            <w:tcW w:w="1002" w:type="pct"/>
            <w:shd w:val="clear" w:color="auto" w:fill="FFFFFF"/>
            <w:vAlign w:val="center"/>
            <w:hideMark/>
          </w:tcPr>
          <w:p w14:paraId="0F10324F" w14:textId="77777777" w:rsidR="005370B2" w:rsidRPr="00AE4E8D" w:rsidRDefault="005370B2" w:rsidP="00863248">
            <w:pPr>
              <w:spacing w:line="276" w:lineRule="auto"/>
              <w:rPr>
                <w:rFonts w:ascii="Times New Roman" w:hAnsi="Times New Roman"/>
                <w:color w:val="000000"/>
                <w:sz w:val="18"/>
                <w:lang w:val="es-ES"/>
              </w:rPr>
            </w:pPr>
            <w:r w:rsidRPr="00AE4E8D">
              <w:rPr>
                <w:rFonts w:ascii="Times New Roman" w:hAnsi="Times New Roman"/>
                <w:color w:val="000000"/>
                <w:sz w:val="18"/>
                <w:lang w:val="es-ES"/>
              </w:rPr>
              <w:t>Otros Depósitos</w:t>
            </w:r>
          </w:p>
        </w:tc>
        <w:tc>
          <w:tcPr>
            <w:tcW w:w="588" w:type="pct"/>
            <w:tcBorders>
              <w:top w:val="nil"/>
              <w:left w:val="nil"/>
              <w:bottom w:val="single" w:sz="4" w:space="0" w:color="auto"/>
              <w:right w:val="nil"/>
            </w:tcBorders>
            <w:shd w:val="clear" w:color="auto" w:fill="FFFFFF"/>
            <w:noWrap/>
            <w:vAlign w:val="bottom"/>
            <w:hideMark/>
          </w:tcPr>
          <w:p w14:paraId="7B66A962" w14:textId="77777777" w:rsidR="005370B2" w:rsidRPr="00AE4E8D" w:rsidRDefault="005370B2"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191.646</w:t>
            </w:r>
          </w:p>
        </w:tc>
        <w:tc>
          <w:tcPr>
            <w:tcW w:w="910" w:type="pct"/>
            <w:tcBorders>
              <w:top w:val="nil"/>
              <w:left w:val="nil"/>
              <w:bottom w:val="single" w:sz="4" w:space="0" w:color="auto"/>
              <w:right w:val="nil"/>
            </w:tcBorders>
            <w:shd w:val="clear" w:color="auto" w:fill="FFFFFF"/>
            <w:noWrap/>
            <w:vAlign w:val="bottom"/>
            <w:hideMark/>
          </w:tcPr>
          <w:p w14:paraId="2C7D06A5" w14:textId="77777777" w:rsidR="005370B2" w:rsidRPr="00AE4E8D" w:rsidRDefault="005370B2"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837" w:type="pct"/>
            <w:tcBorders>
              <w:top w:val="nil"/>
              <w:left w:val="nil"/>
              <w:bottom w:val="single" w:sz="4" w:space="0" w:color="auto"/>
              <w:right w:val="nil"/>
            </w:tcBorders>
            <w:shd w:val="clear" w:color="auto" w:fill="FFFFFF"/>
            <w:vAlign w:val="bottom"/>
          </w:tcPr>
          <w:p w14:paraId="5374AD19" w14:textId="77777777" w:rsidR="005370B2" w:rsidRPr="00AE4E8D" w:rsidRDefault="005370B2" w:rsidP="002A5A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537" w:type="pct"/>
            <w:tcBorders>
              <w:top w:val="nil"/>
              <w:left w:val="nil"/>
              <w:bottom w:val="single" w:sz="4" w:space="0" w:color="auto"/>
              <w:right w:val="nil"/>
            </w:tcBorders>
            <w:shd w:val="clear" w:color="auto" w:fill="FFFFFF"/>
            <w:noWrap/>
            <w:vAlign w:val="bottom"/>
          </w:tcPr>
          <w:p w14:paraId="3E218B06" w14:textId="77777777" w:rsidR="005370B2" w:rsidRPr="00AE4E8D" w:rsidRDefault="005370B2" w:rsidP="002A5A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537" w:type="pct"/>
            <w:tcBorders>
              <w:top w:val="nil"/>
              <w:left w:val="nil"/>
              <w:bottom w:val="single" w:sz="4" w:space="0" w:color="auto"/>
              <w:right w:val="nil"/>
            </w:tcBorders>
            <w:shd w:val="clear" w:color="auto" w:fill="FFFFFF"/>
            <w:noWrap/>
            <w:vAlign w:val="bottom"/>
          </w:tcPr>
          <w:p w14:paraId="27DF3115" w14:textId="77777777" w:rsidR="005370B2" w:rsidRPr="00AE4E8D" w:rsidRDefault="005370B2" w:rsidP="002A5A31">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589" w:type="pct"/>
            <w:tcBorders>
              <w:top w:val="nil"/>
              <w:left w:val="nil"/>
              <w:bottom w:val="single" w:sz="4" w:space="0" w:color="auto"/>
              <w:right w:val="nil"/>
            </w:tcBorders>
            <w:shd w:val="clear" w:color="auto" w:fill="FFFFFF"/>
            <w:noWrap/>
            <w:vAlign w:val="bottom"/>
          </w:tcPr>
          <w:p w14:paraId="386ACC8B" w14:textId="77777777" w:rsidR="005370B2" w:rsidRPr="00AE4E8D" w:rsidRDefault="005370B2" w:rsidP="00863248">
            <w:pPr>
              <w:spacing w:line="276" w:lineRule="auto"/>
              <w:jc w:val="right"/>
              <w:rPr>
                <w:rFonts w:ascii="Times New Roman" w:hAnsi="Times New Roman"/>
                <w:color w:val="000000"/>
                <w:sz w:val="18"/>
                <w:szCs w:val="18"/>
                <w:lang w:val="es-ES"/>
              </w:rPr>
            </w:pPr>
            <w:r w:rsidRPr="00AE4E8D">
              <w:rPr>
                <w:rFonts w:ascii="Times New Roman" w:hAnsi="Times New Roman"/>
                <w:color w:val="000000"/>
                <w:sz w:val="18"/>
                <w:lang w:val="es-ES"/>
              </w:rPr>
              <w:t>191.646</w:t>
            </w:r>
          </w:p>
        </w:tc>
      </w:tr>
      <w:tr w:rsidR="002D2C44" w:rsidRPr="00AE4E8D" w14:paraId="18D8B80E" w14:textId="77777777" w:rsidTr="000400C8">
        <w:trPr>
          <w:trHeight w:val="314"/>
          <w:jc w:val="center"/>
        </w:trPr>
        <w:tc>
          <w:tcPr>
            <w:tcW w:w="1002" w:type="pct"/>
            <w:shd w:val="clear" w:color="auto" w:fill="FFFFFF"/>
            <w:vAlign w:val="center"/>
            <w:hideMark/>
          </w:tcPr>
          <w:p w14:paraId="4E7218FC" w14:textId="77777777" w:rsidR="002D2C44" w:rsidRPr="00AE4E8D" w:rsidRDefault="002D2C44" w:rsidP="00863248">
            <w:pPr>
              <w:spacing w:line="276" w:lineRule="auto"/>
              <w:rPr>
                <w:rFonts w:ascii="Times New Roman" w:hAnsi="Times New Roman"/>
                <w:color w:val="000000"/>
                <w:sz w:val="18"/>
                <w:lang w:val="es-ES"/>
              </w:rPr>
            </w:pPr>
            <w:r w:rsidRPr="00AE4E8D">
              <w:rPr>
                <w:rFonts w:ascii="Times New Roman" w:hAnsi="Times New Roman"/>
                <w:color w:val="000000"/>
                <w:sz w:val="18"/>
                <w:lang w:val="es-ES"/>
              </w:rPr>
              <w:t>Total</w:t>
            </w:r>
          </w:p>
        </w:tc>
        <w:tc>
          <w:tcPr>
            <w:tcW w:w="588" w:type="pct"/>
            <w:shd w:val="clear" w:color="auto" w:fill="FFFFFF"/>
            <w:noWrap/>
            <w:vAlign w:val="bottom"/>
            <w:hideMark/>
          </w:tcPr>
          <w:p w14:paraId="0A354A4D" w14:textId="77777777" w:rsidR="002D2C44" w:rsidRPr="00AE4E8D" w:rsidRDefault="002D2C44"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12.983.525</w:t>
            </w:r>
          </w:p>
        </w:tc>
        <w:tc>
          <w:tcPr>
            <w:tcW w:w="910" w:type="pct"/>
            <w:shd w:val="clear" w:color="auto" w:fill="FFFFFF"/>
            <w:noWrap/>
            <w:vAlign w:val="bottom"/>
            <w:hideMark/>
          </w:tcPr>
          <w:p w14:paraId="39701BC7" w14:textId="77777777" w:rsidR="002D2C44" w:rsidRPr="00AE4E8D" w:rsidRDefault="002D2C44"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3.951.475</w:t>
            </w:r>
          </w:p>
        </w:tc>
        <w:tc>
          <w:tcPr>
            <w:tcW w:w="837" w:type="pct"/>
            <w:shd w:val="clear" w:color="auto" w:fill="FFFFFF"/>
            <w:noWrap/>
            <w:vAlign w:val="bottom"/>
            <w:hideMark/>
          </w:tcPr>
          <w:p w14:paraId="1CE676CA" w14:textId="77777777" w:rsidR="002D2C44" w:rsidRPr="00AE4E8D" w:rsidRDefault="002D2C44"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1.877.213</w:t>
            </w:r>
          </w:p>
        </w:tc>
        <w:tc>
          <w:tcPr>
            <w:tcW w:w="537" w:type="pct"/>
            <w:shd w:val="clear" w:color="auto" w:fill="FFFFFF"/>
            <w:noWrap/>
            <w:vAlign w:val="bottom"/>
            <w:hideMark/>
          </w:tcPr>
          <w:p w14:paraId="5067E086" w14:textId="77777777" w:rsidR="002D2C44" w:rsidRPr="00AE4E8D" w:rsidRDefault="002D2C44"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144.886</w:t>
            </w:r>
          </w:p>
        </w:tc>
        <w:tc>
          <w:tcPr>
            <w:tcW w:w="537" w:type="pct"/>
            <w:shd w:val="clear" w:color="auto" w:fill="FFFFFF"/>
            <w:noWrap/>
            <w:vAlign w:val="bottom"/>
            <w:hideMark/>
          </w:tcPr>
          <w:p w14:paraId="3C1D56E9" w14:textId="77777777" w:rsidR="002D2C44" w:rsidRPr="00AE4E8D" w:rsidRDefault="002D2C44" w:rsidP="00863248">
            <w:pPr>
              <w:spacing w:line="276" w:lineRule="auto"/>
              <w:jc w:val="right"/>
              <w:rPr>
                <w:rFonts w:ascii="Times New Roman" w:hAnsi="Times New Roman"/>
                <w:color w:val="000000"/>
                <w:sz w:val="18"/>
                <w:lang w:val="es-ES"/>
              </w:rPr>
            </w:pPr>
            <w:r w:rsidRPr="00AE4E8D">
              <w:rPr>
                <w:rFonts w:ascii="Times New Roman" w:hAnsi="Times New Roman"/>
                <w:color w:val="000000"/>
                <w:sz w:val="18"/>
                <w:lang w:val="es-ES"/>
              </w:rPr>
              <w:t>27.893</w:t>
            </w:r>
          </w:p>
        </w:tc>
        <w:tc>
          <w:tcPr>
            <w:tcW w:w="589" w:type="pct"/>
            <w:shd w:val="clear" w:color="auto" w:fill="FFFFFF"/>
            <w:noWrap/>
            <w:vAlign w:val="bottom"/>
            <w:hideMark/>
          </w:tcPr>
          <w:p w14:paraId="4C9C0781" w14:textId="77777777" w:rsidR="002D2C44" w:rsidRPr="00AE4E8D" w:rsidRDefault="002D2C44" w:rsidP="00863248">
            <w:pPr>
              <w:spacing w:line="276" w:lineRule="auto"/>
              <w:jc w:val="right"/>
              <w:rPr>
                <w:rFonts w:ascii="Times New Roman" w:hAnsi="Times New Roman"/>
                <w:color w:val="000000"/>
                <w:sz w:val="18"/>
                <w:szCs w:val="18"/>
                <w:lang w:val="es-ES"/>
              </w:rPr>
            </w:pPr>
            <w:r w:rsidRPr="00AE4E8D">
              <w:rPr>
                <w:rFonts w:ascii="Times New Roman" w:hAnsi="Times New Roman"/>
                <w:color w:val="000000"/>
                <w:sz w:val="18"/>
                <w:lang w:val="es-ES"/>
              </w:rPr>
              <w:t>18.984.992</w:t>
            </w:r>
          </w:p>
        </w:tc>
      </w:tr>
    </w:tbl>
    <w:p w14:paraId="4D19C2E8" w14:textId="77777777" w:rsidR="00E90931" w:rsidRPr="00AE4E8D" w:rsidRDefault="00E90931" w:rsidP="0008264A">
      <w:pPr>
        <w:pStyle w:val="BH2Izquierda"/>
        <w:rPr>
          <w:lang w:val="es-ES"/>
        </w:rPr>
      </w:pPr>
      <w:bookmarkStart w:id="397" w:name="_Toc421201391"/>
      <w:bookmarkStart w:id="398" w:name="_Toc495973014"/>
      <w:bookmarkStart w:id="399" w:name="_Toc495399921"/>
      <w:r w:rsidRPr="00AE4E8D">
        <w:rPr>
          <w:lang w:val="es-ES"/>
        </w:rPr>
        <w:t>Vencimiento de los Plazos Fijos de Ps.100.000 o mayores</w:t>
      </w:r>
      <w:bookmarkEnd w:id="397"/>
      <w:bookmarkEnd w:id="398"/>
      <w:bookmarkEnd w:id="399"/>
    </w:p>
    <w:tbl>
      <w:tblPr>
        <w:tblW w:w="5000" w:type="pct"/>
        <w:tblLook w:val="00A0" w:firstRow="1" w:lastRow="0" w:firstColumn="1" w:lastColumn="0" w:noHBand="0" w:noVBand="0"/>
      </w:tblPr>
      <w:tblGrid>
        <w:gridCol w:w="1537"/>
        <w:gridCol w:w="1169"/>
        <w:gridCol w:w="190"/>
        <w:gridCol w:w="1170"/>
        <w:gridCol w:w="1193"/>
        <w:gridCol w:w="1193"/>
        <w:gridCol w:w="1193"/>
        <w:gridCol w:w="1076"/>
      </w:tblGrid>
      <w:tr w:rsidR="008635F4" w:rsidRPr="00AE4E8D" w14:paraId="7AA8D4AE" w14:textId="77777777" w:rsidTr="000400C8">
        <w:trPr>
          <w:trHeight w:val="370"/>
        </w:trPr>
        <w:tc>
          <w:tcPr>
            <w:tcW w:w="881" w:type="pct"/>
            <w:vAlign w:val="bottom"/>
          </w:tcPr>
          <w:p w14:paraId="7057259B" w14:textId="77777777" w:rsidR="008635F4" w:rsidRPr="00AE4E8D" w:rsidRDefault="008635F4" w:rsidP="00C1450C">
            <w:pPr>
              <w:spacing w:after="200" w:line="276" w:lineRule="auto"/>
              <w:rPr>
                <w:rFonts w:ascii="Times New Roman" w:hAnsi="Times New Roman"/>
                <w:sz w:val="22"/>
                <w:szCs w:val="22"/>
                <w:lang w:val="es-ES"/>
              </w:rPr>
            </w:pPr>
          </w:p>
        </w:tc>
        <w:tc>
          <w:tcPr>
            <w:tcW w:w="4119" w:type="pct"/>
            <w:gridSpan w:val="7"/>
            <w:tcBorders>
              <w:top w:val="nil"/>
              <w:left w:val="nil"/>
              <w:bottom w:val="single" w:sz="8" w:space="0" w:color="auto"/>
              <w:right w:val="nil"/>
            </w:tcBorders>
            <w:vAlign w:val="bottom"/>
            <w:hideMark/>
          </w:tcPr>
          <w:p w14:paraId="5A4A97A7" w14:textId="77777777" w:rsidR="008635F4" w:rsidRPr="00AE4E8D" w:rsidRDefault="008635F4" w:rsidP="00C1450C">
            <w:pPr>
              <w:spacing w:line="276" w:lineRule="auto"/>
              <w:jc w:val="center"/>
              <w:rPr>
                <w:rFonts w:ascii="Times New Roman" w:hAnsi="Times New Roman"/>
                <w:b/>
                <w:bCs/>
                <w:sz w:val="18"/>
                <w:szCs w:val="18"/>
                <w:lang w:val="es-ES"/>
              </w:rPr>
            </w:pPr>
            <w:r w:rsidRPr="00AE4E8D">
              <w:rPr>
                <w:rFonts w:ascii="Times New Roman" w:hAnsi="Times New Roman"/>
                <w:b/>
                <w:bCs/>
                <w:sz w:val="18"/>
                <w:szCs w:val="18"/>
                <w:lang w:val="es-ES"/>
              </w:rPr>
              <w:t>Al 31 de diciembre de 2016</w:t>
            </w:r>
          </w:p>
        </w:tc>
      </w:tr>
      <w:tr w:rsidR="008635F4" w:rsidRPr="00AE4E8D" w14:paraId="4EA77D90" w14:textId="77777777" w:rsidTr="000400C8">
        <w:trPr>
          <w:trHeight w:val="735"/>
        </w:trPr>
        <w:tc>
          <w:tcPr>
            <w:tcW w:w="881" w:type="pct"/>
            <w:vAlign w:val="bottom"/>
          </w:tcPr>
          <w:p w14:paraId="39F41072" w14:textId="77777777" w:rsidR="008635F4" w:rsidRPr="00AE4E8D" w:rsidRDefault="008635F4" w:rsidP="00C1450C">
            <w:pPr>
              <w:spacing w:line="276" w:lineRule="auto"/>
              <w:rPr>
                <w:rFonts w:ascii="Times New Roman" w:hAnsi="Times New Roman"/>
                <w:sz w:val="22"/>
                <w:szCs w:val="22"/>
                <w:lang w:val="es-ES"/>
              </w:rPr>
            </w:pPr>
          </w:p>
        </w:tc>
        <w:tc>
          <w:tcPr>
            <w:tcW w:w="779" w:type="pct"/>
            <w:gridSpan w:val="2"/>
            <w:tcBorders>
              <w:top w:val="nil"/>
              <w:left w:val="nil"/>
              <w:bottom w:val="single" w:sz="8" w:space="0" w:color="auto"/>
              <w:right w:val="nil"/>
            </w:tcBorders>
            <w:vAlign w:val="center"/>
            <w:hideMark/>
          </w:tcPr>
          <w:p w14:paraId="6327BB5B" w14:textId="77777777" w:rsidR="008635F4" w:rsidRPr="00AE4E8D" w:rsidRDefault="008635F4" w:rsidP="00C1450C">
            <w:pPr>
              <w:spacing w:line="276" w:lineRule="auto"/>
              <w:jc w:val="center"/>
              <w:rPr>
                <w:rFonts w:ascii="Times New Roman" w:hAnsi="Times New Roman"/>
                <w:b/>
                <w:bCs/>
                <w:sz w:val="18"/>
                <w:szCs w:val="18"/>
                <w:lang w:val="es-ES"/>
              </w:rPr>
            </w:pPr>
            <w:r w:rsidRPr="00AE4E8D">
              <w:rPr>
                <w:rFonts w:ascii="Times New Roman" w:hAnsi="Times New Roman"/>
                <w:b/>
                <w:bCs/>
                <w:sz w:val="18"/>
                <w:szCs w:val="18"/>
                <w:lang w:val="es-ES"/>
              </w:rPr>
              <w:t>Dentro del mes</w:t>
            </w:r>
          </w:p>
        </w:tc>
        <w:tc>
          <w:tcPr>
            <w:tcW w:w="671" w:type="pct"/>
            <w:tcBorders>
              <w:top w:val="nil"/>
              <w:left w:val="nil"/>
              <w:bottom w:val="single" w:sz="8" w:space="0" w:color="auto"/>
              <w:right w:val="nil"/>
            </w:tcBorders>
            <w:vAlign w:val="center"/>
            <w:hideMark/>
          </w:tcPr>
          <w:p w14:paraId="064B7904" w14:textId="77777777" w:rsidR="008635F4" w:rsidRPr="00AE4E8D" w:rsidRDefault="008635F4" w:rsidP="00C1450C">
            <w:pPr>
              <w:spacing w:line="276" w:lineRule="auto"/>
              <w:jc w:val="center"/>
              <w:rPr>
                <w:rFonts w:ascii="Times New Roman" w:hAnsi="Times New Roman"/>
                <w:b/>
                <w:bCs/>
                <w:sz w:val="18"/>
                <w:szCs w:val="18"/>
                <w:lang w:val="es-ES"/>
              </w:rPr>
            </w:pPr>
            <w:r w:rsidRPr="00AE4E8D">
              <w:rPr>
                <w:rFonts w:ascii="Times New Roman" w:hAnsi="Times New Roman"/>
                <w:b/>
                <w:bCs/>
                <w:sz w:val="18"/>
                <w:szCs w:val="18"/>
                <w:lang w:val="es-ES"/>
              </w:rPr>
              <w:t>Entre los próximos 1 y 3 meses</w:t>
            </w:r>
          </w:p>
        </w:tc>
        <w:tc>
          <w:tcPr>
            <w:tcW w:w="684" w:type="pct"/>
            <w:tcBorders>
              <w:top w:val="nil"/>
              <w:left w:val="nil"/>
              <w:bottom w:val="single" w:sz="8" w:space="0" w:color="auto"/>
              <w:right w:val="nil"/>
            </w:tcBorders>
            <w:vAlign w:val="center"/>
            <w:hideMark/>
          </w:tcPr>
          <w:p w14:paraId="186E3199" w14:textId="77777777" w:rsidR="008635F4" w:rsidRPr="00AE4E8D" w:rsidRDefault="008635F4" w:rsidP="00C1450C">
            <w:pPr>
              <w:spacing w:line="276" w:lineRule="auto"/>
              <w:jc w:val="center"/>
              <w:rPr>
                <w:rFonts w:ascii="Times New Roman" w:hAnsi="Times New Roman"/>
                <w:b/>
                <w:bCs/>
                <w:sz w:val="18"/>
                <w:szCs w:val="18"/>
                <w:lang w:val="es-ES"/>
              </w:rPr>
            </w:pPr>
            <w:r w:rsidRPr="00AE4E8D">
              <w:rPr>
                <w:rFonts w:ascii="Times New Roman" w:hAnsi="Times New Roman"/>
                <w:b/>
                <w:bCs/>
                <w:sz w:val="18"/>
                <w:szCs w:val="18"/>
                <w:lang w:val="es-ES"/>
              </w:rPr>
              <w:t>Entre los próximos 3 y 6 meses</w:t>
            </w:r>
          </w:p>
        </w:tc>
        <w:tc>
          <w:tcPr>
            <w:tcW w:w="684" w:type="pct"/>
            <w:tcBorders>
              <w:top w:val="nil"/>
              <w:left w:val="nil"/>
              <w:bottom w:val="single" w:sz="8" w:space="0" w:color="auto"/>
              <w:right w:val="nil"/>
            </w:tcBorders>
            <w:vAlign w:val="center"/>
            <w:hideMark/>
          </w:tcPr>
          <w:p w14:paraId="56717553" w14:textId="77777777" w:rsidR="008635F4" w:rsidRPr="00AE4E8D" w:rsidRDefault="008635F4" w:rsidP="00C1450C">
            <w:pPr>
              <w:spacing w:line="276" w:lineRule="auto"/>
              <w:jc w:val="center"/>
              <w:rPr>
                <w:rFonts w:ascii="Times New Roman" w:hAnsi="Times New Roman"/>
                <w:b/>
                <w:bCs/>
                <w:sz w:val="18"/>
                <w:szCs w:val="18"/>
                <w:lang w:val="es-ES"/>
              </w:rPr>
            </w:pPr>
            <w:r w:rsidRPr="00AE4E8D">
              <w:rPr>
                <w:rFonts w:ascii="Times New Roman" w:hAnsi="Times New Roman"/>
                <w:b/>
                <w:bCs/>
                <w:sz w:val="18"/>
                <w:szCs w:val="18"/>
                <w:lang w:val="es-ES"/>
              </w:rPr>
              <w:t>Entre los próximos 6 y 12 meses</w:t>
            </w:r>
          </w:p>
        </w:tc>
        <w:tc>
          <w:tcPr>
            <w:tcW w:w="684" w:type="pct"/>
            <w:tcBorders>
              <w:top w:val="nil"/>
              <w:left w:val="nil"/>
              <w:bottom w:val="single" w:sz="8" w:space="0" w:color="auto"/>
              <w:right w:val="nil"/>
            </w:tcBorders>
            <w:vAlign w:val="center"/>
            <w:hideMark/>
          </w:tcPr>
          <w:p w14:paraId="59AEDA93" w14:textId="77777777" w:rsidR="008635F4" w:rsidRPr="00AE4E8D" w:rsidRDefault="008635F4" w:rsidP="00C1450C">
            <w:pPr>
              <w:spacing w:line="276" w:lineRule="auto"/>
              <w:jc w:val="center"/>
              <w:rPr>
                <w:rFonts w:ascii="Times New Roman" w:hAnsi="Times New Roman"/>
                <w:b/>
                <w:bCs/>
                <w:sz w:val="18"/>
                <w:szCs w:val="18"/>
                <w:lang w:val="es-ES"/>
              </w:rPr>
            </w:pPr>
            <w:r w:rsidRPr="00AE4E8D">
              <w:rPr>
                <w:rFonts w:ascii="Times New Roman" w:hAnsi="Times New Roman"/>
                <w:b/>
                <w:bCs/>
                <w:sz w:val="18"/>
                <w:szCs w:val="18"/>
                <w:lang w:val="es-ES"/>
              </w:rPr>
              <w:t>Después de los próximos 12 meses</w:t>
            </w:r>
          </w:p>
        </w:tc>
        <w:tc>
          <w:tcPr>
            <w:tcW w:w="616" w:type="pct"/>
            <w:tcBorders>
              <w:top w:val="nil"/>
              <w:left w:val="nil"/>
              <w:bottom w:val="single" w:sz="8" w:space="0" w:color="auto"/>
              <w:right w:val="nil"/>
            </w:tcBorders>
            <w:vAlign w:val="center"/>
            <w:hideMark/>
          </w:tcPr>
          <w:p w14:paraId="2404290C" w14:textId="77777777" w:rsidR="008635F4" w:rsidRPr="00AE4E8D" w:rsidRDefault="008635F4" w:rsidP="00C1450C">
            <w:pPr>
              <w:spacing w:line="276" w:lineRule="auto"/>
              <w:jc w:val="center"/>
              <w:rPr>
                <w:rFonts w:ascii="Times New Roman" w:hAnsi="Times New Roman"/>
                <w:b/>
                <w:bCs/>
                <w:sz w:val="18"/>
                <w:szCs w:val="18"/>
                <w:lang w:val="es-ES"/>
              </w:rPr>
            </w:pPr>
            <w:r w:rsidRPr="00AE4E8D">
              <w:rPr>
                <w:rFonts w:ascii="Times New Roman" w:hAnsi="Times New Roman"/>
                <w:b/>
                <w:bCs/>
                <w:sz w:val="18"/>
                <w:szCs w:val="18"/>
                <w:lang w:val="es-ES"/>
              </w:rPr>
              <w:t>Total</w:t>
            </w:r>
          </w:p>
        </w:tc>
      </w:tr>
      <w:tr w:rsidR="008635F4" w:rsidRPr="00AE4E8D" w14:paraId="0AFAC6B2" w14:textId="77777777" w:rsidTr="000400C8">
        <w:trPr>
          <w:trHeight w:val="300"/>
        </w:trPr>
        <w:tc>
          <w:tcPr>
            <w:tcW w:w="881" w:type="pct"/>
            <w:vAlign w:val="bottom"/>
          </w:tcPr>
          <w:p w14:paraId="0A88CCBD" w14:textId="77777777" w:rsidR="008635F4" w:rsidRPr="00AE4E8D" w:rsidRDefault="008635F4" w:rsidP="00C1450C">
            <w:pPr>
              <w:spacing w:line="276" w:lineRule="auto"/>
              <w:rPr>
                <w:rFonts w:ascii="Times New Roman" w:hAnsi="Times New Roman"/>
                <w:sz w:val="22"/>
                <w:szCs w:val="22"/>
                <w:lang w:val="es-ES"/>
              </w:rPr>
            </w:pPr>
          </w:p>
        </w:tc>
        <w:tc>
          <w:tcPr>
            <w:tcW w:w="4119" w:type="pct"/>
            <w:gridSpan w:val="7"/>
            <w:tcBorders>
              <w:top w:val="single" w:sz="8" w:space="0" w:color="auto"/>
              <w:left w:val="nil"/>
              <w:bottom w:val="nil"/>
              <w:right w:val="nil"/>
            </w:tcBorders>
            <w:vAlign w:val="bottom"/>
            <w:hideMark/>
          </w:tcPr>
          <w:p w14:paraId="3D2336D1" w14:textId="77777777" w:rsidR="008635F4" w:rsidRPr="00AE4E8D" w:rsidRDefault="008635F4" w:rsidP="00C1450C">
            <w:pPr>
              <w:spacing w:line="276" w:lineRule="auto"/>
              <w:jc w:val="center"/>
              <w:rPr>
                <w:rFonts w:ascii="Times New Roman" w:hAnsi="Times New Roman"/>
                <w:sz w:val="18"/>
                <w:szCs w:val="18"/>
                <w:lang w:val="es-ES"/>
              </w:rPr>
            </w:pPr>
            <w:r w:rsidRPr="00AE4E8D">
              <w:rPr>
                <w:rFonts w:ascii="Times New Roman" w:hAnsi="Times New Roman"/>
                <w:sz w:val="18"/>
                <w:szCs w:val="18"/>
                <w:lang w:val="es-ES"/>
              </w:rPr>
              <w:t>(</w:t>
            </w:r>
            <w:proofErr w:type="gramStart"/>
            <w:r w:rsidRPr="00AE4E8D">
              <w:rPr>
                <w:rFonts w:ascii="Times New Roman" w:hAnsi="Times New Roman"/>
                <w:sz w:val="18"/>
                <w:szCs w:val="18"/>
                <w:lang w:val="es-ES"/>
              </w:rPr>
              <w:t>en</w:t>
            </w:r>
            <w:proofErr w:type="gramEnd"/>
            <w:r w:rsidRPr="00AE4E8D">
              <w:rPr>
                <w:rFonts w:ascii="Times New Roman" w:hAnsi="Times New Roman"/>
                <w:sz w:val="18"/>
                <w:szCs w:val="18"/>
                <w:lang w:val="es-ES"/>
              </w:rPr>
              <w:t xml:space="preserve"> miles de Ps.)</w:t>
            </w:r>
          </w:p>
        </w:tc>
      </w:tr>
      <w:tr w:rsidR="003B5193" w:rsidRPr="00AE4E8D" w14:paraId="70DCF263" w14:textId="77777777" w:rsidTr="00F80D63">
        <w:trPr>
          <w:trHeight w:val="192"/>
        </w:trPr>
        <w:tc>
          <w:tcPr>
            <w:tcW w:w="881" w:type="pct"/>
            <w:shd w:val="clear" w:color="auto" w:fill="FFFFFF"/>
            <w:vAlign w:val="center"/>
            <w:hideMark/>
          </w:tcPr>
          <w:p w14:paraId="51A55B2D" w14:textId="77777777" w:rsidR="008635F4" w:rsidRPr="00AE4E8D" w:rsidRDefault="008635F4" w:rsidP="002E01F1">
            <w:pPr>
              <w:spacing w:line="276" w:lineRule="auto"/>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Plazos fijos mayores a </w:t>
            </w:r>
            <w:r w:rsidR="002E01F1" w:rsidRPr="00AE4E8D">
              <w:rPr>
                <w:rFonts w:ascii="Times New Roman" w:hAnsi="Times New Roman"/>
                <w:color w:val="000000"/>
                <w:sz w:val="18"/>
                <w:szCs w:val="18"/>
                <w:lang w:val="es-ES"/>
              </w:rPr>
              <w:t>Ps.</w:t>
            </w:r>
            <w:r w:rsidRPr="00AE4E8D">
              <w:rPr>
                <w:rFonts w:ascii="Times New Roman" w:hAnsi="Times New Roman"/>
                <w:color w:val="000000"/>
                <w:sz w:val="18"/>
                <w:szCs w:val="18"/>
                <w:lang w:val="es-ES"/>
              </w:rPr>
              <w:t>100.000</w:t>
            </w:r>
          </w:p>
        </w:tc>
        <w:tc>
          <w:tcPr>
            <w:tcW w:w="670" w:type="pct"/>
            <w:tcBorders>
              <w:top w:val="nil"/>
              <w:left w:val="nil"/>
              <w:bottom w:val="single" w:sz="4" w:space="0" w:color="auto"/>
              <w:right w:val="nil"/>
            </w:tcBorders>
            <w:shd w:val="clear" w:color="auto" w:fill="FFFFFF"/>
            <w:noWrap/>
            <w:vAlign w:val="bottom"/>
            <w:hideMark/>
          </w:tcPr>
          <w:p w14:paraId="4FA7B63F" w14:textId="77777777" w:rsidR="008635F4" w:rsidRPr="00AE4E8D" w:rsidRDefault="00EB3492" w:rsidP="00C1450C">
            <w:pPr>
              <w:spacing w:line="276" w:lineRule="auto"/>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8635F4" w:rsidRPr="00AE4E8D">
              <w:rPr>
                <w:rFonts w:ascii="Times New Roman" w:hAnsi="Times New Roman"/>
                <w:color w:val="000000"/>
                <w:sz w:val="18"/>
                <w:szCs w:val="18"/>
                <w:lang w:val="es-ES"/>
              </w:rPr>
              <w:t xml:space="preserve">5.621.660 </w:t>
            </w:r>
          </w:p>
        </w:tc>
        <w:tc>
          <w:tcPr>
            <w:tcW w:w="779" w:type="pct"/>
            <w:gridSpan w:val="2"/>
            <w:tcBorders>
              <w:top w:val="nil"/>
              <w:left w:val="nil"/>
              <w:bottom w:val="single" w:sz="4" w:space="0" w:color="auto"/>
              <w:right w:val="nil"/>
            </w:tcBorders>
            <w:shd w:val="clear" w:color="auto" w:fill="FFFFFF"/>
            <w:noWrap/>
            <w:vAlign w:val="bottom"/>
            <w:hideMark/>
          </w:tcPr>
          <w:p w14:paraId="7007741D" w14:textId="77777777" w:rsidR="008635F4" w:rsidRPr="00AE4E8D" w:rsidRDefault="00EB3492" w:rsidP="00C1450C">
            <w:pPr>
              <w:spacing w:line="276" w:lineRule="auto"/>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8635F4" w:rsidRPr="00AE4E8D">
              <w:rPr>
                <w:rFonts w:ascii="Times New Roman" w:hAnsi="Times New Roman"/>
                <w:color w:val="000000"/>
                <w:sz w:val="18"/>
                <w:szCs w:val="18"/>
                <w:lang w:val="es-ES"/>
              </w:rPr>
              <w:t xml:space="preserve">3.505.259 </w:t>
            </w:r>
          </w:p>
        </w:tc>
        <w:tc>
          <w:tcPr>
            <w:tcW w:w="684" w:type="pct"/>
            <w:tcBorders>
              <w:top w:val="nil"/>
              <w:left w:val="nil"/>
              <w:bottom w:val="single" w:sz="4" w:space="0" w:color="auto"/>
              <w:right w:val="nil"/>
            </w:tcBorders>
            <w:shd w:val="clear" w:color="auto" w:fill="FFFFFF"/>
            <w:noWrap/>
            <w:vAlign w:val="bottom"/>
            <w:hideMark/>
          </w:tcPr>
          <w:p w14:paraId="68FE6595" w14:textId="77777777" w:rsidR="008635F4" w:rsidRPr="00AE4E8D" w:rsidRDefault="00EB3492" w:rsidP="00C1450C">
            <w:pPr>
              <w:spacing w:line="276" w:lineRule="auto"/>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8635F4" w:rsidRPr="00AE4E8D">
              <w:rPr>
                <w:rFonts w:ascii="Times New Roman" w:hAnsi="Times New Roman"/>
                <w:color w:val="000000"/>
                <w:sz w:val="18"/>
                <w:szCs w:val="18"/>
                <w:lang w:val="es-ES"/>
              </w:rPr>
              <w:t xml:space="preserve">1.831.908 </w:t>
            </w:r>
          </w:p>
        </w:tc>
        <w:tc>
          <w:tcPr>
            <w:tcW w:w="684" w:type="pct"/>
            <w:tcBorders>
              <w:top w:val="nil"/>
              <w:left w:val="nil"/>
              <w:bottom w:val="single" w:sz="4" w:space="0" w:color="auto"/>
              <w:right w:val="nil"/>
            </w:tcBorders>
            <w:shd w:val="clear" w:color="auto" w:fill="FFFFFF"/>
            <w:noWrap/>
            <w:vAlign w:val="bottom"/>
            <w:hideMark/>
          </w:tcPr>
          <w:p w14:paraId="028BF873" w14:textId="77777777" w:rsidR="008635F4" w:rsidRPr="00AE4E8D" w:rsidRDefault="00EB3492" w:rsidP="00C1450C">
            <w:pPr>
              <w:spacing w:line="276" w:lineRule="auto"/>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8635F4" w:rsidRPr="00AE4E8D">
              <w:rPr>
                <w:rFonts w:ascii="Times New Roman" w:hAnsi="Times New Roman"/>
                <w:color w:val="000000"/>
                <w:sz w:val="18"/>
                <w:szCs w:val="18"/>
                <w:lang w:val="es-ES"/>
              </w:rPr>
              <w:t xml:space="preserve"> 132.551 </w:t>
            </w:r>
          </w:p>
        </w:tc>
        <w:tc>
          <w:tcPr>
            <w:tcW w:w="684" w:type="pct"/>
            <w:tcBorders>
              <w:top w:val="nil"/>
              <w:left w:val="nil"/>
              <w:bottom w:val="single" w:sz="4" w:space="0" w:color="auto"/>
              <w:right w:val="nil"/>
            </w:tcBorders>
            <w:shd w:val="clear" w:color="auto" w:fill="FFFFFF"/>
            <w:noWrap/>
            <w:vAlign w:val="bottom"/>
            <w:hideMark/>
          </w:tcPr>
          <w:p w14:paraId="4EC6F5CB" w14:textId="77777777" w:rsidR="008635F4" w:rsidRPr="00AE4E8D" w:rsidRDefault="00EB3492" w:rsidP="00C1450C">
            <w:pPr>
              <w:spacing w:line="276" w:lineRule="auto"/>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8635F4" w:rsidRPr="00AE4E8D">
              <w:rPr>
                <w:rFonts w:ascii="Times New Roman" w:hAnsi="Times New Roman"/>
                <w:color w:val="000000"/>
                <w:sz w:val="18"/>
                <w:szCs w:val="18"/>
                <w:lang w:val="es-ES"/>
              </w:rPr>
              <w:t>26.255</w:t>
            </w:r>
          </w:p>
        </w:tc>
        <w:tc>
          <w:tcPr>
            <w:tcW w:w="616" w:type="pct"/>
            <w:tcBorders>
              <w:top w:val="nil"/>
              <w:left w:val="nil"/>
              <w:bottom w:val="single" w:sz="4" w:space="0" w:color="auto"/>
              <w:right w:val="nil"/>
            </w:tcBorders>
            <w:shd w:val="clear" w:color="auto" w:fill="FFFFFF"/>
            <w:noWrap/>
            <w:vAlign w:val="bottom"/>
            <w:hideMark/>
          </w:tcPr>
          <w:p w14:paraId="41D0586C" w14:textId="77777777" w:rsidR="008635F4" w:rsidRPr="00AE4E8D" w:rsidRDefault="008635F4" w:rsidP="00C1450C">
            <w:pPr>
              <w:spacing w:line="276" w:lineRule="auto"/>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11.117.633 </w:t>
            </w:r>
          </w:p>
        </w:tc>
      </w:tr>
      <w:tr w:rsidR="003B5193" w:rsidRPr="00AE4E8D" w14:paraId="4F27C367" w14:textId="77777777" w:rsidTr="00F80D63">
        <w:trPr>
          <w:trHeight w:val="255"/>
        </w:trPr>
        <w:tc>
          <w:tcPr>
            <w:tcW w:w="881" w:type="pct"/>
            <w:vAlign w:val="bottom"/>
            <w:hideMark/>
          </w:tcPr>
          <w:p w14:paraId="674BA0EC" w14:textId="77777777" w:rsidR="008635F4" w:rsidRPr="00AE4E8D" w:rsidRDefault="00EB3492" w:rsidP="00C1450C">
            <w:pPr>
              <w:spacing w:line="276" w:lineRule="auto"/>
              <w:rPr>
                <w:rFonts w:ascii="Times New Roman" w:hAnsi="Times New Roman"/>
                <w:sz w:val="18"/>
                <w:szCs w:val="18"/>
                <w:lang w:val="es-ES"/>
              </w:rPr>
            </w:pPr>
            <w:r w:rsidRPr="00AE4E8D">
              <w:rPr>
                <w:rFonts w:ascii="Times New Roman" w:hAnsi="Times New Roman"/>
                <w:sz w:val="18"/>
                <w:szCs w:val="18"/>
                <w:lang w:val="es-ES"/>
              </w:rPr>
              <w:t xml:space="preserve">  </w:t>
            </w:r>
            <w:r w:rsidR="008635F4" w:rsidRPr="00AE4E8D">
              <w:rPr>
                <w:rFonts w:ascii="Times New Roman" w:hAnsi="Times New Roman"/>
                <w:sz w:val="18"/>
                <w:szCs w:val="18"/>
                <w:lang w:val="es-ES"/>
              </w:rPr>
              <w:t xml:space="preserve"> Total</w:t>
            </w:r>
          </w:p>
        </w:tc>
        <w:tc>
          <w:tcPr>
            <w:tcW w:w="670" w:type="pct"/>
            <w:shd w:val="clear" w:color="auto" w:fill="FFFFFF"/>
            <w:noWrap/>
            <w:vAlign w:val="bottom"/>
            <w:hideMark/>
          </w:tcPr>
          <w:p w14:paraId="5B69595F" w14:textId="77777777" w:rsidR="008635F4" w:rsidRPr="00AE4E8D" w:rsidRDefault="00EB3492" w:rsidP="00C1450C">
            <w:pPr>
              <w:spacing w:line="276" w:lineRule="auto"/>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8635F4" w:rsidRPr="00AE4E8D">
              <w:rPr>
                <w:rFonts w:ascii="Times New Roman" w:hAnsi="Times New Roman"/>
                <w:color w:val="000000"/>
                <w:sz w:val="18"/>
                <w:szCs w:val="18"/>
                <w:lang w:val="es-ES"/>
              </w:rPr>
              <w:t xml:space="preserve">5.621.660 </w:t>
            </w:r>
          </w:p>
        </w:tc>
        <w:tc>
          <w:tcPr>
            <w:tcW w:w="779" w:type="pct"/>
            <w:gridSpan w:val="2"/>
            <w:shd w:val="clear" w:color="auto" w:fill="FFFFFF"/>
            <w:noWrap/>
            <w:vAlign w:val="bottom"/>
            <w:hideMark/>
          </w:tcPr>
          <w:p w14:paraId="739670F8" w14:textId="77777777" w:rsidR="008635F4" w:rsidRPr="00AE4E8D" w:rsidRDefault="00EB3492" w:rsidP="00C1450C">
            <w:pPr>
              <w:spacing w:line="276" w:lineRule="auto"/>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8635F4" w:rsidRPr="00AE4E8D">
              <w:rPr>
                <w:rFonts w:ascii="Times New Roman" w:hAnsi="Times New Roman"/>
                <w:color w:val="000000"/>
                <w:sz w:val="18"/>
                <w:szCs w:val="18"/>
                <w:lang w:val="es-ES"/>
              </w:rPr>
              <w:t>3.505.259</w:t>
            </w:r>
            <w:r w:rsidR="008635F4" w:rsidRPr="00AE4E8D">
              <w:rPr>
                <w:rFonts w:ascii="Times New Roman" w:hAnsi="Times New Roman"/>
                <w:color w:val="000000"/>
                <w:sz w:val="18"/>
                <w:lang w:val="es-ES"/>
              </w:rPr>
              <w:t xml:space="preserve"> </w:t>
            </w:r>
          </w:p>
        </w:tc>
        <w:tc>
          <w:tcPr>
            <w:tcW w:w="684" w:type="pct"/>
            <w:shd w:val="clear" w:color="auto" w:fill="FFFFFF"/>
            <w:noWrap/>
            <w:vAlign w:val="bottom"/>
            <w:hideMark/>
          </w:tcPr>
          <w:p w14:paraId="6D78C3AA" w14:textId="77777777" w:rsidR="008635F4" w:rsidRPr="00AE4E8D" w:rsidRDefault="00EB3492" w:rsidP="00C1450C">
            <w:pPr>
              <w:spacing w:line="276" w:lineRule="auto"/>
              <w:rPr>
                <w:rFonts w:ascii="Times New Roman" w:hAnsi="Times New Roman"/>
                <w:color w:val="000000"/>
                <w:sz w:val="18"/>
                <w:lang w:val="es-ES"/>
              </w:rPr>
            </w:pPr>
            <w:r w:rsidRPr="00AE4E8D">
              <w:rPr>
                <w:rFonts w:ascii="Times New Roman" w:hAnsi="Times New Roman"/>
                <w:color w:val="000000"/>
                <w:sz w:val="18"/>
                <w:lang w:val="es-ES"/>
              </w:rPr>
              <w:t xml:space="preserve">  </w:t>
            </w:r>
            <w:r w:rsidR="008635F4" w:rsidRPr="00AE4E8D">
              <w:rPr>
                <w:rFonts w:ascii="Times New Roman" w:hAnsi="Times New Roman"/>
                <w:color w:val="000000"/>
                <w:sz w:val="18"/>
                <w:szCs w:val="18"/>
                <w:lang w:val="es-ES"/>
              </w:rPr>
              <w:t xml:space="preserve">1.831.908 </w:t>
            </w:r>
          </w:p>
        </w:tc>
        <w:tc>
          <w:tcPr>
            <w:tcW w:w="684" w:type="pct"/>
            <w:shd w:val="clear" w:color="auto" w:fill="FFFFFF"/>
            <w:noWrap/>
            <w:vAlign w:val="bottom"/>
            <w:hideMark/>
          </w:tcPr>
          <w:p w14:paraId="4CF74E69" w14:textId="77777777" w:rsidR="008635F4" w:rsidRPr="00AE4E8D" w:rsidRDefault="00EB3492" w:rsidP="00C1450C">
            <w:pPr>
              <w:spacing w:line="276" w:lineRule="auto"/>
              <w:rPr>
                <w:rFonts w:ascii="Times New Roman" w:hAnsi="Times New Roman"/>
                <w:color w:val="000000"/>
                <w:sz w:val="18"/>
                <w:lang w:val="es-ES"/>
              </w:rPr>
            </w:pPr>
            <w:r w:rsidRPr="00AE4E8D">
              <w:rPr>
                <w:rFonts w:ascii="Times New Roman" w:hAnsi="Times New Roman"/>
                <w:color w:val="000000"/>
                <w:sz w:val="18"/>
                <w:lang w:val="es-ES"/>
              </w:rPr>
              <w:t xml:space="preserve">  </w:t>
            </w:r>
            <w:r w:rsidR="008635F4" w:rsidRPr="00AE4E8D">
              <w:rPr>
                <w:rFonts w:ascii="Times New Roman" w:hAnsi="Times New Roman"/>
                <w:color w:val="000000"/>
                <w:sz w:val="18"/>
                <w:lang w:val="es-ES"/>
              </w:rPr>
              <w:t xml:space="preserve"> </w:t>
            </w:r>
            <w:r w:rsidR="008635F4" w:rsidRPr="00AE4E8D">
              <w:rPr>
                <w:rFonts w:ascii="Times New Roman" w:hAnsi="Times New Roman"/>
                <w:color w:val="000000"/>
                <w:sz w:val="18"/>
                <w:szCs w:val="18"/>
                <w:lang w:val="es-ES"/>
              </w:rPr>
              <w:t>132.551</w:t>
            </w:r>
            <w:r w:rsidR="008635F4" w:rsidRPr="00AE4E8D">
              <w:rPr>
                <w:rFonts w:ascii="Times New Roman" w:hAnsi="Times New Roman"/>
                <w:color w:val="000000"/>
                <w:sz w:val="18"/>
                <w:lang w:val="es-ES"/>
              </w:rPr>
              <w:t xml:space="preserve"> </w:t>
            </w:r>
          </w:p>
        </w:tc>
        <w:tc>
          <w:tcPr>
            <w:tcW w:w="684" w:type="pct"/>
            <w:shd w:val="clear" w:color="auto" w:fill="FFFFFF"/>
            <w:noWrap/>
            <w:vAlign w:val="bottom"/>
            <w:hideMark/>
          </w:tcPr>
          <w:p w14:paraId="46880383" w14:textId="77777777" w:rsidR="008635F4" w:rsidRPr="00AE4E8D" w:rsidRDefault="00EB3492" w:rsidP="00C1450C">
            <w:pPr>
              <w:spacing w:line="276" w:lineRule="auto"/>
              <w:rPr>
                <w:rFonts w:ascii="Times New Roman" w:hAnsi="Times New Roman"/>
                <w:color w:val="000000"/>
                <w:sz w:val="18"/>
                <w:lang w:val="es-ES"/>
              </w:rPr>
            </w:pPr>
            <w:r w:rsidRPr="00AE4E8D">
              <w:rPr>
                <w:rFonts w:ascii="Times New Roman" w:hAnsi="Times New Roman"/>
                <w:color w:val="000000"/>
                <w:sz w:val="18"/>
                <w:lang w:val="es-ES"/>
              </w:rPr>
              <w:t xml:space="preserve">  </w:t>
            </w:r>
            <w:r w:rsidR="008635F4" w:rsidRPr="00AE4E8D">
              <w:rPr>
                <w:rFonts w:ascii="Times New Roman" w:hAnsi="Times New Roman"/>
                <w:color w:val="000000"/>
                <w:sz w:val="18"/>
                <w:szCs w:val="18"/>
                <w:lang w:val="es-ES"/>
              </w:rPr>
              <w:t>26.255</w:t>
            </w:r>
          </w:p>
        </w:tc>
        <w:tc>
          <w:tcPr>
            <w:tcW w:w="616" w:type="pct"/>
            <w:shd w:val="clear" w:color="auto" w:fill="FFFFFF"/>
            <w:noWrap/>
            <w:vAlign w:val="bottom"/>
            <w:hideMark/>
          </w:tcPr>
          <w:p w14:paraId="6AFB8B9C" w14:textId="77777777" w:rsidR="008635F4" w:rsidRPr="00AE4E8D" w:rsidRDefault="008635F4" w:rsidP="00C1450C">
            <w:pPr>
              <w:spacing w:line="276" w:lineRule="auto"/>
              <w:rPr>
                <w:rFonts w:ascii="Times New Roman" w:hAnsi="Times New Roman"/>
                <w:color w:val="000000"/>
                <w:sz w:val="18"/>
                <w:lang w:val="es-ES"/>
              </w:rPr>
            </w:pPr>
            <w:r w:rsidRPr="00AE4E8D">
              <w:rPr>
                <w:rFonts w:ascii="Times New Roman" w:hAnsi="Times New Roman"/>
                <w:color w:val="000000"/>
                <w:sz w:val="18"/>
                <w:szCs w:val="18"/>
                <w:lang w:val="es-ES"/>
              </w:rPr>
              <w:t>11.117.633</w:t>
            </w:r>
            <w:r w:rsidRPr="00AE4E8D">
              <w:rPr>
                <w:rFonts w:ascii="Times New Roman" w:hAnsi="Times New Roman"/>
                <w:color w:val="000000"/>
                <w:sz w:val="18"/>
                <w:lang w:val="es-ES"/>
              </w:rPr>
              <w:t xml:space="preserve"> </w:t>
            </w:r>
          </w:p>
        </w:tc>
      </w:tr>
      <w:tr w:rsidR="003B5193" w:rsidRPr="00AE4E8D" w14:paraId="710E220B" w14:textId="77777777" w:rsidTr="00F80D63">
        <w:trPr>
          <w:trHeight w:val="255"/>
        </w:trPr>
        <w:tc>
          <w:tcPr>
            <w:tcW w:w="881" w:type="pct"/>
            <w:vAlign w:val="bottom"/>
          </w:tcPr>
          <w:p w14:paraId="43801744" w14:textId="77777777" w:rsidR="005233A7" w:rsidRPr="00AE4E8D" w:rsidRDefault="005233A7" w:rsidP="00C1450C">
            <w:pPr>
              <w:spacing w:line="276" w:lineRule="auto"/>
              <w:rPr>
                <w:rFonts w:ascii="Times New Roman" w:hAnsi="Times New Roman"/>
                <w:sz w:val="18"/>
                <w:szCs w:val="18"/>
                <w:lang w:val="es-ES"/>
              </w:rPr>
            </w:pPr>
          </w:p>
        </w:tc>
        <w:tc>
          <w:tcPr>
            <w:tcW w:w="670" w:type="pct"/>
            <w:shd w:val="clear" w:color="auto" w:fill="FFFFFF"/>
            <w:noWrap/>
            <w:vAlign w:val="bottom"/>
          </w:tcPr>
          <w:p w14:paraId="2409652B" w14:textId="77777777" w:rsidR="005233A7" w:rsidRPr="00AE4E8D" w:rsidRDefault="005233A7" w:rsidP="00C1450C">
            <w:pPr>
              <w:spacing w:line="276" w:lineRule="auto"/>
              <w:rPr>
                <w:rFonts w:ascii="Times New Roman" w:hAnsi="Times New Roman"/>
                <w:color w:val="000000"/>
                <w:sz w:val="18"/>
                <w:szCs w:val="18"/>
                <w:lang w:val="es-ES"/>
              </w:rPr>
            </w:pPr>
          </w:p>
        </w:tc>
        <w:tc>
          <w:tcPr>
            <w:tcW w:w="779" w:type="pct"/>
            <w:gridSpan w:val="2"/>
            <w:shd w:val="clear" w:color="auto" w:fill="FFFFFF"/>
            <w:noWrap/>
            <w:vAlign w:val="bottom"/>
          </w:tcPr>
          <w:p w14:paraId="177AF7D1" w14:textId="77777777" w:rsidR="005233A7" w:rsidRPr="00AE4E8D" w:rsidRDefault="005233A7" w:rsidP="00C1450C">
            <w:pPr>
              <w:spacing w:line="276" w:lineRule="auto"/>
              <w:rPr>
                <w:rFonts w:ascii="Times New Roman" w:hAnsi="Times New Roman"/>
                <w:color w:val="000000"/>
                <w:sz w:val="18"/>
                <w:szCs w:val="18"/>
                <w:lang w:val="es-ES"/>
              </w:rPr>
            </w:pPr>
          </w:p>
        </w:tc>
        <w:tc>
          <w:tcPr>
            <w:tcW w:w="684" w:type="pct"/>
            <w:shd w:val="clear" w:color="auto" w:fill="FFFFFF"/>
            <w:noWrap/>
            <w:vAlign w:val="bottom"/>
          </w:tcPr>
          <w:p w14:paraId="6381D48E" w14:textId="77777777" w:rsidR="005233A7" w:rsidRPr="00AE4E8D" w:rsidRDefault="005233A7" w:rsidP="00C1450C">
            <w:pPr>
              <w:spacing w:line="276" w:lineRule="auto"/>
              <w:rPr>
                <w:rFonts w:ascii="Times New Roman" w:hAnsi="Times New Roman"/>
                <w:color w:val="000000"/>
                <w:sz w:val="18"/>
                <w:lang w:val="es-ES"/>
              </w:rPr>
            </w:pPr>
          </w:p>
        </w:tc>
        <w:tc>
          <w:tcPr>
            <w:tcW w:w="684" w:type="pct"/>
            <w:shd w:val="clear" w:color="auto" w:fill="FFFFFF"/>
            <w:noWrap/>
            <w:vAlign w:val="bottom"/>
          </w:tcPr>
          <w:p w14:paraId="06C43E4E" w14:textId="77777777" w:rsidR="005233A7" w:rsidRPr="00AE4E8D" w:rsidRDefault="005233A7" w:rsidP="00C1450C">
            <w:pPr>
              <w:spacing w:line="276" w:lineRule="auto"/>
              <w:rPr>
                <w:rFonts w:ascii="Times New Roman" w:hAnsi="Times New Roman"/>
                <w:color w:val="000000"/>
                <w:sz w:val="18"/>
                <w:lang w:val="es-ES"/>
              </w:rPr>
            </w:pPr>
          </w:p>
        </w:tc>
        <w:tc>
          <w:tcPr>
            <w:tcW w:w="684" w:type="pct"/>
            <w:shd w:val="clear" w:color="auto" w:fill="FFFFFF"/>
            <w:noWrap/>
            <w:vAlign w:val="bottom"/>
          </w:tcPr>
          <w:p w14:paraId="3196ED56" w14:textId="77777777" w:rsidR="005233A7" w:rsidRPr="00AE4E8D" w:rsidRDefault="005233A7" w:rsidP="00C1450C">
            <w:pPr>
              <w:spacing w:line="276" w:lineRule="auto"/>
              <w:rPr>
                <w:rFonts w:ascii="Times New Roman" w:hAnsi="Times New Roman"/>
                <w:color w:val="000000"/>
                <w:sz w:val="18"/>
                <w:lang w:val="es-ES"/>
              </w:rPr>
            </w:pPr>
          </w:p>
        </w:tc>
        <w:tc>
          <w:tcPr>
            <w:tcW w:w="616" w:type="pct"/>
            <w:shd w:val="clear" w:color="auto" w:fill="FFFFFF"/>
            <w:noWrap/>
            <w:vAlign w:val="bottom"/>
          </w:tcPr>
          <w:p w14:paraId="061BBC29" w14:textId="77777777" w:rsidR="005233A7" w:rsidRPr="00AE4E8D" w:rsidRDefault="005233A7" w:rsidP="00C1450C">
            <w:pPr>
              <w:spacing w:line="276" w:lineRule="auto"/>
              <w:rPr>
                <w:rFonts w:ascii="Times New Roman" w:hAnsi="Times New Roman"/>
                <w:color w:val="000000"/>
                <w:sz w:val="18"/>
                <w:szCs w:val="18"/>
                <w:lang w:val="es-ES"/>
              </w:rPr>
            </w:pPr>
          </w:p>
        </w:tc>
      </w:tr>
    </w:tbl>
    <w:p w14:paraId="463D0631" w14:textId="77777777" w:rsidR="00E90931" w:rsidRPr="00AE4E8D" w:rsidRDefault="00E90931" w:rsidP="0008264A">
      <w:pPr>
        <w:pStyle w:val="BH2Izquierda"/>
        <w:rPr>
          <w:lang w:val="es-ES"/>
        </w:rPr>
      </w:pPr>
      <w:bookmarkStart w:id="400" w:name="_Toc421201392"/>
      <w:bookmarkStart w:id="401" w:name="_Toc495973015"/>
      <w:bookmarkStart w:id="402" w:name="_Toc495399922"/>
      <w:r w:rsidRPr="00AE4E8D">
        <w:rPr>
          <w:lang w:val="es-ES"/>
        </w:rPr>
        <w:t>Préstamos de Corto Plazo</w:t>
      </w:r>
      <w:bookmarkEnd w:id="400"/>
      <w:bookmarkEnd w:id="401"/>
      <w:bookmarkEnd w:id="402"/>
    </w:p>
    <w:p w14:paraId="2E236BEE" w14:textId="77777777" w:rsidR="00E90931" w:rsidRPr="00AE4E8D" w:rsidRDefault="00E90931" w:rsidP="00E71CBF">
      <w:pPr>
        <w:pStyle w:val="BHTexto"/>
        <w:rPr>
          <w:lang w:val="es-ES"/>
        </w:rPr>
      </w:pPr>
      <w:r w:rsidRPr="00AE4E8D">
        <w:rPr>
          <w:lang w:val="es-ES"/>
        </w:rPr>
        <w:t>El siguiente cuadro muestra un detalle de nuestros préstamos de corto plazo para los períodos indicados.</w:t>
      </w:r>
    </w:p>
    <w:tbl>
      <w:tblPr>
        <w:tblW w:w="5000" w:type="pct"/>
        <w:jc w:val="center"/>
        <w:tblLook w:val="00A0" w:firstRow="1" w:lastRow="0" w:firstColumn="1" w:lastColumn="0" w:noHBand="0" w:noVBand="0"/>
      </w:tblPr>
      <w:tblGrid>
        <w:gridCol w:w="3852"/>
        <w:gridCol w:w="1807"/>
        <w:gridCol w:w="1294"/>
        <w:gridCol w:w="1294"/>
        <w:gridCol w:w="474"/>
      </w:tblGrid>
      <w:tr w:rsidR="00B86C83" w:rsidRPr="00AE4E8D" w14:paraId="6C3A581A" w14:textId="77777777" w:rsidTr="000400C8">
        <w:trPr>
          <w:trHeight w:val="255"/>
          <w:jc w:val="center"/>
        </w:trPr>
        <w:tc>
          <w:tcPr>
            <w:tcW w:w="2208" w:type="pct"/>
            <w:shd w:val="clear" w:color="auto" w:fill="FFFFFF"/>
            <w:noWrap/>
            <w:vAlign w:val="bottom"/>
            <w:hideMark/>
          </w:tcPr>
          <w:p w14:paraId="1FF0530B"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2519" w:type="pct"/>
            <w:gridSpan w:val="3"/>
            <w:tcBorders>
              <w:top w:val="nil"/>
              <w:left w:val="nil"/>
              <w:bottom w:val="single" w:sz="4" w:space="0" w:color="auto"/>
              <w:right w:val="nil"/>
            </w:tcBorders>
            <w:shd w:val="clear" w:color="auto" w:fill="FFFFFF"/>
            <w:noWrap/>
            <w:vAlign w:val="bottom"/>
            <w:hideMark/>
          </w:tcPr>
          <w:p w14:paraId="61AE8EB5"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Al 31 de diciembre de</w:t>
            </w:r>
          </w:p>
        </w:tc>
        <w:tc>
          <w:tcPr>
            <w:tcW w:w="273" w:type="pct"/>
            <w:shd w:val="clear" w:color="auto" w:fill="FFFFFF"/>
            <w:noWrap/>
            <w:vAlign w:val="bottom"/>
            <w:hideMark/>
          </w:tcPr>
          <w:p w14:paraId="00A59B10"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7BF4C4EE" w14:textId="77777777" w:rsidTr="00F80D63">
        <w:trPr>
          <w:trHeight w:val="255"/>
          <w:jc w:val="center"/>
        </w:trPr>
        <w:tc>
          <w:tcPr>
            <w:tcW w:w="2208" w:type="pct"/>
            <w:shd w:val="clear" w:color="auto" w:fill="FFFFFF"/>
            <w:noWrap/>
            <w:vAlign w:val="bottom"/>
            <w:hideMark/>
          </w:tcPr>
          <w:p w14:paraId="1552CC7E"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036" w:type="pct"/>
            <w:tcBorders>
              <w:top w:val="single" w:sz="4" w:space="0" w:color="auto"/>
              <w:left w:val="nil"/>
              <w:bottom w:val="single" w:sz="4" w:space="0" w:color="auto"/>
              <w:right w:val="nil"/>
            </w:tcBorders>
            <w:shd w:val="clear" w:color="auto" w:fill="FFFFFF"/>
            <w:noWrap/>
            <w:vAlign w:val="bottom"/>
            <w:hideMark/>
          </w:tcPr>
          <w:p w14:paraId="247BC422"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2016</w:t>
            </w:r>
          </w:p>
        </w:tc>
        <w:tc>
          <w:tcPr>
            <w:tcW w:w="742" w:type="pct"/>
            <w:tcBorders>
              <w:top w:val="single" w:sz="4" w:space="0" w:color="auto"/>
              <w:left w:val="nil"/>
              <w:bottom w:val="single" w:sz="4" w:space="0" w:color="auto"/>
              <w:right w:val="nil"/>
            </w:tcBorders>
            <w:shd w:val="clear" w:color="auto" w:fill="FFFFFF"/>
            <w:noWrap/>
            <w:vAlign w:val="bottom"/>
            <w:hideMark/>
          </w:tcPr>
          <w:p w14:paraId="3B201555"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bCs/>
                <w:sz w:val="16"/>
                <w:szCs w:val="16"/>
                <w:lang w:val="es-ES"/>
              </w:rPr>
              <w:t>2015</w:t>
            </w:r>
          </w:p>
        </w:tc>
        <w:tc>
          <w:tcPr>
            <w:tcW w:w="742" w:type="pct"/>
            <w:tcBorders>
              <w:top w:val="single" w:sz="4" w:space="0" w:color="auto"/>
              <w:left w:val="nil"/>
              <w:bottom w:val="single" w:sz="4" w:space="0" w:color="auto"/>
              <w:right w:val="nil"/>
            </w:tcBorders>
            <w:shd w:val="clear" w:color="auto" w:fill="FFFFFF"/>
            <w:noWrap/>
            <w:vAlign w:val="bottom"/>
            <w:hideMark/>
          </w:tcPr>
          <w:p w14:paraId="58DF3492" w14:textId="77777777" w:rsidR="00E90931" w:rsidRPr="00AE4E8D" w:rsidRDefault="00E90931" w:rsidP="00E90931">
            <w:pPr>
              <w:jc w:val="center"/>
              <w:rPr>
                <w:rFonts w:ascii="Times New Roman" w:hAnsi="Times New Roman"/>
                <w:b/>
                <w:bCs/>
                <w:sz w:val="16"/>
                <w:szCs w:val="16"/>
                <w:lang w:val="es-ES"/>
              </w:rPr>
            </w:pPr>
            <w:r w:rsidRPr="00AE4E8D">
              <w:rPr>
                <w:rFonts w:ascii="Times New Roman" w:hAnsi="Times New Roman"/>
                <w:b/>
                <w:sz w:val="16"/>
                <w:lang w:val="es-ES"/>
              </w:rPr>
              <w:t>2014</w:t>
            </w:r>
          </w:p>
        </w:tc>
        <w:tc>
          <w:tcPr>
            <w:tcW w:w="273" w:type="pct"/>
            <w:shd w:val="clear" w:color="auto" w:fill="FFFFFF"/>
            <w:noWrap/>
            <w:vAlign w:val="bottom"/>
            <w:hideMark/>
          </w:tcPr>
          <w:p w14:paraId="05F0A4F3"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4FFEC49D" w14:textId="77777777" w:rsidTr="00F80D63">
        <w:trPr>
          <w:trHeight w:val="255"/>
          <w:jc w:val="center"/>
        </w:trPr>
        <w:tc>
          <w:tcPr>
            <w:tcW w:w="2208" w:type="pct"/>
            <w:shd w:val="clear" w:color="auto" w:fill="FFFFFF"/>
            <w:noWrap/>
            <w:vAlign w:val="bottom"/>
            <w:hideMark/>
          </w:tcPr>
          <w:p w14:paraId="7833E9AD" w14:textId="77777777" w:rsidR="00E90931" w:rsidRPr="00AE4E8D" w:rsidRDefault="00E90931" w:rsidP="00E90931">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Depósitos</w:t>
            </w:r>
          </w:p>
        </w:tc>
        <w:tc>
          <w:tcPr>
            <w:tcW w:w="1036" w:type="pct"/>
            <w:shd w:val="clear" w:color="auto" w:fill="FFFFFF"/>
            <w:noWrap/>
            <w:vAlign w:val="bottom"/>
            <w:hideMark/>
          </w:tcPr>
          <w:p w14:paraId="7A987E91"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742" w:type="pct"/>
            <w:shd w:val="clear" w:color="auto" w:fill="FFFFFF"/>
            <w:noWrap/>
            <w:vAlign w:val="bottom"/>
            <w:hideMark/>
          </w:tcPr>
          <w:p w14:paraId="473C7018"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742" w:type="pct"/>
            <w:shd w:val="clear" w:color="auto" w:fill="FFFFFF"/>
            <w:noWrap/>
            <w:vAlign w:val="bottom"/>
            <w:hideMark/>
          </w:tcPr>
          <w:p w14:paraId="74A52673"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273" w:type="pct"/>
            <w:shd w:val="clear" w:color="auto" w:fill="FFFFFF"/>
            <w:noWrap/>
            <w:vAlign w:val="bottom"/>
            <w:hideMark/>
          </w:tcPr>
          <w:p w14:paraId="7EC112E5"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2F3EB1C4" w14:textId="77777777" w:rsidTr="00F80D63">
        <w:trPr>
          <w:trHeight w:val="255"/>
          <w:jc w:val="center"/>
        </w:trPr>
        <w:tc>
          <w:tcPr>
            <w:tcW w:w="2208" w:type="pct"/>
            <w:shd w:val="clear" w:color="auto" w:fill="FFFFFF"/>
            <w:noWrap/>
            <w:vAlign w:val="bottom"/>
            <w:hideMark/>
          </w:tcPr>
          <w:p w14:paraId="7BC9AAC0"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Saldos promedios del período</w:t>
            </w:r>
          </w:p>
        </w:tc>
        <w:tc>
          <w:tcPr>
            <w:tcW w:w="1036" w:type="pct"/>
            <w:shd w:val="clear" w:color="auto" w:fill="FFFFFF"/>
            <w:noWrap/>
            <w:vAlign w:val="bottom"/>
            <w:hideMark/>
          </w:tcPr>
          <w:p w14:paraId="02A8814A" w14:textId="77777777" w:rsidR="00E90931" w:rsidRPr="00AE4E8D" w:rsidRDefault="00FA3175"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22.393.329 </w:t>
            </w:r>
          </w:p>
        </w:tc>
        <w:tc>
          <w:tcPr>
            <w:tcW w:w="742" w:type="pct"/>
            <w:shd w:val="clear" w:color="auto" w:fill="FFFFFF"/>
            <w:noWrap/>
            <w:vAlign w:val="bottom"/>
            <w:hideMark/>
          </w:tcPr>
          <w:p w14:paraId="157498FA"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22.426.561 </w:t>
            </w:r>
          </w:p>
        </w:tc>
        <w:tc>
          <w:tcPr>
            <w:tcW w:w="742" w:type="pct"/>
            <w:shd w:val="clear" w:color="auto" w:fill="FFFFFF"/>
            <w:noWrap/>
            <w:vAlign w:val="bottom"/>
            <w:hideMark/>
          </w:tcPr>
          <w:p w14:paraId="351D5EED"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13.844.756 </w:t>
            </w:r>
          </w:p>
        </w:tc>
        <w:tc>
          <w:tcPr>
            <w:tcW w:w="273" w:type="pct"/>
            <w:shd w:val="clear" w:color="auto" w:fill="FFFFFF"/>
            <w:noWrap/>
            <w:vAlign w:val="bottom"/>
            <w:hideMark/>
          </w:tcPr>
          <w:p w14:paraId="42CF8C1B"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3C5C9095" w14:textId="77777777" w:rsidTr="00F80D63">
        <w:trPr>
          <w:trHeight w:val="255"/>
          <w:jc w:val="center"/>
        </w:trPr>
        <w:tc>
          <w:tcPr>
            <w:tcW w:w="2208" w:type="pct"/>
            <w:shd w:val="clear" w:color="auto" w:fill="FFFFFF"/>
            <w:noWrap/>
            <w:vAlign w:val="bottom"/>
            <w:hideMark/>
          </w:tcPr>
          <w:p w14:paraId="13366A66"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Saldos máximos al cierre de cada mes</w:t>
            </w:r>
          </w:p>
        </w:tc>
        <w:tc>
          <w:tcPr>
            <w:tcW w:w="1036" w:type="pct"/>
            <w:shd w:val="clear" w:color="auto" w:fill="FFFFFF"/>
            <w:noWrap/>
            <w:vAlign w:val="bottom"/>
            <w:hideMark/>
          </w:tcPr>
          <w:p w14:paraId="299C7564" w14:textId="77777777" w:rsidR="00E90931" w:rsidRPr="00AE4E8D" w:rsidRDefault="00FA3175" w:rsidP="00E90931">
            <w:pPr>
              <w:jc w:val="right"/>
              <w:rPr>
                <w:rFonts w:ascii="Times New Roman" w:hAnsi="Times New Roman"/>
                <w:color w:val="000000"/>
                <w:sz w:val="16"/>
                <w:szCs w:val="16"/>
                <w:lang w:val="es-ES"/>
              </w:rPr>
            </w:pPr>
            <w:r w:rsidRPr="00AE4E8D">
              <w:rPr>
                <w:rFonts w:ascii="Times New Roman" w:hAnsi="Times New Roman"/>
                <w:color w:val="000000"/>
                <w:sz w:val="16"/>
                <w:lang w:val="es-ES"/>
              </w:rPr>
              <w:t xml:space="preserve"> </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21.407.288 </w:t>
            </w:r>
          </w:p>
        </w:tc>
        <w:tc>
          <w:tcPr>
            <w:tcW w:w="742" w:type="pct"/>
            <w:shd w:val="clear" w:color="auto" w:fill="FFFFFF"/>
            <w:noWrap/>
            <w:vAlign w:val="bottom"/>
            <w:hideMark/>
          </w:tcPr>
          <w:p w14:paraId="725048DA"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 xml:space="preserve">18.513.793 </w:t>
            </w:r>
          </w:p>
        </w:tc>
        <w:tc>
          <w:tcPr>
            <w:tcW w:w="742" w:type="pct"/>
            <w:shd w:val="clear" w:color="auto" w:fill="FFFFFF"/>
            <w:noWrap/>
            <w:vAlign w:val="bottom"/>
            <w:hideMark/>
          </w:tcPr>
          <w:p w14:paraId="0D07D6FF"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18.204.808 </w:t>
            </w:r>
          </w:p>
        </w:tc>
        <w:tc>
          <w:tcPr>
            <w:tcW w:w="273" w:type="pct"/>
            <w:shd w:val="clear" w:color="auto" w:fill="FFFFFF"/>
            <w:noWrap/>
            <w:vAlign w:val="bottom"/>
            <w:hideMark/>
          </w:tcPr>
          <w:p w14:paraId="00CFBB99"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w:t>
            </w:r>
          </w:p>
        </w:tc>
      </w:tr>
      <w:tr w:rsidR="003B5193" w:rsidRPr="00AE4E8D" w14:paraId="6566423F" w14:textId="77777777" w:rsidTr="00F80D63">
        <w:trPr>
          <w:trHeight w:val="255"/>
          <w:jc w:val="center"/>
        </w:trPr>
        <w:tc>
          <w:tcPr>
            <w:tcW w:w="2208" w:type="pct"/>
            <w:shd w:val="clear" w:color="auto" w:fill="FFFFFF"/>
            <w:noWrap/>
            <w:vAlign w:val="bottom"/>
            <w:hideMark/>
          </w:tcPr>
          <w:p w14:paraId="46238038"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Tasa de </w:t>
            </w:r>
            <w:r w:rsidR="00F80D63" w:rsidRPr="00AE4E8D">
              <w:rPr>
                <w:rFonts w:ascii="Times New Roman" w:hAnsi="Times New Roman"/>
                <w:color w:val="000000"/>
                <w:sz w:val="16"/>
                <w:szCs w:val="16"/>
                <w:lang w:val="es-ES"/>
              </w:rPr>
              <w:t>interés</w:t>
            </w:r>
            <w:r w:rsidRPr="00AE4E8D">
              <w:rPr>
                <w:rFonts w:ascii="Times New Roman" w:hAnsi="Times New Roman"/>
                <w:color w:val="000000"/>
                <w:sz w:val="16"/>
                <w:szCs w:val="16"/>
                <w:lang w:val="es-ES"/>
              </w:rPr>
              <w:t xml:space="preserve"> promedio ponderado de período</w:t>
            </w:r>
          </w:p>
        </w:tc>
        <w:tc>
          <w:tcPr>
            <w:tcW w:w="1036" w:type="pct"/>
            <w:shd w:val="clear" w:color="auto" w:fill="FFFFFF"/>
            <w:noWrap/>
            <w:vAlign w:val="bottom"/>
            <w:hideMark/>
          </w:tcPr>
          <w:p w14:paraId="5AFAAC59"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18,59%</w:t>
            </w:r>
          </w:p>
        </w:tc>
        <w:tc>
          <w:tcPr>
            <w:tcW w:w="742" w:type="pct"/>
            <w:shd w:val="clear" w:color="auto" w:fill="FFFFFF"/>
            <w:noWrap/>
            <w:vAlign w:val="bottom"/>
            <w:hideMark/>
          </w:tcPr>
          <w:p w14:paraId="5DB2C186"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16,50%</w:t>
            </w:r>
          </w:p>
        </w:tc>
        <w:tc>
          <w:tcPr>
            <w:tcW w:w="742" w:type="pct"/>
            <w:shd w:val="clear" w:color="auto" w:fill="FFFFFF"/>
            <w:noWrap/>
            <w:vAlign w:val="bottom"/>
            <w:hideMark/>
          </w:tcPr>
          <w:p w14:paraId="2DB720CD"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16,12%</w:t>
            </w:r>
          </w:p>
        </w:tc>
        <w:tc>
          <w:tcPr>
            <w:tcW w:w="273" w:type="pct"/>
            <w:shd w:val="clear" w:color="auto" w:fill="FFFFFF"/>
            <w:noWrap/>
            <w:vAlign w:val="bottom"/>
            <w:hideMark/>
          </w:tcPr>
          <w:p w14:paraId="65721A42"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432D29A7" w14:textId="77777777" w:rsidTr="00F80D63">
        <w:trPr>
          <w:trHeight w:val="255"/>
          <w:jc w:val="center"/>
        </w:trPr>
        <w:tc>
          <w:tcPr>
            <w:tcW w:w="2208" w:type="pct"/>
            <w:shd w:val="clear" w:color="auto" w:fill="FFFFFF"/>
            <w:noWrap/>
            <w:vAlign w:val="bottom"/>
            <w:hideMark/>
          </w:tcPr>
          <w:p w14:paraId="1F0856C9"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036" w:type="pct"/>
            <w:shd w:val="clear" w:color="auto" w:fill="FFFFFF"/>
            <w:noWrap/>
            <w:vAlign w:val="bottom"/>
            <w:hideMark/>
          </w:tcPr>
          <w:p w14:paraId="1DF62614"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742" w:type="pct"/>
            <w:shd w:val="clear" w:color="auto" w:fill="FFFFFF"/>
            <w:noWrap/>
            <w:vAlign w:val="bottom"/>
            <w:hideMark/>
          </w:tcPr>
          <w:p w14:paraId="071F8491"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742" w:type="pct"/>
            <w:shd w:val="clear" w:color="auto" w:fill="FFFFFF"/>
            <w:noWrap/>
            <w:vAlign w:val="bottom"/>
            <w:hideMark/>
          </w:tcPr>
          <w:p w14:paraId="5F2D6419"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273" w:type="pct"/>
            <w:shd w:val="clear" w:color="auto" w:fill="FFFFFF"/>
            <w:noWrap/>
            <w:vAlign w:val="bottom"/>
            <w:hideMark/>
          </w:tcPr>
          <w:p w14:paraId="6B66007A"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2ECB00AE" w14:textId="77777777" w:rsidTr="00F80D63">
        <w:trPr>
          <w:trHeight w:val="255"/>
          <w:jc w:val="center"/>
        </w:trPr>
        <w:tc>
          <w:tcPr>
            <w:tcW w:w="2208" w:type="pct"/>
            <w:shd w:val="clear" w:color="auto" w:fill="FFFFFF"/>
            <w:noWrap/>
            <w:vAlign w:val="bottom"/>
            <w:hideMark/>
          </w:tcPr>
          <w:p w14:paraId="36A3C3B6" w14:textId="77777777" w:rsidR="00E90931" w:rsidRPr="00AE4E8D" w:rsidRDefault="00E90931" w:rsidP="00E90931">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Bonos</w:t>
            </w:r>
          </w:p>
        </w:tc>
        <w:tc>
          <w:tcPr>
            <w:tcW w:w="1036" w:type="pct"/>
            <w:shd w:val="clear" w:color="auto" w:fill="FFFFFF"/>
            <w:noWrap/>
            <w:vAlign w:val="bottom"/>
            <w:hideMark/>
          </w:tcPr>
          <w:p w14:paraId="4397E101"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742" w:type="pct"/>
            <w:shd w:val="clear" w:color="auto" w:fill="FFFFFF"/>
            <w:noWrap/>
            <w:vAlign w:val="bottom"/>
            <w:hideMark/>
          </w:tcPr>
          <w:p w14:paraId="349FAC92"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742" w:type="pct"/>
            <w:shd w:val="clear" w:color="auto" w:fill="FFFFFF"/>
            <w:noWrap/>
            <w:vAlign w:val="bottom"/>
            <w:hideMark/>
          </w:tcPr>
          <w:p w14:paraId="6CAC2245"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273" w:type="pct"/>
            <w:shd w:val="clear" w:color="auto" w:fill="FFFFFF"/>
            <w:noWrap/>
            <w:vAlign w:val="bottom"/>
            <w:hideMark/>
          </w:tcPr>
          <w:p w14:paraId="22ABAAFA"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372A05AE" w14:textId="77777777" w:rsidTr="00F80D63">
        <w:trPr>
          <w:trHeight w:val="255"/>
          <w:jc w:val="center"/>
        </w:trPr>
        <w:tc>
          <w:tcPr>
            <w:tcW w:w="2208" w:type="pct"/>
            <w:shd w:val="clear" w:color="auto" w:fill="FFFFFF"/>
            <w:noWrap/>
            <w:vAlign w:val="bottom"/>
            <w:hideMark/>
          </w:tcPr>
          <w:p w14:paraId="3CE5CE1B"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Saldos promedios del período</w:t>
            </w:r>
          </w:p>
        </w:tc>
        <w:tc>
          <w:tcPr>
            <w:tcW w:w="1036" w:type="pct"/>
            <w:shd w:val="clear" w:color="auto" w:fill="FFFFFF"/>
            <w:noWrap/>
            <w:vAlign w:val="bottom"/>
            <w:hideMark/>
          </w:tcPr>
          <w:p w14:paraId="5720B2CE" w14:textId="77777777" w:rsidR="00E90931" w:rsidRPr="00AE4E8D" w:rsidRDefault="00FA3175"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8.632.914 </w:t>
            </w:r>
          </w:p>
        </w:tc>
        <w:tc>
          <w:tcPr>
            <w:tcW w:w="742" w:type="pct"/>
            <w:shd w:val="clear" w:color="auto" w:fill="FFFFFF"/>
            <w:noWrap/>
            <w:vAlign w:val="bottom"/>
            <w:hideMark/>
          </w:tcPr>
          <w:p w14:paraId="1C78703D"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4.298.482 </w:t>
            </w:r>
          </w:p>
        </w:tc>
        <w:tc>
          <w:tcPr>
            <w:tcW w:w="742" w:type="pct"/>
            <w:shd w:val="clear" w:color="auto" w:fill="FFFFFF"/>
            <w:noWrap/>
            <w:vAlign w:val="bottom"/>
            <w:hideMark/>
          </w:tcPr>
          <w:p w14:paraId="5376A11C"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937.148 </w:t>
            </w:r>
          </w:p>
        </w:tc>
        <w:tc>
          <w:tcPr>
            <w:tcW w:w="273" w:type="pct"/>
            <w:shd w:val="clear" w:color="auto" w:fill="FFFFFF"/>
            <w:noWrap/>
            <w:vAlign w:val="bottom"/>
            <w:hideMark/>
          </w:tcPr>
          <w:p w14:paraId="090F9DEB"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2E13CD33" w14:textId="77777777" w:rsidTr="00F80D63">
        <w:trPr>
          <w:trHeight w:val="255"/>
          <w:jc w:val="center"/>
        </w:trPr>
        <w:tc>
          <w:tcPr>
            <w:tcW w:w="2208" w:type="pct"/>
            <w:shd w:val="clear" w:color="auto" w:fill="FFFFFF"/>
            <w:noWrap/>
            <w:vAlign w:val="bottom"/>
            <w:hideMark/>
          </w:tcPr>
          <w:p w14:paraId="6228BEB9"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Saldos máximos al cierre de cada mes</w:t>
            </w:r>
          </w:p>
        </w:tc>
        <w:tc>
          <w:tcPr>
            <w:tcW w:w="1036" w:type="pct"/>
            <w:shd w:val="clear" w:color="auto" w:fill="FFFFFF"/>
            <w:noWrap/>
            <w:vAlign w:val="bottom"/>
            <w:hideMark/>
          </w:tcPr>
          <w:p w14:paraId="5029A93B" w14:textId="77777777" w:rsidR="00E90931" w:rsidRPr="00AE4E8D" w:rsidRDefault="00FA3175" w:rsidP="00E90931">
            <w:pPr>
              <w:jc w:val="right"/>
              <w:rPr>
                <w:rFonts w:ascii="Times New Roman" w:hAnsi="Times New Roman"/>
                <w:color w:val="000000"/>
                <w:sz w:val="16"/>
                <w:szCs w:val="16"/>
                <w:lang w:val="es-ES"/>
              </w:rPr>
            </w:pPr>
            <w:r w:rsidRPr="00AE4E8D">
              <w:rPr>
                <w:rFonts w:ascii="Times New Roman" w:hAnsi="Times New Roman"/>
                <w:color w:val="000000"/>
                <w:sz w:val="16"/>
                <w:lang w:val="es-ES"/>
              </w:rPr>
              <w:t xml:space="preserve"> </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9.510.886 </w:t>
            </w:r>
          </w:p>
        </w:tc>
        <w:tc>
          <w:tcPr>
            <w:tcW w:w="742" w:type="pct"/>
            <w:shd w:val="clear" w:color="auto" w:fill="FFFFFF"/>
            <w:noWrap/>
            <w:vAlign w:val="bottom"/>
            <w:hideMark/>
          </w:tcPr>
          <w:p w14:paraId="694E1718"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 xml:space="preserve">3.179.563 </w:t>
            </w:r>
          </w:p>
        </w:tc>
        <w:tc>
          <w:tcPr>
            <w:tcW w:w="742" w:type="pct"/>
            <w:shd w:val="clear" w:color="auto" w:fill="FFFFFF"/>
            <w:noWrap/>
            <w:vAlign w:val="bottom"/>
            <w:hideMark/>
          </w:tcPr>
          <w:p w14:paraId="73D8EBAD"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1.843.991 </w:t>
            </w:r>
          </w:p>
        </w:tc>
        <w:tc>
          <w:tcPr>
            <w:tcW w:w="273" w:type="pct"/>
            <w:shd w:val="clear" w:color="auto" w:fill="FFFFFF"/>
            <w:noWrap/>
            <w:vAlign w:val="bottom"/>
            <w:hideMark/>
          </w:tcPr>
          <w:p w14:paraId="63D644A1"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w:t>
            </w:r>
          </w:p>
        </w:tc>
      </w:tr>
      <w:tr w:rsidR="003B5193" w:rsidRPr="00AE4E8D" w14:paraId="406C8E16" w14:textId="77777777" w:rsidTr="00F80D63">
        <w:trPr>
          <w:trHeight w:val="255"/>
          <w:jc w:val="center"/>
        </w:trPr>
        <w:tc>
          <w:tcPr>
            <w:tcW w:w="2208" w:type="pct"/>
            <w:shd w:val="clear" w:color="auto" w:fill="FFFFFF"/>
            <w:noWrap/>
            <w:vAlign w:val="bottom"/>
            <w:hideMark/>
          </w:tcPr>
          <w:p w14:paraId="48B3E8E8"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Tasa de </w:t>
            </w:r>
            <w:r w:rsidR="00F80D63" w:rsidRPr="00AE4E8D">
              <w:rPr>
                <w:rFonts w:ascii="Times New Roman" w:hAnsi="Times New Roman"/>
                <w:color w:val="000000"/>
                <w:sz w:val="16"/>
                <w:szCs w:val="16"/>
                <w:lang w:val="es-ES"/>
              </w:rPr>
              <w:t>interés</w:t>
            </w:r>
            <w:r w:rsidRPr="00AE4E8D">
              <w:rPr>
                <w:rFonts w:ascii="Times New Roman" w:hAnsi="Times New Roman"/>
                <w:color w:val="000000"/>
                <w:sz w:val="16"/>
                <w:szCs w:val="16"/>
                <w:lang w:val="es-ES"/>
              </w:rPr>
              <w:t xml:space="preserve"> promedio ponderado de período</w:t>
            </w:r>
          </w:p>
        </w:tc>
        <w:tc>
          <w:tcPr>
            <w:tcW w:w="1036" w:type="pct"/>
            <w:shd w:val="clear" w:color="auto" w:fill="FFFFFF"/>
            <w:noWrap/>
            <w:vAlign w:val="bottom"/>
            <w:hideMark/>
          </w:tcPr>
          <w:p w14:paraId="38FADBC8"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20,77%</w:t>
            </w:r>
          </w:p>
        </w:tc>
        <w:tc>
          <w:tcPr>
            <w:tcW w:w="742" w:type="pct"/>
            <w:shd w:val="clear" w:color="auto" w:fill="FFFFFF"/>
            <w:noWrap/>
            <w:vAlign w:val="bottom"/>
            <w:hideMark/>
          </w:tcPr>
          <w:p w14:paraId="0ACE56C9"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18,03%</w:t>
            </w:r>
          </w:p>
        </w:tc>
        <w:tc>
          <w:tcPr>
            <w:tcW w:w="742" w:type="pct"/>
            <w:shd w:val="clear" w:color="auto" w:fill="FFFFFF"/>
            <w:noWrap/>
            <w:vAlign w:val="bottom"/>
            <w:hideMark/>
          </w:tcPr>
          <w:p w14:paraId="28E4094E"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16,42%</w:t>
            </w:r>
          </w:p>
        </w:tc>
        <w:tc>
          <w:tcPr>
            <w:tcW w:w="273" w:type="pct"/>
            <w:shd w:val="clear" w:color="auto" w:fill="FFFFFF"/>
            <w:noWrap/>
            <w:vAlign w:val="bottom"/>
            <w:hideMark/>
          </w:tcPr>
          <w:p w14:paraId="4F45B639"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0FDC7CE5" w14:textId="77777777" w:rsidTr="00F80D63">
        <w:trPr>
          <w:trHeight w:val="255"/>
          <w:jc w:val="center"/>
        </w:trPr>
        <w:tc>
          <w:tcPr>
            <w:tcW w:w="2208" w:type="pct"/>
            <w:shd w:val="clear" w:color="auto" w:fill="FFFFFF"/>
            <w:noWrap/>
            <w:vAlign w:val="bottom"/>
            <w:hideMark/>
          </w:tcPr>
          <w:p w14:paraId="1F93B29E"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1036" w:type="pct"/>
            <w:shd w:val="clear" w:color="auto" w:fill="FFFFFF"/>
            <w:noWrap/>
            <w:vAlign w:val="bottom"/>
            <w:hideMark/>
          </w:tcPr>
          <w:p w14:paraId="00381BF6"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742" w:type="pct"/>
            <w:shd w:val="clear" w:color="auto" w:fill="FFFFFF"/>
            <w:noWrap/>
            <w:vAlign w:val="bottom"/>
            <w:hideMark/>
          </w:tcPr>
          <w:p w14:paraId="03956791"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742" w:type="pct"/>
            <w:shd w:val="clear" w:color="auto" w:fill="FFFFFF"/>
            <w:noWrap/>
            <w:vAlign w:val="bottom"/>
            <w:hideMark/>
          </w:tcPr>
          <w:p w14:paraId="15B2C5D3"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273" w:type="pct"/>
            <w:shd w:val="clear" w:color="auto" w:fill="FFFFFF"/>
            <w:noWrap/>
            <w:vAlign w:val="bottom"/>
            <w:hideMark/>
          </w:tcPr>
          <w:p w14:paraId="065BEE95"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49CE4FDC" w14:textId="77777777" w:rsidTr="00F80D63">
        <w:trPr>
          <w:trHeight w:val="255"/>
          <w:jc w:val="center"/>
        </w:trPr>
        <w:tc>
          <w:tcPr>
            <w:tcW w:w="2208" w:type="pct"/>
            <w:shd w:val="clear" w:color="auto" w:fill="FFFFFF"/>
            <w:noWrap/>
            <w:vAlign w:val="bottom"/>
            <w:hideMark/>
          </w:tcPr>
          <w:p w14:paraId="18B02636" w14:textId="77777777" w:rsidR="00E90931" w:rsidRPr="00AE4E8D" w:rsidRDefault="00E90931" w:rsidP="00E90931">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Otros Bancos y Entidades Internacionales</w:t>
            </w:r>
          </w:p>
        </w:tc>
        <w:tc>
          <w:tcPr>
            <w:tcW w:w="1036" w:type="pct"/>
            <w:shd w:val="clear" w:color="auto" w:fill="FFFFFF"/>
            <w:noWrap/>
            <w:vAlign w:val="bottom"/>
            <w:hideMark/>
          </w:tcPr>
          <w:p w14:paraId="38B6AC9D" w14:textId="77777777" w:rsidR="00E90931" w:rsidRPr="00AE4E8D" w:rsidRDefault="00E90931" w:rsidP="00E90931">
            <w:pPr>
              <w:jc w:val="right"/>
              <w:rPr>
                <w:rFonts w:ascii="Times New Roman" w:hAnsi="Times New Roman"/>
                <w:color w:val="000000"/>
                <w:sz w:val="16"/>
                <w:lang w:val="es-ES"/>
              </w:rPr>
            </w:pPr>
            <w:r w:rsidRPr="00AE4E8D">
              <w:rPr>
                <w:rFonts w:ascii="Times New Roman" w:hAnsi="Times New Roman"/>
                <w:color w:val="000000"/>
                <w:sz w:val="16"/>
                <w:lang w:val="es-ES"/>
              </w:rPr>
              <w:t> </w:t>
            </w:r>
          </w:p>
        </w:tc>
        <w:tc>
          <w:tcPr>
            <w:tcW w:w="742" w:type="pct"/>
            <w:shd w:val="clear" w:color="auto" w:fill="FFFFFF"/>
            <w:noWrap/>
            <w:vAlign w:val="bottom"/>
            <w:hideMark/>
          </w:tcPr>
          <w:p w14:paraId="5308CDB3"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742" w:type="pct"/>
            <w:shd w:val="clear" w:color="auto" w:fill="FFFFFF"/>
            <w:noWrap/>
            <w:vAlign w:val="bottom"/>
            <w:hideMark/>
          </w:tcPr>
          <w:p w14:paraId="13C83947"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w:t>
            </w:r>
          </w:p>
        </w:tc>
        <w:tc>
          <w:tcPr>
            <w:tcW w:w="273" w:type="pct"/>
            <w:shd w:val="clear" w:color="auto" w:fill="FFFFFF"/>
            <w:noWrap/>
            <w:vAlign w:val="bottom"/>
            <w:hideMark/>
          </w:tcPr>
          <w:p w14:paraId="034A05D4"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63EAA8F5" w14:textId="77777777" w:rsidTr="00F80D63">
        <w:trPr>
          <w:trHeight w:val="255"/>
          <w:jc w:val="center"/>
        </w:trPr>
        <w:tc>
          <w:tcPr>
            <w:tcW w:w="2208" w:type="pct"/>
            <w:shd w:val="clear" w:color="auto" w:fill="FFFFFF"/>
            <w:noWrap/>
            <w:vAlign w:val="bottom"/>
            <w:hideMark/>
          </w:tcPr>
          <w:p w14:paraId="0ADA8D75"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Saldos promedios del período</w:t>
            </w:r>
          </w:p>
        </w:tc>
        <w:tc>
          <w:tcPr>
            <w:tcW w:w="1036" w:type="pct"/>
            <w:shd w:val="clear" w:color="auto" w:fill="FFFFFF"/>
            <w:noWrap/>
            <w:vAlign w:val="bottom"/>
            <w:hideMark/>
          </w:tcPr>
          <w:p w14:paraId="7D718682" w14:textId="77777777" w:rsidR="00E90931" w:rsidRPr="00AE4E8D" w:rsidRDefault="00FA3175"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844.558 </w:t>
            </w:r>
          </w:p>
        </w:tc>
        <w:tc>
          <w:tcPr>
            <w:tcW w:w="742" w:type="pct"/>
            <w:shd w:val="clear" w:color="auto" w:fill="FFFFFF"/>
            <w:noWrap/>
            <w:vAlign w:val="bottom"/>
            <w:hideMark/>
          </w:tcPr>
          <w:p w14:paraId="07423499"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648.757 </w:t>
            </w:r>
          </w:p>
        </w:tc>
        <w:tc>
          <w:tcPr>
            <w:tcW w:w="742" w:type="pct"/>
            <w:shd w:val="clear" w:color="auto" w:fill="FFFFFF"/>
            <w:noWrap/>
            <w:vAlign w:val="bottom"/>
            <w:hideMark/>
          </w:tcPr>
          <w:p w14:paraId="11E87F5E"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391.094 </w:t>
            </w:r>
          </w:p>
        </w:tc>
        <w:tc>
          <w:tcPr>
            <w:tcW w:w="273" w:type="pct"/>
            <w:shd w:val="clear" w:color="auto" w:fill="FFFFFF"/>
            <w:noWrap/>
            <w:vAlign w:val="bottom"/>
            <w:hideMark/>
          </w:tcPr>
          <w:p w14:paraId="1F6AEBF4"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r w:rsidR="003B5193" w:rsidRPr="00AE4E8D" w14:paraId="3930C218" w14:textId="77777777" w:rsidTr="00F80D63">
        <w:trPr>
          <w:trHeight w:val="255"/>
          <w:jc w:val="center"/>
        </w:trPr>
        <w:tc>
          <w:tcPr>
            <w:tcW w:w="2208" w:type="pct"/>
            <w:shd w:val="clear" w:color="auto" w:fill="FFFFFF"/>
            <w:noWrap/>
            <w:vAlign w:val="bottom"/>
            <w:hideMark/>
          </w:tcPr>
          <w:p w14:paraId="3C60BD7C"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Saldos máximos al cierre de cada mes</w:t>
            </w:r>
          </w:p>
        </w:tc>
        <w:tc>
          <w:tcPr>
            <w:tcW w:w="1036" w:type="pct"/>
            <w:shd w:val="clear" w:color="auto" w:fill="FFFFFF"/>
            <w:noWrap/>
            <w:vAlign w:val="bottom"/>
            <w:hideMark/>
          </w:tcPr>
          <w:p w14:paraId="665208E6" w14:textId="77777777" w:rsidR="00E90931" w:rsidRPr="00AE4E8D" w:rsidRDefault="00FA3175" w:rsidP="00E90931">
            <w:pPr>
              <w:jc w:val="right"/>
              <w:rPr>
                <w:rFonts w:ascii="Times New Roman" w:hAnsi="Times New Roman"/>
                <w:color w:val="000000"/>
                <w:sz w:val="16"/>
                <w:szCs w:val="16"/>
                <w:lang w:val="es-ES"/>
              </w:rPr>
            </w:pPr>
            <w:r w:rsidRPr="00AE4E8D">
              <w:rPr>
                <w:rFonts w:ascii="Times New Roman" w:hAnsi="Times New Roman"/>
                <w:color w:val="000000"/>
                <w:sz w:val="16"/>
                <w:lang w:val="es-ES"/>
              </w:rPr>
              <w:t xml:space="preserve"> </w:t>
            </w:r>
            <w:r w:rsidR="00EB3492"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 596.075 </w:t>
            </w:r>
          </w:p>
        </w:tc>
        <w:tc>
          <w:tcPr>
            <w:tcW w:w="742" w:type="pct"/>
            <w:shd w:val="clear" w:color="auto" w:fill="FFFFFF"/>
            <w:noWrap/>
            <w:vAlign w:val="bottom"/>
            <w:hideMark/>
          </w:tcPr>
          <w:p w14:paraId="742C4B00"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lang w:val="es-ES"/>
              </w:rPr>
              <w:t xml:space="preserve">      </w:t>
            </w:r>
            <w:r w:rsidR="00E90931" w:rsidRPr="00AE4E8D">
              <w:rPr>
                <w:rFonts w:ascii="Times New Roman" w:hAnsi="Times New Roman"/>
                <w:color w:val="000000"/>
                <w:sz w:val="16"/>
                <w:szCs w:val="16"/>
                <w:lang w:val="es-ES"/>
              </w:rPr>
              <w:t xml:space="preserve">344.137 </w:t>
            </w:r>
          </w:p>
        </w:tc>
        <w:tc>
          <w:tcPr>
            <w:tcW w:w="742" w:type="pct"/>
            <w:shd w:val="clear" w:color="auto" w:fill="FFFFFF"/>
            <w:noWrap/>
            <w:vAlign w:val="bottom"/>
            <w:hideMark/>
          </w:tcPr>
          <w:p w14:paraId="62462AF8" w14:textId="77777777" w:rsidR="00E90931" w:rsidRPr="00AE4E8D" w:rsidRDefault="00EB3492"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w:t>
            </w:r>
            <w:r w:rsidR="00E90931" w:rsidRPr="00AE4E8D">
              <w:rPr>
                <w:rFonts w:ascii="Times New Roman" w:hAnsi="Times New Roman"/>
                <w:color w:val="000000"/>
                <w:sz w:val="16"/>
                <w:szCs w:val="16"/>
                <w:lang w:val="es-ES"/>
              </w:rPr>
              <w:t xml:space="preserve">558.448 </w:t>
            </w:r>
          </w:p>
        </w:tc>
        <w:tc>
          <w:tcPr>
            <w:tcW w:w="273" w:type="pct"/>
            <w:shd w:val="clear" w:color="auto" w:fill="FFFFFF"/>
            <w:noWrap/>
            <w:vAlign w:val="bottom"/>
            <w:hideMark/>
          </w:tcPr>
          <w:p w14:paraId="38EB628E"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w:t>
            </w:r>
          </w:p>
        </w:tc>
      </w:tr>
      <w:tr w:rsidR="003B5193" w:rsidRPr="00AE4E8D" w14:paraId="5FB5B3A3" w14:textId="77777777" w:rsidTr="00F80D63">
        <w:trPr>
          <w:trHeight w:val="255"/>
          <w:jc w:val="center"/>
        </w:trPr>
        <w:tc>
          <w:tcPr>
            <w:tcW w:w="2208" w:type="pct"/>
            <w:shd w:val="clear" w:color="auto" w:fill="FFFFFF"/>
            <w:noWrap/>
            <w:vAlign w:val="bottom"/>
            <w:hideMark/>
          </w:tcPr>
          <w:p w14:paraId="1E92EAC3" w14:textId="77777777" w:rsidR="00E90931" w:rsidRPr="00AE4E8D" w:rsidRDefault="00E90931" w:rsidP="00E90931">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Tasa de </w:t>
            </w:r>
            <w:r w:rsidR="00F80D63" w:rsidRPr="00AE4E8D">
              <w:rPr>
                <w:rFonts w:ascii="Times New Roman" w:hAnsi="Times New Roman"/>
                <w:color w:val="000000"/>
                <w:sz w:val="16"/>
                <w:szCs w:val="16"/>
                <w:lang w:val="es-ES"/>
              </w:rPr>
              <w:t>interés</w:t>
            </w:r>
            <w:r w:rsidRPr="00AE4E8D">
              <w:rPr>
                <w:rFonts w:ascii="Times New Roman" w:hAnsi="Times New Roman"/>
                <w:color w:val="000000"/>
                <w:sz w:val="16"/>
                <w:szCs w:val="16"/>
                <w:lang w:val="es-ES"/>
              </w:rPr>
              <w:t xml:space="preserve"> promedio ponderado de período</w:t>
            </w:r>
          </w:p>
        </w:tc>
        <w:tc>
          <w:tcPr>
            <w:tcW w:w="1036" w:type="pct"/>
            <w:shd w:val="clear" w:color="auto" w:fill="FFFFFF"/>
            <w:noWrap/>
            <w:vAlign w:val="bottom"/>
            <w:hideMark/>
          </w:tcPr>
          <w:p w14:paraId="0544FEBB"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31,11%</w:t>
            </w:r>
          </w:p>
        </w:tc>
        <w:tc>
          <w:tcPr>
            <w:tcW w:w="742" w:type="pct"/>
            <w:shd w:val="clear" w:color="auto" w:fill="FFFFFF"/>
            <w:noWrap/>
            <w:vAlign w:val="bottom"/>
            <w:hideMark/>
          </w:tcPr>
          <w:p w14:paraId="42ECEEC7"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42,55%</w:t>
            </w:r>
          </w:p>
        </w:tc>
        <w:tc>
          <w:tcPr>
            <w:tcW w:w="742" w:type="pct"/>
            <w:shd w:val="clear" w:color="auto" w:fill="FFFFFF"/>
            <w:noWrap/>
            <w:vAlign w:val="bottom"/>
            <w:hideMark/>
          </w:tcPr>
          <w:p w14:paraId="16910D88" w14:textId="77777777" w:rsidR="00E90931" w:rsidRPr="00AE4E8D" w:rsidRDefault="00E90931" w:rsidP="00E90931">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28,46%</w:t>
            </w:r>
          </w:p>
        </w:tc>
        <w:tc>
          <w:tcPr>
            <w:tcW w:w="273" w:type="pct"/>
            <w:shd w:val="clear" w:color="auto" w:fill="FFFFFF"/>
            <w:noWrap/>
            <w:vAlign w:val="bottom"/>
            <w:hideMark/>
          </w:tcPr>
          <w:p w14:paraId="55C0C796" w14:textId="77777777" w:rsidR="00E90931" w:rsidRPr="00AE4E8D" w:rsidRDefault="00E90931" w:rsidP="00E90931">
            <w:pPr>
              <w:rPr>
                <w:rFonts w:ascii="Times New Roman" w:hAnsi="Times New Roman"/>
                <w:sz w:val="16"/>
                <w:szCs w:val="16"/>
                <w:lang w:val="es-ES"/>
              </w:rPr>
            </w:pPr>
            <w:r w:rsidRPr="00AE4E8D">
              <w:rPr>
                <w:rFonts w:ascii="Times New Roman" w:hAnsi="Times New Roman"/>
                <w:sz w:val="16"/>
                <w:szCs w:val="16"/>
                <w:lang w:val="es-ES"/>
              </w:rPr>
              <w:t> </w:t>
            </w:r>
          </w:p>
        </w:tc>
      </w:tr>
    </w:tbl>
    <w:p w14:paraId="58B94E81" w14:textId="77777777" w:rsidR="00E90931" w:rsidRPr="00AE4E8D" w:rsidRDefault="00E90931" w:rsidP="00E90931">
      <w:pPr>
        <w:autoSpaceDE w:val="0"/>
        <w:autoSpaceDN w:val="0"/>
        <w:adjustRightInd w:val="0"/>
        <w:spacing w:before="120" w:after="120"/>
        <w:jc w:val="both"/>
        <w:rPr>
          <w:rFonts w:ascii="Times New Roman" w:hAnsi="Times New Roman"/>
          <w:sz w:val="16"/>
          <w:szCs w:val="16"/>
          <w:lang w:val="es-ES" w:eastAsia="es-AR"/>
        </w:rPr>
      </w:pPr>
      <w:r w:rsidRPr="00AE4E8D">
        <w:rPr>
          <w:rFonts w:ascii="Times New Roman" w:hAnsi="Times New Roman"/>
          <w:sz w:val="16"/>
          <w:szCs w:val="16"/>
          <w:lang w:val="es-ES" w:eastAsia="es-AR"/>
        </w:rPr>
        <w:t>(*) Los intereses no están incluidos</w:t>
      </w:r>
    </w:p>
    <w:p w14:paraId="58057FFB" w14:textId="77777777" w:rsidR="00E90931" w:rsidRPr="00AE4E8D" w:rsidRDefault="00E90931" w:rsidP="0008264A">
      <w:pPr>
        <w:pStyle w:val="BH2Izquierda"/>
        <w:rPr>
          <w:lang w:val="es-ES"/>
        </w:rPr>
      </w:pPr>
      <w:bookmarkStart w:id="403" w:name="_Toc495973016"/>
      <w:bookmarkStart w:id="404" w:name="_Toc495399923"/>
      <w:r w:rsidRPr="00AE4E8D">
        <w:rPr>
          <w:lang w:val="es-ES"/>
        </w:rPr>
        <w:lastRenderedPageBreak/>
        <w:t>Exceso de Capital Regulatorio</w:t>
      </w:r>
      <w:bookmarkEnd w:id="403"/>
      <w:bookmarkEnd w:id="404"/>
      <w:r w:rsidRPr="00AE4E8D">
        <w:rPr>
          <w:lang w:val="es-ES"/>
        </w:rPr>
        <w:t xml:space="preserve"> </w:t>
      </w:r>
    </w:p>
    <w:p w14:paraId="660BA735" w14:textId="77777777" w:rsidR="00E90931" w:rsidRPr="00AE4E8D" w:rsidRDefault="00E90931" w:rsidP="00E71CBF">
      <w:pPr>
        <w:pStyle w:val="BHTexto"/>
        <w:rPr>
          <w:w w:val="1"/>
          <w:lang w:val="es-ES"/>
        </w:rPr>
      </w:pPr>
      <w:r w:rsidRPr="00AE4E8D">
        <w:rPr>
          <w:lang w:val="es-ES"/>
        </w:rPr>
        <w:t>El siguiente cuadro establece nuestros requisitos de capital mínimo fijados por el BCRA a las fechas indicadas</w:t>
      </w:r>
      <w:r w:rsidR="006476E2" w:rsidRPr="00AE4E8D">
        <w:rPr>
          <w:lang w:val="es-ES"/>
        </w:rPr>
        <w:t>.</w:t>
      </w:r>
    </w:p>
    <w:tbl>
      <w:tblPr>
        <w:tblW w:w="5000" w:type="pct"/>
        <w:jc w:val="center"/>
        <w:tblLook w:val="00A0" w:firstRow="1" w:lastRow="0" w:firstColumn="1" w:lastColumn="0" w:noHBand="0" w:noVBand="0"/>
      </w:tblPr>
      <w:tblGrid>
        <w:gridCol w:w="4778"/>
        <w:gridCol w:w="1315"/>
        <w:gridCol w:w="1315"/>
        <w:gridCol w:w="1313"/>
      </w:tblGrid>
      <w:tr w:rsidR="00E90931" w:rsidRPr="00AE4E8D" w14:paraId="64251167" w14:textId="77777777" w:rsidTr="000400C8">
        <w:trPr>
          <w:trHeight w:val="240"/>
          <w:jc w:val="center"/>
        </w:trPr>
        <w:tc>
          <w:tcPr>
            <w:tcW w:w="2739" w:type="pct"/>
            <w:noWrap/>
            <w:vAlign w:val="bottom"/>
          </w:tcPr>
          <w:p w14:paraId="681A9317" w14:textId="77777777" w:rsidR="00E90931" w:rsidRPr="00AE4E8D" w:rsidRDefault="00E90931" w:rsidP="00E90931">
            <w:pPr>
              <w:rPr>
                <w:rFonts w:ascii="Times New Roman" w:hAnsi="Times New Roman"/>
                <w:color w:val="000000"/>
                <w:sz w:val="18"/>
                <w:szCs w:val="18"/>
                <w:lang w:val="es-ES"/>
              </w:rPr>
            </w:pPr>
          </w:p>
        </w:tc>
        <w:tc>
          <w:tcPr>
            <w:tcW w:w="2261" w:type="pct"/>
            <w:gridSpan w:val="3"/>
            <w:tcBorders>
              <w:top w:val="nil"/>
              <w:left w:val="nil"/>
              <w:bottom w:val="single" w:sz="4" w:space="0" w:color="auto"/>
              <w:right w:val="nil"/>
            </w:tcBorders>
            <w:noWrap/>
            <w:vAlign w:val="bottom"/>
            <w:hideMark/>
          </w:tcPr>
          <w:p w14:paraId="5E89B657" w14:textId="77777777" w:rsidR="00E90931" w:rsidRPr="00AE4E8D" w:rsidRDefault="00E90931" w:rsidP="00E90931">
            <w:pPr>
              <w:jc w:val="center"/>
              <w:rPr>
                <w:rFonts w:ascii="Times New Roman" w:hAnsi="Times New Roman"/>
                <w:b/>
                <w:color w:val="000000"/>
                <w:sz w:val="18"/>
                <w:lang w:val="es-ES"/>
              </w:rPr>
            </w:pPr>
            <w:r w:rsidRPr="00AE4E8D">
              <w:rPr>
                <w:rFonts w:ascii="Times New Roman" w:hAnsi="Times New Roman"/>
                <w:b/>
                <w:color w:val="000000"/>
                <w:sz w:val="18"/>
                <w:lang w:val="es-ES"/>
              </w:rPr>
              <w:t>Al 31 de diciembre de</w:t>
            </w:r>
          </w:p>
        </w:tc>
      </w:tr>
      <w:tr w:rsidR="00E90931" w:rsidRPr="00AE4E8D" w14:paraId="47CC828C" w14:textId="77777777" w:rsidTr="000400C8">
        <w:trPr>
          <w:trHeight w:val="285"/>
          <w:jc w:val="center"/>
        </w:trPr>
        <w:tc>
          <w:tcPr>
            <w:tcW w:w="2739" w:type="pct"/>
            <w:noWrap/>
            <w:vAlign w:val="bottom"/>
          </w:tcPr>
          <w:p w14:paraId="7D198889" w14:textId="77777777" w:rsidR="00E90931" w:rsidRPr="00AE4E8D" w:rsidRDefault="00E90931" w:rsidP="00E90931">
            <w:pPr>
              <w:rPr>
                <w:rFonts w:ascii="Times New Roman" w:hAnsi="Times New Roman"/>
                <w:color w:val="000000"/>
                <w:sz w:val="18"/>
                <w:szCs w:val="18"/>
                <w:lang w:val="es-ES"/>
              </w:rPr>
            </w:pPr>
          </w:p>
        </w:tc>
        <w:tc>
          <w:tcPr>
            <w:tcW w:w="754" w:type="pct"/>
            <w:tcBorders>
              <w:top w:val="nil"/>
              <w:left w:val="nil"/>
              <w:bottom w:val="single" w:sz="4" w:space="0" w:color="auto"/>
              <w:right w:val="nil"/>
            </w:tcBorders>
            <w:noWrap/>
            <w:vAlign w:val="bottom"/>
            <w:hideMark/>
          </w:tcPr>
          <w:p w14:paraId="5797F417" w14:textId="77777777" w:rsidR="00E90931" w:rsidRPr="00AE4E8D" w:rsidRDefault="00E90931" w:rsidP="00E90931">
            <w:pPr>
              <w:jc w:val="center"/>
              <w:rPr>
                <w:rFonts w:ascii="Times New Roman" w:hAnsi="Times New Roman"/>
                <w:color w:val="000000"/>
                <w:sz w:val="18"/>
                <w:szCs w:val="18"/>
                <w:lang w:val="es-ES"/>
              </w:rPr>
            </w:pPr>
            <w:r w:rsidRPr="00AE4E8D">
              <w:rPr>
                <w:rFonts w:ascii="Times New Roman" w:hAnsi="Times New Roman"/>
                <w:color w:val="000000"/>
                <w:sz w:val="18"/>
                <w:lang w:val="es-ES"/>
              </w:rPr>
              <w:t>2016</w:t>
            </w:r>
          </w:p>
        </w:tc>
        <w:tc>
          <w:tcPr>
            <w:tcW w:w="754" w:type="pct"/>
            <w:tcBorders>
              <w:top w:val="nil"/>
              <w:left w:val="nil"/>
              <w:bottom w:val="single" w:sz="4" w:space="0" w:color="auto"/>
              <w:right w:val="nil"/>
            </w:tcBorders>
            <w:noWrap/>
            <w:vAlign w:val="bottom"/>
            <w:hideMark/>
          </w:tcPr>
          <w:p w14:paraId="7B7C0E2A" w14:textId="77777777" w:rsidR="00E90931" w:rsidRPr="00AE4E8D" w:rsidRDefault="00E90931" w:rsidP="00E90931">
            <w:pPr>
              <w:jc w:val="center"/>
              <w:rPr>
                <w:rFonts w:ascii="Times New Roman" w:hAnsi="Times New Roman"/>
                <w:color w:val="000000"/>
                <w:sz w:val="18"/>
                <w:szCs w:val="18"/>
                <w:lang w:val="es-ES"/>
              </w:rPr>
            </w:pPr>
            <w:r w:rsidRPr="00AE4E8D">
              <w:rPr>
                <w:rFonts w:ascii="Times New Roman" w:hAnsi="Times New Roman"/>
                <w:color w:val="000000"/>
                <w:sz w:val="18"/>
                <w:lang w:val="es-ES"/>
              </w:rPr>
              <w:t>2015</w:t>
            </w:r>
          </w:p>
        </w:tc>
        <w:tc>
          <w:tcPr>
            <w:tcW w:w="753" w:type="pct"/>
            <w:tcBorders>
              <w:top w:val="nil"/>
              <w:left w:val="nil"/>
              <w:bottom w:val="single" w:sz="4" w:space="0" w:color="auto"/>
              <w:right w:val="nil"/>
            </w:tcBorders>
            <w:noWrap/>
            <w:vAlign w:val="bottom"/>
            <w:hideMark/>
          </w:tcPr>
          <w:p w14:paraId="61384C1B" w14:textId="77777777" w:rsidR="00E90931" w:rsidRPr="00AE4E8D" w:rsidRDefault="00E90931" w:rsidP="00E90931">
            <w:pPr>
              <w:jc w:val="center"/>
              <w:rPr>
                <w:rFonts w:ascii="Times New Roman" w:hAnsi="Times New Roman"/>
                <w:color w:val="000000"/>
                <w:sz w:val="18"/>
                <w:szCs w:val="18"/>
                <w:lang w:val="es-ES"/>
              </w:rPr>
            </w:pPr>
            <w:r w:rsidRPr="00AE4E8D">
              <w:rPr>
                <w:rFonts w:ascii="Times New Roman" w:hAnsi="Times New Roman"/>
                <w:color w:val="000000"/>
                <w:sz w:val="18"/>
                <w:lang w:val="es-ES"/>
              </w:rPr>
              <w:t>2014</w:t>
            </w:r>
          </w:p>
        </w:tc>
      </w:tr>
      <w:tr w:rsidR="00E90931" w:rsidRPr="00AE4E8D" w14:paraId="4DDB3646" w14:textId="77777777" w:rsidTr="000400C8">
        <w:trPr>
          <w:trHeight w:val="240"/>
          <w:jc w:val="center"/>
        </w:trPr>
        <w:tc>
          <w:tcPr>
            <w:tcW w:w="2739" w:type="pct"/>
            <w:noWrap/>
            <w:vAlign w:val="bottom"/>
          </w:tcPr>
          <w:p w14:paraId="0BB90D6E" w14:textId="77777777" w:rsidR="00E90931" w:rsidRPr="00AE4E8D" w:rsidRDefault="00E90931" w:rsidP="00E90931">
            <w:pPr>
              <w:rPr>
                <w:rFonts w:ascii="Times New Roman" w:hAnsi="Times New Roman"/>
                <w:color w:val="000000"/>
                <w:sz w:val="18"/>
                <w:szCs w:val="18"/>
                <w:lang w:val="es-ES"/>
              </w:rPr>
            </w:pPr>
          </w:p>
        </w:tc>
        <w:tc>
          <w:tcPr>
            <w:tcW w:w="2261" w:type="pct"/>
            <w:gridSpan w:val="3"/>
            <w:tcBorders>
              <w:top w:val="single" w:sz="4" w:space="0" w:color="auto"/>
              <w:left w:val="nil"/>
              <w:bottom w:val="nil"/>
              <w:right w:val="nil"/>
            </w:tcBorders>
            <w:noWrap/>
            <w:vAlign w:val="bottom"/>
            <w:hideMark/>
          </w:tcPr>
          <w:p w14:paraId="5544DCE6" w14:textId="77777777" w:rsidR="00E90931" w:rsidRPr="00AE4E8D" w:rsidRDefault="00E90931" w:rsidP="00FA3175">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miles de Pesos, excepto porcentajes)</w:t>
            </w:r>
          </w:p>
        </w:tc>
      </w:tr>
      <w:tr w:rsidR="00F23D85" w:rsidRPr="00AE4E8D" w14:paraId="50A9F72D" w14:textId="77777777" w:rsidTr="000400C8">
        <w:trPr>
          <w:trHeight w:val="240"/>
          <w:jc w:val="center"/>
        </w:trPr>
        <w:tc>
          <w:tcPr>
            <w:tcW w:w="2739" w:type="pct"/>
            <w:noWrap/>
            <w:vAlign w:val="bottom"/>
            <w:hideMark/>
          </w:tcPr>
          <w:p w14:paraId="6DBE09A6"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Riesgo de crédito</w:t>
            </w:r>
          </w:p>
        </w:tc>
        <w:tc>
          <w:tcPr>
            <w:tcW w:w="754" w:type="pct"/>
            <w:noWrap/>
            <w:vAlign w:val="bottom"/>
            <w:hideMark/>
          </w:tcPr>
          <w:p w14:paraId="2E850690" w14:textId="77777777" w:rsidR="00F23D85" w:rsidRPr="00AE4E8D" w:rsidRDefault="00EB3492"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2.305.278 </w:t>
            </w:r>
          </w:p>
        </w:tc>
        <w:tc>
          <w:tcPr>
            <w:tcW w:w="754" w:type="pct"/>
            <w:noWrap/>
            <w:vAlign w:val="bottom"/>
            <w:hideMark/>
          </w:tcPr>
          <w:p w14:paraId="40599376"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1.847.047 </w:t>
            </w:r>
          </w:p>
        </w:tc>
        <w:tc>
          <w:tcPr>
            <w:tcW w:w="753" w:type="pct"/>
            <w:noWrap/>
            <w:vAlign w:val="bottom"/>
            <w:hideMark/>
          </w:tcPr>
          <w:p w14:paraId="477AE4D7"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1.450.934 </w:t>
            </w:r>
          </w:p>
        </w:tc>
      </w:tr>
      <w:tr w:rsidR="00F23D85" w:rsidRPr="00AE4E8D" w14:paraId="17E56A58" w14:textId="77777777" w:rsidTr="000400C8">
        <w:trPr>
          <w:trHeight w:val="240"/>
          <w:jc w:val="center"/>
        </w:trPr>
        <w:tc>
          <w:tcPr>
            <w:tcW w:w="2739" w:type="pct"/>
            <w:noWrap/>
            <w:vAlign w:val="bottom"/>
            <w:hideMark/>
          </w:tcPr>
          <w:p w14:paraId="237C68D8"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Riesgo de mercado</w:t>
            </w:r>
          </w:p>
        </w:tc>
        <w:tc>
          <w:tcPr>
            <w:tcW w:w="754" w:type="pct"/>
            <w:noWrap/>
            <w:vAlign w:val="bottom"/>
            <w:hideMark/>
          </w:tcPr>
          <w:p w14:paraId="76CEE4BB" w14:textId="77777777" w:rsidR="00F23D85" w:rsidRPr="00AE4E8D" w:rsidRDefault="00EB3492"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323.782 </w:t>
            </w:r>
          </w:p>
        </w:tc>
        <w:tc>
          <w:tcPr>
            <w:tcW w:w="754" w:type="pct"/>
            <w:noWrap/>
            <w:vAlign w:val="bottom"/>
            <w:hideMark/>
          </w:tcPr>
          <w:p w14:paraId="7A29D7F6"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112.028 </w:t>
            </w:r>
          </w:p>
        </w:tc>
        <w:tc>
          <w:tcPr>
            <w:tcW w:w="753" w:type="pct"/>
            <w:noWrap/>
            <w:vAlign w:val="bottom"/>
            <w:hideMark/>
          </w:tcPr>
          <w:p w14:paraId="324EE64A" w14:textId="77777777" w:rsidR="00F23D85" w:rsidRPr="00AE4E8D" w:rsidRDefault="00FA3175"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88.611 </w:t>
            </w:r>
          </w:p>
        </w:tc>
      </w:tr>
      <w:tr w:rsidR="00F23D85" w:rsidRPr="00AE4E8D" w14:paraId="33F90BB9" w14:textId="77777777" w:rsidTr="000400C8">
        <w:trPr>
          <w:trHeight w:val="240"/>
          <w:jc w:val="center"/>
        </w:trPr>
        <w:tc>
          <w:tcPr>
            <w:tcW w:w="2739" w:type="pct"/>
            <w:noWrap/>
            <w:vAlign w:val="bottom"/>
            <w:hideMark/>
          </w:tcPr>
          <w:p w14:paraId="572D740E"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Riesgo operacional</w:t>
            </w:r>
          </w:p>
        </w:tc>
        <w:tc>
          <w:tcPr>
            <w:tcW w:w="754" w:type="pct"/>
            <w:noWrap/>
            <w:vAlign w:val="bottom"/>
            <w:hideMark/>
          </w:tcPr>
          <w:p w14:paraId="05CA1EDF" w14:textId="77777777" w:rsidR="00F23D85" w:rsidRPr="00AE4E8D" w:rsidRDefault="00EB3492"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535.644 </w:t>
            </w:r>
          </w:p>
        </w:tc>
        <w:tc>
          <w:tcPr>
            <w:tcW w:w="754" w:type="pct"/>
            <w:noWrap/>
            <w:vAlign w:val="bottom"/>
            <w:hideMark/>
          </w:tcPr>
          <w:p w14:paraId="360F0610"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446.693 </w:t>
            </w:r>
          </w:p>
        </w:tc>
        <w:tc>
          <w:tcPr>
            <w:tcW w:w="753" w:type="pct"/>
            <w:noWrap/>
            <w:vAlign w:val="bottom"/>
            <w:hideMark/>
          </w:tcPr>
          <w:p w14:paraId="79685E5D"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309.176 </w:t>
            </w:r>
          </w:p>
        </w:tc>
      </w:tr>
      <w:tr w:rsidR="00F23D85" w:rsidRPr="00AE4E8D" w14:paraId="4125D091" w14:textId="77777777" w:rsidTr="000400C8">
        <w:trPr>
          <w:trHeight w:val="240"/>
          <w:jc w:val="center"/>
        </w:trPr>
        <w:tc>
          <w:tcPr>
            <w:tcW w:w="2739" w:type="pct"/>
            <w:noWrap/>
            <w:vAlign w:val="bottom"/>
            <w:hideMark/>
          </w:tcPr>
          <w:p w14:paraId="74438E72"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Otros</w:t>
            </w:r>
          </w:p>
        </w:tc>
        <w:tc>
          <w:tcPr>
            <w:tcW w:w="754" w:type="pct"/>
            <w:tcBorders>
              <w:top w:val="nil"/>
              <w:left w:val="nil"/>
              <w:bottom w:val="single" w:sz="4" w:space="0" w:color="auto"/>
              <w:right w:val="nil"/>
            </w:tcBorders>
            <w:noWrap/>
            <w:vAlign w:val="bottom"/>
            <w:hideMark/>
          </w:tcPr>
          <w:p w14:paraId="5EBCAE3D" w14:textId="77777777" w:rsidR="00F23D85" w:rsidRPr="00AE4E8D" w:rsidRDefault="00FA3175"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EB3492"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w:t>
            </w:r>
          </w:p>
        </w:tc>
        <w:tc>
          <w:tcPr>
            <w:tcW w:w="754" w:type="pct"/>
            <w:tcBorders>
              <w:top w:val="nil"/>
              <w:left w:val="nil"/>
              <w:bottom w:val="single" w:sz="4" w:space="0" w:color="auto"/>
              <w:right w:val="nil"/>
            </w:tcBorders>
            <w:noWrap/>
            <w:vAlign w:val="bottom"/>
            <w:hideMark/>
          </w:tcPr>
          <w:p w14:paraId="077539B3" w14:textId="77777777" w:rsidR="00F23D85" w:rsidRPr="00AE4E8D" w:rsidRDefault="00FA3175"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EB3492"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w:t>
            </w:r>
          </w:p>
        </w:tc>
        <w:tc>
          <w:tcPr>
            <w:tcW w:w="753" w:type="pct"/>
            <w:tcBorders>
              <w:top w:val="nil"/>
              <w:left w:val="nil"/>
              <w:bottom w:val="single" w:sz="4" w:space="0" w:color="auto"/>
              <w:right w:val="nil"/>
            </w:tcBorders>
            <w:noWrap/>
            <w:vAlign w:val="bottom"/>
            <w:hideMark/>
          </w:tcPr>
          <w:p w14:paraId="37332BD8" w14:textId="77777777" w:rsidR="00F23D85" w:rsidRPr="00AE4E8D" w:rsidRDefault="00FA3175"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EB3492"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w:t>
            </w:r>
          </w:p>
        </w:tc>
      </w:tr>
      <w:tr w:rsidR="00F23D85" w:rsidRPr="00AE4E8D" w14:paraId="6A40C78F" w14:textId="77777777" w:rsidTr="000400C8">
        <w:trPr>
          <w:trHeight w:val="300"/>
          <w:jc w:val="center"/>
        </w:trPr>
        <w:tc>
          <w:tcPr>
            <w:tcW w:w="2739" w:type="pct"/>
            <w:noWrap/>
            <w:vAlign w:val="bottom"/>
            <w:hideMark/>
          </w:tcPr>
          <w:p w14:paraId="62BF0F02" w14:textId="77777777" w:rsidR="00F23D85" w:rsidRPr="00AE4E8D" w:rsidRDefault="00F23D85" w:rsidP="00E90931">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Capital mínimo requerido bajo normas BCRA</w:t>
            </w:r>
          </w:p>
        </w:tc>
        <w:tc>
          <w:tcPr>
            <w:tcW w:w="754" w:type="pct"/>
            <w:noWrap/>
            <w:vAlign w:val="bottom"/>
            <w:hideMark/>
          </w:tcPr>
          <w:p w14:paraId="56AFB2BE" w14:textId="77777777" w:rsidR="00F23D85" w:rsidRPr="00AE4E8D" w:rsidRDefault="00EB3492" w:rsidP="00FA3175">
            <w:pPr>
              <w:jc w:val="right"/>
              <w:rPr>
                <w:rFonts w:ascii="Times New Roman" w:hAnsi="Times New Roman"/>
                <w:b/>
                <w:color w:val="000000"/>
                <w:sz w:val="18"/>
                <w:lang w:val="es-ES"/>
              </w:rPr>
            </w:pPr>
            <w:r w:rsidRPr="00AE4E8D">
              <w:rPr>
                <w:rFonts w:ascii="Times New Roman" w:hAnsi="Times New Roman"/>
                <w:b/>
                <w:bCs/>
                <w:color w:val="000000"/>
                <w:sz w:val="18"/>
                <w:szCs w:val="18"/>
                <w:lang w:val="es-ES"/>
              </w:rPr>
              <w:t xml:space="preserve">    </w:t>
            </w:r>
            <w:r w:rsidR="00F23D85" w:rsidRPr="00AE4E8D">
              <w:rPr>
                <w:rFonts w:ascii="Times New Roman" w:hAnsi="Times New Roman"/>
                <w:b/>
                <w:bCs/>
                <w:color w:val="000000"/>
                <w:sz w:val="18"/>
                <w:szCs w:val="18"/>
                <w:lang w:val="es-ES"/>
              </w:rPr>
              <w:t xml:space="preserve">3.164.704 </w:t>
            </w:r>
          </w:p>
        </w:tc>
        <w:tc>
          <w:tcPr>
            <w:tcW w:w="754" w:type="pct"/>
            <w:noWrap/>
            <w:vAlign w:val="bottom"/>
            <w:hideMark/>
          </w:tcPr>
          <w:p w14:paraId="2D68F5E5" w14:textId="77777777" w:rsidR="00F23D85" w:rsidRPr="00AE4E8D" w:rsidRDefault="00EB3492" w:rsidP="00FA3175">
            <w:pPr>
              <w:jc w:val="right"/>
              <w:rPr>
                <w:rFonts w:ascii="Times New Roman" w:hAnsi="Times New Roman"/>
                <w:b/>
                <w:bCs/>
                <w:color w:val="000000"/>
                <w:sz w:val="18"/>
                <w:szCs w:val="18"/>
                <w:lang w:val="es-ES"/>
              </w:rPr>
            </w:pPr>
            <w:r w:rsidRPr="00AE4E8D">
              <w:rPr>
                <w:rFonts w:ascii="Times New Roman" w:hAnsi="Times New Roman"/>
                <w:b/>
                <w:color w:val="000000"/>
                <w:sz w:val="18"/>
                <w:lang w:val="es-ES"/>
              </w:rPr>
              <w:t xml:space="preserve">    </w:t>
            </w:r>
            <w:r w:rsidR="00F23D85" w:rsidRPr="00AE4E8D">
              <w:rPr>
                <w:rFonts w:ascii="Times New Roman" w:hAnsi="Times New Roman"/>
                <w:b/>
                <w:bCs/>
                <w:color w:val="000000"/>
                <w:sz w:val="18"/>
                <w:szCs w:val="18"/>
                <w:lang w:val="es-ES"/>
              </w:rPr>
              <w:t xml:space="preserve">2.405.768 </w:t>
            </w:r>
          </w:p>
        </w:tc>
        <w:tc>
          <w:tcPr>
            <w:tcW w:w="753" w:type="pct"/>
            <w:noWrap/>
            <w:vAlign w:val="bottom"/>
            <w:hideMark/>
          </w:tcPr>
          <w:p w14:paraId="2EAE27FC" w14:textId="77777777" w:rsidR="00F23D85" w:rsidRPr="00AE4E8D" w:rsidRDefault="00EB3492" w:rsidP="00FA3175">
            <w:pPr>
              <w:jc w:val="right"/>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    </w:t>
            </w:r>
            <w:r w:rsidR="00F23D85" w:rsidRPr="00AE4E8D">
              <w:rPr>
                <w:rFonts w:ascii="Times New Roman" w:hAnsi="Times New Roman"/>
                <w:b/>
                <w:bCs/>
                <w:color w:val="000000"/>
                <w:sz w:val="18"/>
                <w:szCs w:val="18"/>
                <w:lang w:val="es-ES"/>
              </w:rPr>
              <w:t xml:space="preserve">1.848.721 </w:t>
            </w:r>
          </w:p>
        </w:tc>
      </w:tr>
      <w:tr w:rsidR="00F23D85" w:rsidRPr="00AE4E8D" w14:paraId="08634CB1" w14:textId="77777777" w:rsidTr="000400C8">
        <w:trPr>
          <w:trHeight w:val="165"/>
          <w:jc w:val="center"/>
        </w:trPr>
        <w:tc>
          <w:tcPr>
            <w:tcW w:w="2739" w:type="pct"/>
            <w:noWrap/>
            <w:vAlign w:val="bottom"/>
          </w:tcPr>
          <w:p w14:paraId="5234B10F" w14:textId="77777777" w:rsidR="00F23D85" w:rsidRPr="00AE4E8D" w:rsidRDefault="00F23D85" w:rsidP="00E90931">
            <w:pPr>
              <w:rPr>
                <w:rFonts w:ascii="Times New Roman" w:hAnsi="Times New Roman"/>
                <w:color w:val="000000"/>
                <w:sz w:val="18"/>
                <w:szCs w:val="18"/>
                <w:lang w:val="es-ES"/>
              </w:rPr>
            </w:pPr>
          </w:p>
        </w:tc>
        <w:tc>
          <w:tcPr>
            <w:tcW w:w="754" w:type="pct"/>
            <w:noWrap/>
            <w:vAlign w:val="bottom"/>
          </w:tcPr>
          <w:p w14:paraId="4A796CCF" w14:textId="77777777" w:rsidR="00F23D85" w:rsidRPr="00AE4E8D" w:rsidRDefault="00F23D85" w:rsidP="00FA3175">
            <w:pPr>
              <w:jc w:val="right"/>
              <w:rPr>
                <w:rFonts w:ascii="Times New Roman" w:hAnsi="Times New Roman"/>
                <w:color w:val="000000"/>
                <w:sz w:val="18"/>
                <w:lang w:val="es-ES"/>
              </w:rPr>
            </w:pPr>
          </w:p>
        </w:tc>
        <w:tc>
          <w:tcPr>
            <w:tcW w:w="754" w:type="pct"/>
            <w:noWrap/>
            <w:vAlign w:val="bottom"/>
          </w:tcPr>
          <w:p w14:paraId="2F500B4E" w14:textId="77777777" w:rsidR="00F23D85" w:rsidRPr="00AE4E8D" w:rsidRDefault="00F23D85" w:rsidP="00FA3175">
            <w:pPr>
              <w:jc w:val="right"/>
              <w:rPr>
                <w:rFonts w:ascii="Times New Roman" w:hAnsi="Times New Roman"/>
                <w:color w:val="000000"/>
                <w:sz w:val="18"/>
                <w:szCs w:val="18"/>
                <w:lang w:val="es-ES"/>
              </w:rPr>
            </w:pPr>
          </w:p>
        </w:tc>
        <w:tc>
          <w:tcPr>
            <w:tcW w:w="753" w:type="pct"/>
            <w:noWrap/>
            <w:vAlign w:val="bottom"/>
          </w:tcPr>
          <w:p w14:paraId="2CCE7B77" w14:textId="77777777" w:rsidR="00F23D85" w:rsidRPr="00AE4E8D" w:rsidRDefault="00F23D85" w:rsidP="00FA3175">
            <w:pPr>
              <w:jc w:val="right"/>
              <w:rPr>
                <w:rFonts w:ascii="Times New Roman" w:hAnsi="Times New Roman"/>
                <w:color w:val="000000"/>
                <w:sz w:val="18"/>
                <w:szCs w:val="18"/>
                <w:lang w:val="es-ES"/>
              </w:rPr>
            </w:pPr>
          </w:p>
        </w:tc>
      </w:tr>
      <w:tr w:rsidR="00F23D85" w:rsidRPr="00AE4E8D" w14:paraId="7FFEA15F" w14:textId="77777777" w:rsidTr="000400C8">
        <w:trPr>
          <w:trHeight w:val="240"/>
          <w:jc w:val="center"/>
        </w:trPr>
        <w:tc>
          <w:tcPr>
            <w:tcW w:w="2739" w:type="pct"/>
            <w:noWrap/>
            <w:vAlign w:val="bottom"/>
            <w:hideMark/>
          </w:tcPr>
          <w:p w14:paraId="6481C836"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Capital ordinario nivel 1</w:t>
            </w:r>
          </w:p>
        </w:tc>
        <w:tc>
          <w:tcPr>
            <w:tcW w:w="754" w:type="pct"/>
            <w:noWrap/>
            <w:vAlign w:val="bottom"/>
            <w:hideMark/>
          </w:tcPr>
          <w:p w14:paraId="61EABC5F" w14:textId="77777777" w:rsidR="00F23D85" w:rsidRPr="00AE4E8D" w:rsidRDefault="00EB3492"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5.9</w:t>
            </w:r>
            <w:r w:rsidR="00067C6C" w:rsidRPr="00AE4E8D">
              <w:rPr>
                <w:rFonts w:ascii="Times New Roman" w:hAnsi="Times New Roman"/>
                <w:color w:val="000000"/>
                <w:sz w:val="18"/>
                <w:szCs w:val="18"/>
                <w:lang w:val="es-ES"/>
              </w:rPr>
              <w:t>88.051</w:t>
            </w:r>
            <w:r w:rsidR="00F23D85" w:rsidRPr="00AE4E8D">
              <w:rPr>
                <w:rFonts w:ascii="Times New Roman" w:hAnsi="Times New Roman"/>
                <w:color w:val="000000"/>
                <w:sz w:val="18"/>
                <w:szCs w:val="18"/>
                <w:lang w:val="es-ES"/>
              </w:rPr>
              <w:t xml:space="preserve"> </w:t>
            </w:r>
          </w:p>
        </w:tc>
        <w:tc>
          <w:tcPr>
            <w:tcW w:w="754" w:type="pct"/>
            <w:noWrap/>
            <w:vAlign w:val="bottom"/>
            <w:hideMark/>
          </w:tcPr>
          <w:p w14:paraId="054972EA"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5.179.546 </w:t>
            </w:r>
          </w:p>
        </w:tc>
        <w:tc>
          <w:tcPr>
            <w:tcW w:w="753" w:type="pct"/>
            <w:noWrap/>
            <w:vAlign w:val="bottom"/>
            <w:hideMark/>
          </w:tcPr>
          <w:p w14:paraId="6DCA2BC9"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4.373.760 </w:t>
            </w:r>
          </w:p>
        </w:tc>
      </w:tr>
      <w:tr w:rsidR="00F23D85" w:rsidRPr="00AE4E8D" w14:paraId="62654BBC" w14:textId="77777777" w:rsidTr="000400C8">
        <w:trPr>
          <w:trHeight w:val="240"/>
          <w:jc w:val="center"/>
        </w:trPr>
        <w:tc>
          <w:tcPr>
            <w:tcW w:w="2739" w:type="pct"/>
            <w:noWrap/>
            <w:vAlign w:val="bottom"/>
            <w:hideMark/>
          </w:tcPr>
          <w:p w14:paraId="6681B451"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Conceptos deducibles nivel 1</w:t>
            </w:r>
          </w:p>
        </w:tc>
        <w:tc>
          <w:tcPr>
            <w:tcW w:w="754" w:type="pct"/>
            <w:noWrap/>
            <w:vAlign w:val="bottom"/>
            <w:hideMark/>
          </w:tcPr>
          <w:p w14:paraId="18EF7C8B" w14:textId="77777777" w:rsidR="00F23D85" w:rsidRPr="00AE4E8D" w:rsidRDefault="00EB3492"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(1.0</w:t>
            </w:r>
            <w:r w:rsidR="00067C6C" w:rsidRPr="00AE4E8D">
              <w:rPr>
                <w:rFonts w:ascii="Times New Roman" w:hAnsi="Times New Roman"/>
                <w:color w:val="000000"/>
                <w:sz w:val="18"/>
                <w:szCs w:val="18"/>
                <w:lang w:val="es-ES"/>
              </w:rPr>
              <w:t>70.188</w:t>
            </w:r>
            <w:r w:rsidR="00F23D85" w:rsidRPr="00AE4E8D">
              <w:rPr>
                <w:rFonts w:ascii="Times New Roman" w:hAnsi="Times New Roman"/>
                <w:color w:val="000000"/>
                <w:sz w:val="18"/>
                <w:szCs w:val="18"/>
                <w:lang w:val="es-ES"/>
              </w:rPr>
              <w:t>)</w:t>
            </w:r>
          </w:p>
        </w:tc>
        <w:tc>
          <w:tcPr>
            <w:tcW w:w="754" w:type="pct"/>
            <w:noWrap/>
            <w:vAlign w:val="bottom"/>
            <w:hideMark/>
          </w:tcPr>
          <w:p w14:paraId="3689904D"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(773.369)</w:t>
            </w:r>
          </w:p>
        </w:tc>
        <w:tc>
          <w:tcPr>
            <w:tcW w:w="753" w:type="pct"/>
            <w:noWrap/>
            <w:vAlign w:val="bottom"/>
            <w:hideMark/>
          </w:tcPr>
          <w:p w14:paraId="5671AF77"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(538.596)</w:t>
            </w:r>
          </w:p>
        </w:tc>
      </w:tr>
      <w:tr w:rsidR="00F23D85" w:rsidRPr="00AE4E8D" w14:paraId="47630E99" w14:textId="77777777" w:rsidTr="000400C8">
        <w:trPr>
          <w:trHeight w:val="240"/>
          <w:jc w:val="center"/>
        </w:trPr>
        <w:tc>
          <w:tcPr>
            <w:tcW w:w="2739" w:type="pct"/>
            <w:noWrap/>
            <w:vAlign w:val="bottom"/>
            <w:hideMark/>
          </w:tcPr>
          <w:p w14:paraId="63174D87"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Capital adicional nivel 2</w:t>
            </w:r>
          </w:p>
        </w:tc>
        <w:tc>
          <w:tcPr>
            <w:tcW w:w="754" w:type="pct"/>
            <w:noWrap/>
            <w:vAlign w:val="bottom"/>
            <w:hideMark/>
          </w:tcPr>
          <w:p w14:paraId="100612E8" w14:textId="77777777" w:rsidR="00F23D85" w:rsidRPr="00AE4E8D" w:rsidRDefault="00FA3175"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EB3492"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w:t>
            </w:r>
          </w:p>
        </w:tc>
        <w:tc>
          <w:tcPr>
            <w:tcW w:w="754" w:type="pct"/>
            <w:noWrap/>
            <w:vAlign w:val="bottom"/>
            <w:hideMark/>
          </w:tcPr>
          <w:p w14:paraId="5410001C" w14:textId="77777777" w:rsidR="00F23D85" w:rsidRPr="00AE4E8D" w:rsidRDefault="00FA3175"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EB3492"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w:t>
            </w:r>
          </w:p>
        </w:tc>
        <w:tc>
          <w:tcPr>
            <w:tcW w:w="753" w:type="pct"/>
            <w:noWrap/>
            <w:vAlign w:val="bottom"/>
            <w:hideMark/>
          </w:tcPr>
          <w:p w14:paraId="04E103FF" w14:textId="77777777" w:rsidR="00F23D85" w:rsidRPr="00AE4E8D" w:rsidRDefault="00FA3175"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EB3492"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w:t>
            </w:r>
          </w:p>
        </w:tc>
      </w:tr>
      <w:tr w:rsidR="00F23D85" w:rsidRPr="00AE4E8D" w14:paraId="2F725403" w14:textId="77777777" w:rsidTr="000400C8">
        <w:trPr>
          <w:trHeight w:val="240"/>
          <w:jc w:val="center"/>
        </w:trPr>
        <w:tc>
          <w:tcPr>
            <w:tcW w:w="2739" w:type="pct"/>
            <w:noWrap/>
            <w:vAlign w:val="bottom"/>
            <w:hideMark/>
          </w:tcPr>
          <w:p w14:paraId="3E33EFEE"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Capital nivel 2</w:t>
            </w:r>
          </w:p>
        </w:tc>
        <w:tc>
          <w:tcPr>
            <w:tcW w:w="754" w:type="pct"/>
            <w:noWrap/>
            <w:vAlign w:val="bottom"/>
            <w:hideMark/>
          </w:tcPr>
          <w:p w14:paraId="698849F6" w14:textId="77777777" w:rsidR="00F23D85" w:rsidRPr="00AE4E8D" w:rsidRDefault="00EB3492"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252.235 </w:t>
            </w:r>
          </w:p>
        </w:tc>
        <w:tc>
          <w:tcPr>
            <w:tcW w:w="754" w:type="pct"/>
            <w:noWrap/>
            <w:vAlign w:val="bottom"/>
            <w:hideMark/>
          </w:tcPr>
          <w:p w14:paraId="2C8A4DAA"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191.305 </w:t>
            </w:r>
          </w:p>
        </w:tc>
        <w:tc>
          <w:tcPr>
            <w:tcW w:w="753" w:type="pct"/>
            <w:noWrap/>
            <w:vAlign w:val="bottom"/>
            <w:hideMark/>
          </w:tcPr>
          <w:p w14:paraId="50D250CB"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162.840 </w:t>
            </w:r>
          </w:p>
        </w:tc>
      </w:tr>
      <w:tr w:rsidR="00F23D85" w:rsidRPr="00AE4E8D" w14:paraId="129FDBD7" w14:textId="77777777" w:rsidTr="000400C8">
        <w:trPr>
          <w:trHeight w:val="240"/>
          <w:jc w:val="center"/>
        </w:trPr>
        <w:tc>
          <w:tcPr>
            <w:tcW w:w="2739" w:type="pct"/>
            <w:noWrap/>
            <w:vAlign w:val="bottom"/>
            <w:hideMark/>
          </w:tcPr>
          <w:p w14:paraId="500DCFE1"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Conceptos deducibles nivel 2</w:t>
            </w:r>
          </w:p>
        </w:tc>
        <w:tc>
          <w:tcPr>
            <w:tcW w:w="754" w:type="pct"/>
            <w:tcBorders>
              <w:top w:val="nil"/>
              <w:left w:val="nil"/>
              <w:bottom w:val="single" w:sz="4" w:space="0" w:color="auto"/>
              <w:right w:val="nil"/>
            </w:tcBorders>
            <w:noWrap/>
            <w:vAlign w:val="bottom"/>
            <w:hideMark/>
          </w:tcPr>
          <w:p w14:paraId="3CECCDF2" w14:textId="77777777" w:rsidR="00F23D85" w:rsidRPr="00AE4E8D" w:rsidRDefault="00EB3492"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(352.907)</w:t>
            </w:r>
          </w:p>
        </w:tc>
        <w:tc>
          <w:tcPr>
            <w:tcW w:w="754" w:type="pct"/>
            <w:tcBorders>
              <w:top w:val="nil"/>
              <w:left w:val="nil"/>
              <w:bottom w:val="single" w:sz="4" w:space="0" w:color="auto"/>
              <w:right w:val="nil"/>
            </w:tcBorders>
            <w:noWrap/>
            <w:vAlign w:val="bottom"/>
            <w:hideMark/>
          </w:tcPr>
          <w:p w14:paraId="63A58345"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(309.377)</w:t>
            </w:r>
          </w:p>
        </w:tc>
        <w:tc>
          <w:tcPr>
            <w:tcW w:w="753" w:type="pct"/>
            <w:tcBorders>
              <w:top w:val="nil"/>
              <w:left w:val="nil"/>
              <w:bottom w:val="single" w:sz="4" w:space="0" w:color="auto"/>
              <w:right w:val="nil"/>
            </w:tcBorders>
            <w:noWrap/>
            <w:vAlign w:val="bottom"/>
            <w:hideMark/>
          </w:tcPr>
          <w:p w14:paraId="5FA9DD69"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 (538.596)</w:t>
            </w:r>
          </w:p>
        </w:tc>
      </w:tr>
      <w:tr w:rsidR="00F23D85" w:rsidRPr="00AE4E8D" w14:paraId="2D9F7A3C" w14:textId="77777777" w:rsidTr="000400C8">
        <w:trPr>
          <w:trHeight w:val="285"/>
          <w:jc w:val="center"/>
        </w:trPr>
        <w:tc>
          <w:tcPr>
            <w:tcW w:w="2739" w:type="pct"/>
            <w:noWrap/>
            <w:vAlign w:val="bottom"/>
            <w:hideMark/>
          </w:tcPr>
          <w:p w14:paraId="19C180A7" w14:textId="77777777" w:rsidR="00F23D85" w:rsidRPr="00AE4E8D" w:rsidRDefault="00F23D85" w:rsidP="00E90931">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Total capital bajo normas BCRA</w:t>
            </w:r>
          </w:p>
        </w:tc>
        <w:tc>
          <w:tcPr>
            <w:tcW w:w="754" w:type="pct"/>
            <w:noWrap/>
            <w:vAlign w:val="bottom"/>
            <w:hideMark/>
          </w:tcPr>
          <w:p w14:paraId="2F714D54" w14:textId="77777777" w:rsidR="00F23D85" w:rsidRPr="00AE4E8D" w:rsidRDefault="00EB3492" w:rsidP="00FA3175">
            <w:pPr>
              <w:jc w:val="right"/>
              <w:rPr>
                <w:rFonts w:ascii="Times New Roman" w:hAnsi="Times New Roman"/>
                <w:b/>
                <w:color w:val="000000"/>
                <w:sz w:val="18"/>
                <w:lang w:val="es-ES"/>
              </w:rPr>
            </w:pPr>
            <w:r w:rsidRPr="00AE4E8D">
              <w:rPr>
                <w:rFonts w:ascii="Times New Roman" w:hAnsi="Times New Roman"/>
                <w:b/>
                <w:bCs/>
                <w:color w:val="000000"/>
                <w:sz w:val="18"/>
                <w:szCs w:val="18"/>
                <w:lang w:val="es-ES"/>
              </w:rPr>
              <w:t xml:space="preserve">    </w:t>
            </w:r>
            <w:r w:rsidR="00F23D85" w:rsidRPr="00AE4E8D">
              <w:rPr>
                <w:rFonts w:ascii="Times New Roman" w:hAnsi="Times New Roman"/>
                <w:b/>
                <w:bCs/>
                <w:color w:val="000000"/>
                <w:sz w:val="18"/>
                <w:szCs w:val="18"/>
                <w:lang w:val="es-ES"/>
              </w:rPr>
              <w:t>4.</w:t>
            </w:r>
            <w:r w:rsidR="00067C6C" w:rsidRPr="00AE4E8D">
              <w:rPr>
                <w:rFonts w:ascii="Times New Roman" w:hAnsi="Times New Roman"/>
                <w:b/>
                <w:bCs/>
                <w:color w:val="000000"/>
                <w:sz w:val="18"/>
                <w:szCs w:val="18"/>
                <w:lang w:val="es-ES"/>
              </w:rPr>
              <w:t>817.191</w:t>
            </w:r>
            <w:r w:rsidR="00F23D85" w:rsidRPr="00AE4E8D">
              <w:rPr>
                <w:rFonts w:ascii="Times New Roman" w:hAnsi="Times New Roman"/>
                <w:b/>
                <w:bCs/>
                <w:color w:val="000000"/>
                <w:sz w:val="18"/>
                <w:szCs w:val="18"/>
                <w:lang w:val="es-ES"/>
              </w:rPr>
              <w:t xml:space="preserve"> </w:t>
            </w:r>
          </w:p>
        </w:tc>
        <w:tc>
          <w:tcPr>
            <w:tcW w:w="754" w:type="pct"/>
            <w:noWrap/>
            <w:vAlign w:val="bottom"/>
            <w:hideMark/>
          </w:tcPr>
          <w:p w14:paraId="28B04E02" w14:textId="77777777" w:rsidR="00F23D85" w:rsidRPr="00AE4E8D" w:rsidRDefault="00EB3492" w:rsidP="00FA3175">
            <w:pPr>
              <w:jc w:val="right"/>
              <w:rPr>
                <w:rFonts w:ascii="Times New Roman" w:hAnsi="Times New Roman"/>
                <w:b/>
                <w:bCs/>
                <w:color w:val="000000"/>
                <w:sz w:val="18"/>
                <w:szCs w:val="18"/>
                <w:lang w:val="es-ES"/>
              </w:rPr>
            </w:pPr>
            <w:r w:rsidRPr="00AE4E8D">
              <w:rPr>
                <w:rFonts w:ascii="Times New Roman" w:hAnsi="Times New Roman"/>
                <w:b/>
                <w:color w:val="000000"/>
                <w:sz w:val="18"/>
                <w:lang w:val="es-ES"/>
              </w:rPr>
              <w:t xml:space="preserve">    </w:t>
            </w:r>
            <w:r w:rsidR="00F23D85" w:rsidRPr="00AE4E8D">
              <w:rPr>
                <w:rFonts w:ascii="Times New Roman" w:hAnsi="Times New Roman"/>
                <w:b/>
                <w:bCs/>
                <w:color w:val="000000"/>
                <w:sz w:val="18"/>
                <w:szCs w:val="18"/>
                <w:lang w:val="es-ES"/>
              </w:rPr>
              <w:t xml:space="preserve">4.288.105 </w:t>
            </w:r>
          </w:p>
        </w:tc>
        <w:tc>
          <w:tcPr>
            <w:tcW w:w="753" w:type="pct"/>
            <w:noWrap/>
            <w:vAlign w:val="bottom"/>
            <w:hideMark/>
          </w:tcPr>
          <w:p w14:paraId="0EAD68F0" w14:textId="77777777" w:rsidR="00F23D85" w:rsidRPr="00AE4E8D" w:rsidRDefault="00EB3492" w:rsidP="00FA3175">
            <w:pPr>
              <w:jc w:val="right"/>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    </w:t>
            </w:r>
            <w:r w:rsidR="00F23D85" w:rsidRPr="00AE4E8D">
              <w:rPr>
                <w:rFonts w:ascii="Times New Roman" w:hAnsi="Times New Roman"/>
                <w:b/>
                <w:bCs/>
                <w:color w:val="000000"/>
                <w:sz w:val="18"/>
                <w:szCs w:val="18"/>
                <w:lang w:val="es-ES"/>
              </w:rPr>
              <w:t xml:space="preserve">3.459.408 </w:t>
            </w:r>
          </w:p>
        </w:tc>
      </w:tr>
      <w:tr w:rsidR="00F23D85" w:rsidRPr="00AE4E8D" w14:paraId="5C1259F0" w14:textId="77777777" w:rsidTr="000400C8">
        <w:trPr>
          <w:trHeight w:val="285"/>
          <w:jc w:val="center"/>
        </w:trPr>
        <w:tc>
          <w:tcPr>
            <w:tcW w:w="2739" w:type="pct"/>
            <w:noWrap/>
            <w:vAlign w:val="bottom"/>
          </w:tcPr>
          <w:p w14:paraId="5A21085E" w14:textId="77777777" w:rsidR="00F23D85" w:rsidRPr="00AE4E8D" w:rsidRDefault="00F23D85" w:rsidP="00E90931">
            <w:pPr>
              <w:rPr>
                <w:rFonts w:ascii="Times New Roman" w:hAnsi="Times New Roman"/>
                <w:b/>
                <w:bCs/>
                <w:color w:val="000000"/>
                <w:sz w:val="18"/>
                <w:szCs w:val="18"/>
                <w:lang w:val="es-ES"/>
              </w:rPr>
            </w:pPr>
          </w:p>
        </w:tc>
        <w:tc>
          <w:tcPr>
            <w:tcW w:w="754" w:type="pct"/>
            <w:noWrap/>
            <w:vAlign w:val="bottom"/>
          </w:tcPr>
          <w:p w14:paraId="404ADD4F" w14:textId="77777777" w:rsidR="00F23D85" w:rsidRPr="00AE4E8D" w:rsidRDefault="00F23D85" w:rsidP="00FA3175">
            <w:pPr>
              <w:jc w:val="right"/>
              <w:rPr>
                <w:rFonts w:ascii="Times New Roman" w:hAnsi="Times New Roman"/>
                <w:b/>
                <w:color w:val="000000"/>
                <w:sz w:val="18"/>
                <w:lang w:val="es-ES"/>
              </w:rPr>
            </w:pPr>
          </w:p>
        </w:tc>
        <w:tc>
          <w:tcPr>
            <w:tcW w:w="754" w:type="pct"/>
            <w:noWrap/>
            <w:vAlign w:val="bottom"/>
          </w:tcPr>
          <w:p w14:paraId="1318ED67" w14:textId="77777777" w:rsidR="00F23D85" w:rsidRPr="00AE4E8D" w:rsidRDefault="00F23D85" w:rsidP="00FA3175">
            <w:pPr>
              <w:jc w:val="right"/>
              <w:rPr>
                <w:rFonts w:ascii="Times New Roman" w:hAnsi="Times New Roman"/>
                <w:b/>
                <w:bCs/>
                <w:color w:val="000000"/>
                <w:sz w:val="18"/>
                <w:szCs w:val="18"/>
                <w:lang w:val="es-ES"/>
              </w:rPr>
            </w:pPr>
          </w:p>
        </w:tc>
        <w:tc>
          <w:tcPr>
            <w:tcW w:w="753" w:type="pct"/>
            <w:noWrap/>
            <w:vAlign w:val="bottom"/>
          </w:tcPr>
          <w:p w14:paraId="3E5849C2" w14:textId="77777777" w:rsidR="00F23D85" w:rsidRPr="00AE4E8D" w:rsidRDefault="00F23D85" w:rsidP="00FA3175">
            <w:pPr>
              <w:jc w:val="right"/>
              <w:rPr>
                <w:rFonts w:ascii="Times New Roman" w:hAnsi="Times New Roman"/>
                <w:b/>
                <w:bCs/>
                <w:color w:val="000000"/>
                <w:sz w:val="18"/>
                <w:szCs w:val="18"/>
                <w:lang w:val="es-ES"/>
              </w:rPr>
            </w:pPr>
          </w:p>
        </w:tc>
      </w:tr>
      <w:tr w:rsidR="00F23D85" w:rsidRPr="00AE4E8D" w14:paraId="7F12CE2E" w14:textId="77777777" w:rsidTr="000400C8">
        <w:trPr>
          <w:trHeight w:val="240"/>
          <w:jc w:val="center"/>
        </w:trPr>
        <w:tc>
          <w:tcPr>
            <w:tcW w:w="2739" w:type="pct"/>
            <w:noWrap/>
            <w:vAlign w:val="bottom"/>
            <w:hideMark/>
          </w:tcPr>
          <w:p w14:paraId="47112A72"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Capital excedente</w:t>
            </w:r>
          </w:p>
        </w:tc>
        <w:tc>
          <w:tcPr>
            <w:tcW w:w="754" w:type="pct"/>
            <w:noWrap/>
            <w:vAlign w:val="bottom"/>
            <w:hideMark/>
          </w:tcPr>
          <w:p w14:paraId="78964495" w14:textId="77777777" w:rsidR="00F23D85" w:rsidRPr="00AE4E8D" w:rsidRDefault="00EB3492"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lang w:val="es-ES"/>
              </w:rPr>
              <w:t>1.</w:t>
            </w:r>
            <w:r w:rsidR="00F23D85" w:rsidRPr="00AE4E8D">
              <w:rPr>
                <w:rFonts w:ascii="Times New Roman" w:hAnsi="Times New Roman"/>
                <w:color w:val="000000"/>
                <w:sz w:val="18"/>
                <w:szCs w:val="18"/>
                <w:lang w:val="es-ES"/>
              </w:rPr>
              <w:t>6</w:t>
            </w:r>
            <w:r w:rsidR="00067C6C" w:rsidRPr="00AE4E8D">
              <w:rPr>
                <w:rFonts w:ascii="Times New Roman" w:hAnsi="Times New Roman"/>
                <w:color w:val="000000"/>
                <w:sz w:val="18"/>
                <w:szCs w:val="18"/>
                <w:lang w:val="es-ES"/>
              </w:rPr>
              <w:t>52.487</w:t>
            </w:r>
            <w:r w:rsidR="00F23D85" w:rsidRPr="00AE4E8D">
              <w:rPr>
                <w:rFonts w:ascii="Times New Roman" w:hAnsi="Times New Roman"/>
                <w:color w:val="000000"/>
                <w:sz w:val="18"/>
                <w:lang w:val="es-ES"/>
              </w:rPr>
              <w:t xml:space="preserve"> </w:t>
            </w:r>
          </w:p>
        </w:tc>
        <w:tc>
          <w:tcPr>
            <w:tcW w:w="754" w:type="pct"/>
            <w:noWrap/>
            <w:vAlign w:val="bottom"/>
            <w:hideMark/>
          </w:tcPr>
          <w:p w14:paraId="37D1FAEB"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1.882.337 </w:t>
            </w:r>
          </w:p>
        </w:tc>
        <w:tc>
          <w:tcPr>
            <w:tcW w:w="753" w:type="pct"/>
            <w:noWrap/>
            <w:vAlign w:val="bottom"/>
            <w:hideMark/>
          </w:tcPr>
          <w:p w14:paraId="0D93EDB4" w14:textId="77777777" w:rsidR="00F23D85" w:rsidRPr="00AE4E8D" w:rsidRDefault="00EB3492"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w:t>
            </w:r>
            <w:r w:rsidR="00F23D85" w:rsidRPr="00AE4E8D">
              <w:rPr>
                <w:rFonts w:ascii="Times New Roman" w:hAnsi="Times New Roman"/>
                <w:color w:val="000000"/>
                <w:sz w:val="18"/>
                <w:szCs w:val="18"/>
                <w:lang w:val="es-ES"/>
              </w:rPr>
              <w:t xml:space="preserve">1.610.687 </w:t>
            </w:r>
          </w:p>
        </w:tc>
      </w:tr>
      <w:tr w:rsidR="00F23D85" w:rsidRPr="00AE4E8D" w14:paraId="0D937E59" w14:textId="77777777" w:rsidTr="000400C8">
        <w:trPr>
          <w:trHeight w:val="240"/>
          <w:jc w:val="center"/>
        </w:trPr>
        <w:tc>
          <w:tcPr>
            <w:tcW w:w="2739" w:type="pct"/>
            <w:noWrap/>
            <w:vAlign w:val="bottom"/>
            <w:hideMark/>
          </w:tcPr>
          <w:p w14:paraId="0F7CB8F8" w14:textId="77777777" w:rsidR="00F23D85" w:rsidRPr="00AE4E8D" w:rsidRDefault="00F23D85" w:rsidP="00E90931">
            <w:pPr>
              <w:rPr>
                <w:rFonts w:ascii="Times New Roman" w:hAnsi="Times New Roman"/>
                <w:color w:val="000000"/>
                <w:sz w:val="18"/>
                <w:szCs w:val="18"/>
                <w:lang w:val="es-ES"/>
              </w:rPr>
            </w:pPr>
            <w:r w:rsidRPr="00AE4E8D">
              <w:rPr>
                <w:rFonts w:ascii="Times New Roman" w:hAnsi="Times New Roman"/>
                <w:color w:val="000000"/>
                <w:sz w:val="18"/>
                <w:szCs w:val="18"/>
                <w:lang w:val="es-ES"/>
              </w:rPr>
              <w:t>Capital excedente / capital mínimo</w:t>
            </w:r>
          </w:p>
        </w:tc>
        <w:tc>
          <w:tcPr>
            <w:tcW w:w="754" w:type="pct"/>
            <w:noWrap/>
            <w:vAlign w:val="bottom"/>
            <w:hideMark/>
          </w:tcPr>
          <w:p w14:paraId="3ED0B81E" w14:textId="77777777" w:rsidR="00F23D85" w:rsidRPr="00AE4E8D" w:rsidRDefault="00F23D85" w:rsidP="00FA3175">
            <w:pPr>
              <w:jc w:val="right"/>
              <w:rPr>
                <w:rFonts w:ascii="Times New Roman" w:hAnsi="Times New Roman"/>
                <w:color w:val="000000"/>
                <w:sz w:val="18"/>
                <w:lang w:val="es-ES"/>
              </w:rPr>
            </w:pPr>
            <w:r w:rsidRPr="00AE4E8D">
              <w:rPr>
                <w:rFonts w:ascii="Times New Roman" w:hAnsi="Times New Roman"/>
                <w:color w:val="000000"/>
                <w:sz w:val="18"/>
                <w:szCs w:val="18"/>
                <w:lang w:val="es-ES"/>
              </w:rPr>
              <w:t>5</w:t>
            </w:r>
            <w:r w:rsidR="00067C6C" w:rsidRPr="00AE4E8D">
              <w:rPr>
                <w:rFonts w:ascii="Times New Roman" w:hAnsi="Times New Roman"/>
                <w:color w:val="000000"/>
                <w:sz w:val="18"/>
                <w:szCs w:val="18"/>
                <w:lang w:val="es-ES"/>
              </w:rPr>
              <w:t>2,22</w:t>
            </w:r>
            <w:r w:rsidRPr="00AE4E8D">
              <w:rPr>
                <w:rFonts w:ascii="Times New Roman" w:hAnsi="Times New Roman"/>
                <w:color w:val="000000"/>
                <w:sz w:val="18"/>
                <w:lang w:val="es-ES"/>
              </w:rPr>
              <w:t>%</w:t>
            </w:r>
          </w:p>
        </w:tc>
        <w:tc>
          <w:tcPr>
            <w:tcW w:w="754" w:type="pct"/>
            <w:noWrap/>
            <w:vAlign w:val="bottom"/>
            <w:hideMark/>
          </w:tcPr>
          <w:p w14:paraId="68342F50" w14:textId="77777777" w:rsidR="00F23D85" w:rsidRPr="00AE4E8D" w:rsidRDefault="00F23D85"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78,24%</w:t>
            </w:r>
          </w:p>
        </w:tc>
        <w:tc>
          <w:tcPr>
            <w:tcW w:w="753" w:type="pct"/>
            <w:noWrap/>
            <w:vAlign w:val="bottom"/>
            <w:hideMark/>
          </w:tcPr>
          <w:p w14:paraId="3507F6CA" w14:textId="77777777" w:rsidR="00F23D85" w:rsidRPr="00AE4E8D" w:rsidRDefault="00F23D85" w:rsidP="00FA3175">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87,12%</w:t>
            </w:r>
          </w:p>
        </w:tc>
      </w:tr>
    </w:tbl>
    <w:p w14:paraId="6E62E370" w14:textId="77777777" w:rsidR="00B362BA" w:rsidRPr="00AE4E8D" w:rsidRDefault="0052498C" w:rsidP="0008264A">
      <w:pPr>
        <w:pStyle w:val="BH1Centro"/>
        <w:rPr>
          <w:rFonts w:ascii="Times New Roman" w:hAnsi="Times New Roman"/>
          <w:lang w:val="es-ES"/>
        </w:rPr>
      </w:pPr>
      <w:bookmarkStart w:id="405" w:name="_Toc420062580"/>
      <w:bookmarkStart w:id="406" w:name="_Toc421201394"/>
      <w:r w:rsidRPr="00AE4E8D">
        <w:rPr>
          <w:rFonts w:ascii="Times New Roman" w:hAnsi="Times New Roman"/>
          <w:lang w:val="es-ES"/>
        </w:rPr>
        <w:br w:type="page"/>
      </w:r>
      <w:bookmarkStart w:id="407" w:name="_Toc449010430"/>
      <w:bookmarkStart w:id="408" w:name="_Toc487734740"/>
      <w:bookmarkStart w:id="409" w:name="_Toc495973017"/>
      <w:bookmarkStart w:id="410" w:name="_Toc495399924"/>
      <w:bookmarkEnd w:id="303"/>
      <w:bookmarkEnd w:id="304"/>
      <w:bookmarkEnd w:id="305"/>
      <w:bookmarkEnd w:id="306"/>
      <w:bookmarkEnd w:id="405"/>
      <w:bookmarkEnd w:id="406"/>
      <w:r w:rsidR="00CB5660" w:rsidRPr="00AE4E8D">
        <w:rPr>
          <w:rFonts w:ascii="Times New Roman" w:hAnsi="Times New Roman"/>
          <w:lang w:val="es-ES"/>
        </w:rPr>
        <w:lastRenderedPageBreak/>
        <w:t>INFORMACIÓN CONTABLE Y DE OTRA ÍNDOLE SELECCIONADA</w:t>
      </w:r>
      <w:bookmarkEnd w:id="407"/>
      <w:bookmarkEnd w:id="408"/>
      <w:bookmarkEnd w:id="409"/>
      <w:bookmarkEnd w:id="410"/>
    </w:p>
    <w:p w14:paraId="62BC27FC" w14:textId="77777777" w:rsidR="0067329E" w:rsidRPr="00AE4E8D" w:rsidRDefault="0067329E" w:rsidP="0067329E">
      <w:pPr>
        <w:autoSpaceDE w:val="0"/>
        <w:autoSpaceDN w:val="0"/>
        <w:adjustRightInd w:val="0"/>
        <w:spacing w:before="120" w:after="120"/>
        <w:jc w:val="both"/>
        <w:rPr>
          <w:rFonts w:ascii="Times New Roman" w:hAnsi="Times New Roman"/>
          <w:lang w:val="es-ES" w:eastAsia="es-AR"/>
        </w:rPr>
      </w:pPr>
      <w:bookmarkStart w:id="411" w:name="_DV_M1129"/>
      <w:bookmarkStart w:id="412" w:name="_DV_M1134"/>
      <w:bookmarkStart w:id="413" w:name="_DV_M1139"/>
      <w:bookmarkStart w:id="414" w:name="_DV_M1140"/>
      <w:bookmarkStart w:id="415" w:name="_DV_M1149"/>
      <w:bookmarkStart w:id="416" w:name="_DV_M1150"/>
      <w:bookmarkStart w:id="417" w:name="_DV_M1151"/>
      <w:bookmarkStart w:id="418" w:name="_DV_M1152"/>
      <w:bookmarkStart w:id="419" w:name="_DV_M1042"/>
      <w:bookmarkStart w:id="420" w:name="_DV_M1043"/>
      <w:bookmarkStart w:id="421" w:name="_DV_M1044"/>
      <w:bookmarkStart w:id="422" w:name="_DV_M1235"/>
      <w:bookmarkStart w:id="423" w:name="_DV_M1236"/>
      <w:bookmarkStart w:id="424" w:name="_DV_M1237"/>
      <w:bookmarkStart w:id="425" w:name="_DV_M1153"/>
      <w:bookmarkStart w:id="426" w:name="_DV_M1154"/>
      <w:bookmarkStart w:id="427" w:name="_DV_M1155"/>
      <w:bookmarkStart w:id="428" w:name="_DV_M1156"/>
      <w:bookmarkStart w:id="429" w:name="_DV_M1157"/>
      <w:bookmarkStart w:id="430" w:name="_DV_M1158"/>
      <w:bookmarkStart w:id="431" w:name="_DV_C5764"/>
      <w:bookmarkStart w:id="432" w:name="_DV_M1159"/>
      <w:bookmarkStart w:id="433" w:name="_DV_M1160"/>
      <w:bookmarkStart w:id="434" w:name="_Toc83026261"/>
      <w:bookmarkStart w:id="435" w:name="_DV_M1048"/>
      <w:bookmarkStart w:id="436" w:name="_DV_M1049"/>
      <w:bookmarkStart w:id="437" w:name="_DV_M1058"/>
      <w:bookmarkStart w:id="438" w:name="_DV_M1175"/>
      <w:bookmarkStart w:id="439" w:name="_DV_M1176"/>
      <w:bookmarkStart w:id="440" w:name="_DV_M1177"/>
      <w:bookmarkStart w:id="441" w:name="_DV_M1178"/>
      <w:bookmarkStart w:id="442" w:name="_DV_M1179"/>
      <w:bookmarkStart w:id="443" w:name="_DV_M1181"/>
      <w:bookmarkStart w:id="444" w:name="_DV_M1182"/>
      <w:bookmarkStart w:id="445" w:name="_DV_M1183"/>
      <w:bookmarkStart w:id="446" w:name="_DV_M1219"/>
      <w:bookmarkStart w:id="447" w:name="_DV_M1224"/>
      <w:bookmarkStart w:id="448" w:name="_DV_M1226"/>
      <w:bookmarkStart w:id="449" w:name="_DV_M1250"/>
      <w:bookmarkStart w:id="450" w:name="_DV_M1265"/>
      <w:bookmarkStart w:id="451" w:name="_DV_M1276"/>
      <w:bookmarkStart w:id="452" w:name="_DV_M1281"/>
      <w:bookmarkStart w:id="453" w:name="_DV_M1286"/>
      <w:bookmarkStart w:id="454" w:name="_DV_M1290"/>
      <w:bookmarkStart w:id="455" w:name="_DV_M1307"/>
      <w:bookmarkStart w:id="456" w:name="_DV_M1308"/>
      <w:bookmarkStart w:id="457" w:name="_DV_M1309"/>
      <w:bookmarkStart w:id="458" w:name="_DV_M1310"/>
      <w:bookmarkStart w:id="459" w:name="_DV_M1311"/>
      <w:bookmarkStart w:id="460" w:name="_DV_M1312"/>
      <w:bookmarkStart w:id="461" w:name="_DV_M1313"/>
      <w:bookmarkStart w:id="462" w:name="_DV_M1314"/>
      <w:bookmarkStart w:id="463" w:name="_DV_M1315"/>
      <w:bookmarkStart w:id="464" w:name="_DV_M1316"/>
      <w:bookmarkStart w:id="465" w:name="_DV_M1317"/>
      <w:bookmarkStart w:id="466" w:name="_DV_M1318"/>
      <w:bookmarkStart w:id="467" w:name="_DV_M1319"/>
      <w:bookmarkStart w:id="468" w:name="_DV_M1320"/>
      <w:bookmarkStart w:id="469" w:name="_DV_M1321"/>
      <w:bookmarkStart w:id="470" w:name="_DV_M1322"/>
      <w:bookmarkStart w:id="471" w:name="_DV_M1323"/>
      <w:bookmarkStart w:id="472" w:name="_DV_M1324"/>
      <w:bookmarkStart w:id="473" w:name="_DV_M1325"/>
      <w:bookmarkStart w:id="474" w:name="_DV_M1326"/>
      <w:bookmarkStart w:id="475" w:name="_DV_M1327"/>
      <w:bookmarkStart w:id="476" w:name="_DV_M1328"/>
      <w:bookmarkStart w:id="477" w:name="_DV_M1329"/>
      <w:bookmarkStart w:id="478" w:name="_DV_M1330"/>
      <w:bookmarkStart w:id="479" w:name="_DV_M1331"/>
      <w:bookmarkStart w:id="480" w:name="_DV_M1332"/>
      <w:bookmarkStart w:id="481" w:name="_DV_M1333"/>
      <w:bookmarkStart w:id="482" w:name="_DV_M1334"/>
      <w:bookmarkStart w:id="483" w:name="_DV_M1335"/>
      <w:bookmarkStart w:id="484" w:name="_DV_M1536"/>
      <w:bookmarkStart w:id="485" w:name="_DV_M1538"/>
      <w:bookmarkStart w:id="486" w:name="_DV_M1539"/>
      <w:bookmarkStart w:id="487" w:name="_DV_M1541"/>
      <w:bookmarkStart w:id="488" w:name="_DV_M1375"/>
      <w:bookmarkStart w:id="489" w:name="_DV_M1342"/>
      <w:bookmarkStart w:id="490" w:name="_DV_M1345"/>
      <w:bookmarkStart w:id="491" w:name="_DV_M1347"/>
      <w:bookmarkStart w:id="492" w:name="_DV_M1352"/>
      <w:bookmarkStart w:id="493" w:name="_DV_M1357"/>
      <w:bookmarkStart w:id="494" w:name="_DV_M1358"/>
      <w:bookmarkStart w:id="495" w:name="_DV_M1363"/>
      <w:bookmarkStart w:id="496" w:name="_DV_M1367"/>
      <w:bookmarkStart w:id="497" w:name="_DV_M1368"/>
      <w:bookmarkStart w:id="498" w:name="_DV_M1485"/>
      <w:bookmarkStart w:id="499" w:name="_DV_M1481"/>
      <w:bookmarkStart w:id="500" w:name="_DV_M1465"/>
      <w:bookmarkStart w:id="501" w:name="_DV_M1475"/>
      <w:bookmarkStart w:id="502" w:name="_DV_M1477"/>
      <w:bookmarkStart w:id="503" w:name="_Toc414610866"/>
      <w:bookmarkStart w:id="504" w:name="_Toc420062581"/>
      <w:bookmarkStart w:id="505" w:name="_Toc421201395"/>
      <w:bookmarkStart w:id="506" w:name="_Toc449010431"/>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r w:rsidRPr="00AE4E8D">
        <w:rPr>
          <w:rFonts w:ascii="Times New Roman" w:hAnsi="Times New Roman"/>
          <w:lang w:val="es-ES" w:eastAsia="es-AR"/>
        </w:rPr>
        <w:t xml:space="preserve">Los siguientes cuadros presentan nuestra información contable y de otra índole consolidada seleccionada y por los ejercicios finalizados el 31 de diciembre de 2012, 2013, 2014, 2015 y 2016 y a dichas fechas y para los períodos de seis meses finalizados al 30 de junio de 2016 y 2017 y a dichas fechas. Esta información debe leerse junto con, y está condicionada en su totalidad por referencia a, los estados contables incluidos en este Prospecto y en las secciones tituladas </w:t>
      </w:r>
      <w:r w:rsidRPr="00AE4E8D">
        <w:rPr>
          <w:rFonts w:ascii="Times New Roman" w:hAnsi="Times New Roman"/>
          <w:i/>
          <w:lang w:val="es-ES" w:eastAsia="es-AR"/>
        </w:rPr>
        <w:t>“Reseña y Perspectiva Operativa Financiera"</w:t>
      </w:r>
      <w:r w:rsidRPr="00AE4E8D">
        <w:rPr>
          <w:rFonts w:ascii="Times New Roman" w:hAnsi="Times New Roman"/>
          <w:lang w:val="es-ES" w:eastAsia="es-AR"/>
        </w:rPr>
        <w:t xml:space="preserve"> e </w:t>
      </w:r>
      <w:r w:rsidRPr="00AE4E8D">
        <w:rPr>
          <w:rFonts w:ascii="Times New Roman" w:hAnsi="Times New Roman"/>
          <w:i/>
          <w:lang w:val="es-ES" w:eastAsia="es-AR"/>
        </w:rPr>
        <w:t>“Información Estadística Seleccionada”</w:t>
      </w:r>
      <w:r w:rsidRPr="00AE4E8D">
        <w:rPr>
          <w:rFonts w:ascii="Times New Roman" w:hAnsi="Times New Roman"/>
          <w:lang w:val="es-ES" w:eastAsia="es-AR"/>
        </w:rPr>
        <w:t xml:space="preserve">. </w:t>
      </w:r>
    </w:p>
    <w:p w14:paraId="6756E8C1" w14:textId="77777777" w:rsidR="0067329E" w:rsidRPr="00AE4E8D" w:rsidRDefault="0067329E" w:rsidP="0067329E">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La información contable consolidada seleccionada al 31 de diciembre de 2014, 2015 y 2016, y para cada uno de los ejercicios finalizados el 31 de diciembre de 2014, 2015 y 2016 deriva de nuestros estados contables consolidados incluidos en este Prospecto, que han sido auditados por Price Waterhouse &amp; Co. S.R.L. El informe de Price Waterhouse &amp; Co. S.R.L. sobre nuestros estados contables consolidados auditados se incluye en otra sección de este Prospecto. </w:t>
      </w:r>
      <w:r w:rsidRPr="00AE4E8D">
        <w:rPr>
          <w:rFonts w:ascii="Times New Roman" w:hAnsi="Times New Roman"/>
          <w:lang w:val="es-ES"/>
        </w:rPr>
        <w:t>El resumen de la información contable consolidada al 31 de diciembre de 2012 y 2013 y para el ejercicio finalizado el 31 de diciembre de 2012 y 2013 deriva de los estados contables consolidados auditados que no se incluyen en este Prospecto.</w:t>
      </w:r>
      <w:r w:rsidRPr="00AE4E8D">
        <w:rPr>
          <w:rFonts w:ascii="Times New Roman" w:hAnsi="Times New Roman"/>
          <w:lang w:val="es-ES" w:eastAsia="es-AR"/>
        </w:rPr>
        <w:t xml:space="preserve"> </w:t>
      </w:r>
    </w:p>
    <w:p w14:paraId="0C2C17C5" w14:textId="77777777" w:rsidR="0067329E" w:rsidRPr="00AE4E8D" w:rsidRDefault="0067329E" w:rsidP="0067329E">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La información contable consolidada </w:t>
      </w:r>
      <w:r w:rsidR="00EC10D3" w:rsidRPr="00AE4E8D">
        <w:rPr>
          <w:rFonts w:ascii="Times New Roman" w:hAnsi="Times New Roman"/>
          <w:lang w:val="es-ES"/>
        </w:rPr>
        <w:t xml:space="preserve">seleccionada </w:t>
      </w:r>
      <w:r w:rsidRPr="00AE4E8D">
        <w:rPr>
          <w:rFonts w:ascii="Times New Roman" w:hAnsi="Times New Roman"/>
          <w:lang w:val="es-ES"/>
        </w:rPr>
        <w:t xml:space="preserve">a partir de y para los </w:t>
      </w:r>
      <w:r w:rsidRPr="00AE4E8D">
        <w:rPr>
          <w:rFonts w:ascii="Times New Roman" w:hAnsi="Times New Roman"/>
          <w:lang w:val="es-ES" w:eastAsia="es-AR"/>
        </w:rPr>
        <w:t xml:space="preserve">períodos de </w:t>
      </w:r>
      <w:r w:rsidRPr="00AE4E8D">
        <w:rPr>
          <w:rFonts w:ascii="Times New Roman" w:hAnsi="Times New Roman"/>
          <w:lang w:val="es-ES"/>
        </w:rPr>
        <w:t>seis meses finalizados el 30 de junio de 2016 y 2017 deriva de nuestros estados contables consolidados no auditados intermedios incluidos en este Prospecto.</w:t>
      </w:r>
      <w:r w:rsidRPr="00AE4E8D" w:rsidDel="004956B9">
        <w:rPr>
          <w:rFonts w:ascii="Times New Roman" w:hAnsi="Times New Roman"/>
          <w:lang w:val="es-ES"/>
        </w:rPr>
        <w:t xml:space="preserve"> </w:t>
      </w:r>
      <w:r w:rsidRPr="00AE4E8D">
        <w:rPr>
          <w:rFonts w:ascii="Times New Roman" w:hAnsi="Times New Roman"/>
          <w:lang w:val="es-ES"/>
        </w:rPr>
        <w:t>Los resultados de las operaciones para los seis meses finalizados el 30 de junio de 2017 no necesariamente indican los resultados a ser esperados para el ejercicio finalizado el 31 de diciembre de 2017 ni para ningún otro período.</w:t>
      </w:r>
    </w:p>
    <w:p w14:paraId="1298AA60" w14:textId="3CC91F9A" w:rsidR="0067329E" w:rsidRPr="00AE4E8D" w:rsidRDefault="0067329E" w:rsidP="0067329E">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Nuestros estados contables auditados y no auditados han sido confeccionados de conformidad con las Normas Contables del BCRA</w:t>
      </w:r>
      <w:r w:rsidRPr="00AE4E8D" w:rsidDel="004E53D9">
        <w:rPr>
          <w:rFonts w:ascii="Times New Roman" w:hAnsi="Times New Roman"/>
          <w:lang w:val="es-ES" w:eastAsia="es-AR"/>
        </w:rPr>
        <w:t xml:space="preserve"> </w:t>
      </w:r>
      <w:r w:rsidRPr="00AE4E8D">
        <w:rPr>
          <w:rFonts w:ascii="Times New Roman" w:hAnsi="Times New Roman"/>
          <w:lang w:val="es-ES" w:eastAsia="es-AR"/>
        </w:rPr>
        <w:t>las cuales difieren en determinados aspectos significativos de los PCGA de Argentina y NIIF. Nuestros estados contables auditados no incluyen una conciliación con NIIF de nuestro patrimonio neto o el resultado neto</w:t>
      </w:r>
      <w:r w:rsidR="006C5DF7">
        <w:rPr>
          <w:rFonts w:ascii="Times New Roman" w:hAnsi="Times New Roman"/>
          <w:lang w:val="es-ES" w:eastAsia="es-AR"/>
        </w:rPr>
        <w:t>, sin embargo</w:t>
      </w:r>
      <w:r w:rsidR="006C5DF7" w:rsidRPr="006C5DF7">
        <w:rPr>
          <w:rFonts w:ascii="Times New Roman" w:hAnsi="Times New Roman"/>
          <w:lang w:val="es-ES" w:eastAsia="es-AR"/>
        </w:rPr>
        <w:t xml:space="preserve"> </w:t>
      </w:r>
      <w:r w:rsidR="006C5DF7" w:rsidRPr="00AE4E8D">
        <w:rPr>
          <w:rFonts w:ascii="Times New Roman" w:hAnsi="Times New Roman"/>
          <w:lang w:val="es-ES" w:eastAsia="es-AR"/>
        </w:rPr>
        <w:t xml:space="preserve">nuestros estados contables </w:t>
      </w:r>
      <w:r w:rsidR="006C5DF7">
        <w:rPr>
          <w:rFonts w:ascii="Times New Roman" w:hAnsi="Times New Roman"/>
          <w:lang w:val="es-ES" w:eastAsia="es-AR"/>
        </w:rPr>
        <w:t xml:space="preserve">no </w:t>
      </w:r>
      <w:r w:rsidR="006C5DF7" w:rsidRPr="00AE4E8D">
        <w:rPr>
          <w:rFonts w:ascii="Times New Roman" w:hAnsi="Times New Roman"/>
          <w:lang w:val="es-ES" w:eastAsia="es-AR"/>
        </w:rPr>
        <w:t>auditados</w:t>
      </w:r>
      <w:r w:rsidR="006C5DF7">
        <w:rPr>
          <w:rFonts w:ascii="Times New Roman" w:hAnsi="Times New Roman"/>
          <w:lang w:val="es-ES" w:eastAsia="es-AR"/>
        </w:rPr>
        <w:t xml:space="preserve"> contienen dicha conciliación</w:t>
      </w:r>
      <w:r w:rsidRPr="00AE4E8D">
        <w:rPr>
          <w:rFonts w:ascii="Times New Roman" w:hAnsi="Times New Roman"/>
          <w:lang w:val="es-ES" w:eastAsia="es-AR"/>
        </w:rPr>
        <w:t>. Los inversores interesados en las Obligaciones Negociables emitidas bajo este Programa deberían consultar a sus asesores profesionales para un mejor entendimiento de las diferencias entre l</w:t>
      </w:r>
      <w:r w:rsidR="008F2477" w:rsidRPr="00AE4E8D">
        <w:rPr>
          <w:rFonts w:ascii="Times New Roman" w:hAnsi="Times New Roman"/>
          <w:lang w:val="es-ES" w:eastAsia="es-AR"/>
        </w:rPr>
        <w:t>o</w:t>
      </w:r>
      <w:r w:rsidRPr="00AE4E8D">
        <w:rPr>
          <w:rFonts w:ascii="Times New Roman" w:hAnsi="Times New Roman"/>
          <w:lang w:val="es-ES" w:eastAsia="es-AR"/>
        </w:rPr>
        <w:t>s principios contables utilizados por nosotros y los PCGA de Argentina y NIIF, y la forma en que dichas diferencias afectan nuestra información financiera aquí contenida y en cualquier suplemento de precio.</w:t>
      </w:r>
      <w:r w:rsidR="008F2477" w:rsidRPr="00AE4E8D">
        <w:rPr>
          <w:rFonts w:ascii="Times New Roman" w:hAnsi="Times New Roman"/>
          <w:lang w:val="es-ES" w:eastAsia="es-AR"/>
        </w:rPr>
        <w:t xml:space="preserve"> </w:t>
      </w:r>
      <w:r w:rsidR="00383413" w:rsidRPr="00AE4E8D">
        <w:rPr>
          <w:rFonts w:ascii="Times New Roman" w:hAnsi="Times New Roman"/>
          <w:lang w:val="es-ES" w:eastAsia="es-AR"/>
        </w:rPr>
        <w:t xml:space="preserve">En 2014, el </w:t>
      </w:r>
      <w:r w:rsidR="004D7B80">
        <w:rPr>
          <w:rFonts w:ascii="Times New Roman" w:hAnsi="Times New Roman"/>
          <w:lang w:val="es-ES" w:eastAsia="es-AR"/>
        </w:rPr>
        <w:t>BCRA</w:t>
      </w:r>
      <w:r w:rsidR="00383413" w:rsidRPr="00AE4E8D">
        <w:rPr>
          <w:rFonts w:ascii="Times New Roman" w:hAnsi="Times New Roman"/>
          <w:lang w:val="es-ES" w:eastAsia="es-AR"/>
        </w:rPr>
        <w:t xml:space="preserve"> emitió la Comunicación "A" 5541, que proporcionó una hoja de ruta para la convergencia del régimen informativo y contable existente de acuerdo con las </w:t>
      </w:r>
      <w:r w:rsidR="004D7B80" w:rsidRPr="00AE4E8D">
        <w:rPr>
          <w:rFonts w:ascii="Times New Roman" w:hAnsi="Times New Roman"/>
          <w:lang w:val="es-ES" w:eastAsia="es-AR"/>
        </w:rPr>
        <w:t xml:space="preserve">Normas </w:t>
      </w:r>
      <w:r w:rsidR="004D7B80">
        <w:rPr>
          <w:rFonts w:ascii="Times New Roman" w:hAnsi="Times New Roman"/>
          <w:lang w:val="es-ES" w:eastAsia="es-AR"/>
        </w:rPr>
        <w:t xml:space="preserve">Contables </w:t>
      </w:r>
      <w:r w:rsidR="00383413" w:rsidRPr="00AE4E8D">
        <w:rPr>
          <w:rFonts w:ascii="Times New Roman" w:hAnsi="Times New Roman"/>
          <w:lang w:val="es-ES" w:eastAsia="es-AR"/>
        </w:rPr>
        <w:t xml:space="preserve">del BCRA y las NIIF. Además, en diciembre de 2016, el </w:t>
      </w:r>
      <w:r w:rsidR="004D7B80">
        <w:rPr>
          <w:rFonts w:ascii="Times New Roman" w:hAnsi="Times New Roman"/>
          <w:lang w:val="es-ES" w:eastAsia="es-AR"/>
        </w:rPr>
        <w:t>BCRA</w:t>
      </w:r>
      <w:r w:rsidR="00383413" w:rsidRPr="00AE4E8D">
        <w:rPr>
          <w:rFonts w:ascii="Times New Roman" w:hAnsi="Times New Roman"/>
          <w:lang w:val="es-ES" w:eastAsia="es-AR"/>
        </w:rPr>
        <w:t xml:space="preserve"> emitió la Comunicación "A" 6114, que estableció los criterios que deberían ser tomados en consideración por las entidades financieras en el marco de convergencia </w:t>
      </w:r>
      <w:r w:rsidR="004D7B80">
        <w:rPr>
          <w:rFonts w:ascii="Times New Roman" w:hAnsi="Times New Roman"/>
          <w:lang w:val="es-ES" w:eastAsia="es-AR"/>
        </w:rPr>
        <w:t>a partir del 1 de enero de 2018</w:t>
      </w:r>
      <w:r w:rsidR="008F2477" w:rsidRPr="00AE4E8D">
        <w:rPr>
          <w:rFonts w:ascii="Times New Roman" w:hAnsi="Times New Roman"/>
          <w:lang w:val="es-ES" w:eastAsia="es-AR"/>
        </w:rPr>
        <w:t xml:space="preserve">. Actualmente estamos llevando a cabo una revisión completa de nuestros sistemas de contabilidad </w:t>
      </w:r>
      <w:r w:rsidR="002A5A31" w:rsidRPr="00AE4E8D">
        <w:rPr>
          <w:rFonts w:ascii="Times New Roman" w:hAnsi="Times New Roman"/>
          <w:lang w:val="es-ES" w:eastAsia="es-AR"/>
        </w:rPr>
        <w:t>preparándonos</w:t>
      </w:r>
      <w:r w:rsidR="008F2477" w:rsidRPr="00AE4E8D">
        <w:rPr>
          <w:rFonts w:ascii="Times New Roman" w:hAnsi="Times New Roman"/>
          <w:lang w:val="es-ES" w:eastAsia="es-AR"/>
        </w:rPr>
        <w:t xml:space="preserve"> para nuestra oportuna adopción de las normas contables IFRS.</w:t>
      </w:r>
    </w:p>
    <w:p w14:paraId="05CCD522" w14:textId="77777777" w:rsidR="0067329E" w:rsidRPr="00AE4E8D" w:rsidRDefault="0067329E" w:rsidP="0067329E">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A partir del 1 de enero de 1995, y de acuerdo con la Resolución N°388 de la Superintendencia de Entidades Financieras, interrumpimos nuestra práctica anterior de ajustar los resultados presentados en nuestros estados contables para que reflejen los efectos de la inflación. Desde el 1 de enero de 2002 nosotros hemos reiniciado el ajuste de nuestros resultados para que reflejen los efectos de la inflación como consecuencia de la aplicación de la Comunicación "A" 3702, que derogó todo régimen que no permitiera a las empresas ajustar sus saldos contables a los valores corrientes al cierre del ejercicio. El 25 de marzo de 2003, en virtud del Decreto Nº664/03, se eliminó el requisito que exigía que los estados contables sean confeccionados en moneda constante, con vigencia para los períodos contables iniciados a partir del 1 de marzo de 2003, y el 8 de abril de 2003, el BCRA emitió la Comunicación "A" 3921 por la que se suspende la contabilización de la inflación con vigencia a partir del 1 de marzo de 2003. </w:t>
      </w:r>
      <w:r w:rsidRPr="00AE4E8D">
        <w:rPr>
          <w:rFonts w:ascii="Times New Roman" w:hAnsi="Times New Roman"/>
          <w:lang w:val="es-ES"/>
        </w:rPr>
        <w:t>Por lo tanto, nuestros estados contables auditados al 31 de diciembre de 2012, 2013, 2014</w:t>
      </w:r>
      <w:r w:rsidRPr="00AE4E8D">
        <w:rPr>
          <w:rFonts w:ascii="Times New Roman" w:hAnsi="Times New Roman"/>
          <w:lang w:val="es-ES" w:eastAsia="es-AR"/>
        </w:rPr>
        <w:t>,</w:t>
      </w:r>
      <w:r w:rsidRPr="00AE4E8D">
        <w:rPr>
          <w:rFonts w:ascii="Times New Roman" w:hAnsi="Times New Roman"/>
          <w:lang w:val="es-ES"/>
        </w:rPr>
        <w:t xml:space="preserve"> 2015</w:t>
      </w:r>
      <w:r w:rsidRPr="00AE4E8D">
        <w:rPr>
          <w:rFonts w:ascii="Times New Roman" w:hAnsi="Times New Roman"/>
          <w:lang w:val="es-ES" w:eastAsia="es-AR"/>
        </w:rPr>
        <w:t xml:space="preserve"> y 2016</w:t>
      </w:r>
      <w:r w:rsidRPr="00AE4E8D">
        <w:rPr>
          <w:rFonts w:ascii="Times New Roman" w:hAnsi="Times New Roman"/>
          <w:lang w:val="es-ES"/>
        </w:rPr>
        <w:t>, no incluyen los efectos de la inflación.</w:t>
      </w:r>
    </w:p>
    <w:p w14:paraId="1E192BEE" w14:textId="77777777" w:rsidR="0067329E" w:rsidRPr="00AE4E8D" w:rsidRDefault="0067329E" w:rsidP="0067329E">
      <w:pPr>
        <w:pStyle w:val="BHTexto"/>
        <w:rPr>
          <w:lang w:val="es-ES" w:eastAsia="es-AR"/>
        </w:rPr>
      </w:pPr>
      <w:r w:rsidRPr="00AE4E8D">
        <w:rPr>
          <w:lang w:val="es-ES" w:eastAsia="es-AR"/>
        </w:rPr>
        <w:t>El tipo de cambio utilizado a los fines de la conversión de los montos en Pesos a Dólares Estadounidenses</w:t>
      </w:r>
      <w:r w:rsidR="00845924" w:rsidRPr="00AE4E8D">
        <w:rPr>
          <w:lang w:val="es-ES" w:eastAsia="es-AR"/>
        </w:rPr>
        <w:t xml:space="preserve"> </w:t>
      </w:r>
      <w:r w:rsidRPr="00AE4E8D">
        <w:rPr>
          <w:lang w:val="es-ES" w:eastAsia="es-AR"/>
        </w:rPr>
        <w:t>(i) al 31 de diciembre de 2016 fue de Ps.15</w:t>
      </w:r>
      <w:proofErr w:type="gramStart"/>
      <w:r w:rsidRPr="00AE4E8D">
        <w:rPr>
          <w:lang w:val="es-ES" w:eastAsia="es-AR"/>
        </w:rPr>
        <w:t>,8502</w:t>
      </w:r>
      <w:proofErr w:type="gramEnd"/>
      <w:r w:rsidRPr="00AE4E8D">
        <w:rPr>
          <w:lang w:val="es-ES" w:eastAsia="es-AR"/>
        </w:rPr>
        <w:t xml:space="preserve"> por US$1,00 y (ii) al 30 de junio de 2017 fue de Ps.16,5985 por US$1,00, en cada caso de acuerdo con el Tipo de Cambio de Referencia publicado por el BCRA para dicha fecha. Vease “</w:t>
      </w:r>
      <w:r w:rsidRPr="00AE4E8D">
        <w:rPr>
          <w:i/>
          <w:lang w:val="es-ES"/>
        </w:rPr>
        <w:t>Información Adicional–d) Controles de Cambio”</w:t>
      </w:r>
      <w:r w:rsidRPr="00AE4E8D">
        <w:rPr>
          <w:lang w:val="es-ES"/>
        </w:rPr>
        <w:t>.</w:t>
      </w:r>
      <w:r w:rsidRPr="00AE4E8D" w:rsidDel="008E7B2D">
        <w:rPr>
          <w:lang w:val="es-ES"/>
        </w:rPr>
        <w:t xml:space="preserve"> </w:t>
      </w:r>
    </w:p>
    <w:p w14:paraId="46B7143D" w14:textId="77777777" w:rsidR="0067329E" w:rsidRPr="00AE4E8D" w:rsidRDefault="0067329E" w:rsidP="0067329E">
      <w:pPr>
        <w:autoSpaceDE w:val="0"/>
        <w:autoSpaceDN w:val="0"/>
        <w:adjustRightInd w:val="0"/>
        <w:spacing w:before="120" w:after="120"/>
        <w:jc w:val="both"/>
        <w:rPr>
          <w:rFonts w:ascii="Times New Roman" w:hAnsi="Times New Roman"/>
          <w:lang w:val="es-ES" w:eastAsia="es-AR"/>
        </w:rPr>
      </w:pPr>
    </w:p>
    <w:p w14:paraId="78904CA3" w14:textId="77777777" w:rsidR="0067329E" w:rsidRPr="00AE4E8D" w:rsidRDefault="0067329E" w:rsidP="0067329E">
      <w:pPr>
        <w:autoSpaceDE w:val="0"/>
        <w:autoSpaceDN w:val="0"/>
        <w:adjustRightInd w:val="0"/>
        <w:spacing w:before="120" w:after="120"/>
        <w:jc w:val="both"/>
        <w:rPr>
          <w:rFonts w:ascii="Times New Roman" w:hAnsi="Times New Roman"/>
          <w:lang w:val="es-ES" w:eastAsia="es-AR"/>
        </w:rPr>
        <w:sectPr w:rsidR="0067329E" w:rsidRPr="00AE4E8D" w:rsidSect="00E8320E">
          <w:pgSz w:w="11907" w:h="16839" w:code="9"/>
          <w:pgMar w:top="1417" w:right="1701" w:bottom="1417" w:left="1701" w:header="720" w:footer="720" w:gutter="0"/>
          <w:cols w:space="720"/>
          <w:docGrid w:linePitch="360"/>
        </w:sectPr>
      </w:pPr>
    </w:p>
    <w:tbl>
      <w:tblPr>
        <w:tblpPr w:leftFromText="180" w:rightFromText="180" w:vertAnchor="text" w:horzAnchor="margin" w:tblpY="-312"/>
        <w:tblW w:w="5010" w:type="pct"/>
        <w:tblLook w:val="04A0" w:firstRow="1" w:lastRow="0" w:firstColumn="1" w:lastColumn="0" w:noHBand="0" w:noVBand="1"/>
      </w:tblPr>
      <w:tblGrid>
        <w:gridCol w:w="4202"/>
        <w:gridCol w:w="936"/>
        <w:gridCol w:w="222"/>
        <w:gridCol w:w="936"/>
        <w:gridCol w:w="222"/>
        <w:gridCol w:w="936"/>
        <w:gridCol w:w="222"/>
        <w:gridCol w:w="936"/>
        <w:gridCol w:w="222"/>
        <w:gridCol w:w="936"/>
        <w:gridCol w:w="222"/>
        <w:gridCol w:w="932"/>
        <w:gridCol w:w="222"/>
        <w:gridCol w:w="936"/>
        <w:gridCol w:w="222"/>
        <w:gridCol w:w="925"/>
        <w:gridCol w:w="12"/>
        <w:gridCol w:w="211"/>
        <w:gridCol w:w="13"/>
        <w:gridCol w:w="846"/>
        <w:gridCol w:w="10"/>
      </w:tblGrid>
      <w:tr w:rsidR="003B5193" w:rsidRPr="00AE4E8D" w14:paraId="701A2BB7" w14:textId="77777777" w:rsidTr="00E8320E">
        <w:trPr>
          <w:gridAfter w:val="1"/>
          <w:wAfter w:w="4" w:type="pct"/>
          <w:trHeight w:val="273"/>
        </w:trPr>
        <w:tc>
          <w:tcPr>
            <w:tcW w:w="1253" w:type="pct"/>
            <w:tcBorders>
              <w:top w:val="nil"/>
              <w:left w:val="nil"/>
              <w:bottom w:val="nil"/>
              <w:right w:val="nil"/>
            </w:tcBorders>
            <w:shd w:val="clear" w:color="auto" w:fill="auto"/>
            <w:noWrap/>
            <w:vAlign w:val="bottom"/>
            <w:hideMark/>
          </w:tcPr>
          <w:p w14:paraId="52D8F94F" w14:textId="77777777" w:rsidR="0067329E" w:rsidRPr="00AE4E8D" w:rsidRDefault="0067329E" w:rsidP="006F3906">
            <w:pPr>
              <w:spacing w:after="40"/>
              <w:jc w:val="center"/>
              <w:rPr>
                <w:rFonts w:ascii="Times New Roman" w:hAnsi="Times New Roman"/>
                <w:sz w:val="16"/>
                <w:lang w:val="es-ES"/>
              </w:rPr>
            </w:pPr>
          </w:p>
        </w:tc>
        <w:tc>
          <w:tcPr>
            <w:tcW w:w="2442" w:type="pct"/>
            <w:gridSpan w:val="11"/>
            <w:tcBorders>
              <w:top w:val="nil"/>
              <w:left w:val="nil"/>
              <w:bottom w:val="single" w:sz="8" w:space="0" w:color="auto"/>
              <w:right w:val="nil"/>
            </w:tcBorders>
            <w:shd w:val="clear" w:color="auto" w:fill="auto"/>
            <w:vAlign w:val="center"/>
            <w:hideMark/>
          </w:tcPr>
          <w:p w14:paraId="68E11B59"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Al 31 de diciembre de</w:t>
            </w:r>
          </w:p>
        </w:tc>
        <w:tc>
          <w:tcPr>
            <w:tcW w:w="78" w:type="pct"/>
            <w:tcBorders>
              <w:top w:val="nil"/>
              <w:left w:val="nil"/>
              <w:bottom w:val="nil"/>
              <w:right w:val="nil"/>
            </w:tcBorders>
            <w:shd w:val="clear" w:color="auto" w:fill="auto"/>
            <w:vAlign w:val="center"/>
            <w:hideMark/>
          </w:tcPr>
          <w:p w14:paraId="1EE30265" w14:textId="77777777" w:rsidR="0067329E" w:rsidRPr="00AE4E8D" w:rsidRDefault="0067329E" w:rsidP="006F3906">
            <w:pPr>
              <w:spacing w:after="40"/>
              <w:jc w:val="center"/>
              <w:rPr>
                <w:rFonts w:ascii="Times New Roman" w:hAnsi="Times New Roman"/>
                <w:b/>
                <w:color w:val="000000"/>
                <w:sz w:val="16"/>
                <w:lang w:val="es-ES"/>
              </w:rPr>
            </w:pPr>
          </w:p>
        </w:tc>
        <w:tc>
          <w:tcPr>
            <w:tcW w:w="1223" w:type="pct"/>
            <w:gridSpan w:val="7"/>
            <w:tcBorders>
              <w:top w:val="nil"/>
              <w:left w:val="nil"/>
              <w:bottom w:val="single" w:sz="8" w:space="0" w:color="auto"/>
              <w:right w:val="nil"/>
            </w:tcBorders>
            <w:shd w:val="clear" w:color="auto" w:fill="auto"/>
            <w:vAlign w:val="center"/>
            <w:hideMark/>
          </w:tcPr>
          <w:p w14:paraId="05DFA719"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Al 30 de junio de</w:t>
            </w:r>
          </w:p>
        </w:tc>
      </w:tr>
      <w:tr w:rsidR="003B5193" w:rsidRPr="00AE4E8D" w14:paraId="6A0FFE20" w14:textId="77777777" w:rsidTr="00E8320E">
        <w:trPr>
          <w:trHeight w:val="223"/>
        </w:trPr>
        <w:tc>
          <w:tcPr>
            <w:tcW w:w="1253" w:type="pct"/>
            <w:tcBorders>
              <w:top w:val="nil"/>
              <w:left w:val="nil"/>
              <w:bottom w:val="nil"/>
              <w:right w:val="nil"/>
            </w:tcBorders>
            <w:shd w:val="clear" w:color="auto" w:fill="auto"/>
            <w:noWrap/>
            <w:vAlign w:val="bottom"/>
            <w:hideMark/>
          </w:tcPr>
          <w:p w14:paraId="370C102E" w14:textId="77777777" w:rsidR="0067329E" w:rsidRPr="00AE4E8D" w:rsidRDefault="0067329E" w:rsidP="006F3906">
            <w:pPr>
              <w:spacing w:after="40"/>
              <w:jc w:val="center"/>
              <w:rPr>
                <w:rFonts w:ascii="Times New Roman" w:hAnsi="Times New Roman"/>
                <w:sz w:val="16"/>
                <w:lang w:val="es-ES"/>
              </w:rPr>
            </w:pPr>
          </w:p>
        </w:tc>
        <w:tc>
          <w:tcPr>
            <w:tcW w:w="328" w:type="pct"/>
            <w:tcBorders>
              <w:top w:val="nil"/>
              <w:left w:val="nil"/>
              <w:bottom w:val="single" w:sz="8" w:space="0" w:color="auto"/>
              <w:right w:val="nil"/>
            </w:tcBorders>
            <w:shd w:val="clear" w:color="auto" w:fill="auto"/>
            <w:noWrap/>
            <w:vAlign w:val="center"/>
            <w:hideMark/>
          </w:tcPr>
          <w:p w14:paraId="64D5828F"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2012</w:t>
            </w:r>
          </w:p>
        </w:tc>
        <w:tc>
          <w:tcPr>
            <w:tcW w:w="78" w:type="pct"/>
            <w:tcBorders>
              <w:top w:val="nil"/>
              <w:left w:val="nil"/>
              <w:bottom w:val="nil"/>
              <w:right w:val="nil"/>
            </w:tcBorders>
            <w:shd w:val="clear" w:color="auto" w:fill="auto"/>
            <w:noWrap/>
            <w:vAlign w:val="center"/>
            <w:hideMark/>
          </w:tcPr>
          <w:p w14:paraId="6DFE9D96" w14:textId="77777777" w:rsidR="0067329E" w:rsidRPr="00AE4E8D" w:rsidRDefault="0067329E" w:rsidP="006F3906">
            <w:pPr>
              <w:spacing w:after="40"/>
              <w:jc w:val="center"/>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5BF06413"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2013</w:t>
            </w:r>
          </w:p>
        </w:tc>
        <w:tc>
          <w:tcPr>
            <w:tcW w:w="78" w:type="pct"/>
            <w:tcBorders>
              <w:top w:val="nil"/>
              <w:left w:val="nil"/>
              <w:bottom w:val="nil"/>
              <w:right w:val="nil"/>
            </w:tcBorders>
            <w:shd w:val="clear" w:color="auto" w:fill="auto"/>
            <w:noWrap/>
            <w:vAlign w:val="center"/>
            <w:hideMark/>
          </w:tcPr>
          <w:p w14:paraId="303C0BFD" w14:textId="77777777" w:rsidR="0067329E" w:rsidRPr="00AE4E8D" w:rsidRDefault="0067329E" w:rsidP="006F3906">
            <w:pPr>
              <w:spacing w:after="40"/>
              <w:jc w:val="center"/>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0AA4AFA5"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2014</w:t>
            </w:r>
          </w:p>
        </w:tc>
        <w:tc>
          <w:tcPr>
            <w:tcW w:w="78" w:type="pct"/>
            <w:tcBorders>
              <w:top w:val="nil"/>
              <w:left w:val="nil"/>
              <w:bottom w:val="nil"/>
              <w:right w:val="nil"/>
            </w:tcBorders>
            <w:shd w:val="clear" w:color="auto" w:fill="auto"/>
            <w:noWrap/>
            <w:vAlign w:val="center"/>
            <w:hideMark/>
          </w:tcPr>
          <w:p w14:paraId="6AF31266" w14:textId="77777777" w:rsidR="0067329E" w:rsidRPr="00AE4E8D" w:rsidRDefault="0067329E" w:rsidP="006F3906">
            <w:pPr>
              <w:spacing w:after="40"/>
              <w:jc w:val="center"/>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0A15BB82"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2015</w:t>
            </w:r>
          </w:p>
        </w:tc>
        <w:tc>
          <w:tcPr>
            <w:tcW w:w="83" w:type="pct"/>
            <w:tcBorders>
              <w:top w:val="nil"/>
              <w:left w:val="nil"/>
              <w:bottom w:val="nil"/>
              <w:right w:val="nil"/>
            </w:tcBorders>
            <w:shd w:val="clear" w:color="auto" w:fill="auto"/>
            <w:noWrap/>
            <w:vAlign w:val="center"/>
            <w:hideMark/>
          </w:tcPr>
          <w:p w14:paraId="7EC725CB" w14:textId="77777777" w:rsidR="0067329E" w:rsidRPr="00AE4E8D" w:rsidRDefault="0067329E" w:rsidP="006F3906">
            <w:pPr>
              <w:spacing w:after="40"/>
              <w:jc w:val="center"/>
              <w:rPr>
                <w:rFonts w:ascii="Times New Roman" w:hAnsi="Times New Roman"/>
                <w:color w:val="000000"/>
                <w:sz w:val="16"/>
                <w:lang w:val="es-ES"/>
              </w:rPr>
            </w:pPr>
          </w:p>
        </w:tc>
        <w:tc>
          <w:tcPr>
            <w:tcW w:w="406" w:type="pct"/>
            <w:tcBorders>
              <w:top w:val="nil"/>
              <w:left w:val="nil"/>
              <w:bottom w:val="single" w:sz="8" w:space="0" w:color="auto"/>
              <w:right w:val="nil"/>
            </w:tcBorders>
            <w:shd w:val="clear" w:color="auto" w:fill="auto"/>
            <w:noWrap/>
            <w:vAlign w:val="center"/>
            <w:hideMark/>
          </w:tcPr>
          <w:p w14:paraId="3901C619"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9" w:type="pct"/>
            <w:tcBorders>
              <w:top w:val="nil"/>
              <w:left w:val="nil"/>
              <w:bottom w:val="nil"/>
              <w:right w:val="nil"/>
            </w:tcBorders>
            <w:shd w:val="clear" w:color="auto" w:fill="auto"/>
            <w:noWrap/>
            <w:vAlign w:val="center"/>
            <w:hideMark/>
          </w:tcPr>
          <w:p w14:paraId="14196F8C" w14:textId="77777777" w:rsidR="0067329E" w:rsidRPr="00AE4E8D" w:rsidRDefault="0067329E" w:rsidP="006F3906">
            <w:pPr>
              <w:spacing w:after="40"/>
              <w:jc w:val="center"/>
              <w:rPr>
                <w:rFonts w:ascii="Times New Roman" w:hAnsi="Times New Roman"/>
                <w:color w:val="000000"/>
                <w:sz w:val="16"/>
                <w:lang w:val="es-ES"/>
              </w:rPr>
            </w:pPr>
          </w:p>
        </w:tc>
        <w:tc>
          <w:tcPr>
            <w:tcW w:w="327" w:type="pct"/>
            <w:tcBorders>
              <w:top w:val="nil"/>
              <w:left w:val="nil"/>
              <w:bottom w:val="single" w:sz="8" w:space="0" w:color="auto"/>
              <w:right w:val="nil"/>
            </w:tcBorders>
            <w:shd w:val="clear" w:color="auto" w:fill="auto"/>
            <w:noWrap/>
            <w:vAlign w:val="center"/>
            <w:hideMark/>
          </w:tcPr>
          <w:p w14:paraId="2ED905C2"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nil"/>
              <w:left w:val="nil"/>
              <w:bottom w:val="nil"/>
              <w:right w:val="nil"/>
            </w:tcBorders>
            <w:shd w:val="clear" w:color="auto" w:fill="auto"/>
            <w:vAlign w:val="center"/>
            <w:hideMark/>
          </w:tcPr>
          <w:p w14:paraId="56BEAA48" w14:textId="77777777" w:rsidR="0067329E" w:rsidRPr="00AE4E8D" w:rsidRDefault="0067329E" w:rsidP="006F3906">
            <w:pPr>
              <w:spacing w:after="40"/>
              <w:jc w:val="center"/>
              <w:rPr>
                <w:rFonts w:ascii="Times New Roman" w:hAnsi="Times New Roman"/>
                <w:b/>
                <w:color w:val="000000"/>
                <w:sz w:val="16"/>
                <w:lang w:val="es-ES"/>
              </w:rPr>
            </w:pPr>
          </w:p>
        </w:tc>
        <w:tc>
          <w:tcPr>
            <w:tcW w:w="332" w:type="pct"/>
            <w:tcBorders>
              <w:top w:val="nil"/>
              <w:left w:val="nil"/>
              <w:bottom w:val="single" w:sz="8" w:space="0" w:color="auto"/>
              <w:right w:val="nil"/>
            </w:tcBorders>
            <w:shd w:val="clear" w:color="auto" w:fill="auto"/>
            <w:vAlign w:val="center"/>
            <w:hideMark/>
          </w:tcPr>
          <w:p w14:paraId="6B977EF2"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nil"/>
              <w:left w:val="nil"/>
              <w:bottom w:val="nil"/>
              <w:right w:val="nil"/>
            </w:tcBorders>
            <w:shd w:val="clear" w:color="auto" w:fill="auto"/>
            <w:vAlign w:val="center"/>
            <w:hideMark/>
          </w:tcPr>
          <w:p w14:paraId="2DEDEE3F" w14:textId="77777777" w:rsidR="0067329E" w:rsidRPr="00AE4E8D" w:rsidRDefault="0067329E" w:rsidP="006F3906">
            <w:pPr>
              <w:spacing w:after="40"/>
              <w:jc w:val="center"/>
              <w:rPr>
                <w:rFonts w:ascii="Times New Roman" w:hAnsi="Times New Roman"/>
                <w:b/>
                <w:color w:val="000000"/>
                <w:sz w:val="16"/>
                <w:lang w:val="es-ES"/>
              </w:rPr>
            </w:pPr>
          </w:p>
        </w:tc>
        <w:tc>
          <w:tcPr>
            <w:tcW w:w="340" w:type="pct"/>
            <w:gridSpan w:val="2"/>
            <w:tcBorders>
              <w:top w:val="nil"/>
              <w:left w:val="nil"/>
              <w:bottom w:val="single" w:sz="8" w:space="0" w:color="auto"/>
              <w:right w:val="nil"/>
            </w:tcBorders>
            <w:shd w:val="clear" w:color="auto" w:fill="auto"/>
            <w:vAlign w:val="center"/>
            <w:hideMark/>
          </w:tcPr>
          <w:p w14:paraId="1BD9A2C2"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c>
          <w:tcPr>
            <w:tcW w:w="78" w:type="pct"/>
            <w:gridSpan w:val="2"/>
            <w:tcBorders>
              <w:top w:val="nil"/>
              <w:left w:val="nil"/>
              <w:bottom w:val="nil"/>
              <w:right w:val="nil"/>
            </w:tcBorders>
            <w:shd w:val="clear" w:color="auto" w:fill="auto"/>
            <w:vAlign w:val="center"/>
            <w:hideMark/>
          </w:tcPr>
          <w:p w14:paraId="0745A4FA" w14:textId="77777777" w:rsidR="0067329E" w:rsidRPr="00AE4E8D" w:rsidRDefault="0067329E" w:rsidP="006F3906">
            <w:pPr>
              <w:spacing w:after="40"/>
              <w:jc w:val="center"/>
              <w:rPr>
                <w:rFonts w:ascii="Times New Roman" w:hAnsi="Times New Roman"/>
                <w:b/>
                <w:color w:val="000000"/>
                <w:sz w:val="16"/>
                <w:lang w:val="es-ES"/>
              </w:rPr>
            </w:pPr>
          </w:p>
        </w:tc>
        <w:tc>
          <w:tcPr>
            <w:tcW w:w="400" w:type="pct"/>
            <w:gridSpan w:val="2"/>
            <w:tcBorders>
              <w:top w:val="nil"/>
              <w:left w:val="nil"/>
              <w:bottom w:val="single" w:sz="8" w:space="0" w:color="auto"/>
              <w:right w:val="nil"/>
            </w:tcBorders>
            <w:shd w:val="clear" w:color="auto" w:fill="auto"/>
            <w:vAlign w:val="center"/>
            <w:hideMark/>
          </w:tcPr>
          <w:p w14:paraId="15D6BCA7" w14:textId="77777777" w:rsidR="0067329E" w:rsidRPr="00AE4E8D" w:rsidRDefault="0067329E" w:rsidP="006F3906">
            <w:pPr>
              <w:spacing w:after="40"/>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r>
      <w:tr w:rsidR="003B5193" w:rsidRPr="00AE4E8D" w14:paraId="0939139D" w14:textId="77777777" w:rsidTr="00E8320E">
        <w:trPr>
          <w:gridAfter w:val="1"/>
          <w:wAfter w:w="4" w:type="pct"/>
          <w:trHeight w:val="210"/>
        </w:trPr>
        <w:tc>
          <w:tcPr>
            <w:tcW w:w="1253" w:type="pct"/>
            <w:vMerge w:val="restart"/>
            <w:tcBorders>
              <w:top w:val="nil"/>
              <w:left w:val="nil"/>
              <w:bottom w:val="nil"/>
              <w:right w:val="nil"/>
            </w:tcBorders>
            <w:shd w:val="clear" w:color="auto" w:fill="auto"/>
            <w:noWrap/>
            <w:vAlign w:val="bottom"/>
            <w:hideMark/>
          </w:tcPr>
          <w:p w14:paraId="0294F8F5" w14:textId="77777777" w:rsidR="0067329E" w:rsidRPr="00AE4E8D" w:rsidRDefault="0067329E" w:rsidP="006F3906">
            <w:pPr>
              <w:spacing w:after="40"/>
              <w:rPr>
                <w:rFonts w:ascii="Times New Roman" w:hAnsi="Times New Roman"/>
                <w:sz w:val="16"/>
                <w:lang w:val="es-ES"/>
              </w:rPr>
            </w:pPr>
          </w:p>
        </w:tc>
        <w:tc>
          <w:tcPr>
            <w:tcW w:w="2115" w:type="pct"/>
            <w:gridSpan w:val="10"/>
            <w:vMerge w:val="restart"/>
            <w:tcBorders>
              <w:top w:val="nil"/>
              <w:left w:val="nil"/>
              <w:bottom w:val="nil"/>
              <w:right w:val="nil"/>
            </w:tcBorders>
            <w:shd w:val="clear" w:color="auto" w:fill="auto"/>
            <w:vAlign w:val="center"/>
            <w:hideMark/>
          </w:tcPr>
          <w:p w14:paraId="281F6EA0" w14:textId="77777777" w:rsidR="0067329E" w:rsidRPr="00AE4E8D" w:rsidRDefault="0067329E" w:rsidP="006F3906">
            <w:pPr>
              <w:spacing w:after="40"/>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327" w:type="pct"/>
            <w:tcBorders>
              <w:top w:val="nil"/>
              <w:left w:val="nil"/>
              <w:bottom w:val="nil"/>
              <w:right w:val="nil"/>
            </w:tcBorders>
            <w:shd w:val="clear" w:color="auto" w:fill="auto"/>
            <w:noWrap/>
            <w:vAlign w:val="center"/>
            <w:hideMark/>
          </w:tcPr>
          <w:p w14:paraId="58E3BCA1" w14:textId="77777777" w:rsidR="0067329E" w:rsidRPr="00AE4E8D" w:rsidRDefault="0067329E" w:rsidP="006F3906">
            <w:pPr>
              <w:spacing w:after="40"/>
              <w:jc w:val="center"/>
              <w:rPr>
                <w:rFonts w:ascii="Times New Roman" w:hAnsi="Times New Roman"/>
                <w:color w:val="000000"/>
                <w:sz w:val="16"/>
                <w:lang w:val="es-ES"/>
              </w:rPr>
            </w:pPr>
            <w:r w:rsidRPr="00AE4E8D">
              <w:rPr>
                <w:rFonts w:ascii="Times New Roman" w:hAnsi="Times New Roman"/>
                <w:color w:val="000000"/>
                <w:sz w:val="16"/>
                <w:lang w:val="es-ES"/>
              </w:rPr>
              <w:t>(en miles</w:t>
            </w:r>
          </w:p>
        </w:tc>
        <w:tc>
          <w:tcPr>
            <w:tcW w:w="78" w:type="pct"/>
            <w:vMerge w:val="restart"/>
            <w:tcBorders>
              <w:top w:val="nil"/>
              <w:left w:val="nil"/>
              <w:bottom w:val="nil"/>
              <w:right w:val="nil"/>
            </w:tcBorders>
            <w:shd w:val="clear" w:color="auto" w:fill="auto"/>
            <w:vAlign w:val="center"/>
            <w:hideMark/>
          </w:tcPr>
          <w:p w14:paraId="33C8486D" w14:textId="77777777" w:rsidR="0067329E" w:rsidRPr="00AE4E8D" w:rsidRDefault="0067329E" w:rsidP="006F3906">
            <w:pPr>
              <w:spacing w:after="40"/>
              <w:jc w:val="center"/>
              <w:rPr>
                <w:rFonts w:ascii="Times New Roman" w:hAnsi="Times New Roman"/>
                <w:color w:val="000000"/>
                <w:sz w:val="16"/>
                <w:lang w:val="es-ES"/>
              </w:rPr>
            </w:pPr>
          </w:p>
        </w:tc>
        <w:tc>
          <w:tcPr>
            <w:tcW w:w="746" w:type="pct"/>
            <w:gridSpan w:val="3"/>
            <w:vMerge w:val="restart"/>
            <w:tcBorders>
              <w:top w:val="single" w:sz="8" w:space="0" w:color="auto"/>
              <w:left w:val="nil"/>
              <w:bottom w:val="nil"/>
              <w:right w:val="nil"/>
            </w:tcBorders>
            <w:shd w:val="clear" w:color="auto" w:fill="auto"/>
            <w:vAlign w:val="center"/>
            <w:hideMark/>
          </w:tcPr>
          <w:p w14:paraId="258F5291" w14:textId="77777777" w:rsidR="0067329E" w:rsidRPr="00AE4E8D" w:rsidRDefault="0067329E" w:rsidP="006F3906">
            <w:pPr>
              <w:spacing w:after="40"/>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78" w:type="pct"/>
            <w:gridSpan w:val="2"/>
            <w:vMerge w:val="restart"/>
            <w:tcBorders>
              <w:top w:val="nil"/>
              <w:left w:val="nil"/>
              <w:bottom w:val="nil"/>
              <w:right w:val="nil"/>
            </w:tcBorders>
            <w:shd w:val="clear" w:color="auto" w:fill="auto"/>
            <w:vAlign w:val="center"/>
            <w:hideMark/>
          </w:tcPr>
          <w:p w14:paraId="065F5DC5" w14:textId="77777777" w:rsidR="0067329E" w:rsidRPr="00AE4E8D" w:rsidRDefault="0067329E" w:rsidP="006F3906">
            <w:pPr>
              <w:spacing w:after="40"/>
              <w:jc w:val="center"/>
              <w:rPr>
                <w:rFonts w:ascii="Times New Roman" w:hAnsi="Times New Roman"/>
                <w:color w:val="000000"/>
                <w:sz w:val="16"/>
                <w:lang w:val="es-ES"/>
              </w:rPr>
            </w:pPr>
          </w:p>
        </w:tc>
        <w:tc>
          <w:tcPr>
            <w:tcW w:w="399" w:type="pct"/>
            <w:gridSpan w:val="2"/>
            <w:tcBorders>
              <w:top w:val="nil"/>
              <w:left w:val="nil"/>
              <w:bottom w:val="nil"/>
              <w:right w:val="nil"/>
            </w:tcBorders>
            <w:shd w:val="clear" w:color="auto" w:fill="auto"/>
            <w:vAlign w:val="center"/>
            <w:hideMark/>
          </w:tcPr>
          <w:p w14:paraId="139D00EC" w14:textId="77777777" w:rsidR="0067329E" w:rsidRPr="00AE4E8D" w:rsidRDefault="0067329E" w:rsidP="006F3906">
            <w:pPr>
              <w:spacing w:after="40"/>
              <w:jc w:val="center"/>
              <w:rPr>
                <w:rFonts w:ascii="Times New Roman" w:hAnsi="Times New Roman"/>
                <w:color w:val="000000"/>
                <w:sz w:val="16"/>
                <w:lang w:val="es-ES"/>
              </w:rPr>
            </w:pPr>
            <w:r w:rsidRPr="00AE4E8D">
              <w:rPr>
                <w:rFonts w:ascii="Times New Roman" w:hAnsi="Times New Roman"/>
                <w:color w:val="000000"/>
                <w:sz w:val="16"/>
                <w:lang w:val="es-ES"/>
              </w:rPr>
              <w:t>(en miles</w:t>
            </w:r>
          </w:p>
        </w:tc>
      </w:tr>
      <w:tr w:rsidR="003B5193" w:rsidRPr="00AE4E8D" w14:paraId="3B3D23D3" w14:textId="77777777" w:rsidTr="00E8320E">
        <w:trPr>
          <w:gridAfter w:val="1"/>
          <w:wAfter w:w="4" w:type="pct"/>
          <w:trHeight w:val="210"/>
        </w:trPr>
        <w:tc>
          <w:tcPr>
            <w:tcW w:w="1253" w:type="pct"/>
            <w:vMerge/>
            <w:tcBorders>
              <w:top w:val="nil"/>
              <w:left w:val="nil"/>
              <w:bottom w:val="nil"/>
              <w:right w:val="nil"/>
            </w:tcBorders>
            <w:vAlign w:val="center"/>
            <w:hideMark/>
          </w:tcPr>
          <w:p w14:paraId="6DB21226" w14:textId="77777777" w:rsidR="0067329E" w:rsidRPr="00AE4E8D" w:rsidRDefault="0067329E" w:rsidP="006F3906">
            <w:pPr>
              <w:spacing w:after="40"/>
              <w:rPr>
                <w:rFonts w:ascii="Times New Roman" w:hAnsi="Times New Roman"/>
                <w:sz w:val="16"/>
                <w:lang w:val="es-ES"/>
              </w:rPr>
            </w:pPr>
          </w:p>
        </w:tc>
        <w:tc>
          <w:tcPr>
            <w:tcW w:w="2115" w:type="pct"/>
            <w:gridSpan w:val="10"/>
            <w:vMerge/>
            <w:tcBorders>
              <w:top w:val="nil"/>
              <w:left w:val="nil"/>
              <w:bottom w:val="nil"/>
              <w:right w:val="nil"/>
            </w:tcBorders>
            <w:vAlign w:val="center"/>
            <w:hideMark/>
          </w:tcPr>
          <w:p w14:paraId="636F2AC6" w14:textId="77777777" w:rsidR="0067329E" w:rsidRPr="00AE4E8D" w:rsidRDefault="0067329E" w:rsidP="006F3906">
            <w:pPr>
              <w:spacing w:after="40"/>
              <w:jc w:val="center"/>
              <w:rPr>
                <w:rFonts w:ascii="Times New Roman" w:hAnsi="Times New Roman"/>
                <w:color w:val="000000"/>
                <w:sz w:val="16"/>
                <w:lang w:val="es-ES"/>
              </w:rPr>
            </w:pPr>
          </w:p>
        </w:tc>
        <w:tc>
          <w:tcPr>
            <w:tcW w:w="327" w:type="pct"/>
            <w:tcBorders>
              <w:top w:val="nil"/>
              <w:left w:val="nil"/>
              <w:bottom w:val="nil"/>
              <w:right w:val="nil"/>
            </w:tcBorders>
            <w:shd w:val="clear" w:color="auto" w:fill="auto"/>
            <w:noWrap/>
            <w:vAlign w:val="center"/>
            <w:hideMark/>
          </w:tcPr>
          <w:p w14:paraId="3AC8C838" w14:textId="77777777" w:rsidR="0067329E" w:rsidRPr="00AE4E8D" w:rsidRDefault="0067329E" w:rsidP="006F3906">
            <w:pPr>
              <w:spacing w:after="40"/>
              <w:jc w:val="center"/>
              <w:rPr>
                <w:rFonts w:ascii="Times New Roman" w:hAnsi="Times New Roman"/>
                <w:color w:val="000000"/>
                <w:sz w:val="16"/>
                <w:lang w:val="es-ES"/>
              </w:rPr>
            </w:pPr>
            <w:r w:rsidRPr="00AE4E8D">
              <w:rPr>
                <w:rFonts w:ascii="Times New Roman" w:hAnsi="Times New Roman"/>
                <w:color w:val="000000"/>
                <w:sz w:val="16"/>
                <w:lang w:val="es-ES"/>
              </w:rPr>
              <w:t>de US$(1))</w:t>
            </w:r>
          </w:p>
        </w:tc>
        <w:tc>
          <w:tcPr>
            <w:tcW w:w="78" w:type="pct"/>
            <w:vMerge/>
            <w:tcBorders>
              <w:top w:val="nil"/>
              <w:left w:val="nil"/>
              <w:bottom w:val="nil"/>
              <w:right w:val="nil"/>
            </w:tcBorders>
            <w:vAlign w:val="center"/>
            <w:hideMark/>
          </w:tcPr>
          <w:p w14:paraId="43B5E176" w14:textId="77777777" w:rsidR="0067329E" w:rsidRPr="00AE4E8D" w:rsidRDefault="0067329E" w:rsidP="006F3906">
            <w:pPr>
              <w:spacing w:after="40"/>
              <w:jc w:val="center"/>
              <w:rPr>
                <w:rFonts w:ascii="Times New Roman" w:hAnsi="Times New Roman"/>
                <w:color w:val="000000"/>
                <w:sz w:val="16"/>
                <w:lang w:val="es-ES"/>
              </w:rPr>
            </w:pPr>
          </w:p>
        </w:tc>
        <w:tc>
          <w:tcPr>
            <w:tcW w:w="746" w:type="pct"/>
            <w:gridSpan w:val="3"/>
            <w:vMerge/>
            <w:tcBorders>
              <w:top w:val="single" w:sz="8" w:space="0" w:color="auto"/>
              <w:left w:val="nil"/>
              <w:bottom w:val="nil"/>
              <w:right w:val="nil"/>
            </w:tcBorders>
            <w:vAlign w:val="center"/>
            <w:hideMark/>
          </w:tcPr>
          <w:p w14:paraId="339752E5" w14:textId="77777777" w:rsidR="0067329E" w:rsidRPr="00AE4E8D" w:rsidRDefault="0067329E" w:rsidP="006F3906">
            <w:pPr>
              <w:spacing w:after="40"/>
              <w:jc w:val="center"/>
              <w:rPr>
                <w:rFonts w:ascii="Times New Roman" w:hAnsi="Times New Roman"/>
                <w:color w:val="000000"/>
                <w:sz w:val="16"/>
                <w:lang w:val="es-ES"/>
              </w:rPr>
            </w:pPr>
          </w:p>
        </w:tc>
        <w:tc>
          <w:tcPr>
            <w:tcW w:w="78" w:type="pct"/>
            <w:gridSpan w:val="2"/>
            <w:vMerge/>
            <w:tcBorders>
              <w:top w:val="nil"/>
              <w:left w:val="nil"/>
              <w:bottom w:val="nil"/>
              <w:right w:val="nil"/>
            </w:tcBorders>
            <w:vAlign w:val="center"/>
            <w:hideMark/>
          </w:tcPr>
          <w:p w14:paraId="4F53EBAA" w14:textId="77777777" w:rsidR="0067329E" w:rsidRPr="00AE4E8D" w:rsidRDefault="0067329E" w:rsidP="006F3906">
            <w:pPr>
              <w:spacing w:after="40"/>
              <w:jc w:val="center"/>
              <w:rPr>
                <w:rFonts w:ascii="Times New Roman" w:hAnsi="Times New Roman"/>
                <w:color w:val="000000"/>
                <w:sz w:val="16"/>
                <w:lang w:val="es-ES"/>
              </w:rPr>
            </w:pPr>
          </w:p>
        </w:tc>
        <w:tc>
          <w:tcPr>
            <w:tcW w:w="399" w:type="pct"/>
            <w:gridSpan w:val="2"/>
            <w:tcBorders>
              <w:top w:val="nil"/>
              <w:left w:val="nil"/>
              <w:bottom w:val="nil"/>
              <w:right w:val="nil"/>
            </w:tcBorders>
            <w:shd w:val="clear" w:color="auto" w:fill="auto"/>
            <w:vAlign w:val="center"/>
            <w:hideMark/>
          </w:tcPr>
          <w:p w14:paraId="6184B5BE" w14:textId="77777777" w:rsidR="0067329E" w:rsidRPr="00AE4E8D" w:rsidRDefault="0067329E" w:rsidP="006F3906">
            <w:pPr>
              <w:spacing w:after="40"/>
              <w:jc w:val="center"/>
              <w:rPr>
                <w:rFonts w:ascii="Times New Roman" w:hAnsi="Times New Roman"/>
                <w:color w:val="000000"/>
                <w:sz w:val="16"/>
                <w:lang w:val="es-ES"/>
              </w:rPr>
            </w:pPr>
            <w:r w:rsidRPr="00AE4E8D">
              <w:rPr>
                <w:rFonts w:ascii="Times New Roman" w:hAnsi="Times New Roman"/>
                <w:color w:val="000000"/>
                <w:sz w:val="16"/>
                <w:lang w:val="es-ES"/>
              </w:rPr>
              <w:t>de US$(1))</w:t>
            </w:r>
          </w:p>
        </w:tc>
      </w:tr>
      <w:tr w:rsidR="003B5193" w:rsidRPr="00AE4E8D" w14:paraId="05BD0178" w14:textId="77777777" w:rsidTr="00E8320E">
        <w:trPr>
          <w:trHeight w:val="371"/>
        </w:trPr>
        <w:tc>
          <w:tcPr>
            <w:tcW w:w="1253" w:type="pct"/>
            <w:tcBorders>
              <w:top w:val="nil"/>
              <w:left w:val="nil"/>
              <w:bottom w:val="nil"/>
              <w:right w:val="nil"/>
            </w:tcBorders>
            <w:shd w:val="clear" w:color="auto" w:fill="auto"/>
            <w:vAlign w:val="center"/>
            <w:hideMark/>
          </w:tcPr>
          <w:p w14:paraId="33941B69" w14:textId="77777777" w:rsidR="0067329E" w:rsidRPr="00AE4E8D" w:rsidRDefault="0067329E" w:rsidP="006F3906">
            <w:pPr>
              <w:spacing w:after="40"/>
              <w:rPr>
                <w:rFonts w:ascii="Times New Roman" w:hAnsi="Times New Roman"/>
                <w:b/>
                <w:color w:val="000000"/>
                <w:sz w:val="16"/>
                <w:lang w:val="es-ES"/>
              </w:rPr>
            </w:pPr>
            <w:r w:rsidRPr="00AE4E8D">
              <w:rPr>
                <w:rFonts w:ascii="Times New Roman" w:hAnsi="Times New Roman"/>
                <w:b/>
                <w:color w:val="000000"/>
                <w:sz w:val="16"/>
                <w:lang w:val="es-ES"/>
              </w:rPr>
              <w:t>ESTADO DE SITUACIÓN PATRIMONIAL CONSOLIDADO</w:t>
            </w:r>
          </w:p>
        </w:tc>
        <w:tc>
          <w:tcPr>
            <w:tcW w:w="328" w:type="pct"/>
            <w:tcBorders>
              <w:top w:val="nil"/>
              <w:left w:val="nil"/>
              <w:bottom w:val="nil"/>
              <w:right w:val="nil"/>
            </w:tcBorders>
            <w:shd w:val="clear" w:color="auto" w:fill="auto"/>
            <w:noWrap/>
            <w:vAlign w:val="center"/>
            <w:hideMark/>
          </w:tcPr>
          <w:p w14:paraId="53EC691B" w14:textId="77777777" w:rsidR="0067329E" w:rsidRPr="00AE4E8D" w:rsidRDefault="0067329E" w:rsidP="006F3906">
            <w:pPr>
              <w:spacing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2F89021B" w14:textId="77777777" w:rsidR="0067329E" w:rsidRPr="00AE4E8D" w:rsidRDefault="0067329E" w:rsidP="006F3906">
            <w:pPr>
              <w:spacing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622A2B8" w14:textId="77777777" w:rsidR="0067329E" w:rsidRPr="00AE4E8D" w:rsidRDefault="0067329E" w:rsidP="006F3906">
            <w:pPr>
              <w:spacing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69C94FAC" w14:textId="77777777" w:rsidR="0067329E" w:rsidRPr="00AE4E8D" w:rsidRDefault="0067329E" w:rsidP="006F3906">
            <w:pPr>
              <w:spacing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B0269BA" w14:textId="77777777" w:rsidR="0067329E" w:rsidRPr="00AE4E8D" w:rsidRDefault="0067329E" w:rsidP="006F3906">
            <w:pPr>
              <w:spacing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569EE228" w14:textId="77777777" w:rsidR="0067329E" w:rsidRPr="00AE4E8D" w:rsidRDefault="0067329E" w:rsidP="006F3906">
            <w:pPr>
              <w:spacing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856ED6D" w14:textId="77777777" w:rsidR="0067329E" w:rsidRPr="00AE4E8D" w:rsidRDefault="0067329E" w:rsidP="006F3906">
            <w:pPr>
              <w:spacing w:after="40"/>
              <w:jc w:val="center"/>
              <w:rPr>
                <w:rFonts w:ascii="Times New Roman" w:hAnsi="Times New Roman"/>
                <w:color w:val="000000"/>
                <w:sz w:val="16"/>
                <w:lang w:val="es-ES"/>
              </w:rPr>
            </w:pPr>
          </w:p>
        </w:tc>
        <w:tc>
          <w:tcPr>
            <w:tcW w:w="83" w:type="pct"/>
            <w:tcBorders>
              <w:top w:val="nil"/>
              <w:left w:val="nil"/>
              <w:bottom w:val="nil"/>
              <w:right w:val="nil"/>
            </w:tcBorders>
            <w:shd w:val="clear" w:color="auto" w:fill="auto"/>
            <w:vAlign w:val="center"/>
            <w:hideMark/>
          </w:tcPr>
          <w:p w14:paraId="29DF40B9" w14:textId="77777777" w:rsidR="0067329E" w:rsidRPr="00AE4E8D" w:rsidRDefault="0067329E" w:rsidP="006F3906">
            <w:pPr>
              <w:spacing w:after="40"/>
              <w:jc w:val="center"/>
              <w:rPr>
                <w:rFonts w:ascii="Times New Roman" w:hAnsi="Times New Roman"/>
                <w:color w:val="000000"/>
                <w:sz w:val="16"/>
                <w:lang w:val="es-ES"/>
              </w:rPr>
            </w:pPr>
          </w:p>
        </w:tc>
        <w:tc>
          <w:tcPr>
            <w:tcW w:w="406" w:type="pct"/>
            <w:tcBorders>
              <w:top w:val="nil"/>
              <w:left w:val="nil"/>
              <w:bottom w:val="nil"/>
              <w:right w:val="nil"/>
            </w:tcBorders>
            <w:shd w:val="clear" w:color="auto" w:fill="auto"/>
            <w:noWrap/>
            <w:vAlign w:val="bottom"/>
            <w:hideMark/>
          </w:tcPr>
          <w:p w14:paraId="74C2AFAD" w14:textId="77777777" w:rsidR="0067329E" w:rsidRPr="00AE4E8D" w:rsidRDefault="0067329E" w:rsidP="006F3906">
            <w:pPr>
              <w:spacing w:after="40"/>
              <w:jc w:val="center"/>
              <w:rPr>
                <w:rFonts w:ascii="Times New Roman" w:hAnsi="Times New Roman"/>
                <w:sz w:val="16"/>
                <w:lang w:val="es-ES"/>
              </w:rPr>
            </w:pPr>
          </w:p>
        </w:tc>
        <w:tc>
          <w:tcPr>
            <w:tcW w:w="79" w:type="pct"/>
            <w:tcBorders>
              <w:top w:val="nil"/>
              <w:left w:val="nil"/>
              <w:bottom w:val="nil"/>
              <w:right w:val="nil"/>
            </w:tcBorders>
            <w:shd w:val="clear" w:color="auto" w:fill="auto"/>
            <w:noWrap/>
            <w:vAlign w:val="bottom"/>
            <w:hideMark/>
          </w:tcPr>
          <w:p w14:paraId="6BDA8212" w14:textId="77777777" w:rsidR="0067329E" w:rsidRPr="00AE4E8D" w:rsidRDefault="0067329E" w:rsidP="006F3906">
            <w:pPr>
              <w:spacing w:after="40"/>
              <w:jc w:val="center"/>
              <w:rPr>
                <w:rFonts w:ascii="Times New Roman" w:hAnsi="Times New Roman"/>
                <w:sz w:val="16"/>
                <w:lang w:val="es-ES"/>
              </w:rPr>
            </w:pPr>
          </w:p>
        </w:tc>
        <w:tc>
          <w:tcPr>
            <w:tcW w:w="327" w:type="pct"/>
            <w:tcBorders>
              <w:top w:val="nil"/>
              <w:left w:val="nil"/>
              <w:bottom w:val="nil"/>
              <w:right w:val="nil"/>
            </w:tcBorders>
            <w:shd w:val="clear" w:color="auto" w:fill="auto"/>
            <w:noWrap/>
            <w:vAlign w:val="bottom"/>
            <w:hideMark/>
          </w:tcPr>
          <w:p w14:paraId="38BCE10E" w14:textId="77777777" w:rsidR="0067329E" w:rsidRPr="00AE4E8D" w:rsidRDefault="0067329E" w:rsidP="006F3906">
            <w:pPr>
              <w:spacing w:after="40"/>
              <w:jc w:val="center"/>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41129AF2" w14:textId="77777777" w:rsidR="0067329E" w:rsidRPr="00AE4E8D" w:rsidRDefault="0067329E" w:rsidP="006F3906">
            <w:pPr>
              <w:spacing w:after="40"/>
              <w:jc w:val="center"/>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01CF0CFC" w14:textId="77777777" w:rsidR="0067329E" w:rsidRPr="00AE4E8D" w:rsidRDefault="0067329E" w:rsidP="006F3906">
            <w:pPr>
              <w:spacing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7F31D591" w14:textId="77777777" w:rsidR="0067329E" w:rsidRPr="00AE4E8D" w:rsidRDefault="0067329E" w:rsidP="006F3906">
            <w:pPr>
              <w:spacing w:after="40"/>
              <w:jc w:val="center"/>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35DB1A75" w14:textId="77777777" w:rsidR="0067329E" w:rsidRPr="00AE4E8D" w:rsidRDefault="0067329E" w:rsidP="006F3906">
            <w:pPr>
              <w:spacing w:after="40"/>
              <w:jc w:val="center"/>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3192D1F2" w14:textId="77777777" w:rsidR="0067329E" w:rsidRPr="00AE4E8D" w:rsidRDefault="0067329E" w:rsidP="006F3906">
            <w:pPr>
              <w:spacing w:after="40"/>
              <w:jc w:val="center"/>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688D09C7" w14:textId="77777777" w:rsidR="0067329E" w:rsidRPr="00AE4E8D" w:rsidRDefault="0067329E" w:rsidP="006F3906">
            <w:pPr>
              <w:spacing w:after="40"/>
              <w:jc w:val="center"/>
              <w:rPr>
                <w:rFonts w:ascii="Times New Roman" w:hAnsi="Times New Roman"/>
                <w:color w:val="000000"/>
                <w:sz w:val="16"/>
                <w:lang w:val="es-ES"/>
              </w:rPr>
            </w:pPr>
          </w:p>
        </w:tc>
      </w:tr>
      <w:tr w:rsidR="003B5193" w:rsidRPr="00AE4E8D" w14:paraId="69468163" w14:textId="77777777" w:rsidTr="00E8320E">
        <w:trPr>
          <w:trHeight w:val="210"/>
        </w:trPr>
        <w:tc>
          <w:tcPr>
            <w:tcW w:w="1253" w:type="pct"/>
            <w:tcBorders>
              <w:top w:val="nil"/>
              <w:left w:val="nil"/>
              <w:bottom w:val="nil"/>
              <w:right w:val="nil"/>
            </w:tcBorders>
            <w:shd w:val="clear" w:color="auto" w:fill="auto"/>
            <w:noWrap/>
            <w:vAlign w:val="center"/>
            <w:hideMark/>
          </w:tcPr>
          <w:p w14:paraId="3EEE1AD5" w14:textId="77777777" w:rsidR="0067329E" w:rsidRPr="00AE4E8D" w:rsidRDefault="0067329E" w:rsidP="006F3906">
            <w:pPr>
              <w:rPr>
                <w:rFonts w:ascii="Times New Roman" w:hAnsi="Times New Roman"/>
                <w:i/>
                <w:color w:val="000000"/>
                <w:sz w:val="16"/>
                <w:lang w:val="es-ES"/>
              </w:rPr>
            </w:pPr>
            <w:r w:rsidRPr="00AE4E8D">
              <w:rPr>
                <w:rFonts w:ascii="Times New Roman" w:hAnsi="Times New Roman"/>
                <w:i/>
                <w:color w:val="000000"/>
                <w:sz w:val="16"/>
                <w:lang w:val="es-ES"/>
              </w:rPr>
              <w:t>Activo:</w:t>
            </w:r>
          </w:p>
        </w:tc>
        <w:tc>
          <w:tcPr>
            <w:tcW w:w="328" w:type="pct"/>
            <w:tcBorders>
              <w:top w:val="nil"/>
              <w:left w:val="nil"/>
              <w:bottom w:val="nil"/>
              <w:right w:val="nil"/>
            </w:tcBorders>
            <w:shd w:val="clear" w:color="auto" w:fill="auto"/>
            <w:noWrap/>
            <w:vAlign w:val="center"/>
            <w:hideMark/>
          </w:tcPr>
          <w:p w14:paraId="4F8826BC" w14:textId="77777777" w:rsidR="0067329E" w:rsidRPr="00AE4E8D" w:rsidRDefault="0067329E"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3542CD78" w14:textId="77777777" w:rsidR="0067329E" w:rsidRPr="00AE4E8D" w:rsidRDefault="0067329E" w:rsidP="00E8320E">
            <w:pPr>
              <w:spacing w:before="40"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ED13FE5" w14:textId="77777777" w:rsidR="0067329E" w:rsidRPr="00AE4E8D" w:rsidRDefault="0067329E"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C8D2316" w14:textId="77777777" w:rsidR="0067329E" w:rsidRPr="00AE4E8D" w:rsidRDefault="0067329E" w:rsidP="00E8320E">
            <w:pPr>
              <w:spacing w:before="40"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D87D63C" w14:textId="77777777" w:rsidR="0067329E" w:rsidRPr="00AE4E8D" w:rsidRDefault="0067329E"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0F32B46F" w14:textId="77777777" w:rsidR="0067329E" w:rsidRPr="00AE4E8D" w:rsidRDefault="0067329E" w:rsidP="00E8320E">
            <w:pPr>
              <w:spacing w:before="40" w:after="40"/>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740CAE3" w14:textId="77777777" w:rsidR="0067329E" w:rsidRPr="00AE4E8D" w:rsidRDefault="0067329E" w:rsidP="00E8320E">
            <w:pPr>
              <w:spacing w:before="40" w:after="40"/>
              <w:jc w:val="center"/>
              <w:rPr>
                <w:rFonts w:ascii="Times New Roman" w:hAnsi="Times New Roman"/>
                <w:color w:val="000000"/>
                <w:sz w:val="16"/>
                <w:lang w:val="es-ES"/>
              </w:rPr>
            </w:pPr>
          </w:p>
        </w:tc>
        <w:tc>
          <w:tcPr>
            <w:tcW w:w="83" w:type="pct"/>
            <w:tcBorders>
              <w:top w:val="nil"/>
              <w:left w:val="nil"/>
              <w:bottom w:val="nil"/>
              <w:right w:val="nil"/>
            </w:tcBorders>
            <w:shd w:val="clear" w:color="auto" w:fill="auto"/>
            <w:vAlign w:val="center"/>
            <w:hideMark/>
          </w:tcPr>
          <w:p w14:paraId="7BB421A8" w14:textId="77777777" w:rsidR="0067329E" w:rsidRPr="00AE4E8D" w:rsidRDefault="0067329E" w:rsidP="00E8320E">
            <w:pPr>
              <w:spacing w:before="40" w:after="40"/>
              <w:jc w:val="center"/>
              <w:rPr>
                <w:rFonts w:ascii="Times New Roman" w:hAnsi="Times New Roman"/>
                <w:color w:val="000000"/>
                <w:sz w:val="16"/>
                <w:lang w:val="es-ES"/>
              </w:rPr>
            </w:pPr>
          </w:p>
        </w:tc>
        <w:tc>
          <w:tcPr>
            <w:tcW w:w="406" w:type="pct"/>
            <w:tcBorders>
              <w:top w:val="nil"/>
              <w:left w:val="nil"/>
              <w:bottom w:val="nil"/>
              <w:right w:val="nil"/>
            </w:tcBorders>
            <w:shd w:val="clear" w:color="auto" w:fill="auto"/>
            <w:noWrap/>
            <w:vAlign w:val="bottom"/>
            <w:hideMark/>
          </w:tcPr>
          <w:p w14:paraId="487C16E7" w14:textId="77777777" w:rsidR="0067329E" w:rsidRPr="00AE4E8D" w:rsidRDefault="0067329E" w:rsidP="00E8320E">
            <w:pPr>
              <w:spacing w:before="40" w:after="40"/>
              <w:jc w:val="center"/>
              <w:rPr>
                <w:rFonts w:ascii="Times New Roman" w:hAnsi="Times New Roman"/>
                <w:sz w:val="16"/>
                <w:lang w:val="es-ES"/>
              </w:rPr>
            </w:pPr>
          </w:p>
        </w:tc>
        <w:tc>
          <w:tcPr>
            <w:tcW w:w="79" w:type="pct"/>
            <w:tcBorders>
              <w:top w:val="nil"/>
              <w:left w:val="nil"/>
              <w:bottom w:val="nil"/>
              <w:right w:val="nil"/>
            </w:tcBorders>
            <w:shd w:val="clear" w:color="auto" w:fill="auto"/>
            <w:noWrap/>
            <w:vAlign w:val="bottom"/>
            <w:hideMark/>
          </w:tcPr>
          <w:p w14:paraId="5B8772E9" w14:textId="77777777" w:rsidR="0067329E" w:rsidRPr="00AE4E8D" w:rsidRDefault="0067329E" w:rsidP="00E8320E">
            <w:pPr>
              <w:spacing w:before="40" w:after="40"/>
              <w:jc w:val="center"/>
              <w:rPr>
                <w:rFonts w:ascii="Times New Roman" w:hAnsi="Times New Roman"/>
                <w:sz w:val="16"/>
                <w:lang w:val="es-ES"/>
              </w:rPr>
            </w:pPr>
          </w:p>
        </w:tc>
        <w:tc>
          <w:tcPr>
            <w:tcW w:w="327" w:type="pct"/>
            <w:tcBorders>
              <w:top w:val="nil"/>
              <w:left w:val="nil"/>
              <w:bottom w:val="nil"/>
              <w:right w:val="nil"/>
            </w:tcBorders>
            <w:shd w:val="clear" w:color="auto" w:fill="auto"/>
            <w:noWrap/>
            <w:vAlign w:val="bottom"/>
            <w:hideMark/>
          </w:tcPr>
          <w:p w14:paraId="76502A0F" w14:textId="77777777" w:rsidR="0067329E" w:rsidRPr="00AE4E8D" w:rsidRDefault="0067329E" w:rsidP="00E8320E">
            <w:pPr>
              <w:spacing w:before="40" w:after="40"/>
              <w:jc w:val="center"/>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7C6A8458" w14:textId="77777777" w:rsidR="0067329E" w:rsidRPr="00AE4E8D" w:rsidRDefault="0067329E" w:rsidP="00E8320E">
            <w:pPr>
              <w:spacing w:before="40" w:after="40"/>
              <w:jc w:val="center"/>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1D6430C3" w14:textId="77777777" w:rsidR="0067329E" w:rsidRPr="00AE4E8D" w:rsidRDefault="0067329E" w:rsidP="00E8320E">
            <w:pPr>
              <w:spacing w:before="40" w:after="40"/>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27AF6802" w14:textId="77777777" w:rsidR="0067329E" w:rsidRPr="00AE4E8D" w:rsidRDefault="0067329E" w:rsidP="00E8320E">
            <w:pPr>
              <w:spacing w:before="40" w:after="40"/>
              <w:jc w:val="center"/>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0F35CCED" w14:textId="77777777" w:rsidR="0067329E" w:rsidRPr="00AE4E8D" w:rsidRDefault="0067329E" w:rsidP="00E8320E">
            <w:pPr>
              <w:spacing w:before="40" w:after="40"/>
              <w:jc w:val="center"/>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1E035C6B" w14:textId="77777777" w:rsidR="0067329E" w:rsidRPr="00AE4E8D" w:rsidRDefault="0067329E" w:rsidP="00E8320E">
            <w:pPr>
              <w:spacing w:before="40" w:after="40"/>
              <w:jc w:val="center"/>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01FD30D1" w14:textId="77777777" w:rsidR="0067329E" w:rsidRPr="00AE4E8D" w:rsidRDefault="0067329E" w:rsidP="00E8320E">
            <w:pPr>
              <w:spacing w:before="40" w:after="40"/>
              <w:jc w:val="center"/>
              <w:rPr>
                <w:rFonts w:ascii="Times New Roman" w:hAnsi="Times New Roman"/>
                <w:color w:val="000000"/>
                <w:sz w:val="16"/>
                <w:lang w:val="es-ES"/>
              </w:rPr>
            </w:pPr>
          </w:p>
        </w:tc>
      </w:tr>
      <w:tr w:rsidR="003B5193" w:rsidRPr="00AE4E8D" w14:paraId="5A433056" w14:textId="77777777" w:rsidTr="00E8320E">
        <w:trPr>
          <w:trHeight w:val="210"/>
        </w:trPr>
        <w:tc>
          <w:tcPr>
            <w:tcW w:w="1253" w:type="pct"/>
            <w:tcBorders>
              <w:top w:val="nil"/>
              <w:left w:val="nil"/>
              <w:bottom w:val="nil"/>
              <w:right w:val="nil"/>
            </w:tcBorders>
            <w:shd w:val="clear" w:color="auto" w:fill="auto"/>
            <w:noWrap/>
            <w:vAlign w:val="center"/>
            <w:hideMark/>
          </w:tcPr>
          <w:p w14:paraId="50DEAD66" w14:textId="77777777" w:rsidR="0067329E" w:rsidRPr="00AE4E8D" w:rsidRDefault="0067329E" w:rsidP="006F3906">
            <w:pPr>
              <w:tabs>
                <w:tab w:val="left" w:pos="3355"/>
              </w:tabs>
              <w:rPr>
                <w:rFonts w:ascii="Times New Roman" w:hAnsi="Times New Roman"/>
                <w:color w:val="000000"/>
                <w:sz w:val="16"/>
                <w:lang w:val="es-ES"/>
              </w:rPr>
            </w:pPr>
            <w:r w:rsidRPr="00AE4E8D">
              <w:rPr>
                <w:rFonts w:ascii="Times New Roman" w:hAnsi="Times New Roman"/>
                <w:color w:val="000000"/>
                <w:sz w:val="16"/>
                <w:lang w:val="es-ES"/>
              </w:rPr>
              <w:t>Disponibilidades</w:t>
            </w:r>
          </w:p>
        </w:tc>
        <w:tc>
          <w:tcPr>
            <w:tcW w:w="328" w:type="pct"/>
            <w:tcBorders>
              <w:top w:val="nil"/>
              <w:left w:val="nil"/>
              <w:bottom w:val="nil"/>
              <w:right w:val="nil"/>
            </w:tcBorders>
            <w:shd w:val="clear" w:color="auto" w:fill="auto"/>
            <w:noWrap/>
            <w:vAlign w:val="center"/>
            <w:hideMark/>
          </w:tcPr>
          <w:p w14:paraId="09AF0B42"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1.450.494</w:t>
            </w:r>
          </w:p>
        </w:tc>
        <w:tc>
          <w:tcPr>
            <w:tcW w:w="78" w:type="pct"/>
            <w:tcBorders>
              <w:top w:val="nil"/>
              <w:left w:val="nil"/>
              <w:bottom w:val="nil"/>
              <w:right w:val="nil"/>
            </w:tcBorders>
            <w:shd w:val="clear" w:color="auto" w:fill="auto"/>
            <w:vAlign w:val="center"/>
            <w:hideMark/>
          </w:tcPr>
          <w:p w14:paraId="1B4F975B" w14:textId="77777777" w:rsidR="0067329E" w:rsidRPr="00AE4E8D" w:rsidRDefault="0067329E" w:rsidP="006F3906">
            <w:pPr>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76E3042"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2.240.567</w:t>
            </w:r>
          </w:p>
        </w:tc>
        <w:tc>
          <w:tcPr>
            <w:tcW w:w="78" w:type="pct"/>
            <w:tcBorders>
              <w:top w:val="nil"/>
              <w:left w:val="nil"/>
              <w:bottom w:val="nil"/>
              <w:right w:val="nil"/>
            </w:tcBorders>
            <w:shd w:val="clear" w:color="auto" w:fill="auto"/>
            <w:vAlign w:val="center"/>
            <w:hideMark/>
          </w:tcPr>
          <w:p w14:paraId="393E48A4" w14:textId="77777777" w:rsidR="0067329E" w:rsidRPr="00AE4E8D" w:rsidRDefault="0067329E" w:rsidP="006F3906">
            <w:pPr>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5758E4D"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5.368.514</w:t>
            </w:r>
          </w:p>
        </w:tc>
        <w:tc>
          <w:tcPr>
            <w:tcW w:w="78" w:type="pct"/>
            <w:tcBorders>
              <w:top w:val="nil"/>
              <w:left w:val="nil"/>
              <w:bottom w:val="nil"/>
              <w:right w:val="nil"/>
            </w:tcBorders>
            <w:shd w:val="clear" w:color="auto" w:fill="auto"/>
            <w:vAlign w:val="center"/>
            <w:hideMark/>
          </w:tcPr>
          <w:p w14:paraId="29E0E7D5" w14:textId="77777777" w:rsidR="0067329E" w:rsidRPr="00AE4E8D" w:rsidRDefault="0067329E" w:rsidP="006F3906">
            <w:pPr>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42A9146"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6.378.793</w:t>
            </w:r>
          </w:p>
        </w:tc>
        <w:tc>
          <w:tcPr>
            <w:tcW w:w="83" w:type="pct"/>
            <w:tcBorders>
              <w:top w:val="nil"/>
              <w:left w:val="nil"/>
              <w:bottom w:val="nil"/>
              <w:right w:val="nil"/>
            </w:tcBorders>
            <w:shd w:val="clear" w:color="auto" w:fill="auto"/>
            <w:noWrap/>
            <w:vAlign w:val="center"/>
            <w:hideMark/>
          </w:tcPr>
          <w:p w14:paraId="6013FB6D" w14:textId="77777777" w:rsidR="0067329E" w:rsidRPr="00AE4E8D" w:rsidRDefault="0067329E" w:rsidP="006F3906">
            <w:pPr>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9A16BFF"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7.188.279</w:t>
            </w:r>
          </w:p>
        </w:tc>
        <w:tc>
          <w:tcPr>
            <w:tcW w:w="79" w:type="pct"/>
            <w:tcBorders>
              <w:top w:val="nil"/>
              <w:left w:val="nil"/>
              <w:bottom w:val="nil"/>
              <w:right w:val="nil"/>
            </w:tcBorders>
            <w:shd w:val="clear" w:color="auto" w:fill="auto"/>
            <w:noWrap/>
            <w:vAlign w:val="center"/>
            <w:hideMark/>
          </w:tcPr>
          <w:p w14:paraId="40B908F4" w14:textId="77777777" w:rsidR="0067329E" w:rsidRPr="00AE4E8D" w:rsidRDefault="0067329E" w:rsidP="006F3906">
            <w:pPr>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5994119"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453.513</w:t>
            </w:r>
          </w:p>
        </w:tc>
        <w:tc>
          <w:tcPr>
            <w:tcW w:w="78" w:type="pct"/>
            <w:tcBorders>
              <w:top w:val="nil"/>
              <w:left w:val="nil"/>
              <w:bottom w:val="nil"/>
              <w:right w:val="nil"/>
            </w:tcBorders>
            <w:shd w:val="clear" w:color="auto" w:fill="auto"/>
            <w:vAlign w:val="center"/>
            <w:hideMark/>
          </w:tcPr>
          <w:p w14:paraId="3363285C" w14:textId="77777777" w:rsidR="0067329E" w:rsidRPr="00AE4E8D" w:rsidRDefault="0067329E" w:rsidP="006F3906">
            <w:pPr>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7E1027D0"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3.301.840</w:t>
            </w:r>
          </w:p>
        </w:tc>
        <w:tc>
          <w:tcPr>
            <w:tcW w:w="78" w:type="pct"/>
            <w:tcBorders>
              <w:top w:val="nil"/>
              <w:left w:val="nil"/>
              <w:bottom w:val="nil"/>
              <w:right w:val="nil"/>
            </w:tcBorders>
            <w:shd w:val="clear" w:color="auto" w:fill="auto"/>
            <w:vAlign w:val="center"/>
          </w:tcPr>
          <w:p w14:paraId="4CD440F6" w14:textId="77777777" w:rsidR="0067329E" w:rsidRPr="00AE4E8D" w:rsidRDefault="0067329E" w:rsidP="006F3906">
            <w:pPr>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5CCF483"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3.435.303</w:t>
            </w:r>
          </w:p>
        </w:tc>
        <w:tc>
          <w:tcPr>
            <w:tcW w:w="78" w:type="pct"/>
            <w:gridSpan w:val="2"/>
            <w:tcBorders>
              <w:top w:val="nil"/>
              <w:left w:val="nil"/>
              <w:bottom w:val="nil"/>
              <w:right w:val="nil"/>
            </w:tcBorders>
            <w:shd w:val="clear" w:color="auto" w:fill="auto"/>
            <w:vAlign w:val="center"/>
          </w:tcPr>
          <w:p w14:paraId="22CD0295" w14:textId="77777777" w:rsidR="0067329E" w:rsidRPr="00AE4E8D" w:rsidRDefault="0067329E" w:rsidP="006F3906">
            <w:pPr>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2DE8E26D"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 xml:space="preserve">206.965 </w:t>
            </w:r>
          </w:p>
        </w:tc>
      </w:tr>
      <w:tr w:rsidR="003B5193" w:rsidRPr="00AE4E8D" w14:paraId="4CC8E86A" w14:textId="77777777" w:rsidTr="00E8320E">
        <w:trPr>
          <w:trHeight w:val="210"/>
        </w:trPr>
        <w:tc>
          <w:tcPr>
            <w:tcW w:w="1253" w:type="pct"/>
            <w:tcBorders>
              <w:top w:val="nil"/>
              <w:left w:val="nil"/>
              <w:bottom w:val="nil"/>
              <w:right w:val="nil"/>
            </w:tcBorders>
            <w:shd w:val="clear" w:color="auto" w:fill="auto"/>
            <w:noWrap/>
            <w:vAlign w:val="center"/>
            <w:hideMark/>
          </w:tcPr>
          <w:p w14:paraId="5EA22AAF" w14:textId="77777777" w:rsidR="0067329E" w:rsidRPr="00AE4E8D" w:rsidRDefault="0067329E" w:rsidP="006F3906">
            <w:pPr>
              <w:tabs>
                <w:tab w:val="left" w:pos="3261"/>
                <w:tab w:val="left" w:pos="3355"/>
              </w:tabs>
              <w:rPr>
                <w:rFonts w:ascii="Times New Roman" w:hAnsi="Times New Roman"/>
                <w:color w:val="000000"/>
                <w:sz w:val="16"/>
                <w:lang w:val="es-ES"/>
              </w:rPr>
            </w:pPr>
            <w:r w:rsidRPr="00AE4E8D">
              <w:rPr>
                <w:rFonts w:ascii="Times New Roman" w:hAnsi="Times New Roman"/>
                <w:color w:val="000000"/>
                <w:sz w:val="16"/>
                <w:lang w:val="es-ES"/>
              </w:rPr>
              <w:t>Títulos públicos y privados (2)</w:t>
            </w:r>
          </w:p>
        </w:tc>
        <w:tc>
          <w:tcPr>
            <w:tcW w:w="328" w:type="pct"/>
            <w:tcBorders>
              <w:top w:val="nil"/>
              <w:left w:val="nil"/>
              <w:bottom w:val="nil"/>
              <w:right w:val="nil"/>
            </w:tcBorders>
            <w:shd w:val="clear" w:color="auto" w:fill="auto"/>
            <w:noWrap/>
            <w:vAlign w:val="center"/>
            <w:hideMark/>
          </w:tcPr>
          <w:p w14:paraId="0E4C5471"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2.078.936</w:t>
            </w:r>
          </w:p>
        </w:tc>
        <w:tc>
          <w:tcPr>
            <w:tcW w:w="78" w:type="pct"/>
            <w:tcBorders>
              <w:top w:val="nil"/>
              <w:left w:val="nil"/>
              <w:bottom w:val="nil"/>
              <w:right w:val="nil"/>
            </w:tcBorders>
            <w:shd w:val="clear" w:color="auto" w:fill="auto"/>
            <w:vAlign w:val="center"/>
            <w:hideMark/>
          </w:tcPr>
          <w:p w14:paraId="215036DD" w14:textId="77777777" w:rsidR="0067329E" w:rsidRPr="00AE4E8D" w:rsidRDefault="0067329E" w:rsidP="006F3906">
            <w:pPr>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D557E86"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1.740.587</w:t>
            </w:r>
          </w:p>
        </w:tc>
        <w:tc>
          <w:tcPr>
            <w:tcW w:w="78" w:type="pct"/>
            <w:tcBorders>
              <w:top w:val="nil"/>
              <w:left w:val="nil"/>
              <w:bottom w:val="nil"/>
              <w:right w:val="nil"/>
            </w:tcBorders>
            <w:shd w:val="clear" w:color="auto" w:fill="auto"/>
            <w:vAlign w:val="center"/>
            <w:hideMark/>
          </w:tcPr>
          <w:p w14:paraId="73E3A408" w14:textId="77777777" w:rsidR="0067329E" w:rsidRPr="00AE4E8D" w:rsidRDefault="0067329E" w:rsidP="006F3906">
            <w:pPr>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F18C070"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4.518.035</w:t>
            </w:r>
          </w:p>
        </w:tc>
        <w:tc>
          <w:tcPr>
            <w:tcW w:w="78" w:type="pct"/>
            <w:tcBorders>
              <w:top w:val="nil"/>
              <w:left w:val="nil"/>
              <w:bottom w:val="nil"/>
              <w:right w:val="nil"/>
            </w:tcBorders>
            <w:shd w:val="clear" w:color="auto" w:fill="auto"/>
            <w:vAlign w:val="center"/>
            <w:hideMark/>
          </w:tcPr>
          <w:p w14:paraId="739B7A80" w14:textId="77777777" w:rsidR="0067329E" w:rsidRPr="00AE4E8D" w:rsidRDefault="0067329E" w:rsidP="006F3906">
            <w:pPr>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EB77D68"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5.446.262</w:t>
            </w:r>
          </w:p>
        </w:tc>
        <w:tc>
          <w:tcPr>
            <w:tcW w:w="83" w:type="pct"/>
            <w:tcBorders>
              <w:top w:val="nil"/>
              <w:left w:val="nil"/>
              <w:bottom w:val="nil"/>
              <w:right w:val="nil"/>
            </w:tcBorders>
            <w:shd w:val="clear" w:color="auto" w:fill="auto"/>
            <w:noWrap/>
            <w:vAlign w:val="center"/>
            <w:hideMark/>
          </w:tcPr>
          <w:p w14:paraId="5052D0D4" w14:textId="77777777" w:rsidR="0067329E" w:rsidRPr="00AE4E8D" w:rsidRDefault="0067329E" w:rsidP="006F3906">
            <w:pPr>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14222AE3"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4.997.612</w:t>
            </w:r>
          </w:p>
        </w:tc>
        <w:tc>
          <w:tcPr>
            <w:tcW w:w="79" w:type="pct"/>
            <w:tcBorders>
              <w:top w:val="nil"/>
              <w:left w:val="nil"/>
              <w:bottom w:val="nil"/>
              <w:right w:val="nil"/>
            </w:tcBorders>
            <w:shd w:val="clear" w:color="auto" w:fill="auto"/>
            <w:noWrap/>
            <w:vAlign w:val="center"/>
            <w:hideMark/>
          </w:tcPr>
          <w:p w14:paraId="7DD40015" w14:textId="77777777" w:rsidR="0067329E" w:rsidRPr="00AE4E8D" w:rsidRDefault="0067329E" w:rsidP="006F3906">
            <w:pPr>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914199E"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315.303</w:t>
            </w:r>
          </w:p>
        </w:tc>
        <w:tc>
          <w:tcPr>
            <w:tcW w:w="78" w:type="pct"/>
            <w:tcBorders>
              <w:top w:val="nil"/>
              <w:left w:val="nil"/>
              <w:bottom w:val="nil"/>
              <w:right w:val="nil"/>
            </w:tcBorders>
            <w:shd w:val="clear" w:color="auto" w:fill="auto"/>
            <w:vAlign w:val="center"/>
            <w:hideMark/>
          </w:tcPr>
          <w:p w14:paraId="2327A322" w14:textId="77777777" w:rsidR="0067329E" w:rsidRPr="00AE4E8D" w:rsidRDefault="0067329E" w:rsidP="006F3906">
            <w:pPr>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2AA15EF"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5.269.499</w:t>
            </w:r>
          </w:p>
        </w:tc>
        <w:tc>
          <w:tcPr>
            <w:tcW w:w="78" w:type="pct"/>
            <w:tcBorders>
              <w:top w:val="nil"/>
              <w:left w:val="nil"/>
              <w:bottom w:val="nil"/>
              <w:right w:val="nil"/>
            </w:tcBorders>
            <w:shd w:val="clear" w:color="auto" w:fill="auto"/>
            <w:vAlign w:val="center"/>
          </w:tcPr>
          <w:p w14:paraId="12184FB6" w14:textId="77777777" w:rsidR="0067329E" w:rsidRPr="00AE4E8D" w:rsidRDefault="0067329E" w:rsidP="006F3906">
            <w:pPr>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9B6C372"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8.082.099</w:t>
            </w:r>
          </w:p>
        </w:tc>
        <w:tc>
          <w:tcPr>
            <w:tcW w:w="78" w:type="pct"/>
            <w:gridSpan w:val="2"/>
            <w:tcBorders>
              <w:top w:val="nil"/>
              <w:left w:val="nil"/>
              <w:bottom w:val="nil"/>
              <w:right w:val="nil"/>
            </w:tcBorders>
            <w:shd w:val="clear" w:color="auto" w:fill="auto"/>
            <w:vAlign w:val="center"/>
          </w:tcPr>
          <w:p w14:paraId="0374CD73" w14:textId="77777777" w:rsidR="0067329E" w:rsidRPr="00AE4E8D" w:rsidRDefault="0067329E" w:rsidP="006F3906">
            <w:pPr>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2FA70DF" w14:textId="77777777" w:rsidR="0067329E" w:rsidRPr="00AE4E8D" w:rsidRDefault="0067329E" w:rsidP="006F3906">
            <w:pPr>
              <w:jc w:val="right"/>
              <w:rPr>
                <w:rFonts w:ascii="Times New Roman" w:hAnsi="Times New Roman"/>
                <w:color w:val="000000"/>
                <w:sz w:val="16"/>
                <w:lang w:val="es-ES"/>
              </w:rPr>
            </w:pPr>
            <w:r w:rsidRPr="00AE4E8D">
              <w:rPr>
                <w:rFonts w:ascii="Times New Roman" w:hAnsi="Times New Roman"/>
                <w:color w:val="000000"/>
                <w:sz w:val="16"/>
                <w:lang w:val="es-ES"/>
              </w:rPr>
              <w:t xml:space="preserve">486.917 </w:t>
            </w:r>
          </w:p>
        </w:tc>
      </w:tr>
      <w:tr w:rsidR="003B5193" w:rsidRPr="00AE4E8D" w14:paraId="677989CB" w14:textId="77777777" w:rsidTr="00E8320E">
        <w:trPr>
          <w:trHeight w:val="210"/>
        </w:trPr>
        <w:tc>
          <w:tcPr>
            <w:tcW w:w="1253" w:type="pct"/>
            <w:tcBorders>
              <w:top w:val="nil"/>
              <w:left w:val="nil"/>
              <w:bottom w:val="nil"/>
              <w:right w:val="nil"/>
            </w:tcBorders>
            <w:shd w:val="clear" w:color="auto" w:fill="auto"/>
            <w:vAlign w:val="center"/>
            <w:hideMark/>
          </w:tcPr>
          <w:p w14:paraId="5288F656" w14:textId="77777777" w:rsidR="0067329E" w:rsidRPr="00AE4E8D" w:rsidRDefault="0067329E" w:rsidP="006F3906">
            <w:pPr>
              <w:tabs>
                <w:tab w:val="left" w:pos="3261"/>
                <w:tab w:val="left" w:pos="3355"/>
              </w:tabs>
              <w:rPr>
                <w:rFonts w:ascii="Times New Roman" w:hAnsi="Times New Roman"/>
                <w:i/>
                <w:color w:val="000000"/>
                <w:sz w:val="16"/>
                <w:lang w:val="es-ES"/>
              </w:rPr>
            </w:pPr>
            <w:r w:rsidRPr="00AE4E8D">
              <w:rPr>
                <w:rFonts w:ascii="Times New Roman" w:hAnsi="Times New Roman"/>
                <w:i/>
                <w:color w:val="000000"/>
                <w:sz w:val="16"/>
                <w:lang w:val="es-ES"/>
              </w:rPr>
              <w:t>Préstamos:</w:t>
            </w:r>
          </w:p>
        </w:tc>
        <w:tc>
          <w:tcPr>
            <w:tcW w:w="328" w:type="pct"/>
            <w:tcBorders>
              <w:top w:val="nil"/>
              <w:left w:val="nil"/>
              <w:bottom w:val="nil"/>
              <w:right w:val="nil"/>
            </w:tcBorders>
            <w:shd w:val="clear" w:color="auto" w:fill="auto"/>
            <w:noWrap/>
            <w:vAlign w:val="center"/>
            <w:hideMark/>
          </w:tcPr>
          <w:p w14:paraId="6B5F142F"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39965233"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6DC4392"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5B191819"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CBE4BAC"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5B6A0875"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DD35DD4" w14:textId="77777777" w:rsidR="0067329E" w:rsidRPr="00AE4E8D" w:rsidRDefault="0067329E"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hideMark/>
          </w:tcPr>
          <w:p w14:paraId="00C34205"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5DC86F8A" w14:textId="77777777" w:rsidR="0067329E" w:rsidRPr="00AE4E8D" w:rsidRDefault="0067329E"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hideMark/>
          </w:tcPr>
          <w:p w14:paraId="6D6BE409"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F182FF1"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3DF4285D"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5ABD3C45"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28BDFDA8"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BB8E0AA"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tcPr>
          <w:p w14:paraId="1E8F89F0"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3AB8E2A" w14:textId="77777777" w:rsidR="0067329E" w:rsidRPr="00AE4E8D" w:rsidRDefault="0067329E" w:rsidP="00E8320E">
            <w:pPr>
              <w:spacing w:before="40" w:after="40"/>
              <w:jc w:val="right"/>
              <w:rPr>
                <w:rFonts w:ascii="Times New Roman" w:hAnsi="Times New Roman"/>
                <w:color w:val="000000"/>
                <w:sz w:val="16"/>
                <w:lang w:val="es-ES"/>
              </w:rPr>
            </w:pPr>
          </w:p>
        </w:tc>
      </w:tr>
      <w:tr w:rsidR="003B5193" w:rsidRPr="00AE4E8D" w14:paraId="162DD9A5" w14:textId="77777777" w:rsidTr="00E8320E">
        <w:trPr>
          <w:trHeight w:val="210"/>
        </w:trPr>
        <w:tc>
          <w:tcPr>
            <w:tcW w:w="1253" w:type="pct"/>
            <w:tcBorders>
              <w:top w:val="nil"/>
              <w:left w:val="nil"/>
              <w:bottom w:val="nil"/>
              <w:right w:val="nil"/>
            </w:tcBorders>
            <w:shd w:val="clear" w:color="auto" w:fill="auto"/>
            <w:vAlign w:val="center"/>
            <w:hideMark/>
          </w:tcPr>
          <w:p w14:paraId="3CA814DA"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Al sector público no financiero</w:t>
            </w:r>
          </w:p>
        </w:tc>
        <w:tc>
          <w:tcPr>
            <w:tcW w:w="328" w:type="pct"/>
            <w:tcBorders>
              <w:top w:val="nil"/>
              <w:left w:val="nil"/>
              <w:bottom w:val="nil"/>
              <w:right w:val="nil"/>
            </w:tcBorders>
            <w:shd w:val="clear" w:color="auto" w:fill="auto"/>
            <w:noWrap/>
            <w:vAlign w:val="center"/>
            <w:hideMark/>
          </w:tcPr>
          <w:p w14:paraId="1734BC7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91.806</w:t>
            </w:r>
          </w:p>
        </w:tc>
        <w:tc>
          <w:tcPr>
            <w:tcW w:w="78" w:type="pct"/>
            <w:tcBorders>
              <w:top w:val="nil"/>
              <w:left w:val="nil"/>
              <w:bottom w:val="nil"/>
              <w:right w:val="nil"/>
            </w:tcBorders>
            <w:shd w:val="clear" w:color="auto" w:fill="auto"/>
            <w:vAlign w:val="center"/>
            <w:hideMark/>
          </w:tcPr>
          <w:p w14:paraId="5D2E45AB"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3338C4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139.373</w:t>
            </w:r>
          </w:p>
        </w:tc>
        <w:tc>
          <w:tcPr>
            <w:tcW w:w="78" w:type="pct"/>
            <w:tcBorders>
              <w:top w:val="nil"/>
              <w:left w:val="nil"/>
              <w:bottom w:val="nil"/>
              <w:right w:val="nil"/>
            </w:tcBorders>
            <w:shd w:val="clear" w:color="auto" w:fill="auto"/>
            <w:vAlign w:val="center"/>
            <w:hideMark/>
          </w:tcPr>
          <w:p w14:paraId="7B9A8EB5"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right w:val="nil"/>
            </w:tcBorders>
            <w:shd w:val="clear" w:color="auto" w:fill="auto"/>
            <w:noWrap/>
            <w:vAlign w:val="center"/>
            <w:hideMark/>
          </w:tcPr>
          <w:p w14:paraId="7361B80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112.131</w:t>
            </w:r>
          </w:p>
        </w:tc>
        <w:tc>
          <w:tcPr>
            <w:tcW w:w="78" w:type="pct"/>
            <w:tcBorders>
              <w:top w:val="nil"/>
              <w:left w:val="nil"/>
              <w:right w:val="nil"/>
            </w:tcBorders>
            <w:shd w:val="clear" w:color="auto" w:fill="auto"/>
            <w:vAlign w:val="center"/>
            <w:hideMark/>
          </w:tcPr>
          <w:p w14:paraId="06DEC62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right w:val="nil"/>
            </w:tcBorders>
            <w:shd w:val="clear" w:color="auto" w:fill="auto"/>
            <w:noWrap/>
            <w:vAlign w:val="center"/>
            <w:hideMark/>
          </w:tcPr>
          <w:p w14:paraId="2B63C01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46.999</w:t>
            </w:r>
          </w:p>
        </w:tc>
        <w:tc>
          <w:tcPr>
            <w:tcW w:w="83" w:type="pct"/>
            <w:tcBorders>
              <w:top w:val="nil"/>
              <w:left w:val="nil"/>
              <w:bottom w:val="nil"/>
              <w:right w:val="nil"/>
            </w:tcBorders>
            <w:shd w:val="clear" w:color="auto" w:fill="auto"/>
            <w:noWrap/>
            <w:vAlign w:val="center"/>
            <w:hideMark/>
          </w:tcPr>
          <w:p w14:paraId="2CCE40D3"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F99B72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153.032</w:t>
            </w:r>
          </w:p>
        </w:tc>
        <w:tc>
          <w:tcPr>
            <w:tcW w:w="79" w:type="pct"/>
            <w:tcBorders>
              <w:top w:val="nil"/>
              <w:left w:val="nil"/>
              <w:bottom w:val="nil"/>
              <w:right w:val="nil"/>
            </w:tcBorders>
            <w:shd w:val="clear" w:color="auto" w:fill="auto"/>
            <w:noWrap/>
            <w:vAlign w:val="center"/>
            <w:hideMark/>
          </w:tcPr>
          <w:p w14:paraId="4713CDC6"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DC9FBC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9.655</w:t>
            </w:r>
          </w:p>
        </w:tc>
        <w:tc>
          <w:tcPr>
            <w:tcW w:w="78" w:type="pct"/>
            <w:tcBorders>
              <w:top w:val="nil"/>
              <w:left w:val="nil"/>
              <w:bottom w:val="nil"/>
              <w:right w:val="nil"/>
            </w:tcBorders>
            <w:shd w:val="clear" w:color="auto" w:fill="auto"/>
            <w:vAlign w:val="center"/>
            <w:hideMark/>
          </w:tcPr>
          <w:p w14:paraId="28CCA26A"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D7F7AE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165.019</w:t>
            </w:r>
          </w:p>
        </w:tc>
        <w:tc>
          <w:tcPr>
            <w:tcW w:w="78" w:type="pct"/>
            <w:tcBorders>
              <w:top w:val="nil"/>
              <w:left w:val="nil"/>
              <w:bottom w:val="nil"/>
              <w:right w:val="nil"/>
            </w:tcBorders>
            <w:shd w:val="clear" w:color="auto" w:fill="auto"/>
            <w:vAlign w:val="center"/>
          </w:tcPr>
          <w:p w14:paraId="2E9B9557"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1BCE9C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129.474</w:t>
            </w:r>
          </w:p>
        </w:tc>
        <w:tc>
          <w:tcPr>
            <w:tcW w:w="78" w:type="pct"/>
            <w:gridSpan w:val="2"/>
            <w:tcBorders>
              <w:top w:val="nil"/>
              <w:left w:val="nil"/>
              <w:bottom w:val="nil"/>
              <w:right w:val="nil"/>
            </w:tcBorders>
            <w:shd w:val="clear" w:color="auto" w:fill="auto"/>
            <w:vAlign w:val="center"/>
          </w:tcPr>
          <w:p w14:paraId="67610920"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0A7F34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7.800 </w:t>
            </w:r>
          </w:p>
        </w:tc>
      </w:tr>
      <w:tr w:rsidR="003B5193" w:rsidRPr="00AE4E8D" w14:paraId="1F71B79C" w14:textId="77777777" w:rsidTr="00E8320E">
        <w:trPr>
          <w:trHeight w:val="210"/>
        </w:trPr>
        <w:tc>
          <w:tcPr>
            <w:tcW w:w="1253" w:type="pct"/>
            <w:tcBorders>
              <w:top w:val="nil"/>
              <w:left w:val="nil"/>
              <w:bottom w:val="nil"/>
              <w:right w:val="nil"/>
            </w:tcBorders>
            <w:shd w:val="clear" w:color="auto" w:fill="auto"/>
            <w:vAlign w:val="center"/>
            <w:hideMark/>
          </w:tcPr>
          <w:p w14:paraId="78034E67"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Al sector financiero</w:t>
            </w:r>
          </w:p>
        </w:tc>
        <w:tc>
          <w:tcPr>
            <w:tcW w:w="328" w:type="pct"/>
            <w:tcBorders>
              <w:top w:val="nil"/>
              <w:left w:val="nil"/>
              <w:bottom w:val="nil"/>
              <w:right w:val="nil"/>
            </w:tcBorders>
            <w:shd w:val="clear" w:color="auto" w:fill="auto"/>
            <w:noWrap/>
            <w:vAlign w:val="center"/>
            <w:hideMark/>
          </w:tcPr>
          <w:p w14:paraId="31E3BFD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391.343</w:t>
            </w:r>
          </w:p>
        </w:tc>
        <w:tc>
          <w:tcPr>
            <w:tcW w:w="78" w:type="pct"/>
            <w:tcBorders>
              <w:top w:val="nil"/>
              <w:left w:val="nil"/>
              <w:bottom w:val="nil"/>
              <w:right w:val="nil"/>
            </w:tcBorders>
            <w:shd w:val="clear" w:color="auto" w:fill="auto"/>
            <w:vAlign w:val="center"/>
            <w:hideMark/>
          </w:tcPr>
          <w:p w14:paraId="0943E08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C09FFE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379.308</w:t>
            </w:r>
          </w:p>
        </w:tc>
        <w:tc>
          <w:tcPr>
            <w:tcW w:w="78" w:type="pct"/>
            <w:tcBorders>
              <w:top w:val="nil"/>
              <w:left w:val="nil"/>
              <w:bottom w:val="nil"/>
              <w:right w:val="nil"/>
            </w:tcBorders>
            <w:shd w:val="clear" w:color="auto" w:fill="auto"/>
            <w:vAlign w:val="center"/>
            <w:hideMark/>
          </w:tcPr>
          <w:p w14:paraId="76AA03D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363777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339.190</w:t>
            </w:r>
          </w:p>
        </w:tc>
        <w:tc>
          <w:tcPr>
            <w:tcW w:w="78" w:type="pct"/>
            <w:tcBorders>
              <w:top w:val="nil"/>
              <w:left w:val="nil"/>
              <w:bottom w:val="nil"/>
              <w:right w:val="nil"/>
            </w:tcBorders>
            <w:shd w:val="clear" w:color="auto" w:fill="auto"/>
            <w:vAlign w:val="center"/>
            <w:hideMark/>
          </w:tcPr>
          <w:p w14:paraId="49EC3C25"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6CC3EC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198.130</w:t>
            </w:r>
          </w:p>
        </w:tc>
        <w:tc>
          <w:tcPr>
            <w:tcW w:w="83" w:type="pct"/>
            <w:tcBorders>
              <w:top w:val="nil"/>
              <w:left w:val="nil"/>
              <w:bottom w:val="nil"/>
              <w:right w:val="nil"/>
            </w:tcBorders>
            <w:shd w:val="clear" w:color="auto" w:fill="auto"/>
            <w:noWrap/>
            <w:vAlign w:val="center"/>
            <w:hideMark/>
          </w:tcPr>
          <w:p w14:paraId="6490D18C"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2C3DAB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636.950</w:t>
            </w:r>
          </w:p>
        </w:tc>
        <w:tc>
          <w:tcPr>
            <w:tcW w:w="79" w:type="pct"/>
            <w:tcBorders>
              <w:top w:val="nil"/>
              <w:left w:val="nil"/>
              <w:bottom w:val="nil"/>
              <w:right w:val="nil"/>
            </w:tcBorders>
            <w:shd w:val="clear" w:color="auto" w:fill="auto"/>
            <w:noWrap/>
            <w:vAlign w:val="center"/>
            <w:hideMark/>
          </w:tcPr>
          <w:p w14:paraId="4EAAD681"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0AF3F0E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40.186</w:t>
            </w:r>
          </w:p>
        </w:tc>
        <w:tc>
          <w:tcPr>
            <w:tcW w:w="78" w:type="pct"/>
            <w:tcBorders>
              <w:top w:val="nil"/>
              <w:left w:val="nil"/>
              <w:bottom w:val="nil"/>
              <w:right w:val="nil"/>
            </w:tcBorders>
            <w:shd w:val="clear" w:color="auto" w:fill="auto"/>
            <w:vAlign w:val="center"/>
            <w:hideMark/>
          </w:tcPr>
          <w:p w14:paraId="4B6D7FD2"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2CD741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472.777</w:t>
            </w:r>
          </w:p>
        </w:tc>
        <w:tc>
          <w:tcPr>
            <w:tcW w:w="78" w:type="pct"/>
            <w:tcBorders>
              <w:top w:val="nil"/>
              <w:left w:val="nil"/>
              <w:bottom w:val="nil"/>
              <w:right w:val="nil"/>
            </w:tcBorders>
            <w:shd w:val="clear" w:color="auto" w:fill="auto"/>
            <w:vAlign w:val="center"/>
          </w:tcPr>
          <w:p w14:paraId="5EEB0678"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964165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518.403</w:t>
            </w:r>
          </w:p>
        </w:tc>
        <w:tc>
          <w:tcPr>
            <w:tcW w:w="78" w:type="pct"/>
            <w:gridSpan w:val="2"/>
            <w:tcBorders>
              <w:top w:val="nil"/>
              <w:left w:val="nil"/>
              <w:bottom w:val="nil"/>
              <w:right w:val="nil"/>
            </w:tcBorders>
            <w:shd w:val="clear" w:color="auto" w:fill="auto"/>
            <w:vAlign w:val="center"/>
          </w:tcPr>
          <w:p w14:paraId="0FB8EA69"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4056EA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31.232 </w:t>
            </w:r>
          </w:p>
        </w:tc>
      </w:tr>
      <w:tr w:rsidR="003B5193" w:rsidRPr="00AE4E8D" w14:paraId="4CB714B0" w14:textId="77777777" w:rsidTr="00E8320E">
        <w:trPr>
          <w:trHeight w:val="210"/>
        </w:trPr>
        <w:tc>
          <w:tcPr>
            <w:tcW w:w="1253" w:type="pct"/>
            <w:tcBorders>
              <w:top w:val="nil"/>
              <w:left w:val="nil"/>
              <w:bottom w:val="nil"/>
              <w:right w:val="nil"/>
            </w:tcBorders>
            <w:shd w:val="clear" w:color="auto" w:fill="auto"/>
            <w:vAlign w:val="center"/>
          </w:tcPr>
          <w:p w14:paraId="689D9A16"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Al sector privado no financiero y residentes en el exterior</w:t>
            </w:r>
          </w:p>
        </w:tc>
        <w:tc>
          <w:tcPr>
            <w:tcW w:w="328" w:type="pct"/>
            <w:tcBorders>
              <w:top w:val="nil"/>
              <w:left w:val="nil"/>
              <w:bottom w:val="nil"/>
              <w:right w:val="nil"/>
            </w:tcBorders>
            <w:shd w:val="clear" w:color="auto" w:fill="auto"/>
            <w:noWrap/>
            <w:vAlign w:val="center"/>
          </w:tcPr>
          <w:p w14:paraId="012D2399"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3BBB63B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1EEE74F3"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3D09560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2A3757BD"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282DC2C8"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7E963351" w14:textId="77777777" w:rsidR="0067329E" w:rsidRPr="00AE4E8D" w:rsidRDefault="0067329E"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tcPr>
          <w:p w14:paraId="633BA143"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tcPr>
          <w:p w14:paraId="01A6647B" w14:textId="77777777" w:rsidR="0067329E" w:rsidRPr="00AE4E8D" w:rsidRDefault="0067329E"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tcPr>
          <w:p w14:paraId="67696DB1"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tcPr>
          <w:p w14:paraId="52A2032E"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2C60E5E3"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C5FF7B4"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28AE7DBF"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91ADB8F"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tcPr>
          <w:p w14:paraId="2665C841"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29C02E25" w14:textId="77777777" w:rsidR="0067329E" w:rsidRPr="00AE4E8D" w:rsidRDefault="0067329E" w:rsidP="00E8320E">
            <w:pPr>
              <w:spacing w:before="40" w:after="40"/>
              <w:jc w:val="right"/>
              <w:rPr>
                <w:rFonts w:ascii="Times New Roman" w:hAnsi="Times New Roman"/>
                <w:color w:val="000000"/>
                <w:sz w:val="16"/>
                <w:lang w:val="es-ES"/>
              </w:rPr>
            </w:pPr>
          </w:p>
        </w:tc>
      </w:tr>
      <w:tr w:rsidR="003B5193" w:rsidRPr="00AE4E8D" w14:paraId="5EB227C1" w14:textId="77777777" w:rsidTr="00E8320E">
        <w:trPr>
          <w:trHeight w:val="210"/>
        </w:trPr>
        <w:tc>
          <w:tcPr>
            <w:tcW w:w="1253" w:type="pct"/>
            <w:tcBorders>
              <w:top w:val="nil"/>
              <w:left w:val="nil"/>
              <w:bottom w:val="nil"/>
              <w:right w:val="nil"/>
            </w:tcBorders>
            <w:shd w:val="clear" w:color="auto" w:fill="auto"/>
            <w:vAlign w:val="center"/>
            <w:hideMark/>
          </w:tcPr>
          <w:p w14:paraId="26A17636"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Adelantos</w:t>
            </w:r>
          </w:p>
        </w:tc>
        <w:tc>
          <w:tcPr>
            <w:tcW w:w="328" w:type="pct"/>
            <w:tcBorders>
              <w:top w:val="nil"/>
              <w:left w:val="nil"/>
              <w:bottom w:val="nil"/>
              <w:right w:val="nil"/>
            </w:tcBorders>
            <w:shd w:val="clear" w:color="auto" w:fill="auto"/>
            <w:noWrap/>
            <w:vAlign w:val="center"/>
            <w:hideMark/>
          </w:tcPr>
          <w:p w14:paraId="1B40BA0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1.031.178</w:t>
            </w:r>
          </w:p>
        </w:tc>
        <w:tc>
          <w:tcPr>
            <w:tcW w:w="78" w:type="pct"/>
            <w:tcBorders>
              <w:top w:val="nil"/>
              <w:left w:val="nil"/>
              <w:bottom w:val="nil"/>
              <w:right w:val="nil"/>
            </w:tcBorders>
            <w:shd w:val="clear" w:color="auto" w:fill="auto"/>
            <w:vAlign w:val="center"/>
            <w:hideMark/>
          </w:tcPr>
          <w:p w14:paraId="1D2D722A"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381840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792.178</w:t>
            </w:r>
          </w:p>
        </w:tc>
        <w:tc>
          <w:tcPr>
            <w:tcW w:w="78" w:type="pct"/>
            <w:tcBorders>
              <w:top w:val="nil"/>
              <w:left w:val="nil"/>
              <w:bottom w:val="nil"/>
              <w:right w:val="nil"/>
            </w:tcBorders>
            <w:shd w:val="clear" w:color="auto" w:fill="auto"/>
            <w:vAlign w:val="center"/>
            <w:hideMark/>
          </w:tcPr>
          <w:p w14:paraId="4AB216E5"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D2524D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1.173.527</w:t>
            </w:r>
          </w:p>
        </w:tc>
        <w:tc>
          <w:tcPr>
            <w:tcW w:w="78" w:type="pct"/>
            <w:tcBorders>
              <w:top w:val="nil"/>
              <w:left w:val="nil"/>
              <w:bottom w:val="nil"/>
              <w:right w:val="nil"/>
            </w:tcBorders>
            <w:shd w:val="clear" w:color="auto" w:fill="auto"/>
            <w:vAlign w:val="center"/>
            <w:hideMark/>
          </w:tcPr>
          <w:p w14:paraId="0502F0D3"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CDD824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493.226</w:t>
            </w:r>
          </w:p>
        </w:tc>
        <w:tc>
          <w:tcPr>
            <w:tcW w:w="83" w:type="pct"/>
            <w:tcBorders>
              <w:top w:val="nil"/>
              <w:left w:val="nil"/>
              <w:bottom w:val="nil"/>
              <w:right w:val="nil"/>
            </w:tcBorders>
            <w:shd w:val="clear" w:color="auto" w:fill="auto"/>
            <w:noWrap/>
            <w:vAlign w:val="center"/>
            <w:hideMark/>
          </w:tcPr>
          <w:p w14:paraId="38DBBD67"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60FDE99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290.153</w:t>
            </w:r>
          </w:p>
        </w:tc>
        <w:tc>
          <w:tcPr>
            <w:tcW w:w="79" w:type="pct"/>
            <w:tcBorders>
              <w:top w:val="nil"/>
              <w:left w:val="nil"/>
              <w:bottom w:val="nil"/>
              <w:right w:val="nil"/>
            </w:tcBorders>
            <w:shd w:val="clear" w:color="auto" w:fill="auto"/>
            <w:noWrap/>
            <w:vAlign w:val="center"/>
            <w:hideMark/>
          </w:tcPr>
          <w:p w14:paraId="07F62EA7"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0A68816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18.306</w:t>
            </w:r>
          </w:p>
        </w:tc>
        <w:tc>
          <w:tcPr>
            <w:tcW w:w="78" w:type="pct"/>
            <w:tcBorders>
              <w:top w:val="nil"/>
              <w:left w:val="nil"/>
              <w:bottom w:val="nil"/>
              <w:right w:val="nil"/>
            </w:tcBorders>
            <w:shd w:val="clear" w:color="auto" w:fill="auto"/>
            <w:vAlign w:val="center"/>
            <w:hideMark/>
          </w:tcPr>
          <w:p w14:paraId="66382F5E"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47E0DC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890.819</w:t>
            </w:r>
          </w:p>
        </w:tc>
        <w:tc>
          <w:tcPr>
            <w:tcW w:w="78" w:type="pct"/>
            <w:tcBorders>
              <w:top w:val="nil"/>
              <w:left w:val="nil"/>
              <w:bottom w:val="nil"/>
              <w:right w:val="nil"/>
            </w:tcBorders>
            <w:shd w:val="clear" w:color="auto" w:fill="auto"/>
            <w:vAlign w:val="center"/>
          </w:tcPr>
          <w:p w14:paraId="42E362F6"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8583EC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546.129</w:t>
            </w:r>
          </w:p>
        </w:tc>
        <w:tc>
          <w:tcPr>
            <w:tcW w:w="78" w:type="pct"/>
            <w:gridSpan w:val="2"/>
            <w:tcBorders>
              <w:top w:val="nil"/>
              <w:left w:val="nil"/>
              <w:bottom w:val="nil"/>
              <w:right w:val="nil"/>
            </w:tcBorders>
            <w:shd w:val="clear" w:color="auto" w:fill="auto"/>
            <w:vAlign w:val="center"/>
          </w:tcPr>
          <w:p w14:paraId="5C6D0FBD"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5F01AF6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32.902 </w:t>
            </w:r>
          </w:p>
        </w:tc>
      </w:tr>
      <w:tr w:rsidR="003B5193" w:rsidRPr="00AE4E8D" w14:paraId="70E70BDD" w14:textId="77777777" w:rsidTr="00E8320E">
        <w:trPr>
          <w:trHeight w:val="210"/>
        </w:trPr>
        <w:tc>
          <w:tcPr>
            <w:tcW w:w="1253" w:type="pct"/>
            <w:tcBorders>
              <w:top w:val="nil"/>
              <w:left w:val="nil"/>
              <w:bottom w:val="nil"/>
              <w:right w:val="nil"/>
            </w:tcBorders>
            <w:shd w:val="clear" w:color="auto" w:fill="auto"/>
            <w:vAlign w:val="center"/>
            <w:hideMark/>
          </w:tcPr>
          <w:p w14:paraId="73ABF931"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Documentos</w:t>
            </w:r>
          </w:p>
        </w:tc>
        <w:tc>
          <w:tcPr>
            <w:tcW w:w="328" w:type="pct"/>
            <w:tcBorders>
              <w:top w:val="nil"/>
              <w:left w:val="nil"/>
              <w:bottom w:val="nil"/>
              <w:right w:val="nil"/>
            </w:tcBorders>
            <w:shd w:val="clear" w:color="auto" w:fill="auto"/>
            <w:noWrap/>
            <w:vAlign w:val="center"/>
            <w:hideMark/>
          </w:tcPr>
          <w:p w14:paraId="2783C41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229.629</w:t>
            </w:r>
          </w:p>
        </w:tc>
        <w:tc>
          <w:tcPr>
            <w:tcW w:w="78" w:type="pct"/>
            <w:tcBorders>
              <w:top w:val="nil"/>
              <w:left w:val="nil"/>
              <w:bottom w:val="nil"/>
              <w:right w:val="nil"/>
            </w:tcBorders>
            <w:shd w:val="clear" w:color="auto" w:fill="auto"/>
            <w:vAlign w:val="center"/>
            <w:hideMark/>
          </w:tcPr>
          <w:p w14:paraId="0506606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0AE06A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371.267</w:t>
            </w:r>
          </w:p>
        </w:tc>
        <w:tc>
          <w:tcPr>
            <w:tcW w:w="78" w:type="pct"/>
            <w:tcBorders>
              <w:top w:val="nil"/>
              <w:left w:val="nil"/>
              <w:bottom w:val="nil"/>
              <w:right w:val="nil"/>
            </w:tcBorders>
            <w:shd w:val="clear" w:color="auto" w:fill="auto"/>
            <w:vAlign w:val="center"/>
            <w:hideMark/>
          </w:tcPr>
          <w:p w14:paraId="0F42BC7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E45F69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369.360</w:t>
            </w:r>
          </w:p>
        </w:tc>
        <w:tc>
          <w:tcPr>
            <w:tcW w:w="78" w:type="pct"/>
            <w:tcBorders>
              <w:top w:val="nil"/>
              <w:left w:val="nil"/>
              <w:bottom w:val="nil"/>
              <w:right w:val="nil"/>
            </w:tcBorders>
            <w:shd w:val="clear" w:color="auto" w:fill="auto"/>
            <w:vAlign w:val="center"/>
            <w:hideMark/>
          </w:tcPr>
          <w:p w14:paraId="2D126111"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5228AF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310.407</w:t>
            </w:r>
          </w:p>
        </w:tc>
        <w:tc>
          <w:tcPr>
            <w:tcW w:w="83" w:type="pct"/>
            <w:tcBorders>
              <w:top w:val="nil"/>
              <w:left w:val="nil"/>
              <w:bottom w:val="nil"/>
              <w:right w:val="nil"/>
            </w:tcBorders>
            <w:shd w:val="clear" w:color="auto" w:fill="auto"/>
            <w:noWrap/>
            <w:vAlign w:val="center"/>
            <w:hideMark/>
          </w:tcPr>
          <w:p w14:paraId="0939EBA4"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E11B81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687.965</w:t>
            </w:r>
          </w:p>
        </w:tc>
        <w:tc>
          <w:tcPr>
            <w:tcW w:w="79" w:type="pct"/>
            <w:tcBorders>
              <w:top w:val="nil"/>
              <w:left w:val="nil"/>
              <w:bottom w:val="nil"/>
              <w:right w:val="nil"/>
            </w:tcBorders>
            <w:shd w:val="clear" w:color="auto" w:fill="auto"/>
            <w:noWrap/>
            <w:vAlign w:val="center"/>
            <w:hideMark/>
          </w:tcPr>
          <w:p w14:paraId="58D0F997"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403F38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43.404</w:t>
            </w:r>
          </w:p>
        </w:tc>
        <w:tc>
          <w:tcPr>
            <w:tcW w:w="78" w:type="pct"/>
            <w:tcBorders>
              <w:top w:val="nil"/>
              <w:left w:val="nil"/>
              <w:bottom w:val="nil"/>
              <w:right w:val="nil"/>
            </w:tcBorders>
            <w:shd w:val="clear" w:color="auto" w:fill="auto"/>
            <w:vAlign w:val="center"/>
            <w:hideMark/>
          </w:tcPr>
          <w:p w14:paraId="06A1EABE"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CB7420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390.408</w:t>
            </w:r>
          </w:p>
        </w:tc>
        <w:tc>
          <w:tcPr>
            <w:tcW w:w="78" w:type="pct"/>
            <w:tcBorders>
              <w:top w:val="nil"/>
              <w:left w:val="nil"/>
              <w:bottom w:val="nil"/>
              <w:right w:val="nil"/>
            </w:tcBorders>
            <w:shd w:val="clear" w:color="auto" w:fill="auto"/>
            <w:vAlign w:val="center"/>
          </w:tcPr>
          <w:p w14:paraId="6D6DF46A"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E4684D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933.292</w:t>
            </w:r>
          </w:p>
        </w:tc>
        <w:tc>
          <w:tcPr>
            <w:tcW w:w="78" w:type="pct"/>
            <w:gridSpan w:val="2"/>
            <w:tcBorders>
              <w:top w:val="nil"/>
              <w:left w:val="nil"/>
              <w:bottom w:val="nil"/>
              <w:right w:val="nil"/>
            </w:tcBorders>
            <w:shd w:val="clear" w:color="auto" w:fill="auto"/>
            <w:vAlign w:val="center"/>
          </w:tcPr>
          <w:p w14:paraId="6262E92C"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798184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56.227 </w:t>
            </w:r>
          </w:p>
        </w:tc>
      </w:tr>
      <w:tr w:rsidR="003B5193" w:rsidRPr="00AE4E8D" w14:paraId="25C7B474" w14:textId="77777777" w:rsidTr="00E8320E">
        <w:trPr>
          <w:trHeight w:val="210"/>
        </w:trPr>
        <w:tc>
          <w:tcPr>
            <w:tcW w:w="1253" w:type="pct"/>
            <w:tcBorders>
              <w:top w:val="nil"/>
              <w:left w:val="nil"/>
              <w:bottom w:val="nil"/>
              <w:right w:val="nil"/>
            </w:tcBorders>
            <w:shd w:val="clear" w:color="auto" w:fill="auto"/>
            <w:vAlign w:val="center"/>
            <w:hideMark/>
          </w:tcPr>
          <w:p w14:paraId="6ABF1B76"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Hipotecarios</w:t>
            </w:r>
          </w:p>
        </w:tc>
        <w:tc>
          <w:tcPr>
            <w:tcW w:w="328" w:type="pct"/>
            <w:tcBorders>
              <w:top w:val="nil"/>
              <w:left w:val="nil"/>
              <w:bottom w:val="nil"/>
              <w:right w:val="nil"/>
            </w:tcBorders>
            <w:shd w:val="clear" w:color="auto" w:fill="auto"/>
            <w:noWrap/>
            <w:vAlign w:val="center"/>
            <w:hideMark/>
          </w:tcPr>
          <w:p w14:paraId="408D799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1.868.330</w:t>
            </w:r>
          </w:p>
        </w:tc>
        <w:tc>
          <w:tcPr>
            <w:tcW w:w="78" w:type="pct"/>
            <w:tcBorders>
              <w:top w:val="nil"/>
              <w:left w:val="nil"/>
              <w:bottom w:val="nil"/>
              <w:right w:val="nil"/>
            </w:tcBorders>
            <w:shd w:val="clear" w:color="auto" w:fill="auto"/>
            <w:vAlign w:val="center"/>
            <w:hideMark/>
          </w:tcPr>
          <w:p w14:paraId="0E7DD1F9"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BED019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2.220.627</w:t>
            </w:r>
          </w:p>
        </w:tc>
        <w:tc>
          <w:tcPr>
            <w:tcW w:w="78" w:type="pct"/>
            <w:tcBorders>
              <w:top w:val="nil"/>
              <w:left w:val="nil"/>
              <w:bottom w:val="nil"/>
              <w:right w:val="nil"/>
            </w:tcBorders>
            <w:shd w:val="clear" w:color="auto" w:fill="auto"/>
            <w:vAlign w:val="center"/>
            <w:hideMark/>
          </w:tcPr>
          <w:p w14:paraId="1E61F5CA"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F1EFF4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2.349.468</w:t>
            </w:r>
          </w:p>
        </w:tc>
        <w:tc>
          <w:tcPr>
            <w:tcW w:w="78" w:type="pct"/>
            <w:tcBorders>
              <w:top w:val="nil"/>
              <w:left w:val="nil"/>
              <w:bottom w:val="nil"/>
              <w:right w:val="nil"/>
            </w:tcBorders>
            <w:shd w:val="clear" w:color="auto" w:fill="auto"/>
            <w:vAlign w:val="center"/>
            <w:hideMark/>
          </w:tcPr>
          <w:p w14:paraId="53333548"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E8FEEB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2.631.874</w:t>
            </w:r>
          </w:p>
        </w:tc>
        <w:tc>
          <w:tcPr>
            <w:tcW w:w="83" w:type="pct"/>
            <w:tcBorders>
              <w:top w:val="nil"/>
              <w:left w:val="nil"/>
              <w:bottom w:val="nil"/>
              <w:right w:val="nil"/>
            </w:tcBorders>
            <w:shd w:val="clear" w:color="auto" w:fill="auto"/>
            <w:noWrap/>
            <w:vAlign w:val="center"/>
            <w:hideMark/>
          </w:tcPr>
          <w:p w14:paraId="22C68B80"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5E261E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2.744.734</w:t>
            </w:r>
          </w:p>
        </w:tc>
        <w:tc>
          <w:tcPr>
            <w:tcW w:w="79" w:type="pct"/>
            <w:tcBorders>
              <w:top w:val="nil"/>
              <w:left w:val="nil"/>
              <w:bottom w:val="nil"/>
              <w:right w:val="nil"/>
            </w:tcBorders>
            <w:shd w:val="clear" w:color="auto" w:fill="auto"/>
            <w:noWrap/>
            <w:vAlign w:val="center"/>
            <w:hideMark/>
          </w:tcPr>
          <w:p w14:paraId="48D1A6F1"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2DFE39D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173.167</w:t>
            </w:r>
          </w:p>
        </w:tc>
        <w:tc>
          <w:tcPr>
            <w:tcW w:w="78" w:type="pct"/>
            <w:tcBorders>
              <w:top w:val="nil"/>
              <w:left w:val="nil"/>
              <w:bottom w:val="nil"/>
              <w:right w:val="nil"/>
            </w:tcBorders>
            <w:shd w:val="clear" w:color="auto" w:fill="auto"/>
            <w:vAlign w:val="center"/>
            <w:hideMark/>
          </w:tcPr>
          <w:p w14:paraId="0CFE32EB"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EF4293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2.469.806</w:t>
            </w:r>
          </w:p>
        </w:tc>
        <w:tc>
          <w:tcPr>
            <w:tcW w:w="78" w:type="pct"/>
            <w:tcBorders>
              <w:top w:val="nil"/>
              <w:left w:val="nil"/>
              <w:bottom w:val="nil"/>
              <w:right w:val="nil"/>
            </w:tcBorders>
            <w:shd w:val="clear" w:color="auto" w:fill="auto"/>
            <w:vAlign w:val="center"/>
          </w:tcPr>
          <w:p w14:paraId="47DE7754"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3C94A28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3.168.830</w:t>
            </w:r>
          </w:p>
        </w:tc>
        <w:tc>
          <w:tcPr>
            <w:tcW w:w="78" w:type="pct"/>
            <w:gridSpan w:val="2"/>
            <w:tcBorders>
              <w:top w:val="nil"/>
              <w:left w:val="nil"/>
              <w:bottom w:val="nil"/>
              <w:right w:val="nil"/>
            </w:tcBorders>
            <w:shd w:val="clear" w:color="auto" w:fill="auto"/>
            <w:vAlign w:val="center"/>
          </w:tcPr>
          <w:p w14:paraId="2D2B62FE"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481773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190.911 </w:t>
            </w:r>
          </w:p>
        </w:tc>
      </w:tr>
      <w:tr w:rsidR="003B5193" w:rsidRPr="00AE4E8D" w14:paraId="5361E666" w14:textId="77777777" w:rsidTr="00E8320E">
        <w:trPr>
          <w:trHeight w:val="210"/>
        </w:trPr>
        <w:tc>
          <w:tcPr>
            <w:tcW w:w="1253" w:type="pct"/>
            <w:tcBorders>
              <w:top w:val="nil"/>
              <w:left w:val="nil"/>
              <w:bottom w:val="nil"/>
              <w:right w:val="nil"/>
            </w:tcBorders>
            <w:shd w:val="clear" w:color="auto" w:fill="auto"/>
            <w:vAlign w:val="center"/>
            <w:hideMark/>
          </w:tcPr>
          <w:p w14:paraId="79628B99"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Prendarios</w:t>
            </w:r>
          </w:p>
        </w:tc>
        <w:tc>
          <w:tcPr>
            <w:tcW w:w="328" w:type="pct"/>
            <w:tcBorders>
              <w:top w:val="nil"/>
              <w:left w:val="nil"/>
              <w:bottom w:val="nil"/>
              <w:right w:val="nil"/>
            </w:tcBorders>
            <w:shd w:val="clear" w:color="auto" w:fill="auto"/>
            <w:noWrap/>
            <w:vAlign w:val="center"/>
            <w:hideMark/>
          </w:tcPr>
          <w:p w14:paraId="5492550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55.346</w:t>
            </w:r>
          </w:p>
        </w:tc>
        <w:tc>
          <w:tcPr>
            <w:tcW w:w="78" w:type="pct"/>
            <w:tcBorders>
              <w:top w:val="nil"/>
              <w:left w:val="nil"/>
              <w:bottom w:val="nil"/>
              <w:right w:val="nil"/>
            </w:tcBorders>
            <w:shd w:val="clear" w:color="auto" w:fill="auto"/>
            <w:vAlign w:val="center"/>
            <w:hideMark/>
          </w:tcPr>
          <w:p w14:paraId="0CD4F5D7"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0E7FC1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42.460</w:t>
            </w:r>
          </w:p>
        </w:tc>
        <w:tc>
          <w:tcPr>
            <w:tcW w:w="78" w:type="pct"/>
            <w:tcBorders>
              <w:top w:val="nil"/>
              <w:left w:val="nil"/>
              <w:bottom w:val="nil"/>
              <w:right w:val="nil"/>
            </w:tcBorders>
            <w:shd w:val="clear" w:color="auto" w:fill="auto"/>
            <w:vAlign w:val="center"/>
            <w:hideMark/>
          </w:tcPr>
          <w:p w14:paraId="3EBEE708"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CB1EE3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103.576</w:t>
            </w:r>
          </w:p>
        </w:tc>
        <w:tc>
          <w:tcPr>
            <w:tcW w:w="78" w:type="pct"/>
            <w:tcBorders>
              <w:top w:val="nil"/>
              <w:left w:val="nil"/>
              <w:bottom w:val="nil"/>
              <w:right w:val="nil"/>
            </w:tcBorders>
            <w:shd w:val="clear" w:color="auto" w:fill="auto"/>
            <w:vAlign w:val="center"/>
            <w:hideMark/>
          </w:tcPr>
          <w:p w14:paraId="110D1C7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F0A8CB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427.857</w:t>
            </w:r>
          </w:p>
        </w:tc>
        <w:tc>
          <w:tcPr>
            <w:tcW w:w="83" w:type="pct"/>
            <w:tcBorders>
              <w:top w:val="nil"/>
              <w:left w:val="nil"/>
              <w:bottom w:val="nil"/>
              <w:right w:val="nil"/>
            </w:tcBorders>
            <w:shd w:val="clear" w:color="auto" w:fill="auto"/>
            <w:noWrap/>
            <w:vAlign w:val="center"/>
            <w:hideMark/>
          </w:tcPr>
          <w:p w14:paraId="12C58095"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DE292C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640.365</w:t>
            </w:r>
          </w:p>
        </w:tc>
        <w:tc>
          <w:tcPr>
            <w:tcW w:w="79" w:type="pct"/>
            <w:tcBorders>
              <w:top w:val="nil"/>
              <w:left w:val="nil"/>
              <w:bottom w:val="nil"/>
              <w:right w:val="nil"/>
            </w:tcBorders>
            <w:shd w:val="clear" w:color="auto" w:fill="auto"/>
            <w:noWrap/>
            <w:vAlign w:val="center"/>
            <w:hideMark/>
          </w:tcPr>
          <w:p w14:paraId="382563B6"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0D6F164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40.401</w:t>
            </w:r>
          </w:p>
        </w:tc>
        <w:tc>
          <w:tcPr>
            <w:tcW w:w="78" w:type="pct"/>
            <w:tcBorders>
              <w:top w:val="nil"/>
              <w:left w:val="nil"/>
              <w:bottom w:val="nil"/>
              <w:right w:val="nil"/>
            </w:tcBorders>
            <w:shd w:val="clear" w:color="auto" w:fill="auto"/>
            <w:vAlign w:val="center"/>
            <w:hideMark/>
          </w:tcPr>
          <w:p w14:paraId="79B6A7D6"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F51BB3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367.452</w:t>
            </w:r>
          </w:p>
        </w:tc>
        <w:tc>
          <w:tcPr>
            <w:tcW w:w="78" w:type="pct"/>
            <w:tcBorders>
              <w:top w:val="nil"/>
              <w:left w:val="nil"/>
              <w:bottom w:val="nil"/>
              <w:right w:val="nil"/>
            </w:tcBorders>
            <w:shd w:val="clear" w:color="auto" w:fill="auto"/>
            <w:vAlign w:val="center"/>
          </w:tcPr>
          <w:p w14:paraId="2D884490"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FBB0D7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236.800</w:t>
            </w:r>
          </w:p>
        </w:tc>
        <w:tc>
          <w:tcPr>
            <w:tcW w:w="78" w:type="pct"/>
            <w:gridSpan w:val="2"/>
            <w:tcBorders>
              <w:top w:val="nil"/>
              <w:left w:val="nil"/>
              <w:bottom w:val="nil"/>
              <w:right w:val="nil"/>
            </w:tcBorders>
            <w:shd w:val="clear" w:color="auto" w:fill="auto"/>
            <w:vAlign w:val="center"/>
          </w:tcPr>
          <w:p w14:paraId="2600A789"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227FEA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14.266 </w:t>
            </w:r>
          </w:p>
        </w:tc>
      </w:tr>
      <w:tr w:rsidR="003B5193" w:rsidRPr="00AE4E8D" w14:paraId="6E172ED2" w14:textId="77777777" w:rsidTr="00E8320E">
        <w:trPr>
          <w:trHeight w:val="210"/>
        </w:trPr>
        <w:tc>
          <w:tcPr>
            <w:tcW w:w="1253" w:type="pct"/>
            <w:tcBorders>
              <w:top w:val="nil"/>
              <w:left w:val="nil"/>
              <w:bottom w:val="nil"/>
              <w:right w:val="nil"/>
            </w:tcBorders>
            <w:shd w:val="clear" w:color="auto" w:fill="auto"/>
            <w:vAlign w:val="center"/>
            <w:hideMark/>
          </w:tcPr>
          <w:p w14:paraId="6DD0AFB2"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Personales</w:t>
            </w:r>
          </w:p>
        </w:tc>
        <w:tc>
          <w:tcPr>
            <w:tcW w:w="328" w:type="pct"/>
            <w:tcBorders>
              <w:top w:val="nil"/>
              <w:left w:val="nil"/>
              <w:bottom w:val="nil"/>
              <w:right w:val="nil"/>
            </w:tcBorders>
            <w:shd w:val="clear" w:color="auto" w:fill="auto"/>
            <w:noWrap/>
            <w:vAlign w:val="center"/>
            <w:hideMark/>
          </w:tcPr>
          <w:p w14:paraId="79F12BE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1.199.211</w:t>
            </w:r>
          </w:p>
        </w:tc>
        <w:tc>
          <w:tcPr>
            <w:tcW w:w="78" w:type="pct"/>
            <w:tcBorders>
              <w:top w:val="nil"/>
              <w:left w:val="nil"/>
              <w:bottom w:val="nil"/>
              <w:right w:val="nil"/>
            </w:tcBorders>
            <w:shd w:val="clear" w:color="auto" w:fill="auto"/>
            <w:vAlign w:val="center"/>
            <w:hideMark/>
          </w:tcPr>
          <w:p w14:paraId="342F5BC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7E1713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1.822.810</w:t>
            </w:r>
          </w:p>
        </w:tc>
        <w:tc>
          <w:tcPr>
            <w:tcW w:w="78" w:type="pct"/>
            <w:tcBorders>
              <w:top w:val="nil"/>
              <w:left w:val="nil"/>
              <w:bottom w:val="nil"/>
              <w:right w:val="nil"/>
            </w:tcBorders>
            <w:shd w:val="clear" w:color="auto" w:fill="auto"/>
            <w:vAlign w:val="center"/>
            <w:hideMark/>
          </w:tcPr>
          <w:p w14:paraId="3EC0DEC3"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82EB6E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2.354.793</w:t>
            </w:r>
          </w:p>
        </w:tc>
        <w:tc>
          <w:tcPr>
            <w:tcW w:w="78" w:type="pct"/>
            <w:tcBorders>
              <w:top w:val="nil"/>
              <w:left w:val="nil"/>
              <w:bottom w:val="nil"/>
              <w:right w:val="nil"/>
            </w:tcBorders>
            <w:shd w:val="clear" w:color="auto" w:fill="auto"/>
            <w:vAlign w:val="center"/>
            <w:hideMark/>
          </w:tcPr>
          <w:p w14:paraId="032ABFF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A14161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2.970.468</w:t>
            </w:r>
          </w:p>
        </w:tc>
        <w:tc>
          <w:tcPr>
            <w:tcW w:w="83" w:type="pct"/>
            <w:tcBorders>
              <w:top w:val="nil"/>
              <w:left w:val="nil"/>
              <w:bottom w:val="nil"/>
              <w:right w:val="nil"/>
            </w:tcBorders>
            <w:shd w:val="clear" w:color="auto" w:fill="auto"/>
            <w:noWrap/>
            <w:vAlign w:val="center"/>
            <w:hideMark/>
          </w:tcPr>
          <w:p w14:paraId="0FA14223"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872FCE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4.611.052</w:t>
            </w:r>
          </w:p>
        </w:tc>
        <w:tc>
          <w:tcPr>
            <w:tcW w:w="79" w:type="pct"/>
            <w:tcBorders>
              <w:top w:val="nil"/>
              <w:left w:val="nil"/>
              <w:bottom w:val="nil"/>
              <w:right w:val="nil"/>
            </w:tcBorders>
            <w:shd w:val="clear" w:color="auto" w:fill="auto"/>
            <w:noWrap/>
            <w:vAlign w:val="center"/>
            <w:hideMark/>
          </w:tcPr>
          <w:p w14:paraId="2E5CE8A2"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D5569F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290.914</w:t>
            </w:r>
          </w:p>
        </w:tc>
        <w:tc>
          <w:tcPr>
            <w:tcW w:w="78" w:type="pct"/>
            <w:tcBorders>
              <w:top w:val="nil"/>
              <w:left w:val="nil"/>
              <w:bottom w:val="nil"/>
              <w:right w:val="nil"/>
            </w:tcBorders>
            <w:shd w:val="clear" w:color="auto" w:fill="auto"/>
            <w:vAlign w:val="center"/>
            <w:hideMark/>
          </w:tcPr>
          <w:p w14:paraId="10CEFDC7"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FEA74F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3.149.503</w:t>
            </w:r>
          </w:p>
        </w:tc>
        <w:tc>
          <w:tcPr>
            <w:tcW w:w="78" w:type="pct"/>
            <w:tcBorders>
              <w:top w:val="nil"/>
              <w:left w:val="nil"/>
              <w:bottom w:val="nil"/>
              <w:right w:val="nil"/>
            </w:tcBorders>
            <w:shd w:val="clear" w:color="auto" w:fill="auto"/>
            <w:vAlign w:val="center"/>
          </w:tcPr>
          <w:p w14:paraId="1096E282"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77C4B8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5.784.096</w:t>
            </w:r>
          </w:p>
        </w:tc>
        <w:tc>
          <w:tcPr>
            <w:tcW w:w="78" w:type="pct"/>
            <w:gridSpan w:val="2"/>
            <w:tcBorders>
              <w:top w:val="nil"/>
              <w:left w:val="nil"/>
              <w:bottom w:val="nil"/>
              <w:right w:val="nil"/>
            </w:tcBorders>
            <w:shd w:val="clear" w:color="auto" w:fill="auto"/>
            <w:vAlign w:val="center"/>
          </w:tcPr>
          <w:p w14:paraId="466B2E26"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8D63E0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348.471 </w:t>
            </w:r>
          </w:p>
        </w:tc>
      </w:tr>
      <w:tr w:rsidR="003B5193" w:rsidRPr="00AE4E8D" w14:paraId="2B113ECA" w14:textId="77777777" w:rsidTr="00E8320E">
        <w:trPr>
          <w:trHeight w:val="210"/>
        </w:trPr>
        <w:tc>
          <w:tcPr>
            <w:tcW w:w="1253" w:type="pct"/>
            <w:tcBorders>
              <w:top w:val="nil"/>
              <w:left w:val="nil"/>
              <w:bottom w:val="nil"/>
              <w:right w:val="nil"/>
            </w:tcBorders>
            <w:shd w:val="clear" w:color="auto" w:fill="auto"/>
            <w:vAlign w:val="center"/>
            <w:hideMark/>
          </w:tcPr>
          <w:p w14:paraId="0A6C0DAD"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Tarjetas de crédito</w:t>
            </w:r>
          </w:p>
        </w:tc>
        <w:tc>
          <w:tcPr>
            <w:tcW w:w="328" w:type="pct"/>
            <w:tcBorders>
              <w:top w:val="nil"/>
              <w:left w:val="nil"/>
              <w:bottom w:val="nil"/>
              <w:right w:val="nil"/>
            </w:tcBorders>
            <w:shd w:val="clear" w:color="auto" w:fill="auto"/>
            <w:noWrap/>
            <w:vAlign w:val="center"/>
            <w:hideMark/>
          </w:tcPr>
          <w:p w14:paraId="6E55622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3.551.203</w:t>
            </w:r>
          </w:p>
        </w:tc>
        <w:tc>
          <w:tcPr>
            <w:tcW w:w="78" w:type="pct"/>
            <w:tcBorders>
              <w:top w:val="nil"/>
              <w:left w:val="nil"/>
              <w:bottom w:val="nil"/>
              <w:right w:val="nil"/>
            </w:tcBorders>
            <w:shd w:val="clear" w:color="auto" w:fill="auto"/>
            <w:vAlign w:val="center"/>
            <w:hideMark/>
          </w:tcPr>
          <w:p w14:paraId="5CA3C790"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22BC52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5.181.068</w:t>
            </w:r>
          </w:p>
        </w:tc>
        <w:tc>
          <w:tcPr>
            <w:tcW w:w="78" w:type="pct"/>
            <w:tcBorders>
              <w:top w:val="nil"/>
              <w:left w:val="nil"/>
              <w:bottom w:val="nil"/>
              <w:right w:val="nil"/>
            </w:tcBorders>
            <w:shd w:val="clear" w:color="auto" w:fill="auto"/>
            <w:vAlign w:val="center"/>
            <w:hideMark/>
          </w:tcPr>
          <w:p w14:paraId="3436CA26"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4F5E60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7.155.260</w:t>
            </w:r>
          </w:p>
        </w:tc>
        <w:tc>
          <w:tcPr>
            <w:tcW w:w="78" w:type="pct"/>
            <w:tcBorders>
              <w:top w:val="nil"/>
              <w:left w:val="nil"/>
              <w:bottom w:val="nil"/>
              <w:right w:val="nil"/>
            </w:tcBorders>
            <w:shd w:val="clear" w:color="auto" w:fill="auto"/>
            <w:vAlign w:val="center"/>
            <w:hideMark/>
          </w:tcPr>
          <w:p w14:paraId="588571C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26BC39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9.903.383</w:t>
            </w:r>
          </w:p>
        </w:tc>
        <w:tc>
          <w:tcPr>
            <w:tcW w:w="83" w:type="pct"/>
            <w:tcBorders>
              <w:top w:val="nil"/>
              <w:left w:val="nil"/>
              <w:bottom w:val="nil"/>
              <w:right w:val="nil"/>
            </w:tcBorders>
            <w:shd w:val="clear" w:color="auto" w:fill="auto"/>
            <w:noWrap/>
            <w:vAlign w:val="center"/>
            <w:hideMark/>
          </w:tcPr>
          <w:p w14:paraId="4B3AD324"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AC2E5C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12.663.403</w:t>
            </w:r>
          </w:p>
        </w:tc>
        <w:tc>
          <w:tcPr>
            <w:tcW w:w="79" w:type="pct"/>
            <w:tcBorders>
              <w:top w:val="nil"/>
              <w:left w:val="nil"/>
              <w:bottom w:val="nil"/>
              <w:right w:val="nil"/>
            </w:tcBorders>
            <w:shd w:val="clear" w:color="auto" w:fill="auto"/>
            <w:noWrap/>
            <w:vAlign w:val="center"/>
            <w:hideMark/>
          </w:tcPr>
          <w:p w14:paraId="11F57A4E"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161BD9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798.943</w:t>
            </w:r>
          </w:p>
        </w:tc>
        <w:tc>
          <w:tcPr>
            <w:tcW w:w="78" w:type="pct"/>
            <w:tcBorders>
              <w:top w:val="nil"/>
              <w:left w:val="nil"/>
              <w:bottom w:val="nil"/>
              <w:right w:val="nil"/>
            </w:tcBorders>
            <w:shd w:val="clear" w:color="auto" w:fill="auto"/>
            <w:vAlign w:val="center"/>
            <w:hideMark/>
          </w:tcPr>
          <w:p w14:paraId="6DB3B0C8"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2191E1D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10.573.083</w:t>
            </w:r>
          </w:p>
        </w:tc>
        <w:tc>
          <w:tcPr>
            <w:tcW w:w="78" w:type="pct"/>
            <w:tcBorders>
              <w:top w:val="nil"/>
              <w:left w:val="nil"/>
              <w:bottom w:val="nil"/>
              <w:right w:val="nil"/>
            </w:tcBorders>
            <w:shd w:val="clear" w:color="auto" w:fill="auto"/>
            <w:vAlign w:val="center"/>
          </w:tcPr>
          <w:p w14:paraId="7490DDD3"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49ACBC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13.178.322</w:t>
            </w:r>
          </w:p>
        </w:tc>
        <w:tc>
          <w:tcPr>
            <w:tcW w:w="78" w:type="pct"/>
            <w:gridSpan w:val="2"/>
            <w:tcBorders>
              <w:top w:val="nil"/>
              <w:left w:val="nil"/>
              <w:bottom w:val="nil"/>
              <w:right w:val="nil"/>
            </w:tcBorders>
            <w:shd w:val="clear" w:color="auto" w:fill="auto"/>
            <w:vAlign w:val="center"/>
          </w:tcPr>
          <w:p w14:paraId="71879EBA"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AE129E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793.947 </w:t>
            </w:r>
          </w:p>
        </w:tc>
      </w:tr>
      <w:tr w:rsidR="003B5193" w:rsidRPr="00AE4E8D" w14:paraId="2E206407" w14:textId="77777777" w:rsidTr="00E8320E">
        <w:trPr>
          <w:trHeight w:val="210"/>
        </w:trPr>
        <w:tc>
          <w:tcPr>
            <w:tcW w:w="1253" w:type="pct"/>
            <w:tcBorders>
              <w:top w:val="nil"/>
              <w:left w:val="nil"/>
              <w:bottom w:val="nil"/>
              <w:right w:val="nil"/>
            </w:tcBorders>
            <w:shd w:val="clear" w:color="auto" w:fill="auto"/>
            <w:vAlign w:val="center"/>
            <w:hideMark/>
          </w:tcPr>
          <w:p w14:paraId="4FA283F4"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Cobros no aplicados</w:t>
            </w:r>
          </w:p>
        </w:tc>
        <w:tc>
          <w:tcPr>
            <w:tcW w:w="328" w:type="pct"/>
            <w:tcBorders>
              <w:top w:val="nil"/>
              <w:left w:val="nil"/>
              <w:bottom w:val="nil"/>
              <w:right w:val="nil"/>
            </w:tcBorders>
            <w:shd w:val="clear" w:color="auto" w:fill="auto"/>
            <w:noWrap/>
            <w:vAlign w:val="center"/>
            <w:hideMark/>
          </w:tcPr>
          <w:p w14:paraId="28AD06C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(1.723)</w:t>
            </w:r>
          </w:p>
        </w:tc>
        <w:tc>
          <w:tcPr>
            <w:tcW w:w="78" w:type="pct"/>
            <w:tcBorders>
              <w:top w:val="nil"/>
              <w:left w:val="nil"/>
              <w:bottom w:val="nil"/>
              <w:right w:val="nil"/>
            </w:tcBorders>
            <w:shd w:val="clear" w:color="auto" w:fill="auto"/>
            <w:vAlign w:val="center"/>
            <w:hideMark/>
          </w:tcPr>
          <w:p w14:paraId="10EAB42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70EE3B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(8.007)</w:t>
            </w:r>
          </w:p>
        </w:tc>
        <w:tc>
          <w:tcPr>
            <w:tcW w:w="78" w:type="pct"/>
            <w:tcBorders>
              <w:top w:val="nil"/>
              <w:left w:val="nil"/>
              <w:bottom w:val="nil"/>
              <w:right w:val="nil"/>
            </w:tcBorders>
            <w:shd w:val="clear" w:color="auto" w:fill="auto"/>
            <w:vAlign w:val="center"/>
            <w:hideMark/>
          </w:tcPr>
          <w:p w14:paraId="31419966"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CA6BC5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(34.565)</w:t>
            </w:r>
          </w:p>
        </w:tc>
        <w:tc>
          <w:tcPr>
            <w:tcW w:w="78" w:type="pct"/>
            <w:tcBorders>
              <w:top w:val="nil"/>
              <w:left w:val="nil"/>
              <w:bottom w:val="nil"/>
              <w:right w:val="nil"/>
            </w:tcBorders>
            <w:shd w:val="clear" w:color="auto" w:fill="auto"/>
            <w:vAlign w:val="center"/>
            <w:hideMark/>
          </w:tcPr>
          <w:p w14:paraId="6393363B"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194683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(169.487)</w:t>
            </w:r>
          </w:p>
        </w:tc>
        <w:tc>
          <w:tcPr>
            <w:tcW w:w="83" w:type="pct"/>
            <w:tcBorders>
              <w:top w:val="nil"/>
              <w:left w:val="nil"/>
              <w:bottom w:val="nil"/>
              <w:right w:val="nil"/>
            </w:tcBorders>
            <w:shd w:val="clear" w:color="auto" w:fill="auto"/>
            <w:noWrap/>
            <w:vAlign w:val="center"/>
            <w:hideMark/>
          </w:tcPr>
          <w:p w14:paraId="556F3709"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69F366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(1.166)</w:t>
            </w:r>
          </w:p>
        </w:tc>
        <w:tc>
          <w:tcPr>
            <w:tcW w:w="79" w:type="pct"/>
            <w:tcBorders>
              <w:top w:val="nil"/>
              <w:left w:val="nil"/>
              <w:bottom w:val="nil"/>
              <w:right w:val="nil"/>
            </w:tcBorders>
            <w:shd w:val="clear" w:color="auto" w:fill="auto"/>
            <w:noWrap/>
            <w:vAlign w:val="center"/>
            <w:hideMark/>
          </w:tcPr>
          <w:p w14:paraId="44F7CB7D"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14656B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(74)</w:t>
            </w:r>
          </w:p>
        </w:tc>
        <w:tc>
          <w:tcPr>
            <w:tcW w:w="78" w:type="pct"/>
            <w:tcBorders>
              <w:top w:val="nil"/>
              <w:left w:val="nil"/>
              <w:bottom w:val="nil"/>
              <w:right w:val="nil"/>
            </w:tcBorders>
            <w:shd w:val="clear" w:color="auto" w:fill="auto"/>
            <w:vAlign w:val="center"/>
            <w:hideMark/>
          </w:tcPr>
          <w:p w14:paraId="3279C8A8"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513999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(40.484)</w:t>
            </w:r>
          </w:p>
        </w:tc>
        <w:tc>
          <w:tcPr>
            <w:tcW w:w="78" w:type="pct"/>
            <w:tcBorders>
              <w:top w:val="nil"/>
              <w:left w:val="nil"/>
              <w:bottom w:val="nil"/>
              <w:right w:val="nil"/>
            </w:tcBorders>
            <w:shd w:val="clear" w:color="auto" w:fill="auto"/>
            <w:vAlign w:val="center"/>
          </w:tcPr>
          <w:p w14:paraId="5BF81769"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7A7040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(43.274)</w:t>
            </w:r>
          </w:p>
        </w:tc>
        <w:tc>
          <w:tcPr>
            <w:tcW w:w="78" w:type="pct"/>
            <w:gridSpan w:val="2"/>
            <w:tcBorders>
              <w:top w:val="nil"/>
              <w:left w:val="nil"/>
              <w:bottom w:val="nil"/>
              <w:right w:val="nil"/>
            </w:tcBorders>
            <w:shd w:val="clear" w:color="auto" w:fill="auto"/>
            <w:vAlign w:val="center"/>
          </w:tcPr>
          <w:p w14:paraId="3D51E45F"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9B2DEF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 (2.607)</w:t>
            </w:r>
          </w:p>
        </w:tc>
      </w:tr>
      <w:tr w:rsidR="003B5193" w:rsidRPr="00AE4E8D" w14:paraId="38A4B091" w14:textId="77777777" w:rsidTr="00E8320E">
        <w:trPr>
          <w:trHeight w:val="210"/>
        </w:trPr>
        <w:tc>
          <w:tcPr>
            <w:tcW w:w="1253" w:type="pct"/>
            <w:tcBorders>
              <w:top w:val="nil"/>
              <w:left w:val="nil"/>
              <w:bottom w:val="nil"/>
              <w:right w:val="nil"/>
            </w:tcBorders>
            <w:shd w:val="clear" w:color="auto" w:fill="auto"/>
            <w:vAlign w:val="center"/>
            <w:hideMark/>
          </w:tcPr>
          <w:p w14:paraId="2BAA2029"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Otros préstamos</w:t>
            </w:r>
          </w:p>
        </w:tc>
        <w:tc>
          <w:tcPr>
            <w:tcW w:w="328" w:type="pct"/>
            <w:tcBorders>
              <w:top w:val="nil"/>
              <w:left w:val="nil"/>
              <w:bottom w:val="nil"/>
              <w:right w:val="nil"/>
            </w:tcBorders>
            <w:shd w:val="clear" w:color="auto" w:fill="auto"/>
            <w:noWrap/>
            <w:vAlign w:val="center"/>
            <w:hideMark/>
          </w:tcPr>
          <w:p w14:paraId="38A0808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1.538.527</w:t>
            </w:r>
          </w:p>
        </w:tc>
        <w:tc>
          <w:tcPr>
            <w:tcW w:w="78" w:type="pct"/>
            <w:tcBorders>
              <w:top w:val="nil"/>
              <w:left w:val="nil"/>
              <w:bottom w:val="nil"/>
              <w:right w:val="nil"/>
            </w:tcBorders>
            <w:shd w:val="clear" w:color="auto" w:fill="auto"/>
            <w:vAlign w:val="center"/>
            <w:hideMark/>
          </w:tcPr>
          <w:p w14:paraId="006FF817"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28D488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2.380.749</w:t>
            </w:r>
          </w:p>
        </w:tc>
        <w:tc>
          <w:tcPr>
            <w:tcW w:w="78" w:type="pct"/>
            <w:tcBorders>
              <w:top w:val="nil"/>
              <w:left w:val="nil"/>
              <w:bottom w:val="nil"/>
              <w:right w:val="nil"/>
            </w:tcBorders>
            <w:shd w:val="clear" w:color="auto" w:fill="auto"/>
            <w:vAlign w:val="center"/>
            <w:hideMark/>
          </w:tcPr>
          <w:p w14:paraId="6124F38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1A08BF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3.536.442</w:t>
            </w:r>
          </w:p>
        </w:tc>
        <w:tc>
          <w:tcPr>
            <w:tcW w:w="78" w:type="pct"/>
            <w:tcBorders>
              <w:top w:val="nil"/>
              <w:left w:val="nil"/>
              <w:bottom w:val="nil"/>
              <w:right w:val="nil"/>
            </w:tcBorders>
            <w:shd w:val="clear" w:color="auto" w:fill="auto"/>
            <w:vAlign w:val="center"/>
            <w:hideMark/>
          </w:tcPr>
          <w:p w14:paraId="672571F8"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29213A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3.778.237</w:t>
            </w:r>
          </w:p>
        </w:tc>
        <w:tc>
          <w:tcPr>
            <w:tcW w:w="83" w:type="pct"/>
            <w:tcBorders>
              <w:top w:val="nil"/>
              <w:left w:val="nil"/>
              <w:bottom w:val="nil"/>
              <w:right w:val="nil"/>
            </w:tcBorders>
            <w:shd w:val="clear" w:color="auto" w:fill="auto"/>
            <w:noWrap/>
            <w:vAlign w:val="center"/>
            <w:hideMark/>
          </w:tcPr>
          <w:p w14:paraId="5907EDD7"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03C2F9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5.166.467</w:t>
            </w:r>
          </w:p>
        </w:tc>
        <w:tc>
          <w:tcPr>
            <w:tcW w:w="79" w:type="pct"/>
            <w:tcBorders>
              <w:top w:val="nil"/>
              <w:left w:val="nil"/>
              <w:bottom w:val="nil"/>
              <w:right w:val="nil"/>
            </w:tcBorders>
            <w:shd w:val="clear" w:color="auto" w:fill="auto"/>
            <w:noWrap/>
            <w:vAlign w:val="center"/>
            <w:hideMark/>
          </w:tcPr>
          <w:p w14:paraId="3FFA8F91"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0A62941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325.956</w:t>
            </w:r>
          </w:p>
        </w:tc>
        <w:tc>
          <w:tcPr>
            <w:tcW w:w="78" w:type="pct"/>
            <w:tcBorders>
              <w:top w:val="nil"/>
              <w:left w:val="nil"/>
              <w:bottom w:val="nil"/>
              <w:right w:val="nil"/>
            </w:tcBorders>
            <w:shd w:val="clear" w:color="auto" w:fill="auto"/>
            <w:vAlign w:val="center"/>
            <w:hideMark/>
          </w:tcPr>
          <w:p w14:paraId="02D88EE7"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8EEE52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3.782.110</w:t>
            </w:r>
          </w:p>
        </w:tc>
        <w:tc>
          <w:tcPr>
            <w:tcW w:w="78" w:type="pct"/>
            <w:tcBorders>
              <w:top w:val="nil"/>
              <w:left w:val="nil"/>
              <w:bottom w:val="nil"/>
              <w:right w:val="nil"/>
            </w:tcBorders>
            <w:shd w:val="clear" w:color="auto" w:fill="auto"/>
            <w:vAlign w:val="center"/>
          </w:tcPr>
          <w:p w14:paraId="0FD9A340"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B587A7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7.282.108</w:t>
            </w:r>
          </w:p>
        </w:tc>
        <w:tc>
          <w:tcPr>
            <w:tcW w:w="78" w:type="pct"/>
            <w:gridSpan w:val="2"/>
            <w:tcBorders>
              <w:top w:val="nil"/>
              <w:left w:val="nil"/>
              <w:bottom w:val="nil"/>
              <w:right w:val="nil"/>
            </w:tcBorders>
            <w:shd w:val="clear" w:color="auto" w:fill="auto"/>
            <w:vAlign w:val="center"/>
          </w:tcPr>
          <w:p w14:paraId="7C5EBAC9"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59309A8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438.721 </w:t>
            </w:r>
          </w:p>
        </w:tc>
      </w:tr>
      <w:tr w:rsidR="003B5193" w:rsidRPr="00AE4E8D" w14:paraId="598BBB24" w14:textId="77777777" w:rsidTr="00E8320E">
        <w:trPr>
          <w:trHeight w:val="210"/>
        </w:trPr>
        <w:tc>
          <w:tcPr>
            <w:tcW w:w="1253" w:type="pct"/>
            <w:tcBorders>
              <w:top w:val="nil"/>
              <w:left w:val="nil"/>
              <w:bottom w:val="nil"/>
              <w:right w:val="nil"/>
            </w:tcBorders>
            <w:shd w:val="clear" w:color="auto" w:fill="auto"/>
            <w:vAlign w:val="center"/>
            <w:hideMark/>
          </w:tcPr>
          <w:p w14:paraId="211672C2"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Intereses y diferencias de cotización devengados a cobrar</w:t>
            </w:r>
          </w:p>
        </w:tc>
        <w:tc>
          <w:tcPr>
            <w:tcW w:w="328" w:type="pct"/>
            <w:tcBorders>
              <w:top w:val="nil"/>
              <w:left w:val="nil"/>
              <w:bottom w:val="nil"/>
              <w:right w:val="nil"/>
            </w:tcBorders>
            <w:shd w:val="clear" w:color="auto" w:fill="auto"/>
            <w:noWrap/>
            <w:vAlign w:val="center"/>
            <w:hideMark/>
          </w:tcPr>
          <w:p w14:paraId="753D4C4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87.837</w:t>
            </w:r>
          </w:p>
        </w:tc>
        <w:tc>
          <w:tcPr>
            <w:tcW w:w="78" w:type="pct"/>
            <w:tcBorders>
              <w:top w:val="nil"/>
              <w:left w:val="nil"/>
              <w:bottom w:val="nil"/>
              <w:right w:val="nil"/>
            </w:tcBorders>
            <w:shd w:val="clear" w:color="auto" w:fill="auto"/>
            <w:vAlign w:val="center"/>
            <w:hideMark/>
          </w:tcPr>
          <w:p w14:paraId="4BA4046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E4AB21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144.807</w:t>
            </w:r>
          </w:p>
        </w:tc>
        <w:tc>
          <w:tcPr>
            <w:tcW w:w="78" w:type="pct"/>
            <w:tcBorders>
              <w:top w:val="nil"/>
              <w:left w:val="nil"/>
              <w:bottom w:val="nil"/>
              <w:right w:val="nil"/>
            </w:tcBorders>
            <w:shd w:val="clear" w:color="auto" w:fill="auto"/>
            <w:vAlign w:val="center"/>
            <w:hideMark/>
          </w:tcPr>
          <w:p w14:paraId="42A03803"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791A28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213.947</w:t>
            </w:r>
          </w:p>
        </w:tc>
        <w:tc>
          <w:tcPr>
            <w:tcW w:w="78" w:type="pct"/>
            <w:tcBorders>
              <w:top w:val="nil"/>
              <w:left w:val="nil"/>
              <w:bottom w:val="nil"/>
              <w:right w:val="nil"/>
            </w:tcBorders>
            <w:shd w:val="clear" w:color="auto" w:fill="auto"/>
            <w:vAlign w:val="center"/>
            <w:hideMark/>
          </w:tcPr>
          <w:p w14:paraId="49151445"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8B7853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260.161</w:t>
            </w:r>
          </w:p>
        </w:tc>
        <w:tc>
          <w:tcPr>
            <w:tcW w:w="83" w:type="pct"/>
            <w:tcBorders>
              <w:top w:val="nil"/>
              <w:left w:val="nil"/>
              <w:bottom w:val="nil"/>
              <w:right w:val="nil"/>
            </w:tcBorders>
            <w:shd w:val="clear" w:color="auto" w:fill="auto"/>
            <w:noWrap/>
            <w:vAlign w:val="center"/>
            <w:hideMark/>
          </w:tcPr>
          <w:p w14:paraId="437F5DC3"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83CCB3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293.006</w:t>
            </w:r>
          </w:p>
        </w:tc>
        <w:tc>
          <w:tcPr>
            <w:tcW w:w="79" w:type="pct"/>
            <w:tcBorders>
              <w:top w:val="nil"/>
              <w:left w:val="nil"/>
              <w:bottom w:val="nil"/>
              <w:right w:val="nil"/>
            </w:tcBorders>
            <w:shd w:val="clear" w:color="auto" w:fill="auto"/>
            <w:noWrap/>
            <w:vAlign w:val="center"/>
            <w:hideMark/>
          </w:tcPr>
          <w:p w14:paraId="1F4C1056"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41B7E8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18.486</w:t>
            </w:r>
          </w:p>
        </w:tc>
        <w:tc>
          <w:tcPr>
            <w:tcW w:w="78" w:type="pct"/>
            <w:tcBorders>
              <w:top w:val="nil"/>
              <w:left w:val="nil"/>
              <w:bottom w:val="nil"/>
              <w:right w:val="nil"/>
            </w:tcBorders>
            <w:shd w:val="clear" w:color="auto" w:fill="auto"/>
            <w:vAlign w:val="center"/>
            <w:hideMark/>
          </w:tcPr>
          <w:p w14:paraId="6DD28963"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0ED949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265.836</w:t>
            </w:r>
          </w:p>
        </w:tc>
        <w:tc>
          <w:tcPr>
            <w:tcW w:w="78" w:type="pct"/>
            <w:tcBorders>
              <w:top w:val="nil"/>
              <w:left w:val="nil"/>
              <w:bottom w:val="nil"/>
              <w:right w:val="nil"/>
            </w:tcBorders>
            <w:shd w:val="clear" w:color="auto" w:fill="auto"/>
            <w:vAlign w:val="center"/>
          </w:tcPr>
          <w:p w14:paraId="75699DBF"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FD59A2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278.622</w:t>
            </w:r>
          </w:p>
        </w:tc>
        <w:tc>
          <w:tcPr>
            <w:tcW w:w="78" w:type="pct"/>
            <w:gridSpan w:val="2"/>
            <w:tcBorders>
              <w:top w:val="nil"/>
              <w:left w:val="nil"/>
              <w:bottom w:val="nil"/>
              <w:right w:val="nil"/>
            </w:tcBorders>
            <w:shd w:val="clear" w:color="auto" w:fill="auto"/>
            <w:vAlign w:val="center"/>
          </w:tcPr>
          <w:p w14:paraId="7086B3A2"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AA6515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16.786 </w:t>
            </w:r>
          </w:p>
        </w:tc>
      </w:tr>
      <w:tr w:rsidR="003B5193" w:rsidRPr="00AE4E8D" w14:paraId="0964AD25" w14:textId="77777777" w:rsidTr="00E8320E">
        <w:trPr>
          <w:trHeight w:val="210"/>
        </w:trPr>
        <w:tc>
          <w:tcPr>
            <w:tcW w:w="1253" w:type="pct"/>
            <w:tcBorders>
              <w:top w:val="nil"/>
              <w:left w:val="nil"/>
              <w:bottom w:val="nil"/>
              <w:right w:val="nil"/>
            </w:tcBorders>
            <w:shd w:val="clear" w:color="auto" w:fill="auto"/>
            <w:vAlign w:val="center"/>
          </w:tcPr>
          <w:p w14:paraId="60973F00"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rPr>
              <w:t>Total préstamos a</w:t>
            </w:r>
            <w:r w:rsidRPr="00AE4E8D">
              <w:rPr>
                <w:rFonts w:ascii="Times New Roman" w:hAnsi="Times New Roman"/>
                <w:color w:val="000000"/>
                <w:sz w:val="16"/>
                <w:lang w:val="es-ES"/>
              </w:rPr>
              <w:t>l sector privado no financiero y residentes en el exterior</w:t>
            </w:r>
          </w:p>
        </w:tc>
        <w:tc>
          <w:tcPr>
            <w:tcW w:w="328" w:type="pct"/>
            <w:tcBorders>
              <w:top w:val="nil"/>
              <w:left w:val="nil"/>
              <w:bottom w:val="nil"/>
              <w:right w:val="nil"/>
            </w:tcBorders>
            <w:shd w:val="clear" w:color="auto" w:fill="auto"/>
            <w:noWrap/>
            <w:vAlign w:val="center"/>
          </w:tcPr>
          <w:p w14:paraId="2558C48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9.544.383</w:t>
            </w:r>
          </w:p>
        </w:tc>
        <w:tc>
          <w:tcPr>
            <w:tcW w:w="78" w:type="pct"/>
            <w:tcBorders>
              <w:top w:val="nil"/>
              <w:left w:val="nil"/>
              <w:bottom w:val="nil"/>
              <w:right w:val="nil"/>
            </w:tcBorders>
            <w:shd w:val="clear" w:color="auto" w:fill="auto"/>
            <w:vAlign w:val="center"/>
          </w:tcPr>
          <w:p w14:paraId="59796875"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21A9276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12.928.639</w:t>
            </w:r>
          </w:p>
        </w:tc>
        <w:tc>
          <w:tcPr>
            <w:tcW w:w="78" w:type="pct"/>
            <w:tcBorders>
              <w:top w:val="nil"/>
              <w:left w:val="nil"/>
              <w:bottom w:val="nil"/>
              <w:right w:val="nil"/>
            </w:tcBorders>
            <w:shd w:val="clear" w:color="auto" w:fill="auto"/>
            <w:vAlign w:val="center"/>
          </w:tcPr>
          <w:p w14:paraId="715A28A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2AD7A23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17.195.344</w:t>
            </w:r>
          </w:p>
        </w:tc>
        <w:tc>
          <w:tcPr>
            <w:tcW w:w="78" w:type="pct"/>
            <w:tcBorders>
              <w:top w:val="nil"/>
              <w:left w:val="nil"/>
              <w:bottom w:val="nil"/>
              <w:right w:val="nil"/>
            </w:tcBorders>
            <w:shd w:val="clear" w:color="auto" w:fill="auto"/>
            <w:vAlign w:val="center"/>
          </w:tcPr>
          <w:p w14:paraId="2D779790"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5FFE38E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20.576.555</w:t>
            </w:r>
          </w:p>
        </w:tc>
        <w:tc>
          <w:tcPr>
            <w:tcW w:w="83" w:type="pct"/>
            <w:tcBorders>
              <w:top w:val="nil"/>
              <w:left w:val="nil"/>
              <w:bottom w:val="nil"/>
              <w:right w:val="nil"/>
            </w:tcBorders>
            <w:shd w:val="clear" w:color="auto" w:fill="auto"/>
            <w:noWrap/>
            <w:vAlign w:val="center"/>
          </w:tcPr>
          <w:p w14:paraId="36D96AE8"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tcPr>
          <w:p w14:paraId="4DE7053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27.050.101</w:t>
            </w:r>
          </w:p>
        </w:tc>
        <w:tc>
          <w:tcPr>
            <w:tcW w:w="79" w:type="pct"/>
            <w:tcBorders>
              <w:top w:val="nil"/>
              <w:left w:val="nil"/>
              <w:bottom w:val="nil"/>
              <w:right w:val="nil"/>
            </w:tcBorders>
            <w:shd w:val="clear" w:color="auto" w:fill="auto"/>
            <w:noWrap/>
            <w:vAlign w:val="center"/>
          </w:tcPr>
          <w:p w14:paraId="32C0255D"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tcPr>
          <w:p w14:paraId="1066297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1.706.609</w:t>
            </w:r>
          </w:p>
        </w:tc>
        <w:tc>
          <w:tcPr>
            <w:tcW w:w="78" w:type="pct"/>
            <w:tcBorders>
              <w:top w:val="nil"/>
              <w:left w:val="nil"/>
              <w:bottom w:val="nil"/>
              <w:right w:val="nil"/>
            </w:tcBorders>
            <w:shd w:val="clear" w:color="auto" w:fill="auto"/>
            <w:vAlign w:val="center"/>
          </w:tcPr>
          <w:p w14:paraId="3A519B6A"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7C3FB8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21.809.409</w:t>
            </w:r>
          </w:p>
        </w:tc>
        <w:tc>
          <w:tcPr>
            <w:tcW w:w="78" w:type="pct"/>
            <w:tcBorders>
              <w:top w:val="nil"/>
              <w:left w:val="nil"/>
              <w:bottom w:val="nil"/>
              <w:right w:val="nil"/>
            </w:tcBorders>
            <w:shd w:val="clear" w:color="auto" w:fill="auto"/>
            <w:vAlign w:val="center"/>
          </w:tcPr>
          <w:p w14:paraId="6495A24A"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B7FE3D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31.316.146</w:t>
            </w:r>
          </w:p>
        </w:tc>
        <w:tc>
          <w:tcPr>
            <w:tcW w:w="78" w:type="pct"/>
            <w:gridSpan w:val="2"/>
            <w:tcBorders>
              <w:top w:val="nil"/>
              <w:left w:val="nil"/>
              <w:bottom w:val="nil"/>
              <w:right w:val="nil"/>
            </w:tcBorders>
            <w:shd w:val="clear" w:color="auto" w:fill="auto"/>
            <w:vAlign w:val="center"/>
          </w:tcPr>
          <w:p w14:paraId="5453E18E"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100DE8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1.886.685 </w:t>
            </w:r>
          </w:p>
        </w:tc>
      </w:tr>
      <w:tr w:rsidR="003B5193" w:rsidRPr="00AE4E8D" w14:paraId="4956D889" w14:textId="77777777" w:rsidTr="00E8320E">
        <w:trPr>
          <w:trHeight w:val="210"/>
        </w:trPr>
        <w:tc>
          <w:tcPr>
            <w:tcW w:w="1253" w:type="pct"/>
            <w:tcBorders>
              <w:top w:val="nil"/>
              <w:left w:val="nil"/>
              <w:bottom w:val="nil"/>
              <w:right w:val="nil"/>
            </w:tcBorders>
            <w:shd w:val="clear" w:color="auto" w:fill="auto"/>
            <w:vAlign w:val="center"/>
            <w:hideMark/>
          </w:tcPr>
          <w:p w14:paraId="76531358"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Intereses documentados</w:t>
            </w:r>
          </w:p>
        </w:tc>
        <w:tc>
          <w:tcPr>
            <w:tcW w:w="328" w:type="pct"/>
            <w:tcBorders>
              <w:top w:val="nil"/>
              <w:left w:val="nil"/>
              <w:bottom w:val="nil"/>
              <w:right w:val="nil"/>
            </w:tcBorders>
            <w:shd w:val="clear" w:color="auto" w:fill="auto"/>
            <w:noWrap/>
            <w:vAlign w:val="center"/>
            <w:hideMark/>
          </w:tcPr>
          <w:p w14:paraId="6C1A0BE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(15.155)</w:t>
            </w:r>
          </w:p>
        </w:tc>
        <w:tc>
          <w:tcPr>
            <w:tcW w:w="78" w:type="pct"/>
            <w:tcBorders>
              <w:top w:val="nil"/>
              <w:left w:val="nil"/>
              <w:bottom w:val="nil"/>
              <w:right w:val="nil"/>
            </w:tcBorders>
            <w:shd w:val="clear" w:color="auto" w:fill="auto"/>
            <w:vAlign w:val="center"/>
            <w:hideMark/>
          </w:tcPr>
          <w:p w14:paraId="3E489821"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2010EC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(19.320)</w:t>
            </w:r>
          </w:p>
        </w:tc>
        <w:tc>
          <w:tcPr>
            <w:tcW w:w="78" w:type="pct"/>
            <w:tcBorders>
              <w:top w:val="nil"/>
              <w:left w:val="nil"/>
              <w:bottom w:val="nil"/>
              <w:right w:val="nil"/>
            </w:tcBorders>
            <w:shd w:val="clear" w:color="auto" w:fill="auto"/>
            <w:vAlign w:val="center"/>
            <w:hideMark/>
          </w:tcPr>
          <w:p w14:paraId="7DA05AC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BC8765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(26.464)</w:t>
            </w:r>
          </w:p>
        </w:tc>
        <w:tc>
          <w:tcPr>
            <w:tcW w:w="78" w:type="pct"/>
            <w:tcBorders>
              <w:top w:val="nil"/>
              <w:left w:val="nil"/>
              <w:bottom w:val="nil"/>
              <w:right w:val="nil"/>
            </w:tcBorders>
            <w:shd w:val="clear" w:color="auto" w:fill="auto"/>
            <w:vAlign w:val="center"/>
            <w:hideMark/>
          </w:tcPr>
          <w:p w14:paraId="2471C35A"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B6006F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(29.571)</w:t>
            </w:r>
          </w:p>
        </w:tc>
        <w:tc>
          <w:tcPr>
            <w:tcW w:w="83" w:type="pct"/>
            <w:tcBorders>
              <w:top w:val="nil"/>
              <w:left w:val="nil"/>
              <w:bottom w:val="nil"/>
              <w:right w:val="nil"/>
            </w:tcBorders>
            <w:shd w:val="clear" w:color="auto" w:fill="auto"/>
            <w:noWrap/>
            <w:vAlign w:val="center"/>
            <w:hideMark/>
          </w:tcPr>
          <w:p w14:paraId="6DF7550B"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44866CC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(45.878)</w:t>
            </w:r>
          </w:p>
        </w:tc>
        <w:tc>
          <w:tcPr>
            <w:tcW w:w="79" w:type="pct"/>
            <w:tcBorders>
              <w:top w:val="nil"/>
              <w:left w:val="nil"/>
              <w:bottom w:val="nil"/>
              <w:right w:val="nil"/>
            </w:tcBorders>
            <w:shd w:val="clear" w:color="auto" w:fill="auto"/>
            <w:noWrap/>
            <w:vAlign w:val="center"/>
            <w:hideMark/>
          </w:tcPr>
          <w:p w14:paraId="7406CF00"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440174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(2.894)</w:t>
            </w:r>
          </w:p>
        </w:tc>
        <w:tc>
          <w:tcPr>
            <w:tcW w:w="78" w:type="pct"/>
            <w:tcBorders>
              <w:top w:val="nil"/>
              <w:left w:val="nil"/>
              <w:bottom w:val="nil"/>
              <w:right w:val="nil"/>
            </w:tcBorders>
            <w:shd w:val="clear" w:color="auto" w:fill="auto"/>
            <w:vAlign w:val="center"/>
            <w:hideMark/>
          </w:tcPr>
          <w:p w14:paraId="69C8F3F3"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5D439B3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(39.124)</w:t>
            </w:r>
          </w:p>
        </w:tc>
        <w:tc>
          <w:tcPr>
            <w:tcW w:w="78" w:type="pct"/>
            <w:tcBorders>
              <w:top w:val="nil"/>
              <w:left w:val="nil"/>
              <w:bottom w:val="nil"/>
              <w:right w:val="nil"/>
            </w:tcBorders>
            <w:shd w:val="clear" w:color="auto" w:fill="auto"/>
            <w:vAlign w:val="center"/>
          </w:tcPr>
          <w:p w14:paraId="05A6D3C5"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C16DBE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(48.779)</w:t>
            </w:r>
          </w:p>
        </w:tc>
        <w:tc>
          <w:tcPr>
            <w:tcW w:w="78" w:type="pct"/>
            <w:gridSpan w:val="2"/>
            <w:tcBorders>
              <w:top w:val="nil"/>
              <w:left w:val="nil"/>
              <w:bottom w:val="nil"/>
              <w:right w:val="nil"/>
            </w:tcBorders>
            <w:shd w:val="clear" w:color="auto" w:fill="auto"/>
            <w:vAlign w:val="center"/>
          </w:tcPr>
          <w:p w14:paraId="43FFBEC8"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546D49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 (2.939)</w:t>
            </w:r>
          </w:p>
        </w:tc>
      </w:tr>
      <w:tr w:rsidR="003B5193" w:rsidRPr="00AE4E8D" w14:paraId="0AD29FCE" w14:textId="77777777" w:rsidTr="00E8320E">
        <w:trPr>
          <w:trHeight w:val="210"/>
        </w:trPr>
        <w:tc>
          <w:tcPr>
            <w:tcW w:w="1253" w:type="pct"/>
            <w:tcBorders>
              <w:top w:val="nil"/>
              <w:left w:val="nil"/>
              <w:bottom w:val="nil"/>
              <w:right w:val="nil"/>
            </w:tcBorders>
            <w:shd w:val="clear" w:color="auto" w:fill="auto"/>
            <w:vAlign w:val="center"/>
            <w:hideMark/>
          </w:tcPr>
          <w:p w14:paraId="23BDC947"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Previsiones</w:t>
            </w:r>
          </w:p>
        </w:tc>
        <w:tc>
          <w:tcPr>
            <w:tcW w:w="328" w:type="pct"/>
            <w:tcBorders>
              <w:top w:val="nil"/>
              <w:left w:val="nil"/>
              <w:bottom w:val="nil"/>
              <w:right w:val="nil"/>
            </w:tcBorders>
            <w:shd w:val="clear" w:color="auto" w:fill="auto"/>
            <w:noWrap/>
            <w:vAlign w:val="center"/>
            <w:hideMark/>
          </w:tcPr>
          <w:p w14:paraId="42DF638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(273.101)</w:t>
            </w:r>
          </w:p>
        </w:tc>
        <w:tc>
          <w:tcPr>
            <w:tcW w:w="78" w:type="pct"/>
            <w:tcBorders>
              <w:top w:val="nil"/>
              <w:left w:val="nil"/>
              <w:bottom w:val="nil"/>
              <w:right w:val="nil"/>
            </w:tcBorders>
            <w:shd w:val="clear" w:color="auto" w:fill="auto"/>
            <w:vAlign w:val="center"/>
            <w:hideMark/>
          </w:tcPr>
          <w:p w14:paraId="0EFA683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77C0F7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(308.632)</w:t>
            </w:r>
          </w:p>
        </w:tc>
        <w:tc>
          <w:tcPr>
            <w:tcW w:w="78" w:type="pct"/>
            <w:tcBorders>
              <w:top w:val="nil"/>
              <w:left w:val="nil"/>
              <w:bottom w:val="nil"/>
              <w:right w:val="nil"/>
            </w:tcBorders>
            <w:shd w:val="clear" w:color="auto" w:fill="auto"/>
            <w:vAlign w:val="center"/>
            <w:hideMark/>
          </w:tcPr>
          <w:p w14:paraId="2D69549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CE000D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(407.140)</w:t>
            </w:r>
          </w:p>
        </w:tc>
        <w:tc>
          <w:tcPr>
            <w:tcW w:w="78" w:type="pct"/>
            <w:tcBorders>
              <w:top w:val="nil"/>
              <w:left w:val="nil"/>
              <w:bottom w:val="nil"/>
              <w:right w:val="nil"/>
            </w:tcBorders>
            <w:shd w:val="clear" w:color="auto" w:fill="auto"/>
            <w:vAlign w:val="center"/>
            <w:hideMark/>
          </w:tcPr>
          <w:p w14:paraId="788C66C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D50E9F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(451.751)</w:t>
            </w:r>
          </w:p>
        </w:tc>
        <w:tc>
          <w:tcPr>
            <w:tcW w:w="83" w:type="pct"/>
            <w:tcBorders>
              <w:top w:val="nil"/>
              <w:left w:val="nil"/>
              <w:bottom w:val="nil"/>
              <w:right w:val="nil"/>
            </w:tcBorders>
            <w:shd w:val="clear" w:color="auto" w:fill="auto"/>
            <w:noWrap/>
            <w:vAlign w:val="center"/>
            <w:hideMark/>
          </w:tcPr>
          <w:p w14:paraId="642C8FC1"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1C93D5F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(676.141)</w:t>
            </w:r>
          </w:p>
        </w:tc>
        <w:tc>
          <w:tcPr>
            <w:tcW w:w="79" w:type="pct"/>
            <w:tcBorders>
              <w:top w:val="nil"/>
              <w:left w:val="nil"/>
              <w:bottom w:val="nil"/>
              <w:right w:val="nil"/>
            </w:tcBorders>
            <w:shd w:val="clear" w:color="auto" w:fill="auto"/>
            <w:noWrap/>
            <w:vAlign w:val="center"/>
            <w:hideMark/>
          </w:tcPr>
          <w:p w14:paraId="6E83A843"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BDAFC2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(42.658)</w:t>
            </w:r>
          </w:p>
        </w:tc>
        <w:tc>
          <w:tcPr>
            <w:tcW w:w="78" w:type="pct"/>
            <w:tcBorders>
              <w:top w:val="nil"/>
              <w:left w:val="nil"/>
              <w:bottom w:val="nil"/>
              <w:right w:val="nil"/>
            </w:tcBorders>
            <w:shd w:val="clear" w:color="auto" w:fill="auto"/>
            <w:vAlign w:val="center"/>
            <w:hideMark/>
          </w:tcPr>
          <w:p w14:paraId="2B07B6D7"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1FE0DB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(493.536)</w:t>
            </w:r>
          </w:p>
        </w:tc>
        <w:tc>
          <w:tcPr>
            <w:tcW w:w="78" w:type="pct"/>
            <w:tcBorders>
              <w:top w:val="nil"/>
              <w:left w:val="nil"/>
              <w:bottom w:val="nil"/>
              <w:right w:val="nil"/>
            </w:tcBorders>
            <w:shd w:val="clear" w:color="auto" w:fill="auto"/>
            <w:vAlign w:val="center"/>
          </w:tcPr>
          <w:p w14:paraId="6A6083B0"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3A8D3D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(796.546)</w:t>
            </w:r>
          </w:p>
        </w:tc>
        <w:tc>
          <w:tcPr>
            <w:tcW w:w="78" w:type="pct"/>
            <w:gridSpan w:val="2"/>
            <w:tcBorders>
              <w:top w:val="nil"/>
              <w:left w:val="nil"/>
              <w:bottom w:val="nil"/>
              <w:right w:val="nil"/>
            </w:tcBorders>
            <w:shd w:val="clear" w:color="auto" w:fill="auto"/>
            <w:vAlign w:val="center"/>
          </w:tcPr>
          <w:p w14:paraId="4ED40EA9"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84359A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 (47.989)</w:t>
            </w:r>
          </w:p>
        </w:tc>
      </w:tr>
      <w:tr w:rsidR="003B5193" w:rsidRPr="00AE4E8D" w14:paraId="1B61FAE7" w14:textId="77777777" w:rsidTr="00E8320E">
        <w:trPr>
          <w:trHeight w:val="210"/>
        </w:trPr>
        <w:tc>
          <w:tcPr>
            <w:tcW w:w="1253" w:type="pct"/>
            <w:tcBorders>
              <w:top w:val="nil"/>
              <w:left w:val="nil"/>
              <w:bottom w:val="nil"/>
              <w:right w:val="nil"/>
            </w:tcBorders>
            <w:shd w:val="clear" w:color="auto" w:fill="auto"/>
            <w:vAlign w:val="center"/>
            <w:hideMark/>
          </w:tcPr>
          <w:p w14:paraId="4D49504A" w14:textId="77777777" w:rsidR="0067329E" w:rsidRPr="00AE4E8D" w:rsidRDefault="0067329E" w:rsidP="00E8320E">
            <w:pPr>
              <w:tabs>
                <w:tab w:val="left" w:pos="3261"/>
                <w:tab w:val="left" w:pos="3355"/>
              </w:tabs>
              <w:spacing w:before="40" w:after="40"/>
              <w:rPr>
                <w:rFonts w:ascii="Times New Roman" w:hAnsi="Times New Roman"/>
                <w:color w:val="000000"/>
                <w:sz w:val="16"/>
                <w:lang w:val="es-ES"/>
              </w:rPr>
            </w:pPr>
            <w:r w:rsidRPr="00AE4E8D">
              <w:rPr>
                <w:rFonts w:ascii="Times New Roman" w:hAnsi="Times New Roman"/>
                <w:color w:val="000000"/>
                <w:sz w:val="16"/>
                <w:lang w:val="es-ES"/>
              </w:rPr>
              <w:t>Préstamos (neto de previsiones)</w:t>
            </w:r>
          </w:p>
        </w:tc>
        <w:tc>
          <w:tcPr>
            <w:tcW w:w="328" w:type="pct"/>
            <w:tcBorders>
              <w:top w:val="nil"/>
              <w:left w:val="nil"/>
              <w:bottom w:val="nil"/>
              <w:right w:val="nil"/>
            </w:tcBorders>
            <w:shd w:val="clear" w:color="auto" w:fill="auto"/>
            <w:noWrap/>
            <w:vAlign w:val="center"/>
            <w:hideMark/>
          </w:tcPr>
          <w:p w14:paraId="109A186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9.754.431</w:t>
            </w:r>
          </w:p>
        </w:tc>
        <w:tc>
          <w:tcPr>
            <w:tcW w:w="78" w:type="pct"/>
            <w:tcBorders>
              <w:top w:val="nil"/>
              <w:left w:val="nil"/>
              <w:bottom w:val="nil"/>
              <w:right w:val="nil"/>
            </w:tcBorders>
            <w:shd w:val="clear" w:color="auto" w:fill="auto"/>
            <w:vAlign w:val="center"/>
            <w:hideMark/>
          </w:tcPr>
          <w:p w14:paraId="02A6E204"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739689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13.138.688</w:t>
            </w:r>
          </w:p>
        </w:tc>
        <w:tc>
          <w:tcPr>
            <w:tcW w:w="78" w:type="pct"/>
            <w:tcBorders>
              <w:top w:val="nil"/>
              <w:left w:val="nil"/>
              <w:bottom w:val="nil"/>
              <w:right w:val="nil"/>
            </w:tcBorders>
            <w:shd w:val="clear" w:color="auto" w:fill="auto"/>
            <w:vAlign w:val="center"/>
            <w:hideMark/>
          </w:tcPr>
          <w:p w14:paraId="506DC74A"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E83445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17.239.525</w:t>
            </w:r>
          </w:p>
        </w:tc>
        <w:tc>
          <w:tcPr>
            <w:tcW w:w="78" w:type="pct"/>
            <w:tcBorders>
              <w:top w:val="nil"/>
              <w:left w:val="nil"/>
              <w:bottom w:val="nil"/>
              <w:right w:val="nil"/>
            </w:tcBorders>
            <w:shd w:val="clear" w:color="auto" w:fill="auto"/>
            <w:vAlign w:val="center"/>
            <w:hideMark/>
          </w:tcPr>
          <w:p w14:paraId="2CE18B0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39E978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20.369.933</w:t>
            </w:r>
          </w:p>
        </w:tc>
        <w:tc>
          <w:tcPr>
            <w:tcW w:w="83" w:type="pct"/>
            <w:tcBorders>
              <w:top w:val="nil"/>
              <w:left w:val="nil"/>
              <w:bottom w:val="nil"/>
              <w:right w:val="nil"/>
            </w:tcBorders>
            <w:shd w:val="clear" w:color="auto" w:fill="auto"/>
            <w:noWrap/>
            <w:vAlign w:val="center"/>
            <w:hideMark/>
          </w:tcPr>
          <w:p w14:paraId="5628F588"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C603F2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27.163.942</w:t>
            </w:r>
          </w:p>
        </w:tc>
        <w:tc>
          <w:tcPr>
            <w:tcW w:w="79" w:type="pct"/>
            <w:tcBorders>
              <w:top w:val="nil"/>
              <w:left w:val="nil"/>
              <w:bottom w:val="nil"/>
              <w:right w:val="nil"/>
            </w:tcBorders>
            <w:shd w:val="clear" w:color="auto" w:fill="auto"/>
            <w:noWrap/>
            <w:vAlign w:val="center"/>
            <w:hideMark/>
          </w:tcPr>
          <w:p w14:paraId="13642985"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04997F2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1.713.792</w:t>
            </w:r>
          </w:p>
        </w:tc>
        <w:tc>
          <w:tcPr>
            <w:tcW w:w="78" w:type="pct"/>
            <w:tcBorders>
              <w:top w:val="nil"/>
              <w:left w:val="nil"/>
              <w:bottom w:val="nil"/>
              <w:right w:val="nil"/>
            </w:tcBorders>
            <w:shd w:val="clear" w:color="auto" w:fill="auto"/>
            <w:vAlign w:val="center"/>
            <w:hideMark/>
          </w:tcPr>
          <w:p w14:paraId="0FAFB89D"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34A106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21.953.669</w:t>
            </w:r>
          </w:p>
        </w:tc>
        <w:tc>
          <w:tcPr>
            <w:tcW w:w="78" w:type="pct"/>
            <w:tcBorders>
              <w:top w:val="nil"/>
              <w:left w:val="nil"/>
              <w:bottom w:val="nil"/>
              <w:right w:val="nil"/>
            </w:tcBorders>
            <w:shd w:val="clear" w:color="auto" w:fill="auto"/>
            <w:vAlign w:val="center"/>
          </w:tcPr>
          <w:p w14:paraId="2B6480E2"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9B137C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31.167.477</w:t>
            </w:r>
          </w:p>
        </w:tc>
        <w:tc>
          <w:tcPr>
            <w:tcW w:w="78" w:type="pct"/>
            <w:gridSpan w:val="2"/>
            <w:tcBorders>
              <w:top w:val="nil"/>
              <w:left w:val="nil"/>
              <w:bottom w:val="nil"/>
              <w:right w:val="nil"/>
            </w:tcBorders>
            <w:shd w:val="clear" w:color="auto" w:fill="auto"/>
            <w:vAlign w:val="center"/>
          </w:tcPr>
          <w:p w14:paraId="2EB62A7C"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D88925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1.877.729</w:t>
            </w:r>
          </w:p>
        </w:tc>
      </w:tr>
      <w:tr w:rsidR="003B5193" w:rsidRPr="00AE4E8D" w14:paraId="24274DE1" w14:textId="77777777" w:rsidTr="00E8320E">
        <w:trPr>
          <w:trHeight w:val="210"/>
        </w:trPr>
        <w:tc>
          <w:tcPr>
            <w:tcW w:w="1253" w:type="pct"/>
            <w:tcBorders>
              <w:top w:val="nil"/>
              <w:left w:val="nil"/>
              <w:bottom w:val="nil"/>
              <w:right w:val="nil"/>
            </w:tcBorders>
            <w:shd w:val="clear" w:color="auto" w:fill="auto"/>
            <w:noWrap/>
            <w:vAlign w:val="center"/>
            <w:hideMark/>
          </w:tcPr>
          <w:p w14:paraId="18E342B7"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Otros créditos por intermediación financiera</w:t>
            </w:r>
          </w:p>
        </w:tc>
        <w:tc>
          <w:tcPr>
            <w:tcW w:w="328" w:type="pct"/>
            <w:tcBorders>
              <w:top w:val="nil"/>
              <w:left w:val="nil"/>
              <w:bottom w:val="nil"/>
              <w:right w:val="nil"/>
            </w:tcBorders>
            <w:shd w:val="clear" w:color="auto" w:fill="auto"/>
            <w:noWrap/>
            <w:vAlign w:val="center"/>
            <w:hideMark/>
          </w:tcPr>
          <w:p w14:paraId="6183354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1.695.702</w:t>
            </w:r>
          </w:p>
        </w:tc>
        <w:tc>
          <w:tcPr>
            <w:tcW w:w="78" w:type="pct"/>
            <w:tcBorders>
              <w:top w:val="nil"/>
              <w:left w:val="nil"/>
              <w:bottom w:val="nil"/>
              <w:right w:val="nil"/>
            </w:tcBorders>
            <w:shd w:val="clear" w:color="auto" w:fill="auto"/>
            <w:vAlign w:val="center"/>
            <w:hideMark/>
          </w:tcPr>
          <w:p w14:paraId="01A0CE7A"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11DC95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1.824.334</w:t>
            </w:r>
          </w:p>
        </w:tc>
        <w:tc>
          <w:tcPr>
            <w:tcW w:w="78" w:type="pct"/>
            <w:tcBorders>
              <w:top w:val="nil"/>
              <w:left w:val="nil"/>
              <w:bottom w:val="nil"/>
              <w:right w:val="nil"/>
            </w:tcBorders>
            <w:shd w:val="clear" w:color="auto" w:fill="auto"/>
            <w:vAlign w:val="center"/>
            <w:hideMark/>
          </w:tcPr>
          <w:p w14:paraId="3EC17F66"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0412FE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2.366.225</w:t>
            </w:r>
          </w:p>
        </w:tc>
        <w:tc>
          <w:tcPr>
            <w:tcW w:w="78" w:type="pct"/>
            <w:tcBorders>
              <w:top w:val="nil"/>
              <w:left w:val="nil"/>
              <w:bottom w:val="nil"/>
              <w:right w:val="nil"/>
            </w:tcBorders>
            <w:shd w:val="clear" w:color="auto" w:fill="auto"/>
            <w:vAlign w:val="center"/>
            <w:hideMark/>
          </w:tcPr>
          <w:p w14:paraId="7FD789C8"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ACDA7D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4.553.256</w:t>
            </w:r>
          </w:p>
        </w:tc>
        <w:tc>
          <w:tcPr>
            <w:tcW w:w="83" w:type="pct"/>
            <w:tcBorders>
              <w:top w:val="nil"/>
              <w:left w:val="nil"/>
              <w:bottom w:val="nil"/>
              <w:right w:val="nil"/>
            </w:tcBorders>
            <w:shd w:val="clear" w:color="auto" w:fill="auto"/>
            <w:noWrap/>
            <w:vAlign w:val="center"/>
            <w:hideMark/>
          </w:tcPr>
          <w:p w14:paraId="0EAC58B2"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4D34EA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9.262.132</w:t>
            </w:r>
          </w:p>
        </w:tc>
        <w:tc>
          <w:tcPr>
            <w:tcW w:w="79" w:type="pct"/>
            <w:tcBorders>
              <w:top w:val="nil"/>
              <w:left w:val="nil"/>
              <w:bottom w:val="nil"/>
              <w:right w:val="nil"/>
            </w:tcBorders>
            <w:shd w:val="clear" w:color="auto" w:fill="auto"/>
            <w:noWrap/>
            <w:vAlign w:val="center"/>
            <w:hideMark/>
          </w:tcPr>
          <w:p w14:paraId="397C1F2D"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9C4CD0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584.354</w:t>
            </w:r>
          </w:p>
        </w:tc>
        <w:tc>
          <w:tcPr>
            <w:tcW w:w="78" w:type="pct"/>
            <w:tcBorders>
              <w:top w:val="nil"/>
              <w:left w:val="nil"/>
              <w:bottom w:val="nil"/>
              <w:right w:val="nil"/>
            </w:tcBorders>
            <w:shd w:val="clear" w:color="auto" w:fill="auto"/>
            <w:vAlign w:val="center"/>
            <w:hideMark/>
          </w:tcPr>
          <w:p w14:paraId="3DFA4A8D"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460AE83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6.841.589</w:t>
            </w:r>
          </w:p>
        </w:tc>
        <w:tc>
          <w:tcPr>
            <w:tcW w:w="78" w:type="pct"/>
            <w:tcBorders>
              <w:top w:val="nil"/>
              <w:left w:val="nil"/>
              <w:bottom w:val="nil"/>
              <w:right w:val="nil"/>
            </w:tcBorders>
            <w:shd w:val="clear" w:color="auto" w:fill="auto"/>
            <w:vAlign w:val="center"/>
          </w:tcPr>
          <w:p w14:paraId="2B7BCD37"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77C902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7.942.975</w:t>
            </w:r>
          </w:p>
        </w:tc>
        <w:tc>
          <w:tcPr>
            <w:tcW w:w="78" w:type="pct"/>
            <w:gridSpan w:val="2"/>
            <w:tcBorders>
              <w:top w:val="nil"/>
              <w:left w:val="nil"/>
              <w:bottom w:val="nil"/>
              <w:right w:val="nil"/>
            </w:tcBorders>
            <w:shd w:val="clear" w:color="auto" w:fill="auto"/>
            <w:vAlign w:val="center"/>
          </w:tcPr>
          <w:p w14:paraId="10B2BB21"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3C192B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478.536</w:t>
            </w:r>
          </w:p>
        </w:tc>
      </w:tr>
      <w:tr w:rsidR="003B5193" w:rsidRPr="00AE4E8D" w14:paraId="0DBC64CB" w14:textId="77777777" w:rsidTr="00E8320E">
        <w:trPr>
          <w:trHeight w:val="210"/>
        </w:trPr>
        <w:tc>
          <w:tcPr>
            <w:tcW w:w="1253" w:type="pct"/>
            <w:tcBorders>
              <w:top w:val="nil"/>
              <w:left w:val="nil"/>
              <w:bottom w:val="nil"/>
              <w:right w:val="nil"/>
            </w:tcBorders>
            <w:shd w:val="clear" w:color="auto" w:fill="auto"/>
            <w:noWrap/>
            <w:vAlign w:val="center"/>
            <w:hideMark/>
          </w:tcPr>
          <w:p w14:paraId="12E375D3"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Créditos por arrendamientos financieros</w:t>
            </w:r>
          </w:p>
        </w:tc>
        <w:tc>
          <w:tcPr>
            <w:tcW w:w="328" w:type="pct"/>
            <w:tcBorders>
              <w:top w:val="nil"/>
              <w:left w:val="nil"/>
              <w:bottom w:val="nil"/>
              <w:right w:val="nil"/>
            </w:tcBorders>
            <w:shd w:val="clear" w:color="auto" w:fill="auto"/>
            <w:noWrap/>
            <w:vAlign w:val="center"/>
            <w:hideMark/>
          </w:tcPr>
          <w:p w14:paraId="3B2BE54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10.810</w:t>
            </w:r>
          </w:p>
        </w:tc>
        <w:tc>
          <w:tcPr>
            <w:tcW w:w="78" w:type="pct"/>
            <w:tcBorders>
              <w:top w:val="nil"/>
              <w:left w:val="nil"/>
              <w:bottom w:val="nil"/>
              <w:right w:val="nil"/>
            </w:tcBorders>
            <w:shd w:val="clear" w:color="auto" w:fill="auto"/>
            <w:vAlign w:val="center"/>
            <w:hideMark/>
          </w:tcPr>
          <w:p w14:paraId="1E070B5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F4BC85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58.851</w:t>
            </w:r>
          </w:p>
        </w:tc>
        <w:tc>
          <w:tcPr>
            <w:tcW w:w="78" w:type="pct"/>
            <w:tcBorders>
              <w:top w:val="nil"/>
              <w:left w:val="nil"/>
              <w:bottom w:val="nil"/>
              <w:right w:val="nil"/>
            </w:tcBorders>
            <w:shd w:val="clear" w:color="auto" w:fill="auto"/>
            <w:vAlign w:val="center"/>
            <w:hideMark/>
          </w:tcPr>
          <w:p w14:paraId="6950F450"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1B98AE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107.520</w:t>
            </w:r>
          </w:p>
        </w:tc>
        <w:tc>
          <w:tcPr>
            <w:tcW w:w="78" w:type="pct"/>
            <w:tcBorders>
              <w:top w:val="nil"/>
              <w:left w:val="nil"/>
              <w:bottom w:val="nil"/>
              <w:right w:val="nil"/>
            </w:tcBorders>
            <w:shd w:val="clear" w:color="auto" w:fill="auto"/>
            <w:vAlign w:val="center"/>
            <w:hideMark/>
          </w:tcPr>
          <w:p w14:paraId="2613E5EA"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4681BD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130.251</w:t>
            </w:r>
          </w:p>
        </w:tc>
        <w:tc>
          <w:tcPr>
            <w:tcW w:w="83" w:type="pct"/>
            <w:tcBorders>
              <w:top w:val="nil"/>
              <w:left w:val="nil"/>
              <w:bottom w:val="nil"/>
              <w:right w:val="nil"/>
            </w:tcBorders>
            <w:shd w:val="clear" w:color="auto" w:fill="auto"/>
            <w:noWrap/>
            <w:vAlign w:val="center"/>
            <w:hideMark/>
          </w:tcPr>
          <w:p w14:paraId="09012582"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C089F4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157.409</w:t>
            </w:r>
          </w:p>
        </w:tc>
        <w:tc>
          <w:tcPr>
            <w:tcW w:w="79" w:type="pct"/>
            <w:tcBorders>
              <w:top w:val="nil"/>
              <w:left w:val="nil"/>
              <w:bottom w:val="nil"/>
              <w:right w:val="nil"/>
            </w:tcBorders>
            <w:shd w:val="clear" w:color="auto" w:fill="auto"/>
            <w:noWrap/>
            <w:vAlign w:val="center"/>
            <w:hideMark/>
          </w:tcPr>
          <w:p w14:paraId="41D24ED7"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C2759D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9.931</w:t>
            </w:r>
          </w:p>
        </w:tc>
        <w:tc>
          <w:tcPr>
            <w:tcW w:w="78" w:type="pct"/>
            <w:tcBorders>
              <w:top w:val="nil"/>
              <w:left w:val="nil"/>
              <w:bottom w:val="nil"/>
              <w:right w:val="nil"/>
            </w:tcBorders>
            <w:shd w:val="clear" w:color="auto" w:fill="auto"/>
            <w:vAlign w:val="center"/>
            <w:hideMark/>
          </w:tcPr>
          <w:p w14:paraId="4CAF18E6"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745B106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135.302</w:t>
            </w:r>
          </w:p>
        </w:tc>
        <w:tc>
          <w:tcPr>
            <w:tcW w:w="78" w:type="pct"/>
            <w:tcBorders>
              <w:top w:val="nil"/>
              <w:left w:val="nil"/>
              <w:bottom w:val="nil"/>
              <w:right w:val="nil"/>
            </w:tcBorders>
            <w:shd w:val="clear" w:color="auto" w:fill="auto"/>
            <w:vAlign w:val="center"/>
          </w:tcPr>
          <w:p w14:paraId="64926D34"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0745FE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164.605</w:t>
            </w:r>
          </w:p>
        </w:tc>
        <w:tc>
          <w:tcPr>
            <w:tcW w:w="78" w:type="pct"/>
            <w:gridSpan w:val="2"/>
            <w:tcBorders>
              <w:top w:val="nil"/>
              <w:left w:val="nil"/>
              <w:bottom w:val="nil"/>
              <w:right w:val="nil"/>
            </w:tcBorders>
            <w:shd w:val="clear" w:color="auto" w:fill="auto"/>
            <w:vAlign w:val="center"/>
          </w:tcPr>
          <w:p w14:paraId="6B8FC5A1"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59DB1D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9.917</w:t>
            </w:r>
          </w:p>
        </w:tc>
      </w:tr>
      <w:tr w:rsidR="003B5193" w:rsidRPr="00AE4E8D" w14:paraId="0E370DA8" w14:textId="77777777" w:rsidTr="00E8320E">
        <w:trPr>
          <w:trHeight w:val="210"/>
        </w:trPr>
        <w:tc>
          <w:tcPr>
            <w:tcW w:w="1253" w:type="pct"/>
            <w:tcBorders>
              <w:top w:val="nil"/>
              <w:left w:val="nil"/>
              <w:bottom w:val="nil"/>
              <w:right w:val="nil"/>
            </w:tcBorders>
            <w:shd w:val="clear" w:color="auto" w:fill="auto"/>
            <w:noWrap/>
            <w:vAlign w:val="center"/>
            <w:hideMark/>
          </w:tcPr>
          <w:p w14:paraId="0F737180"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Participaciones en otras sociedades</w:t>
            </w:r>
          </w:p>
        </w:tc>
        <w:tc>
          <w:tcPr>
            <w:tcW w:w="328" w:type="pct"/>
            <w:tcBorders>
              <w:top w:val="nil"/>
              <w:left w:val="nil"/>
              <w:bottom w:val="nil"/>
              <w:right w:val="nil"/>
            </w:tcBorders>
            <w:shd w:val="clear" w:color="auto" w:fill="auto"/>
            <w:noWrap/>
            <w:vAlign w:val="center"/>
            <w:hideMark/>
          </w:tcPr>
          <w:p w14:paraId="5AD6065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4.066</w:t>
            </w:r>
          </w:p>
        </w:tc>
        <w:tc>
          <w:tcPr>
            <w:tcW w:w="78" w:type="pct"/>
            <w:tcBorders>
              <w:top w:val="nil"/>
              <w:left w:val="nil"/>
              <w:bottom w:val="nil"/>
              <w:right w:val="nil"/>
            </w:tcBorders>
            <w:shd w:val="clear" w:color="auto" w:fill="auto"/>
            <w:vAlign w:val="center"/>
            <w:hideMark/>
          </w:tcPr>
          <w:p w14:paraId="5FBE9624"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D92CF0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19.241</w:t>
            </w:r>
          </w:p>
        </w:tc>
        <w:tc>
          <w:tcPr>
            <w:tcW w:w="78" w:type="pct"/>
            <w:tcBorders>
              <w:top w:val="nil"/>
              <w:left w:val="nil"/>
              <w:bottom w:val="nil"/>
              <w:right w:val="nil"/>
            </w:tcBorders>
            <w:shd w:val="clear" w:color="auto" w:fill="auto"/>
            <w:vAlign w:val="center"/>
            <w:hideMark/>
          </w:tcPr>
          <w:p w14:paraId="741DF5B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C6979E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47.918</w:t>
            </w:r>
          </w:p>
        </w:tc>
        <w:tc>
          <w:tcPr>
            <w:tcW w:w="78" w:type="pct"/>
            <w:tcBorders>
              <w:top w:val="nil"/>
              <w:left w:val="nil"/>
              <w:bottom w:val="nil"/>
              <w:right w:val="nil"/>
            </w:tcBorders>
            <w:shd w:val="clear" w:color="auto" w:fill="auto"/>
            <w:vAlign w:val="center"/>
            <w:hideMark/>
          </w:tcPr>
          <w:p w14:paraId="35775556"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E118EB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112.858</w:t>
            </w:r>
          </w:p>
        </w:tc>
        <w:tc>
          <w:tcPr>
            <w:tcW w:w="83" w:type="pct"/>
            <w:tcBorders>
              <w:top w:val="nil"/>
              <w:left w:val="nil"/>
              <w:bottom w:val="nil"/>
              <w:right w:val="nil"/>
            </w:tcBorders>
            <w:shd w:val="clear" w:color="auto" w:fill="auto"/>
            <w:noWrap/>
            <w:vAlign w:val="center"/>
            <w:hideMark/>
          </w:tcPr>
          <w:p w14:paraId="429D17D0"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1FA760C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101.020</w:t>
            </w:r>
          </w:p>
        </w:tc>
        <w:tc>
          <w:tcPr>
            <w:tcW w:w="79" w:type="pct"/>
            <w:tcBorders>
              <w:top w:val="nil"/>
              <w:left w:val="nil"/>
              <w:bottom w:val="nil"/>
              <w:right w:val="nil"/>
            </w:tcBorders>
            <w:shd w:val="clear" w:color="auto" w:fill="auto"/>
            <w:noWrap/>
            <w:vAlign w:val="center"/>
            <w:hideMark/>
          </w:tcPr>
          <w:p w14:paraId="73388071"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9A45A3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6.373</w:t>
            </w:r>
          </w:p>
        </w:tc>
        <w:tc>
          <w:tcPr>
            <w:tcW w:w="78" w:type="pct"/>
            <w:tcBorders>
              <w:top w:val="nil"/>
              <w:left w:val="nil"/>
              <w:bottom w:val="nil"/>
              <w:right w:val="nil"/>
            </w:tcBorders>
            <w:shd w:val="clear" w:color="auto" w:fill="auto"/>
            <w:vAlign w:val="center"/>
            <w:hideMark/>
          </w:tcPr>
          <w:p w14:paraId="112526C7"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594D685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129.698</w:t>
            </w:r>
          </w:p>
        </w:tc>
        <w:tc>
          <w:tcPr>
            <w:tcW w:w="78" w:type="pct"/>
            <w:tcBorders>
              <w:top w:val="nil"/>
              <w:left w:val="nil"/>
              <w:bottom w:val="nil"/>
              <w:right w:val="nil"/>
            </w:tcBorders>
            <w:shd w:val="clear" w:color="auto" w:fill="auto"/>
            <w:vAlign w:val="center"/>
          </w:tcPr>
          <w:p w14:paraId="09A9FAAD"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902837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103.120</w:t>
            </w:r>
          </w:p>
        </w:tc>
        <w:tc>
          <w:tcPr>
            <w:tcW w:w="78" w:type="pct"/>
            <w:gridSpan w:val="2"/>
            <w:tcBorders>
              <w:top w:val="nil"/>
              <w:left w:val="nil"/>
              <w:bottom w:val="nil"/>
              <w:right w:val="nil"/>
            </w:tcBorders>
            <w:shd w:val="clear" w:color="auto" w:fill="auto"/>
            <w:vAlign w:val="center"/>
          </w:tcPr>
          <w:p w14:paraId="507AEE35"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711500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6.213</w:t>
            </w:r>
          </w:p>
        </w:tc>
      </w:tr>
      <w:tr w:rsidR="003B5193" w:rsidRPr="00AE4E8D" w14:paraId="309BD79D" w14:textId="77777777" w:rsidTr="00E8320E">
        <w:trPr>
          <w:trHeight w:val="210"/>
        </w:trPr>
        <w:tc>
          <w:tcPr>
            <w:tcW w:w="1253" w:type="pct"/>
            <w:tcBorders>
              <w:top w:val="nil"/>
              <w:left w:val="nil"/>
              <w:bottom w:val="nil"/>
              <w:right w:val="nil"/>
            </w:tcBorders>
            <w:shd w:val="clear" w:color="auto" w:fill="auto"/>
            <w:noWrap/>
            <w:vAlign w:val="center"/>
            <w:hideMark/>
          </w:tcPr>
          <w:p w14:paraId="7113B0F5"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Créditos diversos</w:t>
            </w:r>
          </w:p>
        </w:tc>
        <w:tc>
          <w:tcPr>
            <w:tcW w:w="328" w:type="pct"/>
            <w:tcBorders>
              <w:top w:val="nil"/>
              <w:left w:val="nil"/>
              <w:bottom w:val="nil"/>
              <w:right w:val="nil"/>
            </w:tcBorders>
            <w:shd w:val="clear" w:color="auto" w:fill="auto"/>
            <w:noWrap/>
            <w:vAlign w:val="center"/>
            <w:hideMark/>
          </w:tcPr>
          <w:p w14:paraId="1B78996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760.833</w:t>
            </w:r>
          </w:p>
        </w:tc>
        <w:tc>
          <w:tcPr>
            <w:tcW w:w="78" w:type="pct"/>
            <w:tcBorders>
              <w:top w:val="nil"/>
              <w:left w:val="nil"/>
              <w:bottom w:val="nil"/>
              <w:right w:val="nil"/>
            </w:tcBorders>
            <w:shd w:val="clear" w:color="auto" w:fill="auto"/>
            <w:vAlign w:val="center"/>
            <w:hideMark/>
          </w:tcPr>
          <w:p w14:paraId="7CA285CB"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1F3BA7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993.319</w:t>
            </w:r>
          </w:p>
        </w:tc>
        <w:tc>
          <w:tcPr>
            <w:tcW w:w="78" w:type="pct"/>
            <w:tcBorders>
              <w:top w:val="nil"/>
              <w:left w:val="nil"/>
              <w:bottom w:val="nil"/>
              <w:right w:val="nil"/>
            </w:tcBorders>
            <w:shd w:val="clear" w:color="auto" w:fill="auto"/>
            <w:vAlign w:val="center"/>
            <w:hideMark/>
          </w:tcPr>
          <w:p w14:paraId="7E45AC5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1F2680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1.134.524</w:t>
            </w:r>
          </w:p>
        </w:tc>
        <w:tc>
          <w:tcPr>
            <w:tcW w:w="78" w:type="pct"/>
            <w:tcBorders>
              <w:top w:val="nil"/>
              <w:left w:val="nil"/>
              <w:bottom w:val="nil"/>
              <w:right w:val="nil"/>
            </w:tcBorders>
            <w:shd w:val="clear" w:color="auto" w:fill="auto"/>
            <w:vAlign w:val="center"/>
            <w:hideMark/>
          </w:tcPr>
          <w:p w14:paraId="5B8D5883"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8898B7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1.673.600</w:t>
            </w:r>
          </w:p>
        </w:tc>
        <w:tc>
          <w:tcPr>
            <w:tcW w:w="83" w:type="pct"/>
            <w:tcBorders>
              <w:top w:val="nil"/>
              <w:left w:val="nil"/>
              <w:bottom w:val="nil"/>
              <w:right w:val="nil"/>
            </w:tcBorders>
            <w:shd w:val="clear" w:color="auto" w:fill="auto"/>
            <w:noWrap/>
            <w:vAlign w:val="center"/>
            <w:hideMark/>
          </w:tcPr>
          <w:p w14:paraId="2FB8CB1F"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5F552B2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1.974.182</w:t>
            </w:r>
          </w:p>
        </w:tc>
        <w:tc>
          <w:tcPr>
            <w:tcW w:w="79" w:type="pct"/>
            <w:tcBorders>
              <w:top w:val="nil"/>
              <w:left w:val="nil"/>
              <w:bottom w:val="nil"/>
              <w:right w:val="nil"/>
            </w:tcBorders>
            <w:shd w:val="clear" w:color="auto" w:fill="auto"/>
            <w:noWrap/>
            <w:vAlign w:val="center"/>
            <w:hideMark/>
          </w:tcPr>
          <w:p w14:paraId="6164FDD6"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A6ADAF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124.552</w:t>
            </w:r>
          </w:p>
        </w:tc>
        <w:tc>
          <w:tcPr>
            <w:tcW w:w="78" w:type="pct"/>
            <w:tcBorders>
              <w:top w:val="nil"/>
              <w:left w:val="nil"/>
              <w:bottom w:val="nil"/>
              <w:right w:val="nil"/>
            </w:tcBorders>
            <w:shd w:val="clear" w:color="auto" w:fill="auto"/>
            <w:vAlign w:val="center"/>
            <w:hideMark/>
          </w:tcPr>
          <w:p w14:paraId="705E7ECE"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74339FA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1.748.707</w:t>
            </w:r>
          </w:p>
        </w:tc>
        <w:tc>
          <w:tcPr>
            <w:tcW w:w="78" w:type="pct"/>
            <w:tcBorders>
              <w:top w:val="nil"/>
              <w:left w:val="nil"/>
              <w:bottom w:val="nil"/>
              <w:right w:val="nil"/>
            </w:tcBorders>
            <w:shd w:val="clear" w:color="auto" w:fill="auto"/>
            <w:vAlign w:val="center"/>
          </w:tcPr>
          <w:p w14:paraId="7B804BB0"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3E49B8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2.074.134</w:t>
            </w:r>
          </w:p>
        </w:tc>
        <w:tc>
          <w:tcPr>
            <w:tcW w:w="78" w:type="pct"/>
            <w:gridSpan w:val="2"/>
            <w:tcBorders>
              <w:top w:val="nil"/>
              <w:left w:val="nil"/>
              <w:bottom w:val="nil"/>
              <w:right w:val="nil"/>
            </w:tcBorders>
            <w:shd w:val="clear" w:color="auto" w:fill="auto"/>
            <w:vAlign w:val="center"/>
          </w:tcPr>
          <w:p w14:paraId="74300008"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07E194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124.959</w:t>
            </w:r>
          </w:p>
        </w:tc>
      </w:tr>
      <w:tr w:rsidR="003B5193" w:rsidRPr="00AE4E8D" w14:paraId="1997DCF8" w14:textId="77777777" w:rsidTr="00E8320E">
        <w:trPr>
          <w:trHeight w:val="210"/>
        </w:trPr>
        <w:tc>
          <w:tcPr>
            <w:tcW w:w="1253" w:type="pct"/>
            <w:tcBorders>
              <w:top w:val="nil"/>
              <w:left w:val="nil"/>
              <w:bottom w:val="nil"/>
              <w:right w:val="nil"/>
            </w:tcBorders>
            <w:shd w:val="clear" w:color="auto" w:fill="auto"/>
            <w:noWrap/>
            <w:vAlign w:val="center"/>
            <w:hideMark/>
          </w:tcPr>
          <w:p w14:paraId="65AB6565"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Bienes de Uso</w:t>
            </w:r>
          </w:p>
        </w:tc>
        <w:tc>
          <w:tcPr>
            <w:tcW w:w="328" w:type="pct"/>
            <w:tcBorders>
              <w:top w:val="nil"/>
              <w:left w:val="nil"/>
              <w:bottom w:val="nil"/>
              <w:right w:val="nil"/>
            </w:tcBorders>
            <w:shd w:val="clear" w:color="auto" w:fill="auto"/>
            <w:noWrap/>
            <w:vAlign w:val="center"/>
            <w:hideMark/>
          </w:tcPr>
          <w:p w14:paraId="7B5DB8D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109.819</w:t>
            </w:r>
          </w:p>
        </w:tc>
        <w:tc>
          <w:tcPr>
            <w:tcW w:w="78" w:type="pct"/>
            <w:tcBorders>
              <w:top w:val="nil"/>
              <w:left w:val="nil"/>
              <w:bottom w:val="nil"/>
              <w:right w:val="nil"/>
            </w:tcBorders>
            <w:shd w:val="clear" w:color="auto" w:fill="auto"/>
            <w:vAlign w:val="center"/>
            <w:hideMark/>
          </w:tcPr>
          <w:p w14:paraId="5589188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77FAA3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122.684</w:t>
            </w:r>
          </w:p>
        </w:tc>
        <w:tc>
          <w:tcPr>
            <w:tcW w:w="78" w:type="pct"/>
            <w:tcBorders>
              <w:top w:val="nil"/>
              <w:left w:val="nil"/>
              <w:bottom w:val="nil"/>
              <w:right w:val="nil"/>
            </w:tcBorders>
            <w:shd w:val="clear" w:color="auto" w:fill="auto"/>
            <w:vAlign w:val="center"/>
            <w:hideMark/>
          </w:tcPr>
          <w:p w14:paraId="47B20DB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4C6255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165.159</w:t>
            </w:r>
          </w:p>
        </w:tc>
        <w:tc>
          <w:tcPr>
            <w:tcW w:w="78" w:type="pct"/>
            <w:tcBorders>
              <w:top w:val="nil"/>
              <w:left w:val="nil"/>
              <w:bottom w:val="nil"/>
              <w:right w:val="nil"/>
            </w:tcBorders>
            <w:shd w:val="clear" w:color="auto" w:fill="auto"/>
            <w:vAlign w:val="center"/>
            <w:hideMark/>
          </w:tcPr>
          <w:p w14:paraId="109342F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C7DA93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242.810</w:t>
            </w:r>
          </w:p>
        </w:tc>
        <w:tc>
          <w:tcPr>
            <w:tcW w:w="83" w:type="pct"/>
            <w:tcBorders>
              <w:top w:val="nil"/>
              <w:left w:val="nil"/>
              <w:bottom w:val="nil"/>
              <w:right w:val="nil"/>
            </w:tcBorders>
            <w:shd w:val="clear" w:color="auto" w:fill="auto"/>
            <w:noWrap/>
            <w:vAlign w:val="center"/>
            <w:hideMark/>
          </w:tcPr>
          <w:p w14:paraId="7BD1A3DB"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487F29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390.228</w:t>
            </w:r>
          </w:p>
        </w:tc>
        <w:tc>
          <w:tcPr>
            <w:tcW w:w="79" w:type="pct"/>
            <w:tcBorders>
              <w:top w:val="nil"/>
              <w:left w:val="nil"/>
              <w:bottom w:val="nil"/>
              <w:right w:val="nil"/>
            </w:tcBorders>
            <w:shd w:val="clear" w:color="auto" w:fill="auto"/>
            <w:noWrap/>
            <w:vAlign w:val="center"/>
            <w:hideMark/>
          </w:tcPr>
          <w:p w14:paraId="5E7218DE"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A30D53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24.620</w:t>
            </w:r>
          </w:p>
        </w:tc>
        <w:tc>
          <w:tcPr>
            <w:tcW w:w="78" w:type="pct"/>
            <w:tcBorders>
              <w:top w:val="nil"/>
              <w:left w:val="nil"/>
              <w:bottom w:val="nil"/>
              <w:right w:val="nil"/>
            </w:tcBorders>
            <w:shd w:val="clear" w:color="auto" w:fill="auto"/>
            <w:vAlign w:val="center"/>
            <w:hideMark/>
          </w:tcPr>
          <w:p w14:paraId="1E706D48"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5A1D35E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317.098</w:t>
            </w:r>
          </w:p>
        </w:tc>
        <w:tc>
          <w:tcPr>
            <w:tcW w:w="78" w:type="pct"/>
            <w:tcBorders>
              <w:top w:val="nil"/>
              <w:left w:val="nil"/>
              <w:bottom w:val="nil"/>
              <w:right w:val="nil"/>
            </w:tcBorders>
            <w:shd w:val="clear" w:color="auto" w:fill="auto"/>
            <w:vAlign w:val="center"/>
          </w:tcPr>
          <w:p w14:paraId="2DA8C099"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3DF1687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437.640</w:t>
            </w:r>
          </w:p>
        </w:tc>
        <w:tc>
          <w:tcPr>
            <w:tcW w:w="78" w:type="pct"/>
            <w:gridSpan w:val="2"/>
            <w:tcBorders>
              <w:top w:val="nil"/>
              <w:left w:val="nil"/>
              <w:bottom w:val="nil"/>
              <w:right w:val="nil"/>
            </w:tcBorders>
            <w:shd w:val="clear" w:color="auto" w:fill="auto"/>
            <w:vAlign w:val="center"/>
          </w:tcPr>
          <w:p w14:paraId="7141E151"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76DC7D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26.366</w:t>
            </w:r>
          </w:p>
        </w:tc>
      </w:tr>
      <w:tr w:rsidR="003B5193" w:rsidRPr="00AE4E8D" w14:paraId="1BE0AF65" w14:textId="77777777" w:rsidTr="00E8320E">
        <w:trPr>
          <w:trHeight w:val="210"/>
        </w:trPr>
        <w:tc>
          <w:tcPr>
            <w:tcW w:w="1253" w:type="pct"/>
            <w:tcBorders>
              <w:top w:val="nil"/>
              <w:left w:val="nil"/>
              <w:bottom w:val="nil"/>
              <w:right w:val="nil"/>
            </w:tcBorders>
            <w:shd w:val="clear" w:color="auto" w:fill="auto"/>
            <w:noWrap/>
            <w:vAlign w:val="center"/>
            <w:hideMark/>
          </w:tcPr>
          <w:p w14:paraId="7204DE79"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Bienes Diversos</w:t>
            </w:r>
          </w:p>
        </w:tc>
        <w:tc>
          <w:tcPr>
            <w:tcW w:w="328" w:type="pct"/>
            <w:tcBorders>
              <w:top w:val="nil"/>
              <w:left w:val="nil"/>
              <w:bottom w:val="nil"/>
              <w:right w:val="nil"/>
            </w:tcBorders>
            <w:shd w:val="clear" w:color="auto" w:fill="auto"/>
            <w:noWrap/>
            <w:vAlign w:val="center"/>
            <w:hideMark/>
          </w:tcPr>
          <w:p w14:paraId="3FD7B3A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40.216</w:t>
            </w:r>
          </w:p>
        </w:tc>
        <w:tc>
          <w:tcPr>
            <w:tcW w:w="78" w:type="pct"/>
            <w:tcBorders>
              <w:top w:val="nil"/>
              <w:left w:val="nil"/>
              <w:bottom w:val="nil"/>
              <w:right w:val="nil"/>
            </w:tcBorders>
            <w:shd w:val="clear" w:color="auto" w:fill="auto"/>
            <w:vAlign w:val="center"/>
            <w:hideMark/>
          </w:tcPr>
          <w:p w14:paraId="51130213"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14383E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47.508</w:t>
            </w:r>
          </w:p>
        </w:tc>
        <w:tc>
          <w:tcPr>
            <w:tcW w:w="78" w:type="pct"/>
            <w:tcBorders>
              <w:top w:val="nil"/>
              <w:left w:val="nil"/>
              <w:bottom w:val="nil"/>
              <w:right w:val="nil"/>
            </w:tcBorders>
            <w:shd w:val="clear" w:color="auto" w:fill="auto"/>
            <w:vAlign w:val="center"/>
            <w:hideMark/>
          </w:tcPr>
          <w:p w14:paraId="7627BEBB"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DCD044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59.790</w:t>
            </w:r>
          </w:p>
        </w:tc>
        <w:tc>
          <w:tcPr>
            <w:tcW w:w="78" w:type="pct"/>
            <w:tcBorders>
              <w:top w:val="nil"/>
              <w:left w:val="nil"/>
              <w:bottom w:val="nil"/>
              <w:right w:val="nil"/>
            </w:tcBorders>
            <w:shd w:val="clear" w:color="auto" w:fill="auto"/>
            <w:vAlign w:val="center"/>
            <w:hideMark/>
          </w:tcPr>
          <w:p w14:paraId="6D299A1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00A3CA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65.120</w:t>
            </w:r>
          </w:p>
        </w:tc>
        <w:tc>
          <w:tcPr>
            <w:tcW w:w="83" w:type="pct"/>
            <w:tcBorders>
              <w:top w:val="nil"/>
              <w:left w:val="nil"/>
              <w:bottom w:val="nil"/>
              <w:right w:val="nil"/>
            </w:tcBorders>
            <w:shd w:val="clear" w:color="auto" w:fill="auto"/>
            <w:noWrap/>
            <w:vAlign w:val="center"/>
            <w:hideMark/>
          </w:tcPr>
          <w:p w14:paraId="53C59EB8"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5F66E0C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296.068</w:t>
            </w:r>
          </w:p>
        </w:tc>
        <w:tc>
          <w:tcPr>
            <w:tcW w:w="79" w:type="pct"/>
            <w:tcBorders>
              <w:top w:val="nil"/>
              <w:left w:val="nil"/>
              <w:bottom w:val="nil"/>
              <w:right w:val="nil"/>
            </w:tcBorders>
            <w:shd w:val="clear" w:color="auto" w:fill="auto"/>
            <w:noWrap/>
            <w:vAlign w:val="center"/>
            <w:hideMark/>
          </w:tcPr>
          <w:p w14:paraId="08C9BCF0"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E61EEB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18.679</w:t>
            </w:r>
          </w:p>
        </w:tc>
        <w:tc>
          <w:tcPr>
            <w:tcW w:w="78" w:type="pct"/>
            <w:tcBorders>
              <w:top w:val="nil"/>
              <w:left w:val="nil"/>
              <w:bottom w:val="nil"/>
              <w:right w:val="nil"/>
            </w:tcBorders>
            <w:shd w:val="clear" w:color="auto" w:fill="auto"/>
            <w:vAlign w:val="center"/>
            <w:hideMark/>
          </w:tcPr>
          <w:p w14:paraId="4E0FF723"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5588E1F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253.467</w:t>
            </w:r>
          </w:p>
        </w:tc>
        <w:tc>
          <w:tcPr>
            <w:tcW w:w="78" w:type="pct"/>
            <w:tcBorders>
              <w:top w:val="nil"/>
              <w:left w:val="nil"/>
              <w:bottom w:val="nil"/>
              <w:right w:val="nil"/>
            </w:tcBorders>
            <w:shd w:val="clear" w:color="auto" w:fill="auto"/>
            <w:vAlign w:val="center"/>
          </w:tcPr>
          <w:p w14:paraId="7F50A76C"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433E85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1.267.042</w:t>
            </w:r>
          </w:p>
        </w:tc>
        <w:tc>
          <w:tcPr>
            <w:tcW w:w="78" w:type="pct"/>
            <w:gridSpan w:val="2"/>
            <w:tcBorders>
              <w:top w:val="nil"/>
              <w:left w:val="nil"/>
              <w:bottom w:val="nil"/>
              <w:right w:val="nil"/>
            </w:tcBorders>
            <w:shd w:val="clear" w:color="auto" w:fill="auto"/>
            <w:vAlign w:val="center"/>
          </w:tcPr>
          <w:p w14:paraId="66667461"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38B8E5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76.335</w:t>
            </w:r>
          </w:p>
        </w:tc>
      </w:tr>
      <w:tr w:rsidR="003B5193" w:rsidRPr="00AE4E8D" w14:paraId="4AC6E512" w14:textId="77777777" w:rsidTr="00E8320E">
        <w:trPr>
          <w:trHeight w:val="210"/>
        </w:trPr>
        <w:tc>
          <w:tcPr>
            <w:tcW w:w="1253" w:type="pct"/>
            <w:tcBorders>
              <w:top w:val="nil"/>
              <w:left w:val="nil"/>
              <w:bottom w:val="nil"/>
              <w:right w:val="nil"/>
            </w:tcBorders>
            <w:shd w:val="clear" w:color="auto" w:fill="auto"/>
            <w:noWrap/>
            <w:vAlign w:val="center"/>
            <w:hideMark/>
          </w:tcPr>
          <w:p w14:paraId="15B57EF9"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Bienes Intangibles</w:t>
            </w:r>
          </w:p>
        </w:tc>
        <w:tc>
          <w:tcPr>
            <w:tcW w:w="328" w:type="pct"/>
            <w:tcBorders>
              <w:top w:val="nil"/>
              <w:left w:val="nil"/>
              <w:bottom w:val="nil"/>
              <w:right w:val="nil"/>
            </w:tcBorders>
            <w:shd w:val="clear" w:color="auto" w:fill="auto"/>
            <w:noWrap/>
            <w:vAlign w:val="center"/>
            <w:hideMark/>
          </w:tcPr>
          <w:p w14:paraId="6ED4E2A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96.602</w:t>
            </w:r>
          </w:p>
        </w:tc>
        <w:tc>
          <w:tcPr>
            <w:tcW w:w="78" w:type="pct"/>
            <w:tcBorders>
              <w:top w:val="nil"/>
              <w:left w:val="nil"/>
              <w:bottom w:val="nil"/>
              <w:right w:val="nil"/>
            </w:tcBorders>
            <w:shd w:val="clear" w:color="auto" w:fill="auto"/>
            <w:vAlign w:val="center"/>
            <w:hideMark/>
          </w:tcPr>
          <w:p w14:paraId="78083CD1"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F120C7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198.587</w:t>
            </w:r>
          </w:p>
        </w:tc>
        <w:tc>
          <w:tcPr>
            <w:tcW w:w="78" w:type="pct"/>
            <w:tcBorders>
              <w:top w:val="nil"/>
              <w:left w:val="nil"/>
              <w:bottom w:val="nil"/>
              <w:right w:val="nil"/>
            </w:tcBorders>
            <w:shd w:val="clear" w:color="auto" w:fill="auto"/>
            <w:vAlign w:val="center"/>
            <w:hideMark/>
          </w:tcPr>
          <w:p w14:paraId="2274484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204D38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342.928</w:t>
            </w:r>
          </w:p>
        </w:tc>
        <w:tc>
          <w:tcPr>
            <w:tcW w:w="78" w:type="pct"/>
            <w:tcBorders>
              <w:top w:val="nil"/>
              <w:left w:val="nil"/>
              <w:bottom w:val="nil"/>
              <w:right w:val="nil"/>
            </w:tcBorders>
            <w:shd w:val="clear" w:color="auto" w:fill="auto"/>
            <w:vAlign w:val="center"/>
            <w:hideMark/>
          </w:tcPr>
          <w:p w14:paraId="6E33F427"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A2A5DA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478.219</w:t>
            </w:r>
          </w:p>
        </w:tc>
        <w:tc>
          <w:tcPr>
            <w:tcW w:w="83" w:type="pct"/>
            <w:tcBorders>
              <w:top w:val="nil"/>
              <w:left w:val="nil"/>
              <w:bottom w:val="nil"/>
              <w:right w:val="nil"/>
            </w:tcBorders>
            <w:shd w:val="clear" w:color="auto" w:fill="auto"/>
            <w:noWrap/>
            <w:vAlign w:val="center"/>
            <w:hideMark/>
          </w:tcPr>
          <w:p w14:paraId="26578F49"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8209F2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567.364</w:t>
            </w:r>
          </w:p>
        </w:tc>
        <w:tc>
          <w:tcPr>
            <w:tcW w:w="79" w:type="pct"/>
            <w:tcBorders>
              <w:top w:val="nil"/>
              <w:left w:val="nil"/>
              <w:bottom w:val="nil"/>
              <w:right w:val="nil"/>
            </w:tcBorders>
            <w:shd w:val="clear" w:color="auto" w:fill="auto"/>
            <w:noWrap/>
            <w:vAlign w:val="center"/>
            <w:hideMark/>
          </w:tcPr>
          <w:p w14:paraId="6686D836"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E21742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35.795</w:t>
            </w:r>
          </w:p>
        </w:tc>
        <w:tc>
          <w:tcPr>
            <w:tcW w:w="78" w:type="pct"/>
            <w:tcBorders>
              <w:top w:val="nil"/>
              <w:left w:val="nil"/>
              <w:bottom w:val="nil"/>
              <w:right w:val="nil"/>
            </w:tcBorders>
            <w:shd w:val="clear" w:color="auto" w:fill="auto"/>
            <w:vAlign w:val="center"/>
            <w:hideMark/>
          </w:tcPr>
          <w:p w14:paraId="44728CAF"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798BE11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552.755</w:t>
            </w:r>
          </w:p>
        </w:tc>
        <w:tc>
          <w:tcPr>
            <w:tcW w:w="78" w:type="pct"/>
            <w:tcBorders>
              <w:top w:val="nil"/>
              <w:left w:val="nil"/>
              <w:bottom w:val="nil"/>
              <w:right w:val="nil"/>
            </w:tcBorders>
            <w:shd w:val="clear" w:color="auto" w:fill="auto"/>
            <w:vAlign w:val="center"/>
          </w:tcPr>
          <w:p w14:paraId="06477FE2"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001C81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574.566</w:t>
            </w:r>
          </w:p>
        </w:tc>
        <w:tc>
          <w:tcPr>
            <w:tcW w:w="78" w:type="pct"/>
            <w:gridSpan w:val="2"/>
            <w:tcBorders>
              <w:top w:val="nil"/>
              <w:left w:val="nil"/>
              <w:bottom w:val="nil"/>
              <w:right w:val="nil"/>
            </w:tcBorders>
            <w:shd w:val="clear" w:color="auto" w:fill="auto"/>
            <w:vAlign w:val="center"/>
          </w:tcPr>
          <w:p w14:paraId="5F64C1D0"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76C24A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34.616</w:t>
            </w:r>
          </w:p>
        </w:tc>
      </w:tr>
      <w:tr w:rsidR="003B5193" w:rsidRPr="00AE4E8D" w14:paraId="149F7686" w14:textId="77777777" w:rsidTr="00E8320E">
        <w:trPr>
          <w:trHeight w:val="223"/>
        </w:trPr>
        <w:tc>
          <w:tcPr>
            <w:tcW w:w="1253" w:type="pct"/>
            <w:tcBorders>
              <w:top w:val="nil"/>
              <w:left w:val="nil"/>
              <w:bottom w:val="nil"/>
              <w:right w:val="nil"/>
            </w:tcBorders>
            <w:shd w:val="clear" w:color="auto" w:fill="auto"/>
            <w:noWrap/>
            <w:vAlign w:val="center"/>
            <w:hideMark/>
          </w:tcPr>
          <w:p w14:paraId="4B4ECB8A"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Partidas pendientes de imputación</w:t>
            </w:r>
          </w:p>
        </w:tc>
        <w:tc>
          <w:tcPr>
            <w:tcW w:w="328" w:type="pct"/>
            <w:tcBorders>
              <w:top w:val="nil"/>
              <w:left w:val="nil"/>
              <w:bottom w:val="single" w:sz="8" w:space="0" w:color="auto"/>
              <w:right w:val="nil"/>
            </w:tcBorders>
            <w:shd w:val="clear" w:color="auto" w:fill="auto"/>
            <w:noWrap/>
            <w:vAlign w:val="center"/>
            <w:hideMark/>
          </w:tcPr>
          <w:p w14:paraId="28E34B7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1.765</w:t>
            </w:r>
          </w:p>
        </w:tc>
        <w:tc>
          <w:tcPr>
            <w:tcW w:w="78" w:type="pct"/>
            <w:tcBorders>
              <w:top w:val="nil"/>
              <w:left w:val="nil"/>
              <w:bottom w:val="nil"/>
              <w:right w:val="nil"/>
            </w:tcBorders>
            <w:shd w:val="clear" w:color="auto" w:fill="auto"/>
            <w:vAlign w:val="center"/>
            <w:hideMark/>
          </w:tcPr>
          <w:p w14:paraId="32D3085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64F4ECD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3.527</w:t>
            </w:r>
          </w:p>
        </w:tc>
        <w:tc>
          <w:tcPr>
            <w:tcW w:w="78" w:type="pct"/>
            <w:tcBorders>
              <w:top w:val="nil"/>
              <w:left w:val="nil"/>
              <w:bottom w:val="nil"/>
              <w:right w:val="nil"/>
            </w:tcBorders>
            <w:shd w:val="clear" w:color="auto" w:fill="auto"/>
            <w:vAlign w:val="center"/>
            <w:hideMark/>
          </w:tcPr>
          <w:p w14:paraId="232DF2A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34C1E92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1.373</w:t>
            </w:r>
          </w:p>
        </w:tc>
        <w:tc>
          <w:tcPr>
            <w:tcW w:w="78" w:type="pct"/>
            <w:tcBorders>
              <w:top w:val="nil"/>
              <w:left w:val="nil"/>
              <w:bottom w:val="nil"/>
              <w:right w:val="nil"/>
            </w:tcBorders>
            <w:shd w:val="clear" w:color="auto" w:fill="auto"/>
            <w:vAlign w:val="center"/>
            <w:hideMark/>
          </w:tcPr>
          <w:p w14:paraId="0E1933EA"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77E94FD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6.797</w:t>
            </w:r>
          </w:p>
        </w:tc>
        <w:tc>
          <w:tcPr>
            <w:tcW w:w="83" w:type="pct"/>
            <w:tcBorders>
              <w:top w:val="nil"/>
              <w:left w:val="nil"/>
              <w:bottom w:val="nil"/>
              <w:right w:val="nil"/>
            </w:tcBorders>
            <w:shd w:val="clear" w:color="auto" w:fill="auto"/>
            <w:noWrap/>
            <w:vAlign w:val="center"/>
            <w:hideMark/>
          </w:tcPr>
          <w:p w14:paraId="4CA85E38"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single" w:sz="8" w:space="0" w:color="auto"/>
              <w:right w:val="nil"/>
            </w:tcBorders>
            <w:shd w:val="clear" w:color="auto" w:fill="auto"/>
            <w:noWrap/>
            <w:vAlign w:val="center"/>
            <w:hideMark/>
          </w:tcPr>
          <w:p w14:paraId="72335AE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9.874</w:t>
            </w:r>
          </w:p>
        </w:tc>
        <w:tc>
          <w:tcPr>
            <w:tcW w:w="79" w:type="pct"/>
            <w:tcBorders>
              <w:top w:val="nil"/>
              <w:left w:val="nil"/>
              <w:bottom w:val="nil"/>
              <w:right w:val="nil"/>
            </w:tcBorders>
            <w:shd w:val="clear" w:color="auto" w:fill="auto"/>
            <w:noWrap/>
            <w:vAlign w:val="center"/>
            <w:hideMark/>
          </w:tcPr>
          <w:p w14:paraId="3732C0C9"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single" w:sz="8" w:space="0" w:color="auto"/>
              <w:right w:val="nil"/>
            </w:tcBorders>
            <w:shd w:val="clear" w:color="auto" w:fill="auto"/>
            <w:noWrap/>
            <w:vAlign w:val="center"/>
            <w:hideMark/>
          </w:tcPr>
          <w:p w14:paraId="311A9E7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623</w:t>
            </w:r>
          </w:p>
        </w:tc>
        <w:tc>
          <w:tcPr>
            <w:tcW w:w="78" w:type="pct"/>
            <w:tcBorders>
              <w:top w:val="nil"/>
              <w:left w:val="nil"/>
              <w:bottom w:val="nil"/>
              <w:right w:val="nil"/>
            </w:tcBorders>
            <w:shd w:val="clear" w:color="auto" w:fill="auto"/>
            <w:vAlign w:val="center"/>
            <w:hideMark/>
          </w:tcPr>
          <w:p w14:paraId="653ECF1D"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single" w:sz="8" w:space="0" w:color="auto"/>
              <w:right w:val="nil"/>
            </w:tcBorders>
            <w:shd w:val="clear" w:color="auto" w:fill="auto"/>
            <w:vAlign w:val="center"/>
          </w:tcPr>
          <w:p w14:paraId="359C841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23.705</w:t>
            </w:r>
          </w:p>
        </w:tc>
        <w:tc>
          <w:tcPr>
            <w:tcW w:w="78" w:type="pct"/>
            <w:tcBorders>
              <w:top w:val="nil"/>
              <w:left w:val="nil"/>
              <w:bottom w:val="nil"/>
              <w:right w:val="nil"/>
            </w:tcBorders>
            <w:shd w:val="clear" w:color="auto" w:fill="auto"/>
            <w:vAlign w:val="center"/>
          </w:tcPr>
          <w:p w14:paraId="50847086"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single" w:sz="8" w:space="0" w:color="auto"/>
              <w:right w:val="nil"/>
            </w:tcBorders>
            <w:shd w:val="clear" w:color="auto" w:fill="auto"/>
            <w:vAlign w:val="center"/>
          </w:tcPr>
          <w:p w14:paraId="03DD9C6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12.897</w:t>
            </w:r>
          </w:p>
        </w:tc>
        <w:tc>
          <w:tcPr>
            <w:tcW w:w="78" w:type="pct"/>
            <w:gridSpan w:val="2"/>
            <w:tcBorders>
              <w:top w:val="nil"/>
              <w:left w:val="nil"/>
              <w:bottom w:val="nil"/>
              <w:right w:val="nil"/>
            </w:tcBorders>
            <w:shd w:val="clear" w:color="auto" w:fill="auto"/>
            <w:vAlign w:val="center"/>
          </w:tcPr>
          <w:p w14:paraId="67C6A99B"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single" w:sz="8" w:space="0" w:color="auto"/>
              <w:right w:val="nil"/>
            </w:tcBorders>
            <w:shd w:val="clear" w:color="auto" w:fill="auto"/>
            <w:vAlign w:val="center"/>
          </w:tcPr>
          <w:p w14:paraId="4B659F5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777</w:t>
            </w:r>
          </w:p>
        </w:tc>
      </w:tr>
      <w:tr w:rsidR="003B5193" w:rsidRPr="00AE4E8D" w14:paraId="238FFF53" w14:textId="77777777" w:rsidTr="00E8320E">
        <w:trPr>
          <w:trHeight w:val="210"/>
        </w:trPr>
        <w:tc>
          <w:tcPr>
            <w:tcW w:w="1253" w:type="pct"/>
            <w:tcBorders>
              <w:top w:val="nil"/>
              <w:left w:val="nil"/>
              <w:bottom w:val="nil"/>
              <w:right w:val="nil"/>
            </w:tcBorders>
            <w:shd w:val="clear" w:color="auto" w:fill="auto"/>
            <w:noWrap/>
            <w:vAlign w:val="center"/>
            <w:hideMark/>
          </w:tcPr>
          <w:p w14:paraId="4492ADF3"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Total activo</w:t>
            </w:r>
          </w:p>
        </w:tc>
        <w:tc>
          <w:tcPr>
            <w:tcW w:w="328" w:type="pct"/>
            <w:tcBorders>
              <w:top w:val="nil"/>
              <w:left w:val="nil"/>
              <w:bottom w:val="nil"/>
              <w:right w:val="nil"/>
            </w:tcBorders>
            <w:shd w:val="clear" w:color="auto" w:fill="auto"/>
            <w:noWrap/>
            <w:vAlign w:val="center"/>
            <w:hideMark/>
          </w:tcPr>
          <w:p w14:paraId="4A2810C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16.003.674</w:t>
            </w:r>
          </w:p>
        </w:tc>
        <w:tc>
          <w:tcPr>
            <w:tcW w:w="78" w:type="pct"/>
            <w:tcBorders>
              <w:top w:val="nil"/>
              <w:left w:val="nil"/>
              <w:bottom w:val="nil"/>
              <w:right w:val="nil"/>
            </w:tcBorders>
            <w:shd w:val="clear" w:color="auto" w:fill="auto"/>
            <w:vAlign w:val="center"/>
            <w:hideMark/>
          </w:tcPr>
          <w:p w14:paraId="7E178EE8"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8D24F7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20.387.893</w:t>
            </w:r>
          </w:p>
        </w:tc>
        <w:tc>
          <w:tcPr>
            <w:tcW w:w="78" w:type="pct"/>
            <w:tcBorders>
              <w:top w:val="nil"/>
              <w:left w:val="nil"/>
              <w:bottom w:val="nil"/>
              <w:right w:val="nil"/>
            </w:tcBorders>
            <w:shd w:val="clear" w:color="auto" w:fill="auto"/>
            <w:vAlign w:val="center"/>
            <w:hideMark/>
          </w:tcPr>
          <w:p w14:paraId="673F8BBA"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BE0564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31.351.511</w:t>
            </w:r>
          </w:p>
        </w:tc>
        <w:tc>
          <w:tcPr>
            <w:tcW w:w="78" w:type="pct"/>
            <w:tcBorders>
              <w:top w:val="nil"/>
              <w:left w:val="nil"/>
              <w:bottom w:val="nil"/>
              <w:right w:val="nil"/>
            </w:tcBorders>
            <w:shd w:val="clear" w:color="auto" w:fill="auto"/>
            <w:vAlign w:val="center"/>
            <w:hideMark/>
          </w:tcPr>
          <w:p w14:paraId="385BD237"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59C66B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39.457.899</w:t>
            </w:r>
          </w:p>
        </w:tc>
        <w:tc>
          <w:tcPr>
            <w:tcW w:w="83" w:type="pct"/>
            <w:tcBorders>
              <w:top w:val="nil"/>
              <w:left w:val="nil"/>
              <w:bottom w:val="nil"/>
              <w:right w:val="nil"/>
            </w:tcBorders>
            <w:shd w:val="clear" w:color="auto" w:fill="auto"/>
            <w:noWrap/>
            <w:vAlign w:val="center"/>
            <w:hideMark/>
          </w:tcPr>
          <w:p w14:paraId="4C1C5E8E"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76447A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52.108.110</w:t>
            </w:r>
          </w:p>
        </w:tc>
        <w:tc>
          <w:tcPr>
            <w:tcW w:w="79" w:type="pct"/>
            <w:tcBorders>
              <w:top w:val="nil"/>
              <w:left w:val="nil"/>
              <w:bottom w:val="nil"/>
              <w:right w:val="nil"/>
            </w:tcBorders>
            <w:shd w:val="clear" w:color="auto" w:fill="auto"/>
            <w:noWrap/>
            <w:vAlign w:val="center"/>
            <w:hideMark/>
          </w:tcPr>
          <w:p w14:paraId="5D1D91E1"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272583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3.287.536</w:t>
            </w:r>
          </w:p>
        </w:tc>
        <w:tc>
          <w:tcPr>
            <w:tcW w:w="78" w:type="pct"/>
            <w:tcBorders>
              <w:top w:val="nil"/>
              <w:left w:val="nil"/>
              <w:bottom w:val="nil"/>
              <w:right w:val="nil"/>
            </w:tcBorders>
            <w:shd w:val="clear" w:color="auto" w:fill="auto"/>
            <w:vAlign w:val="center"/>
            <w:hideMark/>
          </w:tcPr>
          <w:p w14:paraId="07AE9936"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503869A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40.527.329</w:t>
            </w:r>
          </w:p>
        </w:tc>
        <w:tc>
          <w:tcPr>
            <w:tcW w:w="78" w:type="pct"/>
            <w:tcBorders>
              <w:top w:val="nil"/>
              <w:left w:val="nil"/>
              <w:bottom w:val="nil"/>
              <w:right w:val="nil"/>
            </w:tcBorders>
            <w:shd w:val="clear" w:color="auto" w:fill="auto"/>
            <w:vAlign w:val="center"/>
          </w:tcPr>
          <w:p w14:paraId="1F3B39D7"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3E26A9B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55.261.858</w:t>
            </w:r>
          </w:p>
        </w:tc>
        <w:tc>
          <w:tcPr>
            <w:tcW w:w="78" w:type="pct"/>
            <w:gridSpan w:val="2"/>
            <w:tcBorders>
              <w:top w:val="nil"/>
              <w:left w:val="nil"/>
              <w:bottom w:val="nil"/>
              <w:right w:val="nil"/>
            </w:tcBorders>
            <w:shd w:val="clear" w:color="auto" w:fill="auto"/>
            <w:vAlign w:val="center"/>
          </w:tcPr>
          <w:p w14:paraId="6C49F605"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6C70198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3.329.328</w:t>
            </w:r>
          </w:p>
        </w:tc>
      </w:tr>
      <w:tr w:rsidR="003B5193" w:rsidRPr="00AE4E8D" w14:paraId="7409A372" w14:textId="77777777" w:rsidTr="00E8320E">
        <w:trPr>
          <w:trHeight w:val="210"/>
        </w:trPr>
        <w:tc>
          <w:tcPr>
            <w:tcW w:w="1253" w:type="pct"/>
            <w:tcBorders>
              <w:top w:val="nil"/>
              <w:left w:val="nil"/>
              <w:bottom w:val="nil"/>
              <w:right w:val="nil"/>
            </w:tcBorders>
            <w:shd w:val="clear" w:color="auto" w:fill="auto"/>
            <w:noWrap/>
            <w:vAlign w:val="bottom"/>
            <w:hideMark/>
          </w:tcPr>
          <w:p w14:paraId="6642DE4E" w14:textId="77777777" w:rsidR="0067329E" w:rsidRPr="00AE4E8D" w:rsidRDefault="0067329E" w:rsidP="00E8320E">
            <w:pPr>
              <w:tabs>
                <w:tab w:val="left" w:pos="3261"/>
              </w:tabs>
              <w:spacing w:before="40" w:after="40"/>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2E57374B"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62F113BB"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58EE4D1"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65ED17B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3B4AA7D"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54FD6EC7"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98F9B51" w14:textId="77777777" w:rsidR="0067329E" w:rsidRPr="00AE4E8D" w:rsidRDefault="0067329E"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hideMark/>
          </w:tcPr>
          <w:p w14:paraId="35462FCB"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vAlign w:val="center"/>
            <w:hideMark/>
          </w:tcPr>
          <w:p w14:paraId="60A44F84" w14:textId="77777777" w:rsidR="0067329E" w:rsidRPr="00AE4E8D" w:rsidRDefault="0067329E"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hideMark/>
          </w:tcPr>
          <w:p w14:paraId="1A8B73D1"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2E6CBE0" w14:textId="77777777" w:rsidR="0067329E" w:rsidRPr="00AE4E8D" w:rsidRDefault="0067329E" w:rsidP="00E8320E">
            <w:pPr>
              <w:spacing w:before="40" w:after="40"/>
              <w:jc w:val="right"/>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1B283DFF"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71DF2F95"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A316011"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733F263E"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58AB0FF5"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35901886" w14:textId="77777777" w:rsidR="0067329E" w:rsidRPr="00AE4E8D" w:rsidRDefault="0067329E" w:rsidP="00E8320E">
            <w:pPr>
              <w:spacing w:before="40" w:after="40"/>
              <w:jc w:val="right"/>
              <w:rPr>
                <w:rFonts w:ascii="Times New Roman" w:hAnsi="Times New Roman"/>
                <w:color w:val="000000"/>
                <w:sz w:val="16"/>
                <w:lang w:val="es-ES"/>
              </w:rPr>
            </w:pPr>
          </w:p>
        </w:tc>
      </w:tr>
      <w:tr w:rsidR="003B5193" w:rsidRPr="00AE4E8D" w14:paraId="4F807091" w14:textId="77777777" w:rsidTr="00E8320E">
        <w:trPr>
          <w:trHeight w:val="210"/>
        </w:trPr>
        <w:tc>
          <w:tcPr>
            <w:tcW w:w="1253" w:type="pct"/>
            <w:tcBorders>
              <w:top w:val="nil"/>
              <w:left w:val="nil"/>
              <w:bottom w:val="nil"/>
              <w:right w:val="nil"/>
            </w:tcBorders>
            <w:shd w:val="clear" w:color="auto" w:fill="auto"/>
            <w:noWrap/>
            <w:vAlign w:val="center"/>
            <w:hideMark/>
          </w:tcPr>
          <w:p w14:paraId="30D0334B" w14:textId="77777777" w:rsidR="0067329E" w:rsidRPr="00AE4E8D" w:rsidRDefault="0067329E" w:rsidP="00E8320E">
            <w:pPr>
              <w:tabs>
                <w:tab w:val="left" w:pos="3261"/>
              </w:tabs>
              <w:spacing w:before="40" w:after="40"/>
              <w:rPr>
                <w:rFonts w:ascii="Times New Roman" w:hAnsi="Times New Roman"/>
                <w:b/>
                <w:color w:val="000000"/>
                <w:sz w:val="16"/>
                <w:lang w:val="es-ES"/>
              </w:rPr>
            </w:pPr>
            <w:r w:rsidRPr="00AE4E8D">
              <w:rPr>
                <w:rFonts w:ascii="Times New Roman" w:hAnsi="Times New Roman"/>
                <w:b/>
                <w:color w:val="000000"/>
                <w:sz w:val="16"/>
                <w:lang w:val="es-ES"/>
              </w:rPr>
              <w:t>Pasivo</w:t>
            </w:r>
          </w:p>
        </w:tc>
        <w:tc>
          <w:tcPr>
            <w:tcW w:w="328" w:type="pct"/>
            <w:tcBorders>
              <w:top w:val="nil"/>
              <w:left w:val="nil"/>
              <w:bottom w:val="nil"/>
              <w:right w:val="nil"/>
            </w:tcBorders>
            <w:shd w:val="clear" w:color="auto" w:fill="auto"/>
            <w:noWrap/>
            <w:vAlign w:val="center"/>
            <w:hideMark/>
          </w:tcPr>
          <w:p w14:paraId="3E4C86DC"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8DE6BC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7D8B00B"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3EE6632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7776C46"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2B817260"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00DA884" w14:textId="77777777" w:rsidR="0067329E" w:rsidRPr="00AE4E8D" w:rsidRDefault="0067329E"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hideMark/>
          </w:tcPr>
          <w:p w14:paraId="4706890C"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vAlign w:val="center"/>
            <w:hideMark/>
          </w:tcPr>
          <w:p w14:paraId="60C47AEF" w14:textId="77777777" w:rsidR="0067329E" w:rsidRPr="00AE4E8D" w:rsidRDefault="0067329E"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hideMark/>
          </w:tcPr>
          <w:p w14:paraId="6CACFA0A"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3013BF5" w14:textId="77777777" w:rsidR="0067329E" w:rsidRPr="00AE4E8D" w:rsidRDefault="0067329E" w:rsidP="00E8320E">
            <w:pPr>
              <w:spacing w:before="40" w:after="40"/>
              <w:jc w:val="right"/>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2165F641"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5FA4E3B1"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53BFF376"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05EBE0DE"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451E66CF"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3A5AFBF3" w14:textId="77777777" w:rsidR="0067329E" w:rsidRPr="00AE4E8D" w:rsidRDefault="0067329E" w:rsidP="00E8320E">
            <w:pPr>
              <w:spacing w:before="40" w:after="40"/>
              <w:jc w:val="right"/>
              <w:rPr>
                <w:rFonts w:ascii="Times New Roman" w:hAnsi="Times New Roman"/>
                <w:color w:val="000000"/>
                <w:sz w:val="16"/>
                <w:lang w:val="es-ES"/>
              </w:rPr>
            </w:pPr>
          </w:p>
        </w:tc>
      </w:tr>
      <w:tr w:rsidR="003B5193" w:rsidRPr="00AE4E8D" w14:paraId="74F02280" w14:textId="77777777" w:rsidTr="00E8320E">
        <w:trPr>
          <w:trHeight w:val="210"/>
        </w:trPr>
        <w:tc>
          <w:tcPr>
            <w:tcW w:w="1253" w:type="pct"/>
            <w:tcBorders>
              <w:top w:val="nil"/>
              <w:left w:val="nil"/>
              <w:bottom w:val="nil"/>
              <w:right w:val="nil"/>
            </w:tcBorders>
            <w:shd w:val="clear" w:color="auto" w:fill="auto"/>
            <w:vAlign w:val="center"/>
            <w:hideMark/>
          </w:tcPr>
          <w:p w14:paraId="0D6B5BF9" w14:textId="77777777" w:rsidR="0067329E" w:rsidRPr="00AE4E8D" w:rsidRDefault="0067329E" w:rsidP="00E8320E">
            <w:pPr>
              <w:tabs>
                <w:tab w:val="left" w:pos="3261"/>
              </w:tabs>
              <w:spacing w:before="40" w:after="40"/>
              <w:rPr>
                <w:rFonts w:ascii="Times New Roman" w:hAnsi="Times New Roman"/>
                <w:i/>
                <w:color w:val="000000"/>
                <w:sz w:val="16"/>
                <w:lang w:val="es-ES"/>
              </w:rPr>
            </w:pPr>
            <w:r w:rsidRPr="00AE4E8D">
              <w:rPr>
                <w:rFonts w:ascii="Times New Roman" w:hAnsi="Times New Roman"/>
                <w:i/>
                <w:color w:val="000000"/>
                <w:sz w:val="16"/>
                <w:lang w:val="es-ES"/>
              </w:rPr>
              <w:t>Depósitos:</w:t>
            </w:r>
          </w:p>
        </w:tc>
        <w:tc>
          <w:tcPr>
            <w:tcW w:w="328" w:type="pct"/>
            <w:tcBorders>
              <w:top w:val="nil"/>
              <w:left w:val="nil"/>
              <w:bottom w:val="nil"/>
              <w:right w:val="nil"/>
            </w:tcBorders>
            <w:shd w:val="clear" w:color="auto" w:fill="auto"/>
            <w:noWrap/>
            <w:vAlign w:val="center"/>
            <w:hideMark/>
          </w:tcPr>
          <w:p w14:paraId="6AB40525"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736444B"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7E6C1A6"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0A9FACF6"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ABB20ED"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67EAE97B"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A0BF52A" w14:textId="77777777" w:rsidR="0067329E" w:rsidRPr="00AE4E8D" w:rsidRDefault="0067329E"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hideMark/>
          </w:tcPr>
          <w:p w14:paraId="77C93228"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vAlign w:val="center"/>
            <w:hideMark/>
          </w:tcPr>
          <w:p w14:paraId="7C9629EE" w14:textId="77777777" w:rsidR="0067329E" w:rsidRPr="00AE4E8D" w:rsidRDefault="0067329E"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hideMark/>
          </w:tcPr>
          <w:p w14:paraId="27D383FA"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787AD2AD" w14:textId="77777777" w:rsidR="0067329E" w:rsidRPr="00AE4E8D" w:rsidRDefault="0067329E" w:rsidP="00E8320E">
            <w:pPr>
              <w:spacing w:before="40" w:after="40"/>
              <w:jc w:val="right"/>
              <w:rPr>
                <w:rFonts w:ascii="Times New Roman" w:hAnsi="Times New Roman"/>
                <w:sz w:val="16"/>
                <w:lang w:val="es-ES"/>
              </w:rPr>
            </w:pPr>
          </w:p>
        </w:tc>
        <w:tc>
          <w:tcPr>
            <w:tcW w:w="78" w:type="pct"/>
            <w:tcBorders>
              <w:top w:val="nil"/>
              <w:left w:val="nil"/>
              <w:bottom w:val="nil"/>
              <w:right w:val="nil"/>
            </w:tcBorders>
            <w:shd w:val="clear" w:color="auto" w:fill="auto"/>
            <w:vAlign w:val="center"/>
            <w:hideMark/>
          </w:tcPr>
          <w:p w14:paraId="1AF13448"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hideMark/>
          </w:tcPr>
          <w:p w14:paraId="326F6455"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7668D0DD"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hideMark/>
          </w:tcPr>
          <w:p w14:paraId="2E21B322"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hideMark/>
          </w:tcPr>
          <w:p w14:paraId="5DE1FB23"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hideMark/>
          </w:tcPr>
          <w:p w14:paraId="416C5B1C" w14:textId="77777777" w:rsidR="0067329E" w:rsidRPr="00AE4E8D" w:rsidRDefault="0067329E" w:rsidP="00E8320E">
            <w:pPr>
              <w:spacing w:before="40" w:after="40"/>
              <w:jc w:val="right"/>
              <w:rPr>
                <w:rFonts w:ascii="Times New Roman" w:hAnsi="Times New Roman"/>
                <w:color w:val="000000"/>
                <w:sz w:val="16"/>
                <w:lang w:val="es-ES"/>
              </w:rPr>
            </w:pPr>
          </w:p>
        </w:tc>
      </w:tr>
      <w:tr w:rsidR="003B5193" w:rsidRPr="00AE4E8D" w14:paraId="3D64949B" w14:textId="77777777" w:rsidTr="00E8320E">
        <w:trPr>
          <w:trHeight w:val="210"/>
        </w:trPr>
        <w:tc>
          <w:tcPr>
            <w:tcW w:w="1253" w:type="pct"/>
            <w:tcBorders>
              <w:top w:val="nil"/>
              <w:left w:val="nil"/>
              <w:bottom w:val="nil"/>
              <w:right w:val="nil"/>
            </w:tcBorders>
            <w:shd w:val="clear" w:color="auto" w:fill="auto"/>
            <w:vAlign w:val="center"/>
            <w:hideMark/>
          </w:tcPr>
          <w:p w14:paraId="3B6886D4"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Sector Público no Financiero</w:t>
            </w:r>
          </w:p>
        </w:tc>
        <w:tc>
          <w:tcPr>
            <w:tcW w:w="328" w:type="pct"/>
            <w:tcBorders>
              <w:top w:val="nil"/>
              <w:left w:val="nil"/>
              <w:bottom w:val="nil"/>
              <w:right w:val="nil"/>
            </w:tcBorders>
            <w:shd w:val="clear" w:color="auto" w:fill="auto"/>
            <w:noWrap/>
            <w:vAlign w:val="center"/>
            <w:hideMark/>
          </w:tcPr>
          <w:p w14:paraId="3409567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2.990.892</w:t>
            </w:r>
          </w:p>
        </w:tc>
        <w:tc>
          <w:tcPr>
            <w:tcW w:w="78" w:type="pct"/>
            <w:tcBorders>
              <w:top w:val="nil"/>
              <w:left w:val="nil"/>
              <w:bottom w:val="nil"/>
              <w:right w:val="nil"/>
            </w:tcBorders>
            <w:shd w:val="clear" w:color="auto" w:fill="auto"/>
            <w:vAlign w:val="center"/>
            <w:hideMark/>
          </w:tcPr>
          <w:p w14:paraId="65462EA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07985D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4.142.809</w:t>
            </w:r>
          </w:p>
        </w:tc>
        <w:tc>
          <w:tcPr>
            <w:tcW w:w="78" w:type="pct"/>
            <w:tcBorders>
              <w:top w:val="nil"/>
              <w:left w:val="nil"/>
              <w:bottom w:val="nil"/>
              <w:right w:val="nil"/>
            </w:tcBorders>
            <w:shd w:val="clear" w:color="auto" w:fill="auto"/>
            <w:vAlign w:val="center"/>
            <w:hideMark/>
          </w:tcPr>
          <w:p w14:paraId="610FEDD4"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B23D9B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9.100.822</w:t>
            </w:r>
          </w:p>
        </w:tc>
        <w:tc>
          <w:tcPr>
            <w:tcW w:w="78" w:type="pct"/>
            <w:tcBorders>
              <w:top w:val="nil"/>
              <w:left w:val="nil"/>
              <w:bottom w:val="nil"/>
              <w:right w:val="nil"/>
            </w:tcBorders>
            <w:shd w:val="clear" w:color="auto" w:fill="auto"/>
            <w:vAlign w:val="center"/>
            <w:hideMark/>
          </w:tcPr>
          <w:p w14:paraId="696463C6"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B548D6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6.819.957</w:t>
            </w:r>
          </w:p>
        </w:tc>
        <w:tc>
          <w:tcPr>
            <w:tcW w:w="83" w:type="pct"/>
            <w:tcBorders>
              <w:top w:val="nil"/>
              <w:left w:val="nil"/>
              <w:bottom w:val="nil"/>
              <w:right w:val="nil"/>
            </w:tcBorders>
            <w:shd w:val="clear" w:color="auto" w:fill="auto"/>
            <w:noWrap/>
            <w:vAlign w:val="center"/>
            <w:hideMark/>
          </w:tcPr>
          <w:p w14:paraId="05C18688"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6C52C84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2.536.836</w:t>
            </w:r>
          </w:p>
        </w:tc>
        <w:tc>
          <w:tcPr>
            <w:tcW w:w="79" w:type="pct"/>
            <w:tcBorders>
              <w:top w:val="nil"/>
              <w:left w:val="nil"/>
              <w:bottom w:val="nil"/>
              <w:right w:val="nil"/>
            </w:tcBorders>
            <w:shd w:val="clear" w:color="auto" w:fill="auto"/>
            <w:noWrap/>
            <w:vAlign w:val="center"/>
            <w:hideMark/>
          </w:tcPr>
          <w:p w14:paraId="3EDA2076"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11C329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160.051</w:t>
            </w:r>
          </w:p>
        </w:tc>
        <w:tc>
          <w:tcPr>
            <w:tcW w:w="78" w:type="pct"/>
            <w:tcBorders>
              <w:top w:val="nil"/>
              <w:left w:val="nil"/>
              <w:bottom w:val="nil"/>
              <w:right w:val="nil"/>
            </w:tcBorders>
            <w:shd w:val="clear" w:color="auto" w:fill="auto"/>
            <w:vAlign w:val="center"/>
            <w:hideMark/>
          </w:tcPr>
          <w:p w14:paraId="41CDE85B"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357BD8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3.534.868 </w:t>
            </w:r>
          </w:p>
        </w:tc>
        <w:tc>
          <w:tcPr>
            <w:tcW w:w="78" w:type="pct"/>
            <w:tcBorders>
              <w:top w:val="nil"/>
              <w:left w:val="nil"/>
              <w:bottom w:val="nil"/>
              <w:right w:val="nil"/>
            </w:tcBorders>
            <w:shd w:val="clear" w:color="auto" w:fill="auto"/>
            <w:vAlign w:val="center"/>
          </w:tcPr>
          <w:p w14:paraId="280FC9E7"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00C16A2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2.853.776</w:t>
            </w:r>
          </w:p>
        </w:tc>
        <w:tc>
          <w:tcPr>
            <w:tcW w:w="78" w:type="pct"/>
            <w:gridSpan w:val="2"/>
            <w:tcBorders>
              <w:top w:val="nil"/>
              <w:left w:val="nil"/>
              <w:bottom w:val="nil"/>
              <w:right w:val="nil"/>
            </w:tcBorders>
            <w:shd w:val="clear" w:color="auto" w:fill="auto"/>
            <w:vAlign w:val="center"/>
          </w:tcPr>
          <w:p w14:paraId="17131039"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5162264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171.930 </w:t>
            </w:r>
          </w:p>
        </w:tc>
      </w:tr>
      <w:tr w:rsidR="003B5193" w:rsidRPr="00AE4E8D" w14:paraId="338D48F3" w14:textId="77777777" w:rsidTr="00E8320E">
        <w:trPr>
          <w:trHeight w:val="210"/>
        </w:trPr>
        <w:tc>
          <w:tcPr>
            <w:tcW w:w="1253" w:type="pct"/>
            <w:tcBorders>
              <w:top w:val="nil"/>
              <w:left w:val="nil"/>
              <w:bottom w:val="nil"/>
              <w:right w:val="nil"/>
            </w:tcBorders>
            <w:shd w:val="clear" w:color="auto" w:fill="auto"/>
            <w:vAlign w:val="center"/>
            <w:hideMark/>
          </w:tcPr>
          <w:p w14:paraId="56A5CFAE"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Sector Financiero</w:t>
            </w:r>
          </w:p>
        </w:tc>
        <w:tc>
          <w:tcPr>
            <w:tcW w:w="328" w:type="pct"/>
            <w:tcBorders>
              <w:top w:val="nil"/>
              <w:left w:val="nil"/>
              <w:bottom w:val="nil"/>
              <w:right w:val="nil"/>
            </w:tcBorders>
            <w:shd w:val="clear" w:color="auto" w:fill="auto"/>
            <w:noWrap/>
            <w:vAlign w:val="center"/>
            <w:hideMark/>
          </w:tcPr>
          <w:p w14:paraId="321D2A1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8.563</w:t>
            </w:r>
          </w:p>
        </w:tc>
        <w:tc>
          <w:tcPr>
            <w:tcW w:w="78" w:type="pct"/>
            <w:tcBorders>
              <w:top w:val="nil"/>
              <w:left w:val="nil"/>
              <w:bottom w:val="nil"/>
              <w:right w:val="nil"/>
            </w:tcBorders>
            <w:shd w:val="clear" w:color="auto" w:fill="auto"/>
            <w:vAlign w:val="center"/>
            <w:hideMark/>
          </w:tcPr>
          <w:p w14:paraId="23E49311"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2EABD6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8.109</w:t>
            </w:r>
          </w:p>
        </w:tc>
        <w:tc>
          <w:tcPr>
            <w:tcW w:w="78" w:type="pct"/>
            <w:tcBorders>
              <w:top w:val="nil"/>
              <w:left w:val="nil"/>
              <w:bottom w:val="nil"/>
              <w:right w:val="nil"/>
            </w:tcBorders>
            <w:shd w:val="clear" w:color="auto" w:fill="auto"/>
            <w:vAlign w:val="center"/>
            <w:hideMark/>
          </w:tcPr>
          <w:p w14:paraId="5271FF06"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A516FC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7.416</w:t>
            </w:r>
          </w:p>
        </w:tc>
        <w:tc>
          <w:tcPr>
            <w:tcW w:w="78" w:type="pct"/>
            <w:tcBorders>
              <w:top w:val="nil"/>
              <w:left w:val="nil"/>
              <w:bottom w:val="nil"/>
              <w:right w:val="nil"/>
            </w:tcBorders>
            <w:shd w:val="clear" w:color="auto" w:fill="auto"/>
            <w:vAlign w:val="center"/>
            <w:hideMark/>
          </w:tcPr>
          <w:p w14:paraId="21393281"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A534E3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8.361</w:t>
            </w:r>
          </w:p>
        </w:tc>
        <w:tc>
          <w:tcPr>
            <w:tcW w:w="83" w:type="pct"/>
            <w:tcBorders>
              <w:top w:val="nil"/>
              <w:left w:val="nil"/>
              <w:bottom w:val="nil"/>
              <w:right w:val="nil"/>
            </w:tcBorders>
            <w:shd w:val="clear" w:color="auto" w:fill="auto"/>
            <w:noWrap/>
            <w:vAlign w:val="center"/>
            <w:hideMark/>
          </w:tcPr>
          <w:p w14:paraId="58EC552B"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7D8C2D8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6.394</w:t>
            </w:r>
          </w:p>
        </w:tc>
        <w:tc>
          <w:tcPr>
            <w:tcW w:w="79" w:type="pct"/>
            <w:tcBorders>
              <w:top w:val="nil"/>
              <w:left w:val="nil"/>
              <w:bottom w:val="nil"/>
              <w:right w:val="nil"/>
            </w:tcBorders>
            <w:shd w:val="clear" w:color="auto" w:fill="auto"/>
            <w:noWrap/>
            <w:vAlign w:val="center"/>
            <w:hideMark/>
          </w:tcPr>
          <w:p w14:paraId="05BABABB"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79A5DF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403</w:t>
            </w:r>
          </w:p>
        </w:tc>
        <w:tc>
          <w:tcPr>
            <w:tcW w:w="78" w:type="pct"/>
            <w:tcBorders>
              <w:top w:val="nil"/>
              <w:left w:val="nil"/>
              <w:bottom w:val="nil"/>
              <w:right w:val="nil"/>
            </w:tcBorders>
            <w:shd w:val="clear" w:color="auto" w:fill="auto"/>
            <w:vAlign w:val="center"/>
            <w:hideMark/>
          </w:tcPr>
          <w:p w14:paraId="2814ACBF"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C33DC3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6.385 </w:t>
            </w:r>
          </w:p>
        </w:tc>
        <w:tc>
          <w:tcPr>
            <w:tcW w:w="78" w:type="pct"/>
            <w:tcBorders>
              <w:top w:val="nil"/>
              <w:left w:val="nil"/>
              <w:bottom w:val="nil"/>
              <w:right w:val="nil"/>
            </w:tcBorders>
            <w:shd w:val="clear" w:color="auto" w:fill="auto"/>
            <w:vAlign w:val="center"/>
          </w:tcPr>
          <w:p w14:paraId="2C936EF0"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F13C1E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6.676</w:t>
            </w:r>
          </w:p>
        </w:tc>
        <w:tc>
          <w:tcPr>
            <w:tcW w:w="78" w:type="pct"/>
            <w:gridSpan w:val="2"/>
            <w:tcBorders>
              <w:top w:val="nil"/>
              <w:left w:val="nil"/>
              <w:bottom w:val="nil"/>
              <w:right w:val="nil"/>
            </w:tcBorders>
            <w:shd w:val="clear" w:color="auto" w:fill="auto"/>
            <w:vAlign w:val="center"/>
          </w:tcPr>
          <w:p w14:paraId="2403B203"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3CD0DBC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402 </w:t>
            </w:r>
          </w:p>
        </w:tc>
      </w:tr>
      <w:tr w:rsidR="003B5193" w:rsidRPr="00AE4E8D" w14:paraId="6355EFAF" w14:textId="77777777" w:rsidTr="00E8320E">
        <w:trPr>
          <w:trHeight w:val="210"/>
        </w:trPr>
        <w:tc>
          <w:tcPr>
            <w:tcW w:w="1253" w:type="pct"/>
            <w:tcBorders>
              <w:top w:val="nil"/>
              <w:left w:val="nil"/>
              <w:bottom w:val="nil"/>
              <w:right w:val="nil"/>
            </w:tcBorders>
            <w:shd w:val="clear" w:color="auto" w:fill="auto"/>
            <w:vAlign w:val="center"/>
            <w:hideMark/>
          </w:tcPr>
          <w:p w14:paraId="4E346752"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Sector Privado no Financiero y Residentes en el exterior</w:t>
            </w:r>
          </w:p>
        </w:tc>
        <w:tc>
          <w:tcPr>
            <w:tcW w:w="328" w:type="pct"/>
            <w:tcBorders>
              <w:top w:val="nil"/>
              <w:left w:val="nil"/>
              <w:bottom w:val="nil"/>
              <w:right w:val="nil"/>
            </w:tcBorders>
            <w:shd w:val="clear" w:color="auto" w:fill="auto"/>
            <w:noWrap/>
            <w:vAlign w:val="center"/>
          </w:tcPr>
          <w:p w14:paraId="4B6C94D9"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1F971D6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0350BB37"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4B2ACD93"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441D5AC5"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3530044B"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0E218B17" w14:textId="77777777" w:rsidR="0067329E" w:rsidRPr="00AE4E8D" w:rsidRDefault="0067329E" w:rsidP="00E8320E">
            <w:pPr>
              <w:spacing w:before="40" w:after="40"/>
              <w:jc w:val="right"/>
              <w:rPr>
                <w:rFonts w:ascii="Times New Roman" w:hAnsi="Times New Roman"/>
                <w:color w:val="000000"/>
                <w:sz w:val="16"/>
                <w:lang w:val="es-ES"/>
              </w:rPr>
            </w:pPr>
          </w:p>
        </w:tc>
        <w:tc>
          <w:tcPr>
            <w:tcW w:w="83" w:type="pct"/>
            <w:tcBorders>
              <w:top w:val="nil"/>
              <w:left w:val="nil"/>
              <w:bottom w:val="nil"/>
              <w:right w:val="nil"/>
            </w:tcBorders>
            <w:shd w:val="clear" w:color="auto" w:fill="auto"/>
            <w:noWrap/>
            <w:vAlign w:val="center"/>
          </w:tcPr>
          <w:p w14:paraId="37E19CAA"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tcPr>
          <w:p w14:paraId="6543FF25" w14:textId="77777777" w:rsidR="0067329E" w:rsidRPr="00AE4E8D" w:rsidRDefault="0067329E" w:rsidP="00E8320E">
            <w:pPr>
              <w:spacing w:before="40" w:after="40"/>
              <w:jc w:val="right"/>
              <w:rPr>
                <w:rFonts w:ascii="Times New Roman" w:hAnsi="Times New Roman"/>
                <w:color w:val="000000"/>
                <w:sz w:val="16"/>
                <w:lang w:val="es-ES"/>
              </w:rPr>
            </w:pPr>
          </w:p>
        </w:tc>
        <w:tc>
          <w:tcPr>
            <w:tcW w:w="79" w:type="pct"/>
            <w:tcBorders>
              <w:top w:val="nil"/>
              <w:left w:val="nil"/>
              <w:bottom w:val="nil"/>
              <w:right w:val="nil"/>
            </w:tcBorders>
            <w:shd w:val="clear" w:color="auto" w:fill="auto"/>
            <w:noWrap/>
            <w:vAlign w:val="center"/>
          </w:tcPr>
          <w:p w14:paraId="7CA02307"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tcPr>
          <w:p w14:paraId="266CB5A9"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3381E073"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88C5D44"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tcPr>
          <w:p w14:paraId="5BE2CA1A"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6701D77" w14:textId="77777777" w:rsidR="0067329E" w:rsidRPr="00AE4E8D" w:rsidRDefault="0067329E" w:rsidP="00E8320E">
            <w:pPr>
              <w:spacing w:before="40" w:after="40"/>
              <w:jc w:val="right"/>
              <w:rPr>
                <w:rFonts w:ascii="Times New Roman" w:hAnsi="Times New Roman"/>
                <w:color w:val="000000"/>
                <w:sz w:val="16"/>
                <w:lang w:val="es-ES"/>
              </w:rPr>
            </w:pPr>
          </w:p>
        </w:tc>
        <w:tc>
          <w:tcPr>
            <w:tcW w:w="78" w:type="pct"/>
            <w:gridSpan w:val="2"/>
            <w:tcBorders>
              <w:top w:val="nil"/>
              <w:left w:val="nil"/>
              <w:bottom w:val="nil"/>
              <w:right w:val="nil"/>
            </w:tcBorders>
            <w:shd w:val="clear" w:color="auto" w:fill="auto"/>
            <w:vAlign w:val="center"/>
          </w:tcPr>
          <w:p w14:paraId="362725CA"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6E17BC5" w14:textId="77777777" w:rsidR="0067329E" w:rsidRPr="00AE4E8D" w:rsidRDefault="0067329E" w:rsidP="00E8320E">
            <w:pPr>
              <w:spacing w:before="40" w:after="40"/>
              <w:jc w:val="right"/>
              <w:rPr>
                <w:rFonts w:ascii="Times New Roman" w:hAnsi="Times New Roman"/>
                <w:color w:val="000000"/>
                <w:sz w:val="16"/>
                <w:lang w:val="es-ES"/>
              </w:rPr>
            </w:pPr>
          </w:p>
        </w:tc>
      </w:tr>
      <w:tr w:rsidR="003B5193" w:rsidRPr="00AE4E8D" w14:paraId="017BFA7A" w14:textId="77777777" w:rsidTr="00E8320E">
        <w:trPr>
          <w:trHeight w:val="210"/>
        </w:trPr>
        <w:tc>
          <w:tcPr>
            <w:tcW w:w="1253" w:type="pct"/>
            <w:tcBorders>
              <w:top w:val="nil"/>
              <w:left w:val="nil"/>
              <w:bottom w:val="nil"/>
              <w:right w:val="nil"/>
            </w:tcBorders>
            <w:shd w:val="clear" w:color="auto" w:fill="auto"/>
            <w:vAlign w:val="center"/>
            <w:hideMark/>
          </w:tcPr>
          <w:p w14:paraId="72D8F279"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Cuentas Corrientes</w:t>
            </w:r>
          </w:p>
        </w:tc>
        <w:tc>
          <w:tcPr>
            <w:tcW w:w="328" w:type="pct"/>
            <w:tcBorders>
              <w:top w:val="nil"/>
              <w:left w:val="nil"/>
              <w:bottom w:val="nil"/>
              <w:right w:val="nil"/>
            </w:tcBorders>
            <w:shd w:val="clear" w:color="auto" w:fill="auto"/>
            <w:noWrap/>
            <w:vAlign w:val="center"/>
            <w:hideMark/>
          </w:tcPr>
          <w:p w14:paraId="07DB0D5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595.564</w:t>
            </w:r>
          </w:p>
        </w:tc>
        <w:tc>
          <w:tcPr>
            <w:tcW w:w="78" w:type="pct"/>
            <w:tcBorders>
              <w:top w:val="nil"/>
              <w:left w:val="nil"/>
              <w:bottom w:val="nil"/>
              <w:right w:val="nil"/>
            </w:tcBorders>
            <w:shd w:val="clear" w:color="auto" w:fill="auto"/>
            <w:vAlign w:val="center"/>
            <w:hideMark/>
          </w:tcPr>
          <w:p w14:paraId="799C509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CCBDC2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526.413</w:t>
            </w:r>
          </w:p>
        </w:tc>
        <w:tc>
          <w:tcPr>
            <w:tcW w:w="78" w:type="pct"/>
            <w:tcBorders>
              <w:top w:val="nil"/>
              <w:left w:val="nil"/>
              <w:bottom w:val="nil"/>
              <w:right w:val="nil"/>
            </w:tcBorders>
            <w:shd w:val="clear" w:color="auto" w:fill="auto"/>
            <w:vAlign w:val="center"/>
            <w:hideMark/>
          </w:tcPr>
          <w:p w14:paraId="33CAEDB0"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B0D411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760.533</w:t>
            </w:r>
          </w:p>
        </w:tc>
        <w:tc>
          <w:tcPr>
            <w:tcW w:w="78" w:type="pct"/>
            <w:tcBorders>
              <w:top w:val="nil"/>
              <w:left w:val="nil"/>
              <w:bottom w:val="nil"/>
              <w:right w:val="nil"/>
            </w:tcBorders>
            <w:shd w:val="clear" w:color="auto" w:fill="auto"/>
            <w:vAlign w:val="center"/>
            <w:hideMark/>
          </w:tcPr>
          <w:p w14:paraId="16870C7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5F6D7E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648.295</w:t>
            </w:r>
          </w:p>
        </w:tc>
        <w:tc>
          <w:tcPr>
            <w:tcW w:w="83" w:type="pct"/>
            <w:tcBorders>
              <w:top w:val="nil"/>
              <w:left w:val="nil"/>
              <w:bottom w:val="nil"/>
              <w:right w:val="nil"/>
            </w:tcBorders>
            <w:shd w:val="clear" w:color="auto" w:fill="auto"/>
            <w:noWrap/>
            <w:vAlign w:val="center"/>
            <w:hideMark/>
          </w:tcPr>
          <w:p w14:paraId="79C661A1"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4A9C691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881.421</w:t>
            </w:r>
          </w:p>
        </w:tc>
        <w:tc>
          <w:tcPr>
            <w:tcW w:w="79" w:type="pct"/>
            <w:tcBorders>
              <w:top w:val="nil"/>
              <w:left w:val="nil"/>
              <w:bottom w:val="nil"/>
              <w:right w:val="nil"/>
            </w:tcBorders>
            <w:shd w:val="clear" w:color="auto" w:fill="auto"/>
            <w:noWrap/>
            <w:vAlign w:val="center"/>
            <w:hideMark/>
          </w:tcPr>
          <w:p w14:paraId="6D780D63"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31A6891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55.609</w:t>
            </w:r>
          </w:p>
        </w:tc>
        <w:tc>
          <w:tcPr>
            <w:tcW w:w="78" w:type="pct"/>
            <w:tcBorders>
              <w:top w:val="nil"/>
              <w:left w:val="nil"/>
              <w:bottom w:val="nil"/>
              <w:right w:val="nil"/>
            </w:tcBorders>
            <w:shd w:val="clear" w:color="auto" w:fill="auto"/>
            <w:vAlign w:val="center"/>
            <w:hideMark/>
          </w:tcPr>
          <w:p w14:paraId="5CE660EB"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D20F33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653.078 </w:t>
            </w:r>
          </w:p>
        </w:tc>
        <w:tc>
          <w:tcPr>
            <w:tcW w:w="78" w:type="pct"/>
            <w:tcBorders>
              <w:top w:val="nil"/>
              <w:left w:val="nil"/>
              <w:bottom w:val="nil"/>
              <w:right w:val="nil"/>
            </w:tcBorders>
            <w:shd w:val="clear" w:color="auto" w:fill="auto"/>
            <w:vAlign w:val="center"/>
          </w:tcPr>
          <w:p w14:paraId="442012CC"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D7DF95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830.078</w:t>
            </w:r>
          </w:p>
        </w:tc>
        <w:tc>
          <w:tcPr>
            <w:tcW w:w="78" w:type="pct"/>
            <w:gridSpan w:val="2"/>
            <w:tcBorders>
              <w:top w:val="nil"/>
              <w:left w:val="nil"/>
              <w:bottom w:val="nil"/>
              <w:right w:val="nil"/>
            </w:tcBorders>
            <w:shd w:val="clear" w:color="auto" w:fill="auto"/>
            <w:vAlign w:val="center"/>
          </w:tcPr>
          <w:p w14:paraId="04D29722"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DFCACC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50.009 </w:t>
            </w:r>
          </w:p>
        </w:tc>
      </w:tr>
      <w:tr w:rsidR="003B5193" w:rsidRPr="00AE4E8D" w14:paraId="236F875D" w14:textId="77777777" w:rsidTr="00E8320E">
        <w:trPr>
          <w:trHeight w:val="210"/>
        </w:trPr>
        <w:tc>
          <w:tcPr>
            <w:tcW w:w="1253" w:type="pct"/>
            <w:tcBorders>
              <w:top w:val="nil"/>
              <w:left w:val="nil"/>
              <w:bottom w:val="nil"/>
              <w:right w:val="nil"/>
            </w:tcBorders>
            <w:shd w:val="clear" w:color="auto" w:fill="auto"/>
            <w:vAlign w:val="center"/>
            <w:hideMark/>
          </w:tcPr>
          <w:p w14:paraId="0C44BAB1"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Cajas de Ahorro</w:t>
            </w:r>
          </w:p>
        </w:tc>
        <w:tc>
          <w:tcPr>
            <w:tcW w:w="328" w:type="pct"/>
            <w:tcBorders>
              <w:top w:val="nil"/>
              <w:left w:val="nil"/>
              <w:bottom w:val="nil"/>
              <w:right w:val="nil"/>
            </w:tcBorders>
            <w:shd w:val="clear" w:color="auto" w:fill="auto"/>
            <w:noWrap/>
            <w:vAlign w:val="center"/>
            <w:hideMark/>
          </w:tcPr>
          <w:p w14:paraId="43BADDC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741.892</w:t>
            </w:r>
          </w:p>
        </w:tc>
        <w:tc>
          <w:tcPr>
            <w:tcW w:w="78" w:type="pct"/>
            <w:tcBorders>
              <w:top w:val="nil"/>
              <w:left w:val="nil"/>
              <w:bottom w:val="nil"/>
              <w:right w:val="nil"/>
            </w:tcBorders>
            <w:shd w:val="clear" w:color="auto" w:fill="auto"/>
            <w:vAlign w:val="center"/>
            <w:hideMark/>
          </w:tcPr>
          <w:p w14:paraId="72DA4F6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C25F8F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1.443.467</w:t>
            </w:r>
          </w:p>
        </w:tc>
        <w:tc>
          <w:tcPr>
            <w:tcW w:w="78" w:type="pct"/>
            <w:tcBorders>
              <w:top w:val="nil"/>
              <w:left w:val="nil"/>
              <w:bottom w:val="nil"/>
              <w:right w:val="nil"/>
            </w:tcBorders>
            <w:shd w:val="clear" w:color="auto" w:fill="auto"/>
            <w:vAlign w:val="center"/>
            <w:hideMark/>
          </w:tcPr>
          <w:p w14:paraId="17CDED6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21A87E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2.479.643</w:t>
            </w:r>
          </w:p>
        </w:tc>
        <w:tc>
          <w:tcPr>
            <w:tcW w:w="78" w:type="pct"/>
            <w:tcBorders>
              <w:top w:val="nil"/>
              <w:left w:val="nil"/>
              <w:bottom w:val="nil"/>
              <w:right w:val="nil"/>
            </w:tcBorders>
            <w:shd w:val="clear" w:color="auto" w:fill="auto"/>
            <w:vAlign w:val="center"/>
            <w:hideMark/>
          </w:tcPr>
          <w:p w14:paraId="5EDC74D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A7A763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2.502.529</w:t>
            </w:r>
          </w:p>
        </w:tc>
        <w:tc>
          <w:tcPr>
            <w:tcW w:w="83" w:type="pct"/>
            <w:tcBorders>
              <w:top w:val="nil"/>
              <w:left w:val="nil"/>
              <w:bottom w:val="nil"/>
              <w:right w:val="nil"/>
            </w:tcBorders>
            <w:shd w:val="clear" w:color="auto" w:fill="auto"/>
            <w:noWrap/>
            <w:vAlign w:val="center"/>
            <w:hideMark/>
          </w:tcPr>
          <w:p w14:paraId="57158188"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6F1713A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3.329.855</w:t>
            </w:r>
          </w:p>
        </w:tc>
        <w:tc>
          <w:tcPr>
            <w:tcW w:w="79" w:type="pct"/>
            <w:tcBorders>
              <w:top w:val="nil"/>
              <w:left w:val="nil"/>
              <w:bottom w:val="nil"/>
              <w:right w:val="nil"/>
            </w:tcBorders>
            <w:shd w:val="clear" w:color="auto" w:fill="auto"/>
            <w:noWrap/>
            <w:vAlign w:val="center"/>
            <w:hideMark/>
          </w:tcPr>
          <w:p w14:paraId="635AA272"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2716DE1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210.083</w:t>
            </w:r>
          </w:p>
        </w:tc>
        <w:tc>
          <w:tcPr>
            <w:tcW w:w="78" w:type="pct"/>
            <w:tcBorders>
              <w:top w:val="nil"/>
              <w:left w:val="nil"/>
              <w:bottom w:val="nil"/>
              <w:right w:val="nil"/>
            </w:tcBorders>
            <w:shd w:val="clear" w:color="auto" w:fill="auto"/>
            <w:vAlign w:val="center"/>
            <w:hideMark/>
          </w:tcPr>
          <w:p w14:paraId="3352B055"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6438B8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2.848.403 </w:t>
            </w:r>
          </w:p>
        </w:tc>
        <w:tc>
          <w:tcPr>
            <w:tcW w:w="78" w:type="pct"/>
            <w:tcBorders>
              <w:top w:val="nil"/>
              <w:left w:val="nil"/>
              <w:bottom w:val="nil"/>
              <w:right w:val="nil"/>
            </w:tcBorders>
            <w:shd w:val="clear" w:color="auto" w:fill="auto"/>
            <w:vAlign w:val="center"/>
          </w:tcPr>
          <w:p w14:paraId="684C0A3D"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831A45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4.099.010</w:t>
            </w:r>
          </w:p>
        </w:tc>
        <w:tc>
          <w:tcPr>
            <w:tcW w:w="78" w:type="pct"/>
            <w:gridSpan w:val="2"/>
            <w:tcBorders>
              <w:top w:val="nil"/>
              <w:left w:val="nil"/>
              <w:bottom w:val="nil"/>
              <w:right w:val="nil"/>
            </w:tcBorders>
            <w:shd w:val="clear" w:color="auto" w:fill="auto"/>
            <w:vAlign w:val="center"/>
          </w:tcPr>
          <w:p w14:paraId="337AAA2C"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3DF2A8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246.951 </w:t>
            </w:r>
          </w:p>
        </w:tc>
      </w:tr>
      <w:tr w:rsidR="003B5193" w:rsidRPr="00AE4E8D" w14:paraId="63FA559F" w14:textId="77777777" w:rsidTr="00E8320E">
        <w:trPr>
          <w:trHeight w:val="210"/>
        </w:trPr>
        <w:tc>
          <w:tcPr>
            <w:tcW w:w="1253" w:type="pct"/>
            <w:tcBorders>
              <w:top w:val="nil"/>
              <w:left w:val="nil"/>
              <w:bottom w:val="nil"/>
              <w:right w:val="nil"/>
            </w:tcBorders>
            <w:shd w:val="clear" w:color="auto" w:fill="auto"/>
            <w:vAlign w:val="center"/>
            <w:hideMark/>
          </w:tcPr>
          <w:p w14:paraId="08A8BA1A"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Plazo Fijo</w:t>
            </w:r>
          </w:p>
        </w:tc>
        <w:tc>
          <w:tcPr>
            <w:tcW w:w="328" w:type="pct"/>
            <w:tcBorders>
              <w:top w:val="nil"/>
              <w:left w:val="nil"/>
              <w:bottom w:val="nil"/>
              <w:right w:val="nil"/>
            </w:tcBorders>
            <w:shd w:val="clear" w:color="auto" w:fill="auto"/>
            <w:noWrap/>
            <w:vAlign w:val="center"/>
            <w:hideMark/>
          </w:tcPr>
          <w:p w14:paraId="4BF83D9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3.355.131</w:t>
            </w:r>
          </w:p>
        </w:tc>
        <w:tc>
          <w:tcPr>
            <w:tcW w:w="78" w:type="pct"/>
            <w:tcBorders>
              <w:top w:val="nil"/>
              <w:left w:val="nil"/>
              <w:bottom w:val="nil"/>
              <w:right w:val="nil"/>
            </w:tcBorders>
            <w:shd w:val="clear" w:color="auto" w:fill="auto"/>
            <w:vAlign w:val="center"/>
            <w:hideMark/>
          </w:tcPr>
          <w:p w14:paraId="0D5F3135"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7EF7AF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4.265.680</w:t>
            </w:r>
          </w:p>
        </w:tc>
        <w:tc>
          <w:tcPr>
            <w:tcW w:w="78" w:type="pct"/>
            <w:tcBorders>
              <w:top w:val="nil"/>
              <w:left w:val="nil"/>
              <w:bottom w:val="nil"/>
              <w:right w:val="nil"/>
            </w:tcBorders>
            <w:shd w:val="clear" w:color="auto" w:fill="auto"/>
            <w:vAlign w:val="center"/>
            <w:hideMark/>
          </w:tcPr>
          <w:p w14:paraId="594C74B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525C83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4.983.820</w:t>
            </w:r>
          </w:p>
        </w:tc>
        <w:tc>
          <w:tcPr>
            <w:tcW w:w="78" w:type="pct"/>
            <w:tcBorders>
              <w:top w:val="nil"/>
              <w:left w:val="nil"/>
              <w:bottom w:val="nil"/>
              <w:right w:val="nil"/>
            </w:tcBorders>
            <w:shd w:val="clear" w:color="auto" w:fill="auto"/>
            <w:vAlign w:val="center"/>
            <w:hideMark/>
          </w:tcPr>
          <w:p w14:paraId="75801531"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DB9DFC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8.489.757</w:t>
            </w:r>
          </w:p>
        </w:tc>
        <w:tc>
          <w:tcPr>
            <w:tcW w:w="83" w:type="pct"/>
            <w:tcBorders>
              <w:top w:val="nil"/>
              <w:left w:val="nil"/>
              <w:bottom w:val="nil"/>
              <w:right w:val="nil"/>
            </w:tcBorders>
            <w:shd w:val="clear" w:color="auto" w:fill="auto"/>
            <w:noWrap/>
            <w:vAlign w:val="center"/>
            <w:hideMark/>
          </w:tcPr>
          <w:p w14:paraId="6EC9B8C4"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4BC2263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10.613.088</w:t>
            </w:r>
          </w:p>
        </w:tc>
        <w:tc>
          <w:tcPr>
            <w:tcW w:w="79" w:type="pct"/>
            <w:tcBorders>
              <w:top w:val="nil"/>
              <w:left w:val="nil"/>
              <w:bottom w:val="nil"/>
              <w:right w:val="nil"/>
            </w:tcBorders>
            <w:shd w:val="clear" w:color="auto" w:fill="auto"/>
            <w:noWrap/>
            <w:vAlign w:val="center"/>
            <w:hideMark/>
          </w:tcPr>
          <w:p w14:paraId="72422037"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DDADC4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669.587</w:t>
            </w:r>
          </w:p>
        </w:tc>
        <w:tc>
          <w:tcPr>
            <w:tcW w:w="78" w:type="pct"/>
            <w:tcBorders>
              <w:top w:val="nil"/>
              <w:left w:val="nil"/>
              <w:bottom w:val="nil"/>
              <w:right w:val="nil"/>
            </w:tcBorders>
            <w:shd w:val="clear" w:color="auto" w:fill="auto"/>
            <w:vAlign w:val="center"/>
            <w:hideMark/>
          </w:tcPr>
          <w:p w14:paraId="0042A622"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7EC1B5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9.385.282 </w:t>
            </w:r>
          </w:p>
        </w:tc>
        <w:tc>
          <w:tcPr>
            <w:tcW w:w="78" w:type="pct"/>
            <w:tcBorders>
              <w:top w:val="nil"/>
              <w:left w:val="nil"/>
              <w:bottom w:val="nil"/>
              <w:right w:val="nil"/>
            </w:tcBorders>
            <w:shd w:val="clear" w:color="auto" w:fill="auto"/>
            <w:vAlign w:val="center"/>
          </w:tcPr>
          <w:p w14:paraId="57E1291A"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73F2AC8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10.542.773</w:t>
            </w:r>
          </w:p>
        </w:tc>
        <w:tc>
          <w:tcPr>
            <w:tcW w:w="78" w:type="pct"/>
            <w:gridSpan w:val="2"/>
            <w:tcBorders>
              <w:top w:val="nil"/>
              <w:left w:val="nil"/>
              <w:bottom w:val="nil"/>
              <w:right w:val="nil"/>
            </w:tcBorders>
            <w:shd w:val="clear" w:color="auto" w:fill="auto"/>
            <w:vAlign w:val="center"/>
          </w:tcPr>
          <w:p w14:paraId="3FD0D004"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8C90CB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635.164 </w:t>
            </w:r>
          </w:p>
        </w:tc>
      </w:tr>
      <w:tr w:rsidR="003B5193" w:rsidRPr="00AE4E8D" w14:paraId="44F82947" w14:textId="77777777" w:rsidTr="00E8320E">
        <w:trPr>
          <w:trHeight w:val="210"/>
        </w:trPr>
        <w:tc>
          <w:tcPr>
            <w:tcW w:w="1253" w:type="pct"/>
            <w:tcBorders>
              <w:top w:val="nil"/>
              <w:left w:val="nil"/>
              <w:bottom w:val="nil"/>
              <w:right w:val="nil"/>
            </w:tcBorders>
            <w:shd w:val="clear" w:color="auto" w:fill="auto"/>
            <w:vAlign w:val="center"/>
            <w:hideMark/>
          </w:tcPr>
          <w:p w14:paraId="15B39FFD"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Cuentas de Inversión</w:t>
            </w:r>
          </w:p>
        </w:tc>
        <w:tc>
          <w:tcPr>
            <w:tcW w:w="328" w:type="pct"/>
            <w:tcBorders>
              <w:top w:val="nil"/>
              <w:left w:val="nil"/>
              <w:bottom w:val="nil"/>
              <w:right w:val="nil"/>
            </w:tcBorders>
            <w:shd w:val="clear" w:color="auto" w:fill="auto"/>
            <w:noWrap/>
            <w:vAlign w:val="center"/>
            <w:hideMark/>
          </w:tcPr>
          <w:p w14:paraId="270D5D9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160.035</w:t>
            </w:r>
          </w:p>
        </w:tc>
        <w:tc>
          <w:tcPr>
            <w:tcW w:w="78" w:type="pct"/>
            <w:tcBorders>
              <w:top w:val="nil"/>
              <w:left w:val="nil"/>
              <w:bottom w:val="nil"/>
              <w:right w:val="nil"/>
            </w:tcBorders>
            <w:shd w:val="clear" w:color="auto" w:fill="auto"/>
            <w:vAlign w:val="center"/>
            <w:hideMark/>
          </w:tcPr>
          <w:p w14:paraId="46CD2C6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82E03A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304.241</w:t>
            </w:r>
          </w:p>
        </w:tc>
        <w:tc>
          <w:tcPr>
            <w:tcW w:w="78" w:type="pct"/>
            <w:tcBorders>
              <w:top w:val="nil"/>
              <w:left w:val="nil"/>
              <w:bottom w:val="nil"/>
              <w:right w:val="nil"/>
            </w:tcBorders>
            <w:shd w:val="clear" w:color="auto" w:fill="auto"/>
            <w:vAlign w:val="center"/>
            <w:hideMark/>
          </w:tcPr>
          <w:p w14:paraId="284EDE08"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4A8B3D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713.438</w:t>
            </w:r>
          </w:p>
        </w:tc>
        <w:tc>
          <w:tcPr>
            <w:tcW w:w="78" w:type="pct"/>
            <w:tcBorders>
              <w:top w:val="nil"/>
              <w:left w:val="nil"/>
              <w:bottom w:val="nil"/>
              <w:right w:val="nil"/>
            </w:tcBorders>
            <w:shd w:val="clear" w:color="auto" w:fill="auto"/>
            <w:vAlign w:val="center"/>
            <w:hideMark/>
          </w:tcPr>
          <w:p w14:paraId="0709391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7E11C4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1.550.115</w:t>
            </w:r>
          </w:p>
        </w:tc>
        <w:tc>
          <w:tcPr>
            <w:tcW w:w="83" w:type="pct"/>
            <w:tcBorders>
              <w:top w:val="nil"/>
              <w:left w:val="nil"/>
              <w:bottom w:val="nil"/>
              <w:right w:val="nil"/>
            </w:tcBorders>
            <w:shd w:val="clear" w:color="auto" w:fill="auto"/>
            <w:noWrap/>
            <w:vAlign w:val="center"/>
            <w:hideMark/>
          </w:tcPr>
          <w:p w14:paraId="6206843E"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F0C1E0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1.013.895</w:t>
            </w:r>
          </w:p>
        </w:tc>
        <w:tc>
          <w:tcPr>
            <w:tcW w:w="79" w:type="pct"/>
            <w:tcBorders>
              <w:top w:val="nil"/>
              <w:left w:val="nil"/>
              <w:bottom w:val="nil"/>
              <w:right w:val="nil"/>
            </w:tcBorders>
            <w:shd w:val="clear" w:color="auto" w:fill="auto"/>
            <w:noWrap/>
            <w:vAlign w:val="center"/>
            <w:hideMark/>
          </w:tcPr>
          <w:p w14:paraId="7EE9EFA0"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F9AC69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63.967</w:t>
            </w:r>
          </w:p>
        </w:tc>
        <w:tc>
          <w:tcPr>
            <w:tcW w:w="78" w:type="pct"/>
            <w:tcBorders>
              <w:top w:val="nil"/>
              <w:left w:val="nil"/>
              <w:bottom w:val="nil"/>
              <w:right w:val="nil"/>
            </w:tcBorders>
            <w:shd w:val="clear" w:color="auto" w:fill="auto"/>
            <w:vAlign w:val="center"/>
            <w:hideMark/>
          </w:tcPr>
          <w:p w14:paraId="1FC12CE7"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50E46D9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944.845 </w:t>
            </w:r>
          </w:p>
        </w:tc>
        <w:tc>
          <w:tcPr>
            <w:tcW w:w="78" w:type="pct"/>
            <w:tcBorders>
              <w:top w:val="nil"/>
              <w:left w:val="nil"/>
              <w:bottom w:val="nil"/>
              <w:right w:val="nil"/>
            </w:tcBorders>
            <w:shd w:val="clear" w:color="auto" w:fill="auto"/>
            <w:vAlign w:val="center"/>
          </w:tcPr>
          <w:p w14:paraId="664DF5C0"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57D9BF2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1.108.741</w:t>
            </w:r>
          </w:p>
        </w:tc>
        <w:tc>
          <w:tcPr>
            <w:tcW w:w="78" w:type="pct"/>
            <w:gridSpan w:val="2"/>
            <w:tcBorders>
              <w:top w:val="nil"/>
              <w:left w:val="nil"/>
              <w:bottom w:val="nil"/>
              <w:right w:val="nil"/>
            </w:tcBorders>
            <w:shd w:val="clear" w:color="auto" w:fill="auto"/>
            <w:vAlign w:val="center"/>
          </w:tcPr>
          <w:p w14:paraId="57875DC3"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F24E1D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66.798 </w:t>
            </w:r>
          </w:p>
        </w:tc>
      </w:tr>
      <w:tr w:rsidR="003B5193" w:rsidRPr="00AE4E8D" w14:paraId="22C9DDF3" w14:textId="77777777" w:rsidTr="00E8320E">
        <w:trPr>
          <w:trHeight w:val="210"/>
        </w:trPr>
        <w:tc>
          <w:tcPr>
            <w:tcW w:w="1253" w:type="pct"/>
            <w:tcBorders>
              <w:top w:val="nil"/>
              <w:left w:val="nil"/>
              <w:bottom w:val="nil"/>
              <w:right w:val="nil"/>
            </w:tcBorders>
            <w:shd w:val="clear" w:color="auto" w:fill="auto"/>
            <w:vAlign w:val="center"/>
            <w:hideMark/>
          </w:tcPr>
          <w:p w14:paraId="7F546986"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Otros</w:t>
            </w:r>
          </w:p>
        </w:tc>
        <w:tc>
          <w:tcPr>
            <w:tcW w:w="328" w:type="pct"/>
            <w:tcBorders>
              <w:top w:val="nil"/>
              <w:left w:val="nil"/>
              <w:bottom w:val="nil"/>
              <w:right w:val="nil"/>
            </w:tcBorders>
            <w:shd w:val="clear" w:color="auto" w:fill="auto"/>
            <w:noWrap/>
            <w:vAlign w:val="center"/>
            <w:hideMark/>
          </w:tcPr>
          <w:p w14:paraId="646126A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101.650</w:t>
            </w:r>
          </w:p>
        </w:tc>
        <w:tc>
          <w:tcPr>
            <w:tcW w:w="78" w:type="pct"/>
            <w:tcBorders>
              <w:top w:val="nil"/>
              <w:left w:val="nil"/>
              <w:bottom w:val="nil"/>
              <w:right w:val="nil"/>
            </w:tcBorders>
            <w:shd w:val="clear" w:color="auto" w:fill="auto"/>
            <w:vAlign w:val="center"/>
            <w:hideMark/>
          </w:tcPr>
          <w:p w14:paraId="7E13A628"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2DA4B2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126.748</w:t>
            </w:r>
          </w:p>
        </w:tc>
        <w:tc>
          <w:tcPr>
            <w:tcW w:w="78" w:type="pct"/>
            <w:tcBorders>
              <w:top w:val="nil"/>
              <w:left w:val="nil"/>
              <w:bottom w:val="nil"/>
              <w:right w:val="nil"/>
            </w:tcBorders>
            <w:shd w:val="clear" w:color="auto" w:fill="auto"/>
            <w:vAlign w:val="center"/>
            <w:hideMark/>
          </w:tcPr>
          <w:p w14:paraId="1B823CD6"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E64A88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156.068</w:t>
            </w:r>
          </w:p>
        </w:tc>
        <w:tc>
          <w:tcPr>
            <w:tcW w:w="78" w:type="pct"/>
            <w:tcBorders>
              <w:top w:val="nil"/>
              <w:left w:val="nil"/>
              <w:bottom w:val="nil"/>
              <w:right w:val="nil"/>
            </w:tcBorders>
            <w:shd w:val="clear" w:color="auto" w:fill="auto"/>
            <w:vAlign w:val="center"/>
            <w:hideMark/>
          </w:tcPr>
          <w:p w14:paraId="26A1DAC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A538DE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171.906</w:t>
            </w:r>
          </w:p>
        </w:tc>
        <w:tc>
          <w:tcPr>
            <w:tcW w:w="83" w:type="pct"/>
            <w:tcBorders>
              <w:top w:val="nil"/>
              <w:left w:val="nil"/>
              <w:bottom w:val="nil"/>
              <w:right w:val="nil"/>
            </w:tcBorders>
            <w:shd w:val="clear" w:color="auto" w:fill="auto"/>
            <w:noWrap/>
            <w:vAlign w:val="center"/>
            <w:hideMark/>
          </w:tcPr>
          <w:p w14:paraId="627820A0"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588731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318.055</w:t>
            </w:r>
          </w:p>
        </w:tc>
        <w:tc>
          <w:tcPr>
            <w:tcW w:w="79" w:type="pct"/>
            <w:tcBorders>
              <w:top w:val="nil"/>
              <w:left w:val="nil"/>
              <w:bottom w:val="nil"/>
              <w:right w:val="nil"/>
            </w:tcBorders>
            <w:shd w:val="clear" w:color="auto" w:fill="auto"/>
            <w:noWrap/>
            <w:vAlign w:val="center"/>
            <w:hideMark/>
          </w:tcPr>
          <w:p w14:paraId="4EB31DF4"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890FE1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20.066</w:t>
            </w:r>
          </w:p>
        </w:tc>
        <w:tc>
          <w:tcPr>
            <w:tcW w:w="78" w:type="pct"/>
            <w:tcBorders>
              <w:top w:val="nil"/>
              <w:left w:val="nil"/>
              <w:bottom w:val="nil"/>
              <w:right w:val="nil"/>
            </w:tcBorders>
            <w:shd w:val="clear" w:color="auto" w:fill="auto"/>
            <w:vAlign w:val="center"/>
            <w:hideMark/>
          </w:tcPr>
          <w:p w14:paraId="7D71B4FD"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E3943E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167.199 </w:t>
            </w:r>
          </w:p>
        </w:tc>
        <w:tc>
          <w:tcPr>
            <w:tcW w:w="78" w:type="pct"/>
            <w:tcBorders>
              <w:top w:val="nil"/>
              <w:left w:val="nil"/>
              <w:bottom w:val="nil"/>
              <w:right w:val="nil"/>
            </w:tcBorders>
            <w:shd w:val="clear" w:color="auto" w:fill="auto"/>
            <w:vAlign w:val="center"/>
          </w:tcPr>
          <w:p w14:paraId="45EF91DF"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2BBE96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238.943</w:t>
            </w:r>
          </w:p>
        </w:tc>
        <w:tc>
          <w:tcPr>
            <w:tcW w:w="78" w:type="pct"/>
            <w:gridSpan w:val="2"/>
            <w:tcBorders>
              <w:top w:val="nil"/>
              <w:left w:val="nil"/>
              <w:bottom w:val="nil"/>
              <w:right w:val="nil"/>
            </w:tcBorders>
            <w:shd w:val="clear" w:color="auto" w:fill="auto"/>
            <w:vAlign w:val="center"/>
          </w:tcPr>
          <w:p w14:paraId="4DF5387B"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5384A56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14.395 </w:t>
            </w:r>
          </w:p>
        </w:tc>
      </w:tr>
      <w:tr w:rsidR="003B5193" w:rsidRPr="00AE4E8D" w14:paraId="02E5FE2E" w14:textId="77777777" w:rsidTr="00E8320E">
        <w:trPr>
          <w:trHeight w:val="223"/>
        </w:trPr>
        <w:tc>
          <w:tcPr>
            <w:tcW w:w="1253" w:type="pct"/>
            <w:tcBorders>
              <w:top w:val="nil"/>
              <w:left w:val="nil"/>
              <w:bottom w:val="nil"/>
              <w:right w:val="nil"/>
            </w:tcBorders>
            <w:shd w:val="clear" w:color="auto" w:fill="auto"/>
            <w:vAlign w:val="center"/>
            <w:hideMark/>
          </w:tcPr>
          <w:p w14:paraId="355466FB"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Intereses y diferencias de cotización a pagar</w:t>
            </w:r>
          </w:p>
        </w:tc>
        <w:tc>
          <w:tcPr>
            <w:tcW w:w="328" w:type="pct"/>
            <w:tcBorders>
              <w:top w:val="nil"/>
              <w:left w:val="nil"/>
              <w:bottom w:val="single" w:sz="8" w:space="0" w:color="auto"/>
              <w:right w:val="nil"/>
            </w:tcBorders>
            <w:shd w:val="clear" w:color="auto" w:fill="auto"/>
            <w:noWrap/>
            <w:vAlign w:val="center"/>
            <w:hideMark/>
          </w:tcPr>
          <w:p w14:paraId="01FF6B6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57.402</w:t>
            </w:r>
          </w:p>
        </w:tc>
        <w:tc>
          <w:tcPr>
            <w:tcW w:w="78" w:type="pct"/>
            <w:tcBorders>
              <w:top w:val="nil"/>
              <w:left w:val="nil"/>
              <w:bottom w:val="nil"/>
              <w:right w:val="nil"/>
            </w:tcBorders>
            <w:shd w:val="clear" w:color="auto" w:fill="auto"/>
            <w:vAlign w:val="center"/>
            <w:hideMark/>
          </w:tcPr>
          <w:p w14:paraId="3EC7F515"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1811F5FC"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72.327</w:t>
            </w:r>
          </w:p>
        </w:tc>
        <w:tc>
          <w:tcPr>
            <w:tcW w:w="78" w:type="pct"/>
            <w:tcBorders>
              <w:top w:val="nil"/>
              <w:left w:val="nil"/>
              <w:bottom w:val="nil"/>
              <w:right w:val="nil"/>
            </w:tcBorders>
            <w:shd w:val="clear" w:color="auto" w:fill="auto"/>
            <w:vAlign w:val="center"/>
            <w:hideMark/>
          </w:tcPr>
          <w:p w14:paraId="04167661"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6CC812B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132.373</w:t>
            </w:r>
          </w:p>
        </w:tc>
        <w:tc>
          <w:tcPr>
            <w:tcW w:w="78" w:type="pct"/>
            <w:tcBorders>
              <w:top w:val="nil"/>
              <w:left w:val="nil"/>
              <w:bottom w:val="nil"/>
              <w:right w:val="nil"/>
            </w:tcBorders>
            <w:shd w:val="clear" w:color="auto" w:fill="auto"/>
            <w:vAlign w:val="center"/>
            <w:hideMark/>
          </w:tcPr>
          <w:p w14:paraId="52821DF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64C55F5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201.293</w:t>
            </w:r>
          </w:p>
        </w:tc>
        <w:tc>
          <w:tcPr>
            <w:tcW w:w="83" w:type="pct"/>
            <w:tcBorders>
              <w:top w:val="nil"/>
              <w:left w:val="nil"/>
              <w:bottom w:val="nil"/>
              <w:right w:val="nil"/>
            </w:tcBorders>
            <w:shd w:val="clear" w:color="auto" w:fill="auto"/>
            <w:noWrap/>
            <w:vAlign w:val="center"/>
            <w:hideMark/>
          </w:tcPr>
          <w:p w14:paraId="02E7135A"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single" w:sz="8" w:space="0" w:color="auto"/>
              <w:right w:val="nil"/>
            </w:tcBorders>
            <w:shd w:val="clear" w:color="auto" w:fill="auto"/>
            <w:noWrap/>
            <w:vAlign w:val="center"/>
            <w:hideMark/>
          </w:tcPr>
          <w:p w14:paraId="75DE248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285.448</w:t>
            </w:r>
          </w:p>
        </w:tc>
        <w:tc>
          <w:tcPr>
            <w:tcW w:w="79" w:type="pct"/>
            <w:tcBorders>
              <w:top w:val="nil"/>
              <w:left w:val="nil"/>
              <w:bottom w:val="nil"/>
              <w:right w:val="nil"/>
            </w:tcBorders>
            <w:shd w:val="clear" w:color="auto" w:fill="auto"/>
            <w:noWrap/>
            <w:vAlign w:val="center"/>
            <w:hideMark/>
          </w:tcPr>
          <w:p w14:paraId="662B6DA3"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single" w:sz="8" w:space="0" w:color="auto"/>
              <w:right w:val="nil"/>
            </w:tcBorders>
            <w:shd w:val="clear" w:color="auto" w:fill="auto"/>
            <w:noWrap/>
            <w:vAlign w:val="center"/>
            <w:hideMark/>
          </w:tcPr>
          <w:p w14:paraId="2B19F20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18.009</w:t>
            </w:r>
          </w:p>
        </w:tc>
        <w:tc>
          <w:tcPr>
            <w:tcW w:w="78" w:type="pct"/>
            <w:tcBorders>
              <w:top w:val="nil"/>
              <w:left w:val="nil"/>
              <w:bottom w:val="nil"/>
              <w:right w:val="nil"/>
            </w:tcBorders>
            <w:shd w:val="clear" w:color="auto" w:fill="auto"/>
            <w:vAlign w:val="center"/>
            <w:hideMark/>
          </w:tcPr>
          <w:p w14:paraId="1D672BB9"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single" w:sz="8" w:space="0" w:color="auto"/>
              <w:right w:val="nil"/>
            </w:tcBorders>
            <w:shd w:val="clear" w:color="auto" w:fill="auto"/>
            <w:vAlign w:val="center"/>
          </w:tcPr>
          <w:p w14:paraId="1A0513A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253.473 </w:t>
            </w:r>
          </w:p>
        </w:tc>
        <w:tc>
          <w:tcPr>
            <w:tcW w:w="78" w:type="pct"/>
            <w:tcBorders>
              <w:top w:val="nil"/>
              <w:left w:val="nil"/>
              <w:bottom w:val="nil"/>
              <w:right w:val="nil"/>
            </w:tcBorders>
            <w:shd w:val="clear" w:color="auto" w:fill="auto"/>
            <w:vAlign w:val="center"/>
          </w:tcPr>
          <w:p w14:paraId="4FCEBC89"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single" w:sz="8" w:space="0" w:color="auto"/>
              <w:right w:val="nil"/>
            </w:tcBorders>
            <w:shd w:val="clear" w:color="auto" w:fill="auto"/>
            <w:vAlign w:val="center"/>
          </w:tcPr>
          <w:p w14:paraId="4923C4B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202.978</w:t>
            </w:r>
          </w:p>
        </w:tc>
        <w:tc>
          <w:tcPr>
            <w:tcW w:w="78" w:type="pct"/>
            <w:gridSpan w:val="2"/>
            <w:tcBorders>
              <w:top w:val="nil"/>
              <w:left w:val="nil"/>
              <w:bottom w:val="nil"/>
              <w:right w:val="nil"/>
            </w:tcBorders>
            <w:shd w:val="clear" w:color="auto" w:fill="auto"/>
            <w:vAlign w:val="center"/>
          </w:tcPr>
          <w:p w14:paraId="7C3D6382"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single" w:sz="8" w:space="0" w:color="auto"/>
              <w:right w:val="nil"/>
            </w:tcBorders>
            <w:shd w:val="clear" w:color="auto" w:fill="auto"/>
            <w:vAlign w:val="center"/>
          </w:tcPr>
          <w:p w14:paraId="5A1F6EA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12.229 </w:t>
            </w:r>
          </w:p>
        </w:tc>
      </w:tr>
      <w:tr w:rsidR="003B5193" w:rsidRPr="00AE4E8D" w14:paraId="4E9C2F3A" w14:textId="77777777" w:rsidTr="00E8320E">
        <w:trPr>
          <w:trHeight w:val="210"/>
        </w:trPr>
        <w:tc>
          <w:tcPr>
            <w:tcW w:w="1253" w:type="pct"/>
            <w:tcBorders>
              <w:top w:val="nil"/>
              <w:left w:val="nil"/>
              <w:bottom w:val="nil"/>
              <w:right w:val="nil"/>
            </w:tcBorders>
            <w:shd w:val="clear" w:color="auto" w:fill="auto"/>
            <w:noWrap/>
            <w:vAlign w:val="center"/>
          </w:tcPr>
          <w:p w14:paraId="4C54CC94"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Total Sector Privado no Financiero y Residentes en el exterior</w:t>
            </w:r>
          </w:p>
        </w:tc>
        <w:tc>
          <w:tcPr>
            <w:tcW w:w="328" w:type="pct"/>
            <w:tcBorders>
              <w:top w:val="nil"/>
              <w:left w:val="nil"/>
              <w:bottom w:val="nil"/>
              <w:right w:val="nil"/>
            </w:tcBorders>
            <w:shd w:val="clear" w:color="auto" w:fill="auto"/>
            <w:noWrap/>
            <w:vAlign w:val="center"/>
          </w:tcPr>
          <w:p w14:paraId="6C39278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5.011.674</w:t>
            </w:r>
          </w:p>
        </w:tc>
        <w:tc>
          <w:tcPr>
            <w:tcW w:w="78" w:type="pct"/>
            <w:tcBorders>
              <w:top w:val="nil"/>
              <w:left w:val="nil"/>
              <w:bottom w:val="nil"/>
              <w:right w:val="nil"/>
            </w:tcBorders>
            <w:shd w:val="clear" w:color="auto" w:fill="auto"/>
            <w:vAlign w:val="center"/>
          </w:tcPr>
          <w:p w14:paraId="67AD534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7F5FEB4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6.738.876</w:t>
            </w:r>
          </w:p>
        </w:tc>
        <w:tc>
          <w:tcPr>
            <w:tcW w:w="78" w:type="pct"/>
            <w:tcBorders>
              <w:top w:val="nil"/>
              <w:left w:val="nil"/>
              <w:bottom w:val="nil"/>
              <w:right w:val="nil"/>
            </w:tcBorders>
            <w:shd w:val="clear" w:color="auto" w:fill="auto"/>
            <w:vAlign w:val="center"/>
          </w:tcPr>
          <w:p w14:paraId="1DD12C7A"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7CA4149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9.225.875</w:t>
            </w:r>
          </w:p>
        </w:tc>
        <w:tc>
          <w:tcPr>
            <w:tcW w:w="78" w:type="pct"/>
            <w:tcBorders>
              <w:top w:val="nil"/>
              <w:left w:val="nil"/>
              <w:bottom w:val="nil"/>
              <w:right w:val="nil"/>
            </w:tcBorders>
            <w:shd w:val="clear" w:color="auto" w:fill="auto"/>
            <w:vAlign w:val="center"/>
          </w:tcPr>
          <w:p w14:paraId="3DB5ED1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tcPr>
          <w:p w14:paraId="07568E3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13.563.895</w:t>
            </w:r>
          </w:p>
        </w:tc>
        <w:tc>
          <w:tcPr>
            <w:tcW w:w="83" w:type="pct"/>
            <w:tcBorders>
              <w:top w:val="nil"/>
              <w:left w:val="nil"/>
              <w:bottom w:val="nil"/>
              <w:right w:val="nil"/>
            </w:tcBorders>
            <w:shd w:val="clear" w:color="auto" w:fill="auto"/>
            <w:noWrap/>
            <w:vAlign w:val="center"/>
          </w:tcPr>
          <w:p w14:paraId="1E9A8031"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tcPr>
          <w:p w14:paraId="283491B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16.441.762</w:t>
            </w:r>
          </w:p>
        </w:tc>
        <w:tc>
          <w:tcPr>
            <w:tcW w:w="79" w:type="pct"/>
            <w:tcBorders>
              <w:top w:val="nil"/>
              <w:left w:val="nil"/>
              <w:bottom w:val="nil"/>
              <w:right w:val="nil"/>
            </w:tcBorders>
            <w:shd w:val="clear" w:color="auto" w:fill="auto"/>
            <w:noWrap/>
            <w:vAlign w:val="center"/>
          </w:tcPr>
          <w:p w14:paraId="03C72959"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tcPr>
          <w:p w14:paraId="0A89E53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1.037.322</w:t>
            </w:r>
          </w:p>
        </w:tc>
        <w:tc>
          <w:tcPr>
            <w:tcW w:w="78" w:type="pct"/>
            <w:tcBorders>
              <w:top w:val="nil"/>
              <w:left w:val="nil"/>
              <w:bottom w:val="nil"/>
              <w:right w:val="nil"/>
            </w:tcBorders>
            <w:shd w:val="clear" w:color="auto" w:fill="auto"/>
            <w:vAlign w:val="center"/>
          </w:tcPr>
          <w:p w14:paraId="672B5D6C"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5ABEE6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14.252.280 </w:t>
            </w:r>
          </w:p>
        </w:tc>
        <w:tc>
          <w:tcPr>
            <w:tcW w:w="78" w:type="pct"/>
            <w:tcBorders>
              <w:top w:val="nil"/>
              <w:left w:val="nil"/>
              <w:bottom w:val="nil"/>
              <w:right w:val="nil"/>
            </w:tcBorders>
            <w:shd w:val="clear" w:color="auto" w:fill="auto"/>
            <w:vAlign w:val="center"/>
          </w:tcPr>
          <w:p w14:paraId="2FE583B1"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2F9DF7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17.022.523</w:t>
            </w:r>
          </w:p>
        </w:tc>
        <w:tc>
          <w:tcPr>
            <w:tcW w:w="78" w:type="pct"/>
            <w:gridSpan w:val="2"/>
            <w:tcBorders>
              <w:top w:val="nil"/>
              <w:left w:val="nil"/>
              <w:bottom w:val="nil"/>
              <w:right w:val="nil"/>
            </w:tcBorders>
            <w:shd w:val="clear" w:color="auto" w:fill="auto"/>
            <w:vAlign w:val="center"/>
          </w:tcPr>
          <w:p w14:paraId="16FE9A9F"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07E76B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1.025.546 </w:t>
            </w:r>
          </w:p>
        </w:tc>
      </w:tr>
      <w:tr w:rsidR="003B5193" w:rsidRPr="00AE4E8D" w14:paraId="1C8F1FE1" w14:textId="77777777" w:rsidTr="00E8320E">
        <w:trPr>
          <w:trHeight w:val="210"/>
        </w:trPr>
        <w:tc>
          <w:tcPr>
            <w:tcW w:w="1253" w:type="pct"/>
            <w:tcBorders>
              <w:top w:val="nil"/>
              <w:left w:val="nil"/>
              <w:bottom w:val="nil"/>
              <w:right w:val="nil"/>
            </w:tcBorders>
            <w:shd w:val="clear" w:color="auto" w:fill="auto"/>
            <w:noWrap/>
            <w:vAlign w:val="center"/>
            <w:hideMark/>
          </w:tcPr>
          <w:p w14:paraId="58CCB67C"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Total Depósitos</w:t>
            </w:r>
          </w:p>
        </w:tc>
        <w:tc>
          <w:tcPr>
            <w:tcW w:w="328" w:type="pct"/>
            <w:tcBorders>
              <w:top w:val="nil"/>
              <w:left w:val="nil"/>
              <w:bottom w:val="nil"/>
              <w:right w:val="nil"/>
            </w:tcBorders>
            <w:shd w:val="clear" w:color="auto" w:fill="auto"/>
            <w:noWrap/>
            <w:vAlign w:val="center"/>
            <w:hideMark/>
          </w:tcPr>
          <w:p w14:paraId="40819AE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8.011.129</w:t>
            </w:r>
          </w:p>
        </w:tc>
        <w:tc>
          <w:tcPr>
            <w:tcW w:w="78" w:type="pct"/>
            <w:tcBorders>
              <w:top w:val="nil"/>
              <w:left w:val="nil"/>
              <w:bottom w:val="nil"/>
              <w:right w:val="nil"/>
            </w:tcBorders>
            <w:shd w:val="clear" w:color="auto" w:fill="auto"/>
            <w:vAlign w:val="center"/>
            <w:hideMark/>
          </w:tcPr>
          <w:p w14:paraId="472039F4"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A5C1BA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10.889.794</w:t>
            </w:r>
          </w:p>
        </w:tc>
        <w:tc>
          <w:tcPr>
            <w:tcW w:w="78" w:type="pct"/>
            <w:tcBorders>
              <w:top w:val="nil"/>
              <w:left w:val="nil"/>
              <w:bottom w:val="nil"/>
              <w:right w:val="nil"/>
            </w:tcBorders>
            <w:shd w:val="clear" w:color="auto" w:fill="auto"/>
            <w:vAlign w:val="center"/>
            <w:hideMark/>
          </w:tcPr>
          <w:p w14:paraId="7A9DE9F3"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724FB0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18.334.113</w:t>
            </w:r>
          </w:p>
        </w:tc>
        <w:tc>
          <w:tcPr>
            <w:tcW w:w="78" w:type="pct"/>
            <w:tcBorders>
              <w:top w:val="nil"/>
              <w:left w:val="nil"/>
              <w:bottom w:val="nil"/>
              <w:right w:val="nil"/>
            </w:tcBorders>
            <w:shd w:val="clear" w:color="auto" w:fill="auto"/>
            <w:vAlign w:val="center"/>
            <w:hideMark/>
          </w:tcPr>
          <w:p w14:paraId="00BEF6D1"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90F570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20.392.213</w:t>
            </w:r>
          </w:p>
        </w:tc>
        <w:tc>
          <w:tcPr>
            <w:tcW w:w="83" w:type="pct"/>
            <w:tcBorders>
              <w:top w:val="nil"/>
              <w:left w:val="nil"/>
              <w:bottom w:val="nil"/>
              <w:right w:val="nil"/>
            </w:tcBorders>
            <w:shd w:val="clear" w:color="auto" w:fill="auto"/>
            <w:noWrap/>
            <w:vAlign w:val="center"/>
            <w:hideMark/>
          </w:tcPr>
          <w:p w14:paraId="1C8AED6F"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18C36F4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18.984.992</w:t>
            </w:r>
          </w:p>
        </w:tc>
        <w:tc>
          <w:tcPr>
            <w:tcW w:w="79" w:type="pct"/>
            <w:tcBorders>
              <w:top w:val="nil"/>
              <w:left w:val="nil"/>
              <w:bottom w:val="nil"/>
              <w:right w:val="nil"/>
            </w:tcBorders>
            <w:shd w:val="clear" w:color="auto" w:fill="auto"/>
            <w:noWrap/>
            <w:vAlign w:val="center"/>
            <w:hideMark/>
          </w:tcPr>
          <w:p w14:paraId="1C8FBF5F"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1AD602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1.197.776</w:t>
            </w:r>
          </w:p>
        </w:tc>
        <w:tc>
          <w:tcPr>
            <w:tcW w:w="78" w:type="pct"/>
            <w:tcBorders>
              <w:top w:val="nil"/>
              <w:left w:val="nil"/>
              <w:bottom w:val="nil"/>
              <w:right w:val="nil"/>
            </w:tcBorders>
            <w:shd w:val="clear" w:color="auto" w:fill="auto"/>
            <w:vAlign w:val="center"/>
            <w:hideMark/>
          </w:tcPr>
          <w:p w14:paraId="034F6ED3"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195B4B4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17.793.533 </w:t>
            </w:r>
          </w:p>
        </w:tc>
        <w:tc>
          <w:tcPr>
            <w:tcW w:w="78" w:type="pct"/>
            <w:tcBorders>
              <w:top w:val="nil"/>
              <w:left w:val="nil"/>
              <w:bottom w:val="nil"/>
              <w:right w:val="nil"/>
            </w:tcBorders>
            <w:shd w:val="clear" w:color="auto" w:fill="auto"/>
            <w:vAlign w:val="center"/>
          </w:tcPr>
          <w:p w14:paraId="5E63A63B"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FED023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19.882.975</w:t>
            </w:r>
          </w:p>
        </w:tc>
        <w:tc>
          <w:tcPr>
            <w:tcW w:w="78" w:type="pct"/>
            <w:gridSpan w:val="2"/>
            <w:tcBorders>
              <w:top w:val="nil"/>
              <w:left w:val="nil"/>
              <w:bottom w:val="nil"/>
              <w:right w:val="nil"/>
            </w:tcBorders>
            <w:shd w:val="clear" w:color="auto" w:fill="auto"/>
            <w:vAlign w:val="center"/>
          </w:tcPr>
          <w:p w14:paraId="327A0D0F"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0F53CA9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1.197.878 </w:t>
            </w:r>
          </w:p>
        </w:tc>
      </w:tr>
      <w:tr w:rsidR="003B5193" w:rsidRPr="00AE4E8D" w14:paraId="5BA3032F" w14:textId="77777777" w:rsidTr="00E8320E">
        <w:trPr>
          <w:trHeight w:val="210"/>
        </w:trPr>
        <w:tc>
          <w:tcPr>
            <w:tcW w:w="1253" w:type="pct"/>
            <w:tcBorders>
              <w:top w:val="nil"/>
              <w:left w:val="nil"/>
              <w:bottom w:val="nil"/>
              <w:right w:val="nil"/>
            </w:tcBorders>
            <w:shd w:val="clear" w:color="auto" w:fill="auto"/>
            <w:noWrap/>
            <w:vAlign w:val="center"/>
            <w:hideMark/>
          </w:tcPr>
          <w:p w14:paraId="39C6B03D"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Otras obligaciones por intermediación financiera (3)</w:t>
            </w:r>
          </w:p>
        </w:tc>
        <w:tc>
          <w:tcPr>
            <w:tcW w:w="328" w:type="pct"/>
            <w:tcBorders>
              <w:top w:val="nil"/>
              <w:left w:val="nil"/>
              <w:bottom w:val="nil"/>
              <w:right w:val="nil"/>
            </w:tcBorders>
            <w:shd w:val="clear" w:color="auto" w:fill="auto"/>
            <w:noWrap/>
            <w:vAlign w:val="center"/>
            <w:hideMark/>
          </w:tcPr>
          <w:p w14:paraId="1663E22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3.539.730</w:t>
            </w:r>
          </w:p>
        </w:tc>
        <w:tc>
          <w:tcPr>
            <w:tcW w:w="78" w:type="pct"/>
            <w:tcBorders>
              <w:top w:val="nil"/>
              <w:left w:val="nil"/>
              <w:bottom w:val="nil"/>
              <w:right w:val="nil"/>
            </w:tcBorders>
            <w:shd w:val="clear" w:color="auto" w:fill="auto"/>
            <w:vAlign w:val="center"/>
            <w:hideMark/>
          </w:tcPr>
          <w:p w14:paraId="10E81C1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38B102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4.137.110</w:t>
            </w:r>
          </w:p>
        </w:tc>
        <w:tc>
          <w:tcPr>
            <w:tcW w:w="78" w:type="pct"/>
            <w:tcBorders>
              <w:top w:val="nil"/>
              <w:left w:val="nil"/>
              <w:bottom w:val="nil"/>
              <w:right w:val="nil"/>
            </w:tcBorders>
            <w:shd w:val="clear" w:color="auto" w:fill="auto"/>
            <w:vAlign w:val="center"/>
            <w:hideMark/>
          </w:tcPr>
          <w:p w14:paraId="78F7618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566B06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6.475.372</w:t>
            </w:r>
          </w:p>
        </w:tc>
        <w:tc>
          <w:tcPr>
            <w:tcW w:w="78" w:type="pct"/>
            <w:tcBorders>
              <w:top w:val="nil"/>
              <w:left w:val="nil"/>
              <w:bottom w:val="nil"/>
              <w:right w:val="nil"/>
            </w:tcBorders>
            <w:shd w:val="clear" w:color="auto" w:fill="auto"/>
            <w:vAlign w:val="center"/>
            <w:hideMark/>
          </w:tcPr>
          <w:p w14:paraId="0F89FFD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C298DB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10.924.747</w:t>
            </w:r>
          </w:p>
        </w:tc>
        <w:tc>
          <w:tcPr>
            <w:tcW w:w="83" w:type="pct"/>
            <w:tcBorders>
              <w:top w:val="nil"/>
              <w:left w:val="nil"/>
              <w:bottom w:val="nil"/>
              <w:right w:val="nil"/>
            </w:tcBorders>
            <w:shd w:val="clear" w:color="auto" w:fill="auto"/>
            <w:noWrap/>
            <w:vAlign w:val="center"/>
            <w:hideMark/>
          </w:tcPr>
          <w:p w14:paraId="212E6373"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0BA9EE9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24.187.338</w:t>
            </w:r>
          </w:p>
        </w:tc>
        <w:tc>
          <w:tcPr>
            <w:tcW w:w="79" w:type="pct"/>
            <w:tcBorders>
              <w:top w:val="nil"/>
              <w:left w:val="nil"/>
              <w:bottom w:val="nil"/>
              <w:right w:val="nil"/>
            </w:tcBorders>
            <w:shd w:val="clear" w:color="auto" w:fill="auto"/>
            <w:noWrap/>
            <w:vAlign w:val="center"/>
            <w:hideMark/>
          </w:tcPr>
          <w:p w14:paraId="11322EEF"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4D3F3CC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1.525.996</w:t>
            </w:r>
          </w:p>
        </w:tc>
        <w:tc>
          <w:tcPr>
            <w:tcW w:w="78" w:type="pct"/>
            <w:tcBorders>
              <w:top w:val="nil"/>
              <w:left w:val="nil"/>
              <w:bottom w:val="nil"/>
              <w:right w:val="nil"/>
            </w:tcBorders>
            <w:shd w:val="clear" w:color="auto" w:fill="auto"/>
            <w:vAlign w:val="center"/>
            <w:hideMark/>
          </w:tcPr>
          <w:p w14:paraId="0E0B4961"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620AD2B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14.448.191 </w:t>
            </w:r>
          </w:p>
        </w:tc>
        <w:tc>
          <w:tcPr>
            <w:tcW w:w="78" w:type="pct"/>
            <w:tcBorders>
              <w:top w:val="nil"/>
              <w:left w:val="nil"/>
              <w:bottom w:val="nil"/>
              <w:right w:val="nil"/>
            </w:tcBorders>
            <w:shd w:val="clear" w:color="auto" w:fill="auto"/>
            <w:vAlign w:val="center"/>
          </w:tcPr>
          <w:p w14:paraId="5442DDCB"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443A5B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25.753.785</w:t>
            </w:r>
          </w:p>
        </w:tc>
        <w:tc>
          <w:tcPr>
            <w:tcW w:w="78" w:type="pct"/>
            <w:gridSpan w:val="2"/>
            <w:tcBorders>
              <w:top w:val="nil"/>
              <w:left w:val="nil"/>
              <w:bottom w:val="nil"/>
              <w:right w:val="nil"/>
            </w:tcBorders>
            <w:shd w:val="clear" w:color="auto" w:fill="auto"/>
            <w:vAlign w:val="center"/>
          </w:tcPr>
          <w:p w14:paraId="523A1A34"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A0C0ED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 xml:space="preserve">1.551.573 </w:t>
            </w:r>
          </w:p>
        </w:tc>
      </w:tr>
      <w:tr w:rsidR="003B5193" w:rsidRPr="00AE4E8D" w14:paraId="31257748" w14:textId="77777777" w:rsidTr="00E8320E">
        <w:trPr>
          <w:trHeight w:val="210"/>
        </w:trPr>
        <w:tc>
          <w:tcPr>
            <w:tcW w:w="1253" w:type="pct"/>
            <w:tcBorders>
              <w:top w:val="nil"/>
              <w:left w:val="nil"/>
              <w:bottom w:val="nil"/>
              <w:right w:val="nil"/>
            </w:tcBorders>
            <w:shd w:val="clear" w:color="auto" w:fill="auto"/>
            <w:noWrap/>
            <w:vAlign w:val="center"/>
            <w:hideMark/>
          </w:tcPr>
          <w:p w14:paraId="17BE062E"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Obligaciones diversas</w:t>
            </w:r>
          </w:p>
        </w:tc>
        <w:tc>
          <w:tcPr>
            <w:tcW w:w="328" w:type="pct"/>
            <w:tcBorders>
              <w:top w:val="nil"/>
              <w:left w:val="nil"/>
              <w:bottom w:val="nil"/>
              <w:right w:val="nil"/>
            </w:tcBorders>
            <w:shd w:val="clear" w:color="auto" w:fill="auto"/>
            <w:noWrap/>
            <w:vAlign w:val="center"/>
            <w:hideMark/>
          </w:tcPr>
          <w:p w14:paraId="6FFFDFF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726.885</w:t>
            </w:r>
          </w:p>
        </w:tc>
        <w:tc>
          <w:tcPr>
            <w:tcW w:w="78" w:type="pct"/>
            <w:tcBorders>
              <w:top w:val="nil"/>
              <w:left w:val="nil"/>
              <w:bottom w:val="nil"/>
              <w:right w:val="nil"/>
            </w:tcBorders>
            <w:shd w:val="clear" w:color="auto" w:fill="auto"/>
            <w:vAlign w:val="center"/>
            <w:hideMark/>
          </w:tcPr>
          <w:p w14:paraId="463FC49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766E31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1.173.058</w:t>
            </w:r>
          </w:p>
        </w:tc>
        <w:tc>
          <w:tcPr>
            <w:tcW w:w="78" w:type="pct"/>
            <w:tcBorders>
              <w:top w:val="nil"/>
              <w:left w:val="nil"/>
              <w:bottom w:val="nil"/>
              <w:right w:val="nil"/>
            </w:tcBorders>
            <w:shd w:val="clear" w:color="auto" w:fill="auto"/>
            <w:vAlign w:val="center"/>
            <w:hideMark/>
          </w:tcPr>
          <w:p w14:paraId="61232007"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B90A69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1.781.556</w:t>
            </w:r>
          </w:p>
        </w:tc>
        <w:tc>
          <w:tcPr>
            <w:tcW w:w="78" w:type="pct"/>
            <w:tcBorders>
              <w:top w:val="nil"/>
              <w:left w:val="nil"/>
              <w:bottom w:val="nil"/>
              <w:right w:val="nil"/>
            </w:tcBorders>
            <w:shd w:val="clear" w:color="auto" w:fill="auto"/>
            <w:vAlign w:val="center"/>
            <w:hideMark/>
          </w:tcPr>
          <w:p w14:paraId="175437AB"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4E846C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2.200.842</w:t>
            </w:r>
          </w:p>
        </w:tc>
        <w:tc>
          <w:tcPr>
            <w:tcW w:w="83" w:type="pct"/>
            <w:tcBorders>
              <w:top w:val="nil"/>
              <w:left w:val="nil"/>
              <w:bottom w:val="nil"/>
              <w:right w:val="nil"/>
            </w:tcBorders>
            <w:shd w:val="clear" w:color="auto" w:fill="auto"/>
            <w:noWrap/>
            <w:vAlign w:val="center"/>
            <w:hideMark/>
          </w:tcPr>
          <w:p w14:paraId="2DF122B5"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16CD336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2.220.193</w:t>
            </w:r>
          </w:p>
        </w:tc>
        <w:tc>
          <w:tcPr>
            <w:tcW w:w="79" w:type="pct"/>
            <w:tcBorders>
              <w:top w:val="nil"/>
              <w:left w:val="nil"/>
              <w:bottom w:val="nil"/>
              <w:right w:val="nil"/>
            </w:tcBorders>
            <w:shd w:val="clear" w:color="auto" w:fill="auto"/>
            <w:noWrap/>
            <w:vAlign w:val="center"/>
            <w:hideMark/>
          </w:tcPr>
          <w:p w14:paraId="5938B780"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FE48A3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140.074</w:t>
            </w:r>
          </w:p>
        </w:tc>
        <w:tc>
          <w:tcPr>
            <w:tcW w:w="78" w:type="pct"/>
            <w:tcBorders>
              <w:top w:val="nil"/>
              <w:left w:val="nil"/>
              <w:bottom w:val="nil"/>
              <w:right w:val="nil"/>
            </w:tcBorders>
            <w:shd w:val="clear" w:color="auto" w:fill="auto"/>
            <w:vAlign w:val="center"/>
            <w:hideMark/>
          </w:tcPr>
          <w:p w14:paraId="2D97E661"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76DF54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1.841.404</w:t>
            </w:r>
          </w:p>
        </w:tc>
        <w:tc>
          <w:tcPr>
            <w:tcW w:w="78" w:type="pct"/>
            <w:tcBorders>
              <w:top w:val="nil"/>
              <w:left w:val="nil"/>
              <w:bottom w:val="nil"/>
              <w:right w:val="nil"/>
            </w:tcBorders>
            <w:shd w:val="clear" w:color="auto" w:fill="auto"/>
            <w:vAlign w:val="center"/>
          </w:tcPr>
          <w:p w14:paraId="106756B3"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775C37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2.242.471</w:t>
            </w:r>
          </w:p>
        </w:tc>
        <w:tc>
          <w:tcPr>
            <w:tcW w:w="78" w:type="pct"/>
            <w:gridSpan w:val="2"/>
            <w:tcBorders>
              <w:top w:val="nil"/>
              <w:left w:val="nil"/>
              <w:bottom w:val="nil"/>
              <w:right w:val="nil"/>
            </w:tcBorders>
            <w:shd w:val="clear" w:color="auto" w:fill="auto"/>
            <w:vAlign w:val="center"/>
          </w:tcPr>
          <w:p w14:paraId="2BD81C59"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1CC448B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135.101</w:t>
            </w:r>
          </w:p>
        </w:tc>
      </w:tr>
      <w:tr w:rsidR="003B5193" w:rsidRPr="00AE4E8D" w14:paraId="5DB93E73" w14:textId="77777777" w:rsidTr="00E8320E">
        <w:trPr>
          <w:trHeight w:val="210"/>
        </w:trPr>
        <w:tc>
          <w:tcPr>
            <w:tcW w:w="1253" w:type="pct"/>
            <w:tcBorders>
              <w:top w:val="nil"/>
              <w:left w:val="nil"/>
              <w:bottom w:val="nil"/>
              <w:right w:val="nil"/>
            </w:tcBorders>
            <w:shd w:val="clear" w:color="auto" w:fill="auto"/>
            <w:noWrap/>
            <w:vAlign w:val="center"/>
            <w:hideMark/>
          </w:tcPr>
          <w:p w14:paraId="055DDBDA"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Previsiones</w:t>
            </w:r>
          </w:p>
        </w:tc>
        <w:tc>
          <w:tcPr>
            <w:tcW w:w="328" w:type="pct"/>
            <w:tcBorders>
              <w:top w:val="nil"/>
              <w:left w:val="nil"/>
              <w:bottom w:val="nil"/>
              <w:right w:val="nil"/>
            </w:tcBorders>
            <w:shd w:val="clear" w:color="auto" w:fill="auto"/>
            <w:noWrap/>
            <w:vAlign w:val="center"/>
            <w:hideMark/>
          </w:tcPr>
          <w:p w14:paraId="7CC7F3B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158.274</w:t>
            </w:r>
          </w:p>
        </w:tc>
        <w:tc>
          <w:tcPr>
            <w:tcW w:w="78" w:type="pct"/>
            <w:tcBorders>
              <w:top w:val="nil"/>
              <w:left w:val="nil"/>
              <w:bottom w:val="nil"/>
              <w:right w:val="nil"/>
            </w:tcBorders>
            <w:shd w:val="clear" w:color="auto" w:fill="auto"/>
            <w:vAlign w:val="center"/>
            <w:hideMark/>
          </w:tcPr>
          <w:p w14:paraId="1DDE86A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CE1A62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148.340</w:t>
            </w:r>
          </w:p>
        </w:tc>
        <w:tc>
          <w:tcPr>
            <w:tcW w:w="78" w:type="pct"/>
            <w:tcBorders>
              <w:top w:val="nil"/>
              <w:left w:val="nil"/>
              <w:bottom w:val="nil"/>
              <w:right w:val="nil"/>
            </w:tcBorders>
            <w:shd w:val="clear" w:color="auto" w:fill="auto"/>
            <w:vAlign w:val="center"/>
            <w:hideMark/>
          </w:tcPr>
          <w:p w14:paraId="77AF8040"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2D81B0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236.117</w:t>
            </w:r>
          </w:p>
        </w:tc>
        <w:tc>
          <w:tcPr>
            <w:tcW w:w="78" w:type="pct"/>
            <w:tcBorders>
              <w:top w:val="nil"/>
              <w:left w:val="nil"/>
              <w:bottom w:val="nil"/>
              <w:right w:val="nil"/>
            </w:tcBorders>
            <w:shd w:val="clear" w:color="auto" w:fill="auto"/>
            <w:vAlign w:val="center"/>
            <w:hideMark/>
          </w:tcPr>
          <w:p w14:paraId="579288A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B92559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257.233</w:t>
            </w:r>
          </w:p>
        </w:tc>
        <w:tc>
          <w:tcPr>
            <w:tcW w:w="83" w:type="pct"/>
            <w:tcBorders>
              <w:top w:val="nil"/>
              <w:left w:val="nil"/>
              <w:bottom w:val="nil"/>
              <w:right w:val="nil"/>
            </w:tcBorders>
            <w:shd w:val="clear" w:color="auto" w:fill="auto"/>
            <w:noWrap/>
            <w:vAlign w:val="center"/>
            <w:hideMark/>
          </w:tcPr>
          <w:p w14:paraId="27E9C47E"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4E23D25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325.847</w:t>
            </w:r>
          </w:p>
        </w:tc>
        <w:tc>
          <w:tcPr>
            <w:tcW w:w="79" w:type="pct"/>
            <w:tcBorders>
              <w:top w:val="nil"/>
              <w:left w:val="nil"/>
              <w:bottom w:val="nil"/>
              <w:right w:val="nil"/>
            </w:tcBorders>
            <w:shd w:val="clear" w:color="auto" w:fill="auto"/>
            <w:noWrap/>
            <w:vAlign w:val="center"/>
            <w:hideMark/>
          </w:tcPr>
          <w:p w14:paraId="4F483E46"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2189DCE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20.558</w:t>
            </w:r>
          </w:p>
        </w:tc>
        <w:tc>
          <w:tcPr>
            <w:tcW w:w="78" w:type="pct"/>
            <w:tcBorders>
              <w:top w:val="nil"/>
              <w:left w:val="nil"/>
              <w:bottom w:val="nil"/>
              <w:right w:val="nil"/>
            </w:tcBorders>
            <w:shd w:val="clear" w:color="auto" w:fill="auto"/>
            <w:vAlign w:val="center"/>
            <w:hideMark/>
          </w:tcPr>
          <w:p w14:paraId="40EC1263"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B8A279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300.059</w:t>
            </w:r>
          </w:p>
        </w:tc>
        <w:tc>
          <w:tcPr>
            <w:tcW w:w="78" w:type="pct"/>
            <w:tcBorders>
              <w:top w:val="nil"/>
              <w:left w:val="nil"/>
              <w:bottom w:val="nil"/>
              <w:right w:val="nil"/>
            </w:tcBorders>
            <w:shd w:val="clear" w:color="auto" w:fill="auto"/>
            <w:vAlign w:val="center"/>
          </w:tcPr>
          <w:p w14:paraId="3E1DE4EF"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1BE4823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348.821</w:t>
            </w:r>
          </w:p>
        </w:tc>
        <w:tc>
          <w:tcPr>
            <w:tcW w:w="78" w:type="pct"/>
            <w:gridSpan w:val="2"/>
            <w:tcBorders>
              <w:top w:val="nil"/>
              <w:left w:val="nil"/>
              <w:bottom w:val="nil"/>
              <w:right w:val="nil"/>
            </w:tcBorders>
            <w:shd w:val="clear" w:color="auto" w:fill="auto"/>
            <w:vAlign w:val="center"/>
          </w:tcPr>
          <w:p w14:paraId="28632B5A"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F82F33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21.015</w:t>
            </w:r>
          </w:p>
        </w:tc>
      </w:tr>
      <w:tr w:rsidR="003B5193" w:rsidRPr="00AE4E8D" w14:paraId="459D4DBE" w14:textId="77777777" w:rsidTr="00E8320E">
        <w:trPr>
          <w:trHeight w:val="210"/>
        </w:trPr>
        <w:tc>
          <w:tcPr>
            <w:tcW w:w="1253" w:type="pct"/>
            <w:tcBorders>
              <w:top w:val="nil"/>
              <w:left w:val="nil"/>
              <w:bottom w:val="nil"/>
              <w:right w:val="nil"/>
            </w:tcBorders>
            <w:shd w:val="clear" w:color="auto" w:fill="auto"/>
            <w:noWrap/>
            <w:vAlign w:val="center"/>
            <w:hideMark/>
          </w:tcPr>
          <w:p w14:paraId="269DA7E8"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Partidas pendientes de imputación</w:t>
            </w:r>
          </w:p>
        </w:tc>
        <w:tc>
          <w:tcPr>
            <w:tcW w:w="328" w:type="pct"/>
            <w:tcBorders>
              <w:top w:val="nil"/>
              <w:left w:val="nil"/>
              <w:bottom w:val="nil"/>
              <w:right w:val="nil"/>
            </w:tcBorders>
            <w:shd w:val="clear" w:color="auto" w:fill="auto"/>
            <w:noWrap/>
            <w:vAlign w:val="center"/>
            <w:hideMark/>
          </w:tcPr>
          <w:p w14:paraId="093F38DD"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43.637</w:t>
            </w:r>
          </w:p>
        </w:tc>
        <w:tc>
          <w:tcPr>
            <w:tcW w:w="78" w:type="pct"/>
            <w:tcBorders>
              <w:top w:val="nil"/>
              <w:left w:val="nil"/>
              <w:bottom w:val="nil"/>
              <w:right w:val="nil"/>
            </w:tcBorders>
            <w:shd w:val="clear" w:color="auto" w:fill="auto"/>
            <w:vAlign w:val="center"/>
            <w:hideMark/>
          </w:tcPr>
          <w:p w14:paraId="597537FF"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00F216F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121.345</w:t>
            </w:r>
          </w:p>
        </w:tc>
        <w:tc>
          <w:tcPr>
            <w:tcW w:w="78" w:type="pct"/>
            <w:tcBorders>
              <w:top w:val="nil"/>
              <w:left w:val="nil"/>
              <w:bottom w:val="nil"/>
              <w:right w:val="nil"/>
            </w:tcBorders>
            <w:shd w:val="clear" w:color="auto" w:fill="auto"/>
            <w:vAlign w:val="center"/>
            <w:hideMark/>
          </w:tcPr>
          <w:p w14:paraId="6266E534"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073EAF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59.855</w:t>
            </w:r>
          </w:p>
        </w:tc>
        <w:tc>
          <w:tcPr>
            <w:tcW w:w="78" w:type="pct"/>
            <w:tcBorders>
              <w:top w:val="nil"/>
              <w:left w:val="nil"/>
              <w:bottom w:val="nil"/>
              <w:right w:val="nil"/>
            </w:tcBorders>
            <w:shd w:val="clear" w:color="auto" w:fill="auto"/>
            <w:vAlign w:val="center"/>
            <w:hideMark/>
          </w:tcPr>
          <w:p w14:paraId="1A08BF79"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5CA646F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45.467</w:t>
            </w:r>
          </w:p>
        </w:tc>
        <w:tc>
          <w:tcPr>
            <w:tcW w:w="83" w:type="pct"/>
            <w:tcBorders>
              <w:top w:val="nil"/>
              <w:left w:val="nil"/>
              <w:bottom w:val="nil"/>
              <w:right w:val="nil"/>
            </w:tcBorders>
            <w:shd w:val="clear" w:color="auto" w:fill="auto"/>
            <w:noWrap/>
            <w:vAlign w:val="center"/>
            <w:hideMark/>
          </w:tcPr>
          <w:p w14:paraId="71FD72E7"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232E0DD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38.967</w:t>
            </w:r>
          </w:p>
        </w:tc>
        <w:tc>
          <w:tcPr>
            <w:tcW w:w="79" w:type="pct"/>
            <w:tcBorders>
              <w:top w:val="nil"/>
              <w:left w:val="nil"/>
              <w:bottom w:val="nil"/>
              <w:right w:val="nil"/>
            </w:tcBorders>
            <w:shd w:val="clear" w:color="auto" w:fill="auto"/>
            <w:noWrap/>
            <w:vAlign w:val="center"/>
            <w:hideMark/>
          </w:tcPr>
          <w:p w14:paraId="38D4D52E"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8031FC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2.458</w:t>
            </w:r>
          </w:p>
        </w:tc>
        <w:tc>
          <w:tcPr>
            <w:tcW w:w="78" w:type="pct"/>
            <w:tcBorders>
              <w:top w:val="nil"/>
              <w:left w:val="nil"/>
              <w:bottom w:val="nil"/>
              <w:right w:val="nil"/>
            </w:tcBorders>
            <w:shd w:val="clear" w:color="auto" w:fill="auto"/>
            <w:vAlign w:val="center"/>
            <w:hideMark/>
          </w:tcPr>
          <w:p w14:paraId="0AE6D583"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5499A94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76.448</w:t>
            </w:r>
          </w:p>
        </w:tc>
        <w:tc>
          <w:tcPr>
            <w:tcW w:w="78" w:type="pct"/>
            <w:tcBorders>
              <w:top w:val="nil"/>
              <w:left w:val="nil"/>
              <w:bottom w:val="nil"/>
              <w:right w:val="nil"/>
            </w:tcBorders>
            <w:shd w:val="clear" w:color="auto" w:fill="auto"/>
            <w:vAlign w:val="center"/>
          </w:tcPr>
          <w:p w14:paraId="25FEF1F7"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409551E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52.031</w:t>
            </w:r>
          </w:p>
        </w:tc>
        <w:tc>
          <w:tcPr>
            <w:tcW w:w="78" w:type="pct"/>
            <w:gridSpan w:val="2"/>
            <w:tcBorders>
              <w:top w:val="nil"/>
              <w:left w:val="nil"/>
              <w:bottom w:val="nil"/>
              <w:right w:val="nil"/>
            </w:tcBorders>
            <w:shd w:val="clear" w:color="auto" w:fill="auto"/>
            <w:vAlign w:val="center"/>
          </w:tcPr>
          <w:p w14:paraId="3B747F42"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7F42ED7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3.135</w:t>
            </w:r>
          </w:p>
        </w:tc>
      </w:tr>
      <w:tr w:rsidR="003B5193" w:rsidRPr="00AE4E8D" w14:paraId="7A404429" w14:textId="77777777" w:rsidTr="00E8320E">
        <w:trPr>
          <w:trHeight w:val="210"/>
        </w:trPr>
        <w:tc>
          <w:tcPr>
            <w:tcW w:w="1253" w:type="pct"/>
            <w:tcBorders>
              <w:top w:val="nil"/>
              <w:left w:val="nil"/>
              <w:bottom w:val="nil"/>
              <w:right w:val="nil"/>
            </w:tcBorders>
            <w:shd w:val="clear" w:color="auto" w:fill="auto"/>
            <w:noWrap/>
            <w:vAlign w:val="center"/>
            <w:hideMark/>
          </w:tcPr>
          <w:p w14:paraId="3EBC4592"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Obligaciones negociables subordinadas</w:t>
            </w:r>
          </w:p>
        </w:tc>
        <w:tc>
          <w:tcPr>
            <w:tcW w:w="328" w:type="pct"/>
            <w:tcBorders>
              <w:top w:val="nil"/>
              <w:left w:val="nil"/>
              <w:bottom w:val="nil"/>
              <w:right w:val="nil"/>
            </w:tcBorders>
            <w:shd w:val="clear" w:color="auto" w:fill="auto"/>
            <w:noWrap/>
            <w:vAlign w:val="center"/>
            <w:hideMark/>
          </w:tcPr>
          <w:p w14:paraId="57C5B9D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78" w:type="pct"/>
            <w:tcBorders>
              <w:top w:val="nil"/>
              <w:left w:val="nil"/>
              <w:bottom w:val="nil"/>
              <w:right w:val="nil"/>
            </w:tcBorders>
            <w:shd w:val="clear" w:color="auto" w:fill="auto"/>
            <w:vAlign w:val="center"/>
            <w:hideMark/>
          </w:tcPr>
          <w:p w14:paraId="57768794"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93C0DE2"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78" w:type="pct"/>
            <w:tcBorders>
              <w:top w:val="nil"/>
              <w:left w:val="nil"/>
              <w:bottom w:val="nil"/>
              <w:right w:val="nil"/>
            </w:tcBorders>
            <w:shd w:val="clear" w:color="auto" w:fill="auto"/>
            <w:vAlign w:val="center"/>
            <w:hideMark/>
          </w:tcPr>
          <w:p w14:paraId="0FED7E22"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250C888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78" w:type="pct"/>
            <w:tcBorders>
              <w:top w:val="nil"/>
              <w:left w:val="nil"/>
              <w:bottom w:val="nil"/>
              <w:right w:val="nil"/>
            </w:tcBorders>
            <w:shd w:val="clear" w:color="auto" w:fill="auto"/>
            <w:vAlign w:val="center"/>
            <w:hideMark/>
          </w:tcPr>
          <w:p w14:paraId="6CDED3B9"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B6D45E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110.622</w:t>
            </w:r>
          </w:p>
        </w:tc>
        <w:tc>
          <w:tcPr>
            <w:tcW w:w="83" w:type="pct"/>
            <w:tcBorders>
              <w:top w:val="nil"/>
              <w:left w:val="nil"/>
              <w:bottom w:val="nil"/>
              <w:right w:val="nil"/>
            </w:tcBorders>
            <w:shd w:val="clear" w:color="auto" w:fill="auto"/>
            <w:noWrap/>
            <w:vAlign w:val="center"/>
            <w:hideMark/>
          </w:tcPr>
          <w:p w14:paraId="6A1EDBAC"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3CDE36E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136.838</w:t>
            </w:r>
          </w:p>
        </w:tc>
        <w:tc>
          <w:tcPr>
            <w:tcW w:w="79" w:type="pct"/>
            <w:tcBorders>
              <w:top w:val="nil"/>
              <w:left w:val="nil"/>
              <w:bottom w:val="nil"/>
              <w:right w:val="nil"/>
            </w:tcBorders>
            <w:shd w:val="clear" w:color="auto" w:fill="auto"/>
            <w:noWrap/>
            <w:vAlign w:val="center"/>
            <w:hideMark/>
          </w:tcPr>
          <w:p w14:paraId="33ECA7C3"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18ECC30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8.633</w:t>
            </w:r>
          </w:p>
        </w:tc>
        <w:tc>
          <w:tcPr>
            <w:tcW w:w="78" w:type="pct"/>
            <w:tcBorders>
              <w:top w:val="nil"/>
              <w:left w:val="nil"/>
              <w:bottom w:val="nil"/>
              <w:right w:val="nil"/>
            </w:tcBorders>
            <w:shd w:val="clear" w:color="auto" w:fill="auto"/>
            <w:vAlign w:val="center"/>
            <w:hideMark/>
          </w:tcPr>
          <w:p w14:paraId="4E01A4B3"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0184EB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121.245</w:t>
            </w:r>
          </w:p>
        </w:tc>
        <w:tc>
          <w:tcPr>
            <w:tcW w:w="78" w:type="pct"/>
            <w:tcBorders>
              <w:top w:val="nil"/>
              <w:left w:val="nil"/>
              <w:bottom w:val="nil"/>
              <w:right w:val="nil"/>
            </w:tcBorders>
            <w:shd w:val="clear" w:color="auto" w:fill="auto"/>
            <w:vAlign w:val="center"/>
          </w:tcPr>
          <w:p w14:paraId="2F911E65"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6D47E6F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c>
          <w:tcPr>
            <w:tcW w:w="78" w:type="pct"/>
            <w:gridSpan w:val="2"/>
            <w:tcBorders>
              <w:top w:val="nil"/>
              <w:left w:val="nil"/>
              <w:bottom w:val="nil"/>
              <w:right w:val="nil"/>
            </w:tcBorders>
            <w:shd w:val="clear" w:color="auto" w:fill="auto"/>
            <w:vAlign w:val="center"/>
          </w:tcPr>
          <w:p w14:paraId="7A73E572"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B36394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w:t>
            </w:r>
          </w:p>
        </w:tc>
      </w:tr>
      <w:tr w:rsidR="003B5193" w:rsidRPr="00AE4E8D" w14:paraId="32394C4D" w14:textId="77777777" w:rsidTr="00E8320E">
        <w:trPr>
          <w:trHeight w:val="223"/>
        </w:trPr>
        <w:tc>
          <w:tcPr>
            <w:tcW w:w="1253" w:type="pct"/>
            <w:tcBorders>
              <w:top w:val="nil"/>
              <w:left w:val="nil"/>
              <w:bottom w:val="nil"/>
              <w:right w:val="nil"/>
            </w:tcBorders>
            <w:shd w:val="clear" w:color="auto" w:fill="auto"/>
            <w:noWrap/>
            <w:vAlign w:val="center"/>
            <w:hideMark/>
          </w:tcPr>
          <w:p w14:paraId="0E83E444"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Participación no controlante</w:t>
            </w:r>
          </w:p>
        </w:tc>
        <w:tc>
          <w:tcPr>
            <w:tcW w:w="328" w:type="pct"/>
            <w:tcBorders>
              <w:top w:val="nil"/>
              <w:left w:val="nil"/>
              <w:bottom w:val="single" w:sz="8" w:space="0" w:color="auto"/>
              <w:right w:val="nil"/>
            </w:tcBorders>
            <w:shd w:val="clear" w:color="auto" w:fill="auto"/>
            <w:noWrap/>
            <w:vAlign w:val="center"/>
            <w:hideMark/>
          </w:tcPr>
          <w:p w14:paraId="74D8B27B"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68.034</w:t>
            </w:r>
          </w:p>
        </w:tc>
        <w:tc>
          <w:tcPr>
            <w:tcW w:w="78" w:type="pct"/>
            <w:tcBorders>
              <w:top w:val="nil"/>
              <w:left w:val="nil"/>
              <w:bottom w:val="nil"/>
              <w:right w:val="nil"/>
            </w:tcBorders>
            <w:shd w:val="clear" w:color="auto" w:fill="auto"/>
            <w:vAlign w:val="center"/>
            <w:hideMark/>
          </w:tcPr>
          <w:p w14:paraId="38441836"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2761AF7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71.311</w:t>
            </w:r>
          </w:p>
        </w:tc>
        <w:tc>
          <w:tcPr>
            <w:tcW w:w="78" w:type="pct"/>
            <w:tcBorders>
              <w:top w:val="nil"/>
              <w:left w:val="nil"/>
              <w:bottom w:val="nil"/>
              <w:right w:val="nil"/>
            </w:tcBorders>
            <w:shd w:val="clear" w:color="auto" w:fill="auto"/>
            <w:vAlign w:val="center"/>
            <w:hideMark/>
          </w:tcPr>
          <w:p w14:paraId="6994B4D4"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08EA11F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67.591</w:t>
            </w:r>
          </w:p>
        </w:tc>
        <w:tc>
          <w:tcPr>
            <w:tcW w:w="78" w:type="pct"/>
            <w:tcBorders>
              <w:top w:val="nil"/>
              <w:left w:val="nil"/>
              <w:bottom w:val="nil"/>
              <w:right w:val="nil"/>
            </w:tcBorders>
            <w:shd w:val="clear" w:color="auto" w:fill="auto"/>
            <w:vAlign w:val="center"/>
            <w:hideMark/>
          </w:tcPr>
          <w:p w14:paraId="16C1031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single" w:sz="8" w:space="0" w:color="auto"/>
              <w:right w:val="nil"/>
            </w:tcBorders>
            <w:shd w:val="clear" w:color="auto" w:fill="auto"/>
            <w:noWrap/>
            <w:vAlign w:val="center"/>
            <w:hideMark/>
          </w:tcPr>
          <w:p w14:paraId="05A107B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85.871</w:t>
            </w:r>
          </w:p>
        </w:tc>
        <w:tc>
          <w:tcPr>
            <w:tcW w:w="83" w:type="pct"/>
            <w:tcBorders>
              <w:top w:val="nil"/>
              <w:left w:val="nil"/>
              <w:bottom w:val="nil"/>
              <w:right w:val="nil"/>
            </w:tcBorders>
            <w:shd w:val="clear" w:color="auto" w:fill="auto"/>
            <w:noWrap/>
            <w:vAlign w:val="center"/>
            <w:hideMark/>
          </w:tcPr>
          <w:p w14:paraId="0DB2AAD7"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single" w:sz="8" w:space="0" w:color="auto"/>
              <w:right w:val="nil"/>
            </w:tcBorders>
            <w:shd w:val="clear" w:color="auto" w:fill="auto"/>
            <w:noWrap/>
            <w:vAlign w:val="center"/>
            <w:hideMark/>
          </w:tcPr>
          <w:p w14:paraId="1A50B108"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157.707</w:t>
            </w:r>
          </w:p>
        </w:tc>
        <w:tc>
          <w:tcPr>
            <w:tcW w:w="79" w:type="pct"/>
            <w:tcBorders>
              <w:top w:val="nil"/>
              <w:left w:val="nil"/>
              <w:bottom w:val="nil"/>
              <w:right w:val="nil"/>
            </w:tcBorders>
            <w:shd w:val="clear" w:color="auto" w:fill="auto"/>
            <w:noWrap/>
            <w:vAlign w:val="center"/>
            <w:hideMark/>
          </w:tcPr>
          <w:p w14:paraId="24A438DB"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single" w:sz="8" w:space="0" w:color="auto"/>
              <w:right w:val="nil"/>
            </w:tcBorders>
            <w:shd w:val="clear" w:color="auto" w:fill="auto"/>
            <w:noWrap/>
            <w:vAlign w:val="center"/>
            <w:hideMark/>
          </w:tcPr>
          <w:p w14:paraId="4B25DED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9.950</w:t>
            </w:r>
          </w:p>
        </w:tc>
        <w:tc>
          <w:tcPr>
            <w:tcW w:w="78" w:type="pct"/>
            <w:tcBorders>
              <w:top w:val="nil"/>
              <w:left w:val="nil"/>
              <w:bottom w:val="nil"/>
              <w:right w:val="nil"/>
            </w:tcBorders>
            <w:shd w:val="clear" w:color="auto" w:fill="auto"/>
            <w:vAlign w:val="center"/>
            <w:hideMark/>
          </w:tcPr>
          <w:p w14:paraId="06E270D7"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single" w:sz="8" w:space="0" w:color="auto"/>
              <w:right w:val="nil"/>
            </w:tcBorders>
            <w:shd w:val="clear" w:color="auto" w:fill="auto"/>
            <w:vAlign w:val="center"/>
          </w:tcPr>
          <w:p w14:paraId="380FAB5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130.207</w:t>
            </w:r>
          </w:p>
        </w:tc>
        <w:tc>
          <w:tcPr>
            <w:tcW w:w="78" w:type="pct"/>
            <w:tcBorders>
              <w:top w:val="nil"/>
              <w:left w:val="nil"/>
              <w:bottom w:val="nil"/>
              <w:right w:val="nil"/>
            </w:tcBorders>
            <w:shd w:val="clear" w:color="auto" w:fill="auto"/>
            <w:vAlign w:val="center"/>
          </w:tcPr>
          <w:p w14:paraId="4C2C19A4"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single" w:sz="8" w:space="0" w:color="auto"/>
              <w:right w:val="nil"/>
            </w:tcBorders>
            <w:shd w:val="clear" w:color="auto" w:fill="auto"/>
            <w:vAlign w:val="center"/>
          </w:tcPr>
          <w:p w14:paraId="52E092E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300.570</w:t>
            </w:r>
          </w:p>
        </w:tc>
        <w:tc>
          <w:tcPr>
            <w:tcW w:w="78" w:type="pct"/>
            <w:gridSpan w:val="2"/>
            <w:tcBorders>
              <w:top w:val="nil"/>
              <w:left w:val="nil"/>
              <w:bottom w:val="nil"/>
              <w:right w:val="nil"/>
            </w:tcBorders>
            <w:shd w:val="clear" w:color="auto" w:fill="auto"/>
            <w:vAlign w:val="center"/>
          </w:tcPr>
          <w:p w14:paraId="0C707818"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single" w:sz="8" w:space="0" w:color="auto"/>
              <w:right w:val="nil"/>
            </w:tcBorders>
            <w:shd w:val="clear" w:color="auto" w:fill="auto"/>
            <w:vAlign w:val="center"/>
          </w:tcPr>
          <w:p w14:paraId="51BBF1D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18.108</w:t>
            </w:r>
          </w:p>
        </w:tc>
      </w:tr>
      <w:tr w:rsidR="003B5193" w:rsidRPr="00AE4E8D" w14:paraId="64BDF908" w14:textId="77777777" w:rsidTr="00E8320E">
        <w:trPr>
          <w:trHeight w:val="210"/>
        </w:trPr>
        <w:tc>
          <w:tcPr>
            <w:tcW w:w="1253" w:type="pct"/>
            <w:tcBorders>
              <w:top w:val="nil"/>
              <w:left w:val="nil"/>
              <w:bottom w:val="nil"/>
              <w:right w:val="nil"/>
            </w:tcBorders>
            <w:shd w:val="clear" w:color="auto" w:fill="auto"/>
            <w:noWrap/>
            <w:vAlign w:val="center"/>
            <w:hideMark/>
          </w:tcPr>
          <w:p w14:paraId="5B30EA3B"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Total pasivo</w:t>
            </w:r>
          </w:p>
        </w:tc>
        <w:tc>
          <w:tcPr>
            <w:tcW w:w="328" w:type="pct"/>
            <w:tcBorders>
              <w:top w:val="nil"/>
              <w:left w:val="nil"/>
              <w:bottom w:val="nil"/>
              <w:right w:val="nil"/>
            </w:tcBorders>
            <w:shd w:val="clear" w:color="auto" w:fill="auto"/>
            <w:noWrap/>
            <w:vAlign w:val="center"/>
            <w:hideMark/>
          </w:tcPr>
          <w:p w14:paraId="7E96C57A"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12.547.689</w:t>
            </w:r>
          </w:p>
        </w:tc>
        <w:tc>
          <w:tcPr>
            <w:tcW w:w="78" w:type="pct"/>
            <w:tcBorders>
              <w:top w:val="nil"/>
              <w:left w:val="nil"/>
              <w:bottom w:val="nil"/>
              <w:right w:val="nil"/>
            </w:tcBorders>
            <w:shd w:val="clear" w:color="auto" w:fill="auto"/>
            <w:vAlign w:val="center"/>
            <w:hideMark/>
          </w:tcPr>
          <w:p w14:paraId="7922D6A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892805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16.540.958</w:t>
            </w:r>
          </w:p>
        </w:tc>
        <w:tc>
          <w:tcPr>
            <w:tcW w:w="78" w:type="pct"/>
            <w:tcBorders>
              <w:top w:val="nil"/>
              <w:left w:val="nil"/>
              <w:bottom w:val="nil"/>
              <w:right w:val="nil"/>
            </w:tcBorders>
            <w:shd w:val="clear" w:color="auto" w:fill="auto"/>
            <w:vAlign w:val="center"/>
            <w:hideMark/>
          </w:tcPr>
          <w:p w14:paraId="37526D30"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0338D4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26.954.604</w:t>
            </w:r>
          </w:p>
        </w:tc>
        <w:tc>
          <w:tcPr>
            <w:tcW w:w="78" w:type="pct"/>
            <w:tcBorders>
              <w:top w:val="nil"/>
              <w:left w:val="nil"/>
              <w:bottom w:val="nil"/>
              <w:right w:val="nil"/>
            </w:tcBorders>
            <w:shd w:val="clear" w:color="auto" w:fill="auto"/>
            <w:vAlign w:val="center"/>
            <w:hideMark/>
          </w:tcPr>
          <w:p w14:paraId="04BF912C"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4430F74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34.016.995</w:t>
            </w:r>
          </w:p>
        </w:tc>
        <w:tc>
          <w:tcPr>
            <w:tcW w:w="83" w:type="pct"/>
            <w:tcBorders>
              <w:top w:val="nil"/>
              <w:left w:val="nil"/>
              <w:bottom w:val="nil"/>
              <w:right w:val="nil"/>
            </w:tcBorders>
            <w:shd w:val="clear" w:color="auto" w:fill="auto"/>
            <w:noWrap/>
            <w:vAlign w:val="center"/>
            <w:hideMark/>
          </w:tcPr>
          <w:p w14:paraId="258A9A9C"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515A2145"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46.051.882</w:t>
            </w:r>
          </w:p>
        </w:tc>
        <w:tc>
          <w:tcPr>
            <w:tcW w:w="79" w:type="pct"/>
            <w:tcBorders>
              <w:top w:val="nil"/>
              <w:left w:val="nil"/>
              <w:bottom w:val="nil"/>
              <w:right w:val="nil"/>
            </w:tcBorders>
            <w:shd w:val="clear" w:color="auto" w:fill="auto"/>
            <w:noWrap/>
            <w:vAlign w:val="center"/>
            <w:hideMark/>
          </w:tcPr>
          <w:p w14:paraId="09BB42AA"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6FF92B21"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2.905.445</w:t>
            </w:r>
          </w:p>
        </w:tc>
        <w:tc>
          <w:tcPr>
            <w:tcW w:w="78" w:type="pct"/>
            <w:tcBorders>
              <w:top w:val="nil"/>
              <w:left w:val="nil"/>
              <w:bottom w:val="nil"/>
              <w:right w:val="nil"/>
            </w:tcBorders>
            <w:shd w:val="clear" w:color="auto" w:fill="auto"/>
            <w:vAlign w:val="center"/>
            <w:hideMark/>
          </w:tcPr>
          <w:p w14:paraId="44F873BE"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0A7D297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34.711.087</w:t>
            </w:r>
          </w:p>
        </w:tc>
        <w:tc>
          <w:tcPr>
            <w:tcW w:w="78" w:type="pct"/>
            <w:tcBorders>
              <w:top w:val="nil"/>
              <w:left w:val="nil"/>
              <w:bottom w:val="nil"/>
              <w:right w:val="nil"/>
            </w:tcBorders>
            <w:shd w:val="clear" w:color="auto" w:fill="auto"/>
            <w:vAlign w:val="center"/>
          </w:tcPr>
          <w:p w14:paraId="7EABEA0E"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243F0DA7"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48.580.653</w:t>
            </w:r>
          </w:p>
        </w:tc>
        <w:tc>
          <w:tcPr>
            <w:tcW w:w="78" w:type="pct"/>
            <w:gridSpan w:val="2"/>
            <w:tcBorders>
              <w:top w:val="nil"/>
              <w:left w:val="nil"/>
              <w:bottom w:val="nil"/>
              <w:right w:val="nil"/>
            </w:tcBorders>
            <w:shd w:val="clear" w:color="auto" w:fill="auto"/>
            <w:vAlign w:val="center"/>
          </w:tcPr>
          <w:p w14:paraId="21FB8F2B"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4AB033BF"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2.926.810</w:t>
            </w:r>
          </w:p>
        </w:tc>
      </w:tr>
      <w:tr w:rsidR="003B5193" w:rsidRPr="00AE4E8D" w14:paraId="5B9F963D" w14:textId="77777777" w:rsidTr="00E8320E">
        <w:trPr>
          <w:trHeight w:val="210"/>
        </w:trPr>
        <w:tc>
          <w:tcPr>
            <w:tcW w:w="1253" w:type="pct"/>
            <w:tcBorders>
              <w:top w:val="nil"/>
              <w:left w:val="nil"/>
              <w:bottom w:val="nil"/>
              <w:right w:val="nil"/>
            </w:tcBorders>
            <w:shd w:val="clear" w:color="auto" w:fill="auto"/>
            <w:noWrap/>
            <w:vAlign w:val="center"/>
            <w:hideMark/>
          </w:tcPr>
          <w:p w14:paraId="67078F28" w14:textId="77777777" w:rsidR="0067329E" w:rsidRPr="00AE4E8D" w:rsidRDefault="0067329E" w:rsidP="00E8320E">
            <w:pPr>
              <w:tabs>
                <w:tab w:val="left" w:pos="3261"/>
              </w:tabs>
              <w:spacing w:before="40" w:after="40"/>
              <w:rPr>
                <w:rFonts w:ascii="Times New Roman" w:hAnsi="Times New Roman"/>
                <w:color w:val="000000"/>
                <w:sz w:val="16"/>
                <w:lang w:val="es-ES"/>
              </w:rPr>
            </w:pPr>
            <w:r w:rsidRPr="00AE4E8D">
              <w:rPr>
                <w:rFonts w:ascii="Times New Roman" w:hAnsi="Times New Roman"/>
                <w:color w:val="000000"/>
                <w:sz w:val="16"/>
                <w:lang w:val="es-ES"/>
              </w:rPr>
              <w:t>Patrimonio neto</w:t>
            </w:r>
          </w:p>
        </w:tc>
        <w:tc>
          <w:tcPr>
            <w:tcW w:w="328" w:type="pct"/>
            <w:tcBorders>
              <w:top w:val="nil"/>
              <w:left w:val="nil"/>
              <w:bottom w:val="nil"/>
              <w:right w:val="nil"/>
            </w:tcBorders>
            <w:shd w:val="clear" w:color="auto" w:fill="auto"/>
            <w:noWrap/>
            <w:vAlign w:val="center"/>
            <w:hideMark/>
          </w:tcPr>
          <w:p w14:paraId="280BD6E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3.455.985</w:t>
            </w:r>
          </w:p>
        </w:tc>
        <w:tc>
          <w:tcPr>
            <w:tcW w:w="78" w:type="pct"/>
            <w:tcBorders>
              <w:top w:val="nil"/>
              <w:left w:val="nil"/>
              <w:bottom w:val="nil"/>
              <w:right w:val="nil"/>
            </w:tcBorders>
            <w:shd w:val="clear" w:color="auto" w:fill="auto"/>
            <w:vAlign w:val="center"/>
            <w:hideMark/>
          </w:tcPr>
          <w:p w14:paraId="69407944"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697910A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3.846.935</w:t>
            </w:r>
          </w:p>
        </w:tc>
        <w:tc>
          <w:tcPr>
            <w:tcW w:w="78" w:type="pct"/>
            <w:tcBorders>
              <w:top w:val="nil"/>
              <w:left w:val="nil"/>
              <w:bottom w:val="nil"/>
              <w:right w:val="nil"/>
            </w:tcBorders>
            <w:shd w:val="clear" w:color="auto" w:fill="auto"/>
            <w:vAlign w:val="center"/>
            <w:hideMark/>
          </w:tcPr>
          <w:p w14:paraId="647FABAE"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0EA1F1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4.396.907</w:t>
            </w:r>
          </w:p>
        </w:tc>
        <w:tc>
          <w:tcPr>
            <w:tcW w:w="78" w:type="pct"/>
            <w:tcBorders>
              <w:top w:val="nil"/>
              <w:left w:val="nil"/>
              <w:bottom w:val="nil"/>
              <w:right w:val="nil"/>
            </w:tcBorders>
            <w:shd w:val="clear" w:color="auto" w:fill="auto"/>
            <w:vAlign w:val="center"/>
            <w:hideMark/>
          </w:tcPr>
          <w:p w14:paraId="00B73F8D" w14:textId="77777777" w:rsidR="0067329E" w:rsidRPr="00AE4E8D" w:rsidRDefault="0067329E" w:rsidP="00E8320E">
            <w:pPr>
              <w:spacing w:before="40" w:after="40"/>
              <w:jc w:val="right"/>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10DAC50"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5.440.904</w:t>
            </w:r>
          </w:p>
        </w:tc>
        <w:tc>
          <w:tcPr>
            <w:tcW w:w="83" w:type="pct"/>
            <w:tcBorders>
              <w:top w:val="nil"/>
              <w:left w:val="nil"/>
              <w:bottom w:val="nil"/>
              <w:right w:val="nil"/>
            </w:tcBorders>
            <w:shd w:val="clear" w:color="auto" w:fill="auto"/>
            <w:noWrap/>
            <w:vAlign w:val="center"/>
            <w:hideMark/>
          </w:tcPr>
          <w:p w14:paraId="5498335B" w14:textId="77777777" w:rsidR="0067329E" w:rsidRPr="00AE4E8D" w:rsidRDefault="0067329E" w:rsidP="00E8320E">
            <w:pPr>
              <w:spacing w:before="40" w:after="40"/>
              <w:jc w:val="right"/>
              <w:rPr>
                <w:rFonts w:ascii="Times New Roman" w:hAnsi="Times New Roman"/>
                <w:sz w:val="16"/>
                <w:lang w:val="es-ES"/>
              </w:rPr>
            </w:pPr>
          </w:p>
        </w:tc>
        <w:tc>
          <w:tcPr>
            <w:tcW w:w="406" w:type="pct"/>
            <w:tcBorders>
              <w:top w:val="nil"/>
              <w:left w:val="nil"/>
              <w:bottom w:val="nil"/>
              <w:right w:val="nil"/>
            </w:tcBorders>
            <w:shd w:val="clear" w:color="auto" w:fill="auto"/>
            <w:noWrap/>
            <w:vAlign w:val="center"/>
            <w:hideMark/>
          </w:tcPr>
          <w:p w14:paraId="6DF71B89"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6.056.228</w:t>
            </w:r>
          </w:p>
        </w:tc>
        <w:tc>
          <w:tcPr>
            <w:tcW w:w="79" w:type="pct"/>
            <w:tcBorders>
              <w:top w:val="nil"/>
              <w:left w:val="nil"/>
              <w:bottom w:val="nil"/>
              <w:right w:val="nil"/>
            </w:tcBorders>
            <w:shd w:val="clear" w:color="auto" w:fill="auto"/>
            <w:noWrap/>
            <w:vAlign w:val="center"/>
            <w:hideMark/>
          </w:tcPr>
          <w:p w14:paraId="3BE84776" w14:textId="77777777" w:rsidR="0067329E" w:rsidRPr="00AE4E8D" w:rsidRDefault="0067329E" w:rsidP="00E8320E">
            <w:pPr>
              <w:spacing w:before="40" w:after="40"/>
              <w:jc w:val="right"/>
              <w:rPr>
                <w:rFonts w:ascii="Times New Roman" w:hAnsi="Times New Roman"/>
                <w:sz w:val="16"/>
                <w:lang w:val="es-ES"/>
              </w:rPr>
            </w:pPr>
          </w:p>
        </w:tc>
        <w:tc>
          <w:tcPr>
            <w:tcW w:w="327" w:type="pct"/>
            <w:tcBorders>
              <w:top w:val="nil"/>
              <w:left w:val="nil"/>
              <w:bottom w:val="nil"/>
              <w:right w:val="nil"/>
            </w:tcBorders>
            <w:shd w:val="clear" w:color="auto" w:fill="auto"/>
            <w:noWrap/>
            <w:vAlign w:val="center"/>
            <w:hideMark/>
          </w:tcPr>
          <w:p w14:paraId="590A5AE6"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382.092</w:t>
            </w:r>
          </w:p>
        </w:tc>
        <w:tc>
          <w:tcPr>
            <w:tcW w:w="78" w:type="pct"/>
            <w:tcBorders>
              <w:top w:val="nil"/>
              <w:left w:val="nil"/>
              <w:bottom w:val="nil"/>
              <w:right w:val="nil"/>
            </w:tcBorders>
            <w:shd w:val="clear" w:color="auto" w:fill="auto"/>
            <w:vAlign w:val="center"/>
            <w:hideMark/>
          </w:tcPr>
          <w:p w14:paraId="7D4E0C02" w14:textId="77777777" w:rsidR="0067329E" w:rsidRPr="00AE4E8D" w:rsidRDefault="0067329E" w:rsidP="00E8320E">
            <w:pPr>
              <w:spacing w:before="40" w:after="40"/>
              <w:jc w:val="right"/>
              <w:rPr>
                <w:rFonts w:ascii="Times New Roman" w:hAnsi="Times New Roman"/>
                <w:color w:val="000000"/>
                <w:sz w:val="16"/>
                <w:lang w:val="es-ES"/>
              </w:rPr>
            </w:pPr>
          </w:p>
        </w:tc>
        <w:tc>
          <w:tcPr>
            <w:tcW w:w="332" w:type="pct"/>
            <w:tcBorders>
              <w:top w:val="nil"/>
              <w:left w:val="nil"/>
              <w:bottom w:val="nil"/>
              <w:right w:val="nil"/>
            </w:tcBorders>
            <w:shd w:val="clear" w:color="auto" w:fill="auto"/>
            <w:vAlign w:val="center"/>
          </w:tcPr>
          <w:p w14:paraId="362F9C7E"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5.816.242</w:t>
            </w:r>
          </w:p>
        </w:tc>
        <w:tc>
          <w:tcPr>
            <w:tcW w:w="78" w:type="pct"/>
            <w:tcBorders>
              <w:top w:val="nil"/>
              <w:left w:val="nil"/>
              <w:bottom w:val="nil"/>
              <w:right w:val="nil"/>
            </w:tcBorders>
            <w:shd w:val="clear" w:color="auto" w:fill="auto"/>
            <w:vAlign w:val="center"/>
          </w:tcPr>
          <w:p w14:paraId="5B9359AD" w14:textId="77777777" w:rsidR="0067329E" w:rsidRPr="00AE4E8D" w:rsidRDefault="0067329E" w:rsidP="00E8320E">
            <w:pPr>
              <w:spacing w:before="40" w:after="40"/>
              <w:jc w:val="right"/>
              <w:rPr>
                <w:rFonts w:ascii="Times New Roman" w:hAnsi="Times New Roman"/>
                <w:color w:val="000000"/>
                <w:sz w:val="16"/>
                <w:lang w:val="es-ES"/>
              </w:rPr>
            </w:pPr>
          </w:p>
        </w:tc>
        <w:tc>
          <w:tcPr>
            <w:tcW w:w="340" w:type="pct"/>
            <w:gridSpan w:val="2"/>
            <w:tcBorders>
              <w:top w:val="nil"/>
              <w:left w:val="nil"/>
              <w:bottom w:val="nil"/>
              <w:right w:val="nil"/>
            </w:tcBorders>
            <w:shd w:val="clear" w:color="auto" w:fill="auto"/>
            <w:vAlign w:val="center"/>
          </w:tcPr>
          <w:p w14:paraId="3EE41BC3"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6.681.205</w:t>
            </w:r>
          </w:p>
        </w:tc>
        <w:tc>
          <w:tcPr>
            <w:tcW w:w="78" w:type="pct"/>
            <w:gridSpan w:val="2"/>
            <w:tcBorders>
              <w:top w:val="nil"/>
              <w:left w:val="nil"/>
              <w:bottom w:val="nil"/>
              <w:right w:val="nil"/>
            </w:tcBorders>
            <w:shd w:val="clear" w:color="auto" w:fill="auto"/>
            <w:vAlign w:val="center"/>
          </w:tcPr>
          <w:p w14:paraId="5009E07B" w14:textId="77777777" w:rsidR="0067329E" w:rsidRPr="00AE4E8D" w:rsidRDefault="0067329E" w:rsidP="00E8320E">
            <w:pPr>
              <w:spacing w:before="40" w:after="40"/>
              <w:jc w:val="right"/>
              <w:rPr>
                <w:rFonts w:ascii="Times New Roman" w:hAnsi="Times New Roman"/>
                <w:color w:val="000000"/>
                <w:sz w:val="16"/>
                <w:lang w:val="es-ES"/>
              </w:rPr>
            </w:pPr>
          </w:p>
        </w:tc>
        <w:tc>
          <w:tcPr>
            <w:tcW w:w="400" w:type="pct"/>
            <w:gridSpan w:val="2"/>
            <w:tcBorders>
              <w:top w:val="nil"/>
              <w:left w:val="nil"/>
              <w:bottom w:val="nil"/>
              <w:right w:val="nil"/>
            </w:tcBorders>
            <w:shd w:val="clear" w:color="auto" w:fill="auto"/>
            <w:vAlign w:val="center"/>
          </w:tcPr>
          <w:p w14:paraId="25F5A3F4" w14:textId="77777777" w:rsidR="0067329E" w:rsidRPr="00AE4E8D" w:rsidRDefault="0067329E" w:rsidP="00E8320E">
            <w:pPr>
              <w:spacing w:before="40" w:after="40"/>
              <w:jc w:val="right"/>
              <w:rPr>
                <w:rFonts w:ascii="Times New Roman" w:hAnsi="Times New Roman"/>
                <w:color w:val="000000"/>
                <w:sz w:val="16"/>
                <w:lang w:val="es-ES"/>
              </w:rPr>
            </w:pPr>
            <w:r w:rsidRPr="00AE4E8D">
              <w:rPr>
                <w:rFonts w:ascii="Times New Roman" w:hAnsi="Times New Roman"/>
                <w:color w:val="000000"/>
                <w:sz w:val="16"/>
                <w:lang w:val="es-ES"/>
              </w:rPr>
              <w:t>402.519</w:t>
            </w:r>
          </w:p>
        </w:tc>
      </w:tr>
    </w:tbl>
    <w:p w14:paraId="145390C2" w14:textId="77777777" w:rsidR="0067329E" w:rsidRPr="00AE4E8D" w:rsidRDefault="0067329E" w:rsidP="0067329E">
      <w:pPr>
        <w:autoSpaceDE w:val="0"/>
        <w:autoSpaceDN w:val="0"/>
        <w:adjustRightInd w:val="0"/>
        <w:spacing w:before="120" w:after="120"/>
        <w:jc w:val="center"/>
        <w:rPr>
          <w:rFonts w:ascii="Times New Roman" w:hAnsi="Times New Roman"/>
          <w:sz w:val="16"/>
          <w:lang w:val="es-ES"/>
        </w:rPr>
      </w:pPr>
    </w:p>
    <w:p w14:paraId="64E519D9" w14:textId="77777777" w:rsidR="0067329E" w:rsidRPr="00AE4E8D" w:rsidRDefault="0067329E" w:rsidP="0067329E">
      <w:pPr>
        <w:autoSpaceDE w:val="0"/>
        <w:autoSpaceDN w:val="0"/>
        <w:adjustRightInd w:val="0"/>
        <w:spacing w:before="120" w:after="120"/>
        <w:jc w:val="center"/>
        <w:rPr>
          <w:rFonts w:ascii="Times New Roman" w:hAnsi="Times New Roman"/>
          <w:lang w:val="es-ES" w:eastAsia="es-AR"/>
        </w:rPr>
        <w:sectPr w:rsidR="0067329E" w:rsidRPr="00AE4E8D" w:rsidSect="00A87439">
          <w:pgSz w:w="16839" w:h="11907" w:orient="landscape" w:code="9"/>
          <w:pgMar w:top="1701" w:right="1418" w:bottom="1134" w:left="1418" w:header="720" w:footer="385" w:gutter="0"/>
          <w:cols w:space="720"/>
          <w:titlePg/>
          <w:docGrid w:linePitch="360"/>
        </w:sectPr>
      </w:pPr>
    </w:p>
    <w:tbl>
      <w:tblPr>
        <w:tblW w:w="5000" w:type="pct"/>
        <w:tblLook w:val="04A0" w:firstRow="1" w:lastRow="0" w:firstColumn="1" w:lastColumn="0" w:noHBand="0" w:noVBand="1"/>
      </w:tblPr>
      <w:tblGrid>
        <w:gridCol w:w="3104"/>
        <w:gridCol w:w="963"/>
        <w:gridCol w:w="222"/>
        <w:gridCol w:w="963"/>
        <w:gridCol w:w="222"/>
        <w:gridCol w:w="1701"/>
        <w:gridCol w:w="222"/>
        <w:gridCol w:w="963"/>
        <w:gridCol w:w="222"/>
        <w:gridCol w:w="963"/>
        <w:gridCol w:w="222"/>
        <w:gridCol w:w="932"/>
        <w:gridCol w:w="222"/>
        <w:gridCol w:w="1048"/>
        <w:gridCol w:w="222"/>
        <w:gridCol w:w="963"/>
        <w:gridCol w:w="222"/>
        <w:gridCol w:w="843"/>
      </w:tblGrid>
      <w:tr w:rsidR="003B5193" w:rsidRPr="00AE4E8D" w14:paraId="1C5D53FB" w14:textId="77777777" w:rsidTr="00E8320E">
        <w:trPr>
          <w:trHeight w:val="239"/>
        </w:trPr>
        <w:tc>
          <w:tcPr>
            <w:tcW w:w="1091" w:type="pct"/>
            <w:tcBorders>
              <w:top w:val="nil"/>
              <w:left w:val="nil"/>
              <w:bottom w:val="nil"/>
              <w:right w:val="nil"/>
            </w:tcBorders>
            <w:shd w:val="clear" w:color="auto" w:fill="auto"/>
            <w:noWrap/>
            <w:vAlign w:val="center"/>
          </w:tcPr>
          <w:p w14:paraId="441D7C96" w14:textId="77777777" w:rsidR="0067329E" w:rsidRPr="00AE4E8D" w:rsidRDefault="0067329E" w:rsidP="00E8320E">
            <w:pPr>
              <w:jc w:val="center"/>
              <w:rPr>
                <w:rFonts w:ascii="Times New Roman" w:hAnsi="Times New Roman"/>
                <w:color w:val="000000"/>
                <w:sz w:val="16"/>
                <w:lang w:val="es-ES"/>
              </w:rPr>
            </w:pPr>
          </w:p>
        </w:tc>
        <w:tc>
          <w:tcPr>
            <w:tcW w:w="339" w:type="pct"/>
            <w:tcBorders>
              <w:top w:val="nil"/>
              <w:left w:val="nil"/>
              <w:bottom w:val="single" w:sz="4" w:space="0" w:color="auto"/>
              <w:right w:val="nil"/>
            </w:tcBorders>
            <w:shd w:val="clear" w:color="auto" w:fill="auto"/>
            <w:noWrap/>
            <w:vAlign w:val="center"/>
          </w:tcPr>
          <w:p w14:paraId="3A416FC4" w14:textId="77777777" w:rsidR="0067329E" w:rsidRPr="00AE4E8D" w:rsidRDefault="0067329E" w:rsidP="00E8320E">
            <w:pPr>
              <w:jc w:val="center"/>
              <w:rPr>
                <w:rFonts w:ascii="Times New Roman" w:hAnsi="Times New Roman"/>
                <w:b/>
                <w:color w:val="000000"/>
                <w:sz w:val="16"/>
                <w:lang w:val="es-ES"/>
              </w:rPr>
            </w:pPr>
          </w:p>
        </w:tc>
        <w:tc>
          <w:tcPr>
            <w:tcW w:w="78" w:type="pct"/>
            <w:tcBorders>
              <w:top w:val="nil"/>
              <w:left w:val="nil"/>
              <w:bottom w:val="single" w:sz="4" w:space="0" w:color="auto"/>
              <w:right w:val="nil"/>
            </w:tcBorders>
            <w:shd w:val="clear" w:color="auto" w:fill="auto"/>
            <w:noWrap/>
            <w:vAlign w:val="center"/>
          </w:tcPr>
          <w:p w14:paraId="7B6993E8" w14:textId="77777777" w:rsidR="0067329E" w:rsidRPr="00AE4E8D" w:rsidRDefault="0067329E" w:rsidP="00E8320E">
            <w:pPr>
              <w:jc w:val="center"/>
              <w:rPr>
                <w:rFonts w:ascii="Times New Roman" w:hAnsi="Times New Roman"/>
                <w:color w:val="000000"/>
                <w:sz w:val="16"/>
                <w:lang w:val="es-ES"/>
              </w:rPr>
            </w:pPr>
          </w:p>
        </w:tc>
        <w:tc>
          <w:tcPr>
            <w:tcW w:w="339" w:type="pct"/>
            <w:tcBorders>
              <w:top w:val="nil"/>
              <w:left w:val="nil"/>
              <w:bottom w:val="single" w:sz="4" w:space="0" w:color="auto"/>
              <w:right w:val="nil"/>
            </w:tcBorders>
            <w:shd w:val="clear" w:color="auto" w:fill="auto"/>
            <w:noWrap/>
            <w:vAlign w:val="center"/>
          </w:tcPr>
          <w:p w14:paraId="1C5C2617" w14:textId="77777777" w:rsidR="0067329E" w:rsidRPr="00AE4E8D" w:rsidRDefault="0067329E" w:rsidP="00E8320E">
            <w:pPr>
              <w:jc w:val="center"/>
              <w:rPr>
                <w:rFonts w:ascii="Times New Roman" w:hAnsi="Times New Roman"/>
                <w:b/>
                <w:color w:val="000000"/>
                <w:sz w:val="16"/>
                <w:lang w:val="es-ES"/>
              </w:rPr>
            </w:pPr>
          </w:p>
        </w:tc>
        <w:tc>
          <w:tcPr>
            <w:tcW w:w="78" w:type="pct"/>
            <w:tcBorders>
              <w:top w:val="nil"/>
              <w:left w:val="nil"/>
              <w:bottom w:val="single" w:sz="4" w:space="0" w:color="auto"/>
              <w:right w:val="nil"/>
            </w:tcBorders>
            <w:shd w:val="clear" w:color="auto" w:fill="auto"/>
            <w:noWrap/>
            <w:vAlign w:val="center"/>
          </w:tcPr>
          <w:p w14:paraId="162E0F1C" w14:textId="77777777" w:rsidR="0067329E" w:rsidRPr="00AE4E8D" w:rsidRDefault="0067329E" w:rsidP="00E8320E">
            <w:pPr>
              <w:jc w:val="center"/>
              <w:rPr>
                <w:rFonts w:ascii="Times New Roman" w:hAnsi="Times New Roman"/>
                <w:color w:val="000000"/>
                <w:sz w:val="16"/>
                <w:lang w:val="es-ES"/>
              </w:rPr>
            </w:pPr>
          </w:p>
        </w:tc>
        <w:tc>
          <w:tcPr>
            <w:tcW w:w="598" w:type="pct"/>
            <w:tcBorders>
              <w:top w:val="nil"/>
              <w:left w:val="nil"/>
              <w:bottom w:val="single" w:sz="4" w:space="0" w:color="auto"/>
              <w:right w:val="nil"/>
            </w:tcBorders>
            <w:shd w:val="clear" w:color="auto" w:fill="auto"/>
            <w:noWrap/>
            <w:vAlign w:val="center"/>
          </w:tcPr>
          <w:p w14:paraId="000654FB"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31 de diciembre de</w:t>
            </w:r>
          </w:p>
        </w:tc>
        <w:tc>
          <w:tcPr>
            <w:tcW w:w="78" w:type="pct"/>
            <w:tcBorders>
              <w:top w:val="nil"/>
              <w:left w:val="nil"/>
              <w:bottom w:val="single" w:sz="4" w:space="0" w:color="auto"/>
              <w:right w:val="nil"/>
            </w:tcBorders>
            <w:shd w:val="clear" w:color="auto" w:fill="auto"/>
            <w:noWrap/>
            <w:vAlign w:val="center"/>
          </w:tcPr>
          <w:p w14:paraId="0DF6D051" w14:textId="77777777" w:rsidR="0067329E" w:rsidRPr="00AE4E8D" w:rsidRDefault="0067329E" w:rsidP="00E8320E">
            <w:pPr>
              <w:jc w:val="center"/>
              <w:rPr>
                <w:rFonts w:ascii="Times New Roman" w:hAnsi="Times New Roman"/>
                <w:color w:val="000000"/>
                <w:sz w:val="16"/>
                <w:lang w:val="es-ES"/>
              </w:rPr>
            </w:pPr>
          </w:p>
        </w:tc>
        <w:tc>
          <w:tcPr>
            <w:tcW w:w="339" w:type="pct"/>
            <w:tcBorders>
              <w:top w:val="nil"/>
              <w:left w:val="nil"/>
              <w:bottom w:val="single" w:sz="4" w:space="0" w:color="auto"/>
              <w:right w:val="nil"/>
            </w:tcBorders>
            <w:shd w:val="clear" w:color="auto" w:fill="auto"/>
            <w:noWrap/>
            <w:vAlign w:val="center"/>
          </w:tcPr>
          <w:p w14:paraId="50A27091" w14:textId="77777777" w:rsidR="0067329E" w:rsidRPr="00AE4E8D" w:rsidRDefault="0067329E" w:rsidP="00E8320E">
            <w:pPr>
              <w:jc w:val="center"/>
              <w:rPr>
                <w:rFonts w:ascii="Times New Roman" w:hAnsi="Times New Roman"/>
                <w:b/>
                <w:color w:val="000000"/>
                <w:sz w:val="16"/>
                <w:lang w:val="es-ES"/>
              </w:rPr>
            </w:pPr>
          </w:p>
        </w:tc>
        <w:tc>
          <w:tcPr>
            <w:tcW w:w="78" w:type="pct"/>
            <w:tcBorders>
              <w:top w:val="nil"/>
              <w:left w:val="nil"/>
              <w:bottom w:val="single" w:sz="4" w:space="0" w:color="auto"/>
              <w:right w:val="nil"/>
            </w:tcBorders>
            <w:shd w:val="clear" w:color="auto" w:fill="auto"/>
            <w:noWrap/>
            <w:vAlign w:val="center"/>
          </w:tcPr>
          <w:p w14:paraId="02C55A91" w14:textId="77777777" w:rsidR="0067329E" w:rsidRPr="00AE4E8D" w:rsidRDefault="0067329E" w:rsidP="00E8320E">
            <w:pPr>
              <w:jc w:val="center"/>
              <w:rPr>
                <w:rFonts w:ascii="Times New Roman" w:hAnsi="Times New Roman"/>
                <w:color w:val="000000"/>
                <w:sz w:val="16"/>
                <w:lang w:val="es-ES"/>
              </w:rPr>
            </w:pPr>
          </w:p>
        </w:tc>
        <w:tc>
          <w:tcPr>
            <w:tcW w:w="339" w:type="pct"/>
            <w:tcBorders>
              <w:top w:val="nil"/>
              <w:left w:val="nil"/>
              <w:bottom w:val="single" w:sz="4" w:space="0" w:color="auto"/>
              <w:right w:val="nil"/>
            </w:tcBorders>
            <w:shd w:val="clear" w:color="auto" w:fill="auto"/>
            <w:noWrap/>
            <w:vAlign w:val="center"/>
          </w:tcPr>
          <w:p w14:paraId="68301F8D" w14:textId="77777777" w:rsidR="0067329E" w:rsidRPr="00AE4E8D" w:rsidRDefault="0067329E" w:rsidP="00E8320E">
            <w:pPr>
              <w:jc w:val="center"/>
              <w:rPr>
                <w:rFonts w:ascii="Times New Roman" w:hAnsi="Times New Roman"/>
                <w:b/>
                <w:color w:val="000000"/>
                <w:sz w:val="16"/>
                <w:lang w:val="es-ES"/>
              </w:rPr>
            </w:pPr>
          </w:p>
        </w:tc>
        <w:tc>
          <w:tcPr>
            <w:tcW w:w="78" w:type="pct"/>
            <w:tcBorders>
              <w:top w:val="nil"/>
              <w:left w:val="nil"/>
              <w:bottom w:val="single" w:sz="4" w:space="0" w:color="auto"/>
              <w:right w:val="nil"/>
            </w:tcBorders>
            <w:shd w:val="clear" w:color="auto" w:fill="auto"/>
            <w:noWrap/>
            <w:vAlign w:val="center"/>
          </w:tcPr>
          <w:p w14:paraId="19374AE1" w14:textId="77777777" w:rsidR="0067329E" w:rsidRPr="00AE4E8D" w:rsidRDefault="0067329E" w:rsidP="00E8320E">
            <w:pPr>
              <w:jc w:val="center"/>
              <w:rPr>
                <w:rFonts w:ascii="Times New Roman" w:hAnsi="Times New Roman"/>
                <w:color w:val="000000"/>
                <w:sz w:val="16"/>
                <w:lang w:val="es-ES"/>
              </w:rPr>
            </w:pPr>
          </w:p>
        </w:tc>
        <w:tc>
          <w:tcPr>
            <w:tcW w:w="328" w:type="pct"/>
            <w:tcBorders>
              <w:top w:val="nil"/>
              <w:left w:val="nil"/>
              <w:bottom w:val="single" w:sz="4" w:space="0" w:color="auto"/>
              <w:right w:val="nil"/>
            </w:tcBorders>
            <w:shd w:val="clear" w:color="auto" w:fill="auto"/>
            <w:noWrap/>
            <w:vAlign w:val="center"/>
          </w:tcPr>
          <w:p w14:paraId="79405E5F" w14:textId="77777777" w:rsidR="0067329E" w:rsidRPr="00AE4E8D" w:rsidRDefault="0067329E" w:rsidP="00E8320E">
            <w:pPr>
              <w:jc w:val="center"/>
              <w:rPr>
                <w:rFonts w:ascii="Times New Roman" w:hAnsi="Times New Roman"/>
                <w:b/>
                <w:color w:val="000000"/>
                <w:sz w:val="16"/>
                <w:lang w:val="es-ES"/>
              </w:rPr>
            </w:pPr>
          </w:p>
        </w:tc>
        <w:tc>
          <w:tcPr>
            <w:tcW w:w="78" w:type="pct"/>
            <w:tcBorders>
              <w:top w:val="nil"/>
              <w:left w:val="nil"/>
              <w:bottom w:val="nil"/>
              <w:right w:val="nil"/>
            </w:tcBorders>
            <w:shd w:val="clear" w:color="auto" w:fill="auto"/>
            <w:noWrap/>
            <w:vAlign w:val="bottom"/>
          </w:tcPr>
          <w:p w14:paraId="35714B0A" w14:textId="77777777" w:rsidR="0067329E" w:rsidRPr="00AE4E8D" w:rsidRDefault="0067329E" w:rsidP="00E8320E">
            <w:pPr>
              <w:jc w:val="center"/>
              <w:rPr>
                <w:rFonts w:ascii="Times New Roman" w:hAnsi="Times New Roman"/>
                <w:sz w:val="16"/>
                <w:lang w:val="es-ES"/>
              </w:rPr>
            </w:pPr>
          </w:p>
        </w:tc>
        <w:tc>
          <w:tcPr>
            <w:tcW w:w="1160" w:type="pct"/>
            <w:gridSpan w:val="5"/>
            <w:tcBorders>
              <w:top w:val="nil"/>
              <w:left w:val="nil"/>
              <w:bottom w:val="single" w:sz="4" w:space="0" w:color="auto"/>
              <w:right w:val="nil"/>
            </w:tcBorders>
            <w:shd w:val="clear" w:color="auto" w:fill="auto"/>
            <w:vAlign w:val="center"/>
          </w:tcPr>
          <w:p w14:paraId="56588118"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30 de junio de</w:t>
            </w:r>
          </w:p>
        </w:tc>
      </w:tr>
      <w:tr w:rsidR="003B5193" w:rsidRPr="00AE4E8D" w14:paraId="277013F9" w14:textId="77777777" w:rsidTr="00E8320E">
        <w:trPr>
          <w:trHeight w:val="239"/>
        </w:trPr>
        <w:tc>
          <w:tcPr>
            <w:tcW w:w="1091" w:type="pct"/>
            <w:tcBorders>
              <w:top w:val="nil"/>
              <w:left w:val="nil"/>
              <w:bottom w:val="nil"/>
              <w:right w:val="nil"/>
            </w:tcBorders>
            <w:shd w:val="clear" w:color="auto" w:fill="auto"/>
            <w:noWrap/>
            <w:vAlign w:val="center"/>
            <w:hideMark/>
          </w:tcPr>
          <w:p w14:paraId="436B8AFE" w14:textId="77777777" w:rsidR="0067329E" w:rsidRPr="00AE4E8D" w:rsidRDefault="0067329E" w:rsidP="00E8320E">
            <w:pPr>
              <w:jc w:val="center"/>
              <w:rPr>
                <w:rFonts w:ascii="Times New Roman" w:hAnsi="Times New Roman"/>
                <w:color w:val="000000"/>
                <w:sz w:val="16"/>
                <w:lang w:val="es-ES"/>
              </w:rPr>
            </w:pPr>
          </w:p>
        </w:tc>
        <w:tc>
          <w:tcPr>
            <w:tcW w:w="339" w:type="pct"/>
            <w:tcBorders>
              <w:top w:val="single" w:sz="4" w:space="0" w:color="auto"/>
              <w:left w:val="nil"/>
              <w:bottom w:val="single" w:sz="8" w:space="0" w:color="auto"/>
              <w:right w:val="nil"/>
            </w:tcBorders>
            <w:shd w:val="clear" w:color="auto" w:fill="auto"/>
            <w:noWrap/>
            <w:vAlign w:val="center"/>
            <w:hideMark/>
          </w:tcPr>
          <w:p w14:paraId="0FBFFEB4"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2012</w:t>
            </w:r>
          </w:p>
        </w:tc>
        <w:tc>
          <w:tcPr>
            <w:tcW w:w="78" w:type="pct"/>
            <w:tcBorders>
              <w:top w:val="single" w:sz="4" w:space="0" w:color="auto"/>
              <w:left w:val="nil"/>
              <w:bottom w:val="nil"/>
              <w:right w:val="nil"/>
            </w:tcBorders>
            <w:shd w:val="clear" w:color="auto" w:fill="auto"/>
            <w:noWrap/>
            <w:vAlign w:val="center"/>
            <w:hideMark/>
          </w:tcPr>
          <w:p w14:paraId="539AFD5B" w14:textId="77777777" w:rsidR="0067329E" w:rsidRPr="00AE4E8D" w:rsidRDefault="0067329E" w:rsidP="00E8320E">
            <w:pPr>
              <w:jc w:val="center"/>
              <w:rPr>
                <w:rFonts w:ascii="Times New Roman" w:hAnsi="Times New Roman"/>
                <w:color w:val="000000"/>
                <w:sz w:val="16"/>
                <w:lang w:val="es-ES"/>
              </w:rPr>
            </w:pPr>
          </w:p>
        </w:tc>
        <w:tc>
          <w:tcPr>
            <w:tcW w:w="339" w:type="pct"/>
            <w:tcBorders>
              <w:top w:val="single" w:sz="4" w:space="0" w:color="auto"/>
              <w:left w:val="nil"/>
              <w:bottom w:val="single" w:sz="8" w:space="0" w:color="auto"/>
              <w:right w:val="nil"/>
            </w:tcBorders>
            <w:shd w:val="clear" w:color="auto" w:fill="auto"/>
            <w:noWrap/>
            <w:vAlign w:val="center"/>
            <w:hideMark/>
          </w:tcPr>
          <w:p w14:paraId="7BF66E36"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2013</w:t>
            </w:r>
          </w:p>
        </w:tc>
        <w:tc>
          <w:tcPr>
            <w:tcW w:w="78" w:type="pct"/>
            <w:tcBorders>
              <w:top w:val="single" w:sz="4" w:space="0" w:color="auto"/>
              <w:left w:val="nil"/>
              <w:bottom w:val="nil"/>
              <w:right w:val="nil"/>
            </w:tcBorders>
            <w:shd w:val="clear" w:color="auto" w:fill="auto"/>
            <w:noWrap/>
            <w:vAlign w:val="center"/>
            <w:hideMark/>
          </w:tcPr>
          <w:p w14:paraId="37EF0BDF" w14:textId="77777777" w:rsidR="0067329E" w:rsidRPr="00AE4E8D" w:rsidRDefault="0067329E" w:rsidP="00E8320E">
            <w:pPr>
              <w:jc w:val="center"/>
              <w:rPr>
                <w:rFonts w:ascii="Times New Roman" w:hAnsi="Times New Roman"/>
                <w:color w:val="000000"/>
                <w:sz w:val="16"/>
                <w:lang w:val="es-ES"/>
              </w:rPr>
            </w:pPr>
          </w:p>
        </w:tc>
        <w:tc>
          <w:tcPr>
            <w:tcW w:w="598" w:type="pct"/>
            <w:tcBorders>
              <w:top w:val="single" w:sz="4" w:space="0" w:color="auto"/>
              <w:left w:val="nil"/>
              <w:bottom w:val="single" w:sz="8" w:space="0" w:color="auto"/>
              <w:right w:val="nil"/>
            </w:tcBorders>
            <w:shd w:val="clear" w:color="auto" w:fill="auto"/>
            <w:noWrap/>
            <w:vAlign w:val="center"/>
            <w:hideMark/>
          </w:tcPr>
          <w:p w14:paraId="68A74665"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2014</w:t>
            </w:r>
          </w:p>
        </w:tc>
        <w:tc>
          <w:tcPr>
            <w:tcW w:w="78" w:type="pct"/>
            <w:tcBorders>
              <w:top w:val="single" w:sz="4" w:space="0" w:color="auto"/>
              <w:left w:val="nil"/>
              <w:bottom w:val="nil"/>
              <w:right w:val="nil"/>
            </w:tcBorders>
            <w:shd w:val="clear" w:color="auto" w:fill="auto"/>
            <w:noWrap/>
            <w:vAlign w:val="center"/>
            <w:hideMark/>
          </w:tcPr>
          <w:p w14:paraId="74448F78" w14:textId="77777777" w:rsidR="0067329E" w:rsidRPr="00AE4E8D" w:rsidRDefault="0067329E" w:rsidP="00E8320E">
            <w:pPr>
              <w:jc w:val="center"/>
              <w:rPr>
                <w:rFonts w:ascii="Times New Roman" w:hAnsi="Times New Roman"/>
                <w:color w:val="000000"/>
                <w:sz w:val="16"/>
                <w:lang w:val="es-ES"/>
              </w:rPr>
            </w:pPr>
          </w:p>
        </w:tc>
        <w:tc>
          <w:tcPr>
            <w:tcW w:w="339" w:type="pct"/>
            <w:tcBorders>
              <w:top w:val="single" w:sz="4" w:space="0" w:color="auto"/>
              <w:left w:val="nil"/>
              <w:bottom w:val="single" w:sz="8" w:space="0" w:color="auto"/>
              <w:right w:val="nil"/>
            </w:tcBorders>
            <w:shd w:val="clear" w:color="auto" w:fill="auto"/>
            <w:noWrap/>
            <w:vAlign w:val="center"/>
            <w:hideMark/>
          </w:tcPr>
          <w:p w14:paraId="0540D553"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2015</w:t>
            </w:r>
          </w:p>
        </w:tc>
        <w:tc>
          <w:tcPr>
            <w:tcW w:w="78" w:type="pct"/>
            <w:tcBorders>
              <w:top w:val="single" w:sz="4" w:space="0" w:color="auto"/>
              <w:left w:val="nil"/>
              <w:bottom w:val="nil"/>
              <w:right w:val="nil"/>
            </w:tcBorders>
            <w:shd w:val="clear" w:color="auto" w:fill="auto"/>
            <w:noWrap/>
            <w:vAlign w:val="center"/>
            <w:hideMark/>
          </w:tcPr>
          <w:p w14:paraId="234485D4" w14:textId="77777777" w:rsidR="0067329E" w:rsidRPr="00AE4E8D" w:rsidRDefault="0067329E" w:rsidP="00E8320E">
            <w:pPr>
              <w:jc w:val="center"/>
              <w:rPr>
                <w:rFonts w:ascii="Times New Roman" w:hAnsi="Times New Roman"/>
                <w:color w:val="000000"/>
                <w:sz w:val="16"/>
                <w:lang w:val="es-ES"/>
              </w:rPr>
            </w:pPr>
          </w:p>
        </w:tc>
        <w:tc>
          <w:tcPr>
            <w:tcW w:w="339" w:type="pct"/>
            <w:tcBorders>
              <w:top w:val="single" w:sz="4" w:space="0" w:color="auto"/>
              <w:left w:val="nil"/>
              <w:bottom w:val="single" w:sz="8" w:space="0" w:color="auto"/>
              <w:right w:val="nil"/>
            </w:tcBorders>
            <w:shd w:val="clear" w:color="auto" w:fill="auto"/>
            <w:noWrap/>
            <w:vAlign w:val="center"/>
            <w:hideMark/>
          </w:tcPr>
          <w:p w14:paraId="16CEE418"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single" w:sz="4" w:space="0" w:color="auto"/>
              <w:left w:val="nil"/>
              <w:bottom w:val="nil"/>
              <w:right w:val="nil"/>
            </w:tcBorders>
            <w:shd w:val="clear" w:color="auto" w:fill="auto"/>
            <w:noWrap/>
            <w:vAlign w:val="center"/>
            <w:hideMark/>
          </w:tcPr>
          <w:p w14:paraId="1A112A8A" w14:textId="77777777" w:rsidR="0067329E" w:rsidRPr="00AE4E8D" w:rsidRDefault="0067329E" w:rsidP="00E8320E">
            <w:pPr>
              <w:jc w:val="center"/>
              <w:rPr>
                <w:rFonts w:ascii="Times New Roman" w:hAnsi="Times New Roman"/>
                <w:color w:val="000000"/>
                <w:sz w:val="16"/>
                <w:lang w:val="es-ES"/>
              </w:rPr>
            </w:pPr>
          </w:p>
        </w:tc>
        <w:tc>
          <w:tcPr>
            <w:tcW w:w="328" w:type="pct"/>
            <w:tcBorders>
              <w:top w:val="single" w:sz="4" w:space="0" w:color="auto"/>
              <w:left w:val="nil"/>
              <w:bottom w:val="single" w:sz="8" w:space="0" w:color="auto"/>
              <w:right w:val="nil"/>
            </w:tcBorders>
            <w:shd w:val="clear" w:color="auto" w:fill="auto"/>
            <w:noWrap/>
            <w:vAlign w:val="center"/>
            <w:hideMark/>
          </w:tcPr>
          <w:p w14:paraId="1F999DFE"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nil"/>
              <w:left w:val="nil"/>
              <w:bottom w:val="nil"/>
              <w:right w:val="nil"/>
            </w:tcBorders>
            <w:shd w:val="clear" w:color="auto" w:fill="auto"/>
            <w:noWrap/>
            <w:vAlign w:val="bottom"/>
            <w:hideMark/>
          </w:tcPr>
          <w:p w14:paraId="634ED30B" w14:textId="77777777" w:rsidR="0067329E" w:rsidRPr="00AE4E8D" w:rsidRDefault="0067329E" w:rsidP="00E8320E">
            <w:pPr>
              <w:jc w:val="center"/>
              <w:rPr>
                <w:rFonts w:ascii="Times New Roman" w:hAnsi="Times New Roman"/>
                <w:sz w:val="16"/>
                <w:lang w:val="es-ES"/>
              </w:rPr>
            </w:pPr>
          </w:p>
        </w:tc>
        <w:tc>
          <w:tcPr>
            <w:tcW w:w="369" w:type="pct"/>
            <w:tcBorders>
              <w:top w:val="single" w:sz="4" w:space="0" w:color="auto"/>
              <w:left w:val="nil"/>
              <w:bottom w:val="single" w:sz="8" w:space="0" w:color="auto"/>
              <w:right w:val="nil"/>
            </w:tcBorders>
            <w:shd w:val="clear" w:color="auto" w:fill="auto"/>
            <w:vAlign w:val="center"/>
            <w:hideMark/>
          </w:tcPr>
          <w:p w14:paraId="6203288F"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78" w:type="pct"/>
            <w:tcBorders>
              <w:top w:val="single" w:sz="4" w:space="0" w:color="auto"/>
              <w:left w:val="nil"/>
              <w:bottom w:val="nil"/>
              <w:right w:val="nil"/>
            </w:tcBorders>
            <w:shd w:val="clear" w:color="auto" w:fill="auto"/>
            <w:vAlign w:val="center"/>
            <w:hideMark/>
          </w:tcPr>
          <w:p w14:paraId="2E37CE71" w14:textId="77777777" w:rsidR="0067329E" w:rsidRPr="00AE4E8D" w:rsidRDefault="0067329E" w:rsidP="00E8320E">
            <w:pPr>
              <w:jc w:val="center"/>
              <w:rPr>
                <w:rFonts w:ascii="Times New Roman" w:hAnsi="Times New Roman"/>
                <w:b/>
                <w:color w:val="000000"/>
                <w:sz w:val="16"/>
                <w:lang w:val="es-ES"/>
              </w:rPr>
            </w:pPr>
          </w:p>
        </w:tc>
        <w:tc>
          <w:tcPr>
            <w:tcW w:w="339" w:type="pct"/>
            <w:tcBorders>
              <w:top w:val="single" w:sz="4" w:space="0" w:color="auto"/>
              <w:left w:val="nil"/>
              <w:bottom w:val="single" w:sz="8" w:space="0" w:color="auto"/>
              <w:right w:val="nil"/>
            </w:tcBorders>
            <w:shd w:val="clear" w:color="auto" w:fill="auto"/>
            <w:vAlign w:val="center"/>
            <w:hideMark/>
          </w:tcPr>
          <w:p w14:paraId="2DF78C62"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c>
          <w:tcPr>
            <w:tcW w:w="78" w:type="pct"/>
            <w:tcBorders>
              <w:top w:val="single" w:sz="4" w:space="0" w:color="auto"/>
              <w:left w:val="nil"/>
              <w:bottom w:val="nil"/>
              <w:right w:val="nil"/>
            </w:tcBorders>
            <w:shd w:val="clear" w:color="auto" w:fill="auto"/>
            <w:vAlign w:val="center"/>
            <w:hideMark/>
          </w:tcPr>
          <w:p w14:paraId="0CD16272" w14:textId="77777777" w:rsidR="0067329E" w:rsidRPr="00AE4E8D" w:rsidRDefault="0067329E" w:rsidP="00E8320E">
            <w:pPr>
              <w:jc w:val="center"/>
              <w:rPr>
                <w:rFonts w:ascii="Times New Roman" w:hAnsi="Times New Roman"/>
                <w:b/>
                <w:color w:val="000000"/>
                <w:sz w:val="16"/>
                <w:lang w:val="es-ES"/>
              </w:rPr>
            </w:pPr>
          </w:p>
        </w:tc>
        <w:tc>
          <w:tcPr>
            <w:tcW w:w="296" w:type="pct"/>
            <w:tcBorders>
              <w:top w:val="single" w:sz="4" w:space="0" w:color="auto"/>
              <w:left w:val="nil"/>
              <w:bottom w:val="single" w:sz="8" w:space="0" w:color="auto"/>
              <w:right w:val="nil"/>
            </w:tcBorders>
            <w:shd w:val="clear" w:color="auto" w:fill="auto"/>
            <w:vAlign w:val="center"/>
            <w:hideMark/>
          </w:tcPr>
          <w:p w14:paraId="57BA76E5"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r>
      <w:tr w:rsidR="003B5193" w:rsidRPr="00AE4E8D" w14:paraId="59E21AFE" w14:textId="77777777" w:rsidTr="00E8320E">
        <w:trPr>
          <w:trHeight w:val="225"/>
        </w:trPr>
        <w:tc>
          <w:tcPr>
            <w:tcW w:w="1091" w:type="pct"/>
            <w:vMerge w:val="restart"/>
            <w:tcBorders>
              <w:top w:val="nil"/>
              <w:left w:val="nil"/>
              <w:bottom w:val="nil"/>
              <w:right w:val="nil"/>
            </w:tcBorders>
            <w:shd w:val="clear" w:color="auto" w:fill="auto"/>
            <w:noWrap/>
            <w:vAlign w:val="center"/>
            <w:hideMark/>
          </w:tcPr>
          <w:p w14:paraId="11BAF6B3" w14:textId="77777777" w:rsidR="0067329E" w:rsidRPr="00AE4E8D" w:rsidRDefault="0067329E" w:rsidP="00E8320E">
            <w:pPr>
              <w:jc w:val="center"/>
              <w:rPr>
                <w:rFonts w:ascii="Times New Roman" w:hAnsi="Times New Roman"/>
                <w:color w:val="000000"/>
                <w:sz w:val="16"/>
                <w:lang w:val="es-ES"/>
              </w:rPr>
            </w:pPr>
          </w:p>
        </w:tc>
        <w:tc>
          <w:tcPr>
            <w:tcW w:w="2265" w:type="pct"/>
            <w:gridSpan w:val="9"/>
            <w:vMerge w:val="restart"/>
            <w:tcBorders>
              <w:top w:val="nil"/>
              <w:left w:val="nil"/>
              <w:bottom w:val="nil"/>
              <w:right w:val="nil"/>
            </w:tcBorders>
            <w:shd w:val="clear" w:color="auto" w:fill="auto"/>
            <w:vAlign w:val="center"/>
            <w:hideMark/>
          </w:tcPr>
          <w:p w14:paraId="4C96F031"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78" w:type="pct"/>
            <w:vMerge w:val="restart"/>
            <w:tcBorders>
              <w:top w:val="nil"/>
              <w:left w:val="nil"/>
              <w:bottom w:val="nil"/>
              <w:right w:val="nil"/>
            </w:tcBorders>
            <w:shd w:val="clear" w:color="auto" w:fill="auto"/>
            <w:vAlign w:val="center"/>
            <w:hideMark/>
          </w:tcPr>
          <w:p w14:paraId="5589665C" w14:textId="77777777" w:rsidR="0067329E" w:rsidRPr="00AE4E8D" w:rsidRDefault="0067329E" w:rsidP="00E8320E">
            <w:pPr>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1328BA1B"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c>
          <w:tcPr>
            <w:tcW w:w="78" w:type="pct"/>
            <w:tcBorders>
              <w:top w:val="nil"/>
              <w:left w:val="nil"/>
              <w:bottom w:val="nil"/>
              <w:right w:val="nil"/>
            </w:tcBorders>
            <w:shd w:val="clear" w:color="auto" w:fill="auto"/>
            <w:noWrap/>
            <w:vAlign w:val="bottom"/>
            <w:hideMark/>
          </w:tcPr>
          <w:p w14:paraId="1C7859C1" w14:textId="77777777" w:rsidR="0067329E" w:rsidRPr="00AE4E8D" w:rsidRDefault="0067329E" w:rsidP="00E8320E">
            <w:pPr>
              <w:jc w:val="center"/>
              <w:rPr>
                <w:rFonts w:ascii="Times New Roman" w:hAnsi="Times New Roman"/>
                <w:sz w:val="16"/>
                <w:lang w:val="es-ES"/>
              </w:rPr>
            </w:pPr>
          </w:p>
        </w:tc>
        <w:tc>
          <w:tcPr>
            <w:tcW w:w="785" w:type="pct"/>
            <w:gridSpan w:val="3"/>
            <w:vMerge w:val="restart"/>
            <w:tcBorders>
              <w:top w:val="single" w:sz="8" w:space="0" w:color="auto"/>
              <w:left w:val="nil"/>
              <w:bottom w:val="nil"/>
              <w:right w:val="nil"/>
            </w:tcBorders>
            <w:shd w:val="clear" w:color="auto" w:fill="auto"/>
            <w:vAlign w:val="center"/>
            <w:hideMark/>
          </w:tcPr>
          <w:p w14:paraId="50180094"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78" w:type="pct"/>
            <w:vMerge w:val="restart"/>
            <w:tcBorders>
              <w:top w:val="nil"/>
              <w:left w:val="nil"/>
              <w:bottom w:val="nil"/>
              <w:right w:val="nil"/>
            </w:tcBorders>
            <w:shd w:val="clear" w:color="auto" w:fill="auto"/>
            <w:vAlign w:val="center"/>
            <w:hideMark/>
          </w:tcPr>
          <w:p w14:paraId="43DB01D6" w14:textId="77777777" w:rsidR="0067329E" w:rsidRPr="00AE4E8D" w:rsidRDefault="0067329E" w:rsidP="00E8320E">
            <w:pPr>
              <w:jc w:val="center"/>
              <w:rPr>
                <w:rFonts w:ascii="Times New Roman" w:hAnsi="Times New Roman"/>
                <w:color w:val="000000"/>
                <w:sz w:val="16"/>
                <w:lang w:val="es-ES"/>
              </w:rPr>
            </w:pPr>
          </w:p>
        </w:tc>
        <w:tc>
          <w:tcPr>
            <w:tcW w:w="296" w:type="pct"/>
            <w:tcBorders>
              <w:top w:val="nil"/>
              <w:left w:val="nil"/>
              <w:bottom w:val="nil"/>
              <w:right w:val="nil"/>
            </w:tcBorders>
            <w:shd w:val="clear" w:color="auto" w:fill="auto"/>
            <w:vAlign w:val="center"/>
            <w:hideMark/>
          </w:tcPr>
          <w:p w14:paraId="43E240F0"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r>
      <w:tr w:rsidR="003B5193" w:rsidRPr="00AE4E8D" w14:paraId="44C70AF9" w14:textId="77777777" w:rsidTr="00E8320E">
        <w:trPr>
          <w:trHeight w:val="225"/>
        </w:trPr>
        <w:tc>
          <w:tcPr>
            <w:tcW w:w="1091" w:type="pct"/>
            <w:vMerge/>
            <w:tcBorders>
              <w:top w:val="nil"/>
              <w:left w:val="nil"/>
              <w:bottom w:val="nil"/>
              <w:right w:val="nil"/>
            </w:tcBorders>
            <w:vAlign w:val="center"/>
            <w:hideMark/>
          </w:tcPr>
          <w:p w14:paraId="52325A04" w14:textId="77777777" w:rsidR="0067329E" w:rsidRPr="00AE4E8D" w:rsidRDefault="0067329E" w:rsidP="00E8320E">
            <w:pPr>
              <w:jc w:val="center"/>
              <w:rPr>
                <w:rFonts w:ascii="Times New Roman" w:hAnsi="Times New Roman"/>
                <w:color w:val="000000"/>
                <w:sz w:val="16"/>
                <w:lang w:val="es-ES"/>
              </w:rPr>
            </w:pPr>
          </w:p>
        </w:tc>
        <w:tc>
          <w:tcPr>
            <w:tcW w:w="2265" w:type="pct"/>
            <w:gridSpan w:val="9"/>
            <w:vMerge/>
            <w:tcBorders>
              <w:top w:val="nil"/>
              <w:left w:val="nil"/>
              <w:bottom w:val="nil"/>
              <w:right w:val="nil"/>
            </w:tcBorders>
            <w:vAlign w:val="center"/>
            <w:hideMark/>
          </w:tcPr>
          <w:p w14:paraId="70B419D3" w14:textId="77777777" w:rsidR="0067329E" w:rsidRPr="00AE4E8D" w:rsidRDefault="0067329E" w:rsidP="00E8320E">
            <w:pPr>
              <w:jc w:val="center"/>
              <w:rPr>
                <w:rFonts w:ascii="Times New Roman" w:hAnsi="Times New Roman"/>
                <w:color w:val="000000"/>
                <w:sz w:val="16"/>
                <w:lang w:val="es-ES"/>
              </w:rPr>
            </w:pPr>
          </w:p>
        </w:tc>
        <w:tc>
          <w:tcPr>
            <w:tcW w:w="78" w:type="pct"/>
            <w:vMerge/>
            <w:tcBorders>
              <w:top w:val="nil"/>
              <w:left w:val="nil"/>
              <w:bottom w:val="nil"/>
              <w:right w:val="nil"/>
            </w:tcBorders>
            <w:vAlign w:val="center"/>
            <w:hideMark/>
          </w:tcPr>
          <w:p w14:paraId="484FB3B4" w14:textId="77777777" w:rsidR="0067329E" w:rsidRPr="00AE4E8D" w:rsidRDefault="0067329E" w:rsidP="00E8320E">
            <w:pPr>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34ADEA91"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c>
          <w:tcPr>
            <w:tcW w:w="78" w:type="pct"/>
            <w:tcBorders>
              <w:top w:val="nil"/>
              <w:left w:val="nil"/>
              <w:bottom w:val="nil"/>
              <w:right w:val="nil"/>
            </w:tcBorders>
            <w:shd w:val="clear" w:color="auto" w:fill="auto"/>
            <w:noWrap/>
            <w:vAlign w:val="bottom"/>
            <w:hideMark/>
          </w:tcPr>
          <w:p w14:paraId="0F0C7EEA" w14:textId="77777777" w:rsidR="0067329E" w:rsidRPr="00AE4E8D" w:rsidRDefault="0067329E" w:rsidP="00E8320E">
            <w:pPr>
              <w:jc w:val="center"/>
              <w:rPr>
                <w:rFonts w:ascii="Times New Roman" w:hAnsi="Times New Roman"/>
                <w:sz w:val="16"/>
                <w:lang w:val="es-ES"/>
              </w:rPr>
            </w:pPr>
          </w:p>
        </w:tc>
        <w:tc>
          <w:tcPr>
            <w:tcW w:w="785" w:type="pct"/>
            <w:gridSpan w:val="3"/>
            <w:vMerge/>
            <w:tcBorders>
              <w:top w:val="nil"/>
              <w:left w:val="nil"/>
              <w:bottom w:val="nil"/>
              <w:right w:val="nil"/>
            </w:tcBorders>
            <w:vAlign w:val="center"/>
            <w:hideMark/>
          </w:tcPr>
          <w:p w14:paraId="6D6DA05C" w14:textId="77777777" w:rsidR="0067329E" w:rsidRPr="00AE4E8D" w:rsidRDefault="0067329E" w:rsidP="00E8320E">
            <w:pPr>
              <w:jc w:val="center"/>
              <w:rPr>
                <w:rFonts w:ascii="Times New Roman" w:hAnsi="Times New Roman"/>
                <w:color w:val="000000"/>
                <w:sz w:val="16"/>
                <w:lang w:val="es-ES"/>
              </w:rPr>
            </w:pPr>
          </w:p>
        </w:tc>
        <w:tc>
          <w:tcPr>
            <w:tcW w:w="78" w:type="pct"/>
            <w:vMerge/>
            <w:tcBorders>
              <w:top w:val="nil"/>
              <w:left w:val="nil"/>
              <w:bottom w:val="nil"/>
              <w:right w:val="nil"/>
            </w:tcBorders>
            <w:vAlign w:val="center"/>
            <w:hideMark/>
          </w:tcPr>
          <w:p w14:paraId="21ADE2F5" w14:textId="77777777" w:rsidR="0067329E" w:rsidRPr="00AE4E8D" w:rsidRDefault="0067329E" w:rsidP="00E8320E">
            <w:pPr>
              <w:jc w:val="center"/>
              <w:rPr>
                <w:rFonts w:ascii="Times New Roman" w:hAnsi="Times New Roman"/>
                <w:color w:val="000000"/>
                <w:sz w:val="16"/>
                <w:lang w:val="es-ES"/>
              </w:rPr>
            </w:pPr>
          </w:p>
        </w:tc>
        <w:tc>
          <w:tcPr>
            <w:tcW w:w="296" w:type="pct"/>
            <w:tcBorders>
              <w:top w:val="nil"/>
              <w:left w:val="nil"/>
              <w:bottom w:val="nil"/>
              <w:right w:val="nil"/>
            </w:tcBorders>
            <w:shd w:val="clear" w:color="auto" w:fill="auto"/>
            <w:vAlign w:val="center"/>
            <w:hideMark/>
          </w:tcPr>
          <w:p w14:paraId="26E89C75"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r>
      <w:tr w:rsidR="003B5193" w:rsidRPr="00AE4E8D" w14:paraId="627C4DBD" w14:textId="77777777" w:rsidTr="00E8320E">
        <w:trPr>
          <w:trHeight w:val="425"/>
        </w:trPr>
        <w:tc>
          <w:tcPr>
            <w:tcW w:w="1091" w:type="pct"/>
            <w:tcBorders>
              <w:top w:val="nil"/>
              <w:left w:val="nil"/>
              <w:bottom w:val="nil"/>
              <w:right w:val="nil"/>
            </w:tcBorders>
            <w:shd w:val="clear" w:color="auto" w:fill="auto"/>
            <w:vAlign w:val="center"/>
            <w:hideMark/>
          </w:tcPr>
          <w:p w14:paraId="22FCBD76" w14:textId="77777777" w:rsidR="0067329E" w:rsidRPr="00AE4E8D" w:rsidRDefault="0067329E" w:rsidP="00E8320E">
            <w:pPr>
              <w:rPr>
                <w:rFonts w:ascii="Times New Roman" w:hAnsi="Times New Roman"/>
                <w:b/>
                <w:color w:val="000000"/>
                <w:sz w:val="16"/>
                <w:lang w:val="es-ES"/>
              </w:rPr>
            </w:pPr>
            <w:r w:rsidRPr="00AE4E8D">
              <w:rPr>
                <w:rFonts w:ascii="Times New Roman" w:hAnsi="Times New Roman"/>
                <w:b/>
                <w:color w:val="000000"/>
                <w:sz w:val="16"/>
                <w:lang w:val="es-ES"/>
              </w:rPr>
              <w:t>ESTADO DE RESULTADOS CONSOLIDADO</w:t>
            </w:r>
          </w:p>
        </w:tc>
        <w:tc>
          <w:tcPr>
            <w:tcW w:w="339" w:type="pct"/>
            <w:tcBorders>
              <w:top w:val="nil"/>
              <w:left w:val="nil"/>
              <w:bottom w:val="nil"/>
              <w:right w:val="nil"/>
            </w:tcBorders>
            <w:shd w:val="clear" w:color="auto" w:fill="auto"/>
            <w:noWrap/>
            <w:vAlign w:val="center"/>
            <w:hideMark/>
          </w:tcPr>
          <w:p w14:paraId="54FD2AE3" w14:textId="77777777" w:rsidR="0067329E" w:rsidRPr="00AE4E8D" w:rsidRDefault="0067329E"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0F632A33" w14:textId="77777777" w:rsidR="0067329E" w:rsidRPr="00AE4E8D" w:rsidRDefault="0067329E" w:rsidP="00E8320E">
            <w:pPr>
              <w:jc w:val="center"/>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6A5690EF" w14:textId="77777777" w:rsidR="0067329E" w:rsidRPr="00AE4E8D" w:rsidRDefault="0067329E"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60319B0" w14:textId="77777777" w:rsidR="0067329E" w:rsidRPr="00AE4E8D" w:rsidRDefault="0067329E" w:rsidP="00E8320E">
            <w:pPr>
              <w:jc w:val="center"/>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0FFD27E4" w14:textId="77777777" w:rsidR="0067329E" w:rsidRPr="00AE4E8D" w:rsidRDefault="0067329E"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7DF01D15" w14:textId="77777777" w:rsidR="0067329E" w:rsidRPr="00AE4E8D" w:rsidRDefault="0067329E" w:rsidP="00E8320E">
            <w:pPr>
              <w:jc w:val="center"/>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7F98A4DD" w14:textId="77777777" w:rsidR="0067329E" w:rsidRPr="00AE4E8D" w:rsidRDefault="0067329E"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1DF9A467" w14:textId="77777777" w:rsidR="0067329E" w:rsidRPr="00AE4E8D" w:rsidRDefault="0067329E" w:rsidP="00E8320E">
            <w:pPr>
              <w:jc w:val="center"/>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0D24CF79" w14:textId="77777777" w:rsidR="0067329E" w:rsidRPr="00AE4E8D" w:rsidRDefault="0067329E"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vAlign w:val="center"/>
            <w:hideMark/>
          </w:tcPr>
          <w:p w14:paraId="58381671" w14:textId="77777777" w:rsidR="0067329E" w:rsidRPr="00AE4E8D" w:rsidRDefault="0067329E" w:rsidP="00E8320E">
            <w:pPr>
              <w:jc w:val="center"/>
              <w:rPr>
                <w:rFonts w:ascii="Times New Roman" w:hAnsi="Times New Roman"/>
                <w:color w:val="000000"/>
                <w:sz w:val="16"/>
                <w:lang w:val="es-ES"/>
              </w:rPr>
            </w:pPr>
          </w:p>
        </w:tc>
        <w:tc>
          <w:tcPr>
            <w:tcW w:w="328" w:type="pct"/>
            <w:tcBorders>
              <w:top w:val="nil"/>
              <w:left w:val="nil"/>
              <w:bottom w:val="nil"/>
              <w:right w:val="nil"/>
            </w:tcBorders>
            <w:shd w:val="clear" w:color="auto" w:fill="auto"/>
            <w:noWrap/>
            <w:vAlign w:val="center"/>
            <w:hideMark/>
          </w:tcPr>
          <w:p w14:paraId="7AC1E3CF" w14:textId="77777777" w:rsidR="0067329E" w:rsidRPr="00AE4E8D" w:rsidRDefault="0067329E" w:rsidP="00E8320E">
            <w:pPr>
              <w:jc w:val="center"/>
              <w:rPr>
                <w:rFonts w:ascii="Times New Roman" w:hAnsi="Times New Roman"/>
                <w:color w:val="000000"/>
                <w:sz w:val="16"/>
                <w:lang w:val="es-ES"/>
              </w:rPr>
            </w:pPr>
          </w:p>
        </w:tc>
        <w:tc>
          <w:tcPr>
            <w:tcW w:w="78" w:type="pct"/>
            <w:tcBorders>
              <w:top w:val="nil"/>
              <w:left w:val="nil"/>
              <w:bottom w:val="nil"/>
              <w:right w:val="nil"/>
            </w:tcBorders>
            <w:shd w:val="clear" w:color="auto" w:fill="auto"/>
            <w:noWrap/>
            <w:vAlign w:val="bottom"/>
            <w:hideMark/>
          </w:tcPr>
          <w:p w14:paraId="7B4D7894" w14:textId="77777777" w:rsidR="0067329E" w:rsidRPr="00AE4E8D" w:rsidRDefault="0067329E" w:rsidP="00E8320E">
            <w:pPr>
              <w:jc w:val="center"/>
              <w:rPr>
                <w:rFonts w:ascii="Times New Roman" w:hAnsi="Times New Roman"/>
                <w:sz w:val="16"/>
                <w:lang w:val="es-ES"/>
              </w:rPr>
            </w:pPr>
          </w:p>
        </w:tc>
        <w:tc>
          <w:tcPr>
            <w:tcW w:w="369" w:type="pct"/>
            <w:tcBorders>
              <w:top w:val="nil"/>
              <w:left w:val="nil"/>
              <w:bottom w:val="nil"/>
              <w:right w:val="nil"/>
            </w:tcBorders>
            <w:shd w:val="clear" w:color="auto" w:fill="auto"/>
            <w:noWrap/>
            <w:vAlign w:val="bottom"/>
            <w:hideMark/>
          </w:tcPr>
          <w:p w14:paraId="6617B3AF" w14:textId="77777777" w:rsidR="0067329E" w:rsidRPr="00AE4E8D" w:rsidRDefault="0067329E" w:rsidP="00E8320E">
            <w:pPr>
              <w:jc w:val="center"/>
              <w:rPr>
                <w:rFonts w:ascii="Times New Roman" w:hAnsi="Times New Roman"/>
                <w:sz w:val="16"/>
                <w:lang w:val="es-ES"/>
              </w:rPr>
            </w:pPr>
          </w:p>
        </w:tc>
        <w:tc>
          <w:tcPr>
            <w:tcW w:w="78" w:type="pct"/>
            <w:tcBorders>
              <w:top w:val="nil"/>
              <w:left w:val="nil"/>
              <w:bottom w:val="nil"/>
              <w:right w:val="nil"/>
            </w:tcBorders>
            <w:shd w:val="clear" w:color="auto" w:fill="auto"/>
            <w:noWrap/>
            <w:vAlign w:val="bottom"/>
            <w:hideMark/>
          </w:tcPr>
          <w:p w14:paraId="36552C66" w14:textId="77777777" w:rsidR="0067329E" w:rsidRPr="00AE4E8D" w:rsidRDefault="0067329E" w:rsidP="00E8320E">
            <w:pPr>
              <w:jc w:val="center"/>
              <w:rPr>
                <w:rFonts w:ascii="Times New Roman" w:hAnsi="Times New Roman"/>
                <w:sz w:val="16"/>
                <w:lang w:val="es-ES"/>
              </w:rPr>
            </w:pPr>
          </w:p>
        </w:tc>
        <w:tc>
          <w:tcPr>
            <w:tcW w:w="339" w:type="pct"/>
            <w:tcBorders>
              <w:top w:val="nil"/>
              <w:left w:val="nil"/>
              <w:bottom w:val="nil"/>
              <w:right w:val="nil"/>
            </w:tcBorders>
            <w:shd w:val="clear" w:color="auto" w:fill="auto"/>
            <w:noWrap/>
            <w:vAlign w:val="bottom"/>
            <w:hideMark/>
          </w:tcPr>
          <w:p w14:paraId="7C950723" w14:textId="77777777" w:rsidR="0067329E" w:rsidRPr="00AE4E8D" w:rsidRDefault="0067329E" w:rsidP="00E8320E">
            <w:pPr>
              <w:jc w:val="center"/>
              <w:rPr>
                <w:rFonts w:ascii="Times New Roman" w:hAnsi="Times New Roman"/>
                <w:sz w:val="16"/>
                <w:lang w:val="es-ES"/>
              </w:rPr>
            </w:pPr>
          </w:p>
        </w:tc>
        <w:tc>
          <w:tcPr>
            <w:tcW w:w="78" w:type="pct"/>
            <w:tcBorders>
              <w:top w:val="nil"/>
              <w:left w:val="nil"/>
              <w:bottom w:val="nil"/>
              <w:right w:val="nil"/>
            </w:tcBorders>
            <w:shd w:val="clear" w:color="auto" w:fill="auto"/>
            <w:noWrap/>
            <w:vAlign w:val="bottom"/>
            <w:hideMark/>
          </w:tcPr>
          <w:p w14:paraId="7C3FD1DB" w14:textId="77777777" w:rsidR="0067329E" w:rsidRPr="00AE4E8D" w:rsidRDefault="0067329E" w:rsidP="00E8320E">
            <w:pPr>
              <w:jc w:val="center"/>
              <w:rPr>
                <w:rFonts w:ascii="Times New Roman" w:hAnsi="Times New Roman"/>
                <w:sz w:val="16"/>
                <w:lang w:val="es-ES"/>
              </w:rPr>
            </w:pPr>
          </w:p>
        </w:tc>
        <w:tc>
          <w:tcPr>
            <w:tcW w:w="296" w:type="pct"/>
            <w:tcBorders>
              <w:top w:val="nil"/>
              <w:left w:val="nil"/>
              <w:bottom w:val="nil"/>
              <w:right w:val="nil"/>
            </w:tcBorders>
            <w:shd w:val="clear" w:color="auto" w:fill="auto"/>
            <w:noWrap/>
            <w:vAlign w:val="bottom"/>
            <w:hideMark/>
          </w:tcPr>
          <w:p w14:paraId="3762C069" w14:textId="77777777" w:rsidR="0067329E" w:rsidRPr="00AE4E8D" w:rsidRDefault="0067329E" w:rsidP="00E8320E">
            <w:pPr>
              <w:jc w:val="center"/>
              <w:rPr>
                <w:rFonts w:ascii="Times New Roman" w:hAnsi="Times New Roman"/>
                <w:sz w:val="16"/>
                <w:lang w:val="es-ES"/>
              </w:rPr>
            </w:pPr>
          </w:p>
        </w:tc>
      </w:tr>
      <w:tr w:rsidR="003B5193" w:rsidRPr="00AE4E8D" w14:paraId="7089B4DC" w14:textId="77777777" w:rsidTr="00E8320E">
        <w:trPr>
          <w:trHeight w:val="225"/>
        </w:trPr>
        <w:tc>
          <w:tcPr>
            <w:tcW w:w="1091" w:type="pct"/>
            <w:tcBorders>
              <w:top w:val="nil"/>
              <w:left w:val="nil"/>
              <w:bottom w:val="nil"/>
              <w:right w:val="nil"/>
            </w:tcBorders>
            <w:shd w:val="clear" w:color="auto" w:fill="auto"/>
            <w:noWrap/>
            <w:vAlign w:val="center"/>
            <w:hideMark/>
          </w:tcPr>
          <w:p w14:paraId="55BF4472"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Ingresos financieros</w:t>
            </w:r>
          </w:p>
        </w:tc>
        <w:tc>
          <w:tcPr>
            <w:tcW w:w="339" w:type="pct"/>
            <w:tcBorders>
              <w:top w:val="nil"/>
              <w:left w:val="nil"/>
              <w:bottom w:val="nil"/>
              <w:right w:val="nil"/>
            </w:tcBorders>
            <w:shd w:val="clear" w:color="auto" w:fill="auto"/>
            <w:noWrap/>
            <w:vAlign w:val="center"/>
            <w:hideMark/>
          </w:tcPr>
          <w:p w14:paraId="25B19BC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2.180.725</w:t>
            </w:r>
          </w:p>
        </w:tc>
        <w:tc>
          <w:tcPr>
            <w:tcW w:w="78" w:type="pct"/>
            <w:tcBorders>
              <w:top w:val="nil"/>
              <w:left w:val="nil"/>
              <w:bottom w:val="nil"/>
              <w:right w:val="nil"/>
            </w:tcBorders>
            <w:shd w:val="clear" w:color="auto" w:fill="auto"/>
            <w:vAlign w:val="center"/>
            <w:hideMark/>
          </w:tcPr>
          <w:p w14:paraId="29B15338"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12D25AD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3.232.073</w:t>
            </w:r>
          </w:p>
        </w:tc>
        <w:tc>
          <w:tcPr>
            <w:tcW w:w="78" w:type="pct"/>
            <w:tcBorders>
              <w:top w:val="nil"/>
              <w:left w:val="nil"/>
              <w:bottom w:val="nil"/>
              <w:right w:val="nil"/>
            </w:tcBorders>
            <w:shd w:val="clear" w:color="auto" w:fill="auto"/>
            <w:vAlign w:val="center"/>
            <w:hideMark/>
          </w:tcPr>
          <w:p w14:paraId="2AF3DF98"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68D59CD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5.294.899</w:t>
            </w:r>
          </w:p>
        </w:tc>
        <w:tc>
          <w:tcPr>
            <w:tcW w:w="78" w:type="pct"/>
            <w:tcBorders>
              <w:top w:val="nil"/>
              <w:left w:val="nil"/>
              <w:bottom w:val="nil"/>
              <w:right w:val="nil"/>
            </w:tcBorders>
            <w:shd w:val="clear" w:color="auto" w:fill="auto"/>
            <w:vAlign w:val="center"/>
            <w:hideMark/>
          </w:tcPr>
          <w:p w14:paraId="65EFB189"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377ABA2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7.246.612</w:t>
            </w:r>
          </w:p>
        </w:tc>
        <w:tc>
          <w:tcPr>
            <w:tcW w:w="78" w:type="pct"/>
            <w:tcBorders>
              <w:top w:val="nil"/>
              <w:left w:val="nil"/>
              <w:bottom w:val="nil"/>
              <w:right w:val="nil"/>
            </w:tcBorders>
            <w:shd w:val="clear" w:color="auto" w:fill="auto"/>
            <w:noWrap/>
            <w:vAlign w:val="bottom"/>
            <w:hideMark/>
          </w:tcPr>
          <w:p w14:paraId="7A44146D"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20D0848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9.377.958</w:t>
            </w:r>
          </w:p>
        </w:tc>
        <w:tc>
          <w:tcPr>
            <w:tcW w:w="78" w:type="pct"/>
            <w:tcBorders>
              <w:top w:val="nil"/>
              <w:left w:val="nil"/>
              <w:bottom w:val="nil"/>
              <w:right w:val="nil"/>
            </w:tcBorders>
            <w:shd w:val="clear" w:color="auto" w:fill="auto"/>
            <w:noWrap/>
            <w:vAlign w:val="bottom"/>
            <w:hideMark/>
          </w:tcPr>
          <w:p w14:paraId="7A78C3F2"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06020EC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591.662</w:t>
            </w:r>
          </w:p>
        </w:tc>
        <w:tc>
          <w:tcPr>
            <w:tcW w:w="78" w:type="pct"/>
            <w:tcBorders>
              <w:top w:val="nil"/>
              <w:left w:val="nil"/>
              <w:bottom w:val="nil"/>
              <w:right w:val="nil"/>
            </w:tcBorders>
            <w:shd w:val="clear" w:color="auto" w:fill="auto"/>
            <w:noWrap/>
            <w:vAlign w:val="bottom"/>
            <w:hideMark/>
          </w:tcPr>
          <w:p w14:paraId="17FCD510"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59867D3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4.743.515</w:t>
            </w:r>
          </w:p>
        </w:tc>
        <w:tc>
          <w:tcPr>
            <w:tcW w:w="78" w:type="pct"/>
            <w:tcBorders>
              <w:top w:val="nil"/>
              <w:left w:val="nil"/>
              <w:bottom w:val="nil"/>
              <w:right w:val="nil"/>
            </w:tcBorders>
            <w:shd w:val="clear" w:color="auto" w:fill="auto"/>
            <w:noWrap/>
            <w:vAlign w:val="bottom"/>
          </w:tcPr>
          <w:p w14:paraId="177E5584"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64A354B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5.331.279</w:t>
            </w:r>
          </w:p>
        </w:tc>
        <w:tc>
          <w:tcPr>
            <w:tcW w:w="78" w:type="pct"/>
            <w:tcBorders>
              <w:top w:val="nil"/>
              <w:left w:val="nil"/>
              <w:bottom w:val="nil"/>
              <w:right w:val="nil"/>
            </w:tcBorders>
            <w:shd w:val="clear" w:color="auto" w:fill="auto"/>
            <w:noWrap/>
            <w:vAlign w:val="bottom"/>
          </w:tcPr>
          <w:p w14:paraId="68F5A6F3"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3312BA8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321.190</w:t>
            </w:r>
          </w:p>
        </w:tc>
      </w:tr>
      <w:tr w:rsidR="003B5193" w:rsidRPr="00AE4E8D" w14:paraId="3251A316" w14:textId="77777777" w:rsidTr="00E8320E">
        <w:trPr>
          <w:trHeight w:val="239"/>
        </w:trPr>
        <w:tc>
          <w:tcPr>
            <w:tcW w:w="1091" w:type="pct"/>
            <w:tcBorders>
              <w:top w:val="nil"/>
              <w:left w:val="nil"/>
              <w:bottom w:val="nil"/>
              <w:right w:val="nil"/>
            </w:tcBorders>
            <w:shd w:val="clear" w:color="auto" w:fill="auto"/>
            <w:noWrap/>
            <w:vAlign w:val="center"/>
            <w:hideMark/>
          </w:tcPr>
          <w:p w14:paraId="6DEC5F7E"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Egresos financieros</w:t>
            </w:r>
          </w:p>
        </w:tc>
        <w:tc>
          <w:tcPr>
            <w:tcW w:w="339" w:type="pct"/>
            <w:tcBorders>
              <w:top w:val="nil"/>
              <w:left w:val="nil"/>
              <w:bottom w:val="nil"/>
              <w:right w:val="nil"/>
            </w:tcBorders>
            <w:shd w:val="clear" w:color="auto" w:fill="auto"/>
            <w:noWrap/>
            <w:vAlign w:val="center"/>
            <w:hideMark/>
          </w:tcPr>
          <w:p w14:paraId="2018637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(1.138.629)</w:t>
            </w:r>
          </w:p>
        </w:tc>
        <w:tc>
          <w:tcPr>
            <w:tcW w:w="78" w:type="pct"/>
            <w:tcBorders>
              <w:top w:val="nil"/>
              <w:left w:val="nil"/>
              <w:bottom w:val="nil"/>
              <w:right w:val="nil"/>
            </w:tcBorders>
            <w:shd w:val="clear" w:color="auto" w:fill="auto"/>
            <w:vAlign w:val="center"/>
            <w:hideMark/>
          </w:tcPr>
          <w:p w14:paraId="62AD1F27"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2691013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(1.602.511)</w:t>
            </w:r>
          </w:p>
        </w:tc>
        <w:tc>
          <w:tcPr>
            <w:tcW w:w="78" w:type="pct"/>
            <w:tcBorders>
              <w:top w:val="nil"/>
              <w:left w:val="nil"/>
              <w:bottom w:val="nil"/>
              <w:right w:val="nil"/>
            </w:tcBorders>
            <w:shd w:val="clear" w:color="auto" w:fill="auto"/>
            <w:vAlign w:val="center"/>
            <w:hideMark/>
          </w:tcPr>
          <w:p w14:paraId="23E8AA52"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single" w:sz="8" w:space="0" w:color="auto"/>
              <w:right w:val="nil"/>
            </w:tcBorders>
            <w:shd w:val="clear" w:color="auto" w:fill="auto"/>
            <w:noWrap/>
            <w:vAlign w:val="center"/>
            <w:hideMark/>
          </w:tcPr>
          <w:p w14:paraId="2FDAD1A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(2.973.378)</w:t>
            </w:r>
          </w:p>
        </w:tc>
        <w:tc>
          <w:tcPr>
            <w:tcW w:w="78" w:type="pct"/>
            <w:tcBorders>
              <w:top w:val="nil"/>
              <w:left w:val="nil"/>
              <w:bottom w:val="nil"/>
              <w:right w:val="nil"/>
            </w:tcBorders>
            <w:shd w:val="clear" w:color="auto" w:fill="auto"/>
            <w:vAlign w:val="center"/>
            <w:hideMark/>
          </w:tcPr>
          <w:p w14:paraId="78A8A5B0"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78E9447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(4.212.131)</w:t>
            </w:r>
          </w:p>
        </w:tc>
        <w:tc>
          <w:tcPr>
            <w:tcW w:w="78" w:type="pct"/>
            <w:tcBorders>
              <w:top w:val="nil"/>
              <w:left w:val="nil"/>
              <w:bottom w:val="nil"/>
              <w:right w:val="nil"/>
            </w:tcBorders>
            <w:shd w:val="clear" w:color="auto" w:fill="auto"/>
            <w:noWrap/>
            <w:vAlign w:val="bottom"/>
            <w:hideMark/>
          </w:tcPr>
          <w:p w14:paraId="27F4D9C2"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hideMark/>
          </w:tcPr>
          <w:p w14:paraId="7752AE6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(6.558.578)</w:t>
            </w:r>
          </w:p>
        </w:tc>
        <w:tc>
          <w:tcPr>
            <w:tcW w:w="78" w:type="pct"/>
            <w:tcBorders>
              <w:top w:val="nil"/>
              <w:left w:val="nil"/>
              <w:bottom w:val="nil"/>
              <w:right w:val="nil"/>
            </w:tcBorders>
            <w:shd w:val="clear" w:color="auto" w:fill="auto"/>
            <w:noWrap/>
            <w:vAlign w:val="bottom"/>
            <w:hideMark/>
          </w:tcPr>
          <w:p w14:paraId="39FAB2B0"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single" w:sz="8" w:space="0" w:color="auto"/>
              <w:right w:val="nil"/>
            </w:tcBorders>
            <w:shd w:val="clear" w:color="auto" w:fill="auto"/>
            <w:noWrap/>
            <w:vAlign w:val="center"/>
            <w:hideMark/>
          </w:tcPr>
          <w:p w14:paraId="61A5E62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(413.785)</w:t>
            </w:r>
          </w:p>
        </w:tc>
        <w:tc>
          <w:tcPr>
            <w:tcW w:w="78" w:type="pct"/>
            <w:tcBorders>
              <w:top w:val="nil"/>
              <w:left w:val="nil"/>
              <w:bottom w:val="nil"/>
              <w:right w:val="nil"/>
            </w:tcBorders>
            <w:shd w:val="clear" w:color="auto" w:fill="auto"/>
            <w:noWrap/>
            <w:vAlign w:val="bottom"/>
            <w:hideMark/>
          </w:tcPr>
          <w:p w14:paraId="347C16D4"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single" w:sz="8" w:space="0" w:color="auto"/>
              <w:right w:val="nil"/>
            </w:tcBorders>
            <w:shd w:val="clear" w:color="auto" w:fill="auto"/>
            <w:noWrap/>
            <w:vAlign w:val="center"/>
          </w:tcPr>
          <w:p w14:paraId="17848BA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(3.276.656)</w:t>
            </w:r>
          </w:p>
        </w:tc>
        <w:tc>
          <w:tcPr>
            <w:tcW w:w="78" w:type="pct"/>
            <w:tcBorders>
              <w:top w:val="nil"/>
              <w:left w:val="nil"/>
              <w:bottom w:val="nil"/>
              <w:right w:val="nil"/>
            </w:tcBorders>
            <w:shd w:val="clear" w:color="auto" w:fill="auto"/>
            <w:noWrap/>
            <w:vAlign w:val="bottom"/>
          </w:tcPr>
          <w:p w14:paraId="52ED2CF9"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tcPr>
          <w:p w14:paraId="6FE340F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(3.440.399)</w:t>
            </w:r>
          </w:p>
        </w:tc>
        <w:tc>
          <w:tcPr>
            <w:tcW w:w="78" w:type="pct"/>
            <w:tcBorders>
              <w:top w:val="nil"/>
              <w:left w:val="nil"/>
              <w:bottom w:val="nil"/>
              <w:right w:val="nil"/>
            </w:tcBorders>
            <w:shd w:val="clear" w:color="auto" w:fill="auto"/>
            <w:noWrap/>
            <w:vAlign w:val="bottom"/>
          </w:tcPr>
          <w:p w14:paraId="7C40553D"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single" w:sz="8" w:space="0" w:color="auto"/>
              <w:right w:val="nil"/>
            </w:tcBorders>
            <w:shd w:val="clear" w:color="auto" w:fill="auto"/>
            <w:noWrap/>
            <w:vAlign w:val="center"/>
          </w:tcPr>
          <w:p w14:paraId="4B12FBC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(207.272)</w:t>
            </w:r>
          </w:p>
        </w:tc>
      </w:tr>
      <w:tr w:rsidR="003B5193" w:rsidRPr="00AE4E8D" w14:paraId="063416A5" w14:textId="77777777" w:rsidTr="00E8320E">
        <w:trPr>
          <w:trHeight w:val="239"/>
        </w:trPr>
        <w:tc>
          <w:tcPr>
            <w:tcW w:w="1091" w:type="pct"/>
            <w:tcBorders>
              <w:top w:val="nil"/>
              <w:left w:val="nil"/>
              <w:bottom w:val="nil"/>
              <w:right w:val="nil"/>
            </w:tcBorders>
            <w:shd w:val="clear" w:color="auto" w:fill="auto"/>
            <w:noWrap/>
            <w:vAlign w:val="center"/>
            <w:hideMark/>
          </w:tcPr>
          <w:p w14:paraId="00EA59C3"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Margen financiero neto</w:t>
            </w:r>
          </w:p>
        </w:tc>
        <w:tc>
          <w:tcPr>
            <w:tcW w:w="339" w:type="pct"/>
            <w:tcBorders>
              <w:top w:val="single" w:sz="8" w:space="0" w:color="auto"/>
              <w:left w:val="nil"/>
              <w:bottom w:val="single" w:sz="8" w:space="0" w:color="auto"/>
              <w:right w:val="nil"/>
            </w:tcBorders>
            <w:shd w:val="clear" w:color="auto" w:fill="auto"/>
            <w:noWrap/>
            <w:vAlign w:val="center"/>
            <w:hideMark/>
          </w:tcPr>
          <w:p w14:paraId="39824E5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1.042.096</w:t>
            </w:r>
          </w:p>
        </w:tc>
        <w:tc>
          <w:tcPr>
            <w:tcW w:w="78" w:type="pct"/>
            <w:tcBorders>
              <w:top w:val="nil"/>
              <w:left w:val="nil"/>
              <w:bottom w:val="nil"/>
              <w:right w:val="nil"/>
            </w:tcBorders>
            <w:shd w:val="clear" w:color="auto" w:fill="auto"/>
            <w:vAlign w:val="center"/>
            <w:hideMark/>
          </w:tcPr>
          <w:p w14:paraId="5704BB98"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6B9DA6E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1.629.562</w:t>
            </w:r>
          </w:p>
        </w:tc>
        <w:tc>
          <w:tcPr>
            <w:tcW w:w="78" w:type="pct"/>
            <w:tcBorders>
              <w:top w:val="nil"/>
              <w:left w:val="nil"/>
              <w:bottom w:val="nil"/>
              <w:right w:val="nil"/>
            </w:tcBorders>
            <w:shd w:val="clear" w:color="auto" w:fill="auto"/>
            <w:vAlign w:val="center"/>
            <w:hideMark/>
          </w:tcPr>
          <w:p w14:paraId="1A1919AE"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single" w:sz="8" w:space="0" w:color="auto"/>
              <w:right w:val="nil"/>
            </w:tcBorders>
            <w:shd w:val="clear" w:color="auto" w:fill="auto"/>
            <w:noWrap/>
            <w:vAlign w:val="center"/>
            <w:hideMark/>
          </w:tcPr>
          <w:p w14:paraId="4FFAE46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2.321.521</w:t>
            </w:r>
          </w:p>
        </w:tc>
        <w:tc>
          <w:tcPr>
            <w:tcW w:w="78" w:type="pct"/>
            <w:tcBorders>
              <w:top w:val="nil"/>
              <w:left w:val="nil"/>
              <w:bottom w:val="nil"/>
              <w:right w:val="nil"/>
            </w:tcBorders>
            <w:shd w:val="clear" w:color="auto" w:fill="auto"/>
            <w:vAlign w:val="center"/>
            <w:hideMark/>
          </w:tcPr>
          <w:p w14:paraId="6718319B"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2633F56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3.034.481</w:t>
            </w:r>
          </w:p>
        </w:tc>
        <w:tc>
          <w:tcPr>
            <w:tcW w:w="78" w:type="pct"/>
            <w:tcBorders>
              <w:top w:val="nil"/>
              <w:left w:val="nil"/>
              <w:bottom w:val="nil"/>
              <w:right w:val="nil"/>
            </w:tcBorders>
            <w:shd w:val="clear" w:color="auto" w:fill="auto"/>
            <w:noWrap/>
            <w:vAlign w:val="bottom"/>
            <w:hideMark/>
          </w:tcPr>
          <w:p w14:paraId="32595D8F"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hideMark/>
          </w:tcPr>
          <w:p w14:paraId="2967103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2.819.380</w:t>
            </w:r>
          </w:p>
        </w:tc>
        <w:tc>
          <w:tcPr>
            <w:tcW w:w="78" w:type="pct"/>
            <w:tcBorders>
              <w:top w:val="nil"/>
              <w:left w:val="nil"/>
              <w:bottom w:val="nil"/>
              <w:right w:val="nil"/>
            </w:tcBorders>
            <w:shd w:val="clear" w:color="auto" w:fill="auto"/>
            <w:noWrap/>
            <w:vAlign w:val="bottom"/>
            <w:hideMark/>
          </w:tcPr>
          <w:p w14:paraId="71E4E816"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single" w:sz="8" w:space="0" w:color="auto"/>
              <w:right w:val="nil"/>
            </w:tcBorders>
            <w:shd w:val="clear" w:color="auto" w:fill="auto"/>
            <w:noWrap/>
            <w:vAlign w:val="center"/>
            <w:hideMark/>
          </w:tcPr>
          <w:p w14:paraId="75A88E5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177.877</w:t>
            </w:r>
          </w:p>
        </w:tc>
        <w:tc>
          <w:tcPr>
            <w:tcW w:w="78" w:type="pct"/>
            <w:tcBorders>
              <w:top w:val="nil"/>
              <w:left w:val="nil"/>
              <w:bottom w:val="nil"/>
              <w:right w:val="nil"/>
            </w:tcBorders>
            <w:shd w:val="clear" w:color="auto" w:fill="auto"/>
            <w:noWrap/>
            <w:vAlign w:val="bottom"/>
            <w:hideMark/>
          </w:tcPr>
          <w:p w14:paraId="5E69DDFF"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single" w:sz="8" w:space="0" w:color="auto"/>
              <w:right w:val="nil"/>
            </w:tcBorders>
            <w:shd w:val="clear" w:color="auto" w:fill="auto"/>
            <w:noWrap/>
            <w:vAlign w:val="center"/>
          </w:tcPr>
          <w:p w14:paraId="1E766E9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1.466.859</w:t>
            </w:r>
          </w:p>
        </w:tc>
        <w:tc>
          <w:tcPr>
            <w:tcW w:w="78" w:type="pct"/>
            <w:tcBorders>
              <w:top w:val="nil"/>
              <w:left w:val="nil"/>
              <w:bottom w:val="nil"/>
              <w:right w:val="nil"/>
            </w:tcBorders>
            <w:shd w:val="clear" w:color="auto" w:fill="auto"/>
            <w:noWrap/>
            <w:vAlign w:val="bottom"/>
          </w:tcPr>
          <w:p w14:paraId="407E0A86"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tcPr>
          <w:p w14:paraId="3E6684D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1.890.880</w:t>
            </w:r>
          </w:p>
        </w:tc>
        <w:tc>
          <w:tcPr>
            <w:tcW w:w="78" w:type="pct"/>
            <w:tcBorders>
              <w:top w:val="nil"/>
              <w:left w:val="nil"/>
              <w:bottom w:val="nil"/>
              <w:right w:val="nil"/>
            </w:tcBorders>
            <w:shd w:val="clear" w:color="auto" w:fill="auto"/>
            <w:noWrap/>
            <w:vAlign w:val="bottom"/>
          </w:tcPr>
          <w:p w14:paraId="7E02A429"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single" w:sz="8" w:space="0" w:color="auto"/>
              <w:right w:val="nil"/>
            </w:tcBorders>
            <w:shd w:val="clear" w:color="auto" w:fill="auto"/>
            <w:noWrap/>
            <w:vAlign w:val="center"/>
          </w:tcPr>
          <w:p w14:paraId="4660AF5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113.919</w:t>
            </w:r>
          </w:p>
        </w:tc>
      </w:tr>
      <w:tr w:rsidR="003B5193" w:rsidRPr="00AE4E8D" w14:paraId="62875219" w14:textId="77777777" w:rsidTr="00E8320E">
        <w:trPr>
          <w:trHeight w:val="225"/>
        </w:trPr>
        <w:tc>
          <w:tcPr>
            <w:tcW w:w="1091" w:type="pct"/>
            <w:tcBorders>
              <w:top w:val="nil"/>
              <w:left w:val="nil"/>
              <w:bottom w:val="nil"/>
              <w:right w:val="nil"/>
            </w:tcBorders>
            <w:shd w:val="clear" w:color="auto" w:fill="auto"/>
            <w:noWrap/>
            <w:vAlign w:val="center"/>
            <w:hideMark/>
          </w:tcPr>
          <w:p w14:paraId="17557097"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Cargo por incobrabilidad</w:t>
            </w:r>
          </w:p>
        </w:tc>
        <w:tc>
          <w:tcPr>
            <w:tcW w:w="339" w:type="pct"/>
            <w:tcBorders>
              <w:top w:val="nil"/>
              <w:left w:val="nil"/>
              <w:bottom w:val="nil"/>
              <w:right w:val="nil"/>
            </w:tcBorders>
            <w:shd w:val="clear" w:color="auto" w:fill="auto"/>
            <w:noWrap/>
            <w:vAlign w:val="center"/>
            <w:hideMark/>
          </w:tcPr>
          <w:p w14:paraId="43CD109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(200.922)</w:t>
            </w:r>
          </w:p>
        </w:tc>
        <w:tc>
          <w:tcPr>
            <w:tcW w:w="78" w:type="pct"/>
            <w:tcBorders>
              <w:top w:val="nil"/>
              <w:left w:val="nil"/>
              <w:bottom w:val="nil"/>
              <w:right w:val="nil"/>
            </w:tcBorders>
            <w:shd w:val="clear" w:color="auto" w:fill="auto"/>
            <w:vAlign w:val="center"/>
            <w:hideMark/>
          </w:tcPr>
          <w:p w14:paraId="2D036D58"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77868AA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(264.290)</w:t>
            </w:r>
          </w:p>
        </w:tc>
        <w:tc>
          <w:tcPr>
            <w:tcW w:w="78" w:type="pct"/>
            <w:tcBorders>
              <w:top w:val="nil"/>
              <w:left w:val="nil"/>
              <w:bottom w:val="nil"/>
              <w:right w:val="nil"/>
            </w:tcBorders>
            <w:shd w:val="clear" w:color="auto" w:fill="auto"/>
            <w:vAlign w:val="center"/>
            <w:hideMark/>
          </w:tcPr>
          <w:p w14:paraId="7F831A83"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639D039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(343.437)</w:t>
            </w:r>
          </w:p>
        </w:tc>
        <w:tc>
          <w:tcPr>
            <w:tcW w:w="78" w:type="pct"/>
            <w:tcBorders>
              <w:top w:val="nil"/>
              <w:left w:val="nil"/>
              <w:bottom w:val="nil"/>
              <w:right w:val="nil"/>
            </w:tcBorders>
            <w:shd w:val="clear" w:color="auto" w:fill="auto"/>
            <w:vAlign w:val="center"/>
            <w:hideMark/>
          </w:tcPr>
          <w:p w14:paraId="19A0406E"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33D47DC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(354.179)</w:t>
            </w:r>
          </w:p>
        </w:tc>
        <w:tc>
          <w:tcPr>
            <w:tcW w:w="78" w:type="pct"/>
            <w:tcBorders>
              <w:top w:val="nil"/>
              <w:left w:val="nil"/>
              <w:bottom w:val="nil"/>
              <w:right w:val="nil"/>
            </w:tcBorders>
            <w:shd w:val="clear" w:color="auto" w:fill="auto"/>
            <w:noWrap/>
            <w:vAlign w:val="bottom"/>
            <w:hideMark/>
          </w:tcPr>
          <w:p w14:paraId="79E8F4A8"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78FEBCE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(466.365)</w:t>
            </w:r>
          </w:p>
        </w:tc>
        <w:tc>
          <w:tcPr>
            <w:tcW w:w="78" w:type="pct"/>
            <w:tcBorders>
              <w:top w:val="nil"/>
              <w:left w:val="nil"/>
              <w:bottom w:val="nil"/>
              <w:right w:val="nil"/>
            </w:tcBorders>
            <w:shd w:val="clear" w:color="auto" w:fill="auto"/>
            <w:noWrap/>
            <w:vAlign w:val="bottom"/>
            <w:hideMark/>
          </w:tcPr>
          <w:p w14:paraId="5FA2BF84"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019A08B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(29.423)</w:t>
            </w:r>
          </w:p>
        </w:tc>
        <w:tc>
          <w:tcPr>
            <w:tcW w:w="78" w:type="pct"/>
            <w:tcBorders>
              <w:top w:val="nil"/>
              <w:left w:val="nil"/>
              <w:bottom w:val="nil"/>
              <w:right w:val="nil"/>
            </w:tcBorders>
            <w:shd w:val="clear" w:color="auto" w:fill="auto"/>
            <w:noWrap/>
            <w:vAlign w:val="bottom"/>
            <w:hideMark/>
          </w:tcPr>
          <w:p w14:paraId="0D4C2AB2"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3E0EB19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(200.792)</w:t>
            </w:r>
          </w:p>
        </w:tc>
        <w:tc>
          <w:tcPr>
            <w:tcW w:w="78" w:type="pct"/>
            <w:tcBorders>
              <w:top w:val="nil"/>
              <w:left w:val="nil"/>
              <w:bottom w:val="nil"/>
              <w:right w:val="nil"/>
            </w:tcBorders>
            <w:shd w:val="clear" w:color="auto" w:fill="auto"/>
            <w:noWrap/>
            <w:vAlign w:val="bottom"/>
          </w:tcPr>
          <w:p w14:paraId="54BF419C"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4844E0B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(379.680)</w:t>
            </w:r>
          </w:p>
        </w:tc>
        <w:tc>
          <w:tcPr>
            <w:tcW w:w="78" w:type="pct"/>
            <w:tcBorders>
              <w:top w:val="nil"/>
              <w:left w:val="nil"/>
              <w:bottom w:val="nil"/>
              <w:right w:val="nil"/>
            </w:tcBorders>
            <w:shd w:val="clear" w:color="auto" w:fill="auto"/>
            <w:noWrap/>
            <w:vAlign w:val="bottom"/>
          </w:tcPr>
          <w:p w14:paraId="156E1E5C"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3C8F5A4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(22.874)</w:t>
            </w:r>
          </w:p>
        </w:tc>
      </w:tr>
      <w:tr w:rsidR="003B5193" w:rsidRPr="00AE4E8D" w14:paraId="3254A8DF" w14:textId="77777777" w:rsidTr="00E8320E">
        <w:trPr>
          <w:trHeight w:val="225"/>
        </w:trPr>
        <w:tc>
          <w:tcPr>
            <w:tcW w:w="1091" w:type="pct"/>
            <w:tcBorders>
              <w:top w:val="nil"/>
              <w:left w:val="nil"/>
              <w:bottom w:val="nil"/>
              <w:right w:val="nil"/>
            </w:tcBorders>
            <w:shd w:val="clear" w:color="auto" w:fill="auto"/>
            <w:noWrap/>
            <w:vAlign w:val="center"/>
            <w:hideMark/>
          </w:tcPr>
          <w:p w14:paraId="7C657008"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Ingresos por Servicios</w:t>
            </w:r>
          </w:p>
        </w:tc>
        <w:tc>
          <w:tcPr>
            <w:tcW w:w="339" w:type="pct"/>
            <w:tcBorders>
              <w:top w:val="nil"/>
              <w:left w:val="nil"/>
              <w:bottom w:val="nil"/>
              <w:right w:val="nil"/>
            </w:tcBorders>
            <w:shd w:val="clear" w:color="auto" w:fill="auto"/>
            <w:noWrap/>
            <w:vAlign w:val="center"/>
            <w:hideMark/>
          </w:tcPr>
          <w:p w14:paraId="5A87D2C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1.172.154</w:t>
            </w:r>
          </w:p>
        </w:tc>
        <w:tc>
          <w:tcPr>
            <w:tcW w:w="78" w:type="pct"/>
            <w:tcBorders>
              <w:top w:val="nil"/>
              <w:left w:val="nil"/>
              <w:bottom w:val="nil"/>
              <w:right w:val="nil"/>
            </w:tcBorders>
            <w:shd w:val="clear" w:color="auto" w:fill="auto"/>
            <w:vAlign w:val="center"/>
            <w:hideMark/>
          </w:tcPr>
          <w:p w14:paraId="27ADD71D"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53223D9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1.737.320</w:t>
            </w:r>
          </w:p>
        </w:tc>
        <w:tc>
          <w:tcPr>
            <w:tcW w:w="78" w:type="pct"/>
            <w:tcBorders>
              <w:top w:val="nil"/>
              <w:left w:val="nil"/>
              <w:bottom w:val="nil"/>
              <w:right w:val="nil"/>
            </w:tcBorders>
            <w:shd w:val="clear" w:color="auto" w:fill="auto"/>
            <w:vAlign w:val="center"/>
            <w:hideMark/>
          </w:tcPr>
          <w:p w14:paraId="63A0A8D5"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2579E65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2.609.450</w:t>
            </w:r>
          </w:p>
        </w:tc>
        <w:tc>
          <w:tcPr>
            <w:tcW w:w="78" w:type="pct"/>
            <w:tcBorders>
              <w:top w:val="nil"/>
              <w:left w:val="nil"/>
              <w:bottom w:val="nil"/>
              <w:right w:val="nil"/>
            </w:tcBorders>
            <w:shd w:val="clear" w:color="auto" w:fill="auto"/>
            <w:vAlign w:val="center"/>
            <w:hideMark/>
          </w:tcPr>
          <w:p w14:paraId="5085A3B1"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31E5973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3.934.395</w:t>
            </w:r>
          </w:p>
        </w:tc>
        <w:tc>
          <w:tcPr>
            <w:tcW w:w="78" w:type="pct"/>
            <w:tcBorders>
              <w:top w:val="nil"/>
              <w:left w:val="nil"/>
              <w:bottom w:val="nil"/>
              <w:right w:val="nil"/>
            </w:tcBorders>
            <w:shd w:val="clear" w:color="auto" w:fill="auto"/>
            <w:noWrap/>
            <w:vAlign w:val="bottom"/>
            <w:hideMark/>
          </w:tcPr>
          <w:p w14:paraId="4FE6F19F"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69D0360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5.139.888</w:t>
            </w:r>
          </w:p>
        </w:tc>
        <w:tc>
          <w:tcPr>
            <w:tcW w:w="78" w:type="pct"/>
            <w:tcBorders>
              <w:top w:val="nil"/>
              <w:left w:val="nil"/>
              <w:bottom w:val="nil"/>
              <w:right w:val="nil"/>
            </w:tcBorders>
            <w:shd w:val="clear" w:color="auto" w:fill="auto"/>
            <w:noWrap/>
            <w:vAlign w:val="bottom"/>
            <w:hideMark/>
          </w:tcPr>
          <w:p w14:paraId="73B59F81"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19B5067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324.279</w:t>
            </w:r>
          </w:p>
        </w:tc>
        <w:tc>
          <w:tcPr>
            <w:tcW w:w="78" w:type="pct"/>
            <w:tcBorders>
              <w:top w:val="nil"/>
              <w:left w:val="nil"/>
              <w:bottom w:val="nil"/>
              <w:right w:val="nil"/>
            </w:tcBorders>
            <w:shd w:val="clear" w:color="auto" w:fill="auto"/>
            <w:noWrap/>
            <w:vAlign w:val="bottom"/>
            <w:hideMark/>
          </w:tcPr>
          <w:p w14:paraId="50C5943D"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46D4CAE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2.258.673</w:t>
            </w:r>
          </w:p>
        </w:tc>
        <w:tc>
          <w:tcPr>
            <w:tcW w:w="78" w:type="pct"/>
            <w:tcBorders>
              <w:top w:val="nil"/>
              <w:left w:val="nil"/>
              <w:bottom w:val="nil"/>
              <w:right w:val="nil"/>
            </w:tcBorders>
            <w:shd w:val="clear" w:color="auto" w:fill="auto"/>
            <w:noWrap/>
            <w:vAlign w:val="bottom"/>
          </w:tcPr>
          <w:p w14:paraId="6C795C48"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06D617D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2.922.960</w:t>
            </w:r>
          </w:p>
        </w:tc>
        <w:tc>
          <w:tcPr>
            <w:tcW w:w="78" w:type="pct"/>
            <w:tcBorders>
              <w:top w:val="nil"/>
              <w:left w:val="nil"/>
              <w:bottom w:val="nil"/>
              <w:right w:val="nil"/>
            </w:tcBorders>
            <w:shd w:val="clear" w:color="auto" w:fill="auto"/>
            <w:noWrap/>
            <w:vAlign w:val="bottom"/>
          </w:tcPr>
          <w:p w14:paraId="5E5E4DBA"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62D8CD9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176.098</w:t>
            </w:r>
          </w:p>
        </w:tc>
      </w:tr>
      <w:tr w:rsidR="003B5193" w:rsidRPr="00AE4E8D" w14:paraId="6FA2EEC2" w14:textId="77777777" w:rsidTr="00E8320E">
        <w:trPr>
          <w:trHeight w:val="225"/>
        </w:trPr>
        <w:tc>
          <w:tcPr>
            <w:tcW w:w="1091" w:type="pct"/>
            <w:tcBorders>
              <w:top w:val="nil"/>
              <w:left w:val="nil"/>
              <w:bottom w:val="nil"/>
              <w:right w:val="nil"/>
            </w:tcBorders>
            <w:shd w:val="clear" w:color="auto" w:fill="auto"/>
            <w:noWrap/>
            <w:vAlign w:val="center"/>
            <w:hideMark/>
          </w:tcPr>
          <w:p w14:paraId="74DF4CA0"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Egresos por servicios</w:t>
            </w:r>
          </w:p>
        </w:tc>
        <w:tc>
          <w:tcPr>
            <w:tcW w:w="339" w:type="pct"/>
            <w:tcBorders>
              <w:top w:val="nil"/>
              <w:left w:val="nil"/>
              <w:bottom w:val="nil"/>
              <w:right w:val="nil"/>
            </w:tcBorders>
            <w:shd w:val="clear" w:color="auto" w:fill="auto"/>
            <w:noWrap/>
            <w:vAlign w:val="center"/>
            <w:hideMark/>
          </w:tcPr>
          <w:p w14:paraId="358B794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(191.331)</w:t>
            </w:r>
          </w:p>
        </w:tc>
        <w:tc>
          <w:tcPr>
            <w:tcW w:w="78" w:type="pct"/>
            <w:tcBorders>
              <w:top w:val="nil"/>
              <w:left w:val="nil"/>
              <w:bottom w:val="nil"/>
              <w:right w:val="nil"/>
            </w:tcBorders>
            <w:shd w:val="clear" w:color="auto" w:fill="auto"/>
            <w:vAlign w:val="center"/>
            <w:hideMark/>
          </w:tcPr>
          <w:p w14:paraId="42B79871"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185FFB2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(518.039)</w:t>
            </w:r>
          </w:p>
        </w:tc>
        <w:tc>
          <w:tcPr>
            <w:tcW w:w="78" w:type="pct"/>
            <w:tcBorders>
              <w:top w:val="nil"/>
              <w:left w:val="nil"/>
              <w:bottom w:val="nil"/>
              <w:right w:val="nil"/>
            </w:tcBorders>
            <w:shd w:val="clear" w:color="auto" w:fill="auto"/>
            <w:vAlign w:val="center"/>
            <w:hideMark/>
          </w:tcPr>
          <w:p w14:paraId="3531A676"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4CCBBA4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(699.632)</w:t>
            </w:r>
          </w:p>
        </w:tc>
        <w:tc>
          <w:tcPr>
            <w:tcW w:w="78" w:type="pct"/>
            <w:tcBorders>
              <w:top w:val="nil"/>
              <w:left w:val="nil"/>
              <w:bottom w:val="nil"/>
              <w:right w:val="nil"/>
            </w:tcBorders>
            <w:shd w:val="clear" w:color="auto" w:fill="auto"/>
            <w:vAlign w:val="center"/>
            <w:hideMark/>
          </w:tcPr>
          <w:p w14:paraId="3EB74071"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172FFD6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(908.820)</w:t>
            </w:r>
          </w:p>
        </w:tc>
        <w:tc>
          <w:tcPr>
            <w:tcW w:w="78" w:type="pct"/>
            <w:tcBorders>
              <w:top w:val="nil"/>
              <w:left w:val="nil"/>
              <w:bottom w:val="nil"/>
              <w:right w:val="nil"/>
            </w:tcBorders>
            <w:shd w:val="clear" w:color="auto" w:fill="auto"/>
            <w:noWrap/>
            <w:vAlign w:val="bottom"/>
            <w:hideMark/>
          </w:tcPr>
          <w:p w14:paraId="271A184A"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2F22929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(1.251.453)</w:t>
            </w:r>
          </w:p>
        </w:tc>
        <w:tc>
          <w:tcPr>
            <w:tcW w:w="78" w:type="pct"/>
            <w:tcBorders>
              <w:top w:val="nil"/>
              <w:left w:val="nil"/>
              <w:bottom w:val="nil"/>
              <w:right w:val="nil"/>
            </w:tcBorders>
            <w:shd w:val="clear" w:color="auto" w:fill="auto"/>
            <w:noWrap/>
            <w:vAlign w:val="bottom"/>
            <w:hideMark/>
          </w:tcPr>
          <w:p w14:paraId="5C5F9907"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5A7E956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(78.955)</w:t>
            </w:r>
          </w:p>
        </w:tc>
        <w:tc>
          <w:tcPr>
            <w:tcW w:w="78" w:type="pct"/>
            <w:tcBorders>
              <w:top w:val="nil"/>
              <w:left w:val="nil"/>
              <w:bottom w:val="nil"/>
              <w:right w:val="nil"/>
            </w:tcBorders>
            <w:shd w:val="clear" w:color="auto" w:fill="auto"/>
            <w:noWrap/>
            <w:vAlign w:val="bottom"/>
            <w:hideMark/>
          </w:tcPr>
          <w:p w14:paraId="4535A366"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35CA4EE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(524.909)</w:t>
            </w:r>
          </w:p>
        </w:tc>
        <w:tc>
          <w:tcPr>
            <w:tcW w:w="78" w:type="pct"/>
            <w:tcBorders>
              <w:top w:val="nil"/>
              <w:left w:val="nil"/>
              <w:bottom w:val="nil"/>
              <w:right w:val="nil"/>
            </w:tcBorders>
            <w:shd w:val="clear" w:color="auto" w:fill="auto"/>
            <w:noWrap/>
            <w:vAlign w:val="bottom"/>
          </w:tcPr>
          <w:p w14:paraId="2D40EAE0"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2E7F64C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(645.011)</w:t>
            </w:r>
          </w:p>
        </w:tc>
        <w:tc>
          <w:tcPr>
            <w:tcW w:w="78" w:type="pct"/>
            <w:tcBorders>
              <w:top w:val="nil"/>
              <w:left w:val="nil"/>
              <w:bottom w:val="nil"/>
              <w:right w:val="nil"/>
            </w:tcBorders>
            <w:shd w:val="clear" w:color="auto" w:fill="auto"/>
            <w:noWrap/>
            <w:vAlign w:val="bottom"/>
          </w:tcPr>
          <w:p w14:paraId="6848D744"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4D772A6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(38.860)</w:t>
            </w:r>
          </w:p>
        </w:tc>
      </w:tr>
      <w:tr w:rsidR="003B5193" w:rsidRPr="00AE4E8D" w14:paraId="2BB7CC22" w14:textId="77777777" w:rsidTr="00E8320E">
        <w:trPr>
          <w:trHeight w:val="225"/>
        </w:trPr>
        <w:tc>
          <w:tcPr>
            <w:tcW w:w="1091" w:type="pct"/>
            <w:tcBorders>
              <w:top w:val="nil"/>
              <w:left w:val="nil"/>
              <w:bottom w:val="nil"/>
              <w:right w:val="nil"/>
            </w:tcBorders>
            <w:shd w:val="clear" w:color="auto" w:fill="auto"/>
            <w:noWrap/>
            <w:vAlign w:val="center"/>
            <w:hideMark/>
          </w:tcPr>
          <w:p w14:paraId="58AE88E7"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Gastos administrativos</w:t>
            </w:r>
          </w:p>
        </w:tc>
        <w:tc>
          <w:tcPr>
            <w:tcW w:w="339" w:type="pct"/>
            <w:tcBorders>
              <w:top w:val="nil"/>
              <w:left w:val="nil"/>
              <w:bottom w:val="nil"/>
              <w:right w:val="nil"/>
            </w:tcBorders>
            <w:shd w:val="clear" w:color="auto" w:fill="auto"/>
            <w:noWrap/>
            <w:vAlign w:val="center"/>
            <w:hideMark/>
          </w:tcPr>
          <w:p w14:paraId="3AC6ECA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(1.440.391)</w:t>
            </w:r>
          </w:p>
        </w:tc>
        <w:tc>
          <w:tcPr>
            <w:tcW w:w="78" w:type="pct"/>
            <w:tcBorders>
              <w:top w:val="nil"/>
              <w:left w:val="nil"/>
              <w:bottom w:val="nil"/>
              <w:right w:val="nil"/>
            </w:tcBorders>
            <w:shd w:val="clear" w:color="auto" w:fill="auto"/>
            <w:vAlign w:val="center"/>
            <w:hideMark/>
          </w:tcPr>
          <w:p w14:paraId="7C7150E7"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2399B6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(1.896.956)</w:t>
            </w:r>
          </w:p>
        </w:tc>
        <w:tc>
          <w:tcPr>
            <w:tcW w:w="78" w:type="pct"/>
            <w:tcBorders>
              <w:top w:val="nil"/>
              <w:left w:val="nil"/>
              <w:bottom w:val="nil"/>
              <w:right w:val="nil"/>
            </w:tcBorders>
            <w:shd w:val="clear" w:color="auto" w:fill="auto"/>
            <w:vAlign w:val="center"/>
            <w:hideMark/>
          </w:tcPr>
          <w:p w14:paraId="170B0D58"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1E0B9D6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(2.855.738)</w:t>
            </w:r>
          </w:p>
        </w:tc>
        <w:tc>
          <w:tcPr>
            <w:tcW w:w="78" w:type="pct"/>
            <w:tcBorders>
              <w:top w:val="nil"/>
              <w:left w:val="nil"/>
              <w:bottom w:val="nil"/>
              <w:right w:val="nil"/>
            </w:tcBorders>
            <w:shd w:val="clear" w:color="auto" w:fill="auto"/>
            <w:vAlign w:val="center"/>
            <w:hideMark/>
          </w:tcPr>
          <w:p w14:paraId="3EA2F168"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0C13ECF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(3.952.592)</w:t>
            </w:r>
          </w:p>
        </w:tc>
        <w:tc>
          <w:tcPr>
            <w:tcW w:w="78" w:type="pct"/>
            <w:tcBorders>
              <w:top w:val="nil"/>
              <w:left w:val="nil"/>
              <w:bottom w:val="nil"/>
              <w:right w:val="nil"/>
            </w:tcBorders>
            <w:shd w:val="clear" w:color="auto" w:fill="auto"/>
            <w:noWrap/>
            <w:vAlign w:val="bottom"/>
            <w:hideMark/>
          </w:tcPr>
          <w:p w14:paraId="73766C76"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212BD59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(5.014.461)</w:t>
            </w:r>
          </w:p>
        </w:tc>
        <w:tc>
          <w:tcPr>
            <w:tcW w:w="78" w:type="pct"/>
            <w:tcBorders>
              <w:top w:val="nil"/>
              <w:left w:val="nil"/>
              <w:bottom w:val="nil"/>
              <w:right w:val="nil"/>
            </w:tcBorders>
            <w:shd w:val="clear" w:color="auto" w:fill="auto"/>
            <w:noWrap/>
            <w:vAlign w:val="bottom"/>
            <w:hideMark/>
          </w:tcPr>
          <w:p w14:paraId="29ACE854"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6959B16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(316.366)</w:t>
            </w:r>
          </w:p>
        </w:tc>
        <w:tc>
          <w:tcPr>
            <w:tcW w:w="78" w:type="pct"/>
            <w:tcBorders>
              <w:top w:val="nil"/>
              <w:left w:val="nil"/>
              <w:bottom w:val="nil"/>
              <w:right w:val="nil"/>
            </w:tcBorders>
            <w:shd w:val="clear" w:color="auto" w:fill="auto"/>
            <w:noWrap/>
            <w:vAlign w:val="bottom"/>
            <w:hideMark/>
          </w:tcPr>
          <w:p w14:paraId="30F6F8C2"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0DB2037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(2.343.889)</w:t>
            </w:r>
          </w:p>
        </w:tc>
        <w:tc>
          <w:tcPr>
            <w:tcW w:w="78" w:type="pct"/>
            <w:tcBorders>
              <w:top w:val="nil"/>
              <w:left w:val="nil"/>
              <w:bottom w:val="nil"/>
              <w:right w:val="nil"/>
            </w:tcBorders>
            <w:shd w:val="clear" w:color="auto" w:fill="auto"/>
            <w:noWrap/>
            <w:vAlign w:val="bottom"/>
          </w:tcPr>
          <w:p w14:paraId="013CCA86"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143230A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(2.812.407)</w:t>
            </w:r>
          </w:p>
        </w:tc>
        <w:tc>
          <w:tcPr>
            <w:tcW w:w="78" w:type="pct"/>
            <w:tcBorders>
              <w:top w:val="nil"/>
              <w:left w:val="nil"/>
              <w:bottom w:val="nil"/>
              <w:right w:val="nil"/>
            </w:tcBorders>
            <w:shd w:val="clear" w:color="auto" w:fill="auto"/>
            <w:noWrap/>
            <w:vAlign w:val="bottom"/>
          </w:tcPr>
          <w:p w14:paraId="648226F3"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701D364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(169.437)</w:t>
            </w:r>
          </w:p>
        </w:tc>
      </w:tr>
      <w:tr w:rsidR="003B5193" w:rsidRPr="00AE4E8D" w14:paraId="26375C12" w14:textId="77777777" w:rsidTr="00E8320E">
        <w:trPr>
          <w:trHeight w:val="225"/>
        </w:trPr>
        <w:tc>
          <w:tcPr>
            <w:tcW w:w="1091" w:type="pct"/>
            <w:tcBorders>
              <w:top w:val="nil"/>
              <w:left w:val="nil"/>
              <w:bottom w:val="nil"/>
              <w:right w:val="nil"/>
            </w:tcBorders>
            <w:shd w:val="clear" w:color="auto" w:fill="auto"/>
            <w:noWrap/>
            <w:vAlign w:val="center"/>
            <w:hideMark/>
          </w:tcPr>
          <w:p w14:paraId="451F10E3"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Resultado neto por intermediación financiera</w:t>
            </w:r>
          </w:p>
        </w:tc>
        <w:tc>
          <w:tcPr>
            <w:tcW w:w="339" w:type="pct"/>
            <w:tcBorders>
              <w:top w:val="nil"/>
              <w:left w:val="nil"/>
              <w:bottom w:val="nil"/>
              <w:right w:val="nil"/>
            </w:tcBorders>
            <w:shd w:val="clear" w:color="auto" w:fill="auto"/>
            <w:noWrap/>
            <w:vAlign w:val="center"/>
            <w:hideMark/>
          </w:tcPr>
          <w:p w14:paraId="53D7BAD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381.606</w:t>
            </w:r>
          </w:p>
        </w:tc>
        <w:tc>
          <w:tcPr>
            <w:tcW w:w="78" w:type="pct"/>
            <w:tcBorders>
              <w:top w:val="nil"/>
              <w:left w:val="nil"/>
              <w:bottom w:val="nil"/>
              <w:right w:val="nil"/>
            </w:tcBorders>
            <w:shd w:val="clear" w:color="auto" w:fill="auto"/>
            <w:vAlign w:val="center"/>
            <w:hideMark/>
          </w:tcPr>
          <w:p w14:paraId="1626C26A"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67FD11D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687.597</w:t>
            </w:r>
          </w:p>
        </w:tc>
        <w:tc>
          <w:tcPr>
            <w:tcW w:w="78" w:type="pct"/>
            <w:tcBorders>
              <w:top w:val="nil"/>
              <w:left w:val="nil"/>
              <w:bottom w:val="nil"/>
              <w:right w:val="nil"/>
            </w:tcBorders>
            <w:shd w:val="clear" w:color="auto" w:fill="auto"/>
            <w:vAlign w:val="center"/>
            <w:hideMark/>
          </w:tcPr>
          <w:p w14:paraId="72A2E4FC"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6E377CF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1.032.164</w:t>
            </w:r>
          </w:p>
        </w:tc>
        <w:tc>
          <w:tcPr>
            <w:tcW w:w="78" w:type="pct"/>
            <w:tcBorders>
              <w:top w:val="nil"/>
              <w:left w:val="nil"/>
              <w:bottom w:val="nil"/>
              <w:right w:val="nil"/>
            </w:tcBorders>
            <w:shd w:val="clear" w:color="auto" w:fill="auto"/>
            <w:vAlign w:val="center"/>
            <w:hideMark/>
          </w:tcPr>
          <w:p w14:paraId="61C340BD"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1A97877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1.753.285</w:t>
            </w:r>
          </w:p>
        </w:tc>
        <w:tc>
          <w:tcPr>
            <w:tcW w:w="78" w:type="pct"/>
            <w:tcBorders>
              <w:top w:val="nil"/>
              <w:left w:val="nil"/>
              <w:bottom w:val="nil"/>
              <w:right w:val="nil"/>
            </w:tcBorders>
            <w:shd w:val="clear" w:color="auto" w:fill="auto"/>
            <w:noWrap/>
            <w:vAlign w:val="bottom"/>
            <w:hideMark/>
          </w:tcPr>
          <w:p w14:paraId="42350D9D"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0858260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1.226.989</w:t>
            </w:r>
          </w:p>
        </w:tc>
        <w:tc>
          <w:tcPr>
            <w:tcW w:w="78" w:type="pct"/>
            <w:tcBorders>
              <w:top w:val="nil"/>
              <w:left w:val="nil"/>
              <w:bottom w:val="nil"/>
              <w:right w:val="nil"/>
            </w:tcBorders>
            <w:shd w:val="clear" w:color="auto" w:fill="auto"/>
            <w:noWrap/>
            <w:vAlign w:val="bottom"/>
            <w:hideMark/>
          </w:tcPr>
          <w:p w14:paraId="38B72319"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64CA400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77.412</w:t>
            </w:r>
          </w:p>
        </w:tc>
        <w:tc>
          <w:tcPr>
            <w:tcW w:w="78" w:type="pct"/>
            <w:tcBorders>
              <w:top w:val="nil"/>
              <w:left w:val="nil"/>
              <w:bottom w:val="nil"/>
              <w:right w:val="nil"/>
            </w:tcBorders>
            <w:shd w:val="clear" w:color="auto" w:fill="auto"/>
            <w:noWrap/>
            <w:vAlign w:val="bottom"/>
            <w:hideMark/>
          </w:tcPr>
          <w:p w14:paraId="3E077DD3"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4072D85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655.942</w:t>
            </w:r>
          </w:p>
        </w:tc>
        <w:tc>
          <w:tcPr>
            <w:tcW w:w="78" w:type="pct"/>
            <w:tcBorders>
              <w:top w:val="nil"/>
              <w:left w:val="nil"/>
              <w:bottom w:val="nil"/>
              <w:right w:val="nil"/>
            </w:tcBorders>
            <w:shd w:val="clear" w:color="auto" w:fill="auto"/>
            <w:noWrap/>
            <w:vAlign w:val="bottom"/>
          </w:tcPr>
          <w:p w14:paraId="10E2C03A"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65F5282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976.742</w:t>
            </w:r>
          </w:p>
        </w:tc>
        <w:tc>
          <w:tcPr>
            <w:tcW w:w="78" w:type="pct"/>
            <w:tcBorders>
              <w:top w:val="nil"/>
              <w:left w:val="nil"/>
              <w:bottom w:val="nil"/>
              <w:right w:val="nil"/>
            </w:tcBorders>
            <w:shd w:val="clear" w:color="auto" w:fill="auto"/>
            <w:noWrap/>
            <w:vAlign w:val="bottom"/>
          </w:tcPr>
          <w:p w14:paraId="0911DA54"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0CF1758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58.845</w:t>
            </w:r>
          </w:p>
        </w:tc>
      </w:tr>
      <w:tr w:rsidR="003B5193" w:rsidRPr="00AE4E8D" w14:paraId="0A9F88DA" w14:textId="77777777" w:rsidTr="00E8320E">
        <w:trPr>
          <w:trHeight w:val="225"/>
        </w:trPr>
        <w:tc>
          <w:tcPr>
            <w:tcW w:w="1091" w:type="pct"/>
            <w:tcBorders>
              <w:top w:val="nil"/>
              <w:left w:val="nil"/>
              <w:bottom w:val="nil"/>
              <w:right w:val="nil"/>
            </w:tcBorders>
            <w:shd w:val="clear" w:color="auto" w:fill="auto"/>
            <w:noWrap/>
            <w:vAlign w:val="center"/>
            <w:hideMark/>
          </w:tcPr>
          <w:p w14:paraId="34D3DAB5"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Utilidades diversas</w:t>
            </w:r>
          </w:p>
        </w:tc>
        <w:tc>
          <w:tcPr>
            <w:tcW w:w="339" w:type="pct"/>
            <w:tcBorders>
              <w:top w:val="nil"/>
              <w:left w:val="nil"/>
              <w:bottom w:val="nil"/>
              <w:right w:val="nil"/>
            </w:tcBorders>
            <w:shd w:val="clear" w:color="auto" w:fill="auto"/>
            <w:noWrap/>
            <w:vAlign w:val="center"/>
            <w:hideMark/>
          </w:tcPr>
          <w:p w14:paraId="3E7A262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209.427</w:t>
            </w:r>
          </w:p>
        </w:tc>
        <w:tc>
          <w:tcPr>
            <w:tcW w:w="78" w:type="pct"/>
            <w:tcBorders>
              <w:top w:val="nil"/>
              <w:left w:val="nil"/>
              <w:bottom w:val="nil"/>
              <w:right w:val="nil"/>
            </w:tcBorders>
            <w:shd w:val="clear" w:color="auto" w:fill="auto"/>
            <w:vAlign w:val="center"/>
            <w:hideMark/>
          </w:tcPr>
          <w:p w14:paraId="6F156154"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243CD3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177.082</w:t>
            </w:r>
          </w:p>
        </w:tc>
        <w:tc>
          <w:tcPr>
            <w:tcW w:w="78" w:type="pct"/>
            <w:tcBorders>
              <w:top w:val="nil"/>
              <w:left w:val="nil"/>
              <w:bottom w:val="nil"/>
              <w:right w:val="nil"/>
            </w:tcBorders>
            <w:shd w:val="clear" w:color="auto" w:fill="auto"/>
            <w:vAlign w:val="center"/>
            <w:hideMark/>
          </w:tcPr>
          <w:p w14:paraId="1E23F6C5"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64BEA3D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280.534</w:t>
            </w:r>
          </w:p>
        </w:tc>
        <w:tc>
          <w:tcPr>
            <w:tcW w:w="78" w:type="pct"/>
            <w:tcBorders>
              <w:top w:val="nil"/>
              <w:left w:val="nil"/>
              <w:bottom w:val="nil"/>
              <w:right w:val="nil"/>
            </w:tcBorders>
            <w:shd w:val="clear" w:color="auto" w:fill="auto"/>
            <w:vAlign w:val="center"/>
            <w:hideMark/>
          </w:tcPr>
          <w:p w14:paraId="00A0DC8F"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3639FED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494.984</w:t>
            </w:r>
          </w:p>
        </w:tc>
        <w:tc>
          <w:tcPr>
            <w:tcW w:w="78" w:type="pct"/>
            <w:tcBorders>
              <w:top w:val="nil"/>
              <w:left w:val="nil"/>
              <w:bottom w:val="nil"/>
              <w:right w:val="nil"/>
            </w:tcBorders>
            <w:shd w:val="clear" w:color="auto" w:fill="auto"/>
            <w:noWrap/>
            <w:vAlign w:val="bottom"/>
            <w:hideMark/>
          </w:tcPr>
          <w:p w14:paraId="69F1597D"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6B02F33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512.526</w:t>
            </w:r>
          </w:p>
        </w:tc>
        <w:tc>
          <w:tcPr>
            <w:tcW w:w="78" w:type="pct"/>
            <w:tcBorders>
              <w:top w:val="nil"/>
              <w:left w:val="nil"/>
              <w:bottom w:val="nil"/>
              <w:right w:val="nil"/>
            </w:tcBorders>
            <w:shd w:val="clear" w:color="auto" w:fill="auto"/>
            <w:noWrap/>
            <w:vAlign w:val="bottom"/>
            <w:hideMark/>
          </w:tcPr>
          <w:p w14:paraId="6B3A5B67"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38D15C2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32.335</w:t>
            </w:r>
          </w:p>
        </w:tc>
        <w:tc>
          <w:tcPr>
            <w:tcW w:w="78" w:type="pct"/>
            <w:tcBorders>
              <w:top w:val="nil"/>
              <w:left w:val="nil"/>
              <w:bottom w:val="nil"/>
              <w:right w:val="nil"/>
            </w:tcBorders>
            <w:shd w:val="clear" w:color="auto" w:fill="auto"/>
            <w:noWrap/>
            <w:vAlign w:val="bottom"/>
            <w:hideMark/>
          </w:tcPr>
          <w:p w14:paraId="52C926FF"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09E9F4E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336.400</w:t>
            </w:r>
          </w:p>
        </w:tc>
        <w:tc>
          <w:tcPr>
            <w:tcW w:w="78" w:type="pct"/>
            <w:tcBorders>
              <w:top w:val="nil"/>
              <w:left w:val="nil"/>
              <w:bottom w:val="nil"/>
              <w:right w:val="nil"/>
            </w:tcBorders>
            <w:shd w:val="clear" w:color="auto" w:fill="auto"/>
            <w:noWrap/>
            <w:vAlign w:val="bottom"/>
          </w:tcPr>
          <w:p w14:paraId="6F643952"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72F7F9F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339.341</w:t>
            </w:r>
          </w:p>
        </w:tc>
        <w:tc>
          <w:tcPr>
            <w:tcW w:w="78" w:type="pct"/>
            <w:tcBorders>
              <w:top w:val="nil"/>
              <w:left w:val="nil"/>
              <w:bottom w:val="nil"/>
              <w:right w:val="nil"/>
            </w:tcBorders>
            <w:shd w:val="clear" w:color="auto" w:fill="auto"/>
            <w:noWrap/>
            <w:vAlign w:val="bottom"/>
          </w:tcPr>
          <w:p w14:paraId="2E3D909D"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0AE191B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20.444</w:t>
            </w:r>
          </w:p>
        </w:tc>
      </w:tr>
      <w:tr w:rsidR="003B5193" w:rsidRPr="00AE4E8D" w14:paraId="78CCFC2E" w14:textId="77777777" w:rsidTr="00E8320E">
        <w:trPr>
          <w:trHeight w:val="225"/>
        </w:trPr>
        <w:tc>
          <w:tcPr>
            <w:tcW w:w="1091" w:type="pct"/>
            <w:tcBorders>
              <w:top w:val="nil"/>
              <w:left w:val="nil"/>
              <w:bottom w:val="nil"/>
              <w:right w:val="nil"/>
            </w:tcBorders>
            <w:shd w:val="clear" w:color="auto" w:fill="auto"/>
            <w:noWrap/>
            <w:vAlign w:val="center"/>
            <w:hideMark/>
          </w:tcPr>
          <w:p w14:paraId="2551BA3C"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Pérdidas diversas</w:t>
            </w:r>
          </w:p>
        </w:tc>
        <w:tc>
          <w:tcPr>
            <w:tcW w:w="339" w:type="pct"/>
            <w:tcBorders>
              <w:top w:val="nil"/>
              <w:left w:val="nil"/>
              <w:bottom w:val="nil"/>
              <w:right w:val="nil"/>
            </w:tcBorders>
            <w:shd w:val="clear" w:color="auto" w:fill="auto"/>
            <w:noWrap/>
            <w:vAlign w:val="center"/>
            <w:hideMark/>
          </w:tcPr>
          <w:p w14:paraId="4B625BA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(182.761)</w:t>
            </w:r>
          </w:p>
        </w:tc>
        <w:tc>
          <w:tcPr>
            <w:tcW w:w="78" w:type="pct"/>
            <w:tcBorders>
              <w:top w:val="nil"/>
              <w:left w:val="nil"/>
              <w:bottom w:val="nil"/>
              <w:right w:val="nil"/>
            </w:tcBorders>
            <w:shd w:val="clear" w:color="auto" w:fill="auto"/>
            <w:vAlign w:val="center"/>
            <w:hideMark/>
          </w:tcPr>
          <w:p w14:paraId="1761DC13"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0447B4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(242.428)</w:t>
            </w:r>
          </w:p>
        </w:tc>
        <w:tc>
          <w:tcPr>
            <w:tcW w:w="78" w:type="pct"/>
            <w:tcBorders>
              <w:top w:val="nil"/>
              <w:left w:val="nil"/>
              <w:bottom w:val="nil"/>
              <w:right w:val="nil"/>
            </w:tcBorders>
            <w:shd w:val="clear" w:color="auto" w:fill="auto"/>
            <w:vAlign w:val="center"/>
            <w:hideMark/>
          </w:tcPr>
          <w:p w14:paraId="7E3B0DDD"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3A8FCFC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(361.738)</w:t>
            </w:r>
          </w:p>
        </w:tc>
        <w:tc>
          <w:tcPr>
            <w:tcW w:w="78" w:type="pct"/>
            <w:tcBorders>
              <w:top w:val="nil"/>
              <w:left w:val="nil"/>
              <w:bottom w:val="nil"/>
              <w:right w:val="nil"/>
            </w:tcBorders>
            <w:shd w:val="clear" w:color="auto" w:fill="auto"/>
            <w:vAlign w:val="center"/>
            <w:hideMark/>
          </w:tcPr>
          <w:p w14:paraId="3A229567"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5BCA6C4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(546.633)</w:t>
            </w:r>
          </w:p>
        </w:tc>
        <w:tc>
          <w:tcPr>
            <w:tcW w:w="78" w:type="pct"/>
            <w:tcBorders>
              <w:top w:val="nil"/>
              <w:left w:val="nil"/>
              <w:bottom w:val="nil"/>
              <w:right w:val="nil"/>
            </w:tcBorders>
            <w:shd w:val="clear" w:color="auto" w:fill="auto"/>
            <w:noWrap/>
            <w:vAlign w:val="bottom"/>
            <w:hideMark/>
          </w:tcPr>
          <w:p w14:paraId="7FA8D427"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0ADFDFB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(593.351)</w:t>
            </w:r>
          </w:p>
        </w:tc>
        <w:tc>
          <w:tcPr>
            <w:tcW w:w="78" w:type="pct"/>
            <w:tcBorders>
              <w:top w:val="nil"/>
              <w:left w:val="nil"/>
              <w:bottom w:val="nil"/>
              <w:right w:val="nil"/>
            </w:tcBorders>
            <w:shd w:val="clear" w:color="auto" w:fill="auto"/>
            <w:noWrap/>
            <w:vAlign w:val="bottom"/>
            <w:hideMark/>
          </w:tcPr>
          <w:p w14:paraId="4997545D"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4D8C538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(37.435)</w:t>
            </w:r>
          </w:p>
        </w:tc>
        <w:tc>
          <w:tcPr>
            <w:tcW w:w="78" w:type="pct"/>
            <w:tcBorders>
              <w:top w:val="nil"/>
              <w:left w:val="nil"/>
              <w:bottom w:val="nil"/>
              <w:right w:val="nil"/>
            </w:tcBorders>
            <w:shd w:val="clear" w:color="auto" w:fill="auto"/>
            <w:noWrap/>
            <w:vAlign w:val="bottom"/>
            <w:hideMark/>
          </w:tcPr>
          <w:p w14:paraId="1B6DDA95"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60674CD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(367.693)</w:t>
            </w:r>
          </w:p>
        </w:tc>
        <w:tc>
          <w:tcPr>
            <w:tcW w:w="78" w:type="pct"/>
            <w:tcBorders>
              <w:top w:val="nil"/>
              <w:left w:val="nil"/>
              <w:bottom w:val="nil"/>
              <w:right w:val="nil"/>
            </w:tcBorders>
            <w:shd w:val="clear" w:color="auto" w:fill="auto"/>
            <w:noWrap/>
            <w:vAlign w:val="bottom"/>
          </w:tcPr>
          <w:p w14:paraId="75FC7FBE"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72BD847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(366.591)</w:t>
            </w:r>
          </w:p>
        </w:tc>
        <w:tc>
          <w:tcPr>
            <w:tcW w:w="78" w:type="pct"/>
            <w:tcBorders>
              <w:top w:val="nil"/>
              <w:left w:val="nil"/>
              <w:bottom w:val="nil"/>
              <w:right w:val="nil"/>
            </w:tcBorders>
            <w:shd w:val="clear" w:color="auto" w:fill="auto"/>
            <w:noWrap/>
            <w:vAlign w:val="bottom"/>
          </w:tcPr>
          <w:p w14:paraId="6B8FF7E3"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0D25A8E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(22.086)</w:t>
            </w:r>
          </w:p>
        </w:tc>
      </w:tr>
      <w:tr w:rsidR="003B5193" w:rsidRPr="00AE4E8D" w14:paraId="3F54E58F" w14:textId="77777777" w:rsidTr="00E8320E">
        <w:trPr>
          <w:trHeight w:val="225"/>
        </w:trPr>
        <w:tc>
          <w:tcPr>
            <w:tcW w:w="1091" w:type="pct"/>
            <w:tcBorders>
              <w:top w:val="nil"/>
              <w:left w:val="nil"/>
              <w:bottom w:val="nil"/>
              <w:right w:val="nil"/>
            </w:tcBorders>
            <w:shd w:val="clear" w:color="auto" w:fill="auto"/>
            <w:noWrap/>
            <w:vAlign w:val="center"/>
            <w:hideMark/>
          </w:tcPr>
          <w:p w14:paraId="6AF36A3E"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Impuesto a las ganancias</w:t>
            </w:r>
          </w:p>
        </w:tc>
        <w:tc>
          <w:tcPr>
            <w:tcW w:w="339" w:type="pct"/>
            <w:tcBorders>
              <w:top w:val="nil"/>
              <w:left w:val="nil"/>
              <w:bottom w:val="nil"/>
              <w:right w:val="nil"/>
            </w:tcBorders>
            <w:shd w:val="clear" w:color="auto" w:fill="auto"/>
            <w:noWrap/>
            <w:vAlign w:val="center"/>
            <w:hideMark/>
          </w:tcPr>
          <w:p w14:paraId="173FBE5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(55.096)</w:t>
            </w:r>
          </w:p>
        </w:tc>
        <w:tc>
          <w:tcPr>
            <w:tcW w:w="78" w:type="pct"/>
            <w:tcBorders>
              <w:top w:val="nil"/>
              <w:left w:val="nil"/>
              <w:bottom w:val="nil"/>
              <w:right w:val="nil"/>
            </w:tcBorders>
            <w:shd w:val="clear" w:color="auto" w:fill="auto"/>
            <w:vAlign w:val="center"/>
            <w:hideMark/>
          </w:tcPr>
          <w:p w14:paraId="0375E627"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5D0B11C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(194.123)</w:t>
            </w:r>
          </w:p>
        </w:tc>
        <w:tc>
          <w:tcPr>
            <w:tcW w:w="78" w:type="pct"/>
            <w:tcBorders>
              <w:top w:val="nil"/>
              <w:left w:val="nil"/>
              <w:bottom w:val="nil"/>
              <w:right w:val="nil"/>
            </w:tcBorders>
            <w:shd w:val="clear" w:color="auto" w:fill="auto"/>
            <w:vAlign w:val="center"/>
            <w:hideMark/>
          </w:tcPr>
          <w:p w14:paraId="0CB5CE32"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35B411E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(426.641)</w:t>
            </w:r>
          </w:p>
        </w:tc>
        <w:tc>
          <w:tcPr>
            <w:tcW w:w="78" w:type="pct"/>
            <w:tcBorders>
              <w:top w:val="nil"/>
              <w:left w:val="nil"/>
              <w:bottom w:val="nil"/>
              <w:right w:val="nil"/>
            </w:tcBorders>
            <w:shd w:val="clear" w:color="auto" w:fill="auto"/>
            <w:vAlign w:val="center"/>
            <w:hideMark/>
          </w:tcPr>
          <w:p w14:paraId="581FBE88"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54DD4BA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(618.899)</w:t>
            </w:r>
          </w:p>
        </w:tc>
        <w:tc>
          <w:tcPr>
            <w:tcW w:w="78" w:type="pct"/>
            <w:tcBorders>
              <w:top w:val="nil"/>
              <w:left w:val="nil"/>
              <w:bottom w:val="nil"/>
              <w:right w:val="nil"/>
            </w:tcBorders>
            <w:shd w:val="clear" w:color="auto" w:fill="auto"/>
            <w:noWrap/>
            <w:vAlign w:val="bottom"/>
            <w:hideMark/>
          </w:tcPr>
          <w:p w14:paraId="48AC6D95"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19F4C92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(516.179)</w:t>
            </w:r>
          </w:p>
        </w:tc>
        <w:tc>
          <w:tcPr>
            <w:tcW w:w="78" w:type="pct"/>
            <w:tcBorders>
              <w:top w:val="nil"/>
              <w:left w:val="nil"/>
              <w:bottom w:val="nil"/>
              <w:right w:val="nil"/>
            </w:tcBorders>
            <w:shd w:val="clear" w:color="auto" w:fill="auto"/>
            <w:noWrap/>
            <w:vAlign w:val="bottom"/>
            <w:hideMark/>
          </w:tcPr>
          <w:p w14:paraId="5ED54603"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36EBDC6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(32..566)</w:t>
            </w:r>
          </w:p>
        </w:tc>
        <w:tc>
          <w:tcPr>
            <w:tcW w:w="78" w:type="pct"/>
            <w:tcBorders>
              <w:top w:val="nil"/>
              <w:left w:val="nil"/>
              <w:bottom w:val="nil"/>
              <w:right w:val="nil"/>
            </w:tcBorders>
            <w:shd w:val="clear" w:color="auto" w:fill="auto"/>
            <w:noWrap/>
            <w:vAlign w:val="bottom"/>
            <w:hideMark/>
          </w:tcPr>
          <w:p w14:paraId="1173F454"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2870ECD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(251.700)</w:t>
            </w:r>
          </w:p>
        </w:tc>
        <w:tc>
          <w:tcPr>
            <w:tcW w:w="78" w:type="pct"/>
            <w:tcBorders>
              <w:top w:val="nil"/>
              <w:left w:val="nil"/>
              <w:bottom w:val="nil"/>
              <w:right w:val="nil"/>
            </w:tcBorders>
            <w:shd w:val="clear" w:color="auto" w:fill="auto"/>
            <w:noWrap/>
            <w:vAlign w:val="bottom"/>
          </w:tcPr>
          <w:p w14:paraId="0F3BDCE3"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0695BAF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(279.627)</w:t>
            </w:r>
          </w:p>
        </w:tc>
        <w:tc>
          <w:tcPr>
            <w:tcW w:w="78" w:type="pct"/>
            <w:tcBorders>
              <w:top w:val="nil"/>
              <w:left w:val="nil"/>
              <w:bottom w:val="nil"/>
              <w:right w:val="nil"/>
            </w:tcBorders>
            <w:shd w:val="clear" w:color="auto" w:fill="auto"/>
            <w:noWrap/>
            <w:vAlign w:val="bottom"/>
          </w:tcPr>
          <w:p w14:paraId="39319E85"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3F9B2E8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(16.847)</w:t>
            </w:r>
          </w:p>
        </w:tc>
      </w:tr>
      <w:tr w:rsidR="003B5193" w:rsidRPr="00AE4E8D" w14:paraId="74202996" w14:textId="77777777" w:rsidTr="00E8320E">
        <w:trPr>
          <w:trHeight w:val="239"/>
        </w:trPr>
        <w:tc>
          <w:tcPr>
            <w:tcW w:w="1091" w:type="pct"/>
            <w:tcBorders>
              <w:top w:val="nil"/>
              <w:left w:val="nil"/>
              <w:bottom w:val="nil"/>
              <w:right w:val="nil"/>
            </w:tcBorders>
            <w:shd w:val="clear" w:color="auto" w:fill="auto"/>
            <w:noWrap/>
            <w:vAlign w:val="center"/>
            <w:hideMark/>
          </w:tcPr>
          <w:p w14:paraId="36F763BC"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Participación no controlante</w:t>
            </w:r>
          </w:p>
        </w:tc>
        <w:tc>
          <w:tcPr>
            <w:tcW w:w="339" w:type="pct"/>
            <w:tcBorders>
              <w:top w:val="nil"/>
              <w:left w:val="nil"/>
              <w:bottom w:val="nil"/>
              <w:right w:val="nil"/>
            </w:tcBorders>
            <w:shd w:val="clear" w:color="auto" w:fill="auto"/>
            <w:noWrap/>
            <w:vAlign w:val="center"/>
            <w:hideMark/>
          </w:tcPr>
          <w:p w14:paraId="4BB9F36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(9.569)</w:t>
            </w:r>
          </w:p>
        </w:tc>
        <w:tc>
          <w:tcPr>
            <w:tcW w:w="78" w:type="pct"/>
            <w:tcBorders>
              <w:top w:val="nil"/>
              <w:left w:val="nil"/>
              <w:bottom w:val="nil"/>
              <w:right w:val="nil"/>
            </w:tcBorders>
            <w:shd w:val="clear" w:color="auto" w:fill="auto"/>
            <w:vAlign w:val="center"/>
            <w:hideMark/>
          </w:tcPr>
          <w:p w14:paraId="37BB4A33"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271A5E9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(7.178)</w:t>
            </w:r>
          </w:p>
        </w:tc>
        <w:tc>
          <w:tcPr>
            <w:tcW w:w="78" w:type="pct"/>
            <w:tcBorders>
              <w:top w:val="nil"/>
              <w:left w:val="nil"/>
              <w:bottom w:val="nil"/>
              <w:right w:val="nil"/>
            </w:tcBorders>
            <w:shd w:val="clear" w:color="auto" w:fill="auto"/>
            <w:vAlign w:val="center"/>
            <w:hideMark/>
          </w:tcPr>
          <w:p w14:paraId="39AACAED"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single" w:sz="8" w:space="0" w:color="auto"/>
              <w:right w:val="nil"/>
            </w:tcBorders>
            <w:shd w:val="clear" w:color="auto" w:fill="auto"/>
            <w:noWrap/>
            <w:vAlign w:val="center"/>
            <w:hideMark/>
          </w:tcPr>
          <w:p w14:paraId="6837AF4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25.653</w:t>
            </w:r>
          </w:p>
        </w:tc>
        <w:tc>
          <w:tcPr>
            <w:tcW w:w="78" w:type="pct"/>
            <w:tcBorders>
              <w:top w:val="nil"/>
              <w:left w:val="nil"/>
              <w:bottom w:val="nil"/>
              <w:right w:val="nil"/>
            </w:tcBorders>
            <w:shd w:val="clear" w:color="auto" w:fill="auto"/>
            <w:vAlign w:val="center"/>
            <w:hideMark/>
          </w:tcPr>
          <w:p w14:paraId="3B4D0892"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single" w:sz="8" w:space="0" w:color="auto"/>
              <w:right w:val="nil"/>
            </w:tcBorders>
            <w:shd w:val="clear" w:color="auto" w:fill="auto"/>
            <w:noWrap/>
            <w:vAlign w:val="center"/>
            <w:hideMark/>
          </w:tcPr>
          <w:p w14:paraId="154E9C9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3.077</w:t>
            </w:r>
          </w:p>
        </w:tc>
        <w:tc>
          <w:tcPr>
            <w:tcW w:w="78" w:type="pct"/>
            <w:tcBorders>
              <w:top w:val="nil"/>
              <w:left w:val="nil"/>
              <w:bottom w:val="nil"/>
              <w:right w:val="nil"/>
            </w:tcBorders>
            <w:shd w:val="clear" w:color="auto" w:fill="auto"/>
            <w:noWrap/>
            <w:vAlign w:val="bottom"/>
            <w:hideMark/>
          </w:tcPr>
          <w:p w14:paraId="03D9EE47"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hideMark/>
          </w:tcPr>
          <w:p w14:paraId="5A96CDB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(14.657)</w:t>
            </w:r>
          </w:p>
        </w:tc>
        <w:tc>
          <w:tcPr>
            <w:tcW w:w="78" w:type="pct"/>
            <w:tcBorders>
              <w:top w:val="nil"/>
              <w:left w:val="nil"/>
              <w:bottom w:val="nil"/>
              <w:right w:val="nil"/>
            </w:tcBorders>
            <w:shd w:val="clear" w:color="auto" w:fill="auto"/>
            <w:noWrap/>
            <w:vAlign w:val="bottom"/>
            <w:hideMark/>
          </w:tcPr>
          <w:p w14:paraId="665EE0F6"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single" w:sz="8" w:space="0" w:color="auto"/>
              <w:right w:val="nil"/>
            </w:tcBorders>
            <w:shd w:val="clear" w:color="auto" w:fill="auto"/>
            <w:noWrap/>
            <w:vAlign w:val="center"/>
            <w:hideMark/>
          </w:tcPr>
          <w:p w14:paraId="60E9246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(925)</w:t>
            </w:r>
          </w:p>
        </w:tc>
        <w:tc>
          <w:tcPr>
            <w:tcW w:w="78" w:type="pct"/>
            <w:tcBorders>
              <w:top w:val="nil"/>
              <w:left w:val="nil"/>
              <w:bottom w:val="nil"/>
              <w:right w:val="nil"/>
            </w:tcBorders>
            <w:shd w:val="clear" w:color="auto" w:fill="auto"/>
            <w:noWrap/>
            <w:vAlign w:val="bottom"/>
            <w:hideMark/>
          </w:tcPr>
          <w:p w14:paraId="6B260729"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single" w:sz="8" w:space="0" w:color="auto"/>
              <w:right w:val="nil"/>
            </w:tcBorders>
            <w:shd w:val="clear" w:color="auto" w:fill="auto"/>
            <w:noWrap/>
            <w:vAlign w:val="center"/>
          </w:tcPr>
          <w:p w14:paraId="2CEDB33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2.393</w:t>
            </w:r>
          </w:p>
        </w:tc>
        <w:tc>
          <w:tcPr>
            <w:tcW w:w="78" w:type="pct"/>
            <w:tcBorders>
              <w:top w:val="nil"/>
              <w:left w:val="nil"/>
              <w:bottom w:val="nil"/>
              <w:right w:val="nil"/>
            </w:tcBorders>
            <w:shd w:val="clear" w:color="auto" w:fill="auto"/>
            <w:noWrap/>
            <w:vAlign w:val="bottom"/>
          </w:tcPr>
          <w:p w14:paraId="36023B66"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single" w:sz="8" w:space="0" w:color="auto"/>
              <w:right w:val="nil"/>
            </w:tcBorders>
            <w:shd w:val="clear" w:color="auto" w:fill="auto"/>
            <w:noWrap/>
            <w:vAlign w:val="center"/>
          </w:tcPr>
          <w:p w14:paraId="0EAD84C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(44.892)</w:t>
            </w:r>
          </w:p>
        </w:tc>
        <w:tc>
          <w:tcPr>
            <w:tcW w:w="78" w:type="pct"/>
            <w:tcBorders>
              <w:top w:val="nil"/>
              <w:left w:val="nil"/>
              <w:bottom w:val="nil"/>
              <w:right w:val="nil"/>
            </w:tcBorders>
            <w:shd w:val="clear" w:color="auto" w:fill="auto"/>
            <w:noWrap/>
            <w:vAlign w:val="bottom"/>
          </w:tcPr>
          <w:p w14:paraId="31CBC67F"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single" w:sz="8" w:space="0" w:color="auto"/>
              <w:right w:val="nil"/>
            </w:tcBorders>
            <w:shd w:val="clear" w:color="auto" w:fill="auto"/>
            <w:noWrap/>
            <w:vAlign w:val="center"/>
          </w:tcPr>
          <w:p w14:paraId="718AC7C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(2.705)</w:t>
            </w:r>
          </w:p>
        </w:tc>
      </w:tr>
      <w:tr w:rsidR="003B5193" w:rsidRPr="00AE4E8D" w14:paraId="077CBF93" w14:textId="77777777" w:rsidTr="00E8320E">
        <w:trPr>
          <w:trHeight w:val="225"/>
        </w:trPr>
        <w:tc>
          <w:tcPr>
            <w:tcW w:w="1091" w:type="pct"/>
            <w:tcBorders>
              <w:top w:val="nil"/>
              <w:left w:val="nil"/>
              <w:bottom w:val="nil"/>
              <w:right w:val="nil"/>
            </w:tcBorders>
            <w:shd w:val="clear" w:color="auto" w:fill="auto"/>
            <w:noWrap/>
            <w:vAlign w:val="center"/>
            <w:hideMark/>
          </w:tcPr>
          <w:p w14:paraId="10E85429"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Resultado Neto</w:t>
            </w:r>
          </w:p>
        </w:tc>
        <w:tc>
          <w:tcPr>
            <w:tcW w:w="339" w:type="pct"/>
            <w:tcBorders>
              <w:top w:val="single" w:sz="8" w:space="0" w:color="auto"/>
              <w:left w:val="nil"/>
              <w:bottom w:val="nil"/>
              <w:right w:val="nil"/>
            </w:tcBorders>
            <w:shd w:val="clear" w:color="auto" w:fill="auto"/>
            <w:noWrap/>
            <w:vAlign w:val="center"/>
            <w:hideMark/>
          </w:tcPr>
          <w:p w14:paraId="3BF1555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343.607</w:t>
            </w:r>
          </w:p>
        </w:tc>
        <w:tc>
          <w:tcPr>
            <w:tcW w:w="78" w:type="pct"/>
            <w:tcBorders>
              <w:top w:val="nil"/>
              <w:left w:val="nil"/>
              <w:bottom w:val="nil"/>
              <w:right w:val="nil"/>
            </w:tcBorders>
            <w:shd w:val="clear" w:color="auto" w:fill="auto"/>
            <w:vAlign w:val="center"/>
            <w:hideMark/>
          </w:tcPr>
          <w:p w14:paraId="34634657"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5F8E54B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420.950</w:t>
            </w:r>
          </w:p>
        </w:tc>
        <w:tc>
          <w:tcPr>
            <w:tcW w:w="78" w:type="pct"/>
            <w:tcBorders>
              <w:top w:val="nil"/>
              <w:left w:val="nil"/>
              <w:bottom w:val="nil"/>
              <w:right w:val="nil"/>
            </w:tcBorders>
            <w:shd w:val="clear" w:color="auto" w:fill="auto"/>
            <w:vAlign w:val="center"/>
            <w:hideMark/>
          </w:tcPr>
          <w:p w14:paraId="7255CE65" w14:textId="77777777" w:rsidR="0067329E" w:rsidRPr="00AE4E8D" w:rsidRDefault="0067329E" w:rsidP="00E8320E">
            <w:pPr>
              <w:jc w:val="right"/>
              <w:rPr>
                <w:rFonts w:ascii="Times New Roman" w:hAnsi="Times New Roman"/>
                <w:color w:val="000000"/>
                <w:sz w:val="16"/>
                <w:lang w:val="es-ES"/>
              </w:rPr>
            </w:pPr>
          </w:p>
        </w:tc>
        <w:tc>
          <w:tcPr>
            <w:tcW w:w="598" w:type="pct"/>
            <w:tcBorders>
              <w:top w:val="nil"/>
              <w:left w:val="nil"/>
              <w:bottom w:val="nil"/>
              <w:right w:val="nil"/>
            </w:tcBorders>
            <w:shd w:val="clear" w:color="auto" w:fill="auto"/>
            <w:noWrap/>
            <w:vAlign w:val="center"/>
            <w:hideMark/>
          </w:tcPr>
          <w:p w14:paraId="60DBDC9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549.972</w:t>
            </w:r>
          </w:p>
        </w:tc>
        <w:tc>
          <w:tcPr>
            <w:tcW w:w="78" w:type="pct"/>
            <w:tcBorders>
              <w:top w:val="nil"/>
              <w:left w:val="nil"/>
              <w:bottom w:val="nil"/>
              <w:right w:val="nil"/>
            </w:tcBorders>
            <w:shd w:val="clear" w:color="auto" w:fill="auto"/>
            <w:vAlign w:val="center"/>
            <w:hideMark/>
          </w:tcPr>
          <w:p w14:paraId="6DA9ABD2" w14:textId="77777777" w:rsidR="0067329E" w:rsidRPr="00AE4E8D" w:rsidRDefault="0067329E" w:rsidP="00E8320E">
            <w:pPr>
              <w:jc w:val="right"/>
              <w:rPr>
                <w:rFonts w:ascii="Times New Roman" w:hAnsi="Times New Roman"/>
                <w:color w:val="000000"/>
                <w:sz w:val="16"/>
                <w:lang w:val="es-ES"/>
              </w:rPr>
            </w:pPr>
          </w:p>
        </w:tc>
        <w:tc>
          <w:tcPr>
            <w:tcW w:w="339" w:type="pct"/>
            <w:tcBorders>
              <w:top w:val="nil"/>
              <w:left w:val="nil"/>
              <w:bottom w:val="nil"/>
              <w:right w:val="nil"/>
            </w:tcBorders>
            <w:shd w:val="clear" w:color="auto" w:fill="auto"/>
            <w:noWrap/>
            <w:vAlign w:val="center"/>
            <w:hideMark/>
          </w:tcPr>
          <w:p w14:paraId="21318EE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1.085.814</w:t>
            </w:r>
          </w:p>
        </w:tc>
        <w:tc>
          <w:tcPr>
            <w:tcW w:w="78" w:type="pct"/>
            <w:tcBorders>
              <w:top w:val="nil"/>
              <w:left w:val="nil"/>
              <w:bottom w:val="nil"/>
              <w:right w:val="nil"/>
            </w:tcBorders>
            <w:shd w:val="clear" w:color="auto" w:fill="auto"/>
            <w:noWrap/>
            <w:vAlign w:val="bottom"/>
            <w:hideMark/>
          </w:tcPr>
          <w:p w14:paraId="0542FD52"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hideMark/>
          </w:tcPr>
          <w:p w14:paraId="75FCF36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615.328</w:t>
            </w:r>
          </w:p>
        </w:tc>
        <w:tc>
          <w:tcPr>
            <w:tcW w:w="78" w:type="pct"/>
            <w:tcBorders>
              <w:top w:val="nil"/>
              <w:left w:val="nil"/>
              <w:bottom w:val="nil"/>
              <w:right w:val="nil"/>
            </w:tcBorders>
            <w:shd w:val="clear" w:color="auto" w:fill="auto"/>
            <w:noWrap/>
            <w:vAlign w:val="bottom"/>
            <w:hideMark/>
          </w:tcPr>
          <w:p w14:paraId="041199BF" w14:textId="77777777" w:rsidR="0067329E" w:rsidRPr="00AE4E8D" w:rsidRDefault="0067329E" w:rsidP="00E8320E">
            <w:pPr>
              <w:jc w:val="right"/>
              <w:rPr>
                <w:rFonts w:ascii="Times New Roman" w:hAnsi="Times New Roman"/>
                <w:sz w:val="16"/>
                <w:lang w:val="es-ES"/>
              </w:rPr>
            </w:pPr>
          </w:p>
        </w:tc>
        <w:tc>
          <w:tcPr>
            <w:tcW w:w="328" w:type="pct"/>
            <w:tcBorders>
              <w:top w:val="nil"/>
              <w:left w:val="nil"/>
              <w:bottom w:val="nil"/>
              <w:right w:val="nil"/>
            </w:tcBorders>
            <w:shd w:val="clear" w:color="auto" w:fill="auto"/>
            <w:noWrap/>
            <w:vAlign w:val="center"/>
            <w:hideMark/>
          </w:tcPr>
          <w:p w14:paraId="3243EF3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38.821</w:t>
            </w:r>
          </w:p>
        </w:tc>
        <w:tc>
          <w:tcPr>
            <w:tcW w:w="78" w:type="pct"/>
            <w:tcBorders>
              <w:top w:val="nil"/>
              <w:left w:val="nil"/>
              <w:bottom w:val="nil"/>
              <w:right w:val="nil"/>
            </w:tcBorders>
            <w:shd w:val="clear" w:color="auto" w:fill="auto"/>
            <w:noWrap/>
            <w:vAlign w:val="bottom"/>
            <w:hideMark/>
          </w:tcPr>
          <w:p w14:paraId="733C8E48" w14:textId="77777777" w:rsidR="0067329E" w:rsidRPr="00AE4E8D" w:rsidRDefault="0067329E" w:rsidP="00E8320E">
            <w:pPr>
              <w:jc w:val="right"/>
              <w:rPr>
                <w:rFonts w:ascii="Times New Roman" w:hAnsi="Times New Roman"/>
                <w:sz w:val="16"/>
                <w:lang w:val="es-ES"/>
              </w:rPr>
            </w:pPr>
          </w:p>
        </w:tc>
        <w:tc>
          <w:tcPr>
            <w:tcW w:w="369" w:type="pct"/>
            <w:tcBorders>
              <w:top w:val="nil"/>
              <w:left w:val="nil"/>
              <w:bottom w:val="nil"/>
              <w:right w:val="nil"/>
            </w:tcBorders>
            <w:shd w:val="clear" w:color="auto" w:fill="auto"/>
            <w:noWrap/>
            <w:vAlign w:val="center"/>
          </w:tcPr>
          <w:p w14:paraId="752B4BA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375.342</w:t>
            </w:r>
          </w:p>
        </w:tc>
        <w:tc>
          <w:tcPr>
            <w:tcW w:w="78" w:type="pct"/>
            <w:tcBorders>
              <w:top w:val="nil"/>
              <w:left w:val="nil"/>
              <w:bottom w:val="nil"/>
              <w:right w:val="nil"/>
            </w:tcBorders>
            <w:shd w:val="clear" w:color="auto" w:fill="auto"/>
            <w:noWrap/>
            <w:vAlign w:val="bottom"/>
          </w:tcPr>
          <w:p w14:paraId="19031EDE" w14:textId="77777777" w:rsidR="0067329E" w:rsidRPr="00AE4E8D" w:rsidRDefault="0067329E" w:rsidP="00E8320E">
            <w:pPr>
              <w:jc w:val="right"/>
              <w:rPr>
                <w:rFonts w:ascii="Times New Roman" w:hAnsi="Times New Roman"/>
                <w:sz w:val="16"/>
                <w:lang w:val="es-ES"/>
              </w:rPr>
            </w:pPr>
          </w:p>
        </w:tc>
        <w:tc>
          <w:tcPr>
            <w:tcW w:w="339" w:type="pct"/>
            <w:tcBorders>
              <w:top w:val="nil"/>
              <w:left w:val="nil"/>
              <w:bottom w:val="nil"/>
              <w:right w:val="nil"/>
            </w:tcBorders>
            <w:shd w:val="clear" w:color="auto" w:fill="auto"/>
            <w:noWrap/>
            <w:vAlign w:val="center"/>
          </w:tcPr>
          <w:p w14:paraId="27C3D73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624.973</w:t>
            </w:r>
          </w:p>
        </w:tc>
        <w:tc>
          <w:tcPr>
            <w:tcW w:w="78" w:type="pct"/>
            <w:tcBorders>
              <w:top w:val="nil"/>
              <w:left w:val="nil"/>
              <w:bottom w:val="nil"/>
              <w:right w:val="nil"/>
            </w:tcBorders>
            <w:shd w:val="clear" w:color="auto" w:fill="auto"/>
            <w:noWrap/>
            <w:vAlign w:val="bottom"/>
          </w:tcPr>
          <w:p w14:paraId="1F24CF32" w14:textId="77777777" w:rsidR="0067329E" w:rsidRPr="00AE4E8D" w:rsidRDefault="0067329E" w:rsidP="00E8320E">
            <w:pPr>
              <w:jc w:val="right"/>
              <w:rPr>
                <w:rFonts w:ascii="Times New Roman" w:hAnsi="Times New Roman"/>
                <w:sz w:val="16"/>
                <w:lang w:val="es-ES"/>
              </w:rPr>
            </w:pPr>
          </w:p>
        </w:tc>
        <w:tc>
          <w:tcPr>
            <w:tcW w:w="296" w:type="pct"/>
            <w:tcBorders>
              <w:top w:val="nil"/>
              <w:left w:val="nil"/>
              <w:bottom w:val="nil"/>
              <w:right w:val="nil"/>
            </w:tcBorders>
            <w:shd w:val="clear" w:color="auto" w:fill="auto"/>
            <w:noWrap/>
            <w:vAlign w:val="center"/>
          </w:tcPr>
          <w:p w14:paraId="622D860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37.652</w:t>
            </w:r>
          </w:p>
        </w:tc>
      </w:tr>
    </w:tbl>
    <w:p w14:paraId="57CE20E0" w14:textId="77777777" w:rsidR="0067329E" w:rsidRPr="00AE4E8D" w:rsidRDefault="0067329E" w:rsidP="0067329E">
      <w:pPr>
        <w:autoSpaceDE w:val="0"/>
        <w:autoSpaceDN w:val="0"/>
        <w:adjustRightInd w:val="0"/>
        <w:spacing w:before="120" w:after="120"/>
        <w:jc w:val="both"/>
        <w:rPr>
          <w:rFonts w:ascii="Times New Roman" w:hAnsi="Times New Roman"/>
          <w:sz w:val="16"/>
          <w:lang w:val="es-ES" w:eastAsia="es-AR"/>
        </w:rPr>
      </w:pPr>
    </w:p>
    <w:tbl>
      <w:tblPr>
        <w:tblW w:w="14155" w:type="dxa"/>
        <w:jc w:val="center"/>
        <w:tblLook w:val="04A0" w:firstRow="1" w:lastRow="0" w:firstColumn="1" w:lastColumn="0" w:noHBand="0" w:noVBand="1"/>
      </w:tblPr>
      <w:tblGrid>
        <w:gridCol w:w="3191"/>
        <w:gridCol w:w="855"/>
        <w:gridCol w:w="222"/>
        <w:gridCol w:w="962"/>
        <w:gridCol w:w="222"/>
        <w:gridCol w:w="855"/>
        <w:gridCol w:w="222"/>
        <w:gridCol w:w="962"/>
        <w:gridCol w:w="222"/>
        <w:gridCol w:w="1337"/>
        <w:gridCol w:w="222"/>
        <w:gridCol w:w="1299"/>
        <w:gridCol w:w="222"/>
        <w:gridCol w:w="994"/>
        <w:gridCol w:w="222"/>
        <w:gridCol w:w="994"/>
        <w:gridCol w:w="222"/>
        <w:gridCol w:w="994"/>
      </w:tblGrid>
      <w:tr w:rsidR="003B5193" w:rsidRPr="00AE4E8D" w14:paraId="45074E90" w14:textId="77777777" w:rsidTr="00E8320E">
        <w:trPr>
          <w:trHeight w:val="258"/>
          <w:jc w:val="center"/>
        </w:trPr>
        <w:tc>
          <w:tcPr>
            <w:tcW w:w="3195" w:type="dxa"/>
            <w:tcBorders>
              <w:top w:val="nil"/>
              <w:left w:val="nil"/>
              <w:bottom w:val="nil"/>
              <w:right w:val="nil"/>
            </w:tcBorders>
            <w:shd w:val="clear" w:color="auto" w:fill="auto"/>
            <w:noWrap/>
            <w:vAlign w:val="center"/>
            <w:hideMark/>
          </w:tcPr>
          <w:p w14:paraId="19D00D3D" w14:textId="77777777" w:rsidR="0067329E" w:rsidRPr="00AE4E8D" w:rsidRDefault="0067329E" w:rsidP="00E8320E">
            <w:pPr>
              <w:jc w:val="center"/>
              <w:rPr>
                <w:rFonts w:ascii="Times New Roman" w:hAnsi="Times New Roman"/>
                <w:color w:val="000000"/>
                <w:sz w:val="16"/>
                <w:lang w:val="es-ES"/>
              </w:rPr>
            </w:pPr>
          </w:p>
        </w:tc>
        <w:tc>
          <w:tcPr>
            <w:tcW w:w="7309" w:type="dxa"/>
            <w:gridSpan w:val="11"/>
            <w:tcBorders>
              <w:top w:val="nil"/>
              <w:left w:val="nil"/>
              <w:bottom w:val="single" w:sz="8" w:space="0" w:color="auto"/>
              <w:right w:val="nil"/>
            </w:tcBorders>
            <w:shd w:val="clear" w:color="auto" w:fill="auto"/>
            <w:vAlign w:val="center"/>
            <w:hideMark/>
          </w:tcPr>
          <w:p w14:paraId="5D98AB29"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31 de diciembre de</w:t>
            </w:r>
          </w:p>
        </w:tc>
        <w:tc>
          <w:tcPr>
            <w:tcW w:w="222" w:type="dxa"/>
            <w:tcBorders>
              <w:top w:val="nil"/>
              <w:left w:val="nil"/>
              <w:bottom w:val="nil"/>
              <w:right w:val="nil"/>
            </w:tcBorders>
            <w:shd w:val="clear" w:color="auto" w:fill="auto"/>
            <w:noWrap/>
            <w:vAlign w:val="bottom"/>
            <w:hideMark/>
          </w:tcPr>
          <w:p w14:paraId="44EB211B" w14:textId="77777777" w:rsidR="0067329E" w:rsidRPr="00AE4E8D" w:rsidRDefault="0067329E" w:rsidP="00E8320E">
            <w:pPr>
              <w:jc w:val="center"/>
              <w:rPr>
                <w:rFonts w:ascii="Times New Roman" w:hAnsi="Times New Roman"/>
                <w:sz w:val="16"/>
                <w:lang w:val="es-ES"/>
              </w:rPr>
            </w:pPr>
          </w:p>
        </w:tc>
        <w:tc>
          <w:tcPr>
            <w:tcW w:w="3429" w:type="dxa"/>
            <w:gridSpan w:val="5"/>
            <w:tcBorders>
              <w:top w:val="nil"/>
              <w:left w:val="nil"/>
              <w:bottom w:val="single" w:sz="8" w:space="0" w:color="auto"/>
              <w:right w:val="nil"/>
            </w:tcBorders>
            <w:shd w:val="clear" w:color="auto" w:fill="auto"/>
            <w:vAlign w:val="center"/>
            <w:hideMark/>
          </w:tcPr>
          <w:p w14:paraId="0B61E127"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30 de junio de</w:t>
            </w:r>
          </w:p>
        </w:tc>
      </w:tr>
      <w:tr w:rsidR="003B5193" w:rsidRPr="00AE4E8D" w14:paraId="7672D437" w14:textId="77777777" w:rsidTr="00E8320E">
        <w:trPr>
          <w:trHeight w:val="258"/>
          <w:jc w:val="center"/>
        </w:trPr>
        <w:tc>
          <w:tcPr>
            <w:tcW w:w="3195" w:type="dxa"/>
            <w:tcBorders>
              <w:top w:val="nil"/>
              <w:left w:val="nil"/>
              <w:bottom w:val="nil"/>
              <w:right w:val="nil"/>
            </w:tcBorders>
            <w:shd w:val="clear" w:color="auto" w:fill="auto"/>
            <w:noWrap/>
            <w:vAlign w:val="center"/>
            <w:hideMark/>
          </w:tcPr>
          <w:p w14:paraId="445DC966" w14:textId="77777777" w:rsidR="0067329E" w:rsidRPr="00AE4E8D" w:rsidRDefault="0067329E" w:rsidP="00E8320E">
            <w:pPr>
              <w:jc w:val="center"/>
              <w:rPr>
                <w:rFonts w:ascii="Times New Roman" w:hAnsi="Times New Roman"/>
                <w:color w:val="000000"/>
                <w:sz w:val="16"/>
                <w:lang w:val="es-ES"/>
              </w:rPr>
            </w:pPr>
          </w:p>
        </w:tc>
        <w:tc>
          <w:tcPr>
            <w:tcW w:w="778" w:type="dxa"/>
            <w:tcBorders>
              <w:top w:val="nil"/>
              <w:left w:val="nil"/>
              <w:bottom w:val="single" w:sz="8" w:space="0" w:color="auto"/>
              <w:right w:val="nil"/>
            </w:tcBorders>
            <w:shd w:val="clear" w:color="auto" w:fill="auto"/>
            <w:noWrap/>
            <w:vAlign w:val="center"/>
            <w:hideMark/>
          </w:tcPr>
          <w:p w14:paraId="5D0414C9"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2012</w:t>
            </w:r>
          </w:p>
        </w:tc>
        <w:tc>
          <w:tcPr>
            <w:tcW w:w="222" w:type="dxa"/>
            <w:tcBorders>
              <w:top w:val="nil"/>
              <w:left w:val="nil"/>
              <w:bottom w:val="nil"/>
              <w:right w:val="nil"/>
            </w:tcBorders>
            <w:shd w:val="clear" w:color="auto" w:fill="auto"/>
            <w:noWrap/>
            <w:vAlign w:val="center"/>
            <w:hideMark/>
          </w:tcPr>
          <w:p w14:paraId="009E4ED8" w14:textId="77777777" w:rsidR="0067329E" w:rsidRPr="00AE4E8D" w:rsidRDefault="0067329E" w:rsidP="00E8320E">
            <w:pPr>
              <w:jc w:val="center"/>
              <w:rPr>
                <w:rFonts w:ascii="Times New Roman" w:hAnsi="Times New Roman"/>
                <w:color w:val="000000"/>
                <w:sz w:val="16"/>
                <w:lang w:val="es-ES"/>
              </w:rPr>
            </w:pPr>
          </w:p>
        </w:tc>
        <w:tc>
          <w:tcPr>
            <w:tcW w:w="963" w:type="dxa"/>
            <w:tcBorders>
              <w:top w:val="nil"/>
              <w:left w:val="nil"/>
              <w:bottom w:val="single" w:sz="8" w:space="0" w:color="auto"/>
              <w:right w:val="nil"/>
            </w:tcBorders>
            <w:shd w:val="clear" w:color="auto" w:fill="auto"/>
            <w:noWrap/>
            <w:vAlign w:val="center"/>
            <w:hideMark/>
          </w:tcPr>
          <w:p w14:paraId="5443768E"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2013</w:t>
            </w:r>
          </w:p>
        </w:tc>
        <w:tc>
          <w:tcPr>
            <w:tcW w:w="222" w:type="dxa"/>
            <w:tcBorders>
              <w:top w:val="nil"/>
              <w:left w:val="nil"/>
              <w:bottom w:val="nil"/>
              <w:right w:val="nil"/>
            </w:tcBorders>
            <w:shd w:val="clear" w:color="auto" w:fill="auto"/>
            <w:noWrap/>
            <w:vAlign w:val="center"/>
            <w:hideMark/>
          </w:tcPr>
          <w:p w14:paraId="3B28075F" w14:textId="77777777" w:rsidR="0067329E" w:rsidRPr="00AE4E8D" w:rsidRDefault="0067329E" w:rsidP="00E8320E">
            <w:pPr>
              <w:jc w:val="center"/>
              <w:rPr>
                <w:rFonts w:ascii="Times New Roman" w:hAnsi="Times New Roman"/>
                <w:color w:val="000000"/>
                <w:sz w:val="16"/>
                <w:lang w:val="es-ES"/>
              </w:rPr>
            </w:pPr>
          </w:p>
        </w:tc>
        <w:tc>
          <w:tcPr>
            <w:tcW w:w="856" w:type="dxa"/>
            <w:tcBorders>
              <w:top w:val="nil"/>
              <w:left w:val="nil"/>
              <w:bottom w:val="single" w:sz="8" w:space="0" w:color="auto"/>
              <w:right w:val="nil"/>
            </w:tcBorders>
            <w:shd w:val="clear" w:color="auto" w:fill="auto"/>
            <w:noWrap/>
            <w:vAlign w:val="center"/>
            <w:hideMark/>
          </w:tcPr>
          <w:p w14:paraId="09AF8807"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2014</w:t>
            </w:r>
          </w:p>
        </w:tc>
        <w:tc>
          <w:tcPr>
            <w:tcW w:w="222" w:type="dxa"/>
            <w:tcBorders>
              <w:top w:val="nil"/>
              <w:left w:val="nil"/>
              <w:bottom w:val="nil"/>
              <w:right w:val="nil"/>
            </w:tcBorders>
            <w:shd w:val="clear" w:color="auto" w:fill="auto"/>
            <w:noWrap/>
            <w:vAlign w:val="center"/>
            <w:hideMark/>
          </w:tcPr>
          <w:p w14:paraId="2E023715" w14:textId="77777777" w:rsidR="0067329E" w:rsidRPr="00AE4E8D" w:rsidRDefault="0067329E" w:rsidP="00E8320E">
            <w:pPr>
              <w:jc w:val="center"/>
              <w:rPr>
                <w:rFonts w:ascii="Times New Roman" w:hAnsi="Times New Roman"/>
                <w:color w:val="000000"/>
                <w:sz w:val="16"/>
                <w:lang w:val="es-ES"/>
              </w:rPr>
            </w:pPr>
          </w:p>
        </w:tc>
        <w:tc>
          <w:tcPr>
            <w:tcW w:w="963" w:type="dxa"/>
            <w:tcBorders>
              <w:top w:val="nil"/>
              <w:left w:val="nil"/>
              <w:bottom w:val="single" w:sz="8" w:space="0" w:color="auto"/>
              <w:right w:val="nil"/>
            </w:tcBorders>
            <w:shd w:val="clear" w:color="auto" w:fill="auto"/>
            <w:noWrap/>
            <w:vAlign w:val="center"/>
            <w:hideMark/>
          </w:tcPr>
          <w:p w14:paraId="2607DF7F"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2015</w:t>
            </w:r>
          </w:p>
        </w:tc>
        <w:tc>
          <w:tcPr>
            <w:tcW w:w="222" w:type="dxa"/>
            <w:tcBorders>
              <w:top w:val="nil"/>
              <w:left w:val="nil"/>
              <w:bottom w:val="nil"/>
              <w:right w:val="nil"/>
            </w:tcBorders>
            <w:shd w:val="clear" w:color="auto" w:fill="auto"/>
            <w:noWrap/>
            <w:vAlign w:val="center"/>
            <w:hideMark/>
          </w:tcPr>
          <w:p w14:paraId="1715CDD3" w14:textId="77777777" w:rsidR="0067329E" w:rsidRPr="00AE4E8D" w:rsidRDefault="0067329E" w:rsidP="00E8320E">
            <w:pPr>
              <w:jc w:val="center"/>
              <w:rPr>
                <w:rFonts w:ascii="Times New Roman" w:hAnsi="Times New Roman"/>
                <w:color w:val="000000"/>
                <w:sz w:val="16"/>
                <w:lang w:val="es-ES"/>
              </w:rPr>
            </w:pPr>
          </w:p>
        </w:tc>
        <w:tc>
          <w:tcPr>
            <w:tcW w:w="1339" w:type="dxa"/>
            <w:tcBorders>
              <w:top w:val="nil"/>
              <w:left w:val="nil"/>
              <w:bottom w:val="single" w:sz="8" w:space="0" w:color="auto"/>
              <w:right w:val="nil"/>
            </w:tcBorders>
            <w:shd w:val="clear" w:color="auto" w:fill="auto"/>
            <w:noWrap/>
            <w:vAlign w:val="center"/>
            <w:hideMark/>
          </w:tcPr>
          <w:p w14:paraId="3A85E474"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22" w:type="dxa"/>
            <w:tcBorders>
              <w:top w:val="nil"/>
              <w:left w:val="nil"/>
              <w:bottom w:val="nil"/>
              <w:right w:val="nil"/>
            </w:tcBorders>
            <w:shd w:val="clear" w:color="auto" w:fill="auto"/>
            <w:noWrap/>
            <w:vAlign w:val="center"/>
            <w:hideMark/>
          </w:tcPr>
          <w:p w14:paraId="3D9A16F3" w14:textId="77777777" w:rsidR="0067329E" w:rsidRPr="00AE4E8D" w:rsidRDefault="0067329E" w:rsidP="00E8320E">
            <w:pPr>
              <w:jc w:val="center"/>
              <w:rPr>
                <w:rFonts w:ascii="Times New Roman" w:hAnsi="Times New Roman"/>
                <w:color w:val="000000"/>
                <w:sz w:val="16"/>
                <w:lang w:val="es-ES"/>
              </w:rPr>
            </w:pPr>
          </w:p>
        </w:tc>
        <w:tc>
          <w:tcPr>
            <w:tcW w:w="1300" w:type="dxa"/>
            <w:tcBorders>
              <w:top w:val="nil"/>
              <w:left w:val="nil"/>
              <w:bottom w:val="single" w:sz="8" w:space="0" w:color="auto"/>
              <w:right w:val="nil"/>
            </w:tcBorders>
            <w:shd w:val="clear" w:color="auto" w:fill="auto"/>
            <w:noWrap/>
            <w:vAlign w:val="center"/>
            <w:hideMark/>
          </w:tcPr>
          <w:p w14:paraId="5B6F35D4"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22" w:type="dxa"/>
            <w:tcBorders>
              <w:top w:val="nil"/>
              <w:left w:val="nil"/>
              <w:bottom w:val="nil"/>
              <w:right w:val="nil"/>
            </w:tcBorders>
            <w:shd w:val="clear" w:color="auto" w:fill="auto"/>
            <w:noWrap/>
            <w:vAlign w:val="bottom"/>
            <w:hideMark/>
          </w:tcPr>
          <w:p w14:paraId="5470DFC7" w14:textId="77777777" w:rsidR="0067329E" w:rsidRPr="00AE4E8D" w:rsidRDefault="0067329E" w:rsidP="00E8320E">
            <w:pPr>
              <w:jc w:val="center"/>
              <w:rPr>
                <w:rFonts w:ascii="Times New Roman" w:hAnsi="Times New Roman"/>
                <w:sz w:val="16"/>
                <w:lang w:val="es-ES"/>
              </w:rPr>
            </w:pPr>
          </w:p>
        </w:tc>
        <w:tc>
          <w:tcPr>
            <w:tcW w:w="995" w:type="dxa"/>
            <w:tcBorders>
              <w:top w:val="nil"/>
              <w:left w:val="nil"/>
              <w:bottom w:val="single" w:sz="8" w:space="0" w:color="auto"/>
              <w:right w:val="nil"/>
            </w:tcBorders>
            <w:shd w:val="clear" w:color="auto" w:fill="auto"/>
            <w:vAlign w:val="center"/>
            <w:hideMark/>
          </w:tcPr>
          <w:p w14:paraId="0945C65D"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22" w:type="dxa"/>
            <w:tcBorders>
              <w:top w:val="nil"/>
              <w:left w:val="nil"/>
              <w:bottom w:val="nil"/>
              <w:right w:val="nil"/>
            </w:tcBorders>
            <w:shd w:val="clear" w:color="auto" w:fill="auto"/>
            <w:vAlign w:val="center"/>
            <w:hideMark/>
          </w:tcPr>
          <w:p w14:paraId="54D794EE" w14:textId="77777777" w:rsidR="0067329E" w:rsidRPr="00AE4E8D" w:rsidRDefault="0067329E" w:rsidP="00E8320E">
            <w:pPr>
              <w:jc w:val="center"/>
              <w:rPr>
                <w:rFonts w:ascii="Times New Roman" w:hAnsi="Times New Roman"/>
                <w:b/>
                <w:color w:val="000000"/>
                <w:sz w:val="16"/>
                <w:lang w:val="es-ES"/>
              </w:rPr>
            </w:pPr>
          </w:p>
        </w:tc>
        <w:tc>
          <w:tcPr>
            <w:tcW w:w="995" w:type="dxa"/>
            <w:tcBorders>
              <w:top w:val="nil"/>
              <w:left w:val="nil"/>
              <w:bottom w:val="single" w:sz="8" w:space="0" w:color="auto"/>
              <w:right w:val="nil"/>
            </w:tcBorders>
            <w:shd w:val="clear" w:color="auto" w:fill="auto"/>
            <w:vAlign w:val="center"/>
            <w:hideMark/>
          </w:tcPr>
          <w:p w14:paraId="6D7962AC"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c>
          <w:tcPr>
            <w:tcW w:w="222" w:type="dxa"/>
            <w:tcBorders>
              <w:top w:val="nil"/>
              <w:left w:val="nil"/>
              <w:bottom w:val="nil"/>
              <w:right w:val="nil"/>
            </w:tcBorders>
            <w:shd w:val="clear" w:color="auto" w:fill="auto"/>
            <w:vAlign w:val="center"/>
            <w:hideMark/>
          </w:tcPr>
          <w:p w14:paraId="64CB561F" w14:textId="77777777" w:rsidR="0067329E" w:rsidRPr="00AE4E8D" w:rsidRDefault="0067329E" w:rsidP="00E8320E">
            <w:pPr>
              <w:jc w:val="center"/>
              <w:rPr>
                <w:rFonts w:ascii="Times New Roman" w:hAnsi="Times New Roman"/>
                <w:b/>
                <w:color w:val="000000"/>
                <w:sz w:val="16"/>
                <w:lang w:val="es-ES"/>
              </w:rPr>
            </w:pPr>
          </w:p>
        </w:tc>
        <w:tc>
          <w:tcPr>
            <w:tcW w:w="995" w:type="dxa"/>
            <w:tcBorders>
              <w:top w:val="nil"/>
              <w:left w:val="nil"/>
              <w:bottom w:val="single" w:sz="8" w:space="0" w:color="auto"/>
              <w:right w:val="nil"/>
            </w:tcBorders>
            <w:shd w:val="clear" w:color="auto" w:fill="auto"/>
            <w:vAlign w:val="center"/>
            <w:hideMark/>
          </w:tcPr>
          <w:p w14:paraId="67B3C3FE"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r>
      <w:tr w:rsidR="003B5193" w:rsidRPr="00AE4E8D" w14:paraId="4767D265" w14:textId="77777777" w:rsidTr="00E8320E">
        <w:trPr>
          <w:trHeight w:val="243"/>
          <w:jc w:val="center"/>
        </w:trPr>
        <w:tc>
          <w:tcPr>
            <w:tcW w:w="3195" w:type="dxa"/>
            <w:vMerge w:val="restart"/>
            <w:tcBorders>
              <w:top w:val="nil"/>
              <w:left w:val="nil"/>
              <w:bottom w:val="nil"/>
              <w:right w:val="nil"/>
            </w:tcBorders>
            <w:shd w:val="clear" w:color="auto" w:fill="auto"/>
            <w:noWrap/>
            <w:vAlign w:val="center"/>
            <w:hideMark/>
          </w:tcPr>
          <w:p w14:paraId="2E44463B" w14:textId="77777777" w:rsidR="0067329E" w:rsidRPr="00AE4E8D" w:rsidRDefault="0067329E" w:rsidP="00E8320E">
            <w:pPr>
              <w:jc w:val="center"/>
              <w:rPr>
                <w:rFonts w:ascii="Times New Roman" w:hAnsi="Times New Roman"/>
                <w:color w:val="000000"/>
                <w:sz w:val="16"/>
                <w:lang w:val="es-ES"/>
              </w:rPr>
            </w:pPr>
          </w:p>
        </w:tc>
        <w:tc>
          <w:tcPr>
            <w:tcW w:w="5787" w:type="dxa"/>
            <w:gridSpan w:val="9"/>
            <w:vMerge w:val="restart"/>
            <w:tcBorders>
              <w:top w:val="nil"/>
              <w:left w:val="nil"/>
              <w:bottom w:val="nil"/>
              <w:right w:val="nil"/>
            </w:tcBorders>
            <w:shd w:val="clear" w:color="auto" w:fill="auto"/>
            <w:vAlign w:val="center"/>
            <w:hideMark/>
          </w:tcPr>
          <w:p w14:paraId="0C470FD7"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222" w:type="dxa"/>
            <w:vMerge w:val="restart"/>
            <w:tcBorders>
              <w:top w:val="nil"/>
              <w:left w:val="nil"/>
              <w:bottom w:val="nil"/>
              <w:right w:val="nil"/>
            </w:tcBorders>
            <w:shd w:val="clear" w:color="auto" w:fill="auto"/>
            <w:vAlign w:val="center"/>
            <w:hideMark/>
          </w:tcPr>
          <w:p w14:paraId="1D376CBF" w14:textId="77777777" w:rsidR="0067329E" w:rsidRPr="00AE4E8D" w:rsidRDefault="0067329E" w:rsidP="00E8320E">
            <w:pPr>
              <w:jc w:val="center"/>
              <w:rPr>
                <w:rFonts w:ascii="Times New Roman" w:hAnsi="Times New Roman"/>
                <w:color w:val="000000"/>
                <w:sz w:val="16"/>
                <w:lang w:val="es-ES"/>
              </w:rPr>
            </w:pPr>
          </w:p>
        </w:tc>
        <w:tc>
          <w:tcPr>
            <w:tcW w:w="1300" w:type="dxa"/>
            <w:tcBorders>
              <w:top w:val="nil"/>
              <w:left w:val="nil"/>
              <w:bottom w:val="nil"/>
              <w:right w:val="nil"/>
            </w:tcBorders>
            <w:shd w:val="clear" w:color="auto" w:fill="auto"/>
            <w:noWrap/>
            <w:vAlign w:val="center"/>
            <w:hideMark/>
          </w:tcPr>
          <w:p w14:paraId="7253935B"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c>
          <w:tcPr>
            <w:tcW w:w="222" w:type="dxa"/>
            <w:tcBorders>
              <w:top w:val="nil"/>
              <w:left w:val="nil"/>
              <w:bottom w:val="nil"/>
              <w:right w:val="nil"/>
            </w:tcBorders>
            <w:shd w:val="clear" w:color="auto" w:fill="auto"/>
            <w:noWrap/>
            <w:vAlign w:val="bottom"/>
            <w:hideMark/>
          </w:tcPr>
          <w:p w14:paraId="0B48FE33" w14:textId="77777777" w:rsidR="0067329E" w:rsidRPr="00AE4E8D" w:rsidRDefault="0067329E" w:rsidP="00E8320E">
            <w:pPr>
              <w:jc w:val="center"/>
              <w:rPr>
                <w:rFonts w:ascii="Times New Roman" w:hAnsi="Times New Roman"/>
                <w:sz w:val="16"/>
                <w:lang w:val="es-ES"/>
              </w:rPr>
            </w:pPr>
          </w:p>
        </w:tc>
        <w:tc>
          <w:tcPr>
            <w:tcW w:w="2212" w:type="dxa"/>
            <w:gridSpan w:val="3"/>
            <w:vMerge w:val="restart"/>
            <w:tcBorders>
              <w:top w:val="single" w:sz="8" w:space="0" w:color="auto"/>
              <w:left w:val="nil"/>
              <w:bottom w:val="nil"/>
              <w:right w:val="nil"/>
            </w:tcBorders>
            <w:shd w:val="clear" w:color="auto" w:fill="auto"/>
            <w:vAlign w:val="center"/>
            <w:hideMark/>
          </w:tcPr>
          <w:p w14:paraId="0A4CB2FD"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222" w:type="dxa"/>
            <w:vMerge w:val="restart"/>
            <w:tcBorders>
              <w:top w:val="nil"/>
              <w:left w:val="nil"/>
              <w:bottom w:val="nil"/>
              <w:right w:val="nil"/>
            </w:tcBorders>
            <w:shd w:val="clear" w:color="auto" w:fill="auto"/>
            <w:vAlign w:val="center"/>
            <w:hideMark/>
          </w:tcPr>
          <w:p w14:paraId="3B7B39D3" w14:textId="77777777" w:rsidR="0067329E" w:rsidRPr="00AE4E8D" w:rsidRDefault="0067329E" w:rsidP="00E8320E">
            <w:pPr>
              <w:jc w:val="center"/>
              <w:rPr>
                <w:rFonts w:ascii="Times New Roman" w:hAnsi="Times New Roman"/>
                <w:color w:val="000000"/>
                <w:sz w:val="16"/>
                <w:lang w:val="es-ES"/>
              </w:rPr>
            </w:pPr>
          </w:p>
        </w:tc>
        <w:tc>
          <w:tcPr>
            <w:tcW w:w="995" w:type="dxa"/>
            <w:tcBorders>
              <w:top w:val="nil"/>
              <w:left w:val="nil"/>
              <w:bottom w:val="nil"/>
              <w:right w:val="nil"/>
            </w:tcBorders>
            <w:shd w:val="clear" w:color="auto" w:fill="auto"/>
            <w:vAlign w:val="center"/>
            <w:hideMark/>
          </w:tcPr>
          <w:p w14:paraId="01662A0C"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(en miles</w:t>
            </w:r>
          </w:p>
        </w:tc>
      </w:tr>
      <w:tr w:rsidR="0067329E" w:rsidRPr="00AE4E8D" w14:paraId="5B3BBF68" w14:textId="77777777" w:rsidTr="000400C8">
        <w:trPr>
          <w:trHeight w:val="243"/>
          <w:jc w:val="center"/>
        </w:trPr>
        <w:tc>
          <w:tcPr>
            <w:tcW w:w="3195" w:type="dxa"/>
            <w:vMerge/>
            <w:tcBorders>
              <w:top w:val="nil"/>
              <w:left w:val="nil"/>
              <w:bottom w:val="nil"/>
              <w:right w:val="nil"/>
            </w:tcBorders>
            <w:vAlign w:val="center"/>
            <w:hideMark/>
          </w:tcPr>
          <w:p w14:paraId="74FF43D5" w14:textId="77777777" w:rsidR="0067329E" w:rsidRPr="00AE4E8D" w:rsidRDefault="0067329E" w:rsidP="00E8320E">
            <w:pPr>
              <w:jc w:val="center"/>
              <w:rPr>
                <w:rFonts w:ascii="Times New Roman" w:hAnsi="Times New Roman"/>
                <w:color w:val="000000"/>
                <w:sz w:val="16"/>
                <w:lang w:val="es-ES"/>
              </w:rPr>
            </w:pPr>
          </w:p>
        </w:tc>
        <w:tc>
          <w:tcPr>
            <w:tcW w:w="5787" w:type="dxa"/>
            <w:gridSpan w:val="9"/>
            <w:vMerge/>
            <w:tcBorders>
              <w:top w:val="nil"/>
              <w:left w:val="nil"/>
              <w:bottom w:val="nil"/>
              <w:right w:val="nil"/>
            </w:tcBorders>
            <w:vAlign w:val="center"/>
            <w:hideMark/>
          </w:tcPr>
          <w:p w14:paraId="7FDA3132" w14:textId="77777777" w:rsidR="0067329E" w:rsidRPr="00AE4E8D" w:rsidRDefault="0067329E" w:rsidP="00E8320E">
            <w:pPr>
              <w:jc w:val="center"/>
              <w:rPr>
                <w:rFonts w:ascii="Times New Roman" w:hAnsi="Times New Roman"/>
                <w:color w:val="000000"/>
                <w:sz w:val="16"/>
                <w:lang w:val="es-ES"/>
              </w:rPr>
            </w:pPr>
          </w:p>
        </w:tc>
        <w:tc>
          <w:tcPr>
            <w:tcW w:w="222" w:type="dxa"/>
            <w:vMerge/>
            <w:tcBorders>
              <w:top w:val="nil"/>
              <w:left w:val="nil"/>
              <w:bottom w:val="nil"/>
              <w:right w:val="nil"/>
            </w:tcBorders>
            <w:vAlign w:val="center"/>
            <w:hideMark/>
          </w:tcPr>
          <w:p w14:paraId="709E3DE0" w14:textId="77777777" w:rsidR="0067329E" w:rsidRPr="00AE4E8D" w:rsidRDefault="0067329E" w:rsidP="00E8320E">
            <w:pPr>
              <w:jc w:val="center"/>
              <w:rPr>
                <w:rFonts w:ascii="Times New Roman" w:hAnsi="Times New Roman"/>
                <w:color w:val="000000"/>
                <w:sz w:val="16"/>
                <w:lang w:val="es-ES"/>
              </w:rPr>
            </w:pPr>
          </w:p>
        </w:tc>
        <w:tc>
          <w:tcPr>
            <w:tcW w:w="1300" w:type="dxa"/>
            <w:tcBorders>
              <w:top w:val="nil"/>
              <w:left w:val="nil"/>
              <w:bottom w:val="nil"/>
              <w:right w:val="nil"/>
            </w:tcBorders>
            <w:shd w:val="clear" w:color="auto" w:fill="auto"/>
            <w:noWrap/>
            <w:vAlign w:val="center"/>
            <w:hideMark/>
          </w:tcPr>
          <w:p w14:paraId="01B8BE2E"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c>
          <w:tcPr>
            <w:tcW w:w="222" w:type="dxa"/>
            <w:tcBorders>
              <w:top w:val="nil"/>
              <w:left w:val="nil"/>
              <w:bottom w:val="nil"/>
              <w:right w:val="nil"/>
            </w:tcBorders>
            <w:shd w:val="clear" w:color="auto" w:fill="auto"/>
            <w:noWrap/>
            <w:vAlign w:val="bottom"/>
            <w:hideMark/>
          </w:tcPr>
          <w:p w14:paraId="27648B4E" w14:textId="77777777" w:rsidR="0067329E" w:rsidRPr="00AE4E8D" w:rsidRDefault="0067329E" w:rsidP="00E8320E">
            <w:pPr>
              <w:jc w:val="center"/>
              <w:rPr>
                <w:rFonts w:ascii="Times New Roman" w:hAnsi="Times New Roman"/>
                <w:sz w:val="16"/>
                <w:lang w:val="es-ES"/>
              </w:rPr>
            </w:pPr>
          </w:p>
        </w:tc>
        <w:tc>
          <w:tcPr>
            <w:tcW w:w="2212" w:type="dxa"/>
            <w:gridSpan w:val="3"/>
            <w:vMerge/>
            <w:tcBorders>
              <w:top w:val="nil"/>
              <w:left w:val="nil"/>
              <w:bottom w:val="nil"/>
              <w:right w:val="nil"/>
            </w:tcBorders>
            <w:vAlign w:val="center"/>
            <w:hideMark/>
          </w:tcPr>
          <w:p w14:paraId="574109B3" w14:textId="77777777" w:rsidR="0067329E" w:rsidRPr="00AE4E8D" w:rsidRDefault="0067329E" w:rsidP="00E8320E">
            <w:pPr>
              <w:jc w:val="center"/>
              <w:rPr>
                <w:rFonts w:ascii="Times New Roman" w:hAnsi="Times New Roman"/>
                <w:color w:val="000000"/>
                <w:sz w:val="16"/>
                <w:lang w:val="es-ES"/>
              </w:rPr>
            </w:pPr>
          </w:p>
        </w:tc>
        <w:tc>
          <w:tcPr>
            <w:tcW w:w="222" w:type="dxa"/>
            <w:vMerge/>
            <w:tcBorders>
              <w:top w:val="nil"/>
              <w:left w:val="nil"/>
              <w:bottom w:val="nil"/>
              <w:right w:val="nil"/>
            </w:tcBorders>
            <w:vAlign w:val="center"/>
            <w:hideMark/>
          </w:tcPr>
          <w:p w14:paraId="751E0B1D" w14:textId="77777777" w:rsidR="0067329E" w:rsidRPr="00AE4E8D" w:rsidRDefault="0067329E" w:rsidP="00E8320E">
            <w:pPr>
              <w:jc w:val="center"/>
              <w:rPr>
                <w:rFonts w:ascii="Times New Roman" w:hAnsi="Times New Roman"/>
                <w:color w:val="000000"/>
                <w:sz w:val="16"/>
                <w:lang w:val="es-ES"/>
              </w:rPr>
            </w:pPr>
          </w:p>
        </w:tc>
        <w:tc>
          <w:tcPr>
            <w:tcW w:w="995" w:type="dxa"/>
            <w:tcBorders>
              <w:top w:val="nil"/>
              <w:left w:val="nil"/>
              <w:bottom w:val="nil"/>
              <w:right w:val="nil"/>
            </w:tcBorders>
            <w:shd w:val="clear" w:color="auto" w:fill="auto"/>
            <w:vAlign w:val="center"/>
            <w:hideMark/>
          </w:tcPr>
          <w:p w14:paraId="1C9D57BD"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de US$(1))</w:t>
            </w:r>
          </w:p>
        </w:tc>
      </w:tr>
      <w:tr w:rsidR="003B5193" w:rsidRPr="00AE4E8D" w14:paraId="0ED26FDE" w14:textId="77777777" w:rsidTr="00E8320E">
        <w:trPr>
          <w:trHeight w:val="243"/>
          <w:jc w:val="center"/>
        </w:trPr>
        <w:tc>
          <w:tcPr>
            <w:tcW w:w="3195" w:type="dxa"/>
            <w:tcBorders>
              <w:top w:val="nil"/>
              <w:left w:val="nil"/>
              <w:bottom w:val="nil"/>
              <w:right w:val="nil"/>
            </w:tcBorders>
            <w:shd w:val="clear" w:color="auto" w:fill="auto"/>
            <w:noWrap/>
            <w:vAlign w:val="center"/>
            <w:hideMark/>
          </w:tcPr>
          <w:p w14:paraId="1E2AD924" w14:textId="77777777" w:rsidR="0067329E" w:rsidRPr="00AE4E8D" w:rsidRDefault="0067329E" w:rsidP="00E8320E">
            <w:pPr>
              <w:rPr>
                <w:rFonts w:ascii="Times New Roman" w:hAnsi="Times New Roman"/>
                <w:b/>
                <w:color w:val="000000"/>
                <w:sz w:val="16"/>
                <w:lang w:val="es-ES"/>
              </w:rPr>
            </w:pPr>
            <w:r w:rsidRPr="00AE4E8D">
              <w:rPr>
                <w:rFonts w:ascii="Times New Roman" w:hAnsi="Times New Roman"/>
                <w:b/>
                <w:color w:val="000000"/>
                <w:sz w:val="16"/>
                <w:lang w:val="es-ES"/>
              </w:rPr>
              <w:t>ESTADO DE FLUJO DE EFECTIVO</w:t>
            </w:r>
          </w:p>
        </w:tc>
        <w:tc>
          <w:tcPr>
            <w:tcW w:w="778" w:type="dxa"/>
            <w:tcBorders>
              <w:top w:val="nil"/>
              <w:left w:val="nil"/>
              <w:bottom w:val="nil"/>
              <w:right w:val="nil"/>
            </w:tcBorders>
            <w:shd w:val="clear" w:color="auto" w:fill="auto"/>
            <w:noWrap/>
            <w:vAlign w:val="center"/>
            <w:hideMark/>
          </w:tcPr>
          <w:p w14:paraId="6CD9042E" w14:textId="77777777" w:rsidR="0067329E" w:rsidRPr="00AE4E8D" w:rsidRDefault="0067329E"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5C824B33" w14:textId="77777777" w:rsidR="0067329E" w:rsidRPr="00AE4E8D" w:rsidRDefault="0067329E" w:rsidP="00E8320E">
            <w:pPr>
              <w:jc w:val="center"/>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0D8BD25A" w14:textId="77777777" w:rsidR="0067329E" w:rsidRPr="00AE4E8D" w:rsidRDefault="0067329E"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48116C9C" w14:textId="77777777" w:rsidR="0067329E" w:rsidRPr="00AE4E8D" w:rsidRDefault="0067329E" w:rsidP="00E8320E">
            <w:pPr>
              <w:jc w:val="center"/>
              <w:rPr>
                <w:rFonts w:ascii="Times New Roman" w:hAnsi="Times New Roman"/>
                <w:color w:val="000000"/>
                <w:sz w:val="16"/>
                <w:lang w:val="es-ES"/>
              </w:rPr>
            </w:pPr>
          </w:p>
        </w:tc>
        <w:tc>
          <w:tcPr>
            <w:tcW w:w="856" w:type="dxa"/>
            <w:tcBorders>
              <w:top w:val="nil"/>
              <w:left w:val="nil"/>
              <w:bottom w:val="nil"/>
              <w:right w:val="nil"/>
            </w:tcBorders>
            <w:shd w:val="clear" w:color="auto" w:fill="auto"/>
            <w:noWrap/>
            <w:vAlign w:val="center"/>
            <w:hideMark/>
          </w:tcPr>
          <w:p w14:paraId="5F807310" w14:textId="77777777" w:rsidR="0067329E" w:rsidRPr="00AE4E8D" w:rsidRDefault="0067329E"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5DCB1736" w14:textId="77777777" w:rsidR="0067329E" w:rsidRPr="00AE4E8D" w:rsidRDefault="0067329E" w:rsidP="00E8320E">
            <w:pPr>
              <w:jc w:val="center"/>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534649C2" w14:textId="77777777" w:rsidR="0067329E" w:rsidRPr="00AE4E8D" w:rsidRDefault="0067329E"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4A887AD5" w14:textId="77777777" w:rsidR="0067329E" w:rsidRPr="00AE4E8D" w:rsidRDefault="0067329E" w:rsidP="00E8320E">
            <w:pPr>
              <w:jc w:val="center"/>
              <w:rPr>
                <w:rFonts w:ascii="Times New Roman" w:hAnsi="Times New Roman"/>
                <w:color w:val="000000"/>
                <w:sz w:val="16"/>
                <w:lang w:val="es-ES"/>
              </w:rPr>
            </w:pPr>
          </w:p>
        </w:tc>
        <w:tc>
          <w:tcPr>
            <w:tcW w:w="1339" w:type="dxa"/>
            <w:tcBorders>
              <w:top w:val="nil"/>
              <w:left w:val="nil"/>
              <w:bottom w:val="nil"/>
              <w:right w:val="nil"/>
            </w:tcBorders>
            <w:shd w:val="clear" w:color="auto" w:fill="auto"/>
            <w:noWrap/>
            <w:vAlign w:val="center"/>
            <w:hideMark/>
          </w:tcPr>
          <w:p w14:paraId="70DD11AC" w14:textId="77777777" w:rsidR="0067329E" w:rsidRPr="00AE4E8D" w:rsidRDefault="0067329E"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vAlign w:val="center"/>
            <w:hideMark/>
          </w:tcPr>
          <w:p w14:paraId="6BFBDA95" w14:textId="77777777" w:rsidR="0067329E" w:rsidRPr="00AE4E8D" w:rsidRDefault="0067329E" w:rsidP="00E8320E">
            <w:pPr>
              <w:jc w:val="center"/>
              <w:rPr>
                <w:rFonts w:ascii="Times New Roman" w:hAnsi="Times New Roman"/>
                <w:color w:val="000000"/>
                <w:sz w:val="16"/>
                <w:lang w:val="es-ES"/>
              </w:rPr>
            </w:pPr>
          </w:p>
        </w:tc>
        <w:tc>
          <w:tcPr>
            <w:tcW w:w="1300" w:type="dxa"/>
            <w:tcBorders>
              <w:top w:val="nil"/>
              <w:left w:val="nil"/>
              <w:bottom w:val="nil"/>
              <w:right w:val="nil"/>
            </w:tcBorders>
            <w:shd w:val="clear" w:color="auto" w:fill="auto"/>
            <w:noWrap/>
            <w:vAlign w:val="center"/>
            <w:hideMark/>
          </w:tcPr>
          <w:p w14:paraId="37FD83EF" w14:textId="77777777" w:rsidR="0067329E" w:rsidRPr="00AE4E8D" w:rsidRDefault="0067329E" w:rsidP="00E8320E">
            <w:pPr>
              <w:jc w:val="cente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13BB40C4" w14:textId="77777777" w:rsidR="0067329E" w:rsidRPr="00AE4E8D" w:rsidRDefault="0067329E" w:rsidP="00E8320E">
            <w:pPr>
              <w:jc w:val="center"/>
              <w:rPr>
                <w:rFonts w:ascii="Times New Roman" w:hAnsi="Times New Roman"/>
                <w:sz w:val="16"/>
                <w:lang w:val="es-ES"/>
              </w:rPr>
            </w:pPr>
          </w:p>
        </w:tc>
        <w:tc>
          <w:tcPr>
            <w:tcW w:w="995" w:type="dxa"/>
            <w:tcBorders>
              <w:top w:val="nil"/>
              <w:left w:val="nil"/>
              <w:bottom w:val="nil"/>
              <w:right w:val="nil"/>
            </w:tcBorders>
            <w:shd w:val="clear" w:color="auto" w:fill="auto"/>
            <w:noWrap/>
            <w:vAlign w:val="bottom"/>
            <w:hideMark/>
          </w:tcPr>
          <w:p w14:paraId="11B069FC" w14:textId="77777777" w:rsidR="0067329E" w:rsidRPr="00AE4E8D" w:rsidRDefault="0067329E" w:rsidP="00E8320E">
            <w:pPr>
              <w:jc w:val="center"/>
              <w:rPr>
                <w:rFonts w:ascii="Times New Roman" w:hAnsi="Times New Roman"/>
                <w:sz w:val="16"/>
                <w:lang w:val="es-ES"/>
              </w:rPr>
            </w:pPr>
          </w:p>
        </w:tc>
        <w:tc>
          <w:tcPr>
            <w:tcW w:w="222" w:type="dxa"/>
            <w:tcBorders>
              <w:top w:val="nil"/>
              <w:left w:val="nil"/>
              <w:bottom w:val="nil"/>
              <w:right w:val="nil"/>
            </w:tcBorders>
            <w:shd w:val="clear" w:color="auto" w:fill="auto"/>
            <w:noWrap/>
            <w:vAlign w:val="bottom"/>
            <w:hideMark/>
          </w:tcPr>
          <w:p w14:paraId="37DEA6AA" w14:textId="77777777" w:rsidR="0067329E" w:rsidRPr="00AE4E8D" w:rsidRDefault="0067329E" w:rsidP="00E8320E">
            <w:pPr>
              <w:jc w:val="center"/>
              <w:rPr>
                <w:rFonts w:ascii="Times New Roman" w:hAnsi="Times New Roman"/>
                <w:sz w:val="16"/>
                <w:lang w:val="es-ES"/>
              </w:rPr>
            </w:pPr>
          </w:p>
        </w:tc>
        <w:tc>
          <w:tcPr>
            <w:tcW w:w="995" w:type="dxa"/>
            <w:tcBorders>
              <w:top w:val="nil"/>
              <w:left w:val="nil"/>
              <w:bottom w:val="nil"/>
              <w:right w:val="nil"/>
            </w:tcBorders>
            <w:shd w:val="clear" w:color="auto" w:fill="auto"/>
            <w:noWrap/>
            <w:vAlign w:val="bottom"/>
            <w:hideMark/>
          </w:tcPr>
          <w:p w14:paraId="73AC917C" w14:textId="77777777" w:rsidR="0067329E" w:rsidRPr="00AE4E8D" w:rsidRDefault="0067329E" w:rsidP="00E8320E">
            <w:pPr>
              <w:jc w:val="center"/>
              <w:rPr>
                <w:rFonts w:ascii="Times New Roman" w:hAnsi="Times New Roman"/>
                <w:sz w:val="16"/>
                <w:lang w:val="es-ES"/>
              </w:rPr>
            </w:pPr>
          </w:p>
        </w:tc>
        <w:tc>
          <w:tcPr>
            <w:tcW w:w="222" w:type="dxa"/>
            <w:tcBorders>
              <w:top w:val="nil"/>
              <w:left w:val="nil"/>
              <w:bottom w:val="nil"/>
              <w:right w:val="nil"/>
            </w:tcBorders>
            <w:shd w:val="clear" w:color="auto" w:fill="auto"/>
            <w:noWrap/>
            <w:vAlign w:val="bottom"/>
            <w:hideMark/>
          </w:tcPr>
          <w:p w14:paraId="3E56380F" w14:textId="77777777" w:rsidR="0067329E" w:rsidRPr="00AE4E8D" w:rsidRDefault="0067329E" w:rsidP="00E8320E">
            <w:pPr>
              <w:jc w:val="center"/>
              <w:rPr>
                <w:rFonts w:ascii="Times New Roman" w:hAnsi="Times New Roman"/>
                <w:sz w:val="16"/>
                <w:lang w:val="es-ES"/>
              </w:rPr>
            </w:pPr>
          </w:p>
        </w:tc>
        <w:tc>
          <w:tcPr>
            <w:tcW w:w="995" w:type="dxa"/>
            <w:tcBorders>
              <w:top w:val="nil"/>
              <w:left w:val="nil"/>
              <w:bottom w:val="nil"/>
              <w:right w:val="nil"/>
            </w:tcBorders>
            <w:shd w:val="clear" w:color="auto" w:fill="auto"/>
            <w:noWrap/>
            <w:vAlign w:val="bottom"/>
            <w:hideMark/>
          </w:tcPr>
          <w:p w14:paraId="0CB17497" w14:textId="77777777" w:rsidR="0067329E" w:rsidRPr="00AE4E8D" w:rsidRDefault="0067329E" w:rsidP="00E8320E">
            <w:pPr>
              <w:jc w:val="center"/>
              <w:rPr>
                <w:rFonts w:ascii="Times New Roman" w:hAnsi="Times New Roman"/>
                <w:sz w:val="16"/>
                <w:lang w:val="es-ES"/>
              </w:rPr>
            </w:pPr>
          </w:p>
        </w:tc>
      </w:tr>
      <w:tr w:rsidR="003B5193" w:rsidRPr="00AE4E8D" w14:paraId="77DED201" w14:textId="77777777" w:rsidTr="00E8320E">
        <w:trPr>
          <w:trHeight w:val="243"/>
          <w:jc w:val="center"/>
        </w:trPr>
        <w:tc>
          <w:tcPr>
            <w:tcW w:w="3195" w:type="dxa"/>
            <w:tcBorders>
              <w:top w:val="nil"/>
              <w:left w:val="nil"/>
              <w:bottom w:val="nil"/>
              <w:right w:val="nil"/>
            </w:tcBorders>
            <w:shd w:val="clear" w:color="auto" w:fill="auto"/>
            <w:noWrap/>
            <w:vAlign w:val="center"/>
            <w:hideMark/>
          </w:tcPr>
          <w:p w14:paraId="3A1A552A"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Efectivo al Inicio</w:t>
            </w:r>
          </w:p>
        </w:tc>
        <w:tc>
          <w:tcPr>
            <w:tcW w:w="778" w:type="dxa"/>
            <w:tcBorders>
              <w:top w:val="nil"/>
              <w:left w:val="nil"/>
              <w:bottom w:val="nil"/>
              <w:right w:val="nil"/>
            </w:tcBorders>
            <w:shd w:val="clear" w:color="auto" w:fill="auto"/>
            <w:noWrap/>
            <w:vAlign w:val="center"/>
            <w:hideMark/>
          </w:tcPr>
          <w:p w14:paraId="1F420AF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658.005</w:t>
            </w:r>
          </w:p>
        </w:tc>
        <w:tc>
          <w:tcPr>
            <w:tcW w:w="222" w:type="dxa"/>
            <w:tcBorders>
              <w:top w:val="nil"/>
              <w:left w:val="nil"/>
              <w:bottom w:val="nil"/>
              <w:right w:val="nil"/>
            </w:tcBorders>
            <w:shd w:val="clear" w:color="auto" w:fill="auto"/>
            <w:vAlign w:val="center"/>
            <w:hideMark/>
          </w:tcPr>
          <w:p w14:paraId="43AB9659"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28B3AE6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1.409.328</w:t>
            </w:r>
          </w:p>
        </w:tc>
        <w:tc>
          <w:tcPr>
            <w:tcW w:w="222" w:type="dxa"/>
            <w:tcBorders>
              <w:top w:val="nil"/>
              <w:left w:val="nil"/>
              <w:bottom w:val="nil"/>
              <w:right w:val="nil"/>
            </w:tcBorders>
            <w:shd w:val="clear" w:color="auto" w:fill="auto"/>
            <w:vAlign w:val="center"/>
            <w:hideMark/>
          </w:tcPr>
          <w:p w14:paraId="10363F45" w14:textId="77777777" w:rsidR="0067329E" w:rsidRPr="00AE4E8D" w:rsidRDefault="0067329E" w:rsidP="00E8320E">
            <w:pPr>
              <w:jc w:val="right"/>
              <w:rPr>
                <w:rFonts w:ascii="Times New Roman" w:hAnsi="Times New Roman"/>
                <w:color w:val="000000"/>
                <w:sz w:val="16"/>
                <w:lang w:val="es-ES"/>
              </w:rPr>
            </w:pPr>
          </w:p>
        </w:tc>
        <w:tc>
          <w:tcPr>
            <w:tcW w:w="856" w:type="dxa"/>
            <w:tcBorders>
              <w:top w:val="nil"/>
              <w:left w:val="nil"/>
              <w:bottom w:val="nil"/>
              <w:right w:val="nil"/>
            </w:tcBorders>
            <w:shd w:val="clear" w:color="auto" w:fill="auto"/>
            <w:noWrap/>
            <w:vAlign w:val="center"/>
            <w:hideMark/>
          </w:tcPr>
          <w:p w14:paraId="0C26071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2.240.567</w:t>
            </w:r>
          </w:p>
        </w:tc>
        <w:tc>
          <w:tcPr>
            <w:tcW w:w="222" w:type="dxa"/>
            <w:tcBorders>
              <w:top w:val="nil"/>
              <w:left w:val="nil"/>
              <w:bottom w:val="nil"/>
              <w:right w:val="nil"/>
            </w:tcBorders>
            <w:shd w:val="clear" w:color="auto" w:fill="auto"/>
            <w:vAlign w:val="center"/>
            <w:hideMark/>
          </w:tcPr>
          <w:p w14:paraId="29EAF312"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357BBAB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5.368.514</w:t>
            </w:r>
          </w:p>
        </w:tc>
        <w:tc>
          <w:tcPr>
            <w:tcW w:w="222" w:type="dxa"/>
            <w:tcBorders>
              <w:top w:val="nil"/>
              <w:left w:val="nil"/>
              <w:bottom w:val="nil"/>
              <w:right w:val="nil"/>
            </w:tcBorders>
            <w:shd w:val="clear" w:color="auto" w:fill="auto"/>
            <w:noWrap/>
            <w:vAlign w:val="bottom"/>
            <w:hideMark/>
          </w:tcPr>
          <w:p w14:paraId="66B74C75" w14:textId="77777777" w:rsidR="0067329E" w:rsidRPr="00AE4E8D" w:rsidRDefault="0067329E" w:rsidP="00E8320E">
            <w:pPr>
              <w:jc w:val="right"/>
              <w:rPr>
                <w:rFonts w:ascii="Times New Roman" w:hAnsi="Times New Roman"/>
                <w:sz w:val="16"/>
                <w:lang w:val="es-ES"/>
              </w:rPr>
            </w:pPr>
          </w:p>
        </w:tc>
        <w:tc>
          <w:tcPr>
            <w:tcW w:w="1339" w:type="dxa"/>
            <w:tcBorders>
              <w:top w:val="nil"/>
              <w:left w:val="nil"/>
              <w:bottom w:val="nil"/>
              <w:right w:val="nil"/>
            </w:tcBorders>
            <w:shd w:val="clear" w:color="auto" w:fill="auto"/>
            <w:noWrap/>
            <w:vAlign w:val="center"/>
            <w:hideMark/>
          </w:tcPr>
          <w:p w14:paraId="20FD0B0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6.378.793</w:t>
            </w:r>
          </w:p>
        </w:tc>
        <w:tc>
          <w:tcPr>
            <w:tcW w:w="222" w:type="dxa"/>
            <w:tcBorders>
              <w:top w:val="nil"/>
              <w:left w:val="nil"/>
              <w:bottom w:val="nil"/>
              <w:right w:val="nil"/>
            </w:tcBorders>
            <w:shd w:val="clear" w:color="auto" w:fill="auto"/>
            <w:vAlign w:val="center"/>
            <w:hideMark/>
          </w:tcPr>
          <w:p w14:paraId="269C11C9" w14:textId="77777777" w:rsidR="0067329E" w:rsidRPr="00AE4E8D" w:rsidRDefault="0067329E" w:rsidP="00E8320E">
            <w:pPr>
              <w:jc w:val="right"/>
              <w:rPr>
                <w:rFonts w:ascii="Times New Roman" w:hAnsi="Times New Roman"/>
                <w:color w:val="000000"/>
                <w:sz w:val="16"/>
                <w:lang w:val="es-ES"/>
              </w:rPr>
            </w:pPr>
          </w:p>
        </w:tc>
        <w:tc>
          <w:tcPr>
            <w:tcW w:w="1300" w:type="dxa"/>
            <w:tcBorders>
              <w:top w:val="nil"/>
              <w:left w:val="nil"/>
              <w:bottom w:val="nil"/>
              <w:right w:val="nil"/>
            </w:tcBorders>
            <w:shd w:val="clear" w:color="auto" w:fill="auto"/>
            <w:noWrap/>
            <w:vAlign w:val="center"/>
            <w:hideMark/>
          </w:tcPr>
          <w:p w14:paraId="4C631F7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402.442</w:t>
            </w:r>
          </w:p>
        </w:tc>
        <w:tc>
          <w:tcPr>
            <w:tcW w:w="222" w:type="dxa"/>
            <w:tcBorders>
              <w:top w:val="nil"/>
              <w:left w:val="nil"/>
              <w:bottom w:val="nil"/>
              <w:right w:val="nil"/>
            </w:tcBorders>
            <w:shd w:val="clear" w:color="auto" w:fill="auto"/>
            <w:noWrap/>
            <w:vAlign w:val="bottom"/>
            <w:hideMark/>
          </w:tcPr>
          <w:p w14:paraId="11BBE597"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706389E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6.378.793</w:t>
            </w:r>
          </w:p>
        </w:tc>
        <w:tc>
          <w:tcPr>
            <w:tcW w:w="222" w:type="dxa"/>
            <w:tcBorders>
              <w:top w:val="nil"/>
              <w:left w:val="nil"/>
              <w:bottom w:val="nil"/>
              <w:right w:val="nil"/>
            </w:tcBorders>
            <w:shd w:val="clear" w:color="auto" w:fill="auto"/>
            <w:noWrap/>
            <w:vAlign w:val="bottom"/>
          </w:tcPr>
          <w:p w14:paraId="35AE37AA"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779A390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7.188.279</w:t>
            </w:r>
          </w:p>
        </w:tc>
        <w:tc>
          <w:tcPr>
            <w:tcW w:w="222" w:type="dxa"/>
            <w:tcBorders>
              <w:top w:val="nil"/>
              <w:left w:val="nil"/>
              <w:bottom w:val="nil"/>
              <w:right w:val="nil"/>
            </w:tcBorders>
            <w:shd w:val="clear" w:color="auto" w:fill="auto"/>
            <w:noWrap/>
            <w:vAlign w:val="bottom"/>
          </w:tcPr>
          <w:p w14:paraId="728A3A7F"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3BF317A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433.068</w:t>
            </w:r>
          </w:p>
        </w:tc>
      </w:tr>
      <w:tr w:rsidR="003B5193" w:rsidRPr="00AE4E8D" w14:paraId="7F7C6D3C" w14:textId="77777777" w:rsidTr="00E8320E">
        <w:trPr>
          <w:trHeight w:val="243"/>
          <w:jc w:val="center"/>
        </w:trPr>
        <w:tc>
          <w:tcPr>
            <w:tcW w:w="3195" w:type="dxa"/>
            <w:tcBorders>
              <w:top w:val="nil"/>
              <w:left w:val="nil"/>
              <w:bottom w:val="nil"/>
              <w:right w:val="nil"/>
            </w:tcBorders>
            <w:shd w:val="clear" w:color="auto" w:fill="auto"/>
            <w:noWrap/>
            <w:vAlign w:val="center"/>
            <w:hideMark/>
          </w:tcPr>
          <w:p w14:paraId="3A2B71FD"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Flujo de efectivo derivado de actividades operativas</w:t>
            </w:r>
          </w:p>
        </w:tc>
        <w:tc>
          <w:tcPr>
            <w:tcW w:w="778" w:type="dxa"/>
            <w:tcBorders>
              <w:top w:val="nil"/>
              <w:left w:val="nil"/>
              <w:bottom w:val="nil"/>
              <w:right w:val="nil"/>
            </w:tcBorders>
            <w:shd w:val="clear" w:color="auto" w:fill="auto"/>
            <w:noWrap/>
            <w:vAlign w:val="center"/>
            <w:hideMark/>
          </w:tcPr>
          <w:p w14:paraId="2FC0DA0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(285.781)</w:t>
            </w:r>
          </w:p>
        </w:tc>
        <w:tc>
          <w:tcPr>
            <w:tcW w:w="222" w:type="dxa"/>
            <w:tcBorders>
              <w:top w:val="nil"/>
              <w:left w:val="nil"/>
              <w:bottom w:val="nil"/>
              <w:right w:val="nil"/>
            </w:tcBorders>
            <w:shd w:val="clear" w:color="auto" w:fill="auto"/>
            <w:noWrap/>
            <w:vAlign w:val="center"/>
            <w:hideMark/>
          </w:tcPr>
          <w:p w14:paraId="14799763"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17B17E1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(1.358.932)</w:t>
            </w:r>
          </w:p>
        </w:tc>
        <w:tc>
          <w:tcPr>
            <w:tcW w:w="222" w:type="dxa"/>
            <w:tcBorders>
              <w:top w:val="nil"/>
              <w:left w:val="nil"/>
              <w:bottom w:val="nil"/>
              <w:right w:val="nil"/>
            </w:tcBorders>
            <w:shd w:val="clear" w:color="auto" w:fill="auto"/>
            <w:vAlign w:val="center"/>
            <w:hideMark/>
          </w:tcPr>
          <w:p w14:paraId="0F3E287F" w14:textId="77777777" w:rsidR="0067329E" w:rsidRPr="00AE4E8D" w:rsidRDefault="0067329E" w:rsidP="00E8320E">
            <w:pPr>
              <w:jc w:val="right"/>
              <w:rPr>
                <w:rFonts w:ascii="Times New Roman" w:hAnsi="Times New Roman"/>
                <w:color w:val="000000"/>
                <w:sz w:val="16"/>
                <w:lang w:val="es-ES"/>
              </w:rPr>
            </w:pPr>
          </w:p>
        </w:tc>
        <w:tc>
          <w:tcPr>
            <w:tcW w:w="856" w:type="dxa"/>
            <w:tcBorders>
              <w:top w:val="nil"/>
              <w:left w:val="nil"/>
              <w:bottom w:val="nil"/>
              <w:right w:val="nil"/>
            </w:tcBorders>
            <w:shd w:val="clear" w:color="auto" w:fill="auto"/>
            <w:noWrap/>
            <w:vAlign w:val="center"/>
            <w:hideMark/>
          </w:tcPr>
          <w:p w14:paraId="5EA44D3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(760.949)</w:t>
            </w:r>
          </w:p>
        </w:tc>
        <w:tc>
          <w:tcPr>
            <w:tcW w:w="222" w:type="dxa"/>
            <w:tcBorders>
              <w:top w:val="nil"/>
              <w:left w:val="nil"/>
              <w:bottom w:val="nil"/>
              <w:right w:val="nil"/>
            </w:tcBorders>
            <w:shd w:val="clear" w:color="auto" w:fill="auto"/>
            <w:vAlign w:val="center"/>
            <w:hideMark/>
          </w:tcPr>
          <w:p w14:paraId="60329F27"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11107E2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(4.484.366)</w:t>
            </w:r>
          </w:p>
        </w:tc>
        <w:tc>
          <w:tcPr>
            <w:tcW w:w="222" w:type="dxa"/>
            <w:tcBorders>
              <w:top w:val="nil"/>
              <w:left w:val="nil"/>
              <w:bottom w:val="nil"/>
              <w:right w:val="nil"/>
            </w:tcBorders>
            <w:shd w:val="clear" w:color="auto" w:fill="auto"/>
            <w:noWrap/>
            <w:vAlign w:val="bottom"/>
            <w:hideMark/>
          </w:tcPr>
          <w:p w14:paraId="40C44F9F" w14:textId="77777777" w:rsidR="0067329E" w:rsidRPr="00AE4E8D" w:rsidRDefault="0067329E" w:rsidP="00E8320E">
            <w:pPr>
              <w:jc w:val="right"/>
              <w:rPr>
                <w:rFonts w:ascii="Times New Roman" w:hAnsi="Times New Roman"/>
                <w:sz w:val="16"/>
                <w:lang w:val="es-ES"/>
              </w:rPr>
            </w:pPr>
          </w:p>
        </w:tc>
        <w:tc>
          <w:tcPr>
            <w:tcW w:w="1339" w:type="dxa"/>
            <w:tcBorders>
              <w:top w:val="nil"/>
              <w:left w:val="nil"/>
              <w:bottom w:val="nil"/>
              <w:right w:val="nil"/>
            </w:tcBorders>
            <w:shd w:val="clear" w:color="auto" w:fill="auto"/>
            <w:noWrap/>
            <w:vAlign w:val="center"/>
            <w:hideMark/>
          </w:tcPr>
          <w:p w14:paraId="462F5C1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(10.397.007)</w:t>
            </w:r>
          </w:p>
        </w:tc>
        <w:tc>
          <w:tcPr>
            <w:tcW w:w="222" w:type="dxa"/>
            <w:tcBorders>
              <w:top w:val="nil"/>
              <w:left w:val="nil"/>
              <w:bottom w:val="nil"/>
              <w:right w:val="nil"/>
            </w:tcBorders>
            <w:shd w:val="clear" w:color="auto" w:fill="auto"/>
            <w:vAlign w:val="center"/>
            <w:hideMark/>
          </w:tcPr>
          <w:p w14:paraId="21ED4D61" w14:textId="77777777" w:rsidR="0067329E" w:rsidRPr="00AE4E8D" w:rsidRDefault="0067329E" w:rsidP="00E8320E">
            <w:pPr>
              <w:jc w:val="right"/>
              <w:rPr>
                <w:rFonts w:ascii="Times New Roman" w:hAnsi="Times New Roman"/>
                <w:color w:val="000000"/>
                <w:sz w:val="16"/>
                <w:lang w:val="es-ES"/>
              </w:rPr>
            </w:pPr>
          </w:p>
        </w:tc>
        <w:tc>
          <w:tcPr>
            <w:tcW w:w="1300" w:type="dxa"/>
            <w:tcBorders>
              <w:top w:val="nil"/>
              <w:left w:val="nil"/>
              <w:bottom w:val="nil"/>
              <w:right w:val="nil"/>
            </w:tcBorders>
            <w:shd w:val="clear" w:color="auto" w:fill="auto"/>
            <w:noWrap/>
            <w:vAlign w:val="center"/>
            <w:hideMark/>
          </w:tcPr>
          <w:p w14:paraId="27BE465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(655.954)</w:t>
            </w:r>
          </w:p>
        </w:tc>
        <w:tc>
          <w:tcPr>
            <w:tcW w:w="222" w:type="dxa"/>
            <w:tcBorders>
              <w:top w:val="nil"/>
              <w:left w:val="nil"/>
              <w:bottom w:val="nil"/>
              <w:right w:val="nil"/>
            </w:tcBorders>
            <w:shd w:val="clear" w:color="auto" w:fill="auto"/>
            <w:noWrap/>
            <w:vAlign w:val="bottom"/>
            <w:hideMark/>
          </w:tcPr>
          <w:p w14:paraId="499DA271"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3F6DA84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(6.319.923)</w:t>
            </w:r>
          </w:p>
        </w:tc>
        <w:tc>
          <w:tcPr>
            <w:tcW w:w="222" w:type="dxa"/>
            <w:tcBorders>
              <w:top w:val="nil"/>
              <w:left w:val="nil"/>
              <w:bottom w:val="nil"/>
              <w:right w:val="nil"/>
            </w:tcBorders>
            <w:shd w:val="clear" w:color="auto" w:fill="auto"/>
            <w:noWrap/>
            <w:vAlign w:val="bottom"/>
          </w:tcPr>
          <w:p w14:paraId="6CDDCD30"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14158E0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(7.274.004)</w:t>
            </w:r>
          </w:p>
        </w:tc>
        <w:tc>
          <w:tcPr>
            <w:tcW w:w="222" w:type="dxa"/>
            <w:tcBorders>
              <w:top w:val="nil"/>
              <w:left w:val="nil"/>
              <w:bottom w:val="nil"/>
              <w:right w:val="nil"/>
            </w:tcBorders>
            <w:shd w:val="clear" w:color="auto" w:fill="auto"/>
            <w:noWrap/>
            <w:vAlign w:val="bottom"/>
          </w:tcPr>
          <w:p w14:paraId="19F618BB"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111F794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(438.233)</w:t>
            </w:r>
          </w:p>
        </w:tc>
      </w:tr>
      <w:tr w:rsidR="003B5193" w:rsidRPr="00AE4E8D" w14:paraId="4D724DA3" w14:textId="77777777" w:rsidTr="00E8320E">
        <w:trPr>
          <w:trHeight w:val="243"/>
          <w:jc w:val="center"/>
        </w:trPr>
        <w:tc>
          <w:tcPr>
            <w:tcW w:w="3195" w:type="dxa"/>
            <w:tcBorders>
              <w:top w:val="nil"/>
              <w:left w:val="nil"/>
              <w:bottom w:val="nil"/>
              <w:right w:val="nil"/>
            </w:tcBorders>
            <w:shd w:val="clear" w:color="auto" w:fill="auto"/>
            <w:noWrap/>
            <w:vAlign w:val="center"/>
            <w:hideMark/>
          </w:tcPr>
          <w:p w14:paraId="63778BD5"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Flujo de efectivo usado en actividades de inversión</w:t>
            </w:r>
          </w:p>
        </w:tc>
        <w:tc>
          <w:tcPr>
            <w:tcW w:w="778" w:type="dxa"/>
            <w:tcBorders>
              <w:top w:val="nil"/>
              <w:left w:val="nil"/>
              <w:bottom w:val="nil"/>
              <w:right w:val="nil"/>
            </w:tcBorders>
            <w:shd w:val="clear" w:color="auto" w:fill="auto"/>
            <w:noWrap/>
            <w:vAlign w:val="center"/>
            <w:hideMark/>
          </w:tcPr>
          <w:p w14:paraId="7C3C601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(8.044)</w:t>
            </w:r>
          </w:p>
        </w:tc>
        <w:tc>
          <w:tcPr>
            <w:tcW w:w="222" w:type="dxa"/>
            <w:tcBorders>
              <w:top w:val="nil"/>
              <w:left w:val="nil"/>
              <w:bottom w:val="nil"/>
              <w:right w:val="nil"/>
            </w:tcBorders>
            <w:shd w:val="clear" w:color="auto" w:fill="auto"/>
            <w:noWrap/>
            <w:vAlign w:val="center"/>
            <w:hideMark/>
          </w:tcPr>
          <w:p w14:paraId="333F39E8"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1B9D545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(20.157)</w:t>
            </w:r>
          </w:p>
        </w:tc>
        <w:tc>
          <w:tcPr>
            <w:tcW w:w="222" w:type="dxa"/>
            <w:tcBorders>
              <w:top w:val="nil"/>
              <w:left w:val="nil"/>
              <w:bottom w:val="nil"/>
              <w:right w:val="nil"/>
            </w:tcBorders>
            <w:shd w:val="clear" w:color="auto" w:fill="auto"/>
            <w:vAlign w:val="center"/>
            <w:hideMark/>
          </w:tcPr>
          <w:p w14:paraId="7DB89BDC" w14:textId="77777777" w:rsidR="0067329E" w:rsidRPr="00AE4E8D" w:rsidRDefault="0067329E" w:rsidP="00E8320E">
            <w:pPr>
              <w:jc w:val="right"/>
              <w:rPr>
                <w:rFonts w:ascii="Times New Roman" w:hAnsi="Times New Roman"/>
                <w:color w:val="000000"/>
                <w:sz w:val="16"/>
                <w:lang w:val="es-ES"/>
              </w:rPr>
            </w:pPr>
          </w:p>
        </w:tc>
        <w:tc>
          <w:tcPr>
            <w:tcW w:w="856" w:type="dxa"/>
            <w:tcBorders>
              <w:top w:val="nil"/>
              <w:left w:val="nil"/>
              <w:bottom w:val="nil"/>
              <w:right w:val="nil"/>
            </w:tcBorders>
            <w:shd w:val="clear" w:color="auto" w:fill="auto"/>
            <w:noWrap/>
            <w:vAlign w:val="center"/>
            <w:hideMark/>
          </w:tcPr>
          <w:p w14:paraId="2E40517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(54.757)</w:t>
            </w:r>
          </w:p>
        </w:tc>
        <w:tc>
          <w:tcPr>
            <w:tcW w:w="222" w:type="dxa"/>
            <w:tcBorders>
              <w:top w:val="nil"/>
              <w:left w:val="nil"/>
              <w:bottom w:val="nil"/>
              <w:right w:val="nil"/>
            </w:tcBorders>
            <w:shd w:val="clear" w:color="auto" w:fill="auto"/>
            <w:vAlign w:val="center"/>
            <w:hideMark/>
          </w:tcPr>
          <w:p w14:paraId="74821686"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3DA6F9C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(124.937)</w:t>
            </w:r>
          </w:p>
        </w:tc>
        <w:tc>
          <w:tcPr>
            <w:tcW w:w="222" w:type="dxa"/>
            <w:tcBorders>
              <w:top w:val="nil"/>
              <w:left w:val="nil"/>
              <w:bottom w:val="nil"/>
              <w:right w:val="nil"/>
            </w:tcBorders>
            <w:shd w:val="clear" w:color="auto" w:fill="auto"/>
            <w:noWrap/>
            <w:vAlign w:val="bottom"/>
            <w:hideMark/>
          </w:tcPr>
          <w:p w14:paraId="49C94519" w14:textId="77777777" w:rsidR="0067329E" w:rsidRPr="00AE4E8D" w:rsidRDefault="0067329E" w:rsidP="00E8320E">
            <w:pPr>
              <w:jc w:val="right"/>
              <w:rPr>
                <w:rFonts w:ascii="Times New Roman" w:hAnsi="Times New Roman"/>
                <w:sz w:val="16"/>
                <w:lang w:val="es-ES"/>
              </w:rPr>
            </w:pPr>
          </w:p>
        </w:tc>
        <w:tc>
          <w:tcPr>
            <w:tcW w:w="1339" w:type="dxa"/>
            <w:tcBorders>
              <w:top w:val="nil"/>
              <w:left w:val="nil"/>
              <w:bottom w:val="nil"/>
              <w:right w:val="nil"/>
            </w:tcBorders>
            <w:shd w:val="clear" w:color="auto" w:fill="auto"/>
            <w:noWrap/>
            <w:vAlign w:val="center"/>
            <w:hideMark/>
          </w:tcPr>
          <w:p w14:paraId="496CA8F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(378.366)</w:t>
            </w:r>
          </w:p>
        </w:tc>
        <w:tc>
          <w:tcPr>
            <w:tcW w:w="222" w:type="dxa"/>
            <w:tcBorders>
              <w:top w:val="nil"/>
              <w:left w:val="nil"/>
              <w:bottom w:val="nil"/>
              <w:right w:val="nil"/>
            </w:tcBorders>
            <w:shd w:val="clear" w:color="auto" w:fill="auto"/>
            <w:vAlign w:val="center"/>
            <w:hideMark/>
          </w:tcPr>
          <w:p w14:paraId="689A3616" w14:textId="77777777" w:rsidR="0067329E" w:rsidRPr="00AE4E8D" w:rsidRDefault="0067329E" w:rsidP="00E8320E">
            <w:pPr>
              <w:jc w:val="right"/>
              <w:rPr>
                <w:rFonts w:ascii="Times New Roman" w:hAnsi="Times New Roman"/>
                <w:color w:val="000000"/>
                <w:sz w:val="16"/>
                <w:lang w:val="es-ES"/>
              </w:rPr>
            </w:pPr>
          </w:p>
        </w:tc>
        <w:tc>
          <w:tcPr>
            <w:tcW w:w="1300" w:type="dxa"/>
            <w:tcBorders>
              <w:top w:val="nil"/>
              <w:left w:val="nil"/>
              <w:bottom w:val="nil"/>
              <w:right w:val="nil"/>
            </w:tcBorders>
            <w:shd w:val="clear" w:color="auto" w:fill="auto"/>
            <w:noWrap/>
            <w:vAlign w:val="center"/>
            <w:hideMark/>
          </w:tcPr>
          <w:p w14:paraId="7F19D29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(23.871)</w:t>
            </w:r>
          </w:p>
        </w:tc>
        <w:tc>
          <w:tcPr>
            <w:tcW w:w="222" w:type="dxa"/>
            <w:tcBorders>
              <w:top w:val="nil"/>
              <w:left w:val="nil"/>
              <w:bottom w:val="nil"/>
              <w:right w:val="nil"/>
            </w:tcBorders>
            <w:shd w:val="clear" w:color="auto" w:fill="auto"/>
            <w:noWrap/>
            <w:vAlign w:val="bottom"/>
            <w:hideMark/>
          </w:tcPr>
          <w:p w14:paraId="1CB0DA93"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47BE0CA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(262.635)</w:t>
            </w:r>
          </w:p>
        </w:tc>
        <w:tc>
          <w:tcPr>
            <w:tcW w:w="222" w:type="dxa"/>
            <w:tcBorders>
              <w:top w:val="nil"/>
              <w:left w:val="nil"/>
              <w:bottom w:val="nil"/>
              <w:right w:val="nil"/>
            </w:tcBorders>
            <w:shd w:val="clear" w:color="auto" w:fill="auto"/>
            <w:noWrap/>
            <w:vAlign w:val="bottom"/>
          </w:tcPr>
          <w:p w14:paraId="60F80E93"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2754082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(1.018.386)</w:t>
            </w:r>
          </w:p>
        </w:tc>
        <w:tc>
          <w:tcPr>
            <w:tcW w:w="222" w:type="dxa"/>
            <w:tcBorders>
              <w:top w:val="nil"/>
              <w:left w:val="nil"/>
              <w:bottom w:val="nil"/>
              <w:right w:val="nil"/>
            </w:tcBorders>
            <w:shd w:val="clear" w:color="auto" w:fill="auto"/>
            <w:noWrap/>
            <w:vAlign w:val="bottom"/>
          </w:tcPr>
          <w:p w14:paraId="5DCA79F7"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3BB5EDD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(61.354)</w:t>
            </w:r>
          </w:p>
        </w:tc>
      </w:tr>
      <w:tr w:rsidR="003B5193" w:rsidRPr="00AE4E8D" w14:paraId="71DDD384" w14:textId="77777777" w:rsidTr="00E8320E">
        <w:trPr>
          <w:trHeight w:val="243"/>
          <w:jc w:val="center"/>
        </w:trPr>
        <w:tc>
          <w:tcPr>
            <w:tcW w:w="3195" w:type="dxa"/>
            <w:tcBorders>
              <w:top w:val="nil"/>
              <w:left w:val="nil"/>
              <w:bottom w:val="nil"/>
              <w:right w:val="nil"/>
            </w:tcBorders>
            <w:shd w:val="clear" w:color="auto" w:fill="auto"/>
            <w:noWrap/>
            <w:vAlign w:val="center"/>
            <w:hideMark/>
          </w:tcPr>
          <w:p w14:paraId="35193BB6"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Flujo de efectivo usado en actividades de financiación</w:t>
            </w:r>
          </w:p>
        </w:tc>
        <w:tc>
          <w:tcPr>
            <w:tcW w:w="778" w:type="dxa"/>
            <w:tcBorders>
              <w:top w:val="nil"/>
              <w:left w:val="nil"/>
              <w:bottom w:val="nil"/>
              <w:right w:val="nil"/>
            </w:tcBorders>
            <w:shd w:val="clear" w:color="auto" w:fill="auto"/>
            <w:noWrap/>
            <w:vAlign w:val="center"/>
            <w:hideMark/>
          </w:tcPr>
          <w:p w14:paraId="2414724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165.203</w:t>
            </w:r>
          </w:p>
        </w:tc>
        <w:tc>
          <w:tcPr>
            <w:tcW w:w="222" w:type="dxa"/>
            <w:tcBorders>
              <w:top w:val="nil"/>
              <w:left w:val="nil"/>
              <w:bottom w:val="nil"/>
              <w:right w:val="nil"/>
            </w:tcBorders>
            <w:shd w:val="clear" w:color="auto" w:fill="auto"/>
            <w:vAlign w:val="center"/>
            <w:hideMark/>
          </w:tcPr>
          <w:p w14:paraId="3F703035"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4DF6401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604.752</w:t>
            </w:r>
          </w:p>
        </w:tc>
        <w:tc>
          <w:tcPr>
            <w:tcW w:w="222" w:type="dxa"/>
            <w:tcBorders>
              <w:top w:val="nil"/>
              <w:left w:val="nil"/>
              <w:bottom w:val="nil"/>
              <w:right w:val="nil"/>
            </w:tcBorders>
            <w:shd w:val="clear" w:color="auto" w:fill="auto"/>
            <w:vAlign w:val="center"/>
            <w:hideMark/>
          </w:tcPr>
          <w:p w14:paraId="7B0670B9" w14:textId="77777777" w:rsidR="0067329E" w:rsidRPr="00AE4E8D" w:rsidRDefault="0067329E" w:rsidP="00E8320E">
            <w:pPr>
              <w:jc w:val="right"/>
              <w:rPr>
                <w:rFonts w:ascii="Times New Roman" w:hAnsi="Times New Roman"/>
                <w:color w:val="000000"/>
                <w:sz w:val="16"/>
                <w:lang w:val="es-ES"/>
              </w:rPr>
            </w:pPr>
          </w:p>
        </w:tc>
        <w:tc>
          <w:tcPr>
            <w:tcW w:w="856" w:type="dxa"/>
            <w:tcBorders>
              <w:top w:val="nil"/>
              <w:left w:val="nil"/>
              <w:bottom w:val="nil"/>
              <w:right w:val="nil"/>
            </w:tcBorders>
            <w:shd w:val="clear" w:color="auto" w:fill="auto"/>
            <w:noWrap/>
            <w:vAlign w:val="center"/>
            <w:hideMark/>
          </w:tcPr>
          <w:p w14:paraId="411F616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1.698.654</w:t>
            </w:r>
          </w:p>
        </w:tc>
        <w:tc>
          <w:tcPr>
            <w:tcW w:w="222" w:type="dxa"/>
            <w:tcBorders>
              <w:top w:val="nil"/>
              <w:left w:val="nil"/>
              <w:bottom w:val="nil"/>
              <w:right w:val="nil"/>
            </w:tcBorders>
            <w:shd w:val="clear" w:color="auto" w:fill="auto"/>
            <w:vAlign w:val="center"/>
            <w:hideMark/>
          </w:tcPr>
          <w:p w14:paraId="6BE820A7"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4339930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2.773.584</w:t>
            </w:r>
          </w:p>
        </w:tc>
        <w:tc>
          <w:tcPr>
            <w:tcW w:w="222" w:type="dxa"/>
            <w:tcBorders>
              <w:top w:val="nil"/>
              <w:left w:val="nil"/>
              <w:bottom w:val="nil"/>
              <w:right w:val="nil"/>
            </w:tcBorders>
            <w:shd w:val="clear" w:color="auto" w:fill="auto"/>
            <w:noWrap/>
            <w:vAlign w:val="bottom"/>
            <w:hideMark/>
          </w:tcPr>
          <w:p w14:paraId="12C9CD1C" w14:textId="77777777" w:rsidR="0067329E" w:rsidRPr="00AE4E8D" w:rsidRDefault="0067329E" w:rsidP="00E8320E">
            <w:pPr>
              <w:jc w:val="right"/>
              <w:rPr>
                <w:rFonts w:ascii="Times New Roman" w:hAnsi="Times New Roman"/>
                <w:sz w:val="16"/>
                <w:lang w:val="es-ES"/>
              </w:rPr>
            </w:pPr>
          </w:p>
        </w:tc>
        <w:tc>
          <w:tcPr>
            <w:tcW w:w="1339" w:type="dxa"/>
            <w:tcBorders>
              <w:top w:val="nil"/>
              <w:left w:val="nil"/>
              <w:bottom w:val="nil"/>
              <w:right w:val="nil"/>
            </w:tcBorders>
            <w:shd w:val="clear" w:color="auto" w:fill="auto"/>
            <w:noWrap/>
            <w:vAlign w:val="center"/>
            <w:hideMark/>
          </w:tcPr>
          <w:p w14:paraId="62CE57A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9.034.850</w:t>
            </w:r>
          </w:p>
        </w:tc>
        <w:tc>
          <w:tcPr>
            <w:tcW w:w="222" w:type="dxa"/>
            <w:tcBorders>
              <w:top w:val="nil"/>
              <w:left w:val="nil"/>
              <w:bottom w:val="nil"/>
              <w:right w:val="nil"/>
            </w:tcBorders>
            <w:shd w:val="clear" w:color="auto" w:fill="auto"/>
            <w:vAlign w:val="center"/>
            <w:hideMark/>
          </w:tcPr>
          <w:p w14:paraId="21068402" w14:textId="77777777" w:rsidR="0067329E" w:rsidRPr="00AE4E8D" w:rsidRDefault="0067329E" w:rsidP="00E8320E">
            <w:pPr>
              <w:jc w:val="right"/>
              <w:rPr>
                <w:rFonts w:ascii="Times New Roman" w:hAnsi="Times New Roman"/>
                <w:color w:val="000000"/>
                <w:sz w:val="16"/>
                <w:lang w:val="es-ES"/>
              </w:rPr>
            </w:pPr>
          </w:p>
        </w:tc>
        <w:tc>
          <w:tcPr>
            <w:tcW w:w="1300" w:type="dxa"/>
            <w:tcBorders>
              <w:top w:val="nil"/>
              <w:left w:val="nil"/>
              <w:bottom w:val="nil"/>
              <w:right w:val="nil"/>
            </w:tcBorders>
            <w:shd w:val="clear" w:color="auto" w:fill="auto"/>
            <w:noWrap/>
            <w:vAlign w:val="center"/>
            <w:hideMark/>
          </w:tcPr>
          <w:p w14:paraId="1202F36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570.015</w:t>
            </w:r>
          </w:p>
        </w:tc>
        <w:tc>
          <w:tcPr>
            <w:tcW w:w="222" w:type="dxa"/>
            <w:tcBorders>
              <w:top w:val="nil"/>
              <w:left w:val="nil"/>
              <w:bottom w:val="nil"/>
              <w:right w:val="nil"/>
            </w:tcBorders>
            <w:shd w:val="clear" w:color="auto" w:fill="auto"/>
            <w:noWrap/>
            <w:vAlign w:val="bottom"/>
            <w:hideMark/>
          </w:tcPr>
          <w:p w14:paraId="163FA1FD"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223620E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2.218.617</w:t>
            </w:r>
          </w:p>
        </w:tc>
        <w:tc>
          <w:tcPr>
            <w:tcW w:w="222" w:type="dxa"/>
            <w:tcBorders>
              <w:top w:val="nil"/>
              <w:left w:val="nil"/>
              <w:bottom w:val="nil"/>
              <w:right w:val="nil"/>
            </w:tcBorders>
            <w:shd w:val="clear" w:color="auto" w:fill="auto"/>
            <w:noWrap/>
            <w:vAlign w:val="bottom"/>
          </w:tcPr>
          <w:p w14:paraId="11992E63"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3C95581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2.684.877</w:t>
            </w:r>
          </w:p>
        </w:tc>
        <w:tc>
          <w:tcPr>
            <w:tcW w:w="222" w:type="dxa"/>
            <w:tcBorders>
              <w:top w:val="nil"/>
              <w:left w:val="nil"/>
              <w:bottom w:val="nil"/>
              <w:right w:val="nil"/>
            </w:tcBorders>
            <w:shd w:val="clear" w:color="auto" w:fill="auto"/>
            <w:noWrap/>
            <w:vAlign w:val="bottom"/>
          </w:tcPr>
          <w:p w14:paraId="4861592D"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59A6DFA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161.754</w:t>
            </w:r>
          </w:p>
        </w:tc>
      </w:tr>
      <w:tr w:rsidR="003B5193" w:rsidRPr="00AE4E8D" w14:paraId="24E6DDEC" w14:textId="77777777" w:rsidTr="00E8320E">
        <w:trPr>
          <w:trHeight w:val="258"/>
          <w:jc w:val="center"/>
        </w:trPr>
        <w:tc>
          <w:tcPr>
            <w:tcW w:w="3195" w:type="dxa"/>
            <w:tcBorders>
              <w:top w:val="nil"/>
              <w:left w:val="nil"/>
              <w:bottom w:val="nil"/>
              <w:right w:val="nil"/>
            </w:tcBorders>
            <w:shd w:val="clear" w:color="auto" w:fill="auto"/>
            <w:noWrap/>
            <w:vAlign w:val="center"/>
            <w:hideMark/>
          </w:tcPr>
          <w:p w14:paraId="66085959"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Resultados financieros y por tenencia del efectivo y sus equivalentes (incluyendo intereses y resultados monetarios)</w:t>
            </w:r>
          </w:p>
        </w:tc>
        <w:tc>
          <w:tcPr>
            <w:tcW w:w="778" w:type="dxa"/>
            <w:tcBorders>
              <w:top w:val="nil"/>
              <w:left w:val="nil"/>
              <w:bottom w:val="single" w:sz="8" w:space="0" w:color="auto"/>
              <w:right w:val="nil"/>
            </w:tcBorders>
            <w:shd w:val="clear" w:color="auto" w:fill="auto"/>
            <w:noWrap/>
            <w:vAlign w:val="center"/>
            <w:hideMark/>
          </w:tcPr>
          <w:p w14:paraId="6958A8D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879.945</w:t>
            </w:r>
          </w:p>
        </w:tc>
        <w:tc>
          <w:tcPr>
            <w:tcW w:w="222" w:type="dxa"/>
            <w:tcBorders>
              <w:top w:val="nil"/>
              <w:left w:val="nil"/>
              <w:bottom w:val="nil"/>
              <w:right w:val="nil"/>
            </w:tcBorders>
            <w:shd w:val="clear" w:color="auto" w:fill="auto"/>
            <w:vAlign w:val="center"/>
            <w:hideMark/>
          </w:tcPr>
          <w:p w14:paraId="0951FD1A"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single" w:sz="8" w:space="0" w:color="auto"/>
              <w:right w:val="nil"/>
            </w:tcBorders>
            <w:shd w:val="clear" w:color="auto" w:fill="auto"/>
            <w:noWrap/>
            <w:vAlign w:val="center"/>
            <w:hideMark/>
          </w:tcPr>
          <w:p w14:paraId="29677C6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1.605.576</w:t>
            </w:r>
          </w:p>
        </w:tc>
        <w:tc>
          <w:tcPr>
            <w:tcW w:w="222" w:type="dxa"/>
            <w:tcBorders>
              <w:top w:val="nil"/>
              <w:left w:val="nil"/>
              <w:bottom w:val="nil"/>
              <w:right w:val="nil"/>
            </w:tcBorders>
            <w:shd w:val="clear" w:color="auto" w:fill="auto"/>
            <w:vAlign w:val="center"/>
            <w:hideMark/>
          </w:tcPr>
          <w:p w14:paraId="021B55FB" w14:textId="77777777" w:rsidR="0067329E" w:rsidRPr="00AE4E8D" w:rsidRDefault="0067329E" w:rsidP="00E8320E">
            <w:pPr>
              <w:jc w:val="right"/>
              <w:rPr>
                <w:rFonts w:ascii="Times New Roman" w:hAnsi="Times New Roman"/>
                <w:color w:val="000000"/>
                <w:sz w:val="16"/>
                <w:lang w:val="es-ES"/>
              </w:rPr>
            </w:pPr>
          </w:p>
        </w:tc>
        <w:tc>
          <w:tcPr>
            <w:tcW w:w="856" w:type="dxa"/>
            <w:tcBorders>
              <w:top w:val="nil"/>
              <w:left w:val="nil"/>
              <w:bottom w:val="single" w:sz="8" w:space="0" w:color="auto"/>
              <w:right w:val="nil"/>
            </w:tcBorders>
            <w:shd w:val="clear" w:color="auto" w:fill="auto"/>
            <w:noWrap/>
            <w:vAlign w:val="center"/>
            <w:hideMark/>
          </w:tcPr>
          <w:p w14:paraId="6DBE2F4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2.244.999</w:t>
            </w:r>
          </w:p>
        </w:tc>
        <w:tc>
          <w:tcPr>
            <w:tcW w:w="222" w:type="dxa"/>
            <w:tcBorders>
              <w:top w:val="nil"/>
              <w:left w:val="nil"/>
              <w:bottom w:val="nil"/>
              <w:right w:val="nil"/>
            </w:tcBorders>
            <w:shd w:val="clear" w:color="auto" w:fill="auto"/>
            <w:vAlign w:val="center"/>
            <w:hideMark/>
          </w:tcPr>
          <w:p w14:paraId="3427F635"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single" w:sz="8" w:space="0" w:color="auto"/>
              <w:right w:val="nil"/>
            </w:tcBorders>
            <w:shd w:val="clear" w:color="auto" w:fill="auto"/>
            <w:noWrap/>
            <w:vAlign w:val="center"/>
            <w:hideMark/>
          </w:tcPr>
          <w:p w14:paraId="7C1D2A2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2.845.998</w:t>
            </w:r>
          </w:p>
        </w:tc>
        <w:tc>
          <w:tcPr>
            <w:tcW w:w="222" w:type="dxa"/>
            <w:tcBorders>
              <w:top w:val="nil"/>
              <w:left w:val="nil"/>
              <w:bottom w:val="nil"/>
              <w:right w:val="nil"/>
            </w:tcBorders>
            <w:shd w:val="clear" w:color="auto" w:fill="auto"/>
            <w:noWrap/>
            <w:vAlign w:val="bottom"/>
            <w:hideMark/>
          </w:tcPr>
          <w:p w14:paraId="05E68D95" w14:textId="77777777" w:rsidR="0067329E" w:rsidRPr="00AE4E8D" w:rsidRDefault="0067329E" w:rsidP="00E8320E">
            <w:pPr>
              <w:jc w:val="right"/>
              <w:rPr>
                <w:rFonts w:ascii="Times New Roman" w:hAnsi="Times New Roman"/>
                <w:sz w:val="16"/>
                <w:lang w:val="es-ES"/>
              </w:rPr>
            </w:pPr>
          </w:p>
        </w:tc>
        <w:tc>
          <w:tcPr>
            <w:tcW w:w="1339" w:type="dxa"/>
            <w:tcBorders>
              <w:top w:val="nil"/>
              <w:left w:val="nil"/>
              <w:bottom w:val="single" w:sz="8" w:space="0" w:color="auto"/>
              <w:right w:val="nil"/>
            </w:tcBorders>
            <w:shd w:val="clear" w:color="auto" w:fill="auto"/>
            <w:noWrap/>
            <w:vAlign w:val="center"/>
            <w:hideMark/>
          </w:tcPr>
          <w:p w14:paraId="78D2532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2.550.009</w:t>
            </w:r>
          </w:p>
        </w:tc>
        <w:tc>
          <w:tcPr>
            <w:tcW w:w="222" w:type="dxa"/>
            <w:tcBorders>
              <w:top w:val="nil"/>
              <w:left w:val="nil"/>
              <w:bottom w:val="nil"/>
              <w:right w:val="nil"/>
            </w:tcBorders>
            <w:shd w:val="clear" w:color="auto" w:fill="auto"/>
            <w:vAlign w:val="center"/>
            <w:hideMark/>
          </w:tcPr>
          <w:p w14:paraId="37CE2BE9" w14:textId="77777777" w:rsidR="0067329E" w:rsidRPr="00AE4E8D" w:rsidRDefault="0067329E" w:rsidP="00E8320E">
            <w:pPr>
              <w:jc w:val="right"/>
              <w:rPr>
                <w:rFonts w:ascii="Times New Roman" w:hAnsi="Times New Roman"/>
                <w:color w:val="000000"/>
                <w:sz w:val="16"/>
                <w:lang w:val="es-ES"/>
              </w:rPr>
            </w:pPr>
          </w:p>
        </w:tc>
        <w:tc>
          <w:tcPr>
            <w:tcW w:w="1300" w:type="dxa"/>
            <w:tcBorders>
              <w:top w:val="nil"/>
              <w:left w:val="nil"/>
              <w:bottom w:val="single" w:sz="8" w:space="0" w:color="auto"/>
              <w:right w:val="nil"/>
            </w:tcBorders>
            <w:shd w:val="clear" w:color="auto" w:fill="auto"/>
            <w:noWrap/>
            <w:vAlign w:val="center"/>
            <w:hideMark/>
          </w:tcPr>
          <w:p w14:paraId="7B774A9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160.882</w:t>
            </w:r>
          </w:p>
        </w:tc>
        <w:tc>
          <w:tcPr>
            <w:tcW w:w="222" w:type="dxa"/>
            <w:tcBorders>
              <w:top w:val="nil"/>
              <w:left w:val="nil"/>
              <w:bottom w:val="nil"/>
              <w:right w:val="nil"/>
            </w:tcBorders>
            <w:shd w:val="clear" w:color="auto" w:fill="auto"/>
            <w:noWrap/>
            <w:vAlign w:val="bottom"/>
            <w:hideMark/>
          </w:tcPr>
          <w:p w14:paraId="2A7608A8"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single" w:sz="8" w:space="0" w:color="auto"/>
              <w:right w:val="nil"/>
            </w:tcBorders>
            <w:shd w:val="clear" w:color="auto" w:fill="auto"/>
            <w:noWrap/>
            <w:vAlign w:val="center"/>
          </w:tcPr>
          <w:p w14:paraId="0D36E1B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1.286.988</w:t>
            </w:r>
          </w:p>
        </w:tc>
        <w:tc>
          <w:tcPr>
            <w:tcW w:w="222" w:type="dxa"/>
            <w:tcBorders>
              <w:top w:val="nil"/>
              <w:left w:val="nil"/>
              <w:bottom w:val="nil"/>
              <w:right w:val="nil"/>
            </w:tcBorders>
            <w:shd w:val="clear" w:color="auto" w:fill="auto"/>
            <w:noWrap/>
            <w:vAlign w:val="bottom"/>
          </w:tcPr>
          <w:p w14:paraId="0D7CC973"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single" w:sz="8" w:space="0" w:color="auto"/>
              <w:right w:val="nil"/>
            </w:tcBorders>
            <w:shd w:val="clear" w:color="auto" w:fill="auto"/>
            <w:noWrap/>
            <w:vAlign w:val="center"/>
          </w:tcPr>
          <w:p w14:paraId="0748F03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1.854.537</w:t>
            </w:r>
          </w:p>
        </w:tc>
        <w:tc>
          <w:tcPr>
            <w:tcW w:w="222" w:type="dxa"/>
            <w:tcBorders>
              <w:top w:val="nil"/>
              <w:left w:val="nil"/>
              <w:bottom w:val="nil"/>
              <w:right w:val="nil"/>
            </w:tcBorders>
            <w:shd w:val="clear" w:color="auto" w:fill="auto"/>
            <w:noWrap/>
            <w:vAlign w:val="bottom"/>
          </w:tcPr>
          <w:p w14:paraId="1433FA46"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single" w:sz="8" w:space="0" w:color="auto"/>
              <w:right w:val="nil"/>
            </w:tcBorders>
            <w:shd w:val="clear" w:color="auto" w:fill="auto"/>
            <w:noWrap/>
            <w:vAlign w:val="center"/>
          </w:tcPr>
          <w:p w14:paraId="2914FAD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111.730</w:t>
            </w:r>
          </w:p>
        </w:tc>
      </w:tr>
      <w:tr w:rsidR="003B5193" w:rsidRPr="00AE4E8D" w14:paraId="1937CC06" w14:textId="77777777" w:rsidTr="00E8320E">
        <w:trPr>
          <w:trHeight w:val="258"/>
          <w:jc w:val="center"/>
        </w:trPr>
        <w:tc>
          <w:tcPr>
            <w:tcW w:w="3195" w:type="dxa"/>
            <w:tcBorders>
              <w:top w:val="nil"/>
              <w:left w:val="nil"/>
              <w:bottom w:val="nil"/>
              <w:right w:val="nil"/>
            </w:tcBorders>
            <w:shd w:val="clear" w:color="auto" w:fill="auto"/>
            <w:noWrap/>
            <w:vAlign w:val="center"/>
            <w:hideMark/>
          </w:tcPr>
          <w:p w14:paraId="47DC70D7"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Aumento / (disminución) neta del efectivo</w:t>
            </w:r>
          </w:p>
        </w:tc>
        <w:tc>
          <w:tcPr>
            <w:tcW w:w="778" w:type="dxa"/>
            <w:tcBorders>
              <w:top w:val="nil"/>
              <w:left w:val="nil"/>
              <w:bottom w:val="single" w:sz="8" w:space="0" w:color="auto"/>
              <w:right w:val="nil"/>
            </w:tcBorders>
            <w:shd w:val="clear" w:color="auto" w:fill="auto"/>
            <w:noWrap/>
            <w:vAlign w:val="center"/>
            <w:hideMark/>
          </w:tcPr>
          <w:p w14:paraId="6EE1B43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751.323</w:t>
            </w:r>
          </w:p>
        </w:tc>
        <w:tc>
          <w:tcPr>
            <w:tcW w:w="222" w:type="dxa"/>
            <w:tcBorders>
              <w:top w:val="nil"/>
              <w:left w:val="nil"/>
              <w:bottom w:val="nil"/>
              <w:right w:val="nil"/>
            </w:tcBorders>
            <w:shd w:val="clear" w:color="auto" w:fill="auto"/>
            <w:vAlign w:val="center"/>
            <w:hideMark/>
          </w:tcPr>
          <w:p w14:paraId="63CC2A40"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single" w:sz="8" w:space="0" w:color="auto"/>
              <w:right w:val="nil"/>
            </w:tcBorders>
            <w:shd w:val="clear" w:color="auto" w:fill="auto"/>
            <w:noWrap/>
            <w:vAlign w:val="center"/>
            <w:hideMark/>
          </w:tcPr>
          <w:p w14:paraId="2A7DCBF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831.239</w:t>
            </w:r>
          </w:p>
        </w:tc>
        <w:tc>
          <w:tcPr>
            <w:tcW w:w="222" w:type="dxa"/>
            <w:tcBorders>
              <w:top w:val="nil"/>
              <w:left w:val="nil"/>
              <w:bottom w:val="nil"/>
              <w:right w:val="nil"/>
            </w:tcBorders>
            <w:shd w:val="clear" w:color="auto" w:fill="auto"/>
            <w:vAlign w:val="center"/>
            <w:hideMark/>
          </w:tcPr>
          <w:p w14:paraId="3706A018" w14:textId="77777777" w:rsidR="0067329E" w:rsidRPr="00AE4E8D" w:rsidRDefault="0067329E" w:rsidP="00E8320E">
            <w:pPr>
              <w:jc w:val="right"/>
              <w:rPr>
                <w:rFonts w:ascii="Times New Roman" w:hAnsi="Times New Roman"/>
                <w:color w:val="000000"/>
                <w:sz w:val="16"/>
                <w:lang w:val="es-ES"/>
              </w:rPr>
            </w:pPr>
          </w:p>
        </w:tc>
        <w:tc>
          <w:tcPr>
            <w:tcW w:w="856" w:type="dxa"/>
            <w:tcBorders>
              <w:top w:val="nil"/>
              <w:left w:val="nil"/>
              <w:bottom w:val="single" w:sz="8" w:space="0" w:color="auto"/>
              <w:right w:val="nil"/>
            </w:tcBorders>
            <w:shd w:val="clear" w:color="auto" w:fill="auto"/>
            <w:noWrap/>
            <w:vAlign w:val="center"/>
            <w:hideMark/>
          </w:tcPr>
          <w:p w14:paraId="143878A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3.127.947</w:t>
            </w:r>
          </w:p>
        </w:tc>
        <w:tc>
          <w:tcPr>
            <w:tcW w:w="222" w:type="dxa"/>
            <w:tcBorders>
              <w:top w:val="nil"/>
              <w:left w:val="nil"/>
              <w:bottom w:val="nil"/>
              <w:right w:val="nil"/>
            </w:tcBorders>
            <w:shd w:val="clear" w:color="auto" w:fill="auto"/>
            <w:vAlign w:val="center"/>
            <w:hideMark/>
          </w:tcPr>
          <w:p w14:paraId="5578B65E"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single" w:sz="8" w:space="0" w:color="auto"/>
              <w:right w:val="nil"/>
            </w:tcBorders>
            <w:shd w:val="clear" w:color="auto" w:fill="auto"/>
            <w:noWrap/>
            <w:vAlign w:val="center"/>
            <w:hideMark/>
          </w:tcPr>
          <w:p w14:paraId="12F913F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1.010.279</w:t>
            </w:r>
          </w:p>
        </w:tc>
        <w:tc>
          <w:tcPr>
            <w:tcW w:w="222" w:type="dxa"/>
            <w:tcBorders>
              <w:top w:val="nil"/>
              <w:left w:val="nil"/>
              <w:bottom w:val="nil"/>
              <w:right w:val="nil"/>
            </w:tcBorders>
            <w:shd w:val="clear" w:color="auto" w:fill="auto"/>
            <w:noWrap/>
            <w:vAlign w:val="bottom"/>
            <w:hideMark/>
          </w:tcPr>
          <w:p w14:paraId="78806A3C" w14:textId="77777777" w:rsidR="0067329E" w:rsidRPr="00AE4E8D" w:rsidRDefault="0067329E" w:rsidP="00E8320E">
            <w:pPr>
              <w:jc w:val="right"/>
              <w:rPr>
                <w:rFonts w:ascii="Times New Roman" w:hAnsi="Times New Roman"/>
                <w:sz w:val="16"/>
                <w:lang w:val="es-ES"/>
              </w:rPr>
            </w:pPr>
          </w:p>
        </w:tc>
        <w:tc>
          <w:tcPr>
            <w:tcW w:w="1339" w:type="dxa"/>
            <w:tcBorders>
              <w:top w:val="nil"/>
              <w:left w:val="nil"/>
              <w:bottom w:val="single" w:sz="8" w:space="0" w:color="auto"/>
              <w:right w:val="nil"/>
            </w:tcBorders>
            <w:shd w:val="clear" w:color="auto" w:fill="auto"/>
            <w:noWrap/>
            <w:vAlign w:val="center"/>
            <w:hideMark/>
          </w:tcPr>
          <w:p w14:paraId="717868C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809.486</w:t>
            </w:r>
          </w:p>
        </w:tc>
        <w:tc>
          <w:tcPr>
            <w:tcW w:w="222" w:type="dxa"/>
            <w:tcBorders>
              <w:top w:val="nil"/>
              <w:left w:val="nil"/>
              <w:bottom w:val="nil"/>
              <w:right w:val="nil"/>
            </w:tcBorders>
            <w:shd w:val="clear" w:color="auto" w:fill="auto"/>
            <w:vAlign w:val="center"/>
            <w:hideMark/>
          </w:tcPr>
          <w:p w14:paraId="335839D7" w14:textId="77777777" w:rsidR="0067329E" w:rsidRPr="00AE4E8D" w:rsidRDefault="0067329E" w:rsidP="00E8320E">
            <w:pPr>
              <w:jc w:val="right"/>
              <w:rPr>
                <w:rFonts w:ascii="Times New Roman" w:hAnsi="Times New Roman"/>
                <w:color w:val="000000"/>
                <w:sz w:val="16"/>
                <w:lang w:val="es-ES"/>
              </w:rPr>
            </w:pPr>
          </w:p>
        </w:tc>
        <w:tc>
          <w:tcPr>
            <w:tcW w:w="1300" w:type="dxa"/>
            <w:tcBorders>
              <w:top w:val="nil"/>
              <w:left w:val="nil"/>
              <w:bottom w:val="single" w:sz="8" w:space="0" w:color="auto"/>
              <w:right w:val="nil"/>
            </w:tcBorders>
            <w:shd w:val="clear" w:color="auto" w:fill="auto"/>
            <w:noWrap/>
            <w:vAlign w:val="center"/>
            <w:hideMark/>
          </w:tcPr>
          <w:p w14:paraId="5AAFB2B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51.071</w:t>
            </w:r>
          </w:p>
        </w:tc>
        <w:tc>
          <w:tcPr>
            <w:tcW w:w="222" w:type="dxa"/>
            <w:tcBorders>
              <w:top w:val="nil"/>
              <w:left w:val="nil"/>
              <w:bottom w:val="nil"/>
              <w:right w:val="nil"/>
            </w:tcBorders>
            <w:shd w:val="clear" w:color="auto" w:fill="auto"/>
            <w:noWrap/>
            <w:vAlign w:val="bottom"/>
            <w:hideMark/>
          </w:tcPr>
          <w:p w14:paraId="2167E682"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single" w:sz="8" w:space="0" w:color="auto"/>
              <w:right w:val="nil"/>
            </w:tcBorders>
            <w:shd w:val="clear" w:color="auto" w:fill="auto"/>
            <w:noWrap/>
            <w:vAlign w:val="center"/>
          </w:tcPr>
          <w:p w14:paraId="2A02BC6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(3.076.953)</w:t>
            </w:r>
          </w:p>
        </w:tc>
        <w:tc>
          <w:tcPr>
            <w:tcW w:w="222" w:type="dxa"/>
            <w:tcBorders>
              <w:top w:val="nil"/>
              <w:left w:val="nil"/>
              <w:bottom w:val="nil"/>
              <w:right w:val="nil"/>
            </w:tcBorders>
            <w:shd w:val="clear" w:color="auto" w:fill="auto"/>
            <w:noWrap/>
            <w:vAlign w:val="bottom"/>
          </w:tcPr>
          <w:p w14:paraId="46029794"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single" w:sz="8" w:space="0" w:color="auto"/>
              <w:right w:val="nil"/>
            </w:tcBorders>
            <w:shd w:val="clear" w:color="auto" w:fill="auto"/>
            <w:noWrap/>
            <w:vAlign w:val="center"/>
          </w:tcPr>
          <w:p w14:paraId="6C7DF2A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(3.752.976)</w:t>
            </w:r>
          </w:p>
        </w:tc>
        <w:tc>
          <w:tcPr>
            <w:tcW w:w="222" w:type="dxa"/>
            <w:tcBorders>
              <w:top w:val="nil"/>
              <w:left w:val="nil"/>
              <w:bottom w:val="nil"/>
              <w:right w:val="nil"/>
            </w:tcBorders>
            <w:shd w:val="clear" w:color="auto" w:fill="auto"/>
            <w:noWrap/>
            <w:vAlign w:val="bottom"/>
          </w:tcPr>
          <w:p w14:paraId="36D24A4E"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single" w:sz="8" w:space="0" w:color="auto"/>
              <w:right w:val="nil"/>
            </w:tcBorders>
            <w:shd w:val="clear" w:color="auto" w:fill="auto"/>
            <w:noWrap/>
            <w:vAlign w:val="center"/>
          </w:tcPr>
          <w:p w14:paraId="3C796C2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(226.103)</w:t>
            </w:r>
          </w:p>
        </w:tc>
      </w:tr>
      <w:tr w:rsidR="003B5193" w:rsidRPr="00AE4E8D" w14:paraId="600EEB37" w14:textId="77777777" w:rsidTr="00E8320E">
        <w:trPr>
          <w:trHeight w:val="243"/>
          <w:jc w:val="center"/>
        </w:trPr>
        <w:tc>
          <w:tcPr>
            <w:tcW w:w="3195" w:type="dxa"/>
            <w:tcBorders>
              <w:top w:val="nil"/>
              <w:left w:val="nil"/>
              <w:bottom w:val="nil"/>
              <w:right w:val="nil"/>
            </w:tcBorders>
            <w:shd w:val="clear" w:color="auto" w:fill="auto"/>
            <w:noWrap/>
            <w:vAlign w:val="center"/>
            <w:hideMark/>
          </w:tcPr>
          <w:p w14:paraId="0C9AB536"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Efectivo al Cierre</w:t>
            </w:r>
          </w:p>
        </w:tc>
        <w:tc>
          <w:tcPr>
            <w:tcW w:w="778" w:type="dxa"/>
            <w:tcBorders>
              <w:top w:val="nil"/>
              <w:left w:val="nil"/>
              <w:bottom w:val="nil"/>
              <w:right w:val="nil"/>
            </w:tcBorders>
            <w:shd w:val="clear" w:color="auto" w:fill="auto"/>
            <w:noWrap/>
            <w:vAlign w:val="center"/>
            <w:hideMark/>
          </w:tcPr>
          <w:p w14:paraId="2626807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1.409.328</w:t>
            </w:r>
          </w:p>
        </w:tc>
        <w:tc>
          <w:tcPr>
            <w:tcW w:w="222" w:type="dxa"/>
            <w:tcBorders>
              <w:top w:val="nil"/>
              <w:left w:val="nil"/>
              <w:bottom w:val="nil"/>
              <w:right w:val="nil"/>
            </w:tcBorders>
            <w:shd w:val="clear" w:color="auto" w:fill="auto"/>
            <w:vAlign w:val="center"/>
            <w:hideMark/>
          </w:tcPr>
          <w:p w14:paraId="2E1BBA70"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78CC26A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2.240.567</w:t>
            </w:r>
          </w:p>
        </w:tc>
        <w:tc>
          <w:tcPr>
            <w:tcW w:w="222" w:type="dxa"/>
            <w:tcBorders>
              <w:top w:val="nil"/>
              <w:left w:val="nil"/>
              <w:bottom w:val="nil"/>
              <w:right w:val="nil"/>
            </w:tcBorders>
            <w:shd w:val="clear" w:color="auto" w:fill="auto"/>
            <w:vAlign w:val="center"/>
            <w:hideMark/>
          </w:tcPr>
          <w:p w14:paraId="4AF428A4" w14:textId="77777777" w:rsidR="0067329E" w:rsidRPr="00AE4E8D" w:rsidRDefault="0067329E" w:rsidP="00E8320E">
            <w:pPr>
              <w:jc w:val="right"/>
              <w:rPr>
                <w:rFonts w:ascii="Times New Roman" w:hAnsi="Times New Roman"/>
                <w:color w:val="000000"/>
                <w:sz w:val="16"/>
                <w:lang w:val="es-ES"/>
              </w:rPr>
            </w:pPr>
          </w:p>
        </w:tc>
        <w:tc>
          <w:tcPr>
            <w:tcW w:w="856" w:type="dxa"/>
            <w:tcBorders>
              <w:top w:val="nil"/>
              <w:left w:val="nil"/>
              <w:bottom w:val="nil"/>
              <w:right w:val="nil"/>
            </w:tcBorders>
            <w:shd w:val="clear" w:color="auto" w:fill="auto"/>
            <w:noWrap/>
            <w:vAlign w:val="center"/>
            <w:hideMark/>
          </w:tcPr>
          <w:p w14:paraId="13C7F02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5.368.514</w:t>
            </w:r>
          </w:p>
        </w:tc>
        <w:tc>
          <w:tcPr>
            <w:tcW w:w="222" w:type="dxa"/>
            <w:tcBorders>
              <w:top w:val="nil"/>
              <w:left w:val="nil"/>
              <w:bottom w:val="nil"/>
              <w:right w:val="nil"/>
            </w:tcBorders>
            <w:shd w:val="clear" w:color="auto" w:fill="auto"/>
            <w:vAlign w:val="center"/>
            <w:hideMark/>
          </w:tcPr>
          <w:p w14:paraId="7855A498" w14:textId="77777777" w:rsidR="0067329E" w:rsidRPr="00AE4E8D" w:rsidRDefault="0067329E" w:rsidP="00E8320E">
            <w:pPr>
              <w:jc w:val="right"/>
              <w:rPr>
                <w:rFonts w:ascii="Times New Roman" w:hAnsi="Times New Roman"/>
                <w:color w:val="000000"/>
                <w:sz w:val="16"/>
                <w:lang w:val="es-ES"/>
              </w:rPr>
            </w:pPr>
          </w:p>
        </w:tc>
        <w:tc>
          <w:tcPr>
            <w:tcW w:w="963" w:type="dxa"/>
            <w:tcBorders>
              <w:top w:val="nil"/>
              <w:left w:val="nil"/>
              <w:bottom w:val="nil"/>
              <w:right w:val="nil"/>
            </w:tcBorders>
            <w:shd w:val="clear" w:color="auto" w:fill="auto"/>
            <w:noWrap/>
            <w:vAlign w:val="center"/>
            <w:hideMark/>
          </w:tcPr>
          <w:p w14:paraId="0898488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6.378.793</w:t>
            </w:r>
          </w:p>
        </w:tc>
        <w:tc>
          <w:tcPr>
            <w:tcW w:w="222" w:type="dxa"/>
            <w:tcBorders>
              <w:top w:val="nil"/>
              <w:left w:val="nil"/>
              <w:bottom w:val="nil"/>
              <w:right w:val="nil"/>
            </w:tcBorders>
            <w:shd w:val="clear" w:color="auto" w:fill="auto"/>
            <w:noWrap/>
            <w:vAlign w:val="bottom"/>
            <w:hideMark/>
          </w:tcPr>
          <w:p w14:paraId="5523B092" w14:textId="77777777" w:rsidR="0067329E" w:rsidRPr="00AE4E8D" w:rsidRDefault="0067329E" w:rsidP="00E8320E">
            <w:pPr>
              <w:jc w:val="right"/>
              <w:rPr>
                <w:rFonts w:ascii="Times New Roman" w:hAnsi="Times New Roman"/>
                <w:sz w:val="16"/>
                <w:lang w:val="es-ES"/>
              </w:rPr>
            </w:pPr>
          </w:p>
        </w:tc>
        <w:tc>
          <w:tcPr>
            <w:tcW w:w="1339" w:type="dxa"/>
            <w:tcBorders>
              <w:top w:val="nil"/>
              <w:left w:val="nil"/>
              <w:bottom w:val="nil"/>
              <w:right w:val="nil"/>
            </w:tcBorders>
            <w:shd w:val="clear" w:color="auto" w:fill="auto"/>
            <w:noWrap/>
            <w:vAlign w:val="center"/>
            <w:hideMark/>
          </w:tcPr>
          <w:p w14:paraId="5539B41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7.188.279</w:t>
            </w:r>
          </w:p>
        </w:tc>
        <w:tc>
          <w:tcPr>
            <w:tcW w:w="222" w:type="dxa"/>
            <w:tcBorders>
              <w:top w:val="nil"/>
              <w:left w:val="nil"/>
              <w:bottom w:val="nil"/>
              <w:right w:val="nil"/>
            </w:tcBorders>
            <w:shd w:val="clear" w:color="auto" w:fill="auto"/>
            <w:vAlign w:val="center"/>
            <w:hideMark/>
          </w:tcPr>
          <w:p w14:paraId="21BEDB81" w14:textId="77777777" w:rsidR="0067329E" w:rsidRPr="00AE4E8D" w:rsidRDefault="0067329E" w:rsidP="00E8320E">
            <w:pPr>
              <w:jc w:val="right"/>
              <w:rPr>
                <w:rFonts w:ascii="Times New Roman" w:hAnsi="Times New Roman"/>
                <w:color w:val="000000"/>
                <w:sz w:val="16"/>
                <w:lang w:val="es-ES"/>
              </w:rPr>
            </w:pPr>
          </w:p>
        </w:tc>
        <w:tc>
          <w:tcPr>
            <w:tcW w:w="1300" w:type="dxa"/>
            <w:tcBorders>
              <w:top w:val="nil"/>
              <w:left w:val="nil"/>
              <w:bottom w:val="nil"/>
              <w:right w:val="nil"/>
            </w:tcBorders>
            <w:shd w:val="clear" w:color="auto" w:fill="auto"/>
            <w:noWrap/>
            <w:vAlign w:val="center"/>
            <w:hideMark/>
          </w:tcPr>
          <w:p w14:paraId="31F7B51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453.513</w:t>
            </w:r>
          </w:p>
        </w:tc>
        <w:tc>
          <w:tcPr>
            <w:tcW w:w="222" w:type="dxa"/>
            <w:tcBorders>
              <w:top w:val="nil"/>
              <w:left w:val="nil"/>
              <w:bottom w:val="nil"/>
              <w:right w:val="nil"/>
            </w:tcBorders>
            <w:shd w:val="clear" w:color="auto" w:fill="auto"/>
            <w:noWrap/>
            <w:vAlign w:val="bottom"/>
            <w:hideMark/>
          </w:tcPr>
          <w:p w14:paraId="06EAE2F0"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7C10D1C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3.301.840</w:t>
            </w:r>
          </w:p>
        </w:tc>
        <w:tc>
          <w:tcPr>
            <w:tcW w:w="222" w:type="dxa"/>
            <w:tcBorders>
              <w:top w:val="nil"/>
              <w:left w:val="nil"/>
              <w:bottom w:val="nil"/>
              <w:right w:val="nil"/>
            </w:tcBorders>
            <w:shd w:val="clear" w:color="auto" w:fill="auto"/>
            <w:noWrap/>
            <w:vAlign w:val="bottom"/>
          </w:tcPr>
          <w:p w14:paraId="2C4C88CD"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0F28DB4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3.435.303</w:t>
            </w:r>
          </w:p>
        </w:tc>
        <w:tc>
          <w:tcPr>
            <w:tcW w:w="222" w:type="dxa"/>
            <w:tcBorders>
              <w:top w:val="nil"/>
              <w:left w:val="nil"/>
              <w:bottom w:val="nil"/>
              <w:right w:val="nil"/>
            </w:tcBorders>
            <w:shd w:val="clear" w:color="auto" w:fill="auto"/>
            <w:noWrap/>
            <w:vAlign w:val="bottom"/>
          </w:tcPr>
          <w:p w14:paraId="2D719647" w14:textId="77777777" w:rsidR="0067329E" w:rsidRPr="00AE4E8D" w:rsidRDefault="0067329E" w:rsidP="00E8320E">
            <w:pPr>
              <w:jc w:val="right"/>
              <w:rPr>
                <w:rFonts w:ascii="Times New Roman" w:hAnsi="Times New Roman"/>
                <w:sz w:val="16"/>
                <w:lang w:val="es-ES"/>
              </w:rPr>
            </w:pPr>
          </w:p>
        </w:tc>
        <w:tc>
          <w:tcPr>
            <w:tcW w:w="995" w:type="dxa"/>
            <w:tcBorders>
              <w:top w:val="nil"/>
              <w:left w:val="nil"/>
              <w:bottom w:val="nil"/>
              <w:right w:val="nil"/>
            </w:tcBorders>
            <w:shd w:val="clear" w:color="auto" w:fill="auto"/>
            <w:noWrap/>
            <w:vAlign w:val="center"/>
          </w:tcPr>
          <w:p w14:paraId="799EE6F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206.965</w:t>
            </w:r>
          </w:p>
        </w:tc>
      </w:tr>
    </w:tbl>
    <w:p w14:paraId="37628F66" w14:textId="77777777" w:rsidR="0067329E" w:rsidRPr="00AE4E8D" w:rsidRDefault="0067329E" w:rsidP="0067329E">
      <w:pPr>
        <w:autoSpaceDE w:val="0"/>
        <w:autoSpaceDN w:val="0"/>
        <w:adjustRightInd w:val="0"/>
        <w:spacing w:before="120" w:after="120"/>
        <w:jc w:val="both"/>
        <w:rPr>
          <w:rFonts w:ascii="Times New Roman" w:hAnsi="Times New Roman"/>
          <w:highlight w:val="cyan"/>
          <w:lang w:val="es-ES" w:eastAsia="es-AR"/>
        </w:rPr>
        <w:sectPr w:rsidR="0067329E" w:rsidRPr="00AE4E8D" w:rsidSect="00A87439">
          <w:pgSz w:w="16839" w:h="11907" w:orient="landscape" w:code="9"/>
          <w:pgMar w:top="1701" w:right="1418" w:bottom="1134" w:left="1418" w:header="720" w:footer="385" w:gutter="0"/>
          <w:cols w:space="720"/>
          <w:titlePg/>
          <w:docGrid w:linePitch="360"/>
        </w:sectPr>
      </w:pPr>
    </w:p>
    <w:p w14:paraId="5B23FD8A" w14:textId="77777777" w:rsidR="0067329E" w:rsidRPr="00AE4E8D" w:rsidRDefault="0067329E" w:rsidP="0067329E">
      <w:pPr>
        <w:autoSpaceDE w:val="0"/>
        <w:autoSpaceDN w:val="0"/>
        <w:adjustRightInd w:val="0"/>
        <w:spacing w:before="120" w:after="120"/>
        <w:jc w:val="both"/>
        <w:rPr>
          <w:rFonts w:ascii="Times New Roman" w:hAnsi="Times New Roman"/>
          <w:lang w:val="es-ES"/>
        </w:rPr>
      </w:pPr>
      <w:r w:rsidRPr="00AE4E8D">
        <w:rPr>
          <w:rFonts w:ascii="Times New Roman" w:hAnsi="Times New Roman"/>
          <w:b/>
          <w:lang w:val="es-ES"/>
        </w:rPr>
        <w:lastRenderedPageBreak/>
        <w:t>Indicadores</w:t>
      </w:r>
      <w:r w:rsidRPr="00AE4E8D">
        <w:rPr>
          <w:rFonts w:ascii="Times New Roman" w:hAnsi="Times New Roman"/>
          <w:lang w:val="es-ES"/>
        </w:rPr>
        <w:t xml:space="preserve"> </w:t>
      </w:r>
    </w:p>
    <w:tbl>
      <w:tblPr>
        <w:tblW w:w="9962" w:type="dxa"/>
        <w:jc w:val="center"/>
        <w:tblLook w:val="04A0" w:firstRow="1" w:lastRow="0" w:firstColumn="1" w:lastColumn="0" w:noHBand="0" w:noVBand="1"/>
      </w:tblPr>
      <w:tblGrid>
        <w:gridCol w:w="2694"/>
        <w:gridCol w:w="790"/>
        <w:gridCol w:w="222"/>
        <w:gridCol w:w="855"/>
        <w:gridCol w:w="222"/>
        <w:gridCol w:w="855"/>
        <w:gridCol w:w="222"/>
        <w:gridCol w:w="855"/>
        <w:gridCol w:w="222"/>
        <w:gridCol w:w="855"/>
        <w:gridCol w:w="222"/>
        <w:gridCol w:w="887"/>
        <w:gridCol w:w="256"/>
        <w:gridCol w:w="805"/>
      </w:tblGrid>
      <w:tr w:rsidR="003B5193" w:rsidRPr="00AE4E8D" w14:paraId="5AAB756A" w14:textId="77777777" w:rsidTr="00E8320E">
        <w:trPr>
          <w:trHeight w:val="279"/>
          <w:jc w:val="center"/>
        </w:trPr>
        <w:tc>
          <w:tcPr>
            <w:tcW w:w="2694" w:type="dxa"/>
            <w:tcBorders>
              <w:top w:val="nil"/>
              <w:left w:val="nil"/>
              <w:bottom w:val="nil"/>
              <w:right w:val="nil"/>
            </w:tcBorders>
            <w:shd w:val="clear" w:color="auto" w:fill="auto"/>
            <w:noWrap/>
            <w:vAlign w:val="center"/>
            <w:hideMark/>
          </w:tcPr>
          <w:p w14:paraId="0EC28DE6" w14:textId="77777777" w:rsidR="0067329E" w:rsidRPr="00AE4E8D" w:rsidRDefault="0067329E" w:rsidP="00E8320E">
            <w:pPr>
              <w:jc w:val="both"/>
              <w:rPr>
                <w:rFonts w:ascii="Times New Roman" w:hAnsi="Times New Roman"/>
                <w:color w:val="000000"/>
                <w:sz w:val="16"/>
                <w:lang w:val="es-ES"/>
              </w:rPr>
            </w:pPr>
          </w:p>
        </w:tc>
        <w:tc>
          <w:tcPr>
            <w:tcW w:w="5098" w:type="dxa"/>
            <w:gridSpan w:val="9"/>
            <w:tcBorders>
              <w:top w:val="nil"/>
              <w:left w:val="nil"/>
              <w:bottom w:val="single" w:sz="8" w:space="0" w:color="auto"/>
              <w:right w:val="nil"/>
            </w:tcBorders>
            <w:shd w:val="clear" w:color="auto" w:fill="auto"/>
            <w:vAlign w:val="center"/>
            <w:hideMark/>
          </w:tcPr>
          <w:p w14:paraId="58CA6035"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31 de diciembre de</w:t>
            </w:r>
          </w:p>
        </w:tc>
        <w:tc>
          <w:tcPr>
            <w:tcW w:w="222" w:type="dxa"/>
            <w:tcBorders>
              <w:top w:val="nil"/>
              <w:left w:val="nil"/>
              <w:bottom w:val="nil"/>
              <w:right w:val="nil"/>
            </w:tcBorders>
            <w:shd w:val="clear" w:color="auto" w:fill="auto"/>
            <w:noWrap/>
            <w:vAlign w:val="bottom"/>
            <w:hideMark/>
          </w:tcPr>
          <w:p w14:paraId="66D9BF2C" w14:textId="77777777" w:rsidR="0067329E" w:rsidRPr="00AE4E8D" w:rsidRDefault="0067329E" w:rsidP="00E8320E">
            <w:pPr>
              <w:rPr>
                <w:rFonts w:ascii="Times New Roman" w:hAnsi="Times New Roman"/>
                <w:sz w:val="16"/>
                <w:lang w:val="es-ES"/>
              </w:rPr>
            </w:pPr>
          </w:p>
        </w:tc>
        <w:tc>
          <w:tcPr>
            <w:tcW w:w="1948" w:type="dxa"/>
            <w:gridSpan w:val="3"/>
            <w:tcBorders>
              <w:top w:val="nil"/>
              <w:left w:val="nil"/>
              <w:bottom w:val="single" w:sz="8" w:space="0" w:color="auto"/>
              <w:right w:val="nil"/>
            </w:tcBorders>
            <w:shd w:val="clear" w:color="auto" w:fill="auto"/>
            <w:vAlign w:val="center"/>
            <w:hideMark/>
          </w:tcPr>
          <w:p w14:paraId="4A87E6BB"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Al 30 de junio de</w:t>
            </w:r>
          </w:p>
        </w:tc>
      </w:tr>
      <w:tr w:rsidR="003B5193" w:rsidRPr="00AE4E8D" w14:paraId="6D412159" w14:textId="77777777" w:rsidTr="00E8320E">
        <w:trPr>
          <w:trHeight w:val="279"/>
          <w:jc w:val="center"/>
        </w:trPr>
        <w:tc>
          <w:tcPr>
            <w:tcW w:w="2694" w:type="dxa"/>
            <w:tcBorders>
              <w:top w:val="nil"/>
              <w:left w:val="nil"/>
              <w:bottom w:val="nil"/>
              <w:right w:val="nil"/>
            </w:tcBorders>
            <w:shd w:val="clear" w:color="auto" w:fill="auto"/>
            <w:noWrap/>
            <w:vAlign w:val="center"/>
            <w:hideMark/>
          </w:tcPr>
          <w:p w14:paraId="7EC44968" w14:textId="77777777" w:rsidR="0067329E" w:rsidRPr="00AE4E8D" w:rsidRDefault="0067329E" w:rsidP="00E8320E">
            <w:pPr>
              <w:rPr>
                <w:rFonts w:ascii="Times New Roman" w:hAnsi="Times New Roman"/>
                <w:color w:val="000000"/>
                <w:sz w:val="16"/>
                <w:lang w:val="es-ES"/>
              </w:rPr>
            </w:pPr>
          </w:p>
        </w:tc>
        <w:tc>
          <w:tcPr>
            <w:tcW w:w="790" w:type="dxa"/>
            <w:tcBorders>
              <w:top w:val="nil"/>
              <w:left w:val="nil"/>
              <w:bottom w:val="single" w:sz="8" w:space="0" w:color="auto"/>
              <w:right w:val="nil"/>
            </w:tcBorders>
            <w:shd w:val="clear" w:color="auto" w:fill="auto"/>
            <w:noWrap/>
            <w:vAlign w:val="center"/>
            <w:hideMark/>
          </w:tcPr>
          <w:p w14:paraId="4B411C2F"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2012</w:t>
            </w:r>
          </w:p>
        </w:tc>
        <w:tc>
          <w:tcPr>
            <w:tcW w:w="222" w:type="dxa"/>
            <w:tcBorders>
              <w:top w:val="nil"/>
              <w:left w:val="nil"/>
              <w:bottom w:val="nil"/>
              <w:right w:val="nil"/>
            </w:tcBorders>
            <w:shd w:val="clear" w:color="auto" w:fill="auto"/>
            <w:noWrap/>
            <w:vAlign w:val="center"/>
            <w:hideMark/>
          </w:tcPr>
          <w:p w14:paraId="1BE3053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6F4C46DA"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2013</w:t>
            </w:r>
          </w:p>
        </w:tc>
        <w:tc>
          <w:tcPr>
            <w:tcW w:w="222" w:type="dxa"/>
            <w:tcBorders>
              <w:top w:val="nil"/>
              <w:left w:val="nil"/>
              <w:bottom w:val="nil"/>
              <w:right w:val="nil"/>
            </w:tcBorders>
            <w:shd w:val="clear" w:color="auto" w:fill="auto"/>
            <w:noWrap/>
            <w:vAlign w:val="center"/>
            <w:hideMark/>
          </w:tcPr>
          <w:p w14:paraId="5C470FA8"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2D30809E"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2014</w:t>
            </w:r>
          </w:p>
        </w:tc>
        <w:tc>
          <w:tcPr>
            <w:tcW w:w="222" w:type="dxa"/>
            <w:tcBorders>
              <w:top w:val="nil"/>
              <w:left w:val="nil"/>
              <w:bottom w:val="nil"/>
              <w:right w:val="nil"/>
            </w:tcBorders>
            <w:shd w:val="clear" w:color="auto" w:fill="auto"/>
            <w:noWrap/>
            <w:vAlign w:val="center"/>
            <w:hideMark/>
          </w:tcPr>
          <w:p w14:paraId="38C2E60C"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28001A20"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2015</w:t>
            </w:r>
          </w:p>
        </w:tc>
        <w:tc>
          <w:tcPr>
            <w:tcW w:w="222" w:type="dxa"/>
            <w:tcBorders>
              <w:top w:val="nil"/>
              <w:left w:val="nil"/>
              <w:bottom w:val="nil"/>
              <w:right w:val="nil"/>
            </w:tcBorders>
            <w:shd w:val="clear" w:color="auto" w:fill="auto"/>
            <w:noWrap/>
            <w:vAlign w:val="center"/>
            <w:hideMark/>
          </w:tcPr>
          <w:p w14:paraId="26F7073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single" w:sz="8" w:space="0" w:color="auto"/>
              <w:right w:val="nil"/>
            </w:tcBorders>
            <w:shd w:val="clear" w:color="auto" w:fill="auto"/>
            <w:noWrap/>
            <w:vAlign w:val="center"/>
            <w:hideMark/>
          </w:tcPr>
          <w:p w14:paraId="6DDC3DF7"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22" w:type="dxa"/>
            <w:tcBorders>
              <w:top w:val="nil"/>
              <w:left w:val="nil"/>
              <w:bottom w:val="nil"/>
              <w:right w:val="nil"/>
            </w:tcBorders>
            <w:shd w:val="clear" w:color="auto" w:fill="auto"/>
            <w:noWrap/>
            <w:vAlign w:val="bottom"/>
            <w:hideMark/>
          </w:tcPr>
          <w:p w14:paraId="35421209" w14:textId="77777777" w:rsidR="0067329E" w:rsidRPr="00AE4E8D" w:rsidRDefault="0067329E" w:rsidP="00E8320E">
            <w:pPr>
              <w:rPr>
                <w:rFonts w:ascii="Times New Roman" w:hAnsi="Times New Roman"/>
                <w:sz w:val="16"/>
                <w:lang w:val="es-ES"/>
              </w:rPr>
            </w:pPr>
          </w:p>
        </w:tc>
        <w:tc>
          <w:tcPr>
            <w:tcW w:w="887" w:type="dxa"/>
            <w:tcBorders>
              <w:top w:val="nil"/>
              <w:left w:val="nil"/>
              <w:bottom w:val="single" w:sz="8" w:space="0" w:color="auto"/>
              <w:right w:val="nil"/>
            </w:tcBorders>
            <w:shd w:val="clear" w:color="auto" w:fill="auto"/>
            <w:vAlign w:val="center"/>
            <w:hideMark/>
          </w:tcPr>
          <w:p w14:paraId="42BAACED"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256" w:type="dxa"/>
            <w:tcBorders>
              <w:top w:val="nil"/>
              <w:left w:val="nil"/>
              <w:bottom w:val="single" w:sz="8" w:space="0" w:color="auto"/>
              <w:right w:val="nil"/>
            </w:tcBorders>
            <w:shd w:val="clear" w:color="auto" w:fill="auto"/>
            <w:vAlign w:val="center"/>
            <w:hideMark/>
          </w:tcPr>
          <w:p w14:paraId="0E88C8C8"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 </w:t>
            </w:r>
          </w:p>
        </w:tc>
        <w:tc>
          <w:tcPr>
            <w:tcW w:w="805" w:type="dxa"/>
            <w:tcBorders>
              <w:top w:val="nil"/>
              <w:left w:val="nil"/>
              <w:bottom w:val="single" w:sz="8" w:space="0" w:color="auto"/>
              <w:right w:val="nil"/>
            </w:tcBorders>
            <w:shd w:val="clear" w:color="auto" w:fill="auto"/>
            <w:vAlign w:val="center"/>
            <w:hideMark/>
          </w:tcPr>
          <w:p w14:paraId="308B5B7A" w14:textId="77777777" w:rsidR="0067329E" w:rsidRPr="00AE4E8D" w:rsidRDefault="0067329E" w:rsidP="00E8320E">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r>
      <w:tr w:rsidR="0067329E" w:rsidRPr="00AE4E8D" w14:paraId="7AF828CB" w14:textId="77777777" w:rsidTr="000400C8">
        <w:trPr>
          <w:trHeight w:val="264"/>
          <w:jc w:val="center"/>
        </w:trPr>
        <w:tc>
          <w:tcPr>
            <w:tcW w:w="2694" w:type="dxa"/>
            <w:vMerge w:val="restart"/>
            <w:tcBorders>
              <w:top w:val="nil"/>
              <w:left w:val="nil"/>
              <w:bottom w:val="nil"/>
              <w:right w:val="nil"/>
            </w:tcBorders>
            <w:shd w:val="clear" w:color="auto" w:fill="auto"/>
            <w:noWrap/>
            <w:vAlign w:val="center"/>
            <w:hideMark/>
          </w:tcPr>
          <w:p w14:paraId="76A93EDA" w14:textId="77777777" w:rsidR="0067329E" w:rsidRPr="00AE4E8D" w:rsidRDefault="0067329E" w:rsidP="00E8320E">
            <w:pPr>
              <w:rPr>
                <w:rFonts w:ascii="Times New Roman" w:hAnsi="Times New Roman"/>
                <w:color w:val="000000"/>
                <w:sz w:val="16"/>
                <w:lang w:val="es-ES"/>
              </w:rPr>
            </w:pPr>
          </w:p>
        </w:tc>
        <w:tc>
          <w:tcPr>
            <w:tcW w:w="5098" w:type="dxa"/>
            <w:gridSpan w:val="9"/>
            <w:vMerge w:val="restart"/>
            <w:tcBorders>
              <w:top w:val="nil"/>
              <w:left w:val="nil"/>
              <w:bottom w:val="nil"/>
              <w:right w:val="nil"/>
            </w:tcBorders>
            <w:shd w:val="clear" w:color="auto" w:fill="auto"/>
            <w:vAlign w:val="center"/>
            <w:hideMark/>
          </w:tcPr>
          <w:p w14:paraId="55DD2436"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c>
          <w:tcPr>
            <w:tcW w:w="222" w:type="dxa"/>
            <w:tcBorders>
              <w:top w:val="nil"/>
              <w:left w:val="nil"/>
              <w:bottom w:val="nil"/>
              <w:right w:val="nil"/>
            </w:tcBorders>
            <w:shd w:val="clear" w:color="auto" w:fill="auto"/>
            <w:noWrap/>
            <w:vAlign w:val="bottom"/>
            <w:hideMark/>
          </w:tcPr>
          <w:p w14:paraId="1FC2FE91" w14:textId="77777777" w:rsidR="0067329E" w:rsidRPr="00AE4E8D" w:rsidRDefault="0067329E" w:rsidP="00E8320E">
            <w:pPr>
              <w:rPr>
                <w:rFonts w:ascii="Times New Roman" w:hAnsi="Times New Roman"/>
                <w:sz w:val="16"/>
                <w:lang w:val="es-ES"/>
              </w:rPr>
            </w:pPr>
          </w:p>
        </w:tc>
        <w:tc>
          <w:tcPr>
            <w:tcW w:w="1948" w:type="dxa"/>
            <w:gridSpan w:val="3"/>
            <w:vMerge w:val="restart"/>
            <w:tcBorders>
              <w:top w:val="single" w:sz="8" w:space="0" w:color="auto"/>
              <w:left w:val="nil"/>
              <w:bottom w:val="nil"/>
              <w:right w:val="nil"/>
            </w:tcBorders>
            <w:shd w:val="clear" w:color="auto" w:fill="auto"/>
            <w:vAlign w:val="center"/>
            <w:hideMark/>
          </w:tcPr>
          <w:p w14:paraId="16ACB714" w14:textId="77777777" w:rsidR="0067329E" w:rsidRPr="00AE4E8D" w:rsidRDefault="0067329E" w:rsidP="00E8320E">
            <w:pPr>
              <w:jc w:val="center"/>
              <w:rPr>
                <w:rFonts w:ascii="Times New Roman" w:hAnsi="Times New Roman"/>
                <w:color w:val="000000"/>
                <w:sz w:val="16"/>
                <w:lang w:val="es-ES"/>
              </w:rPr>
            </w:pPr>
            <w:r w:rsidRPr="00AE4E8D">
              <w:rPr>
                <w:rFonts w:ascii="Times New Roman" w:hAnsi="Times New Roman"/>
                <w:color w:val="000000"/>
                <w:sz w:val="16"/>
                <w:lang w:val="es-ES"/>
              </w:rPr>
              <w:t>(</w:t>
            </w:r>
            <w:proofErr w:type="gramStart"/>
            <w:r w:rsidRPr="00AE4E8D">
              <w:rPr>
                <w:rFonts w:ascii="Times New Roman" w:hAnsi="Times New Roman"/>
                <w:color w:val="000000"/>
                <w:sz w:val="16"/>
                <w:lang w:val="es-ES"/>
              </w:rPr>
              <w:t>en</w:t>
            </w:r>
            <w:proofErr w:type="gramEnd"/>
            <w:r w:rsidRPr="00AE4E8D">
              <w:rPr>
                <w:rFonts w:ascii="Times New Roman" w:hAnsi="Times New Roman"/>
                <w:color w:val="000000"/>
                <w:sz w:val="16"/>
                <w:lang w:val="es-ES"/>
              </w:rPr>
              <w:t xml:space="preserve"> miles de Ps.)</w:t>
            </w:r>
          </w:p>
        </w:tc>
      </w:tr>
      <w:tr w:rsidR="0067329E" w:rsidRPr="00AE4E8D" w14:paraId="217C9615" w14:textId="77777777" w:rsidTr="000400C8">
        <w:trPr>
          <w:trHeight w:val="264"/>
          <w:jc w:val="center"/>
        </w:trPr>
        <w:tc>
          <w:tcPr>
            <w:tcW w:w="2694" w:type="dxa"/>
            <w:vMerge/>
            <w:tcBorders>
              <w:top w:val="nil"/>
              <w:left w:val="nil"/>
              <w:bottom w:val="nil"/>
              <w:right w:val="nil"/>
            </w:tcBorders>
            <w:vAlign w:val="center"/>
            <w:hideMark/>
          </w:tcPr>
          <w:p w14:paraId="1D41EC3C" w14:textId="77777777" w:rsidR="0067329E" w:rsidRPr="00AE4E8D" w:rsidRDefault="0067329E" w:rsidP="00E8320E">
            <w:pPr>
              <w:rPr>
                <w:rFonts w:ascii="Times New Roman" w:hAnsi="Times New Roman"/>
                <w:color w:val="000000"/>
                <w:sz w:val="16"/>
                <w:lang w:val="es-ES"/>
              </w:rPr>
            </w:pPr>
          </w:p>
        </w:tc>
        <w:tc>
          <w:tcPr>
            <w:tcW w:w="5098" w:type="dxa"/>
            <w:gridSpan w:val="9"/>
            <w:vMerge/>
            <w:tcBorders>
              <w:top w:val="nil"/>
              <w:left w:val="nil"/>
              <w:bottom w:val="nil"/>
              <w:right w:val="nil"/>
            </w:tcBorders>
            <w:vAlign w:val="center"/>
            <w:hideMark/>
          </w:tcPr>
          <w:p w14:paraId="05107046"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62AFE2ED" w14:textId="77777777" w:rsidR="0067329E" w:rsidRPr="00AE4E8D" w:rsidRDefault="0067329E" w:rsidP="00E8320E">
            <w:pPr>
              <w:rPr>
                <w:rFonts w:ascii="Times New Roman" w:hAnsi="Times New Roman"/>
                <w:sz w:val="16"/>
                <w:lang w:val="es-ES"/>
              </w:rPr>
            </w:pPr>
          </w:p>
        </w:tc>
        <w:tc>
          <w:tcPr>
            <w:tcW w:w="1948" w:type="dxa"/>
            <w:gridSpan w:val="3"/>
            <w:vMerge/>
            <w:tcBorders>
              <w:top w:val="nil"/>
              <w:left w:val="nil"/>
              <w:bottom w:val="nil"/>
              <w:right w:val="nil"/>
            </w:tcBorders>
            <w:vAlign w:val="center"/>
            <w:hideMark/>
          </w:tcPr>
          <w:p w14:paraId="10A19277" w14:textId="77777777" w:rsidR="0067329E" w:rsidRPr="00AE4E8D" w:rsidRDefault="0067329E" w:rsidP="00E8320E">
            <w:pPr>
              <w:rPr>
                <w:rFonts w:ascii="Times New Roman" w:hAnsi="Times New Roman"/>
                <w:color w:val="000000"/>
                <w:sz w:val="16"/>
                <w:lang w:val="es-ES"/>
              </w:rPr>
            </w:pPr>
          </w:p>
        </w:tc>
      </w:tr>
      <w:tr w:rsidR="003B5193" w:rsidRPr="00AE4E8D" w14:paraId="3806236A" w14:textId="77777777" w:rsidTr="00E8320E">
        <w:trPr>
          <w:trHeight w:val="264"/>
          <w:jc w:val="center"/>
        </w:trPr>
        <w:tc>
          <w:tcPr>
            <w:tcW w:w="2694" w:type="dxa"/>
            <w:tcBorders>
              <w:top w:val="nil"/>
              <w:left w:val="nil"/>
              <w:bottom w:val="nil"/>
              <w:right w:val="nil"/>
            </w:tcBorders>
            <w:shd w:val="clear" w:color="auto" w:fill="auto"/>
            <w:noWrap/>
            <w:vAlign w:val="center"/>
            <w:hideMark/>
          </w:tcPr>
          <w:p w14:paraId="4396559B" w14:textId="77777777" w:rsidR="0067329E" w:rsidRPr="00AE4E8D" w:rsidRDefault="0067329E" w:rsidP="00E8320E">
            <w:pPr>
              <w:rPr>
                <w:rFonts w:ascii="Times New Roman" w:hAnsi="Times New Roman"/>
                <w:b/>
                <w:color w:val="000000"/>
                <w:sz w:val="16"/>
                <w:lang w:val="es-ES"/>
              </w:rPr>
            </w:pPr>
            <w:r w:rsidRPr="00AE4E8D">
              <w:rPr>
                <w:rFonts w:ascii="Times New Roman" w:hAnsi="Times New Roman"/>
                <w:b/>
                <w:color w:val="000000"/>
                <w:sz w:val="16"/>
                <w:lang w:val="es-ES"/>
              </w:rPr>
              <w:t>ÍNDICES SELECCIONADOS</w:t>
            </w:r>
            <w:r w:rsidRPr="00AE4E8D">
              <w:rPr>
                <w:rFonts w:ascii="Times New Roman" w:hAnsi="Times New Roman"/>
                <w:color w:val="000000"/>
                <w:sz w:val="16"/>
                <w:lang w:val="es-ES"/>
              </w:rPr>
              <w:t xml:space="preserve"> (4)</w:t>
            </w:r>
          </w:p>
        </w:tc>
        <w:tc>
          <w:tcPr>
            <w:tcW w:w="790" w:type="dxa"/>
            <w:tcBorders>
              <w:top w:val="nil"/>
              <w:left w:val="nil"/>
              <w:bottom w:val="nil"/>
              <w:right w:val="nil"/>
            </w:tcBorders>
            <w:shd w:val="clear" w:color="auto" w:fill="auto"/>
            <w:noWrap/>
            <w:vAlign w:val="center"/>
            <w:hideMark/>
          </w:tcPr>
          <w:p w14:paraId="795EFB10"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4BD29A42"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974C325"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3F6F553B"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D259CC4"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16FBC700"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40DFC87"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379DA35B"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3590AB82"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0A105EB7"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bottom"/>
            <w:hideMark/>
          </w:tcPr>
          <w:p w14:paraId="310E46B5" w14:textId="77777777" w:rsidR="0067329E" w:rsidRPr="00AE4E8D" w:rsidRDefault="0067329E" w:rsidP="00E8320E">
            <w:pPr>
              <w:rPr>
                <w:rFonts w:ascii="Times New Roman" w:hAnsi="Times New Roman"/>
                <w:sz w:val="16"/>
                <w:lang w:val="es-ES"/>
              </w:rPr>
            </w:pPr>
          </w:p>
        </w:tc>
        <w:tc>
          <w:tcPr>
            <w:tcW w:w="256" w:type="dxa"/>
            <w:tcBorders>
              <w:top w:val="nil"/>
              <w:left w:val="nil"/>
              <w:bottom w:val="nil"/>
              <w:right w:val="nil"/>
            </w:tcBorders>
            <w:shd w:val="clear" w:color="auto" w:fill="auto"/>
            <w:noWrap/>
            <w:vAlign w:val="bottom"/>
            <w:hideMark/>
          </w:tcPr>
          <w:p w14:paraId="0BBB5863"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bottom"/>
            <w:hideMark/>
          </w:tcPr>
          <w:p w14:paraId="2D3A7E25" w14:textId="77777777" w:rsidR="0067329E" w:rsidRPr="00AE4E8D" w:rsidRDefault="0067329E" w:rsidP="00E8320E">
            <w:pPr>
              <w:rPr>
                <w:rFonts w:ascii="Times New Roman" w:hAnsi="Times New Roman"/>
                <w:sz w:val="16"/>
                <w:lang w:val="es-ES"/>
              </w:rPr>
            </w:pPr>
          </w:p>
        </w:tc>
      </w:tr>
      <w:tr w:rsidR="003B5193" w:rsidRPr="00AE4E8D" w14:paraId="47B7E6CA" w14:textId="77777777" w:rsidTr="00E8320E">
        <w:trPr>
          <w:trHeight w:val="264"/>
          <w:jc w:val="center"/>
        </w:trPr>
        <w:tc>
          <w:tcPr>
            <w:tcW w:w="2694" w:type="dxa"/>
            <w:tcBorders>
              <w:top w:val="nil"/>
              <w:left w:val="nil"/>
              <w:bottom w:val="nil"/>
              <w:right w:val="nil"/>
            </w:tcBorders>
            <w:shd w:val="clear" w:color="auto" w:fill="auto"/>
            <w:vAlign w:val="center"/>
            <w:hideMark/>
          </w:tcPr>
          <w:p w14:paraId="5E896868" w14:textId="77777777" w:rsidR="0067329E" w:rsidRPr="00AE4E8D" w:rsidRDefault="0067329E" w:rsidP="00E8320E">
            <w:pPr>
              <w:rPr>
                <w:rFonts w:ascii="Times New Roman" w:hAnsi="Times New Roman"/>
                <w:b/>
                <w:color w:val="000000"/>
                <w:sz w:val="16"/>
                <w:lang w:val="es-ES"/>
              </w:rPr>
            </w:pPr>
            <w:r w:rsidRPr="00AE4E8D">
              <w:rPr>
                <w:rFonts w:ascii="Times New Roman" w:hAnsi="Times New Roman"/>
                <w:b/>
                <w:color w:val="000000"/>
                <w:sz w:val="16"/>
                <w:lang w:val="es-ES"/>
              </w:rPr>
              <w:t>Rentabilidad</w:t>
            </w:r>
          </w:p>
        </w:tc>
        <w:tc>
          <w:tcPr>
            <w:tcW w:w="790" w:type="dxa"/>
            <w:tcBorders>
              <w:top w:val="nil"/>
              <w:left w:val="nil"/>
              <w:bottom w:val="nil"/>
              <w:right w:val="nil"/>
            </w:tcBorders>
            <w:shd w:val="clear" w:color="auto" w:fill="auto"/>
            <w:noWrap/>
            <w:vAlign w:val="center"/>
            <w:hideMark/>
          </w:tcPr>
          <w:p w14:paraId="587741E2"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2276EB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DCF46BB"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43D975A2"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882B1E1"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18EEB90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93D863B"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85357D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605E3EE7"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1AA015A9"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bottom"/>
            <w:hideMark/>
          </w:tcPr>
          <w:p w14:paraId="0A6BC3E6" w14:textId="77777777" w:rsidR="0067329E" w:rsidRPr="00AE4E8D" w:rsidRDefault="0067329E" w:rsidP="00E8320E">
            <w:pPr>
              <w:rPr>
                <w:rFonts w:ascii="Times New Roman" w:hAnsi="Times New Roman"/>
                <w:sz w:val="16"/>
                <w:lang w:val="es-ES"/>
              </w:rPr>
            </w:pPr>
          </w:p>
        </w:tc>
        <w:tc>
          <w:tcPr>
            <w:tcW w:w="256" w:type="dxa"/>
            <w:tcBorders>
              <w:top w:val="nil"/>
              <w:left w:val="nil"/>
              <w:bottom w:val="nil"/>
              <w:right w:val="nil"/>
            </w:tcBorders>
            <w:shd w:val="clear" w:color="auto" w:fill="auto"/>
            <w:noWrap/>
            <w:vAlign w:val="bottom"/>
            <w:hideMark/>
          </w:tcPr>
          <w:p w14:paraId="6346F750"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bottom"/>
            <w:hideMark/>
          </w:tcPr>
          <w:p w14:paraId="348AB113" w14:textId="77777777" w:rsidR="0067329E" w:rsidRPr="00AE4E8D" w:rsidRDefault="0067329E" w:rsidP="00E8320E">
            <w:pPr>
              <w:rPr>
                <w:rFonts w:ascii="Times New Roman" w:hAnsi="Times New Roman"/>
                <w:sz w:val="16"/>
                <w:lang w:val="es-ES"/>
              </w:rPr>
            </w:pPr>
          </w:p>
        </w:tc>
      </w:tr>
      <w:tr w:rsidR="003B5193" w:rsidRPr="00AE4E8D" w14:paraId="1346B58D" w14:textId="77777777" w:rsidTr="00E8320E">
        <w:trPr>
          <w:trHeight w:val="264"/>
          <w:jc w:val="center"/>
        </w:trPr>
        <w:tc>
          <w:tcPr>
            <w:tcW w:w="2694" w:type="dxa"/>
            <w:tcBorders>
              <w:top w:val="nil"/>
              <w:left w:val="nil"/>
              <w:bottom w:val="nil"/>
              <w:right w:val="nil"/>
            </w:tcBorders>
            <w:shd w:val="clear" w:color="auto" w:fill="auto"/>
            <w:vAlign w:val="center"/>
            <w:hideMark/>
          </w:tcPr>
          <w:p w14:paraId="751DB8C2"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Retorno sobre activos promedio (5) </w:t>
            </w:r>
          </w:p>
        </w:tc>
        <w:tc>
          <w:tcPr>
            <w:tcW w:w="790" w:type="dxa"/>
            <w:tcBorders>
              <w:top w:val="nil"/>
              <w:left w:val="nil"/>
              <w:bottom w:val="nil"/>
              <w:right w:val="nil"/>
            </w:tcBorders>
            <w:shd w:val="clear" w:color="auto" w:fill="auto"/>
            <w:noWrap/>
            <w:vAlign w:val="center"/>
            <w:hideMark/>
          </w:tcPr>
          <w:p w14:paraId="1045E17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2,39%</w:t>
            </w:r>
          </w:p>
        </w:tc>
        <w:tc>
          <w:tcPr>
            <w:tcW w:w="222" w:type="dxa"/>
            <w:tcBorders>
              <w:top w:val="nil"/>
              <w:left w:val="nil"/>
              <w:bottom w:val="nil"/>
              <w:right w:val="nil"/>
            </w:tcBorders>
            <w:shd w:val="clear" w:color="auto" w:fill="auto"/>
            <w:noWrap/>
            <w:vAlign w:val="center"/>
            <w:hideMark/>
          </w:tcPr>
          <w:p w14:paraId="63E756C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CF964F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2,31%</w:t>
            </w:r>
          </w:p>
        </w:tc>
        <w:tc>
          <w:tcPr>
            <w:tcW w:w="222" w:type="dxa"/>
            <w:tcBorders>
              <w:top w:val="nil"/>
              <w:left w:val="nil"/>
              <w:bottom w:val="nil"/>
              <w:right w:val="nil"/>
            </w:tcBorders>
            <w:shd w:val="clear" w:color="auto" w:fill="auto"/>
            <w:noWrap/>
            <w:vAlign w:val="center"/>
            <w:hideMark/>
          </w:tcPr>
          <w:p w14:paraId="46A2380F"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84D6E5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2,13%</w:t>
            </w:r>
          </w:p>
        </w:tc>
        <w:tc>
          <w:tcPr>
            <w:tcW w:w="222" w:type="dxa"/>
            <w:tcBorders>
              <w:top w:val="nil"/>
              <w:left w:val="nil"/>
              <w:bottom w:val="nil"/>
              <w:right w:val="nil"/>
            </w:tcBorders>
            <w:shd w:val="clear" w:color="auto" w:fill="auto"/>
            <w:noWrap/>
            <w:vAlign w:val="center"/>
            <w:hideMark/>
          </w:tcPr>
          <w:p w14:paraId="2D8FDA9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2C2003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3,07%</w:t>
            </w:r>
          </w:p>
        </w:tc>
        <w:tc>
          <w:tcPr>
            <w:tcW w:w="222" w:type="dxa"/>
            <w:tcBorders>
              <w:top w:val="nil"/>
              <w:left w:val="nil"/>
              <w:bottom w:val="nil"/>
              <w:right w:val="nil"/>
            </w:tcBorders>
            <w:shd w:val="clear" w:color="auto" w:fill="auto"/>
            <w:noWrap/>
            <w:vAlign w:val="center"/>
            <w:hideMark/>
          </w:tcPr>
          <w:p w14:paraId="67900A23"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1BE1C2B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1,34%</w:t>
            </w:r>
          </w:p>
        </w:tc>
        <w:tc>
          <w:tcPr>
            <w:tcW w:w="222" w:type="dxa"/>
            <w:tcBorders>
              <w:top w:val="nil"/>
              <w:left w:val="nil"/>
              <w:bottom w:val="nil"/>
              <w:right w:val="nil"/>
            </w:tcBorders>
            <w:shd w:val="clear" w:color="auto" w:fill="auto"/>
            <w:noWrap/>
            <w:vAlign w:val="bottom"/>
            <w:hideMark/>
          </w:tcPr>
          <w:p w14:paraId="3EF8142A"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E2A6AB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1,88%</w:t>
            </w:r>
          </w:p>
        </w:tc>
        <w:tc>
          <w:tcPr>
            <w:tcW w:w="256" w:type="dxa"/>
            <w:tcBorders>
              <w:top w:val="nil"/>
              <w:left w:val="nil"/>
              <w:bottom w:val="nil"/>
              <w:right w:val="nil"/>
            </w:tcBorders>
            <w:shd w:val="clear" w:color="auto" w:fill="auto"/>
            <w:noWrap/>
            <w:vAlign w:val="bottom"/>
          </w:tcPr>
          <w:p w14:paraId="4C4DF2E9"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656CA01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2,33%</w:t>
            </w:r>
          </w:p>
        </w:tc>
      </w:tr>
      <w:tr w:rsidR="003B5193" w:rsidRPr="00AE4E8D" w14:paraId="4E4FC62E" w14:textId="77777777" w:rsidTr="00E8320E">
        <w:trPr>
          <w:trHeight w:val="264"/>
          <w:jc w:val="center"/>
        </w:trPr>
        <w:tc>
          <w:tcPr>
            <w:tcW w:w="2694" w:type="dxa"/>
            <w:tcBorders>
              <w:top w:val="nil"/>
              <w:left w:val="nil"/>
              <w:bottom w:val="nil"/>
              <w:right w:val="nil"/>
            </w:tcBorders>
            <w:shd w:val="clear" w:color="auto" w:fill="auto"/>
            <w:vAlign w:val="center"/>
            <w:hideMark/>
          </w:tcPr>
          <w:p w14:paraId="1AAFAD3A"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Retorno sobre patrimonio neto promedio (6) </w:t>
            </w:r>
          </w:p>
        </w:tc>
        <w:tc>
          <w:tcPr>
            <w:tcW w:w="790" w:type="dxa"/>
            <w:tcBorders>
              <w:top w:val="nil"/>
              <w:left w:val="nil"/>
              <w:bottom w:val="nil"/>
              <w:right w:val="nil"/>
            </w:tcBorders>
            <w:shd w:val="clear" w:color="auto" w:fill="auto"/>
            <w:noWrap/>
            <w:vAlign w:val="center"/>
            <w:hideMark/>
          </w:tcPr>
          <w:p w14:paraId="60955D1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10,31%</w:t>
            </w:r>
          </w:p>
        </w:tc>
        <w:tc>
          <w:tcPr>
            <w:tcW w:w="222" w:type="dxa"/>
            <w:tcBorders>
              <w:top w:val="nil"/>
              <w:left w:val="nil"/>
              <w:bottom w:val="nil"/>
              <w:right w:val="nil"/>
            </w:tcBorders>
            <w:shd w:val="clear" w:color="auto" w:fill="auto"/>
            <w:noWrap/>
            <w:vAlign w:val="center"/>
            <w:hideMark/>
          </w:tcPr>
          <w:p w14:paraId="5D211F1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AB25FC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11,53%</w:t>
            </w:r>
          </w:p>
        </w:tc>
        <w:tc>
          <w:tcPr>
            <w:tcW w:w="222" w:type="dxa"/>
            <w:tcBorders>
              <w:top w:val="nil"/>
              <w:left w:val="nil"/>
              <w:bottom w:val="nil"/>
              <w:right w:val="nil"/>
            </w:tcBorders>
            <w:shd w:val="clear" w:color="auto" w:fill="auto"/>
            <w:noWrap/>
            <w:vAlign w:val="center"/>
            <w:hideMark/>
          </w:tcPr>
          <w:p w14:paraId="0810B4B4"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3F1105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13,34%</w:t>
            </w:r>
          </w:p>
        </w:tc>
        <w:tc>
          <w:tcPr>
            <w:tcW w:w="222" w:type="dxa"/>
            <w:tcBorders>
              <w:top w:val="nil"/>
              <w:left w:val="nil"/>
              <w:bottom w:val="nil"/>
              <w:right w:val="nil"/>
            </w:tcBorders>
            <w:shd w:val="clear" w:color="auto" w:fill="auto"/>
            <w:noWrap/>
            <w:vAlign w:val="center"/>
            <w:hideMark/>
          </w:tcPr>
          <w:p w14:paraId="520CC73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F43CBF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22,07%</w:t>
            </w:r>
          </w:p>
        </w:tc>
        <w:tc>
          <w:tcPr>
            <w:tcW w:w="222" w:type="dxa"/>
            <w:tcBorders>
              <w:top w:val="nil"/>
              <w:left w:val="nil"/>
              <w:bottom w:val="nil"/>
              <w:right w:val="nil"/>
            </w:tcBorders>
            <w:shd w:val="clear" w:color="auto" w:fill="auto"/>
            <w:noWrap/>
            <w:vAlign w:val="center"/>
            <w:hideMark/>
          </w:tcPr>
          <w:p w14:paraId="76F3CE84"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0246825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10,70%</w:t>
            </w:r>
          </w:p>
        </w:tc>
        <w:tc>
          <w:tcPr>
            <w:tcW w:w="222" w:type="dxa"/>
            <w:tcBorders>
              <w:top w:val="nil"/>
              <w:left w:val="nil"/>
              <w:bottom w:val="nil"/>
              <w:right w:val="nil"/>
            </w:tcBorders>
            <w:shd w:val="clear" w:color="auto" w:fill="auto"/>
            <w:noWrap/>
            <w:vAlign w:val="bottom"/>
            <w:hideMark/>
          </w:tcPr>
          <w:p w14:paraId="6603C62E"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39D6CCD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13,34%</w:t>
            </w:r>
          </w:p>
        </w:tc>
        <w:tc>
          <w:tcPr>
            <w:tcW w:w="256" w:type="dxa"/>
            <w:tcBorders>
              <w:top w:val="nil"/>
              <w:left w:val="nil"/>
              <w:bottom w:val="nil"/>
              <w:right w:val="nil"/>
            </w:tcBorders>
            <w:shd w:val="clear" w:color="auto" w:fill="auto"/>
            <w:noWrap/>
            <w:vAlign w:val="bottom"/>
          </w:tcPr>
          <w:p w14:paraId="007D6E2A"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66F7DFC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19,63%</w:t>
            </w:r>
          </w:p>
        </w:tc>
      </w:tr>
      <w:tr w:rsidR="003B5193" w:rsidRPr="00AE4E8D" w14:paraId="7569F52E" w14:textId="77777777" w:rsidTr="00E8320E">
        <w:trPr>
          <w:trHeight w:val="264"/>
          <w:jc w:val="center"/>
        </w:trPr>
        <w:tc>
          <w:tcPr>
            <w:tcW w:w="2694" w:type="dxa"/>
            <w:tcBorders>
              <w:top w:val="nil"/>
              <w:left w:val="nil"/>
              <w:bottom w:val="nil"/>
              <w:right w:val="nil"/>
            </w:tcBorders>
            <w:shd w:val="clear" w:color="auto" w:fill="auto"/>
            <w:vAlign w:val="center"/>
            <w:hideMark/>
          </w:tcPr>
          <w:p w14:paraId="6572BA8F"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Margen Financiero Neto</w:t>
            </w:r>
            <w:r w:rsidRPr="00AE4E8D">
              <w:rPr>
                <w:rFonts w:ascii="Times New Roman" w:hAnsi="Times New Roman"/>
                <w:color w:val="000000"/>
                <w:sz w:val="16"/>
                <w:vertAlign w:val="superscript"/>
                <w:lang w:val="es-ES"/>
              </w:rPr>
              <w:t xml:space="preserve"> </w:t>
            </w:r>
            <w:r w:rsidRPr="00AE4E8D">
              <w:rPr>
                <w:rFonts w:ascii="Times New Roman" w:hAnsi="Times New Roman"/>
                <w:color w:val="000000"/>
                <w:sz w:val="16"/>
                <w:lang w:val="es-ES"/>
              </w:rPr>
              <w:t xml:space="preserve">(7) </w:t>
            </w:r>
          </w:p>
        </w:tc>
        <w:tc>
          <w:tcPr>
            <w:tcW w:w="790" w:type="dxa"/>
            <w:tcBorders>
              <w:top w:val="nil"/>
              <w:left w:val="nil"/>
              <w:bottom w:val="nil"/>
              <w:right w:val="nil"/>
            </w:tcBorders>
            <w:shd w:val="clear" w:color="auto" w:fill="auto"/>
            <w:noWrap/>
            <w:vAlign w:val="center"/>
            <w:hideMark/>
          </w:tcPr>
          <w:p w14:paraId="7D6BF6B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7,24%</w:t>
            </w:r>
          </w:p>
        </w:tc>
        <w:tc>
          <w:tcPr>
            <w:tcW w:w="222" w:type="dxa"/>
            <w:tcBorders>
              <w:top w:val="nil"/>
              <w:left w:val="nil"/>
              <w:bottom w:val="nil"/>
              <w:right w:val="nil"/>
            </w:tcBorders>
            <w:shd w:val="clear" w:color="auto" w:fill="auto"/>
            <w:noWrap/>
            <w:vAlign w:val="center"/>
            <w:hideMark/>
          </w:tcPr>
          <w:p w14:paraId="31E47A23"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52E584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8,96%</w:t>
            </w:r>
          </w:p>
        </w:tc>
        <w:tc>
          <w:tcPr>
            <w:tcW w:w="222" w:type="dxa"/>
            <w:tcBorders>
              <w:top w:val="nil"/>
              <w:left w:val="nil"/>
              <w:bottom w:val="nil"/>
              <w:right w:val="nil"/>
            </w:tcBorders>
            <w:shd w:val="clear" w:color="auto" w:fill="auto"/>
            <w:noWrap/>
            <w:vAlign w:val="center"/>
            <w:hideMark/>
          </w:tcPr>
          <w:p w14:paraId="7DFD3ACF"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6C61F0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8,97%</w:t>
            </w:r>
          </w:p>
        </w:tc>
        <w:tc>
          <w:tcPr>
            <w:tcW w:w="222" w:type="dxa"/>
            <w:tcBorders>
              <w:top w:val="nil"/>
              <w:left w:val="nil"/>
              <w:bottom w:val="nil"/>
              <w:right w:val="nil"/>
            </w:tcBorders>
            <w:shd w:val="clear" w:color="auto" w:fill="auto"/>
            <w:noWrap/>
            <w:vAlign w:val="center"/>
            <w:hideMark/>
          </w:tcPr>
          <w:p w14:paraId="29A1CEF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F8E088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8,57%</w:t>
            </w:r>
          </w:p>
        </w:tc>
        <w:tc>
          <w:tcPr>
            <w:tcW w:w="222" w:type="dxa"/>
            <w:tcBorders>
              <w:top w:val="nil"/>
              <w:left w:val="nil"/>
              <w:bottom w:val="nil"/>
              <w:right w:val="nil"/>
            </w:tcBorders>
            <w:shd w:val="clear" w:color="auto" w:fill="auto"/>
            <w:noWrap/>
            <w:vAlign w:val="center"/>
            <w:hideMark/>
          </w:tcPr>
          <w:p w14:paraId="46EA670E"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2980648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6,16%</w:t>
            </w:r>
          </w:p>
        </w:tc>
        <w:tc>
          <w:tcPr>
            <w:tcW w:w="222" w:type="dxa"/>
            <w:tcBorders>
              <w:top w:val="nil"/>
              <w:left w:val="nil"/>
              <w:bottom w:val="nil"/>
              <w:right w:val="nil"/>
            </w:tcBorders>
            <w:shd w:val="clear" w:color="auto" w:fill="auto"/>
            <w:noWrap/>
            <w:vAlign w:val="bottom"/>
            <w:hideMark/>
          </w:tcPr>
          <w:p w14:paraId="3D9D1364"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DFDAB5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7,34%</w:t>
            </w:r>
          </w:p>
        </w:tc>
        <w:tc>
          <w:tcPr>
            <w:tcW w:w="256" w:type="dxa"/>
            <w:tcBorders>
              <w:top w:val="nil"/>
              <w:left w:val="nil"/>
              <w:bottom w:val="nil"/>
              <w:right w:val="nil"/>
            </w:tcBorders>
            <w:shd w:val="clear" w:color="auto" w:fill="auto"/>
            <w:noWrap/>
            <w:vAlign w:val="bottom"/>
          </w:tcPr>
          <w:p w14:paraId="17A2CB13"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5B5560A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7,04%</w:t>
            </w:r>
          </w:p>
        </w:tc>
      </w:tr>
      <w:tr w:rsidR="003B5193" w:rsidRPr="00AE4E8D" w14:paraId="50F16EBA" w14:textId="77777777" w:rsidTr="00E8320E">
        <w:trPr>
          <w:trHeight w:val="264"/>
          <w:jc w:val="center"/>
        </w:trPr>
        <w:tc>
          <w:tcPr>
            <w:tcW w:w="2694" w:type="dxa"/>
            <w:tcBorders>
              <w:top w:val="nil"/>
              <w:left w:val="nil"/>
              <w:bottom w:val="nil"/>
              <w:right w:val="nil"/>
            </w:tcBorders>
            <w:shd w:val="clear" w:color="auto" w:fill="auto"/>
            <w:vAlign w:val="center"/>
            <w:hideMark/>
          </w:tcPr>
          <w:p w14:paraId="7CEFD1FB"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Eficiencia</w:t>
            </w:r>
            <w:r w:rsidRPr="00AE4E8D">
              <w:rPr>
                <w:rFonts w:ascii="Times New Roman" w:hAnsi="Times New Roman"/>
                <w:color w:val="000000"/>
                <w:sz w:val="16"/>
                <w:vertAlign w:val="superscript"/>
                <w:lang w:val="es-ES"/>
              </w:rPr>
              <w:t xml:space="preserve"> </w:t>
            </w:r>
            <w:r w:rsidRPr="00AE4E8D">
              <w:rPr>
                <w:rFonts w:ascii="Times New Roman" w:hAnsi="Times New Roman"/>
                <w:color w:val="000000"/>
                <w:sz w:val="16"/>
                <w:lang w:val="es-ES"/>
              </w:rPr>
              <w:t xml:space="preserve">(8) </w:t>
            </w:r>
          </w:p>
        </w:tc>
        <w:tc>
          <w:tcPr>
            <w:tcW w:w="790" w:type="dxa"/>
            <w:tcBorders>
              <w:top w:val="nil"/>
              <w:left w:val="nil"/>
              <w:bottom w:val="nil"/>
              <w:right w:val="nil"/>
            </w:tcBorders>
            <w:shd w:val="clear" w:color="auto" w:fill="auto"/>
            <w:noWrap/>
            <w:vAlign w:val="center"/>
            <w:hideMark/>
          </w:tcPr>
          <w:p w14:paraId="1757762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71,20%</w:t>
            </w:r>
          </w:p>
        </w:tc>
        <w:tc>
          <w:tcPr>
            <w:tcW w:w="222" w:type="dxa"/>
            <w:tcBorders>
              <w:top w:val="nil"/>
              <w:left w:val="nil"/>
              <w:bottom w:val="nil"/>
              <w:right w:val="nil"/>
            </w:tcBorders>
            <w:shd w:val="clear" w:color="auto" w:fill="auto"/>
            <w:noWrap/>
            <w:vAlign w:val="center"/>
            <w:hideMark/>
          </w:tcPr>
          <w:p w14:paraId="115CACA2"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B577CF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66,59%</w:t>
            </w:r>
          </w:p>
        </w:tc>
        <w:tc>
          <w:tcPr>
            <w:tcW w:w="222" w:type="dxa"/>
            <w:tcBorders>
              <w:top w:val="nil"/>
              <w:left w:val="nil"/>
              <w:bottom w:val="nil"/>
              <w:right w:val="nil"/>
            </w:tcBorders>
            <w:shd w:val="clear" w:color="auto" w:fill="auto"/>
            <w:noWrap/>
            <w:vAlign w:val="center"/>
            <w:hideMark/>
          </w:tcPr>
          <w:p w14:paraId="56631AAD"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303491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67,49%</w:t>
            </w:r>
          </w:p>
        </w:tc>
        <w:tc>
          <w:tcPr>
            <w:tcW w:w="222" w:type="dxa"/>
            <w:tcBorders>
              <w:top w:val="nil"/>
              <w:left w:val="nil"/>
              <w:bottom w:val="nil"/>
              <w:right w:val="nil"/>
            </w:tcBorders>
            <w:shd w:val="clear" w:color="auto" w:fill="auto"/>
            <w:noWrap/>
            <w:vAlign w:val="center"/>
            <w:hideMark/>
          </w:tcPr>
          <w:p w14:paraId="20180D4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5C2951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65,22%</w:t>
            </w:r>
          </w:p>
        </w:tc>
        <w:tc>
          <w:tcPr>
            <w:tcW w:w="222" w:type="dxa"/>
            <w:tcBorders>
              <w:top w:val="nil"/>
              <w:left w:val="nil"/>
              <w:bottom w:val="nil"/>
              <w:right w:val="nil"/>
            </w:tcBorders>
            <w:shd w:val="clear" w:color="auto" w:fill="auto"/>
            <w:noWrap/>
            <w:vAlign w:val="center"/>
            <w:hideMark/>
          </w:tcPr>
          <w:p w14:paraId="24DF7372"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2B5CA43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74,76%</w:t>
            </w:r>
          </w:p>
        </w:tc>
        <w:tc>
          <w:tcPr>
            <w:tcW w:w="222" w:type="dxa"/>
            <w:tcBorders>
              <w:top w:val="nil"/>
              <w:left w:val="nil"/>
              <w:bottom w:val="nil"/>
              <w:right w:val="nil"/>
            </w:tcBorders>
            <w:shd w:val="clear" w:color="auto" w:fill="auto"/>
            <w:noWrap/>
            <w:vAlign w:val="bottom"/>
            <w:hideMark/>
          </w:tcPr>
          <w:p w14:paraId="1C13EC75"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362F34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73,23%</w:t>
            </w:r>
          </w:p>
        </w:tc>
        <w:tc>
          <w:tcPr>
            <w:tcW w:w="256" w:type="dxa"/>
            <w:tcBorders>
              <w:top w:val="nil"/>
              <w:left w:val="nil"/>
              <w:bottom w:val="nil"/>
              <w:right w:val="nil"/>
            </w:tcBorders>
            <w:shd w:val="clear" w:color="auto" w:fill="auto"/>
            <w:noWrap/>
            <w:vAlign w:val="bottom"/>
          </w:tcPr>
          <w:p w14:paraId="461B1201"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178E80D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67,46%</w:t>
            </w:r>
          </w:p>
        </w:tc>
      </w:tr>
      <w:tr w:rsidR="003B5193" w:rsidRPr="00AE4E8D" w14:paraId="378BBE5C" w14:textId="77777777" w:rsidTr="00E8320E">
        <w:trPr>
          <w:trHeight w:val="264"/>
          <w:jc w:val="center"/>
        </w:trPr>
        <w:tc>
          <w:tcPr>
            <w:tcW w:w="2694" w:type="dxa"/>
            <w:tcBorders>
              <w:top w:val="nil"/>
              <w:left w:val="nil"/>
              <w:bottom w:val="nil"/>
              <w:right w:val="nil"/>
            </w:tcBorders>
            <w:shd w:val="clear" w:color="auto" w:fill="auto"/>
            <w:vAlign w:val="center"/>
            <w:hideMark/>
          </w:tcPr>
          <w:p w14:paraId="5931BF5E" w14:textId="77777777" w:rsidR="0067329E" w:rsidRPr="00AE4E8D" w:rsidRDefault="0067329E" w:rsidP="00E8320E">
            <w:pPr>
              <w:rPr>
                <w:rFonts w:ascii="Times New Roman" w:hAnsi="Times New Roman"/>
                <w:color w:val="000000"/>
                <w:sz w:val="16"/>
                <w:lang w:val="es-ES"/>
              </w:rPr>
            </w:pPr>
          </w:p>
        </w:tc>
        <w:tc>
          <w:tcPr>
            <w:tcW w:w="790" w:type="dxa"/>
            <w:tcBorders>
              <w:top w:val="nil"/>
              <w:left w:val="nil"/>
              <w:bottom w:val="nil"/>
              <w:right w:val="nil"/>
            </w:tcBorders>
            <w:shd w:val="clear" w:color="auto" w:fill="auto"/>
            <w:noWrap/>
            <w:vAlign w:val="center"/>
            <w:hideMark/>
          </w:tcPr>
          <w:p w14:paraId="64876545"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3944E60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3396BD8"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CEAF404"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CA02049"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6035A79"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9B2B882"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585D4A70"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0DFD843B"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51C6813B"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7589E4F" w14:textId="77777777" w:rsidR="0067329E" w:rsidRPr="00AE4E8D" w:rsidRDefault="0067329E"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2DBE096D"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6E7C746F" w14:textId="77777777" w:rsidR="0067329E" w:rsidRPr="00AE4E8D" w:rsidRDefault="0067329E" w:rsidP="00E8320E">
            <w:pPr>
              <w:rPr>
                <w:rFonts w:ascii="Times New Roman" w:hAnsi="Times New Roman"/>
                <w:color w:val="000000"/>
                <w:sz w:val="16"/>
                <w:lang w:val="es-ES"/>
              </w:rPr>
            </w:pPr>
          </w:p>
        </w:tc>
      </w:tr>
      <w:tr w:rsidR="003B5193" w:rsidRPr="00AE4E8D" w14:paraId="30401EFD" w14:textId="77777777" w:rsidTr="00E8320E">
        <w:trPr>
          <w:trHeight w:val="264"/>
          <w:jc w:val="center"/>
        </w:trPr>
        <w:tc>
          <w:tcPr>
            <w:tcW w:w="2694" w:type="dxa"/>
            <w:tcBorders>
              <w:top w:val="nil"/>
              <w:left w:val="nil"/>
              <w:bottom w:val="nil"/>
              <w:right w:val="nil"/>
            </w:tcBorders>
            <w:shd w:val="clear" w:color="auto" w:fill="auto"/>
            <w:vAlign w:val="center"/>
            <w:hideMark/>
          </w:tcPr>
          <w:p w14:paraId="0712A8F7" w14:textId="77777777" w:rsidR="0067329E" w:rsidRPr="00AE4E8D" w:rsidRDefault="0067329E" w:rsidP="00E8320E">
            <w:pPr>
              <w:rPr>
                <w:rFonts w:ascii="Times New Roman" w:hAnsi="Times New Roman"/>
                <w:b/>
                <w:color w:val="000000"/>
                <w:sz w:val="16"/>
                <w:lang w:val="es-ES"/>
              </w:rPr>
            </w:pPr>
            <w:r w:rsidRPr="00AE4E8D">
              <w:rPr>
                <w:rFonts w:ascii="Times New Roman" w:hAnsi="Times New Roman"/>
                <w:b/>
                <w:color w:val="000000"/>
                <w:sz w:val="16"/>
                <w:lang w:val="es-ES"/>
              </w:rPr>
              <w:t>Capital</w:t>
            </w:r>
          </w:p>
        </w:tc>
        <w:tc>
          <w:tcPr>
            <w:tcW w:w="790" w:type="dxa"/>
            <w:tcBorders>
              <w:top w:val="nil"/>
              <w:left w:val="nil"/>
              <w:bottom w:val="nil"/>
              <w:right w:val="nil"/>
            </w:tcBorders>
            <w:shd w:val="clear" w:color="auto" w:fill="auto"/>
            <w:noWrap/>
            <w:vAlign w:val="center"/>
            <w:hideMark/>
          </w:tcPr>
          <w:p w14:paraId="71E8C187"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095541EC"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6CEA12D"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009F5C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9273A4B"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0F44F5F"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795E0BA"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BDB2B1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2211044C"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01DEA3AA"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5539723F" w14:textId="77777777" w:rsidR="0067329E" w:rsidRPr="00AE4E8D" w:rsidRDefault="0067329E"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17E0AB4A"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2117FC8B" w14:textId="77777777" w:rsidR="0067329E" w:rsidRPr="00AE4E8D" w:rsidRDefault="0067329E" w:rsidP="00E8320E">
            <w:pPr>
              <w:rPr>
                <w:rFonts w:ascii="Times New Roman" w:hAnsi="Times New Roman"/>
                <w:color w:val="000000"/>
                <w:sz w:val="16"/>
                <w:lang w:val="es-ES"/>
              </w:rPr>
            </w:pPr>
          </w:p>
        </w:tc>
      </w:tr>
      <w:tr w:rsidR="003B5193" w:rsidRPr="00AE4E8D" w14:paraId="54A0187E" w14:textId="77777777" w:rsidTr="00E8320E">
        <w:trPr>
          <w:trHeight w:val="264"/>
          <w:jc w:val="center"/>
        </w:trPr>
        <w:tc>
          <w:tcPr>
            <w:tcW w:w="2694" w:type="dxa"/>
            <w:tcBorders>
              <w:top w:val="nil"/>
              <w:left w:val="nil"/>
              <w:bottom w:val="nil"/>
              <w:right w:val="nil"/>
            </w:tcBorders>
            <w:shd w:val="clear" w:color="auto" w:fill="auto"/>
            <w:vAlign w:val="center"/>
            <w:hideMark/>
          </w:tcPr>
          <w:p w14:paraId="26F1961F"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Patrimonio neto total como % de activo total </w:t>
            </w:r>
          </w:p>
        </w:tc>
        <w:tc>
          <w:tcPr>
            <w:tcW w:w="790" w:type="dxa"/>
            <w:tcBorders>
              <w:top w:val="nil"/>
              <w:left w:val="nil"/>
              <w:bottom w:val="nil"/>
              <w:right w:val="nil"/>
            </w:tcBorders>
            <w:shd w:val="clear" w:color="auto" w:fill="auto"/>
            <w:noWrap/>
            <w:vAlign w:val="center"/>
            <w:hideMark/>
          </w:tcPr>
          <w:p w14:paraId="1D18DE4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21,59%</w:t>
            </w:r>
          </w:p>
        </w:tc>
        <w:tc>
          <w:tcPr>
            <w:tcW w:w="222" w:type="dxa"/>
            <w:tcBorders>
              <w:top w:val="nil"/>
              <w:left w:val="nil"/>
              <w:bottom w:val="nil"/>
              <w:right w:val="nil"/>
            </w:tcBorders>
            <w:shd w:val="clear" w:color="auto" w:fill="auto"/>
            <w:noWrap/>
            <w:vAlign w:val="center"/>
            <w:hideMark/>
          </w:tcPr>
          <w:p w14:paraId="5E15354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EA9773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18,87%</w:t>
            </w:r>
          </w:p>
        </w:tc>
        <w:tc>
          <w:tcPr>
            <w:tcW w:w="222" w:type="dxa"/>
            <w:tcBorders>
              <w:top w:val="nil"/>
              <w:left w:val="nil"/>
              <w:bottom w:val="nil"/>
              <w:right w:val="nil"/>
            </w:tcBorders>
            <w:shd w:val="clear" w:color="auto" w:fill="auto"/>
            <w:noWrap/>
            <w:vAlign w:val="center"/>
            <w:hideMark/>
          </w:tcPr>
          <w:p w14:paraId="764FB9C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B96A25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14,02%</w:t>
            </w:r>
          </w:p>
        </w:tc>
        <w:tc>
          <w:tcPr>
            <w:tcW w:w="222" w:type="dxa"/>
            <w:tcBorders>
              <w:top w:val="nil"/>
              <w:left w:val="nil"/>
              <w:bottom w:val="nil"/>
              <w:right w:val="nil"/>
            </w:tcBorders>
            <w:shd w:val="clear" w:color="auto" w:fill="auto"/>
            <w:noWrap/>
            <w:vAlign w:val="center"/>
            <w:hideMark/>
          </w:tcPr>
          <w:p w14:paraId="0CDED37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B63AA2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13,79%</w:t>
            </w:r>
          </w:p>
        </w:tc>
        <w:tc>
          <w:tcPr>
            <w:tcW w:w="222" w:type="dxa"/>
            <w:tcBorders>
              <w:top w:val="nil"/>
              <w:left w:val="nil"/>
              <w:bottom w:val="nil"/>
              <w:right w:val="nil"/>
            </w:tcBorders>
            <w:shd w:val="clear" w:color="auto" w:fill="auto"/>
            <w:noWrap/>
            <w:vAlign w:val="center"/>
            <w:hideMark/>
          </w:tcPr>
          <w:p w14:paraId="1982F11C"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4F68845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11,62%</w:t>
            </w:r>
          </w:p>
        </w:tc>
        <w:tc>
          <w:tcPr>
            <w:tcW w:w="222" w:type="dxa"/>
            <w:tcBorders>
              <w:top w:val="nil"/>
              <w:left w:val="nil"/>
              <w:bottom w:val="nil"/>
              <w:right w:val="nil"/>
            </w:tcBorders>
            <w:shd w:val="clear" w:color="auto" w:fill="auto"/>
            <w:noWrap/>
            <w:vAlign w:val="bottom"/>
            <w:hideMark/>
          </w:tcPr>
          <w:p w14:paraId="77A97D74"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3C3EBD6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14,35%</w:t>
            </w:r>
          </w:p>
        </w:tc>
        <w:tc>
          <w:tcPr>
            <w:tcW w:w="256" w:type="dxa"/>
            <w:tcBorders>
              <w:top w:val="nil"/>
              <w:left w:val="nil"/>
              <w:bottom w:val="nil"/>
              <w:right w:val="nil"/>
            </w:tcBorders>
            <w:shd w:val="clear" w:color="auto" w:fill="auto"/>
            <w:noWrap/>
            <w:vAlign w:val="bottom"/>
          </w:tcPr>
          <w:p w14:paraId="4DF518C5"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4EC41D2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12,09%</w:t>
            </w:r>
            <w:r w:rsidRPr="00AE4E8D" w:rsidDel="00FE5A43">
              <w:rPr>
                <w:rFonts w:ascii="Times New Roman" w:hAnsi="Times New Roman"/>
                <w:color w:val="000000"/>
                <w:sz w:val="16"/>
                <w:lang w:val="es-ES"/>
              </w:rPr>
              <w:t xml:space="preserve"> </w:t>
            </w:r>
          </w:p>
        </w:tc>
      </w:tr>
      <w:tr w:rsidR="003B5193" w:rsidRPr="00AE4E8D" w14:paraId="18424609" w14:textId="77777777" w:rsidTr="00E8320E">
        <w:trPr>
          <w:trHeight w:val="264"/>
          <w:jc w:val="center"/>
        </w:trPr>
        <w:tc>
          <w:tcPr>
            <w:tcW w:w="2694" w:type="dxa"/>
            <w:tcBorders>
              <w:top w:val="nil"/>
              <w:left w:val="nil"/>
              <w:bottom w:val="nil"/>
              <w:right w:val="nil"/>
            </w:tcBorders>
            <w:shd w:val="clear" w:color="auto" w:fill="auto"/>
            <w:noWrap/>
            <w:vAlign w:val="center"/>
            <w:hideMark/>
          </w:tcPr>
          <w:p w14:paraId="1CD88F1D"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Patrimonio neto total como % de pasivo total </w:t>
            </w:r>
          </w:p>
        </w:tc>
        <w:tc>
          <w:tcPr>
            <w:tcW w:w="790" w:type="dxa"/>
            <w:tcBorders>
              <w:top w:val="nil"/>
              <w:left w:val="nil"/>
              <w:bottom w:val="nil"/>
              <w:right w:val="nil"/>
            </w:tcBorders>
            <w:shd w:val="clear" w:color="auto" w:fill="auto"/>
            <w:noWrap/>
            <w:vAlign w:val="center"/>
            <w:hideMark/>
          </w:tcPr>
          <w:p w14:paraId="3AF7103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27,69%</w:t>
            </w:r>
          </w:p>
        </w:tc>
        <w:tc>
          <w:tcPr>
            <w:tcW w:w="222" w:type="dxa"/>
            <w:tcBorders>
              <w:top w:val="nil"/>
              <w:left w:val="nil"/>
              <w:bottom w:val="nil"/>
              <w:right w:val="nil"/>
            </w:tcBorders>
            <w:shd w:val="clear" w:color="auto" w:fill="auto"/>
            <w:noWrap/>
            <w:vAlign w:val="center"/>
            <w:hideMark/>
          </w:tcPr>
          <w:p w14:paraId="33370A0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188201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23,36%</w:t>
            </w:r>
          </w:p>
        </w:tc>
        <w:tc>
          <w:tcPr>
            <w:tcW w:w="222" w:type="dxa"/>
            <w:tcBorders>
              <w:top w:val="nil"/>
              <w:left w:val="nil"/>
              <w:bottom w:val="nil"/>
              <w:right w:val="nil"/>
            </w:tcBorders>
            <w:shd w:val="clear" w:color="auto" w:fill="auto"/>
            <w:noWrap/>
            <w:vAlign w:val="center"/>
            <w:hideMark/>
          </w:tcPr>
          <w:p w14:paraId="3E439D4C"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2F6340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16,35%</w:t>
            </w:r>
          </w:p>
        </w:tc>
        <w:tc>
          <w:tcPr>
            <w:tcW w:w="222" w:type="dxa"/>
            <w:tcBorders>
              <w:top w:val="nil"/>
              <w:left w:val="nil"/>
              <w:bottom w:val="nil"/>
              <w:right w:val="nil"/>
            </w:tcBorders>
            <w:shd w:val="clear" w:color="auto" w:fill="auto"/>
            <w:noWrap/>
            <w:vAlign w:val="center"/>
            <w:hideMark/>
          </w:tcPr>
          <w:p w14:paraId="7A365B43"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258031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16,04%</w:t>
            </w:r>
          </w:p>
        </w:tc>
        <w:tc>
          <w:tcPr>
            <w:tcW w:w="222" w:type="dxa"/>
            <w:tcBorders>
              <w:top w:val="nil"/>
              <w:left w:val="nil"/>
              <w:bottom w:val="nil"/>
              <w:right w:val="nil"/>
            </w:tcBorders>
            <w:shd w:val="clear" w:color="auto" w:fill="auto"/>
            <w:noWrap/>
            <w:vAlign w:val="center"/>
            <w:hideMark/>
          </w:tcPr>
          <w:p w14:paraId="557A620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31002A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13,20%</w:t>
            </w:r>
          </w:p>
        </w:tc>
        <w:tc>
          <w:tcPr>
            <w:tcW w:w="222" w:type="dxa"/>
            <w:tcBorders>
              <w:top w:val="nil"/>
              <w:left w:val="nil"/>
              <w:bottom w:val="nil"/>
              <w:right w:val="nil"/>
            </w:tcBorders>
            <w:shd w:val="clear" w:color="auto" w:fill="auto"/>
            <w:noWrap/>
            <w:vAlign w:val="bottom"/>
            <w:hideMark/>
          </w:tcPr>
          <w:p w14:paraId="2843C061"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A3803A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16,82%</w:t>
            </w:r>
          </w:p>
        </w:tc>
        <w:tc>
          <w:tcPr>
            <w:tcW w:w="256" w:type="dxa"/>
            <w:tcBorders>
              <w:top w:val="nil"/>
              <w:left w:val="nil"/>
              <w:bottom w:val="nil"/>
              <w:right w:val="nil"/>
            </w:tcBorders>
            <w:shd w:val="clear" w:color="auto" w:fill="auto"/>
            <w:noWrap/>
            <w:vAlign w:val="bottom"/>
          </w:tcPr>
          <w:p w14:paraId="61F21E20"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207A8B6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13,84%</w:t>
            </w:r>
            <w:r w:rsidRPr="00AE4E8D" w:rsidDel="00FE5A43">
              <w:rPr>
                <w:rFonts w:ascii="Times New Roman" w:hAnsi="Times New Roman"/>
                <w:color w:val="000000"/>
                <w:sz w:val="16"/>
                <w:lang w:val="es-ES"/>
              </w:rPr>
              <w:t xml:space="preserve"> </w:t>
            </w:r>
          </w:p>
        </w:tc>
      </w:tr>
      <w:tr w:rsidR="003B5193" w:rsidRPr="00AE4E8D" w14:paraId="3965EB59" w14:textId="77777777" w:rsidTr="00E8320E">
        <w:trPr>
          <w:trHeight w:val="264"/>
          <w:jc w:val="center"/>
        </w:trPr>
        <w:tc>
          <w:tcPr>
            <w:tcW w:w="2694" w:type="dxa"/>
            <w:tcBorders>
              <w:top w:val="nil"/>
              <w:left w:val="nil"/>
              <w:bottom w:val="nil"/>
              <w:right w:val="nil"/>
            </w:tcBorders>
            <w:shd w:val="clear" w:color="auto" w:fill="auto"/>
            <w:noWrap/>
            <w:vAlign w:val="center"/>
            <w:hideMark/>
          </w:tcPr>
          <w:p w14:paraId="41857E6B"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Otros activos como % de activos (9) </w:t>
            </w:r>
          </w:p>
        </w:tc>
        <w:tc>
          <w:tcPr>
            <w:tcW w:w="790" w:type="dxa"/>
            <w:tcBorders>
              <w:top w:val="nil"/>
              <w:left w:val="nil"/>
              <w:bottom w:val="nil"/>
              <w:right w:val="nil"/>
            </w:tcBorders>
            <w:shd w:val="clear" w:color="auto" w:fill="auto"/>
            <w:noWrap/>
            <w:vAlign w:val="center"/>
            <w:hideMark/>
          </w:tcPr>
          <w:p w14:paraId="394F9CB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6,33%</w:t>
            </w:r>
          </w:p>
        </w:tc>
        <w:tc>
          <w:tcPr>
            <w:tcW w:w="222" w:type="dxa"/>
            <w:tcBorders>
              <w:top w:val="nil"/>
              <w:left w:val="nil"/>
              <w:bottom w:val="nil"/>
              <w:right w:val="nil"/>
            </w:tcBorders>
            <w:shd w:val="clear" w:color="auto" w:fill="auto"/>
            <w:noWrap/>
            <w:vAlign w:val="center"/>
            <w:hideMark/>
          </w:tcPr>
          <w:p w14:paraId="3E3C347B"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6B6334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6,79%</w:t>
            </w:r>
          </w:p>
        </w:tc>
        <w:tc>
          <w:tcPr>
            <w:tcW w:w="222" w:type="dxa"/>
            <w:tcBorders>
              <w:top w:val="nil"/>
              <w:left w:val="nil"/>
              <w:bottom w:val="nil"/>
              <w:right w:val="nil"/>
            </w:tcBorders>
            <w:shd w:val="clear" w:color="auto" w:fill="auto"/>
            <w:noWrap/>
            <w:vAlign w:val="center"/>
            <w:hideMark/>
          </w:tcPr>
          <w:p w14:paraId="36D996B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477AA3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5,59%</w:t>
            </w:r>
          </w:p>
        </w:tc>
        <w:tc>
          <w:tcPr>
            <w:tcW w:w="222" w:type="dxa"/>
            <w:tcBorders>
              <w:top w:val="nil"/>
              <w:left w:val="nil"/>
              <w:bottom w:val="nil"/>
              <w:right w:val="nil"/>
            </w:tcBorders>
            <w:shd w:val="clear" w:color="auto" w:fill="auto"/>
            <w:noWrap/>
            <w:vAlign w:val="center"/>
            <w:hideMark/>
          </w:tcPr>
          <w:p w14:paraId="0DCAFC78"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F44494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6,54%</w:t>
            </w:r>
          </w:p>
        </w:tc>
        <w:tc>
          <w:tcPr>
            <w:tcW w:w="222" w:type="dxa"/>
            <w:tcBorders>
              <w:top w:val="nil"/>
              <w:left w:val="nil"/>
              <w:bottom w:val="nil"/>
              <w:right w:val="nil"/>
            </w:tcBorders>
            <w:shd w:val="clear" w:color="auto" w:fill="auto"/>
            <w:noWrap/>
            <w:vAlign w:val="center"/>
            <w:hideMark/>
          </w:tcPr>
          <w:p w14:paraId="39BD1AA4"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26B3CF3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6,41%</w:t>
            </w:r>
          </w:p>
        </w:tc>
        <w:tc>
          <w:tcPr>
            <w:tcW w:w="222" w:type="dxa"/>
            <w:tcBorders>
              <w:top w:val="nil"/>
              <w:left w:val="nil"/>
              <w:bottom w:val="nil"/>
              <w:right w:val="nil"/>
            </w:tcBorders>
            <w:shd w:val="clear" w:color="auto" w:fill="auto"/>
            <w:noWrap/>
            <w:vAlign w:val="bottom"/>
            <w:hideMark/>
          </w:tcPr>
          <w:p w14:paraId="5B21F97A"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16C9E8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7,47%</w:t>
            </w:r>
          </w:p>
        </w:tc>
        <w:tc>
          <w:tcPr>
            <w:tcW w:w="256" w:type="dxa"/>
            <w:tcBorders>
              <w:top w:val="nil"/>
              <w:left w:val="nil"/>
              <w:bottom w:val="nil"/>
              <w:right w:val="nil"/>
            </w:tcBorders>
            <w:shd w:val="clear" w:color="auto" w:fill="auto"/>
            <w:noWrap/>
            <w:vAlign w:val="bottom"/>
          </w:tcPr>
          <w:p w14:paraId="7F0984E4"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2B3C0A5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8,09%</w:t>
            </w:r>
          </w:p>
        </w:tc>
      </w:tr>
      <w:tr w:rsidR="003B5193" w:rsidRPr="00AE4E8D" w14:paraId="70B1B0E2" w14:textId="77777777" w:rsidTr="00E8320E">
        <w:trPr>
          <w:trHeight w:val="264"/>
          <w:jc w:val="center"/>
        </w:trPr>
        <w:tc>
          <w:tcPr>
            <w:tcW w:w="2694" w:type="dxa"/>
            <w:tcBorders>
              <w:top w:val="nil"/>
              <w:left w:val="nil"/>
              <w:bottom w:val="nil"/>
              <w:right w:val="nil"/>
            </w:tcBorders>
            <w:shd w:val="clear" w:color="auto" w:fill="auto"/>
            <w:noWrap/>
            <w:vAlign w:val="center"/>
            <w:hideMark/>
          </w:tcPr>
          <w:p w14:paraId="16028835" w14:textId="77777777" w:rsidR="0067329E" w:rsidRPr="00AE4E8D" w:rsidRDefault="0067329E" w:rsidP="00E8320E">
            <w:pPr>
              <w:rPr>
                <w:rFonts w:ascii="Times New Roman" w:hAnsi="Times New Roman"/>
                <w:color w:val="000000"/>
                <w:sz w:val="16"/>
                <w:lang w:val="es-ES"/>
              </w:rPr>
            </w:pPr>
          </w:p>
        </w:tc>
        <w:tc>
          <w:tcPr>
            <w:tcW w:w="790" w:type="dxa"/>
            <w:tcBorders>
              <w:top w:val="nil"/>
              <w:left w:val="nil"/>
              <w:bottom w:val="nil"/>
              <w:right w:val="nil"/>
            </w:tcBorders>
            <w:shd w:val="clear" w:color="auto" w:fill="auto"/>
            <w:noWrap/>
            <w:vAlign w:val="center"/>
            <w:hideMark/>
          </w:tcPr>
          <w:p w14:paraId="7A3008AE"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1FC9FA9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29F449B"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5317A84D"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DA08271"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21B8F52E"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FA2AE2A"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2F0073E6"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3F6B14F3"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0A0F7251"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0DA13E35" w14:textId="77777777" w:rsidR="0067329E" w:rsidRPr="00AE4E8D" w:rsidRDefault="0067329E"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7DDC343E"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03CD292F" w14:textId="77777777" w:rsidR="0067329E" w:rsidRPr="00AE4E8D" w:rsidRDefault="0067329E" w:rsidP="00E8320E">
            <w:pPr>
              <w:rPr>
                <w:rFonts w:ascii="Times New Roman" w:hAnsi="Times New Roman"/>
                <w:color w:val="000000"/>
                <w:sz w:val="16"/>
                <w:lang w:val="es-ES"/>
              </w:rPr>
            </w:pPr>
          </w:p>
        </w:tc>
      </w:tr>
      <w:tr w:rsidR="003B5193" w:rsidRPr="00AE4E8D" w14:paraId="71ED08F3" w14:textId="77777777" w:rsidTr="00E8320E">
        <w:trPr>
          <w:trHeight w:val="264"/>
          <w:jc w:val="center"/>
        </w:trPr>
        <w:tc>
          <w:tcPr>
            <w:tcW w:w="2694" w:type="dxa"/>
            <w:tcBorders>
              <w:top w:val="nil"/>
              <w:left w:val="nil"/>
              <w:bottom w:val="nil"/>
              <w:right w:val="nil"/>
            </w:tcBorders>
            <w:shd w:val="clear" w:color="auto" w:fill="auto"/>
            <w:vAlign w:val="center"/>
            <w:hideMark/>
          </w:tcPr>
          <w:p w14:paraId="6BDBD2DF" w14:textId="77777777" w:rsidR="0067329E" w:rsidRPr="00AE4E8D" w:rsidRDefault="0067329E" w:rsidP="00E8320E">
            <w:pPr>
              <w:rPr>
                <w:rFonts w:ascii="Times New Roman" w:hAnsi="Times New Roman"/>
                <w:b/>
                <w:color w:val="000000"/>
                <w:sz w:val="16"/>
                <w:lang w:val="es-ES"/>
              </w:rPr>
            </w:pPr>
            <w:r w:rsidRPr="00AE4E8D">
              <w:rPr>
                <w:rFonts w:ascii="Times New Roman" w:hAnsi="Times New Roman"/>
                <w:b/>
                <w:color w:val="000000"/>
                <w:sz w:val="16"/>
                <w:lang w:val="es-ES"/>
              </w:rPr>
              <w:t>Liquidez</w:t>
            </w:r>
          </w:p>
        </w:tc>
        <w:tc>
          <w:tcPr>
            <w:tcW w:w="790" w:type="dxa"/>
            <w:tcBorders>
              <w:top w:val="nil"/>
              <w:left w:val="nil"/>
              <w:bottom w:val="nil"/>
              <w:right w:val="nil"/>
            </w:tcBorders>
            <w:shd w:val="clear" w:color="auto" w:fill="auto"/>
            <w:noWrap/>
            <w:vAlign w:val="center"/>
            <w:hideMark/>
          </w:tcPr>
          <w:p w14:paraId="6B35B01E"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05B25986"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6212F71"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225B9A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C4FE69A"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004E7EDC"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E657A63"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615183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224E953A"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3BBFA22B"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1BD2C21" w14:textId="77777777" w:rsidR="0067329E" w:rsidRPr="00AE4E8D" w:rsidRDefault="0067329E"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1152C608"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2F83E4CB" w14:textId="77777777" w:rsidR="0067329E" w:rsidRPr="00AE4E8D" w:rsidRDefault="0067329E" w:rsidP="00E8320E">
            <w:pPr>
              <w:rPr>
                <w:rFonts w:ascii="Times New Roman" w:hAnsi="Times New Roman"/>
                <w:color w:val="000000"/>
                <w:sz w:val="16"/>
                <w:lang w:val="es-ES"/>
              </w:rPr>
            </w:pPr>
          </w:p>
        </w:tc>
      </w:tr>
      <w:tr w:rsidR="003B5193" w:rsidRPr="00AE4E8D" w14:paraId="5D547C98" w14:textId="77777777" w:rsidTr="00E8320E">
        <w:trPr>
          <w:trHeight w:val="340"/>
          <w:jc w:val="center"/>
        </w:trPr>
        <w:tc>
          <w:tcPr>
            <w:tcW w:w="2694" w:type="dxa"/>
            <w:tcBorders>
              <w:top w:val="nil"/>
              <w:left w:val="nil"/>
              <w:bottom w:val="nil"/>
              <w:right w:val="nil"/>
            </w:tcBorders>
            <w:shd w:val="clear" w:color="auto" w:fill="auto"/>
            <w:vAlign w:val="center"/>
            <w:hideMark/>
          </w:tcPr>
          <w:p w14:paraId="2D7D3DE0"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Disponibilidades más títulos públicos y privados como % de depósitos </w:t>
            </w:r>
          </w:p>
        </w:tc>
        <w:tc>
          <w:tcPr>
            <w:tcW w:w="790" w:type="dxa"/>
            <w:tcBorders>
              <w:top w:val="nil"/>
              <w:left w:val="nil"/>
              <w:bottom w:val="nil"/>
              <w:right w:val="nil"/>
            </w:tcBorders>
            <w:shd w:val="clear" w:color="auto" w:fill="auto"/>
            <w:noWrap/>
            <w:vAlign w:val="center"/>
            <w:hideMark/>
          </w:tcPr>
          <w:p w14:paraId="38BB8DE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44,06%</w:t>
            </w:r>
          </w:p>
        </w:tc>
        <w:tc>
          <w:tcPr>
            <w:tcW w:w="222" w:type="dxa"/>
            <w:tcBorders>
              <w:top w:val="nil"/>
              <w:left w:val="nil"/>
              <w:bottom w:val="nil"/>
              <w:right w:val="nil"/>
            </w:tcBorders>
            <w:shd w:val="clear" w:color="auto" w:fill="auto"/>
            <w:noWrap/>
            <w:vAlign w:val="center"/>
            <w:hideMark/>
          </w:tcPr>
          <w:p w14:paraId="0E405E8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676C83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36,56%</w:t>
            </w:r>
          </w:p>
        </w:tc>
        <w:tc>
          <w:tcPr>
            <w:tcW w:w="222" w:type="dxa"/>
            <w:tcBorders>
              <w:top w:val="nil"/>
              <w:left w:val="nil"/>
              <w:bottom w:val="nil"/>
              <w:right w:val="nil"/>
            </w:tcBorders>
            <w:shd w:val="clear" w:color="auto" w:fill="auto"/>
            <w:noWrap/>
            <w:vAlign w:val="center"/>
            <w:hideMark/>
          </w:tcPr>
          <w:p w14:paraId="25ECC7A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7B3C59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53,92%</w:t>
            </w:r>
          </w:p>
        </w:tc>
        <w:tc>
          <w:tcPr>
            <w:tcW w:w="222" w:type="dxa"/>
            <w:tcBorders>
              <w:top w:val="nil"/>
              <w:left w:val="nil"/>
              <w:bottom w:val="nil"/>
              <w:right w:val="nil"/>
            </w:tcBorders>
            <w:shd w:val="clear" w:color="auto" w:fill="auto"/>
            <w:noWrap/>
            <w:vAlign w:val="center"/>
            <w:hideMark/>
          </w:tcPr>
          <w:p w14:paraId="16B09BC9"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05524A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57,99%</w:t>
            </w:r>
          </w:p>
        </w:tc>
        <w:tc>
          <w:tcPr>
            <w:tcW w:w="222" w:type="dxa"/>
            <w:tcBorders>
              <w:top w:val="nil"/>
              <w:left w:val="nil"/>
              <w:bottom w:val="nil"/>
              <w:right w:val="nil"/>
            </w:tcBorders>
            <w:shd w:val="clear" w:color="auto" w:fill="auto"/>
            <w:noWrap/>
            <w:vAlign w:val="center"/>
            <w:hideMark/>
          </w:tcPr>
          <w:p w14:paraId="2D6B9161"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12B4FC0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64,19%</w:t>
            </w:r>
          </w:p>
        </w:tc>
        <w:tc>
          <w:tcPr>
            <w:tcW w:w="222" w:type="dxa"/>
            <w:tcBorders>
              <w:top w:val="nil"/>
              <w:left w:val="nil"/>
              <w:bottom w:val="nil"/>
              <w:right w:val="nil"/>
            </w:tcBorders>
            <w:shd w:val="clear" w:color="auto" w:fill="auto"/>
            <w:noWrap/>
            <w:vAlign w:val="bottom"/>
            <w:hideMark/>
          </w:tcPr>
          <w:p w14:paraId="44344399"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241215E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48,17%</w:t>
            </w:r>
          </w:p>
        </w:tc>
        <w:tc>
          <w:tcPr>
            <w:tcW w:w="256" w:type="dxa"/>
            <w:tcBorders>
              <w:top w:val="nil"/>
              <w:left w:val="nil"/>
              <w:bottom w:val="nil"/>
              <w:right w:val="nil"/>
            </w:tcBorders>
            <w:shd w:val="clear" w:color="auto" w:fill="auto"/>
            <w:noWrap/>
            <w:vAlign w:val="bottom"/>
          </w:tcPr>
          <w:p w14:paraId="64DE35A6"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3BBD042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57,93%</w:t>
            </w:r>
          </w:p>
        </w:tc>
      </w:tr>
      <w:tr w:rsidR="003B5193" w:rsidRPr="00AE4E8D" w14:paraId="50E8EB81" w14:textId="77777777" w:rsidTr="00E8320E">
        <w:trPr>
          <w:trHeight w:val="264"/>
          <w:jc w:val="center"/>
        </w:trPr>
        <w:tc>
          <w:tcPr>
            <w:tcW w:w="2694" w:type="dxa"/>
            <w:tcBorders>
              <w:top w:val="nil"/>
              <w:left w:val="nil"/>
              <w:bottom w:val="nil"/>
              <w:right w:val="nil"/>
            </w:tcBorders>
            <w:shd w:val="clear" w:color="auto" w:fill="auto"/>
            <w:vAlign w:val="center"/>
            <w:hideMark/>
          </w:tcPr>
          <w:p w14:paraId="0D3CB0CF"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Préstamos netos como % de depósitos </w:t>
            </w:r>
          </w:p>
        </w:tc>
        <w:tc>
          <w:tcPr>
            <w:tcW w:w="790" w:type="dxa"/>
            <w:tcBorders>
              <w:top w:val="nil"/>
              <w:left w:val="nil"/>
              <w:bottom w:val="nil"/>
              <w:right w:val="nil"/>
            </w:tcBorders>
            <w:shd w:val="clear" w:color="auto" w:fill="auto"/>
            <w:noWrap/>
            <w:vAlign w:val="center"/>
            <w:hideMark/>
          </w:tcPr>
          <w:p w14:paraId="6C57A3A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122,12%</w:t>
            </w:r>
          </w:p>
        </w:tc>
        <w:tc>
          <w:tcPr>
            <w:tcW w:w="222" w:type="dxa"/>
            <w:tcBorders>
              <w:top w:val="nil"/>
              <w:left w:val="nil"/>
              <w:bottom w:val="nil"/>
              <w:right w:val="nil"/>
            </w:tcBorders>
            <w:shd w:val="clear" w:color="auto" w:fill="auto"/>
            <w:noWrap/>
            <w:vAlign w:val="center"/>
            <w:hideMark/>
          </w:tcPr>
          <w:p w14:paraId="792E2F2E"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BD4FF1A"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120,65%</w:t>
            </w:r>
          </w:p>
        </w:tc>
        <w:tc>
          <w:tcPr>
            <w:tcW w:w="222" w:type="dxa"/>
            <w:tcBorders>
              <w:top w:val="nil"/>
              <w:left w:val="nil"/>
              <w:bottom w:val="nil"/>
              <w:right w:val="nil"/>
            </w:tcBorders>
            <w:shd w:val="clear" w:color="auto" w:fill="auto"/>
            <w:noWrap/>
            <w:vAlign w:val="center"/>
            <w:hideMark/>
          </w:tcPr>
          <w:p w14:paraId="354B915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F138B0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94,03%</w:t>
            </w:r>
          </w:p>
        </w:tc>
        <w:tc>
          <w:tcPr>
            <w:tcW w:w="222" w:type="dxa"/>
            <w:tcBorders>
              <w:top w:val="nil"/>
              <w:left w:val="nil"/>
              <w:bottom w:val="nil"/>
              <w:right w:val="nil"/>
            </w:tcBorders>
            <w:shd w:val="clear" w:color="auto" w:fill="auto"/>
            <w:noWrap/>
            <w:vAlign w:val="center"/>
            <w:hideMark/>
          </w:tcPr>
          <w:p w14:paraId="1BCA4066"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915584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99,89%</w:t>
            </w:r>
          </w:p>
        </w:tc>
        <w:tc>
          <w:tcPr>
            <w:tcW w:w="222" w:type="dxa"/>
            <w:tcBorders>
              <w:top w:val="nil"/>
              <w:left w:val="nil"/>
              <w:bottom w:val="nil"/>
              <w:right w:val="nil"/>
            </w:tcBorders>
            <w:shd w:val="clear" w:color="auto" w:fill="auto"/>
            <w:noWrap/>
            <w:vAlign w:val="center"/>
            <w:hideMark/>
          </w:tcPr>
          <w:p w14:paraId="02E78F3B"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086E873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143,</w:t>
            </w:r>
            <w:r w:rsidRPr="00AE4E8D">
              <w:rPr>
                <w:rFonts w:ascii="Times New Roman" w:hAnsi="Times New Roman"/>
                <w:color w:val="000000"/>
                <w:sz w:val="16"/>
                <w:szCs w:val="16"/>
                <w:lang w:val="es-ES"/>
              </w:rPr>
              <w:t>96</w:t>
            </w:r>
            <w:r w:rsidRPr="00AE4E8D">
              <w:rPr>
                <w:rFonts w:ascii="Times New Roman" w:hAnsi="Times New Roman"/>
                <w:color w:val="000000"/>
                <w:sz w:val="16"/>
                <w:lang w:val="es-ES"/>
              </w:rPr>
              <w:t>%</w:t>
            </w:r>
          </w:p>
        </w:tc>
        <w:tc>
          <w:tcPr>
            <w:tcW w:w="222" w:type="dxa"/>
            <w:tcBorders>
              <w:top w:val="nil"/>
              <w:left w:val="nil"/>
              <w:bottom w:val="nil"/>
              <w:right w:val="nil"/>
            </w:tcBorders>
            <w:shd w:val="clear" w:color="auto" w:fill="auto"/>
            <w:noWrap/>
            <w:vAlign w:val="bottom"/>
            <w:hideMark/>
          </w:tcPr>
          <w:p w14:paraId="13459549"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6F7CCF4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124,19%</w:t>
            </w:r>
          </w:p>
        </w:tc>
        <w:tc>
          <w:tcPr>
            <w:tcW w:w="256" w:type="dxa"/>
            <w:tcBorders>
              <w:top w:val="nil"/>
              <w:left w:val="nil"/>
              <w:bottom w:val="nil"/>
              <w:right w:val="nil"/>
            </w:tcBorders>
            <w:shd w:val="clear" w:color="auto" w:fill="auto"/>
            <w:noWrap/>
            <w:vAlign w:val="bottom"/>
          </w:tcPr>
          <w:p w14:paraId="2227AE9E"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6762B5E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157,62%</w:t>
            </w:r>
          </w:p>
        </w:tc>
      </w:tr>
      <w:tr w:rsidR="003B5193" w:rsidRPr="00AE4E8D" w14:paraId="11ABF3F7" w14:textId="77777777" w:rsidTr="00E8320E">
        <w:trPr>
          <w:trHeight w:val="264"/>
          <w:jc w:val="center"/>
        </w:trPr>
        <w:tc>
          <w:tcPr>
            <w:tcW w:w="2694" w:type="dxa"/>
            <w:tcBorders>
              <w:top w:val="nil"/>
              <w:left w:val="nil"/>
              <w:bottom w:val="nil"/>
              <w:right w:val="nil"/>
            </w:tcBorders>
            <w:shd w:val="clear" w:color="auto" w:fill="auto"/>
            <w:vAlign w:val="center"/>
            <w:hideMark/>
          </w:tcPr>
          <w:p w14:paraId="129FA17D" w14:textId="77777777" w:rsidR="0067329E" w:rsidRPr="00AE4E8D" w:rsidRDefault="0067329E" w:rsidP="00E8320E">
            <w:pPr>
              <w:rPr>
                <w:rFonts w:ascii="Times New Roman" w:hAnsi="Times New Roman"/>
                <w:b/>
                <w:color w:val="000000"/>
                <w:sz w:val="16"/>
                <w:lang w:val="es-ES"/>
              </w:rPr>
            </w:pPr>
            <w:r w:rsidRPr="00AE4E8D">
              <w:rPr>
                <w:rFonts w:ascii="Times New Roman" w:hAnsi="Times New Roman"/>
                <w:b/>
                <w:color w:val="000000"/>
                <w:sz w:val="16"/>
                <w:lang w:val="es-ES"/>
              </w:rPr>
              <w:t>Calidad de Cartera</w:t>
            </w:r>
          </w:p>
        </w:tc>
        <w:tc>
          <w:tcPr>
            <w:tcW w:w="790" w:type="dxa"/>
            <w:tcBorders>
              <w:top w:val="nil"/>
              <w:left w:val="nil"/>
              <w:bottom w:val="nil"/>
              <w:right w:val="nil"/>
            </w:tcBorders>
            <w:shd w:val="clear" w:color="auto" w:fill="auto"/>
            <w:noWrap/>
            <w:vAlign w:val="center"/>
            <w:hideMark/>
          </w:tcPr>
          <w:p w14:paraId="1102E1EC"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36A1E65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C0E55A5"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4CF88411"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4EF5405"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1C772779"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23216EA"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76A5CD32"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1BDEE39"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7E68F2AB"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1B3294E4" w14:textId="77777777" w:rsidR="0067329E" w:rsidRPr="00AE4E8D" w:rsidRDefault="0067329E"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7E86B196"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1057C1A1" w14:textId="77777777" w:rsidR="0067329E" w:rsidRPr="00AE4E8D" w:rsidRDefault="0067329E" w:rsidP="00E8320E">
            <w:pPr>
              <w:rPr>
                <w:rFonts w:ascii="Times New Roman" w:hAnsi="Times New Roman"/>
                <w:color w:val="000000"/>
                <w:sz w:val="16"/>
                <w:lang w:val="es-ES"/>
              </w:rPr>
            </w:pPr>
          </w:p>
        </w:tc>
      </w:tr>
      <w:tr w:rsidR="003B5193" w:rsidRPr="00AE4E8D" w14:paraId="28C7D8A1" w14:textId="77777777" w:rsidTr="00E8320E">
        <w:trPr>
          <w:trHeight w:val="264"/>
          <w:jc w:val="center"/>
        </w:trPr>
        <w:tc>
          <w:tcPr>
            <w:tcW w:w="2694" w:type="dxa"/>
            <w:tcBorders>
              <w:top w:val="nil"/>
              <w:left w:val="nil"/>
              <w:bottom w:val="nil"/>
              <w:right w:val="nil"/>
            </w:tcBorders>
            <w:shd w:val="clear" w:color="auto" w:fill="auto"/>
            <w:vAlign w:val="center"/>
            <w:hideMark/>
          </w:tcPr>
          <w:p w14:paraId="0CBB003C"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Préstamos en situación irregular como % de préstamos totales </w:t>
            </w:r>
          </w:p>
        </w:tc>
        <w:tc>
          <w:tcPr>
            <w:tcW w:w="790" w:type="dxa"/>
            <w:tcBorders>
              <w:top w:val="nil"/>
              <w:left w:val="nil"/>
              <w:bottom w:val="nil"/>
              <w:right w:val="nil"/>
            </w:tcBorders>
            <w:shd w:val="clear" w:color="auto" w:fill="auto"/>
            <w:noWrap/>
            <w:vAlign w:val="center"/>
            <w:hideMark/>
          </w:tcPr>
          <w:p w14:paraId="7D04A56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2,31%</w:t>
            </w:r>
          </w:p>
        </w:tc>
        <w:tc>
          <w:tcPr>
            <w:tcW w:w="222" w:type="dxa"/>
            <w:tcBorders>
              <w:top w:val="nil"/>
              <w:left w:val="nil"/>
              <w:bottom w:val="nil"/>
              <w:right w:val="nil"/>
            </w:tcBorders>
            <w:shd w:val="clear" w:color="auto" w:fill="auto"/>
            <w:noWrap/>
            <w:vAlign w:val="center"/>
            <w:hideMark/>
          </w:tcPr>
          <w:p w14:paraId="364B7089"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729101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2,17%</w:t>
            </w:r>
          </w:p>
        </w:tc>
        <w:tc>
          <w:tcPr>
            <w:tcW w:w="222" w:type="dxa"/>
            <w:tcBorders>
              <w:top w:val="nil"/>
              <w:left w:val="nil"/>
              <w:bottom w:val="nil"/>
              <w:right w:val="nil"/>
            </w:tcBorders>
            <w:shd w:val="clear" w:color="auto" w:fill="auto"/>
            <w:noWrap/>
            <w:vAlign w:val="center"/>
            <w:hideMark/>
          </w:tcPr>
          <w:p w14:paraId="4D5BE1EE"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8F7468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2,34%</w:t>
            </w:r>
          </w:p>
        </w:tc>
        <w:tc>
          <w:tcPr>
            <w:tcW w:w="222" w:type="dxa"/>
            <w:tcBorders>
              <w:top w:val="nil"/>
              <w:left w:val="nil"/>
              <w:bottom w:val="nil"/>
              <w:right w:val="nil"/>
            </w:tcBorders>
            <w:shd w:val="clear" w:color="auto" w:fill="auto"/>
            <w:noWrap/>
            <w:vAlign w:val="center"/>
            <w:hideMark/>
          </w:tcPr>
          <w:p w14:paraId="215A2F98"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BE09FA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1,98%</w:t>
            </w:r>
          </w:p>
        </w:tc>
        <w:tc>
          <w:tcPr>
            <w:tcW w:w="222" w:type="dxa"/>
            <w:tcBorders>
              <w:top w:val="nil"/>
              <w:left w:val="nil"/>
              <w:bottom w:val="nil"/>
              <w:right w:val="nil"/>
            </w:tcBorders>
            <w:shd w:val="clear" w:color="auto" w:fill="auto"/>
            <w:noWrap/>
            <w:vAlign w:val="center"/>
            <w:hideMark/>
          </w:tcPr>
          <w:p w14:paraId="135A984D"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15917D6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2,66%</w:t>
            </w:r>
          </w:p>
        </w:tc>
        <w:tc>
          <w:tcPr>
            <w:tcW w:w="222" w:type="dxa"/>
            <w:tcBorders>
              <w:top w:val="nil"/>
              <w:left w:val="nil"/>
              <w:bottom w:val="nil"/>
              <w:right w:val="nil"/>
            </w:tcBorders>
            <w:shd w:val="clear" w:color="auto" w:fill="auto"/>
            <w:noWrap/>
            <w:vAlign w:val="bottom"/>
            <w:hideMark/>
          </w:tcPr>
          <w:p w14:paraId="098440BF"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31B4839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2,13%</w:t>
            </w:r>
          </w:p>
        </w:tc>
        <w:tc>
          <w:tcPr>
            <w:tcW w:w="256" w:type="dxa"/>
            <w:tcBorders>
              <w:top w:val="nil"/>
              <w:left w:val="nil"/>
              <w:bottom w:val="nil"/>
              <w:right w:val="nil"/>
            </w:tcBorders>
            <w:shd w:val="clear" w:color="auto" w:fill="auto"/>
            <w:noWrap/>
            <w:vAlign w:val="bottom"/>
          </w:tcPr>
          <w:p w14:paraId="75289456"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30CFA3B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2,94%</w:t>
            </w:r>
          </w:p>
        </w:tc>
      </w:tr>
      <w:tr w:rsidR="003B5193" w:rsidRPr="00AE4E8D" w14:paraId="4006487D" w14:textId="77777777" w:rsidTr="00E8320E">
        <w:trPr>
          <w:trHeight w:val="340"/>
          <w:jc w:val="center"/>
        </w:trPr>
        <w:tc>
          <w:tcPr>
            <w:tcW w:w="2694" w:type="dxa"/>
            <w:tcBorders>
              <w:top w:val="nil"/>
              <w:left w:val="nil"/>
              <w:bottom w:val="nil"/>
              <w:right w:val="nil"/>
            </w:tcBorders>
            <w:shd w:val="clear" w:color="auto" w:fill="auto"/>
            <w:vAlign w:val="center"/>
            <w:hideMark/>
          </w:tcPr>
          <w:p w14:paraId="15CE60B9"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Préstamos de consumo en situación irregular como % de préstamos de consumo totales (10) </w:t>
            </w:r>
          </w:p>
        </w:tc>
        <w:tc>
          <w:tcPr>
            <w:tcW w:w="790" w:type="dxa"/>
            <w:tcBorders>
              <w:top w:val="nil"/>
              <w:left w:val="nil"/>
              <w:bottom w:val="nil"/>
              <w:right w:val="nil"/>
            </w:tcBorders>
            <w:shd w:val="clear" w:color="auto" w:fill="auto"/>
            <w:noWrap/>
            <w:vAlign w:val="center"/>
            <w:hideMark/>
          </w:tcPr>
          <w:p w14:paraId="2961509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3,20%</w:t>
            </w:r>
          </w:p>
        </w:tc>
        <w:tc>
          <w:tcPr>
            <w:tcW w:w="222" w:type="dxa"/>
            <w:tcBorders>
              <w:top w:val="nil"/>
              <w:left w:val="nil"/>
              <w:bottom w:val="nil"/>
              <w:right w:val="nil"/>
            </w:tcBorders>
            <w:shd w:val="clear" w:color="auto" w:fill="auto"/>
            <w:noWrap/>
            <w:vAlign w:val="center"/>
            <w:hideMark/>
          </w:tcPr>
          <w:p w14:paraId="155D2086"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0B5779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3,15%</w:t>
            </w:r>
          </w:p>
        </w:tc>
        <w:tc>
          <w:tcPr>
            <w:tcW w:w="222" w:type="dxa"/>
            <w:tcBorders>
              <w:top w:val="nil"/>
              <w:left w:val="nil"/>
              <w:bottom w:val="nil"/>
              <w:right w:val="nil"/>
            </w:tcBorders>
            <w:shd w:val="clear" w:color="auto" w:fill="auto"/>
            <w:noWrap/>
            <w:vAlign w:val="center"/>
            <w:hideMark/>
          </w:tcPr>
          <w:p w14:paraId="3CB9BD90"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CAA11C2"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3,41%</w:t>
            </w:r>
          </w:p>
        </w:tc>
        <w:tc>
          <w:tcPr>
            <w:tcW w:w="222" w:type="dxa"/>
            <w:tcBorders>
              <w:top w:val="nil"/>
              <w:left w:val="nil"/>
              <w:bottom w:val="nil"/>
              <w:right w:val="nil"/>
            </w:tcBorders>
            <w:shd w:val="clear" w:color="auto" w:fill="auto"/>
            <w:noWrap/>
            <w:vAlign w:val="center"/>
            <w:hideMark/>
          </w:tcPr>
          <w:p w14:paraId="63780E26"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0FC3BD5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2,58%</w:t>
            </w:r>
          </w:p>
        </w:tc>
        <w:tc>
          <w:tcPr>
            <w:tcW w:w="222" w:type="dxa"/>
            <w:tcBorders>
              <w:top w:val="nil"/>
              <w:left w:val="nil"/>
              <w:bottom w:val="nil"/>
              <w:right w:val="nil"/>
            </w:tcBorders>
            <w:shd w:val="clear" w:color="auto" w:fill="auto"/>
            <w:noWrap/>
            <w:vAlign w:val="center"/>
            <w:hideMark/>
          </w:tcPr>
          <w:p w14:paraId="634498C3"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9A553F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3,78%</w:t>
            </w:r>
          </w:p>
        </w:tc>
        <w:tc>
          <w:tcPr>
            <w:tcW w:w="222" w:type="dxa"/>
            <w:tcBorders>
              <w:top w:val="nil"/>
              <w:left w:val="nil"/>
              <w:bottom w:val="nil"/>
              <w:right w:val="nil"/>
            </w:tcBorders>
            <w:shd w:val="clear" w:color="auto" w:fill="auto"/>
            <w:noWrap/>
            <w:vAlign w:val="bottom"/>
            <w:hideMark/>
          </w:tcPr>
          <w:p w14:paraId="369336D9"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48ABEFE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3,05%</w:t>
            </w:r>
          </w:p>
        </w:tc>
        <w:tc>
          <w:tcPr>
            <w:tcW w:w="256" w:type="dxa"/>
            <w:tcBorders>
              <w:top w:val="nil"/>
              <w:left w:val="nil"/>
              <w:bottom w:val="nil"/>
              <w:right w:val="nil"/>
            </w:tcBorders>
            <w:shd w:val="clear" w:color="auto" w:fill="auto"/>
            <w:noWrap/>
            <w:vAlign w:val="bottom"/>
          </w:tcPr>
          <w:p w14:paraId="07207A25"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03FA9A8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4,42%</w:t>
            </w:r>
          </w:p>
        </w:tc>
      </w:tr>
      <w:tr w:rsidR="003B5193" w:rsidRPr="00AE4E8D" w14:paraId="097C4798" w14:textId="77777777" w:rsidTr="00E8320E">
        <w:trPr>
          <w:trHeight w:val="340"/>
          <w:jc w:val="center"/>
        </w:trPr>
        <w:tc>
          <w:tcPr>
            <w:tcW w:w="2694" w:type="dxa"/>
            <w:tcBorders>
              <w:top w:val="nil"/>
              <w:left w:val="nil"/>
              <w:bottom w:val="nil"/>
              <w:right w:val="nil"/>
            </w:tcBorders>
            <w:shd w:val="clear" w:color="auto" w:fill="auto"/>
            <w:vAlign w:val="center"/>
            <w:hideMark/>
          </w:tcPr>
          <w:p w14:paraId="4C17C664"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Préstamos comerciales en situación irregular como % de préstamos comerciales totales (11) </w:t>
            </w:r>
          </w:p>
        </w:tc>
        <w:tc>
          <w:tcPr>
            <w:tcW w:w="790" w:type="dxa"/>
            <w:tcBorders>
              <w:top w:val="nil"/>
              <w:left w:val="nil"/>
              <w:bottom w:val="nil"/>
              <w:right w:val="nil"/>
            </w:tcBorders>
            <w:shd w:val="clear" w:color="auto" w:fill="auto"/>
            <w:noWrap/>
            <w:vAlign w:val="center"/>
            <w:hideMark/>
          </w:tcPr>
          <w:p w14:paraId="4722C225"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0,57%</w:t>
            </w:r>
          </w:p>
        </w:tc>
        <w:tc>
          <w:tcPr>
            <w:tcW w:w="222" w:type="dxa"/>
            <w:tcBorders>
              <w:top w:val="nil"/>
              <w:left w:val="nil"/>
              <w:bottom w:val="nil"/>
              <w:right w:val="nil"/>
            </w:tcBorders>
            <w:shd w:val="clear" w:color="auto" w:fill="auto"/>
            <w:noWrap/>
            <w:vAlign w:val="center"/>
            <w:hideMark/>
          </w:tcPr>
          <w:p w14:paraId="1B7EDAC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C9C269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0,51%</w:t>
            </w:r>
          </w:p>
        </w:tc>
        <w:tc>
          <w:tcPr>
            <w:tcW w:w="222" w:type="dxa"/>
            <w:tcBorders>
              <w:top w:val="nil"/>
              <w:left w:val="nil"/>
              <w:bottom w:val="nil"/>
              <w:right w:val="nil"/>
            </w:tcBorders>
            <w:shd w:val="clear" w:color="auto" w:fill="auto"/>
            <w:noWrap/>
            <w:vAlign w:val="center"/>
            <w:hideMark/>
          </w:tcPr>
          <w:p w14:paraId="3D8132F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08D0BE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0,58%</w:t>
            </w:r>
          </w:p>
        </w:tc>
        <w:tc>
          <w:tcPr>
            <w:tcW w:w="222" w:type="dxa"/>
            <w:tcBorders>
              <w:top w:val="nil"/>
              <w:left w:val="nil"/>
              <w:bottom w:val="nil"/>
              <w:right w:val="nil"/>
            </w:tcBorders>
            <w:shd w:val="clear" w:color="auto" w:fill="auto"/>
            <w:noWrap/>
            <w:vAlign w:val="center"/>
            <w:hideMark/>
          </w:tcPr>
          <w:p w14:paraId="5E0EF63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F08462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0,67%</w:t>
            </w:r>
          </w:p>
        </w:tc>
        <w:tc>
          <w:tcPr>
            <w:tcW w:w="222" w:type="dxa"/>
            <w:tcBorders>
              <w:top w:val="nil"/>
              <w:left w:val="nil"/>
              <w:bottom w:val="nil"/>
              <w:right w:val="nil"/>
            </w:tcBorders>
            <w:shd w:val="clear" w:color="auto" w:fill="auto"/>
            <w:noWrap/>
            <w:vAlign w:val="center"/>
            <w:hideMark/>
          </w:tcPr>
          <w:p w14:paraId="7B789D3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5D34067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0,25%</w:t>
            </w:r>
          </w:p>
        </w:tc>
        <w:tc>
          <w:tcPr>
            <w:tcW w:w="222" w:type="dxa"/>
            <w:tcBorders>
              <w:top w:val="nil"/>
              <w:left w:val="nil"/>
              <w:bottom w:val="nil"/>
              <w:right w:val="nil"/>
            </w:tcBorders>
            <w:shd w:val="clear" w:color="auto" w:fill="auto"/>
            <w:noWrap/>
            <w:vAlign w:val="bottom"/>
            <w:hideMark/>
          </w:tcPr>
          <w:p w14:paraId="2FE8178F"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75DCA21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0,28%</w:t>
            </w:r>
          </w:p>
        </w:tc>
        <w:tc>
          <w:tcPr>
            <w:tcW w:w="256" w:type="dxa"/>
            <w:tcBorders>
              <w:top w:val="nil"/>
              <w:left w:val="nil"/>
              <w:bottom w:val="nil"/>
              <w:right w:val="nil"/>
            </w:tcBorders>
            <w:shd w:val="clear" w:color="auto" w:fill="auto"/>
            <w:noWrap/>
            <w:vAlign w:val="bottom"/>
          </w:tcPr>
          <w:p w14:paraId="2C441238"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4A7BC68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0,08%</w:t>
            </w:r>
          </w:p>
        </w:tc>
      </w:tr>
      <w:tr w:rsidR="003B5193" w:rsidRPr="00AE4E8D" w14:paraId="194A7C8C" w14:textId="77777777" w:rsidTr="00E8320E">
        <w:trPr>
          <w:trHeight w:val="264"/>
          <w:jc w:val="center"/>
        </w:trPr>
        <w:tc>
          <w:tcPr>
            <w:tcW w:w="2694" w:type="dxa"/>
            <w:tcBorders>
              <w:top w:val="nil"/>
              <w:left w:val="nil"/>
              <w:bottom w:val="nil"/>
              <w:right w:val="nil"/>
            </w:tcBorders>
            <w:shd w:val="clear" w:color="auto" w:fill="auto"/>
            <w:vAlign w:val="center"/>
            <w:hideMark/>
          </w:tcPr>
          <w:p w14:paraId="7FD3532E"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Previsiones como % de préstamos totales </w:t>
            </w:r>
          </w:p>
        </w:tc>
        <w:tc>
          <w:tcPr>
            <w:tcW w:w="790" w:type="dxa"/>
            <w:tcBorders>
              <w:top w:val="nil"/>
              <w:left w:val="nil"/>
              <w:bottom w:val="nil"/>
              <w:right w:val="nil"/>
            </w:tcBorders>
            <w:shd w:val="clear" w:color="auto" w:fill="auto"/>
            <w:noWrap/>
            <w:vAlign w:val="center"/>
            <w:hideMark/>
          </w:tcPr>
          <w:p w14:paraId="692AF80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2,37%</w:t>
            </w:r>
          </w:p>
        </w:tc>
        <w:tc>
          <w:tcPr>
            <w:tcW w:w="222" w:type="dxa"/>
            <w:tcBorders>
              <w:top w:val="nil"/>
              <w:left w:val="nil"/>
              <w:bottom w:val="nil"/>
              <w:right w:val="nil"/>
            </w:tcBorders>
            <w:shd w:val="clear" w:color="auto" w:fill="auto"/>
            <w:noWrap/>
            <w:vAlign w:val="center"/>
            <w:hideMark/>
          </w:tcPr>
          <w:p w14:paraId="307B241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F24CC5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2,20%</w:t>
            </w:r>
          </w:p>
        </w:tc>
        <w:tc>
          <w:tcPr>
            <w:tcW w:w="222" w:type="dxa"/>
            <w:tcBorders>
              <w:top w:val="nil"/>
              <w:left w:val="nil"/>
              <w:bottom w:val="nil"/>
              <w:right w:val="nil"/>
            </w:tcBorders>
            <w:shd w:val="clear" w:color="auto" w:fill="auto"/>
            <w:noWrap/>
            <w:vAlign w:val="center"/>
            <w:hideMark/>
          </w:tcPr>
          <w:p w14:paraId="41BF1538"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5A9DDE6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2,24%</w:t>
            </w:r>
          </w:p>
        </w:tc>
        <w:tc>
          <w:tcPr>
            <w:tcW w:w="222" w:type="dxa"/>
            <w:tcBorders>
              <w:top w:val="nil"/>
              <w:left w:val="nil"/>
              <w:bottom w:val="nil"/>
              <w:right w:val="nil"/>
            </w:tcBorders>
            <w:shd w:val="clear" w:color="auto" w:fill="auto"/>
            <w:noWrap/>
            <w:vAlign w:val="center"/>
            <w:hideMark/>
          </w:tcPr>
          <w:p w14:paraId="756B2109"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9DF58D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2,09%</w:t>
            </w:r>
          </w:p>
        </w:tc>
        <w:tc>
          <w:tcPr>
            <w:tcW w:w="222" w:type="dxa"/>
            <w:tcBorders>
              <w:top w:val="nil"/>
              <w:left w:val="nil"/>
              <w:bottom w:val="nil"/>
              <w:right w:val="nil"/>
            </w:tcBorders>
            <w:shd w:val="clear" w:color="auto" w:fill="auto"/>
            <w:noWrap/>
            <w:vAlign w:val="center"/>
            <w:hideMark/>
          </w:tcPr>
          <w:p w14:paraId="78612D90"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431DE34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2,49%</w:t>
            </w:r>
          </w:p>
        </w:tc>
        <w:tc>
          <w:tcPr>
            <w:tcW w:w="222" w:type="dxa"/>
            <w:tcBorders>
              <w:top w:val="nil"/>
              <w:left w:val="nil"/>
              <w:bottom w:val="nil"/>
              <w:right w:val="nil"/>
            </w:tcBorders>
            <w:shd w:val="clear" w:color="auto" w:fill="auto"/>
            <w:noWrap/>
            <w:vAlign w:val="bottom"/>
            <w:hideMark/>
          </w:tcPr>
          <w:p w14:paraId="6CA3E47D"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6681923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2,12%</w:t>
            </w:r>
          </w:p>
        </w:tc>
        <w:tc>
          <w:tcPr>
            <w:tcW w:w="256" w:type="dxa"/>
            <w:tcBorders>
              <w:top w:val="nil"/>
              <w:left w:val="nil"/>
              <w:bottom w:val="nil"/>
              <w:right w:val="nil"/>
            </w:tcBorders>
            <w:shd w:val="clear" w:color="auto" w:fill="auto"/>
            <w:noWrap/>
            <w:vAlign w:val="bottom"/>
          </w:tcPr>
          <w:p w14:paraId="13D3E755"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435E720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2,45%</w:t>
            </w:r>
          </w:p>
        </w:tc>
      </w:tr>
      <w:tr w:rsidR="003B5193" w:rsidRPr="00AE4E8D" w14:paraId="00EBF858" w14:textId="77777777" w:rsidTr="00E8320E">
        <w:trPr>
          <w:trHeight w:val="264"/>
          <w:jc w:val="center"/>
        </w:trPr>
        <w:tc>
          <w:tcPr>
            <w:tcW w:w="2694" w:type="dxa"/>
            <w:tcBorders>
              <w:top w:val="nil"/>
              <w:left w:val="nil"/>
              <w:bottom w:val="nil"/>
              <w:right w:val="nil"/>
            </w:tcBorders>
            <w:shd w:val="clear" w:color="auto" w:fill="auto"/>
            <w:vAlign w:val="center"/>
            <w:hideMark/>
          </w:tcPr>
          <w:p w14:paraId="5998CB31"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Previsiones como % de préstamos en situación irregular (12) </w:t>
            </w:r>
          </w:p>
        </w:tc>
        <w:tc>
          <w:tcPr>
            <w:tcW w:w="790" w:type="dxa"/>
            <w:tcBorders>
              <w:top w:val="nil"/>
              <w:left w:val="nil"/>
              <w:bottom w:val="nil"/>
              <w:right w:val="nil"/>
            </w:tcBorders>
            <w:shd w:val="clear" w:color="auto" w:fill="auto"/>
            <w:noWrap/>
            <w:vAlign w:val="center"/>
            <w:hideMark/>
          </w:tcPr>
          <w:p w14:paraId="55B809D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102,64%</w:t>
            </w:r>
          </w:p>
        </w:tc>
        <w:tc>
          <w:tcPr>
            <w:tcW w:w="222" w:type="dxa"/>
            <w:tcBorders>
              <w:top w:val="nil"/>
              <w:left w:val="nil"/>
              <w:bottom w:val="nil"/>
              <w:right w:val="nil"/>
            </w:tcBorders>
            <w:shd w:val="clear" w:color="auto" w:fill="auto"/>
            <w:noWrap/>
            <w:vAlign w:val="center"/>
            <w:hideMark/>
          </w:tcPr>
          <w:p w14:paraId="105D69CD"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AB08CE6"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101,62%</w:t>
            </w:r>
          </w:p>
        </w:tc>
        <w:tc>
          <w:tcPr>
            <w:tcW w:w="222" w:type="dxa"/>
            <w:tcBorders>
              <w:top w:val="nil"/>
              <w:left w:val="nil"/>
              <w:bottom w:val="nil"/>
              <w:right w:val="nil"/>
            </w:tcBorders>
            <w:shd w:val="clear" w:color="auto" w:fill="auto"/>
            <w:noWrap/>
            <w:vAlign w:val="center"/>
            <w:hideMark/>
          </w:tcPr>
          <w:p w14:paraId="121A52F0"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6EC6C93"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95,89%</w:t>
            </w:r>
          </w:p>
        </w:tc>
        <w:tc>
          <w:tcPr>
            <w:tcW w:w="222" w:type="dxa"/>
            <w:tcBorders>
              <w:top w:val="nil"/>
              <w:left w:val="nil"/>
              <w:bottom w:val="nil"/>
              <w:right w:val="nil"/>
            </w:tcBorders>
            <w:shd w:val="clear" w:color="auto" w:fill="auto"/>
            <w:noWrap/>
            <w:vAlign w:val="center"/>
            <w:hideMark/>
          </w:tcPr>
          <w:p w14:paraId="070DFD6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EBEFC2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105,84%</w:t>
            </w:r>
          </w:p>
        </w:tc>
        <w:tc>
          <w:tcPr>
            <w:tcW w:w="222" w:type="dxa"/>
            <w:tcBorders>
              <w:top w:val="nil"/>
              <w:left w:val="nil"/>
              <w:bottom w:val="nil"/>
              <w:right w:val="nil"/>
            </w:tcBorders>
            <w:shd w:val="clear" w:color="auto" w:fill="auto"/>
            <w:noWrap/>
            <w:vAlign w:val="center"/>
            <w:hideMark/>
          </w:tcPr>
          <w:p w14:paraId="3FDC7D06"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08B517A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89,19%</w:t>
            </w:r>
          </w:p>
        </w:tc>
        <w:tc>
          <w:tcPr>
            <w:tcW w:w="222" w:type="dxa"/>
            <w:tcBorders>
              <w:top w:val="nil"/>
              <w:left w:val="nil"/>
              <w:bottom w:val="nil"/>
              <w:right w:val="nil"/>
            </w:tcBorders>
            <w:shd w:val="clear" w:color="auto" w:fill="auto"/>
            <w:noWrap/>
            <w:vAlign w:val="bottom"/>
            <w:hideMark/>
          </w:tcPr>
          <w:p w14:paraId="2658947E"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2F457C2B"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99,58%</w:t>
            </w:r>
          </w:p>
        </w:tc>
        <w:tc>
          <w:tcPr>
            <w:tcW w:w="256" w:type="dxa"/>
            <w:tcBorders>
              <w:top w:val="nil"/>
              <w:left w:val="nil"/>
              <w:bottom w:val="nil"/>
              <w:right w:val="nil"/>
            </w:tcBorders>
            <w:shd w:val="clear" w:color="auto" w:fill="auto"/>
            <w:noWrap/>
            <w:vAlign w:val="bottom"/>
          </w:tcPr>
          <w:p w14:paraId="17B941A9"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3918A12C"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83,22%</w:t>
            </w:r>
          </w:p>
        </w:tc>
      </w:tr>
      <w:tr w:rsidR="003B5193" w:rsidRPr="00AE4E8D" w14:paraId="5C009B62" w14:textId="77777777" w:rsidTr="00E8320E">
        <w:trPr>
          <w:trHeight w:val="264"/>
          <w:jc w:val="center"/>
        </w:trPr>
        <w:tc>
          <w:tcPr>
            <w:tcW w:w="2694" w:type="dxa"/>
            <w:tcBorders>
              <w:top w:val="nil"/>
              <w:left w:val="nil"/>
              <w:bottom w:val="nil"/>
              <w:right w:val="nil"/>
            </w:tcBorders>
            <w:shd w:val="clear" w:color="auto" w:fill="auto"/>
            <w:vAlign w:val="center"/>
            <w:hideMark/>
          </w:tcPr>
          <w:p w14:paraId="77A2F5E6" w14:textId="77777777" w:rsidR="0067329E" w:rsidRPr="00AE4E8D" w:rsidRDefault="0067329E" w:rsidP="00E8320E">
            <w:pPr>
              <w:rPr>
                <w:rFonts w:ascii="Times New Roman" w:hAnsi="Times New Roman"/>
                <w:b/>
                <w:color w:val="000000"/>
                <w:sz w:val="16"/>
                <w:lang w:val="es-ES"/>
              </w:rPr>
            </w:pPr>
            <w:r w:rsidRPr="00AE4E8D">
              <w:rPr>
                <w:rFonts w:ascii="Times New Roman" w:hAnsi="Times New Roman"/>
                <w:b/>
                <w:color w:val="000000"/>
                <w:sz w:val="16"/>
                <w:lang w:val="es-ES"/>
              </w:rPr>
              <w:t>INFORMACIÓN ADICIONAL</w:t>
            </w:r>
          </w:p>
        </w:tc>
        <w:tc>
          <w:tcPr>
            <w:tcW w:w="790" w:type="dxa"/>
            <w:tcBorders>
              <w:top w:val="nil"/>
              <w:left w:val="nil"/>
              <w:bottom w:val="nil"/>
              <w:right w:val="nil"/>
            </w:tcBorders>
            <w:shd w:val="clear" w:color="auto" w:fill="auto"/>
            <w:noWrap/>
            <w:vAlign w:val="center"/>
            <w:hideMark/>
          </w:tcPr>
          <w:p w14:paraId="41C05FA8"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0C229304"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256EB1E8"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22ABE6A0"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37BB5DB2"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2A0639C7"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4BE33F0A"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7F641DD"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6D49B651"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3FE42501"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2E6C80A4" w14:textId="77777777" w:rsidR="0067329E" w:rsidRPr="00AE4E8D" w:rsidRDefault="0067329E"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138FCEED"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0F02082F" w14:textId="77777777" w:rsidR="0067329E" w:rsidRPr="00AE4E8D" w:rsidRDefault="0067329E" w:rsidP="00E8320E">
            <w:pPr>
              <w:rPr>
                <w:rFonts w:ascii="Times New Roman" w:hAnsi="Times New Roman"/>
                <w:color w:val="000000"/>
                <w:sz w:val="16"/>
                <w:lang w:val="es-ES"/>
              </w:rPr>
            </w:pPr>
          </w:p>
        </w:tc>
      </w:tr>
      <w:tr w:rsidR="003B5193" w:rsidRPr="00AE4E8D" w14:paraId="054C503E" w14:textId="77777777" w:rsidTr="00E8320E">
        <w:trPr>
          <w:trHeight w:val="264"/>
          <w:jc w:val="center"/>
        </w:trPr>
        <w:tc>
          <w:tcPr>
            <w:tcW w:w="2694" w:type="dxa"/>
            <w:tcBorders>
              <w:top w:val="nil"/>
              <w:left w:val="nil"/>
              <w:bottom w:val="nil"/>
              <w:right w:val="nil"/>
            </w:tcBorders>
            <w:shd w:val="clear" w:color="auto" w:fill="auto"/>
            <w:vAlign w:val="center"/>
            <w:hideMark/>
          </w:tcPr>
          <w:p w14:paraId="1E55F42B" w14:textId="77777777" w:rsidR="0067329E" w:rsidRPr="00AE4E8D" w:rsidRDefault="0067329E" w:rsidP="00E8320E">
            <w:pPr>
              <w:rPr>
                <w:rFonts w:ascii="Times New Roman" w:hAnsi="Times New Roman"/>
                <w:b/>
                <w:color w:val="000000"/>
                <w:sz w:val="16"/>
                <w:lang w:val="es-ES"/>
              </w:rPr>
            </w:pPr>
            <w:r w:rsidRPr="00AE4E8D">
              <w:rPr>
                <w:rFonts w:ascii="Times New Roman" w:hAnsi="Times New Roman"/>
                <w:b/>
                <w:color w:val="000000"/>
                <w:sz w:val="16"/>
                <w:lang w:val="es-ES"/>
              </w:rPr>
              <w:t>Operaciones</w:t>
            </w:r>
          </w:p>
        </w:tc>
        <w:tc>
          <w:tcPr>
            <w:tcW w:w="790" w:type="dxa"/>
            <w:tcBorders>
              <w:top w:val="nil"/>
              <w:left w:val="nil"/>
              <w:bottom w:val="nil"/>
              <w:right w:val="nil"/>
            </w:tcBorders>
            <w:shd w:val="clear" w:color="auto" w:fill="auto"/>
            <w:noWrap/>
            <w:vAlign w:val="center"/>
            <w:hideMark/>
          </w:tcPr>
          <w:p w14:paraId="6284C8DF"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1B1AF62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7461A8D4"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6196C07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6F630513"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44C6944D"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noWrap/>
            <w:vAlign w:val="center"/>
            <w:hideMark/>
          </w:tcPr>
          <w:p w14:paraId="1134251E"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center"/>
            <w:hideMark/>
          </w:tcPr>
          <w:p w14:paraId="1880ACE5"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1B757B20" w14:textId="77777777" w:rsidR="0067329E" w:rsidRPr="00AE4E8D" w:rsidRDefault="0067329E" w:rsidP="00E8320E">
            <w:pPr>
              <w:rPr>
                <w:rFonts w:ascii="Times New Roman" w:hAnsi="Times New Roman"/>
                <w:color w:val="000000"/>
                <w:sz w:val="16"/>
                <w:lang w:val="es-ES"/>
              </w:rPr>
            </w:pPr>
          </w:p>
        </w:tc>
        <w:tc>
          <w:tcPr>
            <w:tcW w:w="222" w:type="dxa"/>
            <w:tcBorders>
              <w:top w:val="nil"/>
              <w:left w:val="nil"/>
              <w:bottom w:val="nil"/>
              <w:right w:val="nil"/>
            </w:tcBorders>
            <w:shd w:val="clear" w:color="auto" w:fill="auto"/>
            <w:noWrap/>
            <w:vAlign w:val="bottom"/>
            <w:hideMark/>
          </w:tcPr>
          <w:p w14:paraId="05013B5E"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noWrap/>
            <w:vAlign w:val="center"/>
          </w:tcPr>
          <w:p w14:paraId="1B4F363B" w14:textId="77777777" w:rsidR="0067329E" w:rsidRPr="00AE4E8D" w:rsidRDefault="0067329E" w:rsidP="00E8320E">
            <w:pPr>
              <w:rPr>
                <w:rFonts w:ascii="Times New Roman" w:hAnsi="Times New Roman"/>
                <w:color w:val="000000"/>
                <w:sz w:val="16"/>
                <w:lang w:val="es-ES"/>
              </w:rPr>
            </w:pPr>
          </w:p>
        </w:tc>
        <w:tc>
          <w:tcPr>
            <w:tcW w:w="256" w:type="dxa"/>
            <w:tcBorders>
              <w:top w:val="nil"/>
              <w:left w:val="nil"/>
              <w:bottom w:val="nil"/>
              <w:right w:val="nil"/>
            </w:tcBorders>
            <w:shd w:val="clear" w:color="auto" w:fill="auto"/>
            <w:noWrap/>
            <w:vAlign w:val="bottom"/>
          </w:tcPr>
          <w:p w14:paraId="48E027EF"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noWrap/>
            <w:vAlign w:val="center"/>
          </w:tcPr>
          <w:p w14:paraId="5A68E5FF" w14:textId="77777777" w:rsidR="0067329E" w:rsidRPr="00AE4E8D" w:rsidRDefault="0067329E" w:rsidP="00E8320E">
            <w:pPr>
              <w:rPr>
                <w:rFonts w:ascii="Times New Roman" w:hAnsi="Times New Roman"/>
                <w:color w:val="000000"/>
                <w:sz w:val="16"/>
                <w:lang w:val="es-ES"/>
              </w:rPr>
            </w:pPr>
          </w:p>
        </w:tc>
      </w:tr>
      <w:tr w:rsidR="003B5193" w:rsidRPr="00AE4E8D" w14:paraId="04FA6ECA" w14:textId="77777777" w:rsidTr="00E8320E">
        <w:trPr>
          <w:trHeight w:val="264"/>
          <w:jc w:val="center"/>
        </w:trPr>
        <w:tc>
          <w:tcPr>
            <w:tcW w:w="2694" w:type="dxa"/>
            <w:tcBorders>
              <w:top w:val="nil"/>
              <w:left w:val="nil"/>
              <w:bottom w:val="nil"/>
              <w:right w:val="nil"/>
            </w:tcBorders>
            <w:shd w:val="clear" w:color="auto" w:fill="auto"/>
            <w:vAlign w:val="center"/>
            <w:hideMark/>
          </w:tcPr>
          <w:p w14:paraId="5BAEFD83"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Cantidad de sucursales </w:t>
            </w:r>
          </w:p>
        </w:tc>
        <w:tc>
          <w:tcPr>
            <w:tcW w:w="790" w:type="dxa"/>
            <w:tcBorders>
              <w:top w:val="nil"/>
              <w:left w:val="nil"/>
              <w:bottom w:val="nil"/>
              <w:right w:val="nil"/>
            </w:tcBorders>
            <w:shd w:val="clear" w:color="auto" w:fill="auto"/>
            <w:vAlign w:val="center"/>
            <w:hideMark/>
          </w:tcPr>
          <w:p w14:paraId="6340841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55</w:t>
            </w:r>
          </w:p>
        </w:tc>
        <w:tc>
          <w:tcPr>
            <w:tcW w:w="222" w:type="dxa"/>
            <w:tcBorders>
              <w:top w:val="nil"/>
              <w:left w:val="nil"/>
              <w:bottom w:val="nil"/>
              <w:right w:val="nil"/>
            </w:tcBorders>
            <w:shd w:val="clear" w:color="auto" w:fill="auto"/>
            <w:noWrap/>
            <w:vAlign w:val="center"/>
            <w:hideMark/>
          </w:tcPr>
          <w:p w14:paraId="3D198AEE"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17F394FF"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60</w:t>
            </w:r>
          </w:p>
        </w:tc>
        <w:tc>
          <w:tcPr>
            <w:tcW w:w="222" w:type="dxa"/>
            <w:tcBorders>
              <w:top w:val="nil"/>
              <w:left w:val="nil"/>
              <w:bottom w:val="nil"/>
              <w:right w:val="nil"/>
            </w:tcBorders>
            <w:shd w:val="clear" w:color="auto" w:fill="auto"/>
            <w:noWrap/>
            <w:vAlign w:val="center"/>
            <w:hideMark/>
          </w:tcPr>
          <w:p w14:paraId="76A7A784"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18D26B97"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60</w:t>
            </w:r>
          </w:p>
        </w:tc>
        <w:tc>
          <w:tcPr>
            <w:tcW w:w="222" w:type="dxa"/>
            <w:tcBorders>
              <w:top w:val="nil"/>
              <w:left w:val="nil"/>
              <w:bottom w:val="nil"/>
              <w:right w:val="nil"/>
            </w:tcBorders>
            <w:shd w:val="clear" w:color="auto" w:fill="auto"/>
            <w:noWrap/>
            <w:vAlign w:val="center"/>
            <w:hideMark/>
          </w:tcPr>
          <w:p w14:paraId="5B76446A"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632B781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62</w:t>
            </w:r>
          </w:p>
        </w:tc>
        <w:tc>
          <w:tcPr>
            <w:tcW w:w="222" w:type="dxa"/>
            <w:tcBorders>
              <w:top w:val="nil"/>
              <w:left w:val="nil"/>
              <w:bottom w:val="nil"/>
              <w:right w:val="nil"/>
            </w:tcBorders>
            <w:shd w:val="clear" w:color="auto" w:fill="auto"/>
            <w:noWrap/>
            <w:vAlign w:val="center"/>
            <w:hideMark/>
          </w:tcPr>
          <w:p w14:paraId="15A9EAB0"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329D127E"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65</w:t>
            </w:r>
          </w:p>
        </w:tc>
        <w:tc>
          <w:tcPr>
            <w:tcW w:w="222" w:type="dxa"/>
            <w:tcBorders>
              <w:top w:val="nil"/>
              <w:left w:val="nil"/>
              <w:bottom w:val="nil"/>
              <w:right w:val="nil"/>
            </w:tcBorders>
            <w:shd w:val="clear" w:color="auto" w:fill="auto"/>
            <w:noWrap/>
            <w:vAlign w:val="bottom"/>
            <w:hideMark/>
          </w:tcPr>
          <w:p w14:paraId="4EDB3A39"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vAlign w:val="center"/>
          </w:tcPr>
          <w:p w14:paraId="4B557D5D"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62</w:t>
            </w:r>
          </w:p>
        </w:tc>
        <w:tc>
          <w:tcPr>
            <w:tcW w:w="256" w:type="dxa"/>
            <w:tcBorders>
              <w:top w:val="nil"/>
              <w:left w:val="nil"/>
              <w:bottom w:val="nil"/>
              <w:right w:val="nil"/>
            </w:tcBorders>
            <w:shd w:val="clear" w:color="auto" w:fill="auto"/>
            <w:noWrap/>
            <w:vAlign w:val="bottom"/>
          </w:tcPr>
          <w:p w14:paraId="29B73EC4"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vAlign w:val="center"/>
          </w:tcPr>
          <w:p w14:paraId="75EFA0D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65</w:t>
            </w:r>
          </w:p>
        </w:tc>
      </w:tr>
      <w:tr w:rsidR="003B5193" w:rsidRPr="00AE4E8D" w14:paraId="48C9AFE7" w14:textId="77777777" w:rsidTr="00E8320E">
        <w:trPr>
          <w:trHeight w:val="264"/>
          <w:jc w:val="center"/>
        </w:trPr>
        <w:tc>
          <w:tcPr>
            <w:tcW w:w="2694" w:type="dxa"/>
            <w:tcBorders>
              <w:top w:val="nil"/>
              <w:left w:val="nil"/>
              <w:bottom w:val="nil"/>
              <w:right w:val="nil"/>
            </w:tcBorders>
            <w:shd w:val="clear" w:color="auto" w:fill="auto"/>
            <w:vAlign w:val="center"/>
            <w:hideMark/>
          </w:tcPr>
          <w:p w14:paraId="1678F9A7" w14:textId="77777777" w:rsidR="0067329E" w:rsidRPr="00AE4E8D" w:rsidRDefault="0067329E" w:rsidP="00E8320E">
            <w:pPr>
              <w:rPr>
                <w:rFonts w:ascii="Times New Roman" w:hAnsi="Times New Roman"/>
                <w:color w:val="000000"/>
                <w:sz w:val="16"/>
                <w:lang w:val="es-ES"/>
              </w:rPr>
            </w:pPr>
            <w:r w:rsidRPr="00AE4E8D">
              <w:rPr>
                <w:rFonts w:ascii="Times New Roman" w:hAnsi="Times New Roman"/>
                <w:color w:val="000000"/>
                <w:sz w:val="16"/>
                <w:lang w:val="es-ES"/>
              </w:rPr>
              <w:t xml:space="preserve">Cantidad de empleados </w:t>
            </w:r>
          </w:p>
        </w:tc>
        <w:tc>
          <w:tcPr>
            <w:tcW w:w="790" w:type="dxa"/>
            <w:tcBorders>
              <w:top w:val="nil"/>
              <w:left w:val="nil"/>
              <w:bottom w:val="nil"/>
              <w:right w:val="nil"/>
            </w:tcBorders>
            <w:shd w:val="clear" w:color="auto" w:fill="auto"/>
            <w:vAlign w:val="center"/>
            <w:hideMark/>
          </w:tcPr>
          <w:p w14:paraId="3A0E2CF9"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1.980</w:t>
            </w:r>
          </w:p>
        </w:tc>
        <w:tc>
          <w:tcPr>
            <w:tcW w:w="222" w:type="dxa"/>
            <w:tcBorders>
              <w:top w:val="nil"/>
              <w:left w:val="nil"/>
              <w:bottom w:val="nil"/>
              <w:right w:val="nil"/>
            </w:tcBorders>
            <w:shd w:val="clear" w:color="auto" w:fill="auto"/>
            <w:noWrap/>
            <w:vAlign w:val="center"/>
            <w:hideMark/>
          </w:tcPr>
          <w:p w14:paraId="4CE013DD"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4B66E318"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2.488</w:t>
            </w:r>
          </w:p>
        </w:tc>
        <w:tc>
          <w:tcPr>
            <w:tcW w:w="222" w:type="dxa"/>
            <w:tcBorders>
              <w:top w:val="nil"/>
              <w:left w:val="nil"/>
              <w:bottom w:val="nil"/>
              <w:right w:val="nil"/>
            </w:tcBorders>
            <w:shd w:val="clear" w:color="auto" w:fill="auto"/>
            <w:noWrap/>
            <w:vAlign w:val="center"/>
            <w:hideMark/>
          </w:tcPr>
          <w:p w14:paraId="4522F971"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69C8493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2.608</w:t>
            </w:r>
          </w:p>
        </w:tc>
        <w:tc>
          <w:tcPr>
            <w:tcW w:w="222" w:type="dxa"/>
            <w:tcBorders>
              <w:top w:val="nil"/>
              <w:left w:val="nil"/>
              <w:bottom w:val="nil"/>
              <w:right w:val="nil"/>
            </w:tcBorders>
            <w:shd w:val="clear" w:color="auto" w:fill="auto"/>
            <w:noWrap/>
            <w:vAlign w:val="center"/>
            <w:hideMark/>
          </w:tcPr>
          <w:p w14:paraId="43AD31F9"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6662EE6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2.494</w:t>
            </w:r>
          </w:p>
        </w:tc>
        <w:tc>
          <w:tcPr>
            <w:tcW w:w="222" w:type="dxa"/>
            <w:tcBorders>
              <w:top w:val="nil"/>
              <w:left w:val="nil"/>
              <w:bottom w:val="nil"/>
              <w:right w:val="nil"/>
            </w:tcBorders>
            <w:shd w:val="clear" w:color="auto" w:fill="auto"/>
            <w:noWrap/>
            <w:vAlign w:val="center"/>
            <w:hideMark/>
          </w:tcPr>
          <w:p w14:paraId="7C5FDFAB" w14:textId="77777777" w:rsidR="0067329E" w:rsidRPr="00AE4E8D" w:rsidRDefault="0067329E" w:rsidP="00E8320E">
            <w:pPr>
              <w:rPr>
                <w:rFonts w:ascii="Times New Roman" w:hAnsi="Times New Roman"/>
                <w:color w:val="000000"/>
                <w:sz w:val="16"/>
                <w:lang w:val="es-ES"/>
              </w:rPr>
            </w:pPr>
          </w:p>
        </w:tc>
        <w:tc>
          <w:tcPr>
            <w:tcW w:w="855" w:type="dxa"/>
            <w:tcBorders>
              <w:top w:val="nil"/>
              <w:left w:val="nil"/>
              <w:bottom w:val="nil"/>
              <w:right w:val="nil"/>
            </w:tcBorders>
            <w:shd w:val="clear" w:color="auto" w:fill="auto"/>
            <w:vAlign w:val="center"/>
            <w:hideMark/>
          </w:tcPr>
          <w:p w14:paraId="05149A90"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2.184</w:t>
            </w:r>
          </w:p>
        </w:tc>
        <w:tc>
          <w:tcPr>
            <w:tcW w:w="222" w:type="dxa"/>
            <w:tcBorders>
              <w:top w:val="nil"/>
              <w:left w:val="nil"/>
              <w:bottom w:val="nil"/>
              <w:right w:val="nil"/>
            </w:tcBorders>
            <w:shd w:val="clear" w:color="auto" w:fill="auto"/>
            <w:noWrap/>
            <w:vAlign w:val="bottom"/>
            <w:hideMark/>
          </w:tcPr>
          <w:p w14:paraId="027A281C" w14:textId="77777777" w:rsidR="0067329E" w:rsidRPr="00AE4E8D" w:rsidRDefault="0067329E" w:rsidP="00E8320E">
            <w:pPr>
              <w:rPr>
                <w:rFonts w:ascii="Times New Roman" w:hAnsi="Times New Roman"/>
                <w:sz w:val="16"/>
                <w:lang w:val="es-ES"/>
              </w:rPr>
            </w:pPr>
          </w:p>
        </w:tc>
        <w:tc>
          <w:tcPr>
            <w:tcW w:w="887" w:type="dxa"/>
            <w:tcBorders>
              <w:top w:val="nil"/>
              <w:left w:val="nil"/>
              <w:bottom w:val="nil"/>
              <w:right w:val="nil"/>
            </w:tcBorders>
            <w:shd w:val="clear" w:color="auto" w:fill="auto"/>
            <w:vAlign w:val="center"/>
          </w:tcPr>
          <w:p w14:paraId="23616A94"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2.366</w:t>
            </w:r>
          </w:p>
        </w:tc>
        <w:tc>
          <w:tcPr>
            <w:tcW w:w="256" w:type="dxa"/>
            <w:tcBorders>
              <w:top w:val="nil"/>
              <w:left w:val="nil"/>
              <w:bottom w:val="nil"/>
              <w:right w:val="nil"/>
            </w:tcBorders>
            <w:shd w:val="clear" w:color="auto" w:fill="auto"/>
            <w:noWrap/>
            <w:vAlign w:val="bottom"/>
          </w:tcPr>
          <w:p w14:paraId="6B427047" w14:textId="77777777" w:rsidR="0067329E" w:rsidRPr="00AE4E8D" w:rsidRDefault="0067329E" w:rsidP="00E8320E">
            <w:pPr>
              <w:rPr>
                <w:rFonts w:ascii="Times New Roman" w:hAnsi="Times New Roman"/>
                <w:sz w:val="16"/>
                <w:lang w:val="es-ES"/>
              </w:rPr>
            </w:pPr>
          </w:p>
        </w:tc>
        <w:tc>
          <w:tcPr>
            <w:tcW w:w="805" w:type="dxa"/>
            <w:tcBorders>
              <w:top w:val="nil"/>
              <w:left w:val="nil"/>
              <w:bottom w:val="nil"/>
              <w:right w:val="nil"/>
            </w:tcBorders>
            <w:shd w:val="clear" w:color="auto" w:fill="auto"/>
            <w:vAlign w:val="center"/>
          </w:tcPr>
          <w:p w14:paraId="6EDA53B1" w14:textId="77777777" w:rsidR="0067329E" w:rsidRPr="00AE4E8D" w:rsidRDefault="0067329E" w:rsidP="00E8320E">
            <w:pPr>
              <w:jc w:val="right"/>
              <w:rPr>
                <w:rFonts w:ascii="Times New Roman" w:hAnsi="Times New Roman"/>
                <w:color w:val="000000"/>
                <w:sz w:val="16"/>
                <w:lang w:val="es-ES"/>
              </w:rPr>
            </w:pPr>
            <w:r w:rsidRPr="00AE4E8D">
              <w:rPr>
                <w:rFonts w:ascii="Times New Roman" w:hAnsi="Times New Roman"/>
                <w:color w:val="000000"/>
                <w:sz w:val="16"/>
                <w:lang w:val="es-ES"/>
              </w:rPr>
              <w:t>2.</w:t>
            </w:r>
            <w:r w:rsidRPr="00AE4E8D">
              <w:rPr>
                <w:rFonts w:ascii="Times New Roman" w:hAnsi="Times New Roman"/>
                <w:color w:val="000000"/>
                <w:sz w:val="16"/>
                <w:szCs w:val="16"/>
                <w:lang w:val="es-ES"/>
              </w:rPr>
              <w:t>092</w:t>
            </w:r>
          </w:p>
        </w:tc>
      </w:tr>
    </w:tbl>
    <w:p w14:paraId="7C6DFB78" w14:textId="77777777" w:rsidR="00BE4DBA" w:rsidRPr="00AE4E8D" w:rsidRDefault="00BE4DBA" w:rsidP="00BE4DBA">
      <w:pPr>
        <w:autoSpaceDE w:val="0"/>
        <w:autoSpaceDN w:val="0"/>
        <w:adjustRightInd w:val="0"/>
        <w:ind w:left="567"/>
        <w:jc w:val="both"/>
        <w:rPr>
          <w:rFonts w:ascii="Times New Roman" w:hAnsi="Times New Roman"/>
          <w:sz w:val="16"/>
          <w:szCs w:val="16"/>
          <w:lang w:val="es-ES" w:eastAsia="es-AR"/>
        </w:rPr>
      </w:pPr>
    </w:p>
    <w:p w14:paraId="22552088"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El tipo de cambio utilizado a los fines de la conversión de los saldos al 31 de diciembre de 2016 y 30 de junio de 2017 fue Ps. 15,8502 = US$1,00 y Ps.16</w:t>
      </w:r>
      <w:proofErr w:type="gramStart"/>
      <w:r w:rsidRPr="00AE4E8D">
        <w:rPr>
          <w:rFonts w:ascii="Times New Roman" w:hAnsi="Times New Roman"/>
          <w:sz w:val="16"/>
          <w:szCs w:val="16"/>
          <w:lang w:val="es-ES" w:eastAsia="es-AR"/>
        </w:rPr>
        <w:t>,5985</w:t>
      </w:r>
      <w:proofErr w:type="gramEnd"/>
      <w:r w:rsidRPr="00AE4E8D">
        <w:rPr>
          <w:rFonts w:ascii="Times New Roman" w:hAnsi="Times New Roman"/>
          <w:sz w:val="16"/>
          <w:szCs w:val="16"/>
          <w:lang w:val="es-ES" w:eastAsia="es-AR"/>
        </w:rPr>
        <w:t xml:space="preserve"> = US$1,00, respectivamente, de acuerdo al Tipo de Cambio de Referencia publicado por el BCRA para cada fecha.</w:t>
      </w:r>
    </w:p>
    <w:p w14:paraId="36CDD7A6"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Incluye Ps.972</w:t>
      </w:r>
      <w:proofErr w:type="gramStart"/>
      <w:r w:rsidRPr="00AE4E8D">
        <w:rPr>
          <w:rFonts w:ascii="Times New Roman" w:hAnsi="Times New Roman"/>
          <w:sz w:val="16"/>
          <w:szCs w:val="16"/>
          <w:lang w:val="es-ES" w:eastAsia="es-AR"/>
        </w:rPr>
        <w:t>,1</w:t>
      </w:r>
      <w:proofErr w:type="gramEnd"/>
      <w:r w:rsidRPr="00AE4E8D">
        <w:rPr>
          <w:rFonts w:ascii="Times New Roman" w:hAnsi="Times New Roman"/>
          <w:sz w:val="16"/>
          <w:szCs w:val="16"/>
          <w:lang w:val="es-ES" w:eastAsia="es-AR"/>
        </w:rPr>
        <w:t xml:space="preserve"> millones, Ps.29,9 millones, Ps.2.422,2 millones, Ps.1.295,6 millones, Ps.1.116,9 millones, Ps.1.295,6 millones y Ps.3.606,0 millones de instrumentos emitidos por el BCRA al 31 de diciembre de 2012, 2013, 2014, 2015 y 2016, y al 30 de junio de 2016 y 2017, respectivamente.</w:t>
      </w:r>
    </w:p>
    <w:p w14:paraId="11D6D7C5"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Incluye obligaciones negociables no subordinadas por Ps.2.013</w:t>
      </w:r>
      <w:proofErr w:type="gramStart"/>
      <w:r w:rsidRPr="00AE4E8D">
        <w:rPr>
          <w:rFonts w:ascii="Times New Roman" w:hAnsi="Times New Roman"/>
          <w:sz w:val="16"/>
          <w:szCs w:val="16"/>
          <w:lang w:val="es-ES" w:eastAsia="es-AR"/>
        </w:rPr>
        <w:t>,7</w:t>
      </w:r>
      <w:proofErr w:type="gramEnd"/>
      <w:r w:rsidRPr="00AE4E8D">
        <w:rPr>
          <w:rFonts w:ascii="Times New Roman" w:hAnsi="Times New Roman"/>
          <w:sz w:val="16"/>
          <w:szCs w:val="16"/>
          <w:lang w:val="es-ES" w:eastAsia="es-AR"/>
        </w:rPr>
        <w:t xml:space="preserve"> millones, Ps.2.660,1 millones, Ps.4.347,1 millones, Ps.7.010,0 millones, 16.018,7 millones, Ps.9.720,8 millones y Ps.18.703,6 millones al 31 de diciembre de 2012, 2013, 2014, 2015 y 2016, y al 30 de junio de 2016 y 2017, respectivamente.</w:t>
      </w:r>
    </w:p>
    <w:p w14:paraId="7A205995"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Los Índices Seleccionados fueron elaborados de acuerdo a las Normas Contables del BCRA. En virtud de tales normas no se efectúa el desagregado de: activo corriente y activo no corriente, y de pasivo corriente y pasivo no corriente, razón por la cual no es posible efectuar el cálculo de índices tales como el de “Inmovilización de capital”, lo que difiere en relación a las Normas de la CNV y los PCGA de Argentina.</w:t>
      </w:r>
    </w:p>
    <w:p w14:paraId="4619B219"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Corresponde al resultado neto (anualizado en el caso de los ratios al 30 de junio de 2016 y 2017) como porcentaje del activo promedio total. El activo promedio es el promedio simple entre el saldo del activo consolidado al comienzo del período (tomándose como comienzo del período el 31 de diciembre del año anterior) y el saldo del activo consolidado al finalizar el período, según surge de los estados contables consolidados.</w:t>
      </w:r>
    </w:p>
    <w:p w14:paraId="62D2446B"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Corresponde al resultado neto (anualizado en el caso de los ratios al 30 de junio de 2016 y 2017) como porcentaje del patrimonio neto promedio total. El patrimonio neto promedio es el promedio simple entre el saldo del patrimonio neto consolidado al comienzo del período (tomándose como comienzo del período el 31 de diciembre del año anterior) y el saldo del patrimonio neto consolidado al finalizar el período, según surge de los estados contables consolidados.</w:t>
      </w:r>
    </w:p>
    <w:p w14:paraId="3797A6D2"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Corresponde al ingreso financiero neto (anualizado en el caso de los ratios al 30 de junio de 2016 y 2017) como porcentaje de los activos promedio.</w:t>
      </w:r>
    </w:p>
    <w:p w14:paraId="4FE799FC"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lastRenderedPageBreak/>
        <w:t>Corresponde a los gastos de administración sobre la sumatoria de ingreso financiero neto, ingresos netos por seguros y otros ingresos netos por servicios.</w:t>
      </w:r>
    </w:p>
    <w:p w14:paraId="030B2E45"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 xml:space="preserve">Otros Activos corresponde a la sumatoria de los rubros “Participaciones en otras Sociedades”, “Créditos Diversos”, “Bienes de Uso”, “Bienes Diversos”, “Bienes Intangibles” y “Partidas Pendientes de Imputación”. </w:t>
      </w:r>
    </w:p>
    <w:p w14:paraId="5EFAB8BF"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“Préstamos al consumo” comprende nuestra cartera de Préstamos hipotecarios, Préstamos personales, y Préstamos por Tarjeta de crédito del Banco. Los Préstamos al consumo en situación irregular comprenden los Préstamos clasificados como de “Riesgo medio”, “Riesgo alto”, “Irrecuperables” e “Irrecuperables por disposición técnica” según las normas de clasificación de préstamos del BCRA.</w:t>
      </w:r>
    </w:p>
    <w:p w14:paraId="538E739F"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 xml:space="preserve">“Préstamos comerciales” comprende préstamos por adelantos, préstamos por documentos, préstamos prendarios y otros préstamos. Los préstamos comerciales en situación irregular comprenden los préstamos clasificados como “Con problemas”, “Con alto riesgo de insolvencia”, “Irrecuperables” e “Irrecuperables por Disposición Técnica” según las normas de clasificación de préstamos del BCRA. </w:t>
      </w:r>
    </w:p>
    <w:p w14:paraId="1AF66B63" w14:textId="77777777" w:rsidR="0067329E" w:rsidRPr="00AE4E8D" w:rsidRDefault="0067329E" w:rsidP="00BE4DBA">
      <w:pPr>
        <w:numPr>
          <w:ilvl w:val="0"/>
          <w:numId w:val="207"/>
        </w:numPr>
        <w:autoSpaceDE w:val="0"/>
        <w:autoSpaceDN w:val="0"/>
        <w:adjustRightInd w:val="0"/>
        <w:ind w:left="567" w:hanging="567"/>
        <w:jc w:val="both"/>
        <w:rPr>
          <w:rFonts w:ascii="Times New Roman" w:hAnsi="Times New Roman"/>
          <w:sz w:val="16"/>
          <w:szCs w:val="16"/>
          <w:lang w:val="es-ES" w:eastAsia="es-AR"/>
        </w:rPr>
      </w:pPr>
      <w:r w:rsidRPr="00AE4E8D">
        <w:rPr>
          <w:rFonts w:ascii="Times New Roman" w:hAnsi="Times New Roman"/>
          <w:sz w:val="16"/>
          <w:szCs w:val="16"/>
          <w:lang w:val="es-ES" w:eastAsia="es-AR"/>
        </w:rPr>
        <w:t>Comprende previsiones como porcentaje de préstamos al consumo y comerciales en situación irregular que están clasificados como “Con problemas”, “Con alto riesgo de insolvencia”, “Irrecuperables” e “Irrecuperables por disposición técnica” de acuerdo con las normas de clasificación de préstamos del BCRA.</w:t>
      </w:r>
    </w:p>
    <w:p w14:paraId="7A827985" w14:textId="77777777" w:rsidR="009E7DDD" w:rsidRPr="00AE4E8D" w:rsidRDefault="009E7DDD" w:rsidP="00241071">
      <w:pPr>
        <w:autoSpaceDE w:val="0"/>
        <w:autoSpaceDN w:val="0"/>
        <w:adjustRightInd w:val="0"/>
        <w:spacing w:before="120" w:after="120"/>
        <w:jc w:val="both"/>
        <w:rPr>
          <w:rFonts w:ascii="Times New Roman" w:hAnsi="Times New Roman"/>
          <w:lang w:val="es-ES"/>
        </w:rPr>
      </w:pPr>
    </w:p>
    <w:p w14:paraId="7A7CEB3C" w14:textId="77777777" w:rsidR="006E31B6" w:rsidRPr="00AE4E8D" w:rsidRDefault="006E31B6" w:rsidP="00241071">
      <w:pPr>
        <w:pStyle w:val="BHTexto"/>
        <w:rPr>
          <w:sz w:val="14"/>
          <w:lang w:val="es-ES"/>
        </w:rPr>
        <w:sectPr w:rsidR="006E31B6" w:rsidRPr="00AE4E8D" w:rsidSect="00FA3175">
          <w:footerReference w:type="default" r:id="rId28"/>
          <w:pgSz w:w="11907" w:h="16839"/>
          <w:pgMar w:top="1417" w:right="1701" w:bottom="1417" w:left="1701" w:header="709" w:footer="709" w:gutter="0"/>
          <w:cols w:space="720"/>
          <w:docGrid w:linePitch="272"/>
        </w:sectPr>
      </w:pPr>
    </w:p>
    <w:p w14:paraId="255949D2" w14:textId="77777777" w:rsidR="00FE0836" w:rsidRPr="00AE4E8D" w:rsidRDefault="00FE0836" w:rsidP="00FE0836">
      <w:pPr>
        <w:pStyle w:val="BH1Centro"/>
        <w:tabs>
          <w:tab w:val="left" w:pos="2410"/>
        </w:tabs>
        <w:rPr>
          <w:rFonts w:ascii="Times New Roman" w:hAnsi="Times New Roman"/>
          <w:lang w:val="es-ES"/>
        </w:rPr>
      </w:pPr>
      <w:bookmarkStart w:id="507" w:name="_Toc487734741"/>
      <w:bookmarkStart w:id="508" w:name="_Toc491775375"/>
      <w:bookmarkStart w:id="509" w:name="_Toc495973018"/>
      <w:bookmarkStart w:id="510" w:name="_Toc495399925"/>
      <w:bookmarkStart w:id="511" w:name="_Toc420062587"/>
      <w:bookmarkStart w:id="512" w:name="_Toc421201401"/>
      <w:bookmarkEnd w:id="503"/>
      <w:bookmarkEnd w:id="504"/>
      <w:bookmarkEnd w:id="505"/>
      <w:bookmarkEnd w:id="506"/>
      <w:r w:rsidRPr="00AE4E8D">
        <w:rPr>
          <w:rFonts w:ascii="Times New Roman" w:hAnsi="Times New Roman"/>
          <w:lang w:val="es-ES"/>
        </w:rPr>
        <w:lastRenderedPageBreak/>
        <w:t>RESEÑA Y PERSPECTIVA OPERATIVA FINANCIERA</w:t>
      </w:r>
      <w:bookmarkEnd w:id="507"/>
      <w:bookmarkEnd w:id="508"/>
      <w:bookmarkEnd w:id="509"/>
      <w:bookmarkEnd w:id="510"/>
    </w:p>
    <w:p w14:paraId="6D71BBDA" w14:textId="62FA501E" w:rsidR="00FE0836" w:rsidRPr="00B94558" w:rsidRDefault="00FE0836" w:rsidP="000400C8">
      <w:pPr>
        <w:pStyle w:val="BHTexto"/>
        <w:rPr>
          <w:i/>
          <w:lang w:val="es-ES"/>
        </w:rPr>
      </w:pPr>
      <w:r w:rsidRPr="00AE4E8D">
        <w:rPr>
          <w:i/>
          <w:lang w:val="es-ES"/>
        </w:rPr>
        <w:t xml:space="preserve">El presente análisis debe leerse junto con los estados contables auditados y no auditados que se incluyen en este Prospecto. Llevamos nuestros libros y registros contables en Pesos y confeccionamos nuestros estados contables auditados y no auditados de conformidad con las Normas Contables del BCRA, las cuales establecen los requisitos de información y revelación para bancos y entidades financieras de Argentina. Estas normas difieren en determinados aspectos significativos de los PCGA de Argentina y NIIF. </w:t>
      </w:r>
      <w:r w:rsidR="00AF6C5B" w:rsidRPr="00AE4E8D">
        <w:rPr>
          <w:i/>
          <w:w w:val="0"/>
          <w:lang w:val="es-ES"/>
        </w:rPr>
        <w:t>Para más información</w:t>
      </w:r>
      <w:r w:rsidR="007E2513" w:rsidRPr="00AE4E8D">
        <w:rPr>
          <w:i/>
        </w:rPr>
        <w:t xml:space="preserve"> </w:t>
      </w:r>
      <w:r w:rsidR="007E2513" w:rsidRPr="00AE4E8D">
        <w:rPr>
          <w:i/>
          <w:w w:val="0"/>
          <w:lang w:val="es-ES"/>
        </w:rPr>
        <w:t xml:space="preserve">sobre el proceso de convergencia entre el régimen informativo y contable </w:t>
      </w:r>
      <w:r w:rsidR="007E2513" w:rsidRPr="00B94558">
        <w:rPr>
          <w:i/>
          <w:lang w:val="es-ES"/>
        </w:rPr>
        <w:t>existente y las NIIF</w:t>
      </w:r>
      <w:r w:rsidR="00AF6C5B" w:rsidRPr="00B94558">
        <w:rPr>
          <w:i/>
          <w:lang w:val="es-ES"/>
        </w:rPr>
        <w:t xml:space="preserve">, </w:t>
      </w:r>
      <w:r w:rsidR="0079210E" w:rsidRPr="00B94558">
        <w:rPr>
          <w:i/>
          <w:lang w:val="es-ES"/>
        </w:rPr>
        <w:t>véase</w:t>
      </w:r>
      <w:r w:rsidR="00AF6C5B" w:rsidRPr="00B94558">
        <w:rPr>
          <w:i/>
          <w:lang w:val="es-ES"/>
        </w:rPr>
        <w:t xml:space="preserve"> “Información Clave </w:t>
      </w:r>
      <w:r w:rsidR="002A5A31" w:rsidRPr="00B94558">
        <w:rPr>
          <w:i/>
          <w:lang w:val="es-ES"/>
        </w:rPr>
        <w:t>sobre</w:t>
      </w:r>
      <w:r w:rsidR="00AF6C5B" w:rsidRPr="00B94558">
        <w:rPr>
          <w:i/>
          <w:lang w:val="es-ES"/>
        </w:rPr>
        <w:t xml:space="preserve"> la Emisora</w:t>
      </w:r>
      <w:r w:rsidR="00AF6C5B" w:rsidRPr="00AE4E8D">
        <w:rPr>
          <w:i/>
          <w:lang w:val="es-ES"/>
        </w:rPr>
        <w:t>–</w:t>
      </w:r>
      <w:r w:rsidR="00AF6C5B" w:rsidRPr="00B94558">
        <w:rPr>
          <w:i/>
          <w:lang w:val="es-ES"/>
        </w:rPr>
        <w:t xml:space="preserve">a) Información Contable y Financiera” y la Nota </w:t>
      </w:r>
      <w:r w:rsidR="001D2931" w:rsidRPr="00B94558">
        <w:rPr>
          <w:i/>
          <w:lang w:val="es-ES"/>
        </w:rPr>
        <w:t>4</w:t>
      </w:r>
      <w:r w:rsidR="00AF6C5B" w:rsidRPr="00B94558">
        <w:rPr>
          <w:i/>
          <w:lang w:val="es-ES"/>
        </w:rPr>
        <w:t xml:space="preserve"> de nuestros </w:t>
      </w:r>
      <w:r w:rsidR="00AF6C5B" w:rsidRPr="00AE4E8D">
        <w:rPr>
          <w:i/>
          <w:lang w:val="es-ES"/>
        </w:rPr>
        <w:t xml:space="preserve">estados contables intermedios consolidados no auditados </w:t>
      </w:r>
      <w:r w:rsidR="00FE0C7C">
        <w:rPr>
          <w:i/>
          <w:lang w:val="es-ES"/>
        </w:rPr>
        <w:t>a</w:t>
      </w:r>
      <w:r w:rsidR="00AF6C5B" w:rsidRPr="00B94558">
        <w:rPr>
          <w:i/>
          <w:lang w:val="es-ES"/>
        </w:rPr>
        <w:t>l 30 de junio de 2017.</w:t>
      </w:r>
    </w:p>
    <w:p w14:paraId="3F408DBC" w14:textId="5AF7EB84" w:rsidR="00FE0836" w:rsidRPr="00AE4E8D" w:rsidRDefault="00B94558" w:rsidP="00B94558">
      <w:pPr>
        <w:pStyle w:val="BHTexto"/>
        <w:rPr>
          <w:rFonts w:eastAsia="Arial Unicode MS"/>
          <w:i/>
          <w:iCs/>
          <w:lang w:val="es-ES" w:eastAsia="es-AR"/>
        </w:rPr>
      </w:pPr>
      <w:r w:rsidRPr="00B94558">
        <w:rPr>
          <w:i/>
          <w:lang w:val="es-ES"/>
        </w:rPr>
        <w:t>Nuestros estados contables auditados no incluyen una conciliación con NIIF de nuestro patrimonio neto o el resultado neto, sin embargo nuestros estados contables no auditados contienen dicha conciliación.</w:t>
      </w:r>
      <w:r>
        <w:rPr>
          <w:i/>
          <w:lang w:val="es-ES"/>
        </w:rPr>
        <w:t xml:space="preserve"> </w:t>
      </w:r>
      <w:r w:rsidR="00FE0836" w:rsidRPr="00B94558">
        <w:rPr>
          <w:i/>
          <w:lang w:val="es-ES"/>
        </w:rPr>
        <w:t>Los inversores interesados deberían consultar a sus asesores profesionales para un mejor entendimiento de las diferencias entre los principios contables utilizados por nosotros y los PCGA de Argentina y NIIF y la forma en que dichas diferencias afectan la información financiera aquí contenida</w:t>
      </w:r>
      <w:r w:rsidR="00FE0836" w:rsidRPr="00AE4E8D">
        <w:rPr>
          <w:rFonts w:eastAsia="Arial Unicode MS"/>
          <w:i/>
          <w:iCs/>
          <w:lang w:val="es-ES" w:eastAsia="es-AR"/>
        </w:rPr>
        <w:t>.</w:t>
      </w:r>
    </w:p>
    <w:p w14:paraId="2A8A42BC" w14:textId="77777777" w:rsidR="00FE0836" w:rsidRPr="00AE4E8D" w:rsidRDefault="00FE0836" w:rsidP="00FE0836">
      <w:pPr>
        <w:keepNext/>
        <w:autoSpaceDE w:val="0"/>
        <w:autoSpaceDN w:val="0"/>
        <w:adjustRightInd w:val="0"/>
        <w:spacing w:before="240" w:after="240"/>
        <w:outlineLvl w:val="1"/>
        <w:rPr>
          <w:rFonts w:ascii="Times New Roman" w:hAnsi="Times New Roman"/>
          <w:b/>
          <w:lang w:val="es-ES" w:eastAsia="es-AR"/>
        </w:rPr>
      </w:pPr>
      <w:bookmarkStart w:id="513" w:name="_Toc491775376"/>
      <w:bookmarkStart w:id="514" w:name="_Toc495973019"/>
      <w:bookmarkStart w:id="515" w:name="_Toc495399926"/>
      <w:r w:rsidRPr="00AE4E8D">
        <w:rPr>
          <w:rFonts w:ascii="Times New Roman" w:hAnsi="Times New Roman"/>
          <w:b/>
          <w:lang w:val="es-ES" w:eastAsia="es-AR"/>
        </w:rPr>
        <w:t>Principales Factores que afectan nuestro Negocio</w:t>
      </w:r>
      <w:bookmarkEnd w:id="513"/>
      <w:bookmarkEnd w:id="514"/>
      <w:bookmarkEnd w:id="515"/>
    </w:p>
    <w:p w14:paraId="152EED2F" w14:textId="77777777" w:rsidR="00FE0836" w:rsidRPr="00AE4E8D" w:rsidRDefault="00FE0836" w:rsidP="00FE0836">
      <w:pPr>
        <w:keepNext/>
        <w:autoSpaceDE w:val="0"/>
        <w:autoSpaceDN w:val="0"/>
        <w:adjustRightInd w:val="0"/>
        <w:spacing w:before="240" w:after="240"/>
        <w:outlineLvl w:val="2"/>
        <w:rPr>
          <w:rFonts w:ascii="Times New Roman" w:hAnsi="Times New Roman"/>
          <w:b/>
          <w:lang w:val="es-ES" w:eastAsia="es-AR"/>
        </w:rPr>
      </w:pPr>
      <w:bookmarkStart w:id="516" w:name="_Toc420062583"/>
      <w:bookmarkStart w:id="517" w:name="_Toc421201397"/>
      <w:r w:rsidRPr="00AE4E8D">
        <w:rPr>
          <w:rFonts w:ascii="Times New Roman" w:hAnsi="Times New Roman"/>
          <w:b/>
          <w:lang w:val="es-ES" w:eastAsia="es-AR"/>
        </w:rPr>
        <w:t>Impacto de las Condiciones Económicas en Argentina</w:t>
      </w:r>
      <w:bookmarkEnd w:id="516"/>
      <w:bookmarkEnd w:id="517"/>
      <w:r w:rsidRPr="00AE4E8D">
        <w:rPr>
          <w:rFonts w:ascii="Times New Roman" w:hAnsi="Times New Roman"/>
          <w:b/>
          <w:lang w:val="es-ES" w:eastAsia="es-AR"/>
        </w:rPr>
        <w:t xml:space="preserve"> </w:t>
      </w:r>
    </w:p>
    <w:p w14:paraId="444DD11B" w14:textId="77777777" w:rsidR="00FE0836" w:rsidRPr="00AE4E8D" w:rsidRDefault="00FE0836" w:rsidP="00FE0836">
      <w:pPr>
        <w:pStyle w:val="BHTexto"/>
        <w:rPr>
          <w:lang w:val="es-ES"/>
        </w:rPr>
      </w:pPr>
      <w:r w:rsidRPr="00AE4E8D">
        <w:rPr>
          <w:lang w:val="es-ES"/>
        </w:rPr>
        <w:t>Nuestros negocios y los resultados de nuestras operaciones están condicionados por la situación macroeconómica imperante en Argentina y sufren en gran medida el impacto significativo de dicha situación. Durante 2012 y en consonancia con el entorno macroeconómico global, se desaceleró el crecimiento de la economía argentina y PBI aumentó un 0,8%.</w:t>
      </w:r>
    </w:p>
    <w:p w14:paraId="785BD903" w14:textId="77777777" w:rsidR="00FE0836" w:rsidRPr="00AE4E8D" w:rsidRDefault="00FE0836" w:rsidP="00FE0836">
      <w:pPr>
        <w:pStyle w:val="BHTexto"/>
        <w:rPr>
          <w:lang w:val="es-ES"/>
        </w:rPr>
      </w:pPr>
      <w:r w:rsidRPr="00AE4E8D">
        <w:rPr>
          <w:lang w:val="es-ES"/>
        </w:rPr>
        <w:t>En 2014, la economía argentina reportó un crecimiento del PBI de 0,5%. Si bien la demanda externa decreció y el consumo privado disminuyó, las inversiones se exhibieron como más dinámicas. El resto de los servicios continuó mostrando una tendencia ascendente, impulsada mayormente por los servicios de comunicaciones, el sector de infraestructura civil y petrolera.</w:t>
      </w:r>
      <w:r w:rsidR="00AF6C5B" w:rsidRPr="00AE4E8D">
        <w:rPr>
          <w:lang w:val="es-ES"/>
        </w:rPr>
        <w:t xml:space="preserve"> </w:t>
      </w:r>
      <w:r w:rsidRPr="00AE4E8D">
        <w:rPr>
          <w:lang w:val="es-ES"/>
        </w:rPr>
        <w:t>Los principales indicadores del mercado de empleo reflejaron l una leve disminución interanual en la tasa de desempleo.</w:t>
      </w:r>
    </w:p>
    <w:p w14:paraId="76A150FB" w14:textId="77777777" w:rsidR="00FE0836" w:rsidRPr="00AE4E8D" w:rsidRDefault="00FE0836" w:rsidP="00FE0836">
      <w:pPr>
        <w:pStyle w:val="BHTexto"/>
        <w:rPr>
          <w:lang w:val="es-ES"/>
        </w:rPr>
      </w:pPr>
      <w:r w:rsidRPr="00AE4E8D">
        <w:rPr>
          <w:lang w:val="es-ES"/>
        </w:rPr>
        <w:t>El índice de precios al consumidor conocido como el IPCNu</w:t>
      </w:r>
      <w:r w:rsidR="00AF6C5B" w:rsidRPr="00AE4E8D">
        <w:rPr>
          <w:lang w:val="es-ES"/>
        </w:rPr>
        <w:t xml:space="preserve"> (Índice de Precios al Consumidor Nacional </w:t>
      </w:r>
      <w:r w:rsidR="002A5A31" w:rsidRPr="00AE4E8D">
        <w:rPr>
          <w:lang w:val="es-ES"/>
        </w:rPr>
        <w:t>Urbano</w:t>
      </w:r>
      <w:r w:rsidR="00AF6C5B" w:rsidRPr="00AE4E8D">
        <w:rPr>
          <w:lang w:val="es-ES"/>
        </w:rPr>
        <w:t>)</w:t>
      </w:r>
      <w:r w:rsidRPr="00AE4E8D">
        <w:rPr>
          <w:lang w:val="es-ES"/>
        </w:rPr>
        <w:t xml:space="preserve">, estabilizó su tasa mensual de crecimiento desde mediados de 2014 luego de la desaceleración observada en los meses anteriores. Esta dinámica también ha sido influenciada por factores estacionales, la política monetaria y cambiaria y los acuerdos de precios en el marco de una demanda agregada que actuó débilmente. </w:t>
      </w:r>
    </w:p>
    <w:p w14:paraId="25ACA7FE" w14:textId="77777777" w:rsidR="00FE0836" w:rsidRPr="00AE4E8D" w:rsidRDefault="00AF6C5B" w:rsidP="00FE0836">
      <w:pPr>
        <w:pStyle w:val="BHTexto"/>
        <w:rPr>
          <w:lang w:val="es-ES"/>
        </w:rPr>
      </w:pPr>
      <w:r w:rsidRPr="00AE4E8D">
        <w:rPr>
          <w:lang w:val="es-ES"/>
        </w:rPr>
        <w:t>E</w:t>
      </w:r>
      <w:r w:rsidR="00FE0836" w:rsidRPr="00AE4E8D">
        <w:rPr>
          <w:lang w:val="es-ES"/>
        </w:rPr>
        <w:t>l BCRA adoptó una serie de medidas que ayudaron a reducir la volatilidad del tipo de cambio. A partir del mes de febrero de 2011, el BCRA restableció el límite sobre la posición global neta en moneda extranjera que las entidades financieras estaban autorizadas a mantener en un nivel equivalente al 30% de su capital. Dicho límite fue posteriormente reducido al 20% en septiembre de 2014. Esta medida contribuyó a aumentar la oferta de divisas y contribuyó a mayor actividad en el mercado cambiario. Por otra parte, el BCRA redujo la tasa de interés de los depósitos a plazo denominados en Pesos constituidos por personas humanas y aumentó el monto cubierto por la garantía de los depósitos.</w:t>
      </w:r>
    </w:p>
    <w:p w14:paraId="6BB58A05" w14:textId="77777777" w:rsidR="00FE0836" w:rsidRPr="00AE4E8D" w:rsidRDefault="00FE0836" w:rsidP="00FE0836">
      <w:pPr>
        <w:pStyle w:val="BHTexto"/>
        <w:rPr>
          <w:lang w:val="es-ES"/>
        </w:rPr>
      </w:pPr>
      <w:r w:rsidRPr="00AE4E8D">
        <w:rPr>
          <w:lang w:val="es-ES"/>
        </w:rPr>
        <w:t xml:space="preserve">Los precios de los títulos públicos del gobierno argentino y las acciones de compañías argentinas en general han registrado un fortalecimiento desde el mes de mayo de 2014 a pesar de aumentos de volatilidad motivados por factores tanto de naturaleza interna como externa, tales como la controversia con los </w:t>
      </w:r>
      <w:r w:rsidRPr="00AE4E8D">
        <w:rPr>
          <w:i/>
          <w:lang w:val="es-ES"/>
        </w:rPr>
        <w:t>holdout</w:t>
      </w:r>
      <w:r w:rsidRPr="00AE4E8D">
        <w:rPr>
          <w:lang w:val="es-ES"/>
        </w:rPr>
        <w:t xml:space="preserve"> ante los tribunales de Nueva York y la caída de los tipos de cambio implícitos utilizados. Con respecto a la financiación a través de instrumentos del mercado de capitales, se incrementó la actividad aunque</w:t>
      </w:r>
      <w:r w:rsidR="00845924" w:rsidRPr="00AE4E8D">
        <w:rPr>
          <w:lang w:val="es-ES"/>
        </w:rPr>
        <w:t xml:space="preserve"> </w:t>
      </w:r>
      <w:r w:rsidRPr="00AE4E8D">
        <w:rPr>
          <w:lang w:val="es-ES"/>
        </w:rPr>
        <w:t>a precios inferiores</w:t>
      </w:r>
      <w:r w:rsidR="00AF6C5B" w:rsidRPr="00AE4E8D">
        <w:rPr>
          <w:lang w:val="es-ES"/>
        </w:rPr>
        <w:t xml:space="preserve"> comparado con los meses anteriores</w:t>
      </w:r>
      <w:r w:rsidRPr="00AE4E8D">
        <w:rPr>
          <w:lang w:val="es-ES"/>
        </w:rPr>
        <w:t>.</w:t>
      </w:r>
    </w:p>
    <w:p w14:paraId="2E7CDE59" w14:textId="77777777" w:rsidR="00AF6C5B" w:rsidRPr="00AE4E8D" w:rsidRDefault="00AF6C5B" w:rsidP="00AF6C5B">
      <w:pPr>
        <w:pStyle w:val="BHTexto"/>
        <w:rPr>
          <w:lang w:val="es-ES"/>
        </w:rPr>
      </w:pPr>
      <w:r w:rsidRPr="00AE4E8D">
        <w:rPr>
          <w:lang w:val="es-ES"/>
        </w:rPr>
        <w:t>El 8 de enero de 2016, en base a que el INDEC no había logrado generar información estadística confiable, particularmente con respecto a IPCNu, PIB, pobreza y datos de comercio exterior, el gobierno de Macri declaró un estado de emergencia administrativa para el sistema estadístico nacional y el INDEC hasta el 31 de diciembre de 2016.</w:t>
      </w:r>
    </w:p>
    <w:p w14:paraId="076AD1FB" w14:textId="77777777" w:rsidR="00AF6C5B" w:rsidRPr="00AE4E8D" w:rsidRDefault="00AF6C5B" w:rsidP="00AF6C5B">
      <w:pPr>
        <w:pStyle w:val="BHTexto"/>
        <w:rPr>
          <w:lang w:val="es-ES"/>
        </w:rPr>
      </w:pPr>
      <w:r w:rsidRPr="00AE4E8D">
        <w:rPr>
          <w:lang w:val="es-ES"/>
        </w:rPr>
        <w:t>Luego de la declaración de emergencia, se implementaron reformas en el INDEC para reorganizar sus capacidades técnicas y estructura administrativa, lo que provocó la suspensión temporal de la publicación del IPC. Durante la implementación de estas reformas, el INDEC utilizó las cifras de IPC y otras estadísticas oficiales publicadas por la Provincia de San Luis y por la Ciudad Autónoma de Buenos Aires.</w:t>
      </w:r>
    </w:p>
    <w:p w14:paraId="28062EE6" w14:textId="77777777" w:rsidR="00FE0836" w:rsidRPr="00AE4E8D" w:rsidRDefault="007E2513" w:rsidP="00FE0836">
      <w:pPr>
        <w:pStyle w:val="BHTexto"/>
        <w:rPr>
          <w:lang w:val="es-ES"/>
        </w:rPr>
      </w:pPr>
      <w:r w:rsidRPr="00AE4E8D">
        <w:rPr>
          <w:lang w:val="es-ES"/>
        </w:rPr>
        <w:lastRenderedPageBreak/>
        <w:t xml:space="preserve">Según la medición del índice de precios de la provincia de San Luis, </w:t>
      </w:r>
      <w:r w:rsidR="0079210E" w:rsidRPr="00AE4E8D">
        <w:rPr>
          <w:lang w:val="es-ES"/>
        </w:rPr>
        <w:t>e</w:t>
      </w:r>
      <w:r w:rsidR="00FE0836" w:rsidRPr="00AE4E8D">
        <w:rPr>
          <w:lang w:val="es-ES"/>
        </w:rPr>
        <w:t>l PBI de Argentina se incrementó 2,5% en 2015, mientras que la inflación anual estimada</w:t>
      </w:r>
      <w:r w:rsidRPr="00AE4E8D">
        <w:rPr>
          <w:lang w:val="es-ES"/>
        </w:rPr>
        <w:t xml:space="preserve"> f</w:t>
      </w:r>
      <w:r w:rsidR="00FE0836" w:rsidRPr="00AE4E8D">
        <w:rPr>
          <w:lang w:val="es-ES"/>
        </w:rPr>
        <w:t xml:space="preserve">ue de 31,6%. El resultado fiscal mostró un déficit primario de 5,4% al 31 de diciembre de 2015. </w:t>
      </w:r>
    </w:p>
    <w:p w14:paraId="1042078C" w14:textId="77777777" w:rsidR="00FE0836" w:rsidRPr="00AE4E8D" w:rsidRDefault="00FE0836" w:rsidP="00FE0836">
      <w:pPr>
        <w:pStyle w:val="BHTexto"/>
        <w:rPr>
          <w:lang w:val="es-ES"/>
        </w:rPr>
      </w:pPr>
      <w:r w:rsidRPr="00AE4E8D">
        <w:rPr>
          <w:lang w:val="es-ES"/>
        </w:rPr>
        <w:t>En el frente externo, el Instituto Nacional de Estadísticas y Censos recalculó las estimaciones de Intercambio Comercial para 2014 y 2015, arrojando un saldo comercial superavitario para el primer período de US</w:t>
      </w:r>
      <w:r w:rsidR="005F5F6C" w:rsidRPr="00AE4E8D">
        <w:rPr>
          <w:lang w:val="es-ES"/>
        </w:rPr>
        <w:t>$</w:t>
      </w:r>
      <w:r w:rsidRPr="00AE4E8D">
        <w:rPr>
          <w:lang w:val="es-ES"/>
        </w:rPr>
        <w:t xml:space="preserve"> 3.</w:t>
      </w:r>
      <w:r w:rsidR="005F5F6C" w:rsidRPr="00AE4E8D">
        <w:rPr>
          <w:lang w:val="es-ES"/>
        </w:rPr>
        <w:t xml:space="preserve">177 </w:t>
      </w:r>
      <w:r w:rsidRPr="00AE4E8D">
        <w:rPr>
          <w:lang w:val="es-ES"/>
        </w:rPr>
        <w:t xml:space="preserve">millones y un déficit de </w:t>
      </w:r>
      <w:r w:rsidR="005F5F6C" w:rsidRPr="00AE4E8D">
        <w:rPr>
          <w:lang w:val="es-ES"/>
        </w:rPr>
        <w:t>US$ 2.969</w:t>
      </w:r>
      <w:r w:rsidRPr="00AE4E8D">
        <w:rPr>
          <w:lang w:val="es-ES"/>
        </w:rPr>
        <w:t xml:space="preserve"> millones para el segundo. Las importaciones de 2015 totalizaron USD 59.</w:t>
      </w:r>
      <w:r w:rsidR="005F5F6C" w:rsidRPr="00AE4E8D">
        <w:rPr>
          <w:lang w:val="es-ES"/>
        </w:rPr>
        <w:t xml:space="preserve">788 </w:t>
      </w:r>
      <w:r w:rsidRPr="00AE4E8D">
        <w:rPr>
          <w:lang w:val="es-ES"/>
        </w:rPr>
        <w:t xml:space="preserve">millones (cayendo un 8% en relación a 2014), mientras que las exportaciones sumaron </w:t>
      </w:r>
      <w:r w:rsidR="005F5F6C" w:rsidRPr="00AE4E8D">
        <w:rPr>
          <w:lang w:val="es-ES"/>
        </w:rPr>
        <w:t xml:space="preserve">US$ </w:t>
      </w:r>
      <w:r w:rsidRPr="00AE4E8D">
        <w:rPr>
          <w:lang w:val="es-ES"/>
        </w:rPr>
        <w:t>56.752 millones (contrayéndose 17% en comparación con las cifras del 2014).</w:t>
      </w:r>
    </w:p>
    <w:p w14:paraId="50283F1B" w14:textId="77777777" w:rsidR="005F5F6C" w:rsidRPr="00AE4E8D" w:rsidRDefault="00FE0836" w:rsidP="00FE0836">
      <w:pPr>
        <w:pStyle w:val="BHTexto"/>
        <w:rPr>
          <w:lang w:val="es-ES"/>
        </w:rPr>
      </w:pPr>
      <w:r w:rsidRPr="00AE4E8D">
        <w:rPr>
          <w:lang w:val="es-ES"/>
        </w:rPr>
        <w:t xml:space="preserve">El 29 de junio de 2016 el INDEC publicó una reestimación </w:t>
      </w:r>
      <w:r w:rsidR="005F5F6C" w:rsidRPr="00AE4E8D">
        <w:rPr>
          <w:lang w:val="es-ES"/>
        </w:rPr>
        <w:t xml:space="preserve">del </w:t>
      </w:r>
      <w:r w:rsidRPr="00AE4E8D">
        <w:rPr>
          <w:lang w:val="es-ES"/>
        </w:rPr>
        <w:t xml:space="preserve">PBI </w:t>
      </w:r>
      <w:r w:rsidR="005F5F6C" w:rsidRPr="00AE4E8D">
        <w:rPr>
          <w:lang w:val="es-ES"/>
        </w:rPr>
        <w:t>de los períodos anteriores</w:t>
      </w:r>
      <w:r w:rsidRPr="00AE4E8D">
        <w:rPr>
          <w:lang w:val="es-ES"/>
        </w:rPr>
        <w:t>, siendo que el crecimiento de la economía bajo esta nueva estimación fue de 2,4% en 2013, -2,5% en 2014</w:t>
      </w:r>
      <w:r w:rsidR="009F750C" w:rsidRPr="00AE4E8D">
        <w:rPr>
          <w:lang w:val="es-ES"/>
        </w:rPr>
        <w:t xml:space="preserve"> y</w:t>
      </w:r>
      <w:r w:rsidRPr="00AE4E8D">
        <w:rPr>
          <w:lang w:val="es-ES"/>
        </w:rPr>
        <w:t xml:space="preserve"> 2,5% en 2015</w:t>
      </w:r>
      <w:r w:rsidR="009F750C" w:rsidRPr="00AE4E8D">
        <w:rPr>
          <w:lang w:val="es-ES"/>
        </w:rPr>
        <w:t xml:space="preserve">. </w:t>
      </w:r>
    </w:p>
    <w:p w14:paraId="3309BFF5" w14:textId="77777777" w:rsidR="00FE0836" w:rsidRPr="00AE4E8D" w:rsidRDefault="009F750C" w:rsidP="005F5F6C">
      <w:pPr>
        <w:pStyle w:val="BHTexto"/>
        <w:rPr>
          <w:lang w:val="es-ES"/>
        </w:rPr>
      </w:pPr>
      <w:r w:rsidRPr="00AE4E8D">
        <w:rPr>
          <w:lang w:val="es-ES"/>
        </w:rPr>
        <w:t>El crecimiento del PBI fue de</w:t>
      </w:r>
      <w:r w:rsidR="00FE0836" w:rsidRPr="00AE4E8D">
        <w:rPr>
          <w:lang w:val="es-ES"/>
        </w:rPr>
        <w:t xml:space="preserve"> -2,1% en 2016.</w:t>
      </w:r>
      <w:r w:rsidR="005F5F6C" w:rsidRPr="00AE4E8D">
        <w:rPr>
          <w:lang w:val="es-ES"/>
        </w:rPr>
        <w:t xml:space="preserve"> y la inflación anual estimada fue de 41.05% para 2016 (medido por el índice de precios al consumidor de la Ciudad de Buenos Aires, dado que el INDEC solo publicó el índice nacional de precios al consumidor desde abril y no proporcionó datos durante los primeros meses). La balanza comercial en 2016 mostró un superávit de US$ 2,124 millones, siendo los totales de exportaciones e importaciones para 2016 de US$ 57,733 millones y US$ 55,610 millones, respectivamente.</w:t>
      </w:r>
    </w:p>
    <w:p w14:paraId="1815E8FB" w14:textId="77777777" w:rsidR="009F750C" w:rsidRPr="00AE4E8D" w:rsidRDefault="009F750C" w:rsidP="00FE0836">
      <w:pPr>
        <w:pStyle w:val="BHTexto"/>
        <w:rPr>
          <w:lang w:val="es-AR"/>
        </w:rPr>
      </w:pPr>
      <w:r w:rsidRPr="00AE4E8D">
        <w:rPr>
          <w:lang w:val="es-ES"/>
        </w:rPr>
        <w:t>Los datos provisionales del INDEC indican que el PBI del segundo trimestre de 2017 representa un aumento del 2,7% en comparación con el PIB del segundo trimestre de 2016.</w:t>
      </w:r>
      <w:r w:rsidR="005F5F6C" w:rsidRPr="00AE4E8D">
        <w:rPr>
          <w:lang w:val="es-ES"/>
        </w:rPr>
        <w:t xml:space="preserve"> El crecimiento ajustado estacionalmente para el primer y segundo trimestre de 2017 fue de 1.2% y 0.7%, respectivamente, según INDEC, mientras que la inflación hasta septiembre de 2017 fue de 17.6% (medido por el índice nacional de precios al consumidor publicado por INDEC). El saldo comercial a agosto de 2017 mostró un déficit de US$ 4,498 millones, con exportaciones e importaciones </w:t>
      </w:r>
      <w:r w:rsidR="007E2513" w:rsidRPr="00AE4E8D">
        <w:rPr>
          <w:lang w:val="es-ES"/>
        </w:rPr>
        <w:t xml:space="preserve">totales </w:t>
      </w:r>
      <w:r w:rsidR="005F5F6C" w:rsidRPr="00AE4E8D">
        <w:rPr>
          <w:lang w:val="es-ES"/>
        </w:rPr>
        <w:t xml:space="preserve">hasta </w:t>
      </w:r>
      <w:r w:rsidR="007E2513" w:rsidRPr="00AE4E8D">
        <w:rPr>
          <w:lang w:val="es-ES"/>
        </w:rPr>
        <w:t xml:space="preserve">el 31 de </w:t>
      </w:r>
      <w:r w:rsidR="005F5F6C" w:rsidRPr="00AE4E8D">
        <w:rPr>
          <w:lang w:val="es-ES"/>
        </w:rPr>
        <w:t>agosto de 2017 de US$ 38,528 millones y US$ 43,026 millones, respectivamente.</w:t>
      </w:r>
    </w:p>
    <w:p w14:paraId="1B97A9E5" w14:textId="77777777" w:rsidR="00FE0836" w:rsidRPr="00AE4E8D" w:rsidRDefault="00FE0836" w:rsidP="00FE0836">
      <w:pPr>
        <w:keepNext/>
        <w:autoSpaceDE w:val="0"/>
        <w:autoSpaceDN w:val="0"/>
        <w:adjustRightInd w:val="0"/>
        <w:spacing w:before="240" w:after="240"/>
        <w:outlineLvl w:val="1"/>
        <w:rPr>
          <w:rFonts w:ascii="Times New Roman" w:hAnsi="Times New Roman"/>
          <w:b/>
          <w:lang w:val="es-ES"/>
        </w:rPr>
      </w:pPr>
      <w:bookmarkStart w:id="518" w:name="_Toc420062584"/>
      <w:bookmarkStart w:id="519" w:name="_Toc421201398"/>
      <w:bookmarkStart w:id="520" w:name="_Toc491775377"/>
      <w:bookmarkStart w:id="521" w:name="_Toc495973020"/>
      <w:bookmarkStart w:id="522" w:name="_Toc495399927"/>
      <w:r w:rsidRPr="00AE4E8D">
        <w:rPr>
          <w:rFonts w:ascii="Times New Roman" w:hAnsi="Times New Roman"/>
          <w:b/>
          <w:lang w:val="es-ES"/>
        </w:rPr>
        <w:t>Sistema Financiero Argentino</w:t>
      </w:r>
      <w:bookmarkEnd w:id="518"/>
      <w:bookmarkEnd w:id="519"/>
      <w:bookmarkEnd w:id="520"/>
      <w:bookmarkEnd w:id="521"/>
      <w:bookmarkEnd w:id="522"/>
    </w:p>
    <w:p w14:paraId="245D7F53" w14:textId="77777777" w:rsidR="00FE0836" w:rsidRPr="00AE4E8D" w:rsidRDefault="00FE0836" w:rsidP="00FE0836">
      <w:pPr>
        <w:pStyle w:val="BHTexto"/>
        <w:rPr>
          <w:lang w:val="es-ES"/>
        </w:rPr>
      </w:pPr>
      <w:r w:rsidRPr="00AE4E8D">
        <w:rPr>
          <w:lang w:val="es-ES"/>
        </w:rPr>
        <w:t>En 2014 se observó una ligera desmonetización de la economía debida a un desplazamiento de una política monetaria expansiva entre 2010 y 2013 hacia una política monetaria moderada posterior a la devaluación</w:t>
      </w:r>
      <w:r w:rsidR="00F9545C">
        <w:rPr>
          <w:lang w:val="es-ES"/>
        </w:rPr>
        <w:t xml:space="preserve"> del Peso en enero de 2014</w:t>
      </w:r>
      <w:r w:rsidRPr="00AE4E8D">
        <w:rPr>
          <w:lang w:val="es-ES"/>
        </w:rPr>
        <w:t>. La colocación de los instrumentos de deuda del BCRA absorbió una parte significativa de la expansión monetaria derivada de la asistencia fiscal al gobierno argentino</w:t>
      </w:r>
      <w:r w:rsidRPr="00AE4E8D" w:rsidDel="00C4593B">
        <w:rPr>
          <w:lang w:val="es-ES"/>
        </w:rPr>
        <w:t xml:space="preserve"> </w:t>
      </w:r>
      <w:r w:rsidRPr="00AE4E8D">
        <w:rPr>
          <w:lang w:val="es-ES"/>
        </w:rPr>
        <w:t>y la compra de moneda extranjera desde el sector privado.</w:t>
      </w:r>
    </w:p>
    <w:p w14:paraId="31EA516B" w14:textId="77777777" w:rsidR="00FE0836" w:rsidRPr="00AE4E8D" w:rsidRDefault="00FE0836" w:rsidP="00897DEC">
      <w:pPr>
        <w:pStyle w:val="BHTexto"/>
        <w:rPr>
          <w:lang w:val="es-ES"/>
        </w:rPr>
      </w:pPr>
      <w:r w:rsidRPr="00AE4E8D">
        <w:rPr>
          <w:lang w:val="es-ES"/>
        </w:rPr>
        <w:t xml:space="preserve">Al 31 de diciembre de 2014, las reservas del BCRA totalizaron US$31.400 millones, un aumento de aproximadamente US$844 millones respecto del </w:t>
      </w:r>
      <w:r w:rsidR="005F5F6C" w:rsidRPr="00AE4E8D">
        <w:rPr>
          <w:lang w:val="es-ES"/>
        </w:rPr>
        <w:t>2013, y US$ 25,5 mil millones al 31 de diciembre de 2015 y US$ 47,9 mil millones al 30 de junio de 2017</w:t>
      </w:r>
      <w:r w:rsidRPr="00AE4E8D">
        <w:rPr>
          <w:lang w:val="es-ES"/>
        </w:rPr>
        <w:t xml:space="preserve">. Este aumento </w:t>
      </w:r>
      <w:r w:rsidR="007E2513" w:rsidRPr="00AE4E8D">
        <w:rPr>
          <w:lang w:val="es-ES"/>
        </w:rPr>
        <w:t xml:space="preserve">desde 2014 hasta 2016 </w:t>
      </w:r>
      <w:r w:rsidRPr="00AE4E8D">
        <w:rPr>
          <w:lang w:val="es-ES"/>
        </w:rPr>
        <w:t xml:space="preserve">derivó, principalmente de ciertas operaciones de </w:t>
      </w:r>
      <w:r w:rsidRPr="00AE4E8D">
        <w:rPr>
          <w:i/>
          <w:lang w:val="es-ES"/>
        </w:rPr>
        <w:t>swap</w:t>
      </w:r>
      <w:r w:rsidRPr="00AE4E8D">
        <w:rPr>
          <w:lang w:val="es-ES"/>
        </w:rPr>
        <w:t xml:space="preserve"> llevadas a cabo</w:t>
      </w:r>
      <w:r w:rsidR="00F9545C">
        <w:rPr>
          <w:lang w:val="es-ES"/>
        </w:rPr>
        <w:t xml:space="preserve"> con </w:t>
      </w:r>
      <w:r w:rsidR="00F9545C" w:rsidRPr="00F9545C">
        <w:rPr>
          <w:lang w:val="es-ES"/>
        </w:rPr>
        <w:t xml:space="preserve">diferentes bancos, el levantamiento de varias restricciones </w:t>
      </w:r>
      <w:r w:rsidR="00F9545C">
        <w:rPr>
          <w:lang w:val="es-ES"/>
        </w:rPr>
        <w:t>de controles de cambio</w:t>
      </w:r>
      <w:r w:rsidR="00F9545C" w:rsidRPr="00F9545C">
        <w:rPr>
          <w:lang w:val="es-ES"/>
        </w:rPr>
        <w:t xml:space="preserve"> implementadas por </w:t>
      </w:r>
      <w:r w:rsidR="00F9545C">
        <w:rPr>
          <w:lang w:val="es-ES"/>
        </w:rPr>
        <w:t>el gobierno de</w:t>
      </w:r>
      <w:r w:rsidR="00F9545C" w:rsidRPr="00F9545C">
        <w:rPr>
          <w:lang w:val="es-ES"/>
        </w:rPr>
        <w:t xml:space="preserve"> Macri y </w:t>
      </w:r>
      <w:r w:rsidR="00F9545C">
        <w:rPr>
          <w:lang w:val="es-ES"/>
        </w:rPr>
        <w:t>el recupero del acceso</w:t>
      </w:r>
      <w:r w:rsidR="00F9545C" w:rsidRPr="00F9545C">
        <w:rPr>
          <w:lang w:val="es-ES"/>
        </w:rPr>
        <w:t xml:space="preserve"> </w:t>
      </w:r>
      <w:r w:rsidR="00897DEC" w:rsidRPr="00F9545C">
        <w:rPr>
          <w:lang w:val="es-ES"/>
        </w:rPr>
        <w:t xml:space="preserve">de Argentina </w:t>
      </w:r>
      <w:r w:rsidR="00897DEC">
        <w:rPr>
          <w:lang w:val="es-ES"/>
        </w:rPr>
        <w:t xml:space="preserve">y de las compañías argentinaos </w:t>
      </w:r>
      <w:r w:rsidR="00F9545C" w:rsidRPr="00F9545C">
        <w:rPr>
          <w:lang w:val="es-ES"/>
        </w:rPr>
        <w:t>a los me</w:t>
      </w:r>
      <w:r w:rsidR="00897DEC">
        <w:rPr>
          <w:lang w:val="es-ES"/>
        </w:rPr>
        <w:t>rcados de capitales extranjeros.</w:t>
      </w:r>
    </w:p>
    <w:p w14:paraId="05424D8B" w14:textId="77777777" w:rsidR="00FE0836" w:rsidRPr="00AE4E8D" w:rsidRDefault="00FE0836" w:rsidP="00FE0836">
      <w:pPr>
        <w:pStyle w:val="BHTexto"/>
        <w:rPr>
          <w:lang w:val="es-ES"/>
        </w:rPr>
      </w:pPr>
      <w:r w:rsidRPr="00AE4E8D">
        <w:rPr>
          <w:lang w:val="es-ES"/>
        </w:rPr>
        <w:t>En forma acorde con el reducido crecimiento de la base monetaria, tuvo lugar una desaceleración de la actividad financiera durante 2014. El total promedio de los depósitos y el total promedio de los créditos aumentó en 27% y 24%, respectivamente, en comparación con el aumento del 27% y 30% en promedio que se registró en 2013</w:t>
      </w:r>
      <w:r w:rsidR="005F5F6C" w:rsidRPr="00AE4E8D">
        <w:rPr>
          <w:lang w:val="es-ES"/>
        </w:rPr>
        <w:t>, respectivamente</w:t>
      </w:r>
      <w:r w:rsidRPr="00AE4E8D">
        <w:rPr>
          <w:lang w:val="es-ES"/>
        </w:rPr>
        <w:t>.</w:t>
      </w:r>
    </w:p>
    <w:p w14:paraId="5BA56E8A" w14:textId="77777777" w:rsidR="00FE0836" w:rsidRPr="00AE4E8D" w:rsidRDefault="00FE0836" w:rsidP="00FE0836">
      <w:pPr>
        <w:pStyle w:val="BHTexto"/>
        <w:rPr>
          <w:lang w:val="es-ES"/>
        </w:rPr>
      </w:pPr>
      <w:r w:rsidRPr="00AE4E8D">
        <w:rPr>
          <w:lang w:val="es-ES"/>
        </w:rPr>
        <w:t>Con respecto a los depósitos, la tendencia de los últimos ejercicios subsistió en 2014, y los depósitos del sector privado aumentaron más que aquéllos del sector público como resultado del déficit fiscal del gobierno nacional y los gobiernos provinciales.</w:t>
      </w:r>
    </w:p>
    <w:p w14:paraId="748E81F1" w14:textId="77777777" w:rsidR="00FE0836" w:rsidRPr="00AE4E8D" w:rsidRDefault="00FE0836" w:rsidP="00FE0836">
      <w:pPr>
        <w:pStyle w:val="BHTexto"/>
        <w:rPr>
          <w:lang w:val="es-ES"/>
        </w:rPr>
      </w:pPr>
      <w:r w:rsidRPr="00AE4E8D">
        <w:rPr>
          <w:lang w:val="es-ES"/>
        </w:rPr>
        <w:t>Con respecto a los activos que generan intereses, la tasa de crecimiento del total de los préstamos en el sistema financiero fue inferior que la observada en el ejercicio 2013, sin perjuicio del hecho que se duplicó la tenencia de las LEBACS. El índice LEBAC/Préstamo registró un aumento del 19% en 2013 a 32% en 2014.</w:t>
      </w:r>
    </w:p>
    <w:p w14:paraId="1A1BE447" w14:textId="77777777" w:rsidR="00FE0836" w:rsidRPr="00AE4E8D" w:rsidRDefault="00FE0836" w:rsidP="00FE0836">
      <w:pPr>
        <w:pStyle w:val="BHTexto"/>
        <w:rPr>
          <w:lang w:val="es-ES"/>
        </w:rPr>
      </w:pPr>
      <w:r w:rsidRPr="00AE4E8D">
        <w:rPr>
          <w:lang w:val="es-ES"/>
        </w:rPr>
        <w:t>La liquidez del sistema creció del 30% al 43% con respecto a los depósitos en diciembre de 2014, debido al aumento de tenencias de LEBAC en el sistema financiero.</w:t>
      </w:r>
    </w:p>
    <w:p w14:paraId="3B1136A9" w14:textId="77777777" w:rsidR="00FE0836" w:rsidRPr="00AE4E8D" w:rsidRDefault="00FE0836" w:rsidP="00FE0836">
      <w:pPr>
        <w:pStyle w:val="BHTexto"/>
        <w:rPr>
          <w:lang w:val="es-ES"/>
        </w:rPr>
      </w:pPr>
      <w:r w:rsidRPr="00AE4E8D">
        <w:rPr>
          <w:lang w:val="es-ES"/>
        </w:rPr>
        <w:t xml:space="preserve">En general, los aumentos en las tasas de interés pueden resultar en una mayor ganancia en concepto de intereses por préstamos. Un aumento en las tasas de interés, sin embargo, podría afectarnos negativamente como resultado de la reducción de la demanda general de nuestros préstamos y de un </w:t>
      </w:r>
      <w:r w:rsidRPr="00AE4E8D">
        <w:rPr>
          <w:lang w:val="es-ES"/>
        </w:rPr>
        <w:lastRenderedPageBreak/>
        <w:t>mayor riesgo de incumplimientos por parte de nuestros clientes. Adicionalmente, tasas de interés relativamente altas afectan nuestros costos de financiamiento y pueden afectar adversamente los márgenes de nuestra cartera de préstamos si no somos capaces de trasladar los costos de financiamiento a nuestros clientes. Por otro lado, una disminución de las tasas de interés podría reducir nuestras ganancias provenientes de nuestra cartera de préstamos. Esta disminución en las ganancias podría ser compensada por un aumento en el volumen de préstamos resultante de un aumento en la demanda y/o una disminución en nuestros costos de financiamiento.</w:t>
      </w:r>
    </w:p>
    <w:p w14:paraId="1E6AB415" w14:textId="77777777" w:rsidR="00FE0836" w:rsidRPr="00AE4E8D" w:rsidRDefault="00FE0836" w:rsidP="00FE0836">
      <w:pPr>
        <w:pStyle w:val="BHTexto"/>
        <w:rPr>
          <w:lang w:val="es-ES"/>
        </w:rPr>
      </w:pPr>
      <w:r w:rsidRPr="00AE4E8D">
        <w:rPr>
          <w:lang w:val="es-ES"/>
        </w:rPr>
        <w:t>También se registró un aumento en las tasas de interés durante el ejercicio 2014, compensando la disminución de la base monetaria. En 2014, el BCRA implementó un régimen de tasas de interés de referencia para préstamos personales y garantizados con el propósito de aumentar la demanda del crédito.</w:t>
      </w:r>
    </w:p>
    <w:p w14:paraId="7E8B566D" w14:textId="77777777" w:rsidR="00FE0836" w:rsidRPr="00AE4E8D" w:rsidRDefault="00FE0836" w:rsidP="00FE0836">
      <w:pPr>
        <w:pStyle w:val="BHTexto"/>
        <w:rPr>
          <w:lang w:val="es-ES"/>
        </w:rPr>
      </w:pPr>
      <w:r w:rsidRPr="00AE4E8D">
        <w:rPr>
          <w:lang w:val="es-ES"/>
        </w:rPr>
        <w:t>Durante 2014, las tasas pasivas disminuyeron debido a exceso de fondos. Con respecto a las tasas pasivas, el BCRA implementó un mecanismo de control, fijando una tasa pasiva mínima para determinados depósitos a plazo.</w:t>
      </w:r>
    </w:p>
    <w:p w14:paraId="427F9AC5" w14:textId="77777777" w:rsidR="00FE0836" w:rsidRPr="00AE4E8D" w:rsidRDefault="00FE0836" w:rsidP="00FE0836">
      <w:pPr>
        <w:pStyle w:val="BHTexto"/>
        <w:rPr>
          <w:lang w:val="es-ES"/>
        </w:rPr>
      </w:pPr>
      <w:bookmarkStart w:id="523" w:name="_Toc423524753"/>
      <w:r w:rsidRPr="00AE4E8D">
        <w:rPr>
          <w:lang w:val="es-ES"/>
        </w:rPr>
        <w:t>En 2014, el sistema financiero registró mayor solidez, incrementando su capacidad de superar potenciales escenarios económicamente volátiles. Se implementaron cambios en el funcionamiento del sistema financiero como resultado de las políticas monetarias y específicas para el sector fijadas por el BCRA. En 2014, luego de nueve años de resultados positivos, se fortaleció la solidez del sistema financiero, con un patrimonio neto de Ps.168</w:t>
      </w:r>
      <w:proofErr w:type="gramStart"/>
      <w:r w:rsidRPr="00AE4E8D">
        <w:rPr>
          <w:lang w:val="es-ES"/>
        </w:rPr>
        <w:t>,2</w:t>
      </w:r>
      <w:proofErr w:type="gramEnd"/>
      <w:r w:rsidRPr="00AE4E8D">
        <w:rPr>
          <w:lang w:val="es-ES"/>
        </w:rPr>
        <w:t> mil millones (un aumento de 38% en relación con el ejercicio anterior).</w:t>
      </w:r>
      <w:bookmarkStart w:id="524" w:name="_Toc420062585"/>
      <w:bookmarkStart w:id="525" w:name="_Toc421201399"/>
    </w:p>
    <w:p w14:paraId="3461451E" w14:textId="77777777" w:rsidR="00FE0836" w:rsidRPr="00AE4E8D" w:rsidRDefault="00FE0836" w:rsidP="00FE0836">
      <w:pPr>
        <w:pStyle w:val="BHTexto"/>
        <w:rPr>
          <w:lang w:val="es-ES"/>
        </w:rPr>
      </w:pPr>
      <w:r w:rsidRPr="00AE4E8D">
        <w:rPr>
          <w:lang w:val="es-ES"/>
        </w:rPr>
        <w:t>El paulatino levantamiento en las restricciones al acceso al mercado de cambios propició una depreciación del peso en diciembre de 2015, que cotizó el 31 de diciembre de 2015 a Ps.13</w:t>
      </w:r>
      <w:proofErr w:type="gramStart"/>
      <w:r w:rsidRPr="00AE4E8D">
        <w:rPr>
          <w:lang w:val="es-ES"/>
        </w:rPr>
        <w:t>,005</w:t>
      </w:r>
      <w:proofErr w:type="gramEnd"/>
      <w:r w:rsidRPr="00AE4E8D">
        <w:rPr>
          <w:lang w:val="es-ES"/>
        </w:rPr>
        <w:t xml:space="preserve"> por US$ 1, representando una depreciación total de 52,1% en el año. Este cambio en la política cambiaria también tuvo su correlato en las tasas de interés en pesos. Por ejemplo, tras permanecer estable a lo largo del 2015 en un rango de entre 20 y 22%, la BADLAR concluyó el año por encima de 27%, incremento que reflejó la política monetaria más restrictiva que implementó el BCRA (principalmente a través de las colocaciones de Letras) en conjunto con la liberación del tipo de cambio. </w:t>
      </w:r>
    </w:p>
    <w:p w14:paraId="12A569AA" w14:textId="77777777" w:rsidR="00FE0836" w:rsidRPr="00AE4E8D" w:rsidRDefault="00FE0836" w:rsidP="005F5F6C">
      <w:pPr>
        <w:pStyle w:val="BHTexto"/>
        <w:rPr>
          <w:lang w:val="es-ES"/>
        </w:rPr>
      </w:pPr>
      <w:r w:rsidRPr="00AE4E8D">
        <w:rPr>
          <w:lang w:val="es-ES"/>
        </w:rPr>
        <w:t xml:space="preserve">Los préstamos privados en pesos mostraron en 2015 un incremento de 37%, por debajo del alza de los depósitos de 38%, lo cual propició un incremento en la liquidez del sistema. </w:t>
      </w:r>
      <w:r w:rsidR="005F5F6C" w:rsidRPr="00AE4E8D">
        <w:rPr>
          <w:lang w:val="es-ES"/>
        </w:rPr>
        <w:t>Los préstamos al sector privado no financiero en pesos crecieron un 33% en 2016, mientras que los depósitos del sector privado no financiero en pesos crecieron un 43%.</w:t>
      </w:r>
    </w:p>
    <w:p w14:paraId="6ED36975" w14:textId="77777777" w:rsidR="00FE0836" w:rsidRPr="00AE4E8D" w:rsidRDefault="00FE0836" w:rsidP="00FE0836">
      <w:pPr>
        <w:pStyle w:val="BHTexto"/>
        <w:rPr>
          <w:color w:val="000000"/>
          <w:lang w:val="es-ES"/>
        </w:rPr>
      </w:pPr>
      <w:r w:rsidRPr="00AE4E8D">
        <w:rPr>
          <w:color w:val="000000"/>
          <w:lang w:val="es-ES"/>
        </w:rPr>
        <w:t>El sistema financiero se conserv</w:t>
      </w:r>
      <w:r w:rsidR="00D1302F" w:rsidRPr="00AE4E8D">
        <w:rPr>
          <w:color w:val="000000"/>
          <w:lang w:val="es-ES"/>
        </w:rPr>
        <w:t>ó</w:t>
      </w:r>
      <w:r w:rsidRPr="00AE4E8D">
        <w:rPr>
          <w:color w:val="000000"/>
          <w:lang w:val="es-ES"/>
        </w:rPr>
        <w:t xml:space="preserve"> estable durante </w:t>
      </w:r>
      <w:r w:rsidR="00D1302F" w:rsidRPr="00AE4E8D">
        <w:rPr>
          <w:color w:val="000000"/>
          <w:lang w:val="es-ES"/>
        </w:rPr>
        <w:t>los primeros seis meses d</w:t>
      </w:r>
      <w:r w:rsidRPr="00AE4E8D">
        <w:rPr>
          <w:color w:val="000000"/>
          <w:lang w:val="es-ES"/>
        </w:rPr>
        <w:t>el 2017, frente a un contexto externo y doméstico con cambios que tendieron a ser favorables</w:t>
      </w:r>
      <w:r w:rsidR="00D1302F" w:rsidRPr="00AE4E8D">
        <w:rPr>
          <w:color w:val="000000"/>
          <w:lang w:val="es-ES"/>
        </w:rPr>
        <w:t>.</w:t>
      </w:r>
      <w:r w:rsidRPr="00AE4E8D">
        <w:rPr>
          <w:color w:val="000000"/>
          <w:lang w:val="es-ES"/>
        </w:rPr>
        <w:t xml:space="preserve"> </w:t>
      </w:r>
      <w:r w:rsidR="00D1302F" w:rsidRPr="00AE4E8D">
        <w:rPr>
          <w:color w:val="000000"/>
          <w:lang w:val="es-ES"/>
        </w:rPr>
        <w:t>E</w:t>
      </w:r>
      <w:r w:rsidRPr="00AE4E8D">
        <w:rPr>
          <w:color w:val="000000"/>
          <w:lang w:val="es-ES"/>
        </w:rPr>
        <w:t>l sector mant</w:t>
      </w:r>
      <w:r w:rsidR="00D1302F" w:rsidRPr="00AE4E8D">
        <w:rPr>
          <w:color w:val="000000"/>
          <w:lang w:val="es-ES"/>
        </w:rPr>
        <w:t>uvo</w:t>
      </w:r>
      <w:r w:rsidRPr="00AE4E8D">
        <w:rPr>
          <w:color w:val="000000"/>
          <w:lang w:val="es-ES"/>
        </w:rPr>
        <w:t xml:space="preserve"> niveles de liquidez y solvencia</w:t>
      </w:r>
      <w:r w:rsidR="00D1302F" w:rsidRPr="00AE4E8D">
        <w:rPr>
          <w:color w:val="000000"/>
          <w:lang w:val="es-ES"/>
        </w:rPr>
        <w:t xml:space="preserve"> requeridos</w:t>
      </w:r>
      <w:r w:rsidRPr="00AE4E8D">
        <w:rPr>
          <w:color w:val="000000"/>
          <w:lang w:val="es-ES"/>
        </w:rPr>
        <w:t xml:space="preserve">, así como una exposición entre baja y moderada a los diferentes riesgos propios de la actividad, mostrando un grado considerable de resistencia a eventos de tensión. </w:t>
      </w:r>
    </w:p>
    <w:p w14:paraId="3F81B161" w14:textId="77777777" w:rsidR="00FE0836" w:rsidRPr="00AE4E8D" w:rsidRDefault="00FE0836" w:rsidP="00FE0836">
      <w:pPr>
        <w:pStyle w:val="BHTexto"/>
        <w:rPr>
          <w:color w:val="000000"/>
          <w:lang w:val="es-ES"/>
        </w:rPr>
      </w:pPr>
      <w:r w:rsidRPr="00AE4E8D">
        <w:rPr>
          <w:color w:val="000000"/>
          <w:lang w:val="es-ES"/>
        </w:rPr>
        <w:t>Una menor volatilidad en los mercados financieros internacionales y mejoras en la actividad económica de los principales socios comerciales del país, permitieron que aumente la colocación de deuda en los mercados externos, atrayendo capitales para incrementar la disponibilidad del financiamiento para el sector productivo local</w:t>
      </w:r>
    </w:p>
    <w:p w14:paraId="6D7EA416" w14:textId="77777777" w:rsidR="00FE0836" w:rsidRPr="00AE4E8D" w:rsidRDefault="00FE0836" w:rsidP="00FE0836">
      <w:pPr>
        <w:pStyle w:val="BHTexto"/>
        <w:rPr>
          <w:color w:val="000000"/>
          <w:lang w:val="es-ES"/>
        </w:rPr>
      </w:pPr>
      <w:r w:rsidRPr="00AE4E8D">
        <w:rPr>
          <w:color w:val="000000"/>
          <w:lang w:val="es-ES"/>
        </w:rPr>
        <w:t xml:space="preserve">La </w:t>
      </w:r>
      <w:r w:rsidR="00D1302F" w:rsidRPr="00AE4E8D">
        <w:rPr>
          <w:color w:val="000000"/>
          <w:lang w:val="es-ES"/>
        </w:rPr>
        <w:t xml:space="preserve">estabilización </w:t>
      </w:r>
      <w:r w:rsidRPr="00AE4E8D">
        <w:rPr>
          <w:color w:val="000000"/>
          <w:lang w:val="es-ES"/>
        </w:rPr>
        <w:t>del mercado cambiario y el Sinceramiento Fiscal ha permitido que se canalicen los fondos del sector privado hacia un aumento de los depósitos en el sistema. Por su parte el incremento del crédito al sector privado se mantiene estable tanto para empresas como para</w:t>
      </w:r>
      <w:r w:rsidR="00D1302F" w:rsidRPr="00AE4E8D">
        <w:rPr>
          <w:color w:val="000000"/>
          <w:lang w:val="es-ES"/>
        </w:rPr>
        <w:t xml:space="preserve"> los individuos</w:t>
      </w:r>
      <w:r w:rsidRPr="00AE4E8D">
        <w:rPr>
          <w:color w:val="000000"/>
          <w:lang w:val="es-ES"/>
        </w:rPr>
        <w:t>, fundamentalmente por factores estacionales. Se espera que continúe consolidándose el fondeo de los bancos y que se dinamice el crédito dado una mayor demanda de crédito con motivo de la mejora en el empleo, el salario real y la actividad económica.</w:t>
      </w:r>
    </w:p>
    <w:p w14:paraId="2E69D5A2" w14:textId="77777777" w:rsidR="00FE0836" w:rsidRPr="00AE4E8D" w:rsidRDefault="00FE0836" w:rsidP="00FE0836">
      <w:pPr>
        <w:pStyle w:val="BHTexto"/>
        <w:rPr>
          <w:color w:val="000000"/>
          <w:lang w:val="es-ES"/>
        </w:rPr>
      </w:pPr>
      <w:r w:rsidRPr="00AE4E8D">
        <w:rPr>
          <w:color w:val="000000"/>
          <w:lang w:val="es-ES"/>
        </w:rPr>
        <w:t xml:space="preserve">En los últimos meses se registró un sostenido crecimiento de la colocación de préstamos hipotecarios ajustables a familias (ajustables por UVA, Unidades de Valor Adquisitivo actualizables por “CER”), superando los Ps.10.078 millones en el acumulado desde su lanzamiento en abril de 2016 hasta </w:t>
      </w:r>
      <w:r w:rsidR="00D1302F" w:rsidRPr="00AE4E8D">
        <w:rPr>
          <w:color w:val="000000"/>
          <w:lang w:val="es-ES"/>
        </w:rPr>
        <w:t xml:space="preserve">el 30 de </w:t>
      </w:r>
      <w:r w:rsidRPr="00AE4E8D">
        <w:rPr>
          <w:color w:val="000000"/>
          <w:lang w:val="es-ES"/>
        </w:rPr>
        <w:t xml:space="preserve">junio de 2017. </w:t>
      </w:r>
    </w:p>
    <w:p w14:paraId="2D356239" w14:textId="77777777" w:rsidR="00FE0836" w:rsidRPr="00AE4E8D" w:rsidRDefault="00FE0836" w:rsidP="00FE0836">
      <w:pPr>
        <w:pStyle w:val="BHTexto"/>
        <w:rPr>
          <w:color w:val="000000"/>
          <w:lang w:val="es-ES"/>
        </w:rPr>
      </w:pPr>
      <w:r w:rsidRPr="00AE4E8D">
        <w:rPr>
          <w:color w:val="000000"/>
          <w:lang w:val="es-ES"/>
        </w:rPr>
        <w:t>Los préstamos en moneda extranjera al sector privado exhibieron un aumento que estuvo fundamentalmente conformado por las líneas</w:t>
      </w:r>
      <w:r w:rsidR="00D1302F" w:rsidRPr="00AE4E8D">
        <w:rPr>
          <w:color w:val="000000"/>
          <w:lang w:val="es-ES"/>
        </w:rPr>
        <w:t xml:space="preserve"> de crédito</w:t>
      </w:r>
      <w:r w:rsidRPr="00AE4E8D">
        <w:rPr>
          <w:color w:val="000000"/>
          <w:lang w:val="es-ES"/>
        </w:rPr>
        <w:t xml:space="preserve"> asociadas a la prefinanciación de exportaciones.</w:t>
      </w:r>
    </w:p>
    <w:p w14:paraId="7405EB49" w14:textId="77777777" w:rsidR="00FE0836" w:rsidRPr="00AE4E8D" w:rsidRDefault="00FE0836" w:rsidP="00FE0836">
      <w:pPr>
        <w:pStyle w:val="BHTexto"/>
        <w:rPr>
          <w:color w:val="000000"/>
          <w:lang w:val="es-ES"/>
        </w:rPr>
      </w:pPr>
      <w:r w:rsidRPr="00AE4E8D">
        <w:rPr>
          <w:color w:val="000000"/>
          <w:lang w:val="es-ES"/>
        </w:rPr>
        <w:t>En cuanto al fondeo del sector</w:t>
      </w:r>
      <w:r w:rsidR="00D1302F" w:rsidRPr="00AE4E8D">
        <w:rPr>
          <w:color w:val="000000"/>
          <w:lang w:val="es-ES"/>
        </w:rPr>
        <w:t xml:space="preserve"> financiero</w:t>
      </w:r>
      <w:r w:rsidRPr="00AE4E8D">
        <w:rPr>
          <w:color w:val="000000"/>
          <w:lang w:val="es-ES"/>
        </w:rPr>
        <w:t xml:space="preserve">, a abril de 2017 los depósitos del sector privado en pesos acumularon un crecimiento nominal anual de 48,9%, sustentado en un incremento del saldo de cajas de ahorro del 75,0%, y en menor medida por </w:t>
      </w:r>
      <w:r w:rsidR="00E8704F" w:rsidRPr="00AE4E8D">
        <w:rPr>
          <w:color w:val="000000"/>
          <w:lang w:val="es-ES"/>
        </w:rPr>
        <w:t xml:space="preserve">un incremento de </w:t>
      </w:r>
      <w:r w:rsidRPr="00AE4E8D">
        <w:rPr>
          <w:color w:val="000000"/>
          <w:lang w:val="es-ES"/>
        </w:rPr>
        <w:t>los plazos fijos en un 16,1%.</w:t>
      </w:r>
    </w:p>
    <w:p w14:paraId="222053C5" w14:textId="77777777" w:rsidR="00FE0836" w:rsidRPr="00AE4E8D" w:rsidRDefault="00FE0836" w:rsidP="00FE0836">
      <w:pPr>
        <w:pStyle w:val="BHTexto"/>
        <w:rPr>
          <w:color w:val="000000"/>
          <w:lang w:val="es-ES"/>
        </w:rPr>
      </w:pPr>
      <w:r w:rsidRPr="00AE4E8D">
        <w:rPr>
          <w:color w:val="000000"/>
          <w:lang w:val="es-ES"/>
        </w:rPr>
        <w:t xml:space="preserve">El saldo de depósitos en moneda extranjera del sector privado acumuló hasta </w:t>
      </w:r>
      <w:r w:rsidR="0004410E" w:rsidRPr="00AE4E8D">
        <w:rPr>
          <w:color w:val="000000"/>
          <w:lang w:val="es-ES"/>
        </w:rPr>
        <w:t xml:space="preserve">el 30 de </w:t>
      </w:r>
      <w:r w:rsidRPr="00AE4E8D">
        <w:rPr>
          <w:color w:val="000000"/>
          <w:lang w:val="es-ES"/>
        </w:rPr>
        <w:t xml:space="preserve">junio </w:t>
      </w:r>
      <w:r w:rsidR="0004410E" w:rsidRPr="00AE4E8D">
        <w:rPr>
          <w:color w:val="000000"/>
          <w:lang w:val="es-ES"/>
        </w:rPr>
        <w:t xml:space="preserve">de 2017 </w:t>
      </w:r>
      <w:r w:rsidRPr="00AE4E8D">
        <w:rPr>
          <w:color w:val="000000"/>
          <w:lang w:val="es-ES"/>
        </w:rPr>
        <w:t xml:space="preserve">un incremento de 1,1%. Al 30 de junio de 2017 las reservas del BCRA totalizaron en US$ 47.995 millones. </w:t>
      </w:r>
    </w:p>
    <w:p w14:paraId="4D3A76F8" w14:textId="77777777" w:rsidR="00FE0836" w:rsidRPr="00AE4E8D" w:rsidRDefault="00FE0836" w:rsidP="00FE0836">
      <w:pPr>
        <w:pStyle w:val="BHTexto"/>
        <w:rPr>
          <w:color w:val="000000"/>
          <w:lang w:val="es-ES"/>
        </w:rPr>
      </w:pPr>
      <w:r w:rsidRPr="00AE4E8D">
        <w:rPr>
          <w:color w:val="000000"/>
          <w:lang w:val="es-ES"/>
        </w:rPr>
        <w:lastRenderedPageBreak/>
        <w:t>En 2016 las entidades continuaron incrementando su fondeo de mayor plazo, colocando bonos por Ps.45.</w:t>
      </w:r>
      <w:r w:rsidR="002A231D">
        <w:rPr>
          <w:color w:val="000000"/>
          <w:lang w:val="es-ES"/>
        </w:rPr>
        <w:t>187</w:t>
      </w:r>
      <w:r w:rsidRPr="00AE4E8D">
        <w:rPr>
          <w:color w:val="000000"/>
          <w:lang w:val="es-ES"/>
        </w:rPr>
        <w:t xml:space="preserve"> millones en el acumulado del año, casi el triple del valor de 2015. El volumen de financiamiento mediante estos instrumentos ascendió a Ps. 9.566,6 millones en los primeros cuatro meses de 2017. </w:t>
      </w:r>
    </w:p>
    <w:p w14:paraId="56F2F018" w14:textId="77777777" w:rsidR="00FE0836" w:rsidRPr="00AE4E8D" w:rsidRDefault="00FE0836" w:rsidP="00FE0836">
      <w:pPr>
        <w:pStyle w:val="BHTexto"/>
        <w:rPr>
          <w:color w:val="000000"/>
          <w:lang w:val="es-ES"/>
        </w:rPr>
      </w:pPr>
      <w:r w:rsidRPr="00AE4E8D">
        <w:rPr>
          <w:color w:val="000000"/>
          <w:lang w:val="es-ES"/>
        </w:rPr>
        <w:t>Atento la mejora registrada en el contexto económico y financiero, y el avance logrado en la creación de una curva de rendimientos en pesos nominales, se espera que el nivel y ponderación de este tipo de fondeo de mayor plazo aumente en los próximos períodos, sosteniendo el crecimiento esperado del sistema financiero.</w:t>
      </w:r>
    </w:p>
    <w:p w14:paraId="40F1A70E" w14:textId="77777777" w:rsidR="00FE0836" w:rsidRPr="00AE4E8D" w:rsidRDefault="00FE0836" w:rsidP="00FE0836">
      <w:pPr>
        <w:pStyle w:val="BHTexto"/>
        <w:rPr>
          <w:lang w:val="es-ES"/>
        </w:rPr>
      </w:pPr>
      <w:r w:rsidRPr="00AE4E8D">
        <w:rPr>
          <w:color w:val="000000"/>
          <w:lang w:val="es-ES"/>
        </w:rPr>
        <w:t>El nuevo marco monetario y financiero</w:t>
      </w:r>
      <w:r w:rsidR="00D1302F" w:rsidRPr="00AE4E8D">
        <w:rPr>
          <w:color w:val="000000"/>
          <w:lang w:val="es-ES"/>
        </w:rPr>
        <w:t>, sin embargo,</w:t>
      </w:r>
      <w:r w:rsidRPr="00AE4E8D">
        <w:rPr>
          <w:color w:val="000000"/>
          <w:lang w:val="es-ES"/>
        </w:rPr>
        <w:t xml:space="preserve"> presenta desafíos sobre la forma en que los bancos llevan adelante su actividad en Argentina, fundamentalmente en cuanto a su sesgo transaccional y a la proporción de las ganancias que derivan del fondeo a tasas reales muy bajas como consecuencia de la inflación. En un contexto de deflación y de tasas de interés reales positivas para el ahorrista, junto con condiciones que favorecen una mayor competencia, las entidades deberían readecuar sus modelos de negocios. Así, la materialización de las buenas perspectivas de crecimiento de la economía daría lugar a nuevas oportunidades de negocios para el sector. Las entidades podrán planificar con mayor certeza y aprovechar economías de escala. Las fortalezas actuales del sector son claves en esta coyuntura: una posición solvente y muy líquida, una cartera pequeña de alta calidad y con un gran potencial para crecer</w:t>
      </w:r>
    </w:p>
    <w:p w14:paraId="11A291DD" w14:textId="77777777" w:rsidR="00FE0836" w:rsidRPr="00AE4E8D" w:rsidRDefault="00FE0836" w:rsidP="00FE0836">
      <w:pPr>
        <w:pStyle w:val="BH3Izquierda"/>
        <w:rPr>
          <w:lang w:val="es-ES"/>
        </w:rPr>
      </w:pPr>
      <w:r w:rsidRPr="00AE4E8D">
        <w:rPr>
          <w:lang w:val="es-ES"/>
        </w:rPr>
        <w:t>Inflación</w:t>
      </w:r>
    </w:p>
    <w:p w14:paraId="24C29398" w14:textId="77777777" w:rsidR="00FE0836" w:rsidRPr="00AE4E8D" w:rsidRDefault="00FE0836" w:rsidP="00FE0836">
      <w:pPr>
        <w:pStyle w:val="BHTexto"/>
        <w:rPr>
          <w:lang w:val="es-ES"/>
        </w:rPr>
      </w:pPr>
      <w:r w:rsidRPr="00AE4E8D">
        <w:rPr>
          <w:lang w:val="es-ES"/>
        </w:rPr>
        <w:t>Históricamente, la inflación en Argentina ha jugado un papel fundamental influenciando las condiciones económicas imperantes en la Argentina y, en consecuencia, de los resultados operativos y financieros de las compañías que operan en la Argentina, tales como nosotros.</w:t>
      </w:r>
    </w:p>
    <w:p w14:paraId="57A4EC8F" w14:textId="77777777" w:rsidR="00FE0836" w:rsidRPr="00AE4E8D" w:rsidRDefault="00FE0836" w:rsidP="00D1302F">
      <w:pPr>
        <w:pStyle w:val="BHTexto"/>
        <w:rPr>
          <w:lang w:val="es-AR"/>
        </w:rPr>
      </w:pPr>
      <w:r w:rsidRPr="00AE4E8D">
        <w:rPr>
          <w:lang w:val="es-ES"/>
        </w:rPr>
        <w:t>El incremento de los agregados monetarios produj</w:t>
      </w:r>
      <w:r w:rsidR="00F22865" w:rsidRPr="00AE4E8D">
        <w:rPr>
          <w:lang w:val="es-ES"/>
        </w:rPr>
        <w:t>o</w:t>
      </w:r>
      <w:r w:rsidRPr="00AE4E8D">
        <w:rPr>
          <w:lang w:val="es-ES"/>
        </w:rPr>
        <w:t xml:space="preserve"> que la inflación se acelerara en la segunda mitad del 2015 y según el índice de precios publicada por la Provincia de San Luis (una de las pocas provincias argentinas que publica índices que se pueden considerar como fiables a la luz de la emergencia por la que atravesó el INDEC (véase más adelante)) aumentó un 31,6% en 2015. </w:t>
      </w:r>
      <w:r w:rsidR="00D1302F" w:rsidRPr="00AE4E8D">
        <w:rPr>
          <w:lang w:val="es-ES"/>
        </w:rPr>
        <w:t>La inflación anual estimada fue de 41.05% para 2016 (medida por el índice de precios al consumidor de la Ciudad de Buenos Aires), y la inflación entre enero de 2017 y septiembre de 2017 fue de 17.6% (medido por el índice nacional de precios al consumidor publicado por INDEC).</w:t>
      </w:r>
    </w:p>
    <w:p w14:paraId="6D140895" w14:textId="77777777" w:rsidR="00FE0836" w:rsidRPr="00AE4E8D" w:rsidRDefault="00FE0836" w:rsidP="00FE0836">
      <w:pPr>
        <w:pStyle w:val="BHTexto"/>
        <w:rPr>
          <w:lang w:val="es-ES"/>
        </w:rPr>
      </w:pPr>
      <w:r w:rsidRPr="00AE4E8D">
        <w:rPr>
          <w:lang w:val="es-ES"/>
        </w:rPr>
        <w:t>El 8 de enero de 2016, sobre la base de que el INDEC no había podido producir información estadística fiable, en especial con respecto al IPC, PBI y datos respecto del comercio exterior, los índices de pobreza y de desempleo, el gobierno de Macri declaró el estado de emergencia administrativa para el sistema nacional de estadística y el INDEC. En este sentido, el INDEC suspendió la publicación de ciertos datos estadísticos hasta que se pueda llevar a cabo una reorganización de su estructura técnica y administrativa para recuperar su capacidad de producir información estadística suficiente y fiable.</w:t>
      </w:r>
    </w:p>
    <w:p w14:paraId="349A25C7" w14:textId="77777777" w:rsidR="00FE0836" w:rsidRPr="00AE4E8D" w:rsidRDefault="00FE0836" w:rsidP="00FE0836">
      <w:pPr>
        <w:pStyle w:val="BHTexto"/>
        <w:rPr>
          <w:lang w:val="es-ES"/>
        </w:rPr>
      </w:pPr>
      <w:r w:rsidRPr="00AE4E8D">
        <w:rPr>
          <w:lang w:val="es-ES"/>
        </w:rPr>
        <w:t xml:space="preserve">Luego de este proceso de reorganización y recuperación, el INDEC comenzó gradualmente a reanudar la publicación de los datos oficiales, el 15 de junio 2016, 13 de julio de 2016 y 12 de agosto 2016, publicó los datos de inflación de mayo, junio y julio de 2016, presentando incrementos mensuales de 4,2%, 3,1% y 2,0%, respectivamente. Sin embargo, el INDEC aún no ha publicado el IPC durante los primeros cuatro meses del 2016. Para mayor información véase “Impacto de las Condiciones Económicas en Argentina”. </w:t>
      </w:r>
    </w:p>
    <w:p w14:paraId="18A821A1" w14:textId="77777777" w:rsidR="00FE0836" w:rsidRPr="00AE4E8D" w:rsidRDefault="00FE0836" w:rsidP="00B200E8">
      <w:pPr>
        <w:pStyle w:val="BHTexto"/>
        <w:rPr>
          <w:lang w:val="es-AR"/>
        </w:rPr>
      </w:pPr>
      <w:r w:rsidRPr="00AE4E8D">
        <w:rPr>
          <w:lang w:val="es-ES"/>
        </w:rPr>
        <w:t xml:space="preserve">En septiembre el BCRA publicó su inflación, cuyas metas son de 12% a 17% para 2017, de 8% a 12% para 2018 y de 5% a partir de 2019. </w:t>
      </w:r>
      <w:r w:rsidR="00F22865" w:rsidRPr="00AE4E8D">
        <w:rPr>
          <w:lang w:val="es-ES"/>
        </w:rPr>
        <w:t xml:space="preserve">Estas metas </w:t>
      </w:r>
      <w:r w:rsidRPr="00AE4E8D">
        <w:rPr>
          <w:lang w:val="es-ES"/>
        </w:rPr>
        <w:t>implica</w:t>
      </w:r>
      <w:r w:rsidR="00F22865" w:rsidRPr="00AE4E8D">
        <w:rPr>
          <w:lang w:val="es-ES"/>
        </w:rPr>
        <w:t>n</w:t>
      </w:r>
      <w:r w:rsidRPr="00AE4E8D">
        <w:rPr>
          <w:lang w:val="es-ES"/>
        </w:rPr>
        <w:t xml:space="preserve"> que el BCRA usará todos los instrumentos de política monetaria a su alcance para lograr sus objetivos</w:t>
      </w:r>
      <w:r w:rsidR="00F22865" w:rsidRPr="00AE4E8D">
        <w:rPr>
          <w:lang w:val="es-ES"/>
        </w:rPr>
        <w:t>, con respecto a las metas de inflación. A la fecha de este Prospecto, no se han publicado nuevas metas de inflación.</w:t>
      </w:r>
    </w:p>
    <w:p w14:paraId="051EEB45" w14:textId="77777777" w:rsidR="00FE0836" w:rsidRPr="00AE4E8D" w:rsidRDefault="00FE0836" w:rsidP="00FE0836">
      <w:pPr>
        <w:pStyle w:val="BH3Izquierda"/>
        <w:rPr>
          <w:lang w:val="es-ES"/>
        </w:rPr>
      </w:pPr>
      <w:bookmarkStart w:id="526" w:name="_Toc420062586"/>
      <w:bookmarkStart w:id="527" w:name="_Toc421201400"/>
      <w:bookmarkEnd w:id="523"/>
      <w:bookmarkEnd w:id="524"/>
      <w:bookmarkEnd w:id="525"/>
      <w:r w:rsidRPr="00AE4E8D">
        <w:rPr>
          <w:lang w:val="es-ES"/>
        </w:rPr>
        <w:t>Políticas Contables Críticas</w:t>
      </w:r>
    </w:p>
    <w:p w14:paraId="0E345803"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Consideramos que las siguientes son nuestras políticas contables críticas bajo las Normas Contables del BCRA, las cuales son importantes para el reflejo de nuestra situación patrimonial y los resultados de nuestras operaciones, y requieren un juicio subjetivo y complejo que generan la necesidad de realizar estimaciones sobre el efecto de cuestiones que son inherentemente inciertas.</w:t>
      </w:r>
    </w:p>
    <w:p w14:paraId="0921296F"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Préstamos</w:t>
      </w:r>
    </w:p>
    <w:p w14:paraId="583F3F98"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Registramos nuestros préstamos a sus montos de capital en circulación, ajustados por el CER y el Coeficiente de Variación Salarial (“</w:t>
      </w:r>
      <w:r w:rsidRPr="00AE4E8D">
        <w:rPr>
          <w:rFonts w:ascii="Times New Roman" w:hAnsi="Times New Roman"/>
          <w:u w:val="single"/>
          <w:lang w:val="es-ES" w:eastAsia="es-AR"/>
        </w:rPr>
        <w:t>CVS</w:t>
      </w:r>
      <w:r w:rsidRPr="00AE4E8D">
        <w:rPr>
          <w:rFonts w:ascii="Times New Roman" w:hAnsi="Times New Roman"/>
          <w:lang w:val="es-ES" w:eastAsia="es-AR"/>
        </w:rPr>
        <w:t xml:space="preserve">”), de corresponder, con más los intereses devengados y neto del </w:t>
      </w:r>
      <w:r w:rsidRPr="00AE4E8D">
        <w:rPr>
          <w:rFonts w:ascii="Times New Roman" w:hAnsi="Times New Roman"/>
          <w:lang w:val="es-ES" w:eastAsia="es-AR"/>
        </w:rPr>
        <w:lastRenderedPageBreak/>
        <w:t>cargo por incobrabilidad. Suspendemos el devengamiento de intereses sobre préstamos con vencimiento mayor a los 90 días.</w:t>
      </w:r>
    </w:p>
    <w:p w14:paraId="0D7793DF"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Los préstamos al sector privado no financiero originalmente otorgados en moneda extranjera antes de diciembre de 2001 han sido convertidos a Pesos al tipo de cambio Ps.1</w:t>
      </w:r>
      <w:proofErr w:type="gramStart"/>
      <w:r w:rsidRPr="00AE4E8D">
        <w:rPr>
          <w:rFonts w:ascii="Times New Roman" w:hAnsi="Times New Roman"/>
          <w:lang w:val="es-ES" w:eastAsia="es-AR"/>
        </w:rPr>
        <w:t>,00</w:t>
      </w:r>
      <w:proofErr w:type="gramEnd"/>
      <w:r w:rsidRPr="00AE4E8D">
        <w:rPr>
          <w:rFonts w:ascii="Times New Roman" w:hAnsi="Times New Roman"/>
          <w:lang w:val="es-ES" w:eastAsia="es-AR"/>
        </w:rPr>
        <w:t xml:space="preserve"> por 1,00 Dólar Estadounidense, conforme establece la Ley Nº25.561, Decreto Nº214/02 y las normas complementarias y sus modificaciones. A partir del 3 de febrero de 2002, se han aplicado el CER y el CVS al monto de dichos préstamos y se han establecido tasas máximas, dependiendo del prestatario.</w:t>
      </w:r>
    </w:p>
    <w:p w14:paraId="3F7089D5"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Devengamiento de Intereses y Ajustes de Capital</w:t>
      </w:r>
    </w:p>
    <w:p w14:paraId="5B649694"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Para operaciones activas en general y en ciertas operaciones pasivas en moneda extranjera y nacional, los intereses se reconocen sobre una base compuesta, lo que brinda una tasa efectiva creciente durante la vida del préstamo. Se interrumpieron los devengamientos de interés para préstamos con vencimiento mayor a 90 días.</w:t>
      </w:r>
    </w:p>
    <w:p w14:paraId="3CF1A2AD"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Los ajustes de capital por aplicación del CER, se devengaron conforme establecen las normas del BCRA. Al 30 de junio de 2017, los ajustes del CER y CVS reportados bajo egresos financieros fueron de Ps.25</w:t>
      </w:r>
      <w:proofErr w:type="gramStart"/>
      <w:r w:rsidRPr="00AE4E8D">
        <w:rPr>
          <w:rFonts w:ascii="Times New Roman" w:hAnsi="Times New Roman"/>
          <w:lang w:val="es-ES" w:eastAsia="es-AR"/>
        </w:rPr>
        <w:t>,0</w:t>
      </w:r>
      <w:proofErr w:type="gramEnd"/>
      <w:r w:rsidRPr="00AE4E8D">
        <w:rPr>
          <w:rFonts w:ascii="Times New Roman" w:hAnsi="Times New Roman"/>
          <w:lang w:val="es-ES" w:eastAsia="es-AR"/>
        </w:rPr>
        <w:t xml:space="preserve"> millones. </w:t>
      </w:r>
    </w:p>
    <w:p w14:paraId="1CFAAACE"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Los ajustes de capital por aplicación del UVA, UVI, CER y CVS fueron devengados de acuerdo con normas emitidas por el BCRA, interrumpiéndose el devengamiento de los mismos para préstamos cuya mora supera los noventa días.</w:t>
      </w:r>
    </w:p>
    <w:p w14:paraId="57776026" w14:textId="77777777" w:rsidR="00FE0836" w:rsidRPr="00AE4E8D" w:rsidRDefault="00FE0836" w:rsidP="00FE0836">
      <w:pPr>
        <w:autoSpaceDE w:val="0"/>
        <w:autoSpaceDN w:val="0"/>
        <w:adjustRightInd w:val="0"/>
        <w:spacing w:before="120" w:after="120"/>
        <w:jc w:val="both"/>
        <w:rPr>
          <w:rFonts w:ascii="Times New Roman" w:hAnsi="Times New Roman"/>
          <w:b/>
          <w:lang w:val="es-ES" w:eastAsia="es-AR"/>
        </w:rPr>
      </w:pPr>
      <w:r w:rsidRPr="00AE4E8D">
        <w:rPr>
          <w:rFonts w:ascii="Times New Roman" w:hAnsi="Times New Roman"/>
          <w:b/>
          <w:lang w:val="es-ES" w:eastAsia="es-AR"/>
        </w:rPr>
        <w:t>Cargo por incobrabilidad</w:t>
      </w:r>
    </w:p>
    <w:p w14:paraId="19B07E4E"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Establecemos un cargo por incobrabilidad para pérdidas estimadas con respecto a préstamos y los intereses devengados relacionados. La previsión contabilizada como gasto es determinada por la gerencia en base a la clasificación de préstamos, la experiencia de incobrabilidad real, las condiciones económicas actuales y esperadas, la antigüedad de la mora y la evaluación de incobrabilidad potencial en la cartera de préstamos actual. Prestamos especial atención a los préstamos que demuestran que pueden afectar negativamente su capacidad de recuperar el préstamo y los intereses devengados.</w:t>
      </w:r>
    </w:p>
    <w:p w14:paraId="22EA2A6A"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Seguros</w:t>
      </w:r>
    </w:p>
    <w:p w14:paraId="0C69E134"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Registramos previsiones por siniestros incurridos, pero no informados, y reclamos de seguro en trámite en base a la experiencia de incobrabilidad histórica. Brindamos seguro de daños patrimoniales, de vida y de desempleo a sus clientes. Reconocemos los ingresos por primas de seguro en el contexto en que se imputa como un componente de la cuota del préstamo mensual bajo “Ingresos por Servicios” en el estado de resultados consolidado que se acompaña.</w:t>
      </w:r>
    </w:p>
    <w:p w14:paraId="54F14050"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Interrumpimos el devengamiento de primas de seguro para préstamos individuales cuando el préstamo relacionado tiene un vencimiento mayor a 90 días.</w:t>
      </w:r>
    </w:p>
    <w:p w14:paraId="463D0E49"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Instrumentos Financieros Derivados</w:t>
      </w:r>
    </w:p>
    <w:p w14:paraId="2F59DC77"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Los swaps de moneda se registraron sobre la base del activo o pasivo neto derivado del devengamiento del monto a cobrar en euros o dólares estadounidenses, menos el devengamiento de intereses pagaderos en dólares estadounidenses o euros (ambos derivados del cupón actual del swap).</w:t>
      </w:r>
    </w:p>
    <w:p w14:paraId="256B81D2"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Las operaciones a término han sido registradas por la diferencia entre el tipo de cambio acordado y el tipo de cambio de contado al cierre del ejercicio.</w:t>
      </w:r>
    </w:p>
    <w:p w14:paraId="28601ECC"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Los contratos de futuros para comprar o vender moneda extranjera se registran a valor razonable. La liquidación de estos contratos se registra diariamente por la diferencia, si hubiera, entre el precio de cierre del activo subyacente y el precio o valor de cierre del activo subyacente correspondiente al día anterior.</w:t>
      </w:r>
    </w:p>
    <w:p w14:paraId="0A8A32DB"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Las variaciones en estos valores, para todos los instrumentos derivados, se reconocen como una ganancia o pérdida bajo “Ingresos Financieros–Otros” o “Egresos Financieros–Otros”, respectivamente, en nuestros estados de resultados consolidados.</w:t>
      </w:r>
    </w:p>
    <w:p w14:paraId="72CDBE9E"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Al 30 de junio de 2017, existían ciertos procedimientos ante autoridades administrativas debido a ciertas transacciones de derivados. Véase “</w:t>
      </w:r>
      <w:r w:rsidRPr="00AE4E8D">
        <w:rPr>
          <w:rFonts w:ascii="Times New Roman" w:hAnsi="Times New Roman"/>
          <w:i/>
          <w:lang w:val="es-ES" w:eastAsia="es-AR"/>
        </w:rPr>
        <w:t>Descripción de nuestro negocio—Litigios</w:t>
      </w:r>
      <w:r w:rsidRPr="00AE4E8D">
        <w:rPr>
          <w:rFonts w:ascii="Times New Roman" w:hAnsi="Times New Roman"/>
          <w:lang w:val="es-ES" w:eastAsia="es-AR"/>
        </w:rPr>
        <w:t>”.</w:t>
      </w:r>
    </w:p>
    <w:p w14:paraId="5A16A30A"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Titulación de Préstamos</w:t>
      </w:r>
    </w:p>
    <w:p w14:paraId="3179A959"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Registramos la transferencia de préstamos a fideicomisos y la emisión de cédulas hipotecarias como una venta y registramos nuestra participación retenida (Certificado de Participación) en los fideicomisos de titulización a sus valores nominales. Reconocemos una ganancia o pérdida por la diferencia entre los </w:t>
      </w:r>
      <w:r w:rsidRPr="00AE4E8D">
        <w:rPr>
          <w:rFonts w:ascii="Times New Roman" w:hAnsi="Times New Roman"/>
          <w:lang w:val="es-ES" w:eastAsia="es-AR"/>
        </w:rPr>
        <w:lastRenderedPageBreak/>
        <w:t xml:space="preserve">fondos en efectivo recibidos y el saldo de capital de los préstamos subyacentes a las cédulas o fideicomisos </w:t>
      </w:r>
      <w:proofErr w:type="gramStart"/>
      <w:r w:rsidRPr="00AE4E8D">
        <w:rPr>
          <w:rFonts w:ascii="Times New Roman" w:hAnsi="Times New Roman"/>
          <w:lang w:val="es-ES" w:eastAsia="es-AR"/>
        </w:rPr>
        <w:t>vendidas</w:t>
      </w:r>
      <w:proofErr w:type="gramEnd"/>
      <w:r w:rsidRPr="00AE4E8D">
        <w:rPr>
          <w:rFonts w:ascii="Times New Roman" w:hAnsi="Times New Roman"/>
          <w:lang w:val="es-ES" w:eastAsia="es-AR"/>
        </w:rPr>
        <w:t>. Ajustamos las participaciones retenidas relacionadas con certificados de participación mensualmente para reflejar los resultados netos de nuestra participación residual en los fideicomisos.</w:t>
      </w:r>
    </w:p>
    <w:p w14:paraId="236298B2"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Los certificados de participación han sido registrados de acuerdo con el método del valor patrimonial, reconsiderándose su valor contable (</w:t>
      </w:r>
      <w:r w:rsidRPr="00AE4E8D">
        <w:rPr>
          <w:rFonts w:ascii="Times New Roman" w:hAnsi="Times New Roman"/>
          <w:i/>
          <w:lang w:val="es-ES" w:eastAsia="es-AR"/>
        </w:rPr>
        <w:t>written down</w:t>
      </w:r>
      <w:r w:rsidRPr="00AE4E8D">
        <w:rPr>
          <w:rFonts w:ascii="Times New Roman" w:hAnsi="Times New Roman"/>
          <w:lang w:val="es-ES" w:eastAsia="es-AR"/>
        </w:rPr>
        <w:t>), para reflejar cualquier previsión por desvalorización. Asimismo, los títulos de deuda emitidos por el fideicomiso se registran al valor nominal, ajustado por el CER, de corresponder, con más los intereses devengados, reconsiderándose su valor contable, para reflejar cualquier previsión por desvalorización y menos el monto negativo del método del valor patrimonial aplicado a los certificados de participación, de corresponder.</w:t>
      </w:r>
    </w:p>
    <w:p w14:paraId="1888A495"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Asimismo, en el futuro podríamos vender nuestra participación retenida en diversos fideicomisos.</w:t>
      </w:r>
    </w:p>
    <w:p w14:paraId="4D1E9948"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Previsiones</w:t>
      </w:r>
    </w:p>
    <w:p w14:paraId="29EB3EFE"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Registramos las previsiones cuando existe la probabilidad de una pérdida, y el monto de la pérdida puede estimarse razonablemente. Estas previsiones se registran como pasivos en “Previsiones”: Estas reservas cubren varios ítems tales como previsiones para juicios y otras contingencias.</w:t>
      </w:r>
    </w:p>
    <w:p w14:paraId="40DC55F6"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Hemos establecido previsiones por un monto igual al valor actual de sus obligaciones de pago remanente bajo los planes de retiro de nuestros empleados.</w:t>
      </w:r>
    </w:p>
    <w:p w14:paraId="5FDAA757" w14:textId="77777777" w:rsidR="006F393B" w:rsidRPr="00AE4E8D" w:rsidRDefault="006F393B" w:rsidP="00224540">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Impuesto a las Ganancias</w:t>
      </w:r>
    </w:p>
    <w:p w14:paraId="6252A0CD" w14:textId="77777777" w:rsidR="006F393B" w:rsidRPr="00AE4E8D" w:rsidRDefault="006F393B"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Reconocemos cargos y pasivos por impuesto a las ganancias en base a las declaraciones impositivas correspondientes a cada ejercicio económico al valor de las alícuotas legales. Al 31 de diciembre de 2014, 2015 y 2016, la tasa corporativa era de 35%. Conforme a las Normas Contables del BCRA, no reconocemos impuesto a las ganancias diferido.</w:t>
      </w:r>
    </w:p>
    <w:p w14:paraId="16EFBD67" w14:textId="77777777" w:rsidR="00FE0836" w:rsidRPr="00AE4E8D" w:rsidRDefault="00FE0836" w:rsidP="00FE0836">
      <w:pPr>
        <w:keepNext/>
        <w:autoSpaceDE w:val="0"/>
        <w:autoSpaceDN w:val="0"/>
        <w:adjustRightInd w:val="0"/>
        <w:spacing w:before="240" w:after="240"/>
        <w:outlineLvl w:val="2"/>
        <w:rPr>
          <w:rFonts w:ascii="Times New Roman" w:hAnsi="Times New Roman"/>
          <w:b/>
          <w:lang w:val="es-ES" w:eastAsia="es-AR"/>
        </w:rPr>
      </w:pPr>
      <w:bookmarkStart w:id="528" w:name="_DV_M705"/>
      <w:bookmarkStart w:id="529" w:name="_Toc445897867"/>
      <w:bookmarkEnd w:id="526"/>
      <w:bookmarkEnd w:id="527"/>
      <w:bookmarkEnd w:id="528"/>
      <w:r w:rsidRPr="00AE4E8D">
        <w:rPr>
          <w:rFonts w:ascii="Times New Roman" w:hAnsi="Times New Roman"/>
          <w:b/>
          <w:lang w:val="es-ES" w:eastAsia="es-AR"/>
        </w:rPr>
        <w:t>Seis meses finalizados el 30 de junio de 2017 y 2016</w:t>
      </w:r>
      <w:bookmarkEnd w:id="529"/>
    </w:p>
    <w:p w14:paraId="0641E599" w14:textId="77777777" w:rsidR="00FE0836" w:rsidRPr="00AE4E8D" w:rsidRDefault="00FE0836" w:rsidP="00FE0836">
      <w:pPr>
        <w:autoSpaceDE w:val="0"/>
        <w:autoSpaceDN w:val="0"/>
        <w:adjustRightInd w:val="0"/>
        <w:spacing w:before="120" w:after="120"/>
        <w:jc w:val="both"/>
        <w:rPr>
          <w:rFonts w:ascii="Times New Roman" w:hAnsi="Times New Roman"/>
          <w:highlight w:val="yellow"/>
          <w:lang w:val="es-ES" w:eastAsia="es-AR"/>
        </w:rPr>
      </w:pPr>
      <w:r w:rsidRPr="00AE4E8D">
        <w:rPr>
          <w:rFonts w:ascii="Times New Roman" w:hAnsi="Times New Roman"/>
          <w:lang w:val="es-ES" w:eastAsia="es-AR"/>
        </w:rPr>
        <w:t>El siguiente cuadro detalla los principales rubros de nuestros resultados por los seis meses finalizados el 30 de junio de 2017 y 2016:</w:t>
      </w:r>
    </w:p>
    <w:tbl>
      <w:tblPr>
        <w:tblW w:w="5000" w:type="pct"/>
        <w:jc w:val="center"/>
        <w:tblLook w:val="00A0" w:firstRow="1" w:lastRow="0" w:firstColumn="1" w:lastColumn="0" w:noHBand="0" w:noVBand="0"/>
      </w:tblPr>
      <w:tblGrid>
        <w:gridCol w:w="4178"/>
        <w:gridCol w:w="1435"/>
        <w:gridCol w:w="1435"/>
        <w:gridCol w:w="1673"/>
      </w:tblGrid>
      <w:tr w:rsidR="00FE0836" w:rsidRPr="00AE4E8D" w14:paraId="35AB88EB" w14:textId="77777777" w:rsidTr="000400C8">
        <w:trPr>
          <w:trHeight w:val="170"/>
          <w:tblHeader/>
          <w:jc w:val="center"/>
        </w:trPr>
        <w:tc>
          <w:tcPr>
            <w:tcW w:w="2395" w:type="pct"/>
            <w:tcBorders>
              <w:top w:val="nil"/>
              <w:left w:val="nil"/>
              <w:bottom w:val="nil"/>
              <w:right w:val="nil"/>
            </w:tcBorders>
            <w:noWrap/>
            <w:vAlign w:val="bottom"/>
          </w:tcPr>
          <w:p w14:paraId="2911D582" w14:textId="77777777" w:rsidR="00FE0836" w:rsidRPr="00AE4E8D" w:rsidRDefault="00FE0836" w:rsidP="00FE0836">
            <w:pPr>
              <w:rPr>
                <w:rFonts w:ascii="Times New Roman" w:hAnsi="Times New Roman"/>
                <w:color w:val="000000"/>
                <w:sz w:val="18"/>
                <w:szCs w:val="18"/>
                <w:lang w:val="es-ES"/>
              </w:rPr>
            </w:pPr>
          </w:p>
        </w:tc>
        <w:tc>
          <w:tcPr>
            <w:tcW w:w="1646" w:type="pct"/>
            <w:gridSpan w:val="2"/>
            <w:tcBorders>
              <w:top w:val="single" w:sz="8" w:space="0" w:color="auto"/>
              <w:left w:val="nil"/>
              <w:bottom w:val="single" w:sz="8" w:space="0" w:color="auto"/>
              <w:right w:val="nil"/>
            </w:tcBorders>
            <w:noWrap/>
            <w:vAlign w:val="bottom"/>
          </w:tcPr>
          <w:p w14:paraId="2C38952C"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Seis meses finalizados el </w:t>
            </w:r>
          </w:p>
          <w:p w14:paraId="11BF94A0"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30 de junio de </w:t>
            </w:r>
          </w:p>
        </w:tc>
        <w:tc>
          <w:tcPr>
            <w:tcW w:w="959" w:type="pct"/>
            <w:tcBorders>
              <w:top w:val="single" w:sz="8" w:space="0" w:color="auto"/>
              <w:left w:val="nil"/>
              <w:bottom w:val="single" w:sz="8" w:space="0" w:color="auto"/>
              <w:right w:val="nil"/>
            </w:tcBorders>
            <w:noWrap/>
            <w:vAlign w:val="bottom"/>
          </w:tcPr>
          <w:p w14:paraId="7DB57738"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Variación</w:t>
            </w:r>
          </w:p>
        </w:tc>
      </w:tr>
      <w:tr w:rsidR="00FE0836" w:rsidRPr="00AE4E8D" w14:paraId="318F633D" w14:textId="77777777" w:rsidTr="000400C8">
        <w:trPr>
          <w:trHeight w:val="170"/>
          <w:tblHeader/>
          <w:jc w:val="center"/>
        </w:trPr>
        <w:tc>
          <w:tcPr>
            <w:tcW w:w="2395" w:type="pct"/>
            <w:tcBorders>
              <w:top w:val="nil"/>
              <w:left w:val="nil"/>
              <w:bottom w:val="nil"/>
              <w:right w:val="nil"/>
            </w:tcBorders>
            <w:noWrap/>
            <w:vAlign w:val="bottom"/>
          </w:tcPr>
          <w:p w14:paraId="10B076AA" w14:textId="77777777" w:rsidR="00FE0836" w:rsidRPr="00AE4E8D" w:rsidRDefault="00FE0836" w:rsidP="00FE0836">
            <w:pPr>
              <w:rPr>
                <w:rFonts w:ascii="Times New Roman" w:hAnsi="Times New Roman"/>
                <w:color w:val="000000"/>
                <w:sz w:val="18"/>
                <w:szCs w:val="18"/>
                <w:lang w:val="es-ES"/>
              </w:rPr>
            </w:pPr>
          </w:p>
        </w:tc>
        <w:tc>
          <w:tcPr>
            <w:tcW w:w="823" w:type="pct"/>
            <w:tcBorders>
              <w:top w:val="nil"/>
              <w:left w:val="nil"/>
              <w:bottom w:val="single" w:sz="8" w:space="0" w:color="auto"/>
              <w:right w:val="nil"/>
            </w:tcBorders>
            <w:noWrap/>
            <w:vAlign w:val="bottom"/>
          </w:tcPr>
          <w:p w14:paraId="5CC522AF"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2017</w:t>
            </w:r>
          </w:p>
        </w:tc>
        <w:tc>
          <w:tcPr>
            <w:tcW w:w="823" w:type="pct"/>
            <w:tcBorders>
              <w:top w:val="nil"/>
              <w:left w:val="nil"/>
              <w:bottom w:val="single" w:sz="8" w:space="0" w:color="auto"/>
              <w:right w:val="nil"/>
            </w:tcBorders>
            <w:noWrap/>
            <w:vAlign w:val="bottom"/>
          </w:tcPr>
          <w:p w14:paraId="11D085FE"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w:t>
            </w:r>
          </w:p>
        </w:tc>
        <w:tc>
          <w:tcPr>
            <w:tcW w:w="959" w:type="pct"/>
            <w:tcBorders>
              <w:top w:val="nil"/>
              <w:left w:val="nil"/>
              <w:bottom w:val="single" w:sz="8" w:space="0" w:color="auto"/>
              <w:right w:val="nil"/>
            </w:tcBorders>
            <w:noWrap/>
            <w:vAlign w:val="bottom"/>
          </w:tcPr>
          <w:p w14:paraId="07B122C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2016/2017</w:t>
            </w:r>
          </w:p>
        </w:tc>
      </w:tr>
      <w:tr w:rsidR="00FE0836" w:rsidRPr="00AE4E8D" w14:paraId="76BCD172" w14:textId="77777777" w:rsidTr="000400C8">
        <w:trPr>
          <w:trHeight w:val="170"/>
          <w:jc w:val="center"/>
        </w:trPr>
        <w:tc>
          <w:tcPr>
            <w:tcW w:w="2395" w:type="pct"/>
            <w:tcBorders>
              <w:top w:val="nil"/>
              <w:left w:val="nil"/>
              <w:bottom w:val="nil"/>
              <w:right w:val="nil"/>
            </w:tcBorders>
            <w:noWrap/>
            <w:vAlign w:val="bottom"/>
          </w:tcPr>
          <w:p w14:paraId="64DEF12D" w14:textId="77777777" w:rsidR="00FE0836" w:rsidRPr="00AE4E8D" w:rsidRDefault="00FE0836" w:rsidP="00FE0836">
            <w:pPr>
              <w:rPr>
                <w:rFonts w:ascii="Times New Roman" w:hAnsi="Times New Roman"/>
                <w:color w:val="000000"/>
                <w:sz w:val="18"/>
                <w:szCs w:val="18"/>
                <w:lang w:val="es-ES"/>
              </w:rPr>
            </w:pPr>
          </w:p>
        </w:tc>
        <w:tc>
          <w:tcPr>
            <w:tcW w:w="2605" w:type="pct"/>
            <w:gridSpan w:val="3"/>
            <w:tcBorders>
              <w:top w:val="single" w:sz="8" w:space="0" w:color="auto"/>
              <w:left w:val="nil"/>
              <w:bottom w:val="nil"/>
              <w:right w:val="nil"/>
            </w:tcBorders>
            <w:noWrap/>
            <w:vAlign w:val="bottom"/>
          </w:tcPr>
          <w:p w14:paraId="57D73944" w14:textId="77777777" w:rsidR="00FE0836" w:rsidRPr="00AE4E8D" w:rsidRDefault="00FE0836" w:rsidP="00FE0836">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millones de Ps., excepto porcentajes)</w:t>
            </w:r>
          </w:p>
        </w:tc>
      </w:tr>
      <w:tr w:rsidR="00FE0836" w:rsidRPr="00AE4E8D" w14:paraId="7D022387" w14:textId="77777777" w:rsidTr="000400C8">
        <w:trPr>
          <w:trHeight w:val="170"/>
          <w:jc w:val="center"/>
        </w:trPr>
        <w:tc>
          <w:tcPr>
            <w:tcW w:w="2395" w:type="pct"/>
            <w:tcBorders>
              <w:top w:val="nil"/>
              <w:left w:val="nil"/>
              <w:bottom w:val="nil"/>
              <w:right w:val="nil"/>
            </w:tcBorders>
            <w:noWrap/>
            <w:vAlign w:val="bottom"/>
          </w:tcPr>
          <w:p w14:paraId="44BC0A42"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Ingresos Financieros </w:t>
            </w:r>
          </w:p>
        </w:tc>
        <w:tc>
          <w:tcPr>
            <w:tcW w:w="823" w:type="pct"/>
            <w:tcBorders>
              <w:top w:val="nil"/>
              <w:left w:val="nil"/>
              <w:bottom w:val="nil"/>
              <w:right w:val="nil"/>
            </w:tcBorders>
            <w:shd w:val="clear" w:color="auto" w:fill="auto"/>
            <w:noWrap/>
            <w:vAlign w:val="bottom"/>
          </w:tcPr>
          <w:p w14:paraId="7CE26BF3"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5.331,3</w:t>
            </w:r>
          </w:p>
        </w:tc>
        <w:tc>
          <w:tcPr>
            <w:tcW w:w="823" w:type="pct"/>
            <w:tcBorders>
              <w:top w:val="nil"/>
              <w:left w:val="nil"/>
              <w:bottom w:val="nil"/>
              <w:right w:val="nil"/>
            </w:tcBorders>
            <w:shd w:val="clear" w:color="auto" w:fill="auto"/>
            <w:noWrap/>
            <w:vAlign w:val="bottom"/>
          </w:tcPr>
          <w:p w14:paraId="155451A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4.743,5</w:t>
            </w:r>
          </w:p>
        </w:tc>
        <w:tc>
          <w:tcPr>
            <w:tcW w:w="959" w:type="pct"/>
            <w:tcBorders>
              <w:top w:val="nil"/>
              <w:left w:val="nil"/>
              <w:bottom w:val="nil"/>
              <w:right w:val="nil"/>
            </w:tcBorders>
            <w:shd w:val="clear" w:color="auto" w:fill="auto"/>
            <w:noWrap/>
            <w:vAlign w:val="bottom"/>
          </w:tcPr>
          <w:p w14:paraId="5ECD1742"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12,4%</w:t>
            </w:r>
          </w:p>
        </w:tc>
      </w:tr>
      <w:tr w:rsidR="00FE0836" w:rsidRPr="00AE4E8D" w14:paraId="06001A53" w14:textId="77777777" w:rsidTr="000400C8">
        <w:trPr>
          <w:trHeight w:val="170"/>
          <w:jc w:val="center"/>
        </w:trPr>
        <w:tc>
          <w:tcPr>
            <w:tcW w:w="2395" w:type="pct"/>
            <w:tcBorders>
              <w:top w:val="nil"/>
              <w:left w:val="nil"/>
              <w:bottom w:val="nil"/>
              <w:right w:val="nil"/>
            </w:tcBorders>
            <w:noWrap/>
            <w:vAlign w:val="bottom"/>
          </w:tcPr>
          <w:p w14:paraId="5619E91A"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Egresos Financieros </w:t>
            </w:r>
          </w:p>
        </w:tc>
        <w:tc>
          <w:tcPr>
            <w:tcW w:w="823" w:type="pct"/>
            <w:tcBorders>
              <w:top w:val="nil"/>
              <w:left w:val="nil"/>
              <w:bottom w:val="nil"/>
              <w:right w:val="nil"/>
            </w:tcBorders>
            <w:shd w:val="clear" w:color="auto" w:fill="auto"/>
            <w:noWrap/>
            <w:vAlign w:val="bottom"/>
          </w:tcPr>
          <w:p w14:paraId="3B107C6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(3.440,4)</w:t>
            </w:r>
          </w:p>
        </w:tc>
        <w:tc>
          <w:tcPr>
            <w:tcW w:w="823" w:type="pct"/>
            <w:tcBorders>
              <w:top w:val="nil"/>
              <w:left w:val="nil"/>
              <w:bottom w:val="nil"/>
              <w:right w:val="nil"/>
            </w:tcBorders>
            <w:shd w:val="clear" w:color="auto" w:fill="auto"/>
            <w:noWrap/>
            <w:vAlign w:val="bottom"/>
          </w:tcPr>
          <w:p w14:paraId="0281AC8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(3.276,7)</w:t>
            </w:r>
          </w:p>
        </w:tc>
        <w:tc>
          <w:tcPr>
            <w:tcW w:w="959" w:type="pct"/>
            <w:tcBorders>
              <w:top w:val="nil"/>
              <w:left w:val="nil"/>
              <w:bottom w:val="nil"/>
              <w:right w:val="nil"/>
            </w:tcBorders>
            <w:shd w:val="clear" w:color="auto" w:fill="auto"/>
            <w:noWrap/>
            <w:vAlign w:val="bottom"/>
          </w:tcPr>
          <w:p w14:paraId="43C55FFC"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5,0%</w:t>
            </w:r>
          </w:p>
        </w:tc>
      </w:tr>
      <w:tr w:rsidR="00FE0836" w:rsidRPr="00AE4E8D" w14:paraId="3413BF85" w14:textId="77777777" w:rsidTr="000400C8">
        <w:trPr>
          <w:trHeight w:val="170"/>
          <w:jc w:val="center"/>
        </w:trPr>
        <w:tc>
          <w:tcPr>
            <w:tcW w:w="2395" w:type="pct"/>
            <w:tcBorders>
              <w:top w:val="nil"/>
              <w:left w:val="nil"/>
              <w:bottom w:val="nil"/>
              <w:right w:val="nil"/>
            </w:tcBorders>
            <w:noWrap/>
            <w:vAlign w:val="bottom"/>
          </w:tcPr>
          <w:p w14:paraId="4CFE891D"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Margen Financiero Neto </w:t>
            </w:r>
          </w:p>
        </w:tc>
        <w:tc>
          <w:tcPr>
            <w:tcW w:w="823" w:type="pct"/>
            <w:tcBorders>
              <w:top w:val="single" w:sz="8" w:space="0" w:color="auto"/>
              <w:left w:val="nil"/>
              <w:bottom w:val="single" w:sz="8" w:space="0" w:color="auto"/>
              <w:right w:val="nil"/>
            </w:tcBorders>
            <w:shd w:val="clear" w:color="auto" w:fill="auto"/>
            <w:noWrap/>
            <w:vAlign w:val="bottom"/>
          </w:tcPr>
          <w:p w14:paraId="5BDF08C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1.890,9</w:t>
            </w:r>
          </w:p>
        </w:tc>
        <w:tc>
          <w:tcPr>
            <w:tcW w:w="823" w:type="pct"/>
            <w:tcBorders>
              <w:top w:val="single" w:sz="8" w:space="0" w:color="auto"/>
              <w:left w:val="nil"/>
              <w:bottom w:val="single" w:sz="8" w:space="0" w:color="auto"/>
              <w:right w:val="nil"/>
            </w:tcBorders>
            <w:shd w:val="clear" w:color="auto" w:fill="auto"/>
            <w:noWrap/>
            <w:vAlign w:val="bottom"/>
          </w:tcPr>
          <w:p w14:paraId="165FD18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1.466,8</w:t>
            </w:r>
          </w:p>
        </w:tc>
        <w:tc>
          <w:tcPr>
            <w:tcW w:w="959" w:type="pct"/>
            <w:tcBorders>
              <w:top w:val="single" w:sz="8" w:space="0" w:color="auto"/>
              <w:left w:val="nil"/>
              <w:bottom w:val="single" w:sz="8" w:space="0" w:color="auto"/>
              <w:right w:val="nil"/>
            </w:tcBorders>
            <w:shd w:val="clear" w:color="auto" w:fill="auto"/>
            <w:noWrap/>
            <w:vAlign w:val="bottom"/>
          </w:tcPr>
          <w:p w14:paraId="74F69DE1"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28,9%</w:t>
            </w:r>
          </w:p>
        </w:tc>
      </w:tr>
      <w:tr w:rsidR="00FE0836" w:rsidRPr="00AE4E8D" w14:paraId="671A6CAD" w14:textId="77777777" w:rsidTr="000400C8">
        <w:trPr>
          <w:trHeight w:val="170"/>
          <w:jc w:val="center"/>
        </w:trPr>
        <w:tc>
          <w:tcPr>
            <w:tcW w:w="2395" w:type="pct"/>
            <w:tcBorders>
              <w:top w:val="nil"/>
              <w:left w:val="nil"/>
              <w:bottom w:val="nil"/>
              <w:right w:val="nil"/>
            </w:tcBorders>
            <w:noWrap/>
            <w:vAlign w:val="bottom"/>
          </w:tcPr>
          <w:p w14:paraId="74A711AD"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Cargo por Incobrabilidad </w:t>
            </w:r>
          </w:p>
        </w:tc>
        <w:tc>
          <w:tcPr>
            <w:tcW w:w="823" w:type="pct"/>
            <w:tcBorders>
              <w:top w:val="nil"/>
              <w:left w:val="nil"/>
              <w:bottom w:val="nil"/>
              <w:right w:val="nil"/>
            </w:tcBorders>
            <w:shd w:val="clear" w:color="auto" w:fill="auto"/>
            <w:noWrap/>
            <w:vAlign w:val="bottom"/>
          </w:tcPr>
          <w:p w14:paraId="485E1B2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(379,7)</w:t>
            </w:r>
          </w:p>
        </w:tc>
        <w:tc>
          <w:tcPr>
            <w:tcW w:w="823" w:type="pct"/>
            <w:tcBorders>
              <w:top w:val="nil"/>
              <w:left w:val="nil"/>
              <w:bottom w:val="nil"/>
              <w:right w:val="nil"/>
            </w:tcBorders>
            <w:shd w:val="clear" w:color="auto" w:fill="auto"/>
            <w:noWrap/>
            <w:vAlign w:val="bottom"/>
          </w:tcPr>
          <w:p w14:paraId="5D45549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(200,8)</w:t>
            </w:r>
          </w:p>
        </w:tc>
        <w:tc>
          <w:tcPr>
            <w:tcW w:w="959" w:type="pct"/>
            <w:tcBorders>
              <w:top w:val="nil"/>
              <w:left w:val="nil"/>
              <w:bottom w:val="nil"/>
              <w:right w:val="nil"/>
            </w:tcBorders>
            <w:shd w:val="clear" w:color="auto" w:fill="auto"/>
            <w:noWrap/>
            <w:vAlign w:val="bottom"/>
          </w:tcPr>
          <w:p w14:paraId="47CB8E2F"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89,1%</w:t>
            </w:r>
          </w:p>
        </w:tc>
      </w:tr>
      <w:tr w:rsidR="00FE0836" w:rsidRPr="00AE4E8D" w14:paraId="6A90594D" w14:textId="77777777" w:rsidTr="000400C8">
        <w:trPr>
          <w:trHeight w:val="170"/>
          <w:jc w:val="center"/>
        </w:trPr>
        <w:tc>
          <w:tcPr>
            <w:tcW w:w="2395" w:type="pct"/>
            <w:tcBorders>
              <w:top w:val="nil"/>
              <w:left w:val="nil"/>
              <w:bottom w:val="nil"/>
              <w:right w:val="nil"/>
            </w:tcBorders>
            <w:noWrap/>
            <w:vAlign w:val="bottom"/>
          </w:tcPr>
          <w:p w14:paraId="7BC80D40"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Ingresos por servicios, neto: </w:t>
            </w:r>
          </w:p>
        </w:tc>
        <w:tc>
          <w:tcPr>
            <w:tcW w:w="823" w:type="pct"/>
            <w:tcBorders>
              <w:top w:val="nil"/>
              <w:left w:val="nil"/>
              <w:bottom w:val="nil"/>
              <w:right w:val="nil"/>
            </w:tcBorders>
            <w:shd w:val="clear" w:color="auto" w:fill="auto"/>
            <w:noWrap/>
            <w:vAlign w:val="bottom"/>
          </w:tcPr>
          <w:p w14:paraId="44B13960" w14:textId="77777777" w:rsidR="00FE0836" w:rsidRPr="00AE4E8D" w:rsidRDefault="00FE0836" w:rsidP="00FE0836">
            <w:pPr>
              <w:jc w:val="right"/>
              <w:rPr>
                <w:rFonts w:ascii="Times New Roman" w:hAnsi="Times New Roman"/>
                <w:color w:val="000000"/>
                <w:sz w:val="18"/>
                <w:szCs w:val="18"/>
                <w:lang w:val="es-ES"/>
              </w:rPr>
            </w:pPr>
          </w:p>
        </w:tc>
        <w:tc>
          <w:tcPr>
            <w:tcW w:w="823" w:type="pct"/>
            <w:tcBorders>
              <w:top w:val="nil"/>
              <w:left w:val="nil"/>
              <w:bottom w:val="nil"/>
              <w:right w:val="nil"/>
            </w:tcBorders>
            <w:shd w:val="clear" w:color="auto" w:fill="auto"/>
            <w:noWrap/>
            <w:vAlign w:val="bottom"/>
          </w:tcPr>
          <w:p w14:paraId="5DF2EBB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w:t>
            </w:r>
          </w:p>
        </w:tc>
        <w:tc>
          <w:tcPr>
            <w:tcW w:w="959" w:type="pct"/>
            <w:tcBorders>
              <w:top w:val="nil"/>
              <w:left w:val="nil"/>
              <w:bottom w:val="nil"/>
              <w:right w:val="nil"/>
            </w:tcBorders>
            <w:shd w:val="clear" w:color="auto" w:fill="auto"/>
            <w:noWrap/>
            <w:vAlign w:val="bottom"/>
          </w:tcPr>
          <w:p w14:paraId="4B49D57F" w14:textId="77777777" w:rsidR="00FE0836" w:rsidRPr="00AE4E8D" w:rsidRDefault="00FE0836" w:rsidP="00FE0836">
            <w:pPr>
              <w:jc w:val="right"/>
              <w:rPr>
                <w:rFonts w:ascii="Times New Roman" w:hAnsi="Times New Roman"/>
                <w:sz w:val="18"/>
                <w:szCs w:val="18"/>
                <w:lang w:val="es-ES"/>
              </w:rPr>
            </w:pPr>
          </w:p>
        </w:tc>
      </w:tr>
      <w:tr w:rsidR="00FE0836" w:rsidRPr="00AE4E8D" w14:paraId="3D0F7092" w14:textId="77777777" w:rsidTr="000400C8">
        <w:trPr>
          <w:trHeight w:val="170"/>
          <w:jc w:val="center"/>
        </w:trPr>
        <w:tc>
          <w:tcPr>
            <w:tcW w:w="2395" w:type="pct"/>
            <w:tcBorders>
              <w:top w:val="nil"/>
              <w:left w:val="nil"/>
              <w:bottom w:val="nil"/>
              <w:right w:val="nil"/>
            </w:tcBorders>
            <w:noWrap/>
            <w:vAlign w:val="bottom"/>
          </w:tcPr>
          <w:p w14:paraId="3EBEDBF4"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Ingresos Netos por seguros (1) </w:t>
            </w:r>
          </w:p>
        </w:tc>
        <w:tc>
          <w:tcPr>
            <w:tcW w:w="823" w:type="pct"/>
            <w:tcBorders>
              <w:top w:val="nil"/>
              <w:left w:val="nil"/>
              <w:bottom w:val="nil"/>
              <w:right w:val="nil"/>
            </w:tcBorders>
            <w:shd w:val="clear" w:color="auto" w:fill="auto"/>
            <w:noWrap/>
            <w:vAlign w:val="bottom"/>
          </w:tcPr>
          <w:p w14:paraId="3B08F895"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842,7</w:t>
            </w:r>
          </w:p>
        </w:tc>
        <w:tc>
          <w:tcPr>
            <w:tcW w:w="823" w:type="pct"/>
            <w:tcBorders>
              <w:top w:val="nil"/>
              <w:left w:val="nil"/>
              <w:bottom w:val="nil"/>
              <w:right w:val="nil"/>
            </w:tcBorders>
            <w:shd w:val="clear" w:color="auto" w:fill="auto"/>
            <w:noWrap/>
            <w:vAlign w:val="bottom"/>
          </w:tcPr>
          <w:p w14:paraId="623536E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870,2</w:t>
            </w:r>
          </w:p>
        </w:tc>
        <w:tc>
          <w:tcPr>
            <w:tcW w:w="959" w:type="pct"/>
            <w:tcBorders>
              <w:top w:val="nil"/>
              <w:left w:val="nil"/>
              <w:bottom w:val="nil"/>
              <w:right w:val="nil"/>
            </w:tcBorders>
            <w:shd w:val="clear" w:color="auto" w:fill="auto"/>
            <w:noWrap/>
            <w:vAlign w:val="bottom"/>
          </w:tcPr>
          <w:p w14:paraId="2E8846C3"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(3,2)%</w:t>
            </w:r>
          </w:p>
        </w:tc>
      </w:tr>
      <w:tr w:rsidR="00FE0836" w:rsidRPr="00AE4E8D" w14:paraId="1D97AD35" w14:textId="77777777" w:rsidTr="000400C8">
        <w:trPr>
          <w:trHeight w:val="170"/>
          <w:jc w:val="center"/>
        </w:trPr>
        <w:tc>
          <w:tcPr>
            <w:tcW w:w="2395" w:type="pct"/>
            <w:tcBorders>
              <w:top w:val="nil"/>
              <w:left w:val="nil"/>
              <w:bottom w:val="nil"/>
              <w:right w:val="nil"/>
            </w:tcBorders>
            <w:noWrap/>
            <w:vAlign w:val="bottom"/>
          </w:tcPr>
          <w:p w14:paraId="145E60B1"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ingresos netos por servicios (2) </w:t>
            </w:r>
          </w:p>
        </w:tc>
        <w:tc>
          <w:tcPr>
            <w:tcW w:w="823" w:type="pct"/>
            <w:tcBorders>
              <w:top w:val="nil"/>
              <w:left w:val="nil"/>
              <w:bottom w:val="nil"/>
              <w:right w:val="nil"/>
            </w:tcBorders>
            <w:shd w:val="clear" w:color="auto" w:fill="auto"/>
            <w:noWrap/>
            <w:vAlign w:val="bottom"/>
          </w:tcPr>
          <w:p w14:paraId="03B01D0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1.435,2</w:t>
            </w:r>
          </w:p>
        </w:tc>
        <w:tc>
          <w:tcPr>
            <w:tcW w:w="823" w:type="pct"/>
            <w:tcBorders>
              <w:top w:val="nil"/>
              <w:left w:val="nil"/>
              <w:bottom w:val="nil"/>
              <w:right w:val="nil"/>
            </w:tcBorders>
            <w:shd w:val="clear" w:color="auto" w:fill="auto"/>
            <w:noWrap/>
            <w:vAlign w:val="bottom"/>
          </w:tcPr>
          <w:p w14:paraId="1655536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863,6</w:t>
            </w:r>
          </w:p>
        </w:tc>
        <w:tc>
          <w:tcPr>
            <w:tcW w:w="959" w:type="pct"/>
            <w:tcBorders>
              <w:top w:val="nil"/>
              <w:left w:val="nil"/>
              <w:bottom w:val="nil"/>
              <w:right w:val="nil"/>
            </w:tcBorders>
            <w:shd w:val="clear" w:color="auto" w:fill="auto"/>
            <w:noWrap/>
            <w:vAlign w:val="bottom"/>
          </w:tcPr>
          <w:p w14:paraId="626D7E6B"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66,2%</w:t>
            </w:r>
          </w:p>
        </w:tc>
      </w:tr>
      <w:tr w:rsidR="00FE0836" w:rsidRPr="00AE4E8D" w14:paraId="7C547BE1" w14:textId="77777777" w:rsidTr="000400C8">
        <w:trPr>
          <w:trHeight w:val="170"/>
          <w:jc w:val="center"/>
        </w:trPr>
        <w:tc>
          <w:tcPr>
            <w:tcW w:w="2395" w:type="pct"/>
            <w:tcBorders>
              <w:top w:val="nil"/>
              <w:left w:val="nil"/>
              <w:bottom w:val="nil"/>
              <w:right w:val="nil"/>
            </w:tcBorders>
            <w:noWrap/>
            <w:vAlign w:val="bottom"/>
          </w:tcPr>
          <w:p w14:paraId="5EDC9807"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Subtotal de ingresos por servicios neto </w:t>
            </w:r>
          </w:p>
        </w:tc>
        <w:tc>
          <w:tcPr>
            <w:tcW w:w="823" w:type="pct"/>
            <w:tcBorders>
              <w:top w:val="nil"/>
              <w:left w:val="nil"/>
              <w:bottom w:val="nil"/>
              <w:right w:val="nil"/>
            </w:tcBorders>
            <w:shd w:val="clear" w:color="auto" w:fill="auto"/>
            <w:noWrap/>
            <w:vAlign w:val="bottom"/>
          </w:tcPr>
          <w:p w14:paraId="4FC1333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2.277,9</w:t>
            </w:r>
          </w:p>
        </w:tc>
        <w:tc>
          <w:tcPr>
            <w:tcW w:w="823" w:type="pct"/>
            <w:tcBorders>
              <w:top w:val="nil"/>
              <w:left w:val="nil"/>
              <w:bottom w:val="nil"/>
              <w:right w:val="nil"/>
            </w:tcBorders>
            <w:shd w:val="clear" w:color="auto" w:fill="auto"/>
            <w:noWrap/>
            <w:vAlign w:val="bottom"/>
          </w:tcPr>
          <w:p w14:paraId="41D6835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1.733,8</w:t>
            </w:r>
          </w:p>
        </w:tc>
        <w:tc>
          <w:tcPr>
            <w:tcW w:w="959" w:type="pct"/>
            <w:tcBorders>
              <w:top w:val="nil"/>
              <w:left w:val="nil"/>
              <w:bottom w:val="nil"/>
              <w:right w:val="nil"/>
            </w:tcBorders>
            <w:shd w:val="clear" w:color="auto" w:fill="auto"/>
            <w:noWrap/>
            <w:vAlign w:val="bottom"/>
          </w:tcPr>
          <w:p w14:paraId="5D78BF6C"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31,4%</w:t>
            </w:r>
          </w:p>
        </w:tc>
      </w:tr>
      <w:tr w:rsidR="00FE0836" w:rsidRPr="00AE4E8D" w14:paraId="6E616C0E" w14:textId="77777777" w:rsidTr="000400C8">
        <w:trPr>
          <w:trHeight w:val="170"/>
          <w:jc w:val="center"/>
        </w:trPr>
        <w:tc>
          <w:tcPr>
            <w:tcW w:w="2395" w:type="pct"/>
            <w:tcBorders>
              <w:top w:val="nil"/>
              <w:left w:val="nil"/>
              <w:bottom w:val="nil"/>
              <w:right w:val="nil"/>
            </w:tcBorders>
            <w:noWrap/>
            <w:vAlign w:val="bottom"/>
          </w:tcPr>
          <w:p w14:paraId="50216B49"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Gastos administrativos </w:t>
            </w:r>
          </w:p>
        </w:tc>
        <w:tc>
          <w:tcPr>
            <w:tcW w:w="823" w:type="pct"/>
            <w:tcBorders>
              <w:top w:val="nil"/>
              <w:left w:val="nil"/>
              <w:bottom w:val="nil"/>
              <w:right w:val="nil"/>
            </w:tcBorders>
            <w:shd w:val="clear" w:color="auto" w:fill="auto"/>
            <w:noWrap/>
            <w:vAlign w:val="bottom"/>
          </w:tcPr>
          <w:p w14:paraId="2D1DB5C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(2.812,4)</w:t>
            </w:r>
          </w:p>
        </w:tc>
        <w:tc>
          <w:tcPr>
            <w:tcW w:w="823" w:type="pct"/>
            <w:tcBorders>
              <w:top w:val="nil"/>
              <w:left w:val="nil"/>
              <w:bottom w:val="nil"/>
              <w:right w:val="nil"/>
            </w:tcBorders>
            <w:shd w:val="clear" w:color="auto" w:fill="auto"/>
            <w:noWrap/>
            <w:vAlign w:val="bottom"/>
          </w:tcPr>
          <w:p w14:paraId="67D42AA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(2.343,9)</w:t>
            </w:r>
          </w:p>
        </w:tc>
        <w:tc>
          <w:tcPr>
            <w:tcW w:w="959" w:type="pct"/>
            <w:tcBorders>
              <w:top w:val="nil"/>
              <w:left w:val="nil"/>
              <w:bottom w:val="nil"/>
              <w:right w:val="nil"/>
            </w:tcBorders>
            <w:shd w:val="clear" w:color="auto" w:fill="auto"/>
            <w:noWrap/>
            <w:vAlign w:val="bottom"/>
          </w:tcPr>
          <w:p w14:paraId="51741BF5"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20,0%</w:t>
            </w:r>
          </w:p>
        </w:tc>
      </w:tr>
      <w:tr w:rsidR="00FE0836" w:rsidRPr="00AE4E8D" w14:paraId="291D39ED" w14:textId="77777777" w:rsidTr="000400C8">
        <w:trPr>
          <w:trHeight w:val="170"/>
          <w:jc w:val="center"/>
        </w:trPr>
        <w:tc>
          <w:tcPr>
            <w:tcW w:w="2395" w:type="pct"/>
            <w:tcBorders>
              <w:top w:val="nil"/>
              <w:left w:val="nil"/>
              <w:bottom w:val="nil"/>
              <w:right w:val="nil"/>
            </w:tcBorders>
            <w:noWrap/>
            <w:vAlign w:val="bottom"/>
          </w:tcPr>
          <w:p w14:paraId="2A7B3E10"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Participación no controlante </w:t>
            </w:r>
          </w:p>
        </w:tc>
        <w:tc>
          <w:tcPr>
            <w:tcW w:w="823" w:type="pct"/>
            <w:tcBorders>
              <w:top w:val="nil"/>
              <w:left w:val="nil"/>
              <w:bottom w:val="nil"/>
              <w:right w:val="nil"/>
            </w:tcBorders>
            <w:shd w:val="clear" w:color="auto" w:fill="auto"/>
            <w:noWrap/>
            <w:vAlign w:val="bottom"/>
          </w:tcPr>
          <w:p w14:paraId="5508B1B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(44,9)</w:t>
            </w:r>
          </w:p>
        </w:tc>
        <w:tc>
          <w:tcPr>
            <w:tcW w:w="823" w:type="pct"/>
            <w:tcBorders>
              <w:top w:val="nil"/>
              <w:left w:val="nil"/>
              <w:bottom w:val="nil"/>
              <w:right w:val="nil"/>
            </w:tcBorders>
            <w:shd w:val="clear" w:color="auto" w:fill="auto"/>
            <w:noWrap/>
            <w:vAlign w:val="bottom"/>
          </w:tcPr>
          <w:p w14:paraId="4996CBB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2,4</w:t>
            </w:r>
          </w:p>
        </w:tc>
        <w:tc>
          <w:tcPr>
            <w:tcW w:w="959" w:type="pct"/>
            <w:tcBorders>
              <w:top w:val="nil"/>
              <w:left w:val="nil"/>
              <w:bottom w:val="nil"/>
              <w:right w:val="nil"/>
            </w:tcBorders>
            <w:shd w:val="clear" w:color="auto" w:fill="auto"/>
            <w:noWrap/>
            <w:vAlign w:val="bottom"/>
          </w:tcPr>
          <w:p w14:paraId="39130114"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NM</w:t>
            </w:r>
          </w:p>
        </w:tc>
      </w:tr>
      <w:tr w:rsidR="00FE0836" w:rsidRPr="00AE4E8D" w14:paraId="6EDC3460" w14:textId="77777777" w:rsidTr="000400C8">
        <w:trPr>
          <w:trHeight w:val="170"/>
          <w:jc w:val="center"/>
        </w:trPr>
        <w:tc>
          <w:tcPr>
            <w:tcW w:w="2395" w:type="pct"/>
            <w:tcBorders>
              <w:top w:val="nil"/>
              <w:left w:val="nil"/>
              <w:bottom w:val="nil"/>
              <w:right w:val="nil"/>
            </w:tcBorders>
            <w:noWrap/>
            <w:vAlign w:val="bottom"/>
          </w:tcPr>
          <w:p w14:paraId="614414E2" w14:textId="77777777" w:rsidR="00FE0836" w:rsidRPr="00AE4E8D" w:rsidRDefault="00FE0836" w:rsidP="00845924">
            <w:pPr>
              <w:rPr>
                <w:rFonts w:ascii="Times New Roman" w:hAnsi="Times New Roman"/>
                <w:color w:val="000000"/>
                <w:sz w:val="18"/>
                <w:szCs w:val="18"/>
                <w:lang w:val="es-ES"/>
              </w:rPr>
            </w:pPr>
            <w:r w:rsidRPr="00AE4E8D">
              <w:rPr>
                <w:rFonts w:ascii="Times New Roman" w:hAnsi="Times New Roman"/>
                <w:color w:val="000000"/>
                <w:sz w:val="18"/>
                <w:szCs w:val="18"/>
                <w:lang w:val="es-ES"/>
              </w:rPr>
              <w:t>Utilidades diversas netas</w:t>
            </w:r>
            <w:r w:rsidR="00845924" w:rsidRPr="00AE4E8D">
              <w:rPr>
                <w:rFonts w:ascii="Times New Roman" w:hAnsi="Times New Roman"/>
                <w:color w:val="000000"/>
                <w:sz w:val="18"/>
                <w:szCs w:val="18"/>
                <w:lang w:val="es-ES"/>
              </w:rPr>
              <w:t xml:space="preserve"> </w:t>
            </w:r>
            <w:r w:rsidRPr="00AE4E8D">
              <w:rPr>
                <w:rFonts w:ascii="Times New Roman" w:hAnsi="Times New Roman"/>
                <w:color w:val="000000"/>
                <w:sz w:val="18"/>
                <w:szCs w:val="18"/>
                <w:lang w:val="es-ES"/>
              </w:rPr>
              <w:t xml:space="preserve">(gastos) (3) </w:t>
            </w:r>
          </w:p>
        </w:tc>
        <w:tc>
          <w:tcPr>
            <w:tcW w:w="823" w:type="pct"/>
            <w:tcBorders>
              <w:top w:val="nil"/>
              <w:left w:val="nil"/>
              <w:bottom w:val="nil"/>
              <w:right w:val="nil"/>
            </w:tcBorders>
            <w:shd w:val="clear" w:color="auto" w:fill="auto"/>
            <w:noWrap/>
            <w:vAlign w:val="bottom"/>
          </w:tcPr>
          <w:p w14:paraId="0BE20F8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(27,3)</w:t>
            </w:r>
          </w:p>
        </w:tc>
        <w:tc>
          <w:tcPr>
            <w:tcW w:w="823" w:type="pct"/>
            <w:tcBorders>
              <w:top w:val="nil"/>
              <w:left w:val="nil"/>
              <w:bottom w:val="nil"/>
              <w:right w:val="nil"/>
            </w:tcBorders>
            <w:shd w:val="clear" w:color="auto" w:fill="auto"/>
            <w:noWrap/>
            <w:vAlign w:val="bottom"/>
          </w:tcPr>
          <w:p w14:paraId="7A795C7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(31,3)</w:t>
            </w:r>
          </w:p>
        </w:tc>
        <w:tc>
          <w:tcPr>
            <w:tcW w:w="959" w:type="pct"/>
            <w:tcBorders>
              <w:top w:val="nil"/>
              <w:left w:val="nil"/>
              <w:bottom w:val="nil"/>
              <w:right w:val="nil"/>
            </w:tcBorders>
            <w:shd w:val="clear" w:color="auto" w:fill="auto"/>
            <w:noWrap/>
            <w:vAlign w:val="bottom"/>
          </w:tcPr>
          <w:p w14:paraId="1CDD3F90"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(12,8)%</w:t>
            </w:r>
          </w:p>
        </w:tc>
      </w:tr>
      <w:tr w:rsidR="00FE0836" w:rsidRPr="00AE4E8D" w14:paraId="47A7BE2F" w14:textId="77777777" w:rsidTr="000400C8">
        <w:trPr>
          <w:trHeight w:val="170"/>
          <w:jc w:val="center"/>
        </w:trPr>
        <w:tc>
          <w:tcPr>
            <w:tcW w:w="2395" w:type="pct"/>
            <w:tcBorders>
              <w:top w:val="nil"/>
              <w:left w:val="nil"/>
              <w:bottom w:val="nil"/>
              <w:right w:val="nil"/>
            </w:tcBorders>
            <w:noWrap/>
            <w:vAlign w:val="bottom"/>
          </w:tcPr>
          <w:p w14:paraId="10D24881"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Impuesto a las Ganancias </w:t>
            </w:r>
          </w:p>
        </w:tc>
        <w:tc>
          <w:tcPr>
            <w:tcW w:w="823" w:type="pct"/>
            <w:tcBorders>
              <w:top w:val="nil"/>
              <w:left w:val="nil"/>
              <w:bottom w:val="nil"/>
              <w:right w:val="nil"/>
            </w:tcBorders>
            <w:shd w:val="clear" w:color="auto" w:fill="auto"/>
            <w:noWrap/>
            <w:vAlign w:val="bottom"/>
          </w:tcPr>
          <w:p w14:paraId="6E3439A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(279,6)</w:t>
            </w:r>
          </w:p>
        </w:tc>
        <w:tc>
          <w:tcPr>
            <w:tcW w:w="823" w:type="pct"/>
            <w:tcBorders>
              <w:top w:val="nil"/>
              <w:left w:val="nil"/>
              <w:bottom w:val="nil"/>
              <w:right w:val="nil"/>
            </w:tcBorders>
            <w:shd w:val="clear" w:color="auto" w:fill="auto"/>
            <w:noWrap/>
            <w:vAlign w:val="bottom"/>
          </w:tcPr>
          <w:p w14:paraId="6493BB3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(251,7)</w:t>
            </w:r>
          </w:p>
        </w:tc>
        <w:tc>
          <w:tcPr>
            <w:tcW w:w="959" w:type="pct"/>
            <w:tcBorders>
              <w:top w:val="nil"/>
              <w:left w:val="nil"/>
              <w:bottom w:val="nil"/>
              <w:right w:val="nil"/>
            </w:tcBorders>
            <w:shd w:val="clear" w:color="auto" w:fill="auto"/>
            <w:noWrap/>
            <w:vAlign w:val="bottom"/>
          </w:tcPr>
          <w:p w14:paraId="128306C7"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11,1%</w:t>
            </w:r>
          </w:p>
        </w:tc>
      </w:tr>
      <w:tr w:rsidR="00FE0836" w:rsidRPr="00AE4E8D" w14:paraId="600E6287" w14:textId="77777777" w:rsidTr="000400C8">
        <w:trPr>
          <w:trHeight w:val="170"/>
          <w:jc w:val="center"/>
        </w:trPr>
        <w:tc>
          <w:tcPr>
            <w:tcW w:w="2395" w:type="pct"/>
            <w:tcBorders>
              <w:top w:val="nil"/>
              <w:left w:val="nil"/>
              <w:bottom w:val="nil"/>
              <w:right w:val="nil"/>
            </w:tcBorders>
            <w:noWrap/>
            <w:vAlign w:val="bottom"/>
          </w:tcPr>
          <w:p w14:paraId="0937EC44" w14:textId="77777777" w:rsidR="00FE0836" w:rsidRPr="00AE4E8D" w:rsidRDefault="00FE0836" w:rsidP="00FE0836">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Resultado Neto</w:t>
            </w:r>
            <w:r w:rsidRPr="00AE4E8D">
              <w:rPr>
                <w:rFonts w:ascii="Times New Roman" w:hAnsi="Times New Roman"/>
                <w:color w:val="000000"/>
                <w:sz w:val="18"/>
                <w:szCs w:val="18"/>
                <w:lang w:val="es-ES"/>
              </w:rPr>
              <w:t xml:space="preserve"> </w:t>
            </w:r>
          </w:p>
        </w:tc>
        <w:tc>
          <w:tcPr>
            <w:tcW w:w="823" w:type="pct"/>
            <w:tcBorders>
              <w:top w:val="single" w:sz="8" w:space="0" w:color="auto"/>
              <w:left w:val="nil"/>
              <w:bottom w:val="single" w:sz="8" w:space="0" w:color="auto"/>
              <w:right w:val="nil"/>
            </w:tcBorders>
            <w:shd w:val="clear" w:color="auto" w:fill="auto"/>
            <w:noWrap/>
            <w:vAlign w:val="bottom"/>
          </w:tcPr>
          <w:p w14:paraId="416FA25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624,9</w:t>
            </w:r>
          </w:p>
        </w:tc>
        <w:tc>
          <w:tcPr>
            <w:tcW w:w="823" w:type="pct"/>
            <w:tcBorders>
              <w:top w:val="single" w:sz="8" w:space="0" w:color="auto"/>
              <w:left w:val="nil"/>
              <w:bottom w:val="single" w:sz="8" w:space="0" w:color="auto"/>
              <w:right w:val="nil"/>
            </w:tcBorders>
            <w:shd w:val="clear" w:color="auto" w:fill="auto"/>
            <w:noWrap/>
            <w:vAlign w:val="bottom"/>
          </w:tcPr>
          <w:p w14:paraId="72B432A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375,3</w:t>
            </w:r>
          </w:p>
        </w:tc>
        <w:tc>
          <w:tcPr>
            <w:tcW w:w="959" w:type="pct"/>
            <w:tcBorders>
              <w:top w:val="single" w:sz="8" w:space="0" w:color="auto"/>
              <w:left w:val="nil"/>
              <w:bottom w:val="single" w:sz="8" w:space="0" w:color="auto"/>
              <w:right w:val="nil"/>
            </w:tcBorders>
            <w:shd w:val="clear" w:color="auto" w:fill="auto"/>
            <w:noWrap/>
            <w:vAlign w:val="bottom"/>
          </w:tcPr>
          <w:p w14:paraId="060745D3"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66,5%</w:t>
            </w:r>
          </w:p>
        </w:tc>
      </w:tr>
    </w:tbl>
    <w:p w14:paraId="22E6BBB2" w14:textId="77777777" w:rsidR="00FE0836" w:rsidRPr="00AE4E8D" w:rsidRDefault="00FE0836" w:rsidP="00FE0836">
      <w:pPr>
        <w:numPr>
          <w:ilvl w:val="0"/>
          <w:numId w:val="74"/>
        </w:numPr>
        <w:autoSpaceDE w:val="0"/>
        <w:autoSpaceDN w:val="0"/>
        <w:adjustRightInd w:val="0"/>
        <w:spacing w:before="120"/>
        <w:ind w:left="714" w:hanging="357"/>
        <w:jc w:val="both"/>
        <w:rPr>
          <w:rFonts w:ascii="Times New Roman" w:hAnsi="Times New Roman"/>
          <w:sz w:val="14"/>
          <w:lang w:val="es-ES" w:eastAsia="es-AR"/>
        </w:rPr>
      </w:pPr>
      <w:r w:rsidRPr="00AE4E8D">
        <w:rPr>
          <w:rFonts w:ascii="Times New Roman" w:hAnsi="Times New Roman"/>
          <w:sz w:val="14"/>
          <w:lang w:val="es-ES" w:eastAsia="es-AR"/>
        </w:rPr>
        <w:t>Primas de seguro menos siniestros.</w:t>
      </w:r>
    </w:p>
    <w:p w14:paraId="08BB6FAA" w14:textId="77777777" w:rsidR="00FE0836" w:rsidRPr="00AE4E8D" w:rsidRDefault="00FE0836" w:rsidP="00FE0836">
      <w:pPr>
        <w:numPr>
          <w:ilvl w:val="0"/>
          <w:numId w:val="74"/>
        </w:numPr>
        <w:autoSpaceDE w:val="0"/>
        <w:autoSpaceDN w:val="0"/>
        <w:adjustRightInd w:val="0"/>
        <w:ind w:left="714" w:hanging="357"/>
        <w:jc w:val="both"/>
        <w:rPr>
          <w:rFonts w:ascii="Times New Roman" w:hAnsi="Times New Roman"/>
          <w:sz w:val="14"/>
          <w:lang w:val="es-ES" w:eastAsia="es-AR"/>
        </w:rPr>
      </w:pPr>
      <w:r w:rsidRPr="00AE4E8D">
        <w:rPr>
          <w:rFonts w:ascii="Times New Roman" w:hAnsi="Times New Roman"/>
          <w:sz w:val="14"/>
          <w:lang w:val="es-ES" w:eastAsia="es-AR"/>
        </w:rPr>
        <w:t>Otros ingresos por servicios menos otros gastos por servicios.</w:t>
      </w:r>
    </w:p>
    <w:p w14:paraId="19B771A0" w14:textId="77777777" w:rsidR="00FE0836" w:rsidRPr="00AE4E8D" w:rsidRDefault="00FE0836" w:rsidP="00FE0836">
      <w:pPr>
        <w:numPr>
          <w:ilvl w:val="0"/>
          <w:numId w:val="74"/>
        </w:numPr>
        <w:autoSpaceDE w:val="0"/>
        <w:autoSpaceDN w:val="0"/>
        <w:adjustRightInd w:val="0"/>
        <w:spacing w:after="240"/>
        <w:ind w:left="714" w:hanging="357"/>
        <w:jc w:val="both"/>
        <w:rPr>
          <w:rFonts w:ascii="Times New Roman" w:hAnsi="Times New Roman"/>
          <w:sz w:val="14"/>
          <w:lang w:val="es-ES" w:eastAsia="es-AR"/>
        </w:rPr>
      </w:pPr>
      <w:r w:rsidRPr="00AE4E8D">
        <w:rPr>
          <w:rFonts w:ascii="Times New Roman" w:hAnsi="Times New Roman"/>
          <w:sz w:val="14"/>
          <w:lang w:val="es-ES" w:eastAsia="es-AR"/>
        </w:rPr>
        <w:t>Utilidades diversas menos gastos diversos.</w:t>
      </w:r>
    </w:p>
    <w:p w14:paraId="2D8EC8B0"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Resultado Neto</w:t>
      </w:r>
    </w:p>
    <w:p w14:paraId="59B5DF4D" w14:textId="77777777" w:rsidR="00FE0836" w:rsidRPr="00AE4E8D" w:rsidRDefault="00FE0836" w:rsidP="00FE0836">
      <w:pPr>
        <w:pStyle w:val="BHTexto"/>
        <w:rPr>
          <w:lang w:val="es-ES"/>
        </w:rPr>
      </w:pPr>
      <w:r w:rsidRPr="00AE4E8D">
        <w:rPr>
          <w:lang w:val="es-ES"/>
        </w:rPr>
        <w:t>El resultado neto por los seis meses finalizados el 30 de junio de 2017 aumentó 66,5%, de Ps.375,3 millones por los seis meses finalizados el 30 de junio de 2016 a Ps.624,9 millones por los seis meses finalizados el 30 de junio de 2017, principalmente como resultado de:</w:t>
      </w:r>
    </w:p>
    <w:p w14:paraId="3144853C" w14:textId="77777777" w:rsidR="00FE0836" w:rsidRPr="00AE4E8D" w:rsidRDefault="00FE0836" w:rsidP="00FE0836">
      <w:pPr>
        <w:pStyle w:val="BHTexto"/>
        <w:numPr>
          <w:ilvl w:val="0"/>
          <w:numId w:val="95"/>
        </w:numPr>
        <w:rPr>
          <w:lang w:val="es-ES"/>
        </w:rPr>
      </w:pPr>
      <w:r w:rsidRPr="00AE4E8D">
        <w:rPr>
          <w:lang w:val="es-ES"/>
        </w:rPr>
        <w:t>Un aumento del 12,4% en los ingresos financieros de Ps.587,8</w:t>
      </w:r>
      <w:r w:rsidRPr="00AE4E8D">
        <w:rPr>
          <w:lang w:val="es-ES" w:eastAsia="es-AR"/>
        </w:rPr>
        <w:t xml:space="preserve"> </w:t>
      </w:r>
      <w:r w:rsidRPr="00AE4E8D">
        <w:rPr>
          <w:lang w:val="es-ES"/>
        </w:rPr>
        <w:t>millones, y</w:t>
      </w:r>
    </w:p>
    <w:p w14:paraId="2CB816BB" w14:textId="77777777" w:rsidR="00FE0836" w:rsidRPr="00AE4E8D" w:rsidRDefault="00FE0836" w:rsidP="00FE0836">
      <w:pPr>
        <w:pStyle w:val="BHTexto"/>
        <w:numPr>
          <w:ilvl w:val="0"/>
          <w:numId w:val="95"/>
        </w:numPr>
        <w:rPr>
          <w:lang w:val="es-ES"/>
        </w:rPr>
      </w:pPr>
      <w:r w:rsidRPr="00AE4E8D">
        <w:rPr>
          <w:lang w:val="es-ES"/>
        </w:rPr>
        <w:t>Un aumento del 31,4% en ingresos por servicios netos de Ps.544</w:t>
      </w:r>
      <w:proofErr w:type="gramStart"/>
      <w:r w:rsidRPr="00AE4E8D">
        <w:rPr>
          <w:lang w:val="es-ES"/>
        </w:rPr>
        <w:t>,1</w:t>
      </w:r>
      <w:proofErr w:type="gramEnd"/>
      <w:r w:rsidRPr="00AE4E8D">
        <w:rPr>
          <w:lang w:val="es-ES"/>
        </w:rPr>
        <w:t xml:space="preserve"> millones.</w:t>
      </w:r>
    </w:p>
    <w:p w14:paraId="2D4CC5CC" w14:textId="77777777" w:rsidR="00FE0836" w:rsidRPr="00AE4E8D" w:rsidRDefault="00FE0836" w:rsidP="00FE0836">
      <w:pPr>
        <w:pStyle w:val="BHTexto"/>
        <w:rPr>
          <w:lang w:val="es-ES"/>
        </w:rPr>
      </w:pPr>
      <w:r w:rsidRPr="00AE4E8D">
        <w:rPr>
          <w:lang w:val="es-ES"/>
        </w:rPr>
        <w:t>Estos incrementos fueron compensados parcialmente por:</w:t>
      </w:r>
    </w:p>
    <w:p w14:paraId="754CEFFC" w14:textId="77777777" w:rsidR="00FE0836" w:rsidRPr="00AE4E8D" w:rsidRDefault="00FE0836" w:rsidP="00FE0836">
      <w:pPr>
        <w:pStyle w:val="BHTexto"/>
        <w:numPr>
          <w:ilvl w:val="0"/>
          <w:numId w:val="96"/>
        </w:numPr>
        <w:rPr>
          <w:lang w:val="es-ES"/>
        </w:rPr>
      </w:pPr>
      <w:r w:rsidRPr="00AE4E8D">
        <w:rPr>
          <w:lang w:val="es-ES"/>
        </w:rPr>
        <w:lastRenderedPageBreak/>
        <w:t>Un aumento del 5,0% en egresos financieros de Ps.163,7 millones,</w:t>
      </w:r>
    </w:p>
    <w:p w14:paraId="239F7E53" w14:textId="77777777" w:rsidR="00FE0836" w:rsidRPr="00AE4E8D" w:rsidRDefault="00FE0836" w:rsidP="00FE0836">
      <w:pPr>
        <w:pStyle w:val="BHTexto"/>
        <w:numPr>
          <w:ilvl w:val="0"/>
          <w:numId w:val="96"/>
        </w:numPr>
        <w:rPr>
          <w:lang w:val="es-ES"/>
        </w:rPr>
      </w:pPr>
      <w:r w:rsidRPr="00AE4E8D">
        <w:rPr>
          <w:lang w:val="es-ES"/>
        </w:rPr>
        <w:t>Un aumento del 20,0% en gastos administrativos de Ps.468,5 millones,</w:t>
      </w:r>
      <w:r w:rsidR="00A558BA" w:rsidRPr="00AE4E8D">
        <w:rPr>
          <w:lang w:val="es-ES"/>
        </w:rPr>
        <w:t xml:space="preserve"> y</w:t>
      </w:r>
    </w:p>
    <w:p w14:paraId="38BDFFA8" w14:textId="77777777" w:rsidR="00FE0836" w:rsidRPr="00AE4E8D" w:rsidRDefault="00FE0836" w:rsidP="00FE0836">
      <w:pPr>
        <w:pStyle w:val="BHTexto"/>
        <w:numPr>
          <w:ilvl w:val="0"/>
          <w:numId w:val="96"/>
        </w:numPr>
        <w:rPr>
          <w:lang w:val="es-ES"/>
        </w:rPr>
      </w:pPr>
      <w:r w:rsidRPr="00AE4E8D">
        <w:rPr>
          <w:lang w:val="es-ES"/>
        </w:rPr>
        <w:t>Un aumento del 89,1% en cargo por pérdida de préstamos de Ps.178,9 millones,</w:t>
      </w:r>
    </w:p>
    <w:p w14:paraId="6C05B123"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Ingresos Financieros</w:t>
      </w:r>
    </w:p>
    <w:p w14:paraId="31697524"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siguiente cuadro detalla las principales líneas de los ingresos financieros por los seis meses finalizados el 30 de junio de 2017 y 2016:</w:t>
      </w:r>
    </w:p>
    <w:tbl>
      <w:tblPr>
        <w:tblW w:w="5000" w:type="pct"/>
        <w:jc w:val="center"/>
        <w:tblLook w:val="00A0" w:firstRow="1" w:lastRow="0" w:firstColumn="1" w:lastColumn="0" w:noHBand="0" w:noVBand="0"/>
      </w:tblPr>
      <w:tblGrid>
        <w:gridCol w:w="4976"/>
        <w:gridCol w:w="1183"/>
        <w:gridCol w:w="1184"/>
        <w:gridCol w:w="1378"/>
      </w:tblGrid>
      <w:tr w:rsidR="00FE0836" w:rsidRPr="00AE4E8D" w14:paraId="70BE755F" w14:textId="77777777" w:rsidTr="000400C8">
        <w:trPr>
          <w:trHeight w:val="255"/>
          <w:tblHeader/>
          <w:jc w:val="center"/>
        </w:trPr>
        <w:tc>
          <w:tcPr>
            <w:tcW w:w="2853" w:type="pct"/>
            <w:tcBorders>
              <w:top w:val="nil"/>
              <w:left w:val="nil"/>
              <w:bottom w:val="nil"/>
              <w:right w:val="nil"/>
            </w:tcBorders>
            <w:noWrap/>
            <w:vAlign w:val="bottom"/>
          </w:tcPr>
          <w:p w14:paraId="35BFAF6F" w14:textId="77777777" w:rsidR="00FE0836" w:rsidRPr="00AE4E8D" w:rsidRDefault="00FE0836" w:rsidP="00FE0836">
            <w:pPr>
              <w:rPr>
                <w:rFonts w:ascii="Times New Roman" w:hAnsi="Times New Roman"/>
                <w:color w:val="000000"/>
                <w:sz w:val="18"/>
                <w:szCs w:val="18"/>
                <w:lang w:val="es-ES"/>
              </w:rPr>
            </w:pPr>
          </w:p>
        </w:tc>
        <w:tc>
          <w:tcPr>
            <w:tcW w:w="1357" w:type="pct"/>
            <w:gridSpan w:val="2"/>
            <w:tcBorders>
              <w:top w:val="single" w:sz="8" w:space="0" w:color="auto"/>
              <w:left w:val="nil"/>
              <w:bottom w:val="single" w:sz="8" w:space="0" w:color="auto"/>
              <w:right w:val="nil"/>
            </w:tcBorders>
            <w:noWrap/>
            <w:vAlign w:val="bottom"/>
          </w:tcPr>
          <w:p w14:paraId="15BA087F"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Seis meses finalizados el </w:t>
            </w:r>
          </w:p>
          <w:p w14:paraId="1CE4BB71"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30 de junio de</w:t>
            </w:r>
          </w:p>
        </w:tc>
        <w:tc>
          <w:tcPr>
            <w:tcW w:w="790" w:type="pct"/>
            <w:tcBorders>
              <w:top w:val="single" w:sz="8" w:space="0" w:color="auto"/>
              <w:left w:val="nil"/>
              <w:bottom w:val="single" w:sz="8" w:space="0" w:color="auto"/>
              <w:right w:val="nil"/>
            </w:tcBorders>
            <w:noWrap/>
            <w:vAlign w:val="bottom"/>
          </w:tcPr>
          <w:p w14:paraId="0DF7A696"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Variación</w:t>
            </w:r>
          </w:p>
        </w:tc>
      </w:tr>
      <w:tr w:rsidR="00FE0836" w:rsidRPr="00AE4E8D" w14:paraId="7EC07A3C" w14:textId="77777777" w:rsidTr="000400C8">
        <w:trPr>
          <w:trHeight w:val="255"/>
          <w:tblHeader/>
          <w:jc w:val="center"/>
        </w:trPr>
        <w:tc>
          <w:tcPr>
            <w:tcW w:w="2853" w:type="pct"/>
            <w:tcBorders>
              <w:top w:val="nil"/>
              <w:left w:val="nil"/>
              <w:bottom w:val="nil"/>
              <w:right w:val="nil"/>
            </w:tcBorders>
            <w:noWrap/>
            <w:vAlign w:val="bottom"/>
          </w:tcPr>
          <w:p w14:paraId="55A9B625" w14:textId="77777777" w:rsidR="00FE0836" w:rsidRPr="00AE4E8D" w:rsidRDefault="00FE0836" w:rsidP="00FE0836">
            <w:pPr>
              <w:rPr>
                <w:rFonts w:ascii="Times New Roman" w:hAnsi="Times New Roman"/>
                <w:color w:val="000000"/>
                <w:sz w:val="18"/>
                <w:szCs w:val="18"/>
                <w:lang w:val="es-ES"/>
              </w:rPr>
            </w:pPr>
          </w:p>
        </w:tc>
        <w:tc>
          <w:tcPr>
            <w:tcW w:w="678" w:type="pct"/>
            <w:tcBorders>
              <w:top w:val="nil"/>
              <w:left w:val="nil"/>
              <w:bottom w:val="single" w:sz="8" w:space="0" w:color="auto"/>
              <w:right w:val="nil"/>
            </w:tcBorders>
            <w:noWrap/>
            <w:vAlign w:val="bottom"/>
          </w:tcPr>
          <w:p w14:paraId="6ABD945D"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2017</w:t>
            </w:r>
          </w:p>
        </w:tc>
        <w:tc>
          <w:tcPr>
            <w:tcW w:w="678" w:type="pct"/>
            <w:tcBorders>
              <w:top w:val="nil"/>
              <w:left w:val="nil"/>
              <w:bottom w:val="single" w:sz="8" w:space="0" w:color="auto"/>
              <w:right w:val="nil"/>
            </w:tcBorders>
            <w:noWrap/>
            <w:vAlign w:val="bottom"/>
          </w:tcPr>
          <w:p w14:paraId="05F19558"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w:t>
            </w:r>
          </w:p>
        </w:tc>
        <w:tc>
          <w:tcPr>
            <w:tcW w:w="790" w:type="pct"/>
            <w:tcBorders>
              <w:top w:val="nil"/>
              <w:left w:val="nil"/>
              <w:bottom w:val="single" w:sz="8" w:space="0" w:color="auto"/>
              <w:right w:val="nil"/>
            </w:tcBorders>
            <w:noWrap/>
            <w:vAlign w:val="bottom"/>
          </w:tcPr>
          <w:p w14:paraId="1FFB177B"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2016/2017</w:t>
            </w:r>
          </w:p>
        </w:tc>
      </w:tr>
      <w:tr w:rsidR="00FE0836" w:rsidRPr="00AE4E8D" w14:paraId="45E55D5D" w14:textId="77777777" w:rsidTr="000400C8">
        <w:trPr>
          <w:trHeight w:val="240"/>
          <w:tblHeader/>
          <w:jc w:val="center"/>
        </w:trPr>
        <w:tc>
          <w:tcPr>
            <w:tcW w:w="2853" w:type="pct"/>
            <w:tcBorders>
              <w:top w:val="nil"/>
              <w:left w:val="nil"/>
              <w:bottom w:val="nil"/>
              <w:right w:val="nil"/>
            </w:tcBorders>
            <w:noWrap/>
            <w:vAlign w:val="bottom"/>
          </w:tcPr>
          <w:p w14:paraId="391E449C" w14:textId="77777777" w:rsidR="00FE0836" w:rsidRPr="00AE4E8D" w:rsidRDefault="00FE0836" w:rsidP="00FE0836">
            <w:pPr>
              <w:rPr>
                <w:rFonts w:ascii="Times New Roman" w:hAnsi="Times New Roman"/>
                <w:color w:val="000000"/>
                <w:sz w:val="18"/>
                <w:szCs w:val="18"/>
                <w:lang w:val="es-ES"/>
              </w:rPr>
            </w:pPr>
          </w:p>
        </w:tc>
        <w:tc>
          <w:tcPr>
            <w:tcW w:w="2147" w:type="pct"/>
            <w:gridSpan w:val="3"/>
            <w:tcBorders>
              <w:top w:val="single" w:sz="8" w:space="0" w:color="auto"/>
              <w:left w:val="nil"/>
              <w:bottom w:val="nil"/>
              <w:right w:val="nil"/>
            </w:tcBorders>
            <w:noWrap/>
            <w:vAlign w:val="bottom"/>
          </w:tcPr>
          <w:p w14:paraId="593AF567" w14:textId="77777777" w:rsidR="00FE0836" w:rsidRPr="00AE4E8D" w:rsidRDefault="00FE0836" w:rsidP="00FE0836">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millones de Ps., excepto porcentajes)</w:t>
            </w:r>
          </w:p>
        </w:tc>
      </w:tr>
      <w:tr w:rsidR="00FE0836" w:rsidRPr="00AE4E8D" w14:paraId="4DE2D166" w14:textId="77777777" w:rsidTr="000400C8">
        <w:trPr>
          <w:trHeight w:val="240"/>
          <w:jc w:val="center"/>
        </w:trPr>
        <w:tc>
          <w:tcPr>
            <w:tcW w:w="2853" w:type="pct"/>
            <w:tcBorders>
              <w:top w:val="nil"/>
              <w:left w:val="nil"/>
              <w:bottom w:val="nil"/>
              <w:right w:val="nil"/>
            </w:tcBorders>
            <w:noWrap/>
            <w:vAlign w:val="bottom"/>
          </w:tcPr>
          <w:p w14:paraId="0B3B96AD"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Intereses por disponibilidades</w:t>
            </w:r>
          </w:p>
        </w:tc>
        <w:tc>
          <w:tcPr>
            <w:tcW w:w="678" w:type="pct"/>
            <w:tcBorders>
              <w:top w:val="nil"/>
              <w:left w:val="nil"/>
              <w:bottom w:val="nil"/>
              <w:right w:val="nil"/>
            </w:tcBorders>
            <w:shd w:val="clear" w:color="000000" w:fill="FFFFFF"/>
            <w:noWrap/>
            <w:vAlign w:val="bottom"/>
          </w:tcPr>
          <w:p w14:paraId="08100ED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0,1</w:t>
            </w:r>
          </w:p>
        </w:tc>
        <w:tc>
          <w:tcPr>
            <w:tcW w:w="678" w:type="pct"/>
            <w:tcBorders>
              <w:top w:val="nil"/>
              <w:left w:val="nil"/>
              <w:bottom w:val="nil"/>
              <w:right w:val="nil"/>
            </w:tcBorders>
            <w:shd w:val="clear" w:color="000000" w:fill="FFFFFF"/>
            <w:noWrap/>
            <w:vAlign w:val="bottom"/>
          </w:tcPr>
          <w:p w14:paraId="6B15229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w:t>
            </w:r>
          </w:p>
        </w:tc>
        <w:tc>
          <w:tcPr>
            <w:tcW w:w="790" w:type="pct"/>
            <w:tcBorders>
              <w:top w:val="nil"/>
              <w:left w:val="nil"/>
              <w:bottom w:val="nil"/>
              <w:right w:val="nil"/>
            </w:tcBorders>
            <w:noWrap/>
            <w:vAlign w:val="bottom"/>
          </w:tcPr>
          <w:p w14:paraId="24DD03AD"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NM</w:t>
            </w:r>
          </w:p>
        </w:tc>
      </w:tr>
      <w:tr w:rsidR="00FE0836" w:rsidRPr="00AE4E8D" w14:paraId="0F4D945D" w14:textId="77777777" w:rsidTr="000400C8">
        <w:trPr>
          <w:trHeight w:val="240"/>
          <w:jc w:val="center"/>
        </w:trPr>
        <w:tc>
          <w:tcPr>
            <w:tcW w:w="2853" w:type="pct"/>
            <w:tcBorders>
              <w:top w:val="nil"/>
              <w:left w:val="nil"/>
              <w:bottom w:val="nil"/>
              <w:right w:val="nil"/>
            </w:tcBorders>
            <w:noWrap/>
            <w:vAlign w:val="bottom"/>
          </w:tcPr>
          <w:p w14:paraId="11880FD2"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préstamos al sector financiero </w:t>
            </w:r>
          </w:p>
        </w:tc>
        <w:tc>
          <w:tcPr>
            <w:tcW w:w="678" w:type="pct"/>
            <w:tcBorders>
              <w:top w:val="nil"/>
              <w:left w:val="nil"/>
              <w:bottom w:val="nil"/>
              <w:right w:val="nil"/>
            </w:tcBorders>
            <w:shd w:val="clear" w:color="000000" w:fill="FFFFFF"/>
            <w:noWrap/>
            <w:vAlign w:val="bottom"/>
          </w:tcPr>
          <w:p w14:paraId="2BD3B5F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49,6</w:t>
            </w:r>
          </w:p>
        </w:tc>
        <w:tc>
          <w:tcPr>
            <w:tcW w:w="678" w:type="pct"/>
            <w:tcBorders>
              <w:top w:val="nil"/>
              <w:left w:val="nil"/>
              <w:bottom w:val="nil"/>
              <w:right w:val="nil"/>
            </w:tcBorders>
            <w:shd w:val="clear" w:color="000000" w:fill="FFFFFF"/>
            <w:noWrap/>
            <w:vAlign w:val="bottom"/>
          </w:tcPr>
          <w:p w14:paraId="73F9AEC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28,5</w:t>
            </w:r>
          </w:p>
        </w:tc>
        <w:tc>
          <w:tcPr>
            <w:tcW w:w="790" w:type="pct"/>
            <w:tcBorders>
              <w:top w:val="nil"/>
              <w:left w:val="nil"/>
              <w:bottom w:val="nil"/>
              <w:right w:val="nil"/>
            </w:tcBorders>
            <w:noWrap/>
            <w:vAlign w:val="bottom"/>
          </w:tcPr>
          <w:p w14:paraId="4CB322DF"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74,0%</w:t>
            </w:r>
          </w:p>
        </w:tc>
      </w:tr>
      <w:tr w:rsidR="00FE0836" w:rsidRPr="00AE4E8D" w14:paraId="431F85EC" w14:textId="77777777" w:rsidTr="000400C8">
        <w:trPr>
          <w:trHeight w:val="240"/>
          <w:jc w:val="center"/>
        </w:trPr>
        <w:tc>
          <w:tcPr>
            <w:tcW w:w="2853" w:type="pct"/>
            <w:tcBorders>
              <w:top w:val="nil"/>
              <w:left w:val="nil"/>
              <w:bottom w:val="nil"/>
              <w:right w:val="nil"/>
            </w:tcBorders>
            <w:noWrap/>
            <w:vAlign w:val="bottom"/>
          </w:tcPr>
          <w:p w14:paraId="2E4174F9"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adelantos </w:t>
            </w:r>
          </w:p>
        </w:tc>
        <w:tc>
          <w:tcPr>
            <w:tcW w:w="678" w:type="pct"/>
            <w:tcBorders>
              <w:top w:val="nil"/>
              <w:left w:val="nil"/>
              <w:bottom w:val="nil"/>
              <w:right w:val="nil"/>
            </w:tcBorders>
            <w:shd w:val="clear" w:color="000000" w:fill="FFFFFF"/>
            <w:noWrap/>
            <w:vAlign w:val="bottom"/>
          </w:tcPr>
          <w:p w14:paraId="20314F5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49,1</w:t>
            </w:r>
          </w:p>
        </w:tc>
        <w:tc>
          <w:tcPr>
            <w:tcW w:w="678" w:type="pct"/>
            <w:tcBorders>
              <w:top w:val="nil"/>
              <w:left w:val="nil"/>
              <w:bottom w:val="nil"/>
              <w:right w:val="nil"/>
            </w:tcBorders>
            <w:shd w:val="clear" w:color="000000" w:fill="FFFFFF"/>
            <w:noWrap/>
            <w:vAlign w:val="bottom"/>
          </w:tcPr>
          <w:p w14:paraId="1EBDC97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126,8</w:t>
            </w:r>
          </w:p>
        </w:tc>
        <w:tc>
          <w:tcPr>
            <w:tcW w:w="790" w:type="pct"/>
            <w:tcBorders>
              <w:top w:val="nil"/>
              <w:left w:val="nil"/>
              <w:bottom w:val="nil"/>
              <w:right w:val="nil"/>
            </w:tcBorders>
            <w:noWrap/>
            <w:vAlign w:val="bottom"/>
          </w:tcPr>
          <w:p w14:paraId="71E6ED03"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(61,3)%</w:t>
            </w:r>
          </w:p>
        </w:tc>
      </w:tr>
      <w:tr w:rsidR="00FE0836" w:rsidRPr="00AE4E8D" w14:paraId="15DF6222" w14:textId="77777777" w:rsidTr="000400C8">
        <w:trPr>
          <w:trHeight w:val="240"/>
          <w:jc w:val="center"/>
        </w:trPr>
        <w:tc>
          <w:tcPr>
            <w:tcW w:w="2853" w:type="pct"/>
            <w:tcBorders>
              <w:top w:val="nil"/>
              <w:left w:val="nil"/>
              <w:bottom w:val="nil"/>
              <w:right w:val="nil"/>
            </w:tcBorders>
            <w:noWrap/>
            <w:vAlign w:val="bottom"/>
          </w:tcPr>
          <w:p w14:paraId="2B619610"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documentos </w:t>
            </w:r>
          </w:p>
        </w:tc>
        <w:tc>
          <w:tcPr>
            <w:tcW w:w="678" w:type="pct"/>
            <w:tcBorders>
              <w:top w:val="nil"/>
              <w:left w:val="nil"/>
              <w:bottom w:val="nil"/>
              <w:right w:val="nil"/>
            </w:tcBorders>
            <w:shd w:val="clear" w:color="000000" w:fill="FFFFFF"/>
            <w:noWrap/>
            <w:vAlign w:val="bottom"/>
          </w:tcPr>
          <w:p w14:paraId="59C6A9C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81,4</w:t>
            </w:r>
          </w:p>
        </w:tc>
        <w:tc>
          <w:tcPr>
            <w:tcW w:w="678" w:type="pct"/>
            <w:tcBorders>
              <w:top w:val="nil"/>
              <w:left w:val="nil"/>
              <w:bottom w:val="nil"/>
              <w:right w:val="nil"/>
            </w:tcBorders>
            <w:shd w:val="clear" w:color="000000" w:fill="FFFFFF"/>
            <w:noWrap/>
            <w:vAlign w:val="bottom"/>
          </w:tcPr>
          <w:p w14:paraId="356CC39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58,9</w:t>
            </w:r>
          </w:p>
        </w:tc>
        <w:tc>
          <w:tcPr>
            <w:tcW w:w="790" w:type="pct"/>
            <w:tcBorders>
              <w:top w:val="nil"/>
              <w:left w:val="nil"/>
              <w:bottom w:val="nil"/>
              <w:right w:val="nil"/>
            </w:tcBorders>
            <w:noWrap/>
            <w:vAlign w:val="bottom"/>
          </w:tcPr>
          <w:p w14:paraId="289922F9"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38,2%</w:t>
            </w:r>
          </w:p>
        </w:tc>
      </w:tr>
      <w:tr w:rsidR="00FE0836" w:rsidRPr="00AE4E8D" w14:paraId="03F21208" w14:textId="77777777" w:rsidTr="000400C8">
        <w:trPr>
          <w:trHeight w:val="240"/>
          <w:jc w:val="center"/>
        </w:trPr>
        <w:tc>
          <w:tcPr>
            <w:tcW w:w="2853" w:type="pct"/>
            <w:tcBorders>
              <w:top w:val="nil"/>
              <w:left w:val="nil"/>
              <w:bottom w:val="nil"/>
              <w:right w:val="nil"/>
            </w:tcBorders>
            <w:noWrap/>
            <w:vAlign w:val="bottom"/>
          </w:tcPr>
          <w:p w14:paraId="35C46441"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préstamos hipotecarios </w:t>
            </w:r>
          </w:p>
        </w:tc>
        <w:tc>
          <w:tcPr>
            <w:tcW w:w="678" w:type="pct"/>
            <w:tcBorders>
              <w:top w:val="nil"/>
              <w:left w:val="nil"/>
              <w:bottom w:val="nil"/>
              <w:right w:val="nil"/>
            </w:tcBorders>
            <w:shd w:val="clear" w:color="000000" w:fill="FFFFFF"/>
            <w:noWrap/>
            <w:vAlign w:val="bottom"/>
          </w:tcPr>
          <w:p w14:paraId="4A46EA6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251,4</w:t>
            </w:r>
          </w:p>
        </w:tc>
        <w:tc>
          <w:tcPr>
            <w:tcW w:w="678" w:type="pct"/>
            <w:tcBorders>
              <w:top w:val="nil"/>
              <w:left w:val="nil"/>
              <w:bottom w:val="nil"/>
              <w:right w:val="nil"/>
            </w:tcBorders>
            <w:shd w:val="clear" w:color="000000" w:fill="FFFFFF"/>
            <w:noWrap/>
            <w:vAlign w:val="bottom"/>
          </w:tcPr>
          <w:p w14:paraId="1D9B54A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254,1</w:t>
            </w:r>
          </w:p>
        </w:tc>
        <w:tc>
          <w:tcPr>
            <w:tcW w:w="790" w:type="pct"/>
            <w:tcBorders>
              <w:top w:val="nil"/>
              <w:left w:val="nil"/>
              <w:bottom w:val="nil"/>
              <w:right w:val="nil"/>
            </w:tcBorders>
            <w:noWrap/>
            <w:vAlign w:val="bottom"/>
          </w:tcPr>
          <w:p w14:paraId="6B0A447B"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(1,1)%</w:t>
            </w:r>
          </w:p>
        </w:tc>
      </w:tr>
      <w:tr w:rsidR="00FE0836" w:rsidRPr="00AE4E8D" w14:paraId="775CA9E0" w14:textId="77777777" w:rsidTr="000400C8">
        <w:trPr>
          <w:trHeight w:val="240"/>
          <w:jc w:val="center"/>
        </w:trPr>
        <w:tc>
          <w:tcPr>
            <w:tcW w:w="2853" w:type="pct"/>
            <w:tcBorders>
              <w:top w:val="nil"/>
              <w:left w:val="nil"/>
              <w:bottom w:val="nil"/>
              <w:right w:val="nil"/>
            </w:tcBorders>
            <w:noWrap/>
            <w:vAlign w:val="bottom"/>
          </w:tcPr>
          <w:p w14:paraId="78AA6D62"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préstamos prendarios </w:t>
            </w:r>
          </w:p>
        </w:tc>
        <w:tc>
          <w:tcPr>
            <w:tcW w:w="678" w:type="pct"/>
            <w:tcBorders>
              <w:top w:val="nil"/>
              <w:left w:val="nil"/>
              <w:bottom w:val="nil"/>
              <w:right w:val="nil"/>
            </w:tcBorders>
            <w:shd w:val="clear" w:color="000000" w:fill="FFFFFF"/>
            <w:noWrap/>
            <w:vAlign w:val="bottom"/>
          </w:tcPr>
          <w:p w14:paraId="3D33367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58,6</w:t>
            </w:r>
          </w:p>
        </w:tc>
        <w:tc>
          <w:tcPr>
            <w:tcW w:w="678" w:type="pct"/>
            <w:tcBorders>
              <w:top w:val="nil"/>
              <w:left w:val="nil"/>
              <w:bottom w:val="nil"/>
              <w:right w:val="nil"/>
            </w:tcBorders>
            <w:shd w:val="clear" w:color="000000" w:fill="FFFFFF"/>
            <w:noWrap/>
            <w:vAlign w:val="bottom"/>
          </w:tcPr>
          <w:p w14:paraId="70BC985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82,8</w:t>
            </w:r>
          </w:p>
        </w:tc>
        <w:tc>
          <w:tcPr>
            <w:tcW w:w="790" w:type="pct"/>
            <w:tcBorders>
              <w:top w:val="nil"/>
              <w:left w:val="nil"/>
              <w:bottom w:val="nil"/>
              <w:right w:val="nil"/>
            </w:tcBorders>
            <w:noWrap/>
            <w:vAlign w:val="bottom"/>
          </w:tcPr>
          <w:p w14:paraId="0E2D3526"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(29,2)%</w:t>
            </w:r>
          </w:p>
        </w:tc>
      </w:tr>
      <w:tr w:rsidR="00FE0836" w:rsidRPr="00AE4E8D" w14:paraId="4EF3F193" w14:textId="77777777" w:rsidTr="000400C8">
        <w:trPr>
          <w:trHeight w:val="240"/>
          <w:jc w:val="center"/>
        </w:trPr>
        <w:tc>
          <w:tcPr>
            <w:tcW w:w="2853" w:type="pct"/>
            <w:tcBorders>
              <w:top w:val="nil"/>
              <w:left w:val="nil"/>
              <w:bottom w:val="nil"/>
              <w:right w:val="nil"/>
            </w:tcBorders>
            <w:noWrap/>
            <w:vAlign w:val="bottom"/>
          </w:tcPr>
          <w:p w14:paraId="38EDE39F"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préstamos de tarjetas de crédito </w:t>
            </w:r>
          </w:p>
        </w:tc>
        <w:tc>
          <w:tcPr>
            <w:tcW w:w="678" w:type="pct"/>
            <w:tcBorders>
              <w:top w:val="nil"/>
              <w:left w:val="nil"/>
              <w:bottom w:val="nil"/>
              <w:right w:val="nil"/>
            </w:tcBorders>
            <w:shd w:val="clear" w:color="000000" w:fill="FFFFFF"/>
            <w:noWrap/>
            <w:vAlign w:val="bottom"/>
          </w:tcPr>
          <w:p w14:paraId="19421E4F"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2.000,7</w:t>
            </w:r>
          </w:p>
        </w:tc>
        <w:tc>
          <w:tcPr>
            <w:tcW w:w="678" w:type="pct"/>
            <w:tcBorders>
              <w:top w:val="nil"/>
              <w:left w:val="nil"/>
              <w:bottom w:val="nil"/>
              <w:right w:val="nil"/>
            </w:tcBorders>
            <w:shd w:val="clear" w:color="000000" w:fill="FFFFFF"/>
            <w:noWrap/>
            <w:vAlign w:val="bottom"/>
          </w:tcPr>
          <w:p w14:paraId="1891847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1.533,7</w:t>
            </w:r>
          </w:p>
        </w:tc>
        <w:tc>
          <w:tcPr>
            <w:tcW w:w="790" w:type="pct"/>
            <w:tcBorders>
              <w:top w:val="nil"/>
              <w:left w:val="nil"/>
              <w:bottom w:val="nil"/>
              <w:right w:val="nil"/>
            </w:tcBorders>
            <w:noWrap/>
            <w:vAlign w:val="bottom"/>
          </w:tcPr>
          <w:p w14:paraId="21943CF9"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30,4%</w:t>
            </w:r>
          </w:p>
        </w:tc>
      </w:tr>
      <w:tr w:rsidR="00FE0836" w:rsidRPr="00AE4E8D" w14:paraId="5D21260A" w14:textId="77777777" w:rsidTr="000400C8">
        <w:trPr>
          <w:trHeight w:val="240"/>
          <w:jc w:val="center"/>
        </w:trPr>
        <w:tc>
          <w:tcPr>
            <w:tcW w:w="2853" w:type="pct"/>
            <w:tcBorders>
              <w:top w:val="nil"/>
              <w:left w:val="nil"/>
              <w:bottom w:val="nil"/>
              <w:right w:val="nil"/>
            </w:tcBorders>
            <w:noWrap/>
            <w:vAlign w:val="bottom"/>
          </w:tcPr>
          <w:p w14:paraId="7F877B6D"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arrendamientos financieros </w:t>
            </w:r>
          </w:p>
        </w:tc>
        <w:tc>
          <w:tcPr>
            <w:tcW w:w="678" w:type="pct"/>
            <w:tcBorders>
              <w:top w:val="nil"/>
              <w:left w:val="nil"/>
              <w:bottom w:val="nil"/>
              <w:right w:val="nil"/>
            </w:tcBorders>
            <w:shd w:val="clear" w:color="000000" w:fill="FFFFFF"/>
            <w:noWrap/>
            <w:vAlign w:val="bottom"/>
          </w:tcPr>
          <w:p w14:paraId="0B96FB7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20,5</w:t>
            </w:r>
          </w:p>
        </w:tc>
        <w:tc>
          <w:tcPr>
            <w:tcW w:w="678" w:type="pct"/>
            <w:tcBorders>
              <w:top w:val="nil"/>
              <w:left w:val="nil"/>
              <w:bottom w:val="nil"/>
              <w:right w:val="nil"/>
            </w:tcBorders>
            <w:shd w:val="clear" w:color="000000" w:fill="FFFFFF"/>
            <w:noWrap/>
            <w:vAlign w:val="bottom"/>
          </w:tcPr>
          <w:p w14:paraId="3A38AE7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16,1</w:t>
            </w:r>
          </w:p>
        </w:tc>
        <w:tc>
          <w:tcPr>
            <w:tcW w:w="790" w:type="pct"/>
            <w:tcBorders>
              <w:top w:val="nil"/>
              <w:left w:val="nil"/>
              <w:bottom w:val="nil"/>
              <w:right w:val="nil"/>
            </w:tcBorders>
            <w:noWrap/>
            <w:vAlign w:val="bottom"/>
          </w:tcPr>
          <w:p w14:paraId="2B89B63E"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27,3%</w:t>
            </w:r>
          </w:p>
        </w:tc>
      </w:tr>
      <w:tr w:rsidR="00FE0836" w:rsidRPr="00AE4E8D" w14:paraId="5319E678" w14:textId="77777777" w:rsidTr="000400C8">
        <w:trPr>
          <w:trHeight w:val="240"/>
          <w:jc w:val="center"/>
        </w:trPr>
        <w:tc>
          <w:tcPr>
            <w:tcW w:w="2853" w:type="pct"/>
            <w:tcBorders>
              <w:top w:val="nil"/>
              <w:left w:val="nil"/>
              <w:bottom w:val="nil"/>
              <w:right w:val="nil"/>
            </w:tcBorders>
            <w:noWrap/>
            <w:vAlign w:val="bottom"/>
          </w:tcPr>
          <w:p w14:paraId="5BBD2C57"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otros préstamos </w:t>
            </w:r>
          </w:p>
        </w:tc>
        <w:tc>
          <w:tcPr>
            <w:tcW w:w="678" w:type="pct"/>
            <w:tcBorders>
              <w:top w:val="nil"/>
              <w:left w:val="nil"/>
              <w:bottom w:val="nil"/>
              <w:right w:val="nil"/>
            </w:tcBorders>
            <w:shd w:val="clear" w:color="000000" w:fill="FFFFFF"/>
            <w:noWrap/>
            <w:vAlign w:val="bottom"/>
          </w:tcPr>
          <w:p w14:paraId="035AF63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1.480,4</w:t>
            </w:r>
          </w:p>
        </w:tc>
        <w:tc>
          <w:tcPr>
            <w:tcW w:w="678" w:type="pct"/>
            <w:tcBorders>
              <w:top w:val="nil"/>
              <w:left w:val="nil"/>
              <w:bottom w:val="nil"/>
              <w:right w:val="nil"/>
            </w:tcBorders>
            <w:shd w:val="clear" w:color="000000" w:fill="FFFFFF"/>
            <w:noWrap/>
            <w:vAlign w:val="bottom"/>
          </w:tcPr>
          <w:p w14:paraId="53A4C2C5"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1.060,5</w:t>
            </w:r>
          </w:p>
        </w:tc>
        <w:tc>
          <w:tcPr>
            <w:tcW w:w="790" w:type="pct"/>
            <w:tcBorders>
              <w:top w:val="nil"/>
              <w:left w:val="nil"/>
              <w:bottom w:val="nil"/>
              <w:right w:val="nil"/>
            </w:tcBorders>
            <w:noWrap/>
            <w:vAlign w:val="bottom"/>
          </w:tcPr>
          <w:p w14:paraId="72D0E624"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39,6%</w:t>
            </w:r>
          </w:p>
        </w:tc>
      </w:tr>
      <w:tr w:rsidR="00FE0836" w:rsidRPr="00AE4E8D" w14:paraId="21AF3D9B" w14:textId="77777777" w:rsidTr="000400C8">
        <w:trPr>
          <w:trHeight w:val="240"/>
          <w:jc w:val="center"/>
        </w:trPr>
        <w:tc>
          <w:tcPr>
            <w:tcW w:w="2853" w:type="pct"/>
            <w:tcBorders>
              <w:top w:val="nil"/>
              <w:left w:val="nil"/>
              <w:bottom w:val="nil"/>
              <w:right w:val="nil"/>
            </w:tcBorders>
            <w:noWrap/>
            <w:vAlign w:val="bottom"/>
          </w:tcPr>
          <w:p w14:paraId="23AB58F2"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otros créditos por intermediación financiera </w:t>
            </w:r>
          </w:p>
        </w:tc>
        <w:tc>
          <w:tcPr>
            <w:tcW w:w="678" w:type="pct"/>
            <w:tcBorders>
              <w:top w:val="nil"/>
              <w:left w:val="nil"/>
              <w:bottom w:val="nil"/>
              <w:right w:val="nil"/>
            </w:tcBorders>
            <w:shd w:val="clear" w:color="000000" w:fill="FFFFFF"/>
            <w:noWrap/>
            <w:vAlign w:val="bottom"/>
          </w:tcPr>
          <w:p w14:paraId="7F7FFD1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8,9</w:t>
            </w:r>
          </w:p>
        </w:tc>
        <w:tc>
          <w:tcPr>
            <w:tcW w:w="678" w:type="pct"/>
            <w:tcBorders>
              <w:top w:val="nil"/>
              <w:left w:val="nil"/>
              <w:bottom w:val="nil"/>
              <w:right w:val="nil"/>
            </w:tcBorders>
            <w:shd w:val="clear" w:color="000000" w:fill="FFFFFF"/>
            <w:noWrap/>
            <w:vAlign w:val="bottom"/>
          </w:tcPr>
          <w:p w14:paraId="6C1DA955"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2,6</w:t>
            </w:r>
          </w:p>
        </w:tc>
        <w:tc>
          <w:tcPr>
            <w:tcW w:w="790" w:type="pct"/>
            <w:tcBorders>
              <w:top w:val="nil"/>
              <w:left w:val="nil"/>
              <w:bottom w:val="nil"/>
              <w:right w:val="nil"/>
            </w:tcBorders>
            <w:noWrap/>
            <w:vAlign w:val="bottom"/>
          </w:tcPr>
          <w:p w14:paraId="48F60875"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NM</w:t>
            </w:r>
          </w:p>
        </w:tc>
      </w:tr>
      <w:tr w:rsidR="00FE0836" w:rsidRPr="00AE4E8D" w14:paraId="1323FA62" w14:textId="77777777" w:rsidTr="000400C8">
        <w:trPr>
          <w:trHeight w:val="240"/>
          <w:jc w:val="center"/>
        </w:trPr>
        <w:tc>
          <w:tcPr>
            <w:tcW w:w="2853" w:type="pct"/>
            <w:tcBorders>
              <w:top w:val="nil"/>
              <w:left w:val="nil"/>
              <w:bottom w:val="nil"/>
              <w:right w:val="nil"/>
            </w:tcBorders>
            <w:noWrap/>
            <w:vAlign w:val="bottom"/>
          </w:tcPr>
          <w:p w14:paraId="5ADB39A0"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Resultado neto de títulos públicos y privados </w:t>
            </w:r>
          </w:p>
        </w:tc>
        <w:tc>
          <w:tcPr>
            <w:tcW w:w="678" w:type="pct"/>
            <w:tcBorders>
              <w:top w:val="nil"/>
              <w:left w:val="nil"/>
              <w:bottom w:val="nil"/>
              <w:right w:val="nil"/>
            </w:tcBorders>
            <w:shd w:val="clear" w:color="000000" w:fill="FFFFFF"/>
            <w:noWrap/>
            <w:vAlign w:val="bottom"/>
          </w:tcPr>
          <w:p w14:paraId="273E928F"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966,7</w:t>
            </w:r>
          </w:p>
        </w:tc>
        <w:tc>
          <w:tcPr>
            <w:tcW w:w="678" w:type="pct"/>
            <w:tcBorders>
              <w:top w:val="nil"/>
              <w:left w:val="nil"/>
              <w:bottom w:val="nil"/>
              <w:right w:val="nil"/>
            </w:tcBorders>
            <w:shd w:val="clear" w:color="000000" w:fill="FFFFFF"/>
            <w:noWrap/>
            <w:vAlign w:val="bottom"/>
          </w:tcPr>
          <w:p w14:paraId="26892CD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1.269,4</w:t>
            </w:r>
          </w:p>
        </w:tc>
        <w:tc>
          <w:tcPr>
            <w:tcW w:w="790" w:type="pct"/>
            <w:tcBorders>
              <w:top w:val="nil"/>
              <w:left w:val="nil"/>
              <w:bottom w:val="nil"/>
              <w:right w:val="nil"/>
            </w:tcBorders>
            <w:noWrap/>
            <w:vAlign w:val="bottom"/>
          </w:tcPr>
          <w:p w14:paraId="778A63CF"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(23,8)%</w:t>
            </w:r>
          </w:p>
        </w:tc>
      </w:tr>
      <w:tr w:rsidR="00FE0836" w:rsidRPr="00AE4E8D" w14:paraId="154135E4" w14:textId="77777777" w:rsidTr="000400C8">
        <w:trPr>
          <w:trHeight w:val="240"/>
          <w:jc w:val="center"/>
        </w:trPr>
        <w:tc>
          <w:tcPr>
            <w:tcW w:w="2853" w:type="pct"/>
            <w:tcBorders>
              <w:top w:val="nil"/>
              <w:left w:val="nil"/>
              <w:bottom w:val="nil"/>
              <w:right w:val="nil"/>
            </w:tcBorders>
            <w:noWrap/>
            <w:vAlign w:val="bottom"/>
          </w:tcPr>
          <w:p w14:paraId="66493094"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Ajuste por CER </w:t>
            </w:r>
          </w:p>
        </w:tc>
        <w:tc>
          <w:tcPr>
            <w:tcW w:w="678" w:type="pct"/>
            <w:tcBorders>
              <w:top w:val="nil"/>
              <w:left w:val="nil"/>
              <w:bottom w:val="nil"/>
              <w:right w:val="nil"/>
            </w:tcBorders>
            <w:shd w:val="clear" w:color="000000" w:fill="FFFFFF"/>
            <w:noWrap/>
            <w:vAlign w:val="bottom"/>
          </w:tcPr>
          <w:p w14:paraId="20D999B3"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4,8</w:t>
            </w:r>
          </w:p>
        </w:tc>
        <w:tc>
          <w:tcPr>
            <w:tcW w:w="678" w:type="pct"/>
            <w:tcBorders>
              <w:top w:val="nil"/>
              <w:left w:val="nil"/>
              <w:bottom w:val="nil"/>
              <w:right w:val="nil"/>
            </w:tcBorders>
            <w:shd w:val="clear" w:color="000000" w:fill="FFFFFF"/>
            <w:noWrap/>
            <w:vAlign w:val="bottom"/>
          </w:tcPr>
          <w:p w14:paraId="56EA2C23"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8,7</w:t>
            </w:r>
          </w:p>
        </w:tc>
        <w:tc>
          <w:tcPr>
            <w:tcW w:w="790" w:type="pct"/>
            <w:tcBorders>
              <w:top w:val="nil"/>
              <w:left w:val="nil"/>
              <w:bottom w:val="nil"/>
              <w:right w:val="nil"/>
            </w:tcBorders>
            <w:noWrap/>
            <w:vAlign w:val="bottom"/>
          </w:tcPr>
          <w:p w14:paraId="70AC18D2"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(44,8)%</w:t>
            </w:r>
          </w:p>
        </w:tc>
      </w:tr>
      <w:tr w:rsidR="00FE0836" w:rsidRPr="00AE4E8D" w14:paraId="44CC8295" w14:textId="77777777" w:rsidTr="000400C8">
        <w:trPr>
          <w:trHeight w:val="255"/>
          <w:jc w:val="center"/>
        </w:trPr>
        <w:tc>
          <w:tcPr>
            <w:tcW w:w="2853" w:type="pct"/>
            <w:tcBorders>
              <w:top w:val="nil"/>
              <w:left w:val="nil"/>
              <w:bottom w:val="nil"/>
              <w:right w:val="nil"/>
            </w:tcBorders>
            <w:noWrap/>
            <w:vAlign w:val="bottom"/>
          </w:tcPr>
          <w:p w14:paraId="01BD1A36"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Diferencias de cotización de oro y moneda extranjera </w:t>
            </w:r>
          </w:p>
        </w:tc>
        <w:tc>
          <w:tcPr>
            <w:tcW w:w="678" w:type="pct"/>
            <w:tcBorders>
              <w:top w:val="nil"/>
              <w:left w:val="nil"/>
              <w:bottom w:val="nil"/>
              <w:right w:val="nil"/>
            </w:tcBorders>
            <w:shd w:val="clear" w:color="000000" w:fill="FFFFFF"/>
            <w:noWrap/>
            <w:vAlign w:val="bottom"/>
          </w:tcPr>
          <w:p w14:paraId="4EA34DC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7,4</w:t>
            </w:r>
          </w:p>
        </w:tc>
        <w:tc>
          <w:tcPr>
            <w:tcW w:w="678" w:type="pct"/>
            <w:tcBorders>
              <w:top w:val="nil"/>
              <w:left w:val="nil"/>
              <w:bottom w:val="nil"/>
              <w:right w:val="nil"/>
            </w:tcBorders>
            <w:shd w:val="clear" w:color="000000" w:fill="FFFFFF"/>
            <w:noWrap/>
            <w:vAlign w:val="bottom"/>
          </w:tcPr>
          <w:p w14:paraId="69EC968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w:t>
            </w:r>
          </w:p>
        </w:tc>
        <w:tc>
          <w:tcPr>
            <w:tcW w:w="790" w:type="pct"/>
            <w:tcBorders>
              <w:top w:val="nil"/>
              <w:left w:val="nil"/>
              <w:bottom w:val="nil"/>
              <w:right w:val="nil"/>
            </w:tcBorders>
            <w:noWrap/>
            <w:vAlign w:val="bottom"/>
          </w:tcPr>
          <w:p w14:paraId="34589157"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NM</w:t>
            </w:r>
          </w:p>
        </w:tc>
      </w:tr>
      <w:tr w:rsidR="00FE0836" w:rsidRPr="00AE4E8D" w14:paraId="16670CDB" w14:textId="77777777" w:rsidTr="000400C8">
        <w:trPr>
          <w:trHeight w:val="255"/>
          <w:jc w:val="center"/>
        </w:trPr>
        <w:tc>
          <w:tcPr>
            <w:tcW w:w="2853" w:type="pct"/>
            <w:tcBorders>
              <w:top w:val="nil"/>
              <w:left w:val="nil"/>
              <w:bottom w:val="nil"/>
              <w:right w:val="nil"/>
            </w:tcBorders>
            <w:noWrap/>
            <w:vAlign w:val="bottom"/>
          </w:tcPr>
          <w:p w14:paraId="74BA6F02"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w:t>
            </w:r>
          </w:p>
        </w:tc>
        <w:tc>
          <w:tcPr>
            <w:tcW w:w="678" w:type="pct"/>
            <w:tcBorders>
              <w:top w:val="nil"/>
              <w:left w:val="nil"/>
              <w:bottom w:val="nil"/>
              <w:right w:val="nil"/>
            </w:tcBorders>
            <w:shd w:val="clear" w:color="000000" w:fill="FFFFFF"/>
            <w:noWrap/>
            <w:vAlign w:val="bottom"/>
          </w:tcPr>
          <w:p w14:paraId="2F419A9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351,7</w:t>
            </w:r>
          </w:p>
        </w:tc>
        <w:tc>
          <w:tcPr>
            <w:tcW w:w="678" w:type="pct"/>
            <w:tcBorders>
              <w:top w:val="nil"/>
              <w:left w:val="nil"/>
              <w:bottom w:val="nil"/>
              <w:right w:val="nil"/>
            </w:tcBorders>
            <w:shd w:val="clear" w:color="000000" w:fill="FFFFFF"/>
            <w:noWrap/>
            <w:vAlign w:val="bottom"/>
          </w:tcPr>
          <w:p w14:paraId="02D5285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301,4</w:t>
            </w:r>
          </w:p>
        </w:tc>
        <w:tc>
          <w:tcPr>
            <w:tcW w:w="790" w:type="pct"/>
            <w:tcBorders>
              <w:top w:val="nil"/>
              <w:left w:val="nil"/>
              <w:bottom w:val="nil"/>
              <w:right w:val="nil"/>
            </w:tcBorders>
            <w:noWrap/>
            <w:vAlign w:val="bottom"/>
          </w:tcPr>
          <w:p w14:paraId="46787681"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16,7%</w:t>
            </w:r>
          </w:p>
        </w:tc>
      </w:tr>
      <w:tr w:rsidR="003B5193" w:rsidRPr="00AE4E8D" w14:paraId="221DB3BE" w14:textId="77777777" w:rsidTr="00FE0836">
        <w:trPr>
          <w:trHeight w:val="255"/>
          <w:jc w:val="center"/>
        </w:trPr>
        <w:tc>
          <w:tcPr>
            <w:tcW w:w="2853" w:type="pct"/>
            <w:tcBorders>
              <w:top w:val="nil"/>
              <w:left w:val="nil"/>
              <w:bottom w:val="nil"/>
              <w:right w:val="nil"/>
            </w:tcBorders>
            <w:noWrap/>
            <w:vAlign w:val="bottom"/>
          </w:tcPr>
          <w:p w14:paraId="0A64FDCF" w14:textId="77777777" w:rsidR="00FE0836" w:rsidRPr="00AE4E8D" w:rsidRDefault="00FE0836" w:rsidP="00FE0836">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Total Ingresos Financieros </w:t>
            </w:r>
          </w:p>
        </w:tc>
        <w:tc>
          <w:tcPr>
            <w:tcW w:w="678" w:type="pct"/>
            <w:tcBorders>
              <w:top w:val="single" w:sz="8" w:space="0" w:color="auto"/>
              <w:left w:val="nil"/>
              <w:bottom w:val="single" w:sz="8" w:space="0" w:color="auto"/>
              <w:right w:val="nil"/>
            </w:tcBorders>
            <w:shd w:val="clear" w:color="000000" w:fill="FFFFFF"/>
            <w:noWrap/>
            <w:vAlign w:val="bottom"/>
          </w:tcPr>
          <w:p w14:paraId="5F69B64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5.331,3</w:t>
            </w:r>
          </w:p>
        </w:tc>
        <w:tc>
          <w:tcPr>
            <w:tcW w:w="678" w:type="pct"/>
            <w:tcBorders>
              <w:top w:val="single" w:sz="8" w:space="0" w:color="auto"/>
              <w:left w:val="nil"/>
              <w:bottom w:val="single" w:sz="8" w:space="0" w:color="auto"/>
              <w:right w:val="nil"/>
            </w:tcBorders>
            <w:shd w:val="clear" w:color="000000" w:fill="FFFFFF"/>
            <w:noWrap/>
            <w:vAlign w:val="bottom"/>
          </w:tcPr>
          <w:p w14:paraId="7582B7F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4.743,5</w:t>
            </w:r>
          </w:p>
        </w:tc>
        <w:tc>
          <w:tcPr>
            <w:tcW w:w="790" w:type="pct"/>
            <w:tcBorders>
              <w:top w:val="single" w:sz="8" w:space="0" w:color="auto"/>
              <w:left w:val="nil"/>
              <w:bottom w:val="single" w:sz="8" w:space="0" w:color="auto"/>
              <w:right w:val="nil"/>
            </w:tcBorders>
            <w:noWrap/>
            <w:vAlign w:val="bottom"/>
          </w:tcPr>
          <w:p w14:paraId="32D7F6A4"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12,4%</w:t>
            </w:r>
          </w:p>
        </w:tc>
      </w:tr>
    </w:tbl>
    <w:p w14:paraId="68854268"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muestra los efectos de los cambios en el volumen promedio de los activos que generan intereses y tasa de interés nominal promedio entre los períodos de seis meses finalizados el 30 de junio de 2016 y 2017:</w:t>
      </w:r>
    </w:p>
    <w:tbl>
      <w:tblPr>
        <w:tblW w:w="0" w:type="auto"/>
        <w:jc w:val="center"/>
        <w:tblLayout w:type="fixed"/>
        <w:tblLook w:val="00A0" w:firstRow="1" w:lastRow="0" w:firstColumn="1" w:lastColumn="0" w:noHBand="0" w:noVBand="0"/>
      </w:tblPr>
      <w:tblGrid>
        <w:gridCol w:w="6487"/>
        <w:gridCol w:w="415"/>
        <w:gridCol w:w="1759"/>
      </w:tblGrid>
      <w:tr w:rsidR="00FE0836" w:rsidRPr="00AE4E8D" w14:paraId="63D344A0" w14:textId="77777777" w:rsidTr="000400C8">
        <w:trPr>
          <w:trHeight w:val="300"/>
          <w:tblHeader/>
          <w:jc w:val="center"/>
        </w:trPr>
        <w:tc>
          <w:tcPr>
            <w:tcW w:w="6487" w:type="dxa"/>
            <w:tcBorders>
              <w:top w:val="nil"/>
              <w:left w:val="nil"/>
              <w:bottom w:val="nil"/>
              <w:right w:val="nil"/>
            </w:tcBorders>
            <w:noWrap/>
            <w:vAlign w:val="bottom"/>
          </w:tcPr>
          <w:p w14:paraId="5B518D6F" w14:textId="77777777" w:rsidR="00FE0836" w:rsidRPr="00AE4E8D" w:rsidRDefault="00FE0836" w:rsidP="00FE0836">
            <w:pPr>
              <w:autoSpaceDE w:val="0"/>
              <w:autoSpaceDN w:val="0"/>
              <w:adjustRightInd w:val="0"/>
              <w:spacing w:before="120" w:after="120"/>
              <w:jc w:val="both"/>
              <w:rPr>
                <w:rFonts w:ascii="Times New Roman" w:hAnsi="Times New Roman"/>
                <w:lang w:val="es-ES" w:eastAsia="x-none"/>
              </w:rPr>
            </w:pPr>
          </w:p>
        </w:tc>
        <w:tc>
          <w:tcPr>
            <w:tcW w:w="2174" w:type="dxa"/>
            <w:gridSpan w:val="2"/>
            <w:tcBorders>
              <w:top w:val="single" w:sz="4" w:space="0" w:color="auto"/>
              <w:left w:val="nil"/>
              <w:bottom w:val="single" w:sz="4" w:space="0" w:color="auto"/>
              <w:right w:val="nil"/>
            </w:tcBorders>
            <w:noWrap/>
            <w:vAlign w:val="bottom"/>
          </w:tcPr>
          <w:p w14:paraId="62ABCC9D" w14:textId="77777777" w:rsidR="00FE0836" w:rsidRPr="00AE4E8D" w:rsidRDefault="00FE0836" w:rsidP="00FE0836">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 xml:space="preserve">Aumento/(Disminución) </w:t>
            </w:r>
          </w:p>
          <w:p w14:paraId="73D59573" w14:textId="77777777" w:rsidR="00FE0836" w:rsidRPr="00AE4E8D" w:rsidRDefault="00FE0836" w:rsidP="00FE0836">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2016/2017</w:t>
            </w:r>
          </w:p>
        </w:tc>
      </w:tr>
      <w:tr w:rsidR="00FE0836" w:rsidRPr="00AE4E8D" w14:paraId="7D7E2662" w14:textId="77777777" w:rsidTr="000400C8">
        <w:trPr>
          <w:trHeight w:val="300"/>
          <w:tblHeader/>
          <w:jc w:val="center"/>
        </w:trPr>
        <w:tc>
          <w:tcPr>
            <w:tcW w:w="6487" w:type="dxa"/>
            <w:tcBorders>
              <w:top w:val="nil"/>
              <w:left w:val="nil"/>
              <w:bottom w:val="nil"/>
              <w:right w:val="nil"/>
            </w:tcBorders>
            <w:noWrap/>
            <w:vAlign w:val="bottom"/>
          </w:tcPr>
          <w:p w14:paraId="3AFCA509" w14:textId="77777777" w:rsidR="00FE0836" w:rsidRPr="00AE4E8D" w:rsidRDefault="00FE0836" w:rsidP="00FE0836">
            <w:pPr>
              <w:autoSpaceDE w:val="0"/>
              <w:autoSpaceDN w:val="0"/>
              <w:adjustRightInd w:val="0"/>
              <w:spacing w:before="120" w:after="120"/>
              <w:jc w:val="both"/>
              <w:rPr>
                <w:rFonts w:ascii="Times New Roman" w:hAnsi="Times New Roman"/>
                <w:lang w:val="es-ES" w:eastAsia="es-ES"/>
              </w:rPr>
            </w:pPr>
          </w:p>
        </w:tc>
        <w:tc>
          <w:tcPr>
            <w:tcW w:w="2174" w:type="dxa"/>
            <w:gridSpan w:val="2"/>
            <w:tcBorders>
              <w:top w:val="single" w:sz="4" w:space="0" w:color="auto"/>
              <w:left w:val="nil"/>
              <w:bottom w:val="single" w:sz="4" w:space="0" w:color="auto"/>
              <w:right w:val="nil"/>
            </w:tcBorders>
            <w:noWrap/>
            <w:vAlign w:val="bottom"/>
          </w:tcPr>
          <w:p w14:paraId="09542E3A" w14:textId="77777777" w:rsidR="00FE0836" w:rsidRPr="00AE4E8D" w:rsidRDefault="00FE0836" w:rsidP="00FE0836">
            <w:pPr>
              <w:keepNext/>
              <w:keepLines/>
              <w:jc w:val="center"/>
              <w:rPr>
                <w:rFonts w:ascii="Times New Roman" w:hAnsi="Times New Roman"/>
                <w:lang w:val="es-ES" w:eastAsia="es-AR"/>
              </w:rPr>
            </w:pPr>
            <w:r w:rsidRPr="00AE4E8D">
              <w:rPr>
                <w:rFonts w:ascii="Times New Roman" w:hAnsi="Times New Roman"/>
                <w:sz w:val="18"/>
                <w:szCs w:val="18"/>
                <w:lang w:val="es-ES" w:eastAsia="es-AR"/>
              </w:rPr>
              <w:t>(</w:t>
            </w:r>
            <w:proofErr w:type="gramStart"/>
            <w:r w:rsidRPr="00AE4E8D">
              <w:rPr>
                <w:rFonts w:ascii="Times New Roman" w:hAnsi="Times New Roman"/>
                <w:sz w:val="18"/>
                <w:szCs w:val="18"/>
                <w:lang w:val="es-ES" w:eastAsia="es-AR"/>
              </w:rPr>
              <w:t>en</w:t>
            </w:r>
            <w:proofErr w:type="gramEnd"/>
            <w:r w:rsidRPr="00AE4E8D">
              <w:rPr>
                <w:rFonts w:ascii="Times New Roman" w:hAnsi="Times New Roman"/>
                <w:sz w:val="18"/>
                <w:szCs w:val="18"/>
                <w:lang w:val="es-ES" w:eastAsia="es-AR"/>
              </w:rPr>
              <w:t xml:space="preserve"> millones de Ps.)</w:t>
            </w:r>
          </w:p>
        </w:tc>
      </w:tr>
      <w:tr w:rsidR="00FE0836" w:rsidRPr="00AE4E8D" w14:paraId="1FBE1B2B" w14:textId="77777777" w:rsidTr="000400C8">
        <w:trPr>
          <w:trHeight w:val="240"/>
          <w:jc w:val="center"/>
        </w:trPr>
        <w:tc>
          <w:tcPr>
            <w:tcW w:w="6487" w:type="dxa"/>
            <w:tcBorders>
              <w:top w:val="nil"/>
              <w:left w:val="nil"/>
              <w:bottom w:val="nil"/>
              <w:right w:val="nil"/>
            </w:tcBorders>
            <w:noWrap/>
          </w:tcPr>
          <w:p w14:paraId="6B936A18" w14:textId="77777777" w:rsidR="00FE0836" w:rsidRPr="00AE4E8D" w:rsidRDefault="00FE0836" w:rsidP="00FE0836">
            <w:pPr>
              <w:tabs>
                <w:tab w:val="left" w:leader="dot" w:pos="6542"/>
              </w:tabs>
              <w:rPr>
                <w:rFonts w:ascii="Times New Roman" w:hAnsi="Times New Roman"/>
                <w:color w:val="000000"/>
                <w:sz w:val="18"/>
                <w:szCs w:val="18"/>
                <w:lang w:val="es-ES" w:eastAsia="es-AR"/>
              </w:rPr>
            </w:pPr>
            <w:r w:rsidRPr="00AE4E8D">
              <w:rPr>
                <w:rFonts w:ascii="Times New Roman" w:hAnsi="Times New Roman"/>
                <w:color w:val="000000"/>
                <w:sz w:val="18"/>
                <w:szCs w:val="18"/>
                <w:lang w:val="es-ES" w:eastAsia="es-AR"/>
              </w:rPr>
              <w:t>Debido a variaciones en el volumen promedio de activos que devengan intereses</w:t>
            </w:r>
            <w:r w:rsidRPr="00AE4E8D">
              <w:rPr>
                <w:rFonts w:ascii="Times New Roman" w:hAnsi="Times New Roman"/>
                <w:color w:val="000000"/>
                <w:sz w:val="18"/>
                <w:szCs w:val="18"/>
                <w:lang w:val="es-ES" w:eastAsia="es-AR"/>
              </w:rPr>
              <w:tab/>
            </w:r>
          </w:p>
        </w:tc>
        <w:tc>
          <w:tcPr>
            <w:tcW w:w="415" w:type="dxa"/>
            <w:tcBorders>
              <w:top w:val="single" w:sz="4" w:space="0" w:color="auto"/>
              <w:left w:val="nil"/>
              <w:bottom w:val="nil"/>
              <w:right w:val="nil"/>
            </w:tcBorders>
            <w:shd w:val="clear" w:color="000000" w:fill="FFFFFF"/>
            <w:noWrap/>
            <w:vAlign w:val="bottom"/>
          </w:tcPr>
          <w:p w14:paraId="115A1B86" w14:textId="77777777" w:rsidR="00FE0836" w:rsidRPr="00AE4E8D" w:rsidRDefault="00FE0836" w:rsidP="00FE0836">
            <w:pPr>
              <w:keepNext/>
              <w:keepLines/>
              <w:jc w:val="right"/>
              <w:rPr>
                <w:rFonts w:ascii="Times New Roman" w:hAnsi="Times New Roman"/>
                <w:sz w:val="18"/>
                <w:szCs w:val="18"/>
                <w:lang w:val="es-ES" w:eastAsia="es-AR"/>
              </w:rPr>
            </w:pPr>
          </w:p>
        </w:tc>
        <w:tc>
          <w:tcPr>
            <w:tcW w:w="1759" w:type="dxa"/>
            <w:tcBorders>
              <w:top w:val="single" w:sz="4" w:space="0" w:color="auto"/>
              <w:left w:val="nil"/>
              <w:bottom w:val="nil"/>
              <w:right w:val="nil"/>
            </w:tcBorders>
            <w:shd w:val="clear" w:color="000000" w:fill="FFFFFF"/>
            <w:noWrap/>
            <w:vAlign w:val="bottom"/>
          </w:tcPr>
          <w:p w14:paraId="48DEA072" w14:textId="77777777" w:rsidR="00FE0836" w:rsidRPr="00AE4E8D" w:rsidRDefault="00FE0836" w:rsidP="00FE0836">
            <w:pPr>
              <w:keepNext/>
              <w:keepLines/>
              <w:jc w:val="right"/>
              <w:rPr>
                <w:rFonts w:ascii="Times New Roman" w:hAnsi="Times New Roman"/>
                <w:sz w:val="18"/>
                <w:szCs w:val="18"/>
                <w:lang w:val="es-ES" w:eastAsia="es-AR"/>
              </w:rPr>
            </w:pPr>
            <w:r w:rsidRPr="00AE4E8D">
              <w:rPr>
                <w:rFonts w:ascii="Times New Roman" w:hAnsi="Times New Roman"/>
                <w:sz w:val="18"/>
                <w:szCs w:val="18"/>
                <w:lang w:val="es-ES" w:eastAsia="es-AR"/>
              </w:rPr>
              <w:t>2.496,1</w:t>
            </w:r>
          </w:p>
        </w:tc>
      </w:tr>
      <w:tr w:rsidR="00FE0836" w:rsidRPr="00AE4E8D" w14:paraId="4127AD6F" w14:textId="77777777" w:rsidTr="000400C8">
        <w:trPr>
          <w:trHeight w:val="240"/>
          <w:jc w:val="center"/>
        </w:trPr>
        <w:tc>
          <w:tcPr>
            <w:tcW w:w="6487" w:type="dxa"/>
            <w:tcBorders>
              <w:top w:val="nil"/>
              <w:left w:val="nil"/>
              <w:bottom w:val="nil"/>
              <w:right w:val="nil"/>
            </w:tcBorders>
            <w:noWrap/>
          </w:tcPr>
          <w:p w14:paraId="5B250DB9" w14:textId="77777777" w:rsidR="00FE0836" w:rsidRPr="00AE4E8D" w:rsidRDefault="00FE0836" w:rsidP="00FE0836">
            <w:pPr>
              <w:tabs>
                <w:tab w:val="left" w:leader="dot" w:pos="6542"/>
              </w:tabs>
              <w:rPr>
                <w:rFonts w:ascii="Times New Roman" w:hAnsi="Times New Roman"/>
                <w:color w:val="000000"/>
                <w:sz w:val="18"/>
                <w:szCs w:val="18"/>
                <w:lang w:val="es-ES" w:eastAsia="es-AR"/>
              </w:rPr>
            </w:pPr>
            <w:r w:rsidRPr="00AE4E8D">
              <w:rPr>
                <w:rFonts w:ascii="Times New Roman" w:hAnsi="Times New Roman"/>
                <w:color w:val="000000"/>
                <w:sz w:val="18"/>
                <w:szCs w:val="18"/>
                <w:lang w:val="es-ES" w:eastAsia="es-AR"/>
              </w:rPr>
              <w:t>Debido a variaciones en las tasas nominales de interés promedio</w:t>
            </w:r>
            <w:r w:rsidRPr="00AE4E8D">
              <w:rPr>
                <w:rFonts w:ascii="Times New Roman" w:hAnsi="Times New Roman"/>
                <w:color w:val="000000"/>
                <w:sz w:val="18"/>
                <w:szCs w:val="18"/>
                <w:lang w:val="es-ES" w:eastAsia="es-AR"/>
              </w:rPr>
              <w:tab/>
            </w:r>
          </w:p>
        </w:tc>
        <w:tc>
          <w:tcPr>
            <w:tcW w:w="415" w:type="dxa"/>
            <w:tcBorders>
              <w:top w:val="nil"/>
              <w:left w:val="nil"/>
              <w:bottom w:val="nil"/>
              <w:right w:val="nil"/>
            </w:tcBorders>
            <w:shd w:val="clear" w:color="000000" w:fill="FFFFFF"/>
            <w:noWrap/>
            <w:vAlign w:val="bottom"/>
          </w:tcPr>
          <w:p w14:paraId="378C4886" w14:textId="77777777" w:rsidR="00FE0836" w:rsidRPr="00AE4E8D" w:rsidRDefault="00FE0836" w:rsidP="00FE0836">
            <w:pPr>
              <w:keepNext/>
              <w:keepLines/>
              <w:jc w:val="right"/>
              <w:rPr>
                <w:rFonts w:ascii="Times New Roman" w:hAnsi="Times New Roman"/>
                <w:sz w:val="18"/>
                <w:szCs w:val="18"/>
                <w:lang w:val="es-ES" w:eastAsia="es-AR"/>
              </w:rPr>
            </w:pPr>
          </w:p>
        </w:tc>
        <w:tc>
          <w:tcPr>
            <w:tcW w:w="1759" w:type="dxa"/>
            <w:tcBorders>
              <w:top w:val="nil"/>
              <w:left w:val="nil"/>
              <w:bottom w:val="single" w:sz="4" w:space="0" w:color="auto"/>
              <w:right w:val="nil"/>
            </w:tcBorders>
            <w:shd w:val="clear" w:color="000000" w:fill="FFFFFF"/>
            <w:noWrap/>
            <w:vAlign w:val="bottom"/>
          </w:tcPr>
          <w:p w14:paraId="1BC7201D" w14:textId="77777777" w:rsidR="00FE0836" w:rsidRPr="00AE4E8D" w:rsidRDefault="00FE0836" w:rsidP="00FE0836">
            <w:pPr>
              <w:keepNext/>
              <w:keepLines/>
              <w:jc w:val="right"/>
              <w:rPr>
                <w:rFonts w:ascii="Times New Roman" w:hAnsi="Times New Roman"/>
                <w:sz w:val="18"/>
                <w:szCs w:val="18"/>
                <w:lang w:val="es-ES" w:eastAsia="es-AR"/>
              </w:rPr>
            </w:pPr>
            <w:r w:rsidRPr="00AE4E8D">
              <w:rPr>
                <w:rFonts w:ascii="Times New Roman" w:hAnsi="Times New Roman"/>
                <w:sz w:val="18"/>
                <w:szCs w:val="18"/>
                <w:lang w:val="es-ES" w:eastAsia="es-AR"/>
              </w:rPr>
              <w:t>(1.908,3)</w:t>
            </w:r>
          </w:p>
        </w:tc>
      </w:tr>
      <w:tr w:rsidR="00FE0836" w:rsidRPr="00AE4E8D" w14:paraId="0FBCEE29" w14:textId="77777777" w:rsidTr="000400C8">
        <w:trPr>
          <w:trHeight w:val="240"/>
          <w:jc w:val="center"/>
        </w:trPr>
        <w:tc>
          <w:tcPr>
            <w:tcW w:w="6487" w:type="dxa"/>
            <w:tcBorders>
              <w:top w:val="nil"/>
              <w:left w:val="nil"/>
              <w:bottom w:val="nil"/>
              <w:right w:val="nil"/>
            </w:tcBorders>
            <w:noWrap/>
            <w:vAlign w:val="bottom"/>
          </w:tcPr>
          <w:p w14:paraId="2A355E4E" w14:textId="77777777" w:rsidR="00FE0836" w:rsidRPr="00AE4E8D" w:rsidRDefault="00FE0836" w:rsidP="00FE0836">
            <w:pPr>
              <w:tabs>
                <w:tab w:val="left" w:leader="dot" w:pos="6542"/>
              </w:tabs>
              <w:rPr>
                <w:rFonts w:ascii="Times New Roman" w:hAnsi="Times New Roman"/>
                <w:color w:val="000000"/>
                <w:sz w:val="18"/>
                <w:szCs w:val="18"/>
                <w:lang w:val="es-ES" w:eastAsia="es-AR"/>
              </w:rPr>
            </w:pPr>
            <w:r w:rsidRPr="00AE4E8D">
              <w:rPr>
                <w:rFonts w:ascii="Times New Roman" w:hAnsi="Times New Roman"/>
                <w:color w:val="000000"/>
                <w:sz w:val="18"/>
                <w:szCs w:val="18"/>
                <w:lang w:val="es-ES" w:eastAsia="es-AR"/>
              </w:rPr>
              <w:t xml:space="preserve">Variación neta </w:t>
            </w:r>
            <w:r w:rsidRPr="00AE4E8D">
              <w:rPr>
                <w:rFonts w:ascii="Times New Roman" w:hAnsi="Times New Roman"/>
                <w:color w:val="000000"/>
                <w:sz w:val="18"/>
                <w:szCs w:val="18"/>
                <w:lang w:val="es-ES" w:eastAsia="es-AR"/>
              </w:rPr>
              <w:tab/>
            </w:r>
          </w:p>
        </w:tc>
        <w:tc>
          <w:tcPr>
            <w:tcW w:w="415" w:type="dxa"/>
            <w:tcBorders>
              <w:top w:val="nil"/>
              <w:left w:val="nil"/>
              <w:bottom w:val="nil"/>
              <w:right w:val="nil"/>
            </w:tcBorders>
            <w:shd w:val="clear" w:color="000000" w:fill="FFFFFF"/>
            <w:noWrap/>
            <w:vAlign w:val="bottom"/>
          </w:tcPr>
          <w:p w14:paraId="5C6FAE27" w14:textId="77777777" w:rsidR="00FE0836" w:rsidRPr="00AE4E8D" w:rsidRDefault="00FE0836" w:rsidP="00FE0836">
            <w:pPr>
              <w:keepNext/>
              <w:keepLines/>
              <w:jc w:val="right"/>
              <w:rPr>
                <w:rFonts w:ascii="Times New Roman" w:hAnsi="Times New Roman"/>
                <w:sz w:val="18"/>
                <w:szCs w:val="18"/>
                <w:lang w:val="es-ES" w:eastAsia="es-AR"/>
              </w:rPr>
            </w:pPr>
          </w:p>
        </w:tc>
        <w:tc>
          <w:tcPr>
            <w:tcW w:w="1759" w:type="dxa"/>
            <w:tcBorders>
              <w:top w:val="single" w:sz="4" w:space="0" w:color="auto"/>
              <w:left w:val="nil"/>
              <w:bottom w:val="nil"/>
              <w:right w:val="nil"/>
            </w:tcBorders>
            <w:shd w:val="clear" w:color="000000" w:fill="FFFFFF"/>
            <w:noWrap/>
            <w:vAlign w:val="bottom"/>
          </w:tcPr>
          <w:p w14:paraId="4378E383" w14:textId="77777777" w:rsidR="00FE0836" w:rsidRPr="00AE4E8D" w:rsidRDefault="00FE0836" w:rsidP="00FE0836">
            <w:pPr>
              <w:keepNext/>
              <w:keepLines/>
              <w:jc w:val="right"/>
              <w:rPr>
                <w:rFonts w:ascii="Times New Roman" w:hAnsi="Times New Roman"/>
                <w:sz w:val="18"/>
                <w:szCs w:val="18"/>
                <w:lang w:val="es-ES" w:eastAsia="es-AR"/>
              </w:rPr>
            </w:pPr>
            <w:r w:rsidRPr="00AE4E8D">
              <w:rPr>
                <w:rFonts w:ascii="Times New Roman" w:hAnsi="Times New Roman"/>
                <w:sz w:val="18"/>
                <w:szCs w:val="18"/>
                <w:lang w:val="es-ES" w:eastAsia="es-AR"/>
              </w:rPr>
              <w:t>587,8</w:t>
            </w:r>
          </w:p>
        </w:tc>
      </w:tr>
    </w:tbl>
    <w:p w14:paraId="5E095F01" w14:textId="77777777" w:rsidR="00FE0836" w:rsidRPr="00AE4E8D" w:rsidRDefault="00FE0836" w:rsidP="00FE0836">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Los ingresos financieros aumentaron 12,4%, de Ps.4.743,5 millones por los seis meses finalizados el 30 de junio de 2016 a Ps.5.331,3 millones por los seis meses finalizados el 30 de junio de 2017, principalmente debido a un aumento del 37,0% en el saldo de activos promedio que devengan interés, de Ps.35.545,0 millones por los seis meses finalizados el 30 de junio de 2016 a Ps.48.686,1 millones por los seis meses finalizados el 30 de junio de 2017 compensado parcialmente con una disminución del 12,8% en las tasas de interés promedio, del 27,6% por los seis meses finalizados el 30 de junio de 2016 al 24,1% por los seis meses finalizados el 30 de junio de 2017.</w:t>
      </w:r>
    </w:p>
    <w:p w14:paraId="288E877A" w14:textId="77777777" w:rsidR="00FE0836" w:rsidRPr="00AE4E8D" w:rsidRDefault="00FE0836" w:rsidP="00FE0836">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Este aumento en nuestros ingresos financieros se debió a:</w:t>
      </w:r>
    </w:p>
    <w:p w14:paraId="7EF00C30" w14:textId="77777777" w:rsidR="00FE0836" w:rsidRPr="00AE4E8D" w:rsidRDefault="00FE0836" w:rsidP="00FE0836">
      <w:pPr>
        <w:pStyle w:val="BHTexto"/>
        <w:numPr>
          <w:ilvl w:val="0"/>
          <w:numId w:val="97"/>
        </w:numPr>
        <w:rPr>
          <w:lang w:val="es-ES"/>
        </w:rPr>
      </w:pPr>
      <w:r w:rsidRPr="00AE4E8D">
        <w:rPr>
          <w:lang w:val="es-ES"/>
        </w:rPr>
        <w:t>Un aumento del 39,6% en ingresos por otros préstamos, de Ps.1.060,5 millones por los seis meses finalizados el 30 de junio de 2016 a Ps.1.480,4 millones por los seis meses finalizados el 30 de junio de 2017, principalmente como resultado de un incremento del 47,9% en el volumen promedio de préstamos comerciales;</w:t>
      </w:r>
    </w:p>
    <w:p w14:paraId="5A108878" w14:textId="77777777" w:rsidR="00FE0836" w:rsidRPr="00AE4E8D" w:rsidRDefault="00FE0836" w:rsidP="00FE0836">
      <w:pPr>
        <w:pStyle w:val="BHTexto"/>
        <w:numPr>
          <w:ilvl w:val="0"/>
          <w:numId w:val="97"/>
        </w:numPr>
        <w:rPr>
          <w:lang w:val="es-ES"/>
        </w:rPr>
      </w:pPr>
      <w:r w:rsidRPr="00AE4E8D">
        <w:rPr>
          <w:lang w:val="es-ES"/>
        </w:rPr>
        <w:t xml:space="preserve">Un aumento del 30,4% en ingresos por préstamos por tarjetas de crédito, de Ps.1.533,7 millones por los seis meses finalizados el 30 de junio de 2016 a Ps.2.000,7 millones por los seis meses finalizados el 30 de junio de 2017, principalmente como resultado de un aumento del 35,2% en el volumen promedio de saldos de tarjetas de crédito; </w:t>
      </w:r>
    </w:p>
    <w:p w14:paraId="47504753" w14:textId="77777777" w:rsidR="00FE0836" w:rsidRPr="00AE4E8D" w:rsidRDefault="00FE0836" w:rsidP="00FE0836">
      <w:pPr>
        <w:pStyle w:val="BHTexto"/>
        <w:numPr>
          <w:ilvl w:val="0"/>
          <w:numId w:val="97"/>
        </w:numPr>
        <w:rPr>
          <w:lang w:val="es-ES"/>
        </w:rPr>
      </w:pPr>
      <w:r w:rsidRPr="00AE4E8D">
        <w:rPr>
          <w:lang w:val="es-ES"/>
        </w:rPr>
        <w:lastRenderedPageBreak/>
        <w:t>Una disminución del 23,8% en ingresos netos por títulos públicos y privados, de Ps.1.269,4 millones por los seis meses finalizados el 30 de junio de 2016 a Ps.966,7 millones por los seis meses finalizados el 30 de junio de 2017, reflejando menores ingresos por actividades de intermediación debido a una disminución del 46,4% en las tasas promedio devengadas de títulos públicos y privados; y</w:t>
      </w:r>
    </w:p>
    <w:p w14:paraId="6DCD0BEC" w14:textId="77777777" w:rsidR="00FE0836" w:rsidRPr="00AE4E8D" w:rsidRDefault="00FE0836" w:rsidP="00FE0836">
      <w:pPr>
        <w:pStyle w:val="BHTexto"/>
        <w:numPr>
          <w:ilvl w:val="0"/>
          <w:numId w:val="97"/>
        </w:numPr>
        <w:rPr>
          <w:lang w:val="es-ES"/>
        </w:rPr>
      </w:pPr>
      <w:r w:rsidRPr="00AE4E8D">
        <w:rPr>
          <w:lang w:val="es-ES"/>
        </w:rPr>
        <w:t>Una disminución del 61,3% en resultados por adelantos, de Ps.126</w:t>
      </w:r>
      <w:proofErr w:type="gramStart"/>
      <w:r w:rsidRPr="00AE4E8D">
        <w:rPr>
          <w:lang w:val="es-ES"/>
        </w:rPr>
        <w:t>,8</w:t>
      </w:r>
      <w:proofErr w:type="gramEnd"/>
      <w:r w:rsidRPr="00AE4E8D">
        <w:rPr>
          <w:lang w:val="es-ES"/>
        </w:rPr>
        <w:t xml:space="preserve"> millones por los seis meses finalizados el 30 de junio de 2016 a Ps.49, 1 millones por los seis meses finalizados el 30 de junio de 2017, principalmente como resultado de una disminución del 44,1% en el saldo promedio de préstamos por adelantos.</w:t>
      </w:r>
    </w:p>
    <w:p w14:paraId="6E4F5597" w14:textId="77777777" w:rsidR="00FE0836" w:rsidRPr="00AE4E8D" w:rsidRDefault="00FE0836" w:rsidP="00FE0836">
      <w:pPr>
        <w:keepNext/>
        <w:autoSpaceDE w:val="0"/>
        <w:autoSpaceDN w:val="0"/>
        <w:adjustRightInd w:val="0"/>
        <w:spacing w:after="120"/>
        <w:jc w:val="both"/>
        <w:outlineLvl w:val="3"/>
        <w:rPr>
          <w:rFonts w:ascii="Times New Roman" w:hAnsi="Times New Roman"/>
          <w:b/>
          <w:i/>
          <w:color w:val="000000"/>
          <w:lang w:val="es-ES" w:eastAsia="es-AR"/>
        </w:rPr>
      </w:pPr>
      <w:r w:rsidRPr="00AE4E8D">
        <w:rPr>
          <w:rFonts w:ascii="Times New Roman" w:hAnsi="Times New Roman"/>
          <w:b/>
          <w:i/>
          <w:lang w:val="es-ES" w:eastAsia="es-AR"/>
        </w:rPr>
        <w:t>Egresos Financieros</w:t>
      </w:r>
    </w:p>
    <w:p w14:paraId="7493819B"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muestra los principales rubros de los egresos financieros por seis meses finalizados el 30 de junio de 2017 y 2016:</w:t>
      </w:r>
    </w:p>
    <w:tbl>
      <w:tblPr>
        <w:tblW w:w="5000" w:type="pct"/>
        <w:jc w:val="center"/>
        <w:tblLook w:val="00A0" w:firstRow="1" w:lastRow="0" w:firstColumn="1" w:lastColumn="0" w:noHBand="0" w:noVBand="0"/>
      </w:tblPr>
      <w:tblGrid>
        <w:gridCol w:w="5131"/>
        <w:gridCol w:w="1134"/>
        <w:gridCol w:w="1134"/>
        <w:gridCol w:w="1322"/>
      </w:tblGrid>
      <w:tr w:rsidR="00FE0836" w:rsidRPr="00AE4E8D" w14:paraId="2A280E07" w14:textId="77777777" w:rsidTr="000400C8">
        <w:trPr>
          <w:trHeight w:val="255"/>
          <w:tblHeader/>
          <w:jc w:val="center"/>
        </w:trPr>
        <w:tc>
          <w:tcPr>
            <w:tcW w:w="2942" w:type="pct"/>
            <w:tcBorders>
              <w:top w:val="nil"/>
              <w:left w:val="nil"/>
              <w:bottom w:val="nil"/>
              <w:right w:val="nil"/>
            </w:tcBorders>
            <w:noWrap/>
            <w:vAlign w:val="bottom"/>
          </w:tcPr>
          <w:p w14:paraId="59E00BF8" w14:textId="77777777" w:rsidR="00FE0836" w:rsidRPr="00AE4E8D" w:rsidRDefault="00FE0836" w:rsidP="00FE0836">
            <w:pPr>
              <w:rPr>
                <w:rFonts w:ascii="Times New Roman" w:hAnsi="Times New Roman"/>
                <w:color w:val="000000"/>
                <w:sz w:val="18"/>
                <w:szCs w:val="18"/>
                <w:lang w:val="es-ES"/>
              </w:rPr>
            </w:pPr>
          </w:p>
        </w:tc>
        <w:tc>
          <w:tcPr>
            <w:tcW w:w="1300" w:type="pct"/>
            <w:gridSpan w:val="2"/>
            <w:tcBorders>
              <w:top w:val="single" w:sz="8" w:space="0" w:color="auto"/>
              <w:left w:val="nil"/>
              <w:bottom w:val="single" w:sz="8" w:space="0" w:color="auto"/>
              <w:right w:val="nil"/>
            </w:tcBorders>
            <w:noWrap/>
            <w:vAlign w:val="bottom"/>
          </w:tcPr>
          <w:p w14:paraId="03382242"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Seis meses finalizados el </w:t>
            </w:r>
          </w:p>
          <w:p w14:paraId="1B86E671"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30 de junio de </w:t>
            </w:r>
          </w:p>
        </w:tc>
        <w:tc>
          <w:tcPr>
            <w:tcW w:w="757" w:type="pct"/>
            <w:tcBorders>
              <w:top w:val="single" w:sz="8" w:space="0" w:color="auto"/>
              <w:left w:val="nil"/>
              <w:bottom w:val="single" w:sz="8" w:space="0" w:color="auto"/>
              <w:right w:val="nil"/>
            </w:tcBorders>
            <w:noWrap/>
            <w:vAlign w:val="bottom"/>
          </w:tcPr>
          <w:p w14:paraId="214333D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Variación</w:t>
            </w:r>
          </w:p>
        </w:tc>
      </w:tr>
      <w:tr w:rsidR="00FE0836" w:rsidRPr="00AE4E8D" w14:paraId="4726B881" w14:textId="77777777" w:rsidTr="000400C8">
        <w:trPr>
          <w:trHeight w:val="255"/>
          <w:tblHeader/>
          <w:jc w:val="center"/>
        </w:trPr>
        <w:tc>
          <w:tcPr>
            <w:tcW w:w="2942" w:type="pct"/>
            <w:tcBorders>
              <w:top w:val="nil"/>
              <w:left w:val="nil"/>
              <w:bottom w:val="nil"/>
              <w:right w:val="nil"/>
            </w:tcBorders>
            <w:noWrap/>
            <w:vAlign w:val="bottom"/>
          </w:tcPr>
          <w:p w14:paraId="5DAEFD5B" w14:textId="77777777" w:rsidR="00FE0836" w:rsidRPr="00AE4E8D" w:rsidRDefault="00FE0836" w:rsidP="00FE0836">
            <w:pPr>
              <w:rPr>
                <w:rFonts w:ascii="Times New Roman" w:hAnsi="Times New Roman"/>
                <w:color w:val="000000"/>
                <w:sz w:val="18"/>
                <w:szCs w:val="18"/>
                <w:lang w:val="es-ES"/>
              </w:rPr>
            </w:pPr>
          </w:p>
        </w:tc>
        <w:tc>
          <w:tcPr>
            <w:tcW w:w="650" w:type="pct"/>
            <w:tcBorders>
              <w:top w:val="nil"/>
              <w:left w:val="nil"/>
              <w:bottom w:val="single" w:sz="8" w:space="0" w:color="auto"/>
              <w:right w:val="nil"/>
            </w:tcBorders>
            <w:noWrap/>
            <w:vAlign w:val="bottom"/>
          </w:tcPr>
          <w:p w14:paraId="1D3A6B98"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2017</w:t>
            </w:r>
          </w:p>
        </w:tc>
        <w:tc>
          <w:tcPr>
            <w:tcW w:w="650" w:type="pct"/>
            <w:tcBorders>
              <w:top w:val="nil"/>
              <w:left w:val="nil"/>
              <w:bottom w:val="single" w:sz="8" w:space="0" w:color="auto"/>
              <w:right w:val="nil"/>
            </w:tcBorders>
            <w:noWrap/>
            <w:vAlign w:val="bottom"/>
          </w:tcPr>
          <w:p w14:paraId="653E7065"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w:t>
            </w:r>
          </w:p>
        </w:tc>
        <w:tc>
          <w:tcPr>
            <w:tcW w:w="757" w:type="pct"/>
            <w:tcBorders>
              <w:top w:val="nil"/>
              <w:left w:val="nil"/>
              <w:bottom w:val="single" w:sz="8" w:space="0" w:color="auto"/>
              <w:right w:val="nil"/>
            </w:tcBorders>
            <w:noWrap/>
            <w:vAlign w:val="bottom"/>
          </w:tcPr>
          <w:p w14:paraId="276ACC27"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2016/2017</w:t>
            </w:r>
          </w:p>
        </w:tc>
      </w:tr>
      <w:tr w:rsidR="00FE0836" w:rsidRPr="00AE4E8D" w14:paraId="3BF8E772" w14:textId="77777777" w:rsidTr="000400C8">
        <w:trPr>
          <w:trHeight w:val="240"/>
          <w:tblHeader/>
          <w:jc w:val="center"/>
        </w:trPr>
        <w:tc>
          <w:tcPr>
            <w:tcW w:w="2942" w:type="pct"/>
            <w:tcBorders>
              <w:top w:val="nil"/>
              <w:left w:val="nil"/>
              <w:bottom w:val="nil"/>
              <w:right w:val="nil"/>
            </w:tcBorders>
            <w:noWrap/>
            <w:vAlign w:val="bottom"/>
          </w:tcPr>
          <w:p w14:paraId="3380F984" w14:textId="77777777" w:rsidR="00FE0836" w:rsidRPr="00AE4E8D" w:rsidRDefault="00FE0836" w:rsidP="00FE0836">
            <w:pPr>
              <w:rPr>
                <w:rFonts w:ascii="Times New Roman" w:hAnsi="Times New Roman"/>
                <w:color w:val="000000"/>
                <w:sz w:val="18"/>
                <w:szCs w:val="18"/>
                <w:lang w:val="es-ES"/>
              </w:rPr>
            </w:pPr>
          </w:p>
        </w:tc>
        <w:tc>
          <w:tcPr>
            <w:tcW w:w="2058" w:type="pct"/>
            <w:gridSpan w:val="3"/>
            <w:tcBorders>
              <w:top w:val="single" w:sz="8" w:space="0" w:color="auto"/>
              <w:left w:val="nil"/>
              <w:bottom w:val="nil"/>
              <w:right w:val="nil"/>
            </w:tcBorders>
            <w:noWrap/>
            <w:vAlign w:val="bottom"/>
          </w:tcPr>
          <w:p w14:paraId="75F10FD2" w14:textId="77777777" w:rsidR="00FE0836" w:rsidRPr="00AE4E8D" w:rsidRDefault="00FE0836" w:rsidP="00FE0836">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millones de Ps., excepto porcentajes)</w:t>
            </w:r>
          </w:p>
        </w:tc>
      </w:tr>
      <w:tr w:rsidR="00FE0836" w:rsidRPr="00AE4E8D" w14:paraId="7E713B12" w14:textId="77777777" w:rsidTr="000400C8">
        <w:trPr>
          <w:trHeight w:val="240"/>
          <w:jc w:val="center"/>
        </w:trPr>
        <w:tc>
          <w:tcPr>
            <w:tcW w:w="2942" w:type="pct"/>
            <w:tcBorders>
              <w:top w:val="nil"/>
              <w:left w:val="nil"/>
              <w:bottom w:val="nil"/>
              <w:right w:val="nil"/>
            </w:tcBorders>
            <w:noWrap/>
            <w:vAlign w:val="bottom"/>
          </w:tcPr>
          <w:p w14:paraId="56D3D981"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Intereses por depósitos en cuentas corrientes</w:t>
            </w:r>
          </w:p>
        </w:tc>
        <w:tc>
          <w:tcPr>
            <w:tcW w:w="650" w:type="pct"/>
            <w:tcBorders>
              <w:top w:val="nil"/>
              <w:left w:val="nil"/>
              <w:bottom w:val="nil"/>
              <w:right w:val="nil"/>
            </w:tcBorders>
            <w:shd w:val="clear" w:color="000000" w:fill="FFFFFF"/>
            <w:noWrap/>
            <w:vAlign w:val="bottom"/>
          </w:tcPr>
          <w:p w14:paraId="184C0295"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9,8</w:t>
            </w:r>
          </w:p>
        </w:tc>
        <w:tc>
          <w:tcPr>
            <w:tcW w:w="650" w:type="pct"/>
            <w:tcBorders>
              <w:top w:val="nil"/>
              <w:left w:val="nil"/>
              <w:bottom w:val="nil"/>
              <w:right w:val="nil"/>
            </w:tcBorders>
            <w:shd w:val="clear" w:color="000000" w:fill="FFFFFF"/>
            <w:noWrap/>
            <w:vAlign w:val="bottom"/>
          </w:tcPr>
          <w:p w14:paraId="370BC401" w14:textId="77777777" w:rsidR="00FE0836" w:rsidRPr="00AE4E8D" w:rsidDel="00621255"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w:t>
            </w:r>
          </w:p>
        </w:tc>
        <w:tc>
          <w:tcPr>
            <w:tcW w:w="757" w:type="pct"/>
            <w:tcBorders>
              <w:top w:val="nil"/>
              <w:left w:val="nil"/>
              <w:bottom w:val="nil"/>
              <w:right w:val="nil"/>
            </w:tcBorders>
            <w:noWrap/>
            <w:vAlign w:val="bottom"/>
          </w:tcPr>
          <w:p w14:paraId="596B24D7" w14:textId="77777777" w:rsidR="00FE0836" w:rsidRPr="00AE4E8D" w:rsidDel="00621255"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NM</w:t>
            </w:r>
          </w:p>
        </w:tc>
      </w:tr>
      <w:tr w:rsidR="00FE0836" w:rsidRPr="00AE4E8D" w14:paraId="011B81BD" w14:textId="77777777" w:rsidTr="000400C8">
        <w:trPr>
          <w:trHeight w:val="240"/>
          <w:jc w:val="center"/>
        </w:trPr>
        <w:tc>
          <w:tcPr>
            <w:tcW w:w="2942" w:type="pct"/>
            <w:tcBorders>
              <w:top w:val="nil"/>
              <w:left w:val="nil"/>
              <w:bottom w:val="nil"/>
              <w:right w:val="nil"/>
            </w:tcBorders>
            <w:noWrap/>
            <w:vAlign w:val="bottom"/>
          </w:tcPr>
          <w:p w14:paraId="58F4221D"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depósitos en cajas de ahorro </w:t>
            </w:r>
          </w:p>
        </w:tc>
        <w:tc>
          <w:tcPr>
            <w:tcW w:w="650" w:type="pct"/>
            <w:tcBorders>
              <w:top w:val="nil"/>
              <w:left w:val="nil"/>
              <w:bottom w:val="nil"/>
              <w:right w:val="nil"/>
            </w:tcBorders>
            <w:shd w:val="clear" w:color="000000" w:fill="FFFFFF"/>
            <w:noWrap/>
            <w:vAlign w:val="bottom"/>
          </w:tcPr>
          <w:p w14:paraId="28CDA70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2,2</w:t>
            </w:r>
          </w:p>
        </w:tc>
        <w:tc>
          <w:tcPr>
            <w:tcW w:w="650" w:type="pct"/>
            <w:tcBorders>
              <w:top w:val="nil"/>
              <w:left w:val="nil"/>
              <w:bottom w:val="nil"/>
              <w:right w:val="nil"/>
            </w:tcBorders>
            <w:shd w:val="clear" w:color="000000" w:fill="FFFFFF"/>
            <w:noWrap/>
            <w:vAlign w:val="bottom"/>
          </w:tcPr>
          <w:p w14:paraId="748E628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w:t>
            </w:r>
          </w:p>
        </w:tc>
        <w:tc>
          <w:tcPr>
            <w:tcW w:w="757" w:type="pct"/>
            <w:tcBorders>
              <w:top w:val="nil"/>
              <w:left w:val="nil"/>
              <w:bottom w:val="nil"/>
              <w:right w:val="nil"/>
            </w:tcBorders>
            <w:noWrap/>
            <w:vAlign w:val="bottom"/>
          </w:tcPr>
          <w:p w14:paraId="1565E554"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46,7%</w:t>
            </w:r>
          </w:p>
        </w:tc>
      </w:tr>
      <w:tr w:rsidR="00FE0836" w:rsidRPr="00AE4E8D" w14:paraId="3BF0CDE3" w14:textId="77777777" w:rsidTr="000400C8">
        <w:trPr>
          <w:trHeight w:val="240"/>
          <w:jc w:val="center"/>
        </w:trPr>
        <w:tc>
          <w:tcPr>
            <w:tcW w:w="2942" w:type="pct"/>
            <w:tcBorders>
              <w:top w:val="nil"/>
              <w:left w:val="nil"/>
              <w:bottom w:val="nil"/>
              <w:right w:val="nil"/>
            </w:tcBorders>
            <w:noWrap/>
            <w:vAlign w:val="bottom"/>
          </w:tcPr>
          <w:p w14:paraId="174CE84F"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depósitos a plazo fijo </w:t>
            </w:r>
          </w:p>
        </w:tc>
        <w:tc>
          <w:tcPr>
            <w:tcW w:w="650" w:type="pct"/>
            <w:tcBorders>
              <w:top w:val="nil"/>
              <w:left w:val="nil"/>
              <w:bottom w:val="nil"/>
              <w:right w:val="nil"/>
            </w:tcBorders>
            <w:shd w:val="clear" w:color="000000" w:fill="FFFFFF"/>
            <w:noWrap/>
            <w:vAlign w:val="bottom"/>
          </w:tcPr>
          <w:p w14:paraId="7C78DE7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1.002,1</w:t>
            </w:r>
          </w:p>
        </w:tc>
        <w:tc>
          <w:tcPr>
            <w:tcW w:w="650" w:type="pct"/>
            <w:tcBorders>
              <w:top w:val="nil"/>
              <w:left w:val="nil"/>
              <w:bottom w:val="nil"/>
              <w:right w:val="nil"/>
            </w:tcBorders>
            <w:shd w:val="clear" w:color="000000" w:fill="FFFFFF"/>
            <w:noWrap/>
            <w:vAlign w:val="bottom"/>
          </w:tcPr>
          <w:p w14:paraId="43FB505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1.645,2</w:t>
            </w:r>
          </w:p>
        </w:tc>
        <w:tc>
          <w:tcPr>
            <w:tcW w:w="757" w:type="pct"/>
            <w:tcBorders>
              <w:top w:val="nil"/>
              <w:left w:val="nil"/>
              <w:bottom w:val="nil"/>
              <w:right w:val="nil"/>
            </w:tcBorders>
            <w:noWrap/>
            <w:vAlign w:val="bottom"/>
          </w:tcPr>
          <w:p w14:paraId="1B44DD77"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(39,1)%</w:t>
            </w:r>
          </w:p>
        </w:tc>
      </w:tr>
      <w:tr w:rsidR="00FE0836" w:rsidRPr="00AE4E8D" w14:paraId="46F5B158" w14:textId="77777777" w:rsidTr="000400C8">
        <w:trPr>
          <w:trHeight w:val="240"/>
          <w:jc w:val="center"/>
        </w:trPr>
        <w:tc>
          <w:tcPr>
            <w:tcW w:w="2942" w:type="pct"/>
            <w:tcBorders>
              <w:top w:val="nil"/>
              <w:left w:val="nil"/>
              <w:bottom w:val="nil"/>
              <w:right w:val="nil"/>
            </w:tcBorders>
            <w:noWrap/>
            <w:vAlign w:val="bottom"/>
          </w:tcPr>
          <w:p w14:paraId="20174506"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préstamos interfinancieros recibidos </w:t>
            </w:r>
          </w:p>
        </w:tc>
        <w:tc>
          <w:tcPr>
            <w:tcW w:w="650" w:type="pct"/>
            <w:tcBorders>
              <w:top w:val="nil"/>
              <w:left w:val="nil"/>
              <w:bottom w:val="nil"/>
              <w:right w:val="nil"/>
            </w:tcBorders>
            <w:shd w:val="clear" w:color="000000" w:fill="FFFFFF"/>
            <w:noWrap/>
            <w:vAlign w:val="bottom"/>
          </w:tcPr>
          <w:p w14:paraId="37BFBC9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4,1</w:t>
            </w:r>
          </w:p>
        </w:tc>
        <w:tc>
          <w:tcPr>
            <w:tcW w:w="650" w:type="pct"/>
            <w:tcBorders>
              <w:top w:val="nil"/>
              <w:left w:val="nil"/>
              <w:bottom w:val="nil"/>
              <w:right w:val="nil"/>
            </w:tcBorders>
            <w:shd w:val="clear" w:color="000000" w:fill="FFFFFF"/>
            <w:noWrap/>
            <w:vAlign w:val="bottom"/>
          </w:tcPr>
          <w:p w14:paraId="51B1C1C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21,0</w:t>
            </w:r>
          </w:p>
        </w:tc>
        <w:tc>
          <w:tcPr>
            <w:tcW w:w="757" w:type="pct"/>
            <w:tcBorders>
              <w:top w:val="nil"/>
              <w:left w:val="nil"/>
              <w:bottom w:val="nil"/>
              <w:right w:val="nil"/>
            </w:tcBorders>
            <w:noWrap/>
            <w:vAlign w:val="bottom"/>
          </w:tcPr>
          <w:p w14:paraId="2B646EA6"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(80,5)%</w:t>
            </w:r>
          </w:p>
        </w:tc>
      </w:tr>
      <w:tr w:rsidR="00FE0836" w:rsidRPr="00AE4E8D" w14:paraId="20B561C4" w14:textId="77777777" w:rsidTr="000400C8">
        <w:trPr>
          <w:trHeight w:val="240"/>
          <w:jc w:val="center"/>
        </w:trPr>
        <w:tc>
          <w:tcPr>
            <w:tcW w:w="2942" w:type="pct"/>
            <w:tcBorders>
              <w:top w:val="nil"/>
              <w:left w:val="nil"/>
              <w:bottom w:val="nil"/>
              <w:right w:val="nil"/>
            </w:tcBorders>
            <w:noWrap/>
            <w:vAlign w:val="bottom"/>
          </w:tcPr>
          <w:p w14:paraId="5AA14B0B"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otros préstamos de entidades financieras </w:t>
            </w:r>
          </w:p>
        </w:tc>
        <w:tc>
          <w:tcPr>
            <w:tcW w:w="650" w:type="pct"/>
            <w:tcBorders>
              <w:top w:val="nil"/>
              <w:left w:val="nil"/>
              <w:bottom w:val="nil"/>
              <w:right w:val="nil"/>
            </w:tcBorders>
            <w:shd w:val="clear" w:color="000000" w:fill="FFFFFF"/>
            <w:noWrap/>
            <w:vAlign w:val="bottom"/>
          </w:tcPr>
          <w:p w14:paraId="78C8C92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50,2</w:t>
            </w:r>
          </w:p>
        </w:tc>
        <w:tc>
          <w:tcPr>
            <w:tcW w:w="650" w:type="pct"/>
            <w:tcBorders>
              <w:top w:val="nil"/>
              <w:left w:val="nil"/>
              <w:bottom w:val="nil"/>
              <w:right w:val="nil"/>
            </w:tcBorders>
            <w:shd w:val="clear" w:color="000000" w:fill="FFFFFF"/>
            <w:noWrap/>
            <w:vAlign w:val="bottom"/>
          </w:tcPr>
          <w:p w14:paraId="49DA979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72,0</w:t>
            </w:r>
          </w:p>
        </w:tc>
        <w:tc>
          <w:tcPr>
            <w:tcW w:w="757" w:type="pct"/>
            <w:tcBorders>
              <w:top w:val="nil"/>
              <w:left w:val="nil"/>
              <w:bottom w:val="nil"/>
              <w:right w:val="nil"/>
            </w:tcBorders>
            <w:noWrap/>
            <w:vAlign w:val="bottom"/>
          </w:tcPr>
          <w:p w14:paraId="61F575CF"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(30,3)%</w:t>
            </w:r>
          </w:p>
        </w:tc>
      </w:tr>
      <w:tr w:rsidR="00FE0836" w:rsidRPr="00AE4E8D" w14:paraId="29C9391D" w14:textId="77777777" w:rsidTr="000400C8">
        <w:trPr>
          <w:trHeight w:val="240"/>
          <w:jc w:val="center"/>
        </w:trPr>
        <w:tc>
          <w:tcPr>
            <w:tcW w:w="2942" w:type="pct"/>
            <w:tcBorders>
              <w:top w:val="nil"/>
              <w:left w:val="nil"/>
              <w:bottom w:val="nil"/>
              <w:right w:val="nil"/>
            </w:tcBorders>
            <w:noWrap/>
            <w:vAlign w:val="bottom"/>
          </w:tcPr>
          <w:p w14:paraId="69744E54"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por otras obligaciones por intermediación financiera </w:t>
            </w:r>
          </w:p>
        </w:tc>
        <w:tc>
          <w:tcPr>
            <w:tcW w:w="650" w:type="pct"/>
            <w:tcBorders>
              <w:top w:val="nil"/>
              <w:left w:val="nil"/>
              <w:bottom w:val="nil"/>
              <w:right w:val="nil"/>
            </w:tcBorders>
            <w:shd w:val="clear" w:color="000000" w:fill="FFFFFF"/>
            <w:noWrap/>
            <w:vAlign w:val="bottom"/>
          </w:tcPr>
          <w:p w14:paraId="2DEDDA3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1.489,0</w:t>
            </w:r>
          </w:p>
        </w:tc>
        <w:tc>
          <w:tcPr>
            <w:tcW w:w="650" w:type="pct"/>
            <w:tcBorders>
              <w:top w:val="nil"/>
              <w:left w:val="nil"/>
              <w:bottom w:val="nil"/>
              <w:right w:val="nil"/>
            </w:tcBorders>
            <w:shd w:val="clear" w:color="000000" w:fill="FFFFFF"/>
            <w:noWrap/>
            <w:vAlign w:val="bottom"/>
          </w:tcPr>
          <w:p w14:paraId="18D9207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714,1</w:t>
            </w:r>
          </w:p>
        </w:tc>
        <w:tc>
          <w:tcPr>
            <w:tcW w:w="757" w:type="pct"/>
            <w:tcBorders>
              <w:top w:val="nil"/>
              <w:left w:val="nil"/>
              <w:bottom w:val="nil"/>
              <w:right w:val="nil"/>
            </w:tcBorders>
            <w:noWrap/>
            <w:vAlign w:val="bottom"/>
          </w:tcPr>
          <w:p w14:paraId="5CBF1659"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108,5%</w:t>
            </w:r>
          </w:p>
        </w:tc>
      </w:tr>
      <w:tr w:rsidR="00FE0836" w:rsidRPr="00AE4E8D" w14:paraId="22BE2C15" w14:textId="77777777" w:rsidTr="000400C8">
        <w:trPr>
          <w:trHeight w:val="240"/>
          <w:jc w:val="center"/>
        </w:trPr>
        <w:tc>
          <w:tcPr>
            <w:tcW w:w="2942" w:type="pct"/>
            <w:tcBorders>
              <w:top w:val="nil"/>
              <w:left w:val="nil"/>
              <w:bottom w:val="nil"/>
              <w:right w:val="nil"/>
            </w:tcBorders>
            <w:noWrap/>
            <w:vAlign w:val="bottom"/>
          </w:tcPr>
          <w:p w14:paraId="27A0CCC7"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Intereses por bonos subordinados</w:t>
            </w:r>
          </w:p>
        </w:tc>
        <w:tc>
          <w:tcPr>
            <w:tcW w:w="650" w:type="pct"/>
            <w:tcBorders>
              <w:top w:val="nil"/>
              <w:left w:val="nil"/>
              <w:bottom w:val="nil"/>
              <w:right w:val="nil"/>
            </w:tcBorders>
            <w:shd w:val="clear" w:color="000000" w:fill="FFFFFF"/>
            <w:noWrap/>
            <w:vAlign w:val="bottom"/>
          </w:tcPr>
          <w:p w14:paraId="5EDCAD75"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4,3</w:t>
            </w:r>
          </w:p>
        </w:tc>
        <w:tc>
          <w:tcPr>
            <w:tcW w:w="650" w:type="pct"/>
            <w:tcBorders>
              <w:top w:val="nil"/>
              <w:left w:val="nil"/>
              <w:bottom w:val="nil"/>
              <w:right w:val="nil"/>
            </w:tcBorders>
            <w:shd w:val="clear" w:color="000000" w:fill="FFFFFF"/>
            <w:noWrap/>
            <w:vAlign w:val="bottom"/>
          </w:tcPr>
          <w:p w14:paraId="52F7401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10,6</w:t>
            </w:r>
          </w:p>
        </w:tc>
        <w:tc>
          <w:tcPr>
            <w:tcW w:w="757" w:type="pct"/>
            <w:tcBorders>
              <w:top w:val="nil"/>
              <w:left w:val="nil"/>
              <w:bottom w:val="nil"/>
              <w:right w:val="nil"/>
            </w:tcBorders>
            <w:noWrap/>
            <w:vAlign w:val="bottom"/>
          </w:tcPr>
          <w:p w14:paraId="7261887E"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(59,4)%</w:t>
            </w:r>
          </w:p>
        </w:tc>
      </w:tr>
      <w:tr w:rsidR="00FE0836" w:rsidRPr="00AE4E8D" w14:paraId="0CF09591" w14:textId="77777777" w:rsidTr="000400C8">
        <w:trPr>
          <w:trHeight w:val="240"/>
          <w:jc w:val="center"/>
        </w:trPr>
        <w:tc>
          <w:tcPr>
            <w:tcW w:w="2942" w:type="pct"/>
            <w:tcBorders>
              <w:top w:val="nil"/>
              <w:left w:val="nil"/>
              <w:bottom w:val="nil"/>
              <w:right w:val="nil"/>
            </w:tcBorders>
            <w:noWrap/>
            <w:vAlign w:val="bottom"/>
          </w:tcPr>
          <w:p w14:paraId="74ADE117"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intereses </w:t>
            </w:r>
          </w:p>
        </w:tc>
        <w:tc>
          <w:tcPr>
            <w:tcW w:w="650" w:type="pct"/>
            <w:tcBorders>
              <w:top w:val="nil"/>
              <w:left w:val="nil"/>
              <w:bottom w:val="nil"/>
              <w:right w:val="nil"/>
            </w:tcBorders>
            <w:shd w:val="clear" w:color="000000" w:fill="FFFFFF"/>
            <w:noWrap/>
            <w:vAlign w:val="bottom"/>
          </w:tcPr>
          <w:p w14:paraId="4DA129C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108,2</w:t>
            </w:r>
          </w:p>
        </w:tc>
        <w:tc>
          <w:tcPr>
            <w:tcW w:w="650" w:type="pct"/>
            <w:tcBorders>
              <w:top w:val="nil"/>
              <w:left w:val="nil"/>
              <w:bottom w:val="nil"/>
              <w:right w:val="nil"/>
            </w:tcBorders>
            <w:shd w:val="clear" w:color="000000" w:fill="FFFFFF"/>
            <w:noWrap/>
            <w:vAlign w:val="bottom"/>
          </w:tcPr>
          <w:p w14:paraId="3ACCFCB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189,8</w:t>
            </w:r>
          </w:p>
        </w:tc>
        <w:tc>
          <w:tcPr>
            <w:tcW w:w="757" w:type="pct"/>
            <w:tcBorders>
              <w:top w:val="nil"/>
              <w:left w:val="nil"/>
              <w:bottom w:val="nil"/>
              <w:right w:val="nil"/>
            </w:tcBorders>
            <w:noWrap/>
            <w:vAlign w:val="bottom"/>
          </w:tcPr>
          <w:p w14:paraId="65085D4F"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(43,0)%</w:t>
            </w:r>
          </w:p>
        </w:tc>
      </w:tr>
      <w:tr w:rsidR="00FE0836" w:rsidRPr="00AE4E8D" w14:paraId="5C6FA7C6" w14:textId="77777777" w:rsidTr="000400C8">
        <w:trPr>
          <w:trHeight w:val="240"/>
          <w:jc w:val="center"/>
        </w:trPr>
        <w:tc>
          <w:tcPr>
            <w:tcW w:w="2942" w:type="pct"/>
            <w:tcBorders>
              <w:top w:val="nil"/>
              <w:left w:val="nil"/>
              <w:bottom w:val="nil"/>
              <w:right w:val="nil"/>
            </w:tcBorders>
            <w:noWrap/>
            <w:vAlign w:val="bottom"/>
          </w:tcPr>
          <w:p w14:paraId="04A68471"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Diferencias de cotización de oro y moneda extranjera </w:t>
            </w:r>
          </w:p>
        </w:tc>
        <w:tc>
          <w:tcPr>
            <w:tcW w:w="650" w:type="pct"/>
            <w:tcBorders>
              <w:top w:val="nil"/>
              <w:left w:val="nil"/>
              <w:bottom w:val="nil"/>
              <w:right w:val="nil"/>
            </w:tcBorders>
            <w:shd w:val="clear" w:color="000000" w:fill="FFFFFF"/>
            <w:noWrap/>
            <w:vAlign w:val="bottom"/>
          </w:tcPr>
          <w:p w14:paraId="03338F5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18,8</w:t>
            </w:r>
          </w:p>
        </w:tc>
        <w:tc>
          <w:tcPr>
            <w:tcW w:w="650" w:type="pct"/>
            <w:tcBorders>
              <w:top w:val="nil"/>
              <w:left w:val="nil"/>
              <w:bottom w:val="nil"/>
              <w:right w:val="nil"/>
            </w:tcBorders>
            <w:shd w:val="clear" w:color="000000" w:fill="FFFFFF"/>
            <w:noWrap/>
            <w:vAlign w:val="bottom"/>
          </w:tcPr>
          <w:p w14:paraId="6C0E972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188,6</w:t>
            </w:r>
          </w:p>
        </w:tc>
        <w:tc>
          <w:tcPr>
            <w:tcW w:w="757" w:type="pct"/>
            <w:tcBorders>
              <w:top w:val="nil"/>
              <w:left w:val="nil"/>
              <w:bottom w:val="nil"/>
              <w:right w:val="nil"/>
            </w:tcBorders>
            <w:noWrap/>
            <w:vAlign w:val="bottom"/>
          </w:tcPr>
          <w:p w14:paraId="06C8B25F"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(90,0)%</w:t>
            </w:r>
          </w:p>
        </w:tc>
      </w:tr>
      <w:tr w:rsidR="00FE0836" w:rsidRPr="00AE4E8D" w14:paraId="56396716" w14:textId="77777777" w:rsidTr="000400C8">
        <w:trPr>
          <w:trHeight w:val="240"/>
          <w:jc w:val="center"/>
        </w:trPr>
        <w:tc>
          <w:tcPr>
            <w:tcW w:w="2942" w:type="pct"/>
            <w:tcBorders>
              <w:top w:val="nil"/>
              <w:left w:val="nil"/>
              <w:bottom w:val="nil"/>
              <w:right w:val="nil"/>
            </w:tcBorders>
            <w:noWrap/>
            <w:vAlign w:val="bottom"/>
          </w:tcPr>
          <w:p w14:paraId="428438C9"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Ajuste por Clausula CER y CVS</w:t>
            </w:r>
          </w:p>
        </w:tc>
        <w:tc>
          <w:tcPr>
            <w:tcW w:w="650" w:type="pct"/>
            <w:tcBorders>
              <w:top w:val="nil"/>
              <w:left w:val="nil"/>
              <w:bottom w:val="nil"/>
              <w:right w:val="nil"/>
            </w:tcBorders>
            <w:shd w:val="clear" w:color="000000" w:fill="FFFFFF"/>
            <w:noWrap/>
            <w:vAlign w:val="bottom"/>
          </w:tcPr>
          <w:p w14:paraId="6583596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29,7</w:t>
            </w:r>
          </w:p>
        </w:tc>
        <w:tc>
          <w:tcPr>
            <w:tcW w:w="650" w:type="pct"/>
            <w:tcBorders>
              <w:top w:val="nil"/>
              <w:left w:val="nil"/>
              <w:bottom w:val="nil"/>
              <w:right w:val="nil"/>
            </w:tcBorders>
            <w:shd w:val="clear" w:color="000000" w:fill="FFFFFF"/>
            <w:noWrap/>
            <w:vAlign w:val="bottom"/>
          </w:tcPr>
          <w:p w14:paraId="7B098AD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w:t>
            </w:r>
          </w:p>
        </w:tc>
        <w:tc>
          <w:tcPr>
            <w:tcW w:w="757" w:type="pct"/>
            <w:tcBorders>
              <w:top w:val="nil"/>
              <w:left w:val="nil"/>
              <w:bottom w:val="nil"/>
              <w:right w:val="nil"/>
            </w:tcBorders>
            <w:noWrap/>
            <w:vAlign w:val="bottom"/>
          </w:tcPr>
          <w:p w14:paraId="38209D25"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NM</w:t>
            </w:r>
          </w:p>
        </w:tc>
      </w:tr>
      <w:tr w:rsidR="00FE0836" w:rsidRPr="00AE4E8D" w14:paraId="62614088" w14:textId="77777777" w:rsidTr="000400C8">
        <w:trPr>
          <w:trHeight w:val="240"/>
          <w:jc w:val="center"/>
        </w:trPr>
        <w:tc>
          <w:tcPr>
            <w:tcW w:w="2942" w:type="pct"/>
            <w:tcBorders>
              <w:top w:val="nil"/>
              <w:left w:val="nil"/>
              <w:bottom w:val="nil"/>
              <w:right w:val="nil"/>
            </w:tcBorders>
            <w:noWrap/>
            <w:vAlign w:val="bottom"/>
          </w:tcPr>
          <w:p w14:paraId="73349E3E"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Aporte al fondo de garantía de los depósitos </w:t>
            </w:r>
          </w:p>
        </w:tc>
        <w:tc>
          <w:tcPr>
            <w:tcW w:w="650" w:type="pct"/>
            <w:tcBorders>
              <w:top w:val="nil"/>
              <w:left w:val="nil"/>
              <w:bottom w:val="nil"/>
              <w:right w:val="nil"/>
            </w:tcBorders>
            <w:shd w:val="clear" w:color="000000" w:fill="FFFFFF"/>
            <w:noWrap/>
            <w:vAlign w:val="bottom"/>
          </w:tcPr>
          <w:p w14:paraId="44A795E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16,3</w:t>
            </w:r>
          </w:p>
        </w:tc>
        <w:tc>
          <w:tcPr>
            <w:tcW w:w="650" w:type="pct"/>
            <w:tcBorders>
              <w:top w:val="nil"/>
              <w:left w:val="nil"/>
              <w:bottom w:val="nil"/>
              <w:right w:val="nil"/>
            </w:tcBorders>
            <w:shd w:val="clear" w:color="000000" w:fill="FFFFFF"/>
            <w:noWrap/>
            <w:vAlign w:val="bottom"/>
          </w:tcPr>
          <w:p w14:paraId="6C2E8F9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44,8</w:t>
            </w:r>
          </w:p>
        </w:tc>
        <w:tc>
          <w:tcPr>
            <w:tcW w:w="757" w:type="pct"/>
            <w:tcBorders>
              <w:top w:val="nil"/>
              <w:left w:val="nil"/>
              <w:bottom w:val="nil"/>
              <w:right w:val="nil"/>
            </w:tcBorders>
            <w:noWrap/>
            <w:vAlign w:val="bottom"/>
          </w:tcPr>
          <w:p w14:paraId="51486BED"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(63,6)%</w:t>
            </w:r>
          </w:p>
        </w:tc>
      </w:tr>
      <w:tr w:rsidR="00FE0836" w:rsidRPr="00AE4E8D" w14:paraId="486E2AB3" w14:textId="77777777" w:rsidTr="000400C8">
        <w:trPr>
          <w:trHeight w:val="255"/>
          <w:jc w:val="center"/>
        </w:trPr>
        <w:tc>
          <w:tcPr>
            <w:tcW w:w="2942" w:type="pct"/>
            <w:tcBorders>
              <w:top w:val="nil"/>
              <w:left w:val="nil"/>
              <w:bottom w:val="nil"/>
              <w:right w:val="nil"/>
            </w:tcBorders>
            <w:noWrap/>
            <w:vAlign w:val="bottom"/>
          </w:tcPr>
          <w:p w14:paraId="47F58EA7" w14:textId="77777777" w:rsidR="00FE0836" w:rsidRPr="00AE4E8D" w:rsidRDefault="00FE0836" w:rsidP="00FE0836">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w:t>
            </w:r>
          </w:p>
        </w:tc>
        <w:tc>
          <w:tcPr>
            <w:tcW w:w="650" w:type="pct"/>
            <w:tcBorders>
              <w:top w:val="nil"/>
              <w:left w:val="nil"/>
              <w:bottom w:val="nil"/>
              <w:right w:val="nil"/>
            </w:tcBorders>
            <w:shd w:val="clear" w:color="000000" w:fill="FFFFFF"/>
            <w:noWrap/>
            <w:vAlign w:val="bottom"/>
          </w:tcPr>
          <w:p w14:paraId="326E701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705,7</w:t>
            </w:r>
          </w:p>
        </w:tc>
        <w:tc>
          <w:tcPr>
            <w:tcW w:w="650" w:type="pct"/>
            <w:tcBorders>
              <w:top w:val="nil"/>
              <w:left w:val="nil"/>
              <w:bottom w:val="nil"/>
              <w:right w:val="nil"/>
            </w:tcBorders>
            <w:shd w:val="clear" w:color="000000" w:fill="FFFFFF"/>
            <w:noWrap/>
            <w:vAlign w:val="bottom"/>
          </w:tcPr>
          <w:p w14:paraId="51CDF605"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389,1</w:t>
            </w:r>
          </w:p>
        </w:tc>
        <w:tc>
          <w:tcPr>
            <w:tcW w:w="757" w:type="pct"/>
            <w:tcBorders>
              <w:top w:val="nil"/>
              <w:left w:val="nil"/>
              <w:bottom w:val="nil"/>
              <w:right w:val="nil"/>
            </w:tcBorders>
            <w:noWrap/>
            <w:vAlign w:val="bottom"/>
          </w:tcPr>
          <w:p w14:paraId="65640058"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81,4%</w:t>
            </w:r>
          </w:p>
        </w:tc>
      </w:tr>
      <w:tr w:rsidR="00FE0836" w:rsidRPr="00AE4E8D" w14:paraId="1B7DC992" w14:textId="77777777" w:rsidTr="000400C8">
        <w:trPr>
          <w:trHeight w:val="255"/>
          <w:jc w:val="center"/>
        </w:trPr>
        <w:tc>
          <w:tcPr>
            <w:tcW w:w="2942" w:type="pct"/>
            <w:tcBorders>
              <w:top w:val="nil"/>
              <w:left w:val="nil"/>
              <w:bottom w:val="nil"/>
              <w:right w:val="nil"/>
            </w:tcBorders>
            <w:noWrap/>
            <w:vAlign w:val="bottom"/>
          </w:tcPr>
          <w:p w14:paraId="45690319" w14:textId="77777777" w:rsidR="00FE0836" w:rsidRPr="00AE4E8D" w:rsidRDefault="00FE0836" w:rsidP="00FE0836">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Total egresos financieros </w:t>
            </w:r>
          </w:p>
        </w:tc>
        <w:tc>
          <w:tcPr>
            <w:tcW w:w="650" w:type="pct"/>
            <w:tcBorders>
              <w:top w:val="single" w:sz="8" w:space="0" w:color="auto"/>
              <w:left w:val="nil"/>
              <w:bottom w:val="single" w:sz="8" w:space="0" w:color="auto"/>
              <w:right w:val="nil"/>
            </w:tcBorders>
            <w:shd w:val="clear" w:color="000000" w:fill="FFFFFF"/>
            <w:noWrap/>
            <w:vAlign w:val="bottom"/>
          </w:tcPr>
          <w:p w14:paraId="68A8A96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3.440,4</w:t>
            </w:r>
          </w:p>
        </w:tc>
        <w:tc>
          <w:tcPr>
            <w:tcW w:w="650" w:type="pct"/>
            <w:tcBorders>
              <w:top w:val="single" w:sz="8" w:space="0" w:color="auto"/>
              <w:left w:val="nil"/>
              <w:bottom w:val="single" w:sz="8" w:space="0" w:color="auto"/>
              <w:right w:val="nil"/>
            </w:tcBorders>
            <w:shd w:val="clear" w:color="000000" w:fill="FFFFFF"/>
            <w:noWrap/>
            <w:vAlign w:val="bottom"/>
          </w:tcPr>
          <w:p w14:paraId="2977ADA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3.276,7</w:t>
            </w:r>
          </w:p>
        </w:tc>
        <w:tc>
          <w:tcPr>
            <w:tcW w:w="757" w:type="pct"/>
            <w:tcBorders>
              <w:top w:val="single" w:sz="8" w:space="0" w:color="auto"/>
              <w:left w:val="nil"/>
              <w:bottom w:val="single" w:sz="8" w:space="0" w:color="auto"/>
              <w:right w:val="nil"/>
            </w:tcBorders>
            <w:noWrap/>
            <w:vAlign w:val="bottom"/>
          </w:tcPr>
          <w:p w14:paraId="6F4DECAE" w14:textId="77777777" w:rsidR="00FE0836" w:rsidRPr="00AE4E8D" w:rsidRDefault="00FE0836" w:rsidP="00FE0836">
            <w:pPr>
              <w:jc w:val="right"/>
              <w:rPr>
                <w:rFonts w:ascii="Times New Roman" w:hAnsi="Times New Roman"/>
                <w:sz w:val="18"/>
                <w:szCs w:val="18"/>
                <w:lang w:val="es-ES"/>
              </w:rPr>
            </w:pPr>
            <w:r w:rsidRPr="00AE4E8D">
              <w:rPr>
                <w:rFonts w:ascii="Times New Roman" w:hAnsi="Times New Roman"/>
                <w:sz w:val="18"/>
                <w:szCs w:val="18"/>
                <w:lang w:val="es-ES"/>
              </w:rPr>
              <w:t>5,0%</w:t>
            </w:r>
          </w:p>
        </w:tc>
      </w:tr>
    </w:tbl>
    <w:p w14:paraId="43AAB158"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muestra los efectos de los cambios en el volumen promedio de los pasivos que generan intereses y tasa de interés promedio entre los períodos de seis meses finalizados el 30 de junio de 2016 y 2017:</w:t>
      </w:r>
    </w:p>
    <w:tbl>
      <w:tblPr>
        <w:tblW w:w="5000" w:type="pct"/>
        <w:jc w:val="center"/>
        <w:tblLayout w:type="fixed"/>
        <w:tblLook w:val="00A0" w:firstRow="1" w:lastRow="0" w:firstColumn="1" w:lastColumn="0" w:noHBand="0" w:noVBand="0"/>
      </w:tblPr>
      <w:tblGrid>
        <w:gridCol w:w="6345"/>
        <w:gridCol w:w="2376"/>
      </w:tblGrid>
      <w:tr w:rsidR="00FE0836" w:rsidRPr="00AE4E8D" w14:paraId="10AB46CF" w14:textId="77777777" w:rsidTr="000400C8">
        <w:trPr>
          <w:trHeight w:val="300"/>
          <w:jc w:val="center"/>
        </w:trPr>
        <w:tc>
          <w:tcPr>
            <w:tcW w:w="3638" w:type="pct"/>
            <w:tcBorders>
              <w:top w:val="nil"/>
              <w:left w:val="nil"/>
              <w:bottom w:val="nil"/>
              <w:right w:val="nil"/>
            </w:tcBorders>
            <w:noWrap/>
            <w:vAlign w:val="bottom"/>
          </w:tcPr>
          <w:p w14:paraId="06624581" w14:textId="77777777" w:rsidR="00FE0836" w:rsidRPr="00AE4E8D" w:rsidRDefault="00FE0836" w:rsidP="00FE0836">
            <w:pPr>
              <w:rPr>
                <w:rFonts w:ascii="Times New Roman" w:hAnsi="Times New Roman"/>
                <w:lang w:val="es-ES" w:eastAsia="es-AR"/>
              </w:rPr>
            </w:pPr>
          </w:p>
        </w:tc>
        <w:tc>
          <w:tcPr>
            <w:tcW w:w="1362" w:type="pct"/>
            <w:tcBorders>
              <w:top w:val="single" w:sz="4" w:space="0" w:color="auto"/>
              <w:left w:val="nil"/>
              <w:bottom w:val="single" w:sz="4" w:space="0" w:color="auto"/>
              <w:right w:val="nil"/>
            </w:tcBorders>
            <w:noWrap/>
            <w:vAlign w:val="bottom"/>
          </w:tcPr>
          <w:p w14:paraId="031112C0" w14:textId="77777777" w:rsidR="00FE0836" w:rsidRPr="00AE4E8D" w:rsidRDefault="00FE0836" w:rsidP="00FE0836">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 xml:space="preserve">Aumento/(Disminución) </w:t>
            </w:r>
          </w:p>
          <w:p w14:paraId="4108FBA9" w14:textId="77777777" w:rsidR="00FE0836" w:rsidRPr="00AE4E8D" w:rsidRDefault="00FE0836" w:rsidP="00FE0836">
            <w:pPr>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2016/ 2017</w:t>
            </w:r>
          </w:p>
        </w:tc>
      </w:tr>
      <w:tr w:rsidR="00FE0836" w:rsidRPr="00AE4E8D" w14:paraId="6E384B36" w14:textId="77777777" w:rsidTr="000400C8">
        <w:trPr>
          <w:trHeight w:val="300"/>
          <w:jc w:val="center"/>
        </w:trPr>
        <w:tc>
          <w:tcPr>
            <w:tcW w:w="3638" w:type="pct"/>
            <w:tcBorders>
              <w:top w:val="nil"/>
              <w:left w:val="nil"/>
              <w:bottom w:val="nil"/>
              <w:right w:val="nil"/>
            </w:tcBorders>
            <w:noWrap/>
            <w:vAlign w:val="bottom"/>
          </w:tcPr>
          <w:p w14:paraId="15C83776" w14:textId="77777777" w:rsidR="00FE0836" w:rsidRPr="00AE4E8D" w:rsidRDefault="00FE0836" w:rsidP="00FE0836">
            <w:pPr>
              <w:rPr>
                <w:rFonts w:ascii="Times New Roman" w:hAnsi="Times New Roman"/>
                <w:lang w:val="es-ES" w:eastAsia="es-AR"/>
              </w:rPr>
            </w:pPr>
          </w:p>
        </w:tc>
        <w:tc>
          <w:tcPr>
            <w:tcW w:w="1362" w:type="pct"/>
            <w:tcBorders>
              <w:top w:val="single" w:sz="4" w:space="0" w:color="auto"/>
              <w:left w:val="nil"/>
              <w:bottom w:val="single" w:sz="4" w:space="0" w:color="auto"/>
              <w:right w:val="nil"/>
            </w:tcBorders>
            <w:noWrap/>
            <w:vAlign w:val="bottom"/>
          </w:tcPr>
          <w:p w14:paraId="3D046F8D" w14:textId="77777777" w:rsidR="00FE0836" w:rsidRPr="00AE4E8D" w:rsidRDefault="00FE0836" w:rsidP="00FE0836">
            <w:pPr>
              <w:jc w:val="center"/>
              <w:rPr>
                <w:rFonts w:ascii="Times New Roman" w:hAnsi="Times New Roman"/>
                <w:lang w:val="es-ES" w:eastAsia="es-AR"/>
              </w:rPr>
            </w:pPr>
            <w:r w:rsidRPr="00AE4E8D">
              <w:rPr>
                <w:rFonts w:ascii="Times New Roman" w:hAnsi="Times New Roman"/>
                <w:sz w:val="18"/>
                <w:szCs w:val="18"/>
                <w:lang w:val="es-ES" w:eastAsia="es-AR"/>
              </w:rPr>
              <w:t>(</w:t>
            </w:r>
            <w:proofErr w:type="gramStart"/>
            <w:r w:rsidRPr="00AE4E8D">
              <w:rPr>
                <w:rFonts w:ascii="Times New Roman" w:hAnsi="Times New Roman"/>
                <w:sz w:val="18"/>
                <w:szCs w:val="18"/>
                <w:lang w:val="es-ES" w:eastAsia="es-AR"/>
              </w:rPr>
              <w:t>en</w:t>
            </w:r>
            <w:proofErr w:type="gramEnd"/>
            <w:r w:rsidRPr="00AE4E8D">
              <w:rPr>
                <w:rFonts w:ascii="Times New Roman" w:hAnsi="Times New Roman"/>
                <w:sz w:val="18"/>
                <w:szCs w:val="18"/>
                <w:lang w:val="es-ES" w:eastAsia="es-AR"/>
              </w:rPr>
              <w:t xml:space="preserve"> millones de Ps.)</w:t>
            </w:r>
          </w:p>
        </w:tc>
      </w:tr>
      <w:tr w:rsidR="00FE0836" w:rsidRPr="00AE4E8D" w14:paraId="141F5A36" w14:textId="77777777" w:rsidTr="000400C8">
        <w:trPr>
          <w:trHeight w:val="240"/>
          <w:jc w:val="center"/>
        </w:trPr>
        <w:tc>
          <w:tcPr>
            <w:tcW w:w="3638" w:type="pct"/>
            <w:tcBorders>
              <w:top w:val="nil"/>
              <w:left w:val="nil"/>
              <w:bottom w:val="nil"/>
              <w:right w:val="nil"/>
            </w:tcBorders>
            <w:noWrap/>
          </w:tcPr>
          <w:p w14:paraId="00AA5267" w14:textId="77777777" w:rsidR="00FE0836" w:rsidRPr="00AE4E8D" w:rsidRDefault="00FE0836" w:rsidP="00FE0836">
            <w:pPr>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Debido a variaciones en el volumen promedio de pasivos que devengan intereses</w:t>
            </w:r>
            <w:r w:rsidRPr="00AE4E8D">
              <w:rPr>
                <w:rFonts w:ascii="Times New Roman" w:hAnsi="Times New Roman"/>
                <w:lang w:val="es-ES" w:eastAsia="es-AR"/>
              </w:rPr>
              <w:tab/>
            </w:r>
          </w:p>
        </w:tc>
        <w:tc>
          <w:tcPr>
            <w:tcW w:w="1362" w:type="pct"/>
            <w:tcBorders>
              <w:top w:val="single" w:sz="4" w:space="0" w:color="auto"/>
              <w:left w:val="nil"/>
              <w:right w:val="nil"/>
            </w:tcBorders>
            <w:shd w:val="clear" w:color="000000" w:fill="FFFFFF"/>
            <w:noWrap/>
            <w:vAlign w:val="bottom"/>
          </w:tcPr>
          <w:p w14:paraId="2127EF98" w14:textId="77777777" w:rsidR="00FE0836" w:rsidRPr="00AE4E8D" w:rsidRDefault="00FE0836" w:rsidP="00FE0836">
            <w:pPr>
              <w:jc w:val="right"/>
              <w:rPr>
                <w:rFonts w:ascii="Times New Roman" w:hAnsi="Times New Roman"/>
                <w:sz w:val="18"/>
                <w:szCs w:val="18"/>
                <w:lang w:val="es-ES" w:eastAsia="es-AR"/>
              </w:rPr>
            </w:pPr>
            <w:r w:rsidRPr="00AE4E8D">
              <w:rPr>
                <w:rFonts w:ascii="Times New Roman" w:hAnsi="Times New Roman"/>
                <w:sz w:val="18"/>
                <w:szCs w:val="18"/>
                <w:lang w:val="es-ES" w:eastAsia="es-AR"/>
              </w:rPr>
              <w:t>163,3</w:t>
            </w:r>
          </w:p>
        </w:tc>
      </w:tr>
      <w:tr w:rsidR="00FE0836" w:rsidRPr="00AE4E8D" w14:paraId="5733A028" w14:textId="77777777" w:rsidTr="000400C8">
        <w:trPr>
          <w:trHeight w:val="240"/>
          <w:jc w:val="center"/>
        </w:trPr>
        <w:tc>
          <w:tcPr>
            <w:tcW w:w="3638" w:type="pct"/>
            <w:tcBorders>
              <w:top w:val="nil"/>
              <w:left w:val="nil"/>
              <w:bottom w:val="nil"/>
              <w:right w:val="nil"/>
            </w:tcBorders>
            <w:noWrap/>
          </w:tcPr>
          <w:p w14:paraId="11D48D3E" w14:textId="77777777" w:rsidR="00FE0836" w:rsidRPr="00AE4E8D" w:rsidRDefault="00FE0836" w:rsidP="00FE0836">
            <w:pPr>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Debido a variaciones en las tasas nominales de interés promedio</w:t>
            </w:r>
            <w:r w:rsidRPr="00AE4E8D">
              <w:rPr>
                <w:rFonts w:ascii="Times New Roman" w:hAnsi="Times New Roman"/>
                <w:lang w:val="es-ES" w:eastAsia="es-AR"/>
              </w:rPr>
              <w:tab/>
            </w:r>
          </w:p>
        </w:tc>
        <w:tc>
          <w:tcPr>
            <w:tcW w:w="1362" w:type="pct"/>
            <w:tcBorders>
              <w:top w:val="nil"/>
              <w:left w:val="nil"/>
              <w:bottom w:val="single" w:sz="4" w:space="0" w:color="auto"/>
              <w:right w:val="nil"/>
            </w:tcBorders>
            <w:shd w:val="clear" w:color="000000" w:fill="FFFFFF"/>
            <w:noWrap/>
            <w:vAlign w:val="bottom"/>
          </w:tcPr>
          <w:p w14:paraId="223B4786" w14:textId="77777777" w:rsidR="00FE0836" w:rsidRPr="00AE4E8D" w:rsidRDefault="00FE0836" w:rsidP="00FE0836">
            <w:pPr>
              <w:jc w:val="right"/>
              <w:rPr>
                <w:rFonts w:ascii="Times New Roman" w:hAnsi="Times New Roman"/>
                <w:sz w:val="18"/>
                <w:szCs w:val="18"/>
                <w:lang w:val="es-ES" w:eastAsia="es-AR"/>
              </w:rPr>
            </w:pPr>
            <w:r w:rsidRPr="00AE4E8D">
              <w:rPr>
                <w:rFonts w:ascii="Times New Roman" w:hAnsi="Times New Roman"/>
                <w:sz w:val="18"/>
                <w:szCs w:val="18"/>
                <w:lang w:val="es-ES" w:eastAsia="es-AR"/>
              </w:rPr>
              <w:t>0,4</w:t>
            </w:r>
          </w:p>
        </w:tc>
      </w:tr>
      <w:tr w:rsidR="00FE0836" w:rsidRPr="00AE4E8D" w14:paraId="7B5546C6" w14:textId="77777777" w:rsidTr="000400C8">
        <w:trPr>
          <w:trHeight w:val="240"/>
          <w:jc w:val="center"/>
        </w:trPr>
        <w:tc>
          <w:tcPr>
            <w:tcW w:w="3638" w:type="pct"/>
            <w:tcBorders>
              <w:top w:val="nil"/>
              <w:left w:val="nil"/>
              <w:bottom w:val="nil"/>
              <w:right w:val="nil"/>
            </w:tcBorders>
            <w:noWrap/>
            <w:vAlign w:val="bottom"/>
          </w:tcPr>
          <w:p w14:paraId="7293F0C3" w14:textId="77777777" w:rsidR="00FE0836" w:rsidRPr="00AE4E8D" w:rsidRDefault="00FE0836" w:rsidP="00FE0836">
            <w:pPr>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 xml:space="preserve">Variación neta </w:t>
            </w:r>
            <w:r w:rsidRPr="00AE4E8D">
              <w:rPr>
                <w:rFonts w:ascii="Times New Roman" w:hAnsi="Times New Roman"/>
                <w:lang w:val="es-ES" w:eastAsia="es-AR"/>
              </w:rPr>
              <w:tab/>
            </w:r>
          </w:p>
        </w:tc>
        <w:tc>
          <w:tcPr>
            <w:tcW w:w="1362" w:type="pct"/>
            <w:tcBorders>
              <w:top w:val="single" w:sz="4" w:space="0" w:color="auto"/>
              <w:left w:val="nil"/>
              <w:bottom w:val="nil"/>
              <w:right w:val="nil"/>
            </w:tcBorders>
            <w:shd w:val="clear" w:color="000000" w:fill="FFFFFF"/>
            <w:noWrap/>
            <w:vAlign w:val="bottom"/>
          </w:tcPr>
          <w:p w14:paraId="30886346" w14:textId="77777777" w:rsidR="00FE0836" w:rsidRPr="00AE4E8D" w:rsidRDefault="00FE0836" w:rsidP="00FE0836">
            <w:pPr>
              <w:jc w:val="right"/>
              <w:rPr>
                <w:rFonts w:ascii="Times New Roman" w:hAnsi="Times New Roman"/>
                <w:sz w:val="18"/>
                <w:szCs w:val="18"/>
                <w:lang w:val="es-ES" w:eastAsia="es-AR"/>
              </w:rPr>
            </w:pPr>
            <w:r w:rsidRPr="00AE4E8D">
              <w:rPr>
                <w:rFonts w:ascii="Times New Roman" w:hAnsi="Times New Roman"/>
                <w:sz w:val="18"/>
                <w:szCs w:val="18"/>
                <w:lang w:val="es-ES" w:eastAsia="es-AR"/>
              </w:rPr>
              <w:t>163,7</w:t>
            </w:r>
          </w:p>
        </w:tc>
      </w:tr>
    </w:tbl>
    <w:p w14:paraId="11890BAD" w14:textId="77777777" w:rsidR="00FE0836" w:rsidRPr="00AE4E8D" w:rsidRDefault="00FE0836" w:rsidP="00FE0836">
      <w:pPr>
        <w:pStyle w:val="BHTexto"/>
        <w:rPr>
          <w:lang w:val="es-ES"/>
        </w:rPr>
      </w:pPr>
      <w:r w:rsidRPr="00AE4E8D">
        <w:rPr>
          <w:lang w:val="es-ES"/>
        </w:rPr>
        <w:t>Los egresos financieros para los seis meses finalizados el 30 de junio de 2017 aumentaron 5,0%, de Ps.3.</w:t>
      </w:r>
      <w:r w:rsidRPr="00AE4E8D">
        <w:rPr>
          <w:lang w:val="es-ES" w:eastAsia="es-AR"/>
        </w:rPr>
        <w:t>276</w:t>
      </w:r>
      <w:r w:rsidRPr="00AE4E8D">
        <w:rPr>
          <w:lang w:val="es-ES"/>
        </w:rPr>
        <w:t xml:space="preserve">,7 millones por los seis meses finalizados el 30 de junio de 2016 a Ps.3.440,4 millones por los seis meses finalizados el 30 de junio de 2017, principalmente como resultado de un aumento del 33,5% en los saldos promedio de los pasivos que devengan interés, de Ps.25.491,8 millones por los seis meses finalizados el 30 de junio de 2016 a Ps.34.023,4 millones por los seis meses finalizados el 30 de junio de 2017, </w:t>
      </w:r>
      <w:r w:rsidR="00A558BA" w:rsidRPr="00AE4E8D">
        <w:rPr>
          <w:lang w:val="es-ES"/>
        </w:rPr>
        <w:t xml:space="preserve">parcialmente </w:t>
      </w:r>
      <w:r w:rsidRPr="00AE4E8D">
        <w:rPr>
          <w:lang w:val="es-ES"/>
        </w:rPr>
        <w:t>compensado con una disminución del 24,4% en las tasas promedio devengadas, del 21,0% por los seis meses finalizados el 30 de junio de 2016 al 15,9% por los seis meses finalizados el 30 de junio de 2017.</w:t>
      </w:r>
    </w:p>
    <w:p w14:paraId="51919522" w14:textId="77777777" w:rsidR="00FE0836" w:rsidRPr="00AE4E8D" w:rsidRDefault="00FE0836" w:rsidP="00FE0836">
      <w:pPr>
        <w:pStyle w:val="BHTexto"/>
        <w:rPr>
          <w:lang w:val="es-ES"/>
        </w:rPr>
      </w:pPr>
      <w:r w:rsidRPr="00AE4E8D">
        <w:rPr>
          <w:lang w:val="es-ES"/>
        </w:rPr>
        <w:t>Este aumento de los egresos financieros se debió a:</w:t>
      </w:r>
    </w:p>
    <w:p w14:paraId="59131669" w14:textId="77777777" w:rsidR="00FE0836" w:rsidRPr="00AE4E8D" w:rsidRDefault="00FE0836" w:rsidP="00FE0836">
      <w:pPr>
        <w:pStyle w:val="BHTexto"/>
        <w:numPr>
          <w:ilvl w:val="0"/>
          <w:numId w:val="98"/>
        </w:numPr>
        <w:rPr>
          <w:lang w:val="es-ES"/>
        </w:rPr>
      </w:pPr>
      <w:r w:rsidRPr="00AE4E8D">
        <w:rPr>
          <w:lang w:val="es-ES"/>
        </w:rPr>
        <w:t>Un aumento del 16,9% en el impuesto a los ingresos brutos (registrado bajo el título “</w:t>
      </w:r>
      <w:r w:rsidRPr="00AE4E8D">
        <w:rPr>
          <w:i/>
          <w:lang w:val="es-ES"/>
        </w:rPr>
        <w:t>Otros</w:t>
      </w:r>
      <w:r w:rsidRPr="00AE4E8D">
        <w:rPr>
          <w:lang w:val="es-ES"/>
        </w:rPr>
        <w:t xml:space="preserve">”), de Ps.310,2 millones por los seis meses finalizados el 30 de junio de 2016 a Ps.362,5 millones por los seis meses finalizados el 30 de junio de 2017, como resultado de los ingresos financieros imponibles y aumentos en las alícuotas de ciertas provincias; </w:t>
      </w:r>
    </w:p>
    <w:p w14:paraId="4C4FAAE9" w14:textId="77777777" w:rsidR="00FE0836" w:rsidRPr="00AE4E8D" w:rsidRDefault="00FE0836" w:rsidP="00FE0836">
      <w:pPr>
        <w:pStyle w:val="BHTexto"/>
        <w:numPr>
          <w:ilvl w:val="0"/>
          <w:numId w:val="98"/>
        </w:numPr>
        <w:rPr>
          <w:lang w:val="es-ES"/>
        </w:rPr>
      </w:pPr>
      <w:r w:rsidRPr="00AE4E8D">
        <w:rPr>
          <w:lang w:val="es-ES"/>
        </w:rPr>
        <w:t xml:space="preserve">Un aumento del 108,5% en intereses por otras obligaciones por intermediación financiera, principalmente como resultado de un aumento del interés devengado por nuestros bonos en </w:t>
      </w:r>
      <w:r w:rsidRPr="00AE4E8D">
        <w:rPr>
          <w:lang w:val="es-ES"/>
        </w:rPr>
        <w:lastRenderedPageBreak/>
        <w:t>circulación de Ps.681,5 millones por los seis meses finalizados el 30 de junio de 2016 a Ps.1.455,2 millones por los seis meses finalizados el 30 de junio de 2017, principalmente como resultado de un aumento del 117,5% en el volumen promedio de los bonos en circulación; y</w:t>
      </w:r>
    </w:p>
    <w:p w14:paraId="275C94A6" w14:textId="77777777" w:rsidR="00FE0836" w:rsidRPr="00AE4E8D" w:rsidRDefault="00FE0836" w:rsidP="00FE0836">
      <w:pPr>
        <w:pStyle w:val="BHTexto"/>
        <w:numPr>
          <w:ilvl w:val="0"/>
          <w:numId w:val="98"/>
        </w:numPr>
        <w:rPr>
          <w:lang w:val="es-ES"/>
        </w:rPr>
      </w:pPr>
      <w:r w:rsidRPr="00AE4E8D">
        <w:rPr>
          <w:lang w:val="es-ES"/>
        </w:rPr>
        <w:t>Una disminución del 39,1% en intereses por depósitos a plazo fijo, de Ps.1.645,2 millones por los seis meses finalizados el 30 de junio de 2016 a Ps.1.002,1 millones por los seis meses finalizados el 30 de junio de 2017, principalmente como resultado de una disminución del 5,3% en el saldo promedio de depósitos a plazo fijo.</w:t>
      </w:r>
    </w:p>
    <w:p w14:paraId="25BF5C47"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Cargos por Incobrabilidad</w:t>
      </w:r>
    </w:p>
    <w:p w14:paraId="3943DD92"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siguiente cuadro detalla los cargos por incobrabilidad para los seis meses finalizados el 30 de junio de 2017 y 2016:</w:t>
      </w:r>
    </w:p>
    <w:tbl>
      <w:tblPr>
        <w:tblW w:w="5000" w:type="pct"/>
        <w:tblLook w:val="00A0" w:firstRow="1" w:lastRow="0" w:firstColumn="1" w:lastColumn="0" w:noHBand="0" w:noVBand="0"/>
      </w:tblPr>
      <w:tblGrid>
        <w:gridCol w:w="4898"/>
        <w:gridCol w:w="1310"/>
        <w:gridCol w:w="1312"/>
        <w:gridCol w:w="1201"/>
      </w:tblGrid>
      <w:tr w:rsidR="00FE0836" w:rsidRPr="00AE4E8D" w14:paraId="269A240C" w14:textId="77777777" w:rsidTr="000400C8">
        <w:trPr>
          <w:trHeight w:val="255"/>
          <w:tblHeader/>
        </w:trPr>
        <w:tc>
          <w:tcPr>
            <w:tcW w:w="2818" w:type="pct"/>
            <w:tcBorders>
              <w:top w:val="nil"/>
              <w:left w:val="nil"/>
              <w:bottom w:val="nil"/>
              <w:right w:val="nil"/>
            </w:tcBorders>
            <w:noWrap/>
            <w:vAlign w:val="bottom"/>
          </w:tcPr>
          <w:p w14:paraId="7B97F257" w14:textId="77777777" w:rsidR="00FE0836" w:rsidRPr="00AE4E8D" w:rsidRDefault="00FE0836" w:rsidP="00FE0836">
            <w:pPr>
              <w:rPr>
                <w:rFonts w:ascii="Times New Roman" w:hAnsi="Times New Roman"/>
                <w:color w:val="000000"/>
                <w:sz w:val="18"/>
                <w:szCs w:val="18"/>
                <w:lang w:val="es-ES"/>
              </w:rPr>
            </w:pPr>
          </w:p>
        </w:tc>
        <w:tc>
          <w:tcPr>
            <w:tcW w:w="1524" w:type="pct"/>
            <w:gridSpan w:val="2"/>
            <w:tcBorders>
              <w:top w:val="single" w:sz="8" w:space="0" w:color="auto"/>
              <w:left w:val="nil"/>
              <w:bottom w:val="single" w:sz="8" w:space="0" w:color="auto"/>
              <w:right w:val="nil"/>
            </w:tcBorders>
            <w:noWrap/>
            <w:vAlign w:val="bottom"/>
          </w:tcPr>
          <w:p w14:paraId="0F38FEAD"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Seis meses finalizados el </w:t>
            </w:r>
          </w:p>
          <w:p w14:paraId="188EEB1F"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30 de junio de</w:t>
            </w:r>
          </w:p>
        </w:tc>
        <w:tc>
          <w:tcPr>
            <w:tcW w:w="658" w:type="pct"/>
            <w:tcBorders>
              <w:top w:val="single" w:sz="8" w:space="0" w:color="auto"/>
              <w:left w:val="nil"/>
              <w:bottom w:val="single" w:sz="8" w:space="0" w:color="auto"/>
              <w:right w:val="nil"/>
            </w:tcBorders>
            <w:noWrap/>
            <w:vAlign w:val="bottom"/>
          </w:tcPr>
          <w:p w14:paraId="3DDEC78C"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Variación</w:t>
            </w:r>
          </w:p>
        </w:tc>
      </w:tr>
      <w:tr w:rsidR="00FE0836" w:rsidRPr="00AE4E8D" w14:paraId="329A6297" w14:textId="77777777" w:rsidTr="000400C8">
        <w:trPr>
          <w:trHeight w:val="255"/>
          <w:tblHeader/>
        </w:trPr>
        <w:tc>
          <w:tcPr>
            <w:tcW w:w="2818" w:type="pct"/>
            <w:tcBorders>
              <w:top w:val="nil"/>
              <w:left w:val="nil"/>
              <w:bottom w:val="nil"/>
              <w:right w:val="nil"/>
            </w:tcBorders>
            <w:noWrap/>
            <w:vAlign w:val="bottom"/>
          </w:tcPr>
          <w:p w14:paraId="0265A034" w14:textId="77777777" w:rsidR="00FE0836" w:rsidRPr="00AE4E8D" w:rsidRDefault="00FE0836" w:rsidP="00FE0836">
            <w:pPr>
              <w:rPr>
                <w:rFonts w:ascii="Times New Roman" w:hAnsi="Times New Roman"/>
                <w:color w:val="000000"/>
                <w:sz w:val="18"/>
                <w:szCs w:val="18"/>
                <w:lang w:val="es-ES"/>
              </w:rPr>
            </w:pPr>
          </w:p>
        </w:tc>
        <w:tc>
          <w:tcPr>
            <w:tcW w:w="762" w:type="pct"/>
            <w:tcBorders>
              <w:top w:val="nil"/>
              <w:left w:val="nil"/>
              <w:bottom w:val="single" w:sz="8" w:space="0" w:color="auto"/>
              <w:right w:val="nil"/>
            </w:tcBorders>
            <w:noWrap/>
            <w:vAlign w:val="bottom"/>
          </w:tcPr>
          <w:p w14:paraId="0FBF951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2017</w:t>
            </w:r>
          </w:p>
        </w:tc>
        <w:tc>
          <w:tcPr>
            <w:tcW w:w="762" w:type="pct"/>
            <w:tcBorders>
              <w:top w:val="nil"/>
              <w:left w:val="nil"/>
              <w:bottom w:val="single" w:sz="8" w:space="0" w:color="auto"/>
              <w:right w:val="nil"/>
            </w:tcBorders>
            <w:noWrap/>
            <w:vAlign w:val="bottom"/>
          </w:tcPr>
          <w:p w14:paraId="43C6DDDC"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w:t>
            </w:r>
          </w:p>
        </w:tc>
        <w:tc>
          <w:tcPr>
            <w:tcW w:w="658" w:type="pct"/>
            <w:tcBorders>
              <w:top w:val="nil"/>
              <w:left w:val="nil"/>
              <w:bottom w:val="single" w:sz="8" w:space="0" w:color="auto"/>
              <w:right w:val="nil"/>
            </w:tcBorders>
            <w:noWrap/>
            <w:vAlign w:val="bottom"/>
          </w:tcPr>
          <w:p w14:paraId="3F3A173D"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2016/2017</w:t>
            </w:r>
          </w:p>
        </w:tc>
      </w:tr>
      <w:tr w:rsidR="00FE0836" w:rsidRPr="00AE4E8D" w14:paraId="69E1128D" w14:textId="77777777" w:rsidTr="000400C8">
        <w:trPr>
          <w:trHeight w:val="255"/>
          <w:tblHeader/>
        </w:trPr>
        <w:tc>
          <w:tcPr>
            <w:tcW w:w="2818" w:type="pct"/>
            <w:tcBorders>
              <w:top w:val="nil"/>
              <w:left w:val="nil"/>
              <w:bottom w:val="nil"/>
              <w:right w:val="nil"/>
            </w:tcBorders>
            <w:noWrap/>
            <w:vAlign w:val="bottom"/>
          </w:tcPr>
          <w:p w14:paraId="67C5161E" w14:textId="77777777" w:rsidR="00FE0836" w:rsidRPr="00AE4E8D" w:rsidRDefault="00FE0836" w:rsidP="00FE0836">
            <w:pPr>
              <w:rPr>
                <w:rFonts w:ascii="Times New Roman" w:hAnsi="Times New Roman"/>
                <w:color w:val="000000"/>
                <w:sz w:val="18"/>
                <w:szCs w:val="18"/>
                <w:lang w:val="es-ES"/>
              </w:rPr>
            </w:pPr>
          </w:p>
        </w:tc>
        <w:tc>
          <w:tcPr>
            <w:tcW w:w="2182" w:type="pct"/>
            <w:gridSpan w:val="3"/>
            <w:tcBorders>
              <w:top w:val="single" w:sz="8" w:space="0" w:color="auto"/>
              <w:left w:val="nil"/>
              <w:bottom w:val="single" w:sz="8" w:space="0" w:color="auto"/>
              <w:right w:val="nil"/>
            </w:tcBorders>
            <w:noWrap/>
            <w:vAlign w:val="bottom"/>
          </w:tcPr>
          <w:p w14:paraId="0EEE5FE2" w14:textId="77777777" w:rsidR="00FE0836" w:rsidRPr="00AE4E8D" w:rsidRDefault="00FE0836" w:rsidP="00FE0836">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millones de Ps., excepto porcentajes)</w:t>
            </w:r>
          </w:p>
        </w:tc>
      </w:tr>
      <w:tr w:rsidR="00FE0836" w:rsidRPr="00AE4E8D" w14:paraId="78347753" w14:textId="77777777" w:rsidTr="000400C8">
        <w:trPr>
          <w:trHeight w:val="255"/>
        </w:trPr>
        <w:tc>
          <w:tcPr>
            <w:tcW w:w="2818" w:type="pct"/>
            <w:tcBorders>
              <w:top w:val="nil"/>
              <w:left w:val="nil"/>
              <w:bottom w:val="nil"/>
              <w:right w:val="nil"/>
            </w:tcBorders>
            <w:noWrap/>
            <w:vAlign w:val="bottom"/>
          </w:tcPr>
          <w:p w14:paraId="7A91A6ED" w14:textId="77777777" w:rsidR="00FE0836" w:rsidRPr="00AE4E8D" w:rsidRDefault="00FE0836" w:rsidP="00FE0836">
            <w:pPr>
              <w:tabs>
                <w:tab w:val="left" w:leader="dot" w:pos="4681"/>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Cargo por incobrabilidad </w:t>
            </w:r>
            <w:r w:rsidRPr="00AE4E8D">
              <w:rPr>
                <w:rFonts w:ascii="Times New Roman" w:hAnsi="Times New Roman"/>
                <w:lang w:val="es-ES" w:eastAsia="es-AR"/>
              </w:rPr>
              <w:tab/>
            </w:r>
          </w:p>
        </w:tc>
        <w:tc>
          <w:tcPr>
            <w:tcW w:w="762" w:type="pct"/>
            <w:tcBorders>
              <w:top w:val="nil"/>
              <w:left w:val="nil"/>
              <w:bottom w:val="single" w:sz="8" w:space="0" w:color="auto"/>
              <w:right w:val="nil"/>
            </w:tcBorders>
            <w:shd w:val="clear" w:color="auto" w:fill="auto"/>
            <w:noWrap/>
            <w:vAlign w:val="bottom"/>
          </w:tcPr>
          <w:p w14:paraId="40BDCE0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379,7</w:t>
            </w:r>
          </w:p>
        </w:tc>
        <w:tc>
          <w:tcPr>
            <w:tcW w:w="762" w:type="pct"/>
            <w:tcBorders>
              <w:top w:val="nil"/>
              <w:left w:val="nil"/>
              <w:bottom w:val="single" w:sz="8" w:space="0" w:color="auto"/>
              <w:right w:val="nil"/>
            </w:tcBorders>
            <w:shd w:val="clear" w:color="auto" w:fill="auto"/>
            <w:noWrap/>
            <w:vAlign w:val="bottom"/>
          </w:tcPr>
          <w:p w14:paraId="4C95CD2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200,8</w:t>
            </w:r>
          </w:p>
        </w:tc>
        <w:tc>
          <w:tcPr>
            <w:tcW w:w="658" w:type="pct"/>
            <w:tcBorders>
              <w:top w:val="nil"/>
              <w:left w:val="nil"/>
              <w:bottom w:val="single" w:sz="8" w:space="0" w:color="auto"/>
              <w:right w:val="nil"/>
            </w:tcBorders>
            <w:shd w:val="clear" w:color="auto" w:fill="auto"/>
            <w:noWrap/>
            <w:vAlign w:val="bottom"/>
          </w:tcPr>
          <w:p w14:paraId="29ECB04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sz w:val="18"/>
                <w:szCs w:val="18"/>
                <w:lang w:val="es-ES"/>
              </w:rPr>
              <w:t>89,1%</w:t>
            </w:r>
          </w:p>
        </w:tc>
      </w:tr>
    </w:tbl>
    <w:p w14:paraId="0FD2A6F0" w14:textId="77777777" w:rsidR="00FE0836" w:rsidRPr="00AE4E8D" w:rsidRDefault="00FE0836" w:rsidP="00FE0836">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Los cargos por incobrabilidad aumentaron un 89,1% de Ps.200</w:t>
      </w:r>
      <w:proofErr w:type="gramStart"/>
      <w:r w:rsidRPr="00AE4E8D">
        <w:rPr>
          <w:rFonts w:ascii="Times New Roman" w:hAnsi="Times New Roman"/>
          <w:lang w:val="es-ES" w:eastAsia="es-AR"/>
        </w:rPr>
        <w:t>,8</w:t>
      </w:r>
      <w:proofErr w:type="gramEnd"/>
      <w:r w:rsidRPr="00AE4E8D">
        <w:rPr>
          <w:rFonts w:ascii="Times New Roman" w:hAnsi="Times New Roman"/>
          <w:lang w:val="es-ES"/>
        </w:rPr>
        <w:t xml:space="preserve"> millones por los seis meses finalizados el 30 de junio de 2016 a Ps.379,7 millones por los seis meses finalizados el 30 de junio de 2017, principalmente debido al crecimiento del 39,9% de nuestra cartera promedio de créditos entre el 30 de junio de 2016 y 2017 y una </w:t>
      </w:r>
      <w:r w:rsidR="0022061F" w:rsidRPr="00AE4E8D">
        <w:rPr>
          <w:rFonts w:ascii="Times New Roman" w:hAnsi="Times New Roman"/>
          <w:lang w:val="es-ES"/>
        </w:rPr>
        <w:t>disminución</w:t>
      </w:r>
      <w:r w:rsidR="00E8704F" w:rsidRPr="00AE4E8D">
        <w:rPr>
          <w:rFonts w:ascii="Times New Roman" w:hAnsi="Times New Roman"/>
          <w:lang w:val="es-ES"/>
        </w:rPr>
        <w:t xml:space="preserve"> </w:t>
      </w:r>
      <w:r w:rsidRPr="00AE4E8D">
        <w:rPr>
          <w:rFonts w:ascii="Times New Roman" w:hAnsi="Times New Roman"/>
          <w:lang w:val="es-ES"/>
        </w:rPr>
        <w:t>en la calidad de nuestros activos de la cartera de créditos durante el mismo período.</w:t>
      </w:r>
    </w:p>
    <w:p w14:paraId="1F5AFB5D" w14:textId="77777777" w:rsidR="00FE0836" w:rsidRPr="00AE4E8D" w:rsidRDefault="00FE0836" w:rsidP="00FE0836">
      <w:pPr>
        <w:autoSpaceDE w:val="0"/>
        <w:autoSpaceDN w:val="0"/>
        <w:adjustRightInd w:val="0"/>
        <w:spacing w:before="120" w:after="120"/>
        <w:jc w:val="both"/>
        <w:rPr>
          <w:rFonts w:ascii="Times New Roman" w:hAnsi="Times New Roman"/>
          <w:b/>
          <w:i/>
          <w:lang w:val="es-ES"/>
        </w:rPr>
      </w:pPr>
      <w:r w:rsidRPr="00AE4E8D">
        <w:rPr>
          <w:rFonts w:ascii="Times New Roman" w:hAnsi="Times New Roman"/>
          <w:b/>
          <w:i/>
          <w:lang w:val="es-ES"/>
        </w:rPr>
        <w:t>Ingresos Netos por Servicios</w:t>
      </w:r>
    </w:p>
    <w:p w14:paraId="0069DEC7" w14:textId="77777777" w:rsidR="00FE0836" w:rsidRPr="00AE4E8D" w:rsidRDefault="00FE0836" w:rsidP="00FE0836">
      <w:pPr>
        <w:pStyle w:val="BHTexto"/>
        <w:rPr>
          <w:lang w:val="es-ES"/>
        </w:rPr>
      </w:pPr>
      <w:r w:rsidRPr="00AE4E8D">
        <w:rPr>
          <w:lang w:val="es-ES"/>
        </w:rPr>
        <w:t>Los ingresos netos por servicios aumentaron un 31,4% de Ps.1.733,8 millones por los seis meses finalizados el 30 de junio de</w:t>
      </w:r>
      <w:r w:rsidRPr="00AE4E8D" w:rsidDel="00DF79E7">
        <w:rPr>
          <w:lang w:val="es-ES"/>
        </w:rPr>
        <w:t xml:space="preserve"> </w:t>
      </w:r>
      <w:r w:rsidRPr="00AE4E8D">
        <w:rPr>
          <w:lang w:val="es-ES"/>
        </w:rPr>
        <w:t>2016 a Ps.2.277,9 millones por los seis meses finalizados el 30 de junio de 2017, principalmente como resultado de:</w:t>
      </w:r>
    </w:p>
    <w:p w14:paraId="78943069" w14:textId="77777777" w:rsidR="00FE0836" w:rsidRPr="00AE4E8D" w:rsidRDefault="00FE0836" w:rsidP="00FE0836">
      <w:pPr>
        <w:pStyle w:val="BHTexto"/>
        <w:numPr>
          <w:ilvl w:val="0"/>
          <w:numId w:val="99"/>
        </w:numPr>
        <w:rPr>
          <w:lang w:val="es-ES"/>
        </w:rPr>
      </w:pPr>
      <w:r w:rsidRPr="00AE4E8D">
        <w:rPr>
          <w:lang w:val="es-ES"/>
        </w:rPr>
        <w:t>Una disminución de Ps.27,5 millones, o del 3,2%, en ingresos netos por seguros; y</w:t>
      </w:r>
    </w:p>
    <w:p w14:paraId="68122E38" w14:textId="77777777" w:rsidR="00FE0836" w:rsidRPr="00AE4E8D" w:rsidRDefault="00FE0836" w:rsidP="00FE0836">
      <w:pPr>
        <w:pStyle w:val="BHTexto"/>
        <w:numPr>
          <w:ilvl w:val="0"/>
          <w:numId w:val="99"/>
        </w:numPr>
        <w:rPr>
          <w:lang w:val="es-ES"/>
        </w:rPr>
      </w:pPr>
      <w:r w:rsidRPr="00AE4E8D">
        <w:rPr>
          <w:lang w:val="es-ES"/>
        </w:rPr>
        <w:t>Un aumento a Ps.571</w:t>
      </w:r>
      <w:proofErr w:type="gramStart"/>
      <w:r w:rsidRPr="00AE4E8D">
        <w:rPr>
          <w:lang w:val="es-ES"/>
        </w:rPr>
        <w:t>,6</w:t>
      </w:r>
      <w:proofErr w:type="gramEnd"/>
      <w:r w:rsidRPr="00AE4E8D">
        <w:rPr>
          <w:lang w:val="es-ES"/>
        </w:rPr>
        <w:t xml:space="preserve"> millones, o del 66,2%, en otros ingresos netos por servicios.</w:t>
      </w:r>
    </w:p>
    <w:p w14:paraId="1C840F29"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 xml:space="preserve">Ingresos Netos por Seguros </w:t>
      </w:r>
    </w:p>
    <w:p w14:paraId="11465231" w14:textId="77777777" w:rsidR="00FE0836" w:rsidRPr="00AE4E8D" w:rsidRDefault="00FE0836" w:rsidP="00FE0836">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El siguiente cuadro detalla las principales líneas de los ingresos netos por seguros correspondientes a los seis meses finalizados el 30 de junio de 2017 y 2016:</w:t>
      </w:r>
    </w:p>
    <w:tbl>
      <w:tblPr>
        <w:tblW w:w="5000" w:type="pct"/>
        <w:jc w:val="center"/>
        <w:tblLook w:val="00A0" w:firstRow="1" w:lastRow="0" w:firstColumn="1" w:lastColumn="0" w:noHBand="0" w:noVBand="0"/>
      </w:tblPr>
      <w:tblGrid>
        <w:gridCol w:w="4890"/>
        <w:gridCol w:w="1142"/>
        <w:gridCol w:w="1144"/>
        <w:gridCol w:w="1545"/>
      </w:tblGrid>
      <w:tr w:rsidR="00FE0836" w:rsidRPr="00AE4E8D" w14:paraId="10B54871" w14:textId="77777777" w:rsidTr="000400C8">
        <w:trPr>
          <w:trHeight w:val="255"/>
          <w:tblHeader/>
          <w:jc w:val="center"/>
        </w:trPr>
        <w:tc>
          <w:tcPr>
            <w:tcW w:w="2803" w:type="pct"/>
            <w:tcBorders>
              <w:top w:val="nil"/>
              <w:left w:val="nil"/>
              <w:bottom w:val="nil"/>
              <w:right w:val="nil"/>
            </w:tcBorders>
            <w:noWrap/>
            <w:vAlign w:val="bottom"/>
          </w:tcPr>
          <w:p w14:paraId="51CBE16A" w14:textId="77777777" w:rsidR="00FE0836" w:rsidRPr="00AE4E8D" w:rsidRDefault="00FE0836" w:rsidP="00FE0836">
            <w:pPr>
              <w:rPr>
                <w:rFonts w:ascii="Times New Roman" w:hAnsi="Times New Roman"/>
                <w:b/>
                <w:bCs/>
                <w:color w:val="000000"/>
                <w:sz w:val="18"/>
                <w:szCs w:val="18"/>
                <w:lang w:val="es-ES"/>
              </w:rPr>
            </w:pPr>
          </w:p>
        </w:tc>
        <w:tc>
          <w:tcPr>
            <w:tcW w:w="1311" w:type="pct"/>
            <w:gridSpan w:val="2"/>
            <w:tcBorders>
              <w:top w:val="single" w:sz="8" w:space="0" w:color="auto"/>
              <w:left w:val="nil"/>
              <w:bottom w:val="single" w:sz="8" w:space="0" w:color="auto"/>
              <w:right w:val="nil"/>
            </w:tcBorders>
            <w:noWrap/>
            <w:vAlign w:val="bottom"/>
          </w:tcPr>
          <w:p w14:paraId="1593818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Seis meses finalizados el </w:t>
            </w:r>
          </w:p>
          <w:p w14:paraId="56DC6EE8"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30 de junio de</w:t>
            </w:r>
          </w:p>
        </w:tc>
        <w:tc>
          <w:tcPr>
            <w:tcW w:w="886" w:type="pct"/>
            <w:tcBorders>
              <w:top w:val="single" w:sz="8" w:space="0" w:color="auto"/>
              <w:left w:val="nil"/>
              <w:bottom w:val="single" w:sz="8" w:space="0" w:color="auto"/>
              <w:right w:val="nil"/>
            </w:tcBorders>
            <w:noWrap/>
            <w:vAlign w:val="bottom"/>
          </w:tcPr>
          <w:p w14:paraId="61979ED5"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Variación</w:t>
            </w:r>
          </w:p>
        </w:tc>
      </w:tr>
      <w:tr w:rsidR="00FE0836" w:rsidRPr="00AE4E8D" w14:paraId="44AC056F" w14:textId="77777777" w:rsidTr="000400C8">
        <w:trPr>
          <w:trHeight w:val="255"/>
          <w:tblHeader/>
          <w:jc w:val="center"/>
        </w:trPr>
        <w:tc>
          <w:tcPr>
            <w:tcW w:w="2803" w:type="pct"/>
            <w:tcBorders>
              <w:top w:val="nil"/>
              <w:left w:val="nil"/>
              <w:bottom w:val="nil"/>
              <w:right w:val="nil"/>
            </w:tcBorders>
            <w:noWrap/>
            <w:vAlign w:val="bottom"/>
          </w:tcPr>
          <w:p w14:paraId="15A8E295" w14:textId="77777777" w:rsidR="00FE0836" w:rsidRPr="00AE4E8D" w:rsidRDefault="00FE0836" w:rsidP="00FE0836">
            <w:pPr>
              <w:rPr>
                <w:rFonts w:ascii="Times New Roman" w:hAnsi="Times New Roman"/>
                <w:color w:val="000000"/>
                <w:sz w:val="18"/>
                <w:szCs w:val="18"/>
                <w:lang w:val="es-ES"/>
              </w:rPr>
            </w:pPr>
          </w:p>
        </w:tc>
        <w:tc>
          <w:tcPr>
            <w:tcW w:w="655" w:type="pct"/>
            <w:tcBorders>
              <w:top w:val="nil"/>
              <w:left w:val="nil"/>
              <w:bottom w:val="single" w:sz="8" w:space="0" w:color="auto"/>
              <w:right w:val="nil"/>
            </w:tcBorders>
            <w:noWrap/>
            <w:vAlign w:val="bottom"/>
          </w:tcPr>
          <w:p w14:paraId="0B09253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2017</w:t>
            </w:r>
          </w:p>
        </w:tc>
        <w:tc>
          <w:tcPr>
            <w:tcW w:w="655" w:type="pct"/>
            <w:tcBorders>
              <w:top w:val="nil"/>
              <w:left w:val="nil"/>
              <w:bottom w:val="single" w:sz="8" w:space="0" w:color="auto"/>
              <w:right w:val="nil"/>
            </w:tcBorders>
            <w:noWrap/>
            <w:vAlign w:val="bottom"/>
          </w:tcPr>
          <w:p w14:paraId="78E502C5"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w:t>
            </w:r>
          </w:p>
        </w:tc>
        <w:tc>
          <w:tcPr>
            <w:tcW w:w="886" w:type="pct"/>
            <w:tcBorders>
              <w:top w:val="nil"/>
              <w:left w:val="nil"/>
              <w:bottom w:val="single" w:sz="8" w:space="0" w:color="auto"/>
              <w:right w:val="nil"/>
            </w:tcBorders>
            <w:noWrap/>
            <w:vAlign w:val="bottom"/>
          </w:tcPr>
          <w:p w14:paraId="04A8395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2016/2017</w:t>
            </w:r>
          </w:p>
        </w:tc>
      </w:tr>
      <w:tr w:rsidR="00FE0836" w:rsidRPr="00AE4E8D" w14:paraId="3BBC9800" w14:textId="77777777" w:rsidTr="000400C8">
        <w:trPr>
          <w:trHeight w:val="240"/>
          <w:tblHeader/>
          <w:jc w:val="center"/>
        </w:trPr>
        <w:tc>
          <w:tcPr>
            <w:tcW w:w="2803" w:type="pct"/>
            <w:tcBorders>
              <w:top w:val="nil"/>
              <w:left w:val="nil"/>
              <w:bottom w:val="nil"/>
              <w:right w:val="nil"/>
            </w:tcBorders>
            <w:noWrap/>
            <w:vAlign w:val="bottom"/>
          </w:tcPr>
          <w:p w14:paraId="16595CD3" w14:textId="77777777" w:rsidR="00FE0836" w:rsidRPr="00AE4E8D" w:rsidRDefault="00FE0836" w:rsidP="00FE0836">
            <w:pPr>
              <w:rPr>
                <w:rFonts w:ascii="Times New Roman" w:hAnsi="Times New Roman"/>
                <w:color w:val="000000"/>
                <w:sz w:val="18"/>
                <w:szCs w:val="18"/>
                <w:lang w:val="es-ES"/>
              </w:rPr>
            </w:pPr>
          </w:p>
        </w:tc>
        <w:tc>
          <w:tcPr>
            <w:tcW w:w="2197" w:type="pct"/>
            <w:gridSpan w:val="3"/>
            <w:tcBorders>
              <w:top w:val="single" w:sz="8" w:space="0" w:color="auto"/>
              <w:left w:val="nil"/>
              <w:bottom w:val="nil"/>
              <w:right w:val="nil"/>
            </w:tcBorders>
            <w:noWrap/>
            <w:vAlign w:val="bottom"/>
          </w:tcPr>
          <w:p w14:paraId="7D4ADAE6" w14:textId="77777777" w:rsidR="00FE0836" w:rsidRPr="00AE4E8D" w:rsidRDefault="00FE0836" w:rsidP="00FE0836">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millones de Ps., excepto porcentajes)</w:t>
            </w:r>
          </w:p>
        </w:tc>
      </w:tr>
      <w:tr w:rsidR="00FE0836" w:rsidRPr="00AE4E8D" w14:paraId="62215384" w14:textId="77777777" w:rsidTr="000400C8">
        <w:trPr>
          <w:trHeight w:val="240"/>
          <w:jc w:val="center"/>
        </w:trPr>
        <w:tc>
          <w:tcPr>
            <w:tcW w:w="2803" w:type="pct"/>
            <w:tcBorders>
              <w:top w:val="nil"/>
              <w:left w:val="nil"/>
              <w:bottom w:val="nil"/>
              <w:right w:val="nil"/>
            </w:tcBorders>
            <w:noWrap/>
            <w:vAlign w:val="bottom"/>
          </w:tcPr>
          <w:p w14:paraId="4D2007F3" w14:textId="77777777" w:rsidR="00FE0836" w:rsidRPr="00AE4E8D" w:rsidRDefault="00FE0836" w:rsidP="00FE0836">
            <w:pPr>
              <w:rPr>
                <w:rFonts w:ascii="Times New Roman" w:hAnsi="Times New Roman"/>
                <w:b/>
                <w:bCs/>
                <w:i/>
                <w:iCs/>
                <w:color w:val="000000"/>
                <w:sz w:val="18"/>
                <w:szCs w:val="18"/>
                <w:lang w:val="es-ES"/>
              </w:rPr>
            </w:pPr>
            <w:r w:rsidRPr="00AE4E8D">
              <w:rPr>
                <w:rFonts w:ascii="Times New Roman" w:hAnsi="Times New Roman"/>
                <w:b/>
                <w:bCs/>
                <w:i/>
                <w:iCs/>
                <w:color w:val="000000"/>
                <w:sz w:val="18"/>
                <w:szCs w:val="18"/>
                <w:lang w:val="es-ES"/>
              </w:rPr>
              <w:t>Primas de seguro percibidas</w:t>
            </w:r>
          </w:p>
        </w:tc>
        <w:tc>
          <w:tcPr>
            <w:tcW w:w="655" w:type="pct"/>
            <w:tcBorders>
              <w:top w:val="nil"/>
              <w:left w:val="nil"/>
              <w:bottom w:val="nil"/>
              <w:right w:val="nil"/>
            </w:tcBorders>
            <w:noWrap/>
            <w:vAlign w:val="bottom"/>
          </w:tcPr>
          <w:p w14:paraId="60DDC7D9" w14:textId="77777777" w:rsidR="00FE0836" w:rsidRPr="00AE4E8D" w:rsidRDefault="00FE0836" w:rsidP="00FE0836">
            <w:pPr>
              <w:rPr>
                <w:rFonts w:ascii="Times New Roman" w:hAnsi="Times New Roman"/>
                <w:color w:val="000000"/>
                <w:sz w:val="18"/>
                <w:szCs w:val="18"/>
                <w:lang w:val="es-ES"/>
              </w:rPr>
            </w:pPr>
          </w:p>
        </w:tc>
        <w:tc>
          <w:tcPr>
            <w:tcW w:w="655" w:type="pct"/>
            <w:tcBorders>
              <w:top w:val="nil"/>
              <w:left w:val="nil"/>
              <w:bottom w:val="nil"/>
              <w:right w:val="nil"/>
            </w:tcBorders>
            <w:noWrap/>
            <w:vAlign w:val="bottom"/>
          </w:tcPr>
          <w:p w14:paraId="3748B01E" w14:textId="77777777" w:rsidR="00FE0836" w:rsidRPr="00AE4E8D" w:rsidRDefault="00FE0836" w:rsidP="00FE0836">
            <w:pPr>
              <w:rPr>
                <w:rFonts w:ascii="Times New Roman" w:hAnsi="Times New Roman"/>
                <w:color w:val="000000"/>
                <w:sz w:val="18"/>
                <w:szCs w:val="18"/>
                <w:lang w:val="es-ES"/>
              </w:rPr>
            </w:pPr>
          </w:p>
        </w:tc>
        <w:tc>
          <w:tcPr>
            <w:tcW w:w="886" w:type="pct"/>
            <w:tcBorders>
              <w:top w:val="nil"/>
              <w:left w:val="nil"/>
              <w:bottom w:val="nil"/>
              <w:right w:val="nil"/>
            </w:tcBorders>
            <w:noWrap/>
            <w:vAlign w:val="bottom"/>
          </w:tcPr>
          <w:p w14:paraId="7A993208" w14:textId="77777777" w:rsidR="00FE0836" w:rsidRPr="00AE4E8D" w:rsidRDefault="00FE0836" w:rsidP="00FE0836">
            <w:pPr>
              <w:rPr>
                <w:rFonts w:ascii="Times New Roman" w:hAnsi="Times New Roman"/>
                <w:color w:val="000000"/>
                <w:sz w:val="18"/>
                <w:szCs w:val="18"/>
                <w:lang w:val="es-ES"/>
              </w:rPr>
            </w:pPr>
          </w:p>
        </w:tc>
      </w:tr>
      <w:tr w:rsidR="00FE0836" w:rsidRPr="00AE4E8D" w14:paraId="6F271B45" w14:textId="77777777" w:rsidTr="000400C8">
        <w:trPr>
          <w:trHeight w:val="240"/>
          <w:jc w:val="center"/>
        </w:trPr>
        <w:tc>
          <w:tcPr>
            <w:tcW w:w="2803" w:type="pct"/>
            <w:tcBorders>
              <w:top w:val="nil"/>
              <w:left w:val="nil"/>
              <w:bottom w:val="nil"/>
              <w:right w:val="nil"/>
            </w:tcBorders>
            <w:noWrap/>
            <w:vAlign w:val="bottom"/>
          </w:tcPr>
          <w:p w14:paraId="338DDD79" w14:textId="77777777" w:rsidR="00FE0836" w:rsidRPr="00AE4E8D" w:rsidRDefault="00FE0836" w:rsidP="00FE0836">
            <w:pPr>
              <w:tabs>
                <w:tab w:val="left" w:leader="dot" w:pos="467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Vida </w:t>
            </w:r>
            <w:r w:rsidRPr="00AE4E8D">
              <w:rPr>
                <w:rFonts w:ascii="Times New Roman" w:hAnsi="Times New Roman"/>
                <w:lang w:val="es-ES" w:eastAsia="es-AR"/>
              </w:rPr>
              <w:tab/>
            </w:r>
          </w:p>
        </w:tc>
        <w:tc>
          <w:tcPr>
            <w:tcW w:w="655" w:type="pct"/>
            <w:tcBorders>
              <w:top w:val="nil"/>
              <w:left w:val="nil"/>
              <w:bottom w:val="nil"/>
              <w:right w:val="nil"/>
            </w:tcBorders>
            <w:shd w:val="clear" w:color="000000" w:fill="FFFFFF"/>
            <w:noWrap/>
            <w:vAlign w:val="bottom"/>
          </w:tcPr>
          <w:p w14:paraId="647641B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w:t>
            </w:r>
          </w:p>
        </w:tc>
        <w:tc>
          <w:tcPr>
            <w:tcW w:w="655" w:type="pct"/>
            <w:tcBorders>
              <w:top w:val="nil"/>
              <w:left w:val="nil"/>
              <w:bottom w:val="nil"/>
              <w:right w:val="nil"/>
            </w:tcBorders>
            <w:shd w:val="clear" w:color="000000" w:fill="FFFFFF"/>
            <w:noWrap/>
            <w:vAlign w:val="bottom"/>
          </w:tcPr>
          <w:p w14:paraId="27C43D1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4,9</w:t>
            </w:r>
          </w:p>
        </w:tc>
        <w:tc>
          <w:tcPr>
            <w:tcW w:w="886" w:type="pct"/>
            <w:tcBorders>
              <w:top w:val="nil"/>
              <w:left w:val="nil"/>
              <w:bottom w:val="nil"/>
              <w:right w:val="nil"/>
            </w:tcBorders>
            <w:noWrap/>
            <w:vAlign w:val="bottom"/>
          </w:tcPr>
          <w:p w14:paraId="2E68378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NM</w:t>
            </w:r>
          </w:p>
        </w:tc>
      </w:tr>
      <w:tr w:rsidR="00FE0836" w:rsidRPr="00AE4E8D" w14:paraId="251BFB6B" w14:textId="77777777" w:rsidTr="000400C8">
        <w:trPr>
          <w:trHeight w:val="240"/>
          <w:jc w:val="center"/>
        </w:trPr>
        <w:tc>
          <w:tcPr>
            <w:tcW w:w="2803" w:type="pct"/>
            <w:tcBorders>
              <w:top w:val="nil"/>
              <w:left w:val="nil"/>
              <w:bottom w:val="nil"/>
              <w:right w:val="nil"/>
            </w:tcBorders>
            <w:noWrap/>
            <w:vAlign w:val="bottom"/>
          </w:tcPr>
          <w:p w14:paraId="4A4E0F1E" w14:textId="77777777" w:rsidR="00FE0836" w:rsidRPr="00AE4E8D" w:rsidRDefault="00FE0836" w:rsidP="00FE0836">
            <w:pPr>
              <w:tabs>
                <w:tab w:val="left" w:leader="dot" w:pos="467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Daños patrimoniales </w:t>
            </w:r>
            <w:r w:rsidRPr="00AE4E8D">
              <w:rPr>
                <w:rFonts w:ascii="Times New Roman" w:hAnsi="Times New Roman"/>
                <w:lang w:val="es-ES" w:eastAsia="es-AR"/>
              </w:rPr>
              <w:tab/>
            </w:r>
          </w:p>
        </w:tc>
        <w:tc>
          <w:tcPr>
            <w:tcW w:w="655" w:type="pct"/>
            <w:tcBorders>
              <w:top w:val="nil"/>
              <w:left w:val="nil"/>
              <w:bottom w:val="nil"/>
              <w:right w:val="nil"/>
            </w:tcBorders>
            <w:shd w:val="clear" w:color="000000" w:fill="FFFFFF"/>
            <w:noWrap/>
            <w:vAlign w:val="bottom"/>
          </w:tcPr>
          <w:p w14:paraId="2FA6BED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w:t>
            </w:r>
          </w:p>
        </w:tc>
        <w:tc>
          <w:tcPr>
            <w:tcW w:w="655" w:type="pct"/>
            <w:tcBorders>
              <w:top w:val="nil"/>
              <w:left w:val="nil"/>
              <w:bottom w:val="nil"/>
              <w:right w:val="nil"/>
            </w:tcBorders>
            <w:shd w:val="clear" w:color="000000" w:fill="FFFFFF"/>
            <w:noWrap/>
            <w:vAlign w:val="bottom"/>
          </w:tcPr>
          <w:p w14:paraId="2AF4799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3,4</w:t>
            </w:r>
          </w:p>
        </w:tc>
        <w:tc>
          <w:tcPr>
            <w:tcW w:w="886" w:type="pct"/>
            <w:tcBorders>
              <w:top w:val="nil"/>
              <w:left w:val="nil"/>
              <w:bottom w:val="nil"/>
              <w:right w:val="nil"/>
            </w:tcBorders>
            <w:noWrap/>
            <w:vAlign w:val="bottom"/>
          </w:tcPr>
          <w:p w14:paraId="7FE8E81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NM</w:t>
            </w:r>
          </w:p>
        </w:tc>
      </w:tr>
      <w:tr w:rsidR="00FE0836" w:rsidRPr="00AE4E8D" w14:paraId="7B22F90F" w14:textId="77777777" w:rsidTr="000400C8">
        <w:trPr>
          <w:trHeight w:val="240"/>
          <w:jc w:val="center"/>
        </w:trPr>
        <w:tc>
          <w:tcPr>
            <w:tcW w:w="2803" w:type="pct"/>
            <w:tcBorders>
              <w:top w:val="nil"/>
              <w:left w:val="nil"/>
              <w:bottom w:val="nil"/>
              <w:right w:val="nil"/>
            </w:tcBorders>
            <w:noWrap/>
            <w:vAlign w:val="bottom"/>
          </w:tcPr>
          <w:p w14:paraId="3D88FB88" w14:textId="77777777" w:rsidR="00FE0836" w:rsidRPr="00AE4E8D" w:rsidRDefault="00FE0836" w:rsidP="00FE0836">
            <w:pPr>
              <w:tabs>
                <w:tab w:val="left" w:leader="dot" w:pos="467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w:t>
            </w:r>
            <w:r w:rsidRPr="00AE4E8D">
              <w:rPr>
                <w:rFonts w:ascii="Times New Roman" w:hAnsi="Times New Roman"/>
                <w:lang w:val="es-ES" w:eastAsia="es-AR"/>
              </w:rPr>
              <w:tab/>
            </w:r>
          </w:p>
        </w:tc>
        <w:tc>
          <w:tcPr>
            <w:tcW w:w="655" w:type="pct"/>
            <w:tcBorders>
              <w:top w:val="nil"/>
              <w:left w:val="nil"/>
              <w:bottom w:val="nil"/>
              <w:right w:val="nil"/>
            </w:tcBorders>
            <w:shd w:val="clear" w:color="000000" w:fill="FFFFFF"/>
            <w:noWrap/>
            <w:vAlign w:val="bottom"/>
          </w:tcPr>
          <w:p w14:paraId="4B266B1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97,8</w:t>
            </w:r>
          </w:p>
        </w:tc>
        <w:tc>
          <w:tcPr>
            <w:tcW w:w="655" w:type="pct"/>
            <w:tcBorders>
              <w:top w:val="nil"/>
              <w:left w:val="nil"/>
              <w:bottom w:val="nil"/>
              <w:right w:val="nil"/>
            </w:tcBorders>
            <w:shd w:val="clear" w:color="000000" w:fill="FFFFFF"/>
            <w:noWrap/>
            <w:vAlign w:val="bottom"/>
          </w:tcPr>
          <w:p w14:paraId="1BE66323"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69,4</w:t>
            </w:r>
          </w:p>
        </w:tc>
        <w:tc>
          <w:tcPr>
            <w:tcW w:w="886" w:type="pct"/>
            <w:tcBorders>
              <w:top w:val="nil"/>
              <w:left w:val="nil"/>
              <w:bottom w:val="nil"/>
              <w:right w:val="nil"/>
            </w:tcBorders>
            <w:noWrap/>
            <w:vAlign w:val="bottom"/>
          </w:tcPr>
          <w:p w14:paraId="7076082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40,9%</w:t>
            </w:r>
          </w:p>
        </w:tc>
      </w:tr>
      <w:tr w:rsidR="00FE0836" w:rsidRPr="00AE4E8D" w14:paraId="41B08523" w14:textId="77777777" w:rsidTr="000400C8">
        <w:trPr>
          <w:trHeight w:val="255"/>
          <w:jc w:val="center"/>
        </w:trPr>
        <w:tc>
          <w:tcPr>
            <w:tcW w:w="2803" w:type="pct"/>
            <w:tcBorders>
              <w:top w:val="nil"/>
              <w:left w:val="nil"/>
              <w:bottom w:val="nil"/>
              <w:right w:val="nil"/>
            </w:tcBorders>
            <w:noWrap/>
            <w:vAlign w:val="bottom"/>
          </w:tcPr>
          <w:p w14:paraId="07B9A645" w14:textId="77777777" w:rsidR="00FE0836" w:rsidRPr="00AE4E8D" w:rsidRDefault="00FE0836" w:rsidP="00FE0836">
            <w:pPr>
              <w:tabs>
                <w:tab w:val="left" w:leader="dot" w:pos="467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Subsidiarias </w:t>
            </w:r>
            <w:r w:rsidRPr="00AE4E8D">
              <w:rPr>
                <w:rFonts w:ascii="Times New Roman" w:hAnsi="Times New Roman"/>
                <w:lang w:val="es-ES" w:eastAsia="es-AR"/>
              </w:rPr>
              <w:tab/>
            </w:r>
          </w:p>
        </w:tc>
        <w:tc>
          <w:tcPr>
            <w:tcW w:w="655" w:type="pct"/>
            <w:tcBorders>
              <w:top w:val="nil"/>
              <w:left w:val="nil"/>
              <w:bottom w:val="nil"/>
              <w:right w:val="nil"/>
            </w:tcBorders>
            <w:shd w:val="clear" w:color="000000" w:fill="FFFFFF"/>
            <w:noWrap/>
            <w:vAlign w:val="bottom"/>
          </w:tcPr>
          <w:p w14:paraId="782C553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1.044,1</w:t>
            </w:r>
          </w:p>
        </w:tc>
        <w:tc>
          <w:tcPr>
            <w:tcW w:w="655" w:type="pct"/>
            <w:tcBorders>
              <w:top w:val="nil"/>
              <w:left w:val="nil"/>
              <w:bottom w:val="nil"/>
              <w:right w:val="nil"/>
            </w:tcBorders>
            <w:shd w:val="clear" w:color="000000" w:fill="FFFFFF"/>
            <w:noWrap/>
            <w:vAlign w:val="bottom"/>
          </w:tcPr>
          <w:p w14:paraId="57CF23D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958,9</w:t>
            </w:r>
          </w:p>
        </w:tc>
        <w:tc>
          <w:tcPr>
            <w:tcW w:w="886" w:type="pct"/>
            <w:tcBorders>
              <w:top w:val="nil"/>
              <w:left w:val="nil"/>
              <w:bottom w:val="nil"/>
              <w:right w:val="nil"/>
            </w:tcBorders>
            <w:noWrap/>
            <w:vAlign w:val="bottom"/>
          </w:tcPr>
          <w:p w14:paraId="409F7DF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8,9%</w:t>
            </w:r>
          </w:p>
        </w:tc>
      </w:tr>
      <w:tr w:rsidR="00FE0836" w:rsidRPr="00AE4E8D" w14:paraId="5028BD0C" w14:textId="77777777" w:rsidTr="000400C8">
        <w:trPr>
          <w:trHeight w:val="255"/>
          <w:jc w:val="center"/>
        </w:trPr>
        <w:tc>
          <w:tcPr>
            <w:tcW w:w="2803" w:type="pct"/>
            <w:tcBorders>
              <w:top w:val="nil"/>
              <w:left w:val="nil"/>
              <w:bottom w:val="nil"/>
              <w:right w:val="nil"/>
            </w:tcBorders>
            <w:noWrap/>
            <w:vAlign w:val="bottom"/>
          </w:tcPr>
          <w:p w14:paraId="2BF054BA" w14:textId="77777777" w:rsidR="00FE0836" w:rsidRPr="00AE4E8D" w:rsidRDefault="00FE0836" w:rsidP="00FE0836">
            <w:pPr>
              <w:tabs>
                <w:tab w:val="left" w:leader="dot" w:pos="4674"/>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Total primas de seguro percibidas</w:t>
            </w:r>
            <w:r w:rsidRPr="00AE4E8D">
              <w:rPr>
                <w:rFonts w:ascii="Times New Roman" w:hAnsi="Times New Roman"/>
                <w:color w:val="000000"/>
                <w:sz w:val="18"/>
                <w:szCs w:val="18"/>
                <w:lang w:val="es-ES"/>
              </w:rPr>
              <w:t xml:space="preserve"> </w:t>
            </w:r>
            <w:r w:rsidRPr="00AE4E8D">
              <w:rPr>
                <w:rFonts w:ascii="Times New Roman" w:hAnsi="Times New Roman"/>
                <w:lang w:val="es-ES" w:eastAsia="es-AR"/>
              </w:rPr>
              <w:tab/>
            </w:r>
          </w:p>
        </w:tc>
        <w:tc>
          <w:tcPr>
            <w:tcW w:w="655" w:type="pct"/>
            <w:tcBorders>
              <w:top w:val="single" w:sz="8" w:space="0" w:color="auto"/>
              <w:left w:val="nil"/>
              <w:bottom w:val="single" w:sz="8" w:space="0" w:color="auto"/>
              <w:right w:val="nil"/>
            </w:tcBorders>
            <w:shd w:val="clear" w:color="000000" w:fill="FFFFFF"/>
            <w:noWrap/>
            <w:vAlign w:val="bottom"/>
          </w:tcPr>
          <w:p w14:paraId="3DEF223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1.141,9</w:t>
            </w:r>
          </w:p>
        </w:tc>
        <w:tc>
          <w:tcPr>
            <w:tcW w:w="655" w:type="pct"/>
            <w:tcBorders>
              <w:top w:val="single" w:sz="8" w:space="0" w:color="auto"/>
              <w:left w:val="nil"/>
              <w:bottom w:val="single" w:sz="8" w:space="0" w:color="auto"/>
              <w:right w:val="nil"/>
            </w:tcBorders>
            <w:shd w:val="clear" w:color="000000" w:fill="FFFFFF"/>
            <w:noWrap/>
            <w:vAlign w:val="bottom"/>
          </w:tcPr>
          <w:p w14:paraId="1A0045C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1.036,6</w:t>
            </w:r>
          </w:p>
        </w:tc>
        <w:tc>
          <w:tcPr>
            <w:tcW w:w="886" w:type="pct"/>
            <w:tcBorders>
              <w:top w:val="single" w:sz="8" w:space="0" w:color="auto"/>
              <w:left w:val="nil"/>
              <w:bottom w:val="single" w:sz="8" w:space="0" w:color="auto"/>
              <w:right w:val="nil"/>
            </w:tcBorders>
            <w:noWrap/>
            <w:vAlign w:val="bottom"/>
          </w:tcPr>
          <w:p w14:paraId="1781230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10,2%</w:t>
            </w:r>
          </w:p>
        </w:tc>
      </w:tr>
      <w:tr w:rsidR="00FE0836" w:rsidRPr="00AE4E8D" w14:paraId="421822D9" w14:textId="77777777" w:rsidTr="000400C8">
        <w:trPr>
          <w:trHeight w:val="240"/>
          <w:jc w:val="center"/>
        </w:trPr>
        <w:tc>
          <w:tcPr>
            <w:tcW w:w="2803" w:type="pct"/>
            <w:tcBorders>
              <w:top w:val="nil"/>
              <w:left w:val="nil"/>
              <w:bottom w:val="nil"/>
              <w:right w:val="nil"/>
            </w:tcBorders>
            <w:noWrap/>
            <w:vAlign w:val="bottom"/>
          </w:tcPr>
          <w:p w14:paraId="45E94D7A" w14:textId="77777777" w:rsidR="00FE0836" w:rsidRPr="00AE4E8D" w:rsidRDefault="00FE0836" w:rsidP="00FE0836">
            <w:pPr>
              <w:rPr>
                <w:rFonts w:ascii="Times New Roman" w:hAnsi="Times New Roman"/>
                <w:color w:val="000000"/>
                <w:sz w:val="18"/>
                <w:szCs w:val="18"/>
                <w:lang w:val="es-ES"/>
              </w:rPr>
            </w:pPr>
          </w:p>
        </w:tc>
        <w:tc>
          <w:tcPr>
            <w:tcW w:w="655" w:type="pct"/>
            <w:tcBorders>
              <w:top w:val="nil"/>
              <w:left w:val="nil"/>
              <w:bottom w:val="nil"/>
              <w:right w:val="nil"/>
            </w:tcBorders>
            <w:noWrap/>
            <w:vAlign w:val="bottom"/>
          </w:tcPr>
          <w:p w14:paraId="224E0C2D" w14:textId="77777777" w:rsidR="00FE0836" w:rsidRPr="00AE4E8D" w:rsidRDefault="00FE0836" w:rsidP="00FE0836">
            <w:pPr>
              <w:rPr>
                <w:rFonts w:ascii="Times New Roman" w:hAnsi="Times New Roman"/>
                <w:color w:val="000000"/>
                <w:sz w:val="18"/>
                <w:szCs w:val="18"/>
                <w:lang w:val="es-ES"/>
              </w:rPr>
            </w:pPr>
          </w:p>
        </w:tc>
        <w:tc>
          <w:tcPr>
            <w:tcW w:w="655" w:type="pct"/>
            <w:tcBorders>
              <w:top w:val="nil"/>
              <w:left w:val="nil"/>
              <w:bottom w:val="nil"/>
              <w:right w:val="nil"/>
            </w:tcBorders>
            <w:noWrap/>
            <w:vAlign w:val="bottom"/>
          </w:tcPr>
          <w:p w14:paraId="2735DF6F" w14:textId="77777777" w:rsidR="00FE0836" w:rsidRPr="00AE4E8D" w:rsidRDefault="00FE0836" w:rsidP="00FE0836">
            <w:pPr>
              <w:rPr>
                <w:rFonts w:ascii="Times New Roman" w:hAnsi="Times New Roman"/>
                <w:color w:val="000000"/>
                <w:sz w:val="18"/>
                <w:szCs w:val="18"/>
                <w:lang w:val="es-ES"/>
              </w:rPr>
            </w:pPr>
          </w:p>
        </w:tc>
        <w:tc>
          <w:tcPr>
            <w:tcW w:w="886" w:type="pct"/>
            <w:tcBorders>
              <w:top w:val="nil"/>
              <w:left w:val="nil"/>
              <w:bottom w:val="nil"/>
              <w:right w:val="nil"/>
            </w:tcBorders>
            <w:noWrap/>
            <w:vAlign w:val="bottom"/>
          </w:tcPr>
          <w:p w14:paraId="58C96AEE" w14:textId="77777777" w:rsidR="00FE0836" w:rsidRPr="00AE4E8D" w:rsidRDefault="00FE0836" w:rsidP="00FE0836">
            <w:pPr>
              <w:rPr>
                <w:rFonts w:ascii="Times New Roman" w:hAnsi="Times New Roman"/>
                <w:color w:val="000000"/>
                <w:sz w:val="18"/>
                <w:szCs w:val="18"/>
                <w:lang w:val="es-ES"/>
              </w:rPr>
            </w:pPr>
          </w:p>
        </w:tc>
      </w:tr>
      <w:tr w:rsidR="00FE0836" w:rsidRPr="00AE4E8D" w14:paraId="47C1E9A5" w14:textId="77777777" w:rsidTr="000400C8">
        <w:trPr>
          <w:trHeight w:val="240"/>
          <w:jc w:val="center"/>
        </w:trPr>
        <w:tc>
          <w:tcPr>
            <w:tcW w:w="2803" w:type="pct"/>
            <w:tcBorders>
              <w:top w:val="nil"/>
              <w:left w:val="nil"/>
              <w:bottom w:val="nil"/>
              <w:right w:val="nil"/>
            </w:tcBorders>
            <w:noWrap/>
            <w:vAlign w:val="bottom"/>
          </w:tcPr>
          <w:p w14:paraId="32FDB85F" w14:textId="77777777" w:rsidR="00FE0836" w:rsidRPr="00AE4E8D" w:rsidRDefault="00FE0836" w:rsidP="00FE0836">
            <w:pPr>
              <w:rPr>
                <w:rFonts w:ascii="Times New Roman" w:hAnsi="Times New Roman"/>
                <w:b/>
                <w:bCs/>
                <w:i/>
                <w:iCs/>
                <w:color w:val="000000"/>
                <w:sz w:val="18"/>
                <w:szCs w:val="18"/>
                <w:lang w:val="es-ES"/>
              </w:rPr>
            </w:pPr>
            <w:r w:rsidRPr="00AE4E8D">
              <w:rPr>
                <w:rFonts w:ascii="Times New Roman" w:hAnsi="Times New Roman"/>
                <w:b/>
                <w:bCs/>
                <w:i/>
                <w:iCs/>
                <w:color w:val="000000"/>
                <w:sz w:val="18"/>
                <w:szCs w:val="18"/>
                <w:lang w:val="es-ES"/>
              </w:rPr>
              <w:t>Siniestros</w:t>
            </w:r>
          </w:p>
        </w:tc>
        <w:tc>
          <w:tcPr>
            <w:tcW w:w="655" w:type="pct"/>
            <w:tcBorders>
              <w:top w:val="nil"/>
              <w:left w:val="nil"/>
              <w:bottom w:val="nil"/>
              <w:right w:val="nil"/>
            </w:tcBorders>
            <w:noWrap/>
            <w:vAlign w:val="bottom"/>
          </w:tcPr>
          <w:p w14:paraId="4A96F0AC" w14:textId="77777777" w:rsidR="00FE0836" w:rsidRPr="00AE4E8D" w:rsidRDefault="00FE0836" w:rsidP="00FE0836">
            <w:pPr>
              <w:rPr>
                <w:rFonts w:ascii="Times New Roman" w:hAnsi="Times New Roman"/>
                <w:color w:val="000000"/>
                <w:sz w:val="18"/>
                <w:szCs w:val="18"/>
                <w:lang w:val="es-ES"/>
              </w:rPr>
            </w:pPr>
          </w:p>
        </w:tc>
        <w:tc>
          <w:tcPr>
            <w:tcW w:w="655" w:type="pct"/>
            <w:tcBorders>
              <w:top w:val="nil"/>
              <w:left w:val="nil"/>
              <w:bottom w:val="nil"/>
              <w:right w:val="nil"/>
            </w:tcBorders>
            <w:noWrap/>
            <w:vAlign w:val="bottom"/>
          </w:tcPr>
          <w:p w14:paraId="1B9BE05C" w14:textId="77777777" w:rsidR="00FE0836" w:rsidRPr="00AE4E8D" w:rsidRDefault="00FE0836" w:rsidP="00FE0836">
            <w:pPr>
              <w:rPr>
                <w:rFonts w:ascii="Times New Roman" w:hAnsi="Times New Roman"/>
                <w:color w:val="000000"/>
                <w:sz w:val="18"/>
                <w:szCs w:val="18"/>
                <w:lang w:val="es-ES"/>
              </w:rPr>
            </w:pPr>
          </w:p>
        </w:tc>
        <w:tc>
          <w:tcPr>
            <w:tcW w:w="886" w:type="pct"/>
            <w:tcBorders>
              <w:top w:val="nil"/>
              <w:left w:val="nil"/>
              <w:bottom w:val="nil"/>
              <w:right w:val="nil"/>
            </w:tcBorders>
            <w:noWrap/>
            <w:vAlign w:val="bottom"/>
          </w:tcPr>
          <w:p w14:paraId="45FAF626" w14:textId="77777777" w:rsidR="00FE0836" w:rsidRPr="00AE4E8D" w:rsidRDefault="00FE0836" w:rsidP="00FE0836">
            <w:pPr>
              <w:rPr>
                <w:rFonts w:ascii="Times New Roman" w:hAnsi="Times New Roman"/>
                <w:color w:val="000000"/>
                <w:sz w:val="18"/>
                <w:szCs w:val="18"/>
                <w:lang w:val="es-ES"/>
              </w:rPr>
            </w:pPr>
          </w:p>
        </w:tc>
      </w:tr>
      <w:tr w:rsidR="00FE0836" w:rsidRPr="00AE4E8D" w14:paraId="54E2D8A6" w14:textId="77777777" w:rsidTr="000400C8">
        <w:trPr>
          <w:trHeight w:val="240"/>
          <w:jc w:val="center"/>
        </w:trPr>
        <w:tc>
          <w:tcPr>
            <w:tcW w:w="2803" w:type="pct"/>
            <w:tcBorders>
              <w:top w:val="nil"/>
              <w:left w:val="nil"/>
              <w:bottom w:val="nil"/>
              <w:right w:val="nil"/>
            </w:tcBorders>
            <w:noWrap/>
            <w:vAlign w:val="bottom"/>
          </w:tcPr>
          <w:p w14:paraId="752D309C" w14:textId="77777777" w:rsidR="00FE0836" w:rsidRPr="00AE4E8D" w:rsidRDefault="00FE0836" w:rsidP="00FE0836">
            <w:pPr>
              <w:tabs>
                <w:tab w:val="left" w:leader="dot" w:pos="467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Vida </w:t>
            </w:r>
            <w:r w:rsidRPr="00AE4E8D">
              <w:rPr>
                <w:rFonts w:ascii="Times New Roman" w:hAnsi="Times New Roman"/>
                <w:lang w:val="es-ES" w:eastAsia="es-AR"/>
              </w:rPr>
              <w:tab/>
            </w:r>
          </w:p>
        </w:tc>
        <w:tc>
          <w:tcPr>
            <w:tcW w:w="655" w:type="pct"/>
            <w:tcBorders>
              <w:top w:val="nil"/>
              <w:left w:val="nil"/>
              <w:bottom w:val="nil"/>
              <w:right w:val="nil"/>
            </w:tcBorders>
            <w:shd w:val="clear" w:color="000000" w:fill="FFFFFF"/>
            <w:noWrap/>
            <w:vAlign w:val="bottom"/>
          </w:tcPr>
          <w:p w14:paraId="61AED06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6,7</w:t>
            </w:r>
          </w:p>
        </w:tc>
        <w:tc>
          <w:tcPr>
            <w:tcW w:w="655" w:type="pct"/>
            <w:tcBorders>
              <w:top w:val="nil"/>
              <w:left w:val="nil"/>
              <w:bottom w:val="nil"/>
              <w:right w:val="nil"/>
            </w:tcBorders>
            <w:shd w:val="clear" w:color="000000" w:fill="FFFFFF"/>
            <w:noWrap/>
            <w:vAlign w:val="bottom"/>
          </w:tcPr>
          <w:p w14:paraId="0A7EB3E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w:t>
            </w:r>
          </w:p>
        </w:tc>
        <w:tc>
          <w:tcPr>
            <w:tcW w:w="886" w:type="pct"/>
            <w:tcBorders>
              <w:top w:val="nil"/>
              <w:left w:val="nil"/>
              <w:bottom w:val="nil"/>
              <w:right w:val="nil"/>
            </w:tcBorders>
            <w:noWrap/>
            <w:vAlign w:val="bottom"/>
          </w:tcPr>
          <w:p w14:paraId="39C8514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NM</w:t>
            </w:r>
          </w:p>
        </w:tc>
      </w:tr>
      <w:tr w:rsidR="00FE0836" w:rsidRPr="00AE4E8D" w14:paraId="53FB6B6F" w14:textId="77777777" w:rsidTr="000400C8">
        <w:trPr>
          <w:trHeight w:val="240"/>
          <w:jc w:val="center"/>
        </w:trPr>
        <w:tc>
          <w:tcPr>
            <w:tcW w:w="2803" w:type="pct"/>
            <w:tcBorders>
              <w:top w:val="nil"/>
              <w:left w:val="nil"/>
              <w:bottom w:val="nil"/>
              <w:right w:val="nil"/>
            </w:tcBorders>
            <w:noWrap/>
            <w:vAlign w:val="bottom"/>
          </w:tcPr>
          <w:p w14:paraId="1D9E3990" w14:textId="77777777" w:rsidR="00FE0836" w:rsidRPr="00AE4E8D" w:rsidRDefault="00FE0836" w:rsidP="00FE0836">
            <w:pPr>
              <w:tabs>
                <w:tab w:val="left" w:leader="dot" w:pos="467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Daños patrimoniales </w:t>
            </w:r>
            <w:r w:rsidRPr="00AE4E8D">
              <w:rPr>
                <w:rFonts w:ascii="Times New Roman" w:hAnsi="Times New Roman"/>
                <w:lang w:val="es-ES" w:eastAsia="es-AR"/>
              </w:rPr>
              <w:tab/>
            </w:r>
          </w:p>
        </w:tc>
        <w:tc>
          <w:tcPr>
            <w:tcW w:w="655" w:type="pct"/>
            <w:tcBorders>
              <w:top w:val="nil"/>
              <w:left w:val="nil"/>
              <w:bottom w:val="nil"/>
              <w:right w:val="nil"/>
            </w:tcBorders>
            <w:shd w:val="clear" w:color="000000" w:fill="FFFFFF"/>
            <w:noWrap/>
            <w:vAlign w:val="bottom"/>
          </w:tcPr>
          <w:p w14:paraId="5A131A4F"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w:t>
            </w:r>
          </w:p>
        </w:tc>
        <w:tc>
          <w:tcPr>
            <w:tcW w:w="655" w:type="pct"/>
            <w:tcBorders>
              <w:top w:val="nil"/>
              <w:left w:val="nil"/>
              <w:bottom w:val="nil"/>
              <w:right w:val="nil"/>
            </w:tcBorders>
            <w:shd w:val="clear" w:color="000000" w:fill="FFFFFF"/>
            <w:noWrap/>
            <w:vAlign w:val="bottom"/>
          </w:tcPr>
          <w:p w14:paraId="29E5301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0,2</w:t>
            </w:r>
          </w:p>
        </w:tc>
        <w:tc>
          <w:tcPr>
            <w:tcW w:w="886" w:type="pct"/>
            <w:tcBorders>
              <w:top w:val="nil"/>
              <w:left w:val="nil"/>
              <w:bottom w:val="nil"/>
              <w:right w:val="nil"/>
            </w:tcBorders>
            <w:noWrap/>
            <w:vAlign w:val="bottom"/>
          </w:tcPr>
          <w:p w14:paraId="58732265"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NM</w:t>
            </w:r>
          </w:p>
        </w:tc>
      </w:tr>
      <w:tr w:rsidR="00FE0836" w:rsidRPr="00AE4E8D" w14:paraId="7079DBCE" w14:textId="77777777" w:rsidTr="000400C8">
        <w:trPr>
          <w:trHeight w:val="240"/>
          <w:jc w:val="center"/>
        </w:trPr>
        <w:tc>
          <w:tcPr>
            <w:tcW w:w="2803" w:type="pct"/>
            <w:tcBorders>
              <w:top w:val="nil"/>
              <w:left w:val="nil"/>
              <w:bottom w:val="nil"/>
              <w:right w:val="nil"/>
            </w:tcBorders>
            <w:noWrap/>
            <w:vAlign w:val="bottom"/>
          </w:tcPr>
          <w:p w14:paraId="6F556CFE" w14:textId="77777777" w:rsidR="00FE0836" w:rsidRPr="00AE4E8D" w:rsidRDefault="00FE0836" w:rsidP="00FE0836">
            <w:pPr>
              <w:tabs>
                <w:tab w:val="left" w:leader="dot" w:pos="467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w:t>
            </w:r>
            <w:r w:rsidRPr="00AE4E8D">
              <w:rPr>
                <w:rFonts w:ascii="Times New Roman" w:hAnsi="Times New Roman"/>
                <w:lang w:val="es-ES" w:eastAsia="es-AR"/>
              </w:rPr>
              <w:tab/>
            </w:r>
          </w:p>
        </w:tc>
        <w:tc>
          <w:tcPr>
            <w:tcW w:w="655" w:type="pct"/>
            <w:tcBorders>
              <w:top w:val="nil"/>
              <w:left w:val="nil"/>
              <w:bottom w:val="nil"/>
              <w:right w:val="nil"/>
            </w:tcBorders>
            <w:shd w:val="clear" w:color="000000" w:fill="FFFFFF"/>
            <w:noWrap/>
            <w:vAlign w:val="bottom"/>
          </w:tcPr>
          <w:p w14:paraId="3B434D2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14,4</w:t>
            </w:r>
          </w:p>
        </w:tc>
        <w:tc>
          <w:tcPr>
            <w:tcW w:w="655" w:type="pct"/>
            <w:tcBorders>
              <w:top w:val="nil"/>
              <w:left w:val="nil"/>
              <w:bottom w:val="nil"/>
              <w:right w:val="nil"/>
            </w:tcBorders>
            <w:shd w:val="clear" w:color="000000" w:fill="FFFFFF"/>
            <w:noWrap/>
            <w:vAlign w:val="bottom"/>
          </w:tcPr>
          <w:p w14:paraId="1FF394D5"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0,5</w:t>
            </w:r>
          </w:p>
        </w:tc>
        <w:tc>
          <w:tcPr>
            <w:tcW w:w="886" w:type="pct"/>
            <w:tcBorders>
              <w:top w:val="nil"/>
              <w:left w:val="nil"/>
              <w:bottom w:val="nil"/>
              <w:right w:val="nil"/>
            </w:tcBorders>
            <w:noWrap/>
            <w:vAlign w:val="bottom"/>
          </w:tcPr>
          <w:p w14:paraId="5EA163A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NM</w:t>
            </w:r>
          </w:p>
        </w:tc>
      </w:tr>
      <w:tr w:rsidR="00FE0836" w:rsidRPr="00AE4E8D" w14:paraId="3392E155" w14:textId="77777777" w:rsidTr="000400C8">
        <w:trPr>
          <w:trHeight w:val="255"/>
          <w:jc w:val="center"/>
        </w:trPr>
        <w:tc>
          <w:tcPr>
            <w:tcW w:w="2803" w:type="pct"/>
            <w:tcBorders>
              <w:top w:val="nil"/>
              <w:left w:val="nil"/>
              <w:bottom w:val="nil"/>
              <w:right w:val="nil"/>
            </w:tcBorders>
            <w:noWrap/>
            <w:vAlign w:val="bottom"/>
          </w:tcPr>
          <w:p w14:paraId="0DF266A0" w14:textId="77777777" w:rsidR="00FE0836" w:rsidRPr="00AE4E8D" w:rsidRDefault="00FE0836" w:rsidP="00FE0836">
            <w:pPr>
              <w:tabs>
                <w:tab w:val="left" w:leader="dot" w:pos="467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Subsidiarias </w:t>
            </w:r>
            <w:r w:rsidRPr="00AE4E8D">
              <w:rPr>
                <w:rFonts w:ascii="Times New Roman" w:hAnsi="Times New Roman"/>
                <w:lang w:val="es-ES" w:eastAsia="es-AR"/>
              </w:rPr>
              <w:tab/>
            </w:r>
          </w:p>
        </w:tc>
        <w:tc>
          <w:tcPr>
            <w:tcW w:w="655" w:type="pct"/>
            <w:tcBorders>
              <w:top w:val="nil"/>
              <w:left w:val="nil"/>
              <w:bottom w:val="nil"/>
              <w:right w:val="nil"/>
            </w:tcBorders>
            <w:shd w:val="clear" w:color="000000" w:fill="FFFFFF"/>
            <w:noWrap/>
            <w:vAlign w:val="bottom"/>
          </w:tcPr>
          <w:p w14:paraId="2757B41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278,1</w:t>
            </w:r>
          </w:p>
        </w:tc>
        <w:tc>
          <w:tcPr>
            <w:tcW w:w="655" w:type="pct"/>
            <w:tcBorders>
              <w:top w:val="nil"/>
              <w:left w:val="nil"/>
              <w:bottom w:val="nil"/>
              <w:right w:val="nil"/>
            </w:tcBorders>
            <w:shd w:val="clear" w:color="000000" w:fill="FFFFFF"/>
            <w:noWrap/>
            <w:vAlign w:val="bottom"/>
          </w:tcPr>
          <w:p w14:paraId="6AA5618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164,6</w:t>
            </w:r>
          </w:p>
        </w:tc>
        <w:tc>
          <w:tcPr>
            <w:tcW w:w="886" w:type="pct"/>
            <w:tcBorders>
              <w:top w:val="nil"/>
              <w:left w:val="nil"/>
              <w:bottom w:val="nil"/>
              <w:right w:val="nil"/>
            </w:tcBorders>
            <w:noWrap/>
            <w:vAlign w:val="bottom"/>
          </w:tcPr>
          <w:p w14:paraId="659C2DB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69,0%</w:t>
            </w:r>
          </w:p>
        </w:tc>
      </w:tr>
      <w:tr w:rsidR="00FE0836" w:rsidRPr="00AE4E8D" w14:paraId="0CC1EC7F" w14:textId="77777777" w:rsidTr="000400C8">
        <w:trPr>
          <w:trHeight w:val="255"/>
          <w:jc w:val="center"/>
        </w:trPr>
        <w:tc>
          <w:tcPr>
            <w:tcW w:w="2803" w:type="pct"/>
            <w:tcBorders>
              <w:top w:val="nil"/>
              <w:left w:val="nil"/>
              <w:bottom w:val="nil"/>
              <w:right w:val="nil"/>
            </w:tcBorders>
            <w:noWrap/>
            <w:vAlign w:val="bottom"/>
          </w:tcPr>
          <w:p w14:paraId="24DB4C87" w14:textId="77777777" w:rsidR="00FE0836" w:rsidRPr="00AE4E8D" w:rsidRDefault="00FE0836" w:rsidP="00FE0836">
            <w:pPr>
              <w:tabs>
                <w:tab w:val="left" w:leader="dot" w:pos="4674"/>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Total siniestros </w:t>
            </w:r>
            <w:r w:rsidRPr="00AE4E8D">
              <w:rPr>
                <w:rFonts w:ascii="Times New Roman" w:hAnsi="Times New Roman"/>
                <w:lang w:val="es-ES" w:eastAsia="es-AR"/>
              </w:rPr>
              <w:tab/>
            </w:r>
          </w:p>
        </w:tc>
        <w:tc>
          <w:tcPr>
            <w:tcW w:w="655" w:type="pct"/>
            <w:tcBorders>
              <w:top w:val="single" w:sz="8" w:space="0" w:color="auto"/>
              <w:left w:val="nil"/>
              <w:bottom w:val="single" w:sz="8" w:space="0" w:color="auto"/>
              <w:right w:val="nil"/>
            </w:tcBorders>
            <w:shd w:val="clear" w:color="000000" w:fill="FFFFFF"/>
            <w:noWrap/>
            <w:vAlign w:val="bottom"/>
          </w:tcPr>
          <w:p w14:paraId="0C1397EF"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299,2</w:t>
            </w:r>
          </w:p>
        </w:tc>
        <w:tc>
          <w:tcPr>
            <w:tcW w:w="655" w:type="pct"/>
            <w:tcBorders>
              <w:top w:val="single" w:sz="8" w:space="0" w:color="auto"/>
              <w:left w:val="nil"/>
              <w:bottom w:val="single" w:sz="8" w:space="0" w:color="auto"/>
              <w:right w:val="nil"/>
            </w:tcBorders>
            <w:shd w:val="clear" w:color="000000" w:fill="FFFFFF"/>
            <w:noWrap/>
            <w:vAlign w:val="bottom"/>
          </w:tcPr>
          <w:p w14:paraId="66B86AD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166,4</w:t>
            </w:r>
          </w:p>
        </w:tc>
        <w:tc>
          <w:tcPr>
            <w:tcW w:w="886" w:type="pct"/>
            <w:tcBorders>
              <w:top w:val="single" w:sz="8" w:space="0" w:color="auto"/>
              <w:left w:val="nil"/>
              <w:bottom w:val="single" w:sz="8" w:space="0" w:color="auto"/>
              <w:right w:val="nil"/>
            </w:tcBorders>
            <w:noWrap/>
            <w:vAlign w:val="bottom"/>
          </w:tcPr>
          <w:p w14:paraId="4BE78AB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79,8%</w:t>
            </w:r>
          </w:p>
        </w:tc>
      </w:tr>
      <w:tr w:rsidR="00FE0836" w:rsidRPr="00AE4E8D" w14:paraId="4F66C7E1" w14:textId="77777777" w:rsidTr="000400C8">
        <w:trPr>
          <w:trHeight w:val="255"/>
          <w:jc w:val="center"/>
        </w:trPr>
        <w:tc>
          <w:tcPr>
            <w:tcW w:w="2803" w:type="pct"/>
            <w:tcBorders>
              <w:top w:val="nil"/>
              <w:left w:val="nil"/>
              <w:bottom w:val="nil"/>
              <w:right w:val="nil"/>
            </w:tcBorders>
            <w:noWrap/>
            <w:vAlign w:val="bottom"/>
          </w:tcPr>
          <w:p w14:paraId="069A7F55" w14:textId="77777777" w:rsidR="00FE0836" w:rsidRPr="00AE4E8D" w:rsidRDefault="00FE0836" w:rsidP="00FE0836">
            <w:pPr>
              <w:tabs>
                <w:tab w:val="left" w:leader="dot" w:pos="4674"/>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Total ingresos netos por seguros </w:t>
            </w:r>
            <w:r w:rsidRPr="00AE4E8D">
              <w:rPr>
                <w:rFonts w:ascii="Times New Roman" w:hAnsi="Times New Roman"/>
                <w:lang w:val="es-ES" w:eastAsia="es-AR"/>
              </w:rPr>
              <w:tab/>
            </w:r>
          </w:p>
        </w:tc>
        <w:tc>
          <w:tcPr>
            <w:tcW w:w="655" w:type="pct"/>
            <w:tcBorders>
              <w:top w:val="nil"/>
              <w:left w:val="nil"/>
              <w:bottom w:val="single" w:sz="8" w:space="0" w:color="auto"/>
              <w:right w:val="nil"/>
            </w:tcBorders>
            <w:shd w:val="clear" w:color="000000" w:fill="FFFFFF"/>
            <w:noWrap/>
            <w:vAlign w:val="bottom"/>
          </w:tcPr>
          <w:p w14:paraId="7013A66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842,7</w:t>
            </w:r>
          </w:p>
        </w:tc>
        <w:tc>
          <w:tcPr>
            <w:tcW w:w="655" w:type="pct"/>
            <w:tcBorders>
              <w:top w:val="nil"/>
              <w:left w:val="nil"/>
              <w:bottom w:val="single" w:sz="8" w:space="0" w:color="auto"/>
              <w:right w:val="nil"/>
            </w:tcBorders>
            <w:shd w:val="clear" w:color="000000" w:fill="FFFFFF"/>
            <w:noWrap/>
            <w:vAlign w:val="bottom"/>
          </w:tcPr>
          <w:p w14:paraId="3CE2FAE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870,2</w:t>
            </w:r>
          </w:p>
        </w:tc>
        <w:tc>
          <w:tcPr>
            <w:tcW w:w="886" w:type="pct"/>
            <w:tcBorders>
              <w:top w:val="nil"/>
              <w:left w:val="nil"/>
              <w:bottom w:val="single" w:sz="8" w:space="0" w:color="auto"/>
              <w:right w:val="nil"/>
            </w:tcBorders>
            <w:noWrap/>
            <w:vAlign w:val="bottom"/>
          </w:tcPr>
          <w:p w14:paraId="6ABF7E8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(3,2)%</w:t>
            </w:r>
          </w:p>
        </w:tc>
      </w:tr>
    </w:tbl>
    <w:p w14:paraId="350EE8B7"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rPr>
        <w:t>Los ingresos netos por seguros disminuyeron un 3,2% de Ps.870</w:t>
      </w:r>
      <w:proofErr w:type="gramStart"/>
      <w:r w:rsidRPr="00AE4E8D">
        <w:rPr>
          <w:rFonts w:ascii="Times New Roman" w:hAnsi="Times New Roman"/>
          <w:lang w:val="es-ES"/>
        </w:rPr>
        <w:t>,2</w:t>
      </w:r>
      <w:proofErr w:type="gramEnd"/>
      <w:r w:rsidRPr="00AE4E8D">
        <w:rPr>
          <w:rFonts w:ascii="Times New Roman" w:hAnsi="Times New Roman"/>
          <w:lang w:val="es-ES"/>
        </w:rPr>
        <w:t xml:space="preserve"> millones por los seis meses finalizados el 30 de junio de 2016 a Ps.842,7 millones por los seis meses finalizados el 30 de junio de 2017, principalmente como consecuencia del aumento de Ps.105,3 millones en las primas de seguro percibidas, siendo que los siniestros totales aumentaron Ps.132,8 millones en el mismo período. El crecimiento de las </w:t>
      </w:r>
      <w:r w:rsidRPr="00AE4E8D">
        <w:rPr>
          <w:rFonts w:ascii="Times New Roman" w:hAnsi="Times New Roman"/>
          <w:lang w:val="es-ES"/>
        </w:rPr>
        <w:lastRenderedPageBreak/>
        <w:t>primas de seguro percibidas durante el primer semestre del 2017 se debió principalmente a una mayor actividad de venta por la subsidiaria BHN Sociedad de Inversión (registrada en “Subsidiarias”), explicada por mayores productos de seguro de vida y daños patrimoniales ofrecidos a los clientes del Fideicomiso PROCREAR. El crecimiento en el Fideicomiso PROCREAR se debió a un aumento de los préstamos hipotecarios otorgados (los cuales requieren seguro de vida). Para mayor información véase “Descripción de nuestros negocios— Líneas de Negocios—Actividad Fiduciaria: Programa PROCREAR”.</w:t>
      </w:r>
    </w:p>
    <w:p w14:paraId="1802967D"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Otros Ingresos por Servicios Netos</w:t>
      </w:r>
    </w:p>
    <w:p w14:paraId="3654035E"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detalla las principales líneas de otros ingresos por servicios netos para los seis meses finalizados el 30 de junio de 2017 y 2016:</w:t>
      </w:r>
    </w:p>
    <w:tbl>
      <w:tblPr>
        <w:tblW w:w="5000" w:type="pct"/>
        <w:jc w:val="center"/>
        <w:tblLook w:val="00A0" w:firstRow="1" w:lastRow="0" w:firstColumn="1" w:lastColumn="0" w:noHBand="0" w:noVBand="0"/>
      </w:tblPr>
      <w:tblGrid>
        <w:gridCol w:w="4660"/>
        <w:gridCol w:w="1282"/>
        <w:gridCol w:w="1284"/>
        <w:gridCol w:w="1495"/>
      </w:tblGrid>
      <w:tr w:rsidR="00FE0836" w:rsidRPr="00AE4E8D" w14:paraId="48255F17" w14:textId="77777777" w:rsidTr="000400C8">
        <w:trPr>
          <w:trHeight w:val="255"/>
          <w:tblHeader/>
          <w:jc w:val="center"/>
        </w:trPr>
        <w:tc>
          <w:tcPr>
            <w:tcW w:w="2672" w:type="pct"/>
            <w:tcBorders>
              <w:top w:val="nil"/>
              <w:left w:val="nil"/>
              <w:bottom w:val="nil"/>
              <w:right w:val="nil"/>
            </w:tcBorders>
            <w:noWrap/>
            <w:vAlign w:val="bottom"/>
          </w:tcPr>
          <w:p w14:paraId="5011EB57" w14:textId="77777777" w:rsidR="00FE0836" w:rsidRPr="00AE4E8D" w:rsidRDefault="00FE0836" w:rsidP="00FE0836">
            <w:pPr>
              <w:rPr>
                <w:rFonts w:ascii="Times New Roman" w:hAnsi="Times New Roman"/>
                <w:color w:val="000000"/>
                <w:sz w:val="18"/>
                <w:szCs w:val="18"/>
                <w:lang w:val="es-ES"/>
              </w:rPr>
            </w:pPr>
          </w:p>
        </w:tc>
        <w:tc>
          <w:tcPr>
            <w:tcW w:w="1471" w:type="pct"/>
            <w:gridSpan w:val="2"/>
            <w:tcBorders>
              <w:top w:val="single" w:sz="8" w:space="0" w:color="auto"/>
              <w:left w:val="nil"/>
              <w:bottom w:val="single" w:sz="8" w:space="0" w:color="auto"/>
              <w:right w:val="nil"/>
            </w:tcBorders>
            <w:noWrap/>
            <w:vAlign w:val="bottom"/>
          </w:tcPr>
          <w:p w14:paraId="5A7E394D"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Seis meses finalizados el </w:t>
            </w:r>
          </w:p>
          <w:p w14:paraId="376930DD"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30 de junio de </w:t>
            </w:r>
          </w:p>
        </w:tc>
        <w:tc>
          <w:tcPr>
            <w:tcW w:w="857" w:type="pct"/>
            <w:tcBorders>
              <w:top w:val="single" w:sz="8" w:space="0" w:color="auto"/>
              <w:left w:val="nil"/>
              <w:bottom w:val="single" w:sz="8" w:space="0" w:color="auto"/>
              <w:right w:val="nil"/>
            </w:tcBorders>
            <w:noWrap/>
            <w:vAlign w:val="bottom"/>
          </w:tcPr>
          <w:p w14:paraId="59846BB8"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Variación</w:t>
            </w:r>
          </w:p>
        </w:tc>
      </w:tr>
      <w:tr w:rsidR="00FE0836" w:rsidRPr="00AE4E8D" w14:paraId="2AE21AA8" w14:textId="77777777" w:rsidTr="000400C8">
        <w:trPr>
          <w:trHeight w:val="255"/>
          <w:tblHeader/>
          <w:jc w:val="center"/>
        </w:trPr>
        <w:tc>
          <w:tcPr>
            <w:tcW w:w="2672" w:type="pct"/>
            <w:tcBorders>
              <w:top w:val="nil"/>
              <w:left w:val="nil"/>
              <w:bottom w:val="nil"/>
              <w:right w:val="nil"/>
            </w:tcBorders>
            <w:noWrap/>
            <w:vAlign w:val="bottom"/>
          </w:tcPr>
          <w:p w14:paraId="5CBDC8C0" w14:textId="77777777" w:rsidR="00FE0836" w:rsidRPr="00AE4E8D" w:rsidRDefault="00FE0836" w:rsidP="00FE0836">
            <w:pPr>
              <w:rPr>
                <w:rFonts w:ascii="Times New Roman" w:hAnsi="Times New Roman"/>
                <w:color w:val="000000"/>
                <w:sz w:val="18"/>
                <w:szCs w:val="18"/>
                <w:lang w:val="es-ES"/>
              </w:rPr>
            </w:pPr>
          </w:p>
        </w:tc>
        <w:tc>
          <w:tcPr>
            <w:tcW w:w="735" w:type="pct"/>
            <w:tcBorders>
              <w:top w:val="nil"/>
              <w:left w:val="nil"/>
              <w:bottom w:val="single" w:sz="8" w:space="0" w:color="auto"/>
              <w:right w:val="nil"/>
            </w:tcBorders>
            <w:noWrap/>
            <w:vAlign w:val="bottom"/>
          </w:tcPr>
          <w:p w14:paraId="77CB4DF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2017</w:t>
            </w:r>
          </w:p>
        </w:tc>
        <w:tc>
          <w:tcPr>
            <w:tcW w:w="735" w:type="pct"/>
            <w:tcBorders>
              <w:top w:val="nil"/>
              <w:left w:val="nil"/>
              <w:bottom w:val="single" w:sz="8" w:space="0" w:color="auto"/>
              <w:right w:val="nil"/>
            </w:tcBorders>
            <w:noWrap/>
            <w:vAlign w:val="bottom"/>
          </w:tcPr>
          <w:p w14:paraId="4D7A9289"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w:t>
            </w:r>
          </w:p>
        </w:tc>
        <w:tc>
          <w:tcPr>
            <w:tcW w:w="857" w:type="pct"/>
            <w:tcBorders>
              <w:top w:val="nil"/>
              <w:left w:val="nil"/>
              <w:bottom w:val="single" w:sz="8" w:space="0" w:color="auto"/>
              <w:right w:val="nil"/>
            </w:tcBorders>
            <w:noWrap/>
            <w:vAlign w:val="bottom"/>
          </w:tcPr>
          <w:p w14:paraId="72546636"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2016/2017</w:t>
            </w:r>
          </w:p>
        </w:tc>
      </w:tr>
      <w:tr w:rsidR="00FE0836" w:rsidRPr="00AE4E8D" w14:paraId="4F5C2E45" w14:textId="77777777" w:rsidTr="000400C8">
        <w:trPr>
          <w:trHeight w:val="240"/>
          <w:tblHeader/>
          <w:jc w:val="center"/>
        </w:trPr>
        <w:tc>
          <w:tcPr>
            <w:tcW w:w="2672" w:type="pct"/>
            <w:tcBorders>
              <w:top w:val="nil"/>
              <w:left w:val="nil"/>
              <w:bottom w:val="nil"/>
              <w:right w:val="nil"/>
            </w:tcBorders>
            <w:noWrap/>
            <w:vAlign w:val="bottom"/>
          </w:tcPr>
          <w:p w14:paraId="3F256E61" w14:textId="77777777" w:rsidR="00FE0836" w:rsidRPr="00AE4E8D" w:rsidRDefault="00FE0836" w:rsidP="00FE0836">
            <w:pPr>
              <w:rPr>
                <w:rFonts w:ascii="Times New Roman" w:hAnsi="Times New Roman"/>
                <w:color w:val="000000"/>
                <w:sz w:val="18"/>
                <w:szCs w:val="18"/>
                <w:lang w:val="es-ES"/>
              </w:rPr>
            </w:pPr>
          </w:p>
        </w:tc>
        <w:tc>
          <w:tcPr>
            <w:tcW w:w="2328" w:type="pct"/>
            <w:gridSpan w:val="3"/>
            <w:tcBorders>
              <w:top w:val="single" w:sz="8" w:space="0" w:color="auto"/>
              <w:left w:val="nil"/>
              <w:bottom w:val="nil"/>
              <w:right w:val="nil"/>
            </w:tcBorders>
            <w:noWrap/>
            <w:vAlign w:val="bottom"/>
          </w:tcPr>
          <w:p w14:paraId="1A0866CB" w14:textId="77777777" w:rsidR="00FE0836" w:rsidRPr="00AE4E8D" w:rsidRDefault="00FE0836" w:rsidP="00FE0836">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millones de Ps., excepto porcentajes)</w:t>
            </w:r>
          </w:p>
        </w:tc>
      </w:tr>
      <w:tr w:rsidR="00FE0836" w:rsidRPr="00AE4E8D" w14:paraId="323D5777" w14:textId="77777777" w:rsidTr="000400C8">
        <w:trPr>
          <w:trHeight w:val="240"/>
          <w:jc w:val="center"/>
        </w:trPr>
        <w:tc>
          <w:tcPr>
            <w:tcW w:w="2672" w:type="pct"/>
            <w:tcBorders>
              <w:top w:val="nil"/>
              <w:left w:val="nil"/>
              <w:bottom w:val="nil"/>
              <w:right w:val="nil"/>
            </w:tcBorders>
            <w:noWrap/>
            <w:vAlign w:val="bottom"/>
          </w:tcPr>
          <w:p w14:paraId="1E67F392" w14:textId="77777777" w:rsidR="00FE0836" w:rsidRPr="00AE4E8D" w:rsidRDefault="00FE0836" w:rsidP="00FE0836">
            <w:pPr>
              <w:tabs>
                <w:tab w:val="left" w:leader="dot" w:pos="4444"/>
              </w:tabs>
              <w:rPr>
                <w:rFonts w:ascii="Times New Roman" w:hAnsi="Times New Roman"/>
                <w:b/>
                <w:bCs/>
                <w:i/>
                <w:iCs/>
                <w:color w:val="000000"/>
                <w:sz w:val="18"/>
                <w:szCs w:val="18"/>
                <w:lang w:val="es-ES"/>
              </w:rPr>
            </w:pPr>
            <w:r w:rsidRPr="00AE4E8D">
              <w:rPr>
                <w:rFonts w:ascii="Times New Roman" w:hAnsi="Times New Roman"/>
                <w:b/>
                <w:bCs/>
                <w:i/>
                <w:iCs/>
                <w:color w:val="000000"/>
                <w:sz w:val="18"/>
                <w:szCs w:val="18"/>
                <w:lang w:val="es-ES"/>
              </w:rPr>
              <w:t>Otros ingresos por servicios</w:t>
            </w:r>
            <w:r w:rsidRPr="00AE4E8D">
              <w:rPr>
                <w:rFonts w:ascii="Times New Roman" w:hAnsi="Times New Roman"/>
                <w:lang w:val="es-ES" w:eastAsia="es-AR"/>
              </w:rPr>
              <w:tab/>
            </w:r>
          </w:p>
        </w:tc>
        <w:tc>
          <w:tcPr>
            <w:tcW w:w="735" w:type="pct"/>
            <w:tcBorders>
              <w:top w:val="nil"/>
              <w:left w:val="nil"/>
              <w:bottom w:val="nil"/>
              <w:right w:val="nil"/>
            </w:tcBorders>
            <w:noWrap/>
            <w:vAlign w:val="bottom"/>
          </w:tcPr>
          <w:p w14:paraId="14F7EE1A" w14:textId="77777777" w:rsidR="00FE0836" w:rsidRPr="00AE4E8D" w:rsidRDefault="00FE0836" w:rsidP="00FE0836">
            <w:pPr>
              <w:rPr>
                <w:rFonts w:ascii="Times New Roman" w:hAnsi="Times New Roman"/>
                <w:color w:val="000000"/>
                <w:sz w:val="18"/>
                <w:szCs w:val="18"/>
                <w:lang w:val="es-ES"/>
              </w:rPr>
            </w:pPr>
          </w:p>
        </w:tc>
        <w:tc>
          <w:tcPr>
            <w:tcW w:w="735" w:type="pct"/>
            <w:tcBorders>
              <w:top w:val="nil"/>
              <w:left w:val="nil"/>
              <w:bottom w:val="nil"/>
              <w:right w:val="nil"/>
            </w:tcBorders>
            <w:noWrap/>
            <w:vAlign w:val="bottom"/>
          </w:tcPr>
          <w:p w14:paraId="0676088E" w14:textId="77777777" w:rsidR="00FE0836" w:rsidRPr="00AE4E8D" w:rsidRDefault="00FE0836" w:rsidP="00FE0836">
            <w:pPr>
              <w:rPr>
                <w:rFonts w:ascii="Times New Roman" w:hAnsi="Times New Roman"/>
                <w:color w:val="000000"/>
                <w:sz w:val="18"/>
                <w:szCs w:val="18"/>
                <w:lang w:val="es-ES"/>
              </w:rPr>
            </w:pPr>
          </w:p>
        </w:tc>
        <w:tc>
          <w:tcPr>
            <w:tcW w:w="857" w:type="pct"/>
            <w:tcBorders>
              <w:top w:val="nil"/>
              <w:left w:val="nil"/>
              <w:bottom w:val="nil"/>
              <w:right w:val="nil"/>
            </w:tcBorders>
            <w:noWrap/>
            <w:vAlign w:val="bottom"/>
          </w:tcPr>
          <w:p w14:paraId="7932F065" w14:textId="77777777" w:rsidR="00FE0836" w:rsidRPr="00AE4E8D" w:rsidRDefault="00FE0836" w:rsidP="00FE0836">
            <w:pPr>
              <w:rPr>
                <w:rFonts w:ascii="Times New Roman" w:hAnsi="Times New Roman"/>
                <w:color w:val="000000"/>
                <w:sz w:val="18"/>
                <w:szCs w:val="18"/>
                <w:lang w:val="es-ES"/>
              </w:rPr>
            </w:pPr>
          </w:p>
        </w:tc>
      </w:tr>
      <w:tr w:rsidR="00FE0836" w:rsidRPr="00AE4E8D" w14:paraId="0292A416" w14:textId="77777777" w:rsidTr="000400C8">
        <w:trPr>
          <w:trHeight w:val="240"/>
          <w:jc w:val="center"/>
        </w:trPr>
        <w:tc>
          <w:tcPr>
            <w:tcW w:w="2672" w:type="pct"/>
            <w:tcBorders>
              <w:top w:val="nil"/>
              <w:left w:val="nil"/>
              <w:bottom w:val="nil"/>
              <w:right w:val="nil"/>
            </w:tcBorders>
            <w:noWrap/>
            <w:vAlign w:val="bottom"/>
          </w:tcPr>
          <w:p w14:paraId="765144F9"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Comisiones por préstamos de terceros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26CFEF0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81,3</w:t>
            </w:r>
          </w:p>
        </w:tc>
        <w:tc>
          <w:tcPr>
            <w:tcW w:w="735" w:type="pct"/>
            <w:tcBorders>
              <w:top w:val="nil"/>
              <w:left w:val="nil"/>
              <w:bottom w:val="nil"/>
              <w:right w:val="nil"/>
            </w:tcBorders>
            <w:shd w:val="clear" w:color="000000" w:fill="FFFFFF"/>
            <w:noWrap/>
            <w:vAlign w:val="bottom"/>
          </w:tcPr>
          <w:p w14:paraId="1210DE9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49,1</w:t>
            </w:r>
          </w:p>
        </w:tc>
        <w:tc>
          <w:tcPr>
            <w:tcW w:w="857" w:type="pct"/>
            <w:tcBorders>
              <w:top w:val="nil"/>
              <w:left w:val="nil"/>
              <w:bottom w:val="nil"/>
              <w:right w:val="nil"/>
            </w:tcBorders>
            <w:noWrap/>
            <w:vAlign w:val="bottom"/>
          </w:tcPr>
          <w:p w14:paraId="2C382FE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65,6%</w:t>
            </w:r>
          </w:p>
        </w:tc>
      </w:tr>
      <w:tr w:rsidR="00FE0836" w:rsidRPr="00AE4E8D" w14:paraId="4441154A" w14:textId="77777777" w:rsidTr="000400C8">
        <w:trPr>
          <w:trHeight w:val="240"/>
          <w:jc w:val="center"/>
        </w:trPr>
        <w:tc>
          <w:tcPr>
            <w:tcW w:w="2672" w:type="pct"/>
            <w:tcBorders>
              <w:top w:val="nil"/>
              <w:left w:val="nil"/>
              <w:bottom w:val="nil"/>
              <w:right w:val="nil"/>
            </w:tcBorders>
            <w:noWrap/>
            <w:vAlign w:val="bottom"/>
          </w:tcPr>
          <w:p w14:paraId="4EAD9A70"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Comisiones por productos pasivos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750A883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66,3</w:t>
            </w:r>
          </w:p>
        </w:tc>
        <w:tc>
          <w:tcPr>
            <w:tcW w:w="735" w:type="pct"/>
            <w:tcBorders>
              <w:top w:val="nil"/>
              <w:left w:val="nil"/>
              <w:bottom w:val="nil"/>
              <w:right w:val="nil"/>
            </w:tcBorders>
            <w:shd w:val="clear" w:color="000000" w:fill="FFFFFF"/>
            <w:noWrap/>
            <w:vAlign w:val="bottom"/>
          </w:tcPr>
          <w:p w14:paraId="30197CE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77,7</w:t>
            </w:r>
          </w:p>
        </w:tc>
        <w:tc>
          <w:tcPr>
            <w:tcW w:w="857" w:type="pct"/>
            <w:tcBorders>
              <w:top w:val="nil"/>
              <w:left w:val="nil"/>
              <w:bottom w:val="nil"/>
              <w:right w:val="nil"/>
            </w:tcBorders>
            <w:noWrap/>
            <w:vAlign w:val="bottom"/>
          </w:tcPr>
          <w:p w14:paraId="5CDA782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(14,7)%</w:t>
            </w:r>
          </w:p>
        </w:tc>
      </w:tr>
      <w:tr w:rsidR="00FE0836" w:rsidRPr="00AE4E8D" w14:paraId="5650FE07" w14:textId="77777777" w:rsidTr="000400C8">
        <w:trPr>
          <w:trHeight w:val="240"/>
          <w:jc w:val="center"/>
        </w:trPr>
        <w:tc>
          <w:tcPr>
            <w:tcW w:w="2672" w:type="pct"/>
            <w:tcBorders>
              <w:top w:val="nil"/>
              <w:left w:val="nil"/>
              <w:bottom w:val="nil"/>
              <w:right w:val="nil"/>
            </w:tcBorders>
            <w:noWrap/>
            <w:vAlign w:val="bottom"/>
          </w:tcPr>
          <w:p w14:paraId="0FDA818A"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Comisiones por tarjeta de crédito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4CA853D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1.528,7</w:t>
            </w:r>
          </w:p>
        </w:tc>
        <w:tc>
          <w:tcPr>
            <w:tcW w:w="735" w:type="pct"/>
            <w:tcBorders>
              <w:top w:val="nil"/>
              <w:left w:val="nil"/>
              <w:bottom w:val="nil"/>
              <w:right w:val="nil"/>
            </w:tcBorders>
            <w:shd w:val="clear" w:color="000000" w:fill="FFFFFF"/>
            <w:noWrap/>
            <w:vAlign w:val="bottom"/>
          </w:tcPr>
          <w:p w14:paraId="70A433B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831,3</w:t>
            </w:r>
          </w:p>
        </w:tc>
        <w:tc>
          <w:tcPr>
            <w:tcW w:w="857" w:type="pct"/>
            <w:tcBorders>
              <w:top w:val="nil"/>
              <w:left w:val="nil"/>
              <w:bottom w:val="nil"/>
              <w:right w:val="nil"/>
            </w:tcBorders>
            <w:noWrap/>
            <w:vAlign w:val="bottom"/>
          </w:tcPr>
          <w:p w14:paraId="6661F06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83,9%</w:t>
            </w:r>
          </w:p>
        </w:tc>
      </w:tr>
      <w:tr w:rsidR="00FE0836" w:rsidRPr="00AE4E8D" w14:paraId="1DE23736" w14:textId="77777777" w:rsidTr="000400C8">
        <w:trPr>
          <w:trHeight w:val="255"/>
          <w:jc w:val="center"/>
        </w:trPr>
        <w:tc>
          <w:tcPr>
            <w:tcW w:w="2672" w:type="pct"/>
            <w:tcBorders>
              <w:top w:val="nil"/>
              <w:left w:val="nil"/>
              <w:bottom w:val="nil"/>
              <w:right w:val="nil"/>
            </w:tcBorders>
            <w:noWrap/>
            <w:vAlign w:val="bottom"/>
          </w:tcPr>
          <w:p w14:paraId="7C2E457B"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Otras comisiones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162C71F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104,7</w:t>
            </w:r>
          </w:p>
        </w:tc>
        <w:tc>
          <w:tcPr>
            <w:tcW w:w="735" w:type="pct"/>
            <w:tcBorders>
              <w:top w:val="nil"/>
              <w:left w:val="nil"/>
              <w:bottom w:val="nil"/>
              <w:right w:val="nil"/>
            </w:tcBorders>
            <w:shd w:val="clear" w:color="000000" w:fill="FFFFFF"/>
            <w:noWrap/>
            <w:vAlign w:val="bottom"/>
          </w:tcPr>
          <w:p w14:paraId="421C514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263,9</w:t>
            </w:r>
          </w:p>
        </w:tc>
        <w:tc>
          <w:tcPr>
            <w:tcW w:w="857" w:type="pct"/>
            <w:tcBorders>
              <w:top w:val="nil"/>
              <w:left w:val="nil"/>
              <w:bottom w:val="nil"/>
              <w:right w:val="nil"/>
            </w:tcBorders>
            <w:noWrap/>
            <w:vAlign w:val="bottom"/>
          </w:tcPr>
          <w:p w14:paraId="53667D5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(60,3)%</w:t>
            </w:r>
          </w:p>
        </w:tc>
      </w:tr>
      <w:tr w:rsidR="00FE0836" w:rsidRPr="00AE4E8D" w14:paraId="766A70B6" w14:textId="77777777" w:rsidTr="000400C8">
        <w:trPr>
          <w:trHeight w:val="255"/>
          <w:jc w:val="center"/>
        </w:trPr>
        <w:tc>
          <w:tcPr>
            <w:tcW w:w="2672" w:type="pct"/>
            <w:tcBorders>
              <w:top w:val="nil"/>
              <w:left w:val="nil"/>
              <w:bottom w:val="nil"/>
              <w:right w:val="nil"/>
            </w:tcBorders>
            <w:noWrap/>
            <w:vAlign w:val="bottom"/>
          </w:tcPr>
          <w:p w14:paraId="0A6CE198" w14:textId="77777777" w:rsidR="00FE0836" w:rsidRPr="00AE4E8D" w:rsidRDefault="00FE0836" w:rsidP="00FE0836">
            <w:pPr>
              <w:tabs>
                <w:tab w:val="left" w:leader="dot" w:pos="4444"/>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Total otros ingresos por servicios </w:t>
            </w:r>
            <w:r w:rsidRPr="00AE4E8D">
              <w:rPr>
                <w:rFonts w:ascii="Times New Roman" w:hAnsi="Times New Roman"/>
                <w:lang w:val="es-ES" w:eastAsia="es-AR"/>
              </w:rPr>
              <w:tab/>
            </w:r>
          </w:p>
        </w:tc>
        <w:tc>
          <w:tcPr>
            <w:tcW w:w="735" w:type="pct"/>
            <w:tcBorders>
              <w:top w:val="single" w:sz="8" w:space="0" w:color="auto"/>
              <w:left w:val="nil"/>
              <w:bottom w:val="single" w:sz="8" w:space="0" w:color="auto"/>
              <w:right w:val="nil"/>
            </w:tcBorders>
            <w:shd w:val="clear" w:color="000000" w:fill="FFFFFF"/>
            <w:noWrap/>
            <w:vAlign w:val="bottom"/>
          </w:tcPr>
          <w:p w14:paraId="0E1748E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1.781,1</w:t>
            </w:r>
          </w:p>
        </w:tc>
        <w:tc>
          <w:tcPr>
            <w:tcW w:w="735" w:type="pct"/>
            <w:tcBorders>
              <w:top w:val="single" w:sz="8" w:space="0" w:color="auto"/>
              <w:left w:val="nil"/>
              <w:bottom w:val="single" w:sz="8" w:space="0" w:color="auto"/>
              <w:right w:val="nil"/>
            </w:tcBorders>
            <w:shd w:val="clear" w:color="000000" w:fill="FFFFFF"/>
            <w:noWrap/>
            <w:vAlign w:val="bottom"/>
          </w:tcPr>
          <w:p w14:paraId="2E559B9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1.222,0</w:t>
            </w:r>
          </w:p>
        </w:tc>
        <w:tc>
          <w:tcPr>
            <w:tcW w:w="857" w:type="pct"/>
            <w:tcBorders>
              <w:top w:val="single" w:sz="8" w:space="0" w:color="auto"/>
              <w:left w:val="nil"/>
              <w:bottom w:val="single" w:sz="8" w:space="0" w:color="auto"/>
              <w:right w:val="nil"/>
            </w:tcBorders>
            <w:noWrap/>
            <w:vAlign w:val="bottom"/>
          </w:tcPr>
          <w:p w14:paraId="253ED47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43,8%</w:t>
            </w:r>
          </w:p>
        </w:tc>
      </w:tr>
      <w:tr w:rsidR="00FE0836" w:rsidRPr="00AE4E8D" w14:paraId="218E2AF7" w14:textId="77777777" w:rsidTr="000400C8">
        <w:trPr>
          <w:trHeight w:val="240"/>
          <w:jc w:val="center"/>
        </w:trPr>
        <w:tc>
          <w:tcPr>
            <w:tcW w:w="2672" w:type="pct"/>
            <w:tcBorders>
              <w:top w:val="nil"/>
              <w:left w:val="nil"/>
              <w:bottom w:val="nil"/>
              <w:right w:val="nil"/>
            </w:tcBorders>
            <w:noWrap/>
            <w:vAlign w:val="bottom"/>
          </w:tcPr>
          <w:p w14:paraId="6C72E3E2" w14:textId="77777777" w:rsidR="00FE0836" w:rsidRPr="00AE4E8D" w:rsidRDefault="00FE0836" w:rsidP="00FE0836">
            <w:pPr>
              <w:tabs>
                <w:tab w:val="left" w:leader="dot" w:pos="4444"/>
              </w:tabs>
              <w:rPr>
                <w:rFonts w:ascii="Times New Roman" w:hAnsi="Times New Roman"/>
                <w:color w:val="000000"/>
                <w:sz w:val="18"/>
                <w:szCs w:val="18"/>
                <w:lang w:val="es-ES"/>
              </w:rPr>
            </w:pPr>
          </w:p>
        </w:tc>
        <w:tc>
          <w:tcPr>
            <w:tcW w:w="735" w:type="pct"/>
            <w:tcBorders>
              <w:top w:val="nil"/>
              <w:left w:val="nil"/>
              <w:bottom w:val="nil"/>
              <w:right w:val="nil"/>
            </w:tcBorders>
            <w:shd w:val="clear" w:color="000000" w:fill="FFFFFF"/>
            <w:noWrap/>
            <w:vAlign w:val="bottom"/>
          </w:tcPr>
          <w:p w14:paraId="0E9D595A" w14:textId="77777777" w:rsidR="00FE0836" w:rsidRPr="00AE4E8D" w:rsidRDefault="00FE0836" w:rsidP="00FE0836">
            <w:pPr>
              <w:jc w:val="right"/>
              <w:rPr>
                <w:rFonts w:ascii="Times New Roman" w:hAnsi="Times New Roman"/>
                <w:color w:val="000000"/>
                <w:sz w:val="18"/>
                <w:szCs w:val="18"/>
                <w:lang w:val="es-ES"/>
              </w:rPr>
            </w:pPr>
          </w:p>
        </w:tc>
        <w:tc>
          <w:tcPr>
            <w:tcW w:w="735" w:type="pct"/>
            <w:tcBorders>
              <w:top w:val="nil"/>
              <w:left w:val="nil"/>
              <w:bottom w:val="nil"/>
              <w:right w:val="nil"/>
            </w:tcBorders>
            <w:shd w:val="clear" w:color="000000" w:fill="FFFFFF"/>
            <w:noWrap/>
            <w:vAlign w:val="bottom"/>
          </w:tcPr>
          <w:p w14:paraId="45799C1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w:t>
            </w:r>
          </w:p>
        </w:tc>
        <w:tc>
          <w:tcPr>
            <w:tcW w:w="857" w:type="pct"/>
            <w:tcBorders>
              <w:top w:val="nil"/>
              <w:left w:val="nil"/>
              <w:bottom w:val="nil"/>
              <w:right w:val="nil"/>
            </w:tcBorders>
            <w:noWrap/>
            <w:vAlign w:val="bottom"/>
          </w:tcPr>
          <w:p w14:paraId="65665315" w14:textId="77777777" w:rsidR="00FE0836" w:rsidRPr="00AE4E8D" w:rsidRDefault="00FE0836" w:rsidP="00FE0836">
            <w:pPr>
              <w:jc w:val="right"/>
              <w:rPr>
                <w:rFonts w:ascii="Times New Roman" w:hAnsi="Times New Roman"/>
                <w:color w:val="000000"/>
                <w:sz w:val="18"/>
                <w:szCs w:val="18"/>
                <w:lang w:val="es-ES"/>
              </w:rPr>
            </w:pPr>
          </w:p>
        </w:tc>
      </w:tr>
      <w:tr w:rsidR="00FE0836" w:rsidRPr="00AE4E8D" w14:paraId="67BD607C" w14:textId="77777777" w:rsidTr="000400C8">
        <w:trPr>
          <w:trHeight w:val="240"/>
          <w:jc w:val="center"/>
        </w:trPr>
        <w:tc>
          <w:tcPr>
            <w:tcW w:w="2672" w:type="pct"/>
            <w:tcBorders>
              <w:top w:val="nil"/>
              <w:left w:val="nil"/>
              <w:bottom w:val="nil"/>
              <w:right w:val="nil"/>
            </w:tcBorders>
            <w:noWrap/>
            <w:vAlign w:val="bottom"/>
          </w:tcPr>
          <w:p w14:paraId="66131381" w14:textId="77777777" w:rsidR="00FE0836" w:rsidRPr="00AE4E8D" w:rsidRDefault="00FE0836" w:rsidP="00FE0836">
            <w:pPr>
              <w:tabs>
                <w:tab w:val="left" w:leader="dot" w:pos="4444"/>
              </w:tabs>
              <w:rPr>
                <w:rFonts w:ascii="Times New Roman" w:hAnsi="Times New Roman"/>
                <w:b/>
                <w:bCs/>
                <w:i/>
                <w:iCs/>
                <w:color w:val="000000"/>
                <w:sz w:val="18"/>
                <w:szCs w:val="18"/>
                <w:lang w:val="es-ES"/>
              </w:rPr>
            </w:pPr>
            <w:r w:rsidRPr="00AE4E8D">
              <w:rPr>
                <w:rFonts w:ascii="Times New Roman" w:hAnsi="Times New Roman"/>
                <w:b/>
                <w:bCs/>
                <w:i/>
                <w:iCs/>
                <w:color w:val="000000"/>
                <w:sz w:val="18"/>
                <w:szCs w:val="18"/>
                <w:lang w:val="es-ES"/>
              </w:rPr>
              <w:t>Otros egresos por servicios</w:t>
            </w:r>
          </w:p>
        </w:tc>
        <w:tc>
          <w:tcPr>
            <w:tcW w:w="735" w:type="pct"/>
            <w:tcBorders>
              <w:top w:val="nil"/>
              <w:left w:val="nil"/>
              <w:bottom w:val="nil"/>
              <w:right w:val="nil"/>
            </w:tcBorders>
            <w:shd w:val="clear" w:color="000000" w:fill="FFFFFF"/>
            <w:noWrap/>
            <w:vAlign w:val="bottom"/>
          </w:tcPr>
          <w:p w14:paraId="04E02A89" w14:textId="77777777" w:rsidR="00FE0836" w:rsidRPr="00AE4E8D" w:rsidRDefault="00FE0836" w:rsidP="00FE0836">
            <w:pPr>
              <w:jc w:val="right"/>
              <w:rPr>
                <w:rFonts w:ascii="Times New Roman" w:hAnsi="Times New Roman"/>
                <w:color w:val="000000"/>
                <w:sz w:val="18"/>
                <w:szCs w:val="18"/>
                <w:lang w:val="es-ES"/>
              </w:rPr>
            </w:pPr>
          </w:p>
        </w:tc>
        <w:tc>
          <w:tcPr>
            <w:tcW w:w="735" w:type="pct"/>
            <w:tcBorders>
              <w:top w:val="nil"/>
              <w:left w:val="nil"/>
              <w:bottom w:val="nil"/>
              <w:right w:val="nil"/>
            </w:tcBorders>
            <w:shd w:val="clear" w:color="000000" w:fill="FFFFFF"/>
            <w:noWrap/>
            <w:vAlign w:val="bottom"/>
          </w:tcPr>
          <w:p w14:paraId="26CC881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w:t>
            </w:r>
          </w:p>
        </w:tc>
        <w:tc>
          <w:tcPr>
            <w:tcW w:w="857" w:type="pct"/>
            <w:tcBorders>
              <w:top w:val="nil"/>
              <w:left w:val="nil"/>
              <w:bottom w:val="nil"/>
              <w:right w:val="nil"/>
            </w:tcBorders>
            <w:noWrap/>
            <w:vAlign w:val="bottom"/>
          </w:tcPr>
          <w:p w14:paraId="0F8E78CF" w14:textId="77777777" w:rsidR="00FE0836" w:rsidRPr="00AE4E8D" w:rsidRDefault="00FE0836" w:rsidP="00FE0836">
            <w:pPr>
              <w:jc w:val="right"/>
              <w:rPr>
                <w:rFonts w:ascii="Times New Roman" w:hAnsi="Times New Roman"/>
                <w:color w:val="000000"/>
                <w:sz w:val="18"/>
                <w:szCs w:val="18"/>
                <w:lang w:val="es-ES"/>
              </w:rPr>
            </w:pPr>
          </w:p>
        </w:tc>
      </w:tr>
      <w:tr w:rsidR="00FE0836" w:rsidRPr="00AE4E8D" w14:paraId="5DBDD66C" w14:textId="77777777" w:rsidTr="000400C8">
        <w:trPr>
          <w:trHeight w:val="240"/>
          <w:jc w:val="center"/>
        </w:trPr>
        <w:tc>
          <w:tcPr>
            <w:tcW w:w="2672" w:type="pct"/>
            <w:tcBorders>
              <w:top w:val="nil"/>
              <w:left w:val="nil"/>
              <w:bottom w:val="nil"/>
              <w:right w:val="nil"/>
            </w:tcBorders>
            <w:noWrap/>
            <w:vAlign w:val="bottom"/>
          </w:tcPr>
          <w:p w14:paraId="672B533B"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Comisiones por préstamos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0424E4A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39,5</w:t>
            </w:r>
          </w:p>
        </w:tc>
        <w:tc>
          <w:tcPr>
            <w:tcW w:w="735" w:type="pct"/>
            <w:tcBorders>
              <w:top w:val="nil"/>
              <w:left w:val="nil"/>
              <w:bottom w:val="nil"/>
              <w:right w:val="nil"/>
            </w:tcBorders>
            <w:shd w:val="clear" w:color="000000" w:fill="FFFFFF"/>
            <w:noWrap/>
            <w:vAlign w:val="bottom"/>
          </w:tcPr>
          <w:p w14:paraId="166411C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31,6</w:t>
            </w:r>
          </w:p>
        </w:tc>
        <w:tc>
          <w:tcPr>
            <w:tcW w:w="857" w:type="pct"/>
            <w:tcBorders>
              <w:top w:val="nil"/>
              <w:left w:val="nil"/>
              <w:bottom w:val="nil"/>
              <w:right w:val="nil"/>
            </w:tcBorders>
            <w:noWrap/>
            <w:vAlign w:val="bottom"/>
          </w:tcPr>
          <w:p w14:paraId="180A49C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25,0%</w:t>
            </w:r>
          </w:p>
        </w:tc>
      </w:tr>
      <w:tr w:rsidR="00FE0836" w:rsidRPr="00AE4E8D" w14:paraId="7DE7F529" w14:textId="77777777" w:rsidTr="000400C8">
        <w:trPr>
          <w:trHeight w:val="240"/>
          <w:jc w:val="center"/>
        </w:trPr>
        <w:tc>
          <w:tcPr>
            <w:tcW w:w="2672" w:type="pct"/>
            <w:tcBorders>
              <w:top w:val="nil"/>
              <w:left w:val="nil"/>
              <w:bottom w:val="nil"/>
              <w:right w:val="nil"/>
            </w:tcBorders>
            <w:noWrap/>
            <w:vAlign w:val="bottom"/>
          </w:tcPr>
          <w:p w14:paraId="56D7D9BB"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Comisiones por colocaciones y estructuración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31C8B56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17,7</w:t>
            </w:r>
          </w:p>
        </w:tc>
        <w:tc>
          <w:tcPr>
            <w:tcW w:w="735" w:type="pct"/>
            <w:tcBorders>
              <w:top w:val="nil"/>
              <w:left w:val="nil"/>
              <w:bottom w:val="nil"/>
              <w:right w:val="nil"/>
            </w:tcBorders>
            <w:shd w:val="clear" w:color="000000" w:fill="FFFFFF"/>
            <w:noWrap/>
            <w:vAlign w:val="bottom"/>
          </w:tcPr>
          <w:p w14:paraId="7BE2E09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20,1</w:t>
            </w:r>
          </w:p>
        </w:tc>
        <w:tc>
          <w:tcPr>
            <w:tcW w:w="857" w:type="pct"/>
            <w:tcBorders>
              <w:top w:val="nil"/>
              <w:left w:val="nil"/>
              <w:bottom w:val="nil"/>
              <w:right w:val="nil"/>
            </w:tcBorders>
            <w:noWrap/>
            <w:vAlign w:val="bottom"/>
          </w:tcPr>
          <w:p w14:paraId="49CDF97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(11,9)%</w:t>
            </w:r>
          </w:p>
        </w:tc>
      </w:tr>
      <w:tr w:rsidR="00FE0836" w:rsidRPr="00AE4E8D" w14:paraId="73EEF63C" w14:textId="77777777" w:rsidTr="000400C8">
        <w:trPr>
          <w:trHeight w:val="240"/>
          <w:jc w:val="center"/>
        </w:trPr>
        <w:tc>
          <w:tcPr>
            <w:tcW w:w="2672" w:type="pct"/>
            <w:tcBorders>
              <w:top w:val="nil"/>
              <w:left w:val="nil"/>
              <w:bottom w:val="nil"/>
              <w:right w:val="nil"/>
            </w:tcBorders>
            <w:noWrap/>
            <w:vAlign w:val="bottom"/>
          </w:tcPr>
          <w:p w14:paraId="46B5292B"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Aportes e Impuestos sobre ingresos por servicios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2EF9397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84,9</w:t>
            </w:r>
          </w:p>
        </w:tc>
        <w:tc>
          <w:tcPr>
            <w:tcW w:w="735" w:type="pct"/>
            <w:tcBorders>
              <w:top w:val="nil"/>
              <w:left w:val="nil"/>
              <w:bottom w:val="nil"/>
              <w:right w:val="nil"/>
            </w:tcBorders>
            <w:shd w:val="clear" w:color="000000" w:fill="FFFFFF"/>
            <w:noWrap/>
            <w:vAlign w:val="bottom"/>
          </w:tcPr>
          <w:p w14:paraId="2A1DE10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49,1</w:t>
            </w:r>
          </w:p>
        </w:tc>
        <w:tc>
          <w:tcPr>
            <w:tcW w:w="857" w:type="pct"/>
            <w:tcBorders>
              <w:top w:val="nil"/>
              <w:left w:val="nil"/>
              <w:bottom w:val="nil"/>
              <w:right w:val="nil"/>
            </w:tcBorders>
            <w:noWrap/>
            <w:vAlign w:val="bottom"/>
          </w:tcPr>
          <w:p w14:paraId="574E5A6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72,9%</w:t>
            </w:r>
          </w:p>
        </w:tc>
      </w:tr>
      <w:tr w:rsidR="00FE0836" w:rsidRPr="00AE4E8D" w14:paraId="4B83D694" w14:textId="77777777" w:rsidTr="000400C8">
        <w:trPr>
          <w:trHeight w:val="240"/>
          <w:jc w:val="center"/>
        </w:trPr>
        <w:tc>
          <w:tcPr>
            <w:tcW w:w="2672" w:type="pct"/>
            <w:tcBorders>
              <w:top w:val="nil"/>
              <w:left w:val="nil"/>
              <w:bottom w:val="nil"/>
              <w:right w:val="nil"/>
            </w:tcBorders>
            <w:noWrap/>
            <w:vAlign w:val="bottom"/>
          </w:tcPr>
          <w:p w14:paraId="31694D51"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Operaciones pasivas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2FC7D71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39,0</w:t>
            </w:r>
          </w:p>
        </w:tc>
        <w:tc>
          <w:tcPr>
            <w:tcW w:w="735" w:type="pct"/>
            <w:tcBorders>
              <w:top w:val="nil"/>
              <w:left w:val="nil"/>
              <w:bottom w:val="nil"/>
              <w:right w:val="nil"/>
            </w:tcBorders>
            <w:shd w:val="clear" w:color="000000" w:fill="FFFFFF"/>
            <w:noWrap/>
            <w:vAlign w:val="bottom"/>
          </w:tcPr>
          <w:p w14:paraId="2093962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22,5</w:t>
            </w:r>
          </w:p>
        </w:tc>
        <w:tc>
          <w:tcPr>
            <w:tcW w:w="857" w:type="pct"/>
            <w:tcBorders>
              <w:top w:val="nil"/>
              <w:left w:val="nil"/>
              <w:bottom w:val="nil"/>
              <w:right w:val="nil"/>
            </w:tcBorders>
            <w:noWrap/>
            <w:vAlign w:val="bottom"/>
          </w:tcPr>
          <w:p w14:paraId="58F509BF"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73,3%</w:t>
            </w:r>
          </w:p>
        </w:tc>
      </w:tr>
      <w:tr w:rsidR="00FE0836" w:rsidRPr="00AE4E8D" w14:paraId="7547793C" w14:textId="77777777" w:rsidTr="000400C8">
        <w:trPr>
          <w:trHeight w:val="240"/>
          <w:jc w:val="center"/>
        </w:trPr>
        <w:tc>
          <w:tcPr>
            <w:tcW w:w="2672" w:type="pct"/>
            <w:tcBorders>
              <w:top w:val="nil"/>
              <w:left w:val="nil"/>
              <w:bottom w:val="nil"/>
              <w:right w:val="nil"/>
            </w:tcBorders>
            <w:noWrap/>
            <w:vAlign w:val="bottom"/>
          </w:tcPr>
          <w:p w14:paraId="1BCBBEB7"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Comisiones por tarjeta de crédito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726028E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351,8</w:t>
            </w:r>
          </w:p>
        </w:tc>
        <w:tc>
          <w:tcPr>
            <w:tcW w:w="735" w:type="pct"/>
            <w:tcBorders>
              <w:top w:val="nil"/>
              <w:left w:val="nil"/>
              <w:bottom w:val="nil"/>
              <w:right w:val="nil"/>
            </w:tcBorders>
            <w:shd w:val="clear" w:color="000000" w:fill="FFFFFF"/>
            <w:noWrap/>
            <w:vAlign w:val="bottom"/>
          </w:tcPr>
          <w:p w14:paraId="6E0D14A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191,1</w:t>
            </w:r>
          </w:p>
        </w:tc>
        <w:tc>
          <w:tcPr>
            <w:tcW w:w="857" w:type="pct"/>
            <w:tcBorders>
              <w:top w:val="nil"/>
              <w:left w:val="nil"/>
              <w:bottom w:val="nil"/>
              <w:right w:val="nil"/>
            </w:tcBorders>
            <w:noWrap/>
            <w:vAlign w:val="bottom"/>
          </w:tcPr>
          <w:p w14:paraId="06DD5D0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84,1%</w:t>
            </w:r>
          </w:p>
        </w:tc>
      </w:tr>
      <w:tr w:rsidR="00FE0836" w:rsidRPr="00AE4E8D" w14:paraId="535860AF" w14:textId="77777777" w:rsidTr="000400C8">
        <w:trPr>
          <w:trHeight w:val="255"/>
          <w:jc w:val="center"/>
        </w:trPr>
        <w:tc>
          <w:tcPr>
            <w:tcW w:w="2672" w:type="pct"/>
            <w:tcBorders>
              <w:top w:val="nil"/>
              <w:left w:val="nil"/>
              <w:bottom w:val="nil"/>
              <w:right w:val="nil"/>
            </w:tcBorders>
            <w:noWrap/>
            <w:vAlign w:val="bottom"/>
          </w:tcPr>
          <w:p w14:paraId="5202F7DE" w14:textId="77777777" w:rsidR="00FE0836" w:rsidRPr="00AE4E8D" w:rsidRDefault="00FE0836" w:rsidP="00FE0836">
            <w:pPr>
              <w:tabs>
                <w:tab w:val="left" w:leader="dot" w:pos="4444"/>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Otras comisiones </w:t>
            </w:r>
            <w:r w:rsidRPr="00AE4E8D">
              <w:rPr>
                <w:rFonts w:ascii="Times New Roman" w:hAnsi="Times New Roman"/>
                <w:lang w:val="es-ES" w:eastAsia="es-AR"/>
              </w:rPr>
              <w:tab/>
            </w:r>
          </w:p>
        </w:tc>
        <w:tc>
          <w:tcPr>
            <w:tcW w:w="735" w:type="pct"/>
            <w:tcBorders>
              <w:top w:val="nil"/>
              <w:left w:val="nil"/>
              <w:bottom w:val="nil"/>
              <w:right w:val="nil"/>
            </w:tcBorders>
            <w:shd w:val="clear" w:color="000000" w:fill="FFFFFF"/>
            <w:noWrap/>
            <w:vAlign w:val="bottom"/>
          </w:tcPr>
          <w:p w14:paraId="56EBF04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(187,0)</w:t>
            </w:r>
          </w:p>
        </w:tc>
        <w:tc>
          <w:tcPr>
            <w:tcW w:w="735" w:type="pct"/>
            <w:tcBorders>
              <w:top w:val="nil"/>
              <w:left w:val="nil"/>
              <w:bottom w:val="nil"/>
              <w:right w:val="nil"/>
            </w:tcBorders>
            <w:shd w:val="clear" w:color="000000" w:fill="FFFFFF"/>
            <w:noWrap/>
            <w:vAlign w:val="bottom"/>
          </w:tcPr>
          <w:p w14:paraId="346D3AC5"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44,4</w:t>
            </w:r>
          </w:p>
        </w:tc>
        <w:tc>
          <w:tcPr>
            <w:tcW w:w="857" w:type="pct"/>
            <w:tcBorders>
              <w:top w:val="nil"/>
              <w:left w:val="nil"/>
              <w:bottom w:val="nil"/>
              <w:right w:val="nil"/>
            </w:tcBorders>
            <w:noWrap/>
            <w:vAlign w:val="bottom"/>
          </w:tcPr>
          <w:p w14:paraId="5D7457C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NM</w:t>
            </w:r>
          </w:p>
        </w:tc>
      </w:tr>
      <w:tr w:rsidR="00FE0836" w:rsidRPr="00AE4E8D" w14:paraId="475F22BA" w14:textId="77777777" w:rsidTr="000400C8">
        <w:trPr>
          <w:trHeight w:val="255"/>
          <w:jc w:val="center"/>
        </w:trPr>
        <w:tc>
          <w:tcPr>
            <w:tcW w:w="2672" w:type="pct"/>
            <w:tcBorders>
              <w:top w:val="nil"/>
              <w:left w:val="nil"/>
              <w:bottom w:val="nil"/>
              <w:right w:val="nil"/>
            </w:tcBorders>
            <w:noWrap/>
            <w:vAlign w:val="bottom"/>
          </w:tcPr>
          <w:p w14:paraId="0081E8ED" w14:textId="77777777" w:rsidR="00FE0836" w:rsidRPr="00AE4E8D" w:rsidRDefault="00FE0836" w:rsidP="00FE0836">
            <w:pPr>
              <w:tabs>
                <w:tab w:val="left" w:leader="dot" w:pos="4444"/>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Total otros egresos por servicios </w:t>
            </w:r>
            <w:r w:rsidRPr="00AE4E8D">
              <w:rPr>
                <w:rFonts w:ascii="Times New Roman" w:hAnsi="Times New Roman"/>
                <w:lang w:val="es-ES" w:eastAsia="es-AR"/>
              </w:rPr>
              <w:tab/>
            </w:r>
          </w:p>
        </w:tc>
        <w:tc>
          <w:tcPr>
            <w:tcW w:w="735" w:type="pct"/>
            <w:tcBorders>
              <w:top w:val="single" w:sz="8" w:space="0" w:color="auto"/>
              <w:left w:val="nil"/>
              <w:bottom w:val="single" w:sz="8" w:space="0" w:color="auto"/>
              <w:right w:val="nil"/>
            </w:tcBorders>
            <w:shd w:val="clear" w:color="000000" w:fill="FFFFFF"/>
            <w:noWrap/>
            <w:vAlign w:val="bottom"/>
          </w:tcPr>
          <w:p w14:paraId="12D18D4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345,8</w:t>
            </w:r>
          </w:p>
        </w:tc>
        <w:tc>
          <w:tcPr>
            <w:tcW w:w="735" w:type="pct"/>
            <w:tcBorders>
              <w:top w:val="single" w:sz="8" w:space="0" w:color="auto"/>
              <w:left w:val="nil"/>
              <w:bottom w:val="single" w:sz="8" w:space="0" w:color="auto"/>
              <w:right w:val="nil"/>
            </w:tcBorders>
            <w:shd w:val="clear" w:color="000000" w:fill="FFFFFF"/>
            <w:noWrap/>
            <w:vAlign w:val="bottom"/>
          </w:tcPr>
          <w:p w14:paraId="0C26046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358,8</w:t>
            </w:r>
          </w:p>
        </w:tc>
        <w:tc>
          <w:tcPr>
            <w:tcW w:w="857" w:type="pct"/>
            <w:tcBorders>
              <w:top w:val="single" w:sz="8" w:space="0" w:color="auto"/>
              <w:left w:val="nil"/>
              <w:bottom w:val="single" w:sz="8" w:space="0" w:color="auto"/>
              <w:right w:val="nil"/>
            </w:tcBorders>
            <w:noWrap/>
            <w:vAlign w:val="bottom"/>
          </w:tcPr>
          <w:p w14:paraId="2983FBC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(3,6)%</w:t>
            </w:r>
          </w:p>
        </w:tc>
      </w:tr>
      <w:tr w:rsidR="00FE0836" w:rsidRPr="00AE4E8D" w14:paraId="243E5C7C" w14:textId="77777777" w:rsidTr="000400C8">
        <w:trPr>
          <w:trHeight w:val="255"/>
          <w:jc w:val="center"/>
        </w:trPr>
        <w:tc>
          <w:tcPr>
            <w:tcW w:w="2672" w:type="pct"/>
            <w:tcBorders>
              <w:top w:val="nil"/>
              <w:left w:val="nil"/>
              <w:bottom w:val="nil"/>
              <w:right w:val="nil"/>
            </w:tcBorders>
            <w:noWrap/>
            <w:vAlign w:val="bottom"/>
          </w:tcPr>
          <w:p w14:paraId="27C40D74" w14:textId="77777777" w:rsidR="00FE0836" w:rsidRPr="00AE4E8D" w:rsidRDefault="00FE0836" w:rsidP="00FE0836">
            <w:pPr>
              <w:tabs>
                <w:tab w:val="left" w:leader="dot" w:pos="4444"/>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Total otros ingresos por servicios netos</w:t>
            </w:r>
            <w:r w:rsidRPr="00AE4E8D">
              <w:rPr>
                <w:rFonts w:ascii="Times New Roman" w:hAnsi="Times New Roman"/>
                <w:color w:val="000000"/>
                <w:sz w:val="18"/>
                <w:szCs w:val="18"/>
                <w:lang w:val="es-ES"/>
              </w:rPr>
              <w:t xml:space="preserve"> </w:t>
            </w:r>
            <w:r w:rsidRPr="00AE4E8D">
              <w:rPr>
                <w:rFonts w:ascii="Times New Roman" w:hAnsi="Times New Roman"/>
                <w:lang w:val="es-ES" w:eastAsia="es-AR"/>
              </w:rPr>
              <w:tab/>
            </w:r>
          </w:p>
        </w:tc>
        <w:tc>
          <w:tcPr>
            <w:tcW w:w="735" w:type="pct"/>
            <w:tcBorders>
              <w:top w:val="nil"/>
              <w:left w:val="nil"/>
              <w:bottom w:val="single" w:sz="8" w:space="0" w:color="auto"/>
              <w:right w:val="nil"/>
            </w:tcBorders>
            <w:shd w:val="clear" w:color="000000" w:fill="FFFFFF"/>
            <w:noWrap/>
            <w:vAlign w:val="bottom"/>
          </w:tcPr>
          <w:p w14:paraId="2744EF1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1.435,2</w:t>
            </w:r>
          </w:p>
        </w:tc>
        <w:tc>
          <w:tcPr>
            <w:tcW w:w="735" w:type="pct"/>
            <w:tcBorders>
              <w:top w:val="nil"/>
              <w:left w:val="nil"/>
              <w:bottom w:val="single" w:sz="8" w:space="0" w:color="auto"/>
              <w:right w:val="nil"/>
            </w:tcBorders>
            <w:shd w:val="clear" w:color="000000" w:fill="FFFFFF"/>
            <w:noWrap/>
            <w:vAlign w:val="bottom"/>
          </w:tcPr>
          <w:p w14:paraId="1A93FD13"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863,5</w:t>
            </w:r>
          </w:p>
        </w:tc>
        <w:tc>
          <w:tcPr>
            <w:tcW w:w="857" w:type="pct"/>
            <w:tcBorders>
              <w:top w:val="nil"/>
              <w:left w:val="nil"/>
              <w:bottom w:val="single" w:sz="8" w:space="0" w:color="auto"/>
              <w:right w:val="nil"/>
            </w:tcBorders>
            <w:noWrap/>
            <w:vAlign w:val="bottom"/>
          </w:tcPr>
          <w:p w14:paraId="3A60879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66,2%</w:t>
            </w:r>
          </w:p>
        </w:tc>
      </w:tr>
    </w:tbl>
    <w:p w14:paraId="076ED678" w14:textId="77777777" w:rsidR="00FE0836" w:rsidRPr="00AE4E8D" w:rsidRDefault="00FE0836" w:rsidP="00FE0836">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Los otros ingresos por servicios netos aumentaron un 66,2%, de Ps.863,5 millones por los seis meses finalizados el 30 de junio de 2016 a Ps.1.435,2 millones por los seis meses finalizado el 30 de junio de 2017, principalmente como resultado de un aumento de Ps.536,7 millones en comisiones debido a la originación de tarjetas de crédito del Banco y de Tarshop S.A. y, en menor grado, de Ps.26,1 millones de comisiones por nuestras actividades en carácter de fiduciario del Fideicomiso PROCREAR (registrado bajo “Otras comisiones” en otros ingresos por servicios).</w:t>
      </w:r>
    </w:p>
    <w:p w14:paraId="42266FC4"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Gastos Administrativos</w:t>
      </w:r>
    </w:p>
    <w:p w14:paraId="579A988E"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siguiente cuadro muestra los principales componentes de los gastos administrativos correspondientes a los seis meses finalizados el 30 de junio de 2017 y 2016:</w:t>
      </w:r>
    </w:p>
    <w:tbl>
      <w:tblPr>
        <w:tblW w:w="5000" w:type="pct"/>
        <w:jc w:val="center"/>
        <w:tblLook w:val="00A0" w:firstRow="1" w:lastRow="0" w:firstColumn="1" w:lastColumn="0" w:noHBand="0" w:noVBand="0"/>
      </w:tblPr>
      <w:tblGrid>
        <w:gridCol w:w="4510"/>
        <w:gridCol w:w="1331"/>
        <w:gridCol w:w="1331"/>
        <w:gridCol w:w="1549"/>
      </w:tblGrid>
      <w:tr w:rsidR="00FE0836" w:rsidRPr="00AE4E8D" w14:paraId="2B775491" w14:textId="77777777" w:rsidTr="000400C8">
        <w:trPr>
          <w:trHeight w:val="255"/>
          <w:jc w:val="center"/>
        </w:trPr>
        <w:tc>
          <w:tcPr>
            <w:tcW w:w="2586" w:type="pct"/>
            <w:tcBorders>
              <w:top w:val="nil"/>
              <w:left w:val="nil"/>
              <w:bottom w:val="nil"/>
              <w:right w:val="nil"/>
            </w:tcBorders>
            <w:noWrap/>
            <w:vAlign w:val="bottom"/>
          </w:tcPr>
          <w:p w14:paraId="60DB5E12" w14:textId="77777777" w:rsidR="00FE0836" w:rsidRPr="00AE4E8D" w:rsidRDefault="00FE0836" w:rsidP="00FE0836">
            <w:pPr>
              <w:rPr>
                <w:rFonts w:ascii="Times New Roman" w:hAnsi="Times New Roman"/>
                <w:color w:val="000000"/>
                <w:sz w:val="18"/>
                <w:szCs w:val="18"/>
                <w:lang w:val="es-ES"/>
              </w:rPr>
            </w:pPr>
          </w:p>
        </w:tc>
        <w:tc>
          <w:tcPr>
            <w:tcW w:w="1525" w:type="pct"/>
            <w:gridSpan w:val="2"/>
            <w:tcBorders>
              <w:top w:val="single" w:sz="8" w:space="0" w:color="auto"/>
              <w:left w:val="nil"/>
              <w:bottom w:val="single" w:sz="8" w:space="0" w:color="auto"/>
              <w:right w:val="nil"/>
            </w:tcBorders>
            <w:noWrap/>
            <w:vAlign w:val="bottom"/>
          </w:tcPr>
          <w:p w14:paraId="5AB4B440"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Seis meses finalizados el </w:t>
            </w:r>
          </w:p>
          <w:p w14:paraId="6173E1AD"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30 de junio de </w:t>
            </w:r>
          </w:p>
        </w:tc>
        <w:tc>
          <w:tcPr>
            <w:tcW w:w="888" w:type="pct"/>
            <w:tcBorders>
              <w:top w:val="single" w:sz="8" w:space="0" w:color="auto"/>
              <w:left w:val="nil"/>
              <w:bottom w:val="single" w:sz="8" w:space="0" w:color="auto"/>
              <w:right w:val="nil"/>
            </w:tcBorders>
            <w:noWrap/>
            <w:vAlign w:val="bottom"/>
          </w:tcPr>
          <w:p w14:paraId="35A58F4D"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Variación</w:t>
            </w:r>
          </w:p>
        </w:tc>
      </w:tr>
      <w:tr w:rsidR="00FE0836" w:rsidRPr="00AE4E8D" w14:paraId="1401FC1E" w14:textId="77777777" w:rsidTr="000400C8">
        <w:trPr>
          <w:trHeight w:val="255"/>
          <w:jc w:val="center"/>
        </w:trPr>
        <w:tc>
          <w:tcPr>
            <w:tcW w:w="2586" w:type="pct"/>
            <w:tcBorders>
              <w:top w:val="nil"/>
              <w:left w:val="nil"/>
              <w:bottom w:val="nil"/>
              <w:right w:val="nil"/>
            </w:tcBorders>
            <w:noWrap/>
            <w:vAlign w:val="bottom"/>
          </w:tcPr>
          <w:p w14:paraId="1BF3FF1E" w14:textId="77777777" w:rsidR="00FE0836" w:rsidRPr="00AE4E8D" w:rsidRDefault="00FE0836" w:rsidP="00FE0836">
            <w:pPr>
              <w:rPr>
                <w:rFonts w:ascii="Times New Roman" w:hAnsi="Times New Roman"/>
                <w:color w:val="000000"/>
                <w:sz w:val="18"/>
                <w:szCs w:val="18"/>
                <w:lang w:val="es-ES"/>
              </w:rPr>
            </w:pPr>
          </w:p>
        </w:tc>
        <w:tc>
          <w:tcPr>
            <w:tcW w:w="763" w:type="pct"/>
            <w:tcBorders>
              <w:top w:val="nil"/>
              <w:left w:val="nil"/>
              <w:bottom w:val="single" w:sz="8" w:space="0" w:color="auto"/>
              <w:right w:val="nil"/>
            </w:tcBorders>
            <w:noWrap/>
            <w:vAlign w:val="bottom"/>
          </w:tcPr>
          <w:p w14:paraId="7A8EDD77"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2017</w:t>
            </w:r>
          </w:p>
        </w:tc>
        <w:tc>
          <w:tcPr>
            <w:tcW w:w="763" w:type="pct"/>
            <w:tcBorders>
              <w:top w:val="nil"/>
              <w:left w:val="nil"/>
              <w:bottom w:val="single" w:sz="8" w:space="0" w:color="auto"/>
              <w:right w:val="nil"/>
            </w:tcBorders>
            <w:noWrap/>
            <w:vAlign w:val="bottom"/>
          </w:tcPr>
          <w:p w14:paraId="55D3079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w:t>
            </w:r>
          </w:p>
        </w:tc>
        <w:tc>
          <w:tcPr>
            <w:tcW w:w="888" w:type="pct"/>
            <w:tcBorders>
              <w:top w:val="nil"/>
              <w:left w:val="nil"/>
              <w:bottom w:val="single" w:sz="8" w:space="0" w:color="auto"/>
              <w:right w:val="nil"/>
            </w:tcBorders>
            <w:noWrap/>
            <w:vAlign w:val="bottom"/>
          </w:tcPr>
          <w:p w14:paraId="1BD6A198"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2016/2017</w:t>
            </w:r>
          </w:p>
        </w:tc>
      </w:tr>
      <w:tr w:rsidR="00FE0836" w:rsidRPr="00AE4E8D" w14:paraId="06069E0B" w14:textId="77777777" w:rsidTr="000400C8">
        <w:trPr>
          <w:trHeight w:val="240"/>
          <w:jc w:val="center"/>
        </w:trPr>
        <w:tc>
          <w:tcPr>
            <w:tcW w:w="2586" w:type="pct"/>
            <w:tcBorders>
              <w:top w:val="nil"/>
              <w:left w:val="nil"/>
              <w:bottom w:val="nil"/>
              <w:right w:val="nil"/>
            </w:tcBorders>
            <w:noWrap/>
            <w:vAlign w:val="bottom"/>
          </w:tcPr>
          <w:p w14:paraId="2B31D1B5" w14:textId="77777777" w:rsidR="00FE0836" w:rsidRPr="00AE4E8D" w:rsidRDefault="00FE0836" w:rsidP="00FE0836">
            <w:pPr>
              <w:rPr>
                <w:rFonts w:ascii="Times New Roman" w:hAnsi="Times New Roman"/>
                <w:color w:val="000000"/>
                <w:sz w:val="18"/>
                <w:szCs w:val="18"/>
                <w:lang w:val="es-ES"/>
              </w:rPr>
            </w:pPr>
          </w:p>
        </w:tc>
        <w:tc>
          <w:tcPr>
            <w:tcW w:w="2414" w:type="pct"/>
            <w:gridSpan w:val="3"/>
            <w:tcBorders>
              <w:top w:val="single" w:sz="8" w:space="0" w:color="auto"/>
              <w:left w:val="nil"/>
              <w:bottom w:val="nil"/>
              <w:right w:val="nil"/>
            </w:tcBorders>
            <w:noWrap/>
            <w:vAlign w:val="bottom"/>
          </w:tcPr>
          <w:p w14:paraId="3146D92F" w14:textId="77777777" w:rsidR="00FE0836" w:rsidRPr="00AE4E8D" w:rsidRDefault="00FE0836" w:rsidP="00FE0836">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millones de Ps., excepto porcentajes)</w:t>
            </w:r>
          </w:p>
        </w:tc>
      </w:tr>
      <w:tr w:rsidR="00FE0836" w:rsidRPr="00AE4E8D" w14:paraId="7490B170" w14:textId="77777777" w:rsidTr="000400C8">
        <w:trPr>
          <w:trHeight w:val="270"/>
          <w:jc w:val="center"/>
        </w:trPr>
        <w:tc>
          <w:tcPr>
            <w:tcW w:w="2586" w:type="pct"/>
            <w:tcBorders>
              <w:top w:val="nil"/>
              <w:left w:val="nil"/>
              <w:bottom w:val="nil"/>
              <w:right w:val="nil"/>
            </w:tcBorders>
            <w:noWrap/>
            <w:vAlign w:val="bottom"/>
          </w:tcPr>
          <w:p w14:paraId="46E9C7CA" w14:textId="77777777" w:rsidR="00FE0836" w:rsidRPr="00AE4E8D" w:rsidRDefault="00FE0836" w:rsidP="00FE0836">
            <w:pPr>
              <w:tabs>
                <w:tab w:val="left" w:leader="dot" w:pos="425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Gastos de personal </w:t>
            </w:r>
            <w:r w:rsidRPr="00AE4E8D">
              <w:rPr>
                <w:rFonts w:ascii="Times New Roman" w:hAnsi="Times New Roman"/>
                <w:lang w:val="es-ES" w:eastAsia="es-AR"/>
              </w:rPr>
              <w:tab/>
            </w:r>
          </w:p>
        </w:tc>
        <w:tc>
          <w:tcPr>
            <w:tcW w:w="763" w:type="pct"/>
            <w:tcBorders>
              <w:top w:val="nil"/>
              <w:left w:val="nil"/>
              <w:bottom w:val="nil"/>
              <w:right w:val="nil"/>
            </w:tcBorders>
            <w:shd w:val="clear" w:color="000000" w:fill="FFFFFF"/>
            <w:noWrap/>
            <w:vAlign w:val="bottom"/>
          </w:tcPr>
          <w:p w14:paraId="11A2684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1.514,5</w:t>
            </w:r>
          </w:p>
        </w:tc>
        <w:tc>
          <w:tcPr>
            <w:tcW w:w="763" w:type="pct"/>
            <w:tcBorders>
              <w:top w:val="nil"/>
              <w:left w:val="nil"/>
              <w:bottom w:val="nil"/>
              <w:right w:val="nil"/>
            </w:tcBorders>
            <w:shd w:val="clear" w:color="000000" w:fill="FFFFFF"/>
            <w:noWrap/>
            <w:vAlign w:val="bottom"/>
          </w:tcPr>
          <w:p w14:paraId="1E8721B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1.251,5</w:t>
            </w:r>
          </w:p>
        </w:tc>
        <w:tc>
          <w:tcPr>
            <w:tcW w:w="888" w:type="pct"/>
            <w:tcBorders>
              <w:top w:val="nil"/>
              <w:left w:val="nil"/>
              <w:bottom w:val="nil"/>
              <w:right w:val="nil"/>
            </w:tcBorders>
            <w:noWrap/>
            <w:vAlign w:val="bottom"/>
          </w:tcPr>
          <w:p w14:paraId="4126477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21,0%</w:t>
            </w:r>
          </w:p>
        </w:tc>
      </w:tr>
      <w:tr w:rsidR="00FE0836" w:rsidRPr="00AE4E8D" w14:paraId="5BC40D9F" w14:textId="77777777" w:rsidTr="000400C8">
        <w:trPr>
          <w:trHeight w:val="240"/>
          <w:jc w:val="center"/>
        </w:trPr>
        <w:tc>
          <w:tcPr>
            <w:tcW w:w="2586" w:type="pct"/>
            <w:tcBorders>
              <w:top w:val="nil"/>
              <w:left w:val="nil"/>
              <w:bottom w:val="nil"/>
              <w:right w:val="nil"/>
            </w:tcBorders>
            <w:noWrap/>
            <w:vAlign w:val="bottom"/>
          </w:tcPr>
          <w:p w14:paraId="6DF416A3" w14:textId="77777777" w:rsidR="00FE0836" w:rsidRPr="00AE4E8D" w:rsidRDefault="00FE0836" w:rsidP="00FE0836">
            <w:pPr>
              <w:tabs>
                <w:tab w:val="left" w:leader="dot" w:pos="425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honorarios (1) </w:t>
            </w:r>
            <w:r w:rsidRPr="00AE4E8D">
              <w:rPr>
                <w:rFonts w:ascii="Times New Roman" w:hAnsi="Times New Roman"/>
                <w:lang w:val="es-ES" w:eastAsia="es-AR"/>
              </w:rPr>
              <w:tab/>
            </w:r>
          </w:p>
        </w:tc>
        <w:tc>
          <w:tcPr>
            <w:tcW w:w="763" w:type="pct"/>
            <w:tcBorders>
              <w:top w:val="nil"/>
              <w:left w:val="nil"/>
              <w:bottom w:val="nil"/>
              <w:right w:val="nil"/>
            </w:tcBorders>
            <w:shd w:val="clear" w:color="000000" w:fill="FFFFFF"/>
            <w:noWrap/>
            <w:vAlign w:val="bottom"/>
          </w:tcPr>
          <w:p w14:paraId="48155C4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273,3</w:t>
            </w:r>
          </w:p>
        </w:tc>
        <w:tc>
          <w:tcPr>
            <w:tcW w:w="763" w:type="pct"/>
            <w:tcBorders>
              <w:top w:val="nil"/>
              <w:left w:val="nil"/>
              <w:bottom w:val="nil"/>
              <w:right w:val="nil"/>
            </w:tcBorders>
            <w:shd w:val="clear" w:color="000000" w:fill="FFFFFF"/>
            <w:noWrap/>
            <w:vAlign w:val="bottom"/>
          </w:tcPr>
          <w:p w14:paraId="768213B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268,9</w:t>
            </w:r>
          </w:p>
        </w:tc>
        <w:tc>
          <w:tcPr>
            <w:tcW w:w="888" w:type="pct"/>
            <w:tcBorders>
              <w:top w:val="nil"/>
              <w:left w:val="nil"/>
              <w:bottom w:val="nil"/>
              <w:right w:val="nil"/>
            </w:tcBorders>
            <w:noWrap/>
            <w:vAlign w:val="bottom"/>
          </w:tcPr>
          <w:p w14:paraId="773C34D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w:t>
            </w:r>
          </w:p>
        </w:tc>
      </w:tr>
      <w:tr w:rsidR="00FE0836" w:rsidRPr="00AE4E8D" w14:paraId="3BBBCBD9" w14:textId="77777777" w:rsidTr="000400C8">
        <w:trPr>
          <w:trHeight w:val="240"/>
          <w:jc w:val="center"/>
        </w:trPr>
        <w:tc>
          <w:tcPr>
            <w:tcW w:w="2586" w:type="pct"/>
            <w:tcBorders>
              <w:top w:val="nil"/>
              <w:left w:val="nil"/>
              <w:bottom w:val="nil"/>
              <w:right w:val="nil"/>
            </w:tcBorders>
            <w:noWrap/>
            <w:vAlign w:val="bottom"/>
          </w:tcPr>
          <w:p w14:paraId="0B4B6DCC" w14:textId="77777777" w:rsidR="00FE0836" w:rsidRPr="00AE4E8D" w:rsidRDefault="00FE0836" w:rsidP="00FE0836">
            <w:pPr>
              <w:tabs>
                <w:tab w:val="left" w:leader="dot" w:pos="425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Honorarios directores y síndicos </w:t>
            </w:r>
            <w:r w:rsidRPr="00AE4E8D">
              <w:rPr>
                <w:rFonts w:ascii="Times New Roman" w:hAnsi="Times New Roman"/>
                <w:lang w:val="es-ES" w:eastAsia="es-AR"/>
              </w:rPr>
              <w:tab/>
            </w:r>
          </w:p>
        </w:tc>
        <w:tc>
          <w:tcPr>
            <w:tcW w:w="763" w:type="pct"/>
            <w:tcBorders>
              <w:top w:val="nil"/>
              <w:left w:val="nil"/>
              <w:bottom w:val="nil"/>
              <w:right w:val="nil"/>
            </w:tcBorders>
            <w:shd w:val="clear" w:color="000000" w:fill="FFFFFF"/>
            <w:noWrap/>
            <w:vAlign w:val="bottom"/>
          </w:tcPr>
          <w:p w14:paraId="67BFE733"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73,5</w:t>
            </w:r>
          </w:p>
        </w:tc>
        <w:tc>
          <w:tcPr>
            <w:tcW w:w="763" w:type="pct"/>
            <w:tcBorders>
              <w:top w:val="nil"/>
              <w:left w:val="nil"/>
              <w:bottom w:val="nil"/>
              <w:right w:val="nil"/>
            </w:tcBorders>
            <w:shd w:val="clear" w:color="000000" w:fill="FFFFFF"/>
            <w:noWrap/>
            <w:vAlign w:val="bottom"/>
          </w:tcPr>
          <w:p w14:paraId="4815834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47,7</w:t>
            </w:r>
          </w:p>
        </w:tc>
        <w:tc>
          <w:tcPr>
            <w:tcW w:w="888" w:type="pct"/>
            <w:tcBorders>
              <w:top w:val="nil"/>
              <w:left w:val="nil"/>
              <w:bottom w:val="nil"/>
              <w:right w:val="nil"/>
            </w:tcBorders>
            <w:noWrap/>
            <w:vAlign w:val="bottom"/>
          </w:tcPr>
          <w:p w14:paraId="7C5AA01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54,1%</w:t>
            </w:r>
          </w:p>
        </w:tc>
      </w:tr>
      <w:tr w:rsidR="00FE0836" w:rsidRPr="00AE4E8D" w14:paraId="160662E2" w14:textId="77777777" w:rsidTr="000400C8">
        <w:trPr>
          <w:trHeight w:val="240"/>
          <w:jc w:val="center"/>
        </w:trPr>
        <w:tc>
          <w:tcPr>
            <w:tcW w:w="2586" w:type="pct"/>
            <w:tcBorders>
              <w:top w:val="nil"/>
              <w:left w:val="nil"/>
              <w:bottom w:val="nil"/>
              <w:right w:val="nil"/>
            </w:tcBorders>
            <w:noWrap/>
            <w:vAlign w:val="bottom"/>
          </w:tcPr>
          <w:p w14:paraId="2E8820AB" w14:textId="77777777" w:rsidR="00FE0836" w:rsidRPr="00AE4E8D" w:rsidRDefault="00FE0836" w:rsidP="00FE0836">
            <w:pPr>
              <w:tabs>
                <w:tab w:val="left" w:leader="dot" w:pos="425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Propaganda y publicidad </w:t>
            </w:r>
            <w:r w:rsidRPr="00AE4E8D">
              <w:rPr>
                <w:rFonts w:ascii="Times New Roman" w:hAnsi="Times New Roman"/>
                <w:lang w:val="es-ES" w:eastAsia="es-AR"/>
              </w:rPr>
              <w:tab/>
            </w:r>
          </w:p>
        </w:tc>
        <w:tc>
          <w:tcPr>
            <w:tcW w:w="763" w:type="pct"/>
            <w:tcBorders>
              <w:top w:val="nil"/>
              <w:left w:val="nil"/>
              <w:bottom w:val="nil"/>
              <w:right w:val="nil"/>
            </w:tcBorders>
            <w:shd w:val="clear" w:color="000000" w:fill="FFFFFF"/>
            <w:noWrap/>
            <w:vAlign w:val="bottom"/>
          </w:tcPr>
          <w:p w14:paraId="375A1BF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52,3</w:t>
            </w:r>
          </w:p>
        </w:tc>
        <w:tc>
          <w:tcPr>
            <w:tcW w:w="763" w:type="pct"/>
            <w:tcBorders>
              <w:top w:val="nil"/>
              <w:left w:val="nil"/>
              <w:bottom w:val="nil"/>
              <w:right w:val="nil"/>
            </w:tcBorders>
            <w:shd w:val="clear" w:color="000000" w:fill="FFFFFF"/>
            <w:noWrap/>
            <w:vAlign w:val="bottom"/>
          </w:tcPr>
          <w:p w14:paraId="16F0608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66,2</w:t>
            </w:r>
          </w:p>
        </w:tc>
        <w:tc>
          <w:tcPr>
            <w:tcW w:w="888" w:type="pct"/>
            <w:tcBorders>
              <w:top w:val="nil"/>
              <w:left w:val="nil"/>
              <w:bottom w:val="nil"/>
              <w:right w:val="nil"/>
            </w:tcBorders>
            <w:noWrap/>
            <w:vAlign w:val="bottom"/>
          </w:tcPr>
          <w:p w14:paraId="1EB4B813"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(21,0)%</w:t>
            </w:r>
          </w:p>
        </w:tc>
      </w:tr>
      <w:tr w:rsidR="00FE0836" w:rsidRPr="00AE4E8D" w14:paraId="25EEE4AE" w14:textId="77777777" w:rsidTr="000400C8">
        <w:trPr>
          <w:trHeight w:val="240"/>
          <w:jc w:val="center"/>
        </w:trPr>
        <w:tc>
          <w:tcPr>
            <w:tcW w:w="2586" w:type="pct"/>
            <w:tcBorders>
              <w:top w:val="nil"/>
              <w:left w:val="nil"/>
              <w:bottom w:val="nil"/>
              <w:right w:val="nil"/>
            </w:tcBorders>
            <w:noWrap/>
            <w:vAlign w:val="bottom"/>
          </w:tcPr>
          <w:p w14:paraId="0E0C3180" w14:textId="77777777" w:rsidR="00FE0836" w:rsidRPr="00AE4E8D" w:rsidRDefault="00FE0836" w:rsidP="00FE0836">
            <w:pPr>
              <w:tabs>
                <w:tab w:val="left" w:leader="dot" w:pos="425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Impuesto al valor agregado y otros impuestos </w:t>
            </w:r>
            <w:r w:rsidRPr="00AE4E8D">
              <w:rPr>
                <w:rFonts w:ascii="Times New Roman" w:hAnsi="Times New Roman"/>
                <w:lang w:val="es-ES" w:eastAsia="es-AR"/>
              </w:rPr>
              <w:tab/>
            </w:r>
          </w:p>
        </w:tc>
        <w:tc>
          <w:tcPr>
            <w:tcW w:w="763" w:type="pct"/>
            <w:tcBorders>
              <w:top w:val="nil"/>
              <w:left w:val="nil"/>
              <w:bottom w:val="nil"/>
              <w:right w:val="nil"/>
            </w:tcBorders>
            <w:shd w:val="clear" w:color="000000" w:fill="FFFFFF"/>
            <w:noWrap/>
            <w:vAlign w:val="bottom"/>
          </w:tcPr>
          <w:p w14:paraId="04D3B43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164,3</w:t>
            </w:r>
          </w:p>
        </w:tc>
        <w:tc>
          <w:tcPr>
            <w:tcW w:w="763" w:type="pct"/>
            <w:tcBorders>
              <w:top w:val="nil"/>
              <w:left w:val="nil"/>
              <w:bottom w:val="nil"/>
              <w:right w:val="nil"/>
            </w:tcBorders>
            <w:shd w:val="clear" w:color="000000" w:fill="FFFFFF"/>
            <w:noWrap/>
            <w:vAlign w:val="bottom"/>
          </w:tcPr>
          <w:p w14:paraId="48B5B57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124,1</w:t>
            </w:r>
          </w:p>
        </w:tc>
        <w:tc>
          <w:tcPr>
            <w:tcW w:w="888" w:type="pct"/>
            <w:tcBorders>
              <w:top w:val="nil"/>
              <w:left w:val="nil"/>
              <w:bottom w:val="nil"/>
              <w:right w:val="nil"/>
            </w:tcBorders>
            <w:noWrap/>
            <w:vAlign w:val="bottom"/>
          </w:tcPr>
          <w:p w14:paraId="7DFE758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32,4%</w:t>
            </w:r>
          </w:p>
        </w:tc>
      </w:tr>
      <w:tr w:rsidR="00FE0836" w:rsidRPr="00AE4E8D" w14:paraId="6464241B" w14:textId="77777777" w:rsidTr="000400C8">
        <w:trPr>
          <w:trHeight w:val="240"/>
          <w:jc w:val="center"/>
        </w:trPr>
        <w:tc>
          <w:tcPr>
            <w:tcW w:w="2586" w:type="pct"/>
            <w:tcBorders>
              <w:top w:val="nil"/>
              <w:left w:val="nil"/>
              <w:bottom w:val="nil"/>
              <w:right w:val="nil"/>
            </w:tcBorders>
            <w:noWrap/>
            <w:vAlign w:val="bottom"/>
          </w:tcPr>
          <w:p w14:paraId="58C7A2C7" w14:textId="77777777" w:rsidR="00FE0836" w:rsidRPr="00AE4E8D" w:rsidRDefault="00FE0836" w:rsidP="00FE0836">
            <w:pPr>
              <w:tabs>
                <w:tab w:val="left" w:leader="dot" w:pos="425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Depreciación y amortización </w:t>
            </w:r>
            <w:r w:rsidRPr="00AE4E8D">
              <w:rPr>
                <w:rFonts w:ascii="Times New Roman" w:hAnsi="Times New Roman"/>
                <w:lang w:val="es-ES" w:eastAsia="es-AR"/>
              </w:rPr>
              <w:tab/>
            </w:r>
          </w:p>
        </w:tc>
        <w:tc>
          <w:tcPr>
            <w:tcW w:w="763" w:type="pct"/>
            <w:tcBorders>
              <w:top w:val="nil"/>
              <w:left w:val="nil"/>
              <w:bottom w:val="nil"/>
              <w:right w:val="nil"/>
            </w:tcBorders>
            <w:shd w:val="clear" w:color="000000" w:fill="FFFFFF"/>
            <w:noWrap/>
            <w:vAlign w:val="bottom"/>
          </w:tcPr>
          <w:p w14:paraId="7DBC95A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139,8</w:t>
            </w:r>
          </w:p>
        </w:tc>
        <w:tc>
          <w:tcPr>
            <w:tcW w:w="763" w:type="pct"/>
            <w:tcBorders>
              <w:top w:val="nil"/>
              <w:left w:val="nil"/>
              <w:bottom w:val="nil"/>
              <w:right w:val="nil"/>
            </w:tcBorders>
            <w:shd w:val="clear" w:color="000000" w:fill="FFFFFF"/>
            <w:noWrap/>
            <w:vAlign w:val="bottom"/>
          </w:tcPr>
          <w:p w14:paraId="46C59D4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105,0</w:t>
            </w:r>
          </w:p>
        </w:tc>
        <w:tc>
          <w:tcPr>
            <w:tcW w:w="888" w:type="pct"/>
            <w:tcBorders>
              <w:top w:val="nil"/>
              <w:left w:val="nil"/>
              <w:bottom w:val="nil"/>
              <w:right w:val="nil"/>
            </w:tcBorders>
            <w:noWrap/>
            <w:vAlign w:val="bottom"/>
          </w:tcPr>
          <w:p w14:paraId="262E9703"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33,1%</w:t>
            </w:r>
          </w:p>
        </w:tc>
      </w:tr>
      <w:tr w:rsidR="00FE0836" w:rsidRPr="00AE4E8D" w14:paraId="5D59340B" w14:textId="77777777" w:rsidTr="000400C8">
        <w:trPr>
          <w:trHeight w:val="240"/>
          <w:jc w:val="center"/>
        </w:trPr>
        <w:tc>
          <w:tcPr>
            <w:tcW w:w="2586" w:type="pct"/>
            <w:tcBorders>
              <w:top w:val="nil"/>
              <w:left w:val="nil"/>
              <w:bottom w:val="nil"/>
              <w:right w:val="nil"/>
            </w:tcBorders>
            <w:noWrap/>
            <w:vAlign w:val="bottom"/>
          </w:tcPr>
          <w:p w14:paraId="70CA0DBA" w14:textId="77777777" w:rsidR="00FE0836" w:rsidRPr="00AE4E8D" w:rsidRDefault="00FE0836" w:rsidP="00FE0836">
            <w:pPr>
              <w:tabs>
                <w:tab w:val="left" w:leader="dot" w:pos="425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Gastos Operativos </w:t>
            </w:r>
            <w:r w:rsidRPr="00AE4E8D">
              <w:rPr>
                <w:rFonts w:ascii="Times New Roman" w:hAnsi="Times New Roman"/>
                <w:lang w:val="es-ES" w:eastAsia="es-AR"/>
              </w:rPr>
              <w:tab/>
            </w:r>
          </w:p>
        </w:tc>
        <w:tc>
          <w:tcPr>
            <w:tcW w:w="763" w:type="pct"/>
            <w:tcBorders>
              <w:top w:val="nil"/>
              <w:left w:val="nil"/>
              <w:bottom w:val="nil"/>
              <w:right w:val="nil"/>
            </w:tcBorders>
            <w:shd w:val="clear" w:color="000000" w:fill="FFFFFF"/>
            <w:noWrap/>
            <w:vAlign w:val="bottom"/>
          </w:tcPr>
          <w:p w14:paraId="127D845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367,8</w:t>
            </w:r>
          </w:p>
        </w:tc>
        <w:tc>
          <w:tcPr>
            <w:tcW w:w="763" w:type="pct"/>
            <w:tcBorders>
              <w:top w:val="nil"/>
              <w:left w:val="nil"/>
              <w:bottom w:val="nil"/>
              <w:right w:val="nil"/>
            </w:tcBorders>
            <w:shd w:val="clear" w:color="000000" w:fill="FFFFFF"/>
            <w:noWrap/>
            <w:vAlign w:val="bottom"/>
          </w:tcPr>
          <w:p w14:paraId="7449F90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287,0</w:t>
            </w:r>
          </w:p>
        </w:tc>
        <w:tc>
          <w:tcPr>
            <w:tcW w:w="888" w:type="pct"/>
            <w:tcBorders>
              <w:top w:val="nil"/>
              <w:left w:val="nil"/>
              <w:bottom w:val="nil"/>
              <w:right w:val="nil"/>
            </w:tcBorders>
            <w:noWrap/>
            <w:vAlign w:val="bottom"/>
          </w:tcPr>
          <w:p w14:paraId="54E481ED"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28,2%</w:t>
            </w:r>
          </w:p>
        </w:tc>
      </w:tr>
      <w:tr w:rsidR="00FE0836" w:rsidRPr="00AE4E8D" w14:paraId="4A9FB9CD" w14:textId="77777777" w:rsidTr="000400C8">
        <w:trPr>
          <w:trHeight w:val="255"/>
          <w:jc w:val="center"/>
        </w:trPr>
        <w:tc>
          <w:tcPr>
            <w:tcW w:w="2586" w:type="pct"/>
            <w:tcBorders>
              <w:top w:val="nil"/>
              <w:left w:val="nil"/>
              <w:bottom w:val="nil"/>
              <w:right w:val="nil"/>
            </w:tcBorders>
            <w:noWrap/>
            <w:vAlign w:val="bottom"/>
          </w:tcPr>
          <w:p w14:paraId="422E66C2" w14:textId="77777777" w:rsidR="00FE0836" w:rsidRPr="00AE4E8D" w:rsidRDefault="00FE0836" w:rsidP="00FE0836">
            <w:pPr>
              <w:tabs>
                <w:tab w:val="left" w:leader="dot" w:pos="425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w:t>
            </w:r>
            <w:r w:rsidRPr="00AE4E8D">
              <w:rPr>
                <w:rFonts w:ascii="Times New Roman" w:hAnsi="Times New Roman"/>
                <w:lang w:val="es-ES" w:eastAsia="es-AR"/>
              </w:rPr>
              <w:tab/>
            </w:r>
          </w:p>
        </w:tc>
        <w:tc>
          <w:tcPr>
            <w:tcW w:w="763" w:type="pct"/>
            <w:tcBorders>
              <w:top w:val="nil"/>
              <w:left w:val="nil"/>
              <w:bottom w:val="nil"/>
              <w:right w:val="nil"/>
            </w:tcBorders>
            <w:shd w:val="clear" w:color="000000" w:fill="FFFFFF"/>
            <w:noWrap/>
            <w:vAlign w:val="bottom"/>
          </w:tcPr>
          <w:p w14:paraId="0928F56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226,9</w:t>
            </w:r>
          </w:p>
        </w:tc>
        <w:tc>
          <w:tcPr>
            <w:tcW w:w="763" w:type="pct"/>
            <w:tcBorders>
              <w:top w:val="nil"/>
              <w:left w:val="nil"/>
              <w:bottom w:val="nil"/>
              <w:right w:val="nil"/>
            </w:tcBorders>
            <w:shd w:val="clear" w:color="000000" w:fill="FFFFFF"/>
            <w:noWrap/>
            <w:vAlign w:val="bottom"/>
          </w:tcPr>
          <w:p w14:paraId="035A0FA3"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193,5</w:t>
            </w:r>
          </w:p>
        </w:tc>
        <w:tc>
          <w:tcPr>
            <w:tcW w:w="888" w:type="pct"/>
            <w:tcBorders>
              <w:top w:val="nil"/>
              <w:left w:val="nil"/>
              <w:bottom w:val="nil"/>
              <w:right w:val="nil"/>
            </w:tcBorders>
            <w:noWrap/>
            <w:vAlign w:val="bottom"/>
          </w:tcPr>
          <w:p w14:paraId="311696B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17,3%</w:t>
            </w:r>
          </w:p>
        </w:tc>
      </w:tr>
      <w:tr w:rsidR="00FE0836" w:rsidRPr="00AE4E8D" w14:paraId="513D2A94" w14:textId="77777777" w:rsidTr="000400C8">
        <w:trPr>
          <w:trHeight w:val="255"/>
          <w:jc w:val="center"/>
        </w:trPr>
        <w:tc>
          <w:tcPr>
            <w:tcW w:w="2586" w:type="pct"/>
            <w:tcBorders>
              <w:top w:val="nil"/>
              <w:left w:val="nil"/>
              <w:bottom w:val="nil"/>
              <w:right w:val="nil"/>
            </w:tcBorders>
            <w:noWrap/>
            <w:vAlign w:val="bottom"/>
          </w:tcPr>
          <w:p w14:paraId="6CA7BB78" w14:textId="77777777" w:rsidR="00FE0836" w:rsidRPr="00AE4E8D" w:rsidRDefault="00FE0836" w:rsidP="00FE0836">
            <w:pPr>
              <w:tabs>
                <w:tab w:val="left" w:leader="dot" w:pos="4253"/>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Total gastos administrativos</w:t>
            </w:r>
            <w:r w:rsidRPr="00AE4E8D">
              <w:rPr>
                <w:rFonts w:ascii="Times New Roman" w:hAnsi="Times New Roman"/>
                <w:color w:val="000000"/>
                <w:sz w:val="18"/>
                <w:szCs w:val="18"/>
                <w:lang w:val="es-ES"/>
              </w:rPr>
              <w:t xml:space="preserve"> </w:t>
            </w:r>
            <w:r w:rsidRPr="00AE4E8D">
              <w:rPr>
                <w:rFonts w:ascii="Times New Roman" w:hAnsi="Times New Roman"/>
                <w:lang w:val="es-ES" w:eastAsia="es-AR"/>
              </w:rPr>
              <w:tab/>
            </w:r>
          </w:p>
        </w:tc>
        <w:tc>
          <w:tcPr>
            <w:tcW w:w="763" w:type="pct"/>
            <w:tcBorders>
              <w:top w:val="single" w:sz="8" w:space="0" w:color="auto"/>
              <w:left w:val="nil"/>
              <w:bottom w:val="single" w:sz="8" w:space="0" w:color="auto"/>
              <w:right w:val="nil"/>
            </w:tcBorders>
            <w:shd w:val="clear" w:color="000000" w:fill="FFFFFF"/>
            <w:noWrap/>
            <w:vAlign w:val="bottom"/>
          </w:tcPr>
          <w:p w14:paraId="79CFEE2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2.812,4</w:t>
            </w:r>
          </w:p>
        </w:tc>
        <w:tc>
          <w:tcPr>
            <w:tcW w:w="763" w:type="pct"/>
            <w:tcBorders>
              <w:top w:val="single" w:sz="8" w:space="0" w:color="auto"/>
              <w:left w:val="nil"/>
              <w:bottom w:val="single" w:sz="8" w:space="0" w:color="auto"/>
              <w:right w:val="nil"/>
            </w:tcBorders>
            <w:shd w:val="clear" w:color="000000" w:fill="FFFFFF"/>
            <w:noWrap/>
            <w:vAlign w:val="bottom"/>
          </w:tcPr>
          <w:p w14:paraId="38F0BFF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2.343,9</w:t>
            </w:r>
          </w:p>
        </w:tc>
        <w:tc>
          <w:tcPr>
            <w:tcW w:w="888" w:type="pct"/>
            <w:tcBorders>
              <w:top w:val="single" w:sz="8" w:space="0" w:color="auto"/>
              <w:left w:val="nil"/>
              <w:bottom w:val="single" w:sz="8" w:space="0" w:color="auto"/>
              <w:right w:val="nil"/>
            </w:tcBorders>
            <w:noWrap/>
            <w:vAlign w:val="bottom"/>
          </w:tcPr>
          <w:p w14:paraId="0701203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sz w:val="18"/>
                <w:szCs w:val="18"/>
                <w:lang w:val="es-ES"/>
              </w:rPr>
              <w:t>20,0%</w:t>
            </w:r>
          </w:p>
        </w:tc>
      </w:tr>
    </w:tbl>
    <w:p w14:paraId="329758BE"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(1) Consistente principalmente de: servicios de consultoría legal, notarial, contable e impositiva, personal temporario, servicios de consultoría y servicios de cobro.</w:t>
      </w:r>
    </w:p>
    <w:p w14:paraId="733436DB" w14:textId="77777777" w:rsidR="00FE0836" w:rsidRPr="00AE4E8D" w:rsidRDefault="00FE0836" w:rsidP="00FE0836">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lastRenderedPageBreak/>
        <w:t>Los gastos administrativos aumentaron un 20,0% de Ps.2.343,9 millones por los seis meses finalizados el 30 de junio de 2016 a Ps.2.812,4 millones por los seis meses finalizados el 30 de junio de 2017, debido principalmente a:</w:t>
      </w:r>
    </w:p>
    <w:p w14:paraId="3529547D" w14:textId="77777777" w:rsidR="00FE0836" w:rsidRPr="00AE4E8D" w:rsidRDefault="00FE0836" w:rsidP="00FE0836">
      <w:pPr>
        <w:pStyle w:val="BHTexto"/>
        <w:numPr>
          <w:ilvl w:val="0"/>
          <w:numId w:val="100"/>
        </w:numPr>
        <w:rPr>
          <w:lang w:val="es-ES"/>
        </w:rPr>
      </w:pPr>
      <w:r w:rsidRPr="00AE4E8D">
        <w:rPr>
          <w:lang w:val="es-ES"/>
        </w:rPr>
        <w:t xml:space="preserve">Un aumento del 21,0% en gastos de personal, de Ps.1.251,5 millones por los seis meses finalizados el 30 de junio de 2016 a Ps.1.514,5 millones por los seis meses finalizados el 30 de junio de 2017, fundamentalmente debido a mayores remuneraciones y cargas sociales requeridas por las reglamentaciones aplicables de Argentina principalmente como resultado de los ajustes salariales negociados entre los bancos y el sindicato; </w:t>
      </w:r>
    </w:p>
    <w:p w14:paraId="0D9B0CAA" w14:textId="77777777" w:rsidR="00FE0836" w:rsidRPr="00AE4E8D" w:rsidRDefault="00FE0836" w:rsidP="00FE0836">
      <w:pPr>
        <w:pStyle w:val="BHTexto"/>
        <w:numPr>
          <w:ilvl w:val="0"/>
          <w:numId w:val="100"/>
        </w:numPr>
        <w:rPr>
          <w:lang w:val="es-ES"/>
        </w:rPr>
      </w:pPr>
      <w:r w:rsidRPr="00AE4E8D">
        <w:rPr>
          <w:lang w:val="es-ES"/>
        </w:rPr>
        <w:t>Un aumento del 28,2% en otros gastos operativos de Ps.367,8 millones por los seis meses finalizados el 30 de junio de 2016 a Ps.287,0 millones por los seis meses finalizados el 30 de junio de 2017; y</w:t>
      </w:r>
    </w:p>
    <w:p w14:paraId="104193A7" w14:textId="77777777" w:rsidR="00FE0836" w:rsidRPr="00AE4E8D" w:rsidRDefault="00FE0836" w:rsidP="00FE0836">
      <w:pPr>
        <w:pStyle w:val="BHTexto"/>
        <w:numPr>
          <w:ilvl w:val="0"/>
          <w:numId w:val="100"/>
        </w:numPr>
        <w:rPr>
          <w:lang w:val="es-ES"/>
        </w:rPr>
      </w:pPr>
      <w:r w:rsidRPr="00AE4E8D">
        <w:rPr>
          <w:lang w:val="es-ES"/>
        </w:rPr>
        <w:t>Un aumento del 1,6% en otros honorarios, de Ps.268,9 millones por los seis meses finalizados el 30 de junio de 2016 a Ps.273,3 millones por los seis meses finalizados el 30 de junio de 2017, principalmente como resultado de mayores gastos en desarrollos de sistemas.</w:t>
      </w:r>
    </w:p>
    <w:p w14:paraId="3ECA227E" w14:textId="77777777" w:rsidR="00FE0836" w:rsidRPr="00AE4E8D" w:rsidRDefault="00FE0836" w:rsidP="00FE0836">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Utilidades Diversas Netas</w:t>
      </w:r>
    </w:p>
    <w:p w14:paraId="6B9A17C8"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detalla las utilidades netas diversas para los seis meses finalizados el 30 de junio de 2017 y 2016:</w:t>
      </w:r>
    </w:p>
    <w:p w14:paraId="118F55F6" w14:textId="77777777" w:rsidR="00FE0836" w:rsidRPr="00AE4E8D" w:rsidRDefault="00FE0836" w:rsidP="00FE0836">
      <w:pPr>
        <w:autoSpaceDE w:val="0"/>
        <w:autoSpaceDN w:val="0"/>
        <w:adjustRightInd w:val="0"/>
        <w:spacing w:before="120" w:after="120"/>
        <w:jc w:val="both"/>
        <w:rPr>
          <w:rFonts w:ascii="Times New Roman" w:hAnsi="Times New Roman"/>
          <w:lang w:val="es-ES" w:eastAsia="es-AR"/>
        </w:rPr>
      </w:pPr>
    </w:p>
    <w:tbl>
      <w:tblPr>
        <w:tblW w:w="5000" w:type="pct"/>
        <w:jc w:val="center"/>
        <w:tblLook w:val="00A0" w:firstRow="1" w:lastRow="0" w:firstColumn="1" w:lastColumn="0" w:noHBand="0" w:noVBand="0"/>
      </w:tblPr>
      <w:tblGrid>
        <w:gridCol w:w="4719"/>
        <w:gridCol w:w="1265"/>
        <w:gridCol w:w="1265"/>
        <w:gridCol w:w="1472"/>
      </w:tblGrid>
      <w:tr w:rsidR="00FE0836" w:rsidRPr="00AE4E8D" w14:paraId="2DFA506D" w14:textId="77777777" w:rsidTr="000400C8">
        <w:trPr>
          <w:trHeight w:val="255"/>
          <w:jc w:val="center"/>
        </w:trPr>
        <w:tc>
          <w:tcPr>
            <w:tcW w:w="2706" w:type="pct"/>
            <w:tcBorders>
              <w:top w:val="nil"/>
              <w:left w:val="nil"/>
              <w:bottom w:val="nil"/>
              <w:right w:val="nil"/>
            </w:tcBorders>
            <w:noWrap/>
            <w:vAlign w:val="bottom"/>
          </w:tcPr>
          <w:p w14:paraId="42E16D0C" w14:textId="77777777" w:rsidR="00FE0836" w:rsidRPr="00AE4E8D" w:rsidRDefault="00FE0836" w:rsidP="00FE0836">
            <w:pPr>
              <w:rPr>
                <w:rFonts w:ascii="Times New Roman" w:hAnsi="Times New Roman"/>
                <w:color w:val="000000"/>
                <w:sz w:val="18"/>
                <w:szCs w:val="18"/>
                <w:lang w:val="es-ES"/>
              </w:rPr>
            </w:pPr>
          </w:p>
        </w:tc>
        <w:tc>
          <w:tcPr>
            <w:tcW w:w="1449" w:type="pct"/>
            <w:gridSpan w:val="2"/>
            <w:tcBorders>
              <w:top w:val="single" w:sz="8" w:space="0" w:color="auto"/>
              <w:left w:val="nil"/>
              <w:bottom w:val="single" w:sz="8" w:space="0" w:color="auto"/>
              <w:right w:val="nil"/>
            </w:tcBorders>
            <w:noWrap/>
            <w:vAlign w:val="bottom"/>
          </w:tcPr>
          <w:p w14:paraId="5D21456A"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Seis meses finalizados el </w:t>
            </w:r>
          </w:p>
          <w:p w14:paraId="6070EE77"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30 de junio de</w:t>
            </w:r>
          </w:p>
        </w:tc>
        <w:tc>
          <w:tcPr>
            <w:tcW w:w="844" w:type="pct"/>
            <w:tcBorders>
              <w:top w:val="single" w:sz="8" w:space="0" w:color="auto"/>
              <w:left w:val="nil"/>
              <w:bottom w:val="single" w:sz="8" w:space="0" w:color="auto"/>
              <w:right w:val="nil"/>
            </w:tcBorders>
            <w:noWrap/>
            <w:vAlign w:val="bottom"/>
          </w:tcPr>
          <w:p w14:paraId="677927D7"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Variación</w:t>
            </w:r>
          </w:p>
        </w:tc>
      </w:tr>
      <w:tr w:rsidR="00FE0836" w:rsidRPr="00AE4E8D" w14:paraId="0766769D" w14:textId="77777777" w:rsidTr="000400C8">
        <w:trPr>
          <w:trHeight w:val="255"/>
          <w:jc w:val="center"/>
        </w:trPr>
        <w:tc>
          <w:tcPr>
            <w:tcW w:w="2706" w:type="pct"/>
            <w:tcBorders>
              <w:top w:val="nil"/>
              <w:left w:val="nil"/>
              <w:bottom w:val="nil"/>
              <w:right w:val="nil"/>
            </w:tcBorders>
            <w:noWrap/>
            <w:vAlign w:val="bottom"/>
          </w:tcPr>
          <w:p w14:paraId="76EC3FF5" w14:textId="77777777" w:rsidR="00FE0836" w:rsidRPr="00AE4E8D" w:rsidRDefault="00FE0836" w:rsidP="00FE0836">
            <w:pPr>
              <w:rPr>
                <w:rFonts w:ascii="Times New Roman" w:hAnsi="Times New Roman"/>
                <w:color w:val="000000"/>
                <w:sz w:val="18"/>
                <w:szCs w:val="18"/>
                <w:lang w:val="es-ES"/>
              </w:rPr>
            </w:pPr>
          </w:p>
        </w:tc>
        <w:tc>
          <w:tcPr>
            <w:tcW w:w="725" w:type="pct"/>
            <w:tcBorders>
              <w:top w:val="nil"/>
              <w:left w:val="nil"/>
              <w:bottom w:val="single" w:sz="8" w:space="0" w:color="auto"/>
              <w:right w:val="nil"/>
            </w:tcBorders>
            <w:noWrap/>
            <w:vAlign w:val="bottom"/>
          </w:tcPr>
          <w:p w14:paraId="605E9C7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2017</w:t>
            </w:r>
          </w:p>
        </w:tc>
        <w:tc>
          <w:tcPr>
            <w:tcW w:w="725" w:type="pct"/>
            <w:tcBorders>
              <w:top w:val="nil"/>
              <w:left w:val="nil"/>
              <w:bottom w:val="single" w:sz="8" w:space="0" w:color="auto"/>
              <w:right w:val="nil"/>
            </w:tcBorders>
            <w:noWrap/>
            <w:vAlign w:val="bottom"/>
          </w:tcPr>
          <w:p w14:paraId="28A4F11F"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w:t>
            </w:r>
          </w:p>
        </w:tc>
        <w:tc>
          <w:tcPr>
            <w:tcW w:w="844" w:type="pct"/>
            <w:tcBorders>
              <w:top w:val="nil"/>
              <w:left w:val="nil"/>
              <w:bottom w:val="single" w:sz="8" w:space="0" w:color="auto"/>
              <w:right w:val="nil"/>
            </w:tcBorders>
            <w:noWrap/>
            <w:vAlign w:val="bottom"/>
          </w:tcPr>
          <w:p w14:paraId="5AC30A14" w14:textId="77777777" w:rsidR="00FE0836" w:rsidRPr="00AE4E8D" w:rsidRDefault="00FE0836" w:rsidP="00FE083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2016/2017</w:t>
            </w:r>
          </w:p>
        </w:tc>
      </w:tr>
      <w:tr w:rsidR="00FE0836" w:rsidRPr="00AE4E8D" w14:paraId="00B8EEF8" w14:textId="77777777" w:rsidTr="000400C8">
        <w:trPr>
          <w:trHeight w:val="240"/>
          <w:jc w:val="center"/>
        </w:trPr>
        <w:tc>
          <w:tcPr>
            <w:tcW w:w="2706" w:type="pct"/>
            <w:tcBorders>
              <w:top w:val="nil"/>
              <w:left w:val="nil"/>
              <w:bottom w:val="nil"/>
              <w:right w:val="nil"/>
            </w:tcBorders>
            <w:noWrap/>
            <w:vAlign w:val="bottom"/>
          </w:tcPr>
          <w:p w14:paraId="00E1143F" w14:textId="77777777" w:rsidR="00FE0836" w:rsidRPr="00AE4E8D" w:rsidRDefault="00FE0836" w:rsidP="00FE0836">
            <w:pPr>
              <w:rPr>
                <w:rFonts w:ascii="Times New Roman" w:hAnsi="Times New Roman"/>
                <w:color w:val="000000"/>
                <w:sz w:val="18"/>
                <w:szCs w:val="18"/>
                <w:lang w:val="es-ES"/>
              </w:rPr>
            </w:pPr>
          </w:p>
        </w:tc>
        <w:tc>
          <w:tcPr>
            <w:tcW w:w="2294" w:type="pct"/>
            <w:gridSpan w:val="3"/>
            <w:tcBorders>
              <w:top w:val="single" w:sz="8" w:space="0" w:color="auto"/>
              <w:left w:val="nil"/>
              <w:bottom w:val="nil"/>
              <w:right w:val="nil"/>
            </w:tcBorders>
            <w:noWrap/>
            <w:vAlign w:val="bottom"/>
          </w:tcPr>
          <w:p w14:paraId="55D252A2" w14:textId="77777777" w:rsidR="00FE0836" w:rsidRPr="00AE4E8D" w:rsidRDefault="00FE0836" w:rsidP="00FE0836">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millones de Ps., excepto porcentajes)</w:t>
            </w:r>
          </w:p>
        </w:tc>
      </w:tr>
      <w:tr w:rsidR="00FE0836" w:rsidRPr="00AE4E8D" w14:paraId="47301D43" w14:textId="77777777" w:rsidTr="000400C8">
        <w:trPr>
          <w:trHeight w:val="240"/>
          <w:jc w:val="center"/>
        </w:trPr>
        <w:tc>
          <w:tcPr>
            <w:tcW w:w="2706" w:type="pct"/>
            <w:tcBorders>
              <w:top w:val="nil"/>
              <w:left w:val="nil"/>
              <w:bottom w:val="nil"/>
              <w:right w:val="nil"/>
            </w:tcBorders>
            <w:noWrap/>
            <w:vAlign w:val="bottom"/>
          </w:tcPr>
          <w:p w14:paraId="51B43E10" w14:textId="77777777" w:rsidR="00FE0836" w:rsidRPr="00AE4E8D" w:rsidRDefault="00FE0836" w:rsidP="00FE0836">
            <w:pPr>
              <w:tabs>
                <w:tab w:val="left" w:leader="dot" w:pos="4503"/>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Utilidades diversas</w:t>
            </w:r>
            <w:r w:rsidRPr="00AE4E8D">
              <w:rPr>
                <w:rFonts w:ascii="Times New Roman" w:hAnsi="Times New Roman"/>
                <w:lang w:val="es-ES" w:eastAsia="es-AR"/>
              </w:rPr>
              <w:tab/>
            </w:r>
          </w:p>
        </w:tc>
        <w:tc>
          <w:tcPr>
            <w:tcW w:w="725" w:type="pct"/>
            <w:tcBorders>
              <w:top w:val="nil"/>
              <w:left w:val="nil"/>
              <w:bottom w:val="nil"/>
              <w:right w:val="nil"/>
            </w:tcBorders>
            <w:noWrap/>
            <w:vAlign w:val="bottom"/>
          </w:tcPr>
          <w:p w14:paraId="0ABDDED5" w14:textId="77777777" w:rsidR="00FE0836" w:rsidRPr="00AE4E8D" w:rsidRDefault="00FE0836" w:rsidP="00FE0836">
            <w:pPr>
              <w:rPr>
                <w:rFonts w:ascii="Times New Roman" w:hAnsi="Times New Roman"/>
                <w:color w:val="000000"/>
                <w:sz w:val="18"/>
                <w:szCs w:val="18"/>
                <w:lang w:val="es-ES"/>
              </w:rPr>
            </w:pPr>
          </w:p>
        </w:tc>
        <w:tc>
          <w:tcPr>
            <w:tcW w:w="725" w:type="pct"/>
            <w:tcBorders>
              <w:top w:val="nil"/>
              <w:left w:val="nil"/>
              <w:bottom w:val="nil"/>
              <w:right w:val="nil"/>
            </w:tcBorders>
            <w:noWrap/>
            <w:vAlign w:val="bottom"/>
          </w:tcPr>
          <w:p w14:paraId="311A495A" w14:textId="77777777" w:rsidR="00FE0836" w:rsidRPr="00AE4E8D" w:rsidRDefault="00FE0836" w:rsidP="00FE0836">
            <w:pPr>
              <w:rPr>
                <w:rFonts w:ascii="Times New Roman" w:hAnsi="Times New Roman"/>
                <w:color w:val="000000"/>
                <w:sz w:val="18"/>
                <w:szCs w:val="18"/>
                <w:lang w:val="es-ES"/>
              </w:rPr>
            </w:pPr>
          </w:p>
        </w:tc>
        <w:tc>
          <w:tcPr>
            <w:tcW w:w="844" w:type="pct"/>
            <w:tcBorders>
              <w:top w:val="nil"/>
              <w:left w:val="nil"/>
              <w:bottom w:val="nil"/>
              <w:right w:val="nil"/>
            </w:tcBorders>
            <w:noWrap/>
            <w:vAlign w:val="bottom"/>
          </w:tcPr>
          <w:p w14:paraId="587CCF78" w14:textId="77777777" w:rsidR="00FE0836" w:rsidRPr="00AE4E8D" w:rsidRDefault="00FE0836" w:rsidP="00FE0836">
            <w:pPr>
              <w:rPr>
                <w:rFonts w:ascii="Times New Roman" w:hAnsi="Times New Roman"/>
                <w:color w:val="000000"/>
                <w:sz w:val="18"/>
                <w:szCs w:val="18"/>
                <w:lang w:val="es-ES"/>
              </w:rPr>
            </w:pPr>
          </w:p>
        </w:tc>
      </w:tr>
      <w:tr w:rsidR="00FE0836" w:rsidRPr="00AE4E8D" w14:paraId="1483EFD6" w14:textId="77777777" w:rsidTr="000400C8">
        <w:trPr>
          <w:trHeight w:val="240"/>
          <w:jc w:val="center"/>
        </w:trPr>
        <w:tc>
          <w:tcPr>
            <w:tcW w:w="2706" w:type="pct"/>
            <w:tcBorders>
              <w:top w:val="nil"/>
              <w:left w:val="nil"/>
              <w:bottom w:val="nil"/>
              <w:right w:val="nil"/>
            </w:tcBorders>
            <w:noWrap/>
            <w:vAlign w:val="bottom"/>
          </w:tcPr>
          <w:p w14:paraId="1BDF780C" w14:textId="77777777" w:rsidR="00FE0836" w:rsidRPr="00AE4E8D" w:rsidRDefault="00FE0836" w:rsidP="00FE0836">
            <w:pPr>
              <w:tabs>
                <w:tab w:val="left" w:leader="dot" w:pos="450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Resultados de participaciones permanentes </w:t>
            </w:r>
            <w:r w:rsidRPr="00AE4E8D">
              <w:rPr>
                <w:rFonts w:ascii="Times New Roman" w:hAnsi="Times New Roman"/>
                <w:lang w:val="es-ES" w:eastAsia="es-AR"/>
              </w:rPr>
              <w:tab/>
            </w:r>
          </w:p>
        </w:tc>
        <w:tc>
          <w:tcPr>
            <w:tcW w:w="725" w:type="pct"/>
            <w:tcBorders>
              <w:top w:val="nil"/>
              <w:left w:val="nil"/>
              <w:bottom w:val="nil"/>
              <w:right w:val="nil"/>
            </w:tcBorders>
            <w:shd w:val="clear" w:color="000000" w:fill="FFFFFF"/>
            <w:noWrap/>
            <w:vAlign w:val="bottom"/>
          </w:tcPr>
          <w:p w14:paraId="670D1CA1"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24,1</w:t>
            </w:r>
          </w:p>
        </w:tc>
        <w:tc>
          <w:tcPr>
            <w:tcW w:w="725" w:type="pct"/>
            <w:tcBorders>
              <w:top w:val="nil"/>
              <w:left w:val="nil"/>
              <w:bottom w:val="nil"/>
              <w:right w:val="nil"/>
            </w:tcBorders>
            <w:shd w:val="clear" w:color="000000" w:fill="FFFFFF"/>
            <w:noWrap/>
            <w:vAlign w:val="bottom"/>
          </w:tcPr>
          <w:p w14:paraId="7D10362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23,8</w:t>
            </w:r>
          </w:p>
        </w:tc>
        <w:tc>
          <w:tcPr>
            <w:tcW w:w="844" w:type="pct"/>
            <w:tcBorders>
              <w:top w:val="nil"/>
              <w:left w:val="nil"/>
              <w:bottom w:val="nil"/>
              <w:right w:val="nil"/>
            </w:tcBorders>
            <w:noWrap/>
            <w:vAlign w:val="bottom"/>
          </w:tcPr>
          <w:p w14:paraId="71F9BAE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1,3%</w:t>
            </w:r>
          </w:p>
        </w:tc>
      </w:tr>
      <w:tr w:rsidR="00FE0836" w:rsidRPr="00AE4E8D" w14:paraId="630CBF38" w14:textId="77777777" w:rsidTr="000400C8">
        <w:trPr>
          <w:trHeight w:val="240"/>
          <w:jc w:val="center"/>
        </w:trPr>
        <w:tc>
          <w:tcPr>
            <w:tcW w:w="2706" w:type="pct"/>
            <w:tcBorders>
              <w:top w:val="nil"/>
              <w:left w:val="nil"/>
              <w:bottom w:val="nil"/>
              <w:right w:val="nil"/>
            </w:tcBorders>
            <w:noWrap/>
            <w:vAlign w:val="bottom"/>
          </w:tcPr>
          <w:p w14:paraId="249495F9" w14:textId="77777777" w:rsidR="00FE0836" w:rsidRPr="00AE4E8D" w:rsidRDefault="00FE0836" w:rsidP="00FE0836">
            <w:pPr>
              <w:tabs>
                <w:tab w:val="left" w:leader="dot" w:pos="450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Intereses punitorios </w:t>
            </w:r>
            <w:r w:rsidRPr="00AE4E8D">
              <w:rPr>
                <w:rFonts w:ascii="Times New Roman" w:hAnsi="Times New Roman"/>
                <w:lang w:val="es-ES" w:eastAsia="es-AR"/>
              </w:rPr>
              <w:tab/>
            </w:r>
          </w:p>
        </w:tc>
        <w:tc>
          <w:tcPr>
            <w:tcW w:w="725" w:type="pct"/>
            <w:tcBorders>
              <w:top w:val="nil"/>
              <w:left w:val="nil"/>
              <w:bottom w:val="nil"/>
              <w:right w:val="nil"/>
            </w:tcBorders>
            <w:shd w:val="clear" w:color="000000" w:fill="FFFFFF"/>
            <w:noWrap/>
            <w:vAlign w:val="bottom"/>
          </w:tcPr>
          <w:p w14:paraId="734A31E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55,1</w:t>
            </w:r>
          </w:p>
        </w:tc>
        <w:tc>
          <w:tcPr>
            <w:tcW w:w="725" w:type="pct"/>
            <w:tcBorders>
              <w:top w:val="nil"/>
              <w:left w:val="nil"/>
              <w:bottom w:val="nil"/>
              <w:right w:val="nil"/>
            </w:tcBorders>
            <w:shd w:val="clear" w:color="000000" w:fill="FFFFFF"/>
            <w:noWrap/>
            <w:vAlign w:val="bottom"/>
          </w:tcPr>
          <w:p w14:paraId="0069002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48,9</w:t>
            </w:r>
          </w:p>
        </w:tc>
        <w:tc>
          <w:tcPr>
            <w:tcW w:w="844" w:type="pct"/>
            <w:tcBorders>
              <w:top w:val="nil"/>
              <w:left w:val="nil"/>
              <w:bottom w:val="nil"/>
              <w:right w:val="nil"/>
            </w:tcBorders>
            <w:noWrap/>
            <w:vAlign w:val="bottom"/>
          </w:tcPr>
          <w:p w14:paraId="57368EAF"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12,7%</w:t>
            </w:r>
          </w:p>
        </w:tc>
      </w:tr>
      <w:tr w:rsidR="00FE0836" w:rsidRPr="00AE4E8D" w14:paraId="316A38C3" w14:textId="77777777" w:rsidTr="000400C8">
        <w:trPr>
          <w:trHeight w:val="240"/>
          <w:jc w:val="center"/>
        </w:trPr>
        <w:tc>
          <w:tcPr>
            <w:tcW w:w="2706" w:type="pct"/>
            <w:tcBorders>
              <w:top w:val="nil"/>
              <w:left w:val="nil"/>
              <w:bottom w:val="nil"/>
              <w:right w:val="nil"/>
            </w:tcBorders>
            <w:noWrap/>
            <w:vAlign w:val="bottom"/>
          </w:tcPr>
          <w:p w14:paraId="7B10A1EE" w14:textId="77777777" w:rsidR="00FE0836" w:rsidRPr="00AE4E8D" w:rsidRDefault="00FE0836" w:rsidP="00FE0836">
            <w:pPr>
              <w:tabs>
                <w:tab w:val="left" w:leader="dot" w:pos="450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Recupero de préstamos y previsiones desafectadas </w:t>
            </w:r>
            <w:r w:rsidRPr="00AE4E8D">
              <w:rPr>
                <w:rFonts w:ascii="Times New Roman" w:hAnsi="Times New Roman"/>
                <w:lang w:val="es-ES" w:eastAsia="es-AR"/>
              </w:rPr>
              <w:tab/>
            </w:r>
          </w:p>
        </w:tc>
        <w:tc>
          <w:tcPr>
            <w:tcW w:w="725" w:type="pct"/>
            <w:tcBorders>
              <w:top w:val="nil"/>
              <w:left w:val="nil"/>
              <w:bottom w:val="nil"/>
              <w:right w:val="nil"/>
            </w:tcBorders>
            <w:shd w:val="clear" w:color="000000" w:fill="FFFFFF"/>
            <w:noWrap/>
            <w:vAlign w:val="bottom"/>
          </w:tcPr>
          <w:p w14:paraId="4821187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119,7</w:t>
            </w:r>
          </w:p>
        </w:tc>
        <w:tc>
          <w:tcPr>
            <w:tcW w:w="725" w:type="pct"/>
            <w:tcBorders>
              <w:top w:val="nil"/>
              <w:left w:val="nil"/>
              <w:bottom w:val="nil"/>
              <w:right w:val="nil"/>
            </w:tcBorders>
            <w:shd w:val="clear" w:color="000000" w:fill="FFFFFF"/>
            <w:noWrap/>
            <w:vAlign w:val="bottom"/>
          </w:tcPr>
          <w:p w14:paraId="38B3F0AF"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168,8</w:t>
            </w:r>
          </w:p>
        </w:tc>
        <w:tc>
          <w:tcPr>
            <w:tcW w:w="844" w:type="pct"/>
            <w:tcBorders>
              <w:top w:val="nil"/>
              <w:left w:val="nil"/>
              <w:bottom w:val="nil"/>
              <w:right w:val="nil"/>
            </w:tcBorders>
            <w:noWrap/>
            <w:vAlign w:val="bottom"/>
          </w:tcPr>
          <w:p w14:paraId="6A253B8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(29,1)%</w:t>
            </w:r>
          </w:p>
        </w:tc>
      </w:tr>
      <w:tr w:rsidR="00FE0836" w:rsidRPr="00AE4E8D" w14:paraId="52CBED61" w14:textId="77777777" w:rsidTr="000400C8">
        <w:trPr>
          <w:trHeight w:val="255"/>
          <w:jc w:val="center"/>
        </w:trPr>
        <w:tc>
          <w:tcPr>
            <w:tcW w:w="2706" w:type="pct"/>
            <w:tcBorders>
              <w:top w:val="nil"/>
              <w:left w:val="nil"/>
              <w:bottom w:val="nil"/>
              <w:right w:val="nil"/>
            </w:tcBorders>
            <w:noWrap/>
            <w:vAlign w:val="bottom"/>
          </w:tcPr>
          <w:p w14:paraId="53104E94" w14:textId="77777777" w:rsidR="00FE0836" w:rsidRPr="00AE4E8D" w:rsidRDefault="00FE0836" w:rsidP="00FE0836">
            <w:pPr>
              <w:tabs>
                <w:tab w:val="left" w:leader="dot" w:pos="450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w:t>
            </w:r>
            <w:r w:rsidRPr="00AE4E8D">
              <w:rPr>
                <w:rFonts w:ascii="Times New Roman" w:hAnsi="Times New Roman"/>
                <w:lang w:val="es-ES" w:eastAsia="es-AR"/>
              </w:rPr>
              <w:tab/>
            </w:r>
          </w:p>
        </w:tc>
        <w:tc>
          <w:tcPr>
            <w:tcW w:w="725" w:type="pct"/>
            <w:tcBorders>
              <w:top w:val="nil"/>
              <w:left w:val="nil"/>
              <w:bottom w:val="nil"/>
              <w:right w:val="nil"/>
            </w:tcBorders>
            <w:shd w:val="clear" w:color="000000" w:fill="FFFFFF"/>
            <w:noWrap/>
            <w:vAlign w:val="bottom"/>
          </w:tcPr>
          <w:p w14:paraId="33A3776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140,4</w:t>
            </w:r>
          </w:p>
        </w:tc>
        <w:tc>
          <w:tcPr>
            <w:tcW w:w="725" w:type="pct"/>
            <w:tcBorders>
              <w:top w:val="nil"/>
              <w:left w:val="nil"/>
              <w:bottom w:val="nil"/>
              <w:right w:val="nil"/>
            </w:tcBorders>
            <w:shd w:val="clear" w:color="000000" w:fill="FFFFFF"/>
            <w:noWrap/>
            <w:vAlign w:val="bottom"/>
          </w:tcPr>
          <w:p w14:paraId="2127A87F"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94,9</w:t>
            </w:r>
          </w:p>
        </w:tc>
        <w:tc>
          <w:tcPr>
            <w:tcW w:w="844" w:type="pct"/>
            <w:tcBorders>
              <w:top w:val="nil"/>
              <w:left w:val="nil"/>
              <w:bottom w:val="nil"/>
              <w:right w:val="nil"/>
            </w:tcBorders>
            <w:noWrap/>
            <w:vAlign w:val="bottom"/>
          </w:tcPr>
          <w:p w14:paraId="0977C4F7"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47,9%</w:t>
            </w:r>
          </w:p>
        </w:tc>
      </w:tr>
      <w:tr w:rsidR="00FE0836" w:rsidRPr="00AE4E8D" w14:paraId="2808094A" w14:textId="77777777" w:rsidTr="000400C8">
        <w:trPr>
          <w:trHeight w:val="255"/>
          <w:jc w:val="center"/>
        </w:trPr>
        <w:tc>
          <w:tcPr>
            <w:tcW w:w="2706" w:type="pct"/>
            <w:tcBorders>
              <w:top w:val="nil"/>
              <w:left w:val="nil"/>
              <w:bottom w:val="nil"/>
              <w:right w:val="nil"/>
            </w:tcBorders>
            <w:noWrap/>
            <w:vAlign w:val="bottom"/>
          </w:tcPr>
          <w:p w14:paraId="745E7E2C" w14:textId="77777777" w:rsidR="00FE0836" w:rsidRPr="00AE4E8D" w:rsidRDefault="00FE0836" w:rsidP="00FE0836">
            <w:pPr>
              <w:tabs>
                <w:tab w:val="left" w:leader="dot" w:pos="4503"/>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Total utilidades diversas</w:t>
            </w:r>
            <w:r w:rsidRPr="00AE4E8D">
              <w:rPr>
                <w:rFonts w:ascii="Times New Roman" w:hAnsi="Times New Roman"/>
                <w:color w:val="000000"/>
                <w:sz w:val="18"/>
                <w:szCs w:val="18"/>
                <w:lang w:val="es-ES"/>
              </w:rPr>
              <w:t xml:space="preserve"> </w:t>
            </w:r>
            <w:r w:rsidRPr="00AE4E8D">
              <w:rPr>
                <w:rFonts w:ascii="Times New Roman" w:hAnsi="Times New Roman"/>
                <w:lang w:val="es-ES" w:eastAsia="es-AR"/>
              </w:rPr>
              <w:tab/>
            </w:r>
          </w:p>
        </w:tc>
        <w:tc>
          <w:tcPr>
            <w:tcW w:w="725" w:type="pct"/>
            <w:tcBorders>
              <w:top w:val="single" w:sz="8" w:space="0" w:color="auto"/>
              <w:left w:val="nil"/>
              <w:bottom w:val="single" w:sz="8" w:space="0" w:color="auto"/>
              <w:right w:val="nil"/>
            </w:tcBorders>
            <w:shd w:val="clear" w:color="000000" w:fill="FFFFFF"/>
            <w:noWrap/>
            <w:vAlign w:val="bottom"/>
          </w:tcPr>
          <w:p w14:paraId="681B595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339,3</w:t>
            </w:r>
          </w:p>
        </w:tc>
        <w:tc>
          <w:tcPr>
            <w:tcW w:w="725" w:type="pct"/>
            <w:tcBorders>
              <w:top w:val="single" w:sz="8" w:space="0" w:color="auto"/>
              <w:left w:val="nil"/>
              <w:bottom w:val="single" w:sz="8" w:space="0" w:color="auto"/>
              <w:right w:val="nil"/>
            </w:tcBorders>
            <w:shd w:val="clear" w:color="000000" w:fill="FFFFFF"/>
            <w:noWrap/>
            <w:vAlign w:val="bottom"/>
          </w:tcPr>
          <w:p w14:paraId="7C3E51A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336,4</w:t>
            </w:r>
          </w:p>
        </w:tc>
        <w:tc>
          <w:tcPr>
            <w:tcW w:w="844" w:type="pct"/>
            <w:tcBorders>
              <w:top w:val="single" w:sz="8" w:space="0" w:color="auto"/>
              <w:left w:val="nil"/>
              <w:bottom w:val="single" w:sz="8" w:space="0" w:color="auto"/>
              <w:right w:val="nil"/>
            </w:tcBorders>
            <w:noWrap/>
            <w:vAlign w:val="bottom"/>
          </w:tcPr>
          <w:p w14:paraId="7DCFCD68"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0,9%</w:t>
            </w:r>
          </w:p>
        </w:tc>
      </w:tr>
      <w:tr w:rsidR="00FE0836" w:rsidRPr="00AE4E8D" w14:paraId="0B5FDEC9" w14:textId="77777777" w:rsidTr="000400C8">
        <w:trPr>
          <w:trHeight w:val="240"/>
          <w:jc w:val="center"/>
        </w:trPr>
        <w:tc>
          <w:tcPr>
            <w:tcW w:w="2706" w:type="pct"/>
            <w:tcBorders>
              <w:top w:val="nil"/>
              <w:left w:val="nil"/>
              <w:bottom w:val="nil"/>
              <w:right w:val="nil"/>
            </w:tcBorders>
            <w:noWrap/>
            <w:vAlign w:val="bottom"/>
          </w:tcPr>
          <w:p w14:paraId="5759351F" w14:textId="77777777" w:rsidR="00FE0836" w:rsidRPr="00AE4E8D" w:rsidRDefault="00FE0836" w:rsidP="00FE0836">
            <w:pPr>
              <w:tabs>
                <w:tab w:val="left" w:leader="dot" w:pos="4503"/>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Pérdidas diversas</w:t>
            </w:r>
          </w:p>
        </w:tc>
        <w:tc>
          <w:tcPr>
            <w:tcW w:w="725" w:type="pct"/>
            <w:tcBorders>
              <w:top w:val="nil"/>
              <w:left w:val="nil"/>
              <w:bottom w:val="nil"/>
              <w:right w:val="nil"/>
            </w:tcBorders>
            <w:shd w:val="clear" w:color="000000" w:fill="FFFFFF"/>
            <w:noWrap/>
            <w:vAlign w:val="bottom"/>
          </w:tcPr>
          <w:p w14:paraId="1457CCEB" w14:textId="77777777" w:rsidR="00FE0836" w:rsidRPr="00AE4E8D" w:rsidRDefault="00FE0836" w:rsidP="00FE0836">
            <w:pPr>
              <w:jc w:val="right"/>
              <w:rPr>
                <w:rFonts w:ascii="Times New Roman" w:hAnsi="Times New Roman"/>
                <w:color w:val="000000"/>
                <w:sz w:val="18"/>
                <w:szCs w:val="18"/>
                <w:lang w:val="es-ES"/>
              </w:rPr>
            </w:pPr>
          </w:p>
        </w:tc>
        <w:tc>
          <w:tcPr>
            <w:tcW w:w="725" w:type="pct"/>
            <w:tcBorders>
              <w:top w:val="nil"/>
              <w:left w:val="nil"/>
              <w:bottom w:val="nil"/>
              <w:right w:val="nil"/>
            </w:tcBorders>
            <w:shd w:val="clear" w:color="000000" w:fill="FFFFFF"/>
            <w:noWrap/>
            <w:vAlign w:val="bottom"/>
          </w:tcPr>
          <w:p w14:paraId="075D0102" w14:textId="77777777" w:rsidR="00FE0836" w:rsidRPr="00AE4E8D" w:rsidRDefault="00FE0836" w:rsidP="00FE0836">
            <w:pPr>
              <w:jc w:val="right"/>
              <w:rPr>
                <w:rFonts w:ascii="Times New Roman" w:hAnsi="Times New Roman"/>
                <w:color w:val="000000"/>
                <w:sz w:val="18"/>
                <w:szCs w:val="18"/>
                <w:lang w:val="es-ES"/>
              </w:rPr>
            </w:pPr>
          </w:p>
        </w:tc>
        <w:tc>
          <w:tcPr>
            <w:tcW w:w="844" w:type="pct"/>
            <w:tcBorders>
              <w:top w:val="nil"/>
              <w:left w:val="nil"/>
              <w:bottom w:val="nil"/>
              <w:right w:val="nil"/>
            </w:tcBorders>
            <w:noWrap/>
            <w:vAlign w:val="bottom"/>
          </w:tcPr>
          <w:p w14:paraId="15FC4E98" w14:textId="77777777" w:rsidR="00FE0836" w:rsidRPr="00AE4E8D" w:rsidRDefault="00FE0836" w:rsidP="00FE0836">
            <w:pPr>
              <w:jc w:val="right"/>
              <w:rPr>
                <w:rFonts w:ascii="Times New Roman" w:hAnsi="Times New Roman"/>
                <w:color w:val="000000"/>
                <w:sz w:val="18"/>
                <w:szCs w:val="18"/>
                <w:lang w:val="es-ES"/>
              </w:rPr>
            </w:pPr>
          </w:p>
        </w:tc>
      </w:tr>
      <w:tr w:rsidR="00FE0836" w:rsidRPr="00AE4E8D" w14:paraId="66AE6E18" w14:textId="77777777" w:rsidTr="000400C8">
        <w:trPr>
          <w:trHeight w:val="240"/>
          <w:jc w:val="center"/>
        </w:trPr>
        <w:tc>
          <w:tcPr>
            <w:tcW w:w="2706" w:type="pct"/>
            <w:tcBorders>
              <w:top w:val="nil"/>
              <w:left w:val="nil"/>
              <w:bottom w:val="nil"/>
              <w:right w:val="nil"/>
            </w:tcBorders>
            <w:noWrap/>
            <w:vAlign w:val="bottom"/>
          </w:tcPr>
          <w:p w14:paraId="77F27605" w14:textId="77777777" w:rsidR="00FE0836" w:rsidRPr="00AE4E8D" w:rsidRDefault="00FE0836" w:rsidP="00FE0836">
            <w:pPr>
              <w:tabs>
                <w:tab w:val="left" w:leader="dot" w:pos="450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Cargos por Créditos Diversos y Otras Previsiones </w:t>
            </w:r>
            <w:r w:rsidRPr="00AE4E8D">
              <w:rPr>
                <w:rFonts w:ascii="Times New Roman" w:hAnsi="Times New Roman"/>
                <w:lang w:val="es-ES" w:eastAsia="es-AR"/>
              </w:rPr>
              <w:tab/>
            </w:r>
          </w:p>
        </w:tc>
        <w:tc>
          <w:tcPr>
            <w:tcW w:w="725" w:type="pct"/>
            <w:tcBorders>
              <w:top w:val="nil"/>
              <w:left w:val="nil"/>
              <w:bottom w:val="nil"/>
              <w:right w:val="nil"/>
            </w:tcBorders>
            <w:shd w:val="clear" w:color="000000" w:fill="FFFFFF"/>
            <w:noWrap/>
            <w:vAlign w:val="bottom"/>
          </w:tcPr>
          <w:p w14:paraId="2BA6961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115,9</w:t>
            </w:r>
          </w:p>
        </w:tc>
        <w:tc>
          <w:tcPr>
            <w:tcW w:w="725" w:type="pct"/>
            <w:tcBorders>
              <w:top w:val="nil"/>
              <w:left w:val="nil"/>
              <w:bottom w:val="nil"/>
              <w:right w:val="nil"/>
            </w:tcBorders>
            <w:shd w:val="clear" w:color="000000" w:fill="FFFFFF"/>
            <w:noWrap/>
            <w:vAlign w:val="bottom"/>
          </w:tcPr>
          <w:p w14:paraId="30D84546"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158,0</w:t>
            </w:r>
          </w:p>
        </w:tc>
        <w:tc>
          <w:tcPr>
            <w:tcW w:w="844" w:type="pct"/>
            <w:tcBorders>
              <w:top w:val="nil"/>
              <w:left w:val="nil"/>
              <w:bottom w:val="nil"/>
              <w:right w:val="nil"/>
            </w:tcBorders>
            <w:noWrap/>
            <w:vAlign w:val="bottom"/>
          </w:tcPr>
          <w:p w14:paraId="73E65742"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(26,6)%</w:t>
            </w:r>
          </w:p>
        </w:tc>
      </w:tr>
      <w:tr w:rsidR="00FE0836" w:rsidRPr="00AE4E8D" w14:paraId="3D1EBB4B" w14:textId="77777777" w:rsidTr="000400C8">
        <w:trPr>
          <w:trHeight w:val="240"/>
          <w:jc w:val="center"/>
        </w:trPr>
        <w:tc>
          <w:tcPr>
            <w:tcW w:w="2706" w:type="pct"/>
            <w:tcBorders>
              <w:top w:val="nil"/>
              <w:left w:val="nil"/>
              <w:bottom w:val="nil"/>
              <w:right w:val="nil"/>
            </w:tcBorders>
            <w:noWrap/>
            <w:vAlign w:val="bottom"/>
          </w:tcPr>
          <w:p w14:paraId="4CC276F2" w14:textId="77777777" w:rsidR="00FE0836" w:rsidRPr="00AE4E8D" w:rsidRDefault="00FE0836" w:rsidP="00FE0836">
            <w:pPr>
              <w:tabs>
                <w:tab w:val="left" w:leader="dot" w:pos="450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Depreciación y pérdida de bienes diversos </w:t>
            </w:r>
            <w:r w:rsidRPr="00AE4E8D">
              <w:rPr>
                <w:rFonts w:ascii="Times New Roman" w:hAnsi="Times New Roman"/>
                <w:lang w:val="es-ES" w:eastAsia="es-AR"/>
              </w:rPr>
              <w:tab/>
            </w:r>
          </w:p>
        </w:tc>
        <w:tc>
          <w:tcPr>
            <w:tcW w:w="725" w:type="pct"/>
            <w:tcBorders>
              <w:top w:val="nil"/>
              <w:left w:val="nil"/>
              <w:bottom w:val="nil"/>
              <w:right w:val="nil"/>
            </w:tcBorders>
            <w:shd w:val="clear" w:color="000000" w:fill="FFFFFF"/>
            <w:noWrap/>
            <w:vAlign w:val="bottom"/>
          </w:tcPr>
          <w:p w14:paraId="5B59EEC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w:t>
            </w:r>
          </w:p>
        </w:tc>
        <w:tc>
          <w:tcPr>
            <w:tcW w:w="725" w:type="pct"/>
            <w:tcBorders>
              <w:top w:val="nil"/>
              <w:left w:val="nil"/>
              <w:bottom w:val="nil"/>
              <w:right w:val="nil"/>
            </w:tcBorders>
            <w:shd w:val="clear" w:color="000000" w:fill="FFFFFF"/>
            <w:noWrap/>
            <w:vAlign w:val="bottom"/>
          </w:tcPr>
          <w:p w14:paraId="242AA329"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0,4</w:t>
            </w:r>
          </w:p>
        </w:tc>
        <w:tc>
          <w:tcPr>
            <w:tcW w:w="844" w:type="pct"/>
            <w:tcBorders>
              <w:top w:val="nil"/>
              <w:left w:val="nil"/>
              <w:bottom w:val="nil"/>
              <w:right w:val="nil"/>
            </w:tcBorders>
            <w:noWrap/>
            <w:vAlign w:val="bottom"/>
          </w:tcPr>
          <w:p w14:paraId="12C2255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NM</w:t>
            </w:r>
          </w:p>
        </w:tc>
      </w:tr>
      <w:tr w:rsidR="00FE0836" w:rsidRPr="00AE4E8D" w14:paraId="3C5EA5C8" w14:textId="77777777" w:rsidTr="000400C8">
        <w:trPr>
          <w:trHeight w:val="240"/>
          <w:jc w:val="center"/>
        </w:trPr>
        <w:tc>
          <w:tcPr>
            <w:tcW w:w="2706" w:type="pct"/>
            <w:tcBorders>
              <w:top w:val="nil"/>
              <w:left w:val="nil"/>
              <w:bottom w:val="nil"/>
              <w:right w:val="nil"/>
            </w:tcBorders>
            <w:noWrap/>
            <w:vAlign w:val="bottom"/>
          </w:tcPr>
          <w:p w14:paraId="5F03F36D" w14:textId="77777777" w:rsidR="00FE0836" w:rsidRPr="00AE4E8D" w:rsidRDefault="00FE0836" w:rsidP="00FE0836">
            <w:pPr>
              <w:tabs>
                <w:tab w:val="left" w:leader="dot" w:pos="450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Amortización de valor llave </w:t>
            </w:r>
            <w:r w:rsidRPr="00AE4E8D">
              <w:rPr>
                <w:rFonts w:ascii="Times New Roman" w:hAnsi="Times New Roman"/>
                <w:lang w:val="es-ES" w:eastAsia="es-AR"/>
              </w:rPr>
              <w:tab/>
            </w:r>
          </w:p>
        </w:tc>
        <w:tc>
          <w:tcPr>
            <w:tcW w:w="725" w:type="pct"/>
            <w:tcBorders>
              <w:top w:val="nil"/>
              <w:left w:val="nil"/>
              <w:bottom w:val="nil"/>
              <w:right w:val="nil"/>
            </w:tcBorders>
            <w:shd w:val="clear" w:color="000000" w:fill="FFFFFF"/>
            <w:noWrap/>
            <w:vAlign w:val="bottom"/>
          </w:tcPr>
          <w:p w14:paraId="359E8BD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w:t>
            </w:r>
          </w:p>
        </w:tc>
        <w:tc>
          <w:tcPr>
            <w:tcW w:w="725" w:type="pct"/>
            <w:tcBorders>
              <w:top w:val="nil"/>
              <w:left w:val="nil"/>
              <w:bottom w:val="nil"/>
              <w:right w:val="nil"/>
            </w:tcBorders>
            <w:shd w:val="clear" w:color="000000" w:fill="FFFFFF"/>
            <w:noWrap/>
            <w:vAlign w:val="bottom"/>
          </w:tcPr>
          <w:p w14:paraId="1E68936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w:t>
            </w:r>
          </w:p>
        </w:tc>
        <w:tc>
          <w:tcPr>
            <w:tcW w:w="844" w:type="pct"/>
            <w:tcBorders>
              <w:top w:val="nil"/>
              <w:left w:val="nil"/>
              <w:bottom w:val="nil"/>
              <w:right w:val="nil"/>
            </w:tcBorders>
            <w:noWrap/>
            <w:vAlign w:val="bottom"/>
          </w:tcPr>
          <w:p w14:paraId="2CEA878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w:t>
            </w:r>
          </w:p>
        </w:tc>
      </w:tr>
      <w:tr w:rsidR="00FE0836" w:rsidRPr="00AE4E8D" w14:paraId="4F5A7B31" w14:textId="77777777" w:rsidTr="000400C8">
        <w:trPr>
          <w:trHeight w:val="255"/>
          <w:jc w:val="center"/>
        </w:trPr>
        <w:tc>
          <w:tcPr>
            <w:tcW w:w="2706" w:type="pct"/>
            <w:tcBorders>
              <w:top w:val="nil"/>
              <w:left w:val="nil"/>
              <w:bottom w:val="nil"/>
              <w:right w:val="nil"/>
            </w:tcBorders>
            <w:noWrap/>
            <w:vAlign w:val="bottom"/>
          </w:tcPr>
          <w:p w14:paraId="160AABAC" w14:textId="77777777" w:rsidR="00FE0836" w:rsidRPr="00AE4E8D" w:rsidRDefault="00FE0836" w:rsidP="00FE0836">
            <w:pPr>
              <w:tabs>
                <w:tab w:val="left" w:leader="dot" w:pos="4503"/>
              </w:tabs>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Otros </w:t>
            </w:r>
            <w:r w:rsidRPr="00AE4E8D">
              <w:rPr>
                <w:rFonts w:ascii="Times New Roman" w:hAnsi="Times New Roman"/>
                <w:lang w:val="es-ES" w:eastAsia="es-AR"/>
              </w:rPr>
              <w:tab/>
            </w:r>
          </w:p>
        </w:tc>
        <w:tc>
          <w:tcPr>
            <w:tcW w:w="725" w:type="pct"/>
            <w:tcBorders>
              <w:top w:val="nil"/>
              <w:left w:val="nil"/>
              <w:bottom w:val="nil"/>
              <w:right w:val="nil"/>
            </w:tcBorders>
            <w:shd w:val="clear" w:color="000000" w:fill="FFFFFF"/>
            <w:noWrap/>
            <w:vAlign w:val="bottom"/>
          </w:tcPr>
          <w:p w14:paraId="326899EF"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247,2</w:t>
            </w:r>
          </w:p>
        </w:tc>
        <w:tc>
          <w:tcPr>
            <w:tcW w:w="725" w:type="pct"/>
            <w:tcBorders>
              <w:top w:val="nil"/>
              <w:left w:val="nil"/>
              <w:bottom w:val="nil"/>
              <w:right w:val="nil"/>
            </w:tcBorders>
            <w:shd w:val="clear" w:color="000000" w:fill="FFFFFF"/>
            <w:noWrap/>
            <w:vAlign w:val="bottom"/>
          </w:tcPr>
          <w:p w14:paraId="71E6455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207,6</w:t>
            </w:r>
          </w:p>
        </w:tc>
        <w:tc>
          <w:tcPr>
            <w:tcW w:w="844" w:type="pct"/>
            <w:tcBorders>
              <w:top w:val="nil"/>
              <w:left w:val="nil"/>
              <w:bottom w:val="nil"/>
              <w:right w:val="nil"/>
            </w:tcBorders>
            <w:noWrap/>
            <w:vAlign w:val="bottom"/>
          </w:tcPr>
          <w:p w14:paraId="29FFA49A"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19,1%</w:t>
            </w:r>
          </w:p>
        </w:tc>
      </w:tr>
      <w:tr w:rsidR="00FE0836" w:rsidRPr="00AE4E8D" w14:paraId="27ECB852" w14:textId="77777777" w:rsidTr="000400C8">
        <w:trPr>
          <w:trHeight w:val="255"/>
          <w:jc w:val="center"/>
        </w:trPr>
        <w:tc>
          <w:tcPr>
            <w:tcW w:w="2706" w:type="pct"/>
            <w:tcBorders>
              <w:top w:val="nil"/>
              <w:left w:val="nil"/>
              <w:bottom w:val="nil"/>
              <w:right w:val="nil"/>
            </w:tcBorders>
            <w:noWrap/>
            <w:vAlign w:val="bottom"/>
          </w:tcPr>
          <w:p w14:paraId="5D34D912" w14:textId="77777777" w:rsidR="00FE0836" w:rsidRPr="00AE4E8D" w:rsidRDefault="00FE0836" w:rsidP="00FE0836">
            <w:pPr>
              <w:tabs>
                <w:tab w:val="left" w:leader="dot" w:pos="4503"/>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Total pérdidas diversas</w:t>
            </w:r>
            <w:r w:rsidRPr="00AE4E8D">
              <w:rPr>
                <w:rFonts w:ascii="Times New Roman" w:hAnsi="Times New Roman"/>
                <w:color w:val="000000"/>
                <w:sz w:val="18"/>
                <w:szCs w:val="18"/>
                <w:lang w:val="es-ES"/>
              </w:rPr>
              <w:t xml:space="preserve"> </w:t>
            </w:r>
            <w:r w:rsidRPr="00AE4E8D">
              <w:rPr>
                <w:rFonts w:ascii="Times New Roman" w:hAnsi="Times New Roman"/>
                <w:lang w:val="es-ES" w:eastAsia="es-AR"/>
              </w:rPr>
              <w:tab/>
            </w:r>
          </w:p>
        </w:tc>
        <w:tc>
          <w:tcPr>
            <w:tcW w:w="725" w:type="pct"/>
            <w:tcBorders>
              <w:top w:val="single" w:sz="8" w:space="0" w:color="auto"/>
              <w:left w:val="nil"/>
              <w:bottom w:val="single" w:sz="8" w:space="0" w:color="auto"/>
              <w:right w:val="nil"/>
            </w:tcBorders>
            <w:shd w:val="clear" w:color="000000" w:fill="FFFFFF"/>
            <w:noWrap/>
            <w:vAlign w:val="bottom"/>
          </w:tcPr>
          <w:p w14:paraId="4F787250"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366,6</w:t>
            </w:r>
          </w:p>
        </w:tc>
        <w:tc>
          <w:tcPr>
            <w:tcW w:w="725" w:type="pct"/>
            <w:tcBorders>
              <w:top w:val="single" w:sz="8" w:space="0" w:color="auto"/>
              <w:left w:val="nil"/>
              <w:bottom w:val="single" w:sz="8" w:space="0" w:color="auto"/>
              <w:right w:val="nil"/>
            </w:tcBorders>
            <w:shd w:val="clear" w:color="000000" w:fill="FFFFFF"/>
            <w:noWrap/>
            <w:vAlign w:val="bottom"/>
          </w:tcPr>
          <w:p w14:paraId="5AC63AAE"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367,7</w:t>
            </w:r>
          </w:p>
        </w:tc>
        <w:tc>
          <w:tcPr>
            <w:tcW w:w="844" w:type="pct"/>
            <w:tcBorders>
              <w:top w:val="single" w:sz="8" w:space="0" w:color="auto"/>
              <w:left w:val="nil"/>
              <w:bottom w:val="single" w:sz="8" w:space="0" w:color="auto"/>
              <w:right w:val="nil"/>
            </w:tcBorders>
            <w:noWrap/>
            <w:vAlign w:val="bottom"/>
          </w:tcPr>
          <w:p w14:paraId="01C61A54"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(0,3)%</w:t>
            </w:r>
          </w:p>
        </w:tc>
      </w:tr>
      <w:tr w:rsidR="00FE0836" w:rsidRPr="00AE4E8D" w14:paraId="0B29E6FE" w14:textId="77777777" w:rsidTr="000400C8">
        <w:trPr>
          <w:trHeight w:val="255"/>
          <w:jc w:val="center"/>
        </w:trPr>
        <w:tc>
          <w:tcPr>
            <w:tcW w:w="2706" w:type="pct"/>
            <w:tcBorders>
              <w:top w:val="nil"/>
              <w:left w:val="nil"/>
              <w:bottom w:val="nil"/>
              <w:right w:val="nil"/>
            </w:tcBorders>
            <w:noWrap/>
            <w:vAlign w:val="bottom"/>
          </w:tcPr>
          <w:p w14:paraId="3F67F749" w14:textId="77777777" w:rsidR="00FE0836" w:rsidRPr="00AE4E8D" w:rsidRDefault="00FE0836" w:rsidP="00FE0836">
            <w:pPr>
              <w:tabs>
                <w:tab w:val="left" w:leader="dot" w:pos="4503"/>
              </w:tabs>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Total utilidades diversas netas</w:t>
            </w:r>
            <w:r w:rsidRPr="00AE4E8D">
              <w:rPr>
                <w:rFonts w:ascii="Times New Roman" w:hAnsi="Times New Roman"/>
                <w:color w:val="000000"/>
                <w:sz w:val="18"/>
                <w:szCs w:val="18"/>
                <w:lang w:val="es-ES"/>
              </w:rPr>
              <w:t xml:space="preserve"> </w:t>
            </w:r>
            <w:r w:rsidR="00A558BA" w:rsidRPr="00AE4E8D">
              <w:rPr>
                <w:rFonts w:ascii="Times New Roman" w:hAnsi="Times New Roman"/>
                <w:color w:val="000000"/>
                <w:sz w:val="18"/>
                <w:szCs w:val="18"/>
                <w:lang w:val="es-ES"/>
              </w:rPr>
              <w:t>(pérdida)</w:t>
            </w:r>
            <w:r w:rsidRPr="00AE4E8D">
              <w:rPr>
                <w:rFonts w:ascii="Times New Roman" w:hAnsi="Times New Roman"/>
                <w:lang w:val="es-ES" w:eastAsia="es-AR"/>
              </w:rPr>
              <w:tab/>
            </w:r>
          </w:p>
        </w:tc>
        <w:tc>
          <w:tcPr>
            <w:tcW w:w="725" w:type="pct"/>
            <w:tcBorders>
              <w:top w:val="nil"/>
              <w:left w:val="nil"/>
              <w:bottom w:val="single" w:sz="8" w:space="0" w:color="auto"/>
              <w:right w:val="nil"/>
            </w:tcBorders>
            <w:shd w:val="clear" w:color="000000" w:fill="FFFFFF"/>
            <w:noWrap/>
            <w:vAlign w:val="bottom"/>
          </w:tcPr>
          <w:p w14:paraId="12867FA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(27,3)</w:t>
            </w:r>
          </w:p>
        </w:tc>
        <w:tc>
          <w:tcPr>
            <w:tcW w:w="725" w:type="pct"/>
            <w:tcBorders>
              <w:top w:val="nil"/>
              <w:left w:val="nil"/>
              <w:bottom w:val="single" w:sz="8" w:space="0" w:color="auto"/>
              <w:right w:val="nil"/>
            </w:tcBorders>
            <w:shd w:val="clear" w:color="000000" w:fill="FFFFFF"/>
            <w:noWrap/>
            <w:vAlign w:val="bottom"/>
          </w:tcPr>
          <w:p w14:paraId="4CDC75EC"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(31,3)</w:t>
            </w:r>
          </w:p>
        </w:tc>
        <w:tc>
          <w:tcPr>
            <w:tcW w:w="844" w:type="pct"/>
            <w:tcBorders>
              <w:top w:val="nil"/>
              <w:left w:val="nil"/>
              <w:bottom w:val="single" w:sz="8" w:space="0" w:color="auto"/>
              <w:right w:val="nil"/>
            </w:tcBorders>
            <w:noWrap/>
            <w:vAlign w:val="bottom"/>
          </w:tcPr>
          <w:p w14:paraId="40A4BE6B" w14:textId="77777777" w:rsidR="00FE0836" w:rsidRPr="00AE4E8D" w:rsidRDefault="00FE0836" w:rsidP="00FE0836">
            <w:pPr>
              <w:jc w:val="right"/>
              <w:rPr>
                <w:rFonts w:ascii="Times New Roman" w:hAnsi="Times New Roman"/>
                <w:color w:val="000000"/>
                <w:sz w:val="18"/>
                <w:szCs w:val="18"/>
                <w:lang w:val="es-ES"/>
              </w:rPr>
            </w:pPr>
            <w:r w:rsidRPr="00AE4E8D">
              <w:rPr>
                <w:rFonts w:ascii="Times New Roman" w:hAnsi="Times New Roman"/>
                <w:sz w:val="18"/>
                <w:szCs w:val="18"/>
                <w:lang w:val="es-ES"/>
              </w:rPr>
              <w:t>(12,8)%</w:t>
            </w:r>
          </w:p>
        </w:tc>
      </w:tr>
    </w:tbl>
    <w:p w14:paraId="618F42C3" w14:textId="77777777" w:rsidR="00FE0836" w:rsidRPr="00AE4E8D" w:rsidRDefault="00FE0836" w:rsidP="00FE0836">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Las utilidades diversas totales netas aumentaron 12,8% de una pérdida neta de Ps.31,3 millones por los seis meses finalizados el 30 de junio de 2016 a una pérdida neta de Ps.27,3 millones por los seis meses finalizados el 30 de junio de 2017, principalmente como resultado de:</w:t>
      </w:r>
    </w:p>
    <w:p w14:paraId="50011E49" w14:textId="77777777" w:rsidR="00FE0836" w:rsidRPr="00AE4E8D" w:rsidRDefault="00D711E7" w:rsidP="00FE0836">
      <w:pPr>
        <w:pStyle w:val="BHTexto"/>
        <w:numPr>
          <w:ilvl w:val="0"/>
          <w:numId w:val="101"/>
        </w:numPr>
        <w:rPr>
          <w:lang w:val="es-ES"/>
        </w:rPr>
      </w:pPr>
      <w:r w:rsidRPr="00AE4E8D">
        <w:rPr>
          <w:lang w:val="es-ES"/>
        </w:rPr>
        <w:t>u</w:t>
      </w:r>
      <w:r w:rsidR="00FE0836" w:rsidRPr="00AE4E8D">
        <w:rPr>
          <w:lang w:val="es-ES"/>
        </w:rPr>
        <w:t>n aumento del 19,1% en pérdidas diversas de Ps.207,6 millones por los seis meses finalizados el 30 de junio de 2016 a Ps.247,2 millones por los seis meses finalizado el 30 de junio de 2017, principalmente como resultado de mayores impuestos pagados por tasas provinciales y municipales</w:t>
      </w:r>
      <w:r w:rsidRPr="00AE4E8D">
        <w:rPr>
          <w:lang w:val="es-ES"/>
        </w:rPr>
        <w:t>; y</w:t>
      </w:r>
    </w:p>
    <w:p w14:paraId="55F3C27D" w14:textId="77777777" w:rsidR="00FE0836" w:rsidRPr="00AE4E8D" w:rsidRDefault="00D711E7" w:rsidP="00FE0836">
      <w:pPr>
        <w:pStyle w:val="BHTexto"/>
        <w:numPr>
          <w:ilvl w:val="0"/>
          <w:numId w:val="101"/>
        </w:numPr>
        <w:rPr>
          <w:lang w:val="es-ES"/>
        </w:rPr>
      </w:pPr>
      <w:r w:rsidRPr="00AE4E8D">
        <w:rPr>
          <w:lang w:val="es-ES"/>
        </w:rPr>
        <w:t>u</w:t>
      </w:r>
      <w:r w:rsidR="00FE0836" w:rsidRPr="00AE4E8D">
        <w:rPr>
          <w:lang w:val="es-ES"/>
        </w:rPr>
        <w:t>na disminución del 29,1% en recuperos de préstamos y desafectación de previsiones de Ps.168,8 millones por los seis meses finalizados el 30 de junio de 2016 a Ps.119,7 millones por los seis meses finalizado el 30 de junio de 2017.</w:t>
      </w:r>
    </w:p>
    <w:p w14:paraId="03792BCD" w14:textId="77777777" w:rsidR="00FE0836" w:rsidRPr="00AE4E8D" w:rsidRDefault="00FE0836" w:rsidP="00FE0836">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Estos aumentos en pérdidas diversas fueron compensados parcialmente por:</w:t>
      </w:r>
    </w:p>
    <w:p w14:paraId="5A920AA6" w14:textId="77777777" w:rsidR="00FE0836" w:rsidRPr="00AE4E8D" w:rsidRDefault="00D711E7" w:rsidP="00FE0836">
      <w:pPr>
        <w:pStyle w:val="BHTexto"/>
        <w:numPr>
          <w:ilvl w:val="0"/>
          <w:numId w:val="102"/>
        </w:numPr>
        <w:rPr>
          <w:lang w:val="es-ES"/>
        </w:rPr>
      </w:pPr>
      <w:r w:rsidRPr="00AE4E8D">
        <w:rPr>
          <w:lang w:val="es-ES"/>
        </w:rPr>
        <w:t>m</w:t>
      </w:r>
      <w:r w:rsidR="00FE0836" w:rsidRPr="00AE4E8D">
        <w:rPr>
          <w:lang w:val="es-ES"/>
        </w:rPr>
        <w:t>enores cargos de 26,6% por créditos diversos y otras previsiones, de Ps.158,0 millones por los seis meses finalizados el 30 de junio de 2016 a Ps.115,9 millones por los seis meses finalizados el 30 de junio de 2017</w:t>
      </w:r>
      <w:r w:rsidR="00EC10D3" w:rsidRPr="00AE4E8D">
        <w:rPr>
          <w:lang w:val="es-ES"/>
        </w:rPr>
        <w:t>; y</w:t>
      </w:r>
    </w:p>
    <w:p w14:paraId="2FAF5E78" w14:textId="77777777" w:rsidR="00FE0836" w:rsidRPr="00AE4E8D" w:rsidRDefault="00D711E7" w:rsidP="00FE0836">
      <w:pPr>
        <w:pStyle w:val="BHTexto"/>
        <w:numPr>
          <w:ilvl w:val="0"/>
          <w:numId w:val="102"/>
        </w:numPr>
        <w:rPr>
          <w:lang w:val="es-ES"/>
        </w:rPr>
      </w:pPr>
      <w:r w:rsidRPr="00AE4E8D">
        <w:rPr>
          <w:lang w:val="es-ES"/>
        </w:rPr>
        <w:t>u</w:t>
      </w:r>
      <w:r w:rsidR="00FE0836" w:rsidRPr="00AE4E8D">
        <w:rPr>
          <w:lang w:val="es-ES"/>
        </w:rPr>
        <w:t>n aumento del 47,9% en otras utilidades diversas de Ps.94</w:t>
      </w:r>
      <w:proofErr w:type="gramStart"/>
      <w:r w:rsidR="00FE0836" w:rsidRPr="00AE4E8D">
        <w:rPr>
          <w:lang w:val="es-ES"/>
        </w:rPr>
        <w:t>,9</w:t>
      </w:r>
      <w:proofErr w:type="gramEnd"/>
      <w:r w:rsidR="00FE0836" w:rsidRPr="00AE4E8D">
        <w:rPr>
          <w:lang w:val="es-ES"/>
        </w:rPr>
        <w:t xml:space="preserve"> millones por los seis meses finalizados el 30 de junio de 2016 a Ps.140,4 millones por los seis meses finalizado el 30 de </w:t>
      </w:r>
      <w:r w:rsidR="00FE0836" w:rsidRPr="00AE4E8D">
        <w:rPr>
          <w:lang w:val="es-ES"/>
        </w:rPr>
        <w:lastRenderedPageBreak/>
        <w:t>junio de 2017, principalmente</w:t>
      </w:r>
      <w:r w:rsidRPr="00AE4E8D">
        <w:rPr>
          <w:lang w:val="es-ES"/>
        </w:rPr>
        <w:t xml:space="preserve"> como resultado de</w:t>
      </w:r>
      <w:r w:rsidR="00FE0836" w:rsidRPr="00AE4E8D">
        <w:rPr>
          <w:lang w:val="es-ES"/>
        </w:rPr>
        <w:t xml:space="preserve"> la ganancia de Ps.58,4 millones generada a partir de la venta de un inmueble durante el primer semestre del 2017.</w:t>
      </w:r>
    </w:p>
    <w:p w14:paraId="75C7E51A" w14:textId="77777777" w:rsidR="002E5441" w:rsidRPr="00AE4E8D" w:rsidRDefault="002E5441" w:rsidP="002E5441">
      <w:pPr>
        <w:pStyle w:val="BH3Izquierda"/>
        <w:rPr>
          <w:lang w:val="es-ES"/>
        </w:rPr>
      </w:pPr>
      <w:r w:rsidRPr="00AE4E8D">
        <w:rPr>
          <w:lang w:val="es-ES"/>
        </w:rPr>
        <w:t>Ejercicios Finalizados el 31 de diciembre de 2015 y 2016</w:t>
      </w:r>
    </w:p>
    <w:p w14:paraId="10AD098A" w14:textId="77777777" w:rsidR="002E5441" w:rsidRPr="00AE4E8D" w:rsidRDefault="002E5441" w:rsidP="002E5441">
      <w:pPr>
        <w:pStyle w:val="BHTexto"/>
      </w:pPr>
      <w:r w:rsidRPr="00AE4E8D">
        <w:t>El siguiente cuadro detalla los principales rubros de nuestros resultados por ejercicios finalizados el 31 de diciembre de 2016 y 2015:</w:t>
      </w:r>
    </w:p>
    <w:tbl>
      <w:tblPr>
        <w:tblW w:w="5000" w:type="pct"/>
        <w:jc w:val="center"/>
        <w:tblLook w:val="00A0" w:firstRow="1" w:lastRow="0" w:firstColumn="1" w:lastColumn="0" w:noHBand="0" w:noVBand="0"/>
      </w:tblPr>
      <w:tblGrid>
        <w:gridCol w:w="4247"/>
        <w:gridCol w:w="1352"/>
        <w:gridCol w:w="1352"/>
        <w:gridCol w:w="1770"/>
      </w:tblGrid>
      <w:tr w:rsidR="002E5441" w:rsidRPr="00AE4E8D" w14:paraId="772AF7ED" w14:textId="77777777" w:rsidTr="000400C8">
        <w:trPr>
          <w:trHeight w:val="270"/>
          <w:tblHeader/>
          <w:jc w:val="center"/>
        </w:trPr>
        <w:tc>
          <w:tcPr>
            <w:tcW w:w="2435" w:type="pct"/>
            <w:noWrap/>
            <w:vAlign w:val="bottom"/>
          </w:tcPr>
          <w:p w14:paraId="5953A69B" w14:textId="77777777" w:rsidR="002E5441" w:rsidRPr="00AE4E8D" w:rsidRDefault="002E5441" w:rsidP="00E8320E">
            <w:pPr>
              <w:rPr>
                <w:rFonts w:ascii="Times New Roman" w:hAnsi="Times New Roman"/>
                <w:color w:val="000000"/>
                <w:sz w:val="18"/>
                <w:szCs w:val="18"/>
                <w:lang w:val="es-ES"/>
              </w:rPr>
            </w:pPr>
          </w:p>
        </w:tc>
        <w:tc>
          <w:tcPr>
            <w:tcW w:w="1550" w:type="pct"/>
            <w:gridSpan w:val="2"/>
            <w:tcBorders>
              <w:top w:val="single" w:sz="8" w:space="0" w:color="auto"/>
              <w:left w:val="nil"/>
              <w:bottom w:val="single" w:sz="8" w:space="0" w:color="auto"/>
              <w:right w:val="nil"/>
            </w:tcBorders>
            <w:noWrap/>
            <w:vAlign w:val="bottom"/>
            <w:hideMark/>
          </w:tcPr>
          <w:p w14:paraId="792B8057" w14:textId="77777777" w:rsidR="002E5441" w:rsidRPr="00AE4E8D" w:rsidRDefault="002E5441" w:rsidP="00E8320E">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Ejercicio finalizado </w:t>
            </w:r>
          </w:p>
          <w:p w14:paraId="14E7895C" w14:textId="77777777" w:rsidR="002E5441" w:rsidRPr="00AE4E8D" w:rsidRDefault="002E5441" w:rsidP="00E8320E">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el 31 de diciembre de</w:t>
            </w:r>
          </w:p>
        </w:tc>
        <w:tc>
          <w:tcPr>
            <w:tcW w:w="1015" w:type="pct"/>
            <w:tcBorders>
              <w:top w:val="single" w:sz="8" w:space="0" w:color="auto"/>
              <w:left w:val="nil"/>
              <w:bottom w:val="single" w:sz="8" w:space="0" w:color="auto"/>
              <w:right w:val="nil"/>
            </w:tcBorders>
            <w:noWrap/>
            <w:vAlign w:val="bottom"/>
            <w:hideMark/>
          </w:tcPr>
          <w:p w14:paraId="118D5CBA"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2E5441" w:rsidRPr="00AE4E8D" w14:paraId="4EF85F34" w14:textId="77777777" w:rsidTr="000400C8">
        <w:trPr>
          <w:trHeight w:val="315"/>
          <w:tblHeader/>
          <w:jc w:val="center"/>
        </w:trPr>
        <w:tc>
          <w:tcPr>
            <w:tcW w:w="2435" w:type="pct"/>
            <w:noWrap/>
            <w:vAlign w:val="bottom"/>
          </w:tcPr>
          <w:p w14:paraId="46762D51" w14:textId="77777777" w:rsidR="002E5441" w:rsidRPr="00AE4E8D" w:rsidRDefault="002E5441" w:rsidP="00E8320E">
            <w:pPr>
              <w:rPr>
                <w:rFonts w:ascii="Times New Roman" w:hAnsi="Times New Roman"/>
                <w:color w:val="000000"/>
                <w:sz w:val="18"/>
                <w:szCs w:val="18"/>
                <w:lang w:val="en-US"/>
              </w:rPr>
            </w:pPr>
          </w:p>
        </w:tc>
        <w:tc>
          <w:tcPr>
            <w:tcW w:w="775" w:type="pct"/>
            <w:tcBorders>
              <w:top w:val="nil"/>
              <w:left w:val="nil"/>
              <w:bottom w:val="single" w:sz="8" w:space="0" w:color="auto"/>
              <w:right w:val="nil"/>
            </w:tcBorders>
            <w:noWrap/>
            <w:vAlign w:val="bottom"/>
            <w:hideMark/>
          </w:tcPr>
          <w:p w14:paraId="3EB55DC2"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2016</w:t>
            </w:r>
          </w:p>
        </w:tc>
        <w:tc>
          <w:tcPr>
            <w:tcW w:w="775" w:type="pct"/>
            <w:tcBorders>
              <w:top w:val="nil"/>
              <w:left w:val="nil"/>
              <w:bottom w:val="single" w:sz="8" w:space="0" w:color="auto"/>
              <w:right w:val="nil"/>
            </w:tcBorders>
            <w:noWrap/>
            <w:vAlign w:val="bottom"/>
            <w:hideMark/>
          </w:tcPr>
          <w:p w14:paraId="4EDAB371"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1015" w:type="pct"/>
            <w:tcBorders>
              <w:top w:val="nil"/>
              <w:left w:val="nil"/>
              <w:bottom w:val="single" w:sz="8" w:space="0" w:color="auto"/>
              <w:right w:val="nil"/>
            </w:tcBorders>
            <w:noWrap/>
            <w:vAlign w:val="bottom"/>
            <w:hideMark/>
          </w:tcPr>
          <w:p w14:paraId="3722D955"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2015/2016</w:t>
            </w:r>
          </w:p>
        </w:tc>
      </w:tr>
      <w:tr w:rsidR="002E5441" w:rsidRPr="00AE4E8D" w14:paraId="370EC455" w14:textId="77777777" w:rsidTr="000400C8">
        <w:trPr>
          <w:trHeight w:val="300"/>
          <w:jc w:val="center"/>
        </w:trPr>
        <w:tc>
          <w:tcPr>
            <w:tcW w:w="2435" w:type="pct"/>
            <w:noWrap/>
            <w:vAlign w:val="bottom"/>
          </w:tcPr>
          <w:p w14:paraId="2969391D" w14:textId="77777777" w:rsidR="002E5441" w:rsidRPr="00AE4E8D" w:rsidRDefault="002E5441" w:rsidP="00E8320E">
            <w:pPr>
              <w:rPr>
                <w:rFonts w:ascii="Times New Roman" w:hAnsi="Times New Roman"/>
                <w:color w:val="000000"/>
                <w:sz w:val="18"/>
                <w:szCs w:val="18"/>
                <w:lang w:val="en-US"/>
              </w:rPr>
            </w:pPr>
          </w:p>
        </w:tc>
        <w:tc>
          <w:tcPr>
            <w:tcW w:w="2565" w:type="pct"/>
            <w:gridSpan w:val="3"/>
            <w:tcBorders>
              <w:top w:val="single" w:sz="8" w:space="0" w:color="auto"/>
              <w:left w:val="nil"/>
              <w:bottom w:val="nil"/>
              <w:right w:val="nil"/>
            </w:tcBorders>
            <w:noWrap/>
            <w:vAlign w:val="bottom"/>
            <w:hideMark/>
          </w:tcPr>
          <w:p w14:paraId="44C0E49A" w14:textId="77777777" w:rsidR="002E5441" w:rsidRPr="00AE4E8D" w:rsidRDefault="002E5441" w:rsidP="00E8320E">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2E5441" w:rsidRPr="00AE4E8D" w14:paraId="0987DAE9" w14:textId="77777777" w:rsidTr="000400C8">
        <w:trPr>
          <w:trHeight w:val="255"/>
          <w:jc w:val="center"/>
        </w:trPr>
        <w:tc>
          <w:tcPr>
            <w:tcW w:w="2435" w:type="pct"/>
            <w:noWrap/>
            <w:vAlign w:val="bottom"/>
            <w:hideMark/>
          </w:tcPr>
          <w:p w14:paraId="4C8EC94B" w14:textId="77777777" w:rsidR="002E5441" w:rsidRPr="00AE4E8D" w:rsidRDefault="002E5441" w:rsidP="0084592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Ingresos Financieros </w:t>
            </w:r>
          </w:p>
        </w:tc>
        <w:tc>
          <w:tcPr>
            <w:tcW w:w="775" w:type="pct"/>
            <w:shd w:val="clear" w:color="000000" w:fill="FFFFFF"/>
            <w:noWrap/>
            <w:vAlign w:val="bottom"/>
            <w:hideMark/>
          </w:tcPr>
          <w:p w14:paraId="1CCD28FA"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9.378,0</w:t>
            </w:r>
          </w:p>
        </w:tc>
        <w:tc>
          <w:tcPr>
            <w:tcW w:w="775" w:type="pct"/>
            <w:shd w:val="clear" w:color="000000" w:fill="FFFFFF"/>
            <w:noWrap/>
            <w:vAlign w:val="bottom"/>
            <w:hideMark/>
          </w:tcPr>
          <w:p w14:paraId="05A9B36D"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7.246,6</w:t>
            </w:r>
          </w:p>
        </w:tc>
        <w:tc>
          <w:tcPr>
            <w:tcW w:w="1015" w:type="pct"/>
            <w:noWrap/>
            <w:vAlign w:val="bottom"/>
            <w:hideMark/>
          </w:tcPr>
          <w:p w14:paraId="5A54FD57"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29,4%</w:t>
            </w:r>
          </w:p>
        </w:tc>
      </w:tr>
      <w:tr w:rsidR="002E5441" w:rsidRPr="00AE4E8D" w14:paraId="66CF436E" w14:textId="77777777" w:rsidTr="000400C8">
        <w:trPr>
          <w:trHeight w:val="270"/>
          <w:jc w:val="center"/>
        </w:trPr>
        <w:tc>
          <w:tcPr>
            <w:tcW w:w="2435" w:type="pct"/>
            <w:noWrap/>
            <w:vAlign w:val="bottom"/>
            <w:hideMark/>
          </w:tcPr>
          <w:p w14:paraId="3BE5CA20" w14:textId="77777777" w:rsidR="002E5441" w:rsidRPr="00AE4E8D" w:rsidRDefault="002E5441" w:rsidP="0084592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Egresos Financieros </w:t>
            </w:r>
          </w:p>
        </w:tc>
        <w:tc>
          <w:tcPr>
            <w:tcW w:w="775" w:type="pct"/>
            <w:shd w:val="clear" w:color="000000" w:fill="FFFFFF"/>
            <w:noWrap/>
            <w:vAlign w:val="bottom"/>
            <w:hideMark/>
          </w:tcPr>
          <w:p w14:paraId="79881147"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6.558,6</w:t>
            </w:r>
            <w:r w:rsidRPr="00AE4E8D">
              <w:rPr>
                <w:rFonts w:ascii="Times New Roman" w:hAnsi="Times New Roman"/>
                <w:color w:val="000000"/>
                <w:sz w:val="18"/>
                <w:lang w:val="es-ES"/>
              </w:rPr>
              <w:t>)</w:t>
            </w:r>
          </w:p>
        </w:tc>
        <w:tc>
          <w:tcPr>
            <w:tcW w:w="775" w:type="pct"/>
            <w:shd w:val="clear" w:color="000000" w:fill="FFFFFF"/>
            <w:noWrap/>
            <w:vAlign w:val="bottom"/>
            <w:hideMark/>
          </w:tcPr>
          <w:p w14:paraId="740BC0F5"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4.212,1</w:t>
            </w:r>
            <w:r w:rsidRPr="00AE4E8D">
              <w:rPr>
                <w:rFonts w:ascii="Times New Roman" w:hAnsi="Times New Roman"/>
                <w:color w:val="000000"/>
                <w:sz w:val="18"/>
                <w:lang w:val="es-ES"/>
              </w:rPr>
              <w:t>)</w:t>
            </w:r>
          </w:p>
        </w:tc>
        <w:tc>
          <w:tcPr>
            <w:tcW w:w="1015" w:type="pct"/>
            <w:noWrap/>
            <w:vAlign w:val="bottom"/>
            <w:hideMark/>
          </w:tcPr>
          <w:p w14:paraId="01F67410"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55,7%</w:t>
            </w:r>
          </w:p>
        </w:tc>
      </w:tr>
      <w:tr w:rsidR="002E5441" w:rsidRPr="00AE4E8D" w14:paraId="53CBA717" w14:textId="77777777" w:rsidTr="000400C8">
        <w:trPr>
          <w:trHeight w:val="270"/>
          <w:jc w:val="center"/>
        </w:trPr>
        <w:tc>
          <w:tcPr>
            <w:tcW w:w="2435" w:type="pct"/>
            <w:noWrap/>
            <w:vAlign w:val="bottom"/>
            <w:hideMark/>
          </w:tcPr>
          <w:p w14:paraId="385AC6F4" w14:textId="77777777" w:rsidR="002E5441" w:rsidRPr="00AE4E8D" w:rsidRDefault="002E5441" w:rsidP="0084592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Margen Financiero Neto </w:t>
            </w:r>
          </w:p>
        </w:tc>
        <w:tc>
          <w:tcPr>
            <w:tcW w:w="775" w:type="pct"/>
            <w:tcBorders>
              <w:top w:val="single" w:sz="8" w:space="0" w:color="auto"/>
              <w:left w:val="nil"/>
              <w:bottom w:val="single" w:sz="8" w:space="0" w:color="auto"/>
              <w:right w:val="nil"/>
            </w:tcBorders>
            <w:shd w:val="clear" w:color="000000" w:fill="FFFFFF"/>
            <w:noWrap/>
            <w:vAlign w:val="bottom"/>
            <w:hideMark/>
          </w:tcPr>
          <w:p w14:paraId="0D8F5004"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2.</w:t>
            </w:r>
            <w:r w:rsidRPr="00AE4E8D">
              <w:rPr>
                <w:rFonts w:ascii="Times New Roman" w:hAnsi="Times New Roman"/>
                <w:color w:val="000000"/>
                <w:sz w:val="18"/>
                <w:szCs w:val="18"/>
                <w:lang w:val="es-ES"/>
              </w:rPr>
              <w:t>819</w:t>
            </w:r>
            <w:r w:rsidRPr="00AE4E8D">
              <w:rPr>
                <w:rFonts w:ascii="Times New Roman" w:hAnsi="Times New Roman"/>
                <w:color w:val="000000"/>
                <w:sz w:val="18"/>
                <w:lang w:val="es-ES"/>
              </w:rPr>
              <w:t>,4</w:t>
            </w:r>
          </w:p>
        </w:tc>
        <w:tc>
          <w:tcPr>
            <w:tcW w:w="775" w:type="pct"/>
            <w:tcBorders>
              <w:top w:val="single" w:sz="8" w:space="0" w:color="auto"/>
              <w:left w:val="nil"/>
              <w:bottom w:val="single" w:sz="8" w:space="0" w:color="auto"/>
              <w:right w:val="nil"/>
            </w:tcBorders>
            <w:shd w:val="clear" w:color="000000" w:fill="FFFFFF"/>
            <w:noWrap/>
            <w:vAlign w:val="bottom"/>
            <w:hideMark/>
          </w:tcPr>
          <w:p w14:paraId="4DFD66F8"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3.034,5</w:t>
            </w:r>
          </w:p>
        </w:tc>
        <w:tc>
          <w:tcPr>
            <w:tcW w:w="1015" w:type="pct"/>
            <w:tcBorders>
              <w:top w:val="single" w:sz="8" w:space="0" w:color="auto"/>
              <w:left w:val="nil"/>
              <w:bottom w:val="single" w:sz="8" w:space="0" w:color="auto"/>
              <w:right w:val="nil"/>
            </w:tcBorders>
            <w:noWrap/>
            <w:vAlign w:val="bottom"/>
            <w:hideMark/>
          </w:tcPr>
          <w:p w14:paraId="0D6416CE"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(7,1)%</w:t>
            </w:r>
          </w:p>
        </w:tc>
      </w:tr>
      <w:tr w:rsidR="002E5441" w:rsidRPr="00AE4E8D" w14:paraId="4E9AC2A0" w14:textId="77777777" w:rsidTr="000400C8">
        <w:trPr>
          <w:trHeight w:val="255"/>
          <w:jc w:val="center"/>
        </w:trPr>
        <w:tc>
          <w:tcPr>
            <w:tcW w:w="2435" w:type="pct"/>
            <w:noWrap/>
            <w:vAlign w:val="bottom"/>
            <w:hideMark/>
          </w:tcPr>
          <w:p w14:paraId="46D5F76B" w14:textId="77777777" w:rsidR="002E5441" w:rsidRPr="00AE4E8D" w:rsidRDefault="002E5441" w:rsidP="0084592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Cargo por Incobrabilidad </w:t>
            </w:r>
          </w:p>
        </w:tc>
        <w:tc>
          <w:tcPr>
            <w:tcW w:w="775" w:type="pct"/>
            <w:shd w:val="clear" w:color="000000" w:fill="FFFFFF"/>
            <w:noWrap/>
            <w:vAlign w:val="bottom"/>
            <w:hideMark/>
          </w:tcPr>
          <w:p w14:paraId="1981AA73"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466,4</w:t>
            </w:r>
            <w:r w:rsidRPr="00AE4E8D">
              <w:rPr>
                <w:rFonts w:ascii="Times New Roman" w:hAnsi="Times New Roman"/>
                <w:color w:val="000000"/>
                <w:sz w:val="18"/>
                <w:lang w:val="es-ES"/>
              </w:rPr>
              <w:t>)</w:t>
            </w:r>
          </w:p>
        </w:tc>
        <w:tc>
          <w:tcPr>
            <w:tcW w:w="775" w:type="pct"/>
            <w:shd w:val="clear" w:color="000000" w:fill="FFFFFF"/>
            <w:noWrap/>
            <w:vAlign w:val="bottom"/>
            <w:hideMark/>
          </w:tcPr>
          <w:p w14:paraId="1E74CACE"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354,2</w:t>
            </w:r>
            <w:r w:rsidRPr="00AE4E8D">
              <w:rPr>
                <w:rFonts w:ascii="Times New Roman" w:hAnsi="Times New Roman"/>
                <w:color w:val="000000"/>
                <w:sz w:val="18"/>
                <w:lang w:val="es-ES"/>
              </w:rPr>
              <w:t>)</w:t>
            </w:r>
          </w:p>
        </w:tc>
        <w:tc>
          <w:tcPr>
            <w:tcW w:w="1015" w:type="pct"/>
            <w:noWrap/>
            <w:vAlign w:val="bottom"/>
            <w:hideMark/>
          </w:tcPr>
          <w:p w14:paraId="01951030"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31,7%</w:t>
            </w:r>
          </w:p>
        </w:tc>
      </w:tr>
      <w:tr w:rsidR="002E5441" w:rsidRPr="00AE4E8D" w14:paraId="5A330C8A" w14:textId="77777777" w:rsidTr="000400C8">
        <w:trPr>
          <w:trHeight w:val="255"/>
          <w:jc w:val="center"/>
        </w:trPr>
        <w:tc>
          <w:tcPr>
            <w:tcW w:w="2435" w:type="pct"/>
            <w:noWrap/>
            <w:vAlign w:val="bottom"/>
            <w:hideMark/>
          </w:tcPr>
          <w:p w14:paraId="22294F04" w14:textId="77777777" w:rsidR="002E5441" w:rsidRPr="00AE4E8D" w:rsidRDefault="002E5441" w:rsidP="00AE4E8D">
            <w:pPr>
              <w:rPr>
                <w:rFonts w:ascii="Times New Roman" w:hAnsi="Times New Roman"/>
                <w:color w:val="000000"/>
                <w:sz w:val="18"/>
                <w:szCs w:val="18"/>
                <w:lang w:val="en-US"/>
              </w:rPr>
            </w:pPr>
            <w:r w:rsidRPr="00AE4E8D">
              <w:rPr>
                <w:rFonts w:ascii="Times New Roman" w:hAnsi="Times New Roman"/>
                <w:color w:val="000000"/>
                <w:sz w:val="18"/>
                <w:szCs w:val="18"/>
                <w:lang w:val="es-ES"/>
              </w:rPr>
              <w:t>Ingresos por servicios, neto:</w:t>
            </w:r>
            <w:r w:rsidR="00AE4E8D" w:rsidRPr="00AE4E8D">
              <w:rPr>
                <w:rFonts w:ascii="Times New Roman" w:hAnsi="Times New Roman"/>
                <w:color w:val="000000"/>
                <w:sz w:val="18"/>
                <w:szCs w:val="18"/>
                <w:lang w:val="es-ES"/>
              </w:rPr>
              <w:t xml:space="preserve"> </w:t>
            </w:r>
          </w:p>
        </w:tc>
        <w:tc>
          <w:tcPr>
            <w:tcW w:w="775" w:type="pct"/>
            <w:shd w:val="clear" w:color="000000" w:fill="FFFFFF"/>
            <w:noWrap/>
            <w:vAlign w:val="bottom"/>
          </w:tcPr>
          <w:p w14:paraId="25C9180F" w14:textId="77777777" w:rsidR="002E5441" w:rsidRPr="00AE4E8D" w:rsidRDefault="002E5441" w:rsidP="00E8320E">
            <w:pPr>
              <w:jc w:val="right"/>
              <w:rPr>
                <w:rFonts w:ascii="Times New Roman" w:hAnsi="Times New Roman"/>
                <w:color w:val="000000"/>
                <w:sz w:val="18"/>
                <w:lang w:val="es-ES"/>
              </w:rPr>
            </w:pPr>
          </w:p>
        </w:tc>
        <w:tc>
          <w:tcPr>
            <w:tcW w:w="775" w:type="pct"/>
            <w:shd w:val="clear" w:color="000000" w:fill="FFFFFF"/>
            <w:noWrap/>
            <w:vAlign w:val="bottom"/>
            <w:hideMark/>
          </w:tcPr>
          <w:p w14:paraId="2EACB57E"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 </w:t>
            </w:r>
          </w:p>
        </w:tc>
        <w:tc>
          <w:tcPr>
            <w:tcW w:w="1015" w:type="pct"/>
            <w:noWrap/>
            <w:vAlign w:val="bottom"/>
          </w:tcPr>
          <w:p w14:paraId="32BB6589" w14:textId="77777777" w:rsidR="002E5441" w:rsidRPr="00AE4E8D" w:rsidRDefault="002E5441" w:rsidP="00E8320E">
            <w:pPr>
              <w:jc w:val="right"/>
              <w:rPr>
                <w:rFonts w:ascii="Times New Roman" w:hAnsi="Times New Roman"/>
                <w:sz w:val="18"/>
              </w:rPr>
            </w:pPr>
          </w:p>
        </w:tc>
      </w:tr>
      <w:tr w:rsidR="002E5441" w:rsidRPr="00AE4E8D" w14:paraId="39FB9401" w14:textId="77777777" w:rsidTr="000400C8">
        <w:trPr>
          <w:trHeight w:val="255"/>
          <w:jc w:val="center"/>
        </w:trPr>
        <w:tc>
          <w:tcPr>
            <w:tcW w:w="2435" w:type="pct"/>
            <w:noWrap/>
            <w:vAlign w:val="bottom"/>
            <w:hideMark/>
          </w:tcPr>
          <w:p w14:paraId="7374E6D1"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Ingresos Netos por seguros (1)  </w:t>
            </w:r>
          </w:p>
        </w:tc>
        <w:tc>
          <w:tcPr>
            <w:tcW w:w="775" w:type="pct"/>
            <w:shd w:val="clear" w:color="000000" w:fill="FFFFFF"/>
            <w:noWrap/>
            <w:vAlign w:val="bottom"/>
            <w:hideMark/>
          </w:tcPr>
          <w:p w14:paraId="66C7D436"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1.</w:t>
            </w:r>
            <w:r w:rsidRPr="00AE4E8D">
              <w:rPr>
                <w:rFonts w:ascii="Times New Roman" w:hAnsi="Times New Roman"/>
                <w:color w:val="000000"/>
                <w:sz w:val="18"/>
                <w:szCs w:val="18"/>
                <w:lang w:val="es-ES"/>
              </w:rPr>
              <w:t>773,4</w:t>
            </w:r>
          </w:p>
        </w:tc>
        <w:tc>
          <w:tcPr>
            <w:tcW w:w="775" w:type="pct"/>
            <w:shd w:val="clear" w:color="000000" w:fill="FFFFFF"/>
            <w:noWrap/>
            <w:vAlign w:val="bottom"/>
            <w:hideMark/>
          </w:tcPr>
          <w:p w14:paraId="1B25183A" w14:textId="77777777" w:rsidR="002E5441" w:rsidRPr="00AE4E8D" w:rsidRDefault="002E5441" w:rsidP="00E8320E">
            <w:pPr>
              <w:jc w:val="right"/>
              <w:rPr>
                <w:rFonts w:ascii="Times New Roman" w:hAnsi="Times New Roman"/>
                <w:color w:val="000000"/>
                <w:sz w:val="18"/>
                <w:lang w:val="en-US"/>
              </w:rPr>
            </w:pPr>
            <w:r w:rsidRPr="00AE4E8D">
              <w:rPr>
                <w:rFonts w:ascii="Times New Roman" w:hAnsi="Times New Roman"/>
                <w:color w:val="000000"/>
                <w:sz w:val="18"/>
                <w:szCs w:val="18"/>
                <w:lang w:val="es-ES"/>
              </w:rPr>
              <w:t>1.359,0</w:t>
            </w:r>
          </w:p>
        </w:tc>
        <w:tc>
          <w:tcPr>
            <w:tcW w:w="1015" w:type="pct"/>
            <w:noWrap/>
            <w:vAlign w:val="bottom"/>
            <w:hideMark/>
          </w:tcPr>
          <w:p w14:paraId="791F1F2A"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30,5%</w:t>
            </w:r>
          </w:p>
        </w:tc>
      </w:tr>
      <w:tr w:rsidR="002E5441" w:rsidRPr="00AE4E8D" w14:paraId="0641AEB2" w14:textId="77777777" w:rsidTr="000400C8">
        <w:trPr>
          <w:trHeight w:val="315"/>
          <w:jc w:val="center"/>
        </w:trPr>
        <w:tc>
          <w:tcPr>
            <w:tcW w:w="2435" w:type="pct"/>
            <w:noWrap/>
            <w:vAlign w:val="bottom"/>
            <w:hideMark/>
          </w:tcPr>
          <w:p w14:paraId="0369CD0C"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Otros ingresos netos por servicios (2)  </w:t>
            </w:r>
          </w:p>
        </w:tc>
        <w:tc>
          <w:tcPr>
            <w:tcW w:w="775" w:type="pct"/>
            <w:shd w:val="clear" w:color="000000" w:fill="FFFFFF"/>
            <w:noWrap/>
            <w:vAlign w:val="bottom"/>
            <w:hideMark/>
          </w:tcPr>
          <w:p w14:paraId="0CEC014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2</w:t>
            </w:r>
            <w:r w:rsidRPr="00AE4E8D">
              <w:rPr>
                <w:rFonts w:ascii="Times New Roman" w:hAnsi="Times New Roman"/>
                <w:color w:val="000000"/>
                <w:sz w:val="18"/>
                <w:szCs w:val="18"/>
                <w:lang w:val="es-ES"/>
              </w:rPr>
              <w:t>.115,0</w:t>
            </w:r>
          </w:p>
        </w:tc>
        <w:tc>
          <w:tcPr>
            <w:tcW w:w="775" w:type="pct"/>
            <w:shd w:val="clear" w:color="000000" w:fill="FFFFFF"/>
            <w:noWrap/>
            <w:vAlign w:val="bottom"/>
            <w:hideMark/>
          </w:tcPr>
          <w:p w14:paraId="54FACCCD" w14:textId="77777777" w:rsidR="002E5441" w:rsidRPr="00AE4E8D" w:rsidRDefault="002E5441" w:rsidP="00E8320E">
            <w:pPr>
              <w:jc w:val="right"/>
              <w:rPr>
                <w:rFonts w:ascii="Times New Roman" w:hAnsi="Times New Roman"/>
                <w:color w:val="000000"/>
                <w:sz w:val="18"/>
                <w:lang w:val="en-US"/>
              </w:rPr>
            </w:pPr>
            <w:r w:rsidRPr="00AE4E8D">
              <w:rPr>
                <w:rFonts w:ascii="Times New Roman" w:hAnsi="Times New Roman"/>
                <w:color w:val="000000"/>
                <w:sz w:val="18"/>
                <w:lang w:val="es-ES"/>
              </w:rPr>
              <w:t>1.</w:t>
            </w:r>
            <w:r w:rsidRPr="00AE4E8D">
              <w:rPr>
                <w:rFonts w:ascii="Times New Roman" w:hAnsi="Times New Roman"/>
                <w:color w:val="000000"/>
                <w:sz w:val="18"/>
                <w:szCs w:val="18"/>
                <w:lang w:val="es-ES"/>
              </w:rPr>
              <w:t>666,5</w:t>
            </w:r>
          </w:p>
        </w:tc>
        <w:tc>
          <w:tcPr>
            <w:tcW w:w="1015" w:type="pct"/>
            <w:noWrap/>
            <w:vAlign w:val="bottom"/>
            <w:hideMark/>
          </w:tcPr>
          <w:p w14:paraId="348FA88B"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26,9%</w:t>
            </w:r>
          </w:p>
        </w:tc>
      </w:tr>
      <w:tr w:rsidR="002E5441" w:rsidRPr="00AE4E8D" w14:paraId="55CE422A" w14:textId="77777777" w:rsidTr="000400C8">
        <w:trPr>
          <w:trHeight w:val="315"/>
          <w:jc w:val="center"/>
        </w:trPr>
        <w:tc>
          <w:tcPr>
            <w:tcW w:w="2435" w:type="pct"/>
            <w:noWrap/>
            <w:vAlign w:val="bottom"/>
            <w:hideMark/>
          </w:tcPr>
          <w:p w14:paraId="20D7A01C"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Subtotal de ingresos por servicios neto  </w:t>
            </w:r>
          </w:p>
        </w:tc>
        <w:tc>
          <w:tcPr>
            <w:tcW w:w="775" w:type="pct"/>
            <w:shd w:val="clear" w:color="000000" w:fill="FFFFFF"/>
            <w:noWrap/>
            <w:vAlign w:val="bottom"/>
            <w:hideMark/>
          </w:tcPr>
          <w:p w14:paraId="0B26038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3.888,4</w:t>
            </w:r>
          </w:p>
        </w:tc>
        <w:tc>
          <w:tcPr>
            <w:tcW w:w="775" w:type="pct"/>
            <w:shd w:val="clear" w:color="000000" w:fill="FFFFFF"/>
            <w:noWrap/>
            <w:vAlign w:val="bottom"/>
            <w:hideMark/>
          </w:tcPr>
          <w:p w14:paraId="4C630699"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3.025,5</w:t>
            </w:r>
          </w:p>
        </w:tc>
        <w:tc>
          <w:tcPr>
            <w:tcW w:w="1015" w:type="pct"/>
            <w:noWrap/>
            <w:vAlign w:val="bottom"/>
            <w:hideMark/>
          </w:tcPr>
          <w:p w14:paraId="0E00F546"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28,5%</w:t>
            </w:r>
          </w:p>
        </w:tc>
      </w:tr>
      <w:tr w:rsidR="002E5441" w:rsidRPr="00AE4E8D" w14:paraId="6C453F7B" w14:textId="77777777" w:rsidTr="000400C8">
        <w:trPr>
          <w:trHeight w:val="255"/>
          <w:jc w:val="center"/>
        </w:trPr>
        <w:tc>
          <w:tcPr>
            <w:tcW w:w="2435" w:type="pct"/>
            <w:noWrap/>
            <w:vAlign w:val="bottom"/>
            <w:hideMark/>
          </w:tcPr>
          <w:p w14:paraId="64CD26E3"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Gastos administrativos  </w:t>
            </w:r>
          </w:p>
        </w:tc>
        <w:tc>
          <w:tcPr>
            <w:tcW w:w="775" w:type="pct"/>
            <w:shd w:val="clear" w:color="000000" w:fill="FFFFFF"/>
            <w:noWrap/>
            <w:vAlign w:val="bottom"/>
            <w:hideMark/>
          </w:tcPr>
          <w:p w14:paraId="2D59C64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5.014,5</w:t>
            </w:r>
            <w:r w:rsidRPr="00AE4E8D">
              <w:rPr>
                <w:rFonts w:ascii="Times New Roman" w:hAnsi="Times New Roman"/>
                <w:color w:val="000000"/>
                <w:sz w:val="18"/>
                <w:lang w:val="es-ES"/>
              </w:rPr>
              <w:t>)</w:t>
            </w:r>
          </w:p>
        </w:tc>
        <w:tc>
          <w:tcPr>
            <w:tcW w:w="775" w:type="pct"/>
            <w:shd w:val="clear" w:color="000000" w:fill="FFFFFF"/>
            <w:noWrap/>
            <w:vAlign w:val="bottom"/>
            <w:hideMark/>
          </w:tcPr>
          <w:p w14:paraId="68197121"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3.952,6</w:t>
            </w:r>
            <w:r w:rsidRPr="00AE4E8D">
              <w:rPr>
                <w:rFonts w:ascii="Times New Roman" w:hAnsi="Times New Roman"/>
                <w:color w:val="000000"/>
                <w:sz w:val="18"/>
                <w:lang w:val="es-ES"/>
              </w:rPr>
              <w:t>)</w:t>
            </w:r>
          </w:p>
        </w:tc>
        <w:tc>
          <w:tcPr>
            <w:tcW w:w="1015" w:type="pct"/>
            <w:noWrap/>
            <w:vAlign w:val="bottom"/>
            <w:hideMark/>
          </w:tcPr>
          <w:p w14:paraId="3315F42D"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26,9%</w:t>
            </w:r>
          </w:p>
        </w:tc>
      </w:tr>
      <w:tr w:rsidR="002E5441" w:rsidRPr="00AE4E8D" w14:paraId="02740DCF" w14:textId="77777777" w:rsidTr="000400C8">
        <w:trPr>
          <w:trHeight w:val="255"/>
          <w:jc w:val="center"/>
        </w:trPr>
        <w:tc>
          <w:tcPr>
            <w:tcW w:w="2435" w:type="pct"/>
            <w:noWrap/>
            <w:vAlign w:val="bottom"/>
            <w:hideMark/>
          </w:tcPr>
          <w:p w14:paraId="37A1496B"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Participación no controlante  </w:t>
            </w:r>
          </w:p>
        </w:tc>
        <w:tc>
          <w:tcPr>
            <w:tcW w:w="775" w:type="pct"/>
            <w:shd w:val="clear" w:color="000000" w:fill="FFFFFF"/>
            <w:noWrap/>
            <w:vAlign w:val="bottom"/>
            <w:hideMark/>
          </w:tcPr>
          <w:p w14:paraId="418A71E7"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(14</w:t>
            </w:r>
            <w:r w:rsidRPr="00AE4E8D">
              <w:rPr>
                <w:rFonts w:ascii="Times New Roman" w:hAnsi="Times New Roman"/>
                <w:color w:val="000000"/>
                <w:sz w:val="18"/>
                <w:lang w:val="es-ES"/>
              </w:rPr>
              <w:t>,7</w:t>
            </w:r>
            <w:r w:rsidRPr="00AE4E8D">
              <w:rPr>
                <w:rFonts w:ascii="Times New Roman" w:hAnsi="Times New Roman"/>
                <w:color w:val="000000"/>
                <w:sz w:val="18"/>
                <w:szCs w:val="18"/>
                <w:lang w:val="es-ES"/>
              </w:rPr>
              <w:t>)</w:t>
            </w:r>
          </w:p>
        </w:tc>
        <w:tc>
          <w:tcPr>
            <w:tcW w:w="775" w:type="pct"/>
            <w:shd w:val="clear" w:color="000000" w:fill="FFFFFF"/>
            <w:noWrap/>
            <w:vAlign w:val="bottom"/>
            <w:hideMark/>
          </w:tcPr>
          <w:p w14:paraId="77407133"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3,1</w:t>
            </w:r>
          </w:p>
        </w:tc>
        <w:tc>
          <w:tcPr>
            <w:tcW w:w="1015" w:type="pct"/>
            <w:noWrap/>
            <w:vAlign w:val="bottom"/>
            <w:hideMark/>
          </w:tcPr>
          <w:p w14:paraId="7E4399E6"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(576,3)%</w:t>
            </w:r>
          </w:p>
        </w:tc>
      </w:tr>
      <w:tr w:rsidR="002E5441" w:rsidRPr="00AE4E8D" w14:paraId="04AFB91A" w14:textId="77777777" w:rsidTr="000400C8">
        <w:trPr>
          <w:trHeight w:val="255"/>
          <w:jc w:val="center"/>
        </w:trPr>
        <w:tc>
          <w:tcPr>
            <w:tcW w:w="2435" w:type="pct"/>
            <w:noWrap/>
            <w:vAlign w:val="bottom"/>
            <w:hideMark/>
          </w:tcPr>
          <w:p w14:paraId="39427E6A"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Utilidades diversas netas </w:t>
            </w:r>
            <w:r w:rsidR="006C5A66" w:rsidRPr="00AE4E8D">
              <w:rPr>
                <w:rFonts w:ascii="Times New Roman" w:hAnsi="Times New Roman"/>
                <w:color w:val="000000"/>
                <w:sz w:val="18"/>
                <w:szCs w:val="18"/>
                <w:lang w:val="es-ES"/>
              </w:rPr>
              <w:t xml:space="preserve">(gastos) </w:t>
            </w:r>
            <w:r w:rsidRPr="00AE4E8D">
              <w:rPr>
                <w:rFonts w:ascii="Times New Roman" w:hAnsi="Times New Roman"/>
                <w:color w:val="000000"/>
                <w:sz w:val="18"/>
                <w:szCs w:val="18"/>
                <w:lang w:val="es-ES"/>
              </w:rPr>
              <w:t xml:space="preserve">(3)  </w:t>
            </w:r>
          </w:p>
        </w:tc>
        <w:tc>
          <w:tcPr>
            <w:tcW w:w="775" w:type="pct"/>
            <w:shd w:val="clear" w:color="000000" w:fill="FFFFFF"/>
            <w:noWrap/>
            <w:vAlign w:val="bottom"/>
            <w:hideMark/>
          </w:tcPr>
          <w:p w14:paraId="46F87589"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80,8</w:t>
            </w:r>
            <w:r w:rsidRPr="00AE4E8D">
              <w:rPr>
                <w:rFonts w:ascii="Times New Roman" w:hAnsi="Times New Roman"/>
                <w:color w:val="000000"/>
                <w:sz w:val="18"/>
                <w:lang w:val="es-ES"/>
              </w:rPr>
              <w:t>)</w:t>
            </w:r>
          </w:p>
        </w:tc>
        <w:tc>
          <w:tcPr>
            <w:tcW w:w="775" w:type="pct"/>
            <w:shd w:val="clear" w:color="000000" w:fill="FFFFFF"/>
            <w:noWrap/>
            <w:vAlign w:val="bottom"/>
            <w:hideMark/>
          </w:tcPr>
          <w:p w14:paraId="44C1EF1F"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51,6</w:t>
            </w:r>
            <w:r w:rsidRPr="00AE4E8D">
              <w:rPr>
                <w:rFonts w:ascii="Times New Roman" w:hAnsi="Times New Roman"/>
                <w:color w:val="000000"/>
                <w:sz w:val="18"/>
                <w:lang w:val="es-ES"/>
              </w:rPr>
              <w:t>)</w:t>
            </w:r>
          </w:p>
        </w:tc>
        <w:tc>
          <w:tcPr>
            <w:tcW w:w="1015" w:type="pct"/>
            <w:noWrap/>
            <w:vAlign w:val="bottom"/>
            <w:hideMark/>
          </w:tcPr>
          <w:p w14:paraId="5EFF56BF"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56,5%</w:t>
            </w:r>
          </w:p>
        </w:tc>
      </w:tr>
      <w:tr w:rsidR="002E5441" w:rsidRPr="00AE4E8D" w14:paraId="13FFB65D" w14:textId="77777777" w:rsidTr="000400C8">
        <w:trPr>
          <w:trHeight w:val="330"/>
          <w:jc w:val="center"/>
        </w:trPr>
        <w:tc>
          <w:tcPr>
            <w:tcW w:w="2435" w:type="pct"/>
            <w:noWrap/>
            <w:vAlign w:val="bottom"/>
            <w:hideMark/>
          </w:tcPr>
          <w:p w14:paraId="645CDA82"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Impuesto a las Ganancias  </w:t>
            </w:r>
          </w:p>
        </w:tc>
        <w:tc>
          <w:tcPr>
            <w:tcW w:w="775" w:type="pct"/>
            <w:shd w:val="clear" w:color="000000" w:fill="FFFFFF"/>
            <w:noWrap/>
            <w:vAlign w:val="bottom"/>
            <w:hideMark/>
          </w:tcPr>
          <w:p w14:paraId="593792A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516,2</w:t>
            </w:r>
            <w:r w:rsidRPr="00AE4E8D">
              <w:rPr>
                <w:rFonts w:ascii="Times New Roman" w:hAnsi="Times New Roman"/>
                <w:color w:val="000000"/>
                <w:sz w:val="18"/>
                <w:lang w:val="es-ES"/>
              </w:rPr>
              <w:t>)</w:t>
            </w:r>
          </w:p>
        </w:tc>
        <w:tc>
          <w:tcPr>
            <w:tcW w:w="775" w:type="pct"/>
            <w:shd w:val="clear" w:color="000000" w:fill="FFFFFF"/>
            <w:noWrap/>
            <w:vAlign w:val="bottom"/>
            <w:hideMark/>
          </w:tcPr>
          <w:p w14:paraId="4402F4CD"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618,9</w:t>
            </w:r>
            <w:r w:rsidRPr="00AE4E8D">
              <w:rPr>
                <w:rFonts w:ascii="Times New Roman" w:hAnsi="Times New Roman"/>
                <w:color w:val="000000"/>
                <w:sz w:val="18"/>
                <w:lang w:val="es-ES"/>
              </w:rPr>
              <w:t>)</w:t>
            </w:r>
          </w:p>
        </w:tc>
        <w:tc>
          <w:tcPr>
            <w:tcW w:w="1015" w:type="pct"/>
            <w:noWrap/>
            <w:vAlign w:val="bottom"/>
            <w:hideMark/>
          </w:tcPr>
          <w:p w14:paraId="40764346"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(16,6)%</w:t>
            </w:r>
          </w:p>
        </w:tc>
      </w:tr>
      <w:tr w:rsidR="002E5441" w:rsidRPr="00AE4E8D" w14:paraId="281530C8" w14:textId="77777777" w:rsidTr="000400C8">
        <w:trPr>
          <w:trHeight w:val="270"/>
          <w:jc w:val="center"/>
        </w:trPr>
        <w:tc>
          <w:tcPr>
            <w:tcW w:w="2435" w:type="pct"/>
            <w:noWrap/>
            <w:vAlign w:val="bottom"/>
            <w:hideMark/>
          </w:tcPr>
          <w:p w14:paraId="5403D0C5" w14:textId="77777777" w:rsidR="002E5441" w:rsidRPr="00AE4E8D" w:rsidRDefault="002E5441" w:rsidP="00E8320E">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Resultado Neto</w:t>
            </w:r>
            <w:r w:rsidRPr="00AE4E8D">
              <w:rPr>
                <w:rFonts w:ascii="Times New Roman" w:hAnsi="Times New Roman"/>
                <w:color w:val="000000"/>
                <w:sz w:val="18"/>
                <w:szCs w:val="18"/>
                <w:lang w:val="es-ES"/>
              </w:rPr>
              <w:t xml:space="preserve">  </w:t>
            </w:r>
          </w:p>
        </w:tc>
        <w:tc>
          <w:tcPr>
            <w:tcW w:w="775" w:type="pct"/>
            <w:tcBorders>
              <w:top w:val="single" w:sz="8" w:space="0" w:color="auto"/>
              <w:left w:val="nil"/>
              <w:bottom w:val="single" w:sz="8" w:space="0" w:color="auto"/>
              <w:right w:val="nil"/>
            </w:tcBorders>
            <w:shd w:val="clear" w:color="000000" w:fill="FFFFFF"/>
            <w:noWrap/>
            <w:vAlign w:val="bottom"/>
            <w:hideMark/>
          </w:tcPr>
          <w:p w14:paraId="316CFE3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615,3</w:t>
            </w:r>
          </w:p>
        </w:tc>
        <w:tc>
          <w:tcPr>
            <w:tcW w:w="775" w:type="pct"/>
            <w:tcBorders>
              <w:top w:val="single" w:sz="8" w:space="0" w:color="auto"/>
              <w:left w:val="nil"/>
              <w:bottom w:val="single" w:sz="8" w:space="0" w:color="auto"/>
              <w:right w:val="nil"/>
            </w:tcBorders>
            <w:shd w:val="clear" w:color="000000" w:fill="FFFFFF"/>
            <w:noWrap/>
            <w:vAlign w:val="bottom"/>
            <w:hideMark/>
          </w:tcPr>
          <w:p w14:paraId="3D6260D9"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lang w:val="es-ES"/>
              </w:rPr>
              <w:t>1</w:t>
            </w:r>
            <w:r w:rsidRPr="00AE4E8D">
              <w:rPr>
                <w:rFonts w:ascii="Times New Roman" w:hAnsi="Times New Roman"/>
                <w:color w:val="000000"/>
                <w:sz w:val="18"/>
                <w:szCs w:val="18"/>
                <w:lang w:val="es-ES"/>
              </w:rPr>
              <w:t>.085,8</w:t>
            </w:r>
          </w:p>
        </w:tc>
        <w:tc>
          <w:tcPr>
            <w:tcW w:w="1015" w:type="pct"/>
            <w:tcBorders>
              <w:top w:val="single" w:sz="8" w:space="0" w:color="auto"/>
              <w:left w:val="nil"/>
              <w:bottom w:val="single" w:sz="8" w:space="0" w:color="auto"/>
              <w:right w:val="nil"/>
            </w:tcBorders>
            <w:noWrap/>
            <w:vAlign w:val="bottom"/>
            <w:hideMark/>
          </w:tcPr>
          <w:p w14:paraId="022A33E3"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(43,3)%</w:t>
            </w:r>
          </w:p>
        </w:tc>
      </w:tr>
    </w:tbl>
    <w:p w14:paraId="4FFD2DAB" w14:textId="77777777" w:rsidR="002E5441" w:rsidRPr="00AE4E8D" w:rsidRDefault="002E5441" w:rsidP="002E5441">
      <w:pPr>
        <w:numPr>
          <w:ilvl w:val="0"/>
          <w:numId w:val="203"/>
        </w:numPr>
        <w:autoSpaceDE w:val="0"/>
        <w:autoSpaceDN w:val="0"/>
        <w:adjustRightInd w:val="0"/>
        <w:spacing w:before="120"/>
        <w:jc w:val="both"/>
        <w:rPr>
          <w:rFonts w:ascii="Times New Roman" w:hAnsi="Times New Roman"/>
          <w:sz w:val="14"/>
          <w:lang w:val="es-ES" w:eastAsia="es-AR"/>
        </w:rPr>
      </w:pPr>
      <w:r w:rsidRPr="00AE4E8D">
        <w:rPr>
          <w:rFonts w:ascii="Times New Roman" w:hAnsi="Times New Roman"/>
          <w:sz w:val="14"/>
          <w:lang w:val="es-ES" w:eastAsia="es-AR"/>
        </w:rPr>
        <w:t>Primas de seguro menos siniestros.</w:t>
      </w:r>
    </w:p>
    <w:p w14:paraId="3ECDCEC4" w14:textId="77777777" w:rsidR="002E5441" w:rsidRPr="00AE4E8D" w:rsidRDefault="002E5441" w:rsidP="002E5441">
      <w:pPr>
        <w:numPr>
          <w:ilvl w:val="0"/>
          <w:numId w:val="203"/>
        </w:numPr>
        <w:autoSpaceDE w:val="0"/>
        <w:autoSpaceDN w:val="0"/>
        <w:adjustRightInd w:val="0"/>
        <w:ind w:left="714" w:hanging="357"/>
        <w:jc w:val="both"/>
        <w:rPr>
          <w:rFonts w:ascii="Times New Roman" w:hAnsi="Times New Roman"/>
          <w:sz w:val="14"/>
          <w:lang w:val="es-ES" w:eastAsia="es-AR"/>
        </w:rPr>
      </w:pPr>
      <w:r w:rsidRPr="00AE4E8D">
        <w:rPr>
          <w:rFonts w:ascii="Times New Roman" w:hAnsi="Times New Roman"/>
          <w:sz w:val="14"/>
          <w:lang w:val="es-ES" w:eastAsia="es-AR"/>
        </w:rPr>
        <w:t>Otros ingresos por servicios menos otros gastos por servicios.</w:t>
      </w:r>
    </w:p>
    <w:p w14:paraId="78820047" w14:textId="77777777" w:rsidR="002E5441" w:rsidRPr="00AE4E8D" w:rsidRDefault="002E5441" w:rsidP="002E5441">
      <w:pPr>
        <w:numPr>
          <w:ilvl w:val="0"/>
          <w:numId w:val="203"/>
        </w:numPr>
        <w:autoSpaceDE w:val="0"/>
        <w:autoSpaceDN w:val="0"/>
        <w:adjustRightInd w:val="0"/>
        <w:ind w:left="714" w:hanging="357"/>
        <w:jc w:val="both"/>
        <w:rPr>
          <w:rFonts w:ascii="Times New Roman" w:hAnsi="Times New Roman"/>
          <w:sz w:val="14"/>
          <w:lang w:val="es-ES" w:eastAsia="es-AR"/>
        </w:rPr>
      </w:pPr>
      <w:r w:rsidRPr="00AE4E8D">
        <w:rPr>
          <w:rFonts w:ascii="Times New Roman" w:hAnsi="Times New Roman"/>
          <w:sz w:val="14"/>
          <w:lang w:val="es-ES" w:eastAsia="es-AR"/>
        </w:rPr>
        <w:t>Utilidades diversas menos gastos diversos.</w:t>
      </w:r>
    </w:p>
    <w:p w14:paraId="2E51A426" w14:textId="77777777" w:rsidR="002E5441" w:rsidRPr="00AE4E8D" w:rsidRDefault="002E5441" w:rsidP="002E5441">
      <w:pPr>
        <w:pStyle w:val="BH4Cursiva"/>
      </w:pPr>
      <w:r w:rsidRPr="00AE4E8D">
        <w:t>Resultado Neto</w:t>
      </w:r>
    </w:p>
    <w:p w14:paraId="0D12FF21" w14:textId="77777777" w:rsidR="002E5441" w:rsidRPr="00AE4E8D" w:rsidRDefault="002E5441" w:rsidP="002E5441">
      <w:pPr>
        <w:pStyle w:val="BHTexto"/>
      </w:pPr>
      <w:r w:rsidRPr="00AE4E8D">
        <w:t>El resultado neto por el ejercicio finalizado el 31 de diciembre de 2016 disminuyó 43,3%, de Ps.1.085,8 millones por el ejercicio finalizado el 31 de diciembre de 2015 a Ps.615,3 millones por el ejercicio finalizado el 31 de diciembre de 2016, principalmente como resultado de:</w:t>
      </w:r>
    </w:p>
    <w:p w14:paraId="2CD246BE" w14:textId="77777777" w:rsidR="002E5441" w:rsidRPr="00AE4E8D" w:rsidRDefault="002E5441" w:rsidP="002E5441">
      <w:pPr>
        <w:pStyle w:val="BHVieta2"/>
        <w:numPr>
          <w:ilvl w:val="0"/>
          <w:numId w:val="164"/>
        </w:numPr>
        <w:rPr>
          <w:lang w:val="es-ES"/>
        </w:rPr>
      </w:pPr>
      <w:r w:rsidRPr="00AE4E8D">
        <w:rPr>
          <w:lang w:val="es-ES"/>
        </w:rPr>
        <w:t>Un aumento del 55,7% en egresos financieros de Ps.2.346,5 millones,</w:t>
      </w:r>
    </w:p>
    <w:p w14:paraId="19F0B1E1" w14:textId="77777777" w:rsidR="002E5441" w:rsidRPr="00AE4E8D" w:rsidRDefault="002E5441" w:rsidP="002E5441">
      <w:pPr>
        <w:pStyle w:val="BHVieta2"/>
        <w:numPr>
          <w:ilvl w:val="0"/>
          <w:numId w:val="164"/>
        </w:numPr>
        <w:rPr>
          <w:lang w:val="es-ES"/>
        </w:rPr>
      </w:pPr>
      <w:r w:rsidRPr="00AE4E8D">
        <w:rPr>
          <w:lang w:val="es-ES"/>
        </w:rPr>
        <w:t>Un aumento del 26,9% en gastos administrativos de Ps.1.061,9 millones,</w:t>
      </w:r>
    </w:p>
    <w:p w14:paraId="41E4C9D3" w14:textId="77777777" w:rsidR="002E5441" w:rsidRPr="00AE4E8D" w:rsidRDefault="002E5441" w:rsidP="002E5441">
      <w:pPr>
        <w:pStyle w:val="BHVieta2"/>
        <w:numPr>
          <w:ilvl w:val="0"/>
          <w:numId w:val="164"/>
        </w:numPr>
        <w:rPr>
          <w:lang w:val="es-ES"/>
        </w:rPr>
      </w:pPr>
      <w:r w:rsidRPr="00AE4E8D">
        <w:rPr>
          <w:lang w:val="es-ES"/>
        </w:rPr>
        <w:t>Un aumento del 31,7% en cargo por incobrabilidad de Ps.112,2 millones,</w:t>
      </w:r>
    </w:p>
    <w:p w14:paraId="011F6944" w14:textId="77777777" w:rsidR="002E5441" w:rsidRPr="00AE4E8D" w:rsidRDefault="002E5441" w:rsidP="002E5441">
      <w:pPr>
        <w:pStyle w:val="BHVieta2"/>
        <w:numPr>
          <w:ilvl w:val="0"/>
          <w:numId w:val="164"/>
        </w:numPr>
        <w:rPr>
          <w:lang w:val="es-ES"/>
        </w:rPr>
      </w:pPr>
      <w:r w:rsidRPr="00AE4E8D">
        <w:rPr>
          <w:lang w:val="es-ES"/>
        </w:rPr>
        <w:t>Un aumento del 56,5% en impuesto a las ganancias de Ps.29</w:t>
      </w:r>
      <w:proofErr w:type="gramStart"/>
      <w:r w:rsidRPr="00AE4E8D">
        <w:rPr>
          <w:lang w:val="es-ES"/>
        </w:rPr>
        <w:t>,2</w:t>
      </w:r>
      <w:proofErr w:type="gramEnd"/>
      <w:r w:rsidRPr="00AE4E8D">
        <w:rPr>
          <w:lang w:val="es-ES"/>
        </w:rPr>
        <w:t xml:space="preserve"> millones.</w:t>
      </w:r>
    </w:p>
    <w:p w14:paraId="2D15FF5D" w14:textId="77777777" w:rsidR="002E5441" w:rsidRPr="00AE4E8D" w:rsidRDefault="002E5441" w:rsidP="002E5441">
      <w:pPr>
        <w:pStyle w:val="BHTexto"/>
      </w:pPr>
      <w:r w:rsidRPr="00AE4E8D">
        <w:t>Estos incrementos fueron compensados parcialmente por:</w:t>
      </w:r>
    </w:p>
    <w:p w14:paraId="3FF26C53" w14:textId="77777777" w:rsidR="002E5441" w:rsidRPr="00AE4E8D" w:rsidRDefault="002E5441" w:rsidP="002E5441">
      <w:pPr>
        <w:pStyle w:val="BHVieta2"/>
        <w:numPr>
          <w:ilvl w:val="0"/>
          <w:numId w:val="164"/>
        </w:numPr>
        <w:rPr>
          <w:lang w:val="es-ES"/>
        </w:rPr>
      </w:pPr>
      <w:r w:rsidRPr="00AE4E8D">
        <w:rPr>
          <w:lang w:val="es-ES"/>
        </w:rPr>
        <w:t>Un aumento del 29,4% en los ingresos financieros de Ps.2131,4</w:t>
      </w:r>
      <w:r w:rsidRPr="00AE4E8D">
        <w:rPr>
          <w:lang w:val="es-ES" w:eastAsia="es-AR"/>
        </w:rPr>
        <w:t xml:space="preserve"> </w:t>
      </w:r>
      <w:r w:rsidRPr="00AE4E8D">
        <w:rPr>
          <w:lang w:val="es-ES"/>
        </w:rPr>
        <w:t>millones, y</w:t>
      </w:r>
    </w:p>
    <w:p w14:paraId="523293D1" w14:textId="77777777" w:rsidR="002E5441" w:rsidRPr="00AE4E8D" w:rsidRDefault="002E5441" w:rsidP="002E5441">
      <w:pPr>
        <w:pStyle w:val="BHVieta2"/>
        <w:numPr>
          <w:ilvl w:val="0"/>
          <w:numId w:val="164"/>
        </w:numPr>
        <w:rPr>
          <w:lang w:val="es-ES"/>
        </w:rPr>
      </w:pPr>
      <w:r w:rsidRPr="00AE4E8D">
        <w:rPr>
          <w:lang w:val="es-ES"/>
        </w:rPr>
        <w:t>Un aumento del 28,5% en ingresos por servicios netos de Ps.862</w:t>
      </w:r>
      <w:proofErr w:type="gramStart"/>
      <w:r w:rsidRPr="00AE4E8D">
        <w:rPr>
          <w:lang w:val="es-ES"/>
        </w:rPr>
        <w:t>,8</w:t>
      </w:r>
      <w:proofErr w:type="gramEnd"/>
      <w:r w:rsidRPr="00AE4E8D">
        <w:rPr>
          <w:lang w:val="es-ES"/>
        </w:rPr>
        <w:t xml:space="preserve"> millones.</w:t>
      </w:r>
    </w:p>
    <w:p w14:paraId="795D8B0B" w14:textId="77777777" w:rsidR="002E5441" w:rsidRPr="00AE4E8D" w:rsidRDefault="002E5441" w:rsidP="002E5441">
      <w:pPr>
        <w:pStyle w:val="BH4Cursiva"/>
      </w:pPr>
      <w:r w:rsidRPr="00AE4E8D">
        <w:t>Ingresos Financieros</w:t>
      </w:r>
    </w:p>
    <w:p w14:paraId="14AC2833" w14:textId="77777777" w:rsidR="002E5441" w:rsidRPr="00AE4E8D" w:rsidRDefault="002E5441" w:rsidP="002E5441">
      <w:pPr>
        <w:pStyle w:val="BHTexto"/>
      </w:pPr>
      <w:r w:rsidRPr="00AE4E8D">
        <w:t>El siguiente cuadro detalla las principales líneas de los ingresos financieros por los ejercicios finalizados el 31 de diciembre de 2016 y 2015:</w:t>
      </w:r>
    </w:p>
    <w:tbl>
      <w:tblPr>
        <w:tblW w:w="5000" w:type="pct"/>
        <w:jc w:val="center"/>
        <w:tblLook w:val="00A0" w:firstRow="1" w:lastRow="0" w:firstColumn="1" w:lastColumn="0" w:noHBand="0" w:noVBand="0"/>
      </w:tblPr>
      <w:tblGrid>
        <w:gridCol w:w="5020"/>
        <w:gridCol w:w="24"/>
        <w:gridCol w:w="1111"/>
        <w:gridCol w:w="1113"/>
        <w:gridCol w:w="1453"/>
      </w:tblGrid>
      <w:tr w:rsidR="002E5441" w:rsidRPr="00AE4E8D" w14:paraId="7E5124D8" w14:textId="77777777" w:rsidTr="000400C8">
        <w:trPr>
          <w:trHeight w:val="255"/>
          <w:tblHeader/>
          <w:jc w:val="center"/>
        </w:trPr>
        <w:tc>
          <w:tcPr>
            <w:tcW w:w="2878" w:type="pct"/>
            <w:noWrap/>
            <w:vAlign w:val="bottom"/>
          </w:tcPr>
          <w:p w14:paraId="2B8EE21A" w14:textId="77777777" w:rsidR="002E5441" w:rsidRPr="00AE4E8D" w:rsidRDefault="002E5441" w:rsidP="00E8320E">
            <w:pPr>
              <w:rPr>
                <w:rFonts w:ascii="Times New Roman" w:hAnsi="Times New Roman"/>
                <w:color w:val="000000"/>
                <w:sz w:val="18"/>
                <w:szCs w:val="18"/>
              </w:rPr>
            </w:pPr>
          </w:p>
        </w:tc>
        <w:tc>
          <w:tcPr>
            <w:tcW w:w="1289" w:type="pct"/>
            <w:gridSpan w:val="3"/>
            <w:tcBorders>
              <w:top w:val="single" w:sz="8" w:space="0" w:color="auto"/>
              <w:left w:val="nil"/>
              <w:bottom w:val="single" w:sz="8" w:space="0" w:color="auto"/>
              <w:right w:val="nil"/>
            </w:tcBorders>
            <w:noWrap/>
            <w:vAlign w:val="bottom"/>
            <w:hideMark/>
          </w:tcPr>
          <w:p w14:paraId="2384D46B" w14:textId="77777777" w:rsidR="002E5441" w:rsidRPr="00AE4E8D" w:rsidRDefault="002E5441" w:rsidP="00E8320E">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Ejercicio finalizado </w:t>
            </w:r>
          </w:p>
          <w:p w14:paraId="39D5BF99" w14:textId="77777777" w:rsidR="002E5441" w:rsidRPr="00AE4E8D" w:rsidRDefault="002E5441" w:rsidP="00E8320E">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el 31 de diciembre de</w:t>
            </w:r>
          </w:p>
        </w:tc>
        <w:tc>
          <w:tcPr>
            <w:tcW w:w="834" w:type="pct"/>
            <w:tcBorders>
              <w:top w:val="single" w:sz="8" w:space="0" w:color="auto"/>
              <w:left w:val="nil"/>
              <w:bottom w:val="single" w:sz="8" w:space="0" w:color="auto"/>
              <w:right w:val="nil"/>
            </w:tcBorders>
            <w:noWrap/>
            <w:vAlign w:val="bottom"/>
            <w:hideMark/>
          </w:tcPr>
          <w:p w14:paraId="5824294C"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2E5441" w:rsidRPr="00AE4E8D" w14:paraId="14504AE2" w14:textId="77777777" w:rsidTr="000400C8">
        <w:trPr>
          <w:trHeight w:val="255"/>
          <w:tblHeader/>
          <w:jc w:val="center"/>
        </w:trPr>
        <w:tc>
          <w:tcPr>
            <w:tcW w:w="2892" w:type="pct"/>
            <w:gridSpan w:val="2"/>
            <w:noWrap/>
            <w:vAlign w:val="bottom"/>
          </w:tcPr>
          <w:p w14:paraId="09FF6350" w14:textId="77777777" w:rsidR="002E5441" w:rsidRPr="00AE4E8D" w:rsidRDefault="002E5441" w:rsidP="00E8320E">
            <w:pPr>
              <w:rPr>
                <w:rFonts w:ascii="Times New Roman" w:hAnsi="Times New Roman"/>
                <w:color w:val="000000"/>
                <w:sz w:val="18"/>
                <w:szCs w:val="18"/>
                <w:lang w:val="en-US"/>
              </w:rPr>
            </w:pPr>
          </w:p>
        </w:tc>
        <w:tc>
          <w:tcPr>
            <w:tcW w:w="637" w:type="pct"/>
            <w:tcBorders>
              <w:top w:val="nil"/>
              <w:left w:val="nil"/>
              <w:bottom w:val="single" w:sz="8" w:space="0" w:color="auto"/>
              <w:right w:val="nil"/>
            </w:tcBorders>
            <w:noWrap/>
            <w:vAlign w:val="bottom"/>
            <w:hideMark/>
          </w:tcPr>
          <w:p w14:paraId="2591BCD2"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2016</w:t>
            </w:r>
          </w:p>
        </w:tc>
        <w:tc>
          <w:tcPr>
            <w:tcW w:w="638" w:type="pct"/>
            <w:tcBorders>
              <w:top w:val="nil"/>
              <w:left w:val="nil"/>
              <w:bottom w:val="single" w:sz="8" w:space="0" w:color="auto"/>
              <w:right w:val="nil"/>
            </w:tcBorders>
            <w:noWrap/>
            <w:vAlign w:val="bottom"/>
            <w:hideMark/>
          </w:tcPr>
          <w:p w14:paraId="63058613"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834" w:type="pct"/>
            <w:tcBorders>
              <w:top w:val="nil"/>
              <w:left w:val="nil"/>
              <w:bottom w:val="single" w:sz="8" w:space="0" w:color="auto"/>
              <w:right w:val="nil"/>
            </w:tcBorders>
            <w:noWrap/>
            <w:vAlign w:val="bottom"/>
            <w:hideMark/>
          </w:tcPr>
          <w:p w14:paraId="65F5732C"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2015/2016</w:t>
            </w:r>
          </w:p>
        </w:tc>
      </w:tr>
      <w:tr w:rsidR="002E5441" w:rsidRPr="00AE4E8D" w14:paraId="3CE3B097" w14:textId="77777777" w:rsidTr="000400C8">
        <w:trPr>
          <w:trHeight w:val="240"/>
          <w:tblHeader/>
          <w:jc w:val="center"/>
        </w:trPr>
        <w:tc>
          <w:tcPr>
            <w:tcW w:w="2892" w:type="pct"/>
            <w:gridSpan w:val="2"/>
            <w:noWrap/>
            <w:vAlign w:val="bottom"/>
          </w:tcPr>
          <w:p w14:paraId="67558928" w14:textId="77777777" w:rsidR="002E5441" w:rsidRPr="00AE4E8D" w:rsidRDefault="002E5441" w:rsidP="00E8320E">
            <w:pPr>
              <w:rPr>
                <w:rFonts w:ascii="Times New Roman" w:hAnsi="Times New Roman"/>
                <w:color w:val="000000"/>
                <w:sz w:val="18"/>
                <w:szCs w:val="18"/>
                <w:lang w:val="en-US"/>
              </w:rPr>
            </w:pPr>
          </w:p>
        </w:tc>
        <w:tc>
          <w:tcPr>
            <w:tcW w:w="2108" w:type="pct"/>
            <w:gridSpan w:val="3"/>
            <w:tcBorders>
              <w:top w:val="single" w:sz="8" w:space="0" w:color="auto"/>
              <w:left w:val="nil"/>
              <w:bottom w:val="nil"/>
              <w:right w:val="nil"/>
            </w:tcBorders>
            <w:noWrap/>
            <w:vAlign w:val="bottom"/>
            <w:hideMark/>
          </w:tcPr>
          <w:p w14:paraId="577BA131" w14:textId="77777777" w:rsidR="002E5441" w:rsidRPr="00AE4E8D" w:rsidRDefault="002E5441" w:rsidP="00E8320E">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6C5A66" w:rsidRPr="00AE4E8D" w14:paraId="5DFBEA13" w14:textId="77777777" w:rsidTr="002E5441">
        <w:trPr>
          <w:trHeight w:val="240"/>
          <w:tblHeader/>
          <w:jc w:val="center"/>
        </w:trPr>
        <w:tc>
          <w:tcPr>
            <w:tcW w:w="2892" w:type="pct"/>
            <w:gridSpan w:val="2"/>
            <w:noWrap/>
            <w:vAlign w:val="bottom"/>
          </w:tcPr>
          <w:p w14:paraId="05FA57E4" w14:textId="77777777" w:rsidR="006C5A66" w:rsidRPr="00AE4E8D" w:rsidRDefault="006C5A66"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Intereses por</w:t>
            </w:r>
          </w:p>
        </w:tc>
        <w:tc>
          <w:tcPr>
            <w:tcW w:w="2108" w:type="pct"/>
            <w:gridSpan w:val="3"/>
            <w:tcBorders>
              <w:top w:val="single" w:sz="8" w:space="0" w:color="auto"/>
              <w:left w:val="nil"/>
              <w:bottom w:val="nil"/>
              <w:right w:val="nil"/>
            </w:tcBorders>
            <w:noWrap/>
            <w:vAlign w:val="bottom"/>
          </w:tcPr>
          <w:p w14:paraId="700A80CB" w14:textId="77777777" w:rsidR="006C5A66" w:rsidRPr="00AE4E8D" w:rsidRDefault="006C5A66" w:rsidP="00E8320E">
            <w:pPr>
              <w:jc w:val="center"/>
              <w:rPr>
                <w:rFonts w:ascii="Times New Roman" w:hAnsi="Times New Roman"/>
                <w:color w:val="000000"/>
                <w:sz w:val="18"/>
                <w:szCs w:val="18"/>
                <w:lang w:val="es-ES"/>
              </w:rPr>
            </w:pPr>
          </w:p>
        </w:tc>
      </w:tr>
      <w:tr w:rsidR="002E5441" w:rsidRPr="00AE4E8D" w14:paraId="6E4AFF0B" w14:textId="77777777" w:rsidTr="000400C8">
        <w:trPr>
          <w:trHeight w:val="240"/>
          <w:jc w:val="center"/>
        </w:trPr>
        <w:tc>
          <w:tcPr>
            <w:tcW w:w="2892" w:type="pct"/>
            <w:gridSpan w:val="2"/>
            <w:noWrap/>
            <w:vAlign w:val="bottom"/>
            <w:hideMark/>
          </w:tcPr>
          <w:p w14:paraId="244FBE56" w14:textId="77777777" w:rsidR="002E5441" w:rsidRPr="00AE4E8D" w:rsidRDefault="002E5441" w:rsidP="000400C8">
            <w:pPr>
              <w:ind w:left="284"/>
              <w:rPr>
                <w:rFonts w:ascii="Times New Roman" w:hAnsi="Times New Roman"/>
                <w:color w:val="000000"/>
                <w:sz w:val="18"/>
                <w:lang w:val="es-ES"/>
              </w:rPr>
            </w:pPr>
            <w:r w:rsidRPr="00AE4E8D">
              <w:rPr>
                <w:rFonts w:ascii="Times New Roman" w:hAnsi="Times New Roman"/>
                <w:color w:val="000000"/>
                <w:sz w:val="18"/>
                <w:szCs w:val="18"/>
                <w:lang w:val="es-ES"/>
              </w:rPr>
              <w:t>disponibilidades</w:t>
            </w:r>
          </w:p>
        </w:tc>
        <w:tc>
          <w:tcPr>
            <w:tcW w:w="637" w:type="pct"/>
            <w:shd w:val="clear" w:color="auto" w:fill="FFFFFF"/>
            <w:noWrap/>
            <w:vAlign w:val="bottom"/>
            <w:hideMark/>
          </w:tcPr>
          <w:p w14:paraId="22459E25"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15</w:t>
            </w:r>
            <w:r w:rsidRPr="00AE4E8D">
              <w:rPr>
                <w:rFonts w:ascii="Times New Roman" w:hAnsi="Times New Roman"/>
                <w:color w:val="000000"/>
                <w:sz w:val="18"/>
                <w:lang w:val="es-ES"/>
              </w:rPr>
              <w:t>,3</w:t>
            </w:r>
          </w:p>
        </w:tc>
        <w:tc>
          <w:tcPr>
            <w:tcW w:w="638" w:type="pct"/>
            <w:shd w:val="clear" w:color="auto" w:fill="FFFFFF"/>
            <w:noWrap/>
            <w:vAlign w:val="bottom"/>
            <w:hideMark/>
          </w:tcPr>
          <w:p w14:paraId="63D0AE0E"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3,7</w:t>
            </w:r>
          </w:p>
        </w:tc>
        <w:tc>
          <w:tcPr>
            <w:tcW w:w="834" w:type="pct"/>
            <w:noWrap/>
            <w:vAlign w:val="bottom"/>
            <w:hideMark/>
          </w:tcPr>
          <w:p w14:paraId="57B24D44"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316,7</w:t>
            </w:r>
            <w:r w:rsidRPr="00AE4E8D">
              <w:rPr>
                <w:rFonts w:ascii="Times New Roman" w:hAnsi="Times New Roman"/>
                <w:sz w:val="18"/>
              </w:rPr>
              <w:t>%</w:t>
            </w:r>
          </w:p>
        </w:tc>
      </w:tr>
      <w:tr w:rsidR="002E5441" w:rsidRPr="00AE4E8D" w14:paraId="518342B5" w14:textId="77777777" w:rsidTr="000400C8">
        <w:trPr>
          <w:trHeight w:val="240"/>
          <w:jc w:val="center"/>
        </w:trPr>
        <w:tc>
          <w:tcPr>
            <w:tcW w:w="2892" w:type="pct"/>
            <w:gridSpan w:val="2"/>
            <w:noWrap/>
            <w:vAlign w:val="bottom"/>
            <w:hideMark/>
          </w:tcPr>
          <w:p w14:paraId="4E2744ED"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préstamos al sector financiero  </w:t>
            </w:r>
          </w:p>
        </w:tc>
        <w:tc>
          <w:tcPr>
            <w:tcW w:w="637" w:type="pct"/>
            <w:shd w:val="clear" w:color="auto" w:fill="FFFFFF"/>
            <w:noWrap/>
            <w:vAlign w:val="bottom"/>
            <w:hideMark/>
          </w:tcPr>
          <w:p w14:paraId="538C22B8"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100,8</w:t>
            </w:r>
          </w:p>
        </w:tc>
        <w:tc>
          <w:tcPr>
            <w:tcW w:w="638" w:type="pct"/>
            <w:shd w:val="clear" w:color="auto" w:fill="FFFFFF"/>
            <w:noWrap/>
            <w:vAlign w:val="bottom"/>
            <w:hideMark/>
          </w:tcPr>
          <w:p w14:paraId="421CD8E4"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53,4</w:t>
            </w:r>
          </w:p>
        </w:tc>
        <w:tc>
          <w:tcPr>
            <w:tcW w:w="834" w:type="pct"/>
            <w:noWrap/>
            <w:vAlign w:val="bottom"/>
            <w:hideMark/>
          </w:tcPr>
          <w:p w14:paraId="67B979D1"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88,8%</w:t>
            </w:r>
          </w:p>
        </w:tc>
      </w:tr>
      <w:tr w:rsidR="002E5441" w:rsidRPr="00AE4E8D" w14:paraId="45FD9F13" w14:textId="77777777" w:rsidTr="000400C8">
        <w:trPr>
          <w:trHeight w:val="240"/>
          <w:jc w:val="center"/>
        </w:trPr>
        <w:tc>
          <w:tcPr>
            <w:tcW w:w="2892" w:type="pct"/>
            <w:gridSpan w:val="2"/>
            <w:noWrap/>
            <w:vAlign w:val="bottom"/>
            <w:hideMark/>
          </w:tcPr>
          <w:p w14:paraId="33A2F64B" w14:textId="77777777" w:rsidR="002E5441" w:rsidRPr="00AE4E8D" w:rsidRDefault="002E5441" w:rsidP="000400C8">
            <w:pPr>
              <w:ind w:left="284"/>
              <w:rPr>
                <w:rFonts w:ascii="Times New Roman" w:hAnsi="Times New Roman"/>
                <w:color w:val="000000"/>
                <w:sz w:val="18"/>
                <w:lang w:val="en-US"/>
              </w:rPr>
            </w:pPr>
            <w:r w:rsidRPr="00AE4E8D">
              <w:rPr>
                <w:rFonts w:ascii="Times New Roman" w:hAnsi="Times New Roman"/>
                <w:color w:val="000000"/>
                <w:sz w:val="18"/>
                <w:szCs w:val="18"/>
                <w:lang w:val="es-ES"/>
              </w:rPr>
              <w:t xml:space="preserve">adelantos  </w:t>
            </w:r>
          </w:p>
        </w:tc>
        <w:tc>
          <w:tcPr>
            <w:tcW w:w="637" w:type="pct"/>
            <w:shd w:val="clear" w:color="auto" w:fill="FFFFFF"/>
            <w:noWrap/>
            <w:vAlign w:val="bottom"/>
            <w:hideMark/>
          </w:tcPr>
          <w:p w14:paraId="0DCF5B3D"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209</w:t>
            </w:r>
            <w:r w:rsidRPr="00AE4E8D">
              <w:rPr>
                <w:rFonts w:ascii="Times New Roman" w:hAnsi="Times New Roman"/>
                <w:color w:val="000000"/>
                <w:sz w:val="18"/>
                <w:lang w:val="es-ES"/>
              </w:rPr>
              <w:t>,9</w:t>
            </w:r>
          </w:p>
        </w:tc>
        <w:tc>
          <w:tcPr>
            <w:tcW w:w="638" w:type="pct"/>
            <w:shd w:val="clear" w:color="auto" w:fill="FFFFFF"/>
            <w:noWrap/>
            <w:vAlign w:val="bottom"/>
            <w:hideMark/>
          </w:tcPr>
          <w:p w14:paraId="66EBEB48"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243,9</w:t>
            </w:r>
          </w:p>
        </w:tc>
        <w:tc>
          <w:tcPr>
            <w:tcW w:w="834" w:type="pct"/>
            <w:noWrap/>
            <w:vAlign w:val="bottom"/>
            <w:hideMark/>
          </w:tcPr>
          <w:p w14:paraId="03AE04DF"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(13,9)%</w:t>
            </w:r>
          </w:p>
        </w:tc>
      </w:tr>
      <w:tr w:rsidR="002E5441" w:rsidRPr="00AE4E8D" w14:paraId="31C24703" w14:textId="77777777" w:rsidTr="000400C8">
        <w:trPr>
          <w:trHeight w:val="240"/>
          <w:jc w:val="center"/>
        </w:trPr>
        <w:tc>
          <w:tcPr>
            <w:tcW w:w="2892" w:type="pct"/>
            <w:gridSpan w:val="2"/>
            <w:noWrap/>
            <w:vAlign w:val="bottom"/>
            <w:hideMark/>
          </w:tcPr>
          <w:p w14:paraId="2DCC815B" w14:textId="77777777" w:rsidR="002E5441" w:rsidRPr="00AE4E8D" w:rsidRDefault="002E5441"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s-ES"/>
              </w:rPr>
              <w:lastRenderedPageBreak/>
              <w:t xml:space="preserve">documentos  </w:t>
            </w:r>
          </w:p>
        </w:tc>
        <w:tc>
          <w:tcPr>
            <w:tcW w:w="637" w:type="pct"/>
            <w:shd w:val="clear" w:color="auto" w:fill="FFFFFF"/>
            <w:noWrap/>
            <w:vAlign w:val="bottom"/>
            <w:hideMark/>
          </w:tcPr>
          <w:p w14:paraId="198B57A7"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129,6</w:t>
            </w:r>
          </w:p>
        </w:tc>
        <w:tc>
          <w:tcPr>
            <w:tcW w:w="638" w:type="pct"/>
            <w:shd w:val="clear" w:color="auto" w:fill="FFFFFF"/>
            <w:noWrap/>
            <w:vAlign w:val="bottom"/>
            <w:hideMark/>
          </w:tcPr>
          <w:p w14:paraId="11AE621C"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95,7</w:t>
            </w:r>
          </w:p>
        </w:tc>
        <w:tc>
          <w:tcPr>
            <w:tcW w:w="834" w:type="pct"/>
            <w:noWrap/>
            <w:vAlign w:val="bottom"/>
            <w:hideMark/>
          </w:tcPr>
          <w:p w14:paraId="69F687BD"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35,4%</w:t>
            </w:r>
          </w:p>
        </w:tc>
      </w:tr>
      <w:tr w:rsidR="002E5441" w:rsidRPr="00AE4E8D" w14:paraId="529B7049" w14:textId="77777777" w:rsidTr="000400C8">
        <w:trPr>
          <w:trHeight w:val="240"/>
          <w:jc w:val="center"/>
        </w:trPr>
        <w:tc>
          <w:tcPr>
            <w:tcW w:w="2892" w:type="pct"/>
            <w:gridSpan w:val="2"/>
            <w:noWrap/>
            <w:vAlign w:val="bottom"/>
            <w:hideMark/>
          </w:tcPr>
          <w:p w14:paraId="052B0068" w14:textId="77777777" w:rsidR="002E5441" w:rsidRPr="00AE4E8D" w:rsidRDefault="002E5441"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préstamos hipotecarios  </w:t>
            </w:r>
          </w:p>
        </w:tc>
        <w:tc>
          <w:tcPr>
            <w:tcW w:w="637" w:type="pct"/>
            <w:shd w:val="clear" w:color="auto" w:fill="FFFFFF"/>
            <w:noWrap/>
            <w:vAlign w:val="bottom"/>
            <w:hideMark/>
          </w:tcPr>
          <w:p w14:paraId="5DBB3FBD"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490,5</w:t>
            </w:r>
          </w:p>
        </w:tc>
        <w:tc>
          <w:tcPr>
            <w:tcW w:w="638" w:type="pct"/>
            <w:shd w:val="clear" w:color="auto" w:fill="FFFFFF"/>
            <w:noWrap/>
            <w:vAlign w:val="bottom"/>
            <w:hideMark/>
          </w:tcPr>
          <w:p w14:paraId="73892B12"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433,6</w:t>
            </w:r>
          </w:p>
        </w:tc>
        <w:tc>
          <w:tcPr>
            <w:tcW w:w="834" w:type="pct"/>
            <w:noWrap/>
            <w:vAlign w:val="bottom"/>
            <w:hideMark/>
          </w:tcPr>
          <w:p w14:paraId="70464394"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13,1%</w:t>
            </w:r>
          </w:p>
        </w:tc>
      </w:tr>
      <w:tr w:rsidR="002E5441" w:rsidRPr="00AE4E8D" w14:paraId="5DECE3CA" w14:textId="77777777" w:rsidTr="000400C8">
        <w:trPr>
          <w:trHeight w:val="240"/>
          <w:jc w:val="center"/>
        </w:trPr>
        <w:tc>
          <w:tcPr>
            <w:tcW w:w="2892" w:type="pct"/>
            <w:gridSpan w:val="2"/>
            <w:noWrap/>
            <w:vAlign w:val="bottom"/>
            <w:hideMark/>
          </w:tcPr>
          <w:p w14:paraId="302F9389" w14:textId="77777777" w:rsidR="002E5441" w:rsidRPr="00AE4E8D" w:rsidRDefault="002E5441" w:rsidP="000400C8">
            <w:pPr>
              <w:ind w:left="284"/>
              <w:rPr>
                <w:rFonts w:ascii="Times New Roman" w:hAnsi="Times New Roman"/>
                <w:color w:val="000000"/>
                <w:sz w:val="18"/>
                <w:lang w:val="en-US"/>
              </w:rPr>
            </w:pPr>
            <w:r w:rsidRPr="00AE4E8D">
              <w:rPr>
                <w:rFonts w:ascii="Times New Roman" w:hAnsi="Times New Roman"/>
                <w:color w:val="000000"/>
                <w:sz w:val="18"/>
                <w:szCs w:val="18"/>
                <w:lang w:val="es-ES"/>
              </w:rPr>
              <w:t xml:space="preserve">préstamos prendarios  </w:t>
            </w:r>
          </w:p>
        </w:tc>
        <w:tc>
          <w:tcPr>
            <w:tcW w:w="637" w:type="pct"/>
            <w:shd w:val="clear" w:color="auto" w:fill="FFFFFF"/>
            <w:noWrap/>
            <w:vAlign w:val="bottom"/>
            <w:hideMark/>
          </w:tcPr>
          <w:p w14:paraId="2C3BC1A4"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154,6</w:t>
            </w:r>
          </w:p>
        </w:tc>
        <w:tc>
          <w:tcPr>
            <w:tcW w:w="638" w:type="pct"/>
            <w:shd w:val="clear" w:color="auto" w:fill="FFFFFF"/>
            <w:noWrap/>
            <w:vAlign w:val="bottom"/>
            <w:hideMark/>
          </w:tcPr>
          <w:p w14:paraId="0B808660"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131</w:t>
            </w:r>
            <w:r w:rsidRPr="00AE4E8D">
              <w:rPr>
                <w:rFonts w:ascii="Times New Roman" w:hAnsi="Times New Roman"/>
                <w:color w:val="000000"/>
                <w:sz w:val="18"/>
                <w:lang w:val="es-ES"/>
              </w:rPr>
              <w:t>,3</w:t>
            </w:r>
          </w:p>
        </w:tc>
        <w:tc>
          <w:tcPr>
            <w:tcW w:w="834" w:type="pct"/>
            <w:noWrap/>
            <w:vAlign w:val="bottom"/>
            <w:hideMark/>
          </w:tcPr>
          <w:p w14:paraId="5CAFC386"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17,8</w:t>
            </w:r>
            <w:r w:rsidRPr="00AE4E8D">
              <w:rPr>
                <w:rFonts w:ascii="Times New Roman" w:hAnsi="Times New Roman"/>
                <w:sz w:val="18"/>
              </w:rPr>
              <w:t>%</w:t>
            </w:r>
          </w:p>
        </w:tc>
      </w:tr>
      <w:tr w:rsidR="002E5441" w:rsidRPr="00AE4E8D" w14:paraId="79641355" w14:textId="77777777" w:rsidTr="000400C8">
        <w:trPr>
          <w:trHeight w:val="240"/>
          <w:jc w:val="center"/>
        </w:trPr>
        <w:tc>
          <w:tcPr>
            <w:tcW w:w="2892" w:type="pct"/>
            <w:gridSpan w:val="2"/>
            <w:noWrap/>
            <w:vAlign w:val="bottom"/>
            <w:hideMark/>
          </w:tcPr>
          <w:p w14:paraId="63EB9CBD"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préstamos de tarjetas de crédito  </w:t>
            </w:r>
          </w:p>
        </w:tc>
        <w:tc>
          <w:tcPr>
            <w:tcW w:w="637" w:type="pct"/>
            <w:shd w:val="clear" w:color="auto" w:fill="FFFFFF"/>
            <w:noWrap/>
            <w:vAlign w:val="bottom"/>
            <w:hideMark/>
          </w:tcPr>
          <w:p w14:paraId="60E8EF20"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3.477,6</w:t>
            </w:r>
          </w:p>
        </w:tc>
        <w:tc>
          <w:tcPr>
            <w:tcW w:w="638" w:type="pct"/>
            <w:shd w:val="clear" w:color="auto" w:fill="FFFFFF"/>
            <w:noWrap/>
            <w:vAlign w:val="bottom"/>
            <w:hideMark/>
          </w:tcPr>
          <w:p w14:paraId="632A911D"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2.153,7</w:t>
            </w:r>
          </w:p>
        </w:tc>
        <w:tc>
          <w:tcPr>
            <w:tcW w:w="834" w:type="pct"/>
            <w:noWrap/>
            <w:vAlign w:val="bottom"/>
            <w:hideMark/>
          </w:tcPr>
          <w:p w14:paraId="730DF45A"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61,5</w:t>
            </w:r>
            <w:r w:rsidRPr="00AE4E8D">
              <w:rPr>
                <w:rFonts w:ascii="Times New Roman" w:hAnsi="Times New Roman"/>
                <w:sz w:val="18"/>
              </w:rPr>
              <w:t>%</w:t>
            </w:r>
          </w:p>
        </w:tc>
      </w:tr>
      <w:tr w:rsidR="002E5441" w:rsidRPr="00AE4E8D" w14:paraId="69CC02CF" w14:textId="77777777" w:rsidTr="000400C8">
        <w:trPr>
          <w:trHeight w:val="240"/>
          <w:jc w:val="center"/>
        </w:trPr>
        <w:tc>
          <w:tcPr>
            <w:tcW w:w="2892" w:type="pct"/>
            <w:gridSpan w:val="2"/>
            <w:noWrap/>
            <w:vAlign w:val="bottom"/>
            <w:hideMark/>
          </w:tcPr>
          <w:p w14:paraId="0F46A0CA"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arrendamientos financieros  </w:t>
            </w:r>
          </w:p>
        </w:tc>
        <w:tc>
          <w:tcPr>
            <w:tcW w:w="637" w:type="pct"/>
            <w:shd w:val="clear" w:color="auto" w:fill="FFFFFF"/>
            <w:noWrap/>
            <w:vAlign w:val="bottom"/>
            <w:hideMark/>
          </w:tcPr>
          <w:p w14:paraId="23931111"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33.4</w:t>
            </w:r>
          </w:p>
        </w:tc>
        <w:tc>
          <w:tcPr>
            <w:tcW w:w="638" w:type="pct"/>
            <w:shd w:val="clear" w:color="auto" w:fill="FFFFFF"/>
            <w:noWrap/>
            <w:vAlign w:val="bottom"/>
            <w:hideMark/>
          </w:tcPr>
          <w:p w14:paraId="5C028F0B"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28,0</w:t>
            </w:r>
          </w:p>
        </w:tc>
        <w:tc>
          <w:tcPr>
            <w:tcW w:w="834" w:type="pct"/>
            <w:noWrap/>
            <w:vAlign w:val="bottom"/>
            <w:hideMark/>
          </w:tcPr>
          <w:p w14:paraId="693678FA"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19,2%</w:t>
            </w:r>
          </w:p>
        </w:tc>
      </w:tr>
      <w:tr w:rsidR="002E5441" w:rsidRPr="00AE4E8D" w14:paraId="4D45ABCF" w14:textId="77777777" w:rsidTr="000400C8">
        <w:trPr>
          <w:trHeight w:val="240"/>
          <w:jc w:val="center"/>
        </w:trPr>
        <w:tc>
          <w:tcPr>
            <w:tcW w:w="2892" w:type="pct"/>
            <w:gridSpan w:val="2"/>
            <w:noWrap/>
            <w:vAlign w:val="bottom"/>
            <w:hideMark/>
          </w:tcPr>
          <w:p w14:paraId="52949FEE"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otros préstamos  </w:t>
            </w:r>
          </w:p>
        </w:tc>
        <w:tc>
          <w:tcPr>
            <w:tcW w:w="637" w:type="pct"/>
            <w:shd w:val="clear" w:color="auto" w:fill="FFFFFF"/>
            <w:noWrap/>
            <w:vAlign w:val="bottom"/>
            <w:hideMark/>
          </w:tcPr>
          <w:p w14:paraId="2AC85A69"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2.321,0</w:t>
            </w:r>
          </w:p>
        </w:tc>
        <w:tc>
          <w:tcPr>
            <w:tcW w:w="638" w:type="pct"/>
            <w:shd w:val="clear" w:color="auto" w:fill="FFFFFF"/>
            <w:noWrap/>
            <w:vAlign w:val="bottom"/>
            <w:hideMark/>
          </w:tcPr>
          <w:p w14:paraId="634125AA"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1.903,1</w:t>
            </w:r>
          </w:p>
        </w:tc>
        <w:tc>
          <w:tcPr>
            <w:tcW w:w="834" w:type="pct"/>
            <w:noWrap/>
            <w:vAlign w:val="bottom"/>
            <w:hideMark/>
          </w:tcPr>
          <w:p w14:paraId="554EDB73"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21,9%</w:t>
            </w:r>
          </w:p>
        </w:tc>
      </w:tr>
      <w:tr w:rsidR="002E5441" w:rsidRPr="00AE4E8D" w14:paraId="33767A4C" w14:textId="77777777" w:rsidTr="000400C8">
        <w:trPr>
          <w:trHeight w:val="240"/>
          <w:jc w:val="center"/>
        </w:trPr>
        <w:tc>
          <w:tcPr>
            <w:tcW w:w="2892" w:type="pct"/>
            <w:gridSpan w:val="2"/>
            <w:noWrap/>
            <w:vAlign w:val="bottom"/>
            <w:hideMark/>
          </w:tcPr>
          <w:p w14:paraId="04DD06A9"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otros créditos por intermediación financiera  </w:t>
            </w:r>
          </w:p>
        </w:tc>
        <w:tc>
          <w:tcPr>
            <w:tcW w:w="637" w:type="pct"/>
            <w:shd w:val="clear" w:color="auto" w:fill="FFFFFF"/>
            <w:noWrap/>
            <w:vAlign w:val="bottom"/>
            <w:hideMark/>
          </w:tcPr>
          <w:p w14:paraId="2E55286F"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20,5</w:t>
            </w:r>
          </w:p>
        </w:tc>
        <w:tc>
          <w:tcPr>
            <w:tcW w:w="638" w:type="pct"/>
            <w:shd w:val="clear" w:color="auto" w:fill="FFFFFF"/>
            <w:noWrap/>
            <w:vAlign w:val="bottom"/>
            <w:hideMark/>
          </w:tcPr>
          <w:p w14:paraId="13FCF628" w14:textId="77777777" w:rsidR="002E5441" w:rsidRPr="00AE4E8D" w:rsidRDefault="002E5441" w:rsidP="00E8320E">
            <w:pPr>
              <w:jc w:val="right"/>
              <w:rPr>
                <w:rFonts w:ascii="Times New Roman" w:hAnsi="Times New Roman"/>
                <w:color w:val="000000"/>
                <w:sz w:val="18"/>
                <w:lang w:val="en-US"/>
              </w:rPr>
            </w:pPr>
            <w:r w:rsidRPr="00AE4E8D">
              <w:rPr>
                <w:rFonts w:ascii="Times New Roman" w:hAnsi="Times New Roman"/>
                <w:color w:val="000000"/>
                <w:sz w:val="18"/>
                <w:szCs w:val="18"/>
                <w:lang w:val="es-ES"/>
              </w:rPr>
              <w:t>22,8</w:t>
            </w:r>
          </w:p>
        </w:tc>
        <w:tc>
          <w:tcPr>
            <w:tcW w:w="834" w:type="pct"/>
            <w:noWrap/>
            <w:vAlign w:val="bottom"/>
            <w:hideMark/>
          </w:tcPr>
          <w:p w14:paraId="6A7C091C"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(10,2)%</w:t>
            </w:r>
          </w:p>
        </w:tc>
      </w:tr>
      <w:tr w:rsidR="002E5441" w:rsidRPr="00AE4E8D" w14:paraId="0C8A0A1B" w14:textId="77777777" w:rsidTr="000400C8">
        <w:trPr>
          <w:trHeight w:val="240"/>
          <w:jc w:val="center"/>
        </w:trPr>
        <w:tc>
          <w:tcPr>
            <w:tcW w:w="2892" w:type="pct"/>
            <w:gridSpan w:val="2"/>
            <w:noWrap/>
            <w:vAlign w:val="bottom"/>
            <w:hideMark/>
          </w:tcPr>
          <w:p w14:paraId="633E8A80"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Resultado neto de títulos públicos y privados  </w:t>
            </w:r>
          </w:p>
        </w:tc>
        <w:tc>
          <w:tcPr>
            <w:tcW w:w="637" w:type="pct"/>
            <w:shd w:val="clear" w:color="auto" w:fill="FFFFFF"/>
            <w:noWrap/>
            <w:vAlign w:val="bottom"/>
            <w:hideMark/>
          </w:tcPr>
          <w:p w14:paraId="715448FB"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2.178,7</w:t>
            </w:r>
          </w:p>
        </w:tc>
        <w:tc>
          <w:tcPr>
            <w:tcW w:w="638" w:type="pct"/>
            <w:shd w:val="clear" w:color="auto" w:fill="FFFFFF"/>
            <w:noWrap/>
            <w:vAlign w:val="bottom"/>
            <w:hideMark/>
          </w:tcPr>
          <w:p w14:paraId="4980C862"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1.764,3</w:t>
            </w:r>
          </w:p>
        </w:tc>
        <w:tc>
          <w:tcPr>
            <w:tcW w:w="834" w:type="pct"/>
            <w:noWrap/>
            <w:vAlign w:val="bottom"/>
            <w:hideMark/>
          </w:tcPr>
          <w:p w14:paraId="6C943389"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23,5%</w:t>
            </w:r>
          </w:p>
        </w:tc>
      </w:tr>
      <w:tr w:rsidR="002E5441" w:rsidRPr="00AE4E8D" w14:paraId="6DB35F57" w14:textId="77777777" w:rsidTr="000400C8">
        <w:trPr>
          <w:trHeight w:val="240"/>
          <w:jc w:val="center"/>
        </w:trPr>
        <w:tc>
          <w:tcPr>
            <w:tcW w:w="2892" w:type="pct"/>
            <w:gridSpan w:val="2"/>
            <w:noWrap/>
            <w:vAlign w:val="bottom"/>
            <w:hideMark/>
          </w:tcPr>
          <w:p w14:paraId="26B260B0"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Ajuste por CER  </w:t>
            </w:r>
          </w:p>
        </w:tc>
        <w:tc>
          <w:tcPr>
            <w:tcW w:w="637" w:type="pct"/>
            <w:shd w:val="clear" w:color="auto" w:fill="FFFFFF"/>
            <w:noWrap/>
            <w:vAlign w:val="bottom"/>
            <w:hideMark/>
          </w:tcPr>
          <w:p w14:paraId="2434003A"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7,5</w:t>
            </w:r>
          </w:p>
        </w:tc>
        <w:tc>
          <w:tcPr>
            <w:tcW w:w="638" w:type="pct"/>
            <w:shd w:val="clear" w:color="auto" w:fill="FFFFFF"/>
            <w:noWrap/>
            <w:vAlign w:val="bottom"/>
            <w:hideMark/>
          </w:tcPr>
          <w:p w14:paraId="79F98510"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lang w:val="es-ES"/>
              </w:rPr>
              <w:t>9</w:t>
            </w:r>
            <w:r w:rsidRPr="00AE4E8D">
              <w:rPr>
                <w:rFonts w:ascii="Times New Roman" w:hAnsi="Times New Roman"/>
                <w:color w:val="000000"/>
                <w:sz w:val="18"/>
                <w:szCs w:val="18"/>
                <w:lang w:val="es-ES"/>
              </w:rPr>
              <w:t>,6</w:t>
            </w:r>
          </w:p>
        </w:tc>
        <w:tc>
          <w:tcPr>
            <w:tcW w:w="834" w:type="pct"/>
            <w:noWrap/>
            <w:vAlign w:val="bottom"/>
            <w:hideMark/>
          </w:tcPr>
          <w:p w14:paraId="7472A867" w14:textId="77777777" w:rsidR="002E5441" w:rsidRPr="00AE4E8D" w:rsidRDefault="002E5441" w:rsidP="00E8320E">
            <w:pPr>
              <w:jc w:val="right"/>
              <w:rPr>
                <w:rFonts w:ascii="Times New Roman" w:hAnsi="Times New Roman"/>
                <w:sz w:val="18"/>
              </w:rPr>
            </w:pPr>
            <w:r w:rsidRPr="00AE4E8D">
              <w:rPr>
                <w:rFonts w:ascii="Times New Roman" w:hAnsi="Times New Roman"/>
                <w:sz w:val="18"/>
              </w:rPr>
              <w:t>(</w:t>
            </w:r>
            <w:r w:rsidRPr="00AE4E8D">
              <w:rPr>
                <w:rFonts w:ascii="Times New Roman" w:hAnsi="Times New Roman"/>
                <w:sz w:val="18"/>
                <w:szCs w:val="18"/>
              </w:rPr>
              <w:t>21.9</w:t>
            </w:r>
            <w:r w:rsidRPr="00AE4E8D">
              <w:rPr>
                <w:rFonts w:ascii="Times New Roman" w:hAnsi="Times New Roman"/>
                <w:sz w:val="18"/>
              </w:rPr>
              <w:t>)%</w:t>
            </w:r>
          </w:p>
        </w:tc>
      </w:tr>
      <w:tr w:rsidR="002E5441" w:rsidRPr="00AE4E8D" w14:paraId="4DECF12A" w14:textId="77777777" w:rsidTr="000400C8">
        <w:trPr>
          <w:trHeight w:val="255"/>
          <w:jc w:val="center"/>
        </w:trPr>
        <w:tc>
          <w:tcPr>
            <w:tcW w:w="2892" w:type="pct"/>
            <w:gridSpan w:val="2"/>
            <w:noWrap/>
            <w:vAlign w:val="bottom"/>
            <w:hideMark/>
          </w:tcPr>
          <w:p w14:paraId="155D8A6A" w14:textId="77777777" w:rsidR="002E5441" w:rsidRPr="00AE4E8D" w:rsidRDefault="002E5441" w:rsidP="00E8320E">
            <w:pPr>
              <w:rPr>
                <w:rFonts w:ascii="Times New Roman" w:hAnsi="Times New Roman"/>
                <w:color w:val="000000"/>
                <w:sz w:val="18"/>
              </w:rPr>
            </w:pPr>
            <w:r w:rsidRPr="00AE4E8D">
              <w:rPr>
                <w:rFonts w:ascii="Times New Roman" w:hAnsi="Times New Roman"/>
                <w:color w:val="000000"/>
                <w:sz w:val="18"/>
                <w:szCs w:val="18"/>
                <w:lang w:val="es-ES"/>
              </w:rPr>
              <w:t xml:space="preserve">Otros  </w:t>
            </w:r>
          </w:p>
        </w:tc>
        <w:tc>
          <w:tcPr>
            <w:tcW w:w="637" w:type="pct"/>
            <w:shd w:val="clear" w:color="auto" w:fill="FFFFFF"/>
            <w:noWrap/>
            <w:vAlign w:val="bottom"/>
            <w:hideMark/>
          </w:tcPr>
          <w:p w14:paraId="4093B716"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238</w:t>
            </w:r>
            <w:r w:rsidRPr="00AE4E8D">
              <w:rPr>
                <w:rFonts w:ascii="Times New Roman" w:hAnsi="Times New Roman"/>
                <w:color w:val="000000"/>
                <w:sz w:val="18"/>
                <w:lang w:val="es-ES"/>
              </w:rPr>
              <w:t>,8</w:t>
            </w:r>
          </w:p>
        </w:tc>
        <w:tc>
          <w:tcPr>
            <w:tcW w:w="638" w:type="pct"/>
            <w:shd w:val="clear" w:color="auto" w:fill="FFFFFF"/>
            <w:noWrap/>
            <w:vAlign w:val="bottom"/>
            <w:hideMark/>
          </w:tcPr>
          <w:p w14:paraId="7DE391C4"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403,5</w:t>
            </w:r>
          </w:p>
        </w:tc>
        <w:tc>
          <w:tcPr>
            <w:tcW w:w="834" w:type="pct"/>
            <w:noWrap/>
            <w:vAlign w:val="bottom"/>
            <w:hideMark/>
          </w:tcPr>
          <w:p w14:paraId="1E5C170C"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(40,8)%</w:t>
            </w:r>
          </w:p>
        </w:tc>
      </w:tr>
      <w:tr w:rsidR="002E5441" w:rsidRPr="00AE4E8D" w14:paraId="4CD5973E" w14:textId="77777777" w:rsidTr="000400C8">
        <w:trPr>
          <w:trHeight w:val="255"/>
          <w:jc w:val="center"/>
        </w:trPr>
        <w:tc>
          <w:tcPr>
            <w:tcW w:w="2892" w:type="pct"/>
            <w:gridSpan w:val="2"/>
            <w:noWrap/>
            <w:vAlign w:val="bottom"/>
            <w:hideMark/>
          </w:tcPr>
          <w:p w14:paraId="15ECAEE1" w14:textId="77777777" w:rsidR="002E5441" w:rsidRPr="00AE4E8D" w:rsidRDefault="002E5441" w:rsidP="00E8320E">
            <w:pPr>
              <w:rPr>
                <w:rFonts w:ascii="Times New Roman" w:hAnsi="Times New Roman"/>
                <w:b/>
                <w:color w:val="000000"/>
                <w:sz w:val="18"/>
              </w:rPr>
            </w:pPr>
            <w:r w:rsidRPr="00AE4E8D">
              <w:rPr>
                <w:rFonts w:ascii="Times New Roman" w:hAnsi="Times New Roman"/>
                <w:b/>
                <w:bCs/>
                <w:color w:val="000000"/>
                <w:sz w:val="18"/>
                <w:szCs w:val="18"/>
                <w:lang w:val="es-ES"/>
              </w:rPr>
              <w:t xml:space="preserve">Total Ingresos Financieros  </w:t>
            </w:r>
          </w:p>
        </w:tc>
        <w:tc>
          <w:tcPr>
            <w:tcW w:w="637" w:type="pct"/>
            <w:tcBorders>
              <w:top w:val="single" w:sz="8" w:space="0" w:color="auto"/>
              <w:left w:val="nil"/>
              <w:bottom w:val="single" w:sz="8" w:space="0" w:color="auto"/>
              <w:right w:val="nil"/>
            </w:tcBorders>
            <w:shd w:val="clear" w:color="auto" w:fill="FFFFFF"/>
            <w:noWrap/>
            <w:vAlign w:val="bottom"/>
            <w:hideMark/>
          </w:tcPr>
          <w:p w14:paraId="33FDA051"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9.378</w:t>
            </w:r>
            <w:r w:rsidRPr="00AE4E8D">
              <w:rPr>
                <w:rFonts w:ascii="Times New Roman" w:hAnsi="Times New Roman"/>
                <w:color w:val="000000"/>
                <w:sz w:val="18"/>
                <w:lang w:val="es-ES"/>
              </w:rPr>
              <w:t>,0</w:t>
            </w:r>
          </w:p>
        </w:tc>
        <w:tc>
          <w:tcPr>
            <w:tcW w:w="638" w:type="pct"/>
            <w:tcBorders>
              <w:top w:val="single" w:sz="8" w:space="0" w:color="auto"/>
              <w:left w:val="nil"/>
              <w:bottom w:val="single" w:sz="8" w:space="0" w:color="auto"/>
              <w:right w:val="nil"/>
            </w:tcBorders>
            <w:shd w:val="clear" w:color="auto" w:fill="FFFFFF"/>
            <w:noWrap/>
            <w:vAlign w:val="bottom"/>
            <w:hideMark/>
          </w:tcPr>
          <w:p w14:paraId="23FC0E35"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7.246,6</w:t>
            </w:r>
          </w:p>
        </w:tc>
        <w:tc>
          <w:tcPr>
            <w:tcW w:w="834" w:type="pct"/>
            <w:tcBorders>
              <w:top w:val="single" w:sz="8" w:space="0" w:color="auto"/>
              <w:left w:val="nil"/>
              <w:bottom w:val="single" w:sz="8" w:space="0" w:color="auto"/>
              <w:right w:val="nil"/>
            </w:tcBorders>
            <w:noWrap/>
            <w:vAlign w:val="bottom"/>
            <w:hideMark/>
          </w:tcPr>
          <w:p w14:paraId="17B9C55F" w14:textId="77777777" w:rsidR="002E5441" w:rsidRPr="00AE4E8D" w:rsidRDefault="002E5441" w:rsidP="00E8320E">
            <w:pPr>
              <w:jc w:val="right"/>
              <w:rPr>
                <w:rFonts w:ascii="Times New Roman" w:hAnsi="Times New Roman"/>
                <w:sz w:val="18"/>
              </w:rPr>
            </w:pPr>
            <w:r w:rsidRPr="00AE4E8D">
              <w:rPr>
                <w:rFonts w:ascii="Times New Roman" w:hAnsi="Times New Roman"/>
                <w:sz w:val="18"/>
                <w:szCs w:val="18"/>
              </w:rPr>
              <w:t>29,4</w:t>
            </w:r>
            <w:r w:rsidRPr="00AE4E8D">
              <w:rPr>
                <w:rFonts w:ascii="Times New Roman" w:hAnsi="Times New Roman"/>
                <w:sz w:val="18"/>
              </w:rPr>
              <w:t>%</w:t>
            </w:r>
          </w:p>
        </w:tc>
      </w:tr>
    </w:tbl>
    <w:p w14:paraId="3917F52C" w14:textId="77777777" w:rsidR="002E5441" w:rsidRPr="00AE4E8D" w:rsidRDefault="002E5441" w:rsidP="002E54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muestra los efectos de los cambios en el volumen promedio de los activos que generan intereses y tasa de interés nominal promedio entre los ejercicios finalizados el 31 de diciembre de 2015 y 2016:</w:t>
      </w:r>
    </w:p>
    <w:tbl>
      <w:tblPr>
        <w:tblW w:w="0" w:type="auto"/>
        <w:jc w:val="center"/>
        <w:tblLook w:val="00A0" w:firstRow="1" w:lastRow="0" w:firstColumn="1" w:lastColumn="0" w:noHBand="0" w:noVBand="0"/>
      </w:tblPr>
      <w:tblGrid>
        <w:gridCol w:w="6675"/>
        <w:gridCol w:w="466"/>
        <w:gridCol w:w="1580"/>
      </w:tblGrid>
      <w:tr w:rsidR="002E5441" w:rsidRPr="00AE4E8D" w14:paraId="3157CA71" w14:textId="77777777" w:rsidTr="000400C8">
        <w:trPr>
          <w:trHeight w:val="300"/>
          <w:tblHeader/>
          <w:jc w:val="center"/>
        </w:trPr>
        <w:tc>
          <w:tcPr>
            <w:tcW w:w="0" w:type="auto"/>
            <w:noWrap/>
            <w:vAlign w:val="bottom"/>
          </w:tcPr>
          <w:p w14:paraId="6725760B" w14:textId="77777777" w:rsidR="002E5441" w:rsidRPr="00AE4E8D" w:rsidRDefault="002E5441" w:rsidP="00E8320E">
            <w:pPr>
              <w:pStyle w:val="BHTexto"/>
              <w:rPr>
                <w:lang w:val="es-ES"/>
              </w:rPr>
            </w:pPr>
          </w:p>
        </w:tc>
        <w:tc>
          <w:tcPr>
            <w:tcW w:w="0" w:type="auto"/>
            <w:gridSpan w:val="2"/>
            <w:tcBorders>
              <w:top w:val="single" w:sz="4" w:space="0" w:color="auto"/>
              <w:left w:val="nil"/>
              <w:bottom w:val="single" w:sz="4" w:space="0" w:color="auto"/>
              <w:right w:val="nil"/>
            </w:tcBorders>
            <w:noWrap/>
            <w:vAlign w:val="bottom"/>
            <w:hideMark/>
          </w:tcPr>
          <w:p w14:paraId="232E74C4" w14:textId="77777777" w:rsidR="002E5441" w:rsidRPr="00AE4E8D" w:rsidRDefault="002E5441" w:rsidP="00E8320E">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 xml:space="preserve">Aumento/(Disminución) </w:t>
            </w:r>
          </w:p>
          <w:p w14:paraId="484244D7" w14:textId="77777777" w:rsidR="002E5441" w:rsidRPr="00AE4E8D" w:rsidRDefault="002E5441" w:rsidP="00E8320E">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2015/2016</w:t>
            </w:r>
          </w:p>
        </w:tc>
      </w:tr>
      <w:tr w:rsidR="002E5441" w:rsidRPr="00AE4E8D" w14:paraId="23E1F57F" w14:textId="77777777" w:rsidTr="000400C8">
        <w:trPr>
          <w:trHeight w:val="300"/>
          <w:tblHeader/>
          <w:jc w:val="center"/>
        </w:trPr>
        <w:tc>
          <w:tcPr>
            <w:tcW w:w="0" w:type="auto"/>
            <w:noWrap/>
            <w:vAlign w:val="bottom"/>
          </w:tcPr>
          <w:p w14:paraId="0FFE1ED4" w14:textId="77777777" w:rsidR="002E5441" w:rsidRPr="00AE4E8D" w:rsidRDefault="002E5441" w:rsidP="00E8320E">
            <w:pPr>
              <w:pStyle w:val="BHTexto"/>
              <w:rPr>
                <w:lang w:val="es-AR"/>
              </w:rPr>
            </w:pPr>
          </w:p>
        </w:tc>
        <w:tc>
          <w:tcPr>
            <w:tcW w:w="0" w:type="auto"/>
            <w:gridSpan w:val="2"/>
            <w:tcBorders>
              <w:top w:val="single" w:sz="4" w:space="0" w:color="auto"/>
              <w:left w:val="nil"/>
              <w:bottom w:val="single" w:sz="4" w:space="0" w:color="auto"/>
              <w:right w:val="nil"/>
            </w:tcBorders>
            <w:noWrap/>
            <w:vAlign w:val="bottom"/>
            <w:hideMark/>
          </w:tcPr>
          <w:p w14:paraId="22F17353" w14:textId="77777777" w:rsidR="002E5441" w:rsidRPr="00AE4E8D" w:rsidRDefault="002E5441" w:rsidP="00E8320E">
            <w:pPr>
              <w:keepNext/>
              <w:keepLines/>
              <w:jc w:val="center"/>
              <w:rPr>
                <w:rFonts w:ascii="Times New Roman" w:hAnsi="Times New Roman"/>
                <w:lang w:val="es-ES" w:eastAsia="es-AR"/>
              </w:rPr>
            </w:pPr>
            <w:r w:rsidRPr="00AE4E8D">
              <w:rPr>
                <w:rFonts w:ascii="Times New Roman" w:hAnsi="Times New Roman"/>
                <w:sz w:val="18"/>
                <w:szCs w:val="18"/>
                <w:lang w:val="es-ES" w:eastAsia="es-AR"/>
              </w:rPr>
              <w:t>(</w:t>
            </w:r>
            <w:proofErr w:type="gramStart"/>
            <w:r w:rsidRPr="00AE4E8D">
              <w:rPr>
                <w:rFonts w:ascii="Times New Roman" w:hAnsi="Times New Roman"/>
                <w:sz w:val="18"/>
                <w:szCs w:val="18"/>
                <w:lang w:val="es-ES" w:eastAsia="es-AR"/>
              </w:rPr>
              <w:t>en</w:t>
            </w:r>
            <w:proofErr w:type="gramEnd"/>
            <w:r w:rsidRPr="00AE4E8D">
              <w:rPr>
                <w:rFonts w:ascii="Times New Roman" w:hAnsi="Times New Roman"/>
                <w:sz w:val="18"/>
                <w:szCs w:val="18"/>
                <w:lang w:val="es-ES" w:eastAsia="es-AR"/>
              </w:rPr>
              <w:t xml:space="preserve"> millones de Ps.)</w:t>
            </w:r>
          </w:p>
        </w:tc>
      </w:tr>
      <w:tr w:rsidR="002E5441" w:rsidRPr="00AE4E8D" w14:paraId="4EE59FB8" w14:textId="77777777" w:rsidTr="000400C8">
        <w:trPr>
          <w:trHeight w:val="240"/>
          <w:jc w:val="center"/>
        </w:trPr>
        <w:tc>
          <w:tcPr>
            <w:tcW w:w="0" w:type="auto"/>
            <w:noWrap/>
            <w:hideMark/>
          </w:tcPr>
          <w:p w14:paraId="2E93C169" w14:textId="77777777" w:rsidR="002E5441" w:rsidRPr="00AE4E8D" w:rsidRDefault="002E5441" w:rsidP="00E8320E">
            <w:pPr>
              <w:tabs>
                <w:tab w:val="left" w:leader="dot" w:pos="6541"/>
              </w:tabs>
              <w:rPr>
                <w:rFonts w:ascii="Times New Roman" w:hAnsi="Times New Roman"/>
                <w:color w:val="000000"/>
                <w:sz w:val="18"/>
                <w:lang w:val="es-ES"/>
              </w:rPr>
            </w:pPr>
            <w:r w:rsidRPr="00AE4E8D">
              <w:rPr>
                <w:rFonts w:ascii="Times New Roman" w:hAnsi="Times New Roman"/>
                <w:color w:val="000000"/>
                <w:sz w:val="18"/>
                <w:lang w:val="es-ES"/>
              </w:rPr>
              <w:t xml:space="preserve">Debido a variaciones en el volumen promedio de </w:t>
            </w:r>
            <w:r w:rsidRPr="00AE4E8D">
              <w:rPr>
                <w:rFonts w:ascii="Times New Roman" w:hAnsi="Times New Roman"/>
                <w:color w:val="000000"/>
                <w:sz w:val="18"/>
                <w:szCs w:val="18"/>
                <w:lang w:val="es-ES" w:eastAsia="es-AR"/>
              </w:rPr>
              <w:t>activos</w:t>
            </w:r>
            <w:r w:rsidRPr="00AE4E8D">
              <w:rPr>
                <w:rFonts w:ascii="Times New Roman" w:hAnsi="Times New Roman"/>
                <w:color w:val="000000"/>
                <w:sz w:val="18"/>
                <w:lang w:val="es-ES"/>
              </w:rPr>
              <w:t xml:space="preserve"> que devengan intereses</w:t>
            </w:r>
            <w:r w:rsidRPr="00AE4E8D">
              <w:rPr>
                <w:rFonts w:ascii="Times New Roman" w:hAnsi="Times New Roman"/>
                <w:color w:val="000000"/>
                <w:sz w:val="18"/>
                <w:lang w:val="es-ES"/>
              </w:rPr>
              <w:tab/>
            </w:r>
          </w:p>
        </w:tc>
        <w:tc>
          <w:tcPr>
            <w:tcW w:w="0" w:type="auto"/>
            <w:tcBorders>
              <w:top w:val="single" w:sz="4" w:space="0" w:color="auto"/>
              <w:left w:val="nil"/>
              <w:bottom w:val="nil"/>
              <w:right w:val="nil"/>
            </w:tcBorders>
            <w:shd w:val="clear" w:color="auto" w:fill="FFFFFF"/>
            <w:noWrap/>
            <w:vAlign w:val="bottom"/>
          </w:tcPr>
          <w:p w14:paraId="756F9C6D" w14:textId="77777777" w:rsidR="002E5441" w:rsidRPr="00AE4E8D" w:rsidRDefault="002E5441" w:rsidP="00E8320E">
            <w:pPr>
              <w:keepNext/>
              <w:keepLines/>
              <w:jc w:val="right"/>
              <w:rPr>
                <w:rFonts w:ascii="Times New Roman" w:hAnsi="Times New Roman"/>
                <w:sz w:val="18"/>
                <w:szCs w:val="18"/>
                <w:lang w:val="es-ES" w:eastAsia="es-AR"/>
              </w:rPr>
            </w:pPr>
          </w:p>
        </w:tc>
        <w:tc>
          <w:tcPr>
            <w:tcW w:w="0" w:type="auto"/>
            <w:tcBorders>
              <w:top w:val="single" w:sz="4" w:space="0" w:color="auto"/>
              <w:left w:val="nil"/>
              <w:bottom w:val="nil"/>
              <w:right w:val="nil"/>
            </w:tcBorders>
            <w:shd w:val="clear" w:color="auto" w:fill="FFFFFF"/>
            <w:noWrap/>
            <w:vAlign w:val="bottom"/>
            <w:hideMark/>
          </w:tcPr>
          <w:p w14:paraId="55D10625" w14:textId="77777777" w:rsidR="002E5441" w:rsidRPr="00AE4E8D" w:rsidRDefault="002E5441" w:rsidP="00E8320E">
            <w:pPr>
              <w:keepNext/>
              <w:keepLines/>
              <w:jc w:val="right"/>
              <w:rPr>
                <w:rFonts w:ascii="Times New Roman" w:hAnsi="Times New Roman"/>
                <w:sz w:val="18"/>
                <w:szCs w:val="18"/>
                <w:lang w:val="es-ES" w:eastAsia="es-AR"/>
              </w:rPr>
            </w:pPr>
            <w:r w:rsidRPr="00AE4E8D">
              <w:rPr>
                <w:rFonts w:ascii="Times New Roman" w:hAnsi="Times New Roman"/>
                <w:sz w:val="18"/>
                <w:szCs w:val="18"/>
                <w:lang w:val="es-ES" w:eastAsia="es-AR"/>
              </w:rPr>
              <w:t>1.211,3</w:t>
            </w:r>
          </w:p>
        </w:tc>
      </w:tr>
      <w:tr w:rsidR="002E5441" w:rsidRPr="00AE4E8D" w14:paraId="014F2BBD" w14:textId="77777777" w:rsidTr="000400C8">
        <w:trPr>
          <w:trHeight w:val="240"/>
          <w:jc w:val="center"/>
        </w:trPr>
        <w:tc>
          <w:tcPr>
            <w:tcW w:w="0" w:type="auto"/>
            <w:noWrap/>
            <w:hideMark/>
          </w:tcPr>
          <w:p w14:paraId="5A2D2D5C" w14:textId="77777777" w:rsidR="002E5441" w:rsidRPr="00AE4E8D" w:rsidRDefault="002E5441" w:rsidP="00E8320E">
            <w:pPr>
              <w:tabs>
                <w:tab w:val="left" w:leader="dot" w:pos="6541"/>
              </w:tabs>
              <w:rPr>
                <w:rFonts w:ascii="Times New Roman" w:hAnsi="Times New Roman"/>
                <w:color w:val="000000"/>
                <w:sz w:val="18"/>
                <w:lang w:val="es-ES"/>
              </w:rPr>
            </w:pPr>
            <w:r w:rsidRPr="00AE4E8D">
              <w:rPr>
                <w:rFonts w:ascii="Times New Roman" w:hAnsi="Times New Roman"/>
                <w:color w:val="000000"/>
                <w:sz w:val="18"/>
                <w:lang w:val="es-ES"/>
              </w:rPr>
              <w:t>Debido a variaciones en las tasas nominales de interés promedio</w:t>
            </w:r>
            <w:r w:rsidRPr="00AE4E8D">
              <w:rPr>
                <w:rFonts w:ascii="Times New Roman" w:hAnsi="Times New Roman"/>
                <w:color w:val="000000"/>
                <w:sz w:val="18"/>
                <w:lang w:val="es-ES"/>
              </w:rPr>
              <w:tab/>
            </w:r>
          </w:p>
        </w:tc>
        <w:tc>
          <w:tcPr>
            <w:tcW w:w="0" w:type="auto"/>
            <w:shd w:val="clear" w:color="auto" w:fill="FFFFFF"/>
            <w:noWrap/>
            <w:vAlign w:val="bottom"/>
          </w:tcPr>
          <w:p w14:paraId="12320242" w14:textId="77777777" w:rsidR="002E5441" w:rsidRPr="00AE4E8D" w:rsidRDefault="002E5441" w:rsidP="00E8320E">
            <w:pPr>
              <w:keepNext/>
              <w:keepLines/>
              <w:jc w:val="right"/>
              <w:rPr>
                <w:rFonts w:ascii="Times New Roman" w:hAnsi="Times New Roman"/>
                <w:sz w:val="18"/>
                <w:szCs w:val="18"/>
                <w:lang w:val="es-ES" w:eastAsia="es-AR"/>
              </w:rPr>
            </w:pPr>
          </w:p>
        </w:tc>
        <w:tc>
          <w:tcPr>
            <w:tcW w:w="0" w:type="auto"/>
            <w:tcBorders>
              <w:top w:val="nil"/>
              <w:left w:val="nil"/>
              <w:bottom w:val="single" w:sz="4" w:space="0" w:color="auto"/>
              <w:right w:val="nil"/>
            </w:tcBorders>
            <w:shd w:val="clear" w:color="auto" w:fill="FFFFFF"/>
            <w:noWrap/>
            <w:vAlign w:val="bottom"/>
            <w:hideMark/>
          </w:tcPr>
          <w:p w14:paraId="238D5DAB" w14:textId="77777777" w:rsidR="002E5441" w:rsidRPr="00AE4E8D" w:rsidRDefault="002E5441" w:rsidP="00E8320E">
            <w:pPr>
              <w:keepNext/>
              <w:keepLines/>
              <w:jc w:val="right"/>
              <w:rPr>
                <w:rFonts w:ascii="Times New Roman" w:hAnsi="Times New Roman"/>
                <w:sz w:val="18"/>
                <w:szCs w:val="18"/>
                <w:lang w:val="es-ES" w:eastAsia="es-AR"/>
              </w:rPr>
            </w:pPr>
            <w:r w:rsidRPr="00AE4E8D">
              <w:rPr>
                <w:rFonts w:ascii="Times New Roman" w:hAnsi="Times New Roman"/>
                <w:sz w:val="18"/>
                <w:szCs w:val="18"/>
                <w:lang w:val="es-ES" w:eastAsia="es-AR"/>
              </w:rPr>
              <w:t>920,0</w:t>
            </w:r>
          </w:p>
        </w:tc>
      </w:tr>
      <w:tr w:rsidR="002E5441" w:rsidRPr="00AE4E8D" w14:paraId="7AADF35B" w14:textId="77777777" w:rsidTr="000400C8">
        <w:trPr>
          <w:trHeight w:val="240"/>
          <w:jc w:val="center"/>
        </w:trPr>
        <w:tc>
          <w:tcPr>
            <w:tcW w:w="0" w:type="auto"/>
            <w:noWrap/>
            <w:vAlign w:val="bottom"/>
            <w:hideMark/>
          </w:tcPr>
          <w:p w14:paraId="554D9121" w14:textId="77777777" w:rsidR="002E5441" w:rsidRPr="00AE4E8D" w:rsidRDefault="002E5441" w:rsidP="00E8320E">
            <w:pPr>
              <w:tabs>
                <w:tab w:val="left" w:leader="dot" w:pos="6541"/>
              </w:tabs>
              <w:rPr>
                <w:rFonts w:ascii="Times New Roman" w:hAnsi="Times New Roman"/>
                <w:color w:val="000000"/>
                <w:sz w:val="18"/>
                <w:lang w:val="es-ES"/>
              </w:rPr>
            </w:pPr>
            <w:r w:rsidRPr="00AE4E8D">
              <w:rPr>
                <w:rFonts w:ascii="Times New Roman" w:hAnsi="Times New Roman"/>
                <w:color w:val="000000"/>
                <w:sz w:val="18"/>
                <w:lang w:val="es-ES"/>
              </w:rPr>
              <w:t xml:space="preserve">Variación neta </w:t>
            </w:r>
            <w:r w:rsidRPr="00AE4E8D">
              <w:rPr>
                <w:rFonts w:ascii="Times New Roman" w:hAnsi="Times New Roman"/>
                <w:color w:val="000000"/>
                <w:sz w:val="18"/>
                <w:lang w:val="es-ES"/>
              </w:rPr>
              <w:tab/>
            </w:r>
          </w:p>
        </w:tc>
        <w:tc>
          <w:tcPr>
            <w:tcW w:w="0" w:type="auto"/>
            <w:shd w:val="clear" w:color="auto" w:fill="FFFFFF"/>
            <w:noWrap/>
            <w:vAlign w:val="bottom"/>
          </w:tcPr>
          <w:p w14:paraId="1BC583EC" w14:textId="77777777" w:rsidR="002E5441" w:rsidRPr="00AE4E8D" w:rsidRDefault="002E5441" w:rsidP="00E8320E">
            <w:pPr>
              <w:keepNext/>
              <w:keepLines/>
              <w:jc w:val="right"/>
              <w:rPr>
                <w:rFonts w:ascii="Times New Roman" w:hAnsi="Times New Roman"/>
                <w:sz w:val="18"/>
                <w:szCs w:val="18"/>
                <w:lang w:val="es-ES" w:eastAsia="es-AR"/>
              </w:rPr>
            </w:pPr>
          </w:p>
        </w:tc>
        <w:tc>
          <w:tcPr>
            <w:tcW w:w="0" w:type="auto"/>
            <w:tcBorders>
              <w:top w:val="single" w:sz="4" w:space="0" w:color="auto"/>
              <w:left w:val="nil"/>
              <w:bottom w:val="nil"/>
              <w:right w:val="nil"/>
            </w:tcBorders>
            <w:shd w:val="clear" w:color="auto" w:fill="FFFFFF"/>
            <w:noWrap/>
            <w:vAlign w:val="bottom"/>
            <w:hideMark/>
          </w:tcPr>
          <w:p w14:paraId="0362A704" w14:textId="77777777" w:rsidR="002E5441" w:rsidRPr="00AE4E8D" w:rsidRDefault="002E5441" w:rsidP="00E8320E">
            <w:pPr>
              <w:keepNext/>
              <w:keepLines/>
              <w:jc w:val="right"/>
              <w:rPr>
                <w:rFonts w:ascii="Times New Roman" w:hAnsi="Times New Roman"/>
                <w:sz w:val="18"/>
                <w:szCs w:val="18"/>
                <w:lang w:val="es-ES" w:eastAsia="es-AR"/>
              </w:rPr>
            </w:pPr>
            <w:r w:rsidRPr="00AE4E8D">
              <w:rPr>
                <w:rFonts w:ascii="Times New Roman" w:hAnsi="Times New Roman"/>
                <w:sz w:val="18"/>
                <w:szCs w:val="18"/>
                <w:lang w:val="es-ES" w:eastAsia="es-AR"/>
              </w:rPr>
              <w:t>2.131,3</w:t>
            </w:r>
          </w:p>
        </w:tc>
      </w:tr>
    </w:tbl>
    <w:p w14:paraId="7E5DDF05" w14:textId="77777777" w:rsidR="002E5441" w:rsidRPr="00AE4E8D" w:rsidRDefault="002E5441" w:rsidP="002E5441">
      <w:pPr>
        <w:pStyle w:val="BHTexto"/>
      </w:pPr>
      <w:r w:rsidRPr="00AE4E8D">
        <w:t>Los ingresos financieros aumentaron 29,4%, de Ps.</w:t>
      </w:r>
      <w:r w:rsidRPr="00AE4E8D">
        <w:rPr>
          <w:lang w:eastAsia="es-AR"/>
        </w:rPr>
        <w:t>7.246,6</w:t>
      </w:r>
      <w:r w:rsidRPr="00AE4E8D">
        <w:t xml:space="preserve"> millones por el ejercicio finalizado el 31 de diciembre de 2015 a Ps.9.378,0 millones por el ejercicio finalizado el 31 de diciembre de 2016, principalmente debido a un aumento del 36,3% en el saldo de activos promedio que devengan interés, de Ps.29.864,1 millones por el ejercicio finalizado el 31 de diciembre de 2015 a Ps.40.718,5 millones por el ejercicio finalizado el 31 de diciembre de 2016 y un aumento del 7,6% en las tasas de interés promedio, del 24,7% por el ejercicio finalizado el 31 de diciembre de 2015 al 26,52% por el ejercicio finalizado el 31 de diciembre de 2016.</w:t>
      </w:r>
    </w:p>
    <w:p w14:paraId="7241B17C" w14:textId="77777777" w:rsidR="002E5441" w:rsidRPr="00AE4E8D" w:rsidRDefault="002E5441" w:rsidP="002E5441">
      <w:pPr>
        <w:pStyle w:val="BHTexto"/>
      </w:pPr>
      <w:r w:rsidRPr="00AE4E8D">
        <w:t>Este aumento en nuestros ingresos financieros se debió a:</w:t>
      </w:r>
    </w:p>
    <w:p w14:paraId="5D42C6D3" w14:textId="77777777" w:rsidR="002E5441" w:rsidRPr="00AE4E8D" w:rsidRDefault="002E5441" w:rsidP="002E5441">
      <w:pPr>
        <w:pStyle w:val="BHVieta2"/>
        <w:numPr>
          <w:ilvl w:val="0"/>
          <w:numId w:val="165"/>
        </w:numPr>
        <w:rPr>
          <w:lang w:val="es-ES"/>
        </w:rPr>
      </w:pPr>
      <w:r w:rsidRPr="00AE4E8D">
        <w:rPr>
          <w:lang w:val="es-ES"/>
        </w:rPr>
        <w:t>Un aumento del 21,9% en ingresos por otros préstamos, de Ps.1.903,1 millones por el ejercicio finalizado el 31 de diciembre de 2015 a Ps.2.321,0 millones por el ejercicio finalizado el 31 de diciembre de 2016, principalmente como resultado de un incremento del 17,4% en el volumen promedio de préstamos comerciales;</w:t>
      </w:r>
    </w:p>
    <w:p w14:paraId="65D27254" w14:textId="77777777" w:rsidR="002E5441" w:rsidRPr="00AE4E8D" w:rsidRDefault="002E5441" w:rsidP="002E5441">
      <w:pPr>
        <w:pStyle w:val="BHVieta2"/>
        <w:numPr>
          <w:ilvl w:val="0"/>
          <w:numId w:val="165"/>
        </w:numPr>
        <w:rPr>
          <w:lang w:val="es-ES"/>
        </w:rPr>
      </w:pPr>
      <w:r w:rsidRPr="00AE4E8D">
        <w:rPr>
          <w:lang w:val="es-ES"/>
        </w:rPr>
        <w:t xml:space="preserve">Un aumento del 61,5% en ingresos por préstamos por tarjetas de crédito, de Ps.2.153,7 millones por el ejercicio finalizado el 31 de diciembre de 2015 a Ps3.477,6 millones por el ejercicio finalizado el 31 de diciembre de 2016, principalmente como resultado de un aumento del 36,5% en el volumen promedio de </w:t>
      </w:r>
      <w:r w:rsidRPr="00AE4E8D">
        <w:rPr>
          <w:lang w:val="es-ES" w:eastAsia="es-AR"/>
        </w:rPr>
        <w:t xml:space="preserve">saldos </w:t>
      </w:r>
      <w:r w:rsidRPr="00AE4E8D">
        <w:rPr>
          <w:lang w:val="es-ES"/>
        </w:rPr>
        <w:t>de tarjetas de crédito; y</w:t>
      </w:r>
    </w:p>
    <w:p w14:paraId="5578ED03" w14:textId="77777777" w:rsidR="002E5441" w:rsidRPr="00AE4E8D" w:rsidRDefault="002E5441" w:rsidP="002E5441">
      <w:pPr>
        <w:pStyle w:val="BHVieta2"/>
        <w:numPr>
          <w:ilvl w:val="0"/>
          <w:numId w:val="165"/>
        </w:numPr>
        <w:rPr>
          <w:lang w:val="es-ES"/>
        </w:rPr>
      </w:pPr>
      <w:r w:rsidRPr="00AE4E8D">
        <w:rPr>
          <w:lang w:val="es-ES"/>
        </w:rPr>
        <w:t>Un aumento del 23,5% en ingresos netos por títulos públicos y privados, de Ps.1.764,3 millones por el ejercicio finalizado el 31 de diciembre de 2015 a Ps.2.178,7 millones por el ejercicio finalizado el 31 de diciembre de 2016, reflejando mayores ingresos por actividades de intermediación debido a un aumento del 62,0% en las tenencias promedio de títulos públicos y privados; y</w:t>
      </w:r>
    </w:p>
    <w:p w14:paraId="1B296688" w14:textId="77777777" w:rsidR="002E5441" w:rsidRPr="00AE4E8D" w:rsidRDefault="002E5441" w:rsidP="002E5441">
      <w:pPr>
        <w:pStyle w:val="BHVieta2"/>
        <w:numPr>
          <w:ilvl w:val="0"/>
          <w:numId w:val="165"/>
        </w:numPr>
        <w:rPr>
          <w:lang w:val="es-ES"/>
        </w:rPr>
      </w:pPr>
      <w:r w:rsidRPr="00AE4E8D">
        <w:rPr>
          <w:lang w:val="es-ES"/>
        </w:rPr>
        <w:t xml:space="preserve">Una disminución del 40,8% en resultados por operaciones de futuros </w:t>
      </w:r>
      <w:r w:rsidR="006C5A66" w:rsidRPr="00AE4E8D">
        <w:rPr>
          <w:lang w:val="es-ES"/>
        </w:rPr>
        <w:t>(</w:t>
      </w:r>
      <w:r w:rsidRPr="00AE4E8D">
        <w:rPr>
          <w:lang w:val="es-ES"/>
        </w:rPr>
        <w:t>incluidos en la línea “Otros”</w:t>
      </w:r>
      <w:r w:rsidR="006C5A66" w:rsidRPr="00AE4E8D">
        <w:rPr>
          <w:lang w:val="es-ES"/>
        </w:rPr>
        <w:t>)</w:t>
      </w:r>
      <w:r w:rsidRPr="00AE4E8D">
        <w:rPr>
          <w:lang w:val="es-ES"/>
        </w:rPr>
        <w:t>, de ganancia de Ps.319</w:t>
      </w:r>
      <w:proofErr w:type="gramStart"/>
      <w:r w:rsidRPr="00AE4E8D">
        <w:rPr>
          <w:lang w:val="es-ES"/>
        </w:rPr>
        <w:t>,3</w:t>
      </w:r>
      <w:proofErr w:type="gramEnd"/>
      <w:r w:rsidRPr="00AE4E8D">
        <w:rPr>
          <w:lang w:val="es-ES"/>
        </w:rPr>
        <w:t xml:space="preserve"> millones por el ejercicio finalizado el 31 de diciembre de 2015 a ganancias de Ps.63,1 millones por el ejercicio finalizado el 31 de diciembre de 2016.</w:t>
      </w:r>
    </w:p>
    <w:p w14:paraId="1E4F2C1A" w14:textId="77777777" w:rsidR="002E5441" w:rsidRPr="00AE4E8D" w:rsidRDefault="002E5441" w:rsidP="002E5441">
      <w:pPr>
        <w:pStyle w:val="BH4Cursiva"/>
        <w:rPr>
          <w:color w:val="000000"/>
        </w:rPr>
      </w:pPr>
      <w:r w:rsidRPr="00AE4E8D">
        <w:lastRenderedPageBreak/>
        <w:t>Egresos Financieros</w:t>
      </w:r>
    </w:p>
    <w:p w14:paraId="5E5B99DD" w14:textId="77777777" w:rsidR="002E5441" w:rsidRPr="00AE4E8D" w:rsidRDefault="002E5441" w:rsidP="002E5441">
      <w:pPr>
        <w:pStyle w:val="BHTexto"/>
      </w:pPr>
      <w:r w:rsidRPr="00AE4E8D">
        <w:t>La siguiente tabla muestra los principales rubros de los egresos financieros por los ejercicios finalizados el 31 de diciembre de 2016 y 2015:</w:t>
      </w:r>
    </w:p>
    <w:tbl>
      <w:tblPr>
        <w:tblW w:w="5000" w:type="pct"/>
        <w:jc w:val="center"/>
        <w:tblLook w:val="00A0" w:firstRow="1" w:lastRow="0" w:firstColumn="1" w:lastColumn="0" w:noHBand="0" w:noVBand="0"/>
      </w:tblPr>
      <w:tblGrid>
        <w:gridCol w:w="5198"/>
        <w:gridCol w:w="1064"/>
        <w:gridCol w:w="1064"/>
        <w:gridCol w:w="1395"/>
      </w:tblGrid>
      <w:tr w:rsidR="002E5441" w:rsidRPr="00AE4E8D" w14:paraId="368DCD35" w14:textId="77777777" w:rsidTr="000400C8">
        <w:trPr>
          <w:trHeight w:val="255"/>
          <w:tblHeader/>
          <w:jc w:val="center"/>
        </w:trPr>
        <w:tc>
          <w:tcPr>
            <w:tcW w:w="2980" w:type="pct"/>
            <w:noWrap/>
            <w:vAlign w:val="bottom"/>
          </w:tcPr>
          <w:p w14:paraId="7B2AAADE" w14:textId="77777777" w:rsidR="002E5441" w:rsidRPr="00AE4E8D" w:rsidRDefault="002E5441" w:rsidP="00E8320E">
            <w:pPr>
              <w:rPr>
                <w:rFonts w:ascii="Times New Roman" w:hAnsi="Times New Roman"/>
                <w:color w:val="000000"/>
                <w:sz w:val="18"/>
                <w:szCs w:val="18"/>
              </w:rPr>
            </w:pPr>
          </w:p>
        </w:tc>
        <w:tc>
          <w:tcPr>
            <w:tcW w:w="1220" w:type="pct"/>
            <w:gridSpan w:val="2"/>
            <w:tcBorders>
              <w:top w:val="single" w:sz="8" w:space="0" w:color="auto"/>
              <w:left w:val="nil"/>
              <w:bottom w:val="single" w:sz="8" w:space="0" w:color="auto"/>
              <w:right w:val="nil"/>
            </w:tcBorders>
            <w:noWrap/>
            <w:vAlign w:val="bottom"/>
            <w:hideMark/>
          </w:tcPr>
          <w:p w14:paraId="2EEA02F5" w14:textId="77777777" w:rsidR="002E5441" w:rsidRPr="00AE4E8D" w:rsidRDefault="002E5441" w:rsidP="00E8320E">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Ejercicio finalizado </w:t>
            </w:r>
          </w:p>
          <w:p w14:paraId="628031AA" w14:textId="77777777" w:rsidR="002E5441" w:rsidRPr="00AE4E8D" w:rsidRDefault="002E5441" w:rsidP="00E8320E">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el 31 de diciembre de</w:t>
            </w:r>
          </w:p>
        </w:tc>
        <w:tc>
          <w:tcPr>
            <w:tcW w:w="799" w:type="pct"/>
            <w:tcBorders>
              <w:top w:val="single" w:sz="8" w:space="0" w:color="auto"/>
              <w:left w:val="nil"/>
              <w:bottom w:val="single" w:sz="8" w:space="0" w:color="auto"/>
              <w:right w:val="nil"/>
            </w:tcBorders>
            <w:noWrap/>
            <w:vAlign w:val="bottom"/>
            <w:hideMark/>
          </w:tcPr>
          <w:p w14:paraId="6AFE3D97"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2E5441" w:rsidRPr="00AE4E8D" w14:paraId="0B9FBA34" w14:textId="77777777" w:rsidTr="000400C8">
        <w:trPr>
          <w:trHeight w:val="255"/>
          <w:tblHeader/>
          <w:jc w:val="center"/>
        </w:trPr>
        <w:tc>
          <w:tcPr>
            <w:tcW w:w="2980" w:type="pct"/>
            <w:noWrap/>
            <w:vAlign w:val="bottom"/>
          </w:tcPr>
          <w:p w14:paraId="79062DC3" w14:textId="77777777" w:rsidR="002E5441" w:rsidRPr="00AE4E8D" w:rsidRDefault="002E5441" w:rsidP="00E8320E">
            <w:pPr>
              <w:rPr>
                <w:rFonts w:ascii="Times New Roman" w:hAnsi="Times New Roman"/>
                <w:color w:val="000000"/>
                <w:sz w:val="18"/>
                <w:szCs w:val="18"/>
                <w:lang w:val="en-US"/>
              </w:rPr>
            </w:pPr>
          </w:p>
        </w:tc>
        <w:tc>
          <w:tcPr>
            <w:tcW w:w="610" w:type="pct"/>
            <w:tcBorders>
              <w:top w:val="nil"/>
              <w:left w:val="nil"/>
              <w:bottom w:val="single" w:sz="8" w:space="0" w:color="auto"/>
              <w:right w:val="nil"/>
            </w:tcBorders>
            <w:noWrap/>
            <w:vAlign w:val="bottom"/>
            <w:hideMark/>
          </w:tcPr>
          <w:p w14:paraId="7D1684ED"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2016</w:t>
            </w:r>
          </w:p>
        </w:tc>
        <w:tc>
          <w:tcPr>
            <w:tcW w:w="610" w:type="pct"/>
            <w:tcBorders>
              <w:top w:val="nil"/>
              <w:left w:val="nil"/>
              <w:bottom w:val="single" w:sz="8" w:space="0" w:color="auto"/>
              <w:right w:val="nil"/>
            </w:tcBorders>
            <w:noWrap/>
            <w:vAlign w:val="bottom"/>
            <w:hideMark/>
          </w:tcPr>
          <w:p w14:paraId="63F6784C"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799" w:type="pct"/>
            <w:tcBorders>
              <w:top w:val="nil"/>
              <w:left w:val="nil"/>
              <w:bottom w:val="single" w:sz="8" w:space="0" w:color="auto"/>
              <w:right w:val="nil"/>
            </w:tcBorders>
            <w:noWrap/>
            <w:vAlign w:val="bottom"/>
            <w:hideMark/>
          </w:tcPr>
          <w:p w14:paraId="0171F3B9"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2015/2016</w:t>
            </w:r>
          </w:p>
        </w:tc>
      </w:tr>
      <w:tr w:rsidR="002E5441" w:rsidRPr="00AE4E8D" w14:paraId="4291F3CF" w14:textId="77777777" w:rsidTr="000400C8">
        <w:trPr>
          <w:trHeight w:val="240"/>
          <w:tblHeader/>
          <w:jc w:val="center"/>
        </w:trPr>
        <w:tc>
          <w:tcPr>
            <w:tcW w:w="2980" w:type="pct"/>
            <w:noWrap/>
            <w:vAlign w:val="bottom"/>
          </w:tcPr>
          <w:p w14:paraId="09B72700" w14:textId="77777777" w:rsidR="002E5441" w:rsidRPr="00AE4E8D" w:rsidRDefault="002E5441" w:rsidP="00E8320E">
            <w:pPr>
              <w:rPr>
                <w:rFonts w:ascii="Times New Roman" w:hAnsi="Times New Roman"/>
                <w:color w:val="000000"/>
                <w:sz w:val="18"/>
                <w:szCs w:val="18"/>
                <w:lang w:val="en-US"/>
              </w:rPr>
            </w:pPr>
          </w:p>
        </w:tc>
        <w:tc>
          <w:tcPr>
            <w:tcW w:w="2020" w:type="pct"/>
            <w:gridSpan w:val="3"/>
            <w:tcBorders>
              <w:top w:val="single" w:sz="8" w:space="0" w:color="auto"/>
              <w:left w:val="nil"/>
              <w:bottom w:val="nil"/>
              <w:right w:val="nil"/>
            </w:tcBorders>
            <w:noWrap/>
            <w:vAlign w:val="bottom"/>
            <w:hideMark/>
          </w:tcPr>
          <w:p w14:paraId="525FDC44" w14:textId="77777777" w:rsidR="002E5441" w:rsidRPr="00AE4E8D" w:rsidRDefault="002E5441" w:rsidP="00E8320E">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6C5A66" w:rsidRPr="00AE4E8D" w14:paraId="62F669EF" w14:textId="77777777" w:rsidTr="002E5441">
        <w:trPr>
          <w:trHeight w:val="240"/>
          <w:tblHeader/>
          <w:jc w:val="center"/>
        </w:trPr>
        <w:tc>
          <w:tcPr>
            <w:tcW w:w="2980" w:type="pct"/>
            <w:noWrap/>
            <w:vAlign w:val="bottom"/>
          </w:tcPr>
          <w:p w14:paraId="744318EC" w14:textId="77777777" w:rsidR="006C5A66" w:rsidRPr="00AE4E8D" w:rsidRDefault="006C5A66"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Intereses por</w:t>
            </w:r>
          </w:p>
        </w:tc>
        <w:tc>
          <w:tcPr>
            <w:tcW w:w="2020" w:type="pct"/>
            <w:gridSpan w:val="3"/>
            <w:tcBorders>
              <w:top w:val="single" w:sz="8" w:space="0" w:color="auto"/>
              <w:left w:val="nil"/>
              <w:bottom w:val="nil"/>
              <w:right w:val="nil"/>
            </w:tcBorders>
            <w:noWrap/>
            <w:vAlign w:val="bottom"/>
          </w:tcPr>
          <w:p w14:paraId="4D2015F0" w14:textId="77777777" w:rsidR="006C5A66" w:rsidRPr="00AE4E8D" w:rsidRDefault="006C5A66" w:rsidP="00E8320E">
            <w:pPr>
              <w:jc w:val="center"/>
              <w:rPr>
                <w:rFonts w:ascii="Times New Roman" w:hAnsi="Times New Roman"/>
                <w:color w:val="000000"/>
                <w:sz w:val="18"/>
                <w:szCs w:val="18"/>
                <w:lang w:val="es-ES"/>
              </w:rPr>
            </w:pPr>
          </w:p>
        </w:tc>
      </w:tr>
      <w:tr w:rsidR="002E5441" w:rsidRPr="00AE4E8D" w14:paraId="33DE6F97" w14:textId="77777777" w:rsidTr="000400C8">
        <w:trPr>
          <w:trHeight w:val="240"/>
          <w:jc w:val="center"/>
        </w:trPr>
        <w:tc>
          <w:tcPr>
            <w:tcW w:w="2980" w:type="pct"/>
            <w:noWrap/>
            <w:vAlign w:val="bottom"/>
            <w:hideMark/>
          </w:tcPr>
          <w:p w14:paraId="224AD62F"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depósitos en cajas de ahorro  </w:t>
            </w:r>
          </w:p>
        </w:tc>
        <w:tc>
          <w:tcPr>
            <w:tcW w:w="610" w:type="pct"/>
            <w:shd w:val="clear" w:color="auto" w:fill="FFFFFF"/>
            <w:noWrap/>
            <w:vAlign w:val="bottom"/>
            <w:hideMark/>
          </w:tcPr>
          <w:p w14:paraId="2C07932E"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3,2</w:t>
            </w:r>
          </w:p>
        </w:tc>
        <w:tc>
          <w:tcPr>
            <w:tcW w:w="610" w:type="pct"/>
            <w:shd w:val="clear" w:color="auto" w:fill="FFFFFF"/>
            <w:noWrap/>
            <w:vAlign w:val="bottom"/>
            <w:hideMark/>
          </w:tcPr>
          <w:p w14:paraId="39A617D7"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3,0</w:t>
            </w:r>
          </w:p>
        </w:tc>
        <w:tc>
          <w:tcPr>
            <w:tcW w:w="799" w:type="pct"/>
            <w:noWrap/>
            <w:vAlign w:val="bottom"/>
            <w:hideMark/>
          </w:tcPr>
          <w:p w14:paraId="33ED5B90"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9,0%</w:t>
            </w:r>
          </w:p>
        </w:tc>
      </w:tr>
      <w:tr w:rsidR="002E5441" w:rsidRPr="00AE4E8D" w14:paraId="0D7607EB" w14:textId="77777777" w:rsidTr="000400C8">
        <w:trPr>
          <w:trHeight w:val="240"/>
          <w:jc w:val="center"/>
        </w:trPr>
        <w:tc>
          <w:tcPr>
            <w:tcW w:w="2980" w:type="pct"/>
            <w:noWrap/>
            <w:vAlign w:val="bottom"/>
            <w:hideMark/>
          </w:tcPr>
          <w:p w14:paraId="776BCA3F"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depósitos a plazo fijo  </w:t>
            </w:r>
          </w:p>
        </w:tc>
        <w:tc>
          <w:tcPr>
            <w:tcW w:w="610" w:type="pct"/>
            <w:shd w:val="clear" w:color="auto" w:fill="FFFFFF"/>
            <w:noWrap/>
            <w:vAlign w:val="bottom"/>
            <w:hideMark/>
          </w:tcPr>
          <w:p w14:paraId="7D3ABD48"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2.992,7</w:t>
            </w:r>
          </w:p>
        </w:tc>
        <w:tc>
          <w:tcPr>
            <w:tcW w:w="610" w:type="pct"/>
            <w:shd w:val="clear" w:color="auto" w:fill="FFFFFF"/>
            <w:noWrap/>
            <w:vAlign w:val="bottom"/>
            <w:hideMark/>
          </w:tcPr>
          <w:p w14:paraId="517C70A9"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2.110,6</w:t>
            </w:r>
          </w:p>
        </w:tc>
        <w:tc>
          <w:tcPr>
            <w:tcW w:w="799" w:type="pct"/>
            <w:noWrap/>
            <w:vAlign w:val="bottom"/>
            <w:hideMark/>
          </w:tcPr>
          <w:p w14:paraId="2DFAE6D3"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41,8%</w:t>
            </w:r>
          </w:p>
        </w:tc>
      </w:tr>
      <w:tr w:rsidR="002E5441" w:rsidRPr="00AE4E8D" w14:paraId="479F76E0" w14:textId="77777777" w:rsidTr="000400C8">
        <w:trPr>
          <w:trHeight w:val="240"/>
          <w:jc w:val="center"/>
        </w:trPr>
        <w:tc>
          <w:tcPr>
            <w:tcW w:w="2980" w:type="pct"/>
            <w:noWrap/>
            <w:vAlign w:val="bottom"/>
            <w:hideMark/>
          </w:tcPr>
          <w:p w14:paraId="041A7EFE"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préstamos interfinancieros recibidos  </w:t>
            </w:r>
          </w:p>
        </w:tc>
        <w:tc>
          <w:tcPr>
            <w:tcW w:w="610" w:type="pct"/>
            <w:shd w:val="clear" w:color="auto" w:fill="FFFFFF"/>
            <w:noWrap/>
            <w:vAlign w:val="bottom"/>
            <w:hideMark/>
          </w:tcPr>
          <w:p w14:paraId="078687BB"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37,1</w:t>
            </w:r>
          </w:p>
        </w:tc>
        <w:tc>
          <w:tcPr>
            <w:tcW w:w="610" w:type="pct"/>
            <w:shd w:val="clear" w:color="auto" w:fill="FFFFFF"/>
            <w:noWrap/>
            <w:vAlign w:val="bottom"/>
            <w:hideMark/>
          </w:tcPr>
          <w:p w14:paraId="4F11BFEA"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16,6</w:t>
            </w:r>
          </w:p>
        </w:tc>
        <w:tc>
          <w:tcPr>
            <w:tcW w:w="799" w:type="pct"/>
            <w:noWrap/>
            <w:vAlign w:val="bottom"/>
            <w:hideMark/>
          </w:tcPr>
          <w:p w14:paraId="76FC4993"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123,1%</w:t>
            </w:r>
          </w:p>
        </w:tc>
      </w:tr>
      <w:tr w:rsidR="002E5441" w:rsidRPr="00AE4E8D" w14:paraId="46760100" w14:textId="77777777" w:rsidTr="000400C8">
        <w:trPr>
          <w:trHeight w:val="240"/>
          <w:jc w:val="center"/>
        </w:trPr>
        <w:tc>
          <w:tcPr>
            <w:tcW w:w="2980" w:type="pct"/>
            <w:noWrap/>
            <w:vAlign w:val="bottom"/>
            <w:hideMark/>
          </w:tcPr>
          <w:p w14:paraId="4BA04D8F"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otros préstamos de entidades financieras  </w:t>
            </w:r>
          </w:p>
        </w:tc>
        <w:tc>
          <w:tcPr>
            <w:tcW w:w="610" w:type="pct"/>
            <w:shd w:val="clear" w:color="auto" w:fill="FFFFFF"/>
            <w:noWrap/>
            <w:vAlign w:val="bottom"/>
            <w:hideMark/>
          </w:tcPr>
          <w:p w14:paraId="5FCC4D26"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138,4</w:t>
            </w:r>
          </w:p>
        </w:tc>
        <w:tc>
          <w:tcPr>
            <w:tcW w:w="610" w:type="pct"/>
            <w:shd w:val="clear" w:color="auto" w:fill="FFFFFF"/>
            <w:noWrap/>
            <w:vAlign w:val="bottom"/>
            <w:hideMark/>
          </w:tcPr>
          <w:p w14:paraId="3BB8A1B7"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76,8</w:t>
            </w:r>
          </w:p>
        </w:tc>
        <w:tc>
          <w:tcPr>
            <w:tcW w:w="799" w:type="pct"/>
            <w:noWrap/>
            <w:vAlign w:val="bottom"/>
            <w:hideMark/>
          </w:tcPr>
          <w:p w14:paraId="3520CD70"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80,2%</w:t>
            </w:r>
          </w:p>
        </w:tc>
      </w:tr>
      <w:tr w:rsidR="002E5441" w:rsidRPr="00AE4E8D" w14:paraId="3444102E" w14:textId="77777777" w:rsidTr="000400C8">
        <w:trPr>
          <w:trHeight w:val="240"/>
          <w:jc w:val="center"/>
        </w:trPr>
        <w:tc>
          <w:tcPr>
            <w:tcW w:w="2980" w:type="pct"/>
            <w:noWrap/>
            <w:vAlign w:val="bottom"/>
            <w:hideMark/>
          </w:tcPr>
          <w:p w14:paraId="3811497F"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otras obligaciones por intermediación financiera  </w:t>
            </w:r>
          </w:p>
        </w:tc>
        <w:tc>
          <w:tcPr>
            <w:tcW w:w="610" w:type="pct"/>
            <w:shd w:val="clear" w:color="auto" w:fill="FFFFFF"/>
            <w:noWrap/>
            <w:vAlign w:val="bottom"/>
            <w:hideMark/>
          </w:tcPr>
          <w:p w14:paraId="0A3D6794"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1.873,8</w:t>
            </w:r>
          </w:p>
        </w:tc>
        <w:tc>
          <w:tcPr>
            <w:tcW w:w="610" w:type="pct"/>
            <w:shd w:val="clear" w:color="auto" w:fill="FFFFFF"/>
            <w:noWrap/>
            <w:vAlign w:val="bottom"/>
            <w:hideMark/>
          </w:tcPr>
          <w:p w14:paraId="70BB5574"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942,9</w:t>
            </w:r>
          </w:p>
        </w:tc>
        <w:tc>
          <w:tcPr>
            <w:tcW w:w="799" w:type="pct"/>
            <w:noWrap/>
            <w:vAlign w:val="bottom"/>
            <w:hideMark/>
          </w:tcPr>
          <w:p w14:paraId="5DCA4849"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98,7%</w:t>
            </w:r>
          </w:p>
        </w:tc>
      </w:tr>
      <w:tr w:rsidR="002E5441" w:rsidRPr="00AE4E8D" w14:paraId="4BC2E8F1" w14:textId="77777777" w:rsidTr="000400C8">
        <w:trPr>
          <w:trHeight w:val="240"/>
          <w:jc w:val="center"/>
        </w:trPr>
        <w:tc>
          <w:tcPr>
            <w:tcW w:w="2980" w:type="pct"/>
            <w:noWrap/>
            <w:vAlign w:val="bottom"/>
            <w:hideMark/>
          </w:tcPr>
          <w:p w14:paraId="322D91A0" w14:textId="77777777" w:rsidR="002E5441" w:rsidRPr="00AE4E8D" w:rsidRDefault="002E5441" w:rsidP="000400C8">
            <w:pPr>
              <w:ind w:left="284"/>
              <w:rPr>
                <w:rFonts w:ascii="Times New Roman" w:hAnsi="Times New Roman"/>
                <w:color w:val="000000"/>
                <w:sz w:val="18"/>
                <w:szCs w:val="18"/>
              </w:rPr>
            </w:pPr>
            <w:r w:rsidRPr="00AE4E8D">
              <w:rPr>
                <w:rFonts w:ascii="Times New Roman" w:hAnsi="Times New Roman"/>
                <w:color w:val="000000"/>
                <w:sz w:val="18"/>
                <w:szCs w:val="18"/>
              </w:rPr>
              <w:t>bonos subordinados</w:t>
            </w:r>
          </w:p>
        </w:tc>
        <w:tc>
          <w:tcPr>
            <w:tcW w:w="610" w:type="pct"/>
            <w:shd w:val="clear" w:color="auto" w:fill="FFFFFF"/>
            <w:noWrap/>
            <w:vAlign w:val="bottom"/>
            <w:hideMark/>
          </w:tcPr>
          <w:p w14:paraId="19386398"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26,2</w:t>
            </w:r>
          </w:p>
        </w:tc>
        <w:tc>
          <w:tcPr>
            <w:tcW w:w="610" w:type="pct"/>
            <w:shd w:val="clear" w:color="auto" w:fill="FFFFFF"/>
            <w:noWrap/>
            <w:vAlign w:val="bottom"/>
            <w:hideMark/>
          </w:tcPr>
          <w:p w14:paraId="2351881A"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10,6</w:t>
            </w:r>
          </w:p>
        </w:tc>
        <w:tc>
          <w:tcPr>
            <w:tcW w:w="799" w:type="pct"/>
            <w:noWrap/>
            <w:vAlign w:val="bottom"/>
            <w:hideMark/>
          </w:tcPr>
          <w:p w14:paraId="09DF04AC"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146,8%</w:t>
            </w:r>
          </w:p>
        </w:tc>
      </w:tr>
      <w:tr w:rsidR="002E5441" w:rsidRPr="00AE4E8D" w14:paraId="68036703" w14:textId="77777777" w:rsidTr="000400C8">
        <w:trPr>
          <w:trHeight w:val="240"/>
          <w:jc w:val="center"/>
        </w:trPr>
        <w:tc>
          <w:tcPr>
            <w:tcW w:w="2980" w:type="pct"/>
            <w:noWrap/>
            <w:vAlign w:val="bottom"/>
            <w:hideMark/>
          </w:tcPr>
          <w:p w14:paraId="0F6F30B5"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Otros intereses  </w:t>
            </w:r>
          </w:p>
        </w:tc>
        <w:tc>
          <w:tcPr>
            <w:tcW w:w="610" w:type="pct"/>
            <w:shd w:val="clear" w:color="auto" w:fill="FFFFFF"/>
            <w:noWrap/>
            <w:vAlign w:val="bottom"/>
            <w:hideMark/>
          </w:tcPr>
          <w:p w14:paraId="37AC4A59"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337,5</w:t>
            </w:r>
          </w:p>
        </w:tc>
        <w:tc>
          <w:tcPr>
            <w:tcW w:w="610" w:type="pct"/>
            <w:shd w:val="clear" w:color="auto" w:fill="FFFFFF"/>
            <w:noWrap/>
            <w:vAlign w:val="bottom"/>
            <w:hideMark/>
          </w:tcPr>
          <w:p w14:paraId="67AD13D1"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188,9</w:t>
            </w:r>
          </w:p>
        </w:tc>
        <w:tc>
          <w:tcPr>
            <w:tcW w:w="799" w:type="pct"/>
            <w:noWrap/>
            <w:vAlign w:val="bottom"/>
            <w:hideMark/>
          </w:tcPr>
          <w:p w14:paraId="75DE30CF"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78,7%</w:t>
            </w:r>
          </w:p>
        </w:tc>
      </w:tr>
      <w:tr w:rsidR="002E5441" w:rsidRPr="00AE4E8D" w14:paraId="5FBAD290" w14:textId="77777777" w:rsidTr="000400C8">
        <w:trPr>
          <w:trHeight w:val="240"/>
          <w:jc w:val="center"/>
        </w:trPr>
        <w:tc>
          <w:tcPr>
            <w:tcW w:w="2980" w:type="pct"/>
            <w:noWrap/>
            <w:vAlign w:val="bottom"/>
            <w:hideMark/>
          </w:tcPr>
          <w:p w14:paraId="6593DAFE"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Diferencias de cotización de oro y moneda extranjera  </w:t>
            </w:r>
          </w:p>
        </w:tc>
        <w:tc>
          <w:tcPr>
            <w:tcW w:w="610" w:type="pct"/>
            <w:shd w:val="clear" w:color="auto" w:fill="FFFFFF"/>
            <w:noWrap/>
            <w:vAlign w:val="bottom"/>
            <w:hideMark/>
          </w:tcPr>
          <w:p w14:paraId="74453A9B"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276,8</w:t>
            </w:r>
          </w:p>
        </w:tc>
        <w:tc>
          <w:tcPr>
            <w:tcW w:w="610" w:type="pct"/>
            <w:shd w:val="clear" w:color="auto" w:fill="FFFFFF"/>
            <w:noWrap/>
            <w:vAlign w:val="bottom"/>
            <w:hideMark/>
          </w:tcPr>
          <w:p w14:paraId="1EE64193"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198,1</w:t>
            </w:r>
          </w:p>
        </w:tc>
        <w:tc>
          <w:tcPr>
            <w:tcW w:w="799" w:type="pct"/>
            <w:noWrap/>
            <w:vAlign w:val="bottom"/>
            <w:hideMark/>
          </w:tcPr>
          <w:p w14:paraId="026E6239"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39,7%</w:t>
            </w:r>
          </w:p>
        </w:tc>
      </w:tr>
      <w:tr w:rsidR="002E5441" w:rsidRPr="00AE4E8D" w14:paraId="519930C8" w14:textId="77777777" w:rsidTr="000400C8">
        <w:trPr>
          <w:trHeight w:val="240"/>
          <w:jc w:val="center"/>
        </w:trPr>
        <w:tc>
          <w:tcPr>
            <w:tcW w:w="2980" w:type="pct"/>
            <w:noWrap/>
            <w:vAlign w:val="bottom"/>
            <w:hideMark/>
          </w:tcPr>
          <w:p w14:paraId="1D2CBE73"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Aporte al fondo de garantía de los depósitos  </w:t>
            </w:r>
          </w:p>
        </w:tc>
        <w:tc>
          <w:tcPr>
            <w:tcW w:w="610" w:type="pct"/>
            <w:shd w:val="clear" w:color="auto" w:fill="FFFFFF"/>
            <w:noWrap/>
            <w:vAlign w:val="bottom"/>
            <w:hideMark/>
          </w:tcPr>
          <w:p w14:paraId="58930DFA"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60,5</w:t>
            </w:r>
          </w:p>
        </w:tc>
        <w:tc>
          <w:tcPr>
            <w:tcW w:w="610" w:type="pct"/>
            <w:shd w:val="clear" w:color="auto" w:fill="FFFFFF"/>
            <w:noWrap/>
            <w:vAlign w:val="bottom"/>
            <w:hideMark/>
          </w:tcPr>
          <w:p w14:paraId="1C8C259C"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122,8</w:t>
            </w:r>
          </w:p>
        </w:tc>
        <w:tc>
          <w:tcPr>
            <w:tcW w:w="799" w:type="pct"/>
            <w:noWrap/>
            <w:vAlign w:val="bottom"/>
            <w:hideMark/>
          </w:tcPr>
          <w:p w14:paraId="478B99D4"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(50,8)%</w:t>
            </w:r>
          </w:p>
        </w:tc>
      </w:tr>
      <w:tr w:rsidR="002E5441" w:rsidRPr="00AE4E8D" w14:paraId="2BBF1397" w14:textId="77777777" w:rsidTr="000400C8">
        <w:trPr>
          <w:trHeight w:val="255"/>
          <w:jc w:val="center"/>
        </w:trPr>
        <w:tc>
          <w:tcPr>
            <w:tcW w:w="2980" w:type="pct"/>
            <w:noWrap/>
            <w:vAlign w:val="bottom"/>
            <w:hideMark/>
          </w:tcPr>
          <w:p w14:paraId="7CF14F88"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610" w:type="pct"/>
            <w:shd w:val="clear" w:color="auto" w:fill="FFFFFF"/>
            <w:noWrap/>
            <w:vAlign w:val="bottom"/>
            <w:hideMark/>
          </w:tcPr>
          <w:p w14:paraId="5084FD4E"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812,2</w:t>
            </w:r>
          </w:p>
        </w:tc>
        <w:tc>
          <w:tcPr>
            <w:tcW w:w="610" w:type="pct"/>
            <w:shd w:val="clear" w:color="auto" w:fill="FFFFFF"/>
            <w:noWrap/>
            <w:vAlign w:val="bottom"/>
            <w:hideMark/>
          </w:tcPr>
          <w:p w14:paraId="18F67E91"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541,8</w:t>
            </w:r>
          </w:p>
        </w:tc>
        <w:tc>
          <w:tcPr>
            <w:tcW w:w="799" w:type="pct"/>
            <w:noWrap/>
            <w:vAlign w:val="bottom"/>
            <w:hideMark/>
          </w:tcPr>
          <w:p w14:paraId="4362435D"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49,9%</w:t>
            </w:r>
          </w:p>
        </w:tc>
      </w:tr>
      <w:tr w:rsidR="002E5441" w:rsidRPr="00AE4E8D" w14:paraId="50812F69" w14:textId="77777777" w:rsidTr="000400C8">
        <w:trPr>
          <w:trHeight w:val="255"/>
          <w:jc w:val="center"/>
        </w:trPr>
        <w:tc>
          <w:tcPr>
            <w:tcW w:w="2980" w:type="pct"/>
            <w:noWrap/>
            <w:vAlign w:val="bottom"/>
            <w:hideMark/>
          </w:tcPr>
          <w:p w14:paraId="5C5F424C" w14:textId="77777777" w:rsidR="002E5441" w:rsidRPr="00AE4E8D" w:rsidRDefault="002E5441" w:rsidP="00E8320E">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 xml:space="preserve">Total egresos financieros  </w:t>
            </w:r>
          </w:p>
        </w:tc>
        <w:tc>
          <w:tcPr>
            <w:tcW w:w="610" w:type="pct"/>
            <w:tcBorders>
              <w:top w:val="single" w:sz="8" w:space="0" w:color="auto"/>
              <w:left w:val="nil"/>
              <w:bottom w:val="single" w:sz="8" w:space="0" w:color="auto"/>
              <w:right w:val="nil"/>
            </w:tcBorders>
            <w:shd w:val="clear" w:color="auto" w:fill="FFFFFF"/>
            <w:noWrap/>
            <w:vAlign w:val="bottom"/>
            <w:hideMark/>
          </w:tcPr>
          <w:p w14:paraId="4D7F5186" w14:textId="77777777" w:rsidR="002E5441" w:rsidRPr="00AE4E8D" w:rsidRDefault="002E5441" w:rsidP="00E8320E">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6.558,6</w:t>
            </w:r>
          </w:p>
        </w:tc>
        <w:tc>
          <w:tcPr>
            <w:tcW w:w="610" w:type="pct"/>
            <w:tcBorders>
              <w:top w:val="single" w:sz="8" w:space="0" w:color="auto"/>
              <w:left w:val="nil"/>
              <w:bottom w:val="single" w:sz="8" w:space="0" w:color="auto"/>
              <w:right w:val="nil"/>
            </w:tcBorders>
            <w:shd w:val="clear" w:color="auto" w:fill="FFFFFF"/>
            <w:noWrap/>
            <w:vAlign w:val="bottom"/>
            <w:hideMark/>
          </w:tcPr>
          <w:p w14:paraId="28675B72"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4.212,1</w:t>
            </w:r>
          </w:p>
        </w:tc>
        <w:tc>
          <w:tcPr>
            <w:tcW w:w="799" w:type="pct"/>
            <w:tcBorders>
              <w:top w:val="single" w:sz="8" w:space="0" w:color="auto"/>
              <w:left w:val="nil"/>
              <w:bottom w:val="single" w:sz="8" w:space="0" w:color="auto"/>
              <w:right w:val="nil"/>
            </w:tcBorders>
            <w:noWrap/>
            <w:vAlign w:val="bottom"/>
            <w:hideMark/>
          </w:tcPr>
          <w:p w14:paraId="202BEF1F" w14:textId="77777777" w:rsidR="002E5441" w:rsidRPr="00AE4E8D" w:rsidRDefault="002E5441" w:rsidP="00E8320E">
            <w:pPr>
              <w:jc w:val="right"/>
              <w:rPr>
                <w:rFonts w:ascii="Times New Roman" w:hAnsi="Times New Roman"/>
                <w:sz w:val="18"/>
                <w:szCs w:val="18"/>
              </w:rPr>
            </w:pPr>
            <w:r w:rsidRPr="00AE4E8D">
              <w:rPr>
                <w:rFonts w:ascii="Times New Roman" w:hAnsi="Times New Roman"/>
                <w:sz w:val="18"/>
                <w:szCs w:val="18"/>
              </w:rPr>
              <w:t>55,7%</w:t>
            </w:r>
          </w:p>
        </w:tc>
      </w:tr>
    </w:tbl>
    <w:p w14:paraId="07049D00" w14:textId="77777777" w:rsidR="002E5441" w:rsidRPr="00AE4E8D" w:rsidRDefault="002E5441" w:rsidP="002E5441">
      <w:pPr>
        <w:autoSpaceDE w:val="0"/>
        <w:autoSpaceDN w:val="0"/>
        <w:adjustRightInd w:val="0"/>
        <w:spacing w:before="120" w:after="120"/>
        <w:jc w:val="both"/>
        <w:rPr>
          <w:rFonts w:ascii="Times New Roman" w:hAnsi="Times New Roman"/>
          <w:lang w:val="es-ES"/>
        </w:rPr>
      </w:pPr>
    </w:p>
    <w:p w14:paraId="5707B1E9" w14:textId="77777777" w:rsidR="002E5441" w:rsidRPr="00AE4E8D" w:rsidRDefault="002E5441" w:rsidP="002E5441">
      <w:pPr>
        <w:pStyle w:val="BHTexto"/>
      </w:pPr>
      <w:r w:rsidRPr="00AE4E8D">
        <w:t>La siguiente tabla muestra los efectos de los cambios en el volumen promedio de los pasivos que generan intereses y tasa de interés promedio entre los ejercicios finalizados el 31 de diciembre de 2015 y 2016:</w:t>
      </w:r>
    </w:p>
    <w:tbl>
      <w:tblPr>
        <w:tblW w:w="0" w:type="auto"/>
        <w:jc w:val="center"/>
        <w:tblLook w:val="00A0" w:firstRow="1" w:lastRow="0" w:firstColumn="1" w:lastColumn="0" w:noHBand="0" w:noVBand="0"/>
      </w:tblPr>
      <w:tblGrid>
        <w:gridCol w:w="6677"/>
        <w:gridCol w:w="2044"/>
      </w:tblGrid>
      <w:tr w:rsidR="002E5441" w:rsidRPr="00AE4E8D" w14:paraId="6023A545" w14:textId="77777777" w:rsidTr="000400C8">
        <w:trPr>
          <w:trHeight w:val="300"/>
          <w:jc w:val="center"/>
        </w:trPr>
        <w:tc>
          <w:tcPr>
            <w:tcW w:w="0" w:type="auto"/>
            <w:noWrap/>
            <w:vAlign w:val="bottom"/>
          </w:tcPr>
          <w:p w14:paraId="5D41183A" w14:textId="77777777" w:rsidR="002E5441" w:rsidRPr="00AE4E8D" w:rsidRDefault="002E5441" w:rsidP="00E8320E">
            <w:pPr>
              <w:rPr>
                <w:rFonts w:ascii="Times New Roman" w:hAnsi="Times New Roman"/>
                <w:lang w:val="es-ES" w:eastAsia="es-AR"/>
              </w:rPr>
            </w:pPr>
          </w:p>
        </w:tc>
        <w:tc>
          <w:tcPr>
            <w:tcW w:w="0" w:type="auto"/>
            <w:tcBorders>
              <w:top w:val="single" w:sz="4" w:space="0" w:color="auto"/>
              <w:left w:val="nil"/>
              <w:bottom w:val="single" w:sz="4" w:space="0" w:color="auto"/>
              <w:right w:val="nil"/>
            </w:tcBorders>
            <w:noWrap/>
            <w:vAlign w:val="bottom"/>
            <w:hideMark/>
          </w:tcPr>
          <w:p w14:paraId="254B4815" w14:textId="77777777" w:rsidR="002E5441" w:rsidRPr="00AE4E8D" w:rsidRDefault="002E5441" w:rsidP="00E8320E">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 xml:space="preserve">Aumento/(Disminución) </w:t>
            </w:r>
          </w:p>
          <w:p w14:paraId="54190D64" w14:textId="77777777" w:rsidR="002E5441" w:rsidRPr="00AE4E8D" w:rsidRDefault="002E5441" w:rsidP="00E8320E">
            <w:pPr>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2015/ 2016</w:t>
            </w:r>
          </w:p>
        </w:tc>
      </w:tr>
      <w:tr w:rsidR="002E5441" w:rsidRPr="00AE4E8D" w14:paraId="501A0B41" w14:textId="77777777" w:rsidTr="000400C8">
        <w:trPr>
          <w:trHeight w:val="300"/>
          <w:jc w:val="center"/>
        </w:trPr>
        <w:tc>
          <w:tcPr>
            <w:tcW w:w="0" w:type="auto"/>
            <w:noWrap/>
            <w:vAlign w:val="bottom"/>
          </w:tcPr>
          <w:p w14:paraId="52883024" w14:textId="77777777" w:rsidR="002E5441" w:rsidRPr="00AE4E8D" w:rsidRDefault="002E5441" w:rsidP="00E8320E">
            <w:pPr>
              <w:rPr>
                <w:rFonts w:ascii="Times New Roman" w:hAnsi="Times New Roman"/>
                <w:lang w:val="es-ES" w:eastAsia="es-AR"/>
              </w:rPr>
            </w:pPr>
          </w:p>
        </w:tc>
        <w:tc>
          <w:tcPr>
            <w:tcW w:w="0" w:type="auto"/>
            <w:tcBorders>
              <w:top w:val="single" w:sz="4" w:space="0" w:color="auto"/>
              <w:left w:val="nil"/>
              <w:bottom w:val="single" w:sz="4" w:space="0" w:color="auto"/>
              <w:right w:val="nil"/>
            </w:tcBorders>
            <w:noWrap/>
            <w:vAlign w:val="bottom"/>
            <w:hideMark/>
          </w:tcPr>
          <w:p w14:paraId="4DABBA61" w14:textId="77777777" w:rsidR="002E5441" w:rsidRPr="00AE4E8D" w:rsidRDefault="002E5441" w:rsidP="00E8320E">
            <w:pPr>
              <w:jc w:val="center"/>
              <w:rPr>
                <w:rFonts w:ascii="Times New Roman" w:hAnsi="Times New Roman"/>
                <w:lang w:val="es-ES" w:eastAsia="es-AR"/>
              </w:rPr>
            </w:pPr>
            <w:r w:rsidRPr="00AE4E8D">
              <w:rPr>
                <w:rFonts w:ascii="Times New Roman" w:hAnsi="Times New Roman"/>
                <w:sz w:val="18"/>
                <w:szCs w:val="18"/>
                <w:lang w:val="es-ES" w:eastAsia="es-AR"/>
              </w:rPr>
              <w:t>(</w:t>
            </w:r>
            <w:proofErr w:type="gramStart"/>
            <w:r w:rsidRPr="00AE4E8D">
              <w:rPr>
                <w:rFonts w:ascii="Times New Roman" w:hAnsi="Times New Roman"/>
                <w:sz w:val="18"/>
                <w:szCs w:val="18"/>
                <w:lang w:val="es-ES" w:eastAsia="es-AR"/>
              </w:rPr>
              <w:t>en</w:t>
            </w:r>
            <w:proofErr w:type="gramEnd"/>
            <w:r w:rsidRPr="00AE4E8D">
              <w:rPr>
                <w:rFonts w:ascii="Times New Roman" w:hAnsi="Times New Roman"/>
                <w:sz w:val="18"/>
                <w:szCs w:val="18"/>
                <w:lang w:val="es-ES" w:eastAsia="es-AR"/>
              </w:rPr>
              <w:t xml:space="preserve"> millones de Ps.)</w:t>
            </w:r>
          </w:p>
        </w:tc>
      </w:tr>
      <w:tr w:rsidR="002E5441" w:rsidRPr="00AE4E8D" w14:paraId="2D997540" w14:textId="77777777" w:rsidTr="000400C8">
        <w:trPr>
          <w:trHeight w:val="240"/>
          <w:jc w:val="center"/>
        </w:trPr>
        <w:tc>
          <w:tcPr>
            <w:tcW w:w="0" w:type="auto"/>
            <w:noWrap/>
            <w:hideMark/>
          </w:tcPr>
          <w:p w14:paraId="122EABA9" w14:textId="77777777" w:rsidR="002E5441" w:rsidRPr="00AE4E8D" w:rsidRDefault="002E5441" w:rsidP="00E8320E">
            <w:pPr>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 xml:space="preserve">Debido a variaciones en el volumen promedio de pasivos que </w:t>
            </w:r>
          </w:p>
          <w:p w14:paraId="237C2D37" w14:textId="77777777" w:rsidR="002E5441" w:rsidRPr="00AE4E8D" w:rsidRDefault="002E5441" w:rsidP="00E8320E">
            <w:pPr>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devengan intereses</w:t>
            </w:r>
            <w:r w:rsidRPr="00AE4E8D">
              <w:rPr>
                <w:rFonts w:ascii="Times New Roman" w:hAnsi="Times New Roman"/>
                <w:lang w:val="es-ES" w:eastAsia="es-AR"/>
              </w:rPr>
              <w:tab/>
            </w:r>
          </w:p>
        </w:tc>
        <w:tc>
          <w:tcPr>
            <w:tcW w:w="0" w:type="auto"/>
            <w:tcBorders>
              <w:top w:val="single" w:sz="4" w:space="0" w:color="auto"/>
              <w:left w:val="nil"/>
              <w:bottom w:val="nil"/>
              <w:right w:val="nil"/>
            </w:tcBorders>
            <w:shd w:val="clear" w:color="auto" w:fill="FFFFFF"/>
            <w:noWrap/>
            <w:vAlign w:val="bottom"/>
            <w:hideMark/>
          </w:tcPr>
          <w:p w14:paraId="6DDF6102" w14:textId="77777777" w:rsidR="002E5441" w:rsidRPr="00AE4E8D" w:rsidRDefault="002E5441" w:rsidP="00E8320E">
            <w:pPr>
              <w:jc w:val="right"/>
              <w:rPr>
                <w:rFonts w:ascii="Times New Roman" w:hAnsi="Times New Roman"/>
                <w:sz w:val="18"/>
                <w:szCs w:val="18"/>
                <w:lang w:val="es-ES" w:eastAsia="es-AR"/>
              </w:rPr>
            </w:pPr>
            <w:r w:rsidRPr="00AE4E8D">
              <w:rPr>
                <w:rFonts w:ascii="Times New Roman" w:hAnsi="Times New Roman"/>
                <w:sz w:val="18"/>
                <w:szCs w:val="18"/>
                <w:lang w:val="es-ES" w:eastAsia="es-AR"/>
              </w:rPr>
              <w:t>(226.9)</w:t>
            </w:r>
          </w:p>
        </w:tc>
      </w:tr>
      <w:tr w:rsidR="002E5441" w:rsidRPr="00AE4E8D" w14:paraId="6518CF53" w14:textId="77777777" w:rsidTr="000400C8">
        <w:trPr>
          <w:trHeight w:val="240"/>
          <w:jc w:val="center"/>
        </w:trPr>
        <w:tc>
          <w:tcPr>
            <w:tcW w:w="0" w:type="auto"/>
            <w:noWrap/>
            <w:hideMark/>
          </w:tcPr>
          <w:p w14:paraId="7333E4E6" w14:textId="77777777" w:rsidR="002E5441" w:rsidRPr="00AE4E8D" w:rsidRDefault="002E5441" w:rsidP="00E8320E">
            <w:pPr>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Debido a variaciones en las tasas nominales de interés promedio</w:t>
            </w:r>
            <w:r w:rsidRPr="00AE4E8D">
              <w:rPr>
                <w:rFonts w:ascii="Times New Roman" w:hAnsi="Times New Roman"/>
                <w:lang w:val="es-ES" w:eastAsia="es-AR"/>
              </w:rPr>
              <w:tab/>
            </w:r>
          </w:p>
        </w:tc>
        <w:tc>
          <w:tcPr>
            <w:tcW w:w="0" w:type="auto"/>
            <w:tcBorders>
              <w:top w:val="nil"/>
              <w:left w:val="nil"/>
              <w:bottom w:val="single" w:sz="4" w:space="0" w:color="auto"/>
              <w:right w:val="nil"/>
            </w:tcBorders>
            <w:shd w:val="clear" w:color="auto" w:fill="FFFFFF"/>
            <w:noWrap/>
            <w:vAlign w:val="bottom"/>
            <w:hideMark/>
          </w:tcPr>
          <w:p w14:paraId="28E144CA" w14:textId="77777777" w:rsidR="002E5441" w:rsidRPr="00AE4E8D" w:rsidRDefault="002E5441" w:rsidP="00E8320E">
            <w:pPr>
              <w:jc w:val="right"/>
              <w:rPr>
                <w:rFonts w:ascii="Times New Roman" w:hAnsi="Times New Roman"/>
                <w:sz w:val="18"/>
                <w:szCs w:val="18"/>
                <w:lang w:val="es-ES" w:eastAsia="es-AR"/>
              </w:rPr>
            </w:pPr>
            <w:r w:rsidRPr="00AE4E8D">
              <w:rPr>
                <w:rFonts w:ascii="Times New Roman" w:hAnsi="Times New Roman"/>
                <w:sz w:val="18"/>
                <w:szCs w:val="18"/>
                <w:lang w:val="es-ES" w:eastAsia="es-AR"/>
              </w:rPr>
              <w:t>2.573,4</w:t>
            </w:r>
          </w:p>
        </w:tc>
      </w:tr>
      <w:tr w:rsidR="002E5441" w:rsidRPr="00AE4E8D" w14:paraId="4D28992B" w14:textId="77777777" w:rsidTr="000400C8">
        <w:trPr>
          <w:trHeight w:val="240"/>
          <w:jc w:val="center"/>
        </w:trPr>
        <w:tc>
          <w:tcPr>
            <w:tcW w:w="0" w:type="auto"/>
            <w:noWrap/>
            <w:vAlign w:val="bottom"/>
            <w:hideMark/>
          </w:tcPr>
          <w:p w14:paraId="03D68A1C" w14:textId="77777777" w:rsidR="002E5441" w:rsidRPr="00AE4E8D" w:rsidRDefault="002E5441" w:rsidP="00E8320E">
            <w:pPr>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 xml:space="preserve">Variación neta </w:t>
            </w:r>
            <w:r w:rsidRPr="00AE4E8D">
              <w:rPr>
                <w:rFonts w:ascii="Times New Roman" w:hAnsi="Times New Roman"/>
                <w:lang w:val="es-ES" w:eastAsia="es-AR"/>
              </w:rPr>
              <w:tab/>
            </w:r>
          </w:p>
        </w:tc>
        <w:tc>
          <w:tcPr>
            <w:tcW w:w="0" w:type="auto"/>
            <w:tcBorders>
              <w:top w:val="single" w:sz="4" w:space="0" w:color="auto"/>
              <w:left w:val="nil"/>
              <w:bottom w:val="nil"/>
              <w:right w:val="nil"/>
            </w:tcBorders>
            <w:shd w:val="clear" w:color="auto" w:fill="FFFFFF"/>
            <w:noWrap/>
            <w:vAlign w:val="bottom"/>
            <w:hideMark/>
          </w:tcPr>
          <w:p w14:paraId="587CF750" w14:textId="77777777" w:rsidR="002E5441" w:rsidRPr="00AE4E8D" w:rsidRDefault="002E5441" w:rsidP="00E8320E">
            <w:pPr>
              <w:jc w:val="right"/>
              <w:rPr>
                <w:rFonts w:ascii="Times New Roman" w:hAnsi="Times New Roman"/>
                <w:sz w:val="18"/>
                <w:szCs w:val="18"/>
                <w:lang w:val="es-ES" w:eastAsia="es-AR"/>
              </w:rPr>
            </w:pPr>
            <w:r w:rsidRPr="00AE4E8D">
              <w:rPr>
                <w:rFonts w:ascii="Times New Roman" w:hAnsi="Times New Roman"/>
                <w:sz w:val="18"/>
                <w:szCs w:val="18"/>
                <w:lang w:val="es-ES" w:eastAsia="es-AR"/>
              </w:rPr>
              <w:t>2.346,4</w:t>
            </w:r>
          </w:p>
        </w:tc>
      </w:tr>
    </w:tbl>
    <w:p w14:paraId="2988F00C" w14:textId="77777777" w:rsidR="002E5441" w:rsidRPr="00AE4E8D" w:rsidRDefault="002E5441" w:rsidP="002E5441">
      <w:pPr>
        <w:pStyle w:val="BHTexto"/>
      </w:pPr>
      <w:r w:rsidRPr="00AE4E8D">
        <w:t>Los egresos financieros para el ejercicio finalizado el 31 de diciembre de 2016 aumentaron 55,7%, de Ps.</w:t>
      </w:r>
      <w:r w:rsidRPr="00AE4E8D">
        <w:rPr>
          <w:lang w:eastAsia="es-AR"/>
        </w:rPr>
        <w:t>4.212,1</w:t>
      </w:r>
      <w:r w:rsidRPr="00AE4E8D">
        <w:t xml:space="preserve"> millones por el ejercicio finalizado el 31 de diciembre de 2015 a Ps.6.558,6 millones por el ejercicio finalizado el 31 de diciembre de 2016, principalmente como resultado de un aumento del 36,5% en los saldos promedio de los pasivos que devengan interés, de Ps.20.827,3 millones por el ejercicio finalizado el 31 de diciembre de 2015 a Ps.28.438,7 millones por el ejercicio finalizado el 31 de diciembre de 2016, y </w:t>
      </w:r>
      <w:r w:rsidRPr="00AE4E8D">
        <w:rPr>
          <w:lang w:eastAsia="es-AR"/>
        </w:rPr>
        <w:t>un aumento</w:t>
      </w:r>
      <w:r w:rsidRPr="00AE4E8D">
        <w:t xml:space="preserve"> del 41,0% en los intereses promedio pagados, del 16,8% por el ejercicio finalizado el 31 de diciembre de 2015 al 23,7% por el ejercicio finalizado el 31 de diciembre de 2016.</w:t>
      </w:r>
    </w:p>
    <w:p w14:paraId="056DC5A5" w14:textId="77777777" w:rsidR="002E5441" w:rsidRPr="00AE4E8D" w:rsidRDefault="002E5441" w:rsidP="002E5441">
      <w:pPr>
        <w:pStyle w:val="BHTexto"/>
      </w:pPr>
      <w:r w:rsidRPr="00AE4E8D">
        <w:t>Este aumento de los egresos financieros se debió a:</w:t>
      </w:r>
    </w:p>
    <w:p w14:paraId="5F43F0C7" w14:textId="77777777" w:rsidR="002E5441" w:rsidRPr="00AE4E8D" w:rsidRDefault="002E5441" w:rsidP="002E5441">
      <w:pPr>
        <w:pStyle w:val="BHVieta2"/>
        <w:numPr>
          <w:ilvl w:val="0"/>
          <w:numId w:val="165"/>
        </w:numPr>
        <w:rPr>
          <w:lang w:val="es-ES"/>
        </w:rPr>
      </w:pPr>
      <w:r w:rsidRPr="00AE4E8D">
        <w:rPr>
          <w:lang w:val="es-ES"/>
        </w:rPr>
        <w:t xml:space="preserve">Un aumento del 41,8% en intereses por depósitos a plazo fijo, de Ps.2.110,6 millones por el ejercicio finalizado el 31 de diciembre de 2015 a Ps.2.992,7 millones por el ejercicio finalizado el 31 de diciembre de 2016, principalmente como resultado de un aumento del 31,0% en el volumen promedio de depósitos a plazo fijo; </w:t>
      </w:r>
    </w:p>
    <w:p w14:paraId="4C78F814" w14:textId="77777777" w:rsidR="00B9034E" w:rsidRPr="00AE4E8D" w:rsidRDefault="002E5441" w:rsidP="002E5441">
      <w:pPr>
        <w:pStyle w:val="BHVieta2"/>
        <w:numPr>
          <w:ilvl w:val="0"/>
          <w:numId w:val="165"/>
        </w:numPr>
        <w:rPr>
          <w:lang w:val="es-ES"/>
        </w:rPr>
      </w:pPr>
      <w:r w:rsidRPr="00AE4E8D">
        <w:rPr>
          <w:lang w:val="es-ES"/>
        </w:rPr>
        <w:t>Un aumento del 3,2% en el impuesto a los ingresos brutos (registrado bajo el título “Otros”), de Ps.457,2 millones por el ejercicio finalizado el 31 de diciembre de 2015 a Ps.471,6 millones por el ejercicio finalizado el 31 de diciembre de 2016, como resultado de los ingresos financieros imponibles y aumentos en las alícuotas de ciertas provincias.; y</w:t>
      </w:r>
    </w:p>
    <w:p w14:paraId="57D205C9" w14:textId="77777777" w:rsidR="002E5441" w:rsidRPr="00AE4E8D" w:rsidRDefault="002E5441" w:rsidP="00486656">
      <w:pPr>
        <w:pStyle w:val="BHVieta2"/>
        <w:numPr>
          <w:ilvl w:val="0"/>
          <w:numId w:val="165"/>
        </w:numPr>
      </w:pPr>
      <w:r w:rsidRPr="00AE4E8D">
        <w:t>Un aumento del 98,7% en intereses por otras obligaciones por intermediación financiera, principalmente como resultado de un aumento del interés devengado por nuestros bonos en circulación de Ps.942,9 millones por el ejercicio finalizado el 31 de diciembre de 2015 a Ps.1.873,8 millones por el ejercicio finalizado el 31 de diciembre de 2016, principalmente como resultado del mayor saldo promedio de los bonos en circulación.</w:t>
      </w:r>
    </w:p>
    <w:p w14:paraId="2F34C6CA" w14:textId="77777777" w:rsidR="002E5441" w:rsidRPr="00AE4E8D" w:rsidRDefault="002E5441" w:rsidP="002E5441">
      <w:pPr>
        <w:pStyle w:val="BH4Cursiva"/>
      </w:pPr>
      <w:r w:rsidRPr="00AE4E8D">
        <w:lastRenderedPageBreak/>
        <w:t>Cargos por Incobrabilidad</w:t>
      </w:r>
    </w:p>
    <w:p w14:paraId="16BAF3E6" w14:textId="77777777" w:rsidR="002E5441" w:rsidRPr="00AE4E8D" w:rsidRDefault="002E5441" w:rsidP="002E5441">
      <w:pPr>
        <w:pStyle w:val="BHTexto"/>
      </w:pPr>
      <w:r w:rsidRPr="00AE4E8D">
        <w:t>Los cargos por incobrabilidad aumentaron un 31,7% de Ps.</w:t>
      </w:r>
      <w:r w:rsidRPr="00AE4E8D">
        <w:rPr>
          <w:lang w:eastAsia="es-AR"/>
        </w:rPr>
        <w:t>354,2</w:t>
      </w:r>
      <w:r w:rsidRPr="00AE4E8D">
        <w:t xml:space="preserve"> millones por el ejercicio finalizado el 31 de diciembre de 2015 a Ps.466,4 millones por el ejercicio finalizado el 31 de diciembre de 2016, principalmente debido al crecimiento del 26,7% de nuestra cartera promedio de créditos entre el 31 de diciembre de 2015 y 2016 y una mejora en la calidad de nuestros activos de la cartera de créditos durante el mismo período.</w:t>
      </w:r>
    </w:p>
    <w:p w14:paraId="1D2B8118" w14:textId="77777777" w:rsidR="002E5441" w:rsidRPr="00AE4E8D" w:rsidRDefault="002E5441" w:rsidP="002E5441">
      <w:pPr>
        <w:pStyle w:val="BH4Cursiva"/>
      </w:pPr>
      <w:r w:rsidRPr="00AE4E8D">
        <w:t>Ingresos Netos por Servicios</w:t>
      </w:r>
    </w:p>
    <w:p w14:paraId="29043496" w14:textId="77777777" w:rsidR="002E5441" w:rsidRPr="00AE4E8D" w:rsidRDefault="002E5441" w:rsidP="002E5441">
      <w:pPr>
        <w:pStyle w:val="BHTexto"/>
      </w:pPr>
      <w:r w:rsidRPr="00AE4E8D">
        <w:t>Los ingresos netos por servicios aumentaron un 28,5% de Ps.3.025,6 millones por el ejercicio finalizado el 31 de diciembre de 2015 a Ps. 3.888,4millones por el ejercicio finalizado el 31 de diciembre de 2016, principalmente como resultado de:</w:t>
      </w:r>
    </w:p>
    <w:p w14:paraId="2162212E" w14:textId="77777777" w:rsidR="002E5441" w:rsidRPr="00AE4E8D" w:rsidRDefault="002E5441" w:rsidP="002E5441">
      <w:pPr>
        <w:pStyle w:val="BHVieta2"/>
        <w:numPr>
          <w:ilvl w:val="0"/>
          <w:numId w:val="166"/>
        </w:numPr>
        <w:rPr>
          <w:lang w:val="es-ES"/>
        </w:rPr>
      </w:pPr>
      <w:r w:rsidRPr="00AE4E8D">
        <w:rPr>
          <w:lang w:val="es-ES"/>
        </w:rPr>
        <w:t>Un aumento de Ps.414,4 millones, o del 30,5%, en ingresos netos por seguros; y</w:t>
      </w:r>
    </w:p>
    <w:p w14:paraId="4C9FAE83" w14:textId="77777777" w:rsidR="002E5441" w:rsidRPr="00AE4E8D" w:rsidRDefault="002E5441" w:rsidP="002E5441">
      <w:pPr>
        <w:pStyle w:val="BHVieta2"/>
        <w:numPr>
          <w:ilvl w:val="0"/>
          <w:numId w:val="166"/>
        </w:numPr>
        <w:rPr>
          <w:lang w:val="es-ES"/>
        </w:rPr>
      </w:pPr>
      <w:r w:rsidRPr="00AE4E8D">
        <w:rPr>
          <w:lang w:val="es-ES"/>
        </w:rPr>
        <w:t>Un aumento a Ps.448</w:t>
      </w:r>
      <w:proofErr w:type="gramStart"/>
      <w:r w:rsidRPr="00AE4E8D">
        <w:rPr>
          <w:lang w:val="es-ES"/>
        </w:rPr>
        <w:t>,5</w:t>
      </w:r>
      <w:proofErr w:type="gramEnd"/>
      <w:r w:rsidRPr="00AE4E8D">
        <w:rPr>
          <w:lang w:val="es-ES"/>
        </w:rPr>
        <w:t xml:space="preserve"> millones, o del 26,9%, en otros ingresos netos por servicios.</w:t>
      </w:r>
    </w:p>
    <w:p w14:paraId="24F6B866" w14:textId="77777777" w:rsidR="002E5441" w:rsidRPr="00AE4E8D" w:rsidRDefault="002E5441" w:rsidP="002E5441">
      <w:pPr>
        <w:pStyle w:val="BH4Cursiva"/>
      </w:pPr>
      <w:r w:rsidRPr="00AE4E8D">
        <w:t xml:space="preserve">Ingresos Netos por Seguros </w:t>
      </w:r>
    </w:p>
    <w:p w14:paraId="280CEE9B" w14:textId="77777777" w:rsidR="002E5441" w:rsidRPr="00AE4E8D" w:rsidRDefault="002E5441" w:rsidP="002E5441">
      <w:pPr>
        <w:pStyle w:val="BHTexto"/>
      </w:pPr>
      <w:r w:rsidRPr="00AE4E8D">
        <w:t>El siguiente cuadro detalla las principales líneas de los ingresos netos por seguros correspondientes a los ejercicios finalizados el 31 de diciembre de 2016 y 2015:</w:t>
      </w:r>
    </w:p>
    <w:tbl>
      <w:tblPr>
        <w:tblW w:w="5000" w:type="pct"/>
        <w:tblLook w:val="04A0" w:firstRow="1" w:lastRow="0" w:firstColumn="1" w:lastColumn="0" w:noHBand="0" w:noVBand="1"/>
      </w:tblPr>
      <w:tblGrid>
        <w:gridCol w:w="4108"/>
        <w:gridCol w:w="1498"/>
        <w:gridCol w:w="1254"/>
        <w:gridCol w:w="1861"/>
      </w:tblGrid>
      <w:tr w:rsidR="002E5441" w:rsidRPr="00AE4E8D" w14:paraId="13F54E24" w14:textId="77777777" w:rsidTr="000400C8">
        <w:trPr>
          <w:trHeight w:val="264"/>
        </w:trPr>
        <w:tc>
          <w:tcPr>
            <w:tcW w:w="2355" w:type="pct"/>
            <w:tcBorders>
              <w:top w:val="nil"/>
              <w:left w:val="nil"/>
              <w:bottom w:val="nil"/>
              <w:right w:val="nil"/>
            </w:tcBorders>
            <w:shd w:val="clear" w:color="auto" w:fill="auto"/>
            <w:noWrap/>
            <w:vAlign w:val="center"/>
            <w:hideMark/>
          </w:tcPr>
          <w:p w14:paraId="132A8A13" w14:textId="77777777" w:rsidR="002E5441" w:rsidRPr="00AE4E8D" w:rsidRDefault="002E5441" w:rsidP="00E8320E">
            <w:pPr>
              <w:rPr>
                <w:rFonts w:ascii="Times New Roman" w:hAnsi="Times New Roman"/>
                <w:color w:val="000000"/>
                <w:sz w:val="18"/>
                <w:szCs w:val="18"/>
                <w:lang w:val="es-ES"/>
              </w:rPr>
            </w:pPr>
          </w:p>
        </w:tc>
        <w:tc>
          <w:tcPr>
            <w:tcW w:w="1578" w:type="pct"/>
            <w:gridSpan w:val="2"/>
            <w:vMerge w:val="restart"/>
            <w:tcBorders>
              <w:top w:val="single" w:sz="8" w:space="0" w:color="auto"/>
              <w:left w:val="nil"/>
              <w:bottom w:val="single" w:sz="8" w:space="0" w:color="000000"/>
              <w:right w:val="nil"/>
            </w:tcBorders>
            <w:shd w:val="clear" w:color="auto" w:fill="auto"/>
            <w:vAlign w:val="bottom"/>
            <w:hideMark/>
          </w:tcPr>
          <w:p w14:paraId="61FFC59B" w14:textId="77777777" w:rsidR="002E5441" w:rsidRPr="00AE4E8D" w:rsidRDefault="002E5441" w:rsidP="00E8320E">
            <w:pPr>
              <w:jc w:val="center"/>
              <w:rPr>
                <w:rFonts w:ascii="Times New Roman" w:hAnsi="Times New Roman"/>
                <w:b/>
                <w:bCs/>
                <w:color w:val="000000"/>
                <w:sz w:val="18"/>
                <w:szCs w:val="18"/>
              </w:rPr>
            </w:pPr>
            <w:r w:rsidRPr="00AE4E8D">
              <w:rPr>
                <w:rFonts w:ascii="Times New Roman" w:hAnsi="Times New Roman"/>
                <w:b/>
                <w:bCs/>
                <w:color w:val="000000"/>
                <w:sz w:val="18"/>
                <w:szCs w:val="18"/>
              </w:rPr>
              <w:t xml:space="preserve">Ejercicio finalizado el 31 de diciembre de </w:t>
            </w:r>
          </w:p>
        </w:tc>
        <w:tc>
          <w:tcPr>
            <w:tcW w:w="1067" w:type="pct"/>
            <w:tcBorders>
              <w:top w:val="single" w:sz="8" w:space="0" w:color="auto"/>
              <w:left w:val="nil"/>
              <w:bottom w:val="nil"/>
              <w:right w:val="nil"/>
            </w:tcBorders>
            <w:shd w:val="clear" w:color="auto" w:fill="auto"/>
            <w:noWrap/>
            <w:vAlign w:val="bottom"/>
            <w:hideMark/>
          </w:tcPr>
          <w:p w14:paraId="2C4CA8D2" w14:textId="77777777" w:rsidR="002E5441" w:rsidRPr="00AE4E8D" w:rsidRDefault="002E5441" w:rsidP="00E8320E">
            <w:pPr>
              <w:rPr>
                <w:rFonts w:ascii="Times New Roman" w:hAnsi="Times New Roman"/>
                <w:color w:val="000000"/>
                <w:sz w:val="22"/>
                <w:szCs w:val="22"/>
              </w:rPr>
            </w:pPr>
            <w:r w:rsidRPr="00AE4E8D">
              <w:rPr>
                <w:rFonts w:ascii="Times New Roman" w:hAnsi="Times New Roman"/>
                <w:color w:val="000000"/>
                <w:sz w:val="22"/>
                <w:szCs w:val="22"/>
              </w:rPr>
              <w:t> </w:t>
            </w:r>
          </w:p>
        </w:tc>
      </w:tr>
      <w:tr w:rsidR="002E5441" w:rsidRPr="00AE4E8D" w14:paraId="6AFF8F99" w14:textId="77777777" w:rsidTr="000400C8">
        <w:trPr>
          <w:trHeight w:val="277"/>
        </w:trPr>
        <w:tc>
          <w:tcPr>
            <w:tcW w:w="2355" w:type="pct"/>
            <w:tcBorders>
              <w:top w:val="nil"/>
              <w:left w:val="nil"/>
              <w:bottom w:val="nil"/>
              <w:right w:val="nil"/>
            </w:tcBorders>
            <w:shd w:val="clear" w:color="auto" w:fill="auto"/>
            <w:noWrap/>
            <w:vAlign w:val="bottom"/>
            <w:hideMark/>
          </w:tcPr>
          <w:p w14:paraId="44C38A5A" w14:textId="77777777" w:rsidR="002E5441" w:rsidRPr="00AE4E8D" w:rsidRDefault="002E5441" w:rsidP="00E8320E">
            <w:pPr>
              <w:rPr>
                <w:rFonts w:ascii="Times New Roman" w:hAnsi="Times New Roman"/>
                <w:color w:val="000000"/>
                <w:sz w:val="22"/>
                <w:szCs w:val="22"/>
              </w:rPr>
            </w:pPr>
          </w:p>
        </w:tc>
        <w:tc>
          <w:tcPr>
            <w:tcW w:w="1578" w:type="pct"/>
            <w:gridSpan w:val="2"/>
            <w:vMerge/>
            <w:tcBorders>
              <w:top w:val="nil"/>
              <w:left w:val="nil"/>
              <w:bottom w:val="nil"/>
              <w:right w:val="nil"/>
            </w:tcBorders>
            <w:vAlign w:val="center"/>
            <w:hideMark/>
          </w:tcPr>
          <w:p w14:paraId="1C9F7F48" w14:textId="77777777" w:rsidR="002E5441" w:rsidRPr="00AE4E8D" w:rsidRDefault="002E5441" w:rsidP="00E8320E">
            <w:pPr>
              <w:rPr>
                <w:rFonts w:ascii="Times New Roman" w:hAnsi="Times New Roman"/>
                <w:b/>
                <w:bCs/>
                <w:color w:val="000000"/>
                <w:sz w:val="18"/>
                <w:szCs w:val="18"/>
              </w:rPr>
            </w:pPr>
          </w:p>
        </w:tc>
        <w:tc>
          <w:tcPr>
            <w:tcW w:w="1067" w:type="pct"/>
            <w:tcBorders>
              <w:top w:val="nil"/>
              <w:left w:val="nil"/>
              <w:bottom w:val="single" w:sz="8" w:space="0" w:color="auto"/>
              <w:right w:val="nil"/>
            </w:tcBorders>
            <w:shd w:val="clear" w:color="auto" w:fill="auto"/>
            <w:noWrap/>
            <w:vAlign w:val="bottom"/>
            <w:hideMark/>
          </w:tcPr>
          <w:p w14:paraId="2DE2A5CE"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xml:space="preserve">Variación </w:t>
            </w:r>
          </w:p>
        </w:tc>
      </w:tr>
      <w:tr w:rsidR="002E5441" w:rsidRPr="00AE4E8D" w14:paraId="08D2C322" w14:textId="77777777" w:rsidTr="000400C8">
        <w:trPr>
          <w:trHeight w:val="277"/>
        </w:trPr>
        <w:tc>
          <w:tcPr>
            <w:tcW w:w="2355" w:type="pct"/>
            <w:tcBorders>
              <w:top w:val="nil"/>
              <w:left w:val="nil"/>
              <w:bottom w:val="nil"/>
              <w:right w:val="nil"/>
            </w:tcBorders>
            <w:shd w:val="clear" w:color="auto" w:fill="auto"/>
            <w:noWrap/>
            <w:vAlign w:val="center"/>
            <w:hideMark/>
          </w:tcPr>
          <w:p w14:paraId="6934D086" w14:textId="77777777" w:rsidR="002E5441" w:rsidRPr="00AE4E8D" w:rsidRDefault="002E5441" w:rsidP="00E8320E">
            <w:pPr>
              <w:rPr>
                <w:rFonts w:ascii="Times New Roman" w:hAnsi="Times New Roman"/>
                <w:color w:val="000000"/>
                <w:sz w:val="18"/>
                <w:szCs w:val="18"/>
                <w:lang w:val="en-US"/>
              </w:rPr>
            </w:pPr>
          </w:p>
        </w:tc>
        <w:tc>
          <w:tcPr>
            <w:tcW w:w="859" w:type="pct"/>
            <w:tcBorders>
              <w:top w:val="nil"/>
              <w:left w:val="nil"/>
              <w:bottom w:val="single" w:sz="8" w:space="0" w:color="auto"/>
              <w:right w:val="nil"/>
            </w:tcBorders>
            <w:shd w:val="clear" w:color="auto" w:fill="auto"/>
            <w:noWrap/>
            <w:vAlign w:val="center"/>
            <w:hideMark/>
          </w:tcPr>
          <w:p w14:paraId="2A308CE8"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2016</w:t>
            </w:r>
          </w:p>
        </w:tc>
        <w:tc>
          <w:tcPr>
            <w:tcW w:w="719" w:type="pct"/>
            <w:tcBorders>
              <w:top w:val="nil"/>
              <w:left w:val="nil"/>
              <w:bottom w:val="single" w:sz="8" w:space="0" w:color="auto"/>
              <w:right w:val="nil"/>
            </w:tcBorders>
            <w:shd w:val="clear" w:color="auto" w:fill="auto"/>
            <w:noWrap/>
            <w:vAlign w:val="center"/>
            <w:hideMark/>
          </w:tcPr>
          <w:p w14:paraId="239A6D29"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1067" w:type="pct"/>
            <w:tcBorders>
              <w:top w:val="nil"/>
              <w:left w:val="nil"/>
              <w:bottom w:val="single" w:sz="8" w:space="0" w:color="auto"/>
              <w:right w:val="nil"/>
            </w:tcBorders>
            <w:shd w:val="clear" w:color="auto" w:fill="auto"/>
            <w:noWrap/>
            <w:vAlign w:val="center"/>
            <w:hideMark/>
          </w:tcPr>
          <w:p w14:paraId="765A7F4E"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2015/2016</w:t>
            </w:r>
          </w:p>
        </w:tc>
      </w:tr>
      <w:tr w:rsidR="002E5441" w:rsidRPr="00AE4E8D" w14:paraId="380490E4" w14:textId="77777777" w:rsidTr="000400C8">
        <w:trPr>
          <w:trHeight w:val="264"/>
        </w:trPr>
        <w:tc>
          <w:tcPr>
            <w:tcW w:w="2355" w:type="pct"/>
            <w:tcBorders>
              <w:top w:val="nil"/>
              <w:left w:val="nil"/>
              <w:bottom w:val="nil"/>
              <w:right w:val="nil"/>
            </w:tcBorders>
            <w:shd w:val="clear" w:color="auto" w:fill="auto"/>
            <w:noWrap/>
            <w:vAlign w:val="center"/>
            <w:hideMark/>
          </w:tcPr>
          <w:p w14:paraId="1894A321" w14:textId="77777777" w:rsidR="002E5441" w:rsidRPr="00AE4E8D" w:rsidRDefault="002E5441" w:rsidP="00E8320E">
            <w:pPr>
              <w:rPr>
                <w:rFonts w:ascii="Times New Roman" w:hAnsi="Times New Roman"/>
                <w:color w:val="000000"/>
                <w:sz w:val="18"/>
                <w:szCs w:val="18"/>
                <w:lang w:val="en-US"/>
              </w:rPr>
            </w:pPr>
          </w:p>
        </w:tc>
        <w:tc>
          <w:tcPr>
            <w:tcW w:w="2645" w:type="pct"/>
            <w:gridSpan w:val="3"/>
            <w:tcBorders>
              <w:top w:val="single" w:sz="8" w:space="0" w:color="auto"/>
              <w:left w:val="nil"/>
              <w:bottom w:val="nil"/>
              <w:right w:val="nil"/>
            </w:tcBorders>
            <w:shd w:val="clear" w:color="auto" w:fill="auto"/>
            <w:noWrap/>
            <w:vAlign w:val="center"/>
            <w:hideMark/>
          </w:tcPr>
          <w:p w14:paraId="1942F02C" w14:textId="77777777" w:rsidR="002E5441" w:rsidRPr="00AE4E8D" w:rsidRDefault="002E5441" w:rsidP="00E8320E">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2E5441" w:rsidRPr="00AE4E8D" w14:paraId="4B1A2F91" w14:textId="77777777" w:rsidTr="000400C8">
        <w:trPr>
          <w:trHeight w:val="264"/>
        </w:trPr>
        <w:tc>
          <w:tcPr>
            <w:tcW w:w="3214" w:type="pct"/>
            <w:gridSpan w:val="2"/>
            <w:tcBorders>
              <w:top w:val="nil"/>
              <w:left w:val="nil"/>
              <w:bottom w:val="nil"/>
              <w:right w:val="nil"/>
            </w:tcBorders>
            <w:shd w:val="clear" w:color="auto" w:fill="auto"/>
            <w:noWrap/>
            <w:vAlign w:val="center"/>
            <w:hideMark/>
          </w:tcPr>
          <w:p w14:paraId="22374A8E" w14:textId="77777777" w:rsidR="002E5441" w:rsidRPr="00AE4E8D" w:rsidRDefault="002E5441" w:rsidP="00E8320E">
            <w:pPr>
              <w:rPr>
                <w:rFonts w:ascii="Times New Roman" w:hAnsi="Times New Roman"/>
                <w:b/>
                <w:bCs/>
                <w:i/>
                <w:iCs/>
                <w:color w:val="000000"/>
                <w:sz w:val="18"/>
                <w:szCs w:val="18"/>
                <w:lang w:val="en-US"/>
              </w:rPr>
            </w:pPr>
            <w:r w:rsidRPr="00AE4E8D">
              <w:rPr>
                <w:rFonts w:ascii="Times New Roman" w:hAnsi="Times New Roman"/>
                <w:b/>
                <w:bCs/>
                <w:i/>
                <w:iCs/>
                <w:color w:val="000000"/>
                <w:sz w:val="18"/>
                <w:szCs w:val="18"/>
                <w:lang w:val="es-ES"/>
              </w:rPr>
              <w:t>Primas de seguro percibidas</w:t>
            </w:r>
          </w:p>
        </w:tc>
        <w:tc>
          <w:tcPr>
            <w:tcW w:w="719" w:type="pct"/>
            <w:tcBorders>
              <w:top w:val="nil"/>
              <w:left w:val="nil"/>
              <w:bottom w:val="nil"/>
              <w:right w:val="nil"/>
            </w:tcBorders>
            <w:shd w:val="clear" w:color="auto" w:fill="auto"/>
            <w:noWrap/>
            <w:vAlign w:val="center"/>
            <w:hideMark/>
          </w:tcPr>
          <w:p w14:paraId="3E33E741" w14:textId="77777777" w:rsidR="002E5441" w:rsidRPr="00AE4E8D" w:rsidRDefault="002E5441" w:rsidP="00E8320E">
            <w:pPr>
              <w:rPr>
                <w:rFonts w:ascii="Times New Roman" w:hAnsi="Times New Roman"/>
                <w:color w:val="000000"/>
                <w:sz w:val="18"/>
                <w:szCs w:val="18"/>
                <w:lang w:val="en-US"/>
              </w:rPr>
            </w:pPr>
          </w:p>
        </w:tc>
        <w:tc>
          <w:tcPr>
            <w:tcW w:w="1067" w:type="pct"/>
            <w:tcBorders>
              <w:top w:val="nil"/>
              <w:left w:val="nil"/>
              <w:bottom w:val="nil"/>
              <w:right w:val="nil"/>
            </w:tcBorders>
            <w:shd w:val="clear" w:color="auto" w:fill="auto"/>
            <w:noWrap/>
            <w:vAlign w:val="center"/>
            <w:hideMark/>
          </w:tcPr>
          <w:p w14:paraId="683B6EE5" w14:textId="77777777" w:rsidR="002E5441" w:rsidRPr="00AE4E8D" w:rsidRDefault="002E5441" w:rsidP="00E8320E">
            <w:pPr>
              <w:rPr>
                <w:rFonts w:ascii="Times New Roman" w:hAnsi="Times New Roman"/>
                <w:color w:val="000000"/>
                <w:sz w:val="18"/>
                <w:szCs w:val="18"/>
                <w:lang w:val="en-US"/>
              </w:rPr>
            </w:pPr>
          </w:p>
        </w:tc>
      </w:tr>
      <w:tr w:rsidR="002E5441" w:rsidRPr="00AE4E8D" w14:paraId="6DC2DD00" w14:textId="77777777" w:rsidTr="000400C8">
        <w:trPr>
          <w:trHeight w:val="264"/>
        </w:trPr>
        <w:tc>
          <w:tcPr>
            <w:tcW w:w="2355" w:type="pct"/>
            <w:tcBorders>
              <w:top w:val="nil"/>
              <w:left w:val="nil"/>
              <w:bottom w:val="nil"/>
              <w:right w:val="nil"/>
            </w:tcBorders>
            <w:shd w:val="clear" w:color="auto" w:fill="auto"/>
            <w:noWrap/>
            <w:vAlign w:val="center"/>
            <w:hideMark/>
          </w:tcPr>
          <w:p w14:paraId="469FA87D"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Vida  </w:t>
            </w:r>
          </w:p>
        </w:tc>
        <w:tc>
          <w:tcPr>
            <w:tcW w:w="859" w:type="pct"/>
            <w:tcBorders>
              <w:top w:val="nil"/>
              <w:left w:val="nil"/>
              <w:bottom w:val="nil"/>
              <w:right w:val="nil"/>
            </w:tcBorders>
            <w:shd w:val="clear" w:color="000000" w:fill="FFFFFF"/>
            <w:noWrap/>
            <w:vAlign w:val="center"/>
            <w:hideMark/>
          </w:tcPr>
          <w:p w14:paraId="760FA2F1"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5,7</w:t>
            </w:r>
          </w:p>
        </w:tc>
        <w:tc>
          <w:tcPr>
            <w:tcW w:w="719" w:type="pct"/>
            <w:tcBorders>
              <w:top w:val="nil"/>
              <w:left w:val="nil"/>
              <w:bottom w:val="nil"/>
              <w:right w:val="nil"/>
            </w:tcBorders>
            <w:shd w:val="clear" w:color="000000" w:fill="FFFFFF"/>
            <w:noWrap/>
            <w:vAlign w:val="center"/>
            <w:hideMark/>
          </w:tcPr>
          <w:p w14:paraId="50EAE818"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14,9</w:t>
            </w:r>
          </w:p>
        </w:tc>
        <w:tc>
          <w:tcPr>
            <w:tcW w:w="1067" w:type="pct"/>
            <w:tcBorders>
              <w:top w:val="nil"/>
              <w:left w:val="nil"/>
              <w:bottom w:val="nil"/>
              <w:right w:val="nil"/>
            </w:tcBorders>
            <w:shd w:val="clear" w:color="auto" w:fill="auto"/>
            <w:noWrap/>
            <w:vAlign w:val="center"/>
            <w:hideMark/>
          </w:tcPr>
          <w:p w14:paraId="5ED6B3F6"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(61,4)%</w:t>
            </w:r>
          </w:p>
        </w:tc>
      </w:tr>
      <w:tr w:rsidR="002E5441" w:rsidRPr="00AE4E8D" w14:paraId="7AD4B2D1" w14:textId="77777777" w:rsidTr="000400C8">
        <w:trPr>
          <w:trHeight w:val="264"/>
        </w:trPr>
        <w:tc>
          <w:tcPr>
            <w:tcW w:w="2355" w:type="pct"/>
            <w:tcBorders>
              <w:top w:val="nil"/>
              <w:left w:val="nil"/>
              <w:bottom w:val="nil"/>
              <w:right w:val="nil"/>
            </w:tcBorders>
            <w:shd w:val="clear" w:color="auto" w:fill="auto"/>
            <w:noWrap/>
            <w:vAlign w:val="center"/>
            <w:hideMark/>
          </w:tcPr>
          <w:p w14:paraId="67A533C5"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Daños patrimoniales  </w:t>
            </w:r>
          </w:p>
        </w:tc>
        <w:tc>
          <w:tcPr>
            <w:tcW w:w="859" w:type="pct"/>
            <w:tcBorders>
              <w:top w:val="nil"/>
              <w:left w:val="nil"/>
              <w:bottom w:val="nil"/>
              <w:right w:val="nil"/>
            </w:tcBorders>
            <w:shd w:val="clear" w:color="000000" w:fill="FFFFFF"/>
            <w:noWrap/>
            <w:vAlign w:val="center"/>
            <w:hideMark/>
          </w:tcPr>
          <w:p w14:paraId="47C006A0"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3,9</w:t>
            </w:r>
          </w:p>
        </w:tc>
        <w:tc>
          <w:tcPr>
            <w:tcW w:w="719" w:type="pct"/>
            <w:tcBorders>
              <w:top w:val="nil"/>
              <w:left w:val="nil"/>
              <w:bottom w:val="nil"/>
              <w:right w:val="nil"/>
            </w:tcBorders>
            <w:shd w:val="clear" w:color="000000" w:fill="FFFFFF"/>
            <w:noWrap/>
            <w:vAlign w:val="center"/>
            <w:hideMark/>
          </w:tcPr>
          <w:p w14:paraId="2CCAFDD8"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9,0</w:t>
            </w:r>
          </w:p>
        </w:tc>
        <w:tc>
          <w:tcPr>
            <w:tcW w:w="1067" w:type="pct"/>
            <w:tcBorders>
              <w:top w:val="nil"/>
              <w:left w:val="nil"/>
              <w:bottom w:val="nil"/>
              <w:right w:val="nil"/>
            </w:tcBorders>
            <w:shd w:val="clear" w:color="auto" w:fill="auto"/>
            <w:noWrap/>
            <w:vAlign w:val="center"/>
            <w:hideMark/>
          </w:tcPr>
          <w:p w14:paraId="02791985"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(56,6)%</w:t>
            </w:r>
          </w:p>
        </w:tc>
      </w:tr>
      <w:tr w:rsidR="002E5441" w:rsidRPr="00AE4E8D" w14:paraId="0AD8973A" w14:textId="77777777" w:rsidTr="000400C8">
        <w:trPr>
          <w:trHeight w:val="264"/>
        </w:trPr>
        <w:tc>
          <w:tcPr>
            <w:tcW w:w="2355" w:type="pct"/>
            <w:tcBorders>
              <w:top w:val="nil"/>
              <w:left w:val="nil"/>
              <w:bottom w:val="nil"/>
              <w:right w:val="nil"/>
            </w:tcBorders>
            <w:shd w:val="clear" w:color="auto" w:fill="auto"/>
            <w:noWrap/>
            <w:vAlign w:val="center"/>
            <w:hideMark/>
          </w:tcPr>
          <w:p w14:paraId="4CDD0246"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Desempleo </w:t>
            </w:r>
          </w:p>
        </w:tc>
        <w:tc>
          <w:tcPr>
            <w:tcW w:w="859" w:type="pct"/>
            <w:tcBorders>
              <w:top w:val="nil"/>
              <w:left w:val="nil"/>
              <w:bottom w:val="nil"/>
              <w:right w:val="nil"/>
            </w:tcBorders>
            <w:shd w:val="clear" w:color="000000" w:fill="FFFFFF"/>
            <w:noWrap/>
            <w:vAlign w:val="center"/>
            <w:hideMark/>
          </w:tcPr>
          <w:p w14:paraId="55AD1C0F"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0,0</w:t>
            </w:r>
          </w:p>
        </w:tc>
        <w:tc>
          <w:tcPr>
            <w:tcW w:w="719" w:type="pct"/>
            <w:tcBorders>
              <w:top w:val="nil"/>
              <w:left w:val="nil"/>
              <w:bottom w:val="nil"/>
              <w:right w:val="nil"/>
            </w:tcBorders>
            <w:shd w:val="clear" w:color="000000" w:fill="FFFFFF"/>
            <w:noWrap/>
            <w:vAlign w:val="center"/>
            <w:hideMark/>
          </w:tcPr>
          <w:p w14:paraId="6D1A431D"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0,1</w:t>
            </w:r>
          </w:p>
        </w:tc>
        <w:tc>
          <w:tcPr>
            <w:tcW w:w="1067" w:type="pct"/>
            <w:tcBorders>
              <w:top w:val="nil"/>
              <w:left w:val="nil"/>
              <w:bottom w:val="nil"/>
              <w:right w:val="nil"/>
            </w:tcBorders>
            <w:shd w:val="clear" w:color="auto" w:fill="auto"/>
            <w:noWrap/>
            <w:vAlign w:val="center"/>
            <w:hideMark/>
          </w:tcPr>
          <w:p w14:paraId="238D9D4F"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(73,4)%</w:t>
            </w:r>
          </w:p>
        </w:tc>
      </w:tr>
      <w:tr w:rsidR="002E5441" w:rsidRPr="00AE4E8D" w14:paraId="2F195E9D" w14:textId="77777777" w:rsidTr="000400C8">
        <w:trPr>
          <w:trHeight w:val="264"/>
        </w:trPr>
        <w:tc>
          <w:tcPr>
            <w:tcW w:w="2355" w:type="pct"/>
            <w:tcBorders>
              <w:top w:val="nil"/>
              <w:left w:val="nil"/>
              <w:bottom w:val="nil"/>
              <w:right w:val="nil"/>
            </w:tcBorders>
            <w:shd w:val="clear" w:color="auto" w:fill="auto"/>
            <w:noWrap/>
            <w:vAlign w:val="center"/>
            <w:hideMark/>
          </w:tcPr>
          <w:p w14:paraId="322E3009"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859" w:type="pct"/>
            <w:tcBorders>
              <w:top w:val="nil"/>
              <w:left w:val="nil"/>
              <w:bottom w:val="nil"/>
              <w:right w:val="nil"/>
            </w:tcBorders>
            <w:shd w:val="clear" w:color="000000" w:fill="FFFFFF"/>
            <w:noWrap/>
            <w:vAlign w:val="center"/>
            <w:hideMark/>
          </w:tcPr>
          <w:p w14:paraId="30F5AA4E"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149,0</w:t>
            </w:r>
          </w:p>
        </w:tc>
        <w:tc>
          <w:tcPr>
            <w:tcW w:w="719" w:type="pct"/>
            <w:tcBorders>
              <w:top w:val="nil"/>
              <w:left w:val="nil"/>
              <w:bottom w:val="nil"/>
              <w:right w:val="nil"/>
            </w:tcBorders>
            <w:shd w:val="clear" w:color="000000" w:fill="FFFFFF"/>
            <w:noWrap/>
            <w:vAlign w:val="center"/>
            <w:hideMark/>
          </w:tcPr>
          <w:p w14:paraId="5B932E6D"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114,7</w:t>
            </w:r>
          </w:p>
        </w:tc>
        <w:tc>
          <w:tcPr>
            <w:tcW w:w="1067" w:type="pct"/>
            <w:tcBorders>
              <w:top w:val="nil"/>
              <w:left w:val="nil"/>
              <w:bottom w:val="nil"/>
              <w:right w:val="nil"/>
            </w:tcBorders>
            <w:shd w:val="clear" w:color="auto" w:fill="auto"/>
            <w:noWrap/>
            <w:vAlign w:val="center"/>
            <w:hideMark/>
          </w:tcPr>
          <w:p w14:paraId="3868FF5D"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29,9%</w:t>
            </w:r>
          </w:p>
        </w:tc>
      </w:tr>
      <w:tr w:rsidR="002E5441" w:rsidRPr="00AE4E8D" w14:paraId="1244F969" w14:textId="77777777" w:rsidTr="000400C8">
        <w:trPr>
          <w:trHeight w:val="277"/>
        </w:trPr>
        <w:tc>
          <w:tcPr>
            <w:tcW w:w="2355" w:type="pct"/>
            <w:tcBorders>
              <w:top w:val="nil"/>
              <w:left w:val="nil"/>
              <w:bottom w:val="nil"/>
              <w:right w:val="nil"/>
            </w:tcBorders>
            <w:shd w:val="clear" w:color="auto" w:fill="auto"/>
            <w:noWrap/>
            <w:vAlign w:val="center"/>
            <w:hideMark/>
          </w:tcPr>
          <w:p w14:paraId="7B4F7FFA"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Subsidiarias  </w:t>
            </w:r>
          </w:p>
        </w:tc>
        <w:tc>
          <w:tcPr>
            <w:tcW w:w="859" w:type="pct"/>
            <w:tcBorders>
              <w:top w:val="nil"/>
              <w:left w:val="nil"/>
              <w:bottom w:val="nil"/>
              <w:right w:val="nil"/>
            </w:tcBorders>
            <w:shd w:val="clear" w:color="000000" w:fill="FFFFFF"/>
            <w:noWrap/>
            <w:vAlign w:val="center"/>
            <w:hideMark/>
          </w:tcPr>
          <w:p w14:paraId="33ED9CF2"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1.991,5</w:t>
            </w:r>
          </w:p>
        </w:tc>
        <w:tc>
          <w:tcPr>
            <w:tcW w:w="719" w:type="pct"/>
            <w:tcBorders>
              <w:top w:val="nil"/>
              <w:left w:val="nil"/>
              <w:bottom w:val="nil"/>
              <w:right w:val="nil"/>
            </w:tcBorders>
            <w:shd w:val="clear" w:color="000000" w:fill="FFFFFF"/>
            <w:noWrap/>
            <w:vAlign w:val="center"/>
            <w:hideMark/>
          </w:tcPr>
          <w:p w14:paraId="3DAAC4F5"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1.451,6</w:t>
            </w:r>
          </w:p>
        </w:tc>
        <w:tc>
          <w:tcPr>
            <w:tcW w:w="1067" w:type="pct"/>
            <w:tcBorders>
              <w:top w:val="nil"/>
              <w:left w:val="nil"/>
              <w:bottom w:val="nil"/>
              <w:right w:val="nil"/>
            </w:tcBorders>
            <w:shd w:val="clear" w:color="auto" w:fill="auto"/>
            <w:noWrap/>
            <w:vAlign w:val="center"/>
            <w:hideMark/>
          </w:tcPr>
          <w:p w14:paraId="5B52CB10"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37,2%</w:t>
            </w:r>
          </w:p>
        </w:tc>
      </w:tr>
      <w:tr w:rsidR="003B5193" w:rsidRPr="00AE4E8D" w14:paraId="1110780E" w14:textId="77777777" w:rsidTr="002E5441">
        <w:trPr>
          <w:trHeight w:val="277"/>
        </w:trPr>
        <w:tc>
          <w:tcPr>
            <w:tcW w:w="2355" w:type="pct"/>
            <w:tcBorders>
              <w:top w:val="nil"/>
              <w:left w:val="nil"/>
              <w:bottom w:val="nil"/>
              <w:right w:val="nil"/>
            </w:tcBorders>
            <w:shd w:val="clear" w:color="auto" w:fill="auto"/>
            <w:noWrap/>
            <w:vAlign w:val="center"/>
            <w:hideMark/>
          </w:tcPr>
          <w:p w14:paraId="7B20E764" w14:textId="77777777" w:rsidR="002E5441" w:rsidRPr="00AE4E8D" w:rsidRDefault="002E5441" w:rsidP="00E8320E">
            <w:pPr>
              <w:rPr>
                <w:rFonts w:ascii="Times New Roman" w:hAnsi="Times New Roman"/>
                <w:b/>
                <w:bCs/>
                <w:color w:val="000000"/>
                <w:sz w:val="18"/>
                <w:szCs w:val="18"/>
              </w:rPr>
            </w:pPr>
            <w:r w:rsidRPr="00AE4E8D">
              <w:rPr>
                <w:rFonts w:ascii="Times New Roman" w:hAnsi="Times New Roman"/>
                <w:b/>
                <w:bCs/>
                <w:color w:val="000000"/>
                <w:sz w:val="18"/>
                <w:szCs w:val="18"/>
                <w:lang w:val="es-ES"/>
              </w:rPr>
              <w:t>Total primas de seguro percibidas</w:t>
            </w:r>
            <w:r w:rsidRPr="00AE4E8D">
              <w:rPr>
                <w:rFonts w:ascii="Times New Roman" w:hAnsi="Times New Roman"/>
                <w:color w:val="000000"/>
                <w:sz w:val="18"/>
                <w:szCs w:val="18"/>
                <w:lang w:val="es-ES"/>
              </w:rPr>
              <w:t xml:space="preserve">  </w:t>
            </w:r>
          </w:p>
        </w:tc>
        <w:tc>
          <w:tcPr>
            <w:tcW w:w="859" w:type="pct"/>
            <w:tcBorders>
              <w:top w:val="single" w:sz="8" w:space="0" w:color="auto"/>
              <w:left w:val="nil"/>
              <w:bottom w:val="single" w:sz="8" w:space="0" w:color="auto"/>
              <w:right w:val="nil"/>
            </w:tcBorders>
            <w:shd w:val="clear" w:color="000000" w:fill="FFFFFF"/>
            <w:noWrap/>
            <w:vAlign w:val="center"/>
            <w:hideMark/>
          </w:tcPr>
          <w:p w14:paraId="3859D4A6"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2.150,2</w:t>
            </w:r>
          </w:p>
        </w:tc>
        <w:tc>
          <w:tcPr>
            <w:tcW w:w="719" w:type="pct"/>
            <w:tcBorders>
              <w:top w:val="single" w:sz="8" w:space="0" w:color="auto"/>
              <w:left w:val="nil"/>
              <w:bottom w:val="single" w:sz="8" w:space="0" w:color="auto"/>
              <w:right w:val="nil"/>
            </w:tcBorders>
            <w:shd w:val="clear" w:color="000000" w:fill="FFFFFF"/>
            <w:noWrap/>
            <w:vAlign w:val="center"/>
            <w:hideMark/>
          </w:tcPr>
          <w:p w14:paraId="693FBEBE"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1.590,3</w:t>
            </w:r>
          </w:p>
        </w:tc>
        <w:tc>
          <w:tcPr>
            <w:tcW w:w="1067" w:type="pct"/>
            <w:tcBorders>
              <w:top w:val="single" w:sz="8" w:space="0" w:color="auto"/>
              <w:left w:val="nil"/>
              <w:bottom w:val="single" w:sz="8" w:space="0" w:color="auto"/>
              <w:right w:val="nil"/>
            </w:tcBorders>
            <w:shd w:val="clear" w:color="auto" w:fill="auto"/>
            <w:noWrap/>
            <w:vAlign w:val="center"/>
            <w:hideMark/>
          </w:tcPr>
          <w:p w14:paraId="4D856214"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35,2%</w:t>
            </w:r>
          </w:p>
        </w:tc>
      </w:tr>
      <w:tr w:rsidR="002E5441" w:rsidRPr="00AE4E8D" w14:paraId="7FD598D3" w14:textId="77777777" w:rsidTr="000400C8">
        <w:trPr>
          <w:trHeight w:val="264"/>
        </w:trPr>
        <w:tc>
          <w:tcPr>
            <w:tcW w:w="2355" w:type="pct"/>
            <w:tcBorders>
              <w:top w:val="nil"/>
              <w:left w:val="nil"/>
              <w:bottom w:val="nil"/>
              <w:right w:val="nil"/>
            </w:tcBorders>
            <w:shd w:val="clear" w:color="auto" w:fill="auto"/>
            <w:noWrap/>
            <w:vAlign w:val="center"/>
            <w:hideMark/>
          </w:tcPr>
          <w:p w14:paraId="3FDA5BF2" w14:textId="77777777" w:rsidR="002E5441" w:rsidRPr="00AE4E8D" w:rsidRDefault="002E5441" w:rsidP="00E8320E">
            <w:pPr>
              <w:rPr>
                <w:rFonts w:ascii="Times New Roman" w:hAnsi="Times New Roman"/>
                <w:color w:val="000000"/>
                <w:sz w:val="18"/>
                <w:szCs w:val="18"/>
                <w:lang w:val="en-US"/>
              </w:rPr>
            </w:pPr>
          </w:p>
        </w:tc>
        <w:tc>
          <w:tcPr>
            <w:tcW w:w="859" w:type="pct"/>
            <w:tcBorders>
              <w:top w:val="nil"/>
              <w:left w:val="nil"/>
              <w:bottom w:val="nil"/>
              <w:right w:val="nil"/>
            </w:tcBorders>
            <w:shd w:val="clear" w:color="auto" w:fill="auto"/>
            <w:noWrap/>
            <w:vAlign w:val="center"/>
            <w:hideMark/>
          </w:tcPr>
          <w:p w14:paraId="370628DC" w14:textId="77777777" w:rsidR="002E5441" w:rsidRPr="00AE4E8D" w:rsidRDefault="002E5441" w:rsidP="00E8320E">
            <w:pPr>
              <w:rPr>
                <w:rFonts w:ascii="Times New Roman" w:hAnsi="Times New Roman"/>
                <w:color w:val="000000"/>
                <w:sz w:val="18"/>
                <w:szCs w:val="18"/>
                <w:lang w:val="en-US"/>
              </w:rPr>
            </w:pPr>
          </w:p>
        </w:tc>
        <w:tc>
          <w:tcPr>
            <w:tcW w:w="719" w:type="pct"/>
            <w:tcBorders>
              <w:top w:val="nil"/>
              <w:left w:val="nil"/>
              <w:bottom w:val="nil"/>
              <w:right w:val="nil"/>
            </w:tcBorders>
            <w:shd w:val="clear" w:color="auto" w:fill="auto"/>
            <w:noWrap/>
            <w:vAlign w:val="center"/>
            <w:hideMark/>
          </w:tcPr>
          <w:p w14:paraId="025A4084" w14:textId="77777777" w:rsidR="002E5441" w:rsidRPr="00AE4E8D" w:rsidRDefault="002E5441" w:rsidP="00E8320E">
            <w:pPr>
              <w:rPr>
                <w:rFonts w:ascii="Times New Roman" w:hAnsi="Times New Roman"/>
                <w:color w:val="000000"/>
                <w:sz w:val="18"/>
                <w:szCs w:val="18"/>
                <w:lang w:val="en-US"/>
              </w:rPr>
            </w:pPr>
          </w:p>
        </w:tc>
        <w:tc>
          <w:tcPr>
            <w:tcW w:w="1067" w:type="pct"/>
            <w:tcBorders>
              <w:top w:val="nil"/>
              <w:left w:val="nil"/>
              <w:bottom w:val="nil"/>
              <w:right w:val="nil"/>
            </w:tcBorders>
            <w:shd w:val="clear" w:color="auto" w:fill="auto"/>
            <w:noWrap/>
            <w:vAlign w:val="center"/>
            <w:hideMark/>
          </w:tcPr>
          <w:p w14:paraId="5B69AB18" w14:textId="77777777" w:rsidR="002E5441" w:rsidRPr="00AE4E8D" w:rsidRDefault="002E5441" w:rsidP="00E8320E">
            <w:pPr>
              <w:rPr>
                <w:rFonts w:ascii="Times New Roman" w:hAnsi="Times New Roman"/>
                <w:color w:val="000000"/>
                <w:sz w:val="18"/>
                <w:szCs w:val="18"/>
                <w:lang w:val="en-US"/>
              </w:rPr>
            </w:pPr>
          </w:p>
        </w:tc>
      </w:tr>
      <w:tr w:rsidR="002E5441" w:rsidRPr="00AE4E8D" w14:paraId="3364FB01" w14:textId="77777777" w:rsidTr="000400C8">
        <w:trPr>
          <w:trHeight w:val="264"/>
        </w:trPr>
        <w:tc>
          <w:tcPr>
            <w:tcW w:w="2355" w:type="pct"/>
            <w:tcBorders>
              <w:top w:val="nil"/>
              <w:left w:val="nil"/>
              <w:bottom w:val="nil"/>
              <w:right w:val="nil"/>
            </w:tcBorders>
            <w:shd w:val="clear" w:color="auto" w:fill="auto"/>
            <w:noWrap/>
            <w:vAlign w:val="center"/>
            <w:hideMark/>
          </w:tcPr>
          <w:p w14:paraId="4054D714" w14:textId="77777777" w:rsidR="002E5441" w:rsidRPr="00AE4E8D" w:rsidRDefault="002E5441" w:rsidP="00E8320E">
            <w:pPr>
              <w:rPr>
                <w:rFonts w:ascii="Times New Roman" w:hAnsi="Times New Roman"/>
                <w:b/>
                <w:bCs/>
                <w:i/>
                <w:iCs/>
                <w:color w:val="000000"/>
                <w:sz w:val="18"/>
                <w:szCs w:val="18"/>
                <w:lang w:val="en-US"/>
              </w:rPr>
            </w:pPr>
            <w:r w:rsidRPr="00AE4E8D">
              <w:rPr>
                <w:rFonts w:ascii="Times New Roman" w:hAnsi="Times New Roman"/>
                <w:b/>
                <w:bCs/>
                <w:i/>
                <w:iCs/>
                <w:color w:val="000000"/>
                <w:sz w:val="18"/>
                <w:szCs w:val="18"/>
                <w:lang w:val="es-ES"/>
              </w:rPr>
              <w:t>Siniestros</w:t>
            </w:r>
          </w:p>
        </w:tc>
        <w:tc>
          <w:tcPr>
            <w:tcW w:w="859" w:type="pct"/>
            <w:tcBorders>
              <w:top w:val="nil"/>
              <w:left w:val="nil"/>
              <w:bottom w:val="nil"/>
              <w:right w:val="nil"/>
            </w:tcBorders>
            <w:shd w:val="clear" w:color="auto" w:fill="auto"/>
            <w:noWrap/>
            <w:vAlign w:val="center"/>
            <w:hideMark/>
          </w:tcPr>
          <w:p w14:paraId="11CC00FF" w14:textId="77777777" w:rsidR="002E5441" w:rsidRPr="00AE4E8D" w:rsidRDefault="002E5441" w:rsidP="00E8320E">
            <w:pPr>
              <w:rPr>
                <w:rFonts w:ascii="Times New Roman" w:hAnsi="Times New Roman"/>
                <w:color w:val="000000"/>
                <w:sz w:val="18"/>
                <w:szCs w:val="18"/>
                <w:lang w:val="en-US"/>
              </w:rPr>
            </w:pPr>
          </w:p>
        </w:tc>
        <w:tc>
          <w:tcPr>
            <w:tcW w:w="719" w:type="pct"/>
            <w:tcBorders>
              <w:top w:val="nil"/>
              <w:left w:val="nil"/>
              <w:bottom w:val="nil"/>
              <w:right w:val="nil"/>
            </w:tcBorders>
            <w:shd w:val="clear" w:color="auto" w:fill="auto"/>
            <w:noWrap/>
            <w:vAlign w:val="center"/>
            <w:hideMark/>
          </w:tcPr>
          <w:p w14:paraId="5A4EEB3C" w14:textId="77777777" w:rsidR="002E5441" w:rsidRPr="00AE4E8D" w:rsidRDefault="002E5441" w:rsidP="00E8320E">
            <w:pPr>
              <w:rPr>
                <w:rFonts w:ascii="Times New Roman" w:hAnsi="Times New Roman"/>
                <w:color w:val="000000"/>
                <w:sz w:val="18"/>
                <w:szCs w:val="18"/>
                <w:lang w:val="en-US"/>
              </w:rPr>
            </w:pPr>
          </w:p>
        </w:tc>
        <w:tc>
          <w:tcPr>
            <w:tcW w:w="1067" w:type="pct"/>
            <w:tcBorders>
              <w:top w:val="nil"/>
              <w:left w:val="nil"/>
              <w:bottom w:val="nil"/>
              <w:right w:val="nil"/>
            </w:tcBorders>
            <w:shd w:val="clear" w:color="auto" w:fill="auto"/>
            <w:noWrap/>
            <w:vAlign w:val="center"/>
            <w:hideMark/>
          </w:tcPr>
          <w:p w14:paraId="20A34A45" w14:textId="77777777" w:rsidR="002E5441" w:rsidRPr="00AE4E8D" w:rsidRDefault="002E5441" w:rsidP="00E8320E">
            <w:pPr>
              <w:rPr>
                <w:rFonts w:ascii="Times New Roman" w:hAnsi="Times New Roman"/>
                <w:color w:val="000000"/>
                <w:sz w:val="18"/>
                <w:szCs w:val="18"/>
                <w:lang w:val="en-US"/>
              </w:rPr>
            </w:pPr>
          </w:p>
        </w:tc>
      </w:tr>
      <w:tr w:rsidR="002E5441" w:rsidRPr="00AE4E8D" w14:paraId="361376A2" w14:textId="77777777" w:rsidTr="000400C8">
        <w:trPr>
          <w:trHeight w:val="264"/>
        </w:trPr>
        <w:tc>
          <w:tcPr>
            <w:tcW w:w="2355" w:type="pct"/>
            <w:tcBorders>
              <w:top w:val="nil"/>
              <w:left w:val="nil"/>
              <w:bottom w:val="nil"/>
              <w:right w:val="nil"/>
            </w:tcBorders>
            <w:shd w:val="clear" w:color="auto" w:fill="auto"/>
            <w:noWrap/>
            <w:vAlign w:val="center"/>
            <w:hideMark/>
          </w:tcPr>
          <w:p w14:paraId="43FE2935"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Vida  </w:t>
            </w:r>
          </w:p>
        </w:tc>
        <w:tc>
          <w:tcPr>
            <w:tcW w:w="859" w:type="pct"/>
            <w:tcBorders>
              <w:top w:val="nil"/>
              <w:left w:val="nil"/>
              <w:bottom w:val="nil"/>
              <w:right w:val="nil"/>
            </w:tcBorders>
            <w:shd w:val="clear" w:color="000000" w:fill="FFFFFF"/>
            <w:noWrap/>
            <w:vAlign w:val="center"/>
            <w:hideMark/>
          </w:tcPr>
          <w:p w14:paraId="087FB9EA"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2,7</w:t>
            </w:r>
          </w:p>
        </w:tc>
        <w:tc>
          <w:tcPr>
            <w:tcW w:w="719" w:type="pct"/>
            <w:tcBorders>
              <w:top w:val="nil"/>
              <w:left w:val="nil"/>
              <w:bottom w:val="nil"/>
              <w:right w:val="nil"/>
            </w:tcBorders>
            <w:shd w:val="clear" w:color="000000" w:fill="FFFFFF"/>
            <w:noWrap/>
            <w:vAlign w:val="center"/>
            <w:hideMark/>
          </w:tcPr>
          <w:p w14:paraId="270BE973"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3,9</w:t>
            </w:r>
          </w:p>
        </w:tc>
        <w:tc>
          <w:tcPr>
            <w:tcW w:w="1067" w:type="pct"/>
            <w:tcBorders>
              <w:top w:val="nil"/>
              <w:left w:val="nil"/>
              <w:bottom w:val="nil"/>
              <w:right w:val="nil"/>
            </w:tcBorders>
            <w:shd w:val="clear" w:color="auto" w:fill="auto"/>
            <w:noWrap/>
            <w:vAlign w:val="center"/>
            <w:hideMark/>
          </w:tcPr>
          <w:p w14:paraId="0F07B766"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(30,9)%</w:t>
            </w:r>
          </w:p>
        </w:tc>
      </w:tr>
      <w:tr w:rsidR="002E5441" w:rsidRPr="00AE4E8D" w14:paraId="1ACE5B09" w14:textId="77777777" w:rsidTr="000400C8">
        <w:trPr>
          <w:trHeight w:val="264"/>
        </w:trPr>
        <w:tc>
          <w:tcPr>
            <w:tcW w:w="2355" w:type="pct"/>
            <w:tcBorders>
              <w:top w:val="nil"/>
              <w:left w:val="nil"/>
              <w:bottom w:val="nil"/>
              <w:right w:val="nil"/>
            </w:tcBorders>
            <w:shd w:val="clear" w:color="auto" w:fill="auto"/>
            <w:noWrap/>
            <w:vAlign w:val="center"/>
            <w:hideMark/>
          </w:tcPr>
          <w:p w14:paraId="23BAEFA2"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Daños patrimoniales  </w:t>
            </w:r>
          </w:p>
        </w:tc>
        <w:tc>
          <w:tcPr>
            <w:tcW w:w="859" w:type="pct"/>
            <w:tcBorders>
              <w:top w:val="nil"/>
              <w:left w:val="nil"/>
              <w:bottom w:val="nil"/>
              <w:right w:val="nil"/>
            </w:tcBorders>
            <w:shd w:val="clear" w:color="000000" w:fill="FFFFFF"/>
            <w:noWrap/>
            <w:vAlign w:val="center"/>
            <w:hideMark/>
          </w:tcPr>
          <w:p w14:paraId="5587D7F7"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0,3</w:t>
            </w:r>
          </w:p>
        </w:tc>
        <w:tc>
          <w:tcPr>
            <w:tcW w:w="719" w:type="pct"/>
            <w:tcBorders>
              <w:top w:val="nil"/>
              <w:left w:val="nil"/>
              <w:bottom w:val="nil"/>
              <w:right w:val="nil"/>
            </w:tcBorders>
            <w:shd w:val="clear" w:color="000000" w:fill="FFFFFF"/>
            <w:noWrap/>
            <w:vAlign w:val="center"/>
            <w:hideMark/>
          </w:tcPr>
          <w:p w14:paraId="57750ED2"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0,1</w:t>
            </w:r>
          </w:p>
        </w:tc>
        <w:tc>
          <w:tcPr>
            <w:tcW w:w="1067" w:type="pct"/>
            <w:tcBorders>
              <w:top w:val="nil"/>
              <w:left w:val="nil"/>
              <w:bottom w:val="nil"/>
              <w:right w:val="nil"/>
            </w:tcBorders>
            <w:shd w:val="clear" w:color="auto" w:fill="auto"/>
            <w:noWrap/>
            <w:vAlign w:val="center"/>
            <w:hideMark/>
          </w:tcPr>
          <w:p w14:paraId="40C6844D"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130,3%</w:t>
            </w:r>
          </w:p>
        </w:tc>
      </w:tr>
      <w:tr w:rsidR="002E5441" w:rsidRPr="00AE4E8D" w14:paraId="5F6D3D8B" w14:textId="77777777" w:rsidTr="000400C8">
        <w:trPr>
          <w:trHeight w:val="264"/>
        </w:trPr>
        <w:tc>
          <w:tcPr>
            <w:tcW w:w="2355" w:type="pct"/>
            <w:tcBorders>
              <w:top w:val="nil"/>
              <w:left w:val="nil"/>
              <w:bottom w:val="nil"/>
              <w:right w:val="nil"/>
            </w:tcBorders>
            <w:shd w:val="clear" w:color="auto" w:fill="auto"/>
            <w:noWrap/>
            <w:vAlign w:val="center"/>
            <w:hideMark/>
          </w:tcPr>
          <w:p w14:paraId="798732AC"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859" w:type="pct"/>
            <w:tcBorders>
              <w:top w:val="nil"/>
              <w:left w:val="nil"/>
              <w:bottom w:val="nil"/>
              <w:right w:val="nil"/>
            </w:tcBorders>
            <w:shd w:val="clear" w:color="000000" w:fill="FFFFFF"/>
            <w:noWrap/>
            <w:vAlign w:val="center"/>
            <w:hideMark/>
          </w:tcPr>
          <w:p w14:paraId="52AFD87C"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0,9</w:t>
            </w:r>
          </w:p>
        </w:tc>
        <w:tc>
          <w:tcPr>
            <w:tcW w:w="719" w:type="pct"/>
            <w:tcBorders>
              <w:top w:val="nil"/>
              <w:left w:val="nil"/>
              <w:bottom w:val="nil"/>
              <w:right w:val="nil"/>
            </w:tcBorders>
            <w:shd w:val="clear" w:color="000000" w:fill="FFFFFF"/>
            <w:noWrap/>
            <w:vAlign w:val="center"/>
            <w:hideMark/>
          </w:tcPr>
          <w:p w14:paraId="3F10EB62"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0,6</w:t>
            </w:r>
          </w:p>
        </w:tc>
        <w:tc>
          <w:tcPr>
            <w:tcW w:w="1067" w:type="pct"/>
            <w:tcBorders>
              <w:top w:val="nil"/>
              <w:left w:val="nil"/>
              <w:bottom w:val="nil"/>
              <w:right w:val="nil"/>
            </w:tcBorders>
            <w:shd w:val="clear" w:color="auto" w:fill="auto"/>
            <w:noWrap/>
            <w:vAlign w:val="center"/>
            <w:hideMark/>
          </w:tcPr>
          <w:p w14:paraId="0722DC62"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55,7%</w:t>
            </w:r>
          </w:p>
        </w:tc>
      </w:tr>
      <w:tr w:rsidR="002E5441" w:rsidRPr="00AE4E8D" w14:paraId="10061C4F" w14:textId="77777777" w:rsidTr="000400C8">
        <w:trPr>
          <w:trHeight w:val="277"/>
        </w:trPr>
        <w:tc>
          <w:tcPr>
            <w:tcW w:w="2355" w:type="pct"/>
            <w:tcBorders>
              <w:top w:val="nil"/>
              <w:left w:val="nil"/>
              <w:bottom w:val="nil"/>
              <w:right w:val="nil"/>
            </w:tcBorders>
            <w:shd w:val="clear" w:color="auto" w:fill="auto"/>
            <w:noWrap/>
            <w:vAlign w:val="center"/>
            <w:hideMark/>
          </w:tcPr>
          <w:p w14:paraId="7CDEE232"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Subsidiarias  </w:t>
            </w:r>
          </w:p>
        </w:tc>
        <w:tc>
          <w:tcPr>
            <w:tcW w:w="859" w:type="pct"/>
            <w:tcBorders>
              <w:top w:val="nil"/>
              <w:left w:val="nil"/>
              <w:bottom w:val="nil"/>
              <w:right w:val="nil"/>
            </w:tcBorders>
            <w:shd w:val="clear" w:color="000000" w:fill="FFFFFF"/>
            <w:noWrap/>
            <w:vAlign w:val="center"/>
            <w:hideMark/>
          </w:tcPr>
          <w:p w14:paraId="0D989D2A"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373,0</w:t>
            </w:r>
          </w:p>
        </w:tc>
        <w:tc>
          <w:tcPr>
            <w:tcW w:w="719" w:type="pct"/>
            <w:tcBorders>
              <w:top w:val="nil"/>
              <w:left w:val="nil"/>
              <w:bottom w:val="nil"/>
              <w:right w:val="nil"/>
            </w:tcBorders>
            <w:shd w:val="clear" w:color="000000" w:fill="FFFFFF"/>
            <w:noWrap/>
            <w:vAlign w:val="center"/>
            <w:hideMark/>
          </w:tcPr>
          <w:p w14:paraId="32D2179F"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226,7</w:t>
            </w:r>
          </w:p>
        </w:tc>
        <w:tc>
          <w:tcPr>
            <w:tcW w:w="1067" w:type="pct"/>
            <w:tcBorders>
              <w:top w:val="nil"/>
              <w:left w:val="nil"/>
              <w:bottom w:val="nil"/>
              <w:right w:val="nil"/>
            </w:tcBorders>
            <w:shd w:val="clear" w:color="auto" w:fill="auto"/>
            <w:noWrap/>
            <w:vAlign w:val="center"/>
            <w:hideMark/>
          </w:tcPr>
          <w:p w14:paraId="40E0ED8D"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64,5%</w:t>
            </w:r>
          </w:p>
        </w:tc>
      </w:tr>
      <w:tr w:rsidR="003B5193" w:rsidRPr="00AE4E8D" w14:paraId="78890786" w14:textId="77777777" w:rsidTr="002E5441">
        <w:trPr>
          <w:trHeight w:val="277"/>
        </w:trPr>
        <w:tc>
          <w:tcPr>
            <w:tcW w:w="2355" w:type="pct"/>
            <w:tcBorders>
              <w:top w:val="nil"/>
              <w:left w:val="nil"/>
              <w:bottom w:val="nil"/>
              <w:right w:val="nil"/>
            </w:tcBorders>
            <w:shd w:val="clear" w:color="auto" w:fill="auto"/>
            <w:noWrap/>
            <w:vAlign w:val="center"/>
            <w:hideMark/>
          </w:tcPr>
          <w:p w14:paraId="5578AD42" w14:textId="77777777" w:rsidR="002E5441" w:rsidRPr="00AE4E8D" w:rsidRDefault="002E5441" w:rsidP="00E8320E">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 xml:space="preserve">Total siniestros </w:t>
            </w:r>
            <w:r w:rsidRPr="00AE4E8D">
              <w:rPr>
                <w:rFonts w:ascii="Times New Roman" w:hAnsi="Times New Roman"/>
                <w:color w:val="000000"/>
                <w:sz w:val="18"/>
                <w:szCs w:val="18"/>
                <w:lang w:val="es-ES"/>
              </w:rPr>
              <w:t xml:space="preserve"> </w:t>
            </w:r>
          </w:p>
        </w:tc>
        <w:tc>
          <w:tcPr>
            <w:tcW w:w="859" w:type="pct"/>
            <w:tcBorders>
              <w:top w:val="single" w:sz="8" w:space="0" w:color="auto"/>
              <w:left w:val="nil"/>
              <w:bottom w:val="single" w:sz="8" w:space="0" w:color="auto"/>
              <w:right w:val="nil"/>
            </w:tcBorders>
            <w:shd w:val="clear" w:color="000000" w:fill="FFFFFF"/>
            <w:noWrap/>
            <w:vAlign w:val="center"/>
            <w:hideMark/>
          </w:tcPr>
          <w:p w14:paraId="119B9D6A"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376,8</w:t>
            </w:r>
          </w:p>
        </w:tc>
        <w:tc>
          <w:tcPr>
            <w:tcW w:w="719" w:type="pct"/>
            <w:tcBorders>
              <w:top w:val="single" w:sz="8" w:space="0" w:color="auto"/>
              <w:left w:val="nil"/>
              <w:bottom w:val="single" w:sz="8" w:space="0" w:color="auto"/>
              <w:right w:val="nil"/>
            </w:tcBorders>
            <w:shd w:val="clear" w:color="000000" w:fill="FFFFFF"/>
            <w:noWrap/>
            <w:vAlign w:val="center"/>
            <w:hideMark/>
          </w:tcPr>
          <w:p w14:paraId="19F29638"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231,3</w:t>
            </w:r>
          </w:p>
        </w:tc>
        <w:tc>
          <w:tcPr>
            <w:tcW w:w="1067" w:type="pct"/>
            <w:tcBorders>
              <w:top w:val="single" w:sz="8" w:space="0" w:color="auto"/>
              <w:left w:val="nil"/>
              <w:bottom w:val="single" w:sz="8" w:space="0" w:color="auto"/>
              <w:right w:val="nil"/>
            </w:tcBorders>
            <w:shd w:val="clear" w:color="auto" w:fill="auto"/>
            <w:noWrap/>
            <w:vAlign w:val="center"/>
            <w:hideMark/>
          </w:tcPr>
          <w:p w14:paraId="0A79AA5A"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62,9%</w:t>
            </w:r>
          </w:p>
        </w:tc>
      </w:tr>
      <w:tr w:rsidR="003B5193" w:rsidRPr="00AE4E8D" w14:paraId="69094446" w14:textId="77777777" w:rsidTr="002E5441">
        <w:trPr>
          <w:trHeight w:val="277"/>
        </w:trPr>
        <w:tc>
          <w:tcPr>
            <w:tcW w:w="2355" w:type="pct"/>
            <w:tcBorders>
              <w:top w:val="nil"/>
              <w:left w:val="nil"/>
              <w:bottom w:val="nil"/>
              <w:right w:val="nil"/>
            </w:tcBorders>
            <w:shd w:val="clear" w:color="auto" w:fill="auto"/>
            <w:noWrap/>
            <w:vAlign w:val="center"/>
            <w:hideMark/>
          </w:tcPr>
          <w:p w14:paraId="3BF28ECD" w14:textId="77777777" w:rsidR="002E5441" w:rsidRPr="00AE4E8D" w:rsidRDefault="002E5441" w:rsidP="00E8320E">
            <w:pPr>
              <w:rPr>
                <w:rFonts w:ascii="Times New Roman" w:hAnsi="Times New Roman"/>
                <w:b/>
                <w:bCs/>
                <w:color w:val="000000"/>
                <w:sz w:val="18"/>
                <w:szCs w:val="18"/>
              </w:rPr>
            </w:pPr>
            <w:r w:rsidRPr="00AE4E8D">
              <w:rPr>
                <w:rFonts w:ascii="Times New Roman" w:hAnsi="Times New Roman"/>
                <w:b/>
                <w:bCs/>
                <w:color w:val="000000"/>
                <w:sz w:val="18"/>
                <w:szCs w:val="18"/>
                <w:lang w:val="es-ES"/>
              </w:rPr>
              <w:t xml:space="preserve">Total ingresos netos por seguros </w:t>
            </w:r>
            <w:r w:rsidRPr="00AE4E8D">
              <w:rPr>
                <w:rFonts w:ascii="Times New Roman" w:hAnsi="Times New Roman"/>
                <w:color w:val="000000"/>
                <w:sz w:val="18"/>
                <w:szCs w:val="18"/>
                <w:lang w:val="es-ES"/>
              </w:rPr>
              <w:t xml:space="preserve"> </w:t>
            </w:r>
          </w:p>
        </w:tc>
        <w:tc>
          <w:tcPr>
            <w:tcW w:w="859" w:type="pct"/>
            <w:tcBorders>
              <w:top w:val="nil"/>
              <w:left w:val="nil"/>
              <w:bottom w:val="single" w:sz="8" w:space="0" w:color="auto"/>
              <w:right w:val="nil"/>
            </w:tcBorders>
            <w:shd w:val="clear" w:color="000000" w:fill="FFFFFF"/>
            <w:noWrap/>
            <w:vAlign w:val="center"/>
            <w:hideMark/>
          </w:tcPr>
          <w:p w14:paraId="635D1055"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1.773,4</w:t>
            </w:r>
          </w:p>
        </w:tc>
        <w:tc>
          <w:tcPr>
            <w:tcW w:w="719" w:type="pct"/>
            <w:tcBorders>
              <w:top w:val="nil"/>
              <w:left w:val="nil"/>
              <w:bottom w:val="single" w:sz="8" w:space="0" w:color="auto"/>
              <w:right w:val="nil"/>
            </w:tcBorders>
            <w:shd w:val="clear" w:color="000000" w:fill="FFFFFF"/>
            <w:noWrap/>
            <w:vAlign w:val="center"/>
            <w:hideMark/>
          </w:tcPr>
          <w:p w14:paraId="0448801F"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1.359,0</w:t>
            </w:r>
          </w:p>
        </w:tc>
        <w:tc>
          <w:tcPr>
            <w:tcW w:w="1067" w:type="pct"/>
            <w:tcBorders>
              <w:top w:val="nil"/>
              <w:left w:val="nil"/>
              <w:bottom w:val="single" w:sz="8" w:space="0" w:color="auto"/>
              <w:right w:val="nil"/>
            </w:tcBorders>
            <w:shd w:val="clear" w:color="auto" w:fill="auto"/>
            <w:noWrap/>
            <w:vAlign w:val="center"/>
            <w:hideMark/>
          </w:tcPr>
          <w:p w14:paraId="6C67E6AC" w14:textId="77777777" w:rsidR="002E5441" w:rsidRPr="00AE4E8D" w:rsidRDefault="002E5441" w:rsidP="00E8320E">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30,5%</w:t>
            </w:r>
          </w:p>
        </w:tc>
      </w:tr>
    </w:tbl>
    <w:p w14:paraId="238D31EF" w14:textId="77777777" w:rsidR="002E5441" w:rsidRPr="00AE4E8D" w:rsidRDefault="002E5441" w:rsidP="002E5441">
      <w:pPr>
        <w:pStyle w:val="BHTexto"/>
        <w:rPr>
          <w:lang w:eastAsia="es-AR"/>
        </w:rPr>
      </w:pPr>
      <w:r w:rsidRPr="00AE4E8D">
        <w:t>Los ingresos netos por seguros aumentaron un 30,5% de Ps.1.359,0 millones por el ejercicio finalizado el 31 de diciembre de 2015 a Ps.1.773,4 millones por el ejercicio finalizado el 31 de diciembre de 2016, principalmente como consecuencia del aumento de Ps.559,9 millones en las primas de seguro percibidas, siendo que los siniestros totales aumentaron Ps.145,5 millones en el mismo período. El crecimiento de las primas de seguro percibidas durante el ejercicio 2016 se debió principalmente a una mayor actividad de venta por la subsidiaria BHN Sociedad de Inversión (registrada en “Subsidiarias”), explicada por mayores productos de seguro de vida y daños patrimoniales ofrecidos a los clientes del Fideicomiso PROCREAR. El crecimiento en el Fideicomiso PROCREAR se debido a un aumento de los préstamos hipotecarios otorgados (los cuales requieren seguro de vida). Para mayor información véase “Descripción de nuestros negocios— Líneas de Negocios—Actividad Fiduciaria: Programa PROCREAR”.</w:t>
      </w:r>
    </w:p>
    <w:p w14:paraId="7AC16501" w14:textId="77777777" w:rsidR="002E5441" w:rsidRPr="00AE4E8D" w:rsidRDefault="002E5441" w:rsidP="002E5441">
      <w:pPr>
        <w:pStyle w:val="BH4Cursiva"/>
      </w:pPr>
      <w:r w:rsidRPr="00AE4E8D">
        <w:t>Otros Ingresos por Servicios Netos</w:t>
      </w:r>
    </w:p>
    <w:p w14:paraId="684CC6A1" w14:textId="77777777" w:rsidR="002E5441" w:rsidRPr="00AE4E8D" w:rsidRDefault="002E5441" w:rsidP="002E5441">
      <w:pPr>
        <w:pStyle w:val="BHTexto"/>
      </w:pPr>
      <w:r w:rsidRPr="00AE4E8D">
        <w:t>La siguiente tabla detalla las principales líneas de otros ingresos por servicios netos para los ejercicios finalizados al 31 de diciembre de 2016 y 2015:</w:t>
      </w:r>
    </w:p>
    <w:tbl>
      <w:tblPr>
        <w:tblW w:w="5000" w:type="pct"/>
        <w:jc w:val="center"/>
        <w:tblLook w:val="00A0" w:firstRow="1" w:lastRow="0" w:firstColumn="1" w:lastColumn="0" w:noHBand="0" w:noVBand="0"/>
      </w:tblPr>
      <w:tblGrid>
        <w:gridCol w:w="4730"/>
        <w:gridCol w:w="1205"/>
        <w:gridCol w:w="1207"/>
        <w:gridCol w:w="1579"/>
      </w:tblGrid>
      <w:tr w:rsidR="002E5441" w:rsidRPr="00AE4E8D" w14:paraId="4CB5C8C1" w14:textId="77777777" w:rsidTr="000400C8">
        <w:trPr>
          <w:trHeight w:val="255"/>
          <w:tblHeader/>
          <w:jc w:val="center"/>
        </w:trPr>
        <w:tc>
          <w:tcPr>
            <w:tcW w:w="2712" w:type="pct"/>
            <w:noWrap/>
            <w:vAlign w:val="bottom"/>
          </w:tcPr>
          <w:p w14:paraId="646D04A6" w14:textId="77777777" w:rsidR="002E5441" w:rsidRPr="00AE4E8D" w:rsidRDefault="002E5441" w:rsidP="00E8320E">
            <w:pPr>
              <w:rPr>
                <w:rFonts w:ascii="Times New Roman" w:hAnsi="Times New Roman"/>
                <w:color w:val="000000"/>
                <w:sz w:val="18"/>
                <w:szCs w:val="18"/>
                <w:lang w:val="es-ES"/>
              </w:rPr>
            </w:pPr>
          </w:p>
        </w:tc>
        <w:tc>
          <w:tcPr>
            <w:tcW w:w="1383" w:type="pct"/>
            <w:gridSpan w:val="2"/>
            <w:tcBorders>
              <w:top w:val="single" w:sz="8" w:space="0" w:color="auto"/>
              <w:left w:val="nil"/>
              <w:bottom w:val="single" w:sz="8" w:space="0" w:color="auto"/>
              <w:right w:val="nil"/>
            </w:tcBorders>
            <w:noWrap/>
            <w:vAlign w:val="bottom"/>
            <w:hideMark/>
          </w:tcPr>
          <w:p w14:paraId="45583F4D" w14:textId="77777777" w:rsidR="002E5441" w:rsidRPr="00AE4E8D" w:rsidRDefault="002E5441" w:rsidP="00E8320E">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Ejercicio finalizado </w:t>
            </w:r>
          </w:p>
          <w:p w14:paraId="6581557F" w14:textId="77777777" w:rsidR="002E5441" w:rsidRPr="00AE4E8D" w:rsidRDefault="002E5441" w:rsidP="00E8320E">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el 31 de diciembre de</w:t>
            </w:r>
          </w:p>
        </w:tc>
        <w:tc>
          <w:tcPr>
            <w:tcW w:w="906" w:type="pct"/>
            <w:tcBorders>
              <w:top w:val="single" w:sz="8" w:space="0" w:color="auto"/>
              <w:left w:val="nil"/>
              <w:bottom w:val="single" w:sz="8" w:space="0" w:color="auto"/>
              <w:right w:val="nil"/>
            </w:tcBorders>
            <w:noWrap/>
            <w:vAlign w:val="bottom"/>
            <w:hideMark/>
          </w:tcPr>
          <w:p w14:paraId="2DB9D1E3"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2E5441" w:rsidRPr="00AE4E8D" w14:paraId="30ABFB4A" w14:textId="77777777" w:rsidTr="000400C8">
        <w:trPr>
          <w:trHeight w:val="255"/>
          <w:tblHeader/>
          <w:jc w:val="center"/>
        </w:trPr>
        <w:tc>
          <w:tcPr>
            <w:tcW w:w="2712" w:type="pct"/>
            <w:noWrap/>
            <w:vAlign w:val="bottom"/>
          </w:tcPr>
          <w:p w14:paraId="74E38567" w14:textId="77777777" w:rsidR="002E5441" w:rsidRPr="00AE4E8D" w:rsidRDefault="002E5441" w:rsidP="00E8320E">
            <w:pPr>
              <w:rPr>
                <w:rFonts w:ascii="Times New Roman" w:hAnsi="Times New Roman"/>
                <w:color w:val="000000"/>
                <w:sz w:val="18"/>
                <w:szCs w:val="18"/>
                <w:lang w:val="en-US"/>
              </w:rPr>
            </w:pPr>
          </w:p>
        </w:tc>
        <w:tc>
          <w:tcPr>
            <w:tcW w:w="691" w:type="pct"/>
            <w:tcBorders>
              <w:top w:val="nil"/>
              <w:left w:val="nil"/>
              <w:bottom w:val="single" w:sz="8" w:space="0" w:color="auto"/>
              <w:right w:val="nil"/>
            </w:tcBorders>
            <w:noWrap/>
            <w:vAlign w:val="bottom"/>
            <w:hideMark/>
          </w:tcPr>
          <w:p w14:paraId="5781B2D5"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2016</w:t>
            </w:r>
          </w:p>
        </w:tc>
        <w:tc>
          <w:tcPr>
            <w:tcW w:w="691" w:type="pct"/>
            <w:tcBorders>
              <w:top w:val="nil"/>
              <w:left w:val="nil"/>
              <w:bottom w:val="single" w:sz="8" w:space="0" w:color="auto"/>
              <w:right w:val="nil"/>
            </w:tcBorders>
            <w:noWrap/>
            <w:vAlign w:val="bottom"/>
            <w:hideMark/>
          </w:tcPr>
          <w:p w14:paraId="25B67D4E"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906" w:type="pct"/>
            <w:tcBorders>
              <w:top w:val="nil"/>
              <w:left w:val="nil"/>
              <w:bottom w:val="single" w:sz="8" w:space="0" w:color="auto"/>
              <w:right w:val="nil"/>
            </w:tcBorders>
            <w:noWrap/>
            <w:vAlign w:val="bottom"/>
            <w:hideMark/>
          </w:tcPr>
          <w:p w14:paraId="64F1F0B3"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2015/2016</w:t>
            </w:r>
          </w:p>
        </w:tc>
      </w:tr>
      <w:tr w:rsidR="002E5441" w:rsidRPr="00AE4E8D" w14:paraId="3C172E43" w14:textId="77777777" w:rsidTr="000400C8">
        <w:trPr>
          <w:trHeight w:val="240"/>
          <w:tblHeader/>
          <w:jc w:val="center"/>
        </w:trPr>
        <w:tc>
          <w:tcPr>
            <w:tcW w:w="2712" w:type="pct"/>
            <w:noWrap/>
            <w:vAlign w:val="bottom"/>
          </w:tcPr>
          <w:p w14:paraId="50D40DD0" w14:textId="77777777" w:rsidR="002E5441" w:rsidRPr="00AE4E8D" w:rsidRDefault="002E5441" w:rsidP="00E8320E">
            <w:pPr>
              <w:rPr>
                <w:rFonts w:ascii="Times New Roman" w:hAnsi="Times New Roman"/>
                <w:color w:val="000000"/>
                <w:sz w:val="18"/>
                <w:szCs w:val="18"/>
                <w:lang w:val="en-US"/>
              </w:rPr>
            </w:pPr>
          </w:p>
        </w:tc>
        <w:tc>
          <w:tcPr>
            <w:tcW w:w="2288" w:type="pct"/>
            <w:gridSpan w:val="3"/>
            <w:tcBorders>
              <w:top w:val="single" w:sz="8" w:space="0" w:color="auto"/>
              <w:left w:val="nil"/>
              <w:bottom w:val="nil"/>
              <w:right w:val="nil"/>
            </w:tcBorders>
            <w:noWrap/>
            <w:vAlign w:val="bottom"/>
            <w:hideMark/>
          </w:tcPr>
          <w:p w14:paraId="7222CCC9" w14:textId="77777777" w:rsidR="002E5441" w:rsidRPr="00AE4E8D" w:rsidRDefault="002E5441" w:rsidP="00E8320E">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2E5441" w:rsidRPr="00AE4E8D" w14:paraId="6842FC91" w14:textId="77777777" w:rsidTr="000400C8">
        <w:trPr>
          <w:trHeight w:val="240"/>
          <w:jc w:val="center"/>
        </w:trPr>
        <w:tc>
          <w:tcPr>
            <w:tcW w:w="2712" w:type="pct"/>
            <w:noWrap/>
            <w:vAlign w:val="bottom"/>
            <w:hideMark/>
          </w:tcPr>
          <w:p w14:paraId="605681E7" w14:textId="77777777" w:rsidR="002E5441" w:rsidRPr="00AE4E8D" w:rsidRDefault="002E5441" w:rsidP="00E8320E">
            <w:pPr>
              <w:rPr>
                <w:rFonts w:ascii="Times New Roman" w:hAnsi="Times New Roman"/>
                <w:b/>
                <w:bCs/>
                <w:i/>
                <w:iCs/>
                <w:color w:val="000000"/>
                <w:sz w:val="18"/>
                <w:szCs w:val="18"/>
                <w:lang w:val="en-US"/>
              </w:rPr>
            </w:pPr>
            <w:r w:rsidRPr="00AE4E8D">
              <w:rPr>
                <w:rFonts w:ascii="Times New Roman" w:hAnsi="Times New Roman"/>
                <w:b/>
                <w:bCs/>
                <w:i/>
                <w:iCs/>
                <w:color w:val="000000"/>
                <w:sz w:val="18"/>
                <w:szCs w:val="18"/>
                <w:lang w:val="es-ES"/>
              </w:rPr>
              <w:t>Otros ingresos por servicios</w:t>
            </w:r>
          </w:p>
        </w:tc>
        <w:tc>
          <w:tcPr>
            <w:tcW w:w="691" w:type="pct"/>
            <w:noWrap/>
            <w:vAlign w:val="bottom"/>
          </w:tcPr>
          <w:p w14:paraId="71C25248" w14:textId="77777777" w:rsidR="002E5441" w:rsidRPr="00AE4E8D" w:rsidRDefault="002E5441" w:rsidP="00E8320E">
            <w:pPr>
              <w:rPr>
                <w:rFonts w:ascii="Times New Roman" w:hAnsi="Times New Roman"/>
                <w:color w:val="000000"/>
                <w:sz w:val="18"/>
                <w:szCs w:val="18"/>
                <w:lang w:val="en-US"/>
              </w:rPr>
            </w:pPr>
          </w:p>
        </w:tc>
        <w:tc>
          <w:tcPr>
            <w:tcW w:w="691" w:type="pct"/>
            <w:noWrap/>
            <w:vAlign w:val="bottom"/>
          </w:tcPr>
          <w:p w14:paraId="46DB8C6B" w14:textId="77777777" w:rsidR="002E5441" w:rsidRPr="00AE4E8D" w:rsidRDefault="002E5441" w:rsidP="00E8320E">
            <w:pPr>
              <w:rPr>
                <w:rFonts w:ascii="Times New Roman" w:hAnsi="Times New Roman"/>
                <w:color w:val="000000"/>
                <w:sz w:val="18"/>
                <w:szCs w:val="18"/>
                <w:lang w:val="en-US"/>
              </w:rPr>
            </w:pPr>
          </w:p>
        </w:tc>
        <w:tc>
          <w:tcPr>
            <w:tcW w:w="906" w:type="pct"/>
            <w:noWrap/>
            <w:vAlign w:val="bottom"/>
          </w:tcPr>
          <w:p w14:paraId="6FA6ACE0" w14:textId="77777777" w:rsidR="002E5441" w:rsidRPr="00AE4E8D" w:rsidRDefault="002E5441" w:rsidP="00E8320E">
            <w:pPr>
              <w:rPr>
                <w:rFonts w:ascii="Times New Roman" w:hAnsi="Times New Roman"/>
                <w:color w:val="000000"/>
                <w:sz w:val="18"/>
                <w:szCs w:val="18"/>
                <w:lang w:val="en-US"/>
              </w:rPr>
            </w:pPr>
          </w:p>
        </w:tc>
      </w:tr>
      <w:tr w:rsidR="002E5441" w:rsidRPr="00AE4E8D" w14:paraId="19E296FD" w14:textId="77777777" w:rsidTr="000400C8">
        <w:trPr>
          <w:trHeight w:val="240"/>
          <w:jc w:val="center"/>
        </w:trPr>
        <w:tc>
          <w:tcPr>
            <w:tcW w:w="2712" w:type="pct"/>
            <w:noWrap/>
            <w:vAlign w:val="bottom"/>
            <w:hideMark/>
          </w:tcPr>
          <w:p w14:paraId="6CE035CB"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Comisiones por préstamos de terceros  </w:t>
            </w:r>
          </w:p>
        </w:tc>
        <w:tc>
          <w:tcPr>
            <w:tcW w:w="691" w:type="pct"/>
            <w:shd w:val="clear" w:color="auto" w:fill="FFFFFF"/>
            <w:noWrap/>
            <w:vAlign w:val="bottom"/>
            <w:hideMark/>
          </w:tcPr>
          <w:p w14:paraId="707C94E5"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116,8</w:t>
            </w:r>
          </w:p>
        </w:tc>
        <w:tc>
          <w:tcPr>
            <w:tcW w:w="691" w:type="pct"/>
            <w:shd w:val="clear" w:color="auto" w:fill="FFFFFF"/>
            <w:noWrap/>
            <w:vAlign w:val="bottom"/>
            <w:hideMark/>
          </w:tcPr>
          <w:p w14:paraId="7669019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79</w:t>
            </w:r>
            <w:r w:rsidRPr="00AE4E8D">
              <w:rPr>
                <w:rFonts w:ascii="Times New Roman" w:hAnsi="Times New Roman"/>
                <w:color w:val="000000"/>
                <w:sz w:val="18"/>
                <w:lang w:val="es-ES"/>
              </w:rPr>
              <w:t>,1</w:t>
            </w:r>
          </w:p>
        </w:tc>
        <w:tc>
          <w:tcPr>
            <w:tcW w:w="906" w:type="pct"/>
            <w:noWrap/>
            <w:vAlign w:val="bottom"/>
            <w:hideMark/>
          </w:tcPr>
          <w:p w14:paraId="356FB795"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47,6</w:t>
            </w:r>
            <w:r w:rsidRPr="00AE4E8D">
              <w:rPr>
                <w:rFonts w:ascii="Times New Roman" w:hAnsi="Times New Roman"/>
                <w:color w:val="000000"/>
                <w:sz w:val="18"/>
                <w:lang w:val="es-ES"/>
              </w:rPr>
              <w:t>%</w:t>
            </w:r>
          </w:p>
        </w:tc>
      </w:tr>
      <w:tr w:rsidR="002E5441" w:rsidRPr="00AE4E8D" w14:paraId="38F9C90E" w14:textId="77777777" w:rsidTr="000400C8">
        <w:trPr>
          <w:trHeight w:val="240"/>
          <w:jc w:val="center"/>
        </w:trPr>
        <w:tc>
          <w:tcPr>
            <w:tcW w:w="2712" w:type="pct"/>
            <w:noWrap/>
            <w:vAlign w:val="bottom"/>
            <w:hideMark/>
          </w:tcPr>
          <w:p w14:paraId="24C722CE"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Comisiones por productos pasivos  </w:t>
            </w:r>
          </w:p>
        </w:tc>
        <w:tc>
          <w:tcPr>
            <w:tcW w:w="691" w:type="pct"/>
            <w:shd w:val="clear" w:color="auto" w:fill="FFFFFF"/>
            <w:noWrap/>
            <w:vAlign w:val="bottom"/>
            <w:hideMark/>
          </w:tcPr>
          <w:p w14:paraId="068F09D6"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135,1</w:t>
            </w:r>
          </w:p>
        </w:tc>
        <w:tc>
          <w:tcPr>
            <w:tcW w:w="691" w:type="pct"/>
            <w:shd w:val="clear" w:color="auto" w:fill="FFFFFF"/>
            <w:noWrap/>
            <w:vAlign w:val="bottom"/>
            <w:hideMark/>
          </w:tcPr>
          <w:p w14:paraId="387917C8"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177,0</w:t>
            </w:r>
          </w:p>
        </w:tc>
        <w:tc>
          <w:tcPr>
            <w:tcW w:w="906" w:type="pct"/>
            <w:noWrap/>
            <w:vAlign w:val="bottom"/>
            <w:hideMark/>
          </w:tcPr>
          <w:p w14:paraId="1892209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23,7</w:t>
            </w:r>
            <w:r w:rsidRPr="00AE4E8D">
              <w:rPr>
                <w:rFonts w:ascii="Times New Roman" w:hAnsi="Times New Roman"/>
                <w:color w:val="000000"/>
                <w:sz w:val="18"/>
                <w:lang w:val="es-ES"/>
              </w:rPr>
              <w:t>)%</w:t>
            </w:r>
          </w:p>
        </w:tc>
      </w:tr>
      <w:tr w:rsidR="002E5441" w:rsidRPr="00AE4E8D" w14:paraId="7C1A8F14" w14:textId="77777777" w:rsidTr="000400C8">
        <w:trPr>
          <w:trHeight w:val="240"/>
          <w:jc w:val="center"/>
        </w:trPr>
        <w:tc>
          <w:tcPr>
            <w:tcW w:w="2712" w:type="pct"/>
            <w:noWrap/>
            <w:vAlign w:val="bottom"/>
            <w:hideMark/>
          </w:tcPr>
          <w:p w14:paraId="61A2E365"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Comisiones por tarjeta de crédito  </w:t>
            </w:r>
          </w:p>
        </w:tc>
        <w:tc>
          <w:tcPr>
            <w:tcW w:w="691" w:type="pct"/>
            <w:shd w:val="clear" w:color="auto" w:fill="FFFFFF"/>
            <w:noWrap/>
            <w:vAlign w:val="bottom"/>
            <w:hideMark/>
          </w:tcPr>
          <w:p w14:paraId="40FA7434"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2.107,2</w:t>
            </w:r>
          </w:p>
        </w:tc>
        <w:tc>
          <w:tcPr>
            <w:tcW w:w="691" w:type="pct"/>
            <w:shd w:val="clear" w:color="auto" w:fill="FFFFFF"/>
            <w:noWrap/>
            <w:vAlign w:val="bottom"/>
            <w:hideMark/>
          </w:tcPr>
          <w:p w14:paraId="6348D8EA"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1.305,6</w:t>
            </w:r>
          </w:p>
        </w:tc>
        <w:tc>
          <w:tcPr>
            <w:tcW w:w="906" w:type="pct"/>
            <w:noWrap/>
            <w:vAlign w:val="bottom"/>
            <w:hideMark/>
          </w:tcPr>
          <w:p w14:paraId="7CB663AB"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61,4</w:t>
            </w:r>
            <w:r w:rsidRPr="00AE4E8D">
              <w:rPr>
                <w:rFonts w:ascii="Times New Roman" w:hAnsi="Times New Roman"/>
                <w:color w:val="000000"/>
                <w:sz w:val="18"/>
                <w:lang w:val="es-ES"/>
              </w:rPr>
              <w:t>%</w:t>
            </w:r>
          </w:p>
        </w:tc>
      </w:tr>
      <w:tr w:rsidR="002E5441" w:rsidRPr="00AE4E8D" w14:paraId="248168B6" w14:textId="77777777" w:rsidTr="000400C8">
        <w:trPr>
          <w:trHeight w:val="255"/>
          <w:jc w:val="center"/>
        </w:trPr>
        <w:tc>
          <w:tcPr>
            <w:tcW w:w="2712" w:type="pct"/>
            <w:noWrap/>
            <w:vAlign w:val="bottom"/>
            <w:hideMark/>
          </w:tcPr>
          <w:p w14:paraId="21EFEB21"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Otras comisiones  </w:t>
            </w:r>
          </w:p>
        </w:tc>
        <w:tc>
          <w:tcPr>
            <w:tcW w:w="691" w:type="pct"/>
            <w:shd w:val="clear" w:color="auto" w:fill="FFFFFF"/>
            <w:noWrap/>
            <w:vAlign w:val="bottom"/>
            <w:hideMark/>
          </w:tcPr>
          <w:p w14:paraId="0C1C0405"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630,6</w:t>
            </w:r>
          </w:p>
        </w:tc>
        <w:tc>
          <w:tcPr>
            <w:tcW w:w="691" w:type="pct"/>
            <w:shd w:val="clear" w:color="auto" w:fill="FFFFFF"/>
            <w:noWrap/>
            <w:vAlign w:val="bottom"/>
            <w:hideMark/>
          </w:tcPr>
          <w:p w14:paraId="29D2DBA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782,4</w:t>
            </w:r>
          </w:p>
        </w:tc>
        <w:tc>
          <w:tcPr>
            <w:tcW w:w="906" w:type="pct"/>
            <w:noWrap/>
            <w:vAlign w:val="bottom"/>
            <w:hideMark/>
          </w:tcPr>
          <w:p w14:paraId="19426DF7"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19,4</w:t>
            </w:r>
            <w:r w:rsidRPr="00AE4E8D">
              <w:rPr>
                <w:rFonts w:ascii="Times New Roman" w:hAnsi="Times New Roman"/>
                <w:color w:val="000000"/>
                <w:sz w:val="18"/>
                <w:lang w:val="es-ES"/>
              </w:rPr>
              <w:t>)%</w:t>
            </w:r>
          </w:p>
        </w:tc>
      </w:tr>
      <w:tr w:rsidR="002E5441" w:rsidRPr="00AE4E8D" w14:paraId="139F987B" w14:textId="77777777" w:rsidTr="000400C8">
        <w:trPr>
          <w:trHeight w:val="255"/>
          <w:jc w:val="center"/>
        </w:trPr>
        <w:tc>
          <w:tcPr>
            <w:tcW w:w="2712" w:type="pct"/>
            <w:noWrap/>
            <w:vAlign w:val="bottom"/>
            <w:hideMark/>
          </w:tcPr>
          <w:p w14:paraId="139AC8A4" w14:textId="77777777" w:rsidR="002E5441" w:rsidRPr="00AE4E8D" w:rsidRDefault="002E5441" w:rsidP="00E8320E">
            <w:pPr>
              <w:rPr>
                <w:rFonts w:ascii="Times New Roman" w:hAnsi="Times New Roman"/>
                <w:b/>
                <w:bCs/>
                <w:color w:val="000000"/>
                <w:sz w:val="18"/>
                <w:szCs w:val="18"/>
              </w:rPr>
            </w:pPr>
            <w:r w:rsidRPr="00AE4E8D">
              <w:rPr>
                <w:rFonts w:ascii="Times New Roman" w:hAnsi="Times New Roman"/>
                <w:b/>
                <w:bCs/>
                <w:color w:val="000000"/>
                <w:sz w:val="18"/>
                <w:szCs w:val="18"/>
                <w:lang w:val="es-ES"/>
              </w:rPr>
              <w:t xml:space="preserve">Total otros ingresos por servicios </w:t>
            </w:r>
            <w:r w:rsidRPr="00AE4E8D">
              <w:rPr>
                <w:rFonts w:ascii="Times New Roman" w:hAnsi="Times New Roman"/>
                <w:color w:val="000000"/>
                <w:sz w:val="18"/>
                <w:szCs w:val="18"/>
                <w:lang w:val="es-ES"/>
              </w:rPr>
              <w:t xml:space="preserve"> </w:t>
            </w:r>
          </w:p>
        </w:tc>
        <w:tc>
          <w:tcPr>
            <w:tcW w:w="691" w:type="pct"/>
            <w:tcBorders>
              <w:top w:val="single" w:sz="8" w:space="0" w:color="auto"/>
              <w:left w:val="nil"/>
              <w:bottom w:val="single" w:sz="8" w:space="0" w:color="auto"/>
              <w:right w:val="nil"/>
            </w:tcBorders>
            <w:shd w:val="clear" w:color="auto" w:fill="FFFFFF"/>
            <w:noWrap/>
            <w:vAlign w:val="bottom"/>
            <w:hideMark/>
          </w:tcPr>
          <w:p w14:paraId="340FE9B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2.</w:t>
            </w:r>
            <w:r w:rsidRPr="00AE4E8D">
              <w:rPr>
                <w:rFonts w:ascii="Times New Roman" w:hAnsi="Times New Roman"/>
                <w:color w:val="000000"/>
                <w:sz w:val="18"/>
                <w:szCs w:val="18"/>
                <w:lang w:val="es-ES"/>
              </w:rPr>
              <w:t>989,7</w:t>
            </w:r>
          </w:p>
        </w:tc>
        <w:tc>
          <w:tcPr>
            <w:tcW w:w="691" w:type="pct"/>
            <w:tcBorders>
              <w:top w:val="single" w:sz="8" w:space="0" w:color="auto"/>
              <w:left w:val="nil"/>
              <w:bottom w:val="single" w:sz="8" w:space="0" w:color="auto"/>
              <w:right w:val="nil"/>
            </w:tcBorders>
            <w:shd w:val="clear" w:color="auto" w:fill="FFFFFF"/>
            <w:noWrap/>
            <w:vAlign w:val="bottom"/>
            <w:hideMark/>
          </w:tcPr>
          <w:p w14:paraId="6186A6F0"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2.344,</w:t>
            </w:r>
            <w:r w:rsidRPr="00AE4E8D">
              <w:rPr>
                <w:rFonts w:ascii="Times New Roman" w:hAnsi="Times New Roman"/>
                <w:color w:val="000000"/>
                <w:sz w:val="18"/>
                <w:lang w:val="es-ES"/>
              </w:rPr>
              <w:t>1</w:t>
            </w:r>
          </w:p>
        </w:tc>
        <w:tc>
          <w:tcPr>
            <w:tcW w:w="906" w:type="pct"/>
            <w:tcBorders>
              <w:top w:val="single" w:sz="8" w:space="0" w:color="auto"/>
              <w:left w:val="nil"/>
              <w:bottom w:val="single" w:sz="8" w:space="0" w:color="auto"/>
              <w:right w:val="nil"/>
            </w:tcBorders>
            <w:noWrap/>
            <w:vAlign w:val="bottom"/>
            <w:hideMark/>
          </w:tcPr>
          <w:p w14:paraId="05BF36A2"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27,5</w:t>
            </w:r>
            <w:r w:rsidRPr="00AE4E8D">
              <w:rPr>
                <w:rFonts w:ascii="Times New Roman" w:hAnsi="Times New Roman"/>
                <w:color w:val="000000"/>
                <w:sz w:val="18"/>
                <w:lang w:val="es-ES"/>
              </w:rPr>
              <w:t>%</w:t>
            </w:r>
          </w:p>
        </w:tc>
      </w:tr>
      <w:tr w:rsidR="002E5441" w:rsidRPr="00AE4E8D" w14:paraId="18249AA0" w14:textId="77777777" w:rsidTr="000400C8">
        <w:trPr>
          <w:trHeight w:val="240"/>
          <w:jc w:val="center"/>
        </w:trPr>
        <w:tc>
          <w:tcPr>
            <w:tcW w:w="2712" w:type="pct"/>
            <w:noWrap/>
            <w:vAlign w:val="bottom"/>
          </w:tcPr>
          <w:p w14:paraId="6CA95FED" w14:textId="77777777" w:rsidR="002E5441" w:rsidRPr="00AE4E8D" w:rsidRDefault="002E5441" w:rsidP="00E8320E">
            <w:pPr>
              <w:rPr>
                <w:rFonts w:ascii="Times New Roman" w:hAnsi="Times New Roman"/>
                <w:color w:val="000000"/>
                <w:sz w:val="18"/>
                <w:szCs w:val="18"/>
              </w:rPr>
            </w:pPr>
          </w:p>
        </w:tc>
        <w:tc>
          <w:tcPr>
            <w:tcW w:w="691" w:type="pct"/>
            <w:shd w:val="clear" w:color="auto" w:fill="FFFFFF"/>
            <w:noWrap/>
            <w:vAlign w:val="bottom"/>
          </w:tcPr>
          <w:p w14:paraId="38D1FE9C" w14:textId="77777777" w:rsidR="002E5441" w:rsidRPr="00AE4E8D" w:rsidRDefault="002E5441" w:rsidP="00E8320E">
            <w:pPr>
              <w:jc w:val="right"/>
              <w:rPr>
                <w:rFonts w:ascii="Times New Roman" w:hAnsi="Times New Roman"/>
                <w:color w:val="000000"/>
                <w:sz w:val="18"/>
                <w:lang w:val="es-ES"/>
              </w:rPr>
            </w:pPr>
          </w:p>
        </w:tc>
        <w:tc>
          <w:tcPr>
            <w:tcW w:w="691" w:type="pct"/>
            <w:shd w:val="clear" w:color="auto" w:fill="FFFFFF"/>
            <w:noWrap/>
            <w:vAlign w:val="bottom"/>
            <w:hideMark/>
          </w:tcPr>
          <w:p w14:paraId="6B2175B8"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 </w:t>
            </w:r>
          </w:p>
        </w:tc>
        <w:tc>
          <w:tcPr>
            <w:tcW w:w="906" w:type="pct"/>
            <w:noWrap/>
            <w:vAlign w:val="bottom"/>
          </w:tcPr>
          <w:p w14:paraId="7DAE05E2" w14:textId="77777777" w:rsidR="002E5441" w:rsidRPr="00AE4E8D" w:rsidRDefault="002E5441" w:rsidP="00E8320E">
            <w:pPr>
              <w:jc w:val="right"/>
              <w:rPr>
                <w:rFonts w:ascii="Times New Roman" w:hAnsi="Times New Roman"/>
                <w:color w:val="000000"/>
                <w:sz w:val="18"/>
                <w:lang w:val="es-ES"/>
              </w:rPr>
            </w:pPr>
          </w:p>
        </w:tc>
      </w:tr>
      <w:tr w:rsidR="002E5441" w:rsidRPr="00AE4E8D" w14:paraId="15743D69" w14:textId="77777777" w:rsidTr="000400C8">
        <w:trPr>
          <w:trHeight w:val="240"/>
          <w:jc w:val="center"/>
        </w:trPr>
        <w:tc>
          <w:tcPr>
            <w:tcW w:w="2712" w:type="pct"/>
            <w:noWrap/>
            <w:vAlign w:val="bottom"/>
            <w:hideMark/>
          </w:tcPr>
          <w:p w14:paraId="4F4CB8C7" w14:textId="77777777" w:rsidR="002E5441" w:rsidRPr="00AE4E8D" w:rsidRDefault="002E5441" w:rsidP="00E8320E">
            <w:pPr>
              <w:rPr>
                <w:rFonts w:ascii="Times New Roman" w:hAnsi="Times New Roman"/>
                <w:b/>
                <w:bCs/>
                <w:i/>
                <w:iCs/>
                <w:color w:val="000000"/>
                <w:sz w:val="18"/>
                <w:szCs w:val="18"/>
                <w:lang w:val="en-US"/>
              </w:rPr>
            </w:pPr>
            <w:r w:rsidRPr="00AE4E8D">
              <w:rPr>
                <w:rFonts w:ascii="Times New Roman" w:hAnsi="Times New Roman"/>
                <w:b/>
                <w:bCs/>
                <w:i/>
                <w:iCs/>
                <w:color w:val="000000"/>
                <w:sz w:val="18"/>
                <w:szCs w:val="18"/>
                <w:lang w:val="es-ES"/>
              </w:rPr>
              <w:t>Otros egresos por servicios</w:t>
            </w:r>
          </w:p>
        </w:tc>
        <w:tc>
          <w:tcPr>
            <w:tcW w:w="691" w:type="pct"/>
            <w:shd w:val="clear" w:color="auto" w:fill="FFFFFF"/>
            <w:noWrap/>
            <w:vAlign w:val="bottom"/>
          </w:tcPr>
          <w:p w14:paraId="4D597D2A" w14:textId="77777777" w:rsidR="002E5441" w:rsidRPr="00AE4E8D" w:rsidRDefault="002E5441" w:rsidP="00E8320E">
            <w:pPr>
              <w:jc w:val="right"/>
              <w:rPr>
                <w:rFonts w:ascii="Times New Roman" w:hAnsi="Times New Roman"/>
                <w:color w:val="000000"/>
                <w:sz w:val="18"/>
                <w:lang w:val="es-ES"/>
              </w:rPr>
            </w:pPr>
          </w:p>
        </w:tc>
        <w:tc>
          <w:tcPr>
            <w:tcW w:w="691" w:type="pct"/>
            <w:shd w:val="clear" w:color="auto" w:fill="FFFFFF"/>
            <w:noWrap/>
            <w:vAlign w:val="bottom"/>
            <w:hideMark/>
          </w:tcPr>
          <w:p w14:paraId="7D238A0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 </w:t>
            </w:r>
          </w:p>
        </w:tc>
        <w:tc>
          <w:tcPr>
            <w:tcW w:w="906" w:type="pct"/>
            <w:noWrap/>
            <w:vAlign w:val="bottom"/>
          </w:tcPr>
          <w:p w14:paraId="5773EDBD" w14:textId="77777777" w:rsidR="002E5441" w:rsidRPr="00AE4E8D" w:rsidRDefault="002E5441" w:rsidP="00E8320E">
            <w:pPr>
              <w:jc w:val="right"/>
              <w:rPr>
                <w:rFonts w:ascii="Times New Roman" w:hAnsi="Times New Roman"/>
                <w:color w:val="000000"/>
                <w:sz w:val="18"/>
                <w:lang w:val="es-ES"/>
              </w:rPr>
            </w:pPr>
          </w:p>
        </w:tc>
      </w:tr>
      <w:tr w:rsidR="002E5441" w:rsidRPr="00AE4E8D" w14:paraId="4EE612AF" w14:textId="77777777" w:rsidTr="000400C8">
        <w:trPr>
          <w:trHeight w:val="240"/>
          <w:jc w:val="center"/>
        </w:trPr>
        <w:tc>
          <w:tcPr>
            <w:tcW w:w="2712" w:type="pct"/>
            <w:noWrap/>
            <w:vAlign w:val="bottom"/>
            <w:hideMark/>
          </w:tcPr>
          <w:p w14:paraId="27649F24"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Comisiones por préstamos  </w:t>
            </w:r>
          </w:p>
        </w:tc>
        <w:tc>
          <w:tcPr>
            <w:tcW w:w="691" w:type="pct"/>
            <w:shd w:val="clear" w:color="auto" w:fill="FFFFFF"/>
            <w:noWrap/>
            <w:vAlign w:val="bottom"/>
            <w:hideMark/>
          </w:tcPr>
          <w:p w14:paraId="5A39F22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57,4</w:t>
            </w:r>
          </w:p>
        </w:tc>
        <w:tc>
          <w:tcPr>
            <w:tcW w:w="691" w:type="pct"/>
            <w:shd w:val="clear" w:color="auto" w:fill="FFFFFF"/>
            <w:noWrap/>
            <w:vAlign w:val="bottom"/>
            <w:hideMark/>
          </w:tcPr>
          <w:p w14:paraId="7C0CC133"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60,9</w:t>
            </w:r>
          </w:p>
        </w:tc>
        <w:tc>
          <w:tcPr>
            <w:tcW w:w="906" w:type="pct"/>
            <w:noWrap/>
            <w:vAlign w:val="bottom"/>
            <w:hideMark/>
          </w:tcPr>
          <w:p w14:paraId="105CB059"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5,8</w:t>
            </w:r>
            <w:r w:rsidRPr="00AE4E8D">
              <w:rPr>
                <w:rFonts w:ascii="Times New Roman" w:hAnsi="Times New Roman"/>
                <w:color w:val="000000"/>
                <w:sz w:val="18"/>
                <w:lang w:val="es-ES"/>
              </w:rPr>
              <w:t>)%</w:t>
            </w:r>
          </w:p>
        </w:tc>
      </w:tr>
      <w:tr w:rsidR="002E5441" w:rsidRPr="00AE4E8D" w14:paraId="784F7802" w14:textId="77777777" w:rsidTr="000400C8">
        <w:trPr>
          <w:trHeight w:val="240"/>
          <w:jc w:val="center"/>
        </w:trPr>
        <w:tc>
          <w:tcPr>
            <w:tcW w:w="2712" w:type="pct"/>
            <w:noWrap/>
            <w:vAlign w:val="bottom"/>
            <w:hideMark/>
          </w:tcPr>
          <w:p w14:paraId="6B67A0EF"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Comisiones por colocaciones y estructuración  </w:t>
            </w:r>
          </w:p>
        </w:tc>
        <w:tc>
          <w:tcPr>
            <w:tcW w:w="691" w:type="pct"/>
            <w:shd w:val="clear" w:color="auto" w:fill="FFFFFF"/>
            <w:noWrap/>
            <w:vAlign w:val="bottom"/>
            <w:hideMark/>
          </w:tcPr>
          <w:p w14:paraId="0195D71B"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35,2</w:t>
            </w:r>
          </w:p>
        </w:tc>
        <w:tc>
          <w:tcPr>
            <w:tcW w:w="691" w:type="pct"/>
            <w:shd w:val="clear" w:color="auto" w:fill="FFFFFF"/>
            <w:noWrap/>
            <w:vAlign w:val="bottom"/>
            <w:hideMark/>
          </w:tcPr>
          <w:p w14:paraId="6C69D809"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43,9</w:t>
            </w:r>
          </w:p>
        </w:tc>
        <w:tc>
          <w:tcPr>
            <w:tcW w:w="906" w:type="pct"/>
            <w:noWrap/>
            <w:vAlign w:val="bottom"/>
            <w:hideMark/>
          </w:tcPr>
          <w:p w14:paraId="3391B813"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(19,5)%</w:t>
            </w:r>
          </w:p>
        </w:tc>
      </w:tr>
      <w:tr w:rsidR="002E5441" w:rsidRPr="00AE4E8D" w14:paraId="0029984C" w14:textId="77777777" w:rsidTr="000400C8">
        <w:trPr>
          <w:trHeight w:val="240"/>
          <w:jc w:val="center"/>
        </w:trPr>
        <w:tc>
          <w:tcPr>
            <w:tcW w:w="2712" w:type="pct"/>
            <w:noWrap/>
            <w:vAlign w:val="bottom"/>
            <w:hideMark/>
          </w:tcPr>
          <w:p w14:paraId="1BBBCD07"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Aportes e Impuestos sobre ingresos por servicios  </w:t>
            </w:r>
          </w:p>
        </w:tc>
        <w:tc>
          <w:tcPr>
            <w:tcW w:w="691" w:type="pct"/>
            <w:shd w:val="clear" w:color="auto" w:fill="FFFFFF"/>
            <w:noWrap/>
            <w:vAlign w:val="bottom"/>
            <w:hideMark/>
          </w:tcPr>
          <w:p w14:paraId="0EB55964"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112,2</w:t>
            </w:r>
          </w:p>
        </w:tc>
        <w:tc>
          <w:tcPr>
            <w:tcW w:w="691" w:type="pct"/>
            <w:shd w:val="clear" w:color="auto" w:fill="FFFFFF"/>
            <w:noWrap/>
            <w:vAlign w:val="bottom"/>
            <w:hideMark/>
          </w:tcPr>
          <w:p w14:paraId="5E330E9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99,9</w:t>
            </w:r>
          </w:p>
        </w:tc>
        <w:tc>
          <w:tcPr>
            <w:tcW w:w="906" w:type="pct"/>
            <w:noWrap/>
            <w:vAlign w:val="bottom"/>
            <w:hideMark/>
          </w:tcPr>
          <w:p w14:paraId="67C4B390"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12,4</w:t>
            </w:r>
            <w:r w:rsidRPr="00AE4E8D">
              <w:rPr>
                <w:rFonts w:ascii="Times New Roman" w:hAnsi="Times New Roman"/>
                <w:color w:val="000000"/>
                <w:sz w:val="18"/>
                <w:lang w:val="es-ES"/>
              </w:rPr>
              <w:t>%</w:t>
            </w:r>
          </w:p>
        </w:tc>
      </w:tr>
      <w:tr w:rsidR="002E5441" w:rsidRPr="00AE4E8D" w14:paraId="55700C3D" w14:textId="77777777" w:rsidTr="000400C8">
        <w:trPr>
          <w:trHeight w:val="240"/>
          <w:jc w:val="center"/>
        </w:trPr>
        <w:tc>
          <w:tcPr>
            <w:tcW w:w="2712" w:type="pct"/>
            <w:noWrap/>
            <w:vAlign w:val="bottom"/>
            <w:hideMark/>
          </w:tcPr>
          <w:p w14:paraId="56C44E2F"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Operaciones pasivas  </w:t>
            </w:r>
          </w:p>
        </w:tc>
        <w:tc>
          <w:tcPr>
            <w:tcW w:w="691" w:type="pct"/>
            <w:shd w:val="clear" w:color="auto" w:fill="FFFFFF"/>
            <w:noWrap/>
            <w:vAlign w:val="bottom"/>
            <w:hideMark/>
          </w:tcPr>
          <w:p w14:paraId="43F85238"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49,7</w:t>
            </w:r>
          </w:p>
        </w:tc>
        <w:tc>
          <w:tcPr>
            <w:tcW w:w="691" w:type="pct"/>
            <w:shd w:val="clear" w:color="auto" w:fill="FFFFFF"/>
            <w:noWrap/>
            <w:vAlign w:val="bottom"/>
            <w:hideMark/>
          </w:tcPr>
          <w:p w14:paraId="2876FAD9"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30,8</w:t>
            </w:r>
          </w:p>
        </w:tc>
        <w:tc>
          <w:tcPr>
            <w:tcW w:w="906" w:type="pct"/>
            <w:noWrap/>
            <w:vAlign w:val="bottom"/>
            <w:hideMark/>
          </w:tcPr>
          <w:p w14:paraId="77821BC3"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61,1</w:t>
            </w:r>
            <w:r w:rsidRPr="00AE4E8D">
              <w:rPr>
                <w:rFonts w:ascii="Times New Roman" w:hAnsi="Times New Roman"/>
                <w:color w:val="000000"/>
                <w:sz w:val="18"/>
                <w:lang w:val="es-ES"/>
              </w:rPr>
              <w:t>%</w:t>
            </w:r>
          </w:p>
        </w:tc>
      </w:tr>
      <w:tr w:rsidR="002E5441" w:rsidRPr="00AE4E8D" w14:paraId="5B77D530" w14:textId="77777777" w:rsidTr="000400C8">
        <w:trPr>
          <w:trHeight w:val="240"/>
          <w:jc w:val="center"/>
        </w:trPr>
        <w:tc>
          <w:tcPr>
            <w:tcW w:w="2712" w:type="pct"/>
            <w:noWrap/>
            <w:vAlign w:val="bottom"/>
            <w:hideMark/>
          </w:tcPr>
          <w:p w14:paraId="46925880"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Comisiones por tarjeta de crédito  </w:t>
            </w:r>
          </w:p>
        </w:tc>
        <w:tc>
          <w:tcPr>
            <w:tcW w:w="691" w:type="pct"/>
            <w:shd w:val="clear" w:color="auto" w:fill="FFFFFF"/>
            <w:noWrap/>
            <w:vAlign w:val="bottom"/>
            <w:hideMark/>
          </w:tcPr>
          <w:p w14:paraId="775A0641"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423,9</w:t>
            </w:r>
          </w:p>
        </w:tc>
        <w:tc>
          <w:tcPr>
            <w:tcW w:w="691" w:type="pct"/>
            <w:shd w:val="clear" w:color="auto" w:fill="FFFFFF"/>
            <w:noWrap/>
            <w:vAlign w:val="bottom"/>
            <w:hideMark/>
          </w:tcPr>
          <w:p w14:paraId="53AEF10F"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361,5</w:t>
            </w:r>
          </w:p>
        </w:tc>
        <w:tc>
          <w:tcPr>
            <w:tcW w:w="906" w:type="pct"/>
            <w:noWrap/>
            <w:vAlign w:val="bottom"/>
            <w:hideMark/>
          </w:tcPr>
          <w:p w14:paraId="7962B99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17,3</w:t>
            </w:r>
            <w:r w:rsidRPr="00AE4E8D">
              <w:rPr>
                <w:rFonts w:ascii="Times New Roman" w:hAnsi="Times New Roman"/>
                <w:color w:val="000000"/>
                <w:sz w:val="18"/>
                <w:lang w:val="es-ES"/>
              </w:rPr>
              <w:t>%</w:t>
            </w:r>
          </w:p>
        </w:tc>
      </w:tr>
      <w:tr w:rsidR="002E5441" w:rsidRPr="00AE4E8D" w14:paraId="14ED0D53" w14:textId="77777777" w:rsidTr="000400C8">
        <w:trPr>
          <w:trHeight w:val="255"/>
          <w:jc w:val="center"/>
        </w:trPr>
        <w:tc>
          <w:tcPr>
            <w:tcW w:w="2712" w:type="pct"/>
            <w:noWrap/>
            <w:vAlign w:val="bottom"/>
            <w:hideMark/>
          </w:tcPr>
          <w:p w14:paraId="1F3A76C5"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Otras comisiones  </w:t>
            </w:r>
          </w:p>
        </w:tc>
        <w:tc>
          <w:tcPr>
            <w:tcW w:w="691" w:type="pct"/>
            <w:shd w:val="clear" w:color="auto" w:fill="FFFFFF"/>
            <w:noWrap/>
            <w:vAlign w:val="bottom"/>
            <w:hideMark/>
          </w:tcPr>
          <w:p w14:paraId="20EB1F5D"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196,2</w:t>
            </w:r>
          </w:p>
        </w:tc>
        <w:tc>
          <w:tcPr>
            <w:tcW w:w="691" w:type="pct"/>
            <w:shd w:val="clear" w:color="auto" w:fill="FFFFFF"/>
            <w:noWrap/>
            <w:vAlign w:val="bottom"/>
            <w:hideMark/>
          </w:tcPr>
          <w:p w14:paraId="771EE44F"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80,7</w:t>
            </w:r>
          </w:p>
        </w:tc>
        <w:tc>
          <w:tcPr>
            <w:tcW w:w="906" w:type="pct"/>
            <w:noWrap/>
            <w:vAlign w:val="bottom"/>
            <w:hideMark/>
          </w:tcPr>
          <w:p w14:paraId="7729AD5F"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143,0%</w:t>
            </w:r>
          </w:p>
        </w:tc>
      </w:tr>
      <w:tr w:rsidR="002E5441" w:rsidRPr="00AE4E8D" w14:paraId="6C110545" w14:textId="77777777" w:rsidTr="000400C8">
        <w:trPr>
          <w:trHeight w:val="255"/>
          <w:jc w:val="center"/>
        </w:trPr>
        <w:tc>
          <w:tcPr>
            <w:tcW w:w="2712" w:type="pct"/>
            <w:noWrap/>
            <w:vAlign w:val="bottom"/>
            <w:hideMark/>
          </w:tcPr>
          <w:p w14:paraId="6524EDB6" w14:textId="77777777" w:rsidR="002E5441" w:rsidRPr="00AE4E8D" w:rsidRDefault="002E5441" w:rsidP="00E8320E">
            <w:pPr>
              <w:rPr>
                <w:rFonts w:ascii="Times New Roman" w:hAnsi="Times New Roman"/>
                <w:b/>
                <w:bCs/>
                <w:color w:val="000000"/>
                <w:sz w:val="18"/>
                <w:szCs w:val="18"/>
              </w:rPr>
            </w:pPr>
            <w:r w:rsidRPr="00AE4E8D">
              <w:rPr>
                <w:rFonts w:ascii="Times New Roman" w:hAnsi="Times New Roman"/>
                <w:b/>
                <w:bCs/>
                <w:color w:val="000000"/>
                <w:sz w:val="18"/>
                <w:szCs w:val="18"/>
                <w:lang w:val="es-ES"/>
              </w:rPr>
              <w:t xml:space="preserve">Total otros egresos por servicios </w:t>
            </w:r>
            <w:r w:rsidRPr="00AE4E8D">
              <w:rPr>
                <w:rFonts w:ascii="Times New Roman" w:hAnsi="Times New Roman"/>
                <w:color w:val="000000"/>
                <w:sz w:val="18"/>
                <w:szCs w:val="18"/>
                <w:lang w:val="es-ES"/>
              </w:rPr>
              <w:t xml:space="preserve"> </w:t>
            </w:r>
          </w:p>
        </w:tc>
        <w:tc>
          <w:tcPr>
            <w:tcW w:w="691" w:type="pct"/>
            <w:tcBorders>
              <w:top w:val="single" w:sz="8" w:space="0" w:color="auto"/>
              <w:left w:val="nil"/>
              <w:bottom w:val="single" w:sz="8" w:space="0" w:color="auto"/>
              <w:right w:val="nil"/>
            </w:tcBorders>
            <w:shd w:val="clear" w:color="auto" w:fill="FFFFFF"/>
            <w:noWrap/>
            <w:vAlign w:val="bottom"/>
            <w:hideMark/>
          </w:tcPr>
          <w:p w14:paraId="54C040A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874,6</w:t>
            </w:r>
          </w:p>
        </w:tc>
        <w:tc>
          <w:tcPr>
            <w:tcW w:w="691" w:type="pct"/>
            <w:tcBorders>
              <w:top w:val="single" w:sz="8" w:space="0" w:color="auto"/>
              <w:left w:val="nil"/>
              <w:bottom w:val="single" w:sz="8" w:space="0" w:color="auto"/>
              <w:right w:val="nil"/>
            </w:tcBorders>
            <w:shd w:val="clear" w:color="auto" w:fill="FFFFFF"/>
            <w:noWrap/>
            <w:vAlign w:val="bottom"/>
            <w:hideMark/>
          </w:tcPr>
          <w:p w14:paraId="6E7DF35A"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677,6</w:t>
            </w:r>
          </w:p>
        </w:tc>
        <w:tc>
          <w:tcPr>
            <w:tcW w:w="906" w:type="pct"/>
            <w:tcBorders>
              <w:top w:val="single" w:sz="8" w:space="0" w:color="auto"/>
              <w:left w:val="nil"/>
              <w:bottom w:val="single" w:sz="8" w:space="0" w:color="auto"/>
              <w:right w:val="nil"/>
            </w:tcBorders>
            <w:noWrap/>
            <w:vAlign w:val="bottom"/>
            <w:hideMark/>
          </w:tcPr>
          <w:p w14:paraId="70EDC0F9"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29,1</w:t>
            </w:r>
            <w:r w:rsidRPr="00AE4E8D">
              <w:rPr>
                <w:rFonts w:ascii="Times New Roman" w:hAnsi="Times New Roman"/>
                <w:color w:val="000000"/>
                <w:sz w:val="18"/>
                <w:lang w:val="es-ES"/>
              </w:rPr>
              <w:t>%</w:t>
            </w:r>
          </w:p>
        </w:tc>
      </w:tr>
      <w:tr w:rsidR="002E5441" w:rsidRPr="00AE4E8D" w14:paraId="3A77EB41" w14:textId="77777777" w:rsidTr="000400C8">
        <w:trPr>
          <w:trHeight w:val="255"/>
          <w:jc w:val="center"/>
        </w:trPr>
        <w:tc>
          <w:tcPr>
            <w:tcW w:w="2712" w:type="pct"/>
            <w:noWrap/>
            <w:vAlign w:val="bottom"/>
            <w:hideMark/>
          </w:tcPr>
          <w:p w14:paraId="640408CC" w14:textId="77777777" w:rsidR="002E5441" w:rsidRPr="00AE4E8D" w:rsidRDefault="002E5441" w:rsidP="00E8320E">
            <w:pPr>
              <w:rPr>
                <w:rFonts w:ascii="Times New Roman" w:hAnsi="Times New Roman"/>
                <w:b/>
                <w:bCs/>
                <w:color w:val="000000"/>
                <w:sz w:val="18"/>
                <w:szCs w:val="18"/>
              </w:rPr>
            </w:pPr>
            <w:r w:rsidRPr="00AE4E8D">
              <w:rPr>
                <w:rFonts w:ascii="Times New Roman" w:hAnsi="Times New Roman"/>
                <w:b/>
                <w:bCs/>
                <w:color w:val="000000"/>
                <w:sz w:val="18"/>
                <w:szCs w:val="18"/>
                <w:lang w:val="es-ES"/>
              </w:rPr>
              <w:t>Total otros ingresos por servicios netos</w:t>
            </w:r>
            <w:r w:rsidRPr="00AE4E8D">
              <w:rPr>
                <w:rFonts w:ascii="Times New Roman" w:hAnsi="Times New Roman"/>
                <w:color w:val="000000"/>
                <w:sz w:val="18"/>
                <w:szCs w:val="18"/>
                <w:lang w:val="es-ES"/>
              </w:rPr>
              <w:t xml:space="preserve">  </w:t>
            </w:r>
          </w:p>
        </w:tc>
        <w:tc>
          <w:tcPr>
            <w:tcW w:w="691" w:type="pct"/>
            <w:tcBorders>
              <w:top w:val="nil"/>
              <w:left w:val="nil"/>
              <w:bottom w:val="single" w:sz="8" w:space="0" w:color="auto"/>
              <w:right w:val="nil"/>
            </w:tcBorders>
            <w:shd w:val="clear" w:color="auto" w:fill="FFFFFF"/>
            <w:noWrap/>
            <w:vAlign w:val="bottom"/>
            <w:hideMark/>
          </w:tcPr>
          <w:p w14:paraId="09D26722"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2</w:t>
            </w:r>
            <w:r w:rsidRPr="00AE4E8D">
              <w:rPr>
                <w:rFonts w:ascii="Times New Roman" w:hAnsi="Times New Roman"/>
                <w:color w:val="000000"/>
                <w:sz w:val="18"/>
                <w:szCs w:val="18"/>
                <w:lang w:val="es-ES"/>
              </w:rPr>
              <w:t>.115,0</w:t>
            </w:r>
          </w:p>
        </w:tc>
        <w:tc>
          <w:tcPr>
            <w:tcW w:w="691" w:type="pct"/>
            <w:tcBorders>
              <w:top w:val="nil"/>
              <w:left w:val="nil"/>
              <w:bottom w:val="single" w:sz="8" w:space="0" w:color="auto"/>
              <w:right w:val="nil"/>
            </w:tcBorders>
            <w:shd w:val="clear" w:color="auto" w:fill="FFFFFF"/>
            <w:noWrap/>
            <w:vAlign w:val="bottom"/>
            <w:hideMark/>
          </w:tcPr>
          <w:p w14:paraId="67CB41D7"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1.</w:t>
            </w:r>
            <w:r w:rsidRPr="00AE4E8D">
              <w:rPr>
                <w:rFonts w:ascii="Times New Roman" w:hAnsi="Times New Roman"/>
                <w:color w:val="000000"/>
                <w:sz w:val="18"/>
                <w:szCs w:val="18"/>
                <w:lang w:val="es-ES"/>
              </w:rPr>
              <w:t>666,5</w:t>
            </w:r>
          </w:p>
        </w:tc>
        <w:tc>
          <w:tcPr>
            <w:tcW w:w="906" w:type="pct"/>
            <w:tcBorders>
              <w:top w:val="nil"/>
              <w:left w:val="nil"/>
              <w:bottom w:val="single" w:sz="8" w:space="0" w:color="auto"/>
              <w:right w:val="nil"/>
            </w:tcBorders>
            <w:noWrap/>
            <w:vAlign w:val="bottom"/>
            <w:hideMark/>
          </w:tcPr>
          <w:p w14:paraId="7BA9C1A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26,9</w:t>
            </w:r>
            <w:r w:rsidRPr="00AE4E8D">
              <w:rPr>
                <w:rFonts w:ascii="Times New Roman" w:hAnsi="Times New Roman"/>
                <w:color w:val="000000"/>
                <w:sz w:val="18"/>
                <w:lang w:val="es-ES"/>
              </w:rPr>
              <w:t>%</w:t>
            </w:r>
          </w:p>
        </w:tc>
      </w:tr>
    </w:tbl>
    <w:p w14:paraId="2588FB8D" w14:textId="77777777" w:rsidR="002E5441" w:rsidRPr="00AE4E8D" w:rsidRDefault="002E5441" w:rsidP="002E5441">
      <w:pPr>
        <w:pStyle w:val="BHTexto"/>
        <w:rPr>
          <w:lang w:eastAsia="es-AR"/>
        </w:rPr>
      </w:pPr>
      <w:r w:rsidRPr="00AE4E8D">
        <w:t>Los otros ingresos por servicios netos aumentaron un 26,9%, de Ps.1.666,5 millones por el ejercicio finalizado el 31 de diciembre de 2015 a Ps.2.115,0 millones por el ejercicio finalizado el 31 de diciembre de 2016, principalmente como resultado de un aumento de Ps739,2 millones en comisiones debido a la originación de tarjetas de crédito del Banco y de Tarshop y, en menor grado, de Ps.57,4 millones de comisiones por nuestras actividades en carácter de fiduciario del Fideicomiso PROCREAR (registrado bajo “Otras comisiones” en otros ingresos por servicios).</w:t>
      </w:r>
    </w:p>
    <w:p w14:paraId="13270905" w14:textId="77777777" w:rsidR="002E5441" w:rsidRPr="00AE4E8D" w:rsidRDefault="002E5441" w:rsidP="002E5441">
      <w:pPr>
        <w:pStyle w:val="BH4Cursiva"/>
      </w:pPr>
      <w:r w:rsidRPr="00AE4E8D">
        <w:t>Gastos Administrativos</w:t>
      </w:r>
    </w:p>
    <w:p w14:paraId="5B91D284" w14:textId="77777777" w:rsidR="002E5441" w:rsidRPr="00AE4E8D" w:rsidRDefault="002E5441" w:rsidP="002E5441">
      <w:pPr>
        <w:pStyle w:val="BHTexto"/>
      </w:pPr>
      <w:r w:rsidRPr="00AE4E8D">
        <w:t>El siguiente cuadro muestra los principales componentes de los gastos administrativos correspondientes a los ejercicios finalizados el 31 de diciembre de 2016 y 2015:</w:t>
      </w:r>
    </w:p>
    <w:tbl>
      <w:tblPr>
        <w:tblW w:w="5000" w:type="pct"/>
        <w:jc w:val="center"/>
        <w:tblLook w:val="00A0" w:firstRow="1" w:lastRow="0" w:firstColumn="1" w:lastColumn="0" w:noHBand="0" w:noVBand="0"/>
      </w:tblPr>
      <w:tblGrid>
        <w:gridCol w:w="4580"/>
        <w:gridCol w:w="1251"/>
        <w:gridCol w:w="1252"/>
        <w:gridCol w:w="1638"/>
      </w:tblGrid>
      <w:tr w:rsidR="002E5441" w:rsidRPr="00AE4E8D" w14:paraId="70641FB1" w14:textId="77777777" w:rsidTr="000400C8">
        <w:trPr>
          <w:trHeight w:val="255"/>
          <w:jc w:val="center"/>
        </w:trPr>
        <w:tc>
          <w:tcPr>
            <w:tcW w:w="2626" w:type="pct"/>
            <w:noWrap/>
            <w:vAlign w:val="bottom"/>
          </w:tcPr>
          <w:p w14:paraId="0445F9A8" w14:textId="77777777" w:rsidR="002E5441" w:rsidRPr="00AE4E8D" w:rsidRDefault="002E5441" w:rsidP="00E8320E">
            <w:pPr>
              <w:rPr>
                <w:rFonts w:ascii="Times New Roman" w:hAnsi="Times New Roman"/>
                <w:color w:val="000000"/>
                <w:sz w:val="18"/>
                <w:szCs w:val="18"/>
              </w:rPr>
            </w:pPr>
          </w:p>
        </w:tc>
        <w:tc>
          <w:tcPr>
            <w:tcW w:w="1435" w:type="pct"/>
            <w:gridSpan w:val="2"/>
            <w:tcBorders>
              <w:top w:val="single" w:sz="8" w:space="0" w:color="auto"/>
              <w:left w:val="nil"/>
              <w:bottom w:val="single" w:sz="8" w:space="0" w:color="auto"/>
              <w:right w:val="nil"/>
            </w:tcBorders>
            <w:noWrap/>
            <w:vAlign w:val="bottom"/>
            <w:hideMark/>
          </w:tcPr>
          <w:p w14:paraId="0B87647F" w14:textId="77777777" w:rsidR="002E5441" w:rsidRPr="00AE4E8D" w:rsidRDefault="002E5441" w:rsidP="00E8320E">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Ejercicio finalizado </w:t>
            </w:r>
          </w:p>
          <w:p w14:paraId="64271408" w14:textId="77777777" w:rsidR="002E5441" w:rsidRPr="00AE4E8D" w:rsidRDefault="002E5441" w:rsidP="00E8320E">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 xml:space="preserve">el 31 de diciembre de </w:t>
            </w:r>
          </w:p>
        </w:tc>
        <w:tc>
          <w:tcPr>
            <w:tcW w:w="940" w:type="pct"/>
            <w:tcBorders>
              <w:top w:val="single" w:sz="8" w:space="0" w:color="auto"/>
              <w:left w:val="nil"/>
              <w:bottom w:val="single" w:sz="8" w:space="0" w:color="auto"/>
              <w:right w:val="nil"/>
            </w:tcBorders>
            <w:noWrap/>
            <w:vAlign w:val="bottom"/>
            <w:hideMark/>
          </w:tcPr>
          <w:p w14:paraId="4A386414"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2E5441" w:rsidRPr="00AE4E8D" w14:paraId="625F1306" w14:textId="77777777" w:rsidTr="000400C8">
        <w:trPr>
          <w:trHeight w:val="255"/>
          <w:jc w:val="center"/>
        </w:trPr>
        <w:tc>
          <w:tcPr>
            <w:tcW w:w="2626" w:type="pct"/>
            <w:noWrap/>
            <w:vAlign w:val="bottom"/>
          </w:tcPr>
          <w:p w14:paraId="4C20ADA1" w14:textId="77777777" w:rsidR="002E5441" w:rsidRPr="00AE4E8D" w:rsidRDefault="002E5441" w:rsidP="00E8320E">
            <w:pPr>
              <w:rPr>
                <w:rFonts w:ascii="Times New Roman" w:hAnsi="Times New Roman"/>
                <w:color w:val="000000"/>
                <w:sz w:val="18"/>
                <w:szCs w:val="18"/>
                <w:lang w:val="en-US"/>
              </w:rPr>
            </w:pPr>
          </w:p>
        </w:tc>
        <w:tc>
          <w:tcPr>
            <w:tcW w:w="717" w:type="pct"/>
            <w:tcBorders>
              <w:top w:val="nil"/>
              <w:left w:val="nil"/>
              <w:bottom w:val="single" w:sz="8" w:space="0" w:color="auto"/>
              <w:right w:val="nil"/>
            </w:tcBorders>
            <w:noWrap/>
            <w:vAlign w:val="bottom"/>
            <w:hideMark/>
          </w:tcPr>
          <w:p w14:paraId="1CB1DBB9"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2016</w:t>
            </w:r>
          </w:p>
        </w:tc>
        <w:tc>
          <w:tcPr>
            <w:tcW w:w="717" w:type="pct"/>
            <w:tcBorders>
              <w:top w:val="nil"/>
              <w:left w:val="nil"/>
              <w:bottom w:val="single" w:sz="8" w:space="0" w:color="auto"/>
              <w:right w:val="nil"/>
            </w:tcBorders>
            <w:noWrap/>
            <w:vAlign w:val="bottom"/>
            <w:hideMark/>
          </w:tcPr>
          <w:p w14:paraId="6E4700B3"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940" w:type="pct"/>
            <w:tcBorders>
              <w:top w:val="nil"/>
              <w:left w:val="nil"/>
              <w:bottom w:val="single" w:sz="8" w:space="0" w:color="auto"/>
              <w:right w:val="nil"/>
            </w:tcBorders>
            <w:noWrap/>
            <w:vAlign w:val="bottom"/>
            <w:hideMark/>
          </w:tcPr>
          <w:p w14:paraId="34F2D195"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2015/2016</w:t>
            </w:r>
          </w:p>
        </w:tc>
      </w:tr>
      <w:tr w:rsidR="002E5441" w:rsidRPr="00AE4E8D" w14:paraId="0BE94D07" w14:textId="77777777" w:rsidTr="000400C8">
        <w:trPr>
          <w:trHeight w:val="240"/>
          <w:jc w:val="center"/>
        </w:trPr>
        <w:tc>
          <w:tcPr>
            <w:tcW w:w="2626" w:type="pct"/>
            <w:noWrap/>
            <w:vAlign w:val="bottom"/>
          </w:tcPr>
          <w:p w14:paraId="7469BB79" w14:textId="77777777" w:rsidR="002E5441" w:rsidRPr="00AE4E8D" w:rsidRDefault="002E5441" w:rsidP="00E8320E">
            <w:pPr>
              <w:rPr>
                <w:rFonts w:ascii="Times New Roman" w:hAnsi="Times New Roman"/>
                <w:color w:val="000000"/>
                <w:sz w:val="18"/>
                <w:szCs w:val="18"/>
                <w:lang w:val="en-US"/>
              </w:rPr>
            </w:pPr>
          </w:p>
        </w:tc>
        <w:tc>
          <w:tcPr>
            <w:tcW w:w="2374" w:type="pct"/>
            <w:gridSpan w:val="3"/>
            <w:tcBorders>
              <w:top w:val="single" w:sz="8" w:space="0" w:color="auto"/>
              <w:left w:val="nil"/>
              <w:bottom w:val="nil"/>
              <w:right w:val="nil"/>
            </w:tcBorders>
            <w:noWrap/>
            <w:vAlign w:val="bottom"/>
            <w:hideMark/>
          </w:tcPr>
          <w:p w14:paraId="1749F92F" w14:textId="77777777" w:rsidR="002E5441" w:rsidRPr="00AE4E8D" w:rsidRDefault="002E5441" w:rsidP="00E8320E">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2E5441" w:rsidRPr="00AE4E8D" w14:paraId="24C316BB" w14:textId="77777777" w:rsidTr="000400C8">
        <w:trPr>
          <w:trHeight w:val="270"/>
          <w:jc w:val="center"/>
        </w:trPr>
        <w:tc>
          <w:tcPr>
            <w:tcW w:w="2626" w:type="pct"/>
            <w:noWrap/>
            <w:vAlign w:val="bottom"/>
            <w:hideMark/>
          </w:tcPr>
          <w:p w14:paraId="103CCDED"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Gastos de personal  </w:t>
            </w:r>
          </w:p>
        </w:tc>
        <w:tc>
          <w:tcPr>
            <w:tcW w:w="717" w:type="pct"/>
            <w:shd w:val="clear" w:color="auto" w:fill="FFFFFF"/>
            <w:noWrap/>
            <w:vAlign w:val="bottom"/>
            <w:hideMark/>
          </w:tcPr>
          <w:p w14:paraId="07B4C269"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2.566,</w:t>
            </w:r>
            <w:r w:rsidRPr="00AE4E8D">
              <w:rPr>
                <w:rFonts w:ascii="Times New Roman" w:hAnsi="Times New Roman"/>
                <w:color w:val="000000"/>
                <w:sz w:val="18"/>
                <w:lang w:val="es-ES"/>
              </w:rPr>
              <w:t>1</w:t>
            </w:r>
          </w:p>
        </w:tc>
        <w:tc>
          <w:tcPr>
            <w:tcW w:w="717" w:type="pct"/>
            <w:shd w:val="clear" w:color="auto" w:fill="FFFFFF"/>
            <w:noWrap/>
            <w:vAlign w:val="bottom"/>
            <w:hideMark/>
          </w:tcPr>
          <w:p w14:paraId="3C92EA4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2.192</w:t>
            </w:r>
            <w:r w:rsidRPr="00AE4E8D">
              <w:rPr>
                <w:rFonts w:ascii="Times New Roman" w:hAnsi="Times New Roman"/>
                <w:color w:val="000000"/>
                <w:sz w:val="18"/>
                <w:lang w:val="es-ES"/>
              </w:rPr>
              <w:t>,7</w:t>
            </w:r>
          </w:p>
        </w:tc>
        <w:tc>
          <w:tcPr>
            <w:tcW w:w="940" w:type="pct"/>
            <w:noWrap/>
            <w:vAlign w:val="bottom"/>
            <w:hideMark/>
          </w:tcPr>
          <w:p w14:paraId="6B332944"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17,0</w:t>
            </w:r>
            <w:r w:rsidRPr="00AE4E8D">
              <w:rPr>
                <w:rFonts w:ascii="Times New Roman" w:hAnsi="Times New Roman"/>
                <w:color w:val="000000"/>
                <w:sz w:val="18"/>
                <w:lang w:val="es-ES"/>
              </w:rPr>
              <w:t>%</w:t>
            </w:r>
          </w:p>
        </w:tc>
      </w:tr>
      <w:tr w:rsidR="002E5441" w:rsidRPr="00AE4E8D" w14:paraId="7BF0FF46" w14:textId="77777777" w:rsidTr="000400C8">
        <w:trPr>
          <w:trHeight w:val="240"/>
          <w:jc w:val="center"/>
        </w:trPr>
        <w:tc>
          <w:tcPr>
            <w:tcW w:w="2626" w:type="pct"/>
            <w:noWrap/>
            <w:vAlign w:val="bottom"/>
            <w:hideMark/>
          </w:tcPr>
          <w:p w14:paraId="6B4BD5AE"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honorarios (1)  </w:t>
            </w:r>
          </w:p>
        </w:tc>
        <w:tc>
          <w:tcPr>
            <w:tcW w:w="717" w:type="pct"/>
            <w:shd w:val="clear" w:color="auto" w:fill="FFFFFF"/>
            <w:noWrap/>
            <w:vAlign w:val="bottom"/>
            <w:hideMark/>
          </w:tcPr>
          <w:p w14:paraId="57515491"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661,0</w:t>
            </w:r>
          </w:p>
        </w:tc>
        <w:tc>
          <w:tcPr>
            <w:tcW w:w="717" w:type="pct"/>
            <w:shd w:val="clear" w:color="auto" w:fill="FFFFFF"/>
            <w:noWrap/>
            <w:vAlign w:val="bottom"/>
            <w:hideMark/>
          </w:tcPr>
          <w:p w14:paraId="66262F4A"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437,2</w:t>
            </w:r>
          </w:p>
        </w:tc>
        <w:tc>
          <w:tcPr>
            <w:tcW w:w="940" w:type="pct"/>
            <w:noWrap/>
            <w:vAlign w:val="bottom"/>
            <w:hideMark/>
          </w:tcPr>
          <w:p w14:paraId="61F12A4F"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51,2</w:t>
            </w:r>
            <w:r w:rsidRPr="00AE4E8D">
              <w:rPr>
                <w:rFonts w:ascii="Times New Roman" w:hAnsi="Times New Roman"/>
                <w:color w:val="000000"/>
                <w:sz w:val="18"/>
                <w:lang w:val="es-ES"/>
              </w:rPr>
              <w:t>%</w:t>
            </w:r>
          </w:p>
        </w:tc>
      </w:tr>
      <w:tr w:rsidR="002E5441" w:rsidRPr="00AE4E8D" w14:paraId="0544049A" w14:textId="77777777" w:rsidTr="000400C8">
        <w:trPr>
          <w:trHeight w:val="240"/>
          <w:jc w:val="center"/>
        </w:trPr>
        <w:tc>
          <w:tcPr>
            <w:tcW w:w="2626" w:type="pct"/>
            <w:noWrap/>
            <w:vAlign w:val="bottom"/>
            <w:hideMark/>
          </w:tcPr>
          <w:p w14:paraId="677E13D1"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Honorarios directores y síndicos  </w:t>
            </w:r>
          </w:p>
        </w:tc>
        <w:tc>
          <w:tcPr>
            <w:tcW w:w="717" w:type="pct"/>
            <w:shd w:val="clear" w:color="auto" w:fill="FFFFFF"/>
            <w:noWrap/>
            <w:vAlign w:val="bottom"/>
            <w:hideMark/>
          </w:tcPr>
          <w:p w14:paraId="6ACB2EA3"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52,5</w:t>
            </w:r>
          </w:p>
        </w:tc>
        <w:tc>
          <w:tcPr>
            <w:tcW w:w="717" w:type="pct"/>
            <w:shd w:val="clear" w:color="auto" w:fill="FFFFFF"/>
            <w:noWrap/>
            <w:vAlign w:val="bottom"/>
            <w:hideMark/>
          </w:tcPr>
          <w:p w14:paraId="0FC90AC5"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90,8</w:t>
            </w:r>
          </w:p>
        </w:tc>
        <w:tc>
          <w:tcPr>
            <w:tcW w:w="940" w:type="pct"/>
            <w:noWrap/>
            <w:vAlign w:val="bottom"/>
            <w:hideMark/>
          </w:tcPr>
          <w:p w14:paraId="2EAEDC3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42,2</w:t>
            </w:r>
            <w:r w:rsidRPr="00AE4E8D">
              <w:rPr>
                <w:rFonts w:ascii="Times New Roman" w:hAnsi="Times New Roman"/>
                <w:color w:val="000000"/>
                <w:sz w:val="18"/>
                <w:lang w:val="es-ES"/>
              </w:rPr>
              <w:t>)%</w:t>
            </w:r>
          </w:p>
        </w:tc>
      </w:tr>
      <w:tr w:rsidR="002E5441" w:rsidRPr="00AE4E8D" w14:paraId="0EE25EF2" w14:textId="77777777" w:rsidTr="000400C8">
        <w:trPr>
          <w:trHeight w:val="240"/>
          <w:jc w:val="center"/>
        </w:trPr>
        <w:tc>
          <w:tcPr>
            <w:tcW w:w="2626" w:type="pct"/>
            <w:noWrap/>
            <w:vAlign w:val="bottom"/>
            <w:hideMark/>
          </w:tcPr>
          <w:p w14:paraId="1D7145C3"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Propaganda y publicidad  </w:t>
            </w:r>
          </w:p>
        </w:tc>
        <w:tc>
          <w:tcPr>
            <w:tcW w:w="717" w:type="pct"/>
            <w:shd w:val="clear" w:color="auto" w:fill="FFFFFF"/>
            <w:noWrap/>
            <w:vAlign w:val="bottom"/>
            <w:hideMark/>
          </w:tcPr>
          <w:p w14:paraId="1D8E1E10"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117,0</w:t>
            </w:r>
          </w:p>
        </w:tc>
        <w:tc>
          <w:tcPr>
            <w:tcW w:w="717" w:type="pct"/>
            <w:shd w:val="clear" w:color="auto" w:fill="FFFFFF"/>
            <w:noWrap/>
            <w:vAlign w:val="bottom"/>
            <w:hideMark/>
          </w:tcPr>
          <w:p w14:paraId="70240594"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173,4</w:t>
            </w:r>
          </w:p>
        </w:tc>
        <w:tc>
          <w:tcPr>
            <w:tcW w:w="940" w:type="pct"/>
            <w:noWrap/>
            <w:vAlign w:val="bottom"/>
            <w:hideMark/>
          </w:tcPr>
          <w:p w14:paraId="30F700B1"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32,5</w:t>
            </w:r>
            <w:r w:rsidRPr="00AE4E8D">
              <w:rPr>
                <w:rFonts w:ascii="Times New Roman" w:hAnsi="Times New Roman"/>
                <w:color w:val="000000"/>
                <w:sz w:val="18"/>
                <w:lang w:val="es-ES"/>
              </w:rPr>
              <w:t>)%</w:t>
            </w:r>
          </w:p>
        </w:tc>
      </w:tr>
      <w:tr w:rsidR="002E5441" w:rsidRPr="00AE4E8D" w14:paraId="599D37D4" w14:textId="77777777" w:rsidTr="000400C8">
        <w:trPr>
          <w:trHeight w:val="240"/>
          <w:jc w:val="center"/>
        </w:trPr>
        <w:tc>
          <w:tcPr>
            <w:tcW w:w="2626" w:type="pct"/>
            <w:noWrap/>
            <w:vAlign w:val="bottom"/>
            <w:hideMark/>
          </w:tcPr>
          <w:p w14:paraId="1D6118D2"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Impuesto al valor agregado y otros impuestos  </w:t>
            </w:r>
          </w:p>
        </w:tc>
        <w:tc>
          <w:tcPr>
            <w:tcW w:w="717" w:type="pct"/>
            <w:shd w:val="clear" w:color="auto" w:fill="FFFFFF"/>
            <w:noWrap/>
            <w:vAlign w:val="bottom"/>
            <w:hideMark/>
          </w:tcPr>
          <w:p w14:paraId="3101FEE4"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253,6</w:t>
            </w:r>
          </w:p>
        </w:tc>
        <w:tc>
          <w:tcPr>
            <w:tcW w:w="717" w:type="pct"/>
            <w:shd w:val="clear" w:color="auto" w:fill="FFFFFF"/>
            <w:noWrap/>
            <w:vAlign w:val="bottom"/>
            <w:hideMark/>
          </w:tcPr>
          <w:p w14:paraId="349C390F"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213,2</w:t>
            </w:r>
          </w:p>
        </w:tc>
        <w:tc>
          <w:tcPr>
            <w:tcW w:w="940" w:type="pct"/>
            <w:noWrap/>
            <w:vAlign w:val="bottom"/>
            <w:hideMark/>
          </w:tcPr>
          <w:p w14:paraId="6845D22F"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18,9</w:t>
            </w:r>
            <w:r w:rsidRPr="00AE4E8D">
              <w:rPr>
                <w:rFonts w:ascii="Times New Roman" w:hAnsi="Times New Roman"/>
                <w:color w:val="000000"/>
                <w:sz w:val="18"/>
                <w:lang w:val="es-ES"/>
              </w:rPr>
              <w:t>%</w:t>
            </w:r>
          </w:p>
        </w:tc>
      </w:tr>
      <w:tr w:rsidR="002E5441" w:rsidRPr="00AE4E8D" w14:paraId="36E95581" w14:textId="77777777" w:rsidTr="000400C8">
        <w:trPr>
          <w:trHeight w:val="240"/>
          <w:jc w:val="center"/>
        </w:trPr>
        <w:tc>
          <w:tcPr>
            <w:tcW w:w="2626" w:type="pct"/>
            <w:noWrap/>
            <w:vAlign w:val="bottom"/>
            <w:hideMark/>
          </w:tcPr>
          <w:p w14:paraId="7F73A949"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Depreciación y amortización  </w:t>
            </w:r>
          </w:p>
        </w:tc>
        <w:tc>
          <w:tcPr>
            <w:tcW w:w="717" w:type="pct"/>
            <w:shd w:val="clear" w:color="auto" w:fill="FFFFFF"/>
            <w:noWrap/>
            <w:vAlign w:val="bottom"/>
            <w:hideMark/>
          </w:tcPr>
          <w:p w14:paraId="13325D98"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229</w:t>
            </w:r>
            <w:r w:rsidRPr="00AE4E8D">
              <w:rPr>
                <w:rFonts w:ascii="Times New Roman" w:hAnsi="Times New Roman"/>
                <w:color w:val="000000"/>
                <w:sz w:val="18"/>
                <w:lang w:val="es-ES"/>
              </w:rPr>
              <w:t>,7</w:t>
            </w:r>
          </w:p>
        </w:tc>
        <w:tc>
          <w:tcPr>
            <w:tcW w:w="717" w:type="pct"/>
            <w:shd w:val="clear" w:color="auto" w:fill="FFFFFF"/>
            <w:noWrap/>
            <w:vAlign w:val="bottom"/>
            <w:hideMark/>
          </w:tcPr>
          <w:p w14:paraId="0E3D3E4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145,0</w:t>
            </w:r>
          </w:p>
        </w:tc>
        <w:tc>
          <w:tcPr>
            <w:tcW w:w="940" w:type="pct"/>
            <w:noWrap/>
            <w:vAlign w:val="bottom"/>
            <w:hideMark/>
          </w:tcPr>
          <w:p w14:paraId="5E8BDEA5"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58,4</w:t>
            </w:r>
            <w:r w:rsidRPr="00AE4E8D">
              <w:rPr>
                <w:rFonts w:ascii="Times New Roman" w:hAnsi="Times New Roman"/>
                <w:color w:val="000000"/>
                <w:sz w:val="18"/>
                <w:lang w:val="es-ES"/>
              </w:rPr>
              <w:t>%</w:t>
            </w:r>
          </w:p>
        </w:tc>
      </w:tr>
      <w:tr w:rsidR="002E5441" w:rsidRPr="00AE4E8D" w14:paraId="2B72068C" w14:textId="77777777" w:rsidTr="000400C8">
        <w:trPr>
          <w:trHeight w:val="240"/>
          <w:jc w:val="center"/>
        </w:trPr>
        <w:tc>
          <w:tcPr>
            <w:tcW w:w="2626" w:type="pct"/>
            <w:noWrap/>
            <w:vAlign w:val="bottom"/>
            <w:hideMark/>
          </w:tcPr>
          <w:p w14:paraId="30820F7B"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Gastos Operativos  </w:t>
            </w:r>
          </w:p>
        </w:tc>
        <w:tc>
          <w:tcPr>
            <w:tcW w:w="717" w:type="pct"/>
            <w:shd w:val="clear" w:color="auto" w:fill="FFFFFF"/>
            <w:noWrap/>
            <w:vAlign w:val="bottom"/>
            <w:hideMark/>
          </w:tcPr>
          <w:p w14:paraId="08989E74"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665,3</w:t>
            </w:r>
          </w:p>
        </w:tc>
        <w:tc>
          <w:tcPr>
            <w:tcW w:w="717" w:type="pct"/>
            <w:shd w:val="clear" w:color="auto" w:fill="FFFFFF"/>
            <w:noWrap/>
            <w:vAlign w:val="bottom"/>
            <w:hideMark/>
          </w:tcPr>
          <w:p w14:paraId="62038787"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407,9</w:t>
            </w:r>
          </w:p>
        </w:tc>
        <w:tc>
          <w:tcPr>
            <w:tcW w:w="940" w:type="pct"/>
            <w:noWrap/>
            <w:vAlign w:val="bottom"/>
            <w:hideMark/>
          </w:tcPr>
          <w:p w14:paraId="3C733982"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63,1</w:t>
            </w:r>
            <w:r w:rsidRPr="00AE4E8D">
              <w:rPr>
                <w:rFonts w:ascii="Times New Roman" w:hAnsi="Times New Roman"/>
                <w:color w:val="000000"/>
                <w:sz w:val="18"/>
                <w:lang w:val="es-ES"/>
              </w:rPr>
              <w:t>%</w:t>
            </w:r>
          </w:p>
        </w:tc>
      </w:tr>
      <w:tr w:rsidR="002E5441" w:rsidRPr="00AE4E8D" w14:paraId="331B7A24" w14:textId="77777777" w:rsidTr="000400C8">
        <w:trPr>
          <w:trHeight w:val="255"/>
          <w:jc w:val="center"/>
        </w:trPr>
        <w:tc>
          <w:tcPr>
            <w:tcW w:w="2626" w:type="pct"/>
            <w:noWrap/>
            <w:vAlign w:val="bottom"/>
            <w:hideMark/>
          </w:tcPr>
          <w:p w14:paraId="5071E5ED"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717" w:type="pct"/>
            <w:shd w:val="clear" w:color="auto" w:fill="FFFFFF"/>
            <w:noWrap/>
            <w:vAlign w:val="bottom"/>
            <w:hideMark/>
          </w:tcPr>
          <w:p w14:paraId="3C8E905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469,3</w:t>
            </w:r>
          </w:p>
        </w:tc>
        <w:tc>
          <w:tcPr>
            <w:tcW w:w="717" w:type="pct"/>
            <w:shd w:val="clear" w:color="auto" w:fill="FFFFFF"/>
            <w:noWrap/>
            <w:vAlign w:val="bottom"/>
            <w:hideMark/>
          </w:tcPr>
          <w:p w14:paraId="4444FC67"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292,4</w:t>
            </w:r>
          </w:p>
        </w:tc>
        <w:tc>
          <w:tcPr>
            <w:tcW w:w="940" w:type="pct"/>
            <w:noWrap/>
            <w:vAlign w:val="bottom"/>
            <w:hideMark/>
          </w:tcPr>
          <w:p w14:paraId="2593D33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60,5</w:t>
            </w:r>
            <w:r w:rsidRPr="00AE4E8D">
              <w:rPr>
                <w:rFonts w:ascii="Times New Roman" w:hAnsi="Times New Roman"/>
                <w:color w:val="000000"/>
                <w:sz w:val="18"/>
                <w:lang w:val="es-ES"/>
              </w:rPr>
              <w:t>%</w:t>
            </w:r>
          </w:p>
        </w:tc>
      </w:tr>
      <w:tr w:rsidR="002E5441" w:rsidRPr="00AE4E8D" w14:paraId="5CA23785" w14:textId="77777777" w:rsidTr="000400C8">
        <w:trPr>
          <w:trHeight w:val="255"/>
          <w:jc w:val="center"/>
        </w:trPr>
        <w:tc>
          <w:tcPr>
            <w:tcW w:w="2626" w:type="pct"/>
            <w:noWrap/>
            <w:vAlign w:val="bottom"/>
            <w:hideMark/>
          </w:tcPr>
          <w:p w14:paraId="40298CA6" w14:textId="77777777" w:rsidR="002E5441" w:rsidRPr="00AE4E8D" w:rsidRDefault="002E5441" w:rsidP="00E8320E">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Total gastos administrativos</w:t>
            </w:r>
            <w:r w:rsidRPr="00AE4E8D">
              <w:rPr>
                <w:rFonts w:ascii="Times New Roman" w:hAnsi="Times New Roman"/>
                <w:color w:val="000000"/>
                <w:sz w:val="18"/>
                <w:szCs w:val="18"/>
                <w:lang w:val="es-ES"/>
              </w:rPr>
              <w:t xml:space="preserve">  </w:t>
            </w:r>
          </w:p>
        </w:tc>
        <w:tc>
          <w:tcPr>
            <w:tcW w:w="717" w:type="pct"/>
            <w:tcBorders>
              <w:top w:val="single" w:sz="8" w:space="0" w:color="auto"/>
              <w:left w:val="nil"/>
              <w:bottom w:val="single" w:sz="8" w:space="0" w:color="auto"/>
              <w:right w:val="nil"/>
            </w:tcBorders>
            <w:shd w:val="clear" w:color="auto" w:fill="FFFFFF"/>
            <w:noWrap/>
            <w:vAlign w:val="bottom"/>
            <w:hideMark/>
          </w:tcPr>
          <w:p w14:paraId="1505806B"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5.014,5</w:t>
            </w:r>
          </w:p>
        </w:tc>
        <w:tc>
          <w:tcPr>
            <w:tcW w:w="717" w:type="pct"/>
            <w:tcBorders>
              <w:top w:val="single" w:sz="8" w:space="0" w:color="auto"/>
              <w:left w:val="nil"/>
              <w:bottom w:val="single" w:sz="8" w:space="0" w:color="auto"/>
              <w:right w:val="nil"/>
            </w:tcBorders>
            <w:shd w:val="clear" w:color="auto" w:fill="FFFFFF"/>
            <w:noWrap/>
            <w:vAlign w:val="bottom"/>
            <w:hideMark/>
          </w:tcPr>
          <w:p w14:paraId="0F1C409F"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3.952,6</w:t>
            </w:r>
          </w:p>
        </w:tc>
        <w:tc>
          <w:tcPr>
            <w:tcW w:w="940" w:type="pct"/>
            <w:tcBorders>
              <w:top w:val="single" w:sz="8" w:space="0" w:color="auto"/>
              <w:left w:val="nil"/>
              <w:bottom w:val="single" w:sz="8" w:space="0" w:color="auto"/>
              <w:right w:val="nil"/>
            </w:tcBorders>
            <w:noWrap/>
            <w:vAlign w:val="bottom"/>
            <w:hideMark/>
          </w:tcPr>
          <w:p w14:paraId="49E7CCA2"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26,9</w:t>
            </w:r>
            <w:r w:rsidRPr="00AE4E8D">
              <w:rPr>
                <w:rFonts w:ascii="Times New Roman" w:hAnsi="Times New Roman"/>
                <w:color w:val="000000"/>
                <w:sz w:val="18"/>
                <w:lang w:val="es-ES"/>
              </w:rPr>
              <w:t>%</w:t>
            </w:r>
          </w:p>
        </w:tc>
      </w:tr>
    </w:tbl>
    <w:p w14:paraId="5638CCE5" w14:textId="77777777" w:rsidR="002E5441" w:rsidRPr="00AE4E8D" w:rsidRDefault="002E5441" w:rsidP="002E5441">
      <w:pPr>
        <w:pStyle w:val="BHTexto"/>
        <w:rPr>
          <w:sz w:val="18"/>
        </w:rPr>
      </w:pPr>
      <w:r w:rsidRPr="00AE4E8D">
        <w:rPr>
          <w:sz w:val="18"/>
        </w:rPr>
        <w:t>(1) Consistente principalmente de: servicios de consultoría legal, notarial, contable e impositiva, personal temporario, servicios de consultoría y servicios de cobro.</w:t>
      </w:r>
    </w:p>
    <w:p w14:paraId="5C195664" w14:textId="77777777" w:rsidR="002E5441" w:rsidRPr="00AE4E8D" w:rsidRDefault="002E5441" w:rsidP="002E5441">
      <w:pPr>
        <w:pStyle w:val="BHTexto"/>
      </w:pPr>
      <w:r w:rsidRPr="00AE4E8D">
        <w:t>Los gastos administrativos aumentaron un 26,9% de Ps.3.952,6 millones por el ejercicio finalizado el 31 de diciembre de 2015 a Ps.5.014,5 millones por el ejercicio finalizado el 31 de diciembre de 2016, debido principalmente a:</w:t>
      </w:r>
    </w:p>
    <w:p w14:paraId="53141511" w14:textId="77777777" w:rsidR="002E5441" w:rsidRPr="00AE4E8D" w:rsidRDefault="002E5441" w:rsidP="002E5441">
      <w:pPr>
        <w:pStyle w:val="BHVieta2"/>
        <w:numPr>
          <w:ilvl w:val="0"/>
          <w:numId w:val="167"/>
        </w:numPr>
        <w:rPr>
          <w:lang w:val="es-ES"/>
        </w:rPr>
      </w:pPr>
      <w:r w:rsidRPr="00AE4E8D">
        <w:rPr>
          <w:lang w:val="es-ES"/>
        </w:rPr>
        <w:t xml:space="preserve">Un aumento del 17,0% en gastos de personal, de Ps.2.192,7 millones por el ejercicio finalizado el 31 de diciembre de 2015 a Ps.2.566,1 millones por el ejercicio finalizado el 31 de diciembre de 2016, fundamentalmente debido a mayores remuneraciones y cargas sociales requeridas por las reglamentaciones aplicables de Argentina principalmente como resultado de los ajustes salariales negociados entre los bancos y el sindicato; </w:t>
      </w:r>
    </w:p>
    <w:p w14:paraId="447905BE" w14:textId="77777777" w:rsidR="002E5441" w:rsidRPr="00AE4E8D" w:rsidRDefault="002E5441" w:rsidP="002E5441">
      <w:pPr>
        <w:pStyle w:val="BHVieta2"/>
        <w:numPr>
          <w:ilvl w:val="0"/>
          <w:numId w:val="167"/>
        </w:numPr>
        <w:rPr>
          <w:lang w:val="es-ES"/>
        </w:rPr>
      </w:pPr>
      <w:r w:rsidRPr="00AE4E8D">
        <w:rPr>
          <w:lang w:val="es-ES"/>
        </w:rPr>
        <w:t>Un aumento del 63,1% en otros gastos operativos de Ps.407,9 millones por el ejercicio finalizado el 31 de diciembre de 2015 a Ps.665,3 millones por el ejercicio finalizado el 31 de diciembre de 2016; y</w:t>
      </w:r>
    </w:p>
    <w:p w14:paraId="71DE1852" w14:textId="77777777" w:rsidR="002E5441" w:rsidRPr="00AE4E8D" w:rsidRDefault="002E5441" w:rsidP="002E5441">
      <w:pPr>
        <w:pStyle w:val="BHVieta2"/>
        <w:numPr>
          <w:ilvl w:val="0"/>
          <w:numId w:val="167"/>
        </w:numPr>
        <w:rPr>
          <w:lang w:val="es-ES"/>
        </w:rPr>
      </w:pPr>
      <w:r w:rsidRPr="00AE4E8D">
        <w:rPr>
          <w:lang w:val="es-ES"/>
        </w:rPr>
        <w:lastRenderedPageBreak/>
        <w:t>Un aumento del 51,2% en otros honorarios, de Ps.437,2 millones por el ejercicio finalizado el 31 de diciembre de 2015 a Ps.661,0 millones por el ejercicio finalizado el 31 de diciembre de 2016, principalmente como resultado de mayores gastos en desarrollos de sistemas.</w:t>
      </w:r>
    </w:p>
    <w:p w14:paraId="7057FADF" w14:textId="77777777" w:rsidR="002E5441" w:rsidRPr="00AE4E8D" w:rsidRDefault="002E5441" w:rsidP="002E5441">
      <w:pPr>
        <w:pStyle w:val="BHVieta2"/>
        <w:ind w:left="1780" w:firstLine="0"/>
        <w:rPr>
          <w:lang w:val="es-ES"/>
        </w:rPr>
      </w:pPr>
      <w:r w:rsidRPr="00AE4E8D">
        <w:rPr>
          <w:b/>
          <w:i/>
          <w:lang w:val="es-ES" w:eastAsia="es-AR"/>
        </w:rPr>
        <w:t xml:space="preserve"> </w:t>
      </w:r>
    </w:p>
    <w:p w14:paraId="7A402B3A" w14:textId="77777777" w:rsidR="002E5441" w:rsidRPr="00AE4E8D" w:rsidRDefault="002E5441" w:rsidP="002E5441">
      <w:pPr>
        <w:pStyle w:val="BH4Cursiva"/>
      </w:pPr>
      <w:r w:rsidRPr="00AE4E8D">
        <w:t>Utilidades Diversas Netas</w:t>
      </w:r>
    </w:p>
    <w:p w14:paraId="0AC757C5" w14:textId="77777777" w:rsidR="002E5441" w:rsidRPr="00AE4E8D" w:rsidRDefault="002E5441" w:rsidP="002E5441">
      <w:pPr>
        <w:pStyle w:val="BHTexto"/>
      </w:pPr>
      <w:r w:rsidRPr="00AE4E8D">
        <w:t>La siguiente tabla detalla las utilidades netas diversas para los ejercicios finalizados el 31 de diciembre de 2016 y 2015:</w:t>
      </w:r>
    </w:p>
    <w:tbl>
      <w:tblPr>
        <w:tblW w:w="5000" w:type="pct"/>
        <w:jc w:val="center"/>
        <w:tblLook w:val="00A0" w:firstRow="1" w:lastRow="0" w:firstColumn="1" w:lastColumn="0" w:noHBand="0" w:noVBand="0"/>
      </w:tblPr>
      <w:tblGrid>
        <w:gridCol w:w="4789"/>
        <w:gridCol w:w="1188"/>
        <w:gridCol w:w="1188"/>
        <w:gridCol w:w="1556"/>
      </w:tblGrid>
      <w:tr w:rsidR="002E5441" w:rsidRPr="00AE4E8D" w14:paraId="5AFBA7D2" w14:textId="77777777" w:rsidTr="000400C8">
        <w:trPr>
          <w:trHeight w:val="255"/>
          <w:jc w:val="center"/>
        </w:trPr>
        <w:tc>
          <w:tcPr>
            <w:tcW w:w="2746" w:type="pct"/>
            <w:noWrap/>
            <w:vAlign w:val="bottom"/>
          </w:tcPr>
          <w:p w14:paraId="1C7ED23F" w14:textId="77777777" w:rsidR="002E5441" w:rsidRPr="00AE4E8D" w:rsidRDefault="002E5441" w:rsidP="00E8320E">
            <w:pPr>
              <w:rPr>
                <w:rFonts w:ascii="Times New Roman" w:hAnsi="Times New Roman"/>
                <w:color w:val="000000"/>
                <w:sz w:val="18"/>
                <w:szCs w:val="18"/>
                <w:lang w:val="es-ES"/>
              </w:rPr>
            </w:pPr>
          </w:p>
        </w:tc>
        <w:tc>
          <w:tcPr>
            <w:tcW w:w="1362" w:type="pct"/>
            <w:gridSpan w:val="2"/>
            <w:tcBorders>
              <w:top w:val="single" w:sz="8" w:space="0" w:color="auto"/>
              <w:left w:val="nil"/>
              <w:bottom w:val="single" w:sz="8" w:space="0" w:color="auto"/>
              <w:right w:val="nil"/>
            </w:tcBorders>
            <w:noWrap/>
            <w:vAlign w:val="bottom"/>
            <w:hideMark/>
          </w:tcPr>
          <w:p w14:paraId="48547EC6" w14:textId="77777777" w:rsidR="002E5441" w:rsidRPr="00AE4E8D" w:rsidRDefault="002E5441" w:rsidP="00E8320E">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 xml:space="preserve">Ejercicio finalizado </w:t>
            </w:r>
          </w:p>
          <w:p w14:paraId="6C903B22" w14:textId="77777777" w:rsidR="002E5441" w:rsidRPr="00AE4E8D" w:rsidRDefault="002E5441" w:rsidP="00E8320E">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el 31 de diciembre de</w:t>
            </w:r>
          </w:p>
        </w:tc>
        <w:tc>
          <w:tcPr>
            <w:tcW w:w="892" w:type="pct"/>
            <w:tcBorders>
              <w:top w:val="single" w:sz="8" w:space="0" w:color="auto"/>
              <w:left w:val="nil"/>
              <w:bottom w:val="single" w:sz="8" w:space="0" w:color="auto"/>
              <w:right w:val="nil"/>
            </w:tcBorders>
            <w:noWrap/>
            <w:vAlign w:val="bottom"/>
            <w:hideMark/>
          </w:tcPr>
          <w:p w14:paraId="743972F2"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2E5441" w:rsidRPr="00AE4E8D" w14:paraId="27B11202" w14:textId="77777777" w:rsidTr="000400C8">
        <w:trPr>
          <w:trHeight w:val="255"/>
          <w:jc w:val="center"/>
        </w:trPr>
        <w:tc>
          <w:tcPr>
            <w:tcW w:w="2746" w:type="pct"/>
            <w:noWrap/>
            <w:vAlign w:val="bottom"/>
          </w:tcPr>
          <w:p w14:paraId="03621183" w14:textId="77777777" w:rsidR="002E5441" w:rsidRPr="00AE4E8D" w:rsidRDefault="002E5441" w:rsidP="00E8320E">
            <w:pPr>
              <w:rPr>
                <w:rFonts w:ascii="Times New Roman" w:hAnsi="Times New Roman"/>
                <w:color w:val="000000"/>
                <w:sz w:val="18"/>
                <w:szCs w:val="18"/>
                <w:lang w:val="en-US"/>
              </w:rPr>
            </w:pPr>
          </w:p>
        </w:tc>
        <w:tc>
          <w:tcPr>
            <w:tcW w:w="681" w:type="pct"/>
            <w:tcBorders>
              <w:top w:val="nil"/>
              <w:left w:val="nil"/>
              <w:bottom w:val="single" w:sz="8" w:space="0" w:color="auto"/>
              <w:right w:val="nil"/>
            </w:tcBorders>
            <w:noWrap/>
            <w:vAlign w:val="bottom"/>
            <w:hideMark/>
          </w:tcPr>
          <w:p w14:paraId="6446897B"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2016</w:t>
            </w:r>
          </w:p>
        </w:tc>
        <w:tc>
          <w:tcPr>
            <w:tcW w:w="681" w:type="pct"/>
            <w:tcBorders>
              <w:top w:val="nil"/>
              <w:left w:val="nil"/>
              <w:bottom w:val="single" w:sz="8" w:space="0" w:color="auto"/>
              <w:right w:val="nil"/>
            </w:tcBorders>
            <w:noWrap/>
            <w:vAlign w:val="bottom"/>
            <w:hideMark/>
          </w:tcPr>
          <w:p w14:paraId="01152B0C"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892" w:type="pct"/>
            <w:tcBorders>
              <w:top w:val="nil"/>
              <w:left w:val="nil"/>
              <w:bottom w:val="single" w:sz="8" w:space="0" w:color="auto"/>
              <w:right w:val="nil"/>
            </w:tcBorders>
            <w:noWrap/>
            <w:vAlign w:val="bottom"/>
            <w:hideMark/>
          </w:tcPr>
          <w:p w14:paraId="24212C66" w14:textId="77777777" w:rsidR="002E5441" w:rsidRPr="00AE4E8D" w:rsidRDefault="002E5441" w:rsidP="00E8320E">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2015/2016</w:t>
            </w:r>
          </w:p>
        </w:tc>
      </w:tr>
      <w:tr w:rsidR="002E5441" w:rsidRPr="00AE4E8D" w14:paraId="17775974" w14:textId="77777777" w:rsidTr="000400C8">
        <w:trPr>
          <w:trHeight w:val="240"/>
          <w:jc w:val="center"/>
        </w:trPr>
        <w:tc>
          <w:tcPr>
            <w:tcW w:w="2746" w:type="pct"/>
            <w:noWrap/>
            <w:vAlign w:val="bottom"/>
          </w:tcPr>
          <w:p w14:paraId="4F0CAA9C" w14:textId="77777777" w:rsidR="002E5441" w:rsidRPr="00AE4E8D" w:rsidRDefault="002E5441" w:rsidP="00E8320E">
            <w:pPr>
              <w:rPr>
                <w:rFonts w:ascii="Times New Roman" w:hAnsi="Times New Roman"/>
                <w:color w:val="000000"/>
                <w:sz w:val="18"/>
                <w:szCs w:val="18"/>
                <w:lang w:val="en-US"/>
              </w:rPr>
            </w:pPr>
          </w:p>
        </w:tc>
        <w:tc>
          <w:tcPr>
            <w:tcW w:w="2254" w:type="pct"/>
            <w:gridSpan w:val="3"/>
            <w:tcBorders>
              <w:top w:val="single" w:sz="8" w:space="0" w:color="auto"/>
              <w:left w:val="nil"/>
              <w:bottom w:val="nil"/>
              <w:right w:val="nil"/>
            </w:tcBorders>
            <w:noWrap/>
            <w:vAlign w:val="bottom"/>
            <w:hideMark/>
          </w:tcPr>
          <w:p w14:paraId="33F9F6A1" w14:textId="77777777" w:rsidR="002E5441" w:rsidRPr="00AE4E8D" w:rsidRDefault="002E5441" w:rsidP="00E8320E">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2E5441" w:rsidRPr="00AE4E8D" w14:paraId="56CC5684" w14:textId="77777777" w:rsidTr="000400C8">
        <w:trPr>
          <w:trHeight w:val="240"/>
          <w:jc w:val="center"/>
        </w:trPr>
        <w:tc>
          <w:tcPr>
            <w:tcW w:w="2746" w:type="pct"/>
            <w:noWrap/>
            <w:vAlign w:val="bottom"/>
            <w:hideMark/>
          </w:tcPr>
          <w:p w14:paraId="58AF7E3F" w14:textId="77777777" w:rsidR="002E5441" w:rsidRPr="00AE4E8D" w:rsidRDefault="002E5441" w:rsidP="00E8320E">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Utilidades diversas</w:t>
            </w:r>
          </w:p>
        </w:tc>
        <w:tc>
          <w:tcPr>
            <w:tcW w:w="681" w:type="pct"/>
            <w:noWrap/>
            <w:vAlign w:val="bottom"/>
          </w:tcPr>
          <w:p w14:paraId="5F8B1F2F" w14:textId="77777777" w:rsidR="002E5441" w:rsidRPr="00AE4E8D" w:rsidRDefault="002E5441" w:rsidP="00E8320E">
            <w:pPr>
              <w:rPr>
                <w:rFonts w:ascii="Times New Roman" w:hAnsi="Times New Roman"/>
                <w:color w:val="000000"/>
                <w:sz w:val="18"/>
                <w:lang w:val="en-US"/>
              </w:rPr>
            </w:pPr>
          </w:p>
        </w:tc>
        <w:tc>
          <w:tcPr>
            <w:tcW w:w="681" w:type="pct"/>
            <w:noWrap/>
            <w:vAlign w:val="bottom"/>
          </w:tcPr>
          <w:p w14:paraId="77384847" w14:textId="77777777" w:rsidR="002E5441" w:rsidRPr="00AE4E8D" w:rsidRDefault="002E5441" w:rsidP="00E8320E">
            <w:pPr>
              <w:rPr>
                <w:rFonts w:ascii="Times New Roman" w:hAnsi="Times New Roman"/>
                <w:color w:val="000000"/>
                <w:sz w:val="18"/>
                <w:lang w:val="en-US"/>
              </w:rPr>
            </w:pPr>
          </w:p>
        </w:tc>
        <w:tc>
          <w:tcPr>
            <w:tcW w:w="892" w:type="pct"/>
            <w:noWrap/>
            <w:vAlign w:val="bottom"/>
          </w:tcPr>
          <w:p w14:paraId="4539D5D0" w14:textId="77777777" w:rsidR="002E5441" w:rsidRPr="00AE4E8D" w:rsidRDefault="002E5441" w:rsidP="00E8320E">
            <w:pPr>
              <w:rPr>
                <w:rFonts w:ascii="Times New Roman" w:hAnsi="Times New Roman"/>
                <w:color w:val="000000"/>
                <w:sz w:val="18"/>
                <w:lang w:val="en-US"/>
              </w:rPr>
            </w:pPr>
          </w:p>
        </w:tc>
      </w:tr>
      <w:tr w:rsidR="002E5441" w:rsidRPr="00AE4E8D" w14:paraId="0E6647F6" w14:textId="77777777" w:rsidTr="000400C8">
        <w:trPr>
          <w:trHeight w:val="240"/>
          <w:jc w:val="center"/>
        </w:trPr>
        <w:tc>
          <w:tcPr>
            <w:tcW w:w="2746" w:type="pct"/>
            <w:noWrap/>
            <w:vAlign w:val="bottom"/>
            <w:hideMark/>
          </w:tcPr>
          <w:p w14:paraId="781FEA81" w14:textId="77777777" w:rsidR="002E5441" w:rsidRPr="00AE4E8D" w:rsidRDefault="002E5441" w:rsidP="00845924">
            <w:pPr>
              <w:rPr>
                <w:rFonts w:ascii="Times New Roman" w:hAnsi="Times New Roman"/>
                <w:color w:val="000000"/>
                <w:sz w:val="18"/>
                <w:szCs w:val="18"/>
                <w:lang w:val="en-US"/>
              </w:rPr>
            </w:pPr>
            <w:r w:rsidRPr="00AE4E8D">
              <w:rPr>
                <w:rFonts w:ascii="Times New Roman" w:hAnsi="Times New Roman"/>
                <w:color w:val="000000"/>
                <w:sz w:val="18"/>
                <w:szCs w:val="18"/>
                <w:lang w:val="es-ES"/>
              </w:rPr>
              <w:t>Resultados de participaciones permanentes</w:t>
            </w:r>
            <w:r w:rsidR="00845924" w:rsidRPr="00AE4E8D">
              <w:rPr>
                <w:rFonts w:ascii="Times New Roman" w:hAnsi="Times New Roman"/>
                <w:color w:val="000000"/>
                <w:sz w:val="18"/>
                <w:szCs w:val="18"/>
                <w:lang w:val="es-ES"/>
              </w:rPr>
              <w:t xml:space="preserve"> </w:t>
            </w:r>
          </w:p>
        </w:tc>
        <w:tc>
          <w:tcPr>
            <w:tcW w:w="681" w:type="pct"/>
            <w:shd w:val="clear" w:color="auto" w:fill="FFFFFF"/>
            <w:noWrap/>
            <w:vAlign w:val="bottom"/>
            <w:hideMark/>
          </w:tcPr>
          <w:p w14:paraId="7B744DE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35,7</w:t>
            </w:r>
          </w:p>
        </w:tc>
        <w:tc>
          <w:tcPr>
            <w:tcW w:w="681" w:type="pct"/>
            <w:shd w:val="clear" w:color="auto" w:fill="FFFFFF"/>
            <w:noWrap/>
            <w:vAlign w:val="bottom"/>
            <w:hideMark/>
          </w:tcPr>
          <w:p w14:paraId="37DE48B3"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13,</w:t>
            </w:r>
            <w:r w:rsidRPr="00AE4E8D">
              <w:rPr>
                <w:rFonts w:ascii="Times New Roman" w:hAnsi="Times New Roman"/>
                <w:color w:val="000000"/>
                <w:sz w:val="18"/>
                <w:lang w:val="es-ES"/>
              </w:rPr>
              <w:t>8</w:t>
            </w:r>
          </w:p>
        </w:tc>
        <w:tc>
          <w:tcPr>
            <w:tcW w:w="892" w:type="pct"/>
            <w:noWrap/>
            <w:vAlign w:val="bottom"/>
            <w:hideMark/>
          </w:tcPr>
          <w:p w14:paraId="6597DF81"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159,0%</w:t>
            </w:r>
          </w:p>
        </w:tc>
      </w:tr>
      <w:tr w:rsidR="002E5441" w:rsidRPr="00AE4E8D" w14:paraId="3973C7DC" w14:textId="77777777" w:rsidTr="000400C8">
        <w:trPr>
          <w:trHeight w:val="240"/>
          <w:jc w:val="center"/>
        </w:trPr>
        <w:tc>
          <w:tcPr>
            <w:tcW w:w="2746" w:type="pct"/>
            <w:noWrap/>
            <w:vAlign w:val="bottom"/>
            <w:hideMark/>
          </w:tcPr>
          <w:p w14:paraId="04E351A8"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Intereses punitorios  </w:t>
            </w:r>
          </w:p>
        </w:tc>
        <w:tc>
          <w:tcPr>
            <w:tcW w:w="681" w:type="pct"/>
            <w:shd w:val="clear" w:color="auto" w:fill="FFFFFF"/>
            <w:noWrap/>
            <w:vAlign w:val="bottom"/>
            <w:hideMark/>
          </w:tcPr>
          <w:p w14:paraId="1FC050BB"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97,0</w:t>
            </w:r>
          </w:p>
        </w:tc>
        <w:tc>
          <w:tcPr>
            <w:tcW w:w="681" w:type="pct"/>
            <w:shd w:val="clear" w:color="auto" w:fill="FFFFFF"/>
            <w:noWrap/>
            <w:vAlign w:val="bottom"/>
            <w:hideMark/>
          </w:tcPr>
          <w:p w14:paraId="2FE5E057"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98,4</w:t>
            </w:r>
          </w:p>
        </w:tc>
        <w:tc>
          <w:tcPr>
            <w:tcW w:w="892" w:type="pct"/>
            <w:noWrap/>
            <w:vAlign w:val="bottom"/>
            <w:hideMark/>
          </w:tcPr>
          <w:p w14:paraId="20DC2B3F"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1,4</w:t>
            </w:r>
            <w:r w:rsidRPr="00AE4E8D">
              <w:rPr>
                <w:rFonts w:ascii="Times New Roman" w:hAnsi="Times New Roman"/>
                <w:color w:val="000000"/>
                <w:sz w:val="18"/>
                <w:lang w:val="es-ES"/>
              </w:rPr>
              <w:t>)%</w:t>
            </w:r>
          </w:p>
        </w:tc>
      </w:tr>
      <w:tr w:rsidR="002E5441" w:rsidRPr="00AE4E8D" w14:paraId="6F2DCC7C" w14:textId="77777777" w:rsidTr="000400C8">
        <w:trPr>
          <w:trHeight w:val="240"/>
          <w:jc w:val="center"/>
        </w:trPr>
        <w:tc>
          <w:tcPr>
            <w:tcW w:w="2746" w:type="pct"/>
            <w:noWrap/>
            <w:vAlign w:val="bottom"/>
            <w:hideMark/>
          </w:tcPr>
          <w:p w14:paraId="29C710B3" w14:textId="77777777" w:rsidR="002E5441" w:rsidRPr="00AE4E8D" w:rsidRDefault="002E5441"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Recupero de préstamos y previsiones desafectadas  </w:t>
            </w:r>
          </w:p>
        </w:tc>
        <w:tc>
          <w:tcPr>
            <w:tcW w:w="681" w:type="pct"/>
            <w:shd w:val="clear" w:color="auto" w:fill="FFFFFF"/>
            <w:noWrap/>
            <w:vAlign w:val="bottom"/>
            <w:hideMark/>
          </w:tcPr>
          <w:p w14:paraId="54D86B55"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219,6</w:t>
            </w:r>
          </w:p>
        </w:tc>
        <w:tc>
          <w:tcPr>
            <w:tcW w:w="681" w:type="pct"/>
            <w:shd w:val="clear" w:color="auto" w:fill="FFFFFF"/>
            <w:noWrap/>
            <w:vAlign w:val="bottom"/>
            <w:hideMark/>
          </w:tcPr>
          <w:p w14:paraId="0D9A8096"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265,5</w:t>
            </w:r>
          </w:p>
        </w:tc>
        <w:tc>
          <w:tcPr>
            <w:tcW w:w="892" w:type="pct"/>
            <w:noWrap/>
            <w:vAlign w:val="bottom"/>
            <w:hideMark/>
          </w:tcPr>
          <w:p w14:paraId="7B43B2C3"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(17,3)%</w:t>
            </w:r>
          </w:p>
        </w:tc>
      </w:tr>
      <w:tr w:rsidR="002E5441" w:rsidRPr="00AE4E8D" w14:paraId="0A644E1C" w14:textId="77777777" w:rsidTr="000400C8">
        <w:trPr>
          <w:trHeight w:val="255"/>
          <w:jc w:val="center"/>
        </w:trPr>
        <w:tc>
          <w:tcPr>
            <w:tcW w:w="2746" w:type="pct"/>
            <w:noWrap/>
            <w:vAlign w:val="bottom"/>
            <w:hideMark/>
          </w:tcPr>
          <w:p w14:paraId="4B0AB5BF" w14:textId="77777777" w:rsidR="002E5441" w:rsidRPr="00AE4E8D" w:rsidRDefault="002E5441"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681" w:type="pct"/>
            <w:shd w:val="clear" w:color="auto" w:fill="FFFFFF"/>
            <w:noWrap/>
            <w:vAlign w:val="bottom"/>
            <w:hideMark/>
          </w:tcPr>
          <w:p w14:paraId="74EB2E3C"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160,3</w:t>
            </w:r>
          </w:p>
        </w:tc>
        <w:tc>
          <w:tcPr>
            <w:tcW w:w="681" w:type="pct"/>
            <w:shd w:val="clear" w:color="auto" w:fill="FFFFFF"/>
            <w:noWrap/>
            <w:vAlign w:val="bottom"/>
            <w:hideMark/>
          </w:tcPr>
          <w:p w14:paraId="7D59A96E" w14:textId="77777777" w:rsidR="002E5441" w:rsidRPr="00AE4E8D" w:rsidRDefault="002E5441" w:rsidP="0079317E">
            <w:pPr>
              <w:jc w:val="right"/>
              <w:rPr>
                <w:rFonts w:ascii="Times New Roman" w:hAnsi="Times New Roman"/>
                <w:color w:val="000000"/>
                <w:sz w:val="18"/>
                <w:lang w:val="es-ES"/>
              </w:rPr>
            </w:pPr>
            <w:r w:rsidRPr="00AE4E8D">
              <w:rPr>
                <w:rFonts w:ascii="Times New Roman" w:hAnsi="Times New Roman"/>
                <w:color w:val="000000"/>
                <w:sz w:val="18"/>
                <w:szCs w:val="18"/>
                <w:lang w:val="es-ES"/>
              </w:rPr>
              <w:t>117,</w:t>
            </w:r>
            <w:r w:rsidR="0079317E" w:rsidRPr="00AE4E8D">
              <w:rPr>
                <w:rFonts w:ascii="Times New Roman" w:hAnsi="Times New Roman"/>
                <w:color w:val="000000"/>
                <w:sz w:val="18"/>
                <w:szCs w:val="18"/>
                <w:lang w:val="es-ES"/>
              </w:rPr>
              <w:t>3</w:t>
            </w:r>
          </w:p>
        </w:tc>
        <w:tc>
          <w:tcPr>
            <w:tcW w:w="892" w:type="pct"/>
            <w:noWrap/>
            <w:vAlign w:val="bottom"/>
            <w:hideMark/>
          </w:tcPr>
          <w:p w14:paraId="73C5E80E"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36,6</w:t>
            </w:r>
            <w:r w:rsidRPr="00AE4E8D">
              <w:rPr>
                <w:rFonts w:ascii="Times New Roman" w:hAnsi="Times New Roman"/>
                <w:color w:val="000000"/>
                <w:sz w:val="18"/>
                <w:lang w:val="es-ES"/>
              </w:rPr>
              <w:t>%</w:t>
            </w:r>
          </w:p>
        </w:tc>
      </w:tr>
      <w:tr w:rsidR="002E5441" w:rsidRPr="00AE4E8D" w14:paraId="3E664DD5" w14:textId="77777777" w:rsidTr="000400C8">
        <w:trPr>
          <w:trHeight w:val="255"/>
          <w:jc w:val="center"/>
        </w:trPr>
        <w:tc>
          <w:tcPr>
            <w:tcW w:w="2746" w:type="pct"/>
            <w:noWrap/>
            <w:vAlign w:val="bottom"/>
            <w:hideMark/>
          </w:tcPr>
          <w:p w14:paraId="451546BD" w14:textId="77777777" w:rsidR="002E5441" w:rsidRPr="00AE4E8D" w:rsidRDefault="002E5441" w:rsidP="00E8320E">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Total utilidades diversas</w:t>
            </w:r>
            <w:r w:rsidRPr="00AE4E8D">
              <w:rPr>
                <w:rFonts w:ascii="Times New Roman" w:hAnsi="Times New Roman"/>
                <w:color w:val="000000"/>
                <w:sz w:val="18"/>
                <w:szCs w:val="18"/>
                <w:lang w:val="es-ES"/>
              </w:rPr>
              <w:t xml:space="preserve">  </w:t>
            </w:r>
          </w:p>
        </w:tc>
        <w:tc>
          <w:tcPr>
            <w:tcW w:w="681" w:type="pct"/>
            <w:tcBorders>
              <w:top w:val="single" w:sz="8" w:space="0" w:color="auto"/>
              <w:left w:val="nil"/>
              <w:bottom w:val="single" w:sz="8" w:space="0" w:color="auto"/>
              <w:right w:val="nil"/>
            </w:tcBorders>
            <w:shd w:val="clear" w:color="auto" w:fill="FFFFFF"/>
            <w:noWrap/>
            <w:vAlign w:val="bottom"/>
            <w:hideMark/>
          </w:tcPr>
          <w:p w14:paraId="5C478DD6" w14:textId="77777777" w:rsidR="002E5441" w:rsidRPr="00AE4E8D" w:rsidRDefault="002E5441" w:rsidP="0079317E">
            <w:pPr>
              <w:jc w:val="right"/>
              <w:rPr>
                <w:rFonts w:ascii="Times New Roman" w:hAnsi="Times New Roman"/>
                <w:color w:val="000000"/>
                <w:sz w:val="18"/>
                <w:lang w:val="es-ES"/>
              </w:rPr>
            </w:pPr>
            <w:r w:rsidRPr="00AE4E8D">
              <w:rPr>
                <w:rFonts w:ascii="Times New Roman" w:hAnsi="Times New Roman"/>
                <w:color w:val="000000"/>
                <w:sz w:val="18"/>
                <w:szCs w:val="18"/>
                <w:lang w:val="es-ES"/>
              </w:rPr>
              <w:t>512</w:t>
            </w:r>
            <w:r w:rsidRPr="00AE4E8D">
              <w:rPr>
                <w:rFonts w:ascii="Times New Roman" w:hAnsi="Times New Roman"/>
                <w:color w:val="000000"/>
                <w:sz w:val="18"/>
                <w:lang w:val="es-ES"/>
              </w:rPr>
              <w:t>,</w:t>
            </w:r>
            <w:r w:rsidR="0079317E" w:rsidRPr="00AE4E8D">
              <w:rPr>
                <w:rFonts w:ascii="Times New Roman" w:hAnsi="Times New Roman"/>
                <w:color w:val="000000"/>
                <w:sz w:val="18"/>
                <w:lang w:val="es-ES"/>
              </w:rPr>
              <w:t>6</w:t>
            </w:r>
          </w:p>
        </w:tc>
        <w:tc>
          <w:tcPr>
            <w:tcW w:w="681" w:type="pct"/>
            <w:tcBorders>
              <w:top w:val="single" w:sz="8" w:space="0" w:color="auto"/>
              <w:left w:val="nil"/>
              <w:bottom w:val="single" w:sz="8" w:space="0" w:color="auto"/>
              <w:right w:val="nil"/>
            </w:tcBorders>
            <w:shd w:val="clear" w:color="auto" w:fill="FFFFFF"/>
            <w:noWrap/>
            <w:vAlign w:val="bottom"/>
            <w:hideMark/>
          </w:tcPr>
          <w:p w14:paraId="40192807"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495,0</w:t>
            </w:r>
          </w:p>
        </w:tc>
        <w:tc>
          <w:tcPr>
            <w:tcW w:w="892" w:type="pct"/>
            <w:tcBorders>
              <w:top w:val="single" w:sz="8" w:space="0" w:color="auto"/>
              <w:left w:val="nil"/>
              <w:bottom w:val="single" w:sz="8" w:space="0" w:color="auto"/>
              <w:right w:val="nil"/>
            </w:tcBorders>
            <w:noWrap/>
            <w:vAlign w:val="bottom"/>
            <w:hideMark/>
          </w:tcPr>
          <w:p w14:paraId="202173DB" w14:textId="77777777" w:rsidR="002E5441" w:rsidRPr="00AE4E8D" w:rsidRDefault="002E5441"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w:t>
            </w:r>
            <w:r w:rsidRPr="00AE4E8D">
              <w:rPr>
                <w:rFonts w:ascii="Times New Roman" w:hAnsi="Times New Roman"/>
                <w:color w:val="000000"/>
                <w:sz w:val="18"/>
                <w:lang w:val="es-ES"/>
              </w:rPr>
              <w:t>,5%</w:t>
            </w:r>
          </w:p>
        </w:tc>
      </w:tr>
      <w:tr w:rsidR="002E5441" w:rsidRPr="00AE4E8D" w14:paraId="70E1A4FB" w14:textId="77777777" w:rsidTr="000400C8">
        <w:trPr>
          <w:trHeight w:val="240"/>
          <w:jc w:val="center"/>
        </w:trPr>
        <w:tc>
          <w:tcPr>
            <w:tcW w:w="2746" w:type="pct"/>
            <w:noWrap/>
            <w:vAlign w:val="bottom"/>
            <w:hideMark/>
          </w:tcPr>
          <w:p w14:paraId="75C4C3D6" w14:textId="77777777" w:rsidR="002E5441" w:rsidRPr="00AE4E8D" w:rsidRDefault="002E5441" w:rsidP="00E8320E">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Pérdidas diversas</w:t>
            </w:r>
          </w:p>
        </w:tc>
        <w:tc>
          <w:tcPr>
            <w:tcW w:w="681" w:type="pct"/>
            <w:shd w:val="clear" w:color="auto" w:fill="FFFFFF"/>
            <w:noWrap/>
            <w:vAlign w:val="bottom"/>
          </w:tcPr>
          <w:p w14:paraId="1899D252" w14:textId="77777777" w:rsidR="002E5441" w:rsidRPr="00AE4E8D" w:rsidRDefault="002E5441" w:rsidP="00E8320E">
            <w:pPr>
              <w:jc w:val="right"/>
              <w:rPr>
                <w:rFonts w:ascii="Times New Roman" w:hAnsi="Times New Roman"/>
                <w:color w:val="000000"/>
                <w:sz w:val="18"/>
                <w:lang w:val="es-ES"/>
              </w:rPr>
            </w:pPr>
          </w:p>
        </w:tc>
        <w:tc>
          <w:tcPr>
            <w:tcW w:w="681" w:type="pct"/>
            <w:shd w:val="clear" w:color="auto" w:fill="FFFFFF"/>
            <w:noWrap/>
            <w:vAlign w:val="bottom"/>
          </w:tcPr>
          <w:p w14:paraId="602644B7" w14:textId="77777777" w:rsidR="002E5441" w:rsidRPr="00AE4E8D" w:rsidRDefault="002E5441" w:rsidP="00E8320E">
            <w:pPr>
              <w:jc w:val="right"/>
              <w:rPr>
                <w:rFonts w:ascii="Times New Roman" w:hAnsi="Times New Roman"/>
                <w:color w:val="000000"/>
                <w:sz w:val="18"/>
                <w:lang w:val="es-ES"/>
              </w:rPr>
            </w:pPr>
          </w:p>
        </w:tc>
        <w:tc>
          <w:tcPr>
            <w:tcW w:w="892" w:type="pct"/>
            <w:noWrap/>
            <w:vAlign w:val="bottom"/>
          </w:tcPr>
          <w:p w14:paraId="372711C6" w14:textId="77777777" w:rsidR="002E5441" w:rsidRPr="00AE4E8D" w:rsidRDefault="002E5441" w:rsidP="00E8320E">
            <w:pPr>
              <w:jc w:val="right"/>
              <w:rPr>
                <w:rFonts w:ascii="Times New Roman" w:hAnsi="Times New Roman"/>
                <w:color w:val="000000"/>
                <w:sz w:val="18"/>
                <w:lang w:val="es-ES"/>
              </w:rPr>
            </w:pPr>
          </w:p>
        </w:tc>
      </w:tr>
      <w:tr w:rsidR="00A93482" w:rsidRPr="00A93482" w14:paraId="2195AB02" w14:textId="77777777" w:rsidTr="000400C8">
        <w:trPr>
          <w:trHeight w:val="240"/>
          <w:jc w:val="center"/>
        </w:trPr>
        <w:tc>
          <w:tcPr>
            <w:tcW w:w="2746" w:type="pct"/>
            <w:noWrap/>
            <w:vAlign w:val="bottom"/>
          </w:tcPr>
          <w:p w14:paraId="1B831909" w14:textId="77777777" w:rsidR="00A93482" w:rsidRPr="00741C23" w:rsidRDefault="00741C23" w:rsidP="00E8320E">
            <w:pPr>
              <w:rPr>
                <w:rFonts w:ascii="Times New Roman" w:hAnsi="Times New Roman"/>
                <w:color w:val="000000"/>
                <w:sz w:val="18"/>
                <w:szCs w:val="18"/>
                <w:lang w:val="es-ES"/>
              </w:rPr>
            </w:pPr>
            <w:r w:rsidRPr="00741C23">
              <w:rPr>
                <w:rFonts w:ascii="Times New Roman" w:hAnsi="Times New Roman"/>
                <w:color w:val="000000"/>
                <w:sz w:val="18"/>
                <w:szCs w:val="18"/>
                <w:lang w:val="es-ES"/>
              </w:rPr>
              <w:t>Intereses punitorios y cargos a favor del BCRA</w:t>
            </w:r>
          </w:p>
        </w:tc>
        <w:tc>
          <w:tcPr>
            <w:tcW w:w="681" w:type="pct"/>
            <w:shd w:val="clear" w:color="auto" w:fill="FFFFFF"/>
            <w:noWrap/>
            <w:vAlign w:val="bottom"/>
          </w:tcPr>
          <w:p w14:paraId="0F643ED2" w14:textId="77777777" w:rsidR="00A93482" w:rsidRPr="00A93482" w:rsidRDefault="00A93482" w:rsidP="00A93482">
            <w:pPr>
              <w:jc w:val="right"/>
              <w:rPr>
                <w:rFonts w:ascii="Times New Roman" w:hAnsi="Times New Roman"/>
                <w:color w:val="000000"/>
                <w:sz w:val="18"/>
                <w:szCs w:val="18"/>
                <w:lang w:val="es-ES"/>
              </w:rPr>
            </w:pPr>
            <w:r w:rsidRPr="00A93482">
              <w:rPr>
                <w:rFonts w:ascii="Times New Roman" w:hAnsi="Times New Roman"/>
                <w:color w:val="000000"/>
                <w:sz w:val="18"/>
                <w:szCs w:val="18"/>
                <w:lang w:val="es-ES"/>
              </w:rPr>
              <w:t>0,3</w:t>
            </w:r>
          </w:p>
        </w:tc>
        <w:tc>
          <w:tcPr>
            <w:tcW w:w="681" w:type="pct"/>
            <w:shd w:val="clear" w:color="auto" w:fill="FFFFFF"/>
            <w:noWrap/>
            <w:vAlign w:val="bottom"/>
          </w:tcPr>
          <w:p w14:paraId="13CABBE2" w14:textId="77777777" w:rsidR="00A93482" w:rsidRPr="00A93482" w:rsidRDefault="00A93482" w:rsidP="00A93482">
            <w:pPr>
              <w:jc w:val="right"/>
              <w:rPr>
                <w:rFonts w:ascii="Times New Roman" w:hAnsi="Times New Roman"/>
                <w:color w:val="000000"/>
                <w:sz w:val="18"/>
                <w:szCs w:val="18"/>
                <w:lang w:val="es-ES"/>
              </w:rPr>
            </w:pPr>
            <w:r w:rsidRPr="00A93482">
              <w:rPr>
                <w:rFonts w:ascii="Times New Roman" w:hAnsi="Times New Roman"/>
                <w:color w:val="000000"/>
                <w:sz w:val="18"/>
                <w:szCs w:val="18"/>
                <w:lang w:val="es-ES"/>
              </w:rPr>
              <w:t>0,6</w:t>
            </w:r>
          </w:p>
        </w:tc>
        <w:tc>
          <w:tcPr>
            <w:tcW w:w="892" w:type="pct"/>
            <w:noWrap/>
            <w:vAlign w:val="bottom"/>
          </w:tcPr>
          <w:p w14:paraId="63968C6A" w14:textId="77777777" w:rsidR="00A93482" w:rsidRPr="00A93482" w:rsidRDefault="00A93482" w:rsidP="00A93482">
            <w:pPr>
              <w:tabs>
                <w:tab w:val="decimal" w:pos="734"/>
              </w:tabs>
              <w:jc w:val="right"/>
              <w:rPr>
                <w:rFonts w:ascii="Times New Roman" w:hAnsi="Times New Roman"/>
                <w:color w:val="000000"/>
                <w:sz w:val="18"/>
                <w:szCs w:val="18"/>
                <w:lang w:val="es-ES"/>
              </w:rPr>
            </w:pPr>
            <w:r w:rsidRPr="00A93482">
              <w:rPr>
                <w:rFonts w:ascii="Times New Roman" w:hAnsi="Times New Roman"/>
                <w:color w:val="000000"/>
                <w:sz w:val="18"/>
                <w:szCs w:val="18"/>
                <w:lang w:val="es-ES"/>
              </w:rPr>
              <w:t>107,5%</w:t>
            </w:r>
          </w:p>
        </w:tc>
      </w:tr>
      <w:tr w:rsidR="00A93482" w:rsidRPr="00AE4E8D" w14:paraId="61B06F1A" w14:textId="77777777" w:rsidTr="000400C8">
        <w:trPr>
          <w:trHeight w:val="240"/>
          <w:jc w:val="center"/>
        </w:trPr>
        <w:tc>
          <w:tcPr>
            <w:tcW w:w="2746" w:type="pct"/>
            <w:noWrap/>
            <w:vAlign w:val="bottom"/>
            <w:hideMark/>
          </w:tcPr>
          <w:p w14:paraId="05CE1FCE" w14:textId="77777777" w:rsidR="00A93482" w:rsidRPr="00AE4E8D" w:rsidRDefault="00A93482"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Cargos por Créditos Diversos y Otras Previsiones  </w:t>
            </w:r>
          </w:p>
        </w:tc>
        <w:tc>
          <w:tcPr>
            <w:tcW w:w="681" w:type="pct"/>
            <w:shd w:val="clear" w:color="auto" w:fill="FFFFFF"/>
            <w:noWrap/>
            <w:vAlign w:val="bottom"/>
            <w:hideMark/>
          </w:tcPr>
          <w:p w14:paraId="4FA6DE87"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164,9</w:t>
            </w:r>
          </w:p>
        </w:tc>
        <w:tc>
          <w:tcPr>
            <w:tcW w:w="681" w:type="pct"/>
            <w:shd w:val="clear" w:color="auto" w:fill="FFFFFF"/>
            <w:noWrap/>
            <w:vAlign w:val="bottom"/>
            <w:hideMark/>
          </w:tcPr>
          <w:p w14:paraId="4FB3BFD4"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172,0</w:t>
            </w:r>
          </w:p>
        </w:tc>
        <w:tc>
          <w:tcPr>
            <w:tcW w:w="892" w:type="pct"/>
            <w:noWrap/>
            <w:vAlign w:val="bottom"/>
            <w:hideMark/>
          </w:tcPr>
          <w:p w14:paraId="3DD2F93D"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(4,1)%</w:t>
            </w:r>
          </w:p>
        </w:tc>
      </w:tr>
      <w:tr w:rsidR="00A93482" w:rsidRPr="00AE4E8D" w14:paraId="5764D4DE" w14:textId="77777777" w:rsidTr="000400C8">
        <w:trPr>
          <w:trHeight w:val="240"/>
          <w:jc w:val="center"/>
        </w:trPr>
        <w:tc>
          <w:tcPr>
            <w:tcW w:w="2746" w:type="pct"/>
            <w:noWrap/>
            <w:vAlign w:val="bottom"/>
            <w:hideMark/>
          </w:tcPr>
          <w:p w14:paraId="48A31F66" w14:textId="77777777" w:rsidR="00A93482" w:rsidRPr="00AE4E8D" w:rsidRDefault="00A93482" w:rsidP="00E8320E">
            <w:pPr>
              <w:rPr>
                <w:rFonts w:ascii="Times New Roman" w:hAnsi="Times New Roman"/>
                <w:color w:val="000000"/>
                <w:sz w:val="18"/>
                <w:szCs w:val="18"/>
              </w:rPr>
            </w:pPr>
            <w:r w:rsidRPr="00AE4E8D">
              <w:rPr>
                <w:rFonts w:ascii="Times New Roman" w:hAnsi="Times New Roman"/>
                <w:color w:val="000000"/>
                <w:sz w:val="18"/>
                <w:szCs w:val="18"/>
                <w:lang w:val="es-ES"/>
              </w:rPr>
              <w:t xml:space="preserve">Depreciación y pérdida de bienes diversos  </w:t>
            </w:r>
          </w:p>
        </w:tc>
        <w:tc>
          <w:tcPr>
            <w:tcW w:w="681" w:type="pct"/>
            <w:shd w:val="clear" w:color="auto" w:fill="FFFFFF"/>
            <w:noWrap/>
            <w:vAlign w:val="bottom"/>
            <w:hideMark/>
          </w:tcPr>
          <w:p w14:paraId="34F8558F"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lang w:val="es-ES"/>
              </w:rPr>
              <w:t>0,</w:t>
            </w:r>
            <w:r w:rsidRPr="00AE4E8D">
              <w:rPr>
                <w:rFonts w:ascii="Times New Roman" w:hAnsi="Times New Roman"/>
                <w:color w:val="000000"/>
                <w:sz w:val="18"/>
                <w:szCs w:val="18"/>
                <w:lang w:val="es-ES"/>
              </w:rPr>
              <w:t>5</w:t>
            </w:r>
          </w:p>
        </w:tc>
        <w:tc>
          <w:tcPr>
            <w:tcW w:w="681" w:type="pct"/>
            <w:shd w:val="clear" w:color="auto" w:fill="FFFFFF"/>
            <w:noWrap/>
            <w:vAlign w:val="bottom"/>
            <w:hideMark/>
          </w:tcPr>
          <w:p w14:paraId="35F7300F"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lang w:val="es-ES"/>
              </w:rPr>
              <w:t>0,</w:t>
            </w:r>
            <w:r w:rsidRPr="00AE4E8D">
              <w:rPr>
                <w:rFonts w:ascii="Times New Roman" w:hAnsi="Times New Roman"/>
                <w:color w:val="000000"/>
                <w:sz w:val="18"/>
                <w:szCs w:val="18"/>
                <w:lang w:val="es-ES"/>
              </w:rPr>
              <w:t>5</w:t>
            </w:r>
          </w:p>
        </w:tc>
        <w:tc>
          <w:tcPr>
            <w:tcW w:w="892" w:type="pct"/>
            <w:noWrap/>
            <w:vAlign w:val="bottom"/>
            <w:hideMark/>
          </w:tcPr>
          <w:p w14:paraId="66FB7282"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(0,8)%</w:t>
            </w:r>
          </w:p>
        </w:tc>
      </w:tr>
      <w:tr w:rsidR="00A93482" w:rsidRPr="00AE4E8D" w14:paraId="3CBD6185" w14:textId="77777777" w:rsidTr="000400C8">
        <w:trPr>
          <w:trHeight w:val="240"/>
          <w:jc w:val="center"/>
        </w:trPr>
        <w:tc>
          <w:tcPr>
            <w:tcW w:w="2746" w:type="pct"/>
            <w:noWrap/>
            <w:vAlign w:val="bottom"/>
            <w:hideMark/>
          </w:tcPr>
          <w:p w14:paraId="52473B37" w14:textId="77777777" w:rsidR="00A93482" w:rsidRPr="00AE4E8D" w:rsidRDefault="00A93482"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Amortización de valor llave  </w:t>
            </w:r>
          </w:p>
        </w:tc>
        <w:tc>
          <w:tcPr>
            <w:tcW w:w="681" w:type="pct"/>
            <w:shd w:val="clear" w:color="auto" w:fill="FFFFFF"/>
            <w:noWrap/>
            <w:vAlign w:val="bottom"/>
            <w:hideMark/>
          </w:tcPr>
          <w:p w14:paraId="11B77C68" w14:textId="77777777" w:rsidR="00A93482" w:rsidRPr="00AE4E8D" w:rsidRDefault="00A93482" w:rsidP="0079317E">
            <w:pPr>
              <w:jc w:val="right"/>
              <w:rPr>
                <w:rFonts w:ascii="Times New Roman" w:hAnsi="Times New Roman"/>
                <w:color w:val="000000"/>
                <w:sz w:val="18"/>
                <w:lang w:val="es-ES"/>
              </w:rPr>
            </w:pPr>
            <w:r w:rsidRPr="00AE4E8D">
              <w:rPr>
                <w:rFonts w:ascii="Times New Roman" w:hAnsi="Times New Roman"/>
                <w:color w:val="000000"/>
                <w:sz w:val="18"/>
                <w:szCs w:val="18"/>
                <w:lang w:val="es-ES"/>
              </w:rPr>
              <w:t>3,4</w:t>
            </w:r>
          </w:p>
        </w:tc>
        <w:tc>
          <w:tcPr>
            <w:tcW w:w="681" w:type="pct"/>
            <w:shd w:val="clear" w:color="auto" w:fill="FFFFFF"/>
            <w:noWrap/>
            <w:vAlign w:val="bottom"/>
            <w:hideMark/>
          </w:tcPr>
          <w:p w14:paraId="472C69F0" w14:textId="77777777" w:rsidR="00A93482" w:rsidRPr="00AE4E8D" w:rsidRDefault="00A93482" w:rsidP="0079317E">
            <w:pPr>
              <w:jc w:val="right"/>
              <w:rPr>
                <w:rFonts w:ascii="Times New Roman" w:hAnsi="Times New Roman"/>
                <w:color w:val="000000"/>
                <w:sz w:val="18"/>
                <w:lang w:val="es-ES"/>
              </w:rPr>
            </w:pPr>
            <w:r w:rsidRPr="00AE4E8D">
              <w:rPr>
                <w:rFonts w:ascii="Times New Roman" w:hAnsi="Times New Roman"/>
                <w:color w:val="000000"/>
                <w:sz w:val="18"/>
                <w:szCs w:val="18"/>
                <w:lang w:val="es-ES"/>
              </w:rPr>
              <w:t>3,4</w:t>
            </w:r>
          </w:p>
        </w:tc>
        <w:tc>
          <w:tcPr>
            <w:tcW w:w="892" w:type="pct"/>
            <w:noWrap/>
            <w:vAlign w:val="bottom"/>
            <w:hideMark/>
          </w:tcPr>
          <w:p w14:paraId="0DE8F2F5"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0,0%</w:t>
            </w:r>
          </w:p>
        </w:tc>
      </w:tr>
      <w:tr w:rsidR="00A93482" w:rsidRPr="00AE4E8D" w14:paraId="7EC8F898" w14:textId="77777777" w:rsidTr="000400C8">
        <w:trPr>
          <w:trHeight w:val="255"/>
          <w:jc w:val="center"/>
        </w:trPr>
        <w:tc>
          <w:tcPr>
            <w:tcW w:w="2746" w:type="pct"/>
            <w:noWrap/>
            <w:vAlign w:val="bottom"/>
            <w:hideMark/>
          </w:tcPr>
          <w:p w14:paraId="4852EDDA" w14:textId="77777777" w:rsidR="00A93482" w:rsidRPr="00AE4E8D" w:rsidRDefault="00A93482" w:rsidP="00E8320E">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681" w:type="pct"/>
            <w:shd w:val="clear" w:color="auto" w:fill="FFFFFF"/>
            <w:noWrap/>
            <w:vAlign w:val="bottom"/>
            <w:hideMark/>
          </w:tcPr>
          <w:p w14:paraId="307BA96D"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423,9</w:t>
            </w:r>
          </w:p>
        </w:tc>
        <w:tc>
          <w:tcPr>
            <w:tcW w:w="681" w:type="pct"/>
            <w:shd w:val="clear" w:color="auto" w:fill="FFFFFF"/>
            <w:noWrap/>
            <w:vAlign w:val="bottom"/>
            <w:hideMark/>
          </w:tcPr>
          <w:p w14:paraId="131F7D49"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370,4</w:t>
            </w:r>
          </w:p>
        </w:tc>
        <w:tc>
          <w:tcPr>
            <w:tcW w:w="892" w:type="pct"/>
            <w:noWrap/>
            <w:vAlign w:val="bottom"/>
            <w:hideMark/>
          </w:tcPr>
          <w:p w14:paraId="3A162652"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14,4</w:t>
            </w:r>
            <w:r w:rsidRPr="00AE4E8D">
              <w:rPr>
                <w:rFonts w:ascii="Times New Roman" w:hAnsi="Times New Roman"/>
                <w:color w:val="000000"/>
                <w:sz w:val="18"/>
                <w:lang w:val="es-ES"/>
              </w:rPr>
              <w:t>%</w:t>
            </w:r>
          </w:p>
        </w:tc>
      </w:tr>
      <w:tr w:rsidR="00A93482" w:rsidRPr="00AE4E8D" w14:paraId="29FCEB73" w14:textId="77777777" w:rsidTr="000400C8">
        <w:trPr>
          <w:trHeight w:val="255"/>
          <w:jc w:val="center"/>
        </w:trPr>
        <w:tc>
          <w:tcPr>
            <w:tcW w:w="2746" w:type="pct"/>
            <w:noWrap/>
            <w:vAlign w:val="bottom"/>
            <w:hideMark/>
          </w:tcPr>
          <w:p w14:paraId="7EF5D321" w14:textId="77777777" w:rsidR="00A93482" w:rsidRPr="00AE4E8D" w:rsidRDefault="00A93482" w:rsidP="00E8320E">
            <w:pPr>
              <w:rPr>
                <w:rFonts w:ascii="Times New Roman" w:hAnsi="Times New Roman"/>
                <w:b/>
                <w:color w:val="000000"/>
                <w:sz w:val="18"/>
                <w:lang w:val="en-US"/>
              </w:rPr>
            </w:pPr>
            <w:r w:rsidRPr="00AE4E8D">
              <w:rPr>
                <w:rFonts w:ascii="Times New Roman" w:hAnsi="Times New Roman"/>
                <w:b/>
                <w:color w:val="000000"/>
                <w:sz w:val="18"/>
                <w:lang w:val="es-ES"/>
              </w:rPr>
              <w:t>Total pérdidas diversas</w:t>
            </w:r>
            <w:r w:rsidRPr="00AE4E8D">
              <w:rPr>
                <w:rFonts w:ascii="Times New Roman" w:hAnsi="Times New Roman"/>
                <w:color w:val="000000"/>
                <w:sz w:val="18"/>
                <w:lang w:val="es-ES"/>
              </w:rPr>
              <w:t xml:space="preserve">  </w:t>
            </w:r>
          </w:p>
        </w:tc>
        <w:tc>
          <w:tcPr>
            <w:tcW w:w="681" w:type="pct"/>
            <w:tcBorders>
              <w:top w:val="single" w:sz="8" w:space="0" w:color="auto"/>
              <w:left w:val="nil"/>
              <w:bottom w:val="single" w:sz="8" w:space="0" w:color="auto"/>
              <w:right w:val="nil"/>
            </w:tcBorders>
            <w:shd w:val="clear" w:color="auto" w:fill="FFFFFF"/>
            <w:noWrap/>
            <w:vAlign w:val="bottom"/>
            <w:hideMark/>
          </w:tcPr>
          <w:p w14:paraId="37B19931" w14:textId="77777777" w:rsidR="00A93482" w:rsidRPr="00AE4E8D" w:rsidRDefault="00A93482" w:rsidP="00A93482">
            <w:pPr>
              <w:jc w:val="right"/>
              <w:rPr>
                <w:rFonts w:ascii="Times New Roman" w:hAnsi="Times New Roman"/>
                <w:color w:val="000000"/>
                <w:sz w:val="18"/>
                <w:lang w:val="es-ES"/>
              </w:rPr>
            </w:pPr>
            <w:r w:rsidRPr="00AE4E8D">
              <w:rPr>
                <w:rFonts w:ascii="Times New Roman" w:hAnsi="Times New Roman"/>
                <w:color w:val="000000"/>
                <w:sz w:val="18"/>
                <w:lang w:val="es-ES"/>
              </w:rPr>
              <w:t>59</w:t>
            </w:r>
            <w:r w:rsidR="00741C23">
              <w:rPr>
                <w:rFonts w:ascii="Times New Roman" w:hAnsi="Times New Roman"/>
                <w:color w:val="000000"/>
                <w:sz w:val="18"/>
                <w:lang w:val="es-ES"/>
              </w:rPr>
              <w:t>3</w:t>
            </w:r>
            <w:r w:rsidRPr="00AE4E8D">
              <w:rPr>
                <w:rFonts w:ascii="Times New Roman" w:hAnsi="Times New Roman"/>
                <w:color w:val="000000"/>
                <w:sz w:val="18"/>
                <w:lang w:val="es-ES"/>
              </w:rPr>
              <w:t>,</w:t>
            </w:r>
            <w:r>
              <w:rPr>
                <w:rFonts w:ascii="Times New Roman" w:hAnsi="Times New Roman"/>
                <w:color w:val="000000"/>
                <w:sz w:val="18"/>
                <w:lang w:val="es-ES"/>
              </w:rPr>
              <w:t>4</w:t>
            </w:r>
          </w:p>
        </w:tc>
        <w:tc>
          <w:tcPr>
            <w:tcW w:w="681" w:type="pct"/>
            <w:tcBorders>
              <w:top w:val="single" w:sz="8" w:space="0" w:color="auto"/>
              <w:left w:val="nil"/>
              <w:bottom w:val="single" w:sz="8" w:space="0" w:color="auto"/>
              <w:right w:val="nil"/>
            </w:tcBorders>
            <w:shd w:val="clear" w:color="auto" w:fill="FFFFFF"/>
            <w:noWrap/>
            <w:vAlign w:val="bottom"/>
            <w:hideMark/>
          </w:tcPr>
          <w:p w14:paraId="334EBE8C" w14:textId="77777777" w:rsidR="00A93482" w:rsidRPr="00AE4E8D" w:rsidRDefault="00A93482" w:rsidP="00A93482">
            <w:pPr>
              <w:jc w:val="right"/>
              <w:rPr>
                <w:rFonts w:ascii="Times New Roman" w:hAnsi="Times New Roman"/>
                <w:color w:val="000000"/>
                <w:sz w:val="18"/>
                <w:lang w:val="es-ES"/>
              </w:rPr>
            </w:pPr>
            <w:r w:rsidRPr="00AE4E8D">
              <w:rPr>
                <w:rFonts w:ascii="Times New Roman" w:hAnsi="Times New Roman"/>
                <w:color w:val="000000"/>
                <w:sz w:val="18"/>
                <w:lang w:val="es-ES"/>
              </w:rPr>
              <w:t>546,</w:t>
            </w:r>
            <w:r>
              <w:rPr>
                <w:rFonts w:ascii="Times New Roman" w:hAnsi="Times New Roman"/>
                <w:color w:val="000000"/>
                <w:sz w:val="18"/>
                <w:lang w:val="es-ES"/>
              </w:rPr>
              <w:t>6</w:t>
            </w:r>
          </w:p>
        </w:tc>
        <w:tc>
          <w:tcPr>
            <w:tcW w:w="892" w:type="pct"/>
            <w:tcBorders>
              <w:top w:val="single" w:sz="8" w:space="0" w:color="auto"/>
              <w:left w:val="nil"/>
              <w:bottom w:val="single" w:sz="8" w:space="0" w:color="auto"/>
              <w:right w:val="nil"/>
            </w:tcBorders>
            <w:noWrap/>
            <w:vAlign w:val="bottom"/>
            <w:hideMark/>
          </w:tcPr>
          <w:p w14:paraId="6EF0E137"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lang w:val="es-ES"/>
              </w:rPr>
              <w:t>8,5%</w:t>
            </w:r>
          </w:p>
        </w:tc>
      </w:tr>
      <w:tr w:rsidR="00A93482" w:rsidRPr="00AE4E8D" w14:paraId="50B9D867" w14:textId="77777777" w:rsidTr="00307DC2">
        <w:trPr>
          <w:trHeight w:val="255"/>
          <w:jc w:val="center"/>
        </w:trPr>
        <w:tc>
          <w:tcPr>
            <w:tcW w:w="2746" w:type="pct"/>
            <w:noWrap/>
            <w:vAlign w:val="bottom"/>
            <w:hideMark/>
          </w:tcPr>
          <w:p w14:paraId="66E166FA" w14:textId="77777777" w:rsidR="00A93482" w:rsidRPr="00AE4E8D" w:rsidRDefault="00A93482" w:rsidP="00E8320E">
            <w:pPr>
              <w:rPr>
                <w:rFonts w:ascii="Times New Roman" w:hAnsi="Times New Roman"/>
                <w:b/>
                <w:color w:val="000000"/>
                <w:sz w:val="18"/>
                <w:lang w:val="en-US"/>
              </w:rPr>
            </w:pPr>
            <w:r w:rsidRPr="00AE4E8D">
              <w:rPr>
                <w:rFonts w:ascii="Times New Roman" w:hAnsi="Times New Roman"/>
                <w:b/>
                <w:color w:val="000000"/>
                <w:sz w:val="18"/>
                <w:lang w:val="es-ES"/>
              </w:rPr>
              <w:t>Total utilidades diversas netas</w:t>
            </w:r>
            <w:r w:rsidRPr="00AE4E8D">
              <w:rPr>
                <w:rFonts w:ascii="Times New Roman" w:hAnsi="Times New Roman"/>
                <w:color w:val="000000"/>
                <w:sz w:val="18"/>
                <w:lang w:val="es-ES"/>
              </w:rPr>
              <w:t xml:space="preserve">  </w:t>
            </w:r>
          </w:p>
        </w:tc>
        <w:tc>
          <w:tcPr>
            <w:tcW w:w="681" w:type="pct"/>
            <w:tcBorders>
              <w:top w:val="nil"/>
              <w:left w:val="nil"/>
              <w:bottom w:val="single" w:sz="8" w:space="0" w:color="auto"/>
              <w:right w:val="nil"/>
            </w:tcBorders>
            <w:shd w:val="clear" w:color="auto" w:fill="FFFFFF"/>
            <w:noWrap/>
            <w:vAlign w:val="bottom"/>
            <w:hideMark/>
          </w:tcPr>
          <w:p w14:paraId="70387A9B"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lang w:val="es-ES"/>
              </w:rPr>
              <w:t>(</w:t>
            </w:r>
            <w:r w:rsidRPr="00AE4E8D">
              <w:rPr>
                <w:rFonts w:ascii="Times New Roman" w:hAnsi="Times New Roman"/>
                <w:color w:val="000000"/>
                <w:sz w:val="18"/>
                <w:szCs w:val="18"/>
                <w:lang w:val="es-ES"/>
              </w:rPr>
              <w:t>80,8</w:t>
            </w:r>
            <w:r w:rsidRPr="00AE4E8D">
              <w:rPr>
                <w:rFonts w:ascii="Times New Roman" w:hAnsi="Times New Roman"/>
                <w:color w:val="000000"/>
                <w:sz w:val="18"/>
                <w:lang w:val="es-ES"/>
              </w:rPr>
              <w:t>)</w:t>
            </w:r>
          </w:p>
        </w:tc>
        <w:tc>
          <w:tcPr>
            <w:tcW w:w="681" w:type="pct"/>
            <w:tcBorders>
              <w:top w:val="nil"/>
              <w:left w:val="nil"/>
              <w:bottom w:val="single" w:sz="8" w:space="0" w:color="auto"/>
              <w:right w:val="nil"/>
            </w:tcBorders>
            <w:shd w:val="clear" w:color="auto" w:fill="FFFFFF"/>
            <w:noWrap/>
            <w:vAlign w:val="bottom"/>
            <w:hideMark/>
          </w:tcPr>
          <w:p w14:paraId="41C47AD4" w14:textId="77777777" w:rsidR="00A93482" w:rsidRPr="00AE4E8D" w:rsidRDefault="00A93482" w:rsidP="00EC0AED">
            <w:pPr>
              <w:jc w:val="right"/>
              <w:rPr>
                <w:rFonts w:ascii="Times New Roman" w:hAnsi="Times New Roman"/>
                <w:color w:val="000000"/>
                <w:sz w:val="18"/>
                <w:lang w:val="es-ES"/>
              </w:rPr>
            </w:pPr>
            <w:r w:rsidRPr="00AE4E8D">
              <w:rPr>
                <w:rFonts w:ascii="Times New Roman" w:hAnsi="Times New Roman"/>
                <w:color w:val="000000"/>
                <w:sz w:val="18"/>
                <w:lang w:val="es-ES"/>
              </w:rPr>
              <w:t>(51,6)</w:t>
            </w:r>
          </w:p>
        </w:tc>
        <w:tc>
          <w:tcPr>
            <w:tcW w:w="892" w:type="pct"/>
            <w:tcBorders>
              <w:top w:val="nil"/>
              <w:left w:val="nil"/>
              <w:bottom w:val="single" w:sz="8" w:space="0" w:color="auto"/>
              <w:right w:val="nil"/>
            </w:tcBorders>
            <w:noWrap/>
            <w:vAlign w:val="bottom"/>
            <w:hideMark/>
          </w:tcPr>
          <w:p w14:paraId="29A8EDDC" w14:textId="77777777" w:rsidR="00A93482" w:rsidRPr="00AE4E8D" w:rsidRDefault="00A93482" w:rsidP="00E8320E">
            <w:pPr>
              <w:jc w:val="right"/>
              <w:rPr>
                <w:rFonts w:ascii="Times New Roman" w:hAnsi="Times New Roman"/>
                <w:color w:val="000000"/>
                <w:sz w:val="18"/>
                <w:lang w:val="es-ES"/>
              </w:rPr>
            </w:pPr>
            <w:r w:rsidRPr="00AE4E8D">
              <w:rPr>
                <w:rFonts w:ascii="Times New Roman" w:hAnsi="Times New Roman"/>
                <w:color w:val="000000"/>
                <w:sz w:val="18"/>
                <w:szCs w:val="18"/>
                <w:lang w:val="es-ES"/>
              </w:rPr>
              <w:t>56,5</w:t>
            </w:r>
            <w:r w:rsidRPr="00AE4E8D">
              <w:rPr>
                <w:rFonts w:ascii="Times New Roman" w:hAnsi="Times New Roman"/>
                <w:color w:val="000000"/>
                <w:sz w:val="18"/>
                <w:lang w:val="es-ES"/>
              </w:rPr>
              <w:t>%</w:t>
            </w:r>
          </w:p>
        </w:tc>
      </w:tr>
    </w:tbl>
    <w:p w14:paraId="04AFCC33" w14:textId="77777777" w:rsidR="002E5441" w:rsidRPr="00AE4E8D" w:rsidRDefault="002E5441" w:rsidP="002E5441">
      <w:pPr>
        <w:pStyle w:val="BHTexto"/>
      </w:pPr>
      <w:r w:rsidRPr="00AE4E8D">
        <w:t>Las utilidades diversas totales netas disminuyeron 56,5% de una pérdida neta de Ps.51,6 millones por el ejercicio finalizado el 31 de diciembre de 2015 a una pérdida neta de Ps.</w:t>
      </w:r>
      <w:r w:rsidR="00212606" w:rsidRPr="00AE4E8D">
        <w:t>80,</w:t>
      </w:r>
      <w:r w:rsidR="00307DC2" w:rsidRPr="00AE4E8D">
        <w:rPr>
          <w:lang w:val="es-AR"/>
        </w:rPr>
        <w:t>8</w:t>
      </w:r>
      <w:r w:rsidR="0079317E" w:rsidRPr="00AE4E8D">
        <w:t xml:space="preserve"> </w:t>
      </w:r>
      <w:r w:rsidRPr="00AE4E8D">
        <w:t>millones por el ejercicio finalizado el 31 de diciembre de 2016, principalmente como resultado de:</w:t>
      </w:r>
    </w:p>
    <w:p w14:paraId="67397FC4" w14:textId="77777777" w:rsidR="002E5441" w:rsidRPr="00AE4E8D" w:rsidRDefault="002E5441" w:rsidP="002E5441">
      <w:pPr>
        <w:pStyle w:val="BHVieta2"/>
        <w:numPr>
          <w:ilvl w:val="0"/>
          <w:numId w:val="168"/>
        </w:numPr>
        <w:rPr>
          <w:lang w:val="es-ES"/>
        </w:rPr>
      </w:pPr>
      <w:r w:rsidRPr="00AE4E8D">
        <w:rPr>
          <w:lang w:val="es-ES"/>
        </w:rPr>
        <w:t xml:space="preserve">Un aumento </w:t>
      </w:r>
      <w:r w:rsidR="0022061F" w:rsidRPr="00AE4E8D">
        <w:rPr>
          <w:lang w:val="es-ES"/>
        </w:rPr>
        <w:t>del</w:t>
      </w:r>
      <w:r w:rsidRPr="00AE4E8D">
        <w:rPr>
          <w:lang w:val="es-ES"/>
        </w:rPr>
        <w:t xml:space="preserve"> 14,4% en Otras pérdidas de Ps.370,4 millones por el ejercicio finalizado el 31 de diciembre de 2015 a Ps.423,9 millones por el ejercicio finalizado el 31 de diciembre de 2016, pr</w:t>
      </w:r>
      <w:r w:rsidR="00845924" w:rsidRPr="00AE4E8D">
        <w:rPr>
          <w:lang w:val="es-ES"/>
        </w:rPr>
        <w:t xml:space="preserve">incipalmente como resultado de </w:t>
      </w:r>
      <w:r w:rsidRPr="00AE4E8D">
        <w:rPr>
          <w:lang w:val="es-ES"/>
        </w:rPr>
        <w:t>mayores impuestos pagados por tasas provinciales y municipales.</w:t>
      </w:r>
    </w:p>
    <w:p w14:paraId="23E767BC" w14:textId="77777777" w:rsidR="002E5441" w:rsidRPr="00AE4E8D" w:rsidRDefault="002E5441" w:rsidP="002E5441">
      <w:pPr>
        <w:pStyle w:val="BHTexto"/>
      </w:pPr>
      <w:r w:rsidRPr="00AE4E8D">
        <w:t>Estos aumentos</w:t>
      </w:r>
      <w:r w:rsidR="00212606" w:rsidRPr="00AE4E8D">
        <w:t xml:space="preserve"> </w:t>
      </w:r>
      <w:r w:rsidRPr="00AE4E8D">
        <w:t>en pérdidas</w:t>
      </w:r>
      <w:r w:rsidR="00212606" w:rsidRPr="00AE4E8D">
        <w:t xml:space="preserve"> </w:t>
      </w:r>
      <w:r w:rsidRPr="00AE4E8D">
        <w:t>diversas fueron compensados parcialmente por:</w:t>
      </w:r>
    </w:p>
    <w:p w14:paraId="7F834F7D" w14:textId="77777777" w:rsidR="002E5441" w:rsidRPr="00AE4E8D" w:rsidRDefault="002E5441" w:rsidP="002E5441">
      <w:pPr>
        <w:pStyle w:val="BHVieta2"/>
        <w:numPr>
          <w:ilvl w:val="0"/>
          <w:numId w:val="168"/>
        </w:numPr>
        <w:rPr>
          <w:lang w:val="es-ES"/>
        </w:rPr>
      </w:pPr>
      <w:r w:rsidRPr="00AE4E8D">
        <w:rPr>
          <w:lang w:val="es-ES"/>
        </w:rPr>
        <w:t xml:space="preserve">Un aumento </w:t>
      </w:r>
      <w:r w:rsidR="00C43603" w:rsidRPr="00AE4E8D">
        <w:rPr>
          <w:lang w:val="es-ES"/>
        </w:rPr>
        <w:t>del</w:t>
      </w:r>
      <w:r w:rsidRPr="00AE4E8D">
        <w:rPr>
          <w:lang w:val="es-ES"/>
        </w:rPr>
        <w:t xml:space="preserve"> 159,0% en resultados de participaciones permanentes, de Ps.13,8 millones por el ejercicio finalizado el 31 de diciembre de 2015 a Ps.35,7 millones por el ejercicio finalizado el 31 de diciembre de 2016, principalmente como resultado de mayores ingresos generados por los aportes de los fondos de garantía de las sociedades de garantía recíproca.</w:t>
      </w:r>
    </w:p>
    <w:p w14:paraId="6B8D7774" w14:textId="77777777" w:rsidR="00C21744" w:rsidRPr="00AE4E8D" w:rsidRDefault="00C21744" w:rsidP="002E5441">
      <w:pPr>
        <w:pStyle w:val="BH3Izquierda"/>
        <w:rPr>
          <w:rFonts w:eastAsia="Calibri"/>
          <w:lang w:val="es-ES"/>
        </w:rPr>
      </w:pPr>
      <w:bookmarkStart w:id="530" w:name="_Toc420062589"/>
      <w:bookmarkStart w:id="531" w:name="_Toc421201403"/>
      <w:r w:rsidRPr="00AE4E8D">
        <w:rPr>
          <w:rFonts w:eastAsia="Calibri"/>
          <w:lang w:val="es-ES"/>
        </w:rPr>
        <w:t>Ejercicios Finalizados el 31 de diciembre de 2014 y 2015</w:t>
      </w:r>
    </w:p>
    <w:bookmarkEnd w:id="530"/>
    <w:bookmarkEnd w:id="531"/>
    <w:p w14:paraId="2D2C7F86" w14:textId="77777777" w:rsidR="00C21744" w:rsidRPr="00AE4E8D" w:rsidRDefault="00C21744" w:rsidP="002E5441">
      <w:pPr>
        <w:pStyle w:val="BHTexto"/>
        <w:rPr>
          <w:rFonts w:eastAsia="Calibri"/>
        </w:rPr>
      </w:pPr>
      <w:r w:rsidRPr="00AE4E8D">
        <w:rPr>
          <w:rFonts w:eastAsia="Calibri"/>
        </w:rPr>
        <w:t>El siguiente cuadro detalla los principales rubros de nuestros resultados por los ejercicios finalizados el 31 de diciembre de 2015 y 2014:</w:t>
      </w:r>
    </w:p>
    <w:tbl>
      <w:tblPr>
        <w:tblW w:w="5000" w:type="pct"/>
        <w:tblLook w:val="04A0" w:firstRow="1" w:lastRow="0" w:firstColumn="1" w:lastColumn="0" w:noHBand="0" w:noVBand="1"/>
      </w:tblPr>
      <w:tblGrid>
        <w:gridCol w:w="4144"/>
        <w:gridCol w:w="1688"/>
        <w:gridCol w:w="1688"/>
        <w:gridCol w:w="1201"/>
      </w:tblGrid>
      <w:tr w:rsidR="00C21744" w:rsidRPr="00AE4E8D" w14:paraId="414CA6E2" w14:textId="77777777" w:rsidTr="000400C8">
        <w:trPr>
          <w:trHeight w:val="270"/>
          <w:tblHeader/>
        </w:trPr>
        <w:tc>
          <w:tcPr>
            <w:tcW w:w="2818" w:type="pct"/>
            <w:tcBorders>
              <w:top w:val="nil"/>
              <w:left w:val="nil"/>
              <w:bottom w:val="nil"/>
              <w:right w:val="nil"/>
            </w:tcBorders>
            <w:shd w:val="clear" w:color="auto" w:fill="auto"/>
            <w:noWrap/>
            <w:vAlign w:val="bottom"/>
            <w:hideMark/>
          </w:tcPr>
          <w:p w14:paraId="1F24FE31" w14:textId="77777777" w:rsidR="00C21744" w:rsidRPr="00AE4E8D" w:rsidRDefault="00C21744">
            <w:pPr>
              <w:rPr>
                <w:rFonts w:ascii="Times New Roman" w:hAnsi="Times New Roman"/>
                <w:color w:val="000000"/>
                <w:sz w:val="18"/>
              </w:rPr>
            </w:pPr>
          </w:p>
        </w:tc>
        <w:tc>
          <w:tcPr>
            <w:tcW w:w="1524" w:type="pct"/>
            <w:gridSpan w:val="2"/>
            <w:tcBorders>
              <w:top w:val="single" w:sz="8" w:space="0" w:color="auto"/>
              <w:left w:val="nil"/>
              <w:bottom w:val="single" w:sz="8" w:space="0" w:color="auto"/>
              <w:right w:val="nil"/>
            </w:tcBorders>
            <w:shd w:val="clear" w:color="auto" w:fill="auto"/>
            <w:noWrap/>
            <w:vAlign w:val="bottom"/>
            <w:hideMark/>
          </w:tcPr>
          <w:p w14:paraId="69384E5A" w14:textId="77777777" w:rsidR="00C21744" w:rsidRPr="00AE4E8D" w:rsidRDefault="00C21744">
            <w:pPr>
              <w:jc w:val="center"/>
              <w:rPr>
                <w:rFonts w:ascii="Times New Roman" w:hAnsi="Times New Roman"/>
                <w:b/>
                <w:bCs/>
                <w:color w:val="000000"/>
                <w:sz w:val="18"/>
              </w:rPr>
            </w:pPr>
            <w:r w:rsidRPr="00AE4E8D">
              <w:rPr>
                <w:rFonts w:ascii="Times New Roman" w:hAnsi="Times New Roman"/>
                <w:b/>
                <w:bCs/>
                <w:color w:val="000000"/>
                <w:sz w:val="18"/>
                <w:lang w:val="es-ES"/>
              </w:rPr>
              <w:t>Ejercicio finalizado el 31 de diciembre de</w:t>
            </w:r>
          </w:p>
        </w:tc>
        <w:tc>
          <w:tcPr>
            <w:tcW w:w="658" w:type="pct"/>
            <w:tcBorders>
              <w:top w:val="single" w:sz="8" w:space="0" w:color="auto"/>
              <w:left w:val="nil"/>
              <w:bottom w:val="single" w:sz="8" w:space="0" w:color="auto"/>
              <w:right w:val="nil"/>
            </w:tcBorders>
            <w:shd w:val="clear" w:color="auto" w:fill="auto"/>
            <w:noWrap/>
            <w:vAlign w:val="bottom"/>
            <w:hideMark/>
          </w:tcPr>
          <w:p w14:paraId="3022C783" w14:textId="77777777" w:rsidR="00C21744" w:rsidRPr="00AE4E8D" w:rsidRDefault="00C21744">
            <w:pPr>
              <w:jc w:val="center"/>
              <w:rPr>
                <w:rFonts w:ascii="Times New Roman" w:hAnsi="Times New Roman"/>
                <w:b/>
                <w:bCs/>
                <w:color w:val="000000"/>
                <w:sz w:val="18"/>
                <w:lang w:val="en-US"/>
              </w:rPr>
            </w:pPr>
            <w:r w:rsidRPr="00AE4E8D">
              <w:rPr>
                <w:rFonts w:ascii="Times New Roman" w:hAnsi="Times New Roman"/>
                <w:b/>
                <w:bCs/>
                <w:color w:val="000000"/>
                <w:sz w:val="18"/>
                <w:lang w:val="en-US"/>
              </w:rPr>
              <w:t>% Variación</w:t>
            </w:r>
          </w:p>
        </w:tc>
      </w:tr>
      <w:tr w:rsidR="00C21744" w:rsidRPr="00AE4E8D" w14:paraId="6FC0693A" w14:textId="77777777" w:rsidTr="000400C8">
        <w:trPr>
          <w:trHeight w:val="315"/>
          <w:tblHeader/>
        </w:trPr>
        <w:tc>
          <w:tcPr>
            <w:tcW w:w="2818" w:type="pct"/>
            <w:tcBorders>
              <w:top w:val="nil"/>
              <w:left w:val="nil"/>
              <w:bottom w:val="nil"/>
              <w:right w:val="nil"/>
            </w:tcBorders>
            <w:shd w:val="clear" w:color="auto" w:fill="auto"/>
            <w:noWrap/>
            <w:vAlign w:val="bottom"/>
            <w:hideMark/>
          </w:tcPr>
          <w:p w14:paraId="34AB1214" w14:textId="77777777" w:rsidR="00C21744" w:rsidRPr="00AE4E8D" w:rsidRDefault="00C21744">
            <w:pPr>
              <w:rPr>
                <w:rFonts w:ascii="Times New Roman" w:hAnsi="Times New Roman"/>
                <w:color w:val="000000"/>
                <w:sz w:val="18"/>
                <w:lang w:val="en-US"/>
              </w:rPr>
            </w:pPr>
          </w:p>
        </w:tc>
        <w:tc>
          <w:tcPr>
            <w:tcW w:w="762" w:type="pct"/>
            <w:tcBorders>
              <w:top w:val="nil"/>
              <w:left w:val="nil"/>
              <w:bottom w:val="single" w:sz="8" w:space="0" w:color="auto"/>
              <w:right w:val="nil"/>
            </w:tcBorders>
            <w:shd w:val="clear" w:color="auto" w:fill="auto"/>
            <w:noWrap/>
            <w:vAlign w:val="bottom"/>
            <w:hideMark/>
          </w:tcPr>
          <w:p w14:paraId="21E16B46" w14:textId="77777777" w:rsidR="00C21744" w:rsidRPr="00AE4E8D" w:rsidRDefault="00C21744">
            <w:pPr>
              <w:jc w:val="center"/>
              <w:rPr>
                <w:rFonts w:ascii="Times New Roman" w:hAnsi="Times New Roman"/>
                <w:b/>
                <w:bCs/>
                <w:color w:val="000000"/>
                <w:sz w:val="18"/>
                <w:lang w:val="en-US"/>
              </w:rPr>
            </w:pPr>
            <w:r w:rsidRPr="00AE4E8D">
              <w:rPr>
                <w:rFonts w:ascii="Times New Roman" w:hAnsi="Times New Roman"/>
                <w:b/>
                <w:bCs/>
                <w:color w:val="000000"/>
                <w:sz w:val="18"/>
                <w:lang w:val="es-ES"/>
              </w:rPr>
              <w:t>2015</w:t>
            </w:r>
          </w:p>
        </w:tc>
        <w:tc>
          <w:tcPr>
            <w:tcW w:w="762" w:type="pct"/>
            <w:tcBorders>
              <w:top w:val="nil"/>
              <w:left w:val="nil"/>
              <w:bottom w:val="single" w:sz="8" w:space="0" w:color="auto"/>
              <w:right w:val="nil"/>
            </w:tcBorders>
            <w:shd w:val="clear" w:color="auto" w:fill="auto"/>
            <w:noWrap/>
            <w:vAlign w:val="bottom"/>
            <w:hideMark/>
          </w:tcPr>
          <w:p w14:paraId="5FDD2662" w14:textId="77777777" w:rsidR="00C21744" w:rsidRPr="00AE4E8D" w:rsidRDefault="00C21744">
            <w:pPr>
              <w:jc w:val="center"/>
              <w:rPr>
                <w:rFonts w:ascii="Times New Roman" w:hAnsi="Times New Roman"/>
                <w:b/>
                <w:bCs/>
                <w:color w:val="000000"/>
                <w:sz w:val="18"/>
                <w:lang w:val="en-US"/>
              </w:rPr>
            </w:pPr>
            <w:r w:rsidRPr="00AE4E8D">
              <w:rPr>
                <w:rFonts w:ascii="Times New Roman" w:hAnsi="Times New Roman"/>
                <w:b/>
                <w:bCs/>
                <w:color w:val="000000"/>
                <w:sz w:val="18"/>
                <w:lang w:val="es-ES"/>
              </w:rPr>
              <w:t>2014</w:t>
            </w:r>
          </w:p>
        </w:tc>
        <w:tc>
          <w:tcPr>
            <w:tcW w:w="658" w:type="pct"/>
            <w:tcBorders>
              <w:top w:val="nil"/>
              <w:left w:val="nil"/>
              <w:bottom w:val="single" w:sz="8" w:space="0" w:color="auto"/>
              <w:right w:val="nil"/>
            </w:tcBorders>
            <w:shd w:val="clear" w:color="auto" w:fill="auto"/>
            <w:noWrap/>
            <w:vAlign w:val="bottom"/>
            <w:hideMark/>
          </w:tcPr>
          <w:p w14:paraId="42166228" w14:textId="77777777" w:rsidR="00C21744" w:rsidRPr="00AE4E8D" w:rsidRDefault="00C21744">
            <w:pPr>
              <w:jc w:val="center"/>
              <w:rPr>
                <w:rFonts w:ascii="Times New Roman" w:hAnsi="Times New Roman"/>
                <w:b/>
                <w:bCs/>
                <w:color w:val="000000"/>
                <w:sz w:val="18"/>
                <w:lang w:val="en-US"/>
              </w:rPr>
            </w:pPr>
            <w:r w:rsidRPr="00AE4E8D">
              <w:rPr>
                <w:rFonts w:ascii="Times New Roman" w:hAnsi="Times New Roman"/>
                <w:b/>
                <w:bCs/>
                <w:color w:val="000000"/>
                <w:sz w:val="18"/>
                <w:lang w:val="es-ES"/>
              </w:rPr>
              <w:t>2014/2015</w:t>
            </w:r>
          </w:p>
        </w:tc>
      </w:tr>
      <w:tr w:rsidR="00C21744" w:rsidRPr="00AE4E8D" w14:paraId="043876B9" w14:textId="77777777" w:rsidTr="000400C8">
        <w:trPr>
          <w:trHeight w:val="300"/>
        </w:trPr>
        <w:tc>
          <w:tcPr>
            <w:tcW w:w="2818" w:type="pct"/>
            <w:tcBorders>
              <w:top w:val="nil"/>
              <w:left w:val="nil"/>
              <w:bottom w:val="nil"/>
              <w:right w:val="nil"/>
            </w:tcBorders>
            <w:shd w:val="clear" w:color="auto" w:fill="auto"/>
            <w:noWrap/>
            <w:vAlign w:val="bottom"/>
            <w:hideMark/>
          </w:tcPr>
          <w:p w14:paraId="4391C7F6" w14:textId="77777777" w:rsidR="00C21744" w:rsidRPr="00AE4E8D" w:rsidRDefault="00C21744">
            <w:pPr>
              <w:rPr>
                <w:rFonts w:ascii="Times New Roman" w:hAnsi="Times New Roman"/>
                <w:color w:val="000000"/>
                <w:sz w:val="18"/>
                <w:lang w:val="en-US"/>
              </w:rPr>
            </w:pPr>
          </w:p>
        </w:tc>
        <w:tc>
          <w:tcPr>
            <w:tcW w:w="2182" w:type="pct"/>
            <w:gridSpan w:val="3"/>
            <w:tcBorders>
              <w:top w:val="single" w:sz="8" w:space="0" w:color="auto"/>
              <w:left w:val="nil"/>
              <w:bottom w:val="nil"/>
              <w:right w:val="nil"/>
            </w:tcBorders>
            <w:shd w:val="clear" w:color="auto" w:fill="auto"/>
            <w:noWrap/>
            <w:vAlign w:val="bottom"/>
            <w:hideMark/>
          </w:tcPr>
          <w:p w14:paraId="4AB105CD" w14:textId="77777777" w:rsidR="00C21744" w:rsidRPr="00AE4E8D" w:rsidRDefault="00C21744">
            <w:pPr>
              <w:jc w:val="center"/>
              <w:rPr>
                <w:rFonts w:ascii="Times New Roman" w:hAnsi="Times New Roman"/>
                <w:color w:val="000000"/>
                <w:sz w:val="18"/>
              </w:rPr>
            </w:pPr>
            <w:r w:rsidRPr="00AE4E8D">
              <w:rPr>
                <w:rFonts w:ascii="Times New Roman" w:hAnsi="Times New Roman"/>
                <w:color w:val="000000"/>
                <w:sz w:val="18"/>
                <w:lang w:val="es-ES"/>
              </w:rPr>
              <w:t>(en millones de Ps., excepto porcentajes)</w:t>
            </w:r>
          </w:p>
        </w:tc>
      </w:tr>
      <w:tr w:rsidR="00C21744" w:rsidRPr="00AE4E8D" w14:paraId="3E54624D" w14:textId="77777777" w:rsidTr="000400C8">
        <w:trPr>
          <w:trHeight w:val="255"/>
        </w:trPr>
        <w:tc>
          <w:tcPr>
            <w:tcW w:w="2818" w:type="pct"/>
            <w:tcBorders>
              <w:top w:val="nil"/>
              <w:left w:val="nil"/>
              <w:bottom w:val="nil"/>
              <w:right w:val="nil"/>
            </w:tcBorders>
            <w:shd w:val="clear" w:color="auto" w:fill="auto"/>
            <w:noWrap/>
            <w:vAlign w:val="center"/>
            <w:hideMark/>
          </w:tcPr>
          <w:p w14:paraId="052F443E"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t>Ingresos Financieros</w:t>
            </w:r>
          </w:p>
        </w:tc>
        <w:tc>
          <w:tcPr>
            <w:tcW w:w="762" w:type="pct"/>
            <w:tcBorders>
              <w:top w:val="nil"/>
              <w:left w:val="nil"/>
              <w:bottom w:val="nil"/>
              <w:right w:val="nil"/>
            </w:tcBorders>
            <w:shd w:val="clear" w:color="000000" w:fill="FFFFFF"/>
            <w:noWrap/>
            <w:vAlign w:val="center"/>
            <w:hideMark/>
          </w:tcPr>
          <w:p w14:paraId="0159B85F"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7.246,6</w:t>
            </w:r>
          </w:p>
        </w:tc>
        <w:tc>
          <w:tcPr>
            <w:tcW w:w="762" w:type="pct"/>
            <w:tcBorders>
              <w:top w:val="nil"/>
              <w:left w:val="nil"/>
              <w:bottom w:val="nil"/>
              <w:right w:val="nil"/>
            </w:tcBorders>
            <w:shd w:val="clear" w:color="000000" w:fill="FFFFFF"/>
            <w:noWrap/>
            <w:vAlign w:val="center"/>
            <w:hideMark/>
          </w:tcPr>
          <w:p w14:paraId="6A02D0AD"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5.294,9</w:t>
            </w:r>
          </w:p>
        </w:tc>
        <w:tc>
          <w:tcPr>
            <w:tcW w:w="658" w:type="pct"/>
            <w:tcBorders>
              <w:top w:val="nil"/>
              <w:left w:val="nil"/>
              <w:bottom w:val="nil"/>
              <w:right w:val="nil"/>
            </w:tcBorders>
            <w:shd w:val="clear" w:color="auto" w:fill="auto"/>
            <w:noWrap/>
            <w:vAlign w:val="center"/>
            <w:hideMark/>
          </w:tcPr>
          <w:p w14:paraId="090C7796"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36,9%</w:t>
            </w:r>
          </w:p>
        </w:tc>
      </w:tr>
      <w:tr w:rsidR="00C21744" w:rsidRPr="00AE4E8D" w14:paraId="339A0013" w14:textId="77777777" w:rsidTr="000400C8">
        <w:trPr>
          <w:trHeight w:val="270"/>
        </w:trPr>
        <w:tc>
          <w:tcPr>
            <w:tcW w:w="2818" w:type="pct"/>
            <w:tcBorders>
              <w:top w:val="nil"/>
              <w:left w:val="nil"/>
              <w:bottom w:val="nil"/>
              <w:right w:val="nil"/>
            </w:tcBorders>
            <w:shd w:val="clear" w:color="auto" w:fill="auto"/>
            <w:noWrap/>
            <w:vAlign w:val="center"/>
            <w:hideMark/>
          </w:tcPr>
          <w:p w14:paraId="464BEF47"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t>Egresos Financieros</w:t>
            </w:r>
          </w:p>
        </w:tc>
        <w:tc>
          <w:tcPr>
            <w:tcW w:w="762" w:type="pct"/>
            <w:tcBorders>
              <w:top w:val="nil"/>
              <w:left w:val="nil"/>
              <w:bottom w:val="nil"/>
              <w:right w:val="nil"/>
            </w:tcBorders>
            <w:shd w:val="clear" w:color="000000" w:fill="FFFFFF"/>
            <w:noWrap/>
            <w:vAlign w:val="center"/>
            <w:hideMark/>
          </w:tcPr>
          <w:p w14:paraId="6A273F52"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(4.212,1)</w:t>
            </w:r>
          </w:p>
        </w:tc>
        <w:tc>
          <w:tcPr>
            <w:tcW w:w="762" w:type="pct"/>
            <w:tcBorders>
              <w:top w:val="nil"/>
              <w:left w:val="nil"/>
              <w:bottom w:val="nil"/>
              <w:right w:val="nil"/>
            </w:tcBorders>
            <w:shd w:val="clear" w:color="000000" w:fill="FFFFFF"/>
            <w:noWrap/>
            <w:vAlign w:val="center"/>
            <w:hideMark/>
          </w:tcPr>
          <w:p w14:paraId="7EB52665"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(2.973,4)</w:t>
            </w:r>
          </w:p>
        </w:tc>
        <w:tc>
          <w:tcPr>
            <w:tcW w:w="658" w:type="pct"/>
            <w:tcBorders>
              <w:top w:val="nil"/>
              <w:left w:val="nil"/>
              <w:bottom w:val="nil"/>
              <w:right w:val="nil"/>
            </w:tcBorders>
            <w:shd w:val="clear" w:color="auto" w:fill="auto"/>
            <w:noWrap/>
            <w:vAlign w:val="center"/>
            <w:hideMark/>
          </w:tcPr>
          <w:p w14:paraId="068EE954"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41,7%</w:t>
            </w:r>
          </w:p>
        </w:tc>
      </w:tr>
      <w:tr w:rsidR="00C21744" w:rsidRPr="00AE4E8D" w14:paraId="181854E6" w14:textId="77777777" w:rsidTr="000400C8">
        <w:trPr>
          <w:trHeight w:val="270"/>
        </w:trPr>
        <w:tc>
          <w:tcPr>
            <w:tcW w:w="2818" w:type="pct"/>
            <w:tcBorders>
              <w:top w:val="nil"/>
              <w:left w:val="nil"/>
              <w:bottom w:val="nil"/>
              <w:right w:val="nil"/>
            </w:tcBorders>
            <w:shd w:val="clear" w:color="auto" w:fill="auto"/>
            <w:noWrap/>
            <w:vAlign w:val="center"/>
            <w:hideMark/>
          </w:tcPr>
          <w:p w14:paraId="3601BA76"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t>Margen Financiero Neto</w:t>
            </w:r>
          </w:p>
        </w:tc>
        <w:tc>
          <w:tcPr>
            <w:tcW w:w="762" w:type="pct"/>
            <w:tcBorders>
              <w:top w:val="single" w:sz="8" w:space="0" w:color="auto"/>
              <w:left w:val="nil"/>
              <w:bottom w:val="single" w:sz="8" w:space="0" w:color="auto"/>
              <w:right w:val="nil"/>
            </w:tcBorders>
            <w:shd w:val="clear" w:color="000000" w:fill="FFFFFF"/>
            <w:noWrap/>
            <w:vAlign w:val="center"/>
            <w:hideMark/>
          </w:tcPr>
          <w:p w14:paraId="7B5B075F"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3.034,5</w:t>
            </w:r>
          </w:p>
        </w:tc>
        <w:tc>
          <w:tcPr>
            <w:tcW w:w="762" w:type="pct"/>
            <w:tcBorders>
              <w:top w:val="single" w:sz="8" w:space="0" w:color="auto"/>
              <w:left w:val="nil"/>
              <w:bottom w:val="single" w:sz="8" w:space="0" w:color="auto"/>
              <w:right w:val="nil"/>
            </w:tcBorders>
            <w:shd w:val="clear" w:color="000000" w:fill="FFFFFF"/>
            <w:noWrap/>
            <w:vAlign w:val="center"/>
            <w:hideMark/>
          </w:tcPr>
          <w:p w14:paraId="6E36C4CA"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2.321,5</w:t>
            </w:r>
          </w:p>
        </w:tc>
        <w:tc>
          <w:tcPr>
            <w:tcW w:w="658" w:type="pct"/>
            <w:tcBorders>
              <w:top w:val="single" w:sz="8" w:space="0" w:color="auto"/>
              <w:left w:val="nil"/>
              <w:bottom w:val="single" w:sz="8" w:space="0" w:color="auto"/>
              <w:right w:val="nil"/>
            </w:tcBorders>
            <w:shd w:val="clear" w:color="auto" w:fill="auto"/>
            <w:noWrap/>
            <w:vAlign w:val="center"/>
            <w:hideMark/>
          </w:tcPr>
          <w:p w14:paraId="46286E32"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30,7%</w:t>
            </w:r>
          </w:p>
        </w:tc>
      </w:tr>
      <w:tr w:rsidR="00C21744" w:rsidRPr="00AE4E8D" w14:paraId="3DD95D37" w14:textId="77777777" w:rsidTr="000400C8">
        <w:trPr>
          <w:trHeight w:val="255"/>
        </w:trPr>
        <w:tc>
          <w:tcPr>
            <w:tcW w:w="2818" w:type="pct"/>
            <w:tcBorders>
              <w:top w:val="nil"/>
              <w:left w:val="nil"/>
              <w:bottom w:val="nil"/>
              <w:right w:val="nil"/>
            </w:tcBorders>
            <w:shd w:val="clear" w:color="auto" w:fill="auto"/>
            <w:noWrap/>
            <w:vAlign w:val="center"/>
            <w:hideMark/>
          </w:tcPr>
          <w:p w14:paraId="787DC222"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t>Cargo por Incobrabilidad</w:t>
            </w:r>
          </w:p>
        </w:tc>
        <w:tc>
          <w:tcPr>
            <w:tcW w:w="762" w:type="pct"/>
            <w:tcBorders>
              <w:top w:val="nil"/>
              <w:left w:val="nil"/>
              <w:bottom w:val="nil"/>
              <w:right w:val="nil"/>
            </w:tcBorders>
            <w:shd w:val="clear" w:color="000000" w:fill="FFFFFF"/>
            <w:noWrap/>
            <w:vAlign w:val="center"/>
            <w:hideMark/>
          </w:tcPr>
          <w:p w14:paraId="0B8D969B"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(354,2)</w:t>
            </w:r>
          </w:p>
        </w:tc>
        <w:tc>
          <w:tcPr>
            <w:tcW w:w="762" w:type="pct"/>
            <w:tcBorders>
              <w:top w:val="nil"/>
              <w:left w:val="nil"/>
              <w:bottom w:val="nil"/>
              <w:right w:val="nil"/>
            </w:tcBorders>
            <w:shd w:val="clear" w:color="000000" w:fill="FFFFFF"/>
            <w:noWrap/>
            <w:vAlign w:val="center"/>
            <w:hideMark/>
          </w:tcPr>
          <w:p w14:paraId="51D75C59"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(343,4)</w:t>
            </w:r>
          </w:p>
        </w:tc>
        <w:tc>
          <w:tcPr>
            <w:tcW w:w="658" w:type="pct"/>
            <w:tcBorders>
              <w:top w:val="nil"/>
              <w:left w:val="nil"/>
              <w:bottom w:val="nil"/>
              <w:right w:val="nil"/>
            </w:tcBorders>
            <w:shd w:val="clear" w:color="auto" w:fill="auto"/>
            <w:noWrap/>
            <w:vAlign w:val="center"/>
            <w:hideMark/>
          </w:tcPr>
          <w:p w14:paraId="4DFEAA55"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3,1%</w:t>
            </w:r>
          </w:p>
        </w:tc>
      </w:tr>
      <w:tr w:rsidR="00C21744" w:rsidRPr="00AE4E8D" w14:paraId="39C1E5BC" w14:textId="77777777" w:rsidTr="000400C8">
        <w:trPr>
          <w:trHeight w:val="255"/>
        </w:trPr>
        <w:tc>
          <w:tcPr>
            <w:tcW w:w="2818" w:type="pct"/>
            <w:tcBorders>
              <w:top w:val="nil"/>
              <w:left w:val="nil"/>
              <w:bottom w:val="nil"/>
              <w:right w:val="nil"/>
            </w:tcBorders>
            <w:shd w:val="clear" w:color="auto" w:fill="auto"/>
            <w:noWrap/>
            <w:vAlign w:val="center"/>
            <w:hideMark/>
          </w:tcPr>
          <w:p w14:paraId="56D9D4C1"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t>Ingresos por servicios, neto:</w:t>
            </w:r>
          </w:p>
        </w:tc>
        <w:tc>
          <w:tcPr>
            <w:tcW w:w="762" w:type="pct"/>
            <w:tcBorders>
              <w:top w:val="nil"/>
              <w:left w:val="nil"/>
              <w:bottom w:val="nil"/>
              <w:right w:val="nil"/>
            </w:tcBorders>
            <w:shd w:val="clear" w:color="000000" w:fill="FFFFFF"/>
            <w:noWrap/>
            <w:vAlign w:val="center"/>
            <w:hideMark/>
          </w:tcPr>
          <w:p w14:paraId="7DC3DEC7" w14:textId="77777777" w:rsidR="00C21744" w:rsidRPr="00AE4E8D" w:rsidRDefault="00C21744">
            <w:pPr>
              <w:jc w:val="right"/>
              <w:rPr>
                <w:rFonts w:ascii="Times New Roman" w:hAnsi="Times New Roman"/>
                <w:color w:val="000000"/>
                <w:sz w:val="18"/>
                <w:lang w:val="en-US"/>
              </w:rPr>
            </w:pPr>
          </w:p>
        </w:tc>
        <w:tc>
          <w:tcPr>
            <w:tcW w:w="762" w:type="pct"/>
            <w:tcBorders>
              <w:top w:val="nil"/>
              <w:left w:val="nil"/>
              <w:bottom w:val="nil"/>
              <w:right w:val="nil"/>
            </w:tcBorders>
            <w:shd w:val="clear" w:color="000000" w:fill="FFFFFF"/>
            <w:noWrap/>
            <w:vAlign w:val="center"/>
            <w:hideMark/>
          </w:tcPr>
          <w:p w14:paraId="5E46835C" w14:textId="77777777" w:rsidR="00C21744" w:rsidRPr="00AE4E8D" w:rsidRDefault="00C21744">
            <w:pPr>
              <w:jc w:val="right"/>
              <w:rPr>
                <w:rFonts w:ascii="Times New Roman" w:hAnsi="Times New Roman"/>
                <w:color w:val="000000"/>
                <w:sz w:val="18"/>
                <w:lang w:val="en-US"/>
              </w:rPr>
            </w:pPr>
          </w:p>
        </w:tc>
        <w:tc>
          <w:tcPr>
            <w:tcW w:w="658" w:type="pct"/>
            <w:tcBorders>
              <w:top w:val="nil"/>
              <w:left w:val="nil"/>
              <w:bottom w:val="nil"/>
              <w:right w:val="nil"/>
            </w:tcBorders>
            <w:shd w:val="clear" w:color="auto" w:fill="auto"/>
            <w:noWrap/>
            <w:vAlign w:val="center"/>
            <w:hideMark/>
          </w:tcPr>
          <w:p w14:paraId="522A3F0E" w14:textId="77777777" w:rsidR="00C21744" w:rsidRPr="00AE4E8D" w:rsidRDefault="00C21744">
            <w:pPr>
              <w:jc w:val="right"/>
              <w:rPr>
                <w:rFonts w:ascii="Times New Roman" w:hAnsi="Times New Roman"/>
                <w:color w:val="000000"/>
                <w:sz w:val="18"/>
                <w:lang w:val="en-US"/>
              </w:rPr>
            </w:pPr>
          </w:p>
        </w:tc>
      </w:tr>
      <w:tr w:rsidR="00C21744" w:rsidRPr="00AE4E8D" w14:paraId="6F4B128B" w14:textId="77777777" w:rsidTr="000400C8">
        <w:trPr>
          <w:trHeight w:val="255"/>
        </w:trPr>
        <w:tc>
          <w:tcPr>
            <w:tcW w:w="2818" w:type="pct"/>
            <w:tcBorders>
              <w:top w:val="nil"/>
              <w:left w:val="nil"/>
              <w:bottom w:val="nil"/>
              <w:right w:val="nil"/>
            </w:tcBorders>
            <w:shd w:val="clear" w:color="auto" w:fill="auto"/>
            <w:noWrap/>
            <w:vAlign w:val="center"/>
            <w:hideMark/>
          </w:tcPr>
          <w:p w14:paraId="5E973B7B"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lastRenderedPageBreak/>
              <w:t>Ingresos Netos por seguros (1)</w:t>
            </w:r>
          </w:p>
        </w:tc>
        <w:tc>
          <w:tcPr>
            <w:tcW w:w="762" w:type="pct"/>
            <w:tcBorders>
              <w:top w:val="nil"/>
              <w:left w:val="nil"/>
              <w:bottom w:val="nil"/>
              <w:right w:val="nil"/>
            </w:tcBorders>
            <w:shd w:val="clear" w:color="000000" w:fill="FFFFFF"/>
            <w:noWrap/>
            <w:vAlign w:val="center"/>
            <w:hideMark/>
          </w:tcPr>
          <w:p w14:paraId="6AD1C3E2"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1.359,0</w:t>
            </w:r>
          </w:p>
        </w:tc>
        <w:tc>
          <w:tcPr>
            <w:tcW w:w="762" w:type="pct"/>
            <w:tcBorders>
              <w:top w:val="nil"/>
              <w:left w:val="nil"/>
              <w:bottom w:val="nil"/>
              <w:right w:val="nil"/>
            </w:tcBorders>
            <w:shd w:val="clear" w:color="000000" w:fill="FFFFFF"/>
            <w:noWrap/>
            <w:vAlign w:val="center"/>
            <w:hideMark/>
          </w:tcPr>
          <w:p w14:paraId="0C54AC04"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840,6</w:t>
            </w:r>
          </w:p>
        </w:tc>
        <w:tc>
          <w:tcPr>
            <w:tcW w:w="658" w:type="pct"/>
            <w:tcBorders>
              <w:top w:val="nil"/>
              <w:left w:val="nil"/>
              <w:bottom w:val="nil"/>
              <w:right w:val="nil"/>
            </w:tcBorders>
            <w:shd w:val="clear" w:color="auto" w:fill="auto"/>
            <w:noWrap/>
            <w:vAlign w:val="center"/>
            <w:hideMark/>
          </w:tcPr>
          <w:p w14:paraId="2757D31F"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61,7%</w:t>
            </w:r>
          </w:p>
        </w:tc>
      </w:tr>
      <w:tr w:rsidR="00C21744" w:rsidRPr="00AE4E8D" w14:paraId="489F6CC5" w14:textId="77777777" w:rsidTr="000400C8">
        <w:trPr>
          <w:trHeight w:val="315"/>
        </w:trPr>
        <w:tc>
          <w:tcPr>
            <w:tcW w:w="2818" w:type="pct"/>
            <w:tcBorders>
              <w:top w:val="nil"/>
              <w:left w:val="nil"/>
              <w:bottom w:val="nil"/>
              <w:right w:val="nil"/>
            </w:tcBorders>
            <w:shd w:val="clear" w:color="auto" w:fill="auto"/>
            <w:noWrap/>
            <w:vAlign w:val="center"/>
            <w:hideMark/>
          </w:tcPr>
          <w:p w14:paraId="2E1346DF" w14:textId="77777777" w:rsidR="00C21744" w:rsidRPr="00AE4E8D" w:rsidRDefault="00C21744">
            <w:pPr>
              <w:rPr>
                <w:rFonts w:ascii="Times New Roman" w:hAnsi="Times New Roman"/>
                <w:color w:val="000000"/>
                <w:sz w:val="18"/>
              </w:rPr>
            </w:pPr>
            <w:r w:rsidRPr="00AE4E8D">
              <w:rPr>
                <w:rFonts w:ascii="Times New Roman" w:hAnsi="Times New Roman"/>
                <w:color w:val="000000"/>
                <w:sz w:val="18"/>
                <w:lang w:val="es-ES"/>
              </w:rPr>
              <w:t>Otros ingresos netos por servicios (2)</w:t>
            </w:r>
          </w:p>
        </w:tc>
        <w:tc>
          <w:tcPr>
            <w:tcW w:w="762" w:type="pct"/>
            <w:tcBorders>
              <w:top w:val="nil"/>
              <w:left w:val="nil"/>
              <w:bottom w:val="nil"/>
              <w:right w:val="nil"/>
            </w:tcBorders>
            <w:shd w:val="clear" w:color="000000" w:fill="FFFFFF"/>
            <w:noWrap/>
            <w:vAlign w:val="center"/>
            <w:hideMark/>
          </w:tcPr>
          <w:p w14:paraId="3492B3E7"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1.666,5</w:t>
            </w:r>
          </w:p>
        </w:tc>
        <w:tc>
          <w:tcPr>
            <w:tcW w:w="762" w:type="pct"/>
            <w:tcBorders>
              <w:top w:val="nil"/>
              <w:left w:val="nil"/>
              <w:bottom w:val="nil"/>
              <w:right w:val="nil"/>
            </w:tcBorders>
            <w:shd w:val="clear" w:color="000000" w:fill="FFFFFF"/>
            <w:noWrap/>
            <w:vAlign w:val="center"/>
            <w:hideMark/>
          </w:tcPr>
          <w:p w14:paraId="7B0C650E"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1.069,3</w:t>
            </w:r>
          </w:p>
        </w:tc>
        <w:tc>
          <w:tcPr>
            <w:tcW w:w="658" w:type="pct"/>
            <w:tcBorders>
              <w:top w:val="nil"/>
              <w:left w:val="nil"/>
              <w:bottom w:val="nil"/>
              <w:right w:val="nil"/>
            </w:tcBorders>
            <w:shd w:val="clear" w:color="auto" w:fill="auto"/>
            <w:noWrap/>
            <w:vAlign w:val="center"/>
            <w:hideMark/>
          </w:tcPr>
          <w:p w14:paraId="258DB682"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55,9%</w:t>
            </w:r>
          </w:p>
        </w:tc>
      </w:tr>
      <w:tr w:rsidR="00C21744" w:rsidRPr="00AE4E8D" w14:paraId="767A0399" w14:textId="77777777" w:rsidTr="000400C8">
        <w:trPr>
          <w:trHeight w:val="315"/>
        </w:trPr>
        <w:tc>
          <w:tcPr>
            <w:tcW w:w="2818" w:type="pct"/>
            <w:tcBorders>
              <w:top w:val="nil"/>
              <w:left w:val="nil"/>
              <w:bottom w:val="nil"/>
              <w:right w:val="nil"/>
            </w:tcBorders>
            <w:shd w:val="clear" w:color="auto" w:fill="auto"/>
            <w:noWrap/>
            <w:vAlign w:val="center"/>
            <w:hideMark/>
          </w:tcPr>
          <w:p w14:paraId="271CAFB6" w14:textId="77777777" w:rsidR="00C21744" w:rsidRPr="00AE4E8D" w:rsidRDefault="00C21744">
            <w:pPr>
              <w:rPr>
                <w:rFonts w:ascii="Times New Roman" w:hAnsi="Times New Roman"/>
                <w:color w:val="000000"/>
                <w:sz w:val="18"/>
              </w:rPr>
            </w:pPr>
            <w:r w:rsidRPr="00AE4E8D">
              <w:rPr>
                <w:rFonts w:ascii="Times New Roman" w:hAnsi="Times New Roman"/>
                <w:color w:val="000000"/>
                <w:sz w:val="18"/>
                <w:lang w:val="es-ES"/>
              </w:rPr>
              <w:t>Subtotal de ingresos por servicios neto</w:t>
            </w:r>
          </w:p>
        </w:tc>
        <w:tc>
          <w:tcPr>
            <w:tcW w:w="762" w:type="pct"/>
            <w:tcBorders>
              <w:top w:val="nil"/>
              <w:left w:val="nil"/>
              <w:bottom w:val="nil"/>
              <w:right w:val="nil"/>
            </w:tcBorders>
            <w:shd w:val="clear" w:color="000000" w:fill="FFFFFF"/>
            <w:noWrap/>
            <w:vAlign w:val="center"/>
            <w:hideMark/>
          </w:tcPr>
          <w:p w14:paraId="128DB369"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3.025,5</w:t>
            </w:r>
          </w:p>
        </w:tc>
        <w:tc>
          <w:tcPr>
            <w:tcW w:w="762" w:type="pct"/>
            <w:tcBorders>
              <w:top w:val="nil"/>
              <w:left w:val="nil"/>
              <w:bottom w:val="nil"/>
              <w:right w:val="nil"/>
            </w:tcBorders>
            <w:shd w:val="clear" w:color="000000" w:fill="FFFFFF"/>
            <w:noWrap/>
            <w:vAlign w:val="center"/>
            <w:hideMark/>
          </w:tcPr>
          <w:p w14:paraId="612871E6"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1.909,9</w:t>
            </w:r>
          </w:p>
        </w:tc>
        <w:tc>
          <w:tcPr>
            <w:tcW w:w="658" w:type="pct"/>
            <w:tcBorders>
              <w:top w:val="nil"/>
              <w:left w:val="nil"/>
              <w:bottom w:val="nil"/>
              <w:right w:val="nil"/>
            </w:tcBorders>
            <w:shd w:val="clear" w:color="auto" w:fill="auto"/>
            <w:noWrap/>
            <w:vAlign w:val="center"/>
            <w:hideMark/>
          </w:tcPr>
          <w:p w14:paraId="67A66B94"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58,4%</w:t>
            </w:r>
          </w:p>
        </w:tc>
      </w:tr>
      <w:tr w:rsidR="00C21744" w:rsidRPr="00AE4E8D" w14:paraId="1FCDBB80" w14:textId="77777777" w:rsidTr="000400C8">
        <w:trPr>
          <w:trHeight w:val="255"/>
        </w:trPr>
        <w:tc>
          <w:tcPr>
            <w:tcW w:w="2818" w:type="pct"/>
            <w:tcBorders>
              <w:top w:val="nil"/>
              <w:left w:val="nil"/>
              <w:bottom w:val="nil"/>
              <w:right w:val="nil"/>
            </w:tcBorders>
            <w:shd w:val="clear" w:color="auto" w:fill="auto"/>
            <w:noWrap/>
            <w:vAlign w:val="center"/>
            <w:hideMark/>
          </w:tcPr>
          <w:p w14:paraId="41E907EE"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t>Gastos administrativos</w:t>
            </w:r>
          </w:p>
        </w:tc>
        <w:tc>
          <w:tcPr>
            <w:tcW w:w="762" w:type="pct"/>
            <w:tcBorders>
              <w:top w:val="nil"/>
              <w:left w:val="nil"/>
              <w:bottom w:val="nil"/>
              <w:right w:val="nil"/>
            </w:tcBorders>
            <w:shd w:val="clear" w:color="000000" w:fill="FFFFFF"/>
            <w:noWrap/>
            <w:vAlign w:val="center"/>
            <w:hideMark/>
          </w:tcPr>
          <w:p w14:paraId="23E21F56"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(3.952,6)</w:t>
            </w:r>
          </w:p>
        </w:tc>
        <w:tc>
          <w:tcPr>
            <w:tcW w:w="762" w:type="pct"/>
            <w:tcBorders>
              <w:top w:val="nil"/>
              <w:left w:val="nil"/>
              <w:bottom w:val="nil"/>
              <w:right w:val="nil"/>
            </w:tcBorders>
            <w:shd w:val="clear" w:color="000000" w:fill="FFFFFF"/>
            <w:noWrap/>
            <w:vAlign w:val="center"/>
            <w:hideMark/>
          </w:tcPr>
          <w:p w14:paraId="34D8F2F8"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(2.855,9)</w:t>
            </w:r>
          </w:p>
        </w:tc>
        <w:tc>
          <w:tcPr>
            <w:tcW w:w="658" w:type="pct"/>
            <w:tcBorders>
              <w:top w:val="nil"/>
              <w:left w:val="nil"/>
              <w:bottom w:val="nil"/>
              <w:right w:val="nil"/>
            </w:tcBorders>
            <w:shd w:val="clear" w:color="auto" w:fill="auto"/>
            <w:noWrap/>
            <w:vAlign w:val="center"/>
            <w:hideMark/>
          </w:tcPr>
          <w:p w14:paraId="01EDEDF0"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38,4%</w:t>
            </w:r>
          </w:p>
        </w:tc>
      </w:tr>
      <w:tr w:rsidR="00C21744" w:rsidRPr="00AE4E8D" w14:paraId="3310A2D6" w14:textId="77777777" w:rsidTr="000400C8">
        <w:trPr>
          <w:trHeight w:val="255"/>
        </w:trPr>
        <w:tc>
          <w:tcPr>
            <w:tcW w:w="2818" w:type="pct"/>
            <w:tcBorders>
              <w:top w:val="nil"/>
              <w:left w:val="nil"/>
              <w:bottom w:val="nil"/>
              <w:right w:val="nil"/>
            </w:tcBorders>
            <w:shd w:val="clear" w:color="auto" w:fill="auto"/>
            <w:noWrap/>
            <w:vAlign w:val="center"/>
            <w:hideMark/>
          </w:tcPr>
          <w:p w14:paraId="329ED088"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t>Participación no controlante</w:t>
            </w:r>
          </w:p>
        </w:tc>
        <w:tc>
          <w:tcPr>
            <w:tcW w:w="762" w:type="pct"/>
            <w:tcBorders>
              <w:top w:val="nil"/>
              <w:left w:val="nil"/>
              <w:bottom w:val="nil"/>
              <w:right w:val="nil"/>
            </w:tcBorders>
            <w:shd w:val="clear" w:color="000000" w:fill="FFFFFF"/>
            <w:noWrap/>
            <w:vAlign w:val="center"/>
            <w:hideMark/>
          </w:tcPr>
          <w:p w14:paraId="11B2B046"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3,1</w:t>
            </w:r>
          </w:p>
        </w:tc>
        <w:tc>
          <w:tcPr>
            <w:tcW w:w="762" w:type="pct"/>
            <w:tcBorders>
              <w:top w:val="nil"/>
              <w:left w:val="nil"/>
              <w:bottom w:val="nil"/>
              <w:right w:val="nil"/>
            </w:tcBorders>
            <w:shd w:val="clear" w:color="000000" w:fill="FFFFFF"/>
            <w:noWrap/>
            <w:vAlign w:val="center"/>
            <w:hideMark/>
          </w:tcPr>
          <w:p w14:paraId="0F21301F"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25,7</w:t>
            </w:r>
          </w:p>
        </w:tc>
        <w:tc>
          <w:tcPr>
            <w:tcW w:w="658" w:type="pct"/>
            <w:tcBorders>
              <w:top w:val="nil"/>
              <w:left w:val="nil"/>
              <w:bottom w:val="nil"/>
              <w:right w:val="nil"/>
            </w:tcBorders>
            <w:shd w:val="clear" w:color="auto" w:fill="auto"/>
            <w:noWrap/>
            <w:vAlign w:val="center"/>
            <w:hideMark/>
          </w:tcPr>
          <w:p w14:paraId="073FBBB4"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(88,0)%</w:t>
            </w:r>
          </w:p>
        </w:tc>
      </w:tr>
      <w:tr w:rsidR="00C21744" w:rsidRPr="00AE4E8D" w14:paraId="723D97D3" w14:textId="77777777" w:rsidTr="000400C8">
        <w:trPr>
          <w:trHeight w:val="255"/>
        </w:trPr>
        <w:tc>
          <w:tcPr>
            <w:tcW w:w="2818" w:type="pct"/>
            <w:tcBorders>
              <w:top w:val="nil"/>
              <w:left w:val="nil"/>
              <w:bottom w:val="nil"/>
              <w:right w:val="nil"/>
            </w:tcBorders>
            <w:shd w:val="clear" w:color="auto" w:fill="auto"/>
            <w:noWrap/>
            <w:vAlign w:val="center"/>
            <w:hideMark/>
          </w:tcPr>
          <w:p w14:paraId="2043B94C"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t xml:space="preserve">Utilidades diversas netas </w:t>
            </w:r>
            <w:r w:rsidR="00212606" w:rsidRPr="00AE4E8D">
              <w:rPr>
                <w:rFonts w:ascii="Times New Roman" w:hAnsi="Times New Roman"/>
                <w:color w:val="000000"/>
                <w:sz w:val="18"/>
                <w:lang w:val="es-ES"/>
              </w:rPr>
              <w:t xml:space="preserve">(gastos) </w:t>
            </w:r>
            <w:r w:rsidRPr="00AE4E8D">
              <w:rPr>
                <w:rFonts w:ascii="Times New Roman" w:hAnsi="Times New Roman"/>
                <w:color w:val="000000"/>
                <w:sz w:val="18"/>
                <w:lang w:val="es-ES"/>
              </w:rPr>
              <w:t>(3)</w:t>
            </w:r>
          </w:p>
        </w:tc>
        <w:tc>
          <w:tcPr>
            <w:tcW w:w="762" w:type="pct"/>
            <w:tcBorders>
              <w:top w:val="nil"/>
              <w:left w:val="nil"/>
              <w:bottom w:val="nil"/>
              <w:right w:val="nil"/>
            </w:tcBorders>
            <w:shd w:val="clear" w:color="000000" w:fill="FFFFFF"/>
            <w:noWrap/>
            <w:vAlign w:val="center"/>
            <w:hideMark/>
          </w:tcPr>
          <w:p w14:paraId="61284C02"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(51,6)</w:t>
            </w:r>
          </w:p>
        </w:tc>
        <w:tc>
          <w:tcPr>
            <w:tcW w:w="762" w:type="pct"/>
            <w:tcBorders>
              <w:top w:val="nil"/>
              <w:left w:val="nil"/>
              <w:bottom w:val="nil"/>
              <w:right w:val="nil"/>
            </w:tcBorders>
            <w:shd w:val="clear" w:color="000000" w:fill="FFFFFF"/>
            <w:noWrap/>
            <w:vAlign w:val="center"/>
            <w:hideMark/>
          </w:tcPr>
          <w:p w14:paraId="61F8D9CB"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(81,2)</w:t>
            </w:r>
          </w:p>
        </w:tc>
        <w:tc>
          <w:tcPr>
            <w:tcW w:w="658" w:type="pct"/>
            <w:tcBorders>
              <w:top w:val="nil"/>
              <w:left w:val="nil"/>
              <w:bottom w:val="nil"/>
              <w:right w:val="nil"/>
            </w:tcBorders>
            <w:shd w:val="clear" w:color="auto" w:fill="auto"/>
            <w:noWrap/>
            <w:vAlign w:val="center"/>
            <w:hideMark/>
          </w:tcPr>
          <w:p w14:paraId="22C81E42"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(36,4)%</w:t>
            </w:r>
          </w:p>
        </w:tc>
      </w:tr>
      <w:tr w:rsidR="00C21744" w:rsidRPr="00AE4E8D" w14:paraId="147CA8B0" w14:textId="77777777" w:rsidTr="000400C8">
        <w:trPr>
          <w:trHeight w:val="330"/>
        </w:trPr>
        <w:tc>
          <w:tcPr>
            <w:tcW w:w="2818" w:type="pct"/>
            <w:tcBorders>
              <w:top w:val="nil"/>
              <w:left w:val="nil"/>
              <w:bottom w:val="nil"/>
              <w:right w:val="nil"/>
            </w:tcBorders>
            <w:shd w:val="clear" w:color="auto" w:fill="auto"/>
            <w:noWrap/>
            <w:vAlign w:val="center"/>
            <w:hideMark/>
          </w:tcPr>
          <w:p w14:paraId="3FF66F4A" w14:textId="77777777" w:rsidR="00C21744" w:rsidRPr="00AE4E8D" w:rsidRDefault="00C21744">
            <w:pPr>
              <w:rPr>
                <w:rFonts w:ascii="Times New Roman" w:hAnsi="Times New Roman"/>
                <w:color w:val="000000"/>
                <w:sz w:val="18"/>
                <w:lang w:val="en-US"/>
              </w:rPr>
            </w:pPr>
            <w:r w:rsidRPr="00AE4E8D">
              <w:rPr>
                <w:rFonts w:ascii="Times New Roman" w:hAnsi="Times New Roman"/>
                <w:color w:val="000000"/>
                <w:sz w:val="18"/>
                <w:lang w:val="es-ES"/>
              </w:rPr>
              <w:t>Impuesto a las Ganancias</w:t>
            </w:r>
          </w:p>
        </w:tc>
        <w:tc>
          <w:tcPr>
            <w:tcW w:w="762" w:type="pct"/>
            <w:tcBorders>
              <w:top w:val="nil"/>
              <w:left w:val="nil"/>
              <w:bottom w:val="nil"/>
              <w:right w:val="nil"/>
            </w:tcBorders>
            <w:shd w:val="clear" w:color="000000" w:fill="FFFFFF"/>
            <w:noWrap/>
            <w:vAlign w:val="center"/>
            <w:hideMark/>
          </w:tcPr>
          <w:p w14:paraId="6C184A9D"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(618,9)</w:t>
            </w:r>
          </w:p>
        </w:tc>
        <w:tc>
          <w:tcPr>
            <w:tcW w:w="762" w:type="pct"/>
            <w:tcBorders>
              <w:top w:val="nil"/>
              <w:left w:val="nil"/>
              <w:bottom w:val="nil"/>
              <w:right w:val="nil"/>
            </w:tcBorders>
            <w:shd w:val="clear" w:color="000000" w:fill="FFFFFF"/>
            <w:noWrap/>
            <w:vAlign w:val="center"/>
            <w:hideMark/>
          </w:tcPr>
          <w:p w14:paraId="7AF355FA"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(426,6)</w:t>
            </w:r>
          </w:p>
        </w:tc>
        <w:tc>
          <w:tcPr>
            <w:tcW w:w="658" w:type="pct"/>
            <w:tcBorders>
              <w:top w:val="nil"/>
              <w:left w:val="nil"/>
              <w:bottom w:val="nil"/>
              <w:right w:val="nil"/>
            </w:tcBorders>
            <w:shd w:val="clear" w:color="auto" w:fill="auto"/>
            <w:noWrap/>
            <w:vAlign w:val="center"/>
            <w:hideMark/>
          </w:tcPr>
          <w:p w14:paraId="64365C37"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45,1%</w:t>
            </w:r>
          </w:p>
        </w:tc>
      </w:tr>
      <w:tr w:rsidR="00C21744" w:rsidRPr="00AE4E8D" w14:paraId="54B4CC63" w14:textId="77777777" w:rsidTr="000400C8">
        <w:trPr>
          <w:trHeight w:val="270"/>
        </w:trPr>
        <w:tc>
          <w:tcPr>
            <w:tcW w:w="2818" w:type="pct"/>
            <w:tcBorders>
              <w:top w:val="nil"/>
              <w:left w:val="nil"/>
              <w:bottom w:val="nil"/>
              <w:right w:val="nil"/>
            </w:tcBorders>
            <w:shd w:val="clear" w:color="auto" w:fill="auto"/>
            <w:noWrap/>
            <w:vAlign w:val="center"/>
            <w:hideMark/>
          </w:tcPr>
          <w:p w14:paraId="0D602156" w14:textId="77777777" w:rsidR="00C21744" w:rsidRPr="00AE4E8D" w:rsidRDefault="00C21744">
            <w:pPr>
              <w:rPr>
                <w:rFonts w:ascii="Times New Roman" w:hAnsi="Times New Roman"/>
                <w:b/>
                <w:bCs/>
                <w:color w:val="000000"/>
                <w:sz w:val="18"/>
                <w:lang w:val="en-US"/>
              </w:rPr>
            </w:pPr>
            <w:r w:rsidRPr="00AE4E8D">
              <w:rPr>
                <w:rFonts w:ascii="Times New Roman" w:hAnsi="Times New Roman"/>
                <w:b/>
                <w:bCs/>
                <w:color w:val="000000"/>
                <w:sz w:val="18"/>
                <w:lang w:val="es-ES"/>
              </w:rPr>
              <w:t>Resultado Neto</w:t>
            </w:r>
          </w:p>
        </w:tc>
        <w:tc>
          <w:tcPr>
            <w:tcW w:w="762" w:type="pct"/>
            <w:tcBorders>
              <w:top w:val="single" w:sz="8" w:space="0" w:color="auto"/>
              <w:left w:val="nil"/>
              <w:bottom w:val="single" w:sz="8" w:space="0" w:color="auto"/>
              <w:right w:val="nil"/>
            </w:tcBorders>
            <w:shd w:val="clear" w:color="000000" w:fill="FFFFFF"/>
            <w:noWrap/>
            <w:vAlign w:val="center"/>
            <w:hideMark/>
          </w:tcPr>
          <w:p w14:paraId="3BEB98F7"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1.085,8</w:t>
            </w:r>
          </w:p>
        </w:tc>
        <w:tc>
          <w:tcPr>
            <w:tcW w:w="762" w:type="pct"/>
            <w:tcBorders>
              <w:top w:val="single" w:sz="8" w:space="0" w:color="auto"/>
              <w:left w:val="nil"/>
              <w:bottom w:val="single" w:sz="8" w:space="0" w:color="auto"/>
              <w:right w:val="nil"/>
            </w:tcBorders>
            <w:shd w:val="clear" w:color="000000" w:fill="FFFFFF"/>
            <w:noWrap/>
            <w:vAlign w:val="center"/>
            <w:hideMark/>
          </w:tcPr>
          <w:p w14:paraId="58580276"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550,0</w:t>
            </w:r>
          </w:p>
        </w:tc>
        <w:tc>
          <w:tcPr>
            <w:tcW w:w="658" w:type="pct"/>
            <w:tcBorders>
              <w:top w:val="single" w:sz="8" w:space="0" w:color="auto"/>
              <w:left w:val="nil"/>
              <w:bottom w:val="single" w:sz="8" w:space="0" w:color="auto"/>
              <w:right w:val="nil"/>
            </w:tcBorders>
            <w:shd w:val="clear" w:color="auto" w:fill="auto"/>
            <w:noWrap/>
            <w:vAlign w:val="center"/>
            <w:hideMark/>
          </w:tcPr>
          <w:p w14:paraId="436354B0" w14:textId="77777777" w:rsidR="00C21744" w:rsidRPr="00AE4E8D" w:rsidRDefault="00C21744">
            <w:pPr>
              <w:jc w:val="right"/>
              <w:rPr>
                <w:rFonts w:ascii="Times New Roman" w:hAnsi="Times New Roman"/>
                <w:color w:val="000000"/>
                <w:sz w:val="18"/>
                <w:lang w:val="en-US"/>
              </w:rPr>
            </w:pPr>
            <w:r w:rsidRPr="00AE4E8D">
              <w:rPr>
                <w:rFonts w:ascii="Times New Roman" w:hAnsi="Times New Roman"/>
                <w:color w:val="000000"/>
                <w:sz w:val="18"/>
                <w:lang w:val="es-ES"/>
              </w:rPr>
              <w:t>97,4%</w:t>
            </w:r>
          </w:p>
        </w:tc>
      </w:tr>
    </w:tbl>
    <w:p w14:paraId="3711D3BF" w14:textId="77777777" w:rsidR="00C21744" w:rsidRPr="00AE4E8D" w:rsidRDefault="00C21744" w:rsidP="002E5441">
      <w:pPr>
        <w:numPr>
          <w:ilvl w:val="0"/>
          <w:numId w:val="202"/>
        </w:numPr>
        <w:autoSpaceDE w:val="0"/>
        <w:autoSpaceDN w:val="0"/>
        <w:adjustRightInd w:val="0"/>
        <w:spacing w:before="120"/>
        <w:rPr>
          <w:rFonts w:ascii="Times New Roman" w:eastAsia="Calibri" w:hAnsi="Times New Roman"/>
          <w:sz w:val="14"/>
          <w:lang w:val="es-ES" w:eastAsia="es-AR"/>
        </w:rPr>
      </w:pPr>
      <w:r w:rsidRPr="00AE4E8D">
        <w:rPr>
          <w:rFonts w:ascii="Times New Roman" w:eastAsia="Calibri" w:hAnsi="Times New Roman"/>
          <w:sz w:val="14"/>
          <w:lang w:val="es-ES" w:eastAsia="es-AR"/>
        </w:rPr>
        <w:t>Primas de seguro menos siniestros.</w:t>
      </w:r>
    </w:p>
    <w:p w14:paraId="41F521CD" w14:textId="77777777" w:rsidR="00C21744" w:rsidRPr="00AE4E8D" w:rsidRDefault="00C21744" w:rsidP="002E5441">
      <w:pPr>
        <w:numPr>
          <w:ilvl w:val="0"/>
          <w:numId w:val="202"/>
        </w:numPr>
        <w:autoSpaceDE w:val="0"/>
        <w:autoSpaceDN w:val="0"/>
        <w:adjustRightInd w:val="0"/>
        <w:ind w:left="714" w:hanging="357"/>
        <w:jc w:val="both"/>
        <w:rPr>
          <w:rFonts w:ascii="Times New Roman" w:eastAsia="Calibri" w:hAnsi="Times New Roman"/>
          <w:sz w:val="14"/>
          <w:lang w:val="es-ES" w:eastAsia="es-AR"/>
        </w:rPr>
      </w:pPr>
      <w:r w:rsidRPr="00AE4E8D">
        <w:rPr>
          <w:rFonts w:ascii="Times New Roman" w:eastAsia="Calibri" w:hAnsi="Times New Roman"/>
          <w:sz w:val="14"/>
          <w:lang w:val="es-ES" w:eastAsia="es-AR"/>
        </w:rPr>
        <w:t>Otros ingresos por servicios menos otros gastos por servicios.</w:t>
      </w:r>
    </w:p>
    <w:p w14:paraId="741E8006" w14:textId="77777777" w:rsidR="00C21744" w:rsidRPr="00AE4E8D" w:rsidRDefault="00C21744" w:rsidP="002E5441">
      <w:pPr>
        <w:numPr>
          <w:ilvl w:val="0"/>
          <w:numId w:val="202"/>
        </w:numPr>
        <w:autoSpaceDE w:val="0"/>
        <w:autoSpaceDN w:val="0"/>
        <w:adjustRightInd w:val="0"/>
        <w:ind w:left="714" w:hanging="357"/>
        <w:jc w:val="both"/>
        <w:rPr>
          <w:rFonts w:ascii="Times New Roman" w:eastAsia="Calibri" w:hAnsi="Times New Roman"/>
          <w:sz w:val="14"/>
          <w:lang w:val="es-ES" w:eastAsia="es-AR"/>
        </w:rPr>
      </w:pPr>
      <w:r w:rsidRPr="00AE4E8D">
        <w:rPr>
          <w:rFonts w:ascii="Times New Roman" w:eastAsia="Calibri" w:hAnsi="Times New Roman"/>
          <w:sz w:val="14"/>
          <w:lang w:val="es-ES" w:eastAsia="es-AR"/>
        </w:rPr>
        <w:t>Utilidades diversas menos gastos diversos.</w:t>
      </w:r>
    </w:p>
    <w:p w14:paraId="51225C1E" w14:textId="77777777" w:rsidR="00C21744" w:rsidRPr="00AE4E8D" w:rsidRDefault="00C21744" w:rsidP="002E5441">
      <w:pPr>
        <w:pStyle w:val="BH4Cursiva"/>
        <w:rPr>
          <w:rFonts w:eastAsia="Calibri"/>
          <w:b w:val="0"/>
          <w:i w:val="0"/>
        </w:rPr>
      </w:pPr>
      <w:r w:rsidRPr="00AE4E8D">
        <w:rPr>
          <w:rFonts w:eastAsia="Calibri"/>
        </w:rPr>
        <w:t>Resultado Neto</w:t>
      </w:r>
    </w:p>
    <w:p w14:paraId="2E34C124" w14:textId="77777777" w:rsidR="00C21744" w:rsidRPr="00AE4E8D" w:rsidRDefault="00C21744" w:rsidP="002E5441">
      <w:pPr>
        <w:pStyle w:val="BHTexto"/>
        <w:rPr>
          <w:rFonts w:eastAsia="Calibri"/>
        </w:rPr>
      </w:pPr>
      <w:r w:rsidRPr="00AE4E8D">
        <w:rPr>
          <w:rFonts w:eastAsia="Calibri"/>
        </w:rPr>
        <w:t>El resultado neto aumentó 97,4%, de Ps.550,0 millones al 31 de diciembre de 2014 a Ps.1.085,8 millones al 31 de diciembre de 2015, principalmente como resultado de:</w:t>
      </w:r>
    </w:p>
    <w:p w14:paraId="38E25E8A" w14:textId="77777777" w:rsidR="00C21744" w:rsidRPr="00AE4E8D" w:rsidRDefault="00C21744" w:rsidP="00C21744">
      <w:pPr>
        <w:pStyle w:val="BHVieta2"/>
        <w:numPr>
          <w:ilvl w:val="0"/>
          <w:numId w:val="164"/>
        </w:numPr>
        <w:rPr>
          <w:lang w:val="es-ES"/>
        </w:rPr>
      </w:pPr>
      <w:r w:rsidRPr="00AE4E8D">
        <w:rPr>
          <w:lang w:val="es-ES"/>
        </w:rPr>
        <w:t xml:space="preserve">Un aumento del </w:t>
      </w:r>
      <w:r w:rsidRPr="00AE4E8D">
        <w:rPr>
          <w:lang w:val="es-ES" w:eastAsia="es-AR"/>
        </w:rPr>
        <w:t>36,9</w:t>
      </w:r>
      <w:r w:rsidRPr="00AE4E8D">
        <w:rPr>
          <w:lang w:val="es-ES"/>
        </w:rPr>
        <w:t>% en los ingresos financieros de Ps.</w:t>
      </w:r>
      <w:r w:rsidRPr="00AE4E8D">
        <w:rPr>
          <w:lang w:val="es-ES" w:eastAsia="es-AR"/>
        </w:rPr>
        <w:t xml:space="preserve">1.951,7 </w:t>
      </w:r>
      <w:r w:rsidRPr="00AE4E8D">
        <w:rPr>
          <w:lang w:val="es-ES"/>
        </w:rPr>
        <w:t>millones, y</w:t>
      </w:r>
    </w:p>
    <w:p w14:paraId="5F51B384" w14:textId="77777777" w:rsidR="00C21744" w:rsidRPr="00AE4E8D" w:rsidRDefault="00C21744" w:rsidP="00C21744">
      <w:pPr>
        <w:pStyle w:val="BHVieta2"/>
        <w:numPr>
          <w:ilvl w:val="0"/>
          <w:numId w:val="164"/>
        </w:numPr>
        <w:rPr>
          <w:lang w:val="es-ES"/>
        </w:rPr>
      </w:pPr>
      <w:r w:rsidRPr="00AE4E8D">
        <w:rPr>
          <w:lang w:val="es-ES"/>
        </w:rPr>
        <w:t xml:space="preserve">Un aumento del </w:t>
      </w:r>
      <w:r w:rsidRPr="00AE4E8D">
        <w:rPr>
          <w:lang w:val="es-ES" w:eastAsia="es-AR"/>
        </w:rPr>
        <w:t>58,4</w:t>
      </w:r>
      <w:r w:rsidRPr="00AE4E8D">
        <w:rPr>
          <w:lang w:val="es-ES"/>
        </w:rPr>
        <w:t>% en ingresos por servicios de Ps.</w:t>
      </w:r>
      <w:r w:rsidRPr="00AE4E8D">
        <w:rPr>
          <w:lang w:val="es-ES" w:eastAsia="es-AR"/>
        </w:rPr>
        <w:t>1.115</w:t>
      </w:r>
      <w:proofErr w:type="gramStart"/>
      <w:r w:rsidRPr="00AE4E8D">
        <w:rPr>
          <w:lang w:val="es-ES" w:eastAsia="es-AR"/>
        </w:rPr>
        <w:t>,7</w:t>
      </w:r>
      <w:proofErr w:type="gramEnd"/>
      <w:r w:rsidRPr="00AE4E8D">
        <w:rPr>
          <w:lang w:val="es-ES"/>
        </w:rPr>
        <w:t xml:space="preserve"> millones.</w:t>
      </w:r>
    </w:p>
    <w:p w14:paraId="5C60B18F" w14:textId="77777777" w:rsidR="00C21744" w:rsidRPr="00AE4E8D" w:rsidRDefault="00C21744" w:rsidP="002E5441">
      <w:pPr>
        <w:pStyle w:val="BodyText2Sgl10"/>
        <w:ind w:firstLine="0"/>
        <w:rPr>
          <w:lang w:val="es-ES"/>
        </w:rPr>
      </w:pPr>
      <w:r w:rsidRPr="00AE4E8D">
        <w:rPr>
          <w:lang w:val="es-ES"/>
        </w:rPr>
        <w:t>Estos incrementos fueron compensados parcialmente por:</w:t>
      </w:r>
    </w:p>
    <w:p w14:paraId="0488964A" w14:textId="77777777" w:rsidR="00C21744" w:rsidRPr="00AE4E8D" w:rsidRDefault="00C21744" w:rsidP="00C21744">
      <w:pPr>
        <w:pStyle w:val="BHVieta2"/>
        <w:numPr>
          <w:ilvl w:val="0"/>
          <w:numId w:val="164"/>
        </w:numPr>
        <w:rPr>
          <w:lang w:val="es-ES"/>
        </w:rPr>
      </w:pPr>
      <w:r w:rsidRPr="00AE4E8D">
        <w:rPr>
          <w:lang w:val="es-ES"/>
        </w:rPr>
        <w:t xml:space="preserve">Un aumento del </w:t>
      </w:r>
      <w:r w:rsidRPr="00AE4E8D">
        <w:rPr>
          <w:lang w:val="es-ES" w:eastAsia="es-AR"/>
        </w:rPr>
        <w:t>41,7</w:t>
      </w:r>
      <w:r w:rsidRPr="00AE4E8D">
        <w:rPr>
          <w:lang w:val="es-ES"/>
        </w:rPr>
        <w:t>% en egresos financieros de Ps.</w:t>
      </w:r>
      <w:r w:rsidRPr="00AE4E8D">
        <w:rPr>
          <w:lang w:val="es-ES" w:eastAsia="es-AR"/>
        </w:rPr>
        <w:t>1.238,7</w:t>
      </w:r>
      <w:r w:rsidRPr="00AE4E8D">
        <w:rPr>
          <w:lang w:val="es-ES"/>
        </w:rPr>
        <w:t xml:space="preserve"> millones,</w:t>
      </w:r>
    </w:p>
    <w:p w14:paraId="06FA5879" w14:textId="77777777" w:rsidR="00C21744" w:rsidRPr="00AE4E8D" w:rsidRDefault="00C21744" w:rsidP="00C21744">
      <w:pPr>
        <w:pStyle w:val="BHVieta2"/>
        <w:numPr>
          <w:ilvl w:val="0"/>
          <w:numId w:val="164"/>
        </w:numPr>
        <w:rPr>
          <w:lang w:val="es-ES"/>
        </w:rPr>
      </w:pPr>
      <w:r w:rsidRPr="00AE4E8D">
        <w:rPr>
          <w:lang w:val="es-ES"/>
        </w:rPr>
        <w:t>Un aumento del 38,4% en gastos administrativos de Ps.1.096,9 millones, y</w:t>
      </w:r>
    </w:p>
    <w:p w14:paraId="4D20C74A" w14:textId="77777777" w:rsidR="00C21744" w:rsidRPr="00AE4E8D" w:rsidRDefault="00C21744" w:rsidP="00C21744">
      <w:pPr>
        <w:pStyle w:val="BHVieta2"/>
        <w:numPr>
          <w:ilvl w:val="0"/>
          <w:numId w:val="164"/>
        </w:numPr>
        <w:rPr>
          <w:lang w:val="es-ES"/>
        </w:rPr>
      </w:pPr>
      <w:r w:rsidRPr="00AE4E8D">
        <w:rPr>
          <w:lang w:val="es-ES"/>
        </w:rPr>
        <w:t>Un aumento del 45,1% en impuesto a las ganancias de Ps. 192,3 millones.</w:t>
      </w:r>
    </w:p>
    <w:p w14:paraId="7D8A3799" w14:textId="77777777" w:rsidR="00C21744" w:rsidRPr="00AE4E8D" w:rsidRDefault="00C21744" w:rsidP="002E5441">
      <w:pPr>
        <w:pStyle w:val="BH4Cursiva"/>
        <w:rPr>
          <w:rFonts w:eastAsia="Calibri"/>
        </w:rPr>
      </w:pPr>
      <w:r w:rsidRPr="00AE4E8D">
        <w:rPr>
          <w:rFonts w:eastAsia="Calibri"/>
        </w:rPr>
        <w:t>Ingresos Financieros</w:t>
      </w:r>
    </w:p>
    <w:p w14:paraId="3A83E0FE" w14:textId="77777777" w:rsidR="00C21744" w:rsidRPr="00AE4E8D" w:rsidRDefault="00C21744" w:rsidP="00C21744">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El siguiente cuadro detalla las principales líneas de los ingresos financieros por los ejercicios finalizados el 31 de diciembre de 2015 y 2014:</w:t>
      </w:r>
    </w:p>
    <w:tbl>
      <w:tblPr>
        <w:tblW w:w="5000" w:type="pct"/>
        <w:jc w:val="center"/>
        <w:tblLook w:val="04A0" w:firstRow="1" w:lastRow="0" w:firstColumn="1" w:lastColumn="0" w:noHBand="0" w:noVBand="1"/>
      </w:tblPr>
      <w:tblGrid>
        <w:gridCol w:w="4144"/>
        <w:gridCol w:w="1688"/>
        <w:gridCol w:w="1688"/>
        <w:gridCol w:w="1201"/>
      </w:tblGrid>
      <w:tr w:rsidR="00C21744" w:rsidRPr="00AE4E8D" w14:paraId="2048CB71" w14:textId="77777777" w:rsidTr="000400C8">
        <w:trPr>
          <w:trHeight w:val="255"/>
          <w:tblHeader/>
          <w:jc w:val="center"/>
        </w:trPr>
        <w:tc>
          <w:tcPr>
            <w:tcW w:w="2429" w:type="pct"/>
            <w:tcBorders>
              <w:top w:val="nil"/>
              <w:left w:val="nil"/>
              <w:bottom w:val="nil"/>
              <w:right w:val="nil"/>
            </w:tcBorders>
            <w:shd w:val="clear" w:color="auto" w:fill="auto"/>
            <w:noWrap/>
            <w:vAlign w:val="bottom"/>
            <w:hideMark/>
          </w:tcPr>
          <w:p w14:paraId="705B4637" w14:textId="77777777" w:rsidR="00C21744" w:rsidRPr="00AE4E8D" w:rsidRDefault="00C21744" w:rsidP="00C21744">
            <w:pPr>
              <w:rPr>
                <w:rFonts w:ascii="Times New Roman" w:hAnsi="Times New Roman"/>
                <w:color w:val="000000"/>
                <w:sz w:val="18"/>
                <w:szCs w:val="18"/>
              </w:rPr>
            </w:pPr>
          </w:p>
        </w:tc>
        <w:tc>
          <w:tcPr>
            <w:tcW w:w="1895" w:type="pct"/>
            <w:gridSpan w:val="2"/>
            <w:tcBorders>
              <w:top w:val="single" w:sz="8" w:space="0" w:color="auto"/>
              <w:left w:val="nil"/>
              <w:bottom w:val="single" w:sz="8" w:space="0" w:color="auto"/>
              <w:right w:val="nil"/>
            </w:tcBorders>
            <w:shd w:val="clear" w:color="auto" w:fill="auto"/>
            <w:noWrap/>
            <w:vAlign w:val="bottom"/>
            <w:hideMark/>
          </w:tcPr>
          <w:p w14:paraId="78A192EE" w14:textId="77777777" w:rsidR="00C21744" w:rsidRPr="00AE4E8D" w:rsidRDefault="00C21744" w:rsidP="00C21744">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Ejercicio finalizado el 31 de diciembre de</w:t>
            </w:r>
          </w:p>
        </w:tc>
        <w:tc>
          <w:tcPr>
            <w:tcW w:w="675" w:type="pct"/>
            <w:tcBorders>
              <w:top w:val="single" w:sz="8" w:space="0" w:color="auto"/>
              <w:left w:val="nil"/>
              <w:bottom w:val="single" w:sz="8" w:space="0" w:color="auto"/>
              <w:right w:val="nil"/>
            </w:tcBorders>
            <w:shd w:val="clear" w:color="auto" w:fill="auto"/>
            <w:noWrap/>
            <w:vAlign w:val="bottom"/>
            <w:hideMark/>
          </w:tcPr>
          <w:p w14:paraId="698EA47A"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C21744" w:rsidRPr="00AE4E8D" w14:paraId="30C2EE78" w14:textId="77777777" w:rsidTr="000400C8">
        <w:trPr>
          <w:trHeight w:val="255"/>
          <w:tblHeader/>
          <w:jc w:val="center"/>
        </w:trPr>
        <w:tc>
          <w:tcPr>
            <w:tcW w:w="2429" w:type="pct"/>
            <w:tcBorders>
              <w:top w:val="nil"/>
              <w:left w:val="nil"/>
              <w:bottom w:val="nil"/>
              <w:right w:val="nil"/>
            </w:tcBorders>
            <w:shd w:val="clear" w:color="auto" w:fill="auto"/>
            <w:noWrap/>
            <w:vAlign w:val="bottom"/>
            <w:hideMark/>
          </w:tcPr>
          <w:p w14:paraId="23B16FD7" w14:textId="77777777" w:rsidR="00C21744" w:rsidRPr="00AE4E8D" w:rsidRDefault="00C21744" w:rsidP="00C21744">
            <w:pPr>
              <w:rPr>
                <w:rFonts w:ascii="Times New Roman" w:hAnsi="Times New Roman"/>
                <w:color w:val="000000"/>
                <w:sz w:val="18"/>
                <w:szCs w:val="18"/>
                <w:lang w:val="en-US"/>
              </w:rPr>
            </w:pPr>
          </w:p>
        </w:tc>
        <w:tc>
          <w:tcPr>
            <w:tcW w:w="948" w:type="pct"/>
            <w:tcBorders>
              <w:top w:val="nil"/>
              <w:left w:val="nil"/>
              <w:bottom w:val="single" w:sz="8" w:space="0" w:color="auto"/>
              <w:right w:val="nil"/>
            </w:tcBorders>
            <w:shd w:val="clear" w:color="auto" w:fill="auto"/>
            <w:noWrap/>
            <w:vAlign w:val="bottom"/>
            <w:hideMark/>
          </w:tcPr>
          <w:p w14:paraId="691C5103"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948" w:type="pct"/>
            <w:tcBorders>
              <w:top w:val="nil"/>
              <w:left w:val="nil"/>
              <w:bottom w:val="single" w:sz="8" w:space="0" w:color="auto"/>
              <w:right w:val="nil"/>
            </w:tcBorders>
            <w:shd w:val="clear" w:color="auto" w:fill="auto"/>
            <w:noWrap/>
            <w:vAlign w:val="bottom"/>
            <w:hideMark/>
          </w:tcPr>
          <w:p w14:paraId="7E5CCBFC"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w:t>
            </w:r>
          </w:p>
        </w:tc>
        <w:tc>
          <w:tcPr>
            <w:tcW w:w="675" w:type="pct"/>
            <w:tcBorders>
              <w:top w:val="nil"/>
              <w:left w:val="nil"/>
              <w:bottom w:val="single" w:sz="8" w:space="0" w:color="auto"/>
              <w:right w:val="nil"/>
            </w:tcBorders>
            <w:shd w:val="clear" w:color="auto" w:fill="auto"/>
            <w:noWrap/>
            <w:vAlign w:val="bottom"/>
            <w:hideMark/>
          </w:tcPr>
          <w:p w14:paraId="490A71F7"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2014/2015</w:t>
            </w:r>
          </w:p>
        </w:tc>
      </w:tr>
      <w:tr w:rsidR="00C21744" w:rsidRPr="00AE4E8D" w14:paraId="6B142AFE" w14:textId="77777777" w:rsidTr="000400C8">
        <w:trPr>
          <w:trHeight w:val="240"/>
          <w:tblHeader/>
          <w:jc w:val="center"/>
        </w:trPr>
        <w:tc>
          <w:tcPr>
            <w:tcW w:w="2429" w:type="pct"/>
            <w:tcBorders>
              <w:top w:val="nil"/>
              <w:left w:val="nil"/>
              <w:bottom w:val="nil"/>
              <w:right w:val="nil"/>
            </w:tcBorders>
            <w:shd w:val="clear" w:color="auto" w:fill="auto"/>
            <w:noWrap/>
            <w:vAlign w:val="bottom"/>
            <w:hideMark/>
          </w:tcPr>
          <w:p w14:paraId="41432DFC" w14:textId="77777777" w:rsidR="00C21744" w:rsidRPr="00AE4E8D" w:rsidRDefault="00C21744" w:rsidP="00C21744">
            <w:pPr>
              <w:rPr>
                <w:rFonts w:ascii="Times New Roman" w:hAnsi="Times New Roman"/>
                <w:color w:val="000000"/>
                <w:sz w:val="18"/>
                <w:szCs w:val="18"/>
                <w:lang w:val="en-US"/>
              </w:rPr>
            </w:pPr>
          </w:p>
        </w:tc>
        <w:tc>
          <w:tcPr>
            <w:tcW w:w="2571" w:type="pct"/>
            <w:gridSpan w:val="3"/>
            <w:tcBorders>
              <w:top w:val="single" w:sz="8" w:space="0" w:color="auto"/>
              <w:left w:val="nil"/>
              <w:bottom w:val="nil"/>
              <w:right w:val="nil"/>
            </w:tcBorders>
            <w:shd w:val="clear" w:color="auto" w:fill="auto"/>
            <w:noWrap/>
            <w:vAlign w:val="bottom"/>
            <w:hideMark/>
          </w:tcPr>
          <w:p w14:paraId="494805D2" w14:textId="77777777" w:rsidR="00C21744" w:rsidRPr="00AE4E8D" w:rsidRDefault="00C21744" w:rsidP="00C21744">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212606" w:rsidRPr="00AE4E8D" w14:paraId="2DBEE1D4" w14:textId="77777777" w:rsidTr="002E5441">
        <w:trPr>
          <w:trHeight w:val="240"/>
          <w:jc w:val="center"/>
        </w:trPr>
        <w:tc>
          <w:tcPr>
            <w:tcW w:w="2429" w:type="pct"/>
            <w:tcBorders>
              <w:top w:val="nil"/>
              <w:left w:val="nil"/>
              <w:bottom w:val="nil"/>
              <w:right w:val="nil"/>
            </w:tcBorders>
            <w:shd w:val="clear" w:color="auto" w:fill="auto"/>
            <w:noWrap/>
            <w:vAlign w:val="bottom"/>
          </w:tcPr>
          <w:p w14:paraId="7FC24D14" w14:textId="77777777" w:rsidR="00212606" w:rsidRPr="00AE4E8D" w:rsidRDefault="00212606" w:rsidP="00C21744">
            <w:pPr>
              <w:rPr>
                <w:rFonts w:ascii="Times New Roman" w:hAnsi="Times New Roman"/>
                <w:color w:val="000000"/>
                <w:sz w:val="18"/>
                <w:szCs w:val="18"/>
                <w:lang w:val="es-ES"/>
              </w:rPr>
            </w:pPr>
            <w:r w:rsidRPr="00AE4E8D">
              <w:rPr>
                <w:rFonts w:ascii="Times New Roman" w:hAnsi="Times New Roman"/>
                <w:color w:val="000000"/>
                <w:sz w:val="18"/>
                <w:szCs w:val="18"/>
                <w:lang w:val="es-ES"/>
              </w:rPr>
              <w:t>Intereses por</w:t>
            </w:r>
          </w:p>
        </w:tc>
        <w:tc>
          <w:tcPr>
            <w:tcW w:w="948" w:type="pct"/>
            <w:tcBorders>
              <w:top w:val="nil"/>
              <w:left w:val="nil"/>
              <w:bottom w:val="nil"/>
              <w:right w:val="nil"/>
            </w:tcBorders>
            <w:shd w:val="clear" w:color="000000" w:fill="FFFFFF"/>
            <w:noWrap/>
            <w:vAlign w:val="bottom"/>
          </w:tcPr>
          <w:p w14:paraId="5C13ED61" w14:textId="77777777" w:rsidR="00212606" w:rsidRPr="00AE4E8D" w:rsidRDefault="00212606" w:rsidP="00C21744">
            <w:pPr>
              <w:jc w:val="right"/>
              <w:rPr>
                <w:rFonts w:ascii="Times New Roman" w:hAnsi="Times New Roman"/>
                <w:color w:val="000000"/>
                <w:sz w:val="18"/>
                <w:szCs w:val="18"/>
                <w:lang w:val="es-ES"/>
              </w:rPr>
            </w:pPr>
          </w:p>
        </w:tc>
        <w:tc>
          <w:tcPr>
            <w:tcW w:w="948" w:type="pct"/>
            <w:tcBorders>
              <w:top w:val="nil"/>
              <w:left w:val="nil"/>
              <w:bottom w:val="nil"/>
              <w:right w:val="nil"/>
            </w:tcBorders>
            <w:shd w:val="clear" w:color="000000" w:fill="FFFFFF"/>
            <w:noWrap/>
            <w:vAlign w:val="bottom"/>
          </w:tcPr>
          <w:p w14:paraId="0386787C" w14:textId="77777777" w:rsidR="00212606" w:rsidRPr="00AE4E8D" w:rsidRDefault="00212606" w:rsidP="00C21744">
            <w:pPr>
              <w:jc w:val="right"/>
              <w:rPr>
                <w:rFonts w:ascii="Times New Roman" w:hAnsi="Times New Roman"/>
                <w:color w:val="000000"/>
                <w:sz w:val="18"/>
                <w:szCs w:val="18"/>
                <w:lang w:val="es-ES"/>
              </w:rPr>
            </w:pPr>
          </w:p>
        </w:tc>
        <w:tc>
          <w:tcPr>
            <w:tcW w:w="675" w:type="pct"/>
            <w:tcBorders>
              <w:top w:val="nil"/>
              <w:left w:val="nil"/>
              <w:bottom w:val="nil"/>
              <w:right w:val="nil"/>
            </w:tcBorders>
            <w:shd w:val="clear" w:color="auto" w:fill="auto"/>
            <w:noWrap/>
            <w:vAlign w:val="bottom"/>
          </w:tcPr>
          <w:p w14:paraId="58C8E325" w14:textId="77777777" w:rsidR="00212606" w:rsidRPr="00AE4E8D" w:rsidRDefault="00212606" w:rsidP="00C21744">
            <w:pPr>
              <w:jc w:val="right"/>
              <w:rPr>
                <w:rFonts w:ascii="Times New Roman" w:hAnsi="Times New Roman"/>
                <w:color w:val="000000"/>
                <w:sz w:val="18"/>
                <w:szCs w:val="18"/>
                <w:lang w:val="es-ES"/>
              </w:rPr>
            </w:pPr>
          </w:p>
        </w:tc>
      </w:tr>
      <w:tr w:rsidR="00C21744" w:rsidRPr="00AE4E8D" w14:paraId="4F521ABD"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0EEA3E43" w14:textId="77777777" w:rsidR="00C21744" w:rsidRPr="00AE4E8D" w:rsidRDefault="00C21744"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disponibilidades  </w:t>
            </w:r>
          </w:p>
        </w:tc>
        <w:tc>
          <w:tcPr>
            <w:tcW w:w="948" w:type="pct"/>
            <w:tcBorders>
              <w:top w:val="nil"/>
              <w:left w:val="nil"/>
              <w:bottom w:val="nil"/>
              <w:right w:val="nil"/>
            </w:tcBorders>
            <w:shd w:val="clear" w:color="000000" w:fill="FFFFFF"/>
            <w:noWrap/>
            <w:vAlign w:val="bottom"/>
            <w:hideMark/>
          </w:tcPr>
          <w:p w14:paraId="4B63455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3,7</w:t>
            </w:r>
          </w:p>
        </w:tc>
        <w:tc>
          <w:tcPr>
            <w:tcW w:w="948" w:type="pct"/>
            <w:tcBorders>
              <w:top w:val="nil"/>
              <w:left w:val="nil"/>
              <w:bottom w:val="nil"/>
              <w:right w:val="nil"/>
            </w:tcBorders>
            <w:shd w:val="clear" w:color="000000" w:fill="FFFFFF"/>
            <w:noWrap/>
            <w:vAlign w:val="bottom"/>
            <w:hideMark/>
          </w:tcPr>
          <w:p w14:paraId="3A66F80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w:t>
            </w:r>
          </w:p>
        </w:tc>
        <w:tc>
          <w:tcPr>
            <w:tcW w:w="675" w:type="pct"/>
            <w:tcBorders>
              <w:top w:val="nil"/>
              <w:left w:val="nil"/>
              <w:bottom w:val="nil"/>
              <w:right w:val="nil"/>
            </w:tcBorders>
            <w:shd w:val="clear" w:color="auto" w:fill="auto"/>
            <w:noWrap/>
            <w:vAlign w:val="bottom"/>
            <w:hideMark/>
          </w:tcPr>
          <w:p w14:paraId="1B455EC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NM</w:t>
            </w:r>
          </w:p>
        </w:tc>
      </w:tr>
      <w:tr w:rsidR="00C21744" w:rsidRPr="00AE4E8D" w14:paraId="629BB6D2"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1BD896B6" w14:textId="77777777" w:rsidR="00C21744" w:rsidRPr="00AE4E8D" w:rsidRDefault="00C21744"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préstamos al sector financiero  </w:t>
            </w:r>
          </w:p>
        </w:tc>
        <w:tc>
          <w:tcPr>
            <w:tcW w:w="948" w:type="pct"/>
            <w:tcBorders>
              <w:top w:val="nil"/>
              <w:left w:val="nil"/>
              <w:bottom w:val="nil"/>
              <w:right w:val="nil"/>
            </w:tcBorders>
            <w:shd w:val="clear" w:color="000000" w:fill="FFFFFF"/>
            <w:noWrap/>
            <w:vAlign w:val="bottom"/>
            <w:hideMark/>
          </w:tcPr>
          <w:p w14:paraId="5F1A739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53,4</w:t>
            </w:r>
          </w:p>
        </w:tc>
        <w:tc>
          <w:tcPr>
            <w:tcW w:w="948" w:type="pct"/>
            <w:tcBorders>
              <w:top w:val="nil"/>
              <w:left w:val="nil"/>
              <w:bottom w:val="nil"/>
              <w:right w:val="nil"/>
            </w:tcBorders>
            <w:shd w:val="clear" w:color="000000" w:fill="FFFFFF"/>
            <w:noWrap/>
            <w:vAlign w:val="bottom"/>
            <w:hideMark/>
          </w:tcPr>
          <w:p w14:paraId="14D27AB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61,9</w:t>
            </w:r>
          </w:p>
        </w:tc>
        <w:tc>
          <w:tcPr>
            <w:tcW w:w="675" w:type="pct"/>
            <w:tcBorders>
              <w:top w:val="nil"/>
              <w:left w:val="nil"/>
              <w:bottom w:val="nil"/>
              <w:right w:val="nil"/>
            </w:tcBorders>
            <w:shd w:val="clear" w:color="auto" w:fill="auto"/>
            <w:noWrap/>
            <w:vAlign w:val="bottom"/>
            <w:hideMark/>
          </w:tcPr>
          <w:p w14:paraId="69BBBF0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(13,8)%</w:t>
            </w:r>
          </w:p>
        </w:tc>
      </w:tr>
      <w:tr w:rsidR="00C21744" w:rsidRPr="00AE4E8D" w14:paraId="0334A7BD"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0AC1833D" w14:textId="77777777" w:rsidR="00C21744" w:rsidRPr="00AE4E8D" w:rsidRDefault="00C21744"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adelantos  </w:t>
            </w:r>
          </w:p>
        </w:tc>
        <w:tc>
          <w:tcPr>
            <w:tcW w:w="948" w:type="pct"/>
            <w:tcBorders>
              <w:top w:val="nil"/>
              <w:left w:val="nil"/>
              <w:bottom w:val="nil"/>
              <w:right w:val="nil"/>
            </w:tcBorders>
            <w:shd w:val="clear" w:color="000000" w:fill="FFFFFF"/>
            <w:noWrap/>
            <w:vAlign w:val="bottom"/>
            <w:hideMark/>
          </w:tcPr>
          <w:p w14:paraId="3CD472A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243,9</w:t>
            </w:r>
          </w:p>
        </w:tc>
        <w:tc>
          <w:tcPr>
            <w:tcW w:w="948" w:type="pct"/>
            <w:tcBorders>
              <w:top w:val="nil"/>
              <w:left w:val="nil"/>
              <w:bottom w:val="nil"/>
              <w:right w:val="nil"/>
            </w:tcBorders>
            <w:shd w:val="clear" w:color="000000" w:fill="FFFFFF"/>
            <w:noWrap/>
            <w:vAlign w:val="bottom"/>
            <w:hideMark/>
          </w:tcPr>
          <w:p w14:paraId="3D406DE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286,3</w:t>
            </w:r>
          </w:p>
        </w:tc>
        <w:tc>
          <w:tcPr>
            <w:tcW w:w="675" w:type="pct"/>
            <w:tcBorders>
              <w:top w:val="nil"/>
              <w:left w:val="nil"/>
              <w:bottom w:val="nil"/>
              <w:right w:val="nil"/>
            </w:tcBorders>
            <w:shd w:val="clear" w:color="auto" w:fill="auto"/>
            <w:noWrap/>
            <w:vAlign w:val="bottom"/>
            <w:hideMark/>
          </w:tcPr>
          <w:p w14:paraId="6BC517F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(14,8)%</w:t>
            </w:r>
          </w:p>
        </w:tc>
      </w:tr>
      <w:tr w:rsidR="00C21744" w:rsidRPr="00AE4E8D" w14:paraId="0FF40532"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1613A4DA" w14:textId="77777777" w:rsidR="00C21744" w:rsidRPr="00AE4E8D" w:rsidRDefault="00C21744"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documentos  </w:t>
            </w:r>
          </w:p>
        </w:tc>
        <w:tc>
          <w:tcPr>
            <w:tcW w:w="948" w:type="pct"/>
            <w:tcBorders>
              <w:top w:val="nil"/>
              <w:left w:val="nil"/>
              <w:bottom w:val="nil"/>
              <w:right w:val="nil"/>
            </w:tcBorders>
            <w:shd w:val="clear" w:color="000000" w:fill="FFFFFF"/>
            <w:noWrap/>
            <w:vAlign w:val="bottom"/>
            <w:hideMark/>
          </w:tcPr>
          <w:p w14:paraId="0AA7F29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95,7</w:t>
            </w:r>
          </w:p>
        </w:tc>
        <w:tc>
          <w:tcPr>
            <w:tcW w:w="948" w:type="pct"/>
            <w:tcBorders>
              <w:top w:val="nil"/>
              <w:left w:val="nil"/>
              <w:bottom w:val="nil"/>
              <w:right w:val="nil"/>
            </w:tcBorders>
            <w:shd w:val="clear" w:color="000000" w:fill="FFFFFF"/>
            <w:noWrap/>
            <w:vAlign w:val="bottom"/>
            <w:hideMark/>
          </w:tcPr>
          <w:p w14:paraId="6812B94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109,0</w:t>
            </w:r>
          </w:p>
        </w:tc>
        <w:tc>
          <w:tcPr>
            <w:tcW w:w="675" w:type="pct"/>
            <w:tcBorders>
              <w:top w:val="nil"/>
              <w:left w:val="nil"/>
              <w:bottom w:val="nil"/>
              <w:right w:val="nil"/>
            </w:tcBorders>
            <w:shd w:val="clear" w:color="auto" w:fill="auto"/>
            <w:noWrap/>
            <w:vAlign w:val="bottom"/>
            <w:hideMark/>
          </w:tcPr>
          <w:p w14:paraId="315B205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(12,2)%</w:t>
            </w:r>
          </w:p>
        </w:tc>
      </w:tr>
      <w:tr w:rsidR="00C21744" w:rsidRPr="00AE4E8D" w14:paraId="73A6FC30"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1F77F801" w14:textId="77777777" w:rsidR="00C21744" w:rsidRPr="00AE4E8D" w:rsidRDefault="00C21744"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préstamos hipotecarios  </w:t>
            </w:r>
          </w:p>
        </w:tc>
        <w:tc>
          <w:tcPr>
            <w:tcW w:w="948" w:type="pct"/>
            <w:tcBorders>
              <w:top w:val="nil"/>
              <w:left w:val="nil"/>
              <w:bottom w:val="nil"/>
              <w:right w:val="nil"/>
            </w:tcBorders>
            <w:shd w:val="clear" w:color="000000" w:fill="FFFFFF"/>
            <w:noWrap/>
            <w:vAlign w:val="bottom"/>
            <w:hideMark/>
          </w:tcPr>
          <w:p w14:paraId="5871F19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433,6</w:t>
            </w:r>
          </w:p>
        </w:tc>
        <w:tc>
          <w:tcPr>
            <w:tcW w:w="948" w:type="pct"/>
            <w:tcBorders>
              <w:top w:val="nil"/>
              <w:left w:val="nil"/>
              <w:bottom w:val="nil"/>
              <w:right w:val="nil"/>
            </w:tcBorders>
            <w:shd w:val="clear" w:color="000000" w:fill="FFFFFF"/>
            <w:noWrap/>
            <w:vAlign w:val="bottom"/>
            <w:hideMark/>
          </w:tcPr>
          <w:p w14:paraId="264EF72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358,2</w:t>
            </w:r>
          </w:p>
        </w:tc>
        <w:tc>
          <w:tcPr>
            <w:tcW w:w="675" w:type="pct"/>
            <w:tcBorders>
              <w:top w:val="nil"/>
              <w:left w:val="nil"/>
              <w:bottom w:val="nil"/>
              <w:right w:val="nil"/>
            </w:tcBorders>
            <w:shd w:val="clear" w:color="auto" w:fill="auto"/>
            <w:noWrap/>
            <w:vAlign w:val="bottom"/>
            <w:hideMark/>
          </w:tcPr>
          <w:p w14:paraId="3E6CEC0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21,0%</w:t>
            </w:r>
          </w:p>
        </w:tc>
      </w:tr>
      <w:tr w:rsidR="00C21744" w:rsidRPr="00AE4E8D" w14:paraId="05699353"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6825BA1E" w14:textId="77777777" w:rsidR="00C21744" w:rsidRPr="00AE4E8D" w:rsidRDefault="00C21744"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préstamos prendarios  </w:t>
            </w:r>
          </w:p>
        </w:tc>
        <w:tc>
          <w:tcPr>
            <w:tcW w:w="948" w:type="pct"/>
            <w:tcBorders>
              <w:top w:val="nil"/>
              <w:left w:val="nil"/>
              <w:bottom w:val="nil"/>
              <w:right w:val="nil"/>
            </w:tcBorders>
            <w:shd w:val="clear" w:color="000000" w:fill="FFFFFF"/>
            <w:noWrap/>
            <w:vAlign w:val="bottom"/>
            <w:hideMark/>
          </w:tcPr>
          <w:p w14:paraId="0A61F45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131,3</w:t>
            </w:r>
          </w:p>
        </w:tc>
        <w:tc>
          <w:tcPr>
            <w:tcW w:w="948" w:type="pct"/>
            <w:tcBorders>
              <w:top w:val="nil"/>
              <w:left w:val="nil"/>
              <w:bottom w:val="nil"/>
              <w:right w:val="nil"/>
            </w:tcBorders>
            <w:shd w:val="clear" w:color="000000" w:fill="FFFFFF"/>
            <w:noWrap/>
            <w:vAlign w:val="bottom"/>
            <w:hideMark/>
          </w:tcPr>
          <w:p w14:paraId="6AE715C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25,6</w:t>
            </w:r>
          </w:p>
        </w:tc>
        <w:tc>
          <w:tcPr>
            <w:tcW w:w="675" w:type="pct"/>
            <w:tcBorders>
              <w:top w:val="nil"/>
              <w:left w:val="nil"/>
              <w:bottom w:val="nil"/>
              <w:right w:val="nil"/>
            </w:tcBorders>
            <w:shd w:val="clear" w:color="auto" w:fill="auto"/>
            <w:noWrap/>
            <w:vAlign w:val="bottom"/>
            <w:hideMark/>
          </w:tcPr>
          <w:p w14:paraId="3E3B5646"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NM</w:t>
            </w:r>
          </w:p>
        </w:tc>
      </w:tr>
      <w:tr w:rsidR="00C21744" w:rsidRPr="00AE4E8D" w14:paraId="093D0652"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3E458D1A" w14:textId="77777777" w:rsidR="00C21744" w:rsidRPr="00AE4E8D" w:rsidRDefault="00C21744"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préstamos de tarjetas de crédito  </w:t>
            </w:r>
          </w:p>
        </w:tc>
        <w:tc>
          <w:tcPr>
            <w:tcW w:w="948" w:type="pct"/>
            <w:tcBorders>
              <w:top w:val="nil"/>
              <w:left w:val="nil"/>
              <w:bottom w:val="nil"/>
              <w:right w:val="nil"/>
            </w:tcBorders>
            <w:shd w:val="clear" w:color="000000" w:fill="FFFFFF"/>
            <w:noWrap/>
            <w:vAlign w:val="bottom"/>
            <w:hideMark/>
          </w:tcPr>
          <w:p w14:paraId="0D42EFE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2.153,7</w:t>
            </w:r>
          </w:p>
        </w:tc>
        <w:tc>
          <w:tcPr>
            <w:tcW w:w="948" w:type="pct"/>
            <w:tcBorders>
              <w:top w:val="nil"/>
              <w:left w:val="nil"/>
              <w:bottom w:val="nil"/>
              <w:right w:val="nil"/>
            </w:tcBorders>
            <w:shd w:val="clear" w:color="000000" w:fill="FFFFFF"/>
            <w:noWrap/>
            <w:vAlign w:val="bottom"/>
            <w:hideMark/>
          </w:tcPr>
          <w:p w14:paraId="5BF9E8A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1.462,0</w:t>
            </w:r>
          </w:p>
        </w:tc>
        <w:tc>
          <w:tcPr>
            <w:tcW w:w="675" w:type="pct"/>
            <w:tcBorders>
              <w:top w:val="nil"/>
              <w:left w:val="nil"/>
              <w:bottom w:val="nil"/>
              <w:right w:val="nil"/>
            </w:tcBorders>
            <w:shd w:val="clear" w:color="auto" w:fill="auto"/>
            <w:noWrap/>
            <w:vAlign w:val="bottom"/>
            <w:hideMark/>
          </w:tcPr>
          <w:p w14:paraId="1D600F7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47,3%</w:t>
            </w:r>
          </w:p>
        </w:tc>
      </w:tr>
      <w:tr w:rsidR="00C21744" w:rsidRPr="00AE4E8D" w14:paraId="4665D8D9"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052827F9" w14:textId="77777777" w:rsidR="00C21744" w:rsidRPr="00AE4E8D" w:rsidRDefault="00C21744"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arrendamientos financieros  </w:t>
            </w:r>
          </w:p>
        </w:tc>
        <w:tc>
          <w:tcPr>
            <w:tcW w:w="948" w:type="pct"/>
            <w:tcBorders>
              <w:top w:val="nil"/>
              <w:left w:val="nil"/>
              <w:bottom w:val="nil"/>
              <w:right w:val="nil"/>
            </w:tcBorders>
            <w:shd w:val="clear" w:color="000000" w:fill="FFFFFF"/>
            <w:noWrap/>
            <w:vAlign w:val="bottom"/>
            <w:hideMark/>
          </w:tcPr>
          <w:p w14:paraId="7092271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28,0</w:t>
            </w:r>
          </w:p>
        </w:tc>
        <w:tc>
          <w:tcPr>
            <w:tcW w:w="948" w:type="pct"/>
            <w:tcBorders>
              <w:top w:val="nil"/>
              <w:left w:val="nil"/>
              <w:bottom w:val="nil"/>
              <w:right w:val="nil"/>
            </w:tcBorders>
            <w:shd w:val="clear" w:color="000000" w:fill="FFFFFF"/>
            <w:noWrap/>
            <w:vAlign w:val="bottom"/>
            <w:hideMark/>
          </w:tcPr>
          <w:p w14:paraId="31F1861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16,5</w:t>
            </w:r>
          </w:p>
        </w:tc>
        <w:tc>
          <w:tcPr>
            <w:tcW w:w="675" w:type="pct"/>
            <w:tcBorders>
              <w:top w:val="nil"/>
              <w:left w:val="nil"/>
              <w:bottom w:val="nil"/>
              <w:right w:val="nil"/>
            </w:tcBorders>
            <w:shd w:val="clear" w:color="auto" w:fill="auto"/>
            <w:noWrap/>
            <w:vAlign w:val="bottom"/>
            <w:hideMark/>
          </w:tcPr>
          <w:p w14:paraId="19B16B16"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69,9%</w:t>
            </w:r>
          </w:p>
        </w:tc>
      </w:tr>
      <w:tr w:rsidR="00C21744" w:rsidRPr="00AE4E8D" w14:paraId="50A5701D"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4C3CDCF7" w14:textId="77777777" w:rsidR="00C21744" w:rsidRPr="00AE4E8D" w:rsidRDefault="00C21744"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préstamos  </w:t>
            </w:r>
          </w:p>
        </w:tc>
        <w:tc>
          <w:tcPr>
            <w:tcW w:w="948" w:type="pct"/>
            <w:tcBorders>
              <w:top w:val="nil"/>
              <w:left w:val="nil"/>
              <w:bottom w:val="nil"/>
              <w:right w:val="nil"/>
            </w:tcBorders>
            <w:shd w:val="clear" w:color="000000" w:fill="FFFFFF"/>
            <w:noWrap/>
            <w:vAlign w:val="bottom"/>
            <w:hideMark/>
          </w:tcPr>
          <w:p w14:paraId="55F5CB4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1.903,1</w:t>
            </w:r>
          </w:p>
        </w:tc>
        <w:tc>
          <w:tcPr>
            <w:tcW w:w="948" w:type="pct"/>
            <w:tcBorders>
              <w:top w:val="nil"/>
              <w:left w:val="nil"/>
              <w:bottom w:val="nil"/>
              <w:right w:val="nil"/>
            </w:tcBorders>
            <w:shd w:val="clear" w:color="000000" w:fill="FFFFFF"/>
            <w:noWrap/>
            <w:vAlign w:val="bottom"/>
            <w:hideMark/>
          </w:tcPr>
          <w:p w14:paraId="5184D4B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1.527,8</w:t>
            </w:r>
          </w:p>
        </w:tc>
        <w:tc>
          <w:tcPr>
            <w:tcW w:w="675" w:type="pct"/>
            <w:tcBorders>
              <w:top w:val="nil"/>
              <w:left w:val="nil"/>
              <w:bottom w:val="nil"/>
              <w:right w:val="nil"/>
            </w:tcBorders>
            <w:shd w:val="clear" w:color="auto" w:fill="auto"/>
            <w:noWrap/>
            <w:vAlign w:val="bottom"/>
            <w:hideMark/>
          </w:tcPr>
          <w:p w14:paraId="6FE21DF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24,6%</w:t>
            </w:r>
          </w:p>
        </w:tc>
      </w:tr>
      <w:tr w:rsidR="00C21744" w:rsidRPr="00AE4E8D" w14:paraId="34FA09BF"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75CAF674" w14:textId="77777777" w:rsidR="00C21744" w:rsidRPr="00AE4E8D" w:rsidRDefault="00C21744"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otros créditos por intermediación financiera  </w:t>
            </w:r>
          </w:p>
        </w:tc>
        <w:tc>
          <w:tcPr>
            <w:tcW w:w="948" w:type="pct"/>
            <w:tcBorders>
              <w:top w:val="nil"/>
              <w:left w:val="nil"/>
              <w:bottom w:val="nil"/>
              <w:right w:val="nil"/>
            </w:tcBorders>
            <w:shd w:val="clear" w:color="000000" w:fill="FFFFFF"/>
            <w:noWrap/>
            <w:vAlign w:val="bottom"/>
            <w:hideMark/>
          </w:tcPr>
          <w:p w14:paraId="065DABE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22,8</w:t>
            </w:r>
          </w:p>
        </w:tc>
        <w:tc>
          <w:tcPr>
            <w:tcW w:w="948" w:type="pct"/>
            <w:tcBorders>
              <w:top w:val="nil"/>
              <w:left w:val="nil"/>
              <w:bottom w:val="nil"/>
              <w:right w:val="nil"/>
            </w:tcBorders>
            <w:shd w:val="clear" w:color="000000" w:fill="FFFFFF"/>
            <w:noWrap/>
            <w:vAlign w:val="bottom"/>
            <w:hideMark/>
          </w:tcPr>
          <w:p w14:paraId="5298051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24,3</w:t>
            </w:r>
          </w:p>
        </w:tc>
        <w:tc>
          <w:tcPr>
            <w:tcW w:w="675" w:type="pct"/>
            <w:tcBorders>
              <w:top w:val="nil"/>
              <w:left w:val="nil"/>
              <w:bottom w:val="nil"/>
              <w:right w:val="nil"/>
            </w:tcBorders>
            <w:shd w:val="clear" w:color="auto" w:fill="auto"/>
            <w:noWrap/>
            <w:vAlign w:val="bottom"/>
            <w:hideMark/>
          </w:tcPr>
          <w:p w14:paraId="2D085D8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(6,3)%</w:t>
            </w:r>
          </w:p>
        </w:tc>
      </w:tr>
      <w:tr w:rsidR="00C21744" w:rsidRPr="00AE4E8D" w14:paraId="1937B0B3"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7754B335"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Resultado neto de títulos públicos y privados  </w:t>
            </w:r>
          </w:p>
        </w:tc>
        <w:tc>
          <w:tcPr>
            <w:tcW w:w="948" w:type="pct"/>
            <w:tcBorders>
              <w:top w:val="nil"/>
              <w:left w:val="nil"/>
              <w:bottom w:val="nil"/>
              <w:right w:val="nil"/>
            </w:tcBorders>
            <w:shd w:val="clear" w:color="000000" w:fill="FFFFFF"/>
            <w:noWrap/>
            <w:vAlign w:val="bottom"/>
            <w:hideMark/>
          </w:tcPr>
          <w:p w14:paraId="076BFBC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1.764,3</w:t>
            </w:r>
          </w:p>
        </w:tc>
        <w:tc>
          <w:tcPr>
            <w:tcW w:w="948" w:type="pct"/>
            <w:tcBorders>
              <w:top w:val="nil"/>
              <w:left w:val="nil"/>
              <w:bottom w:val="nil"/>
              <w:right w:val="nil"/>
            </w:tcBorders>
            <w:shd w:val="clear" w:color="000000" w:fill="FFFFFF"/>
            <w:noWrap/>
            <w:vAlign w:val="bottom"/>
            <w:hideMark/>
          </w:tcPr>
          <w:p w14:paraId="54A5EC8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974,6</w:t>
            </w:r>
          </w:p>
        </w:tc>
        <w:tc>
          <w:tcPr>
            <w:tcW w:w="675" w:type="pct"/>
            <w:tcBorders>
              <w:top w:val="nil"/>
              <w:left w:val="nil"/>
              <w:bottom w:val="nil"/>
              <w:right w:val="nil"/>
            </w:tcBorders>
            <w:shd w:val="clear" w:color="auto" w:fill="auto"/>
            <w:noWrap/>
            <w:vAlign w:val="bottom"/>
            <w:hideMark/>
          </w:tcPr>
          <w:p w14:paraId="7C7114C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81,0%</w:t>
            </w:r>
          </w:p>
        </w:tc>
      </w:tr>
      <w:tr w:rsidR="00C21744" w:rsidRPr="00AE4E8D" w14:paraId="3FE9C167" w14:textId="77777777" w:rsidTr="000400C8">
        <w:trPr>
          <w:trHeight w:val="240"/>
          <w:jc w:val="center"/>
        </w:trPr>
        <w:tc>
          <w:tcPr>
            <w:tcW w:w="2429" w:type="pct"/>
            <w:tcBorders>
              <w:top w:val="nil"/>
              <w:left w:val="nil"/>
              <w:bottom w:val="nil"/>
              <w:right w:val="nil"/>
            </w:tcBorders>
            <w:shd w:val="clear" w:color="auto" w:fill="auto"/>
            <w:noWrap/>
            <w:vAlign w:val="bottom"/>
            <w:hideMark/>
          </w:tcPr>
          <w:p w14:paraId="08828DBC"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Ajuste por CER  </w:t>
            </w:r>
          </w:p>
        </w:tc>
        <w:tc>
          <w:tcPr>
            <w:tcW w:w="948" w:type="pct"/>
            <w:tcBorders>
              <w:top w:val="nil"/>
              <w:left w:val="nil"/>
              <w:bottom w:val="nil"/>
              <w:right w:val="nil"/>
            </w:tcBorders>
            <w:shd w:val="clear" w:color="000000" w:fill="FFFFFF"/>
            <w:noWrap/>
            <w:vAlign w:val="bottom"/>
            <w:hideMark/>
          </w:tcPr>
          <w:p w14:paraId="13841C7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9,6</w:t>
            </w:r>
          </w:p>
        </w:tc>
        <w:tc>
          <w:tcPr>
            <w:tcW w:w="948" w:type="pct"/>
            <w:tcBorders>
              <w:top w:val="nil"/>
              <w:left w:val="nil"/>
              <w:bottom w:val="nil"/>
              <w:right w:val="nil"/>
            </w:tcBorders>
            <w:shd w:val="clear" w:color="000000" w:fill="FFFFFF"/>
            <w:noWrap/>
            <w:vAlign w:val="bottom"/>
            <w:hideMark/>
          </w:tcPr>
          <w:p w14:paraId="4E440F4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32,4</w:t>
            </w:r>
          </w:p>
        </w:tc>
        <w:tc>
          <w:tcPr>
            <w:tcW w:w="675" w:type="pct"/>
            <w:tcBorders>
              <w:top w:val="nil"/>
              <w:left w:val="nil"/>
              <w:bottom w:val="nil"/>
              <w:right w:val="nil"/>
            </w:tcBorders>
            <w:shd w:val="clear" w:color="auto" w:fill="auto"/>
            <w:noWrap/>
            <w:vAlign w:val="bottom"/>
            <w:hideMark/>
          </w:tcPr>
          <w:p w14:paraId="240A72F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(70,3)%</w:t>
            </w:r>
          </w:p>
        </w:tc>
      </w:tr>
      <w:tr w:rsidR="00C21744" w:rsidRPr="00AE4E8D" w14:paraId="69A3650A" w14:textId="77777777" w:rsidTr="000400C8">
        <w:trPr>
          <w:trHeight w:val="255"/>
          <w:jc w:val="center"/>
        </w:trPr>
        <w:tc>
          <w:tcPr>
            <w:tcW w:w="2429" w:type="pct"/>
            <w:tcBorders>
              <w:top w:val="nil"/>
              <w:left w:val="nil"/>
              <w:bottom w:val="nil"/>
              <w:right w:val="nil"/>
            </w:tcBorders>
            <w:shd w:val="clear" w:color="auto" w:fill="auto"/>
            <w:noWrap/>
            <w:vAlign w:val="bottom"/>
            <w:hideMark/>
          </w:tcPr>
          <w:p w14:paraId="05AD6B6E"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948" w:type="pct"/>
            <w:tcBorders>
              <w:top w:val="nil"/>
              <w:left w:val="nil"/>
              <w:bottom w:val="nil"/>
              <w:right w:val="nil"/>
            </w:tcBorders>
            <w:shd w:val="clear" w:color="000000" w:fill="FFFFFF"/>
            <w:noWrap/>
            <w:vAlign w:val="bottom"/>
            <w:hideMark/>
          </w:tcPr>
          <w:p w14:paraId="68FF1AB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403,5</w:t>
            </w:r>
          </w:p>
        </w:tc>
        <w:tc>
          <w:tcPr>
            <w:tcW w:w="948" w:type="pct"/>
            <w:tcBorders>
              <w:top w:val="nil"/>
              <w:left w:val="nil"/>
              <w:bottom w:val="nil"/>
              <w:right w:val="nil"/>
            </w:tcBorders>
            <w:shd w:val="clear" w:color="000000" w:fill="FFFFFF"/>
            <w:noWrap/>
            <w:vAlign w:val="bottom"/>
            <w:hideMark/>
          </w:tcPr>
          <w:p w14:paraId="1DB11B2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416,3</w:t>
            </w:r>
          </w:p>
        </w:tc>
        <w:tc>
          <w:tcPr>
            <w:tcW w:w="675" w:type="pct"/>
            <w:tcBorders>
              <w:top w:val="nil"/>
              <w:left w:val="nil"/>
              <w:bottom w:val="nil"/>
              <w:right w:val="nil"/>
            </w:tcBorders>
            <w:shd w:val="clear" w:color="auto" w:fill="auto"/>
            <w:noWrap/>
            <w:vAlign w:val="bottom"/>
            <w:hideMark/>
          </w:tcPr>
          <w:p w14:paraId="2E6B68E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(3,1)%</w:t>
            </w:r>
          </w:p>
        </w:tc>
      </w:tr>
      <w:tr w:rsidR="003B5193" w:rsidRPr="00AE4E8D" w14:paraId="5B14A6B5" w14:textId="77777777" w:rsidTr="002E5441">
        <w:trPr>
          <w:trHeight w:val="255"/>
          <w:jc w:val="center"/>
        </w:trPr>
        <w:tc>
          <w:tcPr>
            <w:tcW w:w="2429" w:type="pct"/>
            <w:tcBorders>
              <w:top w:val="nil"/>
              <w:left w:val="nil"/>
              <w:bottom w:val="nil"/>
              <w:right w:val="nil"/>
            </w:tcBorders>
            <w:shd w:val="clear" w:color="auto" w:fill="auto"/>
            <w:noWrap/>
            <w:vAlign w:val="bottom"/>
            <w:hideMark/>
          </w:tcPr>
          <w:p w14:paraId="3C6820A7" w14:textId="77777777" w:rsidR="00C21744" w:rsidRPr="00AE4E8D" w:rsidRDefault="00C21744" w:rsidP="00C21744">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 xml:space="preserve">Total Ingresos Financieros  </w:t>
            </w:r>
          </w:p>
        </w:tc>
        <w:tc>
          <w:tcPr>
            <w:tcW w:w="948" w:type="pct"/>
            <w:tcBorders>
              <w:top w:val="single" w:sz="8" w:space="0" w:color="auto"/>
              <w:left w:val="nil"/>
              <w:bottom w:val="single" w:sz="8" w:space="0" w:color="auto"/>
              <w:right w:val="nil"/>
            </w:tcBorders>
            <w:shd w:val="clear" w:color="000000" w:fill="FFFFFF"/>
            <w:noWrap/>
            <w:vAlign w:val="bottom"/>
            <w:hideMark/>
          </w:tcPr>
          <w:p w14:paraId="01B96F5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7.246,6</w:t>
            </w:r>
          </w:p>
        </w:tc>
        <w:tc>
          <w:tcPr>
            <w:tcW w:w="948" w:type="pct"/>
            <w:tcBorders>
              <w:top w:val="single" w:sz="8" w:space="0" w:color="auto"/>
              <w:left w:val="nil"/>
              <w:bottom w:val="single" w:sz="8" w:space="0" w:color="auto"/>
              <w:right w:val="nil"/>
            </w:tcBorders>
            <w:shd w:val="clear" w:color="000000" w:fill="FFFFFF"/>
            <w:noWrap/>
            <w:vAlign w:val="bottom"/>
            <w:hideMark/>
          </w:tcPr>
          <w:p w14:paraId="41F18A8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5.294,9</w:t>
            </w:r>
          </w:p>
        </w:tc>
        <w:tc>
          <w:tcPr>
            <w:tcW w:w="675" w:type="pct"/>
            <w:tcBorders>
              <w:top w:val="single" w:sz="8" w:space="0" w:color="auto"/>
              <w:left w:val="nil"/>
              <w:bottom w:val="single" w:sz="8" w:space="0" w:color="auto"/>
              <w:right w:val="nil"/>
            </w:tcBorders>
            <w:shd w:val="clear" w:color="auto" w:fill="auto"/>
            <w:noWrap/>
            <w:vAlign w:val="bottom"/>
            <w:hideMark/>
          </w:tcPr>
          <w:p w14:paraId="6A5BB3F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36,9%</w:t>
            </w:r>
          </w:p>
        </w:tc>
      </w:tr>
    </w:tbl>
    <w:p w14:paraId="424C57A1" w14:textId="77777777" w:rsidR="00C21744" w:rsidRPr="00AE4E8D" w:rsidRDefault="00C21744" w:rsidP="002E5441">
      <w:pPr>
        <w:pStyle w:val="BHTexto"/>
        <w:rPr>
          <w:rFonts w:eastAsia="Calibri"/>
        </w:rPr>
      </w:pPr>
      <w:r w:rsidRPr="00AE4E8D">
        <w:rPr>
          <w:rFonts w:eastAsia="Calibri"/>
        </w:rPr>
        <w:t>La siguiente tabla muestra los efectos de los cambios en el volumen promedio de los activos que generan intereses y tasa de interés nominal promedio entre los ejercicios finalizados el 31 de diciembre de 2014 y 2015</w:t>
      </w:r>
      <w:r w:rsidR="002D0961" w:rsidRPr="00AE4E8D">
        <w:rPr>
          <w:rFonts w:eastAsia="Calibri"/>
          <w:lang w:val="es-ES"/>
        </w:rPr>
        <w:t xml:space="preserve">. </w:t>
      </w:r>
      <w:r w:rsidR="002D0961" w:rsidRPr="00AE4E8D">
        <w:rPr>
          <w:rFonts w:eastAsia="Calibri"/>
        </w:rPr>
        <w:t>Para mayor información véase “Descripción de nuestros negocios— Líneas de Negocios—Actividad Fiduciaria: Programa PROCREAR”</w:t>
      </w:r>
      <w:r w:rsidRPr="00AE4E8D">
        <w:rPr>
          <w:rFonts w:eastAsia="Calibri"/>
        </w:rPr>
        <w:t>:</w:t>
      </w:r>
    </w:p>
    <w:tbl>
      <w:tblPr>
        <w:tblW w:w="5000" w:type="pct"/>
        <w:jc w:val="center"/>
        <w:tblLook w:val="04A0" w:firstRow="1" w:lastRow="0" w:firstColumn="1" w:lastColumn="0" w:noHBand="0" w:noVBand="1"/>
      </w:tblPr>
      <w:tblGrid>
        <w:gridCol w:w="5434"/>
        <w:gridCol w:w="1150"/>
        <w:gridCol w:w="2137"/>
      </w:tblGrid>
      <w:tr w:rsidR="00C21744" w:rsidRPr="00AE4E8D" w14:paraId="7ADCF2C1" w14:textId="77777777" w:rsidTr="000400C8">
        <w:trPr>
          <w:trHeight w:val="300"/>
          <w:tblHeader/>
          <w:jc w:val="center"/>
        </w:trPr>
        <w:tc>
          <w:tcPr>
            <w:tcW w:w="3123" w:type="pct"/>
            <w:tcBorders>
              <w:top w:val="nil"/>
              <w:left w:val="nil"/>
              <w:bottom w:val="nil"/>
              <w:right w:val="nil"/>
            </w:tcBorders>
            <w:noWrap/>
            <w:vAlign w:val="bottom"/>
            <w:hideMark/>
          </w:tcPr>
          <w:p w14:paraId="05CA8838" w14:textId="77777777" w:rsidR="00C21744" w:rsidRPr="00AE4E8D" w:rsidRDefault="00C21744" w:rsidP="00C21744">
            <w:pPr>
              <w:pStyle w:val="BHTexto"/>
              <w:rPr>
                <w:sz w:val="18"/>
                <w:szCs w:val="18"/>
                <w:lang w:val="es-ES"/>
              </w:rPr>
            </w:pPr>
          </w:p>
        </w:tc>
        <w:tc>
          <w:tcPr>
            <w:tcW w:w="1877" w:type="pct"/>
            <w:gridSpan w:val="2"/>
            <w:tcBorders>
              <w:top w:val="single" w:sz="4" w:space="0" w:color="auto"/>
              <w:left w:val="nil"/>
              <w:bottom w:val="single" w:sz="4" w:space="0" w:color="auto"/>
              <w:right w:val="nil"/>
            </w:tcBorders>
            <w:noWrap/>
            <w:vAlign w:val="bottom"/>
            <w:hideMark/>
          </w:tcPr>
          <w:p w14:paraId="45D87FD2" w14:textId="77777777" w:rsidR="00C21744" w:rsidRPr="00AE4E8D" w:rsidRDefault="00C21744" w:rsidP="00C21744">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 xml:space="preserve">Aumento/(Disminución) </w:t>
            </w:r>
          </w:p>
          <w:p w14:paraId="1DAC6CF7" w14:textId="77777777" w:rsidR="00C21744" w:rsidRPr="00AE4E8D" w:rsidRDefault="00C21744" w:rsidP="00C21744">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31 de diciembre de 2014/ 31 de diciembre de 2015</w:t>
            </w:r>
          </w:p>
        </w:tc>
      </w:tr>
      <w:tr w:rsidR="00C21744" w:rsidRPr="00AE4E8D" w14:paraId="3764826B" w14:textId="77777777" w:rsidTr="000400C8">
        <w:trPr>
          <w:trHeight w:val="225"/>
          <w:tblHeader/>
          <w:jc w:val="center"/>
        </w:trPr>
        <w:tc>
          <w:tcPr>
            <w:tcW w:w="3123" w:type="pct"/>
            <w:tcBorders>
              <w:top w:val="nil"/>
              <w:left w:val="nil"/>
              <w:bottom w:val="nil"/>
              <w:right w:val="nil"/>
            </w:tcBorders>
            <w:noWrap/>
            <w:vAlign w:val="bottom"/>
            <w:hideMark/>
          </w:tcPr>
          <w:p w14:paraId="0959CAB5" w14:textId="77777777" w:rsidR="00C21744" w:rsidRPr="00AE4E8D" w:rsidRDefault="00C21744" w:rsidP="002E5441">
            <w:pPr>
              <w:tabs>
                <w:tab w:val="left" w:leader="dot" w:pos="6542"/>
              </w:tabs>
              <w:rPr>
                <w:rFonts w:ascii="Times New Roman" w:hAnsi="Times New Roman"/>
                <w:sz w:val="18"/>
                <w:szCs w:val="18"/>
                <w:lang w:val="es-ES"/>
              </w:rPr>
            </w:pPr>
          </w:p>
        </w:tc>
        <w:tc>
          <w:tcPr>
            <w:tcW w:w="1877" w:type="pct"/>
            <w:gridSpan w:val="2"/>
            <w:tcBorders>
              <w:top w:val="single" w:sz="4" w:space="0" w:color="auto"/>
              <w:left w:val="nil"/>
              <w:right w:val="nil"/>
            </w:tcBorders>
            <w:noWrap/>
            <w:vAlign w:val="bottom"/>
            <w:hideMark/>
          </w:tcPr>
          <w:p w14:paraId="54C22724" w14:textId="77777777" w:rsidR="00C21744" w:rsidRPr="00AE4E8D" w:rsidRDefault="00C21744" w:rsidP="00C21744">
            <w:pPr>
              <w:keepNext/>
              <w:keepLines/>
              <w:jc w:val="center"/>
              <w:rPr>
                <w:rFonts w:ascii="Times New Roman" w:hAnsi="Times New Roman"/>
                <w:sz w:val="18"/>
                <w:szCs w:val="18"/>
                <w:lang w:val="es-ES" w:eastAsia="es-AR"/>
              </w:rPr>
            </w:pPr>
            <w:r w:rsidRPr="00AE4E8D">
              <w:rPr>
                <w:rFonts w:ascii="Times New Roman" w:hAnsi="Times New Roman"/>
                <w:sz w:val="18"/>
                <w:szCs w:val="18"/>
                <w:lang w:val="es-ES" w:eastAsia="es-AR"/>
              </w:rPr>
              <w:t>(</w:t>
            </w:r>
            <w:proofErr w:type="gramStart"/>
            <w:r w:rsidRPr="00AE4E8D">
              <w:rPr>
                <w:rFonts w:ascii="Times New Roman" w:hAnsi="Times New Roman"/>
                <w:sz w:val="18"/>
                <w:szCs w:val="18"/>
                <w:lang w:val="es-ES" w:eastAsia="es-AR"/>
              </w:rPr>
              <w:t>en</w:t>
            </w:r>
            <w:proofErr w:type="gramEnd"/>
            <w:r w:rsidRPr="00AE4E8D">
              <w:rPr>
                <w:rFonts w:ascii="Times New Roman" w:hAnsi="Times New Roman"/>
                <w:sz w:val="18"/>
                <w:szCs w:val="18"/>
                <w:lang w:val="es-ES" w:eastAsia="es-AR"/>
              </w:rPr>
              <w:t xml:space="preserve"> millones de Ps.)</w:t>
            </w:r>
          </w:p>
        </w:tc>
      </w:tr>
      <w:tr w:rsidR="00C21744" w:rsidRPr="00AE4E8D" w14:paraId="723F6E49" w14:textId="77777777" w:rsidTr="000400C8">
        <w:trPr>
          <w:trHeight w:val="240"/>
          <w:jc w:val="center"/>
        </w:trPr>
        <w:tc>
          <w:tcPr>
            <w:tcW w:w="3123" w:type="pct"/>
            <w:tcBorders>
              <w:top w:val="nil"/>
              <w:left w:val="nil"/>
              <w:bottom w:val="nil"/>
              <w:right w:val="nil"/>
            </w:tcBorders>
            <w:noWrap/>
            <w:hideMark/>
          </w:tcPr>
          <w:p w14:paraId="25EC23C1" w14:textId="77777777" w:rsidR="00C21744" w:rsidRPr="00AE4E8D" w:rsidRDefault="00C21744" w:rsidP="00C21744">
            <w:pPr>
              <w:tabs>
                <w:tab w:val="left" w:leader="dot" w:pos="6542"/>
              </w:tabs>
              <w:rPr>
                <w:rFonts w:ascii="Times New Roman" w:hAnsi="Times New Roman"/>
                <w:color w:val="000000"/>
                <w:sz w:val="18"/>
                <w:szCs w:val="18"/>
                <w:lang w:val="es-ES" w:eastAsia="es-AR"/>
              </w:rPr>
            </w:pPr>
            <w:r w:rsidRPr="00AE4E8D">
              <w:rPr>
                <w:rFonts w:ascii="Times New Roman" w:hAnsi="Times New Roman"/>
                <w:color w:val="000000"/>
                <w:sz w:val="18"/>
                <w:szCs w:val="18"/>
                <w:lang w:val="es-ES" w:eastAsia="es-AR"/>
              </w:rPr>
              <w:t>Debido a variaciones en el volumen promedio de activos que devengan intereses</w:t>
            </w:r>
            <w:r w:rsidRPr="00AE4E8D">
              <w:rPr>
                <w:rFonts w:ascii="Times New Roman" w:hAnsi="Times New Roman"/>
                <w:color w:val="000000"/>
                <w:sz w:val="18"/>
                <w:szCs w:val="18"/>
                <w:lang w:val="es-ES" w:eastAsia="es-AR"/>
              </w:rPr>
              <w:tab/>
            </w:r>
          </w:p>
        </w:tc>
        <w:tc>
          <w:tcPr>
            <w:tcW w:w="649" w:type="pct"/>
            <w:tcBorders>
              <w:left w:val="nil"/>
              <w:bottom w:val="nil"/>
              <w:right w:val="nil"/>
            </w:tcBorders>
            <w:shd w:val="clear" w:color="000000" w:fill="FFFFFF"/>
            <w:noWrap/>
            <w:vAlign w:val="bottom"/>
          </w:tcPr>
          <w:p w14:paraId="6F2477A1" w14:textId="77777777" w:rsidR="00C21744" w:rsidRPr="00AE4E8D" w:rsidRDefault="00C21744" w:rsidP="00C21744">
            <w:pPr>
              <w:keepNext/>
              <w:keepLines/>
              <w:jc w:val="right"/>
              <w:rPr>
                <w:rFonts w:ascii="Times New Roman" w:hAnsi="Times New Roman"/>
                <w:sz w:val="18"/>
                <w:szCs w:val="18"/>
                <w:lang w:val="es-ES" w:eastAsia="es-AR"/>
              </w:rPr>
            </w:pPr>
          </w:p>
        </w:tc>
        <w:tc>
          <w:tcPr>
            <w:tcW w:w="1228" w:type="pct"/>
            <w:tcBorders>
              <w:left w:val="nil"/>
              <w:bottom w:val="nil"/>
              <w:right w:val="nil"/>
            </w:tcBorders>
            <w:shd w:val="clear" w:color="000000" w:fill="FFFFFF"/>
            <w:noWrap/>
            <w:vAlign w:val="bottom"/>
          </w:tcPr>
          <w:p w14:paraId="650E577E" w14:textId="77777777" w:rsidR="00C21744" w:rsidRPr="00AE4E8D" w:rsidRDefault="00C21744" w:rsidP="00C21744">
            <w:pPr>
              <w:keepNext/>
              <w:keepLines/>
              <w:jc w:val="right"/>
              <w:rPr>
                <w:rFonts w:ascii="Times New Roman" w:eastAsia="Calibri" w:hAnsi="Times New Roman"/>
                <w:sz w:val="18"/>
                <w:szCs w:val="18"/>
                <w:lang w:val="es-ES" w:eastAsia="es-AR"/>
              </w:rPr>
            </w:pPr>
            <w:r w:rsidRPr="00AE4E8D">
              <w:rPr>
                <w:rFonts w:ascii="Times New Roman" w:eastAsia="Calibri" w:hAnsi="Times New Roman"/>
                <w:sz w:val="18"/>
                <w:szCs w:val="18"/>
                <w:lang w:val="es-ES" w:eastAsia="es-AR"/>
              </w:rPr>
              <w:t>1.702,7</w:t>
            </w:r>
          </w:p>
        </w:tc>
      </w:tr>
      <w:tr w:rsidR="00C21744" w:rsidRPr="00AE4E8D" w14:paraId="4719DC42" w14:textId="77777777" w:rsidTr="000400C8">
        <w:trPr>
          <w:trHeight w:val="240"/>
          <w:jc w:val="center"/>
        </w:trPr>
        <w:tc>
          <w:tcPr>
            <w:tcW w:w="3123" w:type="pct"/>
            <w:tcBorders>
              <w:top w:val="nil"/>
              <w:left w:val="nil"/>
              <w:bottom w:val="nil"/>
              <w:right w:val="nil"/>
            </w:tcBorders>
            <w:noWrap/>
            <w:hideMark/>
          </w:tcPr>
          <w:p w14:paraId="0676EDD8" w14:textId="77777777" w:rsidR="00C21744" w:rsidRPr="00AE4E8D" w:rsidRDefault="00C21744" w:rsidP="00C21744">
            <w:pPr>
              <w:tabs>
                <w:tab w:val="left" w:leader="dot" w:pos="6542"/>
              </w:tabs>
              <w:rPr>
                <w:rFonts w:ascii="Times New Roman" w:hAnsi="Times New Roman"/>
                <w:color w:val="000000"/>
                <w:sz w:val="18"/>
                <w:szCs w:val="18"/>
                <w:lang w:val="es-ES" w:eastAsia="es-AR"/>
              </w:rPr>
            </w:pPr>
            <w:r w:rsidRPr="00AE4E8D">
              <w:rPr>
                <w:rFonts w:ascii="Times New Roman" w:hAnsi="Times New Roman"/>
                <w:color w:val="000000"/>
                <w:sz w:val="18"/>
                <w:szCs w:val="18"/>
                <w:lang w:val="es-ES" w:eastAsia="es-AR"/>
              </w:rPr>
              <w:t>Debido a variaciones en las tasas nominales de interés promedio</w:t>
            </w:r>
            <w:r w:rsidRPr="00AE4E8D">
              <w:rPr>
                <w:rFonts w:ascii="Times New Roman" w:hAnsi="Times New Roman"/>
                <w:color w:val="000000"/>
                <w:sz w:val="18"/>
                <w:szCs w:val="18"/>
                <w:lang w:val="es-ES" w:eastAsia="es-AR"/>
              </w:rPr>
              <w:tab/>
            </w:r>
          </w:p>
        </w:tc>
        <w:tc>
          <w:tcPr>
            <w:tcW w:w="649" w:type="pct"/>
            <w:tcBorders>
              <w:top w:val="nil"/>
              <w:left w:val="nil"/>
              <w:bottom w:val="nil"/>
              <w:right w:val="nil"/>
            </w:tcBorders>
            <w:shd w:val="clear" w:color="000000" w:fill="FFFFFF"/>
            <w:noWrap/>
            <w:vAlign w:val="bottom"/>
          </w:tcPr>
          <w:p w14:paraId="1B8F2CBF" w14:textId="77777777" w:rsidR="00C21744" w:rsidRPr="00AE4E8D" w:rsidRDefault="00C21744" w:rsidP="00C21744">
            <w:pPr>
              <w:keepNext/>
              <w:keepLines/>
              <w:jc w:val="right"/>
              <w:rPr>
                <w:rFonts w:ascii="Times New Roman" w:hAnsi="Times New Roman"/>
                <w:sz w:val="18"/>
                <w:szCs w:val="18"/>
                <w:lang w:val="es-ES" w:eastAsia="es-AR"/>
              </w:rPr>
            </w:pPr>
          </w:p>
        </w:tc>
        <w:tc>
          <w:tcPr>
            <w:tcW w:w="1228" w:type="pct"/>
            <w:tcBorders>
              <w:top w:val="nil"/>
              <w:left w:val="nil"/>
              <w:bottom w:val="single" w:sz="4" w:space="0" w:color="auto"/>
              <w:right w:val="nil"/>
            </w:tcBorders>
            <w:shd w:val="clear" w:color="000000" w:fill="FFFFFF"/>
            <w:noWrap/>
            <w:vAlign w:val="bottom"/>
          </w:tcPr>
          <w:p w14:paraId="5EB4547B" w14:textId="77777777" w:rsidR="00C21744" w:rsidRPr="00AE4E8D" w:rsidRDefault="00C21744" w:rsidP="00C21744">
            <w:pPr>
              <w:keepNext/>
              <w:keepLines/>
              <w:jc w:val="right"/>
              <w:rPr>
                <w:rFonts w:ascii="Times New Roman" w:eastAsia="Calibri" w:hAnsi="Times New Roman"/>
                <w:sz w:val="18"/>
                <w:szCs w:val="18"/>
                <w:lang w:val="es-ES" w:eastAsia="es-AR"/>
              </w:rPr>
            </w:pPr>
            <w:r w:rsidRPr="00AE4E8D">
              <w:rPr>
                <w:rFonts w:ascii="Times New Roman" w:eastAsia="Calibri" w:hAnsi="Times New Roman"/>
                <w:sz w:val="18"/>
                <w:szCs w:val="18"/>
                <w:lang w:val="es-ES" w:eastAsia="es-AR"/>
              </w:rPr>
              <w:t>249,0</w:t>
            </w:r>
          </w:p>
        </w:tc>
      </w:tr>
      <w:tr w:rsidR="00C21744" w:rsidRPr="00AE4E8D" w14:paraId="615EDD95" w14:textId="77777777" w:rsidTr="000400C8">
        <w:trPr>
          <w:trHeight w:val="240"/>
          <w:jc w:val="center"/>
        </w:trPr>
        <w:tc>
          <w:tcPr>
            <w:tcW w:w="3123" w:type="pct"/>
            <w:tcBorders>
              <w:top w:val="nil"/>
              <w:left w:val="nil"/>
              <w:bottom w:val="nil"/>
              <w:right w:val="nil"/>
            </w:tcBorders>
            <w:noWrap/>
            <w:vAlign w:val="bottom"/>
            <w:hideMark/>
          </w:tcPr>
          <w:p w14:paraId="4623A731" w14:textId="77777777" w:rsidR="00C21744" w:rsidRPr="00AE4E8D" w:rsidRDefault="00C21744" w:rsidP="00C21744">
            <w:pPr>
              <w:tabs>
                <w:tab w:val="left" w:leader="dot" w:pos="6542"/>
              </w:tabs>
              <w:rPr>
                <w:rFonts w:ascii="Times New Roman" w:hAnsi="Times New Roman"/>
                <w:color w:val="000000"/>
                <w:sz w:val="18"/>
                <w:szCs w:val="18"/>
                <w:lang w:val="es-ES" w:eastAsia="es-AR"/>
              </w:rPr>
            </w:pPr>
            <w:r w:rsidRPr="00AE4E8D">
              <w:rPr>
                <w:rFonts w:ascii="Times New Roman" w:hAnsi="Times New Roman"/>
                <w:color w:val="000000"/>
                <w:sz w:val="18"/>
                <w:szCs w:val="18"/>
                <w:lang w:val="es-ES" w:eastAsia="es-AR"/>
              </w:rPr>
              <w:t xml:space="preserve">Variación neta </w:t>
            </w:r>
            <w:r w:rsidRPr="00AE4E8D">
              <w:rPr>
                <w:rFonts w:ascii="Times New Roman" w:hAnsi="Times New Roman"/>
                <w:color w:val="000000"/>
                <w:sz w:val="18"/>
                <w:szCs w:val="18"/>
                <w:lang w:val="es-ES" w:eastAsia="es-AR"/>
              </w:rPr>
              <w:tab/>
            </w:r>
          </w:p>
        </w:tc>
        <w:tc>
          <w:tcPr>
            <w:tcW w:w="649" w:type="pct"/>
            <w:tcBorders>
              <w:top w:val="nil"/>
              <w:left w:val="nil"/>
              <w:bottom w:val="nil"/>
              <w:right w:val="nil"/>
            </w:tcBorders>
            <w:shd w:val="clear" w:color="000000" w:fill="FFFFFF"/>
            <w:noWrap/>
            <w:vAlign w:val="bottom"/>
          </w:tcPr>
          <w:p w14:paraId="60D1ED1F" w14:textId="77777777" w:rsidR="00C21744" w:rsidRPr="00AE4E8D" w:rsidRDefault="00C21744" w:rsidP="00C21744">
            <w:pPr>
              <w:keepNext/>
              <w:keepLines/>
              <w:jc w:val="right"/>
              <w:rPr>
                <w:rFonts w:ascii="Times New Roman" w:hAnsi="Times New Roman"/>
                <w:sz w:val="18"/>
                <w:szCs w:val="18"/>
                <w:lang w:val="es-ES" w:eastAsia="es-AR"/>
              </w:rPr>
            </w:pPr>
          </w:p>
        </w:tc>
        <w:tc>
          <w:tcPr>
            <w:tcW w:w="1228" w:type="pct"/>
            <w:tcBorders>
              <w:top w:val="single" w:sz="4" w:space="0" w:color="auto"/>
              <w:left w:val="nil"/>
              <w:bottom w:val="nil"/>
              <w:right w:val="nil"/>
            </w:tcBorders>
            <w:shd w:val="clear" w:color="000000" w:fill="FFFFFF"/>
            <w:noWrap/>
            <w:vAlign w:val="bottom"/>
          </w:tcPr>
          <w:p w14:paraId="7082B4CC" w14:textId="77777777" w:rsidR="00C21744" w:rsidRPr="00AE4E8D" w:rsidRDefault="00C21744" w:rsidP="00C21744">
            <w:pPr>
              <w:keepNext/>
              <w:keepLines/>
              <w:jc w:val="right"/>
              <w:rPr>
                <w:rFonts w:ascii="Times New Roman" w:eastAsia="Calibri" w:hAnsi="Times New Roman"/>
                <w:sz w:val="18"/>
                <w:szCs w:val="18"/>
                <w:lang w:val="es-ES" w:eastAsia="es-AR"/>
              </w:rPr>
            </w:pPr>
            <w:r w:rsidRPr="00AE4E8D">
              <w:rPr>
                <w:rFonts w:ascii="Times New Roman" w:eastAsia="Calibri" w:hAnsi="Times New Roman"/>
                <w:sz w:val="18"/>
                <w:szCs w:val="18"/>
                <w:lang w:val="es-ES" w:eastAsia="es-AR"/>
              </w:rPr>
              <w:t>1.951,7</w:t>
            </w:r>
          </w:p>
        </w:tc>
      </w:tr>
    </w:tbl>
    <w:p w14:paraId="0F67977D" w14:textId="77777777" w:rsidR="00C21744" w:rsidRPr="00AE4E8D" w:rsidRDefault="00C21744" w:rsidP="00C21744">
      <w:pPr>
        <w:autoSpaceDE w:val="0"/>
        <w:autoSpaceDN w:val="0"/>
        <w:adjustRightInd w:val="0"/>
        <w:jc w:val="both"/>
        <w:rPr>
          <w:rFonts w:ascii="Times New Roman" w:eastAsia="Calibri" w:hAnsi="Times New Roman"/>
          <w:sz w:val="16"/>
          <w:lang w:val="es-ES" w:eastAsia="es-AR"/>
        </w:rPr>
      </w:pPr>
    </w:p>
    <w:p w14:paraId="142B61A4" w14:textId="77777777" w:rsidR="00C21744" w:rsidRPr="00AE4E8D" w:rsidRDefault="00C21744" w:rsidP="00C21744">
      <w:pPr>
        <w:autoSpaceDE w:val="0"/>
        <w:autoSpaceDN w:val="0"/>
        <w:adjustRightInd w:val="0"/>
        <w:jc w:val="both"/>
        <w:rPr>
          <w:rFonts w:ascii="Times New Roman" w:eastAsia="Calibri" w:hAnsi="Times New Roman"/>
          <w:sz w:val="16"/>
          <w:lang w:val="es-ES" w:eastAsia="es-AR"/>
        </w:rPr>
      </w:pPr>
      <w:r w:rsidRPr="00AE4E8D">
        <w:rPr>
          <w:rFonts w:ascii="Times New Roman" w:eastAsia="Calibri" w:hAnsi="Times New Roman"/>
          <w:sz w:val="16"/>
          <w:lang w:val="es-ES" w:eastAsia="es-AR"/>
        </w:rPr>
        <w:t>(*) Fuente: información interna del Banco y sus subsidiarias.</w:t>
      </w:r>
    </w:p>
    <w:p w14:paraId="5F4D9224" w14:textId="77777777" w:rsidR="00C21744" w:rsidRPr="00AE4E8D" w:rsidRDefault="00C21744" w:rsidP="002E5441">
      <w:pPr>
        <w:pStyle w:val="BHTexto"/>
        <w:rPr>
          <w:rFonts w:eastAsia="Calibri"/>
        </w:rPr>
      </w:pPr>
      <w:r w:rsidRPr="00AE4E8D">
        <w:rPr>
          <w:rFonts w:eastAsia="Calibri"/>
        </w:rPr>
        <w:t xml:space="preserve">Los ingresos financieros aumentaron </w:t>
      </w:r>
      <w:r w:rsidRPr="00AE4E8D">
        <w:rPr>
          <w:rFonts w:eastAsia="Calibri"/>
          <w:lang w:eastAsia="es-AR"/>
        </w:rPr>
        <w:t>36,9</w:t>
      </w:r>
      <w:r w:rsidRPr="00AE4E8D">
        <w:rPr>
          <w:rFonts w:eastAsia="Calibri"/>
        </w:rPr>
        <w:t>%, de Ps.</w:t>
      </w:r>
      <w:r w:rsidRPr="00AE4E8D">
        <w:rPr>
          <w:rFonts w:eastAsia="Calibri"/>
          <w:lang w:eastAsia="es-AR"/>
        </w:rPr>
        <w:t>5.294,9</w:t>
      </w:r>
      <w:r w:rsidRPr="00AE4E8D">
        <w:rPr>
          <w:rFonts w:eastAsia="Calibri"/>
        </w:rPr>
        <w:t xml:space="preserve"> millones al 31 de diciembre de 2014 a Ps.</w:t>
      </w:r>
      <w:r w:rsidRPr="00AE4E8D">
        <w:rPr>
          <w:rFonts w:eastAsia="Calibri"/>
          <w:lang w:eastAsia="es-AR"/>
        </w:rPr>
        <w:t>7.246,6</w:t>
      </w:r>
      <w:r w:rsidRPr="00AE4E8D">
        <w:rPr>
          <w:rFonts w:eastAsia="Calibri"/>
        </w:rPr>
        <w:t xml:space="preserve"> millones al 31 de diciembre de 2015, principalmente debido a un aumento del </w:t>
      </w:r>
      <w:r w:rsidRPr="00AE4E8D">
        <w:rPr>
          <w:rFonts w:eastAsia="Calibri"/>
          <w:lang w:eastAsia="es-AR"/>
        </w:rPr>
        <w:t>32,0</w:t>
      </w:r>
      <w:r w:rsidRPr="00AE4E8D">
        <w:rPr>
          <w:rFonts w:eastAsia="Calibri"/>
        </w:rPr>
        <w:t>% en el saldo de activos promedio que devengan interés, de Ps.</w:t>
      </w:r>
      <w:r w:rsidRPr="00AE4E8D">
        <w:rPr>
          <w:rFonts w:eastAsia="Calibri"/>
          <w:lang w:eastAsia="es-AR"/>
        </w:rPr>
        <w:t>22.623,3</w:t>
      </w:r>
      <w:r w:rsidRPr="00AE4E8D">
        <w:rPr>
          <w:rFonts w:eastAsia="Calibri"/>
        </w:rPr>
        <w:t xml:space="preserve"> millones al 31 de diciembre de 2014 a Ps.29.864,1 millones al 31 de diciembre de 2015 y un aumento del 3,9% en las tasas de interés promedio, del </w:t>
      </w:r>
      <w:r w:rsidRPr="00AE4E8D">
        <w:rPr>
          <w:rFonts w:eastAsia="Calibri"/>
          <w:lang w:eastAsia="es-AR"/>
        </w:rPr>
        <w:t>23,7</w:t>
      </w:r>
      <w:r w:rsidRPr="00AE4E8D">
        <w:rPr>
          <w:rFonts w:eastAsia="Calibri"/>
        </w:rPr>
        <w:t>% al 31 de diciembre de 2014 al 24,7% al 31 de diciembre de 2015.</w:t>
      </w:r>
    </w:p>
    <w:p w14:paraId="3DEC4672" w14:textId="77777777" w:rsidR="00C21744" w:rsidRPr="00AE4E8D" w:rsidRDefault="00C21744" w:rsidP="002E5441">
      <w:pPr>
        <w:pStyle w:val="BHTexto"/>
        <w:rPr>
          <w:rFonts w:eastAsia="Calibri"/>
        </w:rPr>
      </w:pPr>
      <w:r w:rsidRPr="00AE4E8D">
        <w:rPr>
          <w:rFonts w:eastAsia="Calibri"/>
        </w:rPr>
        <w:t>Este aumento en nuestros ingresos financieros se debió a:</w:t>
      </w:r>
    </w:p>
    <w:p w14:paraId="2C575550" w14:textId="77777777" w:rsidR="00C21744" w:rsidRPr="00AE4E8D" w:rsidRDefault="00C21744" w:rsidP="00C21744">
      <w:pPr>
        <w:pStyle w:val="BHVieta2"/>
        <w:numPr>
          <w:ilvl w:val="0"/>
          <w:numId w:val="165"/>
        </w:numPr>
        <w:rPr>
          <w:lang w:val="es-ES"/>
        </w:rPr>
      </w:pPr>
      <w:r w:rsidRPr="00AE4E8D">
        <w:rPr>
          <w:lang w:val="es-ES"/>
        </w:rPr>
        <w:t>Un aumento del 24,6% en ingresos por otros préstamos, de Ps.1.527,8 millones al 31 de diciembre de 2014 a Ps.1.903,1 millones al 31 de diciembre de 2015, principalmente como resultado de un incremento del 28,2% en el volumen promedio de préstamos comerciales;</w:t>
      </w:r>
    </w:p>
    <w:p w14:paraId="2D70A5FF" w14:textId="77777777" w:rsidR="00C21744" w:rsidRPr="00AE4E8D" w:rsidRDefault="00C21744" w:rsidP="00C21744">
      <w:pPr>
        <w:pStyle w:val="BHVieta2"/>
        <w:numPr>
          <w:ilvl w:val="0"/>
          <w:numId w:val="165"/>
        </w:numPr>
        <w:rPr>
          <w:lang w:val="es-ES"/>
        </w:rPr>
      </w:pPr>
      <w:r w:rsidRPr="00AE4E8D">
        <w:rPr>
          <w:lang w:val="es-ES"/>
        </w:rPr>
        <w:t xml:space="preserve">Un aumento del 47,3% en ingresos por préstamos por tarjetas de crédito, de Ps.1.462,0 millones al 31 de diciembre de 2014 a Ps.2.153,7 millones al 31 de diciembre de 2015, principalmente como resultado de un aumento del 41,4% en el volumen promedio de </w:t>
      </w:r>
      <w:r w:rsidRPr="00AE4E8D">
        <w:rPr>
          <w:lang w:val="es-ES" w:eastAsia="es-AR"/>
        </w:rPr>
        <w:t xml:space="preserve">saldos </w:t>
      </w:r>
      <w:r w:rsidRPr="00AE4E8D">
        <w:rPr>
          <w:lang w:val="es-ES"/>
        </w:rPr>
        <w:t>de tarjetas de crédito; y</w:t>
      </w:r>
    </w:p>
    <w:p w14:paraId="559CE97F" w14:textId="77777777" w:rsidR="00C21744" w:rsidRPr="00AE4E8D" w:rsidRDefault="00C21744" w:rsidP="00C21744">
      <w:pPr>
        <w:pStyle w:val="BHVieta2"/>
        <w:numPr>
          <w:ilvl w:val="0"/>
          <w:numId w:val="165"/>
        </w:numPr>
        <w:rPr>
          <w:lang w:val="es-ES"/>
        </w:rPr>
      </w:pPr>
      <w:r w:rsidRPr="00AE4E8D">
        <w:rPr>
          <w:lang w:val="es-ES"/>
        </w:rPr>
        <w:t>Un aumento del 81,0% en ingresos netos por títulos públicos y privados, de Ps.974,6 millones al 31 de diciembre 2014 a Ps.1.764,3 millones al 31 de diciembre de 2015, reflejando mayores ingresos por actividades de intermediación debido a un aumento del 38,2% en las tenencias promedio de títulos públicos y privados.</w:t>
      </w:r>
    </w:p>
    <w:p w14:paraId="7FB6A05F" w14:textId="77777777" w:rsidR="00C21744" w:rsidRPr="00AE4E8D" w:rsidRDefault="00C21744" w:rsidP="002E5441">
      <w:pPr>
        <w:pStyle w:val="BH4Cursiva"/>
        <w:rPr>
          <w:rFonts w:eastAsia="Calibri"/>
          <w:color w:val="000000"/>
        </w:rPr>
      </w:pPr>
      <w:r w:rsidRPr="00AE4E8D">
        <w:rPr>
          <w:rFonts w:eastAsia="Calibri"/>
        </w:rPr>
        <w:t>Egresos Financieros</w:t>
      </w:r>
    </w:p>
    <w:p w14:paraId="1C336AA7" w14:textId="77777777" w:rsidR="00C21744" w:rsidRPr="00AE4E8D" w:rsidRDefault="00C21744" w:rsidP="002E5441">
      <w:pPr>
        <w:pStyle w:val="BHTexto"/>
        <w:rPr>
          <w:rFonts w:eastAsia="Calibri"/>
        </w:rPr>
      </w:pPr>
      <w:r w:rsidRPr="00AE4E8D">
        <w:rPr>
          <w:rFonts w:eastAsia="Calibri"/>
        </w:rPr>
        <w:t>La siguiente tabla muestra los principales rubros de los egresos financieros por los ejercicios finalizados el 31 de diciembre de 2015 y 2014:</w:t>
      </w:r>
    </w:p>
    <w:tbl>
      <w:tblPr>
        <w:tblW w:w="5000" w:type="pct"/>
        <w:tblLook w:val="04A0" w:firstRow="1" w:lastRow="0" w:firstColumn="1" w:lastColumn="0" w:noHBand="0" w:noVBand="1"/>
      </w:tblPr>
      <w:tblGrid>
        <w:gridCol w:w="4144"/>
        <w:gridCol w:w="1688"/>
        <w:gridCol w:w="1688"/>
        <w:gridCol w:w="1201"/>
      </w:tblGrid>
      <w:tr w:rsidR="00C21744" w:rsidRPr="00AE4E8D" w14:paraId="3F196BF0" w14:textId="77777777" w:rsidTr="000400C8">
        <w:trPr>
          <w:trHeight w:val="255"/>
          <w:tblHeader/>
        </w:trPr>
        <w:tc>
          <w:tcPr>
            <w:tcW w:w="2818" w:type="pct"/>
            <w:tcBorders>
              <w:top w:val="nil"/>
              <w:left w:val="nil"/>
              <w:bottom w:val="nil"/>
              <w:right w:val="nil"/>
            </w:tcBorders>
            <w:shd w:val="clear" w:color="auto" w:fill="auto"/>
            <w:noWrap/>
            <w:vAlign w:val="bottom"/>
            <w:hideMark/>
          </w:tcPr>
          <w:p w14:paraId="7B8F522B" w14:textId="77777777" w:rsidR="00C21744" w:rsidRPr="00AE4E8D" w:rsidRDefault="00C21744" w:rsidP="00C21744">
            <w:pPr>
              <w:rPr>
                <w:rFonts w:ascii="Times New Roman" w:hAnsi="Times New Roman"/>
                <w:color w:val="000000"/>
                <w:sz w:val="18"/>
                <w:szCs w:val="18"/>
              </w:rPr>
            </w:pPr>
          </w:p>
        </w:tc>
        <w:tc>
          <w:tcPr>
            <w:tcW w:w="1524" w:type="pct"/>
            <w:gridSpan w:val="2"/>
            <w:tcBorders>
              <w:top w:val="single" w:sz="8" w:space="0" w:color="auto"/>
              <w:left w:val="nil"/>
              <w:bottom w:val="single" w:sz="8" w:space="0" w:color="auto"/>
              <w:right w:val="nil"/>
            </w:tcBorders>
            <w:shd w:val="clear" w:color="auto" w:fill="auto"/>
            <w:noWrap/>
            <w:vAlign w:val="bottom"/>
            <w:hideMark/>
          </w:tcPr>
          <w:p w14:paraId="44504317" w14:textId="77777777" w:rsidR="00C21744" w:rsidRPr="00AE4E8D" w:rsidRDefault="00C21744" w:rsidP="00C21744">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Ejercicio finalizado el 31 de diciembre de</w:t>
            </w:r>
          </w:p>
        </w:tc>
        <w:tc>
          <w:tcPr>
            <w:tcW w:w="658" w:type="pct"/>
            <w:tcBorders>
              <w:top w:val="single" w:sz="8" w:space="0" w:color="auto"/>
              <w:left w:val="nil"/>
              <w:bottom w:val="single" w:sz="8" w:space="0" w:color="auto"/>
              <w:right w:val="nil"/>
            </w:tcBorders>
            <w:shd w:val="clear" w:color="auto" w:fill="auto"/>
            <w:noWrap/>
            <w:vAlign w:val="bottom"/>
            <w:hideMark/>
          </w:tcPr>
          <w:p w14:paraId="562AB2C7"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C21744" w:rsidRPr="00AE4E8D" w14:paraId="5C6BB841" w14:textId="77777777" w:rsidTr="000400C8">
        <w:trPr>
          <w:trHeight w:val="255"/>
          <w:tblHeader/>
        </w:trPr>
        <w:tc>
          <w:tcPr>
            <w:tcW w:w="2818" w:type="pct"/>
            <w:tcBorders>
              <w:top w:val="nil"/>
              <w:left w:val="nil"/>
              <w:bottom w:val="nil"/>
              <w:right w:val="nil"/>
            </w:tcBorders>
            <w:shd w:val="clear" w:color="auto" w:fill="auto"/>
            <w:noWrap/>
            <w:vAlign w:val="bottom"/>
            <w:hideMark/>
          </w:tcPr>
          <w:p w14:paraId="4D4EA264" w14:textId="77777777" w:rsidR="00C21744" w:rsidRPr="00AE4E8D" w:rsidRDefault="00C21744" w:rsidP="00C21744">
            <w:pPr>
              <w:rPr>
                <w:rFonts w:ascii="Times New Roman" w:hAnsi="Times New Roman"/>
                <w:color w:val="000000"/>
                <w:sz w:val="18"/>
                <w:szCs w:val="18"/>
                <w:lang w:val="en-US"/>
              </w:rPr>
            </w:pPr>
          </w:p>
        </w:tc>
        <w:tc>
          <w:tcPr>
            <w:tcW w:w="762" w:type="pct"/>
            <w:tcBorders>
              <w:top w:val="nil"/>
              <w:left w:val="nil"/>
              <w:bottom w:val="single" w:sz="8" w:space="0" w:color="auto"/>
              <w:right w:val="nil"/>
            </w:tcBorders>
            <w:shd w:val="clear" w:color="auto" w:fill="auto"/>
            <w:noWrap/>
            <w:vAlign w:val="bottom"/>
            <w:hideMark/>
          </w:tcPr>
          <w:p w14:paraId="5CB8A5C0"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762" w:type="pct"/>
            <w:tcBorders>
              <w:top w:val="nil"/>
              <w:left w:val="nil"/>
              <w:bottom w:val="single" w:sz="8" w:space="0" w:color="auto"/>
              <w:right w:val="nil"/>
            </w:tcBorders>
            <w:shd w:val="clear" w:color="auto" w:fill="auto"/>
            <w:noWrap/>
            <w:vAlign w:val="bottom"/>
            <w:hideMark/>
          </w:tcPr>
          <w:p w14:paraId="32BBA545"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w:t>
            </w:r>
          </w:p>
        </w:tc>
        <w:tc>
          <w:tcPr>
            <w:tcW w:w="658" w:type="pct"/>
            <w:tcBorders>
              <w:top w:val="nil"/>
              <w:left w:val="nil"/>
              <w:bottom w:val="single" w:sz="8" w:space="0" w:color="auto"/>
              <w:right w:val="nil"/>
            </w:tcBorders>
            <w:shd w:val="clear" w:color="auto" w:fill="auto"/>
            <w:noWrap/>
            <w:vAlign w:val="bottom"/>
            <w:hideMark/>
          </w:tcPr>
          <w:p w14:paraId="63C01ED5"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2014/2015</w:t>
            </w:r>
          </w:p>
        </w:tc>
      </w:tr>
      <w:tr w:rsidR="00C21744" w:rsidRPr="00AE4E8D" w14:paraId="3F11D6FA" w14:textId="77777777" w:rsidTr="000400C8">
        <w:trPr>
          <w:trHeight w:val="240"/>
          <w:tblHeader/>
        </w:trPr>
        <w:tc>
          <w:tcPr>
            <w:tcW w:w="2818" w:type="pct"/>
            <w:tcBorders>
              <w:top w:val="nil"/>
              <w:left w:val="nil"/>
              <w:bottom w:val="nil"/>
              <w:right w:val="nil"/>
            </w:tcBorders>
            <w:shd w:val="clear" w:color="auto" w:fill="auto"/>
            <w:noWrap/>
            <w:vAlign w:val="bottom"/>
            <w:hideMark/>
          </w:tcPr>
          <w:p w14:paraId="2B887E84" w14:textId="77777777" w:rsidR="00C21744" w:rsidRPr="00AE4E8D" w:rsidRDefault="00C21744" w:rsidP="00C21744">
            <w:pPr>
              <w:rPr>
                <w:rFonts w:ascii="Times New Roman" w:hAnsi="Times New Roman"/>
                <w:color w:val="000000"/>
                <w:sz w:val="18"/>
                <w:szCs w:val="18"/>
                <w:lang w:val="en-US"/>
              </w:rPr>
            </w:pPr>
          </w:p>
        </w:tc>
        <w:tc>
          <w:tcPr>
            <w:tcW w:w="2182" w:type="pct"/>
            <w:gridSpan w:val="3"/>
            <w:tcBorders>
              <w:top w:val="single" w:sz="8" w:space="0" w:color="auto"/>
              <w:left w:val="nil"/>
              <w:bottom w:val="nil"/>
              <w:right w:val="nil"/>
            </w:tcBorders>
            <w:shd w:val="clear" w:color="auto" w:fill="auto"/>
            <w:noWrap/>
            <w:vAlign w:val="bottom"/>
            <w:hideMark/>
          </w:tcPr>
          <w:p w14:paraId="2E6A4CD2" w14:textId="77777777" w:rsidR="00C21744" w:rsidRPr="00AE4E8D" w:rsidRDefault="00C21744" w:rsidP="00C21744">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212606" w:rsidRPr="00AE4E8D" w14:paraId="43D4E377" w14:textId="77777777" w:rsidTr="002E5441">
        <w:trPr>
          <w:trHeight w:val="240"/>
        </w:trPr>
        <w:tc>
          <w:tcPr>
            <w:tcW w:w="2818" w:type="pct"/>
            <w:tcBorders>
              <w:top w:val="nil"/>
              <w:left w:val="nil"/>
              <w:bottom w:val="nil"/>
              <w:right w:val="nil"/>
            </w:tcBorders>
            <w:shd w:val="clear" w:color="auto" w:fill="auto"/>
            <w:noWrap/>
            <w:vAlign w:val="bottom"/>
          </w:tcPr>
          <w:p w14:paraId="2A7101A0" w14:textId="77777777" w:rsidR="00212606" w:rsidRPr="00AE4E8D" w:rsidRDefault="00212606" w:rsidP="00C21744">
            <w:pPr>
              <w:rPr>
                <w:rFonts w:ascii="Times New Roman" w:hAnsi="Times New Roman"/>
                <w:color w:val="000000"/>
                <w:sz w:val="18"/>
                <w:szCs w:val="18"/>
                <w:lang w:val="es-ES"/>
              </w:rPr>
            </w:pPr>
            <w:r w:rsidRPr="00AE4E8D">
              <w:rPr>
                <w:rFonts w:ascii="Times New Roman" w:hAnsi="Times New Roman"/>
                <w:color w:val="000000"/>
                <w:sz w:val="18"/>
                <w:szCs w:val="18"/>
                <w:lang w:val="es-ES"/>
              </w:rPr>
              <w:t>Intereses por</w:t>
            </w:r>
          </w:p>
        </w:tc>
        <w:tc>
          <w:tcPr>
            <w:tcW w:w="762" w:type="pct"/>
            <w:tcBorders>
              <w:top w:val="nil"/>
              <w:left w:val="nil"/>
              <w:bottom w:val="nil"/>
              <w:right w:val="nil"/>
            </w:tcBorders>
            <w:shd w:val="clear" w:color="000000" w:fill="FFFFFF"/>
            <w:noWrap/>
            <w:vAlign w:val="bottom"/>
          </w:tcPr>
          <w:p w14:paraId="4C581192" w14:textId="77777777" w:rsidR="00212606" w:rsidRPr="00AE4E8D" w:rsidRDefault="00212606" w:rsidP="00C21744">
            <w:pPr>
              <w:jc w:val="right"/>
              <w:rPr>
                <w:rFonts w:ascii="Times New Roman" w:hAnsi="Times New Roman"/>
                <w:color w:val="000000"/>
                <w:sz w:val="18"/>
                <w:szCs w:val="18"/>
                <w:lang w:val="es-ES"/>
              </w:rPr>
            </w:pPr>
          </w:p>
        </w:tc>
        <w:tc>
          <w:tcPr>
            <w:tcW w:w="762" w:type="pct"/>
            <w:tcBorders>
              <w:top w:val="nil"/>
              <w:left w:val="nil"/>
              <w:bottom w:val="nil"/>
              <w:right w:val="nil"/>
            </w:tcBorders>
            <w:shd w:val="clear" w:color="000000" w:fill="FFFFFF"/>
            <w:noWrap/>
            <w:vAlign w:val="bottom"/>
          </w:tcPr>
          <w:p w14:paraId="69A6DB96" w14:textId="77777777" w:rsidR="00212606" w:rsidRPr="00AE4E8D" w:rsidRDefault="00212606" w:rsidP="00C21744">
            <w:pPr>
              <w:jc w:val="right"/>
              <w:rPr>
                <w:rFonts w:ascii="Times New Roman" w:hAnsi="Times New Roman"/>
                <w:color w:val="000000"/>
                <w:sz w:val="18"/>
                <w:szCs w:val="18"/>
                <w:lang w:val="es-ES"/>
              </w:rPr>
            </w:pPr>
          </w:p>
        </w:tc>
        <w:tc>
          <w:tcPr>
            <w:tcW w:w="658" w:type="pct"/>
            <w:tcBorders>
              <w:top w:val="nil"/>
              <w:left w:val="nil"/>
              <w:bottom w:val="nil"/>
              <w:right w:val="nil"/>
            </w:tcBorders>
            <w:shd w:val="clear" w:color="auto" w:fill="auto"/>
            <w:noWrap/>
            <w:vAlign w:val="bottom"/>
          </w:tcPr>
          <w:p w14:paraId="4143099F" w14:textId="77777777" w:rsidR="00212606" w:rsidRPr="00AE4E8D" w:rsidRDefault="00212606" w:rsidP="00C21744">
            <w:pPr>
              <w:jc w:val="right"/>
              <w:rPr>
                <w:rFonts w:ascii="Times New Roman" w:hAnsi="Times New Roman"/>
                <w:color w:val="000000"/>
                <w:sz w:val="18"/>
                <w:szCs w:val="18"/>
                <w:lang w:val="es-ES"/>
              </w:rPr>
            </w:pPr>
          </w:p>
        </w:tc>
      </w:tr>
      <w:tr w:rsidR="00C21744" w:rsidRPr="00AE4E8D" w14:paraId="69A4DA79" w14:textId="77777777" w:rsidTr="000400C8">
        <w:trPr>
          <w:trHeight w:val="240"/>
        </w:trPr>
        <w:tc>
          <w:tcPr>
            <w:tcW w:w="2818" w:type="pct"/>
            <w:tcBorders>
              <w:top w:val="nil"/>
              <w:left w:val="nil"/>
              <w:bottom w:val="nil"/>
              <w:right w:val="nil"/>
            </w:tcBorders>
            <w:shd w:val="clear" w:color="auto" w:fill="auto"/>
            <w:noWrap/>
            <w:vAlign w:val="bottom"/>
            <w:hideMark/>
          </w:tcPr>
          <w:p w14:paraId="592729BD" w14:textId="77777777" w:rsidR="00C21744" w:rsidRPr="00AE4E8D" w:rsidRDefault="00C21744"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depósitos en cajas de ahorro  </w:t>
            </w:r>
          </w:p>
        </w:tc>
        <w:tc>
          <w:tcPr>
            <w:tcW w:w="762" w:type="pct"/>
            <w:tcBorders>
              <w:top w:val="nil"/>
              <w:left w:val="nil"/>
              <w:bottom w:val="nil"/>
              <w:right w:val="nil"/>
            </w:tcBorders>
            <w:shd w:val="clear" w:color="000000" w:fill="FFFFFF"/>
            <w:noWrap/>
            <w:vAlign w:val="bottom"/>
            <w:hideMark/>
          </w:tcPr>
          <w:p w14:paraId="4E792BE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3,0</w:t>
            </w:r>
          </w:p>
        </w:tc>
        <w:tc>
          <w:tcPr>
            <w:tcW w:w="762" w:type="pct"/>
            <w:tcBorders>
              <w:top w:val="nil"/>
              <w:left w:val="nil"/>
              <w:bottom w:val="nil"/>
              <w:right w:val="nil"/>
            </w:tcBorders>
            <w:shd w:val="clear" w:color="000000" w:fill="FFFFFF"/>
            <w:noWrap/>
            <w:vAlign w:val="bottom"/>
            <w:hideMark/>
          </w:tcPr>
          <w:p w14:paraId="1994FFA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2,0</w:t>
            </w:r>
          </w:p>
        </w:tc>
        <w:tc>
          <w:tcPr>
            <w:tcW w:w="658" w:type="pct"/>
            <w:tcBorders>
              <w:top w:val="nil"/>
              <w:left w:val="nil"/>
              <w:bottom w:val="nil"/>
              <w:right w:val="nil"/>
            </w:tcBorders>
            <w:shd w:val="clear" w:color="auto" w:fill="auto"/>
            <w:noWrap/>
            <w:vAlign w:val="bottom"/>
            <w:hideMark/>
          </w:tcPr>
          <w:p w14:paraId="042063E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48,2%</w:t>
            </w:r>
          </w:p>
        </w:tc>
      </w:tr>
      <w:tr w:rsidR="00C21744" w:rsidRPr="00AE4E8D" w14:paraId="60BB928A" w14:textId="77777777" w:rsidTr="000400C8">
        <w:trPr>
          <w:trHeight w:val="240"/>
        </w:trPr>
        <w:tc>
          <w:tcPr>
            <w:tcW w:w="2818" w:type="pct"/>
            <w:tcBorders>
              <w:top w:val="nil"/>
              <w:left w:val="nil"/>
              <w:bottom w:val="nil"/>
              <w:right w:val="nil"/>
            </w:tcBorders>
            <w:shd w:val="clear" w:color="auto" w:fill="auto"/>
            <w:noWrap/>
            <w:vAlign w:val="bottom"/>
            <w:hideMark/>
          </w:tcPr>
          <w:p w14:paraId="745E3A15" w14:textId="77777777" w:rsidR="00C21744" w:rsidRPr="00AE4E8D" w:rsidRDefault="00C21744"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depósitos a plazo fijo  </w:t>
            </w:r>
          </w:p>
        </w:tc>
        <w:tc>
          <w:tcPr>
            <w:tcW w:w="762" w:type="pct"/>
            <w:tcBorders>
              <w:top w:val="nil"/>
              <w:left w:val="nil"/>
              <w:bottom w:val="nil"/>
              <w:right w:val="nil"/>
            </w:tcBorders>
            <w:shd w:val="clear" w:color="000000" w:fill="FFFFFF"/>
            <w:noWrap/>
            <w:vAlign w:val="bottom"/>
            <w:hideMark/>
          </w:tcPr>
          <w:p w14:paraId="5DE7279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2.110,6</w:t>
            </w:r>
          </w:p>
        </w:tc>
        <w:tc>
          <w:tcPr>
            <w:tcW w:w="762" w:type="pct"/>
            <w:tcBorders>
              <w:top w:val="nil"/>
              <w:left w:val="nil"/>
              <w:bottom w:val="nil"/>
              <w:right w:val="nil"/>
            </w:tcBorders>
            <w:shd w:val="clear" w:color="000000" w:fill="FFFFFF"/>
            <w:noWrap/>
            <w:vAlign w:val="bottom"/>
            <w:hideMark/>
          </w:tcPr>
          <w:p w14:paraId="07E5F44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1.507,0</w:t>
            </w:r>
          </w:p>
        </w:tc>
        <w:tc>
          <w:tcPr>
            <w:tcW w:w="658" w:type="pct"/>
            <w:tcBorders>
              <w:top w:val="nil"/>
              <w:left w:val="nil"/>
              <w:bottom w:val="nil"/>
              <w:right w:val="nil"/>
            </w:tcBorders>
            <w:shd w:val="clear" w:color="auto" w:fill="auto"/>
            <w:noWrap/>
            <w:vAlign w:val="bottom"/>
            <w:hideMark/>
          </w:tcPr>
          <w:p w14:paraId="1BD8A19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40,1%</w:t>
            </w:r>
          </w:p>
        </w:tc>
      </w:tr>
      <w:tr w:rsidR="00C21744" w:rsidRPr="00AE4E8D" w14:paraId="36FE2919" w14:textId="77777777" w:rsidTr="000400C8">
        <w:trPr>
          <w:trHeight w:val="240"/>
        </w:trPr>
        <w:tc>
          <w:tcPr>
            <w:tcW w:w="2818" w:type="pct"/>
            <w:tcBorders>
              <w:top w:val="nil"/>
              <w:left w:val="nil"/>
              <w:bottom w:val="nil"/>
              <w:right w:val="nil"/>
            </w:tcBorders>
            <w:shd w:val="clear" w:color="auto" w:fill="auto"/>
            <w:noWrap/>
            <w:vAlign w:val="bottom"/>
            <w:hideMark/>
          </w:tcPr>
          <w:p w14:paraId="16F1A7EE" w14:textId="77777777" w:rsidR="00C21744" w:rsidRPr="00AE4E8D" w:rsidRDefault="00C21744"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préstamos interfinancieros recibidos  </w:t>
            </w:r>
          </w:p>
        </w:tc>
        <w:tc>
          <w:tcPr>
            <w:tcW w:w="762" w:type="pct"/>
            <w:tcBorders>
              <w:top w:val="nil"/>
              <w:left w:val="nil"/>
              <w:bottom w:val="nil"/>
              <w:right w:val="nil"/>
            </w:tcBorders>
            <w:shd w:val="clear" w:color="000000" w:fill="FFFFFF"/>
            <w:noWrap/>
            <w:vAlign w:val="bottom"/>
            <w:hideMark/>
          </w:tcPr>
          <w:p w14:paraId="4FC4093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16,6</w:t>
            </w:r>
          </w:p>
        </w:tc>
        <w:tc>
          <w:tcPr>
            <w:tcW w:w="762" w:type="pct"/>
            <w:tcBorders>
              <w:top w:val="nil"/>
              <w:left w:val="nil"/>
              <w:bottom w:val="nil"/>
              <w:right w:val="nil"/>
            </w:tcBorders>
            <w:shd w:val="clear" w:color="000000" w:fill="FFFFFF"/>
            <w:noWrap/>
            <w:vAlign w:val="bottom"/>
            <w:hideMark/>
          </w:tcPr>
          <w:p w14:paraId="2EA3305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14,6</w:t>
            </w:r>
          </w:p>
        </w:tc>
        <w:tc>
          <w:tcPr>
            <w:tcW w:w="658" w:type="pct"/>
            <w:tcBorders>
              <w:top w:val="nil"/>
              <w:left w:val="nil"/>
              <w:bottom w:val="nil"/>
              <w:right w:val="nil"/>
            </w:tcBorders>
            <w:shd w:val="clear" w:color="auto" w:fill="auto"/>
            <w:noWrap/>
            <w:vAlign w:val="bottom"/>
            <w:hideMark/>
          </w:tcPr>
          <w:p w14:paraId="458268E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13,9%</w:t>
            </w:r>
          </w:p>
        </w:tc>
      </w:tr>
      <w:tr w:rsidR="00C21744" w:rsidRPr="00AE4E8D" w14:paraId="0CC27A8E" w14:textId="77777777" w:rsidTr="000400C8">
        <w:trPr>
          <w:trHeight w:val="240"/>
        </w:trPr>
        <w:tc>
          <w:tcPr>
            <w:tcW w:w="2818" w:type="pct"/>
            <w:tcBorders>
              <w:top w:val="nil"/>
              <w:left w:val="nil"/>
              <w:bottom w:val="nil"/>
              <w:right w:val="nil"/>
            </w:tcBorders>
            <w:shd w:val="clear" w:color="auto" w:fill="auto"/>
            <w:noWrap/>
            <w:vAlign w:val="bottom"/>
            <w:hideMark/>
          </w:tcPr>
          <w:p w14:paraId="4F7B881C" w14:textId="77777777" w:rsidR="00C21744" w:rsidRPr="00AE4E8D" w:rsidRDefault="00C21744"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otros préstamos de entidades financieras  </w:t>
            </w:r>
          </w:p>
        </w:tc>
        <w:tc>
          <w:tcPr>
            <w:tcW w:w="762" w:type="pct"/>
            <w:tcBorders>
              <w:top w:val="nil"/>
              <w:left w:val="nil"/>
              <w:bottom w:val="nil"/>
              <w:right w:val="nil"/>
            </w:tcBorders>
            <w:shd w:val="clear" w:color="000000" w:fill="FFFFFF"/>
            <w:noWrap/>
            <w:vAlign w:val="bottom"/>
            <w:hideMark/>
          </w:tcPr>
          <w:p w14:paraId="512186D1"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76,8</w:t>
            </w:r>
          </w:p>
        </w:tc>
        <w:tc>
          <w:tcPr>
            <w:tcW w:w="762" w:type="pct"/>
            <w:tcBorders>
              <w:top w:val="nil"/>
              <w:left w:val="nil"/>
              <w:bottom w:val="nil"/>
              <w:right w:val="nil"/>
            </w:tcBorders>
            <w:shd w:val="clear" w:color="000000" w:fill="FFFFFF"/>
            <w:noWrap/>
            <w:vAlign w:val="bottom"/>
            <w:hideMark/>
          </w:tcPr>
          <w:p w14:paraId="0E3DE84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84,3</w:t>
            </w:r>
          </w:p>
        </w:tc>
        <w:tc>
          <w:tcPr>
            <w:tcW w:w="658" w:type="pct"/>
            <w:tcBorders>
              <w:top w:val="nil"/>
              <w:left w:val="nil"/>
              <w:bottom w:val="nil"/>
              <w:right w:val="nil"/>
            </w:tcBorders>
            <w:shd w:val="clear" w:color="auto" w:fill="auto"/>
            <w:noWrap/>
            <w:vAlign w:val="bottom"/>
            <w:hideMark/>
          </w:tcPr>
          <w:p w14:paraId="7805ACC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(8,9)%</w:t>
            </w:r>
          </w:p>
        </w:tc>
      </w:tr>
      <w:tr w:rsidR="00C21744" w:rsidRPr="00AE4E8D" w14:paraId="49B868EF" w14:textId="77777777" w:rsidTr="000400C8">
        <w:trPr>
          <w:trHeight w:val="240"/>
        </w:trPr>
        <w:tc>
          <w:tcPr>
            <w:tcW w:w="2818" w:type="pct"/>
            <w:tcBorders>
              <w:top w:val="nil"/>
              <w:left w:val="nil"/>
              <w:bottom w:val="nil"/>
              <w:right w:val="nil"/>
            </w:tcBorders>
            <w:shd w:val="clear" w:color="auto" w:fill="auto"/>
            <w:noWrap/>
            <w:vAlign w:val="bottom"/>
            <w:hideMark/>
          </w:tcPr>
          <w:p w14:paraId="1BE463D8" w14:textId="77777777" w:rsidR="00C21744" w:rsidRPr="00AE4E8D" w:rsidRDefault="00C21744" w:rsidP="000400C8">
            <w:pPr>
              <w:ind w:left="284"/>
              <w:rPr>
                <w:rFonts w:ascii="Times New Roman" w:hAnsi="Times New Roman"/>
                <w:color w:val="000000"/>
                <w:sz w:val="18"/>
                <w:szCs w:val="18"/>
              </w:rPr>
            </w:pPr>
            <w:r w:rsidRPr="00AE4E8D">
              <w:rPr>
                <w:rFonts w:ascii="Times New Roman" w:hAnsi="Times New Roman"/>
                <w:color w:val="000000"/>
                <w:sz w:val="18"/>
                <w:szCs w:val="18"/>
                <w:lang w:val="es-ES"/>
              </w:rPr>
              <w:t xml:space="preserve">otras obligaciones por intermediación financiera  </w:t>
            </w:r>
          </w:p>
        </w:tc>
        <w:tc>
          <w:tcPr>
            <w:tcW w:w="762" w:type="pct"/>
            <w:tcBorders>
              <w:top w:val="nil"/>
              <w:left w:val="nil"/>
              <w:bottom w:val="nil"/>
              <w:right w:val="nil"/>
            </w:tcBorders>
            <w:shd w:val="clear" w:color="000000" w:fill="FFFFFF"/>
            <w:noWrap/>
            <w:vAlign w:val="bottom"/>
            <w:hideMark/>
          </w:tcPr>
          <w:p w14:paraId="23D7092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942,9</w:t>
            </w:r>
          </w:p>
        </w:tc>
        <w:tc>
          <w:tcPr>
            <w:tcW w:w="762" w:type="pct"/>
            <w:tcBorders>
              <w:top w:val="nil"/>
              <w:left w:val="nil"/>
              <w:bottom w:val="nil"/>
              <w:right w:val="nil"/>
            </w:tcBorders>
            <w:shd w:val="clear" w:color="000000" w:fill="FFFFFF"/>
            <w:noWrap/>
            <w:vAlign w:val="bottom"/>
            <w:hideMark/>
          </w:tcPr>
          <w:p w14:paraId="0B879D3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602,7</w:t>
            </w:r>
          </w:p>
        </w:tc>
        <w:tc>
          <w:tcPr>
            <w:tcW w:w="658" w:type="pct"/>
            <w:tcBorders>
              <w:top w:val="nil"/>
              <w:left w:val="nil"/>
              <w:bottom w:val="nil"/>
              <w:right w:val="nil"/>
            </w:tcBorders>
            <w:shd w:val="clear" w:color="auto" w:fill="auto"/>
            <w:noWrap/>
            <w:vAlign w:val="bottom"/>
            <w:hideMark/>
          </w:tcPr>
          <w:p w14:paraId="6CA67A8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56,4%</w:t>
            </w:r>
          </w:p>
        </w:tc>
      </w:tr>
      <w:tr w:rsidR="00C21744" w:rsidRPr="00AE4E8D" w14:paraId="21AD1D62" w14:textId="77777777" w:rsidTr="000400C8">
        <w:trPr>
          <w:trHeight w:val="240"/>
        </w:trPr>
        <w:tc>
          <w:tcPr>
            <w:tcW w:w="2818" w:type="pct"/>
            <w:tcBorders>
              <w:top w:val="nil"/>
              <w:left w:val="nil"/>
              <w:bottom w:val="nil"/>
              <w:right w:val="nil"/>
            </w:tcBorders>
            <w:shd w:val="clear" w:color="auto" w:fill="auto"/>
            <w:noWrap/>
            <w:vAlign w:val="bottom"/>
            <w:hideMark/>
          </w:tcPr>
          <w:p w14:paraId="429E8073" w14:textId="77777777" w:rsidR="00C21744" w:rsidRPr="00AE4E8D" w:rsidRDefault="00C21744" w:rsidP="000400C8">
            <w:pPr>
              <w:ind w:left="284"/>
              <w:rPr>
                <w:rFonts w:ascii="Times New Roman" w:hAnsi="Times New Roman"/>
                <w:color w:val="000000"/>
                <w:sz w:val="18"/>
                <w:szCs w:val="18"/>
                <w:lang w:val="en-US"/>
              </w:rPr>
            </w:pPr>
            <w:r w:rsidRPr="00AE4E8D">
              <w:rPr>
                <w:rFonts w:ascii="Times New Roman" w:hAnsi="Times New Roman"/>
                <w:color w:val="000000"/>
                <w:sz w:val="18"/>
                <w:szCs w:val="18"/>
                <w:lang w:val="en-US"/>
              </w:rPr>
              <w:t>bonos subordinados</w:t>
            </w:r>
          </w:p>
        </w:tc>
        <w:tc>
          <w:tcPr>
            <w:tcW w:w="762" w:type="pct"/>
            <w:tcBorders>
              <w:top w:val="nil"/>
              <w:left w:val="nil"/>
              <w:bottom w:val="nil"/>
              <w:right w:val="nil"/>
            </w:tcBorders>
            <w:shd w:val="clear" w:color="000000" w:fill="FFFFFF"/>
            <w:noWrap/>
            <w:vAlign w:val="bottom"/>
            <w:hideMark/>
          </w:tcPr>
          <w:p w14:paraId="55B29DA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10,6</w:t>
            </w:r>
          </w:p>
        </w:tc>
        <w:tc>
          <w:tcPr>
            <w:tcW w:w="762" w:type="pct"/>
            <w:tcBorders>
              <w:top w:val="nil"/>
              <w:left w:val="nil"/>
              <w:bottom w:val="nil"/>
              <w:right w:val="nil"/>
            </w:tcBorders>
            <w:shd w:val="clear" w:color="000000" w:fill="FFFFFF"/>
            <w:noWrap/>
            <w:vAlign w:val="bottom"/>
            <w:hideMark/>
          </w:tcPr>
          <w:p w14:paraId="4056323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w:t>
            </w:r>
          </w:p>
        </w:tc>
        <w:tc>
          <w:tcPr>
            <w:tcW w:w="658" w:type="pct"/>
            <w:tcBorders>
              <w:top w:val="nil"/>
              <w:left w:val="nil"/>
              <w:bottom w:val="nil"/>
              <w:right w:val="nil"/>
            </w:tcBorders>
            <w:shd w:val="clear" w:color="auto" w:fill="auto"/>
            <w:noWrap/>
            <w:vAlign w:val="bottom"/>
            <w:hideMark/>
          </w:tcPr>
          <w:p w14:paraId="45D1EE3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NM</w:t>
            </w:r>
          </w:p>
        </w:tc>
      </w:tr>
      <w:tr w:rsidR="00C21744" w:rsidRPr="00AE4E8D" w14:paraId="565A3928" w14:textId="77777777" w:rsidTr="000400C8">
        <w:trPr>
          <w:trHeight w:val="240"/>
        </w:trPr>
        <w:tc>
          <w:tcPr>
            <w:tcW w:w="2818" w:type="pct"/>
            <w:tcBorders>
              <w:top w:val="nil"/>
              <w:left w:val="nil"/>
              <w:bottom w:val="nil"/>
              <w:right w:val="nil"/>
            </w:tcBorders>
            <w:shd w:val="clear" w:color="auto" w:fill="auto"/>
            <w:noWrap/>
            <w:vAlign w:val="bottom"/>
            <w:hideMark/>
          </w:tcPr>
          <w:p w14:paraId="094D0B2D"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intereses  </w:t>
            </w:r>
          </w:p>
        </w:tc>
        <w:tc>
          <w:tcPr>
            <w:tcW w:w="762" w:type="pct"/>
            <w:tcBorders>
              <w:top w:val="nil"/>
              <w:left w:val="nil"/>
              <w:bottom w:val="nil"/>
              <w:right w:val="nil"/>
            </w:tcBorders>
            <w:shd w:val="clear" w:color="000000" w:fill="FFFFFF"/>
            <w:noWrap/>
            <w:vAlign w:val="bottom"/>
            <w:hideMark/>
          </w:tcPr>
          <w:p w14:paraId="6BB2774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188,9</w:t>
            </w:r>
          </w:p>
        </w:tc>
        <w:tc>
          <w:tcPr>
            <w:tcW w:w="762" w:type="pct"/>
            <w:tcBorders>
              <w:top w:val="nil"/>
              <w:left w:val="nil"/>
              <w:bottom w:val="nil"/>
              <w:right w:val="nil"/>
            </w:tcBorders>
            <w:shd w:val="clear" w:color="000000" w:fill="FFFFFF"/>
            <w:noWrap/>
            <w:vAlign w:val="bottom"/>
            <w:hideMark/>
          </w:tcPr>
          <w:p w14:paraId="3896553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152,1</w:t>
            </w:r>
          </w:p>
        </w:tc>
        <w:tc>
          <w:tcPr>
            <w:tcW w:w="658" w:type="pct"/>
            <w:tcBorders>
              <w:top w:val="nil"/>
              <w:left w:val="nil"/>
              <w:bottom w:val="nil"/>
              <w:right w:val="nil"/>
            </w:tcBorders>
            <w:shd w:val="clear" w:color="auto" w:fill="auto"/>
            <w:noWrap/>
            <w:vAlign w:val="bottom"/>
            <w:hideMark/>
          </w:tcPr>
          <w:p w14:paraId="7A4F7C2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24,2%</w:t>
            </w:r>
          </w:p>
        </w:tc>
      </w:tr>
      <w:tr w:rsidR="00C21744" w:rsidRPr="00AE4E8D" w14:paraId="3B47A27A" w14:textId="77777777" w:rsidTr="000400C8">
        <w:trPr>
          <w:trHeight w:val="240"/>
        </w:trPr>
        <w:tc>
          <w:tcPr>
            <w:tcW w:w="2818" w:type="pct"/>
            <w:tcBorders>
              <w:top w:val="nil"/>
              <w:left w:val="nil"/>
              <w:bottom w:val="nil"/>
              <w:right w:val="nil"/>
            </w:tcBorders>
            <w:shd w:val="clear" w:color="auto" w:fill="auto"/>
            <w:noWrap/>
            <w:vAlign w:val="bottom"/>
            <w:hideMark/>
          </w:tcPr>
          <w:p w14:paraId="5E4FA9D7"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Diferencias de cotización de oro y moneda extranjera  </w:t>
            </w:r>
          </w:p>
        </w:tc>
        <w:tc>
          <w:tcPr>
            <w:tcW w:w="762" w:type="pct"/>
            <w:tcBorders>
              <w:top w:val="nil"/>
              <w:left w:val="nil"/>
              <w:bottom w:val="nil"/>
              <w:right w:val="nil"/>
            </w:tcBorders>
            <w:shd w:val="clear" w:color="000000" w:fill="FFFFFF"/>
            <w:noWrap/>
            <w:vAlign w:val="bottom"/>
            <w:hideMark/>
          </w:tcPr>
          <w:p w14:paraId="3133960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198,1</w:t>
            </w:r>
          </w:p>
        </w:tc>
        <w:tc>
          <w:tcPr>
            <w:tcW w:w="762" w:type="pct"/>
            <w:tcBorders>
              <w:top w:val="nil"/>
              <w:left w:val="nil"/>
              <w:bottom w:val="nil"/>
              <w:right w:val="nil"/>
            </w:tcBorders>
            <w:shd w:val="clear" w:color="000000" w:fill="FFFFFF"/>
            <w:noWrap/>
            <w:vAlign w:val="bottom"/>
            <w:hideMark/>
          </w:tcPr>
          <w:p w14:paraId="230FDDE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108,9</w:t>
            </w:r>
          </w:p>
        </w:tc>
        <w:tc>
          <w:tcPr>
            <w:tcW w:w="658" w:type="pct"/>
            <w:tcBorders>
              <w:top w:val="nil"/>
              <w:left w:val="nil"/>
              <w:bottom w:val="nil"/>
              <w:right w:val="nil"/>
            </w:tcBorders>
            <w:shd w:val="clear" w:color="auto" w:fill="auto"/>
            <w:noWrap/>
            <w:vAlign w:val="bottom"/>
            <w:hideMark/>
          </w:tcPr>
          <w:p w14:paraId="32C1438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81,9%</w:t>
            </w:r>
          </w:p>
        </w:tc>
      </w:tr>
      <w:tr w:rsidR="00C21744" w:rsidRPr="00AE4E8D" w14:paraId="727F48CA" w14:textId="77777777" w:rsidTr="000400C8">
        <w:trPr>
          <w:trHeight w:val="240"/>
        </w:trPr>
        <w:tc>
          <w:tcPr>
            <w:tcW w:w="2818" w:type="pct"/>
            <w:tcBorders>
              <w:top w:val="nil"/>
              <w:left w:val="nil"/>
              <w:bottom w:val="nil"/>
              <w:right w:val="nil"/>
            </w:tcBorders>
            <w:shd w:val="clear" w:color="auto" w:fill="auto"/>
            <w:noWrap/>
            <w:vAlign w:val="bottom"/>
            <w:hideMark/>
          </w:tcPr>
          <w:p w14:paraId="4630EA67"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Aporte al fondo de garantía de los depósitos  </w:t>
            </w:r>
          </w:p>
        </w:tc>
        <w:tc>
          <w:tcPr>
            <w:tcW w:w="762" w:type="pct"/>
            <w:tcBorders>
              <w:top w:val="nil"/>
              <w:left w:val="nil"/>
              <w:bottom w:val="nil"/>
              <w:right w:val="nil"/>
            </w:tcBorders>
            <w:shd w:val="clear" w:color="000000" w:fill="FFFFFF"/>
            <w:noWrap/>
            <w:vAlign w:val="bottom"/>
            <w:hideMark/>
          </w:tcPr>
          <w:p w14:paraId="5D9D413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122,8</w:t>
            </w:r>
          </w:p>
        </w:tc>
        <w:tc>
          <w:tcPr>
            <w:tcW w:w="762" w:type="pct"/>
            <w:tcBorders>
              <w:top w:val="nil"/>
              <w:left w:val="nil"/>
              <w:bottom w:val="nil"/>
              <w:right w:val="nil"/>
            </w:tcBorders>
            <w:shd w:val="clear" w:color="000000" w:fill="FFFFFF"/>
            <w:noWrap/>
            <w:vAlign w:val="bottom"/>
            <w:hideMark/>
          </w:tcPr>
          <w:p w14:paraId="74DBC5F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35,1</w:t>
            </w:r>
          </w:p>
        </w:tc>
        <w:tc>
          <w:tcPr>
            <w:tcW w:w="658" w:type="pct"/>
            <w:tcBorders>
              <w:top w:val="nil"/>
              <w:left w:val="nil"/>
              <w:bottom w:val="nil"/>
              <w:right w:val="nil"/>
            </w:tcBorders>
            <w:shd w:val="clear" w:color="auto" w:fill="auto"/>
            <w:noWrap/>
            <w:vAlign w:val="bottom"/>
            <w:hideMark/>
          </w:tcPr>
          <w:p w14:paraId="2E46F05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NM</w:t>
            </w:r>
          </w:p>
        </w:tc>
      </w:tr>
      <w:tr w:rsidR="00C21744" w:rsidRPr="00AE4E8D" w14:paraId="3BCD2314" w14:textId="77777777" w:rsidTr="000400C8">
        <w:trPr>
          <w:trHeight w:val="255"/>
        </w:trPr>
        <w:tc>
          <w:tcPr>
            <w:tcW w:w="2818" w:type="pct"/>
            <w:tcBorders>
              <w:top w:val="nil"/>
              <w:left w:val="nil"/>
              <w:bottom w:val="nil"/>
              <w:right w:val="nil"/>
            </w:tcBorders>
            <w:shd w:val="clear" w:color="auto" w:fill="auto"/>
            <w:noWrap/>
            <w:vAlign w:val="bottom"/>
            <w:hideMark/>
          </w:tcPr>
          <w:p w14:paraId="18187202"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762" w:type="pct"/>
            <w:tcBorders>
              <w:top w:val="nil"/>
              <w:left w:val="nil"/>
              <w:bottom w:val="nil"/>
              <w:right w:val="nil"/>
            </w:tcBorders>
            <w:shd w:val="clear" w:color="000000" w:fill="FFFFFF"/>
            <w:noWrap/>
            <w:vAlign w:val="bottom"/>
            <w:hideMark/>
          </w:tcPr>
          <w:p w14:paraId="7CDA7DA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541,8</w:t>
            </w:r>
          </w:p>
        </w:tc>
        <w:tc>
          <w:tcPr>
            <w:tcW w:w="762" w:type="pct"/>
            <w:tcBorders>
              <w:top w:val="nil"/>
              <w:left w:val="nil"/>
              <w:bottom w:val="nil"/>
              <w:right w:val="nil"/>
            </w:tcBorders>
            <w:shd w:val="clear" w:color="000000" w:fill="FFFFFF"/>
            <w:noWrap/>
            <w:vAlign w:val="bottom"/>
            <w:hideMark/>
          </w:tcPr>
          <w:p w14:paraId="65147CF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466,6</w:t>
            </w:r>
          </w:p>
        </w:tc>
        <w:tc>
          <w:tcPr>
            <w:tcW w:w="658" w:type="pct"/>
            <w:tcBorders>
              <w:top w:val="nil"/>
              <w:left w:val="nil"/>
              <w:bottom w:val="nil"/>
              <w:right w:val="nil"/>
            </w:tcBorders>
            <w:shd w:val="clear" w:color="auto" w:fill="auto"/>
            <w:noWrap/>
            <w:vAlign w:val="bottom"/>
            <w:hideMark/>
          </w:tcPr>
          <w:p w14:paraId="5E09DF6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16,1%</w:t>
            </w:r>
          </w:p>
        </w:tc>
      </w:tr>
      <w:tr w:rsidR="003B5193" w:rsidRPr="00AE4E8D" w14:paraId="299A5306" w14:textId="77777777" w:rsidTr="002E5441">
        <w:trPr>
          <w:trHeight w:val="255"/>
        </w:trPr>
        <w:tc>
          <w:tcPr>
            <w:tcW w:w="2818" w:type="pct"/>
            <w:tcBorders>
              <w:top w:val="nil"/>
              <w:left w:val="nil"/>
              <w:bottom w:val="nil"/>
              <w:right w:val="nil"/>
            </w:tcBorders>
            <w:shd w:val="clear" w:color="auto" w:fill="auto"/>
            <w:noWrap/>
            <w:vAlign w:val="bottom"/>
            <w:hideMark/>
          </w:tcPr>
          <w:p w14:paraId="47C77EDF" w14:textId="77777777" w:rsidR="00C21744" w:rsidRPr="00AE4E8D" w:rsidRDefault="00C21744" w:rsidP="00C21744">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 xml:space="preserve">Total egresos financieros  </w:t>
            </w:r>
          </w:p>
        </w:tc>
        <w:tc>
          <w:tcPr>
            <w:tcW w:w="762" w:type="pct"/>
            <w:tcBorders>
              <w:top w:val="single" w:sz="8" w:space="0" w:color="auto"/>
              <w:left w:val="nil"/>
              <w:bottom w:val="single" w:sz="8" w:space="0" w:color="auto"/>
              <w:right w:val="nil"/>
            </w:tcBorders>
            <w:shd w:val="clear" w:color="000000" w:fill="FFFFFF"/>
            <w:noWrap/>
            <w:vAlign w:val="bottom"/>
            <w:hideMark/>
          </w:tcPr>
          <w:p w14:paraId="4B5B0B3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4.212,1</w:t>
            </w:r>
          </w:p>
        </w:tc>
        <w:tc>
          <w:tcPr>
            <w:tcW w:w="762" w:type="pct"/>
            <w:tcBorders>
              <w:top w:val="single" w:sz="8" w:space="0" w:color="auto"/>
              <w:left w:val="nil"/>
              <w:bottom w:val="single" w:sz="8" w:space="0" w:color="auto"/>
              <w:right w:val="nil"/>
            </w:tcBorders>
            <w:shd w:val="clear" w:color="000000" w:fill="FFFFFF"/>
            <w:noWrap/>
            <w:vAlign w:val="bottom"/>
            <w:hideMark/>
          </w:tcPr>
          <w:p w14:paraId="7ECA7E3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2.973,3</w:t>
            </w:r>
          </w:p>
        </w:tc>
        <w:tc>
          <w:tcPr>
            <w:tcW w:w="658" w:type="pct"/>
            <w:tcBorders>
              <w:top w:val="single" w:sz="8" w:space="0" w:color="auto"/>
              <w:left w:val="nil"/>
              <w:bottom w:val="single" w:sz="8" w:space="0" w:color="auto"/>
              <w:right w:val="nil"/>
            </w:tcBorders>
            <w:shd w:val="clear" w:color="auto" w:fill="auto"/>
            <w:noWrap/>
            <w:vAlign w:val="bottom"/>
            <w:hideMark/>
          </w:tcPr>
          <w:p w14:paraId="3959157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41,7%</w:t>
            </w:r>
          </w:p>
        </w:tc>
      </w:tr>
    </w:tbl>
    <w:p w14:paraId="206FD543" w14:textId="77777777" w:rsidR="00C21744" w:rsidRPr="00AE4E8D" w:rsidRDefault="00C21744" w:rsidP="002E5441">
      <w:pPr>
        <w:pStyle w:val="BHTexto"/>
        <w:rPr>
          <w:rFonts w:eastAsia="Calibri"/>
        </w:rPr>
      </w:pPr>
      <w:r w:rsidRPr="00AE4E8D">
        <w:rPr>
          <w:rFonts w:eastAsia="Calibri"/>
        </w:rPr>
        <w:t>La siguiente tabla muestra los efectos de los cambios en el volumen promedio de los pasivos que generan intereses y tasa de interés promedio entre los ejercicios finalizados el 31 de diciembre de 2014 y 2015</w:t>
      </w:r>
      <w:r w:rsidR="00322493" w:rsidRPr="00AE4E8D">
        <w:rPr>
          <w:rFonts w:eastAsia="Calibri"/>
          <w:lang w:val="es-ES"/>
        </w:rPr>
        <w:t>. Véase “Información estadística seleccionada - Cambios en los Ingresos y Egresos Netos por Intereses - Análisis del Volumen y la Tasa”</w:t>
      </w:r>
      <w:r w:rsidRPr="00AE4E8D">
        <w:rPr>
          <w:rFonts w:eastAsia="Calibri"/>
        </w:rPr>
        <w:t>:</w:t>
      </w:r>
    </w:p>
    <w:tbl>
      <w:tblPr>
        <w:tblW w:w="5000" w:type="pct"/>
        <w:jc w:val="center"/>
        <w:tblLook w:val="04A0" w:firstRow="1" w:lastRow="0" w:firstColumn="1" w:lastColumn="0" w:noHBand="0" w:noVBand="1"/>
      </w:tblPr>
      <w:tblGrid>
        <w:gridCol w:w="5462"/>
        <w:gridCol w:w="3259"/>
      </w:tblGrid>
      <w:tr w:rsidR="00C21744" w:rsidRPr="00AE4E8D" w14:paraId="59DB8A54" w14:textId="77777777" w:rsidTr="000400C8">
        <w:trPr>
          <w:trHeight w:val="300"/>
          <w:jc w:val="center"/>
        </w:trPr>
        <w:tc>
          <w:tcPr>
            <w:tcW w:w="3133" w:type="pct"/>
            <w:tcBorders>
              <w:top w:val="nil"/>
              <w:left w:val="nil"/>
              <w:bottom w:val="nil"/>
              <w:right w:val="nil"/>
            </w:tcBorders>
            <w:noWrap/>
            <w:vAlign w:val="bottom"/>
            <w:hideMark/>
          </w:tcPr>
          <w:p w14:paraId="7D553B23" w14:textId="77777777" w:rsidR="00C21744" w:rsidRPr="00AE4E8D" w:rsidRDefault="00C21744" w:rsidP="005370B2">
            <w:pPr>
              <w:keepNext/>
              <w:keepLines/>
              <w:rPr>
                <w:rFonts w:ascii="Times New Roman" w:hAnsi="Times New Roman"/>
                <w:sz w:val="18"/>
                <w:szCs w:val="18"/>
                <w:lang w:val="es-ES" w:eastAsia="es-AR"/>
              </w:rPr>
            </w:pPr>
          </w:p>
        </w:tc>
        <w:tc>
          <w:tcPr>
            <w:tcW w:w="1867" w:type="pct"/>
            <w:tcBorders>
              <w:top w:val="single" w:sz="4" w:space="0" w:color="auto"/>
              <w:left w:val="nil"/>
              <w:bottom w:val="single" w:sz="4" w:space="0" w:color="auto"/>
              <w:right w:val="nil"/>
            </w:tcBorders>
            <w:noWrap/>
            <w:vAlign w:val="bottom"/>
            <w:hideMark/>
          </w:tcPr>
          <w:p w14:paraId="49CA98B6" w14:textId="77777777" w:rsidR="00C21744" w:rsidRPr="00AE4E8D" w:rsidRDefault="00C21744" w:rsidP="005370B2">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 xml:space="preserve">Aumento/(Disminución) </w:t>
            </w:r>
          </w:p>
          <w:p w14:paraId="7C5166A4" w14:textId="77777777" w:rsidR="00C21744" w:rsidRPr="00AE4E8D" w:rsidRDefault="00C21744" w:rsidP="005370B2">
            <w:pPr>
              <w:keepNext/>
              <w:keepLines/>
              <w:jc w:val="center"/>
              <w:rPr>
                <w:rFonts w:ascii="Times New Roman" w:hAnsi="Times New Roman"/>
                <w:b/>
                <w:bCs/>
                <w:sz w:val="18"/>
                <w:szCs w:val="18"/>
                <w:lang w:val="es-ES" w:eastAsia="es-AR"/>
              </w:rPr>
            </w:pPr>
            <w:r w:rsidRPr="00AE4E8D">
              <w:rPr>
                <w:rFonts w:ascii="Times New Roman" w:hAnsi="Times New Roman"/>
                <w:b/>
                <w:bCs/>
                <w:sz w:val="18"/>
                <w:szCs w:val="18"/>
                <w:lang w:val="es-ES" w:eastAsia="es-AR"/>
              </w:rPr>
              <w:t>31 de diciembre de 2014/ 31 de diciembre de 2015</w:t>
            </w:r>
          </w:p>
        </w:tc>
      </w:tr>
      <w:tr w:rsidR="00C21744" w:rsidRPr="00AE4E8D" w14:paraId="39F268D3" w14:textId="77777777" w:rsidTr="000400C8">
        <w:trPr>
          <w:trHeight w:val="300"/>
          <w:jc w:val="center"/>
        </w:trPr>
        <w:tc>
          <w:tcPr>
            <w:tcW w:w="3133" w:type="pct"/>
            <w:tcBorders>
              <w:top w:val="nil"/>
              <w:left w:val="nil"/>
              <w:bottom w:val="nil"/>
              <w:right w:val="nil"/>
            </w:tcBorders>
            <w:noWrap/>
            <w:vAlign w:val="bottom"/>
            <w:hideMark/>
          </w:tcPr>
          <w:p w14:paraId="56568FF5" w14:textId="77777777" w:rsidR="00C21744" w:rsidRPr="00AE4E8D" w:rsidRDefault="00C21744" w:rsidP="005370B2">
            <w:pPr>
              <w:keepNext/>
              <w:keepLines/>
              <w:rPr>
                <w:rFonts w:ascii="Times New Roman" w:hAnsi="Times New Roman"/>
                <w:sz w:val="18"/>
                <w:szCs w:val="18"/>
                <w:lang w:val="es-ES" w:eastAsia="es-AR"/>
              </w:rPr>
            </w:pPr>
          </w:p>
        </w:tc>
        <w:tc>
          <w:tcPr>
            <w:tcW w:w="1867" w:type="pct"/>
            <w:tcBorders>
              <w:top w:val="single" w:sz="4" w:space="0" w:color="auto"/>
              <w:left w:val="nil"/>
              <w:right w:val="nil"/>
            </w:tcBorders>
            <w:noWrap/>
            <w:vAlign w:val="bottom"/>
            <w:hideMark/>
          </w:tcPr>
          <w:p w14:paraId="51DD82DE" w14:textId="77777777" w:rsidR="00C21744" w:rsidRPr="00AE4E8D" w:rsidRDefault="00C21744" w:rsidP="005370B2">
            <w:pPr>
              <w:keepNext/>
              <w:keepLines/>
              <w:jc w:val="center"/>
              <w:rPr>
                <w:rFonts w:ascii="Times New Roman" w:hAnsi="Times New Roman"/>
                <w:sz w:val="18"/>
                <w:szCs w:val="18"/>
                <w:lang w:val="es-ES" w:eastAsia="es-AR"/>
              </w:rPr>
            </w:pPr>
            <w:r w:rsidRPr="00AE4E8D">
              <w:rPr>
                <w:rFonts w:ascii="Times New Roman" w:hAnsi="Times New Roman"/>
                <w:sz w:val="18"/>
                <w:szCs w:val="18"/>
                <w:lang w:val="es-ES" w:eastAsia="es-AR"/>
              </w:rPr>
              <w:t>(</w:t>
            </w:r>
            <w:proofErr w:type="gramStart"/>
            <w:r w:rsidRPr="00AE4E8D">
              <w:rPr>
                <w:rFonts w:ascii="Times New Roman" w:hAnsi="Times New Roman"/>
                <w:sz w:val="18"/>
                <w:szCs w:val="18"/>
                <w:lang w:val="es-ES" w:eastAsia="es-AR"/>
              </w:rPr>
              <w:t>en</w:t>
            </w:r>
            <w:proofErr w:type="gramEnd"/>
            <w:r w:rsidRPr="00AE4E8D">
              <w:rPr>
                <w:rFonts w:ascii="Times New Roman" w:hAnsi="Times New Roman"/>
                <w:sz w:val="18"/>
                <w:szCs w:val="18"/>
                <w:lang w:val="es-ES" w:eastAsia="es-AR"/>
              </w:rPr>
              <w:t xml:space="preserve"> millones de Ps.)</w:t>
            </w:r>
          </w:p>
        </w:tc>
      </w:tr>
      <w:tr w:rsidR="00C21744" w:rsidRPr="00AE4E8D" w14:paraId="1BE03E31" w14:textId="77777777" w:rsidTr="000400C8">
        <w:trPr>
          <w:trHeight w:val="240"/>
          <w:jc w:val="center"/>
        </w:trPr>
        <w:tc>
          <w:tcPr>
            <w:tcW w:w="3133" w:type="pct"/>
            <w:tcBorders>
              <w:top w:val="nil"/>
              <w:left w:val="nil"/>
              <w:bottom w:val="nil"/>
              <w:right w:val="nil"/>
            </w:tcBorders>
            <w:noWrap/>
            <w:hideMark/>
          </w:tcPr>
          <w:p w14:paraId="23AC28E4" w14:textId="77777777" w:rsidR="00C21744" w:rsidRPr="00AE4E8D" w:rsidRDefault="00C21744" w:rsidP="005370B2">
            <w:pPr>
              <w:keepNext/>
              <w:keepLines/>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 xml:space="preserve">Debido a variaciones en el volumen promedio de pasivos que </w:t>
            </w:r>
          </w:p>
          <w:p w14:paraId="1EA97C2F" w14:textId="77777777" w:rsidR="00C21744" w:rsidRPr="00AE4E8D" w:rsidRDefault="00C21744" w:rsidP="005370B2">
            <w:pPr>
              <w:keepNext/>
              <w:keepLines/>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devengan intereses</w:t>
            </w:r>
            <w:r w:rsidRPr="00AE4E8D">
              <w:rPr>
                <w:rFonts w:ascii="Times New Roman" w:eastAsia="Calibri" w:hAnsi="Times New Roman"/>
                <w:sz w:val="18"/>
                <w:szCs w:val="18"/>
                <w:lang w:val="es-ES" w:eastAsia="es-AR"/>
              </w:rPr>
              <w:tab/>
            </w:r>
          </w:p>
        </w:tc>
        <w:tc>
          <w:tcPr>
            <w:tcW w:w="1867" w:type="pct"/>
            <w:tcBorders>
              <w:left w:val="nil"/>
              <w:right w:val="nil"/>
            </w:tcBorders>
            <w:shd w:val="clear" w:color="000000" w:fill="FFFFFF"/>
            <w:noWrap/>
            <w:vAlign w:val="bottom"/>
          </w:tcPr>
          <w:p w14:paraId="670DEA3E" w14:textId="77777777" w:rsidR="00C21744" w:rsidRPr="00AE4E8D" w:rsidRDefault="00C21744" w:rsidP="005370B2">
            <w:pPr>
              <w:keepNext/>
              <w:keepLines/>
              <w:jc w:val="right"/>
              <w:rPr>
                <w:rFonts w:ascii="Times New Roman" w:eastAsia="Calibri" w:hAnsi="Times New Roman"/>
                <w:sz w:val="18"/>
                <w:szCs w:val="18"/>
                <w:lang w:val="es-ES" w:eastAsia="es-AR"/>
              </w:rPr>
            </w:pPr>
            <w:r w:rsidRPr="00AE4E8D">
              <w:rPr>
                <w:rFonts w:ascii="Times New Roman" w:eastAsia="Calibri" w:hAnsi="Times New Roman"/>
                <w:sz w:val="18"/>
                <w:szCs w:val="18"/>
                <w:lang w:val="es-ES" w:eastAsia="es-AR"/>
              </w:rPr>
              <w:t>1.160,1</w:t>
            </w:r>
          </w:p>
        </w:tc>
      </w:tr>
      <w:tr w:rsidR="00C21744" w:rsidRPr="00AE4E8D" w14:paraId="12F943E6" w14:textId="77777777" w:rsidTr="000400C8">
        <w:trPr>
          <w:trHeight w:val="240"/>
          <w:jc w:val="center"/>
        </w:trPr>
        <w:tc>
          <w:tcPr>
            <w:tcW w:w="3133" w:type="pct"/>
            <w:tcBorders>
              <w:top w:val="nil"/>
              <w:left w:val="nil"/>
              <w:bottom w:val="nil"/>
              <w:right w:val="nil"/>
            </w:tcBorders>
            <w:noWrap/>
            <w:hideMark/>
          </w:tcPr>
          <w:p w14:paraId="04BEA656" w14:textId="77777777" w:rsidR="00C21744" w:rsidRPr="00AE4E8D" w:rsidRDefault="00C21744" w:rsidP="005370B2">
            <w:pPr>
              <w:keepNext/>
              <w:keepLines/>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Debido a variaciones en las tasas nominales de interés promedio</w:t>
            </w:r>
            <w:r w:rsidRPr="00AE4E8D">
              <w:rPr>
                <w:rFonts w:ascii="Times New Roman" w:eastAsia="Calibri" w:hAnsi="Times New Roman"/>
                <w:sz w:val="18"/>
                <w:szCs w:val="18"/>
                <w:lang w:val="es-ES" w:eastAsia="es-AR"/>
              </w:rPr>
              <w:tab/>
            </w:r>
          </w:p>
        </w:tc>
        <w:tc>
          <w:tcPr>
            <w:tcW w:w="1867" w:type="pct"/>
            <w:tcBorders>
              <w:top w:val="nil"/>
              <w:left w:val="nil"/>
              <w:bottom w:val="single" w:sz="4" w:space="0" w:color="auto"/>
              <w:right w:val="nil"/>
            </w:tcBorders>
            <w:shd w:val="clear" w:color="000000" w:fill="FFFFFF"/>
            <w:noWrap/>
            <w:vAlign w:val="bottom"/>
          </w:tcPr>
          <w:p w14:paraId="20FFDE20" w14:textId="77777777" w:rsidR="00C21744" w:rsidRPr="00AE4E8D" w:rsidRDefault="00C21744" w:rsidP="005370B2">
            <w:pPr>
              <w:keepNext/>
              <w:keepLines/>
              <w:jc w:val="right"/>
              <w:rPr>
                <w:rFonts w:ascii="Times New Roman" w:eastAsia="Calibri" w:hAnsi="Times New Roman"/>
                <w:sz w:val="18"/>
                <w:szCs w:val="18"/>
                <w:lang w:val="es-ES" w:eastAsia="es-AR"/>
              </w:rPr>
            </w:pPr>
            <w:r w:rsidRPr="00AE4E8D">
              <w:rPr>
                <w:rFonts w:ascii="Times New Roman" w:eastAsia="Calibri" w:hAnsi="Times New Roman"/>
                <w:sz w:val="18"/>
                <w:szCs w:val="18"/>
                <w:lang w:val="es-ES" w:eastAsia="es-AR"/>
              </w:rPr>
              <w:t>78,6</w:t>
            </w:r>
          </w:p>
        </w:tc>
      </w:tr>
      <w:tr w:rsidR="00C21744" w:rsidRPr="00AE4E8D" w14:paraId="71FA0871" w14:textId="77777777" w:rsidTr="000400C8">
        <w:trPr>
          <w:trHeight w:val="240"/>
          <w:jc w:val="center"/>
        </w:trPr>
        <w:tc>
          <w:tcPr>
            <w:tcW w:w="3133" w:type="pct"/>
            <w:tcBorders>
              <w:top w:val="nil"/>
              <w:left w:val="nil"/>
              <w:bottom w:val="nil"/>
              <w:right w:val="nil"/>
            </w:tcBorders>
            <w:noWrap/>
            <w:vAlign w:val="bottom"/>
            <w:hideMark/>
          </w:tcPr>
          <w:p w14:paraId="7FAE92F6" w14:textId="77777777" w:rsidR="00C21744" w:rsidRPr="00AE4E8D" w:rsidRDefault="00C21744" w:rsidP="005370B2">
            <w:pPr>
              <w:keepNext/>
              <w:keepLines/>
              <w:tabs>
                <w:tab w:val="left" w:leader="dot" w:pos="6541"/>
              </w:tabs>
              <w:rPr>
                <w:rFonts w:ascii="Times New Roman" w:hAnsi="Times New Roman"/>
                <w:sz w:val="18"/>
                <w:szCs w:val="18"/>
                <w:lang w:val="es-ES" w:eastAsia="es-AR"/>
              </w:rPr>
            </w:pPr>
            <w:r w:rsidRPr="00AE4E8D">
              <w:rPr>
                <w:rFonts w:ascii="Times New Roman" w:hAnsi="Times New Roman"/>
                <w:sz w:val="18"/>
                <w:szCs w:val="18"/>
                <w:lang w:val="es-ES" w:eastAsia="es-AR"/>
              </w:rPr>
              <w:t xml:space="preserve">Variación neta </w:t>
            </w:r>
            <w:r w:rsidRPr="00AE4E8D">
              <w:rPr>
                <w:rFonts w:ascii="Times New Roman" w:eastAsia="Calibri" w:hAnsi="Times New Roman"/>
                <w:sz w:val="18"/>
                <w:szCs w:val="18"/>
                <w:lang w:val="es-ES" w:eastAsia="es-AR"/>
              </w:rPr>
              <w:tab/>
            </w:r>
          </w:p>
        </w:tc>
        <w:tc>
          <w:tcPr>
            <w:tcW w:w="1867" w:type="pct"/>
            <w:tcBorders>
              <w:top w:val="single" w:sz="4" w:space="0" w:color="auto"/>
              <w:left w:val="nil"/>
              <w:bottom w:val="nil"/>
              <w:right w:val="nil"/>
            </w:tcBorders>
            <w:shd w:val="clear" w:color="000000" w:fill="FFFFFF"/>
            <w:noWrap/>
            <w:vAlign w:val="bottom"/>
          </w:tcPr>
          <w:p w14:paraId="6748E159" w14:textId="77777777" w:rsidR="00C21744" w:rsidRPr="00AE4E8D" w:rsidRDefault="00C21744" w:rsidP="005370B2">
            <w:pPr>
              <w:keepNext/>
              <w:keepLines/>
              <w:jc w:val="right"/>
              <w:rPr>
                <w:rFonts w:ascii="Times New Roman" w:eastAsia="Calibri" w:hAnsi="Times New Roman"/>
                <w:sz w:val="18"/>
                <w:szCs w:val="18"/>
                <w:lang w:val="es-ES" w:eastAsia="es-AR"/>
              </w:rPr>
            </w:pPr>
            <w:r w:rsidRPr="00AE4E8D">
              <w:rPr>
                <w:rFonts w:ascii="Times New Roman" w:eastAsia="Calibri" w:hAnsi="Times New Roman"/>
                <w:sz w:val="18"/>
                <w:szCs w:val="18"/>
                <w:lang w:val="es-ES" w:eastAsia="es-AR"/>
              </w:rPr>
              <w:t>1.238,8</w:t>
            </w:r>
          </w:p>
        </w:tc>
      </w:tr>
    </w:tbl>
    <w:p w14:paraId="2022D395" w14:textId="77777777" w:rsidR="00C21744" w:rsidRPr="00AE4E8D" w:rsidRDefault="00C21744" w:rsidP="00C21744">
      <w:pPr>
        <w:autoSpaceDE w:val="0"/>
        <w:autoSpaceDN w:val="0"/>
        <w:adjustRightInd w:val="0"/>
        <w:jc w:val="both"/>
        <w:rPr>
          <w:rFonts w:ascii="Times New Roman" w:eastAsia="Calibri" w:hAnsi="Times New Roman"/>
          <w:sz w:val="16"/>
          <w:lang w:val="es-ES" w:eastAsia="es-AR"/>
        </w:rPr>
      </w:pPr>
    </w:p>
    <w:p w14:paraId="731BD0C5" w14:textId="77777777" w:rsidR="00C21744" w:rsidRPr="00AE4E8D" w:rsidRDefault="00C21744" w:rsidP="00C21744">
      <w:pPr>
        <w:autoSpaceDE w:val="0"/>
        <w:autoSpaceDN w:val="0"/>
        <w:adjustRightInd w:val="0"/>
        <w:jc w:val="both"/>
        <w:rPr>
          <w:rFonts w:ascii="Times New Roman" w:eastAsia="Calibri" w:hAnsi="Times New Roman"/>
          <w:sz w:val="16"/>
          <w:lang w:val="es-ES" w:eastAsia="es-AR"/>
        </w:rPr>
      </w:pPr>
      <w:r w:rsidRPr="00AE4E8D">
        <w:rPr>
          <w:rFonts w:ascii="Times New Roman" w:eastAsia="Calibri" w:hAnsi="Times New Roman"/>
          <w:sz w:val="16"/>
          <w:lang w:val="es-ES" w:eastAsia="es-AR"/>
        </w:rPr>
        <w:t>(*) Fuente: información interna del Banco y sus subsidiarias.</w:t>
      </w:r>
    </w:p>
    <w:p w14:paraId="0D250703" w14:textId="77777777" w:rsidR="00C21744" w:rsidRPr="00AE4E8D" w:rsidRDefault="00C21744" w:rsidP="002E5441">
      <w:pPr>
        <w:pStyle w:val="BHTexto"/>
        <w:rPr>
          <w:rFonts w:eastAsia="Calibri"/>
        </w:rPr>
      </w:pPr>
      <w:r w:rsidRPr="00AE4E8D">
        <w:rPr>
          <w:rFonts w:eastAsia="Calibri"/>
        </w:rPr>
        <w:t xml:space="preserve">Los egresos financieros para el ejercicio finalizado el 31 de diciembre de 2015 aumentaron </w:t>
      </w:r>
      <w:r w:rsidRPr="00AE4E8D">
        <w:rPr>
          <w:rFonts w:eastAsia="Calibri"/>
          <w:lang w:eastAsia="es-AR"/>
        </w:rPr>
        <w:t>41,7</w:t>
      </w:r>
      <w:r w:rsidRPr="00AE4E8D">
        <w:rPr>
          <w:rFonts w:eastAsia="Calibri"/>
        </w:rPr>
        <w:t>%, de Ps.</w:t>
      </w:r>
      <w:r w:rsidRPr="00AE4E8D">
        <w:rPr>
          <w:rFonts w:eastAsia="Calibri"/>
          <w:lang w:eastAsia="es-AR"/>
        </w:rPr>
        <w:t>2.973,3</w:t>
      </w:r>
      <w:r w:rsidRPr="00AE4E8D">
        <w:rPr>
          <w:rFonts w:eastAsia="Calibri"/>
        </w:rPr>
        <w:t xml:space="preserve"> millones al 31 de diciembre de 2014 a Ps.</w:t>
      </w:r>
      <w:r w:rsidRPr="00AE4E8D">
        <w:rPr>
          <w:rFonts w:eastAsia="Calibri"/>
          <w:lang w:eastAsia="es-AR"/>
        </w:rPr>
        <w:t>4.212,1</w:t>
      </w:r>
      <w:r w:rsidRPr="00AE4E8D">
        <w:rPr>
          <w:rFonts w:eastAsia="Calibri"/>
        </w:rPr>
        <w:t xml:space="preserve"> millones al 31 de diciembre de 2015, principalmente como resultado de un aumento del </w:t>
      </w:r>
      <w:r w:rsidRPr="00AE4E8D">
        <w:rPr>
          <w:rFonts w:eastAsia="Calibri"/>
          <w:lang w:eastAsia="es-AR"/>
        </w:rPr>
        <w:t>34,2</w:t>
      </w:r>
      <w:r w:rsidRPr="00AE4E8D">
        <w:rPr>
          <w:rFonts w:eastAsia="Calibri"/>
        </w:rPr>
        <w:t>% en los saldos promedio de los pasivos que devengan interés, de Ps.</w:t>
      </w:r>
      <w:r w:rsidRPr="00AE4E8D">
        <w:rPr>
          <w:rFonts w:eastAsia="Calibri"/>
          <w:lang w:eastAsia="es-AR"/>
        </w:rPr>
        <w:t>15.520,5</w:t>
      </w:r>
      <w:r w:rsidRPr="00AE4E8D">
        <w:rPr>
          <w:rFonts w:eastAsia="Calibri"/>
        </w:rPr>
        <w:t xml:space="preserve"> millones al 31 de diciembre de 2014 a Ps.</w:t>
      </w:r>
      <w:r w:rsidRPr="00AE4E8D">
        <w:rPr>
          <w:rFonts w:eastAsia="Calibri"/>
          <w:lang w:eastAsia="es-AR"/>
        </w:rPr>
        <w:t>20.827,3</w:t>
      </w:r>
      <w:r w:rsidRPr="00AE4E8D">
        <w:rPr>
          <w:rFonts w:eastAsia="Calibri"/>
        </w:rPr>
        <w:t xml:space="preserve"> millones al 31 de diciembre de 2015, y </w:t>
      </w:r>
      <w:r w:rsidRPr="00AE4E8D">
        <w:rPr>
          <w:rFonts w:eastAsia="Calibri"/>
          <w:lang w:eastAsia="es-AR"/>
        </w:rPr>
        <w:t>un aumento</w:t>
      </w:r>
      <w:r w:rsidRPr="00AE4E8D">
        <w:rPr>
          <w:rFonts w:eastAsia="Calibri"/>
        </w:rPr>
        <w:t xml:space="preserve"> del </w:t>
      </w:r>
      <w:r w:rsidRPr="00AE4E8D">
        <w:rPr>
          <w:rFonts w:eastAsia="Calibri"/>
          <w:lang w:eastAsia="es-AR"/>
        </w:rPr>
        <w:t>1,6</w:t>
      </w:r>
      <w:r w:rsidRPr="00AE4E8D">
        <w:rPr>
          <w:rFonts w:eastAsia="Calibri"/>
        </w:rPr>
        <w:t xml:space="preserve">% en los intereses promedio pagados, del </w:t>
      </w:r>
      <w:r w:rsidRPr="00AE4E8D">
        <w:rPr>
          <w:rFonts w:eastAsia="Calibri"/>
          <w:lang w:eastAsia="es-AR"/>
        </w:rPr>
        <w:t>16,5</w:t>
      </w:r>
      <w:r w:rsidRPr="00AE4E8D">
        <w:rPr>
          <w:rFonts w:eastAsia="Calibri"/>
        </w:rPr>
        <w:t>% al 31 de diciembre de 2014 al 16,8% al 31 de diciembre de 2015.</w:t>
      </w:r>
    </w:p>
    <w:p w14:paraId="608AB1DD" w14:textId="77777777" w:rsidR="00C21744" w:rsidRPr="00AE4E8D" w:rsidRDefault="00C21744" w:rsidP="002E5441">
      <w:pPr>
        <w:pStyle w:val="BHTexto"/>
        <w:rPr>
          <w:rFonts w:eastAsia="Calibri"/>
        </w:rPr>
      </w:pPr>
      <w:r w:rsidRPr="00AE4E8D">
        <w:rPr>
          <w:rFonts w:eastAsia="Calibri"/>
        </w:rPr>
        <w:t>Este aumento de los egresos financieros se debió a:</w:t>
      </w:r>
    </w:p>
    <w:p w14:paraId="43D658D5" w14:textId="77777777" w:rsidR="00C21744" w:rsidRPr="00AE4E8D" w:rsidRDefault="00C21744" w:rsidP="00C21744">
      <w:pPr>
        <w:pStyle w:val="BHVieta2"/>
        <w:numPr>
          <w:ilvl w:val="0"/>
          <w:numId w:val="165"/>
        </w:numPr>
        <w:rPr>
          <w:lang w:val="es-ES"/>
        </w:rPr>
      </w:pPr>
      <w:r w:rsidRPr="00AE4E8D">
        <w:rPr>
          <w:lang w:val="es-ES"/>
        </w:rPr>
        <w:t xml:space="preserve">Un aumento del 40,1% en intereses por depósitos a plazo fijo, de Ps.1.507,0 millones al 31 de diciembre de 2014 a Ps.2.110,6 millones al 31 de diciembre de 2015, principalmente como resultado de un aumento del 32,9% en el volumen promedio de depósitos a plazo fijo; </w:t>
      </w:r>
    </w:p>
    <w:p w14:paraId="111AAC4A" w14:textId="77777777" w:rsidR="00C21744" w:rsidRPr="00AE4E8D" w:rsidRDefault="00C21744" w:rsidP="00C21744">
      <w:pPr>
        <w:pStyle w:val="BHVieta2"/>
        <w:numPr>
          <w:ilvl w:val="0"/>
          <w:numId w:val="165"/>
        </w:numPr>
        <w:rPr>
          <w:lang w:val="es-ES"/>
        </w:rPr>
      </w:pPr>
      <w:r w:rsidRPr="00AE4E8D">
        <w:rPr>
          <w:lang w:val="es-ES"/>
        </w:rPr>
        <w:t>Un aumento del 31,8% en el impuesto a los ingresos brutos (registrado bajo el título “Otros”), de Ps.349,0 millones al 31 de diciembre de 2014 a Ps.460,1 millones al 31 de diciembre de 2015, como resultado de los ingresos financieros imponibles y aumentos en las alícuotas de ciertas provincias.; y</w:t>
      </w:r>
    </w:p>
    <w:p w14:paraId="47503C3E" w14:textId="77777777" w:rsidR="00C21744" w:rsidRPr="00AE4E8D" w:rsidRDefault="00C21744" w:rsidP="00C21744">
      <w:pPr>
        <w:pStyle w:val="BHVieta2"/>
        <w:numPr>
          <w:ilvl w:val="0"/>
          <w:numId w:val="165"/>
        </w:numPr>
        <w:rPr>
          <w:lang w:val="es-ES"/>
        </w:rPr>
      </w:pPr>
      <w:r w:rsidRPr="00AE4E8D">
        <w:rPr>
          <w:lang w:val="es-ES"/>
        </w:rPr>
        <w:t>Un aumento del 56,4 % en intereses por otras obligaciones por intermediación financiera, principalmente como resultado de un aumento del interés devengado por nuestros bonos en circulación de Ps.585,2 millones al 31 de diciembre de 2014 a Ps.898,2 millones al 31 de diciembre de 2015, principalmente como resultado del mayor saldo promedio de los bonos en circulación.</w:t>
      </w:r>
    </w:p>
    <w:p w14:paraId="6C23FA8D" w14:textId="77777777" w:rsidR="00C21744" w:rsidRPr="00AE4E8D" w:rsidRDefault="00C21744" w:rsidP="002E5441">
      <w:pPr>
        <w:pStyle w:val="BH4Cursiva"/>
        <w:rPr>
          <w:rFonts w:eastAsia="Calibri"/>
        </w:rPr>
      </w:pPr>
      <w:r w:rsidRPr="00AE4E8D">
        <w:rPr>
          <w:rFonts w:eastAsia="Calibri"/>
        </w:rPr>
        <w:t>Cargos por Incobrabilidad</w:t>
      </w:r>
    </w:p>
    <w:p w14:paraId="3B4FDFDF" w14:textId="77777777" w:rsidR="00C21744" w:rsidRPr="00AE4E8D" w:rsidRDefault="00C21744" w:rsidP="002E5441">
      <w:pPr>
        <w:pStyle w:val="BHTexto"/>
        <w:rPr>
          <w:rFonts w:eastAsia="Calibri"/>
        </w:rPr>
      </w:pPr>
      <w:r w:rsidRPr="00AE4E8D">
        <w:rPr>
          <w:rFonts w:eastAsia="Calibri"/>
        </w:rPr>
        <w:t>Los cargos por incobrabilidad aumentaron un 3,1% de Ps.</w:t>
      </w:r>
      <w:r w:rsidRPr="00AE4E8D">
        <w:rPr>
          <w:rFonts w:eastAsia="Calibri"/>
          <w:lang w:eastAsia="es-AR"/>
        </w:rPr>
        <w:t>343,4</w:t>
      </w:r>
      <w:r w:rsidRPr="00AE4E8D">
        <w:rPr>
          <w:rFonts w:eastAsia="Calibri"/>
        </w:rPr>
        <w:t xml:space="preserve"> millones al 31 de junio de 2014 a Ps.</w:t>
      </w:r>
      <w:r w:rsidRPr="00AE4E8D">
        <w:rPr>
          <w:rFonts w:eastAsia="Calibri"/>
          <w:lang w:eastAsia="es-AR"/>
        </w:rPr>
        <w:t>354,2</w:t>
      </w:r>
      <w:r w:rsidRPr="00AE4E8D">
        <w:rPr>
          <w:rFonts w:eastAsia="Calibri"/>
        </w:rPr>
        <w:t xml:space="preserve"> millones al 31 de diciembre de 2015, principalmente debido al crecimiento del </w:t>
      </w:r>
      <w:r w:rsidR="00D711E7" w:rsidRPr="00AE4E8D">
        <w:rPr>
          <w:rFonts w:eastAsia="Calibri"/>
          <w:lang w:val="es-ES" w:eastAsia="es-AR"/>
        </w:rPr>
        <w:t>25,7</w:t>
      </w:r>
      <w:r w:rsidRPr="00AE4E8D">
        <w:rPr>
          <w:rFonts w:eastAsia="Calibri"/>
        </w:rPr>
        <w:t>% de nuestra cartera promedio de créditos entre 2014 y 2015.</w:t>
      </w:r>
    </w:p>
    <w:p w14:paraId="024C302D" w14:textId="77777777" w:rsidR="00C21744" w:rsidRPr="00AE4E8D" w:rsidRDefault="00C21744" w:rsidP="002E5441">
      <w:pPr>
        <w:pStyle w:val="BH4Cursiva"/>
        <w:rPr>
          <w:rFonts w:eastAsia="Calibri"/>
        </w:rPr>
      </w:pPr>
      <w:r w:rsidRPr="00AE4E8D">
        <w:rPr>
          <w:rFonts w:eastAsia="Calibri"/>
        </w:rPr>
        <w:t>Ingresos Netos por Servicios</w:t>
      </w:r>
    </w:p>
    <w:p w14:paraId="3FE0F0BC" w14:textId="77777777" w:rsidR="00C21744" w:rsidRPr="00AE4E8D" w:rsidRDefault="00C21744" w:rsidP="002E5441">
      <w:pPr>
        <w:pStyle w:val="BHTexto"/>
        <w:rPr>
          <w:rFonts w:eastAsia="Calibri"/>
        </w:rPr>
      </w:pPr>
      <w:r w:rsidRPr="00AE4E8D">
        <w:rPr>
          <w:rFonts w:eastAsia="Calibri"/>
        </w:rPr>
        <w:t xml:space="preserve">Los ingresos netos por servicios aumentaron un </w:t>
      </w:r>
      <w:r w:rsidRPr="00AE4E8D">
        <w:rPr>
          <w:rFonts w:eastAsia="Calibri"/>
          <w:lang w:eastAsia="es-AR"/>
        </w:rPr>
        <w:t>58,4</w:t>
      </w:r>
      <w:r w:rsidRPr="00AE4E8D">
        <w:rPr>
          <w:rFonts w:eastAsia="Calibri"/>
        </w:rPr>
        <w:t>% de Ps.</w:t>
      </w:r>
      <w:r w:rsidRPr="00AE4E8D">
        <w:rPr>
          <w:rFonts w:eastAsia="Calibri"/>
          <w:lang w:eastAsia="es-AR"/>
        </w:rPr>
        <w:t>1.909,9</w:t>
      </w:r>
      <w:r w:rsidRPr="00AE4E8D">
        <w:rPr>
          <w:rFonts w:eastAsia="Calibri"/>
        </w:rPr>
        <w:t xml:space="preserve"> millones al 31 de diciembre de</w:t>
      </w:r>
      <w:r w:rsidRPr="00AE4E8D" w:rsidDel="00DF79E7">
        <w:rPr>
          <w:rFonts w:eastAsia="Calibri"/>
        </w:rPr>
        <w:t xml:space="preserve"> </w:t>
      </w:r>
      <w:r w:rsidRPr="00AE4E8D">
        <w:rPr>
          <w:rFonts w:eastAsia="Calibri"/>
        </w:rPr>
        <w:t>2014 a Ps.</w:t>
      </w:r>
      <w:r w:rsidRPr="00AE4E8D">
        <w:rPr>
          <w:rFonts w:eastAsia="Calibri"/>
          <w:lang w:eastAsia="es-AR"/>
        </w:rPr>
        <w:t>3.025,6</w:t>
      </w:r>
      <w:r w:rsidRPr="00AE4E8D">
        <w:rPr>
          <w:rFonts w:eastAsia="Calibri"/>
        </w:rPr>
        <w:t xml:space="preserve"> millones al 31 de diciembre de 2015, principalmente como resultado de:</w:t>
      </w:r>
    </w:p>
    <w:p w14:paraId="33803397" w14:textId="77777777" w:rsidR="00C21744" w:rsidRPr="00AE4E8D" w:rsidRDefault="00C21744" w:rsidP="00C21744">
      <w:pPr>
        <w:pStyle w:val="BHVieta2"/>
        <w:numPr>
          <w:ilvl w:val="0"/>
          <w:numId w:val="166"/>
        </w:numPr>
        <w:rPr>
          <w:lang w:val="es-ES"/>
        </w:rPr>
      </w:pPr>
      <w:r w:rsidRPr="00AE4E8D">
        <w:rPr>
          <w:lang w:val="es-ES"/>
        </w:rPr>
        <w:t>Un aumento de Ps.518,4 millones, o del 61,7%, en ingresos netos por seguros; y</w:t>
      </w:r>
    </w:p>
    <w:p w14:paraId="584809C9" w14:textId="77777777" w:rsidR="00C21744" w:rsidRPr="00AE4E8D" w:rsidRDefault="00C21744" w:rsidP="00C21744">
      <w:pPr>
        <w:pStyle w:val="BHVieta2"/>
        <w:numPr>
          <w:ilvl w:val="0"/>
          <w:numId w:val="166"/>
        </w:numPr>
        <w:rPr>
          <w:lang w:val="es-ES"/>
        </w:rPr>
      </w:pPr>
      <w:r w:rsidRPr="00AE4E8D">
        <w:rPr>
          <w:lang w:val="es-ES"/>
        </w:rPr>
        <w:t>Un aumento a Ps.597</w:t>
      </w:r>
      <w:proofErr w:type="gramStart"/>
      <w:r w:rsidRPr="00AE4E8D">
        <w:rPr>
          <w:lang w:val="es-ES"/>
        </w:rPr>
        <w:t>,2</w:t>
      </w:r>
      <w:proofErr w:type="gramEnd"/>
      <w:r w:rsidRPr="00AE4E8D">
        <w:rPr>
          <w:lang w:val="es-ES"/>
        </w:rPr>
        <w:t xml:space="preserve"> millones, o del 55,9%, en otros ingresos netos por servicios.</w:t>
      </w:r>
    </w:p>
    <w:p w14:paraId="5EAC4D5E" w14:textId="77777777" w:rsidR="00C21744" w:rsidRPr="00AE4E8D" w:rsidRDefault="00C21744" w:rsidP="002E5441">
      <w:pPr>
        <w:pStyle w:val="BH4Cursiva"/>
        <w:rPr>
          <w:rFonts w:eastAsia="Calibri"/>
        </w:rPr>
      </w:pPr>
      <w:r w:rsidRPr="00AE4E8D">
        <w:rPr>
          <w:rFonts w:eastAsia="Calibri"/>
        </w:rPr>
        <w:t xml:space="preserve">Ingresos Netos por Seguros </w:t>
      </w:r>
    </w:p>
    <w:p w14:paraId="1320F7D4" w14:textId="77777777" w:rsidR="00C21744" w:rsidRPr="00AE4E8D" w:rsidRDefault="00C21744" w:rsidP="00C21744">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El siguiente cuadro detalla las principales líneas de los ingresos netos por seguros correspondientes a los ejercicios finalizados el 31 de diciembre de 2015 y 2014:</w:t>
      </w:r>
    </w:p>
    <w:tbl>
      <w:tblPr>
        <w:tblW w:w="5000" w:type="pct"/>
        <w:jc w:val="center"/>
        <w:tblLook w:val="04A0" w:firstRow="1" w:lastRow="0" w:firstColumn="1" w:lastColumn="0" w:noHBand="0" w:noVBand="1"/>
      </w:tblPr>
      <w:tblGrid>
        <w:gridCol w:w="4143"/>
        <w:gridCol w:w="1915"/>
        <w:gridCol w:w="1462"/>
        <w:gridCol w:w="1201"/>
      </w:tblGrid>
      <w:tr w:rsidR="00C21744" w:rsidRPr="00AE4E8D" w14:paraId="7279C32D" w14:textId="77777777" w:rsidTr="000400C8">
        <w:trPr>
          <w:trHeight w:val="255"/>
          <w:tblHeader/>
          <w:jc w:val="center"/>
        </w:trPr>
        <w:tc>
          <w:tcPr>
            <w:tcW w:w="2376" w:type="pct"/>
            <w:tcBorders>
              <w:top w:val="nil"/>
              <w:left w:val="nil"/>
              <w:bottom w:val="nil"/>
              <w:right w:val="nil"/>
            </w:tcBorders>
            <w:shd w:val="clear" w:color="auto" w:fill="auto"/>
            <w:noWrap/>
            <w:vAlign w:val="bottom"/>
            <w:hideMark/>
          </w:tcPr>
          <w:p w14:paraId="72D029F9" w14:textId="77777777" w:rsidR="00C21744" w:rsidRPr="00AE4E8D" w:rsidRDefault="00C21744" w:rsidP="00C21744">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Ingresos netos por seguros</w:t>
            </w:r>
          </w:p>
        </w:tc>
        <w:tc>
          <w:tcPr>
            <w:tcW w:w="1936" w:type="pct"/>
            <w:gridSpan w:val="2"/>
            <w:tcBorders>
              <w:top w:val="single" w:sz="8" w:space="0" w:color="auto"/>
              <w:left w:val="nil"/>
              <w:bottom w:val="single" w:sz="8" w:space="0" w:color="auto"/>
              <w:right w:val="nil"/>
            </w:tcBorders>
            <w:shd w:val="clear" w:color="auto" w:fill="auto"/>
            <w:noWrap/>
            <w:vAlign w:val="bottom"/>
            <w:hideMark/>
          </w:tcPr>
          <w:p w14:paraId="36E72ADF" w14:textId="77777777" w:rsidR="00C21744" w:rsidRPr="00AE4E8D" w:rsidRDefault="00C21744" w:rsidP="00C21744">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Ejercicio finalizado el 31 de diciembre de</w:t>
            </w:r>
          </w:p>
        </w:tc>
        <w:tc>
          <w:tcPr>
            <w:tcW w:w="689" w:type="pct"/>
            <w:tcBorders>
              <w:top w:val="single" w:sz="8" w:space="0" w:color="auto"/>
              <w:left w:val="nil"/>
              <w:bottom w:val="single" w:sz="8" w:space="0" w:color="auto"/>
              <w:right w:val="nil"/>
            </w:tcBorders>
            <w:shd w:val="clear" w:color="auto" w:fill="auto"/>
            <w:noWrap/>
            <w:vAlign w:val="bottom"/>
            <w:hideMark/>
          </w:tcPr>
          <w:p w14:paraId="5D6478C3"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C21744" w:rsidRPr="00AE4E8D" w14:paraId="5F8686B3" w14:textId="77777777" w:rsidTr="000400C8">
        <w:trPr>
          <w:trHeight w:val="255"/>
          <w:tblHeader/>
          <w:jc w:val="center"/>
        </w:trPr>
        <w:tc>
          <w:tcPr>
            <w:tcW w:w="2376" w:type="pct"/>
            <w:tcBorders>
              <w:top w:val="nil"/>
              <w:left w:val="nil"/>
              <w:bottom w:val="nil"/>
              <w:right w:val="nil"/>
            </w:tcBorders>
            <w:shd w:val="clear" w:color="auto" w:fill="auto"/>
            <w:noWrap/>
            <w:vAlign w:val="bottom"/>
            <w:hideMark/>
          </w:tcPr>
          <w:p w14:paraId="44419C98" w14:textId="77777777" w:rsidR="00C21744" w:rsidRPr="00AE4E8D" w:rsidRDefault="00C21744" w:rsidP="00C21744">
            <w:pPr>
              <w:rPr>
                <w:rFonts w:ascii="Times New Roman" w:hAnsi="Times New Roman"/>
                <w:color w:val="000000"/>
                <w:sz w:val="18"/>
                <w:szCs w:val="18"/>
                <w:lang w:val="en-US"/>
              </w:rPr>
            </w:pPr>
          </w:p>
        </w:tc>
        <w:tc>
          <w:tcPr>
            <w:tcW w:w="1098" w:type="pct"/>
            <w:tcBorders>
              <w:top w:val="nil"/>
              <w:left w:val="nil"/>
              <w:bottom w:val="single" w:sz="8" w:space="0" w:color="auto"/>
              <w:right w:val="nil"/>
            </w:tcBorders>
            <w:shd w:val="clear" w:color="auto" w:fill="auto"/>
            <w:noWrap/>
            <w:vAlign w:val="bottom"/>
            <w:hideMark/>
          </w:tcPr>
          <w:p w14:paraId="242147D1"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838" w:type="pct"/>
            <w:tcBorders>
              <w:top w:val="nil"/>
              <w:left w:val="nil"/>
              <w:bottom w:val="single" w:sz="8" w:space="0" w:color="auto"/>
              <w:right w:val="nil"/>
            </w:tcBorders>
            <w:shd w:val="clear" w:color="auto" w:fill="auto"/>
            <w:noWrap/>
            <w:vAlign w:val="bottom"/>
            <w:hideMark/>
          </w:tcPr>
          <w:p w14:paraId="2BCCD32D"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w:t>
            </w:r>
          </w:p>
        </w:tc>
        <w:tc>
          <w:tcPr>
            <w:tcW w:w="689" w:type="pct"/>
            <w:tcBorders>
              <w:top w:val="nil"/>
              <w:left w:val="nil"/>
              <w:bottom w:val="single" w:sz="8" w:space="0" w:color="auto"/>
              <w:right w:val="nil"/>
            </w:tcBorders>
            <w:shd w:val="clear" w:color="auto" w:fill="auto"/>
            <w:noWrap/>
            <w:vAlign w:val="bottom"/>
            <w:hideMark/>
          </w:tcPr>
          <w:p w14:paraId="6BCE2C4D"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2014/2015</w:t>
            </w:r>
          </w:p>
        </w:tc>
      </w:tr>
      <w:tr w:rsidR="00C21744" w:rsidRPr="00AE4E8D" w14:paraId="735B07AD" w14:textId="77777777" w:rsidTr="000400C8">
        <w:trPr>
          <w:trHeight w:val="240"/>
          <w:tblHeader/>
          <w:jc w:val="center"/>
        </w:trPr>
        <w:tc>
          <w:tcPr>
            <w:tcW w:w="2376" w:type="pct"/>
            <w:tcBorders>
              <w:top w:val="nil"/>
              <w:left w:val="nil"/>
              <w:bottom w:val="nil"/>
              <w:right w:val="nil"/>
            </w:tcBorders>
            <w:shd w:val="clear" w:color="auto" w:fill="auto"/>
            <w:noWrap/>
            <w:vAlign w:val="bottom"/>
            <w:hideMark/>
          </w:tcPr>
          <w:p w14:paraId="46EA5D44" w14:textId="77777777" w:rsidR="00C21744" w:rsidRPr="00AE4E8D" w:rsidRDefault="00C21744" w:rsidP="00C21744">
            <w:pPr>
              <w:rPr>
                <w:rFonts w:ascii="Times New Roman" w:hAnsi="Times New Roman"/>
                <w:color w:val="000000"/>
                <w:sz w:val="18"/>
                <w:szCs w:val="18"/>
                <w:lang w:val="en-US"/>
              </w:rPr>
            </w:pPr>
          </w:p>
        </w:tc>
        <w:tc>
          <w:tcPr>
            <w:tcW w:w="2624" w:type="pct"/>
            <w:gridSpan w:val="3"/>
            <w:tcBorders>
              <w:top w:val="single" w:sz="8" w:space="0" w:color="auto"/>
              <w:left w:val="nil"/>
              <w:bottom w:val="nil"/>
              <w:right w:val="nil"/>
            </w:tcBorders>
            <w:shd w:val="clear" w:color="auto" w:fill="auto"/>
            <w:noWrap/>
            <w:vAlign w:val="bottom"/>
            <w:hideMark/>
          </w:tcPr>
          <w:p w14:paraId="2808C42F" w14:textId="77777777" w:rsidR="00C21744" w:rsidRPr="00AE4E8D" w:rsidRDefault="00C21744" w:rsidP="00C21744">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C21744" w:rsidRPr="00AE4E8D" w14:paraId="5C29C128"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0642786E" w14:textId="77777777" w:rsidR="00C21744" w:rsidRPr="00AE4E8D" w:rsidRDefault="00C21744" w:rsidP="00C21744">
            <w:pPr>
              <w:rPr>
                <w:rFonts w:ascii="Times New Roman" w:hAnsi="Times New Roman"/>
                <w:b/>
                <w:bCs/>
                <w:i/>
                <w:iCs/>
                <w:color w:val="000000"/>
                <w:sz w:val="18"/>
                <w:szCs w:val="18"/>
                <w:lang w:val="en-US"/>
              </w:rPr>
            </w:pPr>
            <w:r w:rsidRPr="00AE4E8D">
              <w:rPr>
                <w:rFonts w:ascii="Times New Roman" w:hAnsi="Times New Roman"/>
                <w:b/>
                <w:bCs/>
                <w:i/>
                <w:iCs/>
                <w:color w:val="000000"/>
                <w:sz w:val="18"/>
                <w:szCs w:val="18"/>
                <w:lang w:val="es-ES"/>
              </w:rPr>
              <w:t>Primas de seguro percibidas</w:t>
            </w:r>
          </w:p>
        </w:tc>
        <w:tc>
          <w:tcPr>
            <w:tcW w:w="1098" w:type="pct"/>
            <w:tcBorders>
              <w:top w:val="nil"/>
              <w:left w:val="nil"/>
              <w:bottom w:val="nil"/>
              <w:right w:val="nil"/>
            </w:tcBorders>
            <w:shd w:val="clear" w:color="auto" w:fill="auto"/>
            <w:noWrap/>
            <w:vAlign w:val="bottom"/>
            <w:hideMark/>
          </w:tcPr>
          <w:p w14:paraId="3F12BBC0" w14:textId="77777777" w:rsidR="00C21744" w:rsidRPr="00AE4E8D" w:rsidRDefault="00C21744" w:rsidP="00C21744">
            <w:pPr>
              <w:rPr>
                <w:rFonts w:ascii="Times New Roman" w:hAnsi="Times New Roman"/>
                <w:color w:val="000000"/>
                <w:sz w:val="18"/>
                <w:szCs w:val="18"/>
                <w:lang w:val="en-US"/>
              </w:rPr>
            </w:pPr>
          </w:p>
        </w:tc>
        <w:tc>
          <w:tcPr>
            <w:tcW w:w="838" w:type="pct"/>
            <w:tcBorders>
              <w:top w:val="nil"/>
              <w:left w:val="nil"/>
              <w:bottom w:val="nil"/>
              <w:right w:val="nil"/>
            </w:tcBorders>
            <w:shd w:val="clear" w:color="auto" w:fill="auto"/>
            <w:noWrap/>
            <w:vAlign w:val="bottom"/>
            <w:hideMark/>
          </w:tcPr>
          <w:p w14:paraId="4CB97989" w14:textId="77777777" w:rsidR="00C21744" w:rsidRPr="00AE4E8D" w:rsidRDefault="00C21744" w:rsidP="00C21744">
            <w:pPr>
              <w:rPr>
                <w:rFonts w:ascii="Times New Roman" w:hAnsi="Times New Roman"/>
                <w:color w:val="000000"/>
                <w:sz w:val="18"/>
                <w:szCs w:val="18"/>
                <w:lang w:val="en-US"/>
              </w:rPr>
            </w:pPr>
          </w:p>
        </w:tc>
        <w:tc>
          <w:tcPr>
            <w:tcW w:w="689" w:type="pct"/>
            <w:tcBorders>
              <w:top w:val="nil"/>
              <w:left w:val="nil"/>
              <w:bottom w:val="nil"/>
              <w:right w:val="nil"/>
            </w:tcBorders>
            <w:shd w:val="clear" w:color="auto" w:fill="auto"/>
            <w:noWrap/>
            <w:vAlign w:val="bottom"/>
            <w:hideMark/>
          </w:tcPr>
          <w:p w14:paraId="02784CDF" w14:textId="77777777" w:rsidR="00C21744" w:rsidRPr="00AE4E8D" w:rsidRDefault="00C21744" w:rsidP="00C21744">
            <w:pPr>
              <w:rPr>
                <w:rFonts w:ascii="Times New Roman" w:hAnsi="Times New Roman"/>
                <w:color w:val="000000"/>
                <w:sz w:val="18"/>
                <w:szCs w:val="18"/>
                <w:lang w:val="en-US"/>
              </w:rPr>
            </w:pPr>
          </w:p>
        </w:tc>
      </w:tr>
      <w:tr w:rsidR="00C21744" w:rsidRPr="00AE4E8D" w14:paraId="72F8D7B9"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48E3F393"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Vida  </w:t>
            </w:r>
          </w:p>
        </w:tc>
        <w:tc>
          <w:tcPr>
            <w:tcW w:w="1098" w:type="pct"/>
            <w:tcBorders>
              <w:top w:val="nil"/>
              <w:left w:val="nil"/>
              <w:bottom w:val="nil"/>
              <w:right w:val="nil"/>
            </w:tcBorders>
            <w:shd w:val="clear" w:color="000000" w:fill="FFFFFF"/>
            <w:noWrap/>
            <w:vAlign w:val="bottom"/>
            <w:hideMark/>
          </w:tcPr>
          <w:p w14:paraId="6C04294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14,9</w:t>
            </w:r>
          </w:p>
        </w:tc>
        <w:tc>
          <w:tcPr>
            <w:tcW w:w="838" w:type="pct"/>
            <w:tcBorders>
              <w:top w:val="nil"/>
              <w:left w:val="nil"/>
              <w:bottom w:val="nil"/>
              <w:right w:val="nil"/>
            </w:tcBorders>
            <w:shd w:val="clear" w:color="000000" w:fill="FFFFFF"/>
            <w:noWrap/>
            <w:vAlign w:val="bottom"/>
            <w:hideMark/>
          </w:tcPr>
          <w:p w14:paraId="76B0E26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25,6</w:t>
            </w:r>
          </w:p>
        </w:tc>
        <w:tc>
          <w:tcPr>
            <w:tcW w:w="689" w:type="pct"/>
            <w:tcBorders>
              <w:top w:val="nil"/>
              <w:left w:val="nil"/>
              <w:bottom w:val="nil"/>
              <w:right w:val="nil"/>
            </w:tcBorders>
            <w:shd w:val="clear" w:color="auto" w:fill="auto"/>
            <w:noWrap/>
            <w:vAlign w:val="bottom"/>
            <w:hideMark/>
          </w:tcPr>
          <w:p w14:paraId="7AE9B60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(42,0)%</w:t>
            </w:r>
          </w:p>
        </w:tc>
      </w:tr>
      <w:tr w:rsidR="00C21744" w:rsidRPr="00AE4E8D" w14:paraId="05925F11"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4F78C26D"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Daños patrimoniales  </w:t>
            </w:r>
          </w:p>
        </w:tc>
        <w:tc>
          <w:tcPr>
            <w:tcW w:w="1098" w:type="pct"/>
            <w:tcBorders>
              <w:top w:val="nil"/>
              <w:left w:val="nil"/>
              <w:bottom w:val="nil"/>
              <w:right w:val="nil"/>
            </w:tcBorders>
            <w:shd w:val="clear" w:color="000000" w:fill="FFFFFF"/>
            <w:noWrap/>
            <w:vAlign w:val="bottom"/>
            <w:hideMark/>
          </w:tcPr>
          <w:p w14:paraId="66C7B0E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9,0</w:t>
            </w:r>
          </w:p>
        </w:tc>
        <w:tc>
          <w:tcPr>
            <w:tcW w:w="838" w:type="pct"/>
            <w:tcBorders>
              <w:top w:val="nil"/>
              <w:left w:val="nil"/>
              <w:bottom w:val="nil"/>
              <w:right w:val="nil"/>
            </w:tcBorders>
            <w:shd w:val="clear" w:color="000000" w:fill="FFFFFF"/>
            <w:noWrap/>
            <w:vAlign w:val="bottom"/>
            <w:hideMark/>
          </w:tcPr>
          <w:p w14:paraId="15DB726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11,9</w:t>
            </w:r>
          </w:p>
        </w:tc>
        <w:tc>
          <w:tcPr>
            <w:tcW w:w="689" w:type="pct"/>
            <w:tcBorders>
              <w:top w:val="nil"/>
              <w:left w:val="nil"/>
              <w:bottom w:val="nil"/>
              <w:right w:val="nil"/>
            </w:tcBorders>
            <w:shd w:val="clear" w:color="auto" w:fill="auto"/>
            <w:noWrap/>
            <w:vAlign w:val="bottom"/>
            <w:hideMark/>
          </w:tcPr>
          <w:p w14:paraId="1EC1A2E1"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(23,8)%</w:t>
            </w:r>
          </w:p>
        </w:tc>
      </w:tr>
      <w:tr w:rsidR="00C21744" w:rsidRPr="00AE4E8D" w14:paraId="04CC97A6"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5B55D409"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Desempleo  </w:t>
            </w:r>
          </w:p>
        </w:tc>
        <w:tc>
          <w:tcPr>
            <w:tcW w:w="1098" w:type="pct"/>
            <w:tcBorders>
              <w:top w:val="nil"/>
              <w:left w:val="nil"/>
              <w:bottom w:val="nil"/>
              <w:right w:val="nil"/>
            </w:tcBorders>
            <w:shd w:val="clear" w:color="000000" w:fill="FFFFFF"/>
            <w:noWrap/>
            <w:vAlign w:val="bottom"/>
            <w:hideMark/>
          </w:tcPr>
          <w:p w14:paraId="06B4345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0,1</w:t>
            </w:r>
          </w:p>
        </w:tc>
        <w:tc>
          <w:tcPr>
            <w:tcW w:w="838" w:type="pct"/>
            <w:tcBorders>
              <w:top w:val="nil"/>
              <w:left w:val="nil"/>
              <w:bottom w:val="nil"/>
              <w:right w:val="nil"/>
            </w:tcBorders>
            <w:shd w:val="clear" w:color="000000" w:fill="FFFFFF"/>
            <w:noWrap/>
            <w:vAlign w:val="bottom"/>
            <w:hideMark/>
          </w:tcPr>
          <w:p w14:paraId="4A48A3A1"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0,2</w:t>
            </w:r>
          </w:p>
        </w:tc>
        <w:tc>
          <w:tcPr>
            <w:tcW w:w="689" w:type="pct"/>
            <w:tcBorders>
              <w:top w:val="nil"/>
              <w:left w:val="nil"/>
              <w:bottom w:val="nil"/>
              <w:right w:val="nil"/>
            </w:tcBorders>
            <w:shd w:val="clear" w:color="auto" w:fill="auto"/>
            <w:noWrap/>
            <w:vAlign w:val="bottom"/>
            <w:hideMark/>
          </w:tcPr>
          <w:p w14:paraId="5FBA2FE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(52,5)%</w:t>
            </w:r>
          </w:p>
        </w:tc>
      </w:tr>
      <w:tr w:rsidR="00C21744" w:rsidRPr="00AE4E8D" w14:paraId="3B2FD684"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37E26FE8"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1098" w:type="pct"/>
            <w:tcBorders>
              <w:top w:val="nil"/>
              <w:left w:val="nil"/>
              <w:bottom w:val="nil"/>
              <w:right w:val="nil"/>
            </w:tcBorders>
            <w:shd w:val="clear" w:color="000000" w:fill="FFFFFF"/>
            <w:noWrap/>
            <w:vAlign w:val="bottom"/>
            <w:hideMark/>
          </w:tcPr>
          <w:p w14:paraId="04EBDE6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114,7</w:t>
            </w:r>
          </w:p>
        </w:tc>
        <w:tc>
          <w:tcPr>
            <w:tcW w:w="838" w:type="pct"/>
            <w:tcBorders>
              <w:top w:val="nil"/>
              <w:left w:val="nil"/>
              <w:bottom w:val="nil"/>
              <w:right w:val="nil"/>
            </w:tcBorders>
            <w:shd w:val="clear" w:color="000000" w:fill="FFFFFF"/>
            <w:noWrap/>
            <w:vAlign w:val="bottom"/>
            <w:hideMark/>
          </w:tcPr>
          <w:p w14:paraId="67BF644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72,8</w:t>
            </w:r>
          </w:p>
        </w:tc>
        <w:tc>
          <w:tcPr>
            <w:tcW w:w="689" w:type="pct"/>
            <w:tcBorders>
              <w:top w:val="nil"/>
              <w:left w:val="nil"/>
              <w:bottom w:val="nil"/>
              <w:right w:val="nil"/>
            </w:tcBorders>
            <w:shd w:val="clear" w:color="auto" w:fill="auto"/>
            <w:noWrap/>
            <w:vAlign w:val="bottom"/>
            <w:hideMark/>
          </w:tcPr>
          <w:p w14:paraId="3476588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57,7%</w:t>
            </w:r>
          </w:p>
        </w:tc>
      </w:tr>
      <w:tr w:rsidR="00C21744" w:rsidRPr="00AE4E8D" w14:paraId="63EE2776" w14:textId="77777777" w:rsidTr="000400C8">
        <w:trPr>
          <w:trHeight w:val="255"/>
          <w:jc w:val="center"/>
        </w:trPr>
        <w:tc>
          <w:tcPr>
            <w:tcW w:w="2376" w:type="pct"/>
            <w:tcBorders>
              <w:top w:val="nil"/>
              <w:left w:val="nil"/>
              <w:bottom w:val="nil"/>
              <w:right w:val="nil"/>
            </w:tcBorders>
            <w:shd w:val="clear" w:color="auto" w:fill="auto"/>
            <w:noWrap/>
            <w:vAlign w:val="bottom"/>
            <w:hideMark/>
          </w:tcPr>
          <w:p w14:paraId="35454FC2"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Subsidiarias  </w:t>
            </w:r>
          </w:p>
        </w:tc>
        <w:tc>
          <w:tcPr>
            <w:tcW w:w="1098" w:type="pct"/>
            <w:tcBorders>
              <w:top w:val="nil"/>
              <w:left w:val="nil"/>
              <w:bottom w:val="nil"/>
              <w:right w:val="nil"/>
            </w:tcBorders>
            <w:shd w:val="clear" w:color="000000" w:fill="FFFFFF"/>
            <w:noWrap/>
            <w:vAlign w:val="bottom"/>
            <w:hideMark/>
          </w:tcPr>
          <w:p w14:paraId="3F119C1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1.451,6</w:t>
            </w:r>
          </w:p>
        </w:tc>
        <w:tc>
          <w:tcPr>
            <w:tcW w:w="838" w:type="pct"/>
            <w:tcBorders>
              <w:top w:val="nil"/>
              <w:left w:val="nil"/>
              <w:bottom w:val="nil"/>
              <w:right w:val="nil"/>
            </w:tcBorders>
            <w:shd w:val="clear" w:color="000000" w:fill="FFFFFF"/>
            <w:noWrap/>
            <w:vAlign w:val="bottom"/>
            <w:hideMark/>
          </w:tcPr>
          <w:p w14:paraId="219E1DA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868,3</w:t>
            </w:r>
          </w:p>
        </w:tc>
        <w:tc>
          <w:tcPr>
            <w:tcW w:w="689" w:type="pct"/>
            <w:tcBorders>
              <w:top w:val="nil"/>
              <w:left w:val="nil"/>
              <w:bottom w:val="nil"/>
              <w:right w:val="nil"/>
            </w:tcBorders>
            <w:shd w:val="clear" w:color="auto" w:fill="auto"/>
            <w:noWrap/>
            <w:vAlign w:val="bottom"/>
            <w:hideMark/>
          </w:tcPr>
          <w:p w14:paraId="49E4A72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67,2%</w:t>
            </w:r>
          </w:p>
        </w:tc>
      </w:tr>
      <w:tr w:rsidR="00C21744" w:rsidRPr="00AE4E8D" w14:paraId="111AB510" w14:textId="77777777" w:rsidTr="000400C8">
        <w:trPr>
          <w:trHeight w:val="255"/>
          <w:jc w:val="center"/>
        </w:trPr>
        <w:tc>
          <w:tcPr>
            <w:tcW w:w="2376" w:type="pct"/>
            <w:tcBorders>
              <w:top w:val="nil"/>
              <w:left w:val="nil"/>
              <w:bottom w:val="nil"/>
              <w:right w:val="nil"/>
            </w:tcBorders>
            <w:shd w:val="clear" w:color="auto" w:fill="auto"/>
            <w:noWrap/>
            <w:vAlign w:val="bottom"/>
            <w:hideMark/>
          </w:tcPr>
          <w:p w14:paraId="426CC9F6" w14:textId="77777777" w:rsidR="00C21744" w:rsidRPr="00AE4E8D" w:rsidRDefault="00C21744" w:rsidP="00C21744">
            <w:pPr>
              <w:rPr>
                <w:rFonts w:ascii="Times New Roman" w:hAnsi="Times New Roman"/>
                <w:b/>
                <w:bCs/>
                <w:color w:val="000000"/>
                <w:sz w:val="18"/>
                <w:szCs w:val="18"/>
              </w:rPr>
            </w:pPr>
            <w:r w:rsidRPr="00AE4E8D">
              <w:rPr>
                <w:rFonts w:ascii="Times New Roman" w:hAnsi="Times New Roman"/>
                <w:b/>
                <w:bCs/>
                <w:color w:val="000000"/>
                <w:sz w:val="18"/>
                <w:szCs w:val="18"/>
                <w:lang w:val="es-ES"/>
              </w:rPr>
              <w:t>Total primas de seguro percibidas</w:t>
            </w:r>
            <w:r w:rsidRPr="00AE4E8D">
              <w:rPr>
                <w:rFonts w:ascii="Times New Roman" w:hAnsi="Times New Roman"/>
                <w:color w:val="000000"/>
                <w:sz w:val="18"/>
                <w:szCs w:val="18"/>
                <w:lang w:val="es-ES"/>
              </w:rPr>
              <w:t xml:space="preserve">  </w:t>
            </w:r>
          </w:p>
        </w:tc>
        <w:tc>
          <w:tcPr>
            <w:tcW w:w="1098" w:type="pct"/>
            <w:tcBorders>
              <w:top w:val="single" w:sz="8" w:space="0" w:color="auto"/>
              <w:left w:val="nil"/>
              <w:bottom w:val="single" w:sz="8" w:space="0" w:color="auto"/>
              <w:right w:val="nil"/>
            </w:tcBorders>
            <w:shd w:val="clear" w:color="000000" w:fill="FFFFFF"/>
            <w:noWrap/>
            <w:vAlign w:val="bottom"/>
            <w:hideMark/>
          </w:tcPr>
          <w:p w14:paraId="628CB20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1.590,3</w:t>
            </w:r>
          </w:p>
        </w:tc>
        <w:tc>
          <w:tcPr>
            <w:tcW w:w="838" w:type="pct"/>
            <w:tcBorders>
              <w:top w:val="single" w:sz="8" w:space="0" w:color="auto"/>
              <w:left w:val="nil"/>
              <w:bottom w:val="single" w:sz="8" w:space="0" w:color="auto"/>
              <w:right w:val="nil"/>
            </w:tcBorders>
            <w:shd w:val="clear" w:color="000000" w:fill="FFFFFF"/>
            <w:noWrap/>
            <w:vAlign w:val="bottom"/>
            <w:hideMark/>
          </w:tcPr>
          <w:p w14:paraId="4A96208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978,8</w:t>
            </w:r>
          </w:p>
        </w:tc>
        <w:tc>
          <w:tcPr>
            <w:tcW w:w="689" w:type="pct"/>
            <w:tcBorders>
              <w:top w:val="single" w:sz="8" w:space="0" w:color="auto"/>
              <w:left w:val="nil"/>
              <w:bottom w:val="single" w:sz="8" w:space="0" w:color="auto"/>
              <w:right w:val="nil"/>
            </w:tcBorders>
            <w:shd w:val="clear" w:color="auto" w:fill="auto"/>
            <w:noWrap/>
            <w:vAlign w:val="bottom"/>
            <w:hideMark/>
          </w:tcPr>
          <w:p w14:paraId="7C6A325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62,5%</w:t>
            </w:r>
          </w:p>
        </w:tc>
      </w:tr>
      <w:tr w:rsidR="00C21744" w:rsidRPr="00AE4E8D" w14:paraId="0F6CC541"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48A0DEC9" w14:textId="77777777" w:rsidR="00C21744" w:rsidRPr="00AE4E8D" w:rsidRDefault="00C21744" w:rsidP="00C21744">
            <w:pPr>
              <w:rPr>
                <w:rFonts w:ascii="Times New Roman" w:hAnsi="Times New Roman"/>
                <w:color w:val="000000"/>
                <w:sz w:val="18"/>
                <w:szCs w:val="18"/>
                <w:lang w:val="en-US"/>
              </w:rPr>
            </w:pPr>
          </w:p>
        </w:tc>
        <w:tc>
          <w:tcPr>
            <w:tcW w:w="1098" w:type="pct"/>
            <w:tcBorders>
              <w:top w:val="nil"/>
              <w:left w:val="nil"/>
              <w:bottom w:val="nil"/>
              <w:right w:val="nil"/>
            </w:tcBorders>
            <w:shd w:val="clear" w:color="auto" w:fill="auto"/>
            <w:noWrap/>
            <w:vAlign w:val="bottom"/>
            <w:hideMark/>
          </w:tcPr>
          <w:p w14:paraId="5E8F92CB" w14:textId="77777777" w:rsidR="00C21744" w:rsidRPr="00AE4E8D" w:rsidRDefault="00C21744" w:rsidP="00C21744">
            <w:pPr>
              <w:rPr>
                <w:rFonts w:ascii="Times New Roman" w:hAnsi="Times New Roman"/>
                <w:color w:val="000000"/>
                <w:sz w:val="18"/>
                <w:szCs w:val="18"/>
                <w:lang w:val="en-US"/>
              </w:rPr>
            </w:pPr>
          </w:p>
        </w:tc>
        <w:tc>
          <w:tcPr>
            <w:tcW w:w="838" w:type="pct"/>
            <w:tcBorders>
              <w:top w:val="nil"/>
              <w:left w:val="nil"/>
              <w:bottom w:val="nil"/>
              <w:right w:val="nil"/>
            </w:tcBorders>
            <w:shd w:val="clear" w:color="auto" w:fill="auto"/>
            <w:noWrap/>
            <w:vAlign w:val="bottom"/>
            <w:hideMark/>
          </w:tcPr>
          <w:p w14:paraId="44FF646A" w14:textId="77777777" w:rsidR="00C21744" w:rsidRPr="00AE4E8D" w:rsidRDefault="00C21744" w:rsidP="00C21744">
            <w:pPr>
              <w:rPr>
                <w:rFonts w:ascii="Times New Roman" w:hAnsi="Times New Roman"/>
                <w:color w:val="000000"/>
                <w:sz w:val="18"/>
                <w:szCs w:val="18"/>
                <w:lang w:val="en-US"/>
              </w:rPr>
            </w:pPr>
          </w:p>
        </w:tc>
        <w:tc>
          <w:tcPr>
            <w:tcW w:w="689" w:type="pct"/>
            <w:tcBorders>
              <w:top w:val="nil"/>
              <w:left w:val="nil"/>
              <w:bottom w:val="nil"/>
              <w:right w:val="nil"/>
            </w:tcBorders>
            <w:shd w:val="clear" w:color="auto" w:fill="auto"/>
            <w:noWrap/>
            <w:vAlign w:val="bottom"/>
            <w:hideMark/>
          </w:tcPr>
          <w:p w14:paraId="14BC1B37" w14:textId="77777777" w:rsidR="00C21744" w:rsidRPr="00AE4E8D" w:rsidRDefault="00C21744" w:rsidP="00C21744">
            <w:pPr>
              <w:rPr>
                <w:rFonts w:ascii="Times New Roman" w:hAnsi="Times New Roman"/>
                <w:color w:val="000000"/>
                <w:sz w:val="18"/>
                <w:szCs w:val="18"/>
                <w:lang w:val="en-US"/>
              </w:rPr>
            </w:pPr>
          </w:p>
        </w:tc>
      </w:tr>
      <w:tr w:rsidR="00C21744" w:rsidRPr="00AE4E8D" w14:paraId="2076C756"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5AD811E6" w14:textId="77777777" w:rsidR="00C21744" w:rsidRPr="00AE4E8D" w:rsidRDefault="00C21744" w:rsidP="00C21744">
            <w:pPr>
              <w:rPr>
                <w:rFonts w:ascii="Times New Roman" w:hAnsi="Times New Roman"/>
                <w:b/>
                <w:bCs/>
                <w:i/>
                <w:iCs/>
                <w:color w:val="000000"/>
                <w:sz w:val="18"/>
                <w:szCs w:val="18"/>
                <w:lang w:val="en-US"/>
              </w:rPr>
            </w:pPr>
            <w:r w:rsidRPr="00AE4E8D">
              <w:rPr>
                <w:rFonts w:ascii="Times New Roman" w:hAnsi="Times New Roman"/>
                <w:b/>
                <w:bCs/>
                <w:i/>
                <w:iCs/>
                <w:color w:val="000000"/>
                <w:sz w:val="18"/>
                <w:szCs w:val="18"/>
                <w:lang w:val="es-ES"/>
              </w:rPr>
              <w:t>Siniestros</w:t>
            </w:r>
          </w:p>
        </w:tc>
        <w:tc>
          <w:tcPr>
            <w:tcW w:w="1098" w:type="pct"/>
            <w:tcBorders>
              <w:top w:val="nil"/>
              <w:left w:val="nil"/>
              <w:bottom w:val="nil"/>
              <w:right w:val="nil"/>
            </w:tcBorders>
            <w:shd w:val="clear" w:color="auto" w:fill="auto"/>
            <w:noWrap/>
            <w:vAlign w:val="bottom"/>
            <w:hideMark/>
          </w:tcPr>
          <w:p w14:paraId="2E3382BE" w14:textId="77777777" w:rsidR="00C21744" w:rsidRPr="00AE4E8D" w:rsidRDefault="00C21744" w:rsidP="00C21744">
            <w:pPr>
              <w:rPr>
                <w:rFonts w:ascii="Times New Roman" w:hAnsi="Times New Roman"/>
                <w:color w:val="000000"/>
                <w:sz w:val="18"/>
                <w:szCs w:val="18"/>
                <w:lang w:val="en-US"/>
              </w:rPr>
            </w:pPr>
          </w:p>
        </w:tc>
        <w:tc>
          <w:tcPr>
            <w:tcW w:w="838" w:type="pct"/>
            <w:tcBorders>
              <w:top w:val="nil"/>
              <w:left w:val="nil"/>
              <w:bottom w:val="nil"/>
              <w:right w:val="nil"/>
            </w:tcBorders>
            <w:shd w:val="clear" w:color="auto" w:fill="auto"/>
            <w:noWrap/>
            <w:vAlign w:val="bottom"/>
            <w:hideMark/>
          </w:tcPr>
          <w:p w14:paraId="092B72DE" w14:textId="77777777" w:rsidR="00C21744" w:rsidRPr="00AE4E8D" w:rsidRDefault="00C21744" w:rsidP="00C21744">
            <w:pPr>
              <w:rPr>
                <w:rFonts w:ascii="Times New Roman" w:hAnsi="Times New Roman"/>
                <w:color w:val="000000"/>
                <w:sz w:val="18"/>
                <w:szCs w:val="18"/>
                <w:lang w:val="en-US"/>
              </w:rPr>
            </w:pPr>
          </w:p>
        </w:tc>
        <w:tc>
          <w:tcPr>
            <w:tcW w:w="689" w:type="pct"/>
            <w:tcBorders>
              <w:top w:val="nil"/>
              <w:left w:val="nil"/>
              <w:bottom w:val="nil"/>
              <w:right w:val="nil"/>
            </w:tcBorders>
            <w:shd w:val="clear" w:color="auto" w:fill="auto"/>
            <w:noWrap/>
            <w:vAlign w:val="bottom"/>
            <w:hideMark/>
          </w:tcPr>
          <w:p w14:paraId="62E258D5" w14:textId="77777777" w:rsidR="00C21744" w:rsidRPr="00AE4E8D" w:rsidRDefault="00C21744" w:rsidP="00C21744">
            <w:pPr>
              <w:rPr>
                <w:rFonts w:ascii="Times New Roman" w:hAnsi="Times New Roman"/>
                <w:color w:val="000000"/>
                <w:sz w:val="18"/>
                <w:szCs w:val="18"/>
                <w:lang w:val="en-US"/>
              </w:rPr>
            </w:pPr>
          </w:p>
        </w:tc>
      </w:tr>
      <w:tr w:rsidR="00C21744" w:rsidRPr="00AE4E8D" w14:paraId="203B8A38"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07C9ED8F"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Vida  </w:t>
            </w:r>
          </w:p>
        </w:tc>
        <w:tc>
          <w:tcPr>
            <w:tcW w:w="1098" w:type="pct"/>
            <w:tcBorders>
              <w:top w:val="nil"/>
              <w:left w:val="nil"/>
              <w:bottom w:val="nil"/>
              <w:right w:val="nil"/>
            </w:tcBorders>
            <w:shd w:val="clear" w:color="000000" w:fill="FFFFFF"/>
            <w:noWrap/>
            <w:vAlign w:val="bottom"/>
            <w:hideMark/>
          </w:tcPr>
          <w:p w14:paraId="68AB4D1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3,9</w:t>
            </w:r>
          </w:p>
        </w:tc>
        <w:tc>
          <w:tcPr>
            <w:tcW w:w="838" w:type="pct"/>
            <w:tcBorders>
              <w:top w:val="nil"/>
              <w:left w:val="nil"/>
              <w:bottom w:val="nil"/>
              <w:right w:val="nil"/>
            </w:tcBorders>
            <w:shd w:val="clear" w:color="000000" w:fill="FFFFFF"/>
            <w:noWrap/>
            <w:vAlign w:val="bottom"/>
            <w:hideMark/>
          </w:tcPr>
          <w:p w14:paraId="0EB8F91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3,7</w:t>
            </w:r>
          </w:p>
        </w:tc>
        <w:tc>
          <w:tcPr>
            <w:tcW w:w="689" w:type="pct"/>
            <w:tcBorders>
              <w:top w:val="nil"/>
              <w:left w:val="nil"/>
              <w:bottom w:val="nil"/>
              <w:right w:val="nil"/>
            </w:tcBorders>
            <w:shd w:val="clear" w:color="auto" w:fill="auto"/>
            <w:noWrap/>
            <w:vAlign w:val="bottom"/>
            <w:hideMark/>
          </w:tcPr>
          <w:p w14:paraId="6937E43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4,1%</w:t>
            </w:r>
          </w:p>
        </w:tc>
      </w:tr>
      <w:tr w:rsidR="00C21744" w:rsidRPr="00AE4E8D" w14:paraId="7046FEB5"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27325791"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Daños patrimoniales  </w:t>
            </w:r>
          </w:p>
        </w:tc>
        <w:tc>
          <w:tcPr>
            <w:tcW w:w="1098" w:type="pct"/>
            <w:tcBorders>
              <w:top w:val="nil"/>
              <w:left w:val="nil"/>
              <w:bottom w:val="nil"/>
              <w:right w:val="nil"/>
            </w:tcBorders>
            <w:shd w:val="clear" w:color="000000" w:fill="FFFFFF"/>
            <w:noWrap/>
            <w:vAlign w:val="bottom"/>
            <w:hideMark/>
          </w:tcPr>
          <w:p w14:paraId="51562B9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0,1</w:t>
            </w:r>
          </w:p>
        </w:tc>
        <w:tc>
          <w:tcPr>
            <w:tcW w:w="838" w:type="pct"/>
            <w:tcBorders>
              <w:top w:val="nil"/>
              <w:left w:val="nil"/>
              <w:bottom w:val="nil"/>
              <w:right w:val="nil"/>
            </w:tcBorders>
            <w:shd w:val="clear" w:color="000000" w:fill="FFFFFF"/>
            <w:noWrap/>
            <w:vAlign w:val="bottom"/>
            <w:hideMark/>
          </w:tcPr>
          <w:p w14:paraId="71D4335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0,3</w:t>
            </w:r>
          </w:p>
        </w:tc>
        <w:tc>
          <w:tcPr>
            <w:tcW w:w="689" w:type="pct"/>
            <w:tcBorders>
              <w:top w:val="nil"/>
              <w:left w:val="nil"/>
              <w:bottom w:val="nil"/>
              <w:right w:val="nil"/>
            </w:tcBorders>
            <w:shd w:val="clear" w:color="auto" w:fill="auto"/>
            <w:noWrap/>
            <w:vAlign w:val="bottom"/>
            <w:hideMark/>
          </w:tcPr>
          <w:p w14:paraId="74C2CD3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(54,0)%</w:t>
            </w:r>
          </w:p>
        </w:tc>
      </w:tr>
      <w:tr w:rsidR="00C21744" w:rsidRPr="00AE4E8D" w14:paraId="1BF80D45" w14:textId="77777777" w:rsidTr="000400C8">
        <w:trPr>
          <w:trHeight w:val="240"/>
          <w:jc w:val="center"/>
        </w:trPr>
        <w:tc>
          <w:tcPr>
            <w:tcW w:w="2376" w:type="pct"/>
            <w:tcBorders>
              <w:top w:val="nil"/>
              <w:left w:val="nil"/>
              <w:bottom w:val="nil"/>
              <w:right w:val="nil"/>
            </w:tcBorders>
            <w:shd w:val="clear" w:color="auto" w:fill="auto"/>
            <w:noWrap/>
            <w:vAlign w:val="bottom"/>
            <w:hideMark/>
          </w:tcPr>
          <w:p w14:paraId="6EA65638"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1098" w:type="pct"/>
            <w:tcBorders>
              <w:top w:val="nil"/>
              <w:left w:val="nil"/>
              <w:bottom w:val="nil"/>
              <w:right w:val="nil"/>
            </w:tcBorders>
            <w:shd w:val="clear" w:color="000000" w:fill="FFFFFF"/>
            <w:noWrap/>
            <w:vAlign w:val="bottom"/>
            <w:hideMark/>
          </w:tcPr>
          <w:p w14:paraId="7E4694E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0,6</w:t>
            </w:r>
          </w:p>
        </w:tc>
        <w:tc>
          <w:tcPr>
            <w:tcW w:w="838" w:type="pct"/>
            <w:tcBorders>
              <w:top w:val="nil"/>
              <w:left w:val="nil"/>
              <w:bottom w:val="nil"/>
              <w:right w:val="nil"/>
            </w:tcBorders>
            <w:shd w:val="clear" w:color="000000" w:fill="FFFFFF"/>
            <w:noWrap/>
            <w:vAlign w:val="bottom"/>
            <w:hideMark/>
          </w:tcPr>
          <w:p w14:paraId="74CB7E2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0,6</w:t>
            </w:r>
          </w:p>
        </w:tc>
        <w:tc>
          <w:tcPr>
            <w:tcW w:w="689" w:type="pct"/>
            <w:tcBorders>
              <w:top w:val="nil"/>
              <w:left w:val="nil"/>
              <w:bottom w:val="nil"/>
              <w:right w:val="nil"/>
            </w:tcBorders>
            <w:shd w:val="clear" w:color="auto" w:fill="auto"/>
            <w:noWrap/>
            <w:vAlign w:val="bottom"/>
            <w:hideMark/>
          </w:tcPr>
          <w:p w14:paraId="3DB320A4"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(1,1)%</w:t>
            </w:r>
          </w:p>
        </w:tc>
      </w:tr>
      <w:tr w:rsidR="00C21744" w:rsidRPr="00AE4E8D" w14:paraId="24C86F41" w14:textId="77777777" w:rsidTr="000400C8">
        <w:trPr>
          <w:trHeight w:val="255"/>
          <w:jc w:val="center"/>
        </w:trPr>
        <w:tc>
          <w:tcPr>
            <w:tcW w:w="2376" w:type="pct"/>
            <w:tcBorders>
              <w:top w:val="nil"/>
              <w:left w:val="nil"/>
              <w:bottom w:val="nil"/>
              <w:right w:val="nil"/>
            </w:tcBorders>
            <w:shd w:val="clear" w:color="auto" w:fill="auto"/>
            <w:noWrap/>
            <w:vAlign w:val="bottom"/>
            <w:hideMark/>
          </w:tcPr>
          <w:p w14:paraId="1621D3CE"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Subsidiarias  </w:t>
            </w:r>
          </w:p>
        </w:tc>
        <w:tc>
          <w:tcPr>
            <w:tcW w:w="1098" w:type="pct"/>
            <w:tcBorders>
              <w:top w:val="nil"/>
              <w:left w:val="nil"/>
              <w:bottom w:val="nil"/>
              <w:right w:val="nil"/>
            </w:tcBorders>
            <w:shd w:val="clear" w:color="000000" w:fill="FFFFFF"/>
            <w:noWrap/>
            <w:vAlign w:val="bottom"/>
            <w:hideMark/>
          </w:tcPr>
          <w:p w14:paraId="2AC7411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226,7</w:t>
            </w:r>
          </w:p>
        </w:tc>
        <w:tc>
          <w:tcPr>
            <w:tcW w:w="838" w:type="pct"/>
            <w:tcBorders>
              <w:top w:val="nil"/>
              <w:left w:val="nil"/>
              <w:bottom w:val="nil"/>
              <w:right w:val="nil"/>
            </w:tcBorders>
            <w:shd w:val="clear" w:color="000000" w:fill="FFFFFF"/>
            <w:noWrap/>
            <w:vAlign w:val="bottom"/>
            <w:hideMark/>
          </w:tcPr>
          <w:p w14:paraId="3919764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133,6</w:t>
            </w:r>
          </w:p>
        </w:tc>
        <w:tc>
          <w:tcPr>
            <w:tcW w:w="689" w:type="pct"/>
            <w:tcBorders>
              <w:top w:val="nil"/>
              <w:left w:val="nil"/>
              <w:bottom w:val="nil"/>
              <w:right w:val="nil"/>
            </w:tcBorders>
            <w:shd w:val="clear" w:color="auto" w:fill="auto"/>
            <w:noWrap/>
            <w:vAlign w:val="bottom"/>
            <w:hideMark/>
          </w:tcPr>
          <w:p w14:paraId="20DBA151"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69,6%</w:t>
            </w:r>
          </w:p>
        </w:tc>
      </w:tr>
      <w:tr w:rsidR="00C21744" w:rsidRPr="00AE4E8D" w14:paraId="70418A94" w14:textId="77777777" w:rsidTr="000400C8">
        <w:trPr>
          <w:trHeight w:val="255"/>
          <w:jc w:val="center"/>
        </w:trPr>
        <w:tc>
          <w:tcPr>
            <w:tcW w:w="2376" w:type="pct"/>
            <w:tcBorders>
              <w:top w:val="nil"/>
              <w:left w:val="nil"/>
              <w:bottom w:val="nil"/>
              <w:right w:val="nil"/>
            </w:tcBorders>
            <w:shd w:val="clear" w:color="auto" w:fill="auto"/>
            <w:noWrap/>
            <w:vAlign w:val="bottom"/>
            <w:hideMark/>
          </w:tcPr>
          <w:p w14:paraId="3860C763" w14:textId="77777777" w:rsidR="00C21744" w:rsidRPr="00AE4E8D" w:rsidRDefault="00C21744" w:rsidP="00C21744">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 xml:space="preserve">Total siniestros </w:t>
            </w:r>
            <w:r w:rsidRPr="00AE4E8D">
              <w:rPr>
                <w:rFonts w:ascii="Times New Roman" w:hAnsi="Times New Roman"/>
                <w:color w:val="000000"/>
                <w:sz w:val="18"/>
                <w:szCs w:val="18"/>
                <w:lang w:val="es-ES"/>
              </w:rPr>
              <w:t xml:space="preserve"> </w:t>
            </w:r>
          </w:p>
        </w:tc>
        <w:tc>
          <w:tcPr>
            <w:tcW w:w="1098" w:type="pct"/>
            <w:tcBorders>
              <w:top w:val="single" w:sz="8" w:space="0" w:color="auto"/>
              <w:left w:val="nil"/>
              <w:bottom w:val="single" w:sz="8" w:space="0" w:color="auto"/>
              <w:right w:val="nil"/>
            </w:tcBorders>
            <w:shd w:val="clear" w:color="000000" w:fill="FFFFFF"/>
            <w:noWrap/>
            <w:vAlign w:val="bottom"/>
            <w:hideMark/>
          </w:tcPr>
          <w:p w14:paraId="73CDF256"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231,3</w:t>
            </w:r>
          </w:p>
        </w:tc>
        <w:tc>
          <w:tcPr>
            <w:tcW w:w="838" w:type="pct"/>
            <w:tcBorders>
              <w:top w:val="single" w:sz="8" w:space="0" w:color="auto"/>
              <w:left w:val="nil"/>
              <w:bottom w:val="single" w:sz="8" w:space="0" w:color="auto"/>
              <w:right w:val="nil"/>
            </w:tcBorders>
            <w:shd w:val="clear" w:color="000000" w:fill="FFFFFF"/>
            <w:noWrap/>
            <w:vAlign w:val="bottom"/>
            <w:hideMark/>
          </w:tcPr>
          <w:p w14:paraId="3ED6B11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138,2</w:t>
            </w:r>
          </w:p>
        </w:tc>
        <w:tc>
          <w:tcPr>
            <w:tcW w:w="689" w:type="pct"/>
            <w:tcBorders>
              <w:top w:val="single" w:sz="8" w:space="0" w:color="auto"/>
              <w:left w:val="nil"/>
              <w:bottom w:val="single" w:sz="8" w:space="0" w:color="auto"/>
              <w:right w:val="nil"/>
            </w:tcBorders>
            <w:shd w:val="clear" w:color="auto" w:fill="auto"/>
            <w:noWrap/>
            <w:vAlign w:val="bottom"/>
            <w:hideMark/>
          </w:tcPr>
          <w:p w14:paraId="4D55D10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67,3%</w:t>
            </w:r>
          </w:p>
        </w:tc>
      </w:tr>
      <w:tr w:rsidR="00C21744" w:rsidRPr="00AE4E8D" w14:paraId="6F30F141" w14:textId="77777777" w:rsidTr="000400C8">
        <w:trPr>
          <w:trHeight w:val="255"/>
          <w:jc w:val="center"/>
        </w:trPr>
        <w:tc>
          <w:tcPr>
            <w:tcW w:w="2376" w:type="pct"/>
            <w:tcBorders>
              <w:top w:val="nil"/>
              <w:left w:val="nil"/>
              <w:bottom w:val="nil"/>
              <w:right w:val="nil"/>
            </w:tcBorders>
            <w:shd w:val="clear" w:color="auto" w:fill="auto"/>
            <w:noWrap/>
            <w:vAlign w:val="bottom"/>
            <w:hideMark/>
          </w:tcPr>
          <w:p w14:paraId="1D6E4C13" w14:textId="77777777" w:rsidR="00C21744" w:rsidRPr="00AE4E8D" w:rsidRDefault="00C21744" w:rsidP="00C21744">
            <w:pPr>
              <w:rPr>
                <w:rFonts w:ascii="Times New Roman" w:hAnsi="Times New Roman"/>
                <w:b/>
                <w:bCs/>
                <w:color w:val="000000"/>
                <w:sz w:val="18"/>
                <w:szCs w:val="18"/>
              </w:rPr>
            </w:pPr>
            <w:r w:rsidRPr="00AE4E8D">
              <w:rPr>
                <w:rFonts w:ascii="Times New Roman" w:hAnsi="Times New Roman"/>
                <w:b/>
                <w:bCs/>
                <w:color w:val="000000"/>
                <w:sz w:val="18"/>
                <w:szCs w:val="18"/>
                <w:lang w:val="es-ES"/>
              </w:rPr>
              <w:t xml:space="preserve">Total ingresos netos por seguros </w:t>
            </w:r>
            <w:r w:rsidRPr="00AE4E8D">
              <w:rPr>
                <w:rFonts w:ascii="Times New Roman" w:hAnsi="Times New Roman"/>
                <w:color w:val="000000"/>
                <w:sz w:val="18"/>
                <w:szCs w:val="18"/>
                <w:lang w:val="es-ES"/>
              </w:rPr>
              <w:t xml:space="preserve"> </w:t>
            </w:r>
          </w:p>
        </w:tc>
        <w:tc>
          <w:tcPr>
            <w:tcW w:w="1098" w:type="pct"/>
            <w:tcBorders>
              <w:top w:val="nil"/>
              <w:left w:val="nil"/>
              <w:bottom w:val="single" w:sz="8" w:space="0" w:color="auto"/>
              <w:right w:val="nil"/>
            </w:tcBorders>
            <w:shd w:val="clear" w:color="000000" w:fill="FFFFFF"/>
            <w:noWrap/>
            <w:vAlign w:val="bottom"/>
            <w:hideMark/>
          </w:tcPr>
          <w:p w14:paraId="2B693591"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1.359,0</w:t>
            </w:r>
          </w:p>
        </w:tc>
        <w:tc>
          <w:tcPr>
            <w:tcW w:w="838" w:type="pct"/>
            <w:tcBorders>
              <w:top w:val="nil"/>
              <w:left w:val="nil"/>
              <w:bottom w:val="single" w:sz="8" w:space="0" w:color="auto"/>
              <w:right w:val="nil"/>
            </w:tcBorders>
            <w:shd w:val="clear" w:color="000000" w:fill="FFFFFF"/>
            <w:noWrap/>
            <w:vAlign w:val="bottom"/>
            <w:hideMark/>
          </w:tcPr>
          <w:p w14:paraId="7E38CC2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840,6</w:t>
            </w:r>
          </w:p>
        </w:tc>
        <w:tc>
          <w:tcPr>
            <w:tcW w:w="689" w:type="pct"/>
            <w:tcBorders>
              <w:top w:val="nil"/>
              <w:left w:val="nil"/>
              <w:bottom w:val="single" w:sz="8" w:space="0" w:color="auto"/>
              <w:right w:val="nil"/>
            </w:tcBorders>
            <w:shd w:val="clear" w:color="auto" w:fill="auto"/>
            <w:noWrap/>
            <w:vAlign w:val="bottom"/>
            <w:hideMark/>
          </w:tcPr>
          <w:p w14:paraId="63FCAAC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61,7%</w:t>
            </w:r>
          </w:p>
        </w:tc>
      </w:tr>
    </w:tbl>
    <w:p w14:paraId="43A43DB4" w14:textId="77777777" w:rsidR="00C21744" w:rsidRPr="00AE4E8D" w:rsidRDefault="00C21744" w:rsidP="002E5441">
      <w:pPr>
        <w:pStyle w:val="BHTexto"/>
        <w:rPr>
          <w:rFonts w:eastAsia="Calibri"/>
          <w:lang w:eastAsia="es-AR"/>
        </w:rPr>
      </w:pPr>
      <w:r w:rsidRPr="00AE4E8D">
        <w:rPr>
          <w:rFonts w:eastAsia="Calibri"/>
        </w:rPr>
        <w:t xml:space="preserve">Los ingresos netos por seguros aumentaron un </w:t>
      </w:r>
      <w:r w:rsidRPr="00AE4E8D">
        <w:t>61,7</w:t>
      </w:r>
      <w:r w:rsidRPr="00AE4E8D">
        <w:rPr>
          <w:rFonts w:eastAsia="Calibri"/>
        </w:rPr>
        <w:t>% de Ps.840,6 millones al 31 de diciembre de 2014 a Ps.1.359,0 millones al 31 de diciembre de 2015, principalmente como consecuencia del aumento de Ps.611,5 millones en las primas de seguro percibidas, siendo que los siniestros totales aumentaron Ps.93,1 millones en el mismo período. El crecimiento de las primas de seguro percibidas durante 2015 se debió principalmente a una mayor actividad de venta por la subsidiaria BHN Sociedad de Inversión (registrada en “Subsidiarias”), explicada por mayores productos de seguro de vida y daños patrimoniales ofrecidos a los clientes del Fideicomiso PROCREAR. El crecimiento en el Fideicomiso PROCREAR se debido a un aumento de los préstamos hipotecarios otorgados (los cuales requieren seguro de vida).</w:t>
      </w:r>
      <w:r w:rsidRPr="00AE4E8D">
        <w:t xml:space="preserve"> </w:t>
      </w:r>
      <w:r w:rsidRPr="00AE4E8D">
        <w:rPr>
          <w:rFonts w:eastAsia="Calibri"/>
        </w:rPr>
        <w:t>Para mayor información véase “Descripción de nuestros negocios— Líneas de Negocios—Actividad Fiduciaria: Programa PROCREAR”.</w:t>
      </w:r>
    </w:p>
    <w:p w14:paraId="0EDFFC3C" w14:textId="77777777" w:rsidR="00C21744" w:rsidRPr="00AE4E8D" w:rsidRDefault="00C21744" w:rsidP="002E5441">
      <w:pPr>
        <w:pStyle w:val="BH4Cursiva"/>
        <w:rPr>
          <w:rFonts w:eastAsia="Calibri"/>
        </w:rPr>
      </w:pPr>
      <w:r w:rsidRPr="00AE4E8D">
        <w:rPr>
          <w:rFonts w:eastAsia="Calibri"/>
        </w:rPr>
        <w:t>Otros Ingresos por Servicios Netos</w:t>
      </w:r>
    </w:p>
    <w:p w14:paraId="41DC351B" w14:textId="77777777" w:rsidR="00C21744" w:rsidRPr="00AE4E8D" w:rsidRDefault="00C21744" w:rsidP="002E5441">
      <w:pPr>
        <w:pStyle w:val="BHTexto"/>
        <w:rPr>
          <w:rFonts w:eastAsia="Calibri"/>
        </w:rPr>
      </w:pPr>
      <w:r w:rsidRPr="00AE4E8D">
        <w:rPr>
          <w:rFonts w:eastAsia="Calibri"/>
        </w:rPr>
        <w:t>La siguiente tabla detalla las principales líneas de otros ingresos por servicios netos para los ejercicios finalizados al 31 de diciembre de 2015 y 2014:</w:t>
      </w:r>
    </w:p>
    <w:tbl>
      <w:tblPr>
        <w:tblW w:w="5000" w:type="pct"/>
        <w:tblLook w:val="04A0" w:firstRow="1" w:lastRow="0" w:firstColumn="1" w:lastColumn="0" w:noHBand="0" w:noVBand="1"/>
      </w:tblPr>
      <w:tblGrid>
        <w:gridCol w:w="4144"/>
        <w:gridCol w:w="1688"/>
        <w:gridCol w:w="1688"/>
        <w:gridCol w:w="1201"/>
      </w:tblGrid>
      <w:tr w:rsidR="00C21744" w:rsidRPr="00AE4E8D" w14:paraId="0B0DCBA1" w14:textId="77777777" w:rsidTr="000400C8">
        <w:trPr>
          <w:trHeight w:val="255"/>
          <w:tblHeader/>
        </w:trPr>
        <w:tc>
          <w:tcPr>
            <w:tcW w:w="2818" w:type="pct"/>
            <w:tcBorders>
              <w:top w:val="nil"/>
              <w:left w:val="nil"/>
              <w:bottom w:val="nil"/>
              <w:right w:val="nil"/>
            </w:tcBorders>
            <w:shd w:val="clear" w:color="auto" w:fill="auto"/>
            <w:noWrap/>
            <w:vAlign w:val="bottom"/>
            <w:hideMark/>
          </w:tcPr>
          <w:p w14:paraId="37EE2633" w14:textId="77777777" w:rsidR="00C21744" w:rsidRPr="00AE4E8D" w:rsidRDefault="00C21744" w:rsidP="00C21744">
            <w:pPr>
              <w:rPr>
                <w:rFonts w:ascii="Times New Roman" w:hAnsi="Times New Roman"/>
                <w:color w:val="000000"/>
                <w:sz w:val="18"/>
                <w:szCs w:val="18"/>
              </w:rPr>
            </w:pPr>
          </w:p>
        </w:tc>
        <w:tc>
          <w:tcPr>
            <w:tcW w:w="1524" w:type="pct"/>
            <w:gridSpan w:val="2"/>
            <w:tcBorders>
              <w:top w:val="single" w:sz="8" w:space="0" w:color="auto"/>
              <w:left w:val="nil"/>
              <w:bottom w:val="single" w:sz="8" w:space="0" w:color="auto"/>
              <w:right w:val="nil"/>
            </w:tcBorders>
            <w:shd w:val="clear" w:color="auto" w:fill="auto"/>
            <w:noWrap/>
            <w:vAlign w:val="bottom"/>
            <w:hideMark/>
          </w:tcPr>
          <w:p w14:paraId="463C40C1" w14:textId="77777777" w:rsidR="00C21744" w:rsidRPr="00AE4E8D" w:rsidRDefault="00C21744" w:rsidP="00C21744">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Ejercicio finalizado el 31 de diciembre de</w:t>
            </w:r>
          </w:p>
        </w:tc>
        <w:tc>
          <w:tcPr>
            <w:tcW w:w="658" w:type="pct"/>
            <w:tcBorders>
              <w:top w:val="single" w:sz="8" w:space="0" w:color="auto"/>
              <w:left w:val="nil"/>
              <w:bottom w:val="single" w:sz="8" w:space="0" w:color="auto"/>
              <w:right w:val="nil"/>
            </w:tcBorders>
            <w:shd w:val="clear" w:color="auto" w:fill="auto"/>
            <w:noWrap/>
            <w:vAlign w:val="bottom"/>
            <w:hideMark/>
          </w:tcPr>
          <w:p w14:paraId="108CF7DE"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C21744" w:rsidRPr="00AE4E8D" w14:paraId="02F5C00A" w14:textId="77777777" w:rsidTr="000400C8">
        <w:trPr>
          <w:trHeight w:val="255"/>
          <w:tblHeader/>
        </w:trPr>
        <w:tc>
          <w:tcPr>
            <w:tcW w:w="2818" w:type="pct"/>
            <w:tcBorders>
              <w:top w:val="nil"/>
              <w:left w:val="nil"/>
              <w:bottom w:val="nil"/>
              <w:right w:val="nil"/>
            </w:tcBorders>
            <w:shd w:val="clear" w:color="auto" w:fill="auto"/>
            <w:noWrap/>
            <w:vAlign w:val="bottom"/>
            <w:hideMark/>
          </w:tcPr>
          <w:p w14:paraId="2B499A02" w14:textId="77777777" w:rsidR="00C21744" w:rsidRPr="00AE4E8D" w:rsidRDefault="00C21744" w:rsidP="00C21744">
            <w:pPr>
              <w:rPr>
                <w:rFonts w:ascii="Times New Roman" w:hAnsi="Times New Roman"/>
                <w:color w:val="000000"/>
                <w:sz w:val="18"/>
                <w:szCs w:val="18"/>
                <w:lang w:val="en-US"/>
              </w:rPr>
            </w:pPr>
          </w:p>
        </w:tc>
        <w:tc>
          <w:tcPr>
            <w:tcW w:w="762" w:type="pct"/>
            <w:tcBorders>
              <w:top w:val="nil"/>
              <w:left w:val="nil"/>
              <w:bottom w:val="single" w:sz="8" w:space="0" w:color="auto"/>
              <w:right w:val="nil"/>
            </w:tcBorders>
            <w:shd w:val="clear" w:color="auto" w:fill="auto"/>
            <w:noWrap/>
            <w:vAlign w:val="bottom"/>
            <w:hideMark/>
          </w:tcPr>
          <w:p w14:paraId="41A6133F"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762" w:type="pct"/>
            <w:tcBorders>
              <w:top w:val="nil"/>
              <w:left w:val="nil"/>
              <w:bottom w:val="single" w:sz="8" w:space="0" w:color="auto"/>
              <w:right w:val="nil"/>
            </w:tcBorders>
            <w:shd w:val="clear" w:color="auto" w:fill="auto"/>
            <w:noWrap/>
            <w:vAlign w:val="bottom"/>
            <w:hideMark/>
          </w:tcPr>
          <w:p w14:paraId="1B3D2D88"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w:t>
            </w:r>
          </w:p>
        </w:tc>
        <w:tc>
          <w:tcPr>
            <w:tcW w:w="658" w:type="pct"/>
            <w:tcBorders>
              <w:top w:val="nil"/>
              <w:left w:val="nil"/>
              <w:bottom w:val="single" w:sz="8" w:space="0" w:color="auto"/>
              <w:right w:val="nil"/>
            </w:tcBorders>
            <w:shd w:val="clear" w:color="auto" w:fill="auto"/>
            <w:noWrap/>
            <w:vAlign w:val="bottom"/>
            <w:hideMark/>
          </w:tcPr>
          <w:p w14:paraId="1508857D"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2014/2015</w:t>
            </w:r>
          </w:p>
        </w:tc>
      </w:tr>
      <w:tr w:rsidR="00C21744" w:rsidRPr="00AE4E8D" w14:paraId="35950A71" w14:textId="77777777" w:rsidTr="000400C8">
        <w:trPr>
          <w:trHeight w:val="240"/>
          <w:tblHeader/>
        </w:trPr>
        <w:tc>
          <w:tcPr>
            <w:tcW w:w="2818" w:type="pct"/>
            <w:tcBorders>
              <w:top w:val="nil"/>
              <w:left w:val="nil"/>
              <w:bottom w:val="nil"/>
              <w:right w:val="nil"/>
            </w:tcBorders>
            <w:shd w:val="clear" w:color="auto" w:fill="auto"/>
            <w:noWrap/>
            <w:vAlign w:val="bottom"/>
            <w:hideMark/>
          </w:tcPr>
          <w:p w14:paraId="28D4F8E1" w14:textId="77777777" w:rsidR="00C21744" w:rsidRPr="00AE4E8D" w:rsidRDefault="00C21744" w:rsidP="00C21744">
            <w:pPr>
              <w:rPr>
                <w:rFonts w:ascii="Times New Roman" w:hAnsi="Times New Roman"/>
                <w:color w:val="000000"/>
                <w:sz w:val="18"/>
                <w:szCs w:val="18"/>
                <w:lang w:val="en-US"/>
              </w:rPr>
            </w:pPr>
          </w:p>
        </w:tc>
        <w:tc>
          <w:tcPr>
            <w:tcW w:w="2182" w:type="pct"/>
            <w:gridSpan w:val="3"/>
            <w:tcBorders>
              <w:top w:val="single" w:sz="8" w:space="0" w:color="auto"/>
              <w:left w:val="nil"/>
              <w:bottom w:val="nil"/>
              <w:right w:val="nil"/>
            </w:tcBorders>
            <w:shd w:val="clear" w:color="auto" w:fill="auto"/>
            <w:noWrap/>
            <w:vAlign w:val="bottom"/>
            <w:hideMark/>
          </w:tcPr>
          <w:p w14:paraId="0D5CA0E4" w14:textId="77777777" w:rsidR="00C21744" w:rsidRPr="00AE4E8D" w:rsidRDefault="00C21744" w:rsidP="00C21744">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C21744" w:rsidRPr="00AE4E8D" w14:paraId="5ACCC1CD" w14:textId="77777777" w:rsidTr="000400C8">
        <w:trPr>
          <w:trHeight w:val="240"/>
        </w:trPr>
        <w:tc>
          <w:tcPr>
            <w:tcW w:w="2818" w:type="pct"/>
            <w:tcBorders>
              <w:top w:val="nil"/>
              <w:left w:val="nil"/>
              <w:bottom w:val="nil"/>
              <w:right w:val="nil"/>
            </w:tcBorders>
            <w:shd w:val="clear" w:color="auto" w:fill="auto"/>
            <w:noWrap/>
            <w:vAlign w:val="bottom"/>
            <w:hideMark/>
          </w:tcPr>
          <w:p w14:paraId="31BE730F" w14:textId="77777777" w:rsidR="00C21744" w:rsidRPr="00AE4E8D" w:rsidRDefault="00C21744" w:rsidP="00C21744">
            <w:pPr>
              <w:rPr>
                <w:rFonts w:ascii="Times New Roman" w:hAnsi="Times New Roman"/>
                <w:b/>
                <w:bCs/>
                <w:i/>
                <w:iCs/>
                <w:color w:val="000000"/>
                <w:sz w:val="18"/>
                <w:szCs w:val="18"/>
                <w:lang w:val="en-US"/>
              </w:rPr>
            </w:pPr>
            <w:r w:rsidRPr="00AE4E8D">
              <w:rPr>
                <w:rFonts w:ascii="Times New Roman" w:hAnsi="Times New Roman"/>
                <w:b/>
                <w:bCs/>
                <w:i/>
                <w:iCs/>
                <w:color w:val="000000"/>
                <w:sz w:val="18"/>
                <w:szCs w:val="18"/>
                <w:lang w:val="es-ES"/>
              </w:rPr>
              <w:t>Otros ingresos por servicios</w:t>
            </w:r>
          </w:p>
        </w:tc>
        <w:tc>
          <w:tcPr>
            <w:tcW w:w="762" w:type="pct"/>
            <w:tcBorders>
              <w:top w:val="nil"/>
              <w:left w:val="nil"/>
              <w:bottom w:val="nil"/>
              <w:right w:val="nil"/>
            </w:tcBorders>
            <w:shd w:val="clear" w:color="auto" w:fill="auto"/>
            <w:noWrap/>
            <w:vAlign w:val="bottom"/>
            <w:hideMark/>
          </w:tcPr>
          <w:p w14:paraId="7250D067" w14:textId="77777777" w:rsidR="00C21744" w:rsidRPr="00AE4E8D" w:rsidRDefault="00C21744" w:rsidP="00C21744">
            <w:pPr>
              <w:rPr>
                <w:rFonts w:ascii="Times New Roman" w:hAnsi="Times New Roman"/>
                <w:color w:val="000000"/>
                <w:sz w:val="18"/>
                <w:szCs w:val="18"/>
                <w:lang w:val="en-US"/>
              </w:rPr>
            </w:pPr>
          </w:p>
        </w:tc>
        <w:tc>
          <w:tcPr>
            <w:tcW w:w="762" w:type="pct"/>
            <w:tcBorders>
              <w:top w:val="nil"/>
              <w:left w:val="nil"/>
              <w:bottom w:val="nil"/>
              <w:right w:val="nil"/>
            </w:tcBorders>
            <w:shd w:val="clear" w:color="auto" w:fill="auto"/>
            <w:noWrap/>
            <w:vAlign w:val="bottom"/>
            <w:hideMark/>
          </w:tcPr>
          <w:p w14:paraId="2157E3F9" w14:textId="77777777" w:rsidR="00C21744" w:rsidRPr="00AE4E8D" w:rsidRDefault="00C21744" w:rsidP="00C21744">
            <w:pPr>
              <w:rPr>
                <w:rFonts w:ascii="Times New Roman" w:hAnsi="Times New Roman"/>
                <w:color w:val="000000"/>
                <w:sz w:val="18"/>
                <w:szCs w:val="18"/>
                <w:lang w:val="en-US"/>
              </w:rPr>
            </w:pPr>
          </w:p>
        </w:tc>
        <w:tc>
          <w:tcPr>
            <w:tcW w:w="658" w:type="pct"/>
            <w:tcBorders>
              <w:top w:val="nil"/>
              <w:left w:val="nil"/>
              <w:bottom w:val="nil"/>
              <w:right w:val="nil"/>
            </w:tcBorders>
            <w:shd w:val="clear" w:color="auto" w:fill="auto"/>
            <w:noWrap/>
            <w:vAlign w:val="bottom"/>
            <w:hideMark/>
          </w:tcPr>
          <w:p w14:paraId="43D1984E" w14:textId="77777777" w:rsidR="00C21744" w:rsidRPr="00AE4E8D" w:rsidRDefault="00C21744" w:rsidP="00C21744">
            <w:pPr>
              <w:rPr>
                <w:rFonts w:ascii="Times New Roman" w:hAnsi="Times New Roman"/>
                <w:color w:val="000000"/>
                <w:sz w:val="18"/>
                <w:szCs w:val="18"/>
                <w:lang w:val="en-US"/>
              </w:rPr>
            </w:pPr>
          </w:p>
        </w:tc>
      </w:tr>
      <w:tr w:rsidR="00C21744" w:rsidRPr="00AE4E8D" w14:paraId="491B7622" w14:textId="77777777" w:rsidTr="000400C8">
        <w:trPr>
          <w:trHeight w:val="240"/>
        </w:trPr>
        <w:tc>
          <w:tcPr>
            <w:tcW w:w="2818" w:type="pct"/>
            <w:tcBorders>
              <w:top w:val="nil"/>
              <w:left w:val="nil"/>
              <w:bottom w:val="nil"/>
              <w:right w:val="nil"/>
            </w:tcBorders>
            <w:shd w:val="clear" w:color="auto" w:fill="auto"/>
            <w:noWrap/>
            <w:vAlign w:val="bottom"/>
            <w:hideMark/>
          </w:tcPr>
          <w:p w14:paraId="7C33AAAA"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Comisiones por préstamos de terceros  </w:t>
            </w:r>
          </w:p>
        </w:tc>
        <w:tc>
          <w:tcPr>
            <w:tcW w:w="762" w:type="pct"/>
            <w:tcBorders>
              <w:top w:val="nil"/>
              <w:left w:val="nil"/>
              <w:bottom w:val="nil"/>
              <w:right w:val="nil"/>
            </w:tcBorders>
            <w:shd w:val="clear" w:color="000000" w:fill="FFFFFF"/>
            <w:noWrap/>
            <w:vAlign w:val="bottom"/>
            <w:hideMark/>
          </w:tcPr>
          <w:p w14:paraId="652729C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79,1</w:t>
            </w:r>
          </w:p>
        </w:tc>
        <w:tc>
          <w:tcPr>
            <w:tcW w:w="762" w:type="pct"/>
            <w:tcBorders>
              <w:top w:val="nil"/>
              <w:left w:val="nil"/>
              <w:bottom w:val="nil"/>
              <w:right w:val="nil"/>
            </w:tcBorders>
            <w:shd w:val="clear" w:color="000000" w:fill="FFFFFF"/>
            <w:noWrap/>
            <w:vAlign w:val="bottom"/>
            <w:hideMark/>
          </w:tcPr>
          <w:p w14:paraId="2A799D7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67,0</w:t>
            </w:r>
          </w:p>
        </w:tc>
        <w:tc>
          <w:tcPr>
            <w:tcW w:w="658" w:type="pct"/>
            <w:tcBorders>
              <w:top w:val="nil"/>
              <w:left w:val="nil"/>
              <w:bottom w:val="nil"/>
              <w:right w:val="nil"/>
            </w:tcBorders>
            <w:shd w:val="clear" w:color="auto" w:fill="auto"/>
            <w:noWrap/>
            <w:vAlign w:val="bottom"/>
            <w:hideMark/>
          </w:tcPr>
          <w:p w14:paraId="169ABB9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n-US"/>
              </w:rPr>
              <w:t>18,1%</w:t>
            </w:r>
          </w:p>
        </w:tc>
      </w:tr>
      <w:tr w:rsidR="00C21744" w:rsidRPr="00AE4E8D" w14:paraId="28A6E944" w14:textId="77777777" w:rsidTr="000400C8">
        <w:trPr>
          <w:trHeight w:val="240"/>
        </w:trPr>
        <w:tc>
          <w:tcPr>
            <w:tcW w:w="2818" w:type="pct"/>
            <w:tcBorders>
              <w:top w:val="nil"/>
              <w:left w:val="nil"/>
              <w:bottom w:val="nil"/>
              <w:right w:val="nil"/>
            </w:tcBorders>
            <w:shd w:val="clear" w:color="auto" w:fill="auto"/>
            <w:noWrap/>
            <w:vAlign w:val="bottom"/>
            <w:hideMark/>
          </w:tcPr>
          <w:p w14:paraId="3D8FCDDE"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Comisiones por productos pasivos  </w:t>
            </w:r>
          </w:p>
        </w:tc>
        <w:tc>
          <w:tcPr>
            <w:tcW w:w="762" w:type="pct"/>
            <w:tcBorders>
              <w:top w:val="nil"/>
              <w:left w:val="nil"/>
              <w:bottom w:val="nil"/>
              <w:right w:val="nil"/>
            </w:tcBorders>
            <w:shd w:val="clear" w:color="000000" w:fill="FFFFFF"/>
            <w:noWrap/>
            <w:vAlign w:val="bottom"/>
            <w:hideMark/>
          </w:tcPr>
          <w:p w14:paraId="50D99D7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177,0</w:t>
            </w:r>
          </w:p>
        </w:tc>
        <w:tc>
          <w:tcPr>
            <w:tcW w:w="762" w:type="pct"/>
            <w:tcBorders>
              <w:top w:val="nil"/>
              <w:left w:val="nil"/>
              <w:bottom w:val="nil"/>
              <w:right w:val="nil"/>
            </w:tcBorders>
            <w:shd w:val="clear" w:color="000000" w:fill="FFFFFF"/>
            <w:noWrap/>
            <w:vAlign w:val="bottom"/>
            <w:hideMark/>
          </w:tcPr>
          <w:p w14:paraId="477B5DB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116,6</w:t>
            </w:r>
          </w:p>
        </w:tc>
        <w:tc>
          <w:tcPr>
            <w:tcW w:w="658" w:type="pct"/>
            <w:tcBorders>
              <w:top w:val="nil"/>
              <w:left w:val="nil"/>
              <w:bottom w:val="nil"/>
              <w:right w:val="nil"/>
            </w:tcBorders>
            <w:shd w:val="clear" w:color="auto" w:fill="auto"/>
            <w:noWrap/>
            <w:vAlign w:val="bottom"/>
            <w:hideMark/>
          </w:tcPr>
          <w:p w14:paraId="62C7DE4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51,8%</w:t>
            </w:r>
          </w:p>
        </w:tc>
      </w:tr>
      <w:tr w:rsidR="00C21744" w:rsidRPr="00AE4E8D" w14:paraId="493151DD" w14:textId="77777777" w:rsidTr="000400C8">
        <w:trPr>
          <w:trHeight w:val="240"/>
        </w:trPr>
        <w:tc>
          <w:tcPr>
            <w:tcW w:w="2818" w:type="pct"/>
            <w:tcBorders>
              <w:top w:val="nil"/>
              <w:left w:val="nil"/>
              <w:bottom w:val="nil"/>
              <w:right w:val="nil"/>
            </w:tcBorders>
            <w:shd w:val="clear" w:color="auto" w:fill="auto"/>
            <w:noWrap/>
            <w:vAlign w:val="bottom"/>
            <w:hideMark/>
          </w:tcPr>
          <w:p w14:paraId="264F9445"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Comisiones por tarjeta de crédito  </w:t>
            </w:r>
          </w:p>
        </w:tc>
        <w:tc>
          <w:tcPr>
            <w:tcW w:w="762" w:type="pct"/>
            <w:tcBorders>
              <w:top w:val="nil"/>
              <w:left w:val="nil"/>
              <w:bottom w:val="nil"/>
              <w:right w:val="nil"/>
            </w:tcBorders>
            <w:shd w:val="clear" w:color="000000" w:fill="FFFFFF"/>
            <w:noWrap/>
            <w:vAlign w:val="bottom"/>
            <w:hideMark/>
          </w:tcPr>
          <w:p w14:paraId="55F7E83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1.305,6</w:t>
            </w:r>
          </w:p>
        </w:tc>
        <w:tc>
          <w:tcPr>
            <w:tcW w:w="762" w:type="pct"/>
            <w:tcBorders>
              <w:top w:val="nil"/>
              <w:left w:val="nil"/>
              <w:bottom w:val="nil"/>
              <w:right w:val="nil"/>
            </w:tcBorders>
            <w:shd w:val="clear" w:color="000000" w:fill="FFFFFF"/>
            <w:noWrap/>
            <w:vAlign w:val="bottom"/>
            <w:hideMark/>
          </w:tcPr>
          <w:p w14:paraId="22956FD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874,2</w:t>
            </w:r>
          </w:p>
        </w:tc>
        <w:tc>
          <w:tcPr>
            <w:tcW w:w="658" w:type="pct"/>
            <w:tcBorders>
              <w:top w:val="nil"/>
              <w:left w:val="nil"/>
              <w:bottom w:val="nil"/>
              <w:right w:val="nil"/>
            </w:tcBorders>
            <w:shd w:val="clear" w:color="auto" w:fill="auto"/>
            <w:noWrap/>
            <w:vAlign w:val="bottom"/>
            <w:hideMark/>
          </w:tcPr>
          <w:p w14:paraId="59EF378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49,3%</w:t>
            </w:r>
          </w:p>
        </w:tc>
      </w:tr>
      <w:tr w:rsidR="00C21744" w:rsidRPr="00AE4E8D" w14:paraId="5CF3D67F" w14:textId="77777777" w:rsidTr="000400C8">
        <w:trPr>
          <w:trHeight w:val="255"/>
        </w:trPr>
        <w:tc>
          <w:tcPr>
            <w:tcW w:w="2818" w:type="pct"/>
            <w:tcBorders>
              <w:top w:val="nil"/>
              <w:left w:val="nil"/>
              <w:bottom w:val="nil"/>
              <w:right w:val="nil"/>
            </w:tcBorders>
            <w:shd w:val="clear" w:color="auto" w:fill="auto"/>
            <w:noWrap/>
            <w:vAlign w:val="bottom"/>
            <w:hideMark/>
          </w:tcPr>
          <w:p w14:paraId="041E6ABF"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Otras comisiones  </w:t>
            </w:r>
          </w:p>
        </w:tc>
        <w:tc>
          <w:tcPr>
            <w:tcW w:w="762" w:type="pct"/>
            <w:tcBorders>
              <w:top w:val="nil"/>
              <w:left w:val="nil"/>
              <w:bottom w:val="nil"/>
              <w:right w:val="nil"/>
            </w:tcBorders>
            <w:shd w:val="clear" w:color="000000" w:fill="FFFFFF"/>
            <w:noWrap/>
            <w:vAlign w:val="bottom"/>
            <w:hideMark/>
          </w:tcPr>
          <w:p w14:paraId="1DF1E49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782,4</w:t>
            </w:r>
          </w:p>
        </w:tc>
        <w:tc>
          <w:tcPr>
            <w:tcW w:w="762" w:type="pct"/>
            <w:tcBorders>
              <w:top w:val="nil"/>
              <w:left w:val="nil"/>
              <w:bottom w:val="nil"/>
              <w:right w:val="nil"/>
            </w:tcBorders>
            <w:shd w:val="clear" w:color="000000" w:fill="FFFFFF"/>
            <w:noWrap/>
            <w:vAlign w:val="bottom"/>
            <w:hideMark/>
          </w:tcPr>
          <w:p w14:paraId="63DB98C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572,9</w:t>
            </w:r>
          </w:p>
        </w:tc>
        <w:tc>
          <w:tcPr>
            <w:tcW w:w="658" w:type="pct"/>
            <w:tcBorders>
              <w:top w:val="nil"/>
              <w:left w:val="nil"/>
              <w:bottom w:val="nil"/>
              <w:right w:val="nil"/>
            </w:tcBorders>
            <w:shd w:val="clear" w:color="auto" w:fill="auto"/>
            <w:noWrap/>
            <w:vAlign w:val="bottom"/>
            <w:hideMark/>
          </w:tcPr>
          <w:p w14:paraId="7A81B46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36,6%</w:t>
            </w:r>
          </w:p>
        </w:tc>
      </w:tr>
      <w:tr w:rsidR="00C21744" w:rsidRPr="00AE4E8D" w14:paraId="1C074BB2" w14:textId="77777777" w:rsidTr="000400C8">
        <w:trPr>
          <w:trHeight w:val="255"/>
        </w:trPr>
        <w:tc>
          <w:tcPr>
            <w:tcW w:w="2818" w:type="pct"/>
            <w:tcBorders>
              <w:top w:val="nil"/>
              <w:left w:val="nil"/>
              <w:bottom w:val="nil"/>
              <w:right w:val="nil"/>
            </w:tcBorders>
            <w:shd w:val="clear" w:color="auto" w:fill="auto"/>
            <w:noWrap/>
            <w:vAlign w:val="bottom"/>
            <w:hideMark/>
          </w:tcPr>
          <w:p w14:paraId="1178ADC4" w14:textId="77777777" w:rsidR="00C21744" w:rsidRPr="00AE4E8D" w:rsidRDefault="00C21744" w:rsidP="00C21744">
            <w:pPr>
              <w:rPr>
                <w:rFonts w:ascii="Times New Roman" w:hAnsi="Times New Roman"/>
                <w:b/>
                <w:bCs/>
                <w:color w:val="000000"/>
                <w:sz w:val="18"/>
                <w:szCs w:val="18"/>
              </w:rPr>
            </w:pPr>
            <w:r w:rsidRPr="00AE4E8D">
              <w:rPr>
                <w:rFonts w:ascii="Times New Roman" w:hAnsi="Times New Roman"/>
                <w:b/>
                <w:bCs/>
                <w:color w:val="000000"/>
                <w:sz w:val="18"/>
                <w:szCs w:val="18"/>
                <w:lang w:val="es-ES"/>
              </w:rPr>
              <w:t xml:space="preserve">Total otros ingresos por servicios </w:t>
            </w:r>
            <w:r w:rsidRPr="00AE4E8D">
              <w:rPr>
                <w:rFonts w:ascii="Times New Roman" w:hAnsi="Times New Roman"/>
                <w:color w:val="000000"/>
                <w:sz w:val="18"/>
                <w:szCs w:val="18"/>
                <w:lang w:val="es-ES"/>
              </w:rPr>
              <w:t xml:space="preserve"> </w:t>
            </w:r>
          </w:p>
        </w:tc>
        <w:tc>
          <w:tcPr>
            <w:tcW w:w="762" w:type="pct"/>
            <w:tcBorders>
              <w:top w:val="single" w:sz="8" w:space="0" w:color="auto"/>
              <w:left w:val="nil"/>
              <w:bottom w:val="single" w:sz="8" w:space="0" w:color="auto"/>
              <w:right w:val="nil"/>
            </w:tcBorders>
            <w:shd w:val="clear" w:color="000000" w:fill="FFFFFF"/>
            <w:noWrap/>
            <w:vAlign w:val="bottom"/>
            <w:hideMark/>
          </w:tcPr>
          <w:p w14:paraId="5DAEF3B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2.344,1</w:t>
            </w:r>
          </w:p>
        </w:tc>
        <w:tc>
          <w:tcPr>
            <w:tcW w:w="762" w:type="pct"/>
            <w:tcBorders>
              <w:top w:val="single" w:sz="8" w:space="0" w:color="auto"/>
              <w:left w:val="nil"/>
              <w:bottom w:val="single" w:sz="8" w:space="0" w:color="auto"/>
              <w:right w:val="nil"/>
            </w:tcBorders>
            <w:shd w:val="clear" w:color="000000" w:fill="FFFFFF"/>
            <w:noWrap/>
            <w:vAlign w:val="bottom"/>
            <w:hideMark/>
          </w:tcPr>
          <w:p w14:paraId="1BC7D60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1.630,7</w:t>
            </w:r>
          </w:p>
        </w:tc>
        <w:tc>
          <w:tcPr>
            <w:tcW w:w="658" w:type="pct"/>
            <w:tcBorders>
              <w:top w:val="single" w:sz="8" w:space="0" w:color="auto"/>
              <w:left w:val="nil"/>
              <w:bottom w:val="single" w:sz="8" w:space="0" w:color="auto"/>
              <w:right w:val="nil"/>
            </w:tcBorders>
            <w:shd w:val="clear" w:color="auto" w:fill="auto"/>
            <w:noWrap/>
            <w:vAlign w:val="bottom"/>
            <w:hideMark/>
          </w:tcPr>
          <w:p w14:paraId="5C6B50C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43,8%</w:t>
            </w:r>
          </w:p>
        </w:tc>
      </w:tr>
      <w:tr w:rsidR="00C21744" w:rsidRPr="00AE4E8D" w14:paraId="2039D94D" w14:textId="77777777" w:rsidTr="000400C8">
        <w:trPr>
          <w:trHeight w:val="240"/>
        </w:trPr>
        <w:tc>
          <w:tcPr>
            <w:tcW w:w="2818" w:type="pct"/>
            <w:tcBorders>
              <w:top w:val="nil"/>
              <w:left w:val="nil"/>
              <w:bottom w:val="nil"/>
              <w:right w:val="nil"/>
            </w:tcBorders>
            <w:shd w:val="clear" w:color="auto" w:fill="auto"/>
            <w:noWrap/>
            <w:vAlign w:val="bottom"/>
            <w:hideMark/>
          </w:tcPr>
          <w:p w14:paraId="5EEFBE3C" w14:textId="77777777" w:rsidR="00C21744" w:rsidRPr="00AE4E8D" w:rsidRDefault="00C21744" w:rsidP="00C21744">
            <w:pPr>
              <w:rPr>
                <w:rFonts w:ascii="Times New Roman" w:hAnsi="Times New Roman"/>
                <w:color w:val="000000"/>
                <w:sz w:val="18"/>
                <w:szCs w:val="18"/>
                <w:lang w:val="en-US"/>
              </w:rPr>
            </w:pPr>
          </w:p>
        </w:tc>
        <w:tc>
          <w:tcPr>
            <w:tcW w:w="762" w:type="pct"/>
            <w:tcBorders>
              <w:top w:val="nil"/>
              <w:left w:val="nil"/>
              <w:bottom w:val="nil"/>
              <w:right w:val="nil"/>
            </w:tcBorders>
            <w:shd w:val="clear" w:color="000000" w:fill="FFFFFF"/>
            <w:noWrap/>
            <w:vAlign w:val="bottom"/>
            <w:hideMark/>
          </w:tcPr>
          <w:p w14:paraId="2E61E41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 </w:t>
            </w:r>
          </w:p>
        </w:tc>
        <w:tc>
          <w:tcPr>
            <w:tcW w:w="762" w:type="pct"/>
            <w:tcBorders>
              <w:top w:val="nil"/>
              <w:left w:val="nil"/>
              <w:bottom w:val="nil"/>
              <w:right w:val="nil"/>
            </w:tcBorders>
            <w:shd w:val="clear" w:color="000000" w:fill="FFFFFF"/>
            <w:noWrap/>
            <w:vAlign w:val="bottom"/>
            <w:hideMark/>
          </w:tcPr>
          <w:p w14:paraId="7C77BCC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 </w:t>
            </w:r>
          </w:p>
        </w:tc>
        <w:tc>
          <w:tcPr>
            <w:tcW w:w="658" w:type="pct"/>
            <w:tcBorders>
              <w:top w:val="nil"/>
              <w:left w:val="nil"/>
              <w:bottom w:val="nil"/>
              <w:right w:val="nil"/>
            </w:tcBorders>
            <w:shd w:val="clear" w:color="auto" w:fill="auto"/>
            <w:noWrap/>
            <w:vAlign w:val="bottom"/>
            <w:hideMark/>
          </w:tcPr>
          <w:p w14:paraId="18917B74" w14:textId="77777777" w:rsidR="00C21744" w:rsidRPr="00AE4E8D" w:rsidRDefault="00C21744" w:rsidP="00C21744">
            <w:pPr>
              <w:jc w:val="right"/>
              <w:rPr>
                <w:rFonts w:ascii="Times New Roman" w:hAnsi="Times New Roman"/>
                <w:color w:val="000000"/>
                <w:sz w:val="18"/>
                <w:szCs w:val="18"/>
                <w:lang w:val="en-US"/>
              </w:rPr>
            </w:pPr>
          </w:p>
        </w:tc>
      </w:tr>
      <w:tr w:rsidR="00C21744" w:rsidRPr="00AE4E8D" w14:paraId="6EDF2574" w14:textId="77777777" w:rsidTr="000400C8">
        <w:trPr>
          <w:trHeight w:val="240"/>
        </w:trPr>
        <w:tc>
          <w:tcPr>
            <w:tcW w:w="2818" w:type="pct"/>
            <w:tcBorders>
              <w:top w:val="nil"/>
              <w:left w:val="nil"/>
              <w:bottom w:val="nil"/>
              <w:right w:val="nil"/>
            </w:tcBorders>
            <w:shd w:val="clear" w:color="auto" w:fill="auto"/>
            <w:noWrap/>
            <w:vAlign w:val="bottom"/>
            <w:hideMark/>
          </w:tcPr>
          <w:p w14:paraId="66520F60" w14:textId="77777777" w:rsidR="00C21744" w:rsidRPr="00AE4E8D" w:rsidRDefault="00C21744" w:rsidP="00C21744">
            <w:pPr>
              <w:rPr>
                <w:rFonts w:ascii="Times New Roman" w:hAnsi="Times New Roman"/>
                <w:b/>
                <w:bCs/>
                <w:i/>
                <w:iCs/>
                <w:color w:val="000000"/>
                <w:sz w:val="18"/>
                <w:szCs w:val="18"/>
                <w:lang w:val="en-US"/>
              </w:rPr>
            </w:pPr>
            <w:r w:rsidRPr="00AE4E8D">
              <w:rPr>
                <w:rFonts w:ascii="Times New Roman" w:hAnsi="Times New Roman"/>
                <w:b/>
                <w:bCs/>
                <w:i/>
                <w:iCs/>
                <w:color w:val="000000"/>
                <w:sz w:val="18"/>
                <w:szCs w:val="18"/>
                <w:lang w:val="es-ES"/>
              </w:rPr>
              <w:t>Otros egresos por servicios</w:t>
            </w:r>
          </w:p>
        </w:tc>
        <w:tc>
          <w:tcPr>
            <w:tcW w:w="762" w:type="pct"/>
            <w:tcBorders>
              <w:top w:val="nil"/>
              <w:left w:val="nil"/>
              <w:bottom w:val="nil"/>
              <w:right w:val="nil"/>
            </w:tcBorders>
            <w:shd w:val="clear" w:color="000000" w:fill="FFFFFF"/>
            <w:noWrap/>
            <w:vAlign w:val="bottom"/>
            <w:hideMark/>
          </w:tcPr>
          <w:p w14:paraId="7524BCC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 </w:t>
            </w:r>
          </w:p>
        </w:tc>
        <w:tc>
          <w:tcPr>
            <w:tcW w:w="762" w:type="pct"/>
            <w:tcBorders>
              <w:top w:val="nil"/>
              <w:left w:val="nil"/>
              <w:bottom w:val="nil"/>
              <w:right w:val="nil"/>
            </w:tcBorders>
            <w:shd w:val="clear" w:color="000000" w:fill="FFFFFF"/>
            <w:noWrap/>
            <w:vAlign w:val="bottom"/>
            <w:hideMark/>
          </w:tcPr>
          <w:p w14:paraId="1D69FAA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 </w:t>
            </w:r>
          </w:p>
        </w:tc>
        <w:tc>
          <w:tcPr>
            <w:tcW w:w="658" w:type="pct"/>
            <w:tcBorders>
              <w:top w:val="nil"/>
              <w:left w:val="nil"/>
              <w:bottom w:val="nil"/>
              <w:right w:val="nil"/>
            </w:tcBorders>
            <w:shd w:val="clear" w:color="auto" w:fill="auto"/>
            <w:noWrap/>
            <w:vAlign w:val="bottom"/>
            <w:hideMark/>
          </w:tcPr>
          <w:p w14:paraId="05C19789" w14:textId="77777777" w:rsidR="00C21744" w:rsidRPr="00AE4E8D" w:rsidRDefault="00C21744" w:rsidP="00C21744">
            <w:pPr>
              <w:jc w:val="right"/>
              <w:rPr>
                <w:rFonts w:ascii="Times New Roman" w:hAnsi="Times New Roman"/>
                <w:color w:val="000000"/>
                <w:sz w:val="18"/>
                <w:szCs w:val="18"/>
                <w:lang w:val="en-US"/>
              </w:rPr>
            </w:pPr>
          </w:p>
        </w:tc>
      </w:tr>
      <w:tr w:rsidR="00C21744" w:rsidRPr="00AE4E8D" w14:paraId="63E1A7D6" w14:textId="77777777" w:rsidTr="000400C8">
        <w:trPr>
          <w:trHeight w:val="240"/>
        </w:trPr>
        <w:tc>
          <w:tcPr>
            <w:tcW w:w="2818" w:type="pct"/>
            <w:tcBorders>
              <w:top w:val="nil"/>
              <w:left w:val="nil"/>
              <w:bottom w:val="nil"/>
              <w:right w:val="nil"/>
            </w:tcBorders>
            <w:shd w:val="clear" w:color="auto" w:fill="auto"/>
            <w:noWrap/>
            <w:vAlign w:val="bottom"/>
            <w:hideMark/>
          </w:tcPr>
          <w:p w14:paraId="01ACC64F"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Comisiones por préstamos  </w:t>
            </w:r>
          </w:p>
        </w:tc>
        <w:tc>
          <w:tcPr>
            <w:tcW w:w="762" w:type="pct"/>
            <w:tcBorders>
              <w:top w:val="nil"/>
              <w:left w:val="nil"/>
              <w:bottom w:val="nil"/>
              <w:right w:val="nil"/>
            </w:tcBorders>
            <w:shd w:val="clear" w:color="000000" w:fill="FFFFFF"/>
            <w:noWrap/>
            <w:vAlign w:val="bottom"/>
            <w:hideMark/>
          </w:tcPr>
          <w:p w14:paraId="5C407F3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60,9</w:t>
            </w:r>
          </w:p>
        </w:tc>
        <w:tc>
          <w:tcPr>
            <w:tcW w:w="762" w:type="pct"/>
            <w:tcBorders>
              <w:top w:val="nil"/>
              <w:left w:val="nil"/>
              <w:bottom w:val="nil"/>
              <w:right w:val="nil"/>
            </w:tcBorders>
            <w:shd w:val="clear" w:color="000000" w:fill="FFFFFF"/>
            <w:noWrap/>
            <w:vAlign w:val="bottom"/>
            <w:hideMark/>
          </w:tcPr>
          <w:p w14:paraId="315D5BD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47,8</w:t>
            </w:r>
          </w:p>
        </w:tc>
        <w:tc>
          <w:tcPr>
            <w:tcW w:w="658" w:type="pct"/>
            <w:tcBorders>
              <w:top w:val="nil"/>
              <w:left w:val="nil"/>
              <w:bottom w:val="nil"/>
              <w:right w:val="nil"/>
            </w:tcBorders>
            <w:shd w:val="clear" w:color="auto" w:fill="auto"/>
            <w:noWrap/>
            <w:vAlign w:val="bottom"/>
            <w:hideMark/>
          </w:tcPr>
          <w:p w14:paraId="659A19E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27,5%</w:t>
            </w:r>
          </w:p>
        </w:tc>
      </w:tr>
      <w:tr w:rsidR="00C21744" w:rsidRPr="00AE4E8D" w14:paraId="1EA02137" w14:textId="77777777" w:rsidTr="000400C8">
        <w:trPr>
          <w:trHeight w:val="240"/>
        </w:trPr>
        <w:tc>
          <w:tcPr>
            <w:tcW w:w="2818" w:type="pct"/>
            <w:tcBorders>
              <w:top w:val="nil"/>
              <w:left w:val="nil"/>
              <w:bottom w:val="nil"/>
              <w:right w:val="nil"/>
            </w:tcBorders>
            <w:shd w:val="clear" w:color="auto" w:fill="auto"/>
            <w:noWrap/>
            <w:vAlign w:val="bottom"/>
            <w:hideMark/>
          </w:tcPr>
          <w:p w14:paraId="62F0978E"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Comisiones por colocaciones y estructuración  </w:t>
            </w:r>
          </w:p>
        </w:tc>
        <w:tc>
          <w:tcPr>
            <w:tcW w:w="762" w:type="pct"/>
            <w:tcBorders>
              <w:top w:val="nil"/>
              <w:left w:val="nil"/>
              <w:bottom w:val="nil"/>
              <w:right w:val="nil"/>
            </w:tcBorders>
            <w:shd w:val="clear" w:color="000000" w:fill="FFFFFF"/>
            <w:noWrap/>
            <w:vAlign w:val="bottom"/>
            <w:hideMark/>
          </w:tcPr>
          <w:p w14:paraId="42F3021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43,9</w:t>
            </w:r>
          </w:p>
        </w:tc>
        <w:tc>
          <w:tcPr>
            <w:tcW w:w="762" w:type="pct"/>
            <w:tcBorders>
              <w:top w:val="nil"/>
              <w:left w:val="nil"/>
              <w:bottom w:val="nil"/>
              <w:right w:val="nil"/>
            </w:tcBorders>
            <w:shd w:val="clear" w:color="000000" w:fill="FFFFFF"/>
            <w:noWrap/>
            <w:vAlign w:val="bottom"/>
            <w:hideMark/>
          </w:tcPr>
          <w:p w14:paraId="7FA5297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13,9</w:t>
            </w:r>
          </w:p>
        </w:tc>
        <w:tc>
          <w:tcPr>
            <w:tcW w:w="658" w:type="pct"/>
            <w:tcBorders>
              <w:top w:val="nil"/>
              <w:left w:val="nil"/>
              <w:bottom w:val="nil"/>
              <w:right w:val="nil"/>
            </w:tcBorders>
            <w:shd w:val="clear" w:color="auto" w:fill="auto"/>
            <w:noWrap/>
            <w:vAlign w:val="bottom"/>
            <w:hideMark/>
          </w:tcPr>
          <w:p w14:paraId="7E33A72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215,0%</w:t>
            </w:r>
          </w:p>
        </w:tc>
      </w:tr>
      <w:tr w:rsidR="00C21744" w:rsidRPr="00AE4E8D" w14:paraId="0F8296EE" w14:textId="77777777" w:rsidTr="000400C8">
        <w:trPr>
          <w:trHeight w:val="240"/>
        </w:trPr>
        <w:tc>
          <w:tcPr>
            <w:tcW w:w="2818" w:type="pct"/>
            <w:tcBorders>
              <w:top w:val="nil"/>
              <w:left w:val="nil"/>
              <w:bottom w:val="nil"/>
              <w:right w:val="nil"/>
            </w:tcBorders>
            <w:shd w:val="clear" w:color="auto" w:fill="auto"/>
            <w:noWrap/>
            <w:vAlign w:val="bottom"/>
            <w:hideMark/>
          </w:tcPr>
          <w:p w14:paraId="00270EAE"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Aportes e Impuestos sobre ingresos por servicios  </w:t>
            </w:r>
          </w:p>
        </w:tc>
        <w:tc>
          <w:tcPr>
            <w:tcW w:w="762" w:type="pct"/>
            <w:tcBorders>
              <w:top w:val="nil"/>
              <w:left w:val="nil"/>
              <w:bottom w:val="nil"/>
              <w:right w:val="nil"/>
            </w:tcBorders>
            <w:shd w:val="clear" w:color="000000" w:fill="FFFFFF"/>
            <w:noWrap/>
            <w:vAlign w:val="bottom"/>
            <w:hideMark/>
          </w:tcPr>
          <w:p w14:paraId="756AD89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99,9</w:t>
            </w:r>
          </w:p>
        </w:tc>
        <w:tc>
          <w:tcPr>
            <w:tcW w:w="762" w:type="pct"/>
            <w:tcBorders>
              <w:top w:val="nil"/>
              <w:left w:val="nil"/>
              <w:bottom w:val="nil"/>
              <w:right w:val="nil"/>
            </w:tcBorders>
            <w:shd w:val="clear" w:color="000000" w:fill="FFFFFF"/>
            <w:noWrap/>
            <w:vAlign w:val="bottom"/>
            <w:hideMark/>
          </w:tcPr>
          <w:p w14:paraId="1F0304B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56,3</w:t>
            </w:r>
          </w:p>
        </w:tc>
        <w:tc>
          <w:tcPr>
            <w:tcW w:w="658" w:type="pct"/>
            <w:tcBorders>
              <w:top w:val="nil"/>
              <w:left w:val="nil"/>
              <w:bottom w:val="nil"/>
              <w:right w:val="nil"/>
            </w:tcBorders>
            <w:shd w:val="clear" w:color="auto" w:fill="auto"/>
            <w:noWrap/>
            <w:vAlign w:val="bottom"/>
            <w:hideMark/>
          </w:tcPr>
          <w:p w14:paraId="51D9118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77,3%</w:t>
            </w:r>
          </w:p>
        </w:tc>
      </w:tr>
      <w:tr w:rsidR="00C21744" w:rsidRPr="00AE4E8D" w14:paraId="08538E32" w14:textId="77777777" w:rsidTr="000400C8">
        <w:trPr>
          <w:trHeight w:val="240"/>
        </w:trPr>
        <w:tc>
          <w:tcPr>
            <w:tcW w:w="2818" w:type="pct"/>
            <w:tcBorders>
              <w:top w:val="nil"/>
              <w:left w:val="nil"/>
              <w:bottom w:val="nil"/>
              <w:right w:val="nil"/>
            </w:tcBorders>
            <w:shd w:val="clear" w:color="auto" w:fill="auto"/>
            <w:noWrap/>
            <w:vAlign w:val="bottom"/>
            <w:hideMark/>
          </w:tcPr>
          <w:p w14:paraId="1FE4D9FE"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Operaciones pasivas  </w:t>
            </w:r>
          </w:p>
        </w:tc>
        <w:tc>
          <w:tcPr>
            <w:tcW w:w="762" w:type="pct"/>
            <w:tcBorders>
              <w:top w:val="nil"/>
              <w:left w:val="nil"/>
              <w:bottom w:val="nil"/>
              <w:right w:val="nil"/>
            </w:tcBorders>
            <w:shd w:val="clear" w:color="000000" w:fill="FFFFFF"/>
            <w:noWrap/>
            <w:vAlign w:val="bottom"/>
            <w:hideMark/>
          </w:tcPr>
          <w:p w14:paraId="298B9B3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46,5</w:t>
            </w:r>
          </w:p>
        </w:tc>
        <w:tc>
          <w:tcPr>
            <w:tcW w:w="762" w:type="pct"/>
            <w:tcBorders>
              <w:top w:val="nil"/>
              <w:left w:val="nil"/>
              <w:bottom w:val="nil"/>
              <w:right w:val="nil"/>
            </w:tcBorders>
            <w:shd w:val="clear" w:color="000000" w:fill="FFFFFF"/>
            <w:noWrap/>
            <w:vAlign w:val="bottom"/>
            <w:hideMark/>
          </w:tcPr>
          <w:p w14:paraId="6BCEAB2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32,1</w:t>
            </w:r>
          </w:p>
        </w:tc>
        <w:tc>
          <w:tcPr>
            <w:tcW w:w="658" w:type="pct"/>
            <w:tcBorders>
              <w:top w:val="nil"/>
              <w:left w:val="nil"/>
              <w:bottom w:val="nil"/>
              <w:right w:val="nil"/>
            </w:tcBorders>
            <w:shd w:val="clear" w:color="auto" w:fill="auto"/>
            <w:noWrap/>
            <w:vAlign w:val="bottom"/>
            <w:hideMark/>
          </w:tcPr>
          <w:p w14:paraId="7288E20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45,0%</w:t>
            </w:r>
          </w:p>
        </w:tc>
      </w:tr>
      <w:tr w:rsidR="00C21744" w:rsidRPr="00AE4E8D" w14:paraId="6DDED1AF" w14:textId="77777777" w:rsidTr="000400C8">
        <w:trPr>
          <w:trHeight w:val="240"/>
        </w:trPr>
        <w:tc>
          <w:tcPr>
            <w:tcW w:w="2818" w:type="pct"/>
            <w:tcBorders>
              <w:top w:val="nil"/>
              <w:left w:val="nil"/>
              <w:bottom w:val="nil"/>
              <w:right w:val="nil"/>
            </w:tcBorders>
            <w:shd w:val="clear" w:color="auto" w:fill="auto"/>
            <w:noWrap/>
            <w:vAlign w:val="bottom"/>
            <w:hideMark/>
          </w:tcPr>
          <w:p w14:paraId="0882C672"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Comisiones por tarjeta de crédito  </w:t>
            </w:r>
          </w:p>
        </w:tc>
        <w:tc>
          <w:tcPr>
            <w:tcW w:w="762" w:type="pct"/>
            <w:tcBorders>
              <w:top w:val="nil"/>
              <w:left w:val="nil"/>
              <w:bottom w:val="nil"/>
              <w:right w:val="nil"/>
            </w:tcBorders>
            <w:shd w:val="clear" w:color="000000" w:fill="FFFFFF"/>
            <w:noWrap/>
            <w:vAlign w:val="bottom"/>
            <w:hideMark/>
          </w:tcPr>
          <w:p w14:paraId="1C03B25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361,5</w:t>
            </w:r>
          </w:p>
        </w:tc>
        <w:tc>
          <w:tcPr>
            <w:tcW w:w="762" w:type="pct"/>
            <w:tcBorders>
              <w:top w:val="nil"/>
              <w:left w:val="nil"/>
              <w:bottom w:val="nil"/>
              <w:right w:val="nil"/>
            </w:tcBorders>
            <w:shd w:val="clear" w:color="000000" w:fill="FFFFFF"/>
            <w:noWrap/>
            <w:vAlign w:val="bottom"/>
            <w:hideMark/>
          </w:tcPr>
          <w:p w14:paraId="54DCC26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236,3</w:t>
            </w:r>
          </w:p>
        </w:tc>
        <w:tc>
          <w:tcPr>
            <w:tcW w:w="658" w:type="pct"/>
            <w:tcBorders>
              <w:top w:val="nil"/>
              <w:left w:val="nil"/>
              <w:bottom w:val="nil"/>
              <w:right w:val="nil"/>
            </w:tcBorders>
            <w:shd w:val="clear" w:color="auto" w:fill="auto"/>
            <w:noWrap/>
            <w:vAlign w:val="bottom"/>
            <w:hideMark/>
          </w:tcPr>
          <w:p w14:paraId="341A3E8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53,0%</w:t>
            </w:r>
          </w:p>
        </w:tc>
      </w:tr>
      <w:tr w:rsidR="00C21744" w:rsidRPr="00AE4E8D" w14:paraId="1870C84C" w14:textId="77777777" w:rsidTr="000400C8">
        <w:trPr>
          <w:trHeight w:val="255"/>
        </w:trPr>
        <w:tc>
          <w:tcPr>
            <w:tcW w:w="2818" w:type="pct"/>
            <w:tcBorders>
              <w:top w:val="nil"/>
              <w:left w:val="nil"/>
              <w:bottom w:val="nil"/>
              <w:right w:val="nil"/>
            </w:tcBorders>
            <w:shd w:val="clear" w:color="auto" w:fill="auto"/>
            <w:noWrap/>
            <w:vAlign w:val="bottom"/>
            <w:hideMark/>
          </w:tcPr>
          <w:p w14:paraId="181F0955"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Otras comisiones  </w:t>
            </w:r>
          </w:p>
        </w:tc>
        <w:tc>
          <w:tcPr>
            <w:tcW w:w="762" w:type="pct"/>
            <w:tcBorders>
              <w:top w:val="nil"/>
              <w:left w:val="nil"/>
              <w:bottom w:val="nil"/>
              <w:right w:val="nil"/>
            </w:tcBorders>
            <w:shd w:val="clear" w:color="000000" w:fill="FFFFFF"/>
            <w:noWrap/>
            <w:vAlign w:val="bottom"/>
            <w:hideMark/>
          </w:tcPr>
          <w:p w14:paraId="79B5C4F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64,9</w:t>
            </w:r>
          </w:p>
        </w:tc>
        <w:tc>
          <w:tcPr>
            <w:tcW w:w="762" w:type="pct"/>
            <w:tcBorders>
              <w:top w:val="nil"/>
              <w:left w:val="nil"/>
              <w:bottom w:val="nil"/>
              <w:right w:val="nil"/>
            </w:tcBorders>
            <w:shd w:val="clear" w:color="000000" w:fill="FFFFFF"/>
            <w:noWrap/>
            <w:vAlign w:val="bottom"/>
            <w:hideMark/>
          </w:tcPr>
          <w:p w14:paraId="4D511AD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175,0</w:t>
            </w:r>
          </w:p>
        </w:tc>
        <w:tc>
          <w:tcPr>
            <w:tcW w:w="658" w:type="pct"/>
            <w:tcBorders>
              <w:top w:val="nil"/>
              <w:left w:val="nil"/>
              <w:bottom w:val="nil"/>
              <w:right w:val="nil"/>
            </w:tcBorders>
            <w:shd w:val="clear" w:color="auto" w:fill="auto"/>
            <w:noWrap/>
            <w:vAlign w:val="bottom"/>
            <w:hideMark/>
          </w:tcPr>
          <w:p w14:paraId="3B7F29B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(62,9)%</w:t>
            </w:r>
          </w:p>
        </w:tc>
      </w:tr>
      <w:tr w:rsidR="00C21744" w:rsidRPr="00AE4E8D" w14:paraId="1D9DD110" w14:textId="77777777" w:rsidTr="000400C8">
        <w:trPr>
          <w:trHeight w:val="255"/>
        </w:trPr>
        <w:tc>
          <w:tcPr>
            <w:tcW w:w="2818" w:type="pct"/>
            <w:tcBorders>
              <w:top w:val="nil"/>
              <w:left w:val="nil"/>
              <w:bottom w:val="nil"/>
              <w:right w:val="nil"/>
            </w:tcBorders>
            <w:shd w:val="clear" w:color="auto" w:fill="auto"/>
            <w:noWrap/>
            <w:vAlign w:val="bottom"/>
            <w:hideMark/>
          </w:tcPr>
          <w:p w14:paraId="39C0CB86" w14:textId="77777777" w:rsidR="00C21744" w:rsidRPr="00AE4E8D" w:rsidRDefault="00C21744" w:rsidP="00C21744">
            <w:pPr>
              <w:rPr>
                <w:rFonts w:ascii="Times New Roman" w:hAnsi="Times New Roman"/>
                <w:b/>
                <w:bCs/>
                <w:color w:val="000000"/>
                <w:sz w:val="18"/>
                <w:szCs w:val="18"/>
              </w:rPr>
            </w:pPr>
            <w:r w:rsidRPr="00AE4E8D">
              <w:rPr>
                <w:rFonts w:ascii="Times New Roman" w:hAnsi="Times New Roman"/>
                <w:b/>
                <w:bCs/>
                <w:color w:val="000000"/>
                <w:sz w:val="18"/>
                <w:szCs w:val="18"/>
                <w:lang w:val="es-ES"/>
              </w:rPr>
              <w:t xml:space="preserve">Total otros egresos por servicios </w:t>
            </w:r>
            <w:r w:rsidRPr="00AE4E8D">
              <w:rPr>
                <w:rFonts w:ascii="Times New Roman" w:hAnsi="Times New Roman"/>
                <w:color w:val="000000"/>
                <w:sz w:val="18"/>
                <w:szCs w:val="18"/>
                <w:lang w:val="es-ES"/>
              </w:rPr>
              <w:t xml:space="preserve"> </w:t>
            </w:r>
          </w:p>
        </w:tc>
        <w:tc>
          <w:tcPr>
            <w:tcW w:w="762" w:type="pct"/>
            <w:tcBorders>
              <w:top w:val="single" w:sz="8" w:space="0" w:color="auto"/>
              <w:left w:val="nil"/>
              <w:bottom w:val="single" w:sz="8" w:space="0" w:color="auto"/>
              <w:right w:val="nil"/>
            </w:tcBorders>
            <w:shd w:val="clear" w:color="000000" w:fill="FFFFFF"/>
            <w:noWrap/>
            <w:vAlign w:val="bottom"/>
            <w:hideMark/>
          </w:tcPr>
          <w:p w14:paraId="344CAB3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677,6</w:t>
            </w:r>
          </w:p>
        </w:tc>
        <w:tc>
          <w:tcPr>
            <w:tcW w:w="762" w:type="pct"/>
            <w:tcBorders>
              <w:top w:val="single" w:sz="8" w:space="0" w:color="auto"/>
              <w:left w:val="nil"/>
              <w:bottom w:val="single" w:sz="8" w:space="0" w:color="auto"/>
              <w:right w:val="nil"/>
            </w:tcBorders>
            <w:shd w:val="clear" w:color="000000" w:fill="FFFFFF"/>
            <w:noWrap/>
            <w:vAlign w:val="bottom"/>
            <w:hideMark/>
          </w:tcPr>
          <w:p w14:paraId="7C507CF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561,4</w:t>
            </w:r>
          </w:p>
        </w:tc>
        <w:tc>
          <w:tcPr>
            <w:tcW w:w="658" w:type="pct"/>
            <w:tcBorders>
              <w:top w:val="single" w:sz="8" w:space="0" w:color="auto"/>
              <w:left w:val="nil"/>
              <w:bottom w:val="single" w:sz="8" w:space="0" w:color="auto"/>
              <w:right w:val="nil"/>
            </w:tcBorders>
            <w:shd w:val="clear" w:color="auto" w:fill="auto"/>
            <w:noWrap/>
            <w:vAlign w:val="bottom"/>
            <w:hideMark/>
          </w:tcPr>
          <w:p w14:paraId="36D828B1"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20,7%</w:t>
            </w:r>
          </w:p>
        </w:tc>
      </w:tr>
      <w:tr w:rsidR="00C21744" w:rsidRPr="00AE4E8D" w14:paraId="1075CF27" w14:textId="77777777" w:rsidTr="000400C8">
        <w:trPr>
          <w:trHeight w:val="255"/>
        </w:trPr>
        <w:tc>
          <w:tcPr>
            <w:tcW w:w="2818" w:type="pct"/>
            <w:tcBorders>
              <w:top w:val="nil"/>
              <w:left w:val="nil"/>
              <w:bottom w:val="nil"/>
              <w:right w:val="nil"/>
            </w:tcBorders>
            <w:shd w:val="clear" w:color="auto" w:fill="auto"/>
            <w:noWrap/>
            <w:vAlign w:val="bottom"/>
            <w:hideMark/>
          </w:tcPr>
          <w:p w14:paraId="4A6A2695" w14:textId="77777777" w:rsidR="00C21744" w:rsidRPr="00AE4E8D" w:rsidRDefault="00C21744" w:rsidP="00C21744">
            <w:pPr>
              <w:rPr>
                <w:rFonts w:ascii="Times New Roman" w:hAnsi="Times New Roman"/>
                <w:b/>
                <w:bCs/>
                <w:color w:val="000000"/>
                <w:sz w:val="18"/>
                <w:szCs w:val="18"/>
              </w:rPr>
            </w:pPr>
            <w:r w:rsidRPr="00AE4E8D">
              <w:rPr>
                <w:rFonts w:ascii="Times New Roman" w:hAnsi="Times New Roman"/>
                <w:b/>
                <w:bCs/>
                <w:color w:val="000000"/>
                <w:sz w:val="18"/>
                <w:szCs w:val="18"/>
                <w:lang w:val="es-ES"/>
              </w:rPr>
              <w:t>Total ingresos por servicios netos</w:t>
            </w:r>
            <w:r w:rsidRPr="00AE4E8D">
              <w:rPr>
                <w:rFonts w:ascii="Times New Roman" w:hAnsi="Times New Roman"/>
                <w:color w:val="000000"/>
                <w:sz w:val="18"/>
                <w:szCs w:val="18"/>
                <w:lang w:val="es-ES"/>
              </w:rPr>
              <w:t xml:space="preserve">  </w:t>
            </w:r>
          </w:p>
        </w:tc>
        <w:tc>
          <w:tcPr>
            <w:tcW w:w="762" w:type="pct"/>
            <w:tcBorders>
              <w:top w:val="nil"/>
              <w:left w:val="nil"/>
              <w:bottom w:val="single" w:sz="8" w:space="0" w:color="auto"/>
              <w:right w:val="nil"/>
            </w:tcBorders>
            <w:shd w:val="clear" w:color="000000" w:fill="FFFFFF"/>
            <w:noWrap/>
            <w:vAlign w:val="bottom"/>
            <w:hideMark/>
          </w:tcPr>
          <w:p w14:paraId="6556FED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1.666,5</w:t>
            </w:r>
          </w:p>
        </w:tc>
        <w:tc>
          <w:tcPr>
            <w:tcW w:w="762" w:type="pct"/>
            <w:tcBorders>
              <w:top w:val="nil"/>
              <w:left w:val="nil"/>
              <w:bottom w:val="single" w:sz="8" w:space="0" w:color="auto"/>
              <w:right w:val="nil"/>
            </w:tcBorders>
            <w:shd w:val="clear" w:color="000000" w:fill="FFFFFF"/>
            <w:noWrap/>
            <w:vAlign w:val="bottom"/>
            <w:hideMark/>
          </w:tcPr>
          <w:p w14:paraId="557A65D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1.069,3</w:t>
            </w:r>
          </w:p>
        </w:tc>
        <w:tc>
          <w:tcPr>
            <w:tcW w:w="658" w:type="pct"/>
            <w:tcBorders>
              <w:top w:val="nil"/>
              <w:left w:val="nil"/>
              <w:bottom w:val="single" w:sz="8" w:space="0" w:color="auto"/>
              <w:right w:val="nil"/>
            </w:tcBorders>
            <w:shd w:val="clear" w:color="auto" w:fill="auto"/>
            <w:noWrap/>
            <w:vAlign w:val="bottom"/>
            <w:hideMark/>
          </w:tcPr>
          <w:p w14:paraId="53A23270"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55,9%</w:t>
            </w:r>
          </w:p>
        </w:tc>
      </w:tr>
    </w:tbl>
    <w:p w14:paraId="1298C431" w14:textId="77777777" w:rsidR="00C21744" w:rsidRPr="00AE4E8D" w:rsidRDefault="00C21744" w:rsidP="002E5441">
      <w:pPr>
        <w:pStyle w:val="BHTexto"/>
        <w:rPr>
          <w:rFonts w:eastAsia="Calibri"/>
        </w:rPr>
      </w:pPr>
      <w:r w:rsidRPr="00AE4E8D">
        <w:rPr>
          <w:rFonts w:eastAsia="Calibri"/>
        </w:rPr>
        <w:t>Los otros ingresos por servicios netos aumentaron un 55,9%, de Ps.</w:t>
      </w:r>
      <w:r w:rsidRPr="00AE4E8D">
        <w:t>1.069,3</w:t>
      </w:r>
      <w:r w:rsidRPr="00AE4E8D">
        <w:rPr>
          <w:rFonts w:eastAsia="Calibri"/>
        </w:rPr>
        <w:t xml:space="preserve"> millones al 31 de diciembre de 2014 a Ps.</w:t>
      </w:r>
      <w:r w:rsidRPr="00AE4E8D">
        <w:t>1.666,5</w:t>
      </w:r>
      <w:r w:rsidRPr="00AE4E8D">
        <w:rPr>
          <w:rFonts w:eastAsia="Calibri"/>
        </w:rPr>
        <w:t xml:space="preserve"> millones al 31 de diciembre de 2015, principalmente como resultado de un aumento de Ps.</w:t>
      </w:r>
      <w:r w:rsidRPr="00AE4E8D">
        <w:t>306,2</w:t>
      </w:r>
      <w:r w:rsidRPr="00AE4E8D">
        <w:rPr>
          <w:rFonts w:eastAsia="Calibri"/>
        </w:rPr>
        <w:t xml:space="preserve"> millones en comisiones debido a la originación de tarjetas de crédito del Banco y de Tarshop y, en menor grado, de Ps.</w:t>
      </w:r>
      <w:r w:rsidRPr="00AE4E8D">
        <w:t>134,5</w:t>
      </w:r>
      <w:r w:rsidRPr="00AE4E8D">
        <w:rPr>
          <w:rFonts w:eastAsia="Calibri"/>
        </w:rPr>
        <w:t xml:space="preserve"> millones de comisiones por nuestras actividades en carácter de fiduciario del Fideicomiso PROCREAR (registrado bajo “Otras comisiones” en otros ingresos por servicios).</w:t>
      </w:r>
    </w:p>
    <w:p w14:paraId="09AB480C" w14:textId="77777777" w:rsidR="00C21744" w:rsidRPr="00AE4E8D" w:rsidRDefault="00C21744" w:rsidP="002E5441">
      <w:pPr>
        <w:pStyle w:val="BH4Cursiva"/>
        <w:rPr>
          <w:rFonts w:eastAsia="Calibri"/>
        </w:rPr>
      </w:pPr>
      <w:r w:rsidRPr="00AE4E8D">
        <w:rPr>
          <w:rFonts w:eastAsia="Calibri"/>
        </w:rPr>
        <w:t>Gastos Administrativos</w:t>
      </w:r>
    </w:p>
    <w:p w14:paraId="0AF7A956" w14:textId="77777777" w:rsidR="00C21744" w:rsidRPr="00AE4E8D" w:rsidRDefault="00C21744" w:rsidP="00C21744">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El siguiente cuadro muestra los principales componentes de los gastos administrativos correspondientes a los ejercicios finalizados el 31 de diciembre de 2015 y 2014:</w:t>
      </w:r>
    </w:p>
    <w:tbl>
      <w:tblPr>
        <w:tblW w:w="5000" w:type="pct"/>
        <w:tblLook w:val="04A0" w:firstRow="1" w:lastRow="0" w:firstColumn="1" w:lastColumn="0" w:noHBand="0" w:noVBand="1"/>
      </w:tblPr>
      <w:tblGrid>
        <w:gridCol w:w="4144"/>
        <w:gridCol w:w="1688"/>
        <w:gridCol w:w="1688"/>
        <w:gridCol w:w="1201"/>
      </w:tblGrid>
      <w:tr w:rsidR="00C21744" w:rsidRPr="00AE4E8D" w14:paraId="335C41CA" w14:textId="77777777" w:rsidTr="000400C8">
        <w:trPr>
          <w:trHeight w:val="255"/>
        </w:trPr>
        <w:tc>
          <w:tcPr>
            <w:tcW w:w="2818" w:type="pct"/>
            <w:tcBorders>
              <w:top w:val="nil"/>
              <w:left w:val="nil"/>
              <w:bottom w:val="nil"/>
              <w:right w:val="nil"/>
            </w:tcBorders>
            <w:shd w:val="clear" w:color="auto" w:fill="auto"/>
            <w:noWrap/>
            <w:vAlign w:val="bottom"/>
            <w:hideMark/>
          </w:tcPr>
          <w:p w14:paraId="5A280BD4" w14:textId="77777777" w:rsidR="00C21744" w:rsidRPr="00AE4E8D" w:rsidRDefault="00C21744" w:rsidP="005370B2">
            <w:pPr>
              <w:keepNext/>
              <w:keepLines/>
              <w:rPr>
                <w:rFonts w:ascii="Times New Roman" w:hAnsi="Times New Roman"/>
                <w:color w:val="000000"/>
                <w:sz w:val="18"/>
                <w:szCs w:val="18"/>
              </w:rPr>
            </w:pPr>
          </w:p>
        </w:tc>
        <w:tc>
          <w:tcPr>
            <w:tcW w:w="1524" w:type="pct"/>
            <w:gridSpan w:val="2"/>
            <w:tcBorders>
              <w:top w:val="single" w:sz="8" w:space="0" w:color="auto"/>
              <w:left w:val="nil"/>
              <w:bottom w:val="single" w:sz="8" w:space="0" w:color="auto"/>
              <w:right w:val="nil"/>
            </w:tcBorders>
            <w:shd w:val="clear" w:color="auto" w:fill="auto"/>
            <w:noWrap/>
            <w:vAlign w:val="bottom"/>
            <w:hideMark/>
          </w:tcPr>
          <w:p w14:paraId="4D5A97B6" w14:textId="77777777" w:rsidR="00C21744" w:rsidRPr="00AE4E8D" w:rsidRDefault="00C21744" w:rsidP="005370B2">
            <w:pPr>
              <w:keepNext/>
              <w:keepLines/>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Ejercicio finalizado el 31 de diciembre de</w:t>
            </w:r>
          </w:p>
        </w:tc>
        <w:tc>
          <w:tcPr>
            <w:tcW w:w="658" w:type="pct"/>
            <w:tcBorders>
              <w:top w:val="single" w:sz="8" w:space="0" w:color="auto"/>
              <w:left w:val="nil"/>
              <w:bottom w:val="single" w:sz="8" w:space="0" w:color="auto"/>
              <w:right w:val="nil"/>
            </w:tcBorders>
            <w:shd w:val="clear" w:color="auto" w:fill="auto"/>
            <w:noWrap/>
            <w:vAlign w:val="bottom"/>
            <w:hideMark/>
          </w:tcPr>
          <w:p w14:paraId="277AF6D6" w14:textId="77777777" w:rsidR="00C21744" w:rsidRPr="00AE4E8D" w:rsidRDefault="00C21744" w:rsidP="005370B2">
            <w:pPr>
              <w:keepNext/>
              <w:keepLines/>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C21744" w:rsidRPr="00AE4E8D" w14:paraId="0CD6BB92" w14:textId="77777777" w:rsidTr="000400C8">
        <w:trPr>
          <w:trHeight w:val="255"/>
        </w:trPr>
        <w:tc>
          <w:tcPr>
            <w:tcW w:w="2818" w:type="pct"/>
            <w:tcBorders>
              <w:top w:val="nil"/>
              <w:left w:val="nil"/>
              <w:bottom w:val="nil"/>
              <w:right w:val="nil"/>
            </w:tcBorders>
            <w:shd w:val="clear" w:color="auto" w:fill="auto"/>
            <w:noWrap/>
            <w:vAlign w:val="bottom"/>
            <w:hideMark/>
          </w:tcPr>
          <w:p w14:paraId="7554B83F" w14:textId="77777777" w:rsidR="00C21744" w:rsidRPr="00AE4E8D" w:rsidRDefault="00C21744" w:rsidP="005370B2">
            <w:pPr>
              <w:keepNext/>
              <w:keepLines/>
              <w:rPr>
                <w:rFonts w:ascii="Times New Roman" w:hAnsi="Times New Roman"/>
                <w:color w:val="000000"/>
                <w:sz w:val="18"/>
                <w:szCs w:val="18"/>
                <w:lang w:val="en-US"/>
              </w:rPr>
            </w:pPr>
          </w:p>
        </w:tc>
        <w:tc>
          <w:tcPr>
            <w:tcW w:w="762" w:type="pct"/>
            <w:tcBorders>
              <w:top w:val="nil"/>
              <w:left w:val="nil"/>
              <w:bottom w:val="single" w:sz="8" w:space="0" w:color="auto"/>
              <w:right w:val="nil"/>
            </w:tcBorders>
            <w:shd w:val="clear" w:color="auto" w:fill="auto"/>
            <w:noWrap/>
            <w:vAlign w:val="bottom"/>
            <w:hideMark/>
          </w:tcPr>
          <w:p w14:paraId="4E2D4F3C" w14:textId="77777777" w:rsidR="00C21744" w:rsidRPr="00AE4E8D" w:rsidRDefault="00C21744" w:rsidP="005370B2">
            <w:pPr>
              <w:keepNext/>
              <w:keepLines/>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762" w:type="pct"/>
            <w:tcBorders>
              <w:top w:val="nil"/>
              <w:left w:val="nil"/>
              <w:bottom w:val="single" w:sz="8" w:space="0" w:color="auto"/>
              <w:right w:val="nil"/>
            </w:tcBorders>
            <w:shd w:val="clear" w:color="auto" w:fill="auto"/>
            <w:noWrap/>
            <w:vAlign w:val="bottom"/>
            <w:hideMark/>
          </w:tcPr>
          <w:p w14:paraId="3B457E80" w14:textId="77777777" w:rsidR="00C21744" w:rsidRPr="00AE4E8D" w:rsidRDefault="00C21744" w:rsidP="005370B2">
            <w:pPr>
              <w:keepNext/>
              <w:keepLines/>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w:t>
            </w:r>
          </w:p>
        </w:tc>
        <w:tc>
          <w:tcPr>
            <w:tcW w:w="658" w:type="pct"/>
            <w:tcBorders>
              <w:top w:val="nil"/>
              <w:left w:val="nil"/>
              <w:bottom w:val="single" w:sz="8" w:space="0" w:color="auto"/>
              <w:right w:val="nil"/>
            </w:tcBorders>
            <w:shd w:val="clear" w:color="auto" w:fill="auto"/>
            <w:noWrap/>
            <w:vAlign w:val="bottom"/>
            <w:hideMark/>
          </w:tcPr>
          <w:p w14:paraId="7412B5D6" w14:textId="77777777" w:rsidR="00C21744" w:rsidRPr="00AE4E8D" w:rsidRDefault="00C21744" w:rsidP="005370B2">
            <w:pPr>
              <w:keepNext/>
              <w:keepLines/>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2014/2015</w:t>
            </w:r>
          </w:p>
        </w:tc>
      </w:tr>
      <w:tr w:rsidR="00C21744" w:rsidRPr="00AE4E8D" w14:paraId="09E714F5" w14:textId="77777777" w:rsidTr="000400C8">
        <w:trPr>
          <w:trHeight w:val="240"/>
        </w:trPr>
        <w:tc>
          <w:tcPr>
            <w:tcW w:w="2818" w:type="pct"/>
            <w:tcBorders>
              <w:top w:val="nil"/>
              <w:left w:val="nil"/>
              <w:bottom w:val="nil"/>
              <w:right w:val="nil"/>
            </w:tcBorders>
            <w:shd w:val="clear" w:color="auto" w:fill="auto"/>
            <w:noWrap/>
            <w:vAlign w:val="bottom"/>
            <w:hideMark/>
          </w:tcPr>
          <w:p w14:paraId="24E68803" w14:textId="77777777" w:rsidR="00C21744" w:rsidRPr="00AE4E8D" w:rsidRDefault="00C21744" w:rsidP="005370B2">
            <w:pPr>
              <w:keepNext/>
              <w:keepLines/>
              <w:rPr>
                <w:rFonts w:ascii="Times New Roman" w:hAnsi="Times New Roman"/>
                <w:color w:val="000000"/>
                <w:sz w:val="18"/>
                <w:szCs w:val="18"/>
                <w:lang w:val="en-US"/>
              </w:rPr>
            </w:pPr>
          </w:p>
        </w:tc>
        <w:tc>
          <w:tcPr>
            <w:tcW w:w="2182" w:type="pct"/>
            <w:gridSpan w:val="3"/>
            <w:tcBorders>
              <w:top w:val="single" w:sz="8" w:space="0" w:color="auto"/>
              <w:left w:val="nil"/>
              <w:bottom w:val="nil"/>
              <w:right w:val="nil"/>
            </w:tcBorders>
            <w:shd w:val="clear" w:color="auto" w:fill="auto"/>
            <w:noWrap/>
            <w:vAlign w:val="bottom"/>
            <w:hideMark/>
          </w:tcPr>
          <w:p w14:paraId="3AFCA8DE" w14:textId="77777777" w:rsidR="00C21744" w:rsidRPr="00AE4E8D" w:rsidRDefault="00C21744" w:rsidP="005370B2">
            <w:pPr>
              <w:keepNext/>
              <w:keepLines/>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C21744" w:rsidRPr="00AE4E8D" w14:paraId="02D476C6" w14:textId="77777777" w:rsidTr="000400C8">
        <w:trPr>
          <w:trHeight w:val="270"/>
        </w:trPr>
        <w:tc>
          <w:tcPr>
            <w:tcW w:w="2818" w:type="pct"/>
            <w:tcBorders>
              <w:top w:val="nil"/>
              <w:left w:val="nil"/>
              <w:bottom w:val="nil"/>
              <w:right w:val="nil"/>
            </w:tcBorders>
            <w:shd w:val="clear" w:color="auto" w:fill="auto"/>
            <w:noWrap/>
            <w:vAlign w:val="bottom"/>
            <w:hideMark/>
          </w:tcPr>
          <w:p w14:paraId="011BB959" w14:textId="77777777" w:rsidR="00C21744" w:rsidRPr="00AE4E8D" w:rsidRDefault="00C21744" w:rsidP="005370B2">
            <w:pPr>
              <w:keepNext/>
              <w:keepLines/>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Gastos de personal  </w:t>
            </w:r>
          </w:p>
        </w:tc>
        <w:tc>
          <w:tcPr>
            <w:tcW w:w="762" w:type="pct"/>
            <w:tcBorders>
              <w:top w:val="nil"/>
              <w:left w:val="nil"/>
              <w:bottom w:val="nil"/>
              <w:right w:val="nil"/>
            </w:tcBorders>
            <w:shd w:val="clear" w:color="000000" w:fill="FFFFFF"/>
            <w:noWrap/>
            <w:vAlign w:val="bottom"/>
            <w:hideMark/>
          </w:tcPr>
          <w:p w14:paraId="1FA2439B"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2.192,7</w:t>
            </w:r>
          </w:p>
        </w:tc>
        <w:tc>
          <w:tcPr>
            <w:tcW w:w="762" w:type="pct"/>
            <w:tcBorders>
              <w:top w:val="nil"/>
              <w:left w:val="nil"/>
              <w:bottom w:val="nil"/>
              <w:right w:val="nil"/>
            </w:tcBorders>
            <w:shd w:val="clear" w:color="000000" w:fill="FFFFFF"/>
            <w:noWrap/>
            <w:vAlign w:val="bottom"/>
            <w:hideMark/>
          </w:tcPr>
          <w:p w14:paraId="2F085499"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1.579,6</w:t>
            </w:r>
          </w:p>
        </w:tc>
        <w:tc>
          <w:tcPr>
            <w:tcW w:w="658" w:type="pct"/>
            <w:tcBorders>
              <w:top w:val="nil"/>
              <w:left w:val="nil"/>
              <w:bottom w:val="nil"/>
              <w:right w:val="nil"/>
            </w:tcBorders>
            <w:shd w:val="clear" w:color="auto" w:fill="auto"/>
            <w:noWrap/>
            <w:vAlign w:val="bottom"/>
            <w:hideMark/>
          </w:tcPr>
          <w:p w14:paraId="6DA234E7"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38,8%</w:t>
            </w:r>
          </w:p>
        </w:tc>
      </w:tr>
      <w:tr w:rsidR="00C21744" w:rsidRPr="00AE4E8D" w14:paraId="44F5FF7F" w14:textId="77777777" w:rsidTr="000400C8">
        <w:trPr>
          <w:trHeight w:val="240"/>
        </w:trPr>
        <w:tc>
          <w:tcPr>
            <w:tcW w:w="2818" w:type="pct"/>
            <w:tcBorders>
              <w:top w:val="nil"/>
              <w:left w:val="nil"/>
              <w:bottom w:val="nil"/>
              <w:right w:val="nil"/>
            </w:tcBorders>
            <w:shd w:val="clear" w:color="auto" w:fill="auto"/>
            <w:noWrap/>
            <w:vAlign w:val="bottom"/>
            <w:hideMark/>
          </w:tcPr>
          <w:p w14:paraId="2BDD3491" w14:textId="77777777" w:rsidR="00C21744" w:rsidRPr="00AE4E8D" w:rsidRDefault="00C21744" w:rsidP="005370B2">
            <w:pPr>
              <w:keepNext/>
              <w:keepLines/>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honorarios (1)  </w:t>
            </w:r>
          </w:p>
        </w:tc>
        <w:tc>
          <w:tcPr>
            <w:tcW w:w="762" w:type="pct"/>
            <w:tcBorders>
              <w:top w:val="nil"/>
              <w:left w:val="nil"/>
              <w:bottom w:val="nil"/>
              <w:right w:val="nil"/>
            </w:tcBorders>
            <w:shd w:val="clear" w:color="000000" w:fill="FFFFFF"/>
            <w:noWrap/>
            <w:vAlign w:val="bottom"/>
            <w:hideMark/>
          </w:tcPr>
          <w:p w14:paraId="60365FB7"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437,2</w:t>
            </w:r>
          </w:p>
        </w:tc>
        <w:tc>
          <w:tcPr>
            <w:tcW w:w="762" w:type="pct"/>
            <w:tcBorders>
              <w:top w:val="nil"/>
              <w:left w:val="nil"/>
              <w:bottom w:val="nil"/>
              <w:right w:val="nil"/>
            </w:tcBorders>
            <w:shd w:val="clear" w:color="000000" w:fill="FFFFFF"/>
            <w:noWrap/>
            <w:vAlign w:val="bottom"/>
            <w:hideMark/>
          </w:tcPr>
          <w:p w14:paraId="2102D370"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293,2</w:t>
            </w:r>
          </w:p>
        </w:tc>
        <w:tc>
          <w:tcPr>
            <w:tcW w:w="658" w:type="pct"/>
            <w:tcBorders>
              <w:top w:val="nil"/>
              <w:left w:val="nil"/>
              <w:bottom w:val="nil"/>
              <w:right w:val="nil"/>
            </w:tcBorders>
            <w:shd w:val="clear" w:color="auto" w:fill="auto"/>
            <w:noWrap/>
            <w:vAlign w:val="bottom"/>
            <w:hideMark/>
          </w:tcPr>
          <w:p w14:paraId="04762F02"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49,1%</w:t>
            </w:r>
          </w:p>
        </w:tc>
      </w:tr>
      <w:tr w:rsidR="00C21744" w:rsidRPr="00AE4E8D" w14:paraId="4B8F2FC0" w14:textId="77777777" w:rsidTr="000400C8">
        <w:trPr>
          <w:trHeight w:val="240"/>
        </w:trPr>
        <w:tc>
          <w:tcPr>
            <w:tcW w:w="2818" w:type="pct"/>
            <w:tcBorders>
              <w:top w:val="nil"/>
              <w:left w:val="nil"/>
              <w:bottom w:val="nil"/>
              <w:right w:val="nil"/>
            </w:tcBorders>
            <w:shd w:val="clear" w:color="auto" w:fill="auto"/>
            <w:noWrap/>
            <w:vAlign w:val="bottom"/>
            <w:hideMark/>
          </w:tcPr>
          <w:p w14:paraId="2C578594" w14:textId="77777777" w:rsidR="00C21744" w:rsidRPr="00AE4E8D" w:rsidRDefault="00C21744" w:rsidP="005370B2">
            <w:pPr>
              <w:keepNext/>
              <w:keepLines/>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Honorarios directores y síndicos  </w:t>
            </w:r>
          </w:p>
        </w:tc>
        <w:tc>
          <w:tcPr>
            <w:tcW w:w="762" w:type="pct"/>
            <w:tcBorders>
              <w:top w:val="nil"/>
              <w:left w:val="nil"/>
              <w:bottom w:val="nil"/>
              <w:right w:val="nil"/>
            </w:tcBorders>
            <w:shd w:val="clear" w:color="000000" w:fill="FFFFFF"/>
            <w:noWrap/>
            <w:vAlign w:val="bottom"/>
            <w:hideMark/>
          </w:tcPr>
          <w:p w14:paraId="34AC3B75"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90,8</w:t>
            </w:r>
          </w:p>
        </w:tc>
        <w:tc>
          <w:tcPr>
            <w:tcW w:w="762" w:type="pct"/>
            <w:tcBorders>
              <w:top w:val="nil"/>
              <w:left w:val="nil"/>
              <w:bottom w:val="nil"/>
              <w:right w:val="nil"/>
            </w:tcBorders>
            <w:shd w:val="clear" w:color="000000" w:fill="FFFFFF"/>
            <w:noWrap/>
            <w:vAlign w:val="bottom"/>
            <w:hideMark/>
          </w:tcPr>
          <w:p w14:paraId="4E71D64A"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56,0</w:t>
            </w:r>
          </w:p>
        </w:tc>
        <w:tc>
          <w:tcPr>
            <w:tcW w:w="658" w:type="pct"/>
            <w:tcBorders>
              <w:top w:val="nil"/>
              <w:left w:val="nil"/>
              <w:bottom w:val="nil"/>
              <w:right w:val="nil"/>
            </w:tcBorders>
            <w:shd w:val="clear" w:color="auto" w:fill="auto"/>
            <w:noWrap/>
            <w:vAlign w:val="bottom"/>
            <w:hideMark/>
          </w:tcPr>
          <w:p w14:paraId="0036A61C"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62,2%</w:t>
            </w:r>
          </w:p>
        </w:tc>
      </w:tr>
      <w:tr w:rsidR="00C21744" w:rsidRPr="00AE4E8D" w14:paraId="00273D7C" w14:textId="77777777" w:rsidTr="000400C8">
        <w:trPr>
          <w:trHeight w:val="240"/>
        </w:trPr>
        <w:tc>
          <w:tcPr>
            <w:tcW w:w="2818" w:type="pct"/>
            <w:tcBorders>
              <w:top w:val="nil"/>
              <w:left w:val="nil"/>
              <w:bottom w:val="nil"/>
              <w:right w:val="nil"/>
            </w:tcBorders>
            <w:shd w:val="clear" w:color="auto" w:fill="auto"/>
            <w:noWrap/>
            <w:vAlign w:val="bottom"/>
            <w:hideMark/>
          </w:tcPr>
          <w:p w14:paraId="4F27BFB4" w14:textId="77777777" w:rsidR="00C21744" w:rsidRPr="00AE4E8D" w:rsidRDefault="00C21744" w:rsidP="005370B2">
            <w:pPr>
              <w:keepNext/>
              <w:keepLines/>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Propaganda y publicidad  </w:t>
            </w:r>
          </w:p>
        </w:tc>
        <w:tc>
          <w:tcPr>
            <w:tcW w:w="762" w:type="pct"/>
            <w:tcBorders>
              <w:top w:val="nil"/>
              <w:left w:val="nil"/>
              <w:bottom w:val="nil"/>
              <w:right w:val="nil"/>
            </w:tcBorders>
            <w:shd w:val="clear" w:color="000000" w:fill="FFFFFF"/>
            <w:noWrap/>
            <w:vAlign w:val="bottom"/>
            <w:hideMark/>
          </w:tcPr>
          <w:p w14:paraId="42F23448"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173,4</w:t>
            </w:r>
          </w:p>
        </w:tc>
        <w:tc>
          <w:tcPr>
            <w:tcW w:w="762" w:type="pct"/>
            <w:tcBorders>
              <w:top w:val="nil"/>
              <w:left w:val="nil"/>
              <w:bottom w:val="nil"/>
              <w:right w:val="nil"/>
            </w:tcBorders>
            <w:shd w:val="clear" w:color="000000" w:fill="FFFFFF"/>
            <w:noWrap/>
            <w:vAlign w:val="bottom"/>
            <w:hideMark/>
          </w:tcPr>
          <w:p w14:paraId="60CC8A77"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171,9</w:t>
            </w:r>
          </w:p>
        </w:tc>
        <w:tc>
          <w:tcPr>
            <w:tcW w:w="658" w:type="pct"/>
            <w:tcBorders>
              <w:top w:val="nil"/>
              <w:left w:val="nil"/>
              <w:bottom w:val="nil"/>
              <w:right w:val="nil"/>
            </w:tcBorders>
            <w:shd w:val="clear" w:color="auto" w:fill="auto"/>
            <w:noWrap/>
            <w:vAlign w:val="bottom"/>
            <w:hideMark/>
          </w:tcPr>
          <w:p w14:paraId="21E8EF0B"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0,9%</w:t>
            </w:r>
          </w:p>
        </w:tc>
      </w:tr>
      <w:tr w:rsidR="00C21744" w:rsidRPr="00AE4E8D" w14:paraId="2103BBCC" w14:textId="77777777" w:rsidTr="000400C8">
        <w:trPr>
          <w:trHeight w:val="240"/>
        </w:trPr>
        <w:tc>
          <w:tcPr>
            <w:tcW w:w="2818" w:type="pct"/>
            <w:tcBorders>
              <w:top w:val="nil"/>
              <w:left w:val="nil"/>
              <w:bottom w:val="nil"/>
              <w:right w:val="nil"/>
            </w:tcBorders>
            <w:shd w:val="clear" w:color="auto" w:fill="auto"/>
            <w:noWrap/>
            <w:vAlign w:val="bottom"/>
            <w:hideMark/>
          </w:tcPr>
          <w:p w14:paraId="7C6E7245" w14:textId="77777777" w:rsidR="00C21744" w:rsidRPr="00AE4E8D" w:rsidRDefault="00C21744" w:rsidP="005370B2">
            <w:pPr>
              <w:keepNext/>
              <w:keepLines/>
              <w:rPr>
                <w:rFonts w:ascii="Times New Roman" w:hAnsi="Times New Roman"/>
                <w:color w:val="000000"/>
                <w:sz w:val="18"/>
                <w:szCs w:val="18"/>
              </w:rPr>
            </w:pPr>
            <w:r w:rsidRPr="00AE4E8D">
              <w:rPr>
                <w:rFonts w:ascii="Times New Roman" w:hAnsi="Times New Roman"/>
                <w:color w:val="000000"/>
                <w:sz w:val="18"/>
                <w:szCs w:val="18"/>
                <w:lang w:val="es-ES"/>
              </w:rPr>
              <w:t xml:space="preserve">Impuesto al valor agregado y otros impuestos  </w:t>
            </w:r>
          </w:p>
        </w:tc>
        <w:tc>
          <w:tcPr>
            <w:tcW w:w="762" w:type="pct"/>
            <w:tcBorders>
              <w:top w:val="nil"/>
              <w:left w:val="nil"/>
              <w:bottom w:val="nil"/>
              <w:right w:val="nil"/>
            </w:tcBorders>
            <w:shd w:val="clear" w:color="000000" w:fill="FFFFFF"/>
            <w:noWrap/>
            <w:vAlign w:val="bottom"/>
            <w:hideMark/>
          </w:tcPr>
          <w:p w14:paraId="3422B210"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213,2</w:t>
            </w:r>
          </w:p>
        </w:tc>
        <w:tc>
          <w:tcPr>
            <w:tcW w:w="762" w:type="pct"/>
            <w:tcBorders>
              <w:top w:val="nil"/>
              <w:left w:val="nil"/>
              <w:bottom w:val="nil"/>
              <w:right w:val="nil"/>
            </w:tcBorders>
            <w:shd w:val="clear" w:color="000000" w:fill="FFFFFF"/>
            <w:noWrap/>
            <w:vAlign w:val="bottom"/>
            <w:hideMark/>
          </w:tcPr>
          <w:p w14:paraId="3215CE61"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145,5</w:t>
            </w:r>
          </w:p>
        </w:tc>
        <w:tc>
          <w:tcPr>
            <w:tcW w:w="658" w:type="pct"/>
            <w:tcBorders>
              <w:top w:val="nil"/>
              <w:left w:val="nil"/>
              <w:bottom w:val="nil"/>
              <w:right w:val="nil"/>
            </w:tcBorders>
            <w:shd w:val="clear" w:color="auto" w:fill="auto"/>
            <w:noWrap/>
            <w:vAlign w:val="bottom"/>
            <w:hideMark/>
          </w:tcPr>
          <w:p w14:paraId="099B2C6B"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46,5%</w:t>
            </w:r>
          </w:p>
        </w:tc>
      </w:tr>
      <w:tr w:rsidR="00C21744" w:rsidRPr="00AE4E8D" w14:paraId="110D0119" w14:textId="77777777" w:rsidTr="000400C8">
        <w:trPr>
          <w:trHeight w:val="240"/>
        </w:trPr>
        <w:tc>
          <w:tcPr>
            <w:tcW w:w="2818" w:type="pct"/>
            <w:tcBorders>
              <w:top w:val="nil"/>
              <w:left w:val="nil"/>
              <w:bottom w:val="nil"/>
              <w:right w:val="nil"/>
            </w:tcBorders>
            <w:shd w:val="clear" w:color="auto" w:fill="auto"/>
            <w:noWrap/>
            <w:vAlign w:val="bottom"/>
            <w:hideMark/>
          </w:tcPr>
          <w:p w14:paraId="27483A0F" w14:textId="77777777" w:rsidR="00C21744" w:rsidRPr="00AE4E8D" w:rsidRDefault="00C21744" w:rsidP="005370B2">
            <w:pPr>
              <w:keepNext/>
              <w:keepLines/>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Depreciación y amortización  </w:t>
            </w:r>
          </w:p>
        </w:tc>
        <w:tc>
          <w:tcPr>
            <w:tcW w:w="762" w:type="pct"/>
            <w:tcBorders>
              <w:top w:val="nil"/>
              <w:left w:val="nil"/>
              <w:bottom w:val="nil"/>
              <w:right w:val="nil"/>
            </w:tcBorders>
            <w:shd w:val="clear" w:color="000000" w:fill="FFFFFF"/>
            <w:noWrap/>
            <w:vAlign w:val="bottom"/>
            <w:hideMark/>
          </w:tcPr>
          <w:p w14:paraId="18E806BA"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145,0</w:t>
            </w:r>
          </w:p>
        </w:tc>
        <w:tc>
          <w:tcPr>
            <w:tcW w:w="762" w:type="pct"/>
            <w:tcBorders>
              <w:top w:val="nil"/>
              <w:left w:val="nil"/>
              <w:bottom w:val="nil"/>
              <w:right w:val="nil"/>
            </w:tcBorders>
            <w:shd w:val="clear" w:color="000000" w:fill="FFFFFF"/>
            <w:noWrap/>
            <w:vAlign w:val="bottom"/>
            <w:hideMark/>
          </w:tcPr>
          <w:p w14:paraId="1856C6AB"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84,4</w:t>
            </w:r>
          </w:p>
        </w:tc>
        <w:tc>
          <w:tcPr>
            <w:tcW w:w="658" w:type="pct"/>
            <w:tcBorders>
              <w:top w:val="nil"/>
              <w:left w:val="nil"/>
              <w:bottom w:val="nil"/>
              <w:right w:val="nil"/>
            </w:tcBorders>
            <w:shd w:val="clear" w:color="auto" w:fill="auto"/>
            <w:noWrap/>
            <w:vAlign w:val="bottom"/>
            <w:hideMark/>
          </w:tcPr>
          <w:p w14:paraId="54105155"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71,7%</w:t>
            </w:r>
          </w:p>
        </w:tc>
      </w:tr>
      <w:tr w:rsidR="00C21744" w:rsidRPr="00AE4E8D" w14:paraId="0E3860A0" w14:textId="77777777" w:rsidTr="000400C8">
        <w:trPr>
          <w:trHeight w:val="240"/>
        </w:trPr>
        <w:tc>
          <w:tcPr>
            <w:tcW w:w="2818" w:type="pct"/>
            <w:tcBorders>
              <w:top w:val="nil"/>
              <w:left w:val="nil"/>
              <w:bottom w:val="nil"/>
              <w:right w:val="nil"/>
            </w:tcBorders>
            <w:shd w:val="clear" w:color="auto" w:fill="auto"/>
            <w:noWrap/>
            <w:vAlign w:val="bottom"/>
            <w:hideMark/>
          </w:tcPr>
          <w:p w14:paraId="3AEFE00B" w14:textId="77777777" w:rsidR="00C21744" w:rsidRPr="00AE4E8D" w:rsidRDefault="00C21744" w:rsidP="005370B2">
            <w:pPr>
              <w:keepNext/>
              <w:keepLines/>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Gastos Operativos  </w:t>
            </w:r>
          </w:p>
        </w:tc>
        <w:tc>
          <w:tcPr>
            <w:tcW w:w="762" w:type="pct"/>
            <w:tcBorders>
              <w:top w:val="nil"/>
              <w:left w:val="nil"/>
              <w:bottom w:val="nil"/>
              <w:right w:val="nil"/>
            </w:tcBorders>
            <w:shd w:val="clear" w:color="000000" w:fill="FFFFFF"/>
            <w:noWrap/>
            <w:vAlign w:val="bottom"/>
            <w:hideMark/>
          </w:tcPr>
          <w:p w14:paraId="1F72D62C"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407,9</w:t>
            </w:r>
          </w:p>
        </w:tc>
        <w:tc>
          <w:tcPr>
            <w:tcW w:w="762" w:type="pct"/>
            <w:tcBorders>
              <w:top w:val="nil"/>
              <w:left w:val="nil"/>
              <w:bottom w:val="nil"/>
              <w:right w:val="nil"/>
            </w:tcBorders>
            <w:shd w:val="clear" w:color="000000" w:fill="FFFFFF"/>
            <w:noWrap/>
            <w:vAlign w:val="bottom"/>
            <w:hideMark/>
          </w:tcPr>
          <w:p w14:paraId="138F171A"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321,2</w:t>
            </w:r>
          </w:p>
        </w:tc>
        <w:tc>
          <w:tcPr>
            <w:tcW w:w="658" w:type="pct"/>
            <w:tcBorders>
              <w:top w:val="nil"/>
              <w:left w:val="nil"/>
              <w:bottom w:val="nil"/>
              <w:right w:val="nil"/>
            </w:tcBorders>
            <w:shd w:val="clear" w:color="auto" w:fill="auto"/>
            <w:noWrap/>
            <w:vAlign w:val="bottom"/>
            <w:hideMark/>
          </w:tcPr>
          <w:p w14:paraId="7375EE00"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27,0%</w:t>
            </w:r>
          </w:p>
        </w:tc>
      </w:tr>
      <w:tr w:rsidR="00C21744" w:rsidRPr="00AE4E8D" w14:paraId="1D5D2576" w14:textId="77777777" w:rsidTr="000400C8">
        <w:trPr>
          <w:trHeight w:val="255"/>
        </w:trPr>
        <w:tc>
          <w:tcPr>
            <w:tcW w:w="2818" w:type="pct"/>
            <w:tcBorders>
              <w:top w:val="nil"/>
              <w:left w:val="nil"/>
              <w:bottom w:val="nil"/>
              <w:right w:val="nil"/>
            </w:tcBorders>
            <w:shd w:val="clear" w:color="auto" w:fill="auto"/>
            <w:noWrap/>
            <w:vAlign w:val="bottom"/>
            <w:hideMark/>
          </w:tcPr>
          <w:p w14:paraId="23DF9FE3" w14:textId="77777777" w:rsidR="00C21744" w:rsidRPr="00AE4E8D" w:rsidRDefault="00C21744" w:rsidP="005370B2">
            <w:pPr>
              <w:keepNext/>
              <w:keepLines/>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762" w:type="pct"/>
            <w:tcBorders>
              <w:top w:val="nil"/>
              <w:left w:val="nil"/>
              <w:bottom w:val="nil"/>
              <w:right w:val="nil"/>
            </w:tcBorders>
            <w:shd w:val="clear" w:color="000000" w:fill="FFFFFF"/>
            <w:noWrap/>
            <w:vAlign w:val="bottom"/>
            <w:hideMark/>
          </w:tcPr>
          <w:p w14:paraId="55057F10"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292,4</w:t>
            </w:r>
          </w:p>
        </w:tc>
        <w:tc>
          <w:tcPr>
            <w:tcW w:w="762" w:type="pct"/>
            <w:tcBorders>
              <w:top w:val="nil"/>
              <w:left w:val="nil"/>
              <w:bottom w:val="nil"/>
              <w:right w:val="nil"/>
            </w:tcBorders>
            <w:shd w:val="clear" w:color="000000" w:fill="FFFFFF"/>
            <w:noWrap/>
            <w:vAlign w:val="bottom"/>
            <w:hideMark/>
          </w:tcPr>
          <w:p w14:paraId="4EE85A1C"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204,1</w:t>
            </w:r>
          </w:p>
        </w:tc>
        <w:tc>
          <w:tcPr>
            <w:tcW w:w="658" w:type="pct"/>
            <w:tcBorders>
              <w:top w:val="nil"/>
              <w:left w:val="nil"/>
              <w:bottom w:val="nil"/>
              <w:right w:val="nil"/>
            </w:tcBorders>
            <w:shd w:val="clear" w:color="auto" w:fill="auto"/>
            <w:noWrap/>
            <w:vAlign w:val="bottom"/>
            <w:hideMark/>
          </w:tcPr>
          <w:p w14:paraId="42D5C115"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43,4%</w:t>
            </w:r>
          </w:p>
        </w:tc>
      </w:tr>
      <w:tr w:rsidR="00C21744" w:rsidRPr="00AE4E8D" w14:paraId="2EF6CCDF" w14:textId="77777777" w:rsidTr="000400C8">
        <w:trPr>
          <w:trHeight w:val="255"/>
        </w:trPr>
        <w:tc>
          <w:tcPr>
            <w:tcW w:w="2818" w:type="pct"/>
            <w:tcBorders>
              <w:top w:val="nil"/>
              <w:left w:val="nil"/>
              <w:bottom w:val="nil"/>
              <w:right w:val="nil"/>
            </w:tcBorders>
            <w:shd w:val="clear" w:color="auto" w:fill="auto"/>
            <w:noWrap/>
            <w:vAlign w:val="bottom"/>
            <w:hideMark/>
          </w:tcPr>
          <w:p w14:paraId="1972E9C0" w14:textId="77777777" w:rsidR="00C21744" w:rsidRPr="00AE4E8D" w:rsidRDefault="00C21744" w:rsidP="005370B2">
            <w:pPr>
              <w:keepNext/>
              <w:keepLines/>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Total gastos administrativos</w:t>
            </w:r>
            <w:r w:rsidRPr="00AE4E8D">
              <w:rPr>
                <w:rFonts w:ascii="Times New Roman" w:hAnsi="Times New Roman"/>
                <w:color w:val="000000"/>
                <w:sz w:val="18"/>
                <w:szCs w:val="18"/>
                <w:lang w:val="es-ES"/>
              </w:rPr>
              <w:t xml:space="preserve">  </w:t>
            </w:r>
          </w:p>
        </w:tc>
        <w:tc>
          <w:tcPr>
            <w:tcW w:w="762" w:type="pct"/>
            <w:tcBorders>
              <w:top w:val="single" w:sz="8" w:space="0" w:color="auto"/>
              <w:left w:val="nil"/>
              <w:bottom w:val="single" w:sz="8" w:space="0" w:color="auto"/>
              <w:right w:val="nil"/>
            </w:tcBorders>
            <w:shd w:val="clear" w:color="000000" w:fill="FFFFFF"/>
            <w:noWrap/>
            <w:vAlign w:val="bottom"/>
            <w:hideMark/>
          </w:tcPr>
          <w:p w14:paraId="687E21F8"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3.952,6</w:t>
            </w:r>
          </w:p>
        </w:tc>
        <w:tc>
          <w:tcPr>
            <w:tcW w:w="762" w:type="pct"/>
            <w:tcBorders>
              <w:top w:val="single" w:sz="8" w:space="0" w:color="auto"/>
              <w:left w:val="nil"/>
              <w:bottom w:val="single" w:sz="8" w:space="0" w:color="auto"/>
              <w:right w:val="nil"/>
            </w:tcBorders>
            <w:shd w:val="clear" w:color="000000" w:fill="FFFFFF"/>
            <w:noWrap/>
            <w:vAlign w:val="bottom"/>
            <w:hideMark/>
          </w:tcPr>
          <w:p w14:paraId="49EA2247"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2.855,9</w:t>
            </w:r>
          </w:p>
        </w:tc>
        <w:tc>
          <w:tcPr>
            <w:tcW w:w="658" w:type="pct"/>
            <w:tcBorders>
              <w:top w:val="single" w:sz="8" w:space="0" w:color="auto"/>
              <w:left w:val="nil"/>
              <w:bottom w:val="single" w:sz="8" w:space="0" w:color="auto"/>
              <w:right w:val="nil"/>
            </w:tcBorders>
            <w:shd w:val="clear" w:color="auto" w:fill="auto"/>
            <w:noWrap/>
            <w:vAlign w:val="bottom"/>
            <w:hideMark/>
          </w:tcPr>
          <w:p w14:paraId="3631C8F2" w14:textId="77777777" w:rsidR="00C21744" w:rsidRPr="00AE4E8D" w:rsidRDefault="00C21744" w:rsidP="005370B2">
            <w:pPr>
              <w:keepNext/>
              <w:keepLines/>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38,4%</w:t>
            </w:r>
          </w:p>
        </w:tc>
      </w:tr>
    </w:tbl>
    <w:p w14:paraId="4D1E6280" w14:textId="77777777" w:rsidR="00C21744" w:rsidRPr="00AE4E8D" w:rsidRDefault="00C21744" w:rsidP="002E5441">
      <w:pPr>
        <w:pStyle w:val="BHTexto"/>
        <w:rPr>
          <w:rFonts w:eastAsia="Calibri"/>
        </w:rPr>
      </w:pPr>
      <w:r w:rsidRPr="00AE4E8D">
        <w:rPr>
          <w:rFonts w:eastAsia="Calibri"/>
          <w:sz w:val="18"/>
        </w:rPr>
        <w:t>(1) Consistente principalmente de: servicios de consultoría legal, notarial, contable e impositiva, personal temporario, servicios de consultoría y servicios de cobro</w:t>
      </w:r>
      <w:r w:rsidRPr="00AE4E8D">
        <w:rPr>
          <w:rFonts w:eastAsia="Calibri"/>
        </w:rPr>
        <w:t>.</w:t>
      </w:r>
    </w:p>
    <w:p w14:paraId="21B59A06" w14:textId="77777777" w:rsidR="00C21744" w:rsidRPr="00AE4E8D" w:rsidRDefault="00C21744" w:rsidP="002E5441">
      <w:pPr>
        <w:pStyle w:val="BHTexto"/>
        <w:rPr>
          <w:rFonts w:eastAsia="Calibri"/>
        </w:rPr>
      </w:pPr>
      <w:r w:rsidRPr="00AE4E8D">
        <w:rPr>
          <w:rFonts w:eastAsia="Calibri"/>
        </w:rPr>
        <w:t>Los gastos administrativos aumentaron un 38,4% de Ps.</w:t>
      </w:r>
      <w:r w:rsidRPr="00AE4E8D">
        <w:t>2.855,9</w:t>
      </w:r>
      <w:r w:rsidRPr="00AE4E8D">
        <w:rPr>
          <w:rFonts w:eastAsia="Calibri"/>
        </w:rPr>
        <w:t xml:space="preserve"> millones al 31 de diciembre de 2014 a Ps.</w:t>
      </w:r>
      <w:r w:rsidRPr="00AE4E8D">
        <w:t>3.952,6</w:t>
      </w:r>
      <w:r w:rsidRPr="00AE4E8D">
        <w:rPr>
          <w:rFonts w:eastAsia="Calibri"/>
        </w:rPr>
        <w:t xml:space="preserve"> millones al 31 de diciembre de 2015, debido principalmente a:</w:t>
      </w:r>
    </w:p>
    <w:p w14:paraId="4EE2A3A2" w14:textId="77777777" w:rsidR="00C21744" w:rsidRPr="00AE4E8D" w:rsidRDefault="00C21744" w:rsidP="00C21744">
      <w:pPr>
        <w:pStyle w:val="BHVieta2"/>
        <w:numPr>
          <w:ilvl w:val="0"/>
          <w:numId w:val="167"/>
        </w:numPr>
        <w:rPr>
          <w:lang w:val="es-ES"/>
        </w:rPr>
      </w:pPr>
      <w:r w:rsidRPr="00AE4E8D">
        <w:rPr>
          <w:lang w:val="es-ES"/>
        </w:rPr>
        <w:t>Un aumento del 38,8% en gastos de personal, de Ps.</w:t>
      </w:r>
      <w:r w:rsidRPr="00AE4E8D">
        <w:rPr>
          <w:lang w:val="es-ES" w:eastAsia="es-ES"/>
        </w:rPr>
        <w:t>1.579,6</w:t>
      </w:r>
      <w:r w:rsidRPr="00AE4E8D">
        <w:rPr>
          <w:lang w:val="es-ES"/>
        </w:rPr>
        <w:t xml:space="preserve"> millones al 31 de diciembre de 2014 a Ps.</w:t>
      </w:r>
      <w:r w:rsidRPr="00AE4E8D">
        <w:rPr>
          <w:lang w:val="es-ES" w:eastAsia="es-ES"/>
        </w:rPr>
        <w:t>2.192,7</w:t>
      </w:r>
      <w:r w:rsidRPr="00AE4E8D">
        <w:rPr>
          <w:lang w:val="es-ES"/>
        </w:rPr>
        <w:t xml:space="preserve"> millones al 31 de diciembre de 2015, fundamentalmente debido a mayores remuneraciones y cargas sociales requeridas por las reglamentaciones aplicables de Argentina principalmente como resultado de los ajustes salariales negociados entre los bancos y el sindicato; </w:t>
      </w:r>
    </w:p>
    <w:p w14:paraId="67AC5451" w14:textId="77777777" w:rsidR="00C21744" w:rsidRPr="00AE4E8D" w:rsidRDefault="00C21744" w:rsidP="00C21744">
      <w:pPr>
        <w:pStyle w:val="BHVieta2"/>
        <w:numPr>
          <w:ilvl w:val="0"/>
          <w:numId w:val="167"/>
        </w:numPr>
        <w:rPr>
          <w:lang w:val="es-ES"/>
        </w:rPr>
      </w:pPr>
      <w:r w:rsidRPr="00AE4E8D">
        <w:rPr>
          <w:lang w:val="es-ES"/>
        </w:rPr>
        <w:t>Un aumento del 27,0% en otros gastos operativos de Ps. 321,2 millones al 31 de diciembre de 2014 a Ps. 407,9 millones al 31 de diciembre de 2015; y</w:t>
      </w:r>
    </w:p>
    <w:p w14:paraId="592B98CB" w14:textId="77777777" w:rsidR="00C21744" w:rsidRPr="00AE4E8D" w:rsidRDefault="00C21744" w:rsidP="00C21744">
      <w:pPr>
        <w:pStyle w:val="BHVieta2"/>
        <w:numPr>
          <w:ilvl w:val="0"/>
          <w:numId w:val="167"/>
        </w:numPr>
        <w:rPr>
          <w:lang w:val="es-ES"/>
        </w:rPr>
      </w:pPr>
      <w:r w:rsidRPr="00AE4E8D">
        <w:rPr>
          <w:lang w:val="es-ES"/>
        </w:rPr>
        <w:t xml:space="preserve">Un aumento del </w:t>
      </w:r>
      <w:r w:rsidRPr="00AE4E8D">
        <w:rPr>
          <w:lang w:val="es-ES" w:eastAsia="es-ES"/>
        </w:rPr>
        <w:t>49,1</w:t>
      </w:r>
      <w:r w:rsidRPr="00AE4E8D">
        <w:rPr>
          <w:lang w:val="es-ES"/>
        </w:rPr>
        <w:t>% en otros honorarios, de Ps.</w:t>
      </w:r>
      <w:r w:rsidRPr="00AE4E8D">
        <w:rPr>
          <w:lang w:val="es-ES" w:eastAsia="es-ES"/>
        </w:rPr>
        <w:t>293</w:t>
      </w:r>
      <w:proofErr w:type="gramStart"/>
      <w:r w:rsidRPr="00AE4E8D">
        <w:rPr>
          <w:lang w:val="es-ES" w:eastAsia="es-ES"/>
        </w:rPr>
        <w:t>,2</w:t>
      </w:r>
      <w:proofErr w:type="gramEnd"/>
      <w:r w:rsidRPr="00AE4E8D">
        <w:rPr>
          <w:lang w:val="es-ES"/>
        </w:rPr>
        <w:t xml:space="preserve"> millones al 31 de diciembre de 2014 a Ps.</w:t>
      </w:r>
      <w:r w:rsidRPr="00AE4E8D">
        <w:rPr>
          <w:lang w:val="es-ES" w:eastAsia="es-ES"/>
        </w:rPr>
        <w:t>437,2</w:t>
      </w:r>
      <w:r w:rsidRPr="00AE4E8D">
        <w:rPr>
          <w:lang w:val="es-ES"/>
        </w:rPr>
        <w:t xml:space="preserve"> millones al 31 de diciembre de 2015, principalmente como resultado de mayores gastos en desarrollos de sistemas.</w:t>
      </w:r>
    </w:p>
    <w:p w14:paraId="789176C3" w14:textId="77777777" w:rsidR="00C21744" w:rsidRPr="00AE4E8D" w:rsidRDefault="00C21744" w:rsidP="002E5441">
      <w:pPr>
        <w:pStyle w:val="BH4Cursiva"/>
        <w:rPr>
          <w:rFonts w:eastAsia="Calibri"/>
        </w:rPr>
      </w:pPr>
      <w:r w:rsidRPr="00AE4E8D">
        <w:rPr>
          <w:rFonts w:eastAsia="Calibri"/>
        </w:rPr>
        <w:t>Utilidades Diversas Netas</w:t>
      </w:r>
    </w:p>
    <w:p w14:paraId="7F8620EE" w14:textId="77777777" w:rsidR="00C21744" w:rsidRPr="00AE4E8D" w:rsidRDefault="00C21744" w:rsidP="002E5441">
      <w:pPr>
        <w:pStyle w:val="BHTexto"/>
        <w:rPr>
          <w:rFonts w:eastAsia="Calibri"/>
        </w:rPr>
      </w:pPr>
      <w:r w:rsidRPr="00AE4E8D">
        <w:rPr>
          <w:rFonts w:eastAsia="Calibri"/>
        </w:rPr>
        <w:t>La siguiente tabla detalla las utilidades netas diversas para los ejercicios finalizados el 31 de diciembre de 2015 y 2014:</w:t>
      </w:r>
    </w:p>
    <w:tbl>
      <w:tblPr>
        <w:tblW w:w="5000" w:type="pct"/>
        <w:tblLook w:val="04A0" w:firstRow="1" w:lastRow="0" w:firstColumn="1" w:lastColumn="0" w:noHBand="0" w:noVBand="1"/>
      </w:tblPr>
      <w:tblGrid>
        <w:gridCol w:w="4144"/>
        <w:gridCol w:w="1688"/>
        <w:gridCol w:w="1688"/>
        <w:gridCol w:w="1201"/>
      </w:tblGrid>
      <w:tr w:rsidR="00C21744" w:rsidRPr="00AE4E8D" w14:paraId="7B74527A" w14:textId="77777777" w:rsidTr="000400C8">
        <w:trPr>
          <w:trHeight w:val="255"/>
        </w:trPr>
        <w:tc>
          <w:tcPr>
            <w:tcW w:w="2818" w:type="pct"/>
            <w:tcBorders>
              <w:top w:val="nil"/>
              <w:left w:val="nil"/>
              <w:bottom w:val="nil"/>
              <w:right w:val="nil"/>
            </w:tcBorders>
            <w:shd w:val="clear" w:color="auto" w:fill="auto"/>
            <w:noWrap/>
            <w:vAlign w:val="bottom"/>
            <w:hideMark/>
          </w:tcPr>
          <w:p w14:paraId="57AA41AC" w14:textId="77777777" w:rsidR="00C21744" w:rsidRPr="00AE4E8D" w:rsidRDefault="00C21744" w:rsidP="00C21744">
            <w:pPr>
              <w:rPr>
                <w:rFonts w:ascii="Times New Roman" w:hAnsi="Times New Roman"/>
                <w:color w:val="000000"/>
                <w:sz w:val="18"/>
                <w:szCs w:val="18"/>
              </w:rPr>
            </w:pPr>
          </w:p>
        </w:tc>
        <w:tc>
          <w:tcPr>
            <w:tcW w:w="1524" w:type="pct"/>
            <w:gridSpan w:val="2"/>
            <w:tcBorders>
              <w:top w:val="single" w:sz="8" w:space="0" w:color="auto"/>
              <w:left w:val="nil"/>
              <w:bottom w:val="single" w:sz="8" w:space="0" w:color="auto"/>
              <w:right w:val="nil"/>
            </w:tcBorders>
            <w:shd w:val="clear" w:color="auto" w:fill="auto"/>
            <w:noWrap/>
            <w:vAlign w:val="bottom"/>
            <w:hideMark/>
          </w:tcPr>
          <w:p w14:paraId="39A63D06" w14:textId="77777777" w:rsidR="00C21744" w:rsidRPr="00AE4E8D" w:rsidRDefault="00C21744" w:rsidP="00C21744">
            <w:pPr>
              <w:jc w:val="center"/>
              <w:rPr>
                <w:rFonts w:ascii="Times New Roman" w:hAnsi="Times New Roman"/>
                <w:b/>
                <w:bCs/>
                <w:color w:val="000000"/>
                <w:sz w:val="18"/>
                <w:szCs w:val="18"/>
              </w:rPr>
            </w:pPr>
            <w:r w:rsidRPr="00AE4E8D">
              <w:rPr>
                <w:rFonts w:ascii="Times New Roman" w:hAnsi="Times New Roman"/>
                <w:b/>
                <w:bCs/>
                <w:color w:val="000000"/>
                <w:sz w:val="18"/>
                <w:szCs w:val="18"/>
                <w:lang w:val="es-ES"/>
              </w:rPr>
              <w:t>Ejercicio finalizado el 31 de diciembre de</w:t>
            </w:r>
          </w:p>
        </w:tc>
        <w:tc>
          <w:tcPr>
            <w:tcW w:w="658" w:type="pct"/>
            <w:tcBorders>
              <w:top w:val="single" w:sz="8" w:space="0" w:color="auto"/>
              <w:left w:val="nil"/>
              <w:bottom w:val="single" w:sz="8" w:space="0" w:color="auto"/>
              <w:right w:val="nil"/>
            </w:tcBorders>
            <w:shd w:val="clear" w:color="auto" w:fill="auto"/>
            <w:noWrap/>
            <w:vAlign w:val="bottom"/>
            <w:hideMark/>
          </w:tcPr>
          <w:p w14:paraId="397FEB58"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n-US"/>
              </w:rPr>
              <w:t>% Variación</w:t>
            </w:r>
          </w:p>
        </w:tc>
      </w:tr>
      <w:tr w:rsidR="00C21744" w:rsidRPr="00AE4E8D" w14:paraId="29C11E99" w14:textId="77777777" w:rsidTr="000400C8">
        <w:trPr>
          <w:trHeight w:val="255"/>
        </w:trPr>
        <w:tc>
          <w:tcPr>
            <w:tcW w:w="2818" w:type="pct"/>
            <w:tcBorders>
              <w:top w:val="nil"/>
              <w:left w:val="nil"/>
              <w:bottom w:val="nil"/>
              <w:right w:val="nil"/>
            </w:tcBorders>
            <w:shd w:val="clear" w:color="auto" w:fill="auto"/>
            <w:noWrap/>
            <w:vAlign w:val="bottom"/>
            <w:hideMark/>
          </w:tcPr>
          <w:p w14:paraId="388D0569" w14:textId="77777777" w:rsidR="00C21744" w:rsidRPr="00AE4E8D" w:rsidRDefault="00C21744" w:rsidP="00C21744">
            <w:pPr>
              <w:rPr>
                <w:rFonts w:ascii="Times New Roman" w:hAnsi="Times New Roman"/>
                <w:color w:val="000000"/>
                <w:sz w:val="18"/>
                <w:szCs w:val="18"/>
                <w:lang w:val="en-US"/>
              </w:rPr>
            </w:pPr>
          </w:p>
        </w:tc>
        <w:tc>
          <w:tcPr>
            <w:tcW w:w="762" w:type="pct"/>
            <w:tcBorders>
              <w:top w:val="nil"/>
              <w:left w:val="nil"/>
              <w:bottom w:val="single" w:sz="8" w:space="0" w:color="auto"/>
              <w:right w:val="nil"/>
            </w:tcBorders>
            <w:shd w:val="clear" w:color="auto" w:fill="auto"/>
            <w:noWrap/>
            <w:vAlign w:val="bottom"/>
            <w:hideMark/>
          </w:tcPr>
          <w:p w14:paraId="151566FD"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2015</w:t>
            </w:r>
          </w:p>
        </w:tc>
        <w:tc>
          <w:tcPr>
            <w:tcW w:w="762" w:type="pct"/>
            <w:tcBorders>
              <w:top w:val="nil"/>
              <w:left w:val="nil"/>
              <w:bottom w:val="single" w:sz="8" w:space="0" w:color="auto"/>
              <w:right w:val="nil"/>
            </w:tcBorders>
            <w:shd w:val="clear" w:color="auto" w:fill="auto"/>
            <w:noWrap/>
            <w:vAlign w:val="bottom"/>
            <w:hideMark/>
          </w:tcPr>
          <w:p w14:paraId="711CA337"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w:t>
            </w:r>
          </w:p>
        </w:tc>
        <w:tc>
          <w:tcPr>
            <w:tcW w:w="658" w:type="pct"/>
            <w:tcBorders>
              <w:top w:val="nil"/>
              <w:left w:val="nil"/>
              <w:bottom w:val="single" w:sz="8" w:space="0" w:color="auto"/>
              <w:right w:val="nil"/>
            </w:tcBorders>
            <w:shd w:val="clear" w:color="auto" w:fill="auto"/>
            <w:noWrap/>
            <w:vAlign w:val="bottom"/>
            <w:hideMark/>
          </w:tcPr>
          <w:p w14:paraId="72AE74BB" w14:textId="77777777" w:rsidR="00C21744" w:rsidRPr="00AE4E8D" w:rsidRDefault="00C21744" w:rsidP="00C21744">
            <w:pPr>
              <w:jc w:val="cente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2014/2015</w:t>
            </w:r>
          </w:p>
        </w:tc>
      </w:tr>
      <w:tr w:rsidR="00C21744" w:rsidRPr="00AE4E8D" w14:paraId="611590F2" w14:textId="77777777" w:rsidTr="000400C8">
        <w:trPr>
          <w:trHeight w:val="240"/>
        </w:trPr>
        <w:tc>
          <w:tcPr>
            <w:tcW w:w="2818" w:type="pct"/>
            <w:tcBorders>
              <w:top w:val="nil"/>
              <w:left w:val="nil"/>
              <w:bottom w:val="nil"/>
              <w:right w:val="nil"/>
            </w:tcBorders>
            <w:shd w:val="clear" w:color="auto" w:fill="auto"/>
            <w:noWrap/>
            <w:vAlign w:val="bottom"/>
            <w:hideMark/>
          </w:tcPr>
          <w:p w14:paraId="70BFA660" w14:textId="77777777" w:rsidR="00C21744" w:rsidRPr="00AE4E8D" w:rsidRDefault="00C21744" w:rsidP="00C21744">
            <w:pPr>
              <w:rPr>
                <w:rFonts w:ascii="Times New Roman" w:hAnsi="Times New Roman"/>
                <w:color w:val="000000"/>
                <w:sz w:val="18"/>
                <w:szCs w:val="18"/>
                <w:lang w:val="en-US"/>
              </w:rPr>
            </w:pPr>
          </w:p>
        </w:tc>
        <w:tc>
          <w:tcPr>
            <w:tcW w:w="2182" w:type="pct"/>
            <w:gridSpan w:val="3"/>
            <w:tcBorders>
              <w:top w:val="single" w:sz="8" w:space="0" w:color="auto"/>
              <w:left w:val="nil"/>
              <w:bottom w:val="nil"/>
              <w:right w:val="nil"/>
            </w:tcBorders>
            <w:shd w:val="clear" w:color="auto" w:fill="auto"/>
            <w:noWrap/>
            <w:vAlign w:val="bottom"/>
            <w:hideMark/>
          </w:tcPr>
          <w:p w14:paraId="035EA611" w14:textId="77777777" w:rsidR="00C21744" w:rsidRPr="00AE4E8D" w:rsidRDefault="00C21744" w:rsidP="00C21744">
            <w:pPr>
              <w:jc w:val="center"/>
              <w:rPr>
                <w:rFonts w:ascii="Times New Roman" w:hAnsi="Times New Roman"/>
                <w:color w:val="000000"/>
                <w:sz w:val="18"/>
                <w:szCs w:val="18"/>
              </w:rPr>
            </w:pPr>
            <w:r w:rsidRPr="00AE4E8D">
              <w:rPr>
                <w:rFonts w:ascii="Times New Roman" w:hAnsi="Times New Roman"/>
                <w:color w:val="000000"/>
                <w:sz w:val="18"/>
                <w:szCs w:val="18"/>
                <w:lang w:val="es-ES"/>
              </w:rPr>
              <w:t>(en millones de Ps., excepto porcentajes)</w:t>
            </w:r>
          </w:p>
        </w:tc>
      </w:tr>
      <w:tr w:rsidR="00C21744" w:rsidRPr="00AE4E8D" w14:paraId="326C3C7F" w14:textId="77777777" w:rsidTr="000400C8">
        <w:trPr>
          <w:trHeight w:val="240"/>
        </w:trPr>
        <w:tc>
          <w:tcPr>
            <w:tcW w:w="2818" w:type="pct"/>
            <w:tcBorders>
              <w:top w:val="nil"/>
              <w:left w:val="nil"/>
              <w:bottom w:val="nil"/>
              <w:right w:val="nil"/>
            </w:tcBorders>
            <w:shd w:val="clear" w:color="auto" w:fill="auto"/>
            <w:noWrap/>
            <w:vAlign w:val="bottom"/>
            <w:hideMark/>
          </w:tcPr>
          <w:p w14:paraId="13668BA7" w14:textId="77777777" w:rsidR="00C21744" w:rsidRPr="00AE4E8D" w:rsidRDefault="00C21744" w:rsidP="00C21744">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 xml:space="preserve">Utilidades diversas </w:t>
            </w:r>
          </w:p>
        </w:tc>
        <w:tc>
          <w:tcPr>
            <w:tcW w:w="762" w:type="pct"/>
            <w:tcBorders>
              <w:top w:val="nil"/>
              <w:left w:val="nil"/>
              <w:bottom w:val="nil"/>
              <w:right w:val="nil"/>
            </w:tcBorders>
            <w:shd w:val="clear" w:color="auto" w:fill="auto"/>
            <w:noWrap/>
            <w:vAlign w:val="bottom"/>
            <w:hideMark/>
          </w:tcPr>
          <w:p w14:paraId="6008432F" w14:textId="77777777" w:rsidR="00C21744" w:rsidRPr="00AE4E8D" w:rsidRDefault="00C21744" w:rsidP="00C21744">
            <w:pPr>
              <w:rPr>
                <w:rFonts w:ascii="Times New Roman" w:hAnsi="Times New Roman"/>
                <w:color w:val="000000"/>
                <w:sz w:val="18"/>
                <w:szCs w:val="18"/>
                <w:lang w:val="en-US"/>
              </w:rPr>
            </w:pPr>
          </w:p>
        </w:tc>
        <w:tc>
          <w:tcPr>
            <w:tcW w:w="762" w:type="pct"/>
            <w:tcBorders>
              <w:top w:val="nil"/>
              <w:left w:val="nil"/>
              <w:bottom w:val="nil"/>
              <w:right w:val="nil"/>
            </w:tcBorders>
            <w:shd w:val="clear" w:color="auto" w:fill="auto"/>
            <w:noWrap/>
            <w:vAlign w:val="bottom"/>
            <w:hideMark/>
          </w:tcPr>
          <w:p w14:paraId="380640C9" w14:textId="77777777" w:rsidR="00C21744" w:rsidRPr="00AE4E8D" w:rsidRDefault="00C21744" w:rsidP="00C21744">
            <w:pPr>
              <w:rPr>
                <w:rFonts w:ascii="Times New Roman" w:hAnsi="Times New Roman"/>
                <w:color w:val="000000"/>
                <w:sz w:val="18"/>
                <w:szCs w:val="18"/>
                <w:lang w:val="en-US"/>
              </w:rPr>
            </w:pPr>
          </w:p>
        </w:tc>
        <w:tc>
          <w:tcPr>
            <w:tcW w:w="658" w:type="pct"/>
            <w:tcBorders>
              <w:top w:val="nil"/>
              <w:left w:val="nil"/>
              <w:bottom w:val="nil"/>
              <w:right w:val="nil"/>
            </w:tcBorders>
            <w:shd w:val="clear" w:color="auto" w:fill="auto"/>
            <w:noWrap/>
            <w:vAlign w:val="bottom"/>
            <w:hideMark/>
          </w:tcPr>
          <w:p w14:paraId="62F02946" w14:textId="77777777" w:rsidR="00C21744" w:rsidRPr="00AE4E8D" w:rsidRDefault="00C21744" w:rsidP="00C21744">
            <w:pPr>
              <w:rPr>
                <w:rFonts w:ascii="Times New Roman" w:hAnsi="Times New Roman"/>
                <w:color w:val="000000"/>
                <w:sz w:val="18"/>
                <w:szCs w:val="18"/>
                <w:lang w:val="en-US"/>
              </w:rPr>
            </w:pPr>
          </w:p>
        </w:tc>
      </w:tr>
      <w:tr w:rsidR="00C21744" w:rsidRPr="00AE4E8D" w14:paraId="5CEE1579" w14:textId="77777777" w:rsidTr="000400C8">
        <w:trPr>
          <w:trHeight w:val="240"/>
        </w:trPr>
        <w:tc>
          <w:tcPr>
            <w:tcW w:w="2818" w:type="pct"/>
            <w:tcBorders>
              <w:top w:val="nil"/>
              <w:left w:val="nil"/>
              <w:bottom w:val="nil"/>
              <w:right w:val="nil"/>
            </w:tcBorders>
            <w:shd w:val="clear" w:color="auto" w:fill="auto"/>
            <w:noWrap/>
            <w:vAlign w:val="bottom"/>
            <w:hideMark/>
          </w:tcPr>
          <w:p w14:paraId="7D599459"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Resultados de participaciones permanentes  </w:t>
            </w:r>
          </w:p>
        </w:tc>
        <w:tc>
          <w:tcPr>
            <w:tcW w:w="762" w:type="pct"/>
            <w:tcBorders>
              <w:top w:val="nil"/>
              <w:left w:val="nil"/>
              <w:bottom w:val="nil"/>
              <w:right w:val="nil"/>
            </w:tcBorders>
            <w:shd w:val="clear" w:color="000000" w:fill="FFFFFF"/>
            <w:noWrap/>
            <w:vAlign w:val="bottom"/>
            <w:hideMark/>
          </w:tcPr>
          <w:p w14:paraId="709D0DB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13,8</w:t>
            </w:r>
          </w:p>
        </w:tc>
        <w:tc>
          <w:tcPr>
            <w:tcW w:w="762" w:type="pct"/>
            <w:tcBorders>
              <w:top w:val="nil"/>
              <w:left w:val="nil"/>
              <w:bottom w:val="nil"/>
              <w:right w:val="nil"/>
            </w:tcBorders>
            <w:shd w:val="clear" w:color="000000" w:fill="FFFFFF"/>
            <w:noWrap/>
            <w:vAlign w:val="bottom"/>
            <w:hideMark/>
          </w:tcPr>
          <w:p w14:paraId="5424418E"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3,7</w:t>
            </w:r>
          </w:p>
        </w:tc>
        <w:tc>
          <w:tcPr>
            <w:tcW w:w="658" w:type="pct"/>
            <w:tcBorders>
              <w:top w:val="nil"/>
              <w:left w:val="nil"/>
              <w:bottom w:val="nil"/>
              <w:right w:val="nil"/>
            </w:tcBorders>
            <w:shd w:val="clear" w:color="auto" w:fill="auto"/>
            <w:noWrap/>
            <w:vAlign w:val="bottom"/>
            <w:hideMark/>
          </w:tcPr>
          <w:p w14:paraId="0DF3CC37" w14:textId="77777777" w:rsidR="00C21744" w:rsidRPr="00AE4E8D" w:rsidRDefault="00212606"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272,97%</w:t>
            </w:r>
          </w:p>
        </w:tc>
      </w:tr>
      <w:tr w:rsidR="00C21744" w:rsidRPr="00AE4E8D" w14:paraId="54E72D2E" w14:textId="77777777" w:rsidTr="000400C8">
        <w:trPr>
          <w:trHeight w:val="240"/>
        </w:trPr>
        <w:tc>
          <w:tcPr>
            <w:tcW w:w="2818" w:type="pct"/>
            <w:tcBorders>
              <w:top w:val="nil"/>
              <w:left w:val="nil"/>
              <w:bottom w:val="nil"/>
              <w:right w:val="nil"/>
            </w:tcBorders>
            <w:shd w:val="clear" w:color="auto" w:fill="auto"/>
            <w:noWrap/>
            <w:vAlign w:val="bottom"/>
            <w:hideMark/>
          </w:tcPr>
          <w:p w14:paraId="34BAA557"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Intereses punitorios  </w:t>
            </w:r>
          </w:p>
        </w:tc>
        <w:tc>
          <w:tcPr>
            <w:tcW w:w="762" w:type="pct"/>
            <w:tcBorders>
              <w:top w:val="nil"/>
              <w:left w:val="nil"/>
              <w:bottom w:val="nil"/>
              <w:right w:val="nil"/>
            </w:tcBorders>
            <w:shd w:val="clear" w:color="000000" w:fill="FFFFFF"/>
            <w:noWrap/>
            <w:vAlign w:val="bottom"/>
            <w:hideMark/>
          </w:tcPr>
          <w:p w14:paraId="7765C10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98,4</w:t>
            </w:r>
          </w:p>
        </w:tc>
        <w:tc>
          <w:tcPr>
            <w:tcW w:w="762" w:type="pct"/>
            <w:tcBorders>
              <w:top w:val="nil"/>
              <w:left w:val="nil"/>
              <w:bottom w:val="nil"/>
              <w:right w:val="nil"/>
            </w:tcBorders>
            <w:shd w:val="clear" w:color="000000" w:fill="FFFFFF"/>
            <w:noWrap/>
            <w:vAlign w:val="bottom"/>
            <w:hideMark/>
          </w:tcPr>
          <w:p w14:paraId="15AB6C96"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77,3</w:t>
            </w:r>
          </w:p>
        </w:tc>
        <w:tc>
          <w:tcPr>
            <w:tcW w:w="658" w:type="pct"/>
            <w:tcBorders>
              <w:top w:val="nil"/>
              <w:left w:val="nil"/>
              <w:bottom w:val="nil"/>
              <w:right w:val="nil"/>
            </w:tcBorders>
            <w:shd w:val="clear" w:color="auto" w:fill="auto"/>
            <w:noWrap/>
            <w:vAlign w:val="bottom"/>
            <w:hideMark/>
          </w:tcPr>
          <w:p w14:paraId="6C7162C6"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27,2%</w:t>
            </w:r>
          </w:p>
        </w:tc>
      </w:tr>
      <w:tr w:rsidR="00C21744" w:rsidRPr="00AE4E8D" w14:paraId="7C51815F" w14:textId="77777777" w:rsidTr="000400C8">
        <w:trPr>
          <w:trHeight w:val="240"/>
        </w:trPr>
        <w:tc>
          <w:tcPr>
            <w:tcW w:w="2818" w:type="pct"/>
            <w:tcBorders>
              <w:top w:val="nil"/>
              <w:left w:val="nil"/>
              <w:bottom w:val="nil"/>
              <w:right w:val="nil"/>
            </w:tcBorders>
            <w:shd w:val="clear" w:color="auto" w:fill="auto"/>
            <w:noWrap/>
            <w:vAlign w:val="bottom"/>
            <w:hideMark/>
          </w:tcPr>
          <w:p w14:paraId="43BD233D"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Recupero de préstamos y previsiones desafectadas  </w:t>
            </w:r>
          </w:p>
        </w:tc>
        <w:tc>
          <w:tcPr>
            <w:tcW w:w="762" w:type="pct"/>
            <w:tcBorders>
              <w:top w:val="nil"/>
              <w:left w:val="nil"/>
              <w:bottom w:val="nil"/>
              <w:right w:val="nil"/>
            </w:tcBorders>
            <w:shd w:val="clear" w:color="000000" w:fill="FFFFFF"/>
            <w:noWrap/>
            <w:vAlign w:val="bottom"/>
            <w:hideMark/>
          </w:tcPr>
          <w:p w14:paraId="49FDB9B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265,5</w:t>
            </w:r>
          </w:p>
        </w:tc>
        <w:tc>
          <w:tcPr>
            <w:tcW w:w="762" w:type="pct"/>
            <w:tcBorders>
              <w:top w:val="nil"/>
              <w:left w:val="nil"/>
              <w:bottom w:val="nil"/>
              <w:right w:val="nil"/>
            </w:tcBorders>
            <w:shd w:val="clear" w:color="000000" w:fill="FFFFFF"/>
            <w:noWrap/>
            <w:vAlign w:val="bottom"/>
            <w:hideMark/>
          </w:tcPr>
          <w:p w14:paraId="25CAAA8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105,3</w:t>
            </w:r>
          </w:p>
        </w:tc>
        <w:tc>
          <w:tcPr>
            <w:tcW w:w="658" w:type="pct"/>
            <w:tcBorders>
              <w:top w:val="nil"/>
              <w:left w:val="nil"/>
              <w:bottom w:val="nil"/>
              <w:right w:val="nil"/>
            </w:tcBorders>
            <w:shd w:val="clear" w:color="auto" w:fill="auto"/>
            <w:noWrap/>
            <w:vAlign w:val="bottom"/>
            <w:hideMark/>
          </w:tcPr>
          <w:p w14:paraId="6AFCB8F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152,1%</w:t>
            </w:r>
          </w:p>
        </w:tc>
      </w:tr>
      <w:tr w:rsidR="00C21744" w:rsidRPr="00AE4E8D" w14:paraId="7D1B4E41" w14:textId="77777777" w:rsidTr="000400C8">
        <w:trPr>
          <w:trHeight w:val="255"/>
        </w:trPr>
        <w:tc>
          <w:tcPr>
            <w:tcW w:w="2818" w:type="pct"/>
            <w:tcBorders>
              <w:top w:val="nil"/>
              <w:left w:val="nil"/>
              <w:bottom w:val="nil"/>
              <w:right w:val="nil"/>
            </w:tcBorders>
            <w:shd w:val="clear" w:color="auto" w:fill="auto"/>
            <w:noWrap/>
            <w:vAlign w:val="bottom"/>
            <w:hideMark/>
          </w:tcPr>
          <w:p w14:paraId="5DDD1405"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762" w:type="pct"/>
            <w:tcBorders>
              <w:top w:val="nil"/>
              <w:left w:val="nil"/>
              <w:bottom w:val="nil"/>
              <w:right w:val="nil"/>
            </w:tcBorders>
            <w:shd w:val="clear" w:color="000000" w:fill="FFFFFF"/>
            <w:noWrap/>
            <w:vAlign w:val="bottom"/>
            <w:hideMark/>
          </w:tcPr>
          <w:p w14:paraId="0555DD0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117,3</w:t>
            </w:r>
          </w:p>
        </w:tc>
        <w:tc>
          <w:tcPr>
            <w:tcW w:w="762" w:type="pct"/>
            <w:tcBorders>
              <w:top w:val="nil"/>
              <w:left w:val="nil"/>
              <w:bottom w:val="nil"/>
              <w:right w:val="nil"/>
            </w:tcBorders>
            <w:shd w:val="clear" w:color="000000" w:fill="FFFFFF"/>
            <w:noWrap/>
            <w:vAlign w:val="bottom"/>
            <w:hideMark/>
          </w:tcPr>
          <w:p w14:paraId="4A0E48B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94,2</w:t>
            </w:r>
          </w:p>
        </w:tc>
        <w:tc>
          <w:tcPr>
            <w:tcW w:w="658" w:type="pct"/>
            <w:tcBorders>
              <w:top w:val="nil"/>
              <w:left w:val="nil"/>
              <w:bottom w:val="nil"/>
              <w:right w:val="nil"/>
            </w:tcBorders>
            <w:shd w:val="clear" w:color="auto" w:fill="auto"/>
            <w:noWrap/>
            <w:vAlign w:val="bottom"/>
            <w:hideMark/>
          </w:tcPr>
          <w:p w14:paraId="21094EA8"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24,7%</w:t>
            </w:r>
          </w:p>
        </w:tc>
      </w:tr>
      <w:tr w:rsidR="00C21744" w:rsidRPr="00AE4E8D" w14:paraId="63DE0CE6" w14:textId="77777777" w:rsidTr="000400C8">
        <w:trPr>
          <w:trHeight w:val="255"/>
        </w:trPr>
        <w:tc>
          <w:tcPr>
            <w:tcW w:w="2818" w:type="pct"/>
            <w:tcBorders>
              <w:top w:val="nil"/>
              <w:left w:val="nil"/>
              <w:bottom w:val="nil"/>
              <w:right w:val="nil"/>
            </w:tcBorders>
            <w:shd w:val="clear" w:color="auto" w:fill="auto"/>
            <w:noWrap/>
            <w:vAlign w:val="bottom"/>
            <w:hideMark/>
          </w:tcPr>
          <w:p w14:paraId="1B9621E8" w14:textId="77777777" w:rsidR="00C21744" w:rsidRPr="00AE4E8D" w:rsidRDefault="00C21744" w:rsidP="00C21744">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Total utilidades diversas</w:t>
            </w:r>
            <w:r w:rsidRPr="00AE4E8D">
              <w:rPr>
                <w:rFonts w:ascii="Times New Roman" w:hAnsi="Times New Roman"/>
                <w:b/>
                <w:color w:val="000000"/>
                <w:sz w:val="18"/>
                <w:lang w:val="es-ES"/>
              </w:rPr>
              <w:t xml:space="preserve"> </w:t>
            </w:r>
            <w:r w:rsidRPr="00AE4E8D">
              <w:rPr>
                <w:rFonts w:ascii="Times New Roman" w:hAnsi="Times New Roman"/>
                <w:b/>
                <w:bCs/>
                <w:color w:val="000000"/>
                <w:sz w:val="18"/>
                <w:szCs w:val="18"/>
                <w:lang w:val="es-ES"/>
              </w:rPr>
              <w:t>netas</w:t>
            </w:r>
            <w:r w:rsidRPr="00AE4E8D">
              <w:rPr>
                <w:rFonts w:ascii="Times New Roman" w:hAnsi="Times New Roman"/>
                <w:color w:val="000000"/>
                <w:sz w:val="18"/>
                <w:szCs w:val="18"/>
                <w:lang w:val="es-ES"/>
              </w:rPr>
              <w:t xml:space="preserve">  </w:t>
            </w:r>
          </w:p>
        </w:tc>
        <w:tc>
          <w:tcPr>
            <w:tcW w:w="762" w:type="pct"/>
            <w:tcBorders>
              <w:top w:val="single" w:sz="8" w:space="0" w:color="auto"/>
              <w:left w:val="nil"/>
              <w:bottom w:val="single" w:sz="8" w:space="0" w:color="auto"/>
              <w:right w:val="nil"/>
            </w:tcBorders>
            <w:shd w:val="clear" w:color="000000" w:fill="FFFFFF"/>
            <w:noWrap/>
            <w:vAlign w:val="bottom"/>
            <w:hideMark/>
          </w:tcPr>
          <w:p w14:paraId="699F725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495,0</w:t>
            </w:r>
          </w:p>
        </w:tc>
        <w:tc>
          <w:tcPr>
            <w:tcW w:w="762" w:type="pct"/>
            <w:tcBorders>
              <w:top w:val="single" w:sz="8" w:space="0" w:color="auto"/>
              <w:left w:val="nil"/>
              <w:bottom w:val="single" w:sz="8" w:space="0" w:color="auto"/>
              <w:right w:val="nil"/>
            </w:tcBorders>
            <w:shd w:val="clear" w:color="000000" w:fill="FFFFFF"/>
            <w:noWrap/>
            <w:vAlign w:val="bottom"/>
            <w:hideMark/>
          </w:tcPr>
          <w:p w14:paraId="24F30C4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280,5</w:t>
            </w:r>
          </w:p>
        </w:tc>
        <w:tc>
          <w:tcPr>
            <w:tcW w:w="658" w:type="pct"/>
            <w:tcBorders>
              <w:top w:val="single" w:sz="8" w:space="0" w:color="auto"/>
              <w:left w:val="nil"/>
              <w:bottom w:val="single" w:sz="8" w:space="0" w:color="auto"/>
              <w:right w:val="nil"/>
            </w:tcBorders>
            <w:shd w:val="clear" w:color="auto" w:fill="auto"/>
            <w:noWrap/>
            <w:vAlign w:val="bottom"/>
            <w:hideMark/>
          </w:tcPr>
          <w:p w14:paraId="1B2B36B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76,4%</w:t>
            </w:r>
          </w:p>
        </w:tc>
      </w:tr>
      <w:tr w:rsidR="00C21744" w:rsidRPr="00AE4E8D" w14:paraId="6FAC28E6" w14:textId="77777777" w:rsidTr="000400C8">
        <w:trPr>
          <w:trHeight w:val="240"/>
        </w:trPr>
        <w:tc>
          <w:tcPr>
            <w:tcW w:w="2818" w:type="pct"/>
            <w:tcBorders>
              <w:top w:val="nil"/>
              <w:left w:val="nil"/>
              <w:bottom w:val="nil"/>
              <w:right w:val="nil"/>
            </w:tcBorders>
            <w:shd w:val="clear" w:color="auto" w:fill="auto"/>
            <w:noWrap/>
            <w:vAlign w:val="bottom"/>
            <w:hideMark/>
          </w:tcPr>
          <w:p w14:paraId="58A1C346" w14:textId="77777777" w:rsidR="00C21744" w:rsidRPr="00AE4E8D" w:rsidRDefault="00C21744" w:rsidP="00C21744">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Pérdidas diversas</w:t>
            </w:r>
          </w:p>
        </w:tc>
        <w:tc>
          <w:tcPr>
            <w:tcW w:w="762" w:type="pct"/>
            <w:tcBorders>
              <w:top w:val="nil"/>
              <w:left w:val="nil"/>
              <w:bottom w:val="nil"/>
              <w:right w:val="nil"/>
            </w:tcBorders>
            <w:shd w:val="clear" w:color="000000" w:fill="FFFFFF"/>
            <w:noWrap/>
            <w:vAlign w:val="bottom"/>
            <w:hideMark/>
          </w:tcPr>
          <w:p w14:paraId="50CD279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 </w:t>
            </w:r>
          </w:p>
        </w:tc>
        <w:tc>
          <w:tcPr>
            <w:tcW w:w="762" w:type="pct"/>
            <w:tcBorders>
              <w:top w:val="nil"/>
              <w:left w:val="nil"/>
              <w:bottom w:val="nil"/>
              <w:right w:val="nil"/>
            </w:tcBorders>
            <w:shd w:val="clear" w:color="000000" w:fill="FFFFFF"/>
            <w:noWrap/>
            <w:vAlign w:val="bottom"/>
            <w:hideMark/>
          </w:tcPr>
          <w:p w14:paraId="69750A3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 </w:t>
            </w:r>
          </w:p>
        </w:tc>
        <w:tc>
          <w:tcPr>
            <w:tcW w:w="658" w:type="pct"/>
            <w:tcBorders>
              <w:top w:val="nil"/>
              <w:left w:val="nil"/>
              <w:bottom w:val="nil"/>
              <w:right w:val="nil"/>
            </w:tcBorders>
            <w:shd w:val="clear" w:color="auto" w:fill="auto"/>
            <w:noWrap/>
            <w:vAlign w:val="bottom"/>
            <w:hideMark/>
          </w:tcPr>
          <w:p w14:paraId="4A1701C8" w14:textId="77777777" w:rsidR="00C21744" w:rsidRPr="00AE4E8D" w:rsidRDefault="00C21744" w:rsidP="00C21744">
            <w:pPr>
              <w:jc w:val="right"/>
              <w:rPr>
                <w:rFonts w:ascii="Times New Roman" w:hAnsi="Times New Roman"/>
                <w:color w:val="000000"/>
                <w:sz w:val="18"/>
                <w:szCs w:val="18"/>
                <w:lang w:val="en-US"/>
              </w:rPr>
            </w:pPr>
          </w:p>
        </w:tc>
      </w:tr>
      <w:tr w:rsidR="00C21744" w:rsidRPr="00AE4E8D" w14:paraId="5D68D238" w14:textId="77777777" w:rsidTr="000400C8">
        <w:trPr>
          <w:trHeight w:val="240"/>
        </w:trPr>
        <w:tc>
          <w:tcPr>
            <w:tcW w:w="2818" w:type="pct"/>
            <w:tcBorders>
              <w:top w:val="nil"/>
              <w:left w:val="nil"/>
              <w:bottom w:val="nil"/>
              <w:right w:val="nil"/>
            </w:tcBorders>
            <w:shd w:val="clear" w:color="auto" w:fill="auto"/>
            <w:noWrap/>
            <w:vAlign w:val="bottom"/>
            <w:hideMark/>
          </w:tcPr>
          <w:p w14:paraId="3AA9F831"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Intereses punitorios y cargos a favor del BCRA  </w:t>
            </w:r>
          </w:p>
        </w:tc>
        <w:tc>
          <w:tcPr>
            <w:tcW w:w="762" w:type="pct"/>
            <w:tcBorders>
              <w:top w:val="nil"/>
              <w:left w:val="nil"/>
              <w:bottom w:val="nil"/>
              <w:right w:val="nil"/>
            </w:tcBorders>
            <w:shd w:val="clear" w:color="000000" w:fill="FFFFFF"/>
            <w:noWrap/>
            <w:vAlign w:val="bottom"/>
            <w:hideMark/>
          </w:tcPr>
          <w:p w14:paraId="25A3345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0,3</w:t>
            </w:r>
          </w:p>
        </w:tc>
        <w:tc>
          <w:tcPr>
            <w:tcW w:w="762" w:type="pct"/>
            <w:tcBorders>
              <w:top w:val="nil"/>
              <w:left w:val="nil"/>
              <w:bottom w:val="nil"/>
              <w:right w:val="nil"/>
            </w:tcBorders>
            <w:shd w:val="clear" w:color="000000" w:fill="FFFFFF"/>
            <w:noWrap/>
            <w:vAlign w:val="bottom"/>
            <w:hideMark/>
          </w:tcPr>
          <w:p w14:paraId="011C8EF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0,9</w:t>
            </w:r>
          </w:p>
        </w:tc>
        <w:tc>
          <w:tcPr>
            <w:tcW w:w="658" w:type="pct"/>
            <w:tcBorders>
              <w:top w:val="nil"/>
              <w:left w:val="nil"/>
              <w:bottom w:val="nil"/>
              <w:right w:val="nil"/>
            </w:tcBorders>
            <w:shd w:val="clear" w:color="auto" w:fill="auto"/>
            <w:noWrap/>
            <w:vAlign w:val="bottom"/>
            <w:hideMark/>
          </w:tcPr>
          <w:p w14:paraId="3FA5F9B1"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(67,9)%</w:t>
            </w:r>
          </w:p>
        </w:tc>
      </w:tr>
      <w:tr w:rsidR="00C21744" w:rsidRPr="00AE4E8D" w14:paraId="44F448E7" w14:textId="77777777" w:rsidTr="000400C8">
        <w:trPr>
          <w:trHeight w:val="240"/>
        </w:trPr>
        <w:tc>
          <w:tcPr>
            <w:tcW w:w="2818" w:type="pct"/>
            <w:tcBorders>
              <w:top w:val="nil"/>
              <w:left w:val="nil"/>
              <w:bottom w:val="nil"/>
              <w:right w:val="nil"/>
            </w:tcBorders>
            <w:shd w:val="clear" w:color="auto" w:fill="auto"/>
            <w:noWrap/>
            <w:vAlign w:val="bottom"/>
            <w:hideMark/>
          </w:tcPr>
          <w:p w14:paraId="19558843"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Cargos por Créditos Diversos y Otras Previsiones  </w:t>
            </w:r>
          </w:p>
        </w:tc>
        <w:tc>
          <w:tcPr>
            <w:tcW w:w="762" w:type="pct"/>
            <w:tcBorders>
              <w:top w:val="nil"/>
              <w:left w:val="nil"/>
              <w:bottom w:val="nil"/>
              <w:right w:val="nil"/>
            </w:tcBorders>
            <w:shd w:val="clear" w:color="000000" w:fill="FFFFFF"/>
            <w:noWrap/>
            <w:vAlign w:val="bottom"/>
            <w:hideMark/>
          </w:tcPr>
          <w:p w14:paraId="0159249F"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172,0</w:t>
            </w:r>
          </w:p>
        </w:tc>
        <w:tc>
          <w:tcPr>
            <w:tcW w:w="762" w:type="pct"/>
            <w:tcBorders>
              <w:top w:val="nil"/>
              <w:left w:val="nil"/>
              <w:bottom w:val="nil"/>
              <w:right w:val="nil"/>
            </w:tcBorders>
            <w:shd w:val="clear" w:color="000000" w:fill="FFFFFF"/>
            <w:noWrap/>
            <w:vAlign w:val="bottom"/>
            <w:hideMark/>
          </w:tcPr>
          <w:p w14:paraId="53DE96AA"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116,6</w:t>
            </w:r>
          </w:p>
        </w:tc>
        <w:tc>
          <w:tcPr>
            <w:tcW w:w="658" w:type="pct"/>
            <w:tcBorders>
              <w:top w:val="nil"/>
              <w:left w:val="nil"/>
              <w:bottom w:val="nil"/>
              <w:right w:val="nil"/>
            </w:tcBorders>
            <w:shd w:val="clear" w:color="auto" w:fill="auto"/>
            <w:noWrap/>
            <w:vAlign w:val="bottom"/>
            <w:hideMark/>
          </w:tcPr>
          <w:p w14:paraId="1D46ECB9"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47,7%</w:t>
            </w:r>
          </w:p>
        </w:tc>
      </w:tr>
      <w:tr w:rsidR="00C21744" w:rsidRPr="00AE4E8D" w14:paraId="32FC84C9" w14:textId="77777777" w:rsidTr="000400C8">
        <w:trPr>
          <w:trHeight w:val="240"/>
        </w:trPr>
        <w:tc>
          <w:tcPr>
            <w:tcW w:w="2818" w:type="pct"/>
            <w:tcBorders>
              <w:top w:val="nil"/>
              <w:left w:val="nil"/>
              <w:bottom w:val="nil"/>
              <w:right w:val="nil"/>
            </w:tcBorders>
            <w:shd w:val="clear" w:color="auto" w:fill="auto"/>
            <w:noWrap/>
            <w:vAlign w:val="bottom"/>
            <w:hideMark/>
          </w:tcPr>
          <w:p w14:paraId="6A9D9BA2" w14:textId="77777777" w:rsidR="00C21744" w:rsidRPr="00AE4E8D" w:rsidRDefault="00C21744" w:rsidP="00C21744">
            <w:pPr>
              <w:rPr>
                <w:rFonts w:ascii="Times New Roman" w:hAnsi="Times New Roman"/>
                <w:color w:val="000000"/>
                <w:sz w:val="18"/>
                <w:szCs w:val="18"/>
              </w:rPr>
            </w:pPr>
            <w:r w:rsidRPr="00AE4E8D">
              <w:rPr>
                <w:rFonts w:ascii="Times New Roman" w:hAnsi="Times New Roman"/>
                <w:color w:val="000000"/>
                <w:sz w:val="18"/>
                <w:szCs w:val="18"/>
                <w:lang w:val="es-ES"/>
              </w:rPr>
              <w:t xml:space="preserve">Depreciación y pérdida de bienes diversos  </w:t>
            </w:r>
          </w:p>
        </w:tc>
        <w:tc>
          <w:tcPr>
            <w:tcW w:w="762" w:type="pct"/>
            <w:tcBorders>
              <w:top w:val="nil"/>
              <w:left w:val="nil"/>
              <w:bottom w:val="nil"/>
              <w:right w:val="nil"/>
            </w:tcBorders>
            <w:shd w:val="clear" w:color="000000" w:fill="FFFFFF"/>
            <w:noWrap/>
            <w:vAlign w:val="bottom"/>
            <w:hideMark/>
          </w:tcPr>
          <w:p w14:paraId="3B688E43"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0,5</w:t>
            </w:r>
          </w:p>
        </w:tc>
        <w:tc>
          <w:tcPr>
            <w:tcW w:w="762" w:type="pct"/>
            <w:tcBorders>
              <w:top w:val="nil"/>
              <w:left w:val="nil"/>
              <w:bottom w:val="nil"/>
              <w:right w:val="nil"/>
            </w:tcBorders>
            <w:shd w:val="clear" w:color="000000" w:fill="FFFFFF"/>
            <w:noWrap/>
            <w:vAlign w:val="bottom"/>
            <w:hideMark/>
          </w:tcPr>
          <w:p w14:paraId="3526763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0,3</w:t>
            </w:r>
          </w:p>
        </w:tc>
        <w:tc>
          <w:tcPr>
            <w:tcW w:w="658" w:type="pct"/>
            <w:tcBorders>
              <w:top w:val="nil"/>
              <w:left w:val="nil"/>
              <w:bottom w:val="nil"/>
              <w:right w:val="nil"/>
            </w:tcBorders>
            <w:shd w:val="clear" w:color="auto" w:fill="auto"/>
            <w:noWrap/>
            <w:vAlign w:val="bottom"/>
            <w:hideMark/>
          </w:tcPr>
          <w:p w14:paraId="1F91AF3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50,4%</w:t>
            </w:r>
          </w:p>
        </w:tc>
      </w:tr>
      <w:tr w:rsidR="00C21744" w:rsidRPr="00AE4E8D" w14:paraId="008D9842" w14:textId="77777777" w:rsidTr="000400C8">
        <w:trPr>
          <w:trHeight w:val="240"/>
        </w:trPr>
        <w:tc>
          <w:tcPr>
            <w:tcW w:w="2818" w:type="pct"/>
            <w:tcBorders>
              <w:top w:val="nil"/>
              <w:left w:val="nil"/>
              <w:bottom w:val="nil"/>
              <w:right w:val="nil"/>
            </w:tcBorders>
            <w:shd w:val="clear" w:color="auto" w:fill="auto"/>
            <w:noWrap/>
            <w:vAlign w:val="bottom"/>
            <w:hideMark/>
          </w:tcPr>
          <w:p w14:paraId="1C7EF3C1"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Amortización de valor llave  </w:t>
            </w:r>
          </w:p>
        </w:tc>
        <w:tc>
          <w:tcPr>
            <w:tcW w:w="762" w:type="pct"/>
            <w:tcBorders>
              <w:top w:val="nil"/>
              <w:left w:val="nil"/>
              <w:bottom w:val="nil"/>
              <w:right w:val="nil"/>
            </w:tcBorders>
            <w:shd w:val="clear" w:color="000000" w:fill="FFFFFF"/>
            <w:noWrap/>
            <w:vAlign w:val="bottom"/>
            <w:hideMark/>
          </w:tcPr>
          <w:p w14:paraId="4D59F9B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3,4</w:t>
            </w:r>
          </w:p>
        </w:tc>
        <w:tc>
          <w:tcPr>
            <w:tcW w:w="762" w:type="pct"/>
            <w:tcBorders>
              <w:top w:val="nil"/>
              <w:left w:val="nil"/>
              <w:bottom w:val="nil"/>
              <w:right w:val="nil"/>
            </w:tcBorders>
            <w:shd w:val="clear" w:color="000000" w:fill="FFFFFF"/>
            <w:noWrap/>
            <w:vAlign w:val="bottom"/>
            <w:hideMark/>
          </w:tcPr>
          <w:p w14:paraId="0FCCFF8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3,4</w:t>
            </w:r>
          </w:p>
        </w:tc>
        <w:tc>
          <w:tcPr>
            <w:tcW w:w="658" w:type="pct"/>
            <w:tcBorders>
              <w:top w:val="nil"/>
              <w:left w:val="nil"/>
              <w:bottom w:val="nil"/>
              <w:right w:val="nil"/>
            </w:tcBorders>
            <w:shd w:val="clear" w:color="auto" w:fill="auto"/>
            <w:noWrap/>
            <w:vAlign w:val="bottom"/>
            <w:hideMark/>
          </w:tcPr>
          <w:p w14:paraId="46748E8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0,0%</w:t>
            </w:r>
          </w:p>
        </w:tc>
      </w:tr>
      <w:tr w:rsidR="00C21744" w:rsidRPr="00AE4E8D" w14:paraId="0E41611C" w14:textId="77777777" w:rsidTr="000400C8">
        <w:trPr>
          <w:trHeight w:val="255"/>
        </w:trPr>
        <w:tc>
          <w:tcPr>
            <w:tcW w:w="2818" w:type="pct"/>
            <w:tcBorders>
              <w:top w:val="nil"/>
              <w:left w:val="nil"/>
              <w:bottom w:val="nil"/>
              <w:right w:val="nil"/>
            </w:tcBorders>
            <w:shd w:val="clear" w:color="auto" w:fill="auto"/>
            <w:noWrap/>
            <w:vAlign w:val="bottom"/>
            <w:hideMark/>
          </w:tcPr>
          <w:p w14:paraId="5316D811" w14:textId="77777777" w:rsidR="00C21744" w:rsidRPr="00AE4E8D" w:rsidRDefault="00C21744" w:rsidP="00C21744">
            <w:pPr>
              <w:rPr>
                <w:rFonts w:ascii="Times New Roman" w:hAnsi="Times New Roman"/>
                <w:color w:val="000000"/>
                <w:sz w:val="18"/>
                <w:szCs w:val="18"/>
                <w:lang w:val="en-US"/>
              </w:rPr>
            </w:pPr>
            <w:r w:rsidRPr="00AE4E8D">
              <w:rPr>
                <w:rFonts w:ascii="Times New Roman" w:hAnsi="Times New Roman"/>
                <w:color w:val="000000"/>
                <w:sz w:val="18"/>
                <w:szCs w:val="18"/>
                <w:lang w:val="es-ES"/>
              </w:rPr>
              <w:t xml:space="preserve">Otros  </w:t>
            </w:r>
          </w:p>
        </w:tc>
        <w:tc>
          <w:tcPr>
            <w:tcW w:w="762" w:type="pct"/>
            <w:tcBorders>
              <w:top w:val="nil"/>
              <w:left w:val="nil"/>
              <w:bottom w:val="nil"/>
              <w:right w:val="nil"/>
            </w:tcBorders>
            <w:shd w:val="clear" w:color="000000" w:fill="FFFFFF"/>
            <w:noWrap/>
            <w:vAlign w:val="bottom"/>
            <w:hideMark/>
          </w:tcPr>
          <w:p w14:paraId="2E6BF7F1"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370,4</w:t>
            </w:r>
          </w:p>
        </w:tc>
        <w:tc>
          <w:tcPr>
            <w:tcW w:w="762" w:type="pct"/>
            <w:tcBorders>
              <w:top w:val="nil"/>
              <w:left w:val="nil"/>
              <w:bottom w:val="nil"/>
              <w:right w:val="nil"/>
            </w:tcBorders>
            <w:shd w:val="clear" w:color="000000" w:fill="FFFFFF"/>
            <w:noWrap/>
            <w:vAlign w:val="bottom"/>
            <w:hideMark/>
          </w:tcPr>
          <w:p w14:paraId="7F13AFD7"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240,5</w:t>
            </w:r>
          </w:p>
        </w:tc>
        <w:tc>
          <w:tcPr>
            <w:tcW w:w="658" w:type="pct"/>
            <w:tcBorders>
              <w:top w:val="nil"/>
              <w:left w:val="nil"/>
              <w:bottom w:val="nil"/>
              <w:right w:val="nil"/>
            </w:tcBorders>
            <w:shd w:val="clear" w:color="auto" w:fill="auto"/>
            <w:noWrap/>
            <w:vAlign w:val="bottom"/>
            <w:hideMark/>
          </w:tcPr>
          <w:p w14:paraId="314DBC66"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53,9%</w:t>
            </w:r>
          </w:p>
        </w:tc>
      </w:tr>
      <w:tr w:rsidR="00C21744" w:rsidRPr="00AE4E8D" w14:paraId="06CC1E1E" w14:textId="77777777" w:rsidTr="000400C8">
        <w:trPr>
          <w:trHeight w:val="255"/>
        </w:trPr>
        <w:tc>
          <w:tcPr>
            <w:tcW w:w="2818" w:type="pct"/>
            <w:tcBorders>
              <w:top w:val="nil"/>
              <w:left w:val="nil"/>
              <w:bottom w:val="nil"/>
              <w:right w:val="nil"/>
            </w:tcBorders>
            <w:shd w:val="clear" w:color="auto" w:fill="auto"/>
            <w:noWrap/>
            <w:vAlign w:val="bottom"/>
            <w:hideMark/>
          </w:tcPr>
          <w:p w14:paraId="7D3730A8" w14:textId="77777777" w:rsidR="00C21744" w:rsidRPr="00AE4E8D" w:rsidRDefault="00C21744" w:rsidP="00C21744">
            <w:pPr>
              <w:rPr>
                <w:rFonts w:ascii="Times New Roman" w:hAnsi="Times New Roman"/>
                <w:b/>
                <w:bCs/>
                <w:color w:val="000000"/>
                <w:sz w:val="18"/>
                <w:szCs w:val="18"/>
                <w:lang w:val="en-US"/>
              </w:rPr>
            </w:pPr>
            <w:r w:rsidRPr="00AE4E8D">
              <w:rPr>
                <w:rFonts w:ascii="Times New Roman" w:hAnsi="Times New Roman"/>
                <w:b/>
                <w:bCs/>
                <w:color w:val="000000"/>
                <w:sz w:val="18"/>
                <w:szCs w:val="18"/>
                <w:lang w:val="es-ES"/>
              </w:rPr>
              <w:t>Total pérdidas diversas</w:t>
            </w:r>
            <w:r w:rsidRPr="00AE4E8D">
              <w:rPr>
                <w:rFonts w:ascii="Times New Roman" w:hAnsi="Times New Roman"/>
                <w:color w:val="000000"/>
                <w:sz w:val="18"/>
                <w:szCs w:val="18"/>
                <w:lang w:val="es-ES"/>
              </w:rPr>
              <w:t xml:space="preserve">  </w:t>
            </w:r>
          </w:p>
        </w:tc>
        <w:tc>
          <w:tcPr>
            <w:tcW w:w="762" w:type="pct"/>
            <w:tcBorders>
              <w:top w:val="single" w:sz="8" w:space="0" w:color="auto"/>
              <w:left w:val="nil"/>
              <w:bottom w:val="single" w:sz="8" w:space="0" w:color="auto"/>
              <w:right w:val="nil"/>
            </w:tcBorders>
            <w:shd w:val="clear" w:color="000000" w:fill="FFFFFF"/>
            <w:noWrap/>
            <w:vAlign w:val="bottom"/>
            <w:hideMark/>
          </w:tcPr>
          <w:p w14:paraId="495293CB"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546,6</w:t>
            </w:r>
          </w:p>
        </w:tc>
        <w:tc>
          <w:tcPr>
            <w:tcW w:w="762" w:type="pct"/>
            <w:tcBorders>
              <w:top w:val="single" w:sz="8" w:space="0" w:color="auto"/>
              <w:left w:val="nil"/>
              <w:bottom w:val="single" w:sz="8" w:space="0" w:color="auto"/>
              <w:right w:val="nil"/>
            </w:tcBorders>
            <w:shd w:val="clear" w:color="000000" w:fill="FFFFFF"/>
            <w:noWrap/>
            <w:vAlign w:val="bottom"/>
            <w:hideMark/>
          </w:tcPr>
          <w:p w14:paraId="7FFCA8D6"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361,7</w:t>
            </w:r>
          </w:p>
        </w:tc>
        <w:tc>
          <w:tcPr>
            <w:tcW w:w="658" w:type="pct"/>
            <w:tcBorders>
              <w:top w:val="single" w:sz="8" w:space="0" w:color="auto"/>
              <w:left w:val="nil"/>
              <w:bottom w:val="single" w:sz="8" w:space="0" w:color="auto"/>
              <w:right w:val="nil"/>
            </w:tcBorders>
            <w:shd w:val="clear" w:color="auto" w:fill="auto"/>
            <w:noWrap/>
            <w:vAlign w:val="bottom"/>
            <w:hideMark/>
          </w:tcPr>
          <w:p w14:paraId="1AE60EA2"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51,1%</w:t>
            </w:r>
          </w:p>
        </w:tc>
      </w:tr>
      <w:tr w:rsidR="00C21744" w:rsidRPr="00AE4E8D" w14:paraId="7ADCD98D" w14:textId="77777777" w:rsidTr="000400C8">
        <w:trPr>
          <w:trHeight w:val="255"/>
        </w:trPr>
        <w:tc>
          <w:tcPr>
            <w:tcW w:w="2818" w:type="pct"/>
            <w:tcBorders>
              <w:top w:val="nil"/>
              <w:left w:val="nil"/>
              <w:bottom w:val="nil"/>
              <w:right w:val="nil"/>
            </w:tcBorders>
            <w:shd w:val="clear" w:color="auto" w:fill="auto"/>
            <w:noWrap/>
            <w:vAlign w:val="bottom"/>
            <w:hideMark/>
          </w:tcPr>
          <w:p w14:paraId="5FAC2064" w14:textId="77777777" w:rsidR="00C21744" w:rsidRPr="00AE4E8D" w:rsidRDefault="00C21744" w:rsidP="00C21744">
            <w:pPr>
              <w:rPr>
                <w:rFonts w:ascii="Times New Roman" w:hAnsi="Times New Roman"/>
                <w:b/>
                <w:color w:val="000000"/>
                <w:sz w:val="18"/>
              </w:rPr>
            </w:pPr>
            <w:r w:rsidRPr="00AE4E8D">
              <w:rPr>
                <w:rFonts w:ascii="Times New Roman" w:hAnsi="Times New Roman"/>
                <w:b/>
                <w:bCs/>
                <w:color w:val="000000"/>
                <w:sz w:val="18"/>
                <w:szCs w:val="18"/>
                <w:lang w:val="es-ES"/>
              </w:rPr>
              <w:t>Total utilidades diversas netas</w:t>
            </w:r>
            <w:r w:rsidRPr="00AE4E8D">
              <w:rPr>
                <w:rFonts w:ascii="Times New Roman" w:hAnsi="Times New Roman"/>
                <w:color w:val="000000"/>
                <w:sz w:val="18"/>
                <w:szCs w:val="18"/>
                <w:lang w:val="es-ES"/>
              </w:rPr>
              <w:t xml:space="preserve"> </w:t>
            </w:r>
            <w:r w:rsidR="00212606" w:rsidRPr="00AE4E8D">
              <w:rPr>
                <w:rFonts w:ascii="Times New Roman" w:hAnsi="Times New Roman"/>
                <w:color w:val="000000"/>
                <w:sz w:val="18"/>
                <w:szCs w:val="18"/>
                <w:lang w:val="es-ES"/>
              </w:rPr>
              <w:t>(pérdida)</w:t>
            </w:r>
          </w:p>
        </w:tc>
        <w:tc>
          <w:tcPr>
            <w:tcW w:w="762" w:type="pct"/>
            <w:tcBorders>
              <w:top w:val="nil"/>
              <w:left w:val="nil"/>
              <w:bottom w:val="single" w:sz="8" w:space="0" w:color="auto"/>
              <w:right w:val="nil"/>
            </w:tcBorders>
            <w:shd w:val="clear" w:color="000000" w:fill="FFFFFF"/>
            <w:noWrap/>
            <w:vAlign w:val="bottom"/>
            <w:hideMark/>
          </w:tcPr>
          <w:p w14:paraId="69637EB5"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(51,6)</w:t>
            </w:r>
          </w:p>
        </w:tc>
        <w:tc>
          <w:tcPr>
            <w:tcW w:w="762" w:type="pct"/>
            <w:tcBorders>
              <w:top w:val="nil"/>
              <w:left w:val="nil"/>
              <w:bottom w:val="single" w:sz="8" w:space="0" w:color="auto"/>
              <w:right w:val="nil"/>
            </w:tcBorders>
            <w:shd w:val="clear" w:color="000000" w:fill="FFFFFF"/>
            <w:noWrap/>
            <w:vAlign w:val="bottom"/>
            <w:hideMark/>
          </w:tcPr>
          <w:p w14:paraId="2900D28D"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(81,2)</w:t>
            </w:r>
          </w:p>
        </w:tc>
        <w:tc>
          <w:tcPr>
            <w:tcW w:w="658" w:type="pct"/>
            <w:tcBorders>
              <w:top w:val="nil"/>
              <w:left w:val="nil"/>
              <w:bottom w:val="single" w:sz="8" w:space="0" w:color="auto"/>
              <w:right w:val="nil"/>
            </w:tcBorders>
            <w:shd w:val="clear" w:color="auto" w:fill="auto"/>
            <w:noWrap/>
            <w:vAlign w:val="bottom"/>
            <w:hideMark/>
          </w:tcPr>
          <w:p w14:paraId="1F9A3B2C" w14:textId="77777777" w:rsidR="00C21744" w:rsidRPr="00AE4E8D" w:rsidRDefault="00C21744" w:rsidP="00C21744">
            <w:pPr>
              <w:jc w:val="right"/>
              <w:rPr>
                <w:rFonts w:ascii="Times New Roman" w:hAnsi="Times New Roman"/>
                <w:color w:val="000000"/>
                <w:sz w:val="18"/>
                <w:szCs w:val="18"/>
                <w:lang w:val="en-US"/>
              </w:rPr>
            </w:pPr>
            <w:r w:rsidRPr="00AE4E8D">
              <w:rPr>
                <w:rFonts w:ascii="Times New Roman" w:hAnsi="Times New Roman"/>
                <w:color w:val="000000"/>
                <w:sz w:val="18"/>
                <w:szCs w:val="18"/>
                <w:lang w:val="es-ES"/>
              </w:rPr>
              <w:t>(36,4)%</w:t>
            </w:r>
          </w:p>
        </w:tc>
      </w:tr>
    </w:tbl>
    <w:p w14:paraId="0592FCDF" w14:textId="77777777" w:rsidR="00C21744" w:rsidRPr="00AE4E8D" w:rsidRDefault="00C21744" w:rsidP="002E5441">
      <w:pPr>
        <w:pStyle w:val="BHTexto"/>
        <w:rPr>
          <w:rFonts w:eastAsia="Calibri"/>
        </w:rPr>
      </w:pPr>
      <w:r w:rsidRPr="00AE4E8D">
        <w:rPr>
          <w:rFonts w:eastAsia="Calibri"/>
        </w:rPr>
        <w:t>Las utilidades diversas totales netas aumentaron 36,4% de una pérdida neta de Ps.81,2 millones al 31 de diciembre de 2014 a una pérdida neta de Ps.51,6 millones al 31 de diciembre de 2015, principalmente como resultado de:</w:t>
      </w:r>
    </w:p>
    <w:p w14:paraId="72FBBA38" w14:textId="77777777" w:rsidR="00C21744" w:rsidRPr="00AE4E8D" w:rsidRDefault="00C21744" w:rsidP="00C21744">
      <w:pPr>
        <w:pStyle w:val="BHVieta2"/>
        <w:numPr>
          <w:ilvl w:val="0"/>
          <w:numId w:val="168"/>
        </w:numPr>
        <w:rPr>
          <w:lang w:val="es-ES"/>
        </w:rPr>
      </w:pPr>
      <w:r w:rsidRPr="00AE4E8D">
        <w:rPr>
          <w:lang w:val="es-ES"/>
        </w:rPr>
        <w:t xml:space="preserve">Un aumento del 152,1% en recupero de préstamos y previsiones desafectadas, de Ps.105,3 millones al 31 de diciembre de 2014 a Ps.265,5 millones al 31 de </w:t>
      </w:r>
      <w:r w:rsidRPr="00AE4E8D">
        <w:rPr>
          <w:lang w:val="es-ES"/>
        </w:rPr>
        <w:lastRenderedPageBreak/>
        <w:t>diciembre de 2015, principalmente como resultado de</w:t>
      </w:r>
      <w:r w:rsidRPr="00AE4E8D">
        <w:t>l aumento de la cartera de préstamos y mayores previsiones</w:t>
      </w:r>
      <w:r w:rsidRPr="00AE4E8D">
        <w:rPr>
          <w:lang w:val="es-ES"/>
        </w:rPr>
        <w:t>; y</w:t>
      </w:r>
    </w:p>
    <w:p w14:paraId="3E23F3ED" w14:textId="77777777" w:rsidR="00C21744" w:rsidRPr="00AE4E8D" w:rsidRDefault="00C21744" w:rsidP="00C21744">
      <w:pPr>
        <w:pStyle w:val="BHVieta2"/>
        <w:numPr>
          <w:ilvl w:val="0"/>
          <w:numId w:val="168"/>
        </w:numPr>
        <w:rPr>
          <w:lang w:val="es-ES"/>
        </w:rPr>
      </w:pPr>
      <w:r w:rsidRPr="00AE4E8D">
        <w:rPr>
          <w:lang w:val="es-ES"/>
        </w:rPr>
        <w:t xml:space="preserve">Un aumento del 24,7% en otras utilidades diversas, de Ps.94,2 millones al 31 de diciembre de 2014 a Ps.117,3 millones al 31 de diciembre de 2015, principalmente como resultado de </w:t>
      </w:r>
      <w:r w:rsidR="00CE259F" w:rsidRPr="00AE4E8D">
        <w:rPr>
          <w:lang w:val="es-ES"/>
        </w:rPr>
        <w:t xml:space="preserve">(i) </w:t>
      </w:r>
      <w:r w:rsidRPr="00AE4E8D">
        <w:rPr>
          <w:lang w:val="es-ES"/>
        </w:rPr>
        <w:t xml:space="preserve">mayores ingresos generados por préstamos otorgados a empleados y </w:t>
      </w:r>
      <w:r w:rsidR="00CE259F" w:rsidRPr="00AE4E8D">
        <w:rPr>
          <w:lang w:val="es-ES"/>
        </w:rPr>
        <w:t xml:space="preserve">(ii) </w:t>
      </w:r>
      <w:r w:rsidRPr="00AE4E8D">
        <w:rPr>
          <w:lang w:val="es-ES"/>
        </w:rPr>
        <w:t>mayores utilidades diversas totales de nuestras subsidiarias.</w:t>
      </w:r>
    </w:p>
    <w:p w14:paraId="04518F10" w14:textId="77777777" w:rsidR="00C21744" w:rsidRPr="00AE4E8D" w:rsidRDefault="00C21744" w:rsidP="00C21744">
      <w:pPr>
        <w:autoSpaceDE w:val="0"/>
        <w:autoSpaceDN w:val="0"/>
        <w:adjustRightInd w:val="0"/>
        <w:spacing w:before="120" w:after="120"/>
        <w:jc w:val="both"/>
        <w:rPr>
          <w:rFonts w:ascii="Times New Roman" w:eastAsia="Calibri" w:hAnsi="Times New Roman"/>
          <w:lang w:val="es-ES"/>
        </w:rPr>
      </w:pPr>
      <w:r w:rsidRPr="00AE4E8D">
        <w:rPr>
          <w:rFonts w:ascii="Times New Roman" w:eastAsia="Calibri" w:hAnsi="Times New Roman"/>
          <w:lang w:val="es-ES"/>
        </w:rPr>
        <w:t>Estos aumentos en pérdidas diversas fueron compensados parcialmente por:</w:t>
      </w:r>
    </w:p>
    <w:p w14:paraId="47EA029F" w14:textId="77777777" w:rsidR="00C21744" w:rsidRPr="00AE4E8D" w:rsidRDefault="00C21744" w:rsidP="00C21744">
      <w:pPr>
        <w:pStyle w:val="BHVieta2"/>
        <w:numPr>
          <w:ilvl w:val="0"/>
          <w:numId w:val="168"/>
        </w:numPr>
        <w:rPr>
          <w:lang w:val="es-ES"/>
        </w:rPr>
      </w:pPr>
      <w:r w:rsidRPr="00AE4E8D">
        <w:rPr>
          <w:lang w:val="es-ES"/>
        </w:rPr>
        <w:t>Un aumento del 47,7% en cargos por créditos diversos y otras previsiones de Ps. 116,6 millones al 31 de diciembre de 2014 a Ps. 172,0 millones al 31 de diciembre de 2015, principalmente como resultado de las mayores previsiones relacionadas con los aumentos de salarios negociados entre los bancos y el sindicato; y</w:t>
      </w:r>
    </w:p>
    <w:p w14:paraId="7773753C" w14:textId="77777777" w:rsidR="00C21744" w:rsidRPr="00AE4E8D" w:rsidRDefault="00C21744" w:rsidP="002E5441">
      <w:pPr>
        <w:pStyle w:val="BHVieta2"/>
        <w:numPr>
          <w:ilvl w:val="0"/>
          <w:numId w:val="168"/>
        </w:numPr>
        <w:rPr>
          <w:lang w:val="es-ES"/>
        </w:rPr>
      </w:pPr>
      <w:r w:rsidRPr="00AE4E8D">
        <w:rPr>
          <w:lang w:val="es-ES"/>
        </w:rPr>
        <w:t xml:space="preserve">Un aumento del 53,9% en otros gastos diversos, de Ps.240,5 millones al 31 de diciembre de 2014 a Ps.370,4 millones al 31 de diciembre de 2015, principalmente como resultado de un mayor nivel de actividad de nuestras subsidiarias y el pago de la multa por Ps.53,6 millones relacionada con la resolución sumaria Nº685/14. </w:t>
      </w:r>
      <w:r w:rsidRPr="00AE4E8D">
        <w:rPr>
          <w:i/>
          <w:lang w:val="es-ES"/>
        </w:rPr>
        <w:t>Véase "Información sobre la Emisora-Sumarios en Instancia Judicial-Litigios"</w:t>
      </w:r>
      <w:r w:rsidRPr="00AE4E8D">
        <w:rPr>
          <w:lang w:val="es-ES"/>
        </w:rPr>
        <w:t>.</w:t>
      </w:r>
    </w:p>
    <w:p w14:paraId="23657915" w14:textId="77777777" w:rsidR="001B3E41" w:rsidRPr="00AE4E8D" w:rsidRDefault="001B3E41" w:rsidP="001B3E41">
      <w:pPr>
        <w:keepNext/>
        <w:autoSpaceDE w:val="0"/>
        <w:autoSpaceDN w:val="0"/>
        <w:adjustRightInd w:val="0"/>
        <w:spacing w:before="240" w:after="240"/>
        <w:outlineLvl w:val="2"/>
        <w:rPr>
          <w:rFonts w:ascii="Times New Roman" w:hAnsi="Times New Roman"/>
          <w:b/>
          <w:lang w:val="es-ES" w:eastAsia="es-AR"/>
        </w:rPr>
      </w:pPr>
      <w:bookmarkStart w:id="532" w:name="_Toc420062594"/>
      <w:bookmarkStart w:id="533" w:name="_Toc421201406"/>
      <w:bookmarkEnd w:id="511"/>
      <w:bookmarkEnd w:id="512"/>
      <w:r w:rsidRPr="00AE4E8D">
        <w:rPr>
          <w:rFonts w:ascii="Times New Roman" w:hAnsi="Times New Roman"/>
          <w:b/>
          <w:lang w:val="es-ES" w:eastAsia="es-AR"/>
        </w:rPr>
        <w:t>Situación Patrimonial</w:t>
      </w:r>
      <w:bookmarkEnd w:id="532"/>
      <w:bookmarkEnd w:id="533"/>
    </w:p>
    <w:p w14:paraId="06E2DEE4" w14:textId="77777777" w:rsidR="001B3E41" w:rsidRPr="00AE4E8D" w:rsidRDefault="001B3E41" w:rsidP="001B3E41">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Total Activo</w:t>
      </w:r>
    </w:p>
    <w:p w14:paraId="488D9683" w14:textId="77777777" w:rsidR="001B3E41" w:rsidRPr="00AE4E8D" w:rsidRDefault="001B3E41" w:rsidP="001B3E41">
      <w:pPr>
        <w:autoSpaceDE w:val="0"/>
        <w:autoSpaceDN w:val="0"/>
        <w:adjustRightInd w:val="0"/>
        <w:spacing w:before="120" w:after="120"/>
        <w:jc w:val="both"/>
        <w:rPr>
          <w:rFonts w:ascii="Times New Roman" w:hAnsi="Times New Roman"/>
          <w:i/>
          <w:lang w:val="es-ES"/>
        </w:rPr>
      </w:pPr>
      <w:r w:rsidRPr="00AE4E8D">
        <w:rPr>
          <w:rFonts w:ascii="Times New Roman" w:hAnsi="Times New Roman"/>
          <w:i/>
          <w:lang w:val="es-ES"/>
        </w:rPr>
        <w:t>30 de junio de 2017</w:t>
      </w:r>
    </w:p>
    <w:p w14:paraId="7AD3F694" w14:textId="77777777" w:rsidR="001B3E41" w:rsidRPr="00AE4E8D" w:rsidRDefault="001B3E41"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Al 30 de junio de 2017 teníamos activos totales por Ps.55.261</w:t>
      </w:r>
      <w:proofErr w:type="gramStart"/>
      <w:r w:rsidRPr="00AE4E8D">
        <w:rPr>
          <w:rFonts w:ascii="Times New Roman" w:hAnsi="Times New Roman"/>
          <w:lang w:val="es-ES"/>
        </w:rPr>
        <w:t>,9</w:t>
      </w:r>
      <w:proofErr w:type="gramEnd"/>
      <w:r w:rsidRPr="00AE4E8D">
        <w:rPr>
          <w:rFonts w:ascii="Times New Roman" w:hAnsi="Times New Roman"/>
          <w:lang w:val="es-ES"/>
        </w:rPr>
        <w:t xml:space="preserve"> millones, lo que representó un aumento del 6,1% comparado con Ps.52.108,1 millones al 31 de diciembre de 2016.</w:t>
      </w:r>
    </w:p>
    <w:p w14:paraId="30A7878C" w14:textId="77777777" w:rsidR="002A012A" w:rsidRPr="00AE4E8D" w:rsidRDefault="001B3E41" w:rsidP="009D0E75">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Este aumento se debió principalmente a: (i) el aumento del 14,7% en préstamos de Ps.27.163,9 millones al 31 de diciembre de 2016 a Ps. 31.167,5 millones al 30 de junio de 2017; (ii) un aumento del 328,0% en bienes diversos de Ps.296,1 millones al 31 de diciembre de 2016 a Ps.1.267,0 millones al 30 de junio de 2017; (iii) un aumento del 12,1% en bienes de uso de Ps.390,2 millones al 31 de diciembre de 2016 a Ps.437,6 millones al 30 de junio de 2017; (iv) un aumento de 61,7% en títulos públicos de Ps.4.997,6 millones al 31 de diciembre de 2016 a Ps. 8.082,1 millones al 30 de junio de 2017; parcialmente compensado por una disminución del 14,2% en otros créditos por intermediación financiera de Ps.9.262,1 millones al 31 de diciembre de 2016 a Ps.7.943,0 millones al 30 de junio de 2017 y una disminución del 52,2% en disponibilidades de Ps.7.188,3 millones al 31 de diciembre de 2016 a Ps.3.435,3 millones al 30 de junio de 2017.</w:t>
      </w:r>
    </w:p>
    <w:p w14:paraId="2607E266" w14:textId="77777777" w:rsidR="002A012A" w:rsidRPr="00AE4E8D" w:rsidRDefault="002A012A" w:rsidP="002A012A">
      <w:pPr>
        <w:autoSpaceDE w:val="0"/>
        <w:autoSpaceDN w:val="0"/>
        <w:adjustRightInd w:val="0"/>
        <w:spacing w:after="240"/>
        <w:rPr>
          <w:rFonts w:ascii="Times New Roman" w:hAnsi="Times New Roman"/>
          <w:i/>
          <w:lang w:val="es-ES" w:eastAsia="es-AR"/>
        </w:rPr>
      </w:pPr>
      <w:r w:rsidRPr="00AE4E8D">
        <w:rPr>
          <w:rFonts w:ascii="Times New Roman" w:hAnsi="Times New Roman"/>
          <w:i/>
          <w:lang w:val="es-ES" w:eastAsia="es-AR"/>
        </w:rPr>
        <w:t>2016/2015</w:t>
      </w:r>
    </w:p>
    <w:p w14:paraId="1785230C" w14:textId="77777777" w:rsidR="002A012A" w:rsidRPr="00AE4E8D" w:rsidRDefault="002A012A" w:rsidP="002A012A">
      <w:pPr>
        <w:autoSpaceDE w:val="0"/>
        <w:autoSpaceDN w:val="0"/>
        <w:adjustRightInd w:val="0"/>
        <w:spacing w:before="120" w:after="120"/>
        <w:jc w:val="both"/>
        <w:rPr>
          <w:rFonts w:ascii="Times New Roman" w:hAnsi="Times New Roman"/>
        </w:rPr>
      </w:pPr>
      <w:r w:rsidRPr="00AE4E8D">
        <w:rPr>
          <w:rFonts w:ascii="Times New Roman" w:hAnsi="Times New Roman"/>
          <w:lang w:val="es-ES"/>
        </w:rPr>
        <w:t>Al 31 de diciembre de 2016 teníamos activos totales por Ps.52.108</w:t>
      </w:r>
      <w:proofErr w:type="gramStart"/>
      <w:r w:rsidRPr="00AE4E8D">
        <w:rPr>
          <w:rFonts w:ascii="Times New Roman" w:hAnsi="Times New Roman"/>
          <w:lang w:val="es-ES"/>
        </w:rPr>
        <w:t>,1</w:t>
      </w:r>
      <w:proofErr w:type="gramEnd"/>
      <w:r w:rsidRPr="00AE4E8D">
        <w:rPr>
          <w:rFonts w:ascii="Times New Roman" w:hAnsi="Times New Roman"/>
          <w:lang w:val="es-ES"/>
        </w:rPr>
        <w:t xml:space="preserve"> millones, lo que represento un aumento del 32,1% comparado con Ps.39.457,9 millones al 31 de diciembre de 2015. </w:t>
      </w:r>
    </w:p>
    <w:p w14:paraId="699E3B7A"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Este aumento se debió principalmente a: (i) el aumento del 33,4% en préstamos de Ps.20.369,9 millones al 31 de diciembre de 2015 a Ps.27.163,9 millones al 31 de diciembre de 2016; (ii) un aumento del 10</w:t>
      </w:r>
      <w:r w:rsidR="00326001" w:rsidRPr="00AE4E8D">
        <w:rPr>
          <w:rFonts w:ascii="Times New Roman" w:hAnsi="Times New Roman"/>
          <w:lang w:val="es-ES"/>
        </w:rPr>
        <w:t>3</w:t>
      </w:r>
      <w:r w:rsidRPr="00AE4E8D">
        <w:rPr>
          <w:rFonts w:ascii="Times New Roman" w:hAnsi="Times New Roman"/>
          <w:lang w:val="es-ES"/>
        </w:rPr>
        <w:t>,</w:t>
      </w:r>
      <w:r w:rsidR="00326001" w:rsidRPr="00AE4E8D">
        <w:rPr>
          <w:rFonts w:ascii="Times New Roman" w:hAnsi="Times New Roman"/>
          <w:lang w:val="es-ES"/>
        </w:rPr>
        <w:t>4</w:t>
      </w:r>
      <w:r w:rsidRPr="00AE4E8D">
        <w:rPr>
          <w:rFonts w:ascii="Times New Roman" w:hAnsi="Times New Roman"/>
          <w:lang w:val="es-ES"/>
        </w:rPr>
        <w:t>% en otros créditos por intermediación financiera de Ps.4,553.3 millones al 31 de diciembre de 2015 a Ps.9.262,1 millones al 31 de diciembre de 2016; (iii) un aumento del 354,6% en bienes diversos de Ps.65,1 millones al 31 de diciembre de 2015 a Ps</w:t>
      </w:r>
      <w:r w:rsidR="00FB4760" w:rsidRPr="00AE4E8D">
        <w:rPr>
          <w:rFonts w:ascii="Times New Roman" w:hAnsi="Times New Roman"/>
          <w:lang w:val="es-ES"/>
        </w:rPr>
        <w:t>.</w:t>
      </w:r>
      <w:r w:rsidRPr="00AE4E8D">
        <w:rPr>
          <w:rFonts w:ascii="Times New Roman" w:hAnsi="Times New Roman"/>
          <w:lang w:val="es-ES"/>
        </w:rPr>
        <w:t>296,1 millones al 31 de diciembre de 2016; (iv) un aumento del 60,7% en bienes de uso de Ps.242,8 millones al 31 de diciembre de 2015 a Ps.390,2 millones al 31 de diciembre de 2016; (v) un aumento del 18,6% en los bienes intangibles de Ps.478,2 millones al 31 de diciembre de 2015 a Ps.567,4 millones al 31 de diciembre de 2016; (vi) un aumento del 18,0% en créditos diversos de Ps.1.673,6 millones al 31 de diciembre de 2015 a Ps.1.974,2 millones al 31 de diciembre de 2016; parcialmente compensado por una disminución del (8,2)% títulos públicos y privados de Ps.5.446,3 millones al 31 de diciembre de 2015 a Ps.4.997,6 millones al 31 de diciembre de 2016;</w:t>
      </w:r>
    </w:p>
    <w:p w14:paraId="765CB965" w14:textId="77777777" w:rsidR="002A012A" w:rsidRPr="00AE4E8D" w:rsidRDefault="002A012A" w:rsidP="002A012A">
      <w:pPr>
        <w:autoSpaceDE w:val="0"/>
        <w:autoSpaceDN w:val="0"/>
        <w:adjustRightInd w:val="0"/>
        <w:spacing w:after="240"/>
        <w:rPr>
          <w:rFonts w:ascii="Times New Roman" w:hAnsi="Times New Roman"/>
          <w:i/>
          <w:lang w:val="es-ES" w:eastAsia="es-AR"/>
        </w:rPr>
      </w:pPr>
      <w:r w:rsidRPr="00AE4E8D">
        <w:rPr>
          <w:rFonts w:ascii="Times New Roman" w:hAnsi="Times New Roman"/>
          <w:i/>
          <w:lang w:val="es-ES" w:eastAsia="es-AR"/>
        </w:rPr>
        <w:t>2015/2014</w:t>
      </w:r>
    </w:p>
    <w:p w14:paraId="5E413E1E"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Al 31 de diciembre de 2015 teníamos activos totales por Ps.39.457</w:t>
      </w:r>
      <w:proofErr w:type="gramStart"/>
      <w:r w:rsidRPr="00AE4E8D">
        <w:rPr>
          <w:rFonts w:ascii="Times New Roman" w:hAnsi="Times New Roman"/>
          <w:lang w:val="es-ES"/>
        </w:rPr>
        <w:t>,9</w:t>
      </w:r>
      <w:proofErr w:type="gramEnd"/>
      <w:r w:rsidRPr="00AE4E8D">
        <w:rPr>
          <w:rFonts w:ascii="Times New Roman" w:hAnsi="Times New Roman"/>
          <w:lang w:val="es-ES"/>
        </w:rPr>
        <w:t xml:space="preserve"> millones, lo que represento un aumento del 25,9% comparado con Ps.31.351,5 millones al 31 de diciembre de 2014.</w:t>
      </w:r>
    </w:p>
    <w:p w14:paraId="07F8EA6E" w14:textId="77777777" w:rsidR="002A012A" w:rsidRPr="00AE4E8D" w:rsidRDefault="002A012A" w:rsidP="009D0E75">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Este aumento se debió principalmente a: (i) el aumento del 18,8% en disponibilidades de Ps.5.368,5 millones al 31 de diciembre de 2014 a Ps.6.378,8 millones al 31 de diciembre de 2015; (ii) un aumento </w:t>
      </w:r>
      <w:r w:rsidRPr="00AE4E8D">
        <w:rPr>
          <w:rFonts w:ascii="Times New Roman" w:hAnsi="Times New Roman"/>
          <w:lang w:val="es-ES"/>
        </w:rPr>
        <w:lastRenderedPageBreak/>
        <w:t>del 20,5% en títulos públicos y privados de Ps.4.518,0 millones al 31 de diciembre de 2014 a Ps.5.446,3 millones al 31 de diciembre de 2015; (iii) el aumento del 18,2% en préstamos de Ps.17.239,5 millones al 31 de diciembre de 2014 a Ps.20.369,9 millones al 31 de diciembre de 2015; (iv) un aumento del 92,4% en otros créditos por intermediación financiera de Ps.2,366.2 millones al 31 de diciembre de 2014 a Ps.4.553,3 millones al 31 de diciembre de 2015; (v) un aumento del 21,1% en créditos por arrendamientos financieros de Ps.107,5 millones al 31 de diciembre de 2014 a Ps.130,3 millones al 31 de diciembre de 2015; (vi) un aumento del 135,5% en participaciones en otras sociedades de Ps.47,9 millones al 31 de diciembre de 2014 a Ps.112,9 millones al 31 de diciembre de 2015; (vii)</w:t>
      </w:r>
      <w:r w:rsidRPr="00AE4E8D">
        <w:rPr>
          <w:rFonts w:ascii="Times New Roman" w:hAnsi="Times New Roman"/>
        </w:rPr>
        <w:t xml:space="preserve"> </w:t>
      </w:r>
      <w:r w:rsidRPr="00AE4E8D">
        <w:rPr>
          <w:rFonts w:ascii="Times New Roman" w:hAnsi="Times New Roman"/>
          <w:lang w:val="es-ES"/>
        </w:rPr>
        <w:t>un aumento del 47,5% en créditos diversos de Ps.1.134,5 millones al 31 de diciembre de 2014 a Ps.1.673,6 millones al 31 de diciembre de 2015; (viii) un aumento del 47,0% en bienes de uso de Ps.165,2 millones al 31 de diciembre de 2014 a Ps.242,8 millones al 31 de diciembre de 2015; (ix) un aumento del 8,9% en bienes diversos de Ps.59,8 millones al 31 de diciembre de 2014 a Ps.65,1 millones al 31 de diciembre de 2015; (x) un aumento del 39,5% en los bienes intangibles de Ps.342,9 millones al 31 de diciembre de 2014 a Ps.478,2 millones al 31 de diciembre de 2015 y (xi) un aumento del 395,0% en las partidas pendientes de imputación de Ps.1,4 millones al 31 de diciembre de 2014 a Ps.6,8 millones al 31 de diciembre de 2015.</w:t>
      </w:r>
    </w:p>
    <w:p w14:paraId="73463628" w14:textId="77777777" w:rsidR="001B3E41" w:rsidRPr="00AE4E8D" w:rsidRDefault="001B3E41" w:rsidP="001B3E41">
      <w:pPr>
        <w:keepNext/>
        <w:tabs>
          <w:tab w:val="left" w:pos="3014"/>
        </w:tabs>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Total Pasivo y Patrimonio Neto</w:t>
      </w:r>
    </w:p>
    <w:p w14:paraId="67987F36" w14:textId="77777777" w:rsidR="001B3E41" w:rsidRPr="00AE4E8D" w:rsidRDefault="001B3E41" w:rsidP="001B3E41">
      <w:pPr>
        <w:autoSpaceDE w:val="0"/>
        <w:autoSpaceDN w:val="0"/>
        <w:adjustRightInd w:val="0"/>
        <w:spacing w:after="240"/>
        <w:rPr>
          <w:rFonts w:ascii="Times New Roman" w:hAnsi="Times New Roman"/>
          <w:i/>
          <w:lang w:val="es-ES" w:eastAsia="es-AR"/>
        </w:rPr>
      </w:pPr>
      <w:r w:rsidRPr="00AE4E8D">
        <w:rPr>
          <w:rFonts w:ascii="Times New Roman" w:hAnsi="Times New Roman"/>
          <w:i/>
          <w:lang w:val="es-ES" w:eastAsia="es-AR"/>
        </w:rPr>
        <w:t>30 de junio de 2017</w:t>
      </w:r>
    </w:p>
    <w:p w14:paraId="60551CFF" w14:textId="77777777" w:rsidR="001B3E41" w:rsidRPr="00AE4E8D" w:rsidRDefault="001B3E41"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Al 30 de junio de 2017, teníamos pasivos totales y participaciones no controlantes en subsidiarias por Ps.48.580</w:t>
      </w:r>
      <w:proofErr w:type="gramStart"/>
      <w:r w:rsidRPr="00AE4E8D">
        <w:rPr>
          <w:rFonts w:ascii="Times New Roman" w:hAnsi="Times New Roman"/>
          <w:lang w:val="es-ES"/>
        </w:rPr>
        <w:t>,7</w:t>
      </w:r>
      <w:proofErr w:type="gramEnd"/>
      <w:r w:rsidRPr="00AE4E8D">
        <w:rPr>
          <w:rFonts w:ascii="Times New Roman" w:hAnsi="Times New Roman"/>
          <w:lang w:val="es-ES"/>
        </w:rPr>
        <w:t xml:space="preserve"> millones, lo que representó un incremento del 5,5%, comparado con Ps.46.051,9 millones al 31 de diciembre de 2016.</w:t>
      </w:r>
    </w:p>
    <w:p w14:paraId="3C464F6F" w14:textId="77777777" w:rsidR="001B3E41" w:rsidRPr="00AE4E8D" w:rsidRDefault="001B3E41"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Este incremento se debió principalmente a: (i) un aumento del 6,5% en otras obligaciones por intermediación financiera de Ps.24.187,3 millones al 31 de diciembre de 2016 a Ps.25.753,8 millones al 30 de junio de 2017; (ii) un aumento del 7,1% en previsiones de Ps.325,8 millones al 31 de diciembre de 2016 a Ps.348,8 millones al 30 de junio de 2017; (iii) un aumento del 1,0% en las obligaciones diversas de Ps.2.220,2 millones al 31 de diciembre de 2016 a Ps.2.242,5 millones al 30 de junio de 2017 y (iv) un aumento del 4,7% en los depósitos de Ps.18.985,0 millones al 31 de diciembre de 2016 a Ps.19.883,0 millones al 30 de junio de 2017.</w:t>
      </w:r>
    </w:p>
    <w:p w14:paraId="70622545" w14:textId="77777777" w:rsidR="001B3E41" w:rsidRPr="00AE4E8D" w:rsidRDefault="001B3E41"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El patrimonio neto aumentó de Ps.6.056</w:t>
      </w:r>
      <w:proofErr w:type="gramStart"/>
      <w:r w:rsidRPr="00AE4E8D">
        <w:rPr>
          <w:rFonts w:ascii="Times New Roman" w:hAnsi="Times New Roman"/>
          <w:lang w:val="es-ES"/>
        </w:rPr>
        <w:t>,3</w:t>
      </w:r>
      <w:proofErr w:type="gramEnd"/>
      <w:r w:rsidRPr="00AE4E8D">
        <w:rPr>
          <w:rFonts w:ascii="Times New Roman" w:hAnsi="Times New Roman"/>
          <w:lang w:val="es-ES"/>
        </w:rPr>
        <w:t xml:space="preserve"> millones al 31 de diciembre de 2016 a Ps.6.681,2 millones al 30 de junio de 2017. El incremento del 10,3% representaba una utilidad neta de Ps.625</w:t>
      </w:r>
      <w:proofErr w:type="gramStart"/>
      <w:r w:rsidRPr="00AE4E8D">
        <w:rPr>
          <w:rFonts w:ascii="Times New Roman" w:hAnsi="Times New Roman"/>
          <w:lang w:val="es-ES"/>
        </w:rPr>
        <w:t>,0</w:t>
      </w:r>
      <w:proofErr w:type="gramEnd"/>
      <w:r w:rsidRPr="00AE4E8D">
        <w:rPr>
          <w:rFonts w:ascii="Times New Roman" w:hAnsi="Times New Roman"/>
          <w:lang w:val="es-ES"/>
        </w:rPr>
        <w:t xml:space="preserve"> millones para los seis meses finalizados el 30 de junio de 2017.</w:t>
      </w:r>
    </w:p>
    <w:p w14:paraId="003CC101" w14:textId="77777777" w:rsidR="002A012A" w:rsidRPr="00AE4E8D" w:rsidRDefault="002A012A" w:rsidP="002A012A">
      <w:pPr>
        <w:autoSpaceDE w:val="0"/>
        <w:autoSpaceDN w:val="0"/>
        <w:adjustRightInd w:val="0"/>
        <w:spacing w:after="240"/>
        <w:rPr>
          <w:rFonts w:ascii="Times New Roman" w:hAnsi="Times New Roman"/>
          <w:i/>
          <w:lang w:val="es-ES" w:eastAsia="es-AR"/>
        </w:rPr>
      </w:pPr>
      <w:r w:rsidRPr="00AE4E8D">
        <w:rPr>
          <w:rFonts w:ascii="Times New Roman" w:hAnsi="Times New Roman"/>
          <w:i/>
          <w:lang w:val="es-ES" w:eastAsia="es-AR"/>
        </w:rPr>
        <w:t>2016/2015</w:t>
      </w:r>
    </w:p>
    <w:p w14:paraId="35C4FD6F"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Al 31 de diciembre de 2016, teníamos pasivos totales y participaciones no controlantes en subsidiarias por Ps.46.051</w:t>
      </w:r>
      <w:proofErr w:type="gramStart"/>
      <w:r w:rsidRPr="00AE4E8D">
        <w:rPr>
          <w:rFonts w:ascii="Times New Roman" w:hAnsi="Times New Roman"/>
          <w:lang w:val="es-ES"/>
        </w:rPr>
        <w:t>,9</w:t>
      </w:r>
      <w:proofErr w:type="gramEnd"/>
      <w:r w:rsidRPr="00AE4E8D">
        <w:rPr>
          <w:rFonts w:ascii="Times New Roman" w:hAnsi="Times New Roman"/>
          <w:lang w:val="es-ES"/>
        </w:rPr>
        <w:t xml:space="preserve"> millones, lo que representó un incremento del 35,4%, comparado con Ps.34.017,0 millones al 31 de diciembre de 2015.</w:t>
      </w:r>
    </w:p>
    <w:p w14:paraId="613B5C65"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Este incremento se debió principalmente a: (i) un aumento del 121,4% en otras obligaciones por intermediación financiera de Ps.10.924,7 millones al 31 de diciembre de 2015 a Ps.24.187,3 millones al 31 de diciembre de 2016; (ii) un aumento del 23,7% en obligaciones negociables subordinadas de Ps.110,6 millones al 31 de diciembre de 2015 a Ps.136,8 millones al 31 de diciembre de 2016 y (iii) un aumento del 26,7% en previsiones de Ps.257,2 millones al 31 de diciembre de 2015 a Ps.325,8 millones al 31 de diciembre de 2016 y (iv) un aumento del 0,9% en las obligaciones diversas de Ps.2.200,8 millones al 31 de diciembre de 2015 a Ps.2.220,2 millones al 31 de diciembre de 2016, compensado parcialmente por una disminución del 6,9% en los depósitos de Ps.20.392,2 millones al 31 de diciembre de 2015 a Ps.18.985,0 millones al 31 de diciembre de 2016 </w:t>
      </w:r>
    </w:p>
    <w:p w14:paraId="3D548B73"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El patrimonio neto aumentó de Ps.5.440</w:t>
      </w:r>
      <w:proofErr w:type="gramStart"/>
      <w:r w:rsidRPr="00AE4E8D">
        <w:rPr>
          <w:rFonts w:ascii="Times New Roman" w:hAnsi="Times New Roman"/>
          <w:lang w:val="es-ES"/>
        </w:rPr>
        <w:t>,9</w:t>
      </w:r>
      <w:proofErr w:type="gramEnd"/>
      <w:r w:rsidRPr="00AE4E8D">
        <w:rPr>
          <w:rFonts w:ascii="Times New Roman" w:hAnsi="Times New Roman"/>
          <w:lang w:val="es-ES"/>
        </w:rPr>
        <w:t xml:space="preserve"> millones al 31 de diciembre de 2015 a Ps.6.056,2 millones al 31 de diciembre de 2016. El incremento del 11,3% representaba una utilidad neta de Ps.615</w:t>
      </w:r>
      <w:proofErr w:type="gramStart"/>
      <w:r w:rsidRPr="00AE4E8D">
        <w:rPr>
          <w:rFonts w:ascii="Times New Roman" w:hAnsi="Times New Roman"/>
          <w:lang w:val="es-ES"/>
        </w:rPr>
        <w:t>,3</w:t>
      </w:r>
      <w:proofErr w:type="gramEnd"/>
      <w:r w:rsidRPr="00AE4E8D">
        <w:rPr>
          <w:rFonts w:ascii="Times New Roman" w:hAnsi="Times New Roman"/>
          <w:lang w:val="es-ES"/>
        </w:rPr>
        <w:t xml:space="preserve"> millones para el ejercicio finalizado el 31 de diciembre de 2016.</w:t>
      </w:r>
    </w:p>
    <w:p w14:paraId="6F767ECF" w14:textId="77777777" w:rsidR="002A012A" w:rsidRPr="00AE4E8D" w:rsidRDefault="002A012A" w:rsidP="002A012A">
      <w:pPr>
        <w:autoSpaceDE w:val="0"/>
        <w:autoSpaceDN w:val="0"/>
        <w:adjustRightInd w:val="0"/>
        <w:spacing w:after="240"/>
        <w:rPr>
          <w:rFonts w:ascii="Times New Roman" w:hAnsi="Times New Roman"/>
          <w:i/>
          <w:lang w:val="es-ES" w:eastAsia="es-AR"/>
        </w:rPr>
      </w:pPr>
      <w:r w:rsidRPr="00AE4E8D">
        <w:rPr>
          <w:rFonts w:ascii="Times New Roman" w:hAnsi="Times New Roman"/>
          <w:i/>
          <w:lang w:val="es-ES" w:eastAsia="es-AR"/>
        </w:rPr>
        <w:t>2015/2014</w:t>
      </w:r>
    </w:p>
    <w:p w14:paraId="2FEBC8B5"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Al 31 de diciembre de 2015, teníamos pasivos totales y participaciones no controlantes en subsidiarias por Ps.34.017</w:t>
      </w:r>
      <w:proofErr w:type="gramStart"/>
      <w:r w:rsidRPr="00AE4E8D">
        <w:rPr>
          <w:rFonts w:ascii="Times New Roman" w:hAnsi="Times New Roman"/>
          <w:lang w:val="es-ES"/>
        </w:rPr>
        <w:t>,0</w:t>
      </w:r>
      <w:proofErr w:type="gramEnd"/>
      <w:r w:rsidRPr="00AE4E8D">
        <w:rPr>
          <w:rFonts w:ascii="Times New Roman" w:hAnsi="Times New Roman"/>
          <w:lang w:val="es-ES"/>
        </w:rPr>
        <w:t xml:space="preserve"> millones, lo que representó un incremento del 26,2%, comparado con Ps.26.954,6 millones al 31 de diciembre de 2014.</w:t>
      </w:r>
    </w:p>
    <w:p w14:paraId="037F84D3"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Este incremento se debió principalmente a: (i) un aumento del 11,2% en los depósitos de Ps.18.334,1 millones al 31 de diciembre de 2014 a Ps.20.392,2 millones al 31 de diciembre de 2015; (ii) un aumento del 68,7% en otras obligaciones por intermediación financiera de Ps.6.475,4 millones al 31 de diciembre </w:t>
      </w:r>
      <w:r w:rsidRPr="00AE4E8D">
        <w:rPr>
          <w:rFonts w:ascii="Times New Roman" w:hAnsi="Times New Roman"/>
          <w:lang w:val="es-ES"/>
        </w:rPr>
        <w:lastRenderedPageBreak/>
        <w:t>de 2014 a Ps.10.924,7 millones al 31 de diciembre de 2015; (iii) un aumento del 23,5% en las obligaciones diversas de Ps.1.781,6 millones al 31 de diciembre de 2014 a Ps.2.200,8 millones al 31 de diciembre de 2015 y (iv) la emisión de obligaciones negociables subordinadas, la cual ha incrementado Ps.110,6 millones al 31 de diciembre de 2015.</w:t>
      </w:r>
    </w:p>
    <w:p w14:paraId="4E17478D" w14:textId="77777777" w:rsidR="002A012A" w:rsidRPr="00AE4E8D" w:rsidRDefault="002A012A"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El patrimonio neto aumentó de Ps.4.396</w:t>
      </w:r>
      <w:proofErr w:type="gramStart"/>
      <w:r w:rsidRPr="00AE4E8D">
        <w:rPr>
          <w:rFonts w:ascii="Times New Roman" w:hAnsi="Times New Roman"/>
          <w:lang w:val="es-ES"/>
        </w:rPr>
        <w:t>,9</w:t>
      </w:r>
      <w:proofErr w:type="gramEnd"/>
      <w:r w:rsidRPr="00AE4E8D">
        <w:rPr>
          <w:rFonts w:ascii="Times New Roman" w:hAnsi="Times New Roman"/>
          <w:lang w:val="es-ES"/>
        </w:rPr>
        <w:t xml:space="preserve"> millones al 31 de diciembre de 2014 a Ps.5.440,9 millones al 31 de diciembre de 2015. El incremento del 23,7% representaba una utilidad neta de Ps.1.085</w:t>
      </w:r>
      <w:proofErr w:type="gramStart"/>
      <w:r w:rsidRPr="00AE4E8D">
        <w:rPr>
          <w:rFonts w:ascii="Times New Roman" w:hAnsi="Times New Roman"/>
          <w:lang w:val="es-ES"/>
        </w:rPr>
        <w:t>,8</w:t>
      </w:r>
      <w:proofErr w:type="gramEnd"/>
      <w:r w:rsidRPr="00AE4E8D">
        <w:rPr>
          <w:rFonts w:ascii="Times New Roman" w:hAnsi="Times New Roman"/>
          <w:lang w:val="es-ES"/>
        </w:rPr>
        <w:t xml:space="preserve"> millones para el ejercicio que fue parcialmente compensado por un pago de dividendos de Ps.42,0 millones.</w:t>
      </w:r>
    </w:p>
    <w:p w14:paraId="6E20CF33" w14:textId="77777777" w:rsidR="001B3E41" w:rsidRPr="00AE4E8D" w:rsidRDefault="001B3E41" w:rsidP="001B3E41">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Cambios Significativos en la Situación Patrimonial</w:t>
      </w:r>
    </w:p>
    <w:p w14:paraId="7BB9D5B4" w14:textId="77777777" w:rsidR="001B3E41" w:rsidRPr="00AE4E8D" w:rsidRDefault="001B3E41" w:rsidP="001B3E41">
      <w:pPr>
        <w:autoSpaceDE w:val="0"/>
        <w:autoSpaceDN w:val="0"/>
        <w:adjustRightInd w:val="0"/>
        <w:spacing w:after="240"/>
        <w:rPr>
          <w:rFonts w:ascii="Times New Roman" w:hAnsi="Times New Roman"/>
          <w:i/>
          <w:lang w:val="es-ES" w:eastAsia="es-AR"/>
        </w:rPr>
      </w:pPr>
      <w:r w:rsidRPr="00AE4E8D">
        <w:rPr>
          <w:rFonts w:ascii="Times New Roman" w:hAnsi="Times New Roman"/>
          <w:i/>
          <w:lang w:val="es-ES" w:eastAsia="es-AR"/>
        </w:rPr>
        <w:t>30 de junio de 2017</w:t>
      </w:r>
    </w:p>
    <w:p w14:paraId="23485619" w14:textId="77777777" w:rsidR="001B3E41" w:rsidRPr="00AE4E8D" w:rsidRDefault="001B3E41"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Las disponibilidades disminuyeron 52,2% de Ps.7.188</w:t>
      </w:r>
      <w:proofErr w:type="gramStart"/>
      <w:r w:rsidRPr="00AE4E8D">
        <w:rPr>
          <w:rFonts w:ascii="Times New Roman" w:hAnsi="Times New Roman"/>
          <w:lang w:val="es-ES"/>
        </w:rPr>
        <w:t>,3</w:t>
      </w:r>
      <w:proofErr w:type="gramEnd"/>
      <w:r w:rsidRPr="00AE4E8D">
        <w:rPr>
          <w:rFonts w:ascii="Times New Roman" w:hAnsi="Times New Roman"/>
          <w:lang w:val="es-ES"/>
        </w:rPr>
        <w:t xml:space="preserve"> millones al 31 de diciembre de 2016 a Ps.3.435,3 millones al 30 de junio de 2017, principalmente debido a la colocación de préstamos y compra de instrumentos del BCRA.</w:t>
      </w:r>
    </w:p>
    <w:p w14:paraId="291BD2BA" w14:textId="77777777" w:rsidR="001B3E41" w:rsidRPr="00AE4E8D" w:rsidRDefault="001B3E41"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eastAsia="es-AR"/>
        </w:rPr>
        <w:t>El rubro Bienes diversos aumentó Ps.971</w:t>
      </w:r>
      <w:proofErr w:type="gramStart"/>
      <w:r w:rsidRPr="00AE4E8D">
        <w:rPr>
          <w:rFonts w:ascii="Times New Roman" w:hAnsi="Times New Roman"/>
          <w:lang w:val="es-ES" w:eastAsia="es-AR"/>
        </w:rPr>
        <w:t>,0</w:t>
      </w:r>
      <w:proofErr w:type="gramEnd"/>
      <w:r w:rsidRPr="00AE4E8D">
        <w:rPr>
          <w:rFonts w:ascii="Times New Roman" w:hAnsi="Times New Roman"/>
          <w:lang w:val="es-ES" w:eastAsia="es-AR"/>
        </w:rPr>
        <w:t xml:space="preserve"> millones desde el 31 de diciembre de 2016 al 30 de junio de 2017, </w:t>
      </w:r>
      <w:r w:rsidRPr="00AE4E8D">
        <w:rPr>
          <w:rFonts w:ascii="Times New Roman" w:hAnsi="Times New Roman"/>
          <w:lang w:val="es-ES"/>
        </w:rPr>
        <w:t>representando un aumento del 328,0%, principalmente como resultado del pago del 85% de la compraventa del “Edificio del Plata”.</w:t>
      </w:r>
    </w:p>
    <w:p w14:paraId="2B6FF4A6" w14:textId="77777777" w:rsidR="001B3E41" w:rsidRPr="00AE4E8D" w:rsidRDefault="001B3E41"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eastAsia="es-AR"/>
        </w:rPr>
        <w:t>Las otras obligaciones por intermediación financiera aumentaron Ps.1.566</w:t>
      </w:r>
      <w:proofErr w:type="gramStart"/>
      <w:r w:rsidRPr="00AE4E8D">
        <w:rPr>
          <w:rFonts w:ascii="Times New Roman" w:hAnsi="Times New Roman"/>
          <w:lang w:val="es-ES" w:eastAsia="es-AR"/>
        </w:rPr>
        <w:t>,5</w:t>
      </w:r>
      <w:proofErr w:type="gramEnd"/>
      <w:r w:rsidRPr="00AE4E8D">
        <w:rPr>
          <w:rFonts w:ascii="Times New Roman" w:hAnsi="Times New Roman"/>
          <w:lang w:val="es-ES" w:eastAsia="es-AR"/>
        </w:rPr>
        <w:t xml:space="preserve"> millones desde el 31 de diciembre de 2016 al 30 de junio de 2017, representando un aumento del 6,5%, principalmente como resultado de una mayor cantidad de obligaciones negociables en circulación.</w:t>
      </w:r>
    </w:p>
    <w:p w14:paraId="01095E4C" w14:textId="77777777" w:rsidR="002A012A" w:rsidRPr="00AE4E8D" w:rsidRDefault="002A012A" w:rsidP="002A012A">
      <w:pPr>
        <w:autoSpaceDE w:val="0"/>
        <w:autoSpaceDN w:val="0"/>
        <w:adjustRightInd w:val="0"/>
        <w:spacing w:after="240"/>
        <w:rPr>
          <w:rFonts w:ascii="Times New Roman" w:hAnsi="Times New Roman"/>
          <w:i/>
          <w:lang w:val="es-ES"/>
        </w:rPr>
      </w:pPr>
      <w:r w:rsidRPr="00AE4E8D">
        <w:rPr>
          <w:rFonts w:ascii="Times New Roman" w:hAnsi="Times New Roman"/>
          <w:i/>
          <w:lang w:val="es-ES"/>
        </w:rPr>
        <w:t>2016</w:t>
      </w:r>
      <w:r w:rsidRPr="00AE4E8D">
        <w:rPr>
          <w:rFonts w:ascii="Times New Roman" w:hAnsi="Times New Roman"/>
          <w:i/>
          <w:lang w:val="es-ES" w:eastAsia="es-AR"/>
        </w:rPr>
        <w:t>/2015</w:t>
      </w:r>
    </w:p>
    <w:p w14:paraId="5F7342DA"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Las disponibilidades aumentaron 12,7% de Ps.6.378</w:t>
      </w:r>
      <w:proofErr w:type="gramStart"/>
      <w:r w:rsidRPr="00AE4E8D">
        <w:rPr>
          <w:rFonts w:ascii="Times New Roman" w:hAnsi="Times New Roman"/>
          <w:lang w:val="es-ES"/>
        </w:rPr>
        <w:t>,8</w:t>
      </w:r>
      <w:proofErr w:type="gramEnd"/>
      <w:r w:rsidRPr="00AE4E8D">
        <w:rPr>
          <w:rFonts w:ascii="Times New Roman" w:hAnsi="Times New Roman"/>
          <w:lang w:val="es-ES"/>
        </w:rPr>
        <w:t xml:space="preserve"> millones al 31 de diciembre de 2015 a Ps.7.188,3 millones al 31 de diciembre de 2016, principalmente debido al pago de nuestras obligaciones negociables Serie V que se vencieron el 27 de abril de 2016.</w:t>
      </w:r>
    </w:p>
    <w:p w14:paraId="63D89CB5"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Nuestros depósitos disminuyeron Ps.1.407</w:t>
      </w:r>
      <w:proofErr w:type="gramStart"/>
      <w:r w:rsidRPr="00AE4E8D">
        <w:rPr>
          <w:rFonts w:ascii="Times New Roman" w:hAnsi="Times New Roman"/>
          <w:lang w:val="es-ES"/>
        </w:rPr>
        <w:t>,2</w:t>
      </w:r>
      <w:proofErr w:type="gramEnd"/>
      <w:r w:rsidRPr="00AE4E8D">
        <w:rPr>
          <w:rFonts w:ascii="Times New Roman" w:hAnsi="Times New Roman"/>
          <w:lang w:val="es-ES"/>
        </w:rPr>
        <w:t xml:space="preserve"> millones entre el 31 de diciembre 2015 y el 31 de diciembre de 2016, representando una disminución del 6,9% principalmente debido a la disminución de los depósitos del sector público no financiero.</w:t>
      </w:r>
    </w:p>
    <w:p w14:paraId="0800A632" w14:textId="77777777" w:rsidR="002A012A" w:rsidRPr="00AE4E8D" w:rsidRDefault="002A012A" w:rsidP="002A012A">
      <w:pPr>
        <w:autoSpaceDE w:val="0"/>
        <w:autoSpaceDN w:val="0"/>
        <w:adjustRightInd w:val="0"/>
        <w:spacing w:before="120" w:after="120"/>
        <w:jc w:val="both"/>
        <w:rPr>
          <w:rFonts w:ascii="Times New Roman" w:hAnsi="Times New Roman"/>
          <w:i/>
          <w:lang w:val="es-ES"/>
        </w:rPr>
      </w:pPr>
      <w:r w:rsidRPr="00AE4E8D">
        <w:rPr>
          <w:rFonts w:ascii="Times New Roman" w:hAnsi="Times New Roman"/>
          <w:lang w:val="es-ES" w:eastAsia="es-AR"/>
        </w:rPr>
        <w:t>Las otras obligaciones por intermediación financiera aumentaron Ps.13.262</w:t>
      </w:r>
      <w:proofErr w:type="gramStart"/>
      <w:r w:rsidRPr="00AE4E8D">
        <w:rPr>
          <w:rFonts w:ascii="Times New Roman" w:hAnsi="Times New Roman"/>
          <w:lang w:val="es-ES" w:eastAsia="es-AR"/>
        </w:rPr>
        <w:t>,6</w:t>
      </w:r>
      <w:proofErr w:type="gramEnd"/>
      <w:r w:rsidRPr="00AE4E8D">
        <w:rPr>
          <w:rFonts w:ascii="Times New Roman" w:hAnsi="Times New Roman"/>
          <w:lang w:val="es-ES" w:eastAsia="es-AR"/>
        </w:rPr>
        <w:t xml:space="preserve"> millones desde el 31 de diciembre de 2015 al 31 de diciembre de 2016, representando un aumento del 121,4%, principalmente como resultado de una mayor cantidad de obligaciones negociables en circulación.</w:t>
      </w:r>
    </w:p>
    <w:p w14:paraId="1BF488DC" w14:textId="77777777" w:rsidR="002A012A" w:rsidRPr="00AE4E8D" w:rsidRDefault="002A012A" w:rsidP="002A012A">
      <w:pPr>
        <w:autoSpaceDE w:val="0"/>
        <w:autoSpaceDN w:val="0"/>
        <w:adjustRightInd w:val="0"/>
        <w:spacing w:after="240"/>
        <w:rPr>
          <w:rFonts w:ascii="Times New Roman" w:hAnsi="Times New Roman"/>
          <w:i/>
          <w:lang w:val="es-ES" w:eastAsia="es-AR"/>
        </w:rPr>
      </w:pPr>
      <w:r w:rsidRPr="00AE4E8D">
        <w:rPr>
          <w:rFonts w:ascii="Times New Roman" w:hAnsi="Times New Roman"/>
          <w:i/>
          <w:lang w:val="es-ES" w:eastAsia="es-AR"/>
        </w:rPr>
        <w:t>2015/2014</w:t>
      </w:r>
    </w:p>
    <w:p w14:paraId="0F331859"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Las disponibilidades aumentaron 18,8% de Ps.5.368</w:t>
      </w:r>
      <w:proofErr w:type="gramStart"/>
      <w:r w:rsidRPr="00AE4E8D">
        <w:rPr>
          <w:rFonts w:ascii="Times New Roman" w:hAnsi="Times New Roman"/>
          <w:lang w:val="es-ES"/>
        </w:rPr>
        <w:t>,5</w:t>
      </w:r>
      <w:proofErr w:type="gramEnd"/>
      <w:r w:rsidRPr="00AE4E8D">
        <w:rPr>
          <w:rFonts w:ascii="Times New Roman" w:hAnsi="Times New Roman"/>
          <w:lang w:val="es-ES"/>
        </w:rPr>
        <w:t xml:space="preserve"> millones al 31 de diciembre de 2014 a Ps.6.378,8 millones al 31 de diciembre de 2015 debido a los depósitos realizados en el BCRA.</w:t>
      </w:r>
    </w:p>
    <w:p w14:paraId="3639B931" w14:textId="77777777" w:rsidR="002A012A" w:rsidRPr="00AE4E8D" w:rsidRDefault="002A012A" w:rsidP="002A012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Los títulos públicos y privados aumentaron 20,5% entre el 31 de diciembre 2014 y el 31 de diciembre de 2015, principalmente debido al aumento de la tenencia de títulos emitidos por el Estado Nacional.</w:t>
      </w:r>
    </w:p>
    <w:p w14:paraId="5F8262BE" w14:textId="77777777" w:rsidR="002A012A" w:rsidRPr="00AE4E8D" w:rsidRDefault="002A012A" w:rsidP="002A012A">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Nuestra cartera de préstamos totalizó Ps.20.369</w:t>
      </w:r>
      <w:proofErr w:type="gramStart"/>
      <w:r w:rsidRPr="00AE4E8D">
        <w:rPr>
          <w:rFonts w:ascii="Times New Roman" w:hAnsi="Times New Roman"/>
          <w:lang w:val="es-ES" w:eastAsia="es-AR"/>
        </w:rPr>
        <w:t>,9</w:t>
      </w:r>
      <w:proofErr w:type="gramEnd"/>
      <w:r w:rsidRPr="00AE4E8D">
        <w:rPr>
          <w:rFonts w:ascii="Times New Roman" w:hAnsi="Times New Roman"/>
          <w:lang w:val="es-ES" w:eastAsia="es-AR"/>
        </w:rPr>
        <w:t xml:space="preserve"> millones al 31 de diciembre de 2015, lo que representó un aumento del 18,2% comparado con el 31 de diciembre de 2014. Tanto los préstamos de tarjetas de crédito como los préstamos personales aumentaron un 38,4% y 26,1%, respectivamente durante el ejercicio. </w:t>
      </w:r>
    </w:p>
    <w:p w14:paraId="2812F9FA" w14:textId="77777777" w:rsidR="002A012A" w:rsidRPr="00AE4E8D" w:rsidRDefault="002A012A" w:rsidP="002A012A">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Nuestros depósitos aumentaron durante del ejercicio 2015 Ps. 2.058,1 millones. Los depósitos del sector público no financiero se redujeron Ps. 2.280,9 millones debido principalmente a ciertos depósitos realizados el último día de 2014, los cuales han sido retirados el primer día hábil de 2015. Con respecto a los depósitos del sector privado no financiero, los depósitos a plazo fijo aumentaron 70,3% en el mismo período. </w:t>
      </w:r>
    </w:p>
    <w:p w14:paraId="7B0CB552" w14:textId="77777777" w:rsidR="002A012A" w:rsidRPr="00AE4E8D" w:rsidRDefault="002A012A" w:rsidP="001B3E41">
      <w:pPr>
        <w:autoSpaceDE w:val="0"/>
        <w:autoSpaceDN w:val="0"/>
        <w:adjustRightInd w:val="0"/>
        <w:spacing w:before="120" w:after="120"/>
        <w:jc w:val="both"/>
        <w:rPr>
          <w:rFonts w:ascii="Times New Roman" w:hAnsi="Times New Roman"/>
          <w:i/>
          <w:lang w:val="es-ES"/>
        </w:rPr>
      </w:pPr>
      <w:r w:rsidRPr="00AE4E8D">
        <w:rPr>
          <w:rFonts w:ascii="Times New Roman" w:hAnsi="Times New Roman"/>
          <w:lang w:val="es-ES" w:eastAsia="es-AR"/>
        </w:rPr>
        <w:t>Otras obligaciones por intermediación financiera aumentaron Ps.4.449</w:t>
      </w:r>
      <w:proofErr w:type="gramStart"/>
      <w:r w:rsidRPr="00AE4E8D">
        <w:rPr>
          <w:rFonts w:ascii="Times New Roman" w:hAnsi="Times New Roman"/>
          <w:lang w:val="es-ES" w:eastAsia="es-AR"/>
        </w:rPr>
        <w:t>,4</w:t>
      </w:r>
      <w:proofErr w:type="gramEnd"/>
      <w:r w:rsidRPr="00AE4E8D">
        <w:rPr>
          <w:rFonts w:ascii="Times New Roman" w:hAnsi="Times New Roman"/>
          <w:lang w:val="es-ES" w:eastAsia="es-AR"/>
        </w:rPr>
        <w:t xml:space="preserve"> millones en del ejercicio 2015 principalmente como resultado de una mayor cantidad de obligaciones negociables en circulación.</w:t>
      </w:r>
    </w:p>
    <w:p w14:paraId="31951243" w14:textId="77777777" w:rsidR="001B3E41" w:rsidRPr="00AE4E8D" w:rsidRDefault="001B3E41" w:rsidP="001B3E41">
      <w:pPr>
        <w:keepNext/>
        <w:autoSpaceDE w:val="0"/>
        <w:autoSpaceDN w:val="0"/>
        <w:adjustRightInd w:val="0"/>
        <w:spacing w:before="240" w:after="240"/>
        <w:outlineLvl w:val="1"/>
        <w:rPr>
          <w:rFonts w:ascii="Times New Roman" w:hAnsi="Times New Roman"/>
          <w:b/>
          <w:lang w:val="es-ES" w:eastAsia="es-AR"/>
        </w:rPr>
      </w:pPr>
      <w:bookmarkStart w:id="534" w:name="_Toc420062595"/>
      <w:bookmarkStart w:id="535" w:name="_Toc421201407"/>
      <w:bookmarkStart w:id="536" w:name="_Toc491775378"/>
      <w:bookmarkStart w:id="537" w:name="_Toc495973021"/>
      <w:bookmarkStart w:id="538" w:name="_Toc495399928"/>
      <w:r w:rsidRPr="00AE4E8D">
        <w:rPr>
          <w:rFonts w:ascii="Times New Roman" w:hAnsi="Times New Roman"/>
          <w:b/>
          <w:lang w:val="es-ES" w:eastAsia="es-AR"/>
        </w:rPr>
        <w:t>Liquidez y Recursos de Capital</w:t>
      </w:r>
      <w:bookmarkEnd w:id="534"/>
      <w:bookmarkEnd w:id="535"/>
      <w:bookmarkEnd w:id="536"/>
      <w:bookmarkEnd w:id="537"/>
      <w:bookmarkEnd w:id="538"/>
      <w:r w:rsidRPr="00AE4E8D">
        <w:rPr>
          <w:rFonts w:ascii="Times New Roman" w:hAnsi="Times New Roman"/>
          <w:b/>
          <w:lang w:val="es-ES" w:eastAsia="es-AR"/>
        </w:rPr>
        <w:t xml:space="preserve"> </w:t>
      </w:r>
    </w:p>
    <w:p w14:paraId="3EEA5767" w14:textId="77777777" w:rsidR="001B3E41" w:rsidRPr="00AE4E8D" w:rsidRDefault="001B3E41" w:rsidP="001B3E41">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Financiamiento</w:t>
      </w:r>
    </w:p>
    <w:p w14:paraId="3F27D3B3" w14:textId="77777777" w:rsidR="001B3E41" w:rsidRPr="00AE4E8D" w:rsidRDefault="001B3E41" w:rsidP="001B3E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Financiamos nuestras operaciones de préstamo principalmente a través de:</w:t>
      </w:r>
    </w:p>
    <w:p w14:paraId="75F1463A" w14:textId="77777777" w:rsidR="001B3E41" w:rsidRPr="00AE4E8D" w:rsidRDefault="001B3E41" w:rsidP="001B3E41">
      <w:pPr>
        <w:pStyle w:val="BHTexto"/>
        <w:numPr>
          <w:ilvl w:val="0"/>
          <w:numId w:val="103"/>
        </w:numPr>
        <w:rPr>
          <w:lang w:val="es-ES"/>
        </w:rPr>
      </w:pPr>
      <w:r w:rsidRPr="00AE4E8D">
        <w:rPr>
          <w:lang w:val="es-ES"/>
        </w:rPr>
        <w:lastRenderedPageBreak/>
        <w:t>depósitos, principalmente depósitos a plazo fijo;</w:t>
      </w:r>
    </w:p>
    <w:p w14:paraId="442014DC" w14:textId="77777777" w:rsidR="001B3E41" w:rsidRPr="00AE4E8D" w:rsidRDefault="001B3E41" w:rsidP="001B3E41">
      <w:pPr>
        <w:pStyle w:val="BHTexto"/>
        <w:numPr>
          <w:ilvl w:val="0"/>
          <w:numId w:val="103"/>
        </w:numPr>
        <w:rPr>
          <w:lang w:val="es-ES"/>
        </w:rPr>
      </w:pPr>
      <w:r w:rsidRPr="00AE4E8D">
        <w:rPr>
          <w:lang w:val="es-ES"/>
        </w:rPr>
        <w:t>emisión de títulos a tasa fija y variable en los mercados de capital internacionales y locales,</w:t>
      </w:r>
    </w:p>
    <w:p w14:paraId="1DCD0415" w14:textId="77777777" w:rsidR="001B3E41" w:rsidRPr="00AE4E8D" w:rsidRDefault="001B3E41" w:rsidP="001B3E41">
      <w:pPr>
        <w:pStyle w:val="BHTexto"/>
        <w:numPr>
          <w:ilvl w:val="0"/>
          <w:numId w:val="103"/>
        </w:numPr>
        <w:rPr>
          <w:lang w:val="es-ES"/>
        </w:rPr>
      </w:pPr>
      <w:r w:rsidRPr="00AE4E8D">
        <w:rPr>
          <w:lang w:val="es-ES"/>
        </w:rPr>
        <w:t>titulizaciones de préstamos, y</w:t>
      </w:r>
    </w:p>
    <w:p w14:paraId="5D224A08" w14:textId="77777777" w:rsidR="001B3E41" w:rsidRPr="00AE4E8D" w:rsidRDefault="001B3E41" w:rsidP="001B3E41">
      <w:pPr>
        <w:pStyle w:val="BHTexto"/>
        <w:numPr>
          <w:ilvl w:val="0"/>
          <w:numId w:val="103"/>
        </w:numPr>
        <w:rPr>
          <w:lang w:val="es-ES"/>
        </w:rPr>
      </w:pPr>
      <w:r w:rsidRPr="00AE4E8D">
        <w:rPr>
          <w:lang w:val="es-ES"/>
        </w:rPr>
        <w:t>flujo de fondos proveniente de préstamos existentes.</w:t>
      </w:r>
    </w:p>
    <w:p w14:paraId="077EFBC9" w14:textId="77777777" w:rsidR="001B3E41" w:rsidRPr="00AE4E8D" w:rsidRDefault="001B3E41" w:rsidP="001B3E41">
      <w:pPr>
        <w:autoSpaceDE w:val="0"/>
        <w:autoSpaceDN w:val="0"/>
        <w:adjustRightInd w:val="0"/>
        <w:spacing w:before="120" w:after="120"/>
        <w:jc w:val="both"/>
        <w:rPr>
          <w:rFonts w:ascii="Times New Roman" w:hAnsi="Times New Roman"/>
          <w:color w:val="000000"/>
          <w:lang w:val="es-ES" w:eastAsia="es-AR"/>
        </w:rPr>
      </w:pPr>
      <w:r w:rsidRPr="00AE4E8D">
        <w:rPr>
          <w:rFonts w:ascii="Times New Roman" w:hAnsi="Times New Roman"/>
          <w:lang w:val="es-ES" w:eastAsia="es-AR"/>
        </w:rPr>
        <w:t>La siguiente tabla establece las obligaciones pendientes de pago con respecto a cada una de nuestras principales fuentes de financiamiento a las fechas indicadas</w:t>
      </w:r>
      <w:r w:rsidRPr="00AE4E8D">
        <w:rPr>
          <w:rFonts w:ascii="Times New Roman" w:hAnsi="Times New Roman"/>
          <w:color w:val="000000"/>
          <w:lang w:val="es-ES" w:eastAsia="es-AR"/>
        </w:rPr>
        <w:t>:</w:t>
      </w:r>
    </w:p>
    <w:tbl>
      <w:tblPr>
        <w:tblW w:w="5000" w:type="pct"/>
        <w:jc w:val="center"/>
        <w:tblLook w:val="00A0" w:firstRow="1" w:lastRow="0" w:firstColumn="1" w:lastColumn="0" w:noHBand="0" w:noVBand="0"/>
      </w:tblPr>
      <w:tblGrid>
        <w:gridCol w:w="4347"/>
        <w:gridCol w:w="1015"/>
        <w:gridCol w:w="1015"/>
        <w:gridCol w:w="1017"/>
        <w:gridCol w:w="1327"/>
      </w:tblGrid>
      <w:tr w:rsidR="001B3E41" w:rsidRPr="00AE4E8D" w14:paraId="71B673D5" w14:textId="77777777" w:rsidTr="000400C8">
        <w:trPr>
          <w:trHeight w:val="300"/>
          <w:jc w:val="center"/>
        </w:trPr>
        <w:tc>
          <w:tcPr>
            <w:tcW w:w="2492" w:type="pct"/>
            <w:tcBorders>
              <w:top w:val="nil"/>
              <w:left w:val="nil"/>
              <w:bottom w:val="nil"/>
              <w:right w:val="nil"/>
            </w:tcBorders>
            <w:noWrap/>
            <w:vAlign w:val="bottom"/>
          </w:tcPr>
          <w:p w14:paraId="2D8E108F" w14:textId="77777777" w:rsidR="001B3E41" w:rsidRPr="00AE4E8D" w:rsidRDefault="001B3E41" w:rsidP="002A71B8">
            <w:pPr>
              <w:rPr>
                <w:rFonts w:ascii="Times New Roman" w:hAnsi="Times New Roman"/>
                <w:color w:val="000000"/>
                <w:lang w:val="es-ES"/>
              </w:rPr>
            </w:pPr>
          </w:p>
        </w:tc>
        <w:tc>
          <w:tcPr>
            <w:tcW w:w="1747" w:type="pct"/>
            <w:gridSpan w:val="3"/>
            <w:tcBorders>
              <w:top w:val="nil"/>
              <w:left w:val="nil"/>
              <w:bottom w:val="single" w:sz="4" w:space="0" w:color="auto"/>
              <w:right w:val="nil"/>
            </w:tcBorders>
            <w:vAlign w:val="bottom"/>
          </w:tcPr>
          <w:p w14:paraId="3E1DFCD1" w14:textId="77777777" w:rsidR="001B3E41" w:rsidRPr="00AE4E8D" w:rsidRDefault="001B3E41" w:rsidP="002A71B8">
            <w:pPr>
              <w:jc w:val="center"/>
              <w:rPr>
                <w:rFonts w:ascii="Times New Roman" w:hAnsi="Times New Roman"/>
                <w:b/>
                <w:bCs/>
                <w:color w:val="000000"/>
                <w:lang w:val="es-ES"/>
              </w:rPr>
            </w:pPr>
            <w:r w:rsidRPr="00AE4E8D">
              <w:rPr>
                <w:rFonts w:ascii="Times New Roman" w:hAnsi="Times New Roman"/>
                <w:b/>
                <w:bCs/>
                <w:color w:val="000000"/>
                <w:lang w:val="es-ES"/>
              </w:rPr>
              <w:t>Al 31 de diciembre de</w:t>
            </w:r>
          </w:p>
        </w:tc>
        <w:tc>
          <w:tcPr>
            <w:tcW w:w="761" w:type="pct"/>
            <w:tcBorders>
              <w:top w:val="nil"/>
              <w:left w:val="nil"/>
              <w:bottom w:val="single" w:sz="4" w:space="0" w:color="auto"/>
              <w:right w:val="nil"/>
            </w:tcBorders>
            <w:vAlign w:val="bottom"/>
          </w:tcPr>
          <w:p w14:paraId="1F78A09D" w14:textId="77777777" w:rsidR="001B3E41" w:rsidRPr="00AE4E8D" w:rsidRDefault="001B3E41" w:rsidP="002A71B8">
            <w:pPr>
              <w:jc w:val="center"/>
              <w:rPr>
                <w:rFonts w:ascii="Times New Roman" w:hAnsi="Times New Roman"/>
                <w:b/>
                <w:bCs/>
                <w:color w:val="000000"/>
                <w:lang w:val="es-ES"/>
              </w:rPr>
            </w:pPr>
            <w:r w:rsidRPr="00AE4E8D">
              <w:rPr>
                <w:rFonts w:ascii="Times New Roman" w:hAnsi="Times New Roman"/>
                <w:b/>
                <w:bCs/>
                <w:color w:val="000000"/>
                <w:lang w:val="es-ES"/>
              </w:rPr>
              <w:t>Al 30 de junio de</w:t>
            </w:r>
          </w:p>
        </w:tc>
      </w:tr>
      <w:tr w:rsidR="001B3E41" w:rsidRPr="00AE4E8D" w14:paraId="4D33BD7D" w14:textId="77777777" w:rsidTr="000400C8">
        <w:trPr>
          <w:trHeight w:val="300"/>
          <w:jc w:val="center"/>
        </w:trPr>
        <w:tc>
          <w:tcPr>
            <w:tcW w:w="2492" w:type="pct"/>
            <w:tcBorders>
              <w:top w:val="nil"/>
              <w:left w:val="nil"/>
              <w:bottom w:val="nil"/>
              <w:right w:val="nil"/>
            </w:tcBorders>
            <w:noWrap/>
            <w:vAlign w:val="bottom"/>
          </w:tcPr>
          <w:p w14:paraId="7F86B98C" w14:textId="77777777" w:rsidR="001B3E41" w:rsidRPr="00AE4E8D" w:rsidRDefault="001B3E41" w:rsidP="002A71B8">
            <w:pPr>
              <w:rPr>
                <w:rFonts w:ascii="Times New Roman" w:hAnsi="Times New Roman"/>
                <w:color w:val="000000"/>
                <w:lang w:val="es-ES"/>
              </w:rPr>
            </w:pPr>
          </w:p>
        </w:tc>
        <w:tc>
          <w:tcPr>
            <w:tcW w:w="582" w:type="pct"/>
            <w:tcBorders>
              <w:top w:val="nil"/>
              <w:left w:val="nil"/>
              <w:bottom w:val="single" w:sz="4" w:space="0" w:color="auto"/>
              <w:right w:val="nil"/>
            </w:tcBorders>
            <w:vAlign w:val="bottom"/>
          </w:tcPr>
          <w:p w14:paraId="6E8923C5" w14:textId="77777777" w:rsidR="001B3E41" w:rsidRPr="00AE4E8D" w:rsidRDefault="001B3E41" w:rsidP="002A71B8">
            <w:pPr>
              <w:jc w:val="center"/>
              <w:rPr>
                <w:rFonts w:ascii="Times New Roman" w:hAnsi="Times New Roman"/>
                <w:b/>
                <w:bCs/>
                <w:color w:val="000000"/>
                <w:lang w:val="es-ES"/>
              </w:rPr>
            </w:pPr>
            <w:r w:rsidRPr="00AE4E8D">
              <w:rPr>
                <w:rFonts w:ascii="Times New Roman" w:hAnsi="Times New Roman"/>
                <w:b/>
                <w:bCs/>
                <w:color w:val="000000"/>
                <w:lang w:val="es-ES"/>
              </w:rPr>
              <w:t>2014</w:t>
            </w:r>
          </w:p>
        </w:tc>
        <w:tc>
          <w:tcPr>
            <w:tcW w:w="582" w:type="pct"/>
            <w:tcBorders>
              <w:top w:val="nil"/>
              <w:left w:val="nil"/>
              <w:bottom w:val="single" w:sz="4" w:space="0" w:color="auto"/>
              <w:right w:val="nil"/>
            </w:tcBorders>
            <w:vAlign w:val="bottom"/>
          </w:tcPr>
          <w:p w14:paraId="1E2E3CC5" w14:textId="77777777" w:rsidR="001B3E41" w:rsidRPr="00AE4E8D" w:rsidRDefault="001B3E41" w:rsidP="002A71B8">
            <w:pPr>
              <w:jc w:val="center"/>
              <w:rPr>
                <w:rFonts w:ascii="Times New Roman" w:hAnsi="Times New Roman"/>
                <w:b/>
                <w:bCs/>
                <w:color w:val="000000"/>
                <w:lang w:val="es-ES"/>
              </w:rPr>
            </w:pPr>
            <w:r w:rsidRPr="00AE4E8D">
              <w:rPr>
                <w:rFonts w:ascii="Times New Roman" w:hAnsi="Times New Roman"/>
                <w:b/>
                <w:bCs/>
                <w:color w:val="000000"/>
                <w:lang w:val="es-ES"/>
              </w:rPr>
              <w:t>2015</w:t>
            </w:r>
          </w:p>
        </w:tc>
        <w:tc>
          <w:tcPr>
            <w:tcW w:w="582" w:type="pct"/>
            <w:tcBorders>
              <w:top w:val="nil"/>
              <w:left w:val="nil"/>
              <w:bottom w:val="single" w:sz="4" w:space="0" w:color="auto"/>
              <w:right w:val="nil"/>
            </w:tcBorders>
            <w:vAlign w:val="bottom"/>
          </w:tcPr>
          <w:p w14:paraId="6EDE2350" w14:textId="77777777" w:rsidR="001B3E41" w:rsidRPr="00AE4E8D" w:rsidRDefault="001B3E41" w:rsidP="002A71B8">
            <w:pPr>
              <w:jc w:val="center"/>
              <w:rPr>
                <w:rFonts w:ascii="Times New Roman" w:hAnsi="Times New Roman"/>
                <w:b/>
                <w:bCs/>
                <w:color w:val="000000"/>
                <w:lang w:val="es-ES"/>
              </w:rPr>
            </w:pPr>
            <w:r w:rsidRPr="00AE4E8D">
              <w:rPr>
                <w:rFonts w:ascii="Times New Roman" w:hAnsi="Times New Roman"/>
                <w:b/>
                <w:bCs/>
                <w:color w:val="000000"/>
                <w:lang w:val="es-ES"/>
              </w:rPr>
              <w:t>2016</w:t>
            </w:r>
          </w:p>
        </w:tc>
        <w:tc>
          <w:tcPr>
            <w:tcW w:w="761" w:type="pct"/>
            <w:tcBorders>
              <w:top w:val="nil"/>
              <w:left w:val="nil"/>
              <w:bottom w:val="single" w:sz="4" w:space="0" w:color="auto"/>
              <w:right w:val="nil"/>
            </w:tcBorders>
            <w:vAlign w:val="bottom"/>
          </w:tcPr>
          <w:p w14:paraId="5AFD946B" w14:textId="77777777" w:rsidR="001B3E41" w:rsidRPr="00AE4E8D" w:rsidRDefault="001B3E41" w:rsidP="002A71B8">
            <w:pPr>
              <w:jc w:val="center"/>
              <w:rPr>
                <w:rFonts w:ascii="Times New Roman" w:hAnsi="Times New Roman"/>
                <w:b/>
                <w:bCs/>
                <w:color w:val="000000"/>
                <w:lang w:val="es-ES"/>
              </w:rPr>
            </w:pPr>
            <w:r w:rsidRPr="00AE4E8D">
              <w:rPr>
                <w:rFonts w:ascii="Times New Roman" w:hAnsi="Times New Roman"/>
                <w:b/>
                <w:bCs/>
                <w:color w:val="000000"/>
                <w:lang w:val="es-ES"/>
              </w:rPr>
              <w:t>2017</w:t>
            </w:r>
          </w:p>
        </w:tc>
      </w:tr>
      <w:tr w:rsidR="001B3E41" w:rsidRPr="00AE4E8D" w14:paraId="10526376" w14:textId="77777777" w:rsidTr="000400C8">
        <w:trPr>
          <w:trHeight w:val="300"/>
          <w:jc w:val="center"/>
        </w:trPr>
        <w:tc>
          <w:tcPr>
            <w:tcW w:w="2492" w:type="pct"/>
            <w:tcBorders>
              <w:top w:val="nil"/>
              <w:left w:val="nil"/>
              <w:bottom w:val="nil"/>
              <w:right w:val="nil"/>
            </w:tcBorders>
            <w:noWrap/>
            <w:vAlign w:val="bottom"/>
          </w:tcPr>
          <w:p w14:paraId="54F93E79" w14:textId="77777777" w:rsidR="001B3E41" w:rsidRPr="00AE4E8D" w:rsidRDefault="001B3E41" w:rsidP="002A71B8">
            <w:pPr>
              <w:rPr>
                <w:rFonts w:ascii="Times New Roman" w:hAnsi="Times New Roman"/>
                <w:color w:val="000000"/>
                <w:lang w:val="es-ES"/>
              </w:rPr>
            </w:pPr>
          </w:p>
        </w:tc>
        <w:tc>
          <w:tcPr>
            <w:tcW w:w="1747" w:type="pct"/>
            <w:gridSpan w:val="3"/>
            <w:tcBorders>
              <w:top w:val="nil"/>
              <w:left w:val="nil"/>
              <w:bottom w:val="nil"/>
              <w:right w:val="nil"/>
            </w:tcBorders>
            <w:vAlign w:val="bottom"/>
          </w:tcPr>
          <w:p w14:paraId="78DE8E88" w14:textId="77777777" w:rsidR="001B3E41" w:rsidRPr="00AE4E8D" w:rsidRDefault="001B3E41" w:rsidP="002A71B8">
            <w:pPr>
              <w:jc w:val="center"/>
              <w:rPr>
                <w:rFonts w:ascii="Times New Roman" w:hAnsi="Times New Roman"/>
                <w:color w:val="000000"/>
                <w:lang w:val="es-ES"/>
              </w:rPr>
            </w:pPr>
            <w:r w:rsidRPr="00AE4E8D">
              <w:rPr>
                <w:rFonts w:ascii="Times New Roman" w:hAnsi="Times New Roman"/>
                <w:color w:val="000000"/>
                <w:lang w:val="es-ES"/>
              </w:rPr>
              <w:t>(en millones de pesos)</w:t>
            </w:r>
          </w:p>
        </w:tc>
        <w:tc>
          <w:tcPr>
            <w:tcW w:w="761" w:type="pct"/>
            <w:tcBorders>
              <w:top w:val="nil"/>
              <w:left w:val="nil"/>
              <w:bottom w:val="nil"/>
              <w:right w:val="nil"/>
            </w:tcBorders>
          </w:tcPr>
          <w:p w14:paraId="0D0EEACD" w14:textId="77777777" w:rsidR="001B3E41" w:rsidRPr="00AE4E8D" w:rsidRDefault="001B3E41" w:rsidP="002A71B8">
            <w:pPr>
              <w:jc w:val="center"/>
              <w:rPr>
                <w:rFonts w:ascii="Times New Roman" w:hAnsi="Times New Roman"/>
                <w:color w:val="000000"/>
                <w:lang w:val="es-ES"/>
              </w:rPr>
            </w:pPr>
          </w:p>
        </w:tc>
      </w:tr>
      <w:tr w:rsidR="001B3E41" w:rsidRPr="00AE4E8D" w14:paraId="311B1F81" w14:textId="77777777" w:rsidTr="000400C8">
        <w:trPr>
          <w:trHeight w:val="300"/>
          <w:jc w:val="center"/>
        </w:trPr>
        <w:tc>
          <w:tcPr>
            <w:tcW w:w="2492" w:type="pct"/>
            <w:tcBorders>
              <w:top w:val="nil"/>
              <w:left w:val="nil"/>
              <w:bottom w:val="nil"/>
              <w:right w:val="nil"/>
            </w:tcBorders>
            <w:noWrap/>
            <w:vAlign w:val="bottom"/>
          </w:tcPr>
          <w:p w14:paraId="43BE670E" w14:textId="77777777" w:rsidR="001B3E41" w:rsidRPr="00AE4E8D" w:rsidRDefault="001B3E41" w:rsidP="002A71B8">
            <w:pPr>
              <w:rPr>
                <w:rFonts w:ascii="Times New Roman" w:hAnsi="Times New Roman"/>
                <w:b/>
                <w:bCs/>
                <w:color w:val="000000"/>
                <w:lang w:val="es-ES"/>
              </w:rPr>
            </w:pPr>
          </w:p>
        </w:tc>
        <w:tc>
          <w:tcPr>
            <w:tcW w:w="582" w:type="pct"/>
            <w:tcBorders>
              <w:top w:val="nil"/>
              <w:left w:val="nil"/>
              <w:bottom w:val="nil"/>
              <w:right w:val="nil"/>
            </w:tcBorders>
            <w:noWrap/>
            <w:vAlign w:val="center"/>
          </w:tcPr>
          <w:p w14:paraId="7A845EF9" w14:textId="77777777" w:rsidR="001B3E41" w:rsidRPr="00AE4E8D" w:rsidRDefault="001B3E41" w:rsidP="002A71B8">
            <w:pPr>
              <w:jc w:val="right"/>
              <w:rPr>
                <w:rFonts w:ascii="Times New Roman" w:hAnsi="Times New Roman"/>
                <w:color w:val="000000"/>
                <w:lang w:val="es-ES"/>
              </w:rPr>
            </w:pPr>
          </w:p>
        </w:tc>
        <w:tc>
          <w:tcPr>
            <w:tcW w:w="582" w:type="pct"/>
            <w:tcBorders>
              <w:top w:val="nil"/>
              <w:left w:val="nil"/>
              <w:bottom w:val="nil"/>
              <w:right w:val="nil"/>
            </w:tcBorders>
            <w:noWrap/>
            <w:vAlign w:val="center"/>
          </w:tcPr>
          <w:p w14:paraId="433C5CF6" w14:textId="77777777" w:rsidR="001B3E41" w:rsidRPr="00AE4E8D" w:rsidRDefault="001B3E41" w:rsidP="002A71B8">
            <w:pPr>
              <w:jc w:val="right"/>
              <w:rPr>
                <w:rFonts w:ascii="Times New Roman" w:hAnsi="Times New Roman"/>
                <w:color w:val="000000"/>
                <w:lang w:val="es-ES"/>
              </w:rPr>
            </w:pPr>
          </w:p>
        </w:tc>
        <w:tc>
          <w:tcPr>
            <w:tcW w:w="582" w:type="pct"/>
            <w:tcBorders>
              <w:top w:val="nil"/>
              <w:left w:val="nil"/>
              <w:bottom w:val="nil"/>
              <w:right w:val="nil"/>
            </w:tcBorders>
            <w:vAlign w:val="center"/>
          </w:tcPr>
          <w:p w14:paraId="7DC70F6C" w14:textId="77777777" w:rsidR="001B3E41" w:rsidRPr="00AE4E8D" w:rsidRDefault="001B3E41" w:rsidP="002A71B8">
            <w:pPr>
              <w:jc w:val="right"/>
              <w:rPr>
                <w:rFonts w:ascii="Times New Roman" w:hAnsi="Times New Roman"/>
                <w:color w:val="000000"/>
                <w:lang w:val="es-ES"/>
              </w:rPr>
            </w:pPr>
          </w:p>
        </w:tc>
        <w:tc>
          <w:tcPr>
            <w:tcW w:w="761" w:type="pct"/>
            <w:tcBorders>
              <w:top w:val="nil"/>
              <w:left w:val="nil"/>
              <w:bottom w:val="nil"/>
              <w:right w:val="nil"/>
            </w:tcBorders>
          </w:tcPr>
          <w:p w14:paraId="58A79C11" w14:textId="77777777" w:rsidR="001B3E41" w:rsidRPr="00AE4E8D" w:rsidRDefault="001B3E41" w:rsidP="002A71B8">
            <w:pPr>
              <w:jc w:val="right"/>
              <w:rPr>
                <w:rFonts w:ascii="Times New Roman" w:hAnsi="Times New Roman"/>
                <w:color w:val="000000"/>
                <w:lang w:val="es-ES"/>
              </w:rPr>
            </w:pPr>
          </w:p>
        </w:tc>
      </w:tr>
      <w:tr w:rsidR="001B3E41" w:rsidRPr="00AE4E8D" w14:paraId="7E58E087" w14:textId="77777777" w:rsidTr="000400C8">
        <w:trPr>
          <w:trHeight w:val="300"/>
          <w:jc w:val="center"/>
        </w:trPr>
        <w:tc>
          <w:tcPr>
            <w:tcW w:w="2492" w:type="pct"/>
            <w:tcBorders>
              <w:top w:val="nil"/>
              <w:left w:val="nil"/>
              <w:bottom w:val="nil"/>
              <w:right w:val="nil"/>
            </w:tcBorders>
            <w:noWrap/>
            <w:vAlign w:val="bottom"/>
          </w:tcPr>
          <w:p w14:paraId="78945DD8" w14:textId="77777777" w:rsidR="001B3E41" w:rsidRPr="00AE4E8D" w:rsidRDefault="001B3E41" w:rsidP="002A71B8">
            <w:pPr>
              <w:tabs>
                <w:tab w:val="left" w:leader="dot" w:pos="4111"/>
              </w:tabs>
              <w:rPr>
                <w:rFonts w:ascii="Times New Roman" w:hAnsi="Times New Roman"/>
                <w:color w:val="000000"/>
                <w:lang w:val="es-ES"/>
              </w:rPr>
            </w:pPr>
            <w:r w:rsidRPr="00AE4E8D">
              <w:rPr>
                <w:rFonts w:ascii="Times New Roman" w:hAnsi="Times New Roman"/>
                <w:color w:val="000000"/>
                <w:lang w:val="es-ES"/>
              </w:rPr>
              <w:t xml:space="preserve">Depósitos </w:t>
            </w:r>
            <w:r w:rsidRPr="00AE4E8D">
              <w:rPr>
                <w:rFonts w:ascii="Times New Roman" w:hAnsi="Times New Roman"/>
                <w:lang w:val="es-ES" w:eastAsia="es-AR"/>
              </w:rPr>
              <w:tab/>
            </w:r>
          </w:p>
        </w:tc>
        <w:tc>
          <w:tcPr>
            <w:tcW w:w="582" w:type="pct"/>
            <w:tcBorders>
              <w:top w:val="nil"/>
              <w:left w:val="nil"/>
              <w:bottom w:val="nil"/>
              <w:right w:val="nil"/>
            </w:tcBorders>
            <w:noWrap/>
            <w:vAlign w:val="bottom"/>
          </w:tcPr>
          <w:p w14:paraId="6EE11A55"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18.334,1</w:t>
            </w:r>
          </w:p>
        </w:tc>
        <w:tc>
          <w:tcPr>
            <w:tcW w:w="582" w:type="pct"/>
            <w:tcBorders>
              <w:top w:val="nil"/>
              <w:left w:val="nil"/>
              <w:bottom w:val="nil"/>
              <w:right w:val="nil"/>
            </w:tcBorders>
            <w:noWrap/>
            <w:vAlign w:val="bottom"/>
          </w:tcPr>
          <w:p w14:paraId="4CBC1A40"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20.392,2</w:t>
            </w:r>
          </w:p>
        </w:tc>
        <w:tc>
          <w:tcPr>
            <w:tcW w:w="582" w:type="pct"/>
            <w:tcBorders>
              <w:top w:val="nil"/>
              <w:left w:val="nil"/>
              <w:bottom w:val="nil"/>
              <w:right w:val="nil"/>
            </w:tcBorders>
            <w:vAlign w:val="bottom"/>
          </w:tcPr>
          <w:p w14:paraId="6747EE54"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18.985,0</w:t>
            </w:r>
          </w:p>
        </w:tc>
        <w:tc>
          <w:tcPr>
            <w:tcW w:w="761" w:type="pct"/>
            <w:tcBorders>
              <w:top w:val="nil"/>
              <w:left w:val="nil"/>
              <w:bottom w:val="nil"/>
              <w:right w:val="nil"/>
            </w:tcBorders>
            <w:vAlign w:val="bottom"/>
          </w:tcPr>
          <w:p w14:paraId="4D8EE7A1"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19.883,0</w:t>
            </w:r>
          </w:p>
        </w:tc>
      </w:tr>
      <w:tr w:rsidR="001B3E41" w:rsidRPr="00AE4E8D" w14:paraId="198B524E" w14:textId="77777777" w:rsidTr="000400C8">
        <w:trPr>
          <w:trHeight w:val="300"/>
          <w:jc w:val="center"/>
        </w:trPr>
        <w:tc>
          <w:tcPr>
            <w:tcW w:w="2492" w:type="pct"/>
            <w:tcBorders>
              <w:top w:val="nil"/>
              <w:left w:val="nil"/>
              <w:bottom w:val="nil"/>
              <w:right w:val="nil"/>
            </w:tcBorders>
            <w:noWrap/>
            <w:vAlign w:val="bottom"/>
          </w:tcPr>
          <w:p w14:paraId="32AAA177" w14:textId="77777777" w:rsidR="001B3E41" w:rsidRPr="00AE4E8D" w:rsidRDefault="001B3E41" w:rsidP="002A71B8">
            <w:pPr>
              <w:tabs>
                <w:tab w:val="left" w:leader="dot" w:pos="4111"/>
              </w:tabs>
              <w:rPr>
                <w:rFonts w:ascii="Times New Roman" w:hAnsi="Times New Roman"/>
                <w:color w:val="000000"/>
                <w:lang w:val="es-ES"/>
              </w:rPr>
            </w:pPr>
            <w:r w:rsidRPr="00AE4E8D">
              <w:rPr>
                <w:rFonts w:ascii="Times New Roman" w:hAnsi="Times New Roman"/>
                <w:color w:val="000000"/>
                <w:lang w:val="es-ES"/>
              </w:rPr>
              <w:t xml:space="preserve">Préstamos de entidades financieras </w:t>
            </w:r>
            <w:r w:rsidRPr="00AE4E8D">
              <w:rPr>
                <w:rFonts w:ascii="Times New Roman" w:hAnsi="Times New Roman"/>
                <w:lang w:val="es-ES" w:eastAsia="es-AR"/>
              </w:rPr>
              <w:tab/>
            </w:r>
          </w:p>
        </w:tc>
        <w:tc>
          <w:tcPr>
            <w:tcW w:w="582" w:type="pct"/>
            <w:tcBorders>
              <w:top w:val="nil"/>
              <w:left w:val="nil"/>
              <w:bottom w:val="nil"/>
              <w:right w:val="nil"/>
            </w:tcBorders>
            <w:noWrap/>
            <w:vAlign w:val="bottom"/>
          </w:tcPr>
          <w:p w14:paraId="570126F9"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327,5</w:t>
            </w:r>
          </w:p>
        </w:tc>
        <w:tc>
          <w:tcPr>
            <w:tcW w:w="582" w:type="pct"/>
            <w:tcBorders>
              <w:top w:val="nil"/>
              <w:left w:val="nil"/>
              <w:bottom w:val="nil"/>
              <w:right w:val="nil"/>
            </w:tcBorders>
            <w:noWrap/>
            <w:vAlign w:val="bottom"/>
          </w:tcPr>
          <w:p w14:paraId="62410901"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627,6</w:t>
            </w:r>
          </w:p>
        </w:tc>
        <w:tc>
          <w:tcPr>
            <w:tcW w:w="582" w:type="pct"/>
            <w:tcBorders>
              <w:top w:val="nil"/>
              <w:left w:val="nil"/>
              <w:bottom w:val="nil"/>
              <w:right w:val="nil"/>
            </w:tcBorders>
            <w:vAlign w:val="bottom"/>
          </w:tcPr>
          <w:p w14:paraId="74035070"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707,5</w:t>
            </w:r>
          </w:p>
        </w:tc>
        <w:tc>
          <w:tcPr>
            <w:tcW w:w="761" w:type="pct"/>
            <w:tcBorders>
              <w:top w:val="nil"/>
              <w:left w:val="nil"/>
              <w:bottom w:val="nil"/>
              <w:right w:val="nil"/>
            </w:tcBorders>
            <w:vAlign w:val="bottom"/>
          </w:tcPr>
          <w:p w14:paraId="3E31DA2A"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421,0</w:t>
            </w:r>
          </w:p>
        </w:tc>
      </w:tr>
      <w:tr w:rsidR="001B3E41" w:rsidRPr="00AE4E8D" w14:paraId="47FFCFCD" w14:textId="77777777" w:rsidTr="000400C8">
        <w:trPr>
          <w:trHeight w:val="300"/>
          <w:jc w:val="center"/>
        </w:trPr>
        <w:tc>
          <w:tcPr>
            <w:tcW w:w="2492" w:type="pct"/>
            <w:tcBorders>
              <w:top w:val="nil"/>
              <w:left w:val="nil"/>
              <w:bottom w:val="nil"/>
              <w:right w:val="nil"/>
            </w:tcBorders>
            <w:noWrap/>
            <w:vAlign w:val="bottom"/>
          </w:tcPr>
          <w:p w14:paraId="10E13409" w14:textId="77777777" w:rsidR="001B3E41" w:rsidRPr="00AE4E8D" w:rsidRDefault="001B3E41" w:rsidP="002A71B8">
            <w:pPr>
              <w:tabs>
                <w:tab w:val="left" w:leader="dot" w:pos="4111"/>
              </w:tabs>
              <w:rPr>
                <w:rFonts w:ascii="Times New Roman" w:hAnsi="Times New Roman"/>
                <w:color w:val="000000"/>
                <w:lang w:val="es-ES"/>
              </w:rPr>
            </w:pPr>
            <w:r w:rsidRPr="00AE4E8D">
              <w:rPr>
                <w:rFonts w:ascii="Times New Roman" w:hAnsi="Times New Roman"/>
                <w:color w:val="000000"/>
                <w:lang w:val="es-ES"/>
              </w:rPr>
              <w:t>Obligaciones negociables no subordinadas</w:t>
            </w:r>
            <w:r w:rsidRPr="00AE4E8D">
              <w:rPr>
                <w:rFonts w:ascii="Times New Roman" w:hAnsi="Times New Roman"/>
                <w:lang w:val="es-ES" w:eastAsia="es-AR"/>
              </w:rPr>
              <w:tab/>
            </w:r>
          </w:p>
        </w:tc>
        <w:tc>
          <w:tcPr>
            <w:tcW w:w="582" w:type="pct"/>
            <w:tcBorders>
              <w:top w:val="nil"/>
              <w:left w:val="nil"/>
              <w:bottom w:val="nil"/>
              <w:right w:val="nil"/>
            </w:tcBorders>
            <w:noWrap/>
            <w:vAlign w:val="bottom"/>
          </w:tcPr>
          <w:p w14:paraId="2A95EB80"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4.460,0</w:t>
            </w:r>
          </w:p>
        </w:tc>
        <w:tc>
          <w:tcPr>
            <w:tcW w:w="582" w:type="pct"/>
            <w:tcBorders>
              <w:top w:val="nil"/>
              <w:left w:val="nil"/>
              <w:bottom w:val="nil"/>
              <w:right w:val="nil"/>
            </w:tcBorders>
            <w:noWrap/>
            <w:vAlign w:val="bottom"/>
          </w:tcPr>
          <w:p w14:paraId="54786A1C"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7.157,9</w:t>
            </w:r>
          </w:p>
        </w:tc>
        <w:tc>
          <w:tcPr>
            <w:tcW w:w="582" w:type="pct"/>
            <w:tcBorders>
              <w:top w:val="nil"/>
              <w:left w:val="nil"/>
              <w:bottom w:val="nil"/>
              <w:right w:val="nil"/>
            </w:tcBorders>
            <w:vAlign w:val="bottom"/>
          </w:tcPr>
          <w:p w14:paraId="2A8BA17E"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16.566,5</w:t>
            </w:r>
          </w:p>
        </w:tc>
        <w:tc>
          <w:tcPr>
            <w:tcW w:w="761" w:type="pct"/>
            <w:tcBorders>
              <w:top w:val="nil"/>
              <w:left w:val="nil"/>
              <w:bottom w:val="nil"/>
              <w:right w:val="nil"/>
            </w:tcBorders>
            <w:vAlign w:val="bottom"/>
          </w:tcPr>
          <w:p w14:paraId="49BF3923"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19.323,8</w:t>
            </w:r>
          </w:p>
        </w:tc>
      </w:tr>
      <w:tr w:rsidR="001B3E41" w:rsidRPr="00AE4E8D" w14:paraId="6A05FFBF" w14:textId="77777777" w:rsidTr="000400C8">
        <w:trPr>
          <w:trHeight w:val="300"/>
          <w:jc w:val="center"/>
        </w:trPr>
        <w:tc>
          <w:tcPr>
            <w:tcW w:w="2492" w:type="pct"/>
            <w:tcBorders>
              <w:top w:val="nil"/>
              <w:left w:val="nil"/>
              <w:bottom w:val="nil"/>
              <w:right w:val="nil"/>
            </w:tcBorders>
            <w:noWrap/>
            <w:vAlign w:val="bottom"/>
          </w:tcPr>
          <w:p w14:paraId="3BD3CE61" w14:textId="77777777" w:rsidR="001B3E41" w:rsidRPr="00AE4E8D" w:rsidRDefault="001B3E41" w:rsidP="002A71B8">
            <w:pPr>
              <w:tabs>
                <w:tab w:val="left" w:leader="dot" w:pos="4111"/>
              </w:tabs>
              <w:rPr>
                <w:rFonts w:ascii="Times New Roman" w:hAnsi="Times New Roman"/>
                <w:color w:val="000000"/>
                <w:lang w:val="es-ES"/>
              </w:rPr>
            </w:pPr>
            <w:r w:rsidRPr="00AE4E8D">
              <w:rPr>
                <w:rFonts w:ascii="Times New Roman" w:hAnsi="Times New Roman"/>
                <w:color w:val="000000"/>
                <w:lang w:val="es-ES"/>
              </w:rPr>
              <w:t xml:space="preserve">Patrimonio neto </w:t>
            </w:r>
            <w:r w:rsidRPr="00AE4E8D">
              <w:rPr>
                <w:rFonts w:ascii="Times New Roman" w:hAnsi="Times New Roman"/>
                <w:lang w:val="es-ES" w:eastAsia="es-AR"/>
              </w:rPr>
              <w:tab/>
            </w:r>
          </w:p>
        </w:tc>
        <w:tc>
          <w:tcPr>
            <w:tcW w:w="582" w:type="pct"/>
            <w:tcBorders>
              <w:top w:val="nil"/>
              <w:left w:val="nil"/>
              <w:bottom w:val="single" w:sz="4" w:space="0" w:color="auto"/>
              <w:right w:val="nil"/>
            </w:tcBorders>
            <w:noWrap/>
            <w:vAlign w:val="bottom"/>
          </w:tcPr>
          <w:p w14:paraId="47A13016"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4.396,9</w:t>
            </w:r>
          </w:p>
        </w:tc>
        <w:tc>
          <w:tcPr>
            <w:tcW w:w="582" w:type="pct"/>
            <w:tcBorders>
              <w:top w:val="nil"/>
              <w:left w:val="nil"/>
              <w:bottom w:val="single" w:sz="4" w:space="0" w:color="auto"/>
              <w:right w:val="nil"/>
            </w:tcBorders>
            <w:noWrap/>
            <w:vAlign w:val="bottom"/>
          </w:tcPr>
          <w:p w14:paraId="0DBE9576"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5.440,9</w:t>
            </w:r>
          </w:p>
        </w:tc>
        <w:tc>
          <w:tcPr>
            <w:tcW w:w="582" w:type="pct"/>
            <w:tcBorders>
              <w:top w:val="nil"/>
              <w:left w:val="nil"/>
              <w:bottom w:val="single" w:sz="4" w:space="0" w:color="auto"/>
              <w:right w:val="nil"/>
            </w:tcBorders>
            <w:vAlign w:val="bottom"/>
          </w:tcPr>
          <w:p w14:paraId="63787EB2"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6.056,2</w:t>
            </w:r>
          </w:p>
        </w:tc>
        <w:tc>
          <w:tcPr>
            <w:tcW w:w="761" w:type="pct"/>
            <w:tcBorders>
              <w:top w:val="nil"/>
              <w:left w:val="nil"/>
              <w:bottom w:val="single" w:sz="4" w:space="0" w:color="auto"/>
              <w:right w:val="nil"/>
            </w:tcBorders>
            <w:vAlign w:val="bottom"/>
          </w:tcPr>
          <w:p w14:paraId="20A160A9"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6.681,2</w:t>
            </w:r>
          </w:p>
        </w:tc>
      </w:tr>
      <w:tr w:rsidR="001B3E41" w:rsidRPr="00AE4E8D" w14:paraId="5530F3BC" w14:textId="77777777" w:rsidTr="000400C8">
        <w:trPr>
          <w:trHeight w:val="300"/>
          <w:jc w:val="center"/>
        </w:trPr>
        <w:tc>
          <w:tcPr>
            <w:tcW w:w="2492" w:type="pct"/>
            <w:tcBorders>
              <w:top w:val="nil"/>
              <w:left w:val="nil"/>
              <w:bottom w:val="nil"/>
              <w:right w:val="nil"/>
            </w:tcBorders>
            <w:noWrap/>
            <w:vAlign w:val="bottom"/>
          </w:tcPr>
          <w:p w14:paraId="03311FC0" w14:textId="77777777" w:rsidR="001B3E41" w:rsidRPr="00AE4E8D" w:rsidRDefault="001B3E41" w:rsidP="002A71B8">
            <w:pPr>
              <w:tabs>
                <w:tab w:val="left" w:leader="dot" w:pos="4111"/>
              </w:tabs>
              <w:rPr>
                <w:rFonts w:ascii="Times New Roman" w:hAnsi="Times New Roman"/>
                <w:color w:val="000000"/>
                <w:lang w:val="es-ES"/>
              </w:rPr>
            </w:pPr>
            <w:r w:rsidRPr="00AE4E8D">
              <w:rPr>
                <w:rFonts w:ascii="Times New Roman" w:hAnsi="Times New Roman"/>
                <w:color w:val="000000"/>
                <w:lang w:val="es-ES"/>
              </w:rPr>
              <w:t xml:space="preserve">Total financiamiento </w:t>
            </w:r>
            <w:r w:rsidRPr="00AE4E8D">
              <w:rPr>
                <w:rFonts w:ascii="Times New Roman" w:hAnsi="Times New Roman"/>
                <w:lang w:val="es-ES" w:eastAsia="es-AR"/>
              </w:rPr>
              <w:tab/>
            </w:r>
          </w:p>
        </w:tc>
        <w:tc>
          <w:tcPr>
            <w:tcW w:w="582" w:type="pct"/>
            <w:tcBorders>
              <w:top w:val="nil"/>
              <w:left w:val="nil"/>
              <w:bottom w:val="nil"/>
              <w:right w:val="nil"/>
            </w:tcBorders>
            <w:noWrap/>
            <w:vAlign w:val="bottom"/>
          </w:tcPr>
          <w:p w14:paraId="0E9BC8AB"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27.518,5</w:t>
            </w:r>
          </w:p>
        </w:tc>
        <w:tc>
          <w:tcPr>
            <w:tcW w:w="582" w:type="pct"/>
            <w:tcBorders>
              <w:top w:val="nil"/>
              <w:left w:val="nil"/>
              <w:bottom w:val="nil"/>
              <w:right w:val="nil"/>
            </w:tcBorders>
            <w:noWrap/>
            <w:vAlign w:val="bottom"/>
          </w:tcPr>
          <w:p w14:paraId="096DF948"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33.618,6</w:t>
            </w:r>
          </w:p>
        </w:tc>
        <w:tc>
          <w:tcPr>
            <w:tcW w:w="582" w:type="pct"/>
            <w:tcBorders>
              <w:top w:val="nil"/>
              <w:left w:val="nil"/>
              <w:bottom w:val="nil"/>
              <w:right w:val="nil"/>
            </w:tcBorders>
            <w:vAlign w:val="bottom"/>
          </w:tcPr>
          <w:p w14:paraId="5B00E944"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42.315,2</w:t>
            </w:r>
          </w:p>
        </w:tc>
        <w:tc>
          <w:tcPr>
            <w:tcW w:w="761" w:type="pct"/>
            <w:tcBorders>
              <w:top w:val="nil"/>
              <w:left w:val="nil"/>
              <w:bottom w:val="nil"/>
              <w:right w:val="nil"/>
            </w:tcBorders>
            <w:vAlign w:val="bottom"/>
          </w:tcPr>
          <w:p w14:paraId="4D01B2B0" w14:textId="77777777" w:rsidR="001B3E41" w:rsidRPr="00AE4E8D" w:rsidRDefault="001B3E41" w:rsidP="002A71B8">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46.309,0</w:t>
            </w:r>
          </w:p>
        </w:tc>
      </w:tr>
    </w:tbl>
    <w:p w14:paraId="52035F6B" w14:textId="77777777" w:rsidR="001B3E41" w:rsidRPr="00AE4E8D" w:rsidRDefault="001B3E41" w:rsidP="001B3E41">
      <w:pPr>
        <w:keepNext/>
        <w:autoSpaceDE w:val="0"/>
        <w:autoSpaceDN w:val="0"/>
        <w:adjustRightInd w:val="0"/>
        <w:spacing w:before="240" w:after="240"/>
        <w:jc w:val="both"/>
        <w:outlineLvl w:val="3"/>
        <w:rPr>
          <w:rFonts w:ascii="Times New Roman" w:hAnsi="Times New Roman"/>
          <w:b/>
          <w:i/>
          <w:lang w:val="es-ES" w:eastAsia="es-AR"/>
        </w:rPr>
      </w:pPr>
      <w:r w:rsidRPr="00AE4E8D">
        <w:rPr>
          <w:rFonts w:ascii="Times New Roman" w:hAnsi="Times New Roman"/>
          <w:b/>
          <w:i/>
          <w:lang w:val="es-ES" w:eastAsia="es-AR"/>
        </w:rPr>
        <w:t>Depósitos</w:t>
      </w:r>
    </w:p>
    <w:p w14:paraId="667069D4" w14:textId="77777777" w:rsidR="001B3E41" w:rsidRPr="00AE4E8D" w:rsidRDefault="001B3E41" w:rsidP="001B3E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Históricamente no dependíamos de los depósitos como la principal fuente de financiamiento dado que realizábamos actividades de toma de depósitos limitadas. Nuestros depósitos consistían de cuentas corrientes de diferentes organismos y fondos provinciales para la vivienda que representaban los aportes del Gobierno Argentino por el cobro de impuestos federales separados para su uso por las provincias para fines especiales y transferidos a estas cuentas. En 2004 empezamos a recibir depósitos de inversores privados y públicos.</w:t>
      </w:r>
    </w:p>
    <w:p w14:paraId="0198E1AE" w14:textId="77777777" w:rsidR="001B3E41" w:rsidRPr="00AE4E8D" w:rsidRDefault="001B3E41" w:rsidP="001B3E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Luego de varios años de continuo crecimiento, los depósitos constituyen nuestra principal fuente de financiamiento, al 30 de junio de 2017. A las fechas indicadas, nuestros depósitos totales eran los siguientes:</w:t>
      </w:r>
    </w:p>
    <w:tbl>
      <w:tblPr>
        <w:tblW w:w="5153" w:type="pct"/>
        <w:jc w:val="center"/>
        <w:tblLook w:val="00A0" w:firstRow="1" w:lastRow="0" w:firstColumn="1" w:lastColumn="0" w:noHBand="0" w:noVBand="0"/>
      </w:tblPr>
      <w:tblGrid>
        <w:gridCol w:w="2746"/>
        <w:gridCol w:w="843"/>
        <w:gridCol w:w="222"/>
        <w:gridCol w:w="843"/>
        <w:gridCol w:w="222"/>
        <w:gridCol w:w="936"/>
        <w:gridCol w:w="222"/>
        <w:gridCol w:w="830"/>
        <w:gridCol w:w="222"/>
        <w:gridCol w:w="830"/>
        <w:gridCol w:w="222"/>
        <w:gridCol w:w="34"/>
        <w:gridCol w:w="964"/>
      </w:tblGrid>
      <w:tr w:rsidR="00EC0AED" w:rsidRPr="00AE4E8D" w14:paraId="388968C9" w14:textId="77777777" w:rsidTr="00AE4E8D">
        <w:trPr>
          <w:trHeight w:val="315"/>
          <w:jc w:val="center"/>
        </w:trPr>
        <w:tc>
          <w:tcPr>
            <w:tcW w:w="1528" w:type="pct"/>
            <w:tcBorders>
              <w:top w:val="nil"/>
              <w:left w:val="nil"/>
              <w:bottom w:val="nil"/>
              <w:right w:val="nil"/>
            </w:tcBorders>
            <w:vAlign w:val="bottom"/>
          </w:tcPr>
          <w:p w14:paraId="611686C2" w14:textId="77777777" w:rsidR="00EC0AED" w:rsidRPr="00AE4E8D" w:rsidRDefault="00EC0AED" w:rsidP="002A71B8">
            <w:pPr>
              <w:rPr>
                <w:rFonts w:ascii="Times New Roman" w:hAnsi="Times New Roman"/>
                <w:b/>
                <w:bCs/>
                <w:color w:val="000000"/>
                <w:sz w:val="16"/>
                <w:szCs w:val="16"/>
                <w:lang w:val="es-ES"/>
              </w:rPr>
            </w:pPr>
          </w:p>
        </w:tc>
        <w:tc>
          <w:tcPr>
            <w:tcW w:w="1706" w:type="pct"/>
            <w:gridSpan w:val="5"/>
            <w:tcBorders>
              <w:top w:val="nil"/>
              <w:left w:val="nil"/>
              <w:bottom w:val="single" w:sz="8" w:space="0" w:color="auto"/>
              <w:right w:val="nil"/>
            </w:tcBorders>
          </w:tcPr>
          <w:p w14:paraId="383CA34F" w14:textId="77777777" w:rsidR="00EC0AED" w:rsidRPr="00AE4E8D" w:rsidRDefault="00EC0AED" w:rsidP="002A71B8">
            <w:pPr>
              <w:jc w:val="center"/>
              <w:rPr>
                <w:rFonts w:ascii="Times New Roman" w:hAnsi="Times New Roman"/>
                <w:b/>
                <w:color w:val="000000"/>
                <w:sz w:val="16"/>
                <w:lang w:val="es-ES"/>
              </w:rPr>
            </w:pPr>
            <w:r w:rsidRPr="00AE4E8D">
              <w:rPr>
                <w:rFonts w:ascii="Times New Roman" w:hAnsi="Times New Roman"/>
                <w:b/>
                <w:color w:val="000000"/>
                <w:sz w:val="16"/>
                <w:lang w:val="es-ES"/>
              </w:rPr>
              <w:t>Al 31 de diciembre de</w:t>
            </w:r>
          </w:p>
        </w:tc>
        <w:tc>
          <w:tcPr>
            <w:tcW w:w="124" w:type="pct"/>
            <w:tcBorders>
              <w:top w:val="nil"/>
              <w:left w:val="nil"/>
              <w:bottom w:val="nil"/>
              <w:right w:val="nil"/>
            </w:tcBorders>
            <w:noWrap/>
            <w:vAlign w:val="bottom"/>
          </w:tcPr>
          <w:p w14:paraId="0951E30C" w14:textId="77777777" w:rsidR="00EC0AED" w:rsidRPr="00AE4E8D" w:rsidRDefault="00EC0AED" w:rsidP="002A71B8">
            <w:pPr>
              <w:jc w:val="center"/>
              <w:rPr>
                <w:rFonts w:ascii="Times New Roman" w:hAnsi="Times New Roman"/>
                <w:b/>
                <w:color w:val="000000"/>
                <w:sz w:val="16"/>
                <w:lang w:val="es-ES"/>
              </w:rPr>
            </w:pPr>
          </w:p>
        </w:tc>
        <w:tc>
          <w:tcPr>
            <w:tcW w:w="1643" w:type="pct"/>
            <w:gridSpan w:val="6"/>
            <w:tcBorders>
              <w:top w:val="nil"/>
              <w:left w:val="nil"/>
              <w:bottom w:val="single" w:sz="8" w:space="0" w:color="auto"/>
              <w:right w:val="nil"/>
            </w:tcBorders>
          </w:tcPr>
          <w:p w14:paraId="257FF291" w14:textId="77777777" w:rsidR="00EC0AED" w:rsidRPr="00AE4E8D" w:rsidRDefault="00EC0AED" w:rsidP="002A71B8">
            <w:pPr>
              <w:jc w:val="center"/>
              <w:rPr>
                <w:rFonts w:ascii="Times New Roman" w:hAnsi="Times New Roman"/>
                <w:b/>
                <w:color w:val="000000"/>
                <w:sz w:val="16"/>
                <w:lang w:val="es-ES"/>
              </w:rPr>
            </w:pPr>
            <w:r w:rsidRPr="00AE4E8D">
              <w:rPr>
                <w:rFonts w:ascii="Times New Roman" w:hAnsi="Times New Roman"/>
                <w:b/>
                <w:color w:val="000000"/>
                <w:sz w:val="16"/>
                <w:lang w:val="es-ES"/>
              </w:rPr>
              <w:t>Al 30 de junio de</w:t>
            </w:r>
          </w:p>
        </w:tc>
      </w:tr>
      <w:tr w:rsidR="00EC0AED" w:rsidRPr="00AE4E8D" w14:paraId="63DF98D5" w14:textId="77777777" w:rsidTr="00AE4E8D">
        <w:trPr>
          <w:trHeight w:val="315"/>
          <w:jc w:val="center"/>
        </w:trPr>
        <w:tc>
          <w:tcPr>
            <w:tcW w:w="1528" w:type="pct"/>
            <w:tcBorders>
              <w:top w:val="nil"/>
              <w:left w:val="nil"/>
              <w:bottom w:val="nil"/>
              <w:right w:val="nil"/>
            </w:tcBorders>
            <w:vAlign w:val="bottom"/>
          </w:tcPr>
          <w:p w14:paraId="0A85C522" w14:textId="77777777" w:rsidR="00EC0AED" w:rsidRPr="00AE4E8D" w:rsidRDefault="00EC0AED" w:rsidP="00486656">
            <w:pPr>
              <w:jc w:val="center"/>
              <w:rPr>
                <w:rFonts w:ascii="Times New Roman" w:hAnsi="Times New Roman"/>
                <w:b/>
                <w:color w:val="000000"/>
                <w:sz w:val="16"/>
                <w:lang w:val="es-ES"/>
              </w:rPr>
            </w:pPr>
          </w:p>
        </w:tc>
        <w:tc>
          <w:tcPr>
            <w:tcW w:w="469" w:type="pct"/>
            <w:tcBorders>
              <w:top w:val="nil"/>
              <w:left w:val="nil"/>
              <w:bottom w:val="single" w:sz="8" w:space="0" w:color="auto"/>
              <w:right w:val="nil"/>
            </w:tcBorders>
            <w:vAlign w:val="bottom"/>
          </w:tcPr>
          <w:p w14:paraId="48E86239" w14:textId="77777777" w:rsidR="00EC0AED" w:rsidRPr="00AE4E8D" w:rsidRDefault="00EC0AED">
            <w:pPr>
              <w:jc w:val="center"/>
              <w:rPr>
                <w:rFonts w:ascii="Times New Roman" w:hAnsi="Times New Roman"/>
                <w:b/>
                <w:color w:val="000000"/>
                <w:sz w:val="16"/>
                <w:lang w:val="es-ES"/>
              </w:rPr>
            </w:pPr>
            <w:r w:rsidRPr="00AE4E8D">
              <w:rPr>
                <w:rFonts w:ascii="Times New Roman" w:hAnsi="Times New Roman"/>
                <w:b/>
                <w:color w:val="000000"/>
                <w:sz w:val="16"/>
                <w:lang w:val="es-ES"/>
              </w:rPr>
              <w:t>2014</w:t>
            </w:r>
          </w:p>
        </w:tc>
        <w:tc>
          <w:tcPr>
            <w:tcW w:w="124" w:type="pct"/>
            <w:tcBorders>
              <w:top w:val="nil"/>
              <w:left w:val="nil"/>
              <w:right w:val="nil"/>
            </w:tcBorders>
          </w:tcPr>
          <w:p w14:paraId="160CF961" w14:textId="77777777" w:rsidR="00EC0AED" w:rsidRPr="00AE4E8D" w:rsidRDefault="00EC0AED" w:rsidP="002A71B8">
            <w:pPr>
              <w:jc w:val="center"/>
              <w:rPr>
                <w:rFonts w:ascii="Times New Roman" w:hAnsi="Times New Roman"/>
                <w:b/>
                <w:color w:val="000000"/>
                <w:sz w:val="16"/>
                <w:lang w:val="es-ES"/>
              </w:rPr>
            </w:pPr>
          </w:p>
        </w:tc>
        <w:tc>
          <w:tcPr>
            <w:tcW w:w="469" w:type="pct"/>
            <w:tcBorders>
              <w:top w:val="nil"/>
              <w:left w:val="nil"/>
              <w:bottom w:val="single" w:sz="8" w:space="0" w:color="auto"/>
              <w:right w:val="nil"/>
            </w:tcBorders>
            <w:noWrap/>
            <w:vAlign w:val="bottom"/>
          </w:tcPr>
          <w:p w14:paraId="0AC7BB75" w14:textId="77777777" w:rsidR="00EC0AED" w:rsidRPr="00AE4E8D" w:rsidRDefault="00EC0AED" w:rsidP="002A71B8">
            <w:pPr>
              <w:jc w:val="center"/>
              <w:rPr>
                <w:rFonts w:ascii="Times New Roman" w:hAnsi="Times New Roman"/>
                <w:b/>
                <w:color w:val="000000"/>
                <w:sz w:val="16"/>
                <w:lang w:val="es-ES"/>
              </w:rPr>
            </w:pPr>
            <w:r w:rsidRPr="00AE4E8D">
              <w:rPr>
                <w:rFonts w:ascii="Times New Roman" w:hAnsi="Times New Roman"/>
                <w:b/>
                <w:color w:val="000000"/>
                <w:sz w:val="16"/>
                <w:lang w:val="es-ES"/>
              </w:rPr>
              <w:t>2015</w:t>
            </w:r>
          </w:p>
        </w:tc>
        <w:tc>
          <w:tcPr>
            <w:tcW w:w="124" w:type="pct"/>
            <w:tcBorders>
              <w:top w:val="nil"/>
              <w:left w:val="nil"/>
              <w:bottom w:val="nil"/>
              <w:right w:val="nil"/>
            </w:tcBorders>
            <w:noWrap/>
            <w:vAlign w:val="bottom"/>
          </w:tcPr>
          <w:p w14:paraId="2B6F3A57" w14:textId="77777777" w:rsidR="00EC0AED" w:rsidRPr="00AE4E8D" w:rsidRDefault="00EC0AED" w:rsidP="002A71B8">
            <w:pPr>
              <w:jc w:val="center"/>
              <w:rPr>
                <w:rFonts w:ascii="Times New Roman" w:hAnsi="Times New Roman"/>
                <w:b/>
                <w:color w:val="000000"/>
                <w:sz w:val="16"/>
                <w:lang w:val="es-ES"/>
              </w:rPr>
            </w:pPr>
          </w:p>
        </w:tc>
        <w:tc>
          <w:tcPr>
            <w:tcW w:w="521" w:type="pct"/>
            <w:tcBorders>
              <w:top w:val="nil"/>
              <w:left w:val="nil"/>
              <w:bottom w:val="single" w:sz="8" w:space="0" w:color="auto"/>
              <w:right w:val="nil"/>
            </w:tcBorders>
            <w:noWrap/>
            <w:vAlign w:val="bottom"/>
          </w:tcPr>
          <w:p w14:paraId="651DF657" w14:textId="77777777" w:rsidR="00EC0AED" w:rsidRPr="00AE4E8D" w:rsidRDefault="00EC0AED" w:rsidP="002A71B8">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124" w:type="pct"/>
            <w:tcBorders>
              <w:top w:val="nil"/>
              <w:left w:val="nil"/>
              <w:bottom w:val="nil"/>
              <w:right w:val="nil"/>
            </w:tcBorders>
            <w:noWrap/>
            <w:vAlign w:val="bottom"/>
          </w:tcPr>
          <w:p w14:paraId="49806689" w14:textId="77777777" w:rsidR="00EC0AED" w:rsidRPr="00AE4E8D" w:rsidRDefault="00EC0AED" w:rsidP="002A71B8">
            <w:pPr>
              <w:jc w:val="center"/>
              <w:rPr>
                <w:rFonts w:ascii="Times New Roman" w:hAnsi="Times New Roman"/>
                <w:b/>
                <w:color w:val="000000"/>
                <w:sz w:val="16"/>
                <w:lang w:val="es-ES"/>
              </w:rPr>
            </w:pPr>
          </w:p>
        </w:tc>
        <w:tc>
          <w:tcPr>
            <w:tcW w:w="462" w:type="pct"/>
            <w:tcBorders>
              <w:top w:val="nil"/>
              <w:left w:val="nil"/>
              <w:bottom w:val="single" w:sz="8" w:space="0" w:color="auto"/>
              <w:right w:val="nil"/>
            </w:tcBorders>
          </w:tcPr>
          <w:p w14:paraId="5DEA6411" w14:textId="77777777" w:rsidR="00EC0AED" w:rsidRPr="00AE4E8D" w:rsidRDefault="00EC0AED" w:rsidP="002A71B8">
            <w:pPr>
              <w:jc w:val="center"/>
              <w:rPr>
                <w:rFonts w:ascii="Times New Roman" w:hAnsi="Times New Roman"/>
                <w:b/>
                <w:color w:val="000000"/>
                <w:sz w:val="16"/>
                <w:lang w:val="es-ES"/>
              </w:rPr>
            </w:pPr>
            <w:r w:rsidRPr="00AE4E8D">
              <w:rPr>
                <w:rFonts w:ascii="Times New Roman" w:hAnsi="Times New Roman"/>
                <w:b/>
                <w:color w:val="000000"/>
                <w:sz w:val="16"/>
                <w:lang w:val="es-ES"/>
              </w:rPr>
              <w:t>2016</w:t>
            </w:r>
          </w:p>
        </w:tc>
        <w:tc>
          <w:tcPr>
            <w:tcW w:w="124" w:type="pct"/>
            <w:tcBorders>
              <w:top w:val="single" w:sz="4" w:space="0" w:color="auto"/>
              <w:left w:val="nil"/>
              <w:right w:val="nil"/>
            </w:tcBorders>
          </w:tcPr>
          <w:p w14:paraId="040DD944" w14:textId="77777777" w:rsidR="00EC0AED" w:rsidRPr="00AE4E8D" w:rsidRDefault="00EC0AED" w:rsidP="002A71B8">
            <w:pPr>
              <w:jc w:val="center"/>
              <w:rPr>
                <w:rFonts w:ascii="Times New Roman" w:hAnsi="Times New Roman"/>
                <w:b/>
                <w:color w:val="000000"/>
                <w:sz w:val="16"/>
                <w:lang w:val="es-ES"/>
              </w:rPr>
            </w:pPr>
          </w:p>
        </w:tc>
        <w:tc>
          <w:tcPr>
            <w:tcW w:w="462" w:type="pct"/>
            <w:tcBorders>
              <w:top w:val="nil"/>
              <w:left w:val="nil"/>
              <w:bottom w:val="single" w:sz="8" w:space="0" w:color="auto"/>
              <w:right w:val="nil"/>
            </w:tcBorders>
            <w:noWrap/>
            <w:vAlign w:val="bottom"/>
          </w:tcPr>
          <w:p w14:paraId="2254A733" w14:textId="77777777" w:rsidR="00EC0AED" w:rsidRPr="00AE4E8D" w:rsidRDefault="00EC0AED" w:rsidP="002A71B8">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c>
          <w:tcPr>
            <w:tcW w:w="151" w:type="pct"/>
            <w:tcBorders>
              <w:top w:val="nil"/>
              <w:left w:val="nil"/>
              <w:bottom w:val="nil"/>
              <w:right w:val="nil"/>
            </w:tcBorders>
            <w:vAlign w:val="bottom"/>
          </w:tcPr>
          <w:p w14:paraId="249F0A6C" w14:textId="77777777" w:rsidR="00EC0AED" w:rsidRPr="00AE4E8D" w:rsidRDefault="00EC0AED" w:rsidP="002A71B8">
            <w:pPr>
              <w:jc w:val="center"/>
              <w:rPr>
                <w:rFonts w:ascii="Times New Roman" w:hAnsi="Times New Roman"/>
                <w:b/>
                <w:color w:val="000000"/>
                <w:sz w:val="16"/>
                <w:lang w:val="es-ES"/>
              </w:rPr>
            </w:pPr>
          </w:p>
        </w:tc>
        <w:tc>
          <w:tcPr>
            <w:tcW w:w="445" w:type="pct"/>
            <w:gridSpan w:val="2"/>
            <w:tcBorders>
              <w:top w:val="nil"/>
              <w:left w:val="nil"/>
              <w:bottom w:val="single" w:sz="8" w:space="0" w:color="auto"/>
              <w:right w:val="nil"/>
            </w:tcBorders>
            <w:noWrap/>
            <w:vAlign w:val="bottom"/>
          </w:tcPr>
          <w:p w14:paraId="045FA23C" w14:textId="77777777" w:rsidR="00EC0AED" w:rsidRPr="00AE4E8D" w:rsidRDefault="00EC0AED" w:rsidP="002A71B8">
            <w:pPr>
              <w:jc w:val="center"/>
              <w:rPr>
                <w:rFonts w:ascii="Times New Roman" w:hAnsi="Times New Roman"/>
                <w:b/>
                <w:color w:val="000000"/>
                <w:sz w:val="16"/>
                <w:lang w:val="es-ES"/>
              </w:rPr>
            </w:pPr>
            <w:r w:rsidRPr="00AE4E8D">
              <w:rPr>
                <w:rFonts w:ascii="Times New Roman" w:hAnsi="Times New Roman"/>
                <w:b/>
                <w:color w:val="000000"/>
                <w:sz w:val="16"/>
                <w:lang w:val="es-ES"/>
              </w:rPr>
              <w:t>2017</w:t>
            </w:r>
          </w:p>
        </w:tc>
      </w:tr>
      <w:tr w:rsidR="00EC0AED" w:rsidRPr="00AE4E8D" w14:paraId="0DE077E8" w14:textId="77777777" w:rsidTr="00AE4E8D">
        <w:trPr>
          <w:trHeight w:val="270"/>
          <w:jc w:val="center"/>
        </w:trPr>
        <w:tc>
          <w:tcPr>
            <w:tcW w:w="1528" w:type="pct"/>
            <w:tcBorders>
              <w:top w:val="nil"/>
              <w:left w:val="nil"/>
              <w:bottom w:val="nil"/>
              <w:right w:val="nil"/>
            </w:tcBorders>
            <w:vAlign w:val="bottom"/>
          </w:tcPr>
          <w:p w14:paraId="13F716B2" w14:textId="77777777" w:rsidR="00EC0AED" w:rsidRPr="00AE4E8D" w:rsidRDefault="00EC0AED" w:rsidP="00486656">
            <w:pPr>
              <w:jc w:val="center"/>
              <w:rPr>
                <w:rFonts w:ascii="Times New Roman" w:hAnsi="Times New Roman"/>
                <w:b/>
                <w:color w:val="000000"/>
                <w:sz w:val="16"/>
                <w:lang w:val="es-ES"/>
              </w:rPr>
            </w:pPr>
          </w:p>
        </w:tc>
        <w:tc>
          <w:tcPr>
            <w:tcW w:w="1706" w:type="pct"/>
            <w:gridSpan w:val="5"/>
            <w:tcBorders>
              <w:top w:val="nil"/>
              <w:left w:val="nil"/>
              <w:bottom w:val="single" w:sz="8" w:space="0" w:color="auto"/>
              <w:right w:val="nil"/>
            </w:tcBorders>
            <w:vAlign w:val="bottom"/>
          </w:tcPr>
          <w:p w14:paraId="092E730C" w14:textId="77777777" w:rsidR="00EC0AED" w:rsidRPr="00AE4E8D" w:rsidRDefault="00EC0AED">
            <w:pPr>
              <w:jc w:val="center"/>
              <w:rPr>
                <w:rFonts w:ascii="Times New Roman" w:hAnsi="Times New Roman"/>
                <w:b/>
                <w:color w:val="000000"/>
                <w:sz w:val="16"/>
                <w:lang w:val="es-ES"/>
              </w:rPr>
            </w:pPr>
            <w:r w:rsidRPr="00AE4E8D">
              <w:rPr>
                <w:rFonts w:ascii="Times New Roman" w:hAnsi="Times New Roman"/>
                <w:color w:val="000000"/>
                <w:sz w:val="16"/>
                <w:lang w:val="es-ES"/>
              </w:rPr>
              <w:t>(en miles de Pesos)</w:t>
            </w:r>
          </w:p>
        </w:tc>
        <w:tc>
          <w:tcPr>
            <w:tcW w:w="124" w:type="pct"/>
            <w:tcBorders>
              <w:top w:val="nil"/>
              <w:left w:val="nil"/>
              <w:bottom w:val="nil"/>
              <w:right w:val="nil"/>
            </w:tcBorders>
            <w:noWrap/>
            <w:vAlign w:val="bottom"/>
          </w:tcPr>
          <w:p w14:paraId="560058AB" w14:textId="77777777" w:rsidR="00EC0AED" w:rsidRPr="00AE4E8D" w:rsidRDefault="00EC0AED">
            <w:pPr>
              <w:jc w:val="center"/>
              <w:rPr>
                <w:rFonts w:ascii="Times New Roman" w:hAnsi="Times New Roman"/>
                <w:b/>
                <w:color w:val="000000"/>
                <w:sz w:val="16"/>
                <w:lang w:val="es-ES"/>
              </w:rPr>
            </w:pPr>
          </w:p>
        </w:tc>
        <w:tc>
          <w:tcPr>
            <w:tcW w:w="1047" w:type="pct"/>
            <w:gridSpan w:val="3"/>
            <w:tcBorders>
              <w:top w:val="nil"/>
              <w:left w:val="nil"/>
              <w:bottom w:val="single" w:sz="8" w:space="0" w:color="auto"/>
              <w:right w:val="nil"/>
            </w:tcBorders>
          </w:tcPr>
          <w:p w14:paraId="665672A2" w14:textId="77777777" w:rsidR="00EC0AED" w:rsidRPr="00AE4E8D" w:rsidRDefault="00EC0AED">
            <w:pPr>
              <w:jc w:val="center"/>
              <w:rPr>
                <w:rFonts w:ascii="Times New Roman" w:hAnsi="Times New Roman"/>
                <w:color w:val="000000"/>
                <w:sz w:val="16"/>
                <w:lang w:val="es-ES"/>
              </w:rPr>
            </w:pPr>
          </w:p>
          <w:p w14:paraId="1D789AE1" w14:textId="77777777" w:rsidR="00EC0AED" w:rsidRPr="00AE4E8D" w:rsidRDefault="00EC0AED">
            <w:pPr>
              <w:jc w:val="center"/>
              <w:rPr>
                <w:rFonts w:ascii="Times New Roman" w:hAnsi="Times New Roman"/>
                <w:color w:val="000000"/>
                <w:sz w:val="16"/>
                <w:lang w:val="es-ES"/>
              </w:rPr>
            </w:pPr>
            <w:r w:rsidRPr="00AE4E8D">
              <w:rPr>
                <w:rFonts w:ascii="Times New Roman" w:hAnsi="Times New Roman"/>
                <w:color w:val="000000"/>
                <w:sz w:val="16"/>
                <w:lang w:val="es-ES"/>
              </w:rPr>
              <w:t>(en miles de Pesos)</w:t>
            </w:r>
          </w:p>
        </w:tc>
        <w:tc>
          <w:tcPr>
            <w:tcW w:w="151" w:type="pct"/>
            <w:tcBorders>
              <w:top w:val="nil"/>
              <w:left w:val="nil"/>
              <w:bottom w:val="nil"/>
              <w:right w:val="nil"/>
            </w:tcBorders>
            <w:vAlign w:val="bottom"/>
          </w:tcPr>
          <w:p w14:paraId="36DA5E0A" w14:textId="77777777" w:rsidR="00EC0AED" w:rsidRPr="00AE4E8D" w:rsidRDefault="00EC0AED">
            <w:pPr>
              <w:jc w:val="center"/>
              <w:rPr>
                <w:rFonts w:ascii="Times New Roman" w:hAnsi="Times New Roman"/>
                <w:b/>
                <w:color w:val="000000"/>
                <w:sz w:val="16"/>
                <w:lang w:val="es-ES"/>
              </w:rPr>
            </w:pPr>
          </w:p>
        </w:tc>
        <w:tc>
          <w:tcPr>
            <w:tcW w:w="445" w:type="pct"/>
            <w:gridSpan w:val="2"/>
            <w:tcBorders>
              <w:top w:val="nil"/>
              <w:left w:val="nil"/>
              <w:bottom w:val="single" w:sz="8" w:space="0" w:color="auto"/>
              <w:right w:val="nil"/>
            </w:tcBorders>
            <w:noWrap/>
            <w:vAlign w:val="bottom"/>
          </w:tcPr>
          <w:p w14:paraId="7256773A" w14:textId="77777777" w:rsidR="00EC0AED" w:rsidRPr="00AE4E8D" w:rsidRDefault="00EC0AED">
            <w:pPr>
              <w:jc w:val="center"/>
              <w:rPr>
                <w:rFonts w:ascii="Times New Roman" w:hAnsi="Times New Roman"/>
                <w:color w:val="000000"/>
                <w:sz w:val="16"/>
                <w:lang w:val="es-ES"/>
              </w:rPr>
            </w:pPr>
            <w:r w:rsidRPr="00AE4E8D">
              <w:rPr>
                <w:rFonts w:ascii="Times New Roman" w:hAnsi="Times New Roman"/>
                <w:color w:val="000000"/>
                <w:sz w:val="16"/>
                <w:lang w:val="es-ES"/>
              </w:rPr>
              <w:t>(en miles de</w:t>
            </w:r>
          </w:p>
          <w:p w14:paraId="7A28E4DA" w14:textId="77777777" w:rsidR="00EC0AED" w:rsidRPr="00AE4E8D" w:rsidRDefault="00EC0AED">
            <w:pPr>
              <w:jc w:val="center"/>
              <w:rPr>
                <w:rFonts w:ascii="Times New Roman" w:hAnsi="Times New Roman"/>
                <w:b/>
                <w:color w:val="000000"/>
                <w:sz w:val="16"/>
                <w:lang w:val="es-ES"/>
              </w:rPr>
            </w:pPr>
            <w:r w:rsidRPr="00AE4E8D">
              <w:rPr>
                <w:rFonts w:ascii="Times New Roman" w:hAnsi="Times New Roman"/>
                <w:color w:val="000000"/>
                <w:sz w:val="16"/>
                <w:lang w:val="es-ES"/>
              </w:rPr>
              <w:t>US$ (1))</w:t>
            </w:r>
          </w:p>
        </w:tc>
      </w:tr>
      <w:tr w:rsidR="00EC0AED" w:rsidRPr="00AE4E8D" w14:paraId="24CF226B" w14:textId="77777777" w:rsidTr="00AE4E8D">
        <w:trPr>
          <w:trHeight w:val="300"/>
          <w:jc w:val="center"/>
        </w:trPr>
        <w:tc>
          <w:tcPr>
            <w:tcW w:w="1528" w:type="pct"/>
            <w:tcBorders>
              <w:top w:val="nil"/>
              <w:left w:val="nil"/>
              <w:bottom w:val="nil"/>
              <w:right w:val="nil"/>
            </w:tcBorders>
            <w:noWrap/>
            <w:vAlign w:val="bottom"/>
          </w:tcPr>
          <w:p w14:paraId="7764CABB" w14:textId="77777777" w:rsidR="007774E7" w:rsidRPr="00AE4E8D" w:rsidRDefault="007774E7" w:rsidP="002A71B8">
            <w:pPr>
              <w:rPr>
                <w:rFonts w:ascii="Times New Roman" w:hAnsi="Times New Roman"/>
                <w:b/>
                <w:color w:val="000000"/>
                <w:sz w:val="16"/>
                <w:lang w:val="es-ES"/>
              </w:rPr>
            </w:pPr>
            <w:r w:rsidRPr="00AE4E8D">
              <w:rPr>
                <w:rFonts w:ascii="Times New Roman" w:hAnsi="Times New Roman"/>
                <w:b/>
                <w:color w:val="000000"/>
                <w:sz w:val="16"/>
                <w:lang w:val="es-ES"/>
              </w:rPr>
              <w:t>Depósitos:</w:t>
            </w:r>
          </w:p>
        </w:tc>
        <w:tc>
          <w:tcPr>
            <w:tcW w:w="469" w:type="pct"/>
            <w:tcBorders>
              <w:top w:val="nil"/>
              <w:left w:val="nil"/>
              <w:bottom w:val="nil"/>
              <w:right w:val="nil"/>
            </w:tcBorders>
          </w:tcPr>
          <w:p w14:paraId="70C264C3" w14:textId="77777777" w:rsidR="007774E7" w:rsidRPr="00AE4E8D" w:rsidRDefault="007774E7" w:rsidP="00486656">
            <w:pPr>
              <w:ind w:right="-93"/>
              <w:jc w:val="right"/>
              <w:rPr>
                <w:rFonts w:ascii="Times New Roman" w:hAnsi="Times New Roman"/>
                <w:color w:val="000000"/>
                <w:sz w:val="16"/>
                <w:lang w:val="es-ES"/>
              </w:rPr>
            </w:pPr>
          </w:p>
        </w:tc>
        <w:tc>
          <w:tcPr>
            <w:tcW w:w="124" w:type="pct"/>
            <w:tcBorders>
              <w:top w:val="nil"/>
              <w:left w:val="nil"/>
              <w:bottom w:val="nil"/>
              <w:right w:val="nil"/>
            </w:tcBorders>
          </w:tcPr>
          <w:p w14:paraId="6CA07E5B" w14:textId="77777777" w:rsidR="007774E7" w:rsidRPr="00AE4E8D" w:rsidRDefault="007774E7" w:rsidP="002A71B8">
            <w:pPr>
              <w:rPr>
                <w:rFonts w:ascii="Times New Roman" w:hAnsi="Times New Roman"/>
                <w:color w:val="000000"/>
                <w:sz w:val="16"/>
                <w:lang w:val="es-ES"/>
              </w:rPr>
            </w:pPr>
          </w:p>
        </w:tc>
        <w:tc>
          <w:tcPr>
            <w:tcW w:w="469" w:type="pct"/>
            <w:tcBorders>
              <w:top w:val="nil"/>
              <w:left w:val="nil"/>
              <w:bottom w:val="nil"/>
              <w:right w:val="nil"/>
            </w:tcBorders>
            <w:noWrap/>
            <w:vAlign w:val="bottom"/>
          </w:tcPr>
          <w:p w14:paraId="641C4A17" w14:textId="77777777" w:rsidR="007774E7" w:rsidRPr="00AE4E8D" w:rsidRDefault="007774E7" w:rsidP="002A71B8">
            <w:pPr>
              <w:rPr>
                <w:rFonts w:ascii="Times New Roman" w:hAnsi="Times New Roman"/>
                <w:color w:val="000000"/>
                <w:sz w:val="16"/>
                <w:lang w:val="es-ES"/>
              </w:rPr>
            </w:pPr>
          </w:p>
        </w:tc>
        <w:tc>
          <w:tcPr>
            <w:tcW w:w="124" w:type="pct"/>
            <w:tcBorders>
              <w:top w:val="nil"/>
              <w:left w:val="nil"/>
              <w:bottom w:val="nil"/>
              <w:right w:val="nil"/>
            </w:tcBorders>
            <w:noWrap/>
            <w:vAlign w:val="bottom"/>
          </w:tcPr>
          <w:p w14:paraId="2C5336E3" w14:textId="77777777" w:rsidR="007774E7" w:rsidRPr="00AE4E8D" w:rsidRDefault="007774E7" w:rsidP="002A71B8">
            <w:pPr>
              <w:rPr>
                <w:rFonts w:ascii="Times New Roman" w:hAnsi="Times New Roman"/>
                <w:color w:val="000000"/>
                <w:sz w:val="16"/>
                <w:lang w:val="es-ES"/>
              </w:rPr>
            </w:pPr>
          </w:p>
        </w:tc>
        <w:tc>
          <w:tcPr>
            <w:tcW w:w="521" w:type="pct"/>
            <w:tcBorders>
              <w:top w:val="nil"/>
              <w:left w:val="nil"/>
              <w:bottom w:val="nil"/>
              <w:right w:val="nil"/>
            </w:tcBorders>
            <w:noWrap/>
            <w:vAlign w:val="bottom"/>
          </w:tcPr>
          <w:p w14:paraId="0F6D76D6" w14:textId="77777777" w:rsidR="007774E7" w:rsidRPr="00AE4E8D" w:rsidRDefault="007774E7" w:rsidP="002A71B8">
            <w:pPr>
              <w:rPr>
                <w:rFonts w:ascii="Times New Roman" w:hAnsi="Times New Roman"/>
                <w:color w:val="000000"/>
                <w:sz w:val="16"/>
                <w:lang w:val="es-ES"/>
              </w:rPr>
            </w:pPr>
          </w:p>
        </w:tc>
        <w:tc>
          <w:tcPr>
            <w:tcW w:w="124" w:type="pct"/>
            <w:tcBorders>
              <w:top w:val="nil"/>
              <w:left w:val="nil"/>
              <w:bottom w:val="nil"/>
              <w:right w:val="nil"/>
            </w:tcBorders>
          </w:tcPr>
          <w:p w14:paraId="7574B772" w14:textId="77777777" w:rsidR="007774E7" w:rsidRPr="00AE4E8D" w:rsidRDefault="007774E7" w:rsidP="002A71B8">
            <w:pPr>
              <w:rPr>
                <w:rFonts w:ascii="Times New Roman" w:hAnsi="Times New Roman"/>
                <w:color w:val="000000"/>
                <w:sz w:val="16"/>
                <w:lang w:val="es-ES"/>
              </w:rPr>
            </w:pPr>
          </w:p>
        </w:tc>
        <w:tc>
          <w:tcPr>
            <w:tcW w:w="462" w:type="pct"/>
            <w:tcBorders>
              <w:top w:val="nil"/>
              <w:left w:val="nil"/>
              <w:bottom w:val="nil"/>
              <w:right w:val="nil"/>
            </w:tcBorders>
            <w:noWrap/>
            <w:vAlign w:val="bottom"/>
          </w:tcPr>
          <w:p w14:paraId="19AE8A1A" w14:textId="77777777" w:rsidR="007774E7" w:rsidRPr="00AE4E8D" w:rsidRDefault="007774E7" w:rsidP="002A71B8">
            <w:pPr>
              <w:rPr>
                <w:rFonts w:ascii="Times New Roman" w:hAnsi="Times New Roman"/>
                <w:color w:val="000000"/>
                <w:sz w:val="16"/>
                <w:lang w:val="es-ES"/>
              </w:rPr>
            </w:pPr>
          </w:p>
        </w:tc>
        <w:tc>
          <w:tcPr>
            <w:tcW w:w="124" w:type="pct"/>
            <w:tcBorders>
              <w:top w:val="nil"/>
              <w:left w:val="nil"/>
              <w:bottom w:val="nil"/>
              <w:right w:val="nil"/>
            </w:tcBorders>
          </w:tcPr>
          <w:p w14:paraId="57F4BA52" w14:textId="77777777" w:rsidR="007774E7" w:rsidRPr="00AE4E8D" w:rsidRDefault="007774E7" w:rsidP="002A71B8">
            <w:pPr>
              <w:rPr>
                <w:rFonts w:ascii="Times New Roman" w:hAnsi="Times New Roman"/>
                <w:color w:val="000000"/>
                <w:sz w:val="16"/>
                <w:lang w:val="es-ES"/>
              </w:rPr>
            </w:pPr>
          </w:p>
        </w:tc>
        <w:tc>
          <w:tcPr>
            <w:tcW w:w="462" w:type="pct"/>
            <w:tcBorders>
              <w:top w:val="nil"/>
              <w:left w:val="nil"/>
              <w:bottom w:val="nil"/>
              <w:right w:val="nil"/>
            </w:tcBorders>
          </w:tcPr>
          <w:p w14:paraId="629CC270" w14:textId="77777777" w:rsidR="007774E7" w:rsidRPr="00AE4E8D" w:rsidRDefault="007774E7" w:rsidP="002A71B8">
            <w:pPr>
              <w:rPr>
                <w:rFonts w:ascii="Times New Roman" w:hAnsi="Times New Roman"/>
                <w:color w:val="000000"/>
                <w:sz w:val="16"/>
                <w:lang w:val="es-ES"/>
              </w:rPr>
            </w:pPr>
          </w:p>
        </w:tc>
        <w:tc>
          <w:tcPr>
            <w:tcW w:w="166" w:type="pct"/>
            <w:gridSpan w:val="2"/>
            <w:tcBorders>
              <w:top w:val="nil"/>
              <w:left w:val="nil"/>
              <w:bottom w:val="nil"/>
              <w:right w:val="nil"/>
            </w:tcBorders>
            <w:noWrap/>
            <w:vAlign w:val="bottom"/>
          </w:tcPr>
          <w:p w14:paraId="32DC3D0C" w14:textId="77777777" w:rsidR="007774E7" w:rsidRPr="00AE4E8D" w:rsidRDefault="007774E7" w:rsidP="002A71B8">
            <w:pPr>
              <w:rPr>
                <w:rFonts w:ascii="Times New Roman" w:hAnsi="Times New Roman"/>
                <w:color w:val="000000"/>
                <w:sz w:val="16"/>
                <w:lang w:val="es-ES"/>
              </w:rPr>
            </w:pPr>
          </w:p>
        </w:tc>
        <w:tc>
          <w:tcPr>
            <w:tcW w:w="430" w:type="pct"/>
            <w:tcBorders>
              <w:top w:val="nil"/>
              <w:left w:val="nil"/>
              <w:bottom w:val="nil"/>
              <w:right w:val="nil"/>
            </w:tcBorders>
          </w:tcPr>
          <w:p w14:paraId="461EC096" w14:textId="77777777" w:rsidR="007774E7" w:rsidRPr="00AE4E8D" w:rsidRDefault="007774E7" w:rsidP="002A71B8">
            <w:pPr>
              <w:rPr>
                <w:rFonts w:ascii="Times New Roman" w:hAnsi="Times New Roman"/>
                <w:color w:val="000000"/>
                <w:sz w:val="16"/>
                <w:lang w:val="es-ES"/>
              </w:rPr>
            </w:pPr>
          </w:p>
        </w:tc>
      </w:tr>
      <w:tr w:rsidR="00EC0AED" w:rsidRPr="00AE4E8D" w14:paraId="755C4B65" w14:textId="77777777" w:rsidTr="00AE4E8D">
        <w:trPr>
          <w:trHeight w:val="255"/>
          <w:jc w:val="center"/>
        </w:trPr>
        <w:tc>
          <w:tcPr>
            <w:tcW w:w="1528" w:type="pct"/>
            <w:tcBorders>
              <w:top w:val="nil"/>
              <w:left w:val="nil"/>
              <w:bottom w:val="nil"/>
              <w:right w:val="nil"/>
            </w:tcBorders>
            <w:noWrap/>
            <w:vAlign w:val="bottom"/>
          </w:tcPr>
          <w:p w14:paraId="39683A3D" w14:textId="77777777" w:rsidR="00EC0AED" w:rsidRPr="00AE4E8D" w:rsidRDefault="00EC0AED" w:rsidP="002A71B8">
            <w:pPr>
              <w:tabs>
                <w:tab w:val="left" w:leader="dot" w:pos="2530"/>
              </w:tabs>
              <w:ind w:firstLineChars="200" w:firstLine="320"/>
              <w:rPr>
                <w:rFonts w:ascii="Times New Roman" w:hAnsi="Times New Roman"/>
                <w:color w:val="000000"/>
                <w:sz w:val="16"/>
                <w:lang w:val="es-ES"/>
              </w:rPr>
            </w:pPr>
            <w:r w:rsidRPr="00AE4E8D">
              <w:rPr>
                <w:rFonts w:ascii="Times New Roman" w:hAnsi="Times New Roman"/>
                <w:color w:val="000000"/>
                <w:sz w:val="16"/>
                <w:lang w:val="es-ES"/>
              </w:rPr>
              <w:t xml:space="preserve">Plazo Fijo </w:t>
            </w:r>
            <w:r w:rsidRPr="00AE4E8D">
              <w:rPr>
                <w:rFonts w:ascii="Times New Roman" w:hAnsi="Times New Roman"/>
                <w:lang w:val="es-ES"/>
              </w:rPr>
              <w:tab/>
            </w:r>
          </w:p>
        </w:tc>
        <w:tc>
          <w:tcPr>
            <w:tcW w:w="469" w:type="pct"/>
            <w:tcBorders>
              <w:top w:val="nil"/>
              <w:left w:val="nil"/>
              <w:bottom w:val="nil"/>
              <w:right w:val="nil"/>
            </w:tcBorders>
            <w:vAlign w:val="bottom"/>
          </w:tcPr>
          <w:p w14:paraId="6E8F080E" w14:textId="77777777" w:rsidR="00EC0AED" w:rsidRPr="00AE4E8D" w:rsidRDefault="00EC0AED">
            <w:pPr>
              <w:ind w:right="-93"/>
              <w:jc w:val="right"/>
              <w:rPr>
                <w:rFonts w:ascii="Times New Roman" w:hAnsi="Times New Roman"/>
                <w:color w:val="000000"/>
                <w:sz w:val="16"/>
                <w:lang w:val="es-ES"/>
              </w:rPr>
            </w:pPr>
            <w:r w:rsidRPr="00AE4E8D">
              <w:rPr>
                <w:rFonts w:ascii="Times New Roman" w:hAnsi="Times New Roman"/>
                <w:color w:val="000000"/>
                <w:sz w:val="16"/>
                <w:lang w:val="es-ES"/>
              </w:rPr>
              <w:t>9.671.476</w:t>
            </w:r>
          </w:p>
        </w:tc>
        <w:tc>
          <w:tcPr>
            <w:tcW w:w="124" w:type="pct"/>
            <w:tcBorders>
              <w:top w:val="nil"/>
              <w:left w:val="nil"/>
              <w:bottom w:val="nil"/>
              <w:right w:val="nil"/>
            </w:tcBorders>
          </w:tcPr>
          <w:p w14:paraId="0034EF62" w14:textId="77777777" w:rsidR="00EC0AED" w:rsidRPr="00AE4E8D" w:rsidRDefault="00EC0AED" w:rsidP="002A71B8">
            <w:pPr>
              <w:ind w:right="-93"/>
              <w:jc w:val="right"/>
              <w:rPr>
                <w:rFonts w:ascii="Times New Roman" w:hAnsi="Times New Roman"/>
                <w:color w:val="000000"/>
                <w:sz w:val="16"/>
                <w:lang w:val="es-ES"/>
              </w:rPr>
            </w:pPr>
          </w:p>
        </w:tc>
        <w:tc>
          <w:tcPr>
            <w:tcW w:w="469" w:type="pct"/>
            <w:tcBorders>
              <w:top w:val="nil"/>
              <w:left w:val="nil"/>
              <w:bottom w:val="nil"/>
              <w:right w:val="nil"/>
            </w:tcBorders>
            <w:noWrap/>
            <w:vAlign w:val="bottom"/>
          </w:tcPr>
          <w:p w14:paraId="09D04478" w14:textId="77777777" w:rsidR="00EC0AED" w:rsidRPr="00AE4E8D" w:rsidRDefault="00EC0AED" w:rsidP="002A71B8">
            <w:pPr>
              <w:ind w:right="-93"/>
              <w:jc w:val="right"/>
              <w:rPr>
                <w:rFonts w:ascii="Times New Roman" w:hAnsi="Times New Roman"/>
                <w:color w:val="000000"/>
                <w:sz w:val="16"/>
                <w:lang w:val="es-ES"/>
              </w:rPr>
            </w:pPr>
            <w:r w:rsidRPr="00AE4E8D">
              <w:rPr>
                <w:rFonts w:ascii="Times New Roman" w:hAnsi="Times New Roman"/>
                <w:color w:val="000000"/>
                <w:sz w:val="16"/>
                <w:lang w:val="es-ES"/>
              </w:rPr>
              <w:t>15.671.777</w:t>
            </w:r>
          </w:p>
        </w:tc>
        <w:tc>
          <w:tcPr>
            <w:tcW w:w="124" w:type="pct"/>
            <w:tcBorders>
              <w:top w:val="nil"/>
              <w:left w:val="nil"/>
              <w:bottom w:val="nil"/>
              <w:right w:val="nil"/>
            </w:tcBorders>
            <w:noWrap/>
            <w:vAlign w:val="bottom"/>
          </w:tcPr>
          <w:p w14:paraId="15DF561C" w14:textId="77777777" w:rsidR="00EC0AED" w:rsidRPr="00AE4E8D" w:rsidRDefault="00EC0AED" w:rsidP="002A71B8">
            <w:pPr>
              <w:rPr>
                <w:rFonts w:ascii="Times New Roman" w:hAnsi="Times New Roman"/>
                <w:color w:val="000000"/>
                <w:sz w:val="16"/>
                <w:lang w:val="es-ES"/>
              </w:rPr>
            </w:pPr>
          </w:p>
        </w:tc>
        <w:tc>
          <w:tcPr>
            <w:tcW w:w="521" w:type="pct"/>
            <w:tcBorders>
              <w:top w:val="nil"/>
              <w:left w:val="nil"/>
              <w:bottom w:val="nil"/>
              <w:right w:val="nil"/>
            </w:tcBorders>
            <w:noWrap/>
            <w:vAlign w:val="bottom"/>
          </w:tcPr>
          <w:p w14:paraId="33F73FF6" w14:textId="77777777" w:rsidR="00EC0AED" w:rsidRPr="00AE4E8D" w:rsidRDefault="00EC0AED" w:rsidP="002A71B8">
            <w:pPr>
              <w:jc w:val="right"/>
              <w:rPr>
                <w:rFonts w:ascii="Times New Roman" w:hAnsi="Times New Roman"/>
                <w:color w:val="000000"/>
                <w:sz w:val="16"/>
                <w:lang w:val="es-ES"/>
              </w:rPr>
            </w:pPr>
            <w:r w:rsidRPr="00AE4E8D">
              <w:rPr>
                <w:rFonts w:ascii="Times New Roman" w:hAnsi="Times New Roman"/>
                <w:color w:val="000000"/>
                <w:sz w:val="16"/>
                <w:lang w:val="es-ES"/>
              </w:rPr>
              <w:t>13.819.415</w:t>
            </w:r>
          </w:p>
        </w:tc>
        <w:tc>
          <w:tcPr>
            <w:tcW w:w="124" w:type="pct"/>
            <w:tcBorders>
              <w:top w:val="nil"/>
              <w:left w:val="nil"/>
              <w:bottom w:val="nil"/>
              <w:right w:val="nil"/>
            </w:tcBorders>
          </w:tcPr>
          <w:p w14:paraId="2F5D9C1E" w14:textId="77777777" w:rsidR="00EC0AED" w:rsidRPr="00AE4E8D" w:rsidRDefault="00EC0AED" w:rsidP="002A71B8">
            <w:pPr>
              <w:rPr>
                <w:rFonts w:ascii="Times New Roman" w:hAnsi="Times New Roman"/>
                <w:color w:val="000000"/>
                <w:sz w:val="16"/>
                <w:lang w:val="es-ES"/>
              </w:rPr>
            </w:pPr>
          </w:p>
        </w:tc>
        <w:tc>
          <w:tcPr>
            <w:tcW w:w="462" w:type="pct"/>
            <w:tcBorders>
              <w:top w:val="nil"/>
              <w:left w:val="nil"/>
              <w:bottom w:val="nil"/>
              <w:right w:val="nil"/>
            </w:tcBorders>
            <w:noWrap/>
            <w:vAlign w:val="bottom"/>
          </w:tcPr>
          <w:p w14:paraId="353B01A1" w14:textId="77777777" w:rsidR="00EC0AED" w:rsidRPr="00AE4E8D" w:rsidRDefault="00EC0AED" w:rsidP="00EC0AED">
            <w:pPr>
              <w:ind w:right="-106"/>
              <w:jc w:val="right"/>
              <w:rPr>
                <w:rFonts w:ascii="Times New Roman" w:hAnsi="Times New Roman"/>
                <w:color w:val="000000"/>
                <w:sz w:val="16"/>
                <w:lang w:val="es-ES"/>
              </w:rPr>
            </w:pPr>
            <w:r w:rsidRPr="00AE4E8D">
              <w:rPr>
                <w:rFonts w:ascii="Times New Roman" w:hAnsi="Times New Roman"/>
                <w:color w:val="000000"/>
                <w:sz w:val="16"/>
                <w:lang w:val="es-ES"/>
              </w:rPr>
              <w:t>13.190.600</w:t>
            </w:r>
          </w:p>
        </w:tc>
        <w:tc>
          <w:tcPr>
            <w:tcW w:w="124" w:type="pct"/>
            <w:tcBorders>
              <w:top w:val="nil"/>
              <w:left w:val="nil"/>
              <w:bottom w:val="nil"/>
              <w:right w:val="nil"/>
            </w:tcBorders>
          </w:tcPr>
          <w:p w14:paraId="33BA4DB3" w14:textId="77777777" w:rsidR="00EC0AED" w:rsidRPr="00AE4E8D" w:rsidRDefault="00EC0AED" w:rsidP="002A71B8">
            <w:pPr>
              <w:ind w:right="-106"/>
              <w:jc w:val="right"/>
              <w:rPr>
                <w:rFonts w:ascii="Times New Roman" w:hAnsi="Times New Roman"/>
                <w:color w:val="000000"/>
                <w:sz w:val="16"/>
                <w:lang w:val="es-ES"/>
              </w:rPr>
            </w:pPr>
          </w:p>
        </w:tc>
        <w:tc>
          <w:tcPr>
            <w:tcW w:w="462" w:type="pct"/>
            <w:tcBorders>
              <w:top w:val="nil"/>
              <w:left w:val="nil"/>
              <w:bottom w:val="nil"/>
              <w:right w:val="nil"/>
            </w:tcBorders>
            <w:vAlign w:val="bottom"/>
          </w:tcPr>
          <w:p w14:paraId="0D43A3CF" w14:textId="77777777" w:rsidR="00EC0AED" w:rsidRPr="00AE4E8D" w:rsidRDefault="00EC0AED" w:rsidP="002A71B8">
            <w:pPr>
              <w:ind w:right="-106"/>
              <w:jc w:val="right"/>
              <w:rPr>
                <w:rFonts w:ascii="Times New Roman" w:hAnsi="Times New Roman"/>
                <w:color w:val="000000"/>
                <w:sz w:val="16"/>
                <w:lang w:val="es-ES"/>
              </w:rPr>
            </w:pPr>
            <w:r w:rsidRPr="00AE4E8D">
              <w:rPr>
                <w:rFonts w:ascii="Times New Roman" w:hAnsi="Times New Roman"/>
                <w:color w:val="000000"/>
                <w:sz w:val="16"/>
                <w:lang w:val="es-ES"/>
              </w:rPr>
              <w:t>13.717.667</w:t>
            </w:r>
          </w:p>
        </w:tc>
        <w:tc>
          <w:tcPr>
            <w:tcW w:w="166" w:type="pct"/>
            <w:gridSpan w:val="2"/>
            <w:tcBorders>
              <w:top w:val="nil"/>
              <w:left w:val="nil"/>
              <w:bottom w:val="nil"/>
              <w:right w:val="nil"/>
            </w:tcBorders>
            <w:noWrap/>
            <w:vAlign w:val="bottom"/>
          </w:tcPr>
          <w:p w14:paraId="76EFFAE0" w14:textId="77777777" w:rsidR="00EC0AED" w:rsidRPr="00AE4E8D" w:rsidRDefault="00EC0AED" w:rsidP="002A71B8">
            <w:pPr>
              <w:rPr>
                <w:rFonts w:ascii="Times New Roman" w:hAnsi="Times New Roman"/>
                <w:color w:val="000000"/>
                <w:sz w:val="16"/>
                <w:lang w:val="es-ES"/>
              </w:rPr>
            </w:pPr>
          </w:p>
        </w:tc>
        <w:tc>
          <w:tcPr>
            <w:tcW w:w="430" w:type="pct"/>
            <w:tcBorders>
              <w:top w:val="nil"/>
              <w:left w:val="nil"/>
              <w:bottom w:val="nil"/>
              <w:right w:val="nil"/>
            </w:tcBorders>
            <w:vAlign w:val="bottom"/>
          </w:tcPr>
          <w:p w14:paraId="6F784E2F" w14:textId="77777777" w:rsidR="00EC0AED" w:rsidRPr="00AE4E8D" w:rsidRDefault="00EC0AED" w:rsidP="002A71B8">
            <w:pPr>
              <w:jc w:val="right"/>
              <w:rPr>
                <w:rFonts w:ascii="Times New Roman" w:hAnsi="Times New Roman"/>
                <w:color w:val="000000"/>
                <w:sz w:val="16"/>
                <w:lang w:val="es-ES"/>
              </w:rPr>
            </w:pPr>
            <w:r w:rsidRPr="00AE4E8D">
              <w:rPr>
                <w:rFonts w:ascii="Times New Roman" w:hAnsi="Times New Roman"/>
                <w:color w:val="000000"/>
                <w:sz w:val="16"/>
                <w:lang w:val="es-ES"/>
              </w:rPr>
              <w:t>826.440</w:t>
            </w:r>
          </w:p>
        </w:tc>
      </w:tr>
      <w:tr w:rsidR="00EC0AED" w:rsidRPr="00AE4E8D" w14:paraId="14760582" w14:textId="77777777" w:rsidTr="00AE4E8D">
        <w:trPr>
          <w:trHeight w:val="255"/>
          <w:jc w:val="center"/>
        </w:trPr>
        <w:tc>
          <w:tcPr>
            <w:tcW w:w="1528" w:type="pct"/>
            <w:tcBorders>
              <w:top w:val="nil"/>
              <w:left w:val="nil"/>
              <w:bottom w:val="nil"/>
              <w:right w:val="nil"/>
            </w:tcBorders>
            <w:noWrap/>
            <w:vAlign w:val="bottom"/>
          </w:tcPr>
          <w:p w14:paraId="70C5584D" w14:textId="77777777" w:rsidR="00EC0AED" w:rsidRPr="00AE4E8D" w:rsidRDefault="00EC0AED" w:rsidP="002A71B8">
            <w:pPr>
              <w:tabs>
                <w:tab w:val="left" w:leader="dot" w:pos="2530"/>
              </w:tabs>
              <w:ind w:firstLineChars="200" w:firstLine="320"/>
              <w:rPr>
                <w:rFonts w:ascii="Times New Roman" w:hAnsi="Times New Roman"/>
                <w:color w:val="000000"/>
                <w:sz w:val="16"/>
                <w:lang w:val="es-ES"/>
              </w:rPr>
            </w:pPr>
            <w:r w:rsidRPr="00AE4E8D">
              <w:rPr>
                <w:rFonts w:ascii="Times New Roman" w:hAnsi="Times New Roman"/>
                <w:color w:val="000000"/>
                <w:sz w:val="16"/>
                <w:lang w:val="es-ES"/>
              </w:rPr>
              <w:t xml:space="preserve">Cajas de Ahorro </w:t>
            </w:r>
            <w:r w:rsidRPr="00AE4E8D">
              <w:rPr>
                <w:rFonts w:ascii="Times New Roman" w:hAnsi="Times New Roman"/>
                <w:lang w:val="es-ES"/>
              </w:rPr>
              <w:tab/>
            </w:r>
          </w:p>
        </w:tc>
        <w:tc>
          <w:tcPr>
            <w:tcW w:w="469" w:type="pct"/>
            <w:tcBorders>
              <w:top w:val="nil"/>
              <w:left w:val="nil"/>
              <w:bottom w:val="nil"/>
              <w:right w:val="nil"/>
            </w:tcBorders>
            <w:vAlign w:val="bottom"/>
          </w:tcPr>
          <w:p w14:paraId="5DD9707E" w14:textId="77777777" w:rsidR="00EC0AED" w:rsidRPr="00AE4E8D" w:rsidRDefault="00EC0AED">
            <w:pPr>
              <w:ind w:right="-93"/>
              <w:jc w:val="right"/>
              <w:rPr>
                <w:rFonts w:ascii="Times New Roman" w:hAnsi="Times New Roman"/>
                <w:color w:val="000000"/>
                <w:sz w:val="16"/>
                <w:lang w:val="es-ES"/>
              </w:rPr>
            </w:pPr>
            <w:r w:rsidRPr="00AE4E8D">
              <w:rPr>
                <w:rFonts w:ascii="Times New Roman" w:hAnsi="Times New Roman"/>
                <w:color w:val="000000"/>
                <w:sz w:val="16"/>
                <w:lang w:val="es-ES"/>
              </w:rPr>
              <w:t>2.816.343</w:t>
            </w:r>
          </w:p>
        </w:tc>
        <w:tc>
          <w:tcPr>
            <w:tcW w:w="124" w:type="pct"/>
            <w:tcBorders>
              <w:top w:val="nil"/>
              <w:left w:val="nil"/>
              <w:bottom w:val="nil"/>
              <w:right w:val="nil"/>
            </w:tcBorders>
          </w:tcPr>
          <w:p w14:paraId="79BD689D" w14:textId="77777777" w:rsidR="00EC0AED" w:rsidRPr="00AE4E8D" w:rsidRDefault="00EC0AED" w:rsidP="002A71B8">
            <w:pPr>
              <w:ind w:right="-93"/>
              <w:jc w:val="right"/>
              <w:rPr>
                <w:rFonts w:ascii="Times New Roman" w:hAnsi="Times New Roman"/>
                <w:color w:val="000000"/>
                <w:sz w:val="16"/>
                <w:lang w:val="es-ES"/>
              </w:rPr>
            </w:pPr>
          </w:p>
        </w:tc>
        <w:tc>
          <w:tcPr>
            <w:tcW w:w="469" w:type="pct"/>
            <w:tcBorders>
              <w:top w:val="nil"/>
              <w:left w:val="nil"/>
              <w:bottom w:val="nil"/>
              <w:right w:val="nil"/>
            </w:tcBorders>
            <w:noWrap/>
            <w:vAlign w:val="bottom"/>
          </w:tcPr>
          <w:p w14:paraId="72633CE1" w14:textId="77777777" w:rsidR="00EC0AED" w:rsidRPr="00AE4E8D" w:rsidRDefault="00EC0AED" w:rsidP="002A71B8">
            <w:pPr>
              <w:ind w:right="-93"/>
              <w:jc w:val="right"/>
              <w:rPr>
                <w:rFonts w:ascii="Times New Roman" w:hAnsi="Times New Roman"/>
                <w:color w:val="000000"/>
                <w:sz w:val="16"/>
                <w:lang w:val="es-ES"/>
              </w:rPr>
            </w:pPr>
            <w:r w:rsidRPr="00AE4E8D">
              <w:rPr>
                <w:rFonts w:ascii="Times New Roman" w:hAnsi="Times New Roman"/>
                <w:color w:val="000000"/>
                <w:sz w:val="16"/>
                <w:lang w:val="es-ES"/>
              </w:rPr>
              <w:t>3.187.068</w:t>
            </w:r>
          </w:p>
        </w:tc>
        <w:tc>
          <w:tcPr>
            <w:tcW w:w="124" w:type="pct"/>
            <w:tcBorders>
              <w:top w:val="nil"/>
              <w:left w:val="nil"/>
              <w:bottom w:val="nil"/>
              <w:right w:val="nil"/>
            </w:tcBorders>
            <w:noWrap/>
            <w:vAlign w:val="bottom"/>
          </w:tcPr>
          <w:p w14:paraId="642368AA" w14:textId="77777777" w:rsidR="00EC0AED" w:rsidRPr="00AE4E8D" w:rsidRDefault="00EC0AED" w:rsidP="002A71B8">
            <w:pPr>
              <w:rPr>
                <w:rFonts w:ascii="Times New Roman" w:hAnsi="Times New Roman"/>
                <w:color w:val="000000"/>
                <w:sz w:val="16"/>
                <w:lang w:val="es-ES"/>
              </w:rPr>
            </w:pPr>
          </w:p>
        </w:tc>
        <w:tc>
          <w:tcPr>
            <w:tcW w:w="521" w:type="pct"/>
            <w:tcBorders>
              <w:top w:val="nil"/>
              <w:left w:val="nil"/>
              <w:bottom w:val="nil"/>
              <w:right w:val="nil"/>
            </w:tcBorders>
            <w:noWrap/>
            <w:vAlign w:val="bottom"/>
          </w:tcPr>
          <w:p w14:paraId="3D73355F" w14:textId="77777777" w:rsidR="00EC0AED" w:rsidRPr="00AE4E8D" w:rsidRDefault="00EC0AED" w:rsidP="002A71B8">
            <w:pPr>
              <w:jc w:val="right"/>
              <w:rPr>
                <w:rFonts w:ascii="Times New Roman" w:hAnsi="Times New Roman"/>
                <w:color w:val="000000"/>
                <w:sz w:val="16"/>
                <w:lang w:val="es-ES"/>
              </w:rPr>
            </w:pPr>
            <w:r w:rsidRPr="00AE4E8D">
              <w:rPr>
                <w:rFonts w:ascii="Times New Roman" w:hAnsi="Times New Roman"/>
                <w:color w:val="000000"/>
                <w:sz w:val="16"/>
                <w:lang w:val="es-ES"/>
              </w:rPr>
              <w:t>3.611.713</w:t>
            </w:r>
          </w:p>
        </w:tc>
        <w:tc>
          <w:tcPr>
            <w:tcW w:w="124" w:type="pct"/>
            <w:tcBorders>
              <w:top w:val="nil"/>
              <w:left w:val="nil"/>
              <w:bottom w:val="nil"/>
              <w:right w:val="nil"/>
            </w:tcBorders>
          </w:tcPr>
          <w:p w14:paraId="07D361C5" w14:textId="77777777" w:rsidR="00EC0AED" w:rsidRPr="00AE4E8D" w:rsidRDefault="00EC0AED" w:rsidP="002A71B8">
            <w:pPr>
              <w:rPr>
                <w:rFonts w:ascii="Times New Roman" w:hAnsi="Times New Roman"/>
                <w:color w:val="000000"/>
                <w:sz w:val="16"/>
                <w:lang w:val="es-ES"/>
              </w:rPr>
            </w:pPr>
          </w:p>
        </w:tc>
        <w:tc>
          <w:tcPr>
            <w:tcW w:w="462" w:type="pct"/>
            <w:tcBorders>
              <w:top w:val="nil"/>
              <w:left w:val="nil"/>
              <w:bottom w:val="nil"/>
              <w:right w:val="nil"/>
            </w:tcBorders>
            <w:noWrap/>
            <w:vAlign w:val="bottom"/>
          </w:tcPr>
          <w:p w14:paraId="535A7764" w14:textId="77777777" w:rsidR="00EC0AED" w:rsidRPr="00AE4E8D" w:rsidRDefault="00EC0AED" w:rsidP="00EC0AED">
            <w:pPr>
              <w:ind w:right="-106"/>
              <w:jc w:val="right"/>
              <w:rPr>
                <w:rFonts w:ascii="Times New Roman" w:hAnsi="Times New Roman"/>
                <w:color w:val="000000"/>
                <w:sz w:val="16"/>
                <w:lang w:val="es-ES"/>
              </w:rPr>
            </w:pPr>
            <w:r w:rsidRPr="00AE4E8D">
              <w:rPr>
                <w:rFonts w:ascii="Times New Roman" w:hAnsi="Times New Roman"/>
                <w:color w:val="000000"/>
                <w:sz w:val="16"/>
                <w:lang w:val="es-ES"/>
              </w:rPr>
              <w:t>3.130.453</w:t>
            </w:r>
          </w:p>
        </w:tc>
        <w:tc>
          <w:tcPr>
            <w:tcW w:w="124" w:type="pct"/>
            <w:tcBorders>
              <w:top w:val="nil"/>
              <w:left w:val="nil"/>
              <w:bottom w:val="nil"/>
              <w:right w:val="nil"/>
            </w:tcBorders>
          </w:tcPr>
          <w:p w14:paraId="50A31357" w14:textId="77777777" w:rsidR="00EC0AED" w:rsidRPr="00AE4E8D" w:rsidRDefault="00EC0AED" w:rsidP="002A71B8">
            <w:pPr>
              <w:ind w:right="-106"/>
              <w:jc w:val="right"/>
              <w:rPr>
                <w:rFonts w:ascii="Times New Roman" w:hAnsi="Times New Roman"/>
                <w:color w:val="000000"/>
                <w:sz w:val="16"/>
                <w:lang w:val="es-ES"/>
              </w:rPr>
            </w:pPr>
          </w:p>
        </w:tc>
        <w:tc>
          <w:tcPr>
            <w:tcW w:w="462" w:type="pct"/>
            <w:tcBorders>
              <w:top w:val="nil"/>
              <w:left w:val="nil"/>
              <w:bottom w:val="nil"/>
              <w:right w:val="nil"/>
            </w:tcBorders>
            <w:vAlign w:val="bottom"/>
          </w:tcPr>
          <w:p w14:paraId="1B29CC8C" w14:textId="77777777" w:rsidR="00EC0AED" w:rsidRPr="00AE4E8D" w:rsidRDefault="00EC0AED" w:rsidP="002A71B8">
            <w:pPr>
              <w:ind w:right="-106"/>
              <w:jc w:val="right"/>
              <w:rPr>
                <w:rFonts w:ascii="Times New Roman" w:hAnsi="Times New Roman"/>
                <w:color w:val="000000"/>
                <w:sz w:val="16"/>
                <w:lang w:val="es-ES"/>
              </w:rPr>
            </w:pPr>
            <w:r w:rsidRPr="00AE4E8D">
              <w:rPr>
                <w:rFonts w:ascii="Times New Roman" w:hAnsi="Times New Roman"/>
                <w:color w:val="000000"/>
                <w:sz w:val="16"/>
                <w:lang w:val="es-ES"/>
              </w:rPr>
              <w:t>4.415.774</w:t>
            </w:r>
          </w:p>
        </w:tc>
        <w:tc>
          <w:tcPr>
            <w:tcW w:w="166" w:type="pct"/>
            <w:gridSpan w:val="2"/>
            <w:tcBorders>
              <w:top w:val="nil"/>
              <w:left w:val="nil"/>
              <w:bottom w:val="nil"/>
              <w:right w:val="nil"/>
            </w:tcBorders>
            <w:noWrap/>
            <w:vAlign w:val="bottom"/>
          </w:tcPr>
          <w:p w14:paraId="2D98C577" w14:textId="77777777" w:rsidR="00EC0AED" w:rsidRPr="00AE4E8D" w:rsidRDefault="00EC0AED" w:rsidP="002A71B8">
            <w:pPr>
              <w:rPr>
                <w:rFonts w:ascii="Times New Roman" w:hAnsi="Times New Roman"/>
                <w:color w:val="000000"/>
                <w:sz w:val="16"/>
                <w:lang w:val="es-ES"/>
              </w:rPr>
            </w:pPr>
          </w:p>
        </w:tc>
        <w:tc>
          <w:tcPr>
            <w:tcW w:w="430" w:type="pct"/>
            <w:tcBorders>
              <w:top w:val="nil"/>
              <w:left w:val="nil"/>
              <w:bottom w:val="nil"/>
              <w:right w:val="nil"/>
            </w:tcBorders>
            <w:vAlign w:val="bottom"/>
          </w:tcPr>
          <w:p w14:paraId="58DC3F52" w14:textId="77777777" w:rsidR="00EC0AED" w:rsidRPr="00AE4E8D" w:rsidRDefault="00EC0AED" w:rsidP="002A71B8">
            <w:pPr>
              <w:jc w:val="right"/>
              <w:rPr>
                <w:rFonts w:ascii="Times New Roman" w:hAnsi="Times New Roman"/>
                <w:color w:val="000000"/>
                <w:sz w:val="16"/>
                <w:lang w:val="es-ES"/>
              </w:rPr>
            </w:pPr>
            <w:r w:rsidRPr="00AE4E8D">
              <w:rPr>
                <w:rFonts w:ascii="Times New Roman" w:hAnsi="Times New Roman"/>
                <w:color w:val="000000"/>
                <w:sz w:val="16"/>
                <w:lang w:val="es-ES"/>
              </w:rPr>
              <w:t>266.035</w:t>
            </w:r>
          </w:p>
        </w:tc>
      </w:tr>
      <w:tr w:rsidR="00EC0AED" w:rsidRPr="00AE4E8D" w14:paraId="579BD7DC" w14:textId="77777777" w:rsidTr="00AE4E8D">
        <w:trPr>
          <w:trHeight w:val="255"/>
          <w:jc w:val="center"/>
        </w:trPr>
        <w:tc>
          <w:tcPr>
            <w:tcW w:w="1528" w:type="pct"/>
            <w:tcBorders>
              <w:top w:val="nil"/>
              <w:left w:val="nil"/>
              <w:bottom w:val="nil"/>
              <w:right w:val="nil"/>
            </w:tcBorders>
            <w:noWrap/>
            <w:vAlign w:val="bottom"/>
          </w:tcPr>
          <w:p w14:paraId="0EBE021A" w14:textId="77777777" w:rsidR="00EC0AED" w:rsidRPr="00AE4E8D" w:rsidRDefault="00EC0AED" w:rsidP="002A71B8">
            <w:pPr>
              <w:tabs>
                <w:tab w:val="left" w:leader="dot" w:pos="2530"/>
              </w:tabs>
              <w:ind w:firstLineChars="200" w:firstLine="320"/>
              <w:rPr>
                <w:rFonts w:ascii="Times New Roman" w:hAnsi="Times New Roman"/>
                <w:color w:val="000000"/>
                <w:sz w:val="16"/>
                <w:lang w:val="es-ES"/>
              </w:rPr>
            </w:pPr>
            <w:r w:rsidRPr="00AE4E8D">
              <w:rPr>
                <w:rFonts w:ascii="Times New Roman" w:hAnsi="Times New Roman"/>
                <w:color w:val="000000"/>
                <w:sz w:val="16"/>
                <w:lang w:val="es-ES"/>
              </w:rPr>
              <w:t xml:space="preserve">Cuentas Corrientes </w:t>
            </w:r>
            <w:r w:rsidRPr="00AE4E8D">
              <w:rPr>
                <w:rFonts w:ascii="Times New Roman" w:hAnsi="Times New Roman"/>
                <w:lang w:val="es-ES"/>
              </w:rPr>
              <w:tab/>
            </w:r>
          </w:p>
        </w:tc>
        <w:tc>
          <w:tcPr>
            <w:tcW w:w="469" w:type="pct"/>
            <w:tcBorders>
              <w:top w:val="nil"/>
              <w:left w:val="nil"/>
              <w:bottom w:val="nil"/>
              <w:right w:val="nil"/>
            </w:tcBorders>
            <w:vAlign w:val="bottom"/>
          </w:tcPr>
          <w:p w14:paraId="2A6369ED" w14:textId="77777777" w:rsidR="00EC0AED" w:rsidRPr="00AE4E8D" w:rsidRDefault="00EC0AED">
            <w:pPr>
              <w:ind w:right="-93"/>
              <w:jc w:val="right"/>
              <w:rPr>
                <w:rFonts w:ascii="Times New Roman" w:hAnsi="Times New Roman"/>
                <w:color w:val="000000"/>
                <w:sz w:val="16"/>
                <w:lang w:val="es-ES"/>
              </w:rPr>
            </w:pPr>
            <w:r w:rsidRPr="00AE4E8D">
              <w:rPr>
                <w:rFonts w:ascii="Times New Roman" w:hAnsi="Times New Roman"/>
                <w:color w:val="000000"/>
                <w:sz w:val="16"/>
                <w:lang w:val="es-ES"/>
              </w:rPr>
              <w:t>4.962.612</w:t>
            </w:r>
          </w:p>
        </w:tc>
        <w:tc>
          <w:tcPr>
            <w:tcW w:w="124" w:type="pct"/>
            <w:tcBorders>
              <w:top w:val="nil"/>
              <w:left w:val="nil"/>
              <w:bottom w:val="nil"/>
              <w:right w:val="nil"/>
            </w:tcBorders>
          </w:tcPr>
          <w:p w14:paraId="42E371B4" w14:textId="77777777" w:rsidR="00EC0AED" w:rsidRPr="00AE4E8D" w:rsidRDefault="00EC0AED" w:rsidP="002A71B8">
            <w:pPr>
              <w:ind w:right="-93"/>
              <w:jc w:val="right"/>
              <w:rPr>
                <w:rFonts w:ascii="Times New Roman" w:hAnsi="Times New Roman"/>
                <w:color w:val="000000"/>
                <w:sz w:val="16"/>
                <w:lang w:val="es-ES"/>
              </w:rPr>
            </w:pPr>
          </w:p>
        </w:tc>
        <w:tc>
          <w:tcPr>
            <w:tcW w:w="469" w:type="pct"/>
            <w:tcBorders>
              <w:top w:val="nil"/>
              <w:left w:val="nil"/>
              <w:bottom w:val="nil"/>
              <w:right w:val="nil"/>
            </w:tcBorders>
            <w:noWrap/>
            <w:vAlign w:val="bottom"/>
          </w:tcPr>
          <w:p w14:paraId="2A8DE09B" w14:textId="77777777" w:rsidR="00EC0AED" w:rsidRPr="00AE4E8D" w:rsidRDefault="00EC0AED" w:rsidP="002A71B8">
            <w:pPr>
              <w:ind w:right="-93"/>
              <w:jc w:val="right"/>
              <w:rPr>
                <w:rFonts w:ascii="Times New Roman" w:hAnsi="Times New Roman"/>
                <w:color w:val="000000"/>
                <w:sz w:val="16"/>
                <w:lang w:val="es-ES"/>
              </w:rPr>
            </w:pPr>
            <w:r w:rsidRPr="00AE4E8D">
              <w:rPr>
                <w:rFonts w:ascii="Times New Roman" w:hAnsi="Times New Roman"/>
                <w:color w:val="000000"/>
                <w:sz w:val="16"/>
                <w:lang w:val="es-ES"/>
              </w:rPr>
              <w:t>1.351.893</w:t>
            </w:r>
          </w:p>
        </w:tc>
        <w:tc>
          <w:tcPr>
            <w:tcW w:w="124" w:type="pct"/>
            <w:tcBorders>
              <w:top w:val="nil"/>
              <w:left w:val="nil"/>
              <w:bottom w:val="nil"/>
              <w:right w:val="nil"/>
            </w:tcBorders>
            <w:noWrap/>
            <w:vAlign w:val="bottom"/>
          </w:tcPr>
          <w:p w14:paraId="1FEE6876" w14:textId="77777777" w:rsidR="00EC0AED" w:rsidRPr="00AE4E8D" w:rsidRDefault="00EC0AED" w:rsidP="002A71B8">
            <w:pPr>
              <w:rPr>
                <w:rFonts w:ascii="Times New Roman" w:hAnsi="Times New Roman"/>
                <w:color w:val="000000"/>
                <w:sz w:val="16"/>
                <w:lang w:val="es-ES"/>
              </w:rPr>
            </w:pPr>
          </w:p>
        </w:tc>
        <w:tc>
          <w:tcPr>
            <w:tcW w:w="521" w:type="pct"/>
            <w:tcBorders>
              <w:top w:val="nil"/>
              <w:left w:val="nil"/>
              <w:bottom w:val="nil"/>
              <w:right w:val="nil"/>
            </w:tcBorders>
            <w:noWrap/>
            <w:vAlign w:val="bottom"/>
          </w:tcPr>
          <w:p w14:paraId="182A3BA7" w14:textId="77777777" w:rsidR="00EC0AED" w:rsidRPr="00AE4E8D" w:rsidRDefault="00EC0AED" w:rsidP="002A71B8">
            <w:pPr>
              <w:jc w:val="right"/>
              <w:rPr>
                <w:rFonts w:ascii="Times New Roman" w:hAnsi="Times New Roman"/>
                <w:color w:val="000000"/>
                <w:sz w:val="16"/>
                <w:lang w:val="es-ES"/>
              </w:rPr>
            </w:pPr>
            <w:r w:rsidRPr="00AE4E8D">
              <w:rPr>
                <w:rFonts w:ascii="Times New Roman" w:hAnsi="Times New Roman"/>
                <w:color w:val="000000"/>
                <w:sz w:val="16"/>
                <w:lang w:val="es-ES"/>
              </w:rPr>
              <w:t>1.362.218</w:t>
            </w:r>
          </w:p>
        </w:tc>
        <w:tc>
          <w:tcPr>
            <w:tcW w:w="124" w:type="pct"/>
            <w:tcBorders>
              <w:top w:val="nil"/>
              <w:left w:val="nil"/>
              <w:bottom w:val="nil"/>
              <w:right w:val="nil"/>
            </w:tcBorders>
          </w:tcPr>
          <w:p w14:paraId="273F45C5" w14:textId="77777777" w:rsidR="00EC0AED" w:rsidRPr="00AE4E8D" w:rsidRDefault="00EC0AED" w:rsidP="002A71B8">
            <w:pPr>
              <w:rPr>
                <w:rFonts w:ascii="Times New Roman" w:hAnsi="Times New Roman"/>
                <w:color w:val="000000"/>
                <w:sz w:val="16"/>
                <w:lang w:val="es-ES"/>
              </w:rPr>
            </w:pPr>
          </w:p>
        </w:tc>
        <w:tc>
          <w:tcPr>
            <w:tcW w:w="462" w:type="pct"/>
            <w:tcBorders>
              <w:top w:val="nil"/>
              <w:left w:val="nil"/>
              <w:right w:val="nil"/>
            </w:tcBorders>
            <w:noWrap/>
            <w:vAlign w:val="bottom"/>
          </w:tcPr>
          <w:p w14:paraId="416450B6" w14:textId="77777777" w:rsidR="00EC0AED" w:rsidRPr="00AE4E8D" w:rsidRDefault="00EC0AED" w:rsidP="00EC0AED">
            <w:pPr>
              <w:ind w:right="-106"/>
              <w:jc w:val="right"/>
              <w:rPr>
                <w:rFonts w:ascii="Times New Roman" w:hAnsi="Times New Roman"/>
                <w:color w:val="000000"/>
                <w:sz w:val="16"/>
                <w:lang w:val="es-ES"/>
              </w:rPr>
            </w:pPr>
            <w:r w:rsidRPr="00AE4E8D">
              <w:rPr>
                <w:rFonts w:ascii="Times New Roman" w:hAnsi="Times New Roman"/>
                <w:color w:val="000000"/>
                <w:sz w:val="16"/>
                <w:lang w:val="es-ES"/>
              </w:rPr>
              <w:t>1.299.090</w:t>
            </w:r>
          </w:p>
        </w:tc>
        <w:tc>
          <w:tcPr>
            <w:tcW w:w="124" w:type="pct"/>
            <w:tcBorders>
              <w:top w:val="nil"/>
              <w:left w:val="nil"/>
              <w:bottom w:val="nil"/>
              <w:right w:val="nil"/>
            </w:tcBorders>
          </w:tcPr>
          <w:p w14:paraId="40792E29" w14:textId="77777777" w:rsidR="00EC0AED" w:rsidRPr="00AE4E8D" w:rsidRDefault="00EC0AED" w:rsidP="002A71B8">
            <w:pPr>
              <w:ind w:right="-106"/>
              <w:jc w:val="right"/>
              <w:rPr>
                <w:rFonts w:ascii="Times New Roman" w:hAnsi="Times New Roman"/>
                <w:color w:val="000000"/>
                <w:sz w:val="16"/>
                <w:lang w:val="es-ES"/>
              </w:rPr>
            </w:pPr>
          </w:p>
        </w:tc>
        <w:tc>
          <w:tcPr>
            <w:tcW w:w="462" w:type="pct"/>
            <w:tcBorders>
              <w:top w:val="nil"/>
              <w:left w:val="nil"/>
              <w:bottom w:val="nil"/>
              <w:right w:val="nil"/>
            </w:tcBorders>
            <w:vAlign w:val="bottom"/>
          </w:tcPr>
          <w:p w14:paraId="03EC9EC9" w14:textId="77777777" w:rsidR="00EC0AED" w:rsidRPr="00AE4E8D" w:rsidRDefault="00EC0AED" w:rsidP="002A71B8">
            <w:pPr>
              <w:ind w:right="-106"/>
              <w:jc w:val="right"/>
              <w:rPr>
                <w:rFonts w:ascii="Times New Roman" w:hAnsi="Times New Roman"/>
                <w:color w:val="000000"/>
                <w:sz w:val="16"/>
                <w:lang w:val="es-ES"/>
              </w:rPr>
            </w:pPr>
            <w:r w:rsidRPr="00AE4E8D">
              <w:rPr>
                <w:rFonts w:ascii="Times New Roman" w:hAnsi="Times New Roman"/>
                <w:color w:val="000000"/>
                <w:sz w:val="16"/>
                <w:lang w:val="es-ES"/>
              </w:rPr>
              <w:t>1.617.474</w:t>
            </w:r>
          </w:p>
        </w:tc>
        <w:tc>
          <w:tcPr>
            <w:tcW w:w="166" w:type="pct"/>
            <w:gridSpan w:val="2"/>
            <w:tcBorders>
              <w:top w:val="nil"/>
              <w:left w:val="nil"/>
              <w:bottom w:val="nil"/>
              <w:right w:val="nil"/>
            </w:tcBorders>
            <w:noWrap/>
            <w:vAlign w:val="bottom"/>
          </w:tcPr>
          <w:p w14:paraId="279427DD" w14:textId="77777777" w:rsidR="00EC0AED" w:rsidRPr="00AE4E8D" w:rsidRDefault="00EC0AED" w:rsidP="002A71B8">
            <w:pPr>
              <w:rPr>
                <w:rFonts w:ascii="Times New Roman" w:hAnsi="Times New Roman"/>
                <w:color w:val="000000"/>
                <w:sz w:val="16"/>
                <w:lang w:val="es-ES"/>
              </w:rPr>
            </w:pPr>
          </w:p>
        </w:tc>
        <w:tc>
          <w:tcPr>
            <w:tcW w:w="430" w:type="pct"/>
            <w:tcBorders>
              <w:top w:val="nil"/>
              <w:left w:val="nil"/>
              <w:bottom w:val="nil"/>
              <w:right w:val="nil"/>
            </w:tcBorders>
            <w:vAlign w:val="bottom"/>
          </w:tcPr>
          <w:p w14:paraId="79CA0E84" w14:textId="77777777" w:rsidR="00EC0AED" w:rsidRPr="00AE4E8D" w:rsidRDefault="00EC0AED" w:rsidP="002A71B8">
            <w:pPr>
              <w:jc w:val="right"/>
              <w:rPr>
                <w:rFonts w:ascii="Times New Roman" w:hAnsi="Times New Roman"/>
                <w:color w:val="000000"/>
                <w:sz w:val="16"/>
                <w:lang w:val="es-ES"/>
              </w:rPr>
            </w:pPr>
            <w:r w:rsidRPr="00AE4E8D">
              <w:rPr>
                <w:rFonts w:ascii="Times New Roman" w:hAnsi="Times New Roman"/>
                <w:color w:val="000000"/>
                <w:sz w:val="16"/>
                <w:lang w:val="es-ES"/>
              </w:rPr>
              <w:t>97.447</w:t>
            </w:r>
          </w:p>
        </w:tc>
      </w:tr>
      <w:tr w:rsidR="00EC0AED" w:rsidRPr="00AE4E8D" w14:paraId="7AC39FED" w14:textId="77777777" w:rsidTr="00AE4E8D">
        <w:trPr>
          <w:trHeight w:val="315"/>
          <w:jc w:val="center"/>
        </w:trPr>
        <w:tc>
          <w:tcPr>
            <w:tcW w:w="1528" w:type="pct"/>
            <w:tcBorders>
              <w:top w:val="nil"/>
              <w:left w:val="nil"/>
              <w:bottom w:val="nil"/>
              <w:right w:val="nil"/>
            </w:tcBorders>
            <w:noWrap/>
            <w:vAlign w:val="bottom"/>
          </w:tcPr>
          <w:p w14:paraId="10B50125" w14:textId="77777777" w:rsidR="00EC0AED" w:rsidRPr="00AE4E8D" w:rsidRDefault="00EC0AED" w:rsidP="002A71B8">
            <w:pPr>
              <w:tabs>
                <w:tab w:val="left" w:leader="dot" w:pos="2530"/>
              </w:tabs>
              <w:ind w:firstLineChars="200" w:firstLine="320"/>
              <w:rPr>
                <w:rFonts w:ascii="Times New Roman" w:hAnsi="Times New Roman"/>
                <w:color w:val="000000"/>
                <w:sz w:val="16"/>
                <w:lang w:val="es-ES"/>
              </w:rPr>
            </w:pPr>
            <w:r w:rsidRPr="00AE4E8D">
              <w:rPr>
                <w:rFonts w:ascii="Times New Roman" w:hAnsi="Times New Roman"/>
                <w:color w:val="000000"/>
                <w:sz w:val="16"/>
                <w:lang w:val="es-ES"/>
              </w:rPr>
              <w:t xml:space="preserve">Otros </w:t>
            </w:r>
            <w:r w:rsidRPr="00AE4E8D">
              <w:rPr>
                <w:rFonts w:ascii="Times New Roman" w:hAnsi="Times New Roman"/>
                <w:lang w:val="es-ES"/>
              </w:rPr>
              <w:tab/>
            </w:r>
          </w:p>
        </w:tc>
        <w:tc>
          <w:tcPr>
            <w:tcW w:w="469" w:type="pct"/>
            <w:tcBorders>
              <w:top w:val="nil"/>
              <w:left w:val="nil"/>
              <w:bottom w:val="single" w:sz="8" w:space="0" w:color="auto"/>
              <w:right w:val="nil"/>
            </w:tcBorders>
            <w:vAlign w:val="bottom"/>
          </w:tcPr>
          <w:p w14:paraId="0AF9A357" w14:textId="77777777" w:rsidR="00EC0AED" w:rsidRPr="00AE4E8D" w:rsidRDefault="00EC0AED">
            <w:pPr>
              <w:ind w:right="-93"/>
              <w:jc w:val="right"/>
              <w:rPr>
                <w:rFonts w:ascii="Times New Roman" w:hAnsi="Times New Roman"/>
                <w:color w:val="000000"/>
                <w:sz w:val="16"/>
                <w:lang w:val="es-ES"/>
              </w:rPr>
            </w:pPr>
            <w:r w:rsidRPr="00AE4E8D">
              <w:rPr>
                <w:rFonts w:ascii="Times New Roman" w:hAnsi="Times New Roman"/>
                <w:color w:val="000000"/>
                <w:sz w:val="16"/>
                <w:lang w:val="es-ES"/>
              </w:rPr>
              <w:t>883.682</w:t>
            </w:r>
          </w:p>
        </w:tc>
        <w:tc>
          <w:tcPr>
            <w:tcW w:w="124" w:type="pct"/>
            <w:tcBorders>
              <w:top w:val="nil"/>
              <w:left w:val="nil"/>
              <w:bottom w:val="single" w:sz="8" w:space="0" w:color="auto"/>
              <w:right w:val="nil"/>
            </w:tcBorders>
          </w:tcPr>
          <w:p w14:paraId="25FBEB3E" w14:textId="77777777" w:rsidR="00EC0AED" w:rsidRPr="00AE4E8D" w:rsidRDefault="00EC0AED" w:rsidP="002A71B8">
            <w:pPr>
              <w:ind w:right="-93"/>
              <w:jc w:val="right"/>
              <w:rPr>
                <w:rFonts w:ascii="Times New Roman" w:hAnsi="Times New Roman"/>
                <w:color w:val="000000"/>
                <w:sz w:val="16"/>
                <w:lang w:val="es-ES"/>
              </w:rPr>
            </w:pPr>
          </w:p>
        </w:tc>
        <w:tc>
          <w:tcPr>
            <w:tcW w:w="469" w:type="pct"/>
            <w:tcBorders>
              <w:top w:val="nil"/>
              <w:left w:val="nil"/>
              <w:bottom w:val="single" w:sz="8" w:space="0" w:color="auto"/>
              <w:right w:val="nil"/>
            </w:tcBorders>
            <w:noWrap/>
            <w:vAlign w:val="bottom"/>
          </w:tcPr>
          <w:p w14:paraId="4C7C6A90" w14:textId="77777777" w:rsidR="00EC0AED" w:rsidRPr="00AE4E8D" w:rsidRDefault="00EC0AED" w:rsidP="002A71B8">
            <w:pPr>
              <w:ind w:right="-93"/>
              <w:jc w:val="right"/>
              <w:rPr>
                <w:rFonts w:ascii="Times New Roman" w:hAnsi="Times New Roman"/>
                <w:color w:val="000000"/>
                <w:sz w:val="16"/>
                <w:lang w:val="es-ES"/>
              </w:rPr>
            </w:pPr>
            <w:r w:rsidRPr="00AE4E8D">
              <w:rPr>
                <w:rFonts w:ascii="Times New Roman" w:hAnsi="Times New Roman"/>
                <w:color w:val="000000"/>
                <w:sz w:val="16"/>
                <w:lang w:val="es-ES"/>
              </w:rPr>
              <w:t>181.475</w:t>
            </w:r>
          </w:p>
        </w:tc>
        <w:tc>
          <w:tcPr>
            <w:tcW w:w="124" w:type="pct"/>
            <w:tcBorders>
              <w:top w:val="nil"/>
              <w:left w:val="nil"/>
              <w:bottom w:val="nil"/>
              <w:right w:val="nil"/>
            </w:tcBorders>
            <w:noWrap/>
            <w:vAlign w:val="bottom"/>
          </w:tcPr>
          <w:p w14:paraId="5C10E343" w14:textId="77777777" w:rsidR="00EC0AED" w:rsidRPr="00AE4E8D" w:rsidRDefault="00EC0AED" w:rsidP="002A71B8">
            <w:pPr>
              <w:rPr>
                <w:rFonts w:ascii="Times New Roman" w:hAnsi="Times New Roman"/>
                <w:color w:val="000000"/>
                <w:sz w:val="16"/>
                <w:lang w:val="es-ES"/>
              </w:rPr>
            </w:pPr>
          </w:p>
        </w:tc>
        <w:tc>
          <w:tcPr>
            <w:tcW w:w="521" w:type="pct"/>
            <w:tcBorders>
              <w:top w:val="nil"/>
              <w:left w:val="nil"/>
              <w:bottom w:val="single" w:sz="8" w:space="0" w:color="auto"/>
              <w:right w:val="nil"/>
            </w:tcBorders>
            <w:noWrap/>
            <w:vAlign w:val="bottom"/>
          </w:tcPr>
          <w:p w14:paraId="0EEB7016" w14:textId="77777777" w:rsidR="00EC0AED" w:rsidRPr="00AE4E8D" w:rsidRDefault="00EC0AED" w:rsidP="002A71B8">
            <w:pPr>
              <w:jc w:val="right"/>
              <w:rPr>
                <w:rFonts w:ascii="Times New Roman" w:hAnsi="Times New Roman"/>
                <w:color w:val="000000"/>
                <w:sz w:val="16"/>
                <w:lang w:val="es-ES"/>
              </w:rPr>
            </w:pPr>
            <w:r w:rsidRPr="00AE4E8D">
              <w:rPr>
                <w:rFonts w:ascii="Times New Roman" w:hAnsi="Times New Roman"/>
                <w:color w:val="000000"/>
                <w:sz w:val="16"/>
                <w:lang w:val="es-ES"/>
              </w:rPr>
              <w:t>191.646</w:t>
            </w:r>
          </w:p>
        </w:tc>
        <w:tc>
          <w:tcPr>
            <w:tcW w:w="124" w:type="pct"/>
            <w:tcBorders>
              <w:top w:val="nil"/>
              <w:left w:val="nil"/>
              <w:bottom w:val="nil"/>
              <w:right w:val="nil"/>
            </w:tcBorders>
          </w:tcPr>
          <w:p w14:paraId="7937C14C" w14:textId="77777777" w:rsidR="00EC0AED" w:rsidRPr="00AE4E8D" w:rsidRDefault="00EC0AED" w:rsidP="002A71B8">
            <w:pPr>
              <w:rPr>
                <w:rFonts w:ascii="Times New Roman" w:hAnsi="Times New Roman"/>
                <w:color w:val="000000"/>
                <w:sz w:val="16"/>
                <w:lang w:val="es-ES"/>
              </w:rPr>
            </w:pPr>
          </w:p>
        </w:tc>
        <w:tc>
          <w:tcPr>
            <w:tcW w:w="462" w:type="pct"/>
            <w:tcBorders>
              <w:top w:val="nil"/>
              <w:left w:val="nil"/>
              <w:bottom w:val="single" w:sz="4" w:space="0" w:color="auto"/>
              <w:right w:val="nil"/>
            </w:tcBorders>
            <w:noWrap/>
            <w:vAlign w:val="bottom"/>
          </w:tcPr>
          <w:p w14:paraId="6AFF817C" w14:textId="77777777" w:rsidR="00EC0AED" w:rsidRPr="00AE4E8D" w:rsidRDefault="00EC0AED" w:rsidP="00EC0AED">
            <w:pPr>
              <w:ind w:right="-106"/>
              <w:jc w:val="right"/>
              <w:rPr>
                <w:rFonts w:ascii="Times New Roman" w:hAnsi="Times New Roman"/>
                <w:color w:val="000000"/>
                <w:sz w:val="16"/>
                <w:lang w:val="es-ES"/>
              </w:rPr>
            </w:pPr>
            <w:r w:rsidRPr="00AE4E8D">
              <w:rPr>
                <w:rFonts w:ascii="Times New Roman" w:hAnsi="Times New Roman"/>
                <w:color w:val="000000"/>
                <w:sz w:val="16"/>
                <w:lang w:val="es-ES"/>
              </w:rPr>
              <w:t>173.390</w:t>
            </w:r>
          </w:p>
        </w:tc>
        <w:tc>
          <w:tcPr>
            <w:tcW w:w="124" w:type="pct"/>
            <w:tcBorders>
              <w:top w:val="nil"/>
              <w:left w:val="nil"/>
              <w:right w:val="nil"/>
            </w:tcBorders>
          </w:tcPr>
          <w:p w14:paraId="67175C11" w14:textId="77777777" w:rsidR="00EC0AED" w:rsidRPr="00AE4E8D" w:rsidRDefault="00EC0AED" w:rsidP="002A71B8">
            <w:pPr>
              <w:ind w:right="-106"/>
              <w:jc w:val="right"/>
              <w:rPr>
                <w:rFonts w:ascii="Times New Roman" w:hAnsi="Times New Roman"/>
                <w:color w:val="000000"/>
                <w:sz w:val="16"/>
                <w:lang w:val="es-ES"/>
              </w:rPr>
            </w:pPr>
          </w:p>
        </w:tc>
        <w:tc>
          <w:tcPr>
            <w:tcW w:w="462" w:type="pct"/>
            <w:tcBorders>
              <w:top w:val="nil"/>
              <w:left w:val="nil"/>
              <w:bottom w:val="single" w:sz="8" w:space="0" w:color="auto"/>
              <w:right w:val="nil"/>
            </w:tcBorders>
            <w:vAlign w:val="bottom"/>
          </w:tcPr>
          <w:p w14:paraId="0633F948" w14:textId="77777777" w:rsidR="00EC0AED" w:rsidRPr="00AE4E8D" w:rsidRDefault="00EC0AED" w:rsidP="002A71B8">
            <w:pPr>
              <w:ind w:right="-106"/>
              <w:jc w:val="right"/>
              <w:rPr>
                <w:rFonts w:ascii="Times New Roman" w:hAnsi="Times New Roman"/>
                <w:color w:val="000000"/>
                <w:sz w:val="16"/>
                <w:lang w:val="es-ES"/>
              </w:rPr>
            </w:pPr>
            <w:r w:rsidRPr="00AE4E8D">
              <w:rPr>
                <w:rFonts w:ascii="Times New Roman" w:hAnsi="Times New Roman"/>
                <w:color w:val="000000"/>
                <w:sz w:val="16"/>
                <w:lang w:val="es-ES"/>
              </w:rPr>
              <w:t>132.060</w:t>
            </w:r>
          </w:p>
        </w:tc>
        <w:tc>
          <w:tcPr>
            <w:tcW w:w="166" w:type="pct"/>
            <w:gridSpan w:val="2"/>
            <w:tcBorders>
              <w:top w:val="nil"/>
              <w:left w:val="nil"/>
              <w:bottom w:val="nil"/>
              <w:right w:val="nil"/>
            </w:tcBorders>
            <w:noWrap/>
            <w:vAlign w:val="bottom"/>
          </w:tcPr>
          <w:p w14:paraId="12EEF15C" w14:textId="77777777" w:rsidR="00EC0AED" w:rsidRPr="00AE4E8D" w:rsidRDefault="00EC0AED" w:rsidP="002A71B8">
            <w:pPr>
              <w:rPr>
                <w:rFonts w:ascii="Times New Roman" w:hAnsi="Times New Roman"/>
                <w:color w:val="000000"/>
                <w:sz w:val="16"/>
                <w:lang w:val="es-ES"/>
              </w:rPr>
            </w:pPr>
          </w:p>
        </w:tc>
        <w:tc>
          <w:tcPr>
            <w:tcW w:w="430" w:type="pct"/>
            <w:tcBorders>
              <w:top w:val="nil"/>
              <w:left w:val="nil"/>
              <w:bottom w:val="single" w:sz="8" w:space="0" w:color="auto"/>
              <w:right w:val="nil"/>
            </w:tcBorders>
            <w:vAlign w:val="bottom"/>
          </w:tcPr>
          <w:p w14:paraId="73AE24B8" w14:textId="77777777" w:rsidR="00EC0AED" w:rsidRPr="00AE4E8D" w:rsidRDefault="00EC0AED" w:rsidP="002A71B8">
            <w:pPr>
              <w:jc w:val="right"/>
              <w:rPr>
                <w:rFonts w:ascii="Times New Roman" w:hAnsi="Times New Roman"/>
                <w:color w:val="000000"/>
                <w:sz w:val="16"/>
                <w:lang w:val="es-ES"/>
              </w:rPr>
            </w:pPr>
            <w:r w:rsidRPr="00AE4E8D">
              <w:rPr>
                <w:rFonts w:ascii="Times New Roman" w:hAnsi="Times New Roman"/>
                <w:color w:val="000000"/>
                <w:sz w:val="16"/>
                <w:lang w:val="es-ES"/>
              </w:rPr>
              <w:t>7.956</w:t>
            </w:r>
          </w:p>
        </w:tc>
      </w:tr>
      <w:tr w:rsidR="00EC0AED" w:rsidRPr="00AE4E8D" w14:paraId="37452310" w14:textId="77777777" w:rsidTr="00AE4E8D">
        <w:trPr>
          <w:trHeight w:val="255"/>
          <w:jc w:val="center"/>
        </w:trPr>
        <w:tc>
          <w:tcPr>
            <w:tcW w:w="1528" w:type="pct"/>
            <w:tcBorders>
              <w:top w:val="nil"/>
              <w:left w:val="nil"/>
              <w:bottom w:val="nil"/>
              <w:right w:val="nil"/>
            </w:tcBorders>
            <w:noWrap/>
            <w:vAlign w:val="bottom"/>
          </w:tcPr>
          <w:p w14:paraId="3DDB3551" w14:textId="77777777" w:rsidR="00EC0AED" w:rsidRPr="00AE4E8D" w:rsidRDefault="00EC0AED" w:rsidP="002A71B8">
            <w:pPr>
              <w:tabs>
                <w:tab w:val="left" w:leader="dot" w:pos="2530"/>
              </w:tabs>
              <w:rPr>
                <w:rFonts w:ascii="Times New Roman" w:hAnsi="Times New Roman"/>
                <w:color w:val="000000"/>
                <w:sz w:val="16"/>
                <w:lang w:val="es-ES"/>
              </w:rPr>
            </w:pPr>
            <w:r w:rsidRPr="00AE4E8D">
              <w:rPr>
                <w:rFonts w:ascii="Times New Roman" w:hAnsi="Times New Roman"/>
                <w:color w:val="000000"/>
                <w:sz w:val="16"/>
                <w:lang w:val="es-ES"/>
              </w:rPr>
              <w:t>Total Depósitos</w:t>
            </w:r>
            <w:r w:rsidRPr="00AE4E8D">
              <w:rPr>
                <w:rFonts w:ascii="Times New Roman" w:hAnsi="Times New Roman"/>
                <w:lang w:val="es-ES"/>
              </w:rPr>
              <w:tab/>
            </w:r>
            <w:r w:rsidRPr="00AE4E8D">
              <w:rPr>
                <w:rFonts w:ascii="Times New Roman" w:hAnsi="Times New Roman"/>
                <w:color w:val="000000"/>
                <w:sz w:val="16"/>
                <w:lang w:val="es-ES"/>
              </w:rPr>
              <w:t xml:space="preserve"> </w:t>
            </w:r>
          </w:p>
        </w:tc>
        <w:tc>
          <w:tcPr>
            <w:tcW w:w="469" w:type="pct"/>
            <w:tcBorders>
              <w:top w:val="nil"/>
              <w:left w:val="nil"/>
              <w:bottom w:val="nil"/>
              <w:right w:val="nil"/>
            </w:tcBorders>
            <w:vAlign w:val="bottom"/>
          </w:tcPr>
          <w:p w14:paraId="1D9945C3" w14:textId="77777777" w:rsidR="00EC0AED" w:rsidRPr="00AE4E8D" w:rsidRDefault="00EC0AED">
            <w:pPr>
              <w:ind w:right="-93"/>
              <w:jc w:val="right"/>
              <w:rPr>
                <w:rFonts w:ascii="Times New Roman" w:hAnsi="Times New Roman"/>
                <w:color w:val="000000"/>
                <w:sz w:val="16"/>
                <w:lang w:val="es-ES"/>
              </w:rPr>
            </w:pPr>
            <w:r w:rsidRPr="00AE4E8D">
              <w:rPr>
                <w:rFonts w:ascii="Times New Roman" w:hAnsi="Times New Roman"/>
                <w:color w:val="000000"/>
                <w:sz w:val="16"/>
                <w:lang w:val="es-ES"/>
              </w:rPr>
              <w:t>18.334.113</w:t>
            </w:r>
          </w:p>
        </w:tc>
        <w:tc>
          <w:tcPr>
            <w:tcW w:w="124" w:type="pct"/>
            <w:tcBorders>
              <w:top w:val="nil"/>
              <w:left w:val="nil"/>
              <w:bottom w:val="nil"/>
              <w:right w:val="nil"/>
            </w:tcBorders>
          </w:tcPr>
          <w:p w14:paraId="1C15FB72" w14:textId="77777777" w:rsidR="00EC0AED" w:rsidRPr="00AE4E8D" w:rsidRDefault="00EC0AED" w:rsidP="002A71B8">
            <w:pPr>
              <w:ind w:right="-93"/>
              <w:jc w:val="right"/>
              <w:rPr>
                <w:rFonts w:ascii="Times New Roman" w:hAnsi="Times New Roman"/>
                <w:color w:val="000000"/>
                <w:sz w:val="16"/>
                <w:lang w:val="es-ES"/>
              </w:rPr>
            </w:pPr>
          </w:p>
        </w:tc>
        <w:tc>
          <w:tcPr>
            <w:tcW w:w="469" w:type="pct"/>
            <w:tcBorders>
              <w:top w:val="nil"/>
              <w:left w:val="nil"/>
              <w:bottom w:val="nil"/>
              <w:right w:val="nil"/>
            </w:tcBorders>
            <w:noWrap/>
            <w:vAlign w:val="bottom"/>
          </w:tcPr>
          <w:p w14:paraId="125C0155" w14:textId="77777777" w:rsidR="00EC0AED" w:rsidRPr="00AE4E8D" w:rsidRDefault="00EC0AED" w:rsidP="002A71B8">
            <w:pPr>
              <w:ind w:right="-93"/>
              <w:jc w:val="right"/>
              <w:rPr>
                <w:rFonts w:ascii="Times New Roman" w:hAnsi="Times New Roman"/>
                <w:color w:val="000000"/>
                <w:sz w:val="16"/>
                <w:lang w:val="es-ES"/>
              </w:rPr>
            </w:pPr>
            <w:r w:rsidRPr="00AE4E8D">
              <w:rPr>
                <w:rFonts w:ascii="Times New Roman" w:hAnsi="Times New Roman"/>
                <w:color w:val="000000"/>
                <w:sz w:val="16"/>
                <w:lang w:val="es-ES"/>
              </w:rPr>
              <w:t>20.392.213</w:t>
            </w:r>
          </w:p>
        </w:tc>
        <w:tc>
          <w:tcPr>
            <w:tcW w:w="124" w:type="pct"/>
            <w:tcBorders>
              <w:top w:val="nil"/>
              <w:left w:val="nil"/>
              <w:bottom w:val="nil"/>
              <w:right w:val="nil"/>
            </w:tcBorders>
            <w:noWrap/>
            <w:vAlign w:val="bottom"/>
          </w:tcPr>
          <w:p w14:paraId="6EABE734" w14:textId="77777777" w:rsidR="00EC0AED" w:rsidRPr="00AE4E8D" w:rsidRDefault="00EC0AED" w:rsidP="002A71B8">
            <w:pPr>
              <w:rPr>
                <w:rFonts w:ascii="Times New Roman" w:hAnsi="Times New Roman"/>
                <w:color w:val="000000"/>
                <w:sz w:val="16"/>
                <w:lang w:val="es-ES"/>
              </w:rPr>
            </w:pPr>
          </w:p>
        </w:tc>
        <w:tc>
          <w:tcPr>
            <w:tcW w:w="521" w:type="pct"/>
            <w:tcBorders>
              <w:top w:val="nil"/>
              <w:left w:val="nil"/>
              <w:bottom w:val="nil"/>
              <w:right w:val="nil"/>
            </w:tcBorders>
            <w:noWrap/>
            <w:vAlign w:val="bottom"/>
          </w:tcPr>
          <w:p w14:paraId="53D1A11D" w14:textId="77777777" w:rsidR="00EC0AED" w:rsidRPr="00AE4E8D" w:rsidRDefault="00EC0AED" w:rsidP="002A71B8">
            <w:pPr>
              <w:jc w:val="right"/>
              <w:rPr>
                <w:rFonts w:ascii="Times New Roman" w:hAnsi="Times New Roman"/>
                <w:color w:val="000000"/>
                <w:sz w:val="16"/>
                <w:lang w:val="es-ES"/>
              </w:rPr>
            </w:pPr>
            <w:r w:rsidRPr="00AE4E8D">
              <w:rPr>
                <w:rFonts w:ascii="Times New Roman" w:hAnsi="Times New Roman"/>
                <w:color w:val="000000"/>
                <w:sz w:val="16"/>
                <w:lang w:val="es-ES"/>
              </w:rPr>
              <w:t>18.984.992</w:t>
            </w:r>
          </w:p>
        </w:tc>
        <w:tc>
          <w:tcPr>
            <w:tcW w:w="124" w:type="pct"/>
            <w:tcBorders>
              <w:top w:val="nil"/>
              <w:left w:val="nil"/>
              <w:bottom w:val="nil"/>
              <w:right w:val="nil"/>
            </w:tcBorders>
          </w:tcPr>
          <w:p w14:paraId="2C1EACAE" w14:textId="77777777" w:rsidR="00EC0AED" w:rsidRPr="00AE4E8D" w:rsidRDefault="00EC0AED" w:rsidP="002A71B8">
            <w:pPr>
              <w:rPr>
                <w:rFonts w:ascii="Times New Roman" w:hAnsi="Times New Roman"/>
                <w:color w:val="000000"/>
                <w:sz w:val="16"/>
                <w:lang w:val="es-ES"/>
              </w:rPr>
            </w:pPr>
          </w:p>
        </w:tc>
        <w:tc>
          <w:tcPr>
            <w:tcW w:w="462" w:type="pct"/>
            <w:tcBorders>
              <w:top w:val="single" w:sz="4" w:space="0" w:color="auto"/>
              <w:left w:val="nil"/>
              <w:bottom w:val="nil"/>
              <w:right w:val="nil"/>
            </w:tcBorders>
            <w:noWrap/>
            <w:vAlign w:val="bottom"/>
          </w:tcPr>
          <w:p w14:paraId="2FD34C34" w14:textId="77777777" w:rsidR="00EC0AED" w:rsidRPr="00AE4E8D" w:rsidRDefault="00EC0AED" w:rsidP="00EC0AED">
            <w:pPr>
              <w:ind w:right="-106"/>
              <w:jc w:val="right"/>
              <w:rPr>
                <w:rFonts w:ascii="Times New Roman" w:hAnsi="Times New Roman"/>
                <w:color w:val="000000"/>
                <w:sz w:val="16"/>
                <w:lang w:val="es-ES"/>
              </w:rPr>
            </w:pPr>
            <w:r w:rsidRPr="00AE4E8D">
              <w:rPr>
                <w:rFonts w:ascii="Times New Roman" w:hAnsi="Times New Roman"/>
                <w:color w:val="000000"/>
                <w:sz w:val="16"/>
                <w:lang w:val="es-ES"/>
              </w:rPr>
              <w:t>17.793.533</w:t>
            </w:r>
          </w:p>
        </w:tc>
        <w:tc>
          <w:tcPr>
            <w:tcW w:w="124" w:type="pct"/>
            <w:tcBorders>
              <w:top w:val="nil"/>
              <w:left w:val="nil"/>
              <w:bottom w:val="nil"/>
              <w:right w:val="nil"/>
            </w:tcBorders>
          </w:tcPr>
          <w:p w14:paraId="581F3B2F" w14:textId="77777777" w:rsidR="00EC0AED" w:rsidRPr="00AE4E8D" w:rsidRDefault="00EC0AED" w:rsidP="002A71B8">
            <w:pPr>
              <w:ind w:right="-106"/>
              <w:jc w:val="right"/>
              <w:rPr>
                <w:rFonts w:ascii="Times New Roman" w:hAnsi="Times New Roman"/>
                <w:color w:val="000000"/>
                <w:sz w:val="16"/>
                <w:lang w:val="es-ES"/>
              </w:rPr>
            </w:pPr>
          </w:p>
        </w:tc>
        <w:tc>
          <w:tcPr>
            <w:tcW w:w="462" w:type="pct"/>
            <w:tcBorders>
              <w:top w:val="nil"/>
              <w:left w:val="nil"/>
              <w:bottom w:val="nil"/>
              <w:right w:val="nil"/>
            </w:tcBorders>
            <w:vAlign w:val="bottom"/>
          </w:tcPr>
          <w:p w14:paraId="412E612D" w14:textId="77777777" w:rsidR="00EC0AED" w:rsidRPr="00AE4E8D" w:rsidRDefault="00EC0AED" w:rsidP="002A71B8">
            <w:pPr>
              <w:ind w:right="-106"/>
              <w:jc w:val="right"/>
              <w:rPr>
                <w:rFonts w:ascii="Times New Roman" w:hAnsi="Times New Roman"/>
                <w:color w:val="000000"/>
                <w:sz w:val="16"/>
                <w:lang w:val="es-ES"/>
              </w:rPr>
            </w:pPr>
            <w:r w:rsidRPr="00AE4E8D">
              <w:rPr>
                <w:rFonts w:ascii="Times New Roman" w:hAnsi="Times New Roman"/>
                <w:color w:val="000000"/>
                <w:sz w:val="16"/>
                <w:lang w:val="es-ES"/>
              </w:rPr>
              <w:t>19.882.975</w:t>
            </w:r>
          </w:p>
        </w:tc>
        <w:tc>
          <w:tcPr>
            <w:tcW w:w="166" w:type="pct"/>
            <w:gridSpan w:val="2"/>
            <w:tcBorders>
              <w:top w:val="nil"/>
              <w:left w:val="nil"/>
              <w:bottom w:val="nil"/>
              <w:right w:val="nil"/>
            </w:tcBorders>
            <w:noWrap/>
            <w:vAlign w:val="bottom"/>
          </w:tcPr>
          <w:p w14:paraId="2B52D2CA" w14:textId="77777777" w:rsidR="00EC0AED" w:rsidRPr="00AE4E8D" w:rsidRDefault="00EC0AED" w:rsidP="002A71B8">
            <w:pPr>
              <w:rPr>
                <w:rFonts w:ascii="Times New Roman" w:hAnsi="Times New Roman"/>
                <w:color w:val="000000"/>
                <w:sz w:val="16"/>
                <w:lang w:val="es-ES"/>
              </w:rPr>
            </w:pPr>
          </w:p>
        </w:tc>
        <w:tc>
          <w:tcPr>
            <w:tcW w:w="430" w:type="pct"/>
            <w:tcBorders>
              <w:top w:val="nil"/>
              <w:left w:val="nil"/>
              <w:bottom w:val="nil"/>
              <w:right w:val="nil"/>
            </w:tcBorders>
            <w:vAlign w:val="bottom"/>
          </w:tcPr>
          <w:p w14:paraId="236D6840" w14:textId="77777777" w:rsidR="00EC0AED" w:rsidRPr="00AE4E8D" w:rsidRDefault="00EC0AED" w:rsidP="002A71B8">
            <w:pPr>
              <w:jc w:val="right"/>
              <w:rPr>
                <w:rFonts w:ascii="Times New Roman" w:hAnsi="Times New Roman"/>
                <w:color w:val="000000"/>
                <w:sz w:val="16"/>
                <w:szCs w:val="16"/>
                <w:lang w:val="es-ES"/>
              </w:rPr>
            </w:pPr>
            <w:r w:rsidRPr="00AE4E8D">
              <w:rPr>
                <w:rFonts w:ascii="Times New Roman" w:hAnsi="Times New Roman"/>
                <w:color w:val="000000"/>
                <w:sz w:val="16"/>
                <w:lang w:val="es-ES"/>
              </w:rPr>
              <w:t>1.197.878</w:t>
            </w:r>
          </w:p>
        </w:tc>
      </w:tr>
    </w:tbl>
    <w:p w14:paraId="725EDF0C" w14:textId="77777777" w:rsidR="001B3E41" w:rsidRPr="00AE4E8D" w:rsidRDefault="001B3E41" w:rsidP="001B3E41">
      <w:pPr>
        <w:autoSpaceDE w:val="0"/>
        <w:autoSpaceDN w:val="0"/>
        <w:adjustRightInd w:val="0"/>
        <w:jc w:val="both"/>
        <w:rPr>
          <w:rFonts w:ascii="Times New Roman" w:hAnsi="Times New Roman"/>
          <w:sz w:val="16"/>
          <w:szCs w:val="16"/>
          <w:lang w:val="es-ES" w:eastAsia="es-AR"/>
        </w:rPr>
      </w:pPr>
    </w:p>
    <w:p w14:paraId="3C9FBF14" w14:textId="77777777" w:rsidR="001B3E41" w:rsidRPr="00AE4E8D" w:rsidRDefault="001B3E41" w:rsidP="001B3E41">
      <w:pPr>
        <w:autoSpaceDE w:val="0"/>
        <w:autoSpaceDN w:val="0"/>
        <w:adjustRightInd w:val="0"/>
        <w:jc w:val="both"/>
        <w:rPr>
          <w:rFonts w:ascii="Times New Roman" w:hAnsi="Times New Roman"/>
          <w:sz w:val="16"/>
          <w:szCs w:val="16"/>
          <w:lang w:val="es-ES" w:eastAsia="es-AR"/>
        </w:rPr>
      </w:pPr>
      <w:r w:rsidRPr="00AE4E8D">
        <w:rPr>
          <w:rFonts w:ascii="Times New Roman" w:hAnsi="Times New Roman"/>
          <w:sz w:val="16"/>
          <w:szCs w:val="16"/>
          <w:lang w:val="es-ES" w:eastAsia="es-AR"/>
        </w:rPr>
        <w:t>(*) Fuente: información interna del Banco y sus subsidiarias.</w:t>
      </w:r>
    </w:p>
    <w:p w14:paraId="57723583" w14:textId="77777777" w:rsidR="001B3E41" w:rsidRPr="00AE4E8D" w:rsidRDefault="001B3E41" w:rsidP="001B3E41">
      <w:pPr>
        <w:autoSpaceDE w:val="0"/>
        <w:autoSpaceDN w:val="0"/>
        <w:adjustRightInd w:val="0"/>
        <w:jc w:val="both"/>
        <w:rPr>
          <w:rFonts w:ascii="Times New Roman" w:hAnsi="Times New Roman"/>
          <w:sz w:val="16"/>
          <w:lang w:val="es-ES" w:eastAsia="es-AR"/>
        </w:rPr>
      </w:pPr>
      <w:r w:rsidRPr="00AE4E8D">
        <w:rPr>
          <w:rFonts w:ascii="Times New Roman" w:hAnsi="Times New Roman"/>
          <w:sz w:val="16"/>
          <w:lang w:val="es-ES" w:eastAsia="es-AR"/>
        </w:rPr>
        <w:t>(1)</w:t>
      </w:r>
      <w:r w:rsidRPr="00AE4E8D">
        <w:rPr>
          <w:rFonts w:ascii="Times New Roman" w:hAnsi="Times New Roman"/>
          <w:sz w:val="16"/>
          <w:vertAlign w:val="superscript"/>
          <w:lang w:val="es-ES" w:eastAsia="es-AR"/>
        </w:rPr>
        <w:t xml:space="preserve"> </w:t>
      </w:r>
      <w:r w:rsidRPr="00AE4E8D">
        <w:rPr>
          <w:rFonts w:ascii="Times New Roman" w:hAnsi="Times New Roman"/>
          <w:sz w:val="16"/>
          <w:lang w:val="es-ES" w:eastAsia="es-AR"/>
        </w:rPr>
        <w:t>El tipo de cambio utilizado a los fines de la conversión de los saldos al 30 de junio de 2017 fue Ps.16</w:t>
      </w:r>
      <w:proofErr w:type="gramStart"/>
      <w:r w:rsidRPr="00AE4E8D">
        <w:rPr>
          <w:rFonts w:ascii="Times New Roman" w:hAnsi="Times New Roman"/>
          <w:sz w:val="16"/>
          <w:lang w:val="es-ES" w:eastAsia="es-AR"/>
        </w:rPr>
        <w:t>,5985</w:t>
      </w:r>
      <w:proofErr w:type="gramEnd"/>
      <w:r w:rsidRPr="00AE4E8D">
        <w:rPr>
          <w:rFonts w:ascii="Times New Roman" w:hAnsi="Times New Roman"/>
          <w:sz w:val="16"/>
          <w:lang w:val="es-ES" w:eastAsia="es-AR"/>
        </w:rPr>
        <w:t>=US$1,00.</w:t>
      </w:r>
      <w:r w:rsidRPr="00AE4E8D">
        <w:rPr>
          <w:rStyle w:val="Refdenotaalpie"/>
          <w:rFonts w:ascii="Times New Roman" w:hAnsi="Times New Roman"/>
          <w:sz w:val="16"/>
          <w:lang w:val="es-ES" w:eastAsia="es-AR"/>
        </w:rPr>
        <w:footnoteReference w:id="14"/>
      </w:r>
      <w:r w:rsidRPr="00AE4E8D">
        <w:rPr>
          <w:rFonts w:ascii="Times New Roman" w:hAnsi="Times New Roman"/>
          <w:sz w:val="16"/>
          <w:lang w:val="es-ES" w:eastAsia="es-AR"/>
        </w:rPr>
        <w:t xml:space="preserve"> </w:t>
      </w:r>
    </w:p>
    <w:p w14:paraId="537BB4DC" w14:textId="77777777" w:rsidR="001B3E41" w:rsidRPr="00AE4E8D" w:rsidRDefault="001B3E41" w:rsidP="001B3E41">
      <w:pPr>
        <w:autoSpaceDE w:val="0"/>
        <w:autoSpaceDN w:val="0"/>
        <w:adjustRightInd w:val="0"/>
        <w:jc w:val="both"/>
        <w:rPr>
          <w:rFonts w:ascii="Times New Roman" w:hAnsi="Times New Roman"/>
          <w:sz w:val="16"/>
          <w:lang w:val="es-ES" w:eastAsia="es-AR"/>
        </w:rPr>
      </w:pPr>
    </w:p>
    <w:p w14:paraId="4BD646B2" w14:textId="77777777" w:rsidR="001B3E41" w:rsidRPr="00AE4E8D" w:rsidRDefault="001B3E41" w:rsidP="001B3E41">
      <w:pPr>
        <w:autoSpaceDE w:val="0"/>
        <w:autoSpaceDN w:val="0"/>
        <w:adjustRightInd w:val="0"/>
        <w:jc w:val="both"/>
        <w:rPr>
          <w:rFonts w:ascii="Times New Roman" w:hAnsi="Times New Roman"/>
          <w:sz w:val="16"/>
          <w:lang w:val="es-ES" w:eastAsia="es-AR"/>
        </w:rPr>
      </w:pPr>
      <w:r w:rsidRPr="00AE4E8D">
        <w:rPr>
          <w:rStyle w:val="Refdenotaalpie"/>
          <w:rFonts w:ascii="Times New Roman" w:hAnsi="Times New Roman"/>
          <w:lang w:val="es-ES"/>
        </w:rPr>
        <w:footnoteRef/>
      </w:r>
      <w:r w:rsidRPr="00AE4E8D">
        <w:rPr>
          <w:rFonts w:ascii="Times New Roman" w:hAnsi="Times New Roman"/>
          <w:lang w:val="es-ES"/>
        </w:rPr>
        <w:t xml:space="preserve"> </w:t>
      </w:r>
      <w:r w:rsidRPr="00AE4E8D">
        <w:rPr>
          <w:rFonts w:ascii="Times New Roman" w:hAnsi="Times New Roman"/>
          <w:sz w:val="16"/>
          <w:lang w:val="es-ES" w:eastAsia="es-AR"/>
        </w:rPr>
        <w:t>Fuente: BCRA.</w:t>
      </w:r>
    </w:p>
    <w:p w14:paraId="7662EE48" w14:textId="77777777" w:rsidR="001B3E41" w:rsidRPr="00AE4E8D" w:rsidRDefault="001B3E41" w:rsidP="001B3E41">
      <w:pPr>
        <w:autoSpaceDE w:val="0"/>
        <w:autoSpaceDN w:val="0"/>
        <w:adjustRightInd w:val="0"/>
        <w:jc w:val="both"/>
        <w:rPr>
          <w:rFonts w:ascii="Times New Roman" w:hAnsi="Times New Roman"/>
          <w:sz w:val="16"/>
          <w:lang w:val="es-ES" w:eastAsia="es-AR"/>
        </w:rPr>
      </w:pPr>
    </w:p>
    <w:p w14:paraId="4C5C3545" w14:textId="77777777" w:rsidR="001B3E41" w:rsidRPr="00AE4E8D" w:rsidRDefault="001B3E41" w:rsidP="001B3E41">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Obligaciones Negociables</w:t>
      </w:r>
    </w:p>
    <w:p w14:paraId="08746E50" w14:textId="77777777" w:rsidR="001B3E41" w:rsidRPr="00AE4E8D" w:rsidRDefault="001B3E41" w:rsidP="001B3E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establece la fecha de emisión, la fecha de vencimiento, la tasa de interés y los montos pendientes de pago de las obligaciones negociables que hemos emitido tanto nosotros como nuestras subsidiarias al 30 de junio de 2017:</w:t>
      </w:r>
    </w:p>
    <w:tbl>
      <w:tblPr>
        <w:tblW w:w="5000" w:type="pct"/>
        <w:jc w:val="center"/>
        <w:tblLook w:val="00A0" w:firstRow="1" w:lastRow="0" w:firstColumn="1" w:lastColumn="0" w:noHBand="0" w:noVBand="0"/>
      </w:tblPr>
      <w:tblGrid>
        <w:gridCol w:w="3091"/>
        <w:gridCol w:w="1315"/>
        <w:gridCol w:w="1315"/>
        <w:gridCol w:w="1814"/>
        <w:gridCol w:w="1186"/>
      </w:tblGrid>
      <w:tr w:rsidR="001B3E41" w:rsidRPr="00AE4E8D" w14:paraId="1D59AB7A" w14:textId="77777777" w:rsidTr="000400C8">
        <w:trPr>
          <w:trHeight w:val="300"/>
          <w:tblHeader/>
          <w:jc w:val="center"/>
        </w:trPr>
        <w:tc>
          <w:tcPr>
            <w:tcW w:w="1772" w:type="pct"/>
            <w:noWrap/>
            <w:vAlign w:val="bottom"/>
          </w:tcPr>
          <w:p w14:paraId="75B8A928" w14:textId="77777777" w:rsidR="001B3E41" w:rsidRPr="00AE4E8D" w:rsidRDefault="001B3E41" w:rsidP="005370B2">
            <w:pPr>
              <w:keepNext/>
              <w:keepLines/>
              <w:rPr>
                <w:rFonts w:ascii="Times New Roman" w:hAnsi="Times New Roman"/>
                <w:sz w:val="16"/>
                <w:szCs w:val="16"/>
                <w:lang w:val="es-ES"/>
              </w:rPr>
            </w:pPr>
          </w:p>
        </w:tc>
        <w:tc>
          <w:tcPr>
            <w:tcW w:w="3228" w:type="pct"/>
            <w:gridSpan w:val="4"/>
            <w:tcBorders>
              <w:top w:val="nil"/>
              <w:left w:val="nil"/>
              <w:bottom w:val="single" w:sz="4" w:space="0" w:color="auto"/>
              <w:right w:val="nil"/>
            </w:tcBorders>
            <w:vAlign w:val="bottom"/>
          </w:tcPr>
          <w:p w14:paraId="483E6947" w14:textId="77777777" w:rsidR="001B3E41" w:rsidRPr="00AE4E8D" w:rsidRDefault="001B3E41" w:rsidP="005370B2">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Al 30 de junio de 2017</w:t>
            </w:r>
          </w:p>
        </w:tc>
      </w:tr>
      <w:tr w:rsidR="001B3E41" w:rsidRPr="00AE4E8D" w14:paraId="2F721C4B" w14:textId="77777777" w:rsidTr="000400C8">
        <w:trPr>
          <w:trHeight w:val="630"/>
          <w:tblHeader/>
          <w:jc w:val="center"/>
        </w:trPr>
        <w:tc>
          <w:tcPr>
            <w:tcW w:w="1772" w:type="pct"/>
            <w:noWrap/>
            <w:vAlign w:val="bottom"/>
          </w:tcPr>
          <w:p w14:paraId="14142344" w14:textId="77777777" w:rsidR="001B3E41" w:rsidRPr="00AE4E8D" w:rsidRDefault="001B3E41" w:rsidP="005370B2">
            <w:pPr>
              <w:keepNext/>
              <w:keepLines/>
              <w:rPr>
                <w:rFonts w:ascii="Times New Roman" w:hAnsi="Times New Roman"/>
                <w:sz w:val="16"/>
                <w:szCs w:val="16"/>
                <w:lang w:val="es-ES"/>
              </w:rPr>
            </w:pPr>
          </w:p>
        </w:tc>
        <w:tc>
          <w:tcPr>
            <w:tcW w:w="754" w:type="pct"/>
            <w:tcBorders>
              <w:top w:val="nil"/>
              <w:left w:val="nil"/>
              <w:bottom w:val="single" w:sz="4" w:space="0" w:color="auto"/>
              <w:right w:val="nil"/>
            </w:tcBorders>
            <w:vAlign w:val="center"/>
          </w:tcPr>
          <w:p w14:paraId="6399A72A" w14:textId="77777777" w:rsidR="001B3E41" w:rsidRPr="00AE4E8D" w:rsidRDefault="001B3E41" w:rsidP="005370B2">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Fecha de Emisión</w:t>
            </w:r>
          </w:p>
        </w:tc>
        <w:tc>
          <w:tcPr>
            <w:tcW w:w="754" w:type="pct"/>
            <w:tcBorders>
              <w:top w:val="nil"/>
              <w:left w:val="nil"/>
              <w:bottom w:val="single" w:sz="4" w:space="0" w:color="auto"/>
              <w:right w:val="nil"/>
            </w:tcBorders>
            <w:vAlign w:val="center"/>
          </w:tcPr>
          <w:p w14:paraId="18AEF0B2" w14:textId="77777777" w:rsidR="001B3E41" w:rsidRPr="00AE4E8D" w:rsidRDefault="001B3E41" w:rsidP="005370B2">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Fecha de Vencimiento</w:t>
            </w:r>
          </w:p>
        </w:tc>
        <w:tc>
          <w:tcPr>
            <w:tcW w:w="1040" w:type="pct"/>
            <w:tcBorders>
              <w:top w:val="nil"/>
              <w:left w:val="nil"/>
              <w:bottom w:val="single" w:sz="4" w:space="0" w:color="auto"/>
              <w:right w:val="nil"/>
            </w:tcBorders>
            <w:vAlign w:val="center"/>
          </w:tcPr>
          <w:p w14:paraId="0A548880" w14:textId="77777777" w:rsidR="001B3E41" w:rsidRPr="00AE4E8D" w:rsidRDefault="001B3E41" w:rsidP="005370B2">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Tasa de Interés</w:t>
            </w:r>
          </w:p>
        </w:tc>
        <w:tc>
          <w:tcPr>
            <w:tcW w:w="679" w:type="pct"/>
            <w:tcBorders>
              <w:top w:val="nil"/>
              <w:left w:val="nil"/>
              <w:bottom w:val="single" w:sz="4" w:space="0" w:color="auto"/>
              <w:right w:val="nil"/>
            </w:tcBorders>
            <w:vAlign w:val="center"/>
          </w:tcPr>
          <w:p w14:paraId="680553F0" w14:textId="77777777" w:rsidR="001B3E41" w:rsidRPr="00AE4E8D" w:rsidRDefault="001B3E41" w:rsidP="005370B2">
            <w:pPr>
              <w:keepNext/>
              <w:keepLines/>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Monto de Capital en Circulación</w:t>
            </w:r>
          </w:p>
        </w:tc>
      </w:tr>
      <w:tr w:rsidR="001B3E41" w:rsidRPr="00AE4E8D" w14:paraId="4B392DE0" w14:textId="77777777" w:rsidTr="000400C8">
        <w:trPr>
          <w:trHeight w:val="300"/>
          <w:tblHeader/>
          <w:jc w:val="center"/>
        </w:trPr>
        <w:tc>
          <w:tcPr>
            <w:tcW w:w="1772" w:type="pct"/>
            <w:noWrap/>
            <w:vAlign w:val="bottom"/>
          </w:tcPr>
          <w:p w14:paraId="47B4379F" w14:textId="77777777" w:rsidR="001B3E41" w:rsidRPr="00AE4E8D" w:rsidRDefault="001B3E41" w:rsidP="005370B2">
            <w:pPr>
              <w:keepNext/>
              <w:keepLines/>
              <w:rPr>
                <w:rFonts w:ascii="Times New Roman" w:hAnsi="Times New Roman"/>
                <w:sz w:val="16"/>
                <w:szCs w:val="16"/>
                <w:lang w:val="es-ES"/>
              </w:rPr>
            </w:pPr>
          </w:p>
        </w:tc>
        <w:tc>
          <w:tcPr>
            <w:tcW w:w="3228" w:type="pct"/>
            <w:gridSpan w:val="4"/>
            <w:tcBorders>
              <w:top w:val="single" w:sz="4" w:space="0" w:color="auto"/>
              <w:left w:val="nil"/>
              <w:bottom w:val="nil"/>
              <w:right w:val="nil"/>
            </w:tcBorders>
            <w:vAlign w:val="bottom"/>
          </w:tcPr>
          <w:p w14:paraId="67C6A873"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(en millones de pesos)</w:t>
            </w:r>
          </w:p>
        </w:tc>
      </w:tr>
      <w:tr w:rsidR="001B3E41" w:rsidRPr="00AE4E8D" w14:paraId="12BCCEAD" w14:textId="77777777" w:rsidTr="000400C8">
        <w:trPr>
          <w:trHeight w:val="300"/>
          <w:jc w:val="center"/>
        </w:trPr>
        <w:tc>
          <w:tcPr>
            <w:tcW w:w="1772" w:type="pct"/>
            <w:vAlign w:val="bottom"/>
          </w:tcPr>
          <w:p w14:paraId="6BA1CC01"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b/>
                <w:bCs/>
                <w:color w:val="000000"/>
                <w:sz w:val="16"/>
                <w:szCs w:val="16"/>
                <w:lang w:val="es-ES"/>
              </w:rPr>
              <w:t xml:space="preserve">BH Programa </w:t>
            </w:r>
          </w:p>
        </w:tc>
        <w:tc>
          <w:tcPr>
            <w:tcW w:w="754" w:type="pct"/>
            <w:vAlign w:val="bottom"/>
          </w:tcPr>
          <w:p w14:paraId="391C3634" w14:textId="77777777" w:rsidR="001B3E41" w:rsidRPr="00AE4E8D" w:rsidRDefault="001B3E41" w:rsidP="005370B2">
            <w:pPr>
              <w:keepNext/>
              <w:keepLines/>
              <w:jc w:val="right"/>
              <w:rPr>
                <w:rFonts w:ascii="Times New Roman" w:hAnsi="Times New Roman"/>
                <w:color w:val="000000"/>
                <w:sz w:val="16"/>
                <w:szCs w:val="16"/>
                <w:lang w:val="es-ES"/>
              </w:rPr>
            </w:pPr>
          </w:p>
        </w:tc>
        <w:tc>
          <w:tcPr>
            <w:tcW w:w="754" w:type="pct"/>
            <w:vAlign w:val="bottom"/>
          </w:tcPr>
          <w:p w14:paraId="0A583BD7" w14:textId="77777777" w:rsidR="001B3E41" w:rsidRPr="00AE4E8D" w:rsidRDefault="001B3E41" w:rsidP="005370B2">
            <w:pPr>
              <w:keepNext/>
              <w:keepLines/>
              <w:jc w:val="right"/>
              <w:rPr>
                <w:rFonts w:ascii="Times New Roman" w:hAnsi="Times New Roman"/>
                <w:color w:val="000000"/>
                <w:sz w:val="16"/>
                <w:szCs w:val="16"/>
                <w:lang w:val="es-ES"/>
              </w:rPr>
            </w:pPr>
          </w:p>
        </w:tc>
        <w:tc>
          <w:tcPr>
            <w:tcW w:w="1040" w:type="pct"/>
            <w:vAlign w:val="bottom"/>
          </w:tcPr>
          <w:p w14:paraId="75FC5D80" w14:textId="77777777" w:rsidR="001B3E41" w:rsidRPr="00AE4E8D" w:rsidRDefault="001B3E41" w:rsidP="005370B2">
            <w:pPr>
              <w:keepNext/>
              <w:keepLines/>
              <w:jc w:val="center"/>
              <w:rPr>
                <w:rFonts w:ascii="Times New Roman" w:hAnsi="Times New Roman"/>
                <w:color w:val="000000"/>
                <w:sz w:val="16"/>
                <w:szCs w:val="16"/>
                <w:lang w:val="es-ES"/>
              </w:rPr>
            </w:pPr>
          </w:p>
        </w:tc>
        <w:tc>
          <w:tcPr>
            <w:tcW w:w="679" w:type="pct"/>
            <w:vAlign w:val="bottom"/>
          </w:tcPr>
          <w:p w14:paraId="6D9BF2C1" w14:textId="77777777" w:rsidR="001B3E41" w:rsidRPr="00AE4E8D" w:rsidRDefault="001B3E41" w:rsidP="005370B2">
            <w:pPr>
              <w:keepNext/>
              <w:keepLines/>
              <w:jc w:val="right"/>
              <w:rPr>
                <w:rFonts w:ascii="Times New Roman" w:hAnsi="Times New Roman"/>
                <w:color w:val="000000"/>
                <w:sz w:val="16"/>
                <w:szCs w:val="16"/>
                <w:lang w:val="es-ES"/>
              </w:rPr>
            </w:pPr>
          </w:p>
        </w:tc>
      </w:tr>
      <w:tr w:rsidR="001B3E41" w:rsidRPr="00AE4E8D" w14:paraId="140EF19C" w14:textId="77777777" w:rsidTr="000400C8">
        <w:trPr>
          <w:trHeight w:val="300"/>
          <w:jc w:val="center"/>
        </w:trPr>
        <w:tc>
          <w:tcPr>
            <w:tcW w:w="1772" w:type="pct"/>
            <w:vAlign w:val="bottom"/>
          </w:tcPr>
          <w:p w14:paraId="7051805C"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Serie XII (US$44.508.000) </w:t>
            </w:r>
          </w:p>
        </w:tc>
        <w:tc>
          <w:tcPr>
            <w:tcW w:w="754" w:type="pct"/>
            <w:vAlign w:val="bottom"/>
          </w:tcPr>
          <w:p w14:paraId="01B64E80"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14/08/2013</w:t>
            </w:r>
          </w:p>
        </w:tc>
        <w:tc>
          <w:tcPr>
            <w:tcW w:w="754" w:type="pct"/>
            <w:vAlign w:val="bottom"/>
          </w:tcPr>
          <w:p w14:paraId="49EE2864"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14/08/2017</w:t>
            </w:r>
          </w:p>
        </w:tc>
        <w:tc>
          <w:tcPr>
            <w:tcW w:w="1040" w:type="pct"/>
            <w:vAlign w:val="bottom"/>
          </w:tcPr>
          <w:p w14:paraId="50905E65"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3,95%</w:t>
            </w:r>
          </w:p>
        </w:tc>
        <w:tc>
          <w:tcPr>
            <w:tcW w:w="679" w:type="pct"/>
            <w:vAlign w:val="bottom"/>
          </w:tcPr>
          <w:p w14:paraId="4D821FE8"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489,4</w:t>
            </w:r>
          </w:p>
        </w:tc>
      </w:tr>
      <w:tr w:rsidR="001B3E41" w:rsidRPr="00AE4E8D" w14:paraId="1E99D11C" w14:textId="77777777" w:rsidTr="000400C8">
        <w:trPr>
          <w:trHeight w:val="300"/>
          <w:jc w:val="center"/>
        </w:trPr>
        <w:tc>
          <w:tcPr>
            <w:tcW w:w="1772" w:type="pct"/>
            <w:vAlign w:val="bottom"/>
          </w:tcPr>
          <w:p w14:paraId="1C57977C"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Serie XXIX (US$200.</w:t>
            </w:r>
          </w:p>
          <w:p w14:paraId="675B3128"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000.000) </w:t>
            </w:r>
          </w:p>
        </w:tc>
        <w:tc>
          <w:tcPr>
            <w:tcW w:w="754" w:type="pct"/>
            <w:vAlign w:val="bottom"/>
          </w:tcPr>
          <w:p w14:paraId="3079C5D1"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30/11/2015</w:t>
            </w:r>
          </w:p>
        </w:tc>
        <w:tc>
          <w:tcPr>
            <w:tcW w:w="754" w:type="pct"/>
            <w:vAlign w:val="bottom"/>
          </w:tcPr>
          <w:p w14:paraId="4AA6A72F"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30/11/2020</w:t>
            </w:r>
          </w:p>
        </w:tc>
        <w:tc>
          <w:tcPr>
            <w:tcW w:w="1040" w:type="pct"/>
            <w:vAlign w:val="bottom"/>
          </w:tcPr>
          <w:p w14:paraId="7668A21E"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9,75%</w:t>
            </w:r>
          </w:p>
        </w:tc>
        <w:tc>
          <w:tcPr>
            <w:tcW w:w="679" w:type="pct"/>
            <w:vAlign w:val="bottom"/>
          </w:tcPr>
          <w:p w14:paraId="27205641"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3.304,7</w:t>
            </w:r>
          </w:p>
        </w:tc>
      </w:tr>
      <w:tr w:rsidR="001B3E41" w:rsidRPr="00AE4E8D" w14:paraId="75646B65" w14:textId="77777777" w:rsidTr="000400C8">
        <w:trPr>
          <w:trHeight w:val="465"/>
          <w:jc w:val="center"/>
        </w:trPr>
        <w:tc>
          <w:tcPr>
            <w:tcW w:w="1772" w:type="pct"/>
            <w:vAlign w:val="bottom"/>
          </w:tcPr>
          <w:p w14:paraId="0DF7DC51"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Clase XXIX – Tramo II (US$150.000.000) </w:t>
            </w:r>
          </w:p>
        </w:tc>
        <w:tc>
          <w:tcPr>
            <w:tcW w:w="754" w:type="pct"/>
            <w:vAlign w:val="bottom"/>
          </w:tcPr>
          <w:p w14:paraId="78CBCB4A"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23/05/2016</w:t>
            </w:r>
          </w:p>
        </w:tc>
        <w:tc>
          <w:tcPr>
            <w:tcW w:w="754" w:type="pct"/>
            <w:vAlign w:val="bottom"/>
          </w:tcPr>
          <w:p w14:paraId="3D42DB1B"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30/11/2020</w:t>
            </w:r>
          </w:p>
        </w:tc>
        <w:tc>
          <w:tcPr>
            <w:tcW w:w="1040" w:type="pct"/>
            <w:vAlign w:val="bottom"/>
          </w:tcPr>
          <w:p w14:paraId="48DC7326"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9,75%</w:t>
            </w:r>
          </w:p>
        </w:tc>
        <w:tc>
          <w:tcPr>
            <w:tcW w:w="679" w:type="pct"/>
            <w:vAlign w:val="bottom"/>
          </w:tcPr>
          <w:p w14:paraId="4C3A5890"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2.489,8</w:t>
            </w:r>
          </w:p>
        </w:tc>
      </w:tr>
      <w:tr w:rsidR="001B3E41" w:rsidRPr="00AE4E8D" w14:paraId="03931CBE" w14:textId="77777777" w:rsidTr="000400C8">
        <w:trPr>
          <w:trHeight w:val="300"/>
          <w:jc w:val="center"/>
        </w:trPr>
        <w:tc>
          <w:tcPr>
            <w:tcW w:w="1772" w:type="pct"/>
            <w:vAlign w:val="bottom"/>
          </w:tcPr>
          <w:p w14:paraId="2878EECA"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Clase XXXI (US$14.730.000) </w:t>
            </w:r>
          </w:p>
        </w:tc>
        <w:tc>
          <w:tcPr>
            <w:tcW w:w="754" w:type="pct"/>
            <w:vAlign w:val="bottom"/>
          </w:tcPr>
          <w:p w14:paraId="426D80D7"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04/09/2015</w:t>
            </w:r>
          </w:p>
        </w:tc>
        <w:tc>
          <w:tcPr>
            <w:tcW w:w="754" w:type="pct"/>
            <w:vAlign w:val="bottom"/>
          </w:tcPr>
          <w:p w14:paraId="7DF4A08D"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04/09/2018</w:t>
            </w:r>
          </w:p>
        </w:tc>
        <w:tc>
          <w:tcPr>
            <w:tcW w:w="1040" w:type="pct"/>
            <w:vAlign w:val="bottom"/>
          </w:tcPr>
          <w:p w14:paraId="2CC0495E"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2,00%</w:t>
            </w:r>
          </w:p>
        </w:tc>
        <w:tc>
          <w:tcPr>
            <w:tcW w:w="679" w:type="pct"/>
            <w:vAlign w:val="bottom"/>
          </w:tcPr>
          <w:p w14:paraId="67CB76A2"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244,5</w:t>
            </w:r>
          </w:p>
        </w:tc>
      </w:tr>
      <w:tr w:rsidR="001B3E41" w:rsidRPr="00AE4E8D" w14:paraId="1D93B578" w14:textId="77777777" w:rsidTr="000400C8">
        <w:trPr>
          <w:trHeight w:val="300"/>
          <w:jc w:val="center"/>
        </w:trPr>
        <w:tc>
          <w:tcPr>
            <w:tcW w:w="1772" w:type="pct"/>
            <w:vAlign w:val="bottom"/>
          </w:tcPr>
          <w:p w14:paraId="3DC24A1D" w14:textId="77777777" w:rsidR="001B3E41" w:rsidRPr="00AE4E8D" w:rsidRDefault="001B3E41" w:rsidP="005370B2">
            <w:pPr>
              <w:keepNext/>
              <w:keepLines/>
              <w:rPr>
                <w:rFonts w:ascii="Times New Roman" w:hAnsi="Times New Roman"/>
                <w:sz w:val="16"/>
                <w:szCs w:val="16"/>
                <w:lang w:val="es-ES"/>
              </w:rPr>
            </w:pPr>
            <w:r w:rsidRPr="00AE4E8D">
              <w:rPr>
                <w:rFonts w:ascii="Times New Roman" w:hAnsi="Times New Roman"/>
                <w:color w:val="000000"/>
                <w:sz w:val="16"/>
                <w:szCs w:val="16"/>
                <w:lang w:val="es-ES"/>
              </w:rPr>
              <w:t xml:space="preserve">Clase XXXIV (Ps.264.030.000) </w:t>
            </w:r>
          </w:p>
        </w:tc>
        <w:tc>
          <w:tcPr>
            <w:tcW w:w="754" w:type="pct"/>
            <w:vAlign w:val="bottom"/>
          </w:tcPr>
          <w:p w14:paraId="61A21100"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10/02/2016</w:t>
            </w:r>
          </w:p>
        </w:tc>
        <w:tc>
          <w:tcPr>
            <w:tcW w:w="754" w:type="pct"/>
            <w:vAlign w:val="bottom"/>
          </w:tcPr>
          <w:p w14:paraId="21731E5E"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10/08/2017</w:t>
            </w:r>
          </w:p>
        </w:tc>
        <w:tc>
          <w:tcPr>
            <w:tcW w:w="1040" w:type="pct"/>
            <w:vAlign w:val="bottom"/>
          </w:tcPr>
          <w:p w14:paraId="5860CF2B" w14:textId="77777777" w:rsidR="001B3E41" w:rsidRPr="00AE4E8D" w:rsidRDefault="001B3E41" w:rsidP="005370B2">
            <w:pPr>
              <w:keepNext/>
              <w:keepLines/>
              <w:jc w:val="center"/>
              <w:rPr>
                <w:rFonts w:ascii="Times New Roman" w:hAnsi="Times New Roman"/>
                <w:sz w:val="16"/>
                <w:szCs w:val="16"/>
                <w:lang w:val="es-ES"/>
              </w:rPr>
            </w:pPr>
            <w:r w:rsidRPr="00AE4E8D">
              <w:rPr>
                <w:rFonts w:ascii="Times New Roman" w:hAnsi="Times New Roman"/>
                <w:color w:val="000000"/>
                <w:sz w:val="16"/>
                <w:szCs w:val="16"/>
                <w:lang w:val="es-ES"/>
              </w:rPr>
              <w:t>Badlar + 4,00%</w:t>
            </w:r>
          </w:p>
        </w:tc>
        <w:tc>
          <w:tcPr>
            <w:tcW w:w="679" w:type="pct"/>
            <w:vAlign w:val="bottom"/>
          </w:tcPr>
          <w:p w14:paraId="14F8885B"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264,0</w:t>
            </w:r>
          </w:p>
        </w:tc>
      </w:tr>
      <w:tr w:rsidR="001B3E41" w:rsidRPr="00AE4E8D" w14:paraId="166E20F1" w14:textId="77777777" w:rsidTr="000400C8">
        <w:trPr>
          <w:trHeight w:val="300"/>
          <w:jc w:val="center"/>
        </w:trPr>
        <w:tc>
          <w:tcPr>
            <w:tcW w:w="1772" w:type="pct"/>
            <w:vAlign w:val="bottom"/>
          </w:tcPr>
          <w:p w14:paraId="46A58F17" w14:textId="77777777" w:rsidR="001B3E41" w:rsidRPr="00AE4E8D" w:rsidRDefault="001B3E41" w:rsidP="005370B2">
            <w:pPr>
              <w:keepNext/>
              <w:keepLines/>
              <w:rPr>
                <w:rFonts w:ascii="Times New Roman" w:hAnsi="Times New Roman"/>
                <w:sz w:val="16"/>
                <w:szCs w:val="16"/>
                <w:lang w:val="es-ES"/>
              </w:rPr>
            </w:pPr>
            <w:r w:rsidRPr="00AE4E8D">
              <w:rPr>
                <w:rFonts w:ascii="Times New Roman" w:hAnsi="Times New Roman"/>
                <w:color w:val="000000"/>
                <w:sz w:val="16"/>
                <w:szCs w:val="16"/>
                <w:lang w:val="es-ES"/>
              </w:rPr>
              <w:t xml:space="preserve">Clase XXXV (Ps.235.970.000) </w:t>
            </w:r>
          </w:p>
        </w:tc>
        <w:tc>
          <w:tcPr>
            <w:tcW w:w="754" w:type="pct"/>
            <w:vAlign w:val="bottom"/>
          </w:tcPr>
          <w:p w14:paraId="586F3EAB"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10/02/2016</w:t>
            </w:r>
          </w:p>
        </w:tc>
        <w:tc>
          <w:tcPr>
            <w:tcW w:w="754" w:type="pct"/>
            <w:vAlign w:val="bottom"/>
          </w:tcPr>
          <w:p w14:paraId="3EC413BE"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10/02/2019</w:t>
            </w:r>
          </w:p>
        </w:tc>
        <w:tc>
          <w:tcPr>
            <w:tcW w:w="1040" w:type="pct"/>
            <w:vAlign w:val="bottom"/>
          </w:tcPr>
          <w:p w14:paraId="03362FE7" w14:textId="77777777" w:rsidR="001B3E41" w:rsidRPr="00AE4E8D" w:rsidRDefault="001B3E41" w:rsidP="005370B2">
            <w:pPr>
              <w:keepNext/>
              <w:keepLines/>
              <w:jc w:val="center"/>
              <w:rPr>
                <w:rFonts w:ascii="Times New Roman" w:hAnsi="Times New Roman"/>
                <w:sz w:val="16"/>
                <w:szCs w:val="16"/>
                <w:lang w:val="es-ES"/>
              </w:rPr>
            </w:pPr>
            <w:r w:rsidRPr="00AE4E8D">
              <w:rPr>
                <w:rFonts w:ascii="Times New Roman" w:hAnsi="Times New Roman"/>
                <w:color w:val="000000"/>
                <w:sz w:val="16"/>
                <w:szCs w:val="16"/>
                <w:lang w:val="es-ES"/>
              </w:rPr>
              <w:t>Badlar + 4,99%</w:t>
            </w:r>
          </w:p>
        </w:tc>
        <w:tc>
          <w:tcPr>
            <w:tcW w:w="679" w:type="pct"/>
            <w:vAlign w:val="bottom"/>
          </w:tcPr>
          <w:p w14:paraId="50D85628"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236,0</w:t>
            </w:r>
          </w:p>
        </w:tc>
      </w:tr>
      <w:tr w:rsidR="001B3E41" w:rsidRPr="00AE4E8D" w14:paraId="3F2B7994" w14:textId="77777777" w:rsidTr="000400C8">
        <w:trPr>
          <w:trHeight w:val="300"/>
          <w:jc w:val="center"/>
        </w:trPr>
        <w:tc>
          <w:tcPr>
            <w:tcW w:w="1772" w:type="pct"/>
            <w:vAlign w:val="bottom"/>
          </w:tcPr>
          <w:p w14:paraId="19F270F4" w14:textId="77777777" w:rsidR="001B3E41" w:rsidRPr="00AE4E8D" w:rsidRDefault="001B3E41" w:rsidP="005370B2">
            <w:pPr>
              <w:keepNext/>
              <w:keepLines/>
              <w:rPr>
                <w:rFonts w:ascii="Times New Roman" w:hAnsi="Times New Roman"/>
                <w:sz w:val="16"/>
                <w:szCs w:val="16"/>
                <w:lang w:val="es-ES"/>
              </w:rPr>
            </w:pPr>
            <w:r w:rsidRPr="00AE4E8D">
              <w:rPr>
                <w:rFonts w:ascii="Times New Roman" w:hAnsi="Times New Roman"/>
                <w:color w:val="000000"/>
                <w:sz w:val="16"/>
                <w:szCs w:val="16"/>
                <w:lang w:val="es-ES"/>
              </w:rPr>
              <w:t xml:space="preserve">Clase XXXVI (Ps.469.750.000) </w:t>
            </w:r>
          </w:p>
        </w:tc>
        <w:tc>
          <w:tcPr>
            <w:tcW w:w="754" w:type="pct"/>
            <w:vAlign w:val="bottom"/>
          </w:tcPr>
          <w:p w14:paraId="04E40B59"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18/05/2016</w:t>
            </w:r>
          </w:p>
        </w:tc>
        <w:tc>
          <w:tcPr>
            <w:tcW w:w="754" w:type="pct"/>
            <w:vAlign w:val="bottom"/>
          </w:tcPr>
          <w:p w14:paraId="3B940C7B"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18/11/2017</w:t>
            </w:r>
          </w:p>
        </w:tc>
        <w:tc>
          <w:tcPr>
            <w:tcW w:w="1040" w:type="pct"/>
            <w:vAlign w:val="bottom"/>
          </w:tcPr>
          <w:p w14:paraId="39AF9889" w14:textId="77777777" w:rsidR="001B3E41" w:rsidRPr="00AE4E8D" w:rsidRDefault="001B3E41" w:rsidP="005370B2">
            <w:pPr>
              <w:keepNext/>
              <w:keepLines/>
              <w:jc w:val="center"/>
              <w:rPr>
                <w:rFonts w:ascii="Times New Roman" w:hAnsi="Times New Roman"/>
                <w:sz w:val="16"/>
                <w:szCs w:val="16"/>
                <w:lang w:val="es-ES"/>
              </w:rPr>
            </w:pPr>
            <w:r w:rsidRPr="00AE4E8D">
              <w:rPr>
                <w:rFonts w:ascii="Times New Roman" w:hAnsi="Times New Roman"/>
                <w:color w:val="000000"/>
                <w:sz w:val="16"/>
                <w:szCs w:val="16"/>
                <w:lang w:val="es-ES"/>
              </w:rPr>
              <w:t>Badlar + 4,25%</w:t>
            </w:r>
          </w:p>
        </w:tc>
        <w:tc>
          <w:tcPr>
            <w:tcW w:w="679" w:type="pct"/>
            <w:vAlign w:val="bottom"/>
          </w:tcPr>
          <w:p w14:paraId="207B8F0C"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469,8</w:t>
            </w:r>
          </w:p>
        </w:tc>
      </w:tr>
      <w:tr w:rsidR="001B3E41" w:rsidRPr="00AE4E8D" w14:paraId="5949A97A" w14:textId="77777777" w:rsidTr="000400C8">
        <w:trPr>
          <w:trHeight w:val="300"/>
          <w:jc w:val="center"/>
        </w:trPr>
        <w:tc>
          <w:tcPr>
            <w:tcW w:w="1772" w:type="pct"/>
            <w:vAlign w:val="bottom"/>
          </w:tcPr>
          <w:p w14:paraId="01E401C7"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XXXVIII (Ps.145.200.000)</w:t>
            </w:r>
          </w:p>
        </w:tc>
        <w:tc>
          <w:tcPr>
            <w:tcW w:w="754" w:type="pct"/>
            <w:vAlign w:val="bottom"/>
          </w:tcPr>
          <w:p w14:paraId="2324EF0F"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18/08/2016</w:t>
            </w:r>
          </w:p>
        </w:tc>
        <w:tc>
          <w:tcPr>
            <w:tcW w:w="754" w:type="pct"/>
            <w:vAlign w:val="bottom"/>
          </w:tcPr>
          <w:p w14:paraId="5AF3DC08"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18/02/2018</w:t>
            </w:r>
          </w:p>
        </w:tc>
        <w:tc>
          <w:tcPr>
            <w:tcW w:w="1040" w:type="pct"/>
            <w:vAlign w:val="bottom"/>
          </w:tcPr>
          <w:p w14:paraId="584CF79F"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+ 3,00%</w:t>
            </w:r>
          </w:p>
        </w:tc>
        <w:tc>
          <w:tcPr>
            <w:tcW w:w="679" w:type="pct"/>
            <w:vAlign w:val="bottom"/>
          </w:tcPr>
          <w:p w14:paraId="1BC46B00"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145,2</w:t>
            </w:r>
          </w:p>
        </w:tc>
      </w:tr>
      <w:tr w:rsidR="001B3E41" w:rsidRPr="00AE4E8D" w14:paraId="164FA552" w14:textId="77777777" w:rsidTr="000400C8">
        <w:trPr>
          <w:trHeight w:val="300"/>
          <w:jc w:val="center"/>
        </w:trPr>
        <w:tc>
          <w:tcPr>
            <w:tcW w:w="1772" w:type="pct"/>
            <w:vAlign w:val="bottom"/>
          </w:tcPr>
          <w:p w14:paraId="79F79C49"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XXXIX (Ps.343.241.000)</w:t>
            </w:r>
          </w:p>
        </w:tc>
        <w:tc>
          <w:tcPr>
            <w:tcW w:w="754" w:type="pct"/>
            <w:vAlign w:val="bottom"/>
          </w:tcPr>
          <w:p w14:paraId="2B339D19"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18/08/2016</w:t>
            </w:r>
          </w:p>
        </w:tc>
        <w:tc>
          <w:tcPr>
            <w:tcW w:w="754" w:type="pct"/>
            <w:vAlign w:val="bottom"/>
          </w:tcPr>
          <w:p w14:paraId="761E963B"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18/08/2019</w:t>
            </w:r>
          </w:p>
        </w:tc>
        <w:tc>
          <w:tcPr>
            <w:tcW w:w="1040" w:type="pct"/>
            <w:vAlign w:val="bottom"/>
          </w:tcPr>
          <w:p w14:paraId="0E764096"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+ 3,49%</w:t>
            </w:r>
          </w:p>
        </w:tc>
        <w:tc>
          <w:tcPr>
            <w:tcW w:w="679" w:type="pct"/>
            <w:vAlign w:val="bottom"/>
          </w:tcPr>
          <w:p w14:paraId="69986460"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343,2</w:t>
            </w:r>
          </w:p>
        </w:tc>
      </w:tr>
      <w:tr w:rsidR="001B3E41" w:rsidRPr="00AE4E8D" w14:paraId="398A4498" w14:textId="77777777" w:rsidTr="000400C8">
        <w:trPr>
          <w:trHeight w:val="300"/>
          <w:jc w:val="center"/>
        </w:trPr>
        <w:tc>
          <w:tcPr>
            <w:tcW w:w="1772" w:type="pct"/>
            <w:vAlign w:val="bottom"/>
          </w:tcPr>
          <w:p w14:paraId="08860A97"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XL (Ps.6.078.320.000)</w:t>
            </w:r>
          </w:p>
        </w:tc>
        <w:tc>
          <w:tcPr>
            <w:tcW w:w="754" w:type="pct"/>
            <w:vAlign w:val="bottom"/>
          </w:tcPr>
          <w:p w14:paraId="1951077E"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12/10/2016</w:t>
            </w:r>
          </w:p>
        </w:tc>
        <w:tc>
          <w:tcPr>
            <w:tcW w:w="754" w:type="pct"/>
            <w:vAlign w:val="bottom"/>
          </w:tcPr>
          <w:p w14:paraId="54992EEF"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12/01/2020</w:t>
            </w:r>
          </w:p>
        </w:tc>
        <w:tc>
          <w:tcPr>
            <w:tcW w:w="1040" w:type="pct"/>
            <w:vAlign w:val="bottom"/>
          </w:tcPr>
          <w:p w14:paraId="13AA6F94"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+ 2,50%</w:t>
            </w:r>
          </w:p>
        </w:tc>
        <w:tc>
          <w:tcPr>
            <w:tcW w:w="679" w:type="pct"/>
            <w:vAlign w:val="bottom"/>
          </w:tcPr>
          <w:p w14:paraId="0C8731B3"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5.634,9</w:t>
            </w:r>
          </w:p>
        </w:tc>
      </w:tr>
      <w:tr w:rsidR="001B3E41" w:rsidRPr="00AE4E8D" w14:paraId="2F11A11C" w14:textId="77777777" w:rsidTr="000400C8">
        <w:trPr>
          <w:trHeight w:val="300"/>
          <w:jc w:val="center"/>
        </w:trPr>
        <w:tc>
          <w:tcPr>
            <w:tcW w:w="1772" w:type="pct"/>
            <w:vAlign w:val="bottom"/>
          </w:tcPr>
          <w:p w14:paraId="08764746" w14:textId="77777777" w:rsidR="001B3E41" w:rsidRPr="00AE4E8D" w:rsidRDefault="001B3E41" w:rsidP="005370B2">
            <w:pPr>
              <w:keepNext/>
              <w:keepLines/>
              <w:rPr>
                <w:rFonts w:ascii="Times New Roman" w:hAnsi="Times New Roman"/>
                <w:sz w:val="16"/>
                <w:szCs w:val="16"/>
                <w:lang w:val="es-ES"/>
              </w:rPr>
            </w:pPr>
            <w:r w:rsidRPr="00AE4E8D">
              <w:rPr>
                <w:rFonts w:ascii="Times New Roman" w:hAnsi="Times New Roman"/>
                <w:color w:val="000000"/>
                <w:sz w:val="16"/>
                <w:szCs w:val="16"/>
                <w:lang w:val="es-ES"/>
              </w:rPr>
              <w:t>Clase XLI (Ps.354.362.000)</w:t>
            </w:r>
          </w:p>
        </w:tc>
        <w:tc>
          <w:tcPr>
            <w:tcW w:w="754" w:type="pct"/>
            <w:vAlign w:val="bottom"/>
          </w:tcPr>
          <w:p w14:paraId="3C9909EB" w14:textId="77777777" w:rsidR="001B3E41" w:rsidRPr="00AE4E8D" w:rsidRDefault="001B3E41" w:rsidP="005370B2">
            <w:pPr>
              <w:keepNext/>
              <w:keepLines/>
              <w:jc w:val="right"/>
              <w:rPr>
                <w:rFonts w:ascii="Times New Roman" w:hAnsi="Times New Roman"/>
                <w:sz w:val="16"/>
                <w:szCs w:val="16"/>
                <w:lang w:val="es-ES"/>
              </w:rPr>
            </w:pPr>
            <w:r w:rsidRPr="00AE4E8D">
              <w:rPr>
                <w:rFonts w:ascii="Times New Roman" w:hAnsi="Times New Roman"/>
                <w:color w:val="000000"/>
                <w:sz w:val="16"/>
                <w:szCs w:val="16"/>
                <w:lang w:val="es-ES"/>
              </w:rPr>
              <w:t>20/02/2017</w:t>
            </w:r>
          </w:p>
        </w:tc>
        <w:tc>
          <w:tcPr>
            <w:tcW w:w="754" w:type="pct"/>
            <w:vAlign w:val="bottom"/>
          </w:tcPr>
          <w:p w14:paraId="561E4CC5" w14:textId="77777777" w:rsidR="001B3E41" w:rsidRPr="00AE4E8D" w:rsidRDefault="001B3E41" w:rsidP="005370B2">
            <w:pPr>
              <w:keepNext/>
              <w:keepLines/>
              <w:jc w:val="right"/>
              <w:rPr>
                <w:rFonts w:ascii="Times New Roman" w:hAnsi="Times New Roman"/>
                <w:sz w:val="16"/>
                <w:szCs w:val="16"/>
                <w:lang w:val="es-ES"/>
              </w:rPr>
            </w:pPr>
            <w:r w:rsidRPr="00AE4E8D">
              <w:rPr>
                <w:rFonts w:ascii="Times New Roman" w:hAnsi="Times New Roman"/>
                <w:color w:val="000000"/>
                <w:sz w:val="16"/>
                <w:szCs w:val="16"/>
                <w:lang w:val="es-ES"/>
              </w:rPr>
              <w:t>20/08/2018</w:t>
            </w:r>
          </w:p>
        </w:tc>
        <w:tc>
          <w:tcPr>
            <w:tcW w:w="1040" w:type="pct"/>
            <w:vAlign w:val="bottom"/>
          </w:tcPr>
          <w:p w14:paraId="6373F795" w14:textId="77777777" w:rsidR="001B3E41" w:rsidRPr="00AE4E8D" w:rsidRDefault="001B3E41" w:rsidP="005370B2">
            <w:pPr>
              <w:keepNext/>
              <w:keepLines/>
              <w:jc w:val="center"/>
              <w:rPr>
                <w:rFonts w:ascii="Times New Roman" w:hAnsi="Times New Roman"/>
                <w:sz w:val="16"/>
                <w:szCs w:val="16"/>
                <w:lang w:val="es-ES"/>
              </w:rPr>
            </w:pPr>
            <w:r w:rsidRPr="00AE4E8D">
              <w:rPr>
                <w:rFonts w:ascii="Times New Roman" w:hAnsi="Times New Roman"/>
                <w:color w:val="000000"/>
                <w:sz w:val="16"/>
                <w:szCs w:val="16"/>
                <w:lang w:val="es-ES"/>
              </w:rPr>
              <w:t>Badlar +2,89bp</w:t>
            </w:r>
          </w:p>
        </w:tc>
        <w:tc>
          <w:tcPr>
            <w:tcW w:w="679" w:type="pct"/>
            <w:vAlign w:val="bottom"/>
          </w:tcPr>
          <w:p w14:paraId="72EDFD0C" w14:textId="77777777" w:rsidR="001B3E41" w:rsidRPr="00AE4E8D" w:rsidRDefault="001B3E41" w:rsidP="005370B2">
            <w:pPr>
              <w:keepNext/>
              <w:keepLines/>
              <w:jc w:val="right"/>
              <w:rPr>
                <w:rFonts w:ascii="Times New Roman" w:hAnsi="Times New Roman"/>
                <w:sz w:val="16"/>
                <w:szCs w:val="16"/>
                <w:lang w:val="es-ES"/>
              </w:rPr>
            </w:pPr>
            <w:r w:rsidRPr="00AE4E8D">
              <w:rPr>
                <w:rFonts w:ascii="Times New Roman" w:hAnsi="Times New Roman"/>
                <w:color w:val="000000"/>
                <w:sz w:val="16"/>
                <w:szCs w:val="16"/>
                <w:lang w:val="es-ES"/>
              </w:rPr>
              <w:t>331.2</w:t>
            </w:r>
          </w:p>
        </w:tc>
      </w:tr>
      <w:tr w:rsidR="001B3E41" w:rsidRPr="00AE4E8D" w14:paraId="0B8E5EF5" w14:textId="77777777" w:rsidTr="000400C8">
        <w:trPr>
          <w:trHeight w:val="300"/>
          <w:jc w:val="center"/>
        </w:trPr>
        <w:tc>
          <w:tcPr>
            <w:tcW w:w="1772" w:type="pct"/>
            <w:vAlign w:val="bottom"/>
          </w:tcPr>
          <w:p w14:paraId="525E6A70"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XLII (Ps.645.638.000)</w:t>
            </w:r>
          </w:p>
        </w:tc>
        <w:tc>
          <w:tcPr>
            <w:tcW w:w="754" w:type="pct"/>
            <w:vAlign w:val="bottom"/>
          </w:tcPr>
          <w:p w14:paraId="0B263E88"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20/02/2017</w:t>
            </w:r>
          </w:p>
        </w:tc>
        <w:tc>
          <w:tcPr>
            <w:tcW w:w="754" w:type="pct"/>
            <w:vAlign w:val="bottom"/>
          </w:tcPr>
          <w:p w14:paraId="553993D6"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20/02/2020</w:t>
            </w:r>
          </w:p>
        </w:tc>
        <w:tc>
          <w:tcPr>
            <w:tcW w:w="1040" w:type="pct"/>
            <w:vAlign w:val="bottom"/>
          </w:tcPr>
          <w:p w14:paraId="1CE96DEF"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+3,20bp</w:t>
            </w:r>
          </w:p>
        </w:tc>
        <w:tc>
          <w:tcPr>
            <w:tcW w:w="679" w:type="pct"/>
            <w:vAlign w:val="bottom"/>
          </w:tcPr>
          <w:p w14:paraId="422B2099"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630.7</w:t>
            </w:r>
          </w:p>
        </w:tc>
      </w:tr>
      <w:tr w:rsidR="001B3E41" w:rsidRPr="00AE4E8D" w14:paraId="77B61056" w14:textId="77777777" w:rsidTr="000400C8">
        <w:trPr>
          <w:trHeight w:val="300"/>
          <w:jc w:val="center"/>
        </w:trPr>
        <w:tc>
          <w:tcPr>
            <w:tcW w:w="1772" w:type="pct"/>
            <w:vAlign w:val="bottom"/>
          </w:tcPr>
          <w:p w14:paraId="6FDD9A84"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XLIII (UVA 54.605.876)</w:t>
            </w:r>
          </w:p>
        </w:tc>
        <w:tc>
          <w:tcPr>
            <w:tcW w:w="754" w:type="pct"/>
            <w:vAlign w:val="bottom"/>
          </w:tcPr>
          <w:p w14:paraId="237DBF07"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08/05/2017</w:t>
            </w:r>
          </w:p>
        </w:tc>
        <w:tc>
          <w:tcPr>
            <w:tcW w:w="754" w:type="pct"/>
            <w:vAlign w:val="bottom"/>
          </w:tcPr>
          <w:p w14:paraId="2A1639CC"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08/05/2020</w:t>
            </w:r>
          </w:p>
        </w:tc>
        <w:tc>
          <w:tcPr>
            <w:tcW w:w="1040" w:type="pct"/>
            <w:vAlign w:val="bottom"/>
          </w:tcPr>
          <w:p w14:paraId="31B4212D"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2,75%</w:t>
            </w:r>
          </w:p>
        </w:tc>
        <w:tc>
          <w:tcPr>
            <w:tcW w:w="679" w:type="pct"/>
            <w:vAlign w:val="bottom"/>
          </w:tcPr>
          <w:p w14:paraId="66697B8F"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1.034,9</w:t>
            </w:r>
          </w:p>
        </w:tc>
      </w:tr>
      <w:tr w:rsidR="001B3E41" w:rsidRPr="00AE4E8D" w14:paraId="5D530E03" w14:textId="77777777" w:rsidTr="000400C8">
        <w:trPr>
          <w:trHeight w:val="300"/>
          <w:jc w:val="center"/>
        </w:trPr>
        <w:tc>
          <w:tcPr>
            <w:tcW w:w="1772" w:type="pct"/>
            <w:vAlign w:val="bottom"/>
          </w:tcPr>
          <w:p w14:paraId="1E9DA8F5"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XLIV (Ps.256.644.000)</w:t>
            </w:r>
          </w:p>
        </w:tc>
        <w:tc>
          <w:tcPr>
            <w:tcW w:w="754" w:type="pct"/>
            <w:vAlign w:val="bottom"/>
          </w:tcPr>
          <w:p w14:paraId="21678045"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08/05/2017</w:t>
            </w:r>
          </w:p>
        </w:tc>
        <w:tc>
          <w:tcPr>
            <w:tcW w:w="754" w:type="pct"/>
            <w:vAlign w:val="bottom"/>
          </w:tcPr>
          <w:p w14:paraId="1AB09290"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08/11/2018</w:t>
            </w:r>
          </w:p>
        </w:tc>
        <w:tc>
          <w:tcPr>
            <w:tcW w:w="1040" w:type="pct"/>
            <w:vAlign w:val="bottom"/>
          </w:tcPr>
          <w:p w14:paraId="02F35A56"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+2,75bp</w:t>
            </w:r>
          </w:p>
        </w:tc>
        <w:tc>
          <w:tcPr>
            <w:tcW w:w="679" w:type="pct"/>
            <w:vAlign w:val="bottom"/>
          </w:tcPr>
          <w:p w14:paraId="4CDD3550"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255,1</w:t>
            </w:r>
          </w:p>
        </w:tc>
      </w:tr>
      <w:tr w:rsidR="001B3E41" w:rsidRPr="00AE4E8D" w14:paraId="15949F96" w14:textId="77777777" w:rsidTr="000400C8">
        <w:trPr>
          <w:trHeight w:val="300"/>
          <w:jc w:val="center"/>
        </w:trPr>
        <w:tc>
          <w:tcPr>
            <w:tcW w:w="1772" w:type="pct"/>
            <w:vAlign w:val="bottom"/>
          </w:tcPr>
          <w:p w14:paraId="564D72AA"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XLV (Ps.102.436.000)</w:t>
            </w:r>
          </w:p>
        </w:tc>
        <w:tc>
          <w:tcPr>
            <w:tcW w:w="754" w:type="pct"/>
            <w:vAlign w:val="bottom"/>
          </w:tcPr>
          <w:p w14:paraId="7434BAF9"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08/05/2017</w:t>
            </w:r>
          </w:p>
        </w:tc>
        <w:tc>
          <w:tcPr>
            <w:tcW w:w="754" w:type="pct"/>
            <w:vAlign w:val="bottom"/>
          </w:tcPr>
          <w:p w14:paraId="25F5CCC8"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08/05/2020</w:t>
            </w:r>
          </w:p>
        </w:tc>
        <w:tc>
          <w:tcPr>
            <w:tcW w:w="1040" w:type="pct"/>
            <w:vAlign w:val="bottom"/>
          </w:tcPr>
          <w:p w14:paraId="61BDE4E7"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+2,98bp</w:t>
            </w:r>
          </w:p>
        </w:tc>
        <w:tc>
          <w:tcPr>
            <w:tcW w:w="679" w:type="pct"/>
            <w:vAlign w:val="bottom"/>
          </w:tcPr>
          <w:p w14:paraId="4D03605D"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101,8</w:t>
            </w:r>
          </w:p>
        </w:tc>
      </w:tr>
      <w:tr w:rsidR="001B3E41" w:rsidRPr="00AE4E8D" w14:paraId="71274A5E" w14:textId="77777777" w:rsidTr="000400C8">
        <w:trPr>
          <w:trHeight w:val="300"/>
          <w:jc w:val="center"/>
        </w:trPr>
        <w:tc>
          <w:tcPr>
            <w:tcW w:w="1772" w:type="pct"/>
            <w:vAlign w:val="bottom"/>
          </w:tcPr>
          <w:p w14:paraId="01BB0221" w14:textId="77777777" w:rsidR="001B3E41" w:rsidRPr="00AE4E8D" w:rsidRDefault="001B3E41" w:rsidP="005370B2">
            <w:pPr>
              <w:keepNext/>
              <w:keepLines/>
              <w:rPr>
                <w:rFonts w:ascii="Times New Roman" w:hAnsi="Times New Roman"/>
                <w:sz w:val="16"/>
                <w:szCs w:val="16"/>
                <w:lang w:val="es-ES"/>
              </w:rPr>
            </w:pPr>
          </w:p>
        </w:tc>
        <w:tc>
          <w:tcPr>
            <w:tcW w:w="754" w:type="pct"/>
            <w:vAlign w:val="bottom"/>
          </w:tcPr>
          <w:p w14:paraId="7E4D6E26" w14:textId="77777777" w:rsidR="001B3E41" w:rsidRPr="00AE4E8D" w:rsidRDefault="001B3E41" w:rsidP="005370B2">
            <w:pPr>
              <w:keepNext/>
              <w:keepLines/>
              <w:rPr>
                <w:rFonts w:ascii="Times New Roman" w:hAnsi="Times New Roman"/>
                <w:sz w:val="16"/>
                <w:szCs w:val="16"/>
                <w:lang w:val="es-ES"/>
              </w:rPr>
            </w:pPr>
          </w:p>
        </w:tc>
        <w:tc>
          <w:tcPr>
            <w:tcW w:w="754" w:type="pct"/>
            <w:vAlign w:val="bottom"/>
          </w:tcPr>
          <w:p w14:paraId="7B87908E" w14:textId="77777777" w:rsidR="001B3E41" w:rsidRPr="00AE4E8D" w:rsidRDefault="001B3E41" w:rsidP="005370B2">
            <w:pPr>
              <w:keepNext/>
              <w:keepLines/>
              <w:rPr>
                <w:rFonts w:ascii="Times New Roman" w:hAnsi="Times New Roman"/>
                <w:sz w:val="16"/>
                <w:szCs w:val="16"/>
                <w:lang w:val="es-ES"/>
              </w:rPr>
            </w:pPr>
          </w:p>
        </w:tc>
        <w:tc>
          <w:tcPr>
            <w:tcW w:w="1040" w:type="pct"/>
            <w:vAlign w:val="bottom"/>
          </w:tcPr>
          <w:p w14:paraId="1AC185F5" w14:textId="77777777" w:rsidR="001B3E41" w:rsidRPr="00AE4E8D" w:rsidRDefault="001B3E41" w:rsidP="005370B2">
            <w:pPr>
              <w:keepNext/>
              <w:keepLines/>
              <w:rPr>
                <w:rFonts w:ascii="Times New Roman" w:hAnsi="Times New Roman"/>
                <w:sz w:val="16"/>
                <w:szCs w:val="16"/>
                <w:lang w:val="es-ES"/>
              </w:rPr>
            </w:pPr>
          </w:p>
        </w:tc>
        <w:tc>
          <w:tcPr>
            <w:tcW w:w="679" w:type="pct"/>
            <w:vAlign w:val="bottom"/>
          </w:tcPr>
          <w:p w14:paraId="0D3CD0EA" w14:textId="77777777" w:rsidR="001B3E41" w:rsidRPr="00AE4E8D" w:rsidRDefault="001B3E41" w:rsidP="005370B2">
            <w:pPr>
              <w:keepNext/>
              <w:keepLines/>
              <w:rPr>
                <w:rFonts w:ascii="Times New Roman" w:hAnsi="Times New Roman"/>
                <w:sz w:val="16"/>
                <w:szCs w:val="16"/>
                <w:lang w:val="es-ES"/>
              </w:rPr>
            </w:pPr>
          </w:p>
        </w:tc>
      </w:tr>
      <w:tr w:rsidR="001B3E41" w:rsidRPr="00AE4E8D" w14:paraId="006D6ABF" w14:textId="77777777" w:rsidTr="000400C8">
        <w:trPr>
          <w:trHeight w:val="300"/>
          <w:jc w:val="center"/>
        </w:trPr>
        <w:tc>
          <w:tcPr>
            <w:tcW w:w="1772" w:type="pct"/>
            <w:noWrap/>
            <w:vAlign w:val="bottom"/>
          </w:tcPr>
          <w:p w14:paraId="0B5CDC2E" w14:textId="77777777" w:rsidR="001B3E41" w:rsidRPr="00AE4E8D" w:rsidRDefault="001B3E41" w:rsidP="005370B2">
            <w:pPr>
              <w:keepNext/>
              <w:keepLines/>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Tarshop Programa </w:t>
            </w:r>
          </w:p>
        </w:tc>
        <w:tc>
          <w:tcPr>
            <w:tcW w:w="754" w:type="pct"/>
            <w:vAlign w:val="bottom"/>
          </w:tcPr>
          <w:p w14:paraId="04779713" w14:textId="77777777" w:rsidR="001B3E41" w:rsidRPr="00AE4E8D" w:rsidRDefault="001B3E41" w:rsidP="005370B2">
            <w:pPr>
              <w:keepNext/>
              <w:keepLines/>
              <w:rPr>
                <w:rFonts w:ascii="Times New Roman" w:hAnsi="Times New Roman"/>
                <w:sz w:val="16"/>
                <w:szCs w:val="16"/>
                <w:lang w:val="es-ES"/>
              </w:rPr>
            </w:pPr>
          </w:p>
        </w:tc>
        <w:tc>
          <w:tcPr>
            <w:tcW w:w="754" w:type="pct"/>
            <w:vAlign w:val="bottom"/>
          </w:tcPr>
          <w:p w14:paraId="7AEB5684" w14:textId="77777777" w:rsidR="001B3E41" w:rsidRPr="00AE4E8D" w:rsidRDefault="001B3E41" w:rsidP="005370B2">
            <w:pPr>
              <w:keepNext/>
              <w:keepLines/>
              <w:rPr>
                <w:rFonts w:ascii="Times New Roman" w:hAnsi="Times New Roman"/>
                <w:sz w:val="16"/>
                <w:szCs w:val="16"/>
                <w:lang w:val="es-ES"/>
              </w:rPr>
            </w:pPr>
          </w:p>
        </w:tc>
        <w:tc>
          <w:tcPr>
            <w:tcW w:w="1040" w:type="pct"/>
            <w:vAlign w:val="bottom"/>
          </w:tcPr>
          <w:p w14:paraId="31630302" w14:textId="77777777" w:rsidR="001B3E41" w:rsidRPr="00AE4E8D" w:rsidRDefault="001B3E41" w:rsidP="005370B2">
            <w:pPr>
              <w:keepNext/>
              <w:keepLines/>
              <w:rPr>
                <w:rFonts w:ascii="Times New Roman" w:hAnsi="Times New Roman"/>
                <w:sz w:val="16"/>
                <w:szCs w:val="16"/>
                <w:lang w:val="es-ES"/>
              </w:rPr>
            </w:pPr>
          </w:p>
        </w:tc>
        <w:tc>
          <w:tcPr>
            <w:tcW w:w="679" w:type="pct"/>
            <w:vAlign w:val="bottom"/>
          </w:tcPr>
          <w:p w14:paraId="3E7743B6" w14:textId="77777777" w:rsidR="001B3E41" w:rsidRPr="00AE4E8D" w:rsidRDefault="001B3E41" w:rsidP="005370B2">
            <w:pPr>
              <w:keepNext/>
              <w:keepLines/>
              <w:rPr>
                <w:rFonts w:ascii="Times New Roman" w:hAnsi="Times New Roman"/>
                <w:sz w:val="16"/>
                <w:szCs w:val="16"/>
                <w:lang w:val="es-ES"/>
              </w:rPr>
            </w:pPr>
          </w:p>
        </w:tc>
      </w:tr>
      <w:tr w:rsidR="001B3E41" w:rsidRPr="00AE4E8D" w14:paraId="0531ACA3" w14:textId="77777777" w:rsidTr="000400C8">
        <w:trPr>
          <w:trHeight w:val="300"/>
          <w:jc w:val="center"/>
        </w:trPr>
        <w:tc>
          <w:tcPr>
            <w:tcW w:w="1772" w:type="pct"/>
            <w:noWrap/>
            <w:vAlign w:val="bottom"/>
          </w:tcPr>
          <w:p w14:paraId="00A4DBC3"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Clase XIX (Ps.6.315.789) </w:t>
            </w:r>
          </w:p>
        </w:tc>
        <w:tc>
          <w:tcPr>
            <w:tcW w:w="754" w:type="pct"/>
            <w:vAlign w:val="bottom"/>
          </w:tcPr>
          <w:p w14:paraId="4F8F680F"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26/11/2014</w:t>
            </w:r>
          </w:p>
        </w:tc>
        <w:tc>
          <w:tcPr>
            <w:tcW w:w="754" w:type="pct"/>
            <w:vAlign w:val="bottom"/>
          </w:tcPr>
          <w:p w14:paraId="4B97F0D5"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26/11/2017</w:t>
            </w:r>
          </w:p>
        </w:tc>
        <w:tc>
          <w:tcPr>
            <w:tcW w:w="1040" w:type="pct"/>
            <w:vAlign w:val="bottom"/>
          </w:tcPr>
          <w:p w14:paraId="1EFF03C2"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+ 5,25%</w:t>
            </w:r>
          </w:p>
        </w:tc>
        <w:tc>
          <w:tcPr>
            <w:tcW w:w="679" w:type="pct"/>
            <w:vAlign w:val="bottom"/>
          </w:tcPr>
          <w:p w14:paraId="383FDDED"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6,3</w:t>
            </w:r>
          </w:p>
        </w:tc>
      </w:tr>
      <w:tr w:rsidR="001B3E41" w:rsidRPr="00AE4E8D" w14:paraId="0A28616D" w14:textId="77777777" w:rsidTr="000400C8">
        <w:trPr>
          <w:trHeight w:val="300"/>
          <w:jc w:val="center"/>
        </w:trPr>
        <w:tc>
          <w:tcPr>
            <w:tcW w:w="1772" w:type="pct"/>
            <w:noWrap/>
            <w:vAlign w:val="bottom"/>
          </w:tcPr>
          <w:p w14:paraId="5DB88D07" w14:textId="77777777" w:rsidR="001B3E41" w:rsidRPr="00AE4E8D" w:rsidRDefault="001B3E41" w:rsidP="005370B2">
            <w:pPr>
              <w:keepNext/>
              <w:keepLines/>
              <w:rPr>
                <w:rFonts w:ascii="Times New Roman" w:hAnsi="Times New Roman"/>
                <w:sz w:val="16"/>
                <w:szCs w:val="16"/>
                <w:lang w:val="es-ES"/>
              </w:rPr>
            </w:pPr>
            <w:r w:rsidRPr="00AE4E8D">
              <w:rPr>
                <w:rFonts w:ascii="Times New Roman" w:hAnsi="Times New Roman"/>
                <w:color w:val="000000"/>
                <w:sz w:val="16"/>
                <w:szCs w:val="16"/>
                <w:lang w:val="es-ES"/>
              </w:rPr>
              <w:t xml:space="preserve">Clase XXVI (Ps.156.971.808) </w:t>
            </w:r>
          </w:p>
        </w:tc>
        <w:tc>
          <w:tcPr>
            <w:tcW w:w="754" w:type="pct"/>
            <w:vAlign w:val="bottom"/>
          </w:tcPr>
          <w:p w14:paraId="0C073F01"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26/01/2016</w:t>
            </w:r>
          </w:p>
        </w:tc>
        <w:tc>
          <w:tcPr>
            <w:tcW w:w="754" w:type="pct"/>
            <w:vAlign w:val="bottom"/>
          </w:tcPr>
          <w:p w14:paraId="0D08CDB4"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26/07/2017</w:t>
            </w:r>
          </w:p>
        </w:tc>
        <w:tc>
          <w:tcPr>
            <w:tcW w:w="1040" w:type="pct"/>
            <w:vAlign w:val="bottom"/>
          </w:tcPr>
          <w:p w14:paraId="25C818AE" w14:textId="77777777" w:rsidR="001B3E41" w:rsidRPr="00AE4E8D" w:rsidRDefault="001B3E41" w:rsidP="005370B2">
            <w:pPr>
              <w:keepNext/>
              <w:keepLines/>
              <w:jc w:val="center"/>
              <w:rPr>
                <w:rFonts w:ascii="Times New Roman" w:hAnsi="Times New Roman"/>
                <w:sz w:val="16"/>
                <w:szCs w:val="16"/>
                <w:lang w:val="es-ES" w:eastAsia="es-AR"/>
              </w:rPr>
            </w:pPr>
            <w:r w:rsidRPr="00AE4E8D">
              <w:rPr>
                <w:rFonts w:ascii="Times New Roman" w:hAnsi="Times New Roman"/>
                <w:color w:val="000000"/>
                <w:sz w:val="16"/>
                <w:szCs w:val="16"/>
                <w:lang w:val="es-ES"/>
              </w:rPr>
              <w:t>Badlar + 6,50%</w:t>
            </w:r>
          </w:p>
        </w:tc>
        <w:tc>
          <w:tcPr>
            <w:tcW w:w="679" w:type="pct"/>
            <w:vAlign w:val="bottom"/>
          </w:tcPr>
          <w:p w14:paraId="08679E16"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155,7</w:t>
            </w:r>
          </w:p>
        </w:tc>
      </w:tr>
      <w:tr w:rsidR="001B3E41" w:rsidRPr="00AE4E8D" w14:paraId="39BABC8E" w14:textId="77777777" w:rsidTr="000400C8">
        <w:trPr>
          <w:trHeight w:val="300"/>
          <w:jc w:val="center"/>
        </w:trPr>
        <w:tc>
          <w:tcPr>
            <w:tcW w:w="1772" w:type="pct"/>
            <w:noWrap/>
            <w:vAlign w:val="bottom"/>
          </w:tcPr>
          <w:p w14:paraId="4A2E4540" w14:textId="77777777" w:rsidR="001B3E41" w:rsidRPr="00AE4E8D" w:rsidRDefault="001B3E41" w:rsidP="005370B2">
            <w:pPr>
              <w:keepNext/>
              <w:keepLines/>
              <w:rPr>
                <w:rFonts w:ascii="Times New Roman" w:hAnsi="Times New Roman"/>
                <w:sz w:val="16"/>
                <w:szCs w:val="16"/>
                <w:lang w:val="es-ES"/>
              </w:rPr>
            </w:pPr>
            <w:r w:rsidRPr="00AE4E8D">
              <w:rPr>
                <w:rFonts w:ascii="Times New Roman" w:hAnsi="Times New Roman"/>
                <w:color w:val="000000"/>
                <w:sz w:val="16"/>
                <w:szCs w:val="16"/>
                <w:lang w:val="es-ES"/>
              </w:rPr>
              <w:t xml:space="preserve">Clase XXVII (Ps.147.288.000) </w:t>
            </w:r>
          </w:p>
        </w:tc>
        <w:tc>
          <w:tcPr>
            <w:tcW w:w="754" w:type="pct"/>
            <w:vAlign w:val="bottom"/>
          </w:tcPr>
          <w:p w14:paraId="6C2379FF"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04/05/2016</w:t>
            </w:r>
          </w:p>
        </w:tc>
        <w:tc>
          <w:tcPr>
            <w:tcW w:w="754" w:type="pct"/>
            <w:vAlign w:val="bottom"/>
          </w:tcPr>
          <w:p w14:paraId="280C0BFF"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04/11/2017</w:t>
            </w:r>
          </w:p>
        </w:tc>
        <w:tc>
          <w:tcPr>
            <w:tcW w:w="1040" w:type="pct"/>
            <w:vAlign w:val="bottom"/>
          </w:tcPr>
          <w:p w14:paraId="7134FFE3" w14:textId="77777777" w:rsidR="001B3E41" w:rsidRPr="00AE4E8D" w:rsidRDefault="001B3E41" w:rsidP="005370B2">
            <w:pPr>
              <w:keepNext/>
              <w:keepLines/>
              <w:jc w:val="center"/>
              <w:rPr>
                <w:rFonts w:ascii="Times New Roman" w:hAnsi="Times New Roman"/>
                <w:sz w:val="16"/>
                <w:szCs w:val="16"/>
                <w:lang w:val="es-ES" w:eastAsia="es-AR"/>
              </w:rPr>
            </w:pPr>
            <w:r w:rsidRPr="00AE4E8D">
              <w:rPr>
                <w:rFonts w:ascii="Times New Roman" w:hAnsi="Times New Roman"/>
                <w:color w:val="000000"/>
                <w:sz w:val="16"/>
                <w:szCs w:val="16"/>
                <w:lang w:val="es-ES"/>
              </w:rPr>
              <w:t>Badlar + 6,00%</w:t>
            </w:r>
          </w:p>
        </w:tc>
        <w:tc>
          <w:tcPr>
            <w:tcW w:w="679" w:type="pct"/>
            <w:vAlign w:val="bottom"/>
          </w:tcPr>
          <w:p w14:paraId="1949A7E5" w14:textId="77777777" w:rsidR="001B3E41" w:rsidRPr="00AE4E8D" w:rsidRDefault="001B3E41" w:rsidP="005370B2">
            <w:pPr>
              <w:keepNext/>
              <w:keepLines/>
              <w:jc w:val="right"/>
              <w:rPr>
                <w:rFonts w:ascii="Times New Roman" w:hAnsi="Times New Roman"/>
                <w:sz w:val="16"/>
                <w:szCs w:val="16"/>
                <w:lang w:val="es-ES" w:eastAsia="es-AR"/>
              </w:rPr>
            </w:pPr>
            <w:r w:rsidRPr="00AE4E8D">
              <w:rPr>
                <w:rFonts w:ascii="Times New Roman" w:hAnsi="Times New Roman"/>
                <w:color w:val="000000"/>
                <w:sz w:val="16"/>
                <w:szCs w:val="16"/>
                <w:lang w:val="es-ES"/>
              </w:rPr>
              <w:t>146,1</w:t>
            </w:r>
          </w:p>
        </w:tc>
      </w:tr>
      <w:tr w:rsidR="001B3E41" w:rsidRPr="00AE4E8D" w14:paraId="37913A83" w14:textId="77777777" w:rsidTr="000400C8">
        <w:trPr>
          <w:trHeight w:val="300"/>
          <w:jc w:val="center"/>
        </w:trPr>
        <w:tc>
          <w:tcPr>
            <w:tcW w:w="1772" w:type="pct"/>
            <w:noWrap/>
            <w:vAlign w:val="bottom"/>
          </w:tcPr>
          <w:p w14:paraId="4BE06E8C" w14:textId="77777777" w:rsidR="001B3E41" w:rsidRPr="00AE4E8D" w:rsidRDefault="001B3E41" w:rsidP="005370B2">
            <w:pPr>
              <w:keepNext/>
              <w:keepLines/>
              <w:rPr>
                <w:rFonts w:ascii="Times New Roman" w:hAnsi="Times New Roman"/>
                <w:sz w:val="16"/>
                <w:szCs w:val="16"/>
                <w:lang w:val="es-ES"/>
              </w:rPr>
            </w:pPr>
            <w:r w:rsidRPr="00AE4E8D">
              <w:rPr>
                <w:rFonts w:ascii="Times New Roman" w:hAnsi="Times New Roman"/>
                <w:color w:val="000000"/>
                <w:sz w:val="16"/>
                <w:szCs w:val="16"/>
                <w:lang w:val="es-ES"/>
              </w:rPr>
              <w:t xml:space="preserve">Clase I (Ps.204.033.333) </w:t>
            </w:r>
          </w:p>
        </w:tc>
        <w:tc>
          <w:tcPr>
            <w:tcW w:w="754" w:type="pct"/>
            <w:vAlign w:val="bottom"/>
          </w:tcPr>
          <w:p w14:paraId="7BFDDE54"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07/09/2016</w:t>
            </w:r>
          </w:p>
        </w:tc>
        <w:tc>
          <w:tcPr>
            <w:tcW w:w="754" w:type="pct"/>
            <w:vAlign w:val="bottom"/>
          </w:tcPr>
          <w:p w14:paraId="554724D1"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07/03/2018</w:t>
            </w:r>
          </w:p>
        </w:tc>
        <w:tc>
          <w:tcPr>
            <w:tcW w:w="1040" w:type="pct"/>
            <w:vAlign w:val="bottom"/>
          </w:tcPr>
          <w:p w14:paraId="255C39C6"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+ 4,48%</w:t>
            </w:r>
          </w:p>
        </w:tc>
        <w:tc>
          <w:tcPr>
            <w:tcW w:w="679" w:type="pct"/>
            <w:vAlign w:val="bottom"/>
          </w:tcPr>
          <w:p w14:paraId="5E211E38"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202,4</w:t>
            </w:r>
          </w:p>
        </w:tc>
      </w:tr>
      <w:tr w:rsidR="001B3E41" w:rsidRPr="00AE4E8D" w14:paraId="0CF86EDE" w14:textId="77777777" w:rsidTr="000400C8">
        <w:trPr>
          <w:trHeight w:val="300"/>
          <w:jc w:val="center"/>
        </w:trPr>
        <w:tc>
          <w:tcPr>
            <w:tcW w:w="1772" w:type="pct"/>
            <w:noWrap/>
            <w:vAlign w:val="bottom"/>
          </w:tcPr>
          <w:p w14:paraId="597E8A35"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II (Ps.67.360.000)</w:t>
            </w:r>
          </w:p>
        </w:tc>
        <w:tc>
          <w:tcPr>
            <w:tcW w:w="754" w:type="pct"/>
            <w:vAlign w:val="bottom"/>
          </w:tcPr>
          <w:p w14:paraId="6688EC31"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07/09/2016</w:t>
            </w:r>
          </w:p>
        </w:tc>
        <w:tc>
          <w:tcPr>
            <w:tcW w:w="754" w:type="pct"/>
            <w:vAlign w:val="bottom"/>
          </w:tcPr>
          <w:p w14:paraId="2DDA04F2"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07/03/2019</w:t>
            </w:r>
          </w:p>
        </w:tc>
        <w:tc>
          <w:tcPr>
            <w:tcW w:w="1040" w:type="pct"/>
            <w:vAlign w:val="bottom"/>
          </w:tcPr>
          <w:p w14:paraId="1FFC7608"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+ 4,99%</w:t>
            </w:r>
          </w:p>
        </w:tc>
        <w:tc>
          <w:tcPr>
            <w:tcW w:w="679" w:type="pct"/>
            <w:vAlign w:val="bottom"/>
          </w:tcPr>
          <w:p w14:paraId="3348DAA3"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66,8</w:t>
            </w:r>
          </w:p>
        </w:tc>
      </w:tr>
      <w:tr w:rsidR="001B3E41" w:rsidRPr="00AE4E8D" w14:paraId="7BB2259A" w14:textId="77777777" w:rsidTr="000400C8">
        <w:trPr>
          <w:trHeight w:val="300"/>
          <w:jc w:val="center"/>
        </w:trPr>
        <w:tc>
          <w:tcPr>
            <w:tcW w:w="1772" w:type="pct"/>
            <w:noWrap/>
            <w:vAlign w:val="bottom"/>
          </w:tcPr>
          <w:p w14:paraId="31C1F159"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IV (Ps.21</w:t>
            </w:r>
            <w:r w:rsidR="008950B0" w:rsidRPr="00AE4E8D">
              <w:rPr>
                <w:rFonts w:ascii="Times New Roman" w:hAnsi="Times New Roman"/>
                <w:color w:val="000000"/>
                <w:sz w:val="16"/>
                <w:szCs w:val="16"/>
                <w:lang w:val="es-ES"/>
              </w:rPr>
              <w:t>3</w:t>
            </w:r>
            <w:r w:rsidRPr="00AE4E8D">
              <w:rPr>
                <w:rFonts w:ascii="Times New Roman" w:hAnsi="Times New Roman"/>
                <w:color w:val="000000"/>
                <w:sz w:val="16"/>
                <w:szCs w:val="16"/>
                <w:lang w:val="es-ES"/>
              </w:rPr>
              <w:t>.031.426)</w:t>
            </w:r>
          </w:p>
        </w:tc>
        <w:tc>
          <w:tcPr>
            <w:tcW w:w="754" w:type="pct"/>
            <w:vAlign w:val="bottom"/>
          </w:tcPr>
          <w:p w14:paraId="7854ADBC"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04/11/2016</w:t>
            </w:r>
          </w:p>
        </w:tc>
        <w:tc>
          <w:tcPr>
            <w:tcW w:w="754" w:type="pct"/>
            <w:vAlign w:val="bottom"/>
          </w:tcPr>
          <w:p w14:paraId="6399ED4C"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04/05/2019</w:t>
            </w:r>
          </w:p>
        </w:tc>
        <w:tc>
          <w:tcPr>
            <w:tcW w:w="1040" w:type="pct"/>
            <w:vAlign w:val="bottom"/>
          </w:tcPr>
          <w:p w14:paraId="23315AF2"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+ 4,00%</w:t>
            </w:r>
          </w:p>
        </w:tc>
        <w:tc>
          <w:tcPr>
            <w:tcW w:w="679" w:type="pct"/>
            <w:vAlign w:val="bottom"/>
          </w:tcPr>
          <w:p w14:paraId="377AC3B1"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211,3</w:t>
            </w:r>
          </w:p>
        </w:tc>
      </w:tr>
      <w:tr w:rsidR="001B3E41" w:rsidRPr="00AE4E8D" w14:paraId="651056D2" w14:textId="77777777" w:rsidTr="000400C8">
        <w:trPr>
          <w:trHeight w:val="300"/>
          <w:jc w:val="center"/>
        </w:trPr>
        <w:tc>
          <w:tcPr>
            <w:tcW w:w="1772" w:type="pct"/>
            <w:noWrap/>
            <w:vAlign w:val="bottom"/>
          </w:tcPr>
          <w:p w14:paraId="7C599002"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V (Ps.77.818.181)</w:t>
            </w:r>
          </w:p>
        </w:tc>
        <w:tc>
          <w:tcPr>
            <w:tcW w:w="754" w:type="pct"/>
            <w:vAlign w:val="bottom"/>
          </w:tcPr>
          <w:p w14:paraId="12F6A1BA"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04/11/2016</w:t>
            </w:r>
          </w:p>
        </w:tc>
        <w:tc>
          <w:tcPr>
            <w:tcW w:w="754" w:type="pct"/>
            <w:vAlign w:val="bottom"/>
          </w:tcPr>
          <w:p w14:paraId="1AA71FEF"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04/05/2019</w:t>
            </w:r>
          </w:p>
        </w:tc>
        <w:tc>
          <w:tcPr>
            <w:tcW w:w="1040" w:type="pct"/>
            <w:vAlign w:val="bottom"/>
          </w:tcPr>
          <w:p w14:paraId="1880D29E"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Badlar+4,25bp</w:t>
            </w:r>
          </w:p>
        </w:tc>
        <w:tc>
          <w:tcPr>
            <w:tcW w:w="679" w:type="pct"/>
            <w:vAlign w:val="center"/>
          </w:tcPr>
          <w:p w14:paraId="211CB31E"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77,2</w:t>
            </w:r>
          </w:p>
        </w:tc>
      </w:tr>
      <w:tr w:rsidR="001B3E41" w:rsidRPr="00AE4E8D" w14:paraId="7AC19F52" w14:textId="77777777" w:rsidTr="000400C8">
        <w:trPr>
          <w:trHeight w:val="300"/>
          <w:jc w:val="center"/>
        </w:trPr>
        <w:tc>
          <w:tcPr>
            <w:tcW w:w="1772" w:type="pct"/>
            <w:noWrap/>
            <w:vAlign w:val="bottom"/>
          </w:tcPr>
          <w:p w14:paraId="3EDF96B9"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VII (Ps.229.000.000)</w:t>
            </w:r>
          </w:p>
        </w:tc>
        <w:tc>
          <w:tcPr>
            <w:tcW w:w="754" w:type="pct"/>
            <w:vAlign w:val="bottom"/>
          </w:tcPr>
          <w:p w14:paraId="22A60848"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24/01/2017</w:t>
            </w:r>
          </w:p>
        </w:tc>
        <w:tc>
          <w:tcPr>
            <w:tcW w:w="754" w:type="pct"/>
            <w:vAlign w:val="bottom"/>
          </w:tcPr>
          <w:p w14:paraId="56987A29"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24/07/2018</w:t>
            </w:r>
          </w:p>
        </w:tc>
        <w:tc>
          <w:tcPr>
            <w:tcW w:w="1040" w:type="pct"/>
            <w:vAlign w:val="bottom"/>
          </w:tcPr>
          <w:p w14:paraId="32936617"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Badlar+4,00bp</w:t>
            </w:r>
          </w:p>
        </w:tc>
        <w:tc>
          <w:tcPr>
            <w:tcW w:w="679" w:type="pct"/>
            <w:vAlign w:val="center"/>
          </w:tcPr>
          <w:p w14:paraId="5BC0491C"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227,2</w:t>
            </w:r>
          </w:p>
        </w:tc>
      </w:tr>
      <w:tr w:rsidR="001B3E41" w:rsidRPr="00AE4E8D" w14:paraId="0784269E" w14:textId="77777777" w:rsidTr="000400C8">
        <w:trPr>
          <w:trHeight w:val="300"/>
          <w:jc w:val="center"/>
        </w:trPr>
        <w:tc>
          <w:tcPr>
            <w:tcW w:w="1772" w:type="pct"/>
            <w:noWrap/>
            <w:vAlign w:val="bottom"/>
          </w:tcPr>
          <w:p w14:paraId="7109F90F"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VIII (Ps.53.237.500)</w:t>
            </w:r>
          </w:p>
        </w:tc>
        <w:tc>
          <w:tcPr>
            <w:tcW w:w="754" w:type="pct"/>
            <w:vAlign w:val="bottom"/>
          </w:tcPr>
          <w:p w14:paraId="26A4A06C"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24/01/2017</w:t>
            </w:r>
          </w:p>
        </w:tc>
        <w:tc>
          <w:tcPr>
            <w:tcW w:w="754" w:type="pct"/>
            <w:vAlign w:val="bottom"/>
          </w:tcPr>
          <w:p w14:paraId="14AB1F56"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24/07/2019</w:t>
            </w:r>
          </w:p>
        </w:tc>
        <w:tc>
          <w:tcPr>
            <w:tcW w:w="1040" w:type="pct"/>
            <w:vAlign w:val="bottom"/>
          </w:tcPr>
          <w:p w14:paraId="03DDE064"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Badlar+4,69bp</w:t>
            </w:r>
          </w:p>
        </w:tc>
        <w:tc>
          <w:tcPr>
            <w:tcW w:w="679" w:type="pct"/>
            <w:vAlign w:val="center"/>
          </w:tcPr>
          <w:p w14:paraId="71F60E01"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52,8</w:t>
            </w:r>
          </w:p>
        </w:tc>
      </w:tr>
      <w:tr w:rsidR="001B3E41" w:rsidRPr="00AE4E8D" w14:paraId="14ECFB5F" w14:textId="77777777" w:rsidTr="000400C8">
        <w:trPr>
          <w:trHeight w:val="300"/>
          <w:jc w:val="center"/>
        </w:trPr>
        <w:tc>
          <w:tcPr>
            <w:tcW w:w="1772" w:type="pct"/>
            <w:noWrap/>
            <w:vAlign w:val="bottom"/>
          </w:tcPr>
          <w:p w14:paraId="73CA1E63"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IX (Ps.288.444.445)</w:t>
            </w:r>
          </w:p>
        </w:tc>
        <w:tc>
          <w:tcPr>
            <w:tcW w:w="754" w:type="pct"/>
            <w:vAlign w:val="bottom"/>
          </w:tcPr>
          <w:p w14:paraId="2BFCB580"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20/04/2017</w:t>
            </w:r>
          </w:p>
        </w:tc>
        <w:tc>
          <w:tcPr>
            <w:tcW w:w="754" w:type="pct"/>
            <w:vAlign w:val="bottom"/>
          </w:tcPr>
          <w:p w14:paraId="18CBBAF5"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20/10/2018</w:t>
            </w:r>
          </w:p>
        </w:tc>
        <w:tc>
          <w:tcPr>
            <w:tcW w:w="1040" w:type="pct"/>
            <w:vAlign w:val="bottom"/>
          </w:tcPr>
          <w:p w14:paraId="5ACFF91B"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Badlar+4,00bp</w:t>
            </w:r>
          </w:p>
        </w:tc>
        <w:tc>
          <w:tcPr>
            <w:tcW w:w="679" w:type="pct"/>
            <w:vAlign w:val="center"/>
          </w:tcPr>
          <w:p w14:paraId="7794722C"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286,1</w:t>
            </w:r>
          </w:p>
        </w:tc>
      </w:tr>
      <w:tr w:rsidR="001B3E41" w:rsidRPr="00AE4E8D" w14:paraId="6B4EF0E0" w14:textId="77777777" w:rsidTr="000400C8">
        <w:trPr>
          <w:trHeight w:val="300"/>
          <w:jc w:val="center"/>
        </w:trPr>
        <w:tc>
          <w:tcPr>
            <w:tcW w:w="1772" w:type="pct"/>
            <w:noWrap/>
            <w:vAlign w:val="bottom"/>
          </w:tcPr>
          <w:p w14:paraId="627428E0"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 (Ps.211.555.555)</w:t>
            </w:r>
          </w:p>
        </w:tc>
        <w:tc>
          <w:tcPr>
            <w:tcW w:w="754" w:type="pct"/>
            <w:vAlign w:val="bottom"/>
          </w:tcPr>
          <w:p w14:paraId="1D511083"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20/04/2017</w:t>
            </w:r>
          </w:p>
        </w:tc>
        <w:tc>
          <w:tcPr>
            <w:tcW w:w="754" w:type="pct"/>
            <w:vAlign w:val="bottom"/>
          </w:tcPr>
          <w:p w14:paraId="49F34416"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20/10/2019</w:t>
            </w:r>
          </w:p>
        </w:tc>
        <w:tc>
          <w:tcPr>
            <w:tcW w:w="1040" w:type="pct"/>
            <w:vAlign w:val="bottom"/>
          </w:tcPr>
          <w:p w14:paraId="1487D94F"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Badlar+4,74bp</w:t>
            </w:r>
          </w:p>
        </w:tc>
        <w:tc>
          <w:tcPr>
            <w:tcW w:w="679" w:type="pct"/>
            <w:vAlign w:val="center"/>
          </w:tcPr>
          <w:p w14:paraId="3AA872F5"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209,9</w:t>
            </w:r>
          </w:p>
        </w:tc>
      </w:tr>
      <w:tr w:rsidR="001B3E41" w:rsidRPr="00AE4E8D" w14:paraId="5414D555" w14:textId="77777777" w:rsidTr="000400C8">
        <w:trPr>
          <w:trHeight w:val="300"/>
          <w:jc w:val="center"/>
        </w:trPr>
        <w:tc>
          <w:tcPr>
            <w:tcW w:w="1772" w:type="pct"/>
            <w:noWrap/>
            <w:vAlign w:val="bottom"/>
          </w:tcPr>
          <w:p w14:paraId="4E7BB357" w14:textId="77777777" w:rsidR="001B3E41" w:rsidRPr="00AE4E8D" w:rsidRDefault="001B3E41" w:rsidP="005370B2">
            <w:pPr>
              <w:keepNext/>
              <w:keepLines/>
              <w:rPr>
                <w:rFonts w:ascii="Times New Roman" w:hAnsi="Times New Roman"/>
                <w:b/>
                <w:bCs/>
                <w:color w:val="000000"/>
                <w:sz w:val="16"/>
                <w:szCs w:val="16"/>
                <w:lang w:val="es-ES"/>
              </w:rPr>
            </w:pPr>
          </w:p>
          <w:p w14:paraId="7A9BF515" w14:textId="77777777" w:rsidR="001B3E41" w:rsidRPr="00AE4E8D" w:rsidRDefault="001B3E41" w:rsidP="005370B2">
            <w:pPr>
              <w:keepNext/>
              <w:keepLines/>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BACS Programa US$ 150 millones *</w:t>
            </w:r>
          </w:p>
        </w:tc>
        <w:tc>
          <w:tcPr>
            <w:tcW w:w="754" w:type="pct"/>
            <w:vAlign w:val="bottom"/>
          </w:tcPr>
          <w:p w14:paraId="4C1616B9" w14:textId="77777777" w:rsidR="001B3E41" w:rsidRPr="00AE4E8D" w:rsidRDefault="001B3E41" w:rsidP="005370B2">
            <w:pPr>
              <w:keepNext/>
              <w:keepLines/>
              <w:rPr>
                <w:rFonts w:ascii="Times New Roman" w:hAnsi="Times New Roman"/>
                <w:sz w:val="16"/>
                <w:szCs w:val="16"/>
                <w:lang w:val="es-ES"/>
              </w:rPr>
            </w:pPr>
          </w:p>
        </w:tc>
        <w:tc>
          <w:tcPr>
            <w:tcW w:w="754" w:type="pct"/>
            <w:vAlign w:val="bottom"/>
          </w:tcPr>
          <w:p w14:paraId="067286DC" w14:textId="77777777" w:rsidR="001B3E41" w:rsidRPr="00AE4E8D" w:rsidRDefault="001B3E41" w:rsidP="005370B2">
            <w:pPr>
              <w:keepNext/>
              <w:keepLines/>
              <w:rPr>
                <w:rFonts w:ascii="Times New Roman" w:hAnsi="Times New Roman"/>
                <w:sz w:val="16"/>
                <w:szCs w:val="16"/>
                <w:lang w:val="es-ES"/>
              </w:rPr>
            </w:pPr>
          </w:p>
        </w:tc>
        <w:tc>
          <w:tcPr>
            <w:tcW w:w="1040" w:type="pct"/>
            <w:vAlign w:val="bottom"/>
          </w:tcPr>
          <w:p w14:paraId="72AC5C9E" w14:textId="77777777" w:rsidR="001B3E41" w:rsidRPr="00AE4E8D" w:rsidRDefault="001B3E41" w:rsidP="005370B2">
            <w:pPr>
              <w:keepNext/>
              <w:keepLines/>
              <w:rPr>
                <w:rFonts w:ascii="Times New Roman" w:hAnsi="Times New Roman"/>
                <w:sz w:val="16"/>
                <w:szCs w:val="16"/>
                <w:lang w:val="es-ES"/>
              </w:rPr>
            </w:pPr>
          </w:p>
        </w:tc>
        <w:tc>
          <w:tcPr>
            <w:tcW w:w="679" w:type="pct"/>
            <w:vAlign w:val="bottom"/>
          </w:tcPr>
          <w:p w14:paraId="596A0A2A" w14:textId="77777777" w:rsidR="001B3E41" w:rsidRPr="00AE4E8D" w:rsidRDefault="001B3E41" w:rsidP="005370B2">
            <w:pPr>
              <w:keepNext/>
              <w:keepLines/>
              <w:rPr>
                <w:rFonts w:ascii="Times New Roman" w:hAnsi="Times New Roman"/>
                <w:sz w:val="16"/>
                <w:szCs w:val="16"/>
                <w:lang w:val="es-ES"/>
              </w:rPr>
            </w:pPr>
          </w:p>
        </w:tc>
      </w:tr>
      <w:tr w:rsidR="001B3E41" w:rsidRPr="00AE4E8D" w14:paraId="790546E7" w14:textId="77777777" w:rsidTr="000400C8">
        <w:trPr>
          <w:trHeight w:val="300"/>
          <w:jc w:val="center"/>
        </w:trPr>
        <w:tc>
          <w:tcPr>
            <w:tcW w:w="1772" w:type="pct"/>
            <w:noWrap/>
            <w:vAlign w:val="bottom"/>
          </w:tcPr>
          <w:p w14:paraId="3E49032F" w14:textId="77777777" w:rsidR="001B3E41" w:rsidRPr="00AE4E8D" w:rsidRDefault="001B3E41" w:rsidP="005370B2">
            <w:pPr>
              <w:keepNext/>
              <w:keepLines/>
              <w:rPr>
                <w:rFonts w:ascii="Times New Roman" w:hAnsi="Times New Roman"/>
                <w:sz w:val="16"/>
                <w:szCs w:val="16"/>
                <w:lang w:val="es-ES"/>
              </w:rPr>
            </w:pPr>
            <w:r w:rsidRPr="00AE4E8D">
              <w:rPr>
                <w:rFonts w:ascii="Times New Roman" w:hAnsi="Times New Roman"/>
                <w:color w:val="000000"/>
                <w:sz w:val="16"/>
                <w:szCs w:val="16"/>
                <w:lang w:val="es-ES"/>
              </w:rPr>
              <w:t xml:space="preserve">Clase VII (Ps.142.602.000) </w:t>
            </w:r>
          </w:p>
        </w:tc>
        <w:tc>
          <w:tcPr>
            <w:tcW w:w="754" w:type="pct"/>
            <w:vAlign w:val="bottom"/>
          </w:tcPr>
          <w:p w14:paraId="120BEBBB" w14:textId="77777777" w:rsidR="001B3E41" w:rsidRPr="00AE4E8D" w:rsidRDefault="001B3E41" w:rsidP="005370B2">
            <w:pPr>
              <w:keepNext/>
              <w:keepLines/>
              <w:jc w:val="right"/>
              <w:rPr>
                <w:rFonts w:ascii="Times New Roman" w:hAnsi="Times New Roman"/>
                <w:sz w:val="16"/>
                <w:szCs w:val="16"/>
                <w:lang w:val="es-ES"/>
              </w:rPr>
            </w:pPr>
            <w:r w:rsidRPr="00AE4E8D">
              <w:rPr>
                <w:rFonts w:ascii="Times New Roman" w:hAnsi="Times New Roman"/>
                <w:color w:val="000000"/>
                <w:sz w:val="16"/>
                <w:szCs w:val="16"/>
                <w:lang w:val="es-ES"/>
              </w:rPr>
              <w:t>18/02/2016</w:t>
            </w:r>
          </w:p>
        </w:tc>
        <w:tc>
          <w:tcPr>
            <w:tcW w:w="754" w:type="pct"/>
            <w:vAlign w:val="bottom"/>
          </w:tcPr>
          <w:p w14:paraId="6E5F2D9D" w14:textId="77777777" w:rsidR="001B3E41" w:rsidRPr="00AE4E8D" w:rsidRDefault="001B3E41" w:rsidP="005370B2">
            <w:pPr>
              <w:keepNext/>
              <w:keepLines/>
              <w:jc w:val="right"/>
              <w:rPr>
                <w:rFonts w:ascii="Times New Roman" w:hAnsi="Times New Roman"/>
                <w:sz w:val="16"/>
                <w:szCs w:val="16"/>
                <w:lang w:val="es-ES"/>
              </w:rPr>
            </w:pPr>
            <w:r w:rsidRPr="00AE4E8D">
              <w:rPr>
                <w:rFonts w:ascii="Times New Roman" w:hAnsi="Times New Roman"/>
                <w:color w:val="000000"/>
                <w:sz w:val="16"/>
                <w:szCs w:val="16"/>
                <w:lang w:val="es-ES"/>
              </w:rPr>
              <w:t>18/</w:t>
            </w:r>
            <w:r w:rsidR="00B15C7E" w:rsidRPr="00AE4E8D">
              <w:rPr>
                <w:rFonts w:ascii="Times New Roman" w:hAnsi="Times New Roman"/>
                <w:color w:val="000000"/>
                <w:sz w:val="16"/>
                <w:szCs w:val="16"/>
                <w:lang w:val="es-ES"/>
              </w:rPr>
              <w:t>11</w:t>
            </w:r>
            <w:r w:rsidRPr="00AE4E8D">
              <w:rPr>
                <w:rFonts w:ascii="Times New Roman" w:hAnsi="Times New Roman"/>
                <w:color w:val="000000"/>
                <w:sz w:val="16"/>
                <w:szCs w:val="16"/>
                <w:lang w:val="es-ES"/>
              </w:rPr>
              <w:t>/2017</w:t>
            </w:r>
          </w:p>
        </w:tc>
        <w:tc>
          <w:tcPr>
            <w:tcW w:w="1040" w:type="pct"/>
            <w:vAlign w:val="bottom"/>
          </w:tcPr>
          <w:p w14:paraId="5465C137" w14:textId="77777777" w:rsidR="001B3E41" w:rsidRPr="00AE4E8D" w:rsidRDefault="001B3E41" w:rsidP="005370B2">
            <w:pPr>
              <w:keepNext/>
              <w:keepLines/>
              <w:jc w:val="center"/>
              <w:rPr>
                <w:rFonts w:ascii="Times New Roman" w:hAnsi="Times New Roman"/>
                <w:sz w:val="16"/>
                <w:szCs w:val="16"/>
                <w:lang w:val="es-ES"/>
              </w:rPr>
            </w:pPr>
            <w:r w:rsidRPr="00AE4E8D">
              <w:rPr>
                <w:rFonts w:ascii="Times New Roman" w:hAnsi="Times New Roman"/>
                <w:color w:val="000000"/>
                <w:sz w:val="16"/>
                <w:szCs w:val="16"/>
                <w:lang w:val="es-ES"/>
              </w:rPr>
              <w:t>Badlar + 4,75%</w:t>
            </w:r>
          </w:p>
        </w:tc>
        <w:tc>
          <w:tcPr>
            <w:tcW w:w="679" w:type="pct"/>
            <w:vAlign w:val="bottom"/>
          </w:tcPr>
          <w:p w14:paraId="5EB24B72"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95,1</w:t>
            </w:r>
          </w:p>
        </w:tc>
      </w:tr>
      <w:tr w:rsidR="001B3E41" w:rsidRPr="00AE4E8D" w14:paraId="3AFA26C7" w14:textId="77777777" w:rsidTr="000400C8">
        <w:trPr>
          <w:trHeight w:val="300"/>
          <w:jc w:val="center"/>
        </w:trPr>
        <w:tc>
          <w:tcPr>
            <w:tcW w:w="1772" w:type="pct"/>
            <w:noWrap/>
            <w:vAlign w:val="bottom"/>
          </w:tcPr>
          <w:p w14:paraId="5A7DFABC" w14:textId="77777777" w:rsidR="001B3E41" w:rsidRPr="00AE4E8D" w:rsidRDefault="001B3E41" w:rsidP="005370B2">
            <w:pPr>
              <w:keepNext/>
              <w:keepLines/>
              <w:rPr>
                <w:rFonts w:ascii="Times New Roman" w:hAnsi="Times New Roman"/>
                <w:sz w:val="16"/>
                <w:szCs w:val="16"/>
                <w:lang w:val="es-ES"/>
              </w:rPr>
            </w:pPr>
            <w:r w:rsidRPr="00AE4E8D">
              <w:rPr>
                <w:rFonts w:ascii="Times New Roman" w:hAnsi="Times New Roman"/>
                <w:color w:val="000000"/>
                <w:sz w:val="16"/>
                <w:szCs w:val="16"/>
                <w:lang w:val="es-ES"/>
              </w:rPr>
              <w:t xml:space="preserve">Clase VIII (Ps.150.000.000) </w:t>
            </w:r>
          </w:p>
        </w:tc>
        <w:tc>
          <w:tcPr>
            <w:tcW w:w="754" w:type="pct"/>
            <w:vAlign w:val="bottom"/>
          </w:tcPr>
          <w:p w14:paraId="2E08F103" w14:textId="77777777" w:rsidR="001B3E41" w:rsidRPr="00AE4E8D" w:rsidRDefault="001B3E41" w:rsidP="005370B2">
            <w:pPr>
              <w:keepNext/>
              <w:keepLines/>
              <w:jc w:val="right"/>
              <w:rPr>
                <w:rFonts w:ascii="Times New Roman" w:hAnsi="Times New Roman"/>
                <w:sz w:val="16"/>
                <w:szCs w:val="16"/>
                <w:lang w:val="es-ES"/>
              </w:rPr>
            </w:pPr>
            <w:r w:rsidRPr="00AE4E8D">
              <w:rPr>
                <w:rFonts w:ascii="Times New Roman" w:hAnsi="Times New Roman"/>
                <w:color w:val="000000"/>
                <w:sz w:val="16"/>
                <w:szCs w:val="16"/>
                <w:lang w:val="es-ES"/>
              </w:rPr>
              <w:t>24/05/2016</w:t>
            </w:r>
          </w:p>
        </w:tc>
        <w:tc>
          <w:tcPr>
            <w:tcW w:w="754" w:type="pct"/>
            <w:vAlign w:val="bottom"/>
          </w:tcPr>
          <w:p w14:paraId="2812DD74" w14:textId="77777777" w:rsidR="001B3E41" w:rsidRPr="00AE4E8D" w:rsidRDefault="001B3E41" w:rsidP="005370B2">
            <w:pPr>
              <w:keepNext/>
              <w:keepLines/>
              <w:jc w:val="right"/>
              <w:rPr>
                <w:rFonts w:ascii="Times New Roman" w:hAnsi="Times New Roman"/>
                <w:sz w:val="16"/>
                <w:szCs w:val="16"/>
                <w:lang w:val="es-ES"/>
              </w:rPr>
            </w:pPr>
            <w:r w:rsidRPr="00AE4E8D">
              <w:rPr>
                <w:rFonts w:ascii="Times New Roman" w:hAnsi="Times New Roman"/>
                <w:color w:val="000000"/>
                <w:sz w:val="16"/>
                <w:szCs w:val="16"/>
                <w:lang w:val="es-ES"/>
              </w:rPr>
              <w:t>24/11/2017</w:t>
            </w:r>
          </w:p>
        </w:tc>
        <w:tc>
          <w:tcPr>
            <w:tcW w:w="1040" w:type="pct"/>
            <w:vAlign w:val="bottom"/>
          </w:tcPr>
          <w:p w14:paraId="76C66B0D" w14:textId="77777777" w:rsidR="001B3E41" w:rsidRPr="00AE4E8D" w:rsidRDefault="001B3E41" w:rsidP="005370B2">
            <w:pPr>
              <w:keepNext/>
              <w:keepLines/>
              <w:jc w:val="center"/>
              <w:rPr>
                <w:rFonts w:ascii="Times New Roman" w:hAnsi="Times New Roman"/>
                <w:sz w:val="16"/>
                <w:szCs w:val="16"/>
                <w:lang w:val="es-ES"/>
              </w:rPr>
            </w:pPr>
            <w:r w:rsidRPr="00AE4E8D">
              <w:rPr>
                <w:rFonts w:ascii="Times New Roman" w:hAnsi="Times New Roman"/>
                <w:color w:val="000000"/>
                <w:sz w:val="16"/>
                <w:szCs w:val="16"/>
                <w:lang w:val="es-ES"/>
              </w:rPr>
              <w:t>Badlar + 4,39%</w:t>
            </w:r>
          </w:p>
        </w:tc>
        <w:tc>
          <w:tcPr>
            <w:tcW w:w="679" w:type="pct"/>
            <w:vAlign w:val="bottom"/>
          </w:tcPr>
          <w:p w14:paraId="3505CF9A"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150,0</w:t>
            </w:r>
          </w:p>
        </w:tc>
      </w:tr>
      <w:tr w:rsidR="001B3E41" w:rsidRPr="00AE4E8D" w14:paraId="53CC983B" w14:textId="77777777" w:rsidTr="000400C8">
        <w:trPr>
          <w:trHeight w:val="300"/>
          <w:jc w:val="center"/>
        </w:trPr>
        <w:tc>
          <w:tcPr>
            <w:tcW w:w="1772" w:type="pct"/>
            <w:noWrap/>
            <w:vAlign w:val="bottom"/>
          </w:tcPr>
          <w:p w14:paraId="29AE8659"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IX (Ps.249.500.000)</w:t>
            </w:r>
          </w:p>
        </w:tc>
        <w:tc>
          <w:tcPr>
            <w:tcW w:w="754" w:type="pct"/>
            <w:vAlign w:val="bottom"/>
          </w:tcPr>
          <w:p w14:paraId="2764C6F2"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27/07/2016</w:t>
            </w:r>
          </w:p>
        </w:tc>
        <w:tc>
          <w:tcPr>
            <w:tcW w:w="754" w:type="pct"/>
            <w:vAlign w:val="bottom"/>
          </w:tcPr>
          <w:p w14:paraId="6030F7BF"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27/07/2018</w:t>
            </w:r>
          </w:p>
        </w:tc>
        <w:tc>
          <w:tcPr>
            <w:tcW w:w="1040" w:type="pct"/>
            <w:vAlign w:val="bottom"/>
          </w:tcPr>
          <w:p w14:paraId="519D3F50"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+ 3,45%</w:t>
            </w:r>
          </w:p>
        </w:tc>
        <w:tc>
          <w:tcPr>
            <w:tcW w:w="679" w:type="pct"/>
            <w:vAlign w:val="bottom"/>
          </w:tcPr>
          <w:p w14:paraId="1892D39B"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249,5</w:t>
            </w:r>
          </w:p>
        </w:tc>
      </w:tr>
      <w:tr w:rsidR="001B3E41" w:rsidRPr="00AE4E8D" w14:paraId="1B6E00F2" w14:textId="77777777" w:rsidTr="000400C8">
        <w:trPr>
          <w:trHeight w:val="300"/>
          <w:jc w:val="center"/>
        </w:trPr>
        <w:tc>
          <w:tcPr>
            <w:tcW w:w="1772" w:type="pct"/>
            <w:noWrap/>
            <w:vAlign w:val="bottom"/>
          </w:tcPr>
          <w:p w14:paraId="6AF8EEBD"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 (Ps.91.000.000)</w:t>
            </w:r>
          </w:p>
        </w:tc>
        <w:tc>
          <w:tcPr>
            <w:tcW w:w="754" w:type="pct"/>
            <w:vAlign w:val="bottom"/>
          </w:tcPr>
          <w:p w14:paraId="6AEBCAA9"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10/11/2016</w:t>
            </w:r>
          </w:p>
        </w:tc>
        <w:tc>
          <w:tcPr>
            <w:tcW w:w="754" w:type="pct"/>
            <w:vAlign w:val="bottom"/>
          </w:tcPr>
          <w:p w14:paraId="72CA94ED" w14:textId="77777777" w:rsidR="001B3E41" w:rsidRPr="00AE4E8D" w:rsidRDefault="00D711E7"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11</w:t>
            </w:r>
            <w:r w:rsidR="0085031D">
              <w:rPr>
                <w:rFonts w:ascii="Times New Roman" w:hAnsi="Times New Roman"/>
                <w:color w:val="000000"/>
                <w:sz w:val="16"/>
                <w:szCs w:val="16"/>
                <w:lang w:val="es-ES"/>
              </w:rPr>
              <w:t>/05</w:t>
            </w:r>
            <w:r w:rsidR="001B3E41" w:rsidRPr="00AE4E8D">
              <w:rPr>
                <w:rFonts w:ascii="Times New Roman" w:hAnsi="Times New Roman"/>
                <w:color w:val="000000"/>
                <w:sz w:val="16"/>
                <w:szCs w:val="16"/>
                <w:lang w:val="es-ES"/>
              </w:rPr>
              <w:t>/2018</w:t>
            </w:r>
          </w:p>
        </w:tc>
        <w:tc>
          <w:tcPr>
            <w:tcW w:w="1040" w:type="pct"/>
            <w:vAlign w:val="bottom"/>
          </w:tcPr>
          <w:p w14:paraId="60C038B7"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+ 3,75%</w:t>
            </w:r>
          </w:p>
        </w:tc>
        <w:tc>
          <w:tcPr>
            <w:tcW w:w="679" w:type="pct"/>
            <w:vAlign w:val="bottom"/>
          </w:tcPr>
          <w:p w14:paraId="494C9E9E"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91,0</w:t>
            </w:r>
          </w:p>
        </w:tc>
      </w:tr>
      <w:tr w:rsidR="001B3E41" w:rsidRPr="00AE4E8D" w14:paraId="7CC54822" w14:textId="77777777" w:rsidTr="000400C8">
        <w:trPr>
          <w:trHeight w:val="300"/>
          <w:jc w:val="center"/>
        </w:trPr>
        <w:tc>
          <w:tcPr>
            <w:tcW w:w="1772" w:type="pct"/>
            <w:noWrap/>
            <w:vAlign w:val="bottom"/>
          </w:tcPr>
          <w:p w14:paraId="66270CD1"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XI (Ps.201.000.000)</w:t>
            </w:r>
          </w:p>
        </w:tc>
        <w:tc>
          <w:tcPr>
            <w:tcW w:w="754" w:type="pct"/>
            <w:vAlign w:val="bottom"/>
          </w:tcPr>
          <w:p w14:paraId="0323A404"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10/11/2016</w:t>
            </w:r>
          </w:p>
        </w:tc>
        <w:tc>
          <w:tcPr>
            <w:tcW w:w="754" w:type="pct"/>
            <w:vAlign w:val="bottom"/>
          </w:tcPr>
          <w:p w14:paraId="0957EB1F"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10/11/2019</w:t>
            </w:r>
          </w:p>
        </w:tc>
        <w:tc>
          <w:tcPr>
            <w:tcW w:w="1040" w:type="pct"/>
            <w:vAlign w:val="bottom"/>
          </w:tcPr>
          <w:p w14:paraId="0CE3CA8D"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+ 4,00%</w:t>
            </w:r>
          </w:p>
        </w:tc>
        <w:tc>
          <w:tcPr>
            <w:tcW w:w="679" w:type="pct"/>
            <w:vAlign w:val="bottom"/>
          </w:tcPr>
          <w:p w14:paraId="19DE35DE"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201,0</w:t>
            </w:r>
          </w:p>
        </w:tc>
      </w:tr>
      <w:tr w:rsidR="001B3E41" w:rsidRPr="00AE4E8D" w14:paraId="0D2B3A0F" w14:textId="77777777" w:rsidTr="000400C8">
        <w:trPr>
          <w:trHeight w:val="300"/>
          <w:jc w:val="center"/>
        </w:trPr>
        <w:tc>
          <w:tcPr>
            <w:tcW w:w="1772" w:type="pct"/>
            <w:noWrap/>
            <w:vAlign w:val="bottom"/>
          </w:tcPr>
          <w:p w14:paraId="376D4C65"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XII (Ps.98.461.000)</w:t>
            </w:r>
          </w:p>
        </w:tc>
        <w:tc>
          <w:tcPr>
            <w:tcW w:w="754" w:type="pct"/>
            <w:vAlign w:val="bottom"/>
          </w:tcPr>
          <w:p w14:paraId="771884E5"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28/04/2017</w:t>
            </w:r>
          </w:p>
        </w:tc>
        <w:tc>
          <w:tcPr>
            <w:tcW w:w="754" w:type="pct"/>
            <w:vAlign w:val="bottom"/>
          </w:tcPr>
          <w:p w14:paraId="02AF4CF7"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28/10/2018</w:t>
            </w:r>
          </w:p>
        </w:tc>
        <w:tc>
          <w:tcPr>
            <w:tcW w:w="1040" w:type="pct"/>
            <w:vAlign w:val="bottom"/>
          </w:tcPr>
          <w:p w14:paraId="1A28584E"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+ 3,00%</w:t>
            </w:r>
          </w:p>
        </w:tc>
        <w:tc>
          <w:tcPr>
            <w:tcW w:w="679" w:type="pct"/>
            <w:vAlign w:val="bottom"/>
          </w:tcPr>
          <w:p w14:paraId="18D06123"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98,5</w:t>
            </w:r>
          </w:p>
        </w:tc>
      </w:tr>
      <w:tr w:rsidR="001B3E41" w:rsidRPr="00AE4E8D" w14:paraId="52984A6D" w14:textId="77777777" w:rsidTr="000400C8">
        <w:trPr>
          <w:trHeight w:val="300"/>
          <w:jc w:val="center"/>
        </w:trPr>
        <w:tc>
          <w:tcPr>
            <w:tcW w:w="1772" w:type="pct"/>
            <w:noWrap/>
            <w:vAlign w:val="bottom"/>
          </w:tcPr>
          <w:p w14:paraId="4E5F09B8" w14:textId="77777777" w:rsidR="001B3E41" w:rsidRPr="00AE4E8D" w:rsidRDefault="001B3E41" w:rsidP="005370B2">
            <w:pPr>
              <w:keepNext/>
              <w:keepLines/>
              <w:rPr>
                <w:rFonts w:ascii="Times New Roman" w:hAnsi="Times New Roman"/>
                <w:color w:val="000000"/>
                <w:sz w:val="16"/>
                <w:szCs w:val="16"/>
                <w:lang w:val="es-ES"/>
              </w:rPr>
            </w:pPr>
            <w:r w:rsidRPr="00AE4E8D">
              <w:rPr>
                <w:rFonts w:ascii="Times New Roman" w:hAnsi="Times New Roman"/>
                <w:color w:val="000000"/>
                <w:sz w:val="16"/>
                <w:szCs w:val="16"/>
                <w:lang w:val="es-ES"/>
              </w:rPr>
              <w:t>Clase (Ps.201.539.000)</w:t>
            </w:r>
          </w:p>
        </w:tc>
        <w:tc>
          <w:tcPr>
            <w:tcW w:w="754" w:type="pct"/>
            <w:vAlign w:val="bottom"/>
          </w:tcPr>
          <w:p w14:paraId="2F04C17E"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28/04/2017</w:t>
            </w:r>
          </w:p>
        </w:tc>
        <w:tc>
          <w:tcPr>
            <w:tcW w:w="754" w:type="pct"/>
            <w:vAlign w:val="bottom"/>
          </w:tcPr>
          <w:p w14:paraId="647FDCF5"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28/04/2020</w:t>
            </w:r>
          </w:p>
        </w:tc>
        <w:tc>
          <w:tcPr>
            <w:tcW w:w="1040" w:type="pct"/>
            <w:vAlign w:val="bottom"/>
          </w:tcPr>
          <w:p w14:paraId="184C8935" w14:textId="77777777" w:rsidR="001B3E41" w:rsidRPr="00AE4E8D" w:rsidRDefault="001B3E41" w:rsidP="005370B2">
            <w:pPr>
              <w:keepNext/>
              <w:keepLines/>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Badlar + 3,50%</w:t>
            </w:r>
          </w:p>
        </w:tc>
        <w:tc>
          <w:tcPr>
            <w:tcW w:w="679" w:type="pct"/>
            <w:tcBorders>
              <w:bottom w:val="single" w:sz="4" w:space="0" w:color="auto"/>
            </w:tcBorders>
            <w:vAlign w:val="bottom"/>
          </w:tcPr>
          <w:p w14:paraId="4B3886CD"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201,5</w:t>
            </w:r>
          </w:p>
        </w:tc>
      </w:tr>
      <w:tr w:rsidR="001B3E41" w:rsidRPr="00AE4E8D" w14:paraId="0273A4EA" w14:textId="77777777" w:rsidTr="000400C8">
        <w:trPr>
          <w:trHeight w:val="300"/>
          <w:jc w:val="center"/>
        </w:trPr>
        <w:tc>
          <w:tcPr>
            <w:tcW w:w="1772" w:type="pct"/>
            <w:noWrap/>
            <w:vAlign w:val="bottom"/>
          </w:tcPr>
          <w:p w14:paraId="376C1D47" w14:textId="77777777" w:rsidR="001B3E41" w:rsidRPr="00AE4E8D" w:rsidRDefault="001B3E41" w:rsidP="005370B2">
            <w:pPr>
              <w:keepNext/>
              <w:keepLines/>
              <w:rPr>
                <w:rFonts w:ascii="Times New Roman" w:hAnsi="Times New Roman"/>
                <w:sz w:val="16"/>
                <w:szCs w:val="16"/>
                <w:lang w:val="es-ES"/>
              </w:rPr>
            </w:pPr>
          </w:p>
        </w:tc>
        <w:tc>
          <w:tcPr>
            <w:tcW w:w="754" w:type="pct"/>
            <w:vAlign w:val="bottom"/>
          </w:tcPr>
          <w:p w14:paraId="49ABF2ED" w14:textId="77777777" w:rsidR="001B3E41" w:rsidRPr="00AE4E8D" w:rsidRDefault="001B3E41" w:rsidP="005370B2">
            <w:pPr>
              <w:keepNext/>
              <w:keepLines/>
              <w:rPr>
                <w:rFonts w:ascii="Times New Roman" w:hAnsi="Times New Roman"/>
                <w:sz w:val="16"/>
                <w:szCs w:val="16"/>
                <w:lang w:val="es-ES"/>
              </w:rPr>
            </w:pPr>
          </w:p>
        </w:tc>
        <w:tc>
          <w:tcPr>
            <w:tcW w:w="754" w:type="pct"/>
            <w:vAlign w:val="bottom"/>
          </w:tcPr>
          <w:p w14:paraId="64934889" w14:textId="77777777" w:rsidR="001B3E41" w:rsidRPr="00AE4E8D" w:rsidRDefault="001B3E41" w:rsidP="005370B2">
            <w:pPr>
              <w:keepNext/>
              <w:keepLines/>
              <w:rPr>
                <w:rFonts w:ascii="Times New Roman" w:hAnsi="Times New Roman"/>
                <w:sz w:val="16"/>
                <w:szCs w:val="16"/>
                <w:lang w:val="es-ES"/>
              </w:rPr>
            </w:pPr>
          </w:p>
        </w:tc>
        <w:tc>
          <w:tcPr>
            <w:tcW w:w="1040" w:type="pct"/>
            <w:vAlign w:val="bottom"/>
          </w:tcPr>
          <w:p w14:paraId="015292D4" w14:textId="77777777" w:rsidR="001B3E41" w:rsidRPr="00AE4E8D" w:rsidRDefault="001B3E41" w:rsidP="005370B2">
            <w:pPr>
              <w:keepNext/>
              <w:keepLines/>
              <w:rPr>
                <w:rFonts w:ascii="Times New Roman" w:hAnsi="Times New Roman"/>
                <w:sz w:val="16"/>
                <w:szCs w:val="16"/>
                <w:lang w:val="es-ES"/>
              </w:rPr>
            </w:pPr>
          </w:p>
        </w:tc>
        <w:tc>
          <w:tcPr>
            <w:tcW w:w="679" w:type="pct"/>
            <w:tcBorders>
              <w:top w:val="single" w:sz="4" w:space="0" w:color="auto"/>
            </w:tcBorders>
            <w:vAlign w:val="bottom"/>
          </w:tcPr>
          <w:p w14:paraId="57D7876F" w14:textId="77777777" w:rsidR="001B3E41" w:rsidRPr="00AE4E8D" w:rsidRDefault="001B3E41" w:rsidP="005370B2">
            <w:pPr>
              <w:keepNext/>
              <w:keepLines/>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18.703,6</w:t>
            </w:r>
          </w:p>
        </w:tc>
      </w:tr>
    </w:tbl>
    <w:p w14:paraId="298A600E" w14:textId="77777777" w:rsidR="001B3E41" w:rsidRPr="00AE4E8D" w:rsidRDefault="001B3E41" w:rsidP="001B3E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muestra los vencimientos programados de nuestras obligaciones negociables no subordinadas al 30 de junio de 2017:</w:t>
      </w:r>
    </w:p>
    <w:tbl>
      <w:tblPr>
        <w:tblW w:w="5000" w:type="pct"/>
        <w:jc w:val="center"/>
        <w:tblLook w:val="00A0" w:firstRow="1" w:lastRow="0" w:firstColumn="1" w:lastColumn="0" w:noHBand="0" w:noVBand="0"/>
      </w:tblPr>
      <w:tblGrid>
        <w:gridCol w:w="1046"/>
        <w:gridCol w:w="991"/>
        <w:gridCol w:w="1156"/>
        <w:gridCol w:w="1160"/>
        <w:gridCol w:w="919"/>
        <w:gridCol w:w="750"/>
        <w:gridCol w:w="888"/>
        <w:gridCol w:w="569"/>
        <w:gridCol w:w="1235"/>
        <w:gridCol w:w="7"/>
      </w:tblGrid>
      <w:tr w:rsidR="001B3E41" w:rsidRPr="00AE4E8D" w14:paraId="49C3F2CC" w14:textId="77777777" w:rsidTr="000400C8">
        <w:trPr>
          <w:gridAfter w:val="1"/>
          <w:wAfter w:w="4" w:type="pct"/>
          <w:trHeight w:val="222"/>
          <w:jc w:val="center"/>
        </w:trPr>
        <w:tc>
          <w:tcPr>
            <w:tcW w:w="600" w:type="pct"/>
            <w:vAlign w:val="bottom"/>
          </w:tcPr>
          <w:p w14:paraId="3C93B1A9" w14:textId="77777777" w:rsidR="001B3E41" w:rsidRPr="00AE4E8D" w:rsidRDefault="001B3E41" w:rsidP="002A71B8">
            <w:pPr>
              <w:spacing w:after="200" w:line="276" w:lineRule="auto"/>
              <w:rPr>
                <w:rFonts w:ascii="Times New Roman" w:hAnsi="Times New Roman"/>
                <w:sz w:val="22"/>
                <w:szCs w:val="22"/>
                <w:lang w:val="es-ES"/>
              </w:rPr>
            </w:pPr>
          </w:p>
        </w:tc>
        <w:tc>
          <w:tcPr>
            <w:tcW w:w="4396" w:type="pct"/>
            <w:gridSpan w:val="8"/>
            <w:tcBorders>
              <w:top w:val="nil"/>
              <w:left w:val="nil"/>
              <w:bottom w:val="single" w:sz="4" w:space="0" w:color="auto"/>
              <w:right w:val="nil"/>
            </w:tcBorders>
            <w:vAlign w:val="bottom"/>
          </w:tcPr>
          <w:p w14:paraId="09137032" w14:textId="77777777" w:rsidR="001B3E41" w:rsidRPr="00AE4E8D" w:rsidRDefault="001B3E41" w:rsidP="002A71B8">
            <w:pPr>
              <w:spacing w:line="276" w:lineRule="auto"/>
              <w:jc w:val="center"/>
              <w:rPr>
                <w:rFonts w:ascii="Times New Roman" w:eastAsia="MS Mincho" w:hAnsi="Times New Roman"/>
                <w:b/>
                <w:bCs/>
                <w:color w:val="000000"/>
                <w:sz w:val="16"/>
                <w:szCs w:val="16"/>
                <w:lang w:val="es-ES" w:eastAsia="es-ES"/>
              </w:rPr>
            </w:pPr>
            <w:r w:rsidRPr="00AE4E8D">
              <w:rPr>
                <w:rFonts w:ascii="Times New Roman" w:eastAsia="MS Mincho" w:hAnsi="Times New Roman"/>
                <w:b/>
                <w:bCs/>
                <w:color w:val="000000"/>
                <w:sz w:val="16"/>
                <w:szCs w:val="16"/>
                <w:lang w:val="es-ES" w:eastAsia="es-ES"/>
              </w:rPr>
              <w:t>Al 30 de junio de 2017</w:t>
            </w:r>
          </w:p>
        </w:tc>
      </w:tr>
      <w:tr w:rsidR="003B5193" w:rsidRPr="00AE4E8D" w14:paraId="0107B869" w14:textId="77777777" w:rsidTr="00B200E8">
        <w:trPr>
          <w:trHeight w:val="434"/>
          <w:jc w:val="center"/>
        </w:trPr>
        <w:tc>
          <w:tcPr>
            <w:tcW w:w="600" w:type="pct"/>
            <w:vAlign w:val="bottom"/>
          </w:tcPr>
          <w:p w14:paraId="7D4664A2" w14:textId="77777777" w:rsidR="001B3E41" w:rsidRPr="00AE4E8D" w:rsidRDefault="001B3E41" w:rsidP="002A71B8">
            <w:pPr>
              <w:spacing w:line="276" w:lineRule="auto"/>
              <w:rPr>
                <w:rFonts w:ascii="Times New Roman" w:hAnsi="Times New Roman"/>
                <w:sz w:val="22"/>
                <w:szCs w:val="22"/>
                <w:lang w:val="es-ES"/>
              </w:rPr>
            </w:pPr>
          </w:p>
        </w:tc>
        <w:tc>
          <w:tcPr>
            <w:tcW w:w="568" w:type="pct"/>
            <w:tcBorders>
              <w:top w:val="nil"/>
              <w:left w:val="nil"/>
              <w:bottom w:val="single" w:sz="4" w:space="0" w:color="auto"/>
              <w:right w:val="nil"/>
            </w:tcBorders>
            <w:vAlign w:val="center"/>
          </w:tcPr>
          <w:p w14:paraId="108F839B" w14:textId="77777777" w:rsidR="001B3E41" w:rsidRPr="00AE4E8D" w:rsidRDefault="001B3E41" w:rsidP="002A71B8">
            <w:pPr>
              <w:spacing w:line="276" w:lineRule="auto"/>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Inmediato</w:t>
            </w:r>
          </w:p>
        </w:tc>
        <w:tc>
          <w:tcPr>
            <w:tcW w:w="663" w:type="pct"/>
            <w:tcBorders>
              <w:top w:val="nil"/>
              <w:left w:val="nil"/>
              <w:bottom w:val="single" w:sz="4" w:space="0" w:color="auto"/>
              <w:right w:val="nil"/>
            </w:tcBorders>
            <w:vAlign w:val="center"/>
          </w:tcPr>
          <w:p w14:paraId="6CB88262" w14:textId="77777777" w:rsidR="001B3E41" w:rsidRPr="00AE4E8D" w:rsidRDefault="001B3E41" w:rsidP="002A71B8">
            <w:pPr>
              <w:spacing w:line="276" w:lineRule="auto"/>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Menos de 1 año</w:t>
            </w:r>
          </w:p>
        </w:tc>
        <w:tc>
          <w:tcPr>
            <w:tcW w:w="665" w:type="pct"/>
            <w:tcBorders>
              <w:top w:val="nil"/>
              <w:left w:val="nil"/>
              <w:bottom w:val="single" w:sz="4" w:space="0" w:color="auto"/>
              <w:right w:val="nil"/>
            </w:tcBorders>
            <w:vAlign w:val="center"/>
          </w:tcPr>
          <w:p w14:paraId="7D6EE8D4" w14:textId="77777777" w:rsidR="001B3E41" w:rsidRPr="00AE4E8D" w:rsidRDefault="001B3E41" w:rsidP="002A71B8">
            <w:pPr>
              <w:spacing w:line="276" w:lineRule="auto"/>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1 a 2 años</w:t>
            </w:r>
          </w:p>
        </w:tc>
        <w:tc>
          <w:tcPr>
            <w:tcW w:w="527" w:type="pct"/>
            <w:tcBorders>
              <w:top w:val="nil"/>
              <w:left w:val="nil"/>
              <w:bottom w:val="single" w:sz="4" w:space="0" w:color="auto"/>
              <w:right w:val="nil"/>
            </w:tcBorders>
            <w:vAlign w:val="center"/>
          </w:tcPr>
          <w:p w14:paraId="22E6F757" w14:textId="77777777" w:rsidR="001B3E41" w:rsidRPr="00AE4E8D" w:rsidRDefault="001B3E41" w:rsidP="002A71B8">
            <w:pPr>
              <w:spacing w:line="276" w:lineRule="auto"/>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 a 3 años</w:t>
            </w:r>
          </w:p>
        </w:tc>
        <w:tc>
          <w:tcPr>
            <w:tcW w:w="430" w:type="pct"/>
            <w:tcBorders>
              <w:top w:val="nil"/>
              <w:left w:val="nil"/>
              <w:bottom w:val="single" w:sz="4" w:space="0" w:color="auto"/>
              <w:right w:val="nil"/>
            </w:tcBorders>
            <w:vAlign w:val="center"/>
          </w:tcPr>
          <w:p w14:paraId="11AB94DB" w14:textId="77777777" w:rsidR="001B3E41" w:rsidRPr="00AE4E8D" w:rsidRDefault="001B3E41" w:rsidP="002A71B8">
            <w:pPr>
              <w:spacing w:line="276" w:lineRule="auto"/>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3 a 4 años</w:t>
            </w:r>
          </w:p>
        </w:tc>
        <w:tc>
          <w:tcPr>
            <w:tcW w:w="509" w:type="pct"/>
            <w:tcBorders>
              <w:top w:val="nil"/>
              <w:left w:val="nil"/>
              <w:bottom w:val="single" w:sz="4" w:space="0" w:color="auto"/>
              <w:right w:val="nil"/>
            </w:tcBorders>
            <w:vAlign w:val="center"/>
          </w:tcPr>
          <w:p w14:paraId="7E7A5DA3" w14:textId="77777777" w:rsidR="001B3E41" w:rsidRPr="00AE4E8D" w:rsidRDefault="001B3E41" w:rsidP="002A71B8">
            <w:pPr>
              <w:spacing w:line="276" w:lineRule="auto"/>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4 a 5 años</w:t>
            </w:r>
          </w:p>
        </w:tc>
        <w:tc>
          <w:tcPr>
            <w:tcW w:w="326" w:type="pct"/>
            <w:tcBorders>
              <w:top w:val="nil"/>
              <w:left w:val="nil"/>
              <w:bottom w:val="single" w:sz="4" w:space="0" w:color="auto"/>
              <w:right w:val="nil"/>
            </w:tcBorders>
            <w:vAlign w:val="center"/>
          </w:tcPr>
          <w:p w14:paraId="37672C61" w14:textId="77777777" w:rsidR="001B3E41" w:rsidRPr="00AE4E8D" w:rsidRDefault="001B3E41" w:rsidP="002A71B8">
            <w:pPr>
              <w:spacing w:line="276" w:lineRule="auto"/>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Más de 5 años</w:t>
            </w:r>
          </w:p>
        </w:tc>
        <w:tc>
          <w:tcPr>
            <w:tcW w:w="712" w:type="pct"/>
            <w:gridSpan w:val="2"/>
            <w:tcBorders>
              <w:top w:val="nil"/>
              <w:left w:val="nil"/>
              <w:bottom w:val="single" w:sz="4" w:space="0" w:color="auto"/>
              <w:right w:val="nil"/>
            </w:tcBorders>
            <w:vAlign w:val="center"/>
          </w:tcPr>
          <w:p w14:paraId="0C1E49F3" w14:textId="77777777" w:rsidR="001B3E41" w:rsidRPr="00AE4E8D" w:rsidRDefault="001B3E41" w:rsidP="002A71B8">
            <w:pPr>
              <w:spacing w:line="276" w:lineRule="auto"/>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Total</w:t>
            </w:r>
          </w:p>
        </w:tc>
      </w:tr>
      <w:tr w:rsidR="001B3E41" w:rsidRPr="00AE4E8D" w14:paraId="57F8332A" w14:textId="77777777" w:rsidTr="000400C8">
        <w:trPr>
          <w:gridAfter w:val="1"/>
          <w:wAfter w:w="4" w:type="pct"/>
          <w:trHeight w:val="310"/>
          <w:jc w:val="center"/>
        </w:trPr>
        <w:tc>
          <w:tcPr>
            <w:tcW w:w="600" w:type="pct"/>
            <w:vAlign w:val="bottom"/>
          </w:tcPr>
          <w:p w14:paraId="203A526A" w14:textId="77777777" w:rsidR="001B3E41" w:rsidRPr="00AE4E8D" w:rsidRDefault="001B3E41" w:rsidP="002A71B8">
            <w:pPr>
              <w:spacing w:line="276" w:lineRule="auto"/>
              <w:rPr>
                <w:rFonts w:ascii="Times New Roman" w:hAnsi="Times New Roman"/>
                <w:sz w:val="22"/>
                <w:szCs w:val="22"/>
                <w:lang w:val="es-ES"/>
              </w:rPr>
            </w:pPr>
          </w:p>
        </w:tc>
        <w:tc>
          <w:tcPr>
            <w:tcW w:w="568" w:type="pct"/>
            <w:vAlign w:val="bottom"/>
          </w:tcPr>
          <w:p w14:paraId="78785DCF" w14:textId="77777777" w:rsidR="001B3E41" w:rsidRPr="00AE4E8D" w:rsidRDefault="001B3E41" w:rsidP="002A71B8">
            <w:pPr>
              <w:spacing w:line="276" w:lineRule="auto"/>
              <w:rPr>
                <w:rFonts w:ascii="Times New Roman" w:hAnsi="Times New Roman"/>
                <w:sz w:val="22"/>
                <w:szCs w:val="22"/>
                <w:lang w:val="es-ES"/>
              </w:rPr>
            </w:pPr>
          </w:p>
        </w:tc>
        <w:tc>
          <w:tcPr>
            <w:tcW w:w="3828" w:type="pct"/>
            <w:gridSpan w:val="7"/>
            <w:vAlign w:val="bottom"/>
          </w:tcPr>
          <w:p w14:paraId="3CB3C779" w14:textId="77777777" w:rsidR="001B3E41" w:rsidRPr="00AE4E8D" w:rsidRDefault="001B3E41" w:rsidP="002A71B8">
            <w:pPr>
              <w:spacing w:line="276" w:lineRule="auto"/>
              <w:jc w:val="center"/>
              <w:rPr>
                <w:rFonts w:ascii="Times New Roman" w:hAnsi="Times New Roman"/>
                <w:color w:val="000000"/>
                <w:sz w:val="16"/>
                <w:szCs w:val="16"/>
                <w:lang w:val="es-ES"/>
              </w:rPr>
            </w:pPr>
            <w:r w:rsidRPr="00AE4E8D">
              <w:rPr>
                <w:rFonts w:ascii="Times New Roman" w:eastAsia="MS Mincho" w:hAnsi="Times New Roman"/>
                <w:color w:val="000000"/>
                <w:sz w:val="16"/>
                <w:szCs w:val="16"/>
                <w:lang w:val="es-ES" w:eastAsia="es-ES"/>
              </w:rPr>
              <w:t>(en millones pesos)</w:t>
            </w:r>
          </w:p>
        </w:tc>
      </w:tr>
      <w:tr w:rsidR="001B3E41" w:rsidRPr="00AE4E8D" w14:paraId="5E90F0D8" w14:textId="77777777" w:rsidTr="000400C8">
        <w:trPr>
          <w:trHeight w:val="310"/>
          <w:jc w:val="center"/>
        </w:trPr>
        <w:tc>
          <w:tcPr>
            <w:tcW w:w="600" w:type="pct"/>
            <w:vAlign w:val="bottom"/>
          </w:tcPr>
          <w:p w14:paraId="67CFB3AA" w14:textId="77777777" w:rsidR="001B3E41" w:rsidRPr="00AE4E8D" w:rsidRDefault="001B3E41" w:rsidP="002A71B8">
            <w:pPr>
              <w:spacing w:line="276" w:lineRule="auto"/>
              <w:ind w:firstLineChars="100" w:firstLine="160"/>
              <w:rPr>
                <w:rFonts w:ascii="Times New Roman" w:hAnsi="Times New Roman"/>
                <w:color w:val="000000"/>
                <w:sz w:val="16"/>
                <w:szCs w:val="16"/>
                <w:lang w:val="es-ES"/>
              </w:rPr>
            </w:pPr>
            <w:r w:rsidRPr="00AE4E8D">
              <w:rPr>
                <w:rFonts w:ascii="Times New Roman" w:eastAsia="MS Mincho" w:hAnsi="Times New Roman"/>
                <w:color w:val="000000"/>
                <w:sz w:val="16"/>
                <w:szCs w:val="16"/>
                <w:lang w:val="es-ES" w:eastAsia="es-ES"/>
              </w:rPr>
              <w:t xml:space="preserve">Banco Hipotecario </w:t>
            </w:r>
          </w:p>
        </w:tc>
        <w:tc>
          <w:tcPr>
            <w:tcW w:w="568" w:type="pct"/>
            <w:vAlign w:val="bottom"/>
          </w:tcPr>
          <w:p w14:paraId="262C5FB2"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663" w:type="pct"/>
            <w:vAlign w:val="bottom"/>
          </w:tcPr>
          <w:p w14:paraId="0F5FE877"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1.368,4</w:t>
            </w:r>
          </w:p>
        </w:tc>
        <w:tc>
          <w:tcPr>
            <w:tcW w:w="665" w:type="pct"/>
            <w:vAlign w:val="bottom"/>
          </w:tcPr>
          <w:p w14:paraId="6D65C491"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1.066,8</w:t>
            </w:r>
          </w:p>
        </w:tc>
        <w:tc>
          <w:tcPr>
            <w:tcW w:w="527" w:type="pct"/>
            <w:vAlign w:val="bottom"/>
          </w:tcPr>
          <w:p w14:paraId="7432D660"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7.745,5</w:t>
            </w:r>
          </w:p>
        </w:tc>
        <w:tc>
          <w:tcPr>
            <w:tcW w:w="430" w:type="pct"/>
            <w:vAlign w:val="bottom"/>
          </w:tcPr>
          <w:p w14:paraId="5D5709B3"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5.794,5</w:t>
            </w:r>
          </w:p>
        </w:tc>
        <w:tc>
          <w:tcPr>
            <w:tcW w:w="509" w:type="pct"/>
            <w:vAlign w:val="bottom"/>
          </w:tcPr>
          <w:p w14:paraId="6F1BF65C"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326" w:type="pct"/>
            <w:vAlign w:val="bottom"/>
          </w:tcPr>
          <w:p w14:paraId="1EC71B90"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712" w:type="pct"/>
            <w:gridSpan w:val="2"/>
            <w:vAlign w:val="bottom"/>
          </w:tcPr>
          <w:p w14:paraId="57792BC4"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15.975,2</w:t>
            </w:r>
          </w:p>
        </w:tc>
      </w:tr>
      <w:tr w:rsidR="001B3E41" w:rsidRPr="00AE4E8D" w14:paraId="62ABF747" w14:textId="77777777" w:rsidTr="000400C8">
        <w:trPr>
          <w:trHeight w:val="310"/>
          <w:jc w:val="center"/>
        </w:trPr>
        <w:tc>
          <w:tcPr>
            <w:tcW w:w="600" w:type="pct"/>
            <w:vAlign w:val="bottom"/>
          </w:tcPr>
          <w:p w14:paraId="797464DC" w14:textId="77777777" w:rsidR="001B3E41" w:rsidRPr="00AE4E8D" w:rsidRDefault="001B3E41" w:rsidP="002A71B8">
            <w:pPr>
              <w:spacing w:line="276" w:lineRule="auto"/>
              <w:ind w:firstLineChars="100" w:firstLine="160"/>
              <w:rPr>
                <w:rFonts w:ascii="Times New Roman" w:hAnsi="Times New Roman"/>
                <w:color w:val="000000"/>
                <w:sz w:val="16"/>
                <w:szCs w:val="16"/>
                <w:lang w:val="es-ES"/>
              </w:rPr>
            </w:pPr>
            <w:r w:rsidRPr="00AE4E8D">
              <w:rPr>
                <w:rFonts w:ascii="Times New Roman" w:eastAsia="MS Mincho" w:hAnsi="Times New Roman"/>
                <w:color w:val="000000"/>
                <w:sz w:val="16"/>
                <w:szCs w:val="16"/>
                <w:lang w:val="es-ES" w:eastAsia="es-ES"/>
              </w:rPr>
              <w:t xml:space="preserve">Tarshop </w:t>
            </w:r>
          </w:p>
        </w:tc>
        <w:tc>
          <w:tcPr>
            <w:tcW w:w="568" w:type="pct"/>
            <w:vAlign w:val="bottom"/>
          </w:tcPr>
          <w:p w14:paraId="014E3653"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663" w:type="pct"/>
            <w:vAlign w:val="bottom"/>
          </w:tcPr>
          <w:p w14:paraId="3086BEEF"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721,8</w:t>
            </w:r>
          </w:p>
        </w:tc>
        <w:tc>
          <w:tcPr>
            <w:tcW w:w="665" w:type="pct"/>
            <w:vAlign w:val="bottom"/>
          </w:tcPr>
          <w:p w14:paraId="3C5793D1"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657,3</w:t>
            </w:r>
          </w:p>
        </w:tc>
        <w:tc>
          <w:tcPr>
            <w:tcW w:w="527" w:type="pct"/>
            <w:vAlign w:val="bottom"/>
          </w:tcPr>
          <w:p w14:paraId="06CE98BA"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262,7</w:t>
            </w:r>
          </w:p>
        </w:tc>
        <w:tc>
          <w:tcPr>
            <w:tcW w:w="430" w:type="pct"/>
            <w:vAlign w:val="bottom"/>
          </w:tcPr>
          <w:p w14:paraId="3EC5C0A2"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509" w:type="pct"/>
            <w:vAlign w:val="bottom"/>
          </w:tcPr>
          <w:p w14:paraId="437BCF02"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326" w:type="pct"/>
            <w:vAlign w:val="bottom"/>
          </w:tcPr>
          <w:p w14:paraId="7FC1567D"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712" w:type="pct"/>
            <w:gridSpan w:val="2"/>
            <w:vAlign w:val="bottom"/>
          </w:tcPr>
          <w:p w14:paraId="372006A7"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1.641,8</w:t>
            </w:r>
          </w:p>
        </w:tc>
      </w:tr>
      <w:tr w:rsidR="001B3E41" w:rsidRPr="00AE4E8D" w14:paraId="050C892E" w14:textId="77777777" w:rsidTr="000400C8">
        <w:trPr>
          <w:trHeight w:val="310"/>
          <w:jc w:val="center"/>
        </w:trPr>
        <w:tc>
          <w:tcPr>
            <w:tcW w:w="600" w:type="pct"/>
            <w:vAlign w:val="bottom"/>
          </w:tcPr>
          <w:p w14:paraId="7A3A4AFC" w14:textId="77777777" w:rsidR="001B3E41" w:rsidRPr="00AE4E8D" w:rsidRDefault="001B3E41" w:rsidP="002A71B8">
            <w:pPr>
              <w:spacing w:line="276" w:lineRule="auto"/>
              <w:ind w:firstLineChars="100" w:firstLine="160"/>
              <w:rPr>
                <w:rFonts w:ascii="Times New Roman" w:hAnsi="Times New Roman"/>
                <w:color w:val="000000"/>
                <w:sz w:val="16"/>
                <w:szCs w:val="16"/>
                <w:lang w:val="es-ES"/>
              </w:rPr>
            </w:pPr>
            <w:r w:rsidRPr="00AE4E8D">
              <w:rPr>
                <w:rFonts w:ascii="Times New Roman" w:eastAsia="MS Mincho" w:hAnsi="Times New Roman"/>
                <w:color w:val="000000"/>
                <w:sz w:val="16"/>
                <w:szCs w:val="16"/>
                <w:lang w:val="es-ES" w:eastAsia="es-ES"/>
              </w:rPr>
              <w:t xml:space="preserve">BACS </w:t>
            </w:r>
            <w:r w:rsidR="00D2094A" w:rsidRPr="00AE4E8D">
              <w:rPr>
                <w:rFonts w:ascii="Times New Roman" w:eastAsia="MS Mincho" w:hAnsi="Times New Roman"/>
                <w:color w:val="000000"/>
                <w:sz w:val="16"/>
                <w:szCs w:val="16"/>
                <w:lang w:val="es-ES" w:eastAsia="es-ES"/>
              </w:rPr>
              <w:t>*</w:t>
            </w:r>
          </w:p>
        </w:tc>
        <w:tc>
          <w:tcPr>
            <w:tcW w:w="568" w:type="pct"/>
            <w:tcBorders>
              <w:top w:val="nil"/>
              <w:left w:val="nil"/>
              <w:bottom w:val="single" w:sz="4" w:space="0" w:color="auto"/>
              <w:right w:val="nil"/>
            </w:tcBorders>
            <w:vAlign w:val="bottom"/>
          </w:tcPr>
          <w:p w14:paraId="295BB0D7"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663" w:type="pct"/>
            <w:tcBorders>
              <w:top w:val="nil"/>
              <w:left w:val="nil"/>
              <w:bottom w:val="single" w:sz="4" w:space="0" w:color="auto"/>
              <w:right w:val="nil"/>
            </w:tcBorders>
            <w:vAlign w:val="bottom"/>
          </w:tcPr>
          <w:p w14:paraId="3D9BF55B"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336,1</w:t>
            </w:r>
          </w:p>
        </w:tc>
        <w:tc>
          <w:tcPr>
            <w:tcW w:w="665" w:type="pct"/>
            <w:tcBorders>
              <w:top w:val="nil"/>
              <w:left w:val="nil"/>
              <w:bottom w:val="single" w:sz="4" w:space="0" w:color="auto"/>
              <w:right w:val="nil"/>
            </w:tcBorders>
            <w:vAlign w:val="bottom"/>
          </w:tcPr>
          <w:p w14:paraId="23208851"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348,0</w:t>
            </w:r>
          </w:p>
        </w:tc>
        <w:tc>
          <w:tcPr>
            <w:tcW w:w="527" w:type="pct"/>
            <w:tcBorders>
              <w:top w:val="nil"/>
              <w:left w:val="nil"/>
              <w:bottom w:val="single" w:sz="4" w:space="0" w:color="auto"/>
              <w:right w:val="nil"/>
            </w:tcBorders>
            <w:vAlign w:val="bottom"/>
          </w:tcPr>
          <w:p w14:paraId="321A4040"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402,5</w:t>
            </w:r>
          </w:p>
        </w:tc>
        <w:tc>
          <w:tcPr>
            <w:tcW w:w="430" w:type="pct"/>
            <w:tcBorders>
              <w:top w:val="nil"/>
              <w:left w:val="nil"/>
              <w:bottom w:val="single" w:sz="4" w:space="0" w:color="auto"/>
              <w:right w:val="nil"/>
            </w:tcBorders>
            <w:vAlign w:val="bottom"/>
          </w:tcPr>
          <w:p w14:paraId="341FB343"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509" w:type="pct"/>
            <w:tcBorders>
              <w:top w:val="nil"/>
              <w:left w:val="nil"/>
              <w:bottom w:val="single" w:sz="4" w:space="0" w:color="auto"/>
              <w:right w:val="nil"/>
            </w:tcBorders>
            <w:vAlign w:val="bottom"/>
          </w:tcPr>
          <w:p w14:paraId="3F2CED47"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326" w:type="pct"/>
            <w:tcBorders>
              <w:top w:val="nil"/>
              <w:left w:val="nil"/>
              <w:bottom w:val="single" w:sz="4" w:space="0" w:color="auto"/>
              <w:right w:val="nil"/>
            </w:tcBorders>
            <w:vAlign w:val="bottom"/>
          </w:tcPr>
          <w:p w14:paraId="399791C3"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w:t>
            </w:r>
          </w:p>
        </w:tc>
        <w:tc>
          <w:tcPr>
            <w:tcW w:w="712" w:type="pct"/>
            <w:gridSpan w:val="2"/>
            <w:tcBorders>
              <w:top w:val="nil"/>
              <w:left w:val="nil"/>
              <w:bottom w:val="single" w:sz="4" w:space="0" w:color="auto"/>
              <w:right w:val="nil"/>
            </w:tcBorders>
            <w:vAlign w:val="bottom"/>
          </w:tcPr>
          <w:p w14:paraId="06BFBEEF" w14:textId="77777777" w:rsidR="001B3E41" w:rsidRPr="00AE4E8D" w:rsidRDefault="001B3E41" w:rsidP="002A71B8">
            <w:pPr>
              <w:spacing w:line="276" w:lineRule="auto"/>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1.086,6</w:t>
            </w:r>
          </w:p>
        </w:tc>
      </w:tr>
      <w:tr w:rsidR="001B3E41" w:rsidRPr="00AE4E8D" w14:paraId="32C4E454" w14:textId="77777777" w:rsidTr="000400C8">
        <w:trPr>
          <w:gridAfter w:val="1"/>
          <w:wAfter w:w="4" w:type="pct"/>
          <w:trHeight w:val="310"/>
          <w:jc w:val="center"/>
        </w:trPr>
        <w:tc>
          <w:tcPr>
            <w:tcW w:w="600" w:type="pct"/>
            <w:vAlign w:val="bottom"/>
          </w:tcPr>
          <w:p w14:paraId="4CF75F95" w14:textId="77777777" w:rsidR="001B3E41" w:rsidRPr="00AE4E8D" w:rsidRDefault="001B3E41" w:rsidP="002A71B8">
            <w:pPr>
              <w:spacing w:line="276" w:lineRule="auto"/>
              <w:ind w:firstLineChars="100" w:firstLine="160"/>
              <w:rPr>
                <w:rFonts w:ascii="Times New Roman" w:hAnsi="Times New Roman"/>
                <w:color w:val="000000"/>
                <w:sz w:val="16"/>
                <w:szCs w:val="16"/>
                <w:lang w:val="es-ES"/>
              </w:rPr>
            </w:pPr>
            <w:r w:rsidRPr="00AE4E8D">
              <w:rPr>
                <w:rFonts w:ascii="Times New Roman" w:eastAsia="MS Mincho" w:hAnsi="Times New Roman"/>
                <w:color w:val="000000"/>
                <w:sz w:val="16"/>
                <w:szCs w:val="16"/>
                <w:lang w:val="es-ES" w:eastAsia="es-ES"/>
              </w:rPr>
              <w:t>Total</w:t>
            </w:r>
          </w:p>
        </w:tc>
        <w:tc>
          <w:tcPr>
            <w:tcW w:w="568" w:type="pct"/>
            <w:vAlign w:val="bottom"/>
          </w:tcPr>
          <w:p w14:paraId="491AC7F8" w14:textId="77777777" w:rsidR="001B3E41" w:rsidRPr="00AE4E8D" w:rsidRDefault="001B3E41" w:rsidP="002A71B8">
            <w:pPr>
              <w:spacing w:line="276" w:lineRule="auto"/>
              <w:jc w:val="right"/>
              <w:rPr>
                <w:rFonts w:ascii="Times New Roman" w:hAnsi="Times New Roman"/>
                <w:b/>
                <w:color w:val="000000"/>
                <w:sz w:val="16"/>
                <w:szCs w:val="16"/>
                <w:lang w:val="es-ES"/>
              </w:rPr>
            </w:pPr>
            <w:r w:rsidRPr="00AE4E8D">
              <w:rPr>
                <w:rFonts w:ascii="Times New Roman" w:hAnsi="Times New Roman"/>
                <w:b/>
                <w:color w:val="000000"/>
                <w:sz w:val="16"/>
                <w:szCs w:val="16"/>
                <w:lang w:val="es-ES"/>
              </w:rPr>
              <w:t>-</w:t>
            </w:r>
          </w:p>
        </w:tc>
        <w:tc>
          <w:tcPr>
            <w:tcW w:w="663" w:type="pct"/>
            <w:vAlign w:val="bottom"/>
          </w:tcPr>
          <w:p w14:paraId="23766411" w14:textId="77777777" w:rsidR="001B3E41" w:rsidRPr="00AE4E8D" w:rsidRDefault="001B3E41" w:rsidP="002A71B8">
            <w:pPr>
              <w:spacing w:line="276" w:lineRule="auto"/>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2.426,3</w:t>
            </w:r>
          </w:p>
        </w:tc>
        <w:tc>
          <w:tcPr>
            <w:tcW w:w="665" w:type="pct"/>
            <w:vAlign w:val="bottom"/>
          </w:tcPr>
          <w:p w14:paraId="0FE99408" w14:textId="77777777" w:rsidR="001B3E41" w:rsidRPr="00AE4E8D" w:rsidRDefault="001B3E41" w:rsidP="002A71B8">
            <w:pPr>
              <w:spacing w:line="276" w:lineRule="auto"/>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2.072,1</w:t>
            </w:r>
          </w:p>
        </w:tc>
        <w:tc>
          <w:tcPr>
            <w:tcW w:w="527" w:type="pct"/>
            <w:vAlign w:val="bottom"/>
          </w:tcPr>
          <w:p w14:paraId="0EE09EB2" w14:textId="77777777" w:rsidR="001B3E41" w:rsidRPr="00AE4E8D" w:rsidRDefault="001B3E41" w:rsidP="002A71B8">
            <w:pPr>
              <w:spacing w:line="276" w:lineRule="auto"/>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8.410,7</w:t>
            </w:r>
          </w:p>
        </w:tc>
        <w:tc>
          <w:tcPr>
            <w:tcW w:w="430" w:type="pct"/>
            <w:vAlign w:val="bottom"/>
          </w:tcPr>
          <w:p w14:paraId="5A34D772" w14:textId="77777777" w:rsidR="001B3E41" w:rsidRPr="00AE4E8D" w:rsidRDefault="001B3E41" w:rsidP="002A71B8">
            <w:pPr>
              <w:spacing w:line="276" w:lineRule="auto"/>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5.794,5</w:t>
            </w:r>
          </w:p>
        </w:tc>
        <w:tc>
          <w:tcPr>
            <w:tcW w:w="509" w:type="pct"/>
            <w:vAlign w:val="bottom"/>
          </w:tcPr>
          <w:p w14:paraId="383A26E0" w14:textId="77777777" w:rsidR="001B3E41" w:rsidRPr="00AE4E8D" w:rsidRDefault="001B3E41" w:rsidP="002A71B8">
            <w:pPr>
              <w:spacing w:line="276" w:lineRule="auto"/>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w:t>
            </w:r>
          </w:p>
        </w:tc>
        <w:tc>
          <w:tcPr>
            <w:tcW w:w="326" w:type="pct"/>
            <w:vAlign w:val="bottom"/>
          </w:tcPr>
          <w:p w14:paraId="29F23FE2" w14:textId="77777777" w:rsidR="001B3E41" w:rsidRPr="00AE4E8D" w:rsidRDefault="001B3E41" w:rsidP="002A71B8">
            <w:pPr>
              <w:spacing w:line="276" w:lineRule="auto"/>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w:t>
            </w:r>
          </w:p>
        </w:tc>
        <w:tc>
          <w:tcPr>
            <w:tcW w:w="708" w:type="pct"/>
            <w:vAlign w:val="bottom"/>
          </w:tcPr>
          <w:p w14:paraId="4D899924" w14:textId="77777777" w:rsidR="001B3E41" w:rsidRPr="00AE4E8D" w:rsidRDefault="001B3E41" w:rsidP="002A71B8">
            <w:pPr>
              <w:spacing w:line="276" w:lineRule="auto"/>
              <w:jc w:val="right"/>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18.703,6</w:t>
            </w:r>
          </w:p>
        </w:tc>
      </w:tr>
    </w:tbl>
    <w:p w14:paraId="467833B8" w14:textId="77777777" w:rsidR="001B3E41" w:rsidRPr="00AE4E8D" w:rsidRDefault="001B3E41" w:rsidP="001B3E41">
      <w:pPr>
        <w:autoSpaceDE w:val="0"/>
        <w:autoSpaceDN w:val="0"/>
        <w:adjustRightInd w:val="0"/>
        <w:spacing w:before="120" w:after="120"/>
        <w:jc w:val="both"/>
        <w:rPr>
          <w:rFonts w:ascii="Times New Roman" w:hAnsi="Times New Roman"/>
          <w:lang w:val="es-ES" w:eastAsia="es-AR"/>
        </w:rPr>
      </w:pPr>
      <w:r w:rsidRPr="00AE4E8D">
        <w:rPr>
          <w:rStyle w:val="hps"/>
          <w:rFonts w:ascii="Times New Roman" w:hAnsi="Times New Roman"/>
          <w:sz w:val="16"/>
          <w:szCs w:val="16"/>
          <w:lang w:val="es-ES"/>
        </w:rPr>
        <w:t>* Esta</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cifra no incluye</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las obligaciones</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negociables</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subordinadas</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convertibles</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emitidas</w:t>
      </w:r>
      <w:r w:rsidRPr="00AE4E8D">
        <w:rPr>
          <w:rFonts w:ascii="Times New Roman" w:hAnsi="Times New Roman"/>
          <w:sz w:val="16"/>
          <w:szCs w:val="16"/>
          <w:lang w:val="es-ES"/>
        </w:rPr>
        <w:t xml:space="preserve"> por </w:t>
      </w:r>
      <w:r w:rsidRPr="00AE4E8D">
        <w:rPr>
          <w:rStyle w:val="hps"/>
          <w:rFonts w:ascii="Times New Roman" w:hAnsi="Times New Roman"/>
          <w:sz w:val="16"/>
          <w:szCs w:val="16"/>
          <w:lang w:val="es-ES"/>
        </w:rPr>
        <w:t>BACS</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por un monto total</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de</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Ps.100</w:t>
      </w:r>
      <w:r w:rsidRPr="00AE4E8D">
        <w:rPr>
          <w:rFonts w:ascii="Times New Roman" w:hAnsi="Times New Roman"/>
          <w:sz w:val="16"/>
          <w:szCs w:val="16"/>
          <w:lang w:val="es-ES"/>
        </w:rPr>
        <w:t xml:space="preserve"> </w:t>
      </w:r>
      <w:r w:rsidRPr="00AE4E8D">
        <w:rPr>
          <w:rStyle w:val="hps"/>
          <w:rFonts w:ascii="Times New Roman" w:hAnsi="Times New Roman"/>
          <w:sz w:val="16"/>
          <w:szCs w:val="16"/>
          <w:lang w:val="es-ES"/>
        </w:rPr>
        <w:t>millones.</w:t>
      </w:r>
    </w:p>
    <w:p w14:paraId="0C650572" w14:textId="77777777" w:rsidR="001B3E41" w:rsidRPr="00AE4E8D" w:rsidRDefault="001B3E41" w:rsidP="001B3E41">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Requisitos de Capital Mínimo</w:t>
      </w:r>
    </w:p>
    <w:p w14:paraId="1A8E9399" w14:textId="77777777" w:rsidR="001B3E41" w:rsidRDefault="001B3E41" w:rsidP="001B3E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La siguiente tabla muestra nuestro capital en exceso, que representa el monto en exceso de los requisitos de reserva mínima del BCRA, en las fechas indicadas:</w:t>
      </w:r>
    </w:p>
    <w:tbl>
      <w:tblPr>
        <w:tblW w:w="5000" w:type="pct"/>
        <w:jc w:val="center"/>
        <w:tblLook w:val="00A0" w:firstRow="1" w:lastRow="0" w:firstColumn="1" w:lastColumn="0" w:noHBand="0" w:noVBand="0"/>
      </w:tblPr>
      <w:tblGrid>
        <w:gridCol w:w="2919"/>
        <w:gridCol w:w="1575"/>
        <w:gridCol w:w="1509"/>
        <w:gridCol w:w="1359"/>
        <w:gridCol w:w="1359"/>
      </w:tblGrid>
      <w:tr w:rsidR="00DD1DF0" w:rsidRPr="00AE4E8D" w14:paraId="0D7381CA" w14:textId="77777777" w:rsidTr="00FA407B">
        <w:trPr>
          <w:trHeight w:val="240"/>
          <w:tblHeader/>
          <w:jc w:val="center"/>
        </w:trPr>
        <w:tc>
          <w:tcPr>
            <w:tcW w:w="1674" w:type="pct"/>
            <w:tcBorders>
              <w:top w:val="nil"/>
              <w:left w:val="nil"/>
              <w:bottom w:val="nil"/>
              <w:right w:val="nil"/>
            </w:tcBorders>
            <w:noWrap/>
            <w:vAlign w:val="bottom"/>
          </w:tcPr>
          <w:p w14:paraId="4B2E95F8" w14:textId="77777777" w:rsidR="00DD1DF0" w:rsidRPr="00AE4E8D" w:rsidRDefault="00DD1DF0" w:rsidP="00FA407B">
            <w:pPr>
              <w:rPr>
                <w:rFonts w:ascii="Times New Roman" w:hAnsi="Times New Roman"/>
                <w:color w:val="000000"/>
                <w:sz w:val="18"/>
                <w:szCs w:val="18"/>
                <w:lang w:val="es-ES"/>
              </w:rPr>
            </w:pPr>
          </w:p>
        </w:tc>
        <w:tc>
          <w:tcPr>
            <w:tcW w:w="2547" w:type="pct"/>
            <w:gridSpan w:val="3"/>
            <w:tcBorders>
              <w:top w:val="nil"/>
              <w:left w:val="nil"/>
              <w:bottom w:val="single" w:sz="4" w:space="0" w:color="auto"/>
              <w:right w:val="nil"/>
            </w:tcBorders>
            <w:noWrap/>
            <w:vAlign w:val="bottom"/>
          </w:tcPr>
          <w:p w14:paraId="553C3950" w14:textId="77777777" w:rsidR="00DD1DF0" w:rsidRPr="00AE4E8D" w:rsidRDefault="00DD1DF0" w:rsidP="00FA407B">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Al 31 de diciembre de</w:t>
            </w:r>
          </w:p>
        </w:tc>
        <w:tc>
          <w:tcPr>
            <w:tcW w:w="779" w:type="pct"/>
            <w:tcBorders>
              <w:top w:val="nil"/>
              <w:left w:val="nil"/>
              <w:bottom w:val="single" w:sz="4" w:space="0" w:color="auto"/>
              <w:right w:val="nil"/>
            </w:tcBorders>
          </w:tcPr>
          <w:p w14:paraId="026F9353" w14:textId="77777777" w:rsidR="00DD1DF0" w:rsidRPr="00AE4E8D" w:rsidRDefault="00DD1DF0" w:rsidP="00FA407B">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Al 30 de junio de</w:t>
            </w:r>
          </w:p>
        </w:tc>
      </w:tr>
      <w:tr w:rsidR="00DD1DF0" w:rsidRPr="00AE4E8D" w14:paraId="53FB7FEA" w14:textId="77777777" w:rsidTr="00FA407B">
        <w:trPr>
          <w:trHeight w:val="285"/>
          <w:tblHeader/>
          <w:jc w:val="center"/>
        </w:trPr>
        <w:tc>
          <w:tcPr>
            <w:tcW w:w="1674" w:type="pct"/>
            <w:tcBorders>
              <w:top w:val="nil"/>
              <w:left w:val="nil"/>
              <w:bottom w:val="nil"/>
              <w:right w:val="nil"/>
            </w:tcBorders>
            <w:noWrap/>
            <w:vAlign w:val="bottom"/>
          </w:tcPr>
          <w:p w14:paraId="2346E36D" w14:textId="77777777" w:rsidR="00DD1DF0" w:rsidRPr="00AE4E8D" w:rsidRDefault="00DD1DF0" w:rsidP="00FA407B">
            <w:pPr>
              <w:rPr>
                <w:rFonts w:ascii="Times New Roman" w:hAnsi="Times New Roman"/>
                <w:color w:val="000000"/>
                <w:sz w:val="18"/>
                <w:szCs w:val="18"/>
                <w:lang w:val="es-ES"/>
              </w:rPr>
            </w:pPr>
          </w:p>
        </w:tc>
        <w:tc>
          <w:tcPr>
            <w:tcW w:w="903" w:type="pct"/>
            <w:tcBorders>
              <w:top w:val="nil"/>
              <w:left w:val="nil"/>
              <w:bottom w:val="single" w:sz="4" w:space="0" w:color="auto"/>
              <w:right w:val="nil"/>
            </w:tcBorders>
            <w:noWrap/>
            <w:vAlign w:val="bottom"/>
          </w:tcPr>
          <w:p w14:paraId="718F8A30" w14:textId="77777777" w:rsidR="00DD1DF0" w:rsidRPr="00AE4E8D" w:rsidRDefault="00DD1DF0" w:rsidP="00FA407B">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2016</w:t>
            </w:r>
          </w:p>
        </w:tc>
        <w:tc>
          <w:tcPr>
            <w:tcW w:w="865" w:type="pct"/>
            <w:tcBorders>
              <w:top w:val="nil"/>
              <w:left w:val="nil"/>
              <w:bottom w:val="single" w:sz="4" w:space="0" w:color="auto"/>
              <w:right w:val="nil"/>
            </w:tcBorders>
            <w:noWrap/>
            <w:vAlign w:val="bottom"/>
          </w:tcPr>
          <w:p w14:paraId="2AB5391E" w14:textId="77777777" w:rsidR="00DD1DF0" w:rsidRPr="00AE4E8D" w:rsidRDefault="00DD1DF0" w:rsidP="00FA407B">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2015</w:t>
            </w:r>
          </w:p>
        </w:tc>
        <w:tc>
          <w:tcPr>
            <w:tcW w:w="779" w:type="pct"/>
            <w:tcBorders>
              <w:top w:val="nil"/>
              <w:left w:val="nil"/>
              <w:bottom w:val="single" w:sz="4" w:space="0" w:color="auto"/>
              <w:right w:val="nil"/>
            </w:tcBorders>
            <w:noWrap/>
            <w:vAlign w:val="bottom"/>
          </w:tcPr>
          <w:p w14:paraId="055CFA1C" w14:textId="77777777" w:rsidR="00DD1DF0" w:rsidRPr="00AE4E8D" w:rsidRDefault="00DD1DF0" w:rsidP="00FA407B">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2014</w:t>
            </w:r>
          </w:p>
        </w:tc>
        <w:tc>
          <w:tcPr>
            <w:tcW w:w="779" w:type="pct"/>
            <w:tcBorders>
              <w:top w:val="nil"/>
              <w:left w:val="nil"/>
              <w:bottom w:val="single" w:sz="4" w:space="0" w:color="auto"/>
              <w:right w:val="nil"/>
            </w:tcBorders>
            <w:vAlign w:val="bottom"/>
          </w:tcPr>
          <w:p w14:paraId="5AF3BF37" w14:textId="77777777" w:rsidR="00DD1DF0" w:rsidRPr="00AE4E8D" w:rsidRDefault="00DD1DF0" w:rsidP="00FA407B">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2017</w:t>
            </w:r>
          </w:p>
        </w:tc>
      </w:tr>
      <w:tr w:rsidR="00DD1DF0" w:rsidRPr="00AE4E8D" w14:paraId="150A272F" w14:textId="77777777" w:rsidTr="00FA407B">
        <w:trPr>
          <w:trHeight w:val="240"/>
          <w:jc w:val="center"/>
        </w:trPr>
        <w:tc>
          <w:tcPr>
            <w:tcW w:w="1674" w:type="pct"/>
            <w:tcBorders>
              <w:top w:val="nil"/>
              <w:left w:val="nil"/>
              <w:bottom w:val="nil"/>
              <w:right w:val="nil"/>
            </w:tcBorders>
            <w:noWrap/>
            <w:vAlign w:val="bottom"/>
          </w:tcPr>
          <w:p w14:paraId="7267132A" w14:textId="77777777" w:rsidR="00DD1DF0" w:rsidRPr="00AE4E8D" w:rsidRDefault="00DD1DF0" w:rsidP="00FA407B">
            <w:pPr>
              <w:rPr>
                <w:rFonts w:ascii="Times New Roman" w:hAnsi="Times New Roman"/>
                <w:color w:val="000000"/>
                <w:sz w:val="18"/>
                <w:szCs w:val="18"/>
                <w:lang w:val="es-ES"/>
              </w:rPr>
            </w:pPr>
          </w:p>
        </w:tc>
        <w:tc>
          <w:tcPr>
            <w:tcW w:w="2547" w:type="pct"/>
            <w:gridSpan w:val="3"/>
            <w:tcBorders>
              <w:top w:val="nil"/>
              <w:left w:val="nil"/>
              <w:bottom w:val="nil"/>
              <w:right w:val="nil"/>
            </w:tcBorders>
            <w:noWrap/>
            <w:vAlign w:val="bottom"/>
          </w:tcPr>
          <w:p w14:paraId="77572652"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(en miles de Pesos, excepto porcentajes)</w:t>
            </w:r>
          </w:p>
        </w:tc>
        <w:tc>
          <w:tcPr>
            <w:tcW w:w="779" w:type="pct"/>
            <w:tcBorders>
              <w:top w:val="nil"/>
              <w:left w:val="nil"/>
              <w:bottom w:val="nil"/>
              <w:right w:val="nil"/>
            </w:tcBorders>
          </w:tcPr>
          <w:p w14:paraId="6565FF90" w14:textId="77777777" w:rsidR="00DD1DF0" w:rsidRPr="00AE4E8D" w:rsidRDefault="00DD1DF0" w:rsidP="00FA407B">
            <w:pPr>
              <w:jc w:val="right"/>
              <w:rPr>
                <w:rFonts w:ascii="Times New Roman" w:hAnsi="Times New Roman"/>
                <w:color w:val="000000"/>
                <w:sz w:val="18"/>
                <w:szCs w:val="18"/>
                <w:lang w:val="es-ES"/>
              </w:rPr>
            </w:pPr>
          </w:p>
        </w:tc>
      </w:tr>
      <w:tr w:rsidR="00DD1DF0" w:rsidRPr="00AE4E8D" w14:paraId="3ED61277" w14:textId="77777777" w:rsidTr="00FA407B">
        <w:trPr>
          <w:trHeight w:val="240"/>
          <w:jc w:val="center"/>
        </w:trPr>
        <w:tc>
          <w:tcPr>
            <w:tcW w:w="1674" w:type="pct"/>
            <w:tcBorders>
              <w:top w:val="nil"/>
              <w:left w:val="nil"/>
              <w:bottom w:val="nil"/>
              <w:right w:val="nil"/>
            </w:tcBorders>
            <w:noWrap/>
            <w:vAlign w:val="bottom"/>
          </w:tcPr>
          <w:p w14:paraId="418DF0D1" w14:textId="77777777" w:rsidR="00DD1DF0" w:rsidRPr="00AE4E8D" w:rsidRDefault="00DD1DF0" w:rsidP="00FA407B">
            <w:pPr>
              <w:rPr>
                <w:rFonts w:ascii="Times New Roman" w:hAnsi="Times New Roman"/>
                <w:color w:val="000000"/>
                <w:sz w:val="18"/>
                <w:szCs w:val="18"/>
                <w:lang w:val="es-ES"/>
              </w:rPr>
            </w:pPr>
          </w:p>
        </w:tc>
        <w:tc>
          <w:tcPr>
            <w:tcW w:w="903" w:type="pct"/>
            <w:tcBorders>
              <w:top w:val="nil"/>
              <w:left w:val="nil"/>
              <w:bottom w:val="nil"/>
              <w:right w:val="nil"/>
            </w:tcBorders>
            <w:noWrap/>
            <w:vAlign w:val="bottom"/>
          </w:tcPr>
          <w:p w14:paraId="7D5C6B59" w14:textId="77777777" w:rsidR="00DD1DF0" w:rsidRPr="003C0E95" w:rsidRDefault="00DD1DF0" w:rsidP="00FA407B">
            <w:pPr>
              <w:jc w:val="right"/>
              <w:rPr>
                <w:rFonts w:ascii="Times New Roman" w:hAnsi="Times New Roman"/>
                <w:color w:val="000000"/>
                <w:sz w:val="18"/>
                <w:lang w:val="es-ES"/>
              </w:rPr>
            </w:pPr>
          </w:p>
        </w:tc>
        <w:tc>
          <w:tcPr>
            <w:tcW w:w="865" w:type="pct"/>
            <w:tcBorders>
              <w:top w:val="nil"/>
              <w:left w:val="nil"/>
              <w:bottom w:val="nil"/>
              <w:right w:val="nil"/>
            </w:tcBorders>
            <w:noWrap/>
            <w:vAlign w:val="bottom"/>
          </w:tcPr>
          <w:p w14:paraId="5D8F24F9" w14:textId="77777777" w:rsidR="00DD1DF0" w:rsidRPr="00AE4E8D" w:rsidRDefault="00DD1DF0" w:rsidP="00FA407B">
            <w:pPr>
              <w:jc w:val="right"/>
              <w:rPr>
                <w:rFonts w:ascii="Times New Roman" w:hAnsi="Times New Roman"/>
                <w:color w:val="000000"/>
                <w:sz w:val="18"/>
                <w:szCs w:val="18"/>
                <w:lang w:val="es-ES"/>
              </w:rPr>
            </w:pPr>
          </w:p>
        </w:tc>
        <w:tc>
          <w:tcPr>
            <w:tcW w:w="779" w:type="pct"/>
            <w:tcBorders>
              <w:top w:val="nil"/>
              <w:left w:val="nil"/>
              <w:bottom w:val="nil"/>
              <w:right w:val="nil"/>
            </w:tcBorders>
            <w:noWrap/>
            <w:vAlign w:val="bottom"/>
          </w:tcPr>
          <w:p w14:paraId="578A5705" w14:textId="77777777" w:rsidR="00DD1DF0" w:rsidRPr="00AE4E8D" w:rsidRDefault="00DD1DF0" w:rsidP="00FA407B">
            <w:pPr>
              <w:jc w:val="right"/>
              <w:rPr>
                <w:rFonts w:ascii="Times New Roman" w:hAnsi="Times New Roman"/>
                <w:color w:val="000000"/>
                <w:sz w:val="18"/>
                <w:szCs w:val="18"/>
                <w:lang w:val="es-ES"/>
              </w:rPr>
            </w:pPr>
          </w:p>
        </w:tc>
        <w:tc>
          <w:tcPr>
            <w:tcW w:w="779" w:type="pct"/>
            <w:tcBorders>
              <w:top w:val="nil"/>
              <w:left w:val="nil"/>
              <w:bottom w:val="nil"/>
              <w:right w:val="nil"/>
            </w:tcBorders>
          </w:tcPr>
          <w:p w14:paraId="7139509A" w14:textId="77777777" w:rsidR="00DD1DF0" w:rsidRPr="00AE4E8D" w:rsidRDefault="00DD1DF0" w:rsidP="00FA407B">
            <w:pPr>
              <w:jc w:val="right"/>
              <w:rPr>
                <w:rFonts w:ascii="Times New Roman" w:hAnsi="Times New Roman"/>
                <w:color w:val="000000"/>
                <w:sz w:val="18"/>
                <w:szCs w:val="18"/>
                <w:lang w:val="es-ES"/>
              </w:rPr>
            </w:pPr>
          </w:p>
        </w:tc>
      </w:tr>
      <w:tr w:rsidR="00DD1DF0" w:rsidRPr="00AE4E8D" w14:paraId="2D1E8E6A" w14:textId="77777777" w:rsidTr="00FA407B">
        <w:trPr>
          <w:trHeight w:val="240"/>
          <w:jc w:val="center"/>
        </w:trPr>
        <w:tc>
          <w:tcPr>
            <w:tcW w:w="1674" w:type="pct"/>
            <w:tcBorders>
              <w:top w:val="nil"/>
              <w:left w:val="nil"/>
              <w:bottom w:val="nil"/>
              <w:right w:val="nil"/>
            </w:tcBorders>
            <w:noWrap/>
            <w:vAlign w:val="bottom"/>
          </w:tcPr>
          <w:p w14:paraId="358F3613" w14:textId="77777777" w:rsidR="00DD1DF0" w:rsidRPr="00AE4E8D" w:rsidRDefault="00DD1DF0" w:rsidP="00FA407B">
            <w:pPr>
              <w:rPr>
                <w:rFonts w:ascii="Times New Roman" w:hAnsi="Times New Roman"/>
                <w:color w:val="000000"/>
                <w:sz w:val="18"/>
                <w:szCs w:val="18"/>
                <w:lang w:val="es-ES"/>
              </w:rPr>
            </w:pPr>
            <w:r w:rsidRPr="00AE4E8D">
              <w:rPr>
                <w:rFonts w:ascii="Times New Roman" w:hAnsi="Times New Roman"/>
                <w:color w:val="000000"/>
                <w:sz w:val="18"/>
                <w:szCs w:val="18"/>
                <w:lang w:val="es-ES"/>
              </w:rPr>
              <w:t>Capital ordinario nivel 1</w:t>
            </w:r>
          </w:p>
        </w:tc>
        <w:tc>
          <w:tcPr>
            <w:tcW w:w="903" w:type="pct"/>
            <w:tcBorders>
              <w:top w:val="nil"/>
              <w:left w:val="nil"/>
              <w:bottom w:val="nil"/>
              <w:right w:val="nil"/>
            </w:tcBorders>
            <w:noWrap/>
            <w:vAlign w:val="bottom"/>
          </w:tcPr>
          <w:p w14:paraId="521A3E62" w14:textId="77777777" w:rsidR="00DD1DF0" w:rsidRPr="0063668C" w:rsidRDefault="00DD1DF0" w:rsidP="00FA407B">
            <w:pPr>
              <w:jc w:val="right"/>
              <w:rPr>
                <w:rFonts w:ascii="Times New Roman" w:hAnsi="Times New Roman"/>
                <w:color w:val="000000"/>
                <w:sz w:val="18"/>
                <w:lang w:val="es-ES"/>
              </w:rPr>
            </w:pPr>
            <w:r w:rsidRPr="0063668C">
              <w:rPr>
                <w:rFonts w:ascii="Times New Roman" w:hAnsi="Times New Roman"/>
                <w:color w:val="000000"/>
                <w:sz w:val="18"/>
                <w:lang w:val="es-ES"/>
              </w:rPr>
              <w:t>         6</w:t>
            </w:r>
            <w:r>
              <w:rPr>
                <w:rFonts w:ascii="Times New Roman" w:hAnsi="Times New Roman"/>
                <w:color w:val="000000"/>
                <w:sz w:val="18"/>
                <w:lang w:val="es-ES"/>
              </w:rPr>
              <w:t>.</w:t>
            </w:r>
            <w:r w:rsidRPr="0063668C">
              <w:rPr>
                <w:rFonts w:ascii="Times New Roman" w:hAnsi="Times New Roman"/>
                <w:color w:val="000000"/>
                <w:sz w:val="18"/>
                <w:lang w:val="es-ES"/>
              </w:rPr>
              <w:t>134</w:t>
            </w:r>
            <w:r>
              <w:rPr>
                <w:rFonts w:ascii="Times New Roman" w:hAnsi="Times New Roman"/>
                <w:color w:val="000000"/>
                <w:sz w:val="18"/>
                <w:lang w:val="es-ES"/>
              </w:rPr>
              <w:t>.</w:t>
            </w:r>
            <w:r w:rsidRPr="0063668C">
              <w:rPr>
                <w:rFonts w:ascii="Times New Roman" w:hAnsi="Times New Roman"/>
                <w:color w:val="000000"/>
                <w:sz w:val="18"/>
                <w:lang w:val="es-ES"/>
              </w:rPr>
              <w:t xml:space="preserve">433 </w:t>
            </w:r>
          </w:p>
        </w:tc>
        <w:tc>
          <w:tcPr>
            <w:tcW w:w="865" w:type="pct"/>
            <w:tcBorders>
              <w:top w:val="nil"/>
              <w:left w:val="nil"/>
              <w:bottom w:val="nil"/>
              <w:right w:val="nil"/>
            </w:tcBorders>
            <w:noWrap/>
            <w:vAlign w:val="center"/>
          </w:tcPr>
          <w:p w14:paraId="53D81A61"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5.264.169</w:t>
            </w:r>
          </w:p>
        </w:tc>
        <w:tc>
          <w:tcPr>
            <w:tcW w:w="779" w:type="pct"/>
            <w:tcBorders>
              <w:top w:val="nil"/>
              <w:left w:val="nil"/>
              <w:bottom w:val="nil"/>
              <w:right w:val="nil"/>
            </w:tcBorders>
            <w:noWrap/>
            <w:vAlign w:val="center"/>
          </w:tcPr>
          <w:p w14:paraId="2478E0D8"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4.441.535</w:t>
            </w:r>
          </w:p>
        </w:tc>
        <w:tc>
          <w:tcPr>
            <w:tcW w:w="779" w:type="pct"/>
            <w:tcBorders>
              <w:top w:val="nil"/>
              <w:left w:val="nil"/>
              <w:bottom w:val="nil"/>
              <w:right w:val="nil"/>
            </w:tcBorders>
            <w:vAlign w:val="center"/>
          </w:tcPr>
          <w:p w14:paraId="4C567DA2"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6.692.122</w:t>
            </w:r>
          </w:p>
        </w:tc>
      </w:tr>
      <w:tr w:rsidR="00DD1DF0" w:rsidRPr="00AE4E8D" w14:paraId="42BE9443" w14:textId="77777777" w:rsidTr="00FA407B">
        <w:trPr>
          <w:trHeight w:val="240"/>
          <w:jc w:val="center"/>
        </w:trPr>
        <w:tc>
          <w:tcPr>
            <w:tcW w:w="1674" w:type="pct"/>
            <w:tcBorders>
              <w:top w:val="nil"/>
              <w:left w:val="nil"/>
              <w:bottom w:val="nil"/>
              <w:right w:val="nil"/>
            </w:tcBorders>
            <w:noWrap/>
            <w:vAlign w:val="bottom"/>
          </w:tcPr>
          <w:p w14:paraId="084A34D4" w14:textId="77777777" w:rsidR="00DD1DF0" w:rsidRPr="00AE4E8D" w:rsidRDefault="00DD1DF0" w:rsidP="00FA407B">
            <w:pPr>
              <w:rPr>
                <w:rFonts w:ascii="Times New Roman" w:hAnsi="Times New Roman"/>
                <w:color w:val="000000"/>
                <w:sz w:val="18"/>
                <w:szCs w:val="18"/>
                <w:lang w:val="es-ES"/>
              </w:rPr>
            </w:pPr>
            <w:r w:rsidRPr="00AE4E8D">
              <w:rPr>
                <w:rFonts w:ascii="Times New Roman" w:hAnsi="Times New Roman"/>
                <w:color w:val="000000"/>
                <w:sz w:val="18"/>
                <w:szCs w:val="18"/>
                <w:lang w:val="es-ES"/>
              </w:rPr>
              <w:t>Conceptos deducibles nivel 1</w:t>
            </w:r>
          </w:p>
        </w:tc>
        <w:tc>
          <w:tcPr>
            <w:tcW w:w="903" w:type="pct"/>
            <w:tcBorders>
              <w:top w:val="nil"/>
              <w:left w:val="nil"/>
              <w:bottom w:val="nil"/>
              <w:right w:val="nil"/>
            </w:tcBorders>
            <w:noWrap/>
            <w:vAlign w:val="bottom"/>
          </w:tcPr>
          <w:p w14:paraId="21D964F6" w14:textId="77777777" w:rsidR="00DD1DF0" w:rsidRPr="0063668C" w:rsidRDefault="00DD1DF0" w:rsidP="00FA407B">
            <w:pPr>
              <w:jc w:val="right"/>
              <w:rPr>
                <w:rFonts w:ascii="Times New Roman" w:hAnsi="Times New Roman"/>
                <w:color w:val="000000"/>
                <w:sz w:val="18"/>
                <w:lang w:val="es-ES"/>
              </w:rPr>
            </w:pPr>
            <w:r w:rsidRPr="0063668C">
              <w:rPr>
                <w:rFonts w:ascii="Times New Roman" w:hAnsi="Times New Roman"/>
                <w:color w:val="000000"/>
                <w:sz w:val="18"/>
                <w:lang w:val="es-ES"/>
              </w:rPr>
              <w:t>          (575</w:t>
            </w:r>
            <w:r>
              <w:rPr>
                <w:rFonts w:ascii="Times New Roman" w:hAnsi="Times New Roman"/>
                <w:color w:val="000000"/>
                <w:sz w:val="18"/>
                <w:lang w:val="es-ES"/>
              </w:rPr>
              <w:t>.</w:t>
            </w:r>
            <w:r w:rsidRPr="0063668C">
              <w:rPr>
                <w:rFonts w:ascii="Times New Roman" w:hAnsi="Times New Roman"/>
                <w:color w:val="000000"/>
                <w:sz w:val="18"/>
                <w:lang w:val="es-ES"/>
              </w:rPr>
              <w:t>576)</w:t>
            </w:r>
          </w:p>
        </w:tc>
        <w:tc>
          <w:tcPr>
            <w:tcW w:w="865" w:type="pct"/>
            <w:tcBorders>
              <w:top w:val="nil"/>
              <w:left w:val="nil"/>
              <w:bottom w:val="nil"/>
              <w:right w:val="nil"/>
            </w:tcBorders>
            <w:noWrap/>
            <w:vAlign w:val="center"/>
          </w:tcPr>
          <w:p w14:paraId="2C02F0D5"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(527.915)</w:t>
            </w:r>
          </w:p>
        </w:tc>
        <w:tc>
          <w:tcPr>
            <w:tcW w:w="779" w:type="pct"/>
            <w:tcBorders>
              <w:top w:val="nil"/>
              <w:left w:val="nil"/>
              <w:bottom w:val="nil"/>
              <w:right w:val="nil"/>
            </w:tcBorders>
            <w:noWrap/>
            <w:vAlign w:val="center"/>
          </w:tcPr>
          <w:p w14:paraId="07DDEF74"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(342.014)</w:t>
            </w:r>
          </w:p>
        </w:tc>
        <w:tc>
          <w:tcPr>
            <w:tcW w:w="779" w:type="pct"/>
            <w:tcBorders>
              <w:top w:val="nil"/>
              <w:left w:val="nil"/>
              <w:bottom w:val="nil"/>
              <w:right w:val="nil"/>
            </w:tcBorders>
            <w:vAlign w:val="center"/>
          </w:tcPr>
          <w:p w14:paraId="6837E0F9"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(585.524)</w:t>
            </w:r>
          </w:p>
        </w:tc>
      </w:tr>
      <w:tr w:rsidR="00DD1DF0" w:rsidRPr="00AE4E8D" w14:paraId="5C101E35" w14:textId="77777777" w:rsidTr="00FA407B">
        <w:trPr>
          <w:trHeight w:val="240"/>
          <w:jc w:val="center"/>
        </w:trPr>
        <w:tc>
          <w:tcPr>
            <w:tcW w:w="1674" w:type="pct"/>
            <w:tcBorders>
              <w:top w:val="nil"/>
              <w:left w:val="nil"/>
              <w:bottom w:val="nil"/>
              <w:right w:val="nil"/>
            </w:tcBorders>
            <w:noWrap/>
            <w:vAlign w:val="bottom"/>
          </w:tcPr>
          <w:p w14:paraId="244AA615" w14:textId="77777777" w:rsidR="00DD1DF0" w:rsidRPr="00AE4E8D" w:rsidRDefault="00DD1DF0" w:rsidP="00FA407B">
            <w:pPr>
              <w:rPr>
                <w:rFonts w:ascii="Times New Roman" w:hAnsi="Times New Roman"/>
                <w:color w:val="000000"/>
                <w:sz w:val="18"/>
                <w:szCs w:val="18"/>
                <w:lang w:val="es-ES"/>
              </w:rPr>
            </w:pPr>
            <w:r w:rsidRPr="00AE4E8D">
              <w:rPr>
                <w:rFonts w:ascii="Times New Roman" w:hAnsi="Times New Roman"/>
                <w:color w:val="000000"/>
                <w:sz w:val="18"/>
                <w:szCs w:val="18"/>
                <w:lang w:val="es-ES"/>
              </w:rPr>
              <w:t>Capital adicional nivel 2</w:t>
            </w:r>
          </w:p>
        </w:tc>
        <w:tc>
          <w:tcPr>
            <w:tcW w:w="903" w:type="pct"/>
            <w:tcBorders>
              <w:top w:val="nil"/>
              <w:left w:val="nil"/>
              <w:bottom w:val="nil"/>
              <w:right w:val="nil"/>
            </w:tcBorders>
            <w:noWrap/>
            <w:vAlign w:val="center"/>
          </w:tcPr>
          <w:p w14:paraId="5ED24201" w14:textId="77777777" w:rsidR="00DD1DF0" w:rsidRPr="003C0E95" w:rsidRDefault="00DD1DF0" w:rsidP="00FA407B">
            <w:pPr>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865" w:type="pct"/>
            <w:tcBorders>
              <w:top w:val="nil"/>
              <w:left w:val="nil"/>
              <w:bottom w:val="nil"/>
              <w:right w:val="nil"/>
            </w:tcBorders>
            <w:noWrap/>
            <w:vAlign w:val="center"/>
          </w:tcPr>
          <w:p w14:paraId="433AFA0D"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w:t>
            </w:r>
          </w:p>
        </w:tc>
        <w:tc>
          <w:tcPr>
            <w:tcW w:w="779" w:type="pct"/>
            <w:tcBorders>
              <w:top w:val="nil"/>
              <w:left w:val="nil"/>
              <w:bottom w:val="nil"/>
              <w:right w:val="nil"/>
            </w:tcBorders>
            <w:noWrap/>
            <w:vAlign w:val="center"/>
          </w:tcPr>
          <w:p w14:paraId="4897AED2"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w:t>
            </w:r>
          </w:p>
        </w:tc>
        <w:tc>
          <w:tcPr>
            <w:tcW w:w="779" w:type="pct"/>
            <w:tcBorders>
              <w:top w:val="nil"/>
              <w:left w:val="nil"/>
              <w:bottom w:val="nil"/>
              <w:right w:val="nil"/>
            </w:tcBorders>
            <w:vAlign w:val="center"/>
          </w:tcPr>
          <w:p w14:paraId="7E1A8FEB"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20.248</w:t>
            </w:r>
          </w:p>
        </w:tc>
      </w:tr>
      <w:tr w:rsidR="00DD1DF0" w:rsidRPr="00AE4E8D" w14:paraId="39FDC71E" w14:textId="77777777" w:rsidTr="00FA407B">
        <w:trPr>
          <w:trHeight w:val="240"/>
          <w:jc w:val="center"/>
        </w:trPr>
        <w:tc>
          <w:tcPr>
            <w:tcW w:w="1674" w:type="pct"/>
            <w:tcBorders>
              <w:top w:val="nil"/>
              <w:left w:val="nil"/>
              <w:bottom w:val="nil"/>
              <w:right w:val="nil"/>
            </w:tcBorders>
            <w:noWrap/>
            <w:vAlign w:val="bottom"/>
          </w:tcPr>
          <w:p w14:paraId="7163D069" w14:textId="77777777" w:rsidR="00DD1DF0" w:rsidRPr="00AE4E8D" w:rsidRDefault="00DD1DF0" w:rsidP="00FA407B">
            <w:pPr>
              <w:rPr>
                <w:rFonts w:ascii="Times New Roman" w:hAnsi="Times New Roman"/>
                <w:color w:val="000000"/>
                <w:sz w:val="18"/>
                <w:szCs w:val="18"/>
                <w:lang w:val="es-ES"/>
              </w:rPr>
            </w:pPr>
            <w:r w:rsidRPr="00AE4E8D">
              <w:rPr>
                <w:rFonts w:ascii="Times New Roman" w:hAnsi="Times New Roman"/>
                <w:color w:val="000000"/>
                <w:sz w:val="18"/>
                <w:szCs w:val="18"/>
                <w:lang w:val="es-ES"/>
              </w:rPr>
              <w:t>Capital nivel 2</w:t>
            </w:r>
          </w:p>
        </w:tc>
        <w:tc>
          <w:tcPr>
            <w:tcW w:w="903" w:type="pct"/>
            <w:tcBorders>
              <w:top w:val="nil"/>
              <w:left w:val="nil"/>
              <w:bottom w:val="nil"/>
              <w:right w:val="nil"/>
            </w:tcBorders>
            <w:noWrap/>
            <w:vAlign w:val="center"/>
          </w:tcPr>
          <w:p w14:paraId="1D3F4156" w14:textId="77777777" w:rsidR="00DD1DF0" w:rsidRPr="003C0E95" w:rsidRDefault="00DD1DF0" w:rsidP="00FA407B">
            <w:pPr>
              <w:jc w:val="right"/>
              <w:rPr>
                <w:rFonts w:ascii="Times New Roman" w:hAnsi="Times New Roman"/>
                <w:color w:val="000000"/>
                <w:sz w:val="18"/>
                <w:lang w:val="es-ES"/>
              </w:rPr>
            </w:pPr>
            <w:r w:rsidRPr="0063668C">
              <w:rPr>
                <w:rFonts w:ascii="Times New Roman" w:hAnsi="Times New Roman"/>
                <w:color w:val="000000"/>
                <w:sz w:val="18"/>
                <w:lang w:val="es-ES"/>
              </w:rPr>
              <w:t>359</w:t>
            </w:r>
            <w:r>
              <w:rPr>
                <w:rFonts w:ascii="Times New Roman" w:hAnsi="Times New Roman"/>
                <w:color w:val="000000"/>
                <w:sz w:val="18"/>
                <w:lang w:val="es-ES"/>
              </w:rPr>
              <w:t>.</w:t>
            </w:r>
            <w:r w:rsidRPr="0063668C">
              <w:rPr>
                <w:rFonts w:ascii="Times New Roman" w:hAnsi="Times New Roman"/>
                <w:color w:val="000000"/>
                <w:sz w:val="18"/>
                <w:lang w:val="es-ES"/>
              </w:rPr>
              <w:t>236</w:t>
            </w:r>
          </w:p>
        </w:tc>
        <w:tc>
          <w:tcPr>
            <w:tcW w:w="865" w:type="pct"/>
            <w:tcBorders>
              <w:top w:val="nil"/>
              <w:left w:val="nil"/>
              <w:bottom w:val="nil"/>
              <w:right w:val="nil"/>
            </w:tcBorders>
            <w:noWrap/>
            <w:vAlign w:val="center"/>
          </w:tcPr>
          <w:p w14:paraId="1EBA3704"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296.794</w:t>
            </w:r>
          </w:p>
        </w:tc>
        <w:tc>
          <w:tcPr>
            <w:tcW w:w="779" w:type="pct"/>
            <w:tcBorders>
              <w:top w:val="nil"/>
              <w:left w:val="nil"/>
              <w:bottom w:val="nil"/>
              <w:right w:val="nil"/>
            </w:tcBorders>
            <w:noWrap/>
            <w:vAlign w:val="center"/>
          </w:tcPr>
          <w:p w14:paraId="68DD65D3"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167.539</w:t>
            </w:r>
          </w:p>
        </w:tc>
        <w:tc>
          <w:tcPr>
            <w:tcW w:w="779" w:type="pct"/>
            <w:tcBorders>
              <w:top w:val="nil"/>
              <w:left w:val="nil"/>
              <w:bottom w:val="nil"/>
              <w:right w:val="nil"/>
            </w:tcBorders>
            <w:vAlign w:val="center"/>
          </w:tcPr>
          <w:p w14:paraId="10983389"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310.528</w:t>
            </w:r>
          </w:p>
        </w:tc>
      </w:tr>
      <w:tr w:rsidR="00DD1DF0" w:rsidRPr="00AE4E8D" w14:paraId="626DFA70" w14:textId="77777777" w:rsidTr="00FA407B">
        <w:trPr>
          <w:trHeight w:val="240"/>
          <w:jc w:val="center"/>
        </w:trPr>
        <w:tc>
          <w:tcPr>
            <w:tcW w:w="1674" w:type="pct"/>
            <w:tcBorders>
              <w:top w:val="nil"/>
              <w:left w:val="nil"/>
              <w:bottom w:val="nil"/>
              <w:right w:val="nil"/>
            </w:tcBorders>
            <w:noWrap/>
            <w:vAlign w:val="bottom"/>
          </w:tcPr>
          <w:p w14:paraId="57CC9427" w14:textId="77777777" w:rsidR="00DD1DF0" w:rsidRPr="00AE4E8D" w:rsidRDefault="00DD1DF0" w:rsidP="00FA407B">
            <w:pPr>
              <w:rPr>
                <w:rFonts w:ascii="Times New Roman" w:hAnsi="Times New Roman"/>
                <w:color w:val="000000"/>
                <w:sz w:val="18"/>
                <w:szCs w:val="18"/>
                <w:lang w:val="es-ES"/>
              </w:rPr>
            </w:pPr>
            <w:r w:rsidRPr="00AE4E8D">
              <w:rPr>
                <w:rFonts w:ascii="Times New Roman" w:hAnsi="Times New Roman"/>
                <w:color w:val="000000"/>
                <w:sz w:val="18"/>
                <w:szCs w:val="18"/>
                <w:lang w:val="es-ES"/>
              </w:rPr>
              <w:t>Conceptos deducibles nivel 2</w:t>
            </w:r>
          </w:p>
        </w:tc>
        <w:tc>
          <w:tcPr>
            <w:tcW w:w="903" w:type="pct"/>
            <w:tcBorders>
              <w:top w:val="nil"/>
              <w:left w:val="nil"/>
              <w:bottom w:val="single" w:sz="4" w:space="0" w:color="auto"/>
              <w:right w:val="nil"/>
            </w:tcBorders>
            <w:noWrap/>
            <w:vAlign w:val="center"/>
          </w:tcPr>
          <w:p w14:paraId="5E5C763B" w14:textId="77777777" w:rsidR="00DD1DF0" w:rsidRPr="003C0E95" w:rsidRDefault="00DD1DF0" w:rsidP="00FA407B">
            <w:pPr>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865" w:type="pct"/>
            <w:tcBorders>
              <w:top w:val="nil"/>
              <w:left w:val="nil"/>
              <w:bottom w:val="single" w:sz="4" w:space="0" w:color="auto"/>
              <w:right w:val="nil"/>
            </w:tcBorders>
            <w:noWrap/>
            <w:vAlign w:val="center"/>
          </w:tcPr>
          <w:p w14:paraId="1C309C03"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(2.065)</w:t>
            </w:r>
          </w:p>
        </w:tc>
        <w:tc>
          <w:tcPr>
            <w:tcW w:w="779" w:type="pct"/>
            <w:tcBorders>
              <w:top w:val="nil"/>
              <w:left w:val="nil"/>
              <w:bottom w:val="single" w:sz="4" w:space="0" w:color="auto"/>
              <w:right w:val="nil"/>
            </w:tcBorders>
            <w:noWrap/>
            <w:vAlign w:val="center"/>
          </w:tcPr>
          <w:p w14:paraId="0FDDEC1F"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w:t>
            </w:r>
          </w:p>
        </w:tc>
        <w:tc>
          <w:tcPr>
            <w:tcW w:w="779" w:type="pct"/>
            <w:tcBorders>
              <w:top w:val="nil"/>
              <w:left w:val="nil"/>
              <w:bottom w:val="single" w:sz="4" w:space="0" w:color="auto"/>
              <w:right w:val="nil"/>
            </w:tcBorders>
            <w:vAlign w:val="center"/>
          </w:tcPr>
          <w:p w14:paraId="4FB80A3F"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w:t>
            </w:r>
          </w:p>
        </w:tc>
      </w:tr>
      <w:tr w:rsidR="00DD1DF0" w:rsidRPr="00AE4E8D" w14:paraId="495DA2AD" w14:textId="77777777" w:rsidTr="00FA407B">
        <w:trPr>
          <w:trHeight w:val="285"/>
          <w:jc w:val="center"/>
        </w:trPr>
        <w:tc>
          <w:tcPr>
            <w:tcW w:w="1674" w:type="pct"/>
            <w:tcBorders>
              <w:top w:val="nil"/>
              <w:left w:val="nil"/>
              <w:bottom w:val="nil"/>
              <w:right w:val="nil"/>
            </w:tcBorders>
            <w:noWrap/>
            <w:vAlign w:val="center"/>
          </w:tcPr>
          <w:p w14:paraId="302D7594" w14:textId="77777777" w:rsidR="00DD1DF0" w:rsidRPr="00AE4E8D" w:rsidRDefault="00DD1DF0" w:rsidP="00FA407B">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Total capital bajo normas BCRA</w:t>
            </w:r>
          </w:p>
        </w:tc>
        <w:tc>
          <w:tcPr>
            <w:tcW w:w="903" w:type="pct"/>
            <w:tcBorders>
              <w:top w:val="nil"/>
              <w:left w:val="nil"/>
              <w:bottom w:val="nil"/>
              <w:right w:val="nil"/>
            </w:tcBorders>
            <w:noWrap/>
            <w:vAlign w:val="center"/>
          </w:tcPr>
          <w:p w14:paraId="5B046EE7" w14:textId="77777777" w:rsidR="00DD1DF0" w:rsidRPr="003C0E95" w:rsidRDefault="00DD1DF0" w:rsidP="00FA407B">
            <w:pPr>
              <w:jc w:val="right"/>
              <w:rPr>
                <w:rFonts w:ascii="Times New Roman" w:hAnsi="Times New Roman"/>
                <w:b/>
                <w:color w:val="000000"/>
                <w:sz w:val="18"/>
                <w:lang w:val="es-ES"/>
              </w:rPr>
            </w:pPr>
            <w:r w:rsidRPr="0063668C">
              <w:rPr>
                <w:rFonts w:ascii="Times New Roman" w:hAnsi="Times New Roman"/>
                <w:b/>
                <w:color w:val="000000"/>
                <w:sz w:val="18"/>
                <w:lang w:val="es-ES"/>
              </w:rPr>
              <w:t>5</w:t>
            </w:r>
            <w:r>
              <w:rPr>
                <w:rFonts w:ascii="Times New Roman" w:hAnsi="Times New Roman"/>
                <w:b/>
                <w:color w:val="000000"/>
                <w:sz w:val="18"/>
                <w:lang w:val="es-ES"/>
              </w:rPr>
              <w:t>.</w:t>
            </w:r>
            <w:r w:rsidRPr="0063668C">
              <w:rPr>
                <w:rFonts w:ascii="Times New Roman" w:hAnsi="Times New Roman"/>
                <w:b/>
                <w:color w:val="000000"/>
                <w:sz w:val="18"/>
                <w:lang w:val="es-ES"/>
              </w:rPr>
              <w:t>918</w:t>
            </w:r>
            <w:r>
              <w:rPr>
                <w:rFonts w:ascii="Times New Roman" w:hAnsi="Times New Roman"/>
                <w:b/>
                <w:color w:val="000000"/>
                <w:sz w:val="18"/>
                <w:lang w:val="es-ES"/>
              </w:rPr>
              <w:t>.</w:t>
            </w:r>
            <w:r w:rsidRPr="0063668C">
              <w:rPr>
                <w:rFonts w:ascii="Times New Roman" w:hAnsi="Times New Roman"/>
                <w:b/>
                <w:color w:val="000000"/>
                <w:sz w:val="18"/>
                <w:lang w:val="es-ES"/>
              </w:rPr>
              <w:t>093</w:t>
            </w:r>
          </w:p>
        </w:tc>
        <w:tc>
          <w:tcPr>
            <w:tcW w:w="865" w:type="pct"/>
            <w:tcBorders>
              <w:top w:val="nil"/>
              <w:left w:val="nil"/>
              <w:bottom w:val="nil"/>
              <w:right w:val="nil"/>
            </w:tcBorders>
            <w:noWrap/>
            <w:vAlign w:val="center"/>
          </w:tcPr>
          <w:p w14:paraId="541F8057" w14:textId="77777777" w:rsidR="00DD1DF0" w:rsidRPr="00AE4E8D" w:rsidRDefault="00DD1DF0" w:rsidP="00FA407B">
            <w:pPr>
              <w:jc w:val="right"/>
              <w:rPr>
                <w:rFonts w:ascii="Times New Roman" w:hAnsi="Times New Roman"/>
                <w:b/>
                <w:bCs/>
                <w:color w:val="000000"/>
                <w:sz w:val="18"/>
                <w:szCs w:val="18"/>
                <w:lang w:val="es-ES"/>
              </w:rPr>
            </w:pPr>
            <w:r w:rsidRPr="00AE4E8D">
              <w:rPr>
                <w:rFonts w:ascii="Times New Roman" w:hAnsi="Times New Roman"/>
                <w:b/>
                <w:color w:val="000000"/>
                <w:sz w:val="18"/>
                <w:lang w:val="es-ES"/>
              </w:rPr>
              <w:t>5.030.983</w:t>
            </w:r>
          </w:p>
        </w:tc>
        <w:tc>
          <w:tcPr>
            <w:tcW w:w="779" w:type="pct"/>
            <w:tcBorders>
              <w:top w:val="nil"/>
              <w:left w:val="nil"/>
              <w:bottom w:val="nil"/>
              <w:right w:val="nil"/>
            </w:tcBorders>
            <w:noWrap/>
            <w:vAlign w:val="center"/>
          </w:tcPr>
          <w:p w14:paraId="578B5D13" w14:textId="77777777" w:rsidR="00DD1DF0" w:rsidRPr="00AE4E8D" w:rsidRDefault="00DD1DF0" w:rsidP="00FA407B">
            <w:pPr>
              <w:jc w:val="right"/>
              <w:rPr>
                <w:rFonts w:ascii="Times New Roman" w:hAnsi="Times New Roman"/>
                <w:b/>
                <w:bCs/>
                <w:color w:val="000000"/>
                <w:sz w:val="18"/>
                <w:szCs w:val="18"/>
                <w:lang w:val="es-ES"/>
              </w:rPr>
            </w:pPr>
            <w:r w:rsidRPr="00AE4E8D">
              <w:rPr>
                <w:rFonts w:ascii="Times New Roman" w:hAnsi="Times New Roman"/>
                <w:b/>
                <w:color w:val="000000"/>
                <w:sz w:val="18"/>
                <w:lang w:val="es-ES"/>
              </w:rPr>
              <w:t>4.267.060</w:t>
            </w:r>
          </w:p>
        </w:tc>
        <w:tc>
          <w:tcPr>
            <w:tcW w:w="779" w:type="pct"/>
            <w:tcBorders>
              <w:top w:val="nil"/>
              <w:left w:val="nil"/>
              <w:bottom w:val="nil"/>
              <w:right w:val="nil"/>
            </w:tcBorders>
            <w:vAlign w:val="center"/>
          </w:tcPr>
          <w:p w14:paraId="187E8915" w14:textId="77777777" w:rsidR="00DD1DF0" w:rsidRPr="00AE4E8D" w:rsidRDefault="00DD1DF0" w:rsidP="00FA407B">
            <w:pPr>
              <w:jc w:val="right"/>
              <w:rPr>
                <w:rFonts w:ascii="Times New Roman" w:hAnsi="Times New Roman"/>
                <w:b/>
                <w:bCs/>
                <w:color w:val="000000"/>
                <w:sz w:val="18"/>
                <w:szCs w:val="18"/>
                <w:lang w:val="es-ES"/>
              </w:rPr>
            </w:pPr>
            <w:r w:rsidRPr="00AE4E8D">
              <w:rPr>
                <w:rFonts w:ascii="Times New Roman" w:hAnsi="Times New Roman"/>
                <w:b/>
                <w:color w:val="000000"/>
                <w:sz w:val="18"/>
                <w:lang w:val="es-ES"/>
              </w:rPr>
              <w:t>6.437.374</w:t>
            </w:r>
          </w:p>
        </w:tc>
      </w:tr>
      <w:tr w:rsidR="00DD1DF0" w:rsidRPr="00AE4E8D" w14:paraId="6266324D" w14:textId="77777777" w:rsidTr="00FA407B">
        <w:trPr>
          <w:trHeight w:val="285"/>
          <w:jc w:val="center"/>
        </w:trPr>
        <w:tc>
          <w:tcPr>
            <w:tcW w:w="1674" w:type="pct"/>
            <w:tcBorders>
              <w:top w:val="nil"/>
              <w:left w:val="nil"/>
              <w:bottom w:val="nil"/>
              <w:right w:val="nil"/>
            </w:tcBorders>
            <w:noWrap/>
            <w:vAlign w:val="bottom"/>
          </w:tcPr>
          <w:p w14:paraId="28369B98" w14:textId="77777777" w:rsidR="00DD1DF0" w:rsidRPr="00AE4E8D" w:rsidRDefault="00DD1DF0" w:rsidP="00FA407B">
            <w:pPr>
              <w:rPr>
                <w:rFonts w:ascii="Times New Roman" w:hAnsi="Times New Roman"/>
                <w:b/>
                <w:bCs/>
                <w:color w:val="000000"/>
                <w:sz w:val="18"/>
                <w:szCs w:val="18"/>
                <w:lang w:val="es-ES"/>
              </w:rPr>
            </w:pPr>
          </w:p>
        </w:tc>
        <w:tc>
          <w:tcPr>
            <w:tcW w:w="903" w:type="pct"/>
            <w:tcBorders>
              <w:top w:val="nil"/>
              <w:left w:val="nil"/>
              <w:bottom w:val="nil"/>
              <w:right w:val="nil"/>
            </w:tcBorders>
            <w:noWrap/>
            <w:vAlign w:val="center"/>
          </w:tcPr>
          <w:p w14:paraId="51FBDA67" w14:textId="77777777" w:rsidR="00DD1DF0" w:rsidRPr="003C0E95" w:rsidRDefault="00DD1DF0" w:rsidP="00FA407B">
            <w:pPr>
              <w:jc w:val="right"/>
              <w:rPr>
                <w:rFonts w:ascii="Times New Roman" w:hAnsi="Times New Roman"/>
                <w:color w:val="000000"/>
                <w:sz w:val="18"/>
                <w:lang w:val="es-ES"/>
              </w:rPr>
            </w:pPr>
          </w:p>
        </w:tc>
        <w:tc>
          <w:tcPr>
            <w:tcW w:w="865" w:type="pct"/>
            <w:tcBorders>
              <w:top w:val="nil"/>
              <w:left w:val="nil"/>
              <w:bottom w:val="nil"/>
              <w:right w:val="nil"/>
            </w:tcBorders>
            <w:noWrap/>
            <w:vAlign w:val="center"/>
          </w:tcPr>
          <w:p w14:paraId="45F6867F" w14:textId="77777777" w:rsidR="00DD1DF0" w:rsidRPr="00AE4E8D" w:rsidRDefault="00DD1DF0" w:rsidP="00FA407B">
            <w:pPr>
              <w:jc w:val="right"/>
              <w:rPr>
                <w:rFonts w:ascii="Times New Roman" w:hAnsi="Times New Roman"/>
                <w:b/>
                <w:bCs/>
                <w:color w:val="000000"/>
                <w:sz w:val="18"/>
                <w:szCs w:val="18"/>
                <w:lang w:val="es-ES"/>
              </w:rPr>
            </w:pPr>
          </w:p>
        </w:tc>
        <w:tc>
          <w:tcPr>
            <w:tcW w:w="779" w:type="pct"/>
            <w:tcBorders>
              <w:top w:val="nil"/>
              <w:left w:val="nil"/>
              <w:bottom w:val="nil"/>
              <w:right w:val="nil"/>
            </w:tcBorders>
            <w:noWrap/>
            <w:vAlign w:val="center"/>
          </w:tcPr>
          <w:p w14:paraId="1D929140" w14:textId="77777777" w:rsidR="00DD1DF0" w:rsidRPr="00AE4E8D" w:rsidRDefault="00DD1DF0" w:rsidP="00FA407B">
            <w:pPr>
              <w:jc w:val="right"/>
              <w:rPr>
                <w:rFonts w:ascii="Times New Roman" w:hAnsi="Times New Roman"/>
                <w:b/>
                <w:bCs/>
                <w:color w:val="000000"/>
                <w:sz w:val="18"/>
                <w:szCs w:val="18"/>
                <w:lang w:val="es-ES"/>
              </w:rPr>
            </w:pPr>
          </w:p>
        </w:tc>
        <w:tc>
          <w:tcPr>
            <w:tcW w:w="779" w:type="pct"/>
            <w:tcBorders>
              <w:top w:val="nil"/>
              <w:left w:val="nil"/>
              <w:bottom w:val="nil"/>
              <w:right w:val="nil"/>
            </w:tcBorders>
            <w:vAlign w:val="center"/>
          </w:tcPr>
          <w:p w14:paraId="1ADB194C" w14:textId="77777777" w:rsidR="00DD1DF0" w:rsidRPr="00AE4E8D" w:rsidRDefault="00DD1DF0" w:rsidP="00FA407B">
            <w:pPr>
              <w:jc w:val="right"/>
              <w:rPr>
                <w:rFonts w:ascii="Times New Roman" w:hAnsi="Times New Roman"/>
                <w:b/>
                <w:bCs/>
                <w:color w:val="000000"/>
                <w:sz w:val="18"/>
                <w:szCs w:val="18"/>
                <w:lang w:val="es-ES"/>
              </w:rPr>
            </w:pPr>
          </w:p>
        </w:tc>
      </w:tr>
      <w:tr w:rsidR="00DD1DF0" w:rsidRPr="00AE4E8D" w14:paraId="22C78337" w14:textId="77777777" w:rsidTr="00FA407B">
        <w:trPr>
          <w:trHeight w:val="240"/>
          <w:jc w:val="center"/>
        </w:trPr>
        <w:tc>
          <w:tcPr>
            <w:tcW w:w="1674" w:type="pct"/>
            <w:tcBorders>
              <w:top w:val="nil"/>
              <w:left w:val="nil"/>
              <w:bottom w:val="nil"/>
              <w:right w:val="nil"/>
            </w:tcBorders>
            <w:noWrap/>
            <w:vAlign w:val="bottom"/>
          </w:tcPr>
          <w:p w14:paraId="05A4AEEF" w14:textId="77777777" w:rsidR="00DD1DF0" w:rsidRPr="00AE4E8D" w:rsidRDefault="00DD1DF0" w:rsidP="00FA407B">
            <w:pPr>
              <w:rPr>
                <w:rFonts w:ascii="Times New Roman" w:hAnsi="Times New Roman"/>
                <w:color w:val="000000"/>
                <w:sz w:val="18"/>
                <w:szCs w:val="18"/>
                <w:lang w:val="es-ES"/>
              </w:rPr>
            </w:pPr>
            <w:r w:rsidRPr="00AE4E8D">
              <w:rPr>
                <w:rFonts w:ascii="Times New Roman" w:hAnsi="Times New Roman"/>
                <w:color w:val="000000"/>
                <w:sz w:val="18"/>
                <w:szCs w:val="18"/>
                <w:lang w:val="es-ES"/>
              </w:rPr>
              <w:t>Capital excedente</w:t>
            </w:r>
          </w:p>
        </w:tc>
        <w:tc>
          <w:tcPr>
            <w:tcW w:w="903" w:type="pct"/>
            <w:tcBorders>
              <w:top w:val="nil"/>
              <w:left w:val="nil"/>
              <w:bottom w:val="nil"/>
              <w:right w:val="nil"/>
            </w:tcBorders>
            <w:noWrap/>
            <w:vAlign w:val="center"/>
          </w:tcPr>
          <w:p w14:paraId="19D7BD13" w14:textId="77777777" w:rsidR="00DD1DF0" w:rsidRPr="003C0E95" w:rsidRDefault="00DD1DF0" w:rsidP="00FA407B">
            <w:pPr>
              <w:jc w:val="right"/>
              <w:rPr>
                <w:rFonts w:ascii="Times New Roman" w:hAnsi="Times New Roman"/>
                <w:color w:val="000000"/>
                <w:sz w:val="18"/>
                <w:lang w:val="es-ES"/>
              </w:rPr>
            </w:pPr>
            <w:r w:rsidRPr="0063668C">
              <w:rPr>
                <w:rFonts w:ascii="Times New Roman" w:hAnsi="Times New Roman"/>
                <w:color w:val="000000"/>
                <w:sz w:val="18"/>
                <w:lang w:val="es-ES"/>
              </w:rPr>
              <w:t>2</w:t>
            </w:r>
            <w:r>
              <w:rPr>
                <w:rFonts w:ascii="Times New Roman" w:hAnsi="Times New Roman"/>
                <w:color w:val="000000"/>
                <w:sz w:val="18"/>
                <w:lang w:val="es-ES"/>
              </w:rPr>
              <w:t>.</w:t>
            </w:r>
            <w:r w:rsidRPr="0063668C">
              <w:rPr>
                <w:rFonts w:ascii="Times New Roman" w:hAnsi="Times New Roman"/>
                <w:color w:val="000000"/>
                <w:sz w:val="18"/>
                <w:lang w:val="es-ES"/>
              </w:rPr>
              <w:t>078</w:t>
            </w:r>
            <w:r>
              <w:rPr>
                <w:rFonts w:ascii="Times New Roman" w:hAnsi="Times New Roman"/>
                <w:color w:val="000000"/>
                <w:sz w:val="18"/>
                <w:lang w:val="es-ES"/>
              </w:rPr>
              <w:t>.</w:t>
            </w:r>
            <w:r w:rsidRPr="0063668C">
              <w:rPr>
                <w:rFonts w:ascii="Times New Roman" w:hAnsi="Times New Roman"/>
                <w:color w:val="000000"/>
                <w:sz w:val="18"/>
                <w:lang w:val="es-ES"/>
              </w:rPr>
              <w:t>498</w:t>
            </w:r>
          </w:p>
        </w:tc>
        <w:tc>
          <w:tcPr>
            <w:tcW w:w="865" w:type="pct"/>
            <w:tcBorders>
              <w:top w:val="nil"/>
              <w:left w:val="nil"/>
              <w:bottom w:val="nil"/>
              <w:right w:val="nil"/>
            </w:tcBorders>
            <w:noWrap/>
            <w:vAlign w:val="center"/>
          </w:tcPr>
          <w:p w14:paraId="047D48DD"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2.258.670</w:t>
            </w:r>
          </w:p>
        </w:tc>
        <w:tc>
          <w:tcPr>
            <w:tcW w:w="779" w:type="pct"/>
            <w:tcBorders>
              <w:top w:val="nil"/>
              <w:left w:val="nil"/>
              <w:bottom w:val="nil"/>
              <w:right w:val="nil"/>
            </w:tcBorders>
            <w:noWrap/>
            <w:vAlign w:val="center"/>
          </w:tcPr>
          <w:p w14:paraId="5560FA49"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2.160.294</w:t>
            </w:r>
          </w:p>
        </w:tc>
        <w:tc>
          <w:tcPr>
            <w:tcW w:w="779" w:type="pct"/>
            <w:tcBorders>
              <w:top w:val="nil"/>
              <w:left w:val="nil"/>
              <w:bottom w:val="nil"/>
              <w:right w:val="nil"/>
            </w:tcBorders>
            <w:shd w:val="clear" w:color="auto" w:fill="auto"/>
            <w:vAlign w:val="center"/>
          </w:tcPr>
          <w:p w14:paraId="046E9E9C"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2.042.182</w:t>
            </w:r>
          </w:p>
        </w:tc>
      </w:tr>
      <w:tr w:rsidR="00DD1DF0" w:rsidRPr="00AE4E8D" w14:paraId="0F19A8A6" w14:textId="77777777" w:rsidTr="00FA407B">
        <w:trPr>
          <w:trHeight w:val="240"/>
          <w:jc w:val="center"/>
        </w:trPr>
        <w:tc>
          <w:tcPr>
            <w:tcW w:w="1674" w:type="pct"/>
            <w:tcBorders>
              <w:top w:val="nil"/>
              <w:left w:val="nil"/>
              <w:bottom w:val="nil"/>
              <w:right w:val="nil"/>
            </w:tcBorders>
            <w:noWrap/>
            <w:vAlign w:val="bottom"/>
          </w:tcPr>
          <w:p w14:paraId="5B01A5D4" w14:textId="77777777" w:rsidR="00DD1DF0" w:rsidRPr="00AE4E8D" w:rsidRDefault="00DD1DF0" w:rsidP="00FA407B">
            <w:pPr>
              <w:rPr>
                <w:rFonts w:ascii="Times New Roman" w:hAnsi="Times New Roman"/>
                <w:color w:val="000000"/>
                <w:sz w:val="18"/>
                <w:szCs w:val="18"/>
                <w:lang w:val="es-ES"/>
              </w:rPr>
            </w:pPr>
            <w:r w:rsidRPr="00AE4E8D">
              <w:rPr>
                <w:rFonts w:ascii="Times New Roman" w:hAnsi="Times New Roman"/>
                <w:color w:val="000000"/>
                <w:sz w:val="18"/>
                <w:szCs w:val="18"/>
                <w:lang w:val="es-ES"/>
              </w:rPr>
              <w:t>Capital excedente / capital mínimo</w:t>
            </w:r>
          </w:p>
        </w:tc>
        <w:tc>
          <w:tcPr>
            <w:tcW w:w="903" w:type="pct"/>
            <w:tcBorders>
              <w:top w:val="nil"/>
              <w:left w:val="nil"/>
              <w:bottom w:val="nil"/>
              <w:right w:val="nil"/>
            </w:tcBorders>
            <w:noWrap/>
            <w:vAlign w:val="center"/>
          </w:tcPr>
          <w:p w14:paraId="69438F7A" w14:textId="77777777" w:rsidR="00DD1DF0" w:rsidRPr="003C0E95" w:rsidRDefault="00DD1DF0" w:rsidP="00FA407B">
            <w:pPr>
              <w:jc w:val="right"/>
              <w:rPr>
                <w:rFonts w:ascii="Times New Roman" w:hAnsi="Times New Roman"/>
                <w:color w:val="000000"/>
                <w:sz w:val="18"/>
                <w:lang w:val="es-ES"/>
              </w:rPr>
            </w:pPr>
            <w:r w:rsidRPr="0063668C">
              <w:rPr>
                <w:rFonts w:ascii="Times New Roman" w:hAnsi="Times New Roman"/>
                <w:color w:val="000000"/>
                <w:sz w:val="18"/>
                <w:lang w:val="es-ES"/>
              </w:rPr>
              <w:t>54</w:t>
            </w:r>
            <w:r>
              <w:rPr>
                <w:rFonts w:ascii="Times New Roman" w:hAnsi="Times New Roman"/>
                <w:color w:val="000000"/>
                <w:sz w:val="18"/>
                <w:lang w:val="es-ES"/>
              </w:rPr>
              <w:t>,</w:t>
            </w:r>
            <w:r w:rsidRPr="0063668C">
              <w:rPr>
                <w:rFonts w:ascii="Times New Roman" w:hAnsi="Times New Roman"/>
                <w:color w:val="000000"/>
                <w:sz w:val="18"/>
                <w:lang w:val="es-ES"/>
              </w:rPr>
              <w:t>13%</w:t>
            </w:r>
          </w:p>
        </w:tc>
        <w:tc>
          <w:tcPr>
            <w:tcW w:w="865" w:type="pct"/>
            <w:tcBorders>
              <w:top w:val="nil"/>
              <w:left w:val="nil"/>
              <w:bottom w:val="nil"/>
              <w:right w:val="nil"/>
            </w:tcBorders>
            <w:noWrap/>
            <w:vAlign w:val="center"/>
          </w:tcPr>
          <w:p w14:paraId="5FE436E0"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81,47%</w:t>
            </w:r>
          </w:p>
        </w:tc>
        <w:tc>
          <w:tcPr>
            <w:tcW w:w="779" w:type="pct"/>
            <w:tcBorders>
              <w:top w:val="nil"/>
              <w:left w:val="nil"/>
              <w:bottom w:val="nil"/>
              <w:right w:val="nil"/>
            </w:tcBorders>
            <w:noWrap/>
            <w:vAlign w:val="center"/>
          </w:tcPr>
          <w:p w14:paraId="511A1D5E"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102,54%</w:t>
            </w:r>
          </w:p>
        </w:tc>
        <w:tc>
          <w:tcPr>
            <w:tcW w:w="779" w:type="pct"/>
            <w:tcBorders>
              <w:top w:val="nil"/>
              <w:left w:val="nil"/>
              <w:bottom w:val="nil"/>
              <w:right w:val="nil"/>
            </w:tcBorders>
            <w:shd w:val="clear" w:color="auto" w:fill="auto"/>
            <w:vAlign w:val="center"/>
          </w:tcPr>
          <w:p w14:paraId="71E591DC" w14:textId="77777777" w:rsidR="00DD1DF0" w:rsidRPr="00AE4E8D" w:rsidRDefault="00DD1DF0" w:rsidP="00FA407B">
            <w:pPr>
              <w:jc w:val="right"/>
              <w:rPr>
                <w:rFonts w:ascii="Times New Roman" w:hAnsi="Times New Roman"/>
                <w:color w:val="000000"/>
                <w:sz w:val="18"/>
                <w:szCs w:val="18"/>
                <w:lang w:val="es-ES"/>
              </w:rPr>
            </w:pPr>
            <w:r w:rsidRPr="00AE4E8D">
              <w:rPr>
                <w:rFonts w:ascii="Times New Roman" w:hAnsi="Times New Roman"/>
                <w:color w:val="000000"/>
                <w:sz w:val="18"/>
                <w:lang w:val="es-ES"/>
              </w:rPr>
              <w:t>46,46%</w:t>
            </w:r>
          </w:p>
        </w:tc>
      </w:tr>
      <w:tr w:rsidR="00DD1DF0" w:rsidRPr="00AE4E8D" w14:paraId="5DED6FA1" w14:textId="77777777" w:rsidTr="00FA407B">
        <w:trPr>
          <w:trHeight w:val="240"/>
          <w:jc w:val="center"/>
        </w:trPr>
        <w:tc>
          <w:tcPr>
            <w:tcW w:w="1674" w:type="pct"/>
            <w:tcBorders>
              <w:top w:val="nil"/>
              <w:left w:val="nil"/>
              <w:bottom w:val="nil"/>
              <w:right w:val="nil"/>
            </w:tcBorders>
            <w:noWrap/>
            <w:vAlign w:val="bottom"/>
          </w:tcPr>
          <w:p w14:paraId="6667A837" w14:textId="77777777" w:rsidR="00DD1DF0" w:rsidRPr="00AE4E8D" w:rsidRDefault="00DD1DF0" w:rsidP="00FA407B">
            <w:pPr>
              <w:rPr>
                <w:rFonts w:ascii="Times New Roman" w:hAnsi="Times New Roman"/>
                <w:color w:val="000000"/>
                <w:sz w:val="18"/>
                <w:szCs w:val="18"/>
                <w:lang w:val="es-ES"/>
              </w:rPr>
            </w:pPr>
          </w:p>
        </w:tc>
        <w:tc>
          <w:tcPr>
            <w:tcW w:w="903" w:type="pct"/>
            <w:tcBorders>
              <w:top w:val="nil"/>
              <w:left w:val="nil"/>
              <w:bottom w:val="nil"/>
              <w:right w:val="nil"/>
            </w:tcBorders>
            <w:noWrap/>
            <w:vAlign w:val="center"/>
          </w:tcPr>
          <w:p w14:paraId="31AD43DC" w14:textId="77777777" w:rsidR="00DD1DF0" w:rsidRPr="00AE4E8D" w:rsidRDefault="00DD1DF0" w:rsidP="00FA407B">
            <w:pPr>
              <w:jc w:val="right"/>
              <w:rPr>
                <w:rFonts w:ascii="Times New Roman" w:hAnsi="Times New Roman"/>
                <w:color w:val="000000"/>
                <w:sz w:val="18"/>
                <w:lang w:val="es-ES"/>
              </w:rPr>
            </w:pPr>
          </w:p>
        </w:tc>
        <w:tc>
          <w:tcPr>
            <w:tcW w:w="865" w:type="pct"/>
            <w:tcBorders>
              <w:top w:val="nil"/>
              <w:left w:val="nil"/>
              <w:bottom w:val="nil"/>
              <w:right w:val="nil"/>
            </w:tcBorders>
            <w:noWrap/>
            <w:vAlign w:val="center"/>
          </w:tcPr>
          <w:p w14:paraId="5F112EC1" w14:textId="77777777" w:rsidR="00DD1DF0" w:rsidRPr="00AE4E8D" w:rsidRDefault="00DD1DF0" w:rsidP="00FA407B">
            <w:pPr>
              <w:jc w:val="right"/>
              <w:rPr>
                <w:rFonts w:ascii="Times New Roman" w:hAnsi="Times New Roman"/>
                <w:color w:val="000000"/>
                <w:sz w:val="18"/>
                <w:lang w:val="es-ES"/>
              </w:rPr>
            </w:pPr>
          </w:p>
        </w:tc>
        <w:tc>
          <w:tcPr>
            <w:tcW w:w="779" w:type="pct"/>
            <w:tcBorders>
              <w:top w:val="nil"/>
              <w:left w:val="nil"/>
              <w:bottom w:val="nil"/>
              <w:right w:val="nil"/>
            </w:tcBorders>
            <w:noWrap/>
            <w:vAlign w:val="center"/>
          </w:tcPr>
          <w:p w14:paraId="313B882B" w14:textId="77777777" w:rsidR="00DD1DF0" w:rsidRPr="00AE4E8D" w:rsidRDefault="00DD1DF0" w:rsidP="00FA407B">
            <w:pPr>
              <w:jc w:val="right"/>
              <w:rPr>
                <w:rFonts w:ascii="Times New Roman" w:hAnsi="Times New Roman"/>
                <w:color w:val="000000"/>
                <w:sz w:val="18"/>
                <w:lang w:val="es-ES"/>
              </w:rPr>
            </w:pPr>
          </w:p>
        </w:tc>
        <w:tc>
          <w:tcPr>
            <w:tcW w:w="779" w:type="pct"/>
            <w:tcBorders>
              <w:top w:val="nil"/>
              <w:left w:val="nil"/>
              <w:bottom w:val="nil"/>
              <w:right w:val="nil"/>
            </w:tcBorders>
            <w:shd w:val="clear" w:color="auto" w:fill="auto"/>
            <w:vAlign w:val="center"/>
          </w:tcPr>
          <w:p w14:paraId="53E39C3B" w14:textId="77777777" w:rsidR="00DD1DF0" w:rsidRPr="00AE4E8D" w:rsidRDefault="00DD1DF0" w:rsidP="00FA407B">
            <w:pPr>
              <w:jc w:val="right"/>
              <w:rPr>
                <w:rFonts w:ascii="Times New Roman" w:hAnsi="Times New Roman"/>
                <w:color w:val="000000"/>
                <w:sz w:val="18"/>
                <w:lang w:val="es-ES"/>
              </w:rPr>
            </w:pPr>
          </w:p>
        </w:tc>
      </w:tr>
    </w:tbl>
    <w:p w14:paraId="7DAA3F38" w14:textId="77777777" w:rsidR="001B3E41" w:rsidRPr="00AE4E8D" w:rsidRDefault="001B3E41" w:rsidP="001B3E41">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Programa de Titulización de Préstamos</w:t>
      </w:r>
    </w:p>
    <w:p w14:paraId="07482FCC" w14:textId="77777777" w:rsidR="001B3E41" w:rsidRPr="00AE4E8D" w:rsidRDefault="001B3E41" w:rsidP="001B3E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Nosotros y nuestras subsidiarias BACS y Tarshop hemos celebrado diversos contratos de fideicomisos financieros mediante los cuales, en nuestro carácter de fiduciante, asignamos la propiedad fiduciaria de créditos hipotecarios y personales a diversas entidades financieras que actúan como fiduciarios. Una vez que los créditos hipotecarios son asignados al fideicomiso en cuestión los fondos del fideicomiso son utilizados para emitir valores negociables representativos de deuda y certificados de participación por el monto de los créditos asignados por nosotros. </w:t>
      </w:r>
    </w:p>
    <w:p w14:paraId="775E60AD" w14:textId="77777777" w:rsidR="001B3E41" w:rsidRPr="00AE4E8D" w:rsidRDefault="001B3E41" w:rsidP="001B3E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fiduciario es generalmente responsable de administrar los fondos fideicomitidos constituidos de acuerdo con los términos y condiciones de cada contrato de fideicomiso.</w:t>
      </w:r>
    </w:p>
    <w:p w14:paraId="7AAFB632" w14:textId="77777777" w:rsidR="001B3E41" w:rsidRPr="00AE4E8D" w:rsidRDefault="001B3E41" w:rsidP="001B3E41">
      <w:pPr>
        <w:keepNext/>
        <w:autoSpaceDE w:val="0"/>
        <w:autoSpaceDN w:val="0"/>
        <w:adjustRightInd w:val="0"/>
        <w:spacing w:after="120"/>
        <w:jc w:val="both"/>
        <w:outlineLvl w:val="3"/>
        <w:rPr>
          <w:rFonts w:ascii="Times New Roman" w:hAnsi="Times New Roman"/>
          <w:b/>
          <w:i/>
          <w:lang w:val="es-ES" w:eastAsia="es-AR"/>
        </w:rPr>
      </w:pPr>
      <w:r w:rsidRPr="00AE4E8D">
        <w:rPr>
          <w:rFonts w:ascii="Times New Roman" w:hAnsi="Times New Roman"/>
          <w:b/>
          <w:i/>
          <w:lang w:val="es-ES" w:eastAsia="es-AR"/>
        </w:rPr>
        <w:t>Sensibilidad a las Tasas de Interés</w:t>
      </w:r>
    </w:p>
    <w:p w14:paraId="41ED84FD" w14:textId="77777777" w:rsidR="001B3E41" w:rsidRPr="00AE4E8D" w:rsidRDefault="001B3E41" w:rsidP="001B3E41">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Un elemento clave de nuestra política de activos y pasivos es el manejo de la sensibilidad a las tasas de interés. La sensibilidad a las tasas de interés mide la variación del resultado financiero neto ante la modificación del precio de los activos y pasivos después de un cambio en las tasas de interés del mercado. Una estructura de activos y pasivos está calzada cuando se modifica el precio de un monto equivalente de activos y pasivos como resultado de un cambio en las tasas de interés. Toda diferencia entre la re-determinación del precio de los activos y los pasivos ocasiona una brecha o descalce y una variación en el resultado financiero neto al producirse el cambio en las tasas de interés.</w:t>
      </w:r>
    </w:p>
    <w:p w14:paraId="5013BC3F" w14:textId="77777777" w:rsidR="001B3E41" w:rsidRPr="00AE4E8D" w:rsidRDefault="001B3E41" w:rsidP="001B3E41">
      <w:pPr>
        <w:autoSpaceDE w:val="0"/>
        <w:autoSpaceDN w:val="0"/>
        <w:adjustRightInd w:val="0"/>
        <w:spacing w:before="120" w:after="120"/>
        <w:jc w:val="both"/>
        <w:rPr>
          <w:rFonts w:ascii="Times New Roman" w:hAnsi="Times New Roman"/>
          <w:bCs/>
          <w:iCs/>
          <w:highlight w:val="cyan"/>
          <w:lang w:val="es-ES" w:eastAsia="es-AR"/>
        </w:rPr>
      </w:pPr>
      <w:r w:rsidRPr="00AE4E8D">
        <w:rPr>
          <w:rFonts w:ascii="Times New Roman" w:hAnsi="Times New Roman"/>
          <w:bCs/>
          <w:iCs/>
          <w:lang w:val="es-ES" w:eastAsia="es-AR"/>
        </w:rPr>
        <w:t>Los siguientes cuadros muestran nuestras posiciones de activos y pasivos que devengan intereses por período de re-determinación del precio al 30 de junio de 2017. Los cuadros muestran el impacto de un aumento en las tasas de interés de corto plazo (menos de doce meses) que da como resultado una reducción de nuestros ingresos por intereses netos puesto que se re-determina el precio de un monto de pasivos superior al de activos, en tanto una reducción en las tasas de interés de corto plazo tiene el efecto contrario.</w:t>
      </w:r>
    </w:p>
    <w:p w14:paraId="20298AAA" w14:textId="77777777" w:rsidR="001B3E41" w:rsidRPr="00AE4E8D" w:rsidRDefault="001B3E41" w:rsidP="001B3E41">
      <w:pPr>
        <w:autoSpaceDE w:val="0"/>
        <w:autoSpaceDN w:val="0"/>
        <w:adjustRightInd w:val="0"/>
        <w:spacing w:before="120" w:after="120"/>
        <w:jc w:val="both"/>
        <w:rPr>
          <w:rFonts w:ascii="Times New Roman" w:hAnsi="Times New Roman"/>
          <w:bCs/>
          <w:iCs/>
          <w:highlight w:val="cyan"/>
          <w:lang w:val="es-ES" w:eastAsia="es-AR"/>
        </w:rPr>
        <w:sectPr w:rsidR="001B3E41" w:rsidRPr="00AE4E8D" w:rsidSect="00FA3175">
          <w:pgSz w:w="11907" w:h="16839"/>
          <w:pgMar w:top="1417" w:right="1701" w:bottom="1417" w:left="1701" w:header="709" w:footer="709" w:gutter="0"/>
          <w:cols w:space="720"/>
          <w:docGrid w:linePitch="272"/>
        </w:sectPr>
      </w:pPr>
    </w:p>
    <w:p w14:paraId="74B96410" w14:textId="77777777" w:rsidR="001B3E41" w:rsidRPr="00AE4E8D" w:rsidRDefault="001B3E41" w:rsidP="001B3E41">
      <w:pPr>
        <w:autoSpaceDE w:val="0"/>
        <w:autoSpaceDN w:val="0"/>
        <w:adjustRightInd w:val="0"/>
        <w:spacing w:before="120" w:after="120"/>
        <w:jc w:val="both"/>
        <w:rPr>
          <w:rFonts w:ascii="Times New Roman" w:hAnsi="Times New Roman"/>
          <w:bCs/>
          <w:iCs/>
          <w:highlight w:val="cyan"/>
          <w:lang w:val="es-ES" w:eastAsia="es-AR"/>
        </w:rPr>
      </w:pPr>
    </w:p>
    <w:tbl>
      <w:tblPr>
        <w:tblW w:w="5000" w:type="pct"/>
        <w:jc w:val="center"/>
        <w:tblLook w:val="00A0" w:firstRow="1" w:lastRow="0" w:firstColumn="1" w:lastColumn="0" w:noHBand="0" w:noVBand="0"/>
      </w:tblPr>
      <w:tblGrid>
        <w:gridCol w:w="3051"/>
        <w:gridCol w:w="1183"/>
        <w:gridCol w:w="1052"/>
        <w:gridCol w:w="1104"/>
        <w:gridCol w:w="1132"/>
        <w:gridCol w:w="1090"/>
        <w:gridCol w:w="1081"/>
        <w:gridCol w:w="1081"/>
        <w:gridCol w:w="1132"/>
        <w:gridCol w:w="1289"/>
        <w:gridCol w:w="1024"/>
      </w:tblGrid>
      <w:tr w:rsidR="001B3E41" w:rsidRPr="00AE4E8D" w14:paraId="52A90343" w14:textId="77777777" w:rsidTr="000400C8">
        <w:trPr>
          <w:trHeight w:val="255"/>
          <w:jc w:val="center"/>
        </w:trPr>
        <w:tc>
          <w:tcPr>
            <w:tcW w:w="724" w:type="pct"/>
            <w:tcBorders>
              <w:top w:val="nil"/>
              <w:left w:val="nil"/>
              <w:bottom w:val="nil"/>
              <w:right w:val="nil"/>
            </w:tcBorders>
            <w:noWrap/>
            <w:vAlign w:val="bottom"/>
          </w:tcPr>
          <w:p w14:paraId="07409E85" w14:textId="77777777" w:rsidR="001B3E41" w:rsidRPr="00AE4E8D" w:rsidRDefault="001B3E41" w:rsidP="002A71B8">
            <w:pPr>
              <w:rPr>
                <w:rFonts w:ascii="Times New Roman" w:hAnsi="Times New Roman"/>
                <w:color w:val="000000"/>
                <w:sz w:val="16"/>
                <w:szCs w:val="16"/>
                <w:lang w:val="es-ES"/>
              </w:rPr>
            </w:pPr>
          </w:p>
          <w:p w14:paraId="550E0C96" w14:textId="77777777" w:rsidR="001B3E41" w:rsidRPr="00AE4E8D" w:rsidRDefault="001B3E41" w:rsidP="002A71B8">
            <w:pPr>
              <w:rPr>
                <w:rFonts w:ascii="Times New Roman" w:hAnsi="Times New Roman"/>
                <w:color w:val="000000"/>
                <w:sz w:val="16"/>
                <w:szCs w:val="16"/>
                <w:lang w:val="es-ES"/>
              </w:rPr>
            </w:pPr>
          </w:p>
        </w:tc>
        <w:tc>
          <w:tcPr>
            <w:tcW w:w="4276" w:type="pct"/>
            <w:gridSpan w:val="10"/>
            <w:tcBorders>
              <w:top w:val="nil"/>
              <w:left w:val="nil"/>
              <w:bottom w:val="single" w:sz="4" w:space="0" w:color="auto"/>
              <w:right w:val="nil"/>
            </w:tcBorders>
            <w:noWrap/>
            <w:vAlign w:val="bottom"/>
          </w:tcPr>
          <w:p w14:paraId="1705C025"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Al 30 de junio de 2017</w:t>
            </w:r>
          </w:p>
        </w:tc>
      </w:tr>
      <w:tr w:rsidR="001B3E41" w:rsidRPr="00AE4E8D" w14:paraId="5BC43438" w14:textId="77777777" w:rsidTr="000400C8">
        <w:trPr>
          <w:trHeight w:val="495"/>
          <w:jc w:val="center"/>
        </w:trPr>
        <w:tc>
          <w:tcPr>
            <w:tcW w:w="724" w:type="pct"/>
            <w:tcBorders>
              <w:top w:val="nil"/>
              <w:left w:val="nil"/>
              <w:bottom w:val="nil"/>
              <w:right w:val="nil"/>
            </w:tcBorders>
            <w:noWrap/>
            <w:vAlign w:val="center"/>
          </w:tcPr>
          <w:p w14:paraId="38EF078B" w14:textId="77777777" w:rsidR="001B3E41" w:rsidRPr="00AE4E8D" w:rsidRDefault="001B3E41" w:rsidP="002A71B8">
            <w:pPr>
              <w:jc w:val="center"/>
              <w:rPr>
                <w:rFonts w:ascii="Times New Roman" w:hAnsi="Times New Roman"/>
                <w:color w:val="000000"/>
                <w:sz w:val="16"/>
                <w:szCs w:val="16"/>
                <w:lang w:val="es-ES"/>
              </w:rPr>
            </w:pPr>
          </w:p>
        </w:tc>
        <w:tc>
          <w:tcPr>
            <w:tcW w:w="451" w:type="pct"/>
            <w:tcBorders>
              <w:top w:val="nil"/>
              <w:left w:val="nil"/>
              <w:bottom w:val="single" w:sz="4" w:space="0" w:color="auto"/>
              <w:right w:val="nil"/>
            </w:tcBorders>
            <w:vAlign w:val="center"/>
          </w:tcPr>
          <w:p w14:paraId="4501300B"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Inmediato </w:t>
            </w:r>
          </w:p>
        </w:tc>
        <w:tc>
          <w:tcPr>
            <w:tcW w:w="405" w:type="pct"/>
            <w:tcBorders>
              <w:top w:val="nil"/>
              <w:left w:val="nil"/>
              <w:bottom w:val="single" w:sz="4" w:space="0" w:color="auto"/>
              <w:right w:val="nil"/>
            </w:tcBorders>
            <w:vAlign w:val="center"/>
          </w:tcPr>
          <w:p w14:paraId="599CF9F3"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1 a 6 meses </w:t>
            </w:r>
          </w:p>
        </w:tc>
        <w:tc>
          <w:tcPr>
            <w:tcW w:w="423" w:type="pct"/>
            <w:tcBorders>
              <w:top w:val="nil"/>
              <w:left w:val="nil"/>
              <w:bottom w:val="single" w:sz="4" w:space="0" w:color="auto"/>
              <w:right w:val="nil"/>
            </w:tcBorders>
            <w:vAlign w:val="center"/>
          </w:tcPr>
          <w:p w14:paraId="762DC4F4"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6 a 12 meses </w:t>
            </w:r>
          </w:p>
        </w:tc>
        <w:tc>
          <w:tcPr>
            <w:tcW w:w="433" w:type="pct"/>
            <w:tcBorders>
              <w:top w:val="nil"/>
              <w:left w:val="nil"/>
              <w:bottom w:val="single" w:sz="4" w:space="0" w:color="auto"/>
              <w:right w:val="nil"/>
            </w:tcBorders>
            <w:vAlign w:val="center"/>
          </w:tcPr>
          <w:p w14:paraId="54E9B123"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1 a 3 años </w:t>
            </w:r>
          </w:p>
        </w:tc>
        <w:tc>
          <w:tcPr>
            <w:tcW w:w="418" w:type="pct"/>
            <w:tcBorders>
              <w:top w:val="nil"/>
              <w:left w:val="nil"/>
              <w:bottom w:val="single" w:sz="4" w:space="0" w:color="auto"/>
              <w:right w:val="nil"/>
            </w:tcBorders>
            <w:vAlign w:val="center"/>
          </w:tcPr>
          <w:p w14:paraId="243D6628"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3 a 5 años </w:t>
            </w:r>
          </w:p>
        </w:tc>
        <w:tc>
          <w:tcPr>
            <w:tcW w:w="415" w:type="pct"/>
            <w:tcBorders>
              <w:top w:val="nil"/>
              <w:left w:val="nil"/>
              <w:bottom w:val="single" w:sz="4" w:space="0" w:color="auto"/>
              <w:right w:val="nil"/>
            </w:tcBorders>
            <w:vAlign w:val="center"/>
          </w:tcPr>
          <w:p w14:paraId="6284C939"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5 a 10 años </w:t>
            </w:r>
          </w:p>
        </w:tc>
        <w:tc>
          <w:tcPr>
            <w:tcW w:w="415" w:type="pct"/>
            <w:tcBorders>
              <w:top w:val="nil"/>
              <w:left w:val="nil"/>
              <w:bottom w:val="single" w:sz="4" w:space="0" w:color="auto"/>
              <w:right w:val="nil"/>
            </w:tcBorders>
            <w:vAlign w:val="center"/>
          </w:tcPr>
          <w:p w14:paraId="1B286E7E"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10 a 15 años </w:t>
            </w:r>
          </w:p>
        </w:tc>
        <w:tc>
          <w:tcPr>
            <w:tcW w:w="433" w:type="pct"/>
            <w:tcBorders>
              <w:top w:val="nil"/>
              <w:left w:val="nil"/>
              <w:bottom w:val="single" w:sz="4" w:space="0" w:color="auto"/>
              <w:right w:val="nil"/>
            </w:tcBorders>
            <w:vAlign w:val="center"/>
          </w:tcPr>
          <w:p w14:paraId="7923A8FE"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Más de 15 años </w:t>
            </w:r>
          </w:p>
        </w:tc>
        <w:tc>
          <w:tcPr>
            <w:tcW w:w="488" w:type="pct"/>
            <w:tcBorders>
              <w:top w:val="nil"/>
              <w:left w:val="nil"/>
              <w:bottom w:val="single" w:sz="4" w:space="0" w:color="auto"/>
              <w:right w:val="nil"/>
            </w:tcBorders>
            <w:vAlign w:val="center"/>
          </w:tcPr>
          <w:p w14:paraId="68171494"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Sin vencimiento </w:t>
            </w:r>
          </w:p>
        </w:tc>
        <w:tc>
          <w:tcPr>
            <w:tcW w:w="396" w:type="pct"/>
            <w:tcBorders>
              <w:top w:val="nil"/>
              <w:left w:val="nil"/>
              <w:bottom w:val="single" w:sz="4" w:space="0" w:color="auto"/>
              <w:right w:val="nil"/>
            </w:tcBorders>
            <w:vAlign w:val="center"/>
          </w:tcPr>
          <w:p w14:paraId="587D58CA" w14:textId="77777777" w:rsidR="001B3E41" w:rsidRPr="00AE4E8D" w:rsidRDefault="001B3E41" w:rsidP="002A71B8">
            <w:pPr>
              <w:jc w:val="cente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 xml:space="preserve"> Total </w:t>
            </w:r>
          </w:p>
        </w:tc>
      </w:tr>
      <w:tr w:rsidR="001B3E41" w:rsidRPr="00AE4E8D" w14:paraId="1F7E7630" w14:textId="77777777" w:rsidTr="000400C8">
        <w:trPr>
          <w:trHeight w:val="255"/>
          <w:jc w:val="center"/>
        </w:trPr>
        <w:tc>
          <w:tcPr>
            <w:tcW w:w="724" w:type="pct"/>
            <w:tcBorders>
              <w:top w:val="nil"/>
              <w:left w:val="nil"/>
              <w:bottom w:val="nil"/>
              <w:right w:val="nil"/>
            </w:tcBorders>
            <w:noWrap/>
            <w:vAlign w:val="bottom"/>
          </w:tcPr>
          <w:p w14:paraId="11142555" w14:textId="77777777" w:rsidR="001B3E41" w:rsidRPr="00AE4E8D" w:rsidRDefault="001B3E41" w:rsidP="002A71B8">
            <w:pPr>
              <w:rPr>
                <w:rFonts w:ascii="Times New Roman" w:hAnsi="Times New Roman"/>
                <w:color w:val="000000"/>
                <w:sz w:val="16"/>
                <w:szCs w:val="16"/>
                <w:lang w:val="es-ES"/>
              </w:rPr>
            </w:pPr>
          </w:p>
        </w:tc>
        <w:tc>
          <w:tcPr>
            <w:tcW w:w="4276" w:type="pct"/>
            <w:gridSpan w:val="10"/>
            <w:tcBorders>
              <w:top w:val="nil"/>
              <w:left w:val="nil"/>
              <w:bottom w:val="nil"/>
              <w:right w:val="nil"/>
            </w:tcBorders>
            <w:noWrap/>
            <w:vAlign w:val="bottom"/>
          </w:tcPr>
          <w:p w14:paraId="4CE8F150" w14:textId="77777777" w:rsidR="001B3E41" w:rsidRPr="00AE4E8D" w:rsidRDefault="001B3E41" w:rsidP="002A71B8">
            <w:pPr>
              <w:jc w:val="cente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(en millones de Pesos, excepto porcentajes) </w:t>
            </w:r>
          </w:p>
        </w:tc>
      </w:tr>
      <w:tr w:rsidR="001B3E41" w:rsidRPr="00AE4E8D" w14:paraId="39510573" w14:textId="77777777" w:rsidTr="000400C8">
        <w:trPr>
          <w:trHeight w:val="255"/>
          <w:jc w:val="center"/>
        </w:trPr>
        <w:tc>
          <w:tcPr>
            <w:tcW w:w="724" w:type="pct"/>
            <w:tcBorders>
              <w:top w:val="nil"/>
              <w:left w:val="nil"/>
              <w:bottom w:val="nil"/>
              <w:right w:val="nil"/>
            </w:tcBorders>
            <w:noWrap/>
            <w:vAlign w:val="bottom"/>
          </w:tcPr>
          <w:p w14:paraId="5188C709" w14:textId="77777777" w:rsidR="001B3E41" w:rsidRPr="00AE4E8D" w:rsidRDefault="001B3E41" w:rsidP="002A71B8">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ACTIVOS QUE DEVENGAN INTERÉS</w:t>
            </w:r>
          </w:p>
        </w:tc>
        <w:tc>
          <w:tcPr>
            <w:tcW w:w="451" w:type="pct"/>
            <w:tcBorders>
              <w:top w:val="nil"/>
              <w:left w:val="nil"/>
              <w:bottom w:val="nil"/>
              <w:right w:val="nil"/>
            </w:tcBorders>
            <w:noWrap/>
            <w:vAlign w:val="bottom"/>
          </w:tcPr>
          <w:p w14:paraId="07487592" w14:textId="77777777" w:rsidR="001B3E41" w:rsidRPr="00AE4E8D" w:rsidRDefault="001B3E41" w:rsidP="002A71B8">
            <w:pPr>
              <w:rPr>
                <w:rFonts w:ascii="Times New Roman" w:hAnsi="Times New Roman"/>
                <w:color w:val="000000"/>
                <w:sz w:val="16"/>
                <w:szCs w:val="16"/>
                <w:lang w:val="es-ES"/>
              </w:rPr>
            </w:pPr>
          </w:p>
        </w:tc>
        <w:tc>
          <w:tcPr>
            <w:tcW w:w="405" w:type="pct"/>
            <w:tcBorders>
              <w:top w:val="nil"/>
              <w:left w:val="nil"/>
              <w:bottom w:val="nil"/>
              <w:right w:val="nil"/>
            </w:tcBorders>
            <w:noWrap/>
            <w:vAlign w:val="bottom"/>
          </w:tcPr>
          <w:p w14:paraId="01D31897" w14:textId="77777777" w:rsidR="001B3E41" w:rsidRPr="00AE4E8D" w:rsidRDefault="001B3E41" w:rsidP="002A71B8">
            <w:pPr>
              <w:rPr>
                <w:rFonts w:ascii="Times New Roman" w:hAnsi="Times New Roman"/>
                <w:color w:val="000000"/>
                <w:sz w:val="16"/>
                <w:szCs w:val="16"/>
                <w:lang w:val="es-ES"/>
              </w:rPr>
            </w:pPr>
          </w:p>
        </w:tc>
        <w:tc>
          <w:tcPr>
            <w:tcW w:w="423" w:type="pct"/>
            <w:tcBorders>
              <w:top w:val="nil"/>
              <w:left w:val="nil"/>
              <w:bottom w:val="nil"/>
              <w:right w:val="nil"/>
            </w:tcBorders>
            <w:noWrap/>
            <w:vAlign w:val="bottom"/>
          </w:tcPr>
          <w:p w14:paraId="1A631553" w14:textId="77777777" w:rsidR="001B3E41" w:rsidRPr="00AE4E8D" w:rsidRDefault="001B3E41" w:rsidP="002A71B8">
            <w:pPr>
              <w:rPr>
                <w:rFonts w:ascii="Times New Roman" w:hAnsi="Times New Roman"/>
                <w:color w:val="000000"/>
                <w:sz w:val="16"/>
                <w:szCs w:val="16"/>
                <w:lang w:val="es-ES"/>
              </w:rPr>
            </w:pPr>
          </w:p>
        </w:tc>
        <w:tc>
          <w:tcPr>
            <w:tcW w:w="433" w:type="pct"/>
            <w:tcBorders>
              <w:top w:val="nil"/>
              <w:left w:val="nil"/>
              <w:bottom w:val="nil"/>
              <w:right w:val="nil"/>
            </w:tcBorders>
            <w:noWrap/>
            <w:vAlign w:val="bottom"/>
          </w:tcPr>
          <w:p w14:paraId="6635DB08" w14:textId="77777777" w:rsidR="001B3E41" w:rsidRPr="00AE4E8D" w:rsidRDefault="001B3E41" w:rsidP="002A71B8">
            <w:pPr>
              <w:rPr>
                <w:rFonts w:ascii="Times New Roman" w:hAnsi="Times New Roman"/>
                <w:color w:val="000000"/>
                <w:sz w:val="16"/>
                <w:szCs w:val="16"/>
                <w:lang w:val="es-ES"/>
              </w:rPr>
            </w:pPr>
          </w:p>
        </w:tc>
        <w:tc>
          <w:tcPr>
            <w:tcW w:w="418" w:type="pct"/>
            <w:tcBorders>
              <w:top w:val="nil"/>
              <w:left w:val="nil"/>
              <w:bottom w:val="nil"/>
              <w:right w:val="nil"/>
            </w:tcBorders>
            <w:noWrap/>
            <w:vAlign w:val="bottom"/>
          </w:tcPr>
          <w:p w14:paraId="3B20B67F" w14:textId="77777777" w:rsidR="001B3E41" w:rsidRPr="00AE4E8D" w:rsidRDefault="001B3E41" w:rsidP="002A71B8">
            <w:pPr>
              <w:rPr>
                <w:rFonts w:ascii="Times New Roman" w:hAnsi="Times New Roman"/>
                <w:color w:val="000000"/>
                <w:sz w:val="16"/>
                <w:szCs w:val="16"/>
                <w:lang w:val="es-ES"/>
              </w:rPr>
            </w:pPr>
          </w:p>
        </w:tc>
        <w:tc>
          <w:tcPr>
            <w:tcW w:w="415" w:type="pct"/>
            <w:tcBorders>
              <w:top w:val="nil"/>
              <w:left w:val="nil"/>
              <w:bottom w:val="nil"/>
              <w:right w:val="nil"/>
            </w:tcBorders>
            <w:noWrap/>
            <w:vAlign w:val="bottom"/>
          </w:tcPr>
          <w:p w14:paraId="7105F1E3" w14:textId="77777777" w:rsidR="001B3E41" w:rsidRPr="00AE4E8D" w:rsidRDefault="001B3E41" w:rsidP="002A71B8">
            <w:pPr>
              <w:rPr>
                <w:rFonts w:ascii="Times New Roman" w:hAnsi="Times New Roman"/>
                <w:color w:val="000000"/>
                <w:sz w:val="16"/>
                <w:szCs w:val="16"/>
                <w:lang w:val="es-ES"/>
              </w:rPr>
            </w:pPr>
          </w:p>
        </w:tc>
        <w:tc>
          <w:tcPr>
            <w:tcW w:w="415" w:type="pct"/>
            <w:tcBorders>
              <w:top w:val="nil"/>
              <w:left w:val="nil"/>
              <w:bottom w:val="nil"/>
              <w:right w:val="nil"/>
            </w:tcBorders>
            <w:noWrap/>
            <w:vAlign w:val="bottom"/>
          </w:tcPr>
          <w:p w14:paraId="0C1D83CF" w14:textId="77777777" w:rsidR="001B3E41" w:rsidRPr="00AE4E8D" w:rsidRDefault="001B3E41" w:rsidP="002A71B8">
            <w:pPr>
              <w:rPr>
                <w:rFonts w:ascii="Times New Roman" w:hAnsi="Times New Roman"/>
                <w:color w:val="000000"/>
                <w:sz w:val="16"/>
                <w:szCs w:val="16"/>
                <w:lang w:val="es-ES"/>
              </w:rPr>
            </w:pPr>
          </w:p>
        </w:tc>
        <w:tc>
          <w:tcPr>
            <w:tcW w:w="433" w:type="pct"/>
            <w:tcBorders>
              <w:top w:val="nil"/>
              <w:left w:val="nil"/>
              <w:bottom w:val="nil"/>
              <w:right w:val="nil"/>
            </w:tcBorders>
            <w:noWrap/>
            <w:vAlign w:val="bottom"/>
          </w:tcPr>
          <w:p w14:paraId="635656DE" w14:textId="77777777" w:rsidR="001B3E41" w:rsidRPr="00AE4E8D" w:rsidRDefault="001B3E41" w:rsidP="002A71B8">
            <w:pPr>
              <w:rPr>
                <w:rFonts w:ascii="Times New Roman" w:hAnsi="Times New Roman"/>
                <w:color w:val="000000"/>
                <w:sz w:val="16"/>
                <w:szCs w:val="16"/>
                <w:lang w:val="es-ES"/>
              </w:rPr>
            </w:pPr>
          </w:p>
        </w:tc>
        <w:tc>
          <w:tcPr>
            <w:tcW w:w="488" w:type="pct"/>
            <w:tcBorders>
              <w:top w:val="nil"/>
              <w:left w:val="nil"/>
              <w:bottom w:val="nil"/>
              <w:right w:val="nil"/>
            </w:tcBorders>
            <w:noWrap/>
            <w:vAlign w:val="bottom"/>
          </w:tcPr>
          <w:p w14:paraId="024F651C" w14:textId="77777777" w:rsidR="001B3E41" w:rsidRPr="00AE4E8D" w:rsidRDefault="001B3E41" w:rsidP="002A71B8">
            <w:pPr>
              <w:rPr>
                <w:rFonts w:ascii="Times New Roman" w:hAnsi="Times New Roman"/>
                <w:color w:val="000000"/>
                <w:sz w:val="16"/>
                <w:szCs w:val="16"/>
                <w:lang w:val="es-ES"/>
              </w:rPr>
            </w:pPr>
          </w:p>
        </w:tc>
        <w:tc>
          <w:tcPr>
            <w:tcW w:w="396" w:type="pct"/>
            <w:tcBorders>
              <w:top w:val="nil"/>
              <w:left w:val="nil"/>
              <w:bottom w:val="nil"/>
              <w:right w:val="nil"/>
            </w:tcBorders>
            <w:noWrap/>
            <w:vAlign w:val="bottom"/>
          </w:tcPr>
          <w:p w14:paraId="3AE68A36" w14:textId="77777777" w:rsidR="001B3E41" w:rsidRPr="00AE4E8D" w:rsidRDefault="001B3E41" w:rsidP="002A71B8">
            <w:pPr>
              <w:rPr>
                <w:rFonts w:ascii="Times New Roman" w:hAnsi="Times New Roman"/>
                <w:color w:val="000000"/>
                <w:sz w:val="16"/>
                <w:szCs w:val="16"/>
                <w:lang w:val="es-ES"/>
              </w:rPr>
            </w:pPr>
          </w:p>
        </w:tc>
      </w:tr>
      <w:tr w:rsidR="001B3E41" w:rsidRPr="00AE4E8D" w14:paraId="7C091D3A" w14:textId="77777777" w:rsidTr="000400C8">
        <w:trPr>
          <w:trHeight w:val="255"/>
          <w:jc w:val="center"/>
        </w:trPr>
        <w:tc>
          <w:tcPr>
            <w:tcW w:w="724" w:type="pct"/>
            <w:tcBorders>
              <w:top w:val="nil"/>
              <w:left w:val="nil"/>
              <w:bottom w:val="nil"/>
              <w:right w:val="nil"/>
            </w:tcBorders>
            <w:vAlign w:val="bottom"/>
          </w:tcPr>
          <w:p w14:paraId="744AD05C"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Disponibilidades </w:t>
            </w:r>
          </w:p>
        </w:tc>
        <w:tc>
          <w:tcPr>
            <w:tcW w:w="451" w:type="pct"/>
            <w:tcBorders>
              <w:top w:val="nil"/>
              <w:left w:val="nil"/>
              <w:bottom w:val="nil"/>
              <w:right w:val="nil"/>
            </w:tcBorders>
            <w:noWrap/>
            <w:vAlign w:val="bottom"/>
          </w:tcPr>
          <w:p w14:paraId="7528537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896,2 </w:t>
            </w:r>
          </w:p>
        </w:tc>
        <w:tc>
          <w:tcPr>
            <w:tcW w:w="405" w:type="pct"/>
            <w:tcBorders>
              <w:top w:val="nil"/>
              <w:left w:val="nil"/>
              <w:bottom w:val="nil"/>
              <w:right w:val="nil"/>
            </w:tcBorders>
            <w:noWrap/>
            <w:vAlign w:val="bottom"/>
          </w:tcPr>
          <w:p w14:paraId="27176B7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23" w:type="pct"/>
            <w:tcBorders>
              <w:top w:val="nil"/>
              <w:left w:val="nil"/>
              <w:bottom w:val="nil"/>
              <w:right w:val="nil"/>
            </w:tcBorders>
            <w:noWrap/>
            <w:vAlign w:val="bottom"/>
          </w:tcPr>
          <w:p w14:paraId="4883006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64B394DC"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8" w:type="pct"/>
            <w:tcBorders>
              <w:top w:val="nil"/>
              <w:left w:val="nil"/>
              <w:bottom w:val="nil"/>
              <w:right w:val="nil"/>
            </w:tcBorders>
            <w:noWrap/>
            <w:vAlign w:val="bottom"/>
          </w:tcPr>
          <w:p w14:paraId="5862982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5974275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5817567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125D86E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290CF3B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2.539,1 </w:t>
            </w:r>
          </w:p>
        </w:tc>
        <w:tc>
          <w:tcPr>
            <w:tcW w:w="396" w:type="pct"/>
            <w:tcBorders>
              <w:top w:val="nil"/>
              <w:left w:val="nil"/>
              <w:bottom w:val="nil"/>
              <w:right w:val="nil"/>
            </w:tcBorders>
            <w:noWrap/>
            <w:vAlign w:val="bottom"/>
          </w:tcPr>
          <w:p w14:paraId="70EE2B8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3.435,3 </w:t>
            </w:r>
          </w:p>
        </w:tc>
      </w:tr>
      <w:tr w:rsidR="001B3E41" w:rsidRPr="00AE4E8D" w14:paraId="47E52DF3" w14:textId="77777777" w:rsidTr="000400C8">
        <w:trPr>
          <w:trHeight w:val="255"/>
          <w:jc w:val="center"/>
        </w:trPr>
        <w:tc>
          <w:tcPr>
            <w:tcW w:w="724" w:type="pct"/>
            <w:tcBorders>
              <w:top w:val="nil"/>
              <w:left w:val="nil"/>
              <w:bottom w:val="nil"/>
              <w:right w:val="nil"/>
            </w:tcBorders>
            <w:vAlign w:val="bottom"/>
          </w:tcPr>
          <w:p w14:paraId="04B34105"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Títulos públicos y privados </w:t>
            </w:r>
          </w:p>
        </w:tc>
        <w:tc>
          <w:tcPr>
            <w:tcW w:w="451" w:type="pct"/>
            <w:tcBorders>
              <w:top w:val="nil"/>
              <w:left w:val="nil"/>
              <w:bottom w:val="nil"/>
              <w:right w:val="nil"/>
            </w:tcBorders>
            <w:noWrap/>
            <w:vAlign w:val="bottom"/>
          </w:tcPr>
          <w:p w14:paraId="6BD2158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433,6 </w:t>
            </w:r>
          </w:p>
        </w:tc>
        <w:tc>
          <w:tcPr>
            <w:tcW w:w="405" w:type="pct"/>
            <w:tcBorders>
              <w:top w:val="nil"/>
              <w:left w:val="nil"/>
              <w:bottom w:val="nil"/>
              <w:right w:val="nil"/>
            </w:tcBorders>
            <w:noWrap/>
            <w:vAlign w:val="bottom"/>
          </w:tcPr>
          <w:p w14:paraId="759115D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4.193,5 </w:t>
            </w:r>
          </w:p>
        </w:tc>
        <w:tc>
          <w:tcPr>
            <w:tcW w:w="423" w:type="pct"/>
            <w:tcBorders>
              <w:top w:val="nil"/>
              <w:left w:val="nil"/>
              <w:bottom w:val="nil"/>
              <w:right w:val="nil"/>
            </w:tcBorders>
            <w:noWrap/>
            <w:vAlign w:val="bottom"/>
          </w:tcPr>
          <w:p w14:paraId="5A00AB1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451,3 </w:t>
            </w:r>
          </w:p>
        </w:tc>
        <w:tc>
          <w:tcPr>
            <w:tcW w:w="433" w:type="pct"/>
            <w:tcBorders>
              <w:top w:val="nil"/>
              <w:left w:val="nil"/>
              <w:bottom w:val="nil"/>
              <w:right w:val="nil"/>
            </w:tcBorders>
            <w:noWrap/>
            <w:vAlign w:val="bottom"/>
          </w:tcPr>
          <w:p w14:paraId="66B1135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984,9 </w:t>
            </w:r>
          </w:p>
        </w:tc>
        <w:tc>
          <w:tcPr>
            <w:tcW w:w="418" w:type="pct"/>
            <w:tcBorders>
              <w:top w:val="nil"/>
              <w:left w:val="nil"/>
              <w:bottom w:val="nil"/>
              <w:right w:val="nil"/>
            </w:tcBorders>
            <w:noWrap/>
            <w:vAlign w:val="bottom"/>
          </w:tcPr>
          <w:p w14:paraId="323F8CA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122,1 </w:t>
            </w:r>
          </w:p>
        </w:tc>
        <w:tc>
          <w:tcPr>
            <w:tcW w:w="415" w:type="pct"/>
            <w:tcBorders>
              <w:top w:val="nil"/>
              <w:left w:val="nil"/>
              <w:bottom w:val="nil"/>
              <w:right w:val="nil"/>
            </w:tcBorders>
            <w:noWrap/>
            <w:vAlign w:val="bottom"/>
          </w:tcPr>
          <w:p w14:paraId="4B02D3C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1.125,5 </w:t>
            </w:r>
          </w:p>
        </w:tc>
        <w:tc>
          <w:tcPr>
            <w:tcW w:w="415" w:type="pct"/>
            <w:tcBorders>
              <w:top w:val="nil"/>
              <w:left w:val="nil"/>
              <w:bottom w:val="nil"/>
              <w:right w:val="nil"/>
            </w:tcBorders>
            <w:noWrap/>
            <w:vAlign w:val="bottom"/>
          </w:tcPr>
          <w:p w14:paraId="46836A9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2,5 </w:t>
            </w:r>
          </w:p>
        </w:tc>
        <w:tc>
          <w:tcPr>
            <w:tcW w:w="433" w:type="pct"/>
            <w:tcBorders>
              <w:top w:val="nil"/>
              <w:left w:val="nil"/>
              <w:bottom w:val="nil"/>
              <w:right w:val="nil"/>
            </w:tcBorders>
            <w:noWrap/>
            <w:vAlign w:val="bottom"/>
          </w:tcPr>
          <w:p w14:paraId="3A9CC88C"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586,6 </w:t>
            </w:r>
          </w:p>
        </w:tc>
        <w:tc>
          <w:tcPr>
            <w:tcW w:w="488" w:type="pct"/>
            <w:tcBorders>
              <w:top w:val="nil"/>
              <w:left w:val="nil"/>
              <w:bottom w:val="nil"/>
              <w:right w:val="nil"/>
            </w:tcBorders>
            <w:noWrap/>
            <w:vAlign w:val="bottom"/>
          </w:tcPr>
          <w:p w14:paraId="2BC6645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182,3 </w:t>
            </w:r>
          </w:p>
        </w:tc>
        <w:tc>
          <w:tcPr>
            <w:tcW w:w="396" w:type="pct"/>
            <w:tcBorders>
              <w:top w:val="nil"/>
              <w:left w:val="nil"/>
              <w:bottom w:val="nil"/>
              <w:right w:val="nil"/>
            </w:tcBorders>
            <w:noWrap/>
            <w:vAlign w:val="bottom"/>
          </w:tcPr>
          <w:p w14:paraId="75047AB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8.082,3 </w:t>
            </w:r>
          </w:p>
        </w:tc>
      </w:tr>
      <w:tr w:rsidR="001B3E41" w:rsidRPr="00AE4E8D" w14:paraId="45EBF36B" w14:textId="77777777" w:rsidTr="000400C8">
        <w:trPr>
          <w:trHeight w:val="255"/>
          <w:jc w:val="center"/>
        </w:trPr>
        <w:tc>
          <w:tcPr>
            <w:tcW w:w="724" w:type="pct"/>
            <w:tcBorders>
              <w:top w:val="nil"/>
              <w:left w:val="nil"/>
              <w:bottom w:val="nil"/>
              <w:right w:val="nil"/>
            </w:tcBorders>
            <w:noWrap/>
            <w:vAlign w:val="bottom"/>
          </w:tcPr>
          <w:p w14:paraId="3E20B133"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Préstamos </w:t>
            </w:r>
          </w:p>
        </w:tc>
        <w:tc>
          <w:tcPr>
            <w:tcW w:w="451" w:type="pct"/>
            <w:tcBorders>
              <w:top w:val="nil"/>
              <w:left w:val="nil"/>
              <w:bottom w:val="nil"/>
              <w:right w:val="nil"/>
            </w:tcBorders>
            <w:noWrap/>
            <w:vAlign w:val="bottom"/>
          </w:tcPr>
          <w:p w14:paraId="073AB6E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14.262,7 </w:t>
            </w:r>
          </w:p>
        </w:tc>
        <w:tc>
          <w:tcPr>
            <w:tcW w:w="405" w:type="pct"/>
            <w:tcBorders>
              <w:top w:val="nil"/>
              <w:left w:val="nil"/>
              <w:bottom w:val="nil"/>
              <w:right w:val="nil"/>
            </w:tcBorders>
            <w:noWrap/>
            <w:vAlign w:val="bottom"/>
          </w:tcPr>
          <w:p w14:paraId="7287EA2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3.989,9 </w:t>
            </w:r>
          </w:p>
        </w:tc>
        <w:tc>
          <w:tcPr>
            <w:tcW w:w="423" w:type="pct"/>
            <w:tcBorders>
              <w:top w:val="nil"/>
              <w:left w:val="nil"/>
              <w:bottom w:val="nil"/>
              <w:right w:val="nil"/>
            </w:tcBorders>
            <w:noWrap/>
            <w:vAlign w:val="bottom"/>
          </w:tcPr>
          <w:p w14:paraId="632DB38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2.325,1 </w:t>
            </w:r>
          </w:p>
        </w:tc>
        <w:tc>
          <w:tcPr>
            <w:tcW w:w="433" w:type="pct"/>
            <w:tcBorders>
              <w:top w:val="nil"/>
              <w:left w:val="nil"/>
              <w:bottom w:val="nil"/>
              <w:right w:val="nil"/>
            </w:tcBorders>
            <w:noWrap/>
            <w:vAlign w:val="bottom"/>
          </w:tcPr>
          <w:p w14:paraId="6B4D1D1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6.306,8 </w:t>
            </w:r>
          </w:p>
        </w:tc>
        <w:tc>
          <w:tcPr>
            <w:tcW w:w="418" w:type="pct"/>
            <w:tcBorders>
              <w:top w:val="nil"/>
              <w:left w:val="nil"/>
              <w:bottom w:val="nil"/>
              <w:right w:val="nil"/>
            </w:tcBorders>
            <w:noWrap/>
            <w:vAlign w:val="bottom"/>
          </w:tcPr>
          <w:p w14:paraId="08617CB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1.964,7 </w:t>
            </w:r>
          </w:p>
        </w:tc>
        <w:tc>
          <w:tcPr>
            <w:tcW w:w="415" w:type="pct"/>
            <w:tcBorders>
              <w:top w:val="nil"/>
              <w:left w:val="nil"/>
              <w:bottom w:val="nil"/>
              <w:right w:val="nil"/>
            </w:tcBorders>
            <w:noWrap/>
            <w:vAlign w:val="bottom"/>
          </w:tcPr>
          <w:p w14:paraId="1EF9E9B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887,4 </w:t>
            </w:r>
          </w:p>
        </w:tc>
        <w:tc>
          <w:tcPr>
            <w:tcW w:w="415" w:type="pct"/>
            <w:tcBorders>
              <w:top w:val="nil"/>
              <w:left w:val="nil"/>
              <w:bottom w:val="nil"/>
              <w:right w:val="nil"/>
            </w:tcBorders>
            <w:noWrap/>
            <w:vAlign w:val="bottom"/>
          </w:tcPr>
          <w:p w14:paraId="748819F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443,5 </w:t>
            </w:r>
          </w:p>
        </w:tc>
        <w:tc>
          <w:tcPr>
            <w:tcW w:w="433" w:type="pct"/>
            <w:tcBorders>
              <w:top w:val="nil"/>
              <w:left w:val="nil"/>
              <w:bottom w:val="nil"/>
              <w:right w:val="nil"/>
            </w:tcBorders>
            <w:noWrap/>
            <w:vAlign w:val="bottom"/>
          </w:tcPr>
          <w:p w14:paraId="245A49E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18,7 </w:t>
            </w:r>
          </w:p>
        </w:tc>
        <w:tc>
          <w:tcPr>
            <w:tcW w:w="488" w:type="pct"/>
            <w:tcBorders>
              <w:top w:val="nil"/>
              <w:left w:val="nil"/>
              <w:bottom w:val="nil"/>
              <w:right w:val="nil"/>
            </w:tcBorders>
            <w:noWrap/>
            <w:vAlign w:val="bottom"/>
          </w:tcPr>
          <w:p w14:paraId="36D18C3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930,8 </w:t>
            </w:r>
          </w:p>
        </w:tc>
        <w:tc>
          <w:tcPr>
            <w:tcW w:w="396" w:type="pct"/>
            <w:tcBorders>
              <w:top w:val="nil"/>
              <w:left w:val="nil"/>
              <w:bottom w:val="nil"/>
              <w:right w:val="nil"/>
            </w:tcBorders>
            <w:noWrap/>
            <w:vAlign w:val="bottom"/>
          </w:tcPr>
          <w:p w14:paraId="1FFCF26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31.129,6 </w:t>
            </w:r>
          </w:p>
        </w:tc>
      </w:tr>
      <w:tr w:rsidR="001B3E41" w:rsidRPr="00AE4E8D" w14:paraId="2E8E188E" w14:textId="77777777" w:rsidTr="000400C8">
        <w:trPr>
          <w:trHeight w:val="255"/>
          <w:jc w:val="center"/>
        </w:trPr>
        <w:tc>
          <w:tcPr>
            <w:tcW w:w="724" w:type="pct"/>
            <w:tcBorders>
              <w:top w:val="nil"/>
              <w:left w:val="nil"/>
              <w:bottom w:val="nil"/>
              <w:right w:val="nil"/>
            </w:tcBorders>
            <w:noWrap/>
            <w:vAlign w:val="bottom"/>
          </w:tcPr>
          <w:p w14:paraId="07E62AD6"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Préstamos hipotecarios </w:t>
            </w:r>
          </w:p>
        </w:tc>
        <w:tc>
          <w:tcPr>
            <w:tcW w:w="451" w:type="pct"/>
            <w:tcBorders>
              <w:top w:val="nil"/>
              <w:left w:val="nil"/>
              <w:bottom w:val="nil"/>
              <w:right w:val="nil"/>
            </w:tcBorders>
            <w:noWrap/>
            <w:vAlign w:val="bottom"/>
          </w:tcPr>
          <w:p w14:paraId="24061AD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75,6 </w:t>
            </w:r>
          </w:p>
        </w:tc>
        <w:tc>
          <w:tcPr>
            <w:tcW w:w="405" w:type="pct"/>
            <w:tcBorders>
              <w:top w:val="nil"/>
              <w:left w:val="nil"/>
              <w:bottom w:val="nil"/>
              <w:right w:val="nil"/>
            </w:tcBorders>
            <w:noWrap/>
            <w:vAlign w:val="bottom"/>
          </w:tcPr>
          <w:p w14:paraId="1940DF2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337,1 </w:t>
            </w:r>
          </w:p>
        </w:tc>
        <w:tc>
          <w:tcPr>
            <w:tcW w:w="423" w:type="pct"/>
            <w:tcBorders>
              <w:top w:val="nil"/>
              <w:left w:val="nil"/>
              <w:bottom w:val="nil"/>
              <w:right w:val="nil"/>
            </w:tcBorders>
            <w:noWrap/>
            <w:vAlign w:val="bottom"/>
          </w:tcPr>
          <w:p w14:paraId="68BCEF3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304,6 </w:t>
            </w:r>
          </w:p>
        </w:tc>
        <w:tc>
          <w:tcPr>
            <w:tcW w:w="433" w:type="pct"/>
            <w:tcBorders>
              <w:top w:val="nil"/>
              <w:left w:val="nil"/>
              <w:bottom w:val="nil"/>
              <w:right w:val="nil"/>
            </w:tcBorders>
            <w:noWrap/>
            <w:vAlign w:val="bottom"/>
          </w:tcPr>
          <w:p w14:paraId="333134D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775,4 </w:t>
            </w:r>
          </w:p>
        </w:tc>
        <w:tc>
          <w:tcPr>
            <w:tcW w:w="418" w:type="pct"/>
            <w:tcBorders>
              <w:top w:val="nil"/>
              <w:left w:val="nil"/>
              <w:bottom w:val="nil"/>
              <w:right w:val="nil"/>
            </w:tcBorders>
            <w:noWrap/>
            <w:vAlign w:val="bottom"/>
          </w:tcPr>
          <w:p w14:paraId="01C4261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382,9 </w:t>
            </w:r>
          </w:p>
        </w:tc>
        <w:tc>
          <w:tcPr>
            <w:tcW w:w="415" w:type="pct"/>
            <w:tcBorders>
              <w:top w:val="nil"/>
              <w:left w:val="nil"/>
              <w:bottom w:val="nil"/>
              <w:right w:val="nil"/>
            </w:tcBorders>
            <w:noWrap/>
            <w:vAlign w:val="bottom"/>
          </w:tcPr>
          <w:p w14:paraId="5CF63D5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670,5 </w:t>
            </w:r>
          </w:p>
        </w:tc>
        <w:tc>
          <w:tcPr>
            <w:tcW w:w="415" w:type="pct"/>
            <w:tcBorders>
              <w:top w:val="nil"/>
              <w:left w:val="nil"/>
              <w:bottom w:val="nil"/>
              <w:right w:val="nil"/>
            </w:tcBorders>
            <w:noWrap/>
            <w:vAlign w:val="bottom"/>
          </w:tcPr>
          <w:p w14:paraId="6D9BE52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442,8 </w:t>
            </w:r>
          </w:p>
        </w:tc>
        <w:tc>
          <w:tcPr>
            <w:tcW w:w="433" w:type="pct"/>
            <w:tcBorders>
              <w:top w:val="nil"/>
              <w:left w:val="nil"/>
              <w:bottom w:val="nil"/>
              <w:right w:val="nil"/>
            </w:tcBorders>
            <w:noWrap/>
            <w:vAlign w:val="bottom"/>
          </w:tcPr>
          <w:p w14:paraId="10B41DDC"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18,7 </w:t>
            </w:r>
          </w:p>
        </w:tc>
        <w:tc>
          <w:tcPr>
            <w:tcW w:w="488" w:type="pct"/>
            <w:tcBorders>
              <w:top w:val="nil"/>
              <w:left w:val="nil"/>
              <w:bottom w:val="nil"/>
              <w:right w:val="nil"/>
            </w:tcBorders>
            <w:noWrap/>
            <w:vAlign w:val="bottom"/>
          </w:tcPr>
          <w:p w14:paraId="68EA360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81,8 </w:t>
            </w:r>
          </w:p>
        </w:tc>
        <w:tc>
          <w:tcPr>
            <w:tcW w:w="396" w:type="pct"/>
            <w:tcBorders>
              <w:top w:val="nil"/>
              <w:left w:val="nil"/>
              <w:bottom w:val="nil"/>
              <w:right w:val="nil"/>
            </w:tcBorders>
            <w:noWrap/>
            <w:vAlign w:val="bottom"/>
          </w:tcPr>
          <w:p w14:paraId="7C283BE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3.089,4 </w:t>
            </w:r>
          </w:p>
        </w:tc>
      </w:tr>
      <w:tr w:rsidR="001B3E41" w:rsidRPr="00AE4E8D" w14:paraId="360C64AA" w14:textId="77777777" w:rsidTr="000400C8">
        <w:trPr>
          <w:trHeight w:val="255"/>
          <w:jc w:val="center"/>
        </w:trPr>
        <w:tc>
          <w:tcPr>
            <w:tcW w:w="724" w:type="pct"/>
            <w:tcBorders>
              <w:top w:val="nil"/>
              <w:left w:val="nil"/>
              <w:bottom w:val="nil"/>
              <w:right w:val="nil"/>
            </w:tcBorders>
            <w:noWrap/>
            <w:vAlign w:val="bottom"/>
          </w:tcPr>
          <w:p w14:paraId="1C50D621"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Préstamos personales </w:t>
            </w:r>
          </w:p>
        </w:tc>
        <w:tc>
          <w:tcPr>
            <w:tcW w:w="451" w:type="pct"/>
            <w:tcBorders>
              <w:top w:val="nil"/>
              <w:left w:val="nil"/>
              <w:bottom w:val="nil"/>
              <w:right w:val="nil"/>
            </w:tcBorders>
            <w:noWrap/>
            <w:vAlign w:val="bottom"/>
          </w:tcPr>
          <w:p w14:paraId="643381F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148,6 </w:t>
            </w:r>
          </w:p>
        </w:tc>
        <w:tc>
          <w:tcPr>
            <w:tcW w:w="405" w:type="pct"/>
            <w:tcBorders>
              <w:top w:val="nil"/>
              <w:left w:val="nil"/>
              <w:bottom w:val="nil"/>
              <w:right w:val="nil"/>
            </w:tcBorders>
            <w:noWrap/>
            <w:vAlign w:val="bottom"/>
          </w:tcPr>
          <w:p w14:paraId="270D894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748,9 </w:t>
            </w:r>
          </w:p>
        </w:tc>
        <w:tc>
          <w:tcPr>
            <w:tcW w:w="423" w:type="pct"/>
            <w:tcBorders>
              <w:top w:val="nil"/>
              <w:left w:val="nil"/>
              <w:bottom w:val="nil"/>
              <w:right w:val="nil"/>
            </w:tcBorders>
            <w:noWrap/>
            <w:vAlign w:val="bottom"/>
          </w:tcPr>
          <w:p w14:paraId="4D57D9C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871,7 </w:t>
            </w:r>
          </w:p>
        </w:tc>
        <w:tc>
          <w:tcPr>
            <w:tcW w:w="433" w:type="pct"/>
            <w:tcBorders>
              <w:top w:val="nil"/>
              <w:left w:val="nil"/>
              <w:bottom w:val="nil"/>
              <w:right w:val="nil"/>
            </w:tcBorders>
            <w:noWrap/>
            <w:vAlign w:val="bottom"/>
          </w:tcPr>
          <w:p w14:paraId="3E4BA77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2.562,9 </w:t>
            </w:r>
          </w:p>
        </w:tc>
        <w:tc>
          <w:tcPr>
            <w:tcW w:w="418" w:type="pct"/>
            <w:tcBorders>
              <w:top w:val="nil"/>
              <w:left w:val="nil"/>
              <w:bottom w:val="nil"/>
              <w:right w:val="nil"/>
            </w:tcBorders>
            <w:noWrap/>
            <w:vAlign w:val="bottom"/>
          </w:tcPr>
          <w:p w14:paraId="7763CB0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895,2 </w:t>
            </w:r>
          </w:p>
        </w:tc>
        <w:tc>
          <w:tcPr>
            <w:tcW w:w="415" w:type="pct"/>
            <w:tcBorders>
              <w:top w:val="nil"/>
              <w:left w:val="nil"/>
              <w:bottom w:val="nil"/>
              <w:right w:val="nil"/>
            </w:tcBorders>
            <w:noWrap/>
            <w:vAlign w:val="bottom"/>
          </w:tcPr>
          <w:p w14:paraId="4A70CD1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202,0 </w:t>
            </w:r>
          </w:p>
        </w:tc>
        <w:tc>
          <w:tcPr>
            <w:tcW w:w="415" w:type="pct"/>
            <w:tcBorders>
              <w:top w:val="nil"/>
              <w:left w:val="nil"/>
              <w:bottom w:val="nil"/>
              <w:right w:val="nil"/>
            </w:tcBorders>
            <w:noWrap/>
            <w:vAlign w:val="bottom"/>
          </w:tcPr>
          <w:p w14:paraId="6478EDC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0E47DAB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759F7BD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209,8 </w:t>
            </w:r>
          </w:p>
        </w:tc>
        <w:tc>
          <w:tcPr>
            <w:tcW w:w="396" w:type="pct"/>
            <w:tcBorders>
              <w:top w:val="nil"/>
              <w:left w:val="nil"/>
              <w:bottom w:val="nil"/>
              <w:right w:val="nil"/>
            </w:tcBorders>
            <w:noWrap/>
            <w:vAlign w:val="bottom"/>
          </w:tcPr>
          <w:p w14:paraId="025FF37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5.639,1 </w:t>
            </w:r>
          </w:p>
        </w:tc>
      </w:tr>
      <w:tr w:rsidR="001B3E41" w:rsidRPr="00AE4E8D" w14:paraId="2DDF3E89" w14:textId="77777777" w:rsidTr="000400C8">
        <w:trPr>
          <w:trHeight w:val="255"/>
          <w:jc w:val="center"/>
        </w:trPr>
        <w:tc>
          <w:tcPr>
            <w:tcW w:w="724" w:type="pct"/>
            <w:tcBorders>
              <w:top w:val="nil"/>
              <w:left w:val="nil"/>
              <w:bottom w:val="nil"/>
              <w:right w:val="nil"/>
            </w:tcBorders>
            <w:noWrap/>
            <w:vAlign w:val="bottom"/>
          </w:tcPr>
          <w:p w14:paraId="147EA355"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Préstamos de tarjeta de crédito </w:t>
            </w:r>
          </w:p>
        </w:tc>
        <w:tc>
          <w:tcPr>
            <w:tcW w:w="451" w:type="pct"/>
            <w:tcBorders>
              <w:top w:val="nil"/>
              <w:left w:val="nil"/>
              <w:bottom w:val="nil"/>
              <w:right w:val="nil"/>
            </w:tcBorders>
            <w:noWrap/>
            <w:vAlign w:val="bottom"/>
          </w:tcPr>
          <w:p w14:paraId="594CA8A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12.272,0 </w:t>
            </w:r>
          </w:p>
        </w:tc>
        <w:tc>
          <w:tcPr>
            <w:tcW w:w="405" w:type="pct"/>
            <w:tcBorders>
              <w:top w:val="nil"/>
              <w:left w:val="nil"/>
              <w:bottom w:val="nil"/>
              <w:right w:val="nil"/>
            </w:tcBorders>
            <w:noWrap/>
            <w:vAlign w:val="bottom"/>
          </w:tcPr>
          <w:p w14:paraId="6CEDFD8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23" w:type="pct"/>
            <w:tcBorders>
              <w:top w:val="nil"/>
              <w:left w:val="nil"/>
              <w:bottom w:val="nil"/>
              <w:right w:val="nil"/>
            </w:tcBorders>
            <w:noWrap/>
            <w:vAlign w:val="bottom"/>
          </w:tcPr>
          <w:p w14:paraId="01242A7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637DEBF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8" w:type="pct"/>
            <w:tcBorders>
              <w:top w:val="nil"/>
              <w:left w:val="nil"/>
              <w:bottom w:val="nil"/>
              <w:right w:val="nil"/>
            </w:tcBorders>
            <w:noWrap/>
            <w:vAlign w:val="bottom"/>
          </w:tcPr>
          <w:p w14:paraId="70D29A0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5A6B08E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57417F8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06C6305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7C3857D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576,1 </w:t>
            </w:r>
          </w:p>
        </w:tc>
        <w:tc>
          <w:tcPr>
            <w:tcW w:w="396" w:type="pct"/>
            <w:tcBorders>
              <w:top w:val="nil"/>
              <w:left w:val="nil"/>
              <w:bottom w:val="nil"/>
              <w:right w:val="nil"/>
            </w:tcBorders>
            <w:noWrap/>
            <w:vAlign w:val="bottom"/>
          </w:tcPr>
          <w:p w14:paraId="188E805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12.848,1 </w:t>
            </w:r>
          </w:p>
        </w:tc>
      </w:tr>
      <w:tr w:rsidR="001B3E41" w:rsidRPr="00AE4E8D" w14:paraId="42C6036F" w14:textId="77777777" w:rsidTr="000400C8">
        <w:trPr>
          <w:trHeight w:val="255"/>
          <w:jc w:val="center"/>
        </w:trPr>
        <w:tc>
          <w:tcPr>
            <w:tcW w:w="724" w:type="pct"/>
            <w:tcBorders>
              <w:top w:val="nil"/>
              <w:left w:val="nil"/>
              <w:bottom w:val="nil"/>
              <w:right w:val="nil"/>
            </w:tcBorders>
            <w:noWrap/>
            <w:vAlign w:val="bottom"/>
          </w:tcPr>
          <w:p w14:paraId="686EE3EF"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Adelantos </w:t>
            </w:r>
          </w:p>
        </w:tc>
        <w:tc>
          <w:tcPr>
            <w:tcW w:w="451" w:type="pct"/>
            <w:tcBorders>
              <w:top w:val="nil"/>
              <w:left w:val="nil"/>
              <w:bottom w:val="nil"/>
              <w:right w:val="nil"/>
            </w:tcBorders>
            <w:noWrap/>
            <w:vAlign w:val="bottom"/>
          </w:tcPr>
          <w:p w14:paraId="012B43A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365,1 </w:t>
            </w:r>
          </w:p>
        </w:tc>
        <w:tc>
          <w:tcPr>
            <w:tcW w:w="405" w:type="pct"/>
            <w:tcBorders>
              <w:top w:val="nil"/>
              <w:left w:val="nil"/>
              <w:bottom w:val="nil"/>
              <w:right w:val="nil"/>
            </w:tcBorders>
            <w:noWrap/>
            <w:vAlign w:val="bottom"/>
          </w:tcPr>
          <w:p w14:paraId="73D04DB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138,9 </w:t>
            </w:r>
          </w:p>
        </w:tc>
        <w:tc>
          <w:tcPr>
            <w:tcW w:w="423" w:type="pct"/>
            <w:tcBorders>
              <w:top w:val="nil"/>
              <w:left w:val="nil"/>
              <w:bottom w:val="nil"/>
              <w:right w:val="nil"/>
            </w:tcBorders>
            <w:noWrap/>
            <w:vAlign w:val="bottom"/>
          </w:tcPr>
          <w:p w14:paraId="194247B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0,7 </w:t>
            </w:r>
          </w:p>
        </w:tc>
        <w:tc>
          <w:tcPr>
            <w:tcW w:w="433" w:type="pct"/>
            <w:tcBorders>
              <w:top w:val="nil"/>
              <w:left w:val="nil"/>
              <w:bottom w:val="nil"/>
              <w:right w:val="nil"/>
            </w:tcBorders>
            <w:noWrap/>
            <w:vAlign w:val="bottom"/>
          </w:tcPr>
          <w:p w14:paraId="1EC5FB9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8" w:type="pct"/>
            <w:tcBorders>
              <w:top w:val="nil"/>
              <w:left w:val="nil"/>
              <w:bottom w:val="nil"/>
              <w:right w:val="nil"/>
            </w:tcBorders>
            <w:noWrap/>
            <w:vAlign w:val="bottom"/>
          </w:tcPr>
          <w:p w14:paraId="2C51ADF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548BBBF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0FB6C76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720C77A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63566B0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27,8 </w:t>
            </w:r>
          </w:p>
        </w:tc>
        <w:tc>
          <w:tcPr>
            <w:tcW w:w="396" w:type="pct"/>
            <w:tcBorders>
              <w:top w:val="nil"/>
              <w:left w:val="nil"/>
              <w:bottom w:val="nil"/>
              <w:right w:val="nil"/>
            </w:tcBorders>
            <w:noWrap/>
            <w:vAlign w:val="bottom"/>
          </w:tcPr>
          <w:p w14:paraId="0555AC7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532,5 </w:t>
            </w:r>
          </w:p>
        </w:tc>
      </w:tr>
      <w:tr w:rsidR="001B3E41" w:rsidRPr="00AE4E8D" w14:paraId="399F54FC" w14:textId="77777777" w:rsidTr="000400C8">
        <w:trPr>
          <w:trHeight w:val="255"/>
          <w:jc w:val="center"/>
        </w:trPr>
        <w:tc>
          <w:tcPr>
            <w:tcW w:w="724" w:type="pct"/>
            <w:tcBorders>
              <w:top w:val="nil"/>
              <w:left w:val="nil"/>
              <w:bottom w:val="nil"/>
              <w:right w:val="nil"/>
            </w:tcBorders>
            <w:noWrap/>
            <w:vAlign w:val="bottom"/>
          </w:tcPr>
          <w:p w14:paraId="417E87A0"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Otros préstamos </w:t>
            </w:r>
          </w:p>
        </w:tc>
        <w:tc>
          <w:tcPr>
            <w:tcW w:w="451" w:type="pct"/>
            <w:tcBorders>
              <w:top w:val="nil"/>
              <w:left w:val="nil"/>
              <w:bottom w:val="nil"/>
              <w:right w:val="nil"/>
            </w:tcBorders>
            <w:noWrap/>
            <w:vAlign w:val="bottom"/>
          </w:tcPr>
          <w:p w14:paraId="2E25D7D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1.396,1 </w:t>
            </w:r>
          </w:p>
        </w:tc>
        <w:tc>
          <w:tcPr>
            <w:tcW w:w="405" w:type="pct"/>
            <w:tcBorders>
              <w:top w:val="nil"/>
              <w:left w:val="nil"/>
              <w:bottom w:val="nil"/>
              <w:right w:val="nil"/>
            </w:tcBorders>
            <w:noWrap/>
            <w:vAlign w:val="bottom"/>
          </w:tcPr>
          <w:p w14:paraId="7CD667A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2.737,2 </w:t>
            </w:r>
          </w:p>
        </w:tc>
        <w:tc>
          <w:tcPr>
            <w:tcW w:w="423" w:type="pct"/>
            <w:tcBorders>
              <w:top w:val="nil"/>
              <w:left w:val="nil"/>
              <w:bottom w:val="nil"/>
              <w:right w:val="nil"/>
            </w:tcBorders>
            <w:noWrap/>
            <w:vAlign w:val="bottom"/>
          </w:tcPr>
          <w:p w14:paraId="4854AC3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1.117,2 </w:t>
            </w:r>
          </w:p>
        </w:tc>
        <w:tc>
          <w:tcPr>
            <w:tcW w:w="433" w:type="pct"/>
            <w:tcBorders>
              <w:top w:val="nil"/>
              <w:left w:val="nil"/>
              <w:bottom w:val="nil"/>
              <w:right w:val="nil"/>
            </w:tcBorders>
            <w:noWrap/>
            <w:vAlign w:val="bottom"/>
          </w:tcPr>
          <w:p w14:paraId="735ECB4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2.906,2 </w:t>
            </w:r>
          </w:p>
        </w:tc>
        <w:tc>
          <w:tcPr>
            <w:tcW w:w="418" w:type="pct"/>
            <w:tcBorders>
              <w:top w:val="nil"/>
              <w:left w:val="nil"/>
              <w:bottom w:val="nil"/>
              <w:right w:val="nil"/>
            </w:tcBorders>
            <w:noWrap/>
            <w:vAlign w:val="bottom"/>
          </w:tcPr>
          <w:p w14:paraId="16AA8B0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686,6 </w:t>
            </w:r>
          </w:p>
        </w:tc>
        <w:tc>
          <w:tcPr>
            <w:tcW w:w="415" w:type="pct"/>
            <w:tcBorders>
              <w:top w:val="nil"/>
              <w:left w:val="nil"/>
              <w:bottom w:val="nil"/>
              <w:right w:val="nil"/>
            </w:tcBorders>
            <w:noWrap/>
            <w:vAlign w:val="bottom"/>
          </w:tcPr>
          <w:p w14:paraId="27A4C37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14,9 </w:t>
            </w:r>
          </w:p>
        </w:tc>
        <w:tc>
          <w:tcPr>
            <w:tcW w:w="415" w:type="pct"/>
            <w:tcBorders>
              <w:top w:val="nil"/>
              <w:left w:val="nil"/>
              <w:bottom w:val="nil"/>
              <w:right w:val="nil"/>
            </w:tcBorders>
            <w:noWrap/>
            <w:vAlign w:val="bottom"/>
          </w:tcPr>
          <w:p w14:paraId="76EC8FD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0,7 </w:t>
            </w:r>
          </w:p>
        </w:tc>
        <w:tc>
          <w:tcPr>
            <w:tcW w:w="433" w:type="pct"/>
            <w:tcBorders>
              <w:top w:val="nil"/>
              <w:left w:val="nil"/>
              <w:bottom w:val="nil"/>
              <w:right w:val="nil"/>
            </w:tcBorders>
            <w:noWrap/>
            <w:vAlign w:val="bottom"/>
          </w:tcPr>
          <w:p w14:paraId="6C57077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61C7454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35,3 </w:t>
            </w:r>
          </w:p>
        </w:tc>
        <w:tc>
          <w:tcPr>
            <w:tcW w:w="396" w:type="pct"/>
            <w:tcBorders>
              <w:top w:val="nil"/>
              <w:left w:val="nil"/>
              <w:bottom w:val="nil"/>
              <w:right w:val="nil"/>
            </w:tcBorders>
            <w:noWrap/>
            <w:vAlign w:val="bottom"/>
          </w:tcPr>
          <w:p w14:paraId="34B9091C"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8.894,2 </w:t>
            </w:r>
          </w:p>
        </w:tc>
      </w:tr>
      <w:tr w:rsidR="001B3E41" w:rsidRPr="00AE4E8D" w14:paraId="7D4F847A" w14:textId="77777777" w:rsidTr="000400C8">
        <w:trPr>
          <w:trHeight w:val="255"/>
          <w:jc w:val="center"/>
        </w:trPr>
        <w:tc>
          <w:tcPr>
            <w:tcW w:w="724" w:type="pct"/>
            <w:tcBorders>
              <w:top w:val="nil"/>
              <w:left w:val="nil"/>
              <w:bottom w:val="nil"/>
              <w:right w:val="nil"/>
            </w:tcBorders>
            <w:noWrap/>
            <w:vAlign w:val="bottom"/>
          </w:tcPr>
          <w:p w14:paraId="308C0AE9"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Préstamos del Sector Público </w:t>
            </w:r>
          </w:p>
        </w:tc>
        <w:tc>
          <w:tcPr>
            <w:tcW w:w="451" w:type="pct"/>
            <w:tcBorders>
              <w:top w:val="nil"/>
              <w:left w:val="nil"/>
              <w:bottom w:val="nil"/>
              <w:right w:val="nil"/>
            </w:tcBorders>
            <w:noWrap/>
            <w:vAlign w:val="bottom"/>
          </w:tcPr>
          <w:p w14:paraId="078B4B7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5,3 </w:t>
            </w:r>
          </w:p>
        </w:tc>
        <w:tc>
          <w:tcPr>
            <w:tcW w:w="405" w:type="pct"/>
            <w:tcBorders>
              <w:top w:val="nil"/>
              <w:left w:val="nil"/>
              <w:bottom w:val="nil"/>
              <w:right w:val="nil"/>
            </w:tcBorders>
            <w:noWrap/>
            <w:vAlign w:val="bottom"/>
          </w:tcPr>
          <w:p w14:paraId="05D9C36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27,8 </w:t>
            </w:r>
          </w:p>
        </w:tc>
        <w:tc>
          <w:tcPr>
            <w:tcW w:w="423" w:type="pct"/>
            <w:tcBorders>
              <w:top w:val="nil"/>
              <w:left w:val="nil"/>
              <w:bottom w:val="nil"/>
              <w:right w:val="nil"/>
            </w:tcBorders>
            <w:noWrap/>
            <w:vAlign w:val="bottom"/>
          </w:tcPr>
          <w:p w14:paraId="0E2A3DB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30,9 </w:t>
            </w:r>
          </w:p>
        </w:tc>
        <w:tc>
          <w:tcPr>
            <w:tcW w:w="433" w:type="pct"/>
            <w:tcBorders>
              <w:top w:val="nil"/>
              <w:left w:val="nil"/>
              <w:bottom w:val="nil"/>
              <w:right w:val="nil"/>
            </w:tcBorders>
            <w:noWrap/>
            <w:vAlign w:val="bottom"/>
          </w:tcPr>
          <w:p w14:paraId="058E02D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62,3 </w:t>
            </w:r>
          </w:p>
        </w:tc>
        <w:tc>
          <w:tcPr>
            <w:tcW w:w="418" w:type="pct"/>
            <w:tcBorders>
              <w:top w:val="nil"/>
              <w:left w:val="nil"/>
              <w:bottom w:val="nil"/>
              <w:right w:val="nil"/>
            </w:tcBorders>
            <w:noWrap/>
            <w:vAlign w:val="bottom"/>
          </w:tcPr>
          <w:p w14:paraId="340F29B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44C08C9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29DDD29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3DE5005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154ACB6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396" w:type="pct"/>
            <w:tcBorders>
              <w:top w:val="nil"/>
              <w:left w:val="nil"/>
              <w:bottom w:val="nil"/>
              <w:right w:val="nil"/>
            </w:tcBorders>
            <w:noWrap/>
            <w:vAlign w:val="bottom"/>
          </w:tcPr>
          <w:p w14:paraId="7169A79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126,3 </w:t>
            </w:r>
          </w:p>
        </w:tc>
      </w:tr>
      <w:tr w:rsidR="001B3E41" w:rsidRPr="00AE4E8D" w14:paraId="3FB9696A" w14:textId="77777777" w:rsidTr="000400C8">
        <w:trPr>
          <w:trHeight w:val="255"/>
          <w:jc w:val="center"/>
        </w:trPr>
        <w:tc>
          <w:tcPr>
            <w:tcW w:w="724" w:type="pct"/>
            <w:tcBorders>
              <w:top w:val="nil"/>
              <w:left w:val="nil"/>
              <w:bottom w:val="nil"/>
              <w:right w:val="nil"/>
            </w:tcBorders>
            <w:noWrap/>
            <w:vAlign w:val="bottom"/>
          </w:tcPr>
          <w:p w14:paraId="6E9A2BBC"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Otros créditos por intermediación financiera </w:t>
            </w:r>
          </w:p>
        </w:tc>
        <w:tc>
          <w:tcPr>
            <w:tcW w:w="451" w:type="pct"/>
            <w:tcBorders>
              <w:top w:val="nil"/>
              <w:left w:val="nil"/>
              <w:bottom w:val="nil"/>
              <w:right w:val="nil"/>
            </w:tcBorders>
            <w:noWrap/>
            <w:vAlign w:val="bottom"/>
          </w:tcPr>
          <w:p w14:paraId="2B8CCF6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7,0 </w:t>
            </w:r>
          </w:p>
        </w:tc>
        <w:tc>
          <w:tcPr>
            <w:tcW w:w="405" w:type="pct"/>
            <w:tcBorders>
              <w:top w:val="nil"/>
              <w:left w:val="nil"/>
              <w:bottom w:val="nil"/>
              <w:right w:val="nil"/>
            </w:tcBorders>
            <w:noWrap/>
            <w:vAlign w:val="bottom"/>
          </w:tcPr>
          <w:p w14:paraId="53FD388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105,3 </w:t>
            </w:r>
          </w:p>
        </w:tc>
        <w:tc>
          <w:tcPr>
            <w:tcW w:w="423" w:type="pct"/>
            <w:tcBorders>
              <w:top w:val="nil"/>
              <w:left w:val="nil"/>
              <w:bottom w:val="nil"/>
              <w:right w:val="nil"/>
            </w:tcBorders>
            <w:noWrap/>
            <w:vAlign w:val="bottom"/>
          </w:tcPr>
          <w:p w14:paraId="346E368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41,7 </w:t>
            </w:r>
          </w:p>
        </w:tc>
        <w:tc>
          <w:tcPr>
            <w:tcW w:w="433" w:type="pct"/>
            <w:tcBorders>
              <w:top w:val="nil"/>
              <w:left w:val="nil"/>
              <w:bottom w:val="nil"/>
              <w:right w:val="nil"/>
            </w:tcBorders>
            <w:noWrap/>
            <w:vAlign w:val="bottom"/>
          </w:tcPr>
          <w:p w14:paraId="032FE98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4.078,4 </w:t>
            </w:r>
          </w:p>
        </w:tc>
        <w:tc>
          <w:tcPr>
            <w:tcW w:w="418" w:type="pct"/>
            <w:tcBorders>
              <w:top w:val="nil"/>
              <w:left w:val="nil"/>
              <w:bottom w:val="nil"/>
              <w:right w:val="nil"/>
            </w:tcBorders>
            <w:noWrap/>
            <w:vAlign w:val="bottom"/>
          </w:tcPr>
          <w:p w14:paraId="601F019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208CC90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50,5 </w:t>
            </w:r>
          </w:p>
        </w:tc>
        <w:tc>
          <w:tcPr>
            <w:tcW w:w="415" w:type="pct"/>
            <w:tcBorders>
              <w:top w:val="nil"/>
              <w:left w:val="nil"/>
              <w:bottom w:val="nil"/>
              <w:right w:val="nil"/>
            </w:tcBorders>
            <w:noWrap/>
            <w:vAlign w:val="bottom"/>
          </w:tcPr>
          <w:p w14:paraId="540849B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80,0 </w:t>
            </w:r>
          </w:p>
        </w:tc>
        <w:tc>
          <w:tcPr>
            <w:tcW w:w="433" w:type="pct"/>
            <w:tcBorders>
              <w:top w:val="nil"/>
              <w:left w:val="nil"/>
              <w:bottom w:val="nil"/>
              <w:right w:val="nil"/>
            </w:tcBorders>
            <w:noWrap/>
            <w:vAlign w:val="bottom"/>
          </w:tcPr>
          <w:p w14:paraId="5CFFB75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592A16C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396" w:type="pct"/>
            <w:tcBorders>
              <w:top w:val="nil"/>
              <w:left w:val="nil"/>
              <w:bottom w:val="nil"/>
              <w:right w:val="nil"/>
            </w:tcBorders>
            <w:noWrap/>
            <w:vAlign w:val="bottom"/>
          </w:tcPr>
          <w:p w14:paraId="3EB84EF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4.362,9 </w:t>
            </w:r>
          </w:p>
        </w:tc>
      </w:tr>
      <w:tr w:rsidR="001B3E41" w:rsidRPr="00AE4E8D" w14:paraId="64F80F70" w14:textId="77777777" w:rsidTr="000400C8">
        <w:trPr>
          <w:trHeight w:val="255"/>
          <w:jc w:val="center"/>
        </w:trPr>
        <w:tc>
          <w:tcPr>
            <w:tcW w:w="724" w:type="pct"/>
            <w:tcBorders>
              <w:top w:val="nil"/>
              <w:left w:val="nil"/>
              <w:bottom w:val="nil"/>
              <w:right w:val="nil"/>
            </w:tcBorders>
            <w:noWrap/>
            <w:vAlign w:val="bottom"/>
          </w:tcPr>
          <w:p w14:paraId="470DD6A2"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Otros créditos </w:t>
            </w:r>
          </w:p>
        </w:tc>
        <w:tc>
          <w:tcPr>
            <w:tcW w:w="451" w:type="pct"/>
            <w:tcBorders>
              <w:top w:val="nil"/>
              <w:left w:val="nil"/>
              <w:bottom w:val="nil"/>
              <w:right w:val="nil"/>
            </w:tcBorders>
            <w:noWrap/>
            <w:vAlign w:val="bottom"/>
          </w:tcPr>
          <w:p w14:paraId="78EFD77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05" w:type="pct"/>
            <w:tcBorders>
              <w:top w:val="nil"/>
              <w:left w:val="nil"/>
              <w:bottom w:val="nil"/>
              <w:right w:val="nil"/>
            </w:tcBorders>
            <w:noWrap/>
            <w:vAlign w:val="bottom"/>
          </w:tcPr>
          <w:p w14:paraId="242B0A6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23" w:type="pct"/>
            <w:tcBorders>
              <w:top w:val="nil"/>
              <w:left w:val="nil"/>
              <w:bottom w:val="nil"/>
              <w:right w:val="nil"/>
            </w:tcBorders>
            <w:noWrap/>
            <w:vAlign w:val="bottom"/>
          </w:tcPr>
          <w:p w14:paraId="223A5D7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3421895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8" w:type="pct"/>
            <w:tcBorders>
              <w:top w:val="nil"/>
              <w:left w:val="nil"/>
              <w:bottom w:val="nil"/>
              <w:right w:val="nil"/>
            </w:tcBorders>
            <w:noWrap/>
            <w:vAlign w:val="bottom"/>
          </w:tcPr>
          <w:p w14:paraId="059E649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2884A44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5,6 </w:t>
            </w:r>
          </w:p>
        </w:tc>
        <w:tc>
          <w:tcPr>
            <w:tcW w:w="415" w:type="pct"/>
            <w:tcBorders>
              <w:top w:val="nil"/>
              <w:left w:val="nil"/>
              <w:bottom w:val="nil"/>
              <w:right w:val="nil"/>
            </w:tcBorders>
            <w:noWrap/>
            <w:vAlign w:val="bottom"/>
          </w:tcPr>
          <w:p w14:paraId="039E377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67C1BE1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0EA77D7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396" w:type="pct"/>
            <w:tcBorders>
              <w:top w:val="nil"/>
              <w:left w:val="nil"/>
              <w:bottom w:val="nil"/>
              <w:right w:val="nil"/>
            </w:tcBorders>
            <w:noWrap/>
            <w:vAlign w:val="bottom"/>
          </w:tcPr>
          <w:p w14:paraId="4A84D54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5,6 </w:t>
            </w:r>
          </w:p>
        </w:tc>
      </w:tr>
      <w:tr w:rsidR="001B3E41" w:rsidRPr="00AE4E8D" w14:paraId="533F2DA2" w14:textId="77777777" w:rsidTr="000400C8">
        <w:trPr>
          <w:trHeight w:val="255"/>
          <w:jc w:val="center"/>
        </w:trPr>
        <w:tc>
          <w:tcPr>
            <w:tcW w:w="724" w:type="pct"/>
            <w:tcBorders>
              <w:top w:val="nil"/>
              <w:left w:val="nil"/>
              <w:bottom w:val="nil"/>
              <w:right w:val="nil"/>
            </w:tcBorders>
            <w:noWrap/>
            <w:vAlign w:val="bottom"/>
          </w:tcPr>
          <w:p w14:paraId="1B75306E"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Total activos que devengan interés </w:t>
            </w:r>
          </w:p>
        </w:tc>
        <w:tc>
          <w:tcPr>
            <w:tcW w:w="451" w:type="pct"/>
            <w:tcBorders>
              <w:top w:val="nil"/>
              <w:left w:val="nil"/>
              <w:bottom w:val="nil"/>
              <w:right w:val="nil"/>
            </w:tcBorders>
            <w:noWrap/>
            <w:vAlign w:val="bottom"/>
          </w:tcPr>
          <w:p w14:paraId="79CF9F4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15.599,5 </w:t>
            </w:r>
          </w:p>
        </w:tc>
        <w:tc>
          <w:tcPr>
            <w:tcW w:w="405" w:type="pct"/>
            <w:tcBorders>
              <w:top w:val="nil"/>
              <w:left w:val="nil"/>
              <w:bottom w:val="nil"/>
              <w:right w:val="nil"/>
            </w:tcBorders>
            <w:noWrap/>
            <w:vAlign w:val="bottom"/>
          </w:tcPr>
          <w:p w14:paraId="2D1E9D9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8.288,7 </w:t>
            </w:r>
          </w:p>
        </w:tc>
        <w:tc>
          <w:tcPr>
            <w:tcW w:w="423" w:type="pct"/>
            <w:tcBorders>
              <w:top w:val="nil"/>
              <w:left w:val="nil"/>
              <w:bottom w:val="nil"/>
              <w:right w:val="nil"/>
            </w:tcBorders>
            <w:noWrap/>
            <w:vAlign w:val="bottom"/>
          </w:tcPr>
          <w:p w14:paraId="0A91980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2.818,1 </w:t>
            </w:r>
          </w:p>
        </w:tc>
        <w:tc>
          <w:tcPr>
            <w:tcW w:w="433" w:type="pct"/>
            <w:tcBorders>
              <w:top w:val="nil"/>
              <w:left w:val="nil"/>
              <w:bottom w:val="nil"/>
              <w:right w:val="nil"/>
            </w:tcBorders>
            <w:noWrap/>
            <w:vAlign w:val="bottom"/>
          </w:tcPr>
          <w:p w14:paraId="0E82386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11.370,1 </w:t>
            </w:r>
          </w:p>
        </w:tc>
        <w:tc>
          <w:tcPr>
            <w:tcW w:w="418" w:type="pct"/>
            <w:tcBorders>
              <w:top w:val="nil"/>
              <w:left w:val="nil"/>
              <w:bottom w:val="nil"/>
              <w:right w:val="nil"/>
            </w:tcBorders>
            <w:noWrap/>
            <w:vAlign w:val="bottom"/>
          </w:tcPr>
          <w:p w14:paraId="34B9DA6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2.086,8 </w:t>
            </w:r>
          </w:p>
        </w:tc>
        <w:tc>
          <w:tcPr>
            <w:tcW w:w="415" w:type="pct"/>
            <w:tcBorders>
              <w:top w:val="nil"/>
              <w:left w:val="nil"/>
              <w:bottom w:val="nil"/>
              <w:right w:val="nil"/>
            </w:tcBorders>
            <w:noWrap/>
            <w:vAlign w:val="bottom"/>
          </w:tcPr>
          <w:p w14:paraId="58FC49E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2.069,0 </w:t>
            </w:r>
          </w:p>
        </w:tc>
        <w:tc>
          <w:tcPr>
            <w:tcW w:w="415" w:type="pct"/>
            <w:tcBorders>
              <w:top w:val="nil"/>
              <w:left w:val="nil"/>
              <w:bottom w:val="nil"/>
              <w:right w:val="nil"/>
            </w:tcBorders>
            <w:noWrap/>
            <w:vAlign w:val="bottom"/>
          </w:tcPr>
          <w:p w14:paraId="61AB19D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526,0 </w:t>
            </w:r>
          </w:p>
        </w:tc>
        <w:tc>
          <w:tcPr>
            <w:tcW w:w="433" w:type="pct"/>
            <w:tcBorders>
              <w:top w:val="nil"/>
              <w:left w:val="nil"/>
              <w:bottom w:val="nil"/>
              <w:right w:val="nil"/>
            </w:tcBorders>
            <w:noWrap/>
            <w:vAlign w:val="bottom"/>
          </w:tcPr>
          <w:p w14:paraId="7C0C77B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605,3 </w:t>
            </w:r>
          </w:p>
        </w:tc>
        <w:tc>
          <w:tcPr>
            <w:tcW w:w="488" w:type="pct"/>
            <w:tcBorders>
              <w:top w:val="nil"/>
              <w:left w:val="nil"/>
              <w:bottom w:val="nil"/>
              <w:right w:val="nil"/>
            </w:tcBorders>
            <w:noWrap/>
            <w:vAlign w:val="bottom"/>
          </w:tcPr>
          <w:p w14:paraId="055ABE4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3.652,2 </w:t>
            </w:r>
          </w:p>
        </w:tc>
        <w:tc>
          <w:tcPr>
            <w:tcW w:w="396" w:type="pct"/>
            <w:tcBorders>
              <w:top w:val="nil"/>
              <w:left w:val="nil"/>
              <w:bottom w:val="nil"/>
              <w:right w:val="nil"/>
            </w:tcBorders>
            <w:noWrap/>
            <w:vAlign w:val="bottom"/>
          </w:tcPr>
          <w:p w14:paraId="0542157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47.015,7 </w:t>
            </w:r>
          </w:p>
        </w:tc>
      </w:tr>
      <w:tr w:rsidR="001B3E41" w:rsidRPr="00AE4E8D" w14:paraId="3622FB7F" w14:textId="77777777" w:rsidTr="000400C8">
        <w:trPr>
          <w:trHeight w:val="255"/>
          <w:jc w:val="center"/>
        </w:trPr>
        <w:tc>
          <w:tcPr>
            <w:tcW w:w="724" w:type="pct"/>
            <w:tcBorders>
              <w:top w:val="nil"/>
              <w:left w:val="nil"/>
              <w:bottom w:val="nil"/>
              <w:right w:val="nil"/>
            </w:tcBorders>
            <w:noWrap/>
            <w:vAlign w:val="bottom"/>
          </w:tcPr>
          <w:p w14:paraId="39C675CC"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Activos que devengan interés acumulados </w:t>
            </w:r>
          </w:p>
        </w:tc>
        <w:tc>
          <w:tcPr>
            <w:tcW w:w="451" w:type="pct"/>
            <w:tcBorders>
              <w:top w:val="nil"/>
              <w:left w:val="nil"/>
              <w:bottom w:val="nil"/>
              <w:right w:val="nil"/>
            </w:tcBorders>
            <w:noWrap/>
            <w:vAlign w:val="bottom"/>
          </w:tcPr>
          <w:p w14:paraId="0DA1D3B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15.599,5 </w:t>
            </w:r>
          </w:p>
        </w:tc>
        <w:tc>
          <w:tcPr>
            <w:tcW w:w="405" w:type="pct"/>
            <w:tcBorders>
              <w:top w:val="nil"/>
              <w:left w:val="nil"/>
              <w:bottom w:val="nil"/>
              <w:right w:val="nil"/>
            </w:tcBorders>
            <w:noWrap/>
            <w:vAlign w:val="bottom"/>
          </w:tcPr>
          <w:p w14:paraId="1443438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23.888,2 </w:t>
            </w:r>
          </w:p>
        </w:tc>
        <w:tc>
          <w:tcPr>
            <w:tcW w:w="423" w:type="pct"/>
            <w:tcBorders>
              <w:top w:val="nil"/>
              <w:left w:val="nil"/>
              <w:bottom w:val="nil"/>
              <w:right w:val="nil"/>
            </w:tcBorders>
            <w:noWrap/>
            <w:vAlign w:val="bottom"/>
          </w:tcPr>
          <w:p w14:paraId="7382998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26.706,3 </w:t>
            </w:r>
          </w:p>
        </w:tc>
        <w:tc>
          <w:tcPr>
            <w:tcW w:w="433" w:type="pct"/>
            <w:tcBorders>
              <w:top w:val="nil"/>
              <w:left w:val="nil"/>
              <w:bottom w:val="nil"/>
              <w:right w:val="nil"/>
            </w:tcBorders>
            <w:noWrap/>
            <w:vAlign w:val="bottom"/>
          </w:tcPr>
          <w:p w14:paraId="7448200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38.076,4 </w:t>
            </w:r>
          </w:p>
        </w:tc>
        <w:tc>
          <w:tcPr>
            <w:tcW w:w="418" w:type="pct"/>
            <w:tcBorders>
              <w:top w:val="nil"/>
              <w:left w:val="nil"/>
              <w:bottom w:val="nil"/>
              <w:right w:val="nil"/>
            </w:tcBorders>
            <w:noWrap/>
            <w:vAlign w:val="bottom"/>
          </w:tcPr>
          <w:p w14:paraId="0E0102D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40.163,2 </w:t>
            </w:r>
          </w:p>
        </w:tc>
        <w:tc>
          <w:tcPr>
            <w:tcW w:w="415" w:type="pct"/>
            <w:tcBorders>
              <w:top w:val="nil"/>
              <w:left w:val="nil"/>
              <w:bottom w:val="nil"/>
              <w:right w:val="nil"/>
            </w:tcBorders>
            <w:noWrap/>
            <w:vAlign w:val="bottom"/>
          </w:tcPr>
          <w:p w14:paraId="57D5927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42.232,2 </w:t>
            </w:r>
          </w:p>
        </w:tc>
        <w:tc>
          <w:tcPr>
            <w:tcW w:w="415" w:type="pct"/>
            <w:tcBorders>
              <w:top w:val="nil"/>
              <w:left w:val="nil"/>
              <w:bottom w:val="nil"/>
              <w:right w:val="nil"/>
            </w:tcBorders>
            <w:noWrap/>
            <w:vAlign w:val="bottom"/>
          </w:tcPr>
          <w:p w14:paraId="375FF1B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42.758,2 </w:t>
            </w:r>
          </w:p>
        </w:tc>
        <w:tc>
          <w:tcPr>
            <w:tcW w:w="433" w:type="pct"/>
            <w:tcBorders>
              <w:top w:val="nil"/>
              <w:left w:val="nil"/>
              <w:bottom w:val="nil"/>
              <w:right w:val="nil"/>
            </w:tcBorders>
            <w:noWrap/>
            <w:vAlign w:val="bottom"/>
          </w:tcPr>
          <w:p w14:paraId="76C7B15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43.363,5 </w:t>
            </w:r>
          </w:p>
        </w:tc>
        <w:tc>
          <w:tcPr>
            <w:tcW w:w="488" w:type="pct"/>
            <w:tcBorders>
              <w:top w:val="nil"/>
              <w:left w:val="nil"/>
              <w:bottom w:val="nil"/>
              <w:right w:val="nil"/>
            </w:tcBorders>
            <w:noWrap/>
            <w:vAlign w:val="bottom"/>
          </w:tcPr>
          <w:p w14:paraId="65EB76F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47.015,7 </w:t>
            </w:r>
          </w:p>
        </w:tc>
        <w:tc>
          <w:tcPr>
            <w:tcW w:w="396" w:type="pct"/>
            <w:tcBorders>
              <w:top w:val="nil"/>
              <w:left w:val="nil"/>
              <w:bottom w:val="nil"/>
              <w:right w:val="nil"/>
            </w:tcBorders>
            <w:noWrap/>
            <w:vAlign w:val="bottom"/>
          </w:tcPr>
          <w:p w14:paraId="153F3D65" w14:textId="77777777" w:rsidR="001B3E41" w:rsidRPr="00AE4E8D" w:rsidRDefault="001B3E41" w:rsidP="002A71B8">
            <w:pPr>
              <w:jc w:val="right"/>
              <w:rPr>
                <w:rFonts w:ascii="Times New Roman" w:hAnsi="Times New Roman"/>
                <w:color w:val="000000"/>
                <w:sz w:val="16"/>
                <w:szCs w:val="16"/>
                <w:lang w:val="es-ES"/>
              </w:rPr>
            </w:pPr>
          </w:p>
        </w:tc>
      </w:tr>
      <w:tr w:rsidR="001B3E41" w:rsidRPr="00AE4E8D" w14:paraId="70C962AB" w14:textId="77777777" w:rsidTr="000400C8">
        <w:trPr>
          <w:trHeight w:val="255"/>
          <w:jc w:val="center"/>
        </w:trPr>
        <w:tc>
          <w:tcPr>
            <w:tcW w:w="724" w:type="pct"/>
            <w:tcBorders>
              <w:top w:val="nil"/>
              <w:left w:val="nil"/>
              <w:bottom w:val="nil"/>
              <w:right w:val="nil"/>
            </w:tcBorders>
            <w:noWrap/>
            <w:vAlign w:val="bottom"/>
          </w:tcPr>
          <w:p w14:paraId="77170CA0" w14:textId="77777777" w:rsidR="001B3E41" w:rsidRPr="00AE4E8D" w:rsidRDefault="001B3E41" w:rsidP="002A71B8">
            <w:pPr>
              <w:rPr>
                <w:rFonts w:ascii="Times New Roman" w:hAnsi="Times New Roman"/>
                <w:color w:val="000000"/>
                <w:sz w:val="16"/>
                <w:szCs w:val="16"/>
                <w:lang w:val="es-ES"/>
              </w:rPr>
            </w:pPr>
          </w:p>
        </w:tc>
        <w:tc>
          <w:tcPr>
            <w:tcW w:w="451" w:type="pct"/>
            <w:tcBorders>
              <w:top w:val="nil"/>
              <w:left w:val="nil"/>
              <w:bottom w:val="nil"/>
              <w:right w:val="nil"/>
            </w:tcBorders>
            <w:noWrap/>
            <w:vAlign w:val="bottom"/>
          </w:tcPr>
          <w:p w14:paraId="4A4C5FFE" w14:textId="77777777" w:rsidR="001B3E41" w:rsidRPr="00AE4E8D" w:rsidRDefault="001B3E41" w:rsidP="002A71B8">
            <w:pPr>
              <w:jc w:val="right"/>
              <w:rPr>
                <w:rFonts w:ascii="Times New Roman" w:hAnsi="Times New Roman"/>
                <w:color w:val="000000"/>
                <w:sz w:val="16"/>
                <w:szCs w:val="16"/>
                <w:lang w:val="es-ES"/>
              </w:rPr>
            </w:pPr>
          </w:p>
        </w:tc>
        <w:tc>
          <w:tcPr>
            <w:tcW w:w="405" w:type="pct"/>
            <w:tcBorders>
              <w:top w:val="nil"/>
              <w:left w:val="nil"/>
              <w:bottom w:val="nil"/>
              <w:right w:val="nil"/>
            </w:tcBorders>
            <w:noWrap/>
            <w:vAlign w:val="bottom"/>
          </w:tcPr>
          <w:p w14:paraId="6F0B7580" w14:textId="77777777" w:rsidR="001B3E41" w:rsidRPr="00AE4E8D" w:rsidRDefault="001B3E41" w:rsidP="002A71B8">
            <w:pPr>
              <w:jc w:val="right"/>
              <w:rPr>
                <w:rFonts w:ascii="Times New Roman" w:hAnsi="Times New Roman"/>
                <w:color w:val="000000"/>
                <w:sz w:val="16"/>
                <w:szCs w:val="16"/>
                <w:lang w:val="es-ES"/>
              </w:rPr>
            </w:pPr>
          </w:p>
        </w:tc>
        <w:tc>
          <w:tcPr>
            <w:tcW w:w="423" w:type="pct"/>
            <w:tcBorders>
              <w:top w:val="nil"/>
              <w:left w:val="nil"/>
              <w:bottom w:val="nil"/>
              <w:right w:val="nil"/>
            </w:tcBorders>
            <w:noWrap/>
            <w:vAlign w:val="bottom"/>
          </w:tcPr>
          <w:p w14:paraId="25A7B4B9" w14:textId="77777777" w:rsidR="001B3E41" w:rsidRPr="00AE4E8D" w:rsidRDefault="001B3E41" w:rsidP="002A71B8">
            <w:pPr>
              <w:jc w:val="right"/>
              <w:rPr>
                <w:rFonts w:ascii="Times New Roman" w:hAnsi="Times New Roman"/>
                <w:color w:val="000000"/>
                <w:sz w:val="16"/>
                <w:szCs w:val="16"/>
                <w:lang w:val="es-ES"/>
              </w:rPr>
            </w:pPr>
          </w:p>
        </w:tc>
        <w:tc>
          <w:tcPr>
            <w:tcW w:w="433" w:type="pct"/>
            <w:tcBorders>
              <w:top w:val="nil"/>
              <w:left w:val="nil"/>
              <w:bottom w:val="nil"/>
              <w:right w:val="nil"/>
            </w:tcBorders>
            <w:noWrap/>
            <w:vAlign w:val="bottom"/>
          </w:tcPr>
          <w:p w14:paraId="2DCCF58D" w14:textId="77777777" w:rsidR="001B3E41" w:rsidRPr="00AE4E8D" w:rsidRDefault="001B3E41" w:rsidP="002A71B8">
            <w:pPr>
              <w:jc w:val="right"/>
              <w:rPr>
                <w:rFonts w:ascii="Times New Roman" w:hAnsi="Times New Roman"/>
                <w:color w:val="000000"/>
                <w:sz w:val="16"/>
                <w:szCs w:val="16"/>
                <w:lang w:val="es-ES"/>
              </w:rPr>
            </w:pPr>
          </w:p>
        </w:tc>
        <w:tc>
          <w:tcPr>
            <w:tcW w:w="418" w:type="pct"/>
            <w:tcBorders>
              <w:top w:val="nil"/>
              <w:left w:val="nil"/>
              <w:bottom w:val="nil"/>
              <w:right w:val="nil"/>
            </w:tcBorders>
            <w:noWrap/>
            <w:vAlign w:val="bottom"/>
          </w:tcPr>
          <w:p w14:paraId="2AF4DB9F" w14:textId="77777777" w:rsidR="001B3E41" w:rsidRPr="00AE4E8D" w:rsidRDefault="001B3E41" w:rsidP="002A71B8">
            <w:pPr>
              <w:jc w:val="right"/>
              <w:rPr>
                <w:rFonts w:ascii="Times New Roman" w:hAnsi="Times New Roman"/>
                <w:color w:val="000000"/>
                <w:sz w:val="16"/>
                <w:szCs w:val="16"/>
                <w:lang w:val="es-ES"/>
              </w:rPr>
            </w:pPr>
          </w:p>
        </w:tc>
        <w:tc>
          <w:tcPr>
            <w:tcW w:w="415" w:type="pct"/>
            <w:tcBorders>
              <w:top w:val="nil"/>
              <w:left w:val="nil"/>
              <w:bottom w:val="nil"/>
              <w:right w:val="nil"/>
            </w:tcBorders>
            <w:noWrap/>
            <w:vAlign w:val="bottom"/>
          </w:tcPr>
          <w:p w14:paraId="0E9A1B7C" w14:textId="77777777" w:rsidR="001B3E41" w:rsidRPr="00AE4E8D" w:rsidRDefault="001B3E41" w:rsidP="002A71B8">
            <w:pPr>
              <w:jc w:val="right"/>
              <w:rPr>
                <w:rFonts w:ascii="Times New Roman" w:hAnsi="Times New Roman"/>
                <w:color w:val="000000"/>
                <w:sz w:val="16"/>
                <w:szCs w:val="16"/>
                <w:lang w:val="es-ES"/>
              </w:rPr>
            </w:pPr>
          </w:p>
        </w:tc>
        <w:tc>
          <w:tcPr>
            <w:tcW w:w="415" w:type="pct"/>
            <w:tcBorders>
              <w:top w:val="nil"/>
              <w:left w:val="nil"/>
              <w:bottom w:val="nil"/>
              <w:right w:val="nil"/>
            </w:tcBorders>
            <w:noWrap/>
            <w:vAlign w:val="bottom"/>
          </w:tcPr>
          <w:p w14:paraId="491D2AC7" w14:textId="77777777" w:rsidR="001B3E41" w:rsidRPr="00AE4E8D" w:rsidRDefault="001B3E41" w:rsidP="002A71B8">
            <w:pPr>
              <w:jc w:val="right"/>
              <w:rPr>
                <w:rFonts w:ascii="Times New Roman" w:hAnsi="Times New Roman"/>
                <w:color w:val="000000"/>
                <w:sz w:val="16"/>
                <w:szCs w:val="16"/>
                <w:lang w:val="es-ES"/>
              </w:rPr>
            </w:pPr>
          </w:p>
        </w:tc>
        <w:tc>
          <w:tcPr>
            <w:tcW w:w="433" w:type="pct"/>
            <w:tcBorders>
              <w:top w:val="nil"/>
              <w:left w:val="nil"/>
              <w:bottom w:val="nil"/>
              <w:right w:val="nil"/>
            </w:tcBorders>
            <w:noWrap/>
            <w:vAlign w:val="bottom"/>
          </w:tcPr>
          <w:p w14:paraId="7EFF001C" w14:textId="77777777" w:rsidR="001B3E41" w:rsidRPr="00AE4E8D" w:rsidRDefault="001B3E41" w:rsidP="002A71B8">
            <w:pPr>
              <w:jc w:val="right"/>
              <w:rPr>
                <w:rFonts w:ascii="Times New Roman" w:hAnsi="Times New Roman"/>
                <w:color w:val="000000"/>
                <w:sz w:val="16"/>
                <w:szCs w:val="16"/>
                <w:lang w:val="es-ES"/>
              </w:rPr>
            </w:pPr>
          </w:p>
        </w:tc>
        <w:tc>
          <w:tcPr>
            <w:tcW w:w="488" w:type="pct"/>
            <w:tcBorders>
              <w:top w:val="nil"/>
              <w:left w:val="nil"/>
              <w:bottom w:val="nil"/>
              <w:right w:val="nil"/>
            </w:tcBorders>
            <w:noWrap/>
            <w:vAlign w:val="bottom"/>
          </w:tcPr>
          <w:p w14:paraId="17B440FD" w14:textId="77777777" w:rsidR="001B3E41" w:rsidRPr="00AE4E8D" w:rsidRDefault="001B3E41" w:rsidP="002A71B8">
            <w:pPr>
              <w:jc w:val="right"/>
              <w:rPr>
                <w:rFonts w:ascii="Times New Roman" w:hAnsi="Times New Roman"/>
                <w:color w:val="000000"/>
                <w:sz w:val="16"/>
                <w:szCs w:val="16"/>
                <w:lang w:val="es-ES"/>
              </w:rPr>
            </w:pPr>
          </w:p>
        </w:tc>
        <w:tc>
          <w:tcPr>
            <w:tcW w:w="396" w:type="pct"/>
            <w:tcBorders>
              <w:top w:val="nil"/>
              <w:left w:val="nil"/>
              <w:bottom w:val="nil"/>
              <w:right w:val="nil"/>
            </w:tcBorders>
            <w:noWrap/>
            <w:vAlign w:val="bottom"/>
          </w:tcPr>
          <w:p w14:paraId="792DE57A" w14:textId="77777777" w:rsidR="001B3E41" w:rsidRPr="00AE4E8D" w:rsidRDefault="001B3E41" w:rsidP="002A71B8">
            <w:pPr>
              <w:jc w:val="right"/>
              <w:rPr>
                <w:rFonts w:ascii="Times New Roman" w:hAnsi="Times New Roman"/>
                <w:color w:val="000000"/>
                <w:sz w:val="16"/>
                <w:szCs w:val="16"/>
                <w:lang w:val="es-ES"/>
              </w:rPr>
            </w:pPr>
          </w:p>
        </w:tc>
      </w:tr>
      <w:tr w:rsidR="001B3E41" w:rsidRPr="00AE4E8D" w14:paraId="459544D7" w14:textId="77777777" w:rsidTr="000400C8">
        <w:trPr>
          <w:trHeight w:val="255"/>
          <w:jc w:val="center"/>
        </w:trPr>
        <w:tc>
          <w:tcPr>
            <w:tcW w:w="724" w:type="pct"/>
            <w:tcBorders>
              <w:top w:val="nil"/>
              <w:left w:val="nil"/>
              <w:bottom w:val="nil"/>
              <w:right w:val="nil"/>
            </w:tcBorders>
            <w:noWrap/>
            <w:vAlign w:val="bottom"/>
          </w:tcPr>
          <w:p w14:paraId="78DB22F1" w14:textId="77777777" w:rsidR="001B3E41" w:rsidRPr="00AE4E8D" w:rsidRDefault="001B3E41" w:rsidP="002A71B8">
            <w:pPr>
              <w:rPr>
                <w:rFonts w:ascii="Times New Roman" w:hAnsi="Times New Roman"/>
                <w:b/>
                <w:bCs/>
                <w:color w:val="000000"/>
                <w:sz w:val="16"/>
                <w:szCs w:val="16"/>
                <w:lang w:val="es-ES"/>
              </w:rPr>
            </w:pPr>
            <w:r w:rsidRPr="00AE4E8D">
              <w:rPr>
                <w:rFonts w:ascii="Times New Roman" w:hAnsi="Times New Roman"/>
                <w:b/>
                <w:bCs/>
                <w:color w:val="000000"/>
                <w:sz w:val="16"/>
                <w:szCs w:val="16"/>
                <w:lang w:val="es-ES"/>
              </w:rPr>
              <w:t>PASIVOS QUE DEVENGAN INTERÉS</w:t>
            </w:r>
          </w:p>
        </w:tc>
        <w:tc>
          <w:tcPr>
            <w:tcW w:w="451" w:type="pct"/>
            <w:tcBorders>
              <w:top w:val="nil"/>
              <w:left w:val="nil"/>
              <w:bottom w:val="nil"/>
              <w:right w:val="nil"/>
            </w:tcBorders>
            <w:noWrap/>
            <w:vAlign w:val="bottom"/>
          </w:tcPr>
          <w:p w14:paraId="09D87C41" w14:textId="77777777" w:rsidR="001B3E41" w:rsidRPr="00AE4E8D" w:rsidRDefault="001B3E41" w:rsidP="002A71B8">
            <w:pPr>
              <w:jc w:val="right"/>
              <w:rPr>
                <w:rFonts w:ascii="Times New Roman" w:hAnsi="Times New Roman"/>
                <w:color w:val="000000"/>
                <w:sz w:val="16"/>
                <w:szCs w:val="16"/>
                <w:lang w:val="es-ES"/>
              </w:rPr>
            </w:pPr>
          </w:p>
        </w:tc>
        <w:tc>
          <w:tcPr>
            <w:tcW w:w="405" w:type="pct"/>
            <w:tcBorders>
              <w:top w:val="nil"/>
              <w:left w:val="nil"/>
              <w:bottom w:val="nil"/>
              <w:right w:val="nil"/>
            </w:tcBorders>
            <w:noWrap/>
            <w:vAlign w:val="bottom"/>
          </w:tcPr>
          <w:p w14:paraId="5123711A" w14:textId="77777777" w:rsidR="001B3E41" w:rsidRPr="00AE4E8D" w:rsidRDefault="001B3E41" w:rsidP="002A71B8">
            <w:pPr>
              <w:jc w:val="right"/>
              <w:rPr>
                <w:rFonts w:ascii="Times New Roman" w:hAnsi="Times New Roman"/>
                <w:color w:val="000000"/>
                <w:sz w:val="16"/>
                <w:szCs w:val="16"/>
                <w:lang w:val="es-ES"/>
              </w:rPr>
            </w:pPr>
          </w:p>
        </w:tc>
        <w:tc>
          <w:tcPr>
            <w:tcW w:w="423" w:type="pct"/>
            <w:tcBorders>
              <w:top w:val="nil"/>
              <w:left w:val="nil"/>
              <w:bottom w:val="nil"/>
              <w:right w:val="nil"/>
            </w:tcBorders>
            <w:noWrap/>
            <w:vAlign w:val="bottom"/>
          </w:tcPr>
          <w:p w14:paraId="57B6C1B8" w14:textId="77777777" w:rsidR="001B3E41" w:rsidRPr="00AE4E8D" w:rsidRDefault="001B3E41" w:rsidP="002A71B8">
            <w:pPr>
              <w:jc w:val="right"/>
              <w:rPr>
                <w:rFonts w:ascii="Times New Roman" w:hAnsi="Times New Roman"/>
                <w:color w:val="000000"/>
                <w:sz w:val="16"/>
                <w:szCs w:val="16"/>
                <w:lang w:val="es-ES"/>
              </w:rPr>
            </w:pPr>
          </w:p>
        </w:tc>
        <w:tc>
          <w:tcPr>
            <w:tcW w:w="433" w:type="pct"/>
            <w:tcBorders>
              <w:top w:val="nil"/>
              <w:left w:val="nil"/>
              <w:bottom w:val="nil"/>
              <w:right w:val="nil"/>
            </w:tcBorders>
            <w:noWrap/>
            <w:vAlign w:val="bottom"/>
          </w:tcPr>
          <w:p w14:paraId="1932906E" w14:textId="77777777" w:rsidR="001B3E41" w:rsidRPr="00AE4E8D" w:rsidRDefault="001B3E41" w:rsidP="002A71B8">
            <w:pPr>
              <w:jc w:val="right"/>
              <w:rPr>
                <w:rFonts w:ascii="Times New Roman" w:hAnsi="Times New Roman"/>
                <w:color w:val="000000"/>
                <w:sz w:val="16"/>
                <w:szCs w:val="16"/>
                <w:lang w:val="es-ES"/>
              </w:rPr>
            </w:pPr>
          </w:p>
        </w:tc>
        <w:tc>
          <w:tcPr>
            <w:tcW w:w="418" w:type="pct"/>
            <w:tcBorders>
              <w:top w:val="nil"/>
              <w:left w:val="nil"/>
              <w:bottom w:val="nil"/>
              <w:right w:val="nil"/>
            </w:tcBorders>
            <w:noWrap/>
            <w:vAlign w:val="bottom"/>
          </w:tcPr>
          <w:p w14:paraId="43DB849B" w14:textId="77777777" w:rsidR="001B3E41" w:rsidRPr="00AE4E8D" w:rsidRDefault="001B3E41" w:rsidP="002A71B8">
            <w:pPr>
              <w:jc w:val="right"/>
              <w:rPr>
                <w:rFonts w:ascii="Times New Roman" w:hAnsi="Times New Roman"/>
                <w:color w:val="000000"/>
                <w:sz w:val="16"/>
                <w:szCs w:val="16"/>
                <w:lang w:val="es-ES"/>
              </w:rPr>
            </w:pPr>
          </w:p>
        </w:tc>
        <w:tc>
          <w:tcPr>
            <w:tcW w:w="415" w:type="pct"/>
            <w:tcBorders>
              <w:top w:val="nil"/>
              <w:left w:val="nil"/>
              <w:bottom w:val="nil"/>
              <w:right w:val="nil"/>
            </w:tcBorders>
            <w:noWrap/>
            <w:vAlign w:val="bottom"/>
          </w:tcPr>
          <w:p w14:paraId="577B146F" w14:textId="77777777" w:rsidR="001B3E41" w:rsidRPr="00AE4E8D" w:rsidRDefault="001B3E41" w:rsidP="002A71B8">
            <w:pPr>
              <w:jc w:val="right"/>
              <w:rPr>
                <w:rFonts w:ascii="Times New Roman" w:hAnsi="Times New Roman"/>
                <w:color w:val="000000"/>
                <w:sz w:val="16"/>
                <w:szCs w:val="16"/>
                <w:lang w:val="es-ES"/>
              </w:rPr>
            </w:pPr>
          </w:p>
        </w:tc>
        <w:tc>
          <w:tcPr>
            <w:tcW w:w="415" w:type="pct"/>
            <w:tcBorders>
              <w:top w:val="nil"/>
              <w:left w:val="nil"/>
              <w:bottom w:val="nil"/>
              <w:right w:val="nil"/>
            </w:tcBorders>
            <w:noWrap/>
            <w:vAlign w:val="bottom"/>
          </w:tcPr>
          <w:p w14:paraId="27CBD645" w14:textId="77777777" w:rsidR="001B3E41" w:rsidRPr="00AE4E8D" w:rsidRDefault="001B3E41" w:rsidP="002A71B8">
            <w:pPr>
              <w:jc w:val="right"/>
              <w:rPr>
                <w:rFonts w:ascii="Times New Roman" w:hAnsi="Times New Roman"/>
                <w:color w:val="000000"/>
                <w:sz w:val="16"/>
                <w:szCs w:val="16"/>
                <w:lang w:val="es-ES"/>
              </w:rPr>
            </w:pPr>
          </w:p>
        </w:tc>
        <w:tc>
          <w:tcPr>
            <w:tcW w:w="433" w:type="pct"/>
            <w:tcBorders>
              <w:top w:val="nil"/>
              <w:left w:val="nil"/>
              <w:bottom w:val="nil"/>
              <w:right w:val="nil"/>
            </w:tcBorders>
            <w:noWrap/>
            <w:vAlign w:val="bottom"/>
          </w:tcPr>
          <w:p w14:paraId="51E7D6C7" w14:textId="77777777" w:rsidR="001B3E41" w:rsidRPr="00AE4E8D" w:rsidRDefault="001B3E41" w:rsidP="002A71B8">
            <w:pPr>
              <w:jc w:val="right"/>
              <w:rPr>
                <w:rFonts w:ascii="Times New Roman" w:hAnsi="Times New Roman"/>
                <w:color w:val="000000"/>
                <w:sz w:val="16"/>
                <w:szCs w:val="16"/>
                <w:lang w:val="es-ES"/>
              </w:rPr>
            </w:pPr>
          </w:p>
        </w:tc>
        <w:tc>
          <w:tcPr>
            <w:tcW w:w="488" w:type="pct"/>
            <w:tcBorders>
              <w:top w:val="nil"/>
              <w:left w:val="nil"/>
              <w:bottom w:val="nil"/>
              <w:right w:val="nil"/>
            </w:tcBorders>
            <w:noWrap/>
            <w:vAlign w:val="bottom"/>
          </w:tcPr>
          <w:p w14:paraId="46277599" w14:textId="77777777" w:rsidR="001B3E41" w:rsidRPr="00AE4E8D" w:rsidRDefault="001B3E41" w:rsidP="002A71B8">
            <w:pPr>
              <w:jc w:val="right"/>
              <w:rPr>
                <w:rFonts w:ascii="Times New Roman" w:hAnsi="Times New Roman"/>
                <w:color w:val="000000"/>
                <w:sz w:val="16"/>
                <w:szCs w:val="16"/>
                <w:lang w:val="es-ES"/>
              </w:rPr>
            </w:pPr>
          </w:p>
        </w:tc>
        <w:tc>
          <w:tcPr>
            <w:tcW w:w="396" w:type="pct"/>
            <w:tcBorders>
              <w:top w:val="nil"/>
              <w:left w:val="nil"/>
              <w:bottom w:val="nil"/>
              <w:right w:val="nil"/>
            </w:tcBorders>
            <w:noWrap/>
            <w:vAlign w:val="bottom"/>
          </w:tcPr>
          <w:p w14:paraId="72D7383C" w14:textId="77777777" w:rsidR="001B3E41" w:rsidRPr="00AE4E8D" w:rsidRDefault="001B3E41" w:rsidP="002A71B8">
            <w:pPr>
              <w:jc w:val="right"/>
              <w:rPr>
                <w:rFonts w:ascii="Times New Roman" w:hAnsi="Times New Roman"/>
                <w:color w:val="000000"/>
                <w:sz w:val="16"/>
                <w:szCs w:val="16"/>
                <w:lang w:val="es-ES"/>
              </w:rPr>
            </w:pPr>
          </w:p>
        </w:tc>
      </w:tr>
      <w:tr w:rsidR="001B3E41" w:rsidRPr="00AE4E8D" w14:paraId="5EDD30A0" w14:textId="77777777" w:rsidTr="000400C8">
        <w:trPr>
          <w:trHeight w:val="255"/>
          <w:jc w:val="center"/>
        </w:trPr>
        <w:tc>
          <w:tcPr>
            <w:tcW w:w="724" w:type="pct"/>
            <w:tcBorders>
              <w:top w:val="nil"/>
              <w:left w:val="nil"/>
              <w:bottom w:val="nil"/>
              <w:right w:val="nil"/>
            </w:tcBorders>
            <w:noWrap/>
            <w:vAlign w:val="bottom"/>
          </w:tcPr>
          <w:p w14:paraId="0A7ECD71"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Obligaciones Negociables </w:t>
            </w:r>
          </w:p>
        </w:tc>
        <w:tc>
          <w:tcPr>
            <w:tcW w:w="451" w:type="pct"/>
            <w:tcBorders>
              <w:top w:val="nil"/>
              <w:left w:val="nil"/>
              <w:bottom w:val="nil"/>
              <w:right w:val="nil"/>
            </w:tcBorders>
            <w:noWrap/>
            <w:vAlign w:val="bottom"/>
          </w:tcPr>
          <w:p w14:paraId="3D9C19A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240,9 </w:t>
            </w:r>
          </w:p>
        </w:tc>
        <w:tc>
          <w:tcPr>
            <w:tcW w:w="405" w:type="pct"/>
            <w:tcBorders>
              <w:top w:val="nil"/>
              <w:left w:val="nil"/>
              <w:bottom w:val="nil"/>
              <w:right w:val="nil"/>
            </w:tcBorders>
            <w:noWrap/>
            <w:vAlign w:val="bottom"/>
          </w:tcPr>
          <w:p w14:paraId="2890FEF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2.155,7 </w:t>
            </w:r>
          </w:p>
        </w:tc>
        <w:tc>
          <w:tcPr>
            <w:tcW w:w="423" w:type="pct"/>
            <w:tcBorders>
              <w:top w:val="nil"/>
              <w:left w:val="nil"/>
              <w:bottom w:val="nil"/>
              <w:right w:val="nil"/>
            </w:tcBorders>
            <w:noWrap/>
            <w:vAlign w:val="bottom"/>
          </w:tcPr>
          <w:p w14:paraId="5D917D9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816,3 </w:t>
            </w:r>
          </w:p>
        </w:tc>
        <w:tc>
          <w:tcPr>
            <w:tcW w:w="433" w:type="pct"/>
            <w:tcBorders>
              <w:top w:val="nil"/>
              <w:left w:val="nil"/>
              <w:bottom w:val="nil"/>
              <w:right w:val="nil"/>
            </w:tcBorders>
            <w:noWrap/>
            <w:vAlign w:val="bottom"/>
          </w:tcPr>
          <w:p w14:paraId="318C682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2.039,8 </w:t>
            </w:r>
          </w:p>
        </w:tc>
        <w:tc>
          <w:tcPr>
            <w:tcW w:w="418" w:type="pct"/>
            <w:tcBorders>
              <w:top w:val="nil"/>
              <w:left w:val="nil"/>
              <w:bottom w:val="nil"/>
              <w:right w:val="nil"/>
            </w:tcBorders>
            <w:noWrap/>
            <w:vAlign w:val="bottom"/>
          </w:tcPr>
          <w:p w14:paraId="728510A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14.071,2 </w:t>
            </w:r>
          </w:p>
        </w:tc>
        <w:tc>
          <w:tcPr>
            <w:tcW w:w="415" w:type="pct"/>
            <w:tcBorders>
              <w:top w:val="nil"/>
              <w:left w:val="nil"/>
              <w:bottom w:val="nil"/>
              <w:right w:val="nil"/>
            </w:tcBorders>
            <w:noWrap/>
            <w:vAlign w:val="bottom"/>
          </w:tcPr>
          <w:p w14:paraId="75DE0C5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628BA4A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2238155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5C97D52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396" w:type="pct"/>
            <w:tcBorders>
              <w:top w:val="nil"/>
              <w:left w:val="nil"/>
              <w:bottom w:val="nil"/>
              <w:right w:val="nil"/>
            </w:tcBorders>
            <w:noWrap/>
            <w:vAlign w:val="bottom"/>
          </w:tcPr>
          <w:p w14:paraId="47D8AFC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19.323,9 </w:t>
            </w:r>
          </w:p>
        </w:tc>
      </w:tr>
      <w:tr w:rsidR="001B3E41" w:rsidRPr="00AE4E8D" w14:paraId="453DFBF3" w14:textId="77777777" w:rsidTr="000400C8">
        <w:trPr>
          <w:trHeight w:val="255"/>
          <w:jc w:val="center"/>
        </w:trPr>
        <w:tc>
          <w:tcPr>
            <w:tcW w:w="724" w:type="pct"/>
            <w:tcBorders>
              <w:top w:val="nil"/>
              <w:left w:val="nil"/>
              <w:bottom w:val="nil"/>
              <w:right w:val="nil"/>
            </w:tcBorders>
            <w:noWrap/>
            <w:vAlign w:val="bottom"/>
          </w:tcPr>
          <w:p w14:paraId="669F4C34"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Otros bancos y entidades internacionales </w:t>
            </w:r>
          </w:p>
        </w:tc>
        <w:tc>
          <w:tcPr>
            <w:tcW w:w="451" w:type="pct"/>
            <w:tcBorders>
              <w:top w:val="nil"/>
              <w:left w:val="nil"/>
              <w:bottom w:val="nil"/>
              <w:right w:val="nil"/>
            </w:tcBorders>
            <w:noWrap/>
            <w:vAlign w:val="bottom"/>
          </w:tcPr>
          <w:p w14:paraId="083B5E2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398,5 </w:t>
            </w:r>
          </w:p>
        </w:tc>
        <w:tc>
          <w:tcPr>
            <w:tcW w:w="405" w:type="pct"/>
            <w:tcBorders>
              <w:top w:val="nil"/>
              <w:left w:val="nil"/>
              <w:bottom w:val="nil"/>
              <w:right w:val="nil"/>
            </w:tcBorders>
            <w:noWrap/>
            <w:vAlign w:val="bottom"/>
          </w:tcPr>
          <w:p w14:paraId="6898C4C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7,6 </w:t>
            </w:r>
          </w:p>
        </w:tc>
        <w:tc>
          <w:tcPr>
            <w:tcW w:w="423" w:type="pct"/>
            <w:tcBorders>
              <w:top w:val="nil"/>
              <w:left w:val="nil"/>
              <w:bottom w:val="nil"/>
              <w:right w:val="nil"/>
            </w:tcBorders>
            <w:noWrap/>
            <w:vAlign w:val="bottom"/>
          </w:tcPr>
          <w:p w14:paraId="47C1FDB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9,2 </w:t>
            </w:r>
          </w:p>
        </w:tc>
        <w:tc>
          <w:tcPr>
            <w:tcW w:w="433" w:type="pct"/>
            <w:tcBorders>
              <w:top w:val="nil"/>
              <w:left w:val="nil"/>
              <w:bottom w:val="nil"/>
              <w:right w:val="nil"/>
            </w:tcBorders>
            <w:noWrap/>
            <w:vAlign w:val="bottom"/>
          </w:tcPr>
          <w:p w14:paraId="782FB6F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5,7 </w:t>
            </w:r>
          </w:p>
        </w:tc>
        <w:tc>
          <w:tcPr>
            <w:tcW w:w="418" w:type="pct"/>
            <w:tcBorders>
              <w:top w:val="nil"/>
              <w:left w:val="nil"/>
              <w:bottom w:val="nil"/>
              <w:right w:val="nil"/>
            </w:tcBorders>
            <w:noWrap/>
            <w:vAlign w:val="bottom"/>
          </w:tcPr>
          <w:p w14:paraId="598A046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1ED6EC5C"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3636473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5B56A88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268C089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396" w:type="pct"/>
            <w:tcBorders>
              <w:top w:val="nil"/>
              <w:left w:val="nil"/>
              <w:bottom w:val="nil"/>
              <w:right w:val="nil"/>
            </w:tcBorders>
            <w:noWrap/>
            <w:vAlign w:val="bottom"/>
          </w:tcPr>
          <w:p w14:paraId="6531DED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421,0 </w:t>
            </w:r>
          </w:p>
        </w:tc>
      </w:tr>
      <w:tr w:rsidR="001B3E41" w:rsidRPr="00AE4E8D" w14:paraId="57C51163" w14:textId="77777777" w:rsidTr="000400C8">
        <w:trPr>
          <w:trHeight w:val="255"/>
          <w:jc w:val="center"/>
        </w:trPr>
        <w:tc>
          <w:tcPr>
            <w:tcW w:w="724" w:type="pct"/>
            <w:tcBorders>
              <w:top w:val="nil"/>
              <w:left w:val="nil"/>
              <w:bottom w:val="nil"/>
              <w:right w:val="nil"/>
            </w:tcBorders>
            <w:noWrap/>
            <w:vAlign w:val="bottom"/>
          </w:tcPr>
          <w:p w14:paraId="75F77510"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BCRA </w:t>
            </w:r>
          </w:p>
        </w:tc>
        <w:tc>
          <w:tcPr>
            <w:tcW w:w="451" w:type="pct"/>
            <w:tcBorders>
              <w:top w:val="nil"/>
              <w:left w:val="nil"/>
              <w:bottom w:val="nil"/>
              <w:right w:val="nil"/>
            </w:tcBorders>
            <w:noWrap/>
            <w:vAlign w:val="bottom"/>
          </w:tcPr>
          <w:p w14:paraId="3152D43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05" w:type="pct"/>
            <w:tcBorders>
              <w:top w:val="nil"/>
              <w:left w:val="nil"/>
              <w:bottom w:val="nil"/>
              <w:right w:val="nil"/>
            </w:tcBorders>
            <w:noWrap/>
            <w:vAlign w:val="bottom"/>
          </w:tcPr>
          <w:p w14:paraId="51A3D69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23" w:type="pct"/>
            <w:tcBorders>
              <w:top w:val="nil"/>
              <w:left w:val="nil"/>
              <w:bottom w:val="nil"/>
              <w:right w:val="nil"/>
            </w:tcBorders>
            <w:noWrap/>
            <w:vAlign w:val="bottom"/>
          </w:tcPr>
          <w:p w14:paraId="156C107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6DC03BC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8" w:type="pct"/>
            <w:tcBorders>
              <w:top w:val="nil"/>
              <w:left w:val="nil"/>
              <w:bottom w:val="nil"/>
              <w:right w:val="nil"/>
            </w:tcBorders>
            <w:noWrap/>
            <w:vAlign w:val="bottom"/>
          </w:tcPr>
          <w:p w14:paraId="02C25B5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0,1 </w:t>
            </w:r>
          </w:p>
        </w:tc>
        <w:tc>
          <w:tcPr>
            <w:tcW w:w="415" w:type="pct"/>
            <w:tcBorders>
              <w:top w:val="nil"/>
              <w:left w:val="nil"/>
              <w:bottom w:val="nil"/>
              <w:right w:val="nil"/>
            </w:tcBorders>
            <w:noWrap/>
            <w:vAlign w:val="bottom"/>
          </w:tcPr>
          <w:p w14:paraId="75372A3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605A70D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08A8E81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52DD76D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396" w:type="pct"/>
            <w:tcBorders>
              <w:top w:val="nil"/>
              <w:left w:val="nil"/>
              <w:bottom w:val="nil"/>
              <w:right w:val="nil"/>
            </w:tcBorders>
            <w:noWrap/>
            <w:vAlign w:val="bottom"/>
          </w:tcPr>
          <w:p w14:paraId="15256CA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0,1 </w:t>
            </w:r>
          </w:p>
        </w:tc>
      </w:tr>
      <w:tr w:rsidR="001B3E41" w:rsidRPr="00AE4E8D" w14:paraId="1B3BC1C1" w14:textId="77777777" w:rsidTr="000400C8">
        <w:trPr>
          <w:trHeight w:val="255"/>
          <w:jc w:val="center"/>
        </w:trPr>
        <w:tc>
          <w:tcPr>
            <w:tcW w:w="724" w:type="pct"/>
            <w:tcBorders>
              <w:top w:val="nil"/>
              <w:left w:val="nil"/>
              <w:bottom w:val="nil"/>
              <w:right w:val="nil"/>
            </w:tcBorders>
            <w:noWrap/>
            <w:vAlign w:val="bottom"/>
          </w:tcPr>
          <w:p w14:paraId="3E38E5F2"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Depósitos </w:t>
            </w:r>
          </w:p>
        </w:tc>
        <w:tc>
          <w:tcPr>
            <w:tcW w:w="451" w:type="pct"/>
            <w:tcBorders>
              <w:top w:val="nil"/>
              <w:left w:val="nil"/>
              <w:bottom w:val="nil"/>
              <w:right w:val="nil"/>
            </w:tcBorders>
            <w:noWrap/>
            <w:vAlign w:val="bottom"/>
          </w:tcPr>
          <w:p w14:paraId="27DA4CB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14.752,1 </w:t>
            </w:r>
          </w:p>
        </w:tc>
        <w:tc>
          <w:tcPr>
            <w:tcW w:w="405" w:type="pct"/>
            <w:tcBorders>
              <w:top w:val="nil"/>
              <w:left w:val="nil"/>
              <w:bottom w:val="nil"/>
              <w:right w:val="nil"/>
            </w:tcBorders>
            <w:noWrap/>
            <w:vAlign w:val="bottom"/>
          </w:tcPr>
          <w:p w14:paraId="7CBE774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4.992,2 </w:t>
            </w:r>
          </w:p>
        </w:tc>
        <w:tc>
          <w:tcPr>
            <w:tcW w:w="423" w:type="pct"/>
            <w:tcBorders>
              <w:top w:val="nil"/>
              <w:left w:val="nil"/>
              <w:bottom w:val="nil"/>
              <w:right w:val="nil"/>
            </w:tcBorders>
            <w:noWrap/>
            <w:vAlign w:val="bottom"/>
          </w:tcPr>
          <w:p w14:paraId="31F2B45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116,3 </w:t>
            </w:r>
          </w:p>
        </w:tc>
        <w:tc>
          <w:tcPr>
            <w:tcW w:w="433" w:type="pct"/>
            <w:tcBorders>
              <w:top w:val="nil"/>
              <w:left w:val="nil"/>
              <w:bottom w:val="nil"/>
              <w:right w:val="nil"/>
            </w:tcBorders>
            <w:noWrap/>
            <w:vAlign w:val="bottom"/>
          </w:tcPr>
          <w:p w14:paraId="46FE180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21,2 </w:t>
            </w:r>
          </w:p>
        </w:tc>
        <w:tc>
          <w:tcPr>
            <w:tcW w:w="418" w:type="pct"/>
            <w:tcBorders>
              <w:top w:val="nil"/>
              <w:left w:val="nil"/>
              <w:bottom w:val="nil"/>
              <w:right w:val="nil"/>
            </w:tcBorders>
            <w:noWrap/>
            <w:vAlign w:val="bottom"/>
          </w:tcPr>
          <w:p w14:paraId="1CED4A0C"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1,1 </w:t>
            </w:r>
          </w:p>
        </w:tc>
        <w:tc>
          <w:tcPr>
            <w:tcW w:w="415" w:type="pct"/>
            <w:tcBorders>
              <w:top w:val="nil"/>
              <w:left w:val="nil"/>
              <w:bottom w:val="nil"/>
              <w:right w:val="nil"/>
            </w:tcBorders>
            <w:noWrap/>
            <w:vAlign w:val="bottom"/>
          </w:tcPr>
          <w:p w14:paraId="563E5EF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31CEE55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6940A40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6FE26D1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396" w:type="pct"/>
            <w:tcBorders>
              <w:top w:val="nil"/>
              <w:left w:val="nil"/>
              <w:bottom w:val="nil"/>
              <w:right w:val="nil"/>
            </w:tcBorders>
            <w:noWrap/>
            <w:vAlign w:val="bottom"/>
          </w:tcPr>
          <w:p w14:paraId="5C7F506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19.882,9 </w:t>
            </w:r>
          </w:p>
        </w:tc>
      </w:tr>
      <w:tr w:rsidR="001B3E41" w:rsidRPr="00AE4E8D" w14:paraId="782944E3" w14:textId="77777777" w:rsidTr="000400C8">
        <w:trPr>
          <w:trHeight w:val="255"/>
          <w:jc w:val="center"/>
        </w:trPr>
        <w:tc>
          <w:tcPr>
            <w:tcW w:w="724" w:type="pct"/>
            <w:tcBorders>
              <w:top w:val="nil"/>
              <w:left w:val="nil"/>
              <w:bottom w:val="nil"/>
              <w:right w:val="nil"/>
            </w:tcBorders>
            <w:noWrap/>
            <w:vAlign w:val="bottom"/>
          </w:tcPr>
          <w:p w14:paraId="5E84D025"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Total pasivos que devengan interés </w:t>
            </w:r>
          </w:p>
        </w:tc>
        <w:tc>
          <w:tcPr>
            <w:tcW w:w="451" w:type="pct"/>
            <w:tcBorders>
              <w:top w:val="nil"/>
              <w:left w:val="nil"/>
              <w:bottom w:val="nil"/>
              <w:right w:val="nil"/>
            </w:tcBorders>
            <w:noWrap/>
            <w:vAlign w:val="bottom"/>
          </w:tcPr>
          <w:p w14:paraId="2831FCC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15.391,5 </w:t>
            </w:r>
          </w:p>
        </w:tc>
        <w:tc>
          <w:tcPr>
            <w:tcW w:w="405" w:type="pct"/>
            <w:tcBorders>
              <w:top w:val="nil"/>
              <w:left w:val="nil"/>
              <w:bottom w:val="nil"/>
              <w:right w:val="nil"/>
            </w:tcBorders>
            <w:noWrap/>
            <w:vAlign w:val="bottom"/>
          </w:tcPr>
          <w:p w14:paraId="20BB0FE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7.155,5 </w:t>
            </w:r>
          </w:p>
        </w:tc>
        <w:tc>
          <w:tcPr>
            <w:tcW w:w="423" w:type="pct"/>
            <w:tcBorders>
              <w:top w:val="nil"/>
              <w:left w:val="nil"/>
              <w:bottom w:val="nil"/>
              <w:right w:val="nil"/>
            </w:tcBorders>
            <w:noWrap/>
            <w:vAlign w:val="bottom"/>
          </w:tcPr>
          <w:p w14:paraId="435DA77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941,8 </w:t>
            </w:r>
          </w:p>
        </w:tc>
        <w:tc>
          <w:tcPr>
            <w:tcW w:w="433" w:type="pct"/>
            <w:tcBorders>
              <w:top w:val="nil"/>
              <w:left w:val="nil"/>
              <w:bottom w:val="nil"/>
              <w:right w:val="nil"/>
            </w:tcBorders>
            <w:noWrap/>
            <w:vAlign w:val="bottom"/>
          </w:tcPr>
          <w:p w14:paraId="7AEE9A4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2.066,7 </w:t>
            </w:r>
          </w:p>
        </w:tc>
        <w:tc>
          <w:tcPr>
            <w:tcW w:w="418" w:type="pct"/>
            <w:tcBorders>
              <w:top w:val="nil"/>
              <w:left w:val="nil"/>
              <w:bottom w:val="nil"/>
              <w:right w:val="nil"/>
            </w:tcBorders>
            <w:noWrap/>
            <w:vAlign w:val="bottom"/>
          </w:tcPr>
          <w:p w14:paraId="2EA1A76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14.072,4 </w:t>
            </w:r>
          </w:p>
        </w:tc>
        <w:tc>
          <w:tcPr>
            <w:tcW w:w="415" w:type="pct"/>
            <w:tcBorders>
              <w:top w:val="nil"/>
              <w:left w:val="nil"/>
              <w:bottom w:val="nil"/>
              <w:right w:val="nil"/>
            </w:tcBorders>
            <w:noWrap/>
            <w:vAlign w:val="bottom"/>
          </w:tcPr>
          <w:p w14:paraId="0A9F0B6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15" w:type="pct"/>
            <w:tcBorders>
              <w:top w:val="nil"/>
              <w:left w:val="nil"/>
              <w:bottom w:val="nil"/>
              <w:right w:val="nil"/>
            </w:tcBorders>
            <w:noWrap/>
            <w:vAlign w:val="bottom"/>
          </w:tcPr>
          <w:p w14:paraId="12846B9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33" w:type="pct"/>
            <w:tcBorders>
              <w:top w:val="nil"/>
              <w:left w:val="nil"/>
              <w:bottom w:val="nil"/>
              <w:right w:val="nil"/>
            </w:tcBorders>
            <w:noWrap/>
            <w:vAlign w:val="bottom"/>
          </w:tcPr>
          <w:p w14:paraId="7D207A8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488" w:type="pct"/>
            <w:tcBorders>
              <w:top w:val="nil"/>
              <w:left w:val="nil"/>
              <w:bottom w:val="nil"/>
              <w:right w:val="nil"/>
            </w:tcBorders>
            <w:noWrap/>
            <w:vAlign w:val="bottom"/>
          </w:tcPr>
          <w:p w14:paraId="6208DAB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c>
          <w:tcPr>
            <w:tcW w:w="396" w:type="pct"/>
            <w:tcBorders>
              <w:top w:val="nil"/>
              <w:left w:val="nil"/>
              <w:bottom w:val="nil"/>
              <w:right w:val="nil"/>
            </w:tcBorders>
            <w:noWrap/>
            <w:vAlign w:val="bottom"/>
          </w:tcPr>
          <w:p w14:paraId="08BA8FB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39.627,9 </w:t>
            </w:r>
          </w:p>
        </w:tc>
      </w:tr>
      <w:tr w:rsidR="001B3E41" w:rsidRPr="00AE4E8D" w14:paraId="0B3ADAAB" w14:textId="77777777" w:rsidTr="000400C8">
        <w:trPr>
          <w:trHeight w:val="255"/>
          <w:jc w:val="center"/>
        </w:trPr>
        <w:tc>
          <w:tcPr>
            <w:tcW w:w="724" w:type="pct"/>
            <w:tcBorders>
              <w:top w:val="nil"/>
              <w:left w:val="nil"/>
              <w:bottom w:val="nil"/>
              <w:right w:val="nil"/>
            </w:tcBorders>
            <w:noWrap/>
            <w:vAlign w:val="bottom"/>
          </w:tcPr>
          <w:p w14:paraId="6244A2A3" w14:textId="77777777" w:rsidR="001B3E41" w:rsidRPr="00AE4E8D" w:rsidRDefault="001B3E41" w:rsidP="002A71B8">
            <w:pPr>
              <w:rPr>
                <w:rFonts w:ascii="Times New Roman" w:hAnsi="Times New Roman"/>
                <w:color w:val="000000"/>
                <w:sz w:val="16"/>
                <w:szCs w:val="16"/>
                <w:lang w:val="es-ES"/>
              </w:rPr>
            </w:pPr>
          </w:p>
        </w:tc>
        <w:tc>
          <w:tcPr>
            <w:tcW w:w="451" w:type="pct"/>
            <w:tcBorders>
              <w:top w:val="nil"/>
              <w:left w:val="nil"/>
              <w:bottom w:val="nil"/>
              <w:right w:val="nil"/>
            </w:tcBorders>
            <w:noWrap/>
            <w:vAlign w:val="bottom"/>
          </w:tcPr>
          <w:p w14:paraId="7E202FE3" w14:textId="77777777" w:rsidR="001B3E41" w:rsidRPr="00AE4E8D" w:rsidRDefault="001B3E41" w:rsidP="002A71B8">
            <w:pPr>
              <w:jc w:val="right"/>
              <w:rPr>
                <w:rFonts w:ascii="Times New Roman" w:hAnsi="Times New Roman"/>
                <w:color w:val="000000"/>
                <w:sz w:val="16"/>
                <w:szCs w:val="16"/>
                <w:lang w:val="es-ES"/>
              </w:rPr>
            </w:pPr>
          </w:p>
        </w:tc>
        <w:tc>
          <w:tcPr>
            <w:tcW w:w="405" w:type="pct"/>
            <w:tcBorders>
              <w:top w:val="nil"/>
              <w:left w:val="nil"/>
              <w:bottom w:val="nil"/>
              <w:right w:val="nil"/>
            </w:tcBorders>
            <w:noWrap/>
            <w:vAlign w:val="bottom"/>
          </w:tcPr>
          <w:p w14:paraId="33DA0E27" w14:textId="77777777" w:rsidR="001B3E41" w:rsidRPr="00AE4E8D" w:rsidRDefault="001B3E41" w:rsidP="002A71B8">
            <w:pPr>
              <w:jc w:val="right"/>
              <w:rPr>
                <w:rFonts w:ascii="Times New Roman" w:hAnsi="Times New Roman"/>
                <w:color w:val="000000"/>
                <w:sz w:val="16"/>
                <w:szCs w:val="16"/>
                <w:lang w:val="es-ES"/>
              </w:rPr>
            </w:pPr>
          </w:p>
        </w:tc>
        <w:tc>
          <w:tcPr>
            <w:tcW w:w="423" w:type="pct"/>
            <w:tcBorders>
              <w:top w:val="nil"/>
              <w:left w:val="nil"/>
              <w:bottom w:val="nil"/>
              <w:right w:val="nil"/>
            </w:tcBorders>
            <w:noWrap/>
            <w:vAlign w:val="bottom"/>
          </w:tcPr>
          <w:p w14:paraId="4F5DBD37" w14:textId="77777777" w:rsidR="001B3E41" w:rsidRPr="00AE4E8D" w:rsidRDefault="001B3E41" w:rsidP="002A71B8">
            <w:pPr>
              <w:jc w:val="right"/>
              <w:rPr>
                <w:rFonts w:ascii="Times New Roman" w:hAnsi="Times New Roman"/>
                <w:color w:val="000000"/>
                <w:sz w:val="16"/>
                <w:szCs w:val="16"/>
                <w:lang w:val="es-ES"/>
              </w:rPr>
            </w:pPr>
          </w:p>
        </w:tc>
        <w:tc>
          <w:tcPr>
            <w:tcW w:w="433" w:type="pct"/>
            <w:tcBorders>
              <w:top w:val="nil"/>
              <w:left w:val="nil"/>
              <w:bottom w:val="nil"/>
              <w:right w:val="nil"/>
            </w:tcBorders>
            <w:noWrap/>
            <w:vAlign w:val="bottom"/>
          </w:tcPr>
          <w:p w14:paraId="5A30D905" w14:textId="77777777" w:rsidR="001B3E41" w:rsidRPr="00AE4E8D" w:rsidRDefault="001B3E41" w:rsidP="002A71B8">
            <w:pPr>
              <w:jc w:val="right"/>
              <w:rPr>
                <w:rFonts w:ascii="Times New Roman" w:hAnsi="Times New Roman"/>
                <w:color w:val="000000"/>
                <w:sz w:val="16"/>
                <w:szCs w:val="16"/>
                <w:lang w:val="es-ES"/>
              </w:rPr>
            </w:pPr>
          </w:p>
        </w:tc>
        <w:tc>
          <w:tcPr>
            <w:tcW w:w="418" w:type="pct"/>
            <w:tcBorders>
              <w:top w:val="nil"/>
              <w:left w:val="nil"/>
              <w:bottom w:val="nil"/>
              <w:right w:val="nil"/>
            </w:tcBorders>
            <w:noWrap/>
            <w:vAlign w:val="bottom"/>
          </w:tcPr>
          <w:p w14:paraId="1F028031" w14:textId="77777777" w:rsidR="001B3E41" w:rsidRPr="00AE4E8D" w:rsidRDefault="001B3E41" w:rsidP="002A71B8">
            <w:pPr>
              <w:jc w:val="right"/>
              <w:rPr>
                <w:rFonts w:ascii="Times New Roman" w:hAnsi="Times New Roman"/>
                <w:color w:val="000000"/>
                <w:sz w:val="16"/>
                <w:szCs w:val="16"/>
                <w:lang w:val="es-ES"/>
              </w:rPr>
            </w:pPr>
          </w:p>
        </w:tc>
        <w:tc>
          <w:tcPr>
            <w:tcW w:w="415" w:type="pct"/>
            <w:tcBorders>
              <w:top w:val="nil"/>
              <w:left w:val="nil"/>
              <w:bottom w:val="nil"/>
              <w:right w:val="nil"/>
            </w:tcBorders>
            <w:noWrap/>
            <w:vAlign w:val="bottom"/>
          </w:tcPr>
          <w:p w14:paraId="3DFC9671" w14:textId="77777777" w:rsidR="001B3E41" w:rsidRPr="00AE4E8D" w:rsidRDefault="001B3E41" w:rsidP="002A71B8">
            <w:pPr>
              <w:jc w:val="right"/>
              <w:rPr>
                <w:rFonts w:ascii="Times New Roman" w:hAnsi="Times New Roman"/>
                <w:color w:val="000000"/>
                <w:sz w:val="16"/>
                <w:szCs w:val="16"/>
                <w:lang w:val="es-ES"/>
              </w:rPr>
            </w:pPr>
          </w:p>
        </w:tc>
        <w:tc>
          <w:tcPr>
            <w:tcW w:w="415" w:type="pct"/>
            <w:tcBorders>
              <w:top w:val="nil"/>
              <w:left w:val="nil"/>
              <w:bottom w:val="nil"/>
              <w:right w:val="nil"/>
            </w:tcBorders>
            <w:noWrap/>
            <w:vAlign w:val="bottom"/>
          </w:tcPr>
          <w:p w14:paraId="1E244133" w14:textId="77777777" w:rsidR="001B3E41" w:rsidRPr="00AE4E8D" w:rsidRDefault="001B3E41" w:rsidP="002A71B8">
            <w:pPr>
              <w:jc w:val="right"/>
              <w:rPr>
                <w:rFonts w:ascii="Times New Roman" w:hAnsi="Times New Roman"/>
                <w:color w:val="000000"/>
                <w:sz w:val="16"/>
                <w:szCs w:val="16"/>
                <w:lang w:val="es-ES"/>
              </w:rPr>
            </w:pPr>
          </w:p>
        </w:tc>
        <w:tc>
          <w:tcPr>
            <w:tcW w:w="433" w:type="pct"/>
            <w:tcBorders>
              <w:top w:val="nil"/>
              <w:left w:val="nil"/>
              <w:bottom w:val="nil"/>
              <w:right w:val="nil"/>
            </w:tcBorders>
            <w:noWrap/>
            <w:vAlign w:val="bottom"/>
          </w:tcPr>
          <w:p w14:paraId="6FE5F453" w14:textId="77777777" w:rsidR="001B3E41" w:rsidRPr="00AE4E8D" w:rsidRDefault="001B3E41" w:rsidP="002A71B8">
            <w:pPr>
              <w:jc w:val="right"/>
              <w:rPr>
                <w:rFonts w:ascii="Times New Roman" w:hAnsi="Times New Roman"/>
                <w:color w:val="000000"/>
                <w:sz w:val="16"/>
                <w:szCs w:val="16"/>
                <w:lang w:val="es-ES"/>
              </w:rPr>
            </w:pPr>
          </w:p>
        </w:tc>
        <w:tc>
          <w:tcPr>
            <w:tcW w:w="488" w:type="pct"/>
            <w:tcBorders>
              <w:top w:val="nil"/>
              <w:left w:val="nil"/>
              <w:bottom w:val="nil"/>
              <w:right w:val="nil"/>
            </w:tcBorders>
            <w:noWrap/>
            <w:vAlign w:val="bottom"/>
          </w:tcPr>
          <w:p w14:paraId="63DB1A32" w14:textId="77777777" w:rsidR="001B3E41" w:rsidRPr="00AE4E8D" w:rsidRDefault="001B3E41" w:rsidP="002A71B8">
            <w:pPr>
              <w:jc w:val="right"/>
              <w:rPr>
                <w:rFonts w:ascii="Times New Roman" w:hAnsi="Times New Roman"/>
                <w:color w:val="000000"/>
                <w:sz w:val="16"/>
                <w:szCs w:val="16"/>
                <w:lang w:val="es-ES"/>
              </w:rPr>
            </w:pPr>
          </w:p>
        </w:tc>
        <w:tc>
          <w:tcPr>
            <w:tcW w:w="396" w:type="pct"/>
            <w:tcBorders>
              <w:top w:val="nil"/>
              <w:left w:val="nil"/>
              <w:bottom w:val="nil"/>
              <w:right w:val="nil"/>
            </w:tcBorders>
            <w:noWrap/>
            <w:vAlign w:val="bottom"/>
          </w:tcPr>
          <w:p w14:paraId="6788EEB7" w14:textId="77777777" w:rsidR="001B3E41" w:rsidRPr="00AE4E8D" w:rsidRDefault="001B3E41" w:rsidP="002A71B8">
            <w:pPr>
              <w:jc w:val="right"/>
              <w:rPr>
                <w:rFonts w:ascii="Times New Roman" w:hAnsi="Times New Roman"/>
                <w:color w:val="000000"/>
                <w:sz w:val="16"/>
                <w:szCs w:val="16"/>
                <w:lang w:val="es-ES"/>
              </w:rPr>
            </w:pPr>
          </w:p>
        </w:tc>
      </w:tr>
      <w:tr w:rsidR="001B3E41" w:rsidRPr="00AE4E8D" w14:paraId="366A53EE" w14:textId="77777777" w:rsidTr="000400C8">
        <w:trPr>
          <w:trHeight w:val="255"/>
          <w:jc w:val="center"/>
        </w:trPr>
        <w:tc>
          <w:tcPr>
            <w:tcW w:w="724" w:type="pct"/>
            <w:tcBorders>
              <w:top w:val="nil"/>
              <w:left w:val="nil"/>
              <w:bottom w:val="nil"/>
              <w:right w:val="nil"/>
            </w:tcBorders>
            <w:noWrap/>
            <w:vAlign w:val="bottom"/>
          </w:tcPr>
          <w:p w14:paraId="6BE39315"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sz w:val="16"/>
                <w:szCs w:val="16"/>
                <w:lang w:val="es-ES"/>
              </w:rPr>
              <w:t>Diferencias entre Activos y Pasivos</w:t>
            </w:r>
          </w:p>
        </w:tc>
        <w:tc>
          <w:tcPr>
            <w:tcW w:w="451" w:type="pct"/>
            <w:tcBorders>
              <w:top w:val="nil"/>
              <w:left w:val="nil"/>
              <w:bottom w:val="nil"/>
              <w:right w:val="nil"/>
            </w:tcBorders>
            <w:noWrap/>
            <w:vAlign w:val="bottom"/>
          </w:tcPr>
          <w:p w14:paraId="148E78F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208,0 </w:t>
            </w:r>
          </w:p>
        </w:tc>
        <w:tc>
          <w:tcPr>
            <w:tcW w:w="405" w:type="pct"/>
            <w:tcBorders>
              <w:top w:val="nil"/>
              <w:left w:val="nil"/>
              <w:bottom w:val="nil"/>
              <w:right w:val="nil"/>
            </w:tcBorders>
            <w:noWrap/>
            <w:vAlign w:val="bottom"/>
          </w:tcPr>
          <w:p w14:paraId="38C3DB7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1.133,2 </w:t>
            </w:r>
          </w:p>
        </w:tc>
        <w:tc>
          <w:tcPr>
            <w:tcW w:w="423" w:type="pct"/>
            <w:tcBorders>
              <w:top w:val="nil"/>
              <w:left w:val="nil"/>
              <w:bottom w:val="nil"/>
              <w:right w:val="nil"/>
            </w:tcBorders>
            <w:noWrap/>
            <w:vAlign w:val="bottom"/>
          </w:tcPr>
          <w:p w14:paraId="4CC783D4"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1.876,3 </w:t>
            </w:r>
          </w:p>
        </w:tc>
        <w:tc>
          <w:tcPr>
            <w:tcW w:w="433" w:type="pct"/>
            <w:tcBorders>
              <w:top w:val="nil"/>
              <w:left w:val="nil"/>
              <w:bottom w:val="nil"/>
              <w:right w:val="nil"/>
            </w:tcBorders>
            <w:noWrap/>
            <w:vAlign w:val="bottom"/>
          </w:tcPr>
          <w:p w14:paraId="1D1931D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9.303,4 </w:t>
            </w:r>
          </w:p>
        </w:tc>
        <w:tc>
          <w:tcPr>
            <w:tcW w:w="418" w:type="pct"/>
            <w:tcBorders>
              <w:top w:val="nil"/>
              <w:left w:val="nil"/>
              <w:bottom w:val="nil"/>
              <w:right w:val="nil"/>
            </w:tcBorders>
            <w:noWrap/>
            <w:vAlign w:val="bottom"/>
          </w:tcPr>
          <w:p w14:paraId="6A98AB3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(11.985,6)</w:t>
            </w:r>
          </w:p>
        </w:tc>
        <w:tc>
          <w:tcPr>
            <w:tcW w:w="415" w:type="pct"/>
            <w:tcBorders>
              <w:top w:val="nil"/>
              <w:left w:val="nil"/>
              <w:bottom w:val="nil"/>
              <w:right w:val="nil"/>
            </w:tcBorders>
            <w:noWrap/>
            <w:vAlign w:val="bottom"/>
          </w:tcPr>
          <w:p w14:paraId="7DED2EB9"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2.069,0 </w:t>
            </w:r>
          </w:p>
        </w:tc>
        <w:tc>
          <w:tcPr>
            <w:tcW w:w="415" w:type="pct"/>
            <w:tcBorders>
              <w:top w:val="nil"/>
              <w:left w:val="nil"/>
              <w:bottom w:val="nil"/>
              <w:right w:val="nil"/>
            </w:tcBorders>
            <w:noWrap/>
            <w:vAlign w:val="bottom"/>
          </w:tcPr>
          <w:p w14:paraId="0F2675EE"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526,0 </w:t>
            </w:r>
          </w:p>
        </w:tc>
        <w:tc>
          <w:tcPr>
            <w:tcW w:w="433" w:type="pct"/>
            <w:tcBorders>
              <w:top w:val="nil"/>
              <w:left w:val="nil"/>
              <w:bottom w:val="nil"/>
              <w:right w:val="nil"/>
            </w:tcBorders>
            <w:noWrap/>
            <w:vAlign w:val="bottom"/>
          </w:tcPr>
          <w:p w14:paraId="5186F5B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605,3 </w:t>
            </w:r>
          </w:p>
        </w:tc>
        <w:tc>
          <w:tcPr>
            <w:tcW w:w="488" w:type="pct"/>
            <w:tcBorders>
              <w:top w:val="nil"/>
              <w:left w:val="nil"/>
              <w:bottom w:val="nil"/>
              <w:right w:val="nil"/>
            </w:tcBorders>
            <w:noWrap/>
            <w:vAlign w:val="bottom"/>
          </w:tcPr>
          <w:p w14:paraId="418D478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3.652,2 </w:t>
            </w:r>
          </w:p>
        </w:tc>
        <w:tc>
          <w:tcPr>
            <w:tcW w:w="396" w:type="pct"/>
            <w:tcBorders>
              <w:top w:val="nil"/>
              <w:left w:val="nil"/>
              <w:bottom w:val="nil"/>
              <w:right w:val="nil"/>
            </w:tcBorders>
            <w:noWrap/>
            <w:vAlign w:val="bottom"/>
          </w:tcPr>
          <w:p w14:paraId="63FE8612"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7.387,8 </w:t>
            </w:r>
          </w:p>
        </w:tc>
      </w:tr>
      <w:tr w:rsidR="001B3E41" w:rsidRPr="00AE4E8D" w14:paraId="45AA89E0" w14:textId="77777777" w:rsidTr="000400C8">
        <w:trPr>
          <w:trHeight w:val="255"/>
          <w:jc w:val="center"/>
        </w:trPr>
        <w:tc>
          <w:tcPr>
            <w:tcW w:w="724" w:type="pct"/>
            <w:tcBorders>
              <w:top w:val="nil"/>
              <w:left w:val="nil"/>
              <w:bottom w:val="nil"/>
              <w:right w:val="nil"/>
            </w:tcBorders>
            <w:vAlign w:val="bottom"/>
          </w:tcPr>
          <w:p w14:paraId="2822A0D0"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sz w:val="16"/>
                <w:szCs w:val="16"/>
                <w:lang w:val="es-ES"/>
              </w:rPr>
              <w:t>Diferencia Acumulada</w:t>
            </w:r>
          </w:p>
        </w:tc>
        <w:tc>
          <w:tcPr>
            <w:tcW w:w="451" w:type="pct"/>
            <w:tcBorders>
              <w:top w:val="nil"/>
              <w:left w:val="nil"/>
              <w:bottom w:val="nil"/>
              <w:right w:val="nil"/>
            </w:tcBorders>
            <w:noWrap/>
            <w:vAlign w:val="bottom"/>
          </w:tcPr>
          <w:p w14:paraId="53800CC0"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208,0 </w:t>
            </w:r>
          </w:p>
        </w:tc>
        <w:tc>
          <w:tcPr>
            <w:tcW w:w="405" w:type="pct"/>
            <w:tcBorders>
              <w:top w:val="nil"/>
              <w:left w:val="nil"/>
              <w:bottom w:val="nil"/>
              <w:right w:val="nil"/>
            </w:tcBorders>
            <w:noWrap/>
            <w:vAlign w:val="bottom"/>
          </w:tcPr>
          <w:p w14:paraId="7275FCA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1.341,2 </w:t>
            </w:r>
          </w:p>
        </w:tc>
        <w:tc>
          <w:tcPr>
            <w:tcW w:w="423" w:type="pct"/>
            <w:tcBorders>
              <w:top w:val="nil"/>
              <w:left w:val="nil"/>
              <w:bottom w:val="nil"/>
              <w:right w:val="nil"/>
            </w:tcBorders>
            <w:noWrap/>
            <w:vAlign w:val="bottom"/>
          </w:tcPr>
          <w:p w14:paraId="3369DFB8"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3.217,5 </w:t>
            </w:r>
          </w:p>
        </w:tc>
        <w:tc>
          <w:tcPr>
            <w:tcW w:w="433" w:type="pct"/>
            <w:tcBorders>
              <w:top w:val="nil"/>
              <w:left w:val="nil"/>
              <w:bottom w:val="nil"/>
              <w:right w:val="nil"/>
            </w:tcBorders>
            <w:noWrap/>
            <w:vAlign w:val="bottom"/>
          </w:tcPr>
          <w:p w14:paraId="7FB85BE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12.520,9 </w:t>
            </w:r>
          </w:p>
        </w:tc>
        <w:tc>
          <w:tcPr>
            <w:tcW w:w="418" w:type="pct"/>
            <w:tcBorders>
              <w:top w:val="nil"/>
              <w:left w:val="nil"/>
              <w:bottom w:val="nil"/>
              <w:right w:val="nil"/>
            </w:tcBorders>
            <w:noWrap/>
            <w:vAlign w:val="bottom"/>
          </w:tcPr>
          <w:p w14:paraId="5EAA8063"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535,3 </w:t>
            </w:r>
          </w:p>
        </w:tc>
        <w:tc>
          <w:tcPr>
            <w:tcW w:w="415" w:type="pct"/>
            <w:tcBorders>
              <w:top w:val="nil"/>
              <w:left w:val="nil"/>
              <w:bottom w:val="nil"/>
              <w:right w:val="nil"/>
            </w:tcBorders>
            <w:noWrap/>
            <w:vAlign w:val="bottom"/>
          </w:tcPr>
          <w:p w14:paraId="4E0C3D4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2.604,3 </w:t>
            </w:r>
          </w:p>
        </w:tc>
        <w:tc>
          <w:tcPr>
            <w:tcW w:w="415" w:type="pct"/>
            <w:tcBorders>
              <w:top w:val="nil"/>
              <w:left w:val="nil"/>
              <w:bottom w:val="nil"/>
              <w:right w:val="nil"/>
            </w:tcBorders>
            <w:noWrap/>
            <w:vAlign w:val="bottom"/>
          </w:tcPr>
          <w:p w14:paraId="46982C3B"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3.130,3 </w:t>
            </w:r>
          </w:p>
        </w:tc>
        <w:tc>
          <w:tcPr>
            <w:tcW w:w="433" w:type="pct"/>
            <w:tcBorders>
              <w:top w:val="nil"/>
              <w:left w:val="nil"/>
              <w:bottom w:val="nil"/>
              <w:right w:val="nil"/>
            </w:tcBorders>
            <w:noWrap/>
            <w:vAlign w:val="bottom"/>
          </w:tcPr>
          <w:p w14:paraId="56E59FE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3.735,6 </w:t>
            </w:r>
          </w:p>
        </w:tc>
        <w:tc>
          <w:tcPr>
            <w:tcW w:w="488" w:type="pct"/>
            <w:tcBorders>
              <w:top w:val="nil"/>
              <w:left w:val="nil"/>
              <w:bottom w:val="nil"/>
              <w:right w:val="nil"/>
            </w:tcBorders>
            <w:noWrap/>
            <w:vAlign w:val="bottom"/>
          </w:tcPr>
          <w:p w14:paraId="42357F1F"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7.387,8 </w:t>
            </w:r>
          </w:p>
        </w:tc>
        <w:tc>
          <w:tcPr>
            <w:tcW w:w="396" w:type="pct"/>
            <w:tcBorders>
              <w:top w:val="nil"/>
              <w:left w:val="nil"/>
              <w:bottom w:val="nil"/>
              <w:right w:val="nil"/>
            </w:tcBorders>
            <w:noWrap/>
            <w:vAlign w:val="bottom"/>
          </w:tcPr>
          <w:p w14:paraId="195AA64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 xml:space="preserve"> -  </w:t>
            </w:r>
          </w:p>
        </w:tc>
      </w:tr>
      <w:tr w:rsidR="001B3E41" w:rsidRPr="00AE4E8D" w14:paraId="4DA9D7B4" w14:textId="77777777" w:rsidTr="000400C8">
        <w:trPr>
          <w:trHeight w:val="510"/>
          <w:jc w:val="center"/>
        </w:trPr>
        <w:tc>
          <w:tcPr>
            <w:tcW w:w="724" w:type="pct"/>
            <w:tcBorders>
              <w:top w:val="nil"/>
              <w:left w:val="nil"/>
              <w:bottom w:val="nil"/>
              <w:right w:val="nil"/>
            </w:tcBorders>
            <w:vAlign w:val="bottom"/>
          </w:tcPr>
          <w:p w14:paraId="3A782F2A" w14:textId="77777777" w:rsidR="001B3E41" w:rsidRPr="00AE4E8D" w:rsidRDefault="001B3E41" w:rsidP="002A71B8">
            <w:pPr>
              <w:rPr>
                <w:rFonts w:ascii="Times New Roman" w:hAnsi="Times New Roman"/>
                <w:color w:val="000000"/>
                <w:sz w:val="16"/>
                <w:szCs w:val="16"/>
                <w:lang w:val="es-ES"/>
              </w:rPr>
            </w:pPr>
            <w:r w:rsidRPr="00AE4E8D">
              <w:rPr>
                <w:rFonts w:ascii="Times New Roman" w:hAnsi="Times New Roman"/>
                <w:sz w:val="16"/>
                <w:szCs w:val="16"/>
                <w:lang w:val="es-ES"/>
              </w:rPr>
              <w:t>Índice de diferencias acumulada sobre activos que devengan interés totales acumulados</w:t>
            </w:r>
          </w:p>
        </w:tc>
        <w:tc>
          <w:tcPr>
            <w:tcW w:w="451" w:type="pct"/>
            <w:tcBorders>
              <w:top w:val="nil"/>
              <w:left w:val="nil"/>
              <w:bottom w:val="nil"/>
              <w:right w:val="nil"/>
            </w:tcBorders>
            <w:noWrap/>
            <w:vAlign w:val="bottom"/>
          </w:tcPr>
          <w:p w14:paraId="2FB6417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1,3%</w:t>
            </w:r>
          </w:p>
        </w:tc>
        <w:tc>
          <w:tcPr>
            <w:tcW w:w="405" w:type="pct"/>
            <w:tcBorders>
              <w:top w:val="nil"/>
              <w:left w:val="nil"/>
              <w:bottom w:val="nil"/>
              <w:right w:val="nil"/>
            </w:tcBorders>
            <w:noWrap/>
            <w:vAlign w:val="bottom"/>
          </w:tcPr>
          <w:p w14:paraId="7DFA389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5,6%</w:t>
            </w:r>
          </w:p>
        </w:tc>
        <w:tc>
          <w:tcPr>
            <w:tcW w:w="423" w:type="pct"/>
            <w:tcBorders>
              <w:top w:val="nil"/>
              <w:left w:val="nil"/>
              <w:bottom w:val="nil"/>
              <w:right w:val="nil"/>
            </w:tcBorders>
            <w:noWrap/>
            <w:vAlign w:val="bottom"/>
          </w:tcPr>
          <w:p w14:paraId="0359C1D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12,0%</w:t>
            </w:r>
          </w:p>
        </w:tc>
        <w:tc>
          <w:tcPr>
            <w:tcW w:w="433" w:type="pct"/>
            <w:tcBorders>
              <w:top w:val="nil"/>
              <w:left w:val="nil"/>
              <w:bottom w:val="nil"/>
              <w:right w:val="nil"/>
            </w:tcBorders>
            <w:noWrap/>
            <w:vAlign w:val="bottom"/>
          </w:tcPr>
          <w:p w14:paraId="256E0596"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32,9%</w:t>
            </w:r>
          </w:p>
        </w:tc>
        <w:tc>
          <w:tcPr>
            <w:tcW w:w="418" w:type="pct"/>
            <w:tcBorders>
              <w:top w:val="nil"/>
              <w:left w:val="nil"/>
              <w:bottom w:val="nil"/>
              <w:right w:val="nil"/>
            </w:tcBorders>
            <w:noWrap/>
            <w:vAlign w:val="bottom"/>
          </w:tcPr>
          <w:p w14:paraId="08D912FA"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1,3%</w:t>
            </w:r>
          </w:p>
        </w:tc>
        <w:tc>
          <w:tcPr>
            <w:tcW w:w="415" w:type="pct"/>
            <w:tcBorders>
              <w:top w:val="nil"/>
              <w:left w:val="nil"/>
              <w:bottom w:val="nil"/>
              <w:right w:val="nil"/>
            </w:tcBorders>
            <w:noWrap/>
            <w:vAlign w:val="bottom"/>
          </w:tcPr>
          <w:p w14:paraId="0AB9BF3D"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6,2%</w:t>
            </w:r>
          </w:p>
        </w:tc>
        <w:tc>
          <w:tcPr>
            <w:tcW w:w="415" w:type="pct"/>
            <w:tcBorders>
              <w:top w:val="nil"/>
              <w:left w:val="nil"/>
              <w:bottom w:val="nil"/>
              <w:right w:val="nil"/>
            </w:tcBorders>
            <w:noWrap/>
            <w:vAlign w:val="bottom"/>
          </w:tcPr>
          <w:p w14:paraId="12EA4667"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7,3%</w:t>
            </w:r>
          </w:p>
        </w:tc>
        <w:tc>
          <w:tcPr>
            <w:tcW w:w="433" w:type="pct"/>
            <w:tcBorders>
              <w:top w:val="nil"/>
              <w:left w:val="nil"/>
              <w:bottom w:val="nil"/>
              <w:right w:val="nil"/>
            </w:tcBorders>
            <w:noWrap/>
            <w:vAlign w:val="bottom"/>
          </w:tcPr>
          <w:p w14:paraId="409B9C95"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8,6%</w:t>
            </w:r>
          </w:p>
        </w:tc>
        <w:tc>
          <w:tcPr>
            <w:tcW w:w="488" w:type="pct"/>
            <w:tcBorders>
              <w:top w:val="nil"/>
              <w:left w:val="nil"/>
              <w:bottom w:val="nil"/>
              <w:right w:val="nil"/>
            </w:tcBorders>
            <w:noWrap/>
            <w:vAlign w:val="bottom"/>
          </w:tcPr>
          <w:p w14:paraId="2CD2DEB1" w14:textId="77777777" w:rsidR="001B3E41" w:rsidRPr="00AE4E8D" w:rsidRDefault="001B3E41" w:rsidP="002A71B8">
            <w:pPr>
              <w:jc w:val="right"/>
              <w:rPr>
                <w:rFonts w:ascii="Times New Roman" w:hAnsi="Times New Roman"/>
                <w:color w:val="000000"/>
                <w:sz w:val="16"/>
                <w:szCs w:val="16"/>
                <w:lang w:val="es-ES"/>
              </w:rPr>
            </w:pPr>
            <w:r w:rsidRPr="00AE4E8D">
              <w:rPr>
                <w:rFonts w:ascii="Times New Roman" w:hAnsi="Times New Roman"/>
                <w:color w:val="000000"/>
                <w:sz w:val="16"/>
                <w:szCs w:val="16"/>
                <w:lang w:val="es-ES"/>
              </w:rPr>
              <w:t>15,7%</w:t>
            </w:r>
          </w:p>
        </w:tc>
        <w:tc>
          <w:tcPr>
            <w:tcW w:w="396" w:type="pct"/>
            <w:tcBorders>
              <w:top w:val="nil"/>
              <w:left w:val="nil"/>
              <w:bottom w:val="nil"/>
              <w:right w:val="nil"/>
            </w:tcBorders>
            <w:noWrap/>
            <w:vAlign w:val="bottom"/>
          </w:tcPr>
          <w:p w14:paraId="30B5E89F" w14:textId="77777777" w:rsidR="001B3E41" w:rsidRPr="00AE4E8D" w:rsidRDefault="001B3E41" w:rsidP="002A71B8">
            <w:pPr>
              <w:jc w:val="right"/>
              <w:rPr>
                <w:rFonts w:ascii="Times New Roman" w:hAnsi="Times New Roman"/>
                <w:sz w:val="16"/>
                <w:lang w:val="es-ES"/>
              </w:rPr>
            </w:pPr>
          </w:p>
        </w:tc>
      </w:tr>
    </w:tbl>
    <w:p w14:paraId="07C4FA39" w14:textId="77777777" w:rsidR="001B3E41" w:rsidRPr="00AE4E8D" w:rsidRDefault="001B3E41" w:rsidP="001B3E41">
      <w:pPr>
        <w:autoSpaceDE w:val="0"/>
        <w:autoSpaceDN w:val="0"/>
        <w:adjustRightInd w:val="0"/>
        <w:spacing w:before="120" w:after="120"/>
        <w:jc w:val="both"/>
        <w:rPr>
          <w:rFonts w:ascii="Times New Roman" w:hAnsi="Times New Roman"/>
          <w:highlight w:val="cyan"/>
          <w:lang w:val="es-ES"/>
        </w:rPr>
        <w:sectPr w:rsidR="001B3E41" w:rsidRPr="00AE4E8D" w:rsidSect="00E35204">
          <w:pgSz w:w="16839" w:h="11907" w:orient="landscape" w:code="9"/>
          <w:pgMar w:top="1701" w:right="1418" w:bottom="1185" w:left="1418" w:header="709" w:footer="709" w:gutter="0"/>
          <w:cols w:space="708"/>
          <w:docGrid w:linePitch="360"/>
        </w:sectPr>
      </w:pPr>
    </w:p>
    <w:p w14:paraId="2AC00A6A" w14:textId="77777777" w:rsidR="001B3E41" w:rsidRPr="00AE4E8D" w:rsidRDefault="001B3E41" w:rsidP="001B3E41">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lastRenderedPageBreak/>
        <w:t>Acuerdos No Incluidos en el Balance</w:t>
      </w:r>
    </w:p>
    <w:p w14:paraId="245C56B5" w14:textId="77777777" w:rsidR="001B3E41" w:rsidRPr="00AE4E8D" w:rsidRDefault="001B3E41"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Celebramos diversas operaciones que involucran instrumentos financieros posteriores al cierre del balance y utiliza estos instrumentos para satisfacer las necesidades de gestión de riesgo, negociación y financiación de los clientes o para fines de negociación por cuenta propia y gestión de activos y pasivos.</w:t>
      </w:r>
    </w:p>
    <w:p w14:paraId="05771B33" w14:textId="77777777" w:rsidR="001B3E41" w:rsidRPr="00AE4E8D" w:rsidRDefault="001B3E41" w:rsidP="001B3E41">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Estos instrumentos están sujetos a diferentes grados de riesgo crediticio y de mercado. Supervisamos el riesgo crediticio y el riesgo de mercado asociados a instrumentos financieros incluidos o no en el balance en forma agrupada. Utilizamos las mismas políticas crediticias al determinar si celebramos u otorgamos contratos de opción de compra y venta, compromisos, obligaciones condicionales y garantías que utilizamos al otorgar préstamos. Consideramos que nuestros instrumentos no incluidos en el balance en circulación no representan un riesgo crediticio inusual.</w:t>
      </w:r>
    </w:p>
    <w:p w14:paraId="455B24E8" w14:textId="77777777" w:rsidR="001B3E41" w:rsidRPr="00AE4E8D" w:rsidRDefault="001B3E41" w:rsidP="001B3E41">
      <w:pPr>
        <w:pStyle w:val="BHTexto"/>
        <w:rPr>
          <w:b/>
          <w:lang w:val="es-ES"/>
        </w:rPr>
      </w:pPr>
      <w:bookmarkStart w:id="539" w:name="_Toc457831461"/>
      <w:r w:rsidRPr="00AE4E8D">
        <w:rPr>
          <w:b/>
          <w:lang w:val="es-ES"/>
        </w:rPr>
        <w:t>PARA INFORMACIÓN ADICIONAL DE LOS INSTRUMENTOS FINANCIEROS CON RIESGO NO INCLUIDOS EN EL BALANCE, VÉASE NOTA 9 “INSTRUMENTOS FINANCIEROS CON RIESGO NO INCLUIDOS EN EL BALANCE” DE NUESTROS ESTADOS CONTABLES CONSOLIDADOS AUDITADOS INCORPORADOS POR REFERENCIA A ESTE PROSPECTO.</w:t>
      </w:r>
      <w:bookmarkEnd w:id="539"/>
    </w:p>
    <w:p w14:paraId="54A3A6A8" w14:textId="77777777" w:rsidR="00CB5660" w:rsidRPr="00AE4E8D" w:rsidRDefault="001B3E41" w:rsidP="001B3E41">
      <w:pPr>
        <w:pStyle w:val="BH1Centro"/>
        <w:rPr>
          <w:rFonts w:ascii="Times New Roman" w:hAnsi="Times New Roman"/>
          <w:color w:val="000000"/>
          <w:lang w:val="es-ES"/>
        </w:rPr>
      </w:pPr>
      <w:r w:rsidRPr="00AE4E8D">
        <w:rPr>
          <w:rFonts w:ascii="Times New Roman" w:hAnsi="Times New Roman"/>
          <w:highlight w:val="cyan"/>
          <w:lang w:val="es-ES"/>
        </w:rPr>
        <w:br w:type="page"/>
      </w:r>
      <w:bookmarkStart w:id="540" w:name="_Toc449010432"/>
      <w:bookmarkStart w:id="541" w:name="_Toc487734742"/>
      <w:bookmarkStart w:id="542" w:name="_Toc495973022"/>
      <w:bookmarkStart w:id="543" w:name="_Toc495399929"/>
      <w:bookmarkStart w:id="544" w:name="_Toc420062596"/>
      <w:bookmarkStart w:id="545" w:name="_Toc421201408"/>
      <w:bookmarkStart w:id="546" w:name="_Toc421201412"/>
      <w:r w:rsidR="00CB5660" w:rsidRPr="00AE4E8D">
        <w:rPr>
          <w:rFonts w:ascii="Times New Roman" w:hAnsi="Times New Roman"/>
          <w:lang w:val="es-ES"/>
        </w:rPr>
        <w:lastRenderedPageBreak/>
        <w:t>INFORMACIÓN CUANTITATIVA Y CUALITATIVA SOBRE RIESGO DE MERCADO</w:t>
      </w:r>
      <w:bookmarkEnd w:id="540"/>
      <w:bookmarkEnd w:id="541"/>
      <w:bookmarkEnd w:id="542"/>
      <w:bookmarkEnd w:id="543"/>
    </w:p>
    <w:p w14:paraId="253D54B9" w14:textId="77777777" w:rsidR="003405E2" w:rsidRPr="00AE4E8D" w:rsidRDefault="003405E2" w:rsidP="003405E2">
      <w:pPr>
        <w:keepNext/>
        <w:autoSpaceDE w:val="0"/>
        <w:autoSpaceDN w:val="0"/>
        <w:adjustRightInd w:val="0"/>
        <w:spacing w:before="240" w:after="240"/>
        <w:outlineLvl w:val="1"/>
        <w:rPr>
          <w:rFonts w:ascii="Times New Roman" w:eastAsia="Calibri" w:hAnsi="Times New Roman"/>
          <w:b/>
          <w:lang w:val="es-ES" w:eastAsia="es-AR"/>
        </w:rPr>
      </w:pPr>
      <w:bookmarkStart w:id="547" w:name="_Toc495973023"/>
      <w:bookmarkStart w:id="548" w:name="_Toc495399930"/>
      <w:r w:rsidRPr="00AE4E8D">
        <w:rPr>
          <w:rFonts w:ascii="Times New Roman" w:eastAsia="Calibri" w:hAnsi="Times New Roman"/>
          <w:b/>
          <w:lang w:val="es-ES" w:eastAsia="es-AR"/>
        </w:rPr>
        <w:t>Riesgo de Mercado</w:t>
      </w:r>
      <w:bookmarkEnd w:id="547"/>
      <w:bookmarkEnd w:id="548"/>
    </w:p>
    <w:p w14:paraId="3CE800F1" w14:textId="77777777" w:rsidR="003E1478" w:rsidRPr="00AE4E8D" w:rsidRDefault="003E1478" w:rsidP="003E1478">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El riesgo de mercado es el riesgo de pérdida derivado de fluctuaciones en las variables de los mercados financieros tales como tasas de interés, tipos de cambio y otras tasas o precios. El riesgo surge como consecuencia de nuestras actividades de préstamo, negociación e inversiones y consta principalmente de riesgo de tasa de interés, riesgo cambiario y cotizaciones de activos financieros.</w:t>
      </w:r>
    </w:p>
    <w:p w14:paraId="2B78FF2F" w14:textId="77777777" w:rsidR="003E1478" w:rsidRPr="00AE4E8D" w:rsidRDefault="003E1478" w:rsidP="003E1478">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 xml:space="preserve">Para medir los riesgos de mercado más importantes (ya sea que surjan de carteras de negociación o de otro tipo) empleamos el método de </w:t>
      </w:r>
      <w:r w:rsidRPr="00AE4E8D">
        <w:rPr>
          <w:rFonts w:ascii="Times New Roman" w:eastAsia="Calibri" w:hAnsi="Times New Roman"/>
          <w:i/>
          <w:lang w:val="es-ES" w:eastAsia="es-AR"/>
        </w:rPr>
        <w:t xml:space="preserve">Value at Risk </w:t>
      </w:r>
      <w:r w:rsidRPr="00AE4E8D">
        <w:rPr>
          <w:rFonts w:ascii="Times New Roman" w:eastAsia="Calibri" w:hAnsi="Times New Roman"/>
          <w:lang w:val="es-ES" w:eastAsia="es-AR"/>
        </w:rPr>
        <w:t>(“VaR” por sus siglas en inglés). Este método está basado en métodos estadísticos que toman en cuenta muchas variables que pueden producir cambios en el valor de nuestras carteras, incluyendo tasas de interés, tipos de cambio, precios de los valores, volatilidad y cualquier correlación entre ellos.</w:t>
      </w:r>
    </w:p>
    <w:p w14:paraId="5BE27B8C" w14:textId="77777777" w:rsidR="003E1478" w:rsidRPr="00AE4E8D" w:rsidRDefault="003E1478" w:rsidP="003E1478">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El VaR es una estimación de las pérdidas potenciales que pueden surgir de cambios adversos razonablemente probables en las condiciones de mercado. Expresa el monto máximo de pérdida estimada (intervalo de confianza determinado) durante un plazo determinado, u “horizonte de tiempo” si dicha cartera se mantuviera sin cambios durante dicho plazo.</w:t>
      </w:r>
    </w:p>
    <w:p w14:paraId="1AAAA305" w14:textId="77777777" w:rsidR="003E1478" w:rsidRPr="00AE4E8D" w:rsidRDefault="003E1478" w:rsidP="003E1478">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Si bien son prospectivos, todos los modelos VaR se basan en eventos pasados y dependen de la calidad de todos los datos de mercado disponibles. Por ende, la calidad de nuestros modelos VaR es objeto de constante monitoreo, por medio de procesos de testeo, realizados al menos trimestralmente, los cuales comparan el ingreso diario real con el VaR</w:t>
      </w:r>
      <w:r w:rsidRPr="00AE4E8D" w:rsidDel="007C2A0A">
        <w:rPr>
          <w:rFonts w:ascii="Times New Roman" w:eastAsia="Calibri" w:hAnsi="Times New Roman"/>
          <w:lang w:val="es-ES" w:eastAsia="es-AR"/>
        </w:rPr>
        <w:t xml:space="preserve"> </w:t>
      </w:r>
      <w:r w:rsidRPr="00AE4E8D">
        <w:rPr>
          <w:rFonts w:ascii="Times New Roman" w:eastAsia="Calibri" w:hAnsi="Times New Roman"/>
          <w:lang w:val="es-ES" w:eastAsia="es-AR"/>
        </w:rPr>
        <w:t>diario estimado. De acuerdo con nuestros cálculos, el VaR es una estimación de la pérdida máxima estimada en el valor de mercado de una cartera determinada durante un horizonte de al menos diez días en un intervalo de confianza del 99% de una sola cola. Asumimos un período de tenencia de diez días y movimientos adversos del mercado de 2,32 desvíos estándar como medida de riesgo y comparación estándar.</w:t>
      </w:r>
    </w:p>
    <w:p w14:paraId="1F3CC5A5" w14:textId="77777777" w:rsidR="003E1478" w:rsidRPr="00AE4E8D" w:rsidRDefault="003E1478" w:rsidP="003E1478">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El VaR de la cartera de títulos valores es calculado diariamente usando un método analítico que utiliza una matriz de covarianzas que es completado por un modelo de promedio móvil ponderado exponencialmente. Adicionalmente, un VaR periódicamente estresado por un análisis de escenarios es calculado considerando la peor variación de precios en los últimos 10 años.</w:t>
      </w:r>
    </w:p>
    <w:p w14:paraId="797701B6" w14:textId="77777777" w:rsidR="003E1478" w:rsidRPr="00AE4E8D" w:rsidRDefault="003E1478" w:rsidP="003E1478">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 xml:space="preserve">Para aprovechar las buenas oportunidades de negociación, en ocasiones tenemos un mayor riesgo; sin embargo, durante períodos de incertidumbre también lo hemos reducido. Durante 2017, la principal fuente de nuestro VaR fue </w:t>
      </w:r>
      <w:r w:rsidR="00E44FC6" w:rsidRPr="00AE4E8D">
        <w:rPr>
          <w:rFonts w:ascii="Times New Roman" w:eastAsia="Calibri" w:hAnsi="Times New Roman"/>
          <w:lang w:val="es-ES" w:eastAsia="es-AR"/>
        </w:rPr>
        <w:t xml:space="preserve">nuestra </w:t>
      </w:r>
      <w:r w:rsidRPr="00AE4E8D">
        <w:rPr>
          <w:rFonts w:ascii="Times New Roman" w:eastAsia="Calibri" w:hAnsi="Times New Roman"/>
          <w:lang w:val="es-ES" w:eastAsia="es-AR"/>
        </w:rPr>
        <w:t>cartera de valores.</w:t>
      </w:r>
    </w:p>
    <w:p w14:paraId="65899ADA" w14:textId="77777777" w:rsidR="003E1478" w:rsidRPr="00AE4E8D" w:rsidRDefault="003E1478" w:rsidP="003405E2">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Los siguientes cuadros muestran el VaR para la cartera de negociación por categorías para los períodos indicados:</w:t>
      </w:r>
    </w:p>
    <w:tbl>
      <w:tblPr>
        <w:tblW w:w="0" w:type="auto"/>
        <w:jc w:val="center"/>
        <w:tblCellMar>
          <w:left w:w="70" w:type="dxa"/>
          <w:right w:w="70" w:type="dxa"/>
        </w:tblCellMar>
        <w:tblLook w:val="04A0" w:firstRow="1" w:lastRow="0" w:firstColumn="1" w:lastColumn="0" w:noHBand="0" w:noVBand="1"/>
      </w:tblPr>
      <w:tblGrid>
        <w:gridCol w:w="4345"/>
        <w:gridCol w:w="159"/>
        <w:gridCol w:w="35"/>
        <w:gridCol w:w="741"/>
        <w:gridCol w:w="851"/>
        <w:gridCol w:w="708"/>
        <w:gridCol w:w="825"/>
        <w:gridCol w:w="911"/>
      </w:tblGrid>
      <w:tr w:rsidR="00E44FC6" w:rsidRPr="00AE4E8D" w14:paraId="576D0C12" w14:textId="77777777" w:rsidTr="000400C8">
        <w:trPr>
          <w:trHeight w:val="418"/>
          <w:jc w:val="center"/>
        </w:trPr>
        <w:tc>
          <w:tcPr>
            <w:tcW w:w="0" w:type="auto"/>
            <w:tcBorders>
              <w:top w:val="nil"/>
              <w:left w:val="nil"/>
              <w:bottom w:val="nil"/>
              <w:right w:val="nil"/>
            </w:tcBorders>
            <w:shd w:val="clear" w:color="auto" w:fill="auto"/>
            <w:noWrap/>
            <w:vAlign w:val="center"/>
          </w:tcPr>
          <w:p w14:paraId="6B068139" w14:textId="77777777" w:rsidR="00E44FC6" w:rsidRPr="00AE4E8D" w:rsidRDefault="00E44FC6" w:rsidP="00180FE4">
            <w:pPr>
              <w:rPr>
                <w:rFonts w:ascii="Times New Roman" w:hAnsi="Times New Roman"/>
                <w:b/>
                <w:color w:val="000000"/>
                <w:sz w:val="18"/>
                <w:u w:val="single"/>
                <w:lang w:val="es-ES"/>
              </w:rPr>
            </w:pPr>
          </w:p>
        </w:tc>
        <w:tc>
          <w:tcPr>
            <w:tcW w:w="159" w:type="dxa"/>
            <w:tcBorders>
              <w:left w:val="nil"/>
              <w:right w:val="nil"/>
            </w:tcBorders>
            <w:shd w:val="clear" w:color="auto" w:fill="auto"/>
            <w:vAlign w:val="center"/>
          </w:tcPr>
          <w:p w14:paraId="7398545A" w14:textId="77777777" w:rsidR="00E44FC6" w:rsidRPr="00AE4E8D" w:rsidRDefault="00E44FC6" w:rsidP="00180FE4">
            <w:pPr>
              <w:jc w:val="center"/>
              <w:rPr>
                <w:rFonts w:ascii="Times New Roman" w:hAnsi="Times New Roman"/>
                <w:b/>
                <w:color w:val="000000"/>
                <w:sz w:val="18"/>
                <w:lang w:val="es-ES"/>
              </w:rPr>
            </w:pPr>
          </w:p>
        </w:tc>
        <w:tc>
          <w:tcPr>
            <w:tcW w:w="2335" w:type="dxa"/>
            <w:gridSpan w:val="4"/>
            <w:tcBorders>
              <w:left w:val="nil"/>
              <w:bottom w:val="single" w:sz="4" w:space="0" w:color="auto"/>
              <w:right w:val="nil"/>
            </w:tcBorders>
            <w:shd w:val="clear" w:color="auto" w:fill="auto"/>
            <w:vAlign w:val="center"/>
          </w:tcPr>
          <w:p w14:paraId="35E8E939"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Al 31 de diciembre de</w:t>
            </w:r>
          </w:p>
        </w:tc>
        <w:tc>
          <w:tcPr>
            <w:tcW w:w="825" w:type="dxa"/>
            <w:vMerge w:val="restart"/>
            <w:tcBorders>
              <w:left w:val="nil"/>
              <w:right w:val="nil"/>
            </w:tcBorders>
            <w:shd w:val="clear" w:color="auto" w:fill="auto"/>
            <w:vAlign w:val="center"/>
          </w:tcPr>
          <w:p w14:paraId="4347F22B"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30 de Junio de 2017</w:t>
            </w:r>
          </w:p>
        </w:tc>
        <w:tc>
          <w:tcPr>
            <w:tcW w:w="0" w:type="auto"/>
            <w:vMerge w:val="restart"/>
            <w:tcBorders>
              <w:left w:val="nil"/>
              <w:right w:val="nil"/>
            </w:tcBorders>
            <w:shd w:val="clear" w:color="auto" w:fill="auto"/>
            <w:vAlign w:val="center"/>
          </w:tcPr>
          <w:p w14:paraId="3A2239E2"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Variación</w:t>
            </w:r>
          </w:p>
          <w:p w14:paraId="4E1359E9"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2016/2017</w:t>
            </w:r>
          </w:p>
        </w:tc>
      </w:tr>
      <w:tr w:rsidR="003B5193" w:rsidRPr="00AE4E8D" w14:paraId="4E4FBD99" w14:textId="77777777" w:rsidTr="00E44FC6">
        <w:trPr>
          <w:trHeight w:val="282"/>
          <w:jc w:val="center"/>
        </w:trPr>
        <w:tc>
          <w:tcPr>
            <w:tcW w:w="0" w:type="auto"/>
            <w:tcBorders>
              <w:top w:val="nil"/>
              <w:left w:val="nil"/>
              <w:bottom w:val="nil"/>
              <w:right w:val="nil"/>
            </w:tcBorders>
            <w:shd w:val="clear" w:color="auto" w:fill="auto"/>
            <w:noWrap/>
            <w:vAlign w:val="center"/>
            <w:hideMark/>
          </w:tcPr>
          <w:p w14:paraId="0D74F2DF" w14:textId="77777777" w:rsidR="00E44FC6" w:rsidRPr="00AE4E8D" w:rsidRDefault="00E44FC6" w:rsidP="00180FE4">
            <w:pPr>
              <w:rPr>
                <w:rFonts w:ascii="Times New Roman" w:hAnsi="Times New Roman"/>
                <w:b/>
                <w:color w:val="000000"/>
                <w:sz w:val="18"/>
                <w:u w:val="single"/>
                <w:lang w:val="es-ES"/>
              </w:rPr>
            </w:pPr>
            <w:r w:rsidRPr="00AE4E8D">
              <w:rPr>
                <w:rFonts w:ascii="Times New Roman" w:hAnsi="Times New Roman"/>
                <w:b/>
                <w:color w:val="000000"/>
                <w:sz w:val="18"/>
                <w:u w:val="single"/>
                <w:lang w:val="es-ES"/>
              </w:rPr>
              <w:t>Riesgo de Mercado para posición en títulos valores</w:t>
            </w:r>
          </w:p>
        </w:tc>
        <w:tc>
          <w:tcPr>
            <w:tcW w:w="0" w:type="auto"/>
            <w:tcBorders>
              <w:left w:val="nil"/>
              <w:right w:val="nil"/>
            </w:tcBorders>
            <w:shd w:val="clear" w:color="auto" w:fill="auto"/>
            <w:vAlign w:val="center"/>
          </w:tcPr>
          <w:p w14:paraId="5A9610CE" w14:textId="77777777" w:rsidR="00E44FC6" w:rsidRPr="00AE4E8D" w:rsidRDefault="00E44FC6" w:rsidP="00180FE4">
            <w:pPr>
              <w:jc w:val="center"/>
              <w:rPr>
                <w:rFonts w:ascii="Times New Roman" w:hAnsi="Times New Roman"/>
                <w:b/>
                <w:color w:val="000000"/>
                <w:sz w:val="18"/>
                <w:lang w:val="es-ES"/>
              </w:rPr>
            </w:pPr>
          </w:p>
        </w:tc>
        <w:tc>
          <w:tcPr>
            <w:tcW w:w="776" w:type="dxa"/>
            <w:gridSpan w:val="2"/>
            <w:tcBorders>
              <w:top w:val="single" w:sz="4" w:space="0" w:color="auto"/>
              <w:left w:val="nil"/>
              <w:bottom w:val="single" w:sz="8" w:space="0" w:color="000000"/>
              <w:right w:val="nil"/>
            </w:tcBorders>
            <w:shd w:val="clear" w:color="auto" w:fill="auto"/>
            <w:vAlign w:val="center"/>
            <w:hideMark/>
          </w:tcPr>
          <w:p w14:paraId="4A0F86BA"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2014</w:t>
            </w:r>
          </w:p>
        </w:tc>
        <w:tc>
          <w:tcPr>
            <w:tcW w:w="851" w:type="dxa"/>
            <w:tcBorders>
              <w:top w:val="single" w:sz="4" w:space="0" w:color="auto"/>
              <w:left w:val="nil"/>
              <w:bottom w:val="single" w:sz="8" w:space="0" w:color="000000"/>
              <w:right w:val="nil"/>
            </w:tcBorders>
            <w:shd w:val="clear" w:color="auto" w:fill="auto"/>
            <w:vAlign w:val="center"/>
            <w:hideMark/>
          </w:tcPr>
          <w:p w14:paraId="50B069E2"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2015</w:t>
            </w:r>
          </w:p>
        </w:tc>
        <w:tc>
          <w:tcPr>
            <w:tcW w:w="708" w:type="dxa"/>
            <w:tcBorders>
              <w:top w:val="single" w:sz="4" w:space="0" w:color="auto"/>
              <w:left w:val="nil"/>
              <w:bottom w:val="single" w:sz="8" w:space="0" w:color="000000"/>
              <w:right w:val="nil"/>
            </w:tcBorders>
            <w:shd w:val="clear" w:color="auto" w:fill="auto"/>
            <w:vAlign w:val="center"/>
            <w:hideMark/>
          </w:tcPr>
          <w:p w14:paraId="1ADAD48D"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2016</w:t>
            </w:r>
          </w:p>
        </w:tc>
        <w:tc>
          <w:tcPr>
            <w:tcW w:w="825" w:type="dxa"/>
            <w:vMerge/>
            <w:tcBorders>
              <w:left w:val="nil"/>
              <w:bottom w:val="single" w:sz="8" w:space="0" w:color="000000"/>
              <w:right w:val="nil"/>
            </w:tcBorders>
            <w:shd w:val="clear" w:color="auto" w:fill="auto"/>
            <w:vAlign w:val="center"/>
            <w:hideMark/>
          </w:tcPr>
          <w:p w14:paraId="5818E9B5" w14:textId="77777777" w:rsidR="00E44FC6" w:rsidRPr="00AE4E8D" w:rsidRDefault="00E44FC6" w:rsidP="00180FE4">
            <w:pPr>
              <w:jc w:val="center"/>
              <w:rPr>
                <w:rFonts w:ascii="Times New Roman" w:hAnsi="Times New Roman"/>
                <w:b/>
                <w:color w:val="000000"/>
                <w:sz w:val="18"/>
                <w:lang w:val="es-ES"/>
              </w:rPr>
            </w:pPr>
          </w:p>
        </w:tc>
        <w:tc>
          <w:tcPr>
            <w:tcW w:w="0" w:type="auto"/>
            <w:vMerge/>
            <w:tcBorders>
              <w:left w:val="nil"/>
              <w:bottom w:val="single" w:sz="8" w:space="0" w:color="auto"/>
              <w:right w:val="nil"/>
            </w:tcBorders>
            <w:shd w:val="clear" w:color="auto" w:fill="auto"/>
            <w:vAlign w:val="center"/>
            <w:hideMark/>
          </w:tcPr>
          <w:p w14:paraId="4ECA9F57" w14:textId="77777777" w:rsidR="00E44FC6" w:rsidRPr="00AE4E8D" w:rsidRDefault="00E44FC6" w:rsidP="00180FE4">
            <w:pPr>
              <w:jc w:val="center"/>
              <w:rPr>
                <w:rFonts w:ascii="Times New Roman" w:hAnsi="Times New Roman"/>
                <w:b/>
                <w:color w:val="000000"/>
                <w:sz w:val="18"/>
                <w:lang w:val="es-ES"/>
              </w:rPr>
            </w:pPr>
          </w:p>
        </w:tc>
      </w:tr>
      <w:tr w:rsidR="00E44FC6" w:rsidRPr="00AE4E8D" w14:paraId="52B704C9" w14:textId="77777777" w:rsidTr="000400C8">
        <w:trPr>
          <w:trHeight w:val="288"/>
          <w:jc w:val="center"/>
        </w:trPr>
        <w:tc>
          <w:tcPr>
            <w:tcW w:w="0" w:type="auto"/>
            <w:tcBorders>
              <w:top w:val="nil"/>
              <w:left w:val="nil"/>
              <w:bottom w:val="nil"/>
              <w:right w:val="nil"/>
            </w:tcBorders>
            <w:shd w:val="clear" w:color="auto" w:fill="auto"/>
            <w:vAlign w:val="center"/>
          </w:tcPr>
          <w:p w14:paraId="64296D1F" w14:textId="77777777" w:rsidR="00E44FC6" w:rsidRPr="00AE4E8D" w:rsidRDefault="00E44FC6" w:rsidP="00B82006">
            <w:pPr>
              <w:tabs>
                <w:tab w:val="left" w:leader="dot" w:pos="4205"/>
              </w:tabs>
              <w:rPr>
                <w:rFonts w:ascii="Times New Roman" w:hAnsi="Times New Roman"/>
                <w:color w:val="000000"/>
                <w:sz w:val="18"/>
                <w:lang w:val="es-ES"/>
              </w:rPr>
            </w:pPr>
          </w:p>
        </w:tc>
        <w:tc>
          <w:tcPr>
            <w:tcW w:w="0" w:type="auto"/>
            <w:tcBorders>
              <w:top w:val="nil"/>
              <w:left w:val="nil"/>
              <w:bottom w:val="nil"/>
              <w:right w:val="nil"/>
            </w:tcBorders>
            <w:shd w:val="clear" w:color="auto" w:fill="auto"/>
            <w:vAlign w:val="center"/>
          </w:tcPr>
          <w:p w14:paraId="244C3699" w14:textId="77777777" w:rsidR="00E44FC6" w:rsidRPr="00AE4E8D" w:rsidRDefault="00E44FC6" w:rsidP="00180FE4">
            <w:pPr>
              <w:jc w:val="right"/>
              <w:rPr>
                <w:rFonts w:ascii="Times New Roman" w:hAnsi="Times New Roman"/>
                <w:color w:val="000000"/>
                <w:sz w:val="18"/>
                <w:lang w:val="es-ES"/>
              </w:rPr>
            </w:pPr>
          </w:p>
        </w:tc>
        <w:tc>
          <w:tcPr>
            <w:tcW w:w="4071" w:type="dxa"/>
            <w:gridSpan w:val="6"/>
            <w:tcBorders>
              <w:top w:val="nil"/>
              <w:left w:val="nil"/>
              <w:bottom w:val="nil"/>
              <w:right w:val="nil"/>
            </w:tcBorders>
            <w:shd w:val="clear" w:color="auto" w:fill="auto"/>
            <w:vAlign w:val="center"/>
          </w:tcPr>
          <w:p w14:paraId="1AD75A7C" w14:textId="77777777" w:rsidR="00E44FC6" w:rsidRPr="00AE4E8D" w:rsidRDefault="00E44FC6" w:rsidP="00E44FC6">
            <w:pPr>
              <w:jc w:val="center"/>
              <w:rPr>
                <w:rFonts w:ascii="Times New Roman" w:hAnsi="Times New Roman"/>
                <w:color w:val="000000"/>
                <w:sz w:val="18"/>
                <w:lang w:val="es-ES"/>
              </w:rPr>
            </w:pPr>
            <w:r w:rsidRPr="00AE4E8D">
              <w:rPr>
                <w:rFonts w:ascii="Times New Roman" w:eastAsia="Calibri" w:hAnsi="Times New Roman"/>
                <w:lang w:val="es-ES" w:eastAsia="es-AR"/>
              </w:rPr>
              <w:t>(en millones de pesos)</w:t>
            </w:r>
          </w:p>
        </w:tc>
      </w:tr>
      <w:tr w:rsidR="00E44FC6" w:rsidRPr="00AE4E8D" w14:paraId="2112C6E5" w14:textId="77777777" w:rsidTr="000400C8">
        <w:trPr>
          <w:trHeight w:val="288"/>
          <w:jc w:val="center"/>
        </w:trPr>
        <w:tc>
          <w:tcPr>
            <w:tcW w:w="0" w:type="auto"/>
            <w:tcBorders>
              <w:top w:val="nil"/>
              <w:left w:val="nil"/>
              <w:bottom w:val="nil"/>
              <w:right w:val="nil"/>
            </w:tcBorders>
            <w:shd w:val="clear" w:color="auto" w:fill="auto"/>
            <w:vAlign w:val="center"/>
            <w:hideMark/>
          </w:tcPr>
          <w:p w14:paraId="523F86A2" w14:textId="77777777" w:rsidR="00E44FC6" w:rsidRPr="00AE4E8D" w:rsidRDefault="00E44FC6" w:rsidP="00B82006">
            <w:pPr>
              <w:tabs>
                <w:tab w:val="left" w:leader="dot" w:pos="4205"/>
              </w:tabs>
              <w:rPr>
                <w:rFonts w:ascii="Times New Roman" w:hAnsi="Times New Roman"/>
                <w:color w:val="000000"/>
                <w:sz w:val="18"/>
                <w:lang w:val="es-ES"/>
              </w:rPr>
            </w:pPr>
            <w:r w:rsidRPr="00AE4E8D">
              <w:rPr>
                <w:rFonts w:ascii="Times New Roman" w:hAnsi="Times New Roman"/>
                <w:color w:val="000000"/>
                <w:sz w:val="18"/>
                <w:lang w:val="es-ES"/>
              </w:rPr>
              <w:t>Mínimo</w:t>
            </w:r>
            <w:r w:rsidRPr="00AE4E8D">
              <w:rPr>
                <w:rFonts w:ascii="Times New Roman" w:hAnsi="Times New Roman"/>
                <w:color w:val="000000"/>
                <w:lang w:val="es-ES"/>
              </w:rPr>
              <w:t xml:space="preserve"> </w:t>
            </w:r>
            <w:r w:rsidRPr="00AE4E8D">
              <w:rPr>
                <w:rFonts w:ascii="Times New Roman" w:hAnsi="Times New Roman"/>
                <w:lang w:val="es-ES" w:eastAsia="es-AR"/>
              </w:rPr>
              <w:tab/>
            </w:r>
          </w:p>
        </w:tc>
        <w:tc>
          <w:tcPr>
            <w:tcW w:w="0" w:type="auto"/>
            <w:tcBorders>
              <w:top w:val="nil"/>
              <w:left w:val="nil"/>
              <w:bottom w:val="nil"/>
              <w:right w:val="nil"/>
            </w:tcBorders>
            <w:shd w:val="clear" w:color="auto" w:fill="auto"/>
            <w:vAlign w:val="center"/>
          </w:tcPr>
          <w:p w14:paraId="6A1CD91A" w14:textId="77777777" w:rsidR="00E44FC6" w:rsidRPr="00AE4E8D" w:rsidRDefault="00E44FC6" w:rsidP="00180FE4">
            <w:pPr>
              <w:jc w:val="right"/>
              <w:rPr>
                <w:rFonts w:ascii="Times New Roman" w:hAnsi="Times New Roman"/>
                <w:color w:val="000000"/>
                <w:sz w:val="18"/>
                <w:lang w:val="es-ES"/>
              </w:rPr>
            </w:pPr>
          </w:p>
        </w:tc>
        <w:tc>
          <w:tcPr>
            <w:tcW w:w="776" w:type="dxa"/>
            <w:gridSpan w:val="2"/>
            <w:tcBorders>
              <w:top w:val="nil"/>
              <w:left w:val="nil"/>
              <w:bottom w:val="nil"/>
              <w:right w:val="nil"/>
            </w:tcBorders>
            <w:shd w:val="clear" w:color="auto" w:fill="auto"/>
            <w:vAlign w:val="center"/>
            <w:hideMark/>
          </w:tcPr>
          <w:p w14:paraId="6FC1BBFE"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29,20</w:t>
            </w:r>
          </w:p>
        </w:tc>
        <w:tc>
          <w:tcPr>
            <w:tcW w:w="851" w:type="dxa"/>
            <w:tcBorders>
              <w:top w:val="nil"/>
              <w:left w:val="nil"/>
              <w:bottom w:val="nil"/>
              <w:right w:val="nil"/>
            </w:tcBorders>
            <w:shd w:val="clear" w:color="auto" w:fill="auto"/>
            <w:vAlign w:val="center"/>
            <w:hideMark/>
          </w:tcPr>
          <w:p w14:paraId="765601A5"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31,60</w:t>
            </w:r>
          </w:p>
        </w:tc>
        <w:tc>
          <w:tcPr>
            <w:tcW w:w="708" w:type="dxa"/>
            <w:tcBorders>
              <w:top w:val="nil"/>
              <w:left w:val="nil"/>
              <w:bottom w:val="nil"/>
              <w:right w:val="nil"/>
            </w:tcBorders>
            <w:shd w:val="clear" w:color="auto" w:fill="auto"/>
            <w:vAlign w:val="center"/>
            <w:hideMark/>
          </w:tcPr>
          <w:p w14:paraId="5C8A193E"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46,80</w:t>
            </w:r>
          </w:p>
        </w:tc>
        <w:tc>
          <w:tcPr>
            <w:tcW w:w="825" w:type="dxa"/>
            <w:tcBorders>
              <w:top w:val="nil"/>
              <w:left w:val="nil"/>
              <w:bottom w:val="nil"/>
              <w:right w:val="nil"/>
            </w:tcBorders>
            <w:shd w:val="clear" w:color="auto" w:fill="auto"/>
            <w:vAlign w:val="center"/>
            <w:hideMark/>
          </w:tcPr>
          <w:p w14:paraId="38F73491"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58,07</w:t>
            </w:r>
          </w:p>
        </w:tc>
        <w:tc>
          <w:tcPr>
            <w:tcW w:w="0" w:type="auto"/>
            <w:tcBorders>
              <w:top w:val="nil"/>
              <w:left w:val="nil"/>
              <w:bottom w:val="nil"/>
              <w:right w:val="nil"/>
            </w:tcBorders>
            <w:shd w:val="clear" w:color="auto" w:fill="auto"/>
            <w:vAlign w:val="center"/>
            <w:hideMark/>
          </w:tcPr>
          <w:p w14:paraId="7EA87EBB"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11,27</w:t>
            </w:r>
          </w:p>
        </w:tc>
      </w:tr>
      <w:tr w:rsidR="00E44FC6" w:rsidRPr="00AE4E8D" w14:paraId="6DEE8582" w14:textId="77777777" w:rsidTr="000400C8">
        <w:trPr>
          <w:trHeight w:val="288"/>
          <w:jc w:val="center"/>
        </w:trPr>
        <w:tc>
          <w:tcPr>
            <w:tcW w:w="0" w:type="auto"/>
            <w:tcBorders>
              <w:top w:val="nil"/>
              <w:left w:val="nil"/>
              <w:bottom w:val="nil"/>
              <w:right w:val="nil"/>
            </w:tcBorders>
            <w:shd w:val="clear" w:color="auto" w:fill="auto"/>
            <w:vAlign w:val="center"/>
            <w:hideMark/>
          </w:tcPr>
          <w:p w14:paraId="6864F583" w14:textId="77777777" w:rsidR="00E44FC6" w:rsidRPr="00AE4E8D" w:rsidRDefault="00E44FC6" w:rsidP="00B82006">
            <w:pPr>
              <w:tabs>
                <w:tab w:val="left" w:leader="dot" w:pos="4205"/>
              </w:tabs>
              <w:rPr>
                <w:rFonts w:ascii="Times New Roman" w:hAnsi="Times New Roman"/>
                <w:color w:val="000000"/>
                <w:sz w:val="18"/>
                <w:lang w:val="es-ES"/>
              </w:rPr>
            </w:pPr>
            <w:r w:rsidRPr="00AE4E8D">
              <w:rPr>
                <w:rFonts w:ascii="Times New Roman" w:hAnsi="Times New Roman"/>
                <w:color w:val="000000"/>
                <w:sz w:val="18"/>
                <w:lang w:val="es-ES"/>
              </w:rPr>
              <w:t>Máximo</w:t>
            </w:r>
            <w:r w:rsidRPr="00AE4E8D">
              <w:rPr>
                <w:rFonts w:ascii="Times New Roman" w:hAnsi="Times New Roman"/>
                <w:color w:val="000000"/>
                <w:lang w:val="es-ES"/>
              </w:rPr>
              <w:t xml:space="preserve"> </w:t>
            </w:r>
            <w:r w:rsidRPr="00AE4E8D">
              <w:rPr>
                <w:rFonts w:ascii="Times New Roman" w:hAnsi="Times New Roman"/>
                <w:lang w:val="es-ES" w:eastAsia="es-AR"/>
              </w:rPr>
              <w:tab/>
            </w:r>
          </w:p>
        </w:tc>
        <w:tc>
          <w:tcPr>
            <w:tcW w:w="0" w:type="auto"/>
            <w:tcBorders>
              <w:top w:val="nil"/>
              <w:left w:val="nil"/>
              <w:bottom w:val="nil"/>
              <w:right w:val="nil"/>
            </w:tcBorders>
            <w:shd w:val="clear" w:color="auto" w:fill="auto"/>
            <w:vAlign w:val="center"/>
          </w:tcPr>
          <w:p w14:paraId="042B96E2" w14:textId="77777777" w:rsidR="00E44FC6" w:rsidRPr="00AE4E8D" w:rsidRDefault="00E44FC6" w:rsidP="00180FE4">
            <w:pPr>
              <w:jc w:val="right"/>
              <w:rPr>
                <w:rFonts w:ascii="Times New Roman" w:hAnsi="Times New Roman"/>
                <w:color w:val="000000"/>
                <w:sz w:val="18"/>
                <w:lang w:val="es-ES"/>
              </w:rPr>
            </w:pPr>
          </w:p>
        </w:tc>
        <w:tc>
          <w:tcPr>
            <w:tcW w:w="776" w:type="dxa"/>
            <w:gridSpan w:val="2"/>
            <w:tcBorders>
              <w:top w:val="nil"/>
              <w:left w:val="nil"/>
              <w:bottom w:val="nil"/>
              <w:right w:val="nil"/>
            </w:tcBorders>
            <w:shd w:val="clear" w:color="auto" w:fill="auto"/>
            <w:vAlign w:val="center"/>
            <w:hideMark/>
          </w:tcPr>
          <w:p w14:paraId="17480BFC"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290,80</w:t>
            </w:r>
          </w:p>
        </w:tc>
        <w:tc>
          <w:tcPr>
            <w:tcW w:w="851" w:type="dxa"/>
            <w:tcBorders>
              <w:top w:val="nil"/>
              <w:left w:val="nil"/>
              <w:bottom w:val="nil"/>
              <w:right w:val="nil"/>
            </w:tcBorders>
            <w:shd w:val="clear" w:color="auto" w:fill="auto"/>
            <w:vAlign w:val="center"/>
            <w:hideMark/>
          </w:tcPr>
          <w:p w14:paraId="420078A5"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189,80</w:t>
            </w:r>
          </w:p>
        </w:tc>
        <w:tc>
          <w:tcPr>
            <w:tcW w:w="708" w:type="dxa"/>
            <w:tcBorders>
              <w:top w:val="nil"/>
              <w:left w:val="nil"/>
              <w:bottom w:val="nil"/>
              <w:right w:val="nil"/>
            </w:tcBorders>
            <w:shd w:val="clear" w:color="auto" w:fill="auto"/>
            <w:vAlign w:val="center"/>
            <w:hideMark/>
          </w:tcPr>
          <w:p w14:paraId="27213154"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197,77</w:t>
            </w:r>
          </w:p>
        </w:tc>
        <w:tc>
          <w:tcPr>
            <w:tcW w:w="825" w:type="dxa"/>
            <w:tcBorders>
              <w:top w:val="nil"/>
              <w:left w:val="nil"/>
              <w:bottom w:val="nil"/>
              <w:right w:val="nil"/>
            </w:tcBorders>
            <w:shd w:val="clear" w:color="auto" w:fill="auto"/>
            <w:vAlign w:val="center"/>
            <w:hideMark/>
          </w:tcPr>
          <w:p w14:paraId="3F6E1FC2"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113,94</w:t>
            </w:r>
          </w:p>
        </w:tc>
        <w:tc>
          <w:tcPr>
            <w:tcW w:w="0" w:type="auto"/>
            <w:tcBorders>
              <w:top w:val="nil"/>
              <w:left w:val="nil"/>
              <w:bottom w:val="nil"/>
              <w:right w:val="nil"/>
            </w:tcBorders>
            <w:shd w:val="clear" w:color="auto" w:fill="auto"/>
            <w:vAlign w:val="center"/>
            <w:hideMark/>
          </w:tcPr>
          <w:p w14:paraId="7EC530D0" w14:textId="77777777" w:rsidR="00E44FC6" w:rsidRPr="00AE4E8D" w:rsidRDefault="004F22BE" w:rsidP="00180FE4">
            <w:pPr>
              <w:jc w:val="right"/>
              <w:rPr>
                <w:rFonts w:ascii="Times New Roman" w:hAnsi="Times New Roman"/>
                <w:color w:val="000000"/>
                <w:sz w:val="18"/>
                <w:lang w:val="es-ES"/>
              </w:rPr>
            </w:pPr>
            <w:r w:rsidRPr="00AE4E8D">
              <w:rPr>
                <w:rFonts w:ascii="Times New Roman" w:hAnsi="Times New Roman"/>
                <w:color w:val="000000"/>
                <w:sz w:val="18"/>
                <w:lang w:val="es-ES"/>
              </w:rPr>
              <w:t>(</w:t>
            </w:r>
            <w:r w:rsidR="00E44FC6" w:rsidRPr="00AE4E8D">
              <w:rPr>
                <w:rFonts w:ascii="Times New Roman" w:hAnsi="Times New Roman"/>
                <w:color w:val="000000"/>
                <w:sz w:val="18"/>
                <w:lang w:val="es-ES"/>
              </w:rPr>
              <w:t>83,83</w:t>
            </w:r>
            <w:r w:rsidRPr="00AE4E8D">
              <w:rPr>
                <w:rFonts w:ascii="Times New Roman" w:hAnsi="Times New Roman"/>
                <w:color w:val="000000"/>
                <w:sz w:val="18"/>
                <w:lang w:val="es-ES"/>
              </w:rPr>
              <w:t>)</w:t>
            </w:r>
          </w:p>
        </w:tc>
      </w:tr>
      <w:tr w:rsidR="00E44FC6" w:rsidRPr="00AE4E8D" w14:paraId="4595326A" w14:textId="77777777" w:rsidTr="000400C8">
        <w:trPr>
          <w:trHeight w:val="291"/>
          <w:jc w:val="center"/>
        </w:trPr>
        <w:tc>
          <w:tcPr>
            <w:tcW w:w="0" w:type="auto"/>
            <w:tcBorders>
              <w:top w:val="nil"/>
              <w:left w:val="nil"/>
              <w:bottom w:val="nil"/>
              <w:right w:val="nil"/>
            </w:tcBorders>
            <w:shd w:val="clear" w:color="auto" w:fill="auto"/>
            <w:vAlign w:val="center"/>
            <w:hideMark/>
          </w:tcPr>
          <w:p w14:paraId="7284C66F" w14:textId="77777777" w:rsidR="00E44FC6" w:rsidRPr="00AE4E8D" w:rsidRDefault="00E44FC6" w:rsidP="00B82006">
            <w:pPr>
              <w:tabs>
                <w:tab w:val="left" w:leader="dot" w:pos="4205"/>
              </w:tabs>
              <w:rPr>
                <w:rFonts w:ascii="Times New Roman" w:hAnsi="Times New Roman"/>
                <w:color w:val="000000"/>
                <w:sz w:val="18"/>
                <w:lang w:val="es-ES"/>
              </w:rPr>
            </w:pPr>
            <w:r w:rsidRPr="00AE4E8D">
              <w:rPr>
                <w:rFonts w:ascii="Times New Roman" w:hAnsi="Times New Roman"/>
                <w:color w:val="000000"/>
                <w:sz w:val="18"/>
                <w:lang w:val="es-ES"/>
              </w:rPr>
              <w:t>Promedio</w:t>
            </w:r>
            <w:r w:rsidRPr="00AE4E8D">
              <w:rPr>
                <w:rFonts w:ascii="Times New Roman" w:hAnsi="Times New Roman"/>
                <w:color w:val="000000"/>
                <w:lang w:val="es-ES"/>
              </w:rPr>
              <w:t xml:space="preserve"> </w:t>
            </w:r>
            <w:r w:rsidRPr="00AE4E8D">
              <w:rPr>
                <w:rFonts w:ascii="Times New Roman" w:hAnsi="Times New Roman"/>
                <w:lang w:val="es-ES" w:eastAsia="es-AR"/>
              </w:rPr>
              <w:tab/>
            </w:r>
          </w:p>
        </w:tc>
        <w:tc>
          <w:tcPr>
            <w:tcW w:w="0" w:type="auto"/>
            <w:tcBorders>
              <w:top w:val="nil"/>
              <w:left w:val="nil"/>
              <w:bottom w:val="nil"/>
              <w:right w:val="nil"/>
            </w:tcBorders>
            <w:shd w:val="clear" w:color="auto" w:fill="auto"/>
            <w:vAlign w:val="center"/>
          </w:tcPr>
          <w:p w14:paraId="6ABD740D" w14:textId="77777777" w:rsidR="00E44FC6" w:rsidRPr="00AE4E8D" w:rsidRDefault="00E44FC6" w:rsidP="00180FE4">
            <w:pPr>
              <w:jc w:val="right"/>
              <w:rPr>
                <w:rFonts w:ascii="Times New Roman" w:hAnsi="Times New Roman"/>
                <w:color w:val="000000"/>
                <w:sz w:val="18"/>
                <w:lang w:val="es-ES"/>
              </w:rPr>
            </w:pPr>
          </w:p>
        </w:tc>
        <w:tc>
          <w:tcPr>
            <w:tcW w:w="776" w:type="dxa"/>
            <w:gridSpan w:val="2"/>
            <w:tcBorders>
              <w:top w:val="nil"/>
              <w:left w:val="nil"/>
              <w:bottom w:val="nil"/>
              <w:right w:val="nil"/>
            </w:tcBorders>
            <w:shd w:val="clear" w:color="auto" w:fill="auto"/>
            <w:vAlign w:val="center"/>
            <w:hideMark/>
          </w:tcPr>
          <w:p w14:paraId="011A0DF0"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92,50</w:t>
            </w:r>
          </w:p>
        </w:tc>
        <w:tc>
          <w:tcPr>
            <w:tcW w:w="851" w:type="dxa"/>
            <w:tcBorders>
              <w:top w:val="nil"/>
              <w:left w:val="nil"/>
              <w:bottom w:val="nil"/>
              <w:right w:val="nil"/>
            </w:tcBorders>
            <w:shd w:val="clear" w:color="auto" w:fill="auto"/>
            <w:vAlign w:val="center"/>
            <w:hideMark/>
          </w:tcPr>
          <w:p w14:paraId="5F956349"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84,10</w:t>
            </w:r>
          </w:p>
        </w:tc>
        <w:tc>
          <w:tcPr>
            <w:tcW w:w="708" w:type="dxa"/>
            <w:tcBorders>
              <w:top w:val="nil"/>
              <w:left w:val="nil"/>
              <w:bottom w:val="nil"/>
              <w:right w:val="nil"/>
            </w:tcBorders>
            <w:shd w:val="clear" w:color="auto" w:fill="auto"/>
            <w:vAlign w:val="center"/>
            <w:hideMark/>
          </w:tcPr>
          <w:p w14:paraId="010EE315"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131,21</w:t>
            </w:r>
          </w:p>
        </w:tc>
        <w:tc>
          <w:tcPr>
            <w:tcW w:w="825" w:type="dxa"/>
            <w:tcBorders>
              <w:top w:val="nil"/>
              <w:left w:val="nil"/>
              <w:bottom w:val="nil"/>
              <w:right w:val="nil"/>
            </w:tcBorders>
            <w:shd w:val="clear" w:color="auto" w:fill="auto"/>
            <w:vAlign w:val="center"/>
            <w:hideMark/>
          </w:tcPr>
          <w:p w14:paraId="332A495D"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82,47</w:t>
            </w:r>
          </w:p>
        </w:tc>
        <w:tc>
          <w:tcPr>
            <w:tcW w:w="0" w:type="auto"/>
            <w:tcBorders>
              <w:top w:val="nil"/>
              <w:left w:val="nil"/>
              <w:bottom w:val="nil"/>
              <w:right w:val="nil"/>
            </w:tcBorders>
            <w:shd w:val="clear" w:color="auto" w:fill="auto"/>
            <w:vAlign w:val="center"/>
            <w:hideMark/>
          </w:tcPr>
          <w:p w14:paraId="784D391E" w14:textId="77777777" w:rsidR="00E44FC6" w:rsidRPr="00AE4E8D" w:rsidRDefault="004F22BE" w:rsidP="00180FE4">
            <w:pPr>
              <w:jc w:val="right"/>
              <w:rPr>
                <w:rFonts w:ascii="Times New Roman" w:hAnsi="Times New Roman"/>
                <w:color w:val="000000"/>
                <w:sz w:val="18"/>
                <w:lang w:val="es-ES"/>
              </w:rPr>
            </w:pPr>
            <w:r w:rsidRPr="00AE4E8D">
              <w:rPr>
                <w:rFonts w:ascii="Times New Roman" w:hAnsi="Times New Roman"/>
                <w:color w:val="000000"/>
                <w:sz w:val="18"/>
                <w:lang w:val="es-ES"/>
              </w:rPr>
              <w:t>(</w:t>
            </w:r>
            <w:r w:rsidR="00E44FC6" w:rsidRPr="00AE4E8D">
              <w:rPr>
                <w:rFonts w:ascii="Times New Roman" w:hAnsi="Times New Roman"/>
                <w:color w:val="000000"/>
                <w:sz w:val="18"/>
                <w:lang w:val="es-ES"/>
              </w:rPr>
              <w:t>48,74</w:t>
            </w:r>
            <w:r w:rsidRPr="00AE4E8D">
              <w:rPr>
                <w:rFonts w:ascii="Times New Roman" w:hAnsi="Times New Roman"/>
                <w:color w:val="000000"/>
                <w:sz w:val="18"/>
                <w:lang w:val="es-ES"/>
              </w:rPr>
              <w:t>)</w:t>
            </w:r>
          </w:p>
        </w:tc>
      </w:tr>
      <w:tr w:rsidR="00E44FC6" w:rsidRPr="00AE4E8D" w14:paraId="644DC9B5" w14:textId="77777777" w:rsidTr="000400C8">
        <w:trPr>
          <w:trHeight w:val="288"/>
          <w:jc w:val="center"/>
        </w:trPr>
        <w:tc>
          <w:tcPr>
            <w:tcW w:w="0" w:type="auto"/>
            <w:tcBorders>
              <w:top w:val="nil"/>
              <w:left w:val="nil"/>
              <w:bottom w:val="nil"/>
              <w:right w:val="nil"/>
            </w:tcBorders>
            <w:shd w:val="clear" w:color="auto" w:fill="auto"/>
            <w:vAlign w:val="center"/>
            <w:hideMark/>
          </w:tcPr>
          <w:p w14:paraId="07BBEE25" w14:textId="77777777" w:rsidR="00E44FC6" w:rsidRPr="00AE4E8D" w:rsidRDefault="00E44FC6" w:rsidP="00010F6B">
            <w:pPr>
              <w:tabs>
                <w:tab w:val="left" w:leader="dot" w:pos="4205"/>
              </w:tabs>
              <w:rPr>
                <w:rFonts w:ascii="Times New Roman" w:hAnsi="Times New Roman"/>
                <w:color w:val="000000"/>
                <w:sz w:val="18"/>
                <w:lang w:val="es-ES"/>
              </w:rPr>
            </w:pPr>
            <w:r w:rsidRPr="00AE4E8D">
              <w:rPr>
                <w:rFonts w:ascii="Times New Roman" w:hAnsi="Times New Roman"/>
                <w:color w:val="000000"/>
                <w:sz w:val="18"/>
                <w:lang w:val="es-ES"/>
              </w:rPr>
              <w:t>Al final del período</w:t>
            </w:r>
            <w:r w:rsidRPr="00AE4E8D">
              <w:rPr>
                <w:rFonts w:ascii="Times New Roman" w:hAnsi="Times New Roman"/>
                <w:color w:val="000000"/>
                <w:lang w:val="es-ES"/>
              </w:rPr>
              <w:t xml:space="preserve"> </w:t>
            </w:r>
            <w:r w:rsidRPr="00AE4E8D">
              <w:rPr>
                <w:rFonts w:ascii="Times New Roman" w:hAnsi="Times New Roman"/>
                <w:lang w:val="es-ES" w:eastAsia="es-AR"/>
              </w:rPr>
              <w:tab/>
            </w:r>
          </w:p>
        </w:tc>
        <w:tc>
          <w:tcPr>
            <w:tcW w:w="0" w:type="auto"/>
            <w:tcBorders>
              <w:top w:val="nil"/>
              <w:left w:val="nil"/>
              <w:bottom w:val="nil"/>
              <w:right w:val="nil"/>
            </w:tcBorders>
            <w:shd w:val="clear" w:color="auto" w:fill="auto"/>
            <w:vAlign w:val="center"/>
          </w:tcPr>
          <w:p w14:paraId="4FABA88E" w14:textId="77777777" w:rsidR="00E44FC6" w:rsidRPr="00AE4E8D" w:rsidRDefault="00E44FC6" w:rsidP="00180FE4">
            <w:pPr>
              <w:jc w:val="right"/>
              <w:rPr>
                <w:rFonts w:ascii="Times New Roman" w:hAnsi="Times New Roman"/>
                <w:color w:val="000000"/>
                <w:sz w:val="18"/>
                <w:lang w:val="es-ES"/>
              </w:rPr>
            </w:pPr>
          </w:p>
        </w:tc>
        <w:tc>
          <w:tcPr>
            <w:tcW w:w="776" w:type="dxa"/>
            <w:gridSpan w:val="2"/>
            <w:tcBorders>
              <w:top w:val="nil"/>
              <w:left w:val="nil"/>
              <w:bottom w:val="nil"/>
              <w:right w:val="nil"/>
            </w:tcBorders>
            <w:shd w:val="clear" w:color="auto" w:fill="auto"/>
            <w:vAlign w:val="center"/>
            <w:hideMark/>
          </w:tcPr>
          <w:p w14:paraId="076E2263"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111,70</w:t>
            </w:r>
          </w:p>
        </w:tc>
        <w:tc>
          <w:tcPr>
            <w:tcW w:w="851" w:type="dxa"/>
            <w:tcBorders>
              <w:top w:val="nil"/>
              <w:left w:val="nil"/>
              <w:bottom w:val="nil"/>
              <w:right w:val="nil"/>
            </w:tcBorders>
            <w:shd w:val="clear" w:color="auto" w:fill="auto"/>
            <w:vAlign w:val="center"/>
            <w:hideMark/>
          </w:tcPr>
          <w:p w14:paraId="2729D86E"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112,10</w:t>
            </w:r>
          </w:p>
        </w:tc>
        <w:tc>
          <w:tcPr>
            <w:tcW w:w="708" w:type="dxa"/>
            <w:tcBorders>
              <w:top w:val="nil"/>
              <w:left w:val="nil"/>
              <w:bottom w:val="nil"/>
              <w:right w:val="nil"/>
            </w:tcBorders>
            <w:shd w:val="clear" w:color="auto" w:fill="auto"/>
            <w:vAlign w:val="center"/>
            <w:hideMark/>
          </w:tcPr>
          <w:p w14:paraId="0B60AABD"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46,80</w:t>
            </w:r>
          </w:p>
        </w:tc>
        <w:tc>
          <w:tcPr>
            <w:tcW w:w="825" w:type="dxa"/>
            <w:tcBorders>
              <w:top w:val="nil"/>
              <w:left w:val="nil"/>
              <w:bottom w:val="nil"/>
              <w:right w:val="nil"/>
            </w:tcBorders>
            <w:shd w:val="clear" w:color="auto" w:fill="auto"/>
            <w:vAlign w:val="center"/>
            <w:hideMark/>
          </w:tcPr>
          <w:p w14:paraId="1682BFAC"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102,64</w:t>
            </w:r>
          </w:p>
        </w:tc>
        <w:tc>
          <w:tcPr>
            <w:tcW w:w="0" w:type="auto"/>
            <w:tcBorders>
              <w:top w:val="nil"/>
              <w:left w:val="nil"/>
              <w:bottom w:val="nil"/>
              <w:right w:val="nil"/>
            </w:tcBorders>
            <w:shd w:val="clear" w:color="auto" w:fill="auto"/>
            <w:vAlign w:val="center"/>
            <w:hideMark/>
          </w:tcPr>
          <w:p w14:paraId="30FFE700"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55,84</w:t>
            </w:r>
          </w:p>
        </w:tc>
      </w:tr>
      <w:tr w:rsidR="00E44FC6" w:rsidRPr="00AE4E8D" w14:paraId="485E5093" w14:textId="77777777" w:rsidTr="000400C8">
        <w:trPr>
          <w:trHeight w:val="300"/>
          <w:jc w:val="center"/>
        </w:trPr>
        <w:tc>
          <w:tcPr>
            <w:tcW w:w="0" w:type="auto"/>
            <w:tcBorders>
              <w:top w:val="nil"/>
              <w:left w:val="nil"/>
              <w:bottom w:val="nil"/>
              <w:right w:val="nil"/>
            </w:tcBorders>
            <w:shd w:val="clear" w:color="auto" w:fill="auto"/>
            <w:noWrap/>
            <w:vAlign w:val="bottom"/>
            <w:hideMark/>
          </w:tcPr>
          <w:p w14:paraId="17401560" w14:textId="77777777" w:rsidR="00E44FC6" w:rsidRPr="00AE4E8D" w:rsidRDefault="00E44FC6" w:rsidP="00180FE4">
            <w:pPr>
              <w:rPr>
                <w:rFonts w:ascii="Times New Roman" w:hAnsi="Times New Roman"/>
                <w:color w:val="000000"/>
                <w:sz w:val="22"/>
                <w:lang w:val="es-ES"/>
              </w:rPr>
            </w:pPr>
          </w:p>
        </w:tc>
        <w:tc>
          <w:tcPr>
            <w:tcW w:w="0" w:type="auto"/>
            <w:tcBorders>
              <w:top w:val="nil"/>
              <w:left w:val="nil"/>
              <w:right w:val="nil"/>
            </w:tcBorders>
            <w:shd w:val="clear" w:color="auto" w:fill="auto"/>
            <w:noWrap/>
            <w:vAlign w:val="bottom"/>
            <w:hideMark/>
          </w:tcPr>
          <w:p w14:paraId="1080B794" w14:textId="77777777" w:rsidR="00E44FC6" w:rsidRPr="00AE4E8D" w:rsidRDefault="00E44FC6" w:rsidP="00180FE4">
            <w:pPr>
              <w:rPr>
                <w:rFonts w:ascii="Times New Roman" w:hAnsi="Times New Roman"/>
                <w:color w:val="000000"/>
                <w:sz w:val="22"/>
                <w:lang w:val="es-ES"/>
              </w:rPr>
            </w:pPr>
          </w:p>
        </w:tc>
        <w:tc>
          <w:tcPr>
            <w:tcW w:w="776" w:type="dxa"/>
            <w:gridSpan w:val="2"/>
            <w:tcBorders>
              <w:top w:val="nil"/>
              <w:left w:val="nil"/>
              <w:right w:val="nil"/>
            </w:tcBorders>
            <w:shd w:val="clear" w:color="auto" w:fill="auto"/>
            <w:noWrap/>
            <w:vAlign w:val="bottom"/>
            <w:hideMark/>
          </w:tcPr>
          <w:p w14:paraId="350F68FB" w14:textId="77777777" w:rsidR="00E44FC6" w:rsidRPr="00AE4E8D" w:rsidRDefault="00E44FC6" w:rsidP="00180FE4">
            <w:pPr>
              <w:rPr>
                <w:rFonts w:ascii="Times New Roman" w:hAnsi="Times New Roman"/>
                <w:color w:val="000000"/>
                <w:sz w:val="22"/>
                <w:lang w:val="es-ES"/>
              </w:rPr>
            </w:pPr>
          </w:p>
        </w:tc>
        <w:tc>
          <w:tcPr>
            <w:tcW w:w="851" w:type="dxa"/>
            <w:tcBorders>
              <w:top w:val="nil"/>
              <w:left w:val="nil"/>
              <w:right w:val="nil"/>
            </w:tcBorders>
            <w:shd w:val="clear" w:color="auto" w:fill="auto"/>
            <w:noWrap/>
            <w:vAlign w:val="bottom"/>
            <w:hideMark/>
          </w:tcPr>
          <w:p w14:paraId="2B3B3236" w14:textId="77777777" w:rsidR="00E44FC6" w:rsidRPr="00AE4E8D" w:rsidRDefault="00E44FC6" w:rsidP="00180FE4">
            <w:pPr>
              <w:rPr>
                <w:rFonts w:ascii="Times New Roman" w:hAnsi="Times New Roman"/>
                <w:color w:val="000000"/>
                <w:sz w:val="22"/>
                <w:lang w:val="es-ES"/>
              </w:rPr>
            </w:pPr>
          </w:p>
        </w:tc>
        <w:tc>
          <w:tcPr>
            <w:tcW w:w="708" w:type="dxa"/>
            <w:tcBorders>
              <w:top w:val="nil"/>
              <w:left w:val="nil"/>
              <w:right w:val="nil"/>
            </w:tcBorders>
            <w:shd w:val="clear" w:color="auto" w:fill="auto"/>
            <w:vAlign w:val="center"/>
            <w:hideMark/>
          </w:tcPr>
          <w:p w14:paraId="190210F8" w14:textId="77777777" w:rsidR="00E44FC6" w:rsidRPr="00AE4E8D" w:rsidRDefault="00E44FC6" w:rsidP="00180FE4">
            <w:pPr>
              <w:jc w:val="center"/>
              <w:rPr>
                <w:rFonts w:ascii="Times New Roman" w:hAnsi="Times New Roman"/>
                <w:color w:val="000000"/>
                <w:sz w:val="22"/>
                <w:lang w:val="es-ES"/>
              </w:rPr>
            </w:pPr>
          </w:p>
        </w:tc>
        <w:tc>
          <w:tcPr>
            <w:tcW w:w="825" w:type="dxa"/>
            <w:tcBorders>
              <w:top w:val="nil"/>
              <w:left w:val="nil"/>
              <w:right w:val="nil"/>
            </w:tcBorders>
            <w:shd w:val="clear" w:color="auto" w:fill="auto"/>
            <w:vAlign w:val="center"/>
            <w:hideMark/>
          </w:tcPr>
          <w:p w14:paraId="7F51BB47" w14:textId="77777777" w:rsidR="00E44FC6" w:rsidRPr="00AE4E8D" w:rsidRDefault="00E44FC6" w:rsidP="00180FE4">
            <w:pPr>
              <w:jc w:val="center"/>
              <w:rPr>
                <w:rFonts w:ascii="Times New Roman" w:hAnsi="Times New Roman"/>
                <w:color w:val="000000"/>
                <w:sz w:val="22"/>
                <w:lang w:val="es-ES"/>
              </w:rPr>
            </w:pPr>
          </w:p>
        </w:tc>
        <w:tc>
          <w:tcPr>
            <w:tcW w:w="0" w:type="auto"/>
            <w:tcBorders>
              <w:top w:val="nil"/>
              <w:left w:val="nil"/>
              <w:right w:val="nil"/>
            </w:tcBorders>
            <w:shd w:val="clear" w:color="auto" w:fill="auto"/>
            <w:noWrap/>
            <w:vAlign w:val="bottom"/>
            <w:hideMark/>
          </w:tcPr>
          <w:p w14:paraId="7D8A940A" w14:textId="77777777" w:rsidR="00E44FC6" w:rsidRPr="00AE4E8D" w:rsidRDefault="00E44FC6" w:rsidP="00180FE4">
            <w:pPr>
              <w:rPr>
                <w:rFonts w:ascii="Times New Roman" w:hAnsi="Times New Roman"/>
                <w:color w:val="000000"/>
                <w:sz w:val="22"/>
                <w:lang w:val="es-ES"/>
              </w:rPr>
            </w:pPr>
          </w:p>
        </w:tc>
      </w:tr>
      <w:tr w:rsidR="00E44FC6" w:rsidRPr="00AE4E8D" w14:paraId="41A547D4" w14:textId="77777777" w:rsidTr="000400C8">
        <w:trPr>
          <w:trHeight w:val="300"/>
          <w:jc w:val="center"/>
        </w:trPr>
        <w:tc>
          <w:tcPr>
            <w:tcW w:w="0" w:type="auto"/>
            <w:tcBorders>
              <w:top w:val="nil"/>
              <w:left w:val="nil"/>
              <w:bottom w:val="nil"/>
              <w:right w:val="nil"/>
            </w:tcBorders>
            <w:shd w:val="clear" w:color="auto" w:fill="auto"/>
            <w:noWrap/>
            <w:vAlign w:val="center"/>
          </w:tcPr>
          <w:p w14:paraId="6545E480" w14:textId="77777777" w:rsidR="00E44FC6" w:rsidRPr="00AE4E8D" w:rsidRDefault="00E44FC6" w:rsidP="00180FE4">
            <w:pPr>
              <w:rPr>
                <w:rFonts w:ascii="Times New Roman" w:hAnsi="Times New Roman"/>
                <w:b/>
                <w:color w:val="000000"/>
                <w:sz w:val="18"/>
                <w:u w:val="single"/>
                <w:lang w:val="es-ES"/>
              </w:rPr>
            </w:pPr>
          </w:p>
        </w:tc>
        <w:tc>
          <w:tcPr>
            <w:tcW w:w="194" w:type="dxa"/>
            <w:gridSpan w:val="2"/>
            <w:tcBorders>
              <w:left w:val="nil"/>
              <w:right w:val="nil"/>
            </w:tcBorders>
            <w:shd w:val="clear" w:color="auto" w:fill="auto"/>
            <w:vAlign w:val="center"/>
          </w:tcPr>
          <w:p w14:paraId="455BFF2E" w14:textId="77777777" w:rsidR="00E44FC6" w:rsidRPr="00AE4E8D" w:rsidRDefault="00E44FC6" w:rsidP="00180FE4">
            <w:pPr>
              <w:jc w:val="center"/>
              <w:rPr>
                <w:rFonts w:ascii="Times New Roman" w:hAnsi="Times New Roman"/>
                <w:b/>
                <w:color w:val="000000"/>
                <w:sz w:val="18"/>
                <w:lang w:val="es-ES"/>
              </w:rPr>
            </w:pPr>
          </w:p>
        </w:tc>
        <w:tc>
          <w:tcPr>
            <w:tcW w:w="2300" w:type="dxa"/>
            <w:gridSpan w:val="3"/>
            <w:tcBorders>
              <w:left w:val="nil"/>
              <w:bottom w:val="single" w:sz="4" w:space="0" w:color="auto"/>
              <w:right w:val="nil"/>
            </w:tcBorders>
            <w:shd w:val="clear" w:color="auto" w:fill="auto"/>
            <w:vAlign w:val="center"/>
          </w:tcPr>
          <w:p w14:paraId="75596B23"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Al 31 de diciembre de</w:t>
            </w:r>
          </w:p>
        </w:tc>
        <w:tc>
          <w:tcPr>
            <w:tcW w:w="825" w:type="dxa"/>
            <w:vMerge w:val="restart"/>
            <w:tcBorders>
              <w:left w:val="nil"/>
              <w:right w:val="nil"/>
            </w:tcBorders>
            <w:shd w:val="clear" w:color="auto" w:fill="auto"/>
            <w:vAlign w:val="center"/>
          </w:tcPr>
          <w:p w14:paraId="02701F58"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30 de Junio de 2017</w:t>
            </w:r>
          </w:p>
        </w:tc>
        <w:tc>
          <w:tcPr>
            <w:tcW w:w="0" w:type="auto"/>
            <w:vMerge w:val="restart"/>
            <w:tcBorders>
              <w:left w:val="nil"/>
              <w:bottom w:val="single" w:sz="4" w:space="0" w:color="auto"/>
              <w:right w:val="nil"/>
            </w:tcBorders>
            <w:shd w:val="clear" w:color="auto" w:fill="auto"/>
            <w:vAlign w:val="center"/>
          </w:tcPr>
          <w:p w14:paraId="226F2FBD"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 xml:space="preserve">Variación </w:t>
            </w:r>
          </w:p>
          <w:p w14:paraId="1E87250E"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2016/2017</w:t>
            </w:r>
          </w:p>
        </w:tc>
      </w:tr>
      <w:tr w:rsidR="003B5193" w:rsidRPr="00AE4E8D" w14:paraId="1B19DC54" w14:textId="77777777" w:rsidTr="00E44FC6">
        <w:trPr>
          <w:trHeight w:val="320"/>
          <w:jc w:val="center"/>
        </w:trPr>
        <w:tc>
          <w:tcPr>
            <w:tcW w:w="0" w:type="auto"/>
            <w:tcBorders>
              <w:top w:val="nil"/>
              <w:left w:val="nil"/>
              <w:bottom w:val="nil"/>
              <w:right w:val="nil"/>
            </w:tcBorders>
            <w:shd w:val="clear" w:color="auto" w:fill="auto"/>
            <w:noWrap/>
            <w:vAlign w:val="center"/>
            <w:hideMark/>
          </w:tcPr>
          <w:p w14:paraId="7CC15D43" w14:textId="77777777" w:rsidR="00E44FC6" w:rsidRPr="00AE4E8D" w:rsidRDefault="00E44FC6" w:rsidP="00180FE4">
            <w:pPr>
              <w:rPr>
                <w:rFonts w:ascii="Times New Roman" w:hAnsi="Times New Roman"/>
                <w:b/>
                <w:color w:val="000000"/>
                <w:sz w:val="18"/>
                <w:u w:val="single"/>
                <w:lang w:val="es-ES"/>
              </w:rPr>
            </w:pPr>
            <w:r w:rsidRPr="00AE4E8D">
              <w:rPr>
                <w:rFonts w:ascii="Times New Roman" w:hAnsi="Times New Roman"/>
                <w:b/>
                <w:color w:val="000000"/>
                <w:sz w:val="18"/>
                <w:u w:val="single"/>
                <w:lang w:val="es-ES"/>
              </w:rPr>
              <w:t>Riesgo de moneda para posición en moneda extranjera</w:t>
            </w:r>
          </w:p>
        </w:tc>
        <w:tc>
          <w:tcPr>
            <w:tcW w:w="0" w:type="auto"/>
            <w:tcBorders>
              <w:left w:val="nil"/>
              <w:right w:val="nil"/>
            </w:tcBorders>
            <w:shd w:val="clear" w:color="auto" w:fill="auto"/>
            <w:vAlign w:val="center"/>
          </w:tcPr>
          <w:p w14:paraId="2123DDF6" w14:textId="77777777" w:rsidR="00E44FC6" w:rsidRPr="00AE4E8D" w:rsidRDefault="00E44FC6" w:rsidP="00180FE4">
            <w:pPr>
              <w:jc w:val="center"/>
              <w:rPr>
                <w:rFonts w:ascii="Times New Roman" w:hAnsi="Times New Roman"/>
                <w:b/>
                <w:color w:val="000000"/>
                <w:sz w:val="18"/>
                <w:lang w:val="es-ES"/>
              </w:rPr>
            </w:pPr>
          </w:p>
        </w:tc>
        <w:tc>
          <w:tcPr>
            <w:tcW w:w="776" w:type="dxa"/>
            <w:gridSpan w:val="2"/>
            <w:tcBorders>
              <w:top w:val="single" w:sz="4" w:space="0" w:color="auto"/>
              <w:left w:val="nil"/>
              <w:bottom w:val="single" w:sz="8" w:space="0" w:color="000000"/>
              <w:right w:val="nil"/>
            </w:tcBorders>
            <w:shd w:val="clear" w:color="auto" w:fill="auto"/>
            <w:vAlign w:val="center"/>
            <w:hideMark/>
          </w:tcPr>
          <w:p w14:paraId="7806DB57"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2014</w:t>
            </w:r>
          </w:p>
        </w:tc>
        <w:tc>
          <w:tcPr>
            <w:tcW w:w="851" w:type="dxa"/>
            <w:tcBorders>
              <w:top w:val="single" w:sz="4" w:space="0" w:color="auto"/>
              <w:left w:val="nil"/>
              <w:bottom w:val="single" w:sz="8" w:space="0" w:color="000000"/>
              <w:right w:val="nil"/>
            </w:tcBorders>
            <w:shd w:val="clear" w:color="auto" w:fill="auto"/>
            <w:vAlign w:val="center"/>
            <w:hideMark/>
          </w:tcPr>
          <w:p w14:paraId="3A19828E"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2015</w:t>
            </w:r>
          </w:p>
        </w:tc>
        <w:tc>
          <w:tcPr>
            <w:tcW w:w="708" w:type="dxa"/>
            <w:tcBorders>
              <w:top w:val="single" w:sz="4" w:space="0" w:color="auto"/>
              <w:left w:val="nil"/>
              <w:bottom w:val="single" w:sz="8" w:space="0" w:color="000000"/>
              <w:right w:val="nil"/>
            </w:tcBorders>
            <w:shd w:val="clear" w:color="auto" w:fill="auto"/>
            <w:vAlign w:val="center"/>
            <w:hideMark/>
          </w:tcPr>
          <w:p w14:paraId="7FB2556D"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2016</w:t>
            </w:r>
          </w:p>
        </w:tc>
        <w:tc>
          <w:tcPr>
            <w:tcW w:w="825" w:type="dxa"/>
            <w:vMerge/>
            <w:tcBorders>
              <w:left w:val="nil"/>
              <w:bottom w:val="single" w:sz="8" w:space="0" w:color="000000"/>
              <w:right w:val="nil"/>
            </w:tcBorders>
            <w:shd w:val="clear" w:color="auto" w:fill="auto"/>
            <w:vAlign w:val="center"/>
            <w:hideMark/>
          </w:tcPr>
          <w:p w14:paraId="7784409D" w14:textId="77777777" w:rsidR="00E44FC6" w:rsidRPr="00AE4E8D" w:rsidRDefault="00E44FC6" w:rsidP="00180FE4">
            <w:pPr>
              <w:jc w:val="center"/>
              <w:rPr>
                <w:rFonts w:ascii="Times New Roman" w:hAnsi="Times New Roman"/>
                <w:b/>
                <w:color w:val="000000"/>
                <w:sz w:val="18"/>
                <w:lang w:val="es-ES"/>
              </w:rPr>
            </w:pPr>
          </w:p>
        </w:tc>
        <w:tc>
          <w:tcPr>
            <w:tcW w:w="0" w:type="auto"/>
            <w:vMerge/>
            <w:tcBorders>
              <w:left w:val="nil"/>
              <w:bottom w:val="single" w:sz="4" w:space="0" w:color="auto"/>
              <w:right w:val="nil"/>
            </w:tcBorders>
            <w:shd w:val="clear" w:color="auto" w:fill="auto"/>
            <w:vAlign w:val="center"/>
            <w:hideMark/>
          </w:tcPr>
          <w:p w14:paraId="27AFB75B" w14:textId="77777777" w:rsidR="00E44FC6" w:rsidRPr="00AE4E8D" w:rsidRDefault="00E44FC6" w:rsidP="00180FE4">
            <w:pPr>
              <w:jc w:val="center"/>
              <w:rPr>
                <w:rFonts w:ascii="Times New Roman" w:hAnsi="Times New Roman"/>
                <w:b/>
                <w:color w:val="000000"/>
                <w:sz w:val="18"/>
                <w:lang w:val="es-ES"/>
              </w:rPr>
            </w:pPr>
          </w:p>
        </w:tc>
      </w:tr>
      <w:tr w:rsidR="00E44FC6" w:rsidRPr="00AE4E8D" w14:paraId="2BCFA3AF" w14:textId="77777777" w:rsidTr="000400C8">
        <w:trPr>
          <w:trHeight w:val="288"/>
          <w:jc w:val="center"/>
        </w:trPr>
        <w:tc>
          <w:tcPr>
            <w:tcW w:w="0" w:type="auto"/>
            <w:tcBorders>
              <w:top w:val="nil"/>
              <w:left w:val="nil"/>
              <w:bottom w:val="nil"/>
              <w:right w:val="nil"/>
            </w:tcBorders>
            <w:shd w:val="clear" w:color="auto" w:fill="auto"/>
            <w:vAlign w:val="center"/>
          </w:tcPr>
          <w:p w14:paraId="4A2633D1" w14:textId="77777777" w:rsidR="00E44FC6" w:rsidRPr="00AE4E8D" w:rsidRDefault="00E44FC6" w:rsidP="00B82006">
            <w:pPr>
              <w:tabs>
                <w:tab w:val="left" w:leader="dot" w:pos="4205"/>
              </w:tabs>
              <w:rPr>
                <w:rFonts w:ascii="Times New Roman" w:hAnsi="Times New Roman"/>
                <w:color w:val="000000"/>
                <w:sz w:val="18"/>
                <w:lang w:val="es-ES"/>
              </w:rPr>
            </w:pPr>
          </w:p>
        </w:tc>
        <w:tc>
          <w:tcPr>
            <w:tcW w:w="0" w:type="auto"/>
            <w:tcBorders>
              <w:top w:val="nil"/>
              <w:left w:val="nil"/>
              <w:bottom w:val="nil"/>
              <w:right w:val="nil"/>
            </w:tcBorders>
            <w:shd w:val="clear" w:color="auto" w:fill="auto"/>
            <w:vAlign w:val="center"/>
          </w:tcPr>
          <w:p w14:paraId="369EC6B2" w14:textId="77777777" w:rsidR="00E44FC6" w:rsidRPr="00AE4E8D" w:rsidRDefault="00E44FC6" w:rsidP="00180FE4">
            <w:pPr>
              <w:jc w:val="right"/>
              <w:rPr>
                <w:rFonts w:ascii="Times New Roman" w:hAnsi="Times New Roman"/>
                <w:color w:val="000000"/>
                <w:sz w:val="18"/>
                <w:lang w:val="es-ES"/>
              </w:rPr>
            </w:pPr>
          </w:p>
        </w:tc>
        <w:tc>
          <w:tcPr>
            <w:tcW w:w="4071" w:type="dxa"/>
            <w:gridSpan w:val="6"/>
            <w:tcBorders>
              <w:top w:val="nil"/>
              <w:left w:val="nil"/>
              <w:bottom w:val="nil"/>
              <w:right w:val="nil"/>
            </w:tcBorders>
            <w:shd w:val="clear" w:color="auto" w:fill="auto"/>
            <w:vAlign w:val="center"/>
          </w:tcPr>
          <w:p w14:paraId="0439787A" w14:textId="77777777" w:rsidR="00E44FC6" w:rsidRPr="00AE4E8D" w:rsidRDefault="00E44FC6" w:rsidP="00E44FC6">
            <w:pPr>
              <w:jc w:val="center"/>
              <w:rPr>
                <w:rFonts w:ascii="Times New Roman" w:hAnsi="Times New Roman"/>
                <w:color w:val="000000"/>
                <w:sz w:val="18"/>
                <w:lang w:val="es-ES"/>
              </w:rPr>
            </w:pPr>
            <w:r w:rsidRPr="00AE4E8D">
              <w:rPr>
                <w:rFonts w:ascii="Times New Roman" w:eastAsia="Calibri" w:hAnsi="Times New Roman"/>
                <w:lang w:val="es-ES" w:eastAsia="es-AR"/>
              </w:rPr>
              <w:t>(en millones de pesos)</w:t>
            </w:r>
          </w:p>
        </w:tc>
      </w:tr>
      <w:tr w:rsidR="00E44FC6" w:rsidRPr="00AE4E8D" w14:paraId="66717510" w14:textId="77777777" w:rsidTr="000400C8">
        <w:trPr>
          <w:trHeight w:val="288"/>
          <w:jc w:val="center"/>
        </w:trPr>
        <w:tc>
          <w:tcPr>
            <w:tcW w:w="0" w:type="auto"/>
            <w:tcBorders>
              <w:top w:val="nil"/>
              <w:left w:val="nil"/>
              <w:bottom w:val="nil"/>
              <w:right w:val="nil"/>
            </w:tcBorders>
            <w:shd w:val="clear" w:color="auto" w:fill="auto"/>
            <w:vAlign w:val="center"/>
            <w:hideMark/>
          </w:tcPr>
          <w:p w14:paraId="57C72F5D" w14:textId="77777777" w:rsidR="00E44FC6" w:rsidRPr="00AE4E8D" w:rsidRDefault="00E44FC6" w:rsidP="00B82006">
            <w:pPr>
              <w:tabs>
                <w:tab w:val="left" w:leader="dot" w:pos="4205"/>
              </w:tabs>
              <w:rPr>
                <w:rFonts w:ascii="Times New Roman" w:hAnsi="Times New Roman"/>
                <w:color w:val="000000"/>
                <w:sz w:val="18"/>
                <w:lang w:val="es-ES"/>
              </w:rPr>
            </w:pPr>
            <w:r w:rsidRPr="00AE4E8D">
              <w:rPr>
                <w:rFonts w:ascii="Times New Roman" w:hAnsi="Times New Roman"/>
                <w:color w:val="000000"/>
                <w:sz w:val="18"/>
                <w:lang w:val="es-ES"/>
              </w:rPr>
              <w:t>Mínimo</w:t>
            </w:r>
            <w:r w:rsidRPr="00AE4E8D">
              <w:rPr>
                <w:rFonts w:ascii="Times New Roman" w:hAnsi="Times New Roman"/>
                <w:color w:val="000000"/>
                <w:lang w:val="es-ES"/>
              </w:rPr>
              <w:t xml:space="preserve"> </w:t>
            </w:r>
            <w:r w:rsidRPr="00AE4E8D">
              <w:rPr>
                <w:rFonts w:ascii="Times New Roman" w:hAnsi="Times New Roman"/>
                <w:lang w:val="es-ES" w:eastAsia="es-AR"/>
              </w:rPr>
              <w:tab/>
            </w:r>
          </w:p>
        </w:tc>
        <w:tc>
          <w:tcPr>
            <w:tcW w:w="0" w:type="auto"/>
            <w:tcBorders>
              <w:top w:val="nil"/>
              <w:left w:val="nil"/>
              <w:bottom w:val="nil"/>
              <w:right w:val="nil"/>
            </w:tcBorders>
            <w:shd w:val="clear" w:color="auto" w:fill="auto"/>
            <w:vAlign w:val="center"/>
          </w:tcPr>
          <w:p w14:paraId="0F70E4DF" w14:textId="77777777" w:rsidR="00E44FC6" w:rsidRPr="00AE4E8D" w:rsidRDefault="00E44FC6" w:rsidP="00180FE4">
            <w:pPr>
              <w:jc w:val="right"/>
              <w:rPr>
                <w:rFonts w:ascii="Times New Roman" w:hAnsi="Times New Roman"/>
                <w:color w:val="000000"/>
                <w:sz w:val="18"/>
                <w:lang w:val="es-ES"/>
              </w:rPr>
            </w:pPr>
          </w:p>
        </w:tc>
        <w:tc>
          <w:tcPr>
            <w:tcW w:w="776" w:type="dxa"/>
            <w:gridSpan w:val="2"/>
            <w:tcBorders>
              <w:top w:val="nil"/>
              <w:left w:val="nil"/>
              <w:bottom w:val="nil"/>
              <w:right w:val="nil"/>
            </w:tcBorders>
            <w:shd w:val="clear" w:color="auto" w:fill="auto"/>
            <w:vAlign w:val="center"/>
            <w:hideMark/>
          </w:tcPr>
          <w:p w14:paraId="7908E991" w14:textId="77777777" w:rsidR="00E44FC6" w:rsidRPr="00AE4E8D" w:rsidRDefault="004F22BE" w:rsidP="004F22BE">
            <w:pPr>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851" w:type="dxa"/>
            <w:tcBorders>
              <w:top w:val="nil"/>
              <w:left w:val="nil"/>
              <w:bottom w:val="nil"/>
              <w:right w:val="nil"/>
            </w:tcBorders>
            <w:shd w:val="clear" w:color="auto" w:fill="auto"/>
            <w:vAlign w:val="center"/>
            <w:hideMark/>
          </w:tcPr>
          <w:p w14:paraId="65F56678" w14:textId="77777777" w:rsidR="00E44FC6" w:rsidRPr="00AE4E8D" w:rsidRDefault="004F22BE" w:rsidP="004F22BE">
            <w:pPr>
              <w:jc w:val="right"/>
              <w:rPr>
                <w:rFonts w:ascii="Times New Roman" w:hAnsi="Times New Roman"/>
                <w:color w:val="000000"/>
                <w:sz w:val="18"/>
                <w:lang w:val="es-ES"/>
              </w:rPr>
            </w:pPr>
            <w:r w:rsidRPr="00AE4E8D">
              <w:rPr>
                <w:rFonts w:ascii="Times New Roman" w:hAnsi="Times New Roman"/>
                <w:color w:val="000000"/>
                <w:sz w:val="18"/>
                <w:lang w:val="es-ES"/>
              </w:rPr>
              <w:t>―</w:t>
            </w:r>
          </w:p>
        </w:tc>
        <w:tc>
          <w:tcPr>
            <w:tcW w:w="708" w:type="dxa"/>
            <w:tcBorders>
              <w:top w:val="nil"/>
              <w:left w:val="nil"/>
              <w:bottom w:val="nil"/>
              <w:right w:val="nil"/>
            </w:tcBorders>
            <w:shd w:val="clear" w:color="auto" w:fill="auto"/>
            <w:vAlign w:val="center"/>
            <w:hideMark/>
          </w:tcPr>
          <w:p w14:paraId="1269011C"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19,46</w:t>
            </w:r>
          </w:p>
        </w:tc>
        <w:tc>
          <w:tcPr>
            <w:tcW w:w="825" w:type="dxa"/>
            <w:tcBorders>
              <w:top w:val="nil"/>
              <w:left w:val="nil"/>
              <w:bottom w:val="nil"/>
              <w:right w:val="nil"/>
            </w:tcBorders>
            <w:shd w:val="clear" w:color="auto" w:fill="auto"/>
            <w:vAlign w:val="center"/>
            <w:hideMark/>
          </w:tcPr>
          <w:p w14:paraId="615C37C8"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4,21</w:t>
            </w:r>
          </w:p>
        </w:tc>
        <w:tc>
          <w:tcPr>
            <w:tcW w:w="0" w:type="auto"/>
            <w:tcBorders>
              <w:top w:val="single" w:sz="4" w:space="0" w:color="auto"/>
              <w:left w:val="nil"/>
              <w:bottom w:val="nil"/>
              <w:right w:val="nil"/>
            </w:tcBorders>
            <w:shd w:val="clear" w:color="auto" w:fill="auto"/>
            <w:vAlign w:val="center"/>
            <w:hideMark/>
          </w:tcPr>
          <w:p w14:paraId="29D4DEBB" w14:textId="77777777" w:rsidR="00E44FC6" w:rsidRPr="00AE4E8D" w:rsidRDefault="004F22BE" w:rsidP="00180FE4">
            <w:pPr>
              <w:jc w:val="right"/>
              <w:rPr>
                <w:rFonts w:ascii="Times New Roman" w:hAnsi="Times New Roman"/>
                <w:color w:val="000000"/>
                <w:sz w:val="18"/>
                <w:lang w:val="es-ES"/>
              </w:rPr>
            </w:pPr>
            <w:r w:rsidRPr="00AE4E8D">
              <w:rPr>
                <w:rFonts w:ascii="Times New Roman" w:hAnsi="Times New Roman"/>
                <w:color w:val="000000"/>
                <w:sz w:val="18"/>
                <w:lang w:val="es-ES"/>
              </w:rPr>
              <w:t>(</w:t>
            </w:r>
            <w:r w:rsidR="00E44FC6" w:rsidRPr="00AE4E8D">
              <w:rPr>
                <w:rFonts w:ascii="Times New Roman" w:hAnsi="Times New Roman"/>
                <w:color w:val="000000"/>
                <w:sz w:val="18"/>
                <w:lang w:val="es-ES"/>
              </w:rPr>
              <w:t>15,25</w:t>
            </w:r>
            <w:r w:rsidRPr="00AE4E8D">
              <w:rPr>
                <w:rFonts w:ascii="Times New Roman" w:hAnsi="Times New Roman"/>
                <w:color w:val="000000"/>
                <w:sz w:val="18"/>
                <w:lang w:val="es-ES"/>
              </w:rPr>
              <w:t>)</w:t>
            </w:r>
          </w:p>
        </w:tc>
      </w:tr>
      <w:tr w:rsidR="00E44FC6" w:rsidRPr="00AE4E8D" w14:paraId="6738C91B" w14:textId="77777777" w:rsidTr="000400C8">
        <w:trPr>
          <w:trHeight w:val="288"/>
          <w:jc w:val="center"/>
        </w:trPr>
        <w:tc>
          <w:tcPr>
            <w:tcW w:w="0" w:type="auto"/>
            <w:tcBorders>
              <w:top w:val="nil"/>
              <w:left w:val="nil"/>
              <w:bottom w:val="nil"/>
              <w:right w:val="nil"/>
            </w:tcBorders>
            <w:shd w:val="clear" w:color="auto" w:fill="auto"/>
            <w:vAlign w:val="center"/>
            <w:hideMark/>
          </w:tcPr>
          <w:p w14:paraId="29A4CB71" w14:textId="77777777" w:rsidR="00E44FC6" w:rsidRPr="00AE4E8D" w:rsidRDefault="00E44FC6" w:rsidP="00B82006">
            <w:pPr>
              <w:tabs>
                <w:tab w:val="left" w:leader="dot" w:pos="4205"/>
              </w:tabs>
              <w:rPr>
                <w:rFonts w:ascii="Times New Roman" w:hAnsi="Times New Roman"/>
                <w:color w:val="000000"/>
                <w:sz w:val="18"/>
                <w:lang w:val="es-ES"/>
              </w:rPr>
            </w:pPr>
            <w:r w:rsidRPr="00AE4E8D">
              <w:rPr>
                <w:rFonts w:ascii="Times New Roman" w:hAnsi="Times New Roman"/>
                <w:color w:val="000000"/>
                <w:sz w:val="18"/>
                <w:lang w:val="es-ES"/>
              </w:rPr>
              <w:t>Máximo</w:t>
            </w:r>
            <w:r w:rsidRPr="00AE4E8D">
              <w:rPr>
                <w:rFonts w:ascii="Times New Roman" w:hAnsi="Times New Roman"/>
                <w:color w:val="000000"/>
                <w:lang w:val="es-ES"/>
              </w:rPr>
              <w:t xml:space="preserve"> </w:t>
            </w:r>
            <w:r w:rsidRPr="00AE4E8D">
              <w:rPr>
                <w:rFonts w:ascii="Times New Roman" w:hAnsi="Times New Roman"/>
                <w:lang w:val="es-ES" w:eastAsia="es-AR"/>
              </w:rPr>
              <w:tab/>
            </w:r>
          </w:p>
        </w:tc>
        <w:tc>
          <w:tcPr>
            <w:tcW w:w="0" w:type="auto"/>
            <w:tcBorders>
              <w:top w:val="nil"/>
              <w:left w:val="nil"/>
              <w:bottom w:val="nil"/>
              <w:right w:val="nil"/>
            </w:tcBorders>
            <w:shd w:val="clear" w:color="auto" w:fill="auto"/>
            <w:vAlign w:val="center"/>
          </w:tcPr>
          <w:p w14:paraId="321D85B8" w14:textId="77777777" w:rsidR="00E44FC6" w:rsidRPr="00AE4E8D" w:rsidRDefault="00E44FC6" w:rsidP="00180FE4">
            <w:pPr>
              <w:jc w:val="right"/>
              <w:rPr>
                <w:rFonts w:ascii="Times New Roman" w:hAnsi="Times New Roman"/>
                <w:color w:val="000000"/>
                <w:sz w:val="18"/>
                <w:lang w:val="es-ES"/>
              </w:rPr>
            </w:pPr>
          </w:p>
        </w:tc>
        <w:tc>
          <w:tcPr>
            <w:tcW w:w="776" w:type="dxa"/>
            <w:gridSpan w:val="2"/>
            <w:tcBorders>
              <w:top w:val="nil"/>
              <w:left w:val="nil"/>
              <w:bottom w:val="nil"/>
              <w:right w:val="nil"/>
            </w:tcBorders>
            <w:shd w:val="clear" w:color="auto" w:fill="auto"/>
            <w:vAlign w:val="center"/>
            <w:hideMark/>
          </w:tcPr>
          <w:p w14:paraId="319FAB40"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275,10</w:t>
            </w:r>
          </w:p>
        </w:tc>
        <w:tc>
          <w:tcPr>
            <w:tcW w:w="851" w:type="dxa"/>
            <w:tcBorders>
              <w:top w:val="nil"/>
              <w:left w:val="nil"/>
              <w:bottom w:val="nil"/>
              <w:right w:val="nil"/>
            </w:tcBorders>
            <w:shd w:val="clear" w:color="auto" w:fill="auto"/>
            <w:vAlign w:val="center"/>
            <w:hideMark/>
          </w:tcPr>
          <w:p w14:paraId="5579940F"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34,50</w:t>
            </w:r>
          </w:p>
        </w:tc>
        <w:tc>
          <w:tcPr>
            <w:tcW w:w="708" w:type="dxa"/>
            <w:tcBorders>
              <w:top w:val="nil"/>
              <w:left w:val="nil"/>
              <w:bottom w:val="nil"/>
              <w:right w:val="nil"/>
            </w:tcBorders>
            <w:shd w:val="clear" w:color="auto" w:fill="auto"/>
            <w:vAlign w:val="center"/>
            <w:hideMark/>
          </w:tcPr>
          <w:p w14:paraId="3431ED2D"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224,07</w:t>
            </w:r>
          </w:p>
        </w:tc>
        <w:tc>
          <w:tcPr>
            <w:tcW w:w="825" w:type="dxa"/>
            <w:tcBorders>
              <w:top w:val="nil"/>
              <w:left w:val="nil"/>
              <w:bottom w:val="nil"/>
              <w:right w:val="nil"/>
            </w:tcBorders>
            <w:shd w:val="clear" w:color="auto" w:fill="auto"/>
            <w:vAlign w:val="center"/>
            <w:hideMark/>
          </w:tcPr>
          <w:p w14:paraId="7A649622"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94,17</w:t>
            </w:r>
          </w:p>
        </w:tc>
        <w:tc>
          <w:tcPr>
            <w:tcW w:w="0" w:type="auto"/>
            <w:tcBorders>
              <w:top w:val="nil"/>
              <w:left w:val="nil"/>
              <w:bottom w:val="nil"/>
              <w:right w:val="nil"/>
            </w:tcBorders>
            <w:shd w:val="clear" w:color="auto" w:fill="auto"/>
            <w:vAlign w:val="center"/>
            <w:hideMark/>
          </w:tcPr>
          <w:p w14:paraId="7FE09ECB" w14:textId="77777777" w:rsidR="00E44FC6" w:rsidRPr="00AE4E8D" w:rsidRDefault="004F22BE" w:rsidP="00180FE4">
            <w:pPr>
              <w:jc w:val="right"/>
              <w:rPr>
                <w:rFonts w:ascii="Times New Roman" w:hAnsi="Times New Roman"/>
                <w:color w:val="000000"/>
                <w:sz w:val="18"/>
                <w:lang w:val="es-ES"/>
              </w:rPr>
            </w:pPr>
            <w:r w:rsidRPr="00AE4E8D">
              <w:rPr>
                <w:rFonts w:ascii="Times New Roman" w:hAnsi="Times New Roman"/>
                <w:color w:val="000000"/>
                <w:sz w:val="18"/>
                <w:lang w:val="es-ES"/>
              </w:rPr>
              <w:t>(</w:t>
            </w:r>
            <w:r w:rsidR="00E44FC6" w:rsidRPr="00AE4E8D">
              <w:rPr>
                <w:rFonts w:ascii="Times New Roman" w:hAnsi="Times New Roman"/>
                <w:color w:val="000000"/>
                <w:sz w:val="18"/>
                <w:lang w:val="es-ES"/>
              </w:rPr>
              <w:t>129,90</w:t>
            </w:r>
            <w:r w:rsidRPr="00AE4E8D">
              <w:rPr>
                <w:rFonts w:ascii="Times New Roman" w:hAnsi="Times New Roman"/>
                <w:color w:val="000000"/>
                <w:sz w:val="18"/>
                <w:lang w:val="es-ES"/>
              </w:rPr>
              <w:t>)</w:t>
            </w:r>
          </w:p>
        </w:tc>
      </w:tr>
      <w:tr w:rsidR="00E44FC6" w:rsidRPr="00AE4E8D" w14:paraId="44A49707" w14:textId="77777777" w:rsidTr="000400C8">
        <w:trPr>
          <w:trHeight w:val="291"/>
          <w:jc w:val="center"/>
        </w:trPr>
        <w:tc>
          <w:tcPr>
            <w:tcW w:w="0" w:type="auto"/>
            <w:tcBorders>
              <w:top w:val="nil"/>
              <w:left w:val="nil"/>
              <w:bottom w:val="nil"/>
              <w:right w:val="nil"/>
            </w:tcBorders>
            <w:shd w:val="clear" w:color="auto" w:fill="auto"/>
            <w:vAlign w:val="center"/>
            <w:hideMark/>
          </w:tcPr>
          <w:p w14:paraId="0887F84A" w14:textId="77777777" w:rsidR="00E44FC6" w:rsidRPr="00AE4E8D" w:rsidRDefault="00E44FC6" w:rsidP="00B82006">
            <w:pPr>
              <w:tabs>
                <w:tab w:val="left" w:leader="dot" w:pos="4205"/>
              </w:tabs>
              <w:rPr>
                <w:rFonts w:ascii="Times New Roman" w:hAnsi="Times New Roman"/>
                <w:color w:val="000000"/>
                <w:sz w:val="18"/>
                <w:lang w:val="es-ES"/>
              </w:rPr>
            </w:pPr>
            <w:r w:rsidRPr="00AE4E8D">
              <w:rPr>
                <w:rFonts w:ascii="Times New Roman" w:hAnsi="Times New Roman"/>
                <w:color w:val="000000"/>
                <w:sz w:val="18"/>
                <w:lang w:val="es-ES"/>
              </w:rPr>
              <w:t>Promedio</w:t>
            </w:r>
            <w:r w:rsidRPr="00AE4E8D">
              <w:rPr>
                <w:rFonts w:ascii="Times New Roman" w:hAnsi="Times New Roman"/>
                <w:color w:val="000000"/>
                <w:lang w:val="es-ES"/>
              </w:rPr>
              <w:t xml:space="preserve"> </w:t>
            </w:r>
            <w:r w:rsidRPr="00AE4E8D">
              <w:rPr>
                <w:rFonts w:ascii="Times New Roman" w:hAnsi="Times New Roman"/>
                <w:lang w:val="es-ES" w:eastAsia="es-AR"/>
              </w:rPr>
              <w:tab/>
            </w:r>
          </w:p>
        </w:tc>
        <w:tc>
          <w:tcPr>
            <w:tcW w:w="0" w:type="auto"/>
            <w:tcBorders>
              <w:top w:val="nil"/>
              <w:left w:val="nil"/>
              <w:bottom w:val="nil"/>
              <w:right w:val="nil"/>
            </w:tcBorders>
            <w:shd w:val="clear" w:color="auto" w:fill="auto"/>
            <w:vAlign w:val="center"/>
          </w:tcPr>
          <w:p w14:paraId="634CDC70" w14:textId="77777777" w:rsidR="00E44FC6" w:rsidRPr="00AE4E8D" w:rsidRDefault="00E44FC6" w:rsidP="00180FE4">
            <w:pPr>
              <w:jc w:val="right"/>
              <w:rPr>
                <w:rFonts w:ascii="Times New Roman" w:hAnsi="Times New Roman"/>
                <w:color w:val="000000"/>
                <w:sz w:val="18"/>
                <w:lang w:val="es-ES"/>
              </w:rPr>
            </w:pPr>
          </w:p>
        </w:tc>
        <w:tc>
          <w:tcPr>
            <w:tcW w:w="776" w:type="dxa"/>
            <w:gridSpan w:val="2"/>
            <w:tcBorders>
              <w:top w:val="nil"/>
              <w:left w:val="nil"/>
              <w:bottom w:val="nil"/>
              <w:right w:val="nil"/>
            </w:tcBorders>
            <w:shd w:val="clear" w:color="auto" w:fill="auto"/>
            <w:vAlign w:val="center"/>
            <w:hideMark/>
          </w:tcPr>
          <w:p w14:paraId="16B19F50"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55,30</w:t>
            </w:r>
          </w:p>
        </w:tc>
        <w:tc>
          <w:tcPr>
            <w:tcW w:w="851" w:type="dxa"/>
            <w:tcBorders>
              <w:top w:val="nil"/>
              <w:left w:val="nil"/>
              <w:bottom w:val="nil"/>
              <w:right w:val="nil"/>
            </w:tcBorders>
            <w:shd w:val="clear" w:color="auto" w:fill="auto"/>
            <w:vAlign w:val="center"/>
            <w:hideMark/>
          </w:tcPr>
          <w:p w14:paraId="373985BF"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7,20</w:t>
            </w:r>
          </w:p>
        </w:tc>
        <w:tc>
          <w:tcPr>
            <w:tcW w:w="708" w:type="dxa"/>
            <w:tcBorders>
              <w:top w:val="nil"/>
              <w:left w:val="nil"/>
              <w:bottom w:val="nil"/>
              <w:right w:val="nil"/>
            </w:tcBorders>
            <w:shd w:val="clear" w:color="auto" w:fill="auto"/>
            <w:vAlign w:val="center"/>
            <w:hideMark/>
          </w:tcPr>
          <w:p w14:paraId="34CCC761"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57,23</w:t>
            </w:r>
          </w:p>
        </w:tc>
        <w:tc>
          <w:tcPr>
            <w:tcW w:w="825" w:type="dxa"/>
            <w:tcBorders>
              <w:top w:val="nil"/>
              <w:left w:val="nil"/>
              <w:bottom w:val="nil"/>
              <w:right w:val="nil"/>
            </w:tcBorders>
            <w:shd w:val="clear" w:color="auto" w:fill="auto"/>
            <w:vAlign w:val="center"/>
            <w:hideMark/>
          </w:tcPr>
          <w:p w14:paraId="2F09A9A8"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25,49</w:t>
            </w:r>
          </w:p>
        </w:tc>
        <w:tc>
          <w:tcPr>
            <w:tcW w:w="0" w:type="auto"/>
            <w:tcBorders>
              <w:top w:val="nil"/>
              <w:left w:val="nil"/>
              <w:bottom w:val="nil"/>
              <w:right w:val="nil"/>
            </w:tcBorders>
            <w:shd w:val="clear" w:color="auto" w:fill="auto"/>
            <w:vAlign w:val="center"/>
            <w:hideMark/>
          </w:tcPr>
          <w:p w14:paraId="20BE6E92" w14:textId="77777777" w:rsidR="00E44FC6" w:rsidRPr="00AE4E8D" w:rsidRDefault="004F22BE" w:rsidP="00180FE4">
            <w:pPr>
              <w:jc w:val="right"/>
              <w:rPr>
                <w:rFonts w:ascii="Times New Roman" w:hAnsi="Times New Roman"/>
                <w:color w:val="000000"/>
                <w:sz w:val="18"/>
                <w:lang w:val="es-ES"/>
              </w:rPr>
            </w:pPr>
            <w:r w:rsidRPr="00AE4E8D">
              <w:rPr>
                <w:rFonts w:ascii="Times New Roman" w:hAnsi="Times New Roman"/>
                <w:color w:val="000000"/>
                <w:sz w:val="18"/>
                <w:lang w:val="es-ES"/>
              </w:rPr>
              <w:t>(</w:t>
            </w:r>
            <w:r w:rsidR="00E44FC6" w:rsidRPr="00AE4E8D">
              <w:rPr>
                <w:rFonts w:ascii="Times New Roman" w:hAnsi="Times New Roman"/>
                <w:color w:val="000000"/>
                <w:sz w:val="18"/>
                <w:lang w:val="es-ES"/>
              </w:rPr>
              <w:t>31,74</w:t>
            </w:r>
            <w:r w:rsidRPr="00AE4E8D">
              <w:rPr>
                <w:rFonts w:ascii="Times New Roman" w:hAnsi="Times New Roman"/>
                <w:color w:val="000000"/>
                <w:sz w:val="18"/>
                <w:lang w:val="es-ES"/>
              </w:rPr>
              <w:t>)</w:t>
            </w:r>
          </w:p>
        </w:tc>
      </w:tr>
      <w:tr w:rsidR="00E44FC6" w:rsidRPr="00AE4E8D" w14:paraId="76E329AD" w14:textId="77777777" w:rsidTr="000400C8">
        <w:trPr>
          <w:trHeight w:val="288"/>
          <w:jc w:val="center"/>
        </w:trPr>
        <w:tc>
          <w:tcPr>
            <w:tcW w:w="0" w:type="auto"/>
            <w:tcBorders>
              <w:top w:val="nil"/>
              <w:left w:val="nil"/>
              <w:bottom w:val="nil"/>
              <w:right w:val="nil"/>
            </w:tcBorders>
            <w:shd w:val="clear" w:color="auto" w:fill="auto"/>
            <w:vAlign w:val="center"/>
            <w:hideMark/>
          </w:tcPr>
          <w:p w14:paraId="7942C606" w14:textId="77777777" w:rsidR="00E44FC6" w:rsidRPr="00AE4E8D" w:rsidRDefault="00E44FC6" w:rsidP="00010F6B">
            <w:pPr>
              <w:tabs>
                <w:tab w:val="left" w:leader="dot" w:pos="4205"/>
              </w:tabs>
              <w:rPr>
                <w:rFonts w:ascii="Times New Roman" w:hAnsi="Times New Roman"/>
                <w:color w:val="000000"/>
                <w:sz w:val="18"/>
                <w:lang w:val="es-ES"/>
              </w:rPr>
            </w:pPr>
            <w:r w:rsidRPr="00AE4E8D">
              <w:rPr>
                <w:rFonts w:ascii="Times New Roman" w:hAnsi="Times New Roman"/>
                <w:color w:val="000000"/>
                <w:sz w:val="18"/>
                <w:lang w:val="es-ES"/>
              </w:rPr>
              <w:t>Al final del período</w:t>
            </w:r>
            <w:r w:rsidRPr="00AE4E8D">
              <w:rPr>
                <w:rFonts w:ascii="Times New Roman" w:hAnsi="Times New Roman"/>
                <w:color w:val="000000"/>
                <w:lang w:val="es-ES"/>
              </w:rPr>
              <w:t xml:space="preserve"> </w:t>
            </w:r>
            <w:r w:rsidRPr="00AE4E8D">
              <w:rPr>
                <w:rFonts w:ascii="Times New Roman" w:hAnsi="Times New Roman"/>
                <w:lang w:val="es-ES" w:eastAsia="es-AR"/>
              </w:rPr>
              <w:tab/>
            </w:r>
          </w:p>
        </w:tc>
        <w:tc>
          <w:tcPr>
            <w:tcW w:w="0" w:type="auto"/>
            <w:tcBorders>
              <w:top w:val="nil"/>
              <w:left w:val="nil"/>
              <w:bottom w:val="nil"/>
              <w:right w:val="nil"/>
            </w:tcBorders>
            <w:shd w:val="clear" w:color="auto" w:fill="auto"/>
            <w:vAlign w:val="center"/>
          </w:tcPr>
          <w:p w14:paraId="11B3D642" w14:textId="77777777" w:rsidR="00E44FC6" w:rsidRPr="00AE4E8D" w:rsidRDefault="00E44FC6" w:rsidP="00180FE4">
            <w:pPr>
              <w:jc w:val="right"/>
              <w:rPr>
                <w:rFonts w:ascii="Times New Roman" w:hAnsi="Times New Roman"/>
                <w:color w:val="000000"/>
                <w:sz w:val="18"/>
                <w:lang w:val="es-ES"/>
              </w:rPr>
            </w:pPr>
          </w:p>
        </w:tc>
        <w:tc>
          <w:tcPr>
            <w:tcW w:w="776" w:type="dxa"/>
            <w:gridSpan w:val="2"/>
            <w:tcBorders>
              <w:top w:val="nil"/>
              <w:left w:val="nil"/>
              <w:bottom w:val="nil"/>
              <w:right w:val="nil"/>
            </w:tcBorders>
            <w:shd w:val="clear" w:color="auto" w:fill="auto"/>
            <w:vAlign w:val="center"/>
            <w:hideMark/>
          </w:tcPr>
          <w:p w14:paraId="3B2F620A"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1,40</w:t>
            </w:r>
          </w:p>
        </w:tc>
        <w:tc>
          <w:tcPr>
            <w:tcW w:w="851" w:type="dxa"/>
            <w:tcBorders>
              <w:top w:val="nil"/>
              <w:left w:val="nil"/>
              <w:bottom w:val="nil"/>
              <w:right w:val="nil"/>
            </w:tcBorders>
            <w:shd w:val="clear" w:color="auto" w:fill="auto"/>
            <w:vAlign w:val="center"/>
            <w:hideMark/>
          </w:tcPr>
          <w:p w14:paraId="23D0FF16" w14:textId="77777777" w:rsidR="00E44FC6" w:rsidRPr="00AE4E8D" w:rsidRDefault="00E44FC6" w:rsidP="00180FE4">
            <w:pPr>
              <w:jc w:val="right"/>
              <w:rPr>
                <w:rFonts w:ascii="Times New Roman" w:hAnsi="Times New Roman"/>
                <w:color w:val="000000"/>
                <w:sz w:val="18"/>
                <w:lang w:val="es-ES"/>
              </w:rPr>
            </w:pPr>
            <w:r w:rsidRPr="00AE4E8D">
              <w:rPr>
                <w:rFonts w:ascii="Times New Roman" w:hAnsi="Times New Roman"/>
                <w:color w:val="000000"/>
                <w:sz w:val="18"/>
                <w:lang w:val="es-ES"/>
              </w:rPr>
              <w:t>34,50</w:t>
            </w:r>
          </w:p>
        </w:tc>
        <w:tc>
          <w:tcPr>
            <w:tcW w:w="708" w:type="dxa"/>
            <w:tcBorders>
              <w:top w:val="nil"/>
              <w:left w:val="nil"/>
              <w:bottom w:val="nil"/>
              <w:right w:val="nil"/>
            </w:tcBorders>
            <w:shd w:val="clear" w:color="auto" w:fill="auto"/>
            <w:vAlign w:val="center"/>
            <w:hideMark/>
          </w:tcPr>
          <w:p w14:paraId="23D6C696"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60,69</w:t>
            </w:r>
          </w:p>
        </w:tc>
        <w:tc>
          <w:tcPr>
            <w:tcW w:w="825" w:type="dxa"/>
            <w:tcBorders>
              <w:top w:val="nil"/>
              <w:left w:val="nil"/>
              <w:bottom w:val="nil"/>
              <w:right w:val="nil"/>
            </w:tcBorders>
            <w:shd w:val="clear" w:color="auto" w:fill="auto"/>
            <w:vAlign w:val="center"/>
            <w:hideMark/>
          </w:tcPr>
          <w:p w14:paraId="018D28EF"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47,99</w:t>
            </w:r>
          </w:p>
        </w:tc>
        <w:tc>
          <w:tcPr>
            <w:tcW w:w="0" w:type="auto"/>
            <w:tcBorders>
              <w:top w:val="nil"/>
              <w:left w:val="nil"/>
              <w:bottom w:val="nil"/>
              <w:right w:val="nil"/>
            </w:tcBorders>
            <w:shd w:val="clear" w:color="auto" w:fill="auto"/>
            <w:vAlign w:val="center"/>
            <w:hideMark/>
          </w:tcPr>
          <w:p w14:paraId="1F681465" w14:textId="77777777" w:rsidR="00E44FC6" w:rsidRPr="00AE4E8D" w:rsidRDefault="004F22BE" w:rsidP="00180FE4">
            <w:pPr>
              <w:jc w:val="right"/>
              <w:rPr>
                <w:rFonts w:ascii="Times New Roman" w:hAnsi="Times New Roman"/>
                <w:color w:val="000000"/>
                <w:sz w:val="18"/>
                <w:lang w:val="es-ES"/>
              </w:rPr>
            </w:pPr>
            <w:r w:rsidRPr="00AE4E8D">
              <w:rPr>
                <w:rFonts w:ascii="Times New Roman" w:hAnsi="Times New Roman"/>
                <w:color w:val="000000"/>
                <w:sz w:val="18"/>
                <w:lang w:val="es-ES"/>
              </w:rPr>
              <w:t>(</w:t>
            </w:r>
            <w:r w:rsidR="00E44FC6" w:rsidRPr="00AE4E8D">
              <w:rPr>
                <w:rFonts w:ascii="Times New Roman" w:hAnsi="Times New Roman"/>
                <w:color w:val="000000"/>
                <w:sz w:val="18"/>
                <w:lang w:val="es-ES"/>
              </w:rPr>
              <w:t>12,69</w:t>
            </w:r>
            <w:r w:rsidRPr="00AE4E8D">
              <w:rPr>
                <w:rFonts w:ascii="Times New Roman" w:hAnsi="Times New Roman"/>
                <w:color w:val="000000"/>
                <w:sz w:val="18"/>
                <w:lang w:val="es-ES"/>
              </w:rPr>
              <w:t>)</w:t>
            </w:r>
          </w:p>
        </w:tc>
      </w:tr>
    </w:tbl>
    <w:p w14:paraId="03C2C607" w14:textId="77777777" w:rsidR="003E1478" w:rsidRPr="00AE4E8D" w:rsidRDefault="003E1478" w:rsidP="003E1478">
      <w:pPr>
        <w:autoSpaceDE w:val="0"/>
        <w:autoSpaceDN w:val="0"/>
        <w:adjustRightInd w:val="0"/>
        <w:spacing w:before="120" w:after="120"/>
        <w:jc w:val="both"/>
        <w:rPr>
          <w:rFonts w:ascii="Times New Roman" w:eastAsia="Calibri" w:hAnsi="Times New Roman"/>
          <w:lang w:val="es-ES" w:eastAsia="es-AR"/>
        </w:rPr>
      </w:pPr>
      <w:r w:rsidRPr="00AE4E8D">
        <w:rPr>
          <w:rFonts w:ascii="Times New Roman" w:eastAsia="Calibri" w:hAnsi="Times New Roman"/>
          <w:lang w:val="es-ES" w:eastAsia="es-AR"/>
        </w:rPr>
        <w:t>En relación con el riesgo de moneda para la posición en moneda extranjera, tanto en 2015 como 2016 se modificó la metodología de cálculo por lo que las medidas de riesgo son comparables a partir de 2016.</w:t>
      </w:r>
    </w:p>
    <w:p w14:paraId="6233B343" w14:textId="77777777" w:rsidR="003E1478" w:rsidRPr="00AE4E8D" w:rsidRDefault="003E1478" w:rsidP="003E1478">
      <w:pPr>
        <w:keepNext/>
        <w:autoSpaceDE w:val="0"/>
        <w:autoSpaceDN w:val="0"/>
        <w:adjustRightInd w:val="0"/>
        <w:spacing w:before="240" w:after="240"/>
        <w:outlineLvl w:val="1"/>
        <w:rPr>
          <w:rFonts w:ascii="Times New Roman" w:eastAsia="Calibri" w:hAnsi="Times New Roman"/>
          <w:b/>
          <w:lang w:val="es-ES" w:eastAsia="es-AR"/>
        </w:rPr>
      </w:pPr>
      <w:bookmarkStart w:id="549" w:name="_Toc487734997"/>
      <w:bookmarkStart w:id="550" w:name="_Toc495973024"/>
      <w:bookmarkStart w:id="551" w:name="_Toc495399931"/>
      <w:r w:rsidRPr="00AE4E8D">
        <w:rPr>
          <w:rFonts w:ascii="Times New Roman" w:eastAsia="Calibri" w:hAnsi="Times New Roman"/>
          <w:b/>
          <w:lang w:val="es-ES" w:eastAsia="es-AR"/>
        </w:rPr>
        <w:lastRenderedPageBreak/>
        <w:t>Riesgo de Tasa de Interés</w:t>
      </w:r>
      <w:bookmarkEnd w:id="549"/>
      <w:bookmarkEnd w:id="550"/>
      <w:bookmarkEnd w:id="551"/>
    </w:p>
    <w:p w14:paraId="7470FE6F" w14:textId="77777777" w:rsidR="003E1478" w:rsidRPr="00AE4E8D" w:rsidRDefault="003E1478" w:rsidP="0018126C">
      <w:pPr>
        <w:pStyle w:val="BHTexto"/>
        <w:rPr>
          <w:rFonts w:eastAsia="Calibri"/>
          <w:lang w:val="es-ES"/>
        </w:rPr>
      </w:pPr>
      <w:r w:rsidRPr="00AE4E8D">
        <w:rPr>
          <w:rFonts w:eastAsia="Calibri"/>
          <w:lang w:val="es-ES"/>
        </w:rPr>
        <w:t>El riesgo de tasa de interés es el efecto sobre nuestros intereses ganados netos derivado de las fluctuaciones de las tasas de interés del mercado. La sensibilidad a la tasa de interés surge en el curso ordinario de nuestros negocios cuando las características de la re-determinación del valor de sus activos con devengamiento de intereses no necesariamente se corresponden con las de sus depósitos y otros pasivos con devengamiento de intereses. Esta estructura de re-determinación del valor de los activos y pasivos se machea cuando se redetermina el valor de un monto igual de activos y pasivos para un período determinado. Todo excedente de activos o pasivos sobre estos conceptos macheados origina una brecha.</w:t>
      </w:r>
    </w:p>
    <w:p w14:paraId="2DDDD426" w14:textId="77777777" w:rsidR="003E1478" w:rsidRPr="00AE4E8D" w:rsidRDefault="003E1478" w:rsidP="0018126C">
      <w:pPr>
        <w:pStyle w:val="BHTexto"/>
        <w:rPr>
          <w:rFonts w:eastAsia="Calibri"/>
          <w:lang w:val="es-ES"/>
        </w:rPr>
      </w:pPr>
      <w:r w:rsidRPr="00AE4E8D">
        <w:rPr>
          <w:rFonts w:eastAsia="Calibri"/>
          <w:lang w:val="es-ES"/>
        </w:rPr>
        <w:t>Nuestro análisis de sensibilidad a las tasas de interés mide el riesgo resultante de la diferente sensibilidad de los activos y pasivos cuando ocurren cambios en las tasas de interés (enfoque en la “duración”). Cubre todos los activos y pasivos.</w:t>
      </w:r>
    </w:p>
    <w:p w14:paraId="322077F8" w14:textId="77777777" w:rsidR="003E1478" w:rsidRPr="00AE4E8D" w:rsidRDefault="003E1478" w:rsidP="0018126C">
      <w:pPr>
        <w:pStyle w:val="BHTexto"/>
        <w:rPr>
          <w:rFonts w:eastAsia="Calibri"/>
          <w:lang w:val="es-ES"/>
        </w:rPr>
      </w:pPr>
      <w:r w:rsidRPr="00AE4E8D">
        <w:rPr>
          <w:rFonts w:eastAsia="Calibri"/>
          <w:lang w:val="es-ES"/>
        </w:rPr>
        <w:t>El riesgo de tasa de interés se calcula por medio de dos metodologías:</w:t>
      </w:r>
    </w:p>
    <w:p w14:paraId="22A7277B" w14:textId="77777777" w:rsidR="003E1478" w:rsidRPr="00AE4E8D" w:rsidRDefault="003E1478" w:rsidP="000668B5">
      <w:pPr>
        <w:pStyle w:val="BHTexto"/>
        <w:numPr>
          <w:ilvl w:val="0"/>
          <w:numId w:val="104"/>
        </w:numPr>
        <w:rPr>
          <w:lang w:val="es-ES"/>
        </w:rPr>
      </w:pPr>
      <w:r w:rsidRPr="00AE4E8D">
        <w:rPr>
          <w:lang w:val="es-ES"/>
        </w:rPr>
        <w:t>“Ganancias al Riesgo” (“</w:t>
      </w:r>
      <w:r w:rsidRPr="00AE4E8D">
        <w:rPr>
          <w:u w:val="single"/>
          <w:lang w:val="es-ES"/>
        </w:rPr>
        <w:t>EaR</w:t>
      </w:r>
      <w:r w:rsidRPr="00AE4E8D">
        <w:rPr>
          <w:lang w:val="es-ES"/>
        </w:rPr>
        <w:t>” por sus siglas en inglés), que mide el potencial efecto adverso en los resultados de la intermediación financiera medidos en términos de efectivo.</w:t>
      </w:r>
    </w:p>
    <w:p w14:paraId="01A270FB" w14:textId="77777777" w:rsidR="003E1478" w:rsidRPr="00AE4E8D" w:rsidRDefault="003E1478" w:rsidP="000668B5">
      <w:pPr>
        <w:pStyle w:val="BHTexto"/>
        <w:numPr>
          <w:ilvl w:val="0"/>
          <w:numId w:val="104"/>
        </w:numPr>
        <w:rPr>
          <w:lang w:val="es-ES"/>
        </w:rPr>
      </w:pPr>
      <w:r w:rsidRPr="00AE4E8D">
        <w:rPr>
          <w:lang w:val="es-ES"/>
        </w:rPr>
        <w:t>“Valor Económico al Riesgo” (“</w:t>
      </w:r>
      <w:r w:rsidRPr="00AE4E8D">
        <w:rPr>
          <w:u w:val="single"/>
          <w:lang w:val="es-ES"/>
        </w:rPr>
        <w:t>eVaR</w:t>
      </w:r>
      <w:r w:rsidRPr="00AE4E8D">
        <w:rPr>
          <w:lang w:val="es-ES"/>
        </w:rPr>
        <w:t>” por sus siglas en inglés), que mide el potencial cambio desfavorable en el valor presente de la cartera de activos y pasivos debido aumentos en el riesgo de tasa de interés.</w:t>
      </w:r>
    </w:p>
    <w:p w14:paraId="4FD4F1BF" w14:textId="77777777" w:rsidR="003E1478" w:rsidRPr="00AE4E8D" w:rsidRDefault="003E1478" w:rsidP="0018126C">
      <w:pPr>
        <w:pStyle w:val="BHTexto"/>
        <w:rPr>
          <w:rFonts w:eastAsia="Calibri"/>
          <w:lang w:val="es-ES"/>
        </w:rPr>
      </w:pPr>
      <w:r w:rsidRPr="00AE4E8D">
        <w:rPr>
          <w:rFonts w:eastAsia="Calibri"/>
          <w:lang w:val="es-ES"/>
        </w:rPr>
        <w:t>Ambos son medidos por un modelo de aproximación Monte Carlo, considerando un horizonte de 12 meses con un nivel de confianza del 99%.</w:t>
      </w:r>
    </w:p>
    <w:p w14:paraId="374B1ECE" w14:textId="77777777" w:rsidR="003E1478" w:rsidRPr="00AE4E8D" w:rsidRDefault="003E1478" w:rsidP="0018126C">
      <w:pPr>
        <w:pStyle w:val="BHTexto"/>
        <w:rPr>
          <w:rFonts w:eastAsia="Calibri"/>
          <w:lang w:val="es-ES"/>
        </w:rPr>
      </w:pPr>
      <w:r w:rsidRPr="00AE4E8D">
        <w:rPr>
          <w:rFonts w:eastAsia="Calibri"/>
          <w:lang w:val="es-ES"/>
        </w:rPr>
        <w:t>Nuestra metodología captura el riesgo de tasa de interés real, que es el riesgo derivado del descalce producido como consecuencia de una correlación imperfecta entre los movimientos de la tasa de inflación y variaciones en la tasa de interés de financiación, considerando también el riesgo de base.</w:t>
      </w:r>
    </w:p>
    <w:p w14:paraId="57E991C9" w14:textId="77777777" w:rsidR="003E1478" w:rsidRPr="00AE4E8D" w:rsidRDefault="003E1478" w:rsidP="0018126C">
      <w:pPr>
        <w:pStyle w:val="BHTexto"/>
        <w:rPr>
          <w:rFonts w:eastAsia="Calibri"/>
          <w:lang w:val="es-ES"/>
        </w:rPr>
      </w:pPr>
      <w:r w:rsidRPr="00AE4E8D">
        <w:rPr>
          <w:rFonts w:eastAsia="Calibri"/>
          <w:lang w:val="es-ES"/>
        </w:rPr>
        <w:t>La siguiente tabla muestra el VaR a 12 meses con un nivel de confianza del 99% para nuestra posición de tasa de interés combinada para los períodos indicados:</w:t>
      </w:r>
    </w:p>
    <w:tbl>
      <w:tblPr>
        <w:tblW w:w="5000" w:type="pct"/>
        <w:jc w:val="center"/>
        <w:tblCellMar>
          <w:left w:w="70" w:type="dxa"/>
          <w:right w:w="70" w:type="dxa"/>
        </w:tblCellMar>
        <w:tblLook w:val="04A0" w:firstRow="1" w:lastRow="0" w:firstColumn="1" w:lastColumn="0" w:noHBand="0" w:noVBand="1"/>
      </w:tblPr>
      <w:tblGrid>
        <w:gridCol w:w="2397"/>
        <w:gridCol w:w="1075"/>
        <w:gridCol w:w="851"/>
        <w:gridCol w:w="1278"/>
        <w:gridCol w:w="1649"/>
        <w:gridCol w:w="1395"/>
      </w:tblGrid>
      <w:tr w:rsidR="00E44FC6" w:rsidRPr="00AE4E8D" w14:paraId="2FF274DF" w14:textId="77777777" w:rsidTr="000400C8">
        <w:trPr>
          <w:trHeight w:val="300"/>
          <w:jc w:val="center"/>
        </w:trPr>
        <w:tc>
          <w:tcPr>
            <w:tcW w:w="1386" w:type="pct"/>
            <w:tcBorders>
              <w:top w:val="nil"/>
              <w:left w:val="nil"/>
              <w:bottom w:val="nil"/>
              <w:right w:val="nil"/>
            </w:tcBorders>
            <w:shd w:val="clear" w:color="auto" w:fill="auto"/>
            <w:noWrap/>
            <w:vAlign w:val="center"/>
          </w:tcPr>
          <w:p w14:paraId="368ABAC4" w14:textId="77777777" w:rsidR="00E44FC6" w:rsidRPr="00AE4E8D" w:rsidRDefault="00E44FC6" w:rsidP="00180FE4">
            <w:pPr>
              <w:jc w:val="center"/>
              <w:rPr>
                <w:rFonts w:ascii="Times New Roman" w:hAnsi="Times New Roman"/>
                <w:color w:val="000000"/>
                <w:sz w:val="22"/>
                <w:lang w:val="es-ES"/>
              </w:rPr>
            </w:pPr>
          </w:p>
        </w:tc>
        <w:tc>
          <w:tcPr>
            <w:tcW w:w="1853" w:type="pct"/>
            <w:gridSpan w:val="3"/>
            <w:tcBorders>
              <w:left w:val="nil"/>
              <w:right w:val="nil"/>
            </w:tcBorders>
            <w:shd w:val="clear" w:color="auto" w:fill="auto"/>
            <w:vAlign w:val="center"/>
          </w:tcPr>
          <w:p w14:paraId="032BB684"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Al 31 de diciembre de</w:t>
            </w:r>
          </w:p>
        </w:tc>
        <w:tc>
          <w:tcPr>
            <w:tcW w:w="954" w:type="pct"/>
            <w:vMerge w:val="restart"/>
            <w:tcBorders>
              <w:left w:val="nil"/>
              <w:right w:val="nil"/>
            </w:tcBorders>
            <w:shd w:val="clear" w:color="auto" w:fill="auto"/>
            <w:vAlign w:val="center"/>
          </w:tcPr>
          <w:p w14:paraId="3F059A1B"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Al</w:t>
            </w:r>
          </w:p>
          <w:p w14:paraId="54F5C178"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30 de Junio de 2017</w:t>
            </w:r>
          </w:p>
        </w:tc>
        <w:tc>
          <w:tcPr>
            <w:tcW w:w="807" w:type="pct"/>
            <w:tcBorders>
              <w:left w:val="nil"/>
              <w:right w:val="nil"/>
            </w:tcBorders>
            <w:shd w:val="clear" w:color="auto" w:fill="auto"/>
            <w:vAlign w:val="center"/>
          </w:tcPr>
          <w:p w14:paraId="730C0A42" w14:textId="77777777" w:rsidR="00E44FC6" w:rsidRPr="00AE4E8D" w:rsidRDefault="00E44FC6" w:rsidP="00180FE4">
            <w:pPr>
              <w:jc w:val="center"/>
              <w:rPr>
                <w:rFonts w:ascii="Times New Roman" w:hAnsi="Times New Roman"/>
                <w:b/>
                <w:color w:val="000000"/>
                <w:sz w:val="18"/>
                <w:lang w:val="es-ES"/>
              </w:rPr>
            </w:pPr>
          </w:p>
        </w:tc>
      </w:tr>
      <w:tr w:rsidR="003B5193" w:rsidRPr="00AE4E8D" w14:paraId="5A1857F1" w14:textId="77777777" w:rsidTr="004E57A7">
        <w:trPr>
          <w:trHeight w:val="300"/>
          <w:jc w:val="center"/>
        </w:trPr>
        <w:tc>
          <w:tcPr>
            <w:tcW w:w="1386" w:type="pct"/>
            <w:vMerge w:val="restart"/>
            <w:tcBorders>
              <w:top w:val="nil"/>
              <w:left w:val="nil"/>
              <w:bottom w:val="nil"/>
              <w:right w:val="nil"/>
            </w:tcBorders>
            <w:shd w:val="clear" w:color="auto" w:fill="auto"/>
            <w:noWrap/>
            <w:vAlign w:val="center"/>
            <w:hideMark/>
          </w:tcPr>
          <w:p w14:paraId="037A6243" w14:textId="77777777" w:rsidR="00E44FC6" w:rsidRPr="00AE4E8D" w:rsidRDefault="00E44FC6" w:rsidP="00180FE4">
            <w:pPr>
              <w:jc w:val="center"/>
              <w:rPr>
                <w:rFonts w:ascii="Times New Roman" w:hAnsi="Times New Roman"/>
                <w:color w:val="000000"/>
                <w:sz w:val="22"/>
                <w:lang w:val="es-ES"/>
              </w:rPr>
            </w:pPr>
          </w:p>
        </w:tc>
        <w:tc>
          <w:tcPr>
            <w:tcW w:w="622" w:type="pct"/>
            <w:vMerge w:val="restart"/>
            <w:tcBorders>
              <w:left w:val="nil"/>
              <w:bottom w:val="single" w:sz="8" w:space="0" w:color="000000"/>
              <w:right w:val="nil"/>
            </w:tcBorders>
            <w:shd w:val="clear" w:color="auto" w:fill="auto"/>
            <w:vAlign w:val="center"/>
            <w:hideMark/>
          </w:tcPr>
          <w:p w14:paraId="09185040"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2014</w:t>
            </w:r>
          </w:p>
        </w:tc>
        <w:tc>
          <w:tcPr>
            <w:tcW w:w="492" w:type="pct"/>
            <w:vMerge w:val="restart"/>
            <w:tcBorders>
              <w:left w:val="nil"/>
              <w:bottom w:val="single" w:sz="8" w:space="0" w:color="000000"/>
              <w:right w:val="nil"/>
            </w:tcBorders>
            <w:shd w:val="clear" w:color="auto" w:fill="auto"/>
            <w:vAlign w:val="center"/>
            <w:hideMark/>
          </w:tcPr>
          <w:p w14:paraId="04CB6BAA"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2015</w:t>
            </w:r>
          </w:p>
        </w:tc>
        <w:tc>
          <w:tcPr>
            <w:tcW w:w="739" w:type="pct"/>
            <w:vMerge w:val="restart"/>
            <w:tcBorders>
              <w:left w:val="nil"/>
              <w:bottom w:val="single" w:sz="8" w:space="0" w:color="000000"/>
              <w:right w:val="nil"/>
            </w:tcBorders>
            <w:shd w:val="clear" w:color="auto" w:fill="auto"/>
            <w:vAlign w:val="center"/>
            <w:hideMark/>
          </w:tcPr>
          <w:p w14:paraId="0AEE0605"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2016</w:t>
            </w:r>
          </w:p>
        </w:tc>
        <w:tc>
          <w:tcPr>
            <w:tcW w:w="954" w:type="pct"/>
            <w:vMerge/>
            <w:tcBorders>
              <w:left w:val="nil"/>
              <w:right w:val="nil"/>
            </w:tcBorders>
            <w:shd w:val="clear" w:color="auto" w:fill="auto"/>
            <w:vAlign w:val="center"/>
            <w:hideMark/>
          </w:tcPr>
          <w:p w14:paraId="68699633" w14:textId="77777777" w:rsidR="00E44FC6" w:rsidRPr="00AE4E8D" w:rsidRDefault="00E44FC6" w:rsidP="00180FE4">
            <w:pPr>
              <w:jc w:val="center"/>
              <w:rPr>
                <w:rFonts w:ascii="Times New Roman" w:hAnsi="Times New Roman"/>
                <w:b/>
                <w:color w:val="000000"/>
                <w:sz w:val="18"/>
                <w:lang w:val="es-ES"/>
              </w:rPr>
            </w:pPr>
          </w:p>
        </w:tc>
        <w:tc>
          <w:tcPr>
            <w:tcW w:w="807" w:type="pct"/>
            <w:tcBorders>
              <w:left w:val="nil"/>
              <w:bottom w:val="nil"/>
              <w:right w:val="nil"/>
            </w:tcBorders>
            <w:shd w:val="clear" w:color="auto" w:fill="auto"/>
            <w:vAlign w:val="center"/>
            <w:hideMark/>
          </w:tcPr>
          <w:p w14:paraId="35B41F0F"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Variación</w:t>
            </w:r>
          </w:p>
        </w:tc>
      </w:tr>
      <w:tr w:rsidR="003B5193" w:rsidRPr="00AE4E8D" w14:paraId="467E3F4E" w14:textId="77777777" w:rsidTr="004E57A7">
        <w:trPr>
          <w:trHeight w:val="300"/>
          <w:jc w:val="center"/>
        </w:trPr>
        <w:tc>
          <w:tcPr>
            <w:tcW w:w="1386" w:type="pct"/>
            <w:vMerge/>
            <w:tcBorders>
              <w:top w:val="nil"/>
              <w:left w:val="nil"/>
              <w:bottom w:val="nil"/>
              <w:right w:val="nil"/>
            </w:tcBorders>
            <w:vAlign w:val="center"/>
            <w:hideMark/>
          </w:tcPr>
          <w:p w14:paraId="72F29C0E" w14:textId="77777777" w:rsidR="00E44FC6" w:rsidRPr="00AE4E8D" w:rsidRDefault="00E44FC6" w:rsidP="00180FE4">
            <w:pPr>
              <w:jc w:val="center"/>
              <w:rPr>
                <w:rFonts w:ascii="Times New Roman" w:hAnsi="Times New Roman"/>
                <w:color w:val="000000"/>
                <w:sz w:val="22"/>
                <w:lang w:val="es-ES"/>
              </w:rPr>
            </w:pPr>
          </w:p>
        </w:tc>
        <w:tc>
          <w:tcPr>
            <w:tcW w:w="622" w:type="pct"/>
            <w:vMerge/>
            <w:tcBorders>
              <w:top w:val="single" w:sz="8" w:space="0" w:color="auto"/>
              <w:left w:val="nil"/>
              <w:bottom w:val="single" w:sz="8" w:space="0" w:color="000000"/>
              <w:right w:val="nil"/>
            </w:tcBorders>
            <w:vAlign w:val="center"/>
            <w:hideMark/>
          </w:tcPr>
          <w:p w14:paraId="6059A751" w14:textId="77777777" w:rsidR="00E44FC6" w:rsidRPr="00AE4E8D" w:rsidRDefault="00E44FC6" w:rsidP="00180FE4">
            <w:pPr>
              <w:jc w:val="center"/>
              <w:rPr>
                <w:rFonts w:ascii="Times New Roman" w:hAnsi="Times New Roman"/>
                <w:b/>
                <w:color w:val="000000"/>
                <w:sz w:val="18"/>
                <w:lang w:val="es-ES"/>
              </w:rPr>
            </w:pPr>
          </w:p>
        </w:tc>
        <w:tc>
          <w:tcPr>
            <w:tcW w:w="492" w:type="pct"/>
            <w:vMerge/>
            <w:tcBorders>
              <w:top w:val="single" w:sz="8" w:space="0" w:color="auto"/>
              <w:left w:val="nil"/>
              <w:bottom w:val="single" w:sz="8" w:space="0" w:color="000000"/>
              <w:right w:val="nil"/>
            </w:tcBorders>
            <w:vAlign w:val="center"/>
            <w:hideMark/>
          </w:tcPr>
          <w:p w14:paraId="6A74AD5C" w14:textId="77777777" w:rsidR="00E44FC6" w:rsidRPr="00AE4E8D" w:rsidRDefault="00E44FC6" w:rsidP="00180FE4">
            <w:pPr>
              <w:jc w:val="center"/>
              <w:rPr>
                <w:rFonts w:ascii="Times New Roman" w:hAnsi="Times New Roman"/>
                <w:b/>
                <w:color w:val="000000"/>
                <w:sz w:val="18"/>
                <w:lang w:val="es-ES"/>
              </w:rPr>
            </w:pPr>
          </w:p>
        </w:tc>
        <w:tc>
          <w:tcPr>
            <w:tcW w:w="739" w:type="pct"/>
            <w:vMerge/>
            <w:tcBorders>
              <w:top w:val="single" w:sz="8" w:space="0" w:color="auto"/>
              <w:left w:val="nil"/>
              <w:bottom w:val="single" w:sz="8" w:space="0" w:color="000000"/>
              <w:right w:val="nil"/>
            </w:tcBorders>
            <w:vAlign w:val="center"/>
            <w:hideMark/>
          </w:tcPr>
          <w:p w14:paraId="192B8195" w14:textId="77777777" w:rsidR="00E44FC6" w:rsidRPr="00AE4E8D" w:rsidRDefault="00E44FC6" w:rsidP="00180FE4">
            <w:pPr>
              <w:jc w:val="center"/>
              <w:rPr>
                <w:rFonts w:ascii="Times New Roman" w:hAnsi="Times New Roman"/>
                <w:b/>
                <w:color w:val="000000"/>
                <w:sz w:val="18"/>
                <w:lang w:val="es-ES"/>
              </w:rPr>
            </w:pPr>
          </w:p>
        </w:tc>
        <w:tc>
          <w:tcPr>
            <w:tcW w:w="954" w:type="pct"/>
            <w:vMerge/>
            <w:tcBorders>
              <w:left w:val="nil"/>
              <w:bottom w:val="single" w:sz="8" w:space="0" w:color="000000"/>
              <w:right w:val="nil"/>
            </w:tcBorders>
            <w:vAlign w:val="center"/>
            <w:hideMark/>
          </w:tcPr>
          <w:p w14:paraId="3516FED5" w14:textId="77777777" w:rsidR="00E44FC6" w:rsidRPr="00AE4E8D" w:rsidRDefault="00E44FC6" w:rsidP="00180FE4">
            <w:pPr>
              <w:jc w:val="center"/>
              <w:rPr>
                <w:rFonts w:ascii="Times New Roman" w:hAnsi="Times New Roman"/>
                <w:b/>
                <w:color w:val="000000"/>
                <w:sz w:val="18"/>
                <w:lang w:val="es-ES"/>
              </w:rPr>
            </w:pPr>
          </w:p>
        </w:tc>
        <w:tc>
          <w:tcPr>
            <w:tcW w:w="807" w:type="pct"/>
            <w:tcBorders>
              <w:top w:val="nil"/>
              <w:left w:val="nil"/>
              <w:bottom w:val="single" w:sz="8" w:space="0" w:color="auto"/>
              <w:right w:val="nil"/>
            </w:tcBorders>
            <w:shd w:val="clear" w:color="auto" w:fill="auto"/>
            <w:vAlign w:val="center"/>
            <w:hideMark/>
          </w:tcPr>
          <w:p w14:paraId="4E3AF2B7" w14:textId="77777777" w:rsidR="00E44FC6" w:rsidRPr="00AE4E8D" w:rsidRDefault="00E44FC6" w:rsidP="00180FE4">
            <w:pPr>
              <w:jc w:val="center"/>
              <w:rPr>
                <w:rFonts w:ascii="Times New Roman" w:hAnsi="Times New Roman"/>
                <w:b/>
                <w:color w:val="000000"/>
                <w:sz w:val="18"/>
                <w:lang w:val="es-ES"/>
              </w:rPr>
            </w:pPr>
            <w:r w:rsidRPr="00AE4E8D">
              <w:rPr>
                <w:rFonts w:ascii="Times New Roman" w:hAnsi="Times New Roman"/>
                <w:b/>
                <w:color w:val="000000"/>
                <w:sz w:val="18"/>
                <w:lang w:val="es-ES"/>
              </w:rPr>
              <w:t>2016/2017</w:t>
            </w:r>
          </w:p>
        </w:tc>
      </w:tr>
      <w:tr w:rsidR="00E44FC6" w:rsidRPr="00AE4E8D" w14:paraId="0B98E5D5" w14:textId="77777777" w:rsidTr="000400C8">
        <w:trPr>
          <w:trHeight w:val="288"/>
          <w:jc w:val="center"/>
        </w:trPr>
        <w:tc>
          <w:tcPr>
            <w:tcW w:w="1386" w:type="pct"/>
            <w:tcBorders>
              <w:top w:val="nil"/>
              <w:left w:val="nil"/>
              <w:bottom w:val="nil"/>
              <w:right w:val="nil"/>
            </w:tcBorders>
            <w:shd w:val="clear" w:color="auto" w:fill="auto"/>
            <w:vAlign w:val="center"/>
          </w:tcPr>
          <w:p w14:paraId="744F7198" w14:textId="77777777" w:rsidR="00E44FC6" w:rsidRPr="00AE4E8D" w:rsidRDefault="00E44FC6" w:rsidP="00180FE4">
            <w:pPr>
              <w:jc w:val="center"/>
              <w:rPr>
                <w:rFonts w:ascii="Times New Roman" w:hAnsi="Times New Roman"/>
                <w:color w:val="000000"/>
                <w:sz w:val="18"/>
                <w:lang w:val="es-ES"/>
              </w:rPr>
            </w:pPr>
          </w:p>
        </w:tc>
        <w:tc>
          <w:tcPr>
            <w:tcW w:w="3614" w:type="pct"/>
            <w:gridSpan w:val="5"/>
            <w:tcBorders>
              <w:top w:val="nil"/>
              <w:left w:val="nil"/>
              <w:bottom w:val="nil"/>
              <w:right w:val="nil"/>
            </w:tcBorders>
            <w:shd w:val="clear" w:color="auto" w:fill="auto"/>
            <w:vAlign w:val="center"/>
          </w:tcPr>
          <w:p w14:paraId="26C5C164" w14:textId="77777777" w:rsidR="00E44FC6" w:rsidRPr="00AE4E8D" w:rsidRDefault="00E44FC6" w:rsidP="00180FE4">
            <w:pPr>
              <w:jc w:val="center"/>
              <w:rPr>
                <w:rFonts w:ascii="Times New Roman" w:hAnsi="Times New Roman"/>
                <w:color w:val="000000"/>
                <w:sz w:val="18"/>
                <w:lang w:val="es-ES"/>
              </w:rPr>
            </w:pPr>
            <w:r w:rsidRPr="00AE4E8D">
              <w:rPr>
                <w:rFonts w:ascii="Times New Roman" w:eastAsia="Calibri" w:hAnsi="Times New Roman"/>
                <w:lang w:val="es-ES" w:eastAsia="es-AR"/>
              </w:rPr>
              <w:t>(en millones de pesos)</w:t>
            </w:r>
          </w:p>
        </w:tc>
      </w:tr>
      <w:tr w:rsidR="00E44FC6" w:rsidRPr="00AE4E8D" w14:paraId="4EB8C907" w14:textId="77777777" w:rsidTr="000400C8">
        <w:trPr>
          <w:trHeight w:val="288"/>
          <w:jc w:val="center"/>
        </w:trPr>
        <w:tc>
          <w:tcPr>
            <w:tcW w:w="1386" w:type="pct"/>
            <w:tcBorders>
              <w:top w:val="nil"/>
              <w:left w:val="nil"/>
              <w:bottom w:val="nil"/>
              <w:right w:val="nil"/>
            </w:tcBorders>
            <w:shd w:val="clear" w:color="auto" w:fill="auto"/>
            <w:vAlign w:val="center"/>
            <w:hideMark/>
          </w:tcPr>
          <w:p w14:paraId="03B5E151"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Mínimo</w:t>
            </w:r>
          </w:p>
        </w:tc>
        <w:tc>
          <w:tcPr>
            <w:tcW w:w="622" w:type="pct"/>
            <w:tcBorders>
              <w:top w:val="nil"/>
              <w:left w:val="nil"/>
              <w:bottom w:val="nil"/>
              <w:right w:val="nil"/>
            </w:tcBorders>
            <w:shd w:val="clear" w:color="auto" w:fill="auto"/>
            <w:vAlign w:val="center"/>
            <w:hideMark/>
          </w:tcPr>
          <w:p w14:paraId="73919818"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379</w:t>
            </w:r>
          </w:p>
        </w:tc>
        <w:tc>
          <w:tcPr>
            <w:tcW w:w="492" w:type="pct"/>
            <w:tcBorders>
              <w:top w:val="nil"/>
              <w:left w:val="nil"/>
              <w:bottom w:val="nil"/>
              <w:right w:val="nil"/>
            </w:tcBorders>
            <w:shd w:val="clear" w:color="auto" w:fill="auto"/>
            <w:vAlign w:val="center"/>
            <w:hideMark/>
          </w:tcPr>
          <w:p w14:paraId="3384CF59"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481</w:t>
            </w:r>
          </w:p>
        </w:tc>
        <w:tc>
          <w:tcPr>
            <w:tcW w:w="739" w:type="pct"/>
            <w:tcBorders>
              <w:top w:val="nil"/>
              <w:left w:val="nil"/>
              <w:bottom w:val="nil"/>
              <w:right w:val="nil"/>
            </w:tcBorders>
            <w:shd w:val="clear" w:color="auto" w:fill="auto"/>
            <w:vAlign w:val="center"/>
            <w:hideMark/>
          </w:tcPr>
          <w:p w14:paraId="09136247"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481</w:t>
            </w:r>
          </w:p>
        </w:tc>
        <w:tc>
          <w:tcPr>
            <w:tcW w:w="954" w:type="pct"/>
            <w:tcBorders>
              <w:top w:val="nil"/>
              <w:left w:val="nil"/>
              <w:bottom w:val="nil"/>
              <w:right w:val="nil"/>
            </w:tcBorders>
            <w:shd w:val="clear" w:color="auto" w:fill="auto"/>
            <w:vAlign w:val="center"/>
            <w:hideMark/>
          </w:tcPr>
          <w:p w14:paraId="47ADE235"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856</w:t>
            </w:r>
          </w:p>
        </w:tc>
        <w:tc>
          <w:tcPr>
            <w:tcW w:w="807" w:type="pct"/>
            <w:tcBorders>
              <w:top w:val="nil"/>
              <w:left w:val="nil"/>
              <w:bottom w:val="nil"/>
              <w:right w:val="nil"/>
            </w:tcBorders>
            <w:shd w:val="clear" w:color="auto" w:fill="auto"/>
            <w:vAlign w:val="center"/>
            <w:hideMark/>
          </w:tcPr>
          <w:p w14:paraId="74CBEFBB"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374,67</w:t>
            </w:r>
          </w:p>
        </w:tc>
      </w:tr>
      <w:tr w:rsidR="00E44FC6" w:rsidRPr="00AE4E8D" w14:paraId="7C718FCE" w14:textId="77777777" w:rsidTr="000400C8">
        <w:trPr>
          <w:trHeight w:val="288"/>
          <w:jc w:val="center"/>
        </w:trPr>
        <w:tc>
          <w:tcPr>
            <w:tcW w:w="1386" w:type="pct"/>
            <w:tcBorders>
              <w:top w:val="nil"/>
              <w:left w:val="nil"/>
              <w:bottom w:val="nil"/>
              <w:right w:val="nil"/>
            </w:tcBorders>
            <w:shd w:val="clear" w:color="auto" w:fill="auto"/>
            <w:vAlign w:val="center"/>
            <w:hideMark/>
          </w:tcPr>
          <w:p w14:paraId="2204E132"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Máximo</w:t>
            </w:r>
          </w:p>
        </w:tc>
        <w:tc>
          <w:tcPr>
            <w:tcW w:w="622" w:type="pct"/>
            <w:tcBorders>
              <w:top w:val="nil"/>
              <w:left w:val="nil"/>
              <w:bottom w:val="nil"/>
              <w:right w:val="nil"/>
            </w:tcBorders>
            <w:shd w:val="clear" w:color="auto" w:fill="auto"/>
            <w:vAlign w:val="center"/>
            <w:hideMark/>
          </w:tcPr>
          <w:p w14:paraId="303FF1DD"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521</w:t>
            </w:r>
          </w:p>
        </w:tc>
        <w:tc>
          <w:tcPr>
            <w:tcW w:w="492" w:type="pct"/>
            <w:tcBorders>
              <w:top w:val="nil"/>
              <w:left w:val="nil"/>
              <w:bottom w:val="nil"/>
              <w:right w:val="nil"/>
            </w:tcBorders>
            <w:shd w:val="clear" w:color="auto" w:fill="auto"/>
            <w:vAlign w:val="center"/>
            <w:hideMark/>
          </w:tcPr>
          <w:p w14:paraId="202E75B1"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699</w:t>
            </w:r>
          </w:p>
        </w:tc>
        <w:tc>
          <w:tcPr>
            <w:tcW w:w="739" w:type="pct"/>
            <w:tcBorders>
              <w:top w:val="nil"/>
              <w:left w:val="nil"/>
              <w:bottom w:val="nil"/>
              <w:right w:val="nil"/>
            </w:tcBorders>
            <w:shd w:val="clear" w:color="auto" w:fill="auto"/>
            <w:vAlign w:val="center"/>
            <w:hideMark/>
          </w:tcPr>
          <w:p w14:paraId="3165C8F0"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952</w:t>
            </w:r>
          </w:p>
        </w:tc>
        <w:tc>
          <w:tcPr>
            <w:tcW w:w="954" w:type="pct"/>
            <w:tcBorders>
              <w:top w:val="nil"/>
              <w:left w:val="nil"/>
              <w:bottom w:val="nil"/>
              <w:right w:val="nil"/>
            </w:tcBorders>
            <w:shd w:val="clear" w:color="auto" w:fill="auto"/>
            <w:vAlign w:val="center"/>
            <w:hideMark/>
          </w:tcPr>
          <w:p w14:paraId="28DA7D86"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940</w:t>
            </w:r>
          </w:p>
        </w:tc>
        <w:tc>
          <w:tcPr>
            <w:tcW w:w="807" w:type="pct"/>
            <w:tcBorders>
              <w:top w:val="nil"/>
              <w:left w:val="nil"/>
              <w:bottom w:val="nil"/>
              <w:right w:val="nil"/>
            </w:tcBorders>
            <w:shd w:val="clear" w:color="auto" w:fill="auto"/>
            <w:vAlign w:val="center"/>
            <w:hideMark/>
          </w:tcPr>
          <w:p w14:paraId="610E4B74" w14:textId="77777777" w:rsidR="00E44FC6" w:rsidRPr="00AE4E8D" w:rsidRDefault="004F22BE" w:rsidP="00180FE4">
            <w:pPr>
              <w:jc w:val="center"/>
              <w:rPr>
                <w:rFonts w:ascii="Times New Roman" w:hAnsi="Times New Roman"/>
                <w:color w:val="000000"/>
                <w:sz w:val="18"/>
                <w:lang w:val="es-ES"/>
              </w:rPr>
            </w:pPr>
            <w:r w:rsidRPr="00AE4E8D">
              <w:rPr>
                <w:rFonts w:ascii="Times New Roman" w:hAnsi="Times New Roman"/>
                <w:color w:val="000000"/>
                <w:sz w:val="18"/>
                <w:lang w:val="es-ES"/>
              </w:rPr>
              <w:t>(</w:t>
            </w:r>
            <w:r w:rsidR="00E44FC6" w:rsidRPr="00AE4E8D">
              <w:rPr>
                <w:rFonts w:ascii="Times New Roman" w:hAnsi="Times New Roman"/>
                <w:color w:val="000000"/>
                <w:sz w:val="18"/>
                <w:lang w:val="es-ES"/>
              </w:rPr>
              <w:t>12,00</w:t>
            </w:r>
            <w:r w:rsidRPr="00AE4E8D">
              <w:rPr>
                <w:rFonts w:ascii="Times New Roman" w:hAnsi="Times New Roman"/>
                <w:color w:val="000000"/>
                <w:sz w:val="18"/>
                <w:lang w:val="es-ES"/>
              </w:rPr>
              <w:t>)</w:t>
            </w:r>
          </w:p>
        </w:tc>
      </w:tr>
      <w:tr w:rsidR="00E44FC6" w:rsidRPr="00AE4E8D" w14:paraId="47B8819E" w14:textId="77777777" w:rsidTr="000400C8">
        <w:trPr>
          <w:trHeight w:val="291"/>
          <w:jc w:val="center"/>
        </w:trPr>
        <w:tc>
          <w:tcPr>
            <w:tcW w:w="1386" w:type="pct"/>
            <w:tcBorders>
              <w:top w:val="nil"/>
              <w:left w:val="nil"/>
              <w:bottom w:val="nil"/>
              <w:right w:val="nil"/>
            </w:tcBorders>
            <w:shd w:val="clear" w:color="auto" w:fill="auto"/>
            <w:vAlign w:val="center"/>
            <w:hideMark/>
          </w:tcPr>
          <w:p w14:paraId="2BA6DCE8"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Promedio</w:t>
            </w:r>
          </w:p>
        </w:tc>
        <w:tc>
          <w:tcPr>
            <w:tcW w:w="622" w:type="pct"/>
            <w:tcBorders>
              <w:top w:val="nil"/>
              <w:left w:val="nil"/>
              <w:bottom w:val="nil"/>
              <w:right w:val="nil"/>
            </w:tcBorders>
            <w:shd w:val="clear" w:color="auto" w:fill="auto"/>
            <w:vAlign w:val="center"/>
            <w:hideMark/>
          </w:tcPr>
          <w:p w14:paraId="3B75688E"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430</w:t>
            </w:r>
          </w:p>
        </w:tc>
        <w:tc>
          <w:tcPr>
            <w:tcW w:w="492" w:type="pct"/>
            <w:tcBorders>
              <w:top w:val="nil"/>
              <w:left w:val="nil"/>
              <w:bottom w:val="nil"/>
              <w:right w:val="nil"/>
            </w:tcBorders>
            <w:shd w:val="clear" w:color="auto" w:fill="auto"/>
            <w:vAlign w:val="center"/>
            <w:hideMark/>
          </w:tcPr>
          <w:p w14:paraId="2238D2E0"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562</w:t>
            </w:r>
          </w:p>
        </w:tc>
        <w:tc>
          <w:tcPr>
            <w:tcW w:w="739" w:type="pct"/>
            <w:tcBorders>
              <w:top w:val="nil"/>
              <w:left w:val="nil"/>
              <w:bottom w:val="nil"/>
              <w:right w:val="nil"/>
            </w:tcBorders>
            <w:shd w:val="clear" w:color="auto" w:fill="auto"/>
            <w:vAlign w:val="center"/>
            <w:hideMark/>
          </w:tcPr>
          <w:p w14:paraId="78FE9332"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616</w:t>
            </w:r>
          </w:p>
        </w:tc>
        <w:tc>
          <w:tcPr>
            <w:tcW w:w="954" w:type="pct"/>
            <w:tcBorders>
              <w:top w:val="nil"/>
              <w:left w:val="nil"/>
              <w:bottom w:val="nil"/>
              <w:right w:val="nil"/>
            </w:tcBorders>
            <w:shd w:val="clear" w:color="auto" w:fill="auto"/>
            <w:vAlign w:val="center"/>
            <w:hideMark/>
          </w:tcPr>
          <w:p w14:paraId="5961CB5D"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885</w:t>
            </w:r>
          </w:p>
        </w:tc>
        <w:tc>
          <w:tcPr>
            <w:tcW w:w="807" w:type="pct"/>
            <w:tcBorders>
              <w:top w:val="nil"/>
              <w:left w:val="nil"/>
              <w:bottom w:val="nil"/>
              <w:right w:val="nil"/>
            </w:tcBorders>
            <w:shd w:val="clear" w:color="auto" w:fill="auto"/>
            <w:vAlign w:val="center"/>
            <w:hideMark/>
          </w:tcPr>
          <w:p w14:paraId="17C3A5B3"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268,52</w:t>
            </w:r>
          </w:p>
        </w:tc>
      </w:tr>
      <w:tr w:rsidR="00E44FC6" w:rsidRPr="00AE4E8D" w14:paraId="27B6FA9C" w14:textId="77777777" w:rsidTr="000400C8">
        <w:trPr>
          <w:trHeight w:val="288"/>
          <w:jc w:val="center"/>
        </w:trPr>
        <w:tc>
          <w:tcPr>
            <w:tcW w:w="1386" w:type="pct"/>
            <w:tcBorders>
              <w:top w:val="nil"/>
              <w:left w:val="nil"/>
              <w:bottom w:val="nil"/>
              <w:right w:val="nil"/>
            </w:tcBorders>
            <w:shd w:val="clear" w:color="auto" w:fill="auto"/>
            <w:vAlign w:val="center"/>
            <w:hideMark/>
          </w:tcPr>
          <w:p w14:paraId="0C517014"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Al final del período</w:t>
            </w:r>
          </w:p>
        </w:tc>
        <w:tc>
          <w:tcPr>
            <w:tcW w:w="622" w:type="pct"/>
            <w:tcBorders>
              <w:top w:val="nil"/>
              <w:left w:val="nil"/>
              <w:bottom w:val="nil"/>
              <w:right w:val="nil"/>
            </w:tcBorders>
            <w:shd w:val="clear" w:color="auto" w:fill="auto"/>
            <w:vAlign w:val="center"/>
            <w:hideMark/>
          </w:tcPr>
          <w:p w14:paraId="2B457566"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521</w:t>
            </w:r>
          </w:p>
        </w:tc>
        <w:tc>
          <w:tcPr>
            <w:tcW w:w="492" w:type="pct"/>
            <w:tcBorders>
              <w:top w:val="nil"/>
              <w:left w:val="nil"/>
              <w:bottom w:val="nil"/>
              <w:right w:val="nil"/>
            </w:tcBorders>
            <w:shd w:val="clear" w:color="auto" w:fill="auto"/>
            <w:vAlign w:val="center"/>
            <w:hideMark/>
          </w:tcPr>
          <w:p w14:paraId="22B5A47F"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699</w:t>
            </w:r>
          </w:p>
        </w:tc>
        <w:tc>
          <w:tcPr>
            <w:tcW w:w="739" w:type="pct"/>
            <w:tcBorders>
              <w:top w:val="nil"/>
              <w:left w:val="nil"/>
              <w:bottom w:val="nil"/>
              <w:right w:val="nil"/>
            </w:tcBorders>
            <w:shd w:val="clear" w:color="auto" w:fill="auto"/>
            <w:vAlign w:val="center"/>
            <w:hideMark/>
          </w:tcPr>
          <w:p w14:paraId="2D7458D5"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894</w:t>
            </w:r>
          </w:p>
        </w:tc>
        <w:tc>
          <w:tcPr>
            <w:tcW w:w="954" w:type="pct"/>
            <w:tcBorders>
              <w:top w:val="nil"/>
              <w:left w:val="nil"/>
              <w:bottom w:val="nil"/>
              <w:right w:val="nil"/>
            </w:tcBorders>
            <w:shd w:val="clear" w:color="auto" w:fill="auto"/>
            <w:vAlign w:val="center"/>
            <w:hideMark/>
          </w:tcPr>
          <w:p w14:paraId="63809BCC" w14:textId="77777777" w:rsidR="00E44FC6" w:rsidRPr="00AE4E8D" w:rsidRDefault="00E44FC6" w:rsidP="00180FE4">
            <w:pPr>
              <w:jc w:val="center"/>
              <w:rPr>
                <w:rFonts w:ascii="Times New Roman" w:hAnsi="Times New Roman"/>
                <w:sz w:val="18"/>
                <w:lang w:val="es-ES"/>
              </w:rPr>
            </w:pPr>
            <w:r w:rsidRPr="00AE4E8D">
              <w:rPr>
                <w:rFonts w:ascii="Times New Roman" w:hAnsi="Times New Roman"/>
                <w:sz w:val="18"/>
                <w:lang w:val="es-ES"/>
              </w:rPr>
              <w:t>905</w:t>
            </w:r>
          </w:p>
        </w:tc>
        <w:tc>
          <w:tcPr>
            <w:tcW w:w="807" w:type="pct"/>
            <w:tcBorders>
              <w:top w:val="nil"/>
              <w:left w:val="nil"/>
              <w:bottom w:val="nil"/>
              <w:right w:val="nil"/>
            </w:tcBorders>
            <w:shd w:val="clear" w:color="auto" w:fill="auto"/>
            <w:vAlign w:val="center"/>
            <w:hideMark/>
          </w:tcPr>
          <w:p w14:paraId="57E5D8B2" w14:textId="77777777" w:rsidR="00E44FC6" w:rsidRPr="00AE4E8D" w:rsidRDefault="00E44FC6" w:rsidP="00180FE4">
            <w:pPr>
              <w:jc w:val="center"/>
              <w:rPr>
                <w:rFonts w:ascii="Times New Roman" w:hAnsi="Times New Roman"/>
                <w:color w:val="000000"/>
                <w:sz w:val="18"/>
                <w:lang w:val="es-ES"/>
              </w:rPr>
            </w:pPr>
            <w:r w:rsidRPr="00AE4E8D">
              <w:rPr>
                <w:rFonts w:ascii="Times New Roman" w:hAnsi="Times New Roman"/>
                <w:color w:val="000000"/>
                <w:sz w:val="18"/>
                <w:lang w:val="es-ES"/>
              </w:rPr>
              <w:t>11,00</w:t>
            </w:r>
          </w:p>
        </w:tc>
      </w:tr>
    </w:tbl>
    <w:p w14:paraId="31B8F343" w14:textId="77777777" w:rsidR="00CB5660" w:rsidRPr="00AE4E8D" w:rsidRDefault="00B82006" w:rsidP="00B82006">
      <w:pPr>
        <w:pStyle w:val="BH1Centro"/>
        <w:rPr>
          <w:rFonts w:ascii="Times New Roman" w:hAnsi="Times New Roman"/>
          <w:lang w:val="es-ES"/>
        </w:rPr>
      </w:pPr>
      <w:bookmarkStart w:id="552" w:name="_Toc449010433"/>
      <w:bookmarkStart w:id="553" w:name="_Toc487734743"/>
      <w:bookmarkEnd w:id="544"/>
      <w:bookmarkEnd w:id="545"/>
      <w:bookmarkEnd w:id="546"/>
      <w:r w:rsidRPr="00AE4E8D">
        <w:rPr>
          <w:rFonts w:ascii="Times New Roman" w:hAnsi="Times New Roman"/>
          <w:lang w:val="es-ES"/>
        </w:rPr>
        <w:br w:type="page"/>
      </w:r>
      <w:bookmarkStart w:id="554" w:name="_Toc495973025"/>
      <w:bookmarkStart w:id="555" w:name="_Toc495399932"/>
      <w:r w:rsidR="00CB5660" w:rsidRPr="00AE4E8D">
        <w:rPr>
          <w:rFonts w:ascii="Times New Roman" w:hAnsi="Times New Roman"/>
          <w:lang w:val="es-ES"/>
        </w:rPr>
        <w:lastRenderedPageBreak/>
        <w:t>EL SISTEMA BANCARIO ARGENTINO</w:t>
      </w:r>
      <w:bookmarkEnd w:id="552"/>
      <w:bookmarkEnd w:id="553"/>
      <w:bookmarkEnd w:id="554"/>
      <w:bookmarkEnd w:id="555"/>
    </w:p>
    <w:p w14:paraId="1F591AD9"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56" w:name="_DV_M965"/>
      <w:bookmarkStart w:id="557" w:name="_Toc495973026"/>
      <w:bookmarkStart w:id="558" w:name="_Toc495399933"/>
      <w:bookmarkStart w:id="559" w:name="_Toc421201413"/>
      <w:bookmarkEnd w:id="556"/>
      <w:r w:rsidRPr="00AE4E8D">
        <w:rPr>
          <w:rFonts w:ascii="Times New Roman" w:hAnsi="Times New Roman"/>
          <w:b/>
          <w:lang w:val="es-ES"/>
        </w:rPr>
        <w:t>Panorama General</w:t>
      </w:r>
      <w:bookmarkEnd w:id="557"/>
      <w:bookmarkEnd w:id="558"/>
    </w:p>
    <w:p w14:paraId="3867B194" w14:textId="77777777" w:rsidR="001602E0" w:rsidRPr="00AE4E8D" w:rsidRDefault="001602E0" w:rsidP="00241071">
      <w:pPr>
        <w:pStyle w:val="BHTexto"/>
        <w:rPr>
          <w:lang w:val="es-ES"/>
        </w:rPr>
      </w:pPr>
      <w:r w:rsidRPr="00AE4E8D">
        <w:rPr>
          <w:lang w:val="es-ES"/>
        </w:rPr>
        <w:t>Al 30 de abril</w:t>
      </w:r>
      <w:r w:rsidR="00863248" w:rsidRPr="00AE4E8D">
        <w:rPr>
          <w:lang w:val="es-ES"/>
        </w:rPr>
        <w:t xml:space="preserve"> </w:t>
      </w:r>
      <w:r w:rsidRPr="00AE4E8D">
        <w:rPr>
          <w:lang w:val="es-ES"/>
        </w:rPr>
        <w:t>de 2017 el sistema financiero argentino estaba compuesto por 78 entidades financieras (bancos, compañías financieras y cajas de crédito), de las cuales 65 eran entidades privadas de capital nacional o extranjero y 13 eran entidades financieras estatales de Argentina.</w:t>
      </w:r>
    </w:p>
    <w:p w14:paraId="7D143DD3" w14:textId="77777777" w:rsidR="001602E0" w:rsidRPr="00AE4E8D" w:rsidRDefault="001602E0" w:rsidP="00241071">
      <w:pPr>
        <w:pStyle w:val="BHTexto"/>
        <w:rPr>
          <w:lang w:val="es-ES"/>
        </w:rPr>
      </w:pPr>
      <w:r w:rsidRPr="00AE4E8D">
        <w:rPr>
          <w:lang w:val="es-ES"/>
        </w:rPr>
        <w:t>Al 30 de abril</w:t>
      </w:r>
      <w:r w:rsidR="00863248" w:rsidRPr="00AE4E8D">
        <w:rPr>
          <w:lang w:val="es-ES"/>
        </w:rPr>
        <w:t xml:space="preserve"> </w:t>
      </w:r>
      <w:r w:rsidRPr="00AE4E8D">
        <w:rPr>
          <w:lang w:val="es-ES"/>
        </w:rPr>
        <w:t>de 2017, de las 65 entidades financieras privadas, 33 eran entidades financieras privadas locales, 17 eran de capital privado extranjero (es decir, sucursales o subsidiarias de entidades financieras extranjeras); 14 eran entidades financieras privadas (es decir, sociedades anónimas); y uno era un banco cooperativo limitado privado.</w:t>
      </w:r>
    </w:p>
    <w:p w14:paraId="0C94B74D" w14:textId="77777777" w:rsidR="001602E0" w:rsidRPr="00AE4E8D" w:rsidRDefault="001602E0" w:rsidP="00241071">
      <w:pPr>
        <w:pStyle w:val="BHTexto"/>
        <w:rPr>
          <w:lang w:val="es-ES"/>
        </w:rPr>
      </w:pPr>
      <w:r w:rsidRPr="00AE4E8D">
        <w:rPr>
          <w:lang w:val="es-ES"/>
        </w:rPr>
        <w:t>Los diez bancos comerciales privados más importantes, en función de los activos totales al 30 de abril</w:t>
      </w:r>
      <w:r w:rsidR="00863248" w:rsidRPr="00AE4E8D">
        <w:rPr>
          <w:lang w:val="es-ES"/>
        </w:rPr>
        <w:t xml:space="preserve"> </w:t>
      </w:r>
      <w:r w:rsidRPr="00AE4E8D">
        <w:rPr>
          <w:lang w:val="es-ES"/>
        </w:rPr>
        <w:t>de 2017, eran los siguientes: Banco Santander Río S.A; Banco de Galicia y Buenos Aires S.A.; BBVA Banco Francés S.A.; Banco Macro S.A.; HSBC Bank Argentina S.A.; Banco Credicoop Coop. Ltd</w:t>
      </w:r>
      <w:r w:rsidR="0004410E" w:rsidRPr="00AE4E8D">
        <w:rPr>
          <w:lang w:val="es-ES"/>
        </w:rPr>
        <w:t>a</w:t>
      </w:r>
      <w:r w:rsidRPr="00AE4E8D">
        <w:rPr>
          <w:lang w:val="es-ES"/>
        </w:rPr>
        <w:t>; Industrial and Commercial Bank of China S.A. (Argentina); Banco Patagonia S.A.; Citibank, N.A. y Banco Supervielle S.A. Según la información del BCRA, al 30 de abril</w:t>
      </w:r>
      <w:r w:rsidR="00863248" w:rsidRPr="00AE4E8D">
        <w:rPr>
          <w:lang w:val="es-ES"/>
        </w:rPr>
        <w:t xml:space="preserve"> </w:t>
      </w:r>
      <w:r w:rsidRPr="00AE4E8D">
        <w:rPr>
          <w:lang w:val="es-ES"/>
        </w:rPr>
        <w:t>de 2017, los bancos comerciales privados representaban aproximadamente el 54,1% de los depósitos y aproximadamente el 64,8% de los préstamos del sistema financiero argentino. Los bancos extranjeros más importantes en términos de activos que operaban en la Argentina a dicha fecha eran Banco Santander Río S.A.; BBVA Banco Francés S.A.; HSBC Bank Argentina S.A.; Banco Patagonia S.A.; Industrial and Commercial Bank of China S.A. (Argentina) y Citibank, N.A. Los bancos extranjeros establecidos en Argentina están sujetos a las mismas condiciones reglamentarias que los bancos argentinos. Los bancos cooperativos se dedican principalmente a la banca personal, con énfasis especial en el segmento minorista del mercado. Al 30 de abril de 2017 las entidades financieras (no bancarias) participaban con el 0,3% de los depósitos y el 3,4% de los préstamos en el sistema financiero argentino.</w:t>
      </w:r>
    </w:p>
    <w:p w14:paraId="4048AAF6" w14:textId="77777777" w:rsidR="001602E0" w:rsidRPr="00AE4E8D" w:rsidRDefault="001602E0" w:rsidP="00241071">
      <w:pPr>
        <w:pStyle w:val="BHTexto"/>
        <w:rPr>
          <w:lang w:val="es-ES"/>
        </w:rPr>
      </w:pPr>
      <w:r w:rsidRPr="00AE4E8D">
        <w:rPr>
          <w:lang w:val="es-ES"/>
        </w:rPr>
        <w:t>Los bancos públicos argentinos más importantes, en función de los activos totales, eran el Banco de la Nación Argentina y el Banco de la Provincia de Buenos Aires. Conforme a las disposiciones de la Ley de Entidades Financieras, los bancos públicos y privados poseen derechos y obligaciones similares, con la excepción de que los primeros manejan los ingresos públicos y promueven el desarrollo regional, y algunos de ellos reciben un tratamiento fiscal preferencial. Los Estatutos de algunos bancos públicos disponen que los gobiernos a los cuales pertenecen (</w:t>
      </w:r>
      <w:proofErr w:type="gramStart"/>
      <w:r w:rsidRPr="00AE4E8D">
        <w:rPr>
          <w:lang w:val="es-ES"/>
        </w:rPr>
        <w:t>nacional</w:t>
      </w:r>
      <w:proofErr w:type="gramEnd"/>
      <w:r w:rsidRPr="00AE4E8D">
        <w:rPr>
          <w:lang w:val="es-ES"/>
        </w:rPr>
        <w:t xml:space="preserve"> o provinciales) garantizan sus compromisos. En virtud de las leyes vigentes, el Banco de la Provincia de Buenos Aires no estará sujeto a los impuestos, tasas o contribuciones que el gobierno nacional pueda imponer. Según datos suministrados por el BCRA, al 30 de abril de 2017 los bancos comerciales oficiales y los bancos comerciales en los cuales el Gobierno Argentino tenía una participación mayoritaria en el capital, participaban el 45,5% de los depósitos y en el 31,7% de los préstamos en el sistema financiero argentino.</w:t>
      </w:r>
    </w:p>
    <w:p w14:paraId="3ED37CBA" w14:textId="77777777" w:rsidR="001602E0" w:rsidRPr="00AE4E8D" w:rsidRDefault="001602E0" w:rsidP="003D5A31">
      <w:pPr>
        <w:pStyle w:val="BHTexto"/>
        <w:rPr>
          <w:lang w:val="es-ES"/>
        </w:rPr>
      </w:pPr>
      <w:r w:rsidRPr="00AE4E8D">
        <w:rPr>
          <w:lang w:val="es-ES"/>
        </w:rPr>
        <w:t xml:space="preserve">Debido a la demora del BCRA para actualizar la información del sistema financiero </w:t>
      </w:r>
      <w:r w:rsidR="0004410E" w:rsidRPr="00AE4E8D">
        <w:rPr>
          <w:lang w:val="es-ES"/>
        </w:rPr>
        <w:t xml:space="preserve">no podemos proporcionar información más reciente y </w:t>
      </w:r>
      <w:r w:rsidRPr="00AE4E8D">
        <w:rPr>
          <w:lang w:val="es-ES"/>
        </w:rPr>
        <w:t>no podemos asegurar que la información mencionada anteriormente no se haya desactualizado a la fecha de este Prospecto.</w:t>
      </w:r>
    </w:p>
    <w:p w14:paraId="5264D1D9" w14:textId="77777777" w:rsidR="008C50B4" w:rsidRPr="00AE4E8D" w:rsidRDefault="008C50B4" w:rsidP="008C50B4">
      <w:pPr>
        <w:autoSpaceDE w:val="0"/>
        <w:autoSpaceDN w:val="0"/>
        <w:adjustRightInd w:val="0"/>
        <w:spacing w:before="120" w:after="120"/>
        <w:jc w:val="both"/>
        <w:rPr>
          <w:rFonts w:ascii="Times New Roman" w:hAnsi="Times New Roman"/>
          <w:b/>
          <w:lang w:val="es-ES"/>
        </w:rPr>
      </w:pPr>
      <w:r w:rsidRPr="00AE4E8D">
        <w:rPr>
          <w:rFonts w:ascii="Times New Roman" w:hAnsi="Times New Roman"/>
          <w:b/>
          <w:lang w:val="es-ES"/>
        </w:rPr>
        <w:t>Tamaño del Sistema Financiero en Argentina y en la Región</w:t>
      </w:r>
    </w:p>
    <w:p w14:paraId="00D3495A"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El sistema financiero argentino es relativamente pequeño en tamaño comparado en relación con otros países de la región. La siguiente tabla establece los porcentajes de los préstamos y depósitos comparados con el PBI y con otros países de la región al 31 de diciembre de 2016.</w:t>
      </w:r>
    </w:p>
    <w:tbl>
      <w:tblPr>
        <w:tblW w:w="5000" w:type="pct"/>
        <w:jc w:val="center"/>
        <w:tblLook w:val="00A0" w:firstRow="1" w:lastRow="0" w:firstColumn="1" w:lastColumn="0" w:noHBand="0" w:noVBand="0"/>
      </w:tblPr>
      <w:tblGrid>
        <w:gridCol w:w="4316"/>
        <w:gridCol w:w="2370"/>
        <w:gridCol w:w="2035"/>
      </w:tblGrid>
      <w:tr w:rsidR="008C50B4" w:rsidRPr="00AE4E8D" w14:paraId="7005020B" w14:textId="77777777" w:rsidTr="000400C8">
        <w:trPr>
          <w:jc w:val="center"/>
        </w:trPr>
        <w:tc>
          <w:tcPr>
            <w:tcW w:w="2474" w:type="pct"/>
            <w:tcBorders>
              <w:top w:val="nil"/>
              <w:left w:val="nil"/>
              <w:bottom w:val="single" w:sz="4" w:space="0" w:color="auto"/>
              <w:right w:val="nil"/>
            </w:tcBorders>
            <w:hideMark/>
          </w:tcPr>
          <w:p w14:paraId="44B1BB2A" w14:textId="77777777" w:rsidR="008C50B4" w:rsidRPr="00AE4E8D" w:rsidRDefault="008C50B4">
            <w:pPr>
              <w:autoSpaceDE w:val="0"/>
              <w:autoSpaceDN w:val="0"/>
              <w:adjustRightInd w:val="0"/>
              <w:spacing w:before="60" w:after="60"/>
              <w:rPr>
                <w:rFonts w:ascii="Times New Roman" w:hAnsi="Times New Roman"/>
                <w:b/>
                <w:lang w:val="es-ES"/>
              </w:rPr>
            </w:pPr>
            <w:r w:rsidRPr="00AE4E8D">
              <w:rPr>
                <w:rFonts w:ascii="Times New Roman" w:hAnsi="Times New Roman"/>
                <w:b/>
                <w:lang w:val="es-ES"/>
              </w:rPr>
              <w:t>País</w:t>
            </w:r>
          </w:p>
        </w:tc>
        <w:tc>
          <w:tcPr>
            <w:tcW w:w="1359" w:type="pct"/>
            <w:tcBorders>
              <w:top w:val="nil"/>
              <w:left w:val="nil"/>
              <w:bottom w:val="single" w:sz="4" w:space="0" w:color="auto"/>
              <w:right w:val="nil"/>
            </w:tcBorders>
            <w:hideMark/>
          </w:tcPr>
          <w:p w14:paraId="7166204F" w14:textId="77777777" w:rsidR="008C50B4" w:rsidRPr="00AE4E8D" w:rsidRDefault="008C50B4">
            <w:pPr>
              <w:autoSpaceDE w:val="0"/>
              <w:autoSpaceDN w:val="0"/>
              <w:adjustRightInd w:val="0"/>
              <w:spacing w:before="60" w:after="60"/>
              <w:jc w:val="center"/>
              <w:rPr>
                <w:rFonts w:ascii="Times New Roman" w:hAnsi="Times New Roman"/>
                <w:b/>
                <w:lang w:val="es-ES"/>
              </w:rPr>
            </w:pPr>
            <w:r w:rsidRPr="00AE4E8D">
              <w:rPr>
                <w:rFonts w:ascii="Times New Roman" w:hAnsi="Times New Roman"/>
                <w:b/>
                <w:lang w:val="es-ES"/>
              </w:rPr>
              <w:t>Préstamos/PBI</w:t>
            </w:r>
          </w:p>
        </w:tc>
        <w:tc>
          <w:tcPr>
            <w:tcW w:w="1167" w:type="pct"/>
            <w:tcBorders>
              <w:top w:val="nil"/>
              <w:left w:val="nil"/>
              <w:bottom w:val="single" w:sz="4" w:space="0" w:color="auto"/>
              <w:right w:val="nil"/>
            </w:tcBorders>
            <w:hideMark/>
          </w:tcPr>
          <w:p w14:paraId="75F26B23" w14:textId="77777777" w:rsidR="008C50B4" w:rsidRPr="00AE4E8D" w:rsidRDefault="008C50B4">
            <w:pPr>
              <w:autoSpaceDE w:val="0"/>
              <w:autoSpaceDN w:val="0"/>
              <w:adjustRightInd w:val="0"/>
              <w:spacing w:before="60" w:after="60"/>
              <w:jc w:val="center"/>
              <w:rPr>
                <w:rFonts w:ascii="Times New Roman" w:hAnsi="Times New Roman"/>
                <w:b/>
                <w:lang w:val="es-ES"/>
              </w:rPr>
            </w:pPr>
            <w:r w:rsidRPr="00AE4E8D">
              <w:rPr>
                <w:rFonts w:ascii="Times New Roman" w:hAnsi="Times New Roman"/>
                <w:b/>
                <w:lang w:val="es-ES"/>
              </w:rPr>
              <w:t>Depósitos/PBI</w:t>
            </w:r>
          </w:p>
        </w:tc>
      </w:tr>
      <w:tr w:rsidR="009C30E3" w:rsidRPr="00AE4E8D" w14:paraId="2E450D62" w14:textId="77777777" w:rsidTr="009C30E3">
        <w:trPr>
          <w:jc w:val="center"/>
        </w:trPr>
        <w:tc>
          <w:tcPr>
            <w:tcW w:w="2474" w:type="pct"/>
            <w:tcBorders>
              <w:top w:val="single" w:sz="4" w:space="0" w:color="auto"/>
              <w:left w:val="nil"/>
              <w:bottom w:val="nil"/>
              <w:right w:val="nil"/>
            </w:tcBorders>
            <w:hideMark/>
          </w:tcPr>
          <w:p w14:paraId="0B2C423B" w14:textId="77777777" w:rsidR="009C30E3" w:rsidRPr="00AE4E8D" w:rsidRDefault="009C30E3">
            <w:pPr>
              <w:tabs>
                <w:tab w:val="left" w:leader="dot" w:pos="4354"/>
              </w:tabs>
              <w:autoSpaceDE w:val="0"/>
              <w:autoSpaceDN w:val="0"/>
              <w:adjustRightInd w:val="0"/>
              <w:spacing w:before="60" w:after="60"/>
              <w:rPr>
                <w:rFonts w:ascii="Times New Roman" w:hAnsi="Times New Roman"/>
                <w:lang w:val="es-ES"/>
              </w:rPr>
            </w:pPr>
            <w:r w:rsidRPr="00AE4E8D">
              <w:rPr>
                <w:rFonts w:ascii="Times New Roman" w:hAnsi="Times New Roman"/>
                <w:lang w:val="es-ES"/>
              </w:rPr>
              <w:t>Chile</w:t>
            </w:r>
            <w:r w:rsidRPr="00AE4E8D">
              <w:rPr>
                <w:rFonts w:ascii="Times New Roman" w:hAnsi="Times New Roman"/>
                <w:lang w:val="es-ES"/>
              </w:rPr>
              <w:tab/>
            </w:r>
          </w:p>
        </w:tc>
        <w:tc>
          <w:tcPr>
            <w:tcW w:w="1359" w:type="pct"/>
            <w:tcBorders>
              <w:top w:val="single" w:sz="4" w:space="0" w:color="auto"/>
              <w:left w:val="nil"/>
              <w:bottom w:val="nil"/>
              <w:right w:val="nil"/>
            </w:tcBorders>
            <w:vAlign w:val="center"/>
            <w:hideMark/>
          </w:tcPr>
          <w:p w14:paraId="3BF58A01" w14:textId="77777777" w:rsidR="009C30E3" w:rsidRPr="00AE4E8D" w:rsidRDefault="009C30E3" w:rsidP="009C30E3">
            <w:pPr>
              <w:jc w:val="center"/>
              <w:rPr>
                <w:rFonts w:ascii="Times New Roman" w:hAnsi="Times New Roman"/>
              </w:rPr>
            </w:pPr>
            <w:r w:rsidRPr="00AE4E8D">
              <w:rPr>
                <w:rFonts w:ascii="Times New Roman" w:hAnsi="Times New Roman"/>
              </w:rPr>
              <w:t>90,55%</w:t>
            </w:r>
          </w:p>
        </w:tc>
        <w:tc>
          <w:tcPr>
            <w:tcW w:w="1167" w:type="pct"/>
            <w:tcBorders>
              <w:top w:val="single" w:sz="4" w:space="0" w:color="auto"/>
              <w:left w:val="nil"/>
              <w:bottom w:val="nil"/>
              <w:right w:val="nil"/>
            </w:tcBorders>
            <w:vAlign w:val="center"/>
            <w:hideMark/>
          </w:tcPr>
          <w:p w14:paraId="55BC2785" w14:textId="77777777" w:rsidR="009C30E3" w:rsidRPr="00AE4E8D" w:rsidRDefault="009C30E3" w:rsidP="009C30E3">
            <w:pPr>
              <w:jc w:val="center"/>
              <w:rPr>
                <w:rFonts w:ascii="Times New Roman" w:hAnsi="Times New Roman"/>
              </w:rPr>
            </w:pPr>
            <w:r w:rsidRPr="00AE4E8D">
              <w:rPr>
                <w:rFonts w:ascii="Times New Roman" w:hAnsi="Times New Roman"/>
              </w:rPr>
              <w:t>86,35%</w:t>
            </w:r>
          </w:p>
        </w:tc>
      </w:tr>
      <w:tr w:rsidR="009C30E3" w:rsidRPr="00AE4E8D" w14:paraId="6D5A5D80" w14:textId="77777777" w:rsidTr="009C30E3">
        <w:trPr>
          <w:jc w:val="center"/>
        </w:trPr>
        <w:tc>
          <w:tcPr>
            <w:tcW w:w="2474" w:type="pct"/>
            <w:hideMark/>
          </w:tcPr>
          <w:p w14:paraId="2A1F29F1" w14:textId="77777777" w:rsidR="009C30E3" w:rsidRPr="00AE4E8D" w:rsidRDefault="009C30E3">
            <w:pPr>
              <w:tabs>
                <w:tab w:val="left" w:leader="dot" w:pos="4354"/>
              </w:tabs>
              <w:autoSpaceDE w:val="0"/>
              <w:autoSpaceDN w:val="0"/>
              <w:adjustRightInd w:val="0"/>
              <w:spacing w:before="60" w:after="60"/>
              <w:rPr>
                <w:rFonts w:ascii="Times New Roman" w:hAnsi="Times New Roman"/>
                <w:lang w:val="es-ES"/>
              </w:rPr>
            </w:pPr>
            <w:r w:rsidRPr="00AE4E8D">
              <w:rPr>
                <w:rFonts w:ascii="Times New Roman" w:hAnsi="Times New Roman"/>
                <w:lang w:val="es-ES"/>
              </w:rPr>
              <w:t>Brasil</w:t>
            </w:r>
            <w:r w:rsidRPr="00AE4E8D">
              <w:rPr>
                <w:rFonts w:ascii="Times New Roman" w:hAnsi="Times New Roman"/>
                <w:lang w:val="es-ES"/>
              </w:rPr>
              <w:tab/>
            </w:r>
          </w:p>
        </w:tc>
        <w:tc>
          <w:tcPr>
            <w:tcW w:w="1359" w:type="pct"/>
            <w:vAlign w:val="center"/>
            <w:hideMark/>
          </w:tcPr>
          <w:p w14:paraId="0898C504" w14:textId="77777777" w:rsidR="009C30E3" w:rsidRPr="00AE4E8D" w:rsidRDefault="009C30E3" w:rsidP="009C30E3">
            <w:pPr>
              <w:jc w:val="center"/>
              <w:rPr>
                <w:rFonts w:ascii="Times New Roman" w:hAnsi="Times New Roman"/>
              </w:rPr>
            </w:pPr>
            <w:r w:rsidRPr="00AE4E8D">
              <w:rPr>
                <w:rFonts w:ascii="Times New Roman" w:hAnsi="Times New Roman"/>
              </w:rPr>
              <w:t>49,55%</w:t>
            </w:r>
          </w:p>
        </w:tc>
        <w:tc>
          <w:tcPr>
            <w:tcW w:w="1167" w:type="pct"/>
            <w:vAlign w:val="center"/>
            <w:hideMark/>
          </w:tcPr>
          <w:p w14:paraId="67CAE259" w14:textId="77777777" w:rsidR="009C30E3" w:rsidRPr="00AE4E8D" w:rsidRDefault="009C30E3" w:rsidP="009C30E3">
            <w:pPr>
              <w:jc w:val="center"/>
              <w:rPr>
                <w:rFonts w:ascii="Times New Roman" w:hAnsi="Times New Roman"/>
              </w:rPr>
            </w:pPr>
            <w:r w:rsidRPr="00AE4E8D">
              <w:rPr>
                <w:rFonts w:ascii="Times New Roman" w:hAnsi="Times New Roman"/>
              </w:rPr>
              <w:t>40,00%</w:t>
            </w:r>
          </w:p>
        </w:tc>
      </w:tr>
      <w:tr w:rsidR="009C30E3" w:rsidRPr="00AE4E8D" w14:paraId="647B9DD2" w14:textId="77777777" w:rsidTr="009C30E3">
        <w:trPr>
          <w:trHeight w:val="388"/>
          <w:jc w:val="center"/>
        </w:trPr>
        <w:tc>
          <w:tcPr>
            <w:tcW w:w="2474" w:type="pct"/>
            <w:hideMark/>
          </w:tcPr>
          <w:p w14:paraId="3EC1EA4A" w14:textId="77777777" w:rsidR="009C30E3" w:rsidRPr="00AE4E8D" w:rsidRDefault="009C30E3">
            <w:pPr>
              <w:tabs>
                <w:tab w:val="left" w:leader="dot" w:pos="4354"/>
              </w:tabs>
              <w:autoSpaceDE w:val="0"/>
              <w:autoSpaceDN w:val="0"/>
              <w:adjustRightInd w:val="0"/>
              <w:spacing w:before="60" w:after="60"/>
              <w:rPr>
                <w:rFonts w:ascii="Times New Roman" w:hAnsi="Times New Roman"/>
                <w:lang w:val="es-ES"/>
              </w:rPr>
            </w:pPr>
            <w:r w:rsidRPr="00AE4E8D">
              <w:rPr>
                <w:rFonts w:ascii="Times New Roman" w:hAnsi="Times New Roman"/>
                <w:lang w:val="es-ES"/>
              </w:rPr>
              <w:t>Perú</w:t>
            </w:r>
            <w:r w:rsidRPr="00AE4E8D">
              <w:rPr>
                <w:rFonts w:ascii="Times New Roman" w:hAnsi="Times New Roman"/>
                <w:lang w:val="es-ES"/>
              </w:rPr>
              <w:tab/>
            </w:r>
          </w:p>
        </w:tc>
        <w:tc>
          <w:tcPr>
            <w:tcW w:w="1359" w:type="pct"/>
            <w:vAlign w:val="center"/>
            <w:hideMark/>
          </w:tcPr>
          <w:p w14:paraId="3045FD37" w14:textId="77777777" w:rsidR="009C30E3" w:rsidRPr="00AE4E8D" w:rsidRDefault="009C30E3" w:rsidP="009C30E3">
            <w:pPr>
              <w:jc w:val="center"/>
              <w:rPr>
                <w:rFonts w:ascii="Times New Roman" w:hAnsi="Times New Roman"/>
              </w:rPr>
            </w:pPr>
            <w:r w:rsidRPr="00AE4E8D">
              <w:rPr>
                <w:rFonts w:ascii="Times New Roman" w:hAnsi="Times New Roman"/>
              </w:rPr>
              <w:t>41,24%</w:t>
            </w:r>
          </w:p>
        </w:tc>
        <w:tc>
          <w:tcPr>
            <w:tcW w:w="1167" w:type="pct"/>
            <w:vAlign w:val="center"/>
            <w:hideMark/>
          </w:tcPr>
          <w:p w14:paraId="080FE2C7" w14:textId="77777777" w:rsidR="009C30E3" w:rsidRPr="00AE4E8D" w:rsidRDefault="009C30E3" w:rsidP="009C30E3">
            <w:pPr>
              <w:jc w:val="center"/>
              <w:rPr>
                <w:rFonts w:ascii="Times New Roman" w:hAnsi="Times New Roman"/>
              </w:rPr>
            </w:pPr>
            <w:r w:rsidRPr="00AE4E8D">
              <w:rPr>
                <w:rFonts w:ascii="Times New Roman" w:hAnsi="Times New Roman"/>
              </w:rPr>
              <w:t>38,91%</w:t>
            </w:r>
          </w:p>
        </w:tc>
      </w:tr>
      <w:tr w:rsidR="009C30E3" w:rsidRPr="00AE4E8D" w14:paraId="0D5701CF" w14:textId="77777777" w:rsidTr="009C30E3">
        <w:trPr>
          <w:jc w:val="center"/>
        </w:trPr>
        <w:tc>
          <w:tcPr>
            <w:tcW w:w="2474" w:type="pct"/>
            <w:hideMark/>
          </w:tcPr>
          <w:p w14:paraId="75625D99" w14:textId="77777777" w:rsidR="009C30E3" w:rsidRPr="00AE4E8D" w:rsidRDefault="009C30E3">
            <w:pPr>
              <w:tabs>
                <w:tab w:val="left" w:leader="dot" w:pos="4354"/>
              </w:tabs>
              <w:autoSpaceDE w:val="0"/>
              <w:autoSpaceDN w:val="0"/>
              <w:adjustRightInd w:val="0"/>
              <w:spacing w:before="60" w:after="60"/>
              <w:rPr>
                <w:rFonts w:ascii="Times New Roman" w:hAnsi="Times New Roman"/>
                <w:b/>
                <w:lang w:val="es-ES"/>
              </w:rPr>
            </w:pPr>
            <w:r w:rsidRPr="00AE4E8D">
              <w:rPr>
                <w:rFonts w:ascii="Times New Roman" w:hAnsi="Times New Roman"/>
                <w:b/>
                <w:lang w:val="es-ES"/>
              </w:rPr>
              <w:t>Promedio para Chile, Brasil y Perú</w:t>
            </w:r>
            <w:r w:rsidRPr="00AE4E8D">
              <w:rPr>
                <w:rFonts w:ascii="Times New Roman" w:hAnsi="Times New Roman"/>
                <w:lang w:val="es-ES"/>
              </w:rPr>
              <w:tab/>
            </w:r>
          </w:p>
        </w:tc>
        <w:tc>
          <w:tcPr>
            <w:tcW w:w="1359" w:type="pct"/>
            <w:vAlign w:val="center"/>
            <w:hideMark/>
          </w:tcPr>
          <w:p w14:paraId="59ADAE64" w14:textId="77777777" w:rsidR="009C30E3" w:rsidRPr="00AE4E8D" w:rsidRDefault="009C30E3" w:rsidP="009C30E3">
            <w:pPr>
              <w:jc w:val="center"/>
              <w:rPr>
                <w:rFonts w:ascii="Times New Roman" w:hAnsi="Times New Roman"/>
              </w:rPr>
            </w:pPr>
            <w:r w:rsidRPr="00AE4E8D">
              <w:rPr>
                <w:rFonts w:ascii="Times New Roman" w:hAnsi="Times New Roman"/>
              </w:rPr>
              <w:t>60,45%</w:t>
            </w:r>
          </w:p>
        </w:tc>
        <w:tc>
          <w:tcPr>
            <w:tcW w:w="1167" w:type="pct"/>
            <w:vAlign w:val="center"/>
            <w:hideMark/>
          </w:tcPr>
          <w:p w14:paraId="77081D3F" w14:textId="77777777" w:rsidR="009C30E3" w:rsidRPr="00AE4E8D" w:rsidRDefault="009C30E3" w:rsidP="009C30E3">
            <w:pPr>
              <w:jc w:val="center"/>
              <w:rPr>
                <w:rFonts w:ascii="Times New Roman" w:hAnsi="Times New Roman"/>
              </w:rPr>
            </w:pPr>
            <w:r w:rsidRPr="00AE4E8D">
              <w:rPr>
                <w:rFonts w:ascii="Times New Roman" w:hAnsi="Times New Roman"/>
              </w:rPr>
              <w:t>55,09%</w:t>
            </w:r>
          </w:p>
        </w:tc>
      </w:tr>
      <w:tr w:rsidR="009C30E3" w:rsidRPr="00AE4E8D" w14:paraId="2AA503F7" w14:textId="77777777" w:rsidTr="009C30E3">
        <w:trPr>
          <w:jc w:val="center"/>
        </w:trPr>
        <w:tc>
          <w:tcPr>
            <w:tcW w:w="2474" w:type="pct"/>
            <w:hideMark/>
          </w:tcPr>
          <w:p w14:paraId="5DED28DB" w14:textId="77777777" w:rsidR="009C30E3" w:rsidRPr="00AE4E8D" w:rsidRDefault="009C30E3" w:rsidP="008511C0">
            <w:pPr>
              <w:tabs>
                <w:tab w:val="left" w:leader="dot" w:pos="4354"/>
              </w:tabs>
              <w:autoSpaceDE w:val="0"/>
              <w:autoSpaceDN w:val="0"/>
              <w:adjustRightInd w:val="0"/>
              <w:spacing w:before="60" w:after="60"/>
              <w:rPr>
                <w:rFonts w:ascii="Times New Roman" w:hAnsi="Times New Roman"/>
                <w:lang w:val="es-ES"/>
              </w:rPr>
            </w:pPr>
            <w:r w:rsidRPr="00AE4E8D">
              <w:rPr>
                <w:rFonts w:ascii="Times New Roman" w:hAnsi="Times New Roman"/>
                <w:lang w:val="es-ES"/>
              </w:rPr>
              <w:t>Argentina</w:t>
            </w:r>
            <w:r w:rsidRPr="00AE4E8D">
              <w:rPr>
                <w:rFonts w:ascii="Times New Roman" w:hAnsi="Times New Roman"/>
                <w:lang w:val="es-ES"/>
              </w:rPr>
              <w:tab/>
            </w:r>
          </w:p>
        </w:tc>
        <w:tc>
          <w:tcPr>
            <w:tcW w:w="1359" w:type="pct"/>
            <w:vAlign w:val="center"/>
            <w:hideMark/>
          </w:tcPr>
          <w:p w14:paraId="6E453E69" w14:textId="77777777" w:rsidR="009C30E3" w:rsidRPr="00AE4E8D" w:rsidRDefault="009C30E3" w:rsidP="009C30E3">
            <w:pPr>
              <w:jc w:val="center"/>
              <w:rPr>
                <w:rFonts w:ascii="Times New Roman" w:hAnsi="Times New Roman"/>
              </w:rPr>
            </w:pPr>
            <w:r w:rsidRPr="00AE4E8D">
              <w:rPr>
                <w:rFonts w:ascii="Times New Roman" w:hAnsi="Times New Roman"/>
              </w:rPr>
              <w:t>14,08%</w:t>
            </w:r>
          </w:p>
        </w:tc>
        <w:tc>
          <w:tcPr>
            <w:tcW w:w="1167" w:type="pct"/>
            <w:vAlign w:val="center"/>
          </w:tcPr>
          <w:p w14:paraId="71782EB7" w14:textId="77777777" w:rsidR="009C30E3" w:rsidRPr="00AE4E8D" w:rsidRDefault="009C30E3" w:rsidP="009C30E3">
            <w:pPr>
              <w:jc w:val="center"/>
              <w:rPr>
                <w:rFonts w:ascii="Times New Roman" w:hAnsi="Times New Roman"/>
              </w:rPr>
            </w:pPr>
            <w:r w:rsidRPr="00AE4E8D">
              <w:rPr>
                <w:rFonts w:ascii="Times New Roman" w:hAnsi="Times New Roman"/>
              </w:rPr>
              <w:t>24,85%</w:t>
            </w:r>
          </w:p>
        </w:tc>
      </w:tr>
    </w:tbl>
    <w:p w14:paraId="1795DA59" w14:textId="77777777" w:rsidR="00B07ED3" w:rsidRPr="00AE4E8D" w:rsidRDefault="00B07ED3" w:rsidP="009C30E3">
      <w:pPr>
        <w:tabs>
          <w:tab w:val="left" w:leader="dot" w:pos="4354"/>
        </w:tabs>
        <w:autoSpaceDE w:val="0"/>
        <w:autoSpaceDN w:val="0"/>
        <w:adjustRightInd w:val="0"/>
        <w:spacing w:before="60" w:after="60"/>
        <w:ind w:left="284"/>
        <w:rPr>
          <w:rFonts w:ascii="Times New Roman" w:hAnsi="Times New Roman"/>
          <w:lang w:val="es-ES"/>
        </w:rPr>
      </w:pPr>
      <w:bookmarkStart w:id="560" w:name="_Toc421201414"/>
      <w:r w:rsidRPr="00AE4E8D">
        <w:rPr>
          <w:rFonts w:ascii="Times New Roman" w:hAnsi="Times New Roman"/>
          <w:i/>
          <w:sz w:val="18"/>
          <w:lang w:val="es-ES"/>
        </w:rPr>
        <w:t xml:space="preserve">Fuente: </w:t>
      </w:r>
      <w:r w:rsidR="009C30E3" w:rsidRPr="00AE4E8D">
        <w:rPr>
          <w:rFonts w:ascii="Times New Roman" w:hAnsi="Times New Roman"/>
          <w:i/>
          <w:sz w:val="18"/>
          <w:lang w:val="es-ES"/>
        </w:rPr>
        <w:t>Bancos Centrales</w:t>
      </w:r>
      <w:r w:rsidR="009906B3" w:rsidRPr="00AE4E8D">
        <w:rPr>
          <w:rFonts w:ascii="Times New Roman" w:hAnsi="Times New Roman"/>
          <w:i/>
          <w:sz w:val="18"/>
          <w:lang w:val="es-ES"/>
        </w:rPr>
        <w:t xml:space="preserve"> locales</w:t>
      </w:r>
      <w:r w:rsidR="009C30E3" w:rsidRPr="00AE4E8D">
        <w:rPr>
          <w:rFonts w:ascii="Times New Roman" w:hAnsi="Times New Roman"/>
          <w:lang w:val="es-ES"/>
        </w:rPr>
        <w:t>.</w:t>
      </w:r>
    </w:p>
    <w:p w14:paraId="6AE643F9"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61" w:name="_Toc495973027"/>
      <w:bookmarkStart w:id="562" w:name="_Toc495399934"/>
      <w:r w:rsidRPr="00AE4E8D">
        <w:rPr>
          <w:rFonts w:ascii="Times New Roman" w:hAnsi="Times New Roman"/>
          <w:b/>
          <w:lang w:val="es-ES"/>
        </w:rPr>
        <w:lastRenderedPageBreak/>
        <w:t>Mercado para Servicios Bancarios en Argentina</w:t>
      </w:r>
      <w:bookmarkEnd w:id="560"/>
      <w:bookmarkEnd w:id="561"/>
      <w:bookmarkEnd w:id="562"/>
    </w:p>
    <w:p w14:paraId="1ECA97C7"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Históricamente, los bancos líderes de Argentina se enfocaron en prestar servicios a las principales compañías y a particulares con un elevado patrimonio. Durante varias décadas, la economía argentina sufrió volatilidad en las condiciones macroeconómicas que resultaron en la crisis financiera de 2001, lo derivó en la concentración del sistema financiero.</w:t>
      </w:r>
    </w:p>
    <w:p w14:paraId="5D2D6B8F"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Durante la última década, el crecimiento sustancial de la economía incrementó la demanda de servicios bancarios tanto de clientes corporativos como particulares. No obstante, el sistema financiero argentino puede considerarse un sistema puramente transaccional, donde los depósitos a la vista y los depósitos a corto plazo (principalmente por menos de 60 días) financian los activos a corto plazo (principalmente tarjetas de crédito, préstamos personales y adelantos). </w:t>
      </w:r>
    </w:p>
    <w:p w14:paraId="3284249E"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Los bancos sobrevivieron a la crisis de 2001 y las </w:t>
      </w:r>
      <w:r w:rsidR="00A667F7" w:rsidRPr="00AE4E8D">
        <w:rPr>
          <w:rFonts w:ascii="Times New Roman" w:hAnsi="Times New Roman"/>
          <w:lang w:val="es-ES"/>
        </w:rPr>
        <w:t>normas del BCRA</w:t>
      </w:r>
      <w:r w:rsidRPr="00AE4E8D">
        <w:rPr>
          <w:rFonts w:ascii="Times New Roman" w:hAnsi="Times New Roman"/>
          <w:lang w:val="es-ES"/>
        </w:rPr>
        <w:t xml:space="preserve"> exigieron a partir de ese momento un sistema financiero con índices sólidos de capitalización, liquidez, calidad de préstamos y rentabilidad. El sistema financiero argentino cumple con Basilea II, en tanto se encuentra en proceso de implementación Basilea III. En consecuencia, los principales desafíos así como la principal oportunidad es crecer a la par del PBI extendiendo el plazo de los pasivos que permiten una extensión del plazo de activos.</w:t>
      </w:r>
    </w:p>
    <w:p w14:paraId="127D88CF"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63" w:name="_Toc421201415"/>
      <w:bookmarkStart w:id="564" w:name="_Toc495973028"/>
      <w:bookmarkStart w:id="565" w:name="_Toc495399935"/>
      <w:r w:rsidRPr="00AE4E8D">
        <w:rPr>
          <w:rFonts w:ascii="Times New Roman" w:hAnsi="Times New Roman"/>
          <w:b/>
          <w:lang w:val="es-ES"/>
        </w:rPr>
        <w:t>Competencia</w:t>
      </w:r>
      <w:bookmarkEnd w:id="563"/>
      <w:bookmarkEnd w:id="564"/>
      <w:bookmarkEnd w:id="565"/>
    </w:p>
    <w:p w14:paraId="74F624A5"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Siendo uno de los principales bancos comerciales, que ofrece una amplia gama de servicios bancarios a todos los tipos de empresas y clientes individuales, enfrentamos una fuerte competencia de los demás bancos comerciales importantes. Asimismo, los bancos comerciales hacen frente a una mayor competencia de los demás intermediarios financieros que pueden brindarle a grandes empresas acceso a los mercados de capitales locales como una alternativa a los préstamos bancarios.</w:t>
      </w:r>
    </w:p>
    <w:p w14:paraId="21E8B7AB" w14:textId="77777777" w:rsidR="00A31270"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siguiente tabla establece ciertas estadísticas del sistema financiero argentino al 3</w:t>
      </w:r>
      <w:r w:rsidR="00312D84" w:rsidRPr="00AE4E8D">
        <w:rPr>
          <w:rFonts w:ascii="Times New Roman" w:hAnsi="Times New Roman"/>
          <w:lang w:val="es-ES"/>
        </w:rPr>
        <w:t>0</w:t>
      </w:r>
      <w:r w:rsidRPr="00AE4E8D">
        <w:rPr>
          <w:rFonts w:ascii="Times New Roman" w:hAnsi="Times New Roman"/>
          <w:lang w:val="es-ES"/>
        </w:rPr>
        <w:t xml:space="preserve"> de </w:t>
      </w:r>
      <w:r w:rsidR="00312D84" w:rsidRPr="00AE4E8D">
        <w:rPr>
          <w:rFonts w:ascii="Times New Roman" w:hAnsi="Times New Roman"/>
          <w:lang w:val="es-ES"/>
        </w:rPr>
        <w:t>abril</w:t>
      </w:r>
      <w:r w:rsidRPr="00AE4E8D">
        <w:rPr>
          <w:rFonts w:ascii="Times New Roman" w:hAnsi="Times New Roman"/>
          <w:lang w:val="es-ES"/>
        </w:rPr>
        <w:t xml:space="preserve"> de 201</w:t>
      </w:r>
      <w:r w:rsidR="00312D84" w:rsidRPr="00AE4E8D">
        <w:rPr>
          <w:rFonts w:ascii="Times New Roman" w:hAnsi="Times New Roman"/>
          <w:lang w:val="es-ES"/>
        </w:rPr>
        <w:t>7</w:t>
      </w:r>
      <w:r w:rsidRPr="00AE4E8D">
        <w:rPr>
          <w:rFonts w:ascii="Times New Roman" w:hAnsi="Times New Roman"/>
          <w:lang w:val="es-ES"/>
        </w:rPr>
        <w:t>:</w:t>
      </w:r>
    </w:p>
    <w:tbl>
      <w:tblPr>
        <w:tblW w:w="10065" w:type="dxa"/>
        <w:jc w:val="center"/>
        <w:tblLayout w:type="fixed"/>
        <w:tblCellMar>
          <w:left w:w="70" w:type="dxa"/>
          <w:right w:w="70" w:type="dxa"/>
        </w:tblCellMar>
        <w:tblLook w:val="04A0" w:firstRow="1" w:lastRow="0" w:firstColumn="1" w:lastColumn="0" w:noHBand="0" w:noVBand="1"/>
      </w:tblPr>
      <w:tblGrid>
        <w:gridCol w:w="993"/>
        <w:gridCol w:w="943"/>
        <w:gridCol w:w="160"/>
        <w:gridCol w:w="1044"/>
        <w:gridCol w:w="160"/>
        <w:gridCol w:w="871"/>
        <w:gridCol w:w="174"/>
        <w:gridCol w:w="995"/>
        <w:gridCol w:w="160"/>
        <w:gridCol w:w="972"/>
        <w:gridCol w:w="160"/>
        <w:gridCol w:w="31"/>
        <w:gridCol w:w="129"/>
        <w:gridCol w:w="867"/>
        <w:gridCol w:w="20"/>
        <w:gridCol w:w="260"/>
        <w:gridCol w:w="70"/>
        <w:gridCol w:w="908"/>
        <w:gridCol w:w="160"/>
        <w:gridCol w:w="160"/>
        <w:gridCol w:w="828"/>
      </w:tblGrid>
      <w:tr w:rsidR="00312D84" w:rsidRPr="00AE4E8D" w14:paraId="161D9789" w14:textId="77777777" w:rsidTr="000400C8">
        <w:trPr>
          <w:trHeight w:val="315"/>
          <w:jc w:val="center"/>
        </w:trPr>
        <w:tc>
          <w:tcPr>
            <w:tcW w:w="993" w:type="dxa"/>
            <w:tcBorders>
              <w:top w:val="nil"/>
              <w:left w:val="nil"/>
              <w:bottom w:val="nil"/>
              <w:right w:val="nil"/>
            </w:tcBorders>
            <w:shd w:val="clear" w:color="auto" w:fill="auto"/>
            <w:vAlign w:val="bottom"/>
            <w:hideMark/>
          </w:tcPr>
          <w:p w14:paraId="77DAD9FC" w14:textId="77777777" w:rsidR="00312D84" w:rsidRPr="00AE4E8D" w:rsidRDefault="00312D84" w:rsidP="00312D84">
            <w:pPr>
              <w:rPr>
                <w:rFonts w:ascii="Times New Roman" w:hAnsi="Times New Roman"/>
                <w:color w:val="000000"/>
                <w:lang w:val="es-ES"/>
              </w:rPr>
            </w:pPr>
          </w:p>
        </w:tc>
        <w:tc>
          <w:tcPr>
            <w:tcW w:w="9072" w:type="dxa"/>
            <w:gridSpan w:val="20"/>
            <w:tcBorders>
              <w:top w:val="single" w:sz="8" w:space="0" w:color="auto"/>
              <w:left w:val="nil"/>
              <w:bottom w:val="single" w:sz="8" w:space="0" w:color="auto"/>
              <w:right w:val="nil"/>
            </w:tcBorders>
            <w:shd w:val="clear" w:color="auto" w:fill="auto"/>
            <w:vAlign w:val="center"/>
            <w:hideMark/>
          </w:tcPr>
          <w:p w14:paraId="21E98199"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 xml:space="preserve">Al </w:t>
            </w:r>
            <w:r w:rsidRPr="00AE4E8D">
              <w:rPr>
                <w:rFonts w:ascii="Times New Roman" w:hAnsi="Times New Roman"/>
                <w:b/>
                <w:bCs/>
                <w:color w:val="000000"/>
                <w:sz w:val="14"/>
                <w:szCs w:val="14"/>
                <w:lang w:val="es-ES" w:eastAsia="es-AR"/>
              </w:rPr>
              <w:t>30</w:t>
            </w:r>
            <w:r w:rsidRPr="00AE4E8D">
              <w:rPr>
                <w:rFonts w:ascii="Times New Roman" w:hAnsi="Times New Roman"/>
                <w:b/>
                <w:color w:val="000000"/>
                <w:sz w:val="14"/>
                <w:lang w:val="es-ES"/>
              </w:rPr>
              <w:t xml:space="preserve"> de </w:t>
            </w:r>
            <w:r w:rsidRPr="00AE4E8D">
              <w:rPr>
                <w:rFonts w:ascii="Times New Roman" w:hAnsi="Times New Roman"/>
                <w:b/>
                <w:bCs/>
                <w:color w:val="000000"/>
                <w:sz w:val="14"/>
                <w:szCs w:val="14"/>
                <w:lang w:val="es-ES" w:eastAsia="es-AR"/>
              </w:rPr>
              <w:t>abril</w:t>
            </w:r>
            <w:r w:rsidRPr="00AE4E8D">
              <w:rPr>
                <w:rFonts w:ascii="Times New Roman" w:hAnsi="Times New Roman"/>
                <w:b/>
                <w:color w:val="000000"/>
                <w:sz w:val="14"/>
                <w:lang w:val="es-ES"/>
              </w:rPr>
              <w:t xml:space="preserve"> de </w:t>
            </w:r>
            <w:r w:rsidRPr="00AE4E8D">
              <w:rPr>
                <w:rFonts w:ascii="Times New Roman" w:hAnsi="Times New Roman"/>
                <w:b/>
                <w:bCs/>
                <w:color w:val="000000"/>
                <w:sz w:val="14"/>
                <w:szCs w:val="14"/>
                <w:lang w:val="es-ES" w:eastAsia="es-AR"/>
              </w:rPr>
              <w:t>2017</w:t>
            </w:r>
          </w:p>
        </w:tc>
      </w:tr>
      <w:tr w:rsidR="003B5193" w:rsidRPr="00AE4E8D" w14:paraId="6A2E5BA3" w14:textId="77777777" w:rsidTr="000400C8">
        <w:trPr>
          <w:trHeight w:val="315"/>
          <w:jc w:val="center"/>
        </w:trPr>
        <w:tc>
          <w:tcPr>
            <w:tcW w:w="993" w:type="dxa"/>
            <w:tcBorders>
              <w:top w:val="nil"/>
              <w:left w:val="nil"/>
              <w:bottom w:val="nil"/>
              <w:right w:val="nil"/>
            </w:tcBorders>
            <w:shd w:val="clear" w:color="auto" w:fill="auto"/>
            <w:vAlign w:val="bottom"/>
            <w:hideMark/>
          </w:tcPr>
          <w:p w14:paraId="084B2B27" w14:textId="77777777" w:rsidR="00312D84" w:rsidRPr="00AE4E8D" w:rsidRDefault="00312D84" w:rsidP="00312D84">
            <w:pPr>
              <w:rPr>
                <w:rFonts w:ascii="Times New Roman" w:hAnsi="Times New Roman"/>
                <w:color w:val="000000"/>
                <w:lang w:val="es-ES"/>
              </w:rPr>
            </w:pPr>
          </w:p>
        </w:tc>
        <w:tc>
          <w:tcPr>
            <w:tcW w:w="2147" w:type="dxa"/>
            <w:gridSpan w:val="3"/>
            <w:tcBorders>
              <w:top w:val="single" w:sz="8" w:space="0" w:color="auto"/>
              <w:left w:val="nil"/>
              <w:bottom w:val="single" w:sz="8" w:space="0" w:color="auto"/>
              <w:right w:val="nil"/>
            </w:tcBorders>
            <w:shd w:val="clear" w:color="auto" w:fill="auto"/>
            <w:vAlign w:val="center"/>
            <w:hideMark/>
          </w:tcPr>
          <w:p w14:paraId="46C33C7A"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Activos Totales</w:t>
            </w:r>
          </w:p>
        </w:tc>
        <w:tc>
          <w:tcPr>
            <w:tcW w:w="160" w:type="dxa"/>
            <w:tcBorders>
              <w:top w:val="nil"/>
              <w:left w:val="nil"/>
              <w:bottom w:val="nil"/>
              <w:right w:val="nil"/>
            </w:tcBorders>
            <w:shd w:val="clear" w:color="auto" w:fill="auto"/>
            <w:vAlign w:val="center"/>
            <w:hideMark/>
          </w:tcPr>
          <w:p w14:paraId="4AF3EED5" w14:textId="77777777" w:rsidR="00312D84" w:rsidRPr="00AE4E8D" w:rsidRDefault="00312D84" w:rsidP="00241071">
            <w:pPr>
              <w:rPr>
                <w:rFonts w:ascii="Times New Roman" w:hAnsi="Times New Roman"/>
                <w:color w:val="000000"/>
                <w:lang w:val="es-ES"/>
              </w:rPr>
            </w:pPr>
          </w:p>
        </w:tc>
        <w:tc>
          <w:tcPr>
            <w:tcW w:w="2040" w:type="dxa"/>
            <w:gridSpan w:val="3"/>
            <w:tcBorders>
              <w:top w:val="single" w:sz="8" w:space="0" w:color="auto"/>
              <w:left w:val="nil"/>
              <w:bottom w:val="single" w:sz="8" w:space="0" w:color="auto"/>
              <w:right w:val="nil"/>
            </w:tcBorders>
            <w:shd w:val="clear" w:color="auto" w:fill="auto"/>
            <w:vAlign w:val="center"/>
            <w:hideMark/>
          </w:tcPr>
          <w:p w14:paraId="0B1E4B68"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Préstamos Totales</w:t>
            </w:r>
          </w:p>
        </w:tc>
        <w:tc>
          <w:tcPr>
            <w:tcW w:w="160" w:type="dxa"/>
            <w:tcBorders>
              <w:top w:val="nil"/>
              <w:left w:val="nil"/>
              <w:bottom w:val="nil"/>
              <w:right w:val="nil"/>
            </w:tcBorders>
            <w:shd w:val="clear" w:color="auto" w:fill="auto"/>
            <w:vAlign w:val="center"/>
            <w:hideMark/>
          </w:tcPr>
          <w:p w14:paraId="243F8915" w14:textId="77777777" w:rsidR="00312D84" w:rsidRPr="00AE4E8D" w:rsidRDefault="00312D84" w:rsidP="00241071">
            <w:pPr>
              <w:rPr>
                <w:rFonts w:ascii="Times New Roman" w:hAnsi="Times New Roman"/>
                <w:color w:val="000000"/>
                <w:lang w:val="es-ES"/>
              </w:rPr>
            </w:pPr>
          </w:p>
        </w:tc>
        <w:tc>
          <w:tcPr>
            <w:tcW w:w="2159" w:type="dxa"/>
            <w:gridSpan w:val="5"/>
            <w:tcBorders>
              <w:top w:val="single" w:sz="8" w:space="0" w:color="auto"/>
              <w:left w:val="nil"/>
              <w:bottom w:val="single" w:sz="8" w:space="0" w:color="auto"/>
              <w:right w:val="nil"/>
            </w:tcBorders>
            <w:shd w:val="clear" w:color="auto" w:fill="auto"/>
            <w:vAlign w:val="center"/>
            <w:hideMark/>
          </w:tcPr>
          <w:p w14:paraId="347ABC3A"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Depósitos Totales</w:t>
            </w:r>
          </w:p>
        </w:tc>
        <w:tc>
          <w:tcPr>
            <w:tcW w:w="280" w:type="dxa"/>
            <w:gridSpan w:val="2"/>
            <w:tcBorders>
              <w:top w:val="single" w:sz="8" w:space="0" w:color="auto"/>
              <w:left w:val="nil"/>
              <w:bottom w:val="nil"/>
              <w:right w:val="nil"/>
            </w:tcBorders>
            <w:shd w:val="clear" w:color="auto" w:fill="auto"/>
            <w:vAlign w:val="center"/>
            <w:hideMark/>
          </w:tcPr>
          <w:p w14:paraId="6393CF7D" w14:textId="77777777" w:rsidR="00312D84" w:rsidRPr="00AE4E8D" w:rsidRDefault="00312D84" w:rsidP="00241071">
            <w:pPr>
              <w:rPr>
                <w:rFonts w:ascii="Times New Roman" w:hAnsi="Times New Roman"/>
                <w:color w:val="000000"/>
                <w:lang w:val="es-ES"/>
              </w:rPr>
            </w:pPr>
          </w:p>
        </w:tc>
        <w:tc>
          <w:tcPr>
            <w:tcW w:w="2126" w:type="dxa"/>
            <w:gridSpan w:val="5"/>
            <w:tcBorders>
              <w:top w:val="single" w:sz="8" w:space="0" w:color="auto"/>
              <w:left w:val="nil"/>
              <w:bottom w:val="single" w:sz="8" w:space="0" w:color="auto"/>
              <w:right w:val="nil"/>
            </w:tcBorders>
            <w:shd w:val="clear" w:color="auto" w:fill="auto"/>
            <w:vAlign w:val="center"/>
            <w:hideMark/>
          </w:tcPr>
          <w:p w14:paraId="388BE71F"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Patrimonio Neto</w:t>
            </w:r>
          </w:p>
        </w:tc>
      </w:tr>
      <w:tr w:rsidR="003B5193" w:rsidRPr="00AE4E8D" w14:paraId="265E1B69" w14:textId="77777777" w:rsidTr="000400C8">
        <w:trPr>
          <w:trHeight w:val="315"/>
          <w:jc w:val="center"/>
        </w:trPr>
        <w:tc>
          <w:tcPr>
            <w:tcW w:w="993" w:type="dxa"/>
            <w:tcBorders>
              <w:top w:val="nil"/>
              <w:left w:val="nil"/>
              <w:bottom w:val="nil"/>
              <w:right w:val="nil"/>
            </w:tcBorders>
            <w:shd w:val="clear" w:color="auto" w:fill="auto"/>
            <w:vAlign w:val="bottom"/>
            <w:hideMark/>
          </w:tcPr>
          <w:p w14:paraId="0F7E7215" w14:textId="77777777" w:rsidR="00312D84" w:rsidRPr="00AE4E8D" w:rsidRDefault="00312D84" w:rsidP="00312D84">
            <w:pPr>
              <w:rPr>
                <w:rFonts w:ascii="Times New Roman" w:hAnsi="Times New Roman"/>
                <w:color w:val="000000"/>
                <w:lang w:val="es-ES"/>
              </w:rPr>
            </w:pPr>
          </w:p>
        </w:tc>
        <w:tc>
          <w:tcPr>
            <w:tcW w:w="943" w:type="dxa"/>
            <w:tcBorders>
              <w:top w:val="nil"/>
              <w:left w:val="nil"/>
              <w:bottom w:val="single" w:sz="8" w:space="0" w:color="auto"/>
              <w:right w:val="nil"/>
            </w:tcBorders>
            <w:shd w:val="clear" w:color="auto" w:fill="auto"/>
            <w:vAlign w:val="center"/>
            <w:hideMark/>
          </w:tcPr>
          <w:p w14:paraId="00EB3865"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Monto</w:t>
            </w:r>
          </w:p>
        </w:tc>
        <w:tc>
          <w:tcPr>
            <w:tcW w:w="160" w:type="dxa"/>
            <w:tcBorders>
              <w:top w:val="nil"/>
              <w:left w:val="nil"/>
              <w:bottom w:val="nil"/>
              <w:right w:val="nil"/>
            </w:tcBorders>
            <w:shd w:val="clear" w:color="auto" w:fill="auto"/>
            <w:vAlign w:val="center"/>
            <w:hideMark/>
          </w:tcPr>
          <w:p w14:paraId="5ADF26F9" w14:textId="77777777" w:rsidR="00312D84" w:rsidRPr="00AE4E8D" w:rsidRDefault="00312D84" w:rsidP="00241071">
            <w:pPr>
              <w:rPr>
                <w:rFonts w:ascii="Times New Roman" w:hAnsi="Times New Roman"/>
                <w:color w:val="000000"/>
                <w:lang w:val="es-ES"/>
              </w:rPr>
            </w:pPr>
          </w:p>
        </w:tc>
        <w:tc>
          <w:tcPr>
            <w:tcW w:w="1044" w:type="dxa"/>
            <w:tcBorders>
              <w:top w:val="nil"/>
              <w:left w:val="nil"/>
              <w:bottom w:val="single" w:sz="8" w:space="0" w:color="auto"/>
              <w:right w:val="nil"/>
            </w:tcBorders>
            <w:shd w:val="clear" w:color="auto" w:fill="auto"/>
            <w:vAlign w:val="center"/>
            <w:hideMark/>
          </w:tcPr>
          <w:p w14:paraId="3DE705B6"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Participación</w:t>
            </w:r>
          </w:p>
        </w:tc>
        <w:tc>
          <w:tcPr>
            <w:tcW w:w="160" w:type="dxa"/>
            <w:tcBorders>
              <w:top w:val="nil"/>
              <w:left w:val="nil"/>
              <w:bottom w:val="nil"/>
              <w:right w:val="nil"/>
            </w:tcBorders>
            <w:shd w:val="clear" w:color="auto" w:fill="auto"/>
            <w:vAlign w:val="center"/>
            <w:hideMark/>
          </w:tcPr>
          <w:p w14:paraId="62D2E198" w14:textId="77777777" w:rsidR="00312D84" w:rsidRPr="00AE4E8D" w:rsidRDefault="00312D84" w:rsidP="00241071">
            <w:pPr>
              <w:rPr>
                <w:rFonts w:ascii="Times New Roman" w:hAnsi="Times New Roman"/>
                <w:color w:val="000000"/>
                <w:lang w:val="es-ES"/>
              </w:rPr>
            </w:pPr>
          </w:p>
        </w:tc>
        <w:tc>
          <w:tcPr>
            <w:tcW w:w="871" w:type="dxa"/>
            <w:tcBorders>
              <w:top w:val="nil"/>
              <w:left w:val="nil"/>
              <w:bottom w:val="single" w:sz="8" w:space="0" w:color="auto"/>
              <w:right w:val="nil"/>
            </w:tcBorders>
            <w:shd w:val="clear" w:color="auto" w:fill="auto"/>
            <w:vAlign w:val="center"/>
            <w:hideMark/>
          </w:tcPr>
          <w:p w14:paraId="4F257330"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Monto</w:t>
            </w:r>
          </w:p>
        </w:tc>
        <w:tc>
          <w:tcPr>
            <w:tcW w:w="174" w:type="dxa"/>
            <w:tcBorders>
              <w:top w:val="nil"/>
              <w:left w:val="nil"/>
              <w:bottom w:val="nil"/>
              <w:right w:val="nil"/>
            </w:tcBorders>
            <w:shd w:val="clear" w:color="auto" w:fill="auto"/>
            <w:vAlign w:val="center"/>
            <w:hideMark/>
          </w:tcPr>
          <w:p w14:paraId="6AC0D2A6" w14:textId="77777777" w:rsidR="00312D84" w:rsidRPr="00AE4E8D" w:rsidRDefault="00312D84" w:rsidP="00241071">
            <w:pPr>
              <w:rPr>
                <w:rFonts w:ascii="Times New Roman" w:hAnsi="Times New Roman"/>
                <w:color w:val="000000"/>
                <w:lang w:val="es-ES"/>
              </w:rPr>
            </w:pPr>
          </w:p>
        </w:tc>
        <w:tc>
          <w:tcPr>
            <w:tcW w:w="995" w:type="dxa"/>
            <w:tcBorders>
              <w:top w:val="nil"/>
              <w:left w:val="nil"/>
              <w:bottom w:val="single" w:sz="8" w:space="0" w:color="auto"/>
              <w:right w:val="nil"/>
            </w:tcBorders>
            <w:shd w:val="clear" w:color="auto" w:fill="auto"/>
            <w:vAlign w:val="center"/>
            <w:hideMark/>
          </w:tcPr>
          <w:p w14:paraId="025E1ED3"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Participación</w:t>
            </w:r>
          </w:p>
        </w:tc>
        <w:tc>
          <w:tcPr>
            <w:tcW w:w="160" w:type="dxa"/>
            <w:tcBorders>
              <w:top w:val="nil"/>
              <w:left w:val="nil"/>
              <w:bottom w:val="nil"/>
              <w:right w:val="nil"/>
            </w:tcBorders>
            <w:shd w:val="clear" w:color="auto" w:fill="auto"/>
            <w:vAlign w:val="center"/>
            <w:hideMark/>
          </w:tcPr>
          <w:p w14:paraId="6FD12312" w14:textId="77777777" w:rsidR="00312D84" w:rsidRPr="00AE4E8D" w:rsidRDefault="00312D84" w:rsidP="00241071">
            <w:pPr>
              <w:rPr>
                <w:rFonts w:ascii="Times New Roman" w:hAnsi="Times New Roman"/>
                <w:color w:val="000000"/>
                <w:lang w:val="es-ES"/>
              </w:rPr>
            </w:pPr>
          </w:p>
        </w:tc>
        <w:tc>
          <w:tcPr>
            <w:tcW w:w="972" w:type="dxa"/>
            <w:tcBorders>
              <w:top w:val="nil"/>
              <w:left w:val="nil"/>
              <w:bottom w:val="single" w:sz="8" w:space="0" w:color="auto"/>
              <w:right w:val="nil"/>
            </w:tcBorders>
            <w:shd w:val="clear" w:color="auto" w:fill="auto"/>
            <w:vAlign w:val="center"/>
            <w:hideMark/>
          </w:tcPr>
          <w:p w14:paraId="453B6001"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Monto</w:t>
            </w:r>
          </w:p>
        </w:tc>
        <w:tc>
          <w:tcPr>
            <w:tcW w:w="160" w:type="dxa"/>
            <w:tcBorders>
              <w:top w:val="nil"/>
              <w:left w:val="nil"/>
              <w:bottom w:val="nil"/>
              <w:right w:val="nil"/>
            </w:tcBorders>
            <w:shd w:val="clear" w:color="auto" w:fill="auto"/>
            <w:vAlign w:val="center"/>
            <w:hideMark/>
          </w:tcPr>
          <w:p w14:paraId="11DED784" w14:textId="77777777" w:rsidR="00312D84" w:rsidRPr="00AE4E8D" w:rsidRDefault="00312D84" w:rsidP="00241071">
            <w:pPr>
              <w:rPr>
                <w:rFonts w:ascii="Times New Roman" w:hAnsi="Times New Roman"/>
                <w:color w:val="000000"/>
                <w:lang w:val="es-ES"/>
              </w:rPr>
            </w:pPr>
          </w:p>
        </w:tc>
        <w:tc>
          <w:tcPr>
            <w:tcW w:w="1027" w:type="dxa"/>
            <w:gridSpan w:val="3"/>
            <w:tcBorders>
              <w:top w:val="single" w:sz="8" w:space="0" w:color="auto"/>
              <w:left w:val="nil"/>
              <w:bottom w:val="single" w:sz="8" w:space="0" w:color="auto"/>
              <w:right w:val="nil"/>
            </w:tcBorders>
            <w:shd w:val="clear" w:color="auto" w:fill="auto"/>
            <w:vAlign w:val="center"/>
            <w:hideMark/>
          </w:tcPr>
          <w:p w14:paraId="2CFE8B91"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Participación</w:t>
            </w:r>
          </w:p>
        </w:tc>
        <w:tc>
          <w:tcPr>
            <w:tcW w:w="280" w:type="dxa"/>
            <w:gridSpan w:val="2"/>
            <w:tcBorders>
              <w:top w:val="nil"/>
              <w:left w:val="nil"/>
              <w:bottom w:val="nil"/>
              <w:right w:val="nil"/>
            </w:tcBorders>
            <w:shd w:val="clear" w:color="auto" w:fill="auto"/>
            <w:vAlign w:val="center"/>
            <w:hideMark/>
          </w:tcPr>
          <w:p w14:paraId="3C3CFE63" w14:textId="77777777" w:rsidR="00312D84" w:rsidRPr="00AE4E8D" w:rsidRDefault="00312D84" w:rsidP="00241071">
            <w:pPr>
              <w:rPr>
                <w:rFonts w:ascii="Times New Roman" w:hAnsi="Times New Roman"/>
                <w:color w:val="000000"/>
                <w:lang w:val="es-ES"/>
              </w:rPr>
            </w:pPr>
          </w:p>
        </w:tc>
        <w:tc>
          <w:tcPr>
            <w:tcW w:w="978" w:type="dxa"/>
            <w:gridSpan w:val="2"/>
            <w:tcBorders>
              <w:top w:val="single" w:sz="8" w:space="0" w:color="auto"/>
              <w:left w:val="nil"/>
              <w:bottom w:val="single" w:sz="8" w:space="0" w:color="auto"/>
              <w:right w:val="nil"/>
            </w:tcBorders>
            <w:shd w:val="clear" w:color="auto" w:fill="auto"/>
            <w:vAlign w:val="center"/>
            <w:hideMark/>
          </w:tcPr>
          <w:p w14:paraId="0AF7E519"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Monto</w:t>
            </w:r>
          </w:p>
        </w:tc>
        <w:tc>
          <w:tcPr>
            <w:tcW w:w="160" w:type="dxa"/>
            <w:tcBorders>
              <w:top w:val="single" w:sz="8" w:space="0" w:color="auto"/>
              <w:left w:val="nil"/>
              <w:bottom w:val="nil"/>
              <w:right w:val="nil"/>
            </w:tcBorders>
            <w:shd w:val="clear" w:color="auto" w:fill="auto"/>
            <w:vAlign w:val="center"/>
            <w:hideMark/>
          </w:tcPr>
          <w:p w14:paraId="631CAE58" w14:textId="77777777" w:rsidR="00312D84" w:rsidRPr="00AE4E8D" w:rsidRDefault="00312D84" w:rsidP="00241071">
            <w:pPr>
              <w:rPr>
                <w:rFonts w:ascii="Times New Roman" w:hAnsi="Times New Roman"/>
                <w:color w:val="000000"/>
                <w:lang w:val="es-ES"/>
              </w:rPr>
            </w:pPr>
          </w:p>
        </w:tc>
        <w:tc>
          <w:tcPr>
            <w:tcW w:w="988" w:type="dxa"/>
            <w:gridSpan w:val="2"/>
            <w:tcBorders>
              <w:top w:val="single" w:sz="8" w:space="0" w:color="auto"/>
              <w:left w:val="nil"/>
              <w:bottom w:val="single" w:sz="8" w:space="0" w:color="auto"/>
              <w:right w:val="nil"/>
            </w:tcBorders>
            <w:shd w:val="clear" w:color="auto" w:fill="auto"/>
            <w:vAlign w:val="center"/>
            <w:hideMark/>
          </w:tcPr>
          <w:p w14:paraId="5E5963FF" w14:textId="77777777" w:rsidR="00312D84" w:rsidRPr="00AE4E8D" w:rsidRDefault="00312D84" w:rsidP="00312D84">
            <w:pPr>
              <w:jc w:val="center"/>
              <w:rPr>
                <w:rFonts w:ascii="Times New Roman" w:hAnsi="Times New Roman"/>
                <w:b/>
                <w:color w:val="000000"/>
                <w:sz w:val="14"/>
                <w:lang w:val="es-ES"/>
              </w:rPr>
            </w:pPr>
            <w:r w:rsidRPr="00AE4E8D">
              <w:rPr>
                <w:rFonts w:ascii="Times New Roman" w:hAnsi="Times New Roman"/>
                <w:b/>
                <w:color w:val="000000"/>
                <w:sz w:val="14"/>
                <w:lang w:val="es-ES"/>
              </w:rPr>
              <w:t>Participación</w:t>
            </w:r>
          </w:p>
        </w:tc>
      </w:tr>
      <w:tr w:rsidR="00312D84" w:rsidRPr="00AE4E8D" w14:paraId="5AB406EB" w14:textId="77777777" w:rsidTr="000400C8">
        <w:trPr>
          <w:trHeight w:val="300"/>
          <w:jc w:val="center"/>
        </w:trPr>
        <w:tc>
          <w:tcPr>
            <w:tcW w:w="993" w:type="dxa"/>
            <w:tcBorders>
              <w:top w:val="nil"/>
              <w:left w:val="nil"/>
              <w:bottom w:val="nil"/>
              <w:right w:val="nil"/>
            </w:tcBorders>
            <w:shd w:val="clear" w:color="auto" w:fill="auto"/>
            <w:vAlign w:val="bottom"/>
            <w:hideMark/>
          </w:tcPr>
          <w:p w14:paraId="034E4298" w14:textId="77777777" w:rsidR="00312D84" w:rsidRPr="00AE4E8D" w:rsidRDefault="00312D84" w:rsidP="00312D84">
            <w:pPr>
              <w:rPr>
                <w:rFonts w:ascii="Times New Roman" w:hAnsi="Times New Roman"/>
                <w:color w:val="000000"/>
                <w:lang w:val="es-ES"/>
              </w:rPr>
            </w:pPr>
          </w:p>
        </w:tc>
        <w:tc>
          <w:tcPr>
            <w:tcW w:w="9072" w:type="dxa"/>
            <w:gridSpan w:val="20"/>
            <w:tcBorders>
              <w:top w:val="nil"/>
              <w:left w:val="nil"/>
              <w:bottom w:val="nil"/>
              <w:right w:val="nil"/>
            </w:tcBorders>
            <w:shd w:val="clear" w:color="auto" w:fill="auto"/>
            <w:vAlign w:val="center"/>
            <w:hideMark/>
          </w:tcPr>
          <w:p w14:paraId="6C5D8494" w14:textId="77777777" w:rsidR="00312D84" w:rsidRPr="00AE4E8D" w:rsidRDefault="00312D84" w:rsidP="00312D84">
            <w:pPr>
              <w:jc w:val="center"/>
              <w:rPr>
                <w:rFonts w:ascii="Times New Roman" w:hAnsi="Times New Roman"/>
                <w:color w:val="000000"/>
                <w:sz w:val="14"/>
                <w:lang w:val="es-ES"/>
              </w:rPr>
            </w:pPr>
            <w:r w:rsidRPr="00AE4E8D">
              <w:rPr>
                <w:rFonts w:ascii="Times New Roman" w:hAnsi="Times New Roman"/>
                <w:color w:val="000000"/>
                <w:sz w:val="14"/>
                <w:lang w:val="es-ES"/>
              </w:rPr>
              <w:t>(en millones de Ps., excepto porcentajes)</w:t>
            </w:r>
          </w:p>
        </w:tc>
      </w:tr>
      <w:tr w:rsidR="003B5193" w:rsidRPr="00AE4E8D" w14:paraId="0E784D67" w14:textId="77777777" w:rsidTr="000400C8">
        <w:trPr>
          <w:trHeight w:val="300"/>
          <w:jc w:val="center"/>
        </w:trPr>
        <w:tc>
          <w:tcPr>
            <w:tcW w:w="993" w:type="dxa"/>
            <w:tcBorders>
              <w:top w:val="nil"/>
              <w:left w:val="nil"/>
              <w:bottom w:val="nil"/>
              <w:right w:val="nil"/>
            </w:tcBorders>
            <w:shd w:val="clear" w:color="auto" w:fill="auto"/>
            <w:vAlign w:val="bottom"/>
            <w:hideMark/>
          </w:tcPr>
          <w:p w14:paraId="477A5E88" w14:textId="77777777" w:rsidR="00312D84" w:rsidRPr="00AE4E8D" w:rsidRDefault="00312D84" w:rsidP="00312D84">
            <w:pPr>
              <w:rPr>
                <w:rFonts w:ascii="Times New Roman" w:hAnsi="Times New Roman"/>
                <w:color w:val="000000"/>
                <w:lang w:val="es-ES"/>
              </w:rPr>
            </w:pPr>
          </w:p>
        </w:tc>
        <w:tc>
          <w:tcPr>
            <w:tcW w:w="943" w:type="dxa"/>
            <w:tcBorders>
              <w:top w:val="nil"/>
              <w:left w:val="nil"/>
              <w:bottom w:val="nil"/>
              <w:right w:val="nil"/>
            </w:tcBorders>
            <w:shd w:val="clear" w:color="auto" w:fill="auto"/>
            <w:vAlign w:val="bottom"/>
            <w:hideMark/>
          </w:tcPr>
          <w:p w14:paraId="3C89563B" w14:textId="77777777" w:rsidR="00312D84" w:rsidRPr="00AE4E8D" w:rsidRDefault="00312D84" w:rsidP="00241071">
            <w:pPr>
              <w:rPr>
                <w:rFonts w:ascii="Times New Roman" w:hAnsi="Times New Roman"/>
                <w:color w:val="000000"/>
                <w:lang w:val="es-ES"/>
              </w:rPr>
            </w:pPr>
          </w:p>
        </w:tc>
        <w:tc>
          <w:tcPr>
            <w:tcW w:w="160" w:type="dxa"/>
            <w:tcBorders>
              <w:top w:val="nil"/>
              <w:left w:val="nil"/>
              <w:bottom w:val="nil"/>
              <w:right w:val="nil"/>
            </w:tcBorders>
            <w:shd w:val="clear" w:color="auto" w:fill="auto"/>
            <w:vAlign w:val="bottom"/>
            <w:hideMark/>
          </w:tcPr>
          <w:p w14:paraId="7BBDF291" w14:textId="77777777" w:rsidR="00312D84" w:rsidRPr="00AE4E8D" w:rsidRDefault="00312D84" w:rsidP="00241071">
            <w:pPr>
              <w:rPr>
                <w:rFonts w:ascii="Times New Roman" w:hAnsi="Times New Roman"/>
                <w:color w:val="000000"/>
                <w:lang w:val="es-ES"/>
              </w:rPr>
            </w:pPr>
          </w:p>
        </w:tc>
        <w:tc>
          <w:tcPr>
            <w:tcW w:w="1044" w:type="dxa"/>
            <w:tcBorders>
              <w:top w:val="nil"/>
              <w:left w:val="nil"/>
              <w:bottom w:val="nil"/>
              <w:right w:val="nil"/>
            </w:tcBorders>
            <w:shd w:val="clear" w:color="auto" w:fill="auto"/>
            <w:vAlign w:val="bottom"/>
            <w:hideMark/>
          </w:tcPr>
          <w:p w14:paraId="410F9C69" w14:textId="77777777" w:rsidR="00312D84" w:rsidRPr="00AE4E8D" w:rsidRDefault="00312D84" w:rsidP="00241071">
            <w:pPr>
              <w:rPr>
                <w:rFonts w:ascii="Times New Roman" w:hAnsi="Times New Roman"/>
                <w:color w:val="000000"/>
                <w:lang w:val="es-ES"/>
              </w:rPr>
            </w:pPr>
          </w:p>
        </w:tc>
        <w:tc>
          <w:tcPr>
            <w:tcW w:w="160" w:type="dxa"/>
            <w:tcBorders>
              <w:top w:val="nil"/>
              <w:left w:val="nil"/>
              <w:bottom w:val="nil"/>
              <w:right w:val="nil"/>
            </w:tcBorders>
            <w:shd w:val="clear" w:color="auto" w:fill="auto"/>
            <w:vAlign w:val="bottom"/>
            <w:hideMark/>
          </w:tcPr>
          <w:p w14:paraId="0EF04C2D" w14:textId="77777777" w:rsidR="00312D84" w:rsidRPr="00AE4E8D" w:rsidRDefault="00312D84" w:rsidP="00241071">
            <w:pPr>
              <w:rPr>
                <w:rFonts w:ascii="Times New Roman" w:hAnsi="Times New Roman"/>
                <w:color w:val="000000"/>
                <w:lang w:val="es-ES"/>
              </w:rPr>
            </w:pPr>
          </w:p>
        </w:tc>
        <w:tc>
          <w:tcPr>
            <w:tcW w:w="871" w:type="dxa"/>
            <w:tcBorders>
              <w:top w:val="nil"/>
              <w:left w:val="nil"/>
              <w:bottom w:val="nil"/>
              <w:right w:val="nil"/>
            </w:tcBorders>
            <w:shd w:val="clear" w:color="auto" w:fill="auto"/>
            <w:vAlign w:val="bottom"/>
            <w:hideMark/>
          </w:tcPr>
          <w:p w14:paraId="33A720A2" w14:textId="77777777" w:rsidR="00312D84" w:rsidRPr="00AE4E8D" w:rsidRDefault="00312D84" w:rsidP="00241071">
            <w:pPr>
              <w:rPr>
                <w:rFonts w:ascii="Times New Roman" w:hAnsi="Times New Roman"/>
                <w:color w:val="000000"/>
                <w:lang w:val="es-ES"/>
              </w:rPr>
            </w:pPr>
          </w:p>
        </w:tc>
        <w:tc>
          <w:tcPr>
            <w:tcW w:w="174" w:type="dxa"/>
            <w:tcBorders>
              <w:top w:val="nil"/>
              <w:left w:val="nil"/>
              <w:bottom w:val="nil"/>
              <w:right w:val="nil"/>
            </w:tcBorders>
            <w:shd w:val="clear" w:color="auto" w:fill="auto"/>
            <w:vAlign w:val="bottom"/>
            <w:hideMark/>
          </w:tcPr>
          <w:p w14:paraId="2D9BA8DD" w14:textId="77777777" w:rsidR="00312D84" w:rsidRPr="00AE4E8D" w:rsidRDefault="00312D84" w:rsidP="00241071">
            <w:pPr>
              <w:rPr>
                <w:rFonts w:ascii="Times New Roman" w:hAnsi="Times New Roman"/>
                <w:color w:val="000000"/>
                <w:lang w:val="es-ES"/>
              </w:rPr>
            </w:pPr>
          </w:p>
        </w:tc>
        <w:tc>
          <w:tcPr>
            <w:tcW w:w="995" w:type="dxa"/>
            <w:tcBorders>
              <w:top w:val="nil"/>
              <w:left w:val="nil"/>
              <w:bottom w:val="nil"/>
              <w:right w:val="nil"/>
            </w:tcBorders>
            <w:shd w:val="clear" w:color="auto" w:fill="auto"/>
            <w:vAlign w:val="bottom"/>
            <w:hideMark/>
          </w:tcPr>
          <w:p w14:paraId="47AA0119" w14:textId="77777777" w:rsidR="00312D84" w:rsidRPr="00AE4E8D" w:rsidRDefault="00312D84" w:rsidP="00241071">
            <w:pPr>
              <w:rPr>
                <w:rFonts w:ascii="Times New Roman" w:hAnsi="Times New Roman"/>
                <w:color w:val="000000"/>
                <w:lang w:val="es-ES"/>
              </w:rPr>
            </w:pPr>
          </w:p>
        </w:tc>
        <w:tc>
          <w:tcPr>
            <w:tcW w:w="160" w:type="dxa"/>
            <w:tcBorders>
              <w:top w:val="nil"/>
              <w:left w:val="nil"/>
              <w:bottom w:val="nil"/>
              <w:right w:val="nil"/>
            </w:tcBorders>
            <w:shd w:val="clear" w:color="auto" w:fill="auto"/>
            <w:vAlign w:val="bottom"/>
            <w:hideMark/>
          </w:tcPr>
          <w:p w14:paraId="5FF8FB9D" w14:textId="77777777" w:rsidR="00312D84" w:rsidRPr="00AE4E8D" w:rsidRDefault="00312D84" w:rsidP="00241071">
            <w:pPr>
              <w:rPr>
                <w:rFonts w:ascii="Times New Roman" w:hAnsi="Times New Roman"/>
                <w:color w:val="000000"/>
                <w:lang w:val="es-ES"/>
              </w:rPr>
            </w:pPr>
          </w:p>
        </w:tc>
        <w:tc>
          <w:tcPr>
            <w:tcW w:w="972" w:type="dxa"/>
            <w:tcBorders>
              <w:top w:val="nil"/>
              <w:left w:val="nil"/>
              <w:bottom w:val="nil"/>
              <w:right w:val="nil"/>
            </w:tcBorders>
            <w:shd w:val="clear" w:color="auto" w:fill="auto"/>
            <w:vAlign w:val="bottom"/>
            <w:hideMark/>
          </w:tcPr>
          <w:p w14:paraId="6DD9A693" w14:textId="77777777" w:rsidR="00312D84" w:rsidRPr="00AE4E8D" w:rsidRDefault="00312D84" w:rsidP="00241071">
            <w:pPr>
              <w:rPr>
                <w:rFonts w:ascii="Times New Roman" w:hAnsi="Times New Roman"/>
                <w:color w:val="000000"/>
                <w:lang w:val="es-ES"/>
              </w:rPr>
            </w:pPr>
          </w:p>
        </w:tc>
        <w:tc>
          <w:tcPr>
            <w:tcW w:w="191" w:type="dxa"/>
            <w:gridSpan w:val="2"/>
            <w:tcBorders>
              <w:top w:val="nil"/>
              <w:left w:val="nil"/>
              <w:bottom w:val="nil"/>
              <w:right w:val="nil"/>
            </w:tcBorders>
            <w:shd w:val="clear" w:color="auto" w:fill="auto"/>
            <w:vAlign w:val="bottom"/>
            <w:hideMark/>
          </w:tcPr>
          <w:p w14:paraId="51D84EDC" w14:textId="77777777" w:rsidR="00312D84" w:rsidRPr="00AE4E8D" w:rsidRDefault="00312D84" w:rsidP="00241071">
            <w:pPr>
              <w:rPr>
                <w:rFonts w:ascii="Times New Roman" w:hAnsi="Times New Roman"/>
                <w:color w:val="000000"/>
                <w:lang w:val="es-ES"/>
              </w:rPr>
            </w:pPr>
          </w:p>
        </w:tc>
        <w:tc>
          <w:tcPr>
            <w:tcW w:w="1016" w:type="dxa"/>
            <w:gridSpan w:val="3"/>
            <w:tcBorders>
              <w:top w:val="nil"/>
              <w:left w:val="nil"/>
              <w:bottom w:val="nil"/>
              <w:right w:val="nil"/>
            </w:tcBorders>
            <w:shd w:val="clear" w:color="auto" w:fill="auto"/>
            <w:vAlign w:val="bottom"/>
            <w:hideMark/>
          </w:tcPr>
          <w:p w14:paraId="725638B1" w14:textId="77777777" w:rsidR="00312D84" w:rsidRPr="00AE4E8D" w:rsidRDefault="00312D84" w:rsidP="00241071">
            <w:pPr>
              <w:rPr>
                <w:rFonts w:ascii="Times New Roman" w:hAnsi="Times New Roman"/>
                <w:color w:val="000000"/>
                <w:lang w:val="es-ES"/>
              </w:rPr>
            </w:pPr>
          </w:p>
        </w:tc>
        <w:tc>
          <w:tcPr>
            <w:tcW w:w="330" w:type="dxa"/>
            <w:gridSpan w:val="2"/>
            <w:tcBorders>
              <w:top w:val="nil"/>
              <w:left w:val="nil"/>
              <w:bottom w:val="nil"/>
              <w:right w:val="nil"/>
            </w:tcBorders>
            <w:shd w:val="clear" w:color="auto" w:fill="auto"/>
            <w:vAlign w:val="bottom"/>
            <w:hideMark/>
          </w:tcPr>
          <w:p w14:paraId="70C9D848" w14:textId="77777777" w:rsidR="00312D84" w:rsidRPr="00AE4E8D" w:rsidRDefault="00312D84" w:rsidP="00241071">
            <w:pPr>
              <w:rPr>
                <w:rFonts w:ascii="Times New Roman" w:hAnsi="Times New Roman"/>
                <w:color w:val="000000"/>
                <w:lang w:val="es-ES"/>
              </w:rPr>
            </w:pPr>
          </w:p>
        </w:tc>
        <w:tc>
          <w:tcPr>
            <w:tcW w:w="908" w:type="dxa"/>
            <w:tcBorders>
              <w:top w:val="nil"/>
              <w:left w:val="nil"/>
              <w:bottom w:val="nil"/>
              <w:right w:val="nil"/>
            </w:tcBorders>
            <w:shd w:val="clear" w:color="auto" w:fill="auto"/>
            <w:vAlign w:val="bottom"/>
            <w:hideMark/>
          </w:tcPr>
          <w:p w14:paraId="0A7B3746" w14:textId="77777777" w:rsidR="00312D84" w:rsidRPr="00AE4E8D" w:rsidRDefault="00312D84" w:rsidP="00241071">
            <w:pPr>
              <w:rPr>
                <w:rFonts w:ascii="Times New Roman" w:hAnsi="Times New Roman"/>
                <w:color w:val="000000"/>
                <w:lang w:val="es-ES"/>
              </w:rPr>
            </w:pPr>
          </w:p>
        </w:tc>
        <w:tc>
          <w:tcPr>
            <w:tcW w:w="160" w:type="dxa"/>
            <w:tcBorders>
              <w:top w:val="nil"/>
              <w:left w:val="nil"/>
              <w:bottom w:val="nil"/>
              <w:right w:val="nil"/>
            </w:tcBorders>
            <w:shd w:val="clear" w:color="auto" w:fill="auto"/>
            <w:vAlign w:val="bottom"/>
            <w:hideMark/>
          </w:tcPr>
          <w:p w14:paraId="3404284F" w14:textId="77777777" w:rsidR="00312D84" w:rsidRPr="00AE4E8D" w:rsidRDefault="00312D84" w:rsidP="00241071">
            <w:pPr>
              <w:rPr>
                <w:rFonts w:ascii="Times New Roman" w:hAnsi="Times New Roman"/>
                <w:color w:val="000000"/>
                <w:lang w:val="es-ES"/>
              </w:rPr>
            </w:pPr>
          </w:p>
        </w:tc>
        <w:tc>
          <w:tcPr>
            <w:tcW w:w="160" w:type="dxa"/>
            <w:tcBorders>
              <w:top w:val="nil"/>
              <w:left w:val="nil"/>
              <w:bottom w:val="nil"/>
              <w:right w:val="nil"/>
            </w:tcBorders>
            <w:shd w:val="clear" w:color="auto" w:fill="auto"/>
            <w:vAlign w:val="bottom"/>
            <w:hideMark/>
          </w:tcPr>
          <w:p w14:paraId="1E8B3B2A" w14:textId="77777777" w:rsidR="00312D84" w:rsidRPr="00AE4E8D" w:rsidRDefault="00312D84" w:rsidP="00241071">
            <w:pPr>
              <w:rPr>
                <w:rFonts w:ascii="Times New Roman" w:hAnsi="Times New Roman"/>
                <w:color w:val="000000"/>
                <w:lang w:val="es-ES"/>
              </w:rPr>
            </w:pPr>
          </w:p>
        </w:tc>
        <w:tc>
          <w:tcPr>
            <w:tcW w:w="828" w:type="dxa"/>
            <w:tcBorders>
              <w:top w:val="nil"/>
              <w:left w:val="nil"/>
              <w:bottom w:val="nil"/>
              <w:right w:val="nil"/>
            </w:tcBorders>
            <w:shd w:val="clear" w:color="auto" w:fill="auto"/>
            <w:vAlign w:val="bottom"/>
            <w:hideMark/>
          </w:tcPr>
          <w:p w14:paraId="5E697347" w14:textId="77777777" w:rsidR="00312D84" w:rsidRPr="00AE4E8D" w:rsidRDefault="00312D84" w:rsidP="00312D84">
            <w:pPr>
              <w:rPr>
                <w:rFonts w:ascii="Times New Roman" w:hAnsi="Times New Roman"/>
                <w:color w:val="000000"/>
                <w:lang w:val="es-ES" w:eastAsia="es-AR"/>
              </w:rPr>
            </w:pPr>
          </w:p>
        </w:tc>
      </w:tr>
      <w:tr w:rsidR="003B5193" w:rsidRPr="00AE4E8D" w14:paraId="7381BA8C" w14:textId="77777777" w:rsidTr="000400C8">
        <w:trPr>
          <w:trHeight w:val="360"/>
          <w:jc w:val="center"/>
        </w:trPr>
        <w:tc>
          <w:tcPr>
            <w:tcW w:w="993" w:type="dxa"/>
            <w:tcBorders>
              <w:top w:val="nil"/>
              <w:left w:val="nil"/>
              <w:bottom w:val="nil"/>
              <w:right w:val="nil"/>
            </w:tcBorders>
            <w:shd w:val="clear" w:color="000000" w:fill="FFFFFF"/>
            <w:vAlign w:val="center"/>
            <w:hideMark/>
          </w:tcPr>
          <w:p w14:paraId="383E1D65" w14:textId="77777777" w:rsidR="00312D84" w:rsidRPr="00AE4E8D" w:rsidRDefault="00312D84" w:rsidP="00312D84">
            <w:pPr>
              <w:rPr>
                <w:rFonts w:ascii="Times New Roman" w:hAnsi="Times New Roman"/>
                <w:color w:val="000000"/>
                <w:sz w:val="14"/>
                <w:lang w:val="es-ES"/>
              </w:rPr>
            </w:pPr>
            <w:r w:rsidRPr="00AE4E8D">
              <w:rPr>
                <w:rFonts w:ascii="Times New Roman" w:hAnsi="Times New Roman"/>
                <w:color w:val="000000"/>
                <w:sz w:val="14"/>
                <w:lang w:val="es-ES"/>
              </w:rPr>
              <w:t>Bancos sector privado local</w:t>
            </w:r>
          </w:p>
        </w:tc>
        <w:tc>
          <w:tcPr>
            <w:tcW w:w="943" w:type="dxa"/>
            <w:tcBorders>
              <w:top w:val="nil"/>
              <w:left w:val="nil"/>
              <w:bottom w:val="nil"/>
              <w:right w:val="nil"/>
            </w:tcBorders>
            <w:shd w:val="clear" w:color="000000" w:fill="FFFFFF"/>
            <w:noWrap/>
            <w:vAlign w:val="center"/>
            <w:hideMark/>
          </w:tcPr>
          <w:p w14:paraId="41FA6F47"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830.781,00</w:t>
            </w:r>
          </w:p>
        </w:tc>
        <w:tc>
          <w:tcPr>
            <w:tcW w:w="160" w:type="dxa"/>
            <w:tcBorders>
              <w:top w:val="nil"/>
              <w:left w:val="nil"/>
              <w:bottom w:val="nil"/>
              <w:right w:val="nil"/>
            </w:tcBorders>
            <w:shd w:val="clear" w:color="000000" w:fill="FFFFFF"/>
            <w:noWrap/>
            <w:vAlign w:val="bottom"/>
            <w:hideMark/>
          </w:tcPr>
          <w:p w14:paraId="3F8BCA7D" w14:textId="77777777" w:rsidR="00312D84" w:rsidRPr="00AE4E8D" w:rsidRDefault="00312D84" w:rsidP="00312D84">
            <w:pPr>
              <w:rPr>
                <w:rFonts w:ascii="Times New Roman" w:hAnsi="Times New Roman"/>
                <w:color w:val="000000"/>
                <w:lang w:val="es-ES"/>
              </w:rPr>
            </w:pPr>
          </w:p>
        </w:tc>
        <w:tc>
          <w:tcPr>
            <w:tcW w:w="1044" w:type="dxa"/>
            <w:tcBorders>
              <w:top w:val="nil"/>
              <w:left w:val="nil"/>
              <w:bottom w:val="nil"/>
              <w:right w:val="nil"/>
            </w:tcBorders>
            <w:shd w:val="clear" w:color="000000" w:fill="FFFFFF"/>
            <w:vAlign w:val="center"/>
            <w:hideMark/>
          </w:tcPr>
          <w:p w14:paraId="70E3F320"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28,70</w:t>
            </w:r>
            <w:r w:rsidRPr="00AE4E8D">
              <w:rPr>
                <w:rFonts w:ascii="Times New Roman" w:hAnsi="Times New Roman"/>
                <w:color w:val="000000"/>
                <w:sz w:val="14"/>
                <w:lang w:val="es-ES"/>
              </w:rPr>
              <w:t>%</w:t>
            </w:r>
          </w:p>
        </w:tc>
        <w:tc>
          <w:tcPr>
            <w:tcW w:w="160" w:type="dxa"/>
            <w:tcBorders>
              <w:top w:val="nil"/>
              <w:left w:val="nil"/>
              <w:bottom w:val="nil"/>
              <w:right w:val="nil"/>
            </w:tcBorders>
            <w:shd w:val="clear" w:color="000000" w:fill="FFFFFF"/>
            <w:vAlign w:val="bottom"/>
            <w:hideMark/>
          </w:tcPr>
          <w:p w14:paraId="73F30B08" w14:textId="77777777" w:rsidR="00312D84" w:rsidRPr="00AE4E8D" w:rsidRDefault="00312D84" w:rsidP="00241071">
            <w:pPr>
              <w:rPr>
                <w:rFonts w:ascii="Times New Roman" w:hAnsi="Times New Roman"/>
                <w:color w:val="000000"/>
                <w:lang w:val="es-ES"/>
              </w:rPr>
            </w:pPr>
          </w:p>
        </w:tc>
        <w:tc>
          <w:tcPr>
            <w:tcW w:w="871" w:type="dxa"/>
            <w:tcBorders>
              <w:top w:val="nil"/>
              <w:left w:val="nil"/>
              <w:bottom w:val="nil"/>
              <w:right w:val="nil"/>
            </w:tcBorders>
            <w:shd w:val="clear" w:color="000000" w:fill="FFFFFF"/>
            <w:noWrap/>
            <w:vAlign w:val="center"/>
            <w:hideMark/>
          </w:tcPr>
          <w:p w14:paraId="4DFB2E36"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398.525,80</w:t>
            </w:r>
          </w:p>
        </w:tc>
        <w:tc>
          <w:tcPr>
            <w:tcW w:w="174" w:type="dxa"/>
            <w:tcBorders>
              <w:top w:val="nil"/>
              <w:left w:val="nil"/>
              <w:bottom w:val="nil"/>
              <w:right w:val="nil"/>
            </w:tcBorders>
            <w:shd w:val="clear" w:color="000000" w:fill="FFFFFF"/>
            <w:noWrap/>
            <w:vAlign w:val="bottom"/>
            <w:hideMark/>
          </w:tcPr>
          <w:p w14:paraId="3828B4A5" w14:textId="77777777" w:rsidR="00312D84" w:rsidRPr="00AE4E8D" w:rsidRDefault="00312D84" w:rsidP="00312D84">
            <w:pPr>
              <w:rPr>
                <w:rFonts w:ascii="Times New Roman" w:hAnsi="Times New Roman"/>
                <w:color w:val="000000"/>
                <w:lang w:val="es-ES"/>
              </w:rPr>
            </w:pPr>
          </w:p>
        </w:tc>
        <w:tc>
          <w:tcPr>
            <w:tcW w:w="995" w:type="dxa"/>
            <w:tcBorders>
              <w:top w:val="nil"/>
              <w:left w:val="nil"/>
              <w:bottom w:val="nil"/>
              <w:right w:val="nil"/>
            </w:tcBorders>
            <w:shd w:val="clear" w:color="000000" w:fill="FFFFFF"/>
            <w:vAlign w:val="center"/>
            <w:hideMark/>
          </w:tcPr>
          <w:p w14:paraId="0CA6EE6B"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32,</w:t>
            </w:r>
            <w:r w:rsidRPr="00AE4E8D">
              <w:rPr>
                <w:rFonts w:ascii="Times New Roman" w:hAnsi="Times New Roman"/>
                <w:color w:val="000000"/>
                <w:sz w:val="14"/>
                <w:szCs w:val="14"/>
                <w:lang w:val="es-ES" w:eastAsia="es-AR"/>
              </w:rPr>
              <w:t>72</w:t>
            </w:r>
            <w:r w:rsidRPr="00AE4E8D">
              <w:rPr>
                <w:rFonts w:ascii="Times New Roman" w:hAnsi="Times New Roman"/>
                <w:color w:val="000000"/>
                <w:sz w:val="14"/>
                <w:lang w:val="es-ES"/>
              </w:rPr>
              <w:t>%</w:t>
            </w:r>
          </w:p>
        </w:tc>
        <w:tc>
          <w:tcPr>
            <w:tcW w:w="160" w:type="dxa"/>
            <w:tcBorders>
              <w:top w:val="nil"/>
              <w:left w:val="nil"/>
              <w:bottom w:val="nil"/>
              <w:right w:val="nil"/>
            </w:tcBorders>
            <w:shd w:val="clear" w:color="000000" w:fill="FFFFFF"/>
            <w:vAlign w:val="bottom"/>
            <w:hideMark/>
          </w:tcPr>
          <w:p w14:paraId="7B15357E" w14:textId="77777777" w:rsidR="00312D84" w:rsidRPr="00AE4E8D" w:rsidRDefault="00312D84" w:rsidP="00241071">
            <w:pPr>
              <w:rPr>
                <w:rFonts w:ascii="Times New Roman" w:hAnsi="Times New Roman"/>
                <w:color w:val="000000"/>
                <w:lang w:val="es-ES"/>
              </w:rPr>
            </w:pPr>
          </w:p>
        </w:tc>
        <w:tc>
          <w:tcPr>
            <w:tcW w:w="972" w:type="dxa"/>
            <w:tcBorders>
              <w:top w:val="nil"/>
              <w:left w:val="nil"/>
              <w:bottom w:val="nil"/>
              <w:right w:val="nil"/>
            </w:tcBorders>
            <w:shd w:val="clear" w:color="000000" w:fill="FFFFFF"/>
            <w:noWrap/>
            <w:vAlign w:val="center"/>
            <w:hideMark/>
          </w:tcPr>
          <w:p w14:paraId="77B20C92"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574.660,40</w:t>
            </w:r>
          </w:p>
        </w:tc>
        <w:tc>
          <w:tcPr>
            <w:tcW w:w="160" w:type="dxa"/>
            <w:tcBorders>
              <w:top w:val="nil"/>
              <w:left w:val="nil"/>
              <w:bottom w:val="nil"/>
              <w:right w:val="nil"/>
            </w:tcBorders>
            <w:shd w:val="clear" w:color="000000" w:fill="FFFFFF"/>
            <w:noWrap/>
            <w:vAlign w:val="bottom"/>
            <w:hideMark/>
          </w:tcPr>
          <w:p w14:paraId="0499292A" w14:textId="77777777" w:rsidR="00312D84" w:rsidRPr="00AE4E8D" w:rsidRDefault="00312D84" w:rsidP="00312D84">
            <w:pPr>
              <w:rPr>
                <w:rFonts w:ascii="Times New Roman" w:hAnsi="Times New Roman"/>
                <w:color w:val="000000"/>
                <w:lang w:val="es-ES"/>
              </w:rPr>
            </w:pPr>
          </w:p>
        </w:tc>
        <w:tc>
          <w:tcPr>
            <w:tcW w:w="160" w:type="dxa"/>
            <w:gridSpan w:val="2"/>
            <w:tcBorders>
              <w:top w:val="nil"/>
              <w:left w:val="nil"/>
              <w:bottom w:val="nil"/>
              <w:right w:val="nil"/>
            </w:tcBorders>
            <w:shd w:val="clear" w:color="000000" w:fill="FFFFFF"/>
            <w:noWrap/>
            <w:vAlign w:val="bottom"/>
            <w:hideMark/>
          </w:tcPr>
          <w:p w14:paraId="02CCE7EF" w14:textId="77777777" w:rsidR="00312D84" w:rsidRPr="00AE4E8D" w:rsidRDefault="00312D84" w:rsidP="00312D84">
            <w:pPr>
              <w:rPr>
                <w:rFonts w:ascii="Times New Roman" w:hAnsi="Times New Roman"/>
                <w:color w:val="000000"/>
                <w:lang w:val="es-ES" w:eastAsia="es-AR"/>
              </w:rPr>
            </w:pPr>
          </w:p>
        </w:tc>
        <w:tc>
          <w:tcPr>
            <w:tcW w:w="887" w:type="dxa"/>
            <w:gridSpan w:val="2"/>
            <w:tcBorders>
              <w:top w:val="nil"/>
              <w:left w:val="nil"/>
              <w:bottom w:val="nil"/>
              <w:right w:val="nil"/>
            </w:tcBorders>
            <w:shd w:val="clear" w:color="000000" w:fill="FFFFFF"/>
            <w:vAlign w:val="center"/>
            <w:hideMark/>
          </w:tcPr>
          <w:p w14:paraId="09EA6DBB"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27,</w:t>
            </w:r>
            <w:r w:rsidRPr="00AE4E8D">
              <w:rPr>
                <w:rFonts w:ascii="Times New Roman" w:hAnsi="Times New Roman"/>
                <w:color w:val="000000"/>
                <w:sz w:val="14"/>
                <w:szCs w:val="14"/>
                <w:lang w:val="es-ES" w:eastAsia="es-AR"/>
              </w:rPr>
              <w:t>88</w:t>
            </w:r>
            <w:r w:rsidRPr="00AE4E8D">
              <w:rPr>
                <w:rFonts w:ascii="Times New Roman" w:hAnsi="Times New Roman"/>
                <w:color w:val="000000"/>
                <w:sz w:val="14"/>
                <w:lang w:val="es-ES"/>
              </w:rPr>
              <w:t>%</w:t>
            </w:r>
          </w:p>
        </w:tc>
        <w:tc>
          <w:tcPr>
            <w:tcW w:w="330" w:type="dxa"/>
            <w:gridSpan w:val="2"/>
            <w:tcBorders>
              <w:top w:val="nil"/>
              <w:left w:val="nil"/>
              <w:bottom w:val="nil"/>
              <w:right w:val="nil"/>
            </w:tcBorders>
            <w:shd w:val="clear" w:color="000000" w:fill="FFFFFF"/>
            <w:vAlign w:val="bottom"/>
            <w:hideMark/>
          </w:tcPr>
          <w:p w14:paraId="0180515E" w14:textId="77777777" w:rsidR="00312D84" w:rsidRPr="00AE4E8D" w:rsidRDefault="00312D84" w:rsidP="00241071">
            <w:pPr>
              <w:rPr>
                <w:rFonts w:ascii="Times New Roman" w:hAnsi="Times New Roman"/>
                <w:color w:val="000000"/>
                <w:lang w:val="es-ES"/>
              </w:rPr>
            </w:pPr>
          </w:p>
        </w:tc>
        <w:tc>
          <w:tcPr>
            <w:tcW w:w="908" w:type="dxa"/>
            <w:tcBorders>
              <w:top w:val="nil"/>
              <w:left w:val="nil"/>
              <w:bottom w:val="nil"/>
              <w:right w:val="nil"/>
            </w:tcBorders>
            <w:shd w:val="clear" w:color="000000" w:fill="FFFFFF"/>
            <w:noWrap/>
            <w:vAlign w:val="center"/>
            <w:hideMark/>
          </w:tcPr>
          <w:p w14:paraId="32BE309F"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94.685,00</w:t>
            </w:r>
          </w:p>
        </w:tc>
        <w:tc>
          <w:tcPr>
            <w:tcW w:w="160" w:type="dxa"/>
            <w:tcBorders>
              <w:top w:val="nil"/>
              <w:left w:val="nil"/>
              <w:bottom w:val="nil"/>
              <w:right w:val="nil"/>
            </w:tcBorders>
            <w:shd w:val="clear" w:color="000000" w:fill="FFFFFF"/>
            <w:noWrap/>
            <w:vAlign w:val="center"/>
            <w:hideMark/>
          </w:tcPr>
          <w:p w14:paraId="455C1829" w14:textId="77777777" w:rsidR="00312D84" w:rsidRPr="00AE4E8D" w:rsidRDefault="00312D84" w:rsidP="00312D84">
            <w:pPr>
              <w:rPr>
                <w:rFonts w:ascii="Times New Roman" w:hAnsi="Times New Roman"/>
                <w:color w:val="000000"/>
                <w:sz w:val="14"/>
                <w:lang w:val="es-ES"/>
              </w:rPr>
            </w:pPr>
          </w:p>
        </w:tc>
        <w:tc>
          <w:tcPr>
            <w:tcW w:w="160" w:type="dxa"/>
            <w:tcBorders>
              <w:top w:val="nil"/>
              <w:left w:val="nil"/>
              <w:bottom w:val="nil"/>
              <w:right w:val="nil"/>
            </w:tcBorders>
            <w:shd w:val="clear" w:color="000000" w:fill="FFFFFF"/>
            <w:noWrap/>
            <w:vAlign w:val="bottom"/>
            <w:hideMark/>
          </w:tcPr>
          <w:p w14:paraId="7917B784" w14:textId="77777777" w:rsidR="00312D84" w:rsidRPr="00AE4E8D" w:rsidRDefault="00312D84" w:rsidP="00312D84">
            <w:pPr>
              <w:rPr>
                <w:rFonts w:ascii="Times New Roman" w:hAnsi="Times New Roman"/>
                <w:color w:val="000000"/>
                <w:lang w:val="es-ES" w:eastAsia="es-AR"/>
              </w:rPr>
            </w:pPr>
          </w:p>
        </w:tc>
        <w:tc>
          <w:tcPr>
            <w:tcW w:w="828" w:type="dxa"/>
            <w:tcBorders>
              <w:top w:val="nil"/>
              <w:left w:val="nil"/>
              <w:bottom w:val="nil"/>
              <w:right w:val="nil"/>
            </w:tcBorders>
            <w:shd w:val="clear" w:color="000000" w:fill="FFFFFF"/>
            <w:vAlign w:val="center"/>
            <w:hideMark/>
          </w:tcPr>
          <w:p w14:paraId="1DE84A93"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29,</w:t>
            </w:r>
            <w:r w:rsidRPr="00AE4E8D">
              <w:rPr>
                <w:rFonts w:ascii="Times New Roman" w:hAnsi="Times New Roman"/>
                <w:color w:val="000000"/>
                <w:sz w:val="14"/>
                <w:szCs w:val="14"/>
                <w:lang w:val="es-ES" w:eastAsia="es-AR"/>
              </w:rPr>
              <w:t>66</w:t>
            </w:r>
            <w:r w:rsidRPr="00AE4E8D">
              <w:rPr>
                <w:rFonts w:ascii="Times New Roman" w:hAnsi="Times New Roman"/>
                <w:color w:val="000000"/>
                <w:sz w:val="14"/>
                <w:lang w:val="es-ES"/>
              </w:rPr>
              <w:t>%</w:t>
            </w:r>
          </w:p>
        </w:tc>
      </w:tr>
      <w:tr w:rsidR="003B5193" w:rsidRPr="00AE4E8D" w14:paraId="407C4620" w14:textId="77777777" w:rsidTr="000400C8">
        <w:trPr>
          <w:trHeight w:val="360"/>
          <w:jc w:val="center"/>
        </w:trPr>
        <w:tc>
          <w:tcPr>
            <w:tcW w:w="993" w:type="dxa"/>
            <w:tcBorders>
              <w:top w:val="nil"/>
              <w:left w:val="nil"/>
              <w:bottom w:val="nil"/>
              <w:right w:val="nil"/>
            </w:tcBorders>
            <w:shd w:val="clear" w:color="000000" w:fill="FFFFFF"/>
            <w:vAlign w:val="center"/>
            <w:hideMark/>
          </w:tcPr>
          <w:p w14:paraId="52DE8232" w14:textId="77777777" w:rsidR="00312D84" w:rsidRPr="00AE4E8D" w:rsidRDefault="00312D84" w:rsidP="00312D84">
            <w:pPr>
              <w:rPr>
                <w:rFonts w:ascii="Times New Roman" w:hAnsi="Times New Roman"/>
                <w:color w:val="000000"/>
                <w:sz w:val="14"/>
                <w:lang w:val="es-ES"/>
              </w:rPr>
            </w:pPr>
            <w:r w:rsidRPr="00AE4E8D">
              <w:rPr>
                <w:rFonts w:ascii="Times New Roman" w:hAnsi="Times New Roman"/>
                <w:color w:val="000000"/>
                <w:sz w:val="14"/>
                <w:lang w:val="es-ES"/>
              </w:rPr>
              <w:t>Banco extranjeros</w:t>
            </w:r>
          </w:p>
        </w:tc>
        <w:tc>
          <w:tcPr>
            <w:tcW w:w="943" w:type="dxa"/>
            <w:tcBorders>
              <w:top w:val="nil"/>
              <w:left w:val="nil"/>
              <w:bottom w:val="nil"/>
              <w:right w:val="nil"/>
            </w:tcBorders>
            <w:shd w:val="clear" w:color="000000" w:fill="FFFFFF"/>
            <w:noWrap/>
            <w:vAlign w:val="center"/>
            <w:hideMark/>
          </w:tcPr>
          <w:p w14:paraId="3D35A363"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805.138,10</w:t>
            </w:r>
          </w:p>
        </w:tc>
        <w:tc>
          <w:tcPr>
            <w:tcW w:w="160" w:type="dxa"/>
            <w:tcBorders>
              <w:top w:val="nil"/>
              <w:left w:val="nil"/>
              <w:bottom w:val="nil"/>
              <w:right w:val="nil"/>
            </w:tcBorders>
            <w:shd w:val="clear" w:color="000000" w:fill="FFFFFF"/>
            <w:vAlign w:val="bottom"/>
            <w:hideMark/>
          </w:tcPr>
          <w:p w14:paraId="4DC9E408" w14:textId="77777777" w:rsidR="00312D84" w:rsidRPr="00AE4E8D" w:rsidRDefault="00312D84" w:rsidP="00241071">
            <w:pPr>
              <w:rPr>
                <w:rFonts w:ascii="Times New Roman" w:hAnsi="Times New Roman"/>
                <w:color w:val="000000"/>
                <w:lang w:val="es-ES"/>
              </w:rPr>
            </w:pPr>
          </w:p>
        </w:tc>
        <w:tc>
          <w:tcPr>
            <w:tcW w:w="1044" w:type="dxa"/>
            <w:tcBorders>
              <w:top w:val="nil"/>
              <w:left w:val="nil"/>
              <w:bottom w:val="nil"/>
              <w:right w:val="nil"/>
            </w:tcBorders>
            <w:shd w:val="clear" w:color="000000" w:fill="FFFFFF"/>
            <w:vAlign w:val="center"/>
            <w:hideMark/>
          </w:tcPr>
          <w:p w14:paraId="553DE34B"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27,82</w:t>
            </w:r>
            <w:r w:rsidRPr="00AE4E8D">
              <w:rPr>
                <w:rFonts w:ascii="Times New Roman" w:hAnsi="Times New Roman"/>
                <w:color w:val="000000"/>
                <w:sz w:val="14"/>
                <w:lang w:val="es-ES"/>
              </w:rPr>
              <w:t>%</w:t>
            </w:r>
          </w:p>
        </w:tc>
        <w:tc>
          <w:tcPr>
            <w:tcW w:w="160" w:type="dxa"/>
            <w:tcBorders>
              <w:top w:val="nil"/>
              <w:left w:val="nil"/>
              <w:bottom w:val="nil"/>
              <w:right w:val="nil"/>
            </w:tcBorders>
            <w:shd w:val="clear" w:color="000000" w:fill="FFFFFF"/>
            <w:vAlign w:val="bottom"/>
            <w:hideMark/>
          </w:tcPr>
          <w:p w14:paraId="42458CA9" w14:textId="77777777" w:rsidR="00312D84" w:rsidRPr="00AE4E8D" w:rsidRDefault="00312D84" w:rsidP="00241071">
            <w:pPr>
              <w:rPr>
                <w:rFonts w:ascii="Times New Roman" w:hAnsi="Times New Roman"/>
                <w:color w:val="000000"/>
                <w:lang w:val="es-ES"/>
              </w:rPr>
            </w:pPr>
          </w:p>
        </w:tc>
        <w:tc>
          <w:tcPr>
            <w:tcW w:w="871" w:type="dxa"/>
            <w:tcBorders>
              <w:top w:val="nil"/>
              <w:left w:val="nil"/>
              <w:bottom w:val="nil"/>
              <w:right w:val="nil"/>
            </w:tcBorders>
            <w:shd w:val="clear" w:color="000000" w:fill="FFFFFF"/>
            <w:noWrap/>
            <w:vAlign w:val="center"/>
            <w:hideMark/>
          </w:tcPr>
          <w:p w14:paraId="01321620"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391.069,80</w:t>
            </w:r>
          </w:p>
        </w:tc>
        <w:tc>
          <w:tcPr>
            <w:tcW w:w="174" w:type="dxa"/>
            <w:tcBorders>
              <w:top w:val="nil"/>
              <w:left w:val="nil"/>
              <w:bottom w:val="nil"/>
              <w:right w:val="nil"/>
            </w:tcBorders>
            <w:shd w:val="clear" w:color="000000" w:fill="FFFFFF"/>
            <w:vAlign w:val="bottom"/>
            <w:hideMark/>
          </w:tcPr>
          <w:p w14:paraId="79877E39" w14:textId="77777777" w:rsidR="00312D84" w:rsidRPr="00AE4E8D" w:rsidRDefault="00312D84" w:rsidP="00241071">
            <w:pPr>
              <w:rPr>
                <w:rFonts w:ascii="Times New Roman" w:hAnsi="Times New Roman"/>
                <w:color w:val="000000"/>
                <w:lang w:val="es-ES"/>
              </w:rPr>
            </w:pPr>
          </w:p>
        </w:tc>
        <w:tc>
          <w:tcPr>
            <w:tcW w:w="995" w:type="dxa"/>
            <w:tcBorders>
              <w:top w:val="nil"/>
              <w:left w:val="nil"/>
              <w:bottom w:val="nil"/>
              <w:right w:val="nil"/>
            </w:tcBorders>
            <w:shd w:val="clear" w:color="000000" w:fill="FFFFFF"/>
            <w:vAlign w:val="center"/>
            <w:hideMark/>
          </w:tcPr>
          <w:p w14:paraId="5E023E2D"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32,</w:t>
            </w:r>
            <w:r w:rsidRPr="00AE4E8D">
              <w:rPr>
                <w:rFonts w:ascii="Times New Roman" w:hAnsi="Times New Roman"/>
                <w:color w:val="000000"/>
                <w:sz w:val="14"/>
                <w:szCs w:val="14"/>
                <w:lang w:val="es-ES" w:eastAsia="es-AR"/>
              </w:rPr>
              <w:t>11</w:t>
            </w:r>
            <w:r w:rsidRPr="00AE4E8D">
              <w:rPr>
                <w:rFonts w:ascii="Times New Roman" w:hAnsi="Times New Roman"/>
                <w:color w:val="000000"/>
                <w:sz w:val="14"/>
                <w:lang w:val="es-ES"/>
              </w:rPr>
              <w:t>%</w:t>
            </w:r>
          </w:p>
        </w:tc>
        <w:tc>
          <w:tcPr>
            <w:tcW w:w="160" w:type="dxa"/>
            <w:tcBorders>
              <w:top w:val="nil"/>
              <w:left w:val="nil"/>
              <w:bottom w:val="nil"/>
              <w:right w:val="nil"/>
            </w:tcBorders>
            <w:shd w:val="clear" w:color="000000" w:fill="FFFFFF"/>
            <w:vAlign w:val="bottom"/>
            <w:hideMark/>
          </w:tcPr>
          <w:p w14:paraId="17183844" w14:textId="77777777" w:rsidR="00312D84" w:rsidRPr="00AE4E8D" w:rsidRDefault="00312D84" w:rsidP="00241071">
            <w:pPr>
              <w:rPr>
                <w:rFonts w:ascii="Times New Roman" w:hAnsi="Times New Roman"/>
                <w:color w:val="000000"/>
                <w:lang w:val="es-ES"/>
              </w:rPr>
            </w:pPr>
          </w:p>
        </w:tc>
        <w:tc>
          <w:tcPr>
            <w:tcW w:w="972" w:type="dxa"/>
            <w:tcBorders>
              <w:top w:val="nil"/>
              <w:left w:val="nil"/>
              <w:bottom w:val="nil"/>
              <w:right w:val="nil"/>
            </w:tcBorders>
            <w:shd w:val="clear" w:color="000000" w:fill="FFFFFF"/>
            <w:noWrap/>
            <w:vAlign w:val="center"/>
            <w:hideMark/>
          </w:tcPr>
          <w:p w14:paraId="17333C1B"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541.124,00</w:t>
            </w:r>
          </w:p>
        </w:tc>
        <w:tc>
          <w:tcPr>
            <w:tcW w:w="160" w:type="dxa"/>
            <w:tcBorders>
              <w:top w:val="nil"/>
              <w:left w:val="nil"/>
              <w:bottom w:val="nil"/>
              <w:right w:val="nil"/>
            </w:tcBorders>
            <w:shd w:val="clear" w:color="000000" w:fill="FFFFFF"/>
            <w:vAlign w:val="bottom"/>
            <w:hideMark/>
          </w:tcPr>
          <w:p w14:paraId="2395A284" w14:textId="77777777" w:rsidR="00312D84" w:rsidRPr="00AE4E8D" w:rsidRDefault="00312D84" w:rsidP="00241071">
            <w:pPr>
              <w:rPr>
                <w:rFonts w:ascii="Times New Roman" w:hAnsi="Times New Roman"/>
                <w:color w:val="000000"/>
                <w:lang w:val="es-ES"/>
              </w:rPr>
            </w:pPr>
          </w:p>
        </w:tc>
        <w:tc>
          <w:tcPr>
            <w:tcW w:w="160" w:type="dxa"/>
            <w:gridSpan w:val="2"/>
            <w:tcBorders>
              <w:top w:val="nil"/>
              <w:left w:val="nil"/>
              <w:bottom w:val="nil"/>
              <w:right w:val="nil"/>
            </w:tcBorders>
            <w:shd w:val="clear" w:color="000000" w:fill="FFFFFF"/>
            <w:vAlign w:val="bottom"/>
            <w:hideMark/>
          </w:tcPr>
          <w:p w14:paraId="3E88591A" w14:textId="77777777" w:rsidR="00312D84" w:rsidRPr="00AE4E8D" w:rsidRDefault="00312D84" w:rsidP="00241071">
            <w:pPr>
              <w:rPr>
                <w:rFonts w:ascii="Times New Roman" w:hAnsi="Times New Roman"/>
                <w:color w:val="000000"/>
                <w:lang w:val="es-ES"/>
              </w:rPr>
            </w:pPr>
          </w:p>
        </w:tc>
        <w:tc>
          <w:tcPr>
            <w:tcW w:w="887" w:type="dxa"/>
            <w:gridSpan w:val="2"/>
            <w:tcBorders>
              <w:top w:val="nil"/>
              <w:left w:val="nil"/>
              <w:bottom w:val="nil"/>
              <w:right w:val="nil"/>
            </w:tcBorders>
            <w:shd w:val="clear" w:color="000000" w:fill="FFFFFF"/>
            <w:vAlign w:val="center"/>
            <w:hideMark/>
          </w:tcPr>
          <w:p w14:paraId="0FCF084D"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26,26%</w:t>
            </w:r>
          </w:p>
        </w:tc>
        <w:tc>
          <w:tcPr>
            <w:tcW w:w="330" w:type="dxa"/>
            <w:gridSpan w:val="2"/>
            <w:tcBorders>
              <w:top w:val="nil"/>
              <w:left w:val="nil"/>
              <w:bottom w:val="nil"/>
              <w:right w:val="nil"/>
            </w:tcBorders>
            <w:shd w:val="clear" w:color="000000" w:fill="FFFFFF"/>
            <w:vAlign w:val="bottom"/>
            <w:hideMark/>
          </w:tcPr>
          <w:p w14:paraId="147E1AE3" w14:textId="77777777" w:rsidR="00312D84" w:rsidRPr="00AE4E8D" w:rsidRDefault="00312D84" w:rsidP="00241071">
            <w:pPr>
              <w:rPr>
                <w:rFonts w:ascii="Times New Roman" w:hAnsi="Times New Roman"/>
                <w:color w:val="000000"/>
                <w:lang w:val="es-ES"/>
              </w:rPr>
            </w:pPr>
          </w:p>
        </w:tc>
        <w:tc>
          <w:tcPr>
            <w:tcW w:w="908" w:type="dxa"/>
            <w:tcBorders>
              <w:top w:val="nil"/>
              <w:left w:val="nil"/>
              <w:bottom w:val="nil"/>
              <w:right w:val="nil"/>
            </w:tcBorders>
            <w:shd w:val="clear" w:color="000000" w:fill="FFFFFF"/>
            <w:noWrap/>
            <w:vAlign w:val="center"/>
            <w:hideMark/>
          </w:tcPr>
          <w:p w14:paraId="44DA30AF"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93.928,70</w:t>
            </w:r>
          </w:p>
        </w:tc>
        <w:tc>
          <w:tcPr>
            <w:tcW w:w="160" w:type="dxa"/>
            <w:tcBorders>
              <w:top w:val="nil"/>
              <w:left w:val="nil"/>
              <w:bottom w:val="nil"/>
              <w:right w:val="nil"/>
            </w:tcBorders>
            <w:shd w:val="clear" w:color="000000" w:fill="FFFFFF"/>
            <w:vAlign w:val="center"/>
            <w:hideMark/>
          </w:tcPr>
          <w:p w14:paraId="018A8896" w14:textId="77777777" w:rsidR="00312D84" w:rsidRPr="00AE4E8D" w:rsidRDefault="00312D84" w:rsidP="00312D84">
            <w:pPr>
              <w:rPr>
                <w:rFonts w:ascii="Times New Roman" w:hAnsi="Times New Roman"/>
                <w:color w:val="000000"/>
                <w:sz w:val="14"/>
                <w:szCs w:val="14"/>
                <w:lang w:val="es-ES" w:eastAsia="es-AR"/>
              </w:rPr>
            </w:pPr>
          </w:p>
        </w:tc>
        <w:tc>
          <w:tcPr>
            <w:tcW w:w="160" w:type="dxa"/>
            <w:tcBorders>
              <w:top w:val="nil"/>
              <w:left w:val="nil"/>
              <w:bottom w:val="nil"/>
              <w:right w:val="nil"/>
            </w:tcBorders>
            <w:shd w:val="clear" w:color="000000" w:fill="FFFFFF"/>
            <w:vAlign w:val="bottom"/>
            <w:hideMark/>
          </w:tcPr>
          <w:p w14:paraId="3AA6A242" w14:textId="77777777" w:rsidR="00312D84" w:rsidRPr="00AE4E8D" w:rsidRDefault="00312D84" w:rsidP="00312D84">
            <w:pPr>
              <w:rPr>
                <w:rFonts w:ascii="Times New Roman" w:hAnsi="Times New Roman"/>
                <w:color w:val="000000"/>
                <w:lang w:val="es-ES" w:eastAsia="es-AR"/>
              </w:rPr>
            </w:pPr>
          </w:p>
        </w:tc>
        <w:tc>
          <w:tcPr>
            <w:tcW w:w="828" w:type="dxa"/>
            <w:tcBorders>
              <w:top w:val="nil"/>
              <w:left w:val="nil"/>
              <w:bottom w:val="nil"/>
              <w:right w:val="nil"/>
            </w:tcBorders>
            <w:shd w:val="clear" w:color="000000" w:fill="FFFFFF"/>
            <w:vAlign w:val="center"/>
            <w:hideMark/>
          </w:tcPr>
          <w:p w14:paraId="25AB878F"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29,</w:t>
            </w:r>
            <w:r w:rsidRPr="00AE4E8D">
              <w:rPr>
                <w:rFonts w:ascii="Times New Roman" w:hAnsi="Times New Roman"/>
                <w:color w:val="000000"/>
                <w:sz w:val="14"/>
                <w:szCs w:val="14"/>
                <w:lang w:val="es-ES" w:eastAsia="es-AR"/>
              </w:rPr>
              <w:t>42</w:t>
            </w:r>
            <w:r w:rsidRPr="00AE4E8D">
              <w:rPr>
                <w:rFonts w:ascii="Times New Roman" w:hAnsi="Times New Roman"/>
                <w:color w:val="000000"/>
                <w:sz w:val="14"/>
                <w:lang w:val="es-ES"/>
              </w:rPr>
              <w:t>%</w:t>
            </w:r>
          </w:p>
        </w:tc>
      </w:tr>
      <w:tr w:rsidR="003B5193" w:rsidRPr="00AE4E8D" w14:paraId="4AEB9C55" w14:textId="77777777" w:rsidTr="000400C8">
        <w:trPr>
          <w:trHeight w:val="360"/>
          <w:jc w:val="center"/>
        </w:trPr>
        <w:tc>
          <w:tcPr>
            <w:tcW w:w="993" w:type="dxa"/>
            <w:tcBorders>
              <w:top w:val="nil"/>
              <w:left w:val="nil"/>
              <w:bottom w:val="nil"/>
              <w:right w:val="nil"/>
            </w:tcBorders>
            <w:shd w:val="clear" w:color="000000" w:fill="FFFFFF"/>
            <w:vAlign w:val="center"/>
            <w:hideMark/>
          </w:tcPr>
          <w:p w14:paraId="7A9B16E8" w14:textId="77777777" w:rsidR="00312D84" w:rsidRPr="00AE4E8D" w:rsidRDefault="00312D84" w:rsidP="00312D84">
            <w:pPr>
              <w:rPr>
                <w:rFonts w:ascii="Times New Roman" w:hAnsi="Times New Roman"/>
                <w:color w:val="000000"/>
                <w:sz w:val="14"/>
                <w:lang w:val="es-ES"/>
              </w:rPr>
            </w:pPr>
            <w:r w:rsidRPr="00AE4E8D">
              <w:rPr>
                <w:rFonts w:ascii="Times New Roman" w:hAnsi="Times New Roman"/>
                <w:color w:val="000000"/>
                <w:sz w:val="14"/>
                <w:lang w:val="es-ES"/>
              </w:rPr>
              <w:t>Sector privado total</w:t>
            </w:r>
          </w:p>
        </w:tc>
        <w:tc>
          <w:tcPr>
            <w:tcW w:w="943" w:type="dxa"/>
            <w:tcBorders>
              <w:top w:val="nil"/>
              <w:left w:val="nil"/>
              <w:bottom w:val="nil"/>
              <w:right w:val="nil"/>
            </w:tcBorders>
            <w:shd w:val="clear" w:color="000000" w:fill="FFFFFF"/>
            <w:vAlign w:val="center"/>
            <w:hideMark/>
          </w:tcPr>
          <w:p w14:paraId="2ACAC7F4"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635.919,10</w:t>
            </w:r>
          </w:p>
        </w:tc>
        <w:tc>
          <w:tcPr>
            <w:tcW w:w="160" w:type="dxa"/>
            <w:tcBorders>
              <w:top w:val="nil"/>
              <w:left w:val="nil"/>
              <w:bottom w:val="nil"/>
              <w:right w:val="nil"/>
            </w:tcBorders>
            <w:shd w:val="clear" w:color="000000" w:fill="FFFFFF"/>
            <w:vAlign w:val="bottom"/>
            <w:hideMark/>
          </w:tcPr>
          <w:p w14:paraId="4065B747" w14:textId="77777777" w:rsidR="00312D84" w:rsidRPr="00AE4E8D" w:rsidRDefault="00312D84" w:rsidP="00241071">
            <w:pPr>
              <w:rPr>
                <w:rFonts w:ascii="Times New Roman" w:hAnsi="Times New Roman"/>
                <w:color w:val="000000"/>
                <w:lang w:val="es-ES"/>
              </w:rPr>
            </w:pPr>
          </w:p>
        </w:tc>
        <w:tc>
          <w:tcPr>
            <w:tcW w:w="1044" w:type="dxa"/>
            <w:tcBorders>
              <w:top w:val="nil"/>
              <w:left w:val="nil"/>
              <w:bottom w:val="nil"/>
              <w:right w:val="nil"/>
            </w:tcBorders>
            <w:shd w:val="clear" w:color="000000" w:fill="FFFFFF"/>
            <w:vAlign w:val="center"/>
            <w:hideMark/>
          </w:tcPr>
          <w:p w14:paraId="1934FE41"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56,52</w:t>
            </w:r>
            <w:r w:rsidRPr="00AE4E8D">
              <w:rPr>
                <w:rFonts w:ascii="Times New Roman" w:hAnsi="Times New Roman"/>
                <w:color w:val="000000"/>
                <w:sz w:val="14"/>
                <w:lang w:val="es-ES"/>
              </w:rPr>
              <w:t>%</w:t>
            </w:r>
          </w:p>
        </w:tc>
        <w:tc>
          <w:tcPr>
            <w:tcW w:w="160" w:type="dxa"/>
            <w:tcBorders>
              <w:top w:val="nil"/>
              <w:left w:val="nil"/>
              <w:bottom w:val="nil"/>
              <w:right w:val="nil"/>
            </w:tcBorders>
            <w:shd w:val="clear" w:color="000000" w:fill="FFFFFF"/>
            <w:vAlign w:val="bottom"/>
            <w:hideMark/>
          </w:tcPr>
          <w:p w14:paraId="210AC6D4" w14:textId="77777777" w:rsidR="00312D84" w:rsidRPr="00AE4E8D" w:rsidRDefault="00312D84" w:rsidP="00241071">
            <w:pPr>
              <w:rPr>
                <w:rFonts w:ascii="Times New Roman" w:hAnsi="Times New Roman"/>
                <w:color w:val="000000"/>
                <w:lang w:val="es-ES"/>
              </w:rPr>
            </w:pPr>
          </w:p>
        </w:tc>
        <w:tc>
          <w:tcPr>
            <w:tcW w:w="871" w:type="dxa"/>
            <w:tcBorders>
              <w:top w:val="nil"/>
              <w:left w:val="nil"/>
              <w:bottom w:val="nil"/>
              <w:right w:val="nil"/>
            </w:tcBorders>
            <w:shd w:val="clear" w:color="000000" w:fill="FFFFFF"/>
            <w:vAlign w:val="center"/>
            <w:hideMark/>
          </w:tcPr>
          <w:p w14:paraId="357A63DF"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789.595,60</w:t>
            </w:r>
          </w:p>
        </w:tc>
        <w:tc>
          <w:tcPr>
            <w:tcW w:w="174" w:type="dxa"/>
            <w:tcBorders>
              <w:top w:val="nil"/>
              <w:left w:val="nil"/>
              <w:bottom w:val="nil"/>
              <w:right w:val="nil"/>
            </w:tcBorders>
            <w:shd w:val="clear" w:color="000000" w:fill="FFFFFF"/>
            <w:vAlign w:val="bottom"/>
            <w:hideMark/>
          </w:tcPr>
          <w:p w14:paraId="335625F9" w14:textId="77777777" w:rsidR="00312D84" w:rsidRPr="00AE4E8D" w:rsidRDefault="00312D84" w:rsidP="00241071">
            <w:pPr>
              <w:rPr>
                <w:rFonts w:ascii="Times New Roman" w:hAnsi="Times New Roman"/>
                <w:color w:val="000000"/>
                <w:lang w:val="es-ES"/>
              </w:rPr>
            </w:pPr>
          </w:p>
        </w:tc>
        <w:tc>
          <w:tcPr>
            <w:tcW w:w="995" w:type="dxa"/>
            <w:tcBorders>
              <w:top w:val="nil"/>
              <w:left w:val="nil"/>
              <w:bottom w:val="nil"/>
              <w:right w:val="nil"/>
            </w:tcBorders>
            <w:shd w:val="clear" w:color="000000" w:fill="FFFFFF"/>
            <w:vAlign w:val="center"/>
            <w:hideMark/>
          </w:tcPr>
          <w:p w14:paraId="0AFB91A2"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64,83</w:t>
            </w:r>
            <w:r w:rsidRPr="00AE4E8D">
              <w:rPr>
                <w:rFonts w:ascii="Times New Roman" w:hAnsi="Times New Roman"/>
                <w:color w:val="000000"/>
                <w:sz w:val="14"/>
                <w:lang w:val="es-ES"/>
              </w:rPr>
              <w:t>%</w:t>
            </w:r>
          </w:p>
        </w:tc>
        <w:tc>
          <w:tcPr>
            <w:tcW w:w="160" w:type="dxa"/>
            <w:tcBorders>
              <w:top w:val="nil"/>
              <w:left w:val="nil"/>
              <w:bottom w:val="nil"/>
              <w:right w:val="nil"/>
            </w:tcBorders>
            <w:shd w:val="clear" w:color="000000" w:fill="FFFFFF"/>
            <w:vAlign w:val="bottom"/>
            <w:hideMark/>
          </w:tcPr>
          <w:p w14:paraId="700EB4F6" w14:textId="77777777" w:rsidR="00312D84" w:rsidRPr="00AE4E8D" w:rsidRDefault="00312D84" w:rsidP="00241071">
            <w:pPr>
              <w:rPr>
                <w:rFonts w:ascii="Times New Roman" w:hAnsi="Times New Roman"/>
                <w:color w:val="000000"/>
                <w:lang w:val="es-ES"/>
              </w:rPr>
            </w:pPr>
          </w:p>
        </w:tc>
        <w:tc>
          <w:tcPr>
            <w:tcW w:w="972" w:type="dxa"/>
            <w:tcBorders>
              <w:top w:val="nil"/>
              <w:left w:val="nil"/>
              <w:bottom w:val="nil"/>
              <w:right w:val="nil"/>
            </w:tcBorders>
            <w:shd w:val="clear" w:color="000000" w:fill="FFFFFF"/>
            <w:vAlign w:val="center"/>
            <w:hideMark/>
          </w:tcPr>
          <w:p w14:paraId="7F413BA6"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115.784,40</w:t>
            </w:r>
          </w:p>
        </w:tc>
        <w:tc>
          <w:tcPr>
            <w:tcW w:w="160" w:type="dxa"/>
            <w:tcBorders>
              <w:top w:val="nil"/>
              <w:left w:val="nil"/>
              <w:bottom w:val="nil"/>
              <w:right w:val="nil"/>
            </w:tcBorders>
            <w:shd w:val="clear" w:color="000000" w:fill="FFFFFF"/>
            <w:vAlign w:val="bottom"/>
            <w:hideMark/>
          </w:tcPr>
          <w:p w14:paraId="049A39EE" w14:textId="77777777" w:rsidR="00312D84" w:rsidRPr="00AE4E8D" w:rsidRDefault="00312D84" w:rsidP="00241071">
            <w:pPr>
              <w:rPr>
                <w:rFonts w:ascii="Times New Roman" w:hAnsi="Times New Roman"/>
                <w:color w:val="000000"/>
                <w:lang w:val="es-ES"/>
              </w:rPr>
            </w:pPr>
          </w:p>
        </w:tc>
        <w:tc>
          <w:tcPr>
            <w:tcW w:w="160" w:type="dxa"/>
            <w:gridSpan w:val="2"/>
            <w:tcBorders>
              <w:top w:val="nil"/>
              <w:left w:val="nil"/>
              <w:bottom w:val="nil"/>
              <w:right w:val="nil"/>
            </w:tcBorders>
            <w:shd w:val="clear" w:color="000000" w:fill="FFFFFF"/>
            <w:vAlign w:val="bottom"/>
            <w:hideMark/>
          </w:tcPr>
          <w:p w14:paraId="2BAD2539" w14:textId="77777777" w:rsidR="00312D84" w:rsidRPr="00AE4E8D" w:rsidRDefault="00312D84" w:rsidP="00241071">
            <w:pPr>
              <w:rPr>
                <w:rFonts w:ascii="Times New Roman" w:hAnsi="Times New Roman"/>
                <w:color w:val="000000"/>
                <w:lang w:val="es-ES"/>
              </w:rPr>
            </w:pPr>
          </w:p>
        </w:tc>
        <w:tc>
          <w:tcPr>
            <w:tcW w:w="887" w:type="dxa"/>
            <w:gridSpan w:val="2"/>
            <w:tcBorders>
              <w:top w:val="nil"/>
              <w:left w:val="nil"/>
              <w:bottom w:val="nil"/>
              <w:right w:val="nil"/>
            </w:tcBorders>
            <w:shd w:val="clear" w:color="000000" w:fill="FFFFFF"/>
            <w:vAlign w:val="center"/>
            <w:hideMark/>
          </w:tcPr>
          <w:p w14:paraId="2C79B34E"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54,14%</w:t>
            </w:r>
          </w:p>
        </w:tc>
        <w:tc>
          <w:tcPr>
            <w:tcW w:w="330" w:type="dxa"/>
            <w:gridSpan w:val="2"/>
            <w:tcBorders>
              <w:top w:val="nil"/>
              <w:left w:val="nil"/>
              <w:bottom w:val="nil"/>
              <w:right w:val="nil"/>
            </w:tcBorders>
            <w:shd w:val="clear" w:color="000000" w:fill="FFFFFF"/>
            <w:vAlign w:val="bottom"/>
            <w:hideMark/>
          </w:tcPr>
          <w:p w14:paraId="53E088A2" w14:textId="77777777" w:rsidR="00312D84" w:rsidRPr="00AE4E8D" w:rsidRDefault="00312D84" w:rsidP="00241071">
            <w:pPr>
              <w:rPr>
                <w:rFonts w:ascii="Times New Roman" w:hAnsi="Times New Roman"/>
                <w:color w:val="000000"/>
                <w:lang w:val="es-ES"/>
              </w:rPr>
            </w:pPr>
          </w:p>
        </w:tc>
        <w:tc>
          <w:tcPr>
            <w:tcW w:w="908" w:type="dxa"/>
            <w:tcBorders>
              <w:top w:val="nil"/>
              <w:left w:val="nil"/>
              <w:bottom w:val="nil"/>
              <w:right w:val="nil"/>
            </w:tcBorders>
            <w:shd w:val="clear" w:color="000000" w:fill="FFFFFF"/>
            <w:vAlign w:val="center"/>
            <w:hideMark/>
          </w:tcPr>
          <w:p w14:paraId="67E68BC3"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188.613,70</w:t>
            </w:r>
          </w:p>
        </w:tc>
        <w:tc>
          <w:tcPr>
            <w:tcW w:w="160" w:type="dxa"/>
            <w:tcBorders>
              <w:top w:val="nil"/>
              <w:left w:val="nil"/>
              <w:bottom w:val="nil"/>
              <w:right w:val="nil"/>
            </w:tcBorders>
            <w:shd w:val="clear" w:color="000000" w:fill="FFFFFF"/>
            <w:vAlign w:val="bottom"/>
            <w:hideMark/>
          </w:tcPr>
          <w:p w14:paraId="128C9AAC" w14:textId="77777777" w:rsidR="00312D84" w:rsidRPr="00AE4E8D" w:rsidRDefault="00312D84" w:rsidP="00312D84">
            <w:pPr>
              <w:rPr>
                <w:rFonts w:ascii="Times New Roman" w:hAnsi="Times New Roman"/>
                <w:color w:val="000000"/>
                <w:lang w:val="es-ES" w:eastAsia="es-AR"/>
              </w:rPr>
            </w:pPr>
          </w:p>
        </w:tc>
        <w:tc>
          <w:tcPr>
            <w:tcW w:w="160" w:type="dxa"/>
            <w:tcBorders>
              <w:top w:val="nil"/>
              <w:left w:val="nil"/>
              <w:bottom w:val="nil"/>
              <w:right w:val="nil"/>
            </w:tcBorders>
            <w:shd w:val="clear" w:color="000000" w:fill="FFFFFF"/>
            <w:vAlign w:val="bottom"/>
            <w:hideMark/>
          </w:tcPr>
          <w:p w14:paraId="3716825D" w14:textId="77777777" w:rsidR="00312D84" w:rsidRPr="00AE4E8D" w:rsidRDefault="00312D84" w:rsidP="00312D84">
            <w:pPr>
              <w:rPr>
                <w:rFonts w:ascii="Times New Roman" w:hAnsi="Times New Roman"/>
                <w:color w:val="000000"/>
                <w:lang w:val="es-ES" w:eastAsia="es-AR"/>
              </w:rPr>
            </w:pPr>
          </w:p>
        </w:tc>
        <w:tc>
          <w:tcPr>
            <w:tcW w:w="828" w:type="dxa"/>
            <w:tcBorders>
              <w:top w:val="nil"/>
              <w:left w:val="nil"/>
              <w:bottom w:val="nil"/>
              <w:right w:val="nil"/>
            </w:tcBorders>
            <w:shd w:val="clear" w:color="000000" w:fill="FFFFFF"/>
            <w:vAlign w:val="center"/>
            <w:hideMark/>
          </w:tcPr>
          <w:p w14:paraId="7594075E"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59,</w:t>
            </w:r>
            <w:r w:rsidRPr="00AE4E8D">
              <w:rPr>
                <w:rFonts w:ascii="Times New Roman" w:hAnsi="Times New Roman"/>
                <w:color w:val="000000"/>
                <w:sz w:val="14"/>
                <w:szCs w:val="14"/>
                <w:lang w:val="es-ES" w:eastAsia="es-AR"/>
              </w:rPr>
              <w:t>07</w:t>
            </w:r>
            <w:r w:rsidRPr="00AE4E8D">
              <w:rPr>
                <w:rFonts w:ascii="Times New Roman" w:hAnsi="Times New Roman"/>
                <w:color w:val="000000"/>
                <w:sz w:val="14"/>
                <w:lang w:val="es-ES"/>
              </w:rPr>
              <w:t>%</w:t>
            </w:r>
          </w:p>
        </w:tc>
      </w:tr>
      <w:tr w:rsidR="003B5193" w:rsidRPr="00AE4E8D" w14:paraId="1EC522D1" w14:textId="77777777" w:rsidTr="000400C8">
        <w:trPr>
          <w:trHeight w:val="300"/>
          <w:jc w:val="center"/>
        </w:trPr>
        <w:tc>
          <w:tcPr>
            <w:tcW w:w="993" w:type="dxa"/>
            <w:tcBorders>
              <w:top w:val="nil"/>
              <w:left w:val="nil"/>
              <w:bottom w:val="nil"/>
              <w:right w:val="nil"/>
            </w:tcBorders>
            <w:shd w:val="clear" w:color="000000" w:fill="FFFFFF"/>
            <w:vAlign w:val="center"/>
            <w:hideMark/>
          </w:tcPr>
          <w:p w14:paraId="4BD93408" w14:textId="77777777" w:rsidR="00312D84" w:rsidRPr="00AE4E8D" w:rsidRDefault="00312D84" w:rsidP="00312D84">
            <w:pPr>
              <w:rPr>
                <w:rFonts w:ascii="Times New Roman" w:hAnsi="Times New Roman"/>
                <w:color w:val="000000"/>
                <w:sz w:val="14"/>
                <w:lang w:val="es-ES"/>
              </w:rPr>
            </w:pPr>
            <w:r w:rsidRPr="00AE4E8D">
              <w:rPr>
                <w:rFonts w:ascii="Times New Roman" w:hAnsi="Times New Roman"/>
                <w:color w:val="000000"/>
                <w:sz w:val="14"/>
                <w:lang w:val="es-ES"/>
              </w:rPr>
              <w:t>Bancos públicos</w:t>
            </w:r>
          </w:p>
        </w:tc>
        <w:tc>
          <w:tcPr>
            <w:tcW w:w="943" w:type="dxa"/>
            <w:tcBorders>
              <w:top w:val="nil"/>
              <w:left w:val="nil"/>
              <w:bottom w:val="nil"/>
              <w:right w:val="nil"/>
            </w:tcBorders>
            <w:shd w:val="clear" w:color="000000" w:fill="FFFFFF"/>
            <w:noWrap/>
            <w:vAlign w:val="center"/>
            <w:hideMark/>
          </w:tcPr>
          <w:p w14:paraId="66ADF7DD"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210.753,10</w:t>
            </w:r>
          </w:p>
        </w:tc>
        <w:tc>
          <w:tcPr>
            <w:tcW w:w="160" w:type="dxa"/>
            <w:tcBorders>
              <w:top w:val="nil"/>
              <w:left w:val="nil"/>
              <w:bottom w:val="nil"/>
              <w:right w:val="nil"/>
            </w:tcBorders>
            <w:shd w:val="clear" w:color="000000" w:fill="FFFFFF"/>
            <w:noWrap/>
            <w:vAlign w:val="bottom"/>
            <w:hideMark/>
          </w:tcPr>
          <w:p w14:paraId="3B0AB4C6" w14:textId="77777777" w:rsidR="00312D84" w:rsidRPr="00AE4E8D" w:rsidRDefault="00312D84" w:rsidP="00312D84">
            <w:pPr>
              <w:rPr>
                <w:rFonts w:ascii="Times New Roman" w:hAnsi="Times New Roman"/>
                <w:color w:val="000000"/>
                <w:lang w:val="es-ES"/>
              </w:rPr>
            </w:pPr>
          </w:p>
        </w:tc>
        <w:tc>
          <w:tcPr>
            <w:tcW w:w="1044" w:type="dxa"/>
            <w:tcBorders>
              <w:top w:val="nil"/>
              <w:left w:val="nil"/>
              <w:bottom w:val="nil"/>
              <w:right w:val="nil"/>
            </w:tcBorders>
            <w:shd w:val="clear" w:color="000000" w:fill="FFFFFF"/>
            <w:vAlign w:val="center"/>
            <w:hideMark/>
          </w:tcPr>
          <w:p w14:paraId="24C5E174"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41,83</w:t>
            </w:r>
            <w:r w:rsidRPr="00AE4E8D">
              <w:rPr>
                <w:rFonts w:ascii="Times New Roman" w:hAnsi="Times New Roman"/>
                <w:color w:val="000000"/>
                <w:sz w:val="14"/>
                <w:lang w:val="es-ES"/>
              </w:rPr>
              <w:t>%</w:t>
            </w:r>
          </w:p>
        </w:tc>
        <w:tc>
          <w:tcPr>
            <w:tcW w:w="160" w:type="dxa"/>
            <w:tcBorders>
              <w:top w:val="nil"/>
              <w:left w:val="nil"/>
              <w:bottom w:val="nil"/>
              <w:right w:val="nil"/>
            </w:tcBorders>
            <w:shd w:val="clear" w:color="000000" w:fill="FFFFFF"/>
            <w:vAlign w:val="bottom"/>
            <w:hideMark/>
          </w:tcPr>
          <w:p w14:paraId="5666EA98" w14:textId="77777777" w:rsidR="00312D84" w:rsidRPr="00AE4E8D" w:rsidRDefault="00312D84" w:rsidP="00241071">
            <w:pPr>
              <w:rPr>
                <w:rFonts w:ascii="Times New Roman" w:hAnsi="Times New Roman"/>
                <w:color w:val="000000"/>
                <w:lang w:val="es-ES"/>
              </w:rPr>
            </w:pPr>
          </w:p>
        </w:tc>
        <w:tc>
          <w:tcPr>
            <w:tcW w:w="871" w:type="dxa"/>
            <w:tcBorders>
              <w:top w:val="nil"/>
              <w:left w:val="nil"/>
              <w:bottom w:val="nil"/>
              <w:right w:val="nil"/>
            </w:tcBorders>
            <w:shd w:val="clear" w:color="000000" w:fill="FFFFFF"/>
            <w:noWrap/>
            <w:vAlign w:val="center"/>
            <w:hideMark/>
          </w:tcPr>
          <w:p w14:paraId="45429FB0"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386.662,50</w:t>
            </w:r>
          </w:p>
        </w:tc>
        <w:tc>
          <w:tcPr>
            <w:tcW w:w="174" w:type="dxa"/>
            <w:tcBorders>
              <w:top w:val="nil"/>
              <w:left w:val="nil"/>
              <w:bottom w:val="nil"/>
              <w:right w:val="nil"/>
            </w:tcBorders>
            <w:shd w:val="clear" w:color="000000" w:fill="FFFFFF"/>
            <w:noWrap/>
            <w:vAlign w:val="bottom"/>
            <w:hideMark/>
          </w:tcPr>
          <w:p w14:paraId="27F4EDF1" w14:textId="77777777" w:rsidR="00312D84" w:rsidRPr="00AE4E8D" w:rsidRDefault="00312D84" w:rsidP="00312D84">
            <w:pPr>
              <w:rPr>
                <w:rFonts w:ascii="Times New Roman" w:hAnsi="Times New Roman"/>
                <w:color w:val="000000"/>
                <w:lang w:val="es-ES"/>
              </w:rPr>
            </w:pPr>
          </w:p>
        </w:tc>
        <w:tc>
          <w:tcPr>
            <w:tcW w:w="995" w:type="dxa"/>
            <w:tcBorders>
              <w:top w:val="nil"/>
              <w:left w:val="nil"/>
              <w:bottom w:val="nil"/>
              <w:right w:val="nil"/>
            </w:tcBorders>
            <w:shd w:val="clear" w:color="000000" w:fill="FFFFFF"/>
            <w:vAlign w:val="center"/>
            <w:hideMark/>
          </w:tcPr>
          <w:p w14:paraId="7A590991"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31,</w:t>
            </w:r>
            <w:r w:rsidRPr="00AE4E8D">
              <w:rPr>
                <w:rFonts w:ascii="Times New Roman" w:hAnsi="Times New Roman"/>
                <w:color w:val="000000"/>
                <w:sz w:val="14"/>
                <w:szCs w:val="14"/>
                <w:lang w:val="es-ES" w:eastAsia="es-AR"/>
              </w:rPr>
              <w:t>74</w:t>
            </w:r>
            <w:r w:rsidRPr="00AE4E8D">
              <w:rPr>
                <w:rFonts w:ascii="Times New Roman" w:hAnsi="Times New Roman"/>
                <w:color w:val="000000"/>
                <w:sz w:val="14"/>
                <w:lang w:val="es-ES"/>
              </w:rPr>
              <w:t>%</w:t>
            </w:r>
          </w:p>
        </w:tc>
        <w:tc>
          <w:tcPr>
            <w:tcW w:w="160" w:type="dxa"/>
            <w:tcBorders>
              <w:top w:val="nil"/>
              <w:left w:val="nil"/>
              <w:bottom w:val="nil"/>
              <w:right w:val="nil"/>
            </w:tcBorders>
            <w:shd w:val="clear" w:color="000000" w:fill="FFFFFF"/>
            <w:vAlign w:val="bottom"/>
            <w:hideMark/>
          </w:tcPr>
          <w:p w14:paraId="44D109C5" w14:textId="77777777" w:rsidR="00312D84" w:rsidRPr="00AE4E8D" w:rsidRDefault="00312D84" w:rsidP="00241071">
            <w:pPr>
              <w:rPr>
                <w:rFonts w:ascii="Times New Roman" w:hAnsi="Times New Roman"/>
                <w:color w:val="000000"/>
                <w:lang w:val="es-ES"/>
              </w:rPr>
            </w:pPr>
          </w:p>
        </w:tc>
        <w:tc>
          <w:tcPr>
            <w:tcW w:w="972" w:type="dxa"/>
            <w:tcBorders>
              <w:top w:val="nil"/>
              <w:left w:val="nil"/>
              <w:bottom w:val="nil"/>
              <w:right w:val="nil"/>
            </w:tcBorders>
            <w:shd w:val="clear" w:color="000000" w:fill="FFFFFF"/>
            <w:noWrap/>
            <w:vAlign w:val="center"/>
            <w:hideMark/>
          </w:tcPr>
          <w:p w14:paraId="22709B6B"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938.076,30</w:t>
            </w:r>
          </w:p>
        </w:tc>
        <w:tc>
          <w:tcPr>
            <w:tcW w:w="160" w:type="dxa"/>
            <w:tcBorders>
              <w:top w:val="nil"/>
              <w:left w:val="nil"/>
              <w:bottom w:val="nil"/>
              <w:right w:val="nil"/>
            </w:tcBorders>
            <w:shd w:val="clear" w:color="000000" w:fill="FFFFFF"/>
            <w:noWrap/>
            <w:vAlign w:val="bottom"/>
            <w:hideMark/>
          </w:tcPr>
          <w:p w14:paraId="55070AF9" w14:textId="77777777" w:rsidR="00312D84" w:rsidRPr="00AE4E8D" w:rsidRDefault="00312D84" w:rsidP="00312D84">
            <w:pPr>
              <w:rPr>
                <w:rFonts w:ascii="Times New Roman" w:hAnsi="Times New Roman"/>
                <w:color w:val="000000"/>
                <w:lang w:val="es-ES"/>
              </w:rPr>
            </w:pPr>
          </w:p>
        </w:tc>
        <w:tc>
          <w:tcPr>
            <w:tcW w:w="160" w:type="dxa"/>
            <w:gridSpan w:val="2"/>
            <w:tcBorders>
              <w:top w:val="nil"/>
              <w:left w:val="nil"/>
              <w:bottom w:val="nil"/>
              <w:right w:val="nil"/>
            </w:tcBorders>
            <w:shd w:val="clear" w:color="000000" w:fill="FFFFFF"/>
            <w:noWrap/>
            <w:vAlign w:val="bottom"/>
            <w:hideMark/>
          </w:tcPr>
          <w:p w14:paraId="0A3CC7A7" w14:textId="77777777" w:rsidR="00312D84" w:rsidRPr="00AE4E8D" w:rsidRDefault="00312D84" w:rsidP="00241071">
            <w:pPr>
              <w:rPr>
                <w:rFonts w:ascii="Times New Roman" w:hAnsi="Times New Roman"/>
                <w:color w:val="000000"/>
                <w:lang w:val="es-ES"/>
              </w:rPr>
            </w:pPr>
          </w:p>
        </w:tc>
        <w:tc>
          <w:tcPr>
            <w:tcW w:w="887" w:type="dxa"/>
            <w:gridSpan w:val="2"/>
            <w:tcBorders>
              <w:top w:val="nil"/>
              <w:left w:val="nil"/>
              <w:bottom w:val="nil"/>
              <w:right w:val="nil"/>
            </w:tcBorders>
            <w:shd w:val="clear" w:color="000000" w:fill="FFFFFF"/>
            <w:vAlign w:val="center"/>
            <w:hideMark/>
          </w:tcPr>
          <w:p w14:paraId="58C4194C"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45,52%</w:t>
            </w:r>
          </w:p>
        </w:tc>
        <w:tc>
          <w:tcPr>
            <w:tcW w:w="330" w:type="dxa"/>
            <w:gridSpan w:val="2"/>
            <w:tcBorders>
              <w:top w:val="nil"/>
              <w:left w:val="nil"/>
              <w:bottom w:val="nil"/>
              <w:right w:val="nil"/>
            </w:tcBorders>
            <w:shd w:val="clear" w:color="000000" w:fill="FFFFFF"/>
            <w:vAlign w:val="bottom"/>
            <w:hideMark/>
          </w:tcPr>
          <w:p w14:paraId="760B6B52" w14:textId="77777777" w:rsidR="00312D84" w:rsidRPr="00AE4E8D" w:rsidRDefault="00312D84" w:rsidP="00241071">
            <w:pPr>
              <w:rPr>
                <w:rFonts w:ascii="Times New Roman" w:hAnsi="Times New Roman"/>
                <w:color w:val="000000"/>
                <w:lang w:val="es-ES"/>
              </w:rPr>
            </w:pPr>
          </w:p>
        </w:tc>
        <w:tc>
          <w:tcPr>
            <w:tcW w:w="908" w:type="dxa"/>
            <w:tcBorders>
              <w:top w:val="nil"/>
              <w:left w:val="nil"/>
              <w:bottom w:val="nil"/>
              <w:right w:val="nil"/>
            </w:tcBorders>
            <w:shd w:val="clear" w:color="000000" w:fill="FFFFFF"/>
            <w:noWrap/>
            <w:vAlign w:val="center"/>
            <w:hideMark/>
          </w:tcPr>
          <w:p w14:paraId="2F212C84" w14:textId="77777777" w:rsidR="00312D84" w:rsidRPr="00AE4E8D" w:rsidRDefault="00312D84" w:rsidP="00241071">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123.580,00</w:t>
            </w:r>
          </w:p>
        </w:tc>
        <w:tc>
          <w:tcPr>
            <w:tcW w:w="160" w:type="dxa"/>
            <w:tcBorders>
              <w:top w:val="nil"/>
              <w:left w:val="nil"/>
              <w:bottom w:val="nil"/>
              <w:right w:val="nil"/>
            </w:tcBorders>
            <w:shd w:val="clear" w:color="000000" w:fill="FFFFFF"/>
            <w:noWrap/>
            <w:vAlign w:val="center"/>
            <w:hideMark/>
          </w:tcPr>
          <w:p w14:paraId="26B58405" w14:textId="77777777" w:rsidR="00312D84" w:rsidRPr="00AE4E8D" w:rsidRDefault="00312D84" w:rsidP="00312D84">
            <w:pPr>
              <w:rPr>
                <w:rFonts w:ascii="Times New Roman" w:hAnsi="Times New Roman"/>
                <w:color w:val="000000"/>
                <w:sz w:val="14"/>
                <w:szCs w:val="14"/>
                <w:lang w:val="es-ES" w:eastAsia="es-AR"/>
              </w:rPr>
            </w:pPr>
          </w:p>
        </w:tc>
        <w:tc>
          <w:tcPr>
            <w:tcW w:w="160" w:type="dxa"/>
            <w:tcBorders>
              <w:top w:val="nil"/>
              <w:left w:val="nil"/>
              <w:bottom w:val="nil"/>
              <w:right w:val="nil"/>
            </w:tcBorders>
            <w:shd w:val="clear" w:color="000000" w:fill="FFFFFF"/>
            <w:noWrap/>
            <w:vAlign w:val="bottom"/>
            <w:hideMark/>
          </w:tcPr>
          <w:p w14:paraId="1C9672E9" w14:textId="77777777" w:rsidR="00312D84" w:rsidRPr="00AE4E8D" w:rsidRDefault="00312D84" w:rsidP="00312D84">
            <w:pPr>
              <w:rPr>
                <w:rFonts w:ascii="Times New Roman" w:hAnsi="Times New Roman"/>
                <w:color w:val="000000"/>
                <w:lang w:val="es-ES" w:eastAsia="es-AR"/>
              </w:rPr>
            </w:pPr>
          </w:p>
        </w:tc>
        <w:tc>
          <w:tcPr>
            <w:tcW w:w="828" w:type="dxa"/>
            <w:tcBorders>
              <w:top w:val="nil"/>
              <w:left w:val="nil"/>
              <w:bottom w:val="nil"/>
              <w:right w:val="nil"/>
            </w:tcBorders>
            <w:shd w:val="clear" w:color="000000" w:fill="FFFFFF"/>
            <w:vAlign w:val="center"/>
            <w:hideMark/>
          </w:tcPr>
          <w:p w14:paraId="52C305DF"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38,</w:t>
            </w:r>
            <w:r w:rsidRPr="00AE4E8D">
              <w:rPr>
                <w:rFonts w:ascii="Times New Roman" w:hAnsi="Times New Roman"/>
                <w:color w:val="000000"/>
                <w:sz w:val="14"/>
                <w:szCs w:val="14"/>
                <w:lang w:val="es-ES" w:eastAsia="es-AR"/>
              </w:rPr>
              <w:t>71</w:t>
            </w:r>
            <w:r w:rsidRPr="00AE4E8D">
              <w:rPr>
                <w:rFonts w:ascii="Times New Roman" w:hAnsi="Times New Roman"/>
                <w:color w:val="000000"/>
                <w:sz w:val="14"/>
                <w:lang w:val="es-ES"/>
              </w:rPr>
              <w:t>%</w:t>
            </w:r>
          </w:p>
        </w:tc>
      </w:tr>
      <w:tr w:rsidR="003B5193" w:rsidRPr="00AE4E8D" w14:paraId="2B2D58EF" w14:textId="77777777" w:rsidTr="000400C8">
        <w:trPr>
          <w:trHeight w:val="375"/>
          <w:jc w:val="center"/>
        </w:trPr>
        <w:tc>
          <w:tcPr>
            <w:tcW w:w="993" w:type="dxa"/>
            <w:tcBorders>
              <w:top w:val="nil"/>
              <w:left w:val="nil"/>
              <w:bottom w:val="nil"/>
              <w:right w:val="nil"/>
            </w:tcBorders>
            <w:shd w:val="clear" w:color="auto" w:fill="auto"/>
            <w:vAlign w:val="center"/>
            <w:hideMark/>
          </w:tcPr>
          <w:p w14:paraId="0BD5677F" w14:textId="77777777" w:rsidR="00312D84" w:rsidRPr="00AE4E8D" w:rsidRDefault="00312D84" w:rsidP="00312D84">
            <w:pPr>
              <w:rPr>
                <w:rFonts w:ascii="Times New Roman" w:hAnsi="Times New Roman"/>
                <w:color w:val="000000"/>
                <w:sz w:val="14"/>
                <w:lang w:val="es-ES"/>
              </w:rPr>
            </w:pPr>
            <w:r w:rsidRPr="00AE4E8D">
              <w:rPr>
                <w:rFonts w:ascii="Times New Roman" w:hAnsi="Times New Roman"/>
                <w:color w:val="000000"/>
                <w:sz w:val="14"/>
                <w:lang w:val="es-ES"/>
              </w:rPr>
              <w:t>Otras entidades financieras</w:t>
            </w:r>
          </w:p>
        </w:tc>
        <w:tc>
          <w:tcPr>
            <w:tcW w:w="943" w:type="dxa"/>
            <w:tcBorders>
              <w:top w:val="nil"/>
              <w:left w:val="nil"/>
              <w:bottom w:val="single" w:sz="8" w:space="0" w:color="auto"/>
              <w:right w:val="nil"/>
            </w:tcBorders>
            <w:shd w:val="clear" w:color="auto" w:fill="auto"/>
            <w:vAlign w:val="center"/>
            <w:hideMark/>
          </w:tcPr>
          <w:p w14:paraId="14F03620"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47.590,50</w:t>
            </w:r>
          </w:p>
        </w:tc>
        <w:tc>
          <w:tcPr>
            <w:tcW w:w="160" w:type="dxa"/>
            <w:tcBorders>
              <w:top w:val="nil"/>
              <w:left w:val="nil"/>
              <w:bottom w:val="nil"/>
              <w:right w:val="nil"/>
            </w:tcBorders>
            <w:shd w:val="clear" w:color="auto" w:fill="auto"/>
            <w:vAlign w:val="bottom"/>
            <w:hideMark/>
          </w:tcPr>
          <w:p w14:paraId="5E592BEF" w14:textId="77777777" w:rsidR="00312D84" w:rsidRPr="00AE4E8D" w:rsidRDefault="00312D84" w:rsidP="00241071">
            <w:pPr>
              <w:rPr>
                <w:rFonts w:ascii="Times New Roman" w:hAnsi="Times New Roman"/>
                <w:color w:val="000000"/>
                <w:lang w:val="es-ES"/>
              </w:rPr>
            </w:pPr>
          </w:p>
        </w:tc>
        <w:tc>
          <w:tcPr>
            <w:tcW w:w="1044" w:type="dxa"/>
            <w:tcBorders>
              <w:top w:val="nil"/>
              <w:left w:val="nil"/>
              <w:bottom w:val="single" w:sz="8" w:space="0" w:color="auto"/>
              <w:right w:val="nil"/>
            </w:tcBorders>
            <w:shd w:val="clear" w:color="000000" w:fill="FFFFFF"/>
            <w:vAlign w:val="center"/>
            <w:hideMark/>
          </w:tcPr>
          <w:p w14:paraId="1DF76683"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64</w:t>
            </w:r>
            <w:r w:rsidRPr="00AE4E8D">
              <w:rPr>
                <w:rFonts w:ascii="Times New Roman" w:hAnsi="Times New Roman"/>
                <w:color w:val="000000"/>
                <w:sz w:val="14"/>
                <w:lang w:val="es-ES"/>
              </w:rPr>
              <w:t>%</w:t>
            </w:r>
          </w:p>
        </w:tc>
        <w:tc>
          <w:tcPr>
            <w:tcW w:w="160" w:type="dxa"/>
            <w:tcBorders>
              <w:top w:val="nil"/>
              <w:left w:val="nil"/>
              <w:bottom w:val="nil"/>
              <w:right w:val="nil"/>
            </w:tcBorders>
            <w:shd w:val="clear" w:color="auto" w:fill="auto"/>
            <w:vAlign w:val="bottom"/>
            <w:hideMark/>
          </w:tcPr>
          <w:p w14:paraId="37247EA4" w14:textId="77777777" w:rsidR="00312D84" w:rsidRPr="00AE4E8D" w:rsidRDefault="00312D84" w:rsidP="00241071">
            <w:pPr>
              <w:rPr>
                <w:rFonts w:ascii="Times New Roman" w:hAnsi="Times New Roman"/>
                <w:color w:val="000000"/>
                <w:lang w:val="es-ES"/>
              </w:rPr>
            </w:pPr>
          </w:p>
        </w:tc>
        <w:tc>
          <w:tcPr>
            <w:tcW w:w="871" w:type="dxa"/>
            <w:tcBorders>
              <w:top w:val="nil"/>
              <w:left w:val="nil"/>
              <w:bottom w:val="single" w:sz="8" w:space="0" w:color="auto"/>
              <w:right w:val="nil"/>
            </w:tcBorders>
            <w:shd w:val="clear" w:color="auto" w:fill="auto"/>
            <w:vAlign w:val="center"/>
            <w:hideMark/>
          </w:tcPr>
          <w:p w14:paraId="0E1B2542"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41.775,80</w:t>
            </w:r>
          </w:p>
        </w:tc>
        <w:tc>
          <w:tcPr>
            <w:tcW w:w="174" w:type="dxa"/>
            <w:tcBorders>
              <w:top w:val="nil"/>
              <w:left w:val="nil"/>
              <w:bottom w:val="nil"/>
              <w:right w:val="nil"/>
            </w:tcBorders>
            <w:shd w:val="clear" w:color="auto" w:fill="auto"/>
            <w:vAlign w:val="bottom"/>
            <w:hideMark/>
          </w:tcPr>
          <w:p w14:paraId="427119FC" w14:textId="77777777" w:rsidR="00312D84" w:rsidRPr="00AE4E8D" w:rsidRDefault="00312D84" w:rsidP="00241071">
            <w:pPr>
              <w:rPr>
                <w:rFonts w:ascii="Times New Roman" w:hAnsi="Times New Roman"/>
                <w:color w:val="000000"/>
                <w:lang w:val="es-ES"/>
              </w:rPr>
            </w:pPr>
          </w:p>
        </w:tc>
        <w:tc>
          <w:tcPr>
            <w:tcW w:w="995" w:type="dxa"/>
            <w:tcBorders>
              <w:top w:val="nil"/>
              <w:left w:val="nil"/>
              <w:bottom w:val="single" w:sz="8" w:space="0" w:color="auto"/>
              <w:right w:val="nil"/>
            </w:tcBorders>
            <w:shd w:val="clear" w:color="000000" w:fill="FFFFFF"/>
            <w:vAlign w:val="center"/>
            <w:hideMark/>
          </w:tcPr>
          <w:p w14:paraId="07FEBD8E"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43</w:t>
            </w:r>
            <w:r w:rsidRPr="00AE4E8D">
              <w:rPr>
                <w:rFonts w:ascii="Times New Roman" w:hAnsi="Times New Roman"/>
                <w:color w:val="000000"/>
                <w:sz w:val="14"/>
                <w:lang w:val="es-ES"/>
              </w:rPr>
              <w:t>%</w:t>
            </w:r>
          </w:p>
        </w:tc>
        <w:tc>
          <w:tcPr>
            <w:tcW w:w="160" w:type="dxa"/>
            <w:tcBorders>
              <w:top w:val="nil"/>
              <w:left w:val="nil"/>
              <w:bottom w:val="nil"/>
              <w:right w:val="nil"/>
            </w:tcBorders>
            <w:shd w:val="clear" w:color="auto" w:fill="auto"/>
            <w:vAlign w:val="bottom"/>
            <w:hideMark/>
          </w:tcPr>
          <w:p w14:paraId="52BA9E5E" w14:textId="77777777" w:rsidR="00312D84" w:rsidRPr="00AE4E8D" w:rsidRDefault="00312D84" w:rsidP="00241071">
            <w:pPr>
              <w:rPr>
                <w:rFonts w:ascii="Times New Roman" w:hAnsi="Times New Roman"/>
                <w:color w:val="000000"/>
                <w:lang w:val="es-ES"/>
              </w:rPr>
            </w:pPr>
          </w:p>
        </w:tc>
        <w:tc>
          <w:tcPr>
            <w:tcW w:w="972" w:type="dxa"/>
            <w:tcBorders>
              <w:top w:val="nil"/>
              <w:left w:val="nil"/>
              <w:bottom w:val="single" w:sz="8" w:space="0" w:color="auto"/>
              <w:right w:val="nil"/>
            </w:tcBorders>
            <w:shd w:val="clear" w:color="auto" w:fill="auto"/>
            <w:vAlign w:val="center"/>
            <w:hideMark/>
          </w:tcPr>
          <w:p w14:paraId="5C5A5550"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7.088,60</w:t>
            </w:r>
          </w:p>
        </w:tc>
        <w:tc>
          <w:tcPr>
            <w:tcW w:w="160" w:type="dxa"/>
            <w:tcBorders>
              <w:top w:val="nil"/>
              <w:left w:val="nil"/>
              <w:bottom w:val="nil"/>
              <w:right w:val="nil"/>
            </w:tcBorders>
            <w:shd w:val="clear" w:color="auto" w:fill="auto"/>
            <w:vAlign w:val="bottom"/>
            <w:hideMark/>
          </w:tcPr>
          <w:p w14:paraId="1087BDC0" w14:textId="77777777" w:rsidR="00312D84" w:rsidRPr="00AE4E8D" w:rsidRDefault="00312D84" w:rsidP="00241071">
            <w:pPr>
              <w:rPr>
                <w:rFonts w:ascii="Times New Roman" w:hAnsi="Times New Roman"/>
                <w:color w:val="000000"/>
                <w:lang w:val="es-ES"/>
              </w:rPr>
            </w:pPr>
          </w:p>
        </w:tc>
        <w:tc>
          <w:tcPr>
            <w:tcW w:w="160" w:type="dxa"/>
            <w:gridSpan w:val="2"/>
            <w:tcBorders>
              <w:top w:val="nil"/>
              <w:left w:val="nil"/>
              <w:bottom w:val="nil"/>
              <w:right w:val="nil"/>
            </w:tcBorders>
            <w:shd w:val="clear" w:color="auto" w:fill="auto"/>
            <w:vAlign w:val="bottom"/>
            <w:hideMark/>
          </w:tcPr>
          <w:p w14:paraId="42872081" w14:textId="77777777" w:rsidR="00312D84" w:rsidRPr="00AE4E8D" w:rsidRDefault="00312D84" w:rsidP="00312D84">
            <w:pPr>
              <w:rPr>
                <w:rFonts w:ascii="Times New Roman" w:hAnsi="Times New Roman"/>
                <w:color w:val="000000"/>
                <w:lang w:val="es-ES" w:eastAsia="es-AR"/>
              </w:rPr>
            </w:pPr>
          </w:p>
        </w:tc>
        <w:tc>
          <w:tcPr>
            <w:tcW w:w="887" w:type="dxa"/>
            <w:gridSpan w:val="2"/>
            <w:tcBorders>
              <w:top w:val="nil"/>
              <w:left w:val="nil"/>
              <w:bottom w:val="nil"/>
              <w:right w:val="nil"/>
            </w:tcBorders>
            <w:shd w:val="clear" w:color="000000" w:fill="FFFFFF"/>
            <w:vAlign w:val="center"/>
            <w:hideMark/>
          </w:tcPr>
          <w:p w14:paraId="54F6BFB7"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0,</w:t>
            </w:r>
            <w:r w:rsidRPr="00AE4E8D">
              <w:rPr>
                <w:rFonts w:ascii="Times New Roman" w:hAnsi="Times New Roman"/>
                <w:color w:val="000000"/>
                <w:sz w:val="14"/>
                <w:szCs w:val="14"/>
                <w:lang w:val="es-ES" w:eastAsia="es-AR"/>
              </w:rPr>
              <w:t>34</w:t>
            </w:r>
            <w:r w:rsidRPr="00AE4E8D">
              <w:rPr>
                <w:rFonts w:ascii="Times New Roman" w:hAnsi="Times New Roman"/>
                <w:color w:val="000000"/>
                <w:sz w:val="14"/>
                <w:lang w:val="es-ES"/>
              </w:rPr>
              <w:t>%</w:t>
            </w:r>
          </w:p>
        </w:tc>
        <w:tc>
          <w:tcPr>
            <w:tcW w:w="330" w:type="dxa"/>
            <w:gridSpan w:val="2"/>
            <w:tcBorders>
              <w:top w:val="nil"/>
              <w:left w:val="nil"/>
              <w:bottom w:val="nil"/>
              <w:right w:val="nil"/>
            </w:tcBorders>
            <w:shd w:val="clear" w:color="auto" w:fill="auto"/>
            <w:vAlign w:val="bottom"/>
            <w:hideMark/>
          </w:tcPr>
          <w:p w14:paraId="1925BAEE" w14:textId="77777777" w:rsidR="00312D84" w:rsidRPr="00AE4E8D" w:rsidRDefault="00312D84" w:rsidP="00241071">
            <w:pPr>
              <w:rPr>
                <w:rFonts w:ascii="Times New Roman" w:hAnsi="Times New Roman"/>
                <w:color w:val="000000"/>
                <w:lang w:val="es-ES"/>
              </w:rPr>
            </w:pPr>
          </w:p>
        </w:tc>
        <w:tc>
          <w:tcPr>
            <w:tcW w:w="908" w:type="dxa"/>
            <w:tcBorders>
              <w:top w:val="nil"/>
              <w:left w:val="nil"/>
              <w:bottom w:val="single" w:sz="8" w:space="0" w:color="auto"/>
              <w:right w:val="nil"/>
            </w:tcBorders>
            <w:shd w:val="clear" w:color="auto" w:fill="auto"/>
            <w:vAlign w:val="center"/>
            <w:hideMark/>
          </w:tcPr>
          <w:p w14:paraId="57810211"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7.</w:t>
            </w:r>
            <w:r w:rsidRPr="00AE4E8D">
              <w:rPr>
                <w:rFonts w:ascii="Times New Roman" w:hAnsi="Times New Roman"/>
                <w:color w:val="000000"/>
                <w:sz w:val="14"/>
                <w:szCs w:val="14"/>
                <w:lang w:val="es-ES" w:eastAsia="es-AR"/>
              </w:rPr>
              <w:t>091,90</w:t>
            </w:r>
          </w:p>
        </w:tc>
        <w:tc>
          <w:tcPr>
            <w:tcW w:w="160" w:type="dxa"/>
            <w:tcBorders>
              <w:top w:val="nil"/>
              <w:left w:val="nil"/>
              <w:bottom w:val="nil"/>
              <w:right w:val="nil"/>
            </w:tcBorders>
            <w:shd w:val="clear" w:color="auto" w:fill="auto"/>
            <w:vAlign w:val="center"/>
            <w:hideMark/>
          </w:tcPr>
          <w:p w14:paraId="0B393C91" w14:textId="77777777" w:rsidR="00312D84" w:rsidRPr="00AE4E8D" w:rsidRDefault="00312D84" w:rsidP="00241071">
            <w:pPr>
              <w:rPr>
                <w:rFonts w:ascii="Times New Roman" w:hAnsi="Times New Roman"/>
                <w:color w:val="000000"/>
                <w:sz w:val="14"/>
                <w:lang w:val="es-ES"/>
              </w:rPr>
            </w:pPr>
          </w:p>
        </w:tc>
        <w:tc>
          <w:tcPr>
            <w:tcW w:w="160" w:type="dxa"/>
            <w:tcBorders>
              <w:top w:val="nil"/>
              <w:left w:val="nil"/>
              <w:bottom w:val="nil"/>
              <w:right w:val="nil"/>
            </w:tcBorders>
            <w:shd w:val="clear" w:color="auto" w:fill="auto"/>
            <w:vAlign w:val="bottom"/>
            <w:hideMark/>
          </w:tcPr>
          <w:p w14:paraId="2DD539DA" w14:textId="77777777" w:rsidR="00312D84" w:rsidRPr="00AE4E8D" w:rsidRDefault="00312D84" w:rsidP="00312D84">
            <w:pPr>
              <w:rPr>
                <w:rFonts w:ascii="Times New Roman" w:hAnsi="Times New Roman"/>
                <w:color w:val="000000"/>
                <w:lang w:val="es-ES" w:eastAsia="es-AR"/>
              </w:rPr>
            </w:pPr>
          </w:p>
        </w:tc>
        <w:tc>
          <w:tcPr>
            <w:tcW w:w="828" w:type="dxa"/>
            <w:tcBorders>
              <w:top w:val="nil"/>
              <w:left w:val="nil"/>
              <w:bottom w:val="nil"/>
              <w:right w:val="nil"/>
            </w:tcBorders>
            <w:shd w:val="clear" w:color="000000" w:fill="FFFFFF"/>
            <w:vAlign w:val="center"/>
            <w:hideMark/>
          </w:tcPr>
          <w:p w14:paraId="68193C5B"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eastAsia="es-AR"/>
              </w:rPr>
              <w:t>22</w:t>
            </w:r>
            <w:r w:rsidRPr="00AE4E8D">
              <w:rPr>
                <w:rFonts w:ascii="Times New Roman" w:hAnsi="Times New Roman"/>
                <w:color w:val="000000"/>
                <w:sz w:val="14"/>
                <w:lang w:val="es-ES"/>
              </w:rPr>
              <w:t>%</w:t>
            </w:r>
          </w:p>
        </w:tc>
      </w:tr>
      <w:tr w:rsidR="003B5193" w:rsidRPr="00AE4E8D" w14:paraId="604F0D93" w14:textId="77777777" w:rsidTr="000400C8">
        <w:trPr>
          <w:trHeight w:val="540"/>
          <w:jc w:val="center"/>
        </w:trPr>
        <w:tc>
          <w:tcPr>
            <w:tcW w:w="993" w:type="dxa"/>
            <w:tcBorders>
              <w:top w:val="nil"/>
              <w:left w:val="nil"/>
              <w:bottom w:val="nil"/>
              <w:right w:val="nil"/>
            </w:tcBorders>
            <w:shd w:val="clear" w:color="000000" w:fill="FFFFFF"/>
            <w:vAlign w:val="center"/>
            <w:hideMark/>
          </w:tcPr>
          <w:p w14:paraId="05B9958E" w14:textId="77777777" w:rsidR="00312D84" w:rsidRPr="00AE4E8D" w:rsidRDefault="00312D84" w:rsidP="00312D84">
            <w:pPr>
              <w:rPr>
                <w:rFonts w:ascii="Times New Roman" w:hAnsi="Times New Roman"/>
                <w:color w:val="000000"/>
                <w:sz w:val="14"/>
                <w:lang w:val="es-ES"/>
              </w:rPr>
            </w:pPr>
            <w:r w:rsidRPr="00AE4E8D">
              <w:rPr>
                <w:rFonts w:ascii="Times New Roman" w:hAnsi="Times New Roman"/>
                <w:color w:val="000000"/>
                <w:sz w:val="14"/>
                <w:lang w:val="es-ES"/>
              </w:rPr>
              <w:t>Sistema financiero argentino</w:t>
            </w:r>
          </w:p>
        </w:tc>
        <w:tc>
          <w:tcPr>
            <w:tcW w:w="943" w:type="dxa"/>
            <w:tcBorders>
              <w:top w:val="nil"/>
              <w:left w:val="nil"/>
              <w:bottom w:val="nil"/>
              <w:right w:val="nil"/>
            </w:tcBorders>
            <w:shd w:val="clear" w:color="000000" w:fill="FFFFFF"/>
            <w:noWrap/>
            <w:vAlign w:val="center"/>
            <w:hideMark/>
          </w:tcPr>
          <w:p w14:paraId="3BAB1C10"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eastAsia="es-AR"/>
              </w:rPr>
              <w:t>894.262,70</w:t>
            </w:r>
          </w:p>
        </w:tc>
        <w:tc>
          <w:tcPr>
            <w:tcW w:w="160" w:type="dxa"/>
            <w:tcBorders>
              <w:top w:val="nil"/>
              <w:left w:val="nil"/>
              <w:bottom w:val="nil"/>
              <w:right w:val="nil"/>
            </w:tcBorders>
            <w:shd w:val="clear" w:color="000000" w:fill="FFFFFF"/>
            <w:noWrap/>
            <w:vAlign w:val="bottom"/>
            <w:hideMark/>
          </w:tcPr>
          <w:p w14:paraId="2E60637C" w14:textId="77777777" w:rsidR="00312D84" w:rsidRPr="00AE4E8D" w:rsidRDefault="00312D84" w:rsidP="00312D84">
            <w:pPr>
              <w:rPr>
                <w:rFonts w:ascii="Times New Roman" w:hAnsi="Times New Roman"/>
                <w:color w:val="000000"/>
                <w:lang w:val="es-ES"/>
              </w:rPr>
            </w:pPr>
          </w:p>
        </w:tc>
        <w:tc>
          <w:tcPr>
            <w:tcW w:w="1044" w:type="dxa"/>
            <w:tcBorders>
              <w:top w:val="nil"/>
              <w:left w:val="nil"/>
              <w:bottom w:val="nil"/>
              <w:right w:val="nil"/>
            </w:tcBorders>
            <w:shd w:val="clear" w:color="000000" w:fill="FFFFFF"/>
            <w:vAlign w:val="center"/>
            <w:hideMark/>
          </w:tcPr>
          <w:p w14:paraId="42D56570"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100,00%</w:t>
            </w:r>
          </w:p>
        </w:tc>
        <w:tc>
          <w:tcPr>
            <w:tcW w:w="160" w:type="dxa"/>
            <w:tcBorders>
              <w:top w:val="nil"/>
              <w:left w:val="nil"/>
              <w:bottom w:val="nil"/>
              <w:right w:val="nil"/>
            </w:tcBorders>
            <w:shd w:val="clear" w:color="000000" w:fill="FFFFFF"/>
            <w:vAlign w:val="bottom"/>
            <w:hideMark/>
          </w:tcPr>
          <w:p w14:paraId="0FA147EA" w14:textId="77777777" w:rsidR="00312D84" w:rsidRPr="00AE4E8D" w:rsidRDefault="00312D84" w:rsidP="00241071">
            <w:pPr>
              <w:rPr>
                <w:rFonts w:ascii="Times New Roman" w:hAnsi="Times New Roman"/>
                <w:color w:val="000000"/>
                <w:lang w:val="es-ES"/>
              </w:rPr>
            </w:pPr>
          </w:p>
        </w:tc>
        <w:tc>
          <w:tcPr>
            <w:tcW w:w="871" w:type="dxa"/>
            <w:tcBorders>
              <w:top w:val="nil"/>
              <w:left w:val="nil"/>
              <w:bottom w:val="nil"/>
              <w:right w:val="nil"/>
            </w:tcBorders>
            <w:shd w:val="clear" w:color="000000" w:fill="FFFFFF"/>
            <w:noWrap/>
            <w:vAlign w:val="center"/>
            <w:hideMark/>
          </w:tcPr>
          <w:p w14:paraId="3950A7C3"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218.033,90</w:t>
            </w:r>
          </w:p>
        </w:tc>
        <w:tc>
          <w:tcPr>
            <w:tcW w:w="174" w:type="dxa"/>
            <w:tcBorders>
              <w:top w:val="nil"/>
              <w:left w:val="nil"/>
              <w:bottom w:val="nil"/>
              <w:right w:val="nil"/>
            </w:tcBorders>
            <w:shd w:val="clear" w:color="000000" w:fill="FFFFFF"/>
            <w:noWrap/>
            <w:vAlign w:val="bottom"/>
            <w:hideMark/>
          </w:tcPr>
          <w:p w14:paraId="6640AFD1" w14:textId="77777777" w:rsidR="00312D84" w:rsidRPr="00AE4E8D" w:rsidRDefault="00312D84" w:rsidP="00312D84">
            <w:pPr>
              <w:rPr>
                <w:rFonts w:ascii="Times New Roman" w:hAnsi="Times New Roman"/>
                <w:color w:val="000000"/>
                <w:lang w:val="es-ES"/>
              </w:rPr>
            </w:pPr>
          </w:p>
        </w:tc>
        <w:tc>
          <w:tcPr>
            <w:tcW w:w="995" w:type="dxa"/>
            <w:tcBorders>
              <w:top w:val="nil"/>
              <w:left w:val="nil"/>
              <w:bottom w:val="nil"/>
              <w:right w:val="nil"/>
            </w:tcBorders>
            <w:shd w:val="clear" w:color="000000" w:fill="FFFFFF"/>
            <w:vAlign w:val="center"/>
            <w:hideMark/>
          </w:tcPr>
          <w:p w14:paraId="5AA5C5CF"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100,00%</w:t>
            </w:r>
          </w:p>
        </w:tc>
        <w:tc>
          <w:tcPr>
            <w:tcW w:w="160" w:type="dxa"/>
            <w:tcBorders>
              <w:top w:val="nil"/>
              <w:left w:val="nil"/>
              <w:bottom w:val="nil"/>
              <w:right w:val="nil"/>
            </w:tcBorders>
            <w:shd w:val="clear" w:color="000000" w:fill="FFFFFF"/>
            <w:vAlign w:val="bottom"/>
            <w:hideMark/>
          </w:tcPr>
          <w:p w14:paraId="24A26AB8" w14:textId="77777777" w:rsidR="00312D84" w:rsidRPr="00AE4E8D" w:rsidRDefault="00312D84" w:rsidP="00241071">
            <w:pPr>
              <w:rPr>
                <w:rFonts w:ascii="Times New Roman" w:hAnsi="Times New Roman"/>
                <w:color w:val="000000"/>
                <w:lang w:val="es-ES"/>
              </w:rPr>
            </w:pPr>
          </w:p>
        </w:tc>
        <w:tc>
          <w:tcPr>
            <w:tcW w:w="972" w:type="dxa"/>
            <w:tcBorders>
              <w:top w:val="nil"/>
              <w:left w:val="nil"/>
              <w:bottom w:val="nil"/>
              <w:right w:val="nil"/>
            </w:tcBorders>
            <w:shd w:val="clear" w:color="000000" w:fill="FFFFFF"/>
            <w:noWrap/>
            <w:vAlign w:val="center"/>
            <w:hideMark/>
          </w:tcPr>
          <w:p w14:paraId="05E4EA7E"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2.060.949,30</w:t>
            </w:r>
          </w:p>
        </w:tc>
        <w:tc>
          <w:tcPr>
            <w:tcW w:w="160" w:type="dxa"/>
            <w:tcBorders>
              <w:top w:val="nil"/>
              <w:left w:val="nil"/>
              <w:bottom w:val="nil"/>
              <w:right w:val="nil"/>
            </w:tcBorders>
            <w:shd w:val="clear" w:color="000000" w:fill="FFFFFF"/>
            <w:noWrap/>
            <w:vAlign w:val="bottom"/>
            <w:hideMark/>
          </w:tcPr>
          <w:p w14:paraId="3A04887D" w14:textId="77777777" w:rsidR="00312D84" w:rsidRPr="00AE4E8D" w:rsidRDefault="00312D84" w:rsidP="00312D84">
            <w:pPr>
              <w:rPr>
                <w:rFonts w:ascii="Times New Roman" w:hAnsi="Times New Roman"/>
                <w:color w:val="000000"/>
                <w:lang w:val="es-ES"/>
              </w:rPr>
            </w:pPr>
          </w:p>
        </w:tc>
        <w:tc>
          <w:tcPr>
            <w:tcW w:w="160" w:type="dxa"/>
            <w:gridSpan w:val="2"/>
            <w:tcBorders>
              <w:top w:val="nil"/>
              <w:left w:val="nil"/>
              <w:bottom w:val="nil"/>
              <w:right w:val="nil"/>
            </w:tcBorders>
            <w:shd w:val="clear" w:color="000000" w:fill="FFFFFF"/>
            <w:noWrap/>
            <w:vAlign w:val="bottom"/>
            <w:hideMark/>
          </w:tcPr>
          <w:p w14:paraId="5AF4FD66" w14:textId="77777777" w:rsidR="00312D84" w:rsidRPr="00AE4E8D" w:rsidRDefault="00312D84" w:rsidP="00312D84">
            <w:pPr>
              <w:rPr>
                <w:rFonts w:ascii="Times New Roman" w:hAnsi="Times New Roman"/>
                <w:color w:val="000000"/>
                <w:lang w:val="es-ES" w:eastAsia="es-AR"/>
              </w:rPr>
            </w:pPr>
          </w:p>
        </w:tc>
        <w:tc>
          <w:tcPr>
            <w:tcW w:w="887" w:type="dxa"/>
            <w:gridSpan w:val="2"/>
            <w:tcBorders>
              <w:top w:val="single" w:sz="8" w:space="0" w:color="auto"/>
              <w:left w:val="nil"/>
              <w:bottom w:val="nil"/>
              <w:right w:val="nil"/>
            </w:tcBorders>
            <w:shd w:val="clear" w:color="000000" w:fill="FFFFFF"/>
            <w:vAlign w:val="center"/>
            <w:hideMark/>
          </w:tcPr>
          <w:p w14:paraId="03AA11AB"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100,00%</w:t>
            </w:r>
          </w:p>
        </w:tc>
        <w:tc>
          <w:tcPr>
            <w:tcW w:w="330" w:type="dxa"/>
            <w:gridSpan w:val="2"/>
            <w:tcBorders>
              <w:top w:val="nil"/>
              <w:left w:val="nil"/>
              <w:bottom w:val="nil"/>
              <w:right w:val="nil"/>
            </w:tcBorders>
            <w:shd w:val="clear" w:color="000000" w:fill="FFFFFF"/>
            <w:vAlign w:val="bottom"/>
            <w:hideMark/>
          </w:tcPr>
          <w:p w14:paraId="2E7477E8" w14:textId="77777777" w:rsidR="00312D84" w:rsidRPr="00AE4E8D" w:rsidRDefault="00312D84" w:rsidP="00241071">
            <w:pPr>
              <w:rPr>
                <w:rFonts w:ascii="Times New Roman" w:hAnsi="Times New Roman"/>
                <w:color w:val="000000"/>
                <w:lang w:val="es-ES"/>
              </w:rPr>
            </w:pPr>
          </w:p>
        </w:tc>
        <w:tc>
          <w:tcPr>
            <w:tcW w:w="908" w:type="dxa"/>
            <w:tcBorders>
              <w:top w:val="nil"/>
              <w:left w:val="nil"/>
              <w:bottom w:val="nil"/>
              <w:right w:val="nil"/>
            </w:tcBorders>
            <w:shd w:val="clear" w:color="000000" w:fill="FFFFFF"/>
            <w:noWrap/>
            <w:vAlign w:val="center"/>
            <w:hideMark/>
          </w:tcPr>
          <w:p w14:paraId="4528CE41"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319.285,60</w:t>
            </w:r>
          </w:p>
        </w:tc>
        <w:tc>
          <w:tcPr>
            <w:tcW w:w="160" w:type="dxa"/>
            <w:tcBorders>
              <w:top w:val="nil"/>
              <w:left w:val="nil"/>
              <w:bottom w:val="nil"/>
              <w:right w:val="nil"/>
            </w:tcBorders>
            <w:shd w:val="clear" w:color="000000" w:fill="FFFFFF"/>
            <w:noWrap/>
            <w:vAlign w:val="center"/>
            <w:hideMark/>
          </w:tcPr>
          <w:p w14:paraId="497D7EB0" w14:textId="77777777" w:rsidR="00312D84" w:rsidRPr="00AE4E8D" w:rsidRDefault="00312D84" w:rsidP="00312D84">
            <w:pPr>
              <w:rPr>
                <w:rFonts w:ascii="Times New Roman" w:hAnsi="Times New Roman"/>
                <w:color w:val="000000"/>
                <w:sz w:val="14"/>
                <w:lang w:val="es-ES"/>
              </w:rPr>
            </w:pPr>
          </w:p>
        </w:tc>
        <w:tc>
          <w:tcPr>
            <w:tcW w:w="160" w:type="dxa"/>
            <w:tcBorders>
              <w:top w:val="nil"/>
              <w:left w:val="nil"/>
              <w:bottom w:val="nil"/>
              <w:right w:val="nil"/>
            </w:tcBorders>
            <w:shd w:val="clear" w:color="000000" w:fill="FFFFFF"/>
            <w:noWrap/>
            <w:vAlign w:val="bottom"/>
            <w:hideMark/>
          </w:tcPr>
          <w:p w14:paraId="6E71EF11" w14:textId="77777777" w:rsidR="00312D84" w:rsidRPr="00AE4E8D" w:rsidRDefault="00312D84" w:rsidP="00312D84">
            <w:pPr>
              <w:rPr>
                <w:rFonts w:ascii="Times New Roman" w:hAnsi="Times New Roman"/>
                <w:color w:val="000000"/>
                <w:lang w:val="es-ES" w:eastAsia="es-AR"/>
              </w:rPr>
            </w:pPr>
          </w:p>
        </w:tc>
        <w:tc>
          <w:tcPr>
            <w:tcW w:w="828" w:type="dxa"/>
            <w:tcBorders>
              <w:top w:val="single" w:sz="8" w:space="0" w:color="auto"/>
              <w:left w:val="nil"/>
              <w:bottom w:val="nil"/>
              <w:right w:val="nil"/>
            </w:tcBorders>
            <w:shd w:val="clear" w:color="000000" w:fill="FFFFFF"/>
            <w:vAlign w:val="center"/>
            <w:hideMark/>
          </w:tcPr>
          <w:p w14:paraId="23ED43CE" w14:textId="77777777" w:rsidR="00312D84" w:rsidRPr="00AE4E8D" w:rsidRDefault="00312D84" w:rsidP="00312D84">
            <w:pPr>
              <w:jc w:val="right"/>
              <w:rPr>
                <w:rFonts w:ascii="Times New Roman" w:hAnsi="Times New Roman"/>
                <w:color w:val="000000"/>
                <w:sz w:val="14"/>
                <w:lang w:val="es-ES"/>
              </w:rPr>
            </w:pPr>
            <w:r w:rsidRPr="00AE4E8D">
              <w:rPr>
                <w:rFonts w:ascii="Times New Roman" w:hAnsi="Times New Roman"/>
                <w:color w:val="000000"/>
                <w:sz w:val="14"/>
                <w:lang w:val="es-ES"/>
              </w:rPr>
              <w:t>100,00%</w:t>
            </w:r>
          </w:p>
        </w:tc>
      </w:tr>
    </w:tbl>
    <w:p w14:paraId="53C8B524" w14:textId="77777777" w:rsidR="008C50B4" w:rsidRPr="00AE4E8D" w:rsidRDefault="008C50B4" w:rsidP="008C50B4">
      <w:pPr>
        <w:pBdr>
          <w:bottom w:val="single" w:sz="4" w:space="1" w:color="auto"/>
        </w:pBdr>
        <w:autoSpaceDE w:val="0"/>
        <w:autoSpaceDN w:val="0"/>
        <w:adjustRightInd w:val="0"/>
        <w:ind w:right="7740"/>
        <w:jc w:val="both"/>
        <w:rPr>
          <w:rFonts w:ascii="Times New Roman" w:eastAsia="MS Mincho" w:hAnsi="Times New Roman"/>
          <w:w w:val="1"/>
          <w:sz w:val="8"/>
          <w:lang w:val="es-ES"/>
        </w:rPr>
      </w:pPr>
    </w:p>
    <w:p w14:paraId="55D9FFC4" w14:textId="77777777" w:rsidR="00C307E2" w:rsidRPr="00AE4E8D" w:rsidRDefault="008C50B4" w:rsidP="00A624A0">
      <w:pPr>
        <w:autoSpaceDE w:val="0"/>
        <w:autoSpaceDN w:val="0"/>
        <w:adjustRightInd w:val="0"/>
        <w:spacing w:after="240"/>
        <w:rPr>
          <w:rFonts w:ascii="Times New Roman" w:hAnsi="Times New Roman"/>
          <w:b/>
          <w:lang w:val="es-ES"/>
        </w:rPr>
      </w:pPr>
      <w:r w:rsidRPr="00AE4E8D">
        <w:rPr>
          <w:rFonts w:ascii="Times New Roman" w:hAnsi="Times New Roman"/>
          <w:sz w:val="16"/>
          <w:lang w:val="es-ES"/>
        </w:rPr>
        <w:t>(*) Fuente: BCRA.</w:t>
      </w:r>
      <w:bookmarkStart w:id="566" w:name="_Toc421201416"/>
    </w:p>
    <w:p w14:paraId="2735EC4E"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67" w:name="_Toc495973029"/>
      <w:bookmarkStart w:id="568" w:name="_Toc495399936"/>
      <w:r w:rsidRPr="00AE4E8D">
        <w:rPr>
          <w:rFonts w:ascii="Times New Roman" w:hAnsi="Times New Roman"/>
          <w:b/>
          <w:lang w:val="es-ES"/>
        </w:rPr>
        <w:t>Total Préstamos Netos</w:t>
      </w:r>
      <w:bookmarkEnd w:id="566"/>
      <w:bookmarkEnd w:id="567"/>
      <w:bookmarkEnd w:id="568"/>
    </w:p>
    <w:p w14:paraId="5AB7279A" w14:textId="77777777" w:rsidR="00C90A26"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siguiente tabla establece las participaciones de mercado en términos no consolidados de préstamos totales netos de previsiones para los diez bancos más grandes de Argentina en el sistema financiero argentino a las fechas indicadas:</w:t>
      </w:r>
    </w:p>
    <w:tbl>
      <w:tblPr>
        <w:tblW w:w="9356" w:type="dxa"/>
        <w:jc w:val="center"/>
        <w:tblCellMar>
          <w:left w:w="70" w:type="dxa"/>
          <w:right w:w="70" w:type="dxa"/>
        </w:tblCellMar>
        <w:tblLook w:val="04A0" w:firstRow="1" w:lastRow="0" w:firstColumn="1" w:lastColumn="0" w:noHBand="0" w:noVBand="1"/>
      </w:tblPr>
      <w:tblGrid>
        <w:gridCol w:w="763"/>
        <w:gridCol w:w="1789"/>
        <w:gridCol w:w="852"/>
        <w:gridCol w:w="220"/>
        <w:gridCol w:w="941"/>
        <w:gridCol w:w="319"/>
        <w:gridCol w:w="928"/>
        <w:gridCol w:w="160"/>
        <w:gridCol w:w="1116"/>
        <w:gridCol w:w="160"/>
        <w:gridCol w:w="875"/>
        <w:gridCol w:w="160"/>
        <w:gridCol w:w="1073"/>
      </w:tblGrid>
      <w:tr w:rsidR="003B5193" w:rsidRPr="00AE4E8D" w14:paraId="190F1392" w14:textId="77777777" w:rsidTr="000400C8">
        <w:trPr>
          <w:trHeight w:val="315"/>
          <w:jc w:val="center"/>
        </w:trPr>
        <w:tc>
          <w:tcPr>
            <w:tcW w:w="763" w:type="dxa"/>
            <w:vMerge w:val="restart"/>
            <w:tcBorders>
              <w:top w:val="nil"/>
              <w:left w:val="nil"/>
              <w:bottom w:val="nil"/>
              <w:right w:val="nil"/>
            </w:tcBorders>
            <w:shd w:val="clear" w:color="auto" w:fill="auto"/>
            <w:vAlign w:val="center"/>
            <w:hideMark/>
          </w:tcPr>
          <w:p w14:paraId="3F7732C9"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Ranking por Préstamos</w:t>
            </w:r>
          </w:p>
        </w:tc>
        <w:tc>
          <w:tcPr>
            <w:tcW w:w="1789" w:type="dxa"/>
            <w:vMerge w:val="restart"/>
            <w:tcBorders>
              <w:top w:val="nil"/>
              <w:left w:val="nil"/>
              <w:bottom w:val="nil"/>
              <w:right w:val="nil"/>
            </w:tcBorders>
            <w:shd w:val="clear" w:color="auto" w:fill="auto"/>
            <w:vAlign w:val="center"/>
            <w:hideMark/>
          </w:tcPr>
          <w:p w14:paraId="5AE41BD0"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Banco</w:t>
            </w:r>
          </w:p>
        </w:tc>
        <w:tc>
          <w:tcPr>
            <w:tcW w:w="4536" w:type="dxa"/>
            <w:gridSpan w:val="7"/>
            <w:tcBorders>
              <w:top w:val="nil"/>
              <w:left w:val="nil"/>
              <w:bottom w:val="single" w:sz="8" w:space="0" w:color="auto"/>
              <w:right w:val="nil"/>
            </w:tcBorders>
            <w:shd w:val="clear" w:color="auto" w:fill="auto"/>
            <w:vAlign w:val="center"/>
            <w:hideMark/>
          </w:tcPr>
          <w:p w14:paraId="7C0BEFBF"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Al 31 de diciembre,</w:t>
            </w:r>
          </w:p>
        </w:tc>
        <w:tc>
          <w:tcPr>
            <w:tcW w:w="160" w:type="dxa"/>
            <w:tcBorders>
              <w:top w:val="nil"/>
              <w:left w:val="nil"/>
              <w:bottom w:val="nil"/>
              <w:right w:val="nil"/>
            </w:tcBorders>
            <w:shd w:val="clear" w:color="auto" w:fill="auto"/>
            <w:vAlign w:val="center"/>
            <w:hideMark/>
          </w:tcPr>
          <w:p w14:paraId="70F975E2" w14:textId="77777777" w:rsidR="0062499A" w:rsidRPr="00AE4E8D" w:rsidRDefault="0062499A" w:rsidP="0062499A">
            <w:pPr>
              <w:rPr>
                <w:rFonts w:ascii="Times New Roman" w:hAnsi="Times New Roman"/>
                <w:b/>
                <w:bCs/>
                <w:color w:val="000000"/>
                <w:sz w:val="14"/>
                <w:szCs w:val="14"/>
                <w:lang w:val="es-ES" w:eastAsia="es-AR"/>
              </w:rPr>
            </w:pPr>
          </w:p>
        </w:tc>
        <w:tc>
          <w:tcPr>
            <w:tcW w:w="2108" w:type="dxa"/>
            <w:gridSpan w:val="3"/>
            <w:tcBorders>
              <w:top w:val="nil"/>
              <w:left w:val="nil"/>
              <w:bottom w:val="single" w:sz="8" w:space="0" w:color="auto"/>
              <w:right w:val="nil"/>
            </w:tcBorders>
            <w:shd w:val="clear" w:color="auto" w:fill="auto"/>
            <w:vAlign w:val="center"/>
            <w:hideMark/>
          </w:tcPr>
          <w:p w14:paraId="2D2C56EA" w14:textId="77777777" w:rsidR="0062499A" w:rsidRPr="00AE4E8D" w:rsidRDefault="0062499A" w:rsidP="0062499A">
            <w:pPr>
              <w:jc w:val="center"/>
              <w:rPr>
                <w:rFonts w:ascii="Times New Roman" w:hAnsi="Times New Roman"/>
                <w:b/>
                <w:bCs/>
                <w:color w:val="000000"/>
                <w:sz w:val="14"/>
                <w:szCs w:val="14"/>
                <w:lang w:val="es-ES" w:eastAsia="es-AR"/>
              </w:rPr>
            </w:pPr>
            <w:r w:rsidRPr="00AE4E8D">
              <w:rPr>
                <w:rFonts w:ascii="Times New Roman" w:hAnsi="Times New Roman"/>
                <w:b/>
                <w:bCs/>
                <w:color w:val="000000"/>
                <w:sz w:val="14"/>
                <w:szCs w:val="14"/>
                <w:lang w:val="es-ES" w:eastAsia="es-AR"/>
              </w:rPr>
              <w:t>Al 30 de abril de</w:t>
            </w:r>
          </w:p>
        </w:tc>
      </w:tr>
      <w:tr w:rsidR="003B5193" w:rsidRPr="00AE4E8D" w14:paraId="36D2E139" w14:textId="77777777" w:rsidTr="000400C8">
        <w:trPr>
          <w:trHeight w:val="315"/>
          <w:jc w:val="center"/>
        </w:trPr>
        <w:tc>
          <w:tcPr>
            <w:tcW w:w="763" w:type="dxa"/>
            <w:vMerge/>
            <w:tcBorders>
              <w:top w:val="nil"/>
              <w:left w:val="nil"/>
              <w:bottom w:val="nil"/>
              <w:right w:val="nil"/>
            </w:tcBorders>
            <w:vAlign w:val="center"/>
            <w:hideMark/>
          </w:tcPr>
          <w:p w14:paraId="726E833B" w14:textId="77777777" w:rsidR="0062499A" w:rsidRPr="00AE4E8D" w:rsidRDefault="0062499A" w:rsidP="0062499A">
            <w:pPr>
              <w:rPr>
                <w:rFonts w:ascii="Times New Roman" w:hAnsi="Times New Roman"/>
                <w:b/>
                <w:color w:val="000000"/>
                <w:sz w:val="14"/>
                <w:lang w:val="es-ES"/>
              </w:rPr>
            </w:pPr>
          </w:p>
        </w:tc>
        <w:tc>
          <w:tcPr>
            <w:tcW w:w="1789" w:type="dxa"/>
            <w:vMerge/>
            <w:tcBorders>
              <w:top w:val="nil"/>
              <w:left w:val="nil"/>
              <w:bottom w:val="nil"/>
              <w:right w:val="nil"/>
            </w:tcBorders>
            <w:vAlign w:val="center"/>
            <w:hideMark/>
          </w:tcPr>
          <w:p w14:paraId="14AD5B4F" w14:textId="77777777" w:rsidR="0062499A" w:rsidRPr="00AE4E8D" w:rsidRDefault="0062499A" w:rsidP="0062499A">
            <w:pPr>
              <w:rPr>
                <w:rFonts w:ascii="Times New Roman" w:hAnsi="Times New Roman"/>
                <w:b/>
                <w:color w:val="000000"/>
                <w:sz w:val="14"/>
                <w:lang w:val="es-ES"/>
              </w:rPr>
            </w:pPr>
          </w:p>
        </w:tc>
        <w:tc>
          <w:tcPr>
            <w:tcW w:w="2013" w:type="dxa"/>
            <w:gridSpan w:val="3"/>
            <w:tcBorders>
              <w:top w:val="single" w:sz="8" w:space="0" w:color="auto"/>
              <w:left w:val="nil"/>
              <w:bottom w:val="single" w:sz="8" w:space="0" w:color="auto"/>
              <w:right w:val="nil"/>
            </w:tcBorders>
            <w:shd w:val="clear" w:color="auto" w:fill="auto"/>
            <w:vAlign w:val="center"/>
            <w:hideMark/>
          </w:tcPr>
          <w:p w14:paraId="59949654"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2015</w:t>
            </w:r>
          </w:p>
        </w:tc>
        <w:tc>
          <w:tcPr>
            <w:tcW w:w="319" w:type="dxa"/>
            <w:tcBorders>
              <w:top w:val="nil"/>
              <w:left w:val="nil"/>
              <w:bottom w:val="nil"/>
              <w:right w:val="nil"/>
            </w:tcBorders>
            <w:shd w:val="clear" w:color="auto" w:fill="auto"/>
            <w:vAlign w:val="center"/>
            <w:hideMark/>
          </w:tcPr>
          <w:p w14:paraId="3457E9EF" w14:textId="77777777" w:rsidR="0062499A" w:rsidRPr="00AE4E8D" w:rsidRDefault="0062499A" w:rsidP="00241071">
            <w:pPr>
              <w:rPr>
                <w:rFonts w:ascii="Times New Roman" w:hAnsi="Times New Roman"/>
                <w:color w:val="000000"/>
                <w:lang w:val="es-ES"/>
              </w:rPr>
            </w:pPr>
          </w:p>
        </w:tc>
        <w:tc>
          <w:tcPr>
            <w:tcW w:w="2204" w:type="dxa"/>
            <w:gridSpan w:val="3"/>
            <w:tcBorders>
              <w:top w:val="single" w:sz="8" w:space="0" w:color="auto"/>
              <w:left w:val="nil"/>
              <w:bottom w:val="single" w:sz="8" w:space="0" w:color="auto"/>
              <w:right w:val="nil"/>
            </w:tcBorders>
            <w:shd w:val="clear" w:color="auto" w:fill="auto"/>
            <w:vAlign w:val="center"/>
            <w:hideMark/>
          </w:tcPr>
          <w:p w14:paraId="2BB6525D"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color w:val="000000"/>
                <w:sz w:val="14"/>
                <w:lang w:val="es-ES"/>
              </w:rPr>
              <w:t>2016</w:t>
            </w:r>
          </w:p>
        </w:tc>
        <w:tc>
          <w:tcPr>
            <w:tcW w:w="160" w:type="dxa"/>
            <w:tcBorders>
              <w:top w:val="nil"/>
              <w:left w:val="nil"/>
              <w:bottom w:val="nil"/>
              <w:right w:val="nil"/>
            </w:tcBorders>
            <w:shd w:val="clear" w:color="auto" w:fill="auto"/>
            <w:vAlign w:val="center"/>
            <w:hideMark/>
          </w:tcPr>
          <w:p w14:paraId="0C8279C7" w14:textId="77777777" w:rsidR="0062499A" w:rsidRPr="00AE4E8D" w:rsidRDefault="0062499A" w:rsidP="00241071">
            <w:pPr>
              <w:rPr>
                <w:rFonts w:ascii="Times New Roman" w:hAnsi="Times New Roman"/>
                <w:color w:val="000000"/>
                <w:lang w:val="es-ES"/>
              </w:rPr>
            </w:pPr>
          </w:p>
        </w:tc>
        <w:tc>
          <w:tcPr>
            <w:tcW w:w="2108" w:type="dxa"/>
            <w:gridSpan w:val="3"/>
            <w:tcBorders>
              <w:top w:val="single" w:sz="8" w:space="0" w:color="auto"/>
              <w:left w:val="nil"/>
              <w:bottom w:val="single" w:sz="8" w:space="0" w:color="auto"/>
              <w:right w:val="nil"/>
            </w:tcBorders>
            <w:shd w:val="clear" w:color="auto" w:fill="auto"/>
            <w:vAlign w:val="center"/>
            <w:hideMark/>
          </w:tcPr>
          <w:p w14:paraId="04867F6B"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2017</w:t>
            </w:r>
          </w:p>
        </w:tc>
      </w:tr>
      <w:tr w:rsidR="003B5193" w:rsidRPr="00AE4E8D" w14:paraId="3B50E8F6" w14:textId="77777777" w:rsidTr="000400C8">
        <w:trPr>
          <w:trHeight w:val="315"/>
          <w:jc w:val="center"/>
        </w:trPr>
        <w:tc>
          <w:tcPr>
            <w:tcW w:w="763" w:type="dxa"/>
            <w:vMerge/>
            <w:tcBorders>
              <w:top w:val="nil"/>
              <w:left w:val="nil"/>
              <w:bottom w:val="nil"/>
              <w:right w:val="nil"/>
            </w:tcBorders>
            <w:vAlign w:val="center"/>
            <w:hideMark/>
          </w:tcPr>
          <w:p w14:paraId="531707C5" w14:textId="77777777" w:rsidR="0062499A" w:rsidRPr="00AE4E8D" w:rsidRDefault="0062499A" w:rsidP="0062499A">
            <w:pPr>
              <w:rPr>
                <w:rFonts w:ascii="Times New Roman" w:hAnsi="Times New Roman"/>
                <w:b/>
                <w:color w:val="000000"/>
                <w:sz w:val="14"/>
                <w:lang w:val="es-ES"/>
              </w:rPr>
            </w:pPr>
          </w:p>
        </w:tc>
        <w:tc>
          <w:tcPr>
            <w:tcW w:w="1789" w:type="dxa"/>
            <w:vMerge/>
            <w:tcBorders>
              <w:top w:val="nil"/>
              <w:left w:val="nil"/>
              <w:bottom w:val="nil"/>
              <w:right w:val="nil"/>
            </w:tcBorders>
            <w:vAlign w:val="center"/>
            <w:hideMark/>
          </w:tcPr>
          <w:p w14:paraId="3591F605" w14:textId="77777777" w:rsidR="0062499A" w:rsidRPr="00AE4E8D" w:rsidRDefault="0062499A" w:rsidP="0062499A">
            <w:pPr>
              <w:rPr>
                <w:rFonts w:ascii="Times New Roman" w:hAnsi="Times New Roman"/>
                <w:b/>
                <w:color w:val="000000"/>
                <w:sz w:val="14"/>
                <w:lang w:val="es-ES"/>
              </w:rPr>
            </w:pPr>
          </w:p>
        </w:tc>
        <w:tc>
          <w:tcPr>
            <w:tcW w:w="852" w:type="dxa"/>
            <w:tcBorders>
              <w:top w:val="nil"/>
              <w:left w:val="nil"/>
              <w:bottom w:val="single" w:sz="8" w:space="0" w:color="auto"/>
              <w:right w:val="nil"/>
            </w:tcBorders>
            <w:shd w:val="clear" w:color="auto" w:fill="auto"/>
            <w:vAlign w:val="center"/>
            <w:hideMark/>
          </w:tcPr>
          <w:p w14:paraId="3B97F568"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220" w:type="dxa"/>
            <w:tcBorders>
              <w:top w:val="nil"/>
              <w:left w:val="nil"/>
              <w:bottom w:val="nil"/>
              <w:right w:val="nil"/>
            </w:tcBorders>
            <w:shd w:val="clear" w:color="auto" w:fill="auto"/>
            <w:vAlign w:val="center"/>
            <w:hideMark/>
          </w:tcPr>
          <w:p w14:paraId="4FAE7D95" w14:textId="77777777" w:rsidR="0062499A" w:rsidRPr="00AE4E8D" w:rsidRDefault="0062499A" w:rsidP="00241071">
            <w:pPr>
              <w:rPr>
                <w:rFonts w:ascii="Times New Roman" w:hAnsi="Times New Roman"/>
                <w:color w:val="000000"/>
                <w:lang w:val="es-ES"/>
              </w:rPr>
            </w:pPr>
          </w:p>
        </w:tc>
        <w:tc>
          <w:tcPr>
            <w:tcW w:w="941" w:type="dxa"/>
            <w:tcBorders>
              <w:top w:val="nil"/>
              <w:left w:val="nil"/>
              <w:bottom w:val="single" w:sz="8" w:space="0" w:color="auto"/>
              <w:right w:val="nil"/>
            </w:tcBorders>
            <w:shd w:val="clear" w:color="auto" w:fill="auto"/>
            <w:vAlign w:val="center"/>
            <w:hideMark/>
          </w:tcPr>
          <w:p w14:paraId="74149F0F"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319" w:type="dxa"/>
            <w:tcBorders>
              <w:top w:val="nil"/>
              <w:left w:val="nil"/>
              <w:bottom w:val="nil"/>
              <w:right w:val="nil"/>
            </w:tcBorders>
            <w:shd w:val="clear" w:color="auto" w:fill="auto"/>
            <w:vAlign w:val="center"/>
            <w:hideMark/>
          </w:tcPr>
          <w:p w14:paraId="5626EBCC" w14:textId="77777777" w:rsidR="0062499A" w:rsidRPr="00AE4E8D" w:rsidRDefault="0062499A" w:rsidP="00241071">
            <w:pPr>
              <w:rPr>
                <w:rFonts w:ascii="Times New Roman" w:hAnsi="Times New Roman"/>
                <w:color w:val="000000"/>
                <w:lang w:val="es-ES"/>
              </w:rPr>
            </w:pPr>
          </w:p>
        </w:tc>
        <w:tc>
          <w:tcPr>
            <w:tcW w:w="928" w:type="dxa"/>
            <w:tcBorders>
              <w:top w:val="nil"/>
              <w:left w:val="nil"/>
              <w:bottom w:val="single" w:sz="8" w:space="0" w:color="auto"/>
              <w:right w:val="nil"/>
            </w:tcBorders>
            <w:shd w:val="clear" w:color="auto" w:fill="auto"/>
            <w:vAlign w:val="center"/>
            <w:hideMark/>
          </w:tcPr>
          <w:p w14:paraId="2E30D9EF"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160" w:type="dxa"/>
            <w:tcBorders>
              <w:top w:val="nil"/>
              <w:left w:val="nil"/>
              <w:bottom w:val="nil"/>
              <w:right w:val="nil"/>
            </w:tcBorders>
            <w:shd w:val="clear" w:color="auto" w:fill="auto"/>
            <w:vAlign w:val="center"/>
            <w:hideMark/>
          </w:tcPr>
          <w:p w14:paraId="23258416" w14:textId="77777777" w:rsidR="0062499A" w:rsidRPr="00AE4E8D" w:rsidRDefault="0062499A" w:rsidP="00241071">
            <w:pPr>
              <w:rPr>
                <w:rFonts w:ascii="Times New Roman" w:hAnsi="Times New Roman"/>
                <w:color w:val="000000"/>
                <w:lang w:val="es-ES"/>
              </w:rPr>
            </w:pPr>
          </w:p>
        </w:tc>
        <w:tc>
          <w:tcPr>
            <w:tcW w:w="1116" w:type="dxa"/>
            <w:tcBorders>
              <w:top w:val="nil"/>
              <w:left w:val="nil"/>
              <w:bottom w:val="single" w:sz="8" w:space="0" w:color="auto"/>
              <w:right w:val="nil"/>
            </w:tcBorders>
            <w:shd w:val="clear" w:color="auto" w:fill="auto"/>
            <w:vAlign w:val="center"/>
            <w:hideMark/>
          </w:tcPr>
          <w:p w14:paraId="714906CC"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160" w:type="dxa"/>
            <w:tcBorders>
              <w:top w:val="nil"/>
              <w:left w:val="nil"/>
              <w:bottom w:val="nil"/>
              <w:right w:val="nil"/>
            </w:tcBorders>
            <w:shd w:val="clear" w:color="auto" w:fill="auto"/>
            <w:vAlign w:val="center"/>
            <w:hideMark/>
          </w:tcPr>
          <w:p w14:paraId="1996B2E7" w14:textId="77777777" w:rsidR="0062499A" w:rsidRPr="00AE4E8D" w:rsidRDefault="0062499A" w:rsidP="00241071">
            <w:pPr>
              <w:rPr>
                <w:rFonts w:ascii="Times New Roman" w:hAnsi="Times New Roman"/>
                <w:color w:val="000000"/>
                <w:lang w:val="es-ES"/>
              </w:rPr>
            </w:pPr>
          </w:p>
        </w:tc>
        <w:tc>
          <w:tcPr>
            <w:tcW w:w="875" w:type="dxa"/>
            <w:tcBorders>
              <w:top w:val="nil"/>
              <w:left w:val="nil"/>
              <w:bottom w:val="single" w:sz="8" w:space="0" w:color="auto"/>
              <w:right w:val="nil"/>
            </w:tcBorders>
            <w:shd w:val="clear" w:color="auto" w:fill="auto"/>
            <w:vAlign w:val="center"/>
            <w:hideMark/>
          </w:tcPr>
          <w:p w14:paraId="455A05E2"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160" w:type="dxa"/>
            <w:tcBorders>
              <w:top w:val="nil"/>
              <w:left w:val="nil"/>
              <w:bottom w:val="nil"/>
              <w:right w:val="nil"/>
            </w:tcBorders>
            <w:shd w:val="clear" w:color="auto" w:fill="auto"/>
            <w:vAlign w:val="center"/>
            <w:hideMark/>
          </w:tcPr>
          <w:p w14:paraId="29A09142" w14:textId="77777777" w:rsidR="0062499A" w:rsidRPr="00AE4E8D" w:rsidRDefault="0062499A" w:rsidP="00241071">
            <w:pPr>
              <w:rPr>
                <w:rFonts w:ascii="Times New Roman" w:hAnsi="Times New Roman"/>
                <w:color w:val="000000"/>
                <w:lang w:val="es-ES"/>
              </w:rPr>
            </w:pPr>
          </w:p>
        </w:tc>
        <w:tc>
          <w:tcPr>
            <w:tcW w:w="1073" w:type="dxa"/>
            <w:tcBorders>
              <w:top w:val="nil"/>
              <w:left w:val="nil"/>
              <w:bottom w:val="single" w:sz="8" w:space="0" w:color="auto"/>
              <w:right w:val="nil"/>
            </w:tcBorders>
            <w:shd w:val="clear" w:color="auto" w:fill="auto"/>
            <w:vAlign w:val="center"/>
            <w:hideMark/>
          </w:tcPr>
          <w:p w14:paraId="0FF168DF"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r>
      <w:tr w:rsidR="0062499A" w:rsidRPr="00AE4E8D" w14:paraId="3AF888ED" w14:textId="77777777" w:rsidTr="000400C8">
        <w:trPr>
          <w:trHeight w:val="300"/>
          <w:jc w:val="center"/>
        </w:trPr>
        <w:tc>
          <w:tcPr>
            <w:tcW w:w="763" w:type="dxa"/>
            <w:tcBorders>
              <w:top w:val="nil"/>
              <w:left w:val="nil"/>
              <w:bottom w:val="nil"/>
              <w:right w:val="nil"/>
            </w:tcBorders>
            <w:shd w:val="clear" w:color="auto" w:fill="auto"/>
            <w:noWrap/>
            <w:vAlign w:val="bottom"/>
            <w:hideMark/>
          </w:tcPr>
          <w:p w14:paraId="2A05F6D1" w14:textId="77777777" w:rsidR="0062499A" w:rsidRPr="00AE4E8D" w:rsidRDefault="0062499A" w:rsidP="0062499A">
            <w:pPr>
              <w:rPr>
                <w:rFonts w:ascii="Times New Roman" w:hAnsi="Times New Roman"/>
                <w:color w:val="000000"/>
                <w:lang w:val="es-ES"/>
              </w:rPr>
            </w:pPr>
          </w:p>
        </w:tc>
        <w:tc>
          <w:tcPr>
            <w:tcW w:w="1789" w:type="dxa"/>
            <w:tcBorders>
              <w:top w:val="nil"/>
              <w:left w:val="nil"/>
              <w:bottom w:val="nil"/>
              <w:right w:val="nil"/>
            </w:tcBorders>
            <w:shd w:val="clear" w:color="auto" w:fill="auto"/>
            <w:vAlign w:val="bottom"/>
            <w:hideMark/>
          </w:tcPr>
          <w:p w14:paraId="41DA7469" w14:textId="77777777" w:rsidR="0062499A" w:rsidRPr="00AE4E8D" w:rsidRDefault="0062499A" w:rsidP="00241071">
            <w:pPr>
              <w:rPr>
                <w:rFonts w:ascii="Times New Roman" w:hAnsi="Times New Roman"/>
                <w:color w:val="000000"/>
                <w:lang w:val="es-ES"/>
              </w:rPr>
            </w:pPr>
          </w:p>
        </w:tc>
        <w:tc>
          <w:tcPr>
            <w:tcW w:w="6804" w:type="dxa"/>
            <w:gridSpan w:val="11"/>
            <w:tcBorders>
              <w:top w:val="nil"/>
              <w:left w:val="nil"/>
              <w:bottom w:val="nil"/>
              <w:right w:val="nil"/>
            </w:tcBorders>
            <w:shd w:val="clear" w:color="auto" w:fill="auto"/>
            <w:vAlign w:val="center"/>
            <w:hideMark/>
          </w:tcPr>
          <w:p w14:paraId="74B0BABB"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(en millones de Ps., excepto porcentajes)</w:t>
            </w:r>
          </w:p>
        </w:tc>
      </w:tr>
      <w:tr w:rsidR="003B5193" w:rsidRPr="00AE4E8D" w14:paraId="782FFDF9" w14:textId="77777777" w:rsidTr="000400C8">
        <w:trPr>
          <w:trHeight w:val="300"/>
          <w:jc w:val="center"/>
        </w:trPr>
        <w:tc>
          <w:tcPr>
            <w:tcW w:w="763" w:type="dxa"/>
            <w:tcBorders>
              <w:top w:val="nil"/>
              <w:left w:val="nil"/>
              <w:bottom w:val="nil"/>
              <w:right w:val="nil"/>
            </w:tcBorders>
            <w:shd w:val="clear" w:color="auto" w:fill="auto"/>
            <w:vAlign w:val="center"/>
            <w:hideMark/>
          </w:tcPr>
          <w:p w14:paraId="6BA9C2A3"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w:t>
            </w:r>
          </w:p>
        </w:tc>
        <w:tc>
          <w:tcPr>
            <w:tcW w:w="1789" w:type="dxa"/>
            <w:tcBorders>
              <w:top w:val="nil"/>
              <w:left w:val="nil"/>
              <w:bottom w:val="nil"/>
              <w:right w:val="nil"/>
            </w:tcBorders>
            <w:shd w:val="clear" w:color="auto" w:fill="auto"/>
            <w:vAlign w:val="center"/>
            <w:hideMark/>
          </w:tcPr>
          <w:p w14:paraId="6A9CDF8C"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FD3A3F" w:rsidRPr="00AE4E8D">
              <w:rPr>
                <w:rFonts w:ascii="Times New Roman" w:hAnsi="Times New Roman"/>
                <w:color w:val="000000"/>
                <w:sz w:val="14"/>
                <w:szCs w:val="14"/>
                <w:lang w:val="es-ES" w:eastAsia="es-AR"/>
              </w:rPr>
              <w:t xml:space="preserve">de la </w:t>
            </w:r>
            <w:r w:rsidRPr="00AE4E8D">
              <w:rPr>
                <w:rFonts w:ascii="Times New Roman" w:hAnsi="Times New Roman"/>
                <w:color w:val="000000"/>
                <w:sz w:val="14"/>
                <w:szCs w:val="14"/>
                <w:lang w:val="es-ES" w:eastAsia="es-AR"/>
              </w:rPr>
              <w:t>Nación</w:t>
            </w:r>
            <w:r w:rsidR="00FD3A3F" w:rsidRPr="00AE4E8D">
              <w:rPr>
                <w:rFonts w:ascii="Times New Roman" w:hAnsi="Times New Roman"/>
                <w:color w:val="000000"/>
                <w:sz w:val="14"/>
                <w:szCs w:val="14"/>
                <w:lang w:val="es-ES" w:eastAsia="es-AR"/>
              </w:rPr>
              <w:t xml:space="preserve"> </w:t>
            </w:r>
            <w:r w:rsidR="00FD3A3F" w:rsidRPr="00AE4E8D">
              <w:rPr>
                <w:rFonts w:ascii="Times New Roman" w:hAnsi="Times New Roman"/>
                <w:color w:val="000000"/>
                <w:sz w:val="14"/>
                <w:szCs w:val="14"/>
                <w:lang w:val="es-ES" w:eastAsia="es-AR"/>
              </w:rPr>
              <w:lastRenderedPageBreak/>
              <w:t>Argentina</w:t>
            </w:r>
          </w:p>
        </w:tc>
        <w:tc>
          <w:tcPr>
            <w:tcW w:w="852" w:type="dxa"/>
            <w:tcBorders>
              <w:top w:val="nil"/>
              <w:left w:val="nil"/>
              <w:bottom w:val="nil"/>
              <w:right w:val="nil"/>
            </w:tcBorders>
            <w:shd w:val="clear" w:color="auto" w:fill="auto"/>
            <w:noWrap/>
            <w:vAlign w:val="center"/>
            <w:hideMark/>
          </w:tcPr>
          <w:p w14:paraId="1F38F34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lastRenderedPageBreak/>
              <w:t>156.817,30</w:t>
            </w:r>
          </w:p>
        </w:tc>
        <w:tc>
          <w:tcPr>
            <w:tcW w:w="220" w:type="dxa"/>
            <w:tcBorders>
              <w:top w:val="nil"/>
              <w:left w:val="nil"/>
              <w:bottom w:val="nil"/>
              <w:right w:val="nil"/>
            </w:tcBorders>
            <w:shd w:val="clear" w:color="auto" w:fill="auto"/>
            <w:noWrap/>
            <w:vAlign w:val="bottom"/>
            <w:hideMark/>
          </w:tcPr>
          <w:p w14:paraId="66D9901B"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437A472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17,60%</w:t>
            </w:r>
          </w:p>
        </w:tc>
        <w:tc>
          <w:tcPr>
            <w:tcW w:w="319" w:type="dxa"/>
            <w:tcBorders>
              <w:top w:val="nil"/>
              <w:left w:val="nil"/>
              <w:bottom w:val="nil"/>
              <w:right w:val="nil"/>
            </w:tcBorders>
            <w:shd w:val="clear" w:color="auto" w:fill="auto"/>
            <w:vAlign w:val="bottom"/>
            <w:hideMark/>
          </w:tcPr>
          <w:p w14:paraId="450994B7"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1B9B04A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152.090,40</w:t>
            </w:r>
          </w:p>
        </w:tc>
        <w:tc>
          <w:tcPr>
            <w:tcW w:w="160" w:type="dxa"/>
            <w:tcBorders>
              <w:top w:val="nil"/>
              <w:left w:val="nil"/>
              <w:bottom w:val="nil"/>
              <w:right w:val="nil"/>
            </w:tcBorders>
            <w:shd w:val="clear" w:color="auto" w:fill="auto"/>
            <w:noWrap/>
            <w:vAlign w:val="bottom"/>
            <w:hideMark/>
          </w:tcPr>
          <w:p w14:paraId="250D474B"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0974C19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13,38%</w:t>
            </w:r>
          </w:p>
        </w:tc>
        <w:tc>
          <w:tcPr>
            <w:tcW w:w="160" w:type="dxa"/>
            <w:tcBorders>
              <w:top w:val="nil"/>
              <w:left w:val="nil"/>
              <w:bottom w:val="nil"/>
              <w:right w:val="nil"/>
            </w:tcBorders>
            <w:shd w:val="clear" w:color="auto" w:fill="auto"/>
            <w:vAlign w:val="bottom"/>
            <w:hideMark/>
          </w:tcPr>
          <w:p w14:paraId="5F32AFCA"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368EC99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161.094,50</w:t>
            </w:r>
          </w:p>
        </w:tc>
        <w:tc>
          <w:tcPr>
            <w:tcW w:w="160" w:type="dxa"/>
            <w:tcBorders>
              <w:top w:val="nil"/>
              <w:left w:val="nil"/>
              <w:bottom w:val="nil"/>
              <w:right w:val="nil"/>
            </w:tcBorders>
            <w:shd w:val="clear" w:color="auto" w:fill="auto"/>
            <w:noWrap/>
            <w:vAlign w:val="bottom"/>
            <w:hideMark/>
          </w:tcPr>
          <w:p w14:paraId="1ED8DE08"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00CA9E8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13,</w:t>
            </w:r>
            <w:r w:rsidRPr="00AE4E8D">
              <w:rPr>
                <w:rFonts w:ascii="Times New Roman" w:hAnsi="Times New Roman"/>
                <w:color w:val="000000"/>
                <w:sz w:val="14"/>
                <w:szCs w:val="14"/>
                <w:lang w:val="es-ES" w:eastAsia="es-AR"/>
              </w:rPr>
              <w:t>23</w:t>
            </w:r>
            <w:r w:rsidRPr="00AE4E8D">
              <w:rPr>
                <w:rFonts w:ascii="Times New Roman" w:hAnsi="Times New Roman"/>
                <w:color w:val="000000"/>
                <w:sz w:val="14"/>
                <w:lang w:val="es-ES"/>
              </w:rPr>
              <w:t>%</w:t>
            </w:r>
          </w:p>
        </w:tc>
      </w:tr>
      <w:tr w:rsidR="003B5193" w:rsidRPr="00AE4E8D" w14:paraId="78FD2A95" w14:textId="77777777" w:rsidTr="000400C8">
        <w:trPr>
          <w:trHeight w:val="300"/>
          <w:jc w:val="center"/>
        </w:trPr>
        <w:tc>
          <w:tcPr>
            <w:tcW w:w="763" w:type="dxa"/>
            <w:tcBorders>
              <w:top w:val="nil"/>
              <w:left w:val="nil"/>
              <w:bottom w:val="nil"/>
              <w:right w:val="nil"/>
            </w:tcBorders>
            <w:shd w:val="clear" w:color="auto" w:fill="auto"/>
            <w:vAlign w:val="center"/>
            <w:hideMark/>
          </w:tcPr>
          <w:p w14:paraId="642F395C"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lastRenderedPageBreak/>
              <w:t>2</w:t>
            </w:r>
          </w:p>
        </w:tc>
        <w:tc>
          <w:tcPr>
            <w:tcW w:w="1789" w:type="dxa"/>
            <w:tcBorders>
              <w:top w:val="nil"/>
              <w:left w:val="nil"/>
              <w:bottom w:val="nil"/>
              <w:right w:val="nil"/>
            </w:tcBorders>
            <w:shd w:val="clear" w:color="auto" w:fill="auto"/>
            <w:vAlign w:val="center"/>
            <w:hideMark/>
          </w:tcPr>
          <w:p w14:paraId="02B86634"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Santander Rio</w:t>
            </w:r>
            <w:r w:rsidR="00713D68" w:rsidRPr="00AE4E8D">
              <w:rPr>
                <w:rFonts w:ascii="Times New Roman" w:hAnsi="Times New Roman"/>
                <w:color w:val="000000"/>
                <w:sz w:val="14"/>
                <w:szCs w:val="14"/>
                <w:lang w:val="es-ES" w:eastAsia="es-AR"/>
              </w:rPr>
              <w:t xml:space="preserve"> S.A.</w:t>
            </w:r>
          </w:p>
        </w:tc>
        <w:tc>
          <w:tcPr>
            <w:tcW w:w="852" w:type="dxa"/>
            <w:tcBorders>
              <w:top w:val="nil"/>
              <w:left w:val="nil"/>
              <w:bottom w:val="nil"/>
              <w:right w:val="nil"/>
            </w:tcBorders>
            <w:shd w:val="clear" w:color="auto" w:fill="auto"/>
            <w:noWrap/>
            <w:vAlign w:val="center"/>
            <w:hideMark/>
          </w:tcPr>
          <w:p w14:paraId="77357BF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83.062,70</w:t>
            </w:r>
          </w:p>
        </w:tc>
        <w:tc>
          <w:tcPr>
            <w:tcW w:w="220" w:type="dxa"/>
            <w:tcBorders>
              <w:top w:val="nil"/>
              <w:left w:val="nil"/>
              <w:bottom w:val="nil"/>
              <w:right w:val="nil"/>
            </w:tcBorders>
            <w:shd w:val="clear" w:color="auto" w:fill="auto"/>
            <w:noWrap/>
            <w:vAlign w:val="bottom"/>
            <w:hideMark/>
          </w:tcPr>
          <w:p w14:paraId="59E14025"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3166A9A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9,32%</w:t>
            </w:r>
          </w:p>
        </w:tc>
        <w:tc>
          <w:tcPr>
            <w:tcW w:w="319" w:type="dxa"/>
            <w:tcBorders>
              <w:top w:val="nil"/>
              <w:left w:val="nil"/>
              <w:bottom w:val="nil"/>
              <w:right w:val="nil"/>
            </w:tcBorders>
            <w:shd w:val="clear" w:color="auto" w:fill="auto"/>
            <w:vAlign w:val="bottom"/>
            <w:hideMark/>
          </w:tcPr>
          <w:p w14:paraId="4A864554"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1C1E781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115.364,40</w:t>
            </w:r>
          </w:p>
        </w:tc>
        <w:tc>
          <w:tcPr>
            <w:tcW w:w="160" w:type="dxa"/>
            <w:tcBorders>
              <w:top w:val="nil"/>
              <w:left w:val="nil"/>
              <w:bottom w:val="nil"/>
              <w:right w:val="nil"/>
            </w:tcBorders>
            <w:shd w:val="clear" w:color="auto" w:fill="auto"/>
            <w:noWrap/>
            <w:vAlign w:val="bottom"/>
            <w:hideMark/>
          </w:tcPr>
          <w:p w14:paraId="57F0E1C4"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4F1201E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10,15%</w:t>
            </w:r>
          </w:p>
        </w:tc>
        <w:tc>
          <w:tcPr>
            <w:tcW w:w="160" w:type="dxa"/>
            <w:tcBorders>
              <w:top w:val="nil"/>
              <w:left w:val="nil"/>
              <w:bottom w:val="nil"/>
              <w:right w:val="nil"/>
            </w:tcBorders>
            <w:shd w:val="clear" w:color="auto" w:fill="auto"/>
            <w:vAlign w:val="bottom"/>
            <w:hideMark/>
          </w:tcPr>
          <w:p w14:paraId="00DF013D"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063F353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133.143,60</w:t>
            </w:r>
          </w:p>
        </w:tc>
        <w:tc>
          <w:tcPr>
            <w:tcW w:w="160" w:type="dxa"/>
            <w:tcBorders>
              <w:top w:val="nil"/>
              <w:left w:val="nil"/>
              <w:bottom w:val="nil"/>
              <w:right w:val="nil"/>
            </w:tcBorders>
            <w:shd w:val="clear" w:color="auto" w:fill="auto"/>
            <w:noWrap/>
            <w:vAlign w:val="bottom"/>
            <w:hideMark/>
          </w:tcPr>
          <w:p w14:paraId="41EA21DA"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4E21927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10,</w:t>
            </w:r>
            <w:r w:rsidRPr="00AE4E8D">
              <w:rPr>
                <w:rFonts w:ascii="Times New Roman" w:hAnsi="Times New Roman"/>
                <w:color w:val="000000"/>
                <w:sz w:val="14"/>
                <w:szCs w:val="14"/>
                <w:lang w:val="es-ES" w:eastAsia="es-AR"/>
              </w:rPr>
              <w:t>93</w:t>
            </w:r>
            <w:r w:rsidRPr="00AE4E8D">
              <w:rPr>
                <w:rFonts w:ascii="Times New Roman" w:hAnsi="Times New Roman"/>
                <w:color w:val="000000"/>
                <w:sz w:val="14"/>
                <w:lang w:val="es-ES"/>
              </w:rPr>
              <w:t>%</w:t>
            </w:r>
          </w:p>
        </w:tc>
      </w:tr>
      <w:tr w:rsidR="003B5193" w:rsidRPr="00AE4E8D" w14:paraId="079DB69F" w14:textId="77777777" w:rsidTr="000400C8">
        <w:trPr>
          <w:trHeight w:val="300"/>
          <w:jc w:val="center"/>
        </w:trPr>
        <w:tc>
          <w:tcPr>
            <w:tcW w:w="763" w:type="dxa"/>
            <w:tcBorders>
              <w:top w:val="nil"/>
              <w:left w:val="nil"/>
              <w:bottom w:val="nil"/>
              <w:right w:val="nil"/>
            </w:tcBorders>
            <w:shd w:val="clear" w:color="auto" w:fill="auto"/>
            <w:vAlign w:val="center"/>
            <w:hideMark/>
          </w:tcPr>
          <w:p w14:paraId="23579549"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3</w:t>
            </w:r>
          </w:p>
        </w:tc>
        <w:tc>
          <w:tcPr>
            <w:tcW w:w="1789" w:type="dxa"/>
            <w:tcBorders>
              <w:top w:val="nil"/>
              <w:left w:val="nil"/>
              <w:bottom w:val="nil"/>
              <w:right w:val="nil"/>
            </w:tcBorders>
            <w:shd w:val="clear" w:color="auto" w:fill="auto"/>
            <w:vAlign w:val="center"/>
            <w:hideMark/>
          </w:tcPr>
          <w:p w14:paraId="7206CE6F"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w:t>
            </w:r>
            <w:r w:rsidR="0062499A" w:rsidRPr="00AE4E8D">
              <w:rPr>
                <w:rFonts w:ascii="Times New Roman" w:hAnsi="Times New Roman"/>
                <w:color w:val="000000"/>
                <w:sz w:val="14"/>
                <w:szCs w:val="14"/>
                <w:lang w:val="es-ES" w:eastAsia="es-AR"/>
              </w:rPr>
              <w:t>Galicia</w:t>
            </w:r>
            <w:r w:rsidRPr="00AE4E8D">
              <w:rPr>
                <w:rFonts w:ascii="Times New Roman" w:hAnsi="Times New Roman"/>
                <w:color w:val="000000"/>
                <w:sz w:val="14"/>
                <w:szCs w:val="14"/>
                <w:lang w:val="es-ES" w:eastAsia="es-AR"/>
              </w:rPr>
              <w:t xml:space="preserve"> y </w:t>
            </w:r>
            <w:r w:rsidR="0079210E" w:rsidRPr="00AE4E8D">
              <w:rPr>
                <w:rFonts w:ascii="Times New Roman" w:hAnsi="Times New Roman"/>
                <w:color w:val="000000"/>
                <w:sz w:val="14"/>
                <w:szCs w:val="14"/>
                <w:lang w:val="es-ES" w:eastAsia="es-AR"/>
              </w:rPr>
              <w:t>Buenos</w:t>
            </w:r>
            <w:r w:rsidRPr="00AE4E8D">
              <w:rPr>
                <w:rFonts w:ascii="Times New Roman" w:hAnsi="Times New Roman"/>
                <w:color w:val="000000"/>
                <w:sz w:val="14"/>
                <w:szCs w:val="14"/>
                <w:lang w:val="es-ES" w:eastAsia="es-AR"/>
              </w:rPr>
              <w:t xml:space="preserve"> Aires</w:t>
            </w:r>
          </w:p>
        </w:tc>
        <w:tc>
          <w:tcPr>
            <w:tcW w:w="852" w:type="dxa"/>
            <w:tcBorders>
              <w:top w:val="nil"/>
              <w:left w:val="nil"/>
              <w:bottom w:val="nil"/>
              <w:right w:val="nil"/>
            </w:tcBorders>
            <w:shd w:val="clear" w:color="auto" w:fill="auto"/>
            <w:noWrap/>
            <w:vAlign w:val="center"/>
            <w:hideMark/>
          </w:tcPr>
          <w:p w14:paraId="0A2A6C0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75.204,70</w:t>
            </w:r>
          </w:p>
        </w:tc>
        <w:tc>
          <w:tcPr>
            <w:tcW w:w="220" w:type="dxa"/>
            <w:tcBorders>
              <w:top w:val="nil"/>
              <w:left w:val="nil"/>
              <w:bottom w:val="nil"/>
              <w:right w:val="nil"/>
            </w:tcBorders>
            <w:shd w:val="clear" w:color="auto" w:fill="auto"/>
            <w:noWrap/>
            <w:vAlign w:val="bottom"/>
            <w:hideMark/>
          </w:tcPr>
          <w:p w14:paraId="187E9A51"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4BF2C62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8,44%</w:t>
            </w:r>
          </w:p>
        </w:tc>
        <w:tc>
          <w:tcPr>
            <w:tcW w:w="319" w:type="dxa"/>
            <w:tcBorders>
              <w:top w:val="nil"/>
              <w:left w:val="nil"/>
              <w:bottom w:val="nil"/>
              <w:right w:val="nil"/>
            </w:tcBorders>
            <w:shd w:val="clear" w:color="auto" w:fill="auto"/>
            <w:vAlign w:val="bottom"/>
            <w:hideMark/>
          </w:tcPr>
          <w:p w14:paraId="3BA7BC60"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2CF2874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105.343,70</w:t>
            </w:r>
          </w:p>
        </w:tc>
        <w:tc>
          <w:tcPr>
            <w:tcW w:w="160" w:type="dxa"/>
            <w:tcBorders>
              <w:top w:val="nil"/>
              <w:left w:val="nil"/>
              <w:bottom w:val="nil"/>
              <w:right w:val="nil"/>
            </w:tcBorders>
            <w:shd w:val="clear" w:color="auto" w:fill="auto"/>
            <w:noWrap/>
            <w:vAlign w:val="bottom"/>
            <w:hideMark/>
          </w:tcPr>
          <w:p w14:paraId="6F3D089B"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138023A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9,27%</w:t>
            </w:r>
          </w:p>
        </w:tc>
        <w:tc>
          <w:tcPr>
            <w:tcW w:w="160" w:type="dxa"/>
            <w:tcBorders>
              <w:top w:val="nil"/>
              <w:left w:val="nil"/>
              <w:bottom w:val="nil"/>
              <w:right w:val="nil"/>
            </w:tcBorders>
            <w:shd w:val="clear" w:color="auto" w:fill="auto"/>
            <w:vAlign w:val="bottom"/>
            <w:hideMark/>
          </w:tcPr>
          <w:p w14:paraId="35E3EB79"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03CD50D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115.013,60</w:t>
            </w:r>
          </w:p>
        </w:tc>
        <w:tc>
          <w:tcPr>
            <w:tcW w:w="160" w:type="dxa"/>
            <w:tcBorders>
              <w:top w:val="nil"/>
              <w:left w:val="nil"/>
              <w:bottom w:val="nil"/>
              <w:right w:val="nil"/>
            </w:tcBorders>
            <w:shd w:val="clear" w:color="auto" w:fill="auto"/>
            <w:noWrap/>
            <w:vAlign w:val="bottom"/>
            <w:hideMark/>
          </w:tcPr>
          <w:p w14:paraId="76A2C6FB"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5DB86F9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9,</w:t>
            </w:r>
            <w:r w:rsidRPr="00AE4E8D">
              <w:rPr>
                <w:rFonts w:ascii="Times New Roman" w:hAnsi="Times New Roman"/>
                <w:color w:val="000000"/>
                <w:sz w:val="14"/>
                <w:szCs w:val="14"/>
                <w:lang w:val="es-ES" w:eastAsia="es-AR"/>
              </w:rPr>
              <w:t>44</w:t>
            </w:r>
            <w:r w:rsidRPr="00AE4E8D">
              <w:rPr>
                <w:rFonts w:ascii="Times New Roman" w:hAnsi="Times New Roman"/>
                <w:color w:val="000000"/>
                <w:sz w:val="14"/>
                <w:lang w:val="es-ES"/>
              </w:rPr>
              <w:t>%</w:t>
            </w:r>
          </w:p>
        </w:tc>
      </w:tr>
      <w:tr w:rsidR="003B5193" w:rsidRPr="00AE4E8D" w14:paraId="2E0C34DA" w14:textId="77777777" w:rsidTr="000400C8">
        <w:trPr>
          <w:trHeight w:val="360"/>
          <w:jc w:val="center"/>
        </w:trPr>
        <w:tc>
          <w:tcPr>
            <w:tcW w:w="763" w:type="dxa"/>
            <w:tcBorders>
              <w:top w:val="nil"/>
              <w:left w:val="nil"/>
              <w:bottom w:val="nil"/>
              <w:right w:val="nil"/>
            </w:tcBorders>
            <w:shd w:val="clear" w:color="auto" w:fill="auto"/>
            <w:vAlign w:val="center"/>
            <w:hideMark/>
          </w:tcPr>
          <w:p w14:paraId="48739F2B"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4</w:t>
            </w:r>
          </w:p>
        </w:tc>
        <w:tc>
          <w:tcPr>
            <w:tcW w:w="1789" w:type="dxa"/>
            <w:tcBorders>
              <w:top w:val="nil"/>
              <w:left w:val="nil"/>
              <w:bottom w:val="nil"/>
              <w:right w:val="nil"/>
            </w:tcBorders>
            <w:shd w:val="clear" w:color="auto" w:fill="auto"/>
            <w:vAlign w:val="center"/>
            <w:hideMark/>
          </w:tcPr>
          <w:p w14:paraId="16AE114F" w14:textId="77777777" w:rsidR="0062499A" w:rsidRPr="00AE4E8D" w:rsidRDefault="002A5A31"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Ban</w:t>
            </w:r>
            <w:r w:rsidR="00FD3A3F" w:rsidRPr="00AE4E8D">
              <w:rPr>
                <w:rFonts w:ascii="Times New Roman" w:hAnsi="Times New Roman"/>
                <w:color w:val="000000"/>
                <w:sz w:val="14"/>
                <w:szCs w:val="14"/>
                <w:lang w:val="es-ES" w:eastAsia="es-AR"/>
              </w:rPr>
              <w:t xml:space="preserve">co de la </w:t>
            </w:r>
            <w:r w:rsidR="0062499A" w:rsidRPr="00AE4E8D">
              <w:rPr>
                <w:rFonts w:ascii="Times New Roman" w:hAnsi="Times New Roman"/>
                <w:color w:val="000000"/>
                <w:sz w:val="14"/>
                <w:szCs w:val="14"/>
                <w:lang w:val="es-ES" w:eastAsia="es-AR"/>
              </w:rPr>
              <w:t>Provincia de Buenos Aires</w:t>
            </w:r>
            <w:r w:rsidR="00713D68" w:rsidRPr="00AE4E8D">
              <w:rPr>
                <w:rFonts w:ascii="Times New Roman" w:hAnsi="Times New Roman"/>
                <w:color w:val="000000"/>
                <w:sz w:val="14"/>
                <w:szCs w:val="14"/>
                <w:lang w:val="es-ES" w:eastAsia="es-AR"/>
              </w:rPr>
              <w:t xml:space="preserve"> </w:t>
            </w:r>
          </w:p>
        </w:tc>
        <w:tc>
          <w:tcPr>
            <w:tcW w:w="852" w:type="dxa"/>
            <w:tcBorders>
              <w:top w:val="nil"/>
              <w:left w:val="nil"/>
              <w:bottom w:val="nil"/>
              <w:right w:val="nil"/>
            </w:tcBorders>
            <w:shd w:val="clear" w:color="auto" w:fill="auto"/>
            <w:noWrap/>
            <w:vAlign w:val="center"/>
            <w:hideMark/>
          </w:tcPr>
          <w:p w14:paraId="2EDAD1A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85.203,80</w:t>
            </w:r>
          </w:p>
        </w:tc>
        <w:tc>
          <w:tcPr>
            <w:tcW w:w="220" w:type="dxa"/>
            <w:tcBorders>
              <w:top w:val="nil"/>
              <w:left w:val="nil"/>
              <w:bottom w:val="nil"/>
              <w:right w:val="nil"/>
            </w:tcBorders>
            <w:shd w:val="clear" w:color="auto" w:fill="auto"/>
            <w:noWrap/>
            <w:vAlign w:val="bottom"/>
            <w:hideMark/>
          </w:tcPr>
          <w:p w14:paraId="1BA8BD5F"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33759B9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9,56%</w:t>
            </w:r>
          </w:p>
        </w:tc>
        <w:tc>
          <w:tcPr>
            <w:tcW w:w="319" w:type="dxa"/>
            <w:tcBorders>
              <w:top w:val="nil"/>
              <w:left w:val="nil"/>
              <w:bottom w:val="nil"/>
              <w:right w:val="nil"/>
            </w:tcBorders>
            <w:shd w:val="clear" w:color="auto" w:fill="auto"/>
            <w:vAlign w:val="bottom"/>
            <w:hideMark/>
          </w:tcPr>
          <w:p w14:paraId="41DF8F0E"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387FEEB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101.805,40</w:t>
            </w:r>
          </w:p>
        </w:tc>
        <w:tc>
          <w:tcPr>
            <w:tcW w:w="160" w:type="dxa"/>
            <w:tcBorders>
              <w:top w:val="nil"/>
              <w:left w:val="nil"/>
              <w:bottom w:val="nil"/>
              <w:right w:val="nil"/>
            </w:tcBorders>
            <w:shd w:val="clear" w:color="auto" w:fill="auto"/>
            <w:noWrap/>
            <w:vAlign w:val="bottom"/>
            <w:hideMark/>
          </w:tcPr>
          <w:p w14:paraId="1EF4D7A4"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3201722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8,95%</w:t>
            </w:r>
          </w:p>
        </w:tc>
        <w:tc>
          <w:tcPr>
            <w:tcW w:w="160" w:type="dxa"/>
            <w:tcBorders>
              <w:top w:val="nil"/>
              <w:left w:val="nil"/>
              <w:bottom w:val="nil"/>
              <w:right w:val="nil"/>
            </w:tcBorders>
            <w:shd w:val="clear" w:color="auto" w:fill="auto"/>
            <w:vAlign w:val="bottom"/>
            <w:hideMark/>
          </w:tcPr>
          <w:p w14:paraId="7C8588F3"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29E3CE5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111.927,40</w:t>
            </w:r>
          </w:p>
        </w:tc>
        <w:tc>
          <w:tcPr>
            <w:tcW w:w="160" w:type="dxa"/>
            <w:tcBorders>
              <w:top w:val="nil"/>
              <w:left w:val="nil"/>
              <w:bottom w:val="nil"/>
              <w:right w:val="nil"/>
            </w:tcBorders>
            <w:shd w:val="clear" w:color="auto" w:fill="auto"/>
            <w:noWrap/>
            <w:vAlign w:val="bottom"/>
            <w:hideMark/>
          </w:tcPr>
          <w:p w14:paraId="23707178"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2BBDDE7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9,19</w:t>
            </w:r>
            <w:r w:rsidRPr="00AE4E8D">
              <w:rPr>
                <w:rFonts w:ascii="Times New Roman" w:hAnsi="Times New Roman"/>
                <w:color w:val="000000"/>
                <w:sz w:val="14"/>
                <w:lang w:val="es-ES"/>
              </w:rPr>
              <w:t>%</w:t>
            </w:r>
          </w:p>
        </w:tc>
      </w:tr>
      <w:tr w:rsidR="003B5193" w:rsidRPr="00AE4E8D" w14:paraId="6D5635FE" w14:textId="77777777" w:rsidTr="000400C8">
        <w:trPr>
          <w:trHeight w:val="300"/>
          <w:jc w:val="center"/>
        </w:trPr>
        <w:tc>
          <w:tcPr>
            <w:tcW w:w="763" w:type="dxa"/>
            <w:tcBorders>
              <w:top w:val="nil"/>
              <w:left w:val="nil"/>
              <w:bottom w:val="nil"/>
              <w:right w:val="nil"/>
            </w:tcBorders>
            <w:shd w:val="clear" w:color="auto" w:fill="auto"/>
            <w:vAlign w:val="center"/>
            <w:hideMark/>
          </w:tcPr>
          <w:p w14:paraId="25545CD3"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5</w:t>
            </w:r>
          </w:p>
        </w:tc>
        <w:tc>
          <w:tcPr>
            <w:tcW w:w="1789" w:type="dxa"/>
            <w:tcBorders>
              <w:top w:val="nil"/>
              <w:left w:val="nil"/>
              <w:bottom w:val="nil"/>
              <w:right w:val="nil"/>
            </w:tcBorders>
            <w:shd w:val="clear" w:color="auto" w:fill="auto"/>
            <w:vAlign w:val="center"/>
            <w:hideMark/>
          </w:tcPr>
          <w:p w14:paraId="3079C506"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Macro</w:t>
            </w:r>
            <w:r w:rsidR="00713D68" w:rsidRPr="00AE4E8D">
              <w:rPr>
                <w:rFonts w:ascii="Times New Roman" w:hAnsi="Times New Roman"/>
                <w:color w:val="000000"/>
                <w:sz w:val="14"/>
                <w:szCs w:val="14"/>
                <w:lang w:val="en-US" w:eastAsia="es-AR"/>
              </w:rPr>
              <w:t xml:space="preserve"> S.A.</w:t>
            </w:r>
          </w:p>
        </w:tc>
        <w:tc>
          <w:tcPr>
            <w:tcW w:w="852" w:type="dxa"/>
            <w:tcBorders>
              <w:top w:val="nil"/>
              <w:left w:val="nil"/>
              <w:bottom w:val="nil"/>
              <w:right w:val="nil"/>
            </w:tcBorders>
            <w:shd w:val="clear" w:color="auto" w:fill="auto"/>
            <w:noWrap/>
            <w:vAlign w:val="center"/>
            <w:hideMark/>
          </w:tcPr>
          <w:p w14:paraId="4A883DC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56.825,30</w:t>
            </w:r>
          </w:p>
        </w:tc>
        <w:tc>
          <w:tcPr>
            <w:tcW w:w="220" w:type="dxa"/>
            <w:tcBorders>
              <w:top w:val="nil"/>
              <w:left w:val="nil"/>
              <w:bottom w:val="nil"/>
              <w:right w:val="nil"/>
            </w:tcBorders>
            <w:shd w:val="clear" w:color="auto" w:fill="auto"/>
            <w:noWrap/>
            <w:vAlign w:val="bottom"/>
            <w:hideMark/>
          </w:tcPr>
          <w:p w14:paraId="67B63FB9"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55B78CE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6,38%</w:t>
            </w:r>
          </w:p>
        </w:tc>
        <w:tc>
          <w:tcPr>
            <w:tcW w:w="319" w:type="dxa"/>
            <w:tcBorders>
              <w:top w:val="nil"/>
              <w:left w:val="nil"/>
              <w:bottom w:val="nil"/>
              <w:right w:val="nil"/>
            </w:tcBorders>
            <w:shd w:val="clear" w:color="auto" w:fill="auto"/>
            <w:vAlign w:val="bottom"/>
            <w:hideMark/>
          </w:tcPr>
          <w:p w14:paraId="7DA53495"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45DF40F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81.043,70</w:t>
            </w:r>
          </w:p>
        </w:tc>
        <w:tc>
          <w:tcPr>
            <w:tcW w:w="160" w:type="dxa"/>
            <w:tcBorders>
              <w:top w:val="nil"/>
              <w:left w:val="nil"/>
              <w:bottom w:val="nil"/>
              <w:right w:val="nil"/>
            </w:tcBorders>
            <w:shd w:val="clear" w:color="auto" w:fill="auto"/>
            <w:noWrap/>
            <w:vAlign w:val="bottom"/>
            <w:hideMark/>
          </w:tcPr>
          <w:p w14:paraId="20CB77D5"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38C0D9C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7,13%</w:t>
            </w:r>
          </w:p>
        </w:tc>
        <w:tc>
          <w:tcPr>
            <w:tcW w:w="160" w:type="dxa"/>
            <w:tcBorders>
              <w:top w:val="nil"/>
              <w:left w:val="nil"/>
              <w:bottom w:val="nil"/>
              <w:right w:val="nil"/>
            </w:tcBorders>
            <w:shd w:val="clear" w:color="auto" w:fill="auto"/>
            <w:vAlign w:val="bottom"/>
            <w:hideMark/>
          </w:tcPr>
          <w:p w14:paraId="596F985C"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2934DEE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90.078,60</w:t>
            </w:r>
          </w:p>
        </w:tc>
        <w:tc>
          <w:tcPr>
            <w:tcW w:w="160" w:type="dxa"/>
            <w:tcBorders>
              <w:top w:val="nil"/>
              <w:left w:val="nil"/>
              <w:bottom w:val="nil"/>
              <w:right w:val="nil"/>
            </w:tcBorders>
            <w:shd w:val="clear" w:color="auto" w:fill="auto"/>
            <w:noWrap/>
            <w:vAlign w:val="bottom"/>
            <w:hideMark/>
          </w:tcPr>
          <w:p w14:paraId="6C5944AC"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37AC701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7,</w:t>
            </w:r>
            <w:r w:rsidRPr="00AE4E8D">
              <w:rPr>
                <w:rFonts w:ascii="Times New Roman" w:hAnsi="Times New Roman"/>
                <w:color w:val="000000"/>
                <w:sz w:val="14"/>
                <w:szCs w:val="14"/>
                <w:lang w:val="es-ES" w:eastAsia="es-AR"/>
              </w:rPr>
              <w:t>40</w:t>
            </w:r>
            <w:r w:rsidRPr="00AE4E8D">
              <w:rPr>
                <w:rFonts w:ascii="Times New Roman" w:hAnsi="Times New Roman"/>
                <w:color w:val="000000"/>
                <w:sz w:val="14"/>
                <w:lang w:val="es-ES"/>
              </w:rPr>
              <w:t>%</w:t>
            </w:r>
          </w:p>
        </w:tc>
      </w:tr>
      <w:tr w:rsidR="003B5193" w:rsidRPr="00AE4E8D" w14:paraId="3F25BD94" w14:textId="77777777" w:rsidTr="000400C8">
        <w:trPr>
          <w:trHeight w:val="300"/>
          <w:jc w:val="center"/>
        </w:trPr>
        <w:tc>
          <w:tcPr>
            <w:tcW w:w="763" w:type="dxa"/>
            <w:tcBorders>
              <w:top w:val="nil"/>
              <w:left w:val="nil"/>
              <w:bottom w:val="nil"/>
              <w:right w:val="nil"/>
            </w:tcBorders>
            <w:shd w:val="clear" w:color="auto" w:fill="auto"/>
            <w:vAlign w:val="center"/>
            <w:hideMark/>
          </w:tcPr>
          <w:p w14:paraId="1F623E39"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6</w:t>
            </w:r>
          </w:p>
        </w:tc>
        <w:tc>
          <w:tcPr>
            <w:tcW w:w="1789" w:type="dxa"/>
            <w:tcBorders>
              <w:top w:val="nil"/>
              <w:left w:val="nil"/>
              <w:bottom w:val="nil"/>
              <w:right w:val="nil"/>
            </w:tcBorders>
            <w:shd w:val="clear" w:color="auto" w:fill="auto"/>
            <w:vAlign w:val="center"/>
            <w:hideMark/>
          </w:tcPr>
          <w:p w14:paraId="16F9C862" w14:textId="77777777" w:rsidR="0062499A" w:rsidRPr="00AE4E8D" w:rsidRDefault="0062499A" w:rsidP="00EC0AED">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BBVA </w:t>
            </w:r>
            <w:r w:rsidR="00713D68" w:rsidRPr="00AE4E8D">
              <w:rPr>
                <w:rFonts w:ascii="Times New Roman" w:hAnsi="Times New Roman"/>
                <w:color w:val="000000"/>
                <w:sz w:val="14"/>
                <w:szCs w:val="14"/>
                <w:lang w:eastAsia="es-AR"/>
              </w:rPr>
              <w:t>Banco Francés S.A.</w:t>
            </w:r>
          </w:p>
        </w:tc>
        <w:tc>
          <w:tcPr>
            <w:tcW w:w="852" w:type="dxa"/>
            <w:tcBorders>
              <w:top w:val="nil"/>
              <w:left w:val="nil"/>
              <w:bottom w:val="nil"/>
              <w:right w:val="nil"/>
            </w:tcBorders>
            <w:shd w:val="clear" w:color="auto" w:fill="auto"/>
            <w:noWrap/>
            <w:vAlign w:val="center"/>
            <w:hideMark/>
          </w:tcPr>
          <w:p w14:paraId="0789098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54.994,60</w:t>
            </w:r>
          </w:p>
        </w:tc>
        <w:tc>
          <w:tcPr>
            <w:tcW w:w="220" w:type="dxa"/>
            <w:tcBorders>
              <w:top w:val="nil"/>
              <w:left w:val="nil"/>
              <w:bottom w:val="nil"/>
              <w:right w:val="nil"/>
            </w:tcBorders>
            <w:shd w:val="clear" w:color="auto" w:fill="auto"/>
            <w:noWrap/>
            <w:vAlign w:val="bottom"/>
            <w:hideMark/>
          </w:tcPr>
          <w:p w14:paraId="2F3E72A8"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09C153E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6,17%</w:t>
            </w:r>
          </w:p>
        </w:tc>
        <w:tc>
          <w:tcPr>
            <w:tcW w:w="319" w:type="dxa"/>
            <w:tcBorders>
              <w:top w:val="nil"/>
              <w:left w:val="nil"/>
              <w:bottom w:val="nil"/>
              <w:right w:val="nil"/>
            </w:tcBorders>
            <w:shd w:val="clear" w:color="auto" w:fill="auto"/>
            <w:vAlign w:val="bottom"/>
            <w:hideMark/>
          </w:tcPr>
          <w:p w14:paraId="58BB7EBB"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2BF9BB4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75.980,20</w:t>
            </w:r>
          </w:p>
        </w:tc>
        <w:tc>
          <w:tcPr>
            <w:tcW w:w="160" w:type="dxa"/>
            <w:tcBorders>
              <w:top w:val="nil"/>
              <w:left w:val="nil"/>
              <w:bottom w:val="nil"/>
              <w:right w:val="nil"/>
            </w:tcBorders>
            <w:shd w:val="clear" w:color="auto" w:fill="auto"/>
            <w:noWrap/>
            <w:vAlign w:val="bottom"/>
            <w:hideMark/>
          </w:tcPr>
          <w:p w14:paraId="2692697D"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59E599F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6,68%</w:t>
            </w:r>
          </w:p>
        </w:tc>
        <w:tc>
          <w:tcPr>
            <w:tcW w:w="160" w:type="dxa"/>
            <w:tcBorders>
              <w:top w:val="nil"/>
              <w:left w:val="nil"/>
              <w:bottom w:val="nil"/>
              <w:right w:val="nil"/>
            </w:tcBorders>
            <w:shd w:val="clear" w:color="auto" w:fill="auto"/>
            <w:vAlign w:val="bottom"/>
            <w:hideMark/>
          </w:tcPr>
          <w:p w14:paraId="585012A9"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12E8C24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81.267,80</w:t>
            </w:r>
          </w:p>
        </w:tc>
        <w:tc>
          <w:tcPr>
            <w:tcW w:w="160" w:type="dxa"/>
            <w:tcBorders>
              <w:top w:val="nil"/>
              <w:left w:val="nil"/>
              <w:bottom w:val="nil"/>
              <w:right w:val="nil"/>
            </w:tcBorders>
            <w:shd w:val="clear" w:color="auto" w:fill="auto"/>
            <w:noWrap/>
            <w:vAlign w:val="bottom"/>
            <w:hideMark/>
          </w:tcPr>
          <w:p w14:paraId="0670D776"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320684E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6,</w:t>
            </w:r>
            <w:r w:rsidRPr="00AE4E8D">
              <w:rPr>
                <w:rFonts w:ascii="Times New Roman" w:hAnsi="Times New Roman"/>
                <w:color w:val="000000"/>
                <w:sz w:val="14"/>
                <w:szCs w:val="14"/>
                <w:lang w:val="es-ES" w:eastAsia="es-AR"/>
              </w:rPr>
              <w:t>67</w:t>
            </w:r>
            <w:r w:rsidRPr="00AE4E8D">
              <w:rPr>
                <w:rFonts w:ascii="Times New Roman" w:hAnsi="Times New Roman"/>
                <w:color w:val="000000"/>
                <w:sz w:val="14"/>
                <w:lang w:val="es-ES"/>
              </w:rPr>
              <w:t>%</w:t>
            </w:r>
          </w:p>
        </w:tc>
      </w:tr>
      <w:tr w:rsidR="003B5193" w:rsidRPr="00AE4E8D" w14:paraId="77833C50" w14:textId="77777777" w:rsidTr="000400C8">
        <w:trPr>
          <w:trHeight w:val="300"/>
          <w:jc w:val="center"/>
        </w:trPr>
        <w:tc>
          <w:tcPr>
            <w:tcW w:w="763" w:type="dxa"/>
            <w:tcBorders>
              <w:top w:val="nil"/>
              <w:left w:val="nil"/>
              <w:bottom w:val="nil"/>
              <w:right w:val="nil"/>
            </w:tcBorders>
            <w:shd w:val="clear" w:color="auto" w:fill="auto"/>
            <w:vAlign w:val="center"/>
            <w:hideMark/>
          </w:tcPr>
          <w:p w14:paraId="25E6B5ED"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7</w:t>
            </w:r>
          </w:p>
        </w:tc>
        <w:tc>
          <w:tcPr>
            <w:tcW w:w="1789" w:type="dxa"/>
            <w:tcBorders>
              <w:top w:val="nil"/>
              <w:left w:val="nil"/>
              <w:bottom w:val="nil"/>
              <w:right w:val="nil"/>
            </w:tcBorders>
            <w:shd w:val="clear" w:color="auto" w:fill="auto"/>
            <w:vAlign w:val="center"/>
            <w:hideMark/>
          </w:tcPr>
          <w:p w14:paraId="1EDE12CD" w14:textId="77777777" w:rsidR="0062499A" w:rsidRPr="00AE4E8D" w:rsidRDefault="0062499A" w:rsidP="00EC0AED">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HSBC</w:t>
            </w:r>
            <w:r w:rsidR="00FD3A3F" w:rsidRPr="00AE4E8D">
              <w:rPr>
                <w:rFonts w:ascii="Times New Roman" w:hAnsi="Times New Roman"/>
                <w:color w:val="000000"/>
                <w:sz w:val="14"/>
                <w:szCs w:val="14"/>
                <w:lang w:val="es-ES" w:eastAsia="es-AR"/>
              </w:rPr>
              <w:t xml:space="preserve"> Bank </w:t>
            </w:r>
            <w:r w:rsidR="006926A7" w:rsidRPr="00AE4E8D">
              <w:rPr>
                <w:rFonts w:ascii="Times New Roman" w:hAnsi="Times New Roman"/>
                <w:color w:val="000000"/>
                <w:sz w:val="14"/>
                <w:szCs w:val="14"/>
                <w:lang w:val="es-ES" w:eastAsia="es-AR"/>
              </w:rPr>
              <w:t>Argentina</w:t>
            </w:r>
          </w:p>
        </w:tc>
        <w:tc>
          <w:tcPr>
            <w:tcW w:w="852" w:type="dxa"/>
            <w:tcBorders>
              <w:top w:val="nil"/>
              <w:left w:val="nil"/>
              <w:bottom w:val="nil"/>
              <w:right w:val="nil"/>
            </w:tcBorders>
            <w:shd w:val="clear" w:color="auto" w:fill="auto"/>
            <w:noWrap/>
            <w:vAlign w:val="center"/>
            <w:hideMark/>
          </w:tcPr>
          <w:p w14:paraId="488403C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33.213,40</w:t>
            </w:r>
          </w:p>
        </w:tc>
        <w:tc>
          <w:tcPr>
            <w:tcW w:w="220" w:type="dxa"/>
            <w:tcBorders>
              <w:top w:val="nil"/>
              <w:left w:val="nil"/>
              <w:bottom w:val="nil"/>
              <w:right w:val="nil"/>
            </w:tcBorders>
            <w:shd w:val="clear" w:color="auto" w:fill="auto"/>
            <w:noWrap/>
            <w:vAlign w:val="bottom"/>
            <w:hideMark/>
          </w:tcPr>
          <w:p w14:paraId="0B930507"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2234957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3,73%</w:t>
            </w:r>
          </w:p>
        </w:tc>
        <w:tc>
          <w:tcPr>
            <w:tcW w:w="319" w:type="dxa"/>
            <w:tcBorders>
              <w:top w:val="nil"/>
              <w:left w:val="nil"/>
              <w:bottom w:val="nil"/>
              <w:right w:val="nil"/>
            </w:tcBorders>
            <w:shd w:val="clear" w:color="auto" w:fill="auto"/>
            <w:vAlign w:val="bottom"/>
            <w:hideMark/>
          </w:tcPr>
          <w:p w14:paraId="5655D6DB"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3620825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44.376,10</w:t>
            </w:r>
          </w:p>
        </w:tc>
        <w:tc>
          <w:tcPr>
            <w:tcW w:w="160" w:type="dxa"/>
            <w:tcBorders>
              <w:top w:val="nil"/>
              <w:left w:val="nil"/>
              <w:bottom w:val="nil"/>
              <w:right w:val="nil"/>
            </w:tcBorders>
            <w:shd w:val="clear" w:color="auto" w:fill="auto"/>
            <w:noWrap/>
            <w:vAlign w:val="bottom"/>
            <w:hideMark/>
          </w:tcPr>
          <w:p w14:paraId="183574AA"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55C9598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3,90%</w:t>
            </w:r>
          </w:p>
        </w:tc>
        <w:tc>
          <w:tcPr>
            <w:tcW w:w="160" w:type="dxa"/>
            <w:tcBorders>
              <w:top w:val="nil"/>
              <w:left w:val="nil"/>
              <w:bottom w:val="nil"/>
              <w:right w:val="nil"/>
            </w:tcBorders>
            <w:shd w:val="clear" w:color="auto" w:fill="auto"/>
            <w:vAlign w:val="bottom"/>
            <w:hideMark/>
          </w:tcPr>
          <w:p w14:paraId="287D4E1E"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6A2A8AD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47.966,90</w:t>
            </w:r>
          </w:p>
        </w:tc>
        <w:tc>
          <w:tcPr>
            <w:tcW w:w="160" w:type="dxa"/>
            <w:tcBorders>
              <w:top w:val="nil"/>
              <w:left w:val="nil"/>
              <w:bottom w:val="nil"/>
              <w:right w:val="nil"/>
            </w:tcBorders>
            <w:shd w:val="clear" w:color="auto" w:fill="auto"/>
            <w:noWrap/>
            <w:vAlign w:val="bottom"/>
            <w:hideMark/>
          </w:tcPr>
          <w:p w14:paraId="7D1D7847"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6E9C26A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94</w:t>
            </w:r>
            <w:r w:rsidRPr="00AE4E8D">
              <w:rPr>
                <w:rFonts w:ascii="Times New Roman" w:hAnsi="Times New Roman"/>
                <w:color w:val="000000"/>
                <w:sz w:val="14"/>
                <w:lang w:val="es-ES"/>
              </w:rPr>
              <w:t>%</w:t>
            </w:r>
          </w:p>
        </w:tc>
      </w:tr>
      <w:tr w:rsidR="003B5193" w:rsidRPr="00AE4E8D" w14:paraId="61499BBA" w14:textId="77777777" w:rsidTr="000400C8">
        <w:trPr>
          <w:trHeight w:val="300"/>
          <w:jc w:val="center"/>
        </w:trPr>
        <w:tc>
          <w:tcPr>
            <w:tcW w:w="763" w:type="dxa"/>
            <w:tcBorders>
              <w:top w:val="nil"/>
              <w:left w:val="nil"/>
              <w:bottom w:val="nil"/>
              <w:right w:val="nil"/>
            </w:tcBorders>
            <w:shd w:val="clear" w:color="auto" w:fill="auto"/>
            <w:vAlign w:val="center"/>
            <w:hideMark/>
          </w:tcPr>
          <w:p w14:paraId="00ADC812"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8</w:t>
            </w:r>
          </w:p>
        </w:tc>
        <w:tc>
          <w:tcPr>
            <w:tcW w:w="1789" w:type="dxa"/>
            <w:tcBorders>
              <w:top w:val="nil"/>
              <w:left w:val="nil"/>
              <w:bottom w:val="nil"/>
              <w:right w:val="nil"/>
            </w:tcBorders>
            <w:shd w:val="clear" w:color="auto" w:fill="auto"/>
            <w:vAlign w:val="center"/>
            <w:hideMark/>
          </w:tcPr>
          <w:p w14:paraId="25E10985" w14:textId="77777777" w:rsidR="0062499A" w:rsidRPr="00AE4E8D" w:rsidRDefault="00713D68" w:rsidP="00EC0AED">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0604B3" w:rsidRPr="00AE4E8D">
              <w:rPr>
                <w:rFonts w:ascii="Times New Roman" w:hAnsi="Times New Roman"/>
                <w:color w:val="000000"/>
                <w:sz w:val="14"/>
                <w:szCs w:val="14"/>
                <w:lang w:val="es-ES" w:eastAsia="es-AR"/>
              </w:rPr>
              <w:t>de la C</w:t>
            </w:r>
            <w:r w:rsidR="0062499A" w:rsidRPr="00AE4E8D">
              <w:rPr>
                <w:rFonts w:ascii="Times New Roman" w:hAnsi="Times New Roman"/>
                <w:color w:val="000000"/>
                <w:sz w:val="14"/>
                <w:szCs w:val="14"/>
                <w:lang w:val="es-ES" w:eastAsia="es-AR"/>
              </w:rPr>
              <w:t>iudad</w:t>
            </w:r>
            <w:r w:rsidR="000604B3" w:rsidRPr="00AE4E8D">
              <w:rPr>
                <w:rFonts w:ascii="Times New Roman" w:hAnsi="Times New Roman"/>
                <w:color w:val="000000"/>
                <w:sz w:val="14"/>
                <w:szCs w:val="14"/>
                <w:lang w:val="es-ES" w:eastAsia="es-AR"/>
              </w:rPr>
              <w:t xml:space="preserve"> de Buenos Aires</w:t>
            </w:r>
          </w:p>
        </w:tc>
        <w:tc>
          <w:tcPr>
            <w:tcW w:w="852" w:type="dxa"/>
            <w:tcBorders>
              <w:top w:val="nil"/>
              <w:left w:val="nil"/>
              <w:bottom w:val="nil"/>
              <w:right w:val="nil"/>
            </w:tcBorders>
            <w:shd w:val="clear" w:color="auto" w:fill="auto"/>
            <w:noWrap/>
            <w:vAlign w:val="center"/>
            <w:hideMark/>
          </w:tcPr>
          <w:p w14:paraId="453708E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35.979,60</w:t>
            </w:r>
          </w:p>
        </w:tc>
        <w:tc>
          <w:tcPr>
            <w:tcW w:w="220" w:type="dxa"/>
            <w:tcBorders>
              <w:top w:val="nil"/>
              <w:left w:val="nil"/>
              <w:bottom w:val="nil"/>
              <w:right w:val="nil"/>
            </w:tcBorders>
            <w:shd w:val="clear" w:color="auto" w:fill="auto"/>
            <w:noWrap/>
            <w:vAlign w:val="bottom"/>
            <w:hideMark/>
          </w:tcPr>
          <w:p w14:paraId="6B5CBC13"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5FA811B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4,04%</w:t>
            </w:r>
          </w:p>
        </w:tc>
        <w:tc>
          <w:tcPr>
            <w:tcW w:w="319" w:type="dxa"/>
            <w:tcBorders>
              <w:top w:val="nil"/>
              <w:left w:val="nil"/>
              <w:bottom w:val="nil"/>
              <w:right w:val="nil"/>
            </w:tcBorders>
            <w:shd w:val="clear" w:color="auto" w:fill="auto"/>
            <w:vAlign w:val="bottom"/>
            <w:hideMark/>
          </w:tcPr>
          <w:p w14:paraId="4DBBCFFA"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39267C6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44.264,30</w:t>
            </w:r>
          </w:p>
        </w:tc>
        <w:tc>
          <w:tcPr>
            <w:tcW w:w="160" w:type="dxa"/>
            <w:tcBorders>
              <w:top w:val="nil"/>
              <w:left w:val="nil"/>
              <w:bottom w:val="nil"/>
              <w:right w:val="nil"/>
            </w:tcBorders>
            <w:shd w:val="clear" w:color="auto" w:fill="auto"/>
            <w:noWrap/>
            <w:vAlign w:val="bottom"/>
            <w:hideMark/>
          </w:tcPr>
          <w:p w14:paraId="147EE89D"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63AE922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3,89%</w:t>
            </w:r>
          </w:p>
        </w:tc>
        <w:tc>
          <w:tcPr>
            <w:tcW w:w="160" w:type="dxa"/>
            <w:tcBorders>
              <w:top w:val="nil"/>
              <w:left w:val="nil"/>
              <w:bottom w:val="nil"/>
              <w:right w:val="nil"/>
            </w:tcBorders>
            <w:shd w:val="clear" w:color="auto" w:fill="auto"/>
            <w:vAlign w:val="bottom"/>
            <w:hideMark/>
          </w:tcPr>
          <w:p w14:paraId="3B2A723C"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666D2FE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46.932,80</w:t>
            </w:r>
          </w:p>
        </w:tc>
        <w:tc>
          <w:tcPr>
            <w:tcW w:w="160" w:type="dxa"/>
            <w:tcBorders>
              <w:top w:val="nil"/>
              <w:left w:val="nil"/>
              <w:bottom w:val="nil"/>
              <w:right w:val="nil"/>
            </w:tcBorders>
            <w:shd w:val="clear" w:color="auto" w:fill="auto"/>
            <w:noWrap/>
            <w:vAlign w:val="bottom"/>
            <w:hideMark/>
          </w:tcPr>
          <w:p w14:paraId="05D29A8A"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7B7F64C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85</w:t>
            </w:r>
            <w:r w:rsidRPr="00AE4E8D">
              <w:rPr>
                <w:rFonts w:ascii="Times New Roman" w:hAnsi="Times New Roman"/>
                <w:color w:val="000000"/>
                <w:sz w:val="14"/>
                <w:lang w:val="es-ES"/>
              </w:rPr>
              <w:t>%</w:t>
            </w:r>
          </w:p>
        </w:tc>
      </w:tr>
      <w:tr w:rsidR="003B5193" w:rsidRPr="00AE4E8D" w14:paraId="13D764B3" w14:textId="77777777" w:rsidTr="000400C8">
        <w:trPr>
          <w:trHeight w:val="540"/>
          <w:jc w:val="center"/>
        </w:trPr>
        <w:tc>
          <w:tcPr>
            <w:tcW w:w="763" w:type="dxa"/>
            <w:tcBorders>
              <w:top w:val="nil"/>
              <w:left w:val="nil"/>
              <w:bottom w:val="nil"/>
              <w:right w:val="nil"/>
            </w:tcBorders>
            <w:shd w:val="clear" w:color="auto" w:fill="auto"/>
            <w:vAlign w:val="center"/>
            <w:hideMark/>
          </w:tcPr>
          <w:p w14:paraId="5FE8176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9</w:t>
            </w:r>
          </w:p>
        </w:tc>
        <w:tc>
          <w:tcPr>
            <w:tcW w:w="1789" w:type="dxa"/>
            <w:tcBorders>
              <w:top w:val="nil"/>
              <w:left w:val="nil"/>
              <w:bottom w:val="nil"/>
              <w:right w:val="nil"/>
            </w:tcBorders>
            <w:shd w:val="clear" w:color="auto" w:fill="auto"/>
            <w:vAlign w:val="center"/>
            <w:hideMark/>
          </w:tcPr>
          <w:p w14:paraId="65D65BF3" w14:textId="77777777" w:rsidR="0062499A" w:rsidRPr="00AE4E8D" w:rsidRDefault="000604B3"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Industrial and Commercial Bank of China (Argentina) S.A.</w:t>
            </w:r>
          </w:p>
        </w:tc>
        <w:tc>
          <w:tcPr>
            <w:tcW w:w="852" w:type="dxa"/>
            <w:tcBorders>
              <w:top w:val="nil"/>
              <w:left w:val="nil"/>
              <w:bottom w:val="nil"/>
              <w:right w:val="nil"/>
            </w:tcBorders>
            <w:shd w:val="clear" w:color="auto" w:fill="auto"/>
            <w:noWrap/>
            <w:vAlign w:val="center"/>
            <w:hideMark/>
          </w:tcPr>
          <w:p w14:paraId="6B92667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29</w:t>
            </w:r>
            <w:r w:rsidR="00326001" w:rsidRPr="00AE4E8D">
              <w:rPr>
                <w:rFonts w:ascii="Times New Roman" w:hAnsi="Times New Roman"/>
                <w:color w:val="000000"/>
                <w:sz w:val="14"/>
                <w:szCs w:val="14"/>
                <w:lang w:val="es-ES" w:eastAsia="es-AR"/>
              </w:rPr>
              <w:t>.</w:t>
            </w:r>
            <w:r w:rsidRPr="00AE4E8D">
              <w:rPr>
                <w:rFonts w:ascii="Times New Roman" w:hAnsi="Times New Roman"/>
                <w:color w:val="000000"/>
                <w:sz w:val="14"/>
                <w:szCs w:val="14"/>
                <w:lang w:val="es-ES" w:eastAsia="es-AR"/>
              </w:rPr>
              <w:t>221,00</w:t>
            </w:r>
          </w:p>
        </w:tc>
        <w:tc>
          <w:tcPr>
            <w:tcW w:w="220" w:type="dxa"/>
            <w:tcBorders>
              <w:top w:val="nil"/>
              <w:left w:val="nil"/>
              <w:bottom w:val="nil"/>
              <w:right w:val="nil"/>
            </w:tcBorders>
            <w:shd w:val="clear" w:color="auto" w:fill="auto"/>
            <w:noWrap/>
            <w:vAlign w:val="bottom"/>
            <w:hideMark/>
          </w:tcPr>
          <w:p w14:paraId="6A711634"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0F6DAD3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3,28%</w:t>
            </w:r>
          </w:p>
        </w:tc>
        <w:tc>
          <w:tcPr>
            <w:tcW w:w="319" w:type="dxa"/>
            <w:tcBorders>
              <w:top w:val="nil"/>
              <w:left w:val="nil"/>
              <w:bottom w:val="nil"/>
              <w:right w:val="nil"/>
            </w:tcBorders>
            <w:shd w:val="clear" w:color="auto" w:fill="auto"/>
            <w:vAlign w:val="bottom"/>
            <w:hideMark/>
          </w:tcPr>
          <w:p w14:paraId="7D9B1F7F"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4314496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39.831,30</w:t>
            </w:r>
          </w:p>
        </w:tc>
        <w:tc>
          <w:tcPr>
            <w:tcW w:w="160" w:type="dxa"/>
            <w:tcBorders>
              <w:top w:val="nil"/>
              <w:left w:val="nil"/>
              <w:bottom w:val="nil"/>
              <w:right w:val="nil"/>
            </w:tcBorders>
            <w:shd w:val="clear" w:color="auto" w:fill="auto"/>
            <w:noWrap/>
            <w:vAlign w:val="bottom"/>
            <w:hideMark/>
          </w:tcPr>
          <w:p w14:paraId="7C505DB6"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32280DE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3,50%</w:t>
            </w:r>
          </w:p>
        </w:tc>
        <w:tc>
          <w:tcPr>
            <w:tcW w:w="160" w:type="dxa"/>
            <w:tcBorders>
              <w:top w:val="nil"/>
              <w:left w:val="nil"/>
              <w:bottom w:val="nil"/>
              <w:right w:val="nil"/>
            </w:tcBorders>
            <w:shd w:val="clear" w:color="auto" w:fill="auto"/>
            <w:vAlign w:val="bottom"/>
            <w:hideMark/>
          </w:tcPr>
          <w:p w14:paraId="45A9F0EB"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238C425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43902,60</w:t>
            </w:r>
          </w:p>
        </w:tc>
        <w:tc>
          <w:tcPr>
            <w:tcW w:w="160" w:type="dxa"/>
            <w:tcBorders>
              <w:top w:val="nil"/>
              <w:left w:val="nil"/>
              <w:bottom w:val="nil"/>
              <w:right w:val="nil"/>
            </w:tcBorders>
            <w:shd w:val="clear" w:color="auto" w:fill="auto"/>
            <w:noWrap/>
            <w:vAlign w:val="bottom"/>
            <w:hideMark/>
          </w:tcPr>
          <w:p w14:paraId="56D9A459"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7682D2A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60</w:t>
            </w:r>
            <w:r w:rsidRPr="00AE4E8D">
              <w:rPr>
                <w:rFonts w:ascii="Times New Roman" w:hAnsi="Times New Roman"/>
                <w:color w:val="000000"/>
                <w:sz w:val="14"/>
                <w:lang w:val="es-ES"/>
              </w:rPr>
              <w:t>%</w:t>
            </w:r>
          </w:p>
        </w:tc>
      </w:tr>
      <w:tr w:rsidR="003B5193" w:rsidRPr="00AE4E8D" w14:paraId="46104D04" w14:textId="77777777" w:rsidTr="000400C8">
        <w:trPr>
          <w:trHeight w:val="300"/>
          <w:jc w:val="center"/>
        </w:trPr>
        <w:tc>
          <w:tcPr>
            <w:tcW w:w="763" w:type="dxa"/>
            <w:tcBorders>
              <w:top w:val="nil"/>
              <w:left w:val="nil"/>
              <w:bottom w:val="nil"/>
              <w:right w:val="nil"/>
            </w:tcBorders>
            <w:shd w:val="clear" w:color="auto" w:fill="auto"/>
            <w:vAlign w:val="center"/>
            <w:hideMark/>
          </w:tcPr>
          <w:p w14:paraId="493EE46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10</w:t>
            </w:r>
          </w:p>
        </w:tc>
        <w:tc>
          <w:tcPr>
            <w:tcW w:w="1789" w:type="dxa"/>
            <w:tcBorders>
              <w:top w:val="nil"/>
              <w:left w:val="nil"/>
              <w:bottom w:val="nil"/>
              <w:right w:val="nil"/>
            </w:tcBorders>
            <w:shd w:val="clear" w:color="auto" w:fill="auto"/>
            <w:vAlign w:val="center"/>
            <w:hideMark/>
          </w:tcPr>
          <w:p w14:paraId="0CCCC778"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Patagonia</w:t>
            </w:r>
          </w:p>
        </w:tc>
        <w:tc>
          <w:tcPr>
            <w:tcW w:w="852" w:type="dxa"/>
            <w:tcBorders>
              <w:top w:val="nil"/>
              <w:left w:val="nil"/>
              <w:bottom w:val="nil"/>
              <w:right w:val="nil"/>
            </w:tcBorders>
            <w:shd w:val="clear" w:color="auto" w:fill="auto"/>
            <w:noWrap/>
            <w:vAlign w:val="center"/>
            <w:hideMark/>
          </w:tcPr>
          <w:p w14:paraId="270CF2B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31.398,50</w:t>
            </w:r>
          </w:p>
        </w:tc>
        <w:tc>
          <w:tcPr>
            <w:tcW w:w="220" w:type="dxa"/>
            <w:tcBorders>
              <w:top w:val="nil"/>
              <w:left w:val="nil"/>
              <w:bottom w:val="nil"/>
              <w:right w:val="nil"/>
            </w:tcBorders>
            <w:shd w:val="clear" w:color="auto" w:fill="auto"/>
            <w:noWrap/>
            <w:vAlign w:val="bottom"/>
            <w:hideMark/>
          </w:tcPr>
          <w:p w14:paraId="36C8A2E3"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4A1DA5B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3,52%</w:t>
            </w:r>
          </w:p>
        </w:tc>
        <w:tc>
          <w:tcPr>
            <w:tcW w:w="319" w:type="dxa"/>
            <w:tcBorders>
              <w:top w:val="nil"/>
              <w:left w:val="nil"/>
              <w:bottom w:val="nil"/>
              <w:right w:val="nil"/>
            </w:tcBorders>
            <w:shd w:val="clear" w:color="auto" w:fill="auto"/>
            <w:vAlign w:val="bottom"/>
            <w:hideMark/>
          </w:tcPr>
          <w:p w14:paraId="6E6B7A14"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2C37433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40.430,70</w:t>
            </w:r>
          </w:p>
        </w:tc>
        <w:tc>
          <w:tcPr>
            <w:tcW w:w="160" w:type="dxa"/>
            <w:tcBorders>
              <w:top w:val="nil"/>
              <w:left w:val="nil"/>
              <w:bottom w:val="nil"/>
              <w:right w:val="nil"/>
            </w:tcBorders>
            <w:shd w:val="clear" w:color="auto" w:fill="auto"/>
            <w:noWrap/>
            <w:vAlign w:val="bottom"/>
            <w:hideMark/>
          </w:tcPr>
          <w:p w14:paraId="5F1B12E9"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2CB164B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3,56%</w:t>
            </w:r>
          </w:p>
        </w:tc>
        <w:tc>
          <w:tcPr>
            <w:tcW w:w="160" w:type="dxa"/>
            <w:tcBorders>
              <w:top w:val="nil"/>
              <w:left w:val="nil"/>
              <w:bottom w:val="nil"/>
              <w:right w:val="nil"/>
            </w:tcBorders>
            <w:shd w:val="clear" w:color="auto" w:fill="auto"/>
            <w:vAlign w:val="bottom"/>
            <w:hideMark/>
          </w:tcPr>
          <w:p w14:paraId="2C72764F"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3E3191C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39.</w:t>
            </w:r>
            <w:r w:rsidRPr="00AE4E8D">
              <w:rPr>
                <w:rFonts w:ascii="Times New Roman" w:hAnsi="Times New Roman"/>
                <w:color w:val="000000"/>
                <w:sz w:val="14"/>
                <w:szCs w:val="14"/>
                <w:lang w:val="es-ES" w:eastAsia="es-AR"/>
              </w:rPr>
              <w:t>803,20</w:t>
            </w:r>
          </w:p>
        </w:tc>
        <w:tc>
          <w:tcPr>
            <w:tcW w:w="160" w:type="dxa"/>
            <w:tcBorders>
              <w:top w:val="nil"/>
              <w:left w:val="nil"/>
              <w:bottom w:val="nil"/>
              <w:right w:val="nil"/>
            </w:tcBorders>
            <w:shd w:val="clear" w:color="auto" w:fill="auto"/>
            <w:noWrap/>
            <w:vAlign w:val="bottom"/>
            <w:hideMark/>
          </w:tcPr>
          <w:p w14:paraId="0EB1B03F"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51C3228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27</w:t>
            </w:r>
            <w:r w:rsidRPr="00AE4E8D">
              <w:rPr>
                <w:rFonts w:ascii="Times New Roman" w:hAnsi="Times New Roman"/>
                <w:color w:val="000000"/>
                <w:sz w:val="14"/>
                <w:lang w:val="es-ES"/>
              </w:rPr>
              <w:t>%</w:t>
            </w:r>
          </w:p>
        </w:tc>
      </w:tr>
      <w:tr w:rsidR="003B5193" w:rsidRPr="00AE4E8D" w14:paraId="794D0A2D" w14:textId="77777777" w:rsidTr="000400C8">
        <w:trPr>
          <w:trHeight w:val="360"/>
          <w:jc w:val="center"/>
        </w:trPr>
        <w:tc>
          <w:tcPr>
            <w:tcW w:w="763" w:type="dxa"/>
            <w:tcBorders>
              <w:top w:val="nil"/>
              <w:left w:val="nil"/>
              <w:bottom w:val="nil"/>
              <w:right w:val="nil"/>
            </w:tcBorders>
            <w:shd w:val="clear" w:color="auto" w:fill="auto"/>
            <w:noWrap/>
            <w:vAlign w:val="bottom"/>
            <w:hideMark/>
          </w:tcPr>
          <w:p w14:paraId="7A67603A" w14:textId="77777777" w:rsidR="0062499A" w:rsidRPr="00AE4E8D" w:rsidRDefault="0062499A" w:rsidP="0062499A">
            <w:pPr>
              <w:rPr>
                <w:rFonts w:ascii="Times New Roman" w:hAnsi="Times New Roman"/>
                <w:color w:val="000000"/>
                <w:lang w:val="es-ES"/>
              </w:rPr>
            </w:pPr>
          </w:p>
        </w:tc>
        <w:tc>
          <w:tcPr>
            <w:tcW w:w="1789" w:type="dxa"/>
            <w:tcBorders>
              <w:top w:val="nil"/>
              <w:left w:val="nil"/>
              <w:bottom w:val="nil"/>
              <w:right w:val="nil"/>
            </w:tcBorders>
            <w:shd w:val="clear" w:color="auto" w:fill="auto"/>
            <w:vAlign w:val="center"/>
            <w:hideMark/>
          </w:tcPr>
          <w:p w14:paraId="6AE37FBD"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Total para los 10 bancos</w:t>
            </w:r>
          </w:p>
        </w:tc>
        <w:tc>
          <w:tcPr>
            <w:tcW w:w="852" w:type="dxa"/>
            <w:tcBorders>
              <w:top w:val="nil"/>
              <w:left w:val="nil"/>
              <w:bottom w:val="nil"/>
              <w:right w:val="nil"/>
            </w:tcBorders>
            <w:shd w:val="clear" w:color="auto" w:fill="auto"/>
            <w:noWrap/>
            <w:vAlign w:val="center"/>
            <w:hideMark/>
          </w:tcPr>
          <w:p w14:paraId="34A85A7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641.920,90</w:t>
            </w:r>
          </w:p>
        </w:tc>
        <w:tc>
          <w:tcPr>
            <w:tcW w:w="220" w:type="dxa"/>
            <w:tcBorders>
              <w:top w:val="nil"/>
              <w:left w:val="nil"/>
              <w:bottom w:val="nil"/>
              <w:right w:val="nil"/>
            </w:tcBorders>
            <w:shd w:val="clear" w:color="auto" w:fill="auto"/>
            <w:noWrap/>
            <w:vAlign w:val="bottom"/>
            <w:hideMark/>
          </w:tcPr>
          <w:p w14:paraId="39A2605E"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2557BC4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72,06%</w:t>
            </w:r>
          </w:p>
        </w:tc>
        <w:tc>
          <w:tcPr>
            <w:tcW w:w="319" w:type="dxa"/>
            <w:tcBorders>
              <w:top w:val="nil"/>
              <w:left w:val="nil"/>
              <w:bottom w:val="nil"/>
              <w:right w:val="nil"/>
            </w:tcBorders>
            <w:shd w:val="clear" w:color="auto" w:fill="auto"/>
            <w:vAlign w:val="bottom"/>
            <w:hideMark/>
          </w:tcPr>
          <w:p w14:paraId="31DEF099"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vAlign w:val="center"/>
            <w:hideMark/>
          </w:tcPr>
          <w:p w14:paraId="50C0DA4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800.530,20</w:t>
            </w:r>
          </w:p>
        </w:tc>
        <w:tc>
          <w:tcPr>
            <w:tcW w:w="160" w:type="dxa"/>
            <w:tcBorders>
              <w:top w:val="nil"/>
              <w:left w:val="nil"/>
              <w:bottom w:val="nil"/>
              <w:right w:val="nil"/>
            </w:tcBorders>
            <w:shd w:val="clear" w:color="auto" w:fill="auto"/>
            <w:noWrap/>
            <w:vAlign w:val="bottom"/>
            <w:hideMark/>
          </w:tcPr>
          <w:p w14:paraId="11828E38"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5896A53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70,41%</w:t>
            </w:r>
          </w:p>
        </w:tc>
        <w:tc>
          <w:tcPr>
            <w:tcW w:w="160" w:type="dxa"/>
            <w:tcBorders>
              <w:top w:val="nil"/>
              <w:left w:val="nil"/>
              <w:bottom w:val="nil"/>
              <w:right w:val="nil"/>
            </w:tcBorders>
            <w:shd w:val="clear" w:color="auto" w:fill="auto"/>
            <w:vAlign w:val="bottom"/>
            <w:hideMark/>
          </w:tcPr>
          <w:p w14:paraId="264C91D6"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62837F5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871.131,00</w:t>
            </w:r>
          </w:p>
        </w:tc>
        <w:tc>
          <w:tcPr>
            <w:tcW w:w="160" w:type="dxa"/>
            <w:tcBorders>
              <w:top w:val="nil"/>
              <w:left w:val="nil"/>
              <w:bottom w:val="nil"/>
              <w:right w:val="nil"/>
            </w:tcBorders>
            <w:shd w:val="clear" w:color="auto" w:fill="auto"/>
            <w:vAlign w:val="bottom"/>
            <w:hideMark/>
          </w:tcPr>
          <w:p w14:paraId="69B8A962"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6C46F5B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71,52</w:t>
            </w:r>
            <w:r w:rsidRPr="00AE4E8D">
              <w:rPr>
                <w:rFonts w:ascii="Times New Roman" w:hAnsi="Times New Roman"/>
                <w:color w:val="000000"/>
                <w:sz w:val="14"/>
                <w:lang w:val="es-ES"/>
              </w:rPr>
              <w:t>%</w:t>
            </w:r>
          </w:p>
        </w:tc>
      </w:tr>
      <w:tr w:rsidR="003B5193" w:rsidRPr="00AE4E8D" w14:paraId="43E164FD" w14:textId="77777777" w:rsidTr="000400C8">
        <w:trPr>
          <w:trHeight w:val="300"/>
          <w:jc w:val="center"/>
        </w:trPr>
        <w:tc>
          <w:tcPr>
            <w:tcW w:w="763" w:type="dxa"/>
            <w:tcBorders>
              <w:top w:val="nil"/>
              <w:left w:val="nil"/>
              <w:bottom w:val="nil"/>
              <w:right w:val="nil"/>
            </w:tcBorders>
            <w:shd w:val="clear" w:color="auto" w:fill="auto"/>
            <w:vAlign w:val="center"/>
            <w:hideMark/>
          </w:tcPr>
          <w:p w14:paraId="1B8C5011"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13</w:t>
            </w:r>
          </w:p>
        </w:tc>
        <w:tc>
          <w:tcPr>
            <w:tcW w:w="1789" w:type="dxa"/>
            <w:tcBorders>
              <w:top w:val="nil"/>
              <w:left w:val="nil"/>
              <w:bottom w:val="nil"/>
              <w:right w:val="nil"/>
            </w:tcBorders>
            <w:shd w:val="clear" w:color="auto" w:fill="auto"/>
            <w:vAlign w:val="center"/>
            <w:hideMark/>
          </w:tcPr>
          <w:p w14:paraId="70E86F6B" w14:textId="77777777" w:rsidR="0062499A" w:rsidRPr="00AE4E8D" w:rsidRDefault="00FD3A3F" w:rsidP="0062499A">
            <w:pPr>
              <w:jc w:val="both"/>
              <w:rPr>
                <w:rFonts w:ascii="Times New Roman" w:hAnsi="Times New Roman"/>
                <w:b/>
                <w:color w:val="000000"/>
                <w:sz w:val="14"/>
                <w:lang w:val="es-ES"/>
              </w:rPr>
            </w:pPr>
            <w:r w:rsidRPr="00AE4E8D">
              <w:rPr>
                <w:rFonts w:ascii="Times New Roman" w:hAnsi="Times New Roman"/>
                <w:b/>
                <w:bCs/>
                <w:color w:val="000000"/>
                <w:sz w:val="14"/>
                <w:szCs w:val="14"/>
                <w:lang w:val="es-ES" w:eastAsia="es-AR"/>
              </w:rPr>
              <w:t xml:space="preserve">Bancos </w:t>
            </w:r>
            <w:r w:rsidR="0062499A" w:rsidRPr="00AE4E8D">
              <w:rPr>
                <w:rFonts w:ascii="Times New Roman" w:hAnsi="Times New Roman"/>
                <w:b/>
                <w:bCs/>
                <w:color w:val="000000"/>
                <w:sz w:val="14"/>
                <w:szCs w:val="14"/>
                <w:lang w:val="es-ES" w:eastAsia="es-AR"/>
              </w:rPr>
              <w:t>Hipotecario</w:t>
            </w:r>
            <w:r w:rsidR="00713D68" w:rsidRPr="00AE4E8D">
              <w:rPr>
                <w:rFonts w:ascii="Times New Roman" w:hAnsi="Times New Roman"/>
              </w:rPr>
              <w:t xml:space="preserve"> </w:t>
            </w:r>
            <w:r w:rsidR="00713D68" w:rsidRPr="00AE4E8D">
              <w:rPr>
                <w:rFonts w:ascii="Times New Roman" w:hAnsi="Times New Roman"/>
                <w:b/>
                <w:bCs/>
                <w:color w:val="000000"/>
                <w:sz w:val="14"/>
                <w:szCs w:val="14"/>
                <w:lang w:val="es-ES" w:eastAsia="es-AR"/>
              </w:rPr>
              <w:t>S.A.</w:t>
            </w:r>
          </w:p>
        </w:tc>
        <w:tc>
          <w:tcPr>
            <w:tcW w:w="852" w:type="dxa"/>
            <w:tcBorders>
              <w:top w:val="nil"/>
              <w:left w:val="nil"/>
              <w:bottom w:val="nil"/>
              <w:right w:val="nil"/>
            </w:tcBorders>
            <w:shd w:val="clear" w:color="auto" w:fill="auto"/>
            <w:noWrap/>
            <w:vAlign w:val="center"/>
            <w:hideMark/>
          </w:tcPr>
          <w:p w14:paraId="20075482"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19.030,70</w:t>
            </w:r>
          </w:p>
        </w:tc>
        <w:tc>
          <w:tcPr>
            <w:tcW w:w="220" w:type="dxa"/>
            <w:tcBorders>
              <w:top w:val="nil"/>
              <w:left w:val="nil"/>
              <w:bottom w:val="nil"/>
              <w:right w:val="nil"/>
            </w:tcBorders>
            <w:shd w:val="clear" w:color="auto" w:fill="auto"/>
            <w:noWrap/>
            <w:vAlign w:val="bottom"/>
            <w:hideMark/>
          </w:tcPr>
          <w:p w14:paraId="5441C3C9"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7A00D793"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2,14%</w:t>
            </w:r>
          </w:p>
        </w:tc>
        <w:tc>
          <w:tcPr>
            <w:tcW w:w="319" w:type="dxa"/>
            <w:tcBorders>
              <w:top w:val="nil"/>
              <w:left w:val="nil"/>
              <w:bottom w:val="nil"/>
              <w:right w:val="nil"/>
            </w:tcBorders>
            <w:shd w:val="clear" w:color="auto" w:fill="auto"/>
            <w:vAlign w:val="bottom"/>
            <w:hideMark/>
          </w:tcPr>
          <w:p w14:paraId="0D5B0F47"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noWrap/>
            <w:vAlign w:val="center"/>
            <w:hideMark/>
          </w:tcPr>
          <w:p w14:paraId="7965C76B"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25.223,00</w:t>
            </w:r>
          </w:p>
        </w:tc>
        <w:tc>
          <w:tcPr>
            <w:tcW w:w="160" w:type="dxa"/>
            <w:tcBorders>
              <w:top w:val="nil"/>
              <w:left w:val="nil"/>
              <w:bottom w:val="nil"/>
              <w:right w:val="nil"/>
            </w:tcBorders>
            <w:shd w:val="clear" w:color="auto" w:fill="auto"/>
            <w:noWrap/>
            <w:vAlign w:val="bottom"/>
            <w:hideMark/>
          </w:tcPr>
          <w:p w14:paraId="50A04FA7"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311C9635"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2,22%</w:t>
            </w:r>
          </w:p>
        </w:tc>
        <w:tc>
          <w:tcPr>
            <w:tcW w:w="160" w:type="dxa"/>
            <w:tcBorders>
              <w:top w:val="nil"/>
              <w:left w:val="nil"/>
              <w:bottom w:val="nil"/>
              <w:right w:val="nil"/>
            </w:tcBorders>
            <w:shd w:val="clear" w:color="auto" w:fill="auto"/>
            <w:vAlign w:val="bottom"/>
            <w:hideMark/>
          </w:tcPr>
          <w:p w14:paraId="30BB2F3E"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18103C03"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color w:val="000000"/>
                <w:sz w:val="14"/>
                <w:lang w:val="es-ES"/>
              </w:rPr>
              <w:t>25.</w:t>
            </w:r>
            <w:r w:rsidRPr="00AE4E8D">
              <w:rPr>
                <w:rFonts w:ascii="Times New Roman" w:hAnsi="Times New Roman"/>
                <w:b/>
                <w:bCs/>
                <w:color w:val="000000"/>
                <w:sz w:val="14"/>
                <w:szCs w:val="14"/>
                <w:lang w:val="es-ES" w:eastAsia="es-AR"/>
              </w:rPr>
              <w:t>849,00</w:t>
            </w:r>
          </w:p>
        </w:tc>
        <w:tc>
          <w:tcPr>
            <w:tcW w:w="160" w:type="dxa"/>
            <w:tcBorders>
              <w:top w:val="nil"/>
              <w:left w:val="nil"/>
              <w:bottom w:val="nil"/>
              <w:right w:val="nil"/>
            </w:tcBorders>
            <w:shd w:val="clear" w:color="auto" w:fill="auto"/>
            <w:noWrap/>
            <w:vAlign w:val="bottom"/>
            <w:hideMark/>
          </w:tcPr>
          <w:p w14:paraId="41DAF470"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07E0531E"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color w:val="000000"/>
                <w:sz w:val="14"/>
                <w:lang w:val="es-ES"/>
              </w:rPr>
              <w:t>2,</w:t>
            </w:r>
            <w:r w:rsidRPr="00AE4E8D">
              <w:rPr>
                <w:rFonts w:ascii="Times New Roman" w:hAnsi="Times New Roman"/>
                <w:b/>
                <w:bCs/>
                <w:color w:val="000000"/>
                <w:sz w:val="14"/>
                <w:szCs w:val="14"/>
                <w:lang w:val="es-ES" w:eastAsia="es-AR"/>
              </w:rPr>
              <w:t>12</w:t>
            </w:r>
            <w:r w:rsidRPr="00AE4E8D">
              <w:rPr>
                <w:rFonts w:ascii="Times New Roman" w:hAnsi="Times New Roman"/>
                <w:b/>
                <w:color w:val="000000"/>
                <w:sz w:val="14"/>
                <w:lang w:val="es-ES"/>
              </w:rPr>
              <w:t>%</w:t>
            </w:r>
          </w:p>
        </w:tc>
      </w:tr>
      <w:tr w:rsidR="003B5193" w:rsidRPr="00AE4E8D" w14:paraId="0DFFDA7F" w14:textId="77777777" w:rsidTr="000400C8">
        <w:trPr>
          <w:trHeight w:val="540"/>
          <w:jc w:val="center"/>
        </w:trPr>
        <w:tc>
          <w:tcPr>
            <w:tcW w:w="763" w:type="dxa"/>
            <w:tcBorders>
              <w:top w:val="nil"/>
              <w:left w:val="nil"/>
              <w:bottom w:val="nil"/>
              <w:right w:val="nil"/>
            </w:tcBorders>
            <w:shd w:val="clear" w:color="auto" w:fill="auto"/>
            <w:noWrap/>
            <w:vAlign w:val="bottom"/>
            <w:hideMark/>
          </w:tcPr>
          <w:p w14:paraId="38EC1581" w14:textId="77777777" w:rsidR="0062499A" w:rsidRPr="00AE4E8D" w:rsidRDefault="0062499A" w:rsidP="0062499A">
            <w:pPr>
              <w:rPr>
                <w:rFonts w:ascii="Times New Roman" w:hAnsi="Times New Roman"/>
                <w:color w:val="000000"/>
                <w:lang w:val="es-ES"/>
              </w:rPr>
            </w:pPr>
          </w:p>
        </w:tc>
        <w:tc>
          <w:tcPr>
            <w:tcW w:w="1789" w:type="dxa"/>
            <w:tcBorders>
              <w:top w:val="nil"/>
              <w:left w:val="nil"/>
              <w:bottom w:val="nil"/>
              <w:right w:val="nil"/>
            </w:tcBorders>
            <w:shd w:val="clear" w:color="auto" w:fill="auto"/>
            <w:vAlign w:val="center"/>
            <w:hideMark/>
          </w:tcPr>
          <w:p w14:paraId="5401B64D" w14:textId="77777777" w:rsidR="0062499A" w:rsidRPr="00AE4E8D" w:rsidRDefault="0062499A" w:rsidP="0062499A">
            <w:pPr>
              <w:rPr>
                <w:rFonts w:ascii="Times New Roman" w:hAnsi="Times New Roman"/>
                <w:color w:val="000000"/>
                <w:sz w:val="14"/>
                <w:lang w:val="es-ES"/>
              </w:rPr>
            </w:pPr>
            <w:r w:rsidRPr="00AE4E8D">
              <w:rPr>
                <w:rFonts w:ascii="Times New Roman" w:hAnsi="Times New Roman"/>
                <w:color w:val="000000"/>
                <w:sz w:val="14"/>
                <w:szCs w:val="14"/>
                <w:lang w:val="es-ES" w:eastAsia="es-AR"/>
              </w:rPr>
              <w:t>Sistema financiero argentino</w:t>
            </w:r>
          </w:p>
        </w:tc>
        <w:tc>
          <w:tcPr>
            <w:tcW w:w="852" w:type="dxa"/>
            <w:tcBorders>
              <w:top w:val="nil"/>
              <w:left w:val="nil"/>
              <w:bottom w:val="nil"/>
              <w:right w:val="nil"/>
            </w:tcBorders>
            <w:shd w:val="clear" w:color="auto" w:fill="auto"/>
            <w:vAlign w:val="center"/>
            <w:hideMark/>
          </w:tcPr>
          <w:p w14:paraId="60BB89E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890.863,80</w:t>
            </w:r>
          </w:p>
        </w:tc>
        <w:tc>
          <w:tcPr>
            <w:tcW w:w="220" w:type="dxa"/>
            <w:tcBorders>
              <w:top w:val="nil"/>
              <w:left w:val="nil"/>
              <w:bottom w:val="nil"/>
              <w:right w:val="nil"/>
            </w:tcBorders>
            <w:shd w:val="clear" w:color="auto" w:fill="auto"/>
            <w:vAlign w:val="bottom"/>
            <w:hideMark/>
          </w:tcPr>
          <w:p w14:paraId="15A64C45"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27C8B56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319" w:type="dxa"/>
            <w:tcBorders>
              <w:top w:val="nil"/>
              <w:left w:val="nil"/>
              <w:bottom w:val="nil"/>
              <w:right w:val="nil"/>
            </w:tcBorders>
            <w:shd w:val="clear" w:color="auto" w:fill="auto"/>
            <w:vAlign w:val="bottom"/>
            <w:hideMark/>
          </w:tcPr>
          <w:p w14:paraId="59E31A8F" w14:textId="77777777" w:rsidR="0062499A" w:rsidRPr="00AE4E8D" w:rsidRDefault="0062499A" w:rsidP="0062499A">
            <w:pPr>
              <w:rPr>
                <w:rFonts w:ascii="Times New Roman" w:hAnsi="Times New Roman"/>
                <w:color w:val="000000"/>
                <w:lang w:val="es-ES"/>
              </w:rPr>
            </w:pPr>
          </w:p>
        </w:tc>
        <w:tc>
          <w:tcPr>
            <w:tcW w:w="928" w:type="dxa"/>
            <w:tcBorders>
              <w:top w:val="nil"/>
              <w:left w:val="nil"/>
              <w:bottom w:val="nil"/>
              <w:right w:val="nil"/>
            </w:tcBorders>
            <w:shd w:val="clear" w:color="auto" w:fill="auto"/>
            <w:vAlign w:val="center"/>
            <w:hideMark/>
          </w:tcPr>
          <w:p w14:paraId="787ED55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1.136.954,60</w:t>
            </w:r>
          </w:p>
        </w:tc>
        <w:tc>
          <w:tcPr>
            <w:tcW w:w="160" w:type="dxa"/>
            <w:tcBorders>
              <w:top w:val="nil"/>
              <w:left w:val="nil"/>
              <w:bottom w:val="nil"/>
              <w:right w:val="nil"/>
            </w:tcBorders>
            <w:shd w:val="clear" w:color="auto" w:fill="auto"/>
            <w:vAlign w:val="bottom"/>
            <w:hideMark/>
          </w:tcPr>
          <w:p w14:paraId="34CC1C77" w14:textId="77777777" w:rsidR="0062499A" w:rsidRPr="00AE4E8D" w:rsidRDefault="0062499A" w:rsidP="0062499A">
            <w:pPr>
              <w:rPr>
                <w:rFonts w:ascii="Times New Roman" w:hAnsi="Times New Roman"/>
                <w:color w:val="000000"/>
                <w:lang w:val="es-ES"/>
              </w:rPr>
            </w:pPr>
          </w:p>
        </w:tc>
        <w:tc>
          <w:tcPr>
            <w:tcW w:w="1116" w:type="dxa"/>
            <w:tcBorders>
              <w:top w:val="nil"/>
              <w:left w:val="nil"/>
              <w:bottom w:val="nil"/>
              <w:right w:val="nil"/>
            </w:tcBorders>
            <w:shd w:val="clear" w:color="auto" w:fill="auto"/>
            <w:vAlign w:val="center"/>
            <w:hideMark/>
          </w:tcPr>
          <w:p w14:paraId="156CC66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160" w:type="dxa"/>
            <w:tcBorders>
              <w:top w:val="nil"/>
              <w:left w:val="nil"/>
              <w:bottom w:val="nil"/>
              <w:right w:val="nil"/>
            </w:tcBorders>
            <w:shd w:val="clear" w:color="auto" w:fill="auto"/>
            <w:vAlign w:val="bottom"/>
            <w:hideMark/>
          </w:tcPr>
          <w:p w14:paraId="0903B6E9"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vAlign w:val="center"/>
            <w:hideMark/>
          </w:tcPr>
          <w:p w14:paraId="6E8CAE2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218.033,90</w:t>
            </w:r>
          </w:p>
        </w:tc>
        <w:tc>
          <w:tcPr>
            <w:tcW w:w="160" w:type="dxa"/>
            <w:tcBorders>
              <w:top w:val="nil"/>
              <w:left w:val="nil"/>
              <w:bottom w:val="nil"/>
              <w:right w:val="nil"/>
            </w:tcBorders>
            <w:shd w:val="clear" w:color="auto" w:fill="auto"/>
            <w:vAlign w:val="bottom"/>
            <w:hideMark/>
          </w:tcPr>
          <w:p w14:paraId="26031AFD" w14:textId="77777777" w:rsidR="0062499A" w:rsidRPr="00AE4E8D" w:rsidRDefault="0062499A" w:rsidP="0062499A">
            <w:pPr>
              <w:rPr>
                <w:rFonts w:ascii="Times New Roman" w:hAnsi="Times New Roman"/>
                <w:color w:val="000000"/>
                <w:lang w:val="es-ES"/>
              </w:rPr>
            </w:pPr>
          </w:p>
        </w:tc>
        <w:tc>
          <w:tcPr>
            <w:tcW w:w="1073" w:type="dxa"/>
            <w:tcBorders>
              <w:top w:val="nil"/>
              <w:left w:val="nil"/>
              <w:bottom w:val="nil"/>
              <w:right w:val="nil"/>
            </w:tcBorders>
            <w:shd w:val="clear" w:color="auto" w:fill="auto"/>
            <w:vAlign w:val="center"/>
            <w:hideMark/>
          </w:tcPr>
          <w:p w14:paraId="602F348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100,00%</w:t>
            </w:r>
          </w:p>
        </w:tc>
      </w:tr>
    </w:tbl>
    <w:p w14:paraId="2B6DE260" w14:textId="77777777" w:rsidR="008C50B4" w:rsidRPr="00AE4E8D" w:rsidRDefault="008C50B4" w:rsidP="008C50B4">
      <w:pPr>
        <w:keepLines/>
        <w:pBdr>
          <w:bottom w:val="single" w:sz="4" w:space="1" w:color="auto"/>
        </w:pBdr>
        <w:autoSpaceDE w:val="0"/>
        <w:autoSpaceDN w:val="0"/>
        <w:adjustRightInd w:val="0"/>
        <w:ind w:right="7740"/>
        <w:jc w:val="both"/>
        <w:rPr>
          <w:rFonts w:ascii="Times New Roman" w:eastAsia="MS Mincho" w:hAnsi="Times New Roman"/>
          <w:w w:val="1"/>
          <w:sz w:val="8"/>
          <w:lang w:val="es-ES"/>
        </w:rPr>
      </w:pPr>
    </w:p>
    <w:p w14:paraId="3192451B" w14:textId="77777777" w:rsidR="008C50B4" w:rsidRPr="00AE4E8D" w:rsidRDefault="008C50B4" w:rsidP="008C50B4">
      <w:pPr>
        <w:autoSpaceDE w:val="0"/>
        <w:autoSpaceDN w:val="0"/>
        <w:adjustRightInd w:val="0"/>
        <w:spacing w:after="240"/>
        <w:rPr>
          <w:rFonts w:ascii="Times New Roman" w:hAnsi="Times New Roman"/>
          <w:sz w:val="16"/>
          <w:lang w:val="es-ES"/>
        </w:rPr>
      </w:pPr>
      <w:r w:rsidRPr="00AE4E8D">
        <w:rPr>
          <w:rFonts w:ascii="Times New Roman" w:hAnsi="Times New Roman"/>
          <w:sz w:val="16"/>
          <w:lang w:val="es-ES"/>
        </w:rPr>
        <w:t>(*) Fuente: BCRA.</w:t>
      </w:r>
    </w:p>
    <w:p w14:paraId="5371FA8B"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69" w:name="_Toc421201417"/>
      <w:bookmarkStart w:id="570" w:name="_Toc495973030"/>
      <w:bookmarkStart w:id="571" w:name="_Toc495399937"/>
      <w:r w:rsidRPr="00AE4E8D">
        <w:rPr>
          <w:rFonts w:ascii="Times New Roman" w:hAnsi="Times New Roman"/>
          <w:b/>
          <w:lang w:val="es-ES"/>
        </w:rPr>
        <w:t>Total Activo Neto</w:t>
      </w:r>
      <w:bookmarkEnd w:id="569"/>
      <w:bookmarkEnd w:id="570"/>
      <w:bookmarkEnd w:id="571"/>
    </w:p>
    <w:p w14:paraId="56A58940" w14:textId="77777777" w:rsidR="001475D8"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siguiente tabla muestra el activo total, neto no consolidado de previsiones y participaciones de mercado, para los diez bancos más grandes del sistema financiero argentino a las fechas indicadas:</w:t>
      </w:r>
    </w:p>
    <w:tbl>
      <w:tblPr>
        <w:tblW w:w="8931" w:type="dxa"/>
        <w:jc w:val="center"/>
        <w:tblCellMar>
          <w:left w:w="70" w:type="dxa"/>
          <w:right w:w="70" w:type="dxa"/>
        </w:tblCellMar>
        <w:tblLook w:val="04A0" w:firstRow="1" w:lastRow="0" w:firstColumn="1" w:lastColumn="0" w:noHBand="0" w:noVBand="1"/>
      </w:tblPr>
      <w:tblGrid>
        <w:gridCol w:w="708"/>
        <w:gridCol w:w="1768"/>
        <w:gridCol w:w="875"/>
        <w:gridCol w:w="240"/>
        <w:gridCol w:w="941"/>
        <w:gridCol w:w="160"/>
        <w:gridCol w:w="969"/>
        <w:gridCol w:w="160"/>
        <w:gridCol w:w="974"/>
        <w:gridCol w:w="160"/>
        <w:gridCol w:w="875"/>
        <w:gridCol w:w="160"/>
        <w:gridCol w:w="941"/>
      </w:tblGrid>
      <w:tr w:rsidR="003B5193" w:rsidRPr="00AE4E8D" w14:paraId="0595C307" w14:textId="77777777" w:rsidTr="000400C8">
        <w:trPr>
          <w:trHeight w:val="315"/>
          <w:jc w:val="center"/>
        </w:trPr>
        <w:tc>
          <w:tcPr>
            <w:tcW w:w="708" w:type="dxa"/>
            <w:vMerge w:val="restart"/>
            <w:tcBorders>
              <w:top w:val="nil"/>
              <w:left w:val="nil"/>
              <w:bottom w:val="nil"/>
              <w:right w:val="nil"/>
            </w:tcBorders>
            <w:shd w:val="clear" w:color="auto" w:fill="auto"/>
            <w:vAlign w:val="center"/>
            <w:hideMark/>
          </w:tcPr>
          <w:p w14:paraId="278F4587"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Ranking por Activos</w:t>
            </w:r>
          </w:p>
        </w:tc>
        <w:tc>
          <w:tcPr>
            <w:tcW w:w="1777" w:type="dxa"/>
            <w:vMerge w:val="restart"/>
            <w:tcBorders>
              <w:top w:val="nil"/>
              <w:left w:val="nil"/>
              <w:bottom w:val="nil"/>
              <w:right w:val="nil"/>
            </w:tcBorders>
            <w:shd w:val="clear" w:color="auto" w:fill="auto"/>
            <w:vAlign w:val="center"/>
            <w:hideMark/>
          </w:tcPr>
          <w:p w14:paraId="3E6B0763"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Banco</w:t>
            </w:r>
          </w:p>
        </w:tc>
        <w:tc>
          <w:tcPr>
            <w:tcW w:w="4319" w:type="dxa"/>
            <w:gridSpan w:val="7"/>
            <w:tcBorders>
              <w:top w:val="nil"/>
              <w:left w:val="nil"/>
              <w:bottom w:val="single" w:sz="8" w:space="0" w:color="auto"/>
              <w:right w:val="nil"/>
            </w:tcBorders>
            <w:shd w:val="clear" w:color="auto" w:fill="auto"/>
            <w:vAlign w:val="center"/>
            <w:hideMark/>
          </w:tcPr>
          <w:p w14:paraId="2B073569"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Al 31 de diciembre,</w:t>
            </w:r>
          </w:p>
        </w:tc>
        <w:tc>
          <w:tcPr>
            <w:tcW w:w="160" w:type="dxa"/>
            <w:tcBorders>
              <w:top w:val="nil"/>
              <w:left w:val="nil"/>
              <w:bottom w:val="nil"/>
              <w:right w:val="nil"/>
            </w:tcBorders>
            <w:shd w:val="clear" w:color="auto" w:fill="auto"/>
            <w:vAlign w:val="center"/>
            <w:hideMark/>
          </w:tcPr>
          <w:p w14:paraId="4E98CBD2" w14:textId="77777777" w:rsidR="0062499A" w:rsidRPr="00AE4E8D" w:rsidRDefault="0062499A" w:rsidP="0062499A">
            <w:pPr>
              <w:rPr>
                <w:rFonts w:ascii="Times New Roman" w:hAnsi="Times New Roman"/>
                <w:b/>
                <w:bCs/>
                <w:color w:val="000000"/>
                <w:sz w:val="14"/>
                <w:szCs w:val="14"/>
                <w:lang w:val="es-ES" w:eastAsia="es-AR"/>
              </w:rPr>
            </w:pPr>
          </w:p>
        </w:tc>
        <w:tc>
          <w:tcPr>
            <w:tcW w:w="1967" w:type="dxa"/>
            <w:gridSpan w:val="3"/>
            <w:tcBorders>
              <w:top w:val="nil"/>
              <w:left w:val="nil"/>
              <w:bottom w:val="single" w:sz="8" w:space="0" w:color="auto"/>
              <w:right w:val="nil"/>
            </w:tcBorders>
            <w:shd w:val="clear" w:color="auto" w:fill="auto"/>
            <w:vAlign w:val="center"/>
            <w:hideMark/>
          </w:tcPr>
          <w:p w14:paraId="56D0067D" w14:textId="77777777" w:rsidR="0062499A" w:rsidRPr="00AE4E8D" w:rsidRDefault="0062499A" w:rsidP="0062499A">
            <w:pPr>
              <w:jc w:val="center"/>
              <w:rPr>
                <w:rFonts w:ascii="Times New Roman" w:hAnsi="Times New Roman"/>
                <w:b/>
                <w:bCs/>
                <w:color w:val="000000"/>
                <w:sz w:val="14"/>
                <w:szCs w:val="14"/>
                <w:lang w:val="es-ES" w:eastAsia="es-AR"/>
              </w:rPr>
            </w:pPr>
            <w:r w:rsidRPr="00AE4E8D">
              <w:rPr>
                <w:rFonts w:ascii="Times New Roman" w:hAnsi="Times New Roman"/>
                <w:b/>
                <w:bCs/>
                <w:color w:val="000000"/>
                <w:sz w:val="14"/>
                <w:szCs w:val="14"/>
                <w:lang w:val="es-ES" w:eastAsia="es-AR"/>
              </w:rPr>
              <w:t>Al 30 de abril de</w:t>
            </w:r>
          </w:p>
        </w:tc>
      </w:tr>
      <w:tr w:rsidR="003B5193" w:rsidRPr="00AE4E8D" w14:paraId="2CC2B5A7" w14:textId="77777777" w:rsidTr="000400C8">
        <w:trPr>
          <w:trHeight w:val="315"/>
          <w:jc w:val="center"/>
        </w:trPr>
        <w:tc>
          <w:tcPr>
            <w:tcW w:w="708" w:type="dxa"/>
            <w:vMerge/>
            <w:tcBorders>
              <w:top w:val="nil"/>
              <w:left w:val="nil"/>
              <w:bottom w:val="nil"/>
              <w:right w:val="nil"/>
            </w:tcBorders>
            <w:vAlign w:val="center"/>
            <w:hideMark/>
          </w:tcPr>
          <w:p w14:paraId="5D67A04F" w14:textId="77777777" w:rsidR="0062499A" w:rsidRPr="00AE4E8D" w:rsidRDefault="0062499A" w:rsidP="0062499A">
            <w:pPr>
              <w:rPr>
                <w:rFonts w:ascii="Times New Roman" w:hAnsi="Times New Roman"/>
                <w:b/>
                <w:color w:val="000000"/>
                <w:sz w:val="14"/>
                <w:lang w:val="es-ES"/>
              </w:rPr>
            </w:pPr>
          </w:p>
        </w:tc>
        <w:tc>
          <w:tcPr>
            <w:tcW w:w="1777" w:type="dxa"/>
            <w:vMerge/>
            <w:tcBorders>
              <w:top w:val="nil"/>
              <w:left w:val="nil"/>
              <w:bottom w:val="nil"/>
              <w:right w:val="nil"/>
            </w:tcBorders>
            <w:vAlign w:val="center"/>
            <w:hideMark/>
          </w:tcPr>
          <w:p w14:paraId="6B7DDC73" w14:textId="77777777" w:rsidR="0062499A" w:rsidRPr="00AE4E8D" w:rsidRDefault="0062499A" w:rsidP="0062499A">
            <w:pPr>
              <w:rPr>
                <w:rFonts w:ascii="Times New Roman" w:hAnsi="Times New Roman"/>
                <w:b/>
                <w:color w:val="000000"/>
                <w:sz w:val="14"/>
                <w:lang w:val="es-ES"/>
              </w:rPr>
            </w:pPr>
          </w:p>
        </w:tc>
        <w:tc>
          <w:tcPr>
            <w:tcW w:w="2056" w:type="dxa"/>
            <w:gridSpan w:val="3"/>
            <w:tcBorders>
              <w:top w:val="single" w:sz="8" w:space="0" w:color="auto"/>
              <w:left w:val="nil"/>
              <w:bottom w:val="single" w:sz="8" w:space="0" w:color="auto"/>
              <w:right w:val="nil"/>
            </w:tcBorders>
            <w:shd w:val="clear" w:color="auto" w:fill="auto"/>
            <w:vAlign w:val="center"/>
            <w:hideMark/>
          </w:tcPr>
          <w:p w14:paraId="567F1B3E"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2015</w:t>
            </w:r>
          </w:p>
        </w:tc>
        <w:tc>
          <w:tcPr>
            <w:tcW w:w="160" w:type="dxa"/>
            <w:tcBorders>
              <w:top w:val="nil"/>
              <w:left w:val="nil"/>
              <w:bottom w:val="nil"/>
              <w:right w:val="nil"/>
            </w:tcBorders>
            <w:shd w:val="clear" w:color="auto" w:fill="auto"/>
            <w:vAlign w:val="center"/>
            <w:hideMark/>
          </w:tcPr>
          <w:p w14:paraId="6544EFEA" w14:textId="77777777" w:rsidR="0062499A" w:rsidRPr="00AE4E8D" w:rsidRDefault="0062499A" w:rsidP="00241071">
            <w:pPr>
              <w:rPr>
                <w:rFonts w:ascii="Times New Roman" w:hAnsi="Times New Roman"/>
                <w:color w:val="000000"/>
                <w:lang w:val="es-ES"/>
              </w:rPr>
            </w:pPr>
          </w:p>
        </w:tc>
        <w:tc>
          <w:tcPr>
            <w:tcW w:w="2103" w:type="dxa"/>
            <w:gridSpan w:val="3"/>
            <w:tcBorders>
              <w:top w:val="single" w:sz="8" w:space="0" w:color="auto"/>
              <w:left w:val="nil"/>
              <w:bottom w:val="single" w:sz="8" w:space="0" w:color="auto"/>
              <w:right w:val="nil"/>
            </w:tcBorders>
            <w:shd w:val="clear" w:color="auto" w:fill="auto"/>
            <w:vAlign w:val="center"/>
            <w:hideMark/>
          </w:tcPr>
          <w:p w14:paraId="20B4CE69"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color w:val="000000"/>
                <w:sz w:val="14"/>
                <w:lang w:val="es-ES"/>
              </w:rPr>
              <w:t>2016</w:t>
            </w:r>
          </w:p>
        </w:tc>
        <w:tc>
          <w:tcPr>
            <w:tcW w:w="160" w:type="dxa"/>
            <w:tcBorders>
              <w:top w:val="nil"/>
              <w:left w:val="nil"/>
              <w:bottom w:val="nil"/>
              <w:right w:val="nil"/>
            </w:tcBorders>
            <w:shd w:val="clear" w:color="auto" w:fill="auto"/>
            <w:vAlign w:val="center"/>
            <w:hideMark/>
          </w:tcPr>
          <w:p w14:paraId="535F42EC" w14:textId="77777777" w:rsidR="0062499A" w:rsidRPr="00AE4E8D" w:rsidRDefault="0062499A" w:rsidP="00241071">
            <w:pPr>
              <w:rPr>
                <w:rFonts w:ascii="Times New Roman" w:hAnsi="Times New Roman"/>
                <w:color w:val="000000"/>
                <w:lang w:val="es-ES"/>
              </w:rPr>
            </w:pPr>
          </w:p>
        </w:tc>
        <w:tc>
          <w:tcPr>
            <w:tcW w:w="1967" w:type="dxa"/>
            <w:gridSpan w:val="3"/>
            <w:tcBorders>
              <w:top w:val="single" w:sz="8" w:space="0" w:color="auto"/>
              <w:left w:val="nil"/>
              <w:bottom w:val="single" w:sz="8" w:space="0" w:color="auto"/>
              <w:right w:val="nil"/>
            </w:tcBorders>
            <w:shd w:val="clear" w:color="auto" w:fill="auto"/>
            <w:vAlign w:val="center"/>
            <w:hideMark/>
          </w:tcPr>
          <w:p w14:paraId="08973B18"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2017</w:t>
            </w:r>
          </w:p>
        </w:tc>
      </w:tr>
      <w:tr w:rsidR="003B5193" w:rsidRPr="00AE4E8D" w14:paraId="26C4B140" w14:textId="77777777" w:rsidTr="000400C8">
        <w:trPr>
          <w:trHeight w:val="315"/>
          <w:jc w:val="center"/>
        </w:trPr>
        <w:tc>
          <w:tcPr>
            <w:tcW w:w="708" w:type="dxa"/>
            <w:vMerge/>
            <w:tcBorders>
              <w:top w:val="nil"/>
              <w:left w:val="nil"/>
              <w:bottom w:val="nil"/>
              <w:right w:val="nil"/>
            </w:tcBorders>
            <w:vAlign w:val="center"/>
            <w:hideMark/>
          </w:tcPr>
          <w:p w14:paraId="44BF8868" w14:textId="77777777" w:rsidR="0062499A" w:rsidRPr="00AE4E8D" w:rsidRDefault="0062499A" w:rsidP="0062499A">
            <w:pPr>
              <w:rPr>
                <w:rFonts w:ascii="Times New Roman" w:hAnsi="Times New Roman"/>
                <w:b/>
                <w:color w:val="000000"/>
                <w:sz w:val="14"/>
                <w:lang w:val="es-ES"/>
              </w:rPr>
            </w:pPr>
          </w:p>
        </w:tc>
        <w:tc>
          <w:tcPr>
            <w:tcW w:w="1777" w:type="dxa"/>
            <w:vMerge/>
            <w:tcBorders>
              <w:top w:val="nil"/>
              <w:left w:val="nil"/>
              <w:bottom w:val="nil"/>
              <w:right w:val="nil"/>
            </w:tcBorders>
            <w:vAlign w:val="center"/>
            <w:hideMark/>
          </w:tcPr>
          <w:p w14:paraId="02E0D53A" w14:textId="77777777" w:rsidR="0062499A" w:rsidRPr="00AE4E8D" w:rsidRDefault="0062499A" w:rsidP="0062499A">
            <w:pPr>
              <w:rPr>
                <w:rFonts w:ascii="Times New Roman" w:hAnsi="Times New Roman"/>
                <w:b/>
                <w:color w:val="000000"/>
                <w:sz w:val="14"/>
                <w:lang w:val="es-ES"/>
              </w:rPr>
            </w:pPr>
          </w:p>
        </w:tc>
        <w:tc>
          <w:tcPr>
            <w:tcW w:w="875" w:type="dxa"/>
            <w:tcBorders>
              <w:top w:val="nil"/>
              <w:left w:val="nil"/>
              <w:bottom w:val="single" w:sz="8" w:space="0" w:color="auto"/>
              <w:right w:val="nil"/>
            </w:tcBorders>
            <w:shd w:val="clear" w:color="auto" w:fill="auto"/>
            <w:vAlign w:val="center"/>
            <w:hideMark/>
          </w:tcPr>
          <w:p w14:paraId="0660C493"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240" w:type="dxa"/>
            <w:tcBorders>
              <w:top w:val="nil"/>
              <w:left w:val="nil"/>
              <w:bottom w:val="nil"/>
              <w:right w:val="nil"/>
            </w:tcBorders>
            <w:shd w:val="clear" w:color="auto" w:fill="auto"/>
            <w:vAlign w:val="center"/>
            <w:hideMark/>
          </w:tcPr>
          <w:p w14:paraId="4961FF37" w14:textId="77777777" w:rsidR="0062499A" w:rsidRPr="00AE4E8D" w:rsidRDefault="0062499A" w:rsidP="00241071">
            <w:pPr>
              <w:rPr>
                <w:rFonts w:ascii="Times New Roman" w:hAnsi="Times New Roman"/>
                <w:color w:val="000000"/>
                <w:lang w:val="es-ES"/>
              </w:rPr>
            </w:pPr>
          </w:p>
        </w:tc>
        <w:tc>
          <w:tcPr>
            <w:tcW w:w="941" w:type="dxa"/>
            <w:tcBorders>
              <w:top w:val="nil"/>
              <w:left w:val="nil"/>
              <w:bottom w:val="single" w:sz="8" w:space="0" w:color="auto"/>
              <w:right w:val="nil"/>
            </w:tcBorders>
            <w:shd w:val="clear" w:color="auto" w:fill="auto"/>
            <w:vAlign w:val="center"/>
            <w:hideMark/>
          </w:tcPr>
          <w:p w14:paraId="4F88BA36"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160" w:type="dxa"/>
            <w:tcBorders>
              <w:top w:val="nil"/>
              <w:left w:val="nil"/>
              <w:bottom w:val="nil"/>
              <w:right w:val="nil"/>
            </w:tcBorders>
            <w:shd w:val="clear" w:color="auto" w:fill="auto"/>
            <w:vAlign w:val="center"/>
            <w:hideMark/>
          </w:tcPr>
          <w:p w14:paraId="4B5C80FC" w14:textId="77777777" w:rsidR="0062499A" w:rsidRPr="00AE4E8D" w:rsidRDefault="0062499A" w:rsidP="00241071">
            <w:pPr>
              <w:rPr>
                <w:rFonts w:ascii="Times New Roman" w:hAnsi="Times New Roman"/>
                <w:color w:val="000000"/>
                <w:lang w:val="es-ES"/>
              </w:rPr>
            </w:pPr>
          </w:p>
        </w:tc>
        <w:tc>
          <w:tcPr>
            <w:tcW w:w="969" w:type="dxa"/>
            <w:tcBorders>
              <w:top w:val="nil"/>
              <w:left w:val="nil"/>
              <w:bottom w:val="single" w:sz="8" w:space="0" w:color="auto"/>
              <w:right w:val="nil"/>
            </w:tcBorders>
            <w:shd w:val="clear" w:color="auto" w:fill="auto"/>
            <w:vAlign w:val="center"/>
            <w:hideMark/>
          </w:tcPr>
          <w:p w14:paraId="36CD1572"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160" w:type="dxa"/>
            <w:tcBorders>
              <w:top w:val="nil"/>
              <w:left w:val="nil"/>
              <w:bottom w:val="nil"/>
              <w:right w:val="nil"/>
            </w:tcBorders>
            <w:shd w:val="clear" w:color="auto" w:fill="auto"/>
            <w:vAlign w:val="center"/>
            <w:hideMark/>
          </w:tcPr>
          <w:p w14:paraId="74BC7E58" w14:textId="77777777" w:rsidR="0062499A" w:rsidRPr="00AE4E8D" w:rsidRDefault="0062499A" w:rsidP="00241071">
            <w:pPr>
              <w:rPr>
                <w:rFonts w:ascii="Times New Roman" w:hAnsi="Times New Roman"/>
                <w:color w:val="000000"/>
                <w:lang w:val="es-ES"/>
              </w:rPr>
            </w:pPr>
          </w:p>
        </w:tc>
        <w:tc>
          <w:tcPr>
            <w:tcW w:w="974" w:type="dxa"/>
            <w:tcBorders>
              <w:top w:val="nil"/>
              <w:left w:val="nil"/>
              <w:bottom w:val="single" w:sz="8" w:space="0" w:color="auto"/>
              <w:right w:val="nil"/>
            </w:tcBorders>
            <w:shd w:val="clear" w:color="auto" w:fill="auto"/>
            <w:vAlign w:val="center"/>
            <w:hideMark/>
          </w:tcPr>
          <w:p w14:paraId="7E47DE31"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160" w:type="dxa"/>
            <w:tcBorders>
              <w:top w:val="nil"/>
              <w:left w:val="nil"/>
              <w:bottom w:val="nil"/>
              <w:right w:val="nil"/>
            </w:tcBorders>
            <w:shd w:val="clear" w:color="auto" w:fill="auto"/>
            <w:vAlign w:val="center"/>
            <w:hideMark/>
          </w:tcPr>
          <w:p w14:paraId="2623F11E" w14:textId="77777777" w:rsidR="0062499A" w:rsidRPr="00AE4E8D" w:rsidRDefault="0062499A" w:rsidP="00241071">
            <w:pPr>
              <w:rPr>
                <w:rFonts w:ascii="Times New Roman" w:hAnsi="Times New Roman"/>
                <w:color w:val="000000"/>
                <w:lang w:val="es-ES"/>
              </w:rPr>
            </w:pPr>
          </w:p>
        </w:tc>
        <w:tc>
          <w:tcPr>
            <w:tcW w:w="875" w:type="dxa"/>
            <w:tcBorders>
              <w:top w:val="nil"/>
              <w:left w:val="nil"/>
              <w:bottom w:val="single" w:sz="8" w:space="0" w:color="auto"/>
              <w:right w:val="nil"/>
            </w:tcBorders>
            <w:shd w:val="clear" w:color="auto" w:fill="auto"/>
            <w:vAlign w:val="center"/>
            <w:hideMark/>
          </w:tcPr>
          <w:p w14:paraId="4BE5D45B"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160" w:type="dxa"/>
            <w:tcBorders>
              <w:top w:val="nil"/>
              <w:left w:val="nil"/>
              <w:bottom w:val="nil"/>
              <w:right w:val="nil"/>
            </w:tcBorders>
            <w:shd w:val="clear" w:color="auto" w:fill="auto"/>
            <w:vAlign w:val="center"/>
            <w:hideMark/>
          </w:tcPr>
          <w:p w14:paraId="4B107356" w14:textId="77777777" w:rsidR="0062499A" w:rsidRPr="00AE4E8D" w:rsidRDefault="0062499A" w:rsidP="00241071">
            <w:pPr>
              <w:rPr>
                <w:rFonts w:ascii="Times New Roman" w:hAnsi="Times New Roman"/>
                <w:color w:val="000000"/>
                <w:lang w:val="es-ES"/>
              </w:rPr>
            </w:pPr>
          </w:p>
        </w:tc>
        <w:tc>
          <w:tcPr>
            <w:tcW w:w="932" w:type="dxa"/>
            <w:tcBorders>
              <w:top w:val="nil"/>
              <w:left w:val="nil"/>
              <w:bottom w:val="single" w:sz="8" w:space="0" w:color="auto"/>
              <w:right w:val="nil"/>
            </w:tcBorders>
            <w:shd w:val="clear" w:color="auto" w:fill="auto"/>
            <w:vAlign w:val="center"/>
            <w:hideMark/>
          </w:tcPr>
          <w:p w14:paraId="512580A2"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r>
      <w:tr w:rsidR="0062499A" w:rsidRPr="00AE4E8D" w14:paraId="22FCA2D4" w14:textId="77777777" w:rsidTr="000400C8">
        <w:trPr>
          <w:trHeight w:val="300"/>
          <w:jc w:val="center"/>
        </w:trPr>
        <w:tc>
          <w:tcPr>
            <w:tcW w:w="708" w:type="dxa"/>
            <w:tcBorders>
              <w:top w:val="nil"/>
              <w:left w:val="nil"/>
              <w:bottom w:val="nil"/>
              <w:right w:val="nil"/>
            </w:tcBorders>
            <w:shd w:val="clear" w:color="auto" w:fill="auto"/>
            <w:noWrap/>
            <w:vAlign w:val="bottom"/>
            <w:hideMark/>
          </w:tcPr>
          <w:p w14:paraId="62D0BB64" w14:textId="77777777" w:rsidR="0062499A" w:rsidRPr="00AE4E8D" w:rsidRDefault="0062499A" w:rsidP="0062499A">
            <w:pPr>
              <w:rPr>
                <w:rFonts w:ascii="Times New Roman" w:hAnsi="Times New Roman"/>
                <w:color w:val="000000"/>
                <w:lang w:val="es-ES"/>
              </w:rPr>
            </w:pPr>
          </w:p>
        </w:tc>
        <w:tc>
          <w:tcPr>
            <w:tcW w:w="1777" w:type="dxa"/>
            <w:tcBorders>
              <w:top w:val="nil"/>
              <w:left w:val="nil"/>
              <w:bottom w:val="nil"/>
              <w:right w:val="nil"/>
            </w:tcBorders>
            <w:shd w:val="clear" w:color="auto" w:fill="auto"/>
            <w:vAlign w:val="bottom"/>
            <w:hideMark/>
          </w:tcPr>
          <w:p w14:paraId="7CB1CEAE" w14:textId="77777777" w:rsidR="0062499A" w:rsidRPr="00AE4E8D" w:rsidRDefault="0062499A" w:rsidP="00241071">
            <w:pPr>
              <w:rPr>
                <w:rFonts w:ascii="Times New Roman" w:hAnsi="Times New Roman"/>
                <w:color w:val="000000"/>
                <w:lang w:val="es-ES"/>
              </w:rPr>
            </w:pPr>
          </w:p>
        </w:tc>
        <w:tc>
          <w:tcPr>
            <w:tcW w:w="6446" w:type="dxa"/>
            <w:gridSpan w:val="11"/>
            <w:tcBorders>
              <w:top w:val="nil"/>
              <w:left w:val="nil"/>
              <w:bottom w:val="nil"/>
              <w:right w:val="nil"/>
            </w:tcBorders>
            <w:shd w:val="clear" w:color="auto" w:fill="auto"/>
            <w:vAlign w:val="center"/>
            <w:hideMark/>
          </w:tcPr>
          <w:p w14:paraId="4C52E3DE"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(en millones de Ps., excepto porcentajes)</w:t>
            </w:r>
          </w:p>
        </w:tc>
      </w:tr>
      <w:tr w:rsidR="003B5193" w:rsidRPr="00AE4E8D" w14:paraId="03C2E8CB" w14:textId="77777777" w:rsidTr="000400C8">
        <w:trPr>
          <w:trHeight w:val="300"/>
          <w:jc w:val="center"/>
        </w:trPr>
        <w:tc>
          <w:tcPr>
            <w:tcW w:w="708" w:type="dxa"/>
            <w:tcBorders>
              <w:top w:val="nil"/>
              <w:left w:val="nil"/>
              <w:bottom w:val="nil"/>
              <w:right w:val="nil"/>
            </w:tcBorders>
            <w:shd w:val="clear" w:color="auto" w:fill="auto"/>
            <w:vAlign w:val="center"/>
            <w:hideMark/>
          </w:tcPr>
          <w:p w14:paraId="50FF571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w:t>
            </w:r>
          </w:p>
        </w:tc>
        <w:tc>
          <w:tcPr>
            <w:tcW w:w="1777" w:type="dxa"/>
            <w:tcBorders>
              <w:top w:val="nil"/>
              <w:left w:val="nil"/>
              <w:bottom w:val="nil"/>
              <w:right w:val="nil"/>
            </w:tcBorders>
            <w:shd w:val="clear" w:color="auto" w:fill="auto"/>
            <w:vAlign w:val="center"/>
            <w:hideMark/>
          </w:tcPr>
          <w:p w14:paraId="6EBBD58E"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FD3A3F" w:rsidRPr="00AE4E8D">
              <w:rPr>
                <w:rFonts w:ascii="Times New Roman" w:hAnsi="Times New Roman"/>
                <w:color w:val="000000"/>
                <w:sz w:val="14"/>
                <w:szCs w:val="14"/>
                <w:lang w:val="es-ES" w:eastAsia="es-AR"/>
              </w:rPr>
              <w:t xml:space="preserve">de la </w:t>
            </w:r>
            <w:r w:rsidRPr="00AE4E8D">
              <w:rPr>
                <w:rFonts w:ascii="Times New Roman" w:hAnsi="Times New Roman"/>
                <w:color w:val="000000"/>
                <w:sz w:val="14"/>
                <w:szCs w:val="14"/>
                <w:lang w:val="es-ES" w:eastAsia="es-AR"/>
              </w:rPr>
              <w:t>Nación</w:t>
            </w:r>
            <w:r w:rsidR="00FD3A3F" w:rsidRPr="00AE4E8D">
              <w:rPr>
                <w:rFonts w:ascii="Times New Roman" w:hAnsi="Times New Roman"/>
                <w:color w:val="000000"/>
                <w:sz w:val="14"/>
                <w:szCs w:val="14"/>
                <w:lang w:val="es-ES" w:eastAsia="es-AR"/>
              </w:rPr>
              <w:t xml:space="preserve"> Argentina</w:t>
            </w:r>
          </w:p>
        </w:tc>
        <w:tc>
          <w:tcPr>
            <w:tcW w:w="875" w:type="dxa"/>
            <w:tcBorders>
              <w:top w:val="nil"/>
              <w:left w:val="nil"/>
              <w:bottom w:val="nil"/>
              <w:right w:val="nil"/>
            </w:tcBorders>
            <w:shd w:val="clear" w:color="auto" w:fill="auto"/>
            <w:noWrap/>
            <w:vAlign w:val="center"/>
            <w:hideMark/>
          </w:tcPr>
          <w:p w14:paraId="36FC932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470.493,10</w:t>
            </w:r>
          </w:p>
        </w:tc>
        <w:tc>
          <w:tcPr>
            <w:tcW w:w="240" w:type="dxa"/>
            <w:tcBorders>
              <w:top w:val="nil"/>
              <w:left w:val="nil"/>
              <w:bottom w:val="nil"/>
              <w:right w:val="nil"/>
            </w:tcBorders>
            <w:shd w:val="clear" w:color="auto" w:fill="auto"/>
            <w:noWrap/>
            <w:vAlign w:val="bottom"/>
            <w:hideMark/>
          </w:tcPr>
          <w:p w14:paraId="12A56495"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6E106AD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25,49%</w:t>
            </w:r>
          </w:p>
        </w:tc>
        <w:tc>
          <w:tcPr>
            <w:tcW w:w="160" w:type="dxa"/>
            <w:tcBorders>
              <w:top w:val="nil"/>
              <w:left w:val="nil"/>
              <w:bottom w:val="nil"/>
              <w:right w:val="nil"/>
            </w:tcBorders>
            <w:shd w:val="clear" w:color="auto" w:fill="auto"/>
            <w:vAlign w:val="bottom"/>
            <w:hideMark/>
          </w:tcPr>
          <w:p w14:paraId="06DEA0BB"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25C8E07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729.479,30</w:t>
            </w:r>
          </w:p>
        </w:tc>
        <w:tc>
          <w:tcPr>
            <w:tcW w:w="160" w:type="dxa"/>
            <w:tcBorders>
              <w:top w:val="nil"/>
              <w:left w:val="nil"/>
              <w:bottom w:val="nil"/>
              <w:right w:val="nil"/>
            </w:tcBorders>
            <w:shd w:val="clear" w:color="auto" w:fill="auto"/>
            <w:noWrap/>
            <w:vAlign w:val="bottom"/>
            <w:hideMark/>
          </w:tcPr>
          <w:p w14:paraId="265796A9"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093BA70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27,57%</w:t>
            </w:r>
          </w:p>
        </w:tc>
        <w:tc>
          <w:tcPr>
            <w:tcW w:w="160" w:type="dxa"/>
            <w:tcBorders>
              <w:top w:val="nil"/>
              <w:left w:val="nil"/>
              <w:bottom w:val="nil"/>
              <w:right w:val="nil"/>
            </w:tcBorders>
            <w:shd w:val="clear" w:color="auto" w:fill="auto"/>
            <w:vAlign w:val="bottom"/>
            <w:hideMark/>
          </w:tcPr>
          <w:p w14:paraId="5083F5B6"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7176211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678.160,90</w:t>
            </w:r>
          </w:p>
        </w:tc>
        <w:tc>
          <w:tcPr>
            <w:tcW w:w="160" w:type="dxa"/>
            <w:tcBorders>
              <w:top w:val="nil"/>
              <w:left w:val="nil"/>
              <w:bottom w:val="nil"/>
              <w:right w:val="nil"/>
            </w:tcBorders>
            <w:shd w:val="clear" w:color="auto" w:fill="auto"/>
            <w:noWrap/>
            <w:vAlign w:val="bottom"/>
            <w:hideMark/>
          </w:tcPr>
          <w:p w14:paraId="5BE0E86A"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5E41220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23,43</w:t>
            </w:r>
            <w:r w:rsidRPr="00AE4E8D">
              <w:rPr>
                <w:rFonts w:ascii="Times New Roman" w:hAnsi="Times New Roman"/>
                <w:color w:val="000000"/>
                <w:sz w:val="14"/>
                <w:lang w:val="es-ES"/>
              </w:rPr>
              <w:t>%</w:t>
            </w:r>
          </w:p>
        </w:tc>
      </w:tr>
      <w:tr w:rsidR="003B5193" w:rsidRPr="00AE4E8D" w14:paraId="4A25369E" w14:textId="77777777" w:rsidTr="000400C8">
        <w:trPr>
          <w:trHeight w:val="360"/>
          <w:jc w:val="center"/>
        </w:trPr>
        <w:tc>
          <w:tcPr>
            <w:tcW w:w="708" w:type="dxa"/>
            <w:tcBorders>
              <w:top w:val="nil"/>
              <w:left w:val="nil"/>
              <w:bottom w:val="nil"/>
              <w:right w:val="nil"/>
            </w:tcBorders>
            <w:shd w:val="clear" w:color="auto" w:fill="auto"/>
            <w:vAlign w:val="center"/>
            <w:hideMark/>
          </w:tcPr>
          <w:p w14:paraId="67697874"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2</w:t>
            </w:r>
          </w:p>
        </w:tc>
        <w:tc>
          <w:tcPr>
            <w:tcW w:w="1777" w:type="dxa"/>
            <w:tcBorders>
              <w:top w:val="nil"/>
              <w:left w:val="nil"/>
              <w:bottom w:val="nil"/>
              <w:right w:val="nil"/>
            </w:tcBorders>
            <w:shd w:val="clear" w:color="auto" w:fill="auto"/>
            <w:vAlign w:val="center"/>
            <w:hideMark/>
          </w:tcPr>
          <w:p w14:paraId="543EE9A2"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la </w:t>
            </w:r>
            <w:r w:rsidR="0062499A" w:rsidRPr="00AE4E8D">
              <w:rPr>
                <w:rFonts w:ascii="Times New Roman" w:hAnsi="Times New Roman"/>
                <w:color w:val="000000"/>
                <w:sz w:val="14"/>
                <w:szCs w:val="14"/>
                <w:lang w:val="es-ES" w:eastAsia="es-AR"/>
              </w:rPr>
              <w:t>Provincia de Buenos Aires</w:t>
            </w:r>
          </w:p>
        </w:tc>
        <w:tc>
          <w:tcPr>
            <w:tcW w:w="875" w:type="dxa"/>
            <w:tcBorders>
              <w:top w:val="nil"/>
              <w:left w:val="nil"/>
              <w:bottom w:val="nil"/>
              <w:right w:val="nil"/>
            </w:tcBorders>
            <w:shd w:val="clear" w:color="auto" w:fill="auto"/>
            <w:noWrap/>
            <w:vAlign w:val="center"/>
            <w:hideMark/>
          </w:tcPr>
          <w:p w14:paraId="0C95D07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137.016,00</w:t>
            </w:r>
          </w:p>
        </w:tc>
        <w:tc>
          <w:tcPr>
            <w:tcW w:w="240" w:type="dxa"/>
            <w:tcBorders>
              <w:top w:val="nil"/>
              <w:left w:val="nil"/>
              <w:bottom w:val="nil"/>
              <w:right w:val="nil"/>
            </w:tcBorders>
            <w:shd w:val="clear" w:color="auto" w:fill="auto"/>
            <w:noWrap/>
            <w:vAlign w:val="bottom"/>
            <w:hideMark/>
          </w:tcPr>
          <w:p w14:paraId="6A6BD659"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460B021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7,42%</w:t>
            </w:r>
          </w:p>
        </w:tc>
        <w:tc>
          <w:tcPr>
            <w:tcW w:w="160" w:type="dxa"/>
            <w:tcBorders>
              <w:top w:val="nil"/>
              <w:left w:val="nil"/>
              <w:bottom w:val="nil"/>
              <w:right w:val="nil"/>
            </w:tcBorders>
            <w:shd w:val="clear" w:color="auto" w:fill="auto"/>
            <w:vAlign w:val="bottom"/>
            <w:hideMark/>
          </w:tcPr>
          <w:p w14:paraId="2F5C7D42"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0A3E105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207.098,10</w:t>
            </w:r>
          </w:p>
        </w:tc>
        <w:tc>
          <w:tcPr>
            <w:tcW w:w="160" w:type="dxa"/>
            <w:tcBorders>
              <w:top w:val="nil"/>
              <w:left w:val="nil"/>
              <w:bottom w:val="nil"/>
              <w:right w:val="nil"/>
            </w:tcBorders>
            <w:shd w:val="clear" w:color="auto" w:fill="auto"/>
            <w:noWrap/>
            <w:vAlign w:val="bottom"/>
            <w:hideMark/>
          </w:tcPr>
          <w:p w14:paraId="0A059866"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13B43CC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7,83%</w:t>
            </w:r>
          </w:p>
        </w:tc>
        <w:tc>
          <w:tcPr>
            <w:tcW w:w="160" w:type="dxa"/>
            <w:tcBorders>
              <w:top w:val="nil"/>
              <w:left w:val="nil"/>
              <w:bottom w:val="nil"/>
              <w:right w:val="nil"/>
            </w:tcBorders>
            <w:shd w:val="clear" w:color="auto" w:fill="auto"/>
            <w:vAlign w:val="bottom"/>
            <w:hideMark/>
          </w:tcPr>
          <w:p w14:paraId="048C48DB"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14D3B3A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267.285,30</w:t>
            </w:r>
          </w:p>
        </w:tc>
        <w:tc>
          <w:tcPr>
            <w:tcW w:w="160" w:type="dxa"/>
            <w:tcBorders>
              <w:top w:val="nil"/>
              <w:left w:val="nil"/>
              <w:bottom w:val="nil"/>
              <w:right w:val="nil"/>
            </w:tcBorders>
            <w:shd w:val="clear" w:color="auto" w:fill="auto"/>
            <w:noWrap/>
            <w:vAlign w:val="bottom"/>
            <w:hideMark/>
          </w:tcPr>
          <w:p w14:paraId="189EF890"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25B2745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9,24</w:t>
            </w:r>
            <w:r w:rsidRPr="00AE4E8D">
              <w:rPr>
                <w:rFonts w:ascii="Times New Roman" w:hAnsi="Times New Roman"/>
                <w:color w:val="000000"/>
                <w:sz w:val="14"/>
                <w:lang w:val="es-ES"/>
              </w:rPr>
              <w:t>%</w:t>
            </w:r>
          </w:p>
        </w:tc>
      </w:tr>
      <w:tr w:rsidR="003B5193" w:rsidRPr="00AE4E8D" w14:paraId="6CF399F2" w14:textId="77777777" w:rsidTr="000400C8">
        <w:trPr>
          <w:trHeight w:val="300"/>
          <w:jc w:val="center"/>
        </w:trPr>
        <w:tc>
          <w:tcPr>
            <w:tcW w:w="708" w:type="dxa"/>
            <w:tcBorders>
              <w:top w:val="nil"/>
              <w:left w:val="nil"/>
              <w:bottom w:val="nil"/>
              <w:right w:val="nil"/>
            </w:tcBorders>
            <w:shd w:val="clear" w:color="auto" w:fill="auto"/>
            <w:vAlign w:val="center"/>
            <w:hideMark/>
          </w:tcPr>
          <w:p w14:paraId="10AD3A8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3</w:t>
            </w:r>
          </w:p>
        </w:tc>
        <w:tc>
          <w:tcPr>
            <w:tcW w:w="1777" w:type="dxa"/>
            <w:tcBorders>
              <w:top w:val="nil"/>
              <w:left w:val="nil"/>
              <w:bottom w:val="nil"/>
              <w:right w:val="nil"/>
            </w:tcBorders>
            <w:shd w:val="clear" w:color="auto" w:fill="auto"/>
            <w:vAlign w:val="center"/>
            <w:hideMark/>
          </w:tcPr>
          <w:p w14:paraId="60AAC21A" w14:textId="77777777" w:rsidR="0062499A" w:rsidRPr="00AE4E8D" w:rsidRDefault="00713D68" w:rsidP="0062499A">
            <w:pPr>
              <w:jc w:val="both"/>
              <w:rPr>
                <w:rFonts w:ascii="Times New Roman" w:hAnsi="Times New Roman"/>
                <w:color w:val="000000"/>
                <w:sz w:val="14"/>
                <w:lang w:val="es-ES"/>
              </w:rPr>
            </w:pPr>
            <w:r w:rsidRPr="00AE4E8D">
              <w:rPr>
                <w:rFonts w:ascii="Times New Roman" w:hAnsi="Times New Roman"/>
                <w:color w:val="000000"/>
                <w:sz w:val="14"/>
                <w:szCs w:val="14"/>
                <w:lang w:eastAsia="es-AR"/>
              </w:rPr>
              <w:t>Banco Santander Rio S.A</w:t>
            </w:r>
          </w:p>
        </w:tc>
        <w:tc>
          <w:tcPr>
            <w:tcW w:w="875" w:type="dxa"/>
            <w:tcBorders>
              <w:top w:val="nil"/>
              <w:left w:val="nil"/>
              <w:bottom w:val="nil"/>
              <w:right w:val="nil"/>
            </w:tcBorders>
            <w:shd w:val="clear" w:color="auto" w:fill="auto"/>
            <w:noWrap/>
            <w:vAlign w:val="center"/>
            <w:hideMark/>
          </w:tcPr>
          <w:p w14:paraId="11E54BB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152.996,10</w:t>
            </w:r>
          </w:p>
        </w:tc>
        <w:tc>
          <w:tcPr>
            <w:tcW w:w="240" w:type="dxa"/>
            <w:tcBorders>
              <w:top w:val="nil"/>
              <w:left w:val="nil"/>
              <w:bottom w:val="nil"/>
              <w:right w:val="nil"/>
            </w:tcBorders>
            <w:shd w:val="clear" w:color="auto" w:fill="auto"/>
            <w:noWrap/>
            <w:vAlign w:val="bottom"/>
            <w:hideMark/>
          </w:tcPr>
          <w:p w14:paraId="24969761"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403A2D4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8,29%</w:t>
            </w:r>
          </w:p>
        </w:tc>
        <w:tc>
          <w:tcPr>
            <w:tcW w:w="160" w:type="dxa"/>
            <w:tcBorders>
              <w:top w:val="nil"/>
              <w:left w:val="nil"/>
              <w:bottom w:val="nil"/>
              <w:right w:val="nil"/>
            </w:tcBorders>
            <w:shd w:val="clear" w:color="auto" w:fill="auto"/>
            <w:vAlign w:val="bottom"/>
            <w:hideMark/>
          </w:tcPr>
          <w:p w14:paraId="12E873E9"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7AB3671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211.211,80</w:t>
            </w:r>
          </w:p>
        </w:tc>
        <w:tc>
          <w:tcPr>
            <w:tcW w:w="160" w:type="dxa"/>
            <w:tcBorders>
              <w:top w:val="nil"/>
              <w:left w:val="nil"/>
              <w:bottom w:val="nil"/>
              <w:right w:val="nil"/>
            </w:tcBorders>
            <w:shd w:val="clear" w:color="auto" w:fill="auto"/>
            <w:noWrap/>
            <w:vAlign w:val="bottom"/>
            <w:hideMark/>
          </w:tcPr>
          <w:p w14:paraId="4F85E492"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5E9E965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7,98%</w:t>
            </w:r>
          </w:p>
        </w:tc>
        <w:tc>
          <w:tcPr>
            <w:tcW w:w="160" w:type="dxa"/>
            <w:tcBorders>
              <w:top w:val="nil"/>
              <w:left w:val="nil"/>
              <w:bottom w:val="nil"/>
              <w:right w:val="nil"/>
            </w:tcBorders>
            <w:shd w:val="clear" w:color="auto" w:fill="auto"/>
            <w:vAlign w:val="bottom"/>
            <w:hideMark/>
          </w:tcPr>
          <w:p w14:paraId="04FB927B"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422F359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252.457,10</w:t>
            </w:r>
          </w:p>
        </w:tc>
        <w:tc>
          <w:tcPr>
            <w:tcW w:w="160" w:type="dxa"/>
            <w:tcBorders>
              <w:top w:val="nil"/>
              <w:left w:val="nil"/>
              <w:bottom w:val="nil"/>
              <w:right w:val="nil"/>
            </w:tcBorders>
            <w:shd w:val="clear" w:color="auto" w:fill="auto"/>
            <w:noWrap/>
            <w:vAlign w:val="bottom"/>
            <w:hideMark/>
          </w:tcPr>
          <w:p w14:paraId="28282246"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26B79C4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8,72</w:t>
            </w:r>
            <w:r w:rsidRPr="00AE4E8D">
              <w:rPr>
                <w:rFonts w:ascii="Times New Roman" w:hAnsi="Times New Roman"/>
                <w:color w:val="000000"/>
                <w:sz w:val="14"/>
                <w:lang w:val="es-ES"/>
              </w:rPr>
              <w:t>%</w:t>
            </w:r>
          </w:p>
        </w:tc>
      </w:tr>
      <w:tr w:rsidR="003B5193" w:rsidRPr="00AE4E8D" w14:paraId="60336C2E" w14:textId="77777777" w:rsidTr="000400C8">
        <w:trPr>
          <w:trHeight w:val="300"/>
          <w:jc w:val="center"/>
        </w:trPr>
        <w:tc>
          <w:tcPr>
            <w:tcW w:w="708" w:type="dxa"/>
            <w:tcBorders>
              <w:top w:val="nil"/>
              <w:left w:val="nil"/>
              <w:bottom w:val="nil"/>
              <w:right w:val="nil"/>
            </w:tcBorders>
            <w:shd w:val="clear" w:color="auto" w:fill="auto"/>
            <w:vAlign w:val="center"/>
            <w:hideMark/>
          </w:tcPr>
          <w:p w14:paraId="5865DBAA"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4</w:t>
            </w:r>
          </w:p>
        </w:tc>
        <w:tc>
          <w:tcPr>
            <w:tcW w:w="1777" w:type="dxa"/>
            <w:tcBorders>
              <w:top w:val="nil"/>
              <w:left w:val="nil"/>
              <w:bottom w:val="nil"/>
              <w:right w:val="nil"/>
            </w:tcBorders>
            <w:shd w:val="clear" w:color="auto" w:fill="auto"/>
            <w:vAlign w:val="center"/>
            <w:hideMark/>
          </w:tcPr>
          <w:p w14:paraId="56A8E13F"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w:t>
            </w:r>
            <w:r w:rsidR="0062499A" w:rsidRPr="00AE4E8D">
              <w:rPr>
                <w:rFonts w:ascii="Times New Roman" w:hAnsi="Times New Roman"/>
                <w:color w:val="000000"/>
                <w:sz w:val="14"/>
                <w:szCs w:val="14"/>
                <w:lang w:val="es-ES" w:eastAsia="es-AR"/>
              </w:rPr>
              <w:t>Galicia</w:t>
            </w:r>
            <w:r w:rsidRPr="00AE4E8D">
              <w:rPr>
                <w:rFonts w:ascii="Times New Roman" w:hAnsi="Times New Roman"/>
                <w:color w:val="000000"/>
                <w:sz w:val="14"/>
                <w:szCs w:val="14"/>
                <w:lang w:val="es-ES" w:eastAsia="es-AR"/>
              </w:rPr>
              <w:t xml:space="preserve"> y Buenos Aires</w:t>
            </w:r>
            <w:r w:rsidR="00713D68" w:rsidRPr="00AE4E8D">
              <w:rPr>
                <w:rFonts w:ascii="Times New Roman" w:hAnsi="Times New Roman"/>
                <w:color w:val="000000"/>
                <w:sz w:val="14"/>
                <w:szCs w:val="14"/>
                <w:lang w:val="es-ES" w:eastAsia="es-AR"/>
              </w:rPr>
              <w:t xml:space="preserve"> S.A.</w:t>
            </w:r>
          </w:p>
        </w:tc>
        <w:tc>
          <w:tcPr>
            <w:tcW w:w="875" w:type="dxa"/>
            <w:tcBorders>
              <w:top w:val="nil"/>
              <w:left w:val="nil"/>
              <w:bottom w:val="nil"/>
              <w:right w:val="nil"/>
            </w:tcBorders>
            <w:shd w:val="clear" w:color="auto" w:fill="auto"/>
            <w:noWrap/>
            <w:vAlign w:val="center"/>
            <w:hideMark/>
          </w:tcPr>
          <w:p w14:paraId="27D61B9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138.712,10</w:t>
            </w:r>
          </w:p>
        </w:tc>
        <w:tc>
          <w:tcPr>
            <w:tcW w:w="240" w:type="dxa"/>
            <w:tcBorders>
              <w:top w:val="nil"/>
              <w:left w:val="nil"/>
              <w:bottom w:val="nil"/>
              <w:right w:val="nil"/>
            </w:tcBorders>
            <w:shd w:val="clear" w:color="auto" w:fill="auto"/>
            <w:noWrap/>
            <w:vAlign w:val="bottom"/>
            <w:hideMark/>
          </w:tcPr>
          <w:p w14:paraId="5BECF9F8"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2D3E8CF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7,51%</w:t>
            </w:r>
          </w:p>
        </w:tc>
        <w:tc>
          <w:tcPr>
            <w:tcW w:w="160" w:type="dxa"/>
            <w:tcBorders>
              <w:top w:val="nil"/>
              <w:left w:val="nil"/>
              <w:bottom w:val="nil"/>
              <w:right w:val="nil"/>
            </w:tcBorders>
            <w:shd w:val="clear" w:color="auto" w:fill="auto"/>
            <w:vAlign w:val="bottom"/>
            <w:hideMark/>
          </w:tcPr>
          <w:p w14:paraId="53B1B7F7"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63EB645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209.306,30</w:t>
            </w:r>
          </w:p>
        </w:tc>
        <w:tc>
          <w:tcPr>
            <w:tcW w:w="160" w:type="dxa"/>
            <w:tcBorders>
              <w:top w:val="nil"/>
              <w:left w:val="nil"/>
              <w:bottom w:val="nil"/>
              <w:right w:val="nil"/>
            </w:tcBorders>
            <w:shd w:val="clear" w:color="auto" w:fill="auto"/>
            <w:noWrap/>
            <w:vAlign w:val="bottom"/>
            <w:hideMark/>
          </w:tcPr>
          <w:p w14:paraId="5874F668"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1A1DD25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7,91%</w:t>
            </w:r>
          </w:p>
        </w:tc>
        <w:tc>
          <w:tcPr>
            <w:tcW w:w="160" w:type="dxa"/>
            <w:tcBorders>
              <w:top w:val="nil"/>
              <w:left w:val="nil"/>
              <w:bottom w:val="nil"/>
              <w:right w:val="nil"/>
            </w:tcBorders>
            <w:shd w:val="clear" w:color="auto" w:fill="auto"/>
            <w:vAlign w:val="bottom"/>
            <w:hideMark/>
          </w:tcPr>
          <w:p w14:paraId="051B364A"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7FFE70D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225.558,00</w:t>
            </w:r>
          </w:p>
        </w:tc>
        <w:tc>
          <w:tcPr>
            <w:tcW w:w="160" w:type="dxa"/>
            <w:tcBorders>
              <w:top w:val="nil"/>
              <w:left w:val="nil"/>
              <w:bottom w:val="nil"/>
              <w:right w:val="nil"/>
            </w:tcBorders>
            <w:shd w:val="clear" w:color="auto" w:fill="auto"/>
            <w:noWrap/>
            <w:vAlign w:val="bottom"/>
            <w:hideMark/>
          </w:tcPr>
          <w:p w14:paraId="5F3B347A"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7D5926D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7,</w:t>
            </w:r>
            <w:r w:rsidRPr="00AE4E8D">
              <w:rPr>
                <w:rFonts w:ascii="Times New Roman" w:hAnsi="Times New Roman"/>
                <w:color w:val="000000"/>
                <w:sz w:val="14"/>
                <w:szCs w:val="14"/>
                <w:lang w:val="es-ES" w:eastAsia="es-AR"/>
              </w:rPr>
              <w:t>79</w:t>
            </w:r>
            <w:r w:rsidRPr="00AE4E8D">
              <w:rPr>
                <w:rFonts w:ascii="Times New Roman" w:hAnsi="Times New Roman"/>
                <w:color w:val="000000"/>
                <w:sz w:val="14"/>
                <w:lang w:val="es-ES"/>
              </w:rPr>
              <w:t>%</w:t>
            </w:r>
          </w:p>
        </w:tc>
      </w:tr>
      <w:tr w:rsidR="003B5193" w:rsidRPr="00AE4E8D" w14:paraId="548731CB" w14:textId="77777777" w:rsidTr="000400C8">
        <w:trPr>
          <w:trHeight w:val="300"/>
          <w:jc w:val="center"/>
        </w:trPr>
        <w:tc>
          <w:tcPr>
            <w:tcW w:w="708" w:type="dxa"/>
            <w:tcBorders>
              <w:top w:val="nil"/>
              <w:left w:val="nil"/>
              <w:bottom w:val="nil"/>
              <w:right w:val="nil"/>
            </w:tcBorders>
            <w:shd w:val="clear" w:color="auto" w:fill="auto"/>
            <w:vAlign w:val="center"/>
            <w:hideMark/>
          </w:tcPr>
          <w:p w14:paraId="2FCA008C"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5</w:t>
            </w:r>
          </w:p>
        </w:tc>
        <w:tc>
          <w:tcPr>
            <w:tcW w:w="1777" w:type="dxa"/>
            <w:tcBorders>
              <w:top w:val="nil"/>
              <w:left w:val="nil"/>
              <w:bottom w:val="nil"/>
              <w:right w:val="nil"/>
            </w:tcBorders>
            <w:shd w:val="clear" w:color="auto" w:fill="auto"/>
            <w:vAlign w:val="center"/>
            <w:hideMark/>
          </w:tcPr>
          <w:p w14:paraId="7383BA8C"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BBVA </w:t>
            </w:r>
            <w:r w:rsidR="00713D68" w:rsidRPr="00AE4E8D">
              <w:rPr>
                <w:rFonts w:ascii="Times New Roman" w:hAnsi="Times New Roman"/>
                <w:color w:val="000000"/>
                <w:sz w:val="14"/>
                <w:szCs w:val="14"/>
                <w:lang w:eastAsia="es-AR"/>
              </w:rPr>
              <w:t>Banco Francés S.A.</w:t>
            </w:r>
          </w:p>
        </w:tc>
        <w:tc>
          <w:tcPr>
            <w:tcW w:w="875" w:type="dxa"/>
            <w:tcBorders>
              <w:top w:val="nil"/>
              <w:left w:val="nil"/>
              <w:bottom w:val="nil"/>
              <w:right w:val="nil"/>
            </w:tcBorders>
            <w:shd w:val="clear" w:color="auto" w:fill="auto"/>
            <w:noWrap/>
            <w:vAlign w:val="center"/>
            <w:hideMark/>
          </w:tcPr>
          <w:p w14:paraId="1F9875D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109.366,00</w:t>
            </w:r>
          </w:p>
        </w:tc>
        <w:tc>
          <w:tcPr>
            <w:tcW w:w="240" w:type="dxa"/>
            <w:tcBorders>
              <w:top w:val="nil"/>
              <w:left w:val="nil"/>
              <w:bottom w:val="nil"/>
              <w:right w:val="nil"/>
            </w:tcBorders>
            <w:shd w:val="clear" w:color="auto" w:fill="auto"/>
            <w:noWrap/>
            <w:vAlign w:val="bottom"/>
            <w:hideMark/>
          </w:tcPr>
          <w:p w14:paraId="36ED58A7"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4A6EC43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5,92%</w:t>
            </w:r>
          </w:p>
        </w:tc>
        <w:tc>
          <w:tcPr>
            <w:tcW w:w="160" w:type="dxa"/>
            <w:tcBorders>
              <w:top w:val="nil"/>
              <w:left w:val="nil"/>
              <w:bottom w:val="nil"/>
              <w:right w:val="nil"/>
            </w:tcBorders>
            <w:shd w:val="clear" w:color="auto" w:fill="auto"/>
            <w:vAlign w:val="bottom"/>
            <w:hideMark/>
          </w:tcPr>
          <w:p w14:paraId="1669C7F3"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73286C9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149.073,40</w:t>
            </w:r>
          </w:p>
        </w:tc>
        <w:tc>
          <w:tcPr>
            <w:tcW w:w="160" w:type="dxa"/>
            <w:tcBorders>
              <w:top w:val="nil"/>
              <w:left w:val="nil"/>
              <w:bottom w:val="nil"/>
              <w:right w:val="nil"/>
            </w:tcBorders>
            <w:shd w:val="clear" w:color="auto" w:fill="auto"/>
            <w:noWrap/>
            <w:vAlign w:val="bottom"/>
            <w:hideMark/>
          </w:tcPr>
          <w:p w14:paraId="70DA1F30"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7AEB61E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5,63%</w:t>
            </w:r>
          </w:p>
        </w:tc>
        <w:tc>
          <w:tcPr>
            <w:tcW w:w="160" w:type="dxa"/>
            <w:tcBorders>
              <w:top w:val="nil"/>
              <w:left w:val="nil"/>
              <w:bottom w:val="nil"/>
              <w:right w:val="nil"/>
            </w:tcBorders>
            <w:shd w:val="clear" w:color="auto" w:fill="auto"/>
            <w:vAlign w:val="bottom"/>
            <w:hideMark/>
          </w:tcPr>
          <w:p w14:paraId="3317E9A8"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376BACE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169.396,40</w:t>
            </w:r>
          </w:p>
        </w:tc>
        <w:tc>
          <w:tcPr>
            <w:tcW w:w="160" w:type="dxa"/>
            <w:tcBorders>
              <w:top w:val="nil"/>
              <w:left w:val="nil"/>
              <w:bottom w:val="nil"/>
              <w:right w:val="nil"/>
            </w:tcBorders>
            <w:shd w:val="clear" w:color="auto" w:fill="auto"/>
            <w:noWrap/>
            <w:vAlign w:val="bottom"/>
            <w:hideMark/>
          </w:tcPr>
          <w:p w14:paraId="38D599E0"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757CEC6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5,</w:t>
            </w:r>
            <w:r w:rsidRPr="00AE4E8D">
              <w:rPr>
                <w:rFonts w:ascii="Times New Roman" w:hAnsi="Times New Roman"/>
                <w:color w:val="000000"/>
                <w:sz w:val="14"/>
                <w:szCs w:val="14"/>
                <w:lang w:val="es-ES" w:eastAsia="es-AR"/>
              </w:rPr>
              <w:t>85</w:t>
            </w:r>
            <w:r w:rsidRPr="00AE4E8D">
              <w:rPr>
                <w:rFonts w:ascii="Times New Roman" w:hAnsi="Times New Roman"/>
                <w:color w:val="000000"/>
                <w:sz w:val="14"/>
                <w:lang w:val="es-ES"/>
              </w:rPr>
              <w:t>%</w:t>
            </w:r>
          </w:p>
        </w:tc>
      </w:tr>
      <w:tr w:rsidR="003B5193" w:rsidRPr="00AE4E8D" w14:paraId="09413227" w14:textId="77777777" w:rsidTr="000400C8">
        <w:trPr>
          <w:trHeight w:val="300"/>
          <w:jc w:val="center"/>
        </w:trPr>
        <w:tc>
          <w:tcPr>
            <w:tcW w:w="708" w:type="dxa"/>
            <w:tcBorders>
              <w:top w:val="nil"/>
              <w:left w:val="nil"/>
              <w:bottom w:val="nil"/>
              <w:right w:val="nil"/>
            </w:tcBorders>
            <w:shd w:val="clear" w:color="auto" w:fill="auto"/>
            <w:vAlign w:val="center"/>
            <w:hideMark/>
          </w:tcPr>
          <w:p w14:paraId="618E2012"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6</w:t>
            </w:r>
          </w:p>
        </w:tc>
        <w:tc>
          <w:tcPr>
            <w:tcW w:w="1777" w:type="dxa"/>
            <w:tcBorders>
              <w:top w:val="nil"/>
              <w:left w:val="nil"/>
              <w:bottom w:val="nil"/>
              <w:right w:val="nil"/>
            </w:tcBorders>
            <w:shd w:val="clear" w:color="auto" w:fill="auto"/>
            <w:vAlign w:val="center"/>
            <w:hideMark/>
          </w:tcPr>
          <w:p w14:paraId="24713EE3"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Macro</w:t>
            </w:r>
            <w:r w:rsidR="00713D68" w:rsidRPr="00AE4E8D">
              <w:rPr>
                <w:rFonts w:ascii="Times New Roman" w:hAnsi="Times New Roman"/>
                <w:color w:val="000000"/>
                <w:sz w:val="14"/>
                <w:szCs w:val="14"/>
                <w:lang w:val="en-US" w:eastAsia="es-AR"/>
              </w:rPr>
              <w:t xml:space="preserve"> S.A.</w:t>
            </w:r>
          </w:p>
        </w:tc>
        <w:tc>
          <w:tcPr>
            <w:tcW w:w="875" w:type="dxa"/>
            <w:tcBorders>
              <w:top w:val="nil"/>
              <w:left w:val="nil"/>
              <w:bottom w:val="nil"/>
              <w:right w:val="nil"/>
            </w:tcBorders>
            <w:shd w:val="clear" w:color="auto" w:fill="auto"/>
            <w:noWrap/>
            <w:vAlign w:val="center"/>
            <w:hideMark/>
          </w:tcPr>
          <w:p w14:paraId="278656F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95.478,40</w:t>
            </w:r>
          </w:p>
        </w:tc>
        <w:tc>
          <w:tcPr>
            <w:tcW w:w="240" w:type="dxa"/>
            <w:tcBorders>
              <w:top w:val="nil"/>
              <w:left w:val="nil"/>
              <w:bottom w:val="nil"/>
              <w:right w:val="nil"/>
            </w:tcBorders>
            <w:shd w:val="clear" w:color="auto" w:fill="auto"/>
            <w:noWrap/>
            <w:vAlign w:val="bottom"/>
            <w:hideMark/>
          </w:tcPr>
          <w:p w14:paraId="67C32D07"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45A3439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5,17%</w:t>
            </w:r>
          </w:p>
        </w:tc>
        <w:tc>
          <w:tcPr>
            <w:tcW w:w="160" w:type="dxa"/>
            <w:tcBorders>
              <w:top w:val="nil"/>
              <w:left w:val="nil"/>
              <w:bottom w:val="nil"/>
              <w:right w:val="nil"/>
            </w:tcBorders>
            <w:shd w:val="clear" w:color="auto" w:fill="auto"/>
            <w:vAlign w:val="bottom"/>
            <w:hideMark/>
          </w:tcPr>
          <w:p w14:paraId="23645D09"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5C51D4B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144.421,20</w:t>
            </w:r>
          </w:p>
        </w:tc>
        <w:tc>
          <w:tcPr>
            <w:tcW w:w="160" w:type="dxa"/>
            <w:tcBorders>
              <w:top w:val="nil"/>
              <w:left w:val="nil"/>
              <w:bottom w:val="nil"/>
              <w:right w:val="nil"/>
            </w:tcBorders>
            <w:shd w:val="clear" w:color="auto" w:fill="auto"/>
            <w:noWrap/>
            <w:vAlign w:val="bottom"/>
            <w:hideMark/>
          </w:tcPr>
          <w:p w14:paraId="4A5993DE"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698A985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5,46%</w:t>
            </w:r>
          </w:p>
        </w:tc>
        <w:tc>
          <w:tcPr>
            <w:tcW w:w="160" w:type="dxa"/>
            <w:tcBorders>
              <w:top w:val="nil"/>
              <w:left w:val="nil"/>
              <w:bottom w:val="nil"/>
              <w:right w:val="nil"/>
            </w:tcBorders>
            <w:shd w:val="clear" w:color="auto" w:fill="auto"/>
            <w:vAlign w:val="bottom"/>
            <w:hideMark/>
          </w:tcPr>
          <w:p w14:paraId="05043D7F"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0EB7E17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150.326,80</w:t>
            </w:r>
          </w:p>
        </w:tc>
        <w:tc>
          <w:tcPr>
            <w:tcW w:w="160" w:type="dxa"/>
            <w:tcBorders>
              <w:top w:val="nil"/>
              <w:left w:val="nil"/>
              <w:bottom w:val="nil"/>
              <w:right w:val="nil"/>
            </w:tcBorders>
            <w:shd w:val="clear" w:color="auto" w:fill="auto"/>
            <w:noWrap/>
            <w:vAlign w:val="bottom"/>
            <w:hideMark/>
          </w:tcPr>
          <w:p w14:paraId="3F517224"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329495B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5,</w:t>
            </w:r>
            <w:r w:rsidRPr="00AE4E8D">
              <w:rPr>
                <w:rFonts w:ascii="Times New Roman" w:hAnsi="Times New Roman"/>
                <w:color w:val="000000"/>
                <w:sz w:val="14"/>
                <w:szCs w:val="14"/>
                <w:lang w:val="es-ES" w:eastAsia="es-AR"/>
              </w:rPr>
              <w:t>19</w:t>
            </w:r>
            <w:r w:rsidRPr="00AE4E8D">
              <w:rPr>
                <w:rFonts w:ascii="Times New Roman" w:hAnsi="Times New Roman"/>
                <w:color w:val="000000"/>
                <w:sz w:val="14"/>
                <w:lang w:val="es-ES"/>
              </w:rPr>
              <w:t>%</w:t>
            </w:r>
          </w:p>
        </w:tc>
      </w:tr>
      <w:tr w:rsidR="003B5193" w:rsidRPr="00AE4E8D" w14:paraId="41CA49DB" w14:textId="77777777" w:rsidTr="000400C8">
        <w:trPr>
          <w:trHeight w:val="300"/>
          <w:jc w:val="center"/>
        </w:trPr>
        <w:tc>
          <w:tcPr>
            <w:tcW w:w="708" w:type="dxa"/>
            <w:tcBorders>
              <w:top w:val="nil"/>
              <w:left w:val="nil"/>
              <w:bottom w:val="nil"/>
              <w:right w:val="nil"/>
            </w:tcBorders>
            <w:shd w:val="clear" w:color="auto" w:fill="auto"/>
            <w:vAlign w:val="center"/>
            <w:hideMark/>
          </w:tcPr>
          <w:p w14:paraId="252DC861"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7</w:t>
            </w:r>
          </w:p>
        </w:tc>
        <w:tc>
          <w:tcPr>
            <w:tcW w:w="1777" w:type="dxa"/>
            <w:tcBorders>
              <w:top w:val="nil"/>
              <w:left w:val="nil"/>
              <w:bottom w:val="nil"/>
              <w:right w:val="nil"/>
            </w:tcBorders>
            <w:shd w:val="clear" w:color="auto" w:fill="auto"/>
            <w:vAlign w:val="center"/>
            <w:hideMark/>
          </w:tcPr>
          <w:p w14:paraId="686CEC48" w14:textId="77777777" w:rsidR="0062499A" w:rsidRPr="00AE4E8D" w:rsidRDefault="0062499A"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HSBC</w:t>
            </w:r>
            <w:r w:rsidR="00FD3A3F" w:rsidRPr="00AE4E8D">
              <w:rPr>
                <w:rFonts w:ascii="Times New Roman" w:hAnsi="Times New Roman"/>
                <w:color w:val="000000"/>
                <w:sz w:val="14"/>
                <w:szCs w:val="14"/>
                <w:lang w:val="en-US" w:eastAsia="es-AR"/>
              </w:rPr>
              <w:t xml:space="preserve"> Bank Argentina</w:t>
            </w:r>
            <w:r w:rsidR="00713D68" w:rsidRPr="00AE4E8D">
              <w:rPr>
                <w:rFonts w:ascii="Times New Roman" w:hAnsi="Times New Roman"/>
                <w:color w:val="000000"/>
                <w:sz w:val="14"/>
                <w:szCs w:val="14"/>
                <w:lang w:val="en-US" w:eastAsia="es-AR"/>
              </w:rPr>
              <w:t xml:space="preserve"> S.A.</w:t>
            </w:r>
          </w:p>
        </w:tc>
        <w:tc>
          <w:tcPr>
            <w:tcW w:w="875" w:type="dxa"/>
            <w:tcBorders>
              <w:top w:val="nil"/>
              <w:left w:val="nil"/>
              <w:bottom w:val="nil"/>
              <w:right w:val="nil"/>
            </w:tcBorders>
            <w:shd w:val="clear" w:color="auto" w:fill="auto"/>
            <w:noWrap/>
            <w:vAlign w:val="center"/>
            <w:hideMark/>
          </w:tcPr>
          <w:p w14:paraId="35B1651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70.995,20</w:t>
            </w:r>
          </w:p>
        </w:tc>
        <w:tc>
          <w:tcPr>
            <w:tcW w:w="240" w:type="dxa"/>
            <w:tcBorders>
              <w:top w:val="nil"/>
              <w:left w:val="nil"/>
              <w:bottom w:val="nil"/>
              <w:right w:val="nil"/>
            </w:tcBorders>
            <w:shd w:val="clear" w:color="auto" w:fill="auto"/>
            <w:noWrap/>
            <w:vAlign w:val="bottom"/>
            <w:hideMark/>
          </w:tcPr>
          <w:p w14:paraId="71800283"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56ED4FA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3,85%</w:t>
            </w:r>
          </w:p>
        </w:tc>
        <w:tc>
          <w:tcPr>
            <w:tcW w:w="160" w:type="dxa"/>
            <w:tcBorders>
              <w:top w:val="nil"/>
              <w:left w:val="nil"/>
              <w:bottom w:val="nil"/>
              <w:right w:val="nil"/>
            </w:tcBorders>
            <w:shd w:val="clear" w:color="auto" w:fill="auto"/>
            <w:vAlign w:val="bottom"/>
            <w:hideMark/>
          </w:tcPr>
          <w:p w14:paraId="6915A171"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7DDF5BD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83.679,20</w:t>
            </w:r>
          </w:p>
        </w:tc>
        <w:tc>
          <w:tcPr>
            <w:tcW w:w="160" w:type="dxa"/>
            <w:tcBorders>
              <w:top w:val="nil"/>
              <w:left w:val="nil"/>
              <w:bottom w:val="nil"/>
              <w:right w:val="nil"/>
            </w:tcBorders>
            <w:shd w:val="clear" w:color="auto" w:fill="auto"/>
            <w:noWrap/>
            <w:vAlign w:val="bottom"/>
            <w:hideMark/>
          </w:tcPr>
          <w:p w14:paraId="7CD3479B"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506EF2E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3,16%</w:t>
            </w:r>
          </w:p>
        </w:tc>
        <w:tc>
          <w:tcPr>
            <w:tcW w:w="160" w:type="dxa"/>
            <w:tcBorders>
              <w:top w:val="nil"/>
              <w:left w:val="nil"/>
              <w:bottom w:val="nil"/>
              <w:right w:val="nil"/>
            </w:tcBorders>
            <w:shd w:val="clear" w:color="auto" w:fill="auto"/>
            <w:vAlign w:val="bottom"/>
            <w:hideMark/>
          </w:tcPr>
          <w:p w14:paraId="4B6A6469"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4B9AE2B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96.359,50</w:t>
            </w:r>
          </w:p>
        </w:tc>
        <w:tc>
          <w:tcPr>
            <w:tcW w:w="160" w:type="dxa"/>
            <w:tcBorders>
              <w:top w:val="nil"/>
              <w:left w:val="nil"/>
              <w:bottom w:val="nil"/>
              <w:right w:val="nil"/>
            </w:tcBorders>
            <w:shd w:val="clear" w:color="auto" w:fill="auto"/>
            <w:noWrap/>
            <w:vAlign w:val="bottom"/>
            <w:hideMark/>
          </w:tcPr>
          <w:p w14:paraId="0FF866C4"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478B305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33</w:t>
            </w:r>
            <w:r w:rsidRPr="00AE4E8D">
              <w:rPr>
                <w:rFonts w:ascii="Times New Roman" w:hAnsi="Times New Roman"/>
                <w:color w:val="000000"/>
                <w:sz w:val="14"/>
                <w:lang w:val="es-ES"/>
              </w:rPr>
              <w:t>%</w:t>
            </w:r>
          </w:p>
        </w:tc>
      </w:tr>
      <w:tr w:rsidR="003B5193" w:rsidRPr="00AE4E8D" w14:paraId="7DC7F573" w14:textId="77777777" w:rsidTr="000400C8">
        <w:trPr>
          <w:trHeight w:val="300"/>
          <w:jc w:val="center"/>
        </w:trPr>
        <w:tc>
          <w:tcPr>
            <w:tcW w:w="708" w:type="dxa"/>
            <w:tcBorders>
              <w:top w:val="nil"/>
              <w:left w:val="nil"/>
              <w:bottom w:val="nil"/>
              <w:right w:val="nil"/>
            </w:tcBorders>
            <w:shd w:val="clear" w:color="auto" w:fill="auto"/>
            <w:vAlign w:val="center"/>
            <w:hideMark/>
          </w:tcPr>
          <w:p w14:paraId="08801EA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8</w:t>
            </w:r>
          </w:p>
        </w:tc>
        <w:tc>
          <w:tcPr>
            <w:tcW w:w="1777" w:type="dxa"/>
            <w:tcBorders>
              <w:top w:val="nil"/>
              <w:left w:val="nil"/>
              <w:bottom w:val="nil"/>
              <w:right w:val="nil"/>
            </w:tcBorders>
            <w:shd w:val="clear" w:color="auto" w:fill="auto"/>
            <w:vAlign w:val="center"/>
            <w:hideMark/>
          </w:tcPr>
          <w:p w14:paraId="36244961" w14:textId="77777777" w:rsidR="0062499A" w:rsidRPr="00AE4E8D" w:rsidRDefault="00713D68" w:rsidP="0062499A">
            <w:pPr>
              <w:jc w:val="both"/>
              <w:rPr>
                <w:rFonts w:ascii="Times New Roman" w:hAnsi="Times New Roman"/>
                <w:color w:val="000000"/>
                <w:sz w:val="14"/>
                <w:lang w:val="es-ES"/>
              </w:rPr>
            </w:pPr>
            <w:r w:rsidRPr="00AE4E8D">
              <w:rPr>
                <w:rFonts w:ascii="Times New Roman" w:hAnsi="Times New Roman"/>
                <w:color w:val="000000"/>
                <w:sz w:val="14"/>
                <w:szCs w:val="14"/>
                <w:lang w:eastAsia="es-AR"/>
              </w:rPr>
              <w:t>Banco Credicoop Cooperativo Limitado</w:t>
            </w:r>
          </w:p>
        </w:tc>
        <w:tc>
          <w:tcPr>
            <w:tcW w:w="875" w:type="dxa"/>
            <w:tcBorders>
              <w:top w:val="nil"/>
              <w:left w:val="nil"/>
              <w:bottom w:val="nil"/>
              <w:right w:val="nil"/>
            </w:tcBorders>
            <w:shd w:val="clear" w:color="auto" w:fill="auto"/>
            <w:noWrap/>
            <w:vAlign w:val="center"/>
            <w:hideMark/>
          </w:tcPr>
          <w:p w14:paraId="291FD2E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62.296,80</w:t>
            </w:r>
          </w:p>
        </w:tc>
        <w:tc>
          <w:tcPr>
            <w:tcW w:w="240" w:type="dxa"/>
            <w:tcBorders>
              <w:top w:val="nil"/>
              <w:left w:val="nil"/>
              <w:bottom w:val="nil"/>
              <w:right w:val="nil"/>
            </w:tcBorders>
            <w:shd w:val="clear" w:color="auto" w:fill="auto"/>
            <w:noWrap/>
            <w:vAlign w:val="bottom"/>
            <w:hideMark/>
          </w:tcPr>
          <w:p w14:paraId="44E99D89"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514D798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3,37%</w:t>
            </w:r>
          </w:p>
        </w:tc>
        <w:tc>
          <w:tcPr>
            <w:tcW w:w="160" w:type="dxa"/>
            <w:tcBorders>
              <w:top w:val="nil"/>
              <w:left w:val="nil"/>
              <w:bottom w:val="nil"/>
              <w:right w:val="nil"/>
            </w:tcBorders>
            <w:shd w:val="clear" w:color="auto" w:fill="auto"/>
            <w:vAlign w:val="bottom"/>
            <w:hideMark/>
          </w:tcPr>
          <w:p w14:paraId="243BBA9C"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2272BD9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86.404,60</w:t>
            </w:r>
          </w:p>
        </w:tc>
        <w:tc>
          <w:tcPr>
            <w:tcW w:w="160" w:type="dxa"/>
            <w:tcBorders>
              <w:top w:val="nil"/>
              <w:left w:val="nil"/>
              <w:bottom w:val="nil"/>
              <w:right w:val="nil"/>
            </w:tcBorders>
            <w:shd w:val="clear" w:color="auto" w:fill="auto"/>
            <w:noWrap/>
            <w:vAlign w:val="bottom"/>
            <w:hideMark/>
          </w:tcPr>
          <w:p w14:paraId="26E08900"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0EF4867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3,27%</w:t>
            </w:r>
          </w:p>
        </w:tc>
        <w:tc>
          <w:tcPr>
            <w:tcW w:w="160" w:type="dxa"/>
            <w:tcBorders>
              <w:top w:val="nil"/>
              <w:left w:val="nil"/>
              <w:bottom w:val="nil"/>
              <w:right w:val="nil"/>
            </w:tcBorders>
            <w:shd w:val="clear" w:color="auto" w:fill="auto"/>
            <w:vAlign w:val="bottom"/>
            <w:hideMark/>
          </w:tcPr>
          <w:p w14:paraId="55D839CF"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632E903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93.001,10</w:t>
            </w:r>
          </w:p>
        </w:tc>
        <w:tc>
          <w:tcPr>
            <w:tcW w:w="160" w:type="dxa"/>
            <w:tcBorders>
              <w:top w:val="nil"/>
              <w:left w:val="nil"/>
              <w:bottom w:val="nil"/>
              <w:right w:val="nil"/>
            </w:tcBorders>
            <w:shd w:val="clear" w:color="auto" w:fill="auto"/>
            <w:noWrap/>
            <w:vAlign w:val="bottom"/>
            <w:hideMark/>
          </w:tcPr>
          <w:p w14:paraId="0C5F7BE7"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4621124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21</w:t>
            </w:r>
            <w:r w:rsidRPr="00AE4E8D">
              <w:rPr>
                <w:rFonts w:ascii="Times New Roman" w:hAnsi="Times New Roman"/>
                <w:color w:val="000000"/>
                <w:sz w:val="14"/>
                <w:lang w:val="es-ES"/>
              </w:rPr>
              <w:t>%</w:t>
            </w:r>
          </w:p>
        </w:tc>
      </w:tr>
      <w:tr w:rsidR="003B5193" w:rsidRPr="00AE4E8D" w14:paraId="0192A2E8" w14:textId="77777777" w:rsidTr="000400C8">
        <w:trPr>
          <w:trHeight w:val="300"/>
          <w:jc w:val="center"/>
        </w:trPr>
        <w:tc>
          <w:tcPr>
            <w:tcW w:w="708" w:type="dxa"/>
            <w:tcBorders>
              <w:top w:val="nil"/>
              <w:left w:val="nil"/>
              <w:bottom w:val="nil"/>
              <w:right w:val="nil"/>
            </w:tcBorders>
            <w:shd w:val="clear" w:color="auto" w:fill="auto"/>
            <w:vAlign w:val="center"/>
            <w:hideMark/>
          </w:tcPr>
          <w:p w14:paraId="7B20490A"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9</w:t>
            </w:r>
          </w:p>
        </w:tc>
        <w:tc>
          <w:tcPr>
            <w:tcW w:w="1777" w:type="dxa"/>
            <w:tcBorders>
              <w:top w:val="nil"/>
              <w:left w:val="nil"/>
              <w:bottom w:val="nil"/>
              <w:right w:val="nil"/>
            </w:tcBorders>
            <w:shd w:val="clear" w:color="auto" w:fill="auto"/>
            <w:vAlign w:val="center"/>
            <w:hideMark/>
          </w:tcPr>
          <w:p w14:paraId="209F0609" w14:textId="77777777" w:rsidR="0062499A" w:rsidRPr="00AE4E8D" w:rsidRDefault="000604B3"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Banco de la Ciudad de Buenos Aires</w:t>
            </w:r>
          </w:p>
        </w:tc>
        <w:tc>
          <w:tcPr>
            <w:tcW w:w="875" w:type="dxa"/>
            <w:tcBorders>
              <w:top w:val="nil"/>
              <w:left w:val="nil"/>
              <w:bottom w:val="nil"/>
              <w:right w:val="nil"/>
            </w:tcBorders>
            <w:shd w:val="clear" w:color="auto" w:fill="auto"/>
            <w:noWrap/>
            <w:vAlign w:val="center"/>
            <w:hideMark/>
          </w:tcPr>
          <w:p w14:paraId="0FB7556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57.459,30</w:t>
            </w:r>
          </w:p>
        </w:tc>
        <w:tc>
          <w:tcPr>
            <w:tcW w:w="240" w:type="dxa"/>
            <w:tcBorders>
              <w:top w:val="nil"/>
              <w:left w:val="nil"/>
              <w:bottom w:val="nil"/>
              <w:right w:val="nil"/>
            </w:tcBorders>
            <w:shd w:val="clear" w:color="auto" w:fill="auto"/>
            <w:noWrap/>
            <w:vAlign w:val="bottom"/>
            <w:hideMark/>
          </w:tcPr>
          <w:p w14:paraId="0754D506"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5C7CF0E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3,11%</w:t>
            </w:r>
          </w:p>
        </w:tc>
        <w:tc>
          <w:tcPr>
            <w:tcW w:w="160" w:type="dxa"/>
            <w:tcBorders>
              <w:top w:val="nil"/>
              <w:left w:val="nil"/>
              <w:bottom w:val="nil"/>
              <w:right w:val="nil"/>
            </w:tcBorders>
            <w:shd w:val="clear" w:color="auto" w:fill="auto"/>
            <w:vAlign w:val="bottom"/>
            <w:hideMark/>
          </w:tcPr>
          <w:p w14:paraId="40332184"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04999CF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78.305,90</w:t>
            </w:r>
          </w:p>
        </w:tc>
        <w:tc>
          <w:tcPr>
            <w:tcW w:w="160" w:type="dxa"/>
            <w:tcBorders>
              <w:top w:val="nil"/>
              <w:left w:val="nil"/>
              <w:bottom w:val="nil"/>
              <w:right w:val="nil"/>
            </w:tcBorders>
            <w:shd w:val="clear" w:color="auto" w:fill="auto"/>
            <w:noWrap/>
            <w:vAlign w:val="bottom"/>
            <w:hideMark/>
          </w:tcPr>
          <w:p w14:paraId="1428A686"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76892BE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2,96%</w:t>
            </w:r>
          </w:p>
        </w:tc>
        <w:tc>
          <w:tcPr>
            <w:tcW w:w="160" w:type="dxa"/>
            <w:tcBorders>
              <w:top w:val="nil"/>
              <w:left w:val="nil"/>
              <w:bottom w:val="nil"/>
              <w:right w:val="nil"/>
            </w:tcBorders>
            <w:shd w:val="clear" w:color="auto" w:fill="auto"/>
            <w:vAlign w:val="bottom"/>
            <w:hideMark/>
          </w:tcPr>
          <w:p w14:paraId="076568B4"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586E6E9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87.642,90</w:t>
            </w:r>
          </w:p>
        </w:tc>
        <w:tc>
          <w:tcPr>
            <w:tcW w:w="160" w:type="dxa"/>
            <w:tcBorders>
              <w:top w:val="nil"/>
              <w:left w:val="nil"/>
              <w:bottom w:val="nil"/>
              <w:right w:val="nil"/>
            </w:tcBorders>
            <w:shd w:val="clear" w:color="auto" w:fill="auto"/>
            <w:noWrap/>
            <w:vAlign w:val="bottom"/>
            <w:hideMark/>
          </w:tcPr>
          <w:p w14:paraId="1F94C530"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295D765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3,03</w:t>
            </w:r>
            <w:r w:rsidRPr="00AE4E8D">
              <w:rPr>
                <w:rFonts w:ascii="Times New Roman" w:hAnsi="Times New Roman"/>
                <w:color w:val="000000"/>
                <w:sz w:val="14"/>
                <w:lang w:val="es-ES"/>
              </w:rPr>
              <w:t>%</w:t>
            </w:r>
          </w:p>
        </w:tc>
      </w:tr>
      <w:tr w:rsidR="003B5193" w:rsidRPr="00AE4E8D" w14:paraId="6B0E8262" w14:textId="77777777" w:rsidTr="000400C8">
        <w:trPr>
          <w:trHeight w:val="540"/>
          <w:jc w:val="center"/>
        </w:trPr>
        <w:tc>
          <w:tcPr>
            <w:tcW w:w="708" w:type="dxa"/>
            <w:tcBorders>
              <w:top w:val="nil"/>
              <w:left w:val="nil"/>
              <w:bottom w:val="nil"/>
              <w:right w:val="nil"/>
            </w:tcBorders>
            <w:shd w:val="clear" w:color="auto" w:fill="auto"/>
            <w:vAlign w:val="center"/>
            <w:hideMark/>
          </w:tcPr>
          <w:p w14:paraId="71805EF1"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10</w:t>
            </w:r>
          </w:p>
        </w:tc>
        <w:tc>
          <w:tcPr>
            <w:tcW w:w="1777" w:type="dxa"/>
            <w:tcBorders>
              <w:top w:val="nil"/>
              <w:left w:val="nil"/>
              <w:bottom w:val="nil"/>
              <w:right w:val="nil"/>
            </w:tcBorders>
            <w:shd w:val="clear" w:color="auto" w:fill="auto"/>
            <w:vAlign w:val="center"/>
            <w:hideMark/>
          </w:tcPr>
          <w:p w14:paraId="64C73A63" w14:textId="77777777" w:rsidR="0062499A" w:rsidRPr="00AE4E8D" w:rsidRDefault="000604B3" w:rsidP="0062499A">
            <w:pPr>
              <w:jc w:val="both"/>
              <w:rPr>
                <w:rFonts w:ascii="Times New Roman" w:hAnsi="Times New Roman"/>
                <w:color w:val="000000"/>
                <w:sz w:val="14"/>
                <w:szCs w:val="14"/>
                <w:lang w:val="en-US" w:eastAsia="es-AR"/>
              </w:rPr>
            </w:pPr>
            <w:r w:rsidRPr="00AE4E8D">
              <w:rPr>
                <w:rFonts w:ascii="Times New Roman" w:hAnsi="Times New Roman"/>
                <w:color w:val="000000"/>
                <w:sz w:val="14"/>
                <w:szCs w:val="14"/>
                <w:lang w:val="en-US" w:eastAsia="es-AR"/>
              </w:rPr>
              <w:t>Industrial and Commercial Bank of China (Argentina) S.A.</w:t>
            </w:r>
          </w:p>
        </w:tc>
        <w:tc>
          <w:tcPr>
            <w:tcW w:w="875" w:type="dxa"/>
            <w:tcBorders>
              <w:top w:val="nil"/>
              <w:left w:val="nil"/>
              <w:bottom w:val="nil"/>
              <w:right w:val="nil"/>
            </w:tcBorders>
            <w:shd w:val="clear" w:color="auto" w:fill="auto"/>
            <w:noWrap/>
            <w:vAlign w:val="center"/>
            <w:hideMark/>
          </w:tcPr>
          <w:p w14:paraId="4A17D07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59.228,60</w:t>
            </w:r>
          </w:p>
        </w:tc>
        <w:tc>
          <w:tcPr>
            <w:tcW w:w="240" w:type="dxa"/>
            <w:tcBorders>
              <w:top w:val="nil"/>
              <w:left w:val="nil"/>
              <w:bottom w:val="nil"/>
              <w:right w:val="nil"/>
            </w:tcBorders>
            <w:shd w:val="clear" w:color="auto" w:fill="auto"/>
            <w:noWrap/>
            <w:vAlign w:val="center"/>
            <w:hideMark/>
          </w:tcPr>
          <w:p w14:paraId="0EA6342A"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192BE03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3,21%</w:t>
            </w:r>
          </w:p>
        </w:tc>
        <w:tc>
          <w:tcPr>
            <w:tcW w:w="160" w:type="dxa"/>
            <w:tcBorders>
              <w:top w:val="nil"/>
              <w:left w:val="nil"/>
              <w:bottom w:val="nil"/>
              <w:right w:val="nil"/>
            </w:tcBorders>
            <w:shd w:val="clear" w:color="auto" w:fill="auto"/>
            <w:vAlign w:val="bottom"/>
            <w:hideMark/>
          </w:tcPr>
          <w:p w14:paraId="43445C5E"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30984E3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76.390,50</w:t>
            </w:r>
          </w:p>
        </w:tc>
        <w:tc>
          <w:tcPr>
            <w:tcW w:w="160" w:type="dxa"/>
            <w:tcBorders>
              <w:top w:val="nil"/>
              <w:left w:val="nil"/>
              <w:bottom w:val="nil"/>
              <w:right w:val="nil"/>
            </w:tcBorders>
            <w:shd w:val="clear" w:color="auto" w:fill="auto"/>
            <w:noWrap/>
            <w:vAlign w:val="bottom"/>
            <w:hideMark/>
          </w:tcPr>
          <w:p w14:paraId="5DFCE260"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498573A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2,89%</w:t>
            </w:r>
          </w:p>
        </w:tc>
        <w:tc>
          <w:tcPr>
            <w:tcW w:w="160" w:type="dxa"/>
            <w:tcBorders>
              <w:top w:val="nil"/>
              <w:left w:val="nil"/>
              <w:bottom w:val="nil"/>
              <w:right w:val="nil"/>
            </w:tcBorders>
            <w:shd w:val="clear" w:color="auto" w:fill="auto"/>
            <w:vAlign w:val="bottom"/>
            <w:hideMark/>
          </w:tcPr>
          <w:p w14:paraId="1FB20A3C"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0C3F675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79.061,30</w:t>
            </w:r>
          </w:p>
        </w:tc>
        <w:tc>
          <w:tcPr>
            <w:tcW w:w="160" w:type="dxa"/>
            <w:tcBorders>
              <w:top w:val="nil"/>
              <w:left w:val="nil"/>
              <w:bottom w:val="nil"/>
              <w:right w:val="nil"/>
            </w:tcBorders>
            <w:shd w:val="clear" w:color="auto" w:fill="auto"/>
            <w:noWrap/>
            <w:vAlign w:val="bottom"/>
            <w:hideMark/>
          </w:tcPr>
          <w:p w14:paraId="776CD370"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24F8778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eastAsia="es-AR"/>
              </w:rPr>
              <w:t>73</w:t>
            </w:r>
            <w:r w:rsidRPr="00AE4E8D">
              <w:rPr>
                <w:rFonts w:ascii="Times New Roman" w:hAnsi="Times New Roman"/>
                <w:color w:val="000000"/>
                <w:sz w:val="14"/>
                <w:lang w:val="es-ES"/>
              </w:rPr>
              <w:t>%</w:t>
            </w:r>
          </w:p>
        </w:tc>
      </w:tr>
      <w:tr w:rsidR="003B5193" w:rsidRPr="00AE4E8D" w14:paraId="747F606B" w14:textId="77777777" w:rsidTr="000400C8">
        <w:trPr>
          <w:trHeight w:val="360"/>
          <w:jc w:val="center"/>
        </w:trPr>
        <w:tc>
          <w:tcPr>
            <w:tcW w:w="708" w:type="dxa"/>
            <w:tcBorders>
              <w:top w:val="nil"/>
              <w:left w:val="nil"/>
              <w:bottom w:val="nil"/>
              <w:right w:val="nil"/>
            </w:tcBorders>
            <w:shd w:val="clear" w:color="auto" w:fill="auto"/>
            <w:noWrap/>
            <w:vAlign w:val="bottom"/>
            <w:hideMark/>
          </w:tcPr>
          <w:p w14:paraId="26ACCB9C" w14:textId="77777777" w:rsidR="0062499A" w:rsidRPr="00AE4E8D" w:rsidRDefault="0062499A" w:rsidP="0062499A">
            <w:pPr>
              <w:rPr>
                <w:rFonts w:ascii="Times New Roman" w:hAnsi="Times New Roman"/>
                <w:color w:val="000000"/>
                <w:lang w:val="es-ES"/>
              </w:rPr>
            </w:pPr>
          </w:p>
        </w:tc>
        <w:tc>
          <w:tcPr>
            <w:tcW w:w="1777" w:type="dxa"/>
            <w:tcBorders>
              <w:top w:val="nil"/>
              <w:left w:val="nil"/>
              <w:bottom w:val="nil"/>
              <w:right w:val="nil"/>
            </w:tcBorders>
            <w:shd w:val="clear" w:color="auto" w:fill="auto"/>
            <w:vAlign w:val="center"/>
            <w:hideMark/>
          </w:tcPr>
          <w:p w14:paraId="4E0BE9A0"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Total para los 10 bancos</w:t>
            </w:r>
          </w:p>
        </w:tc>
        <w:tc>
          <w:tcPr>
            <w:tcW w:w="875" w:type="dxa"/>
            <w:tcBorders>
              <w:top w:val="nil"/>
              <w:left w:val="nil"/>
              <w:bottom w:val="nil"/>
              <w:right w:val="nil"/>
            </w:tcBorders>
            <w:shd w:val="clear" w:color="auto" w:fill="auto"/>
            <w:noWrap/>
            <w:vAlign w:val="center"/>
            <w:hideMark/>
          </w:tcPr>
          <w:p w14:paraId="3A0E83AE" w14:textId="77777777" w:rsidR="0062499A" w:rsidRPr="00AE4E8D" w:rsidRDefault="00ED1A42" w:rsidP="00586CD3">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1.354.041,60</w:t>
            </w:r>
          </w:p>
        </w:tc>
        <w:tc>
          <w:tcPr>
            <w:tcW w:w="240" w:type="dxa"/>
            <w:tcBorders>
              <w:top w:val="nil"/>
              <w:left w:val="nil"/>
              <w:bottom w:val="nil"/>
              <w:right w:val="nil"/>
            </w:tcBorders>
            <w:shd w:val="clear" w:color="auto" w:fill="auto"/>
            <w:noWrap/>
            <w:vAlign w:val="bottom"/>
            <w:hideMark/>
          </w:tcPr>
          <w:p w14:paraId="59DE7AE8"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471E082C" w14:textId="77777777" w:rsidR="0062499A" w:rsidRPr="00AE4E8D" w:rsidRDefault="0062499A" w:rsidP="00586CD3">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73,</w:t>
            </w:r>
            <w:r w:rsidR="00586CD3" w:rsidRPr="00AE4E8D">
              <w:rPr>
                <w:rFonts w:ascii="Times New Roman" w:hAnsi="Times New Roman"/>
                <w:color w:val="000000"/>
                <w:sz w:val="14"/>
                <w:szCs w:val="14"/>
                <w:lang w:val="es-ES" w:eastAsia="es-AR"/>
              </w:rPr>
              <w:t>35</w:t>
            </w:r>
            <w:r w:rsidRPr="00AE4E8D">
              <w:rPr>
                <w:rFonts w:ascii="Times New Roman" w:hAnsi="Times New Roman"/>
                <w:color w:val="000000"/>
                <w:sz w:val="14"/>
                <w:szCs w:val="14"/>
                <w:lang w:val="es-ES" w:eastAsia="es-AR"/>
              </w:rPr>
              <w:t>%</w:t>
            </w:r>
          </w:p>
        </w:tc>
        <w:tc>
          <w:tcPr>
            <w:tcW w:w="160" w:type="dxa"/>
            <w:tcBorders>
              <w:top w:val="nil"/>
              <w:left w:val="nil"/>
              <w:bottom w:val="nil"/>
              <w:right w:val="nil"/>
            </w:tcBorders>
            <w:shd w:val="clear" w:color="auto" w:fill="auto"/>
            <w:vAlign w:val="bottom"/>
            <w:hideMark/>
          </w:tcPr>
          <w:p w14:paraId="662C5D6B"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4F08BF1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1.975.370,30</w:t>
            </w:r>
          </w:p>
        </w:tc>
        <w:tc>
          <w:tcPr>
            <w:tcW w:w="160" w:type="dxa"/>
            <w:tcBorders>
              <w:top w:val="nil"/>
              <w:left w:val="nil"/>
              <w:bottom w:val="nil"/>
              <w:right w:val="nil"/>
            </w:tcBorders>
            <w:shd w:val="clear" w:color="auto" w:fill="auto"/>
            <w:noWrap/>
            <w:vAlign w:val="bottom"/>
            <w:hideMark/>
          </w:tcPr>
          <w:p w14:paraId="1D98B54C"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066FDE7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74,66%</w:t>
            </w:r>
          </w:p>
        </w:tc>
        <w:tc>
          <w:tcPr>
            <w:tcW w:w="160" w:type="dxa"/>
            <w:tcBorders>
              <w:top w:val="nil"/>
              <w:left w:val="nil"/>
              <w:bottom w:val="nil"/>
              <w:right w:val="nil"/>
            </w:tcBorders>
            <w:shd w:val="clear" w:color="auto" w:fill="auto"/>
            <w:vAlign w:val="bottom"/>
            <w:hideMark/>
          </w:tcPr>
          <w:p w14:paraId="0CB5EAAD"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39F89CD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2.099.249,30</w:t>
            </w:r>
          </w:p>
        </w:tc>
        <w:tc>
          <w:tcPr>
            <w:tcW w:w="160" w:type="dxa"/>
            <w:tcBorders>
              <w:top w:val="nil"/>
              <w:left w:val="nil"/>
              <w:bottom w:val="nil"/>
              <w:right w:val="nil"/>
            </w:tcBorders>
            <w:shd w:val="clear" w:color="auto" w:fill="auto"/>
            <w:noWrap/>
            <w:vAlign w:val="bottom"/>
            <w:hideMark/>
          </w:tcPr>
          <w:p w14:paraId="11A64545"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32BC150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72,53</w:t>
            </w:r>
            <w:r w:rsidRPr="00AE4E8D">
              <w:rPr>
                <w:rFonts w:ascii="Times New Roman" w:hAnsi="Times New Roman"/>
                <w:color w:val="000000"/>
                <w:sz w:val="14"/>
                <w:lang w:val="es-ES"/>
              </w:rPr>
              <w:t>%</w:t>
            </w:r>
          </w:p>
        </w:tc>
      </w:tr>
      <w:tr w:rsidR="003B5193" w:rsidRPr="00AE4E8D" w14:paraId="134586B6" w14:textId="77777777" w:rsidTr="000400C8">
        <w:trPr>
          <w:trHeight w:val="300"/>
          <w:jc w:val="center"/>
        </w:trPr>
        <w:tc>
          <w:tcPr>
            <w:tcW w:w="708" w:type="dxa"/>
            <w:tcBorders>
              <w:top w:val="nil"/>
              <w:left w:val="nil"/>
              <w:bottom w:val="nil"/>
              <w:right w:val="nil"/>
            </w:tcBorders>
            <w:shd w:val="clear" w:color="auto" w:fill="auto"/>
            <w:vAlign w:val="center"/>
            <w:hideMark/>
          </w:tcPr>
          <w:p w14:paraId="55A2CF86"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15</w:t>
            </w:r>
          </w:p>
        </w:tc>
        <w:tc>
          <w:tcPr>
            <w:tcW w:w="1777" w:type="dxa"/>
            <w:tcBorders>
              <w:top w:val="nil"/>
              <w:left w:val="nil"/>
              <w:bottom w:val="nil"/>
              <w:right w:val="nil"/>
            </w:tcBorders>
            <w:shd w:val="clear" w:color="auto" w:fill="auto"/>
            <w:vAlign w:val="center"/>
            <w:hideMark/>
          </w:tcPr>
          <w:p w14:paraId="62001BD3" w14:textId="77777777" w:rsidR="0062499A" w:rsidRPr="00AE4E8D" w:rsidRDefault="00FD3A3F" w:rsidP="0062499A">
            <w:pPr>
              <w:jc w:val="both"/>
              <w:rPr>
                <w:rFonts w:ascii="Times New Roman" w:hAnsi="Times New Roman"/>
                <w:b/>
                <w:color w:val="000000"/>
                <w:sz w:val="14"/>
                <w:lang w:val="es-ES"/>
              </w:rPr>
            </w:pPr>
            <w:r w:rsidRPr="00AE4E8D">
              <w:rPr>
                <w:rFonts w:ascii="Times New Roman" w:hAnsi="Times New Roman"/>
                <w:b/>
                <w:bCs/>
                <w:color w:val="000000"/>
                <w:sz w:val="14"/>
                <w:szCs w:val="14"/>
                <w:lang w:val="es-ES" w:eastAsia="es-AR"/>
              </w:rPr>
              <w:t xml:space="preserve">Banco </w:t>
            </w:r>
            <w:r w:rsidR="0062499A" w:rsidRPr="00AE4E8D">
              <w:rPr>
                <w:rFonts w:ascii="Times New Roman" w:hAnsi="Times New Roman"/>
                <w:b/>
                <w:bCs/>
                <w:color w:val="000000"/>
                <w:sz w:val="14"/>
                <w:szCs w:val="14"/>
                <w:lang w:val="es-ES" w:eastAsia="es-AR"/>
              </w:rPr>
              <w:t>Hipotecario</w:t>
            </w:r>
            <w:r w:rsidR="00713D68" w:rsidRPr="00AE4E8D">
              <w:rPr>
                <w:rFonts w:ascii="Times New Roman" w:hAnsi="Times New Roman"/>
                <w:color w:val="000000"/>
                <w:sz w:val="14"/>
                <w:szCs w:val="14"/>
                <w:lang w:val="en-US" w:eastAsia="es-AR"/>
              </w:rPr>
              <w:t xml:space="preserve"> </w:t>
            </w:r>
            <w:r w:rsidR="00713D68" w:rsidRPr="00AE4E8D">
              <w:rPr>
                <w:rFonts w:ascii="Times New Roman" w:hAnsi="Times New Roman"/>
                <w:b/>
                <w:color w:val="000000"/>
                <w:sz w:val="14"/>
                <w:szCs w:val="14"/>
                <w:lang w:val="en-US" w:eastAsia="es-AR"/>
              </w:rPr>
              <w:t>S.A.</w:t>
            </w:r>
          </w:p>
        </w:tc>
        <w:tc>
          <w:tcPr>
            <w:tcW w:w="875" w:type="dxa"/>
            <w:tcBorders>
              <w:top w:val="nil"/>
              <w:left w:val="nil"/>
              <w:bottom w:val="nil"/>
              <w:right w:val="nil"/>
            </w:tcBorders>
            <w:shd w:val="clear" w:color="auto" w:fill="auto"/>
            <w:noWrap/>
            <w:vAlign w:val="center"/>
            <w:hideMark/>
          </w:tcPr>
          <w:p w14:paraId="393846D1"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36.637,50</w:t>
            </w:r>
          </w:p>
        </w:tc>
        <w:tc>
          <w:tcPr>
            <w:tcW w:w="240" w:type="dxa"/>
            <w:tcBorders>
              <w:top w:val="nil"/>
              <w:left w:val="nil"/>
              <w:bottom w:val="nil"/>
              <w:right w:val="nil"/>
            </w:tcBorders>
            <w:shd w:val="clear" w:color="auto" w:fill="auto"/>
            <w:noWrap/>
            <w:vAlign w:val="bottom"/>
            <w:hideMark/>
          </w:tcPr>
          <w:p w14:paraId="3F019F9C"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3C54FBCA"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1,98</w:t>
            </w:r>
            <w:r w:rsidRPr="00AE4E8D">
              <w:rPr>
                <w:rFonts w:ascii="Times New Roman" w:hAnsi="Times New Roman"/>
                <w:b/>
                <w:color w:val="000000"/>
                <w:sz w:val="14"/>
                <w:lang w:val="es-ES"/>
              </w:rPr>
              <w:t>%</w:t>
            </w:r>
          </w:p>
        </w:tc>
        <w:tc>
          <w:tcPr>
            <w:tcW w:w="160" w:type="dxa"/>
            <w:tcBorders>
              <w:top w:val="nil"/>
              <w:left w:val="nil"/>
              <w:bottom w:val="nil"/>
              <w:right w:val="nil"/>
            </w:tcBorders>
            <w:shd w:val="clear" w:color="auto" w:fill="auto"/>
            <w:vAlign w:val="bottom"/>
            <w:hideMark/>
          </w:tcPr>
          <w:p w14:paraId="234C3F3D"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noWrap/>
            <w:vAlign w:val="center"/>
            <w:hideMark/>
          </w:tcPr>
          <w:p w14:paraId="3F22CC3F"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47.143,40</w:t>
            </w:r>
          </w:p>
        </w:tc>
        <w:tc>
          <w:tcPr>
            <w:tcW w:w="160" w:type="dxa"/>
            <w:tcBorders>
              <w:top w:val="nil"/>
              <w:left w:val="nil"/>
              <w:bottom w:val="nil"/>
              <w:right w:val="nil"/>
            </w:tcBorders>
            <w:shd w:val="clear" w:color="auto" w:fill="auto"/>
            <w:noWrap/>
            <w:vAlign w:val="bottom"/>
            <w:hideMark/>
          </w:tcPr>
          <w:p w14:paraId="3502527F"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3523A229"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1,78%</w:t>
            </w:r>
          </w:p>
        </w:tc>
        <w:tc>
          <w:tcPr>
            <w:tcW w:w="160" w:type="dxa"/>
            <w:tcBorders>
              <w:top w:val="nil"/>
              <w:left w:val="nil"/>
              <w:bottom w:val="nil"/>
              <w:right w:val="nil"/>
            </w:tcBorders>
            <w:shd w:val="clear" w:color="auto" w:fill="auto"/>
            <w:vAlign w:val="bottom"/>
            <w:hideMark/>
          </w:tcPr>
          <w:p w14:paraId="3310D86F"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noWrap/>
            <w:vAlign w:val="center"/>
            <w:hideMark/>
          </w:tcPr>
          <w:p w14:paraId="284BF67D"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52.394,70</w:t>
            </w:r>
          </w:p>
        </w:tc>
        <w:tc>
          <w:tcPr>
            <w:tcW w:w="160" w:type="dxa"/>
            <w:tcBorders>
              <w:top w:val="nil"/>
              <w:left w:val="nil"/>
              <w:bottom w:val="nil"/>
              <w:right w:val="nil"/>
            </w:tcBorders>
            <w:shd w:val="clear" w:color="auto" w:fill="auto"/>
            <w:noWrap/>
            <w:vAlign w:val="bottom"/>
            <w:hideMark/>
          </w:tcPr>
          <w:p w14:paraId="053BDCED"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64971676"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color w:val="000000"/>
                <w:sz w:val="14"/>
                <w:lang w:val="es-ES"/>
              </w:rPr>
              <w:t>1,</w:t>
            </w:r>
            <w:r w:rsidRPr="00AE4E8D">
              <w:rPr>
                <w:rFonts w:ascii="Times New Roman" w:hAnsi="Times New Roman"/>
                <w:b/>
                <w:bCs/>
                <w:color w:val="000000"/>
                <w:sz w:val="14"/>
                <w:szCs w:val="14"/>
                <w:lang w:val="es-ES" w:eastAsia="es-AR"/>
              </w:rPr>
              <w:t>81</w:t>
            </w:r>
            <w:r w:rsidRPr="00AE4E8D">
              <w:rPr>
                <w:rFonts w:ascii="Times New Roman" w:hAnsi="Times New Roman"/>
                <w:b/>
                <w:color w:val="000000"/>
                <w:sz w:val="14"/>
                <w:lang w:val="es-ES"/>
              </w:rPr>
              <w:t>%</w:t>
            </w:r>
          </w:p>
        </w:tc>
      </w:tr>
      <w:tr w:rsidR="003B5193" w:rsidRPr="00AE4E8D" w14:paraId="4707F422" w14:textId="77777777" w:rsidTr="000400C8">
        <w:trPr>
          <w:trHeight w:val="540"/>
          <w:jc w:val="center"/>
        </w:trPr>
        <w:tc>
          <w:tcPr>
            <w:tcW w:w="708" w:type="dxa"/>
            <w:tcBorders>
              <w:top w:val="nil"/>
              <w:left w:val="nil"/>
              <w:bottom w:val="nil"/>
              <w:right w:val="nil"/>
            </w:tcBorders>
            <w:shd w:val="clear" w:color="auto" w:fill="auto"/>
            <w:noWrap/>
            <w:vAlign w:val="bottom"/>
            <w:hideMark/>
          </w:tcPr>
          <w:p w14:paraId="6D4D9F6C" w14:textId="77777777" w:rsidR="0062499A" w:rsidRPr="00AE4E8D" w:rsidRDefault="0062499A" w:rsidP="0062499A">
            <w:pPr>
              <w:rPr>
                <w:rFonts w:ascii="Times New Roman" w:hAnsi="Times New Roman"/>
                <w:color w:val="000000"/>
                <w:lang w:val="es-ES"/>
              </w:rPr>
            </w:pPr>
          </w:p>
        </w:tc>
        <w:tc>
          <w:tcPr>
            <w:tcW w:w="1777" w:type="dxa"/>
            <w:tcBorders>
              <w:top w:val="nil"/>
              <w:left w:val="nil"/>
              <w:bottom w:val="nil"/>
              <w:right w:val="nil"/>
            </w:tcBorders>
            <w:shd w:val="clear" w:color="auto" w:fill="auto"/>
            <w:vAlign w:val="center"/>
            <w:hideMark/>
          </w:tcPr>
          <w:p w14:paraId="55E9F1FC" w14:textId="77777777" w:rsidR="0062499A" w:rsidRPr="00AE4E8D" w:rsidRDefault="0062499A" w:rsidP="0062499A">
            <w:pPr>
              <w:rPr>
                <w:rFonts w:ascii="Times New Roman" w:hAnsi="Times New Roman"/>
                <w:color w:val="000000"/>
                <w:sz w:val="14"/>
                <w:lang w:val="es-ES"/>
              </w:rPr>
            </w:pPr>
            <w:r w:rsidRPr="00AE4E8D">
              <w:rPr>
                <w:rFonts w:ascii="Times New Roman" w:hAnsi="Times New Roman"/>
                <w:color w:val="000000"/>
                <w:sz w:val="14"/>
                <w:szCs w:val="14"/>
                <w:lang w:val="es-ES" w:eastAsia="es-AR"/>
              </w:rPr>
              <w:t>Sistema financiero argentino</w:t>
            </w:r>
          </w:p>
        </w:tc>
        <w:tc>
          <w:tcPr>
            <w:tcW w:w="875" w:type="dxa"/>
            <w:tcBorders>
              <w:top w:val="nil"/>
              <w:left w:val="nil"/>
              <w:bottom w:val="nil"/>
              <w:right w:val="nil"/>
            </w:tcBorders>
            <w:shd w:val="clear" w:color="auto" w:fill="auto"/>
            <w:vAlign w:val="center"/>
            <w:hideMark/>
          </w:tcPr>
          <w:p w14:paraId="0AF5453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1.846.096,50</w:t>
            </w:r>
          </w:p>
        </w:tc>
        <w:tc>
          <w:tcPr>
            <w:tcW w:w="240" w:type="dxa"/>
            <w:tcBorders>
              <w:top w:val="nil"/>
              <w:left w:val="nil"/>
              <w:bottom w:val="nil"/>
              <w:right w:val="nil"/>
            </w:tcBorders>
            <w:shd w:val="clear" w:color="auto" w:fill="auto"/>
            <w:vAlign w:val="bottom"/>
            <w:hideMark/>
          </w:tcPr>
          <w:p w14:paraId="7E6CFB56"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35F3007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160" w:type="dxa"/>
            <w:tcBorders>
              <w:top w:val="nil"/>
              <w:left w:val="nil"/>
              <w:bottom w:val="nil"/>
              <w:right w:val="nil"/>
            </w:tcBorders>
            <w:shd w:val="clear" w:color="auto" w:fill="auto"/>
            <w:vAlign w:val="bottom"/>
            <w:hideMark/>
          </w:tcPr>
          <w:p w14:paraId="46659033" w14:textId="77777777" w:rsidR="0062499A" w:rsidRPr="00AE4E8D" w:rsidRDefault="0062499A" w:rsidP="0062499A">
            <w:pPr>
              <w:rPr>
                <w:rFonts w:ascii="Times New Roman" w:hAnsi="Times New Roman"/>
                <w:color w:val="000000"/>
                <w:lang w:val="es-ES"/>
              </w:rPr>
            </w:pPr>
          </w:p>
        </w:tc>
        <w:tc>
          <w:tcPr>
            <w:tcW w:w="969" w:type="dxa"/>
            <w:tcBorders>
              <w:top w:val="nil"/>
              <w:left w:val="nil"/>
              <w:bottom w:val="nil"/>
              <w:right w:val="nil"/>
            </w:tcBorders>
            <w:shd w:val="clear" w:color="auto" w:fill="auto"/>
            <w:vAlign w:val="center"/>
            <w:hideMark/>
          </w:tcPr>
          <w:p w14:paraId="4159CC7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2.645.672,90</w:t>
            </w:r>
          </w:p>
        </w:tc>
        <w:tc>
          <w:tcPr>
            <w:tcW w:w="160" w:type="dxa"/>
            <w:tcBorders>
              <w:top w:val="nil"/>
              <w:left w:val="nil"/>
              <w:bottom w:val="nil"/>
              <w:right w:val="nil"/>
            </w:tcBorders>
            <w:shd w:val="clear" w:color="auto" w:fill="auto"/>
            <w:vAlign w:val="bottom"/>
            <w:hideMark/>
          </w:tcPr>
          <w:p w14:paraId="2D06E10E" w14:textId="77777777" w:rsidR="0062499A" w:rsidRPr="00AE4E8D" w:rsidRDefault="0062499A" w:rsidP="0062499A">
            <w:pPr>
              <w:rPr>
                <w:rFonts w:ascii="Times New Roman" w:hAnsi="Times New Roman"/>
                <w:color w:val="000000"/>
                <w:lang w:val="es-ES"/>
              </w:rPr>
            </w:pPr>
          </w:p>
        </w:tc>
        <w:tc>
          <w:tcPr>
            <w:tcW w:w="974" w:type="dxa"/>
            <w:tcBorders>
              <w:top w:val="nil"/>
              <w:left w:val="nil"/>
              <w:bottom w:val="nil"/>
              <w:right w:val="nil"/>
            </w:tcBorders>
            <w:shd w:val="clear" w:color="auto" w:fill="auto"/>
            <w:vAlign w:val="center"/>
            <w:hideMark/>
          </w:tcPr>
          <w:p w14:paraId="7BF4A36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160" w:type="dxa"/>
            <w:tcBorders>
              <w:top w:val="nil"/>
              <w:left w:val="nil"/>
              <w:bottom w:val="nil"/>
              <w:right w:val="nil"/>
            </w:tcBorders>
            <w:shd w:val="clear" w:color="auto" w:fill="auto"/>
            <w:vAlign w:val="bottom"/>
            <w:hideMark/>
          </w:tcPr>
          <w:p w14:paraId="732DDE5D" w14:textId="77777777" w:rsidR="0062499A" w:rsidRPr="00AE4E8D" w:rsidRDefault="0062499A" w:rsidP="0062499A">
            <w:pPr>
              <w:rPr>
                <w:rFonts w:ascii="Times New Roman" w:hAnsi="Times New Roman"/>
                <w:color w:val="000000"/>
                <w:lang w:val="es-ES"/>
              </w:rPr>
            </w:pPr>
          </w:p>
        </w:tc>
        <w:tc>
          <w:tcPr>
            <w:tcW w:w="875" w:type="dxa"/>
            <w:tcBorders>
              <w:top w:val="nil"/>
              <w:left w:val="nil"/>
              <w:bottom w:val="nil"/>
              <w:right w:val="nil"/>
            </w:tcBorders>
            <w:shd w:val="clear" w:color="auto" w:fill="auto"/>
            <w:vAlign w:val="center"/>
            <w:hideMark/>
          </w:tcPr>
          <w:p w14:paraId="41B8934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eastAsia="es-AR"/>
              </w:rPr>
              <w:t>894.262,70</w:t>
            </w:r>
          </w:p>
        </w:tc>
        <w:tc>
          <w:tcPr>
            <w:tcW w:w="160" w:type="dxa"/>
            <w:tcBorders>
              <w:top w:val="nil"/>
              <w:left w:val="nil"/>
              <w:bottom w:val="nil"/>
              <w:right w:val="nil"/>
            </w:tcBorders>
            <w:shd w:val="clear" w:color="auto" w:fill="auto"/>
            <w:vAlign w:val="bottom"/>
            <w:hideMark/>
          </w:tcPr>
          <w:p w14:paraId="60F76150" w14:textId="77777777" w:rsidR="0062499A" w:rsidRPr="00AE4E8D" w:rsidRDefault="0062499A" w:rsidP="0062499A">
            <w:pPr>
              <w:rPr>
                <w:rFonts w:ascii="Times New Roman" w:hAnsi="Times New Roman"/>
                <w:color w:val="000000"/>
                <w:lang w:val="es-ES"/>
              </w:rPr>
            </w:pPr>
          </w:p>
        </w:tc>
        <w:tc>
          <w:tcPr>
            <w:tcW w:w="932" w:type="dxa"/>
            <w:tcBorders>
              <w:top w:val="nil"/>
              <w:left w:val="nil"/>
              <w:bottom w:val="nil"/>
              <w:right w:val="nil"/>
            </w:tcBorders>
            <w:shd w:val="clear" w:color="auto" w:fill="auto"/>
            <w:vAlign w:val="center"/>
            <w:hideMark/>
          </w:tcPr>
          <w:p w14:paraId="0D5D155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100,00%</w:t>
            </w:r>
          </w:p>
        </w:tc>
      </w:tr>
    </w:tbl>
    <w:p w14:paraId="172D942C" w14:textId="77777777" w:rsidR="008C50B4" w:rsidRPr="00AE4E8D" w:rsidRDefault="008C50B4" w:rsidP="008C50B4">
      <w:pPr>
        <w:pBdr>
          <w:bottom w:val="single" w:sz="4" w:space="1" w:color="auto"/>
        </w:pBdr>
        <w:autoSpaceDE w:val="0"/>
        <w:autoSpaceDN w:val="0"/>
        <w:adjustRightInd w:val="0"/>
        <w:ind w:right="7740"/>
        <w:jc w:val="both"/>
        <w:rPr>
          <w:rFonts w:ascii="Times New Roman" w:eastAsia="MS Mincho" w:hAnsi="Times New Roman"/>
          <w:w w:val="1"/>
          <w:sz w:val="8"/>
          <w:lang w:val="es-ES"/>
        </w:rPr>
      </w:pPr>
    </w:p>
    <w:p w14:paraId="4A9A0AF7" w14:textId="77777777" w:rsidR="008C50B4" w:rsidRPr="00AE4E8D" w:rsidRDefault="008C50B4" w:rsidP="008C50B4">
      <w:pPr>
        <w:autoSpaceDE w:val="0"/>
        <w:autoSpaceDN w:val="0"/>
        <w:adjustRightInd w:val="0"/>
        <w:spacing w:after="240"/>
        <w:rPr>
          <w:rFonts w:ascii="Times New Roman" w:hAnsi="Times New Roman"/>
          <w:sz w:val="16"/>
          <w:lang w:val="es-ES"/>
        </w:rPr>
      </w:pPr>
      <w:r w:rsidRPr="00AE4E8D">
        <w:rPr>
          <w:rFonts w:ascii="Times New Roman" w:hAnsi="Times New Roman"/>
          <w:sz w:val="16"/>
          <w:lang w:val="es-ES"/>
        </w:rPr>
        <w:t>(*) Fuente: BCRA.</w:t>
      </w:r>
      <w:r w:rsidRPr="00AE4E8D">
        <w:rPr>
          <w:rFonts w:ascii="Times New Roman" w:hAnsi="Times New Roman"/>
          <w:color w:val="000000"/>
          <w:sz w:val="14"/>
          <w:lang w:val="es-ES"/>
        </w:rPr>
        <w:t xml:space="preserve"> </w:t>
      </w:r>
    </w:p>
    <w:p w14:paraId="12A37B4D"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72" w:name="_Toc421201418"/>
      <w:bookmarkStart w:id="573" w:name="_Toc495973031"/>
      <w:bookmarkStart w:id="574" w:name="_Toc495399938"/>
      <w:r w:rsidRPr="00AE4E8D">
        <w:rPr>
          <w:rFonts w:ascii="Times New Roman" w:hAnsi="Times New Roman"/>
          <w:b/>
          <w:lang w:val="es-ES"/>
        </w:rPr>
        <w:t>Calidad de Cartera</w:t>
      </w:r>
      <w:bookmarkEnd w:id="572"/>
      <w:bookmarkEnd w:id="573"/>
      <w:bookmarkEnd w:id="574"/>
    </w:p>
    <w:p w14:paraId="24BDFD16"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siguiente tabla muestra el índice de préstamos en situación irregular sobre préstamos totales, neto de provisiones, para los diez bancos más grandes del sistema financiero argentino a las fechas indicadas:</w:t>
      </w:r>
    </w:p>
    <w:tbl>
      <w:tblPr>
        <w:tblW w:w="5000" w:type="pct"/>
        <w:tblCellMar>
          <w:left w:w="70" w:type="dxa"/>
          <w:right w:w="70" w:type="dxa"/>
        </w:tblCellMar>
        <w:tblLook w:val="04A0" w:firstRow="1" w:lastRow="0" w:firstColumn="1" w:lastColumn="0" w:noHBand="0" w:noVBand="1"/>
      </w:tblPr>
      <w:tblGrid>
        <w:gridCol w:w="1100"/>
        <w:gridCol w:w="2799"/>
        <w:gridCol w:w="1266"/>
        <w:gridCol w:w="315"/>
        <w:gridCol w:w="1326"/>
        <w:gridCol w:w="399"/>
        <w:gridCol w:w="401"/>
        <w:gridCol w:w="1039"/>
      </w:tblGrid>
      <w:tr w:rsidR="003B5193" w:rsidRPr="00AE4E8D" w14:paraId="4A3A31C4" w14:textId="77777777" w:rsidTr="000400C8">
        <w:trPr>
          <w:trHeight w:val="315"/>
        </w:trPr>
        <w:tc>
          <w:tcPr>
            <w:tcW w:w="636" w:type="pct"/>
            <w:vMerge w:val="restart"/>
            <w:tcBorders>
              <w:top w:val="nil"/>
              <w:left w:val="nil"/>
              <w:bottom w:val="nil"/>
              <w:right w:val="nil"/>
            </w:tcBorders>
            <w:shd w:val="clear" w:color="auto" w:fill="auto"/>
            <w:vAlign w:val="center"/>
            <w:hideMark/>
          </w:tcPr>
          <w:p w14:paraId="27A2ECBE"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 xml:space="preserve">Ranking por </w:t>
            </w:r>
            <w:r w:rsidRPr="00AE4E8D">
              <w:rPr>
                <w:rFonts w:ascii="Times New Roman" w:hAnsi="Times New Roman"/>
                <w:b/>
                <w:bCs/>
                <w:color w:val="000000"/>
                <w:sz w:val="14"/>
                <w:szCs w:val="14"/>
                <w:lang w:val="es-ES" w:eastAsia="es-AR"/>
              </w:rPr>
              <w:lastRenderedPageBreak/>
              <w:t>Préstamos</w:t>
            </w:r>
          </w:p>
        </w:tc>
        <w:tc>
          <w:tcPr>
            <w:tcW w:w="1619" w:type="pct"/>
            <w:vMerge w:val="restart"/>
            <w:tcBorders>
              <w:top w:val="nil"/>
              <w:left w:val="nil"/>
              <w:bottom w:val="nil"/>
              <w:right w:val="nil"/>
            </w:tcBorders>
            <w:shd w:val="clear" w:color="auto" w:fill="auto"/>
            <w:vAlign w:val="center"/>
            <w:hideMark/>
          </w:tcPr>
          <w:p w14:paraId="3060EDE5"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lastRenderedPageBreak/>
              <w:t>Banco</w:t>
            </w:r>
          </w:p>
        </w:tc>
        <w:tc>
          <w:tcPr>
            <w:tcW w:w="1912" w:type="pct"/>
            <w:gridSpan w:val="4"/>
            <w:tcBorders>
              <w:top w:val="nil"/>
              <w:left w:val="nil"/>
              <w:bottom w:val="single" w:sz="8" w:space="0" w:color="auto"/>
              <w:right w:val="nil"/>
            </w:tcBorders>
            <w:shd w:val="clear" w:color="auto" w:fill="auto"/>
            <w:vAlign w:val="center"/>
            <w:hideMark/>
          </w:tcPr>
          <w:p w14:paraId="11933EDD"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Al 31 de diciembre,</w:t>
            </w:r>
          </w:p>
        </w:tc>
        <w:tc>
          <w:tcPr>
            <w:tcW w:w="232" w:type="pct"/>
            <w:tcBorders>
              <w:top w:val="nil"/>
              <w:left w:val="nil"/>
              <w:bottom w:val="nil"/>
              <w:right w:val="nil"/>
            </w:tcBorders>
            <w:shd w:val="clear" w:color="auto" w:fill="auto"/>
            <w:vAlign w:val="center"/>
            <w:hideMark/>
          </w:tcPr>
          <w:p w14:paraId="58DF6180" w14:textId="77777777" w:rsidR="0062499A" w:rsidRPr="00AE4E8D" w:rsidRDefault="0062499A" w:rsidP="0062499A">
            <w:pPr>
              <w:rPr>
                <w:rFonts w:ascii="Times New Roman" w:hAnsi="Times New Roman"/>
                <w:b/>
                <w:bCs/>
                <w:color w:val="000000"/>
                <w:sz w:val="14"/>
                <w:szCs w:val="14"/>
                <w:lang w:val="es-ES" w:eastAsia="es-AR"/>
              </w:rPr>
            </w:pPr>
          </w:p>
        </w:tc>
        <w:tc>
          <w:tcPr>
            <w:tcW w:w="601" w:type="pct"/>
            <w:tcBorders>
              <w:top w:val="nil"/>
              <w:left w:val="nil"/>
              <w:bottom w:val="single" w:sz="8" w:space="0" w:color="auto"/>
              <w:right w:val="nil"/>
            </w:tcBorders>
            <w:shd w:val="clear" w:color="auto" w:fill="auto"/>
            <w:vAlign w:val="center"/>
            <w:hideMark/>
          </w:tcPr>
          <w:p w14:paraId="0CAC54B4" w14:textId="77777777" w:rsidR="0062499A" w:rsidRPr="00AE4E8D" w:rsidRDefault="0062499A" w:rsidP="0062499A">
            <w:pPr>
              <w:jc w:val="center"/>
              <w:rPr>
                <w:rFonts w:ascii="Times New Roman" w:hAnsi="Times New Roman"/>
                <w:b/>
                <w:bCs/>
                <w:color w:val="000000"/>
                <w:sz w:val="14"/>
                <w:szCs w:val="14"/>
                <w:lang w:val="es-ES" w:eastAsia="es-AR"/>
              </w:rPr>
            </w:pPr>
            <w:r w:rsidRPr="00AE4E8D">
              <w:rPr>
                <w:rFonts w:ascii="Times New Roman" w:hAnsi="Times New Roman"/>
                <w:b/>
                <w:bCs/>
                <w:color w:val="000000"/>
                <w:sz w:val="14"/>
                <w:szCs w:val="14"/>
                <w:lang w:val="es-ES" w:eastAsia="es-AR"/>
              </w:rPr>
              <w:t>Al 30 de abril,</w:t>
            </w:r>
          </w:p>
        </w:tc>
      </w:tr>
      <w:tr w:rsidR="00EC0AED" w:rsidRPr="00AE4E8D" w14:paraId="3967959E" w14:textId="77777777" w:rsidTr="000400C8">
        <w:trPr>
          <w:trHeight w:val="315"/>
        </w:trPr>
        <w:tc>
          <w:tcPr>
            <w:tcW w:w="636" w:type="pct"/>
            <w:vMerge/>
            <w:tcBorders>
              <w:top w:val="nil"/>
              <w:left w:val="nil"/>
              <w:bottom w:val="nil"/>
              <w:right w:val="nil"/>
            </w:tcBorders>
            <w:vAlign w:val="center"/>
            <w:hideMark/>
          </w:tcPr>
          <w:p w14:paraId="359404C5" w14:textId="77777777" w:rsidR="0062499A" w:rsidRPr="00AE4E8D" w:rsidRDefault="0062499A" w:rsidP="0062499A">
            <w:pPr>
              <w:rPr>
                <w:rFonts w:ascii="Times New Roman" w:hAnsi="Times New Roman"/>
                <w:b/>
                <w:color w:val="000000"/>
                <w:sz w:val="14"/>
                <w:lang w:val="es-ES"/>
              </w:rPr>
            </w:pPr>
          </w:p>
        </w:tc>
        <w:tc>
          <w:tcPr>
            <w:tcW w:w="1619" w:type="pct"/>
            <w:vMerge/>
            <w:tcBorders>
              <w:top w:val="nil"/>
              <w:left w:val="nil"/>
              <w:bottom w:val="nil"/>
              <w:right w:val="nil"/>
            </w:tcBorders>
            <w:vAlign w:val="center"/>
            <w:hideMark/>
          </w:tcPr>
          <w:p w14:paraId="0A87C7DF" w14:textId="77777777" w:rsidR="0062499A" w:rsidRPr="00AE4E8D" w:rsidRDefault="0062499A" w:rsidP="0062499A">
            <w:pPr>
              <w:rPr>
                <w:rFonts w:ascii="Times New Roman" w:hAnsi="Times New Roman"/>
                <w:b/>
                <w:color w:val="000000"/>
                <w:sz w:val="14"/>
                <w:lang w:val="es-ES"/>
              </w:rPr>
            </w:pPr>
          </w:p>
        </w:tc>
        <w:tc>
          <w:tcPr>
            <w:tcW w:w="732" w:type="pct"/>
            <w:tcBorders>
              <w:top w:val="nil"/>
              <w:left w:val="nil"/>
              <w:bottom w:val="single" w:sz="8" w:space="0" w:color="auto"/>
              <w:right w:val="nil"/>
            </w:tcBorders>
            <w:shd w:val="clear" w:color="auto" w:fill="auto"/>
            <w:vAlign w:val="center"/>
            <w:hideMark/>
          </w:tcPr>
          <w:p w14:paraId="160B625F"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2015</w:t>
            </w:r>
          </w:p>
        </w:tc>
        <w:tc>
          <w:tcPr>
            <w:tcW w:w="182" w:type="pct"/>
            <w:tcBorders>
              <w:top w:val="nil"/>
              <w:left w:val="nil"/>
              <w:bottom w:val="nil"/>
              <w:right w:val="nil"/>
            </w:tcBorders>
            <w:shd w:val="clear" w:color="auto" w:fill="auto"/>
            <w:vAlign w:val="center"/>
            <w:hideMark/>
          </w:tcPr>
          <w:p w14:paraId="4DC99E5E" w14:textId="77777777" w:rsidR="0062499A" w:rsidRPr="00AE4E8D" w:rsidRDefault="0062499A" w:rsidP="00241071">
            <w:pPr>
              <w:rPr>
                <w:rFonts w:ascii="Times New Roman" w:hAnsi="Times New Roman"/>
                <w:color w:val="000000"/>
                <w:lang w:val="es-ES"/>
              </w:rPr>
            </w:pPr>
          </w:p>
        </w:tc>
        <w:tc>
          <w:tcPr>
            <w:tcW w:w="767" w:type="pct"/>
            <w:tcBorders>
              <w:top w:val="nil"/>
              <w:left w:val="nil"/>
              <w:bottom w:val="single" w:sz="8" w:space="0" w:color="auto"/>
              <w:right w:val="nil"/>
            </w:tcBorders>
            <w:shd w:val="clear" w:color="auto" w:fill="auto"/>
            <w:vAlign w:val="center"/>
            <w:hideMark/>
          </w:tcPr>
          <w:p w14:paraId="4ACD5D68"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2016</w:t>
            </w:r>
          </w:p>
        </w:tc>
        <w:tc>
          <w:tcPr>
            <w:tcW w:w="230" w:type="pct"/>
            <w:tcBorders>
              <w:top w:val="nil"/>
              <w:left w:val="nil"/>
              <w:bottom w:val="nil"/>
              <w:right w:val="nil"/>
            </w:tcBorders>
            <w:shd w:val="clear" w:color="auto" w:fill="auto"/>
            <w:vAlign w:val="center"/>
            <w:hideMark/>
          </w:tcPr>
          <w:p w14:paraId="43852FC7" w14:textId="77777777" w:rsidR="0062499A" w:rsidRPr="00AE4E8D" w:rsidRDefault="0062499A" w:rsidP="00241071">
            <w:pPr>
              <w:rPr>
                <w:rFonts w:ascii="Times New Roman" w:hAnsi="Times New Roman"/>
                <w:color w:val="000000"/>
                <w:lang w:val="es-ES"/>
              </w:rPr>
            </w:pPr>
          </w:p>
        </w:tc>
        <w:tc>
          <w:tcPr>
            <w:tcW w:w="833" w:type="pct"/>
            <w:gridSpan w:val="2"/>
            <w:tcBorders>
              <w:top w:val="nil"/>
              <w:left w:val="nil"/>
              <w:bottom w:val="single" w:sz="8" w:space="0" w:color="auto"/>
              <w:right w:val="nil"/>
            </w:tcBorders>
            <w:shd w:val="clear" w:color="auto" w:fill="auto"/>
            <w:vAlign w:val="center"/>
            <w:hideMark/>
          </w:tcPr>
          <w:p w14:paraId="6786CCB1"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2017</w:t>
            </w:r>
          </w:p>
        </w:tc>
      </w:tr>
      <w:tr w:rsidR="0062499A" w:rsidRPr="00AE4E8D" w14:paraId="64E12D8C" w14:textId="77777777" w:rsidTr="000400C8">
        <w:trPr>
          <w:trHeight w:val="300"/>
        </w:trPr>
        <w:tc>
          <w:tcPr>
            <w:tcW w:w="636" w:type="pct"/>
            <w:tcBorders>
              <w:top w:val="nil"/>
              <w:left w:val="nil"/>
              <w:bottom w:val="nil"/>
              <w:right w:val="nil"/>
            </w:tcBorders>
            <w:shd w:val="clear" w:color="auto" w:fill="auto"/>
            <w:noWrap/>
            <w:vAlign w:val="bottom"/>
            <w:hideMark/>
          </w:tcPr>
          <w:p w14:paraId="55E396C7" w14:textId="77777777" w:rsidR="0062499A" w:rsidRPr="00AE4E8D" w:rsidRDefault="0062499A" w:rsidP="0062499A">
            <w:pPr>
              <w:rPr>
                <w:rFonts w:ascii="Times New Roman" w:hAnsi="Times New Roman"/>
                <w:color w:val="000000"/>
                <w:lang w:val="es-ES"/>
              </w:rPr>
            </w:pPr>
          </w:p>
        </w:tc>
        <w:tc>
          <w:tcPr>
            <w:tcW w:w="1619" w:type="pct"/>
            <w:tcBorders>
              <w:top w:val="nil"/>
              <w:left w:val="nil"/>
              <w:bottom w:val="nil"/>
              <w:right w:val="nil"/>
            </w:tcBorders>
            <w:shd w:val="clear" w:color="auto" w:fill="auto"/>
            <w:vAlign w:val="bottom"/>
            <w:hideMark/>
          </w:tcPr>
          <w:p w14:paraId="171C3BF8" w14:textId="77777777" w:rsidR="0062499A" w:rsidRPr="00AE4E8D" w:rsidRDefault="0062499A" w:rsidP="00241071">
            <w:pPr>
              <w:rPr>
                <w:rFonts w:ascii="Times New Roman" w:hAnsi="Times New Roman"/>
                <w:color w:val="000000"/>
                <w:lang w:val="es-ES"/>
              </w:rPr>
            </w:pPr>
          </w:p>
        </w:tc>
        <w:tc>
          <w:tcPr>
            <w:tcW w:w="2745" w:type="pct"/>
            <w:gridSpan w:val="6"/>
            <w:tcBorders>
              <w:top w:val="nil"/>
              <w:left w:val="nil"/>
              <w:bottom w:val="nil"/>
              <w:right w:val="nil"/>
            </w:tcBorders>
            <w:shd w:val="clear" w:color="auto" w:fill="auto"/>
            <w:vAlign w:val="center"/>
            <w:hideMark/>
          </w:tcPr>
          <w:p w14:paraId="31354D3F"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(en porcentajes)</w:t>
            </w:r>
          </w:p>
        </w:tc>
      </w:tr>
      <w:tr w:rsidR="00EC0AED" w:rsidRPr="00AE4E8D" w14:paraId="51DBD4C2" w14:textId="77777777" w:rsidTr="00EC0AED">
        <w:trPr>
          <w:trHeight w:val="300"/>
        </w:trPr>
        <w:tc>
          <w:tcPr>
            <w:tcW w:w="636" w:type="pct"/>
            <w:tcBorders>
              <w:top w:val="nil"/>
              <w:left w:val="nil"/>
              <w:bottom w:val="nil"/>
              <w:right w:val="nil"/>
            </w:tcBorders>
            <w:shd w:val="clear" w:color="auto" w:fill="auto"/>
            <w:noWrap/>
            <w:vAlign w:val="bottom"/>
            <w:hideMark/>
          </w:tcPr>
          <w:p w14:paraId="2D9D2E86" w14:textId="77777777" w:rsidR="0062499A" w:rsidRPr="00AE4E8D" w:rsidRDefault="0062499A" w:rsidP="0062499A">
            <w:pPr>
              <w:rPr>
                <w:rFonts w:ascii="Times New Roman" w:hAnsi="Times New Roman"/>
                <w:color w:val="000000"/>
                <w:lang w:val="es-ES"/>
              </w:rPr>
            </w:pPr>
          </w:p>
        </w:tc>
        <w:tc>
          <w:tcPr>
            <w:tcW w:w="1619" w:type="pct"/>
            <w:tcBorders>
              <w:top w:val="nil"/>
              <w:left w:val="nil"/>
              <w:bottom w:val="nil"/>
              <w:right w:val="nil"/>
            </w:tcBorders>
            <w:shd w:val="clear" w:color="auto" w:fill="auto"/>
            <w:vAlign w:val="bottom"/>
            <w:hideMark/>
          </w:tcPr>
          <w:p w14:paraId="020E9C48" w14:textId="77777777" w:rsidR="0062499A" w:rsidRPr="00AE4E8D" w:rsidRDefault="0062499A" w:rsidP="00241071">
            <w:pPr>
              <w:rPr>
                <w:rFonts w:ascii="Times New Roman" w:hAnsi="Times New Roman"/>
                <w:color w:val="000000"/>
                <w:lang w:val="es-ES"/>
              </w:rPr>
            </w:pPr>
          </w:p>
        </w:tc>
        <w:tc>
          <w:tcPr>
            <w:tcW w:w="732" w:type="pct"/>
            <w:tcBorders>
              <w:top w:val="nil"/>
              <w:left w:val="nil"/>
              <w:bottom w:val="nil"/>
              <w:right w:val="nil"/>
            </w:tcBorders>
            <w:shd w:val="clear" w:color="auto" w:fill="auto"/>
            <w:vAlign w:val="bottom"/>
            <w:hideMark/>
          </w:tcPr>
          <w:p w14:paraId="058E2238" w14:textId="77777777" w:rsidR="0062499A" w:rsidRPr="00AE4E8D" w:rsidRDefault="0062499A" w:rsidP="0062499A">
            <w:pPr>
              <w:rPr>
                <w:rFonts w:ascii="Times New Roman" w:hAnsi="Times New Roman"/>
                <w:color w:val="000000"/>
                <w:lang w:val="es-ES"/>
              </w:rPr>
            </w:pPr>
          </w:p>
        </w:tc>
        <w:tc>
          <w:tcPr>
            <w:tcW w:w="182" w:type="pct"/>
            <w:tcBorders>
              <w:top w:val="nil"/>
              <w:left w:val="nil"/>
              <w:bottom w:val="nil"/>
              <w:right w:val="nil"/>
            </w:tcBorders>
            <w:shd w:val="clear" w:color="auto" w:fill="auto"/>
            <w:vAlign w:val="bottom"/>
            <w:hideMark/>
          </w:tcPr>
          <w:p w14:paraId="38C36A54"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bottom"/>
            <w:hideMark/>
          </w:tcPr>
          <w:p w14:paraId="3BD2FAE3" w14:textId="77777777" w:rsidR="0062499A" w:rsidRPr="00AE4E8D" w:rsidRDefault="0062499A" w:rsidP="00241071">
            <w:pPr>
              <w:rPr>
                <w:rFonts w:ascii="Times New Roman" w:hAnsi="Times New Roman"/>
                <w:color w:val="000000"/>
                <w:lang w:val="es-ES"/>
              </w:rPr>
            </w:pPr>
          </w:p>
        </w:tc>
        <w:tc>
          <w:tcPr>
            <w:tcW w:w="230" w:type="pct"/>
            <w:tcBorders>
              <w:top w:val="nil"/>
              <w:left w:val="nil"/>
              <w:bottom w:val="nil"/>
              <w:right w:val="nil"/>
            </w:tcBorders>
            <w:shd w:val="clear" w:color="auto" w:fill="auto"/>
            <w:vAlign w:val="bottom"/>
            <w:hideMark/>
          </w:tcPr>
          <w:p w14:paraId="27EFB3FA" w14:textId="77777777" w:rsidR="0062499A" w:rsidRPr="00AE4E8D" w:rsidRDefault="0062499A" w:rsidP="00241071">
            <w:pPr>
              <w:rPr>
                <w:rFonts w:ascii="Times New Roman" w:hAnsi="Times New Roman"/>
                <w:color w:val="000000"/>
                <w:lang w:val="es-ES"/>
              </w:rPr>
            </w:pPr>
          </w:p>
        </w:tc>
        <w:tc>
          <w:tcPr>
            <w:tcW w:w="833" w:type="pct"/>
            <w:gridSpan w:val="2"/>
            <w:tcBorders>
              <w:top w:val="nil"/>
              <w:left w:val="nil"/>
              <w:bottom w:val="nil"/>
              <w:right w:val="nil"/>
            </w:tcBorders>
            <w:shd w:val="clear" w:color="auto" w:fill="auto"/>
            <w:vAlign w:val="bottom"/>
            <w:hideMark/>
          </w:tcPr>
          <w:p w14:paraId="31D84BAC" w14:textId="77777777" w:rsidR="0062499A" w:rsidRPr="00AE4E8D" w:rsidRDefault="0062499A" w:rsidP="0062499A">
            <w:pPr>
              <w:rPr>
                <w:rFonts w:ascii="Times New Roman" w:hAnsi="Times New Roman"/>
                <w:color w:val="000000"/>
                <w:lang w:val="es-ES"/>
              </w:rPr>
            </w:pPr>
          </w:p>
        </w:tc>
      </w:tr>
      <w:tr w:rsidR="00EC0AED" w:rsidRPr="00AE4E8D" w14:paraId="3A118580" w14:textId="77777777" w:rsidTr="00EC0AED">
        <w:trPr>
          <w:trHeight w:val="300"/>
        </w:trPr>
        <w:tc>
          <w:tcPr>
            <w:tcW w:w="636" w:type="pct"/>
            <w:tcBorders>
              <w:top w:val="nil"/>
              <w:left w:val="nil"/>
              <w:bottom w:val="nil"/>
              <w:right w:val="nil"/>
            </w:tcBorders>
            <w:shd w:val="clear" w:color="auto" w:fill="auto"/>
            <w:vAlign w:val="center"/>
            <w:hideMark/>
          </w:tcPr>
          <w:p w14:paraId="797DF70E"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w:t>
            </w:r>
          </w:p>
        </w:tc>
        <w:tc>
          <w:tcPr>
            <w:tcW w:w="1619" w:type="pct"/>
            <w:tcBorders>
              <w:top w:val="nil"/>
              <w:left w:val="nil"/>
              <w:bottom w:val="nil"/>
              <w:right w:val="nil"/>
            </w:tcBorders>
            <w:shd w:val="clear" w:color="auto" w:fill="auto"/>
            <w:vAlign w:val="center"/>
            <w:hideMark/>
          </w:tcPr>
          <w:p w14:paraId="707BD975"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FD3A3F" w:rsidRPr="00AE4E8D">
              <w:rPr>
                <w:rFonts w:ascii="Times New Roman" w:hAnsi="Times New Roman"/>
                <w:color w:val="000000"/>
                <w:sz w:val="14"/>
                <w:szCs w:val="14"/>
                <w:lang w:val="es-ES" w:eastAsia="es-AR"/>
              </w:rPr>
              <w:t xml:space="preserve">de la </w:t>
            </w:r>
            <w:r w:rsidRPr="00AE4E8D">
              <w:rPr>
                <w:rFonts w:ascii="Times New Roman" w:hAnsi="Times New Roman"/>
                <w:color w:val="000000"/>
                <w:sz w:val="14"/>
                <w:szCs w:val="14"/>
                <w:lang w:val="es-ES" w:eastAsia="es-AR"/>
              </w:rPr>
              <w:t>Nación</w:t>
            </w:r>
            <w:r w:rsidR="00FD3A3F" w:rsidRPr="00AE4E8D">
              <w:rPr>
                <w:rFonts w:ascii="Times New Roman" w:hAnsi="Times New Roman"/>
                <w:color w:val="000000"/>
                <w:sz w:val="14"/>
                <w:szCs w:val="14"/>
                <w:lang w:val="es-ES" w:eastAsia="es-AR"/>
              </w:rPr>
              <w:t xml:space="preserve"> Argentina</w:t>
            </w:r>
          </w:p>
        </w:tc>
        <w:tc>
          <w:tcPr>
            <w:tcW w:w="732" w:type="pct"/>
            <w:tcBorders>
              <w:top w:val="nil"/>
              <w:left w:val="nil"/>
              <w:bottom w:val="nil"/>
              <w:right w:val="nil"/>
            </w:tcBorders>
            <w:shd w:val="clear" w:color="auto" w:fill="auto"/>
            <w:vAlign w:val="center"/>
            <w:hideMark/>
          </w:tcPr>
          <w:p w14:paraId="5A5243A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1,08%</w:t>
            </w:r>
          </w:p>
        </w:tc>
        <w:tc>
          <w:tcPr>
            <w:tcW w:w="182" w:type="pct"/>
            <w:tcBorders>
              <w:top w:val="nil"/>
              <w:left w:val="nil"/>
              <w:bottom w:val="nil"/>
              <w:right w:val="nil"/>
            </w:tcBorders>
            <w:shd w:val="clear" w:color="auto" w:fill="auto"/>
            <w:vAlign w:val="bottom"/>
            <w:hideMark/>
          </w:tcPr>
          <w:p w14:paraId="20F96782"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1B04AEE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1,52%</w:t>
            </w:r>
          </w:p>
        </w:tc>
        <w:tc>
          <w:tcPr>
            <w:tcW w:w="230" w:type="pct"/>
            <w:tcBorders>
              <w:top w:val="nil"/>
              <w:left w:val="nil"/>
              <w:bottom w:val="nil"/>
              <w:right w:val="nil"/>
            </w:tcBorders>
            <w:shd w:val="clear" w:color="auto" w:fill="auto"/>
            <w:noWrap/>
            <w:vAlign w:val="bottom"/>
            <w:hideMark/>
          </w:tcPr>
          <w:p w14:paraId="1DB6DB77"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0B0E2E4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53</w:t>
            </w:r>
            <w:r w:rsidRPr="00AE4E8D">
              <w:rPr>
                <w:rFonts w:ascii="Times New Roman" w:hAnsi="Times New Roman"/>
                <w:color w:val="000000"/>
                <w:sz w:val="14"/>
                <w:lang w:val="es-ES"/>
              </w:rPr>
              <w:t>%</w:t>
            </w:r>
          </w:p>
        </w:tc>
      </w:tr>
      <w:tr w:rsidR="00EC0AED" w:rsidRPr="00AE4E8D" w14:paraId="350CAB06" w14:textId="77777777" w:rsidTr="00EC0AED">
        <w:trPr>
          <w:trHeight w:val="300"/>
        </w:trPr>
        <w:tc>
          <w:tcPr>
            <w:tcW w:w="636" w:type="pct"/>
            <w:tcBorders>
              <w:top w:val="nil"/>
              <w:left w:val="nil"/>
              <w:bottom w:val="nil"/>
              <w:right w:val="nil"/>
            </w:tcBorders>
            <w:shd w:val="clear" w:color="auto" w:fill="auto"/>
            <w:vAlign w:val="center"/>
            <w:hideMark/>
          </w:tcPr>
          <w:p w14:paraId="4D3B4C14"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2</w:t>
            </w:r>
          </w:p>
        </w:tc>
        <w:tc>
          <w:tcPr>
            <w:tcW w:w="1619" w:type="pct"/>
            <w:tcBorders>
              <w:top w:val="nil"/>
              <w:left w:val="nil"/>
              <w:bottom w:val="nil"/>
              <w:right w:val="nil"/>
            </w:tcBorders>
            <w:shd w:val="clear" w:color="auto" w:fill="auto"/>
            <w:vAlign w:val="center"/>
            <w:hideMark/>
          </w:tcPr>
          <w:p w14:paraId="76E2672A" w14:textId="77777777" w:rsidR="0062499A" w:rsidRPr="00AE4E8D" w:rsidRDefault="00713D68" w:rsidP="0062499A">
            <w:pPr>
              <w:jc w:val="both"/>
              <w:rPr>
                <w:rFonts w:ascii="Times New Roman" w:hAnsi="Times New Roman"/>
                <w:color w:val="000000"/>
                <w:sz w:val="14"/>
                <w:lang w:val="es-ES"/>
              </w:rPr>
            </w:pPr>
            <w:r w:rsidRPr="00AE4E8D">
              <w:rPr>
                <w:rFonts w:ascii="Times New Roman" w:hAnsi="Times New Roman"/>
                <w:color w:val="000000"/>
                <w:sz w:val="14"/>
                <w:szCs w:val="14"/>
                <w:lang w:eastAsia="es-AR"/>
              </w:rPr>
              <w:t>Banco Santander Rio S.A</w:t>
            </w:r>
          </w:p>
        </w:tc>
        <w:tc>
          <w:tcPr>
            <w:tcW w:w="732" w:type="pct"/>
            <w:tcBorders>
              <w:top w:val="nil"/>
              <w:left w:val="nil"/>
              <w:bottom w:val="nil"/>
              <w:right w:val="nil"/>
            </w:tcBorders>
            <w:shd w:val="clear" w:color="auto" w:fill="auto"/>
            <w:vAlign w:val="center"/>
            <w:hideMark/>
          </w:tcPr>
          <w:p w14:paraId="669CB68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0,88%</w:t>
            </w:r>
          </w:p>
        </w:tc>
        <w:tc>
          <w:tcPr>
            <w:tcW w:w="182" w:type="pct"/>
            <w:tcBorders>
              <w:top w:val="nil"/>
              <w:left w:val="nil"/>
              <w:bottom w:val="nil"/>
              <w:right w:val="nil"/>
            </w:tcBorders>
            <w:shd w:val="clear" w:color="auto" w:fill="auto"/>
            <w:vAlign w:val="bottom"/>
            <w:hideMark/>
          </w:tcPr>
          <w:p w14:paraId="25137E69"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77E5576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1,19%</w:t>
            </w:r>
          </w:p>
        </w:tc>
        <w:tc>
          <w:tcPr>
            <w:tcW w:w="230" w:type="pct"/>
            <w:tcBorders>
              <w:top w:val="nil"/>
              <w:left w:val="nil"/>
              <w:bottom w:val="nil"/>
              <w:right w:val="nil"/>
            </w:tcBorders>
            <w:shd w:val="clear" w:color="auto" w:fill="auto"/>
            <w:noWrap/>
            <w:vAlign w:val="bottom"/>
            <w:hideMark/>
          </w:tcPr>
          <w:p w14:paraId="34574C1C"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140F967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97</w:t>
            </w:r>
            <w:r w:rsidRPr="00AE4E8D">
              <w:rPr>
                <w:rFonts w:ascii="Times New Roman" w:hAnsi="Times New Roman"/>
                <w:color w:val="000000"/>
                <w:sz w:val="14"/>
                <w:lang w:val="es-ES"/>
              </w:rPr>
              <w:t>%</w:t>
            </w:r>
          </w:p>
        </w:tc>
      </w:tr>
      <w:tr w:rsidR="00EC0AED" w:rsidRPr="00AE4E8D" w14:paraId="63FD3EE5" w14:textId="77777777" w:rsidTr="00EC0AED">
        <w:trPr>
          <w:trHeight w:val="300"/>
        </w:trPr>
        <w:tc>
          <w:tcPr>
            <w:tcW w:w="636" w:type="pct"/>
            <w:tcBorders>
              <w:top w:val="nil"/>
              <w:left w:val="nil"/>
              <w:bottom w:val="nil"/>
              <w:right w:val="nil"/>
            </w:tcBorders>
            <w:shd w:val="clear" w:color="auto" w:fill="auto"/>
            <w:vAlign w:val="center"/>
            <w:hideMark/>
          </w:tcPr>
          <w:p w14:paraId="4209E3D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3</w:t>
            </w:r>
          </w:p>
        </w:tc>
        <w:tc>
          <w:tcPr>
            <w:tcW w:w="1619" w:type="pct"/>
            <w:tcBorders>
              <w:top w:val="nil"/>
              <w:left w:val="nil"/>
              <w:bottom w:val="nil"/>
              <w:right w:val="nil"/>
            </w:tcBorders>
            <w:shd w:val="clear" w:color="auto" w:fill="auto"/>
            <w:vAlign w:val="center"/>
            <w:hideMark/>
          </w:tcPr>
          <w:p w14:paraId="10758C37"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w:t>
            </w:r>
            <w:r w:rsidR="0062499A" w:rsidRPr="00AE4E8D">
              <w:rPr>
                <w:rFonts w:ascii="Times New Roman" w:hAnsi="Times New Roman"/>
                <w:color w:val="000000"/>
                <w:sz w:val="14"/>
                <w:szCs w:val="14"/>
                <w:lang w:val="es-ES" w:eastAsia="es-AR"/>
              </w:rPr>
              <w:t>Galicia</w:t>
            </w:r>
            <w:r w:rsidRPr="00AE4E8D">
              <w:rPr>
                <w:rFonts w:ascii="Times New Roman" w:hAnsi="Times New Roman"/>
                <w:color w:val="000000"/>
                <w:sz w:val="14"/>
                <w:szCs w:val="14"/>
                <w:lang w:val="es-ES" w:eastAsia="es-AR"/>
              </w:rPr>
              <w:t xml:space="preserve"> y Buenos Aires</w:t>
            </w:r>
            <w:r w:rsidR="00713D68" w:rsidRPr="00AE4E8D">
              <w:rPr>
                <w:rFonts w:ascii="Times New Roman" w:hAnsi="Times New Roman"/>
                <w:color w:val="000000"/>
                <w:sz w:val="14"/>
                <w:szCs w:val="14"/>
                <w:lang w:val="es-ES" w:eastAsia="es-AR"/>
              </w:rPr>
              <w:t xml:space="preserve"> S.A.</w:t>
            </w:r>
          </w:p>
        </w:tc>
        <w:tc>
          <w:tcPr>
            <w:tcW w:w="732" w:type="pct"/>
            <w:tcBorders>
              <w:top w:val="nil"/>
              <w:left w:val="nil"/>
              <w:bottom w:val="nil"/>
              <w:right w:val="nil"/>
            </w:tcBorders>
            <w:shd w:val="clear" w:color="auto" w:fill="auto"/>
            <w:vAlign w:val="center"/>
            <w:hideMark/>
          </w:tcPr>
          <w:p w14:paraId="0890D1C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1,42%</w:t>
            </w:r>
          </w:p>
        </w:tc>
        <w:tc>
          <w:tcPr>
            <w:tcW w:w="182" w:type="pct"/>
            <w:tcBorders>
              <w:top w:val="nil"/>
              <w:left w:val="nil"/>
              <w:bottom w:val="nil"/>
              <w:right w:val="nil"/>
            </w:tcBorders>
            <w:shd w:val="clear" w:color="auto" w:fill="auto"/>
            <w:vAlign w:val="bottom"/>
            <w:hideMark/>
          </w:tcPr>
          <w:p w14:paraId="36CD8BAD"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06743C6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1,33%</w:t>
            </w:r>
          </w:p>
        </w:tc>
        <w:tc>
          <w:tcPr>
            <w:tcW w:w="230" w:type="pct"/>
            <w:tcBorders>
              <w:top w:val="nil"/>
              <w:left w:val="nil"/>
              <w:bottom w:val="nil"/>
              <w:right w:val="nil"/>
            </w:tcBorders>
            <w:shd w:val="clear" w:color="auto" w:fill="auto"/>
            <w:noWrap/>
            <w:vAlign w:val="bottom"/>
            <w:hideMark/>
          </w:tcPr>
          <w:p w14:paraId="343DD2A6"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42C6E99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69</w:t>
            </w:r>
            <w:r w:rsidRPr="00AE4E8D">
              <w:rPr>
                <w:rFonts w:ascii="Times New Roman" w:hAnsi="Times New Roman"/>
                <w:color w:val="000000"/>
                <w:sz w:val="14"/>
                <w:lang w:val="es-ES"/>
              </w:rPr>
              <w:t>%</w:t>
            </w:r>
          </w:p>
        </w:tc>
      </w:tr>
      <w:tr w:rsidR="00EC0AED" w:rsidRPr="00AE4E8D" w14:paraId="526DFC7D" w14:textId="77777777" w:rsidTr="00EC0AED">
        <w:trPr>
          <w:trHeight w:val="360"/>
        </w:trPr>
        <w:tc>
          <w:tcPr>
            <w:tcW w:w="636" w:type="pct"/>
            <w:tcBorders>
              <w:top w:val="nil"/>
              <w:left w:val="nil"/>
              <w:bottom w:val="nil"/>
              <w:right w:val="nil"/>
            </w:tcBorders>
            <w:shd w:val="clear" w:color="auto" w:fill="auto"/>
            <w:vAlign w:val="center"/>
            <w:hideMark/>
          </w:tcPr>
          <w:p w14:paraId="0562B1A2"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4</w:t>
            </w:r>
          </w:p>
        </w:tc>
        <w:tc>
          <w:tcPr>
            <w:tcW w:w="1619" w:type="pct"/>
            <w:tcBorders>
              <w:top w:val="nil"/>
              <w:left w:val="nil"/>
              <w:bottom w:val="nil"/>
              <w:right w:val="nil"/>
            </w:tcBorders>
            <w:shd w:val="clear" w:color="auto" w:fill="auto"/>
            <w:vAlign w:val="center"/>
            <w:hideMark/>
          </w:tcPr>
          <w:p w14:paraId="3645508B"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la </w:t>
            </w:r>
            <w:r w:rsidR="0062499A" w:rsidRPr="00AE4E8D">
              <w:rPr>
                <w:rFonts w:ascii="Times New Roman" w:hAnsi="Times New Roman"/>
                <w:color w:val="000000"/>
                <w:sz w:val="14"/>
                <w:szCs w:val="14"/>
                <w:lang w:val="es-ES" w:eastAsia="es-AR"/>
              </w:rPr>
              <w:t>Provincia de Buenos Aires</w:t>
            </w:r>
          </w:p>
        </w:tc>
        <w:tc>
          <w:tcPr>
            <w:tcW w:w="732" w:type="pct"/>
            <w:tcBorders>
              <w:top w:val="nil"/>
              <w:left w:val="nil"/>
              <w:bottom w:val="nil"/>
              <w:right w:val="nil"/>
            </w:tcBorders>
            <w:shd w:val="clear" w:color="auto" w:fill="auto"/>
            <w:vAlign w:val="center"/>
            <w:hideMark/>
          </w:tcPr>
          <w:p w14:paraId="1C2FC34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1,49%</w:t>
            </w:r>
          </w:p>
        </w:tc>
        <w:tc>
          <w:tcPr>
            <w:tcW w:w="182" w:type="pct"/>
            <w:tcBorders>
              <w:top w:val="nil"/>
              <w:left w:val="nil"/>
              <w:bottom w:val="nil"/>
              <w:right w:val="nil"/>
            </w:tcBorders>
            <w:shd w:val="clear" w:color="auto" w:fill="auto"/>
            <w:vAlign w:val="bottom"/>
            <w:hideMark/>
          </w:tcPr>
          <w:p w14:paraId="6F637260"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5527C92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2,19%</w:t>
            </w:r>
          </w:p>
        </w:tc>
        <w:tc>
          <w:tcPr>
            <w:tcW w:w="230" w:type="pct"/>
            <w:tcBorders>
              <w:top w:val="nil"/>
              <w:left w:val="nil"/>
              <w:bottom w:val="nil"/>
              <w:right w:val="nil"/>
            </w:tcBorders>
            <w:shd w:val="clear" w:color="auto" w:fill="auto"/>
            <w:noWrap/>
            <w:vAlign w:val="bottom"/>
            <w:hideMark/>
          </w:tcPr>
          <w:p w14:paraId="725DD0BC"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141DB32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1,95</w:t>
            </w:r>
            <w:r w:rsidRPr="00AE4E8D">
              <w:rPr>
                <w:rFonts w:ascii="Times New Roman" w:hAnsi="Times New Roman"/>
                <w:color w:val="000000"/>
                <w:sz w:val="14"/>
                <w:lang w:val="es-ES"/>
              </w:rPr>
              <w:t>%</w:t>
            </w:r>
          </w:p>
        </w:tc>
      </w:tr>
      <w:tr w:rsidR="00EC0AED" w:rsidRPr="00AE4E8D" w14:paraId="50765358" w14:textId="77777777" w:rsidTr="00EC0AED">
        <w:trPr>
          <w:trHeight w:val="300"/>
        </w:trPr>
        <w:tc>
          <w:tcPr>
            <w:tcW w:w="636" w:type="pct"/>
            <w:tcBorders>
              <w:top w:val="nil"/>
              <w:left w:val="nil"/>
              <w:bottom w:val="nil"/>
              <w:right w:val="nil"/>
            </w:tcBorders>
            <w:shd w:val="clear" w:color="auto" w:fill="auto"/>
            <w:vAlign w:val="center"/>
            <w:hideMark/>
          </w:tcPr>
          <w:p w14:paraId="607C18C8"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5</w:t>
            </w:r>
          </w:p>
        </w:tc>
        <w:tc>
          <w:tcPr>
            <w:tcW w:w="1619" w:type="pct"/>
            <w:tcBorders>
              <w:top w:val="nil"/>
              <w:left w:val="nil"/>
              <w:bottom w:val="nil"/>
              <w:right w:val="nil"/>
            </w:tcBorders>
            <w:shd w:val="clear" w:color="auto" w:fill="auto"/>
            <w:vAlign w:val="center"/>
            <w:hideMark/>
          </w:tcPr>
          <w:p w14:paraId="13CF948A"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Macro</w:t>
            </w:r>
            <w:r w:rsidR="00713D68" w:rsidRPr="00AE4E8D">
              <w:rPr>
                <w:rFonts w:ascii="Times New Roman" w:hAnsi="Times New Roman"/>
                <w:color w:val="000000"/>
                <w:sz w:val="14"/>
                <w:szCs w:val="14"/>
                <w:lang w:val="en-US" w:eastAsia="es-AR"/>
              </w:rPr>
              <w:t xml:space="preserve"> S.A.</w:t>
            </w:r>
          </w:p>
        </w:tc>
        <w:tc>
          <w:tcPr>
            <w:tcW w:w="732" w:type="pct"/>
            <w:tcBorders>
              <w:top w:val="nil"/>
              <w:left w:val="nil"/>
              <w:bottom w:val="nil"/>
              <w:right w:val="nil"/>
            </w:tcBorders>
            <w:shd w:val="clear" w:color="auto" w:fill="auto"/>
            <w:vAlign w:val="center"/>
            <w:hideMark/>
          </w:tcPr>
          <w:p w14:paraId="1D822A7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1,51%</w:t>
            </w:r>
          </w:p>
        </w:tc>
        <w:tc>
          <w:tcPr>
            <w:tcW w:w="182" w:type="pct"/>
            <w:tcBorders>
              <w:top w:val="nil"/>
              <w:left w:val="nil"/>
              <w:bottom w:val="nil"/>
              <w:right w:val="nil"/>
            </w:tcBorders>
            <w:shd w:val="clear" w:color="auto" w:fill="auto"/>
            <w:vAlign w:val="bottom"/>
            <w:hideMark/>
          </w:tcPr>
          <w:p w14:paraId="25A47AF1"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320D234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1,11%</w:t>
            </w:r>
          </w:p>
        </w:tc>
        <w:tc>
          <w:tcPr>
            <w:tcW w:w="230" w:type="pct"/>
            <w:tcBorders>
              <w:top w:val="nil"/>
              <w:left w:val="nil"/>
              <w:bottom w:val="nil"/>
              <w:right w:val="nil"/>
            </w:tcBorders>
            <w:shd w:val="clear" w:color="auto" w:fill="auto"/>
            <w:noWrap/>
            <w:vAlign w:val="bottom"/>
            <w:hideMark/>
          </w:tcPr>
          <w:p w14:paraId="3D0E34D4"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650D760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30</w:t>
            </w:r>
            <w:r w:rsidRPr="00AE4E8D">
              <w:rPr>
                <w:rFonts w:ascii="Times New Roman" w:hAnsi="Times New Roman"/>
                <w:color w:val="000000"/>
                <w:sz w:val="14"/>
                <w:lang w:val="es-ES"/>
              </w:rPr>
              <w:t>%</w:t>
            </w:r>
          </w:p>
        </w:tc>
      </w:tr>
      <w:tr w:rsidR="00EC0AED" w:rsidRPr="00AE4E8D" w14:paraId="218CFC85" w14:textId="77777777" w:rsidTr="00EC0AED">
        <w:trPr>
          <w:trHeight w:val="300"/>
        </w:trPr>
        <w:tc>
          <w:tcPr>
            <w:tcW w:w="636" w:type="pct"/>
            <w:tcBorders>
              <w:top w:val="nil"/>
              <w:left w:val="nil"/>
              <w:bottom w:val="nil"/>
              <w:right w:val="nil"/>
            </w:tcBorders>
            <w:shd w:val="clear" w:color="auto" w:fill="auto"/>
            <w:vAlign w:val="center"/>
            <w:hideMark/>
          </w:tcPr>
          <w:p w14:paraId="66683E8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6</w:t>
            </w:r>
          </w:p>
        </w:tc>
        <w:tc>
          <w:tcPr>
            <w:tcW w:w="1619" w:type="pct"/>
            <w:tcBorders>
              <w:top w:val="nil"/>
              <w:left w:val="nil"/>
              <w:bottom w:val="nil"/>
              <w:right w:val="nil"/>
            </w:tcBorders>
            <w:shd w:val="clear" w:color="auto" w:fill="auto"/>
            <w:vAlign w:val="center"/>
            <w:hideMark/>
          </w:tcPr>
          <w:p w14:paraId="48334F34"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BBVA </w:t>
            </w:r>
            <w:r w:rsidR="00713D68" w:rsidRPr="00AE4E8D">
              <w:rPr>
                <w:rFonts w:ascii="Times New Roman" w:hAnsi="Times New Roman"/>
                <w:color w:val="000000"/>
                <w:sz w:val="14"/>
                <w:szCs w:val="14"/>
                <w:lang w:eastAsia="es-AR"/>
              </w:rPr>
              <w:t>Banco Francés S.A.</w:t>
            </w:r>
          </w:p>
        </w:tc>
        <w:tc>
          <w:tcPr>
            <w:tcW w:w="732" w:type="pct"/>
            <w:tcBorders>
              <w:top w:val="nil"/>
              <w:left w:val="nil"/>
              <w:bottom w:val="nil"/>
              <w:right w:val="nil"/>
            </w:tcBorders>
            <w:shd w:val="clear" w:color="auto" w:fill="auto"/>
            <w:vAlign w:val="center"/>
            <w:hideMark/>
          </w:tcPr>
          <w:p w14:paraId="7372646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0,57%</w:t>
            </w:r>
          </w:p>
        </w:tc>
        <w:tc>
          <w:tcPr>
            <w:tcW w:w="182" w:type="pct"/>
            <w:tcBorders>
              <w:top w:val="nil"/>
              <w:left w:val="nil"/>
              <w:bottom w:val="nil"/>
              <w:right w:val="nil"/>
            </w:tcBorders>
            <w:shd w:val="clear" w:color="auto" w:fill="auto"/>
            <w:vAlign w:val="bottom"/>
            <w:hideMark/>
          </w:tcPr>
          <w:p w14:paraId="06823CC1"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4D61654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0,74%</w:t>
            </w:r>
          </w:p>
        </w:tc>
        <w:tc>
          <w:tcPr>
            <w:tcW w:w="230" w:type="pct"/>
            <w:tcBorders>
              <w:top w:val="nil"/>
              <w:left w:val="nil"/>
              <w:bottom w:val="nil"/>
              <w:right w:val="nil"/>
            </w:tcBorders>
            <w:shd w:val="clear" w:color="auto" w:fill="auto"/>
            <w:noWrap/>
            <w:vAlign w:val="bottom"/>
            <w:hideMark/>
          </w:tcPr>
          <w:p w14:paraId="2C77DC64"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0D4EC29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0,</w:t>
            </w:r>
            <w:r w:rsidRPr="00AE4E8D">
              <w:rPr>
                <w:rFonts w:ascii="Times New Roman" w:hAnsi="Times New Roman"/>
                <w:color w:val="000000"/>
                <w:sz w:val="14"/>
                <w:szCs w:val="14"/>
                <w:lang w:val="es-ES" w:eastAsia="es-AR"/>
              </w:rPr>
              <w:t>82</w:t>
            </w:r>
            <w:r w:rsidRPr="00AE4E8D">
              <w:rPr>
                <w:rFonts w:ascii="Times New Roman" w:hAnsi="Times New Roman"/>
                <w:color w:val="000000"/>
                <w:sz w:val="14"/>
                <w:lang w:val="es-ES"/>
              </w:rPr>
              <w:t>%</w:t>
            </w:r>
          </w:p>
        </w:tc>
      </w:tr>
      <w:tr w:rsidR="00EC0AED" w:rsidRPr="00AE4E8D" w14:paraId="53223657" w14:textId="77777777" w:rsidTr="00EC0AED">
        <w:trPr>
          <w:trHeight w:val="300"/>
        </w:trPr>
        <w:tc>
          <w:tcPr>
            <w:tcW w:w="636" w:type="pct"/>
            <w:tcBorders>
              <w:top w:val="nil"/>
              <w:left w:val="nil"/>
              <w:bottom w:val="nil"/>
              <w:right w:val="nil"/>
            </w:tcBorders>
            <w:shd w:val="clear" w:color="auto" w:fill="auto"/>
            <w:vAlign w:val="center"/>
            <w:hideMark/>
          </w:tcPr>
          <w:p w14:paraId="38C03AFB"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7</w:t>
            </w:r>
          </w:p>
        </w:tc>
        <w:tc>
          <w:tcPr>
            <w:tcW w:w="1619" w:type="pct"/>
            <w:tcBorders>
              <w:top w:val="nil"/>
              <w:left w:val="nil"/>
              <w:bottom w:val="nil"/>
              <w:right w:val="nil"/>
            </w:tcBorders>
            <w:shd w:val="clear" w:color="auto" w:fill="auto"/>
            <w:vAlign w:val="center"/>
            <w:hideMark/>
          </w:tcPr>
          <w:p w14:paraId="41A37FA8" w14:textId="77777777" w:rsidR="0062499A" w:rsidRPr="00AE4E8D" w:rsidRDefault="0062499A"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HSBC</w:t>
            </w:r>
            <w:r w:rsidR="00FD3A3F" w:rsidRPr="00AE4E8D">
              <w:rPr>
                <w:rFonts w:ascii="Times New Roman" w:hAnsi="Times New Roman"/>
                <w:color w:val="000000"/>
                <w:sz w:val="14"/>
                <w:szCs w:val="14"/>
                <w:lang w:val="en-US" w:eastAsia="es-AR"/>
              </w:rPr>
              <w:t xml:space="preserve"> Bank </w:t>
            </w:r>
            <w:r w:rsidR="002A5A31" w:rsidRPr="00AE4E8D">
              <w:rPr>
                <w:rFonts w:ascii="Times New Roman" w:hAnsi="Times New Roman"/>
                <w:color w:val="000000"/>
                <w:sz w:val="14"/>
                <w:szCs w:val="14"/>
                <w:lang w:val="en-US" w:eastAsia="es-AR"/>
              </w:rPr>
              <w:t>Argentina</w:t>
            </w:r>
            <w:r w:rsidR="00713D68" w:rsidRPr="00AE4E8D">
              <w:rPr>
                <w:rFonts w:ascii="Times New Roman" w:hAnsi="Times New Roman"/>
                <w:color w:val="000000"/>
                <w:sz w:val="14"/>
                <w:szCs w:val="14"/>
                <w:lang w:val="en-US" w:eastAsia="es-AR"/>
              </w:rPr>
              <w:t xml:space="preserve"> S.A.</w:t>
            </w:r>
          </w:p>
        </w:tc>
        <w:tc>
          <w:tcPr>
            <w:tcW w:w="732" w:type="pct"/>
            <w:tcBorders>
              <w:top w:val="nil"/>
              <w:left w:val="nil"/>
              <w:bottom w:val="nil"/>
              <w:right w:val="nil"/>
            </w:tcBorders>
            <w:shd w:val="clear" w:color="auto" w:fill="auto"/>
            <w:vAlign w:val="center"/>
            <w:hideMark/>
          </w:tcPr>
          <w:p w14:paraId="38652D0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1,40%</w:t>
            </w:r>
          </w:p>
        </w:tc>
        <w:tc>
          <w:tcPr>
            <w:tcW w:w="182" w:type="pct"/>
            <w:tcBorders>
              <w:top w:val="nil"/>
              <w:left w:val="nil"/>
              <w:bottom w:val="nil"/>
              <w:right w:val="nil"/>
            </w:tcBorders>
            <w:shd w:val="clear" w:color="auto" w:fill="auto"/>
            <w:vAlign w:val="bottom"/>
            <w:hideMark/>
          </w:tcPr>
          <w:p w14:paraId="1C7CDC41"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7D1A6F5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1,64%</w:t>
            </w:r>
          </w:p>
        </w:tc>
        <w:tc>
          <w:tcPr>
            <w:tcW w:w="230" w:type="pct"/>
            <w:tcBorders>
              <w:top w:val="nil"/>
              <w:left w:val="nil"/>
              <w:bottom w:val="nil"/>
              <w:right w:val="nil"/>
            </w:tcBorders>
            <w:shd w:val="clear" w:color="auto" w:fill="auto"/>
            <w:noWrap/>
            <w:vAlign w:val="bottom"/>
            <w:hideMark/>
          </w:tcPr>
          <w:p w14:paraId="7A2F6D78"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08878C6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59</w:t>
            </w:r>
            <w:r w:rsidRPr="00AE4E8D">
              <w:rPr>
                <w:rFonts w:ascii="Times New Roman" w:hAnsi="Times New Roman"/>
                <w:color w:val="000000"/>
                <w:sz w:val="14"/>
                <w:lang w:val="es-ES"/>
              </w:rPr>
              <w:t>%</w:t>
            </w:r>
          </w:p>
        </w:tc>
      </w:tr>
      <w:tr w:rsidR="00EC0AED" w:rsidRPr="00AE4E8D" w14:paraId="2AA56CB6" w14:textId="77777777" w:rsidTr="00EC0AED">
        <w:trPr>
          <w:trHeight w:val="300"/>
        </w:trPr>
        <w:tc>
          <w:tcPr>
            <w:tcW w:w="636" w:type="pct"/>
            <w:tcBorders>
              <w:top w:val="nil"/>
              <w:left w:val="nil"/>
              <w:bottom w:val="nil"/>
              <w:right w:val="nil"/>
            </w:tcBorders>
            <w:shd w:val="clear" w:color="auto" w:fill="auto"/>
            <w:vAlign w:val="center"/>
            <w:hideMark/>
          </w:tcPr>
          <w:p w14:paraId="628B8929"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8</w:t>
            </w:r>
          </w:p>
        </w:tc>
        <w:tc>
          <w:tcPr>
            <w:tcW w:w="1619" w:type="pct"/>
            <w:tcBorders>
              <w:top w:val="nil"/>
              <w:left w:val="nil"/>
              <w:bottom w:val="nil"/>
              <w:right w:val="nil"/>
            </w:tcBorders>
            <w:shd w:val="clear" w:color="auto" w:fill="auto"/>
            <w:vAlign w:val="center"/>
            <w:hideMark/>
          </w:tcPr>
          <w:p w14:paraId="1E19D6C5" w14:textId="77777777" w:rsidR="0062499A" w:rsidRPr="00AE4E8D" w:rsidRDefault="000604B3"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Banco de la Ciudad de Buenos Aires</w:t>
            </w:r>
          </w:p>
        </w:tc>
        <w:tc>
          <w:tcPr>
            <w:tcW w:w="732" w:type="pct"/>
            <w:tcBorders>
              <w:top w:val="nil"/>
              <w:left w:val="nil"/>
              <w:bottom w:val="nil"/>
              <w:right w:val="nil"/>
            </w:tcBorders>
            <w:shd w:val="clear" w:color="auto" w:fill="auto"/>
            <w:vAlign w:val="center"/>
            <w:hideMark/>
          </w:tcPr>
          <w:p w14:paraId="6050F41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1,19%</w:t>
            </w:r>
          </w:p>
        </w:tc>
        <w:tc>
          <w:tcPr>
            <w:tcW w:w="182" w:type="pct"/>
            <w:tcBorders>
              <w:top w:val="nil"/>
              <w:left w:val="nil"/>
              <w:bottom w:val="nil"/>
              <w:right w:val="nil"/>
            </w:tcBorders>
            <w:shd w:val="clear" w:color="auto" w:fill="auto"/>
            <w:vAlign w:val="bottom"/>
            <w:hideMark/>
          </w:tcPr>
          <w:p w14:paraId="1CB217B7"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774481C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1,59%</w:t>
            </w:r>
          </w:p>
        </w:tc>
        <w:tc>
          <w:tcPr>
            <w:tcW w:w="230" w:type="pct"/>
            <w:tcBorders>
              <w:top w:val="nil"/>
              <w:left w:val="nil"/>
              <w:bottom w:val="nil"/>
              <w:right w:val="nil"/>
            </w:tcBorders>
            <w:shd w:val="clear" w:color="auto" w:fill="auto"/>
            <w:noWrap/>
            <w:vAlign w:val="bottom"/>
            <w:hideMark/>
          </w:tcPr>
          <w:p w14:paraId="1A336EE9"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42329C5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48</w:t>
            </w:r>
            <w:r w:rsidRPr="00AE4E8D">
              <w:rPr>
                <w:rFonts w:ascii="Times New Roman" w:hAnsi="Times New Roman"/>
                <w:color w:val="000000"/>
                <w:sz w:val="14"/>
                <w:lang w:val="es-ES"/>
              </w:rPr>
              <w:t>%</w:t>
            </w:r>
          </w:p>
        </w:tc>
      </w:tr>
      <w:tr w:rsidR="00EC0AED" w:rsidRPr="00AE4E8D" w14:paraId="3B105600" w14:textId="77777777" w:rsidTr="00EC0AED">
        <w:trPr>
          <w:trHeight w:val="540"/>
        </w:trPr>
        <w:tc>
          <w:tcPr>
            <w:tcW w:w="636" w:type="pct"/>
            <w:tcBorders>
              <w:top w:val="nil"/>
              <w:left w:val="nil"/>
              <w:bottom w:val="nil"/>
              <w:right w:val="nil"/>
            </w:tcBorders>
            <w:shd w:val="clear" w:color="auto" w:fill="auto"/>
            <w:vAlign w:val="center"/>
            <w:hideMark/>
          </w:tcPr>
          <w:p w14:paraId="27483C3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9</w:t>
            </w:r>
          </w:p>
        </w:tc>
        <w:tc>
          <w:tcPr>
            <w:tcW w:w="1619" w:type="pct"/>
            <w:tcBorders>
              <w:top w:val="nil"/>
              <w:left w:val="nil"/>
              <w:bottom w:val="nil"/>
              <w:right w:val="nil"/>
            </w:tcBorders>
            <w:shd w:val="clear" w:color="auto" w:fill="auto"/>
            <w:vAlign w:val="center"/>
            <w:hideMark/>
          </w:tcPr>
          <w:p w14:paraId="1939CE83" w14:textId="77777777" w:rsidR="0062499A" w:rsidRPr="00AE4E8D" w:rsidRDefault="000604B3"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Industrial and Commercial Bank of China (Argentina) S.A.</w:t>
            </w:r>
          </w:p>
        </w:tc>
        <w:tc>
          <w:tcPr>
            <w:tcW w:w="732" w:type="pct"/>
            <w:tcBorders>
              <w:top w:val="nil"/>
              <w:left w:val="nil"/>
              <w:bottom w:val="nil"/>
              <w:right w:val="nil"/>
            </w:tcBorders>
            <w:shd w:val="clear" w:color="auto" w:fill="auto"/>
            <w:vAlign w:val="center"/>
            <w:hideMark/>
          </w:tcPr>
          <w:p w14:paraId="59B43F9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1,27%</w:t>
            </w:r>
          </w:p>
        </w:tc>
        <w:tc>
          <w:tcPr>
            <w:tcW w:w="182" w:type="pct"/>
            <w:tcBorders>
              <w:top w:val="nil"/>
              <w:left w:val="nil"/>
              <w:bottom w:val="nil"/>
              <w:right w:val="nil"/>
            </w:tcBorders>
            <w:shd w:val="clear" w:color="auto" w:fill="auto"/>
            <w:vAlign w:val="bottom"/>
            <w:hideMark/>
          </w:tcPr>
          <w:p w14:paraId="72F89969"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4622404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1,64%</w:t>
            </w:r>
          </w:p>
        </w:tc>
        <w:tc>
          <w:tcPr>
            <w:tcW w:w="230" w:type="pct"/>
            <w:tcBorders>
              <w:top w:val="nil"/>
              <w:left w:val="nil"/>
              <w:bottom w:val="nil"/>
              <w:right w:val="nil"/>
            </w:tcBorders>
            <w:shd w:val="clear" w:color="auto" w:fill="auto"/>
            <w:noWrap/>
            <w:vAlign w:val="bottom"/>
            <w:hideMark/>
          </w:tcPr>
          <w:p w14:paraId="2B083291"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7488B18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1,67</w:t>
            </w:r>
            <w:r w:rsidRPr="00AE4E8D">
              <w:rPr>
                <w:rFonts w:ascii="Times New Roman" w:hAnsi="Times New Roman"/>
                <w:color w:val="000000"/>
                <w:sz w:val="14"/>
                <w:lang w:val="es-ES"/>
              </w:rPr>
              <w:t>%</w:t>
            </w:r>
          </w:p>
        </w:tc>
      </w:tr>
      <w:tr w:rsidR="00EC0AED" w:rsidRPr="00AE4E8D" w14:paraId="52D5112D" w14:textId="77777777" w:rsidTr="00EC0AED">
        <w:trPr>
          <w:trHeight w:val="300"/>
        </w:trPr>
        <w:tc>
          <w:tcPr>
            <w:tcW w:w="636" w:type="pct"/>
            <w:tcBorders>
              <w:top w:val="nil"/>
              <w:left w:val="nil"/>
              <w:bottom w:val="nil"/>
              <w:right w:val="nil"/>
            </w:tcBorders>
            <w:shd w:val="clear" w:color="auto" w:fill="auto"/>
            <w:vAlign w:val="center"/>
            <w:hideMark/>
          </w:tcPr>
          <w:p w14:paraId="7CC0078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10</w:t>
            </w:r>
          </w:p>
        </w:tc>
        <w:tc>
          <w:tcPr>
            <w:tcW w:w="1619" w:type="pct"/>
            <w:tcBorders>
              <w:top w:val="nil"/>
              <w:left w:val="nil"/>
              <w:bottom w:val="nil"/>
              <w:right w:val="nil"/>
            </w:tcBorders>
            <w:shd w:val="clear" w:color="auto" w:fill="auto"/>
            <w:vAlign w:val="center"/>
            <w:hideMark/>
          </w:tcPr>
          <w:p w14:paraId="6DECC0F8"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Patagonia</w:t>
            </w:r>
            <w:r w:rsidR="00713D68" w:rsidRPr="00AE4E8D">
              <w:rPr>
                <w:rFonts w:ascii="Times New Roman" w:hAnsi="Times New Roman"/>
                <w:color w:val="000000"/>
                <w:sz w:val="14"/>
                <w:szCs w:val="14"/>
                <w:lang w:val="en-US" w:eastAsia="es-AR"/>
              </w:rPr>
              <w:t xml:space="preserve"> S.A.</w:t>
            </w:r>
          </w:p>
        </w:tc>
        <w:tc>
          <w:tcPr>
            <w:tcW w:w="732" w:type="pct"/>
            <w:tcBorders>
              <w:top w:val="nil"/>
              <w:left w:val="nil"/>
              <w:bottom w:val="nil"/>
              <w:right w:val="nil"/>
            </w:tcBorders>
            <w:shd w:val="clear" w:color="auto" w:fill="auto"/>
            <w:vAlign w:val="center"/>
            <w:hideMark/>
          </w:tcPr>
          <w:p w14:paraId="2EB3D38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1,18%</w:t>
            </w:r>
          </w:p>
        </w:tc>
        <w:tc>
          <w:tcPr>
            <w:tcW w:w="182" w:type="pct"/>
            <w:tcBorders>
              <w:top w:val="nil"/>
              <w:left w:val="nil"/>
              <w:bottom w:val="nil"/>
              <w:right w:val="nil"/>
            </w:tcBorders>
            <w:shd w:val="clear" w:color="auto" w:fill="auto"/>
            <w:vAlign w:val="bottom"/>
            <w:hideMark/>
          </w:tcPr>
          <w:p w14:paraId="43C65EAC"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2C2ABFA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0,97%</w:t>
            </w:r>
          </w:p>
        </w:tc>
        <w:tc>
          <w:tcPr>
            <w:tcW w:w="230" w:type="pct"/>
            <w:tcBorders>
              <w:top w:val="nil"/>
              <w:left w:val="nil"/>
              <w:bottom w:val="nil"/>
              <w:right w:val="nil"/>
            </w:tcBorders>
            <w:shd w:val="clear" w:color="auto" w:fill="auto"/>
            <w:noWrap/>
            <w:vAlign w:val="bottom"/>
            <w:hideMark/>
          </w:tcPr>
          <w:p w14:paraId="7F075B55"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5847BAC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15</w:t>
            </w:r>
            <w:r w:rsidRPr="00AE4E8D">
              <w:rPr>
                <w:rFonts w:ascii="Times New Roman" w:hAnsi="Times New Roman"/>
                <w:color w:val="000000"/>
                <w:sz w:val="14"/>
                <w:lang w:val="es-ES"/>
              </w:rPr>
              <w:t>%</w:t>
            </w:r>
          </w:p>
        </w:tc>
      </w:tr>
      <w:tr w:rsidR="00EC0AED" w:rsidRPr="00AE4E8D" w14:paraId="10AAF11D" w14:textId="77777777" w:rsidTr="00EC0AED">
        <w:trPr>
          <w:trHeight w:val="360"/>
        </w:trPr>
        <w:tc>
          <w:tcPr>
            <w:tcW w:w="636" w:type="pct"/>
            <w:tcBorders>
              <w:top w:val="nil"/>
              <w:left w:val="nil"/>
              <w:bottom w:val="nil"/>
              <w:right w:val="nil"/>
            </w:tcBorders>
            <w:shd w:val="clear" w:color="auto" w:fill="auto"/>
            <w:noWrap/>
            <w:vAlign w:val="bottom"/>
            <w:hideMark/>
          </w:tcPr>
          <w:p w14:paraId="5300BD9E" w14:textId="77777777" w:rsidR="0062499A" w:rsidRPr="00AE4E8D" w:rsidRDefault="0062499A" w:rsidP="0062499A">
            <w:pPr>
              <w:rPr>
                <w:rFonts w:ascii="Times New Roman" w:hAnsi="Times New Roman"/>
                <w:color w:val="000000"/>
                <w:lang w:val="es-ES"/>
              </w:rPr>
            </w:pPr>
          </w:p>
        </w:tc>
        <w:tc>
          <w:tcPr>
            <w:tcW w:w="1619" w:type="pct"/>
            <w:tcBorders>
              <w:top w:val="nil"/>
              <w:left w:val="nil"/>
              <w:bottom w:val="nil"/>
              <w:right w:val="nil"/>
            </w:tcBorders>
            <w:shd w:val="clear" w:color="auto" w:fill="auto"/>
            <w:vAlign w:val="center"/>
            <w:hideMark/>
          </w:tcPr>
          <w:p w14:paraId="5E77412B"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Promedio para los 10 bancos</w:t>
            </w:r>
          </w:p>
        </w:tc>
        <w:tc>
          <w:tcPr>
            <w:tcW w:w="732" w:type="pct"/>
            <w:tcBorders>
              <w:top w:val="nil"/>
              <w:left w:val="nil"/>
              <w:bottom w:val="nil"/>
              <w:right w:val="nil"/>
            </w:tcBorders>
            <w:shd w:val="clear" w:color="auto" w:fill="auto"/>
            <w:vAlign w:val="center"/>
            <w:hideMark/>
          </w:tcPr>
          <w:p w14:paraId="200C089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1,20%</w:t>
            </w:r>
          </w:p>
        </w:tc>
        <w:tc>
          <w:tcPr>
            <w:tcW w:w="182" w:type="pct"/>
            <w:tcBorders>
              <w:top w:val="nil"/>
              <w:left w:val="nil"/>
              <w:bottom w:val="nil"/>
              <w:right w:val="nil"/>
            </w:tcBorders>
            <w:shd w:val="clear" w:color="auto" w:fill="auto"/>
            <w:vAlign w:val="bottom"/>
            <w:hideMark/>
          </w:tcPr>
          <w:p w14:paraId="08B2F110"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53D6A29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1,39%</w:t>
            </w:r>
          </w:p>
        </w:tc>
        <w:tc>
          <w:tcPr>
            <w:tcW w:w="230" w:type="pct"/>
            <w:tcBorders>
              <w:top w:val="nil"/>
              <w:left w:val="nil"/>
              <w:bottom w:val="nil"/>
              <w:right w:val="nil"/>
            </w:tcBorders>
            <w:shd w:val="clear" w:color="auto" w:fill="auto"/>
            <w:vAlign w:val="bottom"/>
            <w:hideMark/>
          </w:tcPr>
          <w:p w14:paraId="6C295CE4" w14:textId="77777777" w:rsidR="0062499A" w:rsidRPr="00AE4E8D" w:rsidRDefault="0062499A" w:rsidP="0062499A">
            <w:pPr>
              <w:rPr>
                <w:rFonts w:ascii="Times New Roman" w:hAnsi="Times New Roman"/>
                <w:color w:val="000000"/>
                <w:lang w:val="es-ES"/>
              </w:rPr>
            </w:pPr>
          </w:p>
        </w:tc>
        <w:tc>
          <w:tcPr>
            <w:tcW w:w="833" w:type="pct"/>
            <w:gridSpan w:val="2"/>
            <w:tcBorders>
              <w:top w:val="nil"/>
              <w:left w:val="nil"/>
              <w:bottom w:val="nil"/>
              <w:right w:val="nil"/>
            </w:tcBorders>
            <w:shd w:val="clear" w:color="auto" w:fill="auto"/>
            <w:vAlign w:val="center"/>
            <w:hideMark/>
          </w:tcPr>
          <w:p w14:paraId="09DD7A5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52</w:t>
            </w:r>
            <w:r w:rsidRPr="00AE4E8D">
              <w:rPr>
                <w:rFonts w:ascii="Times New Roman" w:hAnsi="Times New Roman"/>
                <w:color w:val="000000"/>
                <w:sz w:val="14"/>
                <w:lang w:val="es-ES"/>
              </w:rPr>
              <w:t>%</w:t>
            </w:r>
          </w:p>
        </w:tc>
      </w:tr>
      <w:tr w:rsidR="00EC0AED" w:rsidRPr="00AE4E8D" w14:paraId="767EE97F" w14:textId="77777777" w:rsidTr="00EC0AED">
        <w:trPr>
          <w:trHeight w:val="300"/>
        </w:trPr>
        <w:tc>
          <w:tcPr>
            <w:tcW w:w="636" w:type="pct"/>
            <w:tcBorders>
              <w:top w:val="nil"/>
              <w:left w:val="nil"/>
              <w:bottom w:val="nil"/>
              <w:right w:val="nil"/>
            </w:tcBorders>
            <w:shd w:val="clear" w:color="auto" w:fill="auto"/>
            <w:vAlign w:val="center"/>
            <w:hideMark/>
          </w:tcPr>
          <w:p w14:paraId="08F09E09"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13</w:t>
            </w:r>
          </w:p>
        </w:tc>
        <w:tc>
          <w:tcPr>
            <w:tcW w:w="1619" w:type="pct"/>
            <w:tcBorders>
              <w:top w:val="nil"/>
              <w:left w:val="nil"/>
              <w:bottom w:val="nil"/>
              <w:right w:val="nil"/>
            </w:tcBorders>
            <w:shd w:val="clear" w:color="auto" w:fill="auto"/>
            <w:vAlign w:val="center"/>
            <w:hideMark/>
          </w:tcPr>
          <w:p w14:paraId="11EB711A" w14:textId="77777777" w:rsidR="0062499A" w:rsidRPr="00AE4E8D" w:rsidRDefault="00FD3A3F" w:rsidP="0062499A">
            <w:pPr>
              <w:jc w:val="both"/>
              <w:rPr>
                <w:rFonts w:ascii="Times New Roman" w:hAnsi="Times New Roman"/>
                <w:b/>
                <w:color w:val="000000"/>
                <w:sz w:val="14"/>
                <w:lang w:val="es-ES"/>
              </w:rPr>
            </w:pPr>
            <w:r w:rsidRPr="00AE4E8D">
              <w:rPr>
                <w:rFonts w:ascii="Times New Roman" w:hAnsi="Times New Roman"/>
                <w:b/>
                <w:bCs/>
                <w:color w:val="000000"/>
                <w:sz w:val="14"/>
                <w:szCs w:val="14"/>
                <w:lang w:val="es-ES" w:eastAsia="es-AR"/>
              </w:rPr>
              <w:t xml:space="preserve">Banco </w:t>
            </w:r>
            <w:r w:rsidR="0062499A" w:rsidRPr="00AE4E8D">
              <w:rPr>
                <w:rFonts w:ascii="Times New Roman" w:hAnsi="Times New Roman"/>
                <w:b/>
                <w:bCs/>
                <w:color w:val="000000"/>
                <w:sz w:val="14"/>
                <w:szCs w:val="14"/>
                <w:lang w:val="es-ES" w:eastAsia="es-AR"/>
              </w:rPr>
              <w:t>Hipotecario</w:t>
            </w:r>
            <w:r w:rsidR="00713D68" w:rsidRPr="00AE4E8D">
              <w:rPr>
                <w:rFonts w:ascii="Times New Roman" w:hAnsi="Times New Roman"/>
                <w:color w:val="000000"/>
                <w:sz w:val="14"/>
                <w:szCs w:val="14"/>
                <w:lang w:val="en-US" w:eastAsia="es-AR"/>
              </w:rPr>
              <w:t xml:space="preserve"> </w:t>
            </w:r>
            <w:r w:rsidR="00713D68" w:rsidRPr="00AE4E8D">
              <w:rPr>
                <w:rFonts w:ascii="Times New Roman" w:hAnsi="Times New Roman"/>
                <w:b/>
                <w:color w:val="000000"/>
                <w:sz w:val="14"/>
                <w:szCs w:val="14"/>
                <w:lang w:val="en-US" w:eastAsia="es-AR"/>
              </w:rPr>
              <w:t>S.A.</w:t>
            </w:r>
          </w:p>
        </w:tc>
        <w:tc>
          <w:tcPr>
            <w:tcW w:w="732" w:type="pct"/>
            <w:tcBorders>
              <w:top w:val="nil"/>
              <w:left w:val="nil"/>
              <w:bottom w:val="nil"/>
              <w:right w:val="nil"/>
            </w:tcBorders>
            <w:shd w:val="clear" w:color="auto" w:fill="auto"/>
            <w:vAlign w:val="center"/>
            <w:hideMark/>
          </w:tcPr>
          <w:p w14:paraId="105E9DE8"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1,59%</w:t>
            </w:r>
          </w:p>
        </w:tc>
        <w:tc>
          <w:tcPr>
            <w:tcW w:w="182" w:type="pct"/>
            <w:tcBorders>
              <w:top w:val="nil"/>
              <w:left w:val="nil"/>
              <w:bottom w:val="nil"/>
              <w:right w:val="nil"/>
            </w:tcBorders>
            <w:shd w:val="clear" w:color="auto" w:fill="auto"/>
            <w:vAlign w:val="bottom"/>
            <w:hideMark/>
          </w:tcPr>
          <w:p w14:paraId="18DC8E3F"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6049CCDE"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1,62%</w:t>
            </w:r>
          </w:p>
        </w:tc>
        <w:tc>
          <w:tcPr>
            <w:tcW w:w="230" w:type="pct"/>
            <w:tcBorders>
              <w:top w:val="nil"/>
              <w:left w:val="nil"/>
              <w:bottom w:val="nil"/>
              <w:right w:val="nil"/>
            </w:tcBorders>
            <w:shd w:val="clear" w:color="auto" w:fill="auto"/>
            <w:noWrap/>
            <w:vAlign w:val="bottom"/>
            <w:hideMark/>
          </w:tcPr>
          <w:p w14:paraId="0A455384"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20A1B3E4"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color w:val="000000"/>
                <w:sz w:val="14"/>
                <w:lang w:val="es-ES"/>
              </w:rPr>
              <w:t>1,</w:t>
            </w:r>
            <w:r w:rsidRPr="00AE4E8D">
              <w:rPr>
                <w:rFonts w:ascii="Times New Roman" w:hAnsi="Times New Roman"/>
                <w:b/>
                <w:bCs/>
                <w:color w:val="000000"/>
                <w:sz w:val="14"/>
                <w:szCs w:val="14"/>
                <w:lang w:val="es-ES" w:eastAsia="es-AR"/>
              </w:rPr>
              <w:t>73</w:t>
            </w:r>
            <w:r w:rsidRPr="00AE4E8D">
              <w:rPr>
                <w:rFonts w:ascii="Times New Roman" w:hAnsi="Times New Roman"/>
                <w:b/>
                <w:color w:val="000000"/>
                <w:sz w:val="14"/>
                <w:lang w:val="es-ES"/>
              </w:rPr>
              <w:t>%</w:t>
            </w:r>
          </w:p>
        </w:tc>
      </w:tr>
      <w:tr w:rsidR="00EC0AED" w:rsidRPr="00AE4E8D" w14:paraId="4252D25F" w14:textId="77777777" w:rsidTr="00EC0AED">
        <w:trPr>
          <w:trHeight w:val="540"/>
        </w:trPr>
        <w:tc>
          <w:tcPr>
            <w:tcW w:w="636" w:type="pct"/>
            <w:tcBorders>
              <w:top w:val="nil"/>
              <w:left w:val="nil"/>
              <w:bottom w:val="nil"/>
              <w:right w:val="nil"/>
            </w:tcBorders>
            <w:shd w:val="clear" w:color="auto" w:fill="auto"/>
            <w:noWrap/>
            <w:vAlign w:val="bottom"/>
            <w:hideMark/>
          </w:tcPr>
          <w:p w14:paraId="7DD0ABC3" w14:textId="77777777" w:rsidR="0062499A" w:rsidRPr="00AE4E8D" w:rsidRDefault="0062499A" w:rsidP="0062499A">
            <w:pPr>
              <w:rPr>
                <w:rFonts w:ascii="Times New Roman" w:hAnsi="Times New Roman"/>
                <w:color w:val="000000"/>
                <w:lang w:val="es-ES"/>
              </w:rPr>
            </w:pPr>
          </w:p>
        </w:tc>
        <w:tc>
          <w:tcPr>
            <w:tcW w:w="1619" w:type="pct"/>
            <w:tcBorders>
              <w:top w:val="nil"/>
              <w:left w:val="nil"/>
              <w:bottom w:val="nil"/>
              <w:right w:val="nil"/>
            </w:tcBorders>
            <w:shd w:val="clear" w:color="auto" w:fill="auto"/>
            <w:vAlign w:val="center"/>
            <w:hideMark/>
          </w:tcPr>
          <w:p w14:paraId="495A5725" w14:textId="77777777" w:rsidR="0062499A" w:rsidRPr="00AE4E8D" w:rsidRDefault="0062499A" w:rsidP="0062499A">
            <w:pPr>
              <w:rPr>
                <w:rFonts w:ascii="Times New Roman" w:hAnsi="Times New Roman"/>
                <w:color w:val="000000"/>
                <w:sz w:val="14"/>
                <w:lang w:val="es-ES"/>
              </w:rPr>
            </w:pPr>
            <w:r w:rsidRPr="00AE4E8D">
              <w:rPr>
                <w:rFonts w:ascii="Times New Roman" w:hAnsi="Times New Roman"/>
                <w:color w:val="000000"/>
                <w:sz w:val="14"/>
                <w:szCs w:val="14"/>
                <w:lang w:val="es-ES" w:eastAsia="es-AR"/>
              </w:rPr>
              <w:t>Sistema financiero argentino</w:t>
            </w:r>
          </w:p>
        </w:tc>
        <w:tc>
          <w:tcPr>
            <w:tcW w:w="732" w:type="pct"/>
            <w:tcBorders>
              <w:top w:val="nil"/>
              <w:left w:val="nil"/>
              <w:bottom w:val="nil"/>
              <w:right w:val="nil"/>
            </w:tcBorders>
            <w:shd w:val="clear" w:color="auto" w:fill="auto"/>
            <w:vAlign w:val="center"/>
            <w:hideMark/>
          </w:tcPr>
          <w:p w14:paraId="29CDF14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1,45%</w:t>
            </w:r>
          </w:p>
        </w:tc>
        <w:tc>
          <w:tcPr>
            <w:tcW w:w="182" w:type="pct"/>
            <w:tcBorders>
              <w:top w:val="nil"/>
              <w:left w:val="nil"/>
              <w:bottom w:val="nil"/>
              <w:right w:val="nil"/>
            </w:tcBorders>
            <w:shd w:val="clear" w:color="auto" w:fill="auto"/>
            <w:vAlign w:val="bottom"/>
            <w:hideMark/>
          </w:tcPr>
          <w:p w14:paraId="5CAEB5B1" w14:textId="77777777" w:rsidR="0062499A" w:rsidRPr="00AE4E8D" w:rsidRDefault="0062499A" w:rsidP="0062499A">
            <w:pPr>
              <w:rPr>
                <w:rFonts w:ascii="Times New Roman" w:hAnsi="Times New Roman"/>
                <w:color w:val="000000"/>
                <w:lang w:val="es-ES"/>
              </w:rPr>
            </w:pPr>
          </w:p>
        </w:tc>
        <w:tc>
          <w:tcPr>
            <w:tcW w:w="767" w:type="pct"/>
            <w:tcBorders>
              <w:top w:val="nil"/>
              <w:left w:val="nil"/>
              <w:bottom w:val="nil"/>
              <w:right w:val="nil"/>
            </w:tcBorders>
            <w:shd w:val="clear" w:color="auto" w:fill="auto"/>
            <w:vAlign w:val="center"/>
            <w:hideMark/>
          </w:tcPr>
          <w:p w14:paraId="357D334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1,65%</w:t>
            </w:r>
          </w:p>
        </w:tc>
        <w:tc>
          <w:tcPr>
            <w:tcW w:w="230" w:type="pct"/>
            <w:tcBorders>
              <w:top w:val="nil"/>
              <w:left w:val="nil"/>
              <w:bottom w:val="nil"/>
              <w:right w:val="nil"/>
            </w:tcBorders>
            <w:shd w:val="clear" w:color="auto" w:fill="auto"/>
            <w:noWrap/>
            <w:vAlign w:val="bottom"/>
            <w:hideMark/>
          </w:tcPr>
          <w:p w14:paraId="1F24D475" w14:textId="77777777" w:rsidR="0062499A" w:rsidRPr="00AE4E8D" w:rsidRDefault="0062499A" w:rsidP="0062499A">
            <w:pPr>
              <w:rPr>
                <w:rFonts w:ascii="Times New Roman" w:hAnsi="Times New Roman"/>
                <w:color w:val="000000"/>
                <w:sz w:val="22"/>
                <w:lang w:val="es-ES"/>
              </w:rPr>
            </w:pPr>
          </w:p>
        </w:tc>
        <w:tc>
          <w:tcPr>
            <w:tcW w:w="833" w:type="pct"/>
            <w:gridSpan w:val="2"/>
            <w:tcBorders>
              <w:top w:val="nil"/>
              <w:left w:val="nil"/>
              <w:bottom w:val="nil"/>
              <w:right w:val="nil"/>
            </w:tcBorders>
            <w:shd w:val="clear" w:color="auto" w:fill="auto"/>
            <w:vAlign w:val="center"/>
            <w:hideMark/>
          </w:tcPr>
          <w:p w14:paraId="62F73FA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82</w:t>
            </w:r>
            <w:r w:rsidRPr="00AE4E8D">
              <w:rPr>
                <w:rFonts w:ascii="Times New Roman" w:hAnsi="Times New Roman"/>
                <w:color w:val="000000"/>
                <w:sz w:val="14"/>
                <w:lang w:val="es-ES"/>
              </w:rPr>
              <w:t>%</w:t>
            </w:r>
          </w:p>
        </w:tc>
      </w:tr>
    </w:tbl>
    <w:p w14:paraId="7E5D7062" w14:textId="77777777" w:rsidR="004A183C" w:rsidRPr="00AE4E8D" w:rsidRDefault="004A183C" w:rsidP="004A183C">
      <w:pPr>
        <w:pBdr>
          <w:bottom w:val="single" w:sz="4" w:space="1" w:color="auto"/>
        </w:pBdr>
        <w:autoSpaceDE w:val="0"/>
        <w:autoSpaceDN w:val="0"/>
        <w:adjustRightInd w:val="0"/>
        <w:ind w:right="7740"/>
        <w:jc w:val="both"/>
        <w:rPr>
          <w:rFonts w:ascii="Times New Roman" w:eastAsia="MS Mincho" w:hAnsi="Times New Roman"/>
          <w:w w:val="1"/>
          <w:sz w:val="8"/>
          <w:lang w:val="es-ES"/>
        </w:rPr>
      </w:pPr>
    </w:p>
    <w:p w14:paraId="61AD52B1" w14:textId="77777777" w:rsidR="008C50B4" w:rsidRPr="00AE4E8D" w:rsidRDefault="004A183C" w:rsidP="008C50B4">
      <w:pPr>
        <w:autoSpaceDE w:val="0"/>
        <w:autoSpaceDN w:val="0"/>
        <w:adjustRightInd w:val="0"/>
        <w:spacing w:after="240"/>
        <w:rPr>
          <w:rFonts w:ascii="Times New Roman" w:hAnsi="Times New Roman"/>
          <w:sz w:val="16"/>
          <w:lang w:val="es-ES"/>
        </w:rPr>
      </w:pPr>
      <w:r w:rsidRPr="00AE4E8D">
        <w:rPr>
          <w:rFonts w:ascii="Times New Roman" w:hAnsi="Times New Roman"/>
          <w:sz w:val="16"/>
          <w:lang w:val="es-ES"/>
        </w:rPr>
        <w:t>(*) Fuente: BCRA</w:t>
      </w:r>
    </w:p>
    <w:p w14:paraId="514A2A24"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75" w:name="_Toc421201419"/>
      <w:bookmarkStart w:id="576" w:name="_Toc495973032"/>
      <w:bookmarkStart w:id="577" w:name="_Toc495399939"/>
      <w:r w:rsidRPr="00AE4E8D">
        <w:rPr>
          <w:rFonts w:ascii="Times New Roman" w:hAnsi="Times New Roman"/>
          <w:b/>
          <w:lang w:val="es-ES"/>
        </w:rPr>
        <w:t>Depósitos</w:t>
      </w:r>
      <w:bookmarkEnd w:id="575"/>
      <w:bookmarkEnd w:id="576"/>
      <w:bookmarkEnd w:id="577"/>
    </w:p>
    <w:p w14:paraId="253F78C0"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La siguiente tabla muestra el nivel de depósitos (no consolidados) y la participación de mercado para los diez bancos más grandes del sistema financiero argentino a las fechas indicadas: </w:t>
      </w:r>
    </w:p>
    <w:tbl>
      <w:tblPr>
        <w:tblW w:w="10841" w:type="dxa"/>
        <w:jc w:val="center"/>
        <w:tblCellMar>
          <w:left w:w="70" w:type="dxa"/>
          <w:right w:w="70" w:type="dxa"/>
        </w:tblCellMar>
        <w:tblLook w:val="04A0" w:firstRow="1" w:lastRow="0" w:firstColumn="1" w:lastColumn="0" w:noHBand="0" w:noVBand="1"/>
      </w:tblPr>
      <w:tblGrid>
        <w:gridCol w:w="716"/>
        <w:gridCol w:w="1726"/>
        <w:gridCol w:w="1200"/>
        <w:gridCol w:w="300"/>
        <w:gridCol w:w="1172"/>
        <w:gridCol w:w="266"/>
        <w:gridCol w:w="1200"/>
        <w:gridCol w:w="280"/>
        <w:gridCol w:w="1200"/>
        <w:gridCol w:w="300"/>
        <w:gridCol w:w="1240"/>
        <w:gridCol w:w="300"/>
        <w:gridCol w:w="941"/>
      </w:tblGrid>
      <w:tr w:rsidR="003B5193" w:rsidRPr="00AE4E8D" w14:paraId="3E06BE5C" w14:textId="77777777" w:rsidTr="000400C8">
        <w:trPr>
          <w:trHeight w:val="315"/>
          <w:jc w:val="center"/>
        </w:trPr>
        <w:tc>
          <w:tcPr>
            <w:tcW w:w="567" w:type="dxa"/>
            <w:vMerge w:val="restart"/>
            <w:tcBorders>
              <w:top w:val="nil"/>
              <w:left w:val="nil"/>
              <w:bottom w:val="nil"/>
              <w:right w:val="nil"/>
            </w:tcBorders>
            <w:shd w:val="clear" w:color="auto" w:fill="auto"/>
            <w:vAlign w:val="center"/>
            <w:hideMark/>
          </w:tcPr>
          <w:p w14:paraId="0F083725"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Ranking por Depósitos</w:t>
            </w:r>
          </w:p>
        </w:tc>
        <w:tc>
          <w:tcPr>
            <w:tcW w:w="1833" w:type="dxa"/>
            <w:vMerge w:val="restart"/>
            <w:tcBorders>
              <w:top w:val="nil"/>
              <w:left w:val="nil"/>
              <w:bottom w:val="nil"/>
              <w:right w:val="nil"/>
            </w:tcBorders>
            <w:shd w:val="clear" w:color="auto" w:fill="auto"/>
            <w:vAlign w:val="center"/>
            <w:hideMark/>
          </w:tcPr>
          <w:p w14:paraId="49382E4E"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Banco</w:t>
            </w:r>
          </w:p>
        </w:tc>
        <w:tc>
          <w:tcPr>
            <w:tcW w:w="5660" w:type="dxa"/>
            <w:gridSpan w:val="7"/>
            <w:tcBorders>
              <w:top w:val="nil"/>
              <w:left w:val="nil"/>
              <w:bottom w:val="single" w:sz="8" w:space="0" w:color="auto"/>
              <w:right w:val="nil"/>
            </w:tcBorders>
            <w:shd w:val="clear" w:color="auto" w:fill="auto"/>
            <w:vAlign w:val="center"/>
            <w:hideMark/>
          </w:tcPr>
          <w:p w14:paraId="0B553218"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Al 31 de diciembre,</w:t>
            </w:r>
          </w:p>
        </w:tc>
        <w:tc>
          <w:tcPr>
            <w:tcW w:w="300" w:type="dxa"/>
            <w:tcBorders>
              <w:top w:val="nil"/>
              <w:left w:val="nil"/>
              <w:bottom w:val="nil"/>
              <w:right w:val="nil"/>
            </w:tcBorders>
            <w:shd w:val="clear" w:color="auto" w:fill="auto"/>
            <w:vAlign w:val="center"/>
            <w:hideMark/>
          </w:tcPr>
          <w:p w14:paraId="5E6F6855" w14:textId="77777777" w:rsidR="0062499A" w:rsidRPr="00AE4E8D" w:rsidRDefault="0062499A" w:rsidP="0062499A">
            <w:pPr>
              <w:rPr>
                <w:rFonts w:ascii="Times New Roman" w:hAnsi="Times New Roman"/>
                <w:b/>
                <w:bCs/>
                <w:color w:val="000000"/>
                <w:sz w:val="14"/>
                <w:szCs w:val="14"/>
                <w:lang w:val="es-ES" w:eastAsia="es-AR"/>
              </w:rPr>
            </w:pPr>
          </w:p>
        </w:tc>
        <w:tc>
          <w:tcPr>
            <w:tcW w:w="2481" w:type="dxa"/>
            <w:gridSpan w:val="3"/>
            <w:tcBorders>
              <w:top w:val="nil"/>
              <w:left w:val="nil"/>
              <w:bottom w:val="single" w:sz="8" w:space="0" w:color="auto"/>
              <w:right w:val="nil"/>
            </w:tcBorders>
            <w:shd w:val="clear" w:color="auto" w:fill="auto"/>
            <w:vAlign w:val="center"/>
            <w:hideMark/>
          </w:tcPr>
          <w:p w14:paraId="730265C2" w14:textId="77777777" w:rsidR="0062499A" w:rsidRPr="00AE4E8D" w:rsidRDefault="0062499A" w:rsidP="0062499A">
            <w:pPr>
              <w:jc w:val="center"/>
              <w:rPr>
                <w:rFonts w:ascii="Times New Roman" w:hAnsi="Times New Roman"/>
                <w:b/>
                <w:bCs/>
                <w:color w:val="000000"/>
                <w:sz w:val="14"/>
                <w:szCs w:val="14"/>
                <w:lang w:val="es-ES" w:eastAsia="es-AR"/>
              </w:rPr>
            </w:pPr>
            <w:r w:rsidRPr="00AE4E8D">
              <w:rPr>
                <w:rFonts w:ascii="Times New Roman" w:hAnsi="Times New Roman"/>
                <w:b/>
                <w:bCs/>
                <w:color w:val="000000"/>
                <w:sz w:val="14"/>
                <w:szCs w:val="14"/>
                <w:lang w:val="es-ES" w:eastAsia="es-AR"/>
              </w:rPr>
              <w:t>Al 30 de abril,</w:t>
            </w:r>
          </w:p>
        </w:tc>
      </w:tr>
      <w:tr w:rsidR="003B5193" w:rsidRPr="00AE4E8D" w14:paraId="7D20E934" w14:textId="77777777" w:rsidTr="000400C8">
        <w:trPr>
          <w:trHeight w:val="315"/>
          <w:jc w:val="center"/>
        </w:trPr>
        <w:tc>
          <w:tcPr>
            <w:tcW w:w="567" w:type="dxa"/>
            <w:vMerge/>
            <w:tcBorders>
              <w:top w:val="nil"/>
              <w:left w:val="nil"/>
              <w:bottom w:val="nil"/>
              <w:right w:val="nil"/>
            </w:tcBorders>
            <w:vAlign w:val="center"/>
            <w:hideMark/>
          </w:tcPr>
          <w:p w14:paraId="23C1A511" w14:textId="77777777" w:rsidR="0062499A" w:rsidRPr="00AE4E8D" w:rsidRDefault="0062499A" w:rsidP="0062499A">
            <w:pPr>
              <w:rPr>
                <w:rFonts w:ascii="Times New Roman" w:hAnsi="Times New Roman"/>
                <w:b/>
                <w:color w:val="000000"/>
                <w:sz w:val="14"/>
                <w:lang w:val="es-ES"/>
              </w:rPr>
            </w:pPr>
          </w:p>
        </w:tc>
        <w:tc>
          <w:tcPr>
            <w:tcW w:w="1833" w:type="dxa"/>
            <w:vMerge/>
            <w:tcBorders>
              <w:top w:val="nil"/>
              <w:left w:val="nil"/>
              <w:bottom w:val="nil"/>
              <w:right w:val="nil"/>
            </w:tcBorders>
            <w:vAlign w:val="center"/>
            <w:hideMark/>
          </w:tcPr>
          <w:p w14:paraId="56E64841" w14:textId="77777777" w:rsidR="0062499A" w:rsidRPr="00AE4E8D" w:rsidRDefault="0062499A" w:rsidP="0062499A">
            <w:pPr>
              <w:rPr>
                <w:rFonts w:ascii="Times New Roman" w:hAnsi="Times New Roman"/>
                <w:b/>
                <w:color w:val="000000"/>
                <w:sz w:val="14"/>
                <w:lang w:val="es-ES"/>
              </w:rPr>
            </w:pPr>
          </w:p>
        </w:tc>
        <w:tc>
          <w:tcPr>
            <w:tcW w:w="2700" w:type="dxa"/>
            <w:gridSpan w:val="3"/>
            <w:tcBorders>
              <w:top w:val="single" w:sz="8" w:space="0" w:color="auto"/>
              <w:left w:val="nil"/>
              <w:bottom w:val="single" w:sz="8" w:space="0" w:color="auto"/>
              <w:right w:val="nil"/>
            </w:tcBorders>
            <w:shd w:val="clear" w:color="auto" w:fill="auto"/>
            <w:vAlign w:val="center"/>
            <w:hideMark/>
          </w:tcPr>
          <w:p w14:paraId="5B6EBF9A"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2015</w:t>
            </w:r>
          </w:p>
        </w:tc>
        <w:tc>
          <w:tcPr>
            <w:tcW w:w="280" w:type="dxa"/>
            <w:tcBorders>
              <w:top w:val="nil"/>
              <w:left w:val="nil"/>
              <w:bottom w:val="nil"/>
              <w:right w:val="nil"/>
            </w:tcBorders>
            <w:shd w:val="clear" w:color="auto" w:fill="auto"/>
            <w:vAlign w:val="center"/>
            <w:hideMark/>
          </w:tcPr>
          <w:p w14:paraId="42B9568E" w14:textId="77777777" w:rsidR="0062499A" w:rsidRPr="00AE4E8D" w:rsidRDefault="0062499A" w:rsidP="00241071">
            <w:pPr>
              <w:rPr>
                <w:rFonts w:ascii="Times New Roman" w:hAnsi="Times New Roman"/>
                <w:color w:val="000000"/>
                <w:lang w:val="es-ES"/>
              </w:rPr>
            </w:pPr>
          </w:p>
        </w:tc>
        <w:tc>
          <w:tcPr>
            <w:tcW w:w="2680" w:type="dxa"/>
            <w:gridSpan w:val="3"/>
            <w:tcBorders>
              <w:top w:val="single" w:sz="8" w:space="0" w:color="auto"/>
              <w:left w:val="nil"/>
              <w:bottom w:val="single" w:sz="8" w:space="0" w:color="auto"/>
              <w:right w:val="nil"/>
            </w:tcBorders>
            <w:shd w:val="clear" w:color="auto" w:fill="auto"/>
            <w:vAlign w:val="center"/>
            <w:hideMark/>
          </w:tcPr>
          <w:p w14:paraId="5B3A56BB"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2016</w:t>
            </w:r>
          </w:p>
        </w:tc>
        <w:tc>
          <w:tcPr>
            <w:tcW w:w="300" w:type="dxa"/>
            <w:tcBorders>
              <w:top w:val="nil"/>
              <w:left w:val="nil"/>
              <w:bottom w:val="nil"/>
              <w:right w:val="nil"/>
            </w:tcBorders>
            <w:shd w:val="clear" w:color="auto" w:fill="auto"/>
            <w:vAlign w:val="center"/>
            <w:hideMark/>
          </w:tcPr>
          <w:p w14:paraId="681E3945" w14:textId="77777777" w:rsidR="0062499A" w:rsidRPr="00AE4E8D" w:rsidRDefault="0062499A" w:rsidP="00241071">
            <w:pPr>
              <w:rPr>
                <w:rFonts w:ascii="Times New Roman" w:hAnsi="Times New Roman"/>
                <w:color w:val="000000"/>
                <w:lang w:val="es-ES"/>
              </w:rPr>
            </w:pPr>
          </w:p>
        </w:tc>
        <w:tc>
          <w:tcPr>
            <w:tcW w:w="2481" w:type="dxa"/>
            <w:gridSpan w:val="3"/>
            <w:tcBorders>
              <w:top w:val="single" w:sz="8" w:space="0" w:color="auto"/>
              <w:left w:val="nil"/>
              <w:bottom w:val="single" w:sz="8" w:space="0" w:color="auto"/>
              <w:right w:val="nil"/>
            </w:tcBorders>
            <w:shd w:val="clear" w:color="auto" w:fill="auto"/>
            <w:vAlign w:val="center"/>
            <w:hideMark/>
          </w:tcPr>
          <w:p w14:paraId="6A87F723"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2017</w:t>
            </w:r>
          </w:p>
        </w:tc>
      </w:tr>
      <w:tr w:rsidR="003B5193" w:rsidRPr="00AE4E8D" w14:paraId="4504D725" w14:textId="77777777" w:rsidTr="000400C8">
        <w:trPr>
          <w:trHeight w:val="315"/>
          <w:jc w:val="center"/>
        </w:trPr>
        <w:tc>
          <w:tcPr>
            <w:tcW w:w="567" w:type="dxa"/>
            <w:vMerge/>
            <w:tcBorders>
              <w:top w:val="nil"/>
              <w:left w:val="nil"/>
              <w:bottom w:val="nil"/>
              <w:right w:val="nil"/>
            </w:tcBorders>
            <w:vAlign w:val="center"/>
            <w:hideMark/>
          </w:tcPr>
          <w:p w14:paraId="729F7AE1" w14:textId="77777777" w:rsidR="0062499A" w:rsidRPr="00AE4E8D" w:rsidRDefault="0062499A" w:rsidP="0062499A">
            <w:pPr>
              <w:rPr>
                <w:rFonts w:ascii="Times New Roman" w:hAnsi="Times New Roman"/>
                <w:b/>
                <w:color w:val="000000"/>
                <w:sz w:val="14"/>
                <w:lang w:val="es-ES"/>
              </w:rPr>
            </w:pPr>
          </w:p>
        </w:tc>
        <w:tc>
          <w:tcPr>
            <w:tcW w:w="1833" w:type="dxa"/>
            <w:vMerge/>
            <w:tcBorders>
              <w:top w:val="nil"/>
              <w:left w:val="nil"/>
              <w:bottom w:val="nil"/>
              <w:right w:val="nil"/>
            </w:tcBorders>
            <w:vAlign w:val="center"/>
            <w:hideMark/>
          </w:tcPr>
          <w:p w14:paraId="6B3A07D7" w14:textId="77777777" w:rsidR="0062499A" w:rsidRPr="00AE4E8D" w:rsidRDefault="0062499A" w:rsidP="0062499A">
            <w:pPr>
              <w:rPr>
                <w:rFonts w:ascii="Times New Roman" w:hAnsi="Times New Roman"/>
                <w:b/>
                <w:color w:val="000000"/>
                <w:sz w:val="14"/>
                <w:lang w:val="es-ES"/>
              </w:rPr>
            </w:pPr>
          </w:p>
        </w:tc>
        <w:tc>
          <w:tcPr>
            <w:tcW w:w="1200" w:type="dxa"/>
            <w:tcBorders>
              <w:top w:val="nil"/>
              <w:left w:val="nil"/>
              <w:bottom w:val="single" w:sz="8" w:space="0" w:color="auto"/>
              <w:right w:val="nil"/>
            </w:tcBorders>
            <w:shd w:val="clear" w:color="auto" w:fill="auto"/>
            <w:vAlign w:val="center"/>
            <w:hideMark/>
          </w:tcPr>
          <w:p w14:paraId="2C4BB7EC"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300" w:type="dxa"/>
            <w:tcBorders>
              <w:top w:val="nil"/>
              <w:left w:val="nil"/>
              <w:bottom w:val="nil"/>
              <w:right w:val="nil"/>
            </w:tcBorders>
            <w:shd w:val="clear" w:color="auto" w:fill="auto"/>
            <w:vAlign w:val="center"/>
            <w:hideMark/>
          </w:tcPr>
          <w:p w14:paraId="6FDB931A" w14:textId="77777777" w:rsidR="0062499A" w:rsidRPr="00AE4E8D" w:rsidRDefault="0062499A" w:rsidP="00241071">
            <w:pPr>
              <w:rPr>
                <w:rFonts w:ascii="Times New Roman" w:hAnsi="Times New Roman"/>
                <w:color w:val="000000"/>
                <w:lang w:val="es-ES"/>
              </w:rPr>
            </w:pPr>
          </w:p>
        </w:tc>
        <w:tc>
          <w:tcPr>
            <w:tcW w:w="1200" w:type="dxa"/>
            <w:tcBorders>
              <w:top w:val="nil"/>
              <w:left w:val="nil"/>
              <w:bottom w:val="single" w:sz="8" w:space="0" w:color="auto"/>
              <w:right w:val="nil"/>
            </w:tcBorders>
            <w:shd w:val="clear" w:color="auto" w:fill="auto"/>
            <w:vAlign w:val="center"/>
            <w:hideMark/>
          </w:tcPr>
          <w:p w14:paraId="55A73964"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280" w:type="dxa"/>
            <w:tcBorders>
              <w:top w:val="nil"/>
              <w:left w:val="nil"/>
              <w:bottom w:val="nil"/>
              <w:right w:val="nil"/>
            </w:tcBorders>
            <w:shd w:val="clear" w:color="auto" w:fill="auto"/>
            <w:vAlign w:val="center"/>
            <w:hideMark/>
          </w:tcPr>
          <w:p w14:paraId="0B518F5E" w14:textId="77777777" w:rsidR="0062499A" w:rsidRPr="00AE4E8D" w:rsidRDefault="0062499A" w:rsidP="00241071">
            <w:pPr>
              <w:rPr>
                <w:rFonts w:ascii="Times New Roman" w:hAnsi="Times New Roman"/>
                <w:color w:val="000000"/>
                <w:lang w:val="es-ES"/>
              </w:rPr>
            </w:pPr>
          </w:p>
        </w:tc>
        <w:tc>
          <w:tcPr>
            <w:tcW w:w="1200" w:type="dxa"/>
            <w:tcBorders>
              <w:top w:val="nil"/>
              <w:left w:val="nil"/>
              <w:bottom w:val="single" w:sz="8" w:space="0" w:color="auto"/>
              <w:right w:val="nil"/>
            </w:tcBorders>
            <w:shd w:val="clear" w:color="auto" w:fill="auto"/>
            <w:vAlign w:val="center"/>
            <w:hideMark/>
          </w:tcPr>
          <w:p w14:paraId="52F5BB0D"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280" w:type="dxa"/>
            <w:tcBorders>
              <w:top w:val="nil"/>
              <w:left w:val="nil"/>
              <w:bottom w:val="nil"/>
              <w:right w:val="nil"/>
            </w:tcBorders>
            <w:shd w:val="clear" w:color="auto" w:fill="auto"/>
            <w:vAlign w:val="center"/>
            <w:hideMark/>
          </w:tcPr>
          <w:p w14:paraId="3815BA83" w14:textId="77777777" w:rsidR="0062499A" w:rsidRPr="00AE4E8D" w:rsidRDefault="0062499A" w:rsidP="00241071">
            <w:pPr>
              <w:rPr>
                <w:rFonts w:ascii="Times New Roman" w:hAnsi="Times New Roman"/>
                <w:color w:val="000000"/>
                <w:lang w:val="es-ES"/>
              </w:rPr>
            </w:pPr>
          </w:p>
        </w:tc>
        <w:tc>
          <w:tcPr>
            <w:tcW w:w="1200" w:type="dxa"/>
            <w:tcBorders>
              <w:top w:val="nil"/>
              <w:left w:val="nil"/>
              <w:bottom w:val="single" w:sz="8" w:space="0" w:color="auto"/>
              <w:right w:val="nil"/>
            </w:tcBorders>
            <w:shd w:val="clear" w:color="auto" w:fill="auto"/>
            <w:vAlign w:val="center"/>
            <w:hideMark/>
          </w:tcPr>
          <w:p w14:paraId="34A116CC"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300" w:type="dxa"/>
            <w:tcBorders>
              <w:top w:val="nil"/>
              <w:left w:val="nil"/>
              <w:bottom w:val="nil"/>
              <w:right w:val="nil"/>
            </w:tcBorders>
            <w:shd w:val="clear" w:color="auto" w:fill="auto"/>
            <w:vAlign w:val="center"/>
            <w:hideMark/>
          </w:tcPr>
          <w:p w14:paraId="22F45678" w14:textId="77777777" w:rsidR="0062499A" w:rsidRPr="00AE4E8D" w:rsidRDefault="0062499A" w:rsidP="00241071">
            <w:pPr>
              <w:rPr>
                <w:rFonts w:ascii="Times New Roman" w:hAnsi="Times New Roman"/>
                <w:color w:val="000000"/>
                <w:lang w:val="es-ES"/>
              </w:rPr>
            </w:pPr>
          </w:p>
        </w:tc>
        <w:tc>
          <w:tcPr>
            <w:tcW w:w="1240" w:type="dxa"/>
            <w:tcBorders>
              <w:top w:val="nil"/>
              <w:left w:val="nil"/>
              <w:bottom w:val="single" w:sz="8" w:space="0" w:color="auto"/>
              <w:right w:val="nil"/>
            </w:tcBorders>
            <w:shd w:val="clear" w:color="auto" w:fill="auto"/>
            <w:vAlign w:val="center"/>
            <w:hideMark/>
          </w:tcPr>
          <w:p w14:paraId="12A60294"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300" w:type="dxa"/>
            <w:tcBorders>
              <w:top w:val="nil"/>
              <w:left w:val="nil"/>
              <w:bottom w:val="nil"/>
              <w:right w:val="nil"/>
            </w:tcBorders>
            <w:shd w:val="clear" w:color="auto" w:fill="auto"/>
            <w:vAlign w:val="center"/>
            <w:hideMark/>
          </w:tcPr>
          <w:p w14:paraId="05BD9819" w14:textId="77777777" w:rsidR="0062499A" w:rsidRPr="00AE4E8D" w:rsidRDefault="0062499A" w:rsidP="00241071">
            <w:pPr>
              <w:rPr>
                <w:rFonts w:ascii="Times New Roman" w:hAnsi="Times New Roman"/>
                <w:color w:val="000000"/>
                <w:lang w:val="es-ES"/>
              </w:rPr>
            </w:pPr>
          </w:p>
        </w:tc>
        <w:tc>
          <w:tcPr>
            <w:tcW w:w="941" w:type="dxa"/>
            <w:tcBorders>
              <w:top w:val="nil"/>
              <w:left w:val="nil"/>
              <w:bottom w:val="single" w:sz="8" w:space="0" w:color="auto"/>
              <w:right w:val="nil"/>
            </w:tcBorders>
            <w:shd w:val="clear" w:color="auto" w:fill="auto"/>
            <w:vAlign w:val="center"/>
            <w:hideMark/>
          </w:tcPr>
          <w:p w14:paraId="5580B0A0"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r>
      <w:tr w:rsidR="0062499A" w:rsidRPr="00AE4E8D" w14:paraId="27480AD1" w14:textId="77777777" w:rsidTr="000400C8">
        <w:trPr>
          <w:trHeight w:val="300"/>
          <w:jc w:val="center"/>
        </w:trPr>
        <w:tc>
          <w:tcPr>
            <w:tcW w:w="567" w:type="dxa"/>
            <w:tcBorders>
              <w:top w:val="nil"/>
              <w:left w:val="nil"/>
              <w:bottom w:val="nil"/>
              <w:right w:val="nil"/>
            </w:tcBorders>
            <w:shd w:val="clear" w:color="auto" w:fill="auto"/>
            <w:noWrap/>
            <w:vAlign w:val="bottom"/>
            <w:hideMark/>
          </w:tcPr>
          <w:p w14:paraId="65BE8B4B" w14:textId="77777777" w:rsidR="0062499A" w:rsidRPr="00AE4E8D" w:rsidRDefault="0062499A" w:rsidP="0062499A">
            <w:pPr>
              <w:rPr>
                <w:rFonts w:ascii="Times New Roman" w:hAnsi="Times New Roman"/>
                <w:color w:val="000000"/>
                <w:lang w:val="es-ES"/>
              </w:rPr>
            </w:pPr>
          </w:p>
        </w:tc>
        <w:tc>
          <w:tcPr>
            <w:tcW w:w="1833" w:type="dxa"/>
            <w:tcBorders>
              <w:top w:val="nil"/>
              <w:left w:val="nil"/>
              <w:bottom w:val="nil"/>
              <w:right w:val="nil"/>
            </w:tcBorders>
            <w:shd w:val="clear" w:color="auto" w:fill="auto"/>
            <w:vAlign w:val="bottom"/>
            <w:hideMark/>
          </w:tcPr>
          <w:p w14:paraId="59F2A8D1" w14:textId="77777777" w:rsidR="0062499A" w:rsidRPr="00AE4E8D" w:rsidRDefault="0062499A" w:rsidP="00241071">
            <w:pPr>
              <w:rPr>
                <w:rFonts w:ascii="Times New Roman" w:hAnsi="Times New Roman"/>
                <w:color w:val="000000"/>
                <w:lang w:val="es-ES"/>
              </w:rPr>
            </w:pPr>
          </w:p>
        </w:tc>
        <w:tc>
          <w:tcPr>
            <w:tcW w:w="8441" w:type="dxa"/>
            <w:gridSpan w:val="11"/>
            <w:tcBorders>
              <w:top w:val="nil"/>
              <w:left w:val="nil"/>
              <w:bottom w:val="nil"/>
              <w:right w:val="nil"/>
            </w:tcBorders>
            <w:shd w:val="clear" w:color="auto" w:fill="auto"/>
            <w:vAlign w:val="center"/>
            <w:hideMark/>
          </w:tcPr>
          <w:p w14:paraId="4D433B5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(en millones de Ps., excepto porcentajes)</w:t>
            </w:r>
          </w:p>
        </w:tc>
      </w:tr>
      <w:tr w:rsidR="003B5193" w:rsidRPr="00AE4E8D" w14:paraId="0B7A989B" w14:textId="77777777" w:rsidTr="000400C8">
        <w:trPr>
          <w:trHeight w:val="300"/>
          <w:jc w:val="center"/>
        </w:trPr>
        <w:tc>
          <w:tcPr>
            <w:tcW w:w="567" w:type="dxa"/>
            <w:tcBorders>
              <w:top w:val="nil"/>
              <w:left w:val="nil"/>
              <w:bottom w:val="nil"/>
              <w:right w:val="nil"/>
            </w:tcBorders>
            <w:shd w:val="clear" w:color="auto" w:fill="auto"/>
            <w:noWrap/>
            <w:vAlign w:val="bottom"/>
            <w:hideMark/>
          </w:tcPr>
          <w:p w14:paraId="11D3ACB9" w14:textId="77777777" w:rsidR="0062499A" w:rsidRPr="00AE4E8D" w:rsidRDefault="0062499A" w:rsidP="0062499A">
            <w:pPr>
              <w:rPr>
                <w:rFonts w:ascii="Times New Roman" w:hAnsi="Times New Roman"/>
                <w:color w:val="000000"/>
                <w:lang w:val="es-ES"/>
              </w:rPr>
            </w:pPr>
          </w:p>
        </w:tc>
        <w:tc>
          <w:tcPr>
            <w:tcW w:w="1833" w:type="dxa"/>
            <w:tcBorders>
              <w:top w:val="nil"/>
              <w:left w:val="nil"/>
              <w:bottom w:val="nil"/>
              <w:right w:val="nil"/>
            </w:tcBorders>
            <w:shd w:val="clear" w:color="auto" w:fill="auto"/>
            <w:vAlign w:val="bottom"/>
            <w:hideMark/>
          </w:tcPr>
          <w:p w14:paraId="009602E9" w14:textId="77777777" w:rsidR="0062499A" w:rsidRPr="00AE4E8D" w:rsidRDefault="0062499A" w:rsidP="00241071">
            <w:pPr>
              <w:rPr>
                <w:rFonts w:ascii="Times New Roman" w:hAnsi="Times New Roman"/>
                <w:color w:val="000000"/>
                <w:lang w:val="es-ES"/>
              </w:rPr>
            </w:pPr>
          </w:p>
        </w:tc>
        <w:tc>
          <w:tcPr>
            <w:tcW w:w="1200" w:type="dxa"/>
            <w:tcBorders>
              <w:top w:val="nil"/>
              <w:left w:val="nil"/>
              <w:bottom w:val="nil"/>
              <w:right w:val="nil"/>
            </w:tcBorders>
            <w:shd w:val="clear" w:color="auto" w:fill="auto"/>
            <w:vAlign w:val="bottom"/>
            <w:hideMark/>
          </w:tcPr>
          <w:p w14:paraId="15FA65FC" w14:textId="77777777" w:rsidR="0062499A" w:rsidRPr="00AE4E8D" w:rsidRDefault="0062499A" w:rsidP="0062499A">
            <w:pPr>
              <w:rPr>
                <w:rFonts w:ascii="Times New Roman" w:hAnsi="Times New Roman"/>
                <w:color w:val="000000"/>
                <w:lang w:val="es-ES"/>
              </w:rPr>
            </w:pPr>
          </w:p>
        </w:tc>
        <w:tc>
          <w:tcPr>
            <w:tcW w:w="300" w:type="dxa"/>
            <w:tcBorders>
              <w:top w:val="nil"/>
              <w:left w:val="nil"/>
              <w:bottom w:val="nil"/>
              <w:right w:val="nil"/>
            </w:tcBorders>
            <w:shd w:val="clear" w:color="auto" w:fill="auto"/>
            <w:vAlign w:val="bottom"/>
            <w:hideMark/>
          </w:tcPr>
          <w:p w14:paraId="42273702"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bottom"/>
            <w:hideMark/>
          </w:tcPr>
          <w:p w14:paraId="7576317C" w14:textId="77777777" w:rsidR="0062499A" w:rsidRPr="00AE4E8D" w:rsidRDefault="0062499A" w:rsidP="0062499A">
            <w:pPr>
              <w:rPr>
                <w:rFonts w:ascii="Times New Roman" w:hAnsi="Times New Roman"/>
                <w:color w:val="000000"/>
                <w:lang w:val="es-ES"/>
              </w:rPr>
            </w:pPr>
          </w:p>
        </w:tc>
        <w:tc>
          <w:tcPr>
            <w:tcW w:w="280" w:type="dxa"/>
            <w:tcBorders>
              <w:top w:val="nil"/>
              <w:left w:val="nil"/>
              <w:bottom w:val="nil"/>
              <w:right w:val="nil"/>
            </w:tcBorders>
            <w:shd w:val="clear" w:color="auto" w:fill="auto"/>
            <w:vAlign w:val="bottom"/>
            <w:hideMark/>
          </w:tcPr>
          <w:p w14:paraId="52555DD4"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bottom"/>
            <w:hideMark/>
          </w:tcPr>
          <w:p w14:paraId="2FFD6A8E" w14:textId="77777777" w:rsidR="0062499A" w:rsidRPr="00AE4E8D" w:rsidRDefault="0062499A" w:rsidP="00241071">
            <w:pPr>
              <w:rPr>
                <w:rFonts w:ascii="Times New Roman" w:hAnsi="Times New Roman"/>
                <w:color w:val="000000"/>
                <w:lang w:val="es-ES"/>
              </w:rPr>
            </w:pPr>
          </w:p>
        </w:tc>
        <w:tc>
          <w:tcPr>
            <w:tcW w:w="280" w:type="dxa"/>
            <w:tcBorders>
              <w:top w:val="nil"/>
              <w:left w:val="nil"/>
              <w:bottom w:val="nil"/>
              <w:right w:val="nil"/>
            </w:tcBorders>
            <w:shd w:val="clear" w:color="auto" w:fill="auto"/>
            <w:vAlign w:val="bottom"/>
            <w:hideMark/>
          </w:tcPr>
          <w:p w14:paraId="27ED8994" w14:textId="77777777" w:rsidR="0062499A" w:rsidRPr="00AE4E8D" w:rsidRDefault="0062499A" w:rsidP="00241071">
            <w:pPr>
              <w:rPr>
                <w:rFonts w:ascii="Times New Roman" w:hAnsi="Times New Roman"/>
                <w:color w:val="000000"/>
                <w:lang w:val="es-ES"/>
              </w:rPr>
            </w:pPr>
          </w:p>
        </w:tc>
        <w:tc>
          <w:tcPr>
            <w:tcW w:w="1200" w:type="dxa"/>
            <w:tcBorders>
              <w:top w:val="nil"/>
              <w:left w:val="nil"/>
              <w:bottom w:val="nil"/>
              <w:right w:val="nil"/>
            </w:tcBorders>
            <w:shd w:val="clear" w:color="auto" w:fill="auto"/>
            <w:vAlign w:val="bottom"/>
            <w:hideMark/>
          </w:tcPr>
          <w:p w14:paraId="5EC3AAE3" w14:textId="77777777" w:rsidR="0062499A" w:rsidRPr="00AE4E8D" w:rsidRDefault="0062499A" w:rsidP="00241071">
            <w:pPr>
              <w:rPr>
                <w:rFonts w:ascii="Times New Roman" w:hAnsi="Times New Roman"/>
                <w:color w:val="000000"/>
                <w:lang w:val="es-ES"/>
              </w:rPr>
            </w:pPr>
          </w:p>
        </w:tc>
        <w:tc>
          <w:tcPr>
            <w:tcW w:w="300" w:type="dxa"/>
            <w:tcBorders>
              <w:top w:val="nil"/>
              <w:left w:val="nil"/>
              <w:bottom w:val="nil"/>
              <w:right w:val="nil"/>
            </w:tcBorders>
            <w:shd w:val="clear" w:color="auto" w:fill="auto"/>
            <w:vAlign w:val="bottom"/>
            <w:hideMark/>
          </w:tcPr>
          <w:p w14:paraId="137FA22E" w14:textId="77777777" w:rsidR="0062499A" w:rsidRPr="00AE4E8D" w:rsidRDefault="0062499A" w:rsidP="00241071">
            <w:pPr>
              <w:rPr>
                <w:rFonts w:ascii="Times New Roman" w:hAnsi="Times New Roman"/>
                <w:color w:val="000000"/>
                <w:lang w:val="es-ES"/>
              </w:rPr>
            </w:pPr>
          </w:p>
        </w:tc>
        <w:tc>
          <w:tcPr>
            <w:tcW w:w="1240" w:type="dxa"/>
            <w:tcBorders>
              <w:top w:val="nil"/>
              <w:left w:val="nil"/>
              <w:bottom w:val="nil"/>
              <w:right w:val="nil"/>
            </w:tcBorders>
            <w:shd w:val="clear" w:color="auto" w:fill="auto"/>
            <w:vAlign w:val="bottom"/>
            <w:hideMark/>
          </w:tcPr>
          <w:p w14:paraId="227D7EC7" w14:textId="77777777" w:rsidR="0062499A" w:rsidRPr="00AE4E8D" w:rsidRDefault="0062499A" w:rsidP="0062499A">
            <w:pPr>
              <w:rPr>
                <w:rFonts w:ascii="Times New Roman" w:hAnsi="Times New Roman"/>
                <w:color w:val="000000"/>
                <w:lang w:val="es-ES"/>
              </w:rPr>
            </w:pPr>
          </w:p>
        </w:tc>
        <w:tc>
          <w:tcPr>
            <w:tcW w:w="300" w:type="dxa"/>
            <w:tcBorders>
              <w:top w:val="nil"/>
              <w:left w:val="nil"/>
              <w:bottom w:val="nil"/>
              <w:right w:val="nil"/>
            </w:tcBorders>
            <w:shd w:val="clear" w:color="auto" w:fill="auto"/>
            <w:vAlign w:val="bottom"/>
            <w:hideMark/>
          </w:tcPr>
          <w:p w14:paraId="43755762"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bottom"/>
            <w:hideMark/>
          </w:tcPr>
          <w:p w14:paraId="07A62232" w14:textId="77777777" w:rsidR="0062499A" w:rsidRPr="00AE4E8D" w:rsidRDefault="0062499A" w:rsidP="0062499A">
            <w:pPr>
              <w:rPr>
                <w:rFonts w:ascii="Times New Roman" w:hAnsi="Times New Roman"/>
                <w:color w:val="000000"/>
                <w:lang w:val="es-ES"/>
              </w:rPr>
            </w:pPr>
          </w:p>
        </w:tc>
      </w:tr>
      <w:tr w:rsidR="003B5193" w:rsidRPr="00AE4E8D" w14:paraId="4B06ABA6" w14:textId="77777777" w:rsidTr="000400C8">
        <w:trPr>
          <w:trHeight w:val="300"/>
          <w:jc w:val="center"/>
        </w:trPr>
        <w:tc>
          <w:tcPr>
            <w:tcW w:w="567" w:type="dxa"/>
            <w:tcBorders>
              <w:top w:val="nil"/>
              <w:left w:val="nil"/>
              <w:bottom w:val="nil"/>
              <w:right w:val="nil"/>
            </w:tcBorders>
            <w:shd w:val="clear" w:color="auto" w:fill="auto"/>
            <w:vAlign w:val="center"/>
            <w:hideMark/>
          </w:tcPr>
          <w:p w14:paraId="793D2DE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w:t>
            </w:r>
          </w:p>
        </w:tc>
        <w:tc>
          <w:tcPr>
            <w:tcW w:w="1833" w:type="dxa"/>
            <w:tcBorders>
              <w:top w:val="nil"/>
              <w:left w:val="nil"/>
              <w:bottom w:val="nil"/>
              <w:right w:val="nil"/>
            </w:tcBorders>
            <w:shd w:val="clear" w:color="auto" w:fill="auto"/>
            <w:vAlign w:val="center"/>
            <w:hideMark/>
          </w:tcPr>
          <w:p w14:paraId="3B15D3BA"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FD3A3F" w:rsidRPr="00AE4E8D">
              <w:rPr>
                <w:rFonts w:ascii="Times New Roman" w:hAnsi="Times New Roman"/>
                <w:color w:val="000000"/>
                <w:sz w:val="14"/>
                <w:szCs w:val="14"/>
                <w:lang w:val="es-ES" w:eastAsia="es-AR"/>
              </w:rPr>
              <w:t xml:space="preserve">de la </w:t>
            </w:r>
            <w:r w:rsidRPr="00AE4E8D">
              <w:rPr>
                <w:rFonts w:ascii="Times New Roman" w:hAnsi="Times New Roman"/>
                <w:color w:val="000000"/>
                <w:sz w:val="14"/>
                <w:szCs w:val="14"/>
                <w:lang w:val="es-ES" w:eastAsia="es-AR"/>
              </w:rPr>
              <w:t>Nación</w:t>
            </w:r>
            <w:r w:rsidR="00FD3A3F" w:rsidRPr="00AE4E8D">
              <w:rPr>
                <w:rFonts w:ascii="Times New Roman" w:hAnsi="Times New Roman"/>
                <w:color w:val="000000"/>
                <w:sz w:val="14"/>
                <w:szCs w:val="14"/>
                <w:lang w:val="es-ES" w:eastAsia="es-AR"/>
              </w:rPr>
              <w:t xml:space="preserve"> Argentina</w:t>
            </w:r>
          </w:p>
        </w:tc>
        <w:tc>
          <w:tcPr>
            <w:tcW w:w="1200" w:type="dxa"/>
            <w:tcBorders>
              <w:top w:val="nil"/>
              <w:left w:val="nil"/>
              <w:bottom w:val="nil"/>
              <w:right w:val="nil"/>
            </w:tcBorders>
            <w:shd w:val="clear" w:color="auto" w:fill="auto"/>
            <w:noWrap/>
            <w:vAlign w:val="center"/>
            <w:hideMark/>
          </w:tcPr>
          <w:p w14:paraId="4F68490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372.899,00</w:t>
            </w:r>
          </w:p>
        </w:tc>
        <w:tc>
          <w:tcPr>
            <w:tcW w:w="300" w:type="dxa"/>
            <w:tcBorders>
              <w:top w:val="nil"/>
              <w:left w:val="nil"/>
              <w:bottom w:val="nil"/>
              <w:right w:val="nil"/>
            </w:tcBorders>
            <w:shd w:val="clear" w:color="auto" w:fill="auto"/>
            <w:noWrap/>
            <w:vAlign w:val="bottom"/>
            <w:hideMark/>
          </w:tcPr>
          <w:p w14:paraId="6EC6962A"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537BB66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27,53%</w:t>
            </w:r>
          </w:p>
        </w:tc>
        <w:tc>
          <w:tcPr>
            <w:tcW w:w="280" w:type="dxa"/>
            <w:tcBorders>
              <w:top w:val="nil"/>
              <w:left w:val="nil"/>
              <w:bottom w:val="nil"/>
              <w:right w:val="nil"/>
            </w:tcBorders>
            <w:shd w:val="clear" w:color="auto" w:fill="auto"/>
            <w:vAlign w:val="bottom"/>
            <w:hideMark/>
          </w:tcPr>
          <w:p w14:paraId="4C126676"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78F1A82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567.504,10</w:t>
            </w:r>
          </w:p>
        </w:tc>
        <w:tc>
          <w:tcPr>
            <w:tcW w:w="280" w:type="dxa"/>
            <w:tcBorders>
              <w:top w:val="nil"/>
              <w:left w:val="nil"/>
              <w:bottom w:val="nil"/>
              <w:right w:val="nil"/>
            </w:tcBorders>
            <w:shd w:val="clear" w:color="auto" w:fill="auto"/>
            <w:noWrap/>
            <w:vAlign w:val="bottom"/>
            <w:hideMark/>
          </w:tcPr>
          <w:p w14:paraId="69CD314A"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7FE8E29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28,82%</w:t>
            </w:r>
          </w:p>
        </w:tc>
        <w:tc>
          <w:tcPr>
            <w:tcW w:w="300" w:type="dxa"/>
            <w:tcBorders>
              <w:top w:val="nil"/>
              <w:left w:val="nil"/>
              <w:bottom w:val="nil"/>
              <w:right w:val="nil"/>
            </w:tcBorders>
            <w:shd w:val="clear" w:color="auto" w:fill="auto"/>
            <w:noWrap/>
            <w:vAlign w:val="bottom"/>
            <w:hideMark/>
          </w:tcPr>
          <w:p w14:paraId="24497441"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30FD9A7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533.414,80</w:t>
            </w:r>
          </w:p>
        </w:tc>
        <w:tc>
          <w:tcPr>
            <w:tcW w:w="300" w:type="dxa"/>
            <w:tcBorders>
              <w:top w:val="nil"/>
              <w:left w:val="nil"/>
              <w:bottom w:val="nil"/>
              <w:right w:val="nil"/>
            </w:tcBorders>
            <w:shd w:val="clear" w:color="auto" w:fill="auto"/>
            <w:noWrap/>
            <w:vAlign w:val="bottom"/>
            <w:hideMark/>
          </w:tcPr>
          <w:p w14:paraId="0C1C5BB8"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36F75F1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25,88</w:t>
            </w:r>
            <w:r w:rsidRPr="00AE4E8D">
              <w:rPr>
                <w:rFonts w:ascii="Times New Roman" w:hAnsi="Times New Roman"/>
                <w:color w:val="000000"/>
                <w:sz w:val="14"/>
                <w:lang w:val="es-ES"/>
              </w:rPr>
              <w:t>%</w:t>
            </w:r>
          </w:p>
        </w:tc>
      </w:tr>
      <w:tr w:rsidR="003B5193" w:rsidRPr="00AE4E8D" w14:paraId="3501A5EB" w14:textId="77777777" w:rsidTr="000400C8">
        <w:trPr>
          <w:trHeight w:val="360"/>
          <w:jc w:val="center"/>
        </w:trPr>
        <w:tc>
          <w:tcPr>
            <w:tcW w:w="567" w:type="dxa"/>
            <w:tcBorders>
              <w:top w:val="nil"/>
              <w:left w:val="nil"/>
              <w:bottom w:val="nil"/>
              <w:right w:val="nil"/>
            </w:tcBorders>
            <w:shd w:val="clear" w:color="auto" w:fill="auto"/>
            <w:vAlign w:val="center"/>
            <w:hideMark/>
          </w:tcPr>
          <w:p w14:paraId="59F3DA0B"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2</w:t>
            </w:r>
          </w:p>
        </w:tc>
        <w:tc>
          <w:tcPr>
            <w:tcW w:w="1833" w:type="dxa"/>
            <w:tcBorders>
              <w:top w:val="nil"/>
              <w:left w:val="nil"/>
              <w:bottom w:val="nil"/>
              <w:right w:val="nil"/>
            </w:tcBorders>
            <w:shd w:val="clear" w:color="auto" w:fill="auto"/>
            <w:vAlign w:val="center"/>
            <w:hideMark/>
          </w:tcPr>
          <w:p w14:paraId="7B00B08F"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la </w:t>
            </w:r>
            <w:r w:rsidR="0062499A" w:rsidRPr="00AE4E8D">
              <w:rPr>
                <w:rFonts w:ascii="Times New Roman" w:hAnsi="Times New Roman"/>
                <w:color w:val="000000"/>
                <w:sz w:val="14"/>
                <w:szCs w:val="14"/>
                <w:lang w:val="es-ES" w:eastAsia="es-AR"/>
              </w:rPr>
              <w:t>Provincia de Buenos Aires</w:t>
            </w:r>
          </w:p>
        </w:tc>
        <w:tc>
          <w:tcPr>
            <w:tcW w:w="1200" w:type="dxa"/>
            <w:tcBorders>
              <w:top w:val="nil"/>
              <w:left w:val="nil"/>
              <w:bottom w:val="nil"/>
              <w:right w:val="nil"/>
            </w:tcBorders>
            <w:shd w:val="clear" w:color="auto" w:fill="auto"/>
            <w:noWrap/>
            <w:vAlign w:val="center"/>
            <w:hideMark/>
          </w:tcPr>
          <w:p w14:paraId="6482529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121.149,70</w:t>
            </w:r>
          </w:p>
        </w:tc>
        <w:tc>
          <w:tcPr>
            <w:tcW w:w="300" w:type="dxa"/>
            <w:tcBorders>
              <w:top w:val="nil"/>
              <w:left w:val="nil"/>
              <w:bottom w:val="nil"/>
              <w:right w:val="nil"/>
            </w:tcBorders>
            <w:shd w:val="clear" w:color="auto" w:fill="auto"/>
            <w:noWrap/>
            <w:vAlign w:val="bottom"/>
            <w:hideMark/>
          </w:tcPr>
          <w:p w14:paraId="76A823D4"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2B73713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8,94%</w:t>
            </w:r>
          </w:p>
        </w:tc>
        <w:tc>
          <w:tcPr>
            <w:tcW w:w="280" w:type="dxa"/>
            <w:tcBorders>
              <w:top w:val="nil"/>
              <w:left w:val="nil"/>
              <w:bottom w:val="nil"/>
              <w:right w:val="nil"/>
            </w:tcBorders>
            <w:shd w:val="clear" w:color="auto" w:fill="auto"/>
            <w:vAlign w:val="bottom"/>
            <w:hideMark/>
          </w:tcPr>
          <w:p w14:paraId="06CAB508"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298F9EE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179.005,90</w:t>
            </w:r>
          </w:p>
        </w:tc>
        <w:tc>
          <w:tcPr>
            <w:tcW w:w="280" w:type="dxa"/>
            <w:tcBorders>
              <w:top w:val="nil"/>
              <w:left w:val="nil"/>
              <w:bottom w:val="nil"/>
              <w:right w:val="nil"/>
            </w:tcBorders>
            <w:shd w:val="clear" w:color="auto" w:fill="auto"/>
            <w:noWrap/>
            <w:vAlign w:val="bottom"/>
            <w:hideMark/>
          </w:tcPr>
          <w:p w14:paraId="05D05AE4"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253B952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9,09%</w:t>
            </w:r>
          </w:p>
        </w:tc>
        <w:tc>
          <w:tcPr>
            <w:tcW w:w="300" w:type="dxa"/>
            <w:tcBorders>
              <w:top w:val="nil"/>
              <w:left w:val="nil"/>
              <w:bottom w:val="nil"/>
              <w:right w:val="nil"/>
            </w:tcBorders>
            <w:shd w:val="clear" w:color="auto" w:fill="auto"/>
            <w:noWrap/>
            <w:vAlign w:val="bottom"/>
            <w:hideMark/>
          </w:tcPr>
          <w:p w14:paraId="79D6A999"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3B35530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202.920,80</w:t>
            </w:r>
          </w:p>
        </w:tc>
        <w:tc>
          <w:tcPr>
            <w:tcW w:w="300" w:type="dxa"/>
            <w:tcBorders>
              <w:top w:val="nil"/>
              <w:left w:val="nil"/>
              <w:bottom w:val="nil"/>
              <w:right w:val="nil"/>
            </w:tcBorders>
            <w:shd w:val="clear" w:color="auto" w:fill="auto"/>
            <w:noWrap/>
            <w:vAlign w:val="bottom"/>
            <w:hideMark/>
          </w:tcPr>
          <w:p w14:paraId="07BE5A75"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2CA0EF1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9,</w:t>
            </w:r>
            <w:r w:rsidRPr="00AE4E8D">
              <w:rPr>
                <w:rFonts w:ascii="Times New Roman" w:hAnsi="Times New Roman"/>
                <w:color w:val="000000"/>
                <w:sz w:val="14"/>
                <w:szCs w:val="14"/>
                <w:lang w:val="es-ES" w:eastAsia="es-AR"/>
              </w:rPr>
              <w:t>85</w:t>
            </w:r>
            <w:r w:rsidRPr="00AE4E8D">
              <w:rPr>
                <w:rFonts w:ascii="Times New Roman" w:hAnsi="Times New Roman"/>
                <w:color w:val="000000"/>
                <w:sz w:val="14"/>
                <w:lang w:val="es-ES"/>
              </w:rPr>
              <w:t>%</w:t>
            </w:r>
          </w:p>
        </w:tc>
      </w:tr>
      <w:tr w:rsidR="003B5193" w:rsidRPr="00AE4E8D" w14:paraId="75382AAD" w14:textId="77777777" w:rsidTr="000400C8">
        <w:trPr>
          <w:trHeight w:val="300"/>
          <w:jc w:val="center"/>
        </w:trPr>
        <w:tc>
          <w:tcPr>
            <w:tcW w:w="567" w:type="dxa"/>
            <w:tcBorders>
              <w:top w:val="nil"/>
              <w:left w:val="nil"/>
              <w:bottom w:val="nil"/>
              <w:right w:val="nil"/>
            </w:tcBorders>
            <w:shd w:val="clear" w:color="auto" w:fill="auto"/>
            <w:vAlign w:val="center"/>
            <w:hideMark/>
          </w:tcPr>
          <w:p w14:paraId="1B46EA5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3</w:t>
            </w:r>
          </w:p>
        </w:tc>
        <w:tc>
          <w:tcPr>
            <w:tcW w:w="1833" w:type="dxa"/>
            <w:tcBorders>
              <w:top w:val="nil"/>
              <w:left w:val="nil"/>
              <w:bottom w:val="nil"/>
              <w:right w:val="nil"/>
            </w:tcBorders>
            <w:shd w:val="clear" w:color="auto" w:fill="auto"/>
            <w:vAlign w:val="center"/>
            <w:hideMark/>
          </w:tcPr>
          <w:p w14:paraId="0A97AC8C" w14:textId="77777777" w:rsidR="0062499A" w:rsidRPr="00AE4E8D" w:rsidRDefault="00713D68" w:rsidP="0062499A">
            <w:pPr>
              <w:jc w:val="both"/>
              <w:rPr>
                <w:rFonts w:ascii="Times New Roman" w:hAnsi="Times New Roman"/>
                <w:color w:val="000000"/>
                <w:sz w:val="14"/>
                <w:lang w:val="es-ES"/>
              </w:rPr>
            </w:pPr>
            <w:r w:rsidRPr="00AE4E8D">
              <w:rPr>
                <w:rFonts w:ascii="Times New Roman" w:hAnsi="Times New Roman"/>
                <w:color w:val="000000"/>
                <w:sz w:val="14"/>
                <w:szCs w:val="14"/>
                <w:lang w:eastAsia="es-AR"/>
              </w:rPr>
              <w:t>Banco Santander Rio S.A</w:t>
            </w:r>
          </w:p>
        </w:tc>
        <w:tc>
          <w:tcPr>
            <w:tcW w:w="1200" w:type="dxa"/>
            <w:tcBorders>
              <w:top w:val="nil"/>
              <w:left w:val="nil"/>
              <w:bottom w:val="nil"/>
              <w:right w:val="nil"/>
            </w:tcBorders>
            <w:shd w:val="clear" w:color="auto" w:fill="auto"/>
            <w:noWrap/>
            <w:vAlign w:val="center"/>
            <w:hideMark/>
          </w:tcPr>
          <w:p w14:paraId="77C3342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110.517,90</w:t>
            </w:r>
          </w:p>
        </w:tc>
        <w:tc>
          <w:tcPr>
            <w:tcW w:w="300" w:type="dxa"/>
            <w:tcBorders>
              <w:top w:val="nil"/>
              <w:left w:val="nil"/>
              <w:bottom w:val="nil"/>
              <w:right w:val="nil"/>
            </w:tcBorders>
            <w:shd w:val="clear" w:color="auto" w:fill="auto"/>
            <w:noWrap/>
            <w:vAlign w:val="bottom"/>
            <w:hideMark/>
          </w:tcPr>
          <w:p w14:paraId="16B485FA"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2684782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8,16%</w:t>
            </w:r>
          </w:p>
        </w:tc>
        <w:tc>
          <w:tcPr>
            <w:tcW w:w="280" w:type="dxa"/>
            <w:tcBorders>
              <w:top w:val="nil"/>
              <w:left w:val="nil"/>
              <w:bottom w:val="nil"/>
              <w:right w:val="nil"/>
            </w:tcBorders>
            <w:shd w:val="clear" w:color="auto" w:fill="auto"/>
            <w:vAlign w:val="bottom"/>
            <w:hideMark/>
          </w:tcPr>
          <w:p w14:paraId="430229B7"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4507182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162.070,00</w:t>
            </w:r>
          </w:p>
        </w:tc>
        <w:tc>
          <w:tcPr>
            <w:tcW w:w="280" w:type="dxa"/>
            <w:tcBorders>
              <w:top w:val="nil"/>
              <w:left w:val="nil"/>
              <w:bottom w:val="nil"/>
              <w:right w:val="nil"/>
            </w:tcBorders>
            <w:shd w:val="clear" w:color="auto" w:fill="auto"/>
            <w:noWrap/>
            <w:vAlign w:val="bottom"/>
            <w:hideMark/>
          </w:tcPr>
          <w:p w14:paraId="3C35DB92"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7935363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8,23%</w:t>
            </w:r>
          </w:p>
        </w:tc>
        <w:tc>
          <w:tcPr>
            <w:tcW w:w="300" w:type="dxa"/>
            <w:tcBorders>
              <w:top w:val="nil"/>
              <w:left w:val="nil"/>
              <w:bottom w:val="nil"/>
              <w:right w:val="nil"/>
            </w:tcBorders>
            <w:shd w:val="clear" w:color="auto" w:fill="auto"/>
            <w:noWrap/>
            <w:vAlign w:val="bottom"/>
            <w:hideMark/>
          </w:tcPr>
          <w:p w14:paraId="096EF04C"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00054C2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195.921,00</w:t>
            </w:r>
          </w:p>
        </w:tc>
        <w:tc>
          <w:tcPr>
            <w:tcW w:w="300" w:type="dxa"/>
            <w:tcBorders>
              <w:top w:val="nil"/>
              <w:left w:val="nil"/>
              <w:bottom w:val="nil"/>
              <w:right w:val="nil"/>
            </w:tcBorders>
            <w:shd w:val="clear" w:color="auto" w:fill="auto"/>
            <w:noWrap/>
            <w:vAlign w:val="bottom"/>
            <w:hideMark/>
          </w:tcPr>
          <w:p w14:paraId="66485FDE"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0192BBB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9,51</w:t>
            </w:r>
            <w:r w:rsidRPr="00AE4E8D">
              <w:rPr>
                <w:rFonts w:ascii="Times New Roman" w:hAnsi="Times New Roman"/>
                <w:color w:val="000000"/>
                <w:sz w:val="14"/>
                <w:lang w:val="es-ES"/>
              </w:rPr>
              <w:t>%</w:t>
            </w:r>
          </w:p>
        </w:tc>
      </w:tr>
      <w:tr w:rsidR="003B5193" w:rsidRPr="00AE4E8D" w14:paraId="2EEDBC73" w14:textId="77777777" w:rsidTr="000400C8">
        <w:trPr>
          <w:trHeight w:val="300"/>
          <w:jc w:val="center"/>
        </w:trPr>
        <w:tc>
          <w:tcPr>
            <w:tcW w:w="567" w:type="dxa"/>
            <w:tcBorders>
              <w:top w:val="nil"/>
              <w:left w:val="nil"/>
              <w:bottom w:val="nil"/>
              <w:right w:val="nil"/>
            </w:tcBorders>
            <w:shd w:val="clear" w:color="auto" w:fill="auto"/>
            <w:vAlign w:val="center"/>
            <w:hideMark/>
          </w:tcPr>
          <w:p w14:paraId="06CA2ED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4</w:t>
            </w:r>
          </w:p>
        </w:tc>
        <w:tc>
          <w:tcPr>
            <w:tcW w:w="1833" w:type="dxa"/>
            <w:tcBorders>
              <w:top w:val="nil"/>
              <w:left w:val="nil"/>
              <w:bottom w:val="nil"/>
              <w:right w:val="nil"/>
            </w:tcBorders>
            <w:shd w:val="clear" w:color="auto" w:fill="auto"/>
            <w:vAlign w:val="center"/>
            <w:hideMark/>
          </w:tcPr>
          <w:p w14:paraId="15734353"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w:t>
            </w:r>
            <w:r w:rsidR="0062499A" w:rsidRPr="00AE4E8D">
              <w:rPr>
                <w:rFonts w:ascii="Times New Roman" w:hAnsi="Times New Roman"/>
                <w:color w:val="000000"/>
                <w:sz w:val="14"/>
                <w:szCs w:val="14"/>
                <w:lang w:val="es-ES" w:eastAsia="es-AR"/>
              </w:rPr>
              <w:t>Galicia</w:t>
            </w:r>
            <w:r w:rsidRPr="00AE4E8D">
              <w:rPr>
                <w:rFonts w:ascii="Times New Roman" w:hAnsi="Times New Roman"/>
                <w:color w:val="000000"/>
                <w:sz w:val="14"/>
                <w:szCs w:val="14"/>
                <w:lang w:val="es-ES" w:eastAsia="es-AR"/>
              </w:rPr>
              <w:t xml:space="preserve"> y Buenos Aires</w:t>
            </w:r>
            <w:r w:rsidR="00713D68" w:rsidRPr="00AE4E8D">
              <w:rPr>
                <w:rFonts w:ascii="Times New Roman" w:hAnsi="Times New Roman"/>
                <w:color w:val="000000"/>
                <w:sz w:val="14"/>
                <w:szCs w:val="14"/>
                <w:lang w:val="es-ES" w:eastAsia="es-AR"/>
              </w:rPr>
              <w:t xml:space="preserve"> S.A.</w:t>
            </w:r>
          </w:p>
        </w:tc>
        <w:tc>
          <w:tcPr>
            <w:tcW w:w="1200" w:type="dxa"/>
            <w:tcBorders>
              <w:top w:val="nil"/>
              <w:left w:val="nil"/>
              <w:bottom w:val="nil"/>
              <w:right w:val="nil"/>
            </w:tcBorders>
            <w:shd w:val="clear" w:color="auto" w:fill="auto"/>
            <w:noWrap/>
            <w:vAlign w:val="center"/>
            <w:hideMark/>
          </w:tcPr>
          <w:p w14:paraId="01EA857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99.657,00</w:t>
            </w:r>
          </w:p>
        </w:tc>
        <w:tc>
          <w:tcPr>
            <w:tcW w:w="300" w:type="dxa"/>
            <w:tcBorders>
              <w:top w:val="nil"/>
              <w:left w:val="nil"/>
              <w:bottom w:val="nil"/>
              <w:right w:val="nil"/>
            </w:tcBorders>
            <w:shd w:val="clear" w:color="auto" w:fill="auto"/>
            <w:noWrap/>
            <w:vAlign w:val="bottom"/>
            <w:hideMark/>
          </w:tcPr>
          <w:p w14:paraId="1D101169"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0C78AC7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7,36%</w:t>
            </w:r>
          </w:p>
        </w:tc>
        <w:tc>
          <w:tcPr>
            <w:tcW w:w="280" w:type="dxa"/>
            <w:tcBorders>
              <w:top w:val="nil"/>
              <w:left w:val="nil"/>
              <w:bottom w:val="nil"/>
              <w:right w:val="nil"/>
            </w:tcBorders>
            <w:shd w:val="clear" w:color="auto" w:fill="auto"/>
            <w:vAlign w:val="bottom"/>
            <w:hideMark/>
          </w:tcPr>
          <w:p w14:paraId="0C7BED27"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0945A7F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150.639,20</w:t>
            </w:r>
          </w:p>
        </w:tc>
        <w:tc>
          <w:tcPr>
            <w:tcW w:w="280" w:type="dxa"/>
            <w:tcBorders>
              <w:top w:val="nil"/>
              <w:left w:val="nil"/>
              <w:bottom w:val="nil"/>
              <w:right w:val="nil"/>
            </w:tcBorders>
            <w:shd w:val="clear" w:color="auto" w:fill="auto"/>
            <w:noWrap/>
            <w:vAlign w:val="bottom"/>
            <w:hideMark/>
          </w:tcPr>
          <w:p w14:paraId="504899EC"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0C45D69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7,65%</w:t>
            </w:r>
          </w:p>
        </w:tc>
        <w:tc>
          <w:tcPr>
            <w:tcW w:w="300" w:type="dxa"/>
            <w:tcBorders>
              <w:top w:val="nil"/>
              <w:left w:val="nil"/>
              <w:bottom w:val="nil"/>
              <w:right w:val="nil"/>
            </w:tcBorders>
            <w:shd w:val="clear" w:color="auto" w:fill="auto"/>
            <w:noWrap/>
            <w:vAlign w:val="bottom"/>
            <w:hideMark/>
          </w:tcPr>
          <w:p w14:paraId="6E4723BE"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3A3320A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154.637,40</w:t>
            </w:r>
          </w:p>
        </w:tc>
        <w:tc>
          <w:tcPr>
            <w:tcW w:w="300" w:type="dxa"/>
            <w:tcBorders>
              <w:top w:val="nil"/>
              <w:left w:val="nil"/>
              <w:bottom w:val="nil"/>
              <w:right w:val="nil"/>
            </w:tcBorders>
            <w:shd w:val="clear" w:color="auto" w:fill="auto"/>
            <w:noWrap/>
            <w:vAlign w:val="bottom"/>
            <w:hideMark/>
          </w:tcPr>
          <w:p w14:paraId="56780DB7"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56B3130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7,</w:t>
            </w:r>
            <w:r w:rsidRPr="00AE4E8D">
              <w:rPr>
                <w:rFonts w:ascii="Times New Roman" w:hAnsi="Times New Roman"/>
                <w:color w:val="000000"/>
                <w:sz w:val="14"/>
                <w:szCs w:val="14"/>
                <w:lang w:val="es-ES" w:eastAsia="es-AR"/>
              </w:rPr>
              <w:t>50</w:t>
            </w:r>
            <w:r w:rsidRPr="00AE4E8D">
              <w:rPr>
                <w:rFonts w:ascii="Times New Roman" w:hAnsi="Times New Roman"/>
                <w:color w:val="000000"/>
                <w:sz w:val="14"/>
                <w:lang w:val="es-ES"/>
              </w:rPr>
              <w:t>%</w:t>
            </w:r>
          </w:p>
        </w:tc>
      </w:tr>
      <w:tr w:rsidR="003B5193" w:rsidRPr="00AE4E8D" w14:paraId="387DD9C4" w14:textId="77777777" w:rsidTr="000400C8">
        <w:trPr>
          <w:trHeight w:val="300"/>
          <w:jc w:val="center"/>
        </w:trPr>
        <w:tc>
          <w:tcPr>
            <w:tcW w:w="567" w:type="dxa"/>
            <w:tcBorders>
              <w:top w:val="nil"/>
              <w:left w:val="nil"/>
              <w:bottom w:val="nil"/>
              <w:right w:val="nil"/>
            </w:tcBorders>
            <w:shd w:val="clear" w:color="auto" w:fill="auto"/>
            <w:vAlign w:val="center"/>
            <w:hideMark/>
          </w:tcPr>
          <w:p w14:paraId="7163578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5</w:t>
            </w:r>
          </w:p>
        </w:tc>
        <w:tc>
          <w:tcPr>
            <w:tcW w:w="1833" w:type="dxa"/>
            <w:tcBorders>
              <w:top w:val="nil"/>
              <w:left w:val="nil"/>
              <w:bottom w:val="nil"/>
              <w:right w:val="nil"/>
            </w:tcBorders>
            <w:shd w:val="clear" w:color="auto" w:fill="auto"/>
            <w:vAlign w:val="center"/>
            <w:hideMark/>
          </w:tcPr>
          <w:p w14:paraId="0B20AD88"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BBVA </w:t>
            </w:r>
            <w:r w:rsidR="00713D68" w:rsidRPr="00AE4E8D">
              <w:rPr>
                <w:rFonts w:ascii="Times New Roman" w:hAnsi="Times New Roman"/>
                <w:color w:val="000000"/>
                <w:sz w:val="14"/>
                <w:szCs w:val="14"/>
                <w:lang w:eastAsia="es-AR"/>
              </w:rPr>
              <w:t>Banco Francés S.A.</w:t>
            </w:r>
          </w:p>
        </w:tc>
        <w:tc>
          <w:tcPr>
            <w:tcW w:w="1200" w:type="dxa"/>
            <w:tcBorders>
              <w:top w:val="nil"/>
              <w:left w:val="nil"/>
              <w:bottom w:val="nil"/>
              <w:right w:val="nil"/>
            </w:tcBorders>
            <w:shd w:val="clear" w:color="auto" w:fill="auto"/>
            <w:noWrap/>
            <w:vAlign w:val="center"/>
            <w:hideMark/>
          </w:tcPr>
          <w:p w14:paraId="7FAE00C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76.792,50</w:t>
            </w:r>
          </w:p>
        </w:tc>
        <w:tc>
          <w:tcPr>
            <w:tcW w:w="300" w:type="dxa"/>
            <w:tcBorders>
              <w:top w:val="nil"/>
              <w:left w:val="nil"/>
              <w:bottom w:val="nil"/>
              <w:right w:val="nil"/>
            </w:tcBorders>
            <w:shd w:val="clear" w:color="auto" w:fill="auto"/>
            <w:noWrap/>
            <w:vAlign w:val="bottom"/>
            <w:hideMark/>
          </w:tcPr>
          <w:p w14:paraId="5160282F"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70F269E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5,67%</w:t>
            </w:r>
          </w:p>
        </w:tc>
        <w:tc>
          <w:tcPr>
            <w:tcW w:w="280" w:type="dxa"/>
            <w:tcBorders>
              <w:top w:val="nil"/>
              <w:left w:val="nil"/>
              <w:bottom w:val="nil"/>
              <w:right w:val="nil"/>
            </w:tcBorders>
            <w:shd w:val="clear" w:color="auto" w:fill="auto"/>
            <w:vAlign w:val="bottom"/>
            <w:hideMark/>
          </w:tcPr>
          <w:p w14:paraId="1ED623DB"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182A472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114.652,10</w:t>
            </w:r>
          </w:p>
        </w:tc>
        <w:tc>
          <w:tcPr>
            <w:tcW w:w="280" w:type="dxa"/>
            <w:tcBorders>
              <w:top w:val="nil"/>
              <w:left w:val="nil"/>
              <w:bottom w:val="nil"/>
              <w:right w:val="nil"/>
            </w:tcBorders>
            <w:shd w:val="clear" w:color="auto" w:fill="auto"/>
            <w:noWrap/>
            <w:vAlign w:val="bottom"/>
            <w:hideMark/>
          </w:tcPr>
          <w:p w14:paraId="28F763CE"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35BC8CC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5,82%</w:t>
            </w:r>
          </w:p>
        </w:tc>
        <w:tc>
          <w:tcPr>
            <w:tcW w:w="300" w:type="dxa"/>
            <w:tcBorders>
              <w:top w:val="nil"/>
              <w:left w:val="nil"/>
              <w:bottom w:val="nil"/>
              <w:right w:val="nil"/>
            </w:tcBorders>
            <w:shd w:val="clear" w:color="auto" w:fill="auto"/>
            <w:noWrap/>
            <w:vAlign w:val="bottom"/>
            <w:hideMark/>
          </w:tcPr>
          <w:p w14:paraId="1D70CDCA"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0B9373A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121.814,40</w:t>
            </w:r>
          </w:p>
        </w:tc>
        <w:tc>
          <w:tcPr>
            <w:tcW w:w="300" w:type="dxa"/>
            <w:tcBorders>
              <w:top w:val="nil"/>
              <w:left w:val="nil"/>
              <w:bottom w:val="nil"/>
              <w:right w:val="nil"/>
            </w:tcBorders>
            <w:shd w:val="clear" w:color="auto" w:fill="auto"/>
            <w:noWrap/>
            <w:vAlign w:val="bottom"/>
            <w:hideMark/>
          </w:tcPr>
          <w:p w14:paraId="32C8D37E"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5D664BF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5,</w:t>
            </w:r>
            <w:r w:rsidRPr="00AE4E8D">
              <w:rPr>
                <w:rFonts w:ascii="Times New Roman" w:hAnsi="Times New Roman"/>
                <w:color w:val="000000"/>
                <w:sz w:val="14"/>
                <w:szCs w:val="14"/>
                <w:lang w:val="es-ES" w:eastAsia="es-AR"/>
              </w:rPr>
              <w:t>91</w:t>
            </w:r>
            <w:r w:rsidRPr="00AE4E8D">
              <w:rPr>
                <w:rFonts w:ascii="Times New Roman" w:hAnsi="Times New Roman"/>
                <w:color w:val="000000"/>
                <w:sz w:val="14"/>
                <w:lang w:val="es-ES"/>
              </w:rPr>
              <w:t>%</w:t>
            </w:r>
          </w:p>
        </w:tc>
      </w:tr>
      <w:tr w:rsidR="003B5193" w:rsidRPr="00AE4E8D" w14:paraId="2888C3AE" w14:textId="77777777" w:rsidTr="000400C8">
        <w:trPr>
          <w:trHeight w:val="300"/>
          <w:jc w:val="center"/>
        </w:trPr>
        <w:tc>
          <w:tcPr>
            <w:tcW w:w="567" w:type="dxa"/>
            <w:tcBorders>
              <w:top w:val="nil"/>
              <w:left w:val="nil"/>
              <w:bottom w:val="nil"/>
              <w:right w:val="nil"/>
            </w:tcBorders>
            <w:shd w:val="clear" w:color="auto" w:fill="auto"/>
            <w:vAlign w:val="center"/>
            <w:hideMark/>
          </w:tcPr>
          <w:p w14:paraId="4F17F82A"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6</w:t>
            </w:r>
          </w:p>
        </w:tc>
        <w:tc>
          <w:tcPr>
            <w:tcW w:w="1833" w:type="dxa"/>
            <w:tcBorders>
              <w:top w:val="nil"/>
              <w:left w:val="nil"/>
              <w:bottom w:val="nil"/>
              <w:right w:val="nil"/>
            </w:tcBorders>
            <w:shd w:val="clear" w:color="auto" w:fill="auto"/>
            <w:vAlign w:val="center"/>
            <w:hideMark/>
          </w:tcPr>
          <w:p w14:paraId="6598336E"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Macro</w:t>
            </w:r>
            <w:r w:rsidR="00713D68" w:rsidRPr="00AE4E8D">
              <w:rPr>
                <w:rFonts w:ascii="Times New Roman" w:hAnsi="Times New Roman"/>
                <w:color w:val="000000"/>
                <w:sz w:val="14"/>
                <w:szCs w:val="14"/>
                <w:lang w:val="en-US" w:eastAsia="es-AR"/>
              </w:rPr>
              <w:t xml:space="preserve"> S.A.</w:t>
            </w:r>
          </w:p>
        </w:tc>
        <w:tc>
          <w:tcPr>
            <w:tcW w:w="1200" w:type="dxa"/>
            <w:tcBorders>
              <w:top w:val="nil"/>
              <w:left w:val="nil"/>
              <w:bottom w:val="nil"/>
              <w:right w:val="nil"/>
            </w:tcBorders>
            <w:shd w:val="clear" w:color="auto" w:fill="auto"/>
            <w:noWrap/>
            <w:vAlign w:val="center"/>
            <w:hideMark/>
          </w:tcPr>
          <w:p w14:paraId="1AF9EA7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67.911,30</w:t>
            </w:r>
          </w:p>
        </w:tc>
        <w:tc>
          <w:tcPr>
            <w:tcW w:w="300" w:type="dxa"/>
            <w:tcBorders>
              <w:top w:val="nil"/>
              <w:left w:val="nil"/>
              <w:bottom w:val="nil"/>
              <w:right w:val="nil"/>
            </w:tcBorders>
            <w:shd w:val="clear" w:color="auto" w:fill="auto"/>
            <w:noWrap/>
            <w:vAlign w:val="bottom"/>
            <w:hideMark/>
          </w:tcPr>
          <w:p w14:paraId="00A39E9D"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20088AE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5,01%</w:t>
            </w:r>
          </w:p>
        </w:tc>
        <w:tc>
          <w:tcPr>
            <w:tcW w:w="280" w:type="dxa"/>
            <w:tcBorders>
              <w:top w:val="nil"/>
              <w:left w:val="nil"/>
              <w:bottom w:val="nil"/>
              <w:right w:val="nil"/>
            </w:tcBorders>
            <w:shd w:val="clear" w:color="auto" w:fill="auto"/>
            <w:vAlign w:val="bottom"/>
            <w:hideMark/>
          </w:tcPr>
          <w:p w14:paraId="02C6B883"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1CA135B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102.496,90</w:t>
            </w:r>
          </w:p>
        </w:tc>
        <w:tc>
          <w:tcPr>
            <w:tcW w:w="280" w:type="dxa"/>
            <w:tcBorders>
              <w:top w:val="nil"/>
              <w:left w:val="nil"/>
              <w:bottom w:val="nil"/>
              <w:right w:val="nil"/>
            </w:tcBorders>
            <w:shd w:val="clear" w:color="auto" w:fill="auto"/>
            <w:noWrap/>
            <w:vAlign w:val="bottom"/>
            <w:hideMark/>
          </w:tcPr>
          <w:p w14:paraId="6F96B7E9"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041A599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5,21%</w:t>
            </w:r>
          </w:p>
        </w:tc>
        <w:tc>
          <w:tcPr>
            <w:tcW w:w="300" w:type="dxa"/>
            <w:tcBorders>
              <w:top w:val="nil"/>
              <w:left w:val="nil"/>
              <w:bottom w:val="nil"/>
              <w:right w:val="nil"/>
            </w:tcBorders>
            <w:shd w:val="clear" w:color="auto" w:fill="auto"/>
            <w:noWrap/>
            <w:vAlign w:val="bottom"/>
            <w:hideMark/>
          </w:tcPr>
          <w:p w14:paraId="01EC0CB1"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57AF881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106.430,70</w:t>
            </w:r>
          </w:p>
        </w:tc>
        <w:tc>
          <w:tcPr>
            <w:tcW w:w="300" w:type="dxa"/>
            <w:tcBorders>
              <w:top w:val="nil"/>
              <w:left w:val="nil"/>
              <w:bottom w:val="nil"/>
              <w:right w:val="nil"/>
            </w:tcBorders>
            <w:shd w:val="clear" w:color="auto" w:fill="auto"/>
            <w:noWrap/>
            <w:vAlign w:val="bottom"/>
            <w:hideMark/>
          </w:tcPr>
          <w:p w14:paraId="0403BCA3"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1E68762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5,</w:t>
            </w:r>
            <w:r w:rsidRPr="00AE4E8D">
              <w:rPr>
                <w:rFonts w:ascii="Times New Roman" w:hAnsi="Times New Roman"/>
                <w:color w:val="000000"/>
                <w:sz w:val="14"/>
                <w:szCs w:val="14"/>
                <w:lang w:val="es-ES" w:eastAsia="es-AR"/>
              </w:rPr>
              <w:t>16</w:t>
            </w:r>
            <w:r w:rsidRPr="00AE4E8D">
              <w:rPr>
                <w:rFonts w:ascii="Times New Roman" w:hAnsi="Times New Roman"/>
                <w:color w:val="000000"/>
                <w:sz w:val="14"/>
                <w:lang w:val="es-ES"/>
              </w:rPr>
              <w:t>%</w:t>
            </w:r>
          </w:p>
        </w:tc>
      </w:tr>
      <w:tr w:rsidR="003B5193" w:rsidRPr="00AE4E8D" w14:paraId="39264185" w14:textId="77777777" w:rsidTr="000400C8">
        <w:trPr>
          <w:trHeight w:val="300"/>
          <w:jc w:val="center"/>
        </w:trPr>
        <w:tc>
          <w:tcPr>
            <w:tcW w:w="567" w:type="dxa"/>
            <w:tcBorders>
              <w:top w:val="nil"/>
              <w:left w:val="nil"/>
              <w:bottom w:val="nil"/>
              <w:right w:val="nil"/>
            </w:tcBorders>
            <w:shd w:val="clear" w:color="auto" w:fill="auto"/>
            <w:vAlign w:val="center"/>
            <w:hideMark/>
          </w:tcPr>
          <w:p w14:paraId="21C7AF12"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7</w:t>
            </w:r>
          </w:p>
        </w:tc>
        <w:tc>
          <w:tcPr>
            <w:tcW w:w="1833" w:type="dxa"/>
            <w:tcBorders>
              <w:top w:val="nil"/>
              <w:left w:val="nil"/>
              <w:bottom w:val="nil"/>
              <w:right w:val="nil"/>
            </w:tcBorders>
            <w:shd w:val="clear" w:color="auto" w:fill="auto"/>
            <w:vAlign w:val="center"/>
            <w:hideMark/>
          </w:tcPr>
          <w:p w14:paraId="04941C9C" w14:textId="77777777" w:rsidR="0062499A" w:rsidRPr="00AE4E8D" w:rsidRDefault="00713D68" w:rsidP="0062499A">
            <w:pPr>
              <w:jc w:val="both"/>
              <w:rPr>
                <w:rFonts w:ascii="Times New Roman" w:hAnsi="Times New Roman"/>
                <w:color w:val="000000"/>
                <w:sz w:val="14"/>
                <w:lang w:val="es-ES"/>
              </w:rPr>
            </w:pPr>
            <w:r w:rsidRPr="00AE4E8D">
              <w:rPr>
                <w:rFonts w:ascii="Times New Roman" w:hAnsi="Times New Roman"/>
                <w:color w:val="000000"/>
                <w:sz w:val="14"/>
                <w:szCs w:val="14"/>
                <w:lang w:eastAsia="es-AR"/>
              </w:rPr>
              <w:t>Banco Credicoop Cooperativo Limitado</w:t>
            </w:r>
          </w:p>
        </w:tc>
        <w:tc>
          <w:tcPr>
            <w:tcW w:w="1200" w:type="dxa"/>
            <w:tcBorders>
              <w:top w:val="nil"/>
              <w:left w:val="nil"/>
              <w:bottom w:val="nil"/>
              <w:right w:val="nil"/>
            </w:tcBorders>
            <w:shd w:val="clear" w:color="auto" w:fill="auto"/>
            <w:noWrap/>
            <w:vAlign w:val="center"/>
            <w:hideMark/>
          </w:tcPr>
          <w:p w14:paraId="411A42B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53.724,80</w:t>
            </w:r>
          </w:p>
        </w:tc>
        <w:tc>
          <w:tcPr>
            <w:tcW w:w="300" w:type="dxa"/>
            <w:tcBorders>
              <w:top w:val="nil"/>
              <w:left w:val="nil"/>
              <w:bottom w:val="nil"/>
              <w:right w:val="nil"/>
            </w:tcBorders>
            <w:shd w:val="clear" w:color="auto" w:fill="auto"/>
            <w:noWrap/>
            <w:vAlign w:val="bottom"/>
            <w:hideMark/>
          </w:tcPr>
          <w:p w14:paraId="277D7F15"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148108F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3,97%</w:t>
            </w:r>
          </w:p>
        </w:tc>
        <w:tc>
          <w:tcPr>
            <w:tcW w:w="280" w:type="dxa"/>
            <w:tcBorders>
              <w:top w:val="nil"/>
              <w:left w:val="nil"/>
              <w:bottom w:val="nil"/>
              <w:right w:val="nil"/>
            </w:tcBorders>
            <w:shd w:val="clear" w:color="auto" w:fill="auto"/>
            <w:vAlign w:val="bottom"/>
            <w:hideMark/>
          </w:tcPr>
          <w:p w14:paraId="3542D33D"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5FAE924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75.935,70</w:t>
            </w:r>
          </w:p>
        </w:tc>
        <w:tc>
          <w:tcPr>
            <w:tcW w:w="280" w:type="dxa"/>
            <w:tcBorders>
              <w:top w:val="nil"/>
              <w:left w:val="nil"/>
              <w:bottom w:val="nil"/>
              <w:right w:val="nil"/>
            </w:tcBorders>
            <w:shd w:val="clear" w:color="auto" w:fill="auto"/>
            <w:noWrap/>
            <w:vAlign w:val="bottom"/>
            <w:hideMark/>
          </w:tcPr>
          <w:p w14:paraId="472E2301"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5001B13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3,86%</w:t>
            </w:r>
          </w:p>
        </w:tc>
        <w:tc>
          <w:tcPr>
            <w:tcW w:w="300" w:type="dxa"/>
            <w:tcBorders>
              <w:top w:val="nil"/>
              <w:left w:val="nil"/>
              <w:bottom w:val="nil"/>
              <w:right w:val="nil"/>
            </w:tcBorders>
            <w:shd w:val="clear" w:color="auto" w:fill="auto"/>
            <w:noWrap/>
            <w:vAlign w:val="bottom"/>
            <w:hideMark/>
          </w:tcPr>
          <w:p w14:paraId="6BF821E8"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2939B17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80.248,20</w:t>
            </w:r>
          </w:p>
        </w:tc>
        <w:tc>
          <w:tcPr>
            <w:tcW w:w="300" w:type="dxa"/>
            <w:tcBorders>
              <w:top w:val="nil"/>
              <w:left w:val="nil"/>
              <w:bottom w:val="nil"/>
              <w:right w:val="nil"/>
            </w:tcBorders>
            <w:shd w:val="clear" w:color="auto" w:fill="auto"/>
            <w:noWrap/>
            <w:vAlign w:val="bottom"/>
            <w:hideMark/>
          </w:tcPr>
          <w:p w14:paraId="25595F79"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70B05E8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89</w:t>
            </w:r>
            <w:r w:rsidRPr="00AE4E8D">
              <w:rPr>
                <w:rFonts w:ascii="Times New Roman" w:hAnsi="Times New Roman"/>
                <w:color w:val="000000"/>
                <w:sz w:val="14"/>
                <w:lang w:val="es-ES"/>
              </w:rPr>
              <w:t>%</w:t>
            </w:r>
          </w:p>
        </w:tc>
      </w:tr>
      <w:tr w:rsidR="003B5193" w:rsidRPr="00AE4E8D" w14:paraId="1624AC32" w14:textId="77777777" w:rsidTr="000400C8">
        <w:trPr>
          <w:trHeight w:val="300"/>
          <w:jc w:val="center"/>
        </w:trPr>
        <w:tc>
          <w:tcPr>
            <w:tcW w:w="567" w:type="dxa"/>
            <w:tcBorders>
              <w:top w:val="nil"/>
              <w:left w:val="nil"/>
              <w:bottom w:val="nil"/>
              <w:right w:val="nil"/>
            </w:tcBorders>
            <w:shd w:val="clear" w:color="auto" w:fill="auto"/>
            <w:vAlign w:val="center"/>
            <w:hideMark/>
          </w:tcPr>
          <w:p w14:paraId="0BAC704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8</w:t>
            </w:r>
          </w:p>
        </w:tc>
        <w:tc>
          <w:tcPr>
            <w:tcW w:w="1833" w:type="dxa"/>
            <w:tcBorders>
              <w:top w:val="nil"/>
              <w:left w:val="nil"/>
              <w:bottom w:val="nil"/>
              <w:right w:val="nil"/>
            </w:tcBorders>
            <w:shd w:val="clear" w:color="auto" w:fill="auto"/>
            <w:vAlign w:val="center"/>
            <w:hideMark/>
          </w:tcPr>
          <w:p w14:paraId="715AEE0F" w14:textId="77777777" w:rsidR="0062499A" w:rsidRPr="00AE4E8D" w:rsidRDefault="000604B3"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Banco de la Ciudad de Buenos Aires</w:t>
            </w:r>
          </w:p>
        </w:tc>
        <w:tc>
          <w:tcPr>
            <w:tcW w:w="1200" w:type="dxa"/>
            <w:tcBorders>
              <w:top w:val="nil"/>
              <w:left w:val="nil"/>
              <w:bottom w:val="nil"/>
              <w:right w:val="nil"/>
            </w:tcBorders>
            <w:shd w:val="clear" w:color="auto" w:fill="auto"/>
            <w:noWrap/>
            <w:vAlign w:val="center"/>
            <w:hideMark/>
          </w:tcPr>
          <w:p w14:paraId="486BB91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44.928,60</w:t>
            </w:r>
          </w:p>
        </w:tc>
        <w:tc>
          <w:tcPr>
            <w:tcW w:w="300" w:type="dxa"/>
            <w:tcBorders>
              <w:top w:val="nil"/>
              <w:left w:val="nil"/>
              <w:bottom w:val="nil"/>
              <w:right w:val="nil"/>
            </w:tcBorders>
            <w:shd w:val="clear" w:color="auto" w:fill="auto"/>
            <w:noWrap/>
            <w:vAlign w:val="bottom"/>
            <w:hideMark/>
          </w:tcPr>
          <w:p w14:paraId="67A8D377"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52C55ED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3,32%</w:t>
            </w:r>
          </w:p>
        </w:tc>
        <w:tc>
          <w:tcPr>
            <w:tcW w:w="280" w:type="dxa"/>
            <w:tcBorders>
              <w:top w:val="nil"/>
              <w:left w:val="nil"/>
              <w:bottom w:val="nil"/>
              <w:right w:val="nil"/>
            </w:tcBorders>
            <w:shd w:val="clear" w:color="auto" w:fill="auto"/>
            <w:vAlign w:val="bottom"/>
            <w:hideMark/>
          </w:tcPr>
          <w:p w14:paraId="78D41314"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7AECD03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64.865,20</w:t>
            </w:r>
          </w:p>
        </w:tc>
        <w:tc>
          <w:tcPr>
            <w:tcW w:w="280" w:type="dxa"/>
            <w:tcBorders>
              <w:top w:val="nil"/>
              <w:left w:val="nil"/>
              <w:bottom w:val="nil"/>
              <w:right w:val="nil"/>
            </w:tcBorders>
            <w:shd w:val="clear" w:color="auto" w:fill="auto"/>
            <w:noWrap/>
            <w:vAlign w:val="bottom"/>
            <w:hideMark/>
          </w:tcPr>
          <w:p w14:paraId="69FCA1D3"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1BD8FF6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3,29%</w:t>
            </w:r>
          </w:p>
        </w:tc>
        <w:tc>
          <w:tcPr>
            <w:tcW w:w="300" w:type="dxa"/>
            <w:tcBorders>
              <w:top w:val="nil"/>
              <w:left w:val="nil"/>
              <w:bottom w:val="nil"/>
              <w:right w:val="nil"/>
            </w:tcBorders>
            <w:shd w:val="clear" w:color="auto" w:fill="auto"/>
            <w:noWrap/>
            <w:vAlign w:val="bottom"/>
            <w:hideMark/>
          </w:tcPr>
          <w:p w14:paraId="6ECA235F"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5BBBEC5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72.843,90</w:t>
            </w:r>
          </w:p>
        </w:tc>
        <w:tc>
          <w:tcPr>
            <w:tcW w:w="300" w:type="dxa"/>
            <w:tcBorders>
              <w:top w:val="nil"/>
              <w:left w:val="nil"/>
              <w:bottom w:val="nil"/>
              <w:right w:val="nil"/>
            </w:tcBorders>
            <w:shd w:val="clear" w:color="auto" w:fill="auto"/>
            <w:noWrap/>
            <w:vAlign w:val="bottom"/>
            <w:hideMark/>
          </w:tcPr>
          <w:p w14:paraId="5367D1E6"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50EC592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53</w:t>
            </w:r>
            <w:r w:rsidRPr="00AE4E8D">
              <w:rPr>
                <w:rFonts w:ascii="Times New Roman" w:hAnsi="Times New Roman"/>
                <w:color w:val="000000"/>
                <w:sz w:val="14"/>
                <w:lang w:val="es-ES"/>
              </w:rPr>
              <w:t>%</w:t>
            </w:r>
          </w:p>
        </w:tc>
      </w:tr>
      <w:tr w:rsidR="003B5193" w:rsidRPr="00AE4E8D" w14:paraId="737EC963" w14:textId="77777777" w:rsidTr="000400C8">
        <w:trPr>
          <w:trHeight w:val="300"/>
          <w:jc w:val="center"/>
        </w:trPr>
        <w:tc>
          <w:tcPr>
            <w:tcW w:w="567" w:type="dxa"/>
            <w:tcBorders>
              <w:top w:val="nil"/>
              <w:left w:val="nil"/>
              <w:bottom w:val="nil"/>
              <w:right w:val="nil"/>
            </w:tcBorders>
            <w:shd w:val="clear" w:color="auto" w:fill="auto"/>
            <w:vAlign w:val="center"/>
            <w:hideMark/>
          </w:tcPr>
          <w:p w14:paraId="17EEC62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9</w:t>
            </w:r>
          </w:p>
        </w:tc>
        <w:tc>
          <w:tcPr>
            <w:tcW w:w="1833" w:type="dxa"/>
            <w:tcBorders>
              <w:top w:val="nil"/>
              <w:left w:val="nil"/>
              <w:bottom w:val="nil"/>
              <w:right w:val="nil"/>
            </w:tcBorders>
            <w:shd w:val="clear" w:color="auto" w:fill="auto"/>
            <w:vAlign w:val="center"/>
            <w:hideMark/>
          </w:tcPr>
          <w:p w14:paraId="3E3433F6" w14:textId="77777777" w:rsidR="0062499A" w:rsidRPr="00AE4E8D" w:rsidRDefault="0062499A"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HSBC</w:t>
            </w:r>
            <w:r w:rsidR="00FD3A3F" w:rsidRPr="00AE4E8D">
              <w:rPr>
                <w:rFonts w:ascii="Times New Roman" w:hAnsi="Times New Roman"/>
                <w:color w:val="000000"/>
                <w:sz w:val="14"/>
                <w:szCs w:val="14"/>
                <w:lang w:val="en-US" w:eastAsia="es-AR"/>
              </w:rPr>
              <w:t xml:space="preserve"> Bank </w:t>
            </w:r>
            <w:r w:rsidR="002A5A31" w:rsidRPr="00AE4E8D">
              <w:rPr>
                <w:rFonts w:ascii="Times New Roman" w:hAnsi="Times New Roman"/>
                <w:color w:val="000000"/>
                <w:sz w:val="14"/>
                <w:szCs w:val="14"/>
                <w:lang w:val="en-US" w:eastAsia="es-AR"/>
              </w:rPr>
              <w:t>Argentina</w:t>
            </w:r>
            <w:r w:rsidR="00713D68" w:rsidRPr="00AE4E8D">
              <w:rPr>
                <w:rFonts w:ascii="Times New Roman" w:hAnsi="Times New Roman"/>
                <w:color w:val="000000"/>
                <w:sz w:val="14"/>
                <w:szCs w:val="14"/>
                <w:lang w:val="en-US" w:eastAsia="es-AR"/>
              </w:rPr>
              <w:t xml:space="preserve"> S.A.</w:t>
            </w:r>
          </w:p>
        </w:tc>
        <w:tc>
          <w:tcPr>
            <w:tcW w:w="1200" w:type="dxa"/>
            <w:tcBorders>
              <w:top w:val="nil"/>
              <w:left w:val="nil"/>
              <w:bottom w:val="nil"/>
              <w:right w:val="nil"/>
            </w:tcBorders>
            <w:shd w:val="clear" w:color="auto" w:fill="auto"/>
            <w:noWrap/>
            <w:vAlign w:val="center"/>
            <w:hideMark/>
          </w:tcPr>
          <w:p w14:paraId="73BA38E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50.521,30</w:t>
            </w:r>
          </w:p>
        </w:tc>
        <w:tc>
          <w:tcPr>
            <w:tcW w:w="300" w:type="dxa"/>
            <w:tcBorders>
              <w:top w:val="nil"/>
              <w:left w:val="nil"/>
              <w:bottom w:val="nil"/>
              <w:right w:val="nil"/>
            </w:tcBorders>
            <w:shd w:val="clear" w:color="auto" w:fill="auto"/>
            <w:noWrap/>
            <w:vAlign w:val="bottom"/>
            <w:hideMark/>
          </w:tcPr>
          <w:p w14:paraId="4A25321C"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1000275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3,73%</w:t>
            </w:r>
          </w:p>
        </w:tc>
        <w:tc>
          <w:tcPr>
            <w:tcW w:w="280" w:type="dxa"/>
            <w:tcBorders>
              <w:top w:val="nil"/>
              <w:left w:val="nil"/>
              <w:bottom w:val="nil"/>
              <w:right w:val="nil"/>
            </w:tcBorders>
            <w:shd w:val="clear" w:color="auto" w:fill="auto"/>
            <w:vAlign w:val="bottom"/>
            <w:hideMark/>
          </w:tcPr>
          <w:p w14:paraId="70F17C1B"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7B3319A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63.423,90</w:t>
            </w:r>
          </w:p>
        </w:tc>
        <w:tc>
          <w:tcPr>
            <w:tcW w:w="280" w:type="dxa"/>
            <w:tcBorders>
              <w:top w:val="nil"/>
              <w:left w:val="nil"/>
              <w:bottom w:val="nil"/>
              <w:right w:val="nil"/>
            </w:tcBorders>
            <w:shd w:val="clear" w:color="auto" w:fill="auto"/>
            <w:noWrap/>
            <w:vAlign w:val="bottom"/>
            <w:hideMark/>
          </w:tcPr>
          <w:p w14:paraId="726C39FD"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3CF997C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3,22%</w:t>
            </w:r>
          </w:p>
        </w:tc>
        <w:tc>
          <w:tcPr>
            <w:tcW w:w="300" w:type="dxa"/>
            <w:tcBorders>
              <w:top w:val="nil"/>
              <w:left w:val="nil"/>
              <w:bottom w:val="nil"/>
              <w:right w:val="nil"/>
            </w:tcBorders>
            <w:shd w:val="clear" w:color="auto" w:fill="auto"/>
            <w:noWrap/>
            <w:vAlign w:val="bottom"/>
            <w:hideMark/>
          </w:tcPr>
          <w:p w14:paraId="4E4039F5"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10FC3A3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67.805,00</w:t>
            </w:r>
          </w:p>
        </w:tc>
        <w:tc>
          <w:tcPr>
            <w:tcW w:w="300" w:type="dxa"/>
            <w:tcBorders>
              <w:top w:val="nil"/>
              <w:left w:val="nil"/>
              <w:bottom w:val="nil"/>
              <w:right w:val="nil"/>
            </w:tcBorders>
            <w:shd w:val="clear" w:color="auto" w:fill="auto"/>
            <w:noWrap/>
            <w:vAlign w:val="bottom"/>
            <w:hideMark/>
          </w:tcPr>
          <w:p w14:paraId="3752B530"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7AFDBE6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29</w:t>
            </w:r>
            <w:r w:rsidRPr="00AE4E8D">
              <w:rPr>
                <w:rFonts w:ascii="Times New Roman" w:hAnsi="Times New Roman"/>
                <w:color w:val="000000"/>
                <w:sz w:val="14"/>
                <w:lang w:val="es-ES"/>
              </w:rPr>
              <w:t>%</w:t>
            </w:r>
          </w:p>
        </w:tc>
      </w:tr>
      <w:tr w:rsidR="003B5193" w:rsidRPr="00AE4E8D" w14:paraId="14A685CE" w14:textId="77777777" w:rsidTr="000400C8">
        <w:trPr>
          <w:trHeight w:val="300"/>
          <w:jc w:val="center"/>
        </w:trPr>
        <w:tc>
          <w:tcPr>
            <w:tcW w:w="567" w:type="dxa"/>
            <w:tcBorders>
              <w:top w:val="nil"/>
              <w:left w:val="nil"/>
              <w:bottom w:val="nil"/>
              <w:right w:val="nil"/>
            </w:tcBorders>
            <w:shd w:val="clear" w:color="auto" w:fill="auto"/>
            <w:vAlign w:val="center"/>
            <w:hideMark/>
          </w:tcPr>
          <w:p w14:paraId="6200D5EC"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10</w:t>
            </w:r>
          </w:p>
        </w:tc>
        <w:tc>
          <w:tcPr>
            <w:tcW w:w="1833" w:type="dxa"/>
            <w:tcBorders>
              <w:top w:val="nil"/>
              <w:left w:val="nil"/>
              <w:bottom w:val="nil"/>
              <w:right w:val="nil"/>
            </w:tcBorders>
            <w:shd w:val="clear" w:color="auto" w:fill="auto"/>
            <w:vAlign w:val="center"/>
            <w:hideMark/>
          </w:tcPr>
          <w:p w14:paraId="551B9B6B"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Patagonia</w:t>
            </w:r>
            <w:r w:rsidR="00713D68" w:rsidRPr="00AE4E8D">
              <w:rPr>
                <w:rFonts w:ascii="Times New Roman" w:hAnsi="Times New Roman"/>
                <w:color w:val="000000"/>
                <w:sz w:val="14"/>
                <w:szCs w:val="14"/>
                <w:lang w:val="en-US" w:eastAsia="es-AR"/>
              </w:rPr>
              <w:t xml:space="preserve"> S.A.</w:t>
            </w:r>
          </w:p>
        </w:tc>
        <w:tc>
          <w:tcPr>
            <w:tcW w:w="1200" w:type="dxa"/>
            <w:tcBorders>
              <w:top w:val="nil"/>
              <w:left w:val="nil"/>
              <w:bottom w:val="nil"/>
              <w:right w:val="nil"/>
            </w:tcBorders>
            <w:shd w:val="clear" w:color="auto" w:fill="auto"/>
            <w:noWrap/>
            <w:vAlign w:val="center"/>
            <w:hideMark/>
          </w:tcPr>
          <w:p w14:paraId="1F264C2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41.651,50</w:t>
            </w:r>
          </w:p>
        </w:tc>
        <w:tc>
          <w:tcPr>
            <w:tcW w:w="300" w:type="dxa"/>
            <w:tcBorders>
              <w:top w:val="nil"/>
              <w:left w:val="nil"/>
              <w:bottom w:val="nil"/>
              <w:right w:val="nil"/>
            </w:tcBorders>
            <w:shd w:val="clear" w:color="auto" w:fill="auto"/>
            <w:noWrap/>
            <w:vAlign w:val="bottom"/>
            <w:hideMark/>
          </w:tcPr>
          <w:p w14:paraId="1B449724"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3166F62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3,08%</w:t>
            </w:r>
          </w:p>
        </w:tc>
        <w:tc>
          <w:tcPr>
            <w:tcW w:w="280" w:type="dxa"/>
            <w:tcBorders>
              <w:top w:val="nil"/>
              <w:left w:val="nil"/>
              <w:bottom w:val="nil"/>
              <w:right w:val="nil"/>
            </w:tcBorders>
            <w:shd w:val="clear" w:color="auto" w:fill="auto"/>
            <w:vAlign w:val="bottom"/>
            <w:hideMark/>
          </w:tcPr>
          <w:p w14:paraId="55FEFBBB"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320C178A" w14:textId="77777777" w:rsidR="0062499A" w:rsidRPr="00AE4E8D" w:rsidRDefault="00ED1A42" w:rsidP="005C2B15">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51.788,40</w:t>
            </w:r>
          </w:p>
        </w:tc>
        <w:tc>
          <w:tcPr>
            <w:tcW w:w="280" w:type="dxa"/>
            <w:tcBorders>
              <w:top w:val="nil"/>
              <w:left w:val="nil"/>
              <w:bottom w:val="nil"/>
              <w:right w:val="nil"/>
            </w:tcBorders>
            <w:shd w:val="clear" w:color="auto" w:fill="auto"/>
            <w:noWrap/>
            <w:vAlign w:val="bottom"/>
            <w:hideMark/>
          </w:tcPr>
          <w:p w14:paraId="14EFE479"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521CB98B" w14:textId="77777777" w:rsidR="0062499A" w:rsidRPr="00AE4E8D" w:rsidRDefault="0062499A" w:rsidP="005C2B15">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2,6</w:t>
            </w:r>
            <w:r w:rsidR="005C2B15" w:rsidRPr="00AE4E8D">
              <w:rPr>
                <w:rFonts w:ascii="Times New Roman" w:hAnsi="Times New Roman"/>
                <w:color w:val="000000"/>
                <w:sz w:val="14"/>
                <w:szCs w:val="14"/>
                <w:lang w:val="es-ES" w:eastAsia="es-AR"/>
              </w:rPr>
              <w:t>3</w:t>
            </w:r>
            <w:r w:rsidRPr="00AE4E8D">
              <w:rPr>
                <w:rFonts w:ascii="Times New Roman" w:hAnsi="Times New Roman"/>
                <w:color w:val="000000"/>
                <w:sz w:val="14"/>
                <w:szCs w:val="14"/>
                <w:lang w:val="es-ES" w:eastAsia="es-AR"/>
              </w:rPr>
              <w:t>%</w:t>
            </w:r>
          </w:p>
        </w:tc>
        <w:tc>
          <w:tcPr>
            <w:tcW w:w="300" w:type="dxa"/>
            <w:tcBorders>
              <w:top w:val="nil"/>
              <w:left w:val="nil"/>
              <w:bottom w:val="nil"/>
              <w:right w:val="nil"/>
            </w:tcBorders>
            <w:shd w:val="clear" w:color="auto" w:fill="auto"/>
            <w:noWrap/>
            <w:vAlign w:val="bottom"/>
            <w:hideMark/>
          </w:tcPr>
          <w:p w14:paraId="3306DD31"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2960768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52.024,20</w:t>
            </w:r>
          </w:p>
        </w:tc>
        <w:tc>
          <w:tcPr>
            <w:tcW w:w="300" w:type="dxa"/>
            <w:tcBorders>
              <w:top w:val="nil"/>
              <w:left w:val="nil"/>
              <w:bottom w:val="nil"/>
              <w:right w:val="nil"/>
            </w:tcBorders>
            <w:shd w:val="clear" w:color="auto" w:fill="auto"/>
            <w:noWrap/>
            <w:vAlign w:val="bottom"/>
            <w:hideMark/>
          </w:tcPr>
          <w:p w14:paraId="74AF9E5C"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105B2BA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eastAsia="es-AR"/>
              </w:rPr>
              <w:t>52</w:t>
            </w:r>
            <w:r w:rsidRPr="00AE4E8D">
              <w:rPr>
                <w:rFonts w:ascii="Times New Roman" w:hAnsi="Times New Roman"/>
                <w:color w:val="000000"/>
                <w:sz w:val="14"/>
                <w:lang w:val="es-ES"/>
              </w:rPr>
              <w:t>%</w:t>
            </w:r>
          </w:p>
        </w:tc>
      </w:tr>
      <w:tr w:rsidR="003B5193" w:rsidRPr="00AE4E8D" w14:paraId="44E39C13" w14:textId="77777777" w:rsidTr="000400C8">
        <w:trPr>
          <w:trHeight w:val="197"/>
          <w:jc w:val="center"/>
        </w:trPr>
        <w:tc>
          <w:tcPr>
            <w:tcW w:w="567" w:type="dxa"/>
            <w:tcBorders>
              <w:top w:val="nil"/>
              <w:left w:val="nil"/>
              <w:bottom w:val="nil"/>
              <w:right w:val="nil"/>
            </w:tcBorders>
            <w:shd w:val="clear" w:color="auto" w:fill="auto"/>
            <w:noWrap/>
            <w:vAlign w:val="bottom"/>
            <w:hideMark/>
          </w:tcPr>
          <w:p w14:paraId="5367E509" w14:textId="77777777" w:rsidR="0062499A" w:rsidRPr="00AE4E8D" w:rsidRDefault="0062499A" w:rsidP="0062499A">
            <w:pPr>
              <w:rPr>
                <w:rFonts w:ascii="Times New Roman" w:hAnsi="Times New Roman"/>
                <w:color w:val="000000"/>
                <w:lang w:val="es-ES"/>
              </w:rPr>
            </w:pPr>
          </w:p>
        </w:tc>
        <w:tc>
          <w:tcPr>
            <w:tcW w:w="1833" w:type="dxa"/>
            <w:tcBorders>
              <w:top w:val="nil"/>
              <w:left w:val="nil"/>
              <w:bottom w:val="nil"/>
              <w:right w:val="nil"/>
            </w:tcBorders>
            <w:shd w:val="clear" w:color="auto" w:fill="auto"/>
            <w:vAlign w:val="center"/>
            <w:hideMark/>
          </w:tcPr>
          <w:p w14:paraId="53CA62C2"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Total para los 10 bancos</w:t>
            </w:r>
          </w:p>
        </w:tc>
        <w:tc>
          <w:tcPr>
            <w:tcW w:w="1200" w:type="dxa"/>
            <w:tcBorders>
              <w:top w:val="nil"/>
              <w:left w:val="nil"/>
              <w:bottom w:val="nil"/>
              <w:right w:val="nil"/>
            </w:tcBorders>
            <w:shd w:val="clear" w:color="auto" w:fill="auto"/>
            <w:noWrap/>
            <w:vAlign w:val="center"/>
            <w:hideMark/>
          </w:tcPr>
          <w:p w14:paraId="163B9A2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1.039.753,60</w:t>
            </w:r>
          </w:p>
        </w:tc>
        <w:tc>
          <w:tcPr>
            <w:tcW w:w="300" w:type="dxa"/>
            <w:tcBorders>
              <w:top w:val="nil"/>
              <w:left w:val="nil"/>
              <w:bottom w:val="nil"/>
              <w:right w:val="nil"/>
            </w:tcBorders>
            <w:shd w:val="clear" w:color="auto" w:fill="auto"/>
            <w:noWrap/>
            <w:vAlign w:val="bottom"/>
            <w:hideMark/>
          </w:tcPr>
          <w:p w14:paraId="079660D4"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2F0D6C8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76,77%</w:t>
            </w:r>
          </w:p>
        </w:tc>
        <w:tc>
          <w:tcPr>
            <w:tcW w:w="280" w:type="dxa"/>
            <w:tcBorders>
              <w:top w:val="nil"/>
              <w:left w:val="nil"/>
              <w:bottom w:val="nil"/>
              <w:right w:val="nil"/>
            </w:tcBorders>
            <w:shd w:val="clear" w:color="auto" w:fill="auto"/>
            <w:vAlign w:val="bottom"/>
            <w:hideMark/>
          </w:tcPr>
          <w:p w14:paraId="310828EB"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21167E9D" w14:textId="77777777" w:rsidR="0062499A" w:rsidRPr="00AE4E8D" w:rsidRDefault="00ED1A42" w:rsidP="005C2B15">
            <w:pPr>
              <w:jc w:val="right"/>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1.532.381,40</w:t>
            </w:r>
          </w:p>
        </w:tc>
        <w:tc>
          <w:tcPr>
            <w:tcW w:w="280" w:type="dxa"/>
            <w:tcBorders>
              <w:top w:val="nil"/>
              <w:left w:val="nil"/>
              <w:bottom w:val="nil"/>
              <w:right w:val="nil"/>
            </w:tcBorders>
            <w:shd w:val="clear" w:color="auto" w:fill="auto"/>
            <w:noWrap/>
            <w:vAlign w:val="bottom"/>
            <w:hideMark/>
          </w:tcPr>
          <w:p w14:paraId="77040C32"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7154DF16" w14:textId="77777777" w:rsidR="0062499A" w:rsidRPr="00AE4E8D" w:rsidRDefault="0062499A" w:rsidP="005C2B15">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77,8</w:t>
            </w:r>
            <w:r w:rsidR="005C2B15" w:rsidRPr="00AE4E8D">
              <w:rPr>
                <w:rFonts w:ascii="Times New Roman" w:hAnsi="Times New Roman"/>
                <w:color w:val="000000"/>
                <w:sz w:val="14"/>
                <w:szCs w:val="14"/>
                <w:lang w:val="es-ES" w:eastAsia="es-AR"/>
              </w:rPr>
              <w:t>2</w:t>
            </w:r>
            <w:r w:rsidRPr="00AE4E8D">
              <w:rPr>
                <w:rFonts w:ascii="Times New Roman" w:hAnsi="Times New Roman"/>
                <w:color w:val="000000"/>
                <w:sz w:val="14"/>
                <w:szCs w:val="14"/>
                <w:lang w:val="es-ES" w:eastAsia="es-AR"/>
              </w:rPr>
              <w:t>%</w:t>
            </w:r>
          </w:p>
        </w:tc>
        <w:tc>
          <w:tcPr>
            <w:tcW w:w="300" w:type="dxa"/>
            <w:tcBorders>
              <w:top w:val="nil"/>
              <w:left w:val="nil"/>
              <w:bottom w:val="nil"/>
              <w:right w:val="nil"/>
            </w:tcBorders>
            <w:shd w:val="clear" w:color="auto" w:fill="auto"/>
            <w:noWrap/>
            <w:vAlign w:val="bottom"/>
            <w:hideMark/>
          </w:tcPr>
          <w:p w14:paraId="5FFF31D2"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5C27359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588.060,40</w:t>
            </w:r>
          </w:p>
        </w:tc>
        <w:tc>
          <w:tcPr>
            <w:tcW w:w="300" w:type="dxa"/>
            <w:tcBorders>
              <w:top w:val="nil"/>
              <w:left w:val="nil"/>
              <w:bottom w:val="nil"/>
              <w:right w:val="nil"/>
            </w:tcBorders>
            <w:shd w:val="clear" w:color="auto" w:fill="auto"/>
            <w:noWrap/>
            <w:vAlign w:val="bottom"/>
            <w:hideMark/>
          </w:tcPr>
          <w:p w14:paraId="67405FDC"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2BAA71F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77,</w:t>
            </w:r>
            <w:r w:rsidRPr="00AE4E8D">
              <w:rPr>
                <w:rFonts w:ascii="Times New Roman" w:hAnsi="Times New Roman"/>
                <w:color w:val="000000"/>
                <w:sz w:val="14"/>
                <w:szCs w:val="14"/>
                <w:lang w:val="es-ES" w:eastAsia="es-AR"/>
              </w:rPr>
              <w:t>05</w:t>
            </w:r>
            <w:r w:rsidRPr="00AE4E8D">
              <w:rPr>
                <w:rFonts w:ascii="Times New Roman" w:hAnsi="Times New Roman"/>
                <w:color w:val="000000"/>
                <w:sz w:val="14"/>
                <w:lang w:val="es-ES"/>
              </w:rPr>
              <w:t>%</w:t>
            </w:r>
          </w:p>
        </w:tc>
      </w:tr>
      <w:tr w:rsidR="003B5193" w:rsidRPr="00AE4E8D" w14:paraId="4434637F" w14:textId="77777777" w:rsidTr="000400C8">
        <w:trPr>
          <w:trHeight w:val="300"/>
          <w:jc w:val="center"/>
        </w:trPr>
        <w:tc>
          <w:tcPr>
            <w:tcW w:w="567" w:type="dxa"/>
            <w:tcBorders>
              <w:top w:val="nil"/>
              <w:left w:val="nil"/>
              <w:bottom w:val="nil"/>
              <w:right w:val="nil"/>
            </w:tcBorders>
            <w:shd w:val="clear" w:color="auto" w:fill="auto"/>
            <w:vAlign w:val="center"/>
            <w:hideMark/>
          </w:tcPr>
          <w:p w14:paraId="6AE76256"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17</w:t>
            </w:r>
          </w:p>
        </w:tc>
        <w:tc>
          <w:tcPr>
            <w:tcW w:w="1833" w:type="dxa"/>
            <w:tcBorders>
              <w:top w:val="nil"/>
              <w:left w:val="nil"/>
              <w:bottom w:val="nil"/>
              <w:right w:val="nil"/>
            </w:tcBorders>
            <w:shd w:val="clear" w:color="auto" w:fill="auto"/>
            <w:vAlign w:val="center"/>
            <w:hideMark/>
          </w:tcPr>
          <w:p w14:paraId="49B46A7D" w14:textId="77777777" w:rsidR="0062499A" w:rsidRPr="00AE4E8D" w:rsidRDefault="00FD3A3F" w:rsidP="0062499A">
            <w:pPr>
              <w:jc w:val="both"/>
              <w:rPr>
                <w:rFonts w:ascii="Times New Roman" w:hAnsi="Times New Roman"/>
                <w:b/>
                <w:color w:val="000000"/>
                <w:sz w:val="14"/>
                <w:lang w:val="es-ES"/>
              </w:rPr>
            </w:pPr>
            <w:r w:rsidRPr="00AE4E8D">
              <w:rPr>
                <w:rFonts w:ascii="Times New Roman" w:hAnsi="Times New Roman"/>
                <w:b/>
                <w:bCs/>
                <w:color w:val="000000"/>
                <w:sz w:val="14"/>
                <w:szCs w:val="14"/>
                <w:lang w:val="es-ES" w:eastAsia="es-AR"/>
              </w:rPr>
              <w:t xml:space="preserve">Banco </w:t>
            </w:r>
            <w:r w:rsidR="0062499A" w:rsidRPr="00AE4E8D">
              <w:rPr>
                <w:rFonts w:ascii="Times New Roman" w:hAnsi="Times New Roman"/>
                <w:b/>
                <w:bCs/>
                <w:color w:val="000000"/>
                <w:sz w:val="14"/>
                <w:szCs w:val="14"/>
                <w:lang w:val="es-ES" w:eastAsia="es-AR"/>
              </w:rPr>
              <w:t>Hipotecario</w:t>
            </w:r>
            <w:r w:rsidR="00713D68" w:rsidRPr="00AE4E8D">
              <w:rPr>
                <w:rFonts w:ascii="Times New Roman" w:hAnsi="Times New Roman"/>
                <w:color w:val="000000"/>
                <w:sz w:val="14"/>
                <w:szCs w:val="14"/>
                <w:lang w:val="en-US" w:eastAsia="es-AR"/>
              </w:rPr>
              <w:t xml:space="preserve"> </w:t>
            </w:r>
            <w:r w:rsidR="00713D68" w:rsidRPr="00AE4E8D">
              <w:rPr>
                <w:rFonts w:ascii="Times New Roman" w:hAnsi="Times New Roman"/>
                <w:b/>
                <w:color w:val="000000"/>
                <w:sz w:val="14"/>
                <w:szCs w:val="14"/>
                <w:lang w:val="en-US" w:eastAsia="es-AR"/>
              </w:rPr>
              <w:t>S.A.</w:t>
            </w:r>
          </w:p>
        </w:tc>
        <w:tc>
          <w:tcPr>
            <w:tcW w:w="1200" w:type="dxa"/>
            <w:tcBorders>
              <w:top w:val="nil"/>
              <w:left w:val="nil"/>
              <w:bottom w:val="nil"/>
              <w:right w:val="nil"/>
            </w:tcBorders>
            <w:shd w:val="clear" w:color="auto" w:fill="auto"/>
            <w:noWrap/>
            <w:vAlign w:val="center"/>
            <w:hideMark/>
          </w:tcPr>
          <w:p w14:paraId="296610F5"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20.486,80</w:t>
            </w:r>
          </w:p>
        </w:tc>
        <w:tc>
          <w:tcPr>
            <w:tcW w:w="300" w:type="dxa"/>
            <w:tcBorders>
              <w:top w:val="nil"/>
              <w:left w:val="nil"/>
              <w:bottom w:val="nil"/>
              <w:right w:val="nil"/>
            </w:tcBorders>
            <w:shd w:val="clear" w:color="auto" w:fill="auto"/>
            <w:noWrap/>
            <w:vAlign w:val="bottom"/>
            <w:hideMark/>
          </w:tcPr>
          <w:p w14:paraId="4BA54EC9"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1FCC4F4F"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1,51%</w:t>
            </w:r>
          </w:p>
        </w:tc>
        <w:tc>
          <w:tcPr>
            <w:tcW w:w="280" w:type="dxa"/>
            <w:tcBorders>
              <w:top w:val="nil"/>
              <w:left w:val="nil"/>
              <w:bottom w:val="nil"/>
              <w:right w:val="nil"/>
            </w:tcBorders>
            <w:shd w:val="clear" w:color="auto" w:fill="auto"/>
            <w:vAlign w:val="bottom"/>
            <w:hideMark/>
          </w:tcPr>
          <w:p w14:paraId="7C0B5ED0"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5B415EF3"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19.043,90</w:t>
            </w:r>
          </w:p>
        </w:tc>
        <w:tc>
          <w:tcPr>
            <w:tcW w:w="280" w:type="dxa"/>
            <w:tcBorders>
              <w:top w:val="nil"/>
              <w:left w:val="nil"/>
              <w:bottom w:val="nil"/>
              <w:right w:val="nil"/>
            </w:tcBorders>
            <w:shd w:val="clear" w:color="auto" w:fill="auto"/>
            <w:noWrap/>
            <w:vAlign w:val="bottom"/>
            <w:hideMark/>
          </w:tcPr>
          <w:p w14:paraId="75E48730"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5B232064"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0,97%</w:t>
            </w:r>
          </w:p>
        </w:tc>
        <w:tc>
          <w:tcPr>
            <w:tcW w:w="300" w:type="dxa"/>
            <w:tcBorders>
              <w:top w:val="nil"/>
              <w:left w:val="nil"/>
              <w:bottom w:val="nil"/>
              <w:right w:val="nil"/>
            </w:tcBorders>
            <w:shd w:val="clear" w:color="auto" w:fill="auto"/>
            <w:noWrap/>
            <w:vAlign w:val="bottom"/>
            <w:hideMark/>
          </w:tcPr>
          <w:p w14:paraId="6D9E8227"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noWrap/>
            <w:vAlign w:val="center"/>
            <w:hideMark/>
          </w:tcPr>
          <w:p w14:paraId="74F40C99"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20.317,10</w:t>
            </w:r>
          </w:p>
        </w:tc>
        <w:tc>
          <w:tcPr>
            <w:tcW w:w="300" w:type="dxa"/>
            <w:tcBorders>
              <w:top w:val="nil"/>
              <w:left w:val="nil"/>
              <w:bottom w:val="nil"/>
              <w:right w:val="nil"/>
            </w:tcBorders>
            <w:shd w:val="clear" w:color="auto" w:fill="auto"/>
            <w:noWrap/>
            <w:vAlign w:val="bottom"/>
            <w:hideMark/>
          </w:tcPr>
          <w:p w14:paraId="5194424A"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3FC002B3"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color w:val="000000"/>
                <w:sz w:val="14"/>
                <w:lang w:val="es-ES"/>
              </w:rPr>
              <w:t>0,</w:t>
            </w:r>
            <w:r w:rsidRPr="00AE4E8D">
              <w:rPr>
                <w:rFonts w:ascii="Times New Roman" w:hAnsi="Times New Roman"/>
                <w:b/>
                <w:bCs/>
                <w:color w:val="000000"/>
                <w:sz w:val="14"/>
                <w:szCs w:val="14"/>
                <w:lang w:val="es-ES" w:eastAsia="es-AR"/>
              </w:rPr>
              <w:t>99</w:t>
            </w:r>
            <w:r w:rsidRPr="00AE4E8D">
              <w:rPr>
                <w:rFonts w:ascii="Times New Roman" w:hAnsi="Times New Roman"/>
                <w:b/>
                <w:color w:val="000000"/>
                <w:sz w:val="14"/>
                <w:lang w:val="es-ES"/>
              </w:rPr>
              <w:t>%</w:t>
            </w:r>
          </w:p>
        </w:tc>
      </w:tr>
      <w:tr w:rsidR="003B5193" w:rsidRPr="00AE4E8D" w14:paraId="6E6D033A" w14:textId="77777777" w:rsidTr="000400C8">
        <w:trPr>
          <w:trHeight w:val="540"/>
          <w:jc w:val="center"/>
        </w:trPr>
        <w:tc>
          <w:tcPr>
            <w:tcW w:w="567" w:type="dxa"/>
            <w:tcBorders>
              <w:top w:val="nil"/>
              <w:left w:val="nil"/>
              <w:bottom w:val="nil"/>
              <w:right w:val="nil"/>
            </w:tcBorders>
            <w:shd w:val="clear" w:color="auto" w:fill="auto"/>
            <w:noWrap/>
            <w:vAlign w:val="bottom"/>
            <w:hideMark/>
          </w:tcPr>
          <w:p w14:paraId="28D9CA24" w14:textId="77777777" w:rsidR="0062499A" w:rsidRPr="00AE4E8D" w:rsidRDefault="0062499A" w:rsidP="0062499A">
            <w:pPr>
              <w:rPr>
                <w:rFonts w:ascii="Times New Roman" w:hAnsi="Times New Roman"/>
                <w:color w:val="000000"/>
                <w:lang w:val="es-ES"/>
              </w:rPr>
            </w:pPr>
          </w:p>
        </w:tc>
        <w:tc>
          <w:tcPr>
            <w:tcW w:w="1833" w:type="dxa"/>
            <w:tcBorders>
              <w:top w:val="nil"/>
              <w:left w:val="nil"/>
              <w:bottom w:val="nil"/>
              <w:right w:val="nil"/>
            </w:tcBorders>
            <w:shd w:val="clear" w:color="auto" w:fill="auto"/>
            <w:vAlign w:val="center"/>
            <w:hideMark/>
          </w:tcPr>
          <w:p w14:paraId="462C9A19" w14:textId="77777777" w:rsidR="0062499A" w:rsidRPr="00AE4E8D" w:rsidRDefault="0062499A" w:rsidP="0062499A">
            <w:pPr>
              <w:rPr>
                <w:rFonts w:ascii="Times New Roman" w:hAnsi="Times New Roman"/>
                <w:color w:val="000000"/>
                <w:sz w:val="14"/>
                <w:lang w:val="es-ES"/>
              </w:rPr>
            </w:pPr>
            <w:r w:rsidRPr="00AE4E8D">
              <w:rPr>
                <w:rFonts w:ascii="Times New Roman" w:hAnsi="Times New Roman"/>
                <w:color w:val="000000"/>
                <w:sz w:val="14"/>
                <w:szCs w:val="14"/>
                <w:lang w:val="es-ES" w:eastAsia="es-AR"/>
              </w:rPr>
              <w:t>Sistema financiero argentino</w:t>
            </w:r>
          </w:p>
        </w:tc>
        <w:tc>
          <w:tcPr>
            <w:tcW w:w="1200" w:type="dxa"/>
            <w:tcBorders>
              <w:top w:val="nil"/>
              <w:left w:val="nil"/>
              <w:bottom w:val="nil"/>
              <w:right w:val="nil"/>
            </w:tcBorders>
            <w:shd w:val="clear" w:color="auto" w:fill="auto"/>
            <w:vAlign w:val="center"/>
            <w:hideMark/>
          </w:tcPr>
          <w:p w14:paraId="382094D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1.354.390,90</w:t>
            </w:r>
          </w:p>
        </w:tc>
        <w:tc>
          <w:tcPr>
            <w:tcW w:w="300" w:type="dxa"/>
            <w:tcBorders>
              <w:top w:val="nil"/>
              <w:left w:val="nil"/>
              <w:bottom w:val="nil"/>
              <w:right w:val="nil"/>
            </w:tcBorders>
            <w:shd w:val="clear" w:color="auto" w:fill="auto"/>
            <w:vAlign w:val="bottom"/>
            <w:hideMark/>
          </w:tcPr>
          <w:p w14:paraId="54F9C056"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0C5475B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280" w:type="dxa"/>
            <w:tcBorders>
              <w:top w:val="nil"/>
              <w:left w:val="nil"/>
              <w:bottom w:val="nil"/>
              <w:right w:val="nil"/>
            </w:tcBorders>
            <w:shd w:val="clear" w:color="auto" w:fill="auto"/>
            <w:vAlign w:val="bottom"/>
            <w:hideMark/>
          </w:tcPr>
          <w:p w14:paraId="1F35ACFA"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6939BA1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1.969.028,60</w:t>
            </w:r>
          </w:p>
        </w:tc>
        <w:tc>
          <w:tcPr>
            <w:tcW w:w="280" w:type="dxa"/>
            <w:tcBorders>
              <w:top w:val="nil"/>
              <w:left w:val="nil"/>
              <w:bottom w:val="nil"/>
              <w:right w:val="nil"/>
            </w:tcBorders>
            <w:shd w:val="clear" w:color="auto" w:fill="auto"/>
            <w:vAlign w:val="bottom"/>
            <w:hideMark/>
          </w:tcPr>
          <w:p w14:paraId="66A46123"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4B2F6DA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300" w:type="dxa"/>
            <w:tcBorders>
              <w:top w:val="nil"/>
              <w:left w:val="nil"/>
              <w:bottom w:val="nil"/>
              <w:right w:val="nil"/>
            </w:tcBorders>
            <w:shd w:val="clear" w:color="auto" w:fill="auto"/>
            <w:noWrap/>
            <w:vAlign w:val="bottom"/>
            <w:hideMark/>
          </w:tcPr>
          <w:p w14:paraId="758F909D" w14:textId="77777777" w:rsidR="0062499A" w:rsidRPr="00AE4E8D" w:rsidRDefault="0062499A" w:rsidP="0062499A">
            <w:pPr>
              <w:rPr>
                <w:rFonts w:ascii="Times New Roman" w:hAnsi="Times New Roman"/>
                <w:color w:val="000000"/>
                <w:sz w:val="22"/>
                <w:lang w:val="es-ES"/>
              </w:rPr>
            </w:pPr>
          </w:p>
        </w:tc>
        <w:tc>
          <w:tcPr>
            <w:tcW w:w="1240" w:type="dxa"/>
            <w:tcBorders>
              <w:top w:val="nil"/>
              <w:left w:val="nil"/>
              <w:bottom w:val="nil"/>
              <w:right w:val="nil"/>
            </w:tcBorders>
            <w:shd w:val="clear" w:color="auto" w:fill="auto"/>
            <w:vAlign w:val="center"/>
            <w:hideMark/>
          </w:tcPr>
          <w:p w14:paraId="1FABC02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2.060.949,30</w:t>
            </w:r>
          </w:p>
        </w:tc>
        <w:tc>
          <w:tcPr>
            <w:tcW w:w="300" w:type="dxa"/>
            <w:tcBorders>
              <w:top w:val="nil"/>
              <w:left w:val="nil"/>
              <w:bottom w:val="nil"/>
              <w:right w:val="nil"/>
            </w:tcBorders>
            <w:shd w:val="clear" w:color="auto" w:fill="auto"/>
            <w:vAlign w:val="bottom"/>
            <w:hideMark/>
          </w:tcPr>
          <w:p w14:paraId="1AF7B8BE" w14:textId="77777777" w:rsidR="0062499A" w:rsidRPr="00AE4E8D" w:rsidRDefault="0062499A" w:rsidP="0062499A">
            <w:pPr>
              <w:rPr>
                <w:rFonts w:ascii="Times New Roman" w:hAnsi="Times New Roman"/>
                <w:color w:val="000000"/>
                <w:lang w:val="es-ES"/>
              </w:rPr>
            </w:pPr>
          </w:p>
        </w:tc>
        <w:tc>
          <w:tcPr>
            <w:tcW w:w="941" w:type="dxa"/>
            <w:tcBorders>
              <w:top w:val="nil"/>
              <w:left w:val="nil"/>
              <w:bottom w:val="nil"/>
              <w:right w:val="nil"/>
            </w:tcBorders>
            <w:shd w:val="clear" w:color="auto" w:fill="auto"/>
            <w:vAlign w:val="center"/>
            <w:hideMark/>
          </w:tcPr>
          <w:p w14:paraId="2C770E5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100,00%</w:t>
            </w:r>
          </w:p>
        </w:tc>
      </w:tr>
    </w:tbl>
    <w:p w14:paraId="6721C50C" w14:textId="77777777" w:rsidR="008C50B4" w:rsidRPr="00AE4E8D" w:rsidRDefault="008C50B4" w:rsidP="008C50B4">
      <w:pPr>
        <w:pBdr>
          <w:bottom w:val="single" w:sz="4" w:space="1" w:color="auto"/>
        </w:pBdr>
        <w:autoSpaceDE w:val="0"/>
        <w:autoSpaceDN w:val="0"/>
        <w:adjustRightInd w:val="0"/>
        <w:ind w:right="7740"/>
        <w:jc w:val="both"/>
        <w:rPr>
          <w:rFonts w:ascii="Times New Roman" w:eastAsia="MS Mincho" w:hAnsi="Times New Roman"/>
          <w:w w:val="1"/>
          <w:lang w:val="es-ES"/>
        </w:rPr>
      </w:pPr>
    </w:p>
    <w:p w14:paraId="15915CAA" w14:textId="77777777" w:rsidR="008C50B4" w:rsidRPr="00AE4E8D" w:rsidRDefault="008C50B4" w:rsidP="008C50B4">
      <w:pPr>
        <w:autoSpaceDE w:val="0"/>
        <w:autoSpaceDN w:val="0"/>
        <w:adjustRightInd w:val="0"/>
        <w:spacing w:after="240"/>
        <w:rPr>
          <w:rFonts w:ascii="Times New Roman" w:hAnsi="Times New Roman"/>
          <w:sz w:val="16"/>
          <w:lang w:val="es-ES"/>
        </w:rPr>
      </w:pPr>
      <w:r w:rsidRPr="00AE4E8D">
        <w:rPr>
          <w:rFonts w:ascii="Times New Roman" w:hAnsi="Times New Roman"/>
          <w:sz w:val="16"/>
          <w:lang w:val="es-ES"/>
        </w:rPr>
        <w:t>(*) Fuente: BCRA.</w:t>
      </w:r>
    </w:p>
    <w:p w14:paraId="049CB08A"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78" w:name="_Toc421201420"/>
      <w:bookmarkStart w:id="579" w:name="_Toc495973033"/>
      <w:bookmarkStart w:id="580" w:name="_Toc495399940"/>
      <w:r w:rsidRPr="00AE4E8D">
        <w:rPr>
          <w:rFonts w:ascii="Times New Roman" w:hAnsi="Times New Roman"/>
          <w:b/>
          <w:lang w:val="es-ES"/>
        </w:rPr>
        <w:lastRenderedPageBreak/>
        <w:t>Patrimonio Neto</w:t>
      </w:r>
      <w:bookmarkEnd w:id="578"/>
      <w:bookmarkEnd w:id="579"/>
      <w:bookmarkEnd w:id="580"/>
    </w:p>
    <w:p w14:paraId="0A2D5C41"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siguiente tabla muestra el nivel y la participación de mercado del patrimonio neto para los diez bancos más grandes del sistema financiero argentino a las fechas indicadas:</w:t>
      </w:r>
    </w:p>
    <w:tbl>
      <w:tblPr>
        <w:tblW w:w="10734" w:type="dxa"/>
        <w:jc w:val="center"/>
        <w:tblCellMar>
          <w:left w:w="70" w:type="dxa"/>
          <w:right w:w="70" w:type="dxa"/>
        </w:tblCellMar>
        <w:tblLook w:val="04A0" w:firstRow="1" w:lastRow="0" w:firstColumn="1" w:lastColumn="0" w:noHBand="0" w:noVBand="1"/>
      </w:tblPr>
      <w:tblGrid>
        <w:gridCol w:w="708"/>
        <w:gridCol w:w="1692"/>
        <w:gridCol w:w="1200"/>
        <w:gridCol w:w="300"/>
        <w:gridCol w:w="1062"/>
        <w:gridCol w:w="280"/>
        <w:gridCol w:w="1200"/>
        <w:gridCol w:w="340"/>
        <w:gridCol w:w="1015"/>
        <w:gridCol w:w="420"/>
        <w:gridCol w:w="1200"/>
        <w:gridCol w:w="340"/>
        <w:gridCol w:w="977"/>
      </w:tblGrid>
      <w:tr w:rsidR="003B5193" w:rsidRPr="00AE4E8D" w14:paraId="781D5669" w14:textId="77777777" w:rsidTr="000400C8">
        <w:trPr>
          <w:trHeight w:val="315"/>
          <w:jc w:val="center"/>
        </w:trPr>
        <w:tc>
          <w:tcPr>
            <w:tcW w:w="708" w:type="dxa"/>
            <w:vMerge w:val="restart"/>
            <w:tcBorders>
              <w:top w:val="nil"/>
              <w:left w:val="nil"/>
              <w:bottom w:val="nil"/>
              <w:right w:val="nil"/>
            </w:tcBorders>
            <w:shd w:val="clear" w:color="auto" w:fill="auto"/>
            <w:vAlign w:val="center"/>
            <w:hideMark/>
          </w:tcPr>
          <w:p w14:paraId="0938CCFC"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Ranking por PN</w:t>
            </w:r>
          </w:p>
        </w:tc>
        <w:tc>
          <w:tcPr>
            <w:tcW w:w="1692" w:type="dxa"/>
            <w:vMerge w:val="restart"/>
            <w:tcBorders>
              <w:top w:val="nil"/>
              <w:left w:val="nil"/>
              <w:bottom w:val="nil"/>
              <w:right w:val="nil"/>
            </w:tcBorders>
            <w:shd w:val="clear" w:color="auto" w:fill="auto"/>
            <w:vAlign w:val="center"/>
            <w:hideMark/>
          </w:tcPr>
          <w:p w14:paraId="631C88D5"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Banco</w:t>
            </w:r>
          </w:p>
        </w:tc>
        <w:tc>
          <w:tcPr>
            <w:tcW w:w="5397" w:type="dxa"/>
            <w:gridSpan w:val="7"/>
            <w:tcBorders>
              <w:top w:val="nil"/>
              <w:left w:val="nil"/>
              <w:bottom w:val="single" w:sz="8" w:space="0" w:color="auto"/>
              <w:right w:val="nil"/>
            </w:tcBorders>
            <w:shd w:val="clear" w:color="auto" w:fill="auto"/>
            <w:vAlign w:val="center"/>
            <w:hideMark/>
          </w:tcPr>
          <w:p w14:paraId="58BA3070"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Al 31 de diciembre,</w:t>
            </w:r>
          </w:p>
        </w:tc>
        <w:tc>
          <w:tcPr>
            <w:tcW w:w="420" w:type="dxa"/>
            <w:tcBorders>
              <w:top w:val="nil"/>
              <w:left w:val="nil"/>
              <w:bottom w:val="nil"/>
              <w:right w:val="nil"/>
            </w:tcBorders>
            <w:shd w:val="clear" w:color="auto" w:fill="auto"/>
            <w:vAlign w:val="center"/>
            <w:hideMark/>
          </w:tcPr>
          <w:p w14:paraId="79E12974" w14:textId="77777777" w:rsidR="0062499A" w:rsidRPr="00AE4E8D" w:rsidRDefault="0062499A" w:rsidP="0062499A">
            <w:pPr>
              <w:rPr>
                <w:rFonts w:ascii="Times New Roman" w:hAnsi="Times New Roman"/>
                <w:b/>
                <w:bCs/>
                <w:color w:val="000000"/>
                <w:sz w:val="14"/>
                <w:szCs w:val="14"/>
                <w:lang w:val="es-ES" w:eastAsia="es-AR"/>
              </w:rPr>
            </w:pPr>
          </w:p>
        </w:tc>
        <w:tc>
          <w:tcPr>
            <w:tcW w:w="2517" w:type="dxa"/>
            <w:gridSpan w:val="3"/>
            <w:tcBorders>
              <w:top w:val="nil"/>
              <w:left w:val="nil"/>
              <w:bottom w:val="single" w:sz="8" w:space="0" w:color="auto"/>
              <w:right w:val="nil"/>
            </w:tcBorders>
            <w:shd w:val="clear" w:color="auto" w:fill="auto"/>
            <w:vAlign w:val="center"/>
            <w:hideMark/>
          </w:tcPr>
          <w:p w14:paraId="4E002F24" w14:textId="77777777" w:rsidR="0062499A" w:rsidRPr="00AE4E8D" w:rsidRDefault="0062499A" w:rsidP="0062499A">
            <w:pPr>
              <w:jc w:val="center"/>
              <w:rPr>
                <w:rFonts w:ascii="Times New Roman" w:hAnsi="Times New Roman"/>
                <w:b/>
                <w:bCs/>
                <w:color w:val="000000"/>
                <w:sz w:val="14"/>
                <w:szCs w:val="14"/>
                <w:lang w:val="es-ES" w:eastAsia="es-AR"/>
              </w:rPr>
            </w:pPr>
            <w:r w:rsidRPr="00AE4E8D">
              <w:rPr>
                <w:rFonts w:ascii="Times New Roman" w:hAnsi="Times New Roman"/>
                <w:b/>
                <w:bCs/>
                <w:color w:val="000000"/>
                <w:sz w:val="14"/>
                <w:szCs w:val="14"/>
                <w:lang w:val="es-ES" w:eastAsia="es-AR"/>
              </w:rPr>
              <w:t>Al 30 de abril,</w:t>
            </w:r>
          </w:p>
        </w:tc>
      </w:tr>
      <w:tr w:rsidR="003B5193" w:rsidRPr="00AE4E8D" w14:paraId="513ECD57" w14:textId="77777777" w:rsidTr="000400C8">
        <w:trPr>
          <w:trHeight w:val="315"/>
          <w:jc w:val="center"/>
        </w:trPr>
        <w:tc>
          <w:tcPr>
            <w:tcW w:w="708" w:type="dxa"/>
            <w:vMerge/>
            <w:tcBorders>
              <w:top w:val="nil"/>
              <w:left w:val="nil"/>
              <w:bottom w:val="nil"/>
              <w:right w:val="nil"/>
            </w:tcBorders>
            <w:vAlign w:val="center"/>
            <w:hideMark/>
          </w:tcPr>
          <w:p w14:paraId="1888EE49" w14:textId="77777777" w:rsidR="0062499A" w:rsidRPr="00AE4E8D" w:rsidRDefault="0062499A" w:rsidP="0062499A">
            <w:pPr>
              <w:rPr>
                <w:rFonts w:ascii="Times New Roman" w:hAnsi="Times New Roman"/>
                <w:b/>
                <w:color w:val="000000"/>
                <w:sz w:val="14"/>
                <w:lang w:val="es-ES"/>
              </w:rPr>
            </w:pPr>
          </w:p>
        </w:tc>
        <w:tc>
          <w:tcPr>
            <w:tcW w:w="1692" w:type="dxa"/>
            <w:vMerge/>
            <w:tcBorders>
              <w:top w:val="nil"/>
              <w:left w:val="nil"/>
              <w:bottom w:val="nil"/>
              <w:right w:val="nil"/>
            </w:tcBorders>
            <w:vAlign w:val="center"/>
            <w:hideMark/>
          </w:tcPr>
          <w:p w14:paraId="582A2EF9" w14:textId="77777777" w:rsidR="0062499A" w:rsidRPr="00AE4E8D" w:rsidRDefault="0062499A" w:rsidP="0062499A">
            <w:pPr>
              <w:rPr>
                <w:rFonts w:ascii="Times New Roman" w:hAnsi="Times New Roman"/>
                <w:b/>
                <w:color w:val="000000"/>
                <w:sz w:val="14"/>
                <w:lang w:val="es-ES"/>
              </w:rPr>
            </w:pPr>
          </w:p>
        </w:tc>
        <w:tc>
          <w:tcPr>
            <w:tcW w:w="2562" w:type="dxa"/>
            <w:gridSpan w:val="3"/>
            <w:tcBorders>
              <w:top w:val="single" w:sz="8" w:space="0" w:color="auto"/>
              <w:left w:val="nil"/>
              <w:bottom w:val="single" w:sz="8" w:space="0" w:color="auto"/>
              <w:right w:val="nil"/>
            </w:tcBorders>
            <w:shd w:val="clear" w:color="auto" w:fill="auto"/>
            <w:vAlign w:val="center"/>
            <w:hideMark/>
          </w:tcPr>
          <w:p w14:paraId="6558F918"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2015</w:t>
            </w:r>
          </w:p>
        </w:tc>
        <w:tc>
          <w:tcPr>
            <w:tcW w:w="280" w:type="dxa"/>
            <w:tcBorders>
              <w:top w:val="nil"/>
              <w:left w:val="nil"/>
              <w:bottom w:val="nil"/>
              <w:right w:val="nil"/>
            </w:tcBorders>
            <w:shd w:val="clear" w:color="auto" w:fill="auto"/>
            <w:vAlign w:val="center"/>
            <w:hideMark/>
          </w:tcPr>
          <w:p w14:paraId="21590A7A" w14:textId="77777777" w:rsidR="0062499A" w:rsidRPr="00AE4E8D" w:rsidRDefault="0062499A" w:rsidP="00241071">
            <w:pPr>
              <w:rPr>
                <w:rFonts w:ascii="Times New Roman" w:hAnsi="Times New Roman"/>
                <w:color w:val="000000"/>
                <w:lang w:val="es-ES"/>
              </w:rPr>
            </w:pPr>
          </w:p>
        </w:tc>
        <w:tc>
          <w:tcPr>
            <w:tcW w:w="2555" w:type="dxa"/>
            <w:gridSpan w:val="3"/>
            <w:tcBorders>
              <w:top w:val="single" w:sz="8" w:space="0" w:color="auto"/>
              <w:left w:val="nil"/>
              <w:bottom w:val="single" w:sz="8" w:space="0" w:color="auto"/>
              <w:right w:val="nil"/>
            </w:tcBorders>
            <w:shd w:val="clear" w:color="auto" w:fill="auto"/>
            <w:vAlign w:val="center"/>
            <w:hideMark/>
          </w:tcPr>
          <w:p w14:paraId="6FF3AE5A"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2016</w:t>
            </w:r>
          </w:p>
        </w:tc>
        <w:tc>
          <w:tcPr>
            <w:tcW w:w="420" w:type="dxa"/>
            <w:tcBorders>
              <w:top w:val="nil"/>
              <w:left w:val="nil"/>
              <w:bottom w:val="nil"/>
              <w:right w:val="nil"/>
            </w:tcBorders>
            <w:shd w:val="clear" w:color="auto" w:fill="auto"/>
            <w:vAlign w:val="center"/>
            <w:hideMark/>
          </w:tcPr>
          <w:p w14:paraId="7274B033" w14:textId="77777777" w:rsidR="0062499A" w:rsidRPr="00AE4E8D" w:rsidRDefault="0062499A" w:rsidP="00241071">
            <w:pPr>
              <w:rPr>
                <w:rFonts w:ascii="Times New Roman" w:hAnsi="Times New Roman"/>
                <w:color w:val="000000"/>
                <w:lang w:val="es-ES"/>
              </w:rPr>
            </w:pPr>
          </w:p>
        </w:tc>
        <w:tc>
          <w:tcPr>
            <w:tcW w:w="2517" w:type="dxa"/>
            <w:gridSpan w:val="3"/>
            <w:tcBorders>
              <w:top w:val="single" w:sz="8" w:space="0" w:color="auto"/>
              <w:left w:val="nil"/>
              <w:bottom w:val="single" w:sz="8" w:space="0" w:color="auto"/>
              <w:right w:val="nil"/>
            </w:tcBorders>
            <w:shd w:val="clear" w:color="auto" w:fill="auto"/>
            <w:vAlign w:val="center"/>
            <w:hideMark/>
          </w:tcPr>
          <w:p w14:paraId="019877F6"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2017</w:t>
            </w:r>
          </w:p>
        </w:tc>
      </w:tr>
      <w:tr w:rsidR="003B5193" w:rsidRPr="00AE4E8D" w14:paraId="2F6CDFDD" w14:textId="77777777" w:rsidTr="000400C8">
        <w:trPr>
          <w:trHeight w:val="315"/>
          <w:jc w:val="center"/>
        </w:trPr>
        <w:tc>
          <w:tcPr>
            <w:tcW w:w="708" w:type="dxa"/>
            <w:vMerge/>
            <w:tcBorders>
              <w:top w:val="nil"/>
              <w:left w:val="nil"/>
              <w:bottom w:val="nil"/>
              <w:right w:val="nil"/>
            </w:tcBorders>
            <w:vAlign w:val="center"/>
            <w:hideMark/>
          </w:tcPr>
          <w:p w14:paraId="71586C8D" w14:textId="77777777" w:rsidR="0062499A" w:rsidRPr="00AE4E8D" w:rsidRDefault="0062499A" w:rsidP="0062499A">
            <w:pPr>
              <w:rPr>
                <w:rFonts w:ascii="Times New Roman" w:hAnsi="Times New Roman"/>
                <w:b/>
                <w:color w:val="000000"/>
                <w:sz w:val="14"/>
                <w:lang w:val="es-ES"/>
              </w:rPr>
            </w:pPr>
          </w:p>
        </w:tc>
        <w:tc>
          <w:tcPr>
            <w:tcW w:w="1692" w:type="dxa"/>
            <w:vMerge/>
            <w:tcBorders>
              <w:top w:val="nil"/>
              <w:left w:val="nil"/>
              <w:bottom w:val="nil"/>
              <w:right w:val="nil"/>
            </w:tcBorders>
            <w:vAlign w:val="center"/>
            <w:hideMark/>
          </w:tcPr>
          <w:p w14:paraId="684962BE" w14:textId="77777777" w:rsidR="0062499A" w:rsidRPr="00AE4E8D" w:rsidRDefault="0062499A" w:rsidP="0062499A">
            <w:pPr>
              <w:rPr>
                <w:rFonts w:ascii="Times New Roman" w:hAnsi="Times New Roman"/>
                <w:b/>
                <w:color w:val="000000"/>
                <w:sz w:val="14"/>
                <w:lang w:val="es-ES"/>
              </w:rPr>
            </w:pPr>
          </w:p>
        </w:tc>
        <w:tc>
          <w:tcPr>
            <w:tcW w:w="1200" w:type="dxa"/>
            <w:tcBorders>
              <w:top w:val="nil"/>
              <w:left w:val="nil"/>
              <w:bottom w:val="single" w:sz="8" w:space="0" w:color="auto"/>
              <w:right w:val="nil"/>
            </w:tcBorders>
            <w:shd w:val="clear" w:color="auto" w:fill="auto"/>
            <w:vAlign w:val="center"/>
            <w:hideMark/>
          </w:tcPr>
          <w:p w14:paraId="625E073C"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300" w:type="dxa"/>
            <w:tcBorders>
              <w:top w:val="nil"/>
              <w:left w:val="nil"/>
              <w:bottom w:val="nil"/>
              <w:right w:val="nil"/>
            </w:tcBorders>
            <w:shd w:val="clear" w:color="auto" w:fill="auto"/>
            <w:vAlign w:val="center"/>
            <w:hideMark/>
          </w:tcPr>
          <w:p w14:paraId="4C487E6F" w14:textId="77777777" w:rsidR="0062499A" w:rsidRPr="00AE4E8D" w:rsidRDefault="0062499A" w:rsidP="00241071">
            <w:pPr>
              <w:rPr>
                <w:rFonts w:ascii="Times New Roman" w:hAnsi="Times New Roman"/>
                <w:color w:val="000000"/>
                <w:lang w:val="es-ES"/>
              </w:rPr>
            </w:pPr>
          </w:p>
        </w:tc>
        <w:tc>
          <w:tcPr>
            <w:tcW w:w="1062" w:type="dxa"/>
            <w:tcBorders>
              <w:top w:val="nil"/>
              <w:left w:val="nil"/>
              <w:bottom w:val="single" w:sz="8" w:space="0" w:color="auto"/>
              <w:right w:val="nil"/>
            </w:tcBorders>
            <w:shd w:val="clear" w:color="auto" w:fill="auto"/>
            <w:vAlign w:val="center"/>
            <w:hideMark/>
          </w:tcPr>
          <w:p w14:paraId="142748E9"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280" w:type="dxa"/>
            <w:tcBorders>
              <w:top w:val="nil"/>
              <w:left w:val="nil"/>
              <w:bottom w:val="nil"/>
              <w:right w:val="nil"/>
            </w:tcBorders>
            <w:shd w:val="clear" w:color="auto" w:fill="auto"/>
            <w:vAlign w:val="center"/>
            <w:hideMark/>
          </w:tcPr>
          <w:p w14:paraId="4224CB4A" w14:textId="77777777" w:rsidR="0062499A" w:rsidRPr="00AE4E8D" w:rsidRDefault="0062499A" w:rsidP="00241071">
            <w:pPr>
              <w:rPr>
                <w:rFonts w:ascii="Times New Roman" w:hAnsi="Times New Roman"/>
                <w:color w:val="000000"/>
                <w:lang w:val="es-ES"/>
              </w:rPr>
            </w:pPr>
          </w:p>
        </w:tc>
        <w:tc>
          <w:tcPr>
            <w:tcW w:w="1200" w:type="dxa"/>
            <w:tcBorders>
              <w:top w:val="nil"/>
              <w:left w:val="nil"/>
              <w:bottom w:val="single" w:sz="8" w:space="0" w:color="auto"/>
              <w:right w:val="nil"/>
            </w:tcBorders>
            <w:shd w:val="clear" w:color="auto" w:fill="auto"/>
            <w:vAlign w:val="center"/>
            <w:hideMark/>
          </w:tcPr>
          <w:p w14:paraId="1897BC03"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340" w:type="dxa"/>
            <w:tcBorders>
              <w:top w:val="nil"/>
              <w:left w:val="nil"/>
              <w:bottom w:val="nil"/>
              <w:right w:val="nil"/>
            </w:tcBorders>
            <w:shd w:val="clear" w:color="auto" w:fill="auto"/>
            <w:vAlign w:val="center"/>
            <w:hideMark/>
          </w:tcPr>
          <w:p w14:paraId="101488AC" w14:textId="77777777" w:rsidR="0062499A" w:rsidRPr="00AE4E8D" w:rsidRDefault="0062499A" w:rsidP="00241071">
            <w:pPr>
              <w:rPr>
                <w:rFonts w:ascii="Times New Roman" w:hAnsi="Times New Roman"/>
                <w:color w:val="000000"/>
                <w:lang w:val="es-ES"/>
              </w:rPr>
            </w:pPr>
          </w:p>
        </w:tc>
        <w:tc>
          <w:tcPr>
            <w:tcW w:w="1015" w:type="dxa"/>
            <w:tcBorders>
              <w:top w:val="nil"/>
              <w:left w:val="nil"/>
              <w:bottom w:val="single" w:sz="8" w:space="0" w:color="auto"/>
              <w:right w:val="nil"/>
            </w:tcBorders>
            <w:shd w:val="clear" w:color="auto" w:fill="auto"/>
            <w:vAlign w:val="center"/>
            <w:hideMark/>
          </w:tcPr>
          <w:p w14:paraId="7ECBF031"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420" w:type="dxa"/>
            <w:tcBorders>
              <w:top w:val="nil"/>
              <w:left w:val="nil"/>
              <w:bottom w:val="nil"/>
              <w:right w:val="nil"/>
            </w:tcBorders>
            <w:shd w:val="clear" w:color="auto" w:fill="auto"/>
            <w:vAlign w:val="center"/>
            <w:hideMark/>
          </w:tcPr>
          <w:p w14:paraId="70CA9377" w14:textId="77777777" w:rsidR="0062499A" w:rsidRPr="00AE4E8D" w:rsidRDefault="0062499A" w:rsidP="00241071">
            <w:pPr>
              <w:rPr>
                <w:rFonts w:ascii="Times New Roman" w:hAnsi="Times New Roman"/>
                <w:color w:val="000000"/>
                <w:lang w:val="es-ES"/>
              </w:rPr>
            </w:pPr>
          </w:p>
        </w:tc>
        <w:tc>
          <w:tcPr>
            <w:tcW w:w="1200" w:type="dxa"/>
            <w:tcBorders>
              <w:top w:val="nil"/>
              <w:left w:val="nil"/>
              <w:bottom w:val="single" w:sz="8" w:space="0" w:color="auto"/>
              <w:right w:val="nil"/>
            </w:tcBorders>
            <w:shd w:val="clear" w:color="auto" w:fill="auto"/>
            <w:vAlign w:val="center"/>
            <w:hideMark/>
          </w:tcPr>
          <w:p w14:paraId="26882C40"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340" w:type="dxa"/>
            <w:tcBorders>
              <w:top w:val="nil"/>
              <w:left w:val="nil"/>
              <w:bottom w:val="nil"/>
              <w:right w:val="nil"/>
            </w:tcBorders>
            <w:shd w:val="clear" w:color="auto" w:fill="auto"/>
            <w:vAlign w:val="center"/>
            <w:hideMark/>
          </w:tcPr>
          <w:p w14:paraId="51165C01" w14:textId="77777777" w:rsidR="0062499A" w:rsidRPr="00AE4E8D" w:rsidRDefault="0062499A" w:rsidP="00241071">
            <w:pPr>
              <w:rPr>
                <w:rFonts w:ascii="Times New Roman" w:hAnsi="Times New Roman"/>
                <w:color w:val="000000"/>
                <w:lang w:val="es-ES"/>
              </w:rPr>
            </w:pPr>
          </w:p>
        </w:tc>
        <w:tc>
          <w:tcPr>
            <w:tcW w:w="977" w:type="dxa"/>
            <w:tcBorders>
              <w:top w:val="nil"/>
              <w:left w:val="nil"/>
              <w:bottom w:val="single" w:sz="8" w:space="0" w:color="auto"/>
              <w:right w:val="nil"/>
            </w:tcBorders>
            <w:shd w:val="clear" w:color="auto" w:fill="auto"/>
            <w:vAlign w:val="center"/>
            <w:hideMark/>
          </w:tcPr>
          <w:p w14:paraId="61D47A83"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r>
      <w:tr w:rsidR="0062499A" w:rsidRPr="00AE4E8D" w14:paraId="32211C26" w14:textId="77777777" w:rsidTr="000400C8">
        <w:trPr>
          <w:trHeight w:val="300"/>
          <w:jc w:val="center"/>
        </w:trPr>
        <w:tc>
          <w:tcPr>
            <w:tcW w:w="708" w:type="dxa"/>
            <w:tcBorders>
              <w:top w:val="nil"/>
              <w:left w:val="nil"/>
              <w:bottom w:val="nil"/>
              <w:right w:val="nil"/>
            </w:tcBorders>
            <w:shd w:val="clear" w:color="auto" w:fill="auto"/>
            <w:noWrap/>
            <w:vAlign w:val="bottom"/>
            <w:hideMark/>
          </w:tcPr>
          <w:p w14:paraId="7ED4E6D1" w14:textId="77777777" w:rsidR="0062499A" w:rsidRPr="00AE4E8D" w:rsidRDefault="0062499A" w:rsidP="0062499A">
            <w:pPr>
              <w:rPr>
                <w:rFonts w:ascii="Times New Roman" w:hAnsi="Times New Roman"/>
                <w:color w:val="000000"/>
                <w:lang w:val="es-ES"/>
              </w:rPr>
            </w:pPr>
          </w:p>
        </w:tc>
        <w:tc>
          <w:tcPr>
            <w:tcW w:w="1692" w:type="dxa"/>
            <w:tcBorders>
              <w:top w:val="nil"/>
              <w:left w:val="nil"/>
              <w:bottom w:val="nil"/>
              <w:right w:val="nil"/>
            </w:tcBorders>
            <w:shd w:val="clear" w:color="auto" w:fill="auto"/>
            <w:vAlign w:val="bottom"/>
            <w:hideMark/>
          </w:tcPr>
          <w:p w14:paraId="48A7CF58" w14:textId="77777777" w:rsidR="0062499A" w:rsidRPr="00AE4E8D" w:rsidRDefault="0062499A" w:rsidP="00241071">
            <w:pPr>
              <w:rPr>
                <w:rFonts w:ascii="Times New Roman" w:hAnsi="Times New Roman"/>
                <w:color w:val="000000"/>
                <w:lang w:val="es-ES"/>
              </w:rPr>
            </w:pPr>
          </w:p>
        </w:tc>
        <w:tc>
          <w:tcPr>
            <w:tcW w:w="8334" w:type="dxa"/>
            <w:gridSpan w:val="11"/>
            <w:tcBorders>
              <w:top w:val="nil"/>
              <w:left w:val="nil"/>
              <w:bottom w:val="nil"/>
              <w:right w:val="nil"/>
            </w:tcBorders>
            <w:shd w:val="clear" w:color="auto" w:fill="auto"/>
            <w:vAlign w:val="center"/>
            <w:hideMark/>
          </w:tcPr>
          <w:p w14:paraId="68CA40B4"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(en millones de Ps., excepto porcentajes)</w:t>
            </w:r>
          </w:p>
        </w:tc>
      </w:tr>
      <w:tr w:rsidR="003B5193" w:rsidRPr="00AE4E8D" w14:paraId="514C6D2D" w14:textId="77777777" w:rsidTr="000400C8">
        <w:trPr>
          <w:trHeight w:val="300"/>
          <w:jc w:val="center"/>
        </w:trPr>
        <w:tc>
          <w:tcPr>
            <w:tcW w:w="708" w:type="dxa"/>
            <w:tcBorders>
              <w:top w:val="nil"/>
              <w:left w:val="nil"/>
              <w:bottom w:val="nil"/>
              <w:right w:val="nil"/>
            </w:tcBorders>
            <w:shd w:val="clear" w:color="auto" w:fill="auto"/>
            <w:noWrap/>
            <w:vAlign w:val="bottom"/>
            <w:hideMark/>
          </w:tcPr>
          <w:p w14:paraId="3B41A0B7" w14:textId="77777777" w:rsidR="0062499A" w:rsidRPr="00AE4E8D" w:rsidRDefault="0062499A" w:rsidP="0062499A">
            <w:pPr>
              <w:rPr>
                <w:rFonts w:ascii="Times New Roman" w:hAnsi="Times New Roman"/>
                <w:color w:val="000000"/>
                <w:lang w:val="es-ES"/>
              </w:rPr>
            </w:pPr>
          </w:p>
        </w:tc>
        <w:tc>
          <w:tcPr>
            <w:tcW w:w="1692" w:type="dxa"/>
            <w:tcBorders>
              <w:top w:val="nil"/>
              <w:left w:val="nil"/>
              <w:bottom w:val="nil"/>
              <w:right w:val="nil"/>
            </w:tcBorders>
            <w:shd w:val="clear" w:color="auto" w:fill="auto"/>
            <w:vAlign w:val="bottom"/>
            <w:hideMark/>
          </w:tcPr>
          <w:p w14:paraId="5FBF6E2F" w14:textId="77777777" w:rsidR="0062499A" w:rsidRPr="00AE4E8D" w:rsidRDefault="0062499A" w:rsidP="00241071">
            <w:pPr>
              <w:rPr>
                <w:rFonts w:ascii="Times New Roman" w:hAnsi="Times New Roman"/>
                <w:color w:val="000000"/>
                <w:lang w:val="es-ES"/>
              </w:rPr>
            </w:pPr>
          </w:p>
        </w:tc>
        <w:tc>
          <w:tcPr>
            <w:tcW w:w="1200" w:type="dxa"/>
            <w:tcBorders>
              <w:top w:val="nil"/>
              <w:left w:val="nil"/>
              <w:bottom w:val="nil"/>
              <w:right w:val="nil"/>
            </w:tcBorders>
            <w:shd w:val="clear" w:color="auto" w:fill="auto"/>
            <w:vAlign w:val="bottom"/>
            <w:hideMark/>
          </w:tcPr>
          <w:p w14:paraId="4DF2FBE2" w14:textId="77777777" w:rsidR="0062499A" w:rsidRPr="00AE4E8D" w:rsidRDefault="0062499A" w:rsidP="0062499A">
            <w:pPr>
              <w:rPr>
                <w:rFonts w:ascii="Times New Roman" w:hAnsi="Times New Roman"/>
                <w:color w:val="000000"/>
                <w:lang w:val="es-ES"/>
              </w:rPr>
            </w:pPr>
          </w:p>
        </w:tc>
        <w:tc>
          <w:tcPr>
            <w:tcW w:w="300" w:type="dxa"/>
            <w:tcBorders>
              <w:top w:val="nil"/>
              <w:left w:val="nil"/>
              <w:bottom w:val="nil"/>
              <w:right w:val="nil"/>
            </w:tcBorders>
            <w:shd w:val="clear" w:color="auto" w:fill="auto"/>
            <w:vAlign w:val="bottom"/>
            <w:hideMark/>
          </w:tcPr>
          <w:p w14:paraId="7DB5DBC6"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bottom"/>
            <w:hideMark/>
          </w:tcPr>
          <w:p w14:paraId="44BD307E" w14:textId="77777777" w:rsidR="0062499A" w:rsidRPr="00AE4E8D" w:rsidRDefault="0062499A" w:rsidP="0062499A">
            <w:pPr>
              <w:rPr>
                <w:rFonts w:ascii="Times New Roman" w:hAnsi="Times New Roman"/>
                <w:color w:val="000000"/>
                <w:lang w:val="es-ES"/>
              </w:rPr>
            </w:pPr>
          </w:p>
        </w:tc>
        <w:tc>
          <w:tcPr>
            <w:tcW w:w="280" w:type="dxa"/>
            <w:tcBorders>
              <w:top w:val="nil"/>
              <w:left w:val="nil"/>
              <w:bottom w:val="nil"/>
              <w:right w:val="nil"/>
            </w:tcBorders>
            <w:shd w:val="clear" w:color="auto" w:fill="auto"/>
            <w:vAlign w:val="bottom"/>
            <w:hideMark/>
          </w:tcPr>
          <w:p w14:paraId="28FA2B77"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bottom"/>
            <w:hideMark/>
          </w:tcPr>
          <w:p w14:paraId="206237F8" w14:textId="77777777" w:rsidR="0062499A" w:rsidRPr="00AE4E8D" w:rsidRDefault="0062499A" w:rsidP="00241071">
            <w:pPr>
              <w:rPr>
                <w:rFonts w:ascii="Times New Roman" w:hAnsi="Times New Roman"/>
                <w:color w:val="000000"/>
                <w:lang w:val="es-ES"/>
              </w:rPr>
            </w:pPr>
          </w:p>
        </w:tc>
        <w:tc>
          <w:tcPr>
            <w:tcW w:w="340" w:type="dxa"/>
            <w:tcBorders>
              <w:top w:val="nil"/>
              <w:left w:val="nil"/>
              <w:bottom w:val="nil"/>
              <w:right w:val="nil"/>
            </w:tcBorders>
            <w:shd w:val="clear" w:color="auto" w:fill="auto"/>
            <w:vAlign w:val="bottom"/>
            <w:hideMark/>
          </w:tcPr>
          <w:p w14:paraId="7309E05C" w14:textId="77777777" w:rsidR="0062499A" w:rsidRPr="00AE4E8D" w:rsidRDefault="0062499A" w:rsidP="00241071">
            <w:pPr>
              <w:rPr>
                <w:rFonts w:ascii="Times New Roman" w:hAnsi="Times New Roman"/>
                <w:color w:val="000000"/>
                <w:lang w:val="es-ES"/>
              </w:rPr>
            </w:pPr>
          </w:p>
        </w:tc>
        <w:tc>
          <w:tcPr>
            <w:tcW w:w="1015" w:type="dxa"/>
            <w:tcBorders>
              <w:top w:val="nil"/>
              <w:left w:val="nil"/>
              <w:bottom w:val="nil"/>
              <w:right w:val="nil"/>
            </w:tcBorders>
            <w:shd w:val="clear" w:color="auto" w:fill="auto"/>
            <w:vAlign w:val="bottom"/>
            <w:hideMark/>
          </w:tcPr>
          <w:p w14:paraId="5CF11D42" w14:textId="77777777" w:rsidR="0062499A" w:rsidRPr="00AE4E8D" w:rsidRDefault="0062499A" w:rsidP="00241071">
            <w:pPr>
              <w:rPr>
                <w:rFonts w:ascii="Times New Roman" w:hAnsi="Times New Roman"/>
                <w:color w:val="000000"/>
                <w:lang w:val="es-ES"/>
              </w:rPr>
            </w:pPr>
          </w:p>
        </w:tc>
        <w:tc>
          <w:tcPr>
            <w:tcW w:w="420" w:type="dxa"/>
            <w:tcBorders>
              <w:top w:val="nil"/>
              <w:left w:val="nil"/>
              <w:bottom w:val="nil"/>
              <w:right w:val="nil"/>
            </w:tcBorders>
            <w:shd w:val="clear" w:color="auto" w:fill="auto"/>
            <w:vAlign w:val="bottom"/>
            <w:hideMark/>
          </w:tcPr>
          <w:p w14:paraId="28FC664A" w14:textId="77777777" w:rsidR="0062499A" w:rsidRPr="00AE4E8D" w:rsidRDefault="0062499A" w:rsidP="00241071">
            <w:pPr>
              <w:rPr>
                <w:rFonts w:ascii="Times New Roman" w:hAnsi="Times New Roman"/>
                <w:color w:val="000000"/>
                <w:lang w:val="es-ES"/>
              </w:rPr>
            </w:pPr>
          </w:p>
        </w:tc>
        <w:tc>
          <w:tcPr>
            <w:tcW w:w="1200" w:type="dxa"/>
            <w:tcBorders>
              <w:top w:val="nil"/>
              <w:left w:val="nil"/>
              <w:bottom w:val="nil"/>
              <w:right w:val="nil"/>
            </w:tcBorders>
            <w:shd w:val="clear" w:color="auto" w:fill="auto"/>
            <w:vAlign w:val="bottom"/>
            <w:hideMark/>
          </w:tcPr>
          <w:p w14:paraId="75ECDB47" w14:textId="77777777" w:rsidR="0062499A" w:rsidRPr="00AE4E8D" w:rsidRDefault="0062499A" w:rsidP="0062499A">
            <w:pPr>
              <w:rPr>
                <w:rFonts w:ascii="Times New Roman" w:hAnsi="Times New Roman"/>
                <w:color w:val="000000"/>
                <w:lang w:val="es-ES"/>
              </w:rPr>
            </w:pPr>
          </w:p>
        </w:tc>
        <w:tc>
          <w:tcPr>
            <w:tcW w:w="340" w:type="dxa"/>
            <w:tcBorders>
              <w:top w:val="nil"/>
              <w:left w:val="nil"/>
              <w:bottom w:val="nil"/>
              <w:right w:val="nil"/>
            </w:tcBorders>
            <w:shd w:val="clear" w:color="auto" w:fill="auto"/>
            <w:vAlign w:val="bottom"/>
            <w:hideMark/>
          </w:tcPr>
          <w:p w14:paraId="1AA52E0D"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bottom"/>
            <w:hideMark/>
          </w:tcPr>
          <w:p w14:paraId="4DE47AEB" w14:textId="77777777" w:rsidR="0062499A" w:rsidRPr="00AE4E8D" w:rsidRDefault="0062499A" w:rsidP="0062499A">
            <w:pPr>
              <w:rPr>
                <w:rFonts w:ascii="Times New Roman" w:hAnsi="Times New Roman"/>
                <w:color w:val="000000"/>
                <w:lang w:val="es-ES"/>
              </w:rPr>
            </w:pPr>
          </w:p>
        </w:tc>
      </w:tr>
      <w:tr w:rsidR="003B5193" w:rsidRPr="00AE4E8D" w14:paraId="21B878FA" w14:textId="77777777" w:rsidTr="000400C8">
        <w:trPr>
          <w:trHeight w:val="300"/>
          <w:jc w:val="center"/>
        </w:trPr>
        <w:tc>
          <w:tcPr>
            <w:tcW w:w="708" w:type="dxa"/>
            <w:tcBorders>
              <w:top w:val="nil"/>
              <w:left w:val="nil"/>
              <w:bottom w:val="nil"/>
              <w:right w:val="nil"/>
            </w:tcBorders>
            <w:shd w:val="clear" w:color="auto" w:fill="auto"/>
            <w:vAlign w:val="center"/>
            <w:hideMark/>
          </w:tcPr>
          <w:p w14:paraId="7C052F16"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w:t>
            </w:r>
          </w:p>
        </w:tc>
        <w:tc>
          <w:tcPr>
            <w:tcW w:w="1692" w:type="dxa"/>
            <w:tcBorders>
              <w:top w:val="nil"/>
              <w:left w:val="nil"/>
              <w:bottom w:val="nil"/>
              <w:right w:val="nil"/>
            </w:tcBorders>
            <w:shd w:val="clear" w:color="auto" w:fill="auto"/>
            <w:vAlign w:val="center"/>
            <w:hideMark/>
          </w:tcPr>
          <w:p w14:paraId="6DEC53BA"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FD3A3F" w:rsidRPr="00AE4E8D">
              <w:rPr>
                <w:rFonts w:ascii="Times New Roman" w:hAnsi="Times New Roman"/>
                <w:color w:val="000000"/>
                <w:sz w:val="14"/>
                <w:szCs w:val="14"/>
                <w:lang w:val="es-ES" w:eastAsia="es-AR"/>
              </w:rPr>
              <w:t xml:space="preserve">de la </w:t>
            </w:r>
            <w:r w:rsidRPr="00AE4E8D">
              <w:rPr>
                <w:rFonts w:ascii="Times New Roman" w:hAnsi="Times New Roman"/>
                <w:color w:val="000000"/>
                <w:sz w:val="14"/>
                <w:szCs w:val="14"/>
                <w:lang w:val="es-ES" w:eastAsia="es-AR"/>
              </w:rPr>
              <w:t>Nación</w:t>
            </w:r>
            <w:r w:rsidR="00FD3A3F" w:rsidRPr="00AE4E8D">
              <w:rPr>
                <w:rFonts w:ascii="Times New Roman" w:hAnsi="Times New Roman"/>
                <w:color w:val="000000"/>
                <w:sz w:val="14"/>
                <w:szCs w:val="14"/>
                <w:lang w:val="es-ES" w:eastAsia="es-AR"/>
              </w:rPr>
              <w:t xml:space="preserve"> Argentina</w:t>
            </w:r>
          </w:p>
        </w:tc>
        <w:tc>
          <w:tcPr>
            <w:tcW w:w="1200" w:type="dxa"/>
            <w:tcBorders>
              <w:top w:val="nil"/>
              <w:left w:val="nil"/>
              <w:bottom w:val="nil"/>
              <w:right w:val="nil"/>
            </w:tcBorders>
            <w:shd w:val="clear" w:color="auto" w:fill="auto"/>
            <w:noWrap/>
            <w:vAlign w:val="center"/>
            <w:hideMark/>
          </w:tcPr>
          <w:p w14:paraId="1E5506C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58.601,60</w:t>
            </w:r>
          </w:p>
        </w:tc>
        <w:tc>
          <w:tcPr>
            <w:tcW w:w="300" w:type="dxa"/>
            <w:tcBorders>
              <w:top w:val="nil"/>
              <w:left w:val="nil"/>
              <w:bottom w:val="nil"/>
              <w:right w:val="nil"/>
            </w:tcBorders>
            <w:shd w:val="clear" w:color="auto" w:fill="auto"/>
            <w:noWrap/>
            <w:vAlign w:val="bottom"/>
            <w:hideMark/>
          </w:tcPr>
          <w:p w14:paraId="3EF1ABAD"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5853EC3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25,83%</w:t>
            </w:r>
          </w:p>
        </w:tc>
        <w:tc>
          <w:tcPr>
            <w:tcW w:w="280" w:type="dxa"/>
            <w:tcBorders>
              <w:top w:val="nil"/>
              <w:left w:val="nil"/>
              <w:bottom w:val="nil"/>
              <w:right w:val="nil"/>
            </w:tcBorders>
            <w:shd w:val="clear" w:color="auto" w:fill="auto"/>
            <w:vAlign w:val="bottom"/>
            <w:hideMark/>
          </w:tcPr>
          <w:p w14:paraId="2699775C"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6884D08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79.908,10</w:t>
            </w:r>
          </w:p>
        </w:tc>
        <w:tc>
          <w:tcPr>
            <w:tcW w:w="340" w:type="dxa"/>
            <w:tcBorders>
              <w:top w:val="nil"/>
              <w:left w:val="nil"/>
              <w:bottom w:val="nil"/>
              <w:right w:val="nil"/>
            </w:tcBorders>
            <w:shd w:val="clear" w:color="auto" w:fill="auto"/>
            <w:noWrap/>
            <w:vAlign w:val="bottom"/>
            <w:hideMark/>
          </w:tcPr>
          <w:p w14:paraId="4A4179AE"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4CE5D47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26,89%</w:t>
            </w:r>
          </w:p>
        </w:tc>
        <w:tc>
          <w:tcPr>
            <w:tcW w:w="420" w:type="dxa"/>
            <w:tcBorders>
              <w:top w:val="nil"/>
              <w:left w:val="nil"/>
              <w:bottom w:val="nil"/>
              <w:right w:val="nil"/>
            </w:tcBorders>
            <w:shd w:val="clear" w:color="auto" w:fill="auto"/>
            <w:noWrap/>
            <w:vAlign w:val="bottom"/>
            <w:hideMark/>
          </w:tcPr>
          <w:p w14:paraId="281595CE"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5F20C3D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85.972,00</w:t>
            </w:r>
          </w:p>
        </w:tc>
        <w:tc>
          <w:tcPr>
            <w:tcW w:w="340" w:type="dxa"/>
            <w:tcBorders>
              <w:top w:val="nil"/>
              <w:left w:val="nil"/>
              <w:bottom w:val="nil"/>
              <w:right w:val="nil"/>
            </w:tcBorders>
            <w:shd w:val="clear" w:color="auto" w:fill="auto"/>
            <w:noWrap/>
            <w:vAlign w:val="bottom"/>
            <w:hideMark/>
          </w:tcPr>
          <w:p w14:paraId="07071928"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365CD08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26,</w:t>
            </w:r>
            <w:r w:rsidRPr="00AE4E8D">
              <w:rPr>
                <w:rFonts w:ascii="Times New Roman" w:hAnsi="Times New Roman"/>
                <w:color w:val="000000"/>
                <w:sz w:val="14"/>
                <w:szCs w:val="14"/>
                <w:lang w:val="es-ES" w:eastAsia="es-AR"/>
              </w:rPr>
              <w:t>93</w:t>
            </w:r>
            <w:r w:rsidRPr="00AE4E8D">
              <w:rPr>
                <w:rFonts w:ascii="Times New Roman" w:hAnsi="Times New Roman"/>
                <w:color w:val="000000"/>
                <w:sz w:val="14"/>
                <w:lang w:val="es-ES"/>
              </w:rPr>
              <w:t>%</w:t>
            </w:r>
          </w:p>
        </w:tc>
      </w:tr>
      <w:tr w:rsidR="003B5193" w:rsidRPr="00AE4E8D" w14:paraId="7363DC33" w14:textId="77777777" w:rsidTr="000400C8">
        <w:trPr>
          <w:trHeight w:val="300"/>
          <w:jc w:val="center"/>
        </w:trPr>
        <w:tc>
          <w:tcPr>
            <w:tcW w:w="708" w:type="dxa"/>
            <w:tcBorders>
              <w:top w:val="nil"/>
              <w:left w:val="nil"/>
              <w:bottom w:val="nil"/>
              <w:right w:val="nil"/>
            </w:tcBorders>
            <w:shd w:val="clear" w:color="auto" w:fill="auto"/>
            <w:vAlign w:val="center"/>
            <w:hideMark/>
          </w:tcPr>
          <w:p w14:paraId="3D05CF8F"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2</w:t>
            </w:r>
          </w:p>
        </w:tc>
        <w:tc>
          <w:tcPr>
            <w:tcW w:w="1692" w:type="dxa"/>
            <w:tcBorders>
              <w:top w:val="nil"/>
              <w:left w:val="nil"/>
              <w:bottom w:val="nil"/>
              <w:right w:val="nil"/>
            </w:tcBorders>
            <w:shd w:val="clear" w:color="auto" w:fill="auto"/>
            <w:vAlign w:val="center"/>
            <w:hideMark/>
          </w:tcPr>
          <w:p w14:paraId="22F87865"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Macro</w:t>
            </w:r>
            <w:r w:rsidR="00713D68" w:rsidRPr="00AE4E8D">
              <w:rPr>
                <w:rFonts w:ascii="Times New Roman" w:hAnsi="Times New Roman"/>
                <w:color w:val="000000"/>
                <w:sz w:val="14"/>
                <w:szCs w:val="14"/>
                <w:lang w:val="en-US" w:eastAsia="es-AR"/>
              </w:rPr>
              <w:t xml:space="preserve"> S.A.</w:t>
            </w:r>
          </w:p>
        </w:tc>
        <w:tc>
          <w:tcPr>
            <w:tcW w:w="1200" w:type="dxa"/>
            <w:tcBorders>
              <w:top w:val="nil"/>
              <w:left w:val="nil"/>
              <w:bottom w:val="nil"/>
              <w:right w:val="nil"/>
            </w:tcBorders>
            <w:shd w:val="clear" w:color="auto" w:fill="auto"/>
            <w:noWrap/>
            <w:vAlign w:val="center"/>
            <w:hideMark/>
          </w:tcPr>
          <w:p w14:paraId="312F6D3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15.876,10</w:t>
            </w:r>
          </w:p>
        </w:tc>
        <w:tc>
          <w:tcPr>
            <w:tcW w:w="300" w:type="dxa"/>
            <w:tcBorders>
              <w:top w:val="nil"/>
              <w:left w:val="nil"/>
              <w:bottom w:val="nil"/>
              <w:right w:val="nil"/>
            </w:tcBorders>
            <w:shd w:val="clear" w:color="auto" w:fill="auto"/>
            <w:noWrap/>
            <w:vAlign w:val="bottom"/>
            <w:hideMark/>
          </w:tcPr>
          <w:p w14:paraId="037CDAFA"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67E96B0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7,00%</w:t>
            </w:r>
          </w:p>
        </w:tc>
        <w:tc>
          <w:tcPr>
            <w:tcW w:w="280" w:type="dxa"/>
            <w:tcBorders>
              <w:top w:val="nil"/>
              <w:left w:val="nil"/>
              <w:bottom w:val="nil"/>
              <w:right w:val="nil"/>
            </w:tcBorders>
            <w:shd w:val="clear" w:color="auto" w:fill="auto"/>
            <w:vAlign w:val="bottom"/>
            <w:hideMark/>
          </w:tcPr>
          <w:p w14:paraId="00BCE7CF"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6A159D0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22.105,90</w:t>
            </w:r>
          </w:p>
        </w:tc>
        <w:tc>
          <w:tcPr>
            <w:tcW w:w="340" w:type="dxa"/>
            <w:tcBorders>
              <w:top w:val="nil"/>
              <w:left w:val="nil"/>
              <w:bottom w:val="nil"/>
              <w:right w:val="nil"/>
            </w:tcBorders>
            <w:shd w:val="clear" w:color="auto" w:fill="auto"/>
            <w:noWrap/>
            <w:vAlign w:val="bottom"/>
            <w:hideMark/>
          </w:tcPr>
          <w:p w14:paraId="5A352108"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434103E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7,44%</w:t>
            </w:r>
          </w:p>
        </w:tc>
        <w:tc>
          <w:tcPr>
            <w:tcW w:w="420" w:type="dxa"/>
            <w:tcBorders>
              <w:top w:val="nil"/>
              <w:left w:val="nil"/>
              <w:bottom w:val="nil"/>
              <w:right w:val="nil"/>
            </w:tcBorders>
            <w:shd w:val="clear" w:color="auto" w:fill="auto"/>
            <w:noWrap/>
            <w:vAlign w:val="bottom"/>
            <w:hideMark/>
          </w:tcPr>
          <w:p w14:paraId="303F8026"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0F23F35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23.676,10</w:t>
            </w:r>
          </w:p>
        </w:tc>
        <w:tc>
          <w:tcPr>
            <w:tcW w:w="340" w:type="dxa"/>
            <w:tcBorders>
              <w:top w:val="nil"/>
              <w:left w:val="nil"/>
              <w:bottom w:val="nil"/>
              <w:right w:val="nil"/>
            </w:tcBorders>
            <w:shd w:val="clear" w:color="auto" w:fill="auto"/>
            <w:noWrap/>
            <w:vAlign w:val="bottom"/>
            <w:hideMark/>
          </w:tcPr>
          <w:p w14:paraId="713C3483"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2DB77DD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7,</w:t>
            </w:r>
            <w:r w:rsidRPr="00AE4E8D">
              <w:rPr>
                <w:rFonts w:ascii="Times New Roman" w:hAnsi="Times New Roman"/>
                <w:color w:val="000000"/>
                <w:sz w:val="14"/>
                <w:szCs w:val="14"/>
                <w:lang w:val="es-ES" w:eastAsia="es-AR"/>
              </w:rPr>
              <w:t>42</w:t>
            </w:r>
            <w:r w:rsidRPr="00AE4E8D">
              <w:rPr>
                <w:rFonts w:ascii="Times New Roman" w:hAnsi="Times New Roman"/>
                <w:color w:val="000000"/>
                <w:sz w:val="14"/>
                <w:lang w:val="es-ES"/>
              </w:rPr>
              <w:t>%</w:t>
            </w:r>
          </w:p>
        </w:tc>
      </w:tr>
      <w:tr w:rsidR="003B5193" w:rsidRPr="00AE4E8D" w14:paraId="1F813A38" w14:textId="77777777" w:rsidTr="000400C8">
        <w:trPr>
          <w:trHeight w:val="300"/>
          <w:jc w:val="center"/>
        </w:trPr>
        <w:tc>
          <w:tcPr>
            <w:tcW w:w="708" w:type="dxa"/>
            <w:tcBorders>
              <w:top w:val="nil"/>
              <w:left w:val="nil"/>
              <w:bottom w:val="nil"/>
              <w:right w:val="nil"/>
            </w:tcBorders>
            <w:shd w:val="clear" w:color="auto" w:fill="auto"/>
            <w:vAlign w:val="center"/>
            <w:hideMark/>
          </w:tcPr>
          <w:p w14:paraId="59037FB8"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3</w:t>
            </w:r>
          </w:p>
        </w:tc>
        <w:tc>
          <w:tcPr>
            <w:tcW w:w="1692" w:type="dxa"/>
            <w:tcBorders>
              <w:top w:val="nil"/>
              <w:left w:val="nil"/>
              <w:bottom w:val="nil"/>
              <w:right w:val="nil"/>
            </w:tcBorders>
            <w:shd w:val="clear" w:color="auto" w:fill="auto"/>
            <w:vAlign w:val="center"/>
            <w:hideMark/>
          </w:tcPr>
          <w:p w14:paraId="7647A4F6" w14:textId="77777777" w:rsidR="0062499A" w:rsidRPr="00AE4E8D" w:rsidRDefault="00713D68" w:rsidP="0062499A">
            <w:pPr>
              <w:jc w:val="both"/>
              <w:rPr>
                <w:rFonts w:ascii="Times New Roman" w:hAnsi="Times New Roman"/>
                <w:color w:val="000000"/>
                <w:sz w:val="14"/>
                <w:lang w:val="es-ES"/>
              </w:rPr>
            </w:pPr>
            <w:r w:rsidRPr="00AE4E8D">
              <w:rPr>
                <w:rFonts w:ascii="Times New Roman" w:hAnsi="Times New Roman"/>
                <w:color w:val="000000"/>
                <w:sz w:val="14"/>
                <w:szCs w:val="14"/>
                <w:lang w:eastAsia="es-AR"/>
              </w:rPr>
              <w:t>Banco Santander Rio S.A</w:t>
            </w:r>
          </w:p>
        </w:tc>
        <w:tc>
          <w:tcPr>
            <w:tcW w:w="1200" w:type="dxa"/>
            <w:tcBorders>
              <w:top w:val="nil"/>
              <w:left w:val="nil"/>
              <w:bottom w:val="nil"/>
              <w:right w:val="nil"/>
            </w:tcBorders>
            <w:shd w:val="clear" w:color="auto" w:fill="auto"/>
            <w:noWrap/>
            <w:vAlign w:val="center"/>
            <w:hideMark/>
          </w:tcPr>
          <w:p w14:paraId="3590598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16.164,80</w:t>
            </w:r>
          </w:p>
        </w:tc>
        <w:tc>
          <w:tcPr>
            <w:tcW w:w="300" w:type="dxa"/>
            <w:tcBorders>
              <w:top w:val="nil"/>
              <w:left w:val="nil"/>
              <w:bottom w:val="nil"/>
              <w:right w:val="nil"/>
            </w:tcBorders>
            <w:shd w:val="clear" w:color="auto" w:fill="auto"/>
            <w:noWrap/>
            <w:vAlign w:val="bottom"/>
            <w:hideMark/>
          </w:tcPr>
          <w:p w14:paraId="7DC7095F"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57BF7B5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7,12%</w:t>
            </w:r>
          </w:p>
        </w:tc>
        <w:tc>
          <w:tcPr>
            <w:tcW w:w="280" w:type="dxa"/>
            <w:tcBorders>
              <w:top w:val="nil"/>
              <w:left w:val="nil"/>
              <w:bottom w:val="nil"/>
              <w:right w:val="nil"/>
            </w:tcBorders>
            <w:shd w:val="clear" w:color="auto" w:fill="auto"/>
            <w:vAlign w:val="bottom"/>
            <w:hideMark/>
          </w:tcPr>
          <w:p w14:paraId="67EBC64B"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5B23179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21.351,40</w:t>
            </w:r>
          </w:p>
        </w:tc>
        <w:tc>
          <w:tcPr>
            <w:tcW w:w="340" w:type="dxa"/>
            <w:tcBorders>
              <w:top w:val="nil"/>
              <w:left w:val="nil"/>
              <w:bottom w:val="nil"/>
              <w:right w:val="nil"/>
            </w:tcBorders>
            <w:shd w:val="clear" w:color="auto" w:fill="auto"/>
            <w:noWrap/>
            <w:vAlign w:val="bottom"/>
            <w:hideMark/>
          </w:tcPr>
          <w:p w14:paraId="6C4CEEB8"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5E6EF42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7,18%</w:t>
            </w:r>
          </w:p>
        </w:tc>
        <w:tc>
          <w:tcPr>
            <w:tcW w:w="420" w:type="dxa"/>
            <w:tcBorders>
              <w:top w:val="nil"/>
              <w:left w:val="nil"/>
              <w:bottom w:val="nil"/>
              <w:right w:val="nil"/>
            </w:tcBorders>
            <w:shd w:val="clear" w:color="auto" w:fill="auto"/>
            <w:noWrap/>
            <w:vAlign w:val="bottom"/>
            <w:hideMark/>
          </w:tcPr>
          <w:p w14:paraId="6198E71D"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41E71BC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23.190,70</w:t>
            </w:r>
          </w:p>
        </w:tc>
        <w:tc>
          <w:tcPr>
            <w:tcW w:w="340" w:type="dxa"/>
            <w:tcBorders>
              <w:top w:val="nil"/>
              <w:left w:val="nil"/>
              <w:bottom w:val="nil"/>
              <w:right w:val="nil"/>
            </w:tcBorders>
            <w:shd w:val="clear" w:color="auto" w:fill="auto"/>
            <w:noWrap/>
            <w:vAlign w:val="bottom"/>
            <w:hideMark/>
          </w:tcPr>
          <w:p w14:paraId="5A226043"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73D3CD8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7,</w:t>
            </w:r>
            <w:r w:rsidRPr="00AE4E8D">
              <w:rPr>
                <w:rFonts w:ascii="Times New Roman" w:hAnsi="Times New Roman"/>
                <w:color w:val="000000"/>
                <w:sz w:val="14"/>
                <w:szCs w:val="14"/>
                <w:lang w:val="es-ES" w:eastAsia="es-AR"/>
              </w:rPr>
              <w:t>26</w:t>
            </w:r>
            <w:r w:rsidRPr="00AE4E8D">
              <w:rPr>
                <w:rFonts w:ascii="Times New Roman" w:hAnsi="Times New Roman"/>
                <w:color w:val="000000"/>
                <w:sz w:val="14"/>
                <w:lang w:val="es-ES"/>
              </w:rPr>
              <w:t>%</w:t>
            </w:r>
          </w:p>
        </w:tc>
      </w:tr>
      <w:tr w:rsidR="003B5193" w:rsidRPr="00AE4E8D" w14:paraId="77C80B67" w14:textId="77777777" w:rsidTr="000400C8">
        <w:trPr>
          <w:trHeight w:val="300"/>
          <w:jc w:val="center"/>
        </w:trPr>
        <w:tc>
          <w:tcPr>
            <w:tcW w:w="708" w:type="dxa"/>
            <w:tcBorders>
              <w:top w:val="nil"/>
              <w:left w:val="nil"/>
              <w:bottom w:val="nil"/>
              <w:right w:val="nil"/>
            </w:tcBorders>
            <w:shd w:val="clear" w:color="auto" w:fill="auto"/>
            <w:vAlign w:val="center"/>
            <w:hideMark/>
          </w:tcPr>
          <w:p w14:paraId="3BA33F66"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4</w:t>
            </w:r>
          </w:p>
        </w:tc>
        <w:tc>
          <w:tcPr>
            <w:tcW w:w="1692" w:type="dxa"/>
            <w:tcBorders>
              <w:top w:val="nil"/>
              <w:left w:val="nil"/>
              <w:bottom w:val="nil"/>
              <w:right w:val="nil"/>
            </w:tcBorders>
            <w:shd w:val="clear" w:color="auto" w:fill="auto"/>
            <w:vAlign w:val="center"/>
            <w:hideMark/>
          </w:tcPr>
          <w:p w14:paraId="00C409B8"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w:t>
            </w:r>
            <w:r w:rsidR="0062499A" w:rsidRPr="00AE4E8D">
              <w:rPr>
                <w:rFonts w:ascii="Times New Roman" w:hAnsi="Times New Roman"/>
                <w:color w:val="000000"/>
                <w:sz w:val="14"/>
                <w:szCs w:val="14"/>
                <w:lang w:val="es-ES" w:eastAsia="es-AR"/>
              </w:rPr>
              <w:t>Galicia</w:t>
            </w:r>
            <w:r w:rsidRPr="00AE4E8D">
              <w:rPr>
                <w:rFonts w:ascii="Times New Roman" w:hAnsi="Times New Roman"/>
                <w:color w:val="000000"/>
                <w:sz w:val="14"/>
                <w:szCs w:val="14"/>
                <w:lang w:val="es-ES" w:eastAsia="es-AR"/>
              </w:rPr>
              <w:t xml:space="preserve"> y Buenos Aires</w:t>
            </w:r>
            <w:r w:rsidR="00713D68" w:rsidRPr="00AE4E8D">
              <w:rPr>
                <w:rFonts w:ascii="Times New Roman" w:hAnsi="Times New Roman"/>
                <w:color w:val="000000"/>
                <w:sz w:val="14"/>
                <w:szCs w:val="14"/>
                <w:lang w:val="es-ES" w:eastAsia="es-AR"/>
              </w:rPr>
              <w:t xml:space="preserve"> S.A.</w:t>
            </w:r>
          </w:p>
        </w:tc>
        <w:tc>
          <w:tcPr>
            <w:tcW w:w="1200" w:type="dxa"/>
            <w:tcBorders>
              <w:top w:val="nil"/>
              <w:left w:val="nil"/>
              <w:bottom w:val="nil"/>
              <w:right w:val="nil"/>
            </w:tcBorders>
            <w:shd w:val="clear" w:color="auto" w:fill="auto"/>
            <w:noWrap/>
            <w:vAlign w:val="center"/>
            <w:hideMark/>
          </w:tcPr>
          <w:p w14:paraId="7BB58D4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13.812,20</w:t>
            </w:r>
          </w:p>
        </w:tc>
        <w:tc>
          <w:tcPr>
            <w:tcW w:w="300" w:type="dxa"/>
            <w:tcBorders>
              <w:top w:val="nil"/>
              <w:left w:val="nil"/>
              <w:bottom w:val="nil"/>
              <w:right w:val="nil"/>
            </w:tcBorders>
            <w:shd w:val="clear" w:color="auto" w:fill="auto"/>
            <w:noWrap/>
            <w:vAlign w:val="bottom"/>
            <w:hideMark/>
          </w:tcPr>
          <w:p w14:paraId="7EF95719"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3E8F46F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6,09%</w:t>
            </w:r>
          </w:p>
        </w:tc>
        <w:tc>
          <w:tcPr>
            <w:tcW w:w="280" w:type="dxa"/>
            <w:tcBorders>
              <w:top w:val="nil"/>
              <w:left w:val="nil"/>
              <w:bottom w:val="nil"/>
              <w:right w:val="nil"/>
            </w:tcBorders>
            <w:shd w:val="clear" w:color="auto" w:fill="auto"/>
            <w:vAlign w:val="bottom"/>
            <w:hideMark/>
          </w:tcPr>
          <w:p w14:paraId="19A1D5A3"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708D7D4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18.905,90</w:t>
            </w:r>
          </w:p>
        </w:tc>
        <w:tc>
          <w:tcPr>
            <w:tcW w:w="340" w:type="dxa"/>
            <w:tcBorders>
              <w:top w:val="nil"/>
              <w:left w:val="nil"/>
              <w:bottom w:val="nil"/>
              <w:right w:val="nil"/>
            </w:tcBorders>
            <w:shd w:val="clear" w:color="auto" w:fill="auto"/>
            <w:noWrap/>
            <w:vAlign w:val="bottom"/>
            <w:hideMark/>
          </w:tcPr>
          <w:p w14:paraId="7F0B9C99"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7B83A65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6,36%</w:t>
            </w:r>
          </w:p>
        </w:tc>
        <w:tc>
          <w:tcPr>
            <w:tcW w:w="420" w:type="dxa"/>
            <w:tcBorders>
              <w:top w:val="nil"/>
              <w:left w:val="nil"/>
              <w:bottom w:val="nil"/>
              <w:right w:val="nil"/>
            </w:tcBorders>
            <w:shd w:val="clear" w:color="auto" w:fill="auto"/>
            <w:noWrap/>
            <w:vAlign w:val="bottom"/>
            <w:hideMark/>
          </w:tcPr>
          <w:p w14:paraId="0492700B"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00E10E4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20.865,50</w:t>
            </w:r>
          </w:p>
        </w:tc>
        <w:tc>
          <w:tcPr>
            <w:tcW w:w="340" w:type="dxa"/>
            <w:tcBorders>
              <w:top w:val="nil"/>
              <w:left w:val="nil"/>
              <w:bottom w:val="nil"/>
              <w:right w:val="nil"/>
            </w:tcBorders>
            <w:shd w:val="clear" w:color="auto" w:fill="auto"/>
            <w:noWrap/>
            <w:vAlign w:val="bottom"/>
            <w:hideMark/>
          </w:tcPr>
          <w:p w14:paraId="54ED305A"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2A64CAE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6,</w:t>
            </w:r>
            <w:r w:rsidRPr="00AE4E8D">
              <w:rPr>
                <w:rFonts w:ascii="Times New Roman" w:hAnsi="Times New Roman"/>
                <w:color w:val="000000"/>
                <w:sz w:val="14"/>
                <w:szCs w:val="14"/>
                <w:lang w:val="es-ES" w:eastAsia="es-AR"/>
              </w:rPr>
              <w:t>54</w:t>
            </w:r>
            <w:r w:rsidRPr="00AE4E8D">
              <w:rPr>
                <w:rFonts w:ascii="Times New Roman" w:hAnsi="Times New Roman"/>
                <w:color w:val="000000"/>
                <w:sz w:val="14"/>
                <w:lang w:val="es-ES"/>
              </w:rPr>
              <w:t>%</w:t>
            </w:r>
          </w:p>
        </w:tc>
      </w:tr>
      <w:tr w:rsidR="003B5193" w:rsidRPr="00AE4E8D" w14:paraId="7BA72940" w14:textId="77777777" w:rsidTr="000400C8">
        <w:trPr>
          <w:trHeight w:val="300"/>
          <w:jc w:val="center"/>
        </w:trPr>
        <w:tc>
          <w:tcPr>
            <w:tcW w:w="708" w:type="dxa"/>
            <w:tcBorders>
              <w:top w:val="nil"/>
              <w:left w:val="nil"/>
              <w:bottom w:val="nil"/>
              <w:right w:val="nil"/>
            </w:tcBorders>
            <w:shd w:val="clear" w:color="auto" w:fill="auto"/>
            <w:vAlign w:val="center"/>
            <w:hideMark/>
          </w:tcPr>
          <w:p w14:paraId="506A5D5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5</w:t>
            </w:r>
          </w:p>
        </w:tc>
        <w:tc>
          <w:tcPr>
            <w:tcW w:w="1692" w:type="dxa"/>
            <w:tcBorders>
              <w:top w:val="nil"/>
              <w:left w:val="nil"/>
              <w:bottom w:val="nil"/>
              <w:right w:val="nil"/>
            </w:tcBorders>
            <w:shd w:val="clear" w:color="auto" w:fill="auto"/>
            <w:vAlign w:val="center"/>
            <w:hideMark/>
          </w:tcPr>
          <w:p w14:paraId="1B8A994F"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BBVA </w:t>
            </w:r>
            <w:r w:rsidR="00713D68" w:rsidRPr="00AE4E8D">
              <w:rPr>
                <w:rFonts w:ascii="Times New Roman" w:hAnsi="Times New Roman"/>
                <w:color w:val="000000"/>
                <w:sz w:val="14"/>
                <w:szCs w:val="14"/>
                <w:lang w:eastAsia="es-AR"/>
              </w:rPr>
              <w:t>Banco Francés S.A.</w:t>
            </w:r>
          </w:p>
        </w:tc>
        <w:tc>
          <w:tcPr>
            <w:tcW w:w="1200" w:type="dxa"/>
            <w:tcBorders>
              <w:top w:val="nil"/>
              <w:left w:val="nil"/>
              <w:bottom w:val="nil"/>
              <w:right w:val="nil"/>
            </w:tcBorders>
            <w:shd w:val="clear" w:color="auto" w:fill="auto"/>
            <w:noWrap/>
            <w:vAlign w:val="center"/>
            <w:hideMark/>
          </w:tcPr>
          <w:p w14:paraId="2F283DF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13.716,40</w:t>
            </w:r>
          </w:p>
        </w:tc>
        <w:tc>
          <w:tcPr>
            <w:tcW w:w="300" w:type="dxa"/>
            <w:tcBorders>
              <w:top w:val="nil"/>
              <w:left w:val="nil"/>
              <w:bottom w:val="nil"/>
              <w:right w:val="nil"/>
            </w:tcBorders>
            <w:shd w:val="clear" w:color="auto" w:fill="auto"/>
            <w:noWrap/>
            <w:vAlign w:val="bottom"/>
            <w:hideMark/>
          </w:tcPr>
          <w:p w14:paraId="35DE3DDE"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29F8414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6,05%</w:t>
            </w:r>
          </w:p>
        </w:tc>
        <w:tc>
          <w:tcPr>
            <w:tcW w:w="280" w:type="dxa"/>
            <w:tcBorders>
              <w:top w:val="nil"/>
              <w:left w:val="nil"/>
              <w:bottom w:val="nil"/>
              <w:right w:val="nil"/>
            </w:tcBorders>
            <w:shd w:val="clear" w:color="auto" w:fill="auto"/>
            <w:vAlign w:val="bottom"/>
            <w:hideMark/>
          </w:tcPr>
          <w:p w14:paraId="33ECC2D1"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1CFAA21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16.460,00</w:t>
            </w:r>
          </w:p>
        </w:tc>
        <w:tc>
          <w:tcPr>
            <w:tcW w:w="340" w:type="dxa"/>
            <w:tcBorders>
              <w:top w:val="nil"/>
              <w:left w:val="nil"/>
              <w:bottom w:val="nil"/>
              <w:right w:val="nil"/>
            </w:tcBorders>
            <w:shd w:val="clear" w:color="auto" w:fill="auto"/>
            <w:noWrap/>
            <w:vAlign w:val="bottom"/>
            <w:hideMark/>
          </w:tcPr>
          <w:p w14:paraId="56294836"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08C4232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5,54%</w:t>
            </w:r>
          </w:p>
        </w:tc>
        <w:tc>
          <w:tcPr>
            <w:tcW w:w="420" w:type="dxa"/>
            <w:tcBorders>
              <w:top w:val="nil"/>
              <w:left w:val="nil"/>
              <w:bottom w:val="nil"/>
              <w:right w:val="nil"/>
            </w:tcBorders>
            <w:shd w:val="clear" w:color="auto" w:fill="auto"/>
            <w:noWrap/>
            <w:vAlign w:val="bottom"/>
            <w:hideMark/>
          </w:tcPr>
          <w:p w14:paraId="67843E7E"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575E46A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17.497,30</w:t>
            </w:r>
          </w:p>
        </w:tc>
        <w:tc>
          <w:tcPr>
            <w:tcW w:w="340" w:type="dxa"/>
            <w:tcBorders>
              <w:top w:val="nil"/>
              <w:left w:val="nil"/>
              <w:bottom w:val="nil"/>
              <w:right w:val="nil"/>
            </w:tcBorders>
            <w:shd w:val="clear" w:color="auto" w:fill="auto"/>
            <w:noWrap/>
            <w:vAlign w:val="bottom"/>
            <w:hideMark/>
          </w:tcPr>
          <w:p w14:paraId="56C88D0B"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66D7B0D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5,</w:t>
            </w:r>
            <w:r w:rsidRPr="00AE4E8D">
              <w:rPr>
                <w:rFonts w:ascii="Times New Roman" w:hAnsi="Times New Roman"/>
                <w:color w:val="000000"/>
                <w:sz w:val="14"/>
                <w:szCs w:val="14"/>
                <w:lang w:val="es-ES" w:eastAsia="es-AR"/>
              </w:rPr>
              <w:t>48</w:t>
            </w:r>
            <w:r w:rsidRPr="00AE4E8D">
              <w:rPr>
                <w:rFonts w:ascii="Times New Roman" w:hAnsi="Times New Roman"/>
                <w:color w:val="000000"/>
                <w:sz w:val="14"/>
                <w:lang w:val="es-ES"/>
              </w:rPr>
              <w:t>%</w:t>
            </w:r>
          </w:p>
        </w:tc>
      </w:tr>
      <w:tr w:rsidR="003B5193" w:rsidRPr="00AE4E8D" w14:paraId="53D67E67" w14:textId="77777777" w:rsidTr="000400C8">
        <w:trPr>
          <w:trHeight w:val="360"/>
          <w:jc w:val="center"/>
        </w:trPr>
        <w:tc>
          <w:tcPr>
            <w:tcW w:w="708" w:type="dxa"/>
            <w:tcBorders>
              <w:top w:val="nil"/>
              <w:left w:val="nil"/>
              <w:bottom w:val="nil"/>
              <w:right w:val="nil"/>
            </w:tcBorders>
            <w:shd w:val="clear" w:color="auto" w:fill="auto"/>
            <w:vAlign w:val="center"/>
            <w:hideMark/>
          </w:tcPr>
          <w:p w14:paraId="56E66898"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6</w:t>
            </w:r>
          </w:p>
        </w:tc>
        <w:tc>
          <w:tcPr>
            <w:tcW w:w="1692" w:type="dxa"/>
            <w:tcBorders>
              <w:top w:val="nil"/>
              <w:left w:val="nil"/>
              <w:bottom w:val="nil"/>
              <w:right w:val="nil"/>
            </w:tcBorders>
            <w:shd w:val="clear" w:color="auto" w:fill="auto"/>
            <w:vAlign w:val="center"/>
            <w:hideMark/>
          </w:tcPr>
          <w:p w14:paraId="6047823B"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la </w:t>
            </w:r>
            <w:r w:rsidR="0062499A" w:rsidRPr="00AE4E8D">
              <w:rPr>
                <w:rFonts w:ascii="Times New Roman" w:hAnsi="Times New Roman"/>
                <w:color w:val="000000"/>
                <w:sz w:val="14"/>
                <w:szCs w:val="14"/>
                <w:lang w:val="es-ES" w:eastAsia="es-AR"/>
              </w:rPr>
              <w:t>Provincia de Buenos Aires</w:t>
            </w:r>
          </w:p>
        </w:tc>
        <w:tc>
          <w:tcPr>
            <w:tcW w:w="1200" w:type="dxa"/>
            <w:tcBorders>
              <w:top w:val="nil"/>
              <w:left w:val="nil"/>
              <w:bottom w:val="nil"/>
              <w:right w:val="nil"/>
            </w:tcBorders>
            <w:shd w:val="clear" w:color="auto" w:fill="auto"/>
            <w:noWrap/>
            <w:vAlign w:val="center"/>
            <w:hideMark/>
          </w:tcPr>
          <w:p w14:paraId="325C0AA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9.104,00</w:t>
            </w:r>
          </w:p>
        </w:tc>
        <w:tc>
          <w:tcPr>
            <w:tcW w:w="300" w:type="dxa"/>
            <w:tcBorders>
              <w:top w:val="nil"/>
              <w:left w:val="nil"/>
              <w:bottom w:val="nil"/>
              <w:right w:val="nil"/>
            </w:tcBorders>
            <w:shd w:val="clear" w:color="auto" w:fill="auto"/>
            <w:noWrap/>
            <w:vAlign w:val="bottom"/>
            <w:hideMark/>
          </w:tcPr>
          <w:p w14:paraId="101217EB"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212C450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4,01%</w:t>
            </w:r>
          </w:p>
        </w:tc>
        <w:tc>
          <w:tcPr>
            <w:tcW w:w="280" w:type="dxa"/>
            <w:tcBorders>
              <w:top w:val="nil"/>
              <w:left w:val="nil"/>
              <w:bottom w:val="nil"/>
              <w:right w:val="nil"/>
            </w:tcBorders>
            <w:shd w:val="clear" w:color="auto" w:fill="auto"/>
            <w:vAlign w:val="bottom"/>
            <w:hideMark/>
          </w:tcPr>
          <w:p w14:paraId="3A60C8ED"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2E090C7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12.148,80</w:t>
            </w:r>
          </w:p>
        </w:tc>
        <w:tc>
          <w:tcPr>
            <w:tcW w:w="340" w:type="dxa"/>
            <w:tcBorders>
              <w:top w:val="nil"/>
              <w:left w:val="nil"/>
              <w:bottom w:val="nil"/>
              <w:right w:val="nil"/>
            </w:tcBorders>
            <w:shd w:val="clear" w:color="auto" w:fill="auto"/>
            <w:noWrap/>
            <w:vAlign w:val="bottom"/>
            <w:hideMark/>
          </w:tcPr>
          <w:p w14:paraId="2C2FAE9C"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3C4A62C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4,09%</w:t>
            </w:r>
          </w:p>
        </w:tc>
        <w:tc>
          <w:tcPr>
            <w:tcW w:w="420" w:type="dxa"/>
            <w:tcBorders>
              <w:top w:val="nil"/>
              <w:left w:val="nil"/>
              <w:bottom w:val="nil"/>
              <w:right w:val="nil"/>
            </w:tcBorders>
            <w:shd w:val="clear" w:color="auto" w:fill="auto"/>
            <w:noWrap/>
            <w:vAlign w:val="bottom"/>
            <w:hideMark/>
          </w:tcPr>
          <w:p w14:paraId="0CBD1AEF"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4DBEE8B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13.777,80</w:t>
            </w:r>
          </w:p>
        </w:tc>
        <w:tc>
          <w:tcPr>
            <w:tcW w:w="340" w:type="dxa"/>
            <w:tcBorders>
              <w:top w:val="nil"/>
              <w:left w:val="nil"/>
              <w:bottom w:val="nil"/>
              <w:right w:val="nil"/>
            </w:tcBorders>
            <w:shd w:val="clear" w:color="auto" w:fill="auto"/>
            <w:noWrap/>
            <w:vAlign w:val="bottom"/>
            <w:hideMark/>
          </w:tcPr>
          <w:p w14:paraId="2FF3710E"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2944EA1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4,</w:t>
            </w:r>
            <w:r w:rsidRPr="00AE4E8D">
              <w:rPr>
                <w:rFonts w:ascii="Times New Roman" w:hAnsi="Times New Roman"/>
                <w:color w:val="000000"/>
                <w:sz w:val="14"/>
                <w:szCs w:val="14"/>
                <w:lang w:val="es-ES" w:eastAsia="es-AR"/>
              </w:rPr>
              <w:t>32</w:t>
            </w:r>
            <w:r w:rsidRPr="00AE4E8D">
              <w:rPr>
                <w:rFonts w:ascii="Times New Roman" w:hAnsi="Times New Roman"/>
                <w:color w:val="000000"/>
                <w:sz w:val="14"/>
                <w:lang w:val="es-ES"/>
              </w:rPr>
              <w:t>%</w:t>
            </w:r>
          </w:p>
        </w:tc>
      </w:tr>
      <w:tr w:rsidR="003B5193" w:rsidRPr="00AE4E8D" w14:paraId="717130BD" w14:textId="77777777" w:rsidTr="000400C8">
        <w:trPr>
          <w:trHeight w:val="300"/>
          <w:jc w:val="center"/>
        </w:trPr>
        <w:tc>
          <w:tcPr>
            <w:tcW w:w="708" w:type="dxa"/>
            <w:tcBorders>
              <w:top w:val="nil"/>
              <w:left w:val="nil"/>
              <w:bottom w:val="nil"/>
              <w:right w:val="nil"/>
            </w:tcBorders>
            <w:shd w:val="clear" w:color="auto" w:fill="auto"/>
            <w:vAlign w:val="center"/>
            <w:hideMark/>
          </w:tcPr>
          <w:p w14:paraId="66BC18C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7</w:t>
            </w:r>
          </w:p>
        </w:tc>
        <w:tc>
          <w:tcPr>
            <w:tcW w:w="1692" w:type="dxa"/>
            <w:tcBorders>
              <w:top w:val="nil"/>
              <w:left w:val="nil"/>
              <w:bottom w:val="nil"/>
              <w:right w:val="nil"/>
            </w:tcBorders>
            <w:shd w:val="clear" w:color="auto" w:fill="auto"/>
            <w:vAlign w:val="center"/>
            <w:hideMark/>
          </w:tcPr>
          <w:p w14:paraId="590F3839" w14:textId="77777777" w:rsidR="0062499A" w:rsidRPr="00AE4E8D" w:rsidRDefault="000604B3" w:rsidP="0062499A">
            <w:pPr>
              <w:jc w:val="both"/>
              <w:rPr>
                <w:rFonts w:ascii="Times New Roman" w:hAnsi="Times New Roman"/>
                <w:color w:val="000000"/>
                <w:sz w:val="14"/>
                <w:lang w:val="es-ES"/>
              </w:rPr>
            </w:pPr>
            <w:r w:rsidRPr="00AE4E8D">
              <w:rPr>
                <w:rFonts w:ascii="Times New Roman" w:hAnsi="Times New Roman"/>
                <w:color w:val="000000"/>
                <w:sz w:val="14"/>
                <w:szCs w:val="14"/>
                <w:lang w:eastAsia="es-AR"/>
              </w:rPr>
              <w:t>Citibank N.A.</w:t>
            </w:r>
          </w:p>
        </w:tc>
        <w:tc>
          <w:tcPr>
            <w:tcW w:w="1200" w:type="dxa"/>
            <w:tcBorders>
              <w:top w:val="nil"/>
              <w:left w:val="nil"/>
              <w:bottom w:val="nil"/>
              <w:right w:val="nil"/>
            </w:tcBorders>
            <w:shd w:val="clear" w:color="auto" w:fill="auto"/>
            <w:noWrap/>
            <w:vAlign w:val="center"/>
            <w:hideMark/>
          </w:tcPr>
          <w:p w14:paraId="37ECC9C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9.312,40</w:t>
            </w:r>
          </w:p>
        </w:tc>
        <w:tc>
          <w:tcPr>
            <w:tcW w:w="300" w:type="dxa"/>
            <w:tcBorders>
              <w:top w:val="nil"/>
              <w:left w:val="nil"/>
              <w:bottom w:val="nil"/>
              <w:right w:val="nil"/>
            </w:tcBorders>
            <w:shd w:val="clear" w:color="auto" w:fill="auto"/>
            <w:noWrap/>
            <w:vAlign w:val="bottom"/>
            <w:hideMark/>
          </w:tcPr>
          <w:p w14:paraId="1206E1A5"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2D0B297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4,10%</w:t>
            </w:r>
          </w:p>
        </w:tc>
        <w:tc>
          <w:tcPr>
            <w:tcW w:w="280" w:type="dxa"/>
            <w:tcBorders>
              <w:top w:val="nil"/>
              <w:left w:val="nil"/>
              <w:bottom w:val="nil"/>
              <w:right w:val="nil"/>
            </w:tcBorders>
            <w:shd w:val="clear" w:color="auto" w:fill="auto"/>
            <w:vAlign w:val="bottom"/>
            <w:hideMark/>
          </w:tcPr>
          <w:p w14:paraId="2041BE3A"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152B794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11.022,20</w:t>
            </w:r>
          </w:p>
        </w:tc>
        <w:tc>
          <w:tcPr>
            <w:tcW w:w="340" w:type="dxa"/>
            <w:tcBorders>
              <w:top w:val="nil"/>
              <w:left w:val="nil"/>
              <w:bottom w:val="nil"/>
              <w:right w:val="nil"/>
            </w:tcBorders>
            <w:shd w:val="clear" w:color="auto" w:fill="auto"/>
            <w:noWrap/>
            <w:vAlign w:val="bottom"/>
            <w:hideMark/>
          </w:tcPr>
          <w:p w14:paraId="3FD9950E"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19380D4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3,71%</w:t>
            </w:r>
          </w:p>
        </w:tc>
        <w:tc>
          <w:tcPr>
            <w:tcW w:w="420" w:type="dxa"/>
            <w:tcBorders>
              <w:top w:val="nil"/>
              <w:left w:val="nil"/>
              <w:bottom w:val="nil"/>
              <w:right w:val="nil"/>
            </w:tcBorders>
            <w:shd w:val="clear" w:color="auto" w:fill="auto"/>
            <w:noWrap/>
            <w:vAlign w:val="bottom"/>
            <w:hideMark/>
          </w:tcPr>
          <w:p w14:paraId="16616848"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31EA5AB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12.949,80</w:t>
            </w:r>
          </w:p>
        </w:tc>
        <w:tc>
          <w:tcPr>
            <w:tcW w:w="340" w:type="dxa"/>
            <w:tcBorders>
              <w:top w:val="nil"/>
              <w:left w:val="nil"/>
              <w:bottom w:val="nil"/>
              <w:right w:val="nil"/>
            </w:tcBorders>
            <w:shd w:val="clear" w:color="auto" w:fill="auto"/>
            <w:noWrap/>
            <w:vAlign w:val="bottom"/>
            <w:hideMark/>
          </w:tcPr>
          <w:p w14:paraId="06A5E530"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25560E5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4,06</w:t>
            </w:r>
            <w:r w:rsidRPr="00AE4E8D">
              <w:rPr>
                <w:rFonts w:ascii="Times New Roman" w:hAnsi="Times New Roman"/>
                <w:color w:val="000000"/>
                <w:sz w:val="14"/>
                <w:lang w:val="es-ES"/>
              </w:rPr>
              <w:t>%</w:t>
            </w:r>
          </w:p>
        </w:tc>
      </w:tr>
      <w:tr w:rsidR="003B5193" w:rsidRPr="00AE4E8D" w14:paraId="126CE803" w14:textId="77777777" w:rsidTr="000400C8">
        <w:trPr>
          <w:trHeight w:val="540"/>
          <w:jc w:val="center"/>
        </w:trPr>
        <w:tc>
          <w:tcPr>
            <w:tcW w:w="708" w:type="dxa"/>
            <w:tcBorders>
              <w:top w:val="nil"/>
              <w:left w:val="nil"/>
              <w:bottom w:val="nil"/>
              <w:right w:val="nil"/>
            </w:tcBorders>
            <w:shd w:val="clear" w:color="auto" w:fill="auto"/>
            <w:vAlign w:val="center"/>
            <w:hideMark/>
          </w:tcPr>
          <w:p w14:paraId="1E67BCA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8</w:t>
            </w:r>
          </w:p>
        </w:tc>
        <w:tc>
          <w:tcPr>
            <w:tcW w:w="1692" w:type="dxa"/>
            <w:tcBorders>
              <w:top w:val="nil"/>
              <w:left w:val="nil"/>
              <w:bottom w:val="nil"/>
              <w:right w:val="nil"/>
            </w:tcBorders>
            <w:shd w:val="clear" w:color="auto" w:fill="auto"/>
            <w:vAlign w:val="center"/>
            <w:hideMark/>
          </w:tcPr>
          <w:p w14:paraId="0CBCD4B2" w14:textId="77777777" w:rsidR="0062499A" w:rsidRPr="00AE4E8D" w:rsidRDefault="000604B3"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Industrial and Commercial Bank of China (Argentina) S.A.</w:t>
            </w:r>
          </w:p>
        </w:tc>
        <w:tc>
          <w:tcPr>
            <w:tcW w:w="1200" w:type="dxa"/>
            <w:tcBorders>
              <w:top w:val="nil"/>
              <w:left w:val="nil"/>
              <w:bottom w:val="nil"/>
              <w:right w:val="nil"/>
            </w:tcBorders>
            <w:shd w:val="clear" w:color="auto" w:fill="auto"/>
            <w:noWrap/>
            <w:vAlign w:val="center"/>
            <w:hideMark/>
          </w:tcPr>
          <w:p w14:paraId="4338607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6.452,50</w:t>
            </w:r>
          </w:p>
        </w:tc>
        <w:tc>
          <w:tcPr>
            <w:tcW w:w="300" w:type="dxa"/>
            <w:tcBorders>
              <w:top w:val="nil"/>
              <w:left w:val="nil"/>
              <w:bottom w:val="nil"/>
              <w:right w:val="nil"/>
            </w:tcBorders>
            <w:shd w:val="clear" w:color="auto" w:fill="auto"/>
            <w:noWrap/>
            <w:vAlign w:val="bottom"/>
            <w:hideMark/>
          </w:tcPr>
          <w:p w14:paraId="64D9B116"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0E6B7C8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2,84%</w:t>
            </w:r>
          </w:p>
        </w:tc>
        <w:tc>
          <w:tcPr>
            <w:tcW w:w="280" w:type="dxa"/>
            <w:tcBorders>
              <w:top w:val="nil"/>
              <w:left w:val="nil"/>
              <w:bottom w:val="nil"/>
              <w:right w:val="nil"/>
            </w:tcBorders>
            <w:shd w:val="clear" w:color="auto" w:fill="auto"/>
            <w:vAlign w:val="bottom"/>
            <w:hideMark/>
          </w:tcPr>
          <w:p w14:paraId="4C93F65E"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635F530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9.045,60</w:t>
            </w:r>
          </w:p>
        </w:tc>
        <w:tc>
          <w:tcPr>
            <w:tcW w:w="340" w:type="dxa"/>
            <w:tcBorders>
              <w:top w:val="nil"/>
              <w:left w:val="nil"/>
              <w:bottom w:val="nil"/>
              <w:right w:val="nil"/>
            </w:tcBorders>
            <w:shd w:val="clear" w:color="auto" w:fill="auto"/>
            <w:noWrap/>
            <w:vAlign w:val="bottom"/>
            <w:hideMark/>
          </w:tcPr>
          <w:p w14:paraId="5B004BEA"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356D483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3,04%</w:t>
            </w:r>
          </w:p>
        </w:tc>
        <w:tc>
          <w:tcPr>
            <w:tcW w:w="420" w:type="dxa"/>
            <w:tcBorders>
              <w:top w:val="nil"/>
              <w:left w:val="nil"/>
              <w:bottom w:val="nil"/>
              <w:right w:val="nil"/>
            </w:tcBorders>
            <w:shd w:val="clear" w:color="auto" w:fill="auto"/>
            <w:noWrap/>
            <w:vAlign w:val="bottom"/>
            <w:hideMark/>
          </w:tcPr>
          <w:p w14:paraId="3C776721"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4BBC22F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9.</w:t>
            </w:r>
            <w:r w:rsidRPr="00AE4E8D">
              <w:rPr>
                <w:rFonts w:ascii="Times New Roman" w:hAnsi="Times New Roman"/>
                <w:color w:val="000000"/>
                <w:sz w:val="14"/>
                <w:szCs w:val="14"/>
                <w:lang w:val="es-ES" w:eastAsia="es-AR"/>
              </w:rPr>
              <w:t>791,00</w:t>
            </w:r>
          </w:p>
        </w:tc>
        <w:tc>
          <w:tcPr>
            <w:tcW w:w="340" w:type="dxa"/>
            <w:tcBorders>
              <w:top w:val="nil"/>
              <w:left w:val="nil"/>
              <w:bottom w:val="nil"/>
              <w:right w:val="nil"/>
            </w:tcBorders>
            <w:shd w:val="clear" w:color="auto" w:fill="auto"/>
            <w:noWrap/>
            <w:vAlign w:val="bottom"/>
            <w:hideMark/>
          </w:tcPr>
          <w:p w14:paraId="0B9676F6"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265E804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07</w:t>
            </w:r>
            <w:r w:rsidRPr="00AE4E8D">
              <w:rPr>
                <w:rFonts w:ascii="Times New Roman" w:hAnsi="Times New Roman"/>
                <w:color w:val="000000"/>
                <w:sz w:val="14"/>
                <w:lang w:val="es-ES"/>
              </w:rPr>
              <w:t>%</w:t>
            </w:r>
          </w:p>
        </w:tc>
      </w:tr>
      <w:tr w:rsidR="003B5193" w:rsidRPr="00AE4E8D" w14:paraId="09B08DB7" w14:textId="77777777" w:rsidTr="000400C8">
        <w:trPr>
          <w:trHeight w:val="300"/>
          <w:jc w:val="center"/>
        </w:trPr>
        <w:tc>
          <w:tcPr>
            <w:tcW w:w="708" w:type="dxa"/>
            <w:tcBorders>
              <w:top w:val="nil"/>
              <w:left w:val="nil"/>
              <w:bottom w:val="nil"/>
              <w:right w:val="nil"/>
            </w:tcBorders>
            <w:shd w:val="clear" w:color="auto" w:fill="auto"/>
            <w:vAlign w:val="center"/>
            <w:hideMark/>
          </w:tcPr>
          <w:p w14:paraId="770D6CFD"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9</w:t>
            </w:r>
          </w:p>
        </w:tc>
        <w:tc>
          <w:tcPr>
            <w:tcW w:w="1692" w:type="dxa"/>
            <w:tcBorders>
              <w:top w:val="nil"/>
              <w:left w:val="nil"/>
              <w:bottom w:val="nil"/>
              <w:right w:val="nil"/>
            </w:tcBorders>
            <w:shd w:val="clear" w:color="auto" w:fill="auto"/>
            <w:vAlign w:val="center"/>
            <w:hideMark/>
          </w:tcPr>
          <w:p w14:paraId="591B2510" w14:textId="77777777" w:rsidR="0062499A" w:rsidRPr="00AE4E8D" w:rsidRDefault="0062499A"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HSBC</w:t>
            </w:r>
            <w:r w:rsidR="00FD3A3F" w:rsidRPr="00AE4E8D">
              <w:rPr>
                <w:rFonts w:ascii="Times New Roman" w:hAnsi="Times New Roman"/>
                <w:color w:val="000000"/>
                <w:sz w:val="14"/>
                <w:szCs w:val="14"/>
                <w:lang w:val="en-US" w:eastAsia="es-AR"/>
              </w:rPr>
              <w:t xml:space="preserve"> Bank Argentina</w:t>
            </w:r>
            <w:r w:rsidR="00713D68" w:rsidRPr="00AE4E8D">
              <w:rPr>
                <w:rFonts w:ascii="Times New Roman" w:hAnsi="Times New Roman"/>
                <w:color w:val="000000"/>
                <w:sz w:val="14"/>
                <w:szCs w:val="14"/>
                <w:lang w:val="en-US" w:eastAsia="es-AR"/>
              </w:rPr>
              <w:t xml:space="preserve"> S.A.</w:t>
            </w:r>
          </w:p>
        </w:tc>
        <w:tc>
          <w:tcPr>
            <w:tcW w:w="1200" w:type="dxa"/>
            <w:tcBorders>
              <w:top w:val="nil"/>
              <w:left w:val="nil"/>
              <w:bottom w:val="nil"/>
              <w:right w:val="nil"/>
            </w:tcBorders>
            <w:shd w:val="clear" w:color="auto" w:fill="auto"/>
            <w:noWrap/>
            <w:vAlign w:val="center"/>
            <w:hideMark/>
          </w:tcPr>
          <w:p w14:paraId="0169BA1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7.947,90</w:t>
            </w:r>
          </w:p>
        </w:tc>
        <w:tc>
          <w:tcPr>
            <w:tcW w:w="300" w:type="dxa"/>
            <w:tcBorders>
              <w:top w:val="nil"/>
              <w:left w:val="nil"/>
              <w:bottom w:val="nil"/>
              <w:right w:val="nil"/>
            </w:tcBorders>
            <w:shd w:val="clear" w:color="auto" w:fill="auto"/>
            <w:noWrap/>
            <w:vAlign w:val="bottom"/>
            <w:hideMark/>
          </w:tcPr>
          <w:p w14:paraId="5014F80B"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4F7CA93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3,50%</w:t>
            </w:r>
          </w:p>
        </w:tc>
        <w:tc>
          <w:tcPr>
            <w:tcW w:w="280" w:type="dxa"/>
            <w:tcBorders>
              <w:top w:val="nil"/>
              <w:left w:val="nil"/>
              <w:bottom w:val="nil"/>
              <w:right w:val="nil"/>
            </w:tcBorders>
            <w:shd w:val="clear" w:color="auto" w:fill="auto"/>
            <w:vAlign w:val="bottom"/>
            <w:hideMark/>
          </w:tcPr>
          <w:p w14:paraId="7C74ABDF"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22F284B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8.616,20</w:t>
            </w:r>
          </w:p>
        </w:tc>
        <w:tc>
          <w:tcPr>
            <w:tcW w:w="340" w:type="dxa"/>
            <w:tcBorders>
              <w:top w:val="nil"/>
              <w:left w:val="nil"/>
              <w:bottom w:val="nil"/>
              <w:right w:val="nil"/>
            </w:tcBorders>
            <w:shd w:val="clear" w:color="auto" w:fill="auto"/>
            <w:noWrap/>
            <w:vAlign w:val="bottom"/>
            <w:hideMark/>
          </w:tcPr>
          <w:p w14:paraId="4CDB5B3E"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16483AC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2,90%</w:t>
            </w:r>
          </w:p>
        </w:tc>
        <w:tc>
          <w:tcPr>
            <w:tcW w:w="420" w:type="dxa"/>
            <w:tcBorders>
              <w:top w:val="nil"/>
              <w:left w:val="nil"/>
              <w:bottom w:val="nil"/>
              <w:right w:val="nil"/>
            </w:tcBorders>
            <w:shd w:val="clear" w:color="auto" w:fill="auto"/>
            <w:noWrap/>
            <w:vAlign w:val="bottom"/>
            <w:hideMark/>
          </w:tcPr>
          <w:p w14:paraId="6C03DBA7"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6B0E7D1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9.</w:t>
            </w:r>
            <w:r w:rsidRPr="00AE4E8D">
              <w:rPr>
                <w:rFonts w:ascii="Times New Roman" w:hAnsi="Times New Roman"/>
                <w:color w:val="000000"/>
                <w:sz w:val="14"/>
                <w:szCs w:val="14"/>
                <w:lang w:val="es-ES" w:eastAsia="es-AR"/>
              </w:rPr>
              <w:t>091,10</w:t>
            </w:r>
          </w:p>
        </w:tc>
        <w:tc>
          <w:tcPr>
            <w:tcW w:w="340" w:type="dxa"/>
            <w:tcBorders>
              <w:top w:val="nil"/>
              <w:left w:val="nil"/>
              <w:bottom w:val="nil"/>
              <w:right w:val="nil"/>
            </w:tcBorders>
            <w:shd w:val="clear" w:color="auto" w:fill="auto"/>
            <w:noWrap/>
            <w:vAlign w:val="bottom"/>
            <w:hideMark/>
          </w:tcPr>
          <w:p w14:paraId="25E0E87E"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4043F23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2,85</w:t>
            </w:r>
            <w:r w:rsidRPr="00AE4E8D">
              <w:rPr>
                <w:rFonts w:ascii="Times New Roman" w:hAnsi="Times New Roman"/>
                <w:color w:val="000000"/>
                <w:sz w:val="14"/>
                <w:lang w:val="es-ES"/>
              </w:rPr>
              <w:t>%</w:t>
            </w:r>
          </w:p>
        </w:tc>
      </w:tr>
      <w:tr w:rsidR="003B5193" w:rsidRPr="00AE4E8D" w14:paraId="5E736A94" w14:textId="77777777" w:rsidTr="000400C8">
        <w:trPr>
          <w:trHeight w:val="300"/>
          <w:jc w:val="center"/>
        </w:trPr>
        <w:tc>
          <w:tcPr>
            <w:tcW w:w="708" w:type="dxa"/>
            <w:tcBorders>
              <w:top w:val="nil"/>
              <w:left w:val="nil"/>
              <w:bottom w:val="nil"/>
              <w:right w:val="nil"/>
            </w:tcBorders>
            <w:shd w:val="clear" w:color="auto" w:fill="auto"/>
            <w:vAlign w:val="center"/>
            <w:hideMark/>
          </w:tcPr>
          <w:p w14:paraId="55395582"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10</w:t>
            </w:r>
          </w:p>
        </w:tc>
        <w:tc>
          <w:tcPr>
            <w:tcW w:w="1692" w:type="dxa"/>
            <w:tcBorders>
              <w:top w:val="nil"/>
              <w:left w:val="nil"/>
              <w:bottom w:val="nil"/>
              <w:right w:val="nil"/>
            </w:tcBorders>
            <w:shd w:val="clear" w:color="auto" w:fill="auto"/>
            <w:vAlign w:val="center"/>
            <w:hideMark/>
          </w:tcPr>
          <w:p w14:paraId="139246A1"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Patagonia</w:t>
            </w:r>
            <w:r w:rsidR="00713D68" w:rsidRPr="00AE4E8D">
              <w:rPr>
                <w:rFonts w:ascii="Times New Roman" w:hAnsi="Times New Roman"/>
                <w:color w:val="000000"/>
                <w:sz w:val="14"/>
                <w:szCs w:val="14"/>
                <w:lang w:val="en-US" w:eastAsia="es-AR"/>
              </w:rPr>
              <w:t xml:space="preserve"> S.A.</w:t>
            </w:r>
          </w:p>
        </w:tc>
        <w:tc>
          <w:tcPr>
            <w:tcW w:w="1200" w:type="dxa"/>
            <w:tcBorders>
              <w:top w:val="nil"/>
              <w:left w:val="nil"/>
              <w:bottom w:val="nil"/>
              <w:right w:val="nil"/>
            </w:tcBorders>
            <w:shd w:val="clear" w:color="auto" w:fill="auto"/>
            <w:noWrap/>
            <w:vAlign w:val="center"/>
            <w:hideMark/>
          </w:tcPr>
          <w:p w14:paraId="6DAC3F4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7.681,50</w:t>
            </w:r>
          </w:p>
        </w:tc>
        <w:tc>
          <w:tcPr>
            <w:tcW w:w="300" w:type="dxa"/>
            <w:tcBorders>
              <w:top w:val="nil"/>
              <w:left w:val="nil"/>
              <w:bottom w:val="nil"/>
              <w:right w:val="nil"/>
            </w:tcBorders>
            <w:shd w:val="clear" w:color="auto" w:fill="auto"/>
            <w:noWrap/>
            <w:vAlign w:val="bottom"/>
            <w:hideMark/>
          </w:tcPr>
          <w:p w14:paraId="0403F710"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2729CEE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3,39%</w:t>
            </w:r>
          </w:p>
        </w:tc>
        <w:tc>
          <w:tcPr>
            <w:tcW w:w="280" w:type="dxa"/>
            <w:tcBorders>
              <w:top w:val="nil"/>
              <w:left w:val="nil"/>
              <w:bottom w:val="nil"/>
              <w:right w:val="nil"/>
            </w:tcBorders>
            <w:shd w:val="clear" w:color="auto" w:fill="auto"/>
            <w:vAlign w:val="bottom"/>
            <w:hideMark/>
          </w:tcPr>
          <w:p w14:paraId="09F2F5DF"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48CF14D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9.235,60</w:t>
            </w:r>
          </w:p>
        </w:tc>
        <w:tc>
          <w:tcPr>
            <w:tcW w:w="340" w:type="dxa"/>
            <w:tcBorders>
              <w:top w:val="nil"/>
              <w:left w:val="nil"/>
              <w:bottom w:val="nil"/>
              <w:right w:val="nil"/>
            </w:tcBorders>
            <w:shd w:val="clear" w:color="auto" w:fill="auto"/>
            <w:noWrap/>
            <w:vAlign w:val="bottom"/>
            <w:hideMark/>
          </w:tcPr>
          <w:p w14:paraId="4B5FA272"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2EE7D28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3,11%</w:t>
            </w:r>
          </w:p>
        </w:tc>
        <w:tc>
          <w:tcPr>
            <w:tcW w:w="420" w:type="dxa"/>
            <w:tcBorders>
              <w:top w:val="nil"/>
              <w:left w:val="nil"/>
              <w:bottom w:val="nil"/>
              <w:right w:val="nil"/>
            </w:tcBorders>
            <w:shd w:val="clear" w:color="auto" w:fill="auto"/>
            <w:noWrap/>
            <w:vAlign w:val="bottom"/>
            <w:hideMark/>
          </w:tcPr>
          <w:p w14:paraId="0E850441"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2000D85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8.</w:t>
            </w:r>
            <w:r w:rsidRPr="00AE4E8D">
              <w:rPr>
                <w:rFonts w:ascii="Times New Roman" w:hAnsi="Times New Roman"/>
                <w:color w:val="000000"/>
                <w:sz w:val="14"/>
                <w:szCs w:val="14"/>
                <w:lang w:val="es-ES" w:eastAsia="es-AR"/>
              </w:rPr>
              <w:t>600,80</w:t>
            </w:r>
          </w:p>
        </w:tc>
        <w:tc>
          <w:tcPr>
            <w:tcW w:w="340" w:type="dxa"/>
            <w:tcBorders>
              <w:top w:val="nil"/>
              <w:left w:val="nil"/>
              <w:bottom w:val="nil"/>
              <w:right w:val="nil"/>
            </w:tcBorders>
            <w:shd w:val="clear" w:color="auto" w:fill="auto"/>
            <w:noWrap/>
            <w:vAlign w:val="bottom"/>
            <w:hideMark/>
          </w:tcPr>
          <w:p w14:paraId="5B78CB03"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4411158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eastAsia="es-AR"/>
              </w:rPr>
              <w:t>69</w:t>
            </w:r>
            <w:r w:rsidRPr="00AE4E8D">
              <w:rPr>
                <w:rFonts w:ascii="Times New Roman" w:hAnsi="Times New Roman"/>
                <w:color w:val="000000"/>
                <w:sz w:val="14"/>
                <w:lang w:val="es-ES"/>
              </w:rPr>
              <w:t>%</w:t>
            </w:r>
          </w:p>
        </w:tc>
      </w:tr>
      <w:tr w:rsidR="003B5193" w:rsidRPr="00AE4E8D" w14:paraId="35C16C95" w14:textId="77777777" w:rsidTr="000400C8">
        <w:trPr>
          <w:trHeight w:val="360"/>
          <w:jc w:val="center"/>
        </w:trPr>
        <w:tc>
          <w:tcPr>
            <w:tcW w:w="708" w:type="dxa"/>
            <w:tcBorders>
              <w:top w:val="nil"/>
              <w:left w:val="nil"/>
              <w:bottom w:val="nil"/>
              <w:right w:val="nil"/>
            </w:tcBorders>
            <w:shd w:val="clear" w:color="auto" w:fill="auto"/>
            <w:noWrap/>
            <w:vAlign w:val="bottom"/>
            <w:hideMark/>
          </w:tcPr>
          <w:p w14:paraId="0CCC92C0" w14:textId="77777777" w:rsidR="0062499A" w:rsidRPr="00AE4E8D" w:rsidRDefault="0062499A" w:rsidP="0062499A">
            <w:pPr>
              <w:rPr>
                <w:rFonts w:ascii="Times New Roman" w:hAnsi="Times New Roman"/>
                <w:color w:val="000000"/>
                <w:lang w:val="es-ES"/>
              </w:rPr>
            </w:pPr>
          </w:p>
        </w:tc>
        <w:tc>
          <w:tcPr>
            <w:tcW w:w="1692" w:type="dxa"/>
            <w:tcBorders>
              <w:top w:val="nil"/>
              <w:left w:val="nil"/>
              <w:bottom w:val="nil"/>
              <w:right w:val="nil"/>
            </w:tcBorders>
            <w:shd w:val="clear" w:color="auto" w:fill="auto"/>
            <w:vAlign w:val="center"/>
            <w:hideMark/>
          </w:tcPr>
          <w:p w14:paraId="1F268134"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Total para los 10 bancos</w:t>
            </w:r>
          </w:p>
        </w:tc>
        <w:tc>
          <w:tcPr>
            <w:tcW w:w="1200" w:type="dxa"/>
            <w:tcBorders>
              <w:top w:val="nil"/>
              <w:left w:val="nil"/>
              <w:bottom w:val="nil"/>
              <w:right w:val="nil"/>
            </w:tcBorders>
            <w:shd w:val="clear" w:color="auto" w:fill="auto"/>
            <w:noWrap/>
            <w:vAlign w:val="center"/>
            <w:hideMark/>
          </w:tcPr>
          <w:p w14:paraId="23377D3C" w14:textId="77777777" w:rsidR="0062499A" w:rsidRPr="00AE4E8D" w:rsidRDefault="00ED1A42" w:rsidP="005C2B15">
            <w:pPr>
              <w:jc w:val="right"/>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158.669,40</w:t>
            </w:r>
          </w:p>
        </w:tc>
        <w:tc>
          <w:tcPr>
            <w:tcW w:w="300" w:type="dxa"/>
            <w:tcBorders>
              <w:top w:val="nil"/>
              <w:left w:val="nil"/>
              <w:bottom w:val="nil"/>
              <w:right w:val="nil"/>
            </w:tcBorders>
            <w:shd w:val="clear" w:color="auto" w:fill="auto"/>
            <w:noWrap/>
            <w:vAlign w:val="bottom"/>
            <w:hideMark/>
          </w:tcPr>
          <w:p w14:paraId="22CC3C5E"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1034A64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69,94%</w:t>
            </w:r>
          </w:p>
        </w:tc>
        <w:tc>
          <w:tcPr>
            <w:tcW w:w="280" w:type="dxa"/>
            <w:tcBorders>
              <w:top w:val="nil"/>
              <w:left w:val="nil"/>
              <w:bottom w:val="nil"/>
              <w:right w:val="nil"/>
            </w:tcBorders>
            <w:shd w:val="clear" w:color="auto" w:fill="auto"/>
            <w:vAlign w:val="bottom"/>
            <w:hideMark/>
          </w:tcPr>
          <w:p w14:paraId="4EDB1016"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4504FB3A" w14:textId="77777777" w:rsidR="0062499A" w:rsidRPr="00AE4E8D" w:rsidRDefault="00ED1A42" w:rsidP="005C2B15">
            <w:pPr>
              <w:jc w:val="right"/>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208.799,70</w:t>
            </w:r>
          </w:p>
        </w:tc>
        <w:tc>
          <w:tcPr>
            <w:tcW w:w="340" w:type="dxa"/>
            <w:tcBorders>
              <w:top w:val="nil"/>
              <w:left w:val="nil"/>
              <w:bottom w:val="nil"/>
              <w:right w:val="nil"/>
            </w:tcBorders>
            <w:shd w:val="clear" w:color="auto" w:fill="auto"/>
            <w:noWrap/>
            <w:vAlign w:val="bottom"/>
            <w:hideMark/>
          </w:tcPr>
          <w:p w14:paraId="6B26B4BD"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46F09A3D" w14:textId="77777777" w:rsidR="0062499A" w:rsidRPr="00AE4E8D" w:rsidRDefault="005C2B15" w:rsidP="005C2B15">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70,25</w:t>
            </w:r>
            <w:r w:rsidR="0062499A" w:rsidRPr="00AE4E8D">
              <w:rPr>
                <w:rFonts w:ascii="Times New Roman" w:hAnsi="Times New Roman"/>
                <w:color w:val="000000"/>
                <w:sz w:val="14"/>
                <w:szCs w:val="14"/>
                <w:lang w:val="es-ES" w:eastAsia="es-AR"/>
              </w:rPr>
              <w:t>%</w:t>
            </w:r>
          </w:p>
        </w:tc>
        <w:tc>
          <w:tcPr>
            <w:tcW w:w="420" w:type="dxa"/>
            <w:tcBorders>
              <w:top w:val="nil"/>
              <w:left w:val="nil"/>
              <w:bottom w:val="nil"/>
              <w:right w:val="nil"/>
            </w:tcBorders>
            <w:shd w:val="clear" w:color="auto" w:fill="auto"/>
            <w:noWrap/>
            <w:vAlign w:val="bottom"/>
            <w:hideMark/>
          </w:tcPr>
          <w:p w14:paraId="1759FF70"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72A9270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225.412,10</w:t>
            </w:r>
          </w:p>
        </w:tc>
        <w:tc>
          <w:tcPr>
            <w:tcW w:w="340" w:type="dxa"/>
            <w:tcBorders>
              <w:top w:val="nil"/>
              <w:left w:val="nil"/>
              <w:bottom w:val="nil"/>
              <w:right w:val="nil"/>
            </w:tcBorders>
            <w:shd w:val="clear" w:color="auto" w:fill="auto"/>
            <w:noWrap/>
            <w:vAlign w:val="bottom"/>
            <w:hideMark/>
          </w:tcPr>
          <w:p w14:paraId="5E4B3259"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05D7757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70,60</w:t>
            </w:r>
            <w:r w:rsidRPr="00AE4E8D">
              <w:rPr>
                <w:rFonts w:ascii="Times New Roman" w:hAnsi="Times New Roman"/>
                <w:color w:val="000000"/>
                <w:sz w:val="14"/>
                <w:lang w:val="es-ES"/>
              </w:rPr>
              <w:t>%</w:t>
            </w:r>
          </w:p>
        </w:tc>
      </w:tr>
      <w:tr w:rsidR="003B5193" w:rsidRPr="00AE4E8D" w14:paraId="22CCAF55" w14:textId="77777777" w:rsidTr="000400C8">
        <w:trPr>
          <w:trHeight w:val="300"/>
          <w:jc w:val="center"/>
        </w:trPr>
        <w:tc>
          <w:tcPr>
            <w:tcW w:w="708" w:type="dxa"/>
            <w:tcBorders>
              <w:top w:val="nil"/>
              <w:left w:val="nil"/>
              <w:bottom w:val="nil"/>
              <w:right w:val="nil"/>
            </w:tcBorders>
            <w:shd w:val="clear" w:color="auto" w:fill="auto"/>
            <w:vAlign w:val="center"/>
            <w:hideMark/>
          </w:tcPr>
          <w:p w14:paraId="586F659F"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13</w:t>
            </w:r>
          </w:p>
        </w:tc>
        <w:tc>
          <w:tcPr>
            <w:tcW w:w="1692" w:type="dxa"/>
            <w:tcBorders>
              <w:top w:val="nil"/>
              <w:left w:val="nil"/>
              <w:bottom w:val="nil"/>
              <w:right w:val="nil"/>
            </w:tcBorders>
            <w:shd w:val="clear" w:color="auto" w:fill="auto"/>
            <w:vAlign w:val="center"/>
            <w:hideMark/>
          </w:tcPr>
          <w:p w14:paraId="449A6844" w14:textId="77777777" w:rsidR="0062499A" w:rsidRPr="00AE4E8D" w:rsidRDefault="00FD3A3F" w:rsidP="0062499A">
            <w:pPr>
              <w:jc w:val="both"/>
              <w:rPr>
                <w:rFonts w:ascii="Times New Roman" w:hAnsi="Times New Roman"/>
                <w:b/>
                <w:color w:val="000000"/>
                <w:sz w:val="14"/>
                <w:lang w:val="es-ES"/>
              </w:rPr>
            </w:pPr>
            <w:r w:rsidRPr="00AE4E8D">
              <w:rPr>
                <w:rFonts w:ascii="Times New Roman" w:hAnsi="Times New Roman"/>
                <w:b/>
                <w:bCs/>
                <w:color w:val="000000"/>
                <w:sz w:val="14"/>
                <w:szCs w:val="14"/>
                <w:lang w:val="es-ES" w:eastAsia="es-AR"/>
              </w:rPr>
              <w:t xml:space="preserve">Banco </w:t>
            </w:r>
            <w:r w:rsidR="0062499A" w:rsidRPr="00AE4E8D">
              <w:rPr>
                <w:rFonts w:ascii="Times New Roman" w:hAnsi="Times New Roman"/>
                <w:b/>
                <w:bCs/>
                <w:color w:val="000000"/>
                <w:sz w:val="14"/>
                <w:szCs w:val="14"/>
                <w:lang w:val="es-ES" w:eastAsia="es-AR"/>
              </w:rPr>
              <w:t>Hipotecario</w:t>
            </w:r>
            <w:r w:rsidR="00713D68" w:rsidRPr="00AE4E8D">
              <w:rPr>
                <w:rFonts w:ascii="Times New Roman" w:hAnsi="Times New Roman"/>
                <w:color w:val="000000"/>
                <w:sz w:val="14"/>
                <w:szCs w:val="14"/>
                <w:lang w:val="en-US" w:eastAsia="es-AR"/>
              </w:rPr>
              <w:t xml:space="preserve"> </w:t>
            </w:r>
            <w:r w:rsidR="00713D68" w:rsidRPr="00AE4E8D">
              <w:rPr>
                <w:rFonts w:ascii="Times New Roman" w:hAnsi="Times New Roman"/>
                <w:b/>
                <w:color w:val="000000"/>
                <w:sz w:val="14"/>
                <w:szCs w:val="14"/>
                <w:lang w:val="en-US" w:eastAsia="es-AR"/>
              </w:rPr>
              <w:t>S.A.</w:t>
            </w:r>
          </w:p>
        </w:tc>
        <w:tc>
          <w:tcPr>
            <w:tcW w:w="1200" w:type="dxa"/>
            <w:tcBorders>
              <w:top w:val="nil"/>
              <w:left w:val="nil"/>
              <w:bottom w:val="nil"/>
              <w:right w:val="nil"/>
            </w:tcBorders>
            <w:shd w:val="clear" w:color="auto" w:fill="auto"/>
            <w:noWrap/>
            <w:vAlign w:val="center"/>
            <w:hideMark/>
          </w:tcPr>
          <w:p w14:paraId="729EDAEE"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5.440,90</w:t>
            </w:r>
          </w:p>
        </w:tc>
        <w:tc>
          <w:tcPr>
            <w:tcW w:w="300" w:type="dxa"/>
            <w:tcBorders>
              <w:top w:val="nil"/>
              <w:left w:val="nil"/>
              <w:bottom w:val="nil"/>
              <w:right w:val="nil"/>
            </w:tcBorders>
            <w:shd w:val="clear" w:color="auto" w:fill="auto"/>
            <w:noWrap/>
            <w:vAlign w:val="bottom"/>
            <w:hideMark/>
          </w:tcPr>
          <w:p w14:paraId="5341E1AF"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217BCEEB"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2,40%</w:t>
            </w:r>
          </w:p>
        </w:tc>
        <w:tc>
          <w:tcPr>
            <w:tcW w:w="280" w:type="dxa"/>
            <w:tcBorders>
              <w:top w:val="nil"/>
              <w:left w:val="nil"/>
              <w:bottom w:val="nil"/>
              <w:right w:val="nil"/>
            </w:tcBorders>
            <w:shd w:val="clear" w:color="auto" w:fill="auto"/>
            <w:vAlign w:val="bottom"/>
            <w:hideMark/>
          </w:tcPr>
          <w:p w14:paraId="25BDC6C5"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center"/>
            <w:hideMark/>
          </w:tcPr>
          <w:p w14:paraId="7C7F2C49"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6.056,20</w:t>
            </w:r>
          </w:p>
        </w:tc>
        <w:tc>
          <w:tcPr>
            <w:tcW w:w="340" w:type="dxa"/>
            <w:tcBorders>
              <w:top w:val="nil"/>
              <w:left w:val="nil"/>
              <w:bottom w:val="nil"/>
              <w:right w:val="nil"/>
            </w:tcBorders>
            <w:shd w:val="clear" w:color="auto" w:fill="auto"/>
            <w:noWrap/>
            <w:vAlign w:val="bottom"/>
            <w:hideMark/>
          </w:tcPr>
          <w:p w14:paraId="35D2D99E"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74F347DB"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2,04%</w:t>
            </w:r>
          </w:p>
        </w:tc>
        <w:tc>
          <w:tcPr>
            <w:tcW w:w="420" w:type="dxa"/>
            <w:tcBorders>
              <w:top w:val="nil"/>
              <w:left w:val="nil"/>
              <w:bottom w:val="nil"/>
              <w:right w:val="nil"/>
            </w:tcBorders>
            <w:shd w:val="clear" w:color="auto" w:fill="auto"/>
            <w:noWrap/>
            <w:vAlign w:val="bottom"/>
            <w:hideMark/>
          </w:tcPr>
          <w:p w14:paraId="34188502"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noWrap/>
            <w:vAlign w:val="center"/>
            <w:hideMark/>
          </w:tcPr>
          <w:p w14:paraId="2BB37FA9"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color w:val="000000"/>
                <w:sz w:val="14"/>
                <w:lang w:val="es-ES"/>
              </w:rPr>
              <w:t>6.</w:t>
            </w:r>
            <w:r w:rsidRPr="00AE4E8D">
              <w:rPr>
                <w:rFonts w:ascii="Times New Roman" w:hAnsi="Times New Roman"/>
                <w:b/>
                <w:bCs/>
                <w:color w:val="000000"/>
                <w:sz w:val="14"/>
                <w:szCs w:val="14"/>
                <w:lang w:val="es-ES" w:eastAsia="es-AR"/>
              </w:rPr>
              <w:t>447,20</w:t>
            </w:r>
          </w:p>
        </w:tc>
        <w:tc>
          <w:tcPr>
            <w:tcW w:w="340" w:type="dxa"/>
            <w:tcBorders>
              <w:top w:val="nil"/>
              <w:left w:val="nil"/>
              <w:bottom w:val="nil"/>
              <w:right w:val="nil"/>
            </w:tcBorders>
            <w:shd w:val="clear" w:color="auto" w:fill="auto"/>
            <w:noWrap/>
            <w:vAlign w:val="bottom"/>
            <w:hideMark/>
          </w:tcPr>
          <w:p w14:paraId="20353962"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34E726EA"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color w:val="000000"/>
                <w:sz w:val="14"/>
                <w:lang w:val="es-ES"/>
              </w:rPr>
              <w:t>2,</w:t>
            </w:r>
            <w:r w:rsidRPr="00AE4E8D">
              <w:rPr>
                <w:rFonts w:ascii="Times New Roman" w:hAnsi="Times New Roman"/>
                <w:b/>
                <w:bCs/>
                <w:color w:val="000000"/>
                <w:sz w:val="14"/>
                <w:szCs w:val="14"/>
                <w:lang w:val="es-ES" w:eastAsia="es-AR"/>
              </w:rPr>
              <w:t>02</w:t>
            </w:r>
            <w:r w:rsidRPr="00AE4E8D">
              <w:rPr>
                <w:rFonts w:ascii="Times New Roman" w:hAnsi="Times New Roman"/>
                <w:b/>
                <w:color w:val="000000"/>
                <w:sz w:val="14"/>
                <w:lang w:val="es-ES"/>
              </w:rPr>
              <w:t>%</w:t>
            </w:r>
          </w:p>
        </w:tc>
      </w:tr>
      <w:tr w:rsidR="003B5193" w:rsidRPr="00AE4E8D" w14:paraId="47445FEA" w14:textId="77777777" w:rsidTr="000400C8">
        <w:trPr>
          <w:trHeight w:val="540"/>
          <w:jc w:val="center"/>
        </w:trPr>
        <w:tc>
          <w:tcPr>
            <w:tcW w:w="708" w:type="dxa"/>
            <w:tcBorders>
              <w:top w:val="nil"/>
              <w:left w:val="nil"/>
              <w:bottom w:val="nil"/>
              <w:right w:val="nil"/>
            </w:tcBorders>
            <w:shd w:val="clear" w:color="auto" w:fill="auto"/>
            <w:noWrap/>
            <w:vAlign w:val="bottom"/>
            <w:hideMark/>
          </w:tcPr>
          <w:p w14:paraId="216F1EEE" w14:textId="77777777" w:rsidR="0062499A" w:rsidRPr="00AE4E8D" w:rsidRDefault="0062499A" w:rsidP="0062499A">
            <w:pPr>
              <w:rPr>
                <w:rFonts w:ascii="Times New Roman" w:hAnsi="Times New Roman"/>
                <w:color w:val="000000"/>
                <w:lang w:val="es-ES"/>
              </w:rPr>
            </w:pPr>
          </w:p>
        </w:tc>
        <w:tc>
          <w:tcPr>
            <w:tcW w:w="1692" w:type="dxa"/>
            <w:tcBorders>
              <w:top w:val="nil"/>
              <w:left w:val="nil"/>
              <w:bottom w:val="nil"/>
              <w:right w:val="nil"/>
            </w:tcBorders>
            <w:shd w:val="clear" w:color="auto" w:fill="auto"/>
            <w:vAlign w:val="center"/>
            <w:hideMark/>
          </w:tcPr>
          <w:p w14:paraId="3F025C24" w14:textId="77777777" w:rsidR="0062499A" w:rsidRPr="00AE4E8D" w:rsidRDefault="0062499A" w:rsidP="0062499A">
            <w:pPr>
              <w:rPr>
                <w:rFonts w:ascii="Times New Roman" w:hAnsi="Times New Roman"/>
                <w:color w:val="000000"/>
                <w:sz w:val="14"/>
                <w:lang w:val="es-ES"/>
              </w:rPr>
            </w:pPr>
            <w:r w:rsidRPr="00AE4E8D">
              <w:rPr>
                <w:rFonts w:ascii="Times New Roman" w:hAnsi="Times New Roman"/>
                <w:color w:val="000000"/>
                <w:sz w:val="14"/>
                <w:szCs w:val="14"/>
                <w:lang w:val="es-ES" w:eastAsia="es-AR"/>
              </w:rPr>
              <w:t>Sistema financiero argentino</w:t>
            </w:r>
          </w:p>
        </w:tc>
        <w:tc>
          <w:tcPr>
            <w:tcW w:w="1200" w:type="dxa"/>
            <w:tcBorders>
              <w:top w:val="nil"/>
              <w:left w:val="nil"/>
              <w:bottom w:val="nil"/>
              <w:right w:val="nil"/>
            </w:tcBorders>
            <w:shd w:val="clear" w:color="auto" w:fill="auto"/>
            <w:vAlign w:val="center"/>
            <w:hideMark/>
          </w:tcPr>
          <w:p w14:paraId="5895961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226.878,30</w:t>
            </w:r>
          </w:p>
        </w:tc>
        <w:tc>
          <w:tcPr>
            <w:tcW w:w="300" w:type="dxa"/>
            <w:tcBorders>
              <w:top w:val="nil"/>
              <w:left w:val="nil"/>
              <w:bottom w:val="nil"/>
              <w:right w:val="nil"/>
            </w:tcBorders>
            <w:shd w:val="clear" w:color="auto" w:fill="auto"/>
            <w:vAlign w:val="bottom"/>
            <w:hideMark/>
          </w:tcPr>
          <w:p w14:paraId="7DABAEFE" w14:textId="77777777" w:rsidR="0062499A" w:rsidRPr="00AE4E8D" w:rsidRDefault="0062499A" w:rsidP="0062499A">
            <w:pPr>
              <w:rPr>
                <w:rFonts w:ascii="Times New Roman" w:hAnsi="Times New Roman"/>
                <w:color w:val="000000"/>
                <w:lang w:val="es-ES"/>
              </w:rPr>
            </w:pPr>
          </w:p>
        </w:tc>
        <w:tc>
          <w:tcPr>
            <w:tcW w:w="1062" w:type="dxa"/>
            <w:tcBorders>
              <w:top w:val="nil"/>
              <w:left w:val="nil"/>
              <w:bottom w:val="nil"/>
              <w:right w:val="nil"/>
            </w:tcBorders>
            <w:shd w:val="clear" w:color="auto" w:fill="auto"/>
            <w:vAlign w:val="center"/>
            <w:hideMark/>
          </w:tcPr>
          <w:p w14:paraId="3E6540C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280" w:type="dxa"/>
            <w:tcBorders>
              <w:top w:val="nil"/>
              <w:left w:val="nil"/>
              <w:bottom w:val="nil"/>
              <w:right w:val="nil"/>
            </w:tcBorders>
            <w:shd w:val="clear" w:color="auto" w:fill="auto"/>
            <w:vAlign w:val="bottom"/>
            <w:hideMark/>
          </w:tcPr>
          <w:p w14:paraId="4D7311E5" w14:textId="77777777" w:rsidR="0062499A" w:rsidRPr="00AE4E8D" w:rsidRDefault="0062499A" w:rsidP="0062499A">
            <w:pPr>
              <w:rPr>
                <w:rFonts w:ascii="Times New Roman" w:hAnsi="Times New Roman"/>
                <w:color w:val="000000"/>
                <w:lang w:val="es-ES"/>
              </w:rPr>
            </w:pPr>
          </w:p>
        </w:tc>
        <w:tc>
          <w:tcPr>
            <w:tcW w:w="1200" w:type="dxa"/>
            <w:tcBorders>
              <w:top w:val="nil"/>
              <w:left w:val="nil"/>
              <w:bottom w:val="nil"/>
              <w:right w:val="nil"/>
            </w:tcBorders>
            <w:shd w:val="clear" w:color="auto" w:fill="auto"/>
            <w:vAlign w:val="center"/>
            <w:hideMark/>
          </w:tcPr>
          <w:p w14:paraId="528264D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297.211,80</w:t>
            </w:r>
          </w:p>
        </w:tc>
        <w:tc>
          <w:tcPr>
            <w:tcW w:w="340" w:type="dxa"/>
            <w:tcBorders>
              <w:top w:val="nil"/>
              <w:left w:val="nil"/>
              <w:bottom w:val="nil"/>
              <w:right w:val="nil"/>
            </w:tcBorders>
            <w:shd w:val="clear" w:color="auto" w:fill="auto"/>
            <w:vAlign w:val="bottom"/>
            <w:hideMark/>
          </w:tcPr>
          <w:p w14:paraId="6F638676" w14:textId="77777777" w:rsidR="0062499A" w:rsidRPr="00AE4E8D" w:rsidRDefault="0062499A" w:rsidP="0062499A">
            <w:pPr>
              <w:rPr>
                <w:rFonts w:ascii="Times New Roman" w:hAnsi="Times New Roman"/>
                <w:color w:val="000000"/>
                <w:lang w:val="es-ES"/>
              </w:rPr>
            </w:pPr>
          </w:p>
        </w:tc>
        <w:tc>
          <w:tcPr>
            <w:tcW w:w="1015" w:type="dxa"/>
            <w:tcBorders>
              <w:top w:val="nil"/>
              <w:left w:val="nil"/>
              <w:bottom w:val="nil"/>
              <w:right w:val="nil"/>
            </w:tcBorders>
            <w:shd w:val="clear" w:color="auto" w:fill="auto"/>
            <w:vAlign w:val="center"/>
            <w:hideMark/>
          </w:tcPr>
          <w:p w14:paraId="582A4E7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420" w:type="dxa"/>
            <w:tcBorders>
              <w:top w:val="nil"/>
              <w:left w:val="nil"/>
              <w:bottom w:val="nil"/>
              <w:right w:val="nil"/>
            </w:tcBorders>
            <w:shd w:val="clear" w:color="auto" w:fill="auto"/>
            <w:noWrap/>
            <w:vAlign w:val="bottom"/>
            <w:hideMark/>
          </w:tcPr>
          <w:p w14:paraId="6A10C66D" w14:textId="77777777" w:rsidR="0062499A" w:rsidRPr="00AE4E8D" w:rsidRDefault="0062499A" w:rsidP="0062499A">
            <w:pPr>
              <w:rPr>
                <w:rFonts w:ascii="Times New Roman" w:hAnsi="Times New Roman"/>
                <w:color w:val="000000"/>
                <w:sz w:val="22"/>
                <w:lang w:val="es-ES"/>
              </w:rPr>
            </w:pPr>
          </w:p>
        </w:tc>
        <w:tc>
          <w:tcPr>
            <w:tcW w:w="1200" w:type="dxa"/>
            <w:tcBorders>
              <w:top w:val="nil"/>
              <w:left w:val="nil"/>
              <w:bottom w:val="nil"/>
              <w:right w:val="nil"/>
            </w:tcBorders>
            <w:shd w:val="clear" w:color="auto" w:fill="auto"/>
            <w:vAlign w:val="center"/>
            <w:hideMark/>
          </w:tcPr>
          <w:p w14:paraId="2099415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319.285,60</w:t>
            </w:r>
          </w:p>
        </w:tc>
        <w:tc>
          <w:tcPr>
            <w:tcW w:w="340" w:type="dxa"/>
            <w:tcBorders>
              <w:top w:val="nil"/>
              <w:left w:val="nil"/>
              <w:bottom w:val="nil"/>
              <w:right w:val="nil"/>
            </w:tcBorders>
            <w:shd w:val="clear" w:color="auto" w:fill="auto"/>
            <w:vAlign w:val="bottom"/>
            <w:hideMark/>
          </w:tcPr>
          <w:p w14:paraId="326C056A" w14:textId="77777777" w:rsidR="0062499A" w:rsidRPr="00AE4E8D" w:rsidRDefault="0062499A" w:rsidP="0062499A">
            <w:pPr>
              <w:rPr>
                <w:rFonts w:ascii="Times New Roman" w:hAnsi="Times New Roman"/>
                <w:color w:val="000000"/>
                <w:lang w:val="es-ES"/>
              </w:rPr>
            </w:pPr>
          </w:p>
        </w:tc>
        <w:tc>
          <w:tcPr>
            <w:tcW w:w="977" w:type="dxa"/>
            <w:tcBorders>
              <w:top w:val="nil"/>
              <w:left w:val="nil"/>
              <w:bottom w:val="nil"/>
              <w:right w:val="nil"/>
            </w:tcBorders>
            <w:shd w:val="clear" w:color="auto" w:fill="auto"/>
            <w:vAlign w:val="center"/>
            <w:hideMark/>
          </w:tcPr>
          <w:p w14:paraId="75187B7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100,00%</w:t>
            </w:r>
          </w:p>
        </w:tc>
      </w:tr>
    </w:tbl>
    <w:p w14:paraId="252060F6" w14:textId="77777777" w:rsidR="008C50B4" w:rsidRPr="00AE4E8D" w:rsidRDefault="008C50B4" w:rsidP="008C50B4">
      <w:pPr>
        <w:pBdr>
          <w:bottom w:val="single" w:sz="4" w:space="1" w:color="auto"/>
        </w:pBdr>
        <w:autoSpaceDE w:val="0"/>
        <w:autoSpaceDN w:val="0"/>
        <w:adjustRightInd w:val="0"/>
        <w:ind w:right="7740"/>
        <w:jc w:val="both"/>
        <w:rPr>
          <w:rFonts w:ascii="Times New Roman" w:eastAsia="MS Mincho" w:hAnsi="Times New Roman"/>
          <w:w w:val="1"/>
          <w:lang w:val="es-ES"/>
        </w:rPr>
      </w:pPr>
    </w:p>
    <w:p w14:paraId="663485BF" w14:textId="77777777" w:rsidR="008C50B4" w:rsidRPr="00AE4E8D" w:rsidRDefault="008C50B4" w:rsidP="008C50B4">
      <w:pPr>
        <w:autoSpaceDE w:val="0"/>
        <w:autoSpaceDN w:val="0"/>
        <w:adjustRightInd w:val="0"/>
        <w:spacing w:after="240"/>
        <w:rPr>
          <w:rFonts w:ascii="Times New Roman" w:hAnsi="Times New Roman"/>
          <w:sz w:val="16"/>
          <w:lang w:val="es-ES"/>
        </w:rPr>
      </w:pPr>
      <w:r w:rsidRPr="00AE4E8D">
        <w:rPr>
          <w:rFonts w:ascii="Times New Roman" w:hAnsi="Times New Roman"/>
          <w:sz w:val="16"/>
          <w:lang w:val="es-ES"/>
        </w:rPr>
        <w:t>(*) Fuente: BCRA.</w:t>
      </w:r>
    </w:p>
    <w:p w14:paraId="07FBDC10"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81" w:name="_Toc421201421"/>
      <w:bookmarkStart w:id="582" w:name="_Toc495973034"/>
      <w:bookmarkStart w:id="583" w:name="_Toc495399941"/>
      <w:r w:rsidRPr="00AE4E8D">
        <w:rPr>
          <w:rFonts w:ascii="Times New Roman" w:hAnsi="Times New Roman"/>
          <w:b/>
          <w:lang w:val="es-ES"/>
        </w:rPr>
        <w:t>Retorno sobre Activos</w:t>
      </w:r>
      <w:bookmarkEnd w:id="581"/>
      <w:bookmarkEnd w:id="582"/>
      <w:bookmarkEnd w:id="583"/>
    </w:p>
    <w:p w14:paraId="643605F6"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La siguiente tabla muestra el retorno sobre activos (no consolidados) para los diez bancos más grandes del sistema financiero argentino a las fechas indicadas: </w:t>
      </w:r>
    </w:p>
    <w:tbl>
      <w:tblPr>
        <w:tblW w:w="5000" w:type="pct"/>
        <w:tblCellMar>
          <w:left w:w="70" w:type="dxa"/>
          <w:right w:w="70" w:type="dxa"/>
        </w:tblCellMar>
        <w:tblLook w:val="04A0" w:firstRow="1" w:lastRow="0" w:firstColumn="1" w:lastColumn="0" w:noHBand="0" w:noVBand="1"/>
      </w:tblPr>
      <w:tblGrid>
        <w:gridCol w:w="780"/>
        <w:gridCol w:w="2422"/>
        <w:gridCol w:w="1601"/>
        <w:gridCol w:w="348"/>
        <w:gridCol w:w="1601"/>
        <w:gridCol w:w="294"/>
        <w:gridCol w:w="1599"/>
      </w:tblGrid>
      <w:tr w:rsidR="003B5193" w:rsidRPr="00AE4E8D" w14:paraId="64926DDC" w14:textId="77777777" w:rsidTr="000400C8">
        <w:trPr>
          <w:trHeight w:val="315"/>
        </w:trPr>
        <w:tc>
          <w:tcPr>
            <w:tcW w:w="451" w:type="pct"/>
            <w:vMerge w:val="restart"/>
            <w:tcBorders>
              <w:top w:val="nil"/>
              <w:left w:val="nil"/>
              <w:bottom w:val="nil"/>
              <w:right w:val="nil"/>
            </w:tcBorders>
            <w:shd w:val="clear" w:color="auto" w:fill="auto"/>
            <w:vAlign w:val="center"/>
            <w:hideMark/>
          </w:tcPr>
          <w:p w14:paraId="078F9865"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Ranking por Préstamos</w:t>
            </w:r>
          </w:p>
        </w:tc>
        <w:tc>
          <w:tcPr>
            <w:tcW w:w="1401" w:type="pct"/>
            <w:vMerge w:val="restart"/>
            <w:tcBorders>
              <w:top w:val="nil"/>
              <w:left w:val="nil"/>
              <w:bottom w:val="nil"/>
              <w:right w:val="nil"/>
            </w:tcBorders>
            <w:shd w:val="clear" w:color="auto" w:fill="auto"/>
            <w:vAlign w:val="center"/>
            <w:hideMark/>
          </w:tcPr>
          <w:p w14:paraId="2AD60EFE"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Banco</w:t>
            </w:r>
          </w:p>
        </w:tc>
        <w:tc>
          <w:tcPr>
            <w:tcW w:w="2053" w:type="pct"/>
            <w:gridSpan w:val="3"/>
            <w:tcBorders>
              <w:top w:val="nil"/>
              <w:left w:val="nil"/>
              <w:bottom w:val="single" w:sz="8" w:space="0" w:color="auto"/>
              <w:right w:val="nil"/>
            </w:tcBorders>
            <w:shd w:val="clear" w:color="auto" w:fill="auto"/>
            <w:vAlign w:val="center"/>
            <w:hideMark/>
          </w:tcPr>
          <w:p w14:paraId="7109F7DE"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Al 31 de diciembre,</w:t>
            </w:r>
          </w:p>
        </w:tc>
        <w:tc>
          <w:tcPr>
            <w:tcW w:w="170" w:type="pct"/>
            <w:tcBorders>
              <w:top w:val="nil"/>
              <w:left w:val="nil"/>
              <w:bottom w:val="nil"/>
              <w:right w:val="nil"/>
            </w:tcBorders>
            <w:shd w:val="clear" w:color="auto" w:fill="auto"/>
            <w:vAlign w:val="center"/>
            <w:hideMark/>
          </w:tcPr>
          <w:p w14:paraId="2676F86F" w14:textId="77777777" w:rsidR="0062499A" w:rsidRPr="00AE4E8D" w:rsidRDefault="0062499A" w:rsidP="0062499A">
            <w:pPr>
              <w:rPr>
                <w:rFonts w:ascii="Times New Roman" w:hAnsi="Times New Roman"/>
                <w:b/>
                <w:bCs/>
                <w:color w:val="000000"/>
                <w:sz w:val="14"/>
                <w:szCs w:val="14"/>
                <w:lang w:val="es-ES" w:eastAsia="es-AR"/>
              </w:rPr>
            </w:pPr>
          </w:p>
        </w:tc>
        <w:tc>
          <w:tcPr>
            <w:tcW w:w="925" w:type="pct"/>
            <w:tcBorders>
              <w:top w:val="nil"/>
              <w:left w:val="nil"/>
              <w:bottom w:val="single" w:sz="8" w:space="0" w:color="auto"/>
              <w:right w:val="nil"/>
            </w:tcBorders>
            <w:shd w:val="clear" w:color="auto" w:fill="auto"/>
            <w:vAlign w:val="center"/>
            <w:hideMark/>
          </w:tcPr>
          <w:p w14:paraId="3D258CAC" w14:textId="77777777" w:rsidR="0062499A" w:rsidRPr="00AE4E8D" w:rsidRDefault="0062499A" w:rsidP="0062499A">
            <w:pPr>
              <w:jc w:val="center"/>
              <w:rPr>
                <w:rFonts w:ascii="Times New Roman" w:hAnsi="Times New Roman"/>
                <w:b/>
                <w:bCs/>
                <w:color w:val="000000"/>
                <w:sz w:val="14"/>
                <w:szCs w:val="14"/>
                <w:lang w:val="es-ES" w:eastAsia="es-AR"/>
              </w:rPr>
            </w:pPr>
            <w:r w:rsidRPr="00AE4E8D">
              <w:rPr>
                <w:rFonts w:ascii="Times New Roman" w:hAnsi="Times New Roman"/>
                <w:b/>
                <w:bCs/>
                <w:color w:val="000000"/>
                <w:sz w:val="14"/>
                <w:szCs w:val="14"/>
                <w:lang w:val="es-ES" w:eastAsia="es-AR"/>
              </w:rPr>
              <w:t>Al 30 de abril,</w:t>
            </w:r>
          </w:p>
        </w:tc>
      </w:tr>
      <w:tr w:rsidR="003B5193" w:rsidRPr="00AE4E8D" w14:paraId="2EE2BDB8" w14:textId="77777777" w:rsidTr="000400C8">
        <w:trPr>
          <w:trHeight w:val="315"/>
        </w:trPr>
        <w:tc>
          <w:tcPr>
            <w:tcW w:w="451" w:type="pct"/>
            <w:vMerge/>
            <w:tcBorders>
              <w:top w:val="nil"/>
              <w:left w:val="nil"/>
              <w:bottom w:val="nil"/>
              <w:right w:val="nil"/>
            </w:tcBorders>
            <w:vAlign w:val="center"/>
            <w:hideMark/>
          </w:tcPr>
          <w:p w14:paraId="608D86C8" w14:textId="77777777" w:rsidR="0062499A" w:rsidRPr="00AE4E8D" w:rsidRDefault="0062499A" w:rsidP="0062499A">
            <w:pPr>
              <w:rPr>
                <w:rFonts w:ascii="Times New Roman" w:hAnsi="Times New Roman"/>
                <w:b/>
                <w:color w:val="000000"/>
                <w:sz w:val="14"/>
                <w:lang w:val="es-ES"/>
              </w:rPr>
            </w:pPr>
          </w:p>
        </w:tc>
        <w:tc>
          <w:tcPr>
            <w:tcW w:w="1401" w:type="pct"/>
            <w:vMerge/>
            <w:tcBorders>
              <w:top w:val="nil"/>
              <w:left w:val="nil"/>
              <w:bottom w:val="nil"/>
              <w:right w:val="nil"/>
            </w:tcBorders>
            <w:vAlign w:val="center"/>
            <w:hideMark/>
          </w:tcPr>
          <w:p w14:paraId="30789C25" w14:textId="77777777" w:rsidR="0062499A" w:rsidRPr="00AE4E8D" w:rsidRDefault="0062499A" w:rsidP="0062499A">
            <w:pPr>
              <w:rPr>
                <w:rFonts w:ascii="Times New Roman" w:hAnsi="Times New Roman"/>
                <w:b/>
                <w:color w:val="000000"/>
                <w:sz w:val="14"/>
                <w:lang w:val="es-ES"/>
              </w:rPr>
            </w:pPr>
          </w:p>
        </w:tc>
        <w:tc>
          <w:tcPr>
            <w:tcW w:w="926" w:type="pct"/>
            <w:tcBorders>
              <w:top w:val="nil"/>
              <w:left w:val="nil"/>
              <w:bottom w:val="single" w:sz="8" w:space="0" w:color="auto"/>
              <w:right w:val="nil"/>
            </w:tcBorders>
            <w:shd w:val="clear" w:color="auto" w:fill="auto"/>
            <w:vAlign w:val="center"/>
            <w:hideMark/>
          </w:tcPr>
          <w:p w14:paraId="1E0B0A17"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2015</w:t>
            </w:r>
          </w:p>
        </w:tc>
        <w:tc>
          <w:tcPr>
            <w:tcW w:w="201" w:type="pct"/>
            <w:tcBorders>
              <w:top w:val="nil"/>
              <w:left w:val="nil"/>
              <w:bottom w:val="nil"/>
              <w:right w:val="nil"/>
            </w:tcBorders>
            <w:shd w:val="clear" w:color="auto" w:fill="auto"/>
            <w:vAlign w:val="center"/>
            <w:hideMark/>
          </w:tcPr>
          <w:p w14:paraId="288ED53F" w14:textId="77777777" w:rsidR="0062499A" w:rsidRPr="00AE4E8D" w:rsidRDefault="0062499A" w:rsidP="00241071">
            <w:pPr>
              <w:rPr>
                <w:rFonts w:ascii="Times New Roman" w:hAnsi="Times New Roman"/>
                <w:color w:val="000000"/>
                <w:lang w:val="es-ES"/>
              </w:rPr>
            </w:pPr>
          </w:p>
        </w:tc>
        <w:tc>
          <w:tcPr>
            <w:tcW w:w="926" w:type="pct"/>
            <w:tcBorders>
              <w:top w:val="nil"/>
              <w:left w:val="nil"/>
              <w:bottom w:val="single" w:sz="8" w:space="0" w:color="auto"/>
              <w:right w:val="nil"/>
            </w:tcBorders>
            <w:shd w:val="clear" w:color="auto" w:fill="auto"/>
            <w:vAlign w:val="center"/>
            <w:hideMark/>
          </w:tcPr>
          <w:p w14:paraId="0A9790E8"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2016</w:t>
            </w:r>
          </w:p>
        </w:tc>
        <w:tc>
          <w:tcPr>
            <w:tcW w:w="170" w:type="pct"/>
            <w:tcBorders>
              <w:top w:val="nil"/>
              <w:left w:val="nil"/>
              <w:bottom w:val="nil"/>
              <w:right w:val="nil"/>
            </w:tcBorders>
            <w:shd w:val="clear" w:color="auto" w:fill="auto"/>
            <w:vAlign w:val="center"/>
            <w:hideMark/>
          </w:tcPr>
          <w:p w14:paraId="739EBE8A" w14:textId="77777777" w:rsidR="0062499A" w:rsidRPr="00AE4E8D" w:rsidRDefault="0062499A" w:rsidP="00241071">
            <w:pPr>
              <w:rPr>
                <w:rFonts w:ascii="Times New Roman" w:hAnsi="Times New Roman"/>
                <w:color w:val="000000"/>
                <w:lang w:val="es-ES"/>
              </w:rPr>
            </w:pPr>
          </w:p>
        </w:tc>
        <w:tc>
          <w:tcPr>
            <w:tcW w:w="925" w:type="pct"/>
            <w:tcBorders>
              <w:top w:val="nil"/>
              <w:left w:val="nil"/>
              <w:bottom w:val="single" w:sz="8" w:space="0" w:color="auto"/>
              <w:right w:val="nil"/>
            </w:tcBorders>
            <w:shd w:val="clear" w:color="auto" w:fill="auto"/>
            <w:vAlign w:val="center"/>
            <w:hideMark/>
          </w:tcPr>
          <w:p w14:paraId="2C009F0F"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2017</w:t>
            </w:r>
          </w:p>
        </w:tc>
      </w:tr>
      <w:tr w:rsidR="0062499A" w:rsidRPr="00AE4E8D" w14:paraId="3C14AE90" w14:textId="77777777" w:rsidTr="000400C8">
        <w:trPr>
          <w:trHeight w:val="300"/>
        </w:trPr>
        <w:tc>
          <w:tcPr>
            <w:tcW w:w="451" w:type="pct"/>
            <w:tcBorders>
              <w:top w:val="nil"/>
              <w:left w:val="nil"/>
              <w:bottom w:val="nil"/>
              <w:right w:val="nil"/>
            </w:tcBorders>
            <w:shd w:val="clear" w:color="auto" w:fill="auto"/>
            <w:noWrap/>
            <w:vAlign w:val="bottom"/>
            <w:hideMark/>
          </w:tcPr>
          <w:p w14:paraId="4B950952" w14:textId="77777777" w:rsidR="0062499A" w:rsidRPr="00AE4E8D" w:rsidRDefault="0062499A" w:rsidP="0062499A">
            <w:pPr>
              <w:rPr>
                <w:rFonts w:ascii="Times New Roman" w:hAnsi="Times New Roman"/>
                <w:color w:val="000000"/>
                <w:lang w:val="es-ES"/>
              </w:rPr>
            </w:pPr>
          </w:p>
        </w:tc>
        <w:tc>
          <w:tcPr>
            <w:tcW w:w="1401" w:type="pct"/>
            <w:tcBorders>
              <w:top w:val="nil"/>
              <w:left w:val="nil"/>
              <w:bottom w:val="nil"/>
              <w:right w:val="nil"/>
            </w:tcBorders>
            <w:shd w:val="clear" w:color="auto" w:fill="auto"/>
            <w:vAlign w:val="bottom"/>
            <w:hideMark/>
          </w:tcPr>
          <w:p w14:paraId="2F936196" w14:textId="77777777" w:rsidR="0062499A" w:rsidRPr="00AE4E8D" w:rsidRDefault="0062499A" w:rsidP="00241071">
            <w:pPr>
              <w:rPr>
                <w:rFonts w:ascii="Times New Roman" w:hAnsi="Times New Roman"/>
                <w:color w:val="000000"/>
                <w:lang w:val="es-ES"/>
              </w:rPr>
            </w:pPr>
          </w:p>
        </w:tc>
        <w:tc>
          <w:tcPr>
            <w:tcW w:w="3148" w:type="pct"/>
            <w:gridSpan w:val="5"/>
            <w:tcBorders>
              <w:top w:val="nil"/>
              <w:left w:val="nil"/>
              <w:bottom w:val="nil"/>
              <w:right w:val="nil"/>
            </w:tcBorders>
            <w:shd w:val="clear" w:color="auto" w:fill="auto"/>
            <w:vAlign w:val="center"/>
            <w:hideMark/>
          </w:tcPr>
          <w:p w14:paraId="44138651"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(en porcentajes)</w:t>
            </w:r>
          </w:p>
        </w:tc>
      </w:tr>
      <w:tr w:rsidR="0062499A" w:rsidRPr="00AE4E8D" w14:paraId="144810C1" w14:textId="77777777" w:rsidTr="000400C8">
        <w:trPr>
          <w:trHeight w:val="300"/>
        </w:trPr>
        <w:tc>
          <w:tcPr>
            <w:tcW w:w="451" w:type="pct"/>
            <w:tcBorders>
              <w:top w:val="nil"/>
              <w:left w:val="nil"/>
              <w:bottom w:val="nil"/>
              <w:right w:val="nil"/>
            </w:tcBorders>
            <w:shd w:val="clear" w:color="auto" w:fill="auto"/>
            <w:noWrap/>
            <w:vAlign w:val="center"/>
            <w:hideMark/>
          </w:tcPr>
          <w:p w14:paraId="00799BB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w:t>
            </w:r>
          </w:p>
        </w:tc>
        <w:tc>
          <w:tcPr>
            <w:tcW w:w="1401" w:type="pct"/>
            <w:tcBorders>
              <w:top w:val="nil"/>
              <w:left w:val="nil"/>
              <w:bottom w:val="nil"/>
              <w:right w:val="nil"/>
            </w:tcBorders>
            <w:shd w:val="clear" w:color="auto" w:fill="auto"/>
            <w:vAlign w:val="center"/>
            <w:hideMark/>
          </w:tcPr>
          <w:p w14:paraId="54566C74" w14:textId="77777777" w:rsidR="0062499A" w:rsidRPr="00AE4E8D" w:rsidRDefault="0062499A" w:rsidP="00845924">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Banco</w:t>
            </w:r>
            <w:r w:rsidR="00FD3A3F" w:rsidRPr="00AE4E8D">
              <w:rPr>
                <w:rFonts w:ascii="Times New Roman" w:hAnsi="Times New Roman"/>
                <w:color w:val="000000"/>
                <w:sz w:val="14"/>
                <w:szCs w:val="14"/>
                <w:lang w:val="es-ES" w:eastAsia="es-AR"/>
              </w:rPr>
              <w:t xml:space="preserve"> de la</w:t>
            </w:r>
            <w:r w:rsidR="00845924" w:rsidRPr="00AE4E8D">
              <w:rPr>
                <w:rFonts w:ascii="Times New Roman" w:hAnsi="Times New Roman"/>
                <w:color w:val="000000"/>
                <w:sz w:val="14"/>
                <w:szCs w:val="14"/>
                <w:lang w:val="es-ES" w:eastAsia="es-AR"/>
              </w:rPr>
              <w:t xml:space="preserve"> </w:t>
            </w:r>
            <w:r w:rsidRPr="00AE4E8D">
              <w:rPr>
                <w:rFonts w:ascii="Times New Roman" w:hAnsi="Times New Roman"/>
                <w:color w:val="000000"/>
                <w:sz w:val="14"/>
                <w:szCs w:val="14"/>
                <w:lang w:val="es-ES" w:eastAsia="es-AR"/>
              </w:rPr>
              <w:t>Nación</w:t>
            </w:r>
            <w:r w:rsidR="00FD3A3F" w:rsidRPr="00AE4E8D">
              <w:rPr>
                <w:rFonts w:ascii="Times New Roman" w:hAnsi="Times New Roman"/>
                <w:color w:val="000000"/>
                <w:sz w:val="14"/>
                <w:szCs w:val="14"/>
                <w:lang w:val="es-ES" w:eastAsia="es-AR"/>
              </w:rPr>
              <w:t xml:space="preserve"> Argentina</w:t>
            </w:r>
          </w:p>
        </w:tc>
        <w:tc>
          <w:tcPr>
            <w:tcW w:w="926" w:type="pct"/>
            <w:tcBorders>
              <w:top w:val="nil"/>
              <w:left w:val="nil"/>
              <w:bottom w:val="nil"/>
              <w:right w:val="nil"/>
            </w:tcBorders>
            <w:shd w:val="clear" w:color="auto" w:fill="auto"/>
            <w:vAlign w:val="center"/>
            <w:hideMark/>
          </w:tcPr>
          <w:p w14:paraId="128B7CD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5,17%</w:t>
            </w:r>
          </w:p>
        </w:tc>
        <w:tc>
          <w:tcPr>
            <w:tcW w:w="201" w:type="pct"/>
            <w:tcBorders>
              <w:top w:val="nil"/>
              <w:left w:val="nil"/>
              <w:bottom w:val="nil"/>
              <w:right w:val="nil"/>
            </w:tcBorders>
            <w:shd w:val="clear" w:color="auto" w:fill="auto"/>
            <w:vAlign w:val="bottom"/>
            <w:hideMark/>
          </w:tcPr>
          <w:p w14:paraId="0C418CEB"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49C7BF0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4,40%</w:t>
            </w:r>
          </w:p>
        </w:tc>
        <w:tc>
          <w:tcPr>
            <w:tcW w:w="170" w:type="pct"/>
            <w:tcBorders>
              <w:top w:val="nil"/>
              <w:left w:val="nil"/>
              <w:bottom w:val="nil"/>
              <w:right w:val="nil"/>
            </w:tcBorders>
            <w:shd w:val="clear" w:color="auto" w:fill="auto"/>
            <w:noWrap/>
            <w:vAlign w:val="bottom"/>
            <w:hideMark/>
          </w:tcPr>
          <w:p w14:paraId="0EF951F5"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0DC9DDA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3,37</w:t>
            </w:r>
            <w:r w:rsidRPr="00AE4E8D">
              <w:rPr>
                <w:rFonts w:ascii="Times New Roman" w:hAnsi="Times New Roman"/>
                <w:color w:val="000000"/>
                <w:sz w:val="14"/>
                <w:lang w:val="es-ES"/>
              </w:rPr>
              <w:t>%</w:t>
            </w:r>
          </w:p>
        </w:tc>
      </w:tr>
      <w:tr w:rsidR="0062499A" w:rsidRPr="00AE4E8D" w14:paraId="7F8E12B7" w14:textId="77777777" w:rsidTr="000400C8">
        <w:trPr>
          <w:trHeight w:val="300"/>
        </w:trPr>
        <w:tc>
          <w:tcPr>
            <w:tcW w:w="451" w:type="pct"/>
            <w:tcBorders>
              <w:top w:val="nil"/>
              <w:left w:val="nil"/>
              <w:bottom w:val="nil"/>
              <w:right w:val="nil"/>
            </w:tcBorders>
            <w:shd w:val="clear" w:color="auto" w:fill="auto"/>
            <w:noWrap/>
            <w:vAlign w:val="center"/>
            <w:hideMark/>
          </w:tcPr>
          <w:p w14:paraId="2BB7767C"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2</w:t>
            </w:r>
          </w:p>
        </w:tc>
        <w:tc>
          <w:tcPr>
            <w:tcW w:w="1401" w:type="pct"/>
            <w:tcBorders>
              <w:top w:val="nil"/>
              <w:left w:val="nil"/>
              <w:bottom w:val="nil"/>
              <w:right w:val="nil"/>
            </w:tcBorders>
            <w:shd w:val="clear" w:color="auto" w:fill="auto"/>
            <w:vAlign w:val="center"/>
            <w:hideMark/>
          </w:tcPr>
          <w:p w14:paraId="384939A1" w14:textId="77777777" w:rsidR="0062499A" w:rsidRPr="00AE4E8D" w:rsidRDefault="00713D68" w:rsidP="0062499A">
            <w:pPr>
              <w:jc w:val="both"/>
              <w:rPr>
                <w:rFonts w:ascii="Times New Roman" w:hAnsi="Times New Roman"/>
                <w:color w:val="000000"/>
                <w:sz w:val="14"/>
                <w:lang w:val="es-ES"/>
              </w:rPr>
            </w:pPr>
            <w:r w:rsidRPr="00AE4E8D">
              <w:rPr>
                <w:rFonts w:ascii="Times New Roman" w:hAnsi="Times New Roman"/>
                <w:color w:val="000000"/>
                <w:sz w:val="14"/>
                <w:szCs w:val="14"/>
                <w:lang w:eastAsia="es-AR"/>
              </w:rPr>
              <w:t>Banco Santander Rio S.A</w:t>
            </w:r>
          </w:p>
        </w:tc>
        <w:tc>
          <w:tcPr>
            <w:tcW w:w="926" w:type="pct"/>
            <w:tcBorders>
              <w:top w:val="nil"/>
              <w:left w:val="nil"/>
              <w:bottom w:val="nil"/>
              <w:right w:val="nil"/>
            </w:tcBorders>
            <w:shd w:val="clear" w:color="auto" w:fill="auto"/>
            <w:vAlign w:val="center"/>
            <w:hideMark/>
          </w:tcPr>
          <w:p w14:paraId="6C34B35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3,75%</w:t>
            </w:r>
          </w:p>
        </w:tc>
        <w:tc>
          <w:tcPr>
            <w:tcW w:w="201" w:type="pct"/>
            <w:tcBorders>
              <w:top w:val="nil"/>
              <w:left w:val="nil"/>
              <w:bottom w:val="nil"/>
              <w:right w:val="nil"/>
            </w:tcBorders>
            <w:shd w:val="clear" w:color="auto" w:fill="auto"/>
            <w:vAlign w:val="bottom"/>
            <w:hideMark/>
          </w:tcPr>
          <w:p w14:paraId="3CD23434"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67298FE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3,09%</w:t>
            </w:r>
          </w:p>
        </w:tc>
        <w:tc>
          <w:tcPr>
            <w:tcW w:w="170" w:type="pct"/>
            <w:tcBorders>
              <w:top w:val="nil"/>
              <w:left w:val="nil"/>
              <w:bottom w:val="nil"/>
              <w:right w:val="nil"/>
            </w:tcBorders>
            <w:shd w:val="clear" w:color="auto" w:fill="auto"/>
            <w:noWrap/>
            <w:vAlign w:val="bottom"/>
            <w:hideMark/>
          </w:tcPr>
          <w:p w14:paraId="40833331"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044FAC3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3,09%</w:t>
            </w:r>
          </w:p>
        </w:tc>
      </w:tr>
      <w:tr w:rsidR="0062499A" w:rsidRPr="00AE4E8D" w14:paraId="5488B4BA" w14:textId="77777777" w:rsidTr="000400C8">
        <w:trPr>
          <w:trHeight w:val="300"/>
        </w:trPr>
        <w:tc>
          <w:tcPr>
            <w:tcW w:w="451" w:type="pct"/>
            <w:tcBorders>
              <w:top w:val="nil"/>
              <w:left w:val="nil"/>
              <w:bottom w:val="nil"/>
              <w:right w:val="nil"/>
            </w:tcBorders>
            <w:shd w:val="clear" w:color="auto" w:fill="auto"/>
            <w:noWrap/>
            <w:vAlign w:val="center"/>
            <w:hideMark/>
          </w:tcPr>
          <w:p w14:paraId="0870EFCB"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3</w:t>
            </w:r>
          </w:p>
        </w:tc>
        <w:tc>
          <w:tcPr>
            <w:tcW w:w="1401" w:type="pct"/>
            <w:tcBorders>
              <w:top w:val="nil"/>
              <w:left w:val="nil"/>
              <w:bottom w:val="nil"/>
              <w:right w:val="nil"/>
            </w:tcBorders>
            <w:shd w:val="clear" w:color="auto" w:fill="auto"/>
            <w:vAlign w:val="center"/>
            <w:hideMark/>
          </w:tcPr>
          <w:p w14:paraId="6FABF537" w14:textId="77777777" w:rsidR="0062499A" w:rsidRPr="00AE4E8D" w:rsidRDefault="00FD3A3F"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w:t>
            </w:r>
            <w:r w:rsidR="0062499A" w:rsidRPr="00AE4E8D">
              <w:rPr>
                <w:rFonts w:ascii="Times New Roman" w:hAnsi="Times New Roman"/>
                <w:color w:val="000000"/>
                <w:sz w:val="14"/>
                <w:szCs w:val="14"/>
                <w:lang w:val="es-ES" w:eastAsia="es-AR"/>
              </w:rPr>
              <w:t>Galicia</w:t>
            </w:r>
            <w:r w:rsidRPr="00AE4E8D">
              <w:rPr>
                <w:rFonts w:ascii="Times New Roman" w:hAnsi="Times New Roman"/>
                <w:color w:val="000000"/>
                <w:sz w:val="14"/>
                <w:szCs w:val="14"/>
                <w:lang w:val="es-ES" w:eastAsia="es-AR"/>
              </w:rPr>
              <w:t xml:space="preserve"> y Buenos Aires</w:t>
            </w:r>
            <w:r w:rsidR="00897DEC">
              <w:rPr>
                <w:rFonts w:ascii="Times New Roman" w:hAnsi="Times New Roman"/>
                <w:color w:val="000000"/>
                <w:sz w:val="14"/>
                <w:szCs w:val="14"/>
                <w:lang w:val="es-ES" w:eastAsia="es-AR"/>
              </w:rPr>
              <w:t xml:space="preserve"> S.A.</w:t>
            </w:r>
          </w:p>
        </w:tc>
        <w:tc>
          <w:tcPr>
            <w:tcW w:w="926" w:type="pct"/>
            <w:tcBorders>
              <w:top w:val="nil"/>
              <w:left w:val="nil"/>
              <w:bottom w:val="nil"/>
              <w:right w:val="nil"/>
            </w:tcBorders>
            <w:shd w:val="clear" w:color="auto" w:fill="auto"/>
            <w:vAlign w:val="center"/>
            <w:hideMark/>
          </w:tcPr>
          <w:p w14:paraId="32EB4135"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3,70%</w:t>
            </w:r>
          </w:p>
        </w:tc>
        <w:tc>
          <w:tcPr>
            <w:tcW w:w="201" w:type="pct"/>
            <w:tcBorders>
              <w:top w:val="nil"/>
              <w:left w:val="nil"/>
              <w:bottom w:val="nil"/>
              <w:right w:val="nil"/>
            </w:tcBorders>
            <w:shd w:val="clear" w:color="auto" w:fill="auto"/>
            <w:vAlign w:val="bottom"/>
            <w:hideMark/>
          </w:tcPr>
          <w:p w14:paraId="06315C68"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2EB2C69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3,18%</w:t>
            </w:r>
          </w:p>
        </w:tc>
        <w:tc>
          <w:tcPr>
            <w:tcW w:w="170" w:type="pct"/>
            <w:tcBorders>
              <w:top w:val="nil"/>
              <w:left w:val="nil"/>
              <w:bottom w:val="nil"/>
              <w:right w:val="nil"/>
            </w:tcBorders>
            <w:shd w:val="clear" w:color="auto" w:fill="auto"/>
            <w:noWrap/>
            <w:vAlign w:val="bottom"/>
            <w:hideMark/>
          </w:tcPr>
          <w:p w14:paraId="1B7878C7"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77BE246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09</w:t>
            </w:r>
            <w:r w:rsidRPr="00AE4E8D">
              <w:rPr>
                <w:rFonts w:ascii="Times New Roman" w:hAnsi="Times New Roman"/>
                <w:color w:val="000000"/>
                <w:sz w:val="14"/>
                <w:lang w:val="es-ES"/>
              </w:rPr>
              <w:t>%</w:t>
            </w:r>
          </w:p>
        </w:tc>
      </w:tr>
      <w:tr w:rsidR="0062499A" w:rsidRPr="00AE4E8D" w14:paraId="4250991A" w14:textId="77777777" w:rsidTr="000400C8">
        <w:trPr>
          <w:trHeight w:val="360"/>
        </w:trPr>
        <w:tc>
          <w:tcPr>
            <w:tcW w:w="451" w:type="pct"/>
            <w:tcBorders>
              <w:top w:val="nil"/>
              <w:left w:val="nil"/>
              <w:bottom w:val="nil"/>
              <w:right w:val="nil"/>
            </w:tcBorders>
            <w:shd w:val="clear" w:color="auto" w:fill="auto"/>
            <w:noWrap/>
            <w:vAlign w:val="center"/>
            <w:hideMark/>
          </w:tcPr>
          <w:p w14:paraId="1B8A2DE5"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4</w:t>
            </w:r>
          </w:p>
        </w:tc>
        <w:tc>
          <w:tcPr>
            <w:tcW w:w="1401" w:type="pct"/>
            <w:tcBorders>
              <w:top w:val="nil"/>
              <w:left w:val="nil"/>
              <w:bottom w:val="nil"/>
              <w:right w:val="nil"/>
            </w:tcBorders>
            <w:shd w:val="clear" w:color="auto" w:fill="auto"/>
            <w:vAlign w:val="center"/>
            <w:hideMark/>
          </w:tcPr>
          <w:p w14:paraId="1F0F7A5E" w14:textId="77777777" w:rsidR="0062499A" w:rsidRPr="00AE4E8D" w:rsidRDefault="00541BD2"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la </w:t>
            </w:r>
            <w:r w:rsidR="0062499A" w:rsidRPr="00AE4E8D">
              <w:rPr>
                <w:rFonts w:ascii="Times New Roman" w:hAnsi="Times New Roman"/>
                <w:color w:val="000000"/>
                <w:sz w:val="14"/>
                <w:szCs w:val="14"/>
                <w:lang w:val="es-ES" w:eastAsia="es-AR"/>
              </w:rPr>
              <w:t>Provincia de Buenos Aires</w:t>
            </w:r>
          </w:p>
        </w:tc>
        <w:tc>
          <w:tcPr>
            <w:tcW w:w="926" w:type="pct"/>
            <w:tcBorders>
              <w:top w:val="nil"/>
              <w:left w:val="nil"/>
              <w:bottom w:val="nil"/>
              <w:right w:val="nil"/>
            </w:tcBorders>
            <w:shd w:val="clear" w:color="auto" w:fill="auto"/>
            <w:vAlign w:val="center"/>
            <w:hideMark/>
          </w:tcPr>
          <w:p w14:paraId="2FD6294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1,03%</w:t>
            </w:r>
          </w:p>
        </w:tc>
        <w:tc>
          <w:tcPr>
            <w:tcW w:w="201" w:type="pct"/>
            <w:tcBorders>
              <w:top w:val="nil"/>
              <w:left w:val="nil"/>
              <w:bottom w:val="nil"/>
              <w:right w:val="nil"/>
            </w:tcBorders>
            <w:shd w:val="clear" w:color="auto" w:fill="auto"/>
            <w:vAlign w:val="bottom"/>
            <w:hideMark/>
          </w:tcPr>
          <w:p w14:paraId="45F9C342"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19C4A59A"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1,80%</w:t>
            </w:r>
          </w:p>
        </w:tc>
        <w:tc>
          <w:tcPr>
            <w:tcW w:w="170" w:type="pct"/>
            <w:tcBorders>
              <w:top w:val="nil"/>
              <w:left w:val="nil"/>
              <w:bottom w:val="nil"/>
              <w:right w:val="nil"/>
            </w:tcBorders>
            <w:shd w:val="clear" w:color="auto" w:fill="auto"/>
            <w:noWrap/>
            <w:vAlign w:val="bottom"/>
            <w:hideMark/>
          </w:tcPr>
          <w:p w14:paraId="2811CAA1"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4D97597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86</w:t>
            </w:r>
            <w:r w:rsidRPr="00AE4E8D">
              <w:rPr>
                <w:rFonts w:ascii="Times New Roman" w:hAnsi="Times New Roman"/>
                <w:color w:val="000000"/>
                <w:sz w:val="14"/>
                <w:lang w:val="es-ES"/>
              </w:rPr>
              <w:t>%</w:t>
            </w:r>
          </w:p>
        </w:tc>
      </w:tr>
      <w:tr w:rsidR="0062499A" w:rsidRPr="00AE4E8D" w14:paraId="07D3EFA1" w14:textId="77777777" w:rsidTr="000400C8">
        <w:trPr>
          <w:trHeight w:val="300"/>
        </w:trPr>
        <w:tc>
          <w:tcPr>
            <w:tcW w:w="451" w:type="pct"/>
            <w:tcBorders>
              <w:top w:val="nil"/>
              <w:left w:val="nil"/>
              <w:bottom w:val="nil"/>
              <w:right w:val="nil"/>
            </w:tcBorders>
            <w:shd w:val="clear" w:color="auto" w:fill="auto"/>
            <w:noWrap/>
            <w:vAlign w:val="center"/>
            <w:hideMark/>
          </w:tcPr>
          <w:p w14:paraId="290E56FC"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5</w:t>
            </w:r>
          </w:p>
        </w:tc>
        <w:tc>
          <w:tcPr>
            <w:tcW w:w="1401" w:type="pct"/>
            <w:tcBorders>
              <w:top w:val="nil"/>
              <w:left w:val="nil"/>
              <w:bottom w:val="nil"/>
              <w:right w:val="nil"/>
            </w:tcBorders>
            <w:shd w:val="clear" w:color="auto" w:fill="auto"/>
            <w:vAlign w:val="center"/>
            <w:hideMark/>
          </w:tcPr>
          <w:p w14:paraId="262BC18A" w14:textId="77777777" w:rsidR="0062499A" w:rsidRPr="00AE4E8D" w:rsidRDefault="00541BD2"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Macro</w:t>
            </w:r>
            <w:r w:rsidR="00713D68" w:rsidRPr="00AE4E8D">
              <w:rPr>
                <w:rFonts w:ascii="Times New Roman" w:hAnsi="Times New Roman"/>
                <w:color w:val="000000"/>
                <w:sz w:val="14"/>
                <w:szCs w:val="14"/>
                <w:lang w:val="en-US" w:eastAsia="es-AR"/>
              </w:rPr>
              <w:t xml:space="preserve"> S.A.</w:t>
            </w:r>
          </w:p>
        </w:tc>
        <w:tc>
          <w:tcPr>
            <w:tcW w:w="926" w:type="pct"/>
            <w:tcBorders>
              <w:top w:val="nil"/>
              <w:left w:val="nil"/>
              <w:bottom w:val="nil"/>
              <w:right w:val="nil"/>
            </w:tcBorders>
            <w:shd w:val="clear" w:color="auto" w:fill="auto"/>
            <w:vAlign w:val="center"/>
            <w:hideMark/>
          </w:tcPr>
          <w:p w14:paraId="77AC834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6,27%</w:t>
            </w:r>
          </w:p>
        </w:tc>
        <w:tc>
          <w:tcPr>
            <w:tcW w:w="201" w:type="pct"/>
            <w:tcBorders>
              <w:top w:val="nil"/>
              <w:left w:val="nil"/>
              <w:bottom w:val="nil"/>
              <w:right w:val="nil"/>
            </w:tcBorders>
            <w:shd w:val="clear" w:color="auto" w:fill="auto"/>
            <w:vAlign w:val="bottom"/>
            <w:hideMark/>
          </w:tcPr>
          <w:p w14:paraId="30343054"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5D2EC69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5,61%</w:t>
            </w:r>
          </w:p>
        </w:tc>
        <w:tc>
          <w:tcPr>
            <w:tcW w:w="170" w:type="pct"/>
            <w:tcBorders>
              <w:top w:val="nil"/>
              <w:left w:val="nil"/>
              <w:bottom w:val="nil"/>
              <w:right w:val="nil"/>
            </w:tcBorders>
            <w:shd w:val="clear" w:color="auto" w:fill="auto"/>
            <w:noWrap/>
            <w:vAlign w:val="bottom"/>
            <w:hideMark/>
          </w:tcPr>
          <w:p w14:paraId="66850137"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178C98F0"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5,</w:t>
            </w:r>
            <w:r w:rsidRPr="00AE4E8D">
              <w:rPr>
                <w:rFonts w:ascii="Times New Roman" w:hAnsi="Times New Roman"/>
                <w:color w:val="000000"/>
                <w:sz w:val="14"/>
                <w:szCs w:val="14"/>
                <w:lang w:val="es-ES" w:eastAsia="es-AR"/>
              </w:rPr>
              <w:t>37</w:t>
            </w:r>
            <w:r w:rsidRPr="00AE4E8D">
              <w:rPr>
                <w:rFonts w:ascii="Times New Roman" w:hAnsi="Times New Roman"/>
                <w:color w:val="000000"/>
                <w:sz w:val="14"/>
                <w:lang w:val="es-ES"/>
              </w:rPr>
              <w:t>%</w:t>
            </w:r>
          </w:p>
        </w:tc>
      </w:tr>
      <w:tr w:rsidR="0062499A" w:rsidRPr="00AE4E8D" w14:paraId="7B6D0C6F" w14:textId="77777777" w:rsidTr="000400C8">
        <w:trPr>
          <w:trHeight w:val="300"/>
        </w:trPr>
        <w:tc>
          <w:tcPr>
            <w:tcW w:w="451" w:type="pct"/>
            <w:tcBorders>
              <w:top w:val="nil"/>
              <w:left w:val="nil"/>
              <w:bottom w:val="nil"/>
              <w:right w:val="nil"/>
            </w:tcBorders>
            <w:shd w:val="clear" w:color="auto" w:fill="auto"/>
            <w:noWrap/>
            <w:vAlign w:val="center"/>
            <w:hideMark/>
          </w:tcPr>
          <w:p w14:paraId="689CAF0E"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6</w:t>
            </w:r>
          </w:p>
        </w:tc>
        <w:tc>
          <w:tcPr>
            <w:tcW w:w="1401" w:type="pct"/>
            <w:tcBorders>
              <w:top w:val="nil"/>
              <w:left w:val="nil"/>
              <w:bottom w:val="nil"/>
              <w:right w:val="nil"/>
            </w:tcBorders>
            <w:shd w:val="clear" w:color="auto" w:fill="auto"/>
            <w:vAlign w:val="center"/>
            <w:hideMark/>
          </w:tcPr>
          <w:p w14:paraId="5DF4956F"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BBVA </w:t>
            </w:r>
            <w:r w:rsidR="00713D68" w:rsidRPr="00AE4E8D">
              <w:rPr>
                <w:rFonts w:ascii="Times New Roman" w:hAnsi="Times New Roman"/>
                <w:color w:val="000000"/>
                <w:sz w:val="14"/>
                <w:szCs w:val="14"/>
                <w:lang w:eastAsia="es-AR"/>
              </w:rPr>
              <w:t>Banco Francés S.A.</w:t>
            </w:r>
          </w:p>
        </w:tc>
        <w:tc>
          <w:tcPr>
            <w:tcW w:w="926" w:type="pct"/>
            <w:tcBorders>
              <w:top w:val="nil"/>
              <w:left w:val="nil"/>
              <w:bottom w:val="nil"/>
              <w:right w:val="nil"/>
            </w:tcBorders>
            <w:shd w:val="clear" w:color="auto" w:fill="auto"/>
            <w:vAlign w:val="center"/>
            <w:hideMark/>
          </w:tcPr>
          <w:p w14:paraId="0B15AC0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4,52%</w:t>
            </w:r>
          </w:p>
        </w:tc>
        <w:tc>
          <w:tcPr>
            <w:tcW w:w="201" w:type="pct"/>
            <w:tcBorders>
              <w:top w:val="nil"/>
              <w:left w:val="nil"/>
              <w:bottom w:val="nil"/>
              <w:right w:val="nil"/>
            </w:tcBorders>
            <w:shd w:val="clear" w:color="auto" w:fill="auto"/>
            <w:vAlign w:val="bottom"/>
            <w:hideMark/>
          </w:tcPr>
          <w:p w14:paraId="59744C52"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5DA0DB3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3,00%</w:t>
            </w:r>
          </w:p>
        </w:tc>
        <w:tc>
          <w:tcPr>
            <w:tcW w:w="170" w:type="pct"/>
            <w:tcBorders>
              <w:top w:val="nil"/>
              <w:left w:val="nil"/>
              <w:bottom w:val="nil"/>
              <w:right w:val="nil"/>
            </w:tcBorders>
            <w:shd w:val="clear" w:color="auto" w:fill="auto"/>
            <w:noWrap/>
            <w:vAlign w:val="bottom"/>
            <w:hideMark/>
          </w:tcPr>
          <w:p w14:paraId="7F062591"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29DC170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11</w:t>
            </w:r>
            <w:r w:rsidRPr="00AE4E8D">
              <w:rPr>
                <w:rFonts w:ascii="Times New Roman" w:hAnsi="Times New Roman"/>
                <w:color w:val="000000"/>
                <w:sz w:val="14"/>
                <w:lang w:val="es-ES"/>
              </w:rPr>
              <w:t>%</w:t>
            </w:r>
          </w:p>
        </w:tc>
      </w:tr>
      <w:tr w:rsidR="0062499A" w:rsidRPr="00AE4E8D" w14:paraId="64C5332C" w14:textId="77777777" w:rsidTr="000400C8">
        <w:trPr>
          <w:trHeight w:val="300"/>
        </w:trPr>
        <w:tc>
          <w:tcPr>
            <w:tcW w:w="451" w:type="pct"/>
            <w:tcBorders>
              <w:top w:val="nil"/>
              <w:left w:val="nil"/>
              <w:bottom w:val="nil"/>
              <w:right w:val="nil"/>
            </w:tcBorders>
            <w:shd w:val="clear" w:color="auto" w:fill="auto"/>
            <w:noWrap/>
            <w:vAlign w:val="center"/>
            <w:hideMark/>
          </w:tcPr>
          <w:p w14:paraId="2182FFCD"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7</w:t>
            </w:r>
          </w:p>
        </w:tc>
        <w:tc>
          <w:tcPr>
            <w:tcW w:w="1401" w:type="pct"/>
            <w:tcBorders>
              <w:top w:val="nil"/>
              <w:left w:val="nil"/>
              <w:bottom w:val="nil"/>
              <w:right w:val="nil"/>
            </w:tcBorders>
            <w:shd w:val="clear" w:color="auto" w:fill="auto"/>
            <w:vAlign w:val="center"/>
            <w:hideMark/>
          </w:tcPr>
          <w:p w14:paraId="399C3084" w14:textId="77777777" w:rsidR="0062499A" w:rsidRPr="00AE4E8D" w:rsidRDefault="0062499A" w:rsidP="00EC0AED">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HSBC</w:t>
            </w:r>
            <w:r w:rsidR="00541BD2" w:rsidRPr="00AE4E8D">
              <w:rPr>
                <w:rFonts w:ascii="Times New Roman" w:hAnsi="Times New Roman"/>
                <w:color w:val="000000"/>
                <w:sz w:val="14"/>
                <w:szCs w:val="14"/>
                <w:lang w:val="en-US" w:eastAsia="es-AR"/>
              </w:rPr>
              <w:t xml:space="preserve"> Bank Argentina</w:t>
            </w:r>
            <w:r w:rsidR="00713D68" w:rsidRPr="00AE4E8D">
              <w:rPr>
                <w:rFonts w:ascii="Times New Roman" w:hAnsi="Times New Roman"/>
                <w:color w:val="000000"/>
                <w:sz w:val="14"/>
                <w:szCs w:val="14"/>
                <w:lang w:val="en-US" w:eastAsia="es-AR"/>
              </w:rPr>
              <w:t xml:space="preserve"> S.A.</w:t>
            </w:r>
          </w:p>
        </w:tc>
        <w:tc>
          <w:tcPr>
            <w:tcW w:w="926" w:type="pct"/>
            <w:tcBorders>
              <w:top w:val="nil"/>
              <w:left w:val="nil"/>
              <w:bottom w:val="nil"/>
              <w:right w:val="nil"/>
            </w:tcBorders>
            <w:shd w:val="clear" w:color="auto" w:fill="auto"/>
            <w:vAlign w:val="center"/>
            <w:hideMark/>
          </w:tcPr>
          <w:p w14:paraId="37FE180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2,40%</w:t>
            </w:r>
          </w:p>
        </w:tc>
        <w:tc>
          <w:tcPr>
            <w:tcW w:w="201" w:type="pct"/>
            <w:tcBorders>
              <w:top w:val="nil"/>
              <w:left w:val="nil"/>
              <w:bottom w:val="nil"/>
              <w:right w:val="nil"/>
            </w:tcBorders>
            <w:shd w:val="clear" w:color="auto" w:fill="auto"/>
            <w:vAlign w:val="bottom"/>
            <w:hideMark/>
          </w:tcPr>
          <w:p w14:paraId="29EBFFB0"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5DBCB92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2,67%</w:t>
            </w:r>
          </w:p>
        </w:tc>
        <w:tc>
          <w:tcPr>
            <w:tcW w:w="170" w:type="pct"/>
            <w:tcBorders>
              <w:top w:val="nil"/>
              <w:left w:val="nil"/>
              <w:bottom w:val="nil"/>
              <w:right w:val="nil"/>
            </w:tcBorders>
            <w:shd w:val="clear" w:color="auto" w:fill="auto"/>
            <w:noWrap/>
            <w:vAlign w:val="bottom"/>
            <w:hideMark/>
          </w:tcPr>
          <w:p w14:paraId="2C192D65"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5CEF560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1,89</w:t>
            </w:r>
            <w:r w:rsidRPr="00AE4E8D">
              <w:rPr>
                <w:rFonts w:ascii="Times New Roman" w:hAnsi="Times New Roman"/>
                <w:color w:val="000000"/>
                <w:sz w:val="14"/>
                <w:lang w:val="es-ES"/>
              </w:rPr>
              <w:t>%</w:t>
            </w:r>
          </w:p>
        </w:tc>
      </w:tr>
      <w:tr w:rsidR="0062499A" w:rsidRPr="00AE4E8D" w14:paraId="0804B265" w14:textId="77777777" w:rsidTr="000400C8">
        <w:trPr>
          <w:trHeight w:val="300"/>
        </w:trPr>
        <w:tc>
          <w:tcPr>
            <w:tcW w:w="451" w:type="pct"/>
            <w:tcBorders>
              <w:top w:val="nil"/>
              <w:left w:val="nil"/>
              <w:bottom w:val="nil"/>
              <w:right w:val="nil"/>
            </w:tcBorders>
            <w:shd w:val="clear" w:color="auto" w:fill="auto"/>
            <w:noWrap/>
            <w:vAlign w:val="center"/>
            <w:hideMark/>
          </w:tcPr>
          <w:p w14:paraId="7C4901E3"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8</w:t>
            </w:r>
          </w:p>
        </w:tc>
        <w:tc>
          <w:tcPr>
            <w:tcW w:w="1401" w:type="pct"/>
            <w:tcBorders>
              <w:top w:val="nil"/>
              <w:left w:val="nil"/>
              <w:bottom w:val="nil"/>
              <w:right w:val="nil"/>
            </w:tcBorders>
            <w:shd w:val="clear" w:color="auto" w:fill="auto"/>
            <w:vAlign w:val="center"/>
            <w:hideMark/>
          </w:tcPr>
          <w:p w14:paraId="17DA58AE" w14:textId="77777777" w:rsidR="0062499A" w:rsidRPr="00AE4E8D" w:rsidRDefault="000604B3"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Banco de la Ciudad de Buenos Aires</w:t>
            </w:r>
          </w:p>
        </w:tc>
        <w:tc>
          <w:tcPr>
            <w:tcW w:w="926" w:type="pct"/>
            <w:tcBorders>
              <w:top w:val="nil"/>
              <w:left w:val="nil"/>
              <w:bottom w:val="nil"/>
              <w:right w:val="nil"/>
            </w:tcBorders>
            <w:shd w:val="clear" w:color="auto" w:fill="auto"/>
            <w:vAlign w:val="center"/>
            <w:hideMark/>
          </w:tcPr>
          <w:p w14:paraId="2E88BE6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2,12%</w:t>
            </w:r>
          </w:p>
        </w:tc>
        <w:tc>
          <w:tcPr>
            <w:tcW w:w="201" w:type="pct"/>
            <w:tcBorders>
              <w:top w:val="nil"/>
              <w:left w:val="nil"/>
              <w:bottom w:val="nil"/>
              <w:right w:val="nil"/>
            </w:tcBorders>
            <w:shd w:val="clear" w:color="auto" w:fill="auto"/>
            <w:vAlign w:val="bottom"/>
            <w:hideMark/>
          </w:tcPr>
          <w:p w14:paraId="4EFCB820"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50308D7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2,37%</w:t>
            </w:r>
          </w:p>
        </w:tc>
        <w:tc>
          <w:tcPr>
            <w:tcW w:w="170" w:type="pct"/>
            <w:tcBorders>
              <w:top w:val="nil"/>
              <w:left w:val="nil"/>
              <w:bottom w:val="nil"/>
              <w:right w:val="nil"/>
            </w:tcBorders>
            <w:shd w:val="clear" w:color="auto" w:fill="auto"/>
            <w:noWrap/>
            <w:vAlign w:val="bottom"/>
            <w:hideMark/>
          </w:tcPr>
          <w:p w14:paraId="71B13439"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362D6EE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eastAsia="es-AR"/>
              </w:rPr>
              <w:t>21</w:t>
            </w:r>
            <w:r w:rsidRPr="00AE4E8D">
              <w:rPr>
                <w:rFonts w:ascii="Times New Roman" w:hAnsi="Times New Roman"/>
                <w:color w:val="000000"/>
                <w:sz w:val="14"/>
                <w:lang w:val="es-ES"/>
              </w:rPr>
              <w:t>%</w:t>
            </w:r>
          </w:p>
        </w:tc>
      </w:tr>
      <w:tr w:rsidR="0062499A" w:rsidRPr="00AE4E8D" w14:paraId="64D76DE5" w14:textId="77777777" w:rsidTr="000400C8">
        <w:trPr>
          <w:trHeight w:val="540"/>
        </w:trPr>
        <w:tc>
          <w:tcPr>
            <w:tcW w:w="451" w:type="pct"/>
            <w:tcBorders>
              <w:top w:val="nil"/>
              <w:left w:val="nil"/>
              <w:bottom w:val="nil"/>
              <w:right w:val="nil"/>
            </w:tcBorders>
            <w:shd w:val="clear" w:color="auto" w:fill="auto"/>
            <w:noWrap/>
            <w:vAlign w:val="center"/>
            <w:hideMark/>
          </w:tcPr>
          <w:p w14:paraId="373C86B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9</w:t>
            </w:r>
          </w:p>
        </w:tc>
        <w:tc>
          <w:tcPr>
            <w:tcW w:w="1401" w:type="pct"/>
            <w:tcBorders>
              <w:top w:val="nil"/>
              <w:left w:val="nil"/>
              <w:bottom w:val="nil"/>
              <w:right w:val="nil"/>
            </w:tcBorders>
            <w:shd w:val="clear" w:color="auto" w:fill="auto"/>
            <w:vAlign w:val="center"/>
            <w:hideMark/>
          </w:tcPr>
          <w:p w14:paraId="2807D80B" w14:textId="77777777" w:rsidR="0062499A" w:rsidRPr="00AE4E8D" w:rsidRDefault="000604B3"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Industrial and Commercial Bank of China (Argentina) S.A.</w:t>
            </w:r>
          </w:p>
        </w:tc>
        <w:tc>
          <w:tcPr>
            <w:tcW w:w="926" w:type="pct"/>
            <w:tcBorders>
              <w:top w:val="nil"/>
              <w:left w:val="nil"/>
              <w:bottom w:val="nil"/>
              <w:right w:val="nil"/>
            </w:tcBorders>
            <w:shd w:val="clear" w:color="auto" w:fill="auto"/>
            <w:vAlign w:val="center"/>
            <w:hideMark/>
          </w:tcPr>
          <w:p w14:paraId="4FF7EA1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4,72%</w:t>
            </w:r>
          </w:p>
        </w:tc>
        <w:tc>
          <w:tcPr>
            <w:tcW w:w="201" w:type="pct"/>
            <w:tcBorders>
              <w:top w:val="nil"/>
              <w:left w:val="nil"/>
              <w:bottom w:val="nil"/>
              <w:right w:val="nil"/>
            </w:tcBorders>
            <w:shd w:val="clear" w:color="auto" w:fill="auto"/>
            <w:vAlign w:val="center"/>
            <w:hideMark/>
          </w:tcPr>
          <w:p w14:paraId="74DD9614"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73D36FE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4,26%</w:t>
            </w:r>
          </w:p>
        </w:tc>
        <w:tc>
          <w:tcPr>
            <w:tcW w:w="170" w:type="pct"/>
            <w:tcBorders>
              <w:top w:val="nil"/>
              <w:left w:val="nil"/>
              <w:bottom w:val="nil"/>
              <w:right w:val="nil"/>
            </w:tcBorders>
            <w:shd w:val="clear" w:color="auto" w:fill="auto"/>
            <w:noWrap/>
            <w:vAlign w:val="bottom"/>
            <w:hideMark/>
          </w:tcPr>
          <w:p w14:paraId="1178EDD4"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674889B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3,66</w:t>
            </w:r>
            <w:r w:rsidRPr="00AE4E8D">
              <w:rPr>
                <w:rFonts w:ascii="Times New Roman" w:hAnsi="Times New Roman"/>
                <w:color w:val="000000"/>
                <w:sz w:val="14"/>
                <w:lang w:val="es-ES"/>
              </w:rPr>
              <w:t>%</w:t>
            </w:r>
          </w:p>
        </w:tc>
      </w:tr>
      <w:tr w:rsidR="0062499A" w:rsidRPr="00AE4E8D" w14:paraId="0E8F1DC3" w14:textId="77777777" w:rsidTr="000400C8">
        <w:trPr>
          <w:trHeight w:val="300"/>
        </w:trPr>
        <w:tc>
          <w:tcPr>
            <w:tcW w:w="451" w:type="pct"/>
            <w:tcBorders>
              <w:top w:val="nil"/>
              <w:left w:val="nil"/>
              <w:bottom w:val="nil"/>
              <w:right w:val="nil"/>
            </w:tcBorders>
            <w:shd w:val="clear" w:color="auto" w:fill="auto"/>
            <w:noWrap/>
            <w:vAlign w:val="center"/>
            <w:hideMark/>
          </w:tcPr>
          <w:p w14:paraId="379FCA2D"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10</w:t>
            </w:r>
          </w:p>
        </w:tc>
        <w:tc>
          <w:tcPr>
            <w:tcW w:w="1401" w:type="pct"/>
            <w:tcBorders>
              <w:top w:val="nil"/>
              <w:left w:val="nil"/>
              <w:bottom w:val="nil"/>
              <w:right w:val="nil"/>
            </w:tcBorders>
            <w:shd w:val="clear" w:color="auto" w:fill="auto"/>
            <w:vAlign w:val="center"/>
            <w:hideMark/>
          </w:tcPr>
          <w:p w14:paraId="081BEDFA" w14:textId="77777777" w:rsidR="0062499A" w:rsidRPr="00AE4E8D" w:rsidRDefault="00541BD2"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Patagonia</w:t>
            </w:r>
            <w:r w:rsidR="00713D68" w:rsidRPr="00AE4E8D">
              <w:rPr>
                <w:rFonts w:ascii="Times New Roman" w:hAnsi="Times New Roman"/>
                <w:color w:val="000000"/>
                <w:sz w:val="14"/>
                <w:szCs w:val="14"/>
                <w:lang w:val="en-US" w:eastAsia="es-AR"/>
              </w:rPr>
              <w:t xml:space="preserve"> S.A.</w:t>
            </w:r>
          </w:p>
        </w:tc>
        <w:tc>
          <w:tcPr>
            <w:tcW w:w="926" w:type="pct"/>
            <w:tcBorders>
              <w:top w:val="nil"/>
              <w:left w:val="nil"/>
              <w:bottom w:val="nil"/>
              <w:right w:val="nil"/>
            </w:tcBorders>
            <w:shd w:val="clear" w:color="auto" w:fill="auto"/>
            <w:vAlign w:val="center"/>
            <w:hideMark/>
          </w:tcPr>
          <w:p w14:paraId="32854A3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5,25%</w:t>
            </w:r>
          </w:p>
        </w:tc>
        <w:tc>
          <w:tcPr>
            <w:tcW w:w="201" w:type="pct"/>
            <w:tcBorders>
              <w:top w:val="nil"/>
              <w:left w:val="nil"/>
              <w:bottom w:val="nil"/>
              <w:right w:val="nil"/>
            </w:tcBorders>
            <w:shd w:val="clear" w:color="auto" w:fill="auto"/>
            <w:vAlign w:val="bottom"/>
            <w:hideMark/>
          </w:tcPr>
          <w:p w14:paraId="3E7C0062"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36278D7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5,51%</w:t>
            </w:r>
          </w:p>
        </w:tc>
        <w:tc>
          <w:tcPr>
            <w:tcW w:w="170" w:type="pct"/>
            <w:tcBorders>
              <w:top w:val="nil"/>
              <w:left w:val="nil"/>
              <w:bottom w:val="nil"/>
              <w:right w:val="nil"/>
            </w:tcBorders>
            <w:shd w:val="clear" w:color="auto" w:fill="auto"/>
            <w:noWrap/>
            <w:vAlign w:val="bottom"/>
            <w:hideMark/>
          </w:tcPr>
          <w:p w14:paraId="266BBEBE"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0E8139B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5,15</w:t>
            </w:r>
            <w:r w:rsidRPr="00AE4E8D">
              <w:rPr>
                <w:rFonts w:ascii="Times New Roman" w:hAnsi="Times New Roman"/>
                <w:color w:val="000000"/>
                <w:sz w:val="14"/>
                <w:lang w:val="es-ES"/>
              </w:rPr>
              <w:t>%</w:t>
            </w:r>
          </w:p>
        </w:tc>
      </w:tr>
      <w:tr w:rsidR="0062499A" w:rsidRPr="00AE4E8D" w14:paraId="7DBB0AF5" w14:textId="77777777" w:rsidTr="000400C8">
        <w:trPr>
          <w:trHeight w:val="360"/>
        </w:trPr>
        <w:tc>
          <w:tcPr>
            <w:tcW w:w="451" w:type="pct"/>
            <w:tcBorders>
              <w:top w:val="nil"/>
              <w:left w:val="nil"/>
              <w:bottom w:val="nil"/>
              <w:right w:val="nil"/>
            </w:tcBorders>
            <w:shd w:val="clear" w:color="auto" w:fill="auto"/>
            <w:noWrap/>
            <w:vAlign w:val="bottom"/>
            <w:hideMark/>
          </w:tcPr>
          <w:p w14:paraId="237568E1" w14:textId="77777777" w:rsidR="0062499A" w:rsidRPr="00AE4E8D" w:rsidRDefault="0062499A" w:rsidP="00241071">
            <w:pPr>
              <w:rPr>
                <w:rFonts w:ascii="Times New Roman" w:hAnsi="Times New Roman"/>
                <w:color w:val="000000"/>
                <w:lang w:val="es-ES"/>
              </w:rPr>
            </w:pPr>
          </w:p>
        </w:tc>
        <w:tc>
          <w:tcPr>
            <w:tcW w:w="1401" w:type="pct"/>
            <w:tcBorders>
              <w:top w:val="nil"/>
              <w:left w:val="nil"/>
              <w:bottom w:val="nil"/>
              <w:right w:val="nil"/>
            </w:tcBorders>
            <w:shd w:val="clear" w:color="auto" w:fill="auto"/>
            <w:vAlign w:val="center"/>
            <w:hideMark/>
          </w:tcPr>
          <w:p w14:paraId="6A454B90"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Promedio para los 10 bancos</w:t>
            </w:r>
          </w:p>
        </w:tc>
        <w:tc>
          <w:tcPr>
            <w:tcW w:w="926" w:type="pct"/>
            <w:tcBorders>
              <w:top w:val="nil"/>
              <w:left w:val="nil"/>
              <w:bottom w:val="nil"/>
              <w:right w:val="nil"/>
            </w:tcBorders>
            <w:shd w:val="clear" w:color="auto" w:fill="auto"/>
            <w:vAlign w:val="center"/>
            <w:hideMark/>
          </w:tcPr>
          <w:p w14:paraId="7F70CC9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3,89%</w:t>
            </w:r>
          </w:p>
        </w:tc>
        <w:tc>
          <w:tcPr>
            <w:tcW w:w="201" w:type="pct"/>
            <w:tcBorders>
              <w:top w:val="nil"/>
              <w:left w:val="nil"/>
              <w:bottom w:val="nil"/>
              <w:right w:val="nil"/>
            </w:tcBorders>
            <w:shd w:val="clear" w:color="auto" w:fill="auto"/>
            <w:vAlign w:val="bottom"/>
            <w:hideMark/>
          </w:tcPr>
          <w:p w14:paraId="2566CC86"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noWrap/>
            <w:vAlign w:val="center"/>
            <w:hideMark/>
          </w:tcPr>
          <w:p w14:paraId="73C105B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3,59%</w:t>
            </w:r>
          </w:p>
        </w:tc>
        <w:tc>
          <w:tcPr>
            <w:tcW w:w="170" w:type="pct"/>
            <w:tcBorders>
              <w:top w:val="nil"/>
              <w:left w:val="nil"/>
              <w:bottom w:val="nil"/>
              <w:right w:val="nil"/>
            </w:tcBorders>
            <w:shd w:val="clear" w:color="auto" w:fill="auto"/>
            <w:vAlign w:val="bottom"/>
            <w:hideMark/>
          </w:tcPr>
          <w:p w14:paraId="4F056A44" w14:textId="77777777" w:rsidR="0062499A" w:rsidRPr="00AE4E8D" w:rsidRDefault="0062499A" w:rsidP="0062499A">
            <w:pPr>
              <w:rPr>
                <w:rFonts w:ascii="Times New Roman" w:hAnsi="Times New Roman"/>
                <w:color w:val="000000"/>
                <w:lang w:val="es-ES"/>
              </w:rPr>
            </w:pPr>
          </w:p>
        </w:tc>
        <w:tc>
          <w:tcPr>
            <w:tcW w:w="925" w:type="pct"/>
            <w:tcBorders>
              <w:top w:val="nil"/>
              <w:left w:val="nil"/>
              <w:bottom w:val="nil"/>
              <w:right w:val="nil"/>
            </w:tcBorders>
            <w:shd w:val="clear" w:color="auto" w:fill="auto"/>
            <w:vAlign w:val="center"/>
            <w:hideMark/>
          </w:tcPr>
          <w:p w14:paraId="1DCA877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28</w:t>
            </w:r>
            <w:r w:rsidRPr="00AE4E8D">
              <w:rPr>
                <w:rFonts w:ascii="Times New Roman" w:hAnsi="Times New Roman"/>
                <w:color w:val="000000"/>
                <w:sz w:val="14"/>
                <w:lang w:val="es-ES"/>
              </w:rPr>
              <w:t>%</w:t>
            </w:r>
          </w:p>
        </w:tc>
      </w:tr>
      <w:tr w:rsidR="0062499A" w:rsidRPr="00AE4E8D" w14:paraId="5762EC5F" w14:textId="77777777" w:rsidTr="000400C8">
        <w:trPr>
          <w:trHeight w:val="300"/>
        </w:trPr>
        <w:tc>
          <w:tcPr>
            <w:tcW w:w="451" w:type="pct"/>
            <w:tcBorders>
              <w:top w:val="nil"/>
              <w:left w:val="nil"/>
              <w:bottom w:val="nil"/>
              <w:right w:val="nil"/>
            </w:tcBorders>
            <w:shd w:val="clear" w:color="auto" w:fill="auto"/>
            <w:noWrap/>
            <w:vAlign w:val="center"/>
            <w:hideMark/>
          </w:tcPr>
          <w:p w14:paraId="0BA06473"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13</w:t>
            </w:r>
          </w:p>
        </w:tc>
        <w:tc>
          <w:tcPr>
            <w:tcW w:w="1401" w:type="pct"/>
            <w:tcBorders>
              <w:top w:val="nil"/>
              <w:left w:val="nil"/>
              <w:bottom w:val="nil"/>
              <w:right w:val="nil"/>
            </w:tcBorders>
            <w:shd w:val="clear" w:color="auto" w:fill="auto"/>
            <w:vAlign w:val="center"/>
            <w:hideMark/>
          </w:tcPr>
          <w:p w14:paraId="233A449B" w14:textId="77777777" w:rsidR="0062499A" w:rsidRPr="00AE4E8D" w:rsidRDefault="00541BD2" w:rsidP="0062499A">
            <w:pPr>
              <w:jc w:val="both"/>
              <w:rPr>
                <w:rFonts w:ascii="Times New Roman" w:hAnsi="Times New Roman"/>
                <w:b/>
                <w:color w:val="000000"/>
                <w:sz w:val="14"/>
                <w:lang w:val="es-ES"/>
              </w:rPr>
            </w:pPr>
            <w:r w:rsidRPr="00AE4E8D">
              <w:rPr>
                <w:rFonts w:ascii="Times New Roman" w:hAnsi="Times New Roman"/>
                <w:b/>
                <w:bCs/>
                <w:color w:val="000000"/>
                <w:sz w:val="14"/>
                <w:szCs w:val="14"/>
                <w:lang w:val="es-ES" w:eastAsia="es-AR"/>
              </w:rPr>
              <w:t xml:space="preserve">Banco </w:t>
            </w:r>
            <w:r w:rsidR="0062499A" w:rsidRPr="00AE4E8D">
              <w:rPr>
                <w:rFonts w:ascii="Times New Roman" w:hAnsi="Times New Roman"/>
                <w:b/>
                <w:bCs/>
                <w:color w:val="000000"/>
                <w:sz w:val="14"/>
                <w:szCs w:val="14"/>
                <w:lang w:val="es-ES" w:eastAsia="es-AR"/>
              </w:rPr>
              <w:t>Hipotecario</w:t>
            </w:r>
            <w:r w:rsidR="00713D68" w:rsidRPr="00AE4E8D">
              <w:rPr>
                <w:rFonts w:ascii="Times New Roman" w:hAnsi="Times New Roman"/>
                <w:color w:val="000000"/>
                <w:sz w:val="14"/>
                <w:szCs w:val="14"/>
                <w:lang w:val="en-US" w:eastAsia="es-AR"/>
              </w:rPr>
              <w:t xml:space="preserve"> </w:t>
            </w:r>
            <w:r w:rsidR="00713D68" w:rsidRPr="00AE4E8D">
              <w:rPr>
                <w:rFonts w:ascii="Times New Roman" w:hAnsi="Times New Roman"/>
                <w:b/>
                <w:color w:val="000000"/>
                <w:sz w:val="14"/>
                <w:szCs w:val="14"/>
                <w:lang w:val="en-US" w:eastAsia="es-AR"/>
              </w:rPr>
              <w:t>S.A.</w:t>
            </w:r>
          </w:p>
        </w:tc>
        <w:tc>
          <w:tcPr>
            <w:tcW w:w="926" w:type="pct"/>
            <w:tcBorders>
              <w:top w:val="nil"/>
              <w:left w:val="nil"/>
              <w:bottom w:val="nil"/>
              <w:right w:val="nil"/>
            </w:tcBorders>
            <w:shd w:val="clear" w:color="auto" w:fill="auto"/>
            <w:vAlign w:val="center"/>
            <w:hideMark/>
          </w:tcPr>
          <w:p w14:paraId="0D66A3F6"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3,57%</w:t>
            </w:r>
          </w:p>
        </w:tc>
        <w:tc>
          <w:tcPr>
            <w:tcW w:w="201" w:type="pct"/>
            <w:tcBorders>
              <w:top w:val="nil"/>
              <w:left w:val="nil"/>
              <w:bottom w:val="nil"/>
              <w:right w:val="nil"/>
            </w:tcBorders>
            <w:shd w:val="clear" w:color="auto" w:fill="auto"/>
            <w:vAlign w:val="bottom"/>
            <w:hideMark/>
          </w:tcPr>
          <w:p w14:paraId="35ACC9F1"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40CBF785"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1,61%</w:t>
            </w:r>
          </w:p>
        </w:tc>
        <w:tc>
          <w:tcPr>
            <w:tcW w:w="170" w:type="pct"/>
            <w:tcBorders>
              <w:top w:val="nil"/>
              <w:left w:val="nil"/>
              <w:bottom w:val="nil"/>
              <w:right w:val="nil"/>
            </w:tcBorders>
            <w:shd w:val="clear" w:color="auto" w:fill="auto"/>
            <w:noWrap/>
            <w:vAlign w:val="bottom"/>
            <w:hideMark/>
          </w:tcPr>
          <w:p w14:paraId="6BE38267"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vAlign w:val="center"/>
            <w:hideMark/>
          </w:tcPr>
          <w:p w14:paraId="120EA880"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color w:val="000000"/>
                <w:sz w:val="14"/>
                <w:lang w:val="es-ES"/>
              </w:rPr>
              <w:t>1,</w:t>
            </w:r>
            <w:r w:rsidRPr="00AE4E8D">
              <w:rPr>
                <w:rFonts w:ascii="Times New Roman" w:hAnsi="Times New Roman"/>
                <w:b/>
                <w:bCs/>
                <w:color w:val="000000"/>
                <w:sz w:val="14"/>
                <w:szCs w:val="14"/>
                <w:lang w:val="es-ES" w:eastAsia="es-AR"/>
              </w:rPr>
              <w:t>86</w:t>
            </w:r>
            <w:r w:rsidRPr="00AE4E8D">
              <w:rPr>
                <w:rFonts w:ascii="Times New Roman" w:hAnsi="Times New Roman"/>
                <w:b/>
                <w:color w:val="000000"/>
                <w:sz w:val="14"/>
                <w:lang w:val="es-ES"/>
              </w:rPr>
              <w:t>%</w:t>
            </w:r>
          </w:p>
        </w:tc>
      </w:tr>
      <w:tr w:rsidR="0062499A" w:rsidRPr="00AE4E8D" w14:paraId="0234740E" w14:textId="77777777" w:rsidTr="000400C8">
        <w:trPr>
          <w:trHeight w:val="540"/>
        </w:trPr>
        <w:tc>
          <w:tcPr>
            <w:tcW w:w="451" w:type="pct"/>
            <w:tcBorders>
              <w:top w:val="nil"/>
              <w:left w:val="nil"/>
              <w:bottom w:val="nil"/>
              <w:right w:val="nil"/>
            </w:tcBorders>
            <w:shd w:val="clear" w:color="auto" w:fill="auto"/>
            <w:noWrap/>
            <w:vAlign w:val="bottom"/>
            <w:hideMark/>
          </w:tcPr>
          <w:p w14:paraId="0912E95B" w14:textId="77777777" w:rsidR="0062499A" w:rsidRPr="00AE4E8D" w:rsidRDefault="0062499A" w:rsidP="0062499A">
            <w:pPr>
              <w:rPr>
                <w:rFonts w:ascii="Times New Roman" w:hAnsi="Times New Roman"/>
                <w:color w:val="000000"/>
                <w:lang w:val="es-ES"/>
              </w:rPr>
            </w:pPr>
          </w:p>
        </w:tc>
        <w:tc>
          <w:tcPr>
            <w:tcW w:w="1401" w:type="pct"/>
            <w:tcBorders>
              <w:top w:val="nil"/>
              <w:left w:val="nil"/>
              <w:bottom w:val="nil"/>
              <w:right w:val="nil"/>
            </w:tcBorders>
            <w:shd w:val="clear" w:color="auto" w:fill="auto"/>
            <w:vAlign w:val="center"/>
            <w:hideMark/>
          </w:tcPr>
          <w:p w14:paraId="358F10AA" w14:textId="77777777" w:rsidR="0062499A" w:rsidRPr="00AE4E8D" w:rsidRDefault="0062499A" w:rsidP="0062499A">
            <w:pPr>
              <w:rPr>
                <w:rFonts w:ascii="Times New Roman" w:hAnsi="Times New Roman"/>
                <w:color w:val="000000"/>
                <w:sz w:val="14"/>
                <w:lang w:val="es-ES"/>
              </w:rPr>
            </w:pPr>
            <w:r w:rsidRPr="00AE4E8D">
              <w:rPr>
                <w:rFonts w:ascii="Times New Roman" w:hAnsi="Times New Roman"/>
                <w:color w:val="000000"/>
                <w:sz w:val="14"/>
                <w:szCs w:val="14"/>
                <w:lang w:val="es-ES" w:eastAsia="es-AR"/>
              </w:rPr>
              <w:t>Sistema financiero argentino</w:t>
            </w:r>
          </w:p>
        </w:tc>
        <w:tc>
          <w:tcPr>
            <w:tcW w:w="926" w:type="pct"/>
            <w:tcBorders>
              <w:top w:val="nil"/>
              <w:left w:val="nil"/>
              <w:bottom w:val="nil"/>
              <w:right w:val="nil"/>
            </w:tcBorders>
            <w:shd w:val="clear" w:color="auto" w:fill="auto"/>
            <w:noWrap/>
            <w:vAlign w:val="center"/>
            <w:hideMark/>
          </w:tcPr>
          <w:p w14:paraId="4C7F23F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4,23%</w:t>
            </w:r>
          </w:p>
        </w:tc>
        <w:tc>
          <w:tcPr>
            <w:tcW w:w="201" w:type="pct"/>
            <w:tcBorders>
              <w:top w:val="nil"/>
              <w:left w:val="nil"/>
              <w:bottom w:val="nil"/>
              <w:right w:val="nil"/>
            </w:tcBorders>
            <w:shd w:val="clear" w:color="auto" w:fill="auto"/>
            <w:noWrap/>
            <w:vAlign w:val="bottom"/>
            <w:hideMark/>
          </w:tcPr>
          <w:p w14:paraId="4493D59B" w14:textId="77777777" w:rsidR="0062499A" w:rsidRPr="00AE4E8D" w:rsidRDefault="0062499A" w:rsidP="0062499A">
            <w:pPr>
              <w:rPr>
                <w:rFonts w:ascii="Times New Roman" w:hAnsi="Times New Roman"/>
                <w:color w:val="000000"/>
                <w:lang w:val="es-ES"/>
              </w:rPr>
            </w:pPr>
          </w:p>
        </w:tc>
        <w:tc>
          <w:tcPr>
            <w:tcW w:w="926" w:type="pct"/>
            <w:tcBorders>
              <w:top w:val="nil"/>
              <w:left w:val="nil"/>
              <w:bottom w:val="nil"/>
              <w:right w:val="nil"/>
            </w:tcBorders>
            <w:shd w:val="clear" w:color="auto" w:fill="auto"/>
            <w:vAlign w:val="center"/>
            <w:hideMark/>
          </w:tcPr>
          <w:p w14:paraId="7676867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3,81%</w:t>
            </w:r>
          </w:p>
        </w:tc>
        <w:tc>
          <w:tcPr>
            <w:tcW w:w="170" w:type="pct"/>
            <w:tcBorders>
              <w:top w:val="nil"/>
              <w:left w:val="nil"/>
              <w:bottom w:val="nil"/>
              <w:right w:val="nil"/>
            </w:tcBorders>
            <w:shd w:val="clear" w:color="auto" w:fill="auto"/>
            <w:noWrap/>
            <w:vAlign w:val="bottom"/>
            <w:hideMark/>
          </w:tcPr>
          <w:p w14:paraId="3C11069A" w14:textId="77777777" w:rsidR="0062499A" w:rsidRPr="00AE4E8D" w:rsidRDefault="0062499A" w:rsidP="0062499A">
            <w:pPr>
              <w:rPr>
                <w:rFonts w:ascii="Times New Roman" w:hAnsi="Times New Roman"/>
                <w:color w:val="000000"/>
                <w:sz w:val="22"/>
                <w:lang w:val="es-ES"/>
              </w:rPr>
            </w:pPr>
          </w:p>
        </w:tc>
        <w:tc>
          <w:tcPr>
            <w:tcW w:w="925" w:type="pct"/>
            <w:tcBorders>
              <w:top w:val="nil"/>
              <w:left w:val="nil"/>
              <w:bottom w:val="nil"/>
              <w:right w:val="nil"/>
            </w:tcBorders>
            <w:shd w:val="clear" w:color="auto" w:fill="auto"/>
            <w:noWrap/>
            <w:vAlign w:val="center"/>
            <w:hideMark/>
          </w:tcPr>
          <w:p w14:paraId="7437228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42</w:t>
            </w:r>
            <w:r w:rsidRPr="00AE4E8D">
              <w:rPr>
                <w:rFonts w:ascii="Times New Roman" w:hAnsi="Times New Roman"/>
                <w:color w:val="000000"/>
                <w:sz w:val="14"/>
                <w:lang w:val="es-ES"/>
              </w:rPr>
              <w:t>%</w:t>
            </w:r>
          </w:p>
        </w:tc>
      </w:tr>
    </w:tbl>
    <w:p w14:paraId="3154FCDA" w14:textId="77777777" w:rsidR="008C50B4" w:rsidRPr="00AE4E8D" w:rsidRDefault="002F1CED" w:rsidP="008C50B4">
      <w:pPr>
        <w:autoSpaceDE w:val="0"/>
        <w:autoSpaceDN w:val="0"/>
        <w:adjustRightInd w:val="0"/>
        <w:spacing w:after="240"/>
        <w:rPr>
          <w:rFonts w:ascii="Times New Roman" w:hAnsi="Times New Roman"/>
          <w:sz w:val="16"/>
          <w:lang w:val="es-ES"/>
        </w:rPr>
      </w:pPr>
      <w:r w:rsidRPr="00AE4E8D" w:rsidDel="002F1CED">
        <w:rPr>
          <w:rFonts w:ascii="Times New Roman" w:hAnsi="Times New Roman"/>
          <w:lang w:val="es-ES"/>
        </w:rPr>
        <w:t xml:space="preserve"> </w:t>
      </w:r>
      <w:r w:rsidR="008C50B4" w:rsidRPr="00AE4E8D">
        <w:rPr>
          <w:rFonts w:ascii="Times New Roman" w:hAnsi="Times New Roman"/>
          <w:sz w:val="16"/>
          <w:lang w:val="es-ES"/>
        </w:rPr>
        <w:t>(*) Fuente: BCRA.</w:t>
      </w:r>
    </w:p>
    <w:p w14:paraId="247500C7" w14:textId="77777777" w:rsidR="008C50B4" w:rsidRPr="00AE4E8D" w:rsidRDefault="008C50B4" w:rsidP="008C50B4">
      <w:pPr>
        <w:keepNext/>
        <w:autoSpaceDE w:val="0"/>
        <w:autoSpaceDN w:val="0"/>
        <w:adjustRightInd w:val="0"/>
        <w:spacing w:before="240" w:after="240"/>
        <w:outlineLvl w:val="1"/>
        <w:rPr>
          <w:rFonts w:ascii="Times New Roman" w:hAnsi="Times New Roman"/>
          <w:b/>
          <w:lang w:val="es-ES"/>
        </w:rPr>
      </w:pPr>
      <w:bookmarkStart w:id="584" w:name="_Toc495973035"/>
      <w:bookmarkStart w:id="585" w:name="_Toc495399942"/>
      <w:r w:rsidRPr="00AE4E8D">
        <w:rPr>
          <w:rFonts w:ascii="Times New Roman" w:hAnsi="Times New Roman"/>
          <w:b/>
          <w:lang w:val="es-ES"/>
        </w:rPr>
        <w:t>Retorno sobre Patrimonio Neto</w:t>
      </w:r>
      <w:bookmarkEnd w:id="584"/>
      <w:bookmarkEnd w:id="585"/>
    </w:p>
    <w:p w14:paraId="37ABAB02" w14:textId="77777777" w:rsidR="008C50B4" w:rsidRPr="00AE4E8D" w:rsidRDefault="008C50B4" w:rsidP="008C50B4">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La siguiente tabla muestra el retorno sobre patrimonio neto (no consolidados) para los diez bancos más grandes del sistema financiero argentino a las fechas indicadas: </w:t>
      </w:r>
    </w:p>
    <w:tbl>
      <w:tblPr>
        <w:tblW w:w="5000" w:type="pct"/>
        <w:tblCellMar>
          <w:left w:w="70" w:type="dxa"/>
          <w:right w:w="70" w:type="dxa"/>
        </w:tblCellMar>
        <w:tblLook w:val="04A0" w:firstRow="1" w:lastRow="0" w:firstColumn="1" w:lastColumn="0" w:noHBand="0" w:noVBand="1"/>
      </w:tblPr>
      <w:tblGrid>
        <w:gridCol w:w="780"/>
        <w:gridCol w:w="2410"/>
        <w:gridCol w:w="1483"/>
        <w:gridCol w:w="415"/>
        <w:gridCol w:w="1558"/>
        <w:gridCol w:w="441"/>
        <w:gridCol w:w="1558"/>
      </w:tblGrid>
      <w:tr w:rsidR="003B5193" w:rsidRPr="00AE4E8D" w14:paraId="552B9F24" w14:textId="77777777" w:rsidTr="000400C8">
        <w:trPr>
          <w:trHeight w:val="315"/>
        </w:trPr>
        <w:tc>
          <w:tcPr>
            <w:tcW w:w="451" w:type="pct"/>
            <w:vMerge w:val="restart"/>
            <w:tcBorders>
              <w:top w:val="nil"/>
              <w:left w:val="nil"/>
              <w:bottom w:val="nil"/>
              <w:right w:val="nil"/>
            </w:tcBorders>
            <w:shd w:val="clear" w:color="auto" w:fill="auto"/>
            <w:vAlign w:val="center"/>
            <w:hideMark/>
          </w:tcPr>
          <w:p w14:paraId="4FCC47F6"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Ranking por Préstamos</w:t>
            </w:r>
          </w:p>
        </w:tc>
        <w:tc>
          <w:tcPr>
            <w:tcW w:w="1394" w:type="pct"/>
            <w:vMerge w:val="restart"/>
            <w:tcBorders>
              <w:top w:val="nil"/>
              <w:left w:val="nil"/>
              <w:bottom w:val="nil"/>
              <w:right w:val="nil"/>
            </w:tcBorders>
            <w:shd w:val="clear" w:color="auto" w:fill="auto"/>
            <w:vAlign w:val="center"/>
            <w:hideMark/>
          </w:tcPr>
          <w:p w14:paraId="6AF19935"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Banco</w:t>
            </w:r>
          </w:p>
        </w:tc>
        <w:tc>
          <w:tcPr>
            <w:tcW w:w="1999" w:type="pct"/>
            <w:gridSpan w:val="3"/>
            <w:tcBorders>
              <w:top w:val="nil"/>
              <w:left w:val="nil"/>
              <w:bottom w:val="single" w:sz="8" w:space="0" w:color="auto"/>
              <w:right w:val="nil"/>
            </w:tcBorders>
            <w:shd w:val="clear" w:color="auto" w:fill="auto"/>
            <w:vAlign w:val="center"/>
            <w:hideMark/>
          </w:tcPr>
          <w:p w14:paraId="518F7539"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Al 31 de diciembre,</w:t>
            </w:r>
          </w:p>
        </w:tc>
        <w:tc>
          <w:tcPr>
            <w:tcW w:w="255" w:type="pct"/>
            <w:tcBorders>
              <w:top w:val="nil"/>
              <w:left w:val="nil"/>
              <w:bottom w:val="nil"/>
              <w:right w:val="nil"/>
            </w:tcBorders>
            <w:shd w:val="clear" w:color="auto" w:fill="auto"/>
            <w:vAlign w:val="center"/>
            <w:hideMark/>
          </w:tcPr>
          <w:p w14:paraId="0790E600" w14:textId="77777777" w:rsidR="0062499A" w:rsidRPr="00AE4E8D" w:rsidRDefault="0062499A" w:rsidP="0062499A">
            <w:pPr>
              <w:rPr>
                <w:rFonts w:ascii="Times New Roman" w:hAnsi="Times New Roman"/>
                <w:b/>
                <w:bCs/>
                <w:color w:val="000000"/>
                <w:sz w:val="14"/>
                <w:szCs w:val="14"/>
                <w:lang w:val="es-ES" w:eastAsia="es-AR"/>
              </w:rPr>
            </w:pPr>
          </w:p>
        </w:tc>
        <w:tc>
          <w:tcPr>
            <w:tcW w:w="901" w:type="pct"/>
            <w:tcBorders>
              <w:top w:val="nil"/>
              <w:left w:val="nil"/>
              <w:bottom w:val="single" w:sz="8" w:space="0" w:color="auto"/>
              <w:right w:val="nil"/>
            </w:tcBorders>
            <w:shd w:val="clear" w:color="auto" w:fill="auto"/>
            <w:vAlign w:val="center"/>
            <w:hideMark/>
          </w:tcPr>
          <w:p w14:paraId="5CD43CC1" w14:textId="77777777" w:rsidR="0062499A" w:rsidRPr="00AE4E8D" w:rsidRDefault="0062499A" w:rsidP="0062499A">
            <w:pPr>
              <w:jc w:val="center"/>
              <w:rPr>
                <w:rFonts w:ascii="Times New Roman" w:hAnsi="Times New Roman"/>
                <w:b/>
                <w:bCs/>
                <w:color w:val="000000"/>
                <w:sz w:val="14"/>
                <w:szCs w:val="14"/>
                <w:lang w:val="es-ES" w:eastAsia="es-AR"/>
              </w:rPr>
            </w:pPr>
            <w:r w:rsidRPr="00AE4E8D">
              <w:rPr>
                <w:rFonts w:ascii="Times New Roman" w:hAnsi="Times New Roman"/>
                <w:b/>
                <w:bCs/>
                <w:color w:val="000000"/>
                <w:sz w:val="14"/>
                <w:szCs w:val="14"/>
                <w:lang w:val="es-ES" w:eastAsia="es-AR"/>
              </w:rPr>
              <w:t>Al 30 de abril,</w:t>
            </w:r>
          </w:p>
        </w:tc>
      </w:tr>
      <w:tr w:rsidR="003B5193" w:rsidRPr="00AE4E8D" w14:paraId="4B496B4B" w14:textId="77777777" w:rsidTr="000400C8">
        <w:trPr>
          <w:trHeight w:val="315"/>
        </w:trPr>
        <w:tc>
          <w:tcPr>
            <w:tcW w:w="451" w:type="pct"/>
            <w:vMerge/>
            <w:tcBorders>
              <w:top w:val="nil"/>
              <w:left w:val="nil"/>
              <w:bottom w:val="nil"/>
              <w:right w:val="nil"/>
            </w:tcBorders>
            <w:vAlign w:val="center"/>
            <w:hideMark/>
          </w:tcPr>
          <w:p w14:paraId="0584F88E" w14:textId="77777777" w:rsidR="0062499A" w:rsidRPr="00AE4E8D" w:rsidRDefault="0062499A" w:rsidP="0062499A">
            <w:pPr>
              <w:rPr>
                <w:rFonts w:ascii="Times New Roman" w:hAnsi="Times New Roman"/>
                <w:b/>
                <w:color w:val="000000"/>
                <w:sz w:val="14"/>
                <w:lang w:val="es-ES"/>
              </w:rPr>
            </w:pPr>
          </w:p>
        </w:tc>
        <w:tc>
          <w:tcPr>
            <w:tcW w:w="1394" w:type="pct"/>
            <w:vMerge/>
            <w:tcBorders>
              <w:top w:val="nil"/>
              <w:left w:val="nil"/>
              <w:bottom w:val="nil"/>
              <w:right w:val="nil"/>
            </w:tcBorders>
            <w:vAlign w:val="center"/>
            <w:hideMark/>
          </w:tcPr>
          <w:p w14:paraId="59401635" w14:textId="77777777" w:rsidR="0062499A" w:rsidRPr="00AE4E8D" w:rsidRDefault="0062499A" w:rsidP="0062499A">
            <w:pPr>
              <w:rPr>
                <w:rFonts w:ascii="Times New Roman" w:hAnsi="Times New Roman"/>
                <w:b/>
                <w:color w:val="000000"/>
                <w:sz w:val="14"/>
                <w:lang w:val="es-ES"/>
              </w:rPr>
            </w:pPr>
          </w:p>
        </w:tc>
        <w:tc>
          <w:tcPr>
            <w:tcW w:w="858" w:type="pct"/>
            <w:tcBorders>
              <w:top w:val="nil"/>
              <w:left w:val="nil"/>
              <w:bottom w:val="single" w:sz="8" w:space="0" w:color="auto"/>
              <w:right w:val="nil"/>
            </w:tcBorders>
            <w:shd w:val="clear" w:color="auto" w:fill="auto"/>
            <w:vAlign w:val="center"/>
            <w:hideMark/>
          </w:tcPr>
          <w:p w14:paraId="0AA0D90E"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2015</w:t>
            </w:r>
          </w:p>
        </w:tc>
        <w:tc>
          <w:tcPr>
            <w:tcW w:w="240" w:type="pct"/>
            <w:tcBorders>
              <w:top w:val="nil"/>
              <w:left w:val="nil"/>
              <w:bottom w:val="nil"/>
              <w:right w:val="nil"/>
            </w:tcBorders>
            <w:shd w:val="clear" w:color="auto" w:fill="auto"/>
            <w:vAlign w:val="center"/>
            <w:hideMark/>
          </w:tcPr>
          <w:p w14:paraId="57B3B3D8" w14:textId="77777777" w:rsidR="0062499A" w:rsidRPr="00AE4E8D" w:rsidRDefault="0062499A" w:rsidP="00241071">
            <w:pPr>
              <w:rPr>
                <w:rFonts w:ascii="Times New Roman" w:hAnsi="Times New Roman"/>
                <w:color w:val="000000"/>
                <w:lang w:val="es-ES"/>
              </w:rPr>
            </w:pPr>
          </w:p>
        </w:tc>
        <w:tc>
          <w:tcPr>
            <w:tcW w:w="901" w:type="pct"/>
            <w:tcBorders>
              <w:top w:val="nil"/>
              <w:left w:val="nil"/>
              <w:bottom w:val="single" w:sz="8" w:space="0" w:color="auto"/>
              <w:right w:val="nil"/>
            </w:tcBorders>
            <w:shd w:val="clear" w:color="auto" w:fill="auto"/>
            <w:vAlign w:val="center"/>
            <w:hideMark/>
          </w:tcPr>
          <w:p w14:paraId="2407436E"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2016</w:t>
            </w:r>
          </w:p>
        </w:tc>
        <w:tc>
          <w:tcPr>
            <w:tcW w:w="255" w:type="pct"/>
            <w:tcBorders>
              <w:top w:val="nil"/>
              <w:left w:val="nil"/>
              <w:bottom w:val="nil"/>
              <w:right w:val="nil"/>
            </w:tcBorders>
            <w:shd w:val="clear" w:color="auto" w:fill="auto"/>
            <w:vAlign w:val="center"/>
            <w:hideMark/>
          </w:tcPr>
          <w:p w14:paraId="45B2A442" w14:textId="77777777" w:rsidR="0062499A" w:rsidRPr="00AE4E8D" w:rsidRDefault="0062499A" w:rsidP="00241071">
            <w:pPr>
              <w:rPr>
                <w:rFonts w:ascii="Times New Roman" w:hAnsi="Times New Roman"/>
                <w:color w:val="000000"/>
                <w:lang w:val="es-ES"/>
              </w:rPr>
            </w:pPr>
          </w:p>
        </w:tc>
        <w:tc>
          <w:tcPr>
            <w:tcW w:w="901" w:type="pct"/>
            <w:tcBorders>
              <w:top w:val="nil"/>
              <w:left w:val="nil"/>
              <w:bottom w:val="single" w:sz="8" w:space="0" w:color="auto"/>
              <w:right w:val="nil"/>
            </w:tcBorders>
            <w:shd w:val="clear" w:color="auto" w:fill="auto"/>
            <w:vAlign w:val="center"/>
            <w:hideMark/>
          </w:tcPr>
          <w:p w14:paraId="715454E3"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2017</w:t>
            </w:r>
          </w:p>
        </w:tc>
      </w:tr>
      <w:tr w:rsidR="0062499A" w:rsidRPr="00AE4E8D" w14:paraId="7D3C36DB" w14:textId="77777777" w:rsidTr="000400C8">
        <w:trPr>
          <w:trHeight w:val="300"/>
        </w:trPr>
        <w:tc>
          <w:tcPr>
            <w:tcW w:w="451" w:type="pct"/>
            <w:tcBorders>
              <w:top w:val="nil"/>
              <w:left w:val="nil"/>
              <w:bottom w:val="nil"/>
              <w:right w:val="nil"/>
            </w:tcBorders>
            <w:shd w:val="clear" w:color="auto" w:fill="auto"/>
            <w:noWrap/>
            <w:vAlign w:val="bottom"/>
            <w:hideMark/>
          </w:tcPr>
          <w:p w14:paraId="5AA60C90" w14:textId="77777777" w:rsidR="0062499A" w:rsidRPr="00AE4E8D" w:rsidRDefault="0062499A" w:rsidP="0062499A">
            <w:pPr>
              <w:rPr>
                <w:rFonts w:ascii="Times New Roman" w:hAnsi="Times New Roman"/>
                <w:color w:val="000000"/>
                <w:lang w:val="es-ES"/>
              </w:rPr>
            </w:pPr>
          </w:p>
        </w:tc>
        <w:tc>
          <w:tcPr>
            <w:tcW w:w="1394" w:type="pct"/>
            <w:tcBorders>
              <w:top w:val="nil"/>
              <w:left w:val="nil"/>
              <w:bottom w:val="nil"/>
              <w:right w:val="nil"/>
            </w:tcBorders>
            <w:shd w:val="clear" w:color="auto" w:fill="auto"/>
            <w:vAlign w:val="bottom"/>
            <w:hideMark/>
          </w:tcPr>
          <w:p w14:paraId="2F3CD4DE" w14:textId="77777777" w:rsidR="0062499A" w:rsidRPr="00AE4E8D" w:rsidRDefault="0062499A" w:rsidP="00241071">
            <w:pPr>
              <w:rPr>
                <w:rFonts w:ascii="Times New Roman" w:hAnsi="Times New Roman"/>
                <w:color w:val="000000"/>
                <w:lang w:val="es-ES"/>
              </w:rPr>
            </w:pPr>
          </w:p>
        </w:tc>
        <w:tc>
          <w:tcPr>
            <w:tcW w:w="3156" w:type="pct"/>
            <w:gridSpan w:val="5"/>
            <w:tcBorders>
              <w:top w:val="nil"/>
              <w:left w:val="nil"/>
              <w:bottom w:val="nil"/>
              <w:right w:val="nil"/>
            </w:tcBorders>
            <w:shd w:val="clear" w:color="auto" w:fill="auto"/>
            <w:vAlign w:val="center"/>
            <w:hideMark/>
          </w:tcPr>
          <w:p w14:paraId="4BBF1959"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(en porcentajes)</w:t>
            </w:r>
          </w:p>
        </w:tc>
      </w:tr>
      <w:tr w:rsidR="0062499A" w:rsidRPr="00AE4E8D" w14:paraId="2AF36BF6" w14:textId="77777777" w:rsidTr="000400C8">
        <w:trPr>
          <w:trHeight w:val="300"/>
        </w:trPr>
        <w:tc>
          <w:tcPr>
            <w:tcW w:w="451" w:type="pct"/>
            <w:tcBorders>
              <w:top w:val="nil"/>
              <w:left w:val="nil"/>
              <w:bottom w:val="nil"/>
              <w:right w:val="nil"/>
            </w:tcBorders>
            <w:shd w:val="clear" w:color="auto" w:fill="auto"/>
            <w:noWrap/>
            <w:vAlign w:val="bottom"/>
            <w:hideMark/>
          </w:tcPr>
          <w:p w14:paraId="0A11735C" w14:textId="77777777" w:rsidR="0062499A" w:rsidRPr="00AE4E8D" w:rsidRDefault="0062499A" w:rsidP="0062499A">
            <w:pPr>
              <w:rPr>
                <w:rFonts w:ascii="Times New Roman" w:hAnsi="Times New Roman"/>
                <w:color w:val="000000"/>
                <w:lang w:val="es-ES"/>
              </w:rPr>
            </w:pPr>
          </w:p>
        </w:tc>
        <w:tc>
          <w:tcPr>
            <w:tcW w:w="1394" w:type="pct"/>
            <w:tcBorders>
              <w:top w:val="nil"/>
              <w:left w:val="nil"/>
              <w:bottom w:val="nil"/>
              <w:right w:val="nil"/>
            </w:tcBorders>
            <w:shd w:val="clear" w:color="auto" w:fill="auto"/>
            <w:vAlign w:val="bottom"/>
            <w:hideMark/>
          </w:tcPr>
          <w:p w14:paraId="5A835761" w14:textId="77777777" w:rsidR="0062499A" w:rsidRPr="00AE4E8D" w:rsidRDefault="0062499A" w:rsidP="00241071">
            <w:pPr>
              <w:rPr>
                <w:rFonts w:ascii="Times New Roman" w:hAnsi="Times New Roman"/>
                <w:color w:val="000000"/>
                <w:lang w:val="es-ES"/>
              </w:rPr>
            </w:pPr>
          </w:p>
        </w:tc>
        <w:tc>
          <w:tcPr>
            <w:tcW w:w="858" w:type="pct"/>
            <w:tcBorders>
              <w:top w:val="nil"/>
              <w:left w:val="nil"/>
              <w:bottom w:val="nil"/>
              <w:right w:val="nil"/>
            </w:tcBorders>
            <w:shd w:val="clear" w:color="auto" w:fill="auto"/>
            <w:vAlign w:val="bottom"/>
            <w:hideMark/>
          </w:tcPr>
          <w:p w14:paraId="7BBBFE99" w14:textId="77777777" w:rsidR="0062499A" w:rsidRPr="00AE4E8D" w:rsidRDefault="0062499A" w:rsidP="0062499A">
            <w:pPr>
              <w:rPr>
                <w:rFonts w:ascii="Times New Roman" w:hAnsi="Times New Roman"/>
                <w:color w:val="000000"/>
                <w:lang w:val="es-ES"/>
              </w:rPr>
            </w:pPr>
          </w:p>
        </w:tc>
        <w:tc>
          <w:tcPr>
            <w:tcW w:w="240" w:type="pct"/>
            <w:tcBorders>
              <w:top w:val="nil"/>
              <w:left w:val="nil"/>
              <w:bottom w:val="nil"/>
              <w:right w:val="nil"/>
            </w:tcBorders>
            <w:shd w:val="clear" w:color="auto" w:fill="auto"/>
            <w:vAlign w:val="bottom"/>
            <w:hideMark/>
          </w:tcPr>
          <w:p w14:paraId="76233607"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bottom"/>
            <w:hideMark/>
          </w:tcPr>
          <w:p w14:paraId="3FDCB3E3" w14:textId="77777777" w:rsidR="0062499A" w:rsidRPr="00AE4E8D" w:rsidRDefault="0062499A" w:rsidP="00241071">
            <w:pPr>
              <w:rPr>
                <w:rFonts w:ascii="Times New Roman" w:hAnsi="Times New Roman"/>
                <w:color w:val="000000"/>
                <w:lang w:val="es-ES"/>
              </w:rPr>
            </w:pPr>
          </w:p>
        </w:tc>
        <w:tc>
          <w:tcPr>
            <w:tcW w:w="255" w:type="pct"/>
            <w:tcBorders>
              <w:top w:val="nil"/>
              <w:left w:val="nil"/>
              <w:bottom w:val="nil"/>
              <w:right w:val="nil"/>
            </w:tcBorders>
            <w:shd w:val="clear" w:color="auto" w:fill="auto"/>
            <w:vAlign w:val="bottom"/>
            <w:hideMark/>
          </w:tcPr>
          <w:p w14:paraId="10EDE35C" w14:textId="77777777" w:rsidR="0062499A" w:rsidRPr="00AE4E8D" w:rsidRDefault="0062499A" w:rsidP="00241071">
            <w:pPr>
              <w:rPr>
                <w:rFonts w:ascii="Times New Roman" w:hAnsi="Times New Roman"/>
                <w:color w:val="000000"/>
                <w:lang w:val="es-ES"/>
              </w:rPr>
            </w:pPr>
          </w:p>
        </w:tc>
        <w:tc>
          <w:tcPr>
            <w:tcW w:w="901" w:type="pct"/>
            <w:tcBorders>
              <w:top w:val="nil"/>
              <w:left w:val="nil"/>
              <w:bottom w:val="nil"/>
              <w:right w:val="nil"/>
            </w:tcBorders>
            <w:shd w:val="clear" w:color="auto" w:fill="auto"/>
            <w:vAlign w:val="bottom"/>
            <w:hideMark/>
          </w:tcPr>
          <w:p w14:paraId="1137F660" w14:textId="77777777" w:rsidR="0062499A" w:rsidRPr="00AE4E8D" w:rsidRDefault="0062499A" w:rsidP="0062499A">
            <w:pPr>
              <w:rPr>
                <w:rFonts w:ascii="Times New Roman" w:hAnsi="Times New Roman"/>
                <w:color w:val="000000"/>
                <w:lang w:val="es-ES"/>
              </w:rPr>
            </w:pPr>
          </w:p>
        </w:tc>
      </w:tr>
      <w:tr w:rsidR="0062499A" w:rsidRPr="00AE4E8D" w14:paraId="0BF857AC" w14:textId="77777777" w:rsidTr="000400C8">
        <w:trPr>
          <w:trHeight w:val="300"/>
        </w:trPr>
        <w:tc>
          <w:tcPr>
            <w:tcW w:w="451" w:type="pct"/>
            <w:tcBorders>
              <w:top w:val="nil"/>
              <w:left w:val="nil"/>
              <w:bottom w:val="nil"/>
              <w:right w:val="nil"/>
            </w:tcBorders>
            <w:shd w:val="clear" w:color="auto" w:fill="auto"/>
            <w:noWrap/>
            <w:vAlign w:val="center"/>
            <w:hideMark/>
          </w:tcPr>
          <w:p w14:paraId="578180DA"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w:t>
            </w:r>
          </w:p>
        </w:tc>
        <w:tc>
          <w:tcPr>
            <w:tcW w:w="1394" w:type="pct"/>
            <w:tcBorders>
              <w:top w:val="nil"/>
              <w:left w:val="nil"/>
              <w:bottom w:val="nil"/>
              <w:right w:val="nil"/>
            </w:tcBorders>
            <w:shd w:val="clear" w:color="auto" w:fill="auto"/>
            <w:vAlign w:val="center"/>
            <w:hideMark/>
          </w:tcPr>
          <w:p w14:paraId="1E3905C9" w14:textId="77777777" w:rsidR="0062499A" w:rsidRPr="00AE4E8D" w:rsidRDefault="0062499A" w:rsidP="00845924">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Banco</w:t>
            </w:r>
            <w:r w:rsidR="00541BD2" w:rsidRPr="00AE4E8D">
              <w:rPr>
                <w:rFonts w:ascii="Times New Roman" w:hAnsi="Times New Roman"/>
                <w:color w:val="000000"/>
                <w:sz w:val="14"/>
                <w:szCs w:val="14"/>
                <w:lang w:val="es-ES" w:eastAsia="es-AR"/>
              </w:rPr>
              <w:t xml:space="preserve"> de la</w:t>
            </w:r>
            <w:r w:rsidR="00845924" w:rsidRPr="00AE4E8D">
              <w:rPr>
                <w:rFonts w:ascii="Times New Roman" w:hAnsi="Times New Roman"/>
                <w:color w:val="000000"/>
                <w:sz w:val="14"/>
                <w:szCs w:val="14"/>
                <w:lang w:val="es-ES" w:eastAsia="es-AR"/>
              </w:rPr>
              <w:t xml:space="preserve"> </w:t>
            </w:r>
            <w:r w:rsidRPr="00AE4E8D">
              <w:rPr>
                <w:rFonts w:ascii="Times New Roman" w:hAnsi="Times New Roman"/>
                <w:color w:val="000000"/>
                <w:sz w:val="14"/>
                <w:szCs w:val="14"/>
                <w:lang w:val="es-ES" w:eastAsia="es-AR"/>
              </w:rPr>
              <w:t>Nación</w:t>
            </w:r>
            <w:r w:rsidR="00541BD2" w:rsidRPr="00AE4E8D">
              <w:rPr>
                <w:rFonts w:ascii="Times New Roman" w:hAnsi="Times New Roman"/>
                <w:color w:val="000000"/>
                <w:sz w:val="14"/>
                <w:szCs w:val="14"/>
                <w:lang w:val="es-ES" w:eastAsia="es-AR"/>
              </w:rPr>
              <w:t xml:space="preserve"> Argentina</w:t>
            </w:r>
          </w:p>
        </w:tc>
        <w:tc>
          <w:tcPr>
            <w:tcW w:w="858" w:type="pct"/>
            <w:tcBorders>
              <w:top w:val="nil"/>
              <w:left w:val="nil"/>
              <w:bottom w:val="nil"/>
              <w:right w:val="nil"/>
            </w:tcBorders>
            <w:shd w:val="clear" w:color="auto" w:fill="auto"/>
            <w:vAlign w:val="center"/>
            <w:hideMark/>
          </w:tcPr>
          <w:p w14:paraId="0C9FBAA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43,53%</w:t>
            </w:r>
          </w:p>
        </w:tc>
        <w:tc>
          <w:tcPr>
            <w:tcW w:w="240" w:type="pct"/>
            <w:tcBorders>
              <w:top w:val="nil"/>
              <w:left w:val="nil"/>
              <w:bottom w:val="nil"/>
              <w:right w:val="nil"/>
            </w:tcBorders>
            <w:shd w:val="clear" w:color="auto" w:fill="auto"/>
            <w:vAlign w:val="bottom"/>
            <w:hideMark/>
          </w:tcPr>
          <w:p w14:paraId="66C848D8"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2C9F7EC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31,96%</w:t>
            </w:r>
          </w:p>
        </w:tc>
        <w:tc>
          <w:tcPr>
            <w:tcW w:w="255" w:type="pct"/>
            <w:tcBorders>
              <w:top w:val="nil"/>
              <w:left w:val="nil"/>
              <w:bottom w:val="nil"/>
              <w:right w:val="nil"/>
            </w:tcBorders>
            <w:shd w:val="clear" w:color="auto" w:fill="auto"/>
            <w:noWrap/>
            <w:vAlign w:val="bottom"/>
            <w:hideMark/>
          </w:tcPr>
          <w:p w14:paraId="7DD073BB"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40F4D76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26,32</w:t>
            </w:r>
            <w:r w:rsidRPr="00AE4E8D">
              <w:rPr>
                <w:rFonts w:ascii="Times New Roman" w:hAnsi="Times New Roman"/>
                <w:color w:val="000000"/>
                <w:sz w:val="14"/>
                <w:lang w:val="es-ES"/>
              </w:rPr>
              <w:t>%</w:t>
            </w:r>
          </w:p>
        </w:tc>
      </w:tr>
      <w:tr w:rsidR="0062499A" w:rsidRPr="00AE4E8D" w14:paraId="65D4B3E5" w14:textId="77777777" w:rsidTr="000400C8">
        <w:trPr>
          <w:trHeight w:val="300"/>
        </w:trPr>
        <w:tc>
          <w:tcPr>
            <w:tcW w:w="451" w:type="pct"/>
            <w:tcBorders>
              <w:top w:val="nil"/>
              <w:left w:val="nil"/>
              <w:bottom w:val="nil"/>
              <w:right w:val="nil"/>
            </w:tcBorders>
            <w:shd w:val="clear" w:color="auto" w:fill="auto"/>
            <w:noWrap/>
            <w:vAlign w:val="center"/>
            <w:hideMark/>
          </w:tcPr>
          <w:p w14:paraId="51481F60"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2</w:t>
            </w:r>
          </w:p>
        </w:tc>
        <w:tc>
          <w:tcPr>
            <w:tcW w:w="1394" w:type="pct"/>
            <w:tcBorders>
              <w:top w:val="nil"/>
              <w:left w:val="nil"/>
              <w:bottom w:val="nil"/>
              <w:right w:val="nil"/>
            </w:tcBorders>
            <w:shd w:val="clear" w:color="auto" w:fill="auto"/>
            <w:vAlign w:val="center"/>
            <w:hideMark/>
          </w:tcPr>
          <w:p w14:paraId="56E88110" w14:textId="77777777" w:rsidR="0062499A" w:rsidRPr="00AE4E8D" w:rsidRDefault="00713D68" w:rsidP="0062499A">
            <w:pPr>
              <w:jc w:val="both"/>
              <w:rPr>
                <w:rFonts w:ascii="Times New Roman" w:hAnsi="Times New Roman"/>
                <w:color w:val="000000"/>
                <w:sz w:val="14"/>
                <w:lang w:val="es-ES"/>
              </w:rPr>
            </w:pPr>
            <w:r w:rsidRPr="00AE4E8D">
              <w:rPr>
                <w:rFonts w:ascii="Times New Roman" w:hAnsi="Times New Roman"/>
                <w:color w:val="000000"/>
                <w:sz w:val="14"/>
                <w:szCs w:val="14"/>
                <w:lang w:eastAsia="es-AR"/>
              </w:rPr>
              <w:t>Banco Santander Rio S.A</w:t>
            </w:r>
          </w:p>
        </w:tc>
        <w:tc>
          <w:tcPr>
            <w:tcW w:w="858" w:type="pct"/>
            <w:tcBorders>
              <w:top w:val="nil"/>
              <w:left w:val="nil"/>
              <w:bottom w:val="nil"/>
              <w:right w:val="nil"/>
            </w:tcBorders>
            <w:shd w:val="clear" w:color="auto" w:fill="auto"/>
            <w:vAlign w:val="center"/>
            <w:hideMark/>
          </w:tcPr>
          <w:p w14:paraId="30AC1ED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31,65%</w:t>
            </w:r>
          </w:p>
        </w:tc>
        <w:tc>
          <w:tcPr>
            <w:tcW w:w="240" w:type="pct"/>
            <w:tcBorders>
              <w:top w:val="nil"/>
              <w:left w:val="nil"/>
              <w:bottom w:val="nil"/>
              <w:right w:val="nil"/>
            </w:tcBorders>
            <w:shd w:val="clear" w:color="auto" w:fill="auto"/>
            <w:vAlign w:val="bottom"/>
            <w:hideMark/>
          </w:tcPr>
          <w:p w14:paraId="56276097"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3FB155D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29,17%</w:t>
            </w:r>
          </w:p>
        </w:tc>
        <w:tc>
          <w:tcPr>
            <w:tcW w:w="255" w:type="pct"/>
            <w:tcBorders>
              <w:top w:val="nil"/>
              <w:left w:val="nil"/>
              <w:bottom w:val="nil"/>
              <w:right w:val="nil"/>
            </w:tcBorders>
            <w:shd w:val="clear" w:color="auto" w:fill="auto"/>
            <w:noWrap/>
            <w:vAlign w:val="bottom"/>
            <w:hideMark/>
          </w:tcPr>
          <w:p w14:paraId="113658BF"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6CF749B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30,45</w:t>
            </w:r>
            <w:r w:rsidRPr="00AE4E8D">
              <w:rPr>
                <w:rFonts w:ascii="Times New Roman" w:hAnsi="Times New Roman"/>
                <w:color w:val="000000"/>
                <w:sz w:val="14"/>
                <w:lang w:val="es-ES"/>
              </w:rPr>
              <w:t>%</w:t>
            </w:r>
          </w:p>
        </w:tc>
      </w:tr>
      <w:tr w:rsidR="0062499A" w:rsidRPr="00AE4E8D" w14:paraId="7ABECC60" w14:textId="77777777" w:rsidTr="000400C8">
        <w:trPr>
          <w:trHeight w:val="300"/>
        </w:trPr>
        <w:tc>
          <w:tcPr>
            <w:tcW w:w="451" w:type="pct"/>
            <w:tcBorders>
              <w:top w:val="nil"/>
              <w:left w:val="nil"/>
              <w:bottom w:val="nil"/>
              <w:right w:val="nil"/>
            </w:tcBorders>
            <w:shd w:val="clear" w:color="auto" w:fill="auto"/>
            <w:noWrap/>
            <w:vAlign w:val="center"/>
            <w:hideMark/>
          </w:tcPr>
          <w:p w14:paraId="2C06491C"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3</w:t>
            </w:r>
          </w:p>
        </w:tc>
        <w:tc>
          <w:tcPr>
            <w:tcW w:w="1394" w:type="pct"/>
            <w:tcBorders>
              <w:top w:val="nil"/>
              <w:left w:val="nil"/>
              <w:bottom w:val="nil"/>
              <w:right w:val="nil"/>
            </w:tcBorders>
            <w:shd w:val="clear" w:color="auto" w:fill="auto"/>
            <w:vAlign w:val="center"/>
            <w:hideMark/>
          </w:tcPr>
          <w:p w14:paraId="082F86C0" w14:textId="77777777" w:rsidR="0062499A" w:rsidRPr="00AE4E8D" w:rsidRDefault="00541BD2"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w:t>
            </w:r>
            <w:r w:rsidR="0062499A" w:rsidRPr="00AE4E8D">
              <w:rPr>
                <w:rFonts w:ascii="Times New Roman" w:hAnsi="Times New Roman"/>
                <w:color w:val="000000"/>
                <w:sz w:val="14"/>
                <w:szCs w:val="14"/>
                <w:lang w:val="es-ES" w:eastAsia="es-AR"/>
              </w:rPr>
              <w:t>Galicia</w:t>
            </w:r>
            <w:r w:rsidRPr="00AE4E8D">
              <w:rPr>
                <w:rFonts w:ascii="Times New Roman" w:hAnsi="Times New Roman"/>
                <w:color w:val="000000"/>
                <w:sz w:val="14"/>
                <w:szCs w:val="14"/>
                <w:lang w:val="es-ES" w:eastAsia="es-AR"/>
              </w:rPr>
              <w:t xml:space="preserve"> y Bueno</w:t>
            </w:r>
            <w:r w:rsidR="00074D90" w:rsidRPr="00AE4E8D">
              <w:rPr>
                <w:rFonts w:ascii="Times New Roman" w:hAnsi="Times New Roman"/>
                <w:color w:val="000000"/>
                <w:sz w:val="14"/>
                <w:szCs w:val="14"/>
                <w:lang w:val="es-ES" w:eastAsia="es-AR"/>
              </w:rPr>
              <w:t>s</w:t>
            </w:r>
            <w:r w:rsidRPr="00AE4E8D">
              <w:rPr>
                <w:rFonts w:ascii="Times New Roman" w:hAnsi="Times New Roman"/>
                <w:color w:val="000000"/>
                <w:sz w:val="14"/>
                <w:szCs w:val="14"/>
                <w:lang w:val="es-ES" w:eastAsia="es-AR"/>
              </w:rPr>
              <w:t xml:space="preserve"> Aires</w:t>
            </w:r>
            <w:r w:rsidR="00713D68" w:rsidRPr="00AE4E8D">
              <w:rPr>
                <w:rFonts w:ascii="Times New Roman" w:hAnsi="Times New Roman"/>
                <w:color w:val="000000"/>
                <w:sz w:val="14"/>
                <w:szCs w:val="14"/>
                <w:lang w:val="es-ES" w:eastAsia="es-AR"/>
              </w:rPr>
              <w:t xml:space="preserve"> S.A.</w:t>
            </w:r>
          </w:p>
        </w:tc>
        <w:tc>
          <w:tcPr>
            <w:tcW w:w="858" w:type="pct"/>
            <w:tcBorders>
              <w:top w:val="nil"/>
              <w:left w:val="nil"/>
              <w:bottom w:val="nil"/>
              <w:right w:val="nil"/>
            </w:tcBorders>
            <w:shd w:val="clear" w:color="auto" w:fill="auto"/>
            <w:vAlign w:val="center"/>
            <w:hideMark/>
          </w:tcPr>
          <w:p w14:paraId="2251237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34,71%</w:t>
            </w:r>
          </w:p>
        </w:tc>
        <w:tc>
          <w:tcPr>
            <w:tcW w:w="240" w:type="pct"/>
            <w:tcBorders>
              <w:top w:val="nil"/>
              <w:left w:val="nil"/>
              <w:bottom w:val="nil"/>
              <w:right w:val="nil"/>
            </w:tcBorders>
            <w:shd w:val="clear" w:color="auto" w:fill="auto"/>
            <w:vAlign w:val="bottom"/>
            <w:hideMark/>
          </w:tcPr>
          <w:p w14:paraId="1DCAF436"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0E077CE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32,77%</w:t>
            </w:r>
          </w:p>
        </w:tc>
        <w:tc>
          <w:tcPr>
            <w:tcW w:w="255" w:type="pct"/>
            <w:tcBorders>
              <w:top w:val="nil"/>
              <w:left w:val="nil"/>
              <w:bottom w:val="nil"/>
              <w:right w:val="nil"/>
            </w:tcBorders>
            <w:shd w:val="clear" w:color="auto" w:fill="auto"/>
            <w:noWrap/>
            <w:vAlign w:val="bottom"/>
            <w:hideMark/>
          </w:tcPr>
          <w:p w14:paraId="504EA598"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74339A99"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lang w:val="es-ES"/>
              </w:rPr>
              <w:t>32,</w:t>
            </w:r>
            <w:r w:rsidRPr="00AE4E8D">
              <w:rPr>
                <w:rFonts w:ascii="Times New Roman" w:hAnsi="Times New Roman"/>
                <w:color w:val="000000"/>
                <w:sz w:val="14"/>
                <w:szCs w:val="14"/>
                <w:lang w:val="es-ES" w:eastAsia="es-AR"/>
              </w:rPr>
              <w:t>48</w:t>
            </w:r>
            <w:r w:rsidRPr="00AE4E8D">
              <w:rPr>
                <w:rFonts w:ascii="Times New Roman" w:hAnsi="Times New Roman"/>
                <w:color w:val="000000"/>
                <w:sz w:val="14"/>
                <w:lang w:val="es-ES"/>
              </w:rPr>
              <w:t>%</w:t>
            </w:r>
          </w:p>
        </w:tc>
      </w:tr>
      <w:tr w:rsidR="0062499A" w:rsidRPr="00AE4E8D" w14:paraId="33220B17" w14:textId="77777777" w:rsidTr="000400C8">
        <w:trPr>
          <w:trHeight w:val="360"/>
        </w:trPr>
        <w:tc>
          <w:tcPr>
            <w:tcW w:w="451" w:type="pct"/>
            <w:tcBorders>
              <w:top w:val="nil"/>
              <w:left w:val="nil"/>
              <w:bottom w:val="nil"/>
              <w:right w:val="nil"/>
            </w:tcBorders>
            <w:shd w:val="clear" w:color="auto" w:fill="auto"/>
            <w:noWrap/>
            <w:vAlign w:val="center"/>
            <w:hideMark/>
          </w:tcPr>
          <w:p w14:paraId="04B37531"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4</w:t>
            </w:r>
          </w:p>
        </w:tc>
        <w:tc>
          <w:tcPr>
            <w:tcW w:w="1394" w:type="pct"/>
            <w:tcBorders>
              <w:top w:val="nil"/>
              <w:left w:val="nil"/>
              <w:bottom w:val="nil"/>
              <w:right w:val="nil"/>
            </w:tcBorders>
            <w:shd w:val="clear" w:color="auto" w:fill="auto"/>
            <w:vAlign w:val="center"/>
            <w:hideMark/>
          </w:tcPr>
          <w:p w14:paraId="73A38515" w14:textId="77777777" w:rsidR="0062499A" w:rsidRPr="00AE4E8D" w:rsidRDefault="00541BD2"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Provincia de Buenos Aires</w:t>
            </w:r>
          </w:p>
        </w:tc>
        <w:tc>
          <w:tcPr>
            <w:tcW w:w="858" w:type="pct"/>
            <w:tcBorders>
              <w:top w:val="nil"/>
              <w:left w:val="nil"/>
              <w:bottom w:val="nil"/>
              <w:right w:val="nil"/>
            </w:tcBorders>
            <w:shd w:val="clear" w:color="auto" w:fill="auto"/>
            <w:vAlign w:val="center"/>
            <w:hideMark/>
          </w:tcPr>
          <w:p w14:paraId="63355DE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14,86%</w:t>
            </w:r>
          </w:p>
        </w:tc>
        <w:tc>
          <w:tcPr>
            <w:tcW w:w="240" w:type="pct"/>
            <w:tcBorders>
              <w:top w:val="nil"/>
              <w:left w:val="nil"/>
              <w:bottom w:val="nil"/>
              <w:right w:val="nil"/>
            </w:tcBorders>
            <w:shd w:val="clear" w:color="auto" w:fill="auto"/>
            <w:vAlign w:val="bottom"/>
            <w:hideMark/>
          </w:tcPr>
          <w:p w14:paraId="115F6645"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13E31D4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30,85%</w:t>
            </w:r>
          </w:p>
        </w:tc>
        <w:tc>
          <w:tcPr>
            <w:tcW w:w="255" w:type="pct"/>
            <w:tcBorders>
              <w:top w:val="nil"/>
              <w:left w:val="nil"/>
              <w:bottom w:val="nil"/>
              <w:right w:val="nil"/>
            </w:tcBorders>
            <w:shd w:val="clear" w:color="auto" w:fill="auto"/>
            <w:noWrap/>
            <w:vAlign w:val="bottom"/>
            <w:hideMark/>
          </w:tcPr>
          <w:p w14:paraId="0AE67606"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464A801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32,56</w:t>
            </w:r>
            <w:r w:rsidRPr="00AE4E8D">
              <w:rPr>
                <w:rFonts w:ascii="Times New Roman" w:hAnsi="Times New Roman"/>
                <w:color w:val="000000"/>
                <w:sz w:val="14"/>
                <w:lang w:val="es-ES"/>
              </w:rPr>
              <w:t>%</w:t>
            </w:r>
          </w:p>
        </w:tc>
      </w:tr>
      <w:tr w:rsidR="0062499A" w:rsidRPr="00AE4E8D" w14:paraId="591013B4" w14:textId="77777777" w:rsidTr="000400C8">
        <w:trPr>
          <w:trHeight w:val="300"/>
        </w:trPr>
        <w:tc>
          <w:tcPr>
            <w:tcW w:w="451" w:type="pct"/>
            <w:tcBorders>
              <w:top w:val="nil"/>
              <w:left w:val="nil"/>
              <w:bottom w:val="nil"/>
              <w:right w:val="nil"/>
            </w:tcBorders>
            <w:shd w:val="clear" w:color="auto" w:fill="auto"/>
            <w:noWrap/>
            <w:vAlign w:val="center"/>
            <w:hideMark/>
          </w:tcPr>
          <w:p w14:paraId="3C10456D"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5</w:t>
            </w:r>
          </w:p>
        </w:tc>
        <w:tc>
          <w:tcPr>
            <w:tcW w:w="1394" w:type="pct"/>
            <w:tcBorders>
              <w:top w:val="nil"/>
              <w:left w:val="nil"/>
              <w:bottom w:val="nil"/>
              <w:right w:val="nil"/>
            </w:tcBorders>
            <w:shd w:val="clear" w:color="auto" w:fill="auto"/>
            <w:vAlign w:val="center"/>
            <w:hideMark/>
          </w:tcPr>
          <w:p w14:paraId="574438CB" w14:textId="77777777" w:rsidR="0062499A" w:rsidRPr="00AE4E8D" w:rsidRDefault="00541BD2"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Macro</w:t>
            </w:r>
            <w:r w:rsidR="00713D68" w:rsidRPr="00AE4E8D">
              <w:rPr>
                <w:rFonts w:ascii="Times New Roman" w:hAnsi="Times New Roman"/>
                <w:color w:val="000000"/>
                <w:sz w:val="14"/>
                <w:szCs w:val="14"/>
                <w:lang w:val="en-US" w:eastAsia="es-AR"/>
              </w:rPr>
              <w:t xml:space="preserve"> S.A.</w:t>
            </w:r>
          </w:p>
        </w:tc>
        <w:tc>
          <w:tcPr>
            <w:tcW w:w="858" w:type="pct"/>
            <w:tcBorders>
              <w:top w:val="nil"/>
              <w:left w:val="nil"/>
              <w:bottom w:val="nil"/>
              <w:right w:val="nil"/>
            </w:tcBorders>
            <w:shd w:val="clear" w:color="auto" w:fill="auto"/>
            <w:vAlign w:val="center"/>
            <w:hideMark/>
          </w:tcPr>
          <w:p w14:paraId="6F43A78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39,69%</w:t>
            </w:r>
          </w:p>
        </w:tc>
        <w:tc>
          <w:tcPr>
            <w:tcW w:w="240" w:type="pct"/>
            <w:tcBorders>
              <w:top w:val="nil"/>
              <w:left w:val="nil"/>
              <w:bottom w:val="nil"/>
              <w:right w:val="nil"/>
            </w:tcBorders>
            <w:shd w:val="clear" w:color="auto" w:fill="auto"/>
            <w:vAlign w:val="bottom"/>
            <w:hideMark/>
          </w:tcPr>
          <w:p w14:paraId="117FA3F8"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68C2092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36,19%</w:t>
            </w:r>
          </w:p>
        </w:tc>
        <w:tc>
          <w:tcPr>
            <w:tcW w:w="255" w:type="pct"/>
            <w:tcBorders>
              <w:top w:val="nil"/>
              <w:left w:val="nil"/>
              <w:bottom w:val="nil"/>
              <w:right w:val="nil"/>
            </w:tcBorders>
            <w:shd w:val="clear" w:color="auto" w:fill="auto"/>
            <w:noWrap/>
            <w:vAlign w:val="bottom"/>
            <w:hideMark/>
          </w:tcPr>
          <w:p w14:paraId="76E70A5E"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18859E2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35,09</w:t>
            </w:r>
            <w:r w:rsidRPr="00AE4E8D">
              <w:rPr>
                <w:rFonts w:ascii="Times New Roman" w:hAnsi="Times New Roman"/>
                <w:color w:val="000000"/>
                <w:sz w:val="14"/>
                <w:lang w:val="es-ES"/>
              </w:rPr>
              <w:t>%</w:t>
            </w:r>
          </w:p>
        </w:tc>
      </w:tr>
      <w:tr w:rsidR="0062499A" w:rsidRPr="00AE4E8D" w14:paraId="58182006" w14:textId="77777777" w:rsidTr="000400C8">
        <w:trPr>
          <w:trHeight w:val="300"/>
        </w:trPr>
        <w:tc>
          <w:tcPr>
            <w:tcW w:w="451" w:type="pct"/>
            <w:tcBorders>
              <w:top w:val="nil"/>
              <w:left w:val="nil"/>
              <w:bottom w:val="nil"/>
              <w:right w:val="nil"/>
            </w:tcBorders>
            <w:shd w:val="clear" w:color="auto" w:fill="auto"/>
            <w:noWrap/>
            <w:vAlign w:val="center"/>
            <w:hideMark/>
          </w:tcPr>
          <w:p w14:paraId="58D0D7AD"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6</w:t>
            </w:r>
          </w:p>
        </w:tc>
        <w:tc>
          <w:tcPr>
            <w:tcW w:w="1394" w:type="pct"/>
            <w:tcBorders>
              <w:top w:val="nil"/>
              <w:left w:val="nil"/>
              <w:bottom w:val="nil"/>
              <w:right w:val="nil"/>
            </w:tcBorders>
            <w:shd w:val="clear" w:color="auto" w:fill="auto"/>
            <w:vAlign w:val="center"/>
            <w:hideMark/>
          </w:tcPr>
          <w:p w14:paraId="5EEEE847"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BBVA </w:t>
            </w:r>
            <w:r w:rsidR="00713D68" w:rsidRPr="00AE4E8D">
              <w:rPr>
                <w:rFonts w:ascii="Times New Roman" w:hAnsi="Times New Roman"/>
                <w:color w:val="000000"/>
                <w:sz w:val="14"/>
                <w:szCs w:val="14"/>
                <w:lang w:eastAsia="es-AR"/>
              </w:rPr>
              <w:t>Banco Francés S.A.</w:t>
            </w:r>
          </w:p>
        </w:tc>
        <w:tc>
          <w:tcPr>
            <w:tcW w:w="858" w:type="pct"/>
            <w:tcBorders>
              <w:top w:val="nil"/>
              <w:left w:val="nil"/>
              <w:bottom w:val="nil"/>
              <w:right w:val="nil"/>
            </w:tcBorders>
            <w:shd w:val="clear" w:color="auto" w:fill="auto"/>
            <w:vAlign w:val="center"/>
            <w:hideMark/>
          </w:tcPr>
          <w:p w14:paraId="0E51E33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33,31%</w:t>
            </w:r>
          </w:p>
        </w:tc>
        <w:tc>
          <w:tcPr>
            <w:tcW w:w="240" w:type="pct"/>
            <w:tcBorders>
              <w:top w:val="nil"/>
              <w:left w:val="nil"/>
              <w:bottom w:val="nil"/>
              <w:right w:val="nil"/>
            </w:tcBorders>
            <w:shd w:val="clear" w:color="auto" w:fill="auto"/>
            <w:vAlign w:val="bottom"/>
            <w:hideMark/>
          </w:tcPr>
          <w:p w14:paraId="76871670"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3774B5E2"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24,80%</w:t>
            </w:r>
          </w:p>
        </w:tc>
        <w:tc>
          <w:tcPr>
            <w:tcW w:w="255" w:type="pct"/>
            <w:tcBorders>
              <w:top w:val="nil"/>
              <w:left w:val="nil"/>
              <w:bottom w:val="nil"/>
              <w:right w:val="nil"/>
            </w:tcBorders>
            <w:shd w:val="clear" w:color="auto" w:fill="auto"/>
            <w:noWrap/>
            <w:vAlign w:val="bottom"/>
            <w:hideMark/>
          </w:tcPr>
          <w:p w14:paraId="137267DC"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270724B6"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27,44</w:t>
            </w:r>
            <w:r w:rsidRPr="00AE4E8D">
              <w:rPr>
                <w:rFonts w:ascii="Times New Roman" w:hAnsi="Times New Roman"/>
                <w:color w:val="000000"/>
                <w:sz w:val="14"/>
                <w:lang w:val="es-ES"/>
              </w:rPr>
              <w:t>%</w:t>
            </w:r>
          </w:p>
        </w:tc>
      </w:tr>
      <w:tr w:rsidR="0062499A" w:rsidRPr="00AE4E8D" w14:paraId="2BC34328" w14:textId="77777777" w:rsidTr="000400C8">
        <w:trPr>
          <w:trHeight w:val="300"/>
        </w:trPr>
        <w:tc>
          <w:tcPr>
            <w:tcW w:w="451" w:type="pct"/>
            <w:tcBorders>
              <w:top w:val="nil"/>
              <w:left w:val="nil"/>
              <w:bottom w:val="nil"/>
              <w:right w:val="nil"/>
            </w:tcBorders>
            <w:shd w:val="clear" w:color="auto" w:fill="auto"/>
            <w:noWrap/>
            <w:vAlign w:val="center"/>
            <w:hideMark/>
          </w:tcPr>
          <w:p w14:paraId="30917214"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7</w:t>
            </w:r>
          </w:p>
        </w:tc>
        <w:tc>
          <w:tcPr>
            <w:tcW w:w="1394" w:type="pct"/>
            <w:tcBorders>
              <w:top w:val="nil"/>
              <w:left w:val="nil"/>
              <w:bottom w:val="nil"/>
              <w:right w:val="nil"/>
            </w:tcBorders>
            <w:shd w:val="clear" w:color="auto" w:fill="auto"/>
            <w:vAlign w:val="center"/>
            <w:hideMark/>
          </w:tcPr>
          <w:p w14:paraId="56D23252" w14:textId="77777777" w:rsidR="0062499A" w:rsidRPr="00AE4E8D" w:rsidRDefault="0062499A"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HSBC</w:t>
            </w:r>
            <w:r w:rsidR="00541BD2" w:rsidRPr="00AE4E8D">
              <w:rPr>
                <w:rFonts w:ascii="Times New Roman" w:hAnsi="Times New Roman"/>
                <w:color w:val="000000"/>
                <w:sz w:val="14"/>
                <w:szCs w:val="14"/>
                <w:lang w:val="en-US" w:eastAsia="es-AR"/>
              </w:rPr>
              <w:t xml:space="preserve"> Bank Argentina</w:t>
            </w:r>
            <w:r w:rsidR="00713D68" w:rsidRPr="00AE4E8D">
              <w:rPr>
                <w:rFonts w:ascii="Times New Roman" w:hAnsi="Times New Roman"/>
                <w:color w:val="000000"/>
                <w:sz w:val="14"/>
                <w:szCs w:val="14"/>
                <w:lang w:val="en-US" w:eastAsia="es-AR"/>
              </w:rPr>
              <w:t xml:space="preserve"> S.A.</w:t>
            </w:r>
          </w:p>
        </w:tc>
        <w:tc>
          <w:tcPr>
            <w:tcW w:w="858" w:type="pct"/>
            <w:tcBorders>
              <w:top w:val="nil"/>
              <w:left w:val="nil"/>
              <w:bottom w:val="nil"/>
              <w:right w:val="nil"/>
            </w:tcBorders>
            <w:shd w:val="clear" w:color="auto" w:fill="auto"/>
            <w:vAlign w:val="center"/>
            <w:hideMark/>
          </w:tcPr>
          <w:p w14:paraId="58E1517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18,37%</w:t>
            </w:r>
          </w:p>
        </w:tc>
        <w:tc>
          <w:tcPr>
            <w:tcW w:w="240" w:type="pct"/>
            <w:tcBorders>
              <w:top w:val="nil"/>
              <w:left w:val="nil"/>
              <w:bottom w:val="nil"/>
              <w:right w:val="nil"/>
            </w:tcBorders>
            <w:shd w:val="clear" w:color="auto" w:fill="auto"/>
            <w:vAlign w:val="bottom"/>
            <w:hideMark/>
          </w:tcPr>
          <w:p w14:paraId="56FE8490"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7D3075B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21,73%</w:t>
            </w:r>
          </w:p>
        </w:tc>
        <w:tc>
          <w:tcPr>
            <w:tcW w:w="255" w:type="pct"/>
            <w:tcBorders>
              <w:top w:val="nil"/>
              <w:left w:val="nil"/>
              <w:bottom w:val="nil"/>
              <w:right w:val="nil"/>
            </w:tcBorders>
            <w:shd w:val="clear" w:color="auto" w:fill="auto"/>
            <w:noWrap/>
            <w:vAlign w:val="bottom"/>
            <w:hideMark/>
          </w:tcPr>
          <w:p w14:paraId="47208216"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452B5E08"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16,13</w:t>
            </w:r>
            <w:r w:rsidRPr="00AE4E8D">
              <w:rPr>
                <w:rFonts w:ascii="Times New Roman" w:hAnsi="Times New Roman"/>
                <w:color w:val="000000"/>
                <w:sz w:val="14"/>
                <w:lang w:val="es-ES"/>
              </w:rPr>
              <w:t>%</w:t>
            </w:r>
          </w:p>
        </w:tc>
      </w:tr>
      <w:tr w:rsidR="0062499A" w:rsidRPr="00AE4E8D" w14:paraId="437E6C45" w14:textId="77777777" w:rsidTr="000400C8">
        <w:trPr>
          <w:trHeight w:val="300"/>
        </w:trPr>
        <w:tc>
          <w:tcPr>
            <w:tcW w:w="451" w:type="pct"/>
            <w:tcBorders>
              <w:top w:val="nil"/>
              <w:left w:val="nil"/>
              <w:bottom w:val="nil"/>
              <w:right w:val="nil"/>
            </w:tcBorders>
            <w:shd w:val="clear" w:color="auto" w:fill="auto"/>
            <w:noWrap/>
            <w:vAlign w:val="center"/>
            <w:hideMark/>
          </w:tcPr>
          <w:p w14:paraId="7CF41EBC"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8</w:t>
            </w:r>
          </w:p>
        </w:tc>
        <w:tc>
          <w:tcPr>
            <w:tcW w:w="1394" w:type="pct"/>
            <w:tcBorders>
              <w:top w:val="nil"/>
              <w:left w:val="nil"/>
              <w:bottom w:val="nil"/>
              <w:right w:val="nil"/>
            </w:tcBorders>
            <w:shd w:val="clear" w:color="auto" w:fill="auto"/>
            <w:vAlign w:val="center"/>
            <w:hideMark/>
          </w:tcPr>
          <w:p w14:paraId="3C4BFDE5" w14:textId="77777777" w:rsidR="0062499A" w:rsidRPr="00AE4E8D" w:rsidRDefault="000604B3"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Banco de la Ciudad de Buenos Aires</w:t>
            </w:r>
          </w:p>
        </w:tc>
        <w:tc>
          <w:tcPr>
            <w:tcW w:w="858" w:type="pct"/>
            <w:tcBorders>
              <w:top w:val="nil"/>
              <w:left w:val="nil"/>
              <w:bottom w:val="nil"/>
              <w:right w:val="nil"/>
            </w:tcBorders>
            <w:shd w:val="clear" w:color="auto" w:fill="auto"/>
            <w:vAlign w:val="center"/>
            <w:hideMark/>
          </w:tcPr>
          <w:p w14:paraId="4A580DBC"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18,08%</w:t>
            </w:r>
          </w:p>
        </w:tc>
        <w:tc>
          <w:tcPr>
            <w:tcW w:w="240" w:type="pct"/>
            <w:tcBorders>
              <w:top w:val="nil"/>
              <w:left w:val="nil"/>
              <w:bottom w:val="nil"/>
              <w:right w:val="nil"/>
            </w:tcBorders>
            <w:shd w:val="clear" w:color="auto" w:fill="auto"/>
            <w:vAlign w:val="bottom"/>
            <w:hideMark/>
          </w:tcPr>
          <w:p w14:paraId="2F13D371"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26A3705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24,50%</w:t>
            </w:r>
          </w:p>
        </w:tc>
        <w:tc>
          <w:tcPr>
            <w:tcW w:w="255" w:type="pct"/>
            <w:tcBorders>
              <w:top w:val="nil"/>
              <w:left w:val="nil"/>
              <w:bottom w:val="nil"/>
              <w:right w:val="nil"/>
            </w:tcBorders>
            <w:shd w:val="clear" w:color="auto" w:fill="auto"/>
            <w:noWrap/>
            <w:vAlign w:val="bottom"/>
            <w:hideMark/>
          </w:tcPr>
          <w:p w14:paraId="67198EB9"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5A85363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23,51</w:t>
            </w:r>
            <w:r w:rsidRPr="00AE4E8D">
              <w:rPr>
                <w:rFonts w:ascii="Times New Roman" w:hAnsi="Times New Roman"/>
                <w:color w:val="000000"/>
                <w:sz w:val="14"/>
                <w:lang w:val="es-ES"/>
              </w:rPr>
              <w:t>%</w:t>
            </w:r>
          </w:p>
        </w:tc>
      </w:tr>
      <w:tr w:rsidR="0062499A" w:rsidRPr="00AE4E8D" w14:paraId="57BBB3B0" w14:textId="77777777" w:rsidTr="000400C8">
        <w:trPr>
          <w:trHeight w:val="540"/>
        </w:trPr>
        <w:tc>
          <w:tcPr>
            <w:tcW w:w="451" w:type="pct"/>
            <w:tcBorders>
              <w:top w:val="nil"/>
              <w:left w:val="nil"/>
              <w:bottom w:val="nil"/>
              <w:right w:val="nil"/>
            </w:tcBorders>
            <w:shd w:val="clear" w:color="auto" w:fill="auto"/>
            <w:noWrap/>
            <w:vAlign w:val="center"/>
            <w:hideMark/>
          </w:tcPr>
          <w:p w14:paraId="640C700D"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9</w:t>
            </w:r>
          </w:p>
        </w:tc>
        <w:tc>
          <w:tcPr>
            <w:tcW w:w="1394" w:type="pct"/>
            <w:tcBorders>
              <w:top w:val="nil"/>
              <w:left w:val="nil"/>
              <w:bottom w:val="nil"/>
              <w:right w:val="nil"/>
            </w:tcBorders>
            <w:shd w:val="clear" w:color="auto" w:fill="auto"/>
            <w:vAlign w:val="center"/>
            <w:hideMark/>
          </w:tcPr>
          <w:p w14:paraId="4C338C85" w14:textId="77777777" w:rsidR="0062499A" w:rsidRPr="00AE4E8D" w:rsidRDefault="000604B3" w:rsidP="0062499A">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Industrial and Commercial Bank of China (Argentina) S.A.</w:t>
            </w:r>
          </w:p>
        </w:tc>
        <w:tc>
          <w:tcPr>
            <w:tcW w:w="858" w:type="pct"/>
            <w:tcBorders>
              <w:top w:val="nil"/>
              <w:left w:val="nil"/>
              <w:bottom w:val="nil"/>
              <w:right w:val="nil"/>
            </w:tcBorders>
            <w:shd w:val="clear" w:color="auto" w:fill="auto"/>
            <w:vAlign w:val="center"/>
            <w:hideMark/>
          </w:tcPr>
          <w:p w14:paraId="70A2B66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43,11%</w:t>
            </w:r>
          </w:p>
        </w:tc>
        <w:tc>
          <w:tcPr>
            <w:tcW w:w="240" w:type="pct"/>
            <w:tcBorders>
              <w:top w:val="nil"/>
              <w:left w:val="nil"/>
              <w:bottom w:val="nil"/>
              <w:right w:val="nil"/>
            </w:tcBorders>
            <w:shd w:val="clear" w:color="auto" w:fill="auto"/>
            <w:vAlign w:val="center"/>
            <w:hideMark/>
          </w:tcPr>
          <w:p w14:paraId="2D3DC4A6"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35ADE5C1"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34,52%</w:t>
            </w:r>
          </w:p>
        </w:tc>
        <w:tc>
          <w:tcPr>
            <w:tcW w:w="255" w:type="pct"/>
            <w:tcBorders>
              <w:top w:val="nil"/>
              <w:left w:val="nil"/>
              <w:bottom w:val="nil"/>
              <w:right w:val="nil"/>
            </w:tcBorders>
            <w:shd w:val="clear" w:color="auto" w:fill="auto"/>
            <w:noWrap/>
            <w:vAlign w:val="bottom"/>
            <w:hideMark/>
          </w:tcPr>
          <w:p w14:paraId="6B53E198"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0C02852D"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29,35</w:t>
            </w:r>
            <w:r w:rsidRPr="00AE4E8D">
              <w:rPr>
                <w:rFonts w:ascii="Times New Roman" w:hAnsi="Times New Roman"/>
                <w:color w:val="000000"/>
                <w:sz w:val="14"/>
                <w:lang w:val="es-ES"/>
              </w:rPr>
              <w:t>%</w:t>
            </w:r>
          </w:p>
        </w:tc>
      </w:tr>
      <w:tr w:rsidR="0062499A" w:rsidRPr="00AE4E8D" w14:paraId="168FFFF7" w14:textId="77777777" w:rsidTr="000400C8">
        <w:trPr>
          <w:trHeight w:val="300"/>
        </w:trPr>
        <w:tc>
          <w:tcPr>
            <w:tcW w:w="451" w:type="pct"/>
            <w:tcBorders>
              <w:top w:val="nil"/>
              <w:left w:val="nil"/>
              <w:bottom w:val="nil"/>
              <w:right w:val="nil"/>
            </w:tcBorders>
            <w:shd w:val="clear" w:color="auto" w:fill="auto"/>
            <w:noWrap/>
            <w:vAlign w:val="center"/>
            <w:hideMark/>
          </w:tcPr>
          <w:p w14:paraId="56E94472" w14:textId="77777777" w:rsidR="0062499A" w:rsidRPr="00AE4E8D" w:rsidRDefault="0062499A" w:rsidP="0062499A">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10</w:t>
            </w:r>
          </w:p>
        </w:tc>
        <w:tc>
          <w:tcPr>
            <w:tcW w:w="1394" w:type="pct"/>
            <w:tcBorders>
              <w:top w:val="nil"/>
              <w:left w:val="nil"/>
              <w:bottom w:val="nil"/>
              <w:right w:val="nil"/>
            </w:tcBorders>
            <w:shd w:val="clear" w:color="auto" w:fill="auto"/>
            <w:vAlign w:val="center"/>
            <w:hideMark/>
          </w:tcPr>
          <w:p w14:paraId="4DF3BDA1" w14:textId="77777777" w:rsidR="0062499A" w:rsidRPr="00AE4E8D" w:rsidRDefault="00541BD2"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62499A" w:rsidRPr="00AE4E8D">
              <w:rPr>
                <w:rFonts w:ascii="Times New Roman" w:hAnsi="Times New Roman"/>
                <w:color w:val="000000"/>
                <w:sz w:val="14"/>
                <w:szCs w:val="14"/>
                <w:lang w:val="es-ES" w:eastAsia="es-AR"/>
              </w:rPr>
              <w:t>Patagonia</w:t>
            </w:r>
            <w:r w:rsidR="00074D90" w:rsidRPr="00AE4E8D">
              <w:rPr>
                <w:rFonts w:ascii="Times New Roman" w:hAnsi="Times New Roman"/>
                <w:color w:val="000000"/>
                <w:sz w:val="14"/>
                <w:szCs w:val="14"/>
                <w:lang w:val="es-ES" w:eastAsia="es-AR"/>
              </w:rPr>
              <w:t xml:space="preserve"> S.A.</w:t>
            </w:r>
          </w:p>
        </w:tc>
        <w:tc>
          <w:tcPr>
            <w:tcW w:w="858" w:type="pct"/>
            <w:tcBorders>
              <w:top w:val="nil"/>
              <w:left w:val="nil"/>
              <w:bottom w:val="nil"/>
              <w:right w:val="nil"/>
            </w:tcBorders>
            <w:shd w:val="clear" w:color="auto" w:fill="auto"/>
            <w:vAlign w:val="center"/>
            <w:hideMark/>
          </w:tcPr>
          <w:p w14:paraId="1ABE98C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37,23%</w:t>
            </w:r>
          </w:p>
        </w:tc>
        <w:tc>
          <w:tcPr>
            <w:tcW w:w="240" w:type="pct"/>
            <w:tcBorders>
              <w:top w:val="nil"/>
              <w:left w:val="nil"/>
              <w:bottom w:val="nil"/>
              <w:right w:val="nil"/>
            </w:tcBorders>
            <w:shd w:val="clear" w:color="auto" w:fill="auto"/>
            <w:vAlign w:val="bottom"/>
            <w:hideMark/>
          </w:tcPr>
          <w:p w14:paraId="1CF7516D"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56FB7B3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40,17%</w:t>
            </w:r>
          </w:p>
        </w:tc>
        <w:tc>
          <w:tcPr>
            <w:tcW w:w="255" w:type="pct"/>
            <w:tcBorders>
              <w:top w:val="nil"/>
              <w:left w:val="nil"/>
              <w:bottom w:val="nil"/>
              <w:right w:val="nil"/>
            </w:tcBorders>
            <w:shd w:val="clear" w:color="auto" w:fill="auto"/>
            <w:noWrap/>
            <w:vAlign w:val="bottom"/>
            <w:hideMark/>
          </w:tcPr>
          <w:p w14:paraId="08B3DFA8"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7797D33F"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37,86</w:t>
            </w:r>
            <w:r w:rsidRPr="00AE4E8D">
              <w:rPr>
                <w:rFonts w:ascii="Times New Roman" w:hAnsi="Times New Roman"/>
                <w:color w:val="000000"/>
                <w:sz w:val="14"/>
                <w:lang w:val="es-ES"/>
              </w:rPr>
              <w:t>%</w:t>
            </w:r>
          </w:p>
        </w:tc>
      </w:tr>
      <w:tr w:rsidR="0062499A" w:rsidRPr="00AE4E8D" w14:paraId="0232F4EA" w14:textId="77777777" w:rsidTr="000400C8">
        <w:trPr>
          <w:trHeight w:val="360"/>
        </w:trPr>
        <w:tc>
          <w:tcPr>
            <w:tcW w:w="451" w:type="pct"/>
            <w:tcBorders>
              <w:top w:val="nil"/>
              <w:left w:val="nil"/>
              <w:bottom w:val="nil"/>
              <w:right w:val="nil"/>
            </w:tcBorders>
            <w:shd w:val="clear" w:color="auto" w:fill="auto"/>
            <w:noWrap/>
            <w:vAlign w:val="bottom"/>
            <w:hideMark/>
          </w:tcPr>
          <w:p w14:paraId="2D5B65BF" w14:textId="77777777" w:rsidR="0062499A" w:rsidRPr="00AE4E8D" w:rsidRDefault="0062499A" w:rsidP="00241071">
            <w:pPr>
              <w:rPr>
                <w:rFonts w:ascii="Times New Roman" w:hAnsi="Times New Roman"/>
                <w:color w:val="000000"/>
                <w:lang w:val="es-ES"/>
              </w:rPr>
            </w:pPr>
          </w:p>
        </w:tc>
        <w:tc>
          <w:tcPr>
            <w:tcW w:w="1394" w:type="pct"/>
            <w:tcBorders>
              <w:top w:val="nil"/>
              <w:left w:val="nil"/>
              <w:bottom w:val="nil"/>
              <w:right w:val="nil"/>
            </w:tcBorders>
            <w:shd w:val="clear" w:color="auto" w:fill="auto"/>
            <w:vAlign w:val="center"/>
            <w:hideMark/>
          </w:tcPr>
          <w:p w14:paraId="265B2103" w14:textId="77777777" w:rsidR="0062499A" w:rsidRPr="00AE4E8D" w:rsidRDefault="0062499A" w:rsidP="0062499A">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Promedio para los 10 bancos</w:t>
            </w:r>
          </w:p>
        </w:tc>
        <w:tc>
          <w:tcPr>
            <w:tcW w:w="858" w:type="pct"/>
            <w:tcBorders>
              <w:top w:val="nil"/>
              <w:left w:val="nil"/>
              <w:bottom w:val="nil"/>
              <w:right w:val="nil"/>
            </w:tcBorders>
            <w:shd w:val="clear" w:color="auto" w:fill="auto"/>
            <w:vAlign w:val="center"/>
            <w:hideMark/>
          </w:tcPr>
          <w:p w14:paraId="110E34A7"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31,45%</w:t>
            </w:r>
          </w:p>
        </w:tc>
        <w:tc>
          <w:tcPr>
            <w:tcW w:w="240" w:type="pct"/>
            <w:tcBorders>
              <w:top w:val="nil"/>
              <w:left w:val="nil"/>
              <w:bottom w:val="nil"/>
              <w:right w:val="nil"/>
            </w:tcBorders>
            <w:shd w:val="clear" w:color="auto" w:fill="auto"/>
            <w:vAlign w:val="bottom"/>
            <w:hideMark/>
          </w:tcPr>
          <w:p w14:paraId="6906A5DC"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3F15D5CB"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30,67%</w:t>
            </w:r>
          </w:p>
        </w:tc>
        <w:tc>
          <w:tcPr>
            <w:tcW w:w="255" w:type="pct"/>
            <w:tcBorders>
              <w:top w:val="nil"/>
              <w:left w:val="nil"/>
              <w:bottom w:val="nil"/>
              <w:right w:val="nil"/>
            </w:tcBorders>
            <w:shd w:val="clear" w:color="auto" w:fill="auto"/>
            <w:vAlign w:val="bottom"/>
            <w:hideMark/>
          </w:tcPr>
          <w:p w14:paraId="43B7A3AA"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770E7F34"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29,12</w:t>
            </w:r>
            <w:r w:rsidRPr="00AE4E8D">
              <w:rPr>
                <w:rFonts w:ascii="Times New Roman" w:hAnsi="Times New Roman"/>
                <w:color w:val="000000"/>
                <w:sz w:val="14"/>
                <w:lang w:val="es-ES"/>
              </w:rPr>
              <w:t>%</w:t>
            </w:r>
          </w:p>
        </w:tc>
      </w:tr>
      <w:tr w:rsidR="0062499A" w:rsidRPr="00AE4E8D" w14:paraId="581D2185" w14:textId="77777777" w:rsidTr="000400C8">
        <w:trPr>
          <w:trHeight w:val="300"/>
        </w:trPr>
        <w:tc>
          <w:tcPr>
            <w:tcW w:w="451" w:type="pct"/>
            <w:tcBorders>
              <w:top w:val="nil"/>
              <w:left w:val="nil"/>
              <w:bottom w:val="nil"/>
              <w:right w:val="nil"/>
            </w:tcBorders>
            <w:shd w:val="clear" w:color="auto" w:fill="auto"/>
            <w:noWrap/>
            <w:vAlign w:val="center"/>
            <w:hideMark/>
          </w:tcPr>
          <w:p w14:paraId="77EA74C5" w14:textId="77777777" w:rsidR="0062499A" w:rsidRPr="00AE4E8D" w:rsidRDefault="0062499A" w:rsidP="0062499A">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13</w:t>
            </w:r>
          </w:p>
        </w:tc>
        <w:tc>
          <w:tcPr>
            <w:tcW w:w="1394" w:type="pct"/>
            <w:tcBorders>
              <w:top w:val="nil"/>
              <w:left w:val="nil"/>
              <w:bottom w:val="nil"/>
              <w:right w:val="nil"/>
            </w:tcBorders>
            <w:shd w:val="clear" w:color="auto" w:fill="auto"/>
            <w:vAlign w:val="center"/>
            <w:hideMark/>
          </w:tcPr>
          <w:p w14:paraId="788E9982" w14:textId="77777777" w:rsidR="0062499A" w:rsidRPr="00AE4E8D" w:rsidRDefault="00541BD2" w:rsidP="0062499A">
            <w:pPr>
              <w:jc w:val="both"/>
              <w:rPr>
                <w:rFonts w:ascii="Times New Roman" w:hAnsi="Times New Roman"/>
                <w:b/>
                <w:color w:val="000000"/>
                <w:sz w:val="14"/>
                <w:lang w:val="es-ES"/>
              </w:rPr>
            </w:pPr>
            <w:r w:rsidRPr="00AE4E8D">
              <w:rPr>
                <w:rFonts w:ascii="Times New Roman" w:hAnsi="Times New Roman"/>
                <w:b/>
                <w:bCs/>
                <w:color w:val="000000"/>
                <w:sz w:val="14"/>
                <w:szCs w:val="14"/>
                <w:lang w:val="es-ES" w:eastAsia="es-AR"/>
              </w:rPr>
              <w:t xml:space="preserve">Banco </w:t>
            </w:r>
            <w:r w:rsidR="0062499A" w:rsidRPr="00AE4E8D">
              <w:rPr>
                <w:rFonts w:ascii="Times New Roman" w:hAnsi="Times New Roman"/>
                <w:b/>
                <w:bCs/>
                <w:color w:val="000000"/>
                <w:sz w:val="14"/>
                <w:szCs w:val="14"/>
                <w:lang w:val="es-ES" w:eastAsia="es-AR"/>
              </w:rPr>
              <w:t>Hipotecario</w:t>
            </w:r>
            <w:r w:rsidR="00713D68" w:rsidRPr="00AE4E8D">
              <w:rPr>
                <w:rFonts w:ascii="Times New Roman" w:hAnsi="Times New Roman"/>
                <w:color w:val="000000"/>
                <w:sz w:val="14"/>
                <w:szCs w:val="14"/>
                <w:lang w:val="en-US" w:eastAsia="es-AR"/>
              </w:rPr>
              <w:t xml:space="preserve"> </w:t>
            </w:r>
            <w:r w:rsidR="00713D68" w:rsidRPr="00AE4E8D">
              <w:rPr>
                <w:rFonts w:ascii="Times New Roman" w:hAnsi="Times New Roman"/>
                <w:b/>
                <w:color w:val="000000"/>
                <w:sz w:val="14"/>
                <w:szCs w:val="14"/>
                <w:lang w:val="en-US" w:eastAsia="es-AR"/>
              </w:rPr>
              <w:t>S.A.</w:t>
            </w:r>
          </w:p>
        </w:tc>
        <w:tc>
          <w:tcPr>
            <w:tcW w:w="858" w:type="pct"/>
            <w:tcBorders>
              <w:top w:val="nil"/>
              <w:left w:val="nil"/>
              <w:bottom w:val="nil"/>
              <w:right w:val="nil"/>
            </w:tcBorders>
            <w:shd w:val="clear" w:color="auto" w:fill="auto"/>
            <w:vAlign w:val="center"/>
            <w:hideMark/>
          </w:tcPr>
          <w:p w14:paraId="11A40F62"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23,40%</w:t>
            </w:r>
          </w:p>
        </w:tc>
        <w:tc>
          <w:tcPr>
            <w:tcW w:w="240" w:type="pct"/>
            <w:tcBorders>
              <w:top w:val="nil"/>
              <w:left w:val="nil"/>
              <w:bottom w:val="nil"/>
              <w:right w:val="nil"/>
            </w:tcBorders>
            <w:shd w:val="clear" w:color="auto" w:fill="auto"/>
            <w:vAlign w:val="bottom"/>
            <w:hideMark/>
          </w:tcPr>
          <w:p w14:paraId="5DEEDF84"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vAlign w:val="center"/>
            <w:hideMark/>
          </w:tcPr>
          <w:p w14:paraId="3001BEA5"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10,78%</w:t>
            </w:r>
          </w:p>
        </w:tc>
        <w:tc>
          <w:tcPr>
            <w:tcW w:w="255" w:type="pct"/>
            <w:tcBorders>
              <w:top w:val="nil"/>
              <w:left w:val="nil"/>
              <w:bottom w:val="nil"/>
              <w:right w:val="nil"/>
            </w:tcBorders>
            <w:shd w:val="clear" w:color="auto" w:fill="auto"/>
            <w:noWrap/>
            <w:vAlign w:val="bottom"/>
            <w:hideMark/>
          </w:tcPr>
          <w:p w14:paraId="4DFB84CD"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vAlign w:val="center"/>
            <w:hideMark/>
          </w:tcPr>
          <w:p w14:paraId="4522838A" w14:textId="77777777" w:rsidR="0062499A" w:rsidRPr="00AE4E8D" w:rsidRDefault="0062499A" w:rsidP="0062499A">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13,04</w:t>
            </w:r>
            <w:r w:rsidRPr="00AE4E8D">
              <w:rPr>
                <w:rFonts w:ascii="Times New Roman" w:hAnsi="Times New Roman"/>
                <w:b/>
                <w:color w:val="000000"/>
                <w:sz w:val="14"/>
                <w:lang w:val="es-ES"/>
              </w:rPr>
              <w:t>%</w:t>
            </w:r>
          </w:p>
        </w:tc>
      </w:tr>
      <w:tr w:rsidR="0062499A" w:rsidRPr="00AE4E8D" w14:paraId="6163BF75" w14:textId="77777777" w:rsidTr="000400C8">
        <w:trPr>
          <w:trHeight w:val="540"/>
        </w:trPr>
        <w:tc>
          <w:tcPr>
            <w:tcW w:w="451" w:type="pct"/>
            <w:tcBorders>
              <w:top w:val="nil"/>
              <w:left w:val="nil"/>
              <w:bottom w:val="nil"/>
              <w:right w:val="nil"/>
            </w:tcBorders>
            <w:shd w:val="clear" w:color="auto" w:fill="auto"/>
            <w:noWrap/>
            <w:vAlign w:val="bottom"/>
            <w:hideMark/>
          </w:tcPr>
          <w:p w14:paraId="709BC3BB" w14:textId="77777777" w:rsidR="0062499A" w:rsidRPr="00AE4E8D" w:rsidRDefault="0062499A" w:rsidP="0062499A">
            <w:pPr>
              <w:rPr>
                <w:rFonts w:ascii="Times New Roman" w:hAnsi="Times New Roman"/>
                <w:color w:val="000000"/>
                <w:lang w:val="es-ES"/>
              </w:rPr>
            </w:pPr>
          </w:p>
        </w:tc>
        <w:tc>
          <w:tcPr>
            <w:tcW w:w="1394" w:type="pct"/>
            <w:tcBorders>
              <w:top w:val="nil"/>
              <w:left w:val="nil"/>
              <w:bottom w:val="nil"/>
              <w:right w:val="nil"/>
            </w:tcBorders>
            <w:shd w:val="clear" w:color="auto" w:fill="auto"/>
            <w:vAlign w:val="center"/>
            <w:hideMark/>
          </w:tcPr>
          <w:p w14:paraId="22B0C3AA" w14:textId="77777777" w:rsidR="0062499A" w:rsidRPr="00AE4E8D" w:rsidRDefault="0062499A" w:rsidP="0062499A">
            <w:pPr>
              <w:rPr>
                <w:rFonts w:ascii="Times New Roman" w:hAnsi="Times New Roman"/>
                <w:color w:val="000000"/>
                <w:sz w:val="14"/>
                <w:lang w:val="es-ES"/>
              </w:rPr>
            </w:pPr>
            <w:r w:rsidRPr="00AE4E8D">
              <w:rPr>
                <w:rFonts w:ascii="Times New Roman" w:hAnsi="Times New Roman"/>
                <w:color w:val="000000"/>
                <w:sz w:val="14"/>
                <w:szCs w:val="14"/>
                <w:lang w:val="es-ES" w:eastAsia="es-AR"/>
              </w:rPr>
              <w:t>Sistema financiero argentino</w:t>
            </w:r>
          </w:p>
        </w:tc>
        <w:tc>
          <w:tcPr>
            <w:tcW w:w="858" w:type="pct"/>
            <w:tcBorders>
              <w:top w:val="nil"/>
              <w:left w:val="nil"/>
              <w:bottom w:val="nil"/>
              <w:right w:val="nil"/>
            </w:tcBorders>
            <w:shd w:val="clear" w:color="auto" w:fill="auto"/>
            <w:noWrap/>
            <w:vAlign w:val="center"/>
            <w:hideMark/>
          </w:tcPr>
          <w:p w14:paraId="724F056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33,70%</w:t>
            </w:r>
          </w:p>
        </w:tc>
        <w:tc>
          <w:tcPr>
            <w:tcW w:w="240" w:type="pct"/>
            <w:tcBorders>
              <w:top w:val="nil"/>
              <w:left w:val="nil"/>
              <w:bottom w:val="nil"/>
              <w:right w:val="nil"/>
            </w:tcBorders>
            <w:shd w:val="clear" w:color="auto" w:fill="auto"/>
            <w:noWrap/>
            <w:vAlign w:val="bottom"/>
            <w:hideMark/>
          </w:tcPr>
          <w:p w14:paraId="5C904166" w14:textId="77777777" w:rsidR="0062499A" w:rsidRPr="00AE4E8D" w:rsidRDefault="0062499A" w:rsidP="0062499A">
            <w:pPr>
              <w:rPr>
                <w:rFonts w:ascii="Times New Roman" w:hAnsi="Times New Roman"/>
                <w:color w:val="000000"/>
                <w:lang w:val="es-ES"/>
              </w:rPr>
            </w:pPr>
          </w:p>
        </w:tc>
        <w:tc>
          <w:tcPr>
            <w:tcW w:w="901" w:type="pct"/>
            <w:tcBorders>
              <w:top w:val="nil"/>
              <w:left w:val="nil"/>
              <w:bottom w:val="nil"/>
              <w:right w:val="nil"/>
            </w:tcBorders>
            <w:shd w:val="clear" w:color="auto" w:fill="auto"/>
            <w:noWrap/>
            <w:vAlign w:val="center"/>
            <w:hideMark/>
          </w:tcPr>
          <w:p w14:paraId="2529CA63"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30,97%</w:t>
            </w:r>
          </w:p>
        </w:tc>
        <w:tc>
          <w:tcPr>
            <w:tcW w:w="255" w:type="pct"/>
            <w:tcBorders>
              <w:top w:val="nil"/>
              <w:left w:val="nil"/>
              <w:bottom w:val="nil"/>
              <w:right w:val="nil"/>
            </w:tcBorders>
            <w:shd w:val="clear" w:color="auto" w:fill="auto"/>
            <w:noWrap/>
            <w:vAlign w:val="bottom"/>
            <w:hideMark/>
          </w:tcPr>
          <w:p w14:paraId="4F45F3C2" w14:textId="77777777" w:rsidR="0062499A" w:rsidRPr="00AE4E8D" w:rsidRDefault="0062499A" w:rsidP="0062499A">
            <w:pPr>
              <w:rPr>
                <w:rFonts w:ascii="Times New Roman" w:hAnsi="Times New Roman"/>
                <w:color w:val="000000"/>
                <w:sz w:val="22"/>
                <w:lang w:val="es-ES"/>
              </w:rPr>
            </w:pPr>
          </w:p>
        </w:tc>
        <w:tc>
          <w:tcPr>
            <w:tcW w:w="901" w:type="pct"/>
            <w:tcBorders>
              <w:top w:val="nil"/>
              <w:left w:val="nil"/>
              <w:bottom w:val="nil"/>
              <w:right w:val="nil"/>
            </w:tcBorders>
            <w:shd w:val="clear" w:color="auto" w:fill="auto"/>
            <w:noWrap/>
            <w:vAlign w:val="center"/>
            <w:hideMark/>
          </w:tcPr>
          <w:p w14:paraId="49A5315E" w14:textId="77777777" w:rsidR="0062499A" w:rsidRPr="00AE4E8D" w:rsidRDefault="0062499A" w:rsidP="0062499A">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29,00</w:t>
            </w:r>
            <w:r w:rsidRPr="00AE4E8D">
              <w:rPr>
                <w:rFonts w:ascii="Times New Roman" w:hAnsi="Times New Roman"/>
                <w:color w:val="000000"/>
                <w:sz w:val="14"/>
                <w:lang w:val="es-ES"/>
              </w:rPr>
              <w:t>%</w:t>
            </w:r>
          </w:p>
        </w:tc>
      </w:tr>
    </w:tbl>
    <w:p w14:paraId="4AB4E350" w14:textId="77777777" w:rsidR="008C50B4" w:rsidRPr="00AE4E8D" w:rsidRDefault="008C50B4" w:rsidP="008C50B4">
      <w:pPr>
        <w:keepLines/>
        <w:rPr>
          <w:rFonts w:ascii="Times New Roman" w:hAnsi="Times New Roman"/>
          <w:sz w:val="16"/>
          <w:lang w:val="es-ES"/>
        </w:rPr>
      </w:pPr>
      <w:bookmarkStart w:id="586" w:name="_Toc426455359"/>
      <w:bookmarkStart w:id="587" w:name="_Toc424148988"/>
      <w:r w:rsidRPr="00AE4E8D">
        <w:rPr>
          <w:rFonts w:ascii="Times New Roman" w:hAnsi="Times New Roman"/>
          <w:sz w:val="16"/>
          <w:lang w:val="es-ES"/>
        </w:rPr>
        <w:t>(*) Fuente: BCRA.</w:t>
      </w:r>
      <w:bookmarkStart w:id="588" w:name="_Toc421201422"/>
      <w:bookmarkEnd w:id="586"/>
    </w:p>
    <w:p w14:paraId="18815EEA" w14:textId="77777777" w:rsidR="008C50B4" w:rsidRPr="00AE4E8D" w:rsidRDefault="008C50B4" w:rsidP="008C50B4">
      <w:pPr>
        <w:keepLines/>
        <w:autoSpaceDE w:val="0"/>
        <w:autoSpaceDN w:val="0"/>
        <w:adjustRightInd w:val="0"/>
        <w:spacing w:before="240" w:after="240"/>
        <w:outlineLvl w:val="1"/>
        <w:rPr>
          <w:rFonts w:ascii="Times New Roman" w:hAnsi="Times New Roman"/>
          <w:b/>
          <w:lang w:val="es-ES"/>
        </w:rPr>
      </w:pPr>
      <w:bookmarkStart w:id="589" w:name="_Toc495973036"/>
      <w:bookmarkStart w:id="590" w:name="_Toc495399943"/>
      <w:r w:rsidRPr="00AE4E8D">
        <w:rPr>
          <w:rFonts w:ascii="Times New Roman" w:hAnsi="Times New Roman"/>
          <w:b/>
          <w:lang w:val="es-ES"/>
        </w:rPr>
        <w:t>Redes de Sucursales</w:t>
      </w:r>
      <w:bookmarkEnd w:id="587"/>
      <w:bookmarkEnd w:id="588"/>
      <w:bookmarkEnd w:id="589"/>
      <w:bookmarkEnd w:id="590"/>
    </w:p>
    <w:p w14:paraId="3622EB3C" w14:textId="77777777" w:rsidR="008C50B4" w:rsidRPr="00AE4E8D" w:rsidRDefault="008C50B4" w:rsidP="008C50B4">
      <w:pPr>
        <w:keepLines/>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siguiente tabla muestra la cantidad de sucursales con servicios completos para los diez bancos más grandes del sistema financiero argentino a las fechas indicadas:</w:t>
      </w:r>
    </w:p>
    <w:tbl>
      <w:tblPr>
        <w:tblW w:w="5000" w:type="pct"/>
        <w:tblCellMar>
          <w:left w:w="70" w:type="dxa"/>
          <w:right w:w="70" w:type="dxa"/>
        </w:tblCellMar>
        <w:tblLook w:val="04A0" w:firstRow="1" w:lastRow="0" w:firstColumn="1" w:lastColumn="0" w:noHBand="0" w:noVBand="1"/>
      </w:tblPr>
      <w:tblGrid>
        <w:gridCol w:w="780"/>
        <w:gridCol w:w="1772"/>
        <w:gridCol w:w="807"/>
        <w:gridCol w:w="220"/>
        <w:gridCol w:w="956"/>
        <w:gridCol w:w="161"/>
        <w:gridCol w:w="833"/>
        <w:gridCol w:w="161"/>
        <w:gridCol w:w="973"/>
        <w:gridCol w:w="161"/>
        <w:gridCol w:w="690"/>
        <w:gridCol w:w="161"/>
        <w:gridCol w:w="970"/>
      </w:tblGrid>
      <w:tr w:rsidR="003B5193" w:rsidRPr="00AE4E8D" w14:paraId="4848801A" w14:textId="77777777" w:rsidTr="000400C8">
        <w:trPr>
          <w:trHeight w:val="315"/>
        </w:trPr>
        <w:tc>
          <w:tcPr>
            <w:tcW w:w="451" w:type="pct"/>
            <w:vMerge w:val="restart"/>
            <w:tcBorders>
              <w:top w:val="nil"/>
              <w:left w:val="nil"/>
              <w:bottom w:val="nil"/>
              <w:right w:val="nil"/>
            </w:tcBorders>
            <w:shd w:val="clear" w:color="auto" w:fill="auto"/>
            <w:vAlign w:val="center"/>
            <w:hideMark/>
          </w:tcPr>
          <w:p w14:paraId="74A7276C"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Ranking por préstamos</w:t>
            </w:r>
          </w:p>
        </w:tc>
        <w:tc>
          <w:tcPr>
            <w:tcW w:w="1025" w:type="pct"/>
            <w:vMerge w:val="restart"/>
            <w:tcBorders>
              <w:top w:val="nil"/>
              <w:left w:val="nil"/>
              <w:bottom w:val="nil"/>
              <w:right w:val="nil"/>
            </w:tcBorders>
            <w:shd w:val="clear" w:color="auto" w:fill="auto"/>
            <w:vAlign w:val="center"/>
            <w:hideMark/>
          </w:tcPr>
          <w:p w14:paraId="4BA05724"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Banco</w:t>
            </w:r>
          </w:p>
        </w:tc>
        <w:tc>
          <w:tcPr>
            <w:tcW w:w="2378" w:type="pct"/>
            <w:gridSpan w:val="7"/>
            <w:tcBorders>
              <w:top w:val="nil"/>
              <w:left w:val="nil"/>
              <w:bottom w:val="single" w:sz="8" w:space="0" w:color="auto"/>
              <w:right w:val="nil"/>
            </w:tcBorders>
            <w:shd w:val="clear" w:color="auto" w:fill="auto"/>
            <w:vAlign w:val="center"/>
            <w:hideMark/>
          </w:tcPr>
          <w:p w14:paraId="613BD21F"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Al 31 de diciembre,</w:t>
            </w:r>
          </w:p>
        </w:tc>
        <w:tc>
          <w:tcPr>
            <w:tcW w:w="93" w:type="pct"/>
            <w:tcBorders>
              <w:top w:val="nil"/>
              <w:left w:val="nil"/>
              <w:bottom w:val="nil"/>
              <w:right w:val="nil"/>
            </w:tcBorders>
            <w:shd w:val="clear" w:color="auto" w:fill="auto"/>
            <w:vAlign w:val="center"/>
            <w:hideMark/>
          </w:tcPr>
          <w:p w14:paraId="4EF8EB7E" w14:textId="77777777" w:rsidR="00053E69" w:rsidRPr="00AE4E8D" w:rsidRDefault="00053E69" w:rsidP="00053E69">
            <w:pPr>
              <w:rPr>
                <w:rFonts w:ascii="Times New Roman" w:hAnsi="Times New Roman"/>
                <w:b/>
                <w:bCs/>
                <w:color w:val="000000"/>
                <w:sz w:val="14"/>
                <w:szCs w:val="14"/>
                <w:lang w:val="es-ES" w:eastAsia="es-AR"/>
              </w:rPr>
            </w:pPr>
          </w:p>
        </w:tc>
        <w:tc>
          <w:tcPr>
            <w:tcW w:w="1053" w:type="pct"/>
            <w:gridSpan w:val="3"/>
            <w:tcBorders>
              <w:top w:val="nil"/>
              <w:left w:val="nil"/>
              <w:bottom w:val="single" w:sz="8" w:space="0" w:color="auto"/>
              <w:right w:val="nil"/>
            </w:tcBorders>
            <w:shd w:val="clear" w:color="auto" w:fill="auto"/>
            <w:vAlign w:val="center"/>
            <w:hideMark/>
          </w:tcPr>
          <w:p w14:paraId="3E6F20C2" w14:textId="77777777" w:rsidR="00053E69" w:rsidRPr="00AE4E8D" w:rsidRDefault="00053E69" w:rsidP="00053E69">
            <w:pPr>
              <w:jc w:val="center"/>
              <w:rPr>
                <w:rFonts w:ascii="Times New Roman" w:hAnsi="Times New Roman"/>
                <w:b/>
                <w:bCs/>
                <w:color w:val="000000"/>
                <w:sz w:val="14"/>
                <w:szCs w:val="14"/>
                <w:lang w:val="es-ES" w:eastAsia="es-AR"/>
              </w:rPr>
            </w:pPr>
            <w:r w:rsidRPr="00AE4E8D">
              <w:rPr>
                <w:rFonts w:ascii="Times New Roman" w:hAnsi="Times New Roman"/>
                <w:b/>
                <w:bCs/>
                <w:color w:val="000000"/>
                <w:sz w:val="14"/>
                <w:szCs w:val="14"/>
                <w:lang w:val="es-ES" w:eastAsia="es-AR"/>
              </w:rPr>
              <w:t>Al 30 de abril,</w:t>
            </w:r>
          </w:p>
        </w:tc>
      </w:tr>
      <w:tr w:rsidR="000604B3" w:rsidRPr="00AE4E8D" w14:paraId="2E120A52" w14:textId="77777777" w:rsidTr="000604B3">
        <w:trPr>
          <w:trHeight w:val="315"/>
        </w:trPr>
        <w:tc>
          <w:tcPr>
            <w:tcW w:w="451" w:type="pct"/>
            <w:vMerge/>
            <w:tcBorders>
              <w:top w:val="nil"/>
              <w:left w:val="nil"/>
              <w:bottom w:val="nil"/>
              <w:right w:val="nil"/>
            </w:tcBorders>
            <w:vAlign w:val="center"/>
            <w:hideMark/>
          </w:tcPr>
          <w:p w14:paraId="2067462E" w14:textId="77777777" w:rsidR="00053E69" w:rsidRPr="00AE4E8D" w:rsidRDefault="00053E69" w:rsidP="00053E69">
            <w:pPr>
              <w:rPr>
                <w:rFonts w:ascii="Times New Roman" w:hAnsi="Times New Roman"/>
                <w:b/>
                <w:color w:val="000000"/>
                <w:sz w:val="14"/>
                <w:lang w:val="es-ES"/>
              </w:rPr>
            </w:pPr>
          </w:p>
        </w:tc>
        <w:tc>
          <w:tcPr>
            <w:tcW w:w="1025" w:type="pct"/>
            <w:vMerge/>
            <w:tcBorders>
              <w:top w:val="nil"/>
              <w:left w:val="nil"/>
              <w:bottom w:val="nil"/>
              <w:right w:val="nil"/>
            </w:tcBorders>
            <w:vAlign w:val="center"/>
            <w:hideMark/>
          </w:tcPr>
          <w:p w14:paraId="34FC194B" w14:textId="77777777" w:rsidR="00053E69" w:rsidRPr="00AE4E8D" w:rsidRDefault="00053E69" w:rsidP="00053E69">
            <w:pPr>
              <w:rPr>
                <w:rFonts w:ascii="Times New Roman" w:hAnsi="Times New Roman"/>
                <w:b/>
                <w:color w:val="000000"/>
                <w:sz w:val="14"/>
                <w:lang w:val="es-ES"/>
              </w:rPr>
            </w:pPr>
          </w:p>
        </w:tc>
        <w:tc>
          <w:tcPr>
            <w:tcW w:w="1147" w:type="pct"/>
            <w:gridSpan w:val="3"/>
            <w:tcBorders>
              <w:top w:val="single" w:sz="8" w:space="0" w:color="auto"/>
              <w:left w:val="nil"/>
              <w:bottom w:val="single" w:sz="8" w:space="0" w:color="auto"/>
              <w:right w:val="nil"/>
            </w:tcBorders>
            <w:shd w:val="clear" w:color="auto" w:fill="auto"/>
            <w:vAlign w:val="center"/>
            <w:hideMark/>
          </w:tcPr>
          <w:p w14:paraId="46633022"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2015</w:t>
            </w:r>
          </w:p>
        </w:tc>
        <w:tc>
          <w:tcPr>
            <w:tcW w:w="93" w:type="pct"/>
            <w:tcBorders>
              <w:top w:val="nil"/>
              <w:left w:val="nil"/>
              <w:bottom w:val="nil"/>
              <w:right w:val="nil"/>
            </w:tcBorders>
            <w:shd w:val="clear" w:color="auto" w:fill="auto"/>
            <w:vAlign w:val="center"/>
            <w:hideMark/>
          </w:tcPr>
          <w:p w14:paraId="663A52AE" w14:textId="77777777" w:rsidR="00053E69" w:rsidRPr="00AE4E8D" w:rsidRDefault="00053E69" w:rsidP="00241071">
            <w:pPr>
              <w:rPr>
                <w:rFonts w:ascii="Times New Roman" w:hAnsi="Times New Roman"/>
                <w:color w:val="000000"/>
                <w:lang w:val="es-ES"/>
              </w:rPr>
            </w:pPr>
          </w:p>
        </w:tc>
        <w:tc>
          <w:tcPr>
            <w:tcW w:w="1138" w:type="pct"/>
            <w:gridSpan w:val="3"/>
            <w:tcBorders>
              <w:top w:val="single" w:sz="8" w:space="0" w:color="auto"/>
              <w:left w:val="nil"/>
              <w:bottom w:val="single" w:sz="8" w:space="0" w:color="auto"/>
              <w:right w:val="nil"/>
            </w:tcBorders>
            <w:shd w:val="clear" w:color="auto" w:fill="auto"/>
            <w:vAlign w:val="center"/>
            <w:hideMark/>
          </w:tcPr>
          <w:p w14:paraId="6682BE3E"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2016</w:t>
            </w:r>
          </w:p>
        </w:tc>
        <w:tc>
          <w:tcPr>
            <w:tcW w:w="93" w:type="pct"/>
            <w:tcBorders>
              <w:top w:val="nil"/>
              <w:left w:val="nil"/>
              <w:bottom w:val="nil"/>
              <w:right w:val="nil"/>
            </w:tcBorders>
            <w:shd w:val="clear" w:color="auto" w:fill="auto"/>
            <w:vAlign w:val="center"/>
            <w:hideMark/>
          </w:tcPr>
          <w:p w14:paraId="40C932FB" w14:textId="77777777" w:rsidR="00053E69" w:rsidRPr="00AE4E8D" w:rsidRDefault="00053E69" w:rsidP="00241071">
            <w:pPr>
              <w:rPr>
                <w:rFonts w:ascii="Times New Roman" w:hAnsi="Times New Roman"/>
                <w:color w:val="000000"/>
                <w:lang w:val="es-ES"/>
              </w:rPr>
            </w:pPr>
          </w:p>
        </w:tc>
        <w:tc>
          <w:tcPr>
            <w:tcW w:w="1053" w:type="pct"/>
            <w:gridSpan w:val="3"/>
            <w:tcBorders>
              <w:top w:val="single" w:sz="8" w:space="0" w:color="auto"/>
              <w:left w:val="nil"/>
              <w:bottom w:val="single" w:sz="8" w:space="0" w:color="auto"/>
              <w:right w:val="nil"/>
            </w:tcBorders>
            <w:shd w:val="clear" w:color="auto" w:fill="auto"/>
            <w:vAlign w:val="center"/>
            <w:hideMark/>
          </w:tcPr>
          <w:p w14:paraId="01B59497"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2017</w:t>
            </w:r>
          </w:p>
        </w:tc>
      </w:tr>
      <w:tr w:rsidR="000604B3" w:rsidRPr="00AE4E8D" w14:paraId="031B4816" w14:textId="77777777" w:rsidTr="000400C8">
        <w:trPr>
          <w:trHeight w:val="315"/>
        </w:trPr>
        <w:tc>
          <w:tcPr>
            <w:tcW w:w="451" w:type="pct"/>
            <w:vMerge/>
            <w:tcBorders>
              <w:top w:val="nil"/>
              <w:left w:val="nil"/>
              <w:bottom w:val="nil"/>
              <w:right w:val="nil"/>
            </w:tcBorders>
            <w:vAlign w:val="center"/>
            <w:hideMark/>
          </w:tcPr>
          <w:p w14:paraId="0522BEBE" w14:textId="77777777" w:rsidR="00053E69" w:rsidRPr="00AE4E8D" w:rsidRDefault="00053E69" w:rsidP="00053E69">
            <w:pPr>
              <w:rPr>
                <w:rFonts w:ascii="Times New Roman" w:hAnsi="Times New Roman"/>
                <w:b/>
                <w:color w:val="000000"/>
                <w:sz w:val="14"/>
                <w:lang w:val="es-ES"/>
              </w:rPr>
            </w:pPr>
          </w:p>
        </w:tc>
        <w:tc>
          <w:tcPr>
            <w:tcW w:w="1025" w:type="pct"/>
            <w:vMerge/>
            <w:tcBorders>
              <w:top w:val="nil"/>
              <w:left w:val="nil"/>
              <w:bottom w:val="nil"/>
              <w:right w:val="nil"/>
            </w:tcBorders>
            <w:vAlign w:val="center"/>
            <w:hideMark/>
          </w:tcPr>
          <w:p w14:paraId="20FC2610" w14:textId="77777777" w:rsidR="00053E69" w:rsidRPr="00AE4E8D" w:rsidRDefault="00053E69" w:rsidP="00053E69">
            <w:pPr>
              <w:rPr>
                <w:rFonts w:ascii="Times New Roman" w:hAnsi="Times New Roman"/>
                <w:b/>
                <w:color w:val="000000"/>
                <w:sz w:val="14"/>
                <w:lang w:val="es-ES"/>
              </w:rPr>
            </w:pPr>
          </w:p>
        </w:tc>
        <w:tc>
          <w:tcPr>
            <w:tcW w:w="467" w:type="pct"/>
            <w:tcBorders>
              <w:top w:val="nil"/>
              <w:left w:val="nil"/>
              <w:bottom w:val="single" w:sz="8" w:space="0" w:color="auto"/>
              <w:right w:val="nil"/>
            </w:tcBorders>
            <w:shd w:val="clear" w:color="auto" w:fill="auto"/>
            <w:vAlign w:val="center"/>
            <w:hideMark/>
          </w:tcPr>
          <w:p w14:paraId="044CFFA5"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127" w:type="pct"/>
            <w:tcBorders>
              <w:top w:val="nil"/>
              <w:left w:val="nil"/>
              <w:bottom w:val="nil"/>
              <w:right w:val="nil"/>
            </w:tcBorders>
            <w:shd w:val="clear" w:color="auto" w:fill="auto"/>
            <w:vAlign w:val="center"/>
            <w:hideMark/>
          </w:tcPr>
          <w:p w14:paraId="18F80987" w14:textId="77777777" w:rsidR="00053E69" w:rsidRPr="00AE4E8D" w:rsidRDefault="00053E69" w:rsidP="00241071">
            <w:pPr>
              <w:rPr>
                <w:rFonts w:ascii="Times New Roman" w:hAnsi="Times New Roman"/>
                <w:color w:val="000000"/>
                <w:lang w:val="es-ES"/>
              </w:rPr>
            </w:pPr>
          </w:p>
        </w:tc>
        <w:tc>
          <w:tcPr>
            <w:tcW w:w="553" w:type="pct"/>
            <w:tcBorders>
              <w:top w:val="nil"/>
              <w:left w:val="nil"/>
              <w:bottom w:val="single" w:sz="8" w:space="0" w:color="auto"/>
              <w:right w:val="nil"/>
            </w:tcBorders>
            <w:shd w:val="clear" w:color="auto" w:fill="auto"/>
            <w:vAlign w:val="center"/>
            <w:hideMark/>
          </w:tcPr>
          <w:p w14:paraId="7E923670"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93" w:type="pct"/>
            <w:tcBorders>
              <w:top w:val="nil"/>
              <w:left w:val="nil"/>
              <w:bottom w:val="nil"/>
              <w:right w:val="nil"/>
            </w:tcBorders>
            <w:shd w:val="clear" w:color="auto" w:fill="auto"/>
            <w:vAlign w:val="center"/>
            <w:hideMark/>
          </w:tcPr>
          <w:p w14:paraId="4A3F61F2" w14:textId="77777777" w:rsidR="00053E69" w:rsidRPr="00AE4E8D" w:rsidRDefault="00053E69" w:rsidP="00241071">
            <w:pPr>
              <w:rPr>
                <w:rFonts w:ascii="Times New Roman" w:hAnsi="Times New Roman"/>
                <w:color w:val="000000"/>
                <w:lang w:val="es-ES"/>
              </w:rPr>
            </w:pPr>
          </w:p>
        </w:tc>
        <w:tc>
          <w:tcPr>
            <w:tcW w:w="482" w:type="pct"/>
            <w:tcBorders>
              <w:top w:val="nil"/>
              <w:left w:val="nil"/>
              <w:bottom w:val="single" w:sz="8" w:space="0" w:color="auto"/>
              <w:right w:val="nil"/>
            </w:tcBorders>
            <w:shd w:val="clear" w:color="auto" w:fill="auto"/>
            <w:vAlign w:val="center"/>
            <w:hideMark/>
          </w:tcPr>
          <w:p w14:paraId="7C9D531B"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93" w:type="pct"/>
            <w:tcBorders>
              <w:top w:val="nil"/>
              <w:left w:val="nil"/>
              <w:bottom w:val="nil"/>
              <w:right w:val="nil"/>
            </w:tcBorders>
            <w:shd w:val="clear" w:color="auto" w:fill="auto"/>
            <w:vAlign w:val="center"/>
            <w:hideMark/>
          </w:tcPr>
          <w:p w14:paraId="3A8A3CFA"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single" w:sz="8" w:space="0" w:color="auto"/>
              <w:right w:val="nil"/>
            </w:tcBorders>
            <w:shd w:val="clear" w:color="auto" w:fill="auto"/>
            <w:vAlign w:val="center"/>
            <w:hideMark/>
          </w:tcPr>
          <w:p w14:paraId="64521A8F"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c>
          <w:tcPr>
            <w:tcW w:w="93" w:type="pct"/>
            <w:tcBorders>
              <w:top w:val="nil"/>
              <w:left w:val="nil"/>
              <w:bottom w:val="nil"/>
              <w:right w:val="nil"/>
            </w:tcBorders>
            <w:shd w:val="clear" w:color="auto" w:fill="auto"/>
            <w:vAlign w:val="center"/>
            <w:hideMark/>
          </w:tcPr>
          <w:p w14:paraId="3CD1D4B0" w14:textId="77777777" w:rsidR="00053E69" w:rsidRPr="00AE4E8D" w:rsidRDefault="00053E69" w:rsidP="00241071">
            <w:pPr>
              <w:rPr>
                <w:rFonts w:ascii="Times New Roman" w:hAnsi="Times New Roman"/>
                <w:color w:val="000000"/>
                <w:lang w:val="es-ES"/>
              </w:rPr>
            </w:pPr>
          </w:p>
        </w:tc>
        <w:tc>
          <w:tcPr>
            <w:tcW w:w="399" w:type="pct"/>
            <w:tcBorders>
              <w:top w:val="nil"/>
              <w:left w:val="nil"/>
              <w:bottom w:val="single" w:sz="8" w:space="0" w:color="auto"/>
              <w:right w:val="nil"/>
            </w:tcBorders>
            <w:shd w:val="clear" w:color="auto" w:fill="auto"/>
            <w:vAlign w:val="center"/>
            <w:hideMark/>
          </w:tcPr>
          <w:p w14:paraId="58D93DA0"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Monto</w:t>
            </w:r>
          </w:p>
        </w:tc>
        <w:tc>
          <w:tcPr>
            <w:tcW w:w="93" w:type="pct"/>
            <w:tcBorders>
              <w:top w:val="nil"/>
              <w:left w:val="nil"/>
              <w:bottom w:val="nil"/>
              <w:right w:val="nil"/>
            </w:tcBorders>
            <w:shd w:val="clear" w:color="auto" w:fill="auto"/>
            <w:vAlign w:val="center"/>
            <w:hideMark/>
          </w:tcPr>
          <w:p w14:paraId="211E0D3A" w14:textId="77777777" w:rsidR="00053E69" w:rsidRPr="00AE4E8D" w:rsidRDefault="00053E69" w:rsidP="00241071">
            <w:pPr>
              <w:rPr>
                <w:rFonts w:ascii="Times New Roman" w:hAnsi="Times New Roman"/>
                <w:color w:val="000000"/>
                <w:lang w:val="es-ES"/>
              </w:rPr>
            </w:pPr>
          </w:p>
        </w:tc>
        <w:tc>
          <w:tcPr>
            <w:tcW w:w="561" w:type="pct"/>
            <w:tcBorders>
              <w:top w:val="nil"/>
              <w:left w:val="nil"/>
              <w:bottom w:val="single" w:sz="8" w:space="0" w:color="auto"/>
              <w:right w:val="nil"/>
            </w:tcBorders>
            <w:shd w:val="clear" w:color="auto" w:fill="auto"/>
            <w:vAlign w:val="center"/>
            <w:hideMark/>
          </w:tcPr>
          <w:p w14:paraId="18EE2557"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Participación</w:t>
            </w:r>
          </w:p>
        </w:tc>
      </w:tr>
      <w:tr w:rsidR="00053E69" w:rsidRPr="00AE4E8D" w14:paraId="5DA5C62E" w14:textId="77777777" w:rsidTr="000400C8">
        <w:trPr>
          <w:trHeight w:val="300"/>
        </w:trPr>
        <w:tc>
          <w:tcPr>
            <w:tcW w:w="451" w:type="pct"/>
            <w:tcBorders>
              <w:top w:val="nil"/>
              <w:left w:val="nil"/>
              <w:bottom w:val="nil"/>
              <w:right w:val="nil"/>
            </w:tcBorders>
            <w:shd w:val="clear" w:color="auto" w:fill="auto"/>
            <w:noWrap/>
            <w:vAlign w:val="bottom"/>
            <w:hideMark/>
          </w:tcPr>
          <w:p w14:paraId="48A9206D" w14:textId="77777777" w:rsidR="00053E69" w:rsidRPr="00AE4E8D" w:rsidRDefault="00053E69" w:rsidP="00053E69">
            <w:pPr>
              <w:rPr>
                <w:rFonts w:ascii="Times New Roman" w:hAnsi="Times New Roman"/>
                <w:color w:val="000000"/>
                <w:lang w:val="es-ES"/>
              </w:rPr>
            </w:pPr>
          </w:p>
        </w:tc>
        <w:tc>
          <w:tcPr>
            <w:tcW w:w="1025" w:type="pct"/>
            <w:tcBorders>
              <w:top w:val="nil"/>
              <w:left w:val="nil"/>
              <w:bottom w:val="nil"/>
              <w:right w:val="nil"/>
            </w:tcBorders>
            <w:shd w:val="clear" w:color="auto" w:fill="auto"/>
            <w:vAlign w:val="bottom"/>
            <w:hideMark/>
          </w:tcPr>
          <w:p w14:paraId="1B4DC46D" w14:textId="77777777" w:rsidR="00053E69" w:rsidRPr="00AE4E8D" w:rsidRDefault="00053E69" w:rsidP="00241071">
            <w:pPr>
              <w:rPr>
                <w:rFonts w:ascii="Times New Roman" w:hAnsi="Times New Roman"/>
                <w:color w:val="000000"/>
                <w:lang w:val="es-ES"/>
              </w:rPr>
            </w:pPr>
          </w:p>
        </w:tc>
        <w:tc>
          <w:tcPr>
            <w:tcW w:w="3524" w:type="pct"/>
            <w:gridSpan w:val="11"/>
            <w:tcBorders>
              <w:top w:val="nil"/>
              <w:left w:val="nil"/>
              <w:bottom w:val="nil"/>
              <w:right w:val="nil"/>
            </w:tcBorders>
            <w:shd w:val="clear" w:color="auto" w:fill="auto"/>
            <w:vAlign w:val="bottom"/>
            <w:hideMark/>
          </w:tcPr>
          <w:p w14:paraId="11755760" w14:textId="77777777" w:rsidR="00053E69" w:rsidRPr="00AE4E8D" w:rsidRDefault="00053E69" w:rsidP="00241071">
            <w:pPr>
              <w:rPr>
                <w:rFonts w:ascii="Times New Roman" w:hAnsi="Times New Roman"/>
                <w:color w:val="000000"/>
                <w:lang w:val="es-ES"/>
              </w:rPr>
            </w:pPr>
          </w:p>
        </w:tc>
      </w:tr>
      <w:tr w:rsidR="000604B3" w:rsidRPr="00AE4E8D" w14:paraId="1C846E92" w14:textId="77777777" w:rsidTr="000400C8">
        <w:trPr>
          <w:trHeight w:val="300"/>
        </w:trPr>
        <w:tc>
          <w:tcPr>
            <w:tcW w:w="451" w:type="pct"/>
            <w:tcBorders>
              <w:top w:val="nil"/>
              <w:left w:val="nil"/>
              <w:bottom w:val="nil"/>
              <w:right w:val="nil"/>
            </w:tcBorders>
            <w:shd w:val="clear" w:color="auto" w:fill="auto"/>
            <w:vAlign w:val="center"/>
            <w:hideMark/>
          </w:tcPr>
          <w:p w14:paraId="3BB0B76A" w14:textId="77777777" w:rsidR="00053E69" w:rsidRPr="00AE4E8D" w:rsidRDefault="00053E69" w:rsidP="00053E69">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1</w:t>
            </w:r>
          </w:p>
        </w:tc>
        <w:tc>
          <w:tcPr>
            <w:tcW w:w="1025" w:type="pct"/>
            <w:tcBorders>
              <w:top w:val="nil"/>
              <w:left w:val="nil"/>
              <w:bottom w:val="nil"/>
              <w:right w:val="nil"/>
            </w:tcBorders>
            <w:shd w:val="clear" w:color="auto" w:fill="auto"/>
            <w:vAlign w:val="center"/>
            <w:hideMark/>
          </w:tcPr>
          <w:p w14:paraId="05793C25" w14:textId="77777777" w:rsidR="00053E69" w:rsidRPr="00AE4E8D" w:rsidRDefault="00053E69" w:rsidP="00053E69">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541BD2" w:rsidRPr="00AE4E8D">
              <w:rPr>
                <w:rFonts w:ascii="Times New Roman" w:hAnsi="Times New Roman"/>
                <w:color w:val="000000"/>
                <w:sz w:val="14"/>
                <w:szCs w:val="14"/>
                <w:lang w:val="es-ES" w:eastAsia="es-AR"/>
              </w:rPr>
              <w:t xml:space="preserve">de la </w:t>
            </w:r>
            <w:r w:rsidRPr="00AE4E8D">
              <w:rPr>
                <w:rFonts w:ascii="Times New Roman" w:hAnsi="Times New Roman"/>
                <w:color w:val="000000"/>
                <w:sz w:val="14"/>
                <w:szCs w:val="14"/>
                <w:lang w:val="es-ES" w:eastAsia="es-AR"/>
              </w:rPr>
              <w:t>Nación</w:t>
            </w:r>
            <w:r w:rsidR="00541BD2" w:rsidRPr="00AE4E8D">
              <w:rPr>
                <w:rFonts w:ascii="Times New Roman" w:hAnsi="Times New Roman"/>
                <w:color w:val="000000"/>
                <w:sz w:val="14"/>
                <w:szCs w:val="14"/>
                <w:lang w:val="es-ES" w:eastAsia="es-AR"/>
              </w:rPr>
              <w:t xml:space="preserve"> Argentina</w:t>
            </w:r>
          </w:p>
        </w:tc>
        <w:tc>
          <w:tcPr>
            <w:tcW w:w="467" w:type="pct"/>
            <w:tcBorders>
              <w:top w:val="nil"/>
              <w:left w:val="nil"/>
              <w:bottom w:val="nil"/>
              <w:right w:val="nil"/>
            </w:tcBorders>
            <w:shd w:val="clear" w:color="auto" w:fill="auto"/>
            <w:vAlign w:val="center"/>
            <w:hideMark/>
          </w:tcPr>
          <w:p w14:paraId="17051ABB"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634</w:t>
            </w:r>
          </w:p>
        </w:tc>
        <w:tc>
          <w:tcPr>
            <w:tcW w:w="127" w:type="pct"/>
            <w:tcBorders>
              <w:top w:val="nil"/>
              <w:left w:val="nil"/>
              <w:bottom w:val="nil"/>
              <w:right w:val="nil"/>
            </w:tcBorders>
            <w:shd w:val="clear" w:color="auto" w:fill="auto"/>
            <w:vAlign w:val="bottom"/>
            <w:hideMark/>
          </w:tcPr>
          <w:p w14:paraId="39DF2FC2" w14:textId="77777777" w:rsidR="00053E69" w:rsidRPr="00AE4E8D" w:rsidRDefault="00053E69" w:rsidP="00241071">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4237E551"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14,21%</w:t>
            </w:r>
          </w:p>
        </w:tc>
        <w:tc>
          <w:tcPr>
            <w:tcW w:w="93" w:type="pct"/>
            <w:tcBorders>
              <w:top w:val="nil"/>
              <w:left w:val="nil"/>
              <w:bottom w:val="nil"/>
              <w:right w:val="nil"/>
            </w:tcBorders>
            <w:shd w:val="clear" w:color="auto" w:fill="auto"/>
            <w:vAlign w:val="bottom"/>
            <w:hideMark/>
          </w:tcPr>
          <w:p w14:paraId="756524F9"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44484869"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634</w:t>
            </w:r>
          </w:p>
        </w:tc>
        <w:tc>
          <w:tcPr>
            <w:tcW w:w="93" w:type="pct"/>
            <w:tcBorders>
              <w:top w:val="nil"/>
              <w:left w:val="nil"/>
              <w:bottom w:val="nil"/>
              <w:right w:val="nil"/>
            </w:tcBorders>
            <w:shd w:val="clear" w:color="auto" w:fill="auto"/>
            <w:vAlign w:val="bottom"/>
            <w:hideMark/>
          </w:tcPr>
          <w:p w14:paraId="240EC9F9"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66672986"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13,93%</w:t>
            </w:r>
          </w:p>
        </w:tc>
        <w:tc>
          <w:tcPr>
            <w:tcW w:w="93" w:type="pct"/>
            <w:tcBorders>
              <w:top w:val="nil"/>
              <w:left w:val="nil"/>
              <w:bottom w:val="nil"/>
              <w:right w:val="nil"/>
            </w:tcBorders>
            <w:shd w:val="clear" w:color="auto" w:fill="auto"/>
            <w:noWrap/>
            <w:vAlign w:val="bottom"/>
            <w:hideMark/>
          </w:tcPr>
          <w:p w14:paraId="1EB0F23E"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0549F1F8"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630</w:t>
            </w:r>
          </w:p>
        </w:tc>
        <w:tc>
          <w:tcPr>
            <w:tcW w:w="93" w:type="pct"/>
            <w:tcBorders>
              <w:top w:val="nil"/>
              <w:left w:val="nil"/>
              <w:bottom w:val="nil"/>
              <w:right w:val="nil"/>
            </w:tcBorders>
            <w:shd w:val="clear" w:color="auto" w:fill="auto"/>
            <w:noWrap/>
            <w:vAlign w:val="bottom"/>
            <w:hideMark/>
          </w:tcPr>
          <w:p w14:paraId="00D4687A"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6FB8B854"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14,16</w:t>
            </w:r>
            <w:r w:rsidRPr="00AE4E8D">
              <w:rPr>
                <w:rFonts w:ascii="Times New Roman" w:hAnsi="Times New Roman"/>
                <w:color w:val="000000"/>
                <w:sz w:val="14"/>
                <w:lang w:val="es-ES"/>
              </w:rPr>
              <w:t>%</w:t>
            </w:r>
          </w:p>
        </w:tc>
      </w:tr>
      <w:tr w:rsidR="000604B3" w:rsidRPr="00AE4E8D" w14:paraId="6A6227DE" w14:textId="77777777" w:rsidTr="000400C8">
        <w:trPr>
          <w:trHeight w:val="300"/>
        </w:trPr>
        <w:tc>
          <w:tcPr>
            <w:tcW w:w="451" w:type="pct"/>
            <w:tcBorders>
              <w:top w:val="nil"/>
              <w:left w:val="nil"/>
              <w:bottom w:val="nil"/>
              <w:right w:val="nil"/>
            </w:tcBorders>
            <w:shd w:val="clear" w:color="auto" w:fill="auto"/>
            <w:vAlign w:val="center"/>
            <w:hideMark/>
          </w:tcPr>
          <w:p w14:paraId="1F92A664" w14:textId="77777777" w:rsidR="00053E69" w:rsidRPr="00AE4E8D" w:rsidRDefault="00053E69" w:rsidP="00053E69">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2</w:t>
            </w:r>
          </w:p>
        </w:tc>
        <w:tc>
          <w:tcPr>
            <w:tcW w:w="1025" w:type="pct"/>
            <w:tcBorders>
              <w:top w:val="nil"/>
              <w:left w:val="nil"/>
              <w:bottom w:val="nil"/>
              <w:right w:val="nil"/>
            </w:tcBorders>
            <w:shd w:val="clear" w:color="auto" w:fill="auto"/>
            <w:vAlign w:val="center"/>
            <w:hideMark/>
          </w:tcPr>
          <w:p w14:paraId="58060B84" w14:textId="77777777" w:rsidR="00053E69" w:rsidRPr="00AE4E8D" w:rsidRDefault="00713D68" w:rsidP="00053E69">
            <w:pPr>
              <w:jc w:val="both"/>
              <w:rPr>
                <w:rFonts w:ascii="Times New Roman" w:hAnsi="Times New Roman"/>
                <w:color w:val="000000"/>
                <w:sz w:val="14"/>
                <w:lang w:val="es-ES"/>
              </w:rPr>
            </w:pPr>
            <w:r w:rsidRPr="00AE4E8D">
              <w:rPr>
                <w:rFonts w:ascii="Times New Roman" w:hAnsi="Times New Roman"/>
                <w:color w:val="000000"/>
                <w:sz w:val="14"/>
                <w:szCs w:val="14"/>
                <w:lang w:eastAsia="es-AR"/>
              </w:rPr>
              <w:t>Banco Santander Rio S.A</w:t>
            </w:r>
          </w:p>
        </w:tc>
        <w:tc>
          <w:tcPr>
            <w:tcW w:w="467" w:type="pct"/>
            <w:tcBorders>
              <w:top w:val="nil"/>
              <w:left w:val="nil"/>
              <w:bottom w:val="nil"/>
              <w:right w:val="nil"/>
            </w:tcBorders>
            <w:shd w:val="clear" w:color="auto" w:fill="auto"/>
            <w:vAlign w:val="center"/>
            <w:hideMark/>
          </w:tcPr>
          <w:p w14:paraId="7AF4A1D6"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396</w:t>
            </w:r>
          </w:p>
        </w:tc>
        <w:tc>
          <w:tcPr>
            <w:tcW w:w="127" w:type="pct"/>
            <w:tcBorders>
              <w:top w:val="nil"/>
              <w:left w:val="nil"/>
              <w:bottom w:val="nil"/>
              <w:right w:val="nil"/>
            </w:tcBorders>
            <w:shd w:val="clear" w:color="auto" w:fill="auto"/>
            <w:vAlign w:val="bottom"/>
            <w:hideMark/>
          </w:tcPr>
          <w:p w14:paraId="15F19B9C" w14:textId="77777777" w:rsidR="00053E69" w:rsidRPr="00AE4E8D" w:rsidRDefault="00053E69" w:rsidP="00241071">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70EB75BA"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8,87%</w:t>
            </w:r>
          </w:p>
        </w:tc>
        <w:tc>
          <w:tcPr>
            <w:tcW w:w="93" w:type="pct"/>
            <w:tcBorders>
              <w:top w:val="nil"/>
              <w:left w:val="nil"/>
              <w:bottom w:val="nil"/>
              <w:right w:val="nil"/>
            </w:tcBorders>
            <w:shd w:val="clear" w:color="auto" w:fill="auto"/>
            <w:vAlign w:val="bottom"/>
            <w:hideMark/>
          </w:tcPr>
          <w:p w14:paraId="14105A68"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526908BE"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408</w:t>
            </w:r>
          </w:p>
        </w:tc>
        <w:tc>
          <w:tcPr>
            <w:tcW w:w="93" w:type="pct"/>
            <w:tcBorders>
              <w:top w:val="nil"/>
              <w:left w:val="nil"/>
              <w:bottom w:val="nil"/>
              <w:right w:val="nil"/>
            </w:tcBorders>
            <w:shd w:val="clear" w:color="auto" w:fill="auto"/>
            <w:vAlign w:val="bottom"/>
            <w:hideMark/>
          </w:tcPr>
          <w:p w14:paraId="22814D5F"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55820203"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8,97%</w:t>
            </w:r>
          </w:p>
        </w:tc>
        <w:tc>
          <w:tcPr>
            <w:tcW w:w="93" w:type="pct"/>
            <w:tcBorders>
              <w:top w:val="nil"/>
              <w:left w:val="nil"/>
              <w:bottom w:val="nil"/>
              <w:right w:val="nil"/>
            </w:tcBorders>
            <w:shd w:val="clear" w:color="auto" w:fill="auto"/>
            <w:noWrap/>
            <w:vAlign w:val="bottom"/>
            <w:hideMark/>
          </w:tcPr>
          <w:p w14:paraId="77941862"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07786C01"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482</w:t>
            </w:r>
          </w:p>
        </w:tc>
        <w:tc>
          <w:tcPr>
            <w:tcW w:w="93" w:type="pct"/>
            <w:tcBorders>
              <w:top w:val="nil"/>
              <w:left w:val="nil"/>
              <w:bottom w:val="nil"/>
              <w:right w:val="nil"/>
            </w:tcBorders>
            <w:shd w:val="clear" w:color="auto" w:fill="auto"/>
            <w:noWrap/>
            <w:vAlign w:val="bottom"/>
            <w:hideMark/>
          </w:tcPr>
          <w:p w14:paraId="31D41457"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301D2D5D"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10,84</w:t>
            </w:r>
            <w:r w:rsidRPr="00AE4E8D">
              <w:rPr>
                <w:rFonts w:ascii="Times New Roman" w:hAnsi="Times New Roman"/>
                <w:color w:val="000000"/>
                <w:sz w:val="14"/>
                <w:lang w:val="es-ES"/>
              </w:rPr>
              <w:t>%</w:t>
            </w:r>
          </w:p>
        </w:tc>
      </w:tr>
      <w:tr w:rsidR="000604B3" w:rsidRPr="00AE4E8D" w14:paraId="4DB516A6" w14:textId="77777777" w:rsidTr="000400C8">
        <w:trPr>
          <w:trHeight w:val="300"/>
        </w:trPr>
        <w:tc>
          <w:tcPr>
            <w:tcW w:w="451" w:type="pct"/>
            <w:tcBorders>
              <w:top w:val="nil"/>
              <w:left w:val="nil"/>
              <w:bottom w:val="nil"/>
              <w:right w:val="nil"/>
            </w:tcBorders>
            <w:shd w:val="clear" w:color="auto" w:fill="auto"/>
            <w:vAlign w:val="center"/>
            <w:hideMark/>
          </w:tcPr>
          <w:p w14:paraId="52A05CBE" w14:textId="77777777" w:rsidR="00053E69" w:rsidRPr="00AE4E8D" w:rsidRDefault="00053E69" w:rsidP="00053E69">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3</w:t>
            </w:r>
          </w:p>
        </w:tc>
        <w:tc>
          <w:tcPr>
            <w:tcW w:w="1025" w:type="pct"/>
            <w:tcBorders>
              <w:top w:val="nil"/>
              <w:left w:val="nil"/>
              <w:bottom w:val="nil"/>
              <w:right w:val="nil"/>
            </w:tcBorders>
            <w:shd w:val="clear" w:color="auto" w:fill="auto"/>
            <w:vAlign w:val="center"/>
            <w:hideMark/>
          </w:tcPr>
          <w:p w14:paraId="6D12D0D8" w14:textId="77777777" w:rsidR="00053E69" w:rsidRPr="00AE4E8D" w:rsidRDefault="00541BD2" w:rsidP="00053E69">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de </w:t>
            </w:r>
            <w:r w:rsidR="00053E69" w:rsidRPr="00AE4E8D">
              <w:rPr>
                <w:rFonts w:ascii="Times New Roman" w:hAnsi="Times New Roman"/>
                <w:color w:val="000000"/>
                <w:sz w:val="14"/>
                <w:szCs w:val="14"/>
                <w:lang w:val="es-ES" w:eastAsia="es-AR"/>
              </w:rPr>
              <w:t>Galicia</w:t>
            </w:r>
            <w:r w:rsidRPr="00AE4E8D">
              <w:rPr>
                <w:rFonts w:ascii="Times New Roman" w:hAnsi="Times New Roman"/>
                <w:color w:val="000000"/>
                <w:sz w:val="14"/>
                <w:szCs w:val="14"/>
                <w:lang w:val="es-ES" w:eastAsia="es-AR"/>
              </w:rPr>
              <w:t xml:space="preserve"> y Buenos Aires</w:t>
            </w:r>
            <w:r w:rsidR="00713D68" w:rsidRPr="00AE4E8D">
              <w:rPr>
                <w:rFonts w:ascii="Times New Roman" w:hAnsi="Times New Roman"/>
                <w:color w:val="000000"/>
                <w:sz w:val="14"/>
                <w:szCs w:val="14"/>
                <w:lang w:val="es-ES" w:eastAsia="es-AR"/>
              </w:rPr>
              <w:t xml:space="preserve"> S.A.</w:t>
            </w:r>
          </w:p>
        </w:tc>
        <w:tc>
          <w:tcPr>
            <w:tcW w:w="467" w:type="pct"/>
            <w:tcBorders>
              <w:top w:val="nil"/>
              <w:left w:val="nil"/>
              <w:bottom w:val="nil"/>
              <w:right w:val="nil"/>
            </w:tcBorders>
            <w:shd w:val="clear" w:color="auto" w:fill="auto"/>
            <w:vAlign w:val="center"/>
            <w:hideMark/>
          </w:tcPr>
          <w:p w14:paraId="05E2D6EC"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260</w:t>
            </w:r>
          </w:p>
        </w:tc>
        <w:tc>
          <w:tcPr>
            <w:tcW w:w="127" w:type="pct"/>
            <w:tcBorders>
              <w:top w:val="nil"/>
              <w:left w:val="nil"/>
              <w:bottom w:val="nil"/>
              <w:right w:val="nil"/>
            </w:tcBorders>
            <w:shd w:val="clear" w:color="auto" w:fill="auto"/>
            <w:vAlign w:val="bottom"/>
            <w:hideMark/>
          </w:tcPr>
          <w:p w14:paraId="6A5BD74D" w14:textId="77777777" w:rsidR="00053E69" w:rsidRPr="00AE4E8D" w:rsidRDefault="00053E69" w:rsidP="00241071">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605F8E52"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5,83%</w:t>
            </w:r>
          </w:p>
        </w:tc>
        <w:tc>
          <w:tcPr>
            <w:tcW w:w="93" w:type="pct"/>
            <w:tcBorders>
              <w:top w:val="nil"/>
              <w:left w:val="nil"/>
              <w:bottom w:val="nil"/>
              <w:right w:val="nil"/>
            </w:tcBorders>
            <w:shd w:val="clear" w:color="auto" w:fill="auto"/>
            <w:vAlign w:val="bottom"/>
            <w:hideMark/>
          </w:tcPr>
          <w:p w14:paraId="4CE3C877"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598E4D8D"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278</w:t>
            </w:r>
          </w:p>
        </w:tc>
        <w:tc>
          <w:tcPr>
            <w:tcW w:w="93" w:type="pct"/>
            <w:tcBorders>
              <w:top w:val="nil"/>
              <w:left w:val="nil"/>
              <w:bottom w:val="nil"/>
              <w:right w:val="nil"/>
            </w:tcBorders>
            <w:shd w:val="clear" w:color="auto" w:fill="auto"/>
            <w:vAlign w:val="bottom"/>
            <w:hideMark/>
          </w:tcPr>
          <w:p w14:paraId="43420FA3"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585EABE4"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6,11%</w:t>
            </w:r>
          </w:p>
        </w:tc>
        <w:tc>
          <w:tcPr>
            <w:tcW w:w="93" w:type="pct"/>
            <w:tcBorders>
              <w:top w:val="nil"/>
              <w:left w:val="nil"/>
              <w:bottom w:val="nil"/>
              <w:right w:val="nil"/>
            </w:tcBorders>
            <w:shd w:val="clear" w:color="auto" w:fill="auto"/>
            <w:noWrap/>
            <w:vAlign w:val="bottom"/>
            <w:hideMark/>
          </w:tcPr>
          <w:p w14:paraId="42F53533"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5406CA88"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278</w:t>
            </w:r>
          </w:p>
        </w:tc>
        <w:tc>
          <w:tcPr>
            <w:tcW w:w="93" w:type="pct"/>
            <w:tcBorders>
              <w:top w:val="nil"/>
              <w:left w:val="nil"/>
              <w:bottom w:val="nil"/>
              <w:right w:val="nil"/>
            </w:tcBorders>
            <w:shd w:val="clear" w:color="auto" w:fill="auto"/>
            <w:noWrap/>
            <w:vAlign w:val="bottom"/>
            <w:hideMark/>
          </w:tcPr>
          <w:p w14:paraId="2394978E"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1686D564"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6,</w:t>
            </w:r>
            <w:r w:rsidRPr="00AE4E8D">
              <w:rPr>
                <w:rFonts w:ascii="Times New Roman" w:hAnsi="Times New Roman"/>
                <w:color w:val="000000"/>
                <w:sz w:val="14"/>
                <w:szCs w:val="14"/>
                <w:lang w:val="es-ES" w:eastAsia="es-AR"/>
              </w:rPr>
              <w:t>25</w:t>
            </w:r>
            <w:r w:rsidRPr="00AE4E8D">
              <w:rPr>
                <w:rFonts w:ascii="Times New Roman" w:hAnsi="Times New Roman"/>
                <w:color w:val="000000"/>
                <w:sz w:val="14"/>
                <w:lang w:val="es-ES"/>
              </w:rPr>
              <w:t>%</w:t>
            </w:r>
          </w:p>
        </w:tc>
      </w:tr>
      <w:tr w:rsidR="000604B3" w:rsidRPr="00AE4E8D" w14:paraId="7B37C7B1" w14:textId="77777777" w:rsidTr="000400C8">
        <w:trPr>
          <w:trHeight w:val="360"/>
        </w:trPr>
        <w:tc>
          <w:tcPr>
            <w:tcW w:w="451" w:type="pct"/>
            <w:tcBorders>
              <w:top w:val="nil"/>
              <w:left w:val="nil"/>
              <w:bottom w:val="nil"/>
              <w:right w:val="nil"/>
            </w:tcBorders>
            <w:shd w:val="clear" w:color="auto" w:fill="auto"/>
            <w:vAlign w:val="center"/>
            <w:hideMark/>
          </w:tcPr>
          <w:p w14:paraId="3732B66C" w14:textId="77777777" w:rsidR="00053E69" w:rsidRPr="00AE4E8D" w:rsidRDefault="00053E69" w:rsidP="00053E69">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4</w:t>
            </w:r>
          </w:p>
        </w:tc>
        <w:tc>
          <w:tcPr>
            <w:tcW w:w="1025" w:type="pct"/>
            <w:tcBorders>
              <w:top w:val="nil"/>
              <w:left w:val="nil"/>
              <w:bottom w:val="nil"/>
              <w:right w:val="nil"/>
            </w:tcBorders>
            <w:shd w:val="clear" w:color="auto" w:fill="auto"/>
            <w:vAlign w:val="center"/>
            <w:hideMark/>
          </w:tcPr>
          <w:p w14:paraId="2F8D1817" w14:textId="77777777" w:rsidR="00053E69" w:rsidRPr="00AE4E8D" w:rsidRDefault="00541BD2" w:rsidP="00053E69">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053E69" w:rsidRPr="00AE4E8D">
              <w:rPr>
                <w:rFonts w:ascii="Times New Roman" w:hAnsi="Times New Roman"/>
                <w:color w:val="000000"/>
                <w:sz w:val="14"/>
                <w:szCs w:val="14"/>
                <w:lang w:val="es-ES" w:eastAsia="es-AR"/>
              </w:rPr>
              <w:t>Provincia de Buenos Aires</w:t>
            </w:r>
          </w:p>
        </w:tc>
        <w:tc>
          <w:tcPr>
            <w:tcW w:w="467" w:type="pct"/>
            <w:tcBorders>
              <w:top w:val="nil"/>
              <w:left w:val="nil"/>
              <w:bottom w:val="nil"/>
              <w:right w:val="nil"/>
            </w:tcBorders>
            <w:shd w:val="clear" w:color="auto" w:fill="auto"/>
            <w:vAlign w:val="center"/>
            <w:hideMark/>
          </w:tcPr>
          <w:p w14:paraId="52E1EF70"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342</w:t>
            </w:r>
          </w:p>
        </w:tc>
        <w:tc>
          <w:tcPr>
            <w:tcW w:w="127" w:type="pct"/>
            <w:tcBorders>
              <w:top w:val="nil"/>
              <w:left w:val="nil"/>
              <w:bottom w:val="nil"/>
              <w:right w:val="nil"/>
            </w:tcBorders>
            <w:shd w:val="clear" w:color="auto" w:fill="auto"/>
            <w:vAlign w:val="bottom"/>
            <w:hideMark/>
          </w:tcPr>
          <w:p w14:paraId="40AB87A9" w14:textId="77777777" w:rsidR="00053E69" w:rsidRPr="00AE4E8D" w:rsidRDefault="00053E69" w:rsidP="00241071">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0F802E6C"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7,66%</w:t>
            </w:r>
          </w:p>
        </w:tc>
        <w:tc>
          <w:tcPr>
            <w:tcW w:w="93" w:type="pct"/>
            <w:tcBorders>
              <w:top w:val="nil"/>
              <w:left w:val="nil"/>
              <w:bottom w:val="nil"/>
              <w:right w:val="nil"/>
            </w:tcBorders>
            <w:shd w:val="clear" w:color="auto" w:fill="auto"/>
            <w:vAlign w:val="bottom"/>
            <w:hideMark/>
          </w:tcPr>
          <w:p w14:paraId="43819869"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5DC0D04E"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342</w:t>
            </w:r>
          </w:p>
        </w:tc>
        <w:tc>
          <w:tcPr>
            <w:tcW w:w="93" w:type="pct"/>
            <w:tcBorders>
              <w:top w:val="nil"/>
              <w:left w:val="nil"/>
              <w:bottom w:val="nil"/>
              <w:right w:val="nil"/>
            </w:tcBorders>
            <w:shd w:val="clear" w:color="auto" w:fill="auto"/>
            <w:vAlign w:val="bottom"/>
            <w:hideMark/>
          </w:tcPr>
          <w:p w14:paraId="49042A36"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3FD42658"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7,52%</w:t>
            </w:r>
          </w:p>
        </w:tc>
        <w:tc>
          <w:tcPr>
            <w:tcW w:w="93" w:type="pct"/>
            <w:tcBorders>
              <w:top w:val="nil"/>
              <w:left w:val="nil"/>
              <w:bottom w:val="nil"/>
              <w:right w:val="nil"/>
            </w:tcBorders>
            <w:shd w:val="clear" w:color="auto" w:fill="auto"/>
            <w:noWrap/>
            <w:vAlign w:val="bottom"/>
            <w:hideMark/>
          </w:tcPr>
          <w:p w14:paraId="48CFD7CF"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6896F1DE"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334</w:t>
            </w:r>
          </w:p>
        </w:tc>
        <w:tc>
          <w:tcPr>
            <w:tcW w:w="93" w:type="pct"/>
            <w:tcBorders>
              <w:top w:val="nil"/>
              <w:left w:val="nil"/>
              <w:bottom w:val="nil"/>
              <w:right w:val="nil"/>
            </w:tcBorders>
            <w:shd w:val="clear" w:color="auto" w:fill="auto"/>
            <w:noWrap/>
            <w:vAlign w:val="bottom"/>
            <w:hideMark/>
          </w:tcPr>
          <w:p w14:paraId="01C9D168"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36732AA5"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7,</w:t>
            </w:r>
            <w:r w:rsidRPr="00AE4E8D">
              <w:rPr>
                <w:rFonts w:ascii="Times New Roman" w:hAnsi="Times New Roman"/>
                <w:color w:val="000000"/>
                <w:sz w:val="14"/>
                <w:szCs w:val="14"/>
                <w:lang w:val="es-ES" w:eastAsia="es-AR"/>
              </w:rPr>
              <w:t>51</w:t>
            </w:r>
            <w:r w:rsidRPr="00AE4E8D">
              <w:rPr>
                <w:rFonts w:ascii="Times New Roman" w:hAnsi="Times New Roman"/>
                <w:color w:val="000000"/>
                <w:sz w:val="14"/>
                <w:lang w:val="es-ES"/>
              </w:rPr>
              <w:t>%</w:t>
            </w:r>
          </w:p>
        </w:tc>
      </w:tr>
      <w:tr w:rsidR="000604B3" w:rsidRPr="00AE4E8D" w14:paraId="46B2CAEA" w14:textId="77777777" w:rsidTr="000400C8">
        <w:trPr>
          <w:trHeight w:val="300"/>
        </w:trPr>
        <w:tc>
          <w:tcPr>
            <w:tcW w:w="451" w:type="pct"/>
            <w:tcBorders>
              <w:top w:val="nil"/>
              <w:left w:val="nil"/>
              <w:bottom w:val="nil"/>
              <w:right w:val="nil"/>
            </w:tcBorders>
            <w:shd w:val="clear" w:color="auto" w:fill="auto"/>
            <w:vAlign w:val="center"/>
            <w:hideMark/>
          </w:tcPr>
          <w:p w14:paraId="25F4DAA5" w14:textId="77777777" w:rsidR="00053E69" w:rsidRPr="00AE4E8D" w:rsidRDefault="00053E69" w:rsidP="00053E69">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5</w:t>
            </w:r>
          </w:p>
        </w:tc>
        <w:tc>
          <w:tcPr>
            <w:tcW w:w="1025" w:type="pct"/>
            <w:tcBorders>
              <w:top w:val="nil"/>
              <w:left w:val="nil"/>
              <w:bottom w:val="nil"/>
              <w:right w:val="nil"/>
            </w:tcBorders>
            <w:shd w:val="clear" w:color="auto" w:fill="auto"/>
            <w:vAlign w:val="center"/>
            <w:hideMark/>
          </w:tcPr>
          <w:p w14:paraId="3D74C3D5" w14:textId="77777777" w:rsidR="00053E69" w:rsidRPr="00AE4E8D" w:rsidRDefault="00541BD2" w:rsidP="00053E69">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Banco </w:t>
            </w:r>
            <w:r w:rsidR="00053E69" w:rsidRPr="00AE4E8D">
              <w:rPr>
                <w:rFonts w:ascii="Times New Roman" w:hAnsi="Times New Roman"/>
                <w:color w:val="000000"/>
                <w:sz w:val="14"/>
                <w:szCs w:val="14"/>
                <w:lang w:val="es-ES" w:eastAsia="es-AR"/>
              </w:rPr>
              <w:t>Macro</w:t>
            </w:r>
            <w:r w:rsidR="00713D68" w:rsidRPr="00AE4E8D">
              <w:rPr>
                <w:rFonts w:ascii="Times New Roman" w:hAnsi="Times New Roman"/>
                <w:color w:val="000000"/>
                <w:sz w:val="14"/>
                <w:szCs w:val="14"/>
                <w:lang w:val="en-US" w:eastAsia="es-AR"/>
              </w:rPr>
              <w:t xml:space="preserve"> S.A.</w:t>
            </w:r>
          </w:p>
        </w:tc>
        <w:tc>
          <w:tcPr>
            <w:tcW w:w="467" w:type="pct"/>
            <w:tcBorders>
              <w:top w:val="nil"/>
              <w:left w:val="nil"/>
              <w:bottom w:val="nil"/>
              <w:right w:val="nil"/>
            </w:tcBorders>
            <w:shd w:val="clear" w:color="auto" w:fill="auto"/>
            <w:vAlign w:val="center"/>
            <w:hideMark/>
          </w:tcPr>
          <w:p w14:paraId="43899EB1"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408</w:t>
            </w:r>
          </w:p>
        </w:tc>
        <w:tc>
          <w:tcPr>
            <w:tcW w:w="127" w:type="pct"/>
            <w:tcBorders>
              <w:top w:val="nil"/>
              <w:left w:val="nil"/>
              <w:bottom w:val="nil"/>
              <w:right w:val="nil"/>
            </w:tcBorders>
            <w:shd w:val="clear" w:color="auto" w:fill="auto"/>
            <w:vAlign w:val="bottom"/>
            <w:hideMark/>
          </w:tcPr>
          <w:p w14:paraId="1199BDC0" w14:textId="77777777" w:rsidR="00053E69" w:rsidRPr="00AE4E8D" w:rsidRDefault="00053E69" w:rsidP="00241071">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5211333C"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9,14%</w:t>
            </w:r>
          </w:p>
        </w:tc>
        <w:tc>
          <w:tcPr>
            <w:tcW w:w="93" w:type="pct"/>
            <w:tcBorders>
              <w:top w:val="nil"/>
              <w:left w:val="nil"/>
              <w:bottom w:val="nil"/>
              <w:right w:val="nil"/>
            </w:tcBorders>
            <w:shd w:val="clear" w:color="auto" w:fill="auto"/>
            <w:vAlign w:val="bottom"/>
            <w:hideMark/>
          </w:tcPr>
          <w:p w14:paraId="78E75F62"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5F432398"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413</w:t>
            </w:r>
          </w:p>
        </w:tc>
        <w:tc>
          <w:tcPr>
            <w:tcW w:w="93" w:type="pct"/>
            <w:tcBorders>
              <w:top w:val="nil"/>
              <w:left w:val="nil"/>
              <w:bottom w:val="nil"/>
              <w:right w:val="nil"/>
            </w:tcBorders>
            <w:shd w:val="clear" w:color="auto" w:fill="auto"/>
            <w:vAlign w:val="bottom"/>
            <w:hideMark/>
          </w:tcPr>
          <w:p w14:paraId="2DB954C3"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39F58ED0"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9,08%</w:t>
            </w:r>
          </w:p>
        </w:tc>
        <w:tc>
          <w:tcPr>
            <w:tcW w:w="93" w:type="pct"/>
            <w:tcBorders>
              <w:top w:val="nil"/>
              <w:left w:val="nil"/>
              <w:bottom w:val="nil"/>
              <w:right w:val="nil"/>
            </w:tcBorders>
            <w:shd w:val="clear" w:color="auto" w:fill="auto"/>
            <w:noWrap/>
            <w:vAlign w:val="bottom"/>
            <w:hideMark/>
          </w:tcPr>
          <w:p w14:paraId="1C749077"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3ED6E2F9"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410</w:t>
            </w:r>
          </w:p>
        </w:tc>
        <w:tc>
          <w:tcPr>
            <w:tcW w:w="93" w:type="pct"/>
            <w:tcBorders>
              <w:top w:val="nil"/>
              <w:left w:val="nil"/>
              <w:bottom w:val="nil"/>
              <w:right w:val="nil"/>
            </w:tcBorders>
            <w:shd w:val="clear" w:color="auto" w:fill="auto"/>
            <w:noWrap/>
            <w:vAlign w:val="bottom"/>
            <w:hideMark/>
          </w:tcPr>
          <w:p w14:paraId="54CE37B5"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063BFF03"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9,</w:t>
            </w:r>
            <w:r w:rsidRPr="00AE4E8D">
              <w:rPr>
                <w:rFonts w:ascii="Times New Roman" w:hAnsi="Times New Roman"/>
                <w:color w:val="000000"/>
                <w:sz w:val="14"/>
                <w:szCs w:val="14"/>
                <w:lang w:val="es-ES" w:eastAsia="es-AR"/>
              </w:rPr>
              <w:t>22</w:t>
            </w:r>
            <w:r w:rsidRPr="00AE4E8D">
              <w:rPr>
                <w:rFonts w:ascii="Times New Roman" w:hAnsi="Times New Roman"/>
                <w:color w:val="000000"/>
                <w:sz w:val="14"/>
                <w:lang w:val="es-ES"/>
              </w:rPr>
              <w:t>%</w:t>
            </w:r>
          </w:p>
        </w:tc>
      </w:tr>
      <w:tr w:rsidR="000604B3" w:rsidRPr="00AE4E8D" w14:paraId="513E2445" w14:textId="77777777" w:rsidTr="000400C8">
        <w:trPr>
          <w:trHeight w:val="300"/>
        </w:trPr>
        <w:tc>
          <w:tcPr>
            <w:tcW w:w="451" w:type="pct"/>
            <w:tcBorders>
              <w:top w:val="nil"/>
              <w:left w:val="nil"/>
              <w:bottom w:val="nil"/>
              <w:right w:val="nil"/>
            </w:tcBorders>
            <w:shd w:val="clear" w:color="auto" w:fill="auto"/>
            <w:vAlign w:val="center"/>
            <w:hideMark/>
          </w:tcPr>
          <w:p w14:paraId="541F4F05" w14:textId="77777777" w:rsidR="00053E69" w:rsidRPr="00AE4E8D" w:rsidRDefault="00053E69" w:rsidP="00053E69">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6</w:t>
            </w:r>
          </w:p>
        </w:tc>
        <w:tc>
          <w:tcPr>
            <w:tcW w:w="1025" w:type="pct"/>
            <w:tcBorders>
              <w:top w:val="nil"/>
              <w:left w:val="nil"/>
              <w:bottom w:val="nil"/>
              <w:right w:val="nil"/>
            </w:tcBorders>
            <w:shd w:val="clear" w:color="auto" w:fill="auto"/>
            <w:vAlign w:val="center"/>
            <w:hideMark/>
          </w:tcPr>
          <w:p w14:paraId="50274EC1" w14:textId="77777777" w:rsidR="00053E69" w:rsidRPr="00AE4E8D" w:rsidRDefault="00053E69" w:rsidP="00053E69">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 xml:space="preserve">BBVA </w:t>
            </w:r>
            <w:r w:rsidR="00713D68" w:rsidRPr="00AE4E8D">
              <w:rPr>
                <w:rFonts w:ascii="Times New Roman" w:hAnsi="Times New Roman"/>
                <w:color w:val="000000"/>
                <w:sz w:val="14"/>
                <w:szCs w:val="14"/>
                <w:lang w:eastAsia="es-AR"/>
              </w:rPr>
              <w:t>Banco Francés S.A.</w:t>
            </w:r>
          </w:p>
        </w:tc>
        <w:tc>
          <w:tcPr>
            <w:tcW w:w="467" w:type="pct"/>
            <w:tcBorders>
              <w:top w:val="nil"/>
              <w:left w:val="nil"/>
              <w:bottom w:val="nil"/>
              <w:right w:val="nil"/>
            </w:tcBorders>
            <w:shd w:val="clear" w:color="auto" w:fill="auto"/>
            <w:vAlign w:val="center"/>
            <w:hideMark/>
          </w:tcPr>
          <w:p w14:paraId="0F051716"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251</w:t>
            </w:r>
          </w:p>
        </w:tc>
        <w:tc>
          <w:tcPr>
            <w:tcW w:w="127" w:type="pct"/>
            <w:tcBorders>
              <w:top w:val="nil"/>
              <w:left w:val="nil"/>
              <w:bottom w:val="nil"/>
              <w:right w:val="nil"/>
            </w:tcBorders>
            <w:shd w:val="clear" w:color="auto" w:fill="auto"/>
            <w:vAlign w:val="bottom"/>
            <w:hideMark/>
          </w:tcPr>
          <w:p w14:paraId="515359B8" w14:textId="77777777" w:rsidR="00053E69" w:rsidRPr="00AE4E8D" w:rsidRDefault="00053E69" w:rsidP="00241071">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05A5C090"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5,62%</w:t>
            </w:r>
          </w:p>
        </w:tc>
        <w:tc>
          <w:tcPr>
            <w:tcW w:w="93" w:type="pct"/>
            <w:tcBorders>
              <w:top w:val="nil"/>
              <w:left w:val="nil"/>
              <w:bottom w:val="nil"/>
              <w:right w:val="nil"/>
            </w:tcBorders>
            <w:shd w:val="clear" w:color="auto" w:fill="auto"/>
            <w:vAlign w:val="bottom"/>
            <w:hideMark/>
          </w:tcPr>
          <w:p w14:paraId="42D90A30"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1B689DEB"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251</w:t>
            </w:r>
          </w:p>
        </w:tc>
        <w:tc>
          <w:tcPr>
            <w:tcW w:w="93" w:type="pct"/>
            <w:tcBorders>
              <w:top w:val="nil"/>
              <w:left w:val="nil"/>
              <w:bottom w:val="nil"/>
              <w:right w:val="nil"/>
            </w:tcBorders>
            <w:shd w:val="clear" w:color="auto" w:fill="auto"/>
            <w:vAlign w:val="bottom"/>
            <w:hideMark/>
          </w:tcPr>
          <w:p w14:paraId="177F08FB"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7F883908"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5,52%</w:t>
            </w:r>
          </w:p>
        </w:tc>
        <w:tc>
          <w:tcPr>
            <w:tcW w:w="93" w:type="pct"/>
            <w:tcBorders>
              <w:top w:val="nil"/>
              <w:left w:val="nil"/>
              <w:bottom w:val="nil"/>
              <w:right w:val="nil"/>
            </w:tcBorders>
            <w:shd w:val="clear" w:color="auto" w:fill="auto"/>
            <w:noWrap/>
            <w:vAlign w:val="bottom"/>
            <w:hideMark/>
          </w:tcPr>
          <w:p w14:paraId="2800DC6C"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4414E018"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250</w:t>
            </w:r>
          </w:p>
        </w:tc>
        <w:tc>
          <w:tcPr>
            <w:tcW w:w="93" w:type="pct"/>
            <w:tcBorders>
              <w:top w:val="nil"/>
              <w:left w:val="nil"/>
              <w:bottom w:val="nil"/>
              <w:right w:val="nil"/>
            </w:tcBorders>
            <w:shd w:val="clear" w:color="auto" w:fill="auto"/>
            <w:noWrap/>
            <w:vAlign w:val="bottom"/>
            <w:hideMark/>
          </w:tcPr>
          <w:p w14:paraId="6FE5CFC8"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5E612E68"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5,</w:t>
            </w:r>
            <w:r w:rsidRPr="00AE4E8D">
              <w:rPr>
                <w:rFonts w:ascii="Times New Roman" w:hAnsi="Times New Roman"/>
                <w:color w:val="000000"/>
                <w:sz w:val="14"/>
                <w:szCs w:val="14"/>
                <w:lang w:val="es-ES" w:eastAsia="es-AR"/>
              </w:rPr>
              <w:t>62</w:t>
            </w:r>
            <w:r w:rsidRPr="00AE4E8D">
              <w:rPr>
                <w:rFonts w:ascii="Times New Roman" w:hAnsi="Times New Roman"/>
                <w:color w:val="000000"/>
                <w:sz w:val="14"/>
                <w:lang w:val="es-ES"/>
              </w:rPr>
              <w:t>%</w:t>
            </w:r>
          </w:p>
        </w:tc>
      </w:tr>
      <w:tr w:rsidR="000604B3" w:rsidRPr="00AE4E8D" w14:paraId="4BAE95F4" w14:textId="77777777" w:rsidTr="000400C8">
        <w:trPr>
          <w:trHeight w:val="300"/>
        </w:trPr>
        <w:tc>
          <w:tcPr>
            <w:tcW w:w="451" w:type="pct"/>
            <w:tcBorders>
              <w:top w:val="nil"/>
              <w:left w:val="nil"/>
              <w:bottom w:val="nil"/>
              <w:right w:val="nil"/>
            </w:tcBorders>
            <w:shd w:val="clear" w:color="auto" w:fill="auto"/>
            <w:vAlign w:val="center"/>
            <w:hideMark/>
          </w:tcPr>
          <w:p w14:paraId="580258C3" w14:textId="77777777" w:rsidR="00053E69" w:rsidRPr="00AE4E8D" w:rsidRDefault="00053E69" w:rsidP="00053E69">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7</w:t>
            </w:r>
          </w:p>
        </w:tc>
        <w:tc>
          <w:tcPr>
            <w:tcW w:w="1025" w:type="pct"/>
            <w:tcBorders>
              <w:top w:val="nil"/>
              <w:left w:val="nil"/>
              <w:bottom w:val="nil"/>
              <w:right w:val="nil"/>
            </w:tcBorders>
            <w:shd w:val="clear" w:color="auto" w:fill="auto"/>
            <w:vAlign w:val="center"/>
            <w:hideMark/>
          </w:tcPr>
          <w:p w14:paraId="6D1407AE" w14:textId="77777777" w:rsidR="00053E69" w:rsidRPr="00AE4E8D" w:rsidRDefault="00053E69" w:rsidP="00053E69">
            <w:pPr>
              <w:jc w:val="both"/>
              <w:rPr>
                <w:rFonts w:ascii="Times New Roman" w:hAnsi="Times New Roman"/>
                <w:color w:val="000000"/>
                <w:sz w:val="14"/>
                <w:lang w:val="en-US"/>
              </w:rPr>
            </w:pPr>
            <w:r w:rsidRPr="00AE4E8D">
              <w:rPr>
                <w:rFonts w:ascii="Times New Roman" w:hAnsi="Times New Roman"/>
                <w:color w:val="000000"/>
                <w:sz w:val="14"/>
                <w:szCs w:val="14"/>
                <w:lang w:val="en-US" w:eastAsia="es-AR"/>
              </w:rPr>
              <w:t>HSBC</w:t>
            </w:r>
            <w:r w:rsidR="00541BD2" w:rsidRPr="00AE4E8D">
              <w:rPr>
                <w:rFonts w:ascii="Times New Roman" w:hAnsi="Times New Roman"/>
                <w:color w:val="000000"/>
                <w:sz w:val="14"/>
                <w:szCs w:val="14"/>
                <w:lang w:val="en-US" w:eastAsia="es-AR"/>
              </w:rPr>
              <w:t xml:space="preserve"> Bank Argentina</w:t>
            </w:r>
            <w:r w:rsidR="00713D68" w:rsidRPr="00AE4E8D">
              <w:rPr>
                <w:rFonts w:ascii="Times New Roman" w:hAnsi="Times New Roman"/>
                <w:color w:val="000000"/>
                <w:sz w:val="14"/>
                <w:szCs w:val="14"/>
                <w:lang w:val="en-US" w:eastAsia="es-AR"/>
              </w:rPr>
              <w:t xml:space="preserve"> S.A.</w:t>
            </w:r>
          </w:p>
        </w:tc>
        <w:tc>
          <w:tcPr>
            <w:tcW w:w="467" w:type="pct"/>
            <w:tcBorders>
              <w:top w:val="nil"/>
              <w:left w:val="nil"/>
              <w:bottom w:val="nil"/>
              <w:right w:val="nil"/>
            </w:tcBorders>
            <w:shd w:val="clear" w:color="auto" w:fill="auto"/>
            <w:vAlign w:val="center"/>
            <w:hideMark/>
          </w:tcPr>
          <w:p w14:paraId="34778C0F"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139</w:t>
            </w:r>
          </w:p>
        </w:tc>
        <w:tc>
          <w:tcPr>
            <w:tcW w:w="127" w:type="pct"/>
            <w:tcBorders>
              <w:top w:val="nil"/>
              <w:left w:val="nil"/>
              <w:bottom w:val="nil"/>
              <w:right w:val="nil"/>
            </w:tcBorders>
            <w:shd w:val="clear" w:color="auto" w:fill="auto"/>
            <w:vAlign w:val="bottom"/>
            <w:hideMark/>
          </w:tcPr>
          <w:p w14:paraId="6944DA03" w14:textId="77777777" w:rsidR="00053E69" w:rsidRPr="00AE4E8D" w:rsidRDefault="00053E69" w:rsidP="00241071">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116C98A2"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3,11%</w:t>
            </w:r>
          </w:p>
        </w:tc>
        <w:tc>
          <w:tcPr>
            <w:tcW w:w="93" w:type="pct"/>
            <w:tcBorders>
              <w:top w:val="nil"/>
              <w:left w:val="nil"/>
              <w:bottom w:val="nil"/>
              <w:right w:val="nil"/>
            </w:tcBorders>
            <w:shd w:val="clear" w:color="auto" w:fill="auto"/>
            <w:vAlign w:val="bottom"/>
            <w:hideMark/>
          </w:tcPr>
          <w:p w14:paraId="0E2835C7"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37A3CC3D"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139</w:t>
            </w:r>
          </w:p>
        </w:tc>
        <w:tc>
          <w:tcPr>
            <w:tcW w:w="93" w:type="pct"/>
            <w:tcBorders>
              <w:top w:val="nil"/>
              <w:left w:val="nil"/>
              <w:bottom w:val="nil"/>
              <w:right w:val="nil"/>
            </w:tcBorders>
            <w:shd w:val="clear" w:color="auto" w:fill="auto"/>
            <w:vAlign w:val="bottom"/>
            <w:hideMark/>
          </w:tcPr>
          <w:p w14:paraId="21DF1BCD"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073A4092"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3,05%</w:t>
            </w:r>
          </w:p>
        </w:tc>
        <w:tc>
          <w:tcPr>
            <w:tcW w:w="93" w:type="pct"/>
            <w:tcBorders>
              <w:top w:val="nil"/>
              <w:left w:val="nil"/>
              <w:bottom w:val="nil"/>
              <w:right w:val="nil"/>
            </w:tcBorders>
            <w:shd w:val="clear" w:color="auto" w:fill="auto"/>
            <w:noWrap/>
            <w:vAlign w:val="bottom"/>
            <w:hideMark/>
          </w:tcPr>
          <w:p w14:paraId="60CBE440"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09004278"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137</w:t>
            </w:r>
          </w:p>
        </w:tc>
        <w:tc>
          <w:tcPr>
            <w:tcW w:w="93" w:type="pct"/>
            <w:tcBorders>
              <w:top w:val="nil"/>
              <w:left w:val="nil"/>
              <w:bottom w:val="nil"/>
              <w:right w:val="nil"/>
            </w:tcBorders>
            <w:shd w:val="clear" w:color="auto" w:fill="auto"/>
            <w:noWrap/>
            <w:vAlign w:val="bottom"/>
            <w:hideMark/>
          </w:tcPr>
          <w:p w14:paraId="6A02B98D"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05954CC3"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3,</w:t>
            </w:r>
            <w:r w:rsidRPr="00AE4E8D">
              <w:rPr>
                <w:rFonts w:ascii="Times New Roman" w:hAnsi="Times New Roman"/>
                <w:color w:val="000000"/>
                <w:sz w:val="14"/>
                <w:szCs w:val="14"/>
                <w:lang w:val="es-ES" w:eastAsia="es-AR"/>
              </w:rPr>
              <w:t>08</w:t>
            </w:r>
            <w:r w:rsidRPr="00AE4E8D">
              <w:rPr>
                <w:rFonts w:ascii="Times New Roman" w:hAnsi="Times New Roman"/>
                <w:color w:val="000000"/>
                <w:sz w:val="14"/>
                <w:lang w:val="es-ES"/>
              </w:rPr>
              <w:t>%</w:t>
            </w:r>
          </w:p>
        </w:tc>
      </w:tr>
      <w:tr w:rsidR="000604B3" w:rsidRPr="00AE4E8D" w14:paraId="573F01F7" w14:textId="77777777" w:rsidTr="000400C8">
        <w:trPr>
          <w:trHeight w:val="300"/>
        </w:trPr>
        <w:tc>
          <w:tcPr>
            <w:tcW w:w="451" w:type="pct"/>
            <w:tcBorders>
              <w:top w:val="nil"/>
              <w:left w:val="nil"/>
              <w:bottom w:val="nil"/>
              <w:right w:val="nil"/>
            </w:tcBorders>
            <w:shd w:val="clear" w:color="auto" w:fill="auto"/>
            <w:vAlign w:val="center"/>
            <w:hideMark/>
          </w:tcPr>
          <w:p w14:paraId="03BB8590" w14:textId="77777777" w:rsidR="00053E69" w:rsidRPr="00AE4E8D" w:rsidRDefault="00053E69" w:rsidP="00053E69">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8</w:t>
            </w:r>
          </w:p>
        </w:tc>
        <w:tc>
          <w:tcPr>
            <w:tcW w:w="1025" w:type="pct"/>
            <w:tcBorders>
              <w:top w:val="nil"/>
              <w:left w:val="nil"/>
              <w:bottom w:val="nil"/>
              <w:right w:val="nil"/>
            </w:tcBorders>
            <w:shd w:val="clear" w:color="auto" w:fill="auto"/>
            <w:vAlign w:val="center"/>
            <w:hideMark/>
          </w:tcPr>
          <w:p w14:paraId="4BFFA992" w14:textId="77777777" w:rsidR="00053E69" w:rsidRPr="00AE4E8D" w:rsidRDefault="000604B3" w:rsidP="00053E69">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Banco de la Ciudad de Buenos Aires</w:t>
            </w:r>
          </w:p>
        </w:tc>
        <w:tc>
          <w:tcPr>
            <w:tcW w:w="467" w:type="pct"/>
            <w:tcBorders>
              <w:top w:val="nil"/>
              <w:left w:val="nil"/>
              <w:bottom w:val="nil"/>
              <w:right w:val="nil"/>
            </w:tcBorders>
            <w:shd w:val="clear" w:color="auto" w:fill="auto"/>
            <w:vAlign w:val="center"/>
            <w:hideMark/>
          </w:tcPr>
          <w:p w14:paraId="2A193216"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61</w:t>
            </w:r>
          </w:p>
        </w:tc>
        <w:tc>
          <w:tcPr>
            <w:tcW w:w="127" w:type="pct"/>
            <w:tcBorders>
              <w:top w:val="nil"/>
              <w:left w:val="nil"/>
              <w:bottom w:val="nil"/>
              <w:right w:val="nil"/>
            </w:tcBorders>
            <w:shd w:val="clear" w:color="auto" w:fill="auto"/>
            <w:vAlign w:val="bottom"/>
            <w:hideMark/>
          </w:tcPr>
          <w:p w14:paraId="23A34CFC" w14:textId="77777777" w:rsidR="00053E69" w:rsidRPr="00AE4E8D" w:rsidRDefault="00053E69" w:rsidP="00053E69">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4ACD34F7"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1,37%</w:t>
            </w:r>
          </w:p>
        </w:tc>
        <w:tc>
          <w:tcPr>
            <w:tcW w:w="93" w:type="pct"/>
            <w:tcBorders>
              <w:top w:val="nil"/>
              <w:left w:val="nil"/>
              <w:bottom w:val="nil"/>
              <w:right w:val="nil"/>
            </w:tcBorders>
            <w:shd w:val="clear" w:color="auto" w:fill="auto"/>
            <w:vAlign w:val="bottom"/>
            <w:hideMark/>
          </w:tcPr>
          <w:p w14:paraId="3D75C444"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69F74B0E"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69</w:t>
            </w:r>
          </w:p>
        </w:tc>
        <w:tc>
          <w:tcPr>
            <w:tcW w:w="93" w:type="pct"/>
            <w:tcBorders>
              <w:top w:val="nil"/>
              <w:left w:val="nil"/>
              <w:bottom w:val="nil"/>
              <w:right w:val="nil"/>
            </w:tcBorders>
            <w:shd w:val="clear" w:color="auto" w:fill="auto"/>
            <w:vAlign w:val="bottom"/>
            <w:hideMark/>
          </w:tcPr>
          <w:p w14:paraId="4F073692"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62C55AC0"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1,52%</w:t>
            </w:r>
          </w:p>
        </w:tc>
        <w:tc>
          <w:tcPr>
            <w:tcW w:w="93" w:type="pct"/>
            <w:tcBorders>
              <w:top w:val="nil"/>
              <w:left w:val="nil"/>
              <w:bottom w:val="nil"/>
              <w:right w:val="nil"/>
            </w:tcBorders>
            <w:shd w:val="clear" w:color="auto" w:fill="auto"/>
            <w:noWrap/>
            <w:vAlign w:val="bottom"/>
            <w:hideMark/>
          </w:tcPr>
          <w:p w14:paraId="48375E2D"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0F24C9CE"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70</w:t>
            </w:r>
          </w:p>
        </w:tc>
        <w:tc>
          <w:tcPr>
            <w:tcW w:w="93" w:type="pct"/>
            <w:tcBorders>
              <w:top w:val="nil"/>
              <w:left w:val="nil"/>
              <w:bottom w:val="nil"/>
              <w:right w:val="nil"/>
            </w:tcBorders>
            <w:shd w:val="clear" w:color="auto" w:fill="auto"/>
            <w:noWrap/>
            <w:vAlign w:val="bottom"/>
            <w:hideMark/>
          </w:tcPr>
          <w:p w14:paraId="115E9511"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74896D9C"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1,</w:t>
            </w:r>
            <w:r w:rsidRPr="00AE4E8D">
              <w:rPr>
                <w:rFonts w:ascii="Times New Roman" w:hAnsi="Times New Roman"/>
                <w:color w:val="000000"/>
                <w:sz w:val="14"/>
                <w:szCs w:val="14"/>
                <w:lang w:val="es-ES" w:eastAsia="es-AR"/>
              </w:rPr>
              <w:t>57</w:t>
            </w:r>
            <w:r w:rsidRPr="00AE4E8D">
              <w:rPr>
                <w:rFonts w:ascii="Times New Roman" w:hAnsi="Times New Roman"/>
                <w:color w:val="000000"/>
                <w:sz w:val="14"/>
                <w:lang w:val="es-ES"/>
              </w:rPr>
              <w:t>%</w:t>
            </w:r>
          </w:p>
        </w:tc>
      </w:tr>
      <w:tr w:rsidR="000604B3" w:rsidRPr="00AE4E8D" w14:paraId="27F10885" w14:textId="77777777" w:rsidTr="000400C8">
        <w:trPr>
          <w:trHeight w:val="540"/>
        </w:trPr>
        <w:tc>
          <w:tcPr>
            <w:tcW w:w="451" w:type="pct"/>
            <w:tcBorders>
              <w:top w:val="nil"/>
              <w:left w:val="nil"/>
              <w:bottom w:val="nil"/>
              <w:right w:val="nil"/>
            </w:tcBorders>
            <w:shd w:val="clear" w:color="auto" w:fill="auto"/>
            <w:vAlign w:val="center"/>
            <w:hideMark/>
          </w:tcPr>
          <w:p w14:paraId="273B4A28" w14:textId="77777777" w:rsidR="00053E69" w:rsidRPr="00AE4E8D" w:rsidRDefault="00053E69" w:rsidP="00053E69">
            <w:pPr>
              <w:jc w:val="center"/>
              <w:rPr>
                <w:rFonts w:ascii="Times New Roman" w:hAnsi="Times New Roman"/>
                <w:color w:val="000000"/>
                <w:sz w:val="14"/>
                <w:lang w:val="es-ES"/>
              </w:rPr>
            </w:pPr>
            <w:r w:rsidRPr="00AE4E8D">
              <w:rPr>
                <w:rFonts w:ascii="Times New Roman" w:hAnsi="Times New Roman"/>
                <w:color w:val="000000"/>
                <w:sz w:val="14"/>
                <w:szCs w:val="14"/>
                <w:lang w:val="es-ES" w:eastAsia="es-AR"/>
              </w:rPr>
              <w:t>9</w:t>
            </w:r>
          </w:p>
        </w:tc>
        <w:tc>
          <w:tcPr>
            <w:tcW w:w="1025" w:type="pct"/>
            <w:tcBorders>
              <w:top w:val="nil"/>
              <w:left w:val="nil"/>
              <w:bottom w:val="nil"/>
              <w:right w:val="nil"/>
            </w:tcBorders>
            <w:shd w:val="clear" w:color="auto" w:fill="auto"/>
            <w:vAlign w:val="center"/>
            <w:hideMark/>
          </w:tcPr>
          <w:p w14:paraId="2898A9D0" w14:textId="77777777" w:rsidR="00053E69" w:rsidRPr="00AE4E8D" w:rsidRDefault="000604B3" w:rsidP="00053E69">
            <w:pPr>
              <w:jc w:val="both"/>
              <w:rPr>
                <w:rFonts w:ascii="Times New Roman" w:hAnsi="Times New Roman"/>
                <w:color w:val="000000"/>
                <w:sz w:val="14"/>
                <w:szCs w:val="14"/>
                <w:lang w:val="en-US" w:eastAsia="es-AR"/>
              </w:rPr>
            </w:pPr>
            <w:r w:rsidRPr="00AE4E8D">
              <w:rPr>
                <w:rFonts w:ascii="Times New Roman" w:hAnsi="Times New Roman"/>
                <w:color w:val="000000"/>
                <w:sz w:val="14"/>
                <w:szCs w:val="14"/>
                <w:lang w:val="en-US" w:eastAsia="es-AR"/>
              </w:rPr>
              <w:t>Industrial and Commercial Bank of China (Argentina) S.A.</w:t>
            </w:r>
          </w:p>
        </w:tc>
        <w:tc>
          <w:tcPr>
            <w:tcW w:w="467" w:type="pct"/>
            <w:tcBorders>
              <w:top w:val="nil"/>
              <w:left w:val="nil"/>
              <w:bottom w:val="nil"/>
              <w:right w:val="nil"/>
            </w:tcBorders>
            <w:shd w:val="clear" w:color="auto" w:fill="auto"/>
            <w:noWrap/>
            <w:vAlign w:val="center"/>
            <w:hideMark/>
          </w:tcPr>
          <w:p w14:paraId="03B75CC5"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104</w:t>
            </w:r>
          </w:p>
        </w:tc>
        <w:tc>
          <w:tcPr>
            <w:tcW w:w="127" w:type="pct"/>
            <w:tcBorders>
              <w:top w:val="nil"/>
              <w:left w:val="nil"/>
              <w:bottom w:val="nil"/>
              <w:right w:val="nil"/>
            </w:tcBorders>
            <w:shd w:val="clear" w:color="auto" w:fill="auto"/>
            <w:noWrap/>
            <w:vAlign w:val="center"/>
            <w:hideMark/>
          </w:tcPr>
          <w:p w14:paraId="2C6E9AA1" w14:textId="77777777" w:rsidR="00053E69" w:rsidRPr="00AE4E8D" w:rsidRDefault="00053E69" w:rsidP="00053E69">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2A2EDAA5"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2,33%</w:t>
            </w:r>
          </w:p>
        </w:tc>
        <w:tc>
          <w:tcPr>
            <w:tcW w:w="93" w:type="pct"/>
            <w:tcBorders>
              <w:top w:val="nil"/>
              <w:left w:val="nil"/>
              <w:bottom w:val="nil"/>
              <w:right w:val="nil"/>
            </w:tcBorders>
            <w:shd w:val="clear" w:color="auto" w:fill="auto"/>
            <w:vAlign w:val="center"/>
            <w:hideMark/>
          </w:tcPr>
          <w:p w14:paraId="6286C2B5"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66E880A1"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105</w:t>
            </w:r>
          </w:p>
        </w:tc>
        <w:tc>
          <w:tcPr>
            <w:tcW w:w="93" w:type="pct"/>
            <w:tcBorders>
              <w:top w:val="nil"/>
              <w:left w:val="nil"/>
              <w:bottom w:val="nil"/>
              <w:right w:val="nil"/>
            </w:tcBorders>
            <w:shd w:val="clear" w:color="auto" w:fill="auto"/>
            <w:vAlign w:val="bottom"/>
            <w:hideMark/>
          </w:tcPr>
          <w:p w14:paraId="009B8964" w14:textId="77777777" w:rsidR="00053E69" w:rsidRPr="00AE4E8D" w:rsidRDefault="00053E69" w:rsidP="00053E69">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69F28031"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2,31%</w:t>
            </w:r>
          </w:p>
        </w:tc>
        <w:tc>
          <w:tcPr>
            <w:tcW w:w="93" w:type="pct"/>
            <w:tcBorders>
              <w:top w:val="nil"/>
              <w:left w:val="nil"/>
              <w:bottom w:val="nil"/>
              <w:right w:val="nil"/>
            </w:tcBorders>
            <w:shd w:val="clear" w:color="auto" w:fill="auto"/>
            <w:noWrap/>
            <w:vAlign w:val="bottom"/>
            <w:hideMark/>
          </w:tcPr>
          <w:p w14:paraId="172CC0DB"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noWrap/>
            <w:vAlign w:val="center"/>
            <w:hideMark/>
          </w:tcPr>
          <w:p w14:paraId="2AEF4376"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111</w:t>
            </w:r>
          </w:p>
        </w:tc>
        <w:tc>
          <w:tcPr>
            <w:tcW w:w="93" w:type="pct"/>
            <w:tcBorders>
              <w:top w:val="nil"/>
              <w:left w:val="nil"/>
              <w:bottom w:val="nil"/>
              <w:right w:val="nil"/>
            </w:tcBorders>
            <w:shd w:val="clear" w:color="auto" w:fill="auto"/>
            <w:noWrap/>
            <w:vAlign w:val="bottom"/>
            <w:hideMark/>
          </w:tcPr>
          <w:p w14:paraId="37FBDEA8"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5499B63C"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eastAsia="es-AR"/>
              </w:rPr>
              <w:t>50</w:t>
            </w:r>
            <w:r w:rsidRPr="00AE4E8D">
              <w:rPr>
                <w:rFonts w:ascii="Times New Roman" w:hAnsi="Times New Roman"/>
                <w:color w:val="000000"/>
                <w:sz w:val="14"/>
                <w:lang w:val="es-ES"/>
              </w:rPr>
              <w:t>%</w:t>
            </w:r>
          </w:p>
        </w:tc>
      </w:tr>
      <w:tr w:rsidR="000604B3" w:rsidRPr="00AE4E8D" w14:paraId="4FF98EDF" w14:textId="77777777" w:rsidTr="000400C8">
        <w:trPr>
          <w:trHeight w:val="300"/>
        </w:trPr>
        <w:tc>
          <w:tcPr>
            <w:tcW w:w="451" w:type="pct"/>
            <w:tcBorders>
              <w:top w:val="nil"/>
              <w:left w:val="nil"/>
              <w:bottom w:val="nil"/>
              <w:right w:val="nil"/>
            </w:tcBorders>
            <w:shd w:val="clear" w:color="auto" w:fill="auto"/>
            <w:vAlign w:val="center"/>
            <w:hideMark/>
          </w:tcPr>
          <w:p w14:paraId="64E09F4B" w14:textId="77777777" w:rsidR="00053E69" w:rsidRPr="00AE4E8D" w:rsidRDefault="00053E69" w:rsidP="00053E69">
            <w:pPr>
              <w:jc w:val="center"/>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10</w:t>
            </w:r>
          </w:p>
        </w:tc>
        <w:tc>
          <w:tcPr>
            <w:tcW w:w="1025" w:type="pct"/>
            <w:tcBorders>
              <w:top w:val="nil"/>
              <w:left w:val="nil"/>
              <w:bottom w:val="nil"/>
              <w:right w:val="nil"/>
            </w:tcBorders>
            <w:shd w:val="clear" w:color="auto" w:fill="auto"/>
            <w:vAlign w:val="center"/>
            <w:hideMark/>
          </w:tcPr>
          <w:p w14:paraId="184BFD4E" w14:textId="77777777" w:rsidR="00053E69" w:rsidRPr="00AE4E8D" w:rsidRDefault="00541BD2" w:rsidP="00053E69">
            <w:pPr>
              <w:jc w:val="both"/>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 xml:space="preserve">Banco </w:t>
            </w:r>
            <w:r w:rsidR="00053E69" w:rsidRPr="00AE4E8D">
              <w:rPr>
                <w:rFonts w:ascii="Times New Roman" w:hAnsi="Times New Roman"/>
                <w:color w:val="000000"/>
                <w:sz w:val="14"/>
                <w:szCs w:val="14"/>
                <w:lang w:val="es-ES" w:eastAsia="es-AR"/>
              </w:rPr>
              <w:t>Patagonia</w:t>
            </w:r>
            <w:r w:rsidR="00713D68" w:rsidRPr="00AE4E8D">
              <w:rPr>
                <w:rFonts w:ascii="Times New Roman" w:hAnsi="Times New Roman"/>
                <w:color w:val="000000"/>
                <w:sz w:val="14"/>
                <w:szCs w:val="14"/>
                <w:lang w:val="en-US" w:eastAsia="es-AR"/>
              </w:rPr>
              <w:t xml:space="preserve"> S.A.</w:t>
            </w:r>
          </w:p>
        </w:tc>
        <w:tc>
          <w:tcPr>
            <w:tcW w:w="467" w:type="pct"/>
            <w:tcBorders>
              <w:top w:val="nil"/>
              <w:left w:val="nil"/>
              <w:bottom w:val="nil"/>
              <w:right w:val="nil"/>
            </w:tcBorders>
            <w:shd w:val="clear" w:color="auto" w:fill="auto"/>
            <w:vAlign w:val="center"/>
            <w:hideMark/>
          </w:tcPr>
          <w:p w14:paraId="364152E2" w14:textId="77777777" w:rsidR="00053E69" w:rsidRPr="00AE4E8D" w:rsidRDefault="00053E69" w:rsidP="00053E69">
            <w:pPr>
              <w:jc w:val="right"/>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174</w:t>
            </w:r>
          </w:p>
        </w:tc>
        <w:tc>
          <w:tcPr>
            <w:tcW w:w="127" w:type="pct"/>
            <w:tcBorders>
              <w:top w:val="nil"/>
              <w:left w:val="nil"/>
              <w:bottom w:val="nil"/>
              <w:right w:val="nil"/>
            </w:tcBorders>
            <w:shd w:val="clear" w:color="auto" w:fill="auto"/>
            <w:vAlign w:val="bottom"/>
            <w:hideMark/>
          </w:tcPr>
          <w:p w14:paraId="03156EC3" w14:textId="77777777" w:rsidR="00053E69" w:rsidRPr="00AE4E8D" w:rsidRDefault="00053E69" w:rsidP="00053E69">
            <w:pPr>
              <w:rPr>
                <w:rFonts w:ascii="Times New Roman" w:hAnsi="Times New Roman"/>
                <w:color w:val="000000"/>
                <w:lang w:val="es-ES" w:eastAsia="es-AR"/>
              </w:rPr>
            </w:pPr>
          </w:p>
        </w:tc>
        <w:tc>
          <w:tcPr>
            <w:tcW w:w="553" w:type="pct"/>
            <w:tcBorders>
              <w:top w:val="nil"/>
              <w:left w:val="nil"/>
              <w:bottom w:val="nil"/>
              <w:right w:val="nil"/>
            </w:tcBorders>
            <w:shd w:val="clear" w:color="auto" w:fill="auto"/>
            <w:vAlign w:val="center"/>
            <w:hideMark/>
          </w:tcPr>
          <w:p w14:paraId="6846ED54" w14:textId="77777777" w:rsidR="00053E69" w:rsidRPr="00AE4E8D" w:rsidRDefault="00053E69" w:rsidP="00053E69">
            <w:pPr>
              <w:jc w:val="right"/>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3,90%</w:t>
            </w:r>
          </w:p>
        </w:tc>
        <w:tc>
          <w:tcPr>
            <w:tcW w:w="93" w:type="pct"/>
            <w:tcBorders>
              <w:top w:val="nil"/>
              <w:left w:val="nil"/>
              <w:bottom w:val="nil"/>
              <w:right w:val="nil"/>
            </w:tcBorders>
            <w:shd w:val="clear" w:color="auto" w:fill="auto"/>
            <w:vAlign w:val="bottom"/>
            <w:hideMark/>
          </w:tcPr>
          <w:p w14:paraId="040B9C18" w14:textId="77777777" w:rsidR="00053E69" w:rsidRPr="00AE4E8D" w:rsidRDefault="00053E69" w:rsidP="00053E69">
            <w:pPr>
              <w:rPr>
                <w:rFonts w:ascii="Times New Roman" w:hAnsi="Times New Roman"/>
                <w:color w:val="000000"/>
                <w:lang w:val="es-ES" w:eastAsia="es-AR"/>
              </w:rPr>
            </w:pPr>
          </w:p>
        </w:tc>
        <w:tc>
          <w:tcPr>
            <w:tcW w:w="482" w:type="pct"/>
            <w:tcBorders>
              <w:top w:val="nil"/>
              <w:left w:val="nil"/>
              <w:bottom w:val="nil"/>
              <w:right w:val="nil"/>
            </w:tcBorders>
            <w:shd w:val="clear" w:color="auto" w:fill="auto"/>
            <w:vAlign w:val="center"/>
            <w:hideMark/>
          </w:tcPr>
          <w:p w14:paraId="4C6FF067" w14:textId="77777777" w:rsidR="00053E69" w:rsidRPr="00AE4E8D" w:rsidRDefault="00053E69" w:rsidP="00053E69">
            <w:pPr>
              <w:jc w:val="right"/>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177</w:t>
            </w:r>
          </w:p>
        </w:tc>
        <w:tc>
          <w:tcPr>
            <w:tcW w:w="93" w:type="pct"/>
            <w:tcBorders>
              <w:top w:val="nil"/>
              <w:left w:val="nil"/>
              <w:bottom w:val="nil"/>
              <w:right w:val="nil"/>
            </w:tcBorders>
            <w:shd w:val="clear" w:color="auto" w:fill="auto"/>
            <w:vAlign w:val="bottom"/>
            <w:hideMark/>
          </w:tcPr>
          <w:p w14:paraId="7D667548" w14:textId="77777777" w:rsidR="00053E69" w:rsidRPr="00AE4E8D" w:rsidRDefault="00053E69" w:rsidP="00053E69">
            <w:pPr>
              <w:rPr>
                <w:rFonts w:ascii="Times New Roman" w:hAnsi="Times New Roman"/>
                <w:color w:val="000000"/>
                <w:lang w:val="es-ES" w:eastAsia="es-AR"/>
              </w:rPr>
            </w:pPr>
          </w:p>
        </w:tc>
        <w:tc>
          <w:tcPr>
            <w:tcW w:w="563" w:type="pct"/>
            <w:tcBorders>
              <w:top w:val="nil"/>
              <w:left w:val="nil"/>
              <w:bottom w:val="nil"/>
              <w:right w:val="nil"/>
            </w:tcBorders>
            <w:shd w:val="clear" w:color="auto" w:fill="auto"/>
            <w:vAlign w:val="center"/>
            <w:hideMark/>
          </w:tcPr>
          <w:p w14:paraId="5EAE5180" w14:textId="77777777" w:rsidR="00053E69" w:rsidRPr="00AE4E8D" w:rsidRDefault="00053E69" w:rsidP="00053E69">
            <w:pPr>
              <w:jc w:val="right"/>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3,89%</w:t>
            </w:r>
          </w:p>
        </w:tc>
        <w:tc>
          <w:tcPr>
            <w:tcW w:w="93" w:type="pct"/>
            <w:tcBorders>
              <w:top w:val="nil"/>
              <w:left w:val="nil"/>
              <w:bottom w:val="nil"/>
              <w:right w:val="nil"/>
            </w:tcBorders>
            <w:shd w:val="clear" w:color="auto" w:fill="auto"/>
            <w:noWrap/>
            <w:vAlign w:val="bottom"/>
            <w:hideMark/>
          </w:tcPr>
          <w:p w14:paraId="60798F90" w14:textId="77777777" w:rsidR="00053E69" w:rsidRPr="00AE4E8D" w:rsidRDefault="00053E69" w:rsidP="00053E69">
            <w:pPr>
              <w:rPr>
                <w:rFonts w:ascii="Times New Roman" w:hAnsi="Times New Roman"/>
                <w:color w:val="000000"/>
                <w:sz w:val="22"/>
                <w:szCs w:val="22"/>
                <w:lang w:val="es-ES" w:eastAsia="es-AR"/>
              </w:rPr>
            </w:pPr>
          </w:p>
        </w:tc>
        <w:tc>
          <w:tcPr>
            <w:tcW w:w="399" w:type="pct"/>
            <w:tcBorders>
              <w:top w:val="nil"/>
              <w:left w:val="nil"/>
              <w:bottom w:val="nil"/>
              <w:right w:val="nil"/>
            </w:tcBorders>
            <w:shd w:val="clear" w:color="auto" w:fill="auto"/>
            <w:vAlign w:val="center"/>
            <w:hideMark/>
          </w:tcPr>
          <w:p w14:paraId="32856F04" w14:textId="77777777" w:rsidR="00053E69" w:rsidRPr="00AE4E8D" w:rsidRDefault="00053E69" w:rsidP="00053E69">
            <w:pPr>
              <w:jc w:val="right"/>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181</w:t>
            </w:r>
          </w:p>
        </w:tc>
        <w:tc>
          <w:tcPr>
            <w:tcW w:w="93" w:type="pct"/>
            <w:tcBorders>
              <w:top w:val="nil"/>
              <w:left w:val="nil"/>
              <w:bottom w:val="nil"/>
              <w:right w:val="nil"/>
            </w:tcBorders>
            <w:shd w:val="clear" w:color="auto" w:fill="auto"/>
            <w:noWrap/>
            <w:vAlign w:val="bottom"/>
            <w:hideMark/>
          </w:tcPr>
          <w:p w14:paraId="4400AEEA" w14:textId="77777777" w:rsidR="00053E69" w:rsidRPr="00AE4E8D" w:rsidRDefault="00053E69" w:rsidP="00053E69">
            <w:pPr>
              <w:rPr>
                <w:rFonts w:ascii="Times New Roman" w:hAnsi="Times New Roman"/>
                <w:color w:val="000000"/>
                <w:sz w:val="22"/>
                <w:szCs w:val="22"/>
                <w:lang w:val="es-ES" w:eastAsia="es-AR"/>
              </w:rPr>
            </w:pPr>
          </w:p>
        </w:tc>
        <w:tc>
          <w:tcPr>
            <w:tcW w:w="561" w:type="pct"/>
            <w:tcBorders>
              <w:top w:val="nil"/>
              <w:left w:val="nil"/>
              <w:bottom w:val="nil"/>
              <w:right w:val="nil"/>
            </w:tcBorders>
            <w:shd w:val="clear" w:color="auto" w:fill="auto"/>
            <w:vAlign w:val="center"/>
            <w:hideMark/>
          </w:tcPr>
          <w:p w14:paraId="69432544" w14:textId="77777777" w:rsidR="00053E69" w:rsidRPr="00AE4E8D" w:rsidRDefault="00053E69" w:rsidP="00053E69">
            <w:pPr>
              <w:jc w:val="right"/>
              <w:rPr>
                <w:rFonts w:ascii="Times New Roman" w:hAnsi="Times New Roman"/>
                <w:color w:val="000000"/>
                <w:sz w:val="14"/>
                <w:szCs w:val="14"/>
                <w:lang w:val="es-ES" w:eastAsia="es-AR"/>
              </w:rPr>
            </w:pPr>
            <w:r w:rsidRPr="00AE4E8D">
              <w:rPr>
                <w:rFonts w:ascii="Times New Roman" w:hAnsi="Times New Roman"/>
                <w:color w:val="000000"/>
                <w:sz w:val="14"/>
                <w:szCs w:val="14"/>
                <w:lang w:val="es-ES" w:eastAsia="es-AR"/>
              </w:rPr>
              <w:t>4,07%</w:t>
            </w:r>
          </w:p>
        </w:tc>
      </w:tr>
      <w:tr w:rsidR="000604B3" w:rsidRPr="00AE4E8D" w14:paraId="4531EAFB" w14:textId="77777777" w:rsidTr="000400C8">
        <w:trPr>
          <w:trHeight w:val="360"/>
        </w:trPr>
        <w:tc>
          <w:tcPr>
            <w:tcW w:w="451" w:type="pct"/>
            <w:tcBorders>
              <w:top w:val="nil"/>
              <w:left w:val="nil"/>
              <w:bottom w:val="nil"/>
              <w:right w:val="nil"/>
            </w:tcBorders>
            <w:shd w:val="clear" w:color="auto" w:fill="auto"/>
            <w:noWrap/>
            <w:vAlign w:val="bottom"/>
            <w:hideMark/>
          </w:tcPr>
          <w:p w14:paraId="33EAF3CE" w14:textId="77777777" w:rsidR="00053E69" w:rsidRPr="00AE4E8D" w:rsidRDefault="00053E69" w:rsidP="00053E69">
            <w:pPr>
              <w:rPr>
                <w:rFonts w:ascii="Times New Roman" w:hAnsi="Times New Roman"/>
                <w:color w:val="000000"/>
                <w:lang w:val="es-ES"/>
              </w:rPr>
            </w:pPr>
          </w:p>
        </w:tc>
        <w:tc>
          <w:tcPr>
            <w:tcW w:w="1025" w:type="pct"/>
            <w:tcBorders>
              <w:top w:val="nil"/>
              <w:left w:val="nil"/>
              <w:bottom w:val="nil"/>
              <w:right w:val="nil"/>
            </w:tcBorders>
            <w:shd w:val="clear" w:color="auto" w:fill="auto"/>
            <w:vAlign w:val="center"/>
            <w:hideMark/>
          </w:tcPr>
          <w:p w14:paraId="5797E3CD" w14:textId="77777777" w:rsidR="00053E69" w:rsidRPr="00AE4E8D" w:rsidRDefault="00053E69" w:rsidP="00053E69">
            <w:pPr>
              <w:jc w:val="both"/>
              <w:rPr>
                <w:rFonts w:ascii="Times New Roman" w:hAnsi="Times New Roman"/>
                <w:color w:val="000000"/>
                <w:sz w:val="14"/>
                <w:lang w:val="es-ES"/>
              </w:rPr>
            </w:pPr>
            <w:r w:rsidRPr="00AE4E8D">
              <w:rPr>
                <w:rFonts w:ascii="Times New Roman" w:hAnsi="Times New Roman"/>
                <w:color w:val="000000"/>
                <w:sz w:val="14"/>
                <w:szCs w:val="14"/>
                <w:lang w:val="es-ES" w:eastAsia="es-AR"/>
              </w:rPr>
              <w:t>Total para los 10 bancos</w:t>
            </w:r>
          </w:p>
        </w:tc>
        <w:tc>
          <w:tcPr>
            <w:tcW w:w="467" w:type="pct"/>
            <w:tcBorders>
              <w:top w:val="nil"/>
              <w:left w:val="nil"/>
              <w:bottom w:val="nil"/>
              <w:right w:val="nil"/>
            </w:tcBorders>
            <w:shd w:val="clear" w:color="auto" w:fill="auto"/>
            <w:vAlign w:val="center"/>
            <w:hideMark/>
          </w:tcPr>
          <w:p w14:paraId="790B11A0"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2.769</w:t>
            </w:r>
          </w:p>
        </w:tc>
        <w:tc>
          <w:tcPr>
            <w:tcW w:w="127" w:type="pct"/>
            <w:tcBorders>
              <w:top w:val="nil"/>
              <w:left w:val="nil"/>
              <w:bottom w:val="nil"/>
              <w:right w:val="nil"/>
            </w:tcBorders>
            <w:shd w:val="clear" w:color="auto" w:fill="auto"/>
            <w:vAlign w:val="bottom"/>
            <w:hideMark/>
          </w:tcPr>
          <w:p w14:paraId="38B02561" w14:textId="77777777" w:rsidR="00053E69" w:rsidRPr="00AE4E8D" w:rsidRDefault="00053E69" w:rsidP="00053E69">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5896D6A0"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62,04%</w:t>
            </w:r>
          </w:p>
        </w:tc>
        <w:tc>
          <w:tcPr>
            <w:tcW w:w="93" w:type="pct"/>
            <w:tcBorders>
              <w:top w:val="nil"/>
              <w:left w:val="nil"/>
              <w:bottom w:val="nil"/>
              <w:right w:val="nil"/>
            </w:tcBorders>
            <w:shd w:val="clear" w:color="auto" w:fill="auto"/>
            <w:vAlign w:val="bottom"/>
            <w:hideMark/>
          </w:tcPr>
          <w:p w14:paraId="2DB4908B"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noWrap/>
            <w:vAlign w:val="center"/>
            <w:hideMark/>
          </w:tcPr>
          <w:p w14:paraId="0319E4DD"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2.816</w:t>
            </w:r>
          </w:p>
        </w:tc>
        <w:tc>
          <w:tcPr>
            <w:tcW w:w="93" w:type="pct"/>
            <w:tcBorders>
              <w:top w:val="nil"/>
              <w:left w:val="nil"/>
              <w:bottom w:val="nil"/>
              <w:right w:val="nil"/>
            </w:tcBorders>
            <w:shd w:val="clear" w:color="auto" w:fill="auto"/>
            <w:noWrap/>
            <w:vAlign w:val="bottom"/>
            <w:hideMark/>
          </w:tcPr>
          <w:p w14:paraId="136DA6E3" w14:textId="77777777" w:rsidR="00053E69" w:rsidRPr="00AE4E8D" w:rsidRDefault="00053E69" w:rsidP="00053E69">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70A81992"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61,89%</w:t>
            </w:r>
          </w:p>
        </w:tc>
        <w:tc>
          <w:tcPr>
            <w:tcW w:w="93" w:type="pct"/>
            <w:tcBorders>
              <w:top w:val="nil"/>
              <w:left w:val="nil"/>
              <w:bottom w:val="nil"/>
              <w:right w:val="nil"/>
            </w:tcBorders>
            <w:shd w:val="clear" w:color="auto" w:fill="auto"/>
            <w:noWrap/>
            <w:vAlign w:val="bottom"/>
            <w:hideMark/>
          </w:tcPr>
          <w:p w14:paraId="7BE9F557"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5975FBD2"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2.</w:t>
            </w:r>
            <w:r w:rsidRPr="00AE4E8D">
              <w:rPr>
                <w:rFonts w:ascii="Times New Roman" w:hAnsi="Times New Roman"/>
                <w:color w:val="000000"/>
                <w:sz w:val="14"/>
                <w:szCs w:val="14"/>
                <w:lang w:val="es-ES" w:eastAsia="es-AR"/>
              </w:rPr>
              <w:t>883</w:t>
            </w:r>
          </w:p>
        </w:tc>
        <w:tc>
          <w:tcPr>
            <w:tcW w:w="93" w:type="pct"/>
            <w:tcBorders>
              <w:top w:val="nil"/>
              <w:left w:val="nil"/>
              <w:bottom w:val="nil"/>
              <w:right w:val="nil"/>
            </w:tcBorders>
            <w:shd w:val="clear" w:color="auto" w:fill="auto"/>
            <w:noWrap/>
            <w:vAlign w:val="bottom"/>
            <w:hideMark/>
          </w:tcPr>
          <w:p w14:paraId="1E4A92D0" w14:textId="77777777" w:rsidR="00053E69" w:rsidRPr="00AE4E8D" w:rsidRDefault="00053E69" w:rsidP="00053E69">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2DEF0224"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64,82</w:t>
            </w:r>
            <w:r w:rsidRPr="00AE4E8D">
              <w:rPr>
                <w:rFonts w:ascii="Times New Roman" w:hAnsi="Times New Roman"/>
                <w:color w:val="000000"/>
                <w:sz w:val="14"/>
                <w:lang w:val="es-ES"/>
              </w:rPr>
              <w:t>%</w:t>
            </w:r>
          </w:p>
        </w:tc>
      </w:tr>
      <w:tr w:rsidR="000604B3" w:rsidRPr="00AE4E8D" w14:paraId="0F2438E2" w14:textId="77777777" w:rsidTr="000400C8">
        <w:trPr>
          <w:trHeight w:val="300"/>
        </w:trPr>
        <w:tc>
          <w:tcPr>
            <w:tcW w:w="451" w:type="pct"/>
            <w:tcBorders>
              <w:top w:val="nil"/>
              <w:left w:val="nil"/>
              <w:bottom w:val="nil"/>
              <w:right w:val="nil"/>
            </w:tcBorders>
            <w:shd w:val="clear" w:color="auto" w:fill="auto"/>
            <w:vAlign w:val="center"/>
            <w:hideMark/>
          </w:tcPr>
          <w:p w14:paraId="27107919" w14:textId="77777777" w:rsidR="00053E69" w:rsidRPr="00AE4E8D" w:rsidRDefault="00053E69" w:rsidP="00053E69">
            <w:pPr>
              <w:jc w:val="center"/>
              <w:rPr>
                <w:rFonts w:ascii="Times New Roman" w:hAnsi="Times New Roman"/>
                <w:b/>
                <w:color w:val="000000"/>
                <w:sz w:val="14"/>
                <w:lang w:val="es-ES"/>
              </w:rPr>
            </w:pPr>
            <w:r w:rsidRPr="00AE4E8D">
              <w:rPr>
                <w:rFonts w:ascii="Times New Roman" w:hAnsi="Times New Roman"/>
                <w:b/>
                <w:bCs/>
                <w:color w:val="000000"/>
                <w:sz w:val="14"/>
                <w:szCs w:val="14"/>
                <w:lang w:val="es-ES" w:eastAsia="es-AR"/>
              </w:rPr>
              <w:t>13</w:t>
            </w:r>
          </w:p>
        </w:tc>
        <w:tc>
          <w:tcPr>
            <w:tcW w:w="1025" w:type="pct"/>
            <w:tcBorders>
              <w:top w:val="nil"/>
              <w:left w:val="nil"/>
              <w:bottom w:val="nil"/>
              <w:right w:val="nil"/>
            </w:tcBorders>
            <w:shd w:val="clear" w:color="auto" w:fill="auto"/>
            <w:vAlign w:val="center"/>
            <w:hideMark/>
          </w:tcPr>
          <w:p w14:paraId="3E028CB9" w14:textId="77777777" w:rsidR="00053E69" w:rsidRPr="00AE4E8D" w:rsidRDefault="00541BD2" w:rsidP="00053E69">
            <w:pPr>
              <w:jc w:val="both"/>
              <w:rPr>
                <w:rFonts w:ascii="Times New Roman" w:hAnsi="Times New Roman"/>
                <w:b/>
                <w:color w:val="000000"/>
                <w:sz w:val="14"/>
                <w:lang w:val="es-ES"/>
              </w:rPr>
            </w:pPr>
            <w:r w:rsidRPr="00AE4E8D">
              <w:rPr>
                <w:rFonts w:ascii="Times New Roman" w:hAnsi="Times New Roman"/>
                <w:b/>
                <w:bCs/>
                <w:color w:val="000000"/>
                <w:sz w:val="14"/>
                <w:szCs w:val="14"/>
                <w:lang w:val="es-ES" w:eastAsia="es-AR"/>
              </w:rPr>
              <w:t xml:space="preserve">Banco </w:t>
            </w:r>
            <w:r w:rsidR="00053E69" w:rsidRPr="00AE4E8D">
              <w:rPr>
                <w:rFonts w:ascii="Times New Roman" w:hAnsi="Times New Roman"/>
                <w:b/>
                <w:bCs/>
                <w:color w:val="000000"/>
                <w:sz w:val="14"/>
                <w:szCs w:val="14"/>
                <w:lang w:val="es-ES" w:eastAsia="es-AR"/>
              </w:rPr>
              <w:t>Hipotecario</w:t>
            </w:r>
            <w:r w:rsidR="00713D68" w:rsidRPr="00AE4E8D">
              <w:rPr>
                <w:rFonts w:ascii="Times New Roman" w:hAnsi="Times New Roman"/>
                <w:color w:val="000000"/>
                <w:sz w:val="14"/>
                <w:szCs w:val="14"/>
                <w:lang w:val="en-US" w:eastAsia="es-AR"/>
              </w:rPr>
              <w:t xml:space="preserve"> </w:t>
            </w:r>
            <w:r w:rsidR="00713D68" w:rsidRPr="00AE4E8D">
              <w:rPr>
                <w:rFonts w:ascii="Times New Roman" w:hAnsi="Times New Roman"/>
                <w:b/>
                <w:color w:val="000000"/>
                <w:sz w:val="14"/>
                <w:szCs w:val="14"/>
                <w:lang w:val="en-US" w:eastAsia="es-AR"/>
              </w:rPr>
              <w:t>S.A.</w:t>
            </w:r>
          </w:p>
        </w:tc>
        <w:tc>
          <w:tcPr>
            <w:tcW w:w="467" w:type="pct"/>
            <w:tcBorders>
              <w:top w:val="nil"/>
              <w:left w:val="nil"/>
              <w:bottom w:val="nil"/>
              <w:right w:val="nil"/>
            </w:tcBorders>
            <w:shd w:val="clear" w:color="auto" w:fill="auto"/>
            <w:vAlign w:val="center"/>
            <w:hideMark/>
          </w:tcPr>
          <w:p w14:paraId="02DD6A7B" w14:textId="77777777" w:rsidR="00053E69" w:rsidRPr="00AE4E8D" w:rsidRDefault="00053E69" w:rsidP="00053E69">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62</w:t>
            </w:r>
          </w:p>
        </w:tc>
        <w:tc>
          <w:tcPr>
            <w:tcW w:w="127" w:type="pct"/>
            <w:tcBorders>
              <w:top w:val="nil"/>
              <w:left w:val="nil"/>
              <w:bottom w:val="nil"/>
              <w:right w:val="nil"/>
            </w:tcBorders>
            <w:shd w:val="clear" w:color="auto" w:fill="auto"/>
            <w:vAlign w:val="bottom"/>
            <w:hideMark/>
          </w:tcPr>
          <w:p w14:paraId="034A98ED" w14:textId="77777777" w:rsidR="00053E69" w:rsidRPr="00AE4E8D" w:rsidRDefault="00053E69" w:rsidP="00241071">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5FD95DF7" w14:textId="77777777" w:rsidR="00053E69" w:rsidRPr="00AE4E8D" w:rsidRDefault="00053E69" w:rsidP="00053E69">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1,39%</w:t>
            </w:r>
          </w:p>
        </w:tc>
        <w:tc>
          <w:tcPr>
            <w:tcW w:w="93" w:type="pct"/>
            <w:tcBorders>
              <w:top w:val="nil"/>
              <w:left w:val="nil"/>
              <w:bottom w:val="nil"/>
              <w:right w:val="nil"/>
            </w:tcBorders>
            <w:shd w:val="clear" w:color="auto" w:fill="auto"/>
            <w:vAlign w:val="bottom"/>
            <w:hideMark/>
          </w:tcPr>
          <w:p w14:paraId="30F6C177"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0568C448" w14:textId="77777777" w:rsidR="00053E69" w:rsidRPr="00AE4E8D" w:rsidRDefault="00053E69" w:rsidP="00053E69">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65</w:t>
            </w:r>
          </w:p>
        </w:tc>
        <w:tc>
          <w:tcPr>
            <w:tcW w:w="93" w:type="pct"/>
            <w:tcBorders>
              <w:top w:val="nil"/>
              <w:left w:val="nil"/>
              <w:bottom w:val="nil"/>
              <w:right w:val="nil"/>
            </w:tcBorders>
            <w:shd w:val="clear" w:color="auto" w:fill="auto"/>
            <w:vAlign w:val="bottom"/>
            <w:hideMark/>
          </w:tcPr>
          <w:p w14:paraId="1F3EADAA"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42990C61" w14:textId="77777777" w:rsidR="00053E69" w:rsidRPr="00AE4E8D" w:rsidRDefault="00053E69" w:rsidP="00053E69">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1,43%</w:t>
            </w:r>
          </w:p>
        </w:tc>
        <w:tc>
          <w:tcPr>
            <w:tcW w:w="93" w:type="pct"/>
            <w:tcBorders>
              <w:top w:val="nil"/>
              <w:left w:val="nil"/>
              <w:bottom w:val="nil"/>
              <w:right w:val="nil"/>
            </w:tcBorders>
            <w:shd w:val="clear" w:color="auto" w:fill="auto"/>
            <w:noWrap/>
            <w:vAlign w:val="bottom"/>
            <w:hideMark/>
          </w:tcPr>
          <w:p w14:paraId="047CB2DE"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3EE6A905" w14:textId="77777777" w:rsidR="00053E69" w:rsidRPr="00AE4E8D" w:rsidRDefault="00053E69" w:rsidP="00053E69">
            <w:pPr>
              <w:jc w:val="right"/>
              <w:rPr>
                <w:rFonts w:ascii="Times New Roman" w:hAnsi="Times New Roman"/>
                <w:b/>
                <w:color w:val="000000"/>
                <w:sz w:val="14"/>
                <w:lang w:val="es-ES"/>
              </w:rPr>
            </w:pPr>
            <w:r w:rsidRPr="00AE4E8D">
              <w:rPr>
                <w:rFonts w:ascii="Times New Roman" w:hAnsi="Times New Roman"/>
                <w:b/>
                <w:bCs/>
                <w:color w:val="000000"/>
                <w:sz w:val="14"/>
                <w:szCs w:val="14"/>
                <w:lang w:val="es-ES" w:eastAsia="es-AR"/>
              </w:rPr>
              <w:t>63</w:t>
            </w:r>
          </w:p>
        </w:tc>
        <w:tc>
          <w:tcPr>
            <w:tcW w:w="93" w:type="pct"/>
            <w:tcBorders>
              <w:top w:val="nil"/>
              <w:left w:val="nil"/>
              <w:bottom w:val="nil"/>
              <w:right w:val="nil"/>
            </w:tcBorders>
            <w:shd w:val="clear" w:color="auto" w:fill="auto"/>
            <w:noWrap/>
            <w:vAlign w:val="bottom"/>
            <w:hideMark/>
          </w:tcPr>
          <w:p w14:paraId="31EEEB66"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35C985F1" w14:textId="77777777" w:rsidR="00053E69" w:rsidRPr="00AE4E8D" w:rsidRDefault="00053E69" w:rsidP="00053E69">
            <w:pPr>
              <w:jc w:val="right"/>
              <w:rPr>
                <w:rFonts w:ascii="Times New Roman" w:hAnsi="Times New Roman"/>
                <w:b/>
                <w:color w:val="000000"/>
                <w:sz w:val="14"/>
                <w:lang w:val="es-ES"/>
              </w:rPr>
            </w:pPr>
            <w:r w:rsidRPr="00AE4E8D">
              <w:rPr>
                <w:rFonts w:ascii="Times New Roman" w:hAnsi="Times New Roman"/>
                <w:b/>
                <w:color w:val="000000"/>
                <w:sz w:val="14"/>
                <w:lang w:val="es-ES"/>
              </w:rPr>
              <w:t>1,</w:t>
            </w:r>
            <w:r w:rsidRPr="00AE4E8D">
              <w:rPr>
                <w:rFonts w:ascii="Times New Roman" w:hAnsi="Times New Roman"/>
                <w:b/>
                <w:bCs/>
                <w:color w:val="000000"/>
                <w:sz w:val="14"/>
                <w:szCs w:val="14"/>
                <w:lang w:val="es-ES" w:eastAsia="es-AR"/>
              </w:rPr>
              <w:t>42</w:t>
            </w:r>
            <w:r w:rsidRPr="00AE4E8D">
              <w:rPr>
                <w:rFonts w:ascii="Times New Roman" w:hAnsi="Times New Roman"/>
                <w:b/>
                <w:color w:val="000000"/>
                <w:sz w:val="14"/>
                <w:lang w:val="es-ES"/>
              </w:rPr>
              <w:t>%</w:t>
            </w:r>
          </w:p>
        </w:tc>
      </w:tr>
      <w:tr w:rsidR="000604B3" w:rsidRPr="00AE4E8D" w14:paraId="7DC76331" w14:textId="77777777" w:rsidTr="000400C8">
        <w:trPr>
          <w:trHeight w:val="450"/>
        </w:trPr>
        <w:tc>
          <w:tcPr>
            <w:tcW w:w="451" w:type="pct"/>
            <w:tcBorders>
              <w:top w:val="nil"/>
              <w:left w:val="nil"/>
              <w:bottom w:val="nil"/>
              <w:right w:val="nil"/>
            </w:tcBorders>
            <w:shd w:val="clear" w:color="auto" w:fill="auto"/>
            <w:noWrap/>
            <w:vAlign w:val="bottom"/>
            <w:hideMark/>
          </w:tcPr>
          <w:p w14:paraId="7BA6F0C4" w14:textId="77777777" w:rsidR="00053E69" w:rsidRPr="00AE4E8D" w:rsidRDefault="00053E69" w:rsidP="00053E69">
            <w:pPr>
              <w:rPr>
                <w:rFonts w:ascii="Times New Roman" w:hAnsi="Times New Roman"/>
                <w:color w:val="000000"/>
                <w:lang w:val="es-ES"/>
              </w:rPr>
            </w:pPr>
          </w:p>
        </w:tc>
        <w:tc>
          <w:tcPr>
            <w:tcW w:w="1025" w:type="pct"/>
            <w:tcBorders>
              <w:top w:val="nil"/>
              <w:left w:val="nil"/>
              <w:bottom w:val="nil"/>
              <w:right w:val="nil"/>
            </w:tcBorders>
            <w:shd w:val="clear" w:color="auto" w:fill="auto"/>
            <w:vAlign w:val="center"/>
            <w:hideMark/>
          </w:tcPr>
          <w:p w14:paraId="4E6F9806" w14:textId="77777777" w:rsidR="00053E69" w:rsidRPr="00AE4E8D" w:rsidRDefault="00053E69" w:rsidP="00053E69">
            <w:pPr>
              <w:rPr>
                <w:rFonts w:ascii="Times New Roman" w:hAnsi="Times New Roman"/>
                <w:color w:val="000000"/>
                <w:sz w:val="14"/>
                <w:lang w:val="es-ES"/>
              </w:rPr>
            </w:pPr>
            <w:r w:rsidRPr="00AE4E8D">
              <w:rPr>
                <w:rFonts w:ascii="Times New Roman" w:hAnsi="Times New Roman"/>
                <w:color w:val="000000"/>
                <w:sz w:val="14"/>
                <w:szCs w:val="14"/>
                <w:lang w:val="es-ES" w:eastAsia="es-AR"/>
              </w:rPr>
              <w:t>Sistema financiero argentino</w:t>
            </w:r>
          </w:p>
        </w:tc>
        <w:tc>
          <w:tcPr>
            <w:tcW w:w="467" w:type="pct"/>
            <w:tcBorders>
              <w:top w:val="nil"/>
              <w:left w:val="nil"/>
              <w:bottom w:val="nil"/>
              <w:right w:val="nil"/>
            </w:tcBorders>
            <w:shd w:val="clear" w:color="auto" w:fill="auto"/>
            <w:vAlign w:val="center"/>
            <w:hideMark/>
          </w:tcPr>
          <w:p w14:paraId="2A27EBBB"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4.463</w:t>
            </w:r>
          </w:p>
        </w:tc>
        <w:tc>
          <w:tcPr>
            <w:tcW w:w="127" w:type="pct"/>
            <w:tcBorders>
              <w:top w:val="nil"/>
              <w:left w:val="nil"/>
              <w:bottom w:val="nil"/>
              <w:right w:val="nil"/>
            </w:tcBorders>
            <w:shd w:val="clear" w:color="auto" w:fill="auto"/>
            <w:vAlign w:val="bottom"/>
            <w:hideMark/>
          </w:tcPr>
          <w:p w14:paraId="588B3EB2" w14:textId="77777777" w:rsidR="00053E69" w:rsidRPr="00AE4E8D" w:rsidRDefault="00053E69" w:rsidP="00053E69">
            <w:pPr>
              <w:rPr>
                <w:rFonts w:ascii="Times New Roman" w:hAnsi="Times New Roman"/>
                <w:color w:val="000000"/>
                <w:lang w:val="es-ES"/>
              </w:rPr>
            </w:pPr>
          </w:p>
        </w:tc>
        <w:tc>
          <w:tcPr>
            <w:tcW w:w="553" w:type="pct"/>
            <w:tcBorders>
              <w:top w:val="nil"/>
              <w:left w:val="nil"/>
              <w:bottom w:val="nil"/>
              <w:right w:val="nil"/>
            </w:tcBorders>
            <w:shd w:val="clear" w:color="auto" w:fill="auto"/>
            <w:vAlign w:val="center"/>
            <w:hideMark/>
          </w:tcPr>
          <w:p w14:paraId="70F123BA"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93" w:type="pct"/>
            <w:tcBorders>
              <w:top w:val="nil"/>
              <w:left w:val="nil"/>
              <w:bottom w:val="nil"/>
              <w:right w:val="nil"/>
            </w:tcBorders>
            <w:shd w:val="clear" w:color="auto" w:fill="auto"/>
            <w:vAlign w:val="bottom"/>
            <w:hideMark/>
          </w:tcPr>
          <w:p w14:paraId="6DF49A71" w14:textId="77777777" w:rsidR="00053E69" w:rsidRPr="00AE4E8D" w:rsidRDefault="00053E69" w:rsidP="00053E69">
            <w:pPr>
              <w:rPr>
                <w:rFonts w:ascii="Times New Roman" w:hAnsi="Times New Roman"/>
                <w:color w:val="000000"/>
                <w:lang w:val="es-ES"/>
              </w:rPr>
            </w:pPr>
          </w:p>
        </w:tc>
        <w:tc>
          <w:tcPr>
            <w:tcW w:w="482" w:type="pct"/>
            <w:tcBorders>
              <w:top w:val="nil"/>
              <w:left w:val="nil"/>
              <w:bottom w:val="nil"/>
              <w:right w:val="nil"/>
            </w:tcBorders>
            <w:shd w:val="clear" w:color="auto" w:fill="auto"/>
            <w:vAlign w:val="center"/>
            <w:hideMark/>
          </w:tcPr>
          <w:p w14:paraId="5BD5D543"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4.550</w:t>
            </w:r>
          </w:p>
        </w:tc>
        <w:tc>
          <w:tcPr>
            <w:tcW w:w="93" w:type="pct"/>
            <w:tcBorders>
              <w:top w:val="nil"/>
              <w:left w:val="nil"/>
              <w:bottom w:val="nil"/>
              <w:right w:val="nil"/>
            </w:tcBorders>
            <w:shd w:val="clear" w:color="auto" w:fill="auto"/>
            <w:vAlign w:val="bottom"/>
            <w:hideMark/>
          </w:tcPr>
          <w:p w14:paraId="3563610E" w14:textId="77777777" w:rsidR="00053E69" w:rsidRPr="00AE4E8D" w:rsidRDefault="00053E69" w:rsidP="00241071">
            <w:pPr>
              <w:rPr>
                <w:rFonts w:ascii="Times New Roman" w:hAnsi="Times New Roman"/>
                <w:color w:val="000000"/>
                <w:lang w:val="es-ES"/>
              </w:rPr>
            </w:pPr>
          </w:p>
        </w:tc>
        <w:tc>
          <w:tcPr>
            <w:tcW w:w="563" w:type="pct"/>
            <w:tcBorders>
              <w:top w:val="nil"/>
              <w:left w:val="nil"/>
              <w:bottom w:val="nil"/>
              <w:right w:val="nil"/>
            </w:tcBorders>
            <w:shd w:val="clear" w:color="auto" w:fill="auto"/>
            <w:vAlign w:val="center"/>
            <w:hideMark/>
          </w:tcPr>
          <w:p w14:paraId="408F1746"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szCs w:val="14"/>
                <w:lang w:val="es-ES" w:eastAsia="es-AR"/>
              </w:rPr>
              <w:t>100,00%</w:t>
            </w:r>
          </w:p>
        </w:tc>
        <w:tc>
          <w:tcPr>
            <w:tcW w:w="93" w:type="pct"/>
            <w:tcBorders>
              <w:top w:val="nil"/>
              <w:left w:val="nil"/>
              <w:bottom w:val="nil"/>
              <w:right w:val="nil"/>
            </w:tcBorders>
            <w:shd w:val="clear" w:color="auto" w:fill="auto"/>
            <w:noWrap/>
            <w:vAlign w:val="bottom"/>
            <w:hideMark/>
          </w:tcPr>
          <w:p w14:paraId="4C7CB351" w14:textId="77777777" w:rsidR="00053E69" w:rsidRPr="00AE4E8D" w:rsidRDefault="00053E69" w:rsidP="00053E69">
            <w:pPr>
              <w:rPr>
                <w:rFonts w:ascii="Times New Roman" w:hAnsi="Times New Roman"/>
                <w:color w:val="000000"/>
                <w:sz w:val="22"/>
                <w:lang w:val="es-ES"/>
              </w:rPr>
            </w:pPr>
          </w:p>
        </w:tc>
        <w:tc>
          <w:tcPr>
            <w:tcW w:w="399" w:type="pct"/>
            <w:tcBorders>
              <w:top w:val="nil"/>
              <w:left w:val="nil"/>
              <w:bottom w:val="nil"/>
              <w:right w:val="nil"/>
            </w:tcBorders>
            <w:shd w:val="clear" w:color="auto" w:fill="auto"/>
            <w:vAlign w:val="center"/>
            <w:hideMark/>
          </w:tcPr>
          <w:p w14:paraId="66F810ED"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4.</w:t>
            </w:r>
            <w:r w:rsidRPr="00AE4E8D">
              <w:rPr>
                <w:rFonts w:ascii="Times New Roman" w:hAnsi="Times New Roman"/>
                <w:color w:val="000000"/>
                <w:sz w:val="14"/>
                <w:szCs w:val="14"/>
                <w:lang w:val="es-ES" w:eastAsia="es-AR"/>
              </w:rPr>
              <w:t>448</w:t>
            </w:r>
          </w:p>
        </w:tc>
        <w:tc>
          <w:tcPr>
            <w:tcW w:w="93" w:type="pct"/>
            <w:tcBorders>
              <w:top w:val="nil"/>
              <w:left w:val="nil"/>
              <w:bottom w:val="nil"/>
              <w:right w:val="nil"/>
            </w:tcBorders>
            <w:shd w:val="clear" w:color="auto" w:fill="auto"/>
            <w:noWrap/>
            <w:vAlign w:val="bottom"/>
            <w:hideMark/>
          </w:tcPr>
          <w:p w14:paraId="55AE4085" w14:textId="77777777" w:rsidR="00053E69" w:rsidRPr="00AE4E8D" w:rsidRDefault="00053E69" w:rsidP="00241071">
            <w:pPr>
              <w:rPr>
                <w:rFonts w:ascii="Times New Roman" w:hAnsi="Times New Roman"/>
                <w:color w:val="000000"/>
                <w:sz w:val="22"/>
                <w:lang w:val="es-ES"/>
              </w:rPr>
            </w:pPr>
          </w:p>
        </w:tc>
        <w:tc>
          <w:tcPr>
            <w:tcW w:w="561" w:type="pct"/>
            <w:tcBorders>
              <w:top w:val="nil"/>
              <w:left w:val="nil"/>
              <w:bottom w:val="nil"/>
              <w:right w:val="nil"/>
            </w:tcBorders>
            <w:shd w:val="clear" w:color="auto" w:fill="auto"/>
            <w:vAlign w:val="center"/>
            <w:hideMark/>
          </w:tcPr>
          <w:p w14:paraId="18EE01CA" w14:textId="77777777" w:rsidR="00053E69" w:rsidRPr="00AE4E8D" w:rsidRDefault="00053E69" w:rsidP="00053E69">
            <w:pPr>
              <w:jc w:val="right"/>
              <w:rPr>
                <w:rFonts w:ascii="Times New Roman" w:hAnsi="Times New Roman"/>
                <w:color w:val="000000"/>
                <w:sz w:val="14"/>
                <w:lang w:val="es-ES"/>
              </w:rPr>
            </w:pPr>
            <w:r w:rsidRPr="00AE4E8D">
              <w:rPr>
                <w:rFonts w:ascii="Times New Roman" w:hAnsi="Times New Roman"/>
                <w:color w:val="000000"/>
                <w:sz w:val="14"/>
                <w:lang w:val="es-ES"/>
              </w:rPr>
              <w:t>100,00%</w:t>
            </w:r>
          </w:p>
        </w:tc>
      </w:tr>
    </w:tbl>
    <w:p w14:paraId="65355392" w14:textId="77777777" w:rsidR="00AE56D6" w:rsidRPr="00AE4E8D" w:rsidRDefault="00AE56D6" w:rsidP="00AE56D6">
      <w:pPr>
        <w:keepLines/>
        <w:pBdr>
          <w:bottom w:val="single" w:sz="4" w:space="1" w:color="auto"/>
        </w:pBdr>
        <w:autoSpaceDE w:val="0"/>
        <w:autoSpaceDN w:val="0"/>
        <w:adjustRightInd w:val="0"/>
        <w:ind w:right="7740"/>
        <w:jc w:val="both"/>
        <w:rPr>
          <w:rFonts w:ascii="Times New Roman" w:eastAsia="MS Mincho" w:hAnsi="Times New Roman"/>
          <w:w w:val="1"/>
          <w:lang w:val="es-ES"/>
        </w:rPr>
      </w:pPr>
    </w:p>
    <w:p w14:paraId="49D40325" w14:textId="77777777" w:rsidR="00AE56D6" w:rsidRPr="00AE4E8D" w:rsidRDefault="00AE56D6" w:rsidP="00AE56D6">
      <w:pPr>
        <w:keepLines/>
        <w:rPr>
          <w:rFonts w:ascii="Times New Roman" w:hAnsi="Times New Roman"/>
          <w:sz w:val="16"/>
          <w:lang w:val="es-ES"/>
        </w:rPr>
      </w:pPr>
      <w:r w:rsidRPr="00AE4E8D">
        <w:rPr>
          <w:rFonts w:ascii="Times New Roman" w:hAnsi="Times New Roman"/>
          <w:sz w:val="16"/>
          <w:lang w:val="es-ES"/>
        </w:rPr>
        <w:t>(*) Fuente: BCRA.</w:t>
      </w:r>
    </w:p>
    <w:p w14:paraId="65898CFD" w14:textId="77777777" w:rsidR="008C50B4" w:rsidRPr="00AE4E8D" w:rsidRDefault="008C50B4" w:rsidP="008C50B4">
      <w:pPr>
        <w:rPr>
          <w:rFonts w:ascii="Times New Roman" w:hAnsi="Times New Roman"/>
          <w:bCs/>
          <w:iCs/>
          <w:sz w:val="16"/>
          <w:szCs w:val="16"/>
          <w:lang w:val="es-ES"/>
        </w:rPr>
      </w:pPr>
      <w:r w:rsidRPr="00AE4E8D">
        <w:rPr>
          <w:rFonts w:ascii="Times New Roman" w:hAnsi="Times New Roman"/>
          <w:sz w:val="16"/>
          <w:lang w:val="es-ES"/>
        </w:rPr>
        <w:t>(1) La información presentada por el BCRA no incluye todos los “puntos de contacto” del banco, algunos de los cuales no son considerados sucursales por el BCRA.</w:t>
      </w:r>
      <w:r w:rsidRPr="00AE4E8D">
        <w:rPr>
          <w:rFonts w:ascii="Times New Roman" w:hAnsi="Times New Roman"/>
          <w:bCs/>
          <w:iCs/>
          <w:sz w:val="16"/>
          <w:szCs w:val="16"/>
          <w:lang w:val="es-ES"/>
        </w:rPr>
        <w:t xml:space="preserve"> </w:t>
      </w:r>
    </w:p>
    <w:p w14:paraId="68F2AAFC" w14:textId="77777777" w:rsidR="000924EA" w:rsidRPr="00AE4E8D" w:rsidRDefault="00881C8A" w:rsidP="000924EA">
      <w:pPr>
        <w:autoSpaceDE w:val="0"/>
        <w:autoSpaceDN w:val="0"/>
        <w:adjustRightInd w:val="0"/>
        <w:spacing w:before="240" w:after="240"/>
        <w:jc w:val="center"/>
        <w:outlineLvl w:val="0"/>
        <w:rPr>
          <w:rFonts w:ascii="Times New Roman" w:hAnsi="Times New Roman"/>
          <w:b/>
          <w:caps/>
          <w:lang w:val="es-ES"/>
        </w:rPr>
      </w:pPr>
      <w:bookmarkStart w:id="591" w:name="_DV_M972"/>
      <w:bookmarkStart w:id="592" w:name="_DV_M973"/>
      <w:bookmarkStart w:id="593" w:name="_DV_M974"/>
      <w:bookmarkStart w:id="594" w:name="_DV_M975"/>
      <w:bookmarkStart w:id="595" w:name="_DV_M978"/>
      <w:bookmarkStart w:id="596" w:name="_DV_M979"/>
      <w:bookmarkStart w:id="597" w:name="_DV_M981"/>
      <w:bookmarkStart w:id="598" w:name="_DV_M982"/>
      <w:bookmarkStart w:id="599" w:name="_DV_M987"/>
      <w:bookmarkStart w:id="600" w:name="_DV_M988"/>
      <w:bookmarkStart w:id="601" w:name="_DV_M991"/>
      <w:bookmarkStart w:id="602" w:name="_DV_M992"/>
      <w:bookmarkStart w:id="603" w:name="_DV_M1000"/>
      <w:bookmarkStart w:id="604" w:name="_DV_M1001"/>
      <w:bookmarkStart w:id="605" w:name="_DV_M1002"/>
      <w:bookmarkStart w:id="606" w:name="_DV_M1003"/>
      <w:bookmarkStart w:id="607" w:name="_DV_M1004"/>
      <w:bookmarkStart w:id="608" w:name="_DV_M1009"/>
      <w:bookmarkStart w:id="609" w:name="_DV_M1010"/>
      <w:bookmarkStart w:id="610" w:name="_DV_M1011"/>
      <w:bookmarkStart w:id="611" w:name="_Toc449010434"/>
      <w:bookmarkStart w:id="612" w:name="_Toc421201423"/>
      <w:bookmarkEnd w:id="559"/>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r w:rsidRPr="00AE4E8D">
        <w:rPr>
          <w:rFonts w:ascii="Times New Roman" w:hAnsi="Times New Roman"/>
          <w:b/>
          <w:caps/>
          <w:highlight w:val="cyan"/>
          <w:lang w:val="es-ES"/>
        </w:rPr>
        <w:br w:type="page"/>
      </w:r>
      <w:bookmarkStart w:id="613" w:name="_Toc495973037"/>
      <w:bookmarkStart w:id="614" w:name="_Toc495399944"/>
      <w:bookmarkStart w:id="615" w:name="_Toc487734744"/>
      <w:r w:rsidR="000924EA" w:rsidRPr="00AE4E8D">
        <w:rPr>
          <w:rFonts w:ascii="Times New Roman" w:hAnsi="Times New Roman"/>
          <w:b/>
          <w:caps/>
          <w:lang w:val="es-ES" w:eastAsia="es-AR"/>
        </w:rPr>
        <w:lastRenderedPageBreak/>
        <w:t>DATOS SOBRE DIRECTORES, ADMINISTRADORES, GERENTES, ASESORES Y MIEMBROS DEL ÓRGANO DE FISCALIZACIÓN</w:t>
      </w:r>
      <w:bookmarkEnd w:id="613"/>
      <w:bookmarkEnd w:id="614"/>
    </w:p>
    <w:p w14:paraId="40968706" w14:textId="77777777" w:rsidR="000924EA" w:rsidRPr="00AE4E8D" w:rsidRDefault="000924EA" w:rsidP="000924EA">
      <w:pPr>
        <w:keepNext/>
        <w:autoSpaceDE w:val="0"/>
        <w:autoSpaceDN w:val="0"/>
        <w:adjustRightInd w:val="0"/>
        <w:spacing w:before="240" w:after="240"/>
        <w:outlineLvl w:val="1"/>
        <w:rPr>
          <w:rFonts w:ascii="Times New Roman" w:hAnsi="Times New Roman"/>
          <w:b/>
          <w:lang w:val="es-ES"/>
        </w:rPr>
      </w:pPr>
      <w:bookmarkStart w:id="616" w:name="_Toc495973038"/>
      <w:bookmarkStart w:id="617" w:name="_Toc495399945"/>
      <w:r w:rsidRPr="00AE4E8D">
        <w:rPr>
          <w:rFonts w:ascii="Times New Roman" w:hAnsi="Times New Roman"/>
          <w:b/>
          <w:lang w:val="es-ES"/>
        </w:rPr>
        <w:t>a) Directorio</w:t>
      </w:r>
      <w:bookmarkEnd w:id="616"/>
      <w:bookmarkEnd w:id="617"/>
    </w:p>
    <w:p w14:paraId="69C6C639" w14:textId="77777777" w:rsidR="000924EA" w:rsidRPr="00AE4E8D" w:rsidRDefault="000924EA" w:rsidP="000924EA">
      <w:pPr>
        <w:pStyle w:val="BHTexto"/>
        <w:rPr>
          <w:lang w:val="es-ES"/>
        </w:rPr>
      </w:pPr>
      <w:r w:rsidRPr="00AE4E8D">
        <w:rPr>
          <w:lang w:val="es-ES"/>
        </w:rPr>
        <w:t>Estamos administrados por un Directorio. Los miembros del Directorio son elegidos por nuestros accionistas en oportunidad de la Asamblea General Ordinaria. Se desempeñan en sus cargos por mandatos de dos ejercicios, pudiendo ser reelectos indefinidamente. Los directores están a cargo de la conducción de nuestra administración. El Comité Ejecutivo, que lleva a cabo nuestras actividades regulares, está supervisado por el Directorio. El Directorio está integrado por:</w:t>
      </w:r>
    </w:p>
    <w:p w14:paraId="09AF58C5" w14:textId="77777777" w:rsidR="000924EA" w:rsidRPr="00AE4E8D" w:rsidRDefault="000924EA" w:rsidP="000924EA">
      <w:pPr>
        <w:pStyle w:val="BHTexto"/>
        <w:numPr>
          <w:ilvl w:val="0"/>
          <w:numId w:val="77"/>
        </w:numPr>
        <w:rPr>
          <w:lang w:val="es-ES"/>
        </w:rPr>
      </w:pPr>
      <w:r w:rsidRPr="00AE4E8D">
        <w:rPr>
          <w:lang w:val="es-ES"/>
        </w:rPr>
        <w:t>dos miembros titulares y sus respectivos suplentes, que representan a las acciones Clase A;</w:t>
      </w:r>
    </w:p>
    <w:p w14:paraId="26ED2BCD" w14:textId="77777777" w:rsidR="000924EA" w:rsidRPr="00AE4E8D" w:rsidRDefault="000924EA" w:rsidP="000924EA">
      <w:pPr>
        <w:pStyle w:val="BHTexto"/>
        <w:numPr>
          <w:ilvl w:val="0"/>
          <w:numId w:val="77"/>
        </w:numPr>
        <w:rPr>
          <w:lang w:val="es-ES"/>
        </w:rPr>
      </w:pPr>
      <w:r w:rsidRPr="00AE4E8D">
        <w:rPr>
          <w:lang w:val="es-ES"/>
        </w:rPr>
        <w:t>un miembro titular y su respectivo suplente, que representa a las acciones Clase B;</w:t>
      </w:r>
    </w:p>
    <w:p w14:paraId="73B60DB8" w14:textId="77777777" w:rsidR="000924EA" w:rsidRPr="00AE4E8D" w:rsidRDefault="000924EA" w:rsidP="000924EA">
      <w:pPr>
        <w:pStyle w:val="BHTexto"/>
        <w:numPr>
          <w:ilvl w:val="0"/>
          <w:numId w:val="77"/>
        </w:numPr>
        <w:rPr>
          <w:lang w:val="es-ES"/>
        </w:rPr>
      </w:pPr>
      <w:r w:rsidRPr="00AE4E8D">
        <w:rPr>
          <w:lang w:val="es-ES"/>
        </w:rPr>
        <w:t>un miembro titular y su respectivo suplente, que representa a las acciones Clase C; y</w:t>
      </w:r>
    </w:p>
    <w:p w14:paraId="2A39392A" w14:textId="77777777" w:rsidR="000924EA" w:rsidRPr="00AE4E8D" w:rsidRDefault="000924EA" w:rsidP="000924EA">
      <w:pPr>
        <w:pStyle w:val="BHTexto"/>
        <w:numPr>
          <w:ilvl w:val="0"/>
          <w:numId w:val="77"/>
        </w:numPr>
        <w:rPr>
          <w:lang w:val="es-ES"/>
        </w:rPr>
      </w:pPr>
      <w:r w:rsidRPr="00AE4E8D">
        <w:rPr>
          <w:lang w:val="es-ES"/>
        </w:rPr>
        <w:t>nueve miembros titulares y sus respectivos suplentes, que representan a las acciones Clase D.</w:t>
      </w:r>
    </w:p>
    <w:p w14:paraId="7052DAB2" w14:textId="77777777" w:rsidR="000924EA" w:rsidRPr="00AE4E8D" w:rsidRDefault="000924EA" w:rsidP="000924EA">
      <w:pPr>
        <w:keepNext/>
        <w:autoSpaceDE w:val="0"/>
        <w:autoSpaceDN w:val="0"/>
        <w:adjustRightInd w:val="0"/>
        <w:spacing w:before="240" w:after="240"/>
        <w:outlineLvl w:val="2"/>
        <w:rPr>
          <w:rFonts w:ascii="Times New Roman" w:hAnsi="Times New Roman"/>
          <w:b/>
          <w:lang w:val="es-ES"/>
        </w:rPr>
      </w:pPr>
      <w:r w:rsidRPr="00AE4E8D">
        <w:rPr>
          <w:rFonts w:ascii="Times New Roman" w:hAnsi="Times New Roman"/>
          <w:b/>
          <w:lang w:val="es-ES"/>
        </w:rPr>
        <w:t>Deberes y responsabilidades de los directores</w:t>
      </w:r>
    </w:p>
    <w:p w14:paraId="359CC1B8" w14:textId="77777777" w:rsidR="000924EA" w:rsidRPr="00AE4E8D" w:rsidRDefault="000924EA" w:rsidP="000924EA">
      <w:pPr>
        <w:pStyle w:val="BHTexto"/>
        <w:rPr>
          <w:lang w:val="es-ES"/>
        </w:rPr>
      </w:pPr>
      <w:r w:rsidRPr="00AE4E8D">
        <w:rPr>
          <w:lang w:val="es-ES"/>
        </w:rPr>
        <w:t>Conforme a la ley, los directores tienen la obligación de desempeñar sus funciones con la lealtad y la diligencia de un buen hombre de negocios. Los directores son mancomunada y solidariamente responsables ante nosotros, los accionistas y terceros por el mal desempeño de su cargo, la violación de la ley, nuestro Estatuto o reglamentaciones emitidas por nosotros, en su caso, y por cualquier daño originado por fraude, abuso de autoridad o culpa grave. La Ley de Mercado de Capitales ha establecido ciertas obligaciones en relación con el deber de lealtad de un director de una sociedad sujeta al régimen de oferta pública. Los siguientes actos se considerarán incluidos en el deber de lealtad: (i) la prohibición de hacer uso de los activos sociales e información confidencial con fines privados; (ii) la prohibición de aprovechar o hacer que otro aproveche, ya sea por acto o por omisión, las oportunidades de negocio de la sociedad; (iii) la obligación de ejercer sus facultades únicamente para los fines para los que la ley, los Estatutos, la asamblea o el Directorio se las hayan concedido; y (iv) la obligación de velar escrupulosamente para que su actuación nunca incurra en conflicto de intereses, directo o indirecto, con los de la sociedad. En caso de duda acerca del cumplimiento del deber de lealtad, la carga de la prueba corresponde al director. Bajo la ley argentina, nuestro Estatuto o una resolución de la asamblea de accionistas pueden asignar funciones específicas a un director. En tales casos, la responsabilidad de un director se determinará con relación al desempeño de dichas funciones, siempre que se cumplan determinados requisitos técnicos. La ley argentina prohíbe a los directores dedicarse a actividades que se encuentren en competencia con las nuestras sin la autorización expresa de los accionistas. Cualquier director debe informar al Directorio de cualquier conflicto de intereses que pueda existir en una operación propuesta y debe abstenerse de votar en relación con ella.</w:t>
      </w:r>
    </w:p>
    <w:p w14:paraId="59C08EC7" w14:textId="77777777" w:rsidR="000924EA" w:rsidRPr="00AE4E8D" w:rsidRDefault="000924EA" w:rsidP="000924EA">
      <w:pPr>
        <w:pStyle w:val="BHTexto"/>
        <w:rPr>
          <w:lang w:val="es-ES"/>
        </w:rPr>
      </w:pPr>
      <w:r w:rsidRPr="00AE4E8D">
        <w:rPr>
          <w:lang w:val="es-ES"/>
        </w:rPr>
        <w:t>Un director, no obstante su presencia en una reunión en la cual se adoptó una resolución o que tomare conocimiento de dicha resolución, no será responsable si existe constancia escrita de su oposición a la misma y ha notificado su oposición a la Comisión Fiscalizadora antes de que sea presentada alguna queja contra él ante el Directorio, la Comisión Fiscalizadora, una asamblea de accionistas, un organismo gubernamental competente o los tribunales. Con excepción del caso de nuestra disolución obligatoria o quiebra, la aprobación del desempeño de un director por los accionistas extingue cualquier responsabilidad del director con nosotros, siempre que los accionistas titulares de por lo menos el 5% de nuestro capital no presenten objeciones y en tanto y en cuanto dicha responsabilidad no sea consecuencia de una violación de la ley o de nuestro Estatuto.</w:t>
      </w:r>
    </w:p>
    <w:p w14:paraId="4B324774" w14:textId="77777777" w:rsidR="000924EA" w:rsidRPr="00AE4E8D" w:rsidRDefault="000924EA" w:rsidP="000924EA">
      <w:pPr>
        <w:pStyle w:val="BHTexto"/>
        <w:rPr>
          <w:lang w:val="es-ES"/>
        </w:rPr>
      </w:pPr>
      <w:r w:rsidRPr="00AE4E8D">
        <w:rPr>
          <w:lang w:val="es-ES"/>
        </w:rPr>
        <w:t>Podemos iniciar acciones contra los directores con el voto mayoritario de los accionistas. Si pasados tres meses desde que los accionistas aprobaron la interposición de la acción, no la hubiéramos iniciado, cualquier accionista podrá iniciarla en nuestro nombre y por nuestra cuenta.</w:t>
      </w:r>
    </w:p>
    <w:p w14:paraId="62EBFAD7" w14:textId="77777777" w:rsidR="000924EA" w:rsidRPr="00AE4E8D" w:rsidRDefault="000924EA" w:rsidP="000924EA">
      <w:pPr>
        <w:pStyle w:val="BHTexto"/>
        <w:rPr>
          <w:lang w:val="es-ES"/>
        </w:rPr>
      </w:pPr>
      <w:r w:rsidRPr="00AE4E8D">
        <w:rPr>
          <w:lang w:val="es-ES"/>
        </w:rPr>
        <w:t xml:space="preserve">En virtud de nuestro Estatuto, indemnizaremos a todos los directores, miembros de la Comisión Fiscalizadora y la gerencia ejecutiva y senior, tanto actuales como anteriores, por cualquier pasivo incurrido por cualquiera de tales personas con relación a la defensa de cualquier cuestión, juicio o procedimiento en el que puedan estar involucrados como resultado de la oferta pública, colocación o negociación de nuestras acciones. Esta indemnización incluye todo pago de daños y perjuicios establecidos en sentencias judiciales cubiertos por las pólizas de seguros vigentes, salvo cuando la </w:t>
      </w:r>
      <w:r w:rsidRPr="00AE4E8D">
        <w:rPr>
          <w:lang w:val="es-ES"/>
        </w:rPr>
        <w:lastRenderedPageBreak/>
        <w:t>condena al director, miembro de la Comisión Fiscalizadora, gerente, ex director, ex síndico o ex gerente haya sido como consecuencia de la comisión de un acto ilícito intencional o culpa grave de su parte en el cumplimiento de sus obligaciones. Podemos contratar un seguro por responsabilidad de los directores y la administración con respecto a tales pérdidas, en cuyo caso la indemnización se limitará a los pasivos que superen o que no estén cubiertos de otro modo por dicho seguro.</w:t>
      </w:r>
    </w:p>
    <w:p w14:paraId="1202F1CF" w14:textId="77777777" w:rsidR="000924EA" w:rsidRPr="00AE4E8D" w:rsidRDefault="000924EA" w:rsidP="000924EA">
      <w:pPr>
        <w:pStyle w:val="BHTexto"/>
        <w:rPr>
          <w:highlight w:val="green"/>
          <w:lang w:val="es-ES"/>
        </w:rPr>
      </w:pPr>
      <w:r w:rsidRPr="00AE4E8D">
        <w:rPr>
          <w:lang w:val="es-ES"/>
        </w:rPr>
        <w:t>En el siguiente cuadro se indican los miembros actuales de nuestro Directorio:</w:t>
      </w:r>
    </w:p>
    <w:tbl>
      <w:tblPr>
        <w:tblpPr w:leftFromText="142" w:rightFromText="142" w:vertAnchor="text" w:tblpXSpec="center" w:tblpY="1"/>
        <w:tblOverlap w:val="never"/>
        <w:tblW w:w="9975" w:type="dxa"/>
        <w:tblLayout w:type="fixed"/>
        <w:tblCellMar>
          <w:left w:w="0" w:type="dxa"/>
          <w:right w:w="0" w:type="dxa"/>
        </w:tblCellMar>
        <w:tblLook w:val="00A0" w:firstRow="1" w:lastRow="0" w:firstColumn="1" w:lastColumn="0" w:noHBand="0" w:noVBand="0"/>
      </w:tblPr>
      <w:tblGrid>
        <w:gridCol w:w="1417"/>
        <w:gridCol w:w="851"/>
        <w:gridCol w:w="1134"/>
        <w:gridCol w:w="1106"/>
        <w:gridCol w:w="1984"/>
        <w:gridCol w:w="709"/>
        <w:gridCol w:w="542"/>
        <w:gridCol w:w="1045"/>
        <w:gridCol w:w="1187"/>
      </w:tblGrid>
      <w:tr w:rsidR="003B5193" w:rsidRPr="00AE4E8D" w14:paraId="77F28255" w14:textId="77777777" w:rsidTr="00232C94">
        <w:trPr>
          <w:trHeight w:val="538"/>
          <w:tblHeader/>
        </w:trPr>
        <w:tc>
          <w:tcPr>
            <w:tcW w:w="1417"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160354AA"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Nombre y Apellido</w:t>
            </w:r>
          </w:p>
        </w:tc>
        <w:tc>
          <w:tcPr>
            <w:tcW w:w="851"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18D3B5A8"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N° de</w:t>
            </w:r>
          </w:p>
          <w:p w14:paraId="0CECB4D8"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Documento</w:t>
            </w:r>
          </w:p>
        </w:tc>
        <w:tc>
          <w:tcPr>
            <w:tcW w:w="1134" w:type="dxa"/>
            <w:tcBorders>
              <w:top w:val="single" w:sz="4" w:space="0" w:color="auto"/>
              <w:bottom w:val="single" w:sz="4" w:space="0" w:color="auto"/>
            </w:tcBorders>
            <w:shd w:val="clear" w:color="auto" w:fill="FFFFFF"/>
            <w:tcMar>
              <w:top w:w="15" w:type="dxa"/>
              <w:left w:w="15" w:type="dxa"/>
              <w:bottom w:w="0" w:type="dxa"/>
              <w:right w:w="15" w:type="dxa"/>
            </w:tcMar>
            <w:vAlign w:val="center"/>
          </w:tcPr>
          <w:p w14:paraId="6FE26888"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Fecha de Nacimiento</w:t>
            </w:r>
          </w:p>
        </w:tc>
        <w:tc>
          <w:tcPr>
            <w:tcW w:w="1106" w:type="dxa"/>
            <w:tcBorders>
              <w:top w:val="single" w:sz="4" w:space="0" w:color="auto"/>
              <w:bottom w:val="single" w:sz="4" w:space="0" w:color="auto"/>
            </w:tcBorders>
            <w:shd w:val="clear" w:color="auto" w:fill="FFFFFF"/>
            <w:tcMar>
              <w:top w:w="15" w:type="dxa"/>
              <w:left w:w="15" w:type="dxa"/>
              <w:bottom w:w="0" w:type="dxa"/>
              <w:right w:w="15" w:type="dxa"/>
            </w:tcMar>
            <w:vAlign w:val="center"/>
          </w:tcPr>
          <w:p w14:paraId="5BD10DBC"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CUIL/CUIT</w:t>
            </w:r>
          </w:p>
        </w:tc>
        <w:tc>
          <w:tcPr>
            <w:tcW w:w="1984"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7E08C786"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Domicilio</w:t>
            </w:r>
          </w:p>
        </w:tc>
        <w:tc>
          <w:tcPr>
            <w:tcW w:w="709"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31DB64E7"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Cargo</w:t>
            </w:r>
          </w:p>
        </w:tc>
        <w:tc>
          <w:tcPr>
            <w:tcW w:w="542"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48BACA42"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Clase</w:t>
            </w:r>
          </w:p>
        </w:tc>
        <w:tc>
          <w:tcPr>
            <w:tcW w:w="1045" w:type="dxa"/>
            <w:tcBorders>
              <w:top w:val="single" w:sz="4" w:space="0" w:color="auto"/>
              <w:bottom w:val="single" w:sz="4" w:space="0" w:color="auto"/>
            </w:tcBorders>
            <w:shd w:val="clear" w:color="auto" w:fill="FFFFFF"/>
            <w:noWrap/>
            <w:tcMar>
              <w:top w:w="15" w:type="dxa"/>
              <w:left w:w="15" w:type="dxa"/>
              <w:bottom w:w="0" w:type="dxa"/>
              <w:right w:w="15" w:type="dxa"/>
            </w:tcMar>
            <w:vAlign w:val="center"/>
          </w:tcPr>
          <w:p w14:paraId="40EE25BC"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Mandato</w:t>
            </w:r>
          </w:p>
        </w:tc>
        <w:tc>
          <w:tcPr>
            <w:tcW w:w="1187" w:type="dxa"/>
            <w:tcBorders>
              <w:top w:val="single" w:sz="4" w:space="0" w:color="auto"/>
              <w:bottom w:val="single" w:sz="4" w:space="0" w:color="auto"/>
            </w:tcBorders>
            <w:shd w:val="clear" w:color="auto" w:fill="FFFFFF"/>
            <w:vAlign w:val="center"/>
          </w:tcPr>
          <w:p w14:paraId="0B2A7C62" w14:textId="77777777" w:rsidR="000924EA" w:rsidRPr="00AE4E8D" w:rsidRDefault="000924EA" w:rsidP="00232C94">
            <w:pPr>
              <w:autoSpaceDE w:val="0"/>
              <w:autoSpaceDN w:val="0"/>
              <w:adjustRightInd w:val="0"/>
              <w:spacing w:line="26" w:lineRule="atLeast"/>
              <w:jc w:val="center"/>
              <w:rPr>
                <w:rFonts w:ascii="Times New Roman" w:hAnsi="Times New Roman"/>
                <w:b/>
                <w:bCs/>
                <w:color w:val="000000"/>
                <w:sz w:val="16"/>
                <w:szCs w:val="16"/>
                <w:lang w:val="es-ES" w:eastAsia="es-AR"/>
              </w:rPr>
            </w:pPr>
            <w:r w:rsidRPr="00AE4E8D">
              <w:rPr>
                <w:rFonts w:ascii="Times New Roman" w:hAnsi="Times New Roman"/>
                <w:b/>
                <w:bCs/>
                <w:color w:val="000000"/>
                <w:sz w:val="16"/>
                <w:szCs w:val="16"/>
                <w:lang w:val="es-ES" w:eastAsia="es-AR"/>
              </w:rPr>
              <w:t>Fecha desde la que ocupa el cargo</w:t>
            </w:r>
          </w:p>
        </w:tc>
      </w:tr>
      <w:tr w:rsidR="000924EA" w:rsidRPr="00AE4E8D" w14:paraId="6A41B5BC" w14:textId="77777777" w:rsidTr="000400C8">
        <w:trPr>
          <w:trHeight w:val="65"/>
        </w:trPr>
        <w:tc>
          <w:tcPr>
            <w:tcW w:w="1417" w:type="dxa"/>
            <w:tcBorders>
              <w:top w:val="single" w:sz="4" w:space="0" w:color="auto"/>
            </w:tcBorders>
            <w:noWrap/>
            <w:tcMar>
              <w:top w:w="15" w:type="dxa"/>
              <w:left w:w="15" w:type="dxa"/>
              <w:bottom w:w="0" w:type="dxa"/>
              <w:right w:w="15" w:type="dxa"/>
            </w:tcMar>
            <w:vAlign w:val="center"/>
          </w:tcPr>
          <w:p w14:paraId="2D7EE2B4"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Eduardo Sergio Elsztain</w:t>
            </w:r>
          </w:p>
        </w:tc>
        <w:tc>
          <w:tcPr>
            <w:tcW w:w="851" w:type="dxa"/>
            <w:tcBorders>
              <w:top w:val="single" w:sz="4" w:space="0" w:color="auto"/>
            </w:tcBorders>
            <w:noWrap/>
            <w:tcMar>
              <w:top w:w="15" w:type="dxa"/>
              <w:left w:w="15" w:type="dxa"/>
              <w:bottom w:w="0" w:type="dxa"/>
              <w:right w:w="15" w:type="dxa"/>
            </w:tcMar>
            <w:vAlign w:val="center"/>
          </w:tcPr>
          <w:p w14:paraId="77CBD58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14.014.114</w:t>
            </w:r>
          </w:p>
        </w:tc>
        <w:tc>
          <w:tcPr>
            <w:tcW w:w="1134" w:type="dxa"/>
            <w:tcBorders>
              <w:top w:val="single" w:sz="4" w:space="0" w:color="auto"/>
            </w:tcBorders>
            <w:tcMar>
              <w:top w:w="15" w:type="dxa"/>
              <w:left w:w="15" w:type="dxa"/>
              <w:bottom w:w="0" w:type="dxa"/>
              <w:right w:w="15" w:type="dxa"/>
            </w:tcMar>
            <w:vAlign w:val="center"/>
          </w:tcPr>
          <w:p w14:paraId="61CC6AF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26/01/1960</w:t>
            </w:r>
          </w:p>
        </w:tc>
        <w:tc>
          <w:tcPr>
            <w:tcW w:w="1106" w:type="dxa"/>
            <w:tcBorders>
              <w:top w:val="single" w:sz="4" w:space="0" w:color="auto"/>
            </w:tcBorders>
            <w:tcMar>
              <w:top w:w="15" w:type="dxa"/>
              <w:left w:w="15" w:type="dxa"/>
              <w:bottom w:w="0" w:type="dxa"/>
              <w:right w:w="15" w:type="dxa"/>
            </w:tcMar>
            <w:vAlign w:val="center"/>
          </w:tcPr>
          <w:p w14:paraId="7A30A9E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20-14010114-4</w:t>
            </w:r>
          </w:p>
        </w:tc>
        <w:tc>
          <w:tcPr>
            <w:tcW w:w="1984" w:type="dxa"/>
            <w:tcBorders>
              <w:top w:val="single" w:sz="4" w:space="0" w:color="auto"/>
            </w:tcBorders>
            <w:noWrap/>
            <w:tcMar>
              <w:top w:w="15" w:type="dxa"/>
              <w:left w:w="15" w:type="dxa"/>
              <w:bottom w:w="0" w:type="dxa"/>
              <w:right w:w="15" w:type="dxa"/>
            </w:tcMar>
            <w:vAlign w:val="center"/>
          </w:tcPr>
          <w:p w14:paraId="37F2B56C"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Bolívar 108,</w:t>
            </w:r>
          </w:p>
          <w:p w14:paraId="7526B431"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tcBorders>
              <w:top w:val="single" w:sz="4" w:space="0" w:color="auto"/>
            </w:tcBorders>
            <w:noWrap/>
            <w:tcMar>
              <w:top w:w="15" w:type="dxa"/>
              <w:left w:w="15" w:type="dxa"/>
              <w:bottom w:w="0" w:type="dxa"/>
              <w:right w:w="15" w:type="dxa"/>
            </w:tcMar>
            <w:vAlign w:val="center"/>
          </w:tcPr>
          <w:p w14:paraId="68DBB25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Presidente</w:t>
            </w:r>
          </w:p>
        </w:tc>
        <w:tc>
          <w:tcPr>
            <w:tcW w:w="542" w:type="dxa"/>
            <w:tcBorders>
              <w:top w:val="single" w:sz="4" w:space="0" w:color="auto"/>
            </w:tcBorders>
            <w:noWrap/>
            <w:tcMar>
              <w:top w:w="15" w:type="dxa"/>
              <w:left w:w="15" w:type="dxa"/>
              <w:bottom w:w="0" w:type="dxa"/>
              <w:right w:w="15" w:type="dxa"/>
            </w:tcMar>
            <w:vAlign w:val="center"/>
          </w:tcPr>
          <w:p w14:paraId="4F5574D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tcBorders>
              <w:top w:val="single" w:sz="4" w:space="0" w:color="auto"/>
            </w:tcBorders>
            <w:noWrap/>
            <w:tcMar>
              <w:top w:w="15" w:type="dxa"/>
              <w:left w:w="15" w:type="dxa"/>
              <w:bottom w:w="0" w:type="dxa"/>
              <w:right w:w="15" w:type="dxa"/>
            </w:tcMar>
            <w:vAlign w:val="center"/>
          </w:tcPr>
          <w:p w14:paraId="1C714A8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4144193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tcBorders>
              <w:top w:val="single" w:sz="4" w:space="0" w:color="auto"/>
            </w:tcBorders>
            <w:vAlign w:val="center"/>
          </w:tcPr>
          <w:p w14:paraId="6C894C5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15/03/1999</w:t>
            </w:r>
          </w:p>
        </w:tc>
      </w:tr>
      <w:tr w:rsidR="000924EA" w:rsidRPr="00AE4E8D" w14:paraId="3502F241" w14:textId="77777777" w:rsidTr="000400C8">
        <w:trPr>
          <w:trHeight w:val="228"/>
        </w:trPr>
        <w:tc>
          <w:tcPr>
            <w:tcW w:w="1417" w:type="dxa"/>
            <w:noWrap/>
            <w:tcMar>
              <w:top w:w="15" w:type="dxa"/>
              <w:left w:w="15" w:type="dxa"/>
              <w:bottom w:w="0" w:type="dxa"/>
              <w:right w:w="15" w:type="dxa"/>
            </w:tcMar>
            <w:vAlign w:val="center"/>
          </w:tcPr>
          <w:p w14:paraId="75E5E64E"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Mario Blejer</w:t>
            </w:r>
          </w:p>
        </w:tc>
        <w:tc>
          <w:tcPr>
            <w:tcW w:w="851" w:type="dxa"/>
            <w:noWrap/>
            <w:tcMar>
              <w:top w:w="15" w:type="dxa"/>
              <w:left w:w="15" w:type="dxa"/>
              <w:bottom w:w="0" w:type="dxa"/>
              <w:right w:w="15" w:type="dxa"/>
            </w:tcMar>
            <w:vAlign w:val="center"/>
          </w:tcPr>
          <w:p w14:paraId="0FC1259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4.619.694</w:t>
            </w:r>
          </w:p>
        </w:tc>
        <w:tc>
          <w:tcPr>
            <w:tcW w:w="1134" w:type="dxa"/>
            <w:tcMar>
              <w:top w:w="15" w:type="dxa"/>
              <w:left w:w="15" w:type="dxa"/>
              <w:bottom w:w="0" w:type="dxa"/>
              <w:right w:w="15" w:type="dxa"/>
            </w:tcMar>
            <w:vAlign w:val="center"/>
          </w:tcPr>
          <w:p w14:paraId="7FCBD10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11/06/1948</w:t>
            </w:r>
          </w:p>
        </w:tc>
        <w:tc>
          <w:tcPr>
            <w:tcW w:w="1106" w:type="dxa"/>
            <w:tcMar>
              <w:top w:w="15" w:type="dxa"/>
              <w:left w:w="15" w:type="dxa"/>
              <w:bottom w:w="0" w:type="dxa"/>
              <w:right w:w="15" w:type="dxa"/>
            </w:tcMar>
            <w:vAlign w:val="center"/>
          </w:tcPr>
          <w:p w14:paraId="491E8B6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20-04619694-6</w:t>
            </w:r>
          </w:p>
        </w:tc>
        <w:tc>
          <w:tcPr>
            <w:tcW w:w="1984" w:type="dxa"/>
            <w:noWrap/>
            <w:tcMar>
              <w:top w:w="15" w:type="dxa"/>
              <w:left w:w="15" w:type="dxa"/>
              <w:bottom w:w="0" w:type="dxa"/>
              <w:right w:w="15" w:type="dxa"/>
            </w:tcMar>
            <w:vAlign w:val="center"/>
          </w:tcPr>
          <w:p w14:paraId="33D5C4B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2AE81DA3"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25C5AD7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Vice</w:t>
            </w:r>
          </w:p>
          <w:p w14:paraId="2B9B768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Presidente</w:t>
            </w:r>
          </w:p>
        </w:tc>
        <w:tc>
          <w:tcPr>
            <w:tcW w:w="542" w:type="dxa"/>
            <w:noWrap/>
            <w:tcMar>
              <w:top w:w="15" w:type="dxa"/>
              <w:left w:w="15" w:type="dxa"/>
              <w:bottom w:w="0" w:type="dxa"/>
              <w:right w:w="15" w:type="dxa"/>
            </w:tcMar>
            <w:vAlign w:val="center"/>
          </w:tcPr>
          <w:p w14:paraId="061E246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4D667E3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70041FA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 xml:space="preserve"> 31/12/2018</w:t>
            </w:r>
          </w:p>
        </w:tc>
        <w:tc>
          <w:tcPr>
            <w:tcW w:w="1187" w:type="dxa"/>
            <w:vAlign w:val="center"/>
          </w:tcPr>
          <w:p w14:paraId="693F1B3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12/05/2010</w:t>
            </w:r>
          </w:p>
        </w:tc>
      </w:tr>
      <w:tr w:rsidR="000924EA" w:rsidRPr="00AE4E8D" w14:paraId="05D3406C" w14:textId="77777777" w:rsidTr="000400C8">
        <w:trPr>
          <w:trHeight w:val="228"/>
        </w:trPr>
        <w:tc>
          <w:tcPr>
            <w:tcW w:w="1417" w:type="dxa"/>
            <w:noWrap/>
            <w:tcMar>
              <w:top w:w="15" w:type="dxa"/>
              <w:left w:w="15" w:type="dxa"/>
              <w:bottom w:w="0" w:type="dxa"/>
              <w:right w:w="15" w:type="dxa"/>
            </w:tcMar>
            <w:vAlign w:val="center"/>
          </w:tcPr>
          <w:p w14:paraId="4D147E14"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Francisco Guillermo Susmel (*)</w:t>
            </w:r>
          </w:p>
        </w:tc>
        <w:tc>
          <w:tcPr>
            <w:tcW w:w="851" w:type="dxa"/>
            <w:noWrap/>
            <w:tcMar>
              <w:top w:w="15" w:type="dxa"/>
              <w:left w:w="15" w:type="dxa"/>
              <w:bottom w:w="0" w:type="dxa"/>
              <w:right w:w="15" w:type="dxa"/>
            </w:tcMar>
            <w:vAlign w:val="center"/>
          </w:tcPr>
          <w:p w14:paraId="2635B6A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11.987.329</w:t>
            </w:r>
          </w:p>
        </w:tc>
        <w:tc>
          <w:tcPr>
            <w:tcW w:w="1134" w:type="dxa"/>
            <w:tcMar>
              <w:top w:w="15" w:type="dxa"/>
              <w:left w:w="15" w:type="dxa"/>
              <w:bottom w:w="0" w:type="dxa"/>
              <w:right w:w="15" w:type="dxa"/>
            </w:tcMar>
            <w:vAlign w:val="center"/>
          </w:tcPr>
          <w:p w14:paraId="75AC37D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10/02/1958</w:t>
            </w:r>
          </w:p>
        </w:tc>
        <w:tc>
          <w:tcPr>
            <w:tcW w:w="1106" w:type="dxa"/>
            <w:tcMar>
              <w:top w:w="15" w:type="dxa"/>
              <w:left w:w="15" w:type="dxa"/>
              <w:bottom w:w="0" w:type="dxa"/>
              <w:right w:w="15" w:type="dxa"/>
            </w:tcMar>
            <w:vAlign w:val="center"/>
          </w:tcPr>
          <w:p w14:paraId="6AE849B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20-11987329-1</w:t>
            </w:r>
          </w:p>
        </w:tc>
        <w:tc>
          <w:tcPr>
            <w:tcW w:w="1984" w:type="dxa"/>
            <w:noWrap/>
            <w:tcMar>
              <w:top w:w="15" w:type="dxa"/>
              <w:left w:w="15" w:type="dxa"/>
              <w:bottom w:w="0" w:type="dxa"/>
              <w:right w:w="15" w:type="dxa"/>
            </w:tcMar>
            <w:vAlign w:val="center"/>
          </w:tcPr>
          <w:p w14:paraId="6C61CEDE"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7F4A1A8C"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58E96F7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0E65CC6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72601AC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w:t>
            </w:r>
          </w:p>
        </w:tc>
        <w:tc>
          <w:tcPr>
            <w:tcW w:w="1045" w:type="dxa"/>
            <w:noWrap/>
            <w:tcMar>
              <w:top w:w="15" w:type="dxa"/>
              <w:left w:w="15" w:type="dxa"/>
              <w:bottom w:w="0" w:type="dxa"/>
              <w:right w:w="15" w:type="dxa"/>
            </w:tcMar>
            <w:vAlign w:val="center"/>
          </w:tcPr>
          <w:p w14:paraId="6BF14D4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w:t>
            </w:r>
          </w:p>
          <w:p w14:paraId="232F04D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 xml:space="preserve">31/12/2018 </w:t>
            </w:r>
          </w:p>
        </w:tc>
        <w:tc>
          <w:tcPr>
            <w:tcW w:w="1187" w:type="dxa"/>
            <w:vAlign w:val="center"/>
          </w:tcPr>
          <w:p w14:paraId="5DD9C12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w:t>
            </w:r>
          </w:p>
        </w:tc>
      </w:tr>
      <w:tr w:rsidR="000924EA" w:rsidRPr="00AE4E8D" w14:paraId="605EAC4F" w14:textId="77777777" w:rsidTr="000400C8">
        <w:trPr>
          <w:trHeight w:val="228"/>
        </w:trPr>
        <w:tc>
          <w:tcPr>
            <w:tcW w:w="1417" w:type="dxa"/>
            <w:noWrap/>
            <w:tcMar>
              <w:top w:w="15" w:type="dxa"/>
              <w:left w:w="15" w:type="dxa"/>
              <w:bottom w:w="0" w:type="dxa"/>
              <w:right w:w="15" w:type="dxa"/>
            </w:tcMar>
            <w:vAlign w:val="center"/>
          </w:tcPr>
          <w:p w14:paraId="145B2782"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Juan Rubén Jure (*)</w:t>
            </w:r>
          </w:p>
        </w:tc>
        <w:tc>
          <w:tcPr>
            <w:tcW w:w="851" w:type="dxa"/>
            <w:noWrap/>
            <w:tcMar>
              <w:top w:w="15" w:type="dxa"/>
              <w:left w:w="15" w:type="dxa"/>
              <w:bottom w:w="0" w:type="dxa"/>
              <w:right w:w="15" w:type="dxa"/>
            </w:tcMar>
            <w:vAlign w:val="center"/>
          </w:tcPr>
          <w:p w14:paraId="0807698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20.283.683</w:t>
            </w:r>
          </w:p>
        </w:tc>
        <w:tc>
          <w:tcPr>
            <w:tcW w:w="1134" w:type="dxa"/>
            <w:tcMar>
              <w:top w:w="15" w:type="dxa"/>
              <w:left w:w="15" w:type="dxa"/>
              <w:bottom w:w="0" w:type="dxa"/>
              <w:right w:w="15" w:type="dxa"/>
            </w:tcMar>
            <w:vAlign w:val="center"/>
          </w:tcPr>
          <w:p w14:paraId="1F67A4C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26/04/1968</w:t>
            </w:r>
          </w:p>
        </w:tc>
        <w:tc>
          <w:tcPr>
            <w:tcW w:w="1106" w:type="dxa"/>
            <w:tcMar>
              <w:top w:w="15" w:type="dxa"/>
              <w:left w:w="15" w:type="dxa"/>
              <w:bottom w:w="0" w:type="dxa"/>
              <w:right w:w="15" w:type="dxa"/>
            </w:tcMar>
            <w:vAlign w:val="center"/>
          </w:tcPr>
          <w:p w14:paraId="6629262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20-202836683-7</w:t>
            </w:r>
          </w:p>
        </w:tc>
        <w:tc>
          <w:tcPr>
            <w:tcW w:w="1984" w:type="dxa"/>
            <w:noWrap/>
            <w:tcMar>
              <w:top w:w="15" w:type="dxa"/>
              <w:left w:w="15" w:type="dxa"/>
              <w:bottom w:w="0" w:type="dxa"/>
              <w:right w:w="15" w:type="dxa"/>
            </w:tcMar>
            <w:vAlign w:val="center"/>
          </w:tcPr>
          <w:p w14:paraId="53A8B6E6"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0A7D7983"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0AAB55E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6A0B6B6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53249BF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w:t>
            </w:r>
          </w:p>
        </w:tc>
        <w:tc>
          <w:tcPr>
            <w:tcW w:w="1045" w:type="dxa"/>
            <w:noWrap/>
            <w:tcMar>
              <w:top w:w="15" w:type="dxa"/>
              <w:left w:w="15" w:type="dxa"/>
              <w:bottom w:w="0" w:type="dxa"/>
              <w:right w:w="15" w:type="dxa"/>
            </w:tcMar>
            <w:vAlign w:val="center"/>
          </w:tcPr>
          <w:p w14:paraId="3E7F75F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w:t>
            </w:r>
          </w:p>
          <w:p w14:paraId="3ADD89E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5FFF4DF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w:t>
            </w:r>
          </w:p>
        </w:tc>
      </w:tr>
      <w:tr w:rsidR="000924EA" w:rsidRPr="00AE4E8D" w14:paraId="39F69736" w14:textId="77777777" w:rsidTr="000400C8">
        <w:trPr>
          <w:trHeight w:val="228"/>
        </w:trPr>
        <w:tc>
          <w:tcPr>
            <w:tcW w:w="1417" w:type="dxa"/>
            <w:noWrap/>
            <w:tcMar>
              <w:top w:w="15" w:type="dxa"/>
              <w:left w:w="15" w:type="dxa"/>
              <w:bottom w:w="0" w:type="dxa"/>
              <w:right w:w="15" w:type="dxa"/>
            </w:tcMar>
            <w:vAlign w:val="center"/>
          </w:tcPr>
          <w:p w14:paraId="2B0539A7"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Fernando Recalde</w:t>
            </w:r>
          </w:p>
        </w:tc>
        <w:tc>
          <w:tcPr>
            <w:tcW w:w="851" w:type="dxa"/>
            <w:noWrap/>
            <w:tcMar>
              <w:top w:w="15" w:type="dxa"/>
              <w:left w:w="15" w:type="dxa"/>
              <w:bottom w:w="0" w:type="dxa"/>
              <w:right w:w="15" w:type="dxa"/>
            </w:tcMar>
            <w:vAlign w:val="center"/>
          </w:tcPr>
          <w:p w14:paraId="0281852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93.792.217</w:t>
            </w:r>
          </w:p>
        </w:tc>
        <w:tc>
          <w:tcPr>
            <w:tcW w:w="1134" w:type="dxa"/>
            <w:tcMar>
              <w:top w:w="15" w:type="dxa"/>
              <w:left w:w="15" w:type="dxa"/>
              <w:bottom w:w="0" w:type="dxa"/>
              <w:right w:w="15" w:type="dxa"/>
            </w:tcMar>
            <w:vAlign w:val="center"/>
          </w:tcPr>
          <w:p w14:paraId="3DDECA1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04/07/1964</w:t>
            </w:r>
          </w:p>
        </w:tc>
        <w:tc>
          <w:tcPr>
            <w:tcW w:w="1106" w:type="dxa"/>
            <w:tcMar>
              <w:top w:w="15" w:type="dxa"/>
              <w:left w:w="15" w:type="dxa"/>
              <w:bottom w:w="0" w:type="dxa"/>
              <w:right w:w="15" w:type="dxa"/>
            </w:tcMar>
            <w:vAlign w:val="center"/>
          </w:tcPr>
          <w:p w14:paraId="26FBBDC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20-93792217-6</w:t>
            </w:r>
          </w:p>
        </w:tc>
        <w:tc>
          <w:tcPr>
            <w:tcW w:w="1984" w:type="dxa"/>
            <w:noWrap/>
            <w:tcMar>
              <w:top w:w="15" w:type="dxa"/>
              <w:left w:w="15" w:type="dxa"/>
              <w:bottom w:w="0" w:type="dxa"/>
              <w:right w:w="15" w:type="dxa"/>
            </w:tcMar>
            <w:vAlign w:val="center"/>
          </w:tcPr>
          <w:p w14:paraId="22AC81F1"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4F01BDB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10D6D93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D56CE8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263D941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B</w:t>
            </w:r>
          </w:p>
        </w:tc>
        <w:tc>
          <w:tcPr>
            <w:tcW w:w="1045" w:type="dxa"/>
            <w:noWrap/>
            <w:tcMar>
              <w:top w:w="15" w:type="dxa"/>
              <w:left w:w="15" w:type="dxa"/>
              <w:bottom w:w="0" w:type="dxa"/>
              <w:right w:w="15" w:type="dxa"/>
            </w:tcMar>
            <w:vAlign w:val="center"/>
          </w:tcPr>
          <w:p w14:paraId="2368078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 31/12/2017</w:t>
            </w:r>
          </w:p>
        </w:tc>
        <w:tc>
          <w:tcPr>
            <w:tcW w:w="1187" w:type="dxa"/>
            <w:vAlign w:val="center"/>
          </w:tcPr>
          <w:p w14:paraId="68F5D4E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w:t>
            </w:r>
          </w:p>
        </w:tc>
      </w:tr>
      <w:tr w:rsidR="000924EA" w:rsidRPr="00AE4E8D" w14:paraId="0A4D29B8" w14:textId="77777777" w:rsidTr="000400C8">
        <w:trPr>
          <w:trHeight w:val="228"/>
        </w:trPr>
        <w:tc>
          <w:tcPr>
            <w:tcW w:w="1417" w:type="dxa"/>
            <w:noWrap/>
            <w:tcMar>
              <w:top w:w="15" w:type="dxa"/>
              <w:left w:w="15" w:type="dxa"/>
              <w:bottom w:w="0" w:type="dxa"/>
              <w:right w:w="15" w:type="dxa"/>
            </w:tcMar>
            <w:vAlign w:val="center"/>
          </w:tcPr>
          <w:p w14:paraId="4413C9E9"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Martín Juan Lanfranco (**)</w:t>
            </w:r>
          </w:p>
        </w:tc>
        <w:tc>
          <w:tcPr>
            <w:tcW w:w="851" w:type="dxa"/>
            <w:noWrap/>
            <w:tcMar>
              <w:top w:w="15" w:type="dxa"/>
              <w:left w:w="15" w:type="dxa"/>
              <w:bottom w:w="0" w:type="dxa"/>
              <w:right w:w="15" w:type="dxa"/>
            </w:tcMar>
            <w:vAlign w:val="center"/>
          </w:tcPr>
          <w:p w14:paraId="4635BA9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18.011.037</w:t>
            </w:r>
          </w:p>
        </w:tc>
        <w:tc>
          <w:tcPr>
            <w:tcW w:w="1134" w:type="dxa"/>
            <w:tcMar>
              <w:top w:w="15" w:type="dxa"/>
              <w:left w:w="15" w:type="dxa"/>
              <w:bottom w:w="0" w:type="dxa"/>
              <w:right w:w="15" w:type="dxa"/>
            </w:tcMar>
            <w:vAlign w:val="center"/>
          </w:tcPr>
          <w:p w14:paraId="1643657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04/05/1966</w:t>
            </w:r>
          </w:p>
        </w:tc>
        <w:tc>
          <w:tcPr>
            <w:tcW w:w="1106" w:type="dxa"/>
            <w:tcMar>
              <w:top w:w="15" w:type="dxa"/>
              <w:left w:w="15" w:type="dxa"/>
              <w:bottom w:w="0" w:type="dxa"/>
              <w:right w:w="15" w:type="dxa"/>
            </w:tcMar>
            <w:vAlign w:val="center"/>
          </w:tcPr>
          <w:p w14:paraId="3297FAF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20-18011037-3</w:t>
            </w:r>
          </w:p>
        </w:tc>
        <w:tc>
          <w:tcPr>
            <w:tcW w:w="1984" w:type="dxa"/>
            <w:noWrap/>
            <w:tcMar>
              <w:top w:w="15" w:type="dxa"/>
              <w:left w:w="15" w:type="dxa"/>
              <w:bottom w:w="0" w:type="dxa"/>
              <w:right w:w="15" w:type="dxa"/>
            </w:tcMar>
            <w:vAlign w:val="center"/>
          </w:tcPr>
          <w:p w14:paraId="0B84B2AD" w14:textId="77777777" w:rsidR="000924EA" w:rsidRPr="00AE4E8D" w:rsidRDefault="000924EA" w:rsidP="00232C94">
            <w:pPr>
              <w:autoSpaceDE w:val="0"/>
              <w:autoSpaceDN w:val="0"/>
              <w:adjustRightInd w:val="0"/>
              <w:spacing w:line="26" w:lineRule="atLeast"/>
              <w:ind w:left="126"/>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Esmeralda 135, CABA</w:t>
            </w:r>
          </w:p>
        </w:tc>
        <w:tc>
          <w:tcPr>
            <w:tcW w:w="709" w:type="dxa"/>
            <w:noWrap/>
            <w:tcMar>
              <w:top w:w="15" w:type="dxa"/>
              <w:left w:w="15" w:type="dxa"/>
              <w:bottom w:w="0" w:type="dxa"/>
              <w:right w:w="15" w:type="dxa"/>
            </w:tcMar>
            <w:vAlign w:val="center"/>
          </w:tcPr>
          <w:p w14:paraId="7CC7468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03E88A6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0B1316B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w:t>
            </w:r>
          </w:p>
        </w:tc>
        <w:tc>
          <w:tcPr>
            <w:tcW w:w="1045" w:type="dxa"/>
            <w:noWrap/>
            <w:tcMar>
              <w:top w:w="15" w:type="dxa"/>
              <w:left w:w="15" w:type="dxa"/>
              <w:bottom w:w="0" w:type="dxa"/>
              <w:right w:w="15" w:type="dxa"/>
            </w:tcMar>
            <w:vAlign w:val="center"/>
          </w:tcPr>
          <w:p w14:paraId="765A6CB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28/04/2017-</w:t>
            </w:r>
          </w:p>
          <w:p w14:paraId="060AE38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6AC7B3E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28/04/2017</w:t>
            </w:r>
          </w:p>
        </w:tc>
      </w:tr>
      <w:tr w:rsidR="000924EA" w:rsidRPr="00AE4E8D" w14:paraId="20FC206D" w14:textId="77777777" w:rsidTr="000400C8">
        <w:trPr>
          <w:trHeight w:val="228"/>
        </w:trPr>
        <w:tc>
          <w:tcPr>
            <w:tcW w:w="1417" w:type="dxa"/>
            <w:noWrap/>
            <w:tcMar>
              <w:top w:w="15" w:type="dxa"/>
              <w:left w:w="15" w:type="dxa"/>
              <w:bottom w:w="0" w:type="dxa"/>
              <w:right w:w="15" w:type="dxa"/>
            </w:tcMar>
            <w:vAlign w:val="center"/>
          </w:tcPr>
          <w:p w14:paraId="4D461CEF"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Mauricio Elías Wior</w:t>
            </w:r>
          </w:p>
        </w:tc>
        <w:tc>
          <w:tcPr>
            <w:tcW w:w="851" w:type="dxa"/>
            <w:noWrap/>
            <w:tcMar>
              <w:top w:w="15" w:type="dxa"/>
              <w:left w:w="15" w:type="dxa"/>
              <w:bottom w:w="0" w:type="dxa"/>
              <w:right w:w="15" w:type="dxa"/>
            </w:tcMar>
            <w:vAlign w:val="center"/>
          </w:tcPr>
          <w:p w14:paraId="15D0D34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12.746.435</w:t>
            </w:r>
          </w:p>
        </w:tc>
        <w:tc>
          <w:tcPr>
            <w:tcW w:w="1134" w:type="dxa"/>
            <w:tcMar>
              <w:top w:w="15" w:type="dxa"/>
              <w:left w:w="15" w:type="dxa"/>
              <w:bottom w:w="0" w:type="dxa"/>
              <w:right w:w="15" w:type="dxa"/>
            </w:tcMar>
            <w:vAlign w:val="center"/>
          </w:tcPr>
          <w:p w14:paraId="0746AF4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23/10/1956</w:t>
            </w:r>
          </w:p>
        </w:tc>
        <w:tc>
          <w:tcPr>
            <w:tcW w:w="1106" w:type="dxa"/>
            <w:tcMar>
              <w:top w:w="15" w:type="dxa"/>
              <w:left w:w="15" w:type="dxa"/>
              <w:bottom w:w="0" w:type="dxa"/>
              <w:right w:w="15" w:type="dxa"/>
            </w:tcMar>
            <w:vAlign w:val="center"/>
          </w:tcPr>
          <w:p w14:paraId="3DBDFD4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23-12746435-9</w:t>
            </w:r>
          </w:p>
        </w:tc>
        <w:tc>
          <w:tcPr>
            <w:tcW w:w="1984" w:type="dxa"/>
            <w:noWrap/>
            <w:tcMar>
              <w:top w:w="15" w:type="dxa"/>
              <w:left w:w="15" w:type="dxa"/>
              <w:bottom w:w="0" w:type="dxa"/>
              <w:right w:w="15" w:type="dxa"/>
            </w:tcMar>
            <w:vAlign w:val="center"/>
          </w:tcPr>
          <w:p w14:paraId="3CAA23CC"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662C19E1"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44E9C59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574E57E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738ED9C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4A46D07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19B7247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21FDCF0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06/03/2008</w:t>
            </w:r>
          </w:p>
        </w:tc>
      </w:tr>
      <w:tr w:rsidR="000924EA" w:rsidRPr="00AE4E8D" w14:paraId="105A3DE7" w14:textId="77777777" w:rsidTr="000400C8">
        <w:trPr>
          <w:trHeight w:val="228"/>
        </w:trPr>
        <w:tc>
          <w:tcPr>
            <w:tcW w:w="1417" w:type="dxa"/>
            <w:noWrap/>
            <w:tcMar>
              <w:top w:w="15" w:type="dxa"/>
              <w:left w:w="15" w:type="dxa"/>
              <w:bottom w:w="0" w:type="dxa"/>
              <w:right w:w="15" w:type="dxa"/>
            </w:tcMar>
            <w:vAlign w:val="center"/>
          </w:tcPr>
          <w:p w14:paraId="0374CA1F"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Saúl Zang</w:t>
            </w:r>
          </w:p>
        </w:tc>
        <w:tc>
          <w:tcPr>
            <w:tcW w:w="851" w:type="dxa"/>
            <w:noWrap/>
            <w:tcMar>
              <w:top w:w="15" w:type="dxa"/>
              <w:left w:w="15" w:type="dxa"/>
              <w:bottom w:w="0" w:type="dxa"/>
              <w:right w:w="15" w:type="dxa"/>
            </w:tcMar>
            <w:vAlign w:val="center"/>
          </w:tcPr>
          <w:p w14:paraId="327AB68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4.533.949</w:t>
            </w:r>
          </w:p>
        </w:tc>
        <w:tc>
          <w:tcPr>
            <w:tcW w:w="1134" w:type="dxa"/>
            <w:tcMar>
              <w:top w:w="15" w:type="dxa"/>
              <w:left w:w="15" w:type="dxa"/>
              <w:bottom w:w="0" w:type="dxa"/>
              <w:right w:w="15" w:type="dxa"/>
            </w:tcMar>
            <w:vAlign w:val="center"/>
          </w:tcPr>
          <w:p w14:paraId="28B9BD9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30/12/1945</w:t>
            </w:r>
          </w:p>
        </w:tc>
        <w:tc>
          <w:tcPr>
            <w:tcW w:w="1106" w:type="dxa"/>
            <w:tcMar>
              <w:top w:w="15" w:type="dxa"/>
              <w:left w:w="15" w:type="dxa"/>
              <w:bottom w:w="0" w:type="dxa"/>
              <w:right w:w="15" w:type="dxa"/>
            </w:tcMar>
            <w:vAlign w:val="center"/>
          </w:tcPr>
          <w:p w14:paraId="78AA8A6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20-04533949-2</w:t>
            </w:r>
          </w:p>
        </w:tc>
        <w:tc>
          <w:tcPr>
            <w:tcW w:w="1984" w:type="dxa"/>
            <w:noWrap/>
            <w:tcMar>
              <w:top w:w="15" w:type="dxa"/>
              <w:left w:w="15" w:type="dxa"/>
              <w:bottom w:w="0" w:type="dxa"/>
              <w:right w:w="15" w:type="dxa"/>
            </w:tcMar>
            <w:vAlign w:val="center"/>
          </w:tcPr>
          <w:p w14:paraId="418BFDF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Florida 537 piso 18°,</w:t>
            </w:r>
          </w:p>
          <w:p w14:paraId="3299B156"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4D34FF3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052FCC0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15B3FE3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352C689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03B6005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7837D10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15/03/1999</w:t>
            </w:r>
          </w:p>
        </w:tc>
      </w:tr>
      <w:tr w:rsidR="000924EA" w:rsidRPr="00AE4E8D" w14:paraId="071CD143" w14:textId="77777777" w:rsidTr="000400C8">
        <w:trPr>
          <w:trHeight w:val="228"/>
        </w:trPr>
        <w:tc>
          <w:tcPr>
            <w:tcW w:w="1417" w:type="dxa"/>
            <w:noWrap/>
            <w:tcMar>
              <w:top w:w="15" w:type="dxa"/>
              <w:left w:w="15" w:type="dxa"/>
              <w:bottom w:w="0" w:type="dxa"/>
              <w:right w:w="15" w:type="dxa"/>
            </w:tcMar>
            <w:vAlign w:val="center"/>
          </w:tcPr>
          <w:p w14:paraId="71058A47"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Ernesto Manuel Viñes</w:t>
            </w:r>
          </w:p>
        </w:tc>
        <w:tc>
          <w:tcPr>
            <w:tcW w:w="851" w:type="dxa"/>
            <w:noWrap/>
            <w:tcMar>
              <w:top w:w="15" w:type="dxa"/>
              <w:left w:w="15" w:type="dxa"/>
              <w:bottom w:w="0" w:type="dxa"/>
              <w:right w:w="15" w:type="dxa"/>
            </w:tcMar>
            <w:vAlign w:val="center"/>
          </w:tcPr>
          <w:p w14:paraId="7C96AAF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4.596.798</w:t>
            </w:r>
          </w:p>
        </w:tc>
        <w:tc>
          <w:tcPr>
            <w:tcW w:w="1134" w:type="dxa"/>
            <w:tcMar>
              <w:top w:w="15" w:type="dxa"/>
              <w:left w:w="15" w:type="dxa"/>
              <w:bottom w:w="0" w:type="dxa"/>
              <w:right w:w="15" w:type="dxa"/>
            </w:tcMar>
            <w:vAlign w:val="center"/>
          </w:tcPr>
          <w:p w14:paraId="3B28E82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05/02/1944</w:t>
            </w:r>
          </w:p>
        </w:tc>
        <w:tc>
          <w:tcPr>
            <w:tcW w:w="1106" w:type="dxa"/>
            <w:tcMar>
              <w:top w:w="15" w:type="dxa"/>
              <w:left w:w="15" w:type="dxa"/>
              <w:bottom w:w="0" w:type="dxa"/>
              <w:right w:w="15" w:type="dxa"/>
            </w:tcMar>
            <w:vAlign w:val="center"/>
          </w:tcPr>
          <w:p w14:paraId="2B5EB26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20-04596798-1</w:t>
            </w:r>
          </w:p>
        </w:tc>
        <w:tc>
          <w:tcPr>
            <w:tcW w:w="1984" w:type="dxa"/>
            <w:noWrap/>
            <w:tcMar>
              <w:top w:w="15" w:type="dxa"/>
              <w:left w:w="15" w:type="dxa"/>
              <w:bottom w:w="0" w:type="dxa"/>
              <w:right w:w="15" w:type="dxa"/>
            </w:tcMar>
            <w:vAlign w:val="center"/>
          </w:tcPr>
          <w:p w14:paraId="6AEDEC08"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4484E2F8"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39042BD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7013D37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43A3703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7013CF0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42FB425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3C2C35E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03/10/2002</w:t>
            </w:r>
          </w:p>
        </w:tc>
      </w:tr>
      <w:tr w:rsidR="000924EA" w:rsidRPr="00AE4E8D" w14:paraId="5E0B2DC8" w14:textId="77777777" w:rsidTr="000400C8">
        <w:trPr>
          <w:trHeight w:val="228"/>
        </w:trPr>
        <w:tc>
          <w:tcPr>
            <w:tcW w:w="1417" w:type="dxa"/>
            <w:noWrap/>
            <w:tcMar>
              <w:top w:w="15" w:type="dxa"/>
              <w:left w:w="15" w:type="dxa"/>
              <w:bottom w:w="0" w:type="dxa"/>
              <w:right w:w="15" w:type="dxa"/>
            </w:tcMar>
            <w:vAlign w:val="center"/>
          </w:tcPr>
          <w:p w14:paraId="7794B1DB"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Gabriel Adolfo Gregorio Reznik</w:t>
            </w:r>
          </w:p>
        </w:tc>
        <w:tc>
          <w:tcPr>
            <w:tcW w:w="851" w:type="dxa"/>
            <w:noWrap/>
            <w:tcMar>
              <w:top w:w="15" w:type="dxa"/>
              <w:left w:w="15" w:type="dxa"/>
              <w:bottom w:w="0" w:type="dxa"/>
              <w:right w:w="15" w:type="dxa"/>
            </w:tcMar>
            <w:vAlign w:val="center"/>
          </w:tcPr>
          <w:p w14:paraId="1E78197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12.945.351</w:t>
            </w:r>
          </w:p>
        </w:tc>
        <w:tc>
          <w:tcPr>
            <w:tcW w:w="1134" w:type="dxa"/>
            <w:tcMar>
              <w:top w:w="15" w:type="dxa"/>
              <w:left w:w="15" w:type="dxa"/>
              <w:bottom w:w="0" w:type="dxa"/>
              <w:right w:w="15" w:type="dxa"/>
            </w:tcMar>
            <w:vAlign w:val="center"/>
          </w:tcPr>
          <w:p w14:paraId="0074D9B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18/11/1958</w:t>
            </w:r>
          </w:p>
        </w:tc>
        <w:tc>
          <w:tcPr>
            <w:tcW w:w="1106" w:type="dxa"/>
            <w:tcMar>
              <w:top w:w="15" w:type="dxa"/>
              <w:left w:w="15" w:type="dxa"/>
              <w:bottom w:w="0" w:type="dxa"/>
              <w:right w:w="15" w:type="dxa"/>
            </w:tcMar>
            <w:vAlign w:val="center"/>
          </w:tcPr>
          <w:p w14:paraId="1DD04CB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20-12945351-7</w:t>
            </w:r>
          </w:p>
        </w:tc>
        <w:tc>
          <w:tcPr>
            <w:tcW w:w="1984" w:type="dxa"/>
            <w:noWrap/>
            <w:tcMar>
              <w:top w:w="15" w:type="dxa"/>
              <w:left w:w="15" w:type="dxa"/>
              <w:bottom w:w="0" w:type="dxa"/>
              <w:right w:w="15" w:type="dxa"/>
            </w:tcMar>
            <w:vAlign w:val="center"/>
          </w:tcPr>
          <w:p w14:paraId="5B1CEF03"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000A3134"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220E514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A513C9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398EDAA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38680CE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0AC466B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2BA46D8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15/08/2002</w:t>
            </w:r>
          </w:p>
        </w:tc>
      </w:tr>
      <w:tr w:rsidR="000924EA" w:rsidRPr="00AE4E8D" w14:paraId="2C8204EC" w14:textId="77777777" w:rsidTr="000400C8">
        <w:trPr>
          <w:trHeight w:val="228"/>
        </w:trPr>
        <w:tc>
          <w:tcPr>
            <w:tcW w:w="1417" w:type="dxa"/>
            <w:noWrap/>
            <w:tcMar>
              <w:top w:w="15" w:type="dxa"/>
              <w:left w:w="15" w:type="dxa"/>
              <w:bottom w:w="0" w:type="dxa"/>
              <w:right w:w="15" w:type="dxa"/>
            </w:tcMar>
            <w:vAlign w:val="center"/>
          </w:tcPr>
          <w:p w14:paraId="6DE84C03"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Jacobo Julio Dreizzen</w:t>
            </w:r>
          </w:p>
        </w:tc>
        <w:tc>
          <w:tcPr>
            <w:tcW w:w="851" w:type="dxa"/>
            <w:noWrap/>
            <w:tcMar>
              <w:top w:w="15" w:type="dxa"/>
              <w:left w:w="15" w:type="dxa"/>
              <w:bottom w:w="0" w:type="dxa"/>
              <w:right w:w="15" w:type="dxa"/>
            </w:tcMar>
            <w:vAlign w:val="center"/>
          </w:tcPr>
          <w:p w14:paraId="03B900A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11.955.534</w:t>
            </w:r>
          </w:p>
        </w:tc>
        <w:tc>
          <w:tcPr>
            <w:tcW w:w="1134" w:type="dxa"/>
            <w:tcMar>
              <w:top w:w="15" w:type="dxa"/>
              <w:left w:w="15" w:type="dxa"/>
              <w:bottom w:w="0" w:type="dxa"/>
              <w:right w:w="15" w:type="dxa"/>
            </w:tcMar>
            <w:vAlign w:val="center"/>
          </w:tcPr>
          <w:p w14:paraId="6B5BFB2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13/10/1955</w:t>
            </w:r>
          </w:p>
        </w:tc>
        <w:tc>
          <w:tcPr>
            <w:tcW w:w="1106" w:type="dxa"/>
            <w:tcMar>
              <w:top w:w="15" w:type="dxa"/>
              <w:left w:w="15" w:type="dxa"/>
              <w:bottom w:w="0" w:type="dxa"/>
              <w:right w:w="15" w:type="dxa"/>
            </w:tcMar>
            <w:vAlign w:val="center"/>
          </w:tcPr>
          <w:p w14:paraId="42BE451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20-11955534-6</w:t>
            </w:r>
          </w:p>
        </w:tc>
        <w:tc>
          <w:tcPr>
            <w:tcW w:w="1984" w:type="dxa"/>
            <w:noWrap/>
            <w:tcMar>
              <w:top w:w="15" w:type="dxa"/>
              <w:left w:w="15" w:type="dxa"/>
              <w:bottom w:w="0" w:type="dxa"/>
              <w:right w:w="15" w:type="dxa"/>
            </w:tcMar>
            <w:vAlign w:val="center"/>
          </w:tcPr>
          <w:p w14:paraId="186D08AE"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29F2AAB8"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5D8C0E7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6113B8D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4CA78A4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527125D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59C513E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78994F3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07/07/2004</w:t>
            </w:r>
          </w:p>
        </w:tc>
      </w:tr>
      <w:tr w:rsidR="000924EA" w:rsidRPr="00AE4E8D" w14:paraId="6F42152C" w14:textId="77777777" w:rsidTr="000400C8">
        <w:trPr>
          <w:trHeight w:val="228"/>
        </w:trPr>
        <w:tc>
          <w:tcPr>
            <w:tcW w:w="1417" w:type="dxa"/>
            <w:noWrap/>
            <w:tcMar>
              <w:top w:w="15" w:type="dxa"/>
              <w:left w:w="15" w:type="dxa"/>
              <w:bottom w:w="0" w:type="dxa"/>
              <w:right w:w="15" w:type="dxa"/>
            </w:tcMar>
            <w:vAlign w:val="center"/>
          </w:tcPr>
          <w:p w14:paraId="13038DE8"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Pablo Daniel Vergara del Carril</w:t>
            </w:r>
          </w:p>
        </w:tc>
        <w:tc>
          <w:tcPr>
            <w:tcW w:w="851" w:type="dxa"/>
            <w:noWrap/>
            <w:tcMar>
              <w:top w:w="15" w:type="dxa"/>
              <w:left w:w="15" w:type="dxa"/>
              <w:bottom w:w="0" w:type="dxa"/>
              <w:right w:w="15" w:type="dxa"/>
            </w:tcMar>
            <w:vAlign w:val="center"/>
          </w:tcPr>
          <w:p w14:paraId="0A67AB4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17.839.402</w:t>
            </w:r>
          </w:p>
        </w:tc>
        <w:tc>
          <w:tcPr>
            <w:tcW w:w="1134" w:type="dxa"/>
            <w:tcMar>
              <w:top w:w="15" w:type="dxa"/>
              <w:left w:w="15" w:type="dxa"/>
              <w:bottom w:w="0" w:type="dxa"/>
              <w:right w:w="15" w:type="dxa"/>
            </w:tcMar>
            <w:vAlign w:val="center"/>
          </w:tcPr>
          <w:p w14:paraId="4622FD9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03/10/1965</w:t>
            </w:r>
          </w:p>
        </w:tc>
        <w:tc>
          <w:tcPr>
            <w:tcW w:w="1106" w:type="dxa"/>
            <w:tcMar>
              <w:top w:w="15" w:type="dxa"/>
              <w:left w:w="15" w:type="dxa"/>
              <w:bottom w:w="0" w:type="dxa"/>
              <w:right w:w="15" w:type="dxa"/>
            </w:tcMar>
            <w:vAlign w:val="center"/>
          </w:tcPr>
          <w:p w14:paraId="47675D2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23-17839402-9</w:t>
            </w:r>
          </w:p>
        </w:tc>
        <w:tc>
          <w:tcPr>
            <w:tcW w:w="1984" w:type="dxa"/>
            <w:noWrap/>
            <w:tcMar>
              <w:top w:w="15" w:type="dxa"/>
              <w:left w:w="15" w:type="dxa"/>
              <w:bottom w:w="0" w:type="dxa"/>
              <w:right w:w="15" w:type="dxa"/>
            </w:tcMar>
            <w:vAlign w:val="center"/>
          </w:tcPr>
          <w:p w14:paraId="636E6096"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Florida 537 piso 18°,</w:t>
            </w:r>
          </w:p>
          <w:p w14:paraId="1C7C412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65DBFC6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43701FE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3F853BE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7559173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75DB84B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017E8F0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17/09/2002</w:t>
            </w:r>
          </w:p>
        </w:tc>
      </w:tr>
      <w:tr w:rsidR="000924EA" w:rsidRPr="00AE4E8D" w14:paraId="3D1AA6FE" w14:textId="77777777" w:rsidTr="000400C8">
        <w:trPr>
          <w:trHeight w:val="228"/>
        </w:trPr>
        <w:tc>
          <w:tcPr>
            <w:tcW w:w="1417" w:type="dxa"/>
            <w:noWrap/>
            <w:tcMar>
              <w:top w:w="15" w:type="dxa"/>
              <w:left w:w="15" w:type="dxa"/>
              <w:bottom w:w="0" w:type="dxa"/>
              <w:right w:w="15" w:type="dxa"/>
            </w:tcMar>
            <w:vAlign w:val="center"/>
          </w:tcPr>
          <w:p w14:paraId="55332F12"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Carlos Bernardo Pisula</w:t>
            </w:r>
          </w:p>
        </w:tc>
        <w:tc>
          <w:tcPr>
            <w:tcW w:w="851" w:type="dxa"/>
            <w:noWrap/>
            <w:tcMar>
              <w:top w:w="15" w:type="dxa"/>
              <w:left w:w="15" w:type="dxa"/>
              <w:bottom w:w="0" w:type="dxa"/>
              <w:right w:w="15" w:type="dxa"/>
            </w:tcMar>
            <w:vAlign w:val="center"/>
          </w:tcPr>
          <w:p w14:paraId="27A1B51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4.699.992</w:t>
            </w:r>
          </w:p>
        </w:tc>
        <w:tc>
          <w:tcPr>
            <w:tcW w:w="1134" w:type="dxa"/>
            <w:tcMar>
              <w:top w:w="15" w:type="dxa"/>
              <w:left w:w="15" w:type="dxa"/>
              <w:bottom w:w="0" w:type="dxa"/>
              <w:right w:w="15" w:type="dxa"/>
            </w:tcMar>
            <w:vAlign w:val="center"/>
          </w:tcPr>
          <w:p w14:paraId="01ADB86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16/12/1948</w:t>
            </w:r>
          </w:p>
        </w:tc>
        <w:tc>
          <w:tcPr>
            <w:tcW w:w="1106" w:type="dxa"/>
            <w:tcMar>
              <w:top w:w="15" w:type="dxa"/>
              <w:left w:w="15" w:type="dxa"/>
              <w:bottom w:w="0" w:type="dxa"/>
              <w:right w:w="15" w:type="dxa"/>
            </w:tcMar>
            <w:vAlign w:val="center"/>
          </w:tcPr>
          <w:p w14:paraId="0088415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20-04699992-5</w:t>
            </w:r>
          </w:p>
        </w:tc>
        <w:tc>
          <w:tcPr>
            <w:tcW w:w="1984" w:type="dxa"/>
            <w:noWrap/>
            <w:tcMar>
              <w:top w:w="15" w:type="dxa"/>
              <w:left w:w="15" w:type="dxa"/>
              <w:bottom w:w="0" w:type="dxa"/>
              <w:right w:w="15" w:type="dxa"/>
            </w:tcMar>
            <w:vAlign w:val="center"/>
          </w:tcPr>
          <w:p w14:paraId="063EFB4E"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393B83E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3B3FC77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8D49D3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Titular</w:t>
            </w:r>
          </w:p>
        </w:tc>
        <w:tc>
          <w:tcPr>
            <w:tcW w:w="542" w:type="dxa"/>
            <w:noWrap/>
            <w:tcMar>
              <w:top w:w="15" w:type="dxa"/>
              <w:left w:w="15" w:type="dxa"/>
              <w:bottom w:w="0" w:type="dxa"/>
              <w:right w:w="15" w:type="dxa"/>
            </w:tcMar>
            <w:vAlign w:val="center"/>
          </w:tcPr>
          <w:p w14:paraId="2F9F1CA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061BAAF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6E7B375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08082FB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02/05/2003</w:t>
            </w:r>
          </w:p>
        </w:tc>
      </w:tr>
      <w:tr w:rsidR="000924EA" w:rsidRPr="00AE4E8D" w14:paraId="412E9F71" w14:textId="77777777" w:rsidTr="000400C8">
        <w:trPr>
          <w:trHeight w:val="228"/>
        </w:trPr>
        <w:tc>
          <w:tcPr>
            <w:tcW w:w="1417" w:type="dxa"/>
            <w:noWrap/>
            <w:tcMar>
              <w:top w:w="15" w:type="dxa"/>
              <w:left w:w="15" w:type="dxa"/>
              <w:bottom w:w="0" w:type="dxa"/>
              <w:right w:w="15" w:type="dxa"/>
            </w:tcMar>
            <w:vAlign w:val="center"/>
          </w:tcPr>
          <w:p w14:paraId="42852442"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Claudio Aníbal Ersinger</w:t>
            </w:r>
          </w:p>
        </w:tc>
        <w:tc>
          <w:tcPr>
            <w:tcW w:w="851" w:type="dxa"/>
            <w:noWrap/>
            <w:tcMar>
              <w:top w:w="15" w:type="dxa"/>
              <w:left w:w="15" w:type="dxa"/>
              <w:bottom w:w="0" w:type="dxa"/>
              <w:right w:w="15" w:type="dxa"/>
            </w:tcMar>
            <w:vAlign w:val="center"/>
          </w:tcPr>
          <w:p w14:paraId="08CCC47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16.226.593</w:t>
            </w:r>
          </w:p>
        </w:tc>
        <w:tc>
          <w:tcPr>
            <w:tcW w:w="1134" w:type="dxa"/>
            <w:tcMar>
              <w:top w:w="15" w:type="dxa"/>
              <w:left w:w="15" w:type="dxa"/>
              <w:bottom w:w="0" w:type="dxa"/>
              <w:right w:w="15" w:type="dxa"/>
            </w:tcMar>
            <w:vAlign w:val="center"/>
          </w:tcPr>
          <w:p w14:paraId="329A679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15/01/1963</w:t>
            </w:r>
          </w:p>
        </w:tc>
        <w:tc>
          <w:tcPr>
            <w:tcW w:w="1106" w:type="dxa"/>
            <w:tcMar>
              <w:top w:w="15" w:type="dxa"/>
              <w:left w:w="15" w:type="dxa"/>
              <w:bottom w:w="0" w:type="dxa"/>
              <w:right w:w="15" w:type="dxa"/>
            </w:tcMar>
            <w:vAlign w:val="center"/>
          </w:tcPr>
          <w:p w14:paraId="6885F66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20-16226593-9</w:t>
            </w:r>
          </w:p>
        </w:tc>
        <w:tc>
          <w:tcPr>
            <w:tcW w:w="1984" w:type="dxa"/>
            <w:noWrap/>
            <w:tcMar>
              <w:top w:w="15" w:type="dxa"/>
              <w:left w:w="15" w:type="dxa"/>
              <w:bottom w:w="0" w:type="dxa"/>
              <w:right w:w="15" w:type="dxa"/>
            </w:tcMar>
            <w:vAlign w:val="center"/>
          </w:tcPr>
          <w:p w14:paraId="764BD896"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56C0F1A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43032A3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6B779A0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665D102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w:t>
            </w:r>
          </w:p>
        </w:tc>
        <w:tc>
          <w:tcPr>
            <w:tcW w:w="1045" w:type="dxa"/>
            <w:noWrap/>
            <w:tcMar>
              <w:top w:w="15" w:type="dxa"/>
              <w:left w:w="15" w:type="dxa"/>
              <w:bottom w:w="0" w:type="dxa"/>
              <w:right w:w="15" w:type="dxa"/>
            </w:tcMar>
            <w:vAlign w:val="center"/>
          </w:tcPr>
          <w:p w14:paraId="1B40992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183F6A5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53DF864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w:t>
            </w:r>
          </w:p>
        </w:tc>
      </w:tr>
      <w:tr w:rsidR="000924EA" w:rsidRPr="00AE4E8D" w14:paraId="78C0B9F1" w14:textId="77777777" w:rsidTr="000400C8">
        <w:trPr>
          <w:trHeight w:val="228"/>
        </w:trPr>
        <w:tc>
          <w:tcPr>
            <w:tcW w:w="1417" w:type="dxa"/>
            <w:noWrap/>
            <w:tcMar>
              <w:top w:w="15" w:type="dxa"/>
              <w:left w:w="15" w:type="dxa"/>
              <w:bottom w:w="0" w:type="dxa"/>
              <w:right w:w="15" w:type="dxa"/>
            </w:tcMar>
            <w:vAlign w:val="center"/>
          </w:tcPr>
          <w:p w14:paraId="34A7897E"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Francisco José Fares</w:t>
            </w:r>
          </w:p>
        </w:tc>
        <w:tc>
          <w:tcPr>
            <w:tcW w:w="851" w:type="dxa"/>
            <w:noWrap/>
            <w:tcMar>
              <w:top w:w="15" w:type="dxa"/>
              <w:left w:w="15" w:type="dxa"/>
              <w:bottom w:w="0" w:type="dxa"/>
              <w:right w:w="15" w:type="dxa"/>
            </w:tcMar>
            <w:vAlign w:val="center"/>
          </w:tcPr>
          <w:p w14:paraId="1A527FA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16.624.085</w:t>
            </w:r>
          </w:p>
        </w:tc>
        <w:tc>
          <w:tcPr>
            <w:tcW w:w="1134" w:type="dxa"/>
            <w:tcMar>
              <w:top w:w="15" w:type="dxa"/>
              <w:left w:w="15" w:type="dxa"/>
              <w:bottom w:w="0" w:type="dxa"/>
              <w:right w:w="15" w:type="dxa"/>
            </w:tcMar>
            <w:vAlign w:val="center"/>
          </w:tcPr>
          <w:p w14:paraId="69F77A6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21/02/1964</w:t>
            </w:r>
          </w:p>
        </w:tc>
        <w:tc>
          <w:tcPr>
            <w:tcW w:w="1106" w:type="dxa"/>
            <w:tcMar>
              <w:top w:w="15" w:type="dxa"/>
              <w:left w:w="15" w:type="dxa"/>
              <w:bottom w:w="0" w:type="dxa"/>
              <w:right w:w="15" w:type="dxa"/>
            </w:tcMar>
            <w:vAlign w:val="center"/>
          </w:tcPr>
          <w:p w14:paraId="561F109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23-16624085-9</w:t>
            </w:r>
          </w:p>
        </w:tc>
        <w:tc>
          <w:tcPr>
            <w:tcW w:w="1984" w:type="dxa"/>
            <w:noWrap/>
            <w:tcMar>
              <w:top w:w="15" w:type="dxa"/>
              <w:left w:w="15" w:type="dxa"/>
              <w:bottom w:w="0" w:type="dxa"/>
              <w:right w:w="15" w:type="dxa"/>
            </w:tcMar>
            <w:vAlign w:val="center"/>
          </w:tcPr>
          <w:p w14:paraId="00CB5409"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13638A14"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6CB4EC9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73E4711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1DD2A17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w:t>
            </w:r>
          </w:p>
        </w:tc>
        <w:tc>
          <w:tcPr>
            <w:tcW w:w="1045" w:type="dxa"/>
            <w:noWrap/>
            <w:tcMar>
              <w:top w:w="15" w:type="dxa"/>
              <w:left w:w="15" w:type="dxa"/>
              <w:bottom w:w="0" w:type="dxa"/>
              <w:right w:w="15" w:type="dxa"/>
            </w:tcMar>
            <w:vAlign w:val="center"/>
          </w:tcPr>
          <w:p w14:paraId="3489620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1582231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3C89424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w:t>
            </w:r>
          </w:p>
        </w:tc>
      </w:tr>
      <w:tr w:rsidR="000924EA" w:rsidRPr="00AE4E8D" w14:paraId="547B3CAE" w14:textId="77777777" w:rsidTr="000400C8">
        <w:trPr>
          <w:trHeight w:val="228"/>
        </w:trPr>
        <w:tc>
          <w:tcPr>
            <w:tcW w:w="1417" w:type="dxa"/>
            <w:noWrap/>
            <w:tcMar>
              <w:top w:w="15" w:type="dxa"/>
              <w:left w:w="15" w:type="dxa"/>
              <w:bottom w:w="0" w:type="dxa"/>
              <w:right w:w="15" w:type="dxa"/>
            </w:tcMar>
            <w:vAlign w:val="center"/>
          </w:tcPr>
          <w:p w14:paraId="14AA4113"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Gabriel Quintela</w:t>
            </w:r>
          </w:p>
        </w:tc>
        <w:tc>
          <w:tcPr>
            <w:tcW w:w="851" w:type="dxa"/>
            <w:noWrap/>
            <w:tcMar>
              <w:top w:w="15" w:type="dxa"/>
              <w:left w:w="15" w:type="dxa"/>
              <w:bottom w:w="0" w:type="dxa"/>
              <w:right w:w="15" w:type="dxa"/>
            </w:tcMar>
            <w:vAlign w:val="center"/>
          </w:tcPr>
          <w:p w14:paraId="628F266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17.635.978</w:t>
            </w:r>
          </w:p>
        </w:tc>
        <w:tc>
          <w:tcPr>
            <w:tcW w:w="1134" w:type="dxa"/>
            <w:tcMar>
              <w:top w:w="15" w:type="dxa"/>
              <w:left w:w="15" w:type="dxa"/>
              <w:bottom w:w="0" w:type="dxa"/>
              <w:right w:w="15" w:type="dxa"/>
            </w:tcMar>
            <w:vAlign w:val="center"/>
          </w:tcPr>
          <w:p w14:paraId="28C0451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24/01/1966</w:t>
            </w:r>
          </w:p>
        </w:tc>
        <w:tc>
          <w:tcPr>
            <w:tcW w:w="1106" w:type="dxa"/>
            <w:tcMar>
              <w:top w:w="15" w:type="dxa"/>
              <w:left w:w="15" w:type="dxa"/>
              <w:bottom w:w="0" w:type="dxa"/>
              <w:right w:w="15" w:type="dxa"/>
            </w:tcMar>
            <w:vAlign w:val="center"/>
          </w:tcPr>
          <w:p w14:paraId="73271B6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20-17635978-2</w:t>
            </w:r>
          </w:p>
        </w:tc>
        <w:tc>
          <w:tcPr>
            <w:tcW w:w="1984" w:type="dxa"/>
            <w:noWrap/>
            <w:tcMar>
              <w:top w:w="15" w:type="dxa"/>
              <w:left w:w="15" w:type="dxa"/>
              <w:bottom w:w="0" w:type="dxa"/>
              <w:right w:w="15" w:type="dxa"/>
            </w:tcMar>
            <w:vAlign w:val="center"/>
          </w:tcPr>
          <w:p w14:paraId="3E534A62"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1C597722"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2F3C0B8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2D93DC8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1C807C71"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B</w:t>
            </w:r>
          </w:p>
        </w:tc>
        <w:tc>
          <w:tcPr>
            <w:tcW w:w="1045" w:type="dxa"/>
            <w:noWrap/>
            <w:tcMar>
              <w:top w:w="15" w:type="dxa"/>
              <w:left w:w="15" w:type="dxa"/>
              <w:bottom w:w="0" w:type="dxa"/>
              <w:right w:w="15" w:type="dxa"/>
            </w:tcMar>
            <w:vAlign w:val="center"/>
          </w:tcPr>
          <w:p w14:paraId="0832BA8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 –</w:t>
            </w:r>
          </w:p>
          <w:p w14:paraId="1D2A2E0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76346E5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w:t>
            </w:r>
          </w:p>
        </w:tc>
      </w:tr>
      <w:tr w:rsidR="000924EA" w:rsidRPr="00AE4E8D" w14:paraId="1748A8E2" w14:textId="77777777" w:rsidTr="000400C8">
        <w:trPr>
          <w:trHeight w:val="228"/>
        </w:trPr>
        <w:tc>
          <w:tcPr>
            <w:tcW w:w="1417" w:type="dxa"/>
            <w:noWrap/>
            <w:tcMar>
              <w:top w:w="15" w:type="dxa"/>
              <w:left w:w="15" w:type="dxa"/>
              <w:bottom w:w="0" w:type="dxa"/>
              <w:right w:w="15" w:type="dxa"/>
            </w:tcMar>
            <w:vAlign w:val="center"/>
          </w:tcPr>
          <w:p w14:paraId="16D3B6F4"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Sandra Alonso</w:t>
            </w:r>
          </w:p>
        </w:tc>
        <w:tc>
          <w:tcPr>
            <w:tcW w:w="851" w:type="dxa"/>
            <w:noWrap/>
            <w:tcMar>
              <w:top w:w="15" w:type="dxa"/>
              <w:left w:w="15" w:type="dxa"/>
              <w:bottom w:w="0" w:type="dxa"/>
              <w:right w:w="15" w:type="dxa"/>
            </w:tcMar>
            <w:vAlign w:val="center"/>
          </w:tcPr>
          <w:p w14:paraId="531E7D04"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17.956.575</w:t>
            </w:r>
          </w:p>
        </w:tc>
        <w:tc>
          <w:tcPr>
            <w:tcW w:w="1134" w:type="dxa"/>
            <w:tcMar>
              <w:top w:w="15" w:type="dxa"/>
              <w:left w:w="15" w:type="dxa"/>
              <w:bottom w:w="0" w:type="dxa"/>
              <w:right w:w="15" w:type="dxa"/>
            </w:tcMar>
            <w:vAlign w:val="center"/>
          </w:tcPr>
          <w:p w14:paraId="53AEDC24"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22/03/1967</w:t>
            </w:r>
          </w:p>
        </w:tc>
        <w:tc>
          <w:tcPr>
            <w:tcW w:w="1106" w:type="dxa"/>
            <w:tcMar>
              <w:top w:w="15" w:type="dxa"/>
              <w:left w:w="15" w:type="dxa"/>
              <w:bottom w:w="0" w:type="dxa"/>
              <w:right w:w="15" w:type="dxa"/>
            </w:tcMar>
            <w:vAlign w:val="center"/>
          </w:tcPr>
          <w:p w14:paraId="76403B2C"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27-17956575-2</w:t>
            </w:r>
          </w:p>
        </w:tc>
        <w:tc>
          <w:tcPr>
            <w:tcW w:w="1984" w:type="dxa"/>
            <w:noWrap/>
            <w:tcMar>
              <w:top w:w="15" w:type="dxa"/>
              <w:left w:w="15" w:type="dxa"/>
              <w:bottom w:w="0" w:type="dxa"/>
              <w:right w:w="15" w:type="dxa"/>
            </w:tcMar>
            <w:vAlign w:val="center"/>
          </w:tcPr>
          <w:p w14:paraId="192B0EFB"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23EA80BD" w14:textId="77777777" w:rsidR="000924EA" w:rsidRPr="00AE4E8D" w:rsidDel="00F748A1"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7659860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6378DE8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2EFD4B8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w:t>
            </w:r>
          </w:p>
        </w:tc>
        <w:tc>
          <w:tcPr>
            <w:tcW w:w="1045" w:type="dxa"/>
            <w:noWrap/>
            <w:tcMar>
              <w:top w:w="15" w:type="dxa"/>
              <w:left w:w="15" w:type="dxa"/>
              <w:bottom w:w="0" w:type="dxa"/>
              <w:right w:w="15" w:type="dxa"/>
            </w:tcMar>
            <w:vAlign w:val="center"/>
          </w:tcPr>
          <w:p w14:paraId="4647C1F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 –</w:t>
            </w:r>
          </w:p>
          <w:p w14:paraId="49E878CB"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766EE4B3" w14:textId="77777777" w:rsidR="000924EA" w:rsidRPr="00AE4E8D" w:rsidDel="00F748A1"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05/07/2016</w:t>
            </w:r>
          </w:p>
        </w:tc>
      </w:tr>
      <w:tr w:rsidR="000924EA" w:rsidRPr="00AE4E8D" w14:paraId="7CD2824D" w14:textId="77777777" w:rsidTr="000400C8">
        <w:trPr>
          <w:trHeight w:val="228"/>
        </w:trPr>
        <w:tc>
          <w:tcPr>
            <w:tcW w:w="1417" w:type="dxa"/>
            <w:noWrap/>
            <w:tcMar>
              <w:top w:w="15" w:type="dxa"/>
              <w:left w:w="15" w:type="dxa"/>
              <w:bottom w:w="0" w:type="dxa"/>
              <w:right w:w="15" w:type="dxa"/>
            </w:tcMar>
            <w:vAlign w:val="center"/>
          </w:tcPr>
          <w:p w14:paraId="59839155"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Gustavo Daniel Efkhanian</w:t>
            </w:r>
          </w:p>
        </w:tc>
        <w:tc>
          <w:tcPr>
            <w:tcW w:w="851" w:type="dxa"/>
            <w:noWrap/>
            <w:tcMar>
              <w:top w:w="15" w:type="dxa"/>
              <w:left w:w="15" w:type="dxa"/>
              <w:bottom w:w="0" w:type="dxa"/>
              <w:right w:w="15" w:type="dxa"/>
            </w:tcMar>
            <w:vAlign w:val="center"/>
          </w:tcPr>
          <w:p w14:paraId="276B62A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17.012.120</w:t>
            </w:r>
          </w:p>
        </w:tc>
        <w:tc>
          <w:tcPr>
            <w:tcW w:w="1134" w:type="dxa"/>
            <w:tcMar>
              <w:top w:w="15" w:type="dxa"/>
              <w:left w:w="15" w:type="dxa"/>
              <w:bottom w:w="0" w:type="dxa"/>
              <w:right w:w="15" w:type="dxa"/>
            </w:tcMar>
            <w:vAlign w:val="center"/>
          </w:tcPr>
          <w:p w14:paraId="5DB4E61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28/10/1964</w:t>
            </w:r>
          </w:p>
        </w:tc>
        <w:tc>
          <w:tcPr>
            <w:tcW w:w="1106" w:type="dxa"/>
            <w:tcMar>
              <w:top w:w="15" w:type="dxa"/>
              <w:left w:w="15" w:type="dxa"/>
              <w:bottom w:w="0" w:type="dxa"/>
              <w:right w:w="15" w:type="dxa"/>
            </w:tcMar>
            <w:vAlign w:val="center"/>
          </w:tcPr>
          <w:p w14:paraId="7FEC652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20-17012120-2</w:t>
            </w:r>
          </w:p>
        </w:tc>
        <w:tc>
          <w:tcPr>
            <w:tcW w:w="1984" w:type="dxa"/>
            <w:noWrap/>
            <w:tcMar>
              <w:top w:w="15" w:type="dxa"/>
              <w:left w:w="15" w:type="dxa"/>
              <w:bottom w:w="0" w:type="dxa"/>
              <w:right w:w="15" w:type="dxa"/>
            </w:tcMar>
            <w:vAlign w:val="center"/>
          </w:tcPr>
          <w:p w14:paraId="2AF2B1F0"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3BA11363"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2D71969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79AA8EE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1F38CCF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611B2D2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6AA0888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2BA1E4C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03/02/2000</w:t>
            </w:r>
          </w:p>
        </w:tc>
      </w:tr>
      <w:tr w:rsidR="000924EA" w:rsidRPr="00AE4E8D" w14:paraId="4B2BA816" w14:textId="77777777" w:rsidTr="000400C8">
        <w:trPr>
          <w:trHeight w:val="228"/>
        </w:trPr>
        <w:tc>
          <w:tcPr>
            <w:tcW w:w="1417" w:type="dxa"/>
            <w:noWrap/>
            <w:tcMar>
              <w:top w:w="15" w:type="dxa"/>
              <w:left w:w="15" w:type="dxa"/>
              <w:bottom w:w="0" w:type="dxa"/>
              <w:right w:w="15" w:type="dxa"/>
            </w:tcMar>
            <w:vAlign w:val="center"/>
          </w:tcPr>
          <w:p w14:paraId="32DDC646"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Daniel Ricardo Elsztain</w:t>
            </w:r>
          </w:p>
        </w:tc>
        <w:tc>
          <w:tcPr>
            <w:tcW w:w="851" w:type="dxa"/>
            <w:noWrap/>
            <w:tcMar>
              <w:top w:w="15" w:type="dxa"/>
              <w:left w:w="15" w:type="dxa"/>
              <w:bottom w:w="0" w:type="dxa"/>
              <w:right w:w="15" w:type="dxa"/>
            </w:tcMar>
            <w:vAlign w:val="center"/>
          </w:tcPr>
          <w:p w14:paraId="010C407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23.086.679</w:t>
            </w:r>
          </w:p>
        </w:tc>
        <w:tc>
          <w:tcPr>
            <w:tcW w:w="1134" w:type="dxa"/>
            <w:tcMar>
              <w:top w:w="15" w:type="dxa"/>
              <w:left w:w="15" w:type="dxa"/>
              <w:bottom w:w="0" w:type="dxa"/>
              <w:right w:w="15" w:type="dxa"/>
            </w:tcMar>
            <w:vAlign w:val="center"/>
          </w:tcPr>
          <w:p w14:paraId="4E12420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22/12/1972</w:t>
            </w:r>
          </w:p>
        </w:tc>
        <w:tc>
          <w:tcPr>
            <w:tcW w:w="1106" w:type="dxa"/>
            <w:tcMar>
              <w:top w:w="15" w:type="dxa"/>
              <w:left w:w="15" w:type="dxa"/>
              <w:bottom w:w="0" w:type="dxa"/>
              <w:right w:w="15" w:type="dxa"/>
            </w:tcMar>
            <w:vAlign w:val="center"/>
          </w:tcPr>
          <w:p w14:paraId="2D7B680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20-23086679-2</w:t>
            </w:r>
          </w:p>
        </w:tc>
        <w:tc>
          <w:tcPr>
            <w:tcW w:w="1984" w:type="dxa"/>
            <w:noWrap/>
            <w:tcMar>
              <w:top w:w="15" w:type="dxa"/>
              <w:left w:w="15" w:type="dxa"/>
              <w:bottom w:w="0" w:type="dxa"/>
              <w:right w:w="15" w:type="dxa"/>
            </w:tcMar>
            <w:vAlign w:val="center"/>
          </w:tcPr>
          <w:p w14:paraId="72537C6F"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Moreno 877 piso 22°,</w:t>
            </w:r>
          </w:p>
          <w:p w14:paraId="07D993A2"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4101512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6A92C11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1B07A37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0F16167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5D67D89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73EC4BF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06/03/2008</w:t>
            </w:r>
          </w:p>
        </w:tc>
      </w:tr>
      <w:tr w:rsidR="000924EA" w:rsidRPr="00AE4E8D" w14:paraId="18224F7F" w14:textId="77777777" w:rsidTr="000400C8">
        <w:trPr>
          <w:trHeight w:val="228"/>
        </w:trPr>
        <w:tc>
          <w:tcPr>
            <w:tcW w:w="1417" w:type="dxa"/>
            <w:noWrap/>
            <w:tcMar>
              <w:top w:w="15" w:type="dxa"/>
              <w:left w:w="15" w:type="dxa"/>
              <w:bottom w:w="0" w:type="dxa"/>
              <w:right w:w="15" w:type="dxa"/>
            </w:tcMar>
            <w:vAlign w:val="center"/>
          </w:tcPr>
          <w:p w14:paraId="64DC2DFB"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Andrés Fabián Ocampo</w:t>
            </w:r>
          </w:p>
        </w:tc>
        <w:tc>
          <w:tcPr>
            <w:tcW w:w="851" w:type="dxa"/>
            <w:noWrap/>
            <w:tcMar>
              <w:top w:w="15" w:type="dxa"/>
              <w:left w:w="15" w:type="dxa"/>
              <w:bottom w:w="0" w:type="dxa"/>
              <w:right w:w="15" w:type="dxa"/>
            </w:tcMar>
            <w:vAlign w:val="center"/>
          </w:tcPr>
          <w:p w14:paraId="6DDCD5C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12.454.604</w:t>
            </w:r>
          </w:p>
        </w:tc>
        <w:tc>
          <w:tcPr>
            <w:tcW w:w="1134" w:type="dxa"/>
            <w:tcMar>
              <w:top w:w="15" w:type="dxa"/>
              <w:left w:w="15" w:type="dxa"/>
              <w:bottom w:w="0" w:type="dxa"/>
              <w:right w:w="15" w:type="dxa"/>
            </w:tcMar>
            <w:vAlign w:val="center"/>
          </w:tcPr>
          <w:p w14:paraId="4C029DE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09/11/1956</w:t>
            </w:r>
          </w:p>
        </w:tc>
        <w:tc>
          <w:tcPr>
            <w:tcW w:w="1106" w:type="dxa"/>
            <w:tcMar>
              <w:top w:w="15" w:type="dxa"/>
              <w:left w:w="15" w:type="dxa"/>
              <w:bottom w:w="0" w:type="dxa"/>
              <w:right w:w="15" w:type="dxa"/>
            </w:tcMar>
            <w:vAlign w:val="center"/>
          </w:tcPr>
          <w:p w14:paraId="1B70293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20-124546045-5</w:t>
            </w:r>
          </w:p>
        </w:tc>
        <w:tc>
          <w:tcPr>
            <w:tcW w:w="1984" w:type="dxa"/>
            <w:noWrap/>
            <w:tcMar>
              <w:top w:w="15" w:type="dxa"/>
              <w:left w:w="15" w:type="dxa"/>
              <w:bottom w:w="0" w:type="dxa"/>
              <w:right w:w="15" w:type="dxa"/>
            </w:tcMar>
            <w:vAlign w:val="center"/>
          </w:tcPr>
          <w:p w14:paraId="38EAFB34"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Reconquista 151 piso 5°,</w:t>
            </w:r>
          </w:p>
          <w:p w14:paraId="29B3BEE7"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6FAF628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3664DC1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565C5DF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308D66A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04/04/2017 –</w:t>
            </w:r>
          </w:p>
          <w:p w14:paraId="3BA80F0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31/12/2018</w:t>
            </w:r>
          </w:p>
        </w:tc>
        <w:tc>
          <w:tcPr>
            <w:tcW w:w="1187" w:type="dxa"/>
            <w:vAlign w:val="center"/>
          </w:tcPr>
          <w:p w14:paraId="39554AC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06/03/2008</w:t>
            </w:r>
          </w:p>
        </w:tc>
      </w:tr>
      <w:tr w:rsidR="000924EA" w:rsidRPr="00AE4E8D" w14:paraId="1B8D85B2" w14:textId="77777777" w:rsidTr="000400C8">
        <w:trPr>
          <w:trHeight w:val="228"/>
        </w:trPr>
        <w:tc>
          <w:tcPr>
            <w:tcW w:w="1417" w:type="dxa"/>
            <w:noWrap/>
            <w:tcMar>
              <w:top w:w="15" w:type="dxa"/>
              <w:left w:w="15" w:type="dxa"/>
              <w:bottom w:w="0" w:type="dxa"/>
              <w:right w:w="15" w:type="dxa"/>
            </w:tcMar>
            <w:vAlign w:val="center"/>
          </w:tcPr>
          <w:p w14:paraId="77506C23"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Mario César Parrado</w:t>
            </w:r>
          </w:p>
        </w:tc>
        <w:tc>
          <w:tcPr>
            <w:tcW w:w="851" w:type="dxa"/>
            <w:noWrap/>
            <w:tcMar>
              <w:top w:w="15" w:type="dxa"/>
              <w:left w:w="15" w:type="dxa"/>
              <w:bottom w:w="0" w:type="dxa"/>
              <w:right w:w="15" w:type="dxa"/>
            </w:tcMar>
            <w:vAlign w:val="center"/>
          </w:tcPr>
          <w:p w14:paraId="635172F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92.005.026</w:t>
            </w:r>
          </w:p>
        </w:tc>
        <w:tc>
          <w:tcPr>
            <w:tcW w:w="1134" w:type="dxa"/>
            <w:tcMar>
              <w:top w:w="15" w:type="dxa"/>
              <w:left w:w="15" w:type="dxa"/>
              <w:bottom w:w="0" w:type="dxa"/>
              <w:right w:w="15" w:type="dxa"/>
            </w:tcMar>
            <w:vAlign w:val="center"/>
          </w:tcPr>
          <w:p w14:paraId="46B4A8D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11/04/1959</w:t>
            </w:r>
          </w:p>
        </w:tc>
        <w:tc>
          <w:tcPr>
            <w:tcW w:w="1106" w:type="dxa"/>
            <w:tcMar>
              <w:top w:w="15" w:type="dxa"/>
              <w:left w:w="15" w:type="dxa"/>
              <w:bottom w:w="0" w:type="dxa"/>
              <w:right w:w="15" w:type="dxa"/>
            </w:tcMar>
            <w:vAlign w:val="center"/>
          </w:tcPr>
          <w:p w14:paraId="1BBD95D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20-92005026-4</w:t>
            </w:r>
          </w:p>
        </w:tc>
        <w:tc>
          <w:tcPr>
            <w:tcW w:w="1984" w:type="dxa"/>
            <w:noWrap/>
            <w:tcMar>
              <w:top w:w="15" w:type="dxa"/>
              <w:left w:w="15" w:type="dxa"/>
              <w:bottom w:w="0" w:type="dxa"/>
              <w:right w:w="15" w:type="dxa"/>
            </w:tcMar>
            <w:vAlign w:val="center"/>
          </w:tcPr>
          <w:p w14:paraId="532A6E96"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Rosales 2620 2° piso 4°,</w:t>
            </w:r>
          </w:p>
          <w:p w14:paraId="1DE158A5"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691277D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048CABB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23A4EDF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094AE09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18961CD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51DCB80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16/04/2009</w:t>
            </w:r>
          </w:p>
        </w:tc>
      </w:tr>
      <w:tr w:rsidR="000924EA" w:rsidRPr="00AE4E8D" w14:paraId="751BBF7D" w14:textId="77777777" w:rsidTr="000400C8">
        <w:trPr>
          <w:trHeight w:val="228"/>
        </w:trPr>
        <w:tc>
          <w:tcPr>
            <w:tcW w:w="1417" w:type="dxa"/>
            <w:noWrap/>
            <w:tcMar>
              <w:top w:w="15" w:type="dxa"/>
              <w:left w:w="15" w:type="dxa"/>
              <w:bottom w:w="0" w:type="dxa"/>
              <w:right w:w="15" w:type="dxa"/>
            </w:tcMar>
            <w:vAlign w:val="center"/>
          </w:tcPr>
          <w:p w14:paraId="1F4EAF45"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Federico León Bensadón</w:t>
            </w:r>
          </w:p>
        </w:tc>
        <w:tc>
          <w:tcPr>
            <w:tcW w:w="851" w:type="dxa"/>
            <w:noWrap/>
            <w:tcMar>
              <w:top w:w="15" w:type="dxa"/>
              <w:left w:w="15" w:type="dxa"/>
              <w:bottom w:w="0" w:type="dxa"/>
              <w:right w:w="15" w:type="dxa"/>
            </w:tcMar>
            <w:vAlign w:val="center"/>
          </w:tcPr>
          <w:p w14:paraId="28A6A6F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4.100.916</w:t>
            </w:r>
          </w:p>
        </w:tc>
        <w:tc>
          <w:tcPr>
            <w:tcW w:w="1134" w:type="dxa"/>
            <w:tcMar>
              <w:top w:w="15" w:type="dxa"/>
              <w:left w:w="15" w:type="dxa"/>
              <w:bottom w:w="0" w:type="dxa"/>
              <w:right w:w="15" w:type="dxa"/>
            </w:tcMar>
            <w:vAlign w:val="center"/>
          </w:tcPr>
          <w:p w14:paraId="1C60DEE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bCs/>
                <w:sz w:val="16"/>
                <w:szCs w:val="16"/>
                <w:lang w:val="es-ES" w:eastAsia="es-AR"/>
              </w:rPr>
              <w:t>17/01/1933</w:t>
            </w:r>
          </w:p>
        </w:tc>
        <w:tc>
          <w:tcPr>
            <w:tcW w:w="1106" w:type="dxa"/>
            <w:tcMar>
              <w:top w:w="15" w:type="dxa"/>
              <w:left w:w="15" w:type="dxa"/>
              <w:bottom w:w="0" w:type="dxa"/>
              <w:right w:w="15" w:type="dxa"/>
            </w:tcMar>
            <w:vAlign w:val="center"/>
          </w:tcPr>
          <w:p w14:paraId="4B52FC3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20-04100916-1</w:t>
            </w:r>
          </w:p>
        </w:tc>
        <w:tc>
          <w:tcPr>
            <w:tcW w:w="1984" w:type="dxa"/>
            <w:noWrap/>
            <w:tcMar>
              <w:top w:w="15" w:type="dxa"/>
              <w:left w:w="15" w:type="dxa"/>
              <w:bottom w:w="0" w:type="dxa"/>
              <w:right w:w="15" w:type="dxa"/>
            </w:tcMar>
            <w:vAlign w:val="center"/>
          </w:tcPr>
          <w:p w14:paraId="49A360DD"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Florida 15 Piso 9°,</w:t>
            </w:r>
          </w:p>
          <w:p w14:paraId="1BC7DAAD"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CABA</w:t>
            </w:r>
          </w:p>
        </w:tc>
        <w:tc>
          <w:tcPr>
            <w:tcW w:w="709" w:type="dxa"/>
            <w:noWrap/>
            <w:tcMar>
              <w:top w:w="15" w:type="dxa"/>
              <w:left w:w="15" w:type="dxa"/>
              <w:bottom w:w="0" w:type="dxa"/>
              <w:right w:w="15" w:type="dxa"/>
            </w:tcMar>
            <w:vAlign w:val="center"/>
          </w:tcPr>
          <w:p w14:paraId="5D1CD0E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3586EE48"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14701B1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2BCD3B5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13/04/2016 –</w:t>
            </w:r>
          </w:p>
          <w:p w14:paraId="7B6B6D7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31/12/2017</w:t>
            </w:r>
          </w:p>
        </w:tc>
        <w:tc>
          <w:tcPr>
            <w:tcW w:w="1187" w:type="dxa"/>
            <w:vAlign w:val="center"/>
          </w:tcPr>
          <w:p w14:paraId="6352A89F"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22/08/2002</w:t>
            </w:r>
          </w:p>
        </w:tc>
      </w:tr>
      <w:tr w:rsidR="000924EA" w:rsidRPr="00AE4E8D" w14:paraId="0AA76771" w14:textId="77777777" w:rsidTr="000400C8">
        <w:trPr>
          <w:trHeight w:val="228"/>
        </w:trPr>
        <w:tc>
          <w:tcPr>
            <w:tcW w:w="1417" w:type="dxa"/>
            <w:noWrap/>
            <w:tcMar>
              <w:top w:w="15" w:type="dxa"/>
              <w:left w:w="15" w:type="dxa"/>
              <w:bottom w:w="0" w:type="dxa"/>
              <w:right w:w="15" w:type="dxa"/>
            </w:tcMar>
            <w:vAlign w:val="center"/>
          </w:tcPr>
          <w:p w14:paraId="448E158C"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Vacante (***)</w:t>
            </w:r>
          </w:p>
        </w:tc>
        <w:tc>
          <w:tcPr>
            <w:tcW w:w="851" w:type="dxa"/>
            <w:noWrap/>
            <w:tcMar>
              <w:top w:w="15" w:type="dxa"/>
              <w:left w:w="15" w:type="dxa"/>
              <w:bottom w:w="0" w:type="dxa"/>
              <w:right w:w="15" w:type="dxa"/>
            </w:tcMar>
            <w:vAlign w:val="center"/>
          </w:tcPr>
          <w:p w14:paraId="19DD6E8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34" w:type="dxa"/>
            <w:tcMar>
              <w:top w:w="15" w:type="dxa"/>
              <w:left w:w="15" w:type="dxa"/>
              <w:bottom w:w="0" w:type="dxa"/>
              <w:right w:w="15" w:type="dxa"/>
            </w:tcMar>
            <w:vAlign w:val="center"/>
          </w:tcPr>
          <w:p w14:paraId="5EE5321D" w14:textId="77777777" w:rsidR="000924EA" w:rsidRPr="00AE4E8D" w:rsidRDefault="000924EA" w:rsidP="00232C94">
            <w:pPr>
              <w:autoSpaceDE w:val="0"/>
              <w:autoSpaceDN w:val="0"/>
              <w:adjustRightInd w:val="0"/>
              <w:spacing w:line="26" w:lineRule="atLeast"/>
              <w:jc w:val="center"/>
              <w:rPr>
                <w:rFonts w:ascii="Times New Roman" w:hAnsi="Times New Roman"/>
                <w:bCs/>
                <w:sz w:val="16"/>
                <w:szCs w:val="16"/>
                <w:lang w:val="es-ES" w:eastAsia="es-AR"/>
              </w:rPr>
            </w:pPr>
          </w:p>
        </w:tc>
        <w:tc>
          <w:tcPr>
            <w:tcW w:w="1106" w:type="dxa"/>
            <w:tcMar>
              <w:top w:w="15" w:type="dxa"/>
              <w:left w:w="15" w:type="dxa"/>
              <w:bottom w:w="0" w:type="dxa"/>
              <w:right w:w="15" w:type="dxa"/>
            </w:tcMar>
            <w:vAlign w:val="center"/>
          </w:tcPr>
          <w:p w14:paraId="19C067E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984" w:type="dxa"/>
            <w:noWrap/>
            <w:tcMar>
              <w:top w:w="15" w:type="dxa"/>
              <w:left w:w="15" w:type="dxa"/>
              <w:bottom w:w="0" w:type="dxa"/>
              <w:right w:w="15" w:type="dxa"/>
            </w:tcMar>
            <w:vAlign w:val="center"/>
          </w:tcPr>
          <w:p w14:paraId="055F4CA2"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p>
        </w:tc>
        <w:tc>
          <w:tcPr>
            <w:tcW w:w="709" w:type="dxa"/>
            <w:noWrap/>
            <w:tcMar>
              <w:top w:w="15" w:type="dxa"/>
              <w:left w:w="15" w:type="dxa"/>
              <w:bottom w:w="0" w:type="dxa"/>
              <w:right w:w="15" w:type="dxa"/>
            </w:tcMar>
            <w:vAlign w:val="center"/>
          </w:tcPr>
          <w:p w14:paraId="340BA76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3E2248B4"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444BE7E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2F0C3979" w14:textId="77777777" w:rsidR="000924EA" w:rsidRPr="00AE4E8D" w:rsidDel="00D27DF6"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87" w:type="dxa"/>
            <w:vAlign w:val="center"/>
          </w:tcPr>
          <w:p w14:paraId="0305A569"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r>
      <w:tr w:rsidR="000924EA" w:rsidRPr="00AE4E8D" w14:paraId="2444CBE8" w14:textId="77777777" w:rsidTr="000400C8">
        <w:trPr>
          <w:trHeight w:val="228"/>
        </w:trPr>
        <w:tc>
          <w:tcPr>
            <w:tcW w:w="1417" w:type="dxa"/>
            <w:noWrap/>
            <w:tcMar>
              <w:top w:w="15" w:type="dxa"/>
              <w:left w:w="15" w:type="dxa"/>
              <w:bottom w:w="0" w:type="dxa"/>
              <w:right w:w="15" w:type="dxa"/>
            </w:tcMar>
            <w:vAlign w:val="center"/>
          </w:tcPr>
          <w:p w14:paraId="533819AB"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Vacante (***)</w:t>
            </w:r>
          </w:p>
        </w:tc>
        <w:tc>
          <w:tcPr>
            <w:tcW w:w="851" w:type="dxa"/>
            <w:noWrap/>
            <w:tcMar>
              <w:top w:w="15" w:type="dxa"/>
              <w:left w:w="15" w:type="dxa"/>
              <w:bottom w:w="0" w:type="dxa"/>
              <w:right w:w="15" w:type="dxa"/>
            </w:tcMar>
            <w:vAlign w:val="center"/>
          </w:tcPr>
          <w:p w14:paraId="2A3D87C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34" w:type="dxa"/>
            <w:tcMar>
              <w:top w:w="15" w:type="dxa"/>
              <w:left w:w="15" w:type="dxa"/>
              <w:bottom w:w="0" w:type="dxa"/>
              <w:right w:w="15" w:type="dxa"/>
            </w:tcMar>
            <w:vAlign w:val="center"/>
          </w:tcPr>
          <w:p w14:paraId="158DF572" w14:textId="77777777" w:rsidR="000924EA" w:rsidRPr="00AE4E8D" w:rsidRDefault="000924EA" w:rsidP="00232C94">
            <w:pPr>
              <w:autoSpaceDE w:val="0"/>
              <w:autoSpaceDN w:val="0"/>
              <w:adjustRightInd w:val="0"/>
              <w:spacing w:line="26" w:lineRule="atLeast"/>
              <w:jc w:val="center"/>
              <w:rPr>
                <w:rFonts w:ascii="Times New Roman" w:hAnsi="Times New Roman"/>
                <w:bCs/>
                <w:sz w:val="16"/>
                <w:szCs w:val="16"/>
                <w:lang w:val="es-ES" w:eastAsia="es-AR"/>
              </w:rPr>
            </w:pPr>
          </w:p>
        </w:tc>
        <w:tc>
          <w:tcPr>
            <w:tcW w:w="1106" w:type="dxa"/>
            <w:tcMar>
              <w:top w:w="15" w:type="dxa"/>
              <w:left w:w="15" w:type="dxa"/>
              <w:bottom w:w="0" w:type="dxa"/>
              <w:right w:w="15" w:type="dxa"/>
            </w:tcMar>
            <w:vAlign w:val="center"/>
          </w:tcPr>
          <w:p w14:paraId="020DD35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984" w:type="dxa"/>
            <w:noWrap/>
            <w:tcMar>
              <w:top w:w="15" w:type="dxa"/>
              <w:left w:w="15" w:type="dxa"/>
              <w:bottom w:w="0" w:type="dxa"/>
              <w:right w:w="15" w:type="dxa"/>
            </w:tcMar>
            <w:vAlign w:val="center"/>
          </w:tcPr>
          <w:p w14:paraId="67713134"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p>
        </w:tc>
        <w:tc>
          <w:tcPr>
            <w:tcW w:w="709" w:type="dxa"/>
            <w:noWrap/>
            <w:tcMar>
              <w:top w:w="15" w:type="dxa"/>
              <w:left w:w="15" w:type="dxa"/>
              <w:bottom w:w="0" w:type="dxa"/>
              <w:right w:w="15" w:type="dxa"/>
            </w:tcMar>
            <w:vAlign w:val="center"/>
          </w:tcPr>
          <w:p w14:paraId="7C79831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5CA7DD9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2EED56B5"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62241799" w14:textId="77777777" w:rsidR="000924EA" w:rsidRPr="00AE4E8D" w:rsidDel="00D27DF6"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87" w:type="dxa"/>
            <w:vAlign w:val="center"/>
          </w:tcPr>
          <w:p w14:paraId="1DAA2B1D"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r>
      <w:tr w:rsidR="000924EA" w:rsidRPr="00AE4E8D" w14:paraId="5B9C4686" w14:textId="77777777" w:rsidTr="000400C8">
        <w:trPr>
          <w:trHeight w:val="228"/>
        </w:trPr>
        <w:tc>
          <w:tcPr>
            <w:tcW w:w="1417" w:type="dxa"/>
            <w:noWrap/>
            <w:tcMar>
              <w:top w:w="15" w:type="dxa"/>
              <w:left w:w="15" w:type="dxa"/>
              <w:bottom w:w="0" w:type="dxa"/>
              <w:right w:w="15" w:type="dxa"/>
            </w:tcMar>
            <w:vAlign w:val="center"/>
          </w:tcPr>
          <w:p w14:paraId="7E4F4AFC"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Vacante (***)</w:t>
            </w:r>
          </w:p>
        </w:tc>
        <w:tc>
          <w:tcPr>
            <w:tcW w:w="851" w:type="dxa"/>
            <w:noWrap/>
            <w:tcMar>
              <w:top w:w="15" w:type="dxa"/>
              <w:left w:w="15" w:type="dxa"/>
              <w:bottom w:w="0" w:type="dxa"/>
              <w:right w:w="15" w:type="dxa"/>
            </w:tcMar>
            <w:vAlign w:val="center"/>
          </w:tcPr>
          <w:p w14:paraId="42FC9F3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34" w:type="dxa"/>
            <w:tcMar>
              <w:top w:w="15" w:type="dxa"/>
              <w:left w:w="15" w:type="dxa"/>
              <w:bottom w:w="0" w:type="dxa"/>
              <w:right w:w="15" w:type="dxa"/>
            </w:tcMar>
            <w:vAlign w:val="center"/>
          </w:tcPr>
          <w:p w14:paraId="707573AC" w14:textId="77777777" w:rsidR="000924EA" w:rsidRPr="00AE4E8D" w:rsidRDefault="000924EA" w:rsidP="00232C94">
            <w:pPr>
              <w:autoSpaceDE w:val="0"/>
              <w:autoSpaceDN w:val="0"/>
              <w:adjustRightInd w:val="0"/>
              <w:spacing w:line="26" w:lineRule="atLeast"/>
              <w:jc w:val="center"/>
              <w:rPr>
                <w:rFonts w:ascii="Times New Roman" w:hAnsi="Times New Roman"/>
                <w:bCs/>
                <w:sz w:val="16"/>
                <w:szCs w:val="16"/>
                <w:lang w:val="es-ES" w:eastAsia="es-AR"/>
              </w:rPr>
            </w:pPr>
          </w:p>
        </w:tc>
        <w:tc>
          <w:tcPr>
            <w:tcW w:w="1106" w:type="dxa"/>
            <w:tcMar>
              <w:top w:w="15" w:type="dxa"/>
              <w:left w:w="15" w:type="dxa"/>
              <w:bottom w:w="0" w:type="dxa"/>
              <w:right w:w="15" w:type="dxa"/>
            </w:tcMar>
            <w:vAlign w:val="center"/>
          </w:tcPr>
          <w:p w14:paraId="64E37422"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984" w:type="dxa"/>
            <w:noWrap/>
            <w:tcMar>
              <w:top w:w="15" w:type="dxa"/>
              <w:left w:w="15" w:type="dxa"/>
              <w:bottom w:w="0" w:type="dxa"/>
              <w:right w:w="15" w:type="dxa"/>
            </w:tcMar>
            <w:vAlign w:val="center"/>
          </w:tcPr>
          <w:p w14:paraId="04EB36DD"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p>
        </w:tc>
        <w:tc>
          <w:tcPr>
            <w:tcW w:w="709" w:type="dxa"/>
            <w:noWrap/>
            <w:tcMar>
              <w:top w:w="15" w:type="dxa"/>
              <w:left w:w="15" w:type="dxa"/>
              <w:bottom w:w="0" w:type="dxa"/>
              <w:right w:w="15" w:type="dxa"/>
            </w:tcMar>
            <w:vAlign w:val="center"/>
          </w:tcPr>
          <w:p w14:paraId="4EA46F1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15467EAE"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4C768AF7"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7ABDF095" w14:textId="77777777" w:rsidR="000924EA" w:rsidRPr="00AE4E8D" w:rsidDel="00D27DF6"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87" w:type="dxa"/>
            <w:vAlign w:val="center"/>
          </w:tcPr>
          <w:p w14:paraId="63C36F9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r>
      <w:tr w:rsidR="000924EA" w:rsidRPr="00AE4E8D" w14:paraId="1BF59BBA" w14:textId="77777777" w:rsidTr="000400C8">
        <w:trPr>
          <w:trHeight w:val="228"/>
        </w:trPr>
        <w:tc>
          <w:tcPr>
            <w:tcW w:w="1417" w:type="dxa"/>
            <w:noWrap/>
            <w:tcMar>
              <w:top w:w="15" w:type="dxa"/>
              <w:left w:w="15" w:type="dxa"/>
              <w:bottom w:w="0" w:type="dxa"/>
              <w:right w:w="15" w:type="dxa"/>
            </w:tcMar>
            <w:vAlign w:val="center"/>
          </w:tcPr>
          <w:p w14:paraId="154A60A5" w14:textId="77777777" w:rsidR="000924EA" w:rsidRPr="00AE4E8D" w:rsidRDefault="000924EA" w:rsidP="00232C94">
            <w:pPr>
              <w:autoSpaceDE w:val="0"/>
              <w:autoSpaceDN w:val="0"/>
              <w:adjustRightInd w:val="0"/>
              <w:spacing w:line="26" w:lineRule="atLeast"/>
              <w:ind w:left="142"/>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Vacante (***)</w:t>
            </w:r>
          </w:p>
        </w:tc>
        <w:tc>
          <w:tcPr>
            <w:tcW w:w="851" w:type="dxa"/>
            <w:noWrap/>
            <w:tcMar>
              <w:top w:w="15" w:type="dxa"/>
              <w:left w:w="15" w:type="dxa"/>
              <w:bottom w:w="0" w:type="dxa"/>
              <w:right w:w="15" w:type="dxa"/>
            </w:tcMar>
            <w:vAlign w:val="center"/>
          </w:tcPr>
          <w:p w14:paraId="616A44E0"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34" w:type="dxa"/>
            <w:tcMar>
              <w:top w:w="15" w:type="dxa"/>
              <w:left w:w="15" w:type="dxa"/>
              <w:bottom w:w="0" w:type="dxa"/>
              <w:right w:w="15" w:type="dxa"/>
            </w:tcMar>
            <w:vAlign w:val="center"/>
          </w:tcPr>
          <w:p w14:paraId="44E12249" w14:textId="77777777" w:rsidR="000924EA" w:rsidRPr="00AE4E8D" w:rsidRDefault="000924EA" w:rsidP="00232C94">
            <w:pPr>
              <w:autoSpaceDE w:val="0"/>
              <w:autoSpaceDN w:val="0"/>
              <w:adjustRightInd w:val="0"/>
              <w:spacing w:line="26" w:lineRule="atLeast"/>
              <w:jc w:val="center"/>
              <w:rPr>
                <w:rFonts w:ascii="Times New Roman" w:hAnsi="Times New Roman"/>
                <w:bCs/>
                <w:sz w:val="16"/>
                <w:szCs w:val="16"/>
                <w:lang w:val="es-ES" w:eastAsia="es-AR"/>
              </w:rPr>
            </w:pPr>
          </w:p>
        </w:tc>
        <w:tc>
          <w:tcPr>
            <w:tcW w:w="1106" w:type="dxa"/>
            <w:tcMar>
              <w:top w:w="15" w:type="dxa"/>
              <w:left w:w="15" w:type="dxa"/>
              <w:bottom w:w="0" w:type="dxa"/>
              <w:right w:w="15" w:type="dxa"/>
            </w:tcMar>
            <w:vAlign w:val="center"/>
          </w:tcPr>
          <w:p w14:paraId="0BED2D5A"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984" w:type="dxa"/>
            <w:noWrap/>
            <w:tcMar>
              <w:top w:w="15" w:type="dxa"/>
              <w:left w:w="15" w:type="dxa"/>
              <w:bottom w:w="0" w:type="dxa"/>
              <w:right w:w="15" w:type="dxa"/>
            </w:tcMar>
            <w:vAlign w:val="center"/>
          </w:tcPr>
          <w:p w14:paraId="24F19F94" w14:textId="77777777" w:rsidR="000924EA" w:rsidRPr="00AE4E8D" w:rsidRDefault="000924EA" w:rsidP="00232C94">
            <w:pPr>
              <w:autoSpaceDE w:val="0"/>
              <w:autoSpaceDN w:val="0"/>
              <w:adjustRightInd w:val="0"/>
              <w:spacing w:line="26" w:lineRule="atLeast"/>
              <w:ind w:left="126"/>
              <w:rPr>
                <w:rFonts w:ascii="Times New Roman" w:hAnsi="Times New Roman"/>
                <w:color w:val="000000"/>
                <w:sz w:val="16"/>
                <w:szCs w:val="16"/>
                <w:lang w:val="es-ES" w:eastAsia="es-AR"/>
              </w:rPr>
            </w:pPr>
          </w:p>
        </w:tc>
        <w:tc>
          <w:tcPr>
            <w:tcW w:w="709" w:type="dxa"/>
            <w:noWrap/>
            <w:tcMar>
              <w:top w:w="15" w:type="dxa"/>
              <w:left w:w="15" w:type="dxa"/>
              <w:bottom w:w="0" w:type="dxa"/>
              <w:right w:w="15" w:type="dxa"/>
            </w:tcMar>
            <w:vAlign w:val="center"/>
          </w:tcPr>
          <w:p w14:paraId="6483A7FC"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Director</w:t>
            </w:r>
          </w:p>
          <w:p w14:paraId="29D069BB"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Suplente</w:t>
            </w:r>
          </w:p>
        </w:tc>
        <w:tc>
          <w:tcPr>
            <w:tcW w:w="542" w:type="dxa"/>
            <w:noWrap/>
            <w:tcMar>
              <w:top w:w="15" w:type="dxa"/>
              <w:left w:w="15" w:type="dxa"/>
              <w:bottom w:w="0" w:type="dxa"/>
              <w:right w:w="15" w:type="dxa"/>
            </w:tcMar>
            <w:vAlign w:val="center"/>
          </w:tcPr>
          <w:p w14:paraId="3B74F616"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r w:rsidRPr="00AE4E8D">
              <w:rPr>
                <w:rFonts w:ascii="Times New Roman" w:hAnsi="Times New Roman"/>
                <w:color w:val="000000"/>
                <w:sz w:val="16"/>
                <w:szCs w:val="16"/>
                <w:lang w:val="es-ES" w:eastAsia="es-AR"/>
              </w:rPr>
              <w:t>D</w:t>
            </w:r>
          </w:p>
        </w:tc>
        <w:tc>
          <w:tcPr>
            <w:tcW w:w="1045" w:type="dxa"/>
            <w:noWrap/>
            <w:tcMar>
              <w:top w:w="15" w:type="dxa"/>
              <w:left w:w="15" w:type="dxa"/>
              <w:bottom w:w="0" w:type="dxa"/>
              <w:right w:w="15" w:type="dxa"/>
            </w:tcMar>
            <w:vAlign w:val="center"/>
          </w:tcPr>
          <w:p w14:paraId="11118AF4" w14:textId="77777777" w:rsidR="000924EA" w:rsidRPr="00AE4E8D" w:rsidDel="00D27DF6"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c>
          <w:tcPr>
            <w:tcW w:w="1187" w:type="dxa"/>
            <w:vAlign w:val="center"/>
          </w:tcPr>
          <w:p w14:paraId="690C67C3" w14:textId="77777777" w:rsidR="000924EA" w:rsidRPr="00AE4E8D" w:rsidRDefault="000924EA" w:rsidP="00232C94">
            <w:pPr>
              <w:autoSpaceDE w:val="0"/>
              <w:autoSpaceDN w:val="0"/>
              <w:adjustRightInd w:val="0"/>
              <w:spacing w:line="26" w:lineRule="atLeast"/>
              <w:jc w:val="center"/>
              <w:rPr>
                <w:rFonts w:ascii="Times New Roman" w:hAnsi="Times New Roman"/>
                <w:color w:val="000000"/>
                <w:sz w:val="16"/>
                <w:szCs w:val="16"/>
                <w:lang w:val="es-ES" w:eastAsia="es-AR"/>
              </w:rPr>
            </w:pPr>
          </w:p>
        </w:tc>
      </w:tr>
    </w:tbl>
    <w:p w14:paraId="3863FA06" w14:textId="77777777" w:rsidR="000924EA" w:rsidRPr="00AE4E8D" w:rsidRDefault="000924EA" w:rsidP="000924EA">
      <w:pPr>
        <w:autoSpaceDE w:val="0"/>
        <w:autoSpaceDN w:val="0"/>
        <w:adjustRightInd w:val="0"/>
        <w:spacing w:before="120" w:after="120"/>
        <w:ind w:left="851"/>
        <w:jc w:val="both"/>
        <w:rPr>
          <w:rFonts w:ascii="Times New Roman" w:hAnsi="Times New Roman"/>
          <w:sz w:val="18"/>
          <w:szCs w:val="18"/>
          <w:lang w:val="es-ES" w:eastAsia="es-ES"/>
        </w:rPr>
      </w:pPr>
      <w:r w:rsidRPr="00AE4E8D">
        <w:rPr>
          <w:rFonts w:ascii="Times New Roman" w:hAnsi="Times New Roman"/>
          <w:sz w:val="18"/>
          <w:szCs w:val="18"/>
          <w:lang w:val="es-ES" w:eastAsia="es-ES"/>
        </w:rPr>
        <w:t>(*) Directores Titulares por la Clase “A” nombrados el 4 de abril de 2017 por el Estado Nacional, en uso de las facultades conferidas por el art. 24 inciso d) del Estatuto Social del Banco Hipotecario S.A. La designación se encuentra pendiente de aprobación por el BCRA, de conformidad con la Comunicación “A” 4490.</w:t>
      </w:r>
    </w:p>
    <w:p w14:paraId="6E7B8EA5" w14:textId="77777777" w:rsidR="000924EA" w:rsidRPr="00AE4E8D" w:rsidRDefault="000924EA" w:rsidP="000924EA">
      <w:pPr>
        <w:autoSpaceDE w:val="0"/>
        <w:autoSpaceDN w:val="0"/>
        <w:adjustRightInd w:val="0"/>
        <w:spacing w:before="120" w:after="120"/>
        <w:ind w:left="851"/>
        <w:jc w:val="both"/>
        <w:rPr>
          <w:rFonts w:ascii="Times New Roman" w:hAnsi="Times New Roman"/>
          <w:sz w:val="18"/>
          <w:szCs w:val="18"/>
          <w:lang w:val="es-ES" w:eastAsia="es-ES"/>
        </w:rPr>
      </w:pPr>
      <w:r w:rsidRPr="00AE4E8D">
        <w:rPr>
          <w:rFonts w:ascii="Times New Roman" w:hAnsi="Times New Roman"/>
          <w:sz w:val="18"/>
          <w:szCs w:val="18"/>
          <w:lang w:val="es-ES" w:eastAsia="es-ES"/>
        </w:rPr>
        <w:t>(**) Director Titular por la Clase “C” nombrado el 28 de abril de 2017. La designación se encuentra pendiente de aprobación por el BCRA, de conformidad con la Comunicación “A” 4490.</w:t>
      </w:r>
    </w:p>
    <w:p w14:paraId="151C4150" w14:textId="77777777" w:rsidR="000924EA" w:rsidRPr="00AE4E8D" w:rsidRDefault="000924EA" w:rsidP="000924EA">
      <w:pPr>
        <w:autoSpaceDE w:val="0"/>
        <w:autoSpaceDN w:val="0"/>
        <w:adjustRightInd w:val="0"/>
        <w:spacing w:before="120" w:after="120"/>
        <w:ind w:left="851"/>
        <w:jc w:val="both"/>
        <w:rPr>
          <w:rFonts w:ascii="Times New Roman" w:hAnsi="Times New Roman"/>
          <w:sz w:val="18"/>
          <w:lang w:val="es-ES"/>
        </w:rPr>
      </w:pPr>
      <w:r w:rsidRPr="00AE4E8D">
        <w:rPr>
          <w:rFonts w:ascii="Times New Roman" w:hAnsi="Times New Roman"/>
          <w:sz w:val="18"/>
          <w:szCs w:val="18"/>
          <w:lang w:val="es-ES" w:eastAsia="es-ES"/>
        </w:rPr>
        <w:lastRenderedPageBreak/>
        <w:t>(***) Con fecha 4 de abril de 2017, la Asambleas Especiales de Accionistas Clase “A”, “B”, “C” y “D” resolvieron postergar la elección de los directores suplentes.</w:t>
      </w:r>
    </w:p>
    <w:p w14:paraId="780246CB" w14:textId="77777777" w:rsidR="000924EA" w:rsidRPr="00AE4E8D" w:rsidRDefault="000924EA" w:rsidP="000924EA">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A continuación se presentan breves descripciones biográficas de nuestros directores titulares y suplentes:</w:t>
      </w:r>
    </w:p>
    <w:p w14:paraId="0A62C473" w14:textId="77777777" w:rsidR="000924EA" w:rsidRPr="00AE4E8D" w:rsidRDefault="000924EA" w:rsidP="000924EA">
      <w:pPr>
        <w:pStyle w:val="BHTexto"/>
        <w:rPr>
          <w:lang w:val="es-ES"/>
        </w:rPr>
      </w:pPr>
      <w:r w:rsidRPr="00AE4E8D">
        <w:rPr>
          <w:b/>
          <w:i/>
          <w:lang w:val="es-ES"/>
        </w:rPr>
        <w:t>Eduardo Sergio Elsztain.</w:t>
      </w:r>
      <w:r w:rsidRPr="00AE4E8D">
        <w:rPr>
          <w:lang w:val="es-ES"/>
        </w:rPr>
        <w:t xml:space="preserve"> El Sr. Elsztain estudió ciencias económicas en la Universidad de Buenos Aires, es nuestro presidente, asimismo es el presidente de IRSA Inversiones y Representaciones Sociedad Anónima, IRSA Propiedades Comerciales S.A., Cresud S.A.C.I.F. y A., Tarshop S.A, BACS Banco de Crédito y Securitización S.A., IDBD Development Corporation LTD, y BrasilAgro Companhia Brasilera de Propiedades Agrícolas, entre otras compañías. Es también presidente de la Fundación IRSA, que promueve la educación y el desarrollo profesional de jóvenes a través su programa Puerta 18, Museo de los Niños Abasto y Alto Rosario. Es además, miembro del Comité Asesor Global de Endeavor que promueve el desarrollo de emprendedores de alto impacto. </w:t>
      </w:r>
    </w:p>
    <w:p w14:paraId="0A171612" w14:textId="77777777" w:rsidR="000924EA" w:rsidRPr="00AE4E8D" w:rsidRDefault="000924EA" w:rsidP="000924EA">
      <w:pPr>
        <w:pStyle w:val="BHTexto"/>
        <w:rPr>
          <w:lang w:val="es-ES"/>
        </w:rPr>
      </w:pPr>
      <w:r w:rsidRPr="00AE4E8D">
        <w:rPr>
          <w:b/>
          <w:i/>
          <w:lang w:val="es-ES"/>
        </w:rPr>
        <w:t>Mario Blejer.</w:t>
      </w:r>
      <w:r w:rsidRPr="00AE4E8D">
        <w:rPr>
          <w:lang w:val="es-ES"/>
        </w:rPr>
        <w:t xml:space="preserve"> El Sr. Blejer obtuvo su doctorado en economía en la Universidad de Chicago. Se ha desempeñado como Consejero Senior del FMI en los Departamentos de Europa y Asia desde 1980 hasta 2001. Ha sido también vicepresidente y presidente del BCRA entre 2001 y 2002. Además se desempeñó como director del Centro de Estudios de Banca Central del Bank of England desde 2003 hasta 2008 y Asesor del Gobernador del Bank of England en el mismo período. Actualmente, el Sr. Blejer es director titular de IRSA Inversiones y Representaciones Sociedad Anónima, entre otras compañías. Además fue Consejero Externo del consejo de Política Monetaria del Banco Central de Mauritius y es Profesor de Posgrado en la Universidad Torcuato Di Tella.</w:t>
      </w:r>
    </w:p>
    <w:p w14:paraId="32B65D0C" w14:textId="77777777" w:rsidR="000924EA" w:rsidRPr="00AE4E8D" w:rsidRDefault="000924EA" w:rsidP="000924EA">
      <w:pPr>
        <w:pStyle w:val="BHTexto"/>
        <w:rPr>
          <w:lang w:val="es-ES"/>
        </w:rPr>
      </w:pPr>
      <w:r w:rsidRPr="00AE4E8D">
        <w:rPr>
          <w:b/>
          <w:i/>
          <w:lang w:val="es-ES"/>
        </w:rPr>
        <w:t>Francisco Guillermo Susmel.</w:t>
      </w:r>
      <w:r w:rsidRPr="00AE4E8D">
        <w:rPr>
          <w:lang w:val="es-ES"/>
        </w:rPr>
        <w:t xml:space="preserve"> El Sr. Susmel obtuvo el título de Licenciado en Derecho de la Universidad de Buenos Aires y obtuvo un LL.M. </w:t>
      </w:r>
      <w:proofErr w:type="gramStart"/>
      <w:r w:rsidRPr="00AE4E8D">
        <w:rPr>
          <w:lang w:val="es-ES"/>
        </w:rPr>
        <w:t>de</w:t>
      </w:r>
      <w:proofErr w:type="gramEnd"/>
      <w:r w:rsidRPr="00AE4E8D">
        <w:rPr>
          <w:lang w:val="es-ES"/>
        </w:rPr>
        <w:t xml:space="preserve"> Harvard Law School. Fue Vicepresidente de la Comisión Nacional de Valores hasta 1996 y Subsecretario de Bancos y Seguros en el Ministerio de Economía y Obras y Servicios Públicos. Se desempeñó como consultor del Banco Interamericano de Desarrollo y de Banco Centroamericano de Integración Económica. En 1997 fue nombrado Vicepresidente Ejecutivo, Gerente General y Director del Banco Hipotecario, un rol que tuvo hasta el año 2000. Entre 2002 y 2003 fue Vicepresidente del directorio de todas las sociedades del grupo CTI Holdings S.A.</w:t>
      </w:r>
      <w:r w:rsidR="00BC0EA5" w:rsidRPr="00AE4E8D">
        <w:rPr>
          <w:lang w:val="es-ES"/>
        </w:rPr>
        <w:t xml:space="preserve"> y</w:t>
      </w:r>
      <w:r w:rsidRPr="00AE4E8D">
        <w:rPr>
          <w:lang w:val="es-ES"/>
        </w:rPr>
        <w:t xml:space="preserve"> desde </w:t>
      </w:r>
      <w:r w:rsidR="00BC0EA5" w:rsidRPr="00AE4E8D">
        <w:rPr>
          <w:lang w:val="es-ES"/>
        </w:rPr>
        <w:t xml:space="preserve">2003 </w:t>
      </w:r>
      <w:r w:rsidRPr="00AE4E8D">
        <w:rPr>
          <w:lang w:val="es-ES"/>
        </w:rPr>
        <w:t>hasta 20</w:t>
      </w:r>
      <w:r w:rsidR="00BC0EA5" w:rsidRPr="00AE4E8D">
        <w:rPr>
          <w:lang w:val="es-ES"/>
        </w:rPr>
        <w:t>11</w:t>
      </w:r>
      <w:r w:rsidRPr="00AE4E8D">
        <w:rPr>
          <w:lang w:val="es-ES"/>
        </w:rPr>
        <w:t xml:space="preserve"> fue presidente del Directorio de Rio Bravo Inversiones S.A.</w:t>
      </w:r>
    </w:p>
    <w:p w14:paraId="191C6B28" w14:textId="77777777" w:rsidR="000924EA" w:rsidRPr="00AE4E8D" w:rsidRDefault="000924EA" w:rsidP="000924EA">
      <w:pPr>
        <w:pStyle w:val="BHTexto"/>
        <w:rPr>
          <w:lang w:val="es-ES"/>
        </w:rPr>
      </w:pPr>
      <w:r w:rsidRPr="00AE4E8D">
        <w:rPr>
          <w:b/>
          <w:i/>
          <w:lang w:val="es-ES"/>
        </w:rPr>
        <w:t xml:space="preserve">Juan Rubén Jure. </w:t>
      </w:r>
      <w:r w:rsidRPr="00AE4E8D">
        <w:rPr>
          <w:lang w:val="es-ES"/>
        </w:rPr>
        <w:t>El Sr. Jure se desempeñó en la actividad privada como titular de la Agencia Publicitaria y de Diseño “J &amp; S”, hasta el año 2000. Fue Subsecretario de Comunicación de la Municipalidad de Rio Cuarto desde 1998 hasta el año 2000. Fue miembro del Concejo Deliberante de la ciudad de Rio Cuarto entre los años 2000 y 2004 y fue su Presidente hasta 2008. Fue electo Intendente Municipal de la Ciudad de Rio Cuarto en el año 2008 y reelecto por el siguiente periodo hasta el año 2016.</w:t>
      </w:r>
    </w:p>
    <w:p w14:paraId="7247902E" w14:textId="77777777" w:rsidR="000924EA" w:rsidRPr="00AE4E8D" w:rsidRDefault="000924EA" w:rsidP="000924EA">
      <w:pPr>
        <w:pStyle w:val="BHTexto"/>
        <w:rPr>
          <w:lang w:val="es-ES"/>
        </w:rPr>
      </w:pPr>
      <w:r w:rsidRPr="00AE4E8D">
        <w:rPr>
          <w:b/>
          <w:i/>
          <w:lang w:val="es-ES"/>
        </w:rPr>
        <w:t>Fernando Recalde</w:t>
      </w:r>
      <w:r w:rsidRPr="00AE4E8D">
        <w:rPr>
          <w:lang w:val="es-ES"/>
        </w:rPr>
        <w:t>. El Sr. Recalde estudió administración de empresas en UC College, Cranford, Nueva Jersey. Se desempeñó como Oficial de Crédito y Analista de Tesorería en Banco de Bogotá Trust Co en Nueva York entre los años 1987 y 1992. Fue Analista, Vicepresidente y Director en las áreas de Mercado de Capitales, Trading y Distribución en Merrill Lynch Nueva York y Buenos Aires desde 1992 y hasta 2012, cuando se retiró como Presidente de su filial en Argentina, habiéndose desempeñado en diferentes funciones en las áreas de Renta Fija y Variable. Fue también Director en MAE y actuó como responsable de Merrill Lynch ante Rofex y Director de Merrill Lynch Valores. Desde 2012 y hasta 2015 fue Portfolio Manager y miembro del Comité de Inversiones de Galileo, SGFCI y luego en Cima, SGFCI, donde actuó como Director hasta asumir como Director General de Inversiones en el Fondo de Garantía de Sustentabilidad de ANSES donde permanece como Asesor.</w:t>
      </w:r>
    </w:p>
    <w:p w14:paraId="3E732CD2" w14:textId="77777777" w:rsidR="000924EA" w:rsidRPr="00AE4E8D" w:rsidRDefault="000924EA" w:rsidP="000924EA">
      <w:pPr>
        <w:pStyle w:val="BHTexto"/>
        <w:rPr>
          <w:lang w:val="es-ES"/>
        </w:rPr>
      </w:pPr>
      <w:r w:rsidRPr="00AE4E8D">
        <w:rPr>
          <w:b/>
          <w:i/>
          <w:lang w:val="es-ES"/>
        </w:rPr>
        <w:t>Martín Juan Lanfranco.</w:t>
      </w:r>
      <w:r w:rsidRPr="00AE4E8D">
        <w:rPr>
          <w:lang w:val="es-ES"/>
        </w:rPr>
        <w:t xml:space="preserve"> El Sr. Lanfranco obtuvo el título de Licenciado en Derecho de la Universidad de Buenos Aires y cursó el Master en Derecho Empresario en la Universidad Austral. Es socio del Estudio Lanfranco &amp; Detry. Entre los años 2003 y 2004 se desempeñó como Asesor de Presidencia en el BCRA; desde 2008 hasta 2010 fue Director de Corporación Antiguo Madero S.A. y luego, entre 2014 y 2016, Síndico. Fue Director Nacional de Empresas con Participación del Estado desde el año 2016 hasta ser designado director de Banco Hipotecario S.A.</w:t>
      </w:r>
    </w:p>
    <w:p w14:paraId="638B54B8" w14:textId="77777777" w:rsidR="000924EA" w:rsidRPr="00AE4E8D" w:rsidRDefault="000924EA" w:rsidP="000924EA">
      <w:pPr>
        <w:pStyle w:val="BHTexto"/>
        <w:rPr>
          <w:lang w:val="es-ES"/>
        </w:rPr>
      </w:pPr>
      <w:r w:rsidRPr="00AE4E8D">
        <w:rPr>
          <w:b/>
          <w:i/>
          <w:lang w:val="es-ES"/>
        </w:rPr>
        <w:t>Mauricio Elías Wior.</w:t>
      </w:r>
      <w:r w:rsidRPr="00AE4E8D">
        <w:rPr>
          <w:lang w:val="es-ES"/>
        </w:rPr>
        <w:t xml:space="preserve"> El Sr. Wior obtuvo el título en Economía, Administración de Empresas y Contador en la Universidad de Tel Aviv en Israel y luego una Maestría en Administración de Empresas conferida por la misma institución. Se desempeñó como presidente de Movicom y como Vicepresidente Regional para América Latina de Bellsouth hasta el 2005. Es director de IRSA Inversiones y Representaciones Sociedad Anónima y de TGLT S.A.</w:t>
      </w:r>
    </w:p>
    <w:p w14:paraId="733E0E47" w14:textId="77777777" w:rsidR="000924EA" w:rsidRPr="00AE4E8D" w:rsidRDefault="000924EA" w:rsidP="000924EA">
      <w:pPr>
        <w:pStyle w:val="BHTexto"/>
        <w:rPr>
          <w:lang w:val="es-ES"/>
        </w:rPr>
      </w:pPr>
      <w:r w:rsidRPr="00AE4E8D">
        <w:rPr>
          <w:b/>
          <w:i/>
          <w:lang w:val="es-ES"/>
        </w:rPr>
        <w:t>Saúl Zang.</w:t>
      </w:r>
      <w:r w:rsidRPr="00AE4E8D">
        <w:rPr>
          <w:lang w:val="es-ES"/>
        </w:rPr>
        <w:t xml:space="preserve"> El Sr. Zang obtuvo el título de Abogado en la Universidad de Buenos Aires. Es miembro de la International Bar Association (Asociación Internacional de Abogados) y de la Interamerican Federation </w:t>
      </w:r>
      <w:r w:rsidRPr="00AE4E8D">
        <w:rPr>
          <w:lang w:val="es-ES"/>
        </w:rPr>
        <w:lastRenderedPageBreak/>
        <w:t>of Lawyers (Federación Interamericana de Abogados). Es socio fundador de Zang, Bergel &amp; Viñes Abogados. Es Vicepresidente de IRSA Inversiones y Representaciones Sociedad Anónima, IRSA Propiedades Comerciales S.A., Puerto Retiro y Fibesa, asimismo, es Vicepresidente Primero de Cresud S.A.C.I.F. y A., entre otras compañías. El Sr. Zang es director de Nuevas Fronteras S.A., Tarshop S.A, BACS Banco de Crédito y Securitización S.A., IDBD Development Corporation LTD y BrasilAgro Companhia Brasilera de Propiedades Agrícolas, entre otras compañías.</w:t>
      </w:r>
    </w:p>
    <w:p w14:paraId="2EB6A82A" w14:textId="77777777" w:rsidR="000924EA" w:rsidRPr="00AE4E8D" w:rsidRDefault="000924EA" w:rsidP="000924EA">
      <w:pPr>
        <w:pStyle w:val="BHTexto"/>
        <w:rPr>
          <w:lang w:val="es-ES"/>
        </w:rPr>
      </w:pPr>
      <w:r w:rsidRPr="00AE4E8D">
        <w:rPr>
          <w:b/>
          <w:i/>
          <w:lang w:val="es-ES"/>
        </w:rPr>
        <w:t>Ernesto Manuel Viñes</w:t>
      </w:r>
      <w:r w:rsidRPr="00AE4E8D">
        <w:rPr>
          <w:b/>
          <w:lang w:val="es-ES"/>
        </w:rPr>
        <w:t>.</w:t>
      </w:r>
      <w:r w:rsidRPr="00AE4E8D">
        <w:rPr>
          <w:lang w:val="es-ES"/>
        </w:rPr>
        <w:t xml:space="preserve"> El Sr. Viñes obtuvo el título de Abogado en la Universidad de Buenos Aires donde también realizó estudios de postgrado. Ha sido funcionario judicial y subsecretario de Estado. Actualmente, el Sr. Viñes se desempeña como nuestro director a cargo del área legal. Fue socio fundador de Zang, Bergel &amp; Viñes Abogados.</w:t>
      </w:r>
    </w:p>
    <w:p w14:paraId="305E1C2A" w14:textId="77777777" w:rsidR="000924EA" w:rsidRPr="00AE4E8D" w:rsidRDefault="000924EA" w:rsidP="000924EA">
      <w:pPr>
        <w:pStyle w:val="BHTexto"/>
        <w:rPr>
          <w:lang w:val="es-ES"/>
        </w:rPr>
      </w:pPr>
      <w:r w:rsidRPr="00AE4E8D">
        <w:rPr>
          <w:b/>
          <w:i/>
          <w:lang w:val="es-ES"/>
        </w:rPr>
        <w:t>Gabriel Adolfo Gregorio Reznik.</w:t>
      </w:r>
      <w:r w:rsidRPr="00AE4E8D">
        <w:rPr>
          <w:lang w:val="es-ES"/>
        </w:rPr>
        <w:t xml:space="preserve"> El Sr. Reznik obtuvo el título de Ingeniero Civil de la Universidad de Buenos Aires y ha cursado un Máster en Dirección de Empresas Inmobiliarias y Constructoras en la Escuela Politécnica de Madrid, España. El Sr. Reznik es nuestro director titular desde junio de 2002. También se ha desempeñado como director y Gerente del Departamento Técnico de IRSA Inversiones y Representaciones Sociedad Anónima y como Director de Emprendimientos Recoleta S.A. Actualmente es también director de Cresud S.A.C.I.F. y A. e IRSA Inversiones y Representaciones Sociedad Anónima. El Sr. Reznik ha sido responsable del control de la ejecución de proyectos de ingeniería de IRSA Inversiones y Representaciones Sociedad Anónima e IRSA Propiedades Comerciales S.A., así como del área de mantenimiento y operación de los edificios de oficina. </w:t>
      </w:r>
    </w:p>
    <w:p w14:paraId="256B46FC" w14:textId="77777777" w:rsidR="000924EA" w:rsidRPr="00AE4E8D" w:rsidRDefault="000924EA" w:rsidP="000924EA">
      <w:pPr>
        <w:pStyle w:val="BHTexto"/>
        <w:rPr>
          <w:lang w:val="es-ES"/>
        </w:rPr>
      </w:pPr>
      <w:r w:rsidRPr="00AE4E8D">
        <w:rPr>
          <w:b/>
          <w:i/>
          <w:lang w:val="es-ES"/>
        </w:rPr>
        <w:t>Jacobo Julio Dreizzen.</w:t>
      </w:r>
      <w:r w:rsidRPr="00AE4E8D">
        <w:rPr>
          <w:lang w:val="es-ES"/>
        </w:rPr>
        <w:t xml:space="preserve"> El Sr. Dreizzen obtuvo el título de Licenciado en Economía en la Universidad de Buenos Aires. Asimismo, obtuvo un Máster en Economía en la Universidad Católica de Río de Janeiro. En el año 1986 fue Director Ejecutivo alterno del FMI. En 1987 fue asesor en la presidencia del BCRA, para luego desempeñarse como Director de dicho ente rector (1987-1989). De 1990 a 1999 se desempeñó como Director Ejecutivo de Galicia Capital Markets, subsidiaria del Banco de Galicia que desarrollaba el negocio de banca de inversión y mercado de capitales. Del 2000 al 2001 fue Subsecretario de Finanzas del Ministerio de Economía. Fue asesor del BID (2002), del PNUD (2005) y de la CAF (2005). De 2002 al 2005 se desempeñó como Presidente de Constellation, fondo de inversiones. Fue CFO de IMPSA SA de 2006 a 2016. En el área docente, el Sr. Dreizzen es Profesor de Finanzas Corporativas en el Programa de Posgrado de Mercado de Capitales de la UBA desde 1993 y en la Maestría en Finanzas de la Universidad Torcuato Di Tella desde 2015.</w:t>
      </w:r>
    </w:p>
    <w:p w14:paraId="1F8EEF37" w14:textId="77777777" w:rsidR="000924EA" w:rsidRPr="00AE4E8D" w:rsidRDefault="000924EA" w:rsidP="000924EA">
      <w:pPr>
        <w:pStyle w:val="BHTexto"/>
        <w:rPr>
          <w:lang w:val="es-ES"/>
        </w:rPr>
      </w:pPr>
      <w:r w:rsidRPr="00AE4E8D">
        <w:rPr>
          <w:b/>
          <w:i/>
          <w:lang w:val="es-ES"/>
        </w:rPr>
        <w:t>Pablo Daniel Vergara del Carril.</w:t>
      </w:r>
      <w:r w:rsidRPr="00AE4E8D">
        <w:rPr>
          <w:lang w:val="es-ES"/>
        </w:rPr>
        <w:t xml:space="preserve"> El Sr. Vergara del Carril obtuvo el título de Abogado en la Universidad Católica de Buenos Aires, donde es profesor de Derecho Comercial y Derecho Contractual. También enseña Derecho Empresarial, Contractual y Mercado de Capitales en cursos de postgrado. El Sr. Vergara del Carril es miembro del Consejo Consultivo de Asesoramiento Jurídico de la Cámara de Sociedades Anónimas y también Vicepresidente del Comité de Derecho de la Competencia del Colegio de Abogados de la Ciudad Autónoma de Buenos Aires. Es director de Emprendimiento Recoleta S.A. y Nuevas Fronteras S.A., y director suplente de IRSA Propiedades Comerciales S.A. Es socio de Zang, Bergel &amp; Viñes Abogados.</w:t>
      </w:r>
    </w:p>
    <w:p w14:paraId="497BD743" w14:textId="77777777" w:rsidR="000924EA" w:rsidRPr="00AE4E8D" w:rsidRDefault="000924EA" w:rsidP="000924EA">
      <w:pPr>
        <w:pStyle w:val="BHTexto"/>
        <w:rPr>
          <w:lang w:val="es-ES"/>
        </w:rPr>
      </w:pPr>
      <w:r w:rsidRPr="00AE4E8D">
        <w:rPr>
          <w:b/>
          <w:i/>
          <w:lang w:val="es-ES"/>
        </w:rPr>
        <w:t>Carlos Bernardo Písula.</w:t>
      </w:r>
      <w:r w:rsidRPr="00AE4E8D">
        <w:rPr>
          <w:lang w:val="es-ES"/>
        </w:rPr>
        <w:t xml:space="preserve"> El Sr. Písula obtuvo el título de Contador Público en la Universidad Nacional de Buenos Aires en el año 1973 donde realizó posteriormente estudios de perfeccionamiento y especialización. El Sr. Písula integra nuestro Directorio en representación de las acciones clase D. Es presidente del Comité de Auditoría conformando también el Comité de Riesgo y Créditos del mismo. Participa de diferentes comisiones en la Cámara Argentina de la Construcción y del Instituto de Estadística y Registro de la Industria de la Construcción IERIC como integrante del Comité Ejecutivo. Integra también el Directorio de distintas empresas vinculadas con la construcción y venta de inmuebles.</w:t>
      </w:r>
    </w:p>
    <w:p w14:paraId="2EFE0DB7" w14:textId="77777777" w:rsidR="000924EA" w:rsidRPr="00AE4E8D" w:rsidRDefault="000924EA" w:rsidP="000924EA">
      <w:pPr>
        <w:pStyle w:val="BHTexto"/>
        <w:rPr>
          <w:b/>
          <w:i/>
          <w:lang w:val="es-ES"/>
        </w:rPr>
      </w:pPr>
      <w:r w:rsidRPr="00AE4E8D">
        <w:rPr>
          <w:b/>
          <w:i/>
          <w:lang w:val="es-ES"/>
        </w:rPr>
        <w:t>Claudio Aníbal Ersinger.</w:t>
      </w:r>
      <w:r w:rsidRPr="00AE4E8D">
        <w:rPr>
          <w:lang w:val="es-ES"/>
        </w:rPr>
        <w:t xml:space="preserve"> El Sr. Ersinger obtuvo el título de Médico veterinario en la Universidad Nacional del Centro de la Provincia de Buenos Aires. El Sr. Ersinger tiene una amplia experiencia en la administración de empresas agropecuarias, adicionalmente se desempeña como miembro titular por el Honorable Consejo Deliberante de Tandil de la Comisión Municipal de Gestión Territorial desde el 2009 y como Presidente de bloque de dicho Consejo desde el 2013.</w:t>
      </w:r>
    </w:p>
    <w:p w14:paraId="6361004B" w14:textId="77777777" w:rsidR="000924EA" w:rsidRPr="00AE4E8D" w:rsidRDefault="000924EA" w:rsidP="000924EA">
      <w:pPr>
        <w:pStyle w:val="BHTexto"/>
        <w:rPr>
          <w:b/>
          <w:i/>
          <w:lang w:val="es-ES"/>
        </w:rPr>
      </w:pPr>
      <w:r w:rsidRPr="00AE4E8D">
        <w:rPr>
          <w:b/>
          <w:i/>
          <w:lang w:val="es-ES"/>
        </w:rPr>
        <w:t>Francisco José Fares.</w:t>
      </w:r>
      <w:r w:rsidRPr="00AE4E8D">
        <w:rPr>
          <w:lang w:val="es-ES"/>
        </w:rPr>
        <w:t xml:space="preserve"> El Sr. Fares se desempeña en la actividad privada relacionada al comercio, adicionalmente cuenta con una amplia trayectoria política entre las cuales se destacan su desempeño como asesor de la Presidencia del Senado de la Provincia de Buenos Aires y su función como Secretario de Turismo y Producción de la Municipalidad de Chascomús entre 2011 y 2015.</w:t>
      </w:r>
    </w:p>
    <w:p w14:paraId="1B551CC8" w14:textId="77777777" w:rsidR="000924EA" w:rsidRPr="00AE4E8D" w:rsidRDefault="000924EA" w:rsidP="000924EA">
      <w:pPr>
        <w:pStyle w:val="BHTexto"/>
        <w:rPr>
          <w:lang w:val="es-ES"/>
        </w:rPr>
      </w:pPr>
      <w:r w:rsidRPr="00AE4E8D">
        <w:rPr>
          <w:b/>
          <w:i/>
          <w:lang w:val="es-ES"/>
        </w:rPr>
        <w:lastRenderedPageBreak/>
        <w:t>Gabriel Quintela.</w:t>
      </w:r>
      <w:r w:rsidRPr="00AE4E8D">
        <w:rPr>
          <w:lang w:val="es-ES"/>
        </w:rPr>
        <w:t xml:space="preserve"> El Sr. Quintela es Contador Público y Licenciado en Economía con especialización en Moneda y Finanzas egresado de la Universidad de Buenos Aires. Desde el año 2008 el Sr. Quintela es coordinador de valuación de cartera del Fondo de Garantía de Sustentabilidad.</w:t>
      </w:r>
    </w:p>
    <w:p w14:paraId="2B3DEED6" w14:textId="77777777" w:rsidR="000924EA" w:rsidRPr="00AE4E8D" w:rsidRDefault="000924EA" w:rsidP="000924EA">
      <w:pPr>
        <w:pStyle w:val="BHTexto"/>
        <w:rPr>
          <w:b/>
          <w:i/>
          <w:lang w:val="es-ES"/>
        </w:rPr>
      </w:pPr>
      <w:r w:rsidRPr="00AE4E8D">
        <w:rPr>
          <w:b/>
          <w:i/>
          <w:lang w:val="es-ES"/>
        </w:rPr>
        <w:t>Sandra Alonso.</w:t>
      </w:r>
      <w:r w:rsidRPr="00AE4E8D">
        <w:rPr>
          <w:lang w:val="es-ES"/>
        </w:rPr>
        <w:t xml:space="preserve"> La Sra. Alonso obtuvo el título de técnica en administración agraria y realizó estudios de Administración de Empresas pymes en la Universidad Nacional del Centro. </w:t>
      </w:r>
      <w:proofErr w:type="gramStart"/>
      <w:r w:rsidRPr="00AE4E8D">
        <w:rPr>
          <w:lang w:val="es-ES"/>
        </w:rPr>
        <w:t>La</w:t>
      </w:r>
      <w:proofErr w:type="gramEnd"/>
      <w:r w:rsidRPr="00AE4E8D">
        <w:rPr>
          <w:lang w:val="es-ES"/>
        </w:rPr>
        <w:t xml:space="preserve"> Sra. Alonso fue supervisora regional de Claro Argentina hasta 2015 en donde adquirió experiencia en atención al cliente.</w:t>
      </w:r>
    </w:p>
    <w:p w14:paraId="02005AD7" w14:textId="77777777" w:rsidR="000924EA" w:rsidRPr="00AE4E8D" w:rsidRDefault="000924EA" w:rsidP="000924EA">
      <w:pPr>
        <w:pStyle w:val="BHTexto"/>
        <w:rPr>
          <w:lang w:val="es-ES"/>
        </w:rPr>
      </w:pPr>
      <w:r w:rsidRPr="00AE4E8D">
        <w:rPr>
          <w:b/>
          <w:i/>
          <w:lang w:val="es-ES"/>
        </w:rPr>
        <w:t>Gustavo Daniel Efkhanian.</w:t>
      </w:r>
      <w:r w:rsidRPr="00AE4E8D">
        <w:rPr>
          <w:lang w:val="es-ES"/>
        </w:rPr>
        <w:t xml:space="preserve"> El Sr. Efkhanian obtuvo el título de Licenciado en Economía en la Universidad Nacional de Córdoba. En 2005 obtuvo un Master en Derecho Empresario en la Universidad Torcuato Di Tella. El Sr. Efkhanian se desempeñó como nuestro director ejecutivo desde 1997 hasta 1999, y se desempeña como nuestro director desde 1993, habiendo ocupado diversos cargos en el Banco desde 1991. El Sr. Efkhanian supervisa cuestiones relacionadas con negocios corporativos. Con anterioridad a ello, el Sr. Efkhanian fue nuestro asesor, designado por el gobierno en ocasión de la reestructuración de 1989-1993. El Sr. Efkhanian también ha prestado servicios como director suplente del Banco de Inversión y Comercio Exterior S.A. Desde 1988 a 1991, fue Economista del Instituto de Estudios Económicos de la Realidad Argentina y Latinoamericana. Actualmente es nuestro director suplente y Gerente de Área Riesgo y Controlling.</w:t>
      </w:r>
    </w:p>
    <w:p w14:paraId="62A9AE70" w14:textId="77777777" w:rsidR="000924EA" w:rsidRPr="00AE4E8D" w:rsidRDefault="000924EA" w:rsidP="000924EA">
      <w:pPr>
        <w:pStyle w:val="BHTexto"/>
        <w:rPr>
          <w:lang w:val="es-ES"/>
        </w:rPr>
      </w:pPr>
      <w:r w:rsidRPr="00AE4E8D">
        <w:rPr>
          <w:b/>
          <w:i/>
          <w:lang w:val="es-ES"/>
        </w:rPr>
        <w:t>Daniel Ricardo Elsztain.</w:t>
      </w:r>
      <w:r w:rsidRPr="00AE4E8D">
        <w:rPr>
          <w:lang w:val="es-ES"/>
        </w:rPr>
        <w:t xml:space="preserve"> El Sr. Elsztain obtuvo el título de Licenciado en Economía de la Universidad de Torcuato Di Tella y un Máster en Administración de Empresas en el IAE. Actualmente se desempaña como Chief Operating Officer de IRSA Inversiones y Representaciones Sociedad Anónima, y como director en IRSA Propiedades Comerciales S.A., IRSA Inversiones y Representaciones Sociedad Anónima y Supertel Hospitality Inc., entre otras compañías. El Sr. Elsztain es hermano de nuestro presidente Eduardo S. Elsztain. </w:t>
      </w:r>
    </w:p>
    <w:p w14:paraId="2295F1B5" w14:textId="77777777" w:rsidR="000924EA" w:rsidRPr="00AE4E8D" w:rsidRDefault="000924EA" w:rsidP="000924EA">
      <w:pPr>
        <w:pStyle w:val="BHTexto"/>
        <w:rPr>
          <w:lang w:val="es-ES"/>
        </w:rPr>
      </w:pPr>
      <w:r w:rsidRPr="00AE4E8D">
        <w:rPr>
          <w:b/>
          <w:i/>
          <w:lang w:val="es-ES"/>
        </w:rPr>
        <w:t>Andrés Fabián Ocampo.</w:t>
      </w:r>
      <w:r w:rsidRPr="00AE4E8D">
        <w:rPr>
          <w:lang w:val="es-ES"/>
        </w:rPr>
        <w:t xml:space="preserve"> El Sr. Ocampo obtuvo el título de Abogado en la Facultad de Derecho y Ciencias Políticas de la Universidad Católica Argentina. Realizó estudios de postgrado en el Instituto de Altos Estudios Empresariales de la Universidad Austral en el Programa de Alta Dirección y en Finanzas Operativas, y en la Universidad Argentina de la Empresa en Derecho Bancario.</w:t>
      </w:r>
    </w:p>
    <w:p w14:paraId="6D667043" w14:textId="77777777" w:rsidR="000924EA" w:rsidRPr="00AE4E8D" w:rsidRDefault="000924EA" w:rsidP="000924EA">
      <w:pPr>
        <w:pStyle w:val="BHTexto"/>
        <w:rPr>
          <w:lang w:val="es-ES"/>
        </w:rPr>
      </w:pPr>
      <w:r w:rsidRPr="00AE4E8D">
        <w:rPr>
          <w:b/>
          <w:i/>
          <w:lang w:val="es-ES"/>
        </w:rPr>
        <w:t>Mario César Parrado.</w:t>
      </w:r>
      <w:r w:rsidRPr="00AE4E8D">
        <w:rPr>
          <w:lang w:val="es-ES"/>
        </w:rPr>
        <w:t xml:space="preserve"> El Sr. Parrado obtuvo el título de Licenciado en Administración de Empresas en la Universidad Argentina de la Empresa (UADE). Tiene más de veinte años de experiencia en la actividad financiera, habiéndose desempeñado, entre otros cargos, como presidente de The Boston Investment Group, director de BankBoston Argentina y director de Fleet International Advisors S.A.</w:t>
      </w:r>
    </w:p>
    <w:p w14:paraId="0DEDAD6F" w14:textId="77777777" w:rsidR="000924EA" w:rsidRPr="00AE4E8D" w:rsidRDefault="000924EA" w:rsidP="000924EA">
      <w:pPr>
        <w:pStyle w:val="BHTexto"/>
        <w:rPr>
          <w:lang w:val="es-ES"/>
        </w:rPr>
      </w:pPr>
      <w:r w:rsidRPr="00AE4E8D">
        <w:rPr>
          <w:b/>
          <w:i/>
          <w:lang w:val="es-ES"/>
        </w:rPr>
        <w:t>Federico León Bensadón.</w:t>
      </w:r>
      <w:r w:rsidRPr="00AE4E8D">
        <w:rPr>
          <w:lang w:val="es-ES"/>
        </w:rPr>
        <w:t xml:space="preserve"> El Sr. Bensadón obtuvo el título de Ingeniero Civil en la Universidad de Buenos Aires en 1957. Fue director titular por las acciones Clase C desde septiembre de 2002 hasta marzo de 2012, y desde entonces es director suplente. Es miembro del Directorio de las siguientes Sociedades: Telemetrix S.A. (Costa Salguero), Emaco S.A; Edilcenter S.A; Rafoy S.A., DR S.A., entre otras. También es Tesorero de la Cámara Argentina de la Construcción.</w:t>
      </w:r>
    </w:p>
    <w:p w14:paraId="72232ECC" w14:textId="77777777" w:rsidR="000924EA" w:rsidRPr="00AE4E8D" w:rsidRDefault="000924EA" w:rsidP="000924EA">
      <w:pPr>
        <w:pStyle w:val="BHTexto"/>
        <w:rPr>
          <w:lang w:val="es-ES"/>
        </w:rPr>
      </w:pPr>
      <w:r w:rsidRPr="00AE4E8D">
        <w:rPr>
          <w:lang w:val="es-ES"/>
        </w:rPr>
        <w:t xml:space="preserve">La tabla que se muestra a continuación expone el número de nuestras acciones en poder de nuestros directores a partir del </w:t>
      </w:r>
      <w:r w:rsidRPr="00AE4E8D">
        <w:rPr>
          <w:lang w:val="es-ES" w:eastAsia="es-AR"/>
        </w:rPr>
        <w:t>30</w:t>
      </w:r>
      <w:r w:rsidRPr="00AE4E8D">
        <w:rPr>
          <w:lang w:val="es-ES"/>
        </w:rPr>
        <w:t xml:space="preserve"> de junio de 2017:</w:t>
      </w:r>
    </w:p>
    <w:tbl>
      <w:tblPr>
        <w:tblW w:w="5000" w:type="pct"/>
        <w:tblCellMar>
          <w:left w:w="115" w:type="dxa"/>
          <w:right w:w="115" w:type="dxa"/>
        </w:tblCellMar>
        <w:tblLook w:val="00A0" w:firstRow="1" w:lastRow="0" w:firstColumn="1" w:lastColumn="0" w:noHBand="0" w:noVBand="0"/>
      </w:tblPr>
      <w:tblGrid>
        <w:gridCol w:w="4287"/>
        <w:gridCol w:w="3176"/>
        <w:gridCol w:w="1272"/>
      </w:tblGrid>
      <w:tr w:rsidR="000924EA" w:rsidRPr="00AE4E8D" w14:paraId="4B8ED2D8" w14:textId="77777777" w:rsidTr="000400C8">
        <w:trPr>
          <w:trHeight w:val="255"/>
          <w:tblHeader/>
        </w:trPr>
        <w:tc>
          <w:tcPr>
            <w:tcW w:w="2454" w:type="pct"/>
            <w:vAlign w:val="bottom"/>
          </w:tcPr>
          <w:p w14:paraId="4AC74025" w14:textId="77777777" w:rsidR="000924EA" w:rsidRPr="00AE4E8D" w:rsidRDefault="000924EA" w:rsidP="00232C94">
            <w:pPr>
              <w:pBdr>
                <w:bottom w:val="single" w:sz="4" w:space="1" w:color="auto"/>
              </w:pBdr>
              <w:rPr>
                <w:rFonts w:ascii="Times New Roman" w:hAnsi="Times New Roman"/>
                <w:b/>
                <w:i/>
                <w:color w:val="000000"/>
                <w:lang w:val="es-ES"/>
              </w:rPr>
            </w:pPr>
            <w:r w:rsidRPr="00AE4E8D">
              <w:rPr>
                <w:rFonts w:ascii="Times New Roman" w:hAnsi="Times New Roman"/>
                <w:b/>
                <w:lang w:val="es-ES"/>
              </w:rPr>
              <w:t>Director</w:t>
            </w:r>
          </w:p>
        </w:tc>
        <w:tc>
          <w:tcPr>
            <w:tcW w:w="1818" w:type="pct"/>
            <w:vAlign w:val="bottom"/>
          </w:tcPr>
          <w:p w14:paraId="58F4A4FB" w14:textId="77777777" w:rsidR="000924EA" w:rsidRPr="00AE4E8D" w:rsidRDefault="000924EA" w:rsidP="00232C94">
            <w:pPr>
              <w:pBdr>
                <w:bottom w:val="single" w:sz="4" w:space="1" w:color="auto"/>
              </w:pBdr>
              <w:jc w:val="center"/>
              <w:rPr>
                <w:rFonts w:ascii="Times New Roman" w:hAnsi="Times New Roman"/>
                <w:b/>
                <w:i/>
                <w:color w:val="000000"/>
                <w:lang w:val="es-ES"/>
              </w:rPr>
            </w:pPr>
            <w:r w:rsidRPr="00AE4E8D">
              <w:rPr>
                <w:rFonts w:ascii="Times New Roman" w:hAnsi="Times New Roman"/>
                <w:b/>
                <w:lang w:val="es-ES"/>
              </w:rPr>
              <w:t>Número de acciones</w:t>
            </w:r>
          </w:p>
        </w:tc>
        <w:tc>
          <w:tcPr>
            <w:tcW w:w="728" w:type="pct"/>
            <w:vAlign w:val="bottom"/>
          </w:tcPr>
          <w:p w14:paraId="3C6A0D59" w14:textId="77777777" w:rsidR="000924EA" w:rsidRPr="00AE4E8D" w:rsidRDefault="000924EA" w:rsidP="00232C94">
            <w:pPr>
              <w:pBdr>
                <w:bottom w:val="single" w:sz="4" w:space="1" w:color="auto"/>
              </w:pBdr>
              <w:jc w:val="center"/>
              <w:rPr>
                <w:rFonts w:ascii="Times New Roman" w:hAnsi="Times New Roman"/>
                <w:b/>
                <w:i/>
                <w:color w:val="000000"/>
                <w:lang w:val="es-ES"/>
              </w:rPr>
            </w:pPr>
            <w:r w:rsidRPr="00AE4E8D">
              <w:rPr>
                <w:rFonts w:ascii="Times New Roman" w:hAnsi="Times New Roman"/>
                <w:b/>
                <w:lang w:val="es-ES"/>
              </w:rPr>
              <w:t>Clase</w:t>
            </w:r>
          </w:p>
        </w:tc>
      </w:tr>
      <w:tr w:rsidR="000924EA" w:rsidRPr="00AE4E8D" w14:paraId="7416ABA8" w14:textId="77777777" w:rsidTr="000400C8">
        <w:tc>
          <w:tcPr>
            <w:tcW w:w="2454" w:type="pct"/>
            <w:vAlign w:val="bottom"/>
          </w:tcPr>
          <w:p w14:paraId="413B7532" w14:textId="77777777" w:rsidR="000924EA" w:rsidRPr="00AE4E8D" w:rsidRDefault="000924EA" w:rsidP="00232C94">
            <w:pPr>
              <w:tabs>
                <w:tab w:val="right" w:leader="dot" w:pos="4473"/>
              </w:tabs>
              <w:ind w:left="144" w:right="216" w:hanging="144"/>
              <w:jc w:val="both"/>
              <w:rPr>
                <w:rFonts w:ascii="Times New Roman" w:hAnsi="Times New Roman"/>
                <w:lang w:val="es-ES"/>
              </w:rPr>
            </w:pPr>
            <w:r w:rsidRPr="00AE4E8D">
              <w:rPr>
                <w:rFonts w:ascii="Times New Roman" w:hAnsi="Times New Roman"/>
                <w:lang w:val="es-ES"/>
              </w:rPr>
              <w:t>Elsztain, Eduardo Sergio</w:t>
            </w:r>
            <w:r w:rsidRPr="00AE4E8D">
              <w:rPr>
                <w:rFonts w:ascii="Times New Roman" w:hAnsi="Times New Roman"/>
                <w:lang w:val="es-ES"/>
              </w:rPr>
              <w:tab/>
            </w:r>
          </w:p>
        </w:tc>
        <w:tc>
          <w:tcPr>
            <w:tcW w:w="1818" w:type="pct"/>
            <w:vAlign w:val="bottom"/>
          </w:tcPr>
          <w:p w14:paraId="210BD901" w14:textId="77777777" w:rsidR="000924EA" w:rsidRPr="00AE4E8D" w:rsidRDefault="000924EA" w:rsidP="00232C94">
            <w:pPr>
              <w:tabs>
                <w:tab w:val="decimal" w:pos="1773"/>
              </w:tabs>
              <w:jc w:val="right"/>
              <w:rPr>
                <w:rFonts w:ascii="Times New Roman" w:hAnsi="Times New Roman"/>
                <w:lang w:val="es-ES"/>
              </w:rPr>
            </w:pPr>
            <w:r w:rsidRPr="00AE4E8D">
              <w:rPr>
                <w:rFonts w:ascii="Times New Roman" w:hAnsi="Times New Roman"/>
                <w:lang w:val="es-ES"/>
              </w:rPr>
              <w:t>5.000</w:t>
            </w:r>
          </w:p>
        </w:tc>
        <w:tc>
          <w:tcPr>
            <w:tcW w:w="728" w:type="pct"/>
            <w:vAlign w:val="bottom"/>
          </w:tcPr>
          <w:p w14:paraId="5E90CD09" w14:textId="77777777" w:rsidR="000924EA" w:rsidRPr="00AE4E8D" w:rsidRDefault="000924EA" w:rsidP="00232C94">
            <w:pPr>
              <w:jc w:val="center"/>
              <w:rPr>
                <w:rFonts w:ascii="Times New Roman" w:hAnsi="Times New Roman"/>
                <w:lang w:val="es-ES"/>
              </w:rPr>
            </w:pPr>
            <w:r w:rsidRPr="00AE4E8D">
              <w:rPr>
                <w:rFonts w:ascii="Times New Roman" w:hAnsi="Times New Roman"/>
                <w:lang w:val="es-ES"/>
              </w:rPr>
              <w:t>D</w:t>
            </w:r>
          </w:p>
        </w:tc>
      </w:tr>
      <w:tr w:rsidR="000924EA" w:rsidRPr="00AE4E8D" w14:paraId="0FD10959" w14:textId="77777777" w:rsidTr="000400C8">
        <w:trPr>
          <w:trHeight w:val="255"/>
        </w:trPr>
        <w:tc>
          <w:tcPr>
            <w:tcW w:w="2454" w:type="pct"/>
            <w:vAlign w:val="bottom"/>
          </w:tcPr>
          <w:p w14:paraId="24C4409F" w14:textId="77777777" w:rsidR="000924EA" w:rsidRPr="00AE4E8D" w:rsidRDefault="000924EA" w:rsidP="00232C94">
            <w:pPr>
              <w:tabs>
                <w:tab w:val="right" w:leader="dot" w:pos="4473"/>
              </w:tabs>
              <w:ind w:left="144" w:right="216" w:hanging="144"/>
              <w:jc w:val="both"/>
              <w:rPr>
                <w:rFonts w:ascii="Times New Roman" w:hAnsi="Times New Roman"/>
                <w:lang w:val="es-ES"/>
              </w:rPr>
            </w:pPr>
            <w:r w:rsidRPr="00AE4E8D">
              <w:rPr>
                <w:rFonts w:ascii="Times New Roman" w:hAnsi="Times New Roman"/>
                <w:lang w:val="es-ES"/>
              </w:rPr>
              <w:t>Vergara del Carril, Pablo</w:t>
            </w:r>
            <w:r w:rsidRPr="00AE4E8D">
              <w:rPr>
                <w:rFonts w:ascii="Times New Roman" w:hAnsi="Times New Roman"/>
                <w:lang w:val="es-ES"/>
              </w:rPr>
              <w:tab/>
            </w:r>
          </w:p>
        </w:tc>
        <w:tc>
          <w:tcPr>
            <w:tcW w:w="1818" w:type="pct"/>
            <w:vAlign w:val="bottom"/>
          </w:tcPr>
          <w:p w14:paraId="17EFDF84" w14:textId="77777777" w:rsidR="000924EA" w:rsidRPr="00AE4E8D" w:rsidRDefault="000924EA" w:rsidP="00232C94">
            <w:pPr>
              <w:tabs>
                <w:tab w:val="decimal" w:pos="1773"/>
              </w:tabs>
              <w:jc w:val="right"/>
              <w:rPr>
                <w:rFonts w:ascii="Times New Roman" w:hAnsi="Times New Roman"/>
                <w:lang w:val="es-ES"/>
              </w:rPr>
            </w:pPr>
            <w:r w:rsidRPr="00AE4E8D">
              <w:rPr>
                <w:rFonts w:ascii="Times New Roman" w:hAnsi="Times New Roman"/>
                <w:lang w:val="es-ES"/>
              </w:rPr>
              <w:t>27.000</w:t>
            </w:r>
          </w:p>
        </w:tc>
        <w:tc>
          <w:tcPr>
            <w:tcW w:w="728" w:type="pct"/>
            <w:vAlign w:val="bottom"/>
          </w:tcPr>
          <w:p w14:paraId="685E96EE" w14:textId="77777777" w:rsidR="000924EA" w:rsidRPr="00AE4E8D" w:rsidRDefault="000924EA" w:rsidP="00232C94">
            <w:pPr>
              <w:jc w:val="center"/>
              <w:rPr>
                <w:rFonts w:ascii="Times New Roman" w:hAnsi="Times New Roman"/>
                <w:lang w:val="es-ES"/>
              </w:rPr>
            </w:pPr>
            <w:r w:rsidRPr="00AE4E8D">
              <w:rPr>
                <w:rFonts w:ascii="Times New Roman" w:hAnsi="Times New Roman"/>
                <w:lang w:val="es-ES"/>
              </w:rPr>
              <w:t>D</w:t>
            </w:r>
          </w:p>
        </w:tc>
      </w:tr>
      <w:tr w:rsidR="000924EA" w:rsidRPr="00AE4E8D" w14:paraId="39133F3F" w14:textId="77777777" w:rsidTr="000400C8">
        <w:trPr>
          <w:trHeight w:val="255"/>
        </w:trPr>
        <w:tc>
          <w:tcPr>
            <w:tcW w:w="2454" w:type="pct"/>
            <w:vAlign w:val="bottom"/>
          </w:tcPr>
          <w:p w14:paraId="6160497C" w14:textId="77777777" w:rsidR="000924EA" w:rsidRPr="00AE4E8D" w:rsidRDefault="000924EA" w:rsidP="00232C94">
            <w:pPr>
              <w:tabs>
                <w:tab w:val="right" w:leader="dot" w:pos="4473"/>
              </w:tabs>
              <w:ind w:left="144" w:right="216" w:hanging="144"/>
              <w:jc w:val="both"/>
              <w:rPr>
                <w:rFonts w:ascii="Times New Roman" w:hAnsi="Times New Roman"/>
                <w:lang w:val="es-ES"/>
              </w:rPr>
            </w:pPr>
            <w:r w:rsidRPr="00AE4E8D">
              <w:rPr>
                <w:rFonts w:ascii="Times New Roman" w:hAnsi="Times New Roman"/>
                <w:lang w:val="es-ES"/>
              </w:rPr>
              <w:t>Ocampo, Andrés</w:t>
            </w:r>
            <w:r w:rsidRPr="00AE4E8D">
              <w:rPr>
                <w:rFonts w:ascii="Times New Roman" w:hAnsi="Times New Roman"/>
                <w:lang w:val="es-ES"/>
              </w:rPr>
              <w:tab/>
            </w:r>
          </w:p>
        </w:tc>
        <w:tc>
          <w:tcPr>
            <w:tcW w:w="1818" w:type="pct"/>
            <w:vAlign w:val="bottom"/>
          </w:tcPr>
          <w:p w14:paraId="45F0160E" w14:textId="77777777" w:rsidR="000924EA" w:rsidRPr="00AE4E8D" w:rsidRDefault="000924EA" w:rsidP="00232C94">
            <w:pPr>
              <w:tabs>
                <w:tab w:val="decimal" w:pos="1773"/>
              </w:tabs>
              <w:jc w:val="right"/>
              <w:rPr>
                <w:rFonts w:ascii="Times New Roman" w:hAnsi="Times New Roman"/>
                <w:lang w:val="es-ES"/>
              </w:rPr>
            </w:pPr>
            <w:r w:rsidRPr="00AE4E8D">
              <w:rPr>
                <w:rFonts w:ascii="Times New Roman" w:hAnsi="Times New Roman"/>
                <w:lang w:val="es-ES"/>
              </w:rPr>
              <w:t>100</w:t>
            </w:r>
          </w:p>
        </w:tc>
        <w:tc>
          <w:tcPr>
            <w:tcW w:w="728" w:type="pct"/>
            <w:vAlign w:val="bottom"/>
          </w:tcPr>
          <w:p w14:paraId="268AE22A" w14:textId="77777777" w:rsidR="000924EA" w:rsidRPr="00AE4E8D" w:rsidRDefault="000924EA" w:rsidP="00232C94">
            <w:pPr>
              <w:jc w:val="center"/>
              <w:rPr>
                <w:rFonts w:ascii="Times New Roman" w:hAnsi="Times New Roman"/>
                <w:lang w:val="es-ES"/>
              </w:rPr>
            </w:pPr>
            <w:r w:rsidRPr="00AE4E8D">
              <w:rPr>
                <w:rFonts w:ascii="Times New Roman" w:hAnsi="Times New Roman"/>
                <w:lang w:val="es-ES"/>
              </w:rPr>
              <w:t>D</w:t>
            </w:r>
          </w:p>
        </w:tc>
      </w:tr>
    </w:tbl>
    <w:p w14:paraId="326E337F" w14:textId="77777777" w:rsidR="000924EA" w:rsidRPr="00AE4E8D" w:rsidRDefault="000924EA" w:rsidP="000924EA">
      <w:pPr>
        <w:keepNext/>
        <w:autoSpaceDE w:val="0"/>
        <w:autoSpaceDN w:val="0"/>
        <w:adjustRightInd w:val="0"/>
        <w:spacing w:before="240" w:after="240"/>
        <w:outlineLvl w:val="2"/>
        <w:rPr>
          <w:rFonts w:ascii="Times New Roman" w:hAnsi="Times New Roman"/>
          <w:b/>
          <w:lang w:val="es-ES"/>
        </w:rPr>
      </w:pPr>
      <w:r w:rsidRPr="00AE4E8D">
        <w:rPr>
          <w:rFonts w:ascii="Times New Roman" w:hAnsi="Times New Roman"/>
          <w:b/>
          <w:lang w:val="es-ES"/>
        </w:rPr>
        <w:t xml:space="preserve">Contratos de Trabajo con Directores </w:t>
      </w:r>
    </w:p>
    <w:p w14:paraId="48BA6049" w14:textId="77777777" w:rsidR="000924EA" w:rsidRPr="00AE4E8D" w:rsidRDefault="000924EA" w:rsidP="000924EA">
      <w:pPr>
        <w:pStyle w:val="BHTexto"/>
        <w:rPr>
          <w:lang w:val="es-ES"/>
        </w:rPr>
      </w:pPr>
      <w:r w:rsidRPr="00AE4E8D">
        <w:rPr>
          <w:lang w:val="es-ES"/>
        </w:rPr>
        <w:t>Hemos celebrado contratos de trabajo con uno de nuestros directores titulares. El director Ernesto Manuel Viñes desempeña funciones ejecutivas y/o administrativas, por lo que se lo considera nuestro empleado.</w:t>
      </w:r>
    </w:p>
    <w:p w14:paraId="310C9F7F" w14:textId="77777777" w:rsidR="000924EA" w:rsidRPr="00AE4E8D" w:rsidRDefault="000924EA" w:rsidP="000924EA">
      <w:pPr>
        <w:keepNext/>
        <w:autoSpaceDE w:val="0"/>
        <w:autoSpaceDN w:val="0"/>
        <w:adjustRightInd w:val="0"/>
        <w:spacing w:before="240" w:after="240"/>
        <w:outlineLvl w:val="2"/>
        <w:rPr>
          <w:rFonts w:ascii="Times New Roman" w:hAnsi="Times New Roman"/>
          <w:b/>
          <w:lang w:val="es-ES"/>
        </w:rPr>
      </w:pPr>
      <w:r w:rsidRPr="00AE4E8D">
        <w:rPr>
          <w:rFonts w:ascii="Times New Roman" w:hAnsi="Times New Roman"/>
          <w:b/>
          <w:lang w:val="es-ES"/>
        </w:rPr>
        <w:t>Comité Ejecutivo</w:t>
      </w:r>
    </w:p>
    <w:p w14:paraId="4C4F8FD8" w14:textId="77777777" w:rsidR="000924EA" w:rsidRPr="00AE4E8D" w:rsidRDefault="000924EA" w:rsidP="000924EA">
      <w:pPr>
        <w:pStyle w:val="BHTexto"/>
        <w:rPr>
          <w:color w:val="000000"/>
          <w:lang w:val="es-ES"/>
        </w:rPr>
      </w:pPr>
      <w:r w:rsidRPr="00AE4E8D">
        <w:rPr>
          <w:color w:val="000000"/>
          <w:lang w:val="es-ES"/>
        </w:rPr>
        <w:t xml:space="preserve">El Estatuto social contempla en su artículo 19, el funcionamiento de un Comité Ejecutivo. </w:t>
      </w:r>
      <w:r w:rsidRPr="00AE4E8D">
        <w:rPr>
          <w:lang w:val="es-ES"/>
        </w:rPr>
        <w:t xml:space="preserve">El objeto general del Comité Ejecutivo es supervisar el giro ordinario de nuestros negocios y está compuesto de entre un mínimo de cinco y un máximo de nueve directores elegidos por los accionistas Clase D y una cantidad igual o menor de directores suplentes de la misma clase de acciones que determine el Directorio. </w:t>
      </w:r>
      <w:r w:rsidRPr="00AE4E8D">
        <w:rPr>
          <w:color w:val="000000"/>
          <w:lang w:val="es-ES"/>
        </w:rPr>
        <w:t>A su vez, cuando fuera convocado al mismo podrá participar el Gerente General con voz pero sin voto.</w:t>
      </w:r>
    </w:p>
    <w:p w14:paraId="234E40F7" w14:textId="77777777" w:rsidR="000924EA" w:rsidRPr="00AE4E8D" w:rsidRDefault="000924EA" w:rsidP="000924EA">
      <w:pPr>
        <w:pStyle w:val="BHTexto"/>
        <w:rPr>
          <w:color w:val="000000"/>
          <w:lang w:val="es-ES"/>
        </w:rPr>
      </w:pPr>
      <w:r w:rsidRPr="00AE4E8D">
        <w:rPr>
          <w:color w:val="000000"/>
          <w:lang w:val="es-ES"/>
        </w:rPr>
        <w:lastRenderedPageBreak/>
        <w:t>La designación de los miembros del Comité Ejecutivo así como cualquier modificación en la integración de éste, ya fuere por renuncia, licencia, incorporación o sustitución de sus miembros, o cualquier otra causa, una vez considerada por el Directorio debe ser comunicada al BCRA y a la CNV en los plazos establecidos en la normativa vigente.</w:t>
      </w:r>
    </w:p>
    <w:p w14:paraId="0C1F0200" w14:textId="77777777" w:rsidR="000924EA" w:rsidRPr="00AE4E8D" w:rsidRDefault="000924EA" w:rsidP="000924EA">
      <w:pPr>
        <w:pStyle w:val="BHTexto"/>
        <w:rPr>
          <w:color w:val="000000"/>
          <w:lang w:val="es-ES"/>
        </w:rPr>
      </w:pPr>
      <w:r w:rsidRPr="00AE4E8D">
        <w:rPr>
          <w:color w:val="000000"/>
          <w:lang w:val="es-ES"/>
        </w:rPr>
        <w:t>El Comité Ejecutivo debe reunirse al menos una vez al mes y toda vez que el presidente del Directorio convoque a reunión y tendrá conforme a nuestro Estatuto, los deberes y facultades que en el mismo se describen y que se detallan en el “Reglamento de Funcionamiento del Comité Ejecutivo” que se enuncia en el Código de Gobierno Societario.</w:t>
      </w:r>
    </w:p>
    <w:p w14:paraId="1C9C6B4E" w14:textId="77777777" w:rsidR="000924EA" w:rsidRPr="00AE4E8D" w:rsidRDefault="000924EA" w:rsidP="000924EA">
      <w:pPr>
        <w:pStyle w:val="BHTexto"/>
        <w:rPr>
          <w:lang w:val="es-ES"/>
        </w:rPr>
      </w:pPr>
      <w:r w:rsidRPr="00AE4E8D">
        <w:rPr>
          <w:lang w:val="es-ES"/>
        </w:rPr>
        <w:t>Conforme a nuestro Estatuto, los deberes y facultades del Comité Ejecutivo incluyen (i) dirigir el giro ordinario de nuestras actividades así como cualquier asunto delegado al mismo por el Directorio; (ii) desarrollar políticas comerciales, crediticias y financieras sujeto a la aprobación del Directorio; (iii) crear, mantener y reestructurar nuestra administración; (iv) crear comités especiales, aprobar su estructura o nivel de funciones y determinar el alcance de sus funciones; (v) nombrar gerentes generales, el vicepresidente ejecutivo y otros miembros de la Gerencia Senior; (vi) proponer al Directorio la creación de sucursales, agencias u oficinas representativas dentro o fuera de Argentina, (vii) supervisar la administración de nuestras subsidiarias; (viii) presentar para la consideración del Directorio régimen de contrataciones, presupuestos anuales, estimaciones de gastos e inversiones, niveles de endeudamiento necesarios y planes de acción; (ix) aprobar novaciones, refinanciaciones, remisiones de deuda, etc., cuando sea necesario para el giro ordinario de nuestros negocios sociales; y (x) dictar su propio reglamento interno.</w:t>
      </w:r>
    </w:p>
    <w:p w14:paraId="37CD56BE" w14:textId="77777777" w:rsidR="000924EA" w:rsidRPr="00AE4E8D" w:rsidRDefault="000924EA" w:rsidP="000924EA">
      <w:pPr>
        <w:pStyle w:val="BHTexto"/>
        <w:rPr>
          <w:color w:val="000000"/>
          <w:lang w:val="es-ES"/>
        </w:rPr>
      </w:pPr>
      <w:r w:rsidRPr="00AE4E8D">
        <w:rPr>
          <w:color w:val="000000"/>
          <w:lang w:val="es-ES"/>
        </w:rPr>
        <w:t>Los actuales miembros del Comité Ejecutivo son:</w:t>
      </w:r>
    </w:p>
    <w:tbl>
      <w:tblPr>
        <w:tblW w:w="5000" w:type="pct"/>
        <w:tblLook w:val="00A0" w:firstRow="1" w:lastRow="0" w:firstColumn="1" w:lastColumn="0" w:noHBand="0" w:noVBand="0"/>
      </w:tblPr>
      <w:tblGrid>
        <w:gridCol w:w="4360"/>
        <w:gridCol w:w="4361"/>
      </w:tblGrid>
      <w:tr w:rsidR="000924EA" w:rsidRPr="00AE4E8D" w14:paraId="081D5F9A" w14:textId="77777777" w:rsidTr="000400C8">
        <w:trPr>
          <w:tblHeader/>
        </w:trPr>
        <w:tc>
          <w:tcPr>
            <w:tcW w:w="2500" w:type="pct"/>
          </w:tcPr>
          <w:p w14:paraId="5B8594D5" w14:textId="77777777" w:rsidR="000924EA" w:rsidRPr="00AE4E8D" w:rsidRDefault="000924EA" w:rsidP="00232C94">
            <w:pPr>
              <w:pBdr>
                <w:bottom w:val="single" w:sz="4" w:space="0" w:color="auto"/>
              </w:pBdr>
              <w:rPr>
                <w:rFonts w:ascii="Times New Roman" w:hAnsi="Times New Roman"/>
                <w:b/>
                <w:lang w:val="es-ES"/>
              </w:rPr>
            </w:pPr>
            <w:r w:rsidRPr="00AE4E8D">
              <w:rPr>
                <w:rFonts w:ascii="Times New Roman" w:hAnsi="Times New Roman"/>
                <w:b/>
                <w:lang w:val="es-ES"/>
              </w:rPr>
              <w:t>Nombre</w:t>
            </w:r>
          </w:p>
        </w:tc>
        <w:tc>
          <w:tcPr>
            <w:tcW w:w="2500" w:type="pct"/>
          </w:tcPr>
          <w:p w14:paraId="2EAB991B" w14:textId="77777777" w:rsidR="000924EA" w:rsidRPr="00AE4E8D" w:rsidRDefault="000924EA" w:rsidP="00232C94">
            <w:pPr>
              <w:pBdr>
                <w:bottom w:val="single" w:sz="4" w:space="0" w:color="auto"/>
              </w:pBdr>
              <w:rPr>
                <w:rFonts w:ascii="Times New Roman" w:hAnsi="Times New Roman"/>
                <w:b/>
                <w:lang w:val="es-ES"/>
              </w:rPr>
            </w:pPr>
            <w:r w:rsidRPr="00AE4E8D">
              <w:rPr>
                <w:rFonts w:ascii="Times New Roman" w:hAnsi="Times New Roman"/>
                <w:b/>
                <w:lang w:val="es-ES"/>
              </w:rPr>
              <w:t>Cargo</w:t>
            </w:r>
          </w:p>
        </w:tc>
      </w:tr>
      <w:tr w:rsidR="000924EA" w:rsidRPr="00AE4E8D" w14:paraId="3EC737A5" w14:textId="77777777" w:rsidTr="000400C8">
        <w:tc>
          <w:tcPr>
            <w:tcW w:w="2500" w:type="pct"/>
          </w:tcPr>
          <w:p w14:paraId="69E952A9" w14:textId="77777777" w:rsidR="000924EA" w:rsidRPr="00AE4E8D" w:rsidRDefault="000924EA" w:rsidP="00232C94">
            <w:pPr>
              <w:tabs>
                <w:tab w:val="right" w:leader="do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Eduardo Sergio Elsztain</w:t>
            </w:r>
          </w:p>
        </w:tc>
        <w:tc>
          <w:tcPr>
            <w:tcW w:w="2500" w:type="pct"/>
          </w:tcPr>
          <w:p w14:paraId="371514AE" w14:textId="77777777" w:rsidR="000924EA" w:rsidRPr="00AE4E8D" w:rsidRDefault="000924EA" w:rsidP="00232C94">
            <w:pPr>
              <w:rPr>
                <w:rFonts w:ascii="Times New Roman" w:hAnsi="Times New Roman"/>
                <w:lang w:val="es-ES"/>
              </w:rPr>
            </w:pPr>
            <w:r w:rsidRPr="00AE4E8D">
              <w:rPr>
                <w:rFonts w:ascii="Times New Roman" w:hAnsi="Times New Roman"/>
                <w:lang w:val="es-ES"/>
              </w:rPr>
              <w:t>Presidente</w:t>
            </w:r>
          </w:p>
        </w:tc>
      </w:tr>
      <w:tr w:rsidR="000924EA" w:rsidRPr="00AE4E8D" w14:paraId="5A55EAC5" w14:textId="77777777" w:rsidTr="000400C8">
        <w:tc>
          <w:tcPr>
            <w:tcW w:w="2500" w:type="pct"/>
          </w:tcPr>
          <w:p w14:paraId="7BAE8603"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Saúl Zang</w:t>
            </w:r>
          </w:p>
        </w:tc>
        <w:tc>
          <w:tcPr>
            <w:tcW w:w="2500" w:type="pct"/>
          </w:tcPr>
          <w:p w14:paraId="71580F75" w14:textId="77777777" w:rsidR="000924EA" w:rsidRPr="00AE4E8D" w:rsidRDefault="000924EA" w:rsidP="00232C94">
            <w:pPr>
              <w:rPr>
                <w:rFonts w:ascii="Times New Roman" w:hAnsi="Times New Roman"/>
                <w:lang w:val="es-ES"/>
              </w:rPr>
            </w:pPr>
            <w:r w:rsidRPr="00AE4E8D">
              <w:rPr>
                <w:rFonts w:ascii="Times New Roman" w:hAnsi="Times New Roman"/>
                <w:lang w:val="es-ES"/>
              </w:rPr>
              <w:t>Miembro titular</w:t>
            </w:r>
          </w:p>
        </w:tc>
      </w:tr>
      <w:tr w:rsidR="000924EA" w:rsidRPr="00AE4E8D" w14:paraId="3D972A34" w14:textId="77777777" w:rsidTr="000400C8">
        <w:tc>
          <w:tcPr>
            <w:tcW w:w="2500" w:type="pct"/>
          </w:tcPr>
          <w:p w14:paraId="2D1C7DBB"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Mario Blejer</w:t>
            </w:r>
          </w:p>
        </w:tc>
        <w:tc>
          <w:tcPr>
            <w:tcW w:w="2500" w:type="pct"/>
          </w:tcPr>
          <w:p w14:paraId="39103392"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Miembro titular</w:t>
            </w:r>
          </w:p>
        </w:tc>
      </w:tr>
      <w:tr w:rsidR="000924EA" w:rsidRPr="00AE4E8D" w14:paraId="7BD94CFE" w14:textId="77777777" w:rsidTr="000400C8">
        <w:tc>
          <w:tcPr>
            <w:tcW w:w="2500" w:type="pct"/>
          </w:tcPr>
          <w:p w14:paraId="6B3ACF46"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Ernesto Manuel Viñes</w:t>
            </w:r>
          </w:p>
        </w:tc>
        <w:tc>
          <w:tcPr>
            <w:tcW w:w="2500" w:type="pct"/>
          </w:tcPr>
          <w:p w14:paraId="4A2EAE16"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Miembro titular</w:t>
            </w:r>
          </w:p>
        </w:tc>
      </w:tr>
      <w:tr w:rsidR="000924EA" w:rsidRPr="00AE4E8D" w14:paraId="30B3669D" w14:textId="77777777" w:rsidTr="000400C8">
        <w:tc>
          <w:tcPr>
            <w:tcW w:w="2500" w:type="pct"/>
          </w:tcPr>
          <w:p w14:paraId="5A6BA5A8"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Pablo Daniel Vergara del Carril</w:t>
            </w:r>
          </w:p>
        </w:tc>
        <w:tc>
          <w:tcPr>
            <w:tcW w:w="2500" w:type="pct"/>
          </w:tcPr>
          <w:p w14:paraId="6EBF01C2"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Miembro titular</w:t>
            </w:r>
          </w:p>
        </w:tc>
      </w:tr>
      <w:tr w:rsidR="000924EA" w:rsidRPr="00AE4E8D" w14:paraId="7AD34564" w14:textId="77777777" w:rsidTr="000400C8">
        <w:tc>
          <w:tcPr>
            <w:tcW w:w="2500" w:type="pct"/>
          </w:tcPr>
          <w:p w14:paraId="6D7467AE"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Gabriel Adolfo Gregorio Reznik</w:t>
            </w:r>
          </w:p>
        </w:tc>
        <w:tc>
          <w:tcPr>
            <w:tcW w:w="2500" w:type="pct"/>
          </w:tcPr>
          <w:p w14:paraId="25BA6577"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Miembro titular</w:t>
            </w:r>
          </w:p>
        </w:tc>
      </w:tr>
      <w:tr w:rsidR="000924EA" w:rsidRPr="00AE4E8D" w14:paraId="50186382" w14:textId="77777777" w:rsidTr="000400C8">
        <w:tc>
          <w:tcPr>
            <w:tcW w:w="2500" w:type="pct"/>
          </w:tcPr>
          <w:p w14:paraId="161A1241"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Mauricio Elías Wior</w:t>
            </w:r>
          </w:p>
        </w:tc>
        <w:tc>
          <w:tcPr>
            <w:tcW w:w="2500" w:type="pct"/>
          </w:tcPr>
          <w:p w14:paraId="013B0416" w14:textId="77777777" w:rsidR="000924EA" w:rsidRPr="00AE4E8D" w:rsidRDefault="000924EA" w:rsidP="00232C94">
            <w:pPr>
              <w:tabs>
                <w:tab w:val="left" w:pos="0"/>
                <w:tab w:val="right" w:leader="dot" w:pos="4560"/>
              </w:tabs>
              <w:spacing w:before="100" w:beforeAutospacing="1" w:after="100" w:afterAutospacing="1"/>
              <w:ind w:left="144" w:right="144" w:hanging="144"/>
              <w:rPr>
                <w:rFonts w:ascii="Times New Roman" w:hAnsi="Times New Roman"/>
                <w:lang w:val="es-ES"/>
              </w:rPr>
            </w:pPr>
            <w:r w:rsidRPr="00AE4E8D">
              <w:rPr>
                <w:rFonts w:ascii="Times New Roman" w:hAnsi="Times New Roman"/>
                <w:lang w:val="es-ES"/>
              </w:rPr>
              <w:t>Miembro suplente</w:t>
            </w:r>
          </w:p>
        </w:tc>
      </w:tr>
    </w:tbl>
    <w:p w14:paraId="52AE4FD0" w14:textId="77777777" w:rsidR="000924EA" w:rsidRPr="00AE4E8D" w:rsidRDefault="000924EA" w:rsidP="000924EA">
      <w:pPr>
        <w:keepNext/>
        <w:autoSpaceDE w:val="0"/>
        <w:autoSpaceDN w:val="0"/>
        <w:adjustRightInd w:val="0"/>
        <w:spacing w:before="240" w:after="240"/>
        <w:outlineLvl w:val="2"/>
        <w:rPr>
          <w:rFonts w:ascii="Times New Roman" w:hAnsi="Times New Roman"/>
          <w:b/>
          <w:w w:val="0"/>
          <w:lang w:val="es-ES"/>
        </w:rPr>
      </w:pPr>
      <w:r w:rsidRPr="00AE4E8D">
        <w:rPr>
          <w:rFonts w:ascii="Times New Roman" w:hAnsi="Times New Roman"/>
          <w:b/>
          <w:w w:val="0"/>
          <w:lang w:val="es-ES"/>
        </w:rPr>
        <w:t>Elección de los Directores y Reuniones de Directorio</w:t>
      </w:r>
    </w:p>
    <w:p w14:paraId="0438BED9" w14:textId="77777777" w:rsidR="000924EA" w:rsidRPr="00AE4E8D" w:rsidRDefault="000924EA" w:rsidP="000924EA">
      <w:pPr>
        <w:pStyle w:val="BHTexto"/>
        <w:rPr>
          <w:lang w:val="es-ES"/>
        </w:rPr>
      </w:pPr>
      <w:r w:rsidRPr="00AE4E8D">
        <w:rPr>
          <w:lang w:val="es-ES"/>
        </w:rPr>
        <w:t>Nuestros directores serán designados por períodos escalonados de dos años, salvo que se los designe para reemplazar a un director previamente designado. Luego de la implementación del Programa de Propiedad Participada (“</w:t>
      </w:r>
      <w:r w:rsidRPr="00AE4E8D">
        <w:rPr>
          <w:u w:val="single"/>
          <w:lang w:val="es-ES"/>
        </w:rPr>
        <w:t>PPP</w:t>
      </w:r>
      <w:r w:rsidRPr="00AE4E8D">
        <w:rPr>
          <w:lang w:val="es-ES"/>
        </w:rPr>
        <w:t xml:space="preserve">”), los tenedores de acciones Clase B tendrán derecho a elegir a un director titular y a un suplente, mientras dichas acciones representen más del 2,0% de nuestro capital accionario en circulación en la fecha de convocatoria de la asamblea de Accionistas. Al producirse la transferencia de las acciones Clase C a determinadas empresas dedicadas a la construcción de viviendas o a actividades inmobiliarias, los tenedores de acciones Clase C tendrán derecho a elegir a un director titular y a un suplente mientras dichas acciones representen más del 3,0% de nuestro capital en circulación en la fecha de convocatoria de la asamblea de accionistas. Hasta que se cumplan las condiciones antedichas, dichos </w:t>
      </w:r>
      <w:proofErr w:type="gramStart"/>
      <w:r w:rsidRPr="00AE4E8D">
        <w:rPr>
          <w:lang w:val="es-ES"/>
        </w:rPr>
        <w:t>directores</w:t>
      </w:r>
      <w:proofErr w:type="gramEnd"/>
      <w:r w:rsidRPr="00AE4E8D">
        <w:rPr>
          <w:lang w:val="es-ES"/>
        </w:rPr>
        <w:t xml:space="preserve"> serán elegidos por el gobierno Nacional. Si el porcentaje de nuestro capital representado por acciones Clase B o Clase C se reduce al 2,0% o 3,0% o menos, respectivamente, los tenedores de dichas clases tendrán derecho a votar conjuntamente con los accionistas Clase D. Los tenedores de acciones Clase D tienen derecho a elegir nueve directores y sus respectivos suplentes. En tanto, como mínimo una acción Clase A se encuentre en circulación, los tenedores de esa clase tendrán derecho a elegir dos directores titulares y dos suplentes.</w:t>
      </w:r>
    </w:p>
    <w:p w14:paraId="0FFE4DF9" w14:textId="77777777" w:rsidR="000924EA" w:rsidRPr="00AE4E8D" w:rsidRDefault="000924EA" w:rsidP="000924EA">
      <w:pPr>
        <w:pStyle w:val="BHTexto"/>
        <w:rPr>
          <w:lang w:val="es-ES"/>
        </w:rPr>
      </w:pPr>
      <w:r w:rsidRPr="00AE4E8D">
        <w:rPr>
          <w:lang w:val="es-ES"/>
        </w:rPr>
        <w:t>En general, los directores son designados por el voto de la mayoría dentro de cada clase de acciones. La determinación del porcentaje de nuestro capital representado por cada clase de acciones se efectuará en cada caso en relación con el capital en circulación a la fecha de la asamblea de accionistas en la cual se celebrará la elección en cuestión. En caso de que no se encuentre representada ninguna acción de una clase determinada en una asamblea de accionistas en segunda convocatoria a efectos de elegir directores, los directores titulares y suplentes que dicha clase tenga derecho a designar serán elegidos por los tenedores de las otras clases de acciones que votarán como una única clase, salvo cuando no asista ningún accionista en una asamblea de accionistas Clase A, en cuyo caso los miembros de la Comisión Fiscalizadora elegidos por los accionistas Clase A designarán a los directores titulares y suplentes que los tenedores de acciones Clase A tengan derecho a designar.</w:t>
      </w:r>
    </w:p>
    <w:p w14:paraId="2A01F358" w14:textId="77777777" w:rsidR="000924EA" w:rsidRPr="00AE4E8D" w:rsidRDefault="000924EA" w:rsidP="000924EA">
      <w:pPr>
        <w:pStyle w:val="BHTexto"/>
        <w:rPr>
          <w:lang w:val="es-ES"/>
        </w:rPr>
      </w:pPr>
      <w:r w:rsidRPr="00AE4E8D">
        <w:rPr>
          <w:lang w:val="es-ES"/>
        </w:rPr>
        <w:lastRenderedPageBreak/>
        <w:t>Cualquiera o todos los directores elegidos por los tenedores de una clase determinada de acciones podrán ser removidos sin causa por mayoría simple de las acciones de dicha clase presentes en una asamblea ordinaria de accionistas, siempre que dicha remoción esté prevista en el orden del día de dicha asamblea. Cualesquiera directores removidos de esta manera serán reemplazados por suplentes de la misma clase en el orden en que hayan sido elegidos dichos suplentes, hasta que se haya celebrado una elección para su reemplazo (esta elección podrá tener lugar en la misma asamblea en que se dispone la remoción).</w:t>
      </w:r>
    </w:p>
    <w:p w14:paraId="27E13F0D" w14:textId="77777777" w:rsidR="000924EA" w:rsidRPr="00AE4E8D" w:rsidRDefault="000924EA" w:rsidP="000924EA">
      <w:pPr>
        <w:pStyle w:val="BHTexto"/>
        <w:rPr>
          <w:lang w:val="es-ES"/>
        </w:rPr>
      </w:pPr>
      <w:r w:rsidRPr="00AE4E8D">
        <w:rPr>
          <w:lang w:val="es-ES"/>
        </w:rPr>
        <w:t>Cualquier accionista o grupo de accionistas que sea titular de más del 3,0% de las acciones Clase D podrá exigir que enviemos una lista de candidatos para la elección de directores de dicha clase, propuesta por dicho accionista o grupo a cada tenedor de acciones Clase D. Por otra parte, el Directorio podrá proponer una lista de candidatos para la elección de directores por cada clase de acciones, y dicha lista será enviada a cada tenedor de acciones juntamente con cualquiera de las listas propuestas por los accionistas según se describe en la oración anterior. Cualquier accionista presente en una asamblea podrá proponer candidatos para que sean elegidos como directores. Si cualquier accionista se opusiere a la elección de directores por el sistema de lista completa, todos los directores serán elegidos en forma individual, y se considerará que cada candidato incluido en una lista ha sido nominado en forma individual. Si ninguna lista de candidatos o candidato individual, según corresponda, obtiene la mayoría de los votos Clase D presentes en la asamblea, los accionistas Clase D elegirán a una de las dos listas o candidatos individuales, según corresponda, que hayan obtenido más votos en la elección anterior.</w:t>
      </w:r>
    </w:p>
    <w:p w14:paraId="073CA586" w14:textId="77777777" w:rsidR="000924EA" w:rsidRPr="00AE4E8D" w:rsidRDefault="000924EA" w:rsidP="000924EA">
      <w:pPr>
        <w:pStyle w:val="BHTexto"/>
        <w:rPr>
          <w:lang w:val="es-ES"/>
        </w:rPr>
      </w:pPr>
      <w:r w:rsidRPr="00AE4E8D">
        <w:rPr>
          <w:lang w:val="es-ES"/>
        </w:rPr>
        <w:t>La ley exige que la mayoría de nuestros directores sean residentes de la Argentina. Todos los directores deben constituir domicilio legal en Argentina para el envío de notificaciones referidas a sus funciones. Además los directores deben reunir ciertos requisitos de idoneidad y experiencia impuestos por el BCRA antes de obtener la aprobación para iniciar su mandato.</w:t>
      </w:r>
    </w:p>
    <w:p w14:paraId="3CA6CA51" w14:textId="77777777" w:rsidR="000924EA" w:rsidRPr="00AE4E8D" w:rsidRDefault="000924EA" w:rsidP="000924EA">
      <w:pPr>
        <w:pStyle w:val="BHTexto"/>
        <w:rPr>
          <w:b/>
          <w:lang w:val="es-ES"/>
        </w:rPr>
      </w:pPr>
      <w:r w:rsidRPr="00AE4E8D">
        <w:rPr>
          <w:lang w:val="es-ES"/>
        </w:rPr>
        <w:t>El Estatuto exige que el Directorio y el Comité Ejecutivo se reúnan por lo menos una vez al mes. El presidente del Directorio podrá convocar a reunión de Directorio en cualquier momento y deberá convocar a dicha reunión cuando cualquier director así lo requiera. El Directorio sesiona con la participación de la mayoría de sus miembros, y en caso de que no se cuente con dicho quórum una hora después de la hora fijada para una reunión convocada regularmente, el presidente, o quien actúe en su lugar en dicha reunión, podrá invitar a los suplentes de la misma clase a la que pertenecen los directores ausentes a incorporarse a la reunión a fin de alcanzar el quórum mínimo. Las resoluciones deben ser adoptadas por la mayoría de los directores presentes (salvo en caso de que el director tenga un conflicto de intereses con la sociedad), no obstante, el presidente, o quien actúe en su lugar, tendrá derecho a emitir el voto decisivo en caso de empate. Debido a que existe elección de directores por clase, no existe voto acumulativo para la elección de directores, en tanto existan distintas clases de acciones.</w:t>
      </w:r>
    </w:p>
    <w:p w14:paraId="65AC4796" w14:textId="77777777" w:rsidR="000924EA" w:rsidRPr="00AE4E8D" w:rsidRDefault="000924EA" w:rsidP="000924EA">
      <w:pPr>
        <w:keepNext/>
        <w:autoSpaceDE w:val="0"/>
        <w:autoSpaceDN w:val="0"/>
        <w:adjustRightInd w:val="0"/>
        <w:spacing w:before="240" w:after="240"/>
        <w:outlineLvl w:val="2"/>
        <w:rPr>
          <w:rFonts w:ascii="Times New Roman" w:hAnsi="Times New Roman"/>
          <w:b/>
          <w:lang w:val="es-ES" w:eastAsia="es-AR"/>
        </w:rPr>
      </w:pPr>
      <w:r w:rsidRPr="00AE4E8D">
        <w:rPr>
          <w:rFonts w:ascii="Times New Roman" w:hAnsi="Times New Roman"/>
          <w:b/>
          <w:lang w:val="es-ES" w:eastAsia="es-AR"/>
        </w:rPr>
        <w:t>Gerencia de Primera Línea</w:t>
      </w:r>
    </w:p>
    <w:p w14:paraId="1D432E3F" w14:textId="77777777" w:rsidR="000924EA" w:rsidRPr="00AE4E8D" w:rsidRDefault="000924EA" w:rsidP="000924EA">
      <w:pPr>
        <w:autoSpaceDE w:val="0"/>
        <w:autoSpaceDN w:val="0"/>
        <w:adjustRightInd w:val="0"/>
        <w:spacing w:before="120" w:after="120"/>
        <w:jc w:val="both"/>
        <w:rPr>
          <w:rFonts w:ascii="Times New Roman" w:hAnsi="Times New Roman"/>
          <w:lang w:val="es-ES" w:eastAsia="es-ES"/>
        </w:rPr>
      </w:pPr>
      <w:r w:rsidRPr="00AE4E8D">
        <w:rPr>
          <w:rFonts w:ascii="Times New Roman" w:hAnsi="Times New Roman"/>
          <w:lang w:val="es-ES" w:eastAsia="es-AR"/>
        </w:rPr>
        <w:t xml:space="preserve">Nuestra Gerencia de Primera Línea está integrada por los siguientes: </w:t>
      </w:r>
    </w:p>
    <w:tbl>
      <w:tblPr>
        <w:tblW w:w="10181" w:type="dxa"/>
        <w:jc w:val="center"/>
        <w:tblLook w:val="00A0" w:firstRow="1" w:lastRow="0" w:firstColumn="1" w:lastColumn="0" w:noHBand="0" w:noVBand="0"/>
      </w:tblPr>
      <w:tblGrid>
        <w:gridCol w:w="1623"/>
        <w:gridCol w:w="1906"/>
        <w:gridCol w:w="1140"/>
        <w:gridCol w:w="1406"/>
        <w:gridCol w:w="1370"/>
        <w:gridCol w:w="1365"/>
        <w:gridCol w:w="1371"/>
      </w:tblGrid>
      <w:tr w:rsidR="000924EA" w:rsidRPr="00AE4E8D" w14:paraId="1774D2A7" w14:textId="77777777" w:rsidTr="000400C8">
        <w:trPr>
          <w:trHeight w:val="730"/>
          <w:tblHeader/>
          <w:jc w:val="center"/>
        </w:trPr>
        <w:tc>
          <w:tcPr>
            <w:tcW w:w="1623" w:type="dxa"/>
            <w:tcBorders>
              <w:top w:val="single" w:sz="4" w:space="0" w:color="auto"/>
              <w:bottom w:val="single" w:sz="4" w:space="0" w:color="auto"/>
            </w:tcBorders>
            <w:vAlign w:val="center"/>
          </w:tcPr>
          <w:p w14:paraId="3551D7D1"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b/>
                <w:sz w:val="16"/>
                <w:szCs w:val="16"/>
                <w:lang w:val="es-ES" w:eastAsia="es-ES"/>
              </w:rPr>
            </w:pPr>
            <w:r w:rsidRPr="00AE4E8D">
              <w:rPr>
                <w:rFonts w:ascii="Times New Roman" w:hAnsi="Times New Roman"/>
                <w:b/>
                <w:sz w:val="16"/>
                <w:szCs w:val="16"/>
                <w:lang w:val="es-ES" w:eastAsia="es-ES"/>
              </w:rPr>
              <w:t>Nombre</w:t>
            </w:r>
          </w:p>
        </w:tc>
        <w:tc>
          <w:tcPr>
            <w:tcW w:w="1906" w:type="dxa"/>
            <w:tcBorders>
              <w:top w:val="single" w:sz="4" w:space="0" w:color="auto"/>
              <w:bottom w:val="single" w:sz="4" w:space="0" w:color="auto"/>
            </w:tcBorders>
            <w:vAlign w:val="center"/>
          </w:tcPr>
          <w:p w14:paraId="1FD137DB" w14:textId="77777777" w:rsidR="000924EA" w:rsidRPr="00AE4E8D" w:rsidRDefault="000924EA" w:rsidP="00232C94">
            <w:pPr>
              <w:widowControl w:val="0"/>
              <w:tabs>
                <w:tab w:val="right" w:leader="dot" w:pos="5310"/>
              </w:tabs>
              <w:autoSpaceDE w:val="0"/>
              <w:autoSpaceDN w:val="0"/>
              <w:adjustRightInd w:val="0"/>
              <w:ind w:left="17"/>
              <w:jc w:val="center"/>
              <w:rPr>
                <w:rFonts w:ascii="Times New Roman" w:hAnsi="Times New Roman"/>
                <w:b/>
                <w:sz w:val="16"/>
                <w:szCs w:val="16"/>
                <w:lang w:val="es-ES" w:eastAsia="es-ES"/>
              </w:rPr>
            </w:pPr>
            <w:r w:rsidRPr="00AE4E8D">
              <w:rPr>
                <w:rFonts w:ascii="Times New Roman" w:hAnsi="Times New Roman"/>
                <w:b/>
                <w:sz w:val="16"/>
                <w:szCs w:val="16"/>
                <w:lang w:val="es-ES" w:eastAsia="es-ES"/>
              </w:rPr>
              <w:t>Cargo</w:t>
            </w:r>
          </w:p>
        </w:tc>
        <w:tc>
          <w:tcPr>
            <w:tcW w:w="0" w:type="auto"/>
            <w:tcBorders>
              <w:top w:val="single" w:sz="4" w:space="0" w:color="auto"/>
              <w:bottom w:val="single" w:sz="4" w:space="0" w:color="auto"/>
            </w:tcBorders>
            <w:vAlign w:val="center"/>
          </w:tcPr>
          <w:p w14:paraId="3858989D"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b/>
                <w:sz w:val="16"/>
                <w:szCs w:val="16"/>
                <w:lang w:val="es-ES" w:eastAsia="es-ES"/>
              </w:rPr>
            </w:pPr>
            <w:r w:rsidRPr="00AE4E8D">
              <w:rPr>
                <w:rFonts w:ascii="Times New Roman" w:hAnsi="Times New Roman"/>
                <w:b/>
                <w:sz w:val="16"/>
                <w:szCs w:val="16"/>
                <w:lang w:val="es-ES" w:eastAsia="es-ES"/>
              </w:rPr>
              <w:t>DNI</w:t>
            </w:r>
          </w:p>
        </w:tc>
        <w:tc>
          <w:tcPr>
            <w:tcW w:w="1406" w:type="dxa"/>
            <w:tcBorders>
              <w:top w:val="single" w:sz="4" w:space="0" w:color="auto"/>
              <w:bottom w:val="single" w:sz="4" w:space="0" w:color="auto"/>
            </w:tcBorders>
            <w:vAlign w:val="center"/>
          </w:tcPr>
          <w:p w14:paraId="39E38086"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b/>
                <w:sz w:val="16"/>
                <w:szCs w:val="16"/>
                <w:lang w:val="es-ES" w:eastAsia="es-ES"/>
              </w:rPr>
            </w:pPr>
            <w:r w:rsidRPr="00AE4E8D">
              <w:rPr>
                <w:rFonts w:ascii="Times New Roman" w:hAnsi="Times New Roman"/>
                <w:b/>
                <w:bCs/>
                <w:color w:val="000000"/>
                <w:sz w:val="16"/>
                <w:szCs w:val="16"/>
                <w:lang w:val="es-ES" w:eastAsia="es-ES"/>
              </w:rPr>
              <w:t>CUIL/CUIT</w:t>
            </w:r>
          </w:p>
        </w:tc>
        <w:tc>
          <w:tcPr>
            <w:tcW w:w="1370" w:type="dxa"/>
            <w:tcBorders>
              <w:top w:val="single" w:sz="4" w:space="0" w:color="auto"/>
              <w:bottom w:val="single" w:sz="4" w:space="0" w:color="auto"/>
            </w:tcBorders>
            <w:vAlign w:val="center"/>
          </w:tcPr>
          <w:p w14:paraId="67C66513" w14:textId="77777777" w:rsidR="000924EA" w:rsidRPr="00AE4E8D" w:rsidRDefault="000924EA" w:rsidP="00232C94">
            <w:pPr>
              <w:widowControl w:val="0"/>
              <w:tabs>
                <w:tab w:val="right" w:leader="dot" w:pos="5310"/>
              </w:tabs>
              <w:autoSpaceDE w:val="0"/>
              <w:autoSpaceDN w:val="0"/>
              <w:adjustRightInd w:val="0"/>
              <w:ind w:left="69"/>
              <w:jc w:val="center"/>
              <w:rPr>
                <w:rFonts w:ascii="Times New Roman" w:hAnsi="Times New Roman"/>
                <w:b/>
                <w:bCs/>
                <w:color w:val="000000"/>
                <w:sz w:val="16"/>
                <w:szCs w:val="16"/>
                <w:lang w:val="es-ES" w:eastAsia="es-ES"/>
              </w:rPr>
            </w:pPr>
            <w:r w:rsidRPr="00AE4E8D">
              <w:rPr>
                <w:rFonts w:ascii="Times New Roman" w:hAnsi="Times New Roman"/>
                <w:b/>
                <w:bCs/>
                <w:color w:val="000000"/>
                <w:sz w:val="16"/>
                <w:szCs w:val="16"/>
                <w:lang w:val="es-ES" w:eastAsia="es-ES"/>
              </w:rPr>
              <w:t>Fecha de nacimiento</w:t>
            </w:r>
          </w:p>
        </w:tc>
        <w:tc>
          <w:tcPr>
            <w:tcW w:w="1365" w:type="dxa"/>
            <w:tcBorders>
              <w:top w:val="single" w:sz="4" w:space="0" w:color="auto"/>
              <w:bottom w:val="single" w:sz="4" w:space="0" w:color="auto"/>
            </w:tcBorders>
            <w:vAlign w:val="center"/>
          </w:tcPr>
          <w:p w14:paraId="41208649" w14:textId="77777777" w:rsidR="000924EA" w:rsidRPr="00AE4E8D" w:rsidRDefault="000924EA" w:rsidP="00232C94">
            <w:pPr>
              <w:widowControl w:val="0"/>
              <w:tabs>
                <w:tab w:val="right" w:leader="dot" w:pos="5310"/>
              </w:tabs>
              <w:autoSpaceDE w:val="0"/>
              <w:autoSpaceDN w:val="0"/>
              <w:adjustRightInd w:val="0"/>
              <w:ind w:left="91"/>
              <w:jc w:val="center"/>
              <w:rPr>
                <w:rFonts w:ascii="Times New Roman" w:hAnsi="Times New Roman"/>
                <w:b/>
                <w:bCs/>
                <w:color w:val="000000"/>
                <w:sz w:val="16"/>
                <w:szCs w:val="16"/>
                <w:lang w:val="es-ES" w:eastAsia="es-ES"/>
              </w:rPr>
            </w:pPr>
            <w:r w:rsidRPr="00AE4E8D">
              <w:rPr>
                <w:rFonts w:ascii="Times New Roman" w:hAnsi="Times New Roman"/>
                <w:b/>
                <w:bCs/>
                <w:color w:val="000000"/>
                <w:sz w:val="16"/>
                <w:szCs w:val="16"/>
                <w:lang w:val="es-ES" w:eastAsia="es-ES"/>
              </w:rPr>
              <w:t>Domicilio</w:t>
            </w:r>
          </w:p>
        </w:tc>
        <w:tc>
          <w:tcPr>
            <w:tcW w:w="1371" w:type="dxa"/>
            <w:tcBorders>
              <w:top w:val="single" w:sz="4" w:space="0" w:color="auto"/>
              <w:bottom w:val="single" w:sz="4" w:space="0" w:color="auto"/>
            </w:tcBorders>
            <w:vAlign w:val="center"/>
          </w:tcPr>
          <w:p w14:paraId="17CC6614"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b/>
                <w:bCs/>
                <w:color w:val="000000"/>
                <w:sz w:val="16"/>
                <w:szCs w:val="16"/>
                <w:lang w:val="es-ES" w:eastAsia="es-ES"/>
              </w:rPr>
            </w:pPr>
            <w:r w:rsidRPr="00AE4E8D">
              <w:rPr>
                <w:rFonts w:ascii="Times New Roman" w:hAnsi="Times New Roman"/>
                <w:b/>
                <w:bCs/>
                <w:color w:val="000000"/>
                <w:sz w:val="16"/>
                <w:szCs w:val="16"/>
                <w:lang w:val="es-ES" w:eastAsia="es-ES"/>
              </w:rPr>
              <w:t>Fecha de designación en el cargo</w:t>
            </w:r>
          </w:p>
        </w:tc>
      </w:tr>
      <w:tr w:rsidR="000924EA" w:rsidRPr="00AE4E8D" w14:paraId="73E0D598" w14:textId="77777777" w:rsidTr="000400C8">
        <w:trPr>
          <w:trHeight w:val="556"/>
          <w:jc w:val="center"/>
        </w:trPr>
        <w:tc>
          <w:tcPr>
            <w:tcW w:w="1623" w:type="dxa"/>
            <w:vAlign w:val="center"/>
          </w:tcPr>
          <w:p w14:paraId="77C20BC9"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Manuel Herrera</w:t>
            </w:r>
          </w:p>
        </w:tc>
        <w:tc>
          <w:tcPr>
            <w:tcW w:w="1906" w:type="dxa"/>
            <w:vAlign w:val="center"/>
          </w:tcPr>
          <w:p w14:paraId="6A4B03EB"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General</w:t>
            </w:r>
          </w:p>
        </w:tc>
        <w:tc>
          <w:tcPr>
            <w:tcW w:w="0" w:type="auto"/>
            <w:vAlign w:val="center"/>
          </w:tcPr>
          <w:p w14:paraId="5AE24FC5"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92.761.368</w:t>
            </w:r>
          </w:p>
        </w:tc>
        <w:tc>
          <w:tcPr>
            <w:tcW w:w="1406" w:type="dxa"/>
            <w:vAlign w:val="center"/>
          </w:tcPr>
          <w:p w14:paraId="371B2D01"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23-92761368-9</w:t>
            </w:r>
          </w:p>
        </w:tc>
        <w:tc>
          <w:tcPr>
            <w:tcW w:w="1370" w:type="dxa"/>
            <w:vAlign w:val="center"/>
          </w:tcPr>
          <w:p w14:paraId="289A638B"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04/11/1966</w:t>
            </w:r>
          </w:p>
        </w:tc>
        <w:tc>
          <w:tcPr>
            <w:tcW w:w="1365" w:type="dxa"/>
            <w:vAlign w:val="center"/>
          </w:tcPr>
          <w:p w14:paraId="45E99FB7"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Tte. Gral. Perón 525, CABA.</w:t>
            </w:r>
          </w:p>
        </w:tc>
        <w:tc>
          <w:tcPr>
            <w:tcW w:w="1371" w:type="dxa"/>
            <w:vAlign w:val="center"/>
          </w:tcPr>
          <w:p w14:paraId="2EA10F9D"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04/04/2017</w:t>
            </w:r>
          </w:p>
        </w:tc>
      </w:tr>
      <w:tr w:rsidR="000924EA" w:rsidRPr="00AE4E8D" w14:paraId="758269CD" w14:textId="77777777" w:rsidTr="000400C8">
        <w:trPr>
          <w:trHeight w:val="556"/>
          <w:jc w:val="center"/>
        </w:trPr>
        <w:tc>
          <w:tcPr>
            <w:tcW w:w="1623" w:type="dxa"/>
            <w:vAlign w:val="center"/>
          </w:tcPr>
          <w:p w14:paraId="136F2713"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Gerardo Rovner</w:t>
            </w:r>
          </w:p>
        </w:tc>
        <w:tc>
          <w:tcPr>
            <w:tcW w:w="1906" w:type="dxa"/>
            <w:vAlign w:val="center"/>
          </w:tcPr>
          <w:p w14:paraId="2A3ACB50"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Auditoría Corporativa</w:t>
            </w:r>
          </w:p>
        </w:tc>
        <w:tc>
          <w:tcPr>
            <w:tcW w:w="0" w:type="auto"/>
            <w:vAlign w:val="center"/>
          </w:tcPr>
          <w:p w14:paraId="2C967383"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17.730.181</w:t>
            </w:r>
          </w:p>
        </w:tc>
        <w:tc>
          <w:tcPr>
            <w:tcW w:w="1406" w:type="dxa"/>
            <w:vAlign w:val="center"/>
          </w:tcPr>
          <w:p w14:paraId="22DA2BF4"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20-17730181-8</w:t>
            </w:r>
          </w:p>
        </w:tc>
        <w:tc>
          <w:tcPr>
            <w:tcW w:w="1370" w:type="dxa"/>
            <w:vAlign w:val="center"/>
          </w:tcPr>
          <w:p w14:paraId="26D4EE6F"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30/01/1965</w:t>
            </w:r>
          </w:p>
        </w:tc>
        <w:tc>
          <w:tcPr>
            <w:tcW w:w="1365" w:type="dxa"/>
            <w:vAlign w:val="center"/>
          </w:tcPr>
          <w:p w14:paraId="51CBD40B"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13927AEC"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01/02/2012</w:t>
            </w:r>
          </w:p>
        </w:tc>
      </w:tr>
      <w:tr w:rsidR="000924EA" w:rsidRPr="00AE4E8D" w14:paraId="39EB881B" w14:textId="77777777" w:rsidTr="000400C8">
        <w:trPr>
          <w:trHeight w:val="556"/>
          <w:jc w:val="center"/>
        </w:trPr>
        <w:tc>
          <w:tcPr>
            <w:tcW w:w="1623" w:type="dxa"/>
            <w:vAlign w:val="center"/>
          </w:tcPr>
          <w:p w14:paraId="2721D4E9"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Ernesto Manuel Viñes</w:t>
            </w:r>
          </w:p>
        </w:tc>
        <w:tc>
          <w:tcPr>
            <w:tcW w:w="1906" w:type="dxa"/>
            <w:vAlign w:val="center"/>
          </w:tcPr>
          <w:p w14:paraId="57F1B6CD"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Legal</w:t>
            </w:r>
          </w:p>
        </w:tc>
        <w:tc>
          <w:tcPr>
            <w:tcW w:w="0" w:type="auto"/>
            <w:vAlign w:val="center"/>
          </w:tcPr>
          <w:p w14:paraId="6EFEAD3D"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4.596.798</w:t>
            </w:r>
          </w:p>
        </w:tc>
        <w:tc>
          <w:tcPr>
            <w:tcW w:w="1406" w:type="dxa"/>
            <w:vAlign w:val="center"/>
          </w:tcPr>
          <w:p w14:paraId="3B48E40A"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sz w:val="16"/>
                <w:szCs w:val="16"/>
                <w:lang w:val="es-ES" w:eastAsia="es-ES"/>
              </w:rPr>
            </w:pPr>
            <w:r w:rsidRPr="00AE4E8D">
              <w:rPr>
                <w:rFonts w:ascii="Times New Roman" w:hAnsi="Times New Roman"/>
                <w:color w:val="333333"/>
                <w:sz w:val="16"/>
                <w:szCs w:val="16"/>
                <w:lang w:val="es-ES" w:eastAsia="es-ES"/>
              </w:rPr>
              <w:t>20-04596798-1</w:t>
            </w:r>
          </w:p>
        </w:tc>
        <w:tc>
          <w:tcPr>
            <w:tcW w:w="1370" w:type="dxa"/>
            <w:vAlign w:val="center"/>
          </w:tcPr>
          <w:p w14:paraId="7661163E"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05/02/1944</w:t>
            </w:r>
          </w:p>
        </w:tc>
        <w:tc>
          <w:tcPr>
            <w:tcW w:w="1365" w:type="dxa"/>
            <w:vAlign w:val="center"/>
          </w:tcPr>
          <w:p w14:paraId="059F34B9"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47B65BC6"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01/10/2003</w:t>
            </w:r>
          </w:p>
        </w:tc>
      </w:tr>
      <w:tr w:rsidR="000924EA" w:rsidRPr="00AE4E8D" w14:paraId="1EE2D87D" w14:textId="77777777" w:rsidTr="000400C8">
        <w:trPr>
          <w:trHeight w:val="541"/>
          <w:jc w:val="center"/>
        </w:trPr>
        <w:tc>
          <w:tcPr>
            <w:tcW w:w="1623" w:type="dxa"/>
            <w:vAlign w:val="center"/>
          </w:tcPr>
          <w:p w14:paraId="1BD15119"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Tomás Godino</w:t>
            </w:r>
          </w:p>
        </w:tc>
        <w:tc>
          <w:tcPr>
            <w:tcW w:w="1906" w:type="dxa"/>
            <w:vAlign w:val="center"/>
          </w:tcPr>
          <w:p w14:paraId="4820E507"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Finanzas</w:t>
            </w:r>
          </w:p>
        </w:tc>
        <w:tc>
          <w:tcPr>
            <w:tcW w:w="0" w:type="auto"/>
            <w:vAlign w:val="center"/>
          </w:tcPr>
          <w:p w14:paraId="30FF192E"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28.285.026</w:t>
            </w:r>
          </w:p>
        </w:tc>
        <w:tc>
          <w:tcPr>
            <w:tcW w:w="1406" w:type="dxa"/>
            <w:vAlign w:val="center"/>
          </w:tcPr>
          <w:p w14:paraId="4575D92B"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333333"/>
                <w:sz w:val="16"/>
                <w:szCs w:val="16"/>
                <w:lang w:val="es-ES" w:eastAsia="es-ES"/>
              </w:rPr>
              <w:t>20-</w:t>
            </w:r>
            <w:r w:rsidRPr="00AE4E8D">
              <w:rPr>
                <w:rFonts w:ascii="Times New Roman" w:hAnsi="Times New Roman"/>
                <w:sz w:val="16"/>
                <w:szCs w:val="16"/>
                <w:lang w:val="es-ES" w:eastAsia="es-ES"/>
              </w:rPr>
              <w:t>28.285.026</w:t>
            </w:r>
            <w:r w:rsidRPr="00AE4E8D">
              <w:rPr>
                <w:rFonts w:ascii="Times New Roman" w:hAnsi="Times New Roman"/>
                <w:color w:val="333333"/>
                <w:sz w:val="16"/>
                <w:szCs w:val="16"/>
                <w:lang w:val="es-ES" w:eastAsia="es-ES"/>
              </w:rPr>
              <w:t>-6</w:t>
            </w:r>
          </w:p>
        </w:tc>
        <w:tc>
          <w:tcPr>
            <w:tcW w:w="1370" w:type="dxa"/>
            <w:vAlign w:val="center"/>
          </w:tcPr>
          <w:p w14:paraId="55193032"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02/10/1980</w:t>
            </w:r>
          </w:p>
        </w:tc>
        <w:tc>
          <w:tcPr>
            <w:tcW w:w="1365" w:type="dxa"/>
            <w:vAlign w:val="center"/>
          </w:tcPr>
          <w:p w14:paraId="425AC561"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2F530490"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14/06/2017</w:t>
            </w:r>
          </w:p>
        </w:tc>
      </w:tr>
      <w:tr w:rsidR="000924EA" w:rsidRPr="00AE4E8D" w14:paraId="5B4B1B08" w14:textId="77777777" w:rsidTr="000400C8">
        <w:trPr>
          <w:trHeight w:val="541"/>
          <w:jc w:val="center"/>
        </w:trPr>
        <w:tc>
          <w:tcPr>
            <w:tcW w:w="1623" w:type="dxa"/>
            <w:vAlign w:val="center"/>
          </w:tcPr>
          <w:p w14:paraId="7F97F485"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Alejandro Sokol</w:t>
            </w:r>
          </w:p>
        </w:tc>
        <w:tc>
          <w:tcPr>
            <w:tcW w:w="1906" w:type="dxa"/>
            <w:vAlign w:val="center"/>
          </w:tcPr>
          <w:p w14:paraId="038C8C9A"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Riesgo</w:t>
            </w:r>
          </w:p>
        </w:tc>
        <w:tc>
          <w:tcPr>
            <w:tcW w:w="0" w:type="auto"/>
            <w:vAlign w:val="center"/>
          </w:tcPr>
          <w:p w14:paraId="41FAB435"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21.475.838</w:t>
            </w:r>
          </w:p>
        </w:tc>
        <w:tc>
          <w:tcPr>
            <w:tcW w:w="1406" w:type="dxa"/>
            <w:vAlign w:val="center"/>
          </w:tcPr>
          <w:p w14:paraId="49E01AF0"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20-21475838-6</w:t>
            </w:r>
          </w:p>
        </w:tc>
        <w:tc>
          <w:tcPr>
            <w:tcW w:w="1370" w:type="dxa"/>
            <w:vAlign w:val="center"/>
          </w:tcPr>
          <w:p w14:paraId="3576402E"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29/01/1970</w:t>
            </w:r>
          </w:p>
        </w:tc>
        <w:tc>
          <w:tcPr>
            <w:tcW w:w="1365" w:type="dxa"/>
            <w:vAlign w:val="center"/>
          </w:tcPr>
          <w:p w14:paraId="1488FA22"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65F0A086"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14/06/2017</w:t>
            </w:r>
          </w:p>
        </w:tc>
      </w:tr>
      <w:tr w:rsidR="000924EA" w:rsidRPr="00AE4E8D" w14:paraId="3856064F" w14:textId="77777777" w:rsidTr="000400C8">
        <w:trPr>
          <w:trHeight w:val="669"/>
          <w:jc w:val="center"/>
        </w:trPr>
        <w:tc>
          <w:tcPr>
            <w:tcW w:w="1623" w:type="dxa"/>
            <w:vAlign w:val="center"/>
          </w:tcPr>
          <w:p w14:paraId="6B58E063"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Mariano Cané</w:t>
            </w:r>
          </w:p>
        </w:tc>
        <w:tc>
          <w:tcPr>
            <w:tcW w:w="1906" w:type="dxa"/>
            <w:vAlign w:val="center"/>
          </w:tcPr>
          <w:p w14:paraId="4BA5380A"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de Área Planeamiento y Control de Gestión</w:t>
            </w:r>
          </w:p>
        </w:tc>
        <w:tc>
          <w:tcPr>
            <w:tcW w:w="0" w:type="auto"/>
            <w:vAlign w:val="center"/>
          </w:tcPr>
          <w:p w14:paraId="1C63BE10"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24.788.305</w:t>
            </w:r>
          </w:p>
        </w:tc>
        <w:tc>
          <w:tcPr>
            <w:tcW w:w="1406" w:type="dxa"/>
            <w:vAlign w:val="center"/>
          </w:tcPr>
          <w:p w14:paraId="397F2AE7"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20-24788305-4</w:t>
            </w:r>
          </w:p>
        </w:tc>
        <w:tc>
          <w:tcPr>
            <w:tcW w:w="1370" w:type="dxa"/>
            <w:vAlign w:val="center"/>
          </w:tcPr>
          <w:p w14:paraId="5E9DB782"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23/12/1975</w:t>
            </w:r>
          </w:p>
        </w:tc>
        <w:tc>
          <w:tcPr>
            <w:tcW w:w="1365" w:type="dxa"/>
            <w:vAlign w:val="center"/>
          </w:tcPr>
          <w:p w14:paraId="6395DD07"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1371" w:type="dxa"/>
            <w:vAlign w:val="center"/>
          </w:tcPr>
          <w:p w14:paraId="074D377A"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14/06/2017</w:t>
            </w:r>
          </w:p>
        </w:tc>
      </w:tr>
      <w:tr w:rsidR="000924EA" w:rsidRPr="00AE4E8D" w14:paraId="06A754C4" w14:textId="77777777" w:rsidTr="000400C8">
        <w:trPr>
          <w:trHeight w:val="541"/>
          <w:jc w:val="center"/>
        </w:trPr>
        <w:tc>
          <w:tcPr>
            <w:tcW w:w="1623" w:type="dxa"/>
            <w:vAlign w:val="center"/>
          </w:tcPr>
          <w:p w14:paraId="573CC702"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Ignacio Uranga</w:t>
            </w:r>
          </w:p>
        </w:tc>
        <w:tc>
          <w:tcPr>
            <w:tcW w:w="1906" w:type="dxa"/>
            <w:vAlign w:val="center"/>
          </w:tcPr>
          <w:p w14:paraId="51AB8E6A"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de Area Banca Empresa</w:t>
            </w:r>
          </w:p>
        </w:tc>
        <w:tc>
          <w:tcPr>
            <w:tcW w:w="0" w:type="auto"/>
            <w:vAlign w:val="center"/>
          </w:tcPr>
          <w:p w14:paraId="3D83478F"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20.956.135</w:t>
            </w:r>
          </w:p>
        </w:tc>
        <w:tc>
          <w:tcPr>
            <w:tcW w:w="1406" w:type="dxa"/>
            <w:vAlign w:val="center"/>
          </w:tcPr>
          <w:p w14:paraId="705D04A0"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20-20.956.135-3</w:t>
            </w:r>
          </w:p>
        </w:tc>
        <w:tc>
          <w:tcPr>
            <w:tcW w:w="1370" w:type="dxa"/>
            <w:vAlign w:val="center"/>
          </w:tcPr>
          <w:p w14:paraId="3B87597F"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17/07/1969</w:t>
            </w:r>
          </w:p>
        </w:tc>
        <w:tc>
          <w:tcPr>
            <w:tcW w:w="1365" w:type="dxa"/>
            <w:vAlign w:val="center"/>
          </w:tcPr>
          <w:p w14:paraId="52814237"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Tte. Gral. Perón 525, CABA.</w:t>
            </w:r>
          </w:p>
        </w:tc>
        <w:tc>
          <w:tcPr>
            <w:tcW w:w="1371" w:type="dxa"/>
            <w:vAlign w:val="center"/>
          </w:tcPr>
          <w:p w14:paraId="43D61318"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14/06/2017</w:t>
            </w:r>
          </w:p>
        </w:tc>
      </w:tr>
      <w:tr w:rsidR="000924EA" w:rsidRPr="00AE4E8D" w14:paraId="2D5857CC" w14:textId="77777777" w:rsidTr="000400C8">
        <w:trPr>
          <w:trHeight w:val="541"/>
          <w:jc w:val="center"/>
        </w:trPr>
        <w:tc>
          <w:tcPr>
            <w:tcW w:w="1623" w:type="dxa"/>
            <w:vAlign w:val="center"/>
          </w:tcPr>
          <w:p w14:paraId="5C6B9CE6"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lastRenderedPageBreak/>
              <w:t>Guillermo Mansilla</w:t>
            </w:r>
          </w:p>
        </w:tc>
        <w:tc>
          <w:tcPr>
            <w:tcW w:w="1906" w:type="dxa"/>
            <w:vAlign w:val="center"/>
          </w:tcPr>
          <w:p w14:paraId="276EF827"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de Area Banca Minorista</w:t>
            </w:r>
          </w:p>
        </w:tc>
        <w:tc>
          <w:tcPr>
            <w:tcW w:w="0" w:type="auto"/>
            <w:vAlign w:val="center"/>
          </w:tcPr>
          <w:p w14:paraId="6732A66A"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lang w:val="es-ES"/>
              </w:rPr>
              <w:t>25.430.836</w:t>
            </w:r>
          </w:p>
        </w:tc>
        <w:tc>
          <w:tcPr>
            <w:tcW w:w="1406" w:type="dxa"/>
            <w:vAlign w:val="center"/>
          </w:tcPr>
          <w:p w14:paraId="1D271DD5"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20-25430836-7</w:t>
            </w:r>
          </w:p>
        </w:tc>
        <w:tc>
          <w:tcPr>
            <w:tcW w:w="1370" w:type="dxa"/>
            <w:vAlign w:val="center"/>
          </w:tcPr>
          <w:p w14:paraId="00B02862"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15/08/1976</w:t>
            </w:r>
          </w:p>
        </w:tc>
        <w:tc>
          <w:tcPr>
            <w:tcW w:w="1365" w:type="dxa"/>
            <w:vAlign w:val="center"/>
          </w:tcPr>
          <w:p w14:paraId="0109ED54"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CABA.</w:t>
            </w:r>
          </w:p>
        </w:tc>
        <w:tc>
          <w:tcPr>
            <w:tcW w:w="1371" w:type="dxa"/>
            <w:vAlign w:val="center"/>
          </w:tcPr>
          <w:p w14:paraId="74E26C0E"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14/06/2017</w:t>
            </w:r>
          </w:p>
        </w:tc>
      </w:tr>
      <w:tr w:rsidR="000924EA" w:rsidRPr="00AE4E8D" w14:paraId="292C7844" w14:textId="77777777" w:rsidTr="000400C8">
        <w:trPr>
          <w:trHeight w:val="541"/>
          <w:jc w:val="center"/>
        </w:trPr>
        <w:tc>
          <w:tcPr>
            <w:tcW w:w="1623" w:type="dxa"/>
            <w:vAlign w:val="center"/>
          </w:tcPr>
          <w:p w14:paraId="312CFE42"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Favio Gabriel Podjarny</w:t>
            </w:r>
          </w:p>
        </w:tc>
        <w:tc>
          <w:tcPr>
            <w:tcW w:w="1906" w:type="dxa"/>
            <w:vAlign w:val="center"/>
          </w:tcPr>
          <w:p w14:paraId="2622F8F4"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Servicios Corporativos</w:t>
            </w:r>
          </w:p>
        </w:tc>
        <w:tc>
          <w:tcPr>
            <w:tcW w:w="0" w:type="auto"/>
            <w:vAlign w:val="center"/>
          </w:tcPr>
          <w:p w14:paraId="26B56D5A"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17.140.517</w:t>
            </w:r>
          </w:p>
        </w:tc>
        <w:tc>
          <w:tcPr>
            <w:tcW w:w="1406" w:type="dxa"/>
            <w:vAlign w:val="center"/>
          </w:tcPr>
          <w:p w14:paraId="1930DED4"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20-17140517-4</w:t>
            </w:r>
          </w:p>
        </w:tc>
        <w:tc>
          <w:tcPr>
            <w:tcW w:w="1370" w:type="dxa"/>
            <w:vAlign w:val="center"/>
          </w:tcPr>
          <w:p w14:paraId="02E12949"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01/07/1964</w:t>
            </w:r>
          </w:p>
        </w:tc>
        <w:tc>
          <w:tcPr>
            <w:tcW w:w="1365" w:type="dxa"/>
            <w:vAlign w:val="center"/>
          </w:tcPr>
          <w:p w14:paraId="12F986D3"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CABA.</w:t>
            </w:r>
          </w:p>
        </w:tc>
        <w:tc>
          <w:tcPr>
            <w:tcW w:w="1371" w:type="dxa"/>
            <w:vAlign w:val="center"/>
          </w:tcPr>
          <w:p w14:paraId="09B61411"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01/06/2010</w:t>
            </w:r>
          </w:p>
        </w:tc>
      </w:tr>
      <w:tr w:rsidR="000924EA" w:rsidRPr="00AE4E8D" w14:paraId="6905072E" w14:textId="77777777" w:rsidTr="000400C8">
        <w:trPr>
          <w:trHeight w:val="556"/>
          <w:jc w:val="center"/>
        </w:trPr>
        <w:tc>
          <w:tcPr>
            <w:tcW w:w="1623" w:type="dxa"/>
            <w:vAlign w:val="center"/>
          </w:tcPr>
          <w:p w14:paraId="2A0E8300"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Sebastián Argibay Molina</w:t>
            </w:r>
          </w:p>
        </w:tc>
        <w:tc>
          <w:tcPr>
            <w:tcW w:w="1906" w:type="dxa"/>
            <w:vAlign w:val="center"/>
          </w:tcPr>
          <w:p w14:paraId="09C4569E"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Desarrollo Organizacional y Calidad</w:t>
            </w:r>
          </w:p>
        </w:tc>
        <w:tc>
          <w:tcPr>
            <w:tcW w:w="0" w:type="auto"/>
            <w:vAlign w:val="center"/>
          </w:tcPr>
          <w:p w14:paraId="4C3BA70A"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24.227.378</w:t>
            </w:r>
          </w:p>
        </w:tc>
        <w:tc>
          <w:tcPr>
            <w:tcW w:w="1406" w:type="dxa"/>
            <w:vAlign w:val="center"/>
          </w:tcPr>
          <w:p w14:paraId="27841AF4"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20-24227378-9</w:t>
            </w:r>
          </w:p>
        </w:tc>
        <w:tc>
          <w:tcPr>
            <w:tcW w:w="1370" w:type="dxa"/>
            <w:vAlign w:val="center"/>
          </w:tcPr>
          <w:p w14:paraId="120AC0D6"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10/10/1974</w:t>
            </w:r>
          </w:p>
        </w:tc>
        <w:tc>
          <w:tcPr>
            <w:tcW w:w="1365" w:type="dxa"/>
            <w:vAlign w:val="center"/>
          </w:tcPr>
          <w:p w14:paraId="41947C14"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CABA.</w:t>
            </w:r>
          </w:p>
        </w:tc>
        <w:tc>
          <w:tcPr>
            <w:tcW w:w="1371" w:type="dxa"/>
            <w:vAlign w:val="center"/>
          </w:tcPr>
          <w:p w14:paraId="7868D6CA"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01/06/2013</w:t>
            </w:r>
          </w:p>
        </w:tc>
      </w:tr>
      <w:tr w:rsidR="000924EA" w:rsidRPr="00AE4E8D" w14:paraId="70FA106F" w14:textId="77777777" w:rsidTr="000400C8">
        <w:trPr>
          <w:trHeight w:val="556"/>
          <w:jc w:val="center"/>
        </w:trPr>
        <w:tc>
          <w:tcPr>
            <w:tcW w:w="1623" w:type="dxa"/>
            <w:vAlign w:val="center"/>
          </w:tcPr>
          <w:p w14:paraId="00F15D09"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Javier Eduardo Varani</w:t>
            </w:r>
          </w:p>
        </w:tc>
        <w:tc>
          <w:tcPr>
            <w:tcW w:w="1906" w:type="dxa"/>
            <w:vAlign w:val="center"/>
          </w:tcPr>
          <w:p w14:paraId="468AD645"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Área Relaciones Institucionales</w:t>
            </w:r>
          </w:p>
        </w:tc>
        <w:tc>
          <w:tcPr>
            <w:tcW w:w="0" w:type="auto"/>
            <w:vAlign w:val="center"/>
          </w:tcPr>
          <w:p w14:paraId="574AF127"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17.203.766</w:t>
            </w:r>
          </w:p>
        </w:tc>
        <w:tc>
          <w:tcPr>
            <w:tcW w:w="1406" w:type="dxa"/>
            <w:vAlign w:val="center"/>
          </w:tcPr>
          <w:p w14:paraId="71125389"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20-17203766-7</w:t>
            </w:r>
          </w:p>
        </w:tc>
        <w:tc>
          <w:tcPr>
            <w:tcW w:w="1370" w:type="dxa"/>
            <w:vAlign w:val="center"/>
          </w:tcPr>
          <w:p w14:paraId="671B9DF6"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31/12/1964</w:t>
            </w:r>
          </w:p>
        </w:tc>
        <w:tc>
          <w:tcPr>
            <w:tcW w:w="1365" w:type="dxa"/>
            <w:vAlign w:val="center"/>
          </w:tcPr>
          <w:p w14:paraId="2987D57D"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CABA.</w:t>
            </w:r>
          </w:p>
        </w:tc>
        <w:tc>
          <w:tcPr>
            <w:tcW w:w="1371" w:type="dxa"/>
            <w:vAlign w:val="center"/>
          </w:tcPr>
          <w:p w14:paraId="5B15DE32"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01/09/2011</w:t>
            </w:r>
          </w:p>
        </w:tc>
      </w:tr>
      <w:tr w:rsidR="000924EA" w:rsidRPr="00AE4E8D" w14:paraId="437E9486" w14:textId="77777777" w:rsidTr="000400C8">
        <w:trPr>
          <w:trHeight w:val="556"/>
          <w:jc w:val="center"/>
        </w:trPr>
        <w:tc>
          <w:tcPr>
            <w:tcW w:w="1623" w:type="dxa"/>
            <w:vAlign w:val="center"/>
          </w:tcPr>
          <w:p w14:paraId="44555E39" w14:textId="77777777" w:rsidR="000924EA" w:rsidRPr="00AE4E8D" w:rsidRDefault="000924EA" w:rsidP="00232C94">
            <w:pPr>
              <w:widowControl w:val="0"/>
              <w:tabs>
                <w:tab w:val="right" w:leader="dot" w:pos="5310"/>
              </w:tabs>
              <w:autoSpaceDE w:val="0"/>
              <w:autoSpaceDN w:val="0"/>
              <w:adjustRightInd w:val="0"/>
              <w:rPr>
                <w:rFonts w:ascii="Times New Roman" w:hAnsi="Times New Roman"/>
                <w:sz w:val="16"/>
                <w:szCs w:val="16"/>
                <w:lang w:val="es-ES" w:eastAsia="es-ES"/>
              </w:rPr>
            </w:pPr>
            <w:r w:rsidRPr="00AE4E8D">
              <w:rPr>
                <w:rFonts w:ascii="Times New Roman" w:hAnsi="Times New Roman"/>
                <w:sz w:val="16"/>
                <w:szCs w:val="16"/>
                <w:lang w:val="es-ES" w:eastAsia="es-ES"/>
              </w:rPr>
              <w:t>Esteban Vainer</w:t>
            </w:r>
          </w:p>
        </w:tc>
        <w:tc>
          <w:tcPr>
            <w:tcW w:w="1906" w:type="dxa"/>
            <w:vAlign w:val="center"/>
          </w:tcPr>
          <w:p w14:paraId="1A0C79C4" w14:textId="77777777" w:rsidR="000924EA" w:rsidRPr="00AE4E8D" w:rsidRDefault="000924EA" w:rsidP="00232C94">
            <w:pPr>
              <w:widowControl w:val="0"/>
              <w:tabs>
                <w:tab w:val="right" w:leader="dot" w:pos="5310"/>
              </w:tabs>
              <w:autoSpaceDE w:val="0"/>
              <w:autoSpaceDN w:val="0"/>
              <w:adjustRightInd w:val="0"/>
              <w:ind w:left="17"/>
              <w:rPr>
                <w:rFonts w:ascii="Times New Roman" w:hAnsi="Times New Roman"/>
                <w:sz w:val="16"/>
                <w:szCs w:val="16"/>
                <w:lang w:val="es-ES" w:eastAsia="es-ES"/>
              </w:rPr>
            </w:pPr>
            <w:r w:rsidRPr="00AE4E8D">
              <w:rPr>
                <w:rFonts w:ascii="Times New Roman" w:hAnsi="Times New Roman"/>
                <w:sz w:val="16"/>
                <w:szCs w:val="16"/>
                <w:lang w:val="es-ES" w:eastAsia="es-ES"/>
              </w:rPr>
              <w:t>Gerente de Área Unidad Integral para Desarrollo de la Vivienda</w:t>
            </w:r>
          </w:p>
        </w:tc>
        <w:tc>
          <w:tcPr>
            <w:tcW w:w="0" w:type="auto"/>
            <w:vAlign w:val="center"/>
          </w:tcPr>
          <w:p w14:paraId="6BA80B7F"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sz w:val="16"/>
                <w:szCs w:val="16"/>
                <w:lang w:val="es-ES" w:eastAsia="es-ES"/>
              </w:rPr>
            </w:pPr>
            <w:r w:rsidRPr="00AE4E8D">
              <w:rPr>
                <w:rFonts w:ascii="Times New Roman" w:hAnsi="Times New Roman"/>
                <w:sz w:val="16"/>
                <w:szCs w:val="16"/>
                <w:lang w:val="es-ES" w:eastAsia="es-ES"/>
              </w:rPr>
              <w:t>22.431.651</w:t>
            </w:r>
          </w:p>
        </w:tc>
        <w:tc>
          <w:tcPr>
            <w:tcW w:w="1406" w:type="dxa"/>
            <w:vAlign w:val="center"/>
          </w:tcPr>
          <w:p w14:paraId="28CE094A" w14:textId="77777777" w:rsidR="000924EA" w:rsidRPr="00AE4E8D" w:rsidRDefault="000924EA" w:rsidP="00232C94">
            <w:pPr>
              <w:widowControl w:val="0"/>
              <w:tabs>
                <w:tab w:val="right" w:leader="dot" w:pos="5310"/>
              </w:tabs>
              <w:autoSpaceDE w:val="0"/>
              <w:autoSpaceDN w:val="0"/>
              <w:adjustRightInd w:val="0"/>
              <w:ind w:left="-42"/>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20-22431651-9</w:t>
            </w:r>
          </w:p>
        </w:tc>
        <w:tc>
          <w:tcPr>
            <w:tcW w:w="1370" w:type="dxa"/>
            <w:vAlign w:val="center"/>
          </w:tcPr>
          <w:p w14:paraId="034722FE" w14:textId="77777777" w:rsidR="000924EA" w:rsidRPr="00AE4E8D" w:rsidRDefault="000924EA" w:rsidP="00232C94">
            <w:pPr>
              <w:widowControl w:val="0"/>
              <w:tabs>
                <w:tab w:val="right" w:leader="dot" w:pos="5310"/>
              </w:tabs>
              <w:autoSpaceDE w:val="0"/>
              <w:autoSpaceDN w:val="0"/>
              <w:adjustRightInd w:val="0"/>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ES"/>
              </w:rPr>
              <w:t>11/10/1971</w:t>
            </w:r>
          </w:p>
        </w:tc>
        <w:tc>
          <w:tcPr>
            <w:tcW w:w="1365" w:type="dxa"/>
            <w:vAlign w:val="center"/>
          </w:tcPr>
          <w:p w14:paraId="5B162C36" w14:textId="77777777" w:rsidR="000924EA" w:rsidRPr="00AE4E8D" w:rsidRDefault="000924EA" w:rsidP="00232C94">
            <w:pPr>
              <w:widowControl w:val="0"/>
              <w:tabs>
                <w:tab w:val="right" w:leader="dot" w:pos="5310"/>
              </w:tabs>
              <w:autoSpaceDE w:val="0"/>
              <w:autoSpaceDN w:val="0"/>
              <w:adjustRightInd w:val="0"/>
              <w:ind w:left="91"/>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Tte. Gral. Perón 525, CABA.</w:t>
            </w:r>
          </w:p>
        </w:tc>
        <w:tc>
          <w:tcPr>
            <w:tcW w:w="1371" w:type="dxa"/>
            <w:vAlign w:val="center"/>
          </w:tcPr>
          <w:p w14:paraId="7CAAE776" w14:textId="77777777" w:rsidR="000924EA" w:rsidRPr="00AE4E8D" w:rsidRDefault="000924EA" w:rsidP="00232C94">
            <w:pPr>
              <w:widowControl w:val="0"/>
              <w:tabs>
                <w:tab w:val="right" w:leader="dot" w:pos="5310"/>
              </w:tabs>
              <w:autoSpaceDE w:val="0"/>
              <w:autoSpaceDN w:val="0"/>
              <w:adjustRightInd w:val="0"/>
              <w:ind w:left="1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10/05/2017</w:t>
            </w:r>
          </w:p>
        </w:tc>
      </w:tr>
    </w:tbl>
    <w:p w14:paraId="6A14BFDB" w14:textId="77777777" w:rsidR="000924EA" w:rsidRPr="00AE4E8D" w:rsidRDefault="000924EA" w:rsidP="000924EA">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A continuación se agrega una breve síntesis biográfica de los gerentes de primera línea que no forman parte de nuestro Directorio: </w:t>
      </w:r>
    </w:p>
    <w:p w14:paraId="391112F8"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Manuel Herrera.</w:t>
      </w:r>
      <w:r w:rsidRPr="00AE4E8D">
        <w:rPr>
          <w:rFonts w:ascii="Times New Roman" w:hAnsi="Times New Roman"/>
          <w:lang w:val="es-ES"/>
        </w:rPr>
        <w:t xml:space="preserve"> El Sr. Herrera obtuvo el título de Licenciado en Administración de Empresas en la Universidad Católica Argentina habiendo cursado estudios de postgrado en la Universidad de Harvard. Se incorporó al Banco en el año 2009. El Sr. Herrera aporta más de 15 años de experiencia en el mercado financiero argentino y de Estados Unidos de América. Anteriormente, estuvo a cargo de diversas áreas dentro de la banca corporativa y de inversión de Bank Boston Argentina.</w:t>
      </w:r>
    </w:p>
    <w:p w14:paraId="5F1188D6"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Gerardo Rovner.</w:t>
      </w:r>
      <w:r w:rsidRPr="00AE4E8D">
        <w:rPr>
          <w:rFonts w:ascii="Times New Roman" w:hAnsi="Times New Roman"/>
          <w:lang w:val="es-ES"/>
        </w:rPr>
        <w:t xml:space="preserve"> El Sr. Rovner obtuvo el título de Licenciado en Economía en la Universidad de Buenos Aires, trabaja con nosotros desde hace 21 años, en los cuales se desempeñó como gerente en las áreas de políticas de riesgo, gestión de cobranza, y riesgos operativos, entre otros. En febrero de 2012 fue designado como Gerente de Área de Auditoría Interna. </w:t>
      </w:r>
    </w:p>
    <w:p w14:paraId="3EBB644A"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Tomás Godino</w:t>
      </w:r>
      <w:r w:rsidRPr="00AE4E8D">
        <w:rPr>
          <w:rFonts w:ascii="Times New Roman" w:hAnsi="Times New Roman"/>
          <w:lang w:val="es-ES"/>
        </w:rPr>
        <w:t xml:space="preserve">. El Sr. Godino obtuvo el título de Contador Público en la Universidad de Buenos Aires y realizó una maestría en finanzas en la Universidad del CEMA. Trabajó hasta el 2006 en la firma PwC en el área de auditoría. Desde entonces hasta la actualidad se desempeña en la gerencia de finanzas de Banco Hipotecario SA, donde ha ocupado el cargo de Gerente de Mercado de Capitales y posteriormente fue nombrado Gerente de Finanzas en 2017. </w:t>
      </w:r>
    </w:p>
    <w:p w14:paraId="36034FF6"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Alejandro Sokol.</w:t>
      </w:r>
      <w:r w:rsidRPr="00AE4E8D">
        <w:rPr>
          <w:rFonts w:ascii="Times New Roman" w:hAnsi="Times New Roman"/>
          <w:lang w:val="es-ES"/>
        </w:rPr>
        <w:t xml:space="preserve"> El Sr. Sokol es graduado de la Universidad de Buenos Aires de Ciencias Económicas, habiendo cursado las carreras de actuario y la licenciatura en economía. Se incorporó al Banco en el año 2009. El Sr. Sokol aporta más de 20 años de experiencia en el mercado financiero, habiendo desarrollado funciones tanto en el ámbito local como internacional en empresas tales como BankBoston, Deloitte and Touche e IRSA.</w:t>
      </w:r>
    </w:p>
    <w:p w14:paraId="381F6B7B"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Guillermo Mansilla.</w:t>
      </w:r>
      <w:r w:rsidRPr="00AE4E8D">
        <w:rPr>
          <w:rFonts w:ascii="Times New Roman" w:hAnsi="Times New Roman"/>
          <w:lang w:val="es-ES"/>
        </w:rPr>
        <w:t xml:space="preserve"> El Sr. Mansilla obtuvo el título de Contador Público en la Universidad Argentina de Empresas y un Máster en Administración de Empresas en la Universidad Católica de Córdoba. Se incorporó al Banco el 7 de noviembre de 2016. Cuenta con una amplia trayectoria en la Industria de Servicios Financieros, liderando diferentes áreas comerciales y de servicios correspondientes a la Banca Minorista y Banca Empresas. Antes de unirse al Banco, su última experiencia laboral fue en el Banco Comafi, donde se desempeñó como Gerente Comercial.</w:t>
      </w:r>
    </w:p>
    <w:p w14:paraId="286B22BB"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Ignacio Uranga.</w:t>
      </w:r>
      <w:r w:rsidRPr="00AE4E8D">
        <w:rPr>
          <w:rFonts w:ascii="Times New Roman" w:hAnsi="Times New Roman"/>
          <w:lang w:val="es-ES"/>
        </w:rPr>
        <w:t xml:space="preserve"> El Sr. Uranga obtuvo el título de Licenciado en Administración de Empresas en la Universidad Católica Argentina. Realizó un MBA en la Universidad del CEMA. Se incorporó al banco en el año 2013. El Sr. Uranga tiene más de 15 años de experiencia en el mercado financiero. Antes de unirse al Banco, estuvo a cargo de la gerencia de finanzas de Edesur, gerente de finanzas de Arcos Dorados Latinoamérica y director de tesorería del Tejar.</w:t>
      </w:r>
    </w:p>
    <w:p w14:paraId="312019A1" w14:textId="77777777" w:rsidR="000924EA" w:rsidRPr="00AE4E8D" w:rsidRDefault="000924EA" w:rsidP="000924EA">
      <w:pPr>
        <w:autoSpaceDE w:val="0"/>
        <w:autoSpaceDN w:val="0"/>
        <w:adjustRightInd w:val="0"/>
        <w:spacing w:before="120" w:after="120"/>
        <w:jc w:val="both"/>
        <w:rPr>
          <w:rFonts w:ascii="Times New Roman" w:hAnsi="Times New Roman"/>
          <w:b/>
          <w:lang w:val="es-ES"/>
        </w:rPr>
      </w:pPr>
      <w:r w:rsidRPr="00AE4E8D">
        <w:rPr>
          <w:rFonts w:ascii="Times New Roman" w:hAnsi="Times New Roman"/>
          <w:b/>
          <w:i/>
          <w:lang w:val="es-ES"/>
        </w:rPr>
        <w:t xml:space="preserve">Mariano Cané. </w:t>
      </w:r>
      <w:r w:rsidRPr="00AE4E8D">
        <w:rPr>
          <w:rFonts w:ascii="Times New Roman" w:hAnsi="Times New Roman"/>
          <w:lang w:val="es-ES"/>
        </w:rPr>
        <w:t>El Sr. Cané de Estrada obtuvo los títulos de Licenciado en Economía y Master en Finanzas de la Universidad Torcuato Di Tella. El Sr. Cané de Estrada aporta más de 20 años de experiencia orientada al mercado financiero de Argentina, EEUU y Europa, habiéndose desempeñado en diversas posiciones gerenciales de portfolio management, risk management y análisis de negocios, incluyendo roles en el Grupo IRSA y en la Organización Techint. En 2012 se ha incorporado al Banco Hipotecario como Gerente de Administración de Activos y Pasivos, y actualmente ocupa el cargo de Gerente de Área de Planeamiento y Control de Gestión.</w:t>
      </w:r>
    </w:p>
    <w:p w14:paraId="37840A15" w14:textId="77777777" w:rsidR="000924EA" w:rsidRPr="00AE4E8D" w:rsidRDefault="000924EA" w:rsidP="000924EA">
      <w:pPr>
        <w:autoSpaceDE w:val="0"/>
        <w:autoSpaceDN w:val="0"/>
        <w:adjustRightInd w:val="0"/>
        <w:spacing w:before="120" w:after="120"/>
        <w:jc w:val="both"/>
        <w:rPr>
          <w:rFonts w:ascii="Times New Roman" w:hAnsi="Times New Roman"/>
          <w:i/>
          <w:lang w:val="es-ES"/>
        </w:rPr>
      </w:pPr>
      <w:r w:rsidRPr="00AE4E8D">
        <w:rPr>
          <w:rFonts w:ascii="Times New Roman" w:hAnsi="Times New Roman"/>
          <w:b/>
          <w:i/>
          <w:lang w:val="es-ES"/>
        </w:rPr>
        <w:lastRenderedPageBreak/>
        <w:t>Sebastián Argibay Molina</w:t>
      </w:r>
      <w:r w:rsidRPr="00AE4E8D">
        <w:rPr>
          <w:rFonts w:ascii="Times New Roman" w:hAnsi="Times New Roman"/>
          <w:b/>
          <w:lang w:val="es-ES"/>
        </w:rPr>
        <w:t>.</w:t>
      </w:r>
      <w:r w:rsidRPr="00AE4E8D">
        <w:rPr>
          <w:rFonts w:ascii="Times New Roman" w:hAnsi="Times New Roman"/>
          <w:lang w:val="es-ES"/>
        </w:rPr>
        <w:t xml:space="preserve"> El Sr. Argibay Molina obtuvo el título de Licenciado en Administración de Empresas en la Universidad de Belgrano y realizó un Posgrado en Gerenciamiento Bancario en la Universidad Torcuato Di Tella. Ingresó al Banco en 1999 y actualmente se desempeña como Gerente del Área de Desarrollo Organizacional y Calidad. Anteriormente, el Sr. Argibay Molina desempeñó distintas funciones. Antes de ingresar al Banco, desarrolló su carrera en consultoría en Coopers &amp; Lybrand (fusionada posteriormente con Price Waterhouse). </w:t>
      </w:r>
    </w:p>
    <w:p w14:paraId="5F83A43D"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Favio Gabriel Podjarny.</w:t>
      </w:r>
      <w:r w:rsidRPr="00AE4E8D">
        <w:rPr>
          <w:rFonts w:ascii="Times New Roman" w:hAnsi="Times New Roman"/>
          <w:lang w:val="es-ES"/>
        </w:rPr>
        <w:t xml:space="preserve"> El Sr. Podjarny ingresó al Banco en diciembre de 2005. Actualmente es el Gerente de Área de Servicios Corporativos. Se desempeñó como Representante del Directorio de IRSA Inversiones y Representaciones Sociedad Anónima, a cargo del Proyecto Abril Club de Campo. Previamente fue director del Centro de Empleo y Emprendimientos Ariel Job Center siendo el responsable de la administración y gestión general de la organización. También estuvo a cargo de la dirección integral de la Sociedad Hebraica Argentina bajo el cargo de director ejecutivo de la Entidad.</w:t>
      </w:r>
    </w:p>
    <w:p w14:paraId="5840A57B"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b/>
          <w:i/>
          <w:lang w:val="es-ES"/>
        </w:rPr>
        <w:t xml:space="preserve">Javier Eduardo Varani. </w:t>
      </w:r>
      <w:r w:rsidRPr="00AE4E8D">
        <w:rPr>
          <w:rFonts w:ascii="Times New Roman" w:hAnsi="Times New Roman"/>
          <w:lang w:val="es-ES"/>
        </w:rPr>
        <w:t>El Sr. Varani ingresó al Banco en junio de 2005 como gerente de Relaciones Institucionales. Previamente se desempeñó en el área de prensa y de asuntos institucionales de Telecom Argentina y de Telecom Personal. Fue concejal en Vicente López (Provincia de Buenos Aires) en el período 1995/1999. Especializado en asuntos municipales, ejerce la docencia universitaria.</w:t>
      </w:r>
    </w:p>
    <w:p w14:paraId="43193A0C" w14:textId="77777777" w:rsidR="000924EA" w:rsidRPr="00AE4E8D" w:rsidRDefault="000924EA" w:rsidP="000924EA">
      <w:pPr>
        <w:autoSpaceDE w:val="0"/>
        <w:autoSpaceDN w:val="0"/>
        <w:adjustRightInd w:val="0"/>
        <w:spacing w:before="120" w:after="120"/>
        <w:jc w:val="both"/>
        <w:rPr>
          <w:rFonts w:ascii="Times New Roman" w:hAnsi="Times New Roman"/>
          <w:b/>
          <w:i/>
          <w:lang w:val="es-ES"/>
        </w:rPr>
      </w:pPr>
      <w:r w:rsidRPr="00AE4E8D">
        <w:rPr>
          <w:rFonts w:ascii="Times New Roman" w:hAnsi="Times New Roman"/>
          <w:b/>
          <w:i/>
          <w:lang w:val="es-ES"/>
        </w:rPr>
        <w:t xml:space="preserve">Esteban Vainer. </w:t>
      </w:r>
      <w:r w:rsidRPr="00AE4E8D">
        <w:rPr>
          <w:rFonts w:ascii="Times New Roman" w:hAnsi="Times New Roman"/>
          <w:lang w:val="es-ES"/>
        </w:rPr>
        <w:t>El Sr. Vainer obtuvo los títulos de Máster en Dirección de Empresas IAE y Licenciado en Administración de Empresas UADE. Se incorporó al Banco en el año 2004 como Gerente de área Banca Minorista hasta marzo del 2016, fecha en la que paso a la Administración Pública desempeñando el cargo de Director Nacional de Inversiones dependiente del Ministerio de Comunicaciones de la Nación hasta abril 2017. Desde entonces fue reincorporado el Banco y se desempeña el cargo de Gerente de área Unidad Desarrollo Integral Vivienda.</w:t>
      </w:r>
    </w:p>
    <w:p w14:paraId="39D4BA72" w14:textId="77777777" w:rsidR="000924EA" w:rsidRPr="00AE4E8D" w:rsidRDefault="000924EA" w:rsidP="000924EA">
      <w:pPr>
        <w:keepNext/>
        <w:autoSpaceDE w:val="0"/>
        <w:autoSpaceDN w:val="0"/>
        <w:adjustRightInd w:val="0"/>
        <w:spacing w:before="240" w:after="240"/>
        <w:outlineLvl w:val="1"/>
        <w:rPr>
          <w:rFonts w:ascii="Times New Roman" w:hAnsi="Times New Roman"/>
          <w:b/>
          <w:lang w:val="es-ES"/>
        </w:rPr>
      </w:pPr>
      <w:bookmarkStart w:id="618" w:name="_Toc495973039"/>
      <w:bookmarkStart w:id="619" w:name="_Toc495399946"/>
      <w:r w:rsidRPr="00AE4E8D">
        <w:rPr>
          <w:rFonts w:ascii="Times New Roman" w:hAnsi="Times New Roman"/>
          <w:b/>
          <w:lang w:val="es-ES"/>
        </w:rPr>
        <w:t>b) Comisión Fiscalizadora</w:t>
      </w:r>
      <w:bookmarkEnd w:id="618"/>
      <w:bookmarkEnd w:id="619"/>
      <w:r w:rsidRPr="00AE4E8D">
        <w:rPr>
          <w:rFonts w:ascii="Times New Roman" w:hAnsi="Times New Roman"/>
          <w:b/>
          <w:lang w:val="es-ES"/>
        </w:rPr>
        <w:t xml:space="preserve"> </w:t>
      </w:r>
    </w:p>
    <w:p w14:paraId="31018A52" w14:textId="77777777" w:rsidR="000924EA" w:rsidRPr="00AE4E8D" w:rsidRDefault="000924EA" w:rsidP="000924EA">
      <w:pPr>
        <w:pStyle w:val="BHTexto"/>
        <w:rPr>
          <w:lang w:val="es-ES"/>
        </w:rPr>
      </w:pPr>
      <w:r w:rsidRPr="00AE4E8D">
        <w:rPr>
          <w:lang w:val="es-ES"/>
        </w:rPr>
        <w:t>El artículo 20 de nuestro Estatuto dispone que la Comisión Fiscalizadora esté integrada por cinco miembros titulares y cinco suplentes. Conforme al inciso b) del mencionado artículo 20 de nuestro Estatuto, los miembros de la Comisión Fiscalizadora son elegidos de la siguiente manera: tres miembros titulares y tres suplentes de la Comisión Fiscalizadora serán elegidos en forma conjunta por las acciones Clase C y Clase D; un titular y un suplente serán elegidos por las acciones Clase B (en la medida en que dichas acciones representen más del 2,0% de nuestro capital accionario) y un miembro titular y un suplente serán elegidos por las acciones Clase A. Los Síndicos titulares y suplentes se designan por períodos de dos años. De conformidad con la ley sólo los abogados y contadores matriculados podrán desempeñarse como síndicos de una sociedad anónima argentina.</w:t>
      </w:r>
    </w:p>
    <w:p w14:paraId="23243CA4" w14:textId="77777777" w:rsidR="000924EA" w:rsidRPr="00AE4E8D" w:rsidRDefault="000924EA" w:rsidP="000924EA">
      <w:pPr>
        <w:pStyle w:val="BHTexto"/>
        <w:rPr>
          <w:lang w:val="es-ES"/>
        </w:rPr>
      </w:pPr>
      <w:r w:rsidRPr="00AE4E8D">
        <w:rPr>
          <w:lang w:val="es-ES"/>
        </w:rPr>
        <w:t>Si las acciones Clase B no representan el 2,0% de nuestro capital social y las acciones Clase C no representen el 3,0% de nuestro capital social, los miembros de la Comisión Fiscalizadora serán reducidos a tres miembros titulares y tres suplentes. Dos miembros titulares y dos suplentes serán elegidos en forma conjunta por las acciones Clase B, C y D, y un miembro titular y un suplente serán elegidos por las acciones Clase A.</w:t>
      </w:r>
    </w:p>
    <w:p w14:paraId="403712AE" w14:textId="77777777" w:rsidR="000924EA" w:rsidRPr="00AE4E8D" w:rsidRDefault="000924EA" w:rsidP="000924EA">
      <w:pPr>
        <w:pStyle w:val="BHTexto"/>
        <w:rPr>
          <w:lang w:val="es-ES"/>
        </w:rPr>
      </w:pPr>
      <w:r w:rsidRPr="00AE4E8D">
        <w:rPr>
          <w:lang w:val="es-ES"/>
        </w:rPr>
        <w:t>Las reuniones pueden ser convocadas por cualquiera de los Síndicos y se celebran con la presencia de la mayoría absoluta de sus miembros, adoptándose las resoluciones por mayoría de votos. De conformidad con el artículo 294 de Ley General de Sociedades Argentina, los principales deberes y facultades de la Comisión Fiscalizadora consisten en (i) supervisar e inspeccionar los libros y registros societarios toda vez que sea necesario, pero como mínimo trimestralmente; (ii) asistir a las reuniones del Directorio, del Comité Ejecutivo y las asambleas de accionistas; (iii) preparar un informe anual sobre nuestra situación financiera y presentarla a los accionistas en la asamblea anual ordinaria; (iv) proveer determinada información relativa a nosotros a solicitud escrita de cualquier accionista titular de como mínimo el 2,0% de nuestro capital en circulación; (v) convocar a asamblea extraordinaria de accionistas cuando sea necesario, por iniciativa propia o a solicitud de los accionistas, o a asamblea ordinaria si el Directorio no lo hace; (vi) incluir asuntos para el orden del día de cualquier asamblea en que deba estar presente la Comisión Fiscalizadora; (vii) supervisar y controlar nuestro cumplimiento de todas las leyes y reglamentaciones, nuestro Estatuto y las decisiones de los accionistas; (viii) investigar las quejas escritas presentadas por accionistas titulares de como mínimo el 2,0% de nuestro capital; (ix) solicitar nuestra disolución judicial y supervisar el proceso; (x) designar directores cuando no quede ninguno en el Directorio y los accionistas no hayan designado a sus sustitutos; y (xi) solicitar intervención judicial en circunstancias extraordinarias, tales como hechos delictivos por parte de los funcionarios ejecutivos que representen una amenaza para nosotros. En el desempeño de estas funciones, la Comisión Fiscalizadora no controla nuestras operaciones.</w:t>
      </w:r>
    </w:p>
    <w:p w14:paraId="1BD47268" w14:textId="77777777" w:rsidR="000924EA" w:rsidRPr="00AE4E8D" w:rsidRDefault="000924EA" w:rsidP="000924EA">
      <w:pPr>
        <w:pStyle w:val="BHTexto"/>
        <w:rPr>
          <w:lang w:val="es-ES"/>
        </w:rPr>
      </w:pPr>
      <w:r w:rsidRPr="00AE4E8D">
        <w:rPr>
          <w:lang w:val="es-ES"/>
        </w:rPr>
        <w:lastRenderedPageBreak/>
        <w:t>Actualmente la Comisión Fiscalizadora está compuesta por cinco síndicos titulares y cinco síndicos suplentes:</w:t>
      </w:r>
    </w:p>
    <w:tbl>
      <w:tblPr>
        <w:tblW w:w="5000" w:type="pct"/>
        <w:jc w:val="center"/>
        <w:tblCellMar>
          <w:left w:w="70" w:type="dxa"/>
          <w:right w:w="70" w:type="dxa"/>
        </w:tblCellMar>
        <w:tblLook w:val="0000" w:firstRow="0" w:lastRow="0" w:firstColumn="0" w:lastColumn="0" w:noHBand="0" w:noVBand="0"/>
      </w:tblPr>
      <w:tblGrid>
        <w:gridCol w:w="1350"/>
        <w:gridCol w:w="700"/>
        <w:gridCol w:w="818"/>
        <w:gridCol w:w="1074"/>
        <w:gridCol w:w="980"/>
        <w:gridCol w:w="1243"/>
        <w:gridCol w:w="991"/>
        <w:gridCol w:w="1489"/>
      </w:tblGrid>
      <w:tr w:rsidR="000924EA" w:rsidRPr="00AE4E8D" w14:paraId="08A5684B" w14:textId="77777777" w:rsidTr="000400C8">
        <w:trPr>
          <w:trHeight w:val="372"/>
          <w:tblHeader/>
          <w:jc w:val="center"/>
        </w:trPr>
        <w:tc>
          <w:tcPr>
            <w:tcW w:w="781" w:type="pct"/>
            <w:tcBorders>
              <w:top w:val="single" w:sz="4" w:space="0" w:color="auto"/>
              <w:bottom w:val="single" w:sz="4" w:space="0" w:color="auto"/>
            </w:tcBorders>
            <w:vAlign w:val="center"/>
          </w:tcPr>
          <w:p w14:paraId="4035C76A"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b/>
                <w:sz w:val="16"/>
                <w:szCs w:val="16"/>
                <w:lang w:val="es-ES" w:eastAsia="es-ES"/>
              </w:rPr>
            </w:pPr>
            <w:r w:rsidRPr="00AE4E8D">
              <w:rPr>
                <w:rFonts w:ascii="Times New Roman" w:hAnsi="Times New Roman"/>
                <w:b/>
                <w:sz w:val="16"/>
                <w:szCs w:val="16"/>
                <w:lang w:val="es-ES" w:eastAsia="es-ES"/>
              </w:rPr>
              <w:t>Nombre</w:t>
            </w:r>
          </w:p>
        </w:tc>
        <w:tc>
          <w:tcPr>
            <w:tcW w:w="405" w:type="pct"/>
            <w:tcBorders>
              <w:top w:val="single" w:sz="4" w:space="0" w:color="auto"/>
              <w:bottom w:val="single" w:sz="4" w:space="0" w:color="auto"/>
            </w:tcBorders>
            <w:vAlign w:val="center"/>
          </w:tcPr>
          <w:p w14:paraId="6A2FF9DC"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Cargo</w:t>
            </w:r>
          </w:p>
        </w:tc>
        <w:tc>
          <w:tcPr>
            <w:tcW w:w="473" w:type="pct"/>
            <w:tcBorders>
              <w:top w:val="single" w:sz="4" w:space="0" w:color="auto"/>
              <w:bottom w:val="single" w:sz="4" w:space="0" w:color="auto"/>
            </w:tcBorders>
            <w:vAlign w:val="center"/>
          </w:tcPr>
          <w:p w14:paraId="4D914A48"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Clase</w:t>
            </w:r>
          </w:p>
        </w:tc>
        <w:tc>
          <w:tcPr>
            <w:tcW w:w="621" w:type="pct"/>
            <w:tcBorders>
              <w:top w:val="single" w:sz="4" w:space="0" w:color="auto"/>
              <w:bottom w:val="single" w:sz="4" w:space="0" w:color="auto"/>
            </w:tcBorders>
            <w:vAlign w:val="center"/>
          </w:tcPr>
          <w:p w14:paraId="59DB926F"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Vencimiento de Mandato</w:t>
            </w:r>
          </w:p>
        </w:tc>
        <w:tc>
          <w:tcPr>
            <w:tcW w:w="567" w:type="pct"/>
            <w:tcBorders>
              <w:top w:val="single" w:sz="4" w:space="0" w:color="auto"/>
              <w:bottom w:val="single" w:sz="4" w:space="0" w:color="auto"/>
            </w:tcBorders>
            <w:vAlign w:val="center"/>
          </w:tcPr>
          <w:p w14:paraId="578D83D7"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DNI</w:t>
            </w:r>
          </w:p>
        </w:tc>
        <w:tc>
          <w:tcPr>
            <w:tcW w:w="719" w:type="pct"/>
            <w:tcBorders>
              <w:top w:val="single" w:sz="4" w:space="0" w:color="auto"/>
              <w:bottom w:val="single" w:sz="4" w:space="0" w:color="auto"/>
            </w:tcBorders>
            <w:vAlign w:val="center"/>
          </w:tcPr>
          <w:p w14:paraId="6B07AEF0"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b/>
                <w:sz w:val="16"/>
                <w:szCs w:val="16"/>
                <w:lang w:val="es-ES" w:eastAsia="es-ES"/>
              </w:rPr>
            </w:pPr>
            <w:r w:rsidRPr="00AE4E8D">
              <w:rPr>
                <w:rFonts w:ascii="Times New Roman" w:hAnsi="Times New Roman"/>
                <w:b/>
                <w:sz w:val="16"/>
                <w:szCs w:val="16"/>
                <w:lang w:val="es-ES" w:eastAsia="es-ES"/>
              </w:rPr>
              <w:t>CUIL/CUIT</w:t>
            </w:r>
          </w:p>
        </w:tc>
        <w:tc>
          <w:tcPr>
            <w:tcW w:w="573" w:type="pct"/>
            <w:tcBorders>
              <w:top w:val="single" w:sz="4" w:space="0" w:color="auto"/>
              <w:bottom w:val="single" w:sz="4" w:space="0" w:color="auto"/>
            </w:tcBorders>
            <w:vAlign w:val="center"/>
          </w:tcPr>
          <w:p w14:paraId="20CF133E"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b/>
                <w:sz w:val="16"/>
                <w:szCs w:val="16"/>
                <w:lang w:val="es-ES" w:eastAsia="es-ES"/>
              </w:rPr>
            </w:pPr>
            <w:r w:rsidRPr="00AE4E8D">
              <w:rPr>
                <w:rFonts w:ascii="Times New Roman" w:hAnsi="Times New Roman"/>
                <w:b/>
                <w:sz w:val="16"/>
                <w:szCs w:val="16"/>
                <w:lang w:val="es-ES" w:eastAsia="es-ES"/>
              </w:rPr>
              <w:t>Domicilio</w:t>
            </w:r>
          </w:p>
        </w:tc>
        <w:tc>
          <w:tcPr>
            <w:tcW w:w="861" w:type="pct"/>
            <w:tcBorders>
              <w:top w:val="single" w:sz="4" w:space="0" w:color="auto"/>
              <w:bottom w:val="single" w:sz="4" w:space="0" w:color="auto"/>
            </w:tcBorders>
            <w:vAlign w:val="center"/>
          </w:tcPr>
          <w:p w14:paraId="4321F449"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b/>
                <w:sz w:val="16"/>
                <w:szCs w:val="16"/>
                <w:lang w:val="es-ES" w:eastAsia="es-ES"/>
              </w:rPr>
            </w:pPr>
            <w:r w:rsidRPr="00AE4E8D">
              <w:rPr>
                <w:rFonts w:ascii="Times New Roman" w:hAnsi="Times New Roman"/>
                <w:b/>
                <w:sz w:val="16"/>
                <w:szCs w:val="16"/>
                <w:lang w:val="es-ES" w:eastAsia="es-ES"/>
              </w:rPr>
              <w:t>Fecha desde la que ocupa el cargo</w:t>
            </w:r>
          </w:p>
        </w:tc>
      </w:tr>
      <w:tr w:rsidR="000924EA" w:rsidRPr="00AE4E8D" w14:paraId="4395B3EA" w14:textId="77777777" w:rsidTr="000400C8">
        <w:trPr>
          <w:trHeight w:val="382"/>
          <w:jc w:val="center"/>
        </w:trPr>
        <w:tc>
          <w:tcPr>
            <w:tcW w:w="781" w:type="pct"/>
            <w:vAlign w:val="center"/>
          </w:tcPr>
          <w:p w14:paraId="4C9EBB92"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 xml:space="preserve">Francisco Daniel González </w:t>
            </w:r>
          </w:p>
        </w:tc>
        <w:tc>
          <w:tcPr>
            <w:tcW w:w="405" w:type="pct"/>
            <w:vAlign w:val="center"/>
          </w:tcPr>
          <w:p w14:paraId="008E9DF8"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7A4EE2F8"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A</w:t>
            </w:r>
          </w:p>
        </w:tc>
        <w:tc>
          <w:tcPr>
            <w:tcW w:w="621" w:type="pct"/>
            <w:vAlign w:val="center"/>
          </w:tcPr>
          <w:p w14:paraId="3F6646EC"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51BB904B" w14:textId="77777777" w:rsidR="000924EA" w:rsidRPr="00AE4E8D" w:rsidRDefault="000924EA" w:rsidP="00232C94">
            <w:pPr>
              <w:widowControl w:val="0"/>
              <w:tabs>
                <w:tab w:val="right" w:leader="dot" w:pos="5310"/>
              </w:tabs>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8.474.624</w:t>
            </w:r>
          </w:p>
        </w:tc>
        <w:tc>
          <w:tcPr>
            <w:tcW w:w="719" w:type="pct"/>
            <w:vAlign w:val="center"/>
          </w:tcPr>
          <w:p w14:paraId="239B6ECE"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20-08474624-0</w:t>
            </w:r>
          </w:p>
        </w:tc>
        <w:tc>
          <w:tcPr>
            <w:tcW w:w="573" w:type="pct"/>
            <w:vAlign w:val="center"/>
          </w:tcPr>
          <w:p w14:paraId="1CF69B59"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Corrientes 381, CABA.</w:t>
            </w:r>
          </w:p>
        </w:tc>
        <w:tc>
          <w:tcPr>
            <w:tcW w:w="861" w:type="pct"/>
            <w:vAlign w:val="center"/>
          </w:tcPr>
          <w:p w14:paraId="3BB255E3"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31/03/2015</w:t>
            </w:r>
          </w:p>
        </w:tc>
      </w:tr>
      <w:tr w:rsidR="000924EA" w:rsidRPr="00AE4E8D" w14:paraId="64C445E7" w14:textId="77777777" w:rsidTr="000400C8">
        <w:trPr>
          <w:trHeight w:val="382"/>
          <w:jc w:val="center"/>
        </w:trPr>
        <w:tc>
          <w:tcPr>
            <w:tcW w:w="781" w:type="pct"/>
            <w:vAlign w:val="center"/>
          </w:tcPr>
          <w:p w14:paraId="6123F8AA"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Héctor Oscar Ivancich</w:t>
            </w:r>
          </w:p>
        </w:tc>
        <w:tc>
          <w:tcPr>
            <w:tcW w:w="405" w:type="pct"/>
            <w:vAlign w:val="center"/>
          </w:tcPr>
          <w:p w14:paraId="3C0777BC"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0589494F"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B</w:t>
            </w:r>
          </w:p>
        </w:tc>
        <w:tc>
          <w:tcPr>
            <w:tcW w:w="621" w:type="pct"/>
            <w:vAlign w:val="center"/>
          </w:tcPr>
          <w:p w14:paraId="7ECDFF49"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3FC79E70" w14:textId="77777777" w:rsidR="000924EA" w:rsidRPr="00AE4E8D" w:rsidRDefault="000924EA" w:rsidP="00232C94">
            <w:pPr>
              <w:widowControl w:val="0"/>
              <w:tabs>
                <w:tab w:val="right" w:leader="dot" w:pos="5310"/>
              </w:tabs>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4.532.118</w:t>
            </w:r>
          </w:p>
        </w:tc>
        <w:tc>
          <w:tcPr>
            <w:tcW w:w="719" w:type="pct"/>
            <w:vAlign w:val="center"/>
          </w:tcPr>
          <w:p w14:paraId="6815FF88"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20-04532118-6</w:t>
            </w:r>
          </w:p>
        </w:tc>
        <w:tc>
          <w:tcPr>
            <w:tcW w:w="573" w:type="pct"/>
            <w:vAlign w:val="center"/>
          </w:tcPr>
          <w:p w14:paraId="2EF9043C"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Corrientes 381, CABA.</w:t>
            </w:r>
          </w:p>
        </w:tc>
        <w:tc>
          <w:tcPr>
            <w:tcW w:w="861" w:type="pct"/>
            <w:vAlign w:val="center"/>
          </w:tcPr>
          <w:p w14:paraId="222446FE"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31/03/2015</w:t>
            </w:r>
          </w:p>
        </w:tc>
      </w:tr>
      <w:tr w:rsidR="000924EA" w:rsidRPr="00AE4E8D" w14:paraId="40AA7B50" w14:textId="77777777" w:rsidTr="000400C8">
        <w:trPr>
          <w:trHeight w:val="382"/>
          <w:jc w:val="center"/>
        </w:trPr>
        <w:tc>
          <w:tcPr>
            <w:tcW w:w="781" w:type="pct"/>
            <w:vAlign w:val="center"/>
          </w:tcPr>
          <w:p w14:paraId="58BAA1A2"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José Daniel Abelovich</w:t>
            </w:r>
          </w:p>
        </w:tc>
        <w:tc>
          <w:tcPr>
            <w:tcW w:w="405" w:type="pct"/>
            <w:vAlign w:val="center"/>
          </w:tcPr>
          <w:p w14:paraId="0AD7A137"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0D507AE6"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63877AB5"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5F7B5196"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12.076.652</w:t>
            </w:r>
          </w:p>
        </w:tc>
        <w:tc>
          <w:tcPr>
            <w:tcW w:w="719" w:type="pct"/>
            <w:vAlign w:val="center"/>
          </w:tcPr>
          <w:p w14:paraId="18F5CD8C"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20-12076652-0</w:t>
            </w:r>
          </w:p>
        </w:tc>
        <w:tc>
          <w:tcPr>
            <w:tcW w:w="573" w:type="pct"/>
            <w:vAlign w:val="center"/>
          </w:tcPr>
          <w:p w14:paraId="28DB3679"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sz w:val="16"/>
                <w:szCs w:val="16"/>
                <w:lang w:val="es-ES" w:eastAsia="es-ES"/>
              </w:rPr>
            </w:pPr>
            <w:r w:rsidRPr="00AE4E8D">
              <w:rPr>
                <w:rFonts w:ascii="Times New Roman" w:hAnsi="Times New Roman"/>
                <w:color w:val="000000"/>
                <w:sz w:val="16"/>
                <w:szCs w:val="16"/>
                <w:lang w:val="es-ES" w:eastAsia="es-ES"/>
              </w:rPr>
              <w:t>25 de mayo 596 piso 8°, CABA.</w:t>
            </w:r>
          </w:p>
        </w:tc>
        <w:tc>
          <w:tcPr>
            <w:tcW w:w="861" w:type="pct"/>
            <w:vAlign w:val="center"/>
          </w:tcPr>
          <w:p w14:paraId="7CC585C9"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17/05/2001</w:t>
            </w:r>
          </w:p>
        </w:tc>
      </w:tr>
      <w:tr w:rsidR="000924EA" w:rsidRPr="00AE4E8D" w14:paraId="759B14AA" w14:textId="77777777" w:rsidTr="000400C8">
        <w:trPr>
          <w:trHeight w:val="382"/>
          <w:jc w:val="center"/>
        </w:trPr>
        <w:tc>
          <w:tcPr>
            <w:tcW w:w="781" w:type="pct"/>
            <w:vAlign w:val="center"/>
          </w:tcPr>
          <w:p w14:paraId="67497950"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Marcelo Héctor Fuxman</w:t>
            </w:r>
          </w:p>
        </w:tc>
        <w:tc>
          <w:tcPr>
            <w:tcW w:w="405" w:type="pct"/>
            <w:vAlign w:val="center"/>
          </w:tcPr>
          <w:p w14:paraId="08BFD652"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428DBC9D"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5289AF0C"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070D3B4D"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11.889.826</w:t>
            </w:r>
          </w:p>
        </w:tc>
        <w:tc>
          <w:tcPr>
            <w:tcW w:w="719" w:type="pct"/>
            <w:vAlign w:val="center"/>
          </w:tcPr>
          <w:p w14:paraId="21A8A795"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20-11889826-6</w:t>
            </w:r>
          </w:p>
        </w:tc>
        <w:tc>
          <w:tcPr>
            <w:tcW w:w="573" w:type="pct"/>
            <w:vAlign w:val="center"/>
          </w:tcPr>
          <w:p w14:paraId="5E31B1DB"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sz w:val="16"/>
                <w:szCs w:val="16"/>
                <w:lang w:val="es-ES" w:eastAsia="es-ES"/>
              </w:rPr>
            </w:pPr>
            <w:r w:rsidRPr="00AE4E8D">
              <w:rPr>
                <w:rFonts w:ascii="Times New Roman" w:hAnsi="Times New Roman"/>
                <w:color w:val="000000"/>
                <w:sz w:val="16"/>
                <w:szCs w:val="16"/>
                <w:lang w:val="es-ES" w:eastAsia="es-ES"/>
              </w:rPr>
              <w:t>25 de mayo 596 piso 8°, CABA.</w:t>
            </w:r>
          </w:p>
        </w:tc>
        <w:tc>
          <w:tcPr>
            <w:tcW w:w="861" w:type="pct"/>
            <w:vAlign w:val="center"/>
          </w:tcPr>
          <w:p w14:paraId="3380F746"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17/05/2001</w:t>
            </w:r>
          </w:p>
        </w:tc>
      </w:tr>
      <w:tr w:rsidR="000924EA" w:rsidRPr="00AE4E8D" w14:paraId="306F5E8E" w14:textId="77777777" w:rsidTr="000400C8">
        <w:trPr>
          <w:trHeight w:val="382"/>
          <w:jc w:val="center"/>
        </w:trPr>
        <w:tc>
          <w:tcPr>
            <w:tcW w:w="781" w:type="pct"/>
            <w:vAlign w:val="center"/>
          </w:tcPr>
          <w:p w14:paraId="5974AE99"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Ricardo Flammini</w:t>
            </w:r>
          </w:p>
        </w:tc>
        <w:tc>
          <w:tcPr>
            <w:tcW w:w="405" w:type="pct"/>
            <w:vAlign w:val="center"/>
          </w:tcPr>
          <w:p w14:paraId="6C5B12B3"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Titular</w:t>
            </w:r>
          </w:p>
        </w:tc>
        <w:tc>
          <w:tcPr>
            <w:tcW w:w="473" w:type="pct"/>
            <w:vAlign w:val="center"/>
          </w:tcPr>
          <w:p w14:paraId="7CE9452D"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1C0FBBC5"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22A3481D"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4.351.316</w:t>
            </w:r>
          </w:p>
        </w:tc>
        <w:tc>
          <w:tcPr>
            <w:tcW w:w="719" w:type="pct"/>
            <w:vAlign w:val="center"/>
          </w:tcPr>
          <w:p w14:paraId="6D124850"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20-04351316-9</w:t>
            </w:r>
          </w:p>
        </w:tc>
        <w:tc>
          <w:tcPr>
            <w:tcW w:w="573" w:type="pct"/>
            <w:vAlign w:val="center"/>
          </w:tcPr>
          <w:p w14:paraId="716D25B6"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Reconquista 151 piso 5°, CABA.</w:t>
            </w:r>
          </w:p>
        </w:tc>
        <w:tc>
          <w:tcPr>
            <w:tcW w:w="861" w:type="pct"/>
            <w:vAlign w:val="center"/>
          </w:tcPr>
          <w:p w14:paraId="034CB2AE"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30/05/2003</w:t>
            </w:r>
          </w:p>
        </w:tc>
      </w:tr>
      <w:tr w:rsidR="000924EA" w:rsidRPr="00AE4E8D" w14:paraId="2905EEF5" w14:textId="77777777" w:rsidTr="000400C8">
        <w:trPr>
          <w:trHeight w:val="382"/>
          <w:jc w:val="center"/>
        </w:trPr>
        <w:tc>
          <w:tcPr>
            <w:tcW w:w="781" w:type="pct"/>
            <w:vAlign w:val="center"/>
          </w:tcPr>
          <w:p w14:paraId="3B8B40E9"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Marcelo Eduardo Couvin (*)</w:t>
            </w:r>
          </w:p>
        </w:tc>
        <w:tc>
          <w:tcPr>
            <w:tcW w:w="405" w:type="pct"/>
            <w:vAlign w:val="center"/>
          </w:tcPr>
          <w:p w14:paraId="6845F486"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5EC29643"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A</w:t>
            </w:r>
          </w:p>
        </w:tc>
        <w:tc>
          <w:tcPr>
            <w:tcW w:w="621" w:type="pct"/>
            <w:vAlign w:val="center"/>
          </w:tcPr>
          <w:p w14:paraId="6A0B8385"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56C176D5"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12.588.247</w:t>
            </w:r>
          </w:p>
        </w:tc>
        <w:tc>
          <w:tcPr>
            <w:tcW w:w="719" w:type="pct"/>
            <w:vAlign w:val="center"/>
          </w:tcPr>
          <w:p w14:paraId="56F8AA56"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20-12588247-2</w:t>
            </w:r>
          </w:p>
        </w:tc>
        <w:tc>
          <w:tcPr>
            <w:tcW w:w="573" w:type="pct"/>
            <w:vAlign w:val="center"/>
          </w:tcPr>
          <w:p w14:paraId="1CAB80BB"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sz w:val="16"/>
                <w:szCs w:val="16"/>
                <w:lang w:val="es-ES" w:eastAsia="es-ES"/>
              </w:rPr>
            </w:pPr>
            <w:r w:rsidRPr="00AE4E8D">
              <w:rPr>
                <w:rFonts w:ascii="Times New Roman" w:hAnsi="Times New Roman"/>
                <w:color w:val="000000"/>
                <w:sz w:val="16"/>
                <w:szCs w:val="16"/>
                <w:lang w:val="es-ES" w:eastAsia="es-ES"/>
              </w:rPr>
              <w:t>Corrientes 381, CABA</w:t>
            </w:r>
          </w:p>
        </w:tc>
        <w:tc>
          <w:tcPr>
            <w:tcW w:w="861" w:type="pct"/>
            <w:vAlign w:val="center"/>
          </w:tcPr>
          <w:p w14:paraId="7A765774"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04/04/2017</w:t>
            </w:r>
          </w:p>
        </w:tc>
      </w:tr>
      <w:tr w:rsidR="000924EA" w:rsidRPr="00AE4E8D" w14:paraId="409B8E5E" w14:textId="77777777" w:rsidTr="000400C8">
        <w:trPr>
          <w:trHeight w:val="369"/>
          <w:jc w:val="center"/>
        </w:trPr>
        <w:tc>
          <w:tcPr>
            <w:tcW w:w="781" w:type="pct"/>
            <w:vAlign w:val="center"/>
          </w:tcPr>
          <w:p w14:paraId="63AD038B"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Gabriel Andrés Carretero</w:t>
            </w:r>
          </w:p>
        </w:tc>
        <w:tc>
          <w:tcPr>
            <w:tcW w:w="405" w:type="pct"/>
            <w:vAlign w:val="center"/>
          </w:tcPr>
          <w:p w14:paraId="7F6DE3D4"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35CA3148"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B</w:t>
            </w:r>
          </w:p>
        </w:tc>
        <w:tc>
          <w:tcPr>
            <w:tcW w:w="621" w:type="pct"/>
            <w:vAlign w:val="center"/>
          </w:tcPr>
          <w:p w14:paraId="28D154F9"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01B5A8AE"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sz w:val="16"/>
                <w:szCs w:val="16"/>
                <w:lang w:val="es-ES" w:eastAsia="es-ES"/>
              </w:rPr>
              <w:t>4.125.903</w:t>
            </w:r>
          </w:p>
        </w:tc>
        <w:tc>
          <w:tcPr>
            <w:tcW w:w="719" w:type="pct"/>
            <w:vAlign w:val="center"/>
          </w:tcPr>
          <w:p w14:paraId="3114D4FB"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20-04125903-6</w:t>
            </w:r>
          </w:p>
        </w:tc>
        <w:tc>
          <w:tcPr>
            <w:tcW w:w="573" w:type="pct"/>
            <w:vAlign w:val="center"/>
          </w:tcPr>
          <w:p w14:paraId="073B7CC1"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sz w:val="16"/>
                <w:szCs w:val="16"/>
                <w:lang w:val="es-ES" w:eastAsia="es-ES"/>
              </w:rPr>
            </w:pPr>
            <w:r w:rsidRPr="00AE4E8D">
              <w:rPr>
                <w:rFonts w:ascii="Times New Roman" w:hAnsi="Times New Roman"/>
                <w:color w:val="000000"/>
                <w:sz w:val="16"/>
                <w:szCs w:val="16"/>
                <w:lang w:val="es-ES" w:eastAsia="es-ES"/>
              </w:rPr>
              <w:t>Corrientes 381, CABA.</w:t>
            </w:r>
          </w:p>
        </w:tc>
        <w:tc>
          <w:tcPr>
            <w:tcW w:w="861" w:type="pct"/>
            <w:vAlign w:val="center"/>
          </w:tcPr>
          <w:p w14:paraId="102D9AE2"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13/04/2016</w:t>
            </w:r>
          </w:p>
        </w:tc>
      </w:tr>
      <w:tr w:rsidR="000924EA" w:rsidRPr="00AE4E8D" w14:paraId="062C7868" w14:textId="77777777" w:rsidTr="000400C8">
        <w:trPr>
          <w:trHeight w:val="369"/>
          <w:jc w:val="center"/>
        </w:trPr>
        <w:tc>
          <w:tcPr>
            <w:tcW w:w="781" w:type="pct"/>
            <w:vAlign w:val="center"/>
          </w:tcPr>
          <w:p w14:paraId="2AB183D1"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Roberto Murmis</w:t>
            </w:r>
          </w:p>
        </w:tc>
        <w:tc>
          <w:tcPr>
            <w:tcW w:w="405" w:type="pct"/>
            <w:vAlign w:val="center"/>
          </w:tcPr>
          <w:p w14:paraId="771AB054"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55EB8AB0"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48346BA9"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1E13178D"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13.120.813</w:t>
            </w:r>
          </w:p>
        </w:tc>
        <w:tc>
          <w:tcPr>
            <w:tcW w:w="719" w:type="pct"/>
            <w:vAlign w:val="center"/>
          </w:tcPr>
          <w:p w14:paraId="5D7B37F0"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20-13120813-9</w:t>
            </w:r>
          </w:p>
        </w:tc>
        <w:tc>
          <w:tcPr>
            <w:tcW w:w="573" w:type="pct"/>
            <w:vAlign w:val="center"/>
          </w:tcPr>
          <w:p w14:paraId="5B1DE979"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25 de mayo 596, CABA.</w:t>
            </w:r>
          </w:p>
        </w:tc>
        <w:tc>
          <w:tcPr>
            <w:tcW w:w="861" w:type="pct"/>
            <w:vAlign w:val="center"/>
          </w:tcPr>
          <w:p w14:paraId="2592A764"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24/04/2013</w:t>
            </w:r>
          </w:p>
        </w:tc>
      </w:tr>
      <w:tr w:rsidR="000924EA" w:rsidRPr="00AE4E8D" w14:paraId="3B2F7B0D" w14:textId="77777777" w:rsidTr="000400C8">
        <w:trPr>
          <w:trHeight w:val="382"/>
          <w:jc w:val="center"/>
        </w:trPr>
        <w:tc>
          <w:tcPr>
            <w:tcW w:w="781" w:type="pct"/>
            <w:vAlign w:val="center"/>
          </w:tcPr>
          <w:p w14:paraId="7313CF6C"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Alicia Rigueira</w:t>
            </w:r>
          </w:p>
        </w:tc>
        <w:tc>
          <w:tcPr>
            <w:tcW w:w="405" w:type="pct"/>
            <w:vAlign w:val="center"/>
          </w:tcPr>
          <w:p w14:paraId="5A09516D"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3285B1B8"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4DFFA1A1"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62E889C2" w14:textId="77777777" w:rsidR="000924EA" w:rsidRPr="00AE4E8D" w:rsidRDefault="000924EA" w:rsidP="00232C94">
            <w:pPr>
              <w:widowControl w:val="0"/>
              <w:tabs>
                <w:tab w:val="right" w:leader="dot" w:pos="5310"/>
              </w:tabs>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AR"/>
              </w:rPr>
              <w:t>10.181.131</w:t>
            </w:r>
          </w:p>
        </w:tc>
        <w:tc>
          <w:tcPr>
            <w:tcW w:w="719" w:type="pct"/>
            <w:vAlign w:val="center"/>
          </w:tcPr>
          <w:p w14:paraId="0DF9C360"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color w:val="000000"/>
                <w:sz w:val="16"/>
                <w:szCs w:val="16"/>
                <w:lang w:val="es-ES" w:eastAsia="es-ES"/>
              </w:rPr>
            </w:pPr>
            <w:r w:rsidRPr="00AE4E8D">
              <w:rPr>
                <w:rFonts w:ascii="Times New Roman" w:hAnsi="Times New Roman"/>
                <w:sz w:val="16"/>
                <w:szCs w:val="16"/>
                <w:lang w:val="es-ES" w:eastAsia="es-AR"/>
              </w:rPr>
              <w:t>27-10181131-5</w:t>
            </w:r>
          </w:p>
        </w:tc>
        <w:tc>
          <w:tcPr>
            <w:tcW w:w="573" w:type="pct"/>
            <w:vAlign w:val="center"/>
          </w:tcPr>
          <w:p w14:paraId="41C902EE"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25 de mayo 596 piso 8°, CABA.</w:t>
            </w:r>
          </w:p>
        </w:tc>
        <w:tc>
          <w:tcPr>
            <w:tcW w:w="861" w:type="pct"/>
            <w:vAlign w:val="center"/>
          </w:tcPr>
          <w:p w14:paraId="5782421F"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31/03/2015</w:t>
            </w:r>
          </w:p>
        </w:tc>
      </w:tr>
      <w:tr w:rsidR="000924EA" w:rsidRPr="00AE4E8D" w14:paraId="40C5821A" w14:textId="77777777" w:rsidTr="000400C8">
        <w:trPr>
          <w:trHeight w:val="382"/>
          <w:jc w:val="center"/>
        </w:trPr>
        <w:tc>
          <w:tcPr>
            <w:tcW w:w="781" w:type="pct"/>
            <w:vAlign w:val="center"/>
          </w:tcPr>
          <w:p w14:paraId="279068C2" w14:textId="77777777" w:rsidR="000924EA" w:rsidRPr="00AE4E8D" w:rsidRDefault="000924EA" w:rsidP="00232C94">
            <w:pPr>
              <w:widowControl w:val="0"/>
              <w:tabs>
                <w:tab w:val="right" w:leader="dot" w:pos="5310"/>
              </w:tabs>
              <w:spacing w:before="100" w:beforeAutospacing="1" w:after="100" w:afterAutospacing="1"/>
              <w:rPr>
                <w:rFonts w:ascii="Times New Roman" w:hAnsi="Times New Roman"/>
                <w:sz w:val="16"/>
                <w:szCs w:val="16"/>
                <w:lang w:val="es-ES" w:eastAsia="es-ES"/>
              </w:rPr>
            </w:pPr>
            <w:r w:rsidRPr="00AE4E8D">
              <w:rPr>
                <w:rFonts w:ascii="Times New Roman" w:hAnsi="Times New Roman"/>
                <w:sz w:val="16"/>
                <w:szCs w:val="16"/>
                <w:lang w:val="es-ES" w:eastAsia="es-ES"/>
              </w:rPr>
              <w:t>Noemí Cohn</w:t>
            </w:r>
          </w:p>
        </w:tc>
        <w:tc>
          <w:tcPr>
            <w:tcW w:w="405" w:type="pct"/>
            <w:vAlign w:val="center"/>
          </w:tcPr>
          <w:p w14:paraId="6A0F9571"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Síndico Suplente</w:t>
            </w:r>
          </w:p>
        </w:tc>
        <w:tc>
          <w:tcPr>
            <w:tcW w:w="473" w:type="pct"/>
            <w:vAlign w:val="center"/>
          </w:tcPr>
          <w:p w14:paraId="72E50E61"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sz w:val="16"/>
                <w:szCs w:val="16"/>
                <w:lang w:val="es-ES" w:eastAsia="es-ES"/>
              </w:rPr>
              <w:t>C y D</w:t>
            </w:r>
          </w:p>
        </w:tc>
        <w:tc>
          <w:tcPr>
            <w:tcW w:w="621" w:type="pct"/>
            <w:vAlign w:val="center"/>
          </w:tcPr>
          <w:p w14:paraId="58658284" w14:textId="77777777" w:rsidR="000924EA" w:rsidRPr="00AE4E8D" w:rsidRDefault="000924EA" w:rsidP="00232C94">
            <w:pPr>
              <w:widowControl w:val="0"/>
              <w:tabs>
                <w:tab w:val="right" w:leader="dot" w:pos="5310"/>
              </w:tabs>
              <w:spacing w:before="100" w:beforeAutospacing="1" w:after="100" w:afterAutospacing="1"/>
              <w:ind w:left="71"/>
              <w:jc w:val="center"/>
              <w:rPr>
                <w:rFonts w:ascii="Times New Roman" w:hAnsi="Times New Roman"/>
                <w:sz w:val="16"/>
                <w:szCs w:val="16"/>
                <w:lang w:val="es-ES" w:eastAsia="es-ES"/>
              </w:rPr>
            </w:pPr>
            <w:r w:rsidRPr="00AE4E8D">
              <w:rPr>
                <w:rFonts w:ascii="Times New Roman" w:hAnsi="Times New Roman"/>
                <w:sz w:val="16"/>
                <w:szCs w:val="16"/>
                <w:lang w:val="es-ES" w:eastAsia="es-ES"/>
              </w:rPr>
              <w:t>31 de diciembre de 2018</w:t>
            </w:r>
          </w:p>
        </w:tc>
        <w:tc>
          <w:tcPr>
            <w:tcW w:w="567" w:type="pct"/>
            <w:vAlign w:val="center"/>
          </w:tcPr>
          <w:p w14:paraId="494CF5B8" w14:textId="77777777" w:rsidR="000924EA" w:rsidRPr="00AE4E8D" w:rsidRDefault="000924EA" w:rsidP="00232C94">
            <w:pPr>
              <w:widowControl w:val="0"/>
              <w:tabs>
                <w:tab w:val="right" w:leader="dot" w:pos="5310"/>
              </w:tabs>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13.081.575</w:t>
            </w:r>
          </w:p>
        </w:tc>
        <w:tc>
          <w:tcPr>
            <w:tcW w:w="719" w:type="pct"/>
            <w:vAlign w:val="center"/>
          </w:tcPr>
          <w:p w14:paraId="287B5FAC" w14:textId="77777777" w:rsidR="000924EA" w:rsidRPr="00AE4E8D" w:rsidRDefault="000924EA" w:rsidP="00232C94">
            <w:pPr>
              <w:widowControl w:val="0"/>
              <w:tabs>
                <w:tab w:val="right" w:leader="dot" w:pos="5310"/>
              </w:tabs>
              <w:spacing w:before="100" w:beforeAutospacing="1" w:after="100" w:afterAutospacing="1"/>
              <w:jc w:val="center"/>
              <w:rPr>
                <w:rFonts w:ascii="Times New Roman" w:hAnsi="Times New Roman"/>
                <w:sz w:val="16"/>
                <w:szCs w:val="16"/>
                <w:lang w:val="es-ES" w:eastAsia="es-ES"/>
              </w:rPr>
            </w:pPr>
            <w:r w:rsidRPr="00AE4E8D">
              <w:rPr>
                <w:rFonts w:ascii="Times New Roman" w:hAnsi="Times New Roman"/>
                <w:color w:val="000000"/>
                <w:sz w:val="16"/>
                <w:szCs w:val="16"/>
                <w:lang w:val="es-ES" w:eastAsia="es-ES"/>
              </w:rPr>
              <w:t>27-13081575-3</w:t>
            </w:r>
          </w:p>
        </w:tc>
        <w:tc>
          <w:tcPr>
            <w:tcW w:w="573" w:type="pct"/>
            <w:vAlign w:val="center"/>
          </w:tcPr>
          <w:p w14:paraId="20121C6F" w14:textId="77777777" w:rsidR="000924EA" w:rsidRPr="00AE4E8D" w:rsidRDefault="000924EA" w:rsidP="00232C94">
            <w:pPr>
              <w:widowControl w:val="0"/>
              <w:tabs>
                <w:tab w:val="right" w:leader="dot" w:pos="5310"/>
              </w:tabs>
              <w:spacing w:before="100" w:beforeAutospacing="1" w:after="100" w:afterAutospacing="1"/>
              <w:ind w:left="14"/>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25 de mayo 596 piso 8°, CABA.</w:t>
            </w:r>
          </w:p>
        </w:tc>
        <w:tc>
          <w:tcPr>
            <w:tcW w:w="861" w:type="pct"/>
            <w:vAlign w:val="center"/>
          </w:tcPr>
          <w:p w14:paraId="71D984B8" w14:textId="77777777" w:rsidR="000924EA" w:rsidRPr="00AE4E8D" w:rsidRDefault="000924EA" w:rsidP="00232C94">
            <w:pPr>
              <w:widowControl w:val="0"/>
              <w:tabs>
                <w:tab w:val="right" w:leader="dot" w:pos="5310"/>
              </w:tabs>
              <w:spacing w:before="100" w:beforeAutospacing="1" w:after="100" w:afterAutospacing="1"/>
              <w:ind w:left="9"/>
              <w:jc w:val="center"/>
              <w:rPr>
                <w:rFonts w:ascii="Times New Roman" w:hAnsi="Times New Roman"/>
                <w:color w:val="000000"/>
                <w:sz w:val="16"/>
                <w:szCs w:val="16"/>
                <w:lang w:val="es-ES" w:eastAsia="es-ES"/>
              </w:rPr>
            </w:pPr>
            <w:r w:rsidRPr="00AE4E8D">
              <w:rPr>
                <w:rFonts w:ascii="Times New Roman" w:hAnsi="Times New Roman"/>
                <w:color w:val="000000"/>
                <w:sz w:val="16"/>
                <w:szCs w:val="16"/>
                <w:lang w:val="es-ES" w:eastAsia="es-ES"/>
              </w:rPr>
              <w:t>24/04/2013</w:t>
            </w:r>
          </w:p>
        </w:tc>
      </w:tr>
    </w:tbl>
    <w:p w14:paraId="741CF1A4" w14:textId="77777777" w:rsidR="000924EA" w:rsidRPr="00AE4E8D" w:rsidRDefault="000924EA" w:rsidP="000924EA">
      <w:pPr>
        <w:autoSpaceDE w:val="0"/>
        <w:autoSpaceDN w:val="0"/>
        <w:adjustRightInd w:val="0"/>
        <w:spacing w:before="120" w:after="120"/>
        <w:ind w:left="709"/>
        <w:jc w:val="both"/>
        <w:rPr>
          <w:rFonts w:ascii="Times New Roman" w:hAnsi="Times New Roman"/>
          <w:sz w:val="18"/>
          <w:szCs w:val="18"/>
          <w:lang w:val="es-ES" w:eastAsia="es-AR"/>
        </w:rPr>
      </w:pPr>
      <w:r w:rsidRPr="00AE4E8D">
        <w:rPr>
          <w:rFonts w:ascii="Times New Roman" w:hAnsi="Times New Roman"/>
          <w:sz w:val="18"/>
          <w:szCs w:val="18"/>
          <w:lang w:val="es-ES" w:eastAsia="es-ES"/>
        </w:rPr>
        <w:t>(*) Síndico Suplente por la Clase “A” nombrados el 4 de abril de 2017. Su designación se encuentra pendiente de aprobación por el BCRA, de conformidad con la Comunicación “A” 4490.</w:t>
      </w:r>
    </w:p>
    <w:p w14:paraId="156F0463" w14:textId="77777777" w:rsidR="000924EA" w:rsidRPr="00AE4E8D" w:rsidRDefault="000924EA" w:rsidP="000924EA">
      <w:pPr>
        <w:pStyle w:val="BHTexto"/>
        <w:rPr>
          <w:lang w:val="es-ES"/>
        </w:rPr>
      </w:pPr>
      <w:r w:rsidRPr="00AE4E8D">
        <w:rPr>
          <w:lang w:val="es-ES"/>
        </w:rPr>
        <w:t xml:space="preserve">A continuación se incluye una breve síntesis biográfica de los miembros de nuestra Comisión Fiscalizadora: </w:t>
      </w:r>
    </w:p>
    <w:p w14:paraId="5F07FB57" w14:textId="77777777" w:rsidR="000924EA" w:rsidRPr="00AE4E8D" w:rsidRDefault="000924EA" w:rsidP="000924EA">
      <w:pPr>
        <w:pStyle w:val="BHTexto"/>
        <w:rPr>
          <w:lang w:val="es-ES"/>
        </w:rPr>
      </w:pPr>
      <w:r w:rsidRPr="00AE4E8D">
        <w:rPr>
          <w:b/>
          <w:i/>
          <w:lang w:val="es-ES"/>
        </w:rPr>
        <w:t>Francisco Daniel González.</w:t>
      </w:r>
      <w:r w:rsidRPr="00AE4E8D">
        <w:rPr>
          <w:lang w:val="es-ES"/>
        </w:rPr>
        <w:t xml:space="preserve"> El Sr. González obtuvo el título de Contador Público en la Universidad de Buenos Aires. Desde 1995, es funcionario de la Sindicatura General de la Nación. Además, es miembro de nuestra Comisión Fiscalizadora desde el 31 de marzo de 2015. El Sr. González también es miembro titular de las Comisiones Fiscalizadoras de: Compañía Administradora del Mercado Mayorista Eléctrico S.A. (CAMMESA), de Papel Prensa S.A. y de COVIARA Empresa del Estado. Fue auditor en la Auditoría General de la Nación entre 1993 y 1994.</w:t>
      </w:r>
    </w:p>
    <w:p w14:paraId="50422D58" w14:textId="77777777" w:rsidR="000924EA" w:rsidRPr="00AE4E8D" w:rsidRDefault="000924EA" w:rsidP="000924EA">
      <w:pPr>
        <w:pStyle w:val="BHTexto"/>
        <w:rPr>
          <w:lang w:val="es-ES"/>
        </w:rPr>
      </w:pPr>
      <w:r w:rsidRPr="00AE4E8D">
        <w:rPr>
          <w:b/>
          <w:i/>
          <w:lang w:val="es-ES"/>
        </w:rPr>
        <w:t>Héctor Oscar Ivancich</w:t>
      </w:r>
      <w:r w:rsidRPr="00AE4E8D">
        <w:rPr>
          <w:b/>
          <w:lang w:val="es-ES"/>
        </w:rPr>
        <w:t>.</w:t>
      </w:r>
      <w:r w:rsidRPr="00AE4E8D">
        <w:rPr>
          <w:lang w:val="es-ES"/>
        </w:rPr>
        <w:t xml:space="preserve"> El Sr. Ivancich obtuvo el título de Abogado en la Universidad de Buenos Aires y, actualmente, pertenece a la Sindicatura General de la Nación y es miembro de nuestra Comisión Fiscalizadora desde el 31 de marzo de 2015. Además, es miembro de la Comisión Fiscalizadora del Centro de Ensayos de Alta Tecnología S.A. - CEATSA, Lotería Nacional SE, Educ.ar SE y Contenidos Públicos SE.</w:t>
      </w:r>
    </w:p>
    <w:p w14:paraId="15D262A9" w14:textId="77777777" w:rsidR="000924EA" w:rsidRPr="00AE4E8D" w:rsidRDefault="000924EA" w:rsidP="000924EA">
      <w:pPr>
        <w:pStyle w:val="BHTexto"/>
        <w:rPr>
          <w:lang w:val="es-ES"/>
        </w:rPr>
      </w:pPr>
      <w:r w:rsidRPr="00AE4E8D">
        <w:rPr>
          <w:b/>
          <w:i/>
          <w:lang w:val="es-ES"/>
        </w:rPr>
        <w:t>José D. Abelovich.</w:t>
      </w:r>
      <w:r w:rsidRPr="00AE4E8D">
        <w:rPr>
          <w:lang w:val="es-ES"/>
        </w:rPr>
        <w:t xml:space="preserve"> El Sr. Abelovich obtuvo el título de Contador Público en la Universidad de Buenos Aires. Es miembro fundador y socio de Abelovich, Polano &amp; Asociados S.R.L. un estudio miembro de Nexia International. Anteriormente fue gerente de Harteneck, López y Cía/Coopers &amp; Lybrand y se ha desempeñado como asesor senior de Argentina para las Naciones Unidas y el Banco Mundial. Es miembro de las Comisiones Fiscalizadoras de Cresud S.A.C.I.F. y A., IRSA Inversiones y Representaciones Sociedad Anónima, IRSA Propiedades Comerciales S.A., Hoteles Argentinos, e Inversora Bolívar, entre otras sociedades.</w:t>
      </w:r>
    </w:p>
    <w:p w14:paraId="431FB121" w14:textId="77777777" w:rsidR="000924EA" w:rsidRPr="00AE4E8D" w:rsidRDefault="000924EA" w:rsidP="000924EA">
      <w:pPr>
        <w:pStyle w:val="BHTexto"/>
        <w:rPr>
          <w:lang w:val="es-ES"/>
        </w:rPr>
      </w:pPr>
      <w:r w:rsidRPr="00AE4E8D">
        <w:rPr>
          <w:b/>
          <w:i/>
          <w:lang w:val="es-ES"/>
        </w:rPr>
        <w:t>Marcelo Héctor Fuxman.</w:t>
      </w:r>
      <w:r w:rsidRPr="00AE4E8D">
        <w:rPr>
          <w:lang w:val="es-ES"/>
        </w:rPr>
        <w:t xml:space="preserve"> El Sr. Fuxman obtuvo el título de Contador Público en la Universidad de Buenos Aires. Es socio de Abelovich, Polano &amp; Asociados S.R.L. un estudio miembro de Nexia International. También es miembro de la Comisión Fiscalizadora de Cresud S.A.C.I.F. y A., IRSA Inversiones y Representaciones Sociedad Anónima e IRSA Propiedades Comerciales S.A., entre otras sociedades.</w:t>
      </w:r>
    </w:p>
    <w:p w14:paraId="31DB209F" w14:textId="77777777" w:rsidR="000924EA" w:rsidRPr="00AE4E8D" w:rsidRDefault="000924EA" w:rsidP="000924EA">
      <w:pPr>
        <w:pStyle w:val="BHTexto"/>
        <w:rPr>
          <w:lang w:val="es-ES"/>
        </w:rPr>
      </w:pPr>
      <w:r w:rsidRPr="00AE4E8D">
        <w:rPr>
          <w:b/>
          <w:i/>
          <w:lang w:val="es-ES"/>
        </w:rPr>
        <w:t>Ricardo Flammini.</w:t>
      </w:r>
      <w:r w:rsidRPr="00AE4E8D">
        <w:rPr>
          <w:lang w:val="es-ES"/>
        </w:rPr>
        <w:t xml:space="preserve"> El Sr. Flammini obtuvo el título de Contador Público en la Universidad Nacional de La Plata. Es miembro de nuestra Comisión Fiscalizadora desde el 30 de mayo de 2003 por un período de </w:t>
      </w:r>
      <w:r w:rsidRPr="00AE4E8D">
        <w:rPr>
          <w:lang w:val="es-ES"/>
        </w:rPr>
        <w:lastRenderedPageBreak/>
        <w:t>dos años y anteriormente desde su constitución en septiembre de 1997 hasta agosto de 2001. Se desempeñó como Contador Fiscal Auditor del Tribunal de Cuentas de la Nación desde 1957 a 1976 y fue miembro de la ex Corporación de Empresas Nacionales, ex SIGEP y SIGEN desde 1976 hasta agosto de 2001, habiéndose desempeñado como Síndico titular en Segba S.A., Hidronor S.A., YPF S.A., YCF S.E., Encotesa, Intercargo S.A., Banco Caja de Ahorro S.A., Pellegrini S.A., Gerente de Fondos Comunes de Inversión, Nación Bursátil Sociedad de Bolsa S.A., Garantizar S.G.R. y Nación AFJP; en la actualidad ocupa los cargos de Síndico titular en: BACS Banco de Crédito y Securitización S.A., BHN Sociedad de Inversión S.A., BHN Vida S.A., BHN Seguros Generales S.A. y Tarshop S.A.</w:t>
      </w:r>
    </w:p>
    <w:p w14:paraId="3E7F413D" w14:textId="77777777" w:rsidR="000400C8" w:rsidRPr="00AE4E8D" w:rsidRDefault="000400C8" w:rsidP="000400C8">
      <w:pPr>
        <w:pStyle w:val="BHTexto"/>
        <w:rPr>
          <w:lang w:val="es-ES"/>
        </w:rPr>
      </w:pPr>
      <w:r w:rsidRPr="00AE4E8D">
        <w:rPr>
          <w:b/>
          <w:i/>
          <w:lang w:val="es-ES"/>
        </w:rPr>
        <w:t xml:space="preserve">Marcelo Eduardo Couvin. </w:t>
      </w:r>
      <w:r w:rsidRPr="00AE4E8D">
        <w:rPr>
          <w:lang w:val="es-ES"/>
        </w:rPr>
        <w:t>El Sr. Couvin obtuvo el título de Contador Público en la Universidad de Buenos Aires. Tiene un Postgrado en Administración Financiera en la Asociación Argentina de Presupuesto Público ASAP UBA y un Master en Dirección y Gestión de Servicios de Salud en Universidad de Alacalá de Henares, España (Organización Iberoamericana de Seguridad Social OISS). Entre los años 2004 y 2010, fue Síndico General del Instituto Nacional de Servicios Sociales para Jubilados y Pensionados; luego estuvo a cargo de la Unidad de Auditoría Interna de la Administración Nacional de Aviación Civil (ANAC). Desde el año 2016 es Síndico integrante de la Comisión Fiscalizadora de la Empresa Argentina de Navegación Aérea S.A, de Intercargo S.A. y de la Dirección General de Fabricaciones Militares. Se ha desempeñado como Síndico en el Ministerio del Interior, en la Secretaría de Industria, Comercio y Minería, en el Ministerio de Defensa, en la Dirección General de Fabricaciones Militares, en Tandanor y en TAMSE.</w:t>
      </w:r>
    </w:p>
    <w:p w14:paraId="32F693F5" w14:textId="77777777" w:rsidR="000924EA" w:rsidRPr="00AE4E8D" w:rsidRDefault="000924EA" w:rsidP="000924EA">
      <w:pPr>
        <w:pStyle w:val="BHTexto"/>
        <w:rPr>
          <w:lang w:val="es-ES"/>
        </w:rPr>
      </w:pPr>
      <w:r w:rsidRPr="00AE4E8D">
        <w:rPr>
          <w:b/>
          <w:i/>
          <w:lang w:val="es-ES"/>
        </w:rPr>
        <w:t>Gabriel Carretero</w:t>
      </w:r>
      <w:r w:rsidRPr="00AE4E8D">
        <w:rPr>
          <w:lang w:val="es-ES"/>
        </w:rPr>
        <w:t>. El Sr. Carretero obtuvo el título de Contador Público en la Universidad Nacional de La Plata. Es Síndico Suplente de nuestra Comisión Fiscalizadora desde el 13 de abril de 2016 por un período de dos años. Se desempeñó como Contador Fiscal Auditor del Tribunal de Cuentas de la Nación desde 1957 a 1976 y fue integrante de la Corporación de Empresas Nacionales, ex SIGEP y actualmente de la Sindicatura General de la Nación.</w:t>
      </w:r>
    </w:p>
    <w:p w14:paraId="3896ECD4" w14:textId="77777777" w:rsidR="000924EA" w:rsidRPr="00AE4E8D" w:rsidRDefault="000924EA" w:rsidP="000924EA">
      <w:pPr>
        <w:pStyle w:val="BHTexto"/>
        <w:rPr>
          <w:lang w:val="es-ES"/>
        </w:rPr>
      </w:pPr>
      <w:r w:rsidRPr="00AE4E8D">
        <w:rPr>
          <w:b/>
          <w:i/>
          <w:lang w:val="es-ES"/>
        </w:rPr>
        <w:t>Roberto Murmis.</w:t>
      </w:r>
      <w:r w:rsidRPr="00AE4E8D">
        <w:rPr>
          <w:lang w:val="es-ES"/>
        </w:rPr>
        <w:t xml:space="preserve"> El Sr. Murmis obtuvo el título de Contador Público en la Universidad de Buenos Aires. El Sr. Murmis es socio de Abelovich, Polano &amp; Asociados S.R.L. un estudio miembro de Nexia International. El Sr. Murmis se desempeñó como asesor de la Secretaría de Ingresos Públicos del Ministerio de Economía de la Nación. Además, es miembro de la Comisión Fiscalizadora de Cresud S.A.C.I.F. y A., IRSA Inversiones y Representaciones Sociedad Anónima, Futuros y Opciones S.A. y Llao Llao Resorts S.A.</w:t>
      </w:r>
    </w:p>
    <w:p w14:paraId="11085E28" w14:textId="77777777" w:rsidR="000924EA" w:rsidRPr="00AE4E8D" w:rsidRDefault="000924EA" w:rsidP="000924EA">
      <w:pPr>
        <w:pStyle w:val="BHTexto"/>
        <w:rPr>
          <w:lang w:val="es-ES"/>
        </w:rPr>
      </w:pPr>
      <w:r w:rsidRPr="00AE4E8D">
        <w:rPr>
          <w:b/>
          <w:i/>
          <w:lang w:val="es-ES"/>
        </w:rPr>
        <w:t>Alicia Rigueira.</w:t>
      </w:r>
      <w:r w:rsidRPr="00AE4E8D">
        <w:rPr>
          <w:lang w:val="es-ES"/>
        </w:rPr>
        <w:t xml:space="preserve"> La Sra. Rigueira obtuvo el título de Contador Público en la Universidad de Buenos Aires. Es gerente de auditoría en Abelovich Polano y Asociados S.R.L., una firma miembro de Nexia International. Anteriormente, trabajó como gerente en Harteneck López y Cía (Correspondiente a Coopers &amp; Lybrand). Además, es miembro suplente de las Comisiones Fiscalizadoras de Llao Llao Resorts S.A., Hoteles Argentinos S.A. y Nuevas Fronteras S.A.</w:t>
      </w:r>
    </w:p>
    <w:p w14:paraId="0910CF8B" w14:textId="77777777" w:rsidR="000924EA" w:rsidRPr="00AE4E8D" w:rsidRDefault="000924EA" w:rsidP="000924EA">
      <w:pPr>
        <w:pStyle w:val="BHTexto"/>
        <w:rPr>
          <w:lang w:val="es-ES"/>
        </w:rPr>
      </w:pPr>
      <w:r w:rsidRPr="00AE4E8D">
        <w:rPr>
          <w:b/>
          <w:i/>
          <w:lang w:val="es-ES"/>
        </w:rPr>
        <w:t>Noemí Cohn.</w:t>
      </w:r>
      <w:r w:rsidRPr="00AE4E8D">
        <w:rPr>
          <w:lang w:val="es-ES"/>
        </w:rPr>
        <w:t xml:space="preserve"> La Sra. Cohn obtuvo el título de Contador Público en la Universidad de Buenos Aires. Es socia de Abelovich, Polano &amp; Asociados S.R.L., una firma miembro de Nexia International, y se desempeña en el área de auditoría. La Sra. Cohn trabajó en el área de auditoría de Harteneck, López and Company, Coopers &amp; Lybrand en Argentina y en Los Ángeles, California. La Sra. Cohn es integrante de las Comisiones Fiscalizadoras de Cresud S.A.C.I.F. y A., IRSA Inversiones y Representaciones Sociedad Anónima e IRSA Propiedades Comerciales S.A., entre otras sociedades.</w:t>
      </w:r>
    </w:p>
    <w:p w14:paraId="64F6C503" w14:textId="77777777" w:rsidR="000924EA" w:rsidRPr="00AE4E8D" w:rsidRDefault="000924EA" w:rsidP="000924EA">
      <w:pPr>
        <w:keepNext/>
        <w:autoSpaceDE w:val="0"/>
        <w:autoSpaceDN w:val="0"/>
        <w:adjustRightInd w:val="0"/>
        <w:spacing w:before="240" w:after="240"/>
        <w:outlineLvl w:val="2"/>
        <w:rPr>
          <w:rFonts w:ascii="Times New Roman" w:hAnsi="Times New Roman"/>
          <w:b/>
          <w:lang w:val="es-ES"/>
        </w:rPr>
      </w:pPr>
      <w:r w:rsidRPr="00AE4E8D">
        <w:rPr>
          <w:rFonts w:ascii="Times New Roman" w:hAnsi="Times New Roman"/>
          <w:b/>
          <w:lang w:val="es-ES"/>
        </w:rPr>
        <w:t>Independencia de los directores y la Comisión Fiscalizadora</w:t>
      </w:r>
    </w:p>
    <w:p w14:paraId="69F0E2CC"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De conformidad con los términos de las Normas de la CNV, los miembros del directorio o la comisión fiscalizadora de una sociedad sujeta al régimen de oferta pública, como nosotros, deben notificar a la CNV dentro de los 10 días a partir de su elección, si dichos miembros revisten el carácter de independientes. A los fines de las Normas de la CNV, un director no se considera independiente en ciertas situaciones, incluyendo en los casos en los que un director (i) posee una participación del 35% en una sociedad, o una participación menor si dicho director tiene derecho a designar uno o más directores de una sociedad (en adelante una “</w:t>
      </w:r>
      <w:r w:rsidRPr="00AE4E8D">
        <w:rPr>
          <w:rFonts w:ascii="Times New Roman" w:hAnsi="Times New Roman"/>
          <w:u w:val="single"/>
          <w:lang w:val="es-ES"/>
        </w:rPr>
        <w:t>Participación Significativa</w:t>
      </w:r>
      <w:r w:rsidRPr="00AE4E8D">
        <w:rPr>
          <w:rFonts w:ascii="Times New Roman" w:hAnsi="Times New Roman"/>
          <w:lang w:val="es-ES"/>
        </w:rPr>
        <w:t xml:space="preserve">”) o posee una participación significativa en una sociedad que tiene una participación significativa en la sociedad o influencia significativa sobre la sociedad, (ii) depende de accionistas, o está de otra forma vinculado a accionistas, que poseen una participación significativa en la sociedad o en otras sociedades en las que estos accionistas tienen directa o indirectamente una participación significativa o influencia significativa, (iii) es o ha sido en los tres años anteriores empleado de la sociedad, (iv) mantiene una relación profesional o es miembro de una sociedad que mantiene relaciones profesionales con, o recibe una remuneración (distinta de la recibida en contraprestación por sus funciones como director) de una sociedad o accionistas de la misma que poseen </w:t>
      </w:r>
      <w:r w:rsidRPr="00AE4E8D">
        <w:rPr>
          <w:rFonts w:ascii="Times New Roman" w:hAnsi="Times New Roman"/>
          <w:lang w:val="es-ES"/>
        </w:rPr>
        <w:lastRenderedPageBreak/>
        <w:t>una participación o influencia directa o indirecta o influencia significativa en la misma, o con sociedades en las cuales éstas también tienen directa o indirectamente una participación o influencia significativas, (v) directa o indirectamente vende productos o brinda servicios a la sociedad o a accionistas de la misma que poseen directa o indirectamente una participación o influencia significativas, por montos mayores a su remuneración como miembro del órgano de administración; o (vi) es cónyuge o pariente (hasta el segundo grado de afinidad o el cuarto grado de consanguinidad) de personas que, si fuesen miembros del órgano de administración, no serían independientes en los términos de las normas mencionadas anteriormente.</w:t>
      </w:r>
    </w:p>
    <w:p w14:paraId="59399CBA"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Los directores titulares Carlos Bernardo Písula, Jacobo Julio Dreizzen, Francisco Guillermo Susmel, David Fernando Expósito y Fernando Recalde y los directores suplentes Federico León Bensadón, Claudio Aníbal Ersinger, Francisco José Fares, Gabriel Quintela y Sandra Alonso son independientes bajo las resoluciones aplicables de la CNV. Los directores titulares Eduardo Sergio Elsztain, Saúl Zang, Ernesto Manuel Viñes, Gabriel Gregorio Reznik, Pablo Vergara del Carril, Mauricio Elías Wior y Mario Blejer, y los directores suplentes Ricardo Daniel Elsztain, Gustavo Daniel Efkhanian, Andrés Ocampo y Mario César Parrado no revisten el carácter de independientes en los términos de las Normas de la CNV.</w:t>
      </w:r>
    </w:p>
    <w:p w14:paraId="123E65A3"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Los síndicos titulares Francisco Daniel González y Héctor Oscar Ivancich y los síndicos suplentes Marcelo Eduardo Couvin y Gabriel Andrés Carretero, designados por la Sindicatura General de la Nación, son independientes. Los síndicos titulares José Daniel Abelovich, Marcelo Héctor Fuxman y Ricardo Flammini y los síndicos suplentes Roberto Murmis, Noemí Cohn y Alicia Rigueira son independientes de acuerdo con las Normas de la CNV.</w:t>
      </w:r>
    </w:p>
    <w:p w14:paraId="7ECDDE6D" w14:textId="77777777" w:rsidR="000924EA" w:rsidRPr="00AE4E8D" w:rsidRDefault="000924EA" w:rsidP="000924EA">
      <w:pPr>
        <w:pStyle w:val="BH2Izquierda"/>
        <w:rPr>
          <w:lang w:val="es-ES"/>
        </w:rPr>
      </w:pPr>
      <w:bookmarkStart w:id="620" w:name="_Toc495973040"/>
      <w:bookmarkStart w:id="621" w:name="_Toc495399947"/>
      <w:r w:rsidRPr="00AE4E8D">
        <w:rPr>
          <w:lang w:val="es-ES"/>
        </w:rPr>
        <w:t>c) Remuneración</w:t>
      </w:r>
      <w:bookmarkEnd w:id="620"/>
      <w:bookmarkEnd w:id="621"/>
    </w:p>
    <w:p w14:paraId="3ADAEEFD" w14:textId="77777777" w:rsidR="000924EA" w:rsidRPr="00AE4E8D" w:rsidRDefault="000924EA" w:rsidP="000924EA">
      <w:pPr>
        <w:pStyle w:val="BHTexto"/>
        <w:rPr>
          <w:lang w:val="es-ES"/>
        </w:rPr>
      </w:pPr>
      <w:r w:rsidRPr="00AE4E8D">
        <w:rPr>
          <w:lang w:val="es-ES"/>
        </w:rPr>
        <w:t>La ley argentina establece que la remuneración pagada a todos los directores y síndicos en un ejercicio económico no puede exceder el 5,0% del ingreso neto para dicho ejercicio, si la sociedad no paga dividendos con respecto a dicho ingreso neto. La ley argentina aumenta las restricciones anuales sobre la remuneración de los directores hasta el 25,0% del ingreso neto en base al monto de dichos dividendos, de haberse pagado. El directorio resuelve la remuneración de los directores que también se desempeñan como miembros de la gerencia de primera línea, y los directores afectados se abstienen. En el caso de los directores que realizan sus tareas en comités especiales o que realizan tareas técnicas o administrativas, se pueden exceder los límites antedichos si la asamblea de accionistas así lo dispone y si tal cuestión se incluye en el orden del día y está de acuerdo con las Normas de la CNV. En todo caso, la remuneración de todos los directores y miembros de la comisión fiscalizadora requiere de la ratificación de los accionistas en una asamblea ordinaria.</w:t>
      </w:r>
    </w:p>
    <w:p w14:paraId="7C0F2F42" w14:textId="77777777" w:rsidR="000924EA" w:rsidRPr="00AE4E8D" w:rsidRDefault="000924EA" w:rsidP="000924EA">
      <w:pPr>
        <w:pStyle w:val="BHTexto"/>
        <w:rPr>
          <w:lang w:val="es-ES"/>
        </w:rPr>
      </w:pPr>
      <w:r w:rsidRPr="00AE4E8D">
        <w:rPr>
          <w:lang w:val="es-ES"/>
        </w:rPr>
        <w:t>Adicionalmente, la Asamblea de Accionistas del 28 de abril de 1999 previó un plan de distribución de ganancias conforme al cual los participantes recibían porcentajes específicos variables de nuestras ganancias, basados en el logro por nuestra parte de determinados objetivos de retorno sobre el capital. Actualmente dicho régimen se encuentra vigente únicamente para nuestros gerentes de máximo nivel.</w:t>
      </w:r>
    </w:p>
    <w:p w14:paraId="6D94DE86" w14:textId="77777777" w:rsidR="000924EA" w:rsidRPr="00AE4E8D" w:rsidRDefault="000924EA" w:rsidP="000924EA">
      <w:pPr>
        <w:pStyle w:val="BHTexto"/>
        <w:rPr>
          <w:lang w:val="es-ES"/>
        </w:rPr>
      </w:pPr>
      <w:r w:rsidRPr="00AE4E8D">
        <w:rPr>
          <w:lang w:val="es-ES"/>
        </w:rPr>
        <w:t>El 21 de julio de 2006 nuestros accionistas aprobaron la modificación del Artículo 14 de nuestro Estatuto en relación con la remuneración del Comité Ejecutivo. Conforme dicha modificación los miembros del Comité Ejecutivo percibirán un honorario no superior al 5% de las utilidades netas de impuestos del ejercicio, cuando no se distribuyan dividendos. Si mediare distribución de dividendos el honorario podrá llegar hasta un máximo del 15% de las ganancias computables. De los porcentajes remunerativos indicados, se deberán deducir previamente las sumas abonadas a los restantes miembros de nuestro Directorio.</w:t>
      </w:r>
    </w:p>
    <w:p w14:paraId="0329BC16" w14:textId="77777777" w:rsidR="000924EA" w:rsidRPr="00AE4E8D" w:rsidRDefault="000924EA" w:rsidP="000924EA">
      <w:pPr>
        <w:pStyle w:val="BHTexto"/>
        <w:rPr>
          <w:lang w:val="es-ES"/>
        </w:rPr>
      </w:pPr>
      <w:r w:rsidRPr="00AE4E8D">
        <w:rPr>
          <w:lang w:val="es-ES"/>
        </w:rPr>
        <w:t>El monto total de honorarios abonados por los ejercicios finalizados al 31 de diciembre de 2016 a nuestros directores fue de Ps.19.566 miles, mientras que los importes abonados a los integrantes de la Comisión Fiscalizadora fueron de Ps.6.319 miles. Asimismo, los honorarios abonados en dicho ejercicio a nuestro Comité Ejecutivo fueron de Ps.28.223 miles y a los gerentes de primera línea fueron de Ps.98.093 miles, respectivamente, para el ejercicio económico finalizado el 31 de diciembre de 2016. Los mencionados honorarios abonados a nuestros Directores, Comité Ejecutivo y gerentes de primera línea corresponden a montos abonados en efectivo, los cuales no incluyen gratificaciones ni planes de participación en las utilidades del Banco. Los honorarios por el ejercicio 2017 serán tratados en la próxima asamblea de accionistas</w:t>
      </w:r>
      <w:r w:rsidRPr="00AE4E8D">
        <w:rPr>
          <w:lang w:val="es-ES" w:eastAsia="es-AR"/>
        </w:rPr>
        <w:t>.</w:t>
      </w:r>
    </w:p>
    <w:p w14:paraId="73213FC7" w14:textId="77777777" w:rsidR="000924EA" w:rsidRPr="00AE4E8D" w:rsidRDefault="000924EA" w:rsidP="000924EA">
      <w:pPr>
        <w:keepNext/>
        <w:autoSpaceDE w:val="0"/>
        <w:autoSpaceDN w:val="0"/>
        <w:adjustRightInd w:val="0"/>
        <w:spacing w:before="240" w:after="240"/>
        <w:outlineLvl w:val="1"/>
        <w:rPr>
          <w:rFonts w:ascii="Times New Roman" w:hAnsi="Times New Roman"/>
          <w:b/>
          <w:lang w:val="es-ES"/>
        </w:rPr>
      </w:pPr>
      <w:bookmarkStart w:id="622" w:name="_Toc495973041"/>
      <w:bookmarkStart w:id="623" w:name="_Toc495399948"/>
      <w:r w:rsidRPr="00AE4E8D">
        <w:rPr>
          <w:rFonts w:ascii="Times New Roman" w:hAnsi="Times New Roman"/>
          <w:b/>
          <w:lang w:val="es-ES"/>
        </w:rPr>
        <w:lastRenderedPageBreak/>
        <w:t>d) Otra Información Relativa al Órgano de Administración, Fiscalización y Comités Especiales</w:t>
      </w:r>
      <w:bookmarkEnd w:id="622"/>
      <w:bookmarkEnd w:id="623"/>
      <w:r w:rsidRPr="00AE4E8D">
        <w:rPr>
          <w:rFonts w:ascii="Times New Roman" w:hAnsi="Times New Roman"/>
          <w:b/>
          <w:lang w:val="es-ES"/>
        </w:rPr>
        <w:t xml:space="preserve"> </w:t>
      </w:r>
    </w:p>
    <w:p w14:paraId="5D98A071" w14:textId="77777777" w:rsidR="000924EA" w:rsidRPr="00AE4E8D" w:rsidRDefault="000924EA" w:rsidP="000924EA">
      <w:pPr>
        <w:keepNext/>
        <w:autoSpaceDE w:val="0"/>
        <w:autoSpaceDN w:val="0"/>
        <w:adjustRightInd w:val="0"/>
        <w:spacing w:before="240" w:after="240"/>
        <w:outlineLvl w:val="2"/>
        <w:rPr>
          <w:rFonts w:ascii="Times New Roman" w:hAnsi="Times New Roman"/>
          <w:b/>
          <w:lang w:val="es-ES"/>
        </w:rPr>
      </w:pPr>
      <w:r w:rsidRPr="00AE4E8D">
        <w:rPr>
          <w:rFonts w:ascii="Times New Roman" w:hAnsi="Times New Roman"/>
          <w:b/>
          <w:lang w:val="es-ES"/>
        </w:rPr>
        <w:t>Comités que dependen del Directorio</w:t>
      </w:r>
      <w:r w:rsidRPr="00AE4E8D">
        <w:rPr>
          <w:rFonts w:ascii="Times New Roman" w:hAnsi="Times New Roman"/>
          <w:b/>
          <w:lang w:val="es-ES" w:eastAsia="es-AR"/>
        </w:rPr>
        <w:t xml:space="preserve"> </w:t>
      </w:r>
    </w:p>
    <w:p w14:paraId="434FF63A" w14:textId="77777777" w:rsidR="000924EA" w:rsidRPr="00AE4E8D" w:rsidRDefault="000924EA" w:rsidP="000924EA">
      <w:pPr>
        <w:keepNext/>
        <w:autoSpaceDE w:val="0"/>
        <w:autoSpaceDN w:val="0"/>
        <w:adjustRightInd w:val="0"/>
        <w:spacing w:before="120" w:after="120"/>
        <w:jc w:val="both"/>
        <w:outlineLvl w:val="3"/>
        <w:rPr>
          <w:rFonts w:ascii="Times New Roman" w:hAnsi="Times New Roman"/>
          <w:b/>
          <w:lang w:val="es-ES"/>
        </w:rPr>
      </w:pPr>
      <w:r w:rsidRPr="00AE4E8D">
        <w:rPr>
          <w:rFonts w:ascii="Times New Roman" w:hAnsi="Times New Roman"/>
          <w:b/>
          <w:lang w:val="es-ES"/>
        </w:rPr>
        <w:t>Comité de Auditoría</w:t>
      </w:r>
    </w:p>
    <w:p w14:paraId="6DA5ED7A"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Contamos con un comité de auditoría según lo requerido por las Normas de la CNV y del BCRA. La tabla que aparece a continuación detalla la composición de nuestro Comité de Auditoría:</w:t>
      </w:r>
    </w:p>
    <w:tbl>
      <w:tblPr>
        <w:tblW w:w="4992" w:type="pct"/>
        <w:tblLayout w:type="fixed"/>
        <w:tblLook w:val="00A0" w:firstRow="1" w:lastRow="0" w:firstColumn="1" w:lastColumn="0" w:noHBand="0" w:noVBand="0"/>
      </w:tblPr>
      <w:tblGrid>
        <w:gridCol w:w="4742"/>
        <w:gridCol w:w="236"/>
        <w:gridCol w:w="3729"/>
      </w:tblGrid>
      <w:tr w:rsidR="000924EA" w:rsidRPr="00AE4E8D" w14:paraId="51B6EF52" w14:textId="77777777" w:rsidTr="000400C8">
        <w:trPr>
          <w:trHeight w:val="322"/>
        </w:trPr>
        <w:tc>
          <w:tcPr>
            <w:tcW w:w="2727" w:type="pct"/>
            <w:tcBorders>
              <w:bottom w:val="single" w:sz="4" w:space="0" w:color="auto"/>
            </w:tcBorders>
          </w:tcPr>
          <w:p w14:paraId="11945C6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Titulares</w:t>
            </w:r>
          </w:p>
        </w:tc>
        <w:tc>
          <w:tcPr>
            <w:tcW w:w="128" w:type="pct"/>
          </w:tcPr>
          <w:p w14:paraId="03AAAC3A"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5" w:type="pct"/>
            <w:tcBorders>
              <w:bottom w:val="single" w:sz="4" w:space="0" w:color="auto"/>
            </w:tcBorders>
          </w:tcPr>
          <w:p w14:paraId="459DCC64"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592238A7" w14:textId="77777777" w:rsidTr="000400C8">
        <w:tc>
          <w:tcPr>
            <w:tcW w:w="2727" w:type="pct"/>
            <w:tcBorders>
              <w:top w:val="single" w:sz="4" w:space="0" w:color="auto"/>
            </w:tcBorders>
          </w:tcPr>
          <w:p w14:paraId="7207F234"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Carlos B. Pisula (*)</w:t>
            </w:r>
            <w:r w:rsidRPr="00AE4E8D">
              <w:rPr>
                <w:rFonts w:ascii="Times New Roman" w:hAnsi="Times New Roman"/>
                <w:lang w:val="es-ES"/>
              </w:rPr>
              <w:tab/>
            </w:r>
          </w:p>
        </w:tc>
        <w:tc>
          <w:tcPr>
            <w:tcW w:w="128" w:type="pct"/>
          </w:tcPr>
          <w:p w14:paraId="35E3B7CB"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Borders>
              <w:top w:val="single" w:sz="4" w:space="0" w:color="auto"/>
            </w:tcBorders>
          </w:tcPr>
          <w:p w14:paraId="7C0EA6C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45952076" w14:textId="77777777" w:rsidTr="000400C8">
        <w:tc>
          <w:tcPr>
            <w:tcW w:w="2727" w:type="pct"/>
          </w:tcPr>
          <w:p w14:paraId="10E4366A"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Jacobo Julio Dreizzen (*)</w:t>
            </w:r>
            <w:r w:rsidRPr="00AE4E8D">
              <w:rPr>
                <w:rFonts w:ascii="Times New Roman" w:hAnsi="Times New Roman"/>
                <w:lang w:val="es-ES"/>
              </w:rPr>
              <w:tab/>
            </w:r>
          </w:p>
        </w:tc>
        <w:tc>
          <w:tcPr>
            <w:tcW w:w="128" w:type="pct"/>
          </w:tcPr>
          <w:p w14:paraId="1E082886"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3A075002"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0762043A" w14:textId="77777777" w:rsidTr="000400C8">
        <w:tc>
          <w:tcPr>
            <w:tcW w:w="2727" w:type="pct"/>
          </w:tcPr>
          <w:p w14:paraId="050B3081"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Francisco Susmel</w:t>
            </w:r>
            <w:r w:rsidRPr="00AE4E8D">
              <w:rPr>
                <w:rFonts w:ascii="Times New Roman" w:hAnsi="Times New Roman"/>
                <w:lang w:val="es-ES"/>
              </w:rPr>
              <w:tab/>
            </w:r>
          </w:p>
        </w:tc>
        <w:tc>
          <w:tcPr>
            <w:tcW w:w="128" w:type="pct"/>
          </w:tcPr>
          <w:p w14:paraId="19506BFB"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3D4B289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0B489F43" w14:textId="77777777" w:rsidTr="000400C8">
        <w:trPr>
          <w:trHeight w:val="164"/>
        </w:trPr>
        <w:tc>
          <w:tcPr>
            <w:tcW w:w="2727" w:type="pct"/>
            <w:tcBorders>
              <w:bottom w:val="single" w:sz="4" w:space="0" w:color="auto"/>
            </w:tcBorders>
          </w:tcPr>
          <w:p w14:paraId="5648DBD8"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Asisten</w:t>
            </w:r>
          </w:p>
        </w:tc>
        <w:tc>
          <w:tcPr>
            <w:tcW w:w="128" w:type="pct"/>
          </w:tcPr>
          <w:p w14:paraId="4426BED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5" w:type="pct"/>
            <w:tcBorders>
              <w:bottom w:val="single" w:sz="4" w:space="0" w:color="auto"/>
            </w:tcBorders>
          </w:tcPr>
          <w:p w14:paraId="1D7421FD"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01749D41" w14:textId="77777777" w:rsidTr="000400C8">
        <w:trPr>
          <w:trHeight w:val="164"/>
        </w:trPr>
        <w:tc>
          <w:tcPr>
            <w:tcW w:w="2727" w:type="pct"/>
            <w:tcBorders>
              <w:top w:val="single" w:sz="4" w:space="0" w:color="auto"/>
            </w:tcBorders>
          </w:tcPr>
          <w:p w14:paraId="7C12713A"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Gerardo Rovner</w:t>
            </w:r>
            <w:r w:rsidRPr="00AE4E8D">
              <w:rPr>
                <w:rFonts w:ascii="Times New Roman" w:hAnsi="Times New Roman"/>
                <w:lang w:val="es-ES"/>
              </w:rPr>
              <w:tab/>
            </w:r>
          </w:p>
        </w:tc>
        <w:tc>
          <w:tcPr>
            <w:tcW w:w="128" w:type="pct"/>
          </w:tcPr>
          <w:p w14:paraId="6A8EBE7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Borders>
              <w:top w:val="single" w:sz="4" w:space="0" w:color="auto"/>
            </w:tcBorders>
          </w:tcPr>
          <w:p w14:paraId="012EF4D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Gerente Área Auditoria Corporativa</w:t>
            </w:r>
          </w:p>
        </w:tc>
      </w:tr>
    </w:tbl>
    <w:p w14:paraId="71C1675B" w14:textId="77777777" w:rsidR="000924EA" w:rsidRPr="00AE4E8D" w:rsidRDefault="000924EA" w:rsidP="000924EA">
      <w:pPr>
        <w:autoSpaceDE w:val="0"/>
        <w:autoSpaceDN w:val="0"/>
        <w:adjustRightInd w:val="0"/>
        <w:spacing w:before="120"/>
        <w:rPr>
          <w:rFonts w:ascii="Times New Roman" w:hAnsi="Times New Roman"/>
          <w:lang w:val="es-ES"/>
        </w:rPr>
      </w:pPr>
      <w:r w:rsidRPr="00AE4E8D" w:rsidDel="009C7DB1">
        <w:rPr>
          <w:rFonts w:ascii="Times New Roman" w:hAnsi="Times New Roman"/>
          <w:lang w:val="es-ES"/>
        </w:rPr>
        <w:t xml:space="preserve"> </w:t>
      </w:r>
      <w:r w:rsidRPr="00AE4E8D">
        <w:rPr>
          <w:rFonts w:ascii="Times New Roman" w:hAnsi="Times New Roman"/>
          <w:vertAlign w:val="superscript"/>
          <w:lang w:val="es-ES"/>
        </w:rPr>
        <w:t xml:space="preserve">(*) </w:t>
      </w:r>
      <w:r w:rsidRPr="00AE4E8D">
        <w:rPr>
          <w:rFonts w:ascii="Times New Roman" w:hAnsi="Times New Roman"/>
          <w:lang w:val="es-ES"/>
        </w:rPr>
        <w:t>Directores independientes</w:t>
      </w:r>
    </w:p>
    <w:p w14:paraId="23A701DC" w14:textId="77777777" w:rsidR="000924EA" w:rsidRPr="00AE4E8D" w:rsidRDefault="000924EA" w:rsidP="000924EA">
      <w:pPr>
        <w:pStyle w:val="BHTexto"/>
        <w:rPr>
          <w:lang w:val="es-ES"/>
        </w:rPr>
      </w:pPr>
      <w:r w:rsidRPr="00AE4E8D">
        <w:rPr>
          <w:lang w:val="es-ES"/>
        </w:rPr>
        <w:t>El Comité de Auditoría, de conformidad con su reglamento, estará integrado por un número no inferior a tres ni superior a siete directores titulares, y participará de sus reuniones el responsable máximo de la auditoría interna. Actualmente el Comité de Auditoría se encuentra integrado por 3 directores, cuya mayoría reúne la condición de independiente y uno de ellos ocupa la presidencia. Asimismo sus integrantes cuentan con versación en temas empresarios, financieros o contables.</w:t>
      </w:r>
    </w:p>
    <w:p w14:paraId="58FF2086" w14:textId="77777777" w:rsidR="000924EA" w:rsidRPr="00AE4E8D" w:rsidRDefault="000924EA" w:rsidP="000924EA">
      <w:pPr>
        <w:pStyle w:val="BHTexto"/>
        <w:rPr>
          <w:lang w:val="es-ES"/>
        </w:rPr>
      </w:pPr>
      <w:r w:rsidRPr="00AE4E8D">
        <w:rPr>
          <w:lang w:val="es-ES"/>
        </w:rPr>
        <w:t>Los directores miembros permanecerán en el Comité por un período mínimo de 2 años (siempre que su mandato no expire antes) y máximo de 3 años. Este plazo podrá ser extendido para cada caso sólo por expresa decisión del Directorio. El lapso de permanencia en dicha función no deberá ser coincidente entre sí, de tal manera que siempre el Comité de Auditoría se encuentre integrado por un director con experiencia y conocimiento en la materia.</w:t>
      </w:r>
    </w:p>
    <w:p w14:paraId="4E8F9915" w14:textId="77777777" w:rsidR="000924EA" w:rsidRPr="00AE4E8D" w:rsidRDefault="000924EA" w:rsidP="000924EA">
      <w:pPr>
        <w:pStyle w:val="BHTexto"/>
        <w:rPr>
          <w:lang w:val="es-ES"/>
        </w:rPr>
      </w:pPr>
      <w:r w:rsidRPr="00AE4E8D">
        <w:rPr>
          <w:lang w:val="es-ES"/>
        </w:rPr>
        <w:t>El responsable máximo de la auditoría interna, no debe encontrarse alcanzado por las prohibiciones e incompatibilidades establecidas en el artículo 264 de la Ley General de Sociedades Argentina y el artículo 10 de la Ley de Entidades Financieras. Participa en las reuniones del Comité de Auditoría con voz pero sin voto.</w:t>
      </w:r>
    </w:p>
    <w:p w14:paraId="75F0A3C0" w14:textId="77777777" w:rsidR="000924EA" w:rsidRPr="00AE4E8D" w:rsidRDefault="000924EA" w:rsidP="000924EA">
      <w:pPr>
        <w:pStyle w:val="BHTexto"/>
        <w:rPr>
          <w:lang w:val="es-ES"/>
        </w:rPr>
      </w:pPr>
      <w:r w:rsidRPr="00AE4E8D">
        <w:rPr>
          <w:lang w:val="es-ES"/>
        </w:rPr>
        <w:t>Asimismo, los integrantes del Comité de Auditoría deben cumplir con los principios caracterizados en Código de Gobierno Societario como “Deber de Diligencia”; “Deber de Secreto y Confidencialidad”; y “Deber de Fidelidad y Obligación de no Competencia”.</w:t>
      </w:r>
    </w:p>
    <w:p w14:paraId="2BC6F6E2" w14:textId="77777777" w:rsidR="000924EA" w:rsidRPr="00AE4E8D" w:rsidRDefault="000924EA" w:rsidP="000924EA">
      <w:pPr>
        <w:pStyle w:val="BHTexto"/>
        <w:rPr>
          <w:lang w:val="es-ES"/>
        </w:rPr>
      </w:pPr>
      <w:r w:rsidRPr="00AE4E8D">
        <w:rPr>
          <w:lang w:val="es-ES"/>
        </w:rPr>
        <w:t>La designación de los miembros del Comité de Auditoría, así como cualquier modificación en la integración de éste, ya fuere por renuncia, licencia, incorporación o sustitución de sus miembros o cualquier otra causa, una vez considerada por el Directorio, será comunicada por nosotros al BCRA y a la CNV en los plazos establecidos en la normativa vigente.</w:t>
      </w:r>
    </w:p>
    <w:p w14:paraId="0AFA18F1" w14:textId="77777777" w:rsidR="000924EA" w:rsidRPr="00AE4E8D" w:rsidRDefault="000924EA" w:rsidP="000924EA">
      <w:pPr>
        <w:pStyle w:val="BHTexto"/>
        <w:rPr>
          <w:lang w:val="es-ES"/>
        </w:rPr>
      </w:pPr>
      <w:r w:rsidRPr="00AE4E8D">
        <w:rPr>
          <w:lang w:val="es-ES"/>
        </w:rPr>
        <w:t>Las facultades y deberes inherentes a las funciones del Comité de Auditoría se desarrollan en el marco de (i) las normas mínimas sobre controles internos dictadas por el BCRA y (ii) la Ley de Mercado de Capitales y las Normas de la CNV, junto con sus resoluciones complementarias o modificatorias; entre otras, las siguientes:</w:t>
      </w:r>
    </w:p>
    <w:p w14:paraId="379B8B0D" w14:textId="77777777" w:rsidR="000924EA" w:rsidRPr="00AE4E8D" w:rsidRDefault="000924EA" w:rsidP="000924EA">
      <w:pPr>
        <w:pStyle w:val="BHTexto"/>
        <w:numPr>
          <w:ilvl w:val="0"/>
          <w:numId w:val="78"/>
        </w:numPr>
        <w:rPr>
          <w:lang w:val="es-ES"/>
        </w:rPr>
      </w:pPr>
      <w:r w:rsidRPr="00AE4E8D">
        <w:rPr>
          <w:lang w:val="es-ES"/>
        </w:rPr>
        <w:t>Vigilar el funcionamiento de nuestros sistemas de gestión de riesgos, de control interno y de nuestro sistema administrativo contable, así como la fiabilidad de este último y de toda información financiera o de otros hechos significativos que sea presentada a la CNV, al BCRA y a las entidades autorreguladas en cumplimiento del régimen informativo aplicable.</w:t>
      </w:r>
    </w:p>
    <w:p w14:paraId="65323FB9" w14:textId="77777777" w:rsidR="000924EA" w:rsidRPr="00AE4E8D" w:rsidRDefault="000924EA" w:rsidP="000924EA">
      <w:pPr>
        <w:pStyle w:val="BHTexto"/>
        <w:numPr>
          <w:ilvl w:val="0"/>
          <w:numId w:val="78"/>
        </w:numPr>
        <w:rPr>
          <w:lang w:val="es-ES"/>
        </w:rPr>
      </w:pPr>
      <w:r w:rsidRPr="00AE4E8D">
        <w:rPr>
          <w:lang w:val="es-ES"/>
        </w:rPr>
        <w:t xml:space="preserve">Contribuir a la mejora de la efectividad de los controles. </w:t>
      </w:r>
    </w:p>
    <w:p w14:paraId="53C3796B" w14:textId="77777777" w:rsidR="000924EA" w:rsidRPr="00AE4E8D" w:rsidRDefault="000924EA" w:rsidP="000924EA">
      <w:pPr>
        <w:pStyle w:val="BHTexto"/>
        <w:numPr>
          <w:ilvl w:val="0"/>
          <w:numId w:val="78"/>
        </w:numPr>
        <w:rPr>
          <w:lang w:val="es-ES"/>
        </w:rPr>
      </w:pPr>
      <w:r w:rsidRPr="00AE4E8D">
        <w:rPr>
          <w:lang w:val="es-ES"/>
        </w:rPr>
        <w:t xml:space="preserve">Efectuar el seguimiento de la implementación de las observaciones formuladas por la auditoría interna y externa. </w:t>
      </w:r>
    </w:p>
    <w:p w14:paraId="0D15D637" w14:textId="77777777" w:rsidR="000924EA" w:rsidRPr="00AE4E8D" w:rsidRDefault="000924EA" w:rsidP="000924EA">
      <w:pPr>
        <w:pStyle w:val="BHTexto"/>
        <w:numPr>
          <w:ilvl w:val="0"/>
          <w:numId w:val="78"/>
        </w:numPr>
        <w:rPr>
          <w:lang w:val="es-ES"/>
        </w:rPr>
      </w:pPr>
      <w:r w:rsidRPr="00AE4E8D">
        <w:rPr>
          <w:lang w:val="es-ES"/>
        </w:rPr>
        <w:t xml:space="preserve">Revisar y aprobar el plan de trabajo de la auditoría interna y su grado de cumplimiento. </w:t>
      </w:r>
    </w:p>
    <w:p w14:paraId="19C7B561" w14:textId="77777777" w:rsidR="000924EA" w:rsidRPr="00AE4E8D" w:rsidRDefault="000924EA" w:rsidP="000924EA">
      <w:pPr>
        <w:pStyle w:val="BHTexto"/>
        <w:numPr>
          <w:ilvl w:val="0"/>
          <w:numId w:val="78"/>
        </w:numPr>
        <w:rPr>
          <w:lang w:val="es-ES"/>
        </w:rPr>
      </w:pPr>
      <w:r w:rsidRPr="00AE4E8D">
        <w:rPr>
          <w:lang w:val="es-ES"/>
        </w:rPr>
        <w:t xml:space="preserve">Coordinar las tareas entre la auditoría interna y la auditoría externa. </w:t>
      </w:r>
    </w:p>
    <w:p w14:paraId="1D8602F6" w14:textId="77777777" w:rsidR="000924EA" w:rsidRPr="00AE4E8D" w:rsidRDefault="000924EA" w:rsidP="000924EA">
      <w:pPr>
        <w:pStyle w:val="BHTexto"/>
        <w:numPr>
          <w:ilvl w:val="0"/>
          <w:numId w:val="78"/>
        </w:numPr>
        <w:rPr>
          <w:lang w:val="es-ES"/>
        </w:rPr>
      </w:pPr>
      <w:r w:rsidRPr="00AE4E8D">
        <w:rPr>
          <w:lang w:val="es-ES"/>
        </w:rPr>
        <w:t xml:space="preserve">Tomar conocimiento de los resultados obtenidos por la Sindicatura o Comisión Fiscalizadora. </w:t>
      </w:r>
    </w:p>
    <w:p w14:paraId="392C5E1A" w14:textId="77777777" w:rsidR="000924EA" w:rsidRPr="00AE4E8D" w:rsidRDefault="000924EA" w:rsidP="000924EA">
      <w:pPr>
        <w:pStyle w:val="BHTexto"/>
        <w:numPr>
          <w:ilvl w:val="0"/>
          <w:numId w:val="78"/>
        </w:numPr>
        <w:rPr>
          <w:lang w:val="es-ES"/>
        </w:rPr>
      </w:pPr>
      <w:r w:rsidRPr="00AE4E8D">
        <w:rPr>
          <w:lang w:val="es-ES"/>
        </w:rPr>
        <w:t xml:space="preserve">Tomar conocimiento de los estados contables anuales, trimestrales y los informes del auditor externo emitidos sobre estos, así como toda la información contable relevante. </w:t>
      </w:r>
    </w:p>
    <w:p w14:paraId="7622D0E7" w14:textId="77777777" w:rsidR="000924EA" w:rsidRPr="00AE4E8D" w:rsidRDefault="000924EA" w:rsidP="000924EA">
      <w:pPr>
        <w:pStyle w:val="BHTexto"/>
        <w:numPr>
          <w:ilvl w:val="0"/>
          <w:numId w:val="78"/>
        </w:numPr>
        <w:rPr>
          <w:lang w:val="es-ES"/>
        </w:rPr>
      </w:pPr>
      <w:r w:rsidRPr="00AE4E8D">
        <w:rPr>
          <w:lang w:val="es-ES"/>
        </w:rPr>
        <w:lastRenderedPageBreak/>
        <w:t xml:space="preserve">Emitir opinión respecto de la propuesta del Directorio para la designación del auditor externo y socio responsable de la asociación de profesionales universitarios a contratar por nosotros (o en su caso la revocación de los designados) y velar por su independencia. </w:t>
      </w:r>
    </w:p>
    <w:p w14:paraId="30B5165F" w14:textId="77777777" w:rsidR="000924EA" w:rsidRPr="00AE4E8D" w:rsidRDefault="000924EA" w:rsidP="000924EA">
      <w:pPr>
        <w:pStyle w:val="BHTexto"/>
        <w:numPr>
          <w:ilvl w:val="0"/>
          <w:numId w:val="78"/>
        </w:numPr>
        <w:rPr>
          <w:lang w:val="es-ES"/>
        </w:rPr>
      </w:pPr>
      <w:r w:rsidRPr="00AE4E8D">
        <w:rPr>
          <w:lang w:val="es-ES"/>
        </w:rPr>
        <w:t xml:space="preserve">Vigilar el cumplimiento de nuestro Código de Ética vigente. </w:t>
      </w:r>
    </w:p>
    <w:p w14:paraId="2E27F615" w14:textId="77777777" w:rsidR="000924EA" w:rsidRPr="00AE4E8D" w:rsidRDefault="000924EA" w:rsidP="000924EA">
      <w:pPr>
        <w:pStyle w:val="BHTexto"/>
        <w:numPr>
          <w:ilvl w:val="0"/>
          <w:numId w:val="78"/>
        </w:numPr>
        <w:rPr>
          <w:lang w:val="es-ES"/>
        </w:rPr>
      </w:pPr>
      <w:r w:rsidRPr="00AE4E8D">
        <w:rPr>
          <w:lang w:val="es-ES"/>
        </w:rPr>
        <w:t xml:space="preserve">Tomar conocimiento de la planificación anual de tareas de auditoría externa, de los informes de control interno preparados por dicha auditoría, de los resultados de las verificaciones efectuadas por la SEFyC con respecto a las tareas de los auditores externos y evaluar su desempeño. </w:t>
      </w:r>
    </w:p>
    <w:p w14:paraId="4E18469D" w14:textId="77777777" w:rsidR="000924EA" w:rsidRPr="00AE4E8D" w:rsidRDefault="000924EA" w:rsidP="000924EA">
      <w:pPr>
        <w:pStyle w:val="BHTexto"/>
        <w:numPr>
          <w:ilvl w:val="0"/>
          <w:numId w:val="78"/>
        </w:numPr>
        <w:rPr>
          <w:lang w:val="es-ES"/>
        </w:rPr>
      </w:pPr>
      <w:r w:rsidRPr="00AE4E8D">
        <w:rPr>
          <w:lang w:val="es-ES"/>
        </w:rPr>
        <w:t>Considerar los resultados de las verificaciones efectuadas en materia de controles internos por parte de la SEFyC y proponer al Directorio la respuesta y, en su caso, las medidas tendientes a solucionar las observaciones formuladas.</w:t>
      </w:r>
    </w:p>
    <w:p w14:paraId="1459DDB7" w14:textId="77777777" w:rsidR="000924EA" w:rsidRPr="00AE4E8D" w:rsidRDefault="000924EA" w:rsidP="000924EA">
      <w:pPr>
        <w:pStyle w:val="BHTexto"/>
        <w:numPr>
          <w:ilvl w:val="0"/>
          <w:numId w:val="78"/>
        </w:numPr>
        <w:rPr>
          <w:lang w:val="es-ES"/>
        </w:rPr>
      </w:pPr>
      <w:r w:rsidRPr="00AE4E8D">
        <w:rPr>
          <w:lang w:val="es-ES"/>
        </w:rPr>
        <w:t xml:space="preserve">Supervisar la aplicación de las políticas en materia de información sobre la gestión de nuestros riesgos. </w:t>
      </w:r>
    </w:p>
    <w:p w14:paraId="569B5F70" w14:textId="77777777" w:rsidR="000924EA" w:rsidRPr="00AE4E8D" w:rsidRDefault="000924EA" w:rsidP="000924EA">
      <w:pPr>
        <w:pStyle w:val="BHTexto"/>
        <w:numPr>
          <w:ilvl w:val="0"/>
          <w:numId w:val="78"/>
        </w:numPr>
        <w:rPr>
          <w:lang w:val="es-ES"/>
        </w:rPr>
      </w:pPr>
      <w:r w:rsidRPr="00AE4E8D">
        <w:rPr>
          <w:lang w:val="es-ES"/>
        </w:rPr>
        <w:t>Proporcionar al mercado información completa respecto de las operaciones en las cuales exista conflicto de intereses con integrantes de los órganos sociales o accionistas controlantes.</w:t>
      </w:r>
    </w:p>
    <w:p w14:paraId="21A9411A" w14:textId="77777777" w:rsidR="000924EA" w:rsidRPr="00AE4E8D" w:rsidRDefault="000924EA" w:rsidP="000924EA">
      <w:pPr>
        <w:keepNext/>
        <w:autoSpaceDE w:val="0"/>
        <w:autoSpaceDN w:val="0"/>
        <w:adjustRightInd w:val="0"/>
        <w:spacing w:after="120"/>
        <w:jc w:val="both"/>
        <w:outlineLvl w:val="4"/>
        <w:rPr>
          <w:rFonts w:ascii="Times New Roman" w:hAnsi="Times New Roman"/>
          <w:b/>
          <w:lang w:val="es-ES"/>
        </w:rPr>
      </w:pPr>
      <w:r w:rsidRPr="00AE4E8D">
        <w:rPr>
          <w:rFonts w:ascii="Times New Roman" w:hAnsi="Times New Roman"/>
          <w:b/>
          <w:lang w:val="es-ES"/>
        </w:rPr>
        <w:t>Comité de Asuntos Sociales e Institucionales</w:t>
      </w:r>
    </w:p>
    <w:p w14:paraId="75334E1F" w14:textId="77777777" w:rsidR="000924EA" w:rsidRPr="00AE4E8D" w:rsidRDefault="000924EA" w:rsidP="000924EA">
      <w:pPr>
        <w:pStyle w:val="BHTexto"/>
        <w:rPr>
          <w:lang w:val="es-ES"/>
        </w:rPr>
      </w:pPr>
      <w:r w:rsidRPr="00AE4E8D">
        <w:rPr>
          <w:lang w:val="es-ES"/>
        </w:rPr>
        <w:t>La tabla que aparece a continuación detalla la composición de nuestro Comité de Asuntos Sociales e Institucionales:</w:t>
      </w:r>
    </w:p>
    <w:tbl>
      <w:tblPr>
        <w:tblW w:w="4992" w:type="pct"/>
        <w:tblLayout w:type="fixed"/>
        <w:tblLook w:val="00A0" w:firstRow="1" w:lastRow="0" w:firstColumn="1" w:lastColumn="0" w:noHBand="0" w:noVBand="0"/>
      </w:tblPr>
      <w:tblGrid>
        <w:gridCol w:w="4743"/>
        <w:gridCol w:w="236"/>
        <w:gridCol w:w="3728"/>
      </w:tblGrid>
      <w:tr w:rsidR="000924EA" w:rsidRPr="00AE4E8D" w14:paraId="088B6E73" w14:textId="77777777" w:rsidTr="000400C8">
        <w:trPr>
          <w:trHeight w:val="322"/>
        </w:trPr>
        <w:tc>
          <w:tcPr>
            <w:tcW w:w="2726" w:type="pct"/>
            <w:tcBorders>
              <w:bottom w:val="single" w:sz="4" w:space="0" w:color="auto"/>
            </w:tcBorders>
          </w:tcPr>
          <w:p w14:paraId="4C48E6A2"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Titulares</w:t>
            </w:r>
          </w:p>
        </w:tc>
        <w:tc>
          <w:tcPr>
            <w:tcW w:w="131" w:type="pct"/>
          </w:tcPr>
          <w:p w14:paraId="23C4B9EF"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b/>
                <w:lang w:val="es-ES"/>
              </w:rPr>
            </w:pPr>
          </w:p>
        </w:tc>
        <w:tc>
          <w:tcPr>
            <w:tcW w:w="2143" w:type="pct"/>
            <w:tcBorders>
              <w:bottom w:val="single" w:sz="4" w:space="0" w:color="auto"/>
            </w:tcBorders>
          </w:tcPr>
          <w:p w14:paraId="4D1DBA93"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64157EB3" w14:textId="77777777" w:rsidTr="000400C8">
        <w:tc>
          <w:tcPr>
            <w:tcW w:w="2726" w:type="pct"/>
            <w:tcBorders>
              <w:top w:val="single" w:sz="4" w:space="0" w:color="auto"/>
            </w:tcBorders>
          </w:tcPr>
          <w:p w14:paraId="6818EB78" w14:textId="77777777" w:rsidR="000924EA" w:rsidRPr="00AE4E8D" w:rsidRDefault="000924EA" w:rsidP="00232C94">
            <w:pPr>
              <w:keepNext/>
              <w:keepLines/>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Eduardo Sergio Elsztain</w:t>
            </w:r>
            <w:r w:rsidRPr="00AE4E8D">
              <w:rPr>
                <w:rFonts w:ascii="Times New Roman" w:hAnsi="Times New Roman"/>
                <w:lang w:val="es-ES"/>
              </w:rPr>
              <w:tab/>
            </w:r>
          </w:p>
        </w:tc>
        <w:tc>
          <w:tcPr>
            <w:tcW w:w="131" w:type="pct"/>
          </w:tcPr>
          <w:p w14:paraId="1F0E558E"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Borders>
              <w:top w:val="single" w:sz="4" w:space="0" w:color="auto"/>
            </w:tcBorders>
          </w:tcPr>
          <w:p w14:paraId="03F4DED7"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Presidente</w:t>
            </w:r>
          </w:p>
        </w:tc>
      </w:tr>
      <w:tr w:rsidR="000924EA" w:rsidRPr="00AE4E8D" w14:paraId="724F1B5A" w14:textId="77777777" w:rsidTr="000400C8">
        <w:tc>
          <w:tcPr>
            <w:tcW w:w="2726" w:type="pct"/>
          </w:tcPr>
          <w:p w14:paraId="27AA7365" w14:textId="77777777" w:rsidR="000924EA" w:rsidRPr="00AE4E8D" w:rsidRDefault="000924EA" w:rsidP="00232C94">
            <w:pPr>
              <w:keepNext/>
              <w:keepLines/>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Juan Rubén Jure</w:t>
            </w:r>
            <w:r w:rsidRPr="00AE4E8D">
              <w:rPr>
                <w:rFonts w:ascii="Times New Roman" w:hAnsi="Times New Roman"/>
                <w:lang w:val="es-ES"/>
              </w:rPr>
              <w:tab/>
            </w:r>
          </w:p>
        </w:tc>
        <w:tc>
          <w:tcPr>
            <w:tcW w:w="131" w:type="pct"/>
          </w:tcPr>
          <w:p w14:paraId="51199F6A"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Pr>
          <w:p w14:paraId="5F058869"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1B58A9DD" w14:textId="77777777" w:rsidTr="000400C8">
        <w:trPr>
          <w:trHeight w:val="164"/>
        </w:trPr>
        <w:tc>
          <w:tcPr>
            <w:tcW w:w="2726" w:type="pct"/>
          </w:tcPr>
          <w:p w14:paraId="5FD94B85" w14:textId="77777777" w:rsidR="000924EA" w:rsidRPr="00AE4E8D" w:rsidRDefault="000924EA" w:rsidP="00232C94">
            <w:pPr>
              <w:keepNext/>
              <w:keepLines/>
              <w:tabs>
                <w:tab w:val="left" w:leader="dot" w:pos="5001"/>
              </w:tabs>
              <w:autoSpaceDE w:val="0"/>
              <w:autoSpaceDN w:val="0"/>
              <w:adjustRightInd w:val="0"/>
              <w:spacing w:before="100" w:beforeAutospacing="1" w:after="100" w:afterAutospacing="1"/>
              <w:rPr>
                <w:rFonts w:ascii="Times New Roman" w:hAnsi="Times New Roman"/>
                <w:b/>
                <w:lang w:val="es-ES"/>
              </w:rPr>
            </w:pPr>
          </w:p>
        </w:tc>
        <w:tc>
          <w:tcPr>
            <w:tcW w:w="131" w:type="pct"/>
          </w:tcPr>
          <w:p w14:paraId="2E332906"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Pr>
          <w:p w14:paraId="7BB9A0BF"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b/>
                <w:lang w:val="es-ES"/>
              </w:rPr>
            </w:pPr>
          </w:p>
        </w:tc>
      </w:tr>
      <w:tr w:rsidR="000924EA" w:rsidRPr="00AE4E8D" w14:paraId="1056D12C" w14:textId="77777777" w:rsidTr="000400C8">
        <w:trPr>
          <w:trHeight w:val="164"/>
        </w:trPr>
        <w:tc>
          <w:tcPr>
            <w:tcW w:w="2726" w:type="pct"/>
            <w:tcBorders>
              <w:bottom w:val="single" w:sz="4" w:space="0" w:color="auto"/>
            </w:tcBorders>
          </w:tcPr>
          <w:p w14:paraId="33793B1C" w14:textId="77777777" w:rsidR="000924EA" w:rsidRPr="00AE4E8D" w:rsidRDefault="000924EA" w:rsidP="00232C94">
            <w:pPr>
              <w:keepNext/>
              <w:keepLines/>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b/>
                <w:lang w:val="es-ES"/>
              </w:rPr>
              <w:t>Asisten</w:t>
            </w:r>
          </w:p>
        </w:tc>
        <w:tc>
          <w:tcPr>
            <w:tcW w:w="131" w:type="pct"/>
          </w:tcPr>
          <w:p w14:paraId="4CDD6103"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Borders>
              <w:bottom w:val="single" w:sz="4" w:space="0" w:color="auto"/>
            </w:tcBorders>
          </w:tcPr>
          <w:p w14:paraId="63DF80A3"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b/>
                <w:lang w:val="es-ES"/>
              </w:rPr>
              <w:t>Cargo</w:t>
            </w:r>
          </w:p>
        </w:tc>
      </w:tr>
      <w:tr w:rsidR="000924EA" w:rsidRPr="00AE4E8D" w14:paraId="18D505F2" w14:textId="77777777" w:rsidTr="000400C8">
        <w:trPr>
          <w:trHeight w:val="164"/>
        </w:trPr>
        <w:tc>
          <w:tcPr>
            <w:tcW w:w="2726" w:type="pct"/>
            <w:tcBorders>
              <w:top w:val="single" w:sz="4" w:space="0" w:color="auto"/>
            </w:tcBorders>
          </w:tcPr>
          <w:p w14:paraId="6DA3444C" w14:textId="77777777" w:rsidR="000924EA" w:rsidRPr="00AE4E8D" w:rsidRDefault="000924EA" w:rsidP="00232C94">
            <w:pPr>
              <w:keepNext/>
              <w:keepLines/>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Manuel Herrera</w:t>
            </w:r>
            <w:r w:rsidRPr="00AE4E8D">
              <w:rPr>
                <w:rFonts w:ascii="Times New Roman" w:hAnsi="Times New Roman"/>
                <w:lang w:val="es-ES"/>
              </w:rPr>
              <w:tab/>
            </w:r>
          </w:p>
        </w:tc>
        <w:tc>
          <w:tcPr>
            <w:tcW w:w="131" w:type="pct"/>
          </w:tcPr>
          <w:p w14:paraId="2B80041B"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Borders>
              <w:top w:val="single" w:sz="4" w:space="0" w:color="auto"/>
            </w:tcBorders>
          </w:tcPr>
          <w:p w14:paraId="692A5A3F"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Gerente General</w:t>
            </w:r>
          </w:p>
        </w:tc>
      </w:tr>
      <w:tr w:rsidR="000924EA" w:rsidRPr="00AE4E8D" w14:paraId="2B6CF2F0" w14:textId="77777777" w:rsidTr="000400C8">
        <w:trPr>
          <w:trHeight w:val="164"/>
        </w:trPr>
        <w:tc>
          <w:tcPr>
            <w:tcW w:w="2726" w:type="pct"/>
          </w:tcPr>
          <w:p w14:paraId="3F51CD56" w14:textId="77777777" w:rsidR="000924EA" w:rsidRPr="00AE4E8D" w:rsidRDefault="000924EA" w:rsidP="00232C94">
            <w:pPr>
              <w:keepNext/>
              <w:keepLines/>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Javier Varani</w:t>
            </w:r>
            <w:r w:rsidRPr="00AE4E8D">
              <w:rPr>
                <w:rFonts w:ascii="Times New Roman" w:hAnsi="Times New Roman"/>
                <w:lang w:val="es-ES"/>
              </w:rPr>
              <w:tab/>
            </w:r>
          </w:p>
        </w:tc>
        <w:tc>
          <w:tcPr>
            <w:tcW w:w="131" w:type="pct"/>
          </w:tcPr>
          <w:p w14:paraId="403F2D77"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Pr>
          <w:p w14:paraId="52C0042C"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Gerente de Área de Asuntos Institucionales</w:t>
            </w:r>
          </w:p>
        </w:tc>
      </w:tr>
    </w:tbl>
    <w:p w14:paraId="0DB0AAB2" w14:textId="77777777" w:rsidR="000924EA" w:rsidRPr="00AE4E8D" w:rsidRDefault="000924EA" w:rsidP="000924EA">
      <w:pPr>
        <w:pStyle w:val="BHTexto"/>
        <w:rPr>
          <w:lang w:val="es-ES"/>
        </w:rPr>
      </w:pPr>
      <w:r w:rsidRPr="00AE4E8D">
        <w:rPr>
          <w:lang w:val="es-ES"/>
        </w:rPr>
        <w:t>El Comité de Asuntos Sociales e Institucionales tiene las siguientes funciones:</w:t>
      </w:r>
    </w:p>
    <w:p w14:paraId="4D912968" w14:textId="77777777" w:rsidR="000924EA" w:rsidRPr="00AE4E8D" w:rsidRDefault="000924EA" w:rsidP="000924EA">
      <w:pPr>
        <w:pStyle w:val="BHTexto"/>
        <w:numPr>
          <w:ilvl w:val="0"/>
          <w:numId w:val="79"/>
        </w:numPr>
        <w:rPr>
          <w:lang w:val="es-ES"/>
        </w:rPr>
      </w:pPr>
      <w:r w:rsidRPr="00AE4E8D">
        <w:rPr>
          <w:lang w:val="es-ES"/>
        </w:rPr>
        <w:t>Definir políticas de otorgamiento de donaciones y subsidios para su aprobación por el Directorio.</w:t>
      </w:r>
    </w:p>
    <w:p w14:paraId="54EE6434" w14:textId="77777777" w:rsidR="000924EA" w:rsidRPr="00AE4E8D" w:rsidRDefault="000924EA" w:rsidP="000924EA">
      <w:pPr>
        <w:pStyle w:val="BHTexto"/>
        <w:numPr>
          <w:ilvl w:val="0"/>
          <w:numId w:val="79"/>
        </w:numPr>
        <w:rPr>
          <w:lang w:val="es-ES"/>
        </w:rPr>
      </w:pPr>
      <w:r w:rsidRPr="00AE4E8D">
        <w:rPr>
          <w:lang w:val="es-ES"/>
        </w:rPr>
        <w:t>Otorgar subsidios con fines sociales y/o culturales.</w:t>
      </w:r>
    </w:p>
    <w:p w14:paraId="58870E88" w14:textId="77777777" w:rsidR="000924EA" w:rsidRPr="00AE4E8D" w:rsidRDefault="000924EA" w:rsidP="000924EA">
      <w:pPr>
        <w:pStyle w:val="BHTexto"/>
        <w:numPr>
          <w:ilvl w:val="0"/>
          <w:numId w:val="79"/>
        </w:numPr>
        <w:rPr>
          <w:lang w:val="es-ES"/>
        </w:rPr>
      </w:pPr>
      <w:r w:rsidRPr="00AE4E8D">
        <w:rPr>
          <w:lang w:val="es-ES"/>
        </w:rPr>
        <w:t>Aprobar la donación de inmuebles en desuso.</w:t>
      </w:r>
    </w:p>
    <w:p w14:paraId="504569F9" w14:textId="77777777" w:rsidR="000924EA" w:rsidRPr="00AE4E8D" w:rsidRDefault="000924EA" w:rsidP="000924EA">
      <w:pPr>
        <w:pStyle w:val="BHTexto"/>
        <w:numPr>
          <w:ilvl w:val="0"/>
          <w:numId w:val="79"/>
        </w:numPr>
        <w:rPr>
          <w:lang w:val="es-ES"/>
        </w:rPr>
      </w:pPr>
      <w:r w:rsidRPr="00AE4E8D">
        <w:rPr>
          <w:lang w:val="es-ES"/>
        </w:rPr>
        <w:t>Intervenir en todo lo relacionado con nuestra imagen o inserción en la sociedad.</w:t>
      </w:r>
    </w:p>
    <w:p w14:paraId="11FF44E2" w14:textId="77777777" w:rsidR="000924EA" w:rsidRPr="00AE4E8D" w:rsidRDefault="000924EA" w:rsidP="000924EA">
      <w:pPr>
        <w:pStyle w:val="BHTexto"/>
        <w:numPr>
          <w:ilvl w:val="0"/>
          <w:numId w:val="79"/>
        </w:numPr>
        <w:rPr>
          <w:lang w:val="es-ES"/>
        </w:rPr>
      </w:pPr>
      <w:r w:rsidRPr="00AE4E8D">
        <w:rPr>
          <w:lang w:val="es-ES"/>
        </w:rPr>
        <w:t>Considerar los impactos ambientales de los proyectos constructivos u obras civiles que financiamos.</w:t>
      </w:r>
    </w:p>
    <w:p w14:paraId="09025A43" w14:textId="77777777" w:rsidR="000924EA" w:rsidRPr="00AE4E8D" w:rsidRDefault="000924EA" w:rsidP="000924EA">
      <w:pPr>
        <w:pStyle w:val="BHTexto"/>
        <w:numPr>
          <w:ilvl w:val="0"/>
          <w:numId w:val="79"/>
        </w:numPr>
        <w:rPr>
          <w:lang w:val="es-ES"/>
        </w:rPr>
      </w:pPr>
      <w:r w:rsidRPr="00AE4E8D">
        <w:rPr>
          <w:lang w:val="es-ES"/>
        </w:rPr>
        <w:t>Considerar el Balance Social Anual en los términos enunciados bajo el título “Balance Social” y del informe emitido sobre este, y elevar a la aprobación del Directorio, y</w:t>
      </w:r>
    </w:p>
    <w:p w14:paraId="3A4D6CBF" w14:textId="77777777" w:rsidR="000924EA" w:rsidRPr="00AE4E8D" w:rsidRDefault="000924EA" w:rsidP="000924EA">
      <w:pPr>
        <w:pStyle w:val="BHTexto"/>
        <w:numPr>
          <w:ilvl w:val="0"/>
          <w:numId w:val="79"/>
        </w:numPr>
        <w:rPr>
          <w:lang w:val="es-ES"/>
        </w:rPr>
      </w:pPr>
      <w:r w:rsidRPr="00AE4E8D">
        <w:rPr>
          <w:lang w:val="es-ES"/>
        </w:rPr>
        <w:t>Tomar conocimiento de toda la información relevante que se vincule con nuestra responsabilidad social empresaria y la de nuestras empresas subsidiarias.</w:t>
      </w:r>
    </w:p>
    <w:p w14:paraId="47519BE6" w14:textId="77777777" w:rsidR="000924EA" w:rsidRPr="00AE4E8D" w:rsidRDefault="000924EA" w:rsidP="000924EA">
      <w:pPr>
        <w:keepNext/>
        <w:autoSpaceDE w:val="0"/>
        <w:autoSpaceDN w:val="0"/>
        <w:adjustRightInd w:val="0"/>
        <w:spacing w:after="120"/>
        <w:jc w:val="both"/>
        <w:outlineLvl w:val="4"/>
        <w:rPr>
          <w:rFonts w:ascii="Times New Roman" w:hAnsi="Times New Roman"/>
          <w:b/>
          <w:lang w:val="es-ES"/>
        </w:rPr>
      </w:pPr>
      <w:r w:rsidRPr="00AE4E8D">
        <w:rPr>
          <w:rFonts w:ascii="Times New Roman" w:hAnsi="Times New Roman"/>
          <w:b/>
          <w:lang w:val="es-ES"/>
        </w:rPr>
        <w:t>Comité de Tecnología Informática</w:t>
      </w:r>
    </w:p>
    <w:p w14:paraId="20D6AF75" w14:textId="77777777" w:rsidR="000924EA" w:rsidRPr="00AE4E8D" w:rsidRDefault="000924EA" w:rsidP="000924EA">
      <w:pPr>
        <w:pStyle w:val="BHTexto"/>
        <w:rPr>
          <w:lang w:val="es-ES"/>
        </w:rPr>
      </w:pPr>
      <w:r w:rsidRPr="00AE4E8D">
        <w:rPr>
          <w:lang w:val="es-ES"/>
        </w:rPr>
        <w:t>La tabla que aparece a continuación detalla la composición de nuestro Comité de Tecnología Informática:</w:t>
      </w:r>
    </w:p>
    <w:tbl>
      <w:tblPr>
        <w:tblW w:w="4992" w:type="pct"/>
        <w:tblLayout w:type="fixed"/>
        <w:tblLook w:val="00A0" w:firstRow="1" w:lastRow="0" w:firstColumn="1" w:lastColumn="0" w:noHBand="0" w:noVBand="0"/>
      </w:tblPr>
      <w:tblGrid>
        <w:gridCol w:w="4743"/>
        <w:gridCol w:w="236"/>
        <w:gridCol w:w="3728"/>
      </w:tblGrid>
      <w:tr w:rsidR="000924EA" w:rsidRPr="00AE4E8D" w14:paraId="357EFD53" w14:textId="77777777" w:rsidTr="000400C8">
        <w:trPr>
          <w:trHeight w:val="322"/>
        </w:trPr>
        <w:tc>
          <w:tcPr>
            <w:tcW w:w="2726" w:type="pct"/>
            <w:tcBorders>
              <w:bottom w:val="single" w:sz="4" w:space="0" w:color="auto"/>
            </w:tcBorders>
          </w:tcPr>
          <w:p w14:paraId="6715DA5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Titulares</w:t>
            </w:r>
          </w:p>
        </w:tc>
        <w:tc>
          <w:tcPr>
            <w:tcW w:w="131" w:type="pct"/>
          </w:tcPr>
          <w:p w14:paraId="4C673133"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3" w:type="pct"/>
            <w:tcBorders>
              <w:bottom w:val="single" w:sz="4" w:space="0" w:color="auto"/>
            </w:tcBorders>
          </w:tcPr>
          <w:p w14:paraId="2DD73E55"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4B68494F" w14:textId="77777777" w:rsidTr="000400C8">
        <w:tc>
          <w:tcPr>
            <w:tcW w:w="2726" w:type="pct"/>
          </w:tcPr>
          <w:p w14:paraId="63C926B4"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Martín Lanfranco</w:t>
            </w:r>
            <w:r w:rsidRPr="00AE4E8D">
              <w:rPr>
                <w:rFonts w:ascii="Times New Roman" w:hAnsi="Times New Roman"/>
                <w:lang w:val="es-ES"/>
              </w:rPr>
              <w:tab/>
            </w:r>
          </w:p>
        </w:tc>
        <w:tc>
          <w:tcPr>
            <w:tcW w:w="131" w:type="pct"/>
          </w:tcPr>
          <w:p w14:paraId="36DEA128"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Pr>
          <w:p w14:paraId="15D9463D"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3728B698" w14:textId="77777777" w:rsidTr="000400C8">
        <w:tc>
          <w:tcPr>
            <w:tcW w:w="2726" w:type="pct"/>
          </w:tcPr>
          <w:p w14:paraId="7AD1298C"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Mauricio E. Wior</w:t>
            </w:r>
            <w:r w:rsidRPr="00AE4E8D">
              <w:rPr>
                <w:rFonts w:ascii="Times New Roman" w:hAnsi="Times New Roman"/>
                <w:lang w:val="es-ES"/>
              </w:rPr>
              <w:tab/>
            </w:r>
          </w:p>
        </w:tc>
        <w:tc>
          <w:tcPr>
            <w:tcW w:w="131" w:type="pct"/>
          </w:tcPr>
          <w:p w14:paraId="4533D57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Pr>
          <w:p w14:paraId="709249D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09383A40" w14:textId="77777777" w:rsidTr="000400C8">
        <w:tc>
          <w:tcPr>
            <w:tcW w:w="2726" w:type="pct"/>
          </w:tcPr>
          <w:p w14:paraId="2FF1C341"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p>
        </w:tc>
        <w:tc>
          <w:tcPr>
            <w:tcW w:w="131" w:type="pct"/>
          </w:tcPr>
          <w:p w14:paraId="68DC6CE0"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Pr>
          <w:p w14:paraId="6B49CC8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r>
      <w:tr w:rsidR="000924EA" w:rsidRPr="00AE4E8D" w14:paraId="3CA84E55" w14:textId="77777777" w:rsidTr="000400C8">
        <w:tc>
          <w:tcPr>
            <w:tcW w:w="2726" w:type="pct"/>
            <w:tcBorders>
              <w:bottom w:val="single" w:sz="4" w:space="0" w:color="auto"/>
            </w:tcBorders>
          </w:tcPr>
          <w:p w14:paraId="4D1F6F9B"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Suplentes</w:t>
            </w:r>
          </w:p>
        </w:tc>
        <w:tc>
          <w:tcPr>
            <w:tcW w:w="131" w:type="pct"/>
          </w:tcPr>
          <w:p w14:paraId="4A097CA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Borders>
              <w:bottom w:val="single" w:sz="4" w:space="0" w:color="auto"/>
            </w:tcBorders>
          </w:tcPr>
          <w:p w14:paraId="68FFE95C"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r>
      <w:tr w:rsidR="000924EA" w:rsidRPr="00AE4E8D" w14:paraId="658E6749" w14:textId="77777777" w:rsidTr="000400C8">
        <w:tc>
          <w:tcPr>
            <w:tcW w:w="2726" w:type="pct"/>
            <w:tcBorders>
              <w:top w:val="single" w:sz="4" w:space="0" w:color="auto"/>
            </w:tcBorders>
          </w:tcPr>
          <w:p w14:paraId="1FD1D98A"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Gabriel A. Reznik</w:t>
            </w:r>
            <w:r w:rsidRPr="00AE4E8D">
              <w:rPr>
                <w:rFonts w:ascii="Times New Roman" w:hAnsi="Times New Roman"/>
                <w:lang w:val="es-ES"/>
              </w:rPr>
              <w:tab/>
            </w:r>
          </w:p>
        </w:tc>
        <w:tc>
          <w:tcPr>
            <w:tcW w:w="131" w:type="pct"/>
          </w:tcPr>
          <w:p w14:paraId="5093419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Borders>
              <w:top w:val="single" w:sz="4" w:space="0" w:color="auto"/>
            </w:tcBorders>
          </w:tcPr>
          <w:p w14:paraId="3C495D55"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02887430" w14:textId="77777777" w:rsidTr="000400C8">
        <w:tc>
          <w:tcPr>
            <w:tcW w:w="2726" w:type="pct"/>
          </w:tcPr>
          <w:p w14:paraId="231D3A75"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p>
        </w:tc>
        <w:tc>
          <w:tcPr>
            <w:tcW w:w="131" w:type="pct"/>
          </w:tcPr>
          <w:p w14:paraId="3358534D"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Pr>
          <w:p w14:paraId="5E807EAC"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r>
      <w:tr w:rsidR="000924EA" w:rsidRPr="00AE4E8D" w14:paraId="1C695906" w14:textId="77777777" w:rsidTr="000400C8">
        <w:tc>
          <w:tcPr>
            <w:tcW w:w="2726" w:type="pct"/>
            <w:tcBorders>
              <w:bottom w:val="single" w:sz="4" w:space="0" w:color="auto"/>
            </w:tcBorders>
          </w:tcPr>
          <w:p w14:paraId="47DE17E6"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b/>
                <w:lang w:val="es-ES"/>
              </w:rPr>
              <w:t>Asisten</w:t>
            </w:r>
          </w:p>
        </w:tc>
        <w:tc>
          <w:tcPr>
            <w:tcW w:w="131" w:type="pct"/>
          </w:tcPr>
          <w:p w14:paraId="2E47B0D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Borders>
              <w:bottom w:val="single" w:sz="4" w:space="0" w:color="auto"/>
            </w:tcBorders>
          </w:tcPr>
          <w:p w14:paraId="0F571FBD"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29C87380" w14:textId="77777777" w:rsidTr="000400C8">
        <w:tc>
          <w:tcPr>
            <w:tcW w:w="2726" w:type="pct"/>
            <w:tcBorders>
              <w:top w:val="single" w:sz="4" w:space="0" w:color="auto"/>
            </w:tcBorders>
          </w:tcPr>
          <w:p w14:paraId="1088F9F9"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Julieta Albala</w:t>
            </w:r>
            <w:r w:rsidRPr="00AE4E8D">
              <w:rPr>
                <w:rFonts w:ascii="Times New Roman" w:hAnsi="Times New Roman"/>
                <w:lang w:val="es-ES"/>
              </w:rPr>
              <w:tab/>
            </w:r>
          </w:p>
        </w:tc>
        <w:tc>
          <w:tcPr>
            <w:tcW w:w="131" w:type="pct"/>
          </w:tcPr>
          <w:p w14:paraId="71EA812C"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Borders>
              <w:top w:val="single" w:sz="4" w:space="0" w:color="auto"/>
            </w:tcBorders>
          </w:tcPr>
          <w:p w14:paraId="4C6A6C45"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Gte. de Área Procesos, Sistemas y Tecnología</w:t>
            </w:r>
          </w:p>
        </w:tc>
      </w:tr>
      <w:tr w:rsidR="000924EA" w:rsidRPr="00AE4E8D" w14:paraId="79109893" w14:textId="77777777" w:rsidTr="000400C8">
        <w:tc>
          <w:tcPr>
            <w:tcW w:w="2726" w:type="pct"/>
          </w:tcPr>
          <w:p w14:paraId="0A03C693"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Ricardo Gastón</w:t>
            </w:r>
            <w:r w:rsidRPr="00AE4E8D">
              <w:rPr>
                <w:rFonts w:ascii="Times New Roman" w:hAnsi="Times New Roman"/>
                <w:lang w:val="es-ES"/>
              </w:rPr>
              <w:tab/>
            </w:r>
          </w:p>
        </w:tc>
        <w:tc>
          <w:tcPr>
            <w:tcW w:w="131" w:type="pct"/>
          </w:tcPr>
          <w:p w14:paraId="4DE5BD68"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3" w:type="pct"/>
          </w:tcPr>
          <w:p w14:paraId="01A02DFB"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Gte. de Área Seguridad Física y Lógica</w:t>
            </w:r>
          </w:p>
        </w:tc>
      </w:tr>
    </w:tbl>
    <w:p w14:paraId="0CBA278F" w14:textId="77777777" w:rsidR="000924EA" w:rsidRPr="00AE4E8D" w:rsidRDefault="000924EA" w:rsidP="000924EA">
      <w:pPr>
        <w:autoSpaceDE w:val="0"/>
        <w:autoSpaceDN w:val="0"/>
        <w:adjustRightInd w:val="0"/>
        <w:spacing w:before="120" w:after="120"/>
        <w:jc w:val="both"/>
        <w:rPr>
          <w:rStyle w:val="BHTextoCar"/>
          <w:lang w:val="es-ES"/>
        </w:rPr>
      </w:pPr>
      <w:r w:rsidRPr="00AE4E8D">
        <w:rPr>
          <w:rFonts w:ascii="Times New Roman" w:hAnsi="Times New Roman"/>
          <w:lang w:val="es-ES"/>
        </w:rPr>
        <w:lastRenderedPageBreak/>
        <w:t xml:space="preserve">El Comité de Tecnología Informática y Sistemas desempeña sus funciones de conformidad con lo dispuesto por </w:t>
      </w:r>
      <w:r w:rsidRPr="00AE4E8D">
        <w:rPr>
          <w:rStyle w:val="BHTextoCar"/>
          <w:lang w:val="es-ES"/>
        </w:rPr>
        <w:t xml:space="preserve">la Comunicación “A” 4609 y concordantes y deberá reunirse periódicamente y como mínimo una vez cada tres meses. Este Comité tiene a su cargo asegurar que los sistemas de información y tecnologías relacionadas concuerden con nuestras necesidades de negocio y se alineen con nuestros planes estratégicos. En tal sentido, el presente Comité es responsable, entre otras cosas de las siguientes actividades: </w:t>
      </w:r>
    </w:p>
    <w:p w14:paraId="5C8C4408" w14:textId="77777777" w:rsidR="000924EA" w:rsidRPr="00AE4E8D" w:rsidRDefault="000924EA" w:rsidP="000924EA">
      <w:pPr>
        <w:pStyle w:val="BHTexto"/>
        <w:numPr>
          <w:ilvl w:val="0"/>
          <w:numId w:val="80"/>
        </w:numPr>
        <w:rPr>
          <w:lang w:val="es-ES"/>
        </w:rPr>
      </w:pPr>
      <w:r w:rsidRPr="00AE4E8D">
        <w:rPr>
          <w:lang w:val="es-ES"/>
        </w:rPr>
        <w:t>proporcionar las pautas necesarias para que el Directorio prepare y apruebe un plan tecnológico y evaluar periódicamente dicho plan y el nivel de cumplimiento del mismo;</w:t>
      </w:r>
    </w:p>
    <w:p w14:paraId="0C1AD1C2" w14:textId="77777777" w:rsidR="000924EA" w:rsidRPr="00AE4E8D" w:rsidRDefault="000924EA" w:rsidP="000924EA">
      <w:pPr>
        <w:pStyle w:val="BHTexto"/>
        <w:numPr>
          <w:ilvl w:val="0"/>
          <w:numId w:val="80"/>
        </w:numPr>
        <w:rPr>
          <w:lang w:val="es-ES"/>
        </w:rPr>
      </w:pPr>
      <w:r w:rsidRPr="00AE4E8D">
        <w:rPr>
          <w:lang w:val="es-ES"/>
        </w:rPr>
        <w:t>controlar la adecuada operación del sector de tecnología de la información y su eficiencia;</w:t>
      </w:r>
    </w:p>
    <w:p w14:paraId="7BEDB3B3" w14:textId="77777777" w:rsidR="000924EA" w:rsidRPr="00AE4E8D" w:rsidRDefault="000924EA" w:rsidP="000924EA">
      <w:pPr>
        <w:pStyle w:val="BHTexto"/>
        <w:numPr>
          <w:ilvl w:val="0"/>
          <w:numId w:val="80"/>
        </w:numPr>
        <w:rPr>
          <w:lang w:val="es-ES"/>
        </w:rPr>
      </w:pPr>
      <w:r w:rsidRPr="00AE4E8D">
        <w:rPr>
          <w:lang w:val="es-ES"/>
        </w:rPr>
        <w:t xml:space="preserve">revisar los informes vinculados con la tecnología de la información y </w:t>
      </w:r>
    </w:p>
    <w:p w14:paraId="6913CB04" w14:textId="77777777" w:rsidR="000924EA" w:rsidRPr="00AE4E8D" w:rsidRDefault="000924EA" w:rsidP="000924EA">
      <w:pPr>
        <w:pStyle w:val="BHTexto"/>
        <w:numPr>
          <w:ilvl w:val="0"/>
          <w:numId w:val="80"/>
        </w:numPr>
        <w:rPr>
          <w:lang w:val="es-ES"/>
        </w:rPr>
      </w:pPr>
      <w:r w:rsidRPr="00AE4E8D">
        <w:rPr>
          <w:lang w:val="es-ES"/>
        </w:rPr>
        <w:t>mantener un diálogo adecuado con la división de auditoría externa de la Superintendencia de Entidades Financieras.</w:t>
      </w:r>
    </w:p>
    <w:p w14:paraId="3760555C" w14:textId="77777777" w:rsidR="000924EA" w:rsidRPr="00AE4E8D" w:rsidRDefault="000924EA" w:rsidP="000924EA">
      <w:pPr>
        <w:keepNext/>
        <w:autoSpaceDE w:val="0"/>
        <w:autoSpaceDN w:val="0"/>
        <w:adjustRightInd w:val="0"/>
        <w:spacing w:after="120"/>
        <w:jc w:val="both"/>
        <w:outlineLvl w:val="4"/>
        <w:rPr>
          <w:rFonts w:ascii="Times New Roman" w:hAnsi="Times New Roman"/>
          <w:b/>
          <w:lang w:val="es-ES"/>
        </w:rPr>
      </w:pPr>
      <w:r w:rsidRPr="00AE4E8D">
        <w:rPr>
          <w:rFonts w:ascii="Times New Roman" w:hAnsi="Times New Roman"/>
          <w:b/>
          <w:lang w:val="es-ES"/>
        </w:rPr>
        <w:t>Comité de Control y Prevención de Lavado de Dinero y Financiación del Terrorismo</w:t>
      </w:r>
    </w:p>
    <w:p w14:paraId="05B77C66" w14:textId="77777777" w:rsidR="000924EA" w:rsidRPr="00AE4E8D" w:rsidRDefault="000924EA" w:rsidP="000924EA">
      <w:pPr>
        <w:pStyle w:val="BHTexto"/>
        <w:rPr>
          <w:lang w:val="es-ES"/>
        </w:rPr>
      </w:pPr>
      <w:r w:rsidRPr="00AE4E8D">
        <w:rPr>
          <w:lang w:val="es-ES"/>
        </w:rPr>
        <w:t>La tabla que aparece a continuación detalla la composición de nuestro Comité de Control y Prevención de Lavado de Dinero y Financiación del Terrorismo:</w:t>
      </w:r>
    </w:p>
    <w:tbl>
      <w:tblPr>
        <w:tblW w:w="4992" w:type="pct"/>
        <w:tblLayout w:type="fixed"/>
        <w:tblLook w:val="00A0" w:firstRow="1" w:lastRow="0" w:firstColumn="1" w:lastColumn="0" w:noHBand="0" w:noVBand="0"/>
      </w:tblPr>
      <w:tblGrid>
        <w:gridCol w:w="4742"/>
        <w:gridCol w:w="236"/>
        <w:gridCol w:w="3729"/>
      </w:tblGrid>
      <w:tr w:rsidR="000924EA" w:rsidRPr="00AE4E8D" w14:paraId="5B45E8A7" w14:textId="77777777" w:rsidTr="000400C8">
        <w:trPr>
          <w:trHeight w:val="322"/>
        </w:trPr>
        <w:tc>
          <w:tcPr>
            <w:tcW w:w="2727" w:type="pct"/>
            <w:tcBorders>
              <w:bottom w:val="single" w:sz="4" w:space="0" w:color="auto"/>
            </w:tcBorders>
          </w:tcPr>
          <w:p w14:paraId="6B2BFD9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Titulares</w:t>
            </w:r>
          </w:p>
        </w:tc>
        <w:tc>
          <w:tcPr>
            <w:tcW w:w="128" w:type="pct"/>
          </w:tcPr>
          <w:p w14:paraId="11AC6DF6"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5" w:type="pct"/>
            <w:tcBorders>
              <w:bottom w:val="single" w:sz="4" w:space="0" w:color="auto"/>
            </w:tcBorders>
          </w:tcPr>
          <w:p w14:paraId="1F03439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783E39DC" w14:textId="77777777" w:rsidTr="000400C8">
        <w:tc>
          <w:tcPr>
            <w:tcW w:w="2727" w:type="pct"/>
            <w:tcBorders>
              <w:top w:val="single" w:sz="4" w:space="0" w:color="auto"/>
            </w:tcBorders>
          </w:tcPr>
          <w:p w14:paraId="23FB29DC"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Ernesto Manuel Viñes</w:t>
            </w:r>
            <w:r w:rsidRPr="00AE4E8D">
              <w:rPr>
                <w:rFonts w:ascii="Times New Roman" w:hAnsi="Times New Roman"/>
                <w:lang w:val="es-ES"/>
              </w:rPr>
              <w:tab/>
            </w:r>
          </w:p>
        </w:tc>
        <w:tc>
          <w:tcPr>
            <w:tcW w:w="128" w:type="pct"/>
          </w:tcPr>
          <w:p w14:paraId="7581929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Borders>
              <w:top w:val="single" w:sz="4" w:space="0" w:color="auto"/>
            </w:tcBorders>
          </w:tcPr>
          <w:p w14:paraId="06E0C6FB"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0C5271D7" w14:textId="77777777" w:rsidTr="000400C8">
        <w:tc>
          <w:tcPr>
            <w:tcW w:w="2727" w:type="pct"/>
          </w:tcPr>
          <w:p w14:paraId="063EB359"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Mauricio Elías Wior</w:t>
            </w:r>
            <w:r w:rsidRPr="00AE4E8D">
              <w:rPr>
                <w:rFonts w:ascii="Times New Roman" w:hAnsi="Times New Roman"/>
                <w:lang w:val="es-ES"/>
              </w:rPr>
              <w:tab/>
            </w:r>
          </w:p>
        </w:tc>
        <w:tc>
          <w:tcPr>
            <w:tcW w:w="128" w:type="pct"/>
          </w:tcPr>
          <w:p w14:paraId="2E730BB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0E952FAB"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30BFD21C" w14:textId="77777777" w:rsidTr="000400C8">
        <w:trPr>
          <w:trHeight w:val="164"/>
        </w:trPr>
        <w:tc>
          <w:tcPr>
            <w:tcW w:w="2727" w:type="pct"/>
          </w:tcPr>
          <w:p w14:paraId="51E5F9DB"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p>
        </w:tc>
        <w:tc>
          <w:tcPr>
            <w:tcW w:w="128" w:type="pct"/>
          </w:tcPr>
          <w:p w14:paraId="7EAF1B99"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1EC2C30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r>
      <w:tr w:rsidR="000924EA" w:rsidRPr="00AE4E8D" w14:paraId="3A4FB70F" w14:textId="77777777" w:rsidTr="000400C8">
        <w:trPr>
          <w:trHeight w:val="164"/>
        </w:trPr>
        <w:tc>
          <w:tcPr>
            <w:tcW w:w="2727" w:type="pct"/>
            <w:tcBorders>
              <w:bottom w:val="single" w:sz="4" w:space="0" w:color="auto"/>
            </w:tcBorders>
          </w:tcPr>
          <w:p w14:paraId="49EC405B"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Asisten</w:t>
            </w:r>
          </w:p>
        </w:tc>
        <w:tc>
          <w:tcPr>
            <w:tcW w:w="128" w:type="pct"/>
          </w:tcPr>
          <w:p w14:paraId="076DC824"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Borders>
              <w:bottom w:val="single" w:sz="4" w:space="0" w:color="auto"/>
            </w:tcBorders>
          </w:tcPr>
          <w:p w14:paraId="19A3C1D5"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18ABF1E1" w14:textId="77777777" w:rsidTr="000400C8">
        <w:trPr>
          <w:trHeight w:val="164"/>
        </w:trPr>
        <w:tc>
          <w:tcPr>
            <w:tcW w:w="2727" w:type="pct"/>
            <w:tcBorders>
              <w:top w:val="single" w:sz="4" w:space="0" w:color="auto"/>
            </w:tcBorders>
          </w:tcPr>
          <w:p w14:paraId="1F2E9A82"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Alejandro Sokol</w:t>
            </w:r>
            <w:r w:rsidRPr="00AE4E8D">
              <w:rPr>
                <w:rFonts w:ascii="Times New Roman" w:hAnsi="Times New Roman"/>
                <w:lang w:val="es-ES"/>
              </w:rPr>
              <w:tab/>
            </w:r>
          </w:p>
        </w:tc>
        <w:tc>
          <w:tcPr>
            <w:tcW w:w="128" w:type="pct"/>
          </w:tcPr>
          <w:p w14:paraId="59EA41D2"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Borders>
              <w:top w:val="single" w:sz="4" w:space="0" w:color="auto"/>
            </w:tcBorders>
          </w:tcPr>
          <w:p w14:paraId="0AEBF1E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 xml:space="preserve">Gerente de Área Riesgos </w:t>
            </w:r>
          </w:p>
        </w:tc>
      </w:tr>
      <w:tr w:rsidR="000924EA" w:rsidRPr="00AE4E8D" w14:paraId="1D9A3E19" w14:textId="77777777" w:rsidTr="000400C8">
        <w:trPr>
          <w:trHeight w:val="164"/>
        </w:trPr>
        <w:tc>
          <w:tcPr>
            <w:tcW w:w="2727" w:type="pct"/>
          </w:tcPr>
          <w:p w14:paraId="176AF8BE"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Jorge Gimeno</w:t>
            </w:r>
            <w:r w:rsidRPr="00AE4E8D">
              <w:rPr>
                <w:rFonts w:ascii="Times New Roman" w:hAnsi="Times New Roman"/>
                <w:lang w:val="es-ES"/>
              </w:rPr>
              <w:tab/>
            </w:r>
          </w:p>
        </w:tc>
        <w:tc>
          <w:tcPr>
            <w:tcW w:w="128" w:type="pct"/>
          </w:tcPr>
          <w:p w14:paraId="7DD546B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7A07F04A"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Gerente de la Unidad de Prevención de Lavado de Dinero</w:t>
            </w:r>
          </w:p>
        </w:tc>
      </w:tr>
    </w:tbl>
    <w:p w14:paraId="414CF842" w14:textId="77777777" w:rsidR="000924EA" w:rsidRPr="00AE4E8D" w:rsidRDefault="000924EA" w:rsidP="000924EA">
      <w:pPr>
        <w:autoSpaceDE w:val="0"/>
        <w:autoSpaceDN w:val="0"/>
        <w:adjustRightInd w:val="0"/>
        <w:spacing w:before="120" w:after="120"/>
        <w:jc w:val="both"/>
        <w:rPr>
          <w:rStyle w:val="BHTextoCar"/>
          <w:lang w:val="es-ES"/>
        </w:rPr>
      </w:pPr>
      <w:r w:rsidRPr="00AE4E8D">
        <w:rPr>
          <w:rFonts w:ascii="Times New Roman" w:hAnsi="Times New Roman"/>
          <w:lang w:val="es-ES"/>
        </w:rPr>
        <w:t xml:space="preserve">Nuestro Comité de Prevención y Control de Lavado de Dinero y Financiación del Terrorismo desarrollará su </w:t>
      </w:r>
      <w:r w:rsidRPr="00AE4E8D">
        <w:rPr>
          <w:rStyle w:val="BHTextoCar"/>
          <w:lang w:val="es-ES"/>
        </w:rPr>
        <w:t xml:space="preserve">labor en el marco de: (i) las Normas de Prevención y Control de Lavado de Dinero y otras Actividades </w:t>
      </w:r>
      <w:r w:rsidR="00CE1483">
        <w:rPr>
          <w:rStyle w:val="BHTextoCar"/>
          <w:lang w:val="es-ES"/>
        </w:rPr>
        <w:t>Ilícitas dictadas por el BCRA;</w:t>
      </w:r>
      <w:r w:rsidRPr="00AE4E8D">
        <w:rPr>
          <w:rStyle w:val="BHTextoCar"/>
          <w:lang w:val="es-ES"/>
        </w:rPr>
        <w:t xml:space="preserve"> (ii) la Resolución Nº2/2002 de la UIF, las Leyes Nº25.246 y 26.268 y sus concordantes, más sus decretos reglamentarios, (iii) los decretos del Poder Ejecutivo Nacional con referencia a las decisiones adoptadas por el Consejo de Seguridad de las Naciones Unidas en la lucha contra el terrorismo y dar cumplimiento a las dictadas por el Ministerio de Relaciones Exteriores, Comercio Internacional y Culto, y (iv) nuestro Código de Gobierno Societario.</w:t>
      </w:r>
    </w:p>
    <w:p w14:paraId="40DCD823" w14:textId="77777777" w:rsidR="000924EA" w:rsidRPr="00AE4E8D" w:rsidRDefault="000924EA" w:rsidP="000924EA">
      <w:pPr>
        <w:keepNext/>
        <w:autoSpaceDE w:val="0"/>
        <w:autoSpaceDN w:val="0"/>
        <w:adjustRightInd w:val="0"/>
        <w:spacing w:after="120"/>
        <w:jc w:val="both"/>
        <w:outlineLvl w:val="4"/>
        <w:rPr>
          <w:rFonts w:ascii="Times New Roman" w:hAnsi="Times New Roman"/>
          <w:b/>
          <w:lang w:val="es-ES"/>
        </w:rPr>
      </w:pPr>
      <w:r w:rsidRPr="00AE4E8D">
        <w:rPr>
          <w:rFonts w:ascii="Times New Roman" w:hAnsi="Times New Roman"/>
          <w:b/>
          <w:lang w:val="es-ES"/>
        </w:rPr>
        <w:t>Comité Financiero</w:t>
      </w:r>
    </w:p>
    <w:p w14:paraId="735CA096" w14:textId="77777777" w:rsidR="000924EA" w:rsidRPr="00AE4E8D" w:rsidRDefault="000924EA" w:rsidP="000924EA">
      <w:pPr>
        <w:pStyle w:val="BHTexto"/>
        <w:rPr>
          <w:lang w:val="es-ES"/>
        </w:rPr>
      </w:pPr>
      <w:r w:rsidRPr="00AE4E8D">
        <w:rPr>
          <w:lang w:val="es-ES"/>
        </w:rPr>
        <w:t>El Comité Financiero está compuesto por al menos tres directores y el Gerente General, y los funcionarios ejecutivos superiores de los Departamentos de Administración Financiero y de Riesgo de Mercado pueden formar parte pero no tienen derecho a voto. La tabla que aparece a continuación detalla la composición de nuestro Comité Financiero:</w:t>
      </w:r>
    </w:p>
    <w:tbl>
      <w:tblPr>
        <w:tblW w:w="4992" w:type="pct"/>
        <w:tblLayout w:type="fixed"/>
        <w:tblLook w:val="00A0" w:firstRow="1" w:lastRow="0" w:firstColumn="1" w:lastColumn="0" w:noHBand="0" w:noVBand="0"/>
      </w:tblPr>
      <w:tblGrid>
        <w:gridCol w:w="4743"/>
        <w:gridCol w:w="236"/>
        <w:gridCol w:w="3728"/>
      </w:tblGrid>
      <w:tr w:rsidR="000924EA" w:rsidRPr="00AE4E8D" w14:paraId="40437D98" w14:textId="77777777" w:rsidTr="000400C8">
        <w:trPr>
          <w:trHeight w:val="322"/>
          <w:tblHeader/>
        </w:trPr>
        <w:tc>
          <w:tcPr>
            <w:tcW w:w="2726" w:type="pct"/>
            <w:tcBorders>
              <w:bottom w:val="single" w:sz="4" w:space="0" w:color="auto"/>
            </w:tcBorders>
          </w:tcPr>
          <w:p w14:paraId="43898D95"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Titulares</w:t>
            </w:r>
          </w:p>
        </w:tc>
        <w:tc>
          <w:tcPr>
            <w:tcW w:w="131" w:type="pct"/>
            <w:tcBorders>
              <w:bottom w:val="single" w:sz="4" w:space="0" w:color="auto"/>
            </w:tcBorders>
          </w:tcPr>
          <w:p w14:paraId="0F0966F9"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b/>
                <w:lang w:val="es-ES"/>
              </w:rPr>
            </w:pPr>
          </w:p>
        </w:tc>
        <w:tc>
          <w:tcPr>
            <w:tcW w:w="2143" w:type="pct"/>
            <w:tcBorders>
              <w:bottom w:val="single" w:sz="4" w:space="0" w:color="auto"/>
            </w:tcBorders>
          </w:tcPr>
          <w:p w14:paraId="76C009C3" w14:textId="77777777" w:rsidR="000924EA" w:rsidRPr="00AE4E8D" w:rsidRDefault="000924EA" w:rsidP="00232C94">
            <w:pPr>
              <w:keepNext/>
              <w:keepLines/>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698BE6AA" w14:textId="77777777" w:rsidTr="000400C8">
        <w:tc>
          <w:tcPr>
            <w:tcW w:w="2726" w:type="pct"/>
            <w:tcBorders>
              <w:top w:val="single" w:sz="4" w:space="0" w:color="auto"/>
            </w:tcBorders>
          </w:tcPr>
          <w:p w14:paraId="7835FE84"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Mauricio Elías Wior</w:t>
            </w:r>
            <w:r w:rsidRPr="00AE4E8D">
              <w:rPr>
                <w:rFonts w:ascii="Times New Roman" w:hAnsi="Times New Roman"/>
                <w:lang w:val="es-ES"/>
              </w:rPr>
              <w:tab/>
            </w:r>
          </w:p>
        </w:tc>
        <w:tc>
          <w:tcPr>
            <w:tcW w:w="131" w:type="pct"/>
          </w:tcPr>
          <w:p w14:paraId="4A720709" w14:textId="77777777" w:rsidR="000924EA" w:rsidRPr="00AE4E8D" w:rsidRDefault="000924EA" w:rsidP="00232C94">
            <w:pPr>
              <w:rPr>
                <w:rFonts w:ascii="Times New Roman" w:hAnsi="Times New Roman"/>
                <w:lang w:val="es-ES"/>
              </w:rPr>
            </w:pPr>
          </w:p>
        </w:tc>
        <w:tc>
          <w:tcPr>
            <w:tcW w:w="2143" w:type="pct"/>
            <w:tcBorders>
              <w:top w:val="single" w:sz="4" w:space="0" w:color="auto"/>
            </w:tcBorders>
          </w:tcPr>
          <w:p w14:paraId="1384D27E"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2A8B9B8E" w14:textId="77777777" w:rsidTr="000400C8">
        <w:tc>
          <w:tcPr>
            <w:tcW w:w="2726" w:type="pct"/>
          </w:tcPr>
          <w:p w14:paraId="371CFF1F"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Jacobo Julio Dreizzen</w:t>
            </w:r>
            <w:r w:rsidRPr="00AE4E8D">
              <w:rPr>
                <w:rFonts w:ascii="Times New Roman" w:hAnsi="Times New Roman"/>
                <w:lang w:val="es-ES"/>
              </w:rPr>
              <w:tab/>
            </w:r>
          </w:p>
        </w:tc>
        <w:tc>
          <w:tcPr>
            <w:tcW w:w="131" w:type="pct"/>
          </w:tcPr>
          <w:p w14:paraId="6E74094C" w14:textId="77777777" w:rsidR="000924EA" w:rsidRPr="00AE4E8D" w:rsidRDefault="000924EA" w:rsidP="00232C94">
            <w:pPr>
              <w:rPr>
                <w:rFonts w:ascii="Times New Roman" w:hAnsi="Times New Roman"/>
                <w:lang w:val="es-ES"/>
              </w:rPr>
            </w:pPr>
          </w:p>
        </w:tc>
        <w:tc>
          <w:tcPr>
            <w:tcW w:w="2143" w:type="pct"/>
          </w:tcPr>
          <w:p w14:paraId="74959BEC"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267A313C" w14:textId="77777777" w:rsidTr="000400C8">
        <w:tc>
          <w:tcPr>
            <w:tcW w:w="2726" w:type="pct"/>
          </w:tcPr>
          <w:p w14:paraId="48DB62F0"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Carlos Bernardo Pisula</w:t>
            </w:r>
            <w:r w:rsidRPr="00AE4E8D">
              <w:rPr>
                <w:rFonts w:ascii="Times New Roman" w:hAnsi="Times New Roman"/>
                <w:lang w:val="es-ES"/>
              </w:rPr>
              <w:tab/>
            </w:r>
          </w:p>
        </w:tc>
        <w:tc>
          <w:tcPr>
            <w:tcW w:w="131" w:type="pct"/>
          </w:tcPr>
          <w:p w14:paraId="236F6E8D" w14:textId="77777777" w:rsidR="000924EA" w:rsidRPr="00AE4E8D" w:rsidRDefault="000924EA" w:rsidP="00232C94">
            <w:pPr>
              <w:rPr>
                <w:rFonts w:ascii="Times New Roman" w:hAnsi="Times New Roman"/>
                <w:lang w:val="es-ES"/>
              </w:rPr>
            </w:pPr>
          </w:p>
        </w:tc>
        <w:tc>
          <w:tcPr>
            <w:tcW w:w="2143" w:type="pct"/>
          </w:tcPr>
          <w:p w14:paraId="04F0D724"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701C7330" w14:textId="77777777" w:rsidTr="000400C8">
        <w:trPr>
          <w:trHeight w:val="164"/>
        </w:trPr>
        <w:tc>
          <w:tcPr>
            <w:tcW w:w="2726" w:type="pct"/>
          </w:tcPr>
          <w:p w14:paraId="38BF8445"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Mario Blejer</w:t>
            </w:r>
            <w:r w:rsidRPr="00AE4E8D">
              <w:rPr>
                <w:rFonts w:ascii="Times New Roman" w:hAnsi="Times New Roman"/>
                <w:lang w:val="es-ES"/>
              </w:rPr>
              <w:tab/>
            </w:r>
          </w:p>
        </w:tc>
        <w:tc>
          <w:tcPr>
            <w:tcW w:w="131" w:type="pct"/>
          </w:tcPr>
          <w:p w14:paraId="26420AC2" w14:textId="77777777" w:rsidR="000924EA" w:rsidRPr="00AE4E8D" w:rsidRDefault="000924EA" w:rsidP="00232C94">
            <w:pPr>
              <w:rPr>
                <w:rFonts w:ascii="Times New Roman" w:hAnsi="Times New Roman"/>
                <w:lang w:val="es-ES"/>
              </w:rPr>
            </w:pPr>
          </w:p>
        </w:tc>
        <w:tc>
          <w:tcPr>
            <w:tcW w:w="2143" w:type="pct"/>
          </w:tcPr>
          <w:p w14:paraId="4EA37716"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55C996E3" w14:textId="77777777" w:rsidTr="000400C8">
        <w:trPr>
          <w:trHeight w:val="164"/>
        </w:trPr>
        <w:tc>
          <w:tcPr>
            <w:tcW w:w="2726" w:type="pct"/>
          </w:tcPr>
          <w:p w14:paraId="0E7BDD5F"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Fernando Recalde</w:t>
            </w:r>
            <w:r w:rsidRPr="00AE4E8D">
              <w:rPr>
                <w:rFonts w:ascii="Times New Roman" w:hAnsi="Times New Roman"/>
                <w:lang w:val="es-ES"/>
              </w:rPr>
              <w:tab/>
            </w:r>
          </w:p>
        </w:tc>
        <w:tc>
          <w:tcPr>
            <w:tcW w:w="131" w:type="pct"/>
          </w:tcPr>
          <w:p w14:paraId="40E82C66" w14:textId="77777777" w:rsidR="000924EA" w:rsidRPr="00AE4E8D" w:rsidRDefault="000924EA" w:rsidP="00232C94">
            <w:pPr>
              <w:rPr>
                <w:rFonts w:ascii="Times New Roman" w:hAnsi="Times New Roman"/>
                <w:lang w:val="es-ES"/>
              </w:rPr>
            </w:pPr>
          </w:p>
        </w:tc>
        <w:tc>
          <w:tcPr>
            <w:tcW w:w="2143" w:type="pct"/>
          </w:tcPr>
          <w:p w14:paraId="25FC2950"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22A10F02" w14:textId="77777777" w:rsidTr="000400C8">
        <w:trPr>
          <w:trHeight w:val="164"/>
        </w:trPr>
        <w:tc>
          <w:tcPr>
            <w:tcW w:w="2726" w:type="pct"/>
          </w:tcPr>
          <w:p w14:paraId="31AE5E7A" w14:textId="77777777" w:rsidR="000924EA" w:rsidRPr="00AE4E8D" w:rsidRDefault="000924EA" w:rsidP="00232C94">
            <w:pPr>
              <w:tabs>
                <w:tab w:val="left" w:leader="dot" w:pos="4814"/>
              </w:tabs>
              <w:rPr>
                <w:rFonts w:ascii="Times New Roman" w:hAnsi="Times New Roman"/>
                <w:lang w:val="es-ES"/>
              </w:rPr>
            </w:pPr>
          </w:p>
        </w:tc>
        <w:tc>
          <w:tcPr>
            <w:tcW w:w="131" w:type="pct"/>
          </w:tcPr>
          <w:p w14:paraId="096B4A43" w14:textId="77777777" w:rsidR="000924EA" w:rsidRPr="00AE4E8D" w:rsidRDefault="000924EA" w:rsidP="00232C94">
            <w:pPr>
              <w:rPr>
                <w:rFonts w:ascii="Times New Roman" w:hAnsi="Times New Roman"/>
                <w:lang w:val="es-ES"/>
              </w:rPr>
            </w:pPr>
          </w:p>
        </w:tc>
        <w:tc>
          <w:tcPr>
            <w:tcW w:w="2143" w:type="pct"/>
          </w:tcPr>
          <w:p w14:paraId="740C9AF1" w14:textId="77777777" w:rsidR="000924EA" w:rsidRPr="00AE4E8D" w:rsidRDefault="000924EA" w:rsidP="00232C94">
            <w:pPr>
              <w:rPr>
                <w:rFonts w:ascii="Times New Roman" w:hAnsi="Times New Roman"/>
                <w:lang w:val="es-ES"/>
              </w:rPr>
            </w:pPr>
          </w:p>
        </w:tc>
      </w:tr>
      <w:tr w:rsidR="000924EA" w:rsidRPr="00AE4E8D" w14:paraId="64CCB8C6" w14:textId="77777777" w:rsidTr="000400C8">
        <w:trPr>
          <w:trHeight w:val="164"/>
        </w:trPr>
        <w:tc>
          <w:tcPr>
            <w:tcW w:w="2726" w:type="pct"/>
            <w:tcBorders>
              <w:bottom w:val="single" w:sz="4" w:space="0" w:color="auto"/>
            </w:tcBorders>
          </w:tcPr>
          <w:p w14:paraId="17C97228" w14:textId="77777777" w:rsidR="000924EA" w:rsidRPr="00AE4E8D" w:rsidRDefault="000924EA" w:rsidP="00232C94">
            <w:pPr>
              <w:tabs>
                <w:tab w:val="left" w:leader="dot" w:pos="4814"/>
              </w:tabs>
              <w:rPr>
                <w:rFonts w:ascii="Times New Roman" w:hAnsi="Times New Roman"/>
                <w:b/>
                <w:lang w:val="es-ES"/>
              </w:rPr>
            </w:pPr>
            <w:r w:rsidRPr="00AE4E8D">
              <w:rPr>
                <w:rFonts w:ascii="Times New Roman" w:hAnsi="Times New Roman"/>
                <w:b/>
                <w:lang w:val="es-ES"/>
              </w:rPr>
              <w:t>Asisten</w:t>
            </w:r>
          </w:p>
        </w:tc>
        <w:tc>
          <w:tcPr>
            <w:tcW w:w="131" w:type="pct"/>
          </w:tcPr>
          <w:p w14:paraId="262D2560" w14:textId="77777777" w:rsidR="000924EA" w:rsidRPr="00AE4E8D" w:rsidRDefault="000924EA" w:rsidP="00232C94">
            <w:pPr>
              <w:rPr>
                <w:rFonts w:ascii="Times New Roman" w:hAnsi="Times New Roman"/>
                <w:lang w:val="es-ES"/>
              </w:rPr>
            </w:pPr>
          </w:p>
        </w:tc>
        <w:tc>
          <w:tcPr>
            <w:tcW w:w="2143" w:type="pct"/>
            <w:tcBorders>
              <w:bottom w:val="single" w:sz="4" w:space="0" w:color="auto"/>
            </w:tcBorders>
          </w:tcPr>
          <w:p w14:paraId="2CFF9A3C" w14:textId="77777777" w:rsidR="000924EA" w:rsidRPr="00AE4E8D" w:rsidRDefault="000924EA" w:rsidP="00232C94">
            <w:pPr>
              <w:rPr>
                <w:rFonts w:ascii="Times New Roman" w:hAnsi="Times New Roman"/>
                <w:b/>
                <w:lang w:val="es-ES"/>
              </w:rPr>
            </w:pPr>
            <w:r w:rsidRPr="00AE4E8D">
              <w:rPr>
                <w:rFonts w:ascii="Times New Roman" w:hAnsi="Times New Roman"/>
                <w:b/>
                <w:lang w:val="es-ES"/>
              </w:rPr>
              <w:t>Cargo</w:t>
            </w:r>
          </w:p>
        </w:tc>
      </w:tr>
      <w:tr w:rsidR="000924EA" w:rsidRPr="00AE4E8D" w14:paraId="4B2837BF" w14:textId="77777777" w:rsidTr="000400C8">
        <w:trPr>
          <w:trHeight w:val="164"/>
        </w:trPr>
        <w:tc>
          <w:tcPr>
            <w:tcW w:w="2726" w:type="pct"/>
            <w:tcBorders>
              <w:top w:val="single" w:sz="4" w:space="0" w:color="auto"/>
            </w:tcBorders>
          </w:tcPr>
          <w:p w14:paraId="1CD980FD"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Manuel Herrera</w:t>
            </w:r>
            <w:r w:rsidRPr="00AE4E8D">
              <w:rPr>
                <w:rFonts w:ascii="Times New Roman" w:hAnsi="Times New Roman"/>
                <w:lang w:val="es-ES"/>
              </w:rPr>
              <w:tab/>
            </w:r>
          </w:p>
        </w:tc>
        <w:tc>
          <w:tcPr>
            <w:tcW w:w="131" w:type="pct"/>
          </w:tcPr>
          <w:p w14:paraId="5F362374" w14:textId="77777777" w:rsidR="000924EA" w:rsidRPr="00AE4E8D" w:rsidRDefault="000924EA" w:rsidP="00232C94">
            <w:pPr>
              <w:rPr>
                <w:rFonts w:ascii="Times New Roman" w:hAnsi="Times New Roman"/>
                <w:lang w:val="es-ES"/>
              </w:rPr>
            </w:pPr>
          </w:p>
        </w:tc>
        <w:tc>
          <w:tcPr>
            <w:tcW w:w="2143" w:type="pct"/>
            <w:tcBorders>
              <w:top w:val="single" w:sz="4" w:space="0" w:color="auto"/>
            </w:tcBorders>
          </w:tcPr>
          <w:p w14:paraId="3AFB0629" w14:textId="77777777" w:rsidR="000924EA" w:rsidRPr="00AE4E8D" w:rsidRDefault="000924EA" w:rsidP="00232C94">
            <w:pPr>
              <w:rPr>
                <w:rFonts w:ascii="Times New Roman" w:hAnsi="Times New Roman"/>
                <w:lang w:val="es-ES"/>
              </w:rPr>
            </w:pPr>
            <w:r w:rsidRPr="00AE4E8D">
              <w:rPr>
                <w:rFonts w:ascii="Times New Roman" w:hAnsi="Times New Roman"/>
                <w:lang w:val="es-ES"/>
              </w:rPr>
              <w:t>Gerente General</w:t>
            </w:r>
          </w:p>
        </w:tc>
      </w:tr>
      <w:tr w:rsidR="000924EA" w:rsidRPr="00AE4E8D" w14:paraId="09FC236E" w14:textId="77777777" w:rsidTr="000400C8">
        <w:trPr>
          <w:trHeight w:val="164"/>
        </w:trPr>
        <w:tc>
          <w:tcPr>
            <w:tcW w:w="2726" w:type="pct"/>
          </w:tcPr>
          <w:p w14:paraId="60EF86F5"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Alejandro Sokol</w:t>
            </w:r>
            <w:r w:rsidRPr="00AE4E8D">
              <w:rPr>
                <w:rFonts w:ascii="Times New Roman" w:hAnsi="Times New Roman"/>
                <w:lang w:val="es-ES"/>
              </w:rPr>
              <w:tab/>
            </w:r>
          </w:p>
        </w:tc>
        <w:tc>
          <w:tcPr>
            <w:tcW w:w="131" w:type="pct"/>
          </w:tcPr>
          <w:p w14:paraId="60194669" w14:textId="77777777" w:rsidR="000924EA" w:rsidRPr="00AE4E8D" w:rsidRDefault="000924EA" w:rsidP="00232C94">
            <w:pPr>
              <w:rPr>
                <w:rFonts w:ascii="Times New Roman" w:hAnsi="Times New Roman"/>
                <w:lang w:val="es-ES"/>
              </w:rPr>
            </w:pPr>
          </w:p>
        </w:tc>
        <w:tc>
          <w:tcPr>
            <w:tcW w:w="2143" w:type="pct"/>
          </w:tcPr>
          <w:p w14:paraId="44AF0914" w14:textId="77777777" w:rsidR="000924EA" w:rsidRPr="00AE4E8D" w:rsidRDefault="000924EA" w:rsidP="00232C94">
            <w:pPr>
              <w:rPr>
                <w:rFonts w:ascii="Times New Roman" w:hAnsi="Times New Roman"/>
                <w:lang w:val="es-ES"/>
              </w:rPr>
            </w:pPr>
            <w:r w:rsidRPr="00AE4E8D">
              <w:rPr>
                <w:rFonts w:ascii="Times New Roman" w:hAnsi="Times New Roman"/>
                <w:lang w:val="es-ES"/>
              </w:rPr>
              <w:t>Gerente de Área Riesgos</w:t>
            </w:r>
          </w:p>
        </w:tc>
      </w:tr>
    </w:tbl>
    <w:p w14:paraId="28E7DA4D" w14:textId="77777777" w:rsidR="000924EA" w:rsidRPr="00AE4E8D" w:rsidRDefault="000924EA" w:rsidP="000924EA">
      <w:pPr>
        <w:pStyle w:val="BHTexto"/>
        <w:rPr>
          <w:lang w:val="es-ES"/>
        </w:rPr>
      </w:pPr>
      <w:r w:rsidRPr="00AE4E8D">
        <w:rPr>
          <w:lang w:val="es-ES"/>
        </w:rPr>
        <w:t>El Comité Financiero tiene las siguientes funciones:</w:t>
      </w:r>
    </w:p>
    <w:p w14:paraId="61AE7D4F" w14:textId="77777777" w:rsidR="000924EA" w:rsidRPr="00AE4E8D" w:rsidRDefault="000924EA" w:rsidP="000924EA">
      <w:pPr>
        <w:pStyle w:val="BHTexto"/>
        <w:numPr>
          <w:ilvl w:val="0"/>
          <w:numId w:val="81"/>
        </w:numPr>
        <w:rPr>
          <w:lang w:val="es-ES"/>
        </w:rPr>
      </w:pPr>
      <w:r w:rsidRPr="00AE4E8D">
        <w:rPr>
          <w:lang w:val="es-ES"/>
        </w:rPr>
        <w:t>Controlar nuestros niveles liquidez y solvencia y definir niveles tolerancia al riesgo de liquidez.</w:t>
      </w:r>
    </w:p>
    <w:p w14:paraId="7E0A2885" w14:textId="77777777" w:rsidR="000924EA" w:rsidRPr="00AE4E8D" w:rsidRDefault="000924EA" w:rsidP="000924EA">
      <w:pPr>
        <w:pStyle w:val="BHTexto"/>
        <w:numPr>
          <w:ilvl w:val="0"/>
          <w:numId w:val="81"/>
        </w:numPr>
        <w:rPr>
          <w:lang w:val="es-ES"/>
        </w:rPr>
      </w:pPr>
      <w:r w:rsidRPr="00AE4E8D">
        <w:rPr>
          <w:lang w:val="es-ES"/>
        </w:rPr>
        <w:t>Determinar el nivel de excedentes de activos líquidos a mantener para afrontar un rango de eventos de tensión.</w:t>
      </w:r>
    </w:p>
    <w:p w14:paraId="66C17AF0" w14:textId="77777777" w:rsidR="000924EA" w:rsidRPr="00AE4E8D" w:rsidRDefault="000924EA" w:rsidP="000924EA">
      <w:pPr>
        <w:pStyle w:val="BHTexto"/>
        <w:numPr>
          <w:ilvl w:val="0"/>
          <w:numId w:val="81"/>
        </w:numPr>
        <w:rPr>
          <w:lang w:val="es-ES"/>
        </w:rPr>
      </w:pPr>
      <w:r w:rsidRPr="00AE4E8D">
        <w:rPr>
          <w:lang w:val="es-ES"/>
        </w:rPr>
        <w:t>Definir límites y/o zonas para la alerta temprana para los riesgos financieros, incluyendo pero no limitándose a los descalces en los flujos de fondos, de tipo de cambio y de tasas de interés.</w:t>
      </w:r>
    </w:p>
    <w:p w14:paraId="27963682" w14:textId="77777777" w:rsidR="000924EA" w:rsidRPr="00AE4E8D" w:rsidRDefault="000924EA" w:rsidP="000924EA">
      <w:pPr>
        <w:pStyle w:val="BHTexto"/>
        <w:numPr>
          <w:ilvl w:val="0"/>
          <w:numId w:val="81"/>
        </w:numPr>
        <w:rPr>
          <w:lang w:val="es-ES"/>
        </w:rPr>
      </w:pPr>
      <w:r w:rsidRPr="00AE4E8D">
        <w:rPr>
          <w:lang w:val="es-ES"/>
        </w:rPr>
        <w:lastRenderedPageBreak/>
        <w:t>Intervenir en la evaluación y aprobación de productos financieros.</w:t>
      </w:r>
    </w:p>
    <w:p w14:paraId="48B5F397" w14:textId="77777777" w:rsidR="000924EA" w:rsidRPr="00AE4E8D" w:rsidRDefault="000924EA" w:rsidP="000924EA">
      <w:pPr>
        <w:pStyle w:val="BHTexto"/>
        <w:numPr>
          <w:ilvl w:val="0"/>
          <w:numId w:val="81"/>
        </w:numPr>
        <w:rPr>
          <w:lang w:val="es-ES"/>
        </w:rPr>
      </w:pPr>
      <w:r w:rsidRPr="00AE4E8D">
        <w:rPr>
          <w:lang w:val="es-ES"/>
        </w:rPr>
        <w:t>Definir estrategias de inversión en activos líquidos y entender en la administración de activos financieros y de nuestra posición general de cambios.</w:t>
      </w:r>
    </w:p>
    <w:p w14:paraId="074EC3F2" w14:textId="77777777" w:rsidR="000924EA" w:rsidRPr="00AE4E8D" w:rsidRDefault="000924EA" w:rsidP="000924EA">
      <w:pPr>
        <w:pStyle w:val="BHTexto"/>
        <w:numPr>
          <w:ilvl w:val="0"/>
          <w:numId w:val="81"/>
        </w:numPr>
        <w:rPr>
          <w:lang w:val="es-ES"/>
        </w:rPr>
      </w:pPr>
      <w:r w:rsidRPr="00AE4E8D">
        <w:rPr>
          <w:lang w:val="es-ES"/>
        </w:rPr>
        <w:t>Aprobar límites de exposición a títulos de deuda pública y privada, acciones, metales y monedas.</w:t>
      </w:r>
    </w:p>
    <w:p w14:paraId="73BFD774" w14:textId="77777777" w:rsidR="000924EA" w:rsidRPr="00AE4E8D" w:rsidRDefault="000924EA" w:rsidP="000924EA">
      <w:pPr>
        <w:pStyle w:val="BHTexto"/>
        <w:numPr>
          <w:ilvl w:val="0"/>
          <w:numId w:val="81"/>
        </w:numPr>
        <w:rPr>
          <w:lang w:val="es-ES"/>
        </w:rPr>
      </w:pPr>
      <w:r w:rsidRPr="00AE4E8D">
        <w:rPr>
          <w:lang w:val="es-ES"/>
        </w:rPr>
        <w:t xml:space="preserve">Autorizar dentro de los límites que le delegue el Directorio la operatoria de futuros, forwards y otros derivados, tanto para estrategias de cobertura como de arbitraje. </w:t>
      </w:r>
    </w:p>
    <w:p w14:paraId="21B9745B" w14:textId="77777777" w:rsidR="000924EA" w:rsidRPr="00AE4E8D" w:rsidRDefault="000924EA" w:rsidP="000924EA">
      <w:pPr>
        <w:pStyle w:val="BHTexto"/>
        <w:numPr>
          <w:ilvl w:val="0"/>
          <w:numId w:val="81"/>
        </w:numPr>
        <w:rPr>
          <w:lang w:val="es-ES"/>
        </w:rPr>
      </w:pPr>
      <w:r w:rsidRPr="00AE4E8D">
        <w:rPr>
          <w:lang w:val="es-ES"/>
        </w:rPr>
        <w:t>Fijar, evaluar y controlar el riesgo financiero de los distintos portafolios de inversiones.</w:t>
      </w:r>
    </w:p>
    <w:p w14:paraId="62B17A3C" w14:textId="77777777" w:rsidR="000924EA" w:rsidRPr="00AE4E8D" w:rsidRDefault="000924EA" w:rsidP="000924EA">
      <w:pPr>
        <w:pStyle w:val="BHTexto"/>
        <w:numPr>
          <w:ilvl w:val="0"/>
          <w:numId w:val="81"/>
        </w:numPr>
        <w:rPr>
          <w:lang w:val="es-ES"/>
        </w:rPr>
      </w:pPr>
      <w:r w:rsidRPr="00AE4E8D">
        <w:rPr>
          <w:lang w:val="es-ES"/>
        </w:rPr>
        <w:t>Proponer al Directorio operaciones de emisión y colocación de deuda dentro del marco y las modalidades aprobados por la Asamblea de Accionistas.</w:t>
      </w:r>
    </w:p>
    <w:p w14:paraId="4DAB2BF5" w14:textId="77777777" w:rsidR="000924EA" w:rsidRPr="00AE4E8D" w:rsidRDefault="000924EA" w:rsidP="000924EA">
      <w:pPr>
        <w:pStyle w:val="BHTexto"/>
        <w:numPr>
          <w:ilvl w:val="0"/>
          <w:numId w:val="81"/>
        </w:numPr>
        <w:rPr>
          <w:lang w:val="es-ES"/>
        </w:rPr>
      </w:pPr>
      <w:r w:rsidRPr="00AE4E8D">
        <w:rPr>
          <w:lang w:val="es-ES"/>
        </w:rPr>
        <w:t>Entender en la administración de pasivos financieros.</w:t>
      </w:r>
    </w:p>
    <w:p w14:paraId="3AC23FE1" w14:textId="77777777" w:rsidR="000924EA" w:rsidRPr="00AE4E8D" w:rsidRDefault="000924EA" w:rsidP="000924EA">
      <w:pPr>
        <w:pStyle w:val="BHTexto"/>
        <w:numPr>
          <w:ilvl w:val="0"/>
          <w:numId w:val="81"/>
        </w:numPr>
        <w:rPr>
          <w:lang w:val="es-ES"/>
        </w:rPr>
      </w:pPr>
      <w:r w:rsidRPr="00AE4E8D">
        <w:rPr>
          <w:lang w:val="es-ES"/>
        </w:rPr>
        <w:t>Recomendar la contratación de bancos, agencias calificadoras, estudios de abogados y auditores</w:t>
      </w:r>
      <w:r w:rsidRPr="00AE4E8D">
        <w:rPr>
          <w:i/>
          <w:lang w:val="es-ES"/>
        </w:rPr>
        <w:t xml:space="preserve"> </w:t>
      </w:r>
      <w:r w:rsidRPr="00AE4E8D">
        <w:rPr>
          <w:lang w:val="es-ES"/>
        </w:rPr>
        <w:t>para la emisión y colocación de títulos de deuda.</w:t>
      </w:r>
    </w:p>
    <w:p w14:paraId="49196777" w14:textId="77777777" w:rsidR="000924EA" w:rsidRPr="00AE4E8D" w:rsidRDefault="000924EA" w:rsidP="000924EA">
      <w:pPr>
        <w:pStyle w:val="BHTexto"/>
        <w:numPr>
          <w:ilvl w:val="0"/>
          <w:numId w:val="81"/>
        </w:numPr>
        <w:rPr>
          <w:lang w:val="es-ES"/>
        </w:rPr>
      </w:pPr>
      <w:r w:rsidRPr="00AE4E8D">
        <w:rPr>
          <w:lang w:val="es-ES"/>
        </w:rPr>
        <w:t>Proponer operaciones de recompra y refinanciaciones de deuda.</w:t>
      </w:r>
    </w:p>
    <w:p w14:paraId="6EA31A11" w14:textId="77777777" w:rsidR="000924EA" w:rsidRPr="00AE4E8D" w:rsidRDefault="000924EA" w:rsidP="000924EA">
      <w:pPr>
        <w:pStyle w:val="BHTexto"/>
        <w:numPr>
          <w:ilvl w:val="0"/>
          <w:numId w:val="81"/>
        </w:numPr>
        <w:rPr>
          <w:lang w:val="es-ES"/>
        </w:rPr>
      </w:pPr>
      <w:r w:rsidRPr="00AE4E8D">
        <w:rPr>
          <w:lang w:val="es-ES"/>
        </w:rPr>
        <w:t>Recibir regularmente informes para tomar conocimiento de la posición de liquidez de la entidad, y</w:t>
      </w:r>
    </w:p>
    <w:p w14:paraId="022BF637" w14:textId="77777777" w:rsidR="000924EA" w:rsidRPr="00AE4E8D" w:rsidRDefault="000924EA" w:rsidP="000924EA">
      <w:pPr>
        <w:pStyle w:val="BHTexto"/>
        <w:numPr>
          <w:ilvl w:val="0"/>
          <w:numId w:val="81"/>
        </w:numPr>
        <w:rPr>
          <w:lang w:val="es-ES"/>
        </w:rPr>
      </w:pPr>
      <w:r w:rsidRPr="00AE4E8D">
        <w:rPr>
          <w:lang w:val="es-ES"/>
        </w:rPr>
        <w:t>Supervisar la Gerencia de Área de Finanzas.</w:t>
      </w:r>
    </w:p>
    <w:p w14:paraId="6B914F27" w14:textId="77777777" w:rsidR="000924EA" w:rsidRPr="00AE4E8D" w:rsidRDefault="000924EA" w:rsidP="000924EA">
      <w:pPr>
        <w:keepNext/>
        <w:autoSpaceDE w:val="0"/>
        <w:autoSpaceDN w:val="0"/>
        <w:adjustRightInd w:val="0"/>
        <w:spacing w:after="120"/>
        <w:jc w:val="both"/>
        <w:outlineLvl w:val="4"/>
        <w:rPr>
          <w:rFonts w:ascii="Times New Roman" w:hAnsi="Times New Roman"/>
          <w:b/>
          <w:lang w:val="es-ES"/>
        </w:rPr>
      </w:pPr>
      <w:r w:rsidRPr="00AE4E8D">
        <w:rPr>
          <w:rFonts w:ascii="Times New Roman" w:hAnsi="Times New Roman"/>
          <w:b/>
          <w:lang w:val="es-ES"/>
        </w:rPr>
        <w:t>Comité de Crédito</w:t>
      </w:r>
    </w:p>
    <w:p w14:paraId="40968DB2" w14:textId="77777777" w:rsidR="000924EA" w:rsidRPr="00AE4E8D" w:rsidRDefault="000924EA" w:rsidP="000924EA">
      <w:pPr>
        <w:pStyle w:val="BHTexto"/>
        <w:rPr>
          <w:lang w:val="es-ES"/>
        </w:rPr>
      </w:pPr>
      <w:r w:rsidRPr="00AE4E8D">
        <w:rPr>
          <w:lang w:val="es-ES"/>
        </w:rPr>
        <w:t xml:space="preserve">El Comité de Crédito debe estar compuesto por no menos de tres y no más de siete directores titulares más los funcionarios superiores en las </w:t>
      </w:r>
      <w:r w:rsidRPr="00AE4E8D">
        <w:rPr>
          <w:lang w:val="es-ES" w:eastAsia="es-AR"/>
        </w:rPr>
        <w:t>áreas</w:t>
      </w:r>
      <w:r w:rsidRPr="00AE4E8D">
        <w:rPr>
          <w:lang w:val="es-ES"/>
        </w:rPr>
        <w:t xml:space="preserve"> de control de riesgo y banca corporativa. Esta formará parte de la asamblea con facultades para expresar sus opiniones, pero no para emitir votos. La tabla que aparece a continuación detalla la composición de nuestro Comité de Crédito:</w:t>
      </w:r>
    </w:p>
    <w:tbl>
      <w:tblPr>
        <w:tblW w:w="4992" w:type="pct"/>
        <w:tblLayout w:type="fixed"/>
        <w:tblLook w:val="00A0" w:firstRow="1" w:lastRow="0" w:firstColumn="1" w:lastColumn="0" w:noHBand="0" w:noVBand="0"/>
      </w:tblPr>
      <w:tblGrid>
        <w:gridCol w:w="4742"/>
        <w:gridCol w:w="236"/>
        <w:gridCol w:w="3729"/>
      </w:tblGrid>
      <w:tr w:rsidR="000924EA" w:rsidRPr="00AE4E8D" w14:paraId="35F9E326" w14:textId="77777777" w:rsidTr="000400C8">
        <w:trPr>
          <w:trHeight w:val="322"/>
          <w:tblHeader/>
        </w:trPr>
        <w:tc>
          <w:tcPr>
            <w:tcW w:w="2727" w:type="pct"/>
            <w:tcBorders>
              <w:bottom w:val="single" w:sz="4" w:space="0" w:color="auto"/>
            </w:tcBorders>
          </w:tcPr>
          <w:p w14:paraId="6AC6C040"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Titulares</w:t>
            </w:r>
          </w:p>
        </w:tc>
        <w:tc>
          <w:tcPr>
            <w:tcW w:w="128" w:type="pct"/>
          </w:tcPr>
          <w:p w14:paraId="65CA483D"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5" w:type="pct"/>
            <w:tcBorders>
              <w:bottom w:val="single" w:sz="4" w:space="0" w:color="auto"/>
            </w:tcBorders>
          </w:tcPr>
          <w:p w14:paraId="1C42491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49737338" w14:textId="77777777" w:rsidTr="000400C8">
        <w:tc>
          <w:tcPr>
            <w:tcW w:w="2727" w:type="pct"/>
            <w:tcBorders>
              <w:top w:val="single" w:sz="4" w:space="0" w:color="auto"/>
            </w:tcBorders>
          </w:tcPr>
          <w:p w14:paraId="4E8BF7B4"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Mauricio Elías Wior</w:t>
            </w:r>
            <w:r w:rsidRPr="00AE4E8D">
              <w:rPr>
                <w:rFonts w:ascii="Times New Roman" w:hAnsi="Times New Roman"/>
                <w:lang w:val="es-ES"/>
              </w:rPr>
              <w:tab/>
            </w:r>
          </w:p>
        </w:tc>
        <w:tc>
          <w:tcPr>
            <w:tcW w:w="128" w:type="pct"/>
          </w:tcPr>
          <w:p w14:paraId="6AAA987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Borders>
              <w:top w:val="single" w:sz="4" w:space="0" w:color="auto"/>
            </w:tcBorders>
          </w:tcPr>
          <w:p w14:paraId="2DA90D64"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70CCB12A" w14:textId="77777777" w:rsidTr="000400C8">
        <w:tc>
          <w:tcPr>
            <w:tcW w:w="2727" w:type="pct"/>
          </w:tcPr>
          <w:p w14:paraId="6D180687"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Jacobo Julio Dreizzen</w:t>
            </w:r>
            <w:r w:rsidRPr="00AE4E8D">
              <w:rPr>
                <w:rFonts w:ascii="Times New Roman" w:hAnsi="Times New Roman"/>
                <w:lang w:val="es-ES"/>
              </w:rPr>
              <w:tab/>
            </w:r>
          </w:p>
        </w:tc>
        <w:tc>
          <w:tcPr>
            <w:tcW w:w="128" w:type="pct"/>
          </w:tcPr>
          <w:p w14:paraId="4DBF6B6B"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4388C3C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0A658DA4" w14:textId="77777777" w:rsidTr="000400C8">
        <w:tc>
          <w:tcPr>
            <w:tcW w:w="2727" w:type="pct"/>
          </w:tcPr>
          <w:p w14:paraId="77B597B5"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Saúl Zang</w:t>
            </w:r>
            <w:r w:rsidRPr="00AE4E8D">
              <w:rPr>
                <w:rFonts w:ascii="Times New Roman" w:hAnsi="Times New Roman"/>
                <w:lang w:val="es-ES"/>
              </w:rPr>
              <w:tab/>
            </w:r>
          </w:p>
        </w:tc>
        <w:tc>
          <w:tcPr>
            <w:tcW w:w="128" w:type="pct"/>
          </w:tcPr>
          <w:p w14:paraId="0C89F9E9"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24451C90"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2BC61AA9" w14:textId="77777777" w:rsidTr="000400C8">
        <w:tc>
          <w:tcPr>
            <w:tcW w:w="2727" w:type="pct"/>
          </w:tcPr>
          <w:p w14:paraId="74F7916F"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Carlos B. Pisula</w:t>
            </w:r>
            <w:r w:rsidRPr="00AE4E8D">
              <w:rPr>
                <w:rFonts w:ascii="Times New Roman" w:hAnsi="Times New Roman"/>
                <w:lang w:val="es-ES"/>
              </w:rPr>
              <w:tab/>
            </w:r>
          </w:p>
        </w:tc>
        <w:tc>
          <w:tcPr>
            <w:tcW w:w="128" w:type="pct"/>
          </w:tcPr>
          <w:p w14:paraId="58934CC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25F464A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2EC33C87" w14:textId="77777777" w:rsidTr="000400C8">
        <w:tc>
          <w:tcPr>
            <w:tcW w:w="2727" w:type="pct"/>
          </w:tcPr>
          <w:p w14:paraId="69F97D83"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Ernesto Manuel Viñes</w:t>
            </w:r>
            <w:r w:rsidRPr="00AE4E8D">
              <w:rPr>
                <w:rFonts w:ascii="Times New Roman" w:hAnsi="Times New Roman"/>
                <w:lang w:val="es-ES"/>
              </w:rPr>
              <w:tab/>
            </w:r>
          </w:p>
        </w:tc>
        <w:tc>
          <w:tcPr>
            <w:tcW w:w="128" w:type="pct"/>
          </w:tcPr>
          <w:p w14:paraId="23510CAB"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775FBC2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62986A69" w14:textId="77777777" w:rsidTr="000400C8">
        <w:tc>
          <w:tcPr>
            <w:tcW w:w="2727" w:type="pct"/>
          </w:tcPr>
          <w:p w14:paraId="12F5DEC9"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Fernando Recalde</w:t>
            </w:r>
            <w:r w:rsidRPr="00AE4E8D">
              <w:rPr>
                <w:rFonts w:ascii="Times New Roman" w:hAnsi="Times New Roman"/>
                <w:lang w:val="es-ES"/>
              </w:rPr>
              <w:tab/>
            </w:r>
          </w:p>
        </w:tc>
        <w:tc>
          <w:tcPr>
            <w:tcW w:w="128" w:type="pct"/>
          </w:tcPr>
          <w:p w14:paraId="7D709364"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62D3636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3C6B4B78" w14:textId="77777777" w:rsidTr="000400C8">
        <w:tc>
          <w:tcPr>
            <w:tcW w:w="2727" w:type="pct"/>
          </w:tcPr>
          <w:p w14:paraId="0C3726BF"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Francisco Susmel</w:t>
            </w:r>
            <w:r w:rsidRPr="00AE4E8D">
              <w:rPr>
                <w:rFonts w:ascii="Times New Roman" w:hAnsi="Times New Roman"/>
                <w:lang w:val="es-ES"/>
              </w:rPr>
              <w:tab/>
            </w:r>
          </w:p>
        </w:tc>
        <w:tc>
          <w:tcPr>
            <w:tcW w:w="128" w:type="pct"/>
          </w:tcPr>
          <w:p w14:paraId="3AD636B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46FEEA32"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77EEDACC" w14:textId="77777777" w:rsidTr="000400C8">
        <w:trPr>
          <w:trHeight w:val="164"/>
        </w:trPr>
        <w:tc>
          <w:tcPr>
            <w:tcW w:w="2727" w:type="pct"/>
          </w:tcPr>
          <w:p w14:paraId="7B3B031F"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p>
        </w:tc>
        <w:tc>
          <w:tcPr>
            <w:tcW w:w="128" w:type="pct"/>
          </w:tcPr>
          <w:p w14:paraId="21F3B5D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1D94FE5C"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r>
      <w:tr w:rsidR="000924EA" w:rsidRPr="00AE4E8D" w14:paraId="2B1EBF13" w14:textId="77777777" w:rsidTr="000400C8">
        <w:trPr>
          <w:trHeight w:val="164"/>
        </w:trPr>
        <w:tc>
          <w:tcPr>
            <w:tcW w:w="2727" w:type="pct"/>
            <w:tcBorders>
              <w:bottom w:val="single" w:sz="4" w:space="0" w:color="auto"/>
            </w:tcBorders>
          </w:tcPr>
          <w:p w14:paraId="214CB9F9"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Asisten</w:t>
            </w:r>
          </w:p>
        </w:tc>
        <w:tc>
          <w:tcPr>
            <w:tcW w:w="128" w:type="pct"/>
          </w:tcPr>
          <w:p w14:paraId="178754A9"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5" w:type="pct"/>
            <w:tcBorders>
              <w:bottom w:val="single" w:sz="4" w:space="0" w:color="auto"/>
            </w:tcBorders>
          </w:tcPr>
          <w:p w14:paraId="3DC78AA5"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427280BC" w14:textId="77777777" w:rsidTr="000400C8">
        <w:trPr>
          <w:trHeight w:val="164"/>
        </w:trPr>
        <w:tc>
          <w:tcPr>
            <w:tcW w:w="2727" w:type="pct"/>
            <w:tcBorders>
              <w:top w:val="single" w:sz="4" w:space="0" w:color="auto"/>
            </w:tcBorders>
          </w:tcPr>
          <w:p w14:paraId="5594FB4A"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Manuel Herrera</w:t>
            </w:r>
            <w:r w:rsidRPr="00AE4E8D">
              <w:rPr>
                <w:rFonts w:ascii="Times New Roman" w:hAnsi="Times New Roman"/>
                <w:lang w:val="es-ES"/>
              </w:rPr>
              <w:tab/>
            </w:r>
          </w:p>
        </w:tc>
        <w:tc>
          <w:tcPr>
            <w:tcW w:w="128" w:type="pct"/>
          </w:tcPr>
          <w:p w14:paraId="4F793959"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Borders>
              <w:top w:val="single" w:sz="4" w:space="0" w:color="auto"/>
            </w:tcBorders>
          </w:tcPr>
          <w:p w14:paraId="7899E1A5"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Gerente General</w:t>
            </w:r>
          </w:p>
        </w:tc>
      </w:tr>
      <w:tr w:rsidR="000924EA" w:rsidRPr="00AE4E8D" w14:paraId="308F7657" w14:textId="77777777" w:rsidTr="000400C8">
        <w:trPr>
          <w:trHeight w:val="164"/>
        </w:trPr>
        <w:tc>
          <w:tcPr>
            <w:tcW w:w="2727" w:type="pct"/>
          </w:tcPr>
          <w:p w14:paraId="3DC187A3"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Alejandro Sokol</w:t>
            </w:r>
            <w:r w:rsidRPr="00AE4E8D">
              <w:rPr>
                <w:rFonts w:ascii="Times New Roman" w:hAnsi="Times New Roman"/>
                <w:lang w:val="es-ES"/>
              </w:rPr>
              <w:tab/>
            </w:r>
          </w:p>
        </w:tc>
        <w:tc>
          <w:tcPr>
            <w:tcW w:w="128" w:type="pct"/>
          </w:tcPr>
          <w:p w14:paraId="447D3BCD"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136BFB2C"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Gerente de Área Riesgos</w:t>
            </w:r>
          </w:p>
        </w:tc>
      </w:tr>
      <w:tr w:rsidR="000924EA" w:rsidRPr="00AE4E8D" w14:paraId="2CEE7DBE" w14:textId="77777777" w:rsidTr="000400C8">
        <w:trPr>
          <w:trHeight w:val="164"/>
        </w:trPr>
        <w:tc>
          <w:tcPr>
            <w:tcW w:w="2727" w:type="pct"/>
          </w:tcPr>
          <w:p w14:paraId="0ABBB9A8"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Marcelo Portas</w:t>
            </w:r>
            <w:r w:rsidRPr="00AE4E8D">
              <w:rPr>
                <w:rFonts w:ascii="Times New Roman" w:hAnsi="Times New Roman"/>
                <w:lang w:val="es-ES"/>
              </w:rPr>
              <w:tab/>
            </w:r>
          </w:p>
        </w:tc>
        <w:tc>
          <w:tcPr>
            <w:tcW w:w="128" w:type="pct"/>
          </w:tcPr>
          <w:p w14:paraId="5ECE1189"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228394C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Gerente de Riesgo de Crédito Banca Empresa</w:t>
            </w:r>
          </w:p>
        </w:tc>
      </w:tr>
    </w:tbl>
    <w:p w14:paraId="545A9C64" w14:textId="77777777" w:rsidR="000924EA" w:rsidRPr="00AE4E8D" w:rsidRDefault="000924EA" w:rsidP="000924EA">
      <w:pPr>
        <w:pStyle w:val="BHTexto"/>
        <w:rPr>
          <w:lang w:val="es-ES"/>
        </w:rPr>
      </w:pPr>
      <w:r w:rsidRPr="00AE4E8D">
        <w:rPr>
          <w:lang w:val="es-ES"/>
        </w:rPr>
        <w:t>El Comité de Crédito tiene las siguientes funciones:</w:t>
      </w:r>
    </w:p>
    <w:p w14:paraId="332E9546" w14:textId="77777777" w:rsidR="000924EA" w:rsidRPr="00AE4E8D" w:rsidRDefault="000924EA" w:rsidP="000924EA">
      <w:pPr>
        <w:pStyle w:val="BHTexto"/>
        <w:numPr>
          <w:ilvl w:val="0"/>
          <w:numId w:val="82"/>
        </w:numPr>
        <w:rPr>
          <w:lang w:val="es-ES"/>
        </w:rPr>
      </w:pPr>
      <w:r w:rsidRPr="00AE4E8D">
        <w:rPr>
          <w:lang w:val="es-ES"/>
        </w:rPr>
        <w:t>Someter a la aprobación del Directorio las Políticas de Crédito de Banca Individuos y de Banca Empresas relativas a todo el ciclo de crédito.</w:t>
      </w:r>
    </w:p>
    <w:p w14:paraId="1D217C51" w14:textId="77777777" w:rsidR="000924EA" w:rsidRPr="00AE4E8D" w:rsidRDefault="000924EA" w:rsidP="000924EA">
      <w:pPr>
        <w:pStyle w:val="BHTexto"/>
        <w:numPr>
          <w:ilvl w:val="0"/>
          <w:numId w:val="82"/>
        </w:numPr>
        <w:rPr>
          <w:lang w:val="es-ES"/>
        </w:rPr>
      </w:pPr>
      <w:r w:rsidRPr="00AE4E8D">
        <w:rPr>
          <w:lang w:val="es-ES"/>
        </w:rPr>
        <w:t>Recomendar la aprobación de los Programas de Crédito complementarios de los Programas de Producto que se elaboren en oportunidad de lanzamiento de nuevos productos y/o negocios que impliquen riesgo de crédito.</w:t>
      </w:r>
    </w:p>
    <w:p w14:paraId="28AAF9C2" w14:textId="77777777" w:rsidR="000924EA" w:rsidRPr="00AE4E8D" w:rsidRDefault="000924EA" w:rsidP="000924EA">
      <w:pPr>
        <w:pStyle w:val="BHTexto"/>
        <w:numPr>
          <w:ilvl w:val="0"/>
          <w:numId w:val="82"/>
        </w:numPr>
        <w:rPr>
          <w:lang w:val="es-ES"/>
        </w:rPr>
      </w:pPr>
      <w:r w:rsidRPr="00AE4E8D">
        <w:rPr>
          <w:lang w:val="es-ES"/>
        </w:rPr>
        <w:t>Aprobar financiaciones para personas jurídicas y para el Sector Público por hasta el monto definido por el Directorio.</w:t>
      </w:r>
    </w:p>
    <w:p w14:paraId="423C4225" w14:textId="77777777" w:rsidR="000924EA" w:rsidRPr="00AE4E8D" w:rsidRDefault="000924EA" w:rsidP="000924EA">
      <w:pPr>
        <w:pStyle w:val="BHTexto"/>
        <w:numPr>
          <w:ilvl w:val="0"/>
          <w:numId w:val="82"/>
        </w:numPr>
        <w:rPr>
          <w:lang w:val="es-ES"/>
        </w:rPr>
      </w:pPr>
      <w:r w:rsidRPr="00AE4E8D">
        <w:rPr>
          <w:lang w:val="es-ES"/>
        </w:rPr>
        <w:t>Aprobar financiaciones para personas humanas por hasta el monto definido por el Directorio para productos con garantía hipotecaria y para productos crediticios sin garantía hipotecaria (préstamos personales, préstamos prendarios, límites en tarjeta de crédito o cuenta corriente).</w:t>
      </w:r>
    </w:p>
    <w:p w14:paraId="1CC267E6" w14:textId="77777777" w:rsidR="000924EA" w:rsidRPr="00AE4E8D" w:rsidRDefault="000924EA" w:rsidP="000924EA">
      <w:pPr>
        <w:pStyle w:val="BHTexto"/>
        <w:numPr>
          <w:ilvl w:val="0"/>
          <w:numId w:val="82"/>
        </w:numPr>
        <w:rPr>
          <w:lang w:val="es-ES"/>
        </w:rPr>
      </w:pPr>
      <w:r w:rsidRPr="00AE4E8D">
        <w:rPr>
          <w:lang w:val="es-ES"/>
        </w:rPr>
        <w:t xml:space="preserve">Emitir opinión sobre financiaciones no comprendidas en los puntos anteriores y sobre todas las que superen el margen básico establecido por las normas sobre graduación del crédito y el 2,5% de nuestra responsabilidad patrimonial, para su consideración por el Comité Ejecutivo. </w:t>
      </w:r>
    </w:p>
    <w:p w14:paraId="6918AFF4" w14:textId="77777777" w:rsidR="000924EA" w:rsidRPr="00AE4E8D" w:rsidRDefault="000924EA" w:rsidP="000924EA">
      <w:pPr>
        <w:pStyle w:val="BHTexto"/>
        <w:numPr>
          <w:ilvl w:val="0"/>
          <w:numId w:val="82"/>
        </w:numPr>
        <w:rPr>
          <w:lang w:val="es-ES"/>
        </w:rPr>
      </w:pPr>
      <w:r w:rsidRPr="00AE4E8D">
        <w:rPr>
          <w:lang w:val="es-ES"/>
        </w:rPr>
        <w:lastRenderedPageBreak/>
        <w:t>Aprobar mensualmente los niveles de previsionamiento de la cartera de préstamos de acuerdo a las Normas de BCRA y criterios prudenciales.</w:t>
      </w:r>
    </w:p>
    <w:p w14:paraId="732315D4" w14:textId="77777777" w:rsidR="000924EA" w:rsidRPr="00AE4E8D" w:rsidRDefault="000924EA" w:rsidP="000924EA">
      <w:pPr>
        <w:pStyle w:val="BHTexto"/>
        <w:numPr>
          <w:ilvl w:val="0"/>
          <w:numId w:val="82"/>
        </w:numPr>
        <w:rPr>
          <w:lang w:val="es-ES"/>
        </w:rPr>
      </w:pPr>
      <w:r w:rsidRPr="00AE4E8D">
        <w:rPr>
          <w:lang w:val="es-ES"/>
        </w:rPr>
        <w:t>Proponer al Directorio los criterios a adoptar en materia de venta de cartera.</w:t>
      </w:r>
    </w:p>
    <w:p w14:paraId="24095F54" w14:textId="77777777" w:rsidR="000924EA" w:rsidRPr="00AE4E8D" w:rsidRDefault="000924EA" w:rsidP="000924EA">
      <w:pPr>
        <w:pStyle w:val="BHTexto"/>
        <w:numPr>
          <w:ilvl w:val="0"/>
          <w:numId w:val="82"/>
        </w:numPr>
        <w:rPr>
          <w:lang w:val="es-ES"/>
        </w:rPr>
      </w:pPr>
      <w:r w:rsidRPr="00AE4E8D">
        <w:rPr>
          <w:lang w:val="es-ES"/>
        </w:rPr>
        <w:t>Intervenir en la asistencia crediticia a personas humanas y jurídicas vinculadas y elevarlas con su opinión a la decisión del Directorio en caso de corresponder.</w:t>
      </w:r>
    </w:p>
    <w:p w14:paraId="169ACFFE" w14:textId="77777777" w:rsidR="000924EA" w:rsidRPr="00AE4E8D" w:rsidRDefault="000924EA" w:rsidP="000924EA">
      <w:pPr>
        <w:pStyle w:val="BHTexto"/>
        <w:numPr>
          <w:ilvl w:val="0"/>
          <w:numId w:val="82"/>
        </w:numPr>
        <w:rPr>
          <w:lang w:val="es-ES"/>
        </w:rPr>
      </w:pPr>
      <w:r w:rsidRPr="00AE4E8D">
        <w:rPr>
          <w:lang w:val="es-ES"/>
        </w:rPr>
        <w:t>Tomar conocimiento de los Informes de Gestión sobre el comportamiento de la cartera de préstamos, con la periodicidad que se establezca en cada caso, y recomendar acciones en caso de corresponder, y</w:t>
      </w:r>
    </w:p>
    <w:p w14:paraId="4C29F8C6" w14:textId="77777777" w:rsidR="000924EA" w:rsidRPr="00AE4E8D" w:rsidRDefault="000924EA" w:rsidP="000924EA">
      <w:pPr>
        <w:pStyle w:val="BHTexto"/>
        <w:numPr>
          <w:ilvl w:val="0"/>
          <w:numId w:val="82"/>
        </w:numPr>
        <w:rPr>
          <w:lang w:val="es-ES"/>
        </w:rPr>
      </w:pPr>
      <w:r w:rsidRPr="00AE4E8D">
        <w:rPr>
          <w:lang w:val="es-ES"/>
        </w:rPr>
        <w:t xml:space="preserve">Tomar conocimiento de nuestra situación frente a las relaciones prudenciales de fraccionamiento, concentración y de graduación del crédito. </w:t>
      </w:r>
    </w:p>
    <w:p w14:paraId="013991EF" w14:textId="77777777" w:rsidR="000924EA" w:rsidRPr="00AE4E8D" w:rsidRDefault="000924EA" w:rsidP="000924EA">
      <w:pPr>
        <w:keepNext/>
        <w:autoSpaceDE w:val="0"/>
        <w:autoSpaceDN w:val="0"/>
        <w:adjustRightInd w:val="0"/>
        <w:spacing w:after="120"/>
        <w:jc w:val="both"/>
        <w:outlineLvl w:val="4"/>
        <w:rPr>
          <w:rFonts w:ascii="Times New Roman" w:hAnsi="Times New Roman"/>
          <w:b/>
          <w:lang w:val="es-ES"/>
        </w:rPr>
      </w:pPr>
      <w:r w:rsidRPr="00AE4E8D">
        <w:rPr>
          <w:rFonts w:ascii="Times New Roman" w:hAnsi="Times New Roman"/>
          <w:b/>
          <w:lang w:val="es-ES"/>
        </w:rPr>
        <w:t>Comité de Incentivos al Personal</w:t>
      </w:r>
    </w:p>
    <w:p w14:paraId="18A034AD" w14:textId="77777777" w:rsidR="000924EA" w:rsidRPr="00AE4E8D" w:rsidRDefault="000924EA" w:rsidP="000924EA">
      <w:pPr>
        <w:pStyle w:val="BHTexto"/>
        <w:rPr>
          <w:lang w:val="es-ES"/>
        </w:rPr>
      </w:pPr>
      <w:r w:rsidRPr="00AE4E8D">
        <w:rPr>
          <w:lang w:val="es-ES"/>
        </w:rPr>
        <w:t>La tabla que aparece a continuación detalla la composición de nuestro Comité de Incentivos al Personal:</w:t>
      </w:r>
    </w:p>
    <w:tbl>
      <w:tblPr>
        <w:tblW w:w="4992" w:type="pct"/>
        <w:tblLayout w:type="fixed"/>
        <w:tblLook w:val="00A0" w:firstRow="1" w:lastRow="0" w:firstColumn="1" w:lastColumn="0" w:noHBand="0" w:noVBand="0"/>
      </w:tblPr>
      <w:tblGrid>
        <w:gridCol w:w="4743"/>
        <w:gridCol w:w="236"/>
        <w:gridCol w:w="3728"/>
      </w:tblGrid>
      <w:tr w:rsidR="000924EA" w:rsidRPr="00AE4E8D" w14:paraId="008F7374" w14:textId="77777777" w:rsidTr="000400C8">
        <w:trPr>
          <w:trHeight w:val="322"/>
        </w:trPr>
        <w:tc>
          <w:tcPr>
            <w:tcW w:w="2729" w:type="pct"/>
            <w:tcBorders>
              <w:bottom w:val="single" w:sz="4" w:space="0" w:color="auto"/>
            </w:tcBorders>
          </w:tcPr>
          <w:p w14:paraId="551182D3"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Titulares</w:t>
            </w:r>
          </w:p>
        </w:tc>
        <w:tc>
          <w:tcPr>
            <w:tcW w:w="123" w:type="pct"/>
          </w:tcPr>
          <w:p w14:paraId="1BD4C3EA"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7" w:type="pct"/>
            <w:tcBorders>
              <w:bottom w:val="single" w:sz="4" w:space="0" w:color="auto"/>
            </w:tcBorders>
          </w:tcPr>
          <w:p w14:paraId="4C6CAF5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7DF37527" w14:textId="77777777" w:rsidTr="000400C8">
        <w:tc>
          <w:tcPr>
            <w:tcW w:w="2729" w:type="pct"/>
            <w:tcBorders>
              <w:top w:val="single" w:sz="4" w:space="0" w:color="auto"/>
            </w:tcBorders>
          </w:tcPr>
          <w:p w14:paraId="1A4CCA43"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Eduardo Sergio Elsztain</w:t>
            </w:r>
            <w:r w:rsidRPr="00AE4E8D">
              <w:rPr>
                <w:rFonts w:ascii="Times New Roman" w:hAnsi="Times New Roman"/>
                <w:lang w:val="es-ES"/>
              </w:rPr>
              <w:tab/>
            </w:r>
          </w:p>
        </w:tc>
        <w:tc>
          <w:tcPr>
            <w:tcW w:w="123" w:type="pct"/>
          </w:tcPr>
          <w:p w14:paraId="0EF82AC2"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7" w:type="pct"/>
            <w:tcBorders>
              <w:top w:val="single" w:sz="4" w:space="0" w:color="auto"/>
            </w:tcBorders>
          </w:tcPr>
          <w:p w14:paraId="618D1F3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2C4CB052" w14:textId="77777777" w:rsidTr="000400C8">
        <w:tc>
          <w:tcPr>
            <w:tcW w:w="2729" w:type="pct"/>
          </w:tcPr>
          <w:p w14:paraId="7FE25E89"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Saúl Zang</w:t>
            </w:r>
            <w:r w:rsidRPr="00AE4E8D">
              <w:rPr>
                <w:rFonts w:ascii="Times New Roman" w:hAnsi="Times New Roman"/>
                <w:lang w:val="es-ES"/>
              </w:rPr>
              <w:tab/>
            </w:r>
          </w:p>
        </w:tc>
        <w:tc>
          <w:tcPr>
            <w:tcW w:w="123" w:type="pct"/>
          </w:tcPr>
          <w:p w14:paraId="2A51BA43"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7" w:type="pct"/>
          </w:tcPr>
          <w:p w14:paraId="1C6365F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1B35B1CD" w14:textId="77777777" w:rsidTr="000400C8">
        <w:tc>
          <w:tcPr>
            <w:tcW w:w="2729" w:type="pct"/>
          </w:tcPr>
          <w:p w14:paraId="1514F49C"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Gabriel A. G. Reznik</w:t>
            </w:r>
            <w:r w:rsidRPr="00AE4E8D">
              <w:rPr>
                <w:rFonts w:ascii="Times New Roman" w:hAnsi="Times New Roman"/>
                <w:lang w:val="es-ES"/>
              </w:rPr>
              <w:tab/>
            </w:r>
          </w:p>
        </w:tc>
        <w:tc>
          <w:tcPr>
            <w:tcW w:w="123" w:type="pct"/>
          </w:tcPr>
          <w:p w14:paraId="5FF8CEB3"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7" w:type="pct"/>
          </w:tcPr>
          <w:p w14:paraId="671E948C"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4BDFD286" w14:textId="77777777" w:rsidTr="000400C8">
        <w:tc>
          <w:tcPr>
            <w:tcW w:w="2729" w:type="pct"/>
          </w:tcPr>
          <w:p w14:paraId="75F2D15F"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Carlos B. Pisula</w:t>
            </w:r>
            <w:r w:rsidRPr="00AE4E8D">
              <w:rPr>
                <w:rFonts w:ascii="Times New Roman" w:hAnsi="Times New Roman"/>
                <w:lang w:val="es-ES"/>
              </w:rPr>
              <w:tab/>
            </w:r>
          </w:p>
        </w:tc>
        <w:tc>
          <w:tcPr>
            <w:tcW w:w="123" w:type="pct"/>
          </w:tcPr>
          <w:p w14:paraId="7F5729C9"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7" w:type="pct"/>
          </w:tcPr>
          <w:p w14:paraId="4DEB0306"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bl>
    <w:p w14:paraId="649C343F" w14:textId="77777777" w:rsidR="000924EA" w:rsidRPr="00AE4E8D" w:rsidRDefault="000924EA" w:rsidP="000924EA">
      <w:pPr>
        <w:pStyle w:val="BHTexto"/>
        <w:rPr>
          <w:lang w:val="es-ES"/>
        </w:rPr>
      </w:pPr>
      <w:r w:rsidRPr="00AE4E8D">
        <w:rPr>
          <w:lang w:val="es-ES"/>
        </w:rPr>
        <w:t>El Comité de Incentivos al Personal tiene las siguientes funciones:</w:t>
      </w:r>
    </w:p>
    <w:p w14:paraId="578D3F5C" w14:textId="77777777" w:rsidR="000924EA" w:rsidRPr="00AE4E8D" w:rsidRDefault="000924EA" w:rsidP="000924EA">
      <w:pPr>
        <w:pStyle w:val="BHTexto"/>
        <w:numPr>
          <w:ilvl w:val="0"/>
          <w:numId w:val="82"/>
        </w:numPr>
        <w:rPr>
          <w:lang w:val="es-ES"/>
        </w:rPr>
      </w:pPr>
      <w:r w:rsidRPr="00AE4E8D">
        <w:rPr>
          <w:lang w:val="es-ES"/>
        </w:rPr>
        <w:t>Establecer políticas y prácticas para incentivar económicamente al personal para la gestión de los riesgos, el capital y la liquidez.</w:t>
      </w:r>
    </w:p>
    <w:p w14:paraId="60C48A88" w14:textId="77777777" w:rsidR="000924EA" w:rsidRPr="00AE4E8D" w:rsidRDefault="000924EA" w:rsidP="000924EA">
      <w:pPr>
        <w:pStyle w:val="BHTexto"/>
        <w:numPr>
          <w:ilvl w:val="0"/>
          <w:numId w:val="82"/>
        </w:numPr>
        <w:rPr>
          <w:lang w:val="es-ES"/>
        </w:rPr>
      </w:pPr>
      <w:r w:rsidRPr="00AE4E8D">
        <w:rPr>
          <w:lang w:val="es-ES"/>
        </w:rPr>
        <w:t>Establecer que la política para incentivar económicamente al personal se ajuste a los lineamientos previstos en la normativa y legislación vigente en la materia.</w:t>
      </w:r>
    </w:p>
    <w:p w14:paraId="6F0362A3" w14:textId="77777777" w:rsidR="000924EA" w:rsidRPr="00AE4E8D" w:rsidRDefault="000924EA" w:rsidP="000924EA">
      <w:pPr>
        <w:pStyle w:val="BHTexto"/>
        <w:numPr>
          <w:ilvl w:val="0"/>
          <w:numId w:val="82"/>
        </w:numPr>
        <w:rPr>
          <w:lang w:val="es-ES"/>
        </w:rPr>
      </w:pPr>
      <w:r w:rsidRPr="00AE4E8D">
        <w:rPr>
          <w:lang w:val="es-ES"/>
        </w:rPr>
        <w:t>Establecer que los incentivos económicos a los miembros de la organización que:</w:t>
      </w:r>
    </w:p>
    <w:p w14:paraId="6FEC023F" w14:textId="77777777" w:rsidR="000924EA" w:rsidRPr="00AE4E8D" w:rsidRDefault="000924EA" w:rsidP="000924EA">
      <w:pPr>
        <w:numPr>
          <w:ilvl w:val="0"/>
          <w:numId w:val="37"/>
        </w:numPr>
        <w:tabs>
          <w:tab w:val="left" w:pos="1134"/>
        </w:tabs>
        <w:autoSpaceDE w:val="0"/>
        <w:autoSpaceDN w:val="0"/>
        <w:adjustRightInd w:val="0"/>
        <w:spacing w:before="120" w:after="120"/>
        <w:ind w:left="1134"/>
        <w:jc w:val="both"/>
        <w:rPr>
          <w:rFonts w:ascii="Times New Roman" w:hAnsi="Times New Roman"/>
          <w:lang w:val="es-ES"/>
        </w:rPr>
      </w:pPr>
      <w:r w:rsidRPr="00AE4E8D">
        <w:rPr>
          <w:rFonts w:ascii="Times New Roman" w:hAnsi="Times New Roman"/>
          <w:lang w:val="es-ES"/>
        </w:rPr>
        <w:t>se vinculen con la contribución individual y de cada unidad de negocio a nuestro desempeño; y</w:t>
      </w:r>
    </w:p>
    <w:p w14:paraId="4C1F0E9E" w14:textId="77777777" w:rsidR="000924EA" w:rsidRPr="00AE4E8D" w:rsidRDefault="000924EA" w:rsidP="000924EA">
      <w:pPr>
        <w:numPr>
          <w:ilvl w:val="0"/>
          <w:numId w:val="37"/>
        </w:numPr>
        <w:tabs>
          <w:tab w:val="left" w:pos="1134"/>
        </w:tabs>
        <w:autoSpaceDE w:val="0"/>
        <w:autoSpaceDN w:val="0"/>
        <w:adjustRightInd w:val="0"/>
        <w:spacing w:before="120" w:after="120"/>
        <w:ind w:left="1134"/>
        <w:jc w:val="both"/>
        <w:rPr>
          <w:rFonts w:ascii="Times New Roman" w:hAnsi="Times New Roman"/>
          <w:lang w:val="es-ES"/>
        </w:rPr>
      </w:pPr>
      <w:r w:rsidRPr="00AE4E8D">
        <w:rPr>
          <w:rFonts w:ascii="Times New Roman" w:hAnsi="Times New Roman"/>
          <w:lang w:val="es-ES"/>
        </w:rPr>
        <w:t>se fijen en línea con los objetivos de nuestros accionistas.</w:t>
      </w:r>
    </w:p>
    <w:p w14:paraId="5E80943F" w14:textId="77777777" w:rsidR="000924EA" w:rsidRPr="00AE4E8D" w:rsidRDefault="000924EA" w:rsidP="000924EA">
      <w:pPr>
        <w:pStyle w:val="BHTexto"/>
        <w:numPr>
          <w:ilvl w:val="0"/>
          <w:numId w:val="82"/>
        </w:numPr>
        <w:rPr>
          <w:lang w:val="es-ES"/>
        </w:rPr>
      </w:pPr>
      <w:r w:rsidRPr="00AE4E8D">
        <w:rPr>
          <w:lang w:val="es-ES"/>
        </w:rPr>
        <w:t>Promover y coordinar la evaluación anual del sistema de incentivos económicos al personal, realizada por un área independiente del Banco o un organismo externo.</w:t>
      </w:r>
    </w:p>
    <w:p w14:paraId="05C40E5B" w14:textId="77777777" w:rsidR="000924EA" w:rsidRPr="00AE4E8D" w:rsidRDefault="000924EA" w:rsidP="000924EA">
      <w:pPr>
        <w:keepNext/>
        <w:autoSpaceDE w:val="0"/>
        <w:autoSpaceDN w:val="0"/>
        <w:adjustRightInd w:val="0"/>
        <w:spacing w:after="120"/>
        <w:jc w:val="both"/>
        <w:outlineLvl w:val="4"/>
        <w:rPr>
          <w:rFonts w:ascii="Times New Roman" w:hAnsi="Times New Roman"/>
          <w:b/>
          <w:lang w:val="es-ES"/>
        </w:rPr>
      </w:pPr>
      <w:r w:rsidRPr="00AE4E8D">
        <w:rPr>
          <w:rFonts w:ascii="Times New Roman" w:hAnsi="Times New Roman"/>
          <w:b/>
          <w:lang w:val="es-ES"/>
        </w:rPr>
        <w:t>Comité de Gestión de Riesgos</w:t>
      </w:r>
    </w:p>
    <w:p w14:paraId="4D6767E3" w14:textId="77777777" w:rsidR="000924EA" w:rsidRPr="00AE4E8D" w:rsidRDefault="000924EA" w:rsidP="000924EA">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tabla que aparece a continuación detalla la composición de nuestro Comité de Gestión de Riesgos:</w:t>
      </w:r>
    </w:p>
    <w:tbl>
      <w:tblPr>
        <w:tblW w:w="4992" w:type="pct"/>
        <w:tblLayout w:type="fixed"/>
        <w:tblLook w:val="00A0" w:firstRow="1" w:lastRow="0" w:firstColumn="1" w:lastColumn="0" w:noHBand="0" w:noVBand="0"/>
      </w:tblPr>
      <w:tblGrid>
        <w:gridCol w:w="4742"/>
        <w:gridCol w:w="236"/>
        <w:gridCol w:w="3729"/>
      </w:tblGrid>
      <w:tr w:rsidR="000924EA" w:rsidRPr="00AE4E8D" w14:paraId="011AE0AC" w14:textId="77777777" w:rsidTr="000400C8">
        <w:trPr>
          <w:trHeight w:val="322"/>
          <w:tblHeader/>
        </w:trPr>
        <w:tc>
          <w:tcPr>
            <w:tcW w:w="2727" w:type="pct"/>
            <w:tcBorders>
              <w:bottom w:val="single" w:sz="4" w:space="0" w:color="auto"/>
            </w:tcBorders>
          </w:tcPr>
          <w:p w14:paraId="13095D76"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Titulares</w:t>
            </w:r>
          </w:p>
        </w:tc>
        <w:tc>
          <w:tcPr>
            <w:tcW w:w="128" w:type="pct"/>
          </w:tcPr>
          <w:p w14:paraId="69534438"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5" w:type="pct"/>
            <w:tcBorders>
              <w:bottom w:val="single" w:sz="4" w:space="0" w:color="auto"/>
            </w:tcBorders>
          </w:tcPr>
          <w:p w14:paraId="3A6CF5B4"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4D888313" w14:textId="77777777" w:rsidTr="000400C8">
        <w:tc>
          <w:tcPr>
            <w:tcW w:w="2727" w:type="pct"/>
          </w:tcPr>
          <w:p w14:paraId="7F29D7A2"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Carlos B. Pisula</w:t>
            </w:r>
            <w:r w:rsidRPr="00AE4E8D">
              <w:rPr>
                <w:rFonts w:ascii="Times New Roman" w:hAnsi="Times New Roman"/>
                <w:lang w:val="es-ES"/>
              </w:rPr>
              <w:tab/>
            </w:r>
          </w:p>
        </w:tc>
        <w:tc>
          <w:tcPr>
            <w:tcW w:w="128" w:type="pct"/>
          </w:tcPr>
          <w:p w14:paraId="0342680E"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259E8607"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472AB8B8" w14:textId="77777777" w:rsidTr="000400C8">
        <w:tc>
          <w:tcPr>
            <w:tcW w:w="2727" w:type="pct"/>
          </w:tcPr>
          <w:p w14:paraId="09195A28"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Jacobo Julio Dreizzen</w:t>
            </w:r>
            <w:r w:rsidRPr="00AE4E8D">
              <w:rPr>
                <w:rFonts w:ascii="Times New Roman" w:hAnsi="Times New Roman"/>
                <w:lang w:val="es-ES"/>
              </w:rPr>
              <w:tab/>
            </w:r>
          </w:p>
        </w:tc>
        <w:tc>
          <w:tcPr>
            <w:tcW w:w="128" w:type="pct"/>
          </w:tcPr>
          <w:p w14:paraId="2CA45360"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371F4F1C"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6A2DCA26" w14:textId="77777777" w:rsidTr="000400C8">
        <w:tc>
          <w:tcPr>
            <w:tcW w:w="2727" w:type="pct"/>
          </w:tcPr>
          <w:p w14:paraId="4CFD32A0"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Mauricio Wior</w:t>
            </w:r>
            <w:r w:rsidRPr="00AE4E8D">
              <w:rPr>
                <w:rFonts w:ascii="Times New Roman" w:hAnsi="Times New Roman"/>
                <w:lang w:val="es-ES"/>
              </w:rPr>
              <w:tab/>
            </w:r>
          </w:p>
        </w:tc>
        <w:tc>
          <w:tcPr>
            <w:tcW w:w="128" w:type="pct"/>
          </w:tcPr>
          <w:p w14:paraId="288BFE6A"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1DABFDA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Director</w:t>
            </w:r>
          </w:p>
        </w:tc>
      </w:tr>
      <w:tr w:rsidR="000924EA" w:rsidRPr="00AE4E8D" w14:paraId="07A9E62B" w14:textId="77777777" w:rsidTr="000400C8">
        <w:trPr>
          <w:trHeight w:val="164"/>
        </w:trPr>
        <w:tc>
          <w:tcPr>
            <w:tcW w:w="2727" w:type="pct"/>
          </w:tcPr>
          <w:p w14:paraId="79B10AA3"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b/>
                <w:lang w:val="es-ES"/>
              </w:rPr>
            </w:pPr>
          </w:p>
        </w:tc>
        <w:tc>
          <w:tcPr>
            <w:tcW w:w="128" w:type="pct"/>
          </w:tcPr>
          <w:p w14:paraId="17F2129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5" w:type="pct"/>
          </w:tcPr>
          <w:p w14:paraId="3CBF0830"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r>
      <w:tr w:rsidR="000924EA" w:rsidRPr="00AE4E8D" w14:paraId="6F624316" w14:textId="77777777" w:rsidTr="000400C8">
        <w:trPr>
          <w:trHeight w:val="164"/>
        </w:trPr>
        <w:tc>
          <w:tcPr>
            <w:tcW w:w="2727" w:type="pct"/>
            <w:tcBorders>
              <w:bottom w:val="single" w:sz="4" w:space="0" w:color="auto"/>
            </w:tcBorders>
          </w:tcPr>
          <w:p w14:paraId="1BEFB319"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Asisten</w:t>
            </w:r>
          </w:p>
        </w:tc>
        <w:tc>
          <w:tcPr>
            <w:tcW w:w="128" w:type="pct"/>
          </w:tcPr>
          <w:p w14:paraId="55B697C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p>
        </w:tc>
        <w:tc>
          <w:tcPr>
            <w:tcW w:w="2145" w:type="pct"/>
            <w:tcBorders>
              <w:bottom w:val="single" w:sz="4" w:space="0" w:color="auto"/>
            </w:tcBorders>
          </w:tcPr>
          <w:p w14:paraId="58E8A080"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b/>
                <w:lang w:val="es-ES"/>
              </w:rPr>
            </w:pPr>
            <w:r w:rsidRPr="00AE4E8D">
              <w:rPr>
                <w:rFonts w:ascii="Times New Roman" w:hAnsi="Times New Roman"/>
                <w:b/>
                <w:lang w:val="es-ES"/>
              </w:rPr>
              <w:t>Cargo</w:t>
            </w:r>
          </w:p>
        </w:tc>
      </w:tr>
      <w:tr w:rsidR="000924EA" w:rsidRPr="00AE4E8D" w14:paraId="18A4FF5A" w14:textId="77777777" w:rsidTr="000400C8">
        <w:trPr>
          <w:trHeight w:val="164"/>
        </w:trPr>
        <w:tc>
          <w:tcPr>
            <w:tcW w:w="2727" w:type="pct"/>
            <w:tcBorders>
              <w:top w:val="single" w:sz="4" w:space="0" w:color="auto"/>
            </w:tcBorders>
          </w:tcPr>
          <w:p w14:paraId="27B4951C"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Manuel Herrera</w:t>
            </w:r>
            <w:r w:rsidRPr="00AE4E8D">
              <w:rPr>
                <w:rFonts w:ascii="Times New Roman" w:hAnsi="Times New Roman"/>
                <w:lang w:val="es-ES"/>
              </w:rPr>
              <w:tab/>
            </w:r>
          </w:p>
        </w:tc>
        <w:tc>
          <w:tcPr>
            <w:tcW w:w="128" w:type="pct"/>
          </w:tcPr>
          <w:p w14:paraId="55C91F39"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Borders>
              <w:top w:val="single" w:sz="4" w:space="0" w:color="auto"/>
            </w:tcBorders>
          </w:tcPr>
          <w:p w14:paraId="1FBFB58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Gerente General</w:t>
            </w:r>
          </w:p>
        </w:tc>
      </w:tr>
      <w:tr w:rsidR="000924EA" w:rsidRPr="00AE4E8D" w14:paraId="50AFC11E" w14:textId="77777777" w:rsidTr="000400C8">
        <w:trPr>
          <w:trHeight w:val="164"/>
        </w:trPr>
        <w:tc>
          <w:tcPr>
            <w:tcW w:w="2727" w:type="pct"/>
          </w:tcPr>
          <w:p w14:paraId="0CE4CF5A" w14:textId="77777777" w:rsidR="000924EA" w:rsidRPr="00AE4E8D" w:rsidRDefault="000924EA" w:rsidP="00232C94">
            <w:pPr>
              <w:tabs>
                <w:tab w:val="left" w:leader="dot" w:pos="5001"/>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Alejandro Sokol</w:t>
            </w:r>
            <w:r w:rsidRPr="00AE4E8D">
              <w:rPr>
                <w:rFonts w:ascii="Times New Roman" w:hAnsi="Times New Roman"/>
                <w:lang w:val="es-ES"/>
              </w:rPr>
              <w:tab/>
            </w:r>
          </w:p>
        </w:tc>
        <w:tc>
          <w:tcPr>
            <w:tcW w:w="128" w:type="pct"/>
          </w:tcPr>
          <w:p w14:paraId="40F37741"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p>
        </w:tc>
        <w:tc>
          <w:tcPr>
            <w:tcW w:w="2145" w:type="pct"/>
          </w:tcPr>
          <w:p w14:paraId="5732BDFF" w14:textId="77777777" w:rsidR="000924EA" w:rsidRPr="00AE4E8D" w:rsidRDefault="000924EA" w:rsidP="00232C94">
            <w:pPr>
              <w:tabs>
                <w:tab w:val="left" w:pos="0"/>
              </w:tabs>
              <w:autoSpaceDE w:val="0"/>
              <w:autoSpaceDN w:val="0"/>
              <w:adjustRightInd w:val="0"/>
              <w:spacing w:before="100" w:beforeAutospacing="1" w:after="100" w:afterAutospacing="1"/>
              <w:rPr>
                <w:rFonts w:ascii="Times New Roman" w:hAnsi="Times New Roman"/>
                <w:lang w:val="es-ES"/>
              </w:rPr>
            </w:pPr>
            <w:r w:rsidRPr="00AE4E8D">
              <w:rPr>
                <w:rFonts w:ascii="Times New Roman" w:hAnsi="Times New Roman"/>
                <w:lang w:val="es-ES"/>
              </w:rPr>
              <w:t>Gerente de Área Riesgos</w:t>
            </w:r>
          </w:p>
        </w:tc>
      </w:tr>
    </w:tbl>
    <w:p w14:paraId="019081CE" w14:textId="77777777" w:rsidR="000924EA" w:rsidRPr="00AE4E8D" w:rsidRDefault="000924EA" w:rsidP="000924EA">
      <w:pPr>
        <w:pStyle w:val="BHTexto"/>
        <w:rPr>
          <w:lang w:val="es-ES"/>
        </w:rPr>
      </w:pPr>
      <w:r w:rsidRPr="00AE4E8D">
        <w:rPr>
          <w:lang w:val="es-ES"/>
        </w:rPr>
        <w:t>El Comité de Gestión de Riesgos tiene las siguientes funciones:</w:t>
      </w:r>
    </w:p>
    <w:p w14:paraId="1FD07083" w14:textId="77777777" w:rsidR="000924EA" w:rsidRPr="00AE4E8D" w:rsidRDefault="000924EA" w:rsidP="000924EA">
      <w:pPr>
        <w:pStyle w:val="BHTexto"/>
        <w:numPr>
          <w:ilvl w:val="0"/>
          <w:numId w:val="82"/>
        </w:numPr>
        <w:rPr>
          <w:lang w:val="es-ES"/>
        </w:rPr>
      </w:pPr>
      <w:r w:rsidRPr="00AE4E8D">
        <w:rPr>
          <w:lang w:val="es-ES"/>
        </w:rPr>
        <w:t>Monitorear la gestión de los riesgos de crédito, de mercado, de liquidez, de tasas de interés, y operacional tomando en consideración las mejores prácticas en materia de gestión de riesgo.</w:t>
      </w:r>
    </w:p>
    <w:p w14:paraId="1A791FAB" w14:textId="77777777" w:rsidR="000924EA" w:rsidRPr="00AE4E8D" w:rsidRDefault="000924EA" w:rsidP="000924EA">
      <w:pPr>
        <w:pStyle w:val="BHTexto"/>
        <w:numPr>
          <w:ilvl w:val="0"/>
          <w:numId w:val="82"/>
        </w:numPr>
        <w:rPr>
          <w:lang w:val="es-ES"/>
        </w:rPr>
      </w:pPr>
      <w:r w:rsidRPr="00AE4E8D">
        <w:rPr>
          <w:lang w:val="es-ES"/>
        </w:rPr>
        <w:t>Proponer los niveles de tolerancia al riesgo y las estrategias de gestión de riesgo.</w:t>
      </w:r>
    </w:p>
    <w:p w14:paraId="33C0AC71" w14:textId="77777777" w:rsidR="000924EA" w:rsidRPr="00AE4E8D" w:rsidRDefault="000924EA" w:rsidP="000924EA">
      <w:pPr>
        <w:pStyle w:val="BHTexto"/>
        <w:numPr>
          <w:ilvl w:val="0"/>
          <w:numId w:val="82"/>
        </w:numPr>
        <w:rPr>
          <w:lang w:val="es-ES"/>
        </w:rPr>
      </w:pPr>
      <w:r w:rsidRPr="00AE4E8D">
        <w:rPr>
          <w:lang w:val="es-ES"/>
        </w:rPr>
        <w:t xml:space="preserve">Proponer al Directorio las políticas de gestión de riesgo, y revisarlas periódicamente –al menos anualmente. </w:t>
      </w:r>
    </w:p>
    <w:p w14:paraId="01A4278F" w14:textId="77777777" w:rsidR="000924EA" w:rsidRPr="00AE4E8D" w:rsidRDefault="000924EA" w:rsidP="000924EA">
      <w:pPr>
        <w:pStyle w:val="BHTexto"/>
        <w:numPr>
          <w:ilvl w:val="0"/>
          <w:numId w:val="82"/>
        </w:numPr>
        <w:rPr>
          <w:lang w:val="es-ES"/>
        </w:rPr>
      </w:pPr>
      <w:r w:rsidRPr="00AE4E8D">
        <w:rPr>
          <w:lang w:val="es-ES"/>
        </w:rPr>
        <w:t>Proponer el programa de pruebas de estrés y de plan de contingencia y revisarlas periódicamente, al menos anualmente.</w:t>
      </w:r>
    </w:p>
    <w:p w14:paraId="118E5322" w14:textId="77777777" w:rsidR="000924EA" w:rsidRPr="00AE4E8D" w:rsidRDefault="000924EA" w:rsidP="000924EA">
      <w:pPr>
        <w:pStyle w:val="BHTexto"/>
        <w:numPr>
          <w:ilvl w:val="0"/>
          <w:numId w:val="82"/>
        </w:numPr>
        <w:rPr>
          <w:lang w:val="es-ES"/>
        </w:rPr>
      </w:pPr>
      <w:r w:rsidRPr="00AE4E8D">
        <w:rPr>
          <w:lang w:val="es-ES"/>
        </w:rPr>
        <w:lastRenderedPageBreak/>
        <w:t>Monitorear que haya una adecuada difusión de información sobre el marco de gestión de riesgos de la entidad.</w:t>
      </w:r>
    </w:p>
    <w:p w14:paraId="1C1807B3" w14:textId="77777777" w:rsidR="000924EA" w:rsidRPr="00AE4E8D" w:rsidRDefault="000924EA" w:rsidP="000924EA">
      <w:pPr>
        <w:pStyle w:val="BHTexto"/>
        <w:numPr>
          <w:ilvl w:val="0"/>
          <w:numId w:val="82"/>
        </w:numPr>
        <w:rPr>
          <w:lang w:val="es-ES"/>
        </w:rPr>
      </w:pPr>
      <w:r w:rsidRPr="00AE4E8D">
        <w:rPr>
          <w:lang w:val="es-ES"/>
        </w:rPr>
        <w:t>Procurar que la alta gerencia y el personal de las áreas involucradas posean la capacidad y experiencia necesarias para la gestión de riesgo.</w:t>
      </w:r>
    </w:p>
    <w:p w14:paraId="60EC182C" w14:textId="77777777" w:rsidR="000924EA" w:rsidRPr="00AE4E8D" w:rsidRDefault="000924EA" w:rsidP="000924EA">
      <w:pPr>
        <w:pStyle w:val="BHTexto"/>
        <w:numPr>
          <w:ilvl w:val="0"/>
          <w:numId w:val="82"/>
        </w:numPr>
        <w:rPr>
          <w:lang w:val="es-ES"/>
        </w:rPr>
      </w:pPr>
      <w:r w:rsidRPr="00AE4E8D">
        <w:rPr>
          <w:lang w:val="es-ES"/>
        </w:rPr>
        <w:t>Evaluar el perfil de riesgo a partir de las definiciones del plan de negocios y, de corresponder, disponer que se ejecuten acciones correctivas.</w:t>
      </w:r>
    </w:p>
    <w:p w14:paraId="5C682806" w14:textId="77777777" w:rsidR="000924EA" w:rsidRPr="00AE4E8D" w:rsidRDefault="000924EA" w:rsidP="000924EA">
      <w:pPr>
        <w:pStyle w:val="BHTexto"/>
        <w:numPr>
          <w:ilvl w:val="0"/>
          <w:numId w:val="82"/>
        </w:numPr>
        <w:rPr>
          <w:lang w:val="es-ES"/>
        </w:rPr>
      </w:pPr>
      <w:r w:rsidRPr="00AE4E8D">
        <w:rPr>
          <w:lang w:val="es-ES"/>
        </w:rPr>
        <w:t>Evaluar los resultados de las pruebas de estrés integrales que se realicen y los planes de contingencia establecidos, y proponer que se ejecuten acciones correctivas ante situaciones de estrés.</w:t>
      </w:r>
    </w:p>
    <w:p w14:paraId="22D4586E" w14:textId="77777777" w:rsidR="000924EA" w:rsidRPr="00AE4E8D" w:rsidRDefault="000924EA" w:rsidP="000924EA">
      <w:pPr>
        <w:pStyle w:val="BHTexto"/>
        <w:numPr>
          <w:ilvl w:val="0"/>
          <w:numId w:val="82"/>
        </w:numPr>
        <w:rPr>
          <w:lang w:val="es-ES"/>
        </w:rPr>
      </w:pPr>
      <w:r w:rsidRPr="00AE4E8D">
        <w:rPr>
          <w:lang w:val="es-ES"/>
        </w:rPr>
        <w:t>Evaluar que las pautas generales de la política de incentivos económicos al personal no esté en contraposición con la estrategia de riesgo de la entidad.</w:t>
      </w:r>
    </w:p>
    <w:p w14:paraId="47513D2A" w14:textId="77777777" w:rsidR="000924EA" w:rsidRPr="00AE4E8D" w:rsidRDefault="000924EA" w:rsidP="000924EA">
      <w:pPr>
        <w:pStyle w:val="BHTexto"/>
        <w:numPr>
          <w:ilvl w:val="0"/>
          <w:numId w:val="82"/>
        </w:numPr>
        <w:rPr>
          <w:lang w:val="es-ES"/>
        </w:rPr>
      </w:pPr>
      <w:r w:rsidRPr="00AE4E8D">
        <w:rPr>
          <w:lang w:val="es-ES"/>
        </w:rPr>
        <w:t>Elevar para la consideración del Directorio la evaluación sobre si el nivel de capital de la entidad es adecuado para los riesgos asumidos, y</w:t>
      </w:r>
    </w:p>
    <w:p w14:paraId="12A45FDC" w14:textId="77777777" w:rsidR="000924EA" w:rsidRPr="00AE4E8D" w:rsidRDefault="000924EA" w:rsidP="000924EA">
      <w:pPr>
        <w:pStyle w:val="BHTexto"/>
        <w:numPr>
          <w:ilvl w:val="0"/>
          <w:numId w:val="82"/>
        </w:numPr>
        <w:rPr>
          <w:lang w:val="es-ES"/>
        </w:rPr>
      </w:pPr>
      <w:r w:rsidRPr="00AE4E8D">
        <w:rPr>
          <w:lang w:val="es-ES"/>
        </w:rPr>
        <w:t>Tomar conocimiento de los resultados de las revisiones de auditoría interna a las que esté sujeto el marco de gestión de riesgo y, de corresponder, disponer que se tomen las medidas tendientes a solucionar las observaciones formuladas.</w:t>
      </w:r>
    </w:p>
    <w:p w14:paraId="46FE281B" w14:textId="77777777" w:rsidR="000924EA" w:rsidRPr="00AE4E8D" w:rsidRDefault="000924EA" w:rsidP="000924EA">
      <w:pPr>
        <w:keepNext/>
        <w:autoSpaceDE w:val="0"/>
        <w:autoSpaceDN w:val="0"/>
        <w:adjustRightInd w:val="0"/>
        <w:spacing w:after="120"/>
        <w:jc w:val="both"/>
        <w:outlineLvl w:val="4"/>
        <w:rPr>
          <w:rFonts w:ascii="Times New Roman" w:hAnsi="Times New Roman"/>
          <w:b/>
          <w:lang w:val="es-ES"/>
        </w:rPr>
      </w:pPr>
      <w:r w:rsidRPr="00AE4E8D">
        <w:rPr>
          <w:rFonts w:ascii="Times New Roman" w:hAnsi="Times New Roman"/>
          <w:b/>
          <w:lang w:val="es-ES"/>
        </w:rPr>
        <w:t>Comité de Gobierno Societario</w:t>
      </w:r>
    </w:p>
    <w:p w14:paraId="1F555B98" w14:textId="77777777" w:rsidR="000924EA" w:rsidRPr="00AE4E8D" w:rsidRDefault="000924EA" w:rsidP="000924EA">
      <w:pPr>
        <w:pStyle w:val="BHTexto"/>
        <w:rPr>
          <w:lang w:val="es-ES"/>
        </w:rPr>
      </w:pPr>
      <w:r w:rsidRPr="00AE4E8D">
        <w:rPr>
          <w:lang w:val="es-ES"/>
        </w:rPr>
        <w:t>La tabla que aparece a continuación detalla la composición de nuestro Comité de Gobierno Societario:</w:t>
      </w:r>
    </w:p>
    <w:tbl>
      <w:tblPr>
        <w:tblW w:w="4992" w:type="pct"/>
        <w:tblLayout w:type="fixed"/>
        <w:tblLook w:val="00A0" w:firstRow="1" w:lastRow="0" w:firstColumn="1" w:lastColumn="0" w:noHBand="0" w:noVBand="0"/>
      </w:tblPr>
      <w:tblGrid>
        <w:gridCol w:w="4742"/>
        <w:gridCol w:w="236"/>
        <w:gridCol w:w="3729"/>
      </w:tblGrid>
      <w:tr w:rsidR="000924EA" w:rsidRPr="00AE4E8D" w14:paraId="6E85DD4A" w14:textId="77777777" w:rsidTr="000400C8">
        <w:trPr>
          <w:trHeight w:val="322"/>
          <w:tblHeader/>
        </w:trPr>
        <w:tc>
          <w:tcPr>
            <w:tcW w:w="2727" w:type="pct"/>
            <w:tcBorders>
              <w:bottom w:val="single" w:sz="4" w:space="0" w:color="auto"/>
            </w:tcBorders>
          </w:tcPr>
          <w:p w14:paraId="28A78A25" w14:textId="77777777" w:rsidR="000924EA" w:rsidRPr="00AE4E8D" w:rsidRDefault="000924EA" w:rsidP="00232C94">
            <w:pPr>
              <w:rPr>
                <w:rFonts w:ascii="Times New Roman" w:hAnsi="Times New Roman"/>
                <w:b/>
                <w:lang w:val="es-ES"/>
              </w:rPr>
            </w:pPr>
            <w:r w:rsidRPr="00AE4E8D">
              <w:rPr>
                <w:rFonts w:ascii="Times New Roman" w:hAnsi="Times New Roman"/>
                <w:b/>
                <w:lang w:val="es-ES"/>
              </w:rPr>
              <w:t>Titulares</w:t>
            </w:r>
          </w:p>
        </w:tc>
        <w:tc>
          <w:tcPr>
            <w:tcW w:w="128" w:type="pct"/>
          </w:tcPr>
          <w:p w14:paraId="3E6B828F" w14:textId="77777777" w:rsidR="000924EA" w:rsidRPr="00AE4E8D" w:rsidRDefault="000924EA" w:rsidP="00232C94">
            <w:pPr>
              <w:rPr>
                <w:rFonts w:ascii="Times New Roman" w:hAnsi="Times New Roman"/>
                <w:b/>
                <w:lang w:val="es-ES"/>
              </w:rPr>
            </w:pPr>
          </w:p>
        </w:tc>
        <w:tc>
          <w:tcPr>
            <w:tcW w:w="2145" w:type="pct"/>
            <w:tcBorders>
              <w:bottom w:val="single" w:sz="4" w:space="0" w:color="auto"/>
            </w:tcBorders>
          </w:tcPr>
          <w:p w14:paraId="3D7C8EFA" w14:textId="77777777" w:rsidR="000924EA" w:rsidRPr="00AE4E8D" w:rsidRDefault="000924EA" w:rsidP="00232C94">
            <w:pPr>
              <w:rPr>
                <w:rFonts w:ascii="Times New Roman" w:hAnsi="Times New Roman"/>
                <w:b/>
                <w:lang w:val="es-ES"/>
              </w:rPr>
            </w:pPr>
            <w:r w:rsidRPr="00AE4E8D">
              <w:rPr>
                <w:rFonts w:ascii="Times New Roman" w:hAnsi="Times New Roman"/>
                <w:b/>
                <w:lang w:val="es-ES"/>
              </w:rPr>
              <w:t>Cargo</w:t>
            </w:r>
          </w:p>
        </w:tc>
      </w:tr>
      <w:tr w:rsidR="000924EA" w:rsidRPr="00AE4E8D" w14:paraId="6ED0DE6F" w14:textId="77777777" w:rsidTr="000400C8">
        <w:tc>
          <w:tcPr>
            <w:tcW w:w="2727" w:type="pct"/>
          </w:tcPr>
          <w:p w14:paraId="2087633C"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Carlos Pisula</w:t>
            </w:r>
            <w:r w:rsidRPr="00AE4E8D">
              <w:rPr>
                <w:rFonts w:ascii="Times New Roman" w:hAnsi="Times New Roman"/>
                <w:lang w:val="es-ES"/>
              </w:rPr>
              <w:tab/>
            </w:r>
          </w:p>
        </w:tc>
        <w:tc>
          <w:tcPr>
            <w:tcW w:w="128" w:type="pct"/>
          </w:tcPr>
          <w:p w14:paraId="04F6B850" w14:textId="77777777" w:rsidR="000924EA" w:rsidRPr="00AE4E8D" w:rsidRDefault="000924EA" w:rsidP="00232C94">
            <w:pPr>
              <w:rPr>
                <w:rFonts w:ascii="Times New Roman" w:hAnsi="Times New Roman"/>
                <w:lang w:val="es-ES"/>
              </w:rPr>
            </w:pPr>
          </w:p>
        </w:tc>
        <w:tc>
          <w:tcPr>
            <w:tcW w:w="2145" w:type="pct"/>
          </w:tcPr>
          <w:p w14:paraId="08097B6E"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04E5CBEC" w14:textId="77777777" w:rsidTr="000400C8">
        <w:tc>
          <w:tcPr>
            <w:tcW w:w="2727" w:type="pct"/>
          </w:tcPr>
          <w:p w14:paraId="5DF2405C"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Saúl Zang</w:t>
            </w:r>
            <w:r w:rsidRPr="00AE4E8D">
              <w:rPr>
                <w:rFonts w:ascii="Times New Roman" w:hAnsi="Times New Roman"/>
                <w:lang w:val="es-ES"/>
              </w:rPr>
              <w:tab/>
            </w:r>
          </w:p>
        </w:tc>
        <w:tc>
          <w:tcPr>
            <w:tcW w:w="128" w:type="pct"/>
          </w:tcPr>
          <w:p w14:paraId="319BE2F6" w14:textId="77777777" w:rsidR="000924EA" w:rsidRPr="00AE4E8D" w:rsidRDefault="000924EA" w:rsidP="00232C94">
            <w:pPr>
              <w:rPr>
                <w:rFonts w:ascii="Times New Roman" w:hAnsi="Times New Roman"/>
                <w:lang w:val="es-ES"/>
              </w:rPr>
            </w:pPr>
          </w:p>
        </w:tc>
        <w:tc>
          <w:tcPr>
            <w:tcW w:w="2145" w:type="pct"/>
          </w:tcPr>
          <w:p w14:paraId="445ED387"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3631890B" w14:textId="77777777" w:rsidTr="000400C8">
        <w:tc>
          <w:tcPr>
            <w:tcW w:w="2727" w:type="pct"/>
          </w:tcPr>
          <w:p w14:paraId="7ECCC318"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Ernesto M. Viñes</w:t>
            </w:r>
            <w:r w:rsidRPr="00AE4E8D">
              <w:rPr>
                <w:rFonts w:ascii="Times New Roman" w:hAnsi="Times New Roman"/>
                <w:lang w:val="es-ES"/>
              </w:rPr>
              <w:tab/>
            </w:r>
          </w:p>
        </w:tc>
        <w:tc>
          <w:tcPr>
            <w:tcW w:w="128" w:type="pct"/>
          </w:tcPr>
          <w:p w14:paraId="10656FED" w14:textId="77777777" w:rsidR="000924EA" w:rsidRPr="00AE4E8D" w:rsidRDefault="000924EA" w:rsidP="00232C94">
            <w:pPr>
              <w:rPr>
                <w:rFonts w:ascii="Times New Roman" w:hAnsi="Times New Roman"/>
                <w:lang w:val="es-ES"/>
              </w:rPr>
            </w:pPr>
          </w:p>
        </w:tc>
        <w:tc>
          <w:tcPr>
            <w:tcW w:w="2145" w:type="pct"/>
          </w:tcPr>
          <w:p w14:paraId="1E83827C"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2EACF933" w14:textId="77777777" w:rsidTr="000400C8">
        <w:trPr>
          <w:trHeight w:val="164"/>
        </w:trPr>
        <w:tc>
          <w:tcPr>
            <w:tcW w:w="2727" w:type="pct"/>
          </w:tcPr>
          <w:p w14:paraId="2563351A" w14:textId="77777777" w:rsidR="000924EA" w:rsidRPr="00AE4E8D" w:rsidRDefault="000924EA" w:rsidP="00232C94">
            <w:pPr>
              <w:tabs>
                <w:tab w:val="left" w:leader="dot" w:pos="4814"/>
              </w:tabs>
              <w:rPr>
                <w:rFonts w:ascii="Times New Roman" w:hAnsi="Times New Roman"/>
                <w:lang w:val="es-ES"/>
              </w:rPr>
            </w:pPr>
          </w:p>
        </w:tc>
        <w:tc>
          <w:tcPr>
            <w:tcW w:w="128" w:type="pct"/>
          </w:tcPr>
          <w:p w14:paraId="69F8F292" w14:textId="77777777" w:rsidR="000924EA" w:rsidRPr="00AE4E8D" w:rsidRDefault="000924EA" w:rsidP="00232C94">
            <w:pPr>
              <w:rPr>
                <w:rFonts w:ascii="Times New Roman" w:hAnsi="Times New Roman"/>
                <w:lang w:val="es-ES"/>
              </w:rPr>
            </w:pPr>
          </w:p>
        </w:tc>
        <w:tc>
          <w:tcPr>
            <w:tcW w:w="2145" w:type="pct"/>
          </w:tcPr>
          <w:p w14:paraId="0E7EB9DD" w14:textId="77777777" w:rsidR="000924EA" w:rsidRPr="00AE4E8D" w:rsidRDefault="000924EA" w:rsidP="00232C94">
            <w:pPr>
              <w:rPr>
                <w:rFonts w:ascii="Times New Roman" w:hAnsi="Times New Roman"/>
                <w:lang w:val="es-ES"/>
              </w:rPr>
            </w:pPr>
          </w:p>
        </w:tc>
      </w:tr>
      <w:tr w:rsidR="000924EA" w:rsidRPr="00AE4E8D" w14:paraId="2B77031C" w14:textId="77777777" w:rsidTr="000400C8">
        <w:trPr>
          <w:trHeight w:val="164"/>
        </w:trPr>
        <w:tc>
          <w:tcPr>
            <w:tcW w:w="2727" w:type="pct"/>
            <w:tcBorders>
              <w:bottom w:val="single" w:sz="4" w:space="0" w:color="auto"/>
            </w:tcBorders>
          </w:tcPr>
          <w:p w14:paraId="3CE0EFEC" w14:textId="77777777" w:rsidR="000924EA" w:rsidRPr="00AE4E8D" w:rsidRDefault="000924EA" w:rsidP="00232C94">
            <w:pPr>
              <w:tabs>
                <w:tab w:val="left" w:leader="dot" w:pos="4814"/>
              </w:tabs>
              <w:rPr>
                <w:rFonts w:ascii="Times New Roman" w:hAnsi="Times New Roman"/>
                <w:b/>
                <w:lang w:val="es-ES"/>
              </w:rPr>
            </w:pPr>
            <w:r w:rsidRPr="00AE4E8D">
              <w:rPr>
                <w:rFonts w:ascii="Times New Roman" w:hAnsi="Times New Roman"/>
                <w:b/>
                <w:lang w:val="es-ES"/>
              </w:rPr>
              <w:t>Asisten</w:t>
            </w:r>
          </w:p>
        </w:tc>
        <w:tc>
          <w:tcPr>
            <w:tcW w:w="128" w:type="pct"/>
          </w:tcPr>
          <w:p w14:paraId="1C60F4C6" w14:textId="77777777" w:rsidR="000924EA" w:rsidRPr="00AE4E8D" w:rsidRDefault="000924EA" w:rsidP="00232C94">
            <w:pPr>
              <w:rPr>
                <w:rFonts w:ascii="Times New Roman" w:hAnsi="Times New Roman"/>
                <w:b/>
                <w:lang w:val="es-ES"/>
              </w:rPr>
            </w:pPr>
          </w:p>
        </w:tc>
        <w:tc>
          <w:tcPr>
            <w:tcW w:w="2145" w:type="pct"/>
            <w:tcBorders>
              <w:bottom w:val="single" w:sz="4" w:space="0" w:color="auto"/>
            </w:tcBorders>
          </w:tcPr>
          <w:p w14:paraId="4E9B00B5" w14:textId="77777777" w:rsidR="000924EA" w:rsidRPr="00AE4E8D" w:rsidRDefault="000924EA" w:rsidP="00232C94">
            <w:pPr>
              <w:rPr>
                <w:rFonts w:ascii="Times New Roman" w:hAnsi="Times New Roman"/>
                <w:b/>
                <w:lang w:val="es-ES"/>
              </w:rPr>
            </w:pPr>
            <w:r w:rsidRPr="00AE4E8D">
              <w:rPr>
                <w:rFonts w:ascii="Times New Roman" w:hAnsi="Times New Roman"/>
                <w:b/>
                <w:lang w:val="es-ES"/>
              </w:rPr>
              <w:t>Cargo</w:t>
            </w:r>
          </w:p>
        </w:tc>
      </w:tr>
      <w:tr w:rsidR="000924EA" w:rsidRPr="00AE4E8D" w14:paraId="03AD13A8" w14:textId="77777777" w:rsidTr="000400C8">
        <w:trPr>
          <w:trHeight w:val="164"/>
        </w:trPr>
        <w:tc>
          <w:tcPr>
            <w:tcW w:w="2727" w:type="pct"/>
            <w:tcBorders>
              <w:top w:val="single" w:sz="4" w:space="0" w:color="auto"/>
            </w:tcBorders>
          </w:tcPr>
          <w:p w14:paraId="0FBF1D78"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Manuel Herrera</w:t>
            </w:r>
            <w:r w:rsidRPr="00AE4E8D">
              <w:rPr>
                <w:rFonts w:ascii="Times New Roman" w:hAnsi="Times New Roman"/>
                <w:lang w:val="es-ES"/>
              </w:rPr>
              <w:tab/>
            </w:r>
          </w:p>
        </w:tc>
        <w:tc>
          <w:tcPr>
            <w:tcW w:w="128" w:type="pct"/>
          </w:tcPr>
          <w:p w14:paraId="31DA4555" w14:textId="77777777" w:rsidR="000924EA" w:rsidRPr="00AE4E8D" w:rsidRDefault="000924EA" w:rsidP="00232C94">
            <w:pPr>
              <w:rPr>
                <w:rFonts w:ascii="Times New Roman" w:hAnsi="Times New Roman"/>
                <w:lang w:val="es-ES"/>
              </w:rPr>
            </w:pPr>
          </w:p>
        </w:tc>
        <w:tc>
          <w:tcPr>
            <w:tcW w:w="2145" w:type="pct"/>
            <w:tcBorders>
              <w:top w:val="single" w:sz="4" w:space="0" w:color="auto"/>
            </w:tcBorders>
          </w:tcPr>
          <w:p w14:paraId="1DA2A553" w14:textId="77777777" w:rsidR="000924EA" w:rsidRPr="00AE4E8D" w:rsidRDefault="000924EA" w:rsidP="00232C94">
            <w:pPr>
              <w:rPr>
                <w:rFonts w:ascii="Times New Roman" w:hAnsi="Times New Roman"/>
                <w:lang w:val="es-ES"/>
              </w:rPr>
            </w:pPr>
            <w:r w:rsidRPr="00AE4E8D">
              <w:rPr>
                <w:rFonts w:ascii="Times New Roman" w:hAnsi="Times New Roman"/>
                <w:lang w:val="es-ES"/>
              </w:rPr>
              <w:t>Gerente General</w:t>
            </w:r>
          </w:p>
        </w:tc>
      </w:tr>
    </w:tbl>
    <w:p w14:paraId="21D7D7D8" w14:textId="77777777" w:rsidR="000924EA" w:rsidRPr="00AE4E8D" w:rsidRDefault="000924EA" w:rsidP="000924EA">
      <w:pPr>
        <w:pStyle w:val="BHTexto"/>
        <w:rPr>
          <w:lang w:val="es-ES"/>
        </w:rPr>
      </w:pPr>
      <w:r w:rsidRPr="00AE4E8D">
        <w:rPr>
          <w:lang w:val="es-ES"/>
        </w:rPr>
        <w:t>El Comité de Gobierno Societario cumple las siguientes funciones:</w:t>
      </w:r>
    </w:p>
    <w:p w14:paraId="70803BB4" w14:textId="77777777" w:rsidR="000924EA" w:rsidRPr="00AE4E8D" w:rsidRDefault="000924EA" w:rsidP="000924EA">
      <w:pPr>
        <w:pStyle w:val="BHTexto"/>
        <w:numPr>
          <w:ilvl w:val="0"/>
          <w:numId w:val="83"/>
        </w:numPr>
        <w:rPr>
          <w:lang w:val="es-ES"/>
        </w:rPr>
      </w:pPr>
      <w:r w:rsidRPr="00AE4E8D">
        <w:rPr>
          <w:lang w:val="es-ES"/>
        </w:rPr>
        <w:t>Supervisar la implementación del Código de Gobierno Societario y de los principios societarios de “información plena”, “transparencia”, “eficiencia”, “protección del público inversor”, “trato igualitario entre inversores” y “protección de la estabilidad de la entidad”;</w:t>
      </w:r>
    </w:p>
    <w:p w14:paraId="027F581D" w14:textId="77777777" w:rsidR="000924EA" w:rsidRPr="00AE4E8D" w:rsidRDefault="000924EA" w:rsidP="000924EA">
      <w:pPr>
        <w:pStyle w:val="BHTexto"/>
        <w:numPr>
          <w:ilvl w:val="0"/>
          <w:numId w:val="83"/>
        </w:numPr>
        <w:rPr>
          <w:lang w:val="es-ES"/>
        </w:rPr>
      </w:pPr>
      <w:r w:rsidRPr="00AE4E8D">
        <w:rPr>
          <w:lang w:val="es-ES"/>
        </w:rPr>
        <w:t>Elevar informes vinculados con la gestión del Directorio y de la alta gerencia a consideración del Directorio;</w:t>
      </w:r>
    </w:p>
    <w:p w14:paraId="6A63FD6A" w14:textId="77777777" w:rsidR="000924EA" w:rsidRPr="00AE4E8D" w:rsidRDefault="000924EA" w:rsidP="000924EA">
      <w:pPr>
        <w:pStyle w:val="BHTexto"/>
        <w:numPr>
          <w:ilvl w:val="0"/>
          <w:numId w:val="83"/>
        </w:numPr>
        <w:rPr>
          <w:lang w:val="es-ES"/>
        </w:rPr>
      </w:pPr>
      <w:r w:rsidRPr="00AE4E8D">
        <w:rPr>
          <w:lang w:val="es-ES"/>
        </w:rPr>
        <w:t>Intervenir en todos los cambios en nuestra estructura de la organización dictaminando sobre sus efectos respecto de la política de gobierno societario;</w:t>
      </w:r>
    </w:p>
    <w:p w14:paraId="18FDC426" w14:textId="77777777" w:rsidR="000924EA" w:rsidRPr="00AE4E8D" w:rsidRDefault="000924EA" w:rsidP="000924EA">
      <w:pPr>
        <w:pStyle w:val="BHTexto"/>
        <w:numPr>
          <w:ilvl w:val="0"/>
          <w:numId w:val="83"/>
        </w:numPr>
        <w:rPr>
          <w:lang w:val="es-ES"/>
        </w:rPr>
      </w:pPr>
      <w:r w:rsidRPr="00AE4E8D">
        <w:rPr>
          <w:lang w:val="es-ES"/>
        </w:rPr>
        <w:t>Vigilar el cumplimiento de las políticas y normas aplicables respecto de nuestra relación con los grupos económicos;</w:t>
      </w:r>
    </w:p>
    <w:p w14:paraId="5A5A9ADA" w14:textId="77777777" w:rsidR="000924EA" w:rsidRPr="00AE4E8D" w:rsidRDefault="000924EA" w:rsidP="000924EA">
      <w:pPr>
        <w:pStyle w:val="BHTexto"/>
        <w:numPr>
          <w:ilvl w:val="0"/>
          <w:numId w:val="83"/>
        </w:numPr>
        <w:rPr>
          <w:lang w:val="es-ES"/>
        </w:rPr>
      </w:pPr>
      <w:r w:rsidRPr="00AE4E8D">
        <w:rPr>
          <w:lang w:val="es-ES"/>
        </w:rPr>
        <w:t>Recabar información sobre las operaciones con compañías afiliadas y vinculadas y las celebradas con los accionistas y los administradores y, en general, aquellas que puedan ser relevantes para determinar el grado de efectividad y la observancia de los deberes de lealtad, diligencia e independencia;</w:t>
      </w:r>
    </w:p>
    <w:p w14:paraId="60F38E1C" w14:textId="77777777" w:rsidR="000924EA" w:rsidRPr="00AE4E8D" w:rsidRDefault="000924EA" w:rsidP="000924EA">
      <w:pPr>
        <w:pStyle w:val="BHTexto"/>
        <w:numPr>
          <w:ilvl w:val="0"/>
          <w:numId w:val="83"/>
        </w:numPr>
        <w:rPr>
          <w:lang w:val="es-ES"/>
        </w:rPr>
      </w:pPr>
      <w:r w:rsidRPr="00AE4E8D">
        <w:rPr>
          <w:lang w:val="es-ES"/>
        </w:rPr>
        <w:t>Vigilar que los accionistas, inversores y el mercado en general, tengan acceso de manera completa, veraz y oportuna a la información que la emisora deba revelar;</w:t>
      </w:r>
    </w:p>
    <w:p w14:paraId="7A9FBE1B" w14:textId="77777777" w:rsidR="000924EA" w:rsidRPr="00AE4E8D" w:rsidRDefault="000924EA" w:rsidP="000924EA">
      <w:pPr>
        <w:pStyle w:val="BHTexto"/>
        <w:numPr>
          <w:ilvl w:val="0"/>
          <w:numId w:val="83"/>
        </w:numPr>
        <w:rPr>
          <w:lang w:val="es-ES"/>
        </w:rPr>
      </w:pPr>
      <w:r w:rsidRPr="00AE4E8D">
        <w:rPr>
          <w:lang w:val="es-ES"/>
        </w:rPr>
        <w:t>Monitorear las negociaciones realizadas por directores, síndicos y gerentes con valores negociables emitidos por nosotros o nuestras subsidiarias y los contratos con partes relacionadas;</w:t>
      </w:r>
    </w:p>
    <w:p w14:paraId="5D4D0E43" w14:textId="77777777" w:rsidR="000924EA" w:rsidRPr="00AE4E8D" w:rsidRDefault="000924EA" w:rsidP="000924EA">
      <w:pPr>
        <w:pStyle w:val="BHTexto"/>
        <w:numPr>
          <w:ilvl w:val="0"/>
          <w:numId w:val="83"/>
        </w:numPr>
        <w:rPr>
          <w:lang w:val="es-ES"/>
        </w:rPr>
      </w:pPr>
      <w:r w:rsidRPr="00AE4E8D">
        <w:rPr>
          <w:lang w:val="es-ES"/>
        </w:rPr>
        <w:t>Supervisar el cumplimiento de la política de remuneraciones a los integrantes del Directorio y de la Gerencia General;</w:t>
      </w:r>
    </w:p>
    <w:p w14:paraId="7029154D" w14:textId="77777777" w:rsidR="000924EA" w:rsidRPr="00AE4E8D" w:rsidRDefault="000924EA" w:rsidP="000924EA">
      <w:pPr>
        <w:pStyle w:val="BHTexto"/>
        <w:numPr>
          <w:ilvl w:val="0"/>
          <w:numId w:val="83"/>
        </w:numPr>
        <w:rPr>
          <w:lang w:val="es-ES"/>
        </w:rPr>
      </w:pPr>
      <w:r w:rsidRPr="00AE4E8D">
        <w:rPr>
          <w:lang w:val="es-ES"/>
        </w:rPr>
        <w:t>Proponer modificaciones a nuestro Código de Gobierno Societario y nuestras subsidiarias; y</w:t>
      </w:r>
    </w:p>
    <w:p w14:paraId="73231990" w14:textId="77777777" w:rsidR="000924EA" w:rsidRPr="00AE4E8D" w:rsidRDefault="000924EA" w:rsidP="000924EA">
      <w:pPr>
        <w:pStyle w:val="BHTexto"/>
        <w:numPr>
          <w:ilvl w:val="0"/>
          <w:numId w:val="83"/>
        </w:numPr>
        <w:rPr>
          <w:lang w:val="es-ES"/>
        </w:rPr>
      </w:pPr>
      <w:r w:rsidRPr="00AE4E8D">
        <w:rPr>
          <w:lang w:val="es-ES"/>
        </w:rPr>
        <w:lastRenderedPageBreak/>
        <w:t>Tomar conocimiento de los riesgos de cumplimiento normativo asociados al negocio, incluyendo los relacionados al desarrollo de nuevos productos y prácticas comerciales a través de los informes que produzcan las áreas competentes.</w:t>
      </w:r>
    </w:p>
    <w:p w14:paraId="2498AD6A" w14:textId="77777777" w:rsidR="000924EA" w:rsidRPr="00AE4E8D" w:rsidRDefault="000924EA" w:rsidP="000924EA">
      <w:pPr>
        <w:keepNext/>
        <w:autoSpaceDE w:val="0"/>
        <w:autoSpaceDN w:val="0"/>
        <w:adjustRightInd w:val="0"/>
        <w:spacing w:after="120"/>
        <w:jc w:val="both"/>
        <w:outlineLvl w:val="4"/>
        <w:rPr>
          <w:rFonts w:ascii="Times New Roman" w:hAnsi="Times New Roman"/>
          <w:b/>
          <w:lang w:val="es-ES"/>
        </w:rPr>
      </w:pPr>
      <w:r w:rsidRPr="00AE4E8D">
        <w:rPr>
          <w:rFonts w:ascii="Times New Roman" w:hAnsi="Times New Roman"/>
          <w:b/>
          <w:lang w:val="es-ES"/>
        </w:rPr>
        <w:t>Comité de Ética</w:t>
      </w:r>
    </w:p>
    <w:p w14:paraId="104177FA" w14:textId="77777777" w:rsidR="000924EA" w:rsidRPr="00AE4E8D" w:rsidRDefault="000924EA" w:rsidP="000924EA">
      <w:pPr>
        <w:pStyle w:val="BHTexto"/>
        <w:rPr>
          <w:color w:val="000000"/>
          <w:lang w:val="es-ES"/>
        </w:rPr>
      </w:pPr>
      <w:r w:rsidRPr="00AE4E8D">
        <w:rPr>
          <w:lang w:val="es-ES"/>
        </w:rPr>
        <w:t>La tabla que aparece a continuación detalla la composición de nuestro Comité de Ética:</w:t>
      </w:r>
    </w:p>
    <w:tbl>
      <w:tblPr>
        <w:tblW w:w="4992" w:type="pct"/>
        <w:tblLayout w:type="fixed"/>
        <w:tblLook w:val="00A0" w:firstRow="1" w:lastRow="0" w:firstColumn="1" w:lastColumn="0" w:noHBand="0" w:noVBand="0"/>
      </w:tblPr>
      <w:tblGrid>
        <w:gridCol w:w="4742"/>
        <w:gridCol w:w="236"/>
        <w:gridCol w:w="3729"/>
      </w:tblGrid>
      <w:tr w:rsidR="000924EA" w:rsidRPr="00AE4E8D" w14:paraId="524C42B6" w14:textId="77777777" w:rsidTr="000400C8">
        <w:trPr>
          <w:trHeight w:val="322"/>
        </w:trPr>
        <w:tc>
          <w:tcPr>
            <w:tcW w:w="2727" w:type="pct"/>
            <w:tcBorders>
              <w:bottom w:val="single" w:sz="4" w:space="0" w:color="auto"/>
            </w:tcBorders>
          </w:tcPr>
          <w:p w14:paraId="3AA47BB3" w14:textId="77777777" w:rsidR="000924EA" w:rsidRPr="00AE4E8D" w:rsidRDefault="000924EA" w:rsidP="00232C94">
            <w:pPr>
              <w:rPr>
                <w:rFonts w:ascii="Times New Roman" w:hAnsi="Times New Roman"/>
                <w:b/>
                <w:lang w:val="es-ES"/>
              </w:rPr>
            </w:pPr>
            <w:r w:rsidRPr="00AE4E8D">
              <w:rPr>
                <w:rFonts w:ascii="Times New Roman" w:hAnsi="Times New Roman"/>
                <w:b/>
                <w:lang w:val="es-ES"/>
              </w:rPr>
              <w:t>Titulares</w:t>
            </w:r>
          </w:p>
        </w:tc>
        <w:tc>
          <w:tcPr>
            <w:tcW w:w="128" w:type="pct"/>
          </w:tcPr>
          <w:p w14:paraId="532A5F9D" w14:textId="77777777" w:rsidR="000924EA" w:rsidRPr="00AE4E8D" w:rsidRDefault="000924EA" w:rsidP="00232C94">
            <w:pPr>
              <w:rPr>
                <w:rFonts w:ascii="Times New Roman" w:hAnsi="Times New Roman"/>
                <w:b/>
                <w:lang w:val="es-ES"/>
              </w:rPr>
            </w:pPr>
          </w:p>
        </w:tc>
        <w:tc>
          <w:tcPr>
            <w:tcW w:w="2145" w:type="pct"/>
            <w:tcBorders>
              <w:bottom w:val="single" w:sz="4" w:space="0" w:color="auto"/>
            </w:tcBorders>
          </w:tcPr>
          <w:p w14:paraId="1BA2DEDB" w14:textId="77777777" w:rsidR="000924EA" w:rsidRPr="00AE4E8D" w:rsidRDefault="000924EA" w:rsidP="00232C94">
            <w:pPr>
              <w:rPr>
                <w:rFonts w:ascii="Times New Roman" w:hAnsi="Times New Roman"/>
                <w:b/>
                <w:lang w:val="es-ES"/>
              </w:rPr>
            </w:pPr>
            <w:r w:rsidRPr="00AE4E8D">
              <w:rPr>
                <w:rFonts w:ascii="Times New Roman" w:hAnsi="Times New Roman"/>
                <w:b/>
                <w:lang w:val="es-ES"/>
              </w:rPr>
              <w:t>Cargo</w:t>
            </w:r>
          </w:p>
        </w:tc>
      </w:tr>
      <w:tr w:rsidR="000924EA" w:rsidRPr="00AE4E8D" w14:paraId="61FDE8A5" w14:textId="77777777" w:rsidTr="000400C8">
        <w:tc>
          <w:tcPr>
            <w:tcW w:w="2727" w:type="pct"/>
          </w:tcPr>
          <w:p w14:paraId="52A82113"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Martín Lanfranco</w:t>
            </w:r>
            <w:r w:rsidRPr="00AE4E8D">
              <w:rPr>
                <w:rFonts w:ascii="Times New Roman" w:hAnsi="Times New Roman"/>
                <w:lang w:val="es-ES"/>
              </w:rPr>
              <w:tab/>
            </w:r>
          </w:p>
        </w:tc>
        <w:tc>
          <w:tcPr>
            <w:tcW w:w="128" w:type="pct"/>
          </w:tcPr>
          <w:p w14:paraId="1709B165" w14:textId="77777777" w:rsidR="000924EA" w:rsidRPr="00AE4E8D" w:rsidRDefault="000924EA" w:rsidP="00232C94">
            <w:pPr>
              <w:rPr>
                <w:rFonts w:ascii="Times New Roman" w:hAnsi="Times New Roman"/>
                <w:lang w:val="es-ES"/>
              </w:rPr>
            </w:pPr>
          </w:p>
        </w:tc>
        <w:tc>
          <w:tcPr>
            <w:tcW w:w="2145" w:type="pct"/>
          </w:tcPr>
          <w:p w14:paraId="69E71AD9"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140E1534" w14:textId="77777777" w:rsidTr="000400C8">
        <w:tc>
          <w:tcPr>
            <w:tcW w:w="2727" w:type="pct"/>
          </w:tcPr>
          <w:p w14:paraId="64D2FEC5"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Carlos Pisula</w:t>
            </w:r>
            <w:r w:rsidRPr="00AE4E8D">
              <w:rPr>
                <w:rFonts w:ascii="Times New Roman" w:hAnsi="Times New Roman"/>
                <w:lang w:val="es-ES"/>
              </w:rPr>
              <w:tab/>
            </w:r>
          </w:p>
        </w:tc>
        <w:tc>
          <w:tcPr>
            <w:tcW w:w="128" w:type="pct"/>
          </w:tcPr>
          <w:p w14:paraId="0D84BCF0" w14:textId="77777777" w:rsidR="000924EA" w:rsidRPr="00AE4E8D" w:rsidRDefault="000924EA" w:rsidP="00232C94">
            <w:pPr>
              <w:rPr>
                <w:rFonts w:ascii="Times New Roman" w:hAnsi="Times New Roman"/>
                <w:lang w:val="es-ES"/>
              </w:rPr>
            </w:pPr>
          </w:p>
        </w:tc>
        <w:tc>
          <w:tcPr>
            <w:tcW w:w="2145" w:type="pct"/>
          </w:tcPr>
          <w:p w14:paraId="3850EFD8"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r w:rsidR="000924EA" w:rsidRPr="00AE4E8D" w14:paraId="0AAA3FC7" w14:textId="77777777" w:rsidTr="000400C8">
        <w:tc>
          <w:tcPr>
            <w:tcW w:w="2727" w:type="pct"/>
          </w:tcPr>
          <w:p w14:paraId="7B50164C" w14:textId="77777777" w:rsidR="000924EA" w:rsidRPr="00AE4E8D" w:rsidRDefault="000924EA" w:rsidP="00232C94">
            <w:pPr>
              <w:tabs>
                <w:tab w:val="left" w:leader="dot" w:pos="4814"/>
              </w:tabs>
              <w:rPr>
                <w:rFonts w:ascii="Times New Roman" w:hAnsi="Times New Roman"/>
                <w:lang w:val="es-ES"/>
              </w:rPr>
            </w:pPr>
            <w:r w:rsidRPr="00AE4E8D">
              <w:rPr>
                <w:rFonts w:ascii="Times New Roman" w:hAnsi="Times New Roman"/>
                <w:lang w:val="es-ES"/>
              </w:rPr>
              <w:t>Gabriel Reznik</w:t>
            </w:r>
            <w:r w:rsidRPr="00AE4E8D">
              <w:rPr>
                <w:rFonts w:ascii="Times New Roman" w:hAnsi="Times New Roman"/>
                <w:lang w:val="es-ES"/>
              </w:rPr>
              <w:tab/>
            </w:r>
          </w:p>
        </w:tc>
        <w:tc>
          <w:tcPr>
            <w:tcW w:w="128" w:type="pct"/>
          </w:tcPr>
          <w:p w14:paraId="4A745A78" w14:textId="77777777" w:rsidR="000924EA" w:rsidRPr="00AE4E8D" w:rsidRDefault="000924EA" w:rsidP="00232C94">
            <w:pPr>
              <w:rPr>
                <w:rFonts w:ascii="Times New Roman" w:hAnsi="Times New Roman"/>
                <w:lang w:val="es-ES"/>
              </w:rPr>
            </w:pPr>
          </w:p>
        </w:tc>
        <w:tc>
          <w:tcPr>
            <w:tcW w:w="2145" w:type="pct"/>
          </w:tcPr>
          <w:p w14:paraId="6CBF86FB" w14:textId="77777777" w:rsidR="000924EA" w:rsidRPr="00AE4E8D" w:rsidRDefault="000924EA" w:rsidP="00232C94">
            <w:pPr>
              <w:rPr>
                <w:rFonts w:ascii="Times New Roman" w:hAnsi="Times New Roman"/>
                <w:lang w:val="es-ES"/>
              </w:rPr>
            </w:pPr>
            <w:r w:rsidRPr="00AE4E8D">
              <w:rPr>
                <w:rFonts w:ascii="Times New Roman" w:hAnsi="Times New Roman"/>
                <w:lang w:val="es-ES"/>
              </w:rPr>
              <w:t>Director</w:t>
            </w:r>
          </w:p>
        </w:tc>
      </w:tr>
    </w:tbl>
    <w:p w14:paraId="405D5AAF" w14:textId="77777777" w:rsidR="000924EA" w:rsidRPr="00AE4E8D" w:rsidRDefault="000924EA" w:rsidP="000924EA">
      <w:pPr>
        <w:pStyle w:val="BHTexto"/>
        <w:rPr>
          <w:lang w:val="es-ES"/>
        </w:rPr>
      </w:pPr>
      <w:r w:rsidRPr="00AE4E8D">
        <w:rPr>
          <w:lang w:val="es-ES"/>
        </w:rPr>
        <w:t>El Comité de Ética tiene las siguientes funciones:</w:t>
      </w:r>
    </w:p>
    <w:p w14:paraId="586CB78D" w14:textId="77777777" w:rsidR="000924EA" w:rsidRPr="00AE4E8D" w:rsidRDefault="000924EA" w:rsidP="000924EA">
      <w:pPr>
        <w:pStyle w:val="BHTexto"/>
        <w:numPr>
          <w:ilvl w:val="0"/>
          <w:numId w:val="84"/>
        </w:numPr>
        <w:rPr>
          <w:lang w:val="es-ES"/>
        </w:rPr>
      </w:pPr>
      <w:r w:rsidRPr="00AE4E8D">
        <w:rPr>
          <w:lang w:val="es-ES"/>
        </w:rPr>
        <w:t xml:space="preserve">Resolver cuestiones relativas a la interpretación del código de ética relacionadas con la actuación de los directores, de la Gerencia General o de los gerentes de área. </w:t>
      </w:r>
    </w:p>
    <w:p w14:paraId="5DCA7D1A" w14:textId="77777777" w:rsidR="000924EA" w:rsidRPr="00AE4E8D" w:rsidRDefault="000924EA" w:rsidP="000924EA">
      <w:pPr>
        <w:pStyle w:val="BHTexto"/>
        <w:numPr>
          <w:ilvl w:val="0"/>
          <w:numId w:val="84"/>
        </w:numPr>
        <w:rPr>
          <w:lang w:val="es-ES"/>
        </w:rPr>
      </w:pPr>
      <w:r w:rsidRPr="00AE4E8D">
        <w:rPr>
          <w:lang w:val="es-ES"/>
        </w:rPr>
        <w:t>Iniciar investigaciones a partir de denuncias recibidas de nuestros empleados por posibles desvíos en el cumplimiento del código de ética de estos funcionarios.</w:t>
      </w:r>
    </w:p>
    <w:p w14:paraId="3C2E4954" w14:textId="77777777" w:rsidR="000924EA" w:rsidRPr="00AE4E8D" w:rsidRDefault="000924EA" w:rsidP="000924EA">
      <w:pPr>
        <w:pStyle w:val="BHTexto"/>
        <w:numPr>
          <w:ilvl w:val="0"/>
          <w:numId w:val="84"/>
        </w:numPr>
        <w:rPr>
          <w:lang w:val="es-ES"/>
        </w:rPr>
      </w:pPr>
      <w:r w:rsidRPr="00AE4E8D">
        <w:rPr>
          <w:lang w:val="es-ES"/>
        </w:rPr>
        <w:t xml:space="preserve">Aplicar las disposiciones del código de ética. Cada caso será tratado de manera confidencial por el Comité de Ética. Bajo ninguna circunstancia se tomarán medidas adversas contra la persona que efectúa una consulta o contra quien de buena fe denunciara un posible ilícito o situación anormal que a su criterio se aparte de lo normado por el código de ética, alguna ley, regulación o el nuestro procedimiento interno. </w:t>
      </w:r>
    </w:p>
    <w:p w14:paraId="56BFF128" w14:textId="77777777" w:rsidR="000924EA" w:rsidRPr="00AE4E8D" w:rsidRDefault="000924EA" w:rsidP="000924EA">
      <w:pPr>
        <w:keepNext/>
        <w:autoSpaceDE w:val="0"/>
        <w:autoSpaceDN w:val="0"/>
        <w:adjustRightInd w:val="0"/>
        <w:spacing w:before="240" w:after="240"/>
        <w:outlineLvl w:val="1"/>
        <w:rPr>
          <w:rFonts w:ascii="Times New Roman" w:hAnsi="Times New Roman"/>
          <w:b/>
          <w:lang w:val="es-ES"/>
        </w:rPr>
      </w:pPr>
      <w:bookmarkStart w:id="624" w:name="_Toc495973042"/>
      <w:bookmarkStart w:id="625" w:name="_Toc495399949"/>
      <w:r w:rsidRPr="00AE4E8D">
        <w:rPr>
          <w:rFonts w:ascii="Times New Roman" w:hAnsi="Times New Roman"/>
          <w:b/>
          <w:lang w:val="es-ES"/>
        </w:rPr>
        <w:t>e) Empleados</w:t>
      </w:r>
      <w:bookmarkEnd w:id="624"/>
      <w:bookmarkEnd w:id="625"/>
    </w:p>
    <w:p w14:paraId="1C937CFA" w14:textId="77777777" w:rsidR="000924EA" w:rsidRPr="00AE4E8D" w:rsidRDefault="000924EA" w:rsidP="000924EA">
      <w:pPr>
        <w:autoSpaceDE w:val="0"/>
        <w:autoSpaceDN w:val="0"/>
        <w:adjustRightInd w:val="0"/>
        <w:spacing w:before="120" w:after="120"/>
        <w:jc w:val="both"/>
        <w:rPr>
          <w:rFonts w:ascii="Times New Roman" w:hAnsi="Times New Roman"/>
          <w:lang w:val="es-ES" w:eastAsia="es-AR"/>
        </w:rPr>
      </w:pPr>
      <w:r w:rsidRPr="00AE4E8D">
        <w:rPr>
          <w:rStyle w:val="BHTextoCar"/>
          <w:lang w:val="es-ES"/>
        </w:rPr>
        <w:t>El siguiente cuadro detalla a continuación la dotación de nuestro personal al 31 de diciembre de 2014, 2015 y</w:t>
      </w:r>
      <w:r w:rsidRPr="00AE4E8D">
        <w:rPr>
          <w:rFonts w:ascii="Times New Roman" w:hAnsi="Times New Roman"/>
          <w:lang w:val="es-ES"/>
        </w:rPr>
        <w:t xml:space="preserve"> 2016 y al 30 de junio de 2017</w:t>
      </w:r>
      <w:r w:rsidRPr="00AE4E8D">
        <w:rPr>
          <w:rFonts w:ascii="Times New Roman" w:hAnsi="Times New Roman"/>
          <w:lang w:val="es-ES" w:eastAsia="es-AR"/>
        </w:rPr>
        <w:t xml:space="preserve">: </w:t>
      </w:r>
    </w:p>
    <w:p w14:paraId="612E3672" w14:textId="77777777" w:rsidR="000924EA" w:rsidRPr="00AE4E8D" w:rsidRDefault="000924EA" w:rsidP="000924EA">
      <w:pPr>
        <w:autoSpaceDE w:val="0"/>
        <w:autoSpaceDN w:val="0"/>
        <w:adjustRightInd w:val="0"/>
        <w:spacing w:before="120" w:after="120"/>
        <w:jc w:val="both"/>
        <w:rPr>
          <w:rFonts w:ascii="Times New Roman" w:hAnsi="Times New Roman"/>
          <w:lang w:val="es-ES" w:eastAsia="es-AR"/>
        </w:rPr>
      </w:pPr>
    </w:p>
    <w:tbl>
      <w:tblPr>
        <w:tblW w:w="5000" w:type="pct"/>
        <w:jc w:val="center"/>
        <w:tblLook w:val="04A0" w:firstRow="1" w:lastRow="0" w:firstColumn="1" w:lastColumn="0" w:noHBand="0" w:noVBand="1"/>
      </w:tblPr>
      <w:tblGrid>
        <w:gridCol w:w="2322"/>
        <w:gridCol w:w="1377"/>
        <w:gridCol w:w="1465"/>
        <w:gridCol w:w="1475"/>
        <w:gridCol w:w="2082"/>
      </w:tblGrid>
      <w:tr w:rsidR="000924EA" w:rsidRPr="00AE4E8D" w14:paraId="2BA8E57C" w14:textId="77777777" w:rsidTr="000400C8">
        <w:trPr>
          <w:trHeight w:val="282"/>
          <w:jc w:val="center"/>
        </w:trPr>
        <w:tc>
          <w:tcPr>
            <w:tcW w:w="1274" w:type="pct"/>
            <w:tcBorders>
              <w:top w:val="nil"/>
              <w:left w:val="nil"/>
              <w:bottom w:val="nil"/>
              <w:right w:val="nil"/>
            </w:tcBorders>
            <w:shd w:val="clear" w:color="auto" w:fill="auto"/>
            <w:vAlign w:val="bottom"/>
          </w:tcPr>
          <w:p w14:paraId="44EB9306" w14:textId="77777777" w:rsidR="000924EA" w:rsidRPr="00AE4E8D" w:rsidRDefault="000924EA" w:rsidP="00232C94">
            <w:pPr>
              <w:autoSpaceDE w:val="0"/>
              <w:autoSpaceDN w:val="0"/>
              <w:adjustRightInd w:val="0"/>
              <w:rPr>
                <w:rFonts w:ascii="Times New Roman" w:eastAsia="Calibri" w:hAnsi="Times New Roman"/>
                <w:lang w:val="es-ES" w:eastAsia="es-AR"/>
              </w:rPr>
            </w:pPr>
          </w:p>
        </w:tc>
        <w:tc>
          <w:tcPr>
            <w:tcW w:w="2518" w:type="pct"/>
            <w:gridSpan w:val="3"/>
            <w:tcBorders>
              <w:top w:val="nil"/>
              <w:left w:val="nil"/>
              <w:bottom w:val="single" w:sz="8" w:space="0" w:color="auto"/>
              <w:right w:val="nil"/>
            </w:tcBorders>
            <w:shd w:val="clear" w:color="auto" w:fill="auto"/>
            <w:vAlign w:val="center"/>
          </w:tcPr>
          <w:p w14:paraId="1C741E54" w14:textId="77777777" w:rsidR="000924EA" w:rsidRPr="00AE4E8D" w:rsidRDefault="000924EA" w:rsidP="00232C94">
            <w:pPr>
              <w:widowControl w:val="0"/>
              <w:tabs>
                <w:tab w:val="right" w:leader="dot" w:pos="5310"/>
              </w:tabs>
              <w:autoSpaceDE w:val="0"/>
              <w:autoSpaceDN w:val="0"/>
              <w:adjustRightInd w:val="0"/>
              <w:ind w:left="388"/>
              <w:jc w:val="center"/>
              <w:rPr>
                <w:rFonts w:ascii="Times New Roman" w:eastAsia="Calibri" w:hAnsi="Times New Roman"/>
                <w:b/>
                <w:bCs/>
                <w:lang w:val="es-ES" w:eastAsia="es-ES"/>
              </w:rPr>
            </w:pPr>
            <w:r w:rsidRPr="00AE4E8D">
              <w:rPr>
                <w:rFonts w:ascii="Times New Roman" w:eastAsia="Calibri" w:hAnsi="Times New Roman"/>
                <w:b/>
                <w:bCs/>
                <w:lang w:val="es-ES" w:eastAsia="es-ES"/>
              </w:rPr>
              <w:t>Al 31 de diciembre de</w:t>
            </w:r>
          </w:p>
        </w:tc>
        <w:tc>
          <w:tcPr>
            <w:tcW w:w="1208" w:type="pct"/>
            <w:tcBorders>
              <w:top w:val="nil"/>
              <w:left w:val="nil"/>
              <w:bottom w:val="single" w:sz="8" w:space="0" w:color="auto"/>
              <w:right w:val="nil"/>
            </w:tcBorders>
          </w:tcPr>
          <w:p w14:paraId="2DBC4B7E" w14:textId="77777777" w:rsidR="000924EA" w:rsidRPr="00AE4E8D" w:rsidRDefault="000924EA" w:rsidP="00232C94">
            <w:pPr>
              <w:widowControl w:val="0"/>
              <w:tabs>
                <w:tab w:val="right" w:leader="dot" w:pos="5310"/>
              </w:tabs>
              <w:autoSpaceDE w:val="0"/>
              <w:autoSpaceDN w:val="0"/>
              <w:adjustRightInd w:val="0"/>
              <w:jc w:val="center"/>
              <w:rPr>
                <w:rFonts w:ascii="Times New Roman" w:eastAsia="Calibri" w:hAnsi="Times New Roman"/>
                <w:b/>
                <w:bCs/>
                <w:lang w:val="es-ES" w:eastAsia="es-ES"/>
              </w:rPr>
            </w:pPr>
            <w:r w:rsidRPr="00AE4E8D">
              <w:rPr>
                <w:rFonts w:ascii="Times New Roman" w:eastAsia="Calibri" w:hAnsi="Times New Roman"/>
                <w:b/>
                <w:bCs/>
                <w:lang w:val="es-ES" w:eastAsia="es-ES"/>
              </w:rPr>
              <w:t>Al 30 de junio de</w:t>
            </w:r>
          </w:p>
        </w:tc>
      </w:tr>
      <w:tr w:rsidR="003B5193" w:rsidRPr="00AE4E8D" w14:paraId="523819AC" w14:textId="77777777" w:rsidTr="00232C94">
        <w:trPr>
          <w:trHeight w:val="282"/>
          <w:jc w:val="center"/>
        </w:trPr>
        <w:tc>
          <w:tcPr>
            <w:tcW w:w="1274" w:type="pct"/>
            <w:tcBorders>
              <w:top w:val="nil"/>
              <w:left w:val="nil"/>
              <w:bottom w:val="nil"/>
              <w:right w:val="nil"/>
            </w:tcBorders>
            <w:shd w:val="clear" w:color="auto" w:fill="auto"/>
            <w:vAlign w:val="bottom"/>
          </w:tcPr>
          <w:p w14:paraId="09788F2E" w14:textId="77777777" w:rsidR="000924EA" w:rsidRPr="00AE4E8D" w:rsidRDefault="000924EA" w:rsidP="00232C94">
            <w:pPr>
              <w:autoSpaceDE w:val="0"/>
              <w:autoSpaceDN w:val="0"/>
              <w:adjustRightInd w:val="0"/>
              <w:jc w:val="center"/>
              <w:rPr>
                <w:rFonts w:ascii="Times New Roman" w:eastAsia="Calibri" w:hAnsi="Times New Roman"/>
                <w:lang w:val="es-ES" w:eastAsia="es-AR"/>
              </w:rPr>
            </w:pPr>
          </w:p>
        </w:tc>
        <w:tc>
          <w:tcPr>
            <w:tcW w:w="804" w:type="pct"/>
            <w:tcBorders>
              <w:top w:val="nil"/>
              <w:left w:val="nil"/>
              <w:bottom w:val="single" w:sz="8" w:space="0" w:color="auto"/>
              <w:right w:val="nil"/>
            </w:tcBorders>
            <w:vAlign w:val="center"/>
          </w:tcPr>
          <w:p w14:paraId="711995F9" w14:textId="77777777" w:rsidR="000924EA" w:rsidRPr="00AE4E8D" w:rsidRDefault="000924EA" w:rsidP="00232C94">
            <w:pPr>
              <w:autoSpaceDE w:val="0"/>
              <w:autoSpaceDN w:val="0"/>
              <w:adjustRightInd w:val="0"/>
              <w:jc w:val="center"/>
              <w:rPr>
                <w:rFonts w:ascii="Times New Roman" w:eastAsia="Calibri" w:hAnsi="Times New Roman"/>
                <w:b/>
                <w:bCs/>
                <w:lang w:val="es-ES" w:eastAsia="es-ES"/>
              </w:rPr>
            </w:pPr>
            <w:r w:rsidRPr="00AE4E8D">
              <w:rPr>
                <w:rFonts w:ascii="Times New Roman" w:eastAsia="Calibri" w:hAnsi="Times New Roman"/>
                <w:b/>
                <w:bCs/>
                <w:lang w:val="es-ES" w:eastAsia="es-ES"/>
              </w:rPr>
              <w:t>2014</w:t>
            </w:r>
          </w:p>
        </w:tc>
        <w:tc>
          <w:tcPr>
            <w:tcW w:w="854" w:type="pct"/>
            <w:tcBorders>
              <w:top w:val="nil"/>
              <w:left w:val="nil"/>
              <w:bottom w:val="single" w:sz="8" w:space="0" w:color="auto"/>
              <w:right w:val="nil"/>
            </w:tcBorders>
            <w:vAlign w:val="center"/>
          </w:tcPr>
          <w:p w14:paraId="7D9B6F7C" w14:textId="77777777" w:rsidR="000924EA" w:rsidRPr="00AE4E8D" w:rsidRDefault="000924EA" w:rsidP="00232C94">
            <w:pPr>
              <w:widowControl w:val="0"/>
              <w:tabs>
                <w:tab w:val="right" w:leader="dot" w:pos="5310"/>
              </w:tabs>
              <w:autoSpaceDE w:val="0"/>
              <w:autoSpaceDN w:val="0"/>
              <w:adjustRightInd w:val="0"/>
              <w:ind w:left="388"/>
              <w:jc w:val="center"/>
              <w:rPr>
                <w:rFonts w:ascii="Times New Roman" w:eastAsia="Calibri" w:hAnsi="Times New Roman"/>
                <w:b/>
                <w:bCs/>
                <w:lang w:val="es-ES" w:eastAsia="es-ES"/>
              </w:rPr>
            </w:pPr>
            <w:r w:rsidRPr="00AE4E8D">
              <w:rPr>
                <w:rFonts w:ascii="Times New Roman" w:eastAsia="Calibri" w:hAnsi="Times New Roman"/>
                <w:b/>
                <w:lang w:val="es-ES" w:eastAsia="es-AR"/>
              </w:rPr>
              <w:t>2015</w:t>
            </w:r>
          </w:p>
        </w:tc>
        <w:tc>
          <w:tcPr>
            <w:tcW w:w="859" w:type="pct"/>
            <w:tcBorders>
              <w:top w:val="nil"/>
              <w:left w:val="nil"/>
              <w:bottom w:val="single" w:sz="8" w:space="0" w:color="auto"/>
              <w:right w:val="nil"/>
            </w:tcBorders>
            <w:vAlign w:val="center"/>
          </w:tcPr>
          <w:p w14:paraId="4F10D5F7" w14:textId="77777777" w:rsidR="000924EA" w:rsidRPr="00AE4E8D" w:rsidRDefault="000924EA" w:rsidP="00232C94">
            <w:pPr>
              <w:autoSpaceDE w:val="0"/>
              <w:autoSpaceDN w:val="0"/>
              <w:adjustRightInd w:val="0"/>
              <w:jc w:val="center"/>
              <w:rPr>
                <w:rFonts w:ascii="Times New Roman" w:eastAsia="Calibri" w:hAnsi="Times New Roman"/>
                <w:b/>
                <w:lang w:val="es-ES" w:eastAsia="es-AR"/>
              </w:rPr>
            </w:pPr>
            <w:r w:rsidRPr="00AE4E8D">
              <w:rPr>
                <w:rFonts w:ascii="Times New Roman" w:eastAsia="Calibri" w:hAnsi="Times New Roman"/>
                <w:b/>
                <w:lang w:val="es-ES" w:eastAsia="es-AR"/>
              </w:rPr>
              <w:t>2016</w:t>
            </w:r>
          </w:p>
        </w:tc>
        <w:tc>
          <w:tcPr>
            <w:tcW w:w="1208" w:type="pct"/>
            <w:tcBorders>
              <w:top w:val="nil"/>
              <w:left w:val="nil"/>
              <w:bottom w:val="single" w:sz="8" w:space="0" w:color="auto"/>
              <w:right w:val="nil"/>
            </w:tcBorders>
            <w:vAlign w:val="center"/>
          </w:tcPr>
          <w:p w14:paraId="53ED508D" w14:textId="77777777" w:rsidR="000924EA" w:rsidRPr="00AE4E8D" w:rsidRDefault="000924EA" w:rsidP="00232C94">
            <w:pPr>
              <w:autoSpaceDE w:val="0"/>
              <w:autoSpaceDN w:val="0"/>
              <w:adjustRightInd w:val="0"/>
              <w:jc w:val="center"/>
              <w:rPr>
                <w:rFonts w:ascii="Times New Roman" w:eastAsia="Calibri" w:hAnsi="Times New Roman"/>
                <w:b/>
                <w:lang w:val="es-ES" w:eastAsia="es-AR"/>
              </w:rPr>
            </w:pPr>
            <w:r w:rsidRPr="00AE4E8D">
              <w:rPr>
                <w:rFonts w:ascii="Times New Roman" w:eastAsia="Calibri" w:hAnsi="Times New Roman"/>
                <w:b/>
                <w:lang w:val="es-ES" w:eastAsia="es-AR"/>
              </w:rPr>
              <w:t>2017</w:t>
            </w:r>
          </w:p>
        </w:tc>
      </w:tr>
      <w:tr w:rsidR="000924EA" w:rsidRPr="00AE4E8D" w14:paraId="7C677AED" w14:textId="77777777" w:rsidTr="000400C8">
        <w:trPr>
          <w:trHeight w:val="267"/>
          <w:jc w:val="center"/>
        </w:trPr>
        <w:tc>
          <w:tcPr>
            <w:tcW w:w="1274" w:type="pct"/>
            <w:tcBorders>
              <w:top w:val="nil"/>
              <w:left w:val="nil"/>
              <w:bottom w:val="nil"/>
              <w:right w:val="nil"/>
            </w:tcBorders>
            <w:shd w:val="clear" w:color="auto" w:fill="auto"/>
            <w:vAlign w:val="bottom"/>
          </w:tcPr>
          <w:p w14:paraId="4D3DBD44" w14:textId="77777777" w:rsidR="000924EA" w:rsidRPr="00AE4E8D" w:rsidRDefault="000924EA" w:rsidP="00232C94">
            <w:pPr>
              <w:autoSpaceDE w:val="0"/>
              <w:autoSpaceDN w:val="0"/>
              <w:adjustRightInd w:val="0"/>
              <w:rPr>
                <w:rFonts w:ascii="Times New Roman" w:eastAsia="Calibri" w:hAnsi="Times New Roman"/>
                <w:lang w:val="es-ES" w:eastAsia="es-AR"/>
              </w:rPr>
            </w:pPr>
            <w:r w:rsidRPr="00AE4E8D">
              <w:rPr>
                <w:rFonts w:ascii="Times New Roman" w:eastAsia="Calibri" w:hAnsi="Times New Roman"/>
                <w:lang w:val="es-ES" w:eastAsia="es-AR"/>
              </w:rPr>
              <w:t>Casa Central…………….</w:t>
            </w:r>
          </w:p>
        </w:tc>
        <w:tc>
          <w:tcPr>
            <w:tcW w:w="804" w:type="pct"/>
            <w:tcBorders>
              <w:top w:val="nil"/>
              <w:left w:val="nil"/>
              <w:bottom w:val="nil"/>
              <w:right w:val="nil"/>
            </w:tcBorders>
            <w:vAlign w:val="bottom"/>
          </w:tcPr>
          <w:p w14:paraId="5492B51D" w14:textId="77777777" w:rsidR="000924EA" w:rsidRPr="00AE4E8D" w:rsidRDefault="000924EA" w:rsidP="00232C94">
            <w:pPr>
              <w:autoSpaceDE w:val="0"/>
              <w:autoSpaceDN w:val="0"/>
              <w:adjustRightInd w:val="0"/>
              <w:jc w:val="right"/>
              <w:rPr>
                <w:rFonts w:ascii="Times New Roman" w:eastAsia="Calibri" w:hAnsi="Times New Roman"/>
                <w:lang w:val="es-ES" w:eastAsia="es-ES"/>
              </w:rPr>
            </w:pPr>
            <w:r w:rsidRPr="00AE4E8D">
              <w:rPr>
                <w:rFonts w:ascii="Times New Roman" w:eastAsia="Calibri" w:hAnsi="Times New Roman"/>
                <w:lang w:val="es-ES" w:eastAsia="es-AR"/>
              </w:rPr>
              <w:t>1.682</w:t>
            </w:r>
          </w:p>
        </w:tc>
        <w:tc>
          <w:tcPr>
            <w:tcW w:w="854" w:type="pct"/>
            <w:tcBorders>
              <w:top w:val="nil"/>
              <w:left w:val="nil"/>
              <w:bottom w:val="nil"/>
              <w:right w:val="nil"/>
            </w:tcBorders>
            <w:vAlign w:val="bottom"/>
          </w:tcPr>
          <w:p w14:paraId="1B3B0A74" w14:textId="77777777" w:rsidR="000924EA" w:rsidRPr="00AE4E8D" w:rsidRDefault="000924EA" w:rsidP="00232C94">
            <w:pPr>
              <w:autoSpaceDE w:val="0"/>
              <w:autoSpaceDN w:val="0"/>
              <w:adjustRightInd w:val="0"/>
              <w:jc w:val="right"/>
              <w:rPr>
                <w:rFonts w:ascii="Times New Roman" w:eastAsia="Calibri" w:hAnsi="Times New Roman"/>
                <w:lang w:val="es-ES" w:eastAsia="es-ES"/>
              </w:rPr>
            </w:pPr>
            <w:r w:rsidRPr="00AE4E8D">
              <w:rPr>
                <w:rFonts w:ascii="Times New Roman" w:eastAsia="Calibri" w:hAnsi="Times New Roman"/>
                <w:lang w:val="es-ES" w:eastAsia="es-AR"/>
              </w:rPr>
              <w:t>1.574</w:t>
            </w:r>
          </w:p>
        </w:tc>
        <w:tc>
          <w:tcPr>
            <w:tcW w:w="859" w:type="pct"/>
            <w:tcBorders>
              <w:top w:val="nil"/>
              <w:left w:val="nil"/>
              <w:bottom w:val="nil"/>
              <w:right w:val="nil"/>
            </w:tcBorders>
            <w:vAlign w:val="bottom"/>
          </w:tcPr>
          <w:p w14:paraId="430CD3B7" w14:textId="77777777" w:rsidR="000924EA" w:rsidRPr="00AE4E8D" w:rsidRDefault="000924EA" w:rsidP="00232C94">
            <w:pPr>
              <w:autoSpaceDE w:val="0"/>
              <w:autoSpaceDN w:val="0"/>
              <w:adjustRightInd w:val="0"/>
              <w:jc w:val="right"/>
              <w:rPr>
                <w:rFonts w:ascii="Times New Roman" w:eastAsia="Calibri" w:hAnsi="Times New Roman"/>
                <w:lang w:val="es-ES" w:eastAsia="es-AR"/>
              </w:rPr>
            </w:pPr>
            <w:r w:rsidRPr="00AE4E8D">
              <w:rPr>
                <w:rFonts w:ascii="Times New Roman" w:eastAsia="Calibri" w:hAnsi="Times New Roman"/>
                <w:lang w:val="es-ES" w:eastAsia="es-AR"/>
              </w:rPr>
              <w:t>1.416</w:t>
            </w:r>
          </w:p>
        </w:tc>
        <w:tc>
          <w:tcPr>
            <w:tcW w:w="1208" w:type="pct"/>
            <w:tcBorders>
              <w:top w:val="nil"/>
              <w:left w:val="nil"/>
              <w:bottom w:val="nil"/>
              <w:right w:val="nil"/>
            </w:tcBorders>
            <w:vAlign w:val="bottom"/>
          </w:tcPr>
          <w:p w14:paraId="5E22E992" w14:textId="77777777" w:rsidR="000924EA" w:rsidRPr="00AE4E8D" w:rsidRDefault="000924EA" w:rsidP="00232C94">
            <w:pPr>
              <w:autoSpaceDE w:val="0"/>
              <w:autoSpaceDN w:val="0"/>
              <w:adjustRightInd w:val="0"/>
              <w:jc w:val="right"/>
              <w:rPr>
                <w:rFonts w:ascii="Times New Roman" w:eastAsia="Calibri" w:hAnsi="Times New Roman"/>
                <w:lang w:val="es-ES" w:eastAsia="es-AR"/>
              </w:rPr>
            </w:pPr>
            <w:r w:rsidRPr="00AE4E8D">
              <w:rPr>
                <w:rFonts w:ascii="Times New Roman" w:eastAsia="Calibri" w:hAnsi="Times New Roman"/>
                <w:lang w:val="es-ES" w:eastAsia="es-AR"/>
              </w:rPr>
              <w:t>1.321</w:t>
            </w:r>
          </w:p>
        </w:tc>
      </w:tr>
      <w:tr w:rsidR="000924EA" w:rsidRPr="00AE4E8D" w14:paraId="029B045A" w14:textId="77777777" w:rsidTr="000400C8">
        <w:trPr>
          <w:trHeight w:val="282"/>
          <w:jc w:val="center"/>
        </w:trPr>
        <w:tc>
          <w:tcPr>
            <w:tcW w:w="1274" w:type="pct"/>
            <w:tcBorders>
              <w:top w:val="nil"/>
              <w:left w:val="nil"/>
              <w:bottom w:val="nil"/>
              <w:right w:val="nil"/>
            </w:tcBorders>
            <w:shd w:val="clear" w:color="auto" w:fill="auto"/>
            <w:vAlign w:val="bottom"/>
          </w:tcPr>
          <w:p w14:paraId="28E3BDBA" w14:textId="77777777" w:rsidR="000924EA" w:rsidRPr="00AE4E8D" w:rsidRDefault="000924EA" w:rsidP="00232C94">
            <w:pPr>
              <w:autoSpaceDE w:val="0"/>
              <w:autoSpaceDN w:val="0"/>
              <w:adjustRightInd w:val="0"/>
              <w:rPr>
                <w:rFonts w:ascii="Times New Roman" w:eastAsia="Calibri" w:hAnsi="Times New Roman"/>
                <w:lang w:val="es-ES" w:eastAsia="es-AR"/>
              </w:rPr>
            </w:pPr>
            <w:r w:rsidRPr="00AE4E8D">
              <w:rPr>
                <w:rFonts w:ascii="Times New Roman" w:eastAsia="Calibri" w:hAnsi="Times New Roman"/>
                <w:lang w:val="es-ES" w:eastAsia="es-AR"/>
              </w:rPr>
              <w:t>Sucursales……………….</w:t>
            </w:r>
          </w:p>
        </w:tc>
        <w:tc>
          <w:tcPr>
            <w:tcW w:w="804" w:type="pct"/>
            <w:tcBorders>
              <w:top w:val="nil"/>
              <w:left w:val="nil"/>
              <w:bottom w:val="single" w:sz="8" w:space="0" w:color="auto"/>
              <w:right w:val="nil"/>
            </w:tcBorders>
            <w:vAlign w:val="bottom"/>
          </w:tcPr>
          <w:p w14:paraId="43F24423" w14:textId="77777777" w:rsidR="000924EA" w:rsidRPr="00AE4E8D" w:rsidRDefault="000924EA" w:rsidP="00232C94">
            <w:pPr>
              <w:autoSpaceDE w:val="0"/>
              <w:autoSpaceDN w:val="0"/>
              <w:adjustRightInd w:val="0"/>
              <w:jc w:val="right"/>
              <w:rPr>
                <w:rFonts w:ascii="Times New Roman" w:eastAsia="Calibri" w:hAnsi="Times New Roman"/>
                <w:lang w:val="es-ES" w:eastAsia="es-ES"/>
              </w:rPr>
            </w:pPr>
            <w:r w:rsidRPr="00AE4E8D">
              <w:rPr>
                <w:rFonts w:ascii="Times New Roman" w:eastAsia="Calibri" w:hAnsi="Times New Roman"/>
                <w:lang w:val="es-ES" w:eastAsia="es-AR"/>
              </w:rPr>
              <w:t>926</w:t>
            </w:r>
          </w:p>
        </w:tc>
        <w:tc>
          <w:tcPr>
            <w:tcW w:w="854" w:type="pct"/>
            <w:tcBorders>
              <w:top w:val="nil"/>
              <w:left w:val="nil"/>
              <w:bottom w:val="single" w:sz="8" w:space="0" w:color="auto"/>
              <w:right w:val="nil"/>
            </w:tcBorders>
            <w:vAlign w:val="bottom"/>
          </w:tcPr>
          <w:p w14:paraId="402CDC10" w14:textId="77777777" w:rsidR="000924EA" w:rsidRPr="00AE4E8D" w:rsidRDefault="000924EA" w:rsidP="00232C94">
            <w:pPr>
              <w:autoSpaceDE w:val="0"/>
              <w:autoSpaceDN w:val="0"/>
              <w:adjustRightInd w:val="0"/>
              <w:jc w:val="right"/>
              <w:rPr>
                <w:rFonts w:ascii="Times New Roman" w:eastAsia="Calibri" w:hAnsi="Times New Roman"/>
                <w:lang w:val="es-ES" w:eastAsia="es-ES"/>
              </w:rPr>
            </w:pPr>
            <w:r w:rsidRPr="00AE4E8D">
              <w:rPr>
                <w:rFonts w:ascii="Times New Roman" w:eastAsia="Calibri" w:hAnsi="Times New Roman"/>
                <w:lang w:val="es-ES" w:eastAsia="es-AR"/>
              </w:rPr>
              <w:t>863</w:t>
            </w:r>
          </w:p>
        </w:tc>
        <w:tc>
          <w:tcPr>
            <w:tcW w:w="859" w:type="pct"/>
            <w:tcBorders>
              <w:top w:val="nil"/>
              <w:left w:val="nil"/>
              <w:bottom w:val="single" w:sz="8" w:space="0" w:color="auto"/>
              <w:right w:val="nil"/>
            </w:tcBorders>
            <w:vAlign w:val="bottom"/>
          </w:tcPr>
          <w:p w14:paraId="14033A7E" w14:textId="77777777" w:rsidR="000924EA" w:rsidRPr="00AE4E8D" w:rsidRDefault="000924EA" w:rsidP="00232C94">
            <w:pPr>
              <w:autoSpaceDE w:val="0"/>
              <w:autoSpaceDN w:val="0"/>
              <w:adjustRightInd w:val="0"/>
              <w:jc w:val="right"/>
              <w:rPr>
                <w:rFonts w:ascii="Times New Roman" w:eastAsia="Calibri" w:hAnsi="Times New Roman"/>
                <w:lang w:val="es-ES" w:eastAsia="es-AR"/>
              </w:rPr>
            </w:pPr>
            <w:r w:rsidRPr="00AE4E8D">
              <w:rPr>
                <w:rFonts w:ascii="Times New Roman" w:eastAsia="Calibri" w:hAnsi="Times New Roman"/>
                <w:lang w:val="es-ES" w:eastAsia="es-AR"/>
              </w:rPr>
              <w:t>768</w:t>
            </w:r>
          </w:p>
        </w:tc>
        <w:tc>
          <w:tcPr>
            <w:tcW w:w="1208" w:type="pct"/>
            <w:tcBorders>
              <w:top w:val="nil"/>
              <w:left w:val="nil"/>
              <w:bottom w:val="single" w:sz="8" w:space="0" w:color="auto"/>
              <w:right w:val="nil"/>
            </w:tcBorders>
            <w:vAlign w:val="bottom"/>
          </w:tcPr>
          <w:p w14:paraId="5AE79DBB" w14:textId="77777777" w:rsidR="000924EA" w:rsidRPr="00AE4E8D" w:rsidRDefault="000924EA" w:rsidP="00232C94">
            <w:pPr>
              <w:autoSpaceDE w:val="0"/>
              <w:autoSpaceDN w:val="0"/>
              <w:adjustRightInd w:val="0"/>
              <w:jc w:val="right"/>
              <w:rPr>
                <w:rFonts w:ascii="Times New Roman" w:eastAsia="Calibri" w:hAnsi="Times New Roman"/>
                <w:lang w:val="es-ES" w:eastAsia="es-AR"/>
              </w:rPr>
            </w:pPr>
            <w:r w:rsidRPr="00AE4E8D">
              <w:rPr>
                <w:rFonts w:ascii="Times New Roman" w:eastAsia="Calibri" w:hAnsi="Times New Roman"/>
                <w:lang w:val="es-ES" w:eastAsia="es-AR"/>
              </w:rPr>
              <w:t>771</w:t>
            </w:r>
          </w:p>
        </w:tc>
      </w:tr>
      <w:tr w:rsidR="000924EA" w:rsidRPr="00AE4E8D" w14:paraId="634B0AAB" w14:textId="77777777" w:rsidTr="000400C8">
        <w:trPr>
          <w:trHeight w:val="282"/>
          <w:jc w:val="center"/>
        </w:trPr>
        <w:tc>
          <w:tcPr>
            <w:tcW w:w="1274" w:type="pct"/>
            <w:tcBorders>
              <w:top w:val="nil"/>
              <w:left w:val="nil"/>
              <w:bottom w:val="nil"/>
              <w:right w:val="nil"/>
            </w:tcBorders>
            <w:shd w:val="clear" w:color="auto" w:fill="auto"/>
            <w:vAlign w:val="bottom"/>
          </w:tcPr>
          <w:p w14:paraId="10029603" w14:textId="77777777" w:rsidR="000924EA" w:rsidRPr="00AE4E8D" w:rsidRDefault="000924EA" w:rsidP="00232C94">
            <w:pPr>
              <w:autoSpaceDE w:val="0"/>
              <w:autoSpaceDN w:val="0"/>
              <w:adjustRightInd w:val="0"/>
              <w:rPr>
                <w:rFonts w:ascii="Times New Roman" w:eastAsia="Calibri" w:hAnsi="Times New Roman"/>
                <w:b/>
                <w:bCs/>
                <w:lang w:val="es-ES" w:eastAsia="es-AR"/>
              </w:rPr>
            </w:pPr>
            <w:r w:rsidRPr="00AE4E8D">
              <w:rPr>
                <w:rFonts w:ascii="Times New Roman" w:eastAsia="Calibri" w:hAnsi="Times New Roman"/>
                <w:b/>
                <w:bCs/>
                <w:lang w:val="es-ES" w:eastAsia="es-ES"/>
              </w:rPr>
              <w:t>Total</w:t>
            </w:r>
            <w:r w:rsidRPr="00AE4E8D">
              <w:rPr>
                <w:rFonts w:ascii="Times New Roman" w:eastAsia="Calibri" w:hAnsi="Times New Roman"/>
                <w:lang w:val="es-ES" w:eastAsia="es-AR"/>
              </w:rPr>
              <w:t>……………………</w:t>
            </w:r>
          </w:p>
        </w:tc>
        <w:tc>
          <w:tcPr>
            <w:tcW w:w="804" w:type="pct"/>
            <w:tcBorders>
              <w:top w:val="nil"/>
              <w:left w:val="nil"/>
              <w:bottom w:val="single" w:sz="8" w:space="0" w:color="auto"/>
              <w:right w:val="nil"/>
            </w:tcBorders>
            <w:vAlign w:val="bottom"/>
          </w:tcPr>
          <w:p w14:paraId="4E41B61A" w14:textId="77777777" w:rsidR="000924EA" w:rsidRPr="00AE4E8D" w:rsidRDefault="000924EA" w:rsidP="00232C94">
            <w:pPr>
              <w:autoSpaceDE w:val="0"/>
              <w:autoSpaceDN w:val="0"/>
              <w:adjustRightInd w:val="0"/>
              <w:jc w:val="right"/>
              <w:rPr>
                <w:rFonts w:ascii="Times New Roman" w:eastAsia="Calibri" w:hAnsi="Times New Roman"/>
                <w:b/>
                <w:bCs/>
                <w:lang w:val="es-ES" w:eastAsia="es-ES"/>
              </w:rPr>
            </w:pPr>
            <w:r w:rsidRPr="00AE4E8D">
              <w:rPr>
                <w:rFonts w:ascii="Times New Roman" w:eastAsia="Calibri" w:hAnsi="Times New Roman"/>
                <w:b/>
                <w:bCs/>
                <w:lang w:val="es-ES" w:eastAsia="es-AR"/>
              </w:rPr>
              <w:t>2.608</w:t>
            </w:r>
          </w:p>
        </w:tc>
        <w:tc>
          <w:tcPr>
            <w:tcW w:w="854" w:type="pct"/>
            <w:tcBorders>
              <w:top w:val="nil"/>
              <w:left w:val="nil"/>
              <w:bottom w:val="single" w:sz="8" w:space="0" w:color="auto"/>
              <w:right w:val="nil"/>
            </w:tcBorders>
            <w:vAlign w:val="bottom"/>
          </w:tcPr>
          <w:p w14:paraId="49F3D917" w14:textId="77777777" w:rsidR="000924EA" w:rsidRPr="00AE4E8D" w:rsidRDefault="000924EA" w:rsidP="00232C94">
            <w:pPr>
              <w:autoSpaceDE w:val="0"/>
              <w:autoSpaceDN w:val="0"/>
              <w:adjustRightInd w:val="0"/>
              <w:jc w:val="right"/>
              <w:rPr>
                <w:rFonts w:ascii="Times New Roman" w:eastAsia="Calibri" w:hAnsi="Times New Roman"/>
                <w:b/>
                <w:bCs/>
                <w:lang w:val="es-ES" w:eastAsia="es-ES"/>
              </w:rPr>
            </w:pPr>
            <w:r w:rsidRPr="00AE4E8D">
              <w:rPr>
                <w:rFonts w:ascii="Times New Roman" w:eastAsia="Calibri" w:hAnsi="Times New Roman"/>
                <w:b/>
                <w:lang w:val="es-ES" w:eastAsia="es-AR"/>
              </w:rPr>
              <w:t>2.437</w:t>
            </w:r>
          </w:p>
        </w:tc>
        <w:tc>
          <w:tcPr>
            <w:tcW w:w="859" w:type="pct"/>
            <w:tcBorders>
              <w:top w:val="nil"/>
              <w:left w:val="nil"/>
              <w:bottom w:val="single" w:sz="8" w:space="0" w:color="auto"/>
              <w:right w:val="nil"/>
            </w:tcBorders>
            <w:vAlign w:val="bottom"/>
          </w:tcPr>
          <w:p w14:paraId="2ADC126F" w14:textId="77777777" w:rsidR="000924EA" w:rsidRPr="00AE4E8D" w:rsidRDefault="000924EA" w:rsidP="00232C94">
            <w:pPr>
              <w:autoSpaceDE w:val="0"/>
              <w:autoSpaceDN w:val="0"/>
              <w:adjustRightInd w:val="0"/>
              <w:jc w:val="right"/>
              <w:rPr>
                <w:rFonts w:ascii="Times New Roman" w:eastAsia="Calibri" w:hAnsi="Times New Roman"/>
                <w:b/>
                <w:bCs/>
                <w:lang w:val="es-ES" w:eastAsia="es-AR"/>
              </w:rPr>
            </w:pPr>
            <w:r w:rsidRPr="00AE4E8D">
              <w:rPr>
                <w:rFonts w:ascii="Times New Roman" w:eastAsia="Calibri" w:hAnsi="Times New Roman"/>
                <w:b/>
                <w:lang w:val="es-ES" w:eastAsia="es-AR"/>
              </w:rPr>
              <w:t>2.184</w:t>
            </w:r>
          </w:p>
        </w:tc>
        <w:tc>
          <w:tcPr>
            <w:tcW w:w="1208" w:type="pct"/>
            <w:tcBorders>
              <w:top w:val="nil"/>
              <w:left w:val="nil"/>
              <w:bottom w:val="single" w:sz="8" w:space="0" w:color="auto"/>
              <w:right w:val="nil"/>
            </w:tcBorders>
            <w:vAlign w:val="bottom"/>
          </w:tcPr>
          <w:p w14:paraId="57BC0650" w14:textId="77777777" w:rsidR="000924EA" w:rsidRPr="00AE4E8D" w:rsidRDefault="000924EA" w:rsidP="00232C94">
            <w:pPr>
              <w:autoSpaceDE w:val="0"/>
              <w:autoSpaceDN w:val="0"/>
              <w:adjustRightInd w:val="0"/>
              <w:jc w:val="right"/>
              <w:rPr>
                <w:rFonts w:ascii="Times New Roman" w:eastAsia="Calibri" w:hAnsi="Times New Roman"/>
                <w:b/>
                <w:lang w:val="es-ES" w:eastAsia="es-AR"/>
              </w:rPr>
            </w:pPr>
            <w:r w:rsidRPr="00AE4E8D">
              <w:rPr>
                <w:rFonts w:ascii="Times New Roman" w:eastAsia="Calibri" w:hAnsi="Times New Roman"/>
                <w:b/>
                <w:lang w:val="es-ES" w:eastAsia="es-AR"/>
              </w:rPr>
              <w:t>2.092</w:t>
            </w:r>
          </w:p>
        </w:tc>
      </w:tr>
    </w:tbl>
    <w:p w14:paraId="50E539A2" w14:textId="77777777" w:rsidR="000924EA" w:rsidRPr="00AE4E8D" w:rsidRDefault="000924EA" w:rsidP="000924EA">
      <w:pPr>
        <w:autoSpaceDE w:val="0"/>
        <w:autoSpaceDN w:val="0"/>
        <w:adjustRightInd w:val="0"/>
        <w:spacing w:before="120" w:after="120"/>
        <w:jc w:val="both"/>
        <w:rPr>
          <w:rFonts w:ascii="Times New Roman" w:hAnsi="Times New Roman"/>
          <w:lang w:val="es-ES"/>
        </w:rPr>
      </w:pPr>
    </w:p>
    <w:p w14:paraId="04E0CAD4" w14:textId="77777777" w:rsidR="000924EA" w:rsidRPr="00AE4E8D" w:rsidRDefault="000924EA" w:rsidP="000924EA">
      <w:pPr>
        <w:pStyle w:val="BHTexto"/>
        <w:rPr>
          <w:lang w:val="es-ES"/>
        </w:rPr>
      </w:pPr>
      <w:r w:rsidRPr="00AE4E8D">
        <w:rPr>
          <w:lang w:val="es-ES"/>
        </w:rPr>
        <w:t xml:space="preserve">Nuestros empleados están representados por un sindicato nacional cuya afiliación es opcional. Al </w:t>
      </w:r>
      <w:r w:rsidRPr="00AE4E8D">
        <w:rPr>
          <w:lang w:val="es-ES" w:eastAsia="es-AR"/>
        </w:rPr>
        <w:t>30</w:t>
      </w:r>
      <w:r w:rsidRPr="00AE4E8D">
        <w:rPr>
          <w:lang w:val="es-ES"/>
        </w:rPr>
        <w:t xml:space="preserve"> de junio de 2017, aproximadamente 1.174 de nuestros empleados estaban afiliados al sindicato. No hemos experimentado conflictos significativos con el sindicato y consideramos que las relaciones con nuestros empleados son muy satisfactorias. Los empleados que ocupan cargos gerenciales no están afiliados a ningún sindicato. </w:t>
      </w:r>
    </w:p>
    <w:p w14:paraId="3ED1EBBA" w14:textId="77777777" w:rsidR="000924EA" w:rsidRPr="00AE4E8D" w:rsidRDefault="000924EA" w:rsidP="000924EA">
      <w:pPr>
        <w:pStyle w:val="BHTexto"/>
        <w:rPr>
          <w:lang w:val="es-ES"/>
        </w:rPr>
      </w:pPr>
      <w:r w:rsidRPr="00AE4E8D">
        <w:rPr>
          <w:lang w:val="es-ES"/>
        </w:rPr>
        <w:t xml:space="preserve">La dotación de empleados del Banco se ha incrementado del año 2012 a la fecha. En 2012 el Banco contaba con una dotación de 1.980 empleados llegando a 2.092 en la actualidad. El período comprendido entre los años 2013 al 2015 fue récord en cantidad de empleados en función de necesidades puntuales que actualmente volvieron a niveles similares, e incluso superiores a los iniciales. A partir del año 2015, comenzamos una reorganización interna, reduciendo la cantidad de empleados en ciertas áreas no centrales para mejorar nuestra eficiencia. La mayoría de nuestros empleados se han desvinculado de manera voluntaria. </w:t>
      </w:r>
    </w:p>
    <w:p w14:paraId="164D07B4" w14:textId="77777777" w:rsidR="000924EA" w:rsidRPr="00AE4E8D" w:rsidRDefault="000924EA" w:rsidP="000924EA">
      <w:pPr>
        <w:keepNext/>
        <w:autoSpaceDE w:val="0"/>
        <w:autoSpaceDN w:val="0"/>
        <w:adjustRightInd w:val="0"/>
        <w:spacing w:before="240" w:after="240"/>
        <w:outlineLvl w:val="1"/>
        <w:rPr>
          <w:rFonts w:ascii="Times New Roman" w:hAnsi="Times New Roman"/>
          <w:b/>
          <w:color w:val="000000"/>
          <w:lang w:val="es-ES"/>
        </w:rPr>
      </w:pPr>
      <w:bookmarkStart w:id="626" w:name="_Toc495973043"/>
      <w:bookmarkStart w:id="627" w:name="_Toc495399950"/>
      <w:r w:rsidRPr="00AE4E8D">
        <w:rPr>
          <w:rFonts w:ascii="Times New Roman" w:hAnsi="Times New Roman"/>
          <w:b/>
          <w:lang w:val="es-ES"/>
        </w:rPr>
        <w:t>f) Propiedad accionaria</w:t>
      </w:r>
      <w:bookmarkEnd w:id="626"/>
      <w:bookmarkEnd w:id="627"/>
    </w:p>
    <w:p w14:paraId="242D42A8" w14:textId="77777777" w:rsidR="000924EA" w:rsidRPr="00AE4E8D" w:rsidRDefault="000924EA" w:rsidP="000924EA">
      <w:pPr>
        <w:pStyle w:val="BHTexto"/>
        <w:rPr>
          <w:lang w:val="es-ES"/>
        </w:rPr>
      </w:pPr>
      <w:r w:rsidRPr="00AE4E8D">
        <w:rPr>
          <w:lang w:val="es-ES"/>
        </w:rPr>
        <w:t xml:space="preserve">El siguiente cuadro establece el monto de nuestras acciones que son propiedad de nuestros directores al </w:t>
      </w:r>
      <w:r w:rsidRPr="00AE4E8D">
        <w:rPr>
          <w:lang w:val="es-ES" w:eastAsia="es-AR"/>
        </w:rPr>
        <w:t>30</w:t>
      </w:r>
      <w:r w:rsidRPr="00AE4E8D">
        <w:rPr>
          <w:lang w:val="es-ES"/>
        </w:rPr>
        <w:t xml:space="preserve"> de junio de 2017:</w:t>
      </w:r>
    </w:p>
    <w:tbl>
      <w:tblPr>
        <w:tblW w:w="5000" w:type="pct"/>
        <w:jc w:val="center"/>
        <w:tblCellMar>
          <w:left w:w="0" w:type="dxa"/>
          <w:right w:w="0" w:type="dxa"/>
        </w:tblCellMar>
        <w:tblLook w:val="0000" w:firstRow="0" w:lastRow="0" w:firstColumn="0" w:lastColumn="0" w:noHBand="0" w:noVBand="0"/>
      </w:tblPr>
      <w:tblGrid>
        <w:gridCol w:w="3711"/>
        <w:gridCol w:w="3472"/>
        <w:gridCol w:w="1322"/>
      </w:tblGrid>
      <w:tr w:rsidR="000924EA" w:rsidRPr="00AE4E8D" w14:paraId="4FF541F2" w14:textId="77777777" w:rsidTr="00232C94">
        <w:trPr>
          <w:trHeight w:val="274"/>
          <w:jc w:val="center"/>
        </w:trPr>
        <w:tc>
          <w:tcPr>
            <w:tcW w:w="2182" w:type="pct"/>
            <w:tcBorders>
              <w:top w:val="nil"/>
              <w:left w:val="nil"/>
              <w:bottom w:val="single" w:sz="4" w:space="0" w:color="auto"/>
              <w:right w:val="nil"/>
            </w:tcBorders>
            <w:vAlign w:val="bottom"/>
          </w:tcPr>
          <w:p w14:paraId="7762FEB2" w14:textId="77777777" w:rsidR="000924EA" w:rsidRPr="00AE4E8D" w:rsidRDefault="000924EA" w:rsidP="005370B2">
            <w:pPr>
              <w:keepNext/>
              <w:keepLines/>
              <w:tabs>
                <w:tab w:val="right" w:leader="dot" w:pos="5310"/>
              </w:tabs>
              <w:autoSpaceDE w:val="0"/>
              <w:autoSpaceDN w:val="0"/>
              <w:adjustRightInd w:val="0"/>
              <w:ind w:left="388"/>
              <w:rPr>
                <w:rFonts w:ascii="Times New Roman" w:hAnsi="Times New Roman"/>
                <w:b/>
                <w:color w:val="000000"/>
                <w:lang w:val="es-ES"/>
              </w:rPr>
            </w:pPr>
            <w:r w:rsidRPr="00AE4E8D">
              <w:rPr>
                <w:rFonts w:ascii="Times New Roman" w:hAnsi="Times New Roman"/>
                <w:b/>
                <w:color w:val="000000"/>
                <w:lang w:val="es-ES"/>
              </w:rPr>
              <w:lastRenderedPageBreak/>
              <w:t>Director</w:t>
            </w:r>
          </w:p>
        </w:tc>
        <w:tc>
          <w:tcPr>
            <w:tcW w:w="2041" w:type="pct"/>
            <w:tcBorders>
              <w:top w:val="nil"/>
              <w:left w:val="nil"/>
              <w:bottom w:val="single" w:sz="4" w:space="0" w:color="auto"/>
              <w:right w:val="nil"/>
            </w:tcBorders>
            <w:vAlign w:val="bottom"/>
          </w:tcPr>
          <w:p w14:paraId="2BD1E070" w14:textId="77777777" w:rsidR="000924EA" w:rsidRPr="00AE4E8D" w:rsidRDefault="000924EA" w:rsidP="005370B2">
            <w:pPr>
              <w:keepNext/>
              <w:keepLines/>
              <w:tabs>
                <w:tab w:val="right" w:leader="dot" w:pos="5310"/>
              </w:tabs>
              <w:autoSpaceDE w:val="0"/>
              <w:autoSpaceDN w:val="0"/>
              <w:adjustRightInd w:val="0"/>
              <w:ind w:left="388"/>
              <w:jc w:val="center"/>
              <w:rPr>
                <w:rFonts w:ascii="Times New Roman" w:hAnsi="Times New Roman"/>
                <w:b/>
                <w:color w:val="000000"/>
                <w:lang w:val="es-ES"/>
              </w:rPr>
            </w:pPr>
            <w:r w:rsidRPr="00AE4E8D">
              <w:rPr>
                <w:rFonts w:ascii="Times New Roman" w:hAnsi="Times New Roman"/>
                <w:b/>
                <w:color w:val="000000"/>
                <w:lang w:val="es-ES"/>
              </w:rPr>
              <w:t>Cantidad de Acciones</w:t>
            </w:r>
          </w:p>
        </w:tc>
        <w:tc>
          <w:tcPr>
            <w:tcW w:w="777" w:type="pct"/>
            <w:tcBorders>
              <w:top w:val="nil"/>
              <w:left w:val="nil"/>
              <w:bottom w:val="single" w:sz="4" w:space="0" w:color="auto"/>
              <w:right w:val="nil"/>
            </w:tcBorders>
            <w:vAlign w:val="bottom"/>
          </w:tcPr>
          <w:p w14:paraId="2D9BE036" w14:textId="77777777" w:rsidR="000924EA" w:rsidRPr="00AE4E8D" w:rsidRDefault="000924EA" w:rsidP="005370B2">
            <w:pPr>
              <w:keepNext/>
              <w:keepLines/>
              <w:tabs>
                <w:tab w:val="right" w:leader="dot" w:pos="5310"/>
              </w:tabs>
              <w:autoSpaceDE w:val="0"/>
              <w:autoSpaceDN w:val="0"/>
              <w:adjustRightInd w:val="0"/>
              <w:ind w:left="388"/>
              <w:jc w:val="center"/>
              <w:rPr>
                <w:rFonts w:ascii="Times New Roman" w:hAnsi="Times New Roman"/>
                <w:b/>
                <w:color w:val="000000"/>
                <w:lang w:val="es-ES"/>
              </w:rPr>
            </w:pPr>
            <w:r w:rsidRPr="00AE4E8D">
              <w:rPr>
                <w:rFonts w:ascii="Times New Roman" w:hAnsi="Times New Roman"/>
                <w:b/>
                <w:color w:val="000000"/>
                <w:lang w:val="es-ES"/>
              </w:rPr>
              <w:t>Clase</w:t>
            </w:r>
          </w:p>
        </w:tc>
      </w:tr>
      <w:tr w:rsidR="000924EA" w:rsidRPr="00AE4E8D" w14:paraId="2073BCD6" w14:textId="77777777" w:rsidTr="00232C94">
        <w:trPr>
          <w:trHeight w:val="274"/>
          <w:jc w:val="center"/>
        </w:trPr>
        <w:tc>
          <w:tcPr>
            <w:tcW w:w="2182" w:type="pct"/>
            <w:tcBorders>
              <w:top w:val="single" w:sz="4" w:space="0" w:color="auto"/>
              <w:left w:val="nil"/>
              <w:bottom w:val="nil"/>
              <w:right w:val="nil"/>
            </w:tcBorders>
            <w:vAlign w:val="bottom"/>
          </w:tcPr>
          <w:p w14:paraId="0EEFC1F3" w14:textId="77777777" w:rsidR="000924EA" w:rsidRPr="00AE4E8D" w:rsidRDefault="000924EA" w:rsidP="005370B2">
            <w:pPr>
              <w:keepNext/>
              <w:keepLines/>
              <w:tabs>
                <w:tab w:val="left" w:leader="dot" w:pos="5245"/>
                <w:tab w:val="right" w:leader="dot" w:pos="5310"/>
              </w:tabs>
              <w:autoSpaceDE w:val="0"/>
              <w:autoSpaceDN w:val="0"/>
              <w:adjustRightInd w:val="0"/>
              <w:ind w:left="388" w:right="-458" w:hanging="388"/>
              <w:rPr>
                <w:rFonts w:ascii="Times New Roman" w:hAnsi="Times New Roman"/>
                <w:color w:val="000000"/>
                <w:lang w:val="es-ES"/>
              </w:rPr>
            </w:pPr>
            <w:r w:rsidRPr="00AE4E8D">
              <w:rPr>
                <w:rFonts w:ascii="Times New Roman" w:hAnsi="Times New Roman"/>
                <w:color w:val="000000"/>
                <w:lang w:val="es-ES"/>
              </w:rPr>
              <w:t>Elsztain, Eduardo Sergio</w:t>
            </w:r>
            <w:r w:rsidRPr="00AE4E8D">
              <w:rPr>
                <w:rFonts w:ascii="Times New Roman" w:hAnsi="Times New Roman"/>
                <w:lang w:val="es-ES"/>
              </w:rPr>
              <w:tab/>
            </w:r>
          </w:p>
        </w:tc>
        <w:tc>
          <w:tcPr>
            <w:tcW w:w="2041" w:type="pct"/>
            <w:tcBorders>
              <w:top w:val="single" w:sz="4" w:space="0" w:color="auto"/>
              <w:left w:val="nil"/>
              <w:bottom w:val="nil"/>
              <w:right w:val="nil"/>
            </w:tcBorders>
            <w:vAlign w:val="bottom"/>
          </w:tcPr>
          <w:p w14:paraId="1EF0435F" w14:textId="77777777" w:rsidR="000924EA" w:rsidRPr="00AE4E8D" w:rsidRDefault="000924EA" w:rsidP="005370B2">
            <w:pPr>
              <w:keepNext/>
              <w:keepLines/>
              <w:tabs>
                <w:tab w:val="right" w:leader="dot" w:pos="5310"/>
              </w:tabs>
              <w:autoSpaceDE w:val="0"/>
              <w:autoSpaceDN w:val="0"/>
              <w:adjustRightInd w:val="0"/>
              <w:ind w:left="388"/>
              <w:jc w:val="right"/>
              <w:rPr>
                <w:rFonts w:ascii="Times New Roman" w:hAnsi="Times New Roman"/>
                <w:color w:val="000000"/>
                <w:lang w:val="es-ES"/>
              </w:rPr>
            </w:pPr>
            <w:r w:rsidRPr="00AE4E8D">
              <w:rPr>
                <w:rFonts w:ascii="Times New Roman" w:hAnsi="Times New Roman"/>
                <w:color w:val="000000"/>
                <w:lang w:val="es-ES"/>
              </w:rPr>
              <w:t>5.000</w:t>
            </w:r>
          </w:p>
        </w:tc>
        <w:tc>
          <w:tcPr>
            <w:tcW w:w="777" w:type="pct"/>
            <w:tcBorders>
              <w:top w:val="single" w:sz="4" w:space="0" w:color="auto"/>
              <w:left w:val="nil"/>
              <w:bottom w:val="nil"/>
              <w:right w:val="nil"/>
            </w:tcBorders>
            <w:vAlign w:val="bottom"/>
          </w:tcPr>
          <w:p w14:paraId="025560EB" w14:textId="77777777" w:rsidR="000924EA" w:rsidRPr="00AE4E8D" w:rsidRDefault="000924EA" w:rsidP="005370B2">
            <w:pPr>
              <w:keepNext/>
              <w:keepLines/>
              <w:tabs>
                <w:tab w:val="right" w:leader="dot" w:pos="5310"/>
              </w:tabs>
              <w:autoSpaceDE w:val="0"/>
              <w:autoSpaceDN w:val="0"/>
              <w:adjustRightInd w:val="0"/>
              <w:ind w:left="388"/>
              <w:jc w:val="center"/>
              <w:rPr>
                <w:rFonts w:ascii="Times New Roman" w:hAnsi="Times New Roman"/>
                <w:color w:val="000000"/>
                <w:lang w:val="es-ES"/>
              </w:rPr>
            </w:pPr>
            <w:r w:rsidRPr="00AE4E8D">
              <w:rPr>
                <w:rFonts w:ascii="Times New Roman" w:hAnsi="Times New Roman"/>
                <w:color w:val="000000"/>
                <w:lang w:val="es-ES"/>
              </w:rPr>
              <w:t>D</w:t>
            </w:r>
          </w:p>
        </w:tc>
      </w:tr>
      <w:tr w:rsidR="000924EA" w:rsidRPr="00AE4E8D" w14:paraId="3C0DE34A" w14:textId="77777777" w:rsidTr="00232C94">
        <w:trPr>
          <w:trHeight w:val="274"/>
          <w:jc w:val="center"/>
        </w:trPr>
        <w:tc>
          <w:tcPr>
            <w:tcW w:w="2182" w:type="pct"/>
            <w:tcBorders>
              <w:top w:val="nil"/>
              <w:left w:val="nil"/>
              <w:bottom w:val="nil"/>
              <w:right w:val="nil"/>
            </w:tcBorders>
            <w:vAlign w:val="bottom"/>
          </w:tcPr>
          <w:p w14:paraId="132030B1" w14:textId="77777777" w:rsidR="000924EA" w:rsidRPr="00AE4E8D" w:rsidRDefault="000924EA" w:rsidP="005370B2">
            <w:pPr>
              <w:keepNext/>
              <w:keepLines/>
              <w:tabs>
                <w:tab w:val="left" w:leader="dot" w:pos="4083"/>
                <w:tab w:val="right" w:leader="dot" w:pos="5310"/>
              </w:tabs>
              <w:autoSpaceDE w:val="0"/>
              <w:autoSpaceDN w:val="0"/>
              <w:adjustRightInd w:val="0"/>
              <w:ind w:right="-458"/>
              <w:rPr>
                <w:rFonts w:ascii="Times New Roman" w:hAnsi="Times New Roman"/>
                <w:color w:val="000000"/>
                <w:lang w:val="es-ES"/>
              </w:rPr>
            </w:pPr>
            <w:r w:rsidRPr="00AE4E8D">
              <w:rPr>
                <w:rFonts w:ascii="Times New Roman" w:hAnsi="Times New Roman"/>
                <w:color w:val="000000"/>
                <w:lang w:val="es-ES"/>
              </w:rPr>
              <w:t>Vergara del Carril, Pablo</w:t>
            </w:r>
            <w:r w:rsidRPr="00AE4E8D">
              <w:rPr>
                <w:rFonts w:ascii="Times New Roman" w:hAnsi="Times New Roman"/>
                <w:lang w:val="es-ES"/>
              </w:rPr>
              <w:tab/>
            </w:r>
          </w:p>
        </w:tc>
        <w:tc>
          <w:tcPr>
            <w:tcW w:w="2041" w:type="pct"/>
            <w:tcBorders>
              <w:top w:val="nil"/>
              <w:left w:val="nil"/>
              <w:bottom w:val="nil"/>
              <w:right w:val="nil"/>
            </w:tcBorders>
            <w:vAlign w:val="bottom"/>
          </w:tcPr>
          <w:p w14:paraId="54F8C3B3" w14:textId="77777777" w:rsidR="000924EA" w:rsidRPr="00AE4E8D" w:rsidRDefault="000924EA" w:rsidP="005370B2">
            <w:pPr>
              <w:keepNext/>
              <w:keepLines/>
              <w:tabs>
                <w:tab w:val="right" w:leader="dot" w:pos="5310"/>
              </w:tabs>
              <w:autoSpaceDE w:val="0"/>
              <w:autoSpaceDN w:val="0"/>
              <w:adjustRightInd w:val="0"/>
              <w:ind w:left="388"/>
              <w:jc w:val="right"/>
              <w:rPr>
                <w:rFonts w:ascii="Times New Roman" w:hAnsi="Times New Roman"/>
                <w:color w:val="000000"/>
                <w:lang w:val="es-ES"/>
              </w:rPr>
            </w:pPr>
            <w:r w:rsidRPr="00AE4E8D">
              <w:rPr>
                <w:rFonts w:ascii="Times New Roman" w:hAnsi="Times New Roman"/>
                <w:color w:val="000000"/>
                <w:lang w:val="es-ES"/>
              </w:rPr>
              <w:t>27.000</w:t>
            </w:r>
          </w:p>
        </w:tc>
        <w:tc>
          <w:tcPr>
            <w:tcW w:w="777" w:type="pct"/>
            <w:tcBorders>
              <w:top w:val="nil"/>
              <w:left w:val="nil"/>
              <w:bottom w:val="nil"/>
              <w:right w:val="nil"/>
            </w:tcBorders>
            <w:vAlign w:val="bottom"/>
          </w:tcPr>
          <w:p w14:paraId="66789C37" w14:textId="77777777" w:rsidR="000924EA" w:rsidRPr="00AE4E8D" w:rsidRDefault="000924EA" w:rsidP="005370B2">
            <w:pPr>
              <w:keepNext/>
              <w:keepLines/>
              <w:tabs>
                <w:tab w:val="right" w:leader="dot" w:pos="5310"/>
              </w:tabs>
              <w:autoSpaceDE w:val="0"/>
              <w:autoSpaceDN w:val="0"/>
              <w:adjustRightInd w:val="0"/>
              <w:ind w:left="388"/>
              <w:jc w:val="center"/>
              <w:rPr>
                <w:rFonts w:ascii="Times New Roman" w:hAnsi="Times New Roman"/>
                <w:color w:val="000000"/>
                <w:lang w:val="es-ES"/>
              </w:rPr>
            </w:pPr>
            <w:r w:rsidRPr="00AE4E8D">
              <w:rPr>
                <w:rFonts w:ascii="Times New Roman" w:hAnsi="Times New Roman"/>
                <w:color w:val="000000"/>
                <w:lang w:val="es-ES"/>
              </w:rPr>
              <w:t>D</w:t>
            </w:r>
          </w:p>
        </w:tc>
      </w:tr>
      <w:tr w:rsidR="000924EA" w:rsidRPr="00AE4E8D" w14:paraId="247EE1FE" w14:textId="77777777" w:rsidTr="00232C94">
        <w:trPr>
          <w:trHeight w:val="274"/>
          <w:jc w:val="center"/>
        </w:trPr>
        <w:tc>
          <w:tcPr>
            <w:tcW w:w="2182" w:type="pct"/>
            <w:tcBorders>
              <w:top w:val="nil"/>
              <w:left w:val="nil"/>
              <w:bottom w:val="nil"/>
              <w:right w:val="nil"/>
            </w:tcBorders>
            <w:vAlign w:val="bottom"/>
          </w:tcPr>
          <w:p w14:paraId="7BD56AA4" w14:textId="77777777" w:rsidR="000924EA" w:rsidRPr="00AE4E8D" w:rsidRDefault="000924EA" w:rsidP="005370B2">
            <w:pPr>
              <w:keepNext/>
              <w:keepLines/>
              <w:tabs>
                <w:tab w:val="left" w:leader="dot" w:pos="4083"/>
                <w:tab w:val="right" w:leader="dot" w:pos="5310"/>
              </w:tabs>
              <w:autoSpaceDE w:val="0"/>
              <w:autoSpaceDN w:val="0"/>
              <w:adjustRightInd w:val="0"/>
              <w:ind w:right="-458"/>
              <w:rPr>
                <w:rFonts w:ascii="Times New Roman" w:hAnsi="Times New Roman"/>
                <w:color w:val="000000"/>
                <w:lang w:val="es-ES"/>
              </w:rPr>
            </w:pPr>
            <w:r w:rsidRPr="00AE4E8D">
              <w:rPr>
                <w:rFonts w:ascii="Times New Roman" w:hAnsi="Times New Roman"/>
                <w:color w:val="000000"/>
                <w:lang w:val="es-ES"/>
              </w:rPr>
              <w:t>Ocampo, Andrés</w:t>
            </w:r>
            <w:r w:rsidRPr="00AE4E8D">
              <w:rPr>
                <w:rFonts w:ascii="Times New Roman" w:hAnsi="Times New Roman"/>
                <w:lang w:val="es-ES"/>
              </w:rPr>
              <w:tab/>
            </w:r>
          </w:p>
        </w:tc>
        <w:tc>
          <w:tcPr>
            <w:tcW w:w="2041" w:type="pct"/>
            <w:tcBorders>
              <w:top w:val="nil"/>
              <w:left w:val="nil"/>
              <w:bottom w:val="nil"/>
              <w:right w:val="nil"/>
            </w:tcBorders>
            <w:vAlign w:val="bottom"/>
          </w:tcPr>
          <w:p w14:paraId="456910D6" w14:textId="77777777" w:rsidR="000924EA" w:rsidRPr="00AE4E8D" w:rsidRDefault="000924EA" w:rsidP="005370B2">
            <w:pPr>
              <w:keepNext/>
              <w:keepLines/>
              <w:tabs>
                <w:tab w:val="right" w:leader="dot" w:pos="5310"/>
              </w:tabs>
              <w:autoSpaceDE w:val="0"/>
              <w:autoSpaceDN w:val="0"/>
              <w:adjustRightInd w:val="0"/>
              <w:ind w:left="388"/>
              <w:jc w:val="right"/>
              <w:rPr>
                <w:rFonts w:ascii="Times New Roman" w:hAnsi="Times New Roman"/>
                <w:color w:val="000000"/>
                <w:lang w:val="es-ES"/>
              </w:rPr>
            </w:pPr>
            <w:r w:rsidRPr="00AE4E8D">
              <w:rPr>
                <w:rFonts w:ascii="Times New Roman" w:hAnsi="Times New Roman"/>
                <w:color w:val="000000"/>
                <w:lang w:val="es-ES"/>
              </w:rPr>
              <w:t>100</w:t>
            </w:r>
          </w:p>
        </w:tc>
        <w:tc>
          <w:tcPr>
            <w:tcW w:w="777" w:type="pct"/>
            <w:tcBorders>
              <w:top w:val="nil"/>
              <w:left w:val="nil"/>
              <w:bottom w:val="nil"/>
              <w:right w:val="nil"/>
            </w:tcBorders>
            <w:vAlign w:val="bottom"/>
          </w:tcPr>
          <w:p w14:paraId="6AB7B3F0" w14:textId="77777777" w:rsidR="000924EA" w:rsidRPr="00AE4E8D" w:rsidRDefault="000924EA" w:rsidP="005370B2">
            <w:pPr>
              <w:keepNext/>
              <w:keepLines/>
              <w:tabs>
                <w:tab w:val="right" w:leader="dot" w:pos="5310"/>
              </w:tabs>
              <w:autoSpaceDE w:val="0"/>
              <w:autoSpaceDN w:val="0"/>
              <w:adjustRightInd w:val="0"/>
              <w:ind w:left="388"/>
              <w:jc w:val="center"/>
              <w:rPr>
                <w:rFonts w:ascii="Times New Roman" w:hAnsi="Times New Roman"/>
                <w:color w:val="000000"/>
                <w:lang w:val="es-ES"/>
              </w:rPr>
            </w:pPr>
            <w:r w:rsidRPr="00AE4E8D">
              <w:rPr>
                <w:rFonts w:ascii="Times New Roman" w:hAnsi="Times New Roman"/>
                <w:color w:val="000000"/>
                <w:lang w:val="es-ES"/>
              </w:rPr>
              <w:t>D</w:t>
            </w:r>
          </w:p>
        </w:tc>
      </w:tr>
    </w:tbl>
    <w:p w14:paraId="32B0A504" w14:textId="77777777" w:rsidR="000924EA" w:rsidRPr="00AE4E8D" w:rsidRDefault="000924EA" w:rsidP="000924EA">
      <w:pPr>
        <w:pStyle w:val="BHTexto"/>
        <w:rPr>
          <w:lang w:val="es-ES"/>
        </w:rPr>
      </w:pPr>
      <w:r w:rsidRPr="00AE4E8D">
        <w:rPr>
          <w:lang w:val="es-ES"/>
        </w:rPr>
        <w:t>Para más información sobre los derechos que otorgan las Acciones Clase D, véase “Accionistas Principales y Transacciones con Partes Relacionadas—a) Accionistas Principales—Derecho de Voto de los Accionistas Principales</w:t>
      </w:r>
      <w:r w:rsidRPr="00AE4E8D">
        <w:rPr>
          <w:i/>
          <w:lang w:val="es-ES"/>
        </w:rPr>
        <w:t>”</w:t>
      </w:r>
      <w:r w:rsidRPr="00AE4E8D">
        <w:rPr>
          <w:lang w:val="es-ES"/>
        </w:rPr>
        <w:t>.</w:t>
      </w:r>
    </w:p>
    <w:p w14:paraId="3DB758D4" w14:textId="77777777" w:rsidR="00CB5660" w:rsidRPr="00AE4E8D" w:rsidRDefault="00CB5660" w:rsidP="000400C8">
      <w:pPr>
        <w:autoSpaceDE w:val="0"/>
        <w:autoSpaceDN w:val="0"/>
        <w:adjustRightInd w:val="0"/>
        <w:spacing w:before="240" w:after="240"/>
        <w:jc w:val="center"/>
        <w:outlineLvl w:val="0"/>
        <w:rPr>
          <w:rFonts w:ascii="Times New Roman" w:hAnsi="Times New Roman"/>
          <w:lang w:val="es-ES"/>
        </w:rPr>
      </w:pPr>
      <w:bookmarkStart w:id="628" w:name="_Toc170617876"/>
      <w:bookmarkStart w:id="629" w:name="_Toc170643866"/>
      <w:bookmarkStart w:id="630" w:name="_Toc414610902"/>
      <w:bookmarkStart w:id="631" w:name="_Toc420062612"/>
      <w:bookmarkStart w:id="632" w:name="_Toc421201437"/>
      <w:bookmarkStart w:id="633" w:name="_Toc170617877"/>
      <w:bookmarkStart w:id="634" w:name="_Toc170643867"/>
      <w:bookmarkEnd w:id="611"/>
      <w:bookmarkEnd w:id="612"/>
      <w:bookmarkEnd w:id="615"/>
      <w:r w:rsidRPr="00AE4E8D">
        <w:rPr>
          <w:rFonts w:ascii="Times New Roman" w:hAnsi="Times New Roman"/>
          <w:highlight w:val="cyan"/>
          <w:lang w:val="es-ES"/>
        </w:rPr>
        <w:br w:type="page"/>
      </w:r>
      <w:bookmarkStart w:id="635" w:name="_Toc449010435"/>
      <w:bookmarkStart w:id="636" w:name="_Toc487734745"/>
      <w:bookmarkStart w:id="637" w:name="_Toc495973044"/>
      <w:bookmarkStart w:id="638" w:name="_Toc495399951"/>
      <w:r w:rsidRPr="00AE4E8D">
        <w:rPr>
          <w:rFonts w:ascii="Times New Roman" w:hAnsi="Times New Roman"/>
          <w:lang w:val="es-ES"/>
        </w:rPr>
        <w:lastRenderedPageBreak/>
        <w:t>ACCIONISTAS PRINCIPALES Y TRANSACCIONES CON PARTES RELACIONADAS</w:t>
      </w:r>
      <w:bookmarkEnd w:id="635"/>
      <w:bookmarkEnd w:id="636"/>
      <w:bookmarkEnd w:id="637"/>
      <w:bookmarkEnd w:id="638"/>
    </w:p>
    <w:p w14:paraId="3DD796B5" w14:textId="77777777" w:rsidR="00CB5660" w:rsidRPr="00AE4E8D" w:rsidRDefault="00CB5660" w:rsidP="00350E47">
      <w:pPr>
        <w:keepNext/>
        <w:autoSpaceDE w:val="0"/>
        <w:autoSpaceDN w:val="0"/>
        <w:adjustRightInd w:val="0"/>
        <w:spacing w:before="240" w:after="240"/>
        <w:outlineLvl w:val="1"/>
        <w:rPr>
          <w:rFonts w:ascii="Times New Roman" w:hAnsi="Times New Roman"/>
          <w:b/>
          <w:bCs/>
          <w:lang w:val="es-ES" w:eastAsia="es-AR"/>
        </w:rPr>
      </w:pPr>
      <w:bookmarkStart w:id="639" w:name="_Toc495973045"/>
      <w:bookmarkStart w:id="640" w:name="_Toc495399952"/>
      <w:r w:rsidRPr="00AE4E8D">
        <w:rPr>
          <w:rFonts w:ascii="Times New Roman" w:hAnsi="Times New Roman"/>
          <w:b/>
          <w:lang w:val="es-ES" w:eastAsia="es-AR"/>
        </w:rPr>
        <w:t>a) Accionistas Principales</w:t>
      </w:r>
      <w:bookmarkEnd w:id="639"/>
      <w:bookmarkEnd w:id="640"/>
    </w:p>
    <w:p w14:paraId="12BD617E" w14:textId="77777777" w:rsidR="00CB5660" w:rsidRPr="00AE4E8D" w:rsidRDefault="00CB5660" w:rsidP="00350E47">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El siguiente cuadro incluye la información relacionada con la propiedad de nuestro capital social en Argentina y en el exterior al </w:t>
      </w:r>
      <w:r w:rsidR="00391E10" w:rsidRPr="00AE4E8D">
        <w:rPr>
          <w:rFonts w:ascii="Times New Roman" w:hAnsi="Times New Roman"/>
          <w:lang w:val="es-ES" w:eastAsia="es-AR"/>
        </w:rPr>
        <w:t>30</w:t>
      </w:r>
      <w:r w:rsidR="00E841DA" w:rsidRPr="00AE4E8D">
        <w:rPr>
          <w:rFonts w:ascii="Times New Roman" w:hAnsi="Times New Roman"/>
          <w:lang w:val="es-ES" w:eastAsia="es-AR"/>
        </w:rPr>
        <w:t xml:space="preserve"> de </w:t>
      </w:r>
      <w:r w:rsidR="00391E10" w:rsidRPr="00AE4E8D">
        <w:rPr>
          <w:rFonts w:ascii="Times New Roman" w:hAnsi="Times New Roman"/>
          <w:lang w:val="es-ES" w:eastAsia="es-AR"/>
        </w:rPr>
        <w:t>junio</w:t>
      </w:r>
      <w:r w:rsidR="00D75839" w:rsidRPr="00AE4E8D">
        <w:rPr>
          <w:rFonts w:ascii="Times New Roman" w:hAnsi="Times New Roman"/>
          <w:lang w:val="es-ES" w:eastAsia="es-AR"/>
        </w:rPr>
        <w:t xml:space="preserve"> </w:t>
      </w:r>
      <w:r w:rsidRPr="00AE4E8D">
        <w:rPr>
          <w:rFonts w:ascii="Times New Roman" w:hAnsi="Times New Roman"/>
          <w:lang w:val="es-ES" w:eastAsia="es-AR"/>
        </w:rPr>
        <w:t>de 201</w:t>
      </w:r>
      <w:r w:rsidR="009A7BD0" w:rsidRPr="00AE4E8D">
        <w:rPr>
          <w:rFonts w:ascii="Times New Roman" w:hAnsi="Times New Roman"/>
          <w:lang w:val="es-ES" w:eastAsia="es-AR"/>
        </w:rPr>
        <w:t>7</w:t>
      </w:r>
      <w:r w:rsidRPr="00AE4E8D">
        <w:rPr>
          <w:rFonts w:ascii="Times New Roman" w:hAnsi="Times New Roman"/>
          <w:lang w:val="es-ES" w:eastAsia="es-AR"/>
        </w:rPr>
        <w:t>.</w:t>
      </w:r>
      <w:r w:rsidR="0038649E" w:rsidRPr="00AE4E8D">
        <w:rPr>
          <w:rFonts w:ascii="Times New Roman" w:hAnsi="Times New Roman"/>
          <w:lang w:val="es-ES" w:eastAsia="es-AR"/>
        </w:rPr>
        <w:t xml:space="preserve"> </w:t>
      </w:r>
    </w:p>
    <w:tbl>
      <w:tblPr>
        <w:tblW w:w="5069" w:type="pct"/>
        <w:jc w:val="center"/>
        <w:tblLayout w:type="fixed"/>
        <w:tblLook w:val="00A0" w:firstRow="1" w:lastRow="0" w:firstColumn="1" w:lastColumn="0" w:noHBand="0" w:noVBand="0"/>
      </w:tblPr>
      <w:tblGrid>
        <w:gridCol w:w="3369"/>
        <w:gridCol w:w="706"/>
        <w:gridCol w:w="1277"/>
        <w:gridCol w:w="965"/>
        <w:gridCol w:w="1445"/>
        <w:gridCol w:w="1040"/>
        <w:gridCol w:w="39"/>
      </w:tblGrid>
      <w:tr w:rsidR="003B5193" w:rsidRPr="00AE4E8D" w14:paraId="0052A090" w14:textId="77777777" w:rsidTr="00022E1B">
        <w:trPr>
          <w:trHeight w:val="495"/>
          <w:jc w:val="center"/>
        </w:trPr>
        <w:tc>
          <w:tcPr>
            <w:tcW w:w="1906" w:type="pct"/>
            <w:tcBorders>
              <w:top w:val="nil"/>
              <w:left w:val="nil"/>
              <w:bottom w:val="single" w:sz="8" w:space="0" w:color="auto"/>
              <w:right w:val="nil"/>
            </w:tcBorders>
            <w:shd w:val="clear" w:color="000000" w:fill="auto"/>
            <w:vAlign w:val="center"/>
          </w:tcPr>
          <w:p w14:paraId="0651DA0C" w14:textId="77777777" w:rsidR="00CB5660" w:rsidRPr="00AE4E8D" w:rsidRDefault="00CB5660" w:rsidP="00350E47">
            <w:pPr>
              <w:widowControl w:val="0"/>
              <w:tabs>
                <w:tab w:val="right" w:leader="dot" w:pos="5310"/>
              </w:tabs>
              <w:ind w:left="-27"/>
              <w:jc w:val="center"/>
              <w:rPr>
                <w:rFonts w:ascii="Times New Roman" w:hAnsi="Times New Roman"/>
                <w:b/>
                <w:sz w:val="18"/>
                <w:lang w:val="es-ES"/>
              </w:rPr>
            </w:pPr>
            <w:r w:rsidRPr="00AE4E8D">
              <w:rPr>
                <w:rFonts w:ascii="Times New Roman" w:hAnsi="Times New Roman"/>
                <w:b/>
                <w:sz w:val="18"/>
                <w:lang w:val="es-ES"/>
              </w:rPr>
              <w:t>Accionista</w:t>
            </w:r>
          </w:p>
        </w:tc>
        <w:tc>
          <w:tcPr>
            <w:tcW w:w="399" w:type="pct"/>
            <w:tcBorders>
              <w:top w:val="nil"/>
              <w:left w:val="nil"/>
              <w:bottom w:val="single" w:sz="8" w:space="0" w:color="auto"/>
              <w:right w:val="nil"/>
            </w:tcBorders>
            <w:shd w:val="clear" w:color="000000" w:fill="auto"/>
            <w:vAlign w:val="center"/>
          </w:tcPr>
          <w:p w14:paraId="0D26A57A" w14:textId="77777777" w:rsidR="00CB5660" w:rsidRPr="00AE4E8D" w:rsidRDefault="00CB5660" w:rsidP="00350E47">
            <w:pPr>
              <w:widowControl w:val="0"/>
              <w:tabs>
                <w:tab w:val="right" w:leader="dot" w:pos="5310"/>
              </w:tabs>
              <w:ind w:left="29"/>
              <w:jc w:val="center"/>
              <w:rPr>
                <w:rFonts w:ascii="Times New Roman" w:hAnsi="Times New Roman"/>
                <w:b/>
                <w:sz w:val="18"/>
                <w:lang w:val="es-ES"/>
              </w:rPr>
            </w:pPr>
            <w:r w:rsidRPr="00AE4E8D">
              <w:rPr>
                <w:rFonts w:ascii="Times New Roman" w:hAnsi="Times New Roman"/>
                <w:b/>
                <w:sz w:val="18"/>
                <w:lang w:val="es-ES"/>
              </w:rPr>
              <w:t>Clase (1)</w:t>
            </w:r>
          </w:p>
        </w:tc>
        <w:tc>
          <w:tcPr>
            <w:tcW w:w="722" w:type="pct"/>
            <w:tcBorders>
              <w:top w:val="nil"/>
              <w:left w:val="nil"/>
              <w:bottom w:val="single" w:sz="8" w:space="0" w:color="auto"/>
              <w:right w:val="nil"/>
            </w:tcBorders>
            <w:shd w:val="clear" w:color="000000" w:fill="auto"/>
            <w:vAlign w:val="center"/>
          </w:tcPr>
          <w:p w14:paraId="1EA6E5C1" w14:textId="77777777" w:rsidR="00CB5660" w:rsidRPr="00AE4E8D" w:rsidRDefault="00CB5660" w:rsidP="00350E47">
            <w:pPr>
              <w:widowControl w:val="0"/>
              <w:tabs>
                <w:tab w:val="right" w:leader="dot" w:pos="5310"/>
              </w:tabs>
              <w:jc w:val="center"/>
              <w:rPr>
                <w:rFonts w:ascii="Times New Roman" w:hAnsi="Times New Roman"/>
                <w:b/>
                <w:sz w:val="18"/>
                <w:lang w:val="es-ES"/>
              </w:rPr>
            </w:pPr>
            <w:r w:rsidRPr="00AE4E8D">
              <w:rPr>
                <w:rFonts w:ascii="Times New Roman" w:hAnsi="Times New Roman"/>
                <w:b/>
                <w:sz w:val="18"/>
                <w:lang w:val="es-ES"/>
              </w:rPr>
              <w:t>Cantidad de Acciones</w:t>
            </w:r>
          </w:p>
        </w:tc>
        <w:tc>
          <w:tcPr>
            <w:tcW w:w="546" w:type="pct"/>
            <w:tcBorders>
              <w:top w:val="nil"/>
              <w:left w:val="nil"/>
              <w:bottom w:val="single" w:sz="8" w:space="0" w:color="auto"/>
              <w:right w:val="nil"/>
            </w:tcBorders>
            <w:shd w:val="clear" w:color="000000" w:fill="auto"/>
            <w:vAlign w:val="center"/>
          </w:tcPr>
          <w:p w14:paraId="03C8EBF1" w14:textId="77777777" w:rsidR="00CB5660" w:rsidRPr="00AE4E8D" w:rsidRDefault="00CB5660" w:rsidP="00350E47">
            <w:pPr>
              <w:widowControl w:val="0"/>
              <w:tabs>
                <w:tab w:val="right" w:leader="dot" w:pos="5310"/>
              </w:tabs>
              <w:ind w:left="25"/>
              <w:jc w:val="center"/>
              <w:rPr>
                <w:rFonts w:ascii="Times New Roman" w:hAnsi="Times New Roman"/>
                <w:b/>
                <w:sz w:val="18"/>
                <w:lang w:val="es-ES"/>
              </w:rPr>
            </w:pPr>
            <w:r w:rsidRPr="00AE4E8D">
              <w:rPr>
                <w:rFonts w:ascii="Times New Roman" w:hAnsi="Times New Roman"/>
                <w:b/>
                <w:sz w:val="18"/>
                <w:lang w:val="es-ES"/>
              </w:rPr>
              <w:t>Porcentaje de Acciones</w:t>
            </w:r>
          </w:p>
        </w:tc>
        <w:tc>
          <w:tcPr>
            <w:tcW w:w="817" w:type="pct"/>
            <w:tcBorders>
              <w:top w:val="nil"/>
              <w:left w:val="nil"/>
              <w:bottom w:val="single" w:sz="8" w:space="0" w:color="auto"/>
              <w:right w:val="nil"/>
            </w:tcBorders>
            <w:shd w:val="clear" w:color="000000" w:fill="auto"/>
            <w:vAlign w:val="center"/>
          </w:tcPr>
          <w:p w14:paraId="4E103353" w14:textId="77777777" w:rsidR="00CB5660" w:rsidRPr="00AE4E8D" w:rsidRDefault="00CB5660" w:rsidP="00350E47">
            <w:pPr>
              <w:widowControl w:val="0"/>
              <w:tabs>
                <w:tab w:val="right" w:leader="dot" w:pos="5310"/>
              </w:tabs>
              <w:ind w:left="22"/>
              <w:jc w:val="center"/>
              <w:rPr>
                <w:rFonts w:ascii="Times New Roman" w:hAnsi="Times New Roman"/>
                <w:b/>
                <w:sz w:val="18"/>
                <w:lang w:val="es-ES"/>
              </w:rPr>
            </w:pPr>
            <w:r w:rsidRPr="00AE4E8D">
              <w:rPr>
                <w:rFonts w:ascii="Times New Roman" w:hAnsi="Times New Roman"/>
                <w:b/>
                <w:sz w:val="18"/>
                <w:lang w:val="es-ES"/>
              </w:rPr>
              <w:t>Cantidad de Votos (2)</w:t>
            </w:r>
          </w:p>
        </w:tc>
        <w:tc>
          <w:tcPr>
            <w:tcW w:w="610" w:type="pct"/>
            <w:gridSpan w:val="2"/>
            <w:tcBorders>
              <w:top w:val="nil"/>
              <w:left w:val="nil"/>
              <w:bottom w:val="single" w:sz="8" w:space="0" w:color="auto"/>
              <w:right w:val="nil"/>
            </w:tcBorders>
            <w:shd w:val="clear" w:color="000000" w:fill="auto"/>
            <w:vAlign w:val="center"/>
          </w:tcPr>
          <w:p w14:paraId="5E8DC886" w14:textId="77777777" w:rsidR="00CB5660" w:rsidRPr="00AE4E8D" w:rsidRDefault="00CB5660" w:rsidP="00350E47">
            <w:pPr>
              <w:widowControl w:val="0"/>
              <w:tabs>
                <w:tab w:val="right" w:leader="dot" w:pos="5310"/>
              </w:tabs>
              <w:jc w:val="center"/>
              <w:rPr>
                <w:rFonts w:ascii="Times New Roman" w:hAnsi="Times New Roman"/>
                <w:b/>
                <w:sz w:val="18"/>
                <w:lang w:val="es-ES"/>
              </w:rPr>
            </w:pPr>
            <w:r w:rsidRPr="00AE4E8D">
              <w:rPr>
                <w:rFonts w:ascii="Times New Roman" w:hAnsi="Times New Roman"/>
                <w:b/>
                <w:sz w:val="18"/>
                <w:lang w:val="es-ES"/>
              </w:rPr>
              <w:t>Porcentaje de Votos</w:t>
            </w:r>
          </w:p>
        </w:tc>
      </w:tr>
      <w:tr w:rsidR="00D75839" w:rsidRPr="00AE4E8D" w14:paraId="3620733B" w14:textId="77777777" w:rsidTr="000400C8">
        <w:trPr>
          <w:gridAfter w:val="1"/>
          <w:wAfter w:w="21" w:type="pct"/>
          <w:trHeight w:val="510"/>
          <w:jc w:val="center"/>
        </w:trPr>
        <w:tc>
          <w:tcPr>
            <w:tcW w:w="1906" w:type="pct"/>
            <w:tcBorders>
              <w:top w:val="nil"/>
              <w:left w:val="nil"/>
              <w:bottom w:val="nil"/>
              <w:right w:val="nil"/>
            </w:tcBorders>
            <w:vAlign w:val="bottom"/>
          </w:tcPr>
          <w:p w14:paraId="7CE66CA8" w14:textId="77777777" w:rsidR="00D75839" w:rsidRPr="00AE4E8D" w:rsidRDefault="00D75839" w:rsidP="00A5048B">
            <w:pPr>
              <w:widowControl w:val="0"/>
              <w:tabs>
                <w:tab w:val="left" w:leader="dot" w:pos="2268"/>
                <w:tab w:val="right" w:leader="dot" w:pos="5310"/>
              </w:tabs>
              <w:spacing w:before="120" w:after="120"/>
              <w:ind w:left="-28" w:right="752"/>
              <w:rPr>
                <w:rFonts w:ascii="Times New Roman" w:hAnsi="Times New Roman"/>
                <w:sz w:val="18"/>
                <w:lang w:val="es-ES"/>
              </w:rPr>
            </w:pPr>
            <w:r w:rsidRPr="00AE4E8D">
              <w:rPr>
                <w:rFonts w:ascii="Times New Roman" w:hAnsi="Times New Roman"/>
                <w:sz w:val="18"/>
                <w:lang w:val="es-ES"/>
              </w:rPr>
              <w:t xml:space="preserve">Gobierno Argentino/ Banco de la Nación Argentina como fiduciario del Fideicomiso de Asistencia al Fondo Federal de Infraestructura </w:t>
            </w:r>
            <w:r w:rsidR="00AC7DB3" w:rsidRPr="00AE4E8D">
              <w:rPr>
                <w:rFonts w:ascii="Times New Roman" w:hAnsi="Times New Roman"/>
                <w:sz w:val="18"/>
                <w:lang w:val="es-ES"/>
              </w:rPr>
              <w:t>Regional…</w:t>
            </w:r>
            <w:r w:rsidRPr="00AE4E8D">
              <w:rPr>
                <w:rFonts w:ascii="Times New Roman" w:hAnsi="Times New Roman"/>
                <w:sz w:val="18"/>
                <w:lang w:val="es-ES"/>
              </w:rPr>
              <w:t>.</w:t>
            </w:r>
            <w:r w:rsidRPr="00AE4E8D">
              <w:rPr>
                <w:rFonts w:ascii="Times New Roman" w:hAnsi="Times New Roman"/>
                <w:lang w:val="es-ES"/>
              </w:rPr>
              <w:tab/>
            </w:r>
          </w:p>
        </w:tc>
        <w:tc>
          <w:tcPr>
            <w:tcW w:w="399" w:type="pct"/>
            <w:tcBorders>
              <w:top w:val="nil"/>
              <w:left w:val="nil"/>
              <w:bottom w:val="nil"/>
              <w:right w:val="nil"/>
            </w:tcBorders>
            <w:vAlign w:val="bottom"/>
          </w:tcPr>
          <w:p w14:paraId="2EE359A7" w14:textId="77777777" w:rsidR="00D75839" w:rsidRPr="00AE4E8D" w:rsidRDefault="00D75839" w:rsidP="0018126C">
            <w:pPr>
              <w:widowControl w:val="0"/>
              <w:tabs>
                <w:tab w:val="right" w:leader="dot" w:pos="5310"/>
              </w:tabs>
              <w:spacing w:after="120"/>
              <w:jc w:val="center"/>
              <w:rPr>
                <w:rFonts w:ascii="Times New Roman" w:hAnsi="Times New Roman"/>
                <w:sz w:val="18"/>
                <w:lang w:val="es-ES"/>
              </w:rPr>
            </w:pPr>
            <w:r w:rsidRPr="00AE4E8D">
              <w:rPr>
                <w:rFonts w:ascii="Times New Roman" w:hAnsi="Times New Roman"/>
                <w:sz w:val="18"/>
                <w:lang w:val="es-ES"/>
              </w:rPr>
              <w:t>A</w:t>
            </w:r>
          </w:p>
        </w:tc>
        <w:tc>
          <w:tcPr>
            <w:tcW w:w="722" w:type="pct"/>
            <w:tcBorders>
              <w:top w:val="nil"/>
              <w:left w:val="nil"/>
              <w:bottom w:val="nil"/>
              <w:right w:val="nil"/>
            </w:tcBorders>
            <w:vAlign w:val="bottom"/>
          </w:tcPr>
          <w:p w14:paraId="62F31DD4" w14:textId="77777777" w:rsidR="00D75839" w:rsidRPr="00AE4E8D" w:rsidRDefault="007D486B" w:rsidP="00092AD4">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664.8</w:t>
            </w:r>
            <w:r w:rsidR="00092AD4" w:rsidRPr="00AE4E8D">
              <w:rPr>
                <w:rFonts w:ascii="Times New Roman" w:hAnsi="Times New Roman"/>
                <w:color w:val="000000"/>
                <w:sz w:val="18"/>
                <w:lang w:val="es-ES"/>
              </w:rPr>
              <w:t>29</w:t>
            </w:r>
            <w:r w:rsidRPr="00AE4E8D">
              <w:rPr>
                <w:rFonts w:ascii="Times New Roman" w:hAnsi="Times New Roman"/>
                <w:color w:val="000000"/>
                <w:sz w:val="18"/>
                <w:lang w:val="es-ES"/>
              </w:rPr>
              <w:t>.</w:t>
            </w:r>
            <w:r w:rsidR="00092AD4" w:rsidRPr="00AE4E8D">
              <w:rPr>
                <w:rFonts w:ascii="Times New Roman" w:hAnsi="Times New Roman"/>
                <w:color w:val="000000"/>
                <w:sz w:val="18"/>
                <w:lang w:val="es-ES"/>
              </w:rPr>
              <w:t>0</w:t>
            </w:r>
            <w:r w:rsidR="001C5C49" w:rsidRPr="00AE4E8D">
              <w:rPr>
                <w:rFonts w:ascii="Times New Roman" w:hAnsi="Times New Roman"/>
                <w:color w:val="000000"/>
                <w:sz w:val="18"/>
                <w:lang w:val="es-ES"/>
              </w:rPr>
              <w:t>68</w:t>
            </w:r>
          </w:p>
        </w:tc>
        <w:tc>
          <w:tcPr>
            <w:tcW w:w="546" w:type="pct"/>
            <w:tcBorders>
              <w:top w:val="nil"/>
              <w:left w:val="nil"/>
              <w:bottom w:val="nil"/>
              <w:right w:val="nil"/>
            </w:tcBorders>
            <w:vAlign w:val="bottom"/>
          </w:tcPr>
          <w:p w14:paraId="23CC36C4" w14:textId="77777777" w:rsidR="00D75839" w:rsidRPr="00AE4E8D" w:rsidRDefault="00D75839" w:rsidP="001C5C49">
            <w:pPr>
              <w:widowControl w:val="0"/>
              <w:tabs>
                <w:tab w:val="right" w:leader="dot" w:pos="5310"/>
              </w:tabs>
              <w:spacing w:after="120"/>
              <w:ind w:left="25"/>
              <w:jc w:val="right"/>
              <w:rPr>
                <w:rFonts w:ascii="Times New Roman" w:hAnsi="Times New Roman"/>
                <w:color w:val="000000"/>
                <w:sz w:val="18"/>
                <w:lang w:val="es-ES"/>
              </w:rPr>
            </w:pPr>
            <w:r w:rsidRPr="00AE4E8D">
              <w:rPr>
                <w:rFonts w:ascii="Times New Roman" w:hAnsi="Times New Roman"/>
                <w:color w:val="000000"/>
                <w:sz w:val="18"/>
                <w:lang w:val="es-ES"/>
              </w:rPr>
              <w:t>44,3</w:t>
            </w:r>
            <w:r w:rsidR="001C5C49" w:rsidRPr="00AE4E8D">
              <w:rPr>
                <w:rFonts w:ascii="Times New Roman" w:hAnsi="Times New Roman"/>
                <w:color w:val="000000"/>
                <w:sz w:val="18"/>
                <w:lang w:val="es-ES"/>
              </w:rPr>
              <w:t>2</w:t>
            </w:r>
            <w:r w:rsidRPr="00AE4E8D">
              <w:rPr>
                <w:rFonts w:ascii="Times New Roman" w:hAnsi="Times New Roman"/>
                <w:color w:val="000000"/>
                <w:sz w:val="18"/>
                <w:lang w:val="es-ES"/>
              </w:rPr>
              <w:t>%</w:t>
            </w:r>
          </w:p>
        </w:tc>
        <w:tc>
          <w:tcPr>
            <w:tcW w:w="817" w:type="pct"/>
            <w:tcBorders>
              <w:top w:val="nil"/>
              <w:left w:val="nil"/>
              <w:bottom w:val="nil"/>
              <w:right w:val="nil"/>
            </w:tcBorders>
            <w:vAlign w:val="bottom"/>
          </w:tcPr>
          <w:p w14:paraId="6C5DD47E" w14:textId="77777777" w:rsidR="00D75839" w:rsidRPr="00AE4E8D" w:rsidRDefault="00863248" w:rsidP="00391E10">
            <w:pPr>
              <w:widowControl w:val="0"/>
              <w:tabs>
                <w:tab w:val="right" w:leader="dot" w:pos="5310"/>
              </w:tabs>
              <w:spacing w:after="120"/>
              <w:ind w:left="22" w:right="54"/>
              <w:jc w:val="right"/>
              <w:rPr>
                <w:rFonts w:ascii="Times New Roman" w:hAnsi="Times New Roman"/>
                <w:color w:val="000000"/>
                <w:sz w:val="18"/>
                <w:lang w:val="es-ES"/>
              </w:rPr>
            </w:pPr>
            <w:r w:rsidRPr="00AE4E8D">
              <w:rPr>
                <w:rFonts w:ascii="Times New Roman" w:hAnsi="Times New Roman"/>
                <w:color w:val="000000"/>
                <w:sz w:val="18"/>
                <w:lang w:val="es-ES"/>
              </w:rPr>
              <w:t>664.829.068</w:t>
            </w:r>
          </w:p>
        </w:tc>
        <w:tc>
          <w:tcPr>
            <w:tcW w:w="588" w:type="pct"/>
            <w:tcBorders>
              <w:top w:val="nil"/>
              <w:left w:val="nil"/>
              <w:bottom w:val="nil"/>
              <w:right w:val="nil"/>
            </w:tcBorders>
            <w:vAlign w:val="bottom"/>
          </w:tcPr>
          <w:p w14:paraId="66ADD710" w14:textId="77777777" w:rsidR="00D75839" w:rsidRPr="00AE4E8D" w:rsidRDefault="007D486B"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22</w:t>
            </w:r>
            <w:r w:rsidR="00D75839" w:rsidRPr="00AE4E8D">
              <w:rPr>
                <w:rFonts w:ascii="Times New Roman" w:hAnsi="Times New Roman"/>
                <w:color w:val="000000"/>
                <w:sz w:val="18"/>
                <w:lang w:val="es-ES"/>
              </w:rPr>
              <w:t>,</w:t>
            </w:r>
            <w:r w:rsidRPr="00AE4E8D">
              <w:rPr>
                <w:rFonts w:ascii="Times New Roman" w:hAnsi="Times New Roman"/>
                <w:color w:val="000000"/>
                <w:sz w:val="18"/>
                <w:lang w:val="es-ES"/>
              </w:rPr>
              <w:t>88</w:t>
            </w:r>
            <w:r w:rsidR="00D75839" w:rsidRPr="00AE4E8D">
              <w:rPr>
                <w:rFonts w:ascii="Times New Roman" w:hAnsi="Times New Roman"/>
                <w:color w:val="000000"/>
                <w:sz w:val="18"/>
                <w:lang w:val="es-ES"/>
              </w:rPr>
              <w:t>%</w:t>
            </w:r>
          </w:p>
        </w:tc>
      </w:tr>
      <w:tr w:rsidR="00D75839" w:rsidRPr="00AE4E8D" w14:paraId="736D1EC5" w14:textId="77777777" w:rsidTr="000400C8">
        <w:trPr>
          <w:gridAfter w:val="1"/>
          <w:wAfter w:w="21" w:type="pct"/>
          <w:trHeight w:val="255"/>
          <w:jc w:val="center"/>
        </w:trPr>
        <w:tc>
          <w:tcPr>
            <w:tcW w:w="1906" w:type="pct"/>
            <w:tcBorders>
              <w:top w:val="nil"/>
              <w:left w:val="nil"/>
              <w:bottom w:val="nil"/>
              <w:right w:val="nil"/>
            </w:tcBorders>
            <w:vAlign w:val="bottom"/>
          </w:tcPr>
          <w:p w14:paraId="15F15FEC" w14:textId="77777777" w:rsidR="00D75839" w:rsidRPr="00AE4E8D" w:rsidRDefault="00D75839" w:rsidP="00350E47">
            <w:pPr>
              <w:widowControl w:val="0"/>
              <w:tabs>
                <w:tab w:val="right" w:leader="dot" w:pos="5310"/>
              </w:tabs>
              <w:spacing w:before="120" w:after="120"/>
              <w:ind w:left="-28" w:right="752"/>
              <w:rPr>
                <w:rFonts w:ascii="Times New Roman" w:hAnsi="Times New Roman"/>
                <w:sz w:val="18"/>
                <w:lang w:val="es-ES"/>
              </w:rPr>
            </w:pPr>
            <w:r w:rsidRPr="00AE4E8D">
              <w:rPr>
                <w:rFonts w:ascii="Times New Roman" w:hAnsi="Times New Roman"/>
                <w:sz w:val="18"/>
                <w:lang w:val="es-ES"/>
              </w:rPr>
              <w:t>Banco de la Nación Argentina, como fiduciario del PPP</w:t>
            </w:r>
            <w:r w:rsidRPr="00AE4E8D">
              <w:rPr>
                <w:rFonts w:ascii="Times New Roman" w:hAnsi="Times New Roman"/>
                <w:lang w:val="es-ES"/>
              </w:rPr>
              <w:tab/>
            </w:r>
          </w:p>
        </w:tc>
        <w:tc>
          <w:tcPr>
            <w:tcW w:w="399" w:type="pct"/>
            <w:tcBorders>
              <w:top w:val="nil"/>
              <w:left w:val="nil"/>
              <w:bottom w:val="nil"/>
              <w:right w:val="nil"/>
            </w:tcBorders>
            <w:vAlign w:val="bottom"/>
          </w:tcPr>
          <w:p w14:paraId="67F9B121" w14:textId="77777777" w:rsidR="00D75839" w:rsidRPr="00AE4E8D" w:rsidRDefault="00D75839" w:rsidP="0018126C">
            <w:pPr>
              <w:widowControl w:val="0"/>
              <w:tabs>
                <w:tab w:val="right" w:leader="dot" w:pos="5310"/>
              </w:tabs>
              <w:spacing w:after="120"/>
              <w:jc w:val="center"/>
              <w:rPr>
                <w:rFonts w:ascii="Times New Roman" w:hAnsi="Times New Roman"/>
                <w:sz w:val="18"/>
                <w:lang w:val="es-ES"/>
              </w:rPr>
            </w:pPr>
            <w:r w:rsidRPr="00AE4E8D">
              <w:rPr>
                <w:rFonts w:ascii="Times New Roman" w:hAnsi="Times New Roman"/>
                <w:sz w:val="18"/>
                <w:lang w:val="es-ES"/>
              </w:rPr>
              <w:t>B</w:t>
            </w:r>
          </w:p>
        </w:tc>
        <w:tc>
          <w:tcPr>
            <w:tcW w:w="722" w:type="pct"/>
            <w:tcBorders>
              <w:top w:val="nil"/>
              <w:left w:val="nil"/>
              <w:bottom w:val="nil"/>
              <w:right w:val="nil"/>
            </w:tcBorders>
            <w:vAlign w:val="bottom"/>
          </w:tcPr>
          <w:p w14:paraId="710D3B5E"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57.009.279</w:t>
            </w:r>
          </w:p>
        </w:tc>
        <w:tc>
          <w:tcPr>
            <w:tcW w:w="546" w:type="pct"/>
            <w:tcBorders>
              <w:top w:val="nil"/>
              <w:left w:val="nil"/>
              <w:bottom w:val="nil"/>
              <w:right w:val="nil"/>
            </w:tcBorders>
            <w:vAlign w:val="bottom"/>
          </w:tcPr>
          <w:p w14:paraId="23AB7312" w14:textId="77777777" w:rsidR="00D75839" w:rsidRPr="00AE4E8D" w:rsidRDefault="00D75839" w:rsidP="00391E10">
            <w:pPr>
              <w:widowControl w:val="0"/>
              <w:tabs>
                <w:tab w:val="right" w:leader="dot" w:pos="5310"/>
              </w:tabs>
              <w:spacing w:after="120"/>
              <w:ind w:left="25"/>
              <w:jc w:val="right"/>
              <w:rPr>
                <w:rFonts w:ascii="Times New Roman" w:hAnsi="Times New Roman"/>
                <w:color w:val="000000"/>
                <w:sz w:val="18"/>
                <w:lang w:val="es-ES"/>
              </w:rPr>
            </w:pPr>
            <w:r w:rsidRPr="00AE4E8D">
              <w:rPr>
                <w:rFonts w:ascii="Times New Roman" w:hAnsi="Times New Roman"/>
                <w:color w:val="000000"/>
                <w:sz w:val="18"/>
                <w:lang w:val="es-ES"/>
              </w:rPr>
              <w:t>3,80%</w:t>
            </w:r>
          </w:p>
        </w:tc>
        <w:tc>
          <w:tcPr>
            <w:tcW w:w="817" w:type="pct"/>
            <w:tcBorders>
              <w:top w:val="nil"/>
              <w:left w:val="nil"/>
              <w:bottom w:val="nil"/>
              <w:right w:val="nil"/>
            </w:tcBorders>
            <w:vAlign w:val="bottom"/>
          </w:tcPr>
          <w:p w14:paraId="036A3F00" w14:textId="77777777" w:rsidR="00D75839" w:rsidRPr="00AE4E8D" w:rsidRDefault="00D75839" w:rsidP="00391E10">
            <w:pPr>
              <w:widowControl w:val="0"/>
              <w:tabs>
                <w:tab w:val="right" w:leader="dot" w:pos="5310"/>
              </w:tabs>
              <w:spacing w:after="120"/>
              <w:ind w:left="22" w:right="54"/>
              <w:jc w:val="right"/>
              <w:rPr>
                <w:rFonts w:ascii="Times New Roman" w:hAnsi="Times New Roman"/>
                <w:color w:val="000000"/>
                <w:sz w:val="18"/>
                <w:lang w:val="es-ES"/>
              </w:rPr>
            </w:pPr>
            <w:r w:rsidRPr="00AE4E8D">
              <w:rPr>
                <w:rFonts w:ascii="Times New Roman" w:hAnsi="Times New Roman"/>
                <w:color w:val="000000"/>
                <w:sz w:val="18"/>
                <w:lang w:val="es-ES"/>
              </w:rPr>
              <w:t>57.009.279</w:t>
            </w:r>
          </w:p>
        </w:tc>
        <w:tc>
          <w:tcPr>
            <w:tcW w:w="588" w:type="pct"/>
            <w:tcBorders>
              <w:top w:val="nil"/>
              <w:left w:val="nil"/>
              <w:bottom w:val="nil"/>
              <w:right w:val="nil"/>
            </w:tcBorders>
            <w:vAlign w:val="bottom"/>
          </w:tcPr>
          <w:p w14:paraId="1DFFA517" w14:textId="77777777" w:rsidR="00D75839" w:rsidRPr="00AE4E8D" w:rsidRDefault="00C63792"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1</w:t>
            </w:r>
            <w:r w:rsidR="00D75839" w:rsidRPr="00AE4E8D">
              <w:rPr>
                <w:rFonts w:ascii="Times New Roman" w:hAnsi="Times New Roman"/>
                <w:color w:val="000000"/>
                <w:sz w:val="18"/>
                <w:lang w:val="es-ES"/>
              </w:rPr>
              <w:t>,</w:t>
            </w:r>
            <w:r w:rsidRPr="00AE4E8D">
              <w:rPr>
                <w:rFonts w:ascii="Times New Roman" w:hAnsi="Times New Roman"/>
                <w:color w:val="000000"/>
                <w:sz w:val="18"/>
                <w:lang w:val="es-ES"/>
              </w:rPr>
              <w:t>96</w:t>
            </w:r>
            <w:r w:rsidR="00D75839" w:rsidRPr="00AE4E8D">
              <w:rPr>
                <w:rFonts w:ascii="Times New Roman" w:hAnsi="Times New Roman"/>
                <w:color w:val="000000"/>
                <w:sz w:val="18"/>
                <w:lang w:val="es-ES"/>
              </w:rPr>
              <w:t>%</w:t>
            </w:r>
          </w:p>
        </w:tc>
      </w:tr>
      <w:tr w:rsidR="00D75839" w:rsidRPr="00AE4E8D" w14:paraId="0632CB9F" w14:textId="77777777" w:rsidTr="000400C8">
        <w:trPr>
          <w:gridAfter w:val="1"/>
          <w:wAfter w:w="21" w:type="pct"/>
          <w:trHeight w:val="480"/>
          <w:jc w:val="center"/>
        </w:trPr>
        <w:tc>
          <w:tcPr>
            <w:tcW w:w="1906" w:type="pct"/>
            <w:tcBorders>
              <w:top w:val="nil"/>
              <w:left w:val="nil"/>
              <w:bottom w:val="nil"/>
              <w:right w:val="nil"/>
            </w:tcBorders>
            <w:vAlign w:val="bottom"/>
          </w:tcPr>
          <w:p w14:paraId="3C426D58" w14:textId="77777777" w:rsidR="00D75839" w:rsidRPr="00AE4E8D" w:rsidRDefault="00D75839" w:rsidP="00350E47">
            <w:pPr>
              <w:widowControl w:val="0"/>
              <w:tabs>
                <w:tab w:val="right" w:leader="dot" w:pos="5310"/>
              </w:tabs>
              <w:spacing w:before="120" w:after="120"/>
              <w:ind w:left="-28" w:right="890"/>
              <w:rPr>
                <w:rFonts w:ascii="Times New Roman" w:hAnsi="Times New Roman"/>
                <w:sz w:val="18"/>
                <w:lang w:val="es-ES"/>
              </w:rPr>
            </w:pPr>
            <w:r w:rsidRPr="00AE4E8D">
              <w:rPr>
                <w:rFonts w:ascii="Times New Roman" w:hAnsi="Times New Roman"/>
                <w:sz w:val="18"/>
                <w:lang w:val="es-ES"/>
              </w:rPr>
              <w:t>Banco de la Nación Argentina, como fiduciario del Fideicomiso de Asistencia al Fondo Federal de Infraestructura Regional.</w:t>
            </w:r>
            <w:r w:rsidRPr="00AE4E8D">
              <w:rPr>
                <w:rFonts w:ascii="Times New Roman" w:hAnsi="Times New Roman"/>
                <w:lang w:val="es-ES"/>
              </w:rPr>
              <w:t xml:space="preserve"> </w:t>
            </w:r>
            <w:r w:rsidRPr="00AE4E8D">
              <w:rPr>
                <w:rFonts w:ascii="Times New Roman" w:hAnsi="Times New Roman"/>
                <w:lang w:val="es-ES"/>
              </w:rPr>
              <w:tab/>
            </w:r>
          </w:p>
        </w:tc>
        <w:tc>
          <w:tcPr>
            <w:tcW w:w="399" w:type="pct"/>
            <w:tcBorders>
              <w:top w:val="nil"/>
              <w:left w:val="nil"/>
              <w:bottom w:val="nil"/>
              <w:right w:val="nil"/>
            </w:tcBorders>
            <w:vAlign w:val="bottom"/>
          </w:tcPr>
          <w:p w14:paraId="5B699385" w14:textId="77777777" w:rsidR="00D75839" w:rsidRPr="00AE4E8D" w:rsidRDefault="00D75839" w:rsidP="0018126C">
            <w:pPr>
              <w:widowControl w:val="0"/>
              <w:tabs>
                <w:tab w:val="right" w:leader="dot" w:pos="5310"/>
              </w:tabs>
              <w:spacing w:after="120"/>
              <w:jc w:val="center"/>
              <w:rPr>
                <w:rFonts w:ascii="Times New Roman" w:hAnsi="Times New Roman"/>
                <w:sz w:val="18"/>
                <w:lang w:val="es-ES"/>
              </w:rPr>
            </w:pPr>
            <w:r w:rsidRPr="00AE4E8D">
              <w:rPr>
                <w:rFonts w:ascii="Times New Roman" w:hAnsi="Times New Roman"/>
                <w:sz w:val="18"/>
                <w:lang w:val="es-ES"/>
              </w:rPr>
              <w:t>C</w:t>
            </w:r>
          </w:p>
        </w:tc>
        <w:tc>
          <w:tcPr>
            <w:tcW w:w="722" w:type="pct"/>
            <w:tcBorders>
              <w:top w:val="nil"/>
              <w:left w:val="nil"/>
              <w:bottom w:val="nil"/>
              <w:right w:val="nil"/>
            </w:tcBorders>
            <w:vAlign w:val="bottom"/>
          </w:tcPr>
          <w:p w14:paraId="7C4D4B40"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75.000.000</w:t>
            </w:r>
          </w:p>
        </w:tc>
        <w:tc>
          <w:tcPr>
            <w:tcW w:w="546" w:type="pct"/>
            <w:tcBorders>
              <w:top w:val="nil"/>
              <w:left w:val="nil"/>
              <w:bottom w:val="nil"/>
              <w:right w:val="nil"/>
            </w:tcBorders>
            <w:vAlign w:val="bottom"/>
          </w:tcPr>
          <w:p w14:paraId="3C4CD2B5" w14:textId="77777777" w:rsidR="00D75839" w:rsidRPr="00AE4E8D" w:rsidRDefault="00D75839" w:rsidP="00391E10">
            <w:pPr>
              <w:widowControl w:val="0"/>
              <w:tabs>
                <w:tab w:val="right" w:leader="dot" w:pos="5310"/>
              </w:tabs>
              <w:spacing w:after="120"/>
              <w:ind w:left="25"/>
              <w:jc w:val="right"/>
              <w:rPr>
                <w:rFonts w:ascii="Times New Roman" w:hAnsi="Times New Roman"/>
                <w:color w:val="000000"/>
                <w:sz w:val="18"/>
                <w:lang w:val="es-ES"/>
              </w:rPr>
            </w:pPr>
            <w:r w:rsidRPr="00AE4E8D">
              <w:rPr>
                <w:rFonts w:ascii="Times New Roman" w:hAnsi="Times New Roman"/>
                <w:color w:val="000000"/>
                <w:sz w:val="18"/>
                <w:lang w:val="es-ES"/>
              </w:rPr>
              <w:t>5,00%</w:t>
            </w:r>
          </w:p>
        </w:tc>
        <w:tc>
          <w:tcPr>
            <w:tcW w:w="817" w:type="pct"/>
            <w:tcBorders>
              <w:top w:val="nil"/>
              <w:left w:val="nil"/>
              <w:bottom w:val="nil"/>
              <w:right w:val="nil"/>
            </w:tcBorders>
            <w:vAlign w:val="bottom"/>
          </w:tcPr>
          <w:p w14:paraId="6A3C385A" w14:textId="77777777" w:rsidR="00D75839" w:rsidRPr="00AE4E8D" w:rsidRDefault="00D75839" w:rsidP="00391E10">
            <w:pPr>
              <w:widowControl w:val="0"/>
              <w:tabs>
                <w:tab w:val="right" w:leader="dot" w:pos="5310"/>
              </w:tabs>
              <w:spacing w:after="120"/>
              <w:ind w:left="22" w:right="54"/>
              <w:jc w:val="right"/>
              <w:rPr>
                <w:rFonts w:ascii="Times New Roman" w:hAnsi="Times New Roman"/>
                <w:color w:val="000000"/>
                <w:sz w:val="18"/>
                <w:lang w:val="es-ES"/>
              </w:rPr>
            </w:pPr>
            <w:r w:rsidRPr="00AE4E8D">
              <w:rPr>
                <w:rFonts w:ascii="Times New Roman" w:hAnsi="Times New Roman"/>
                <w:color w:val="000000"/>
                <w:sz w:val="18"/>
                <w:lang w:val="es-ES"/>
              </w:rPr>
              <w:t>75.000.000</w:t>
            </w:r>
          </w:p>
        </w:tc>
        <w:tc>
          <w:tcPr>
            <w:tcW w:w="588" w:type="pct"/>
            <w:tcBorders>
              <w:top w:val="nil"/>
              <w:left w:val="nil"/>
              <w:bottom w:val="nil"/>
              <w:right w:val="nil"/>
            </w:tcBorders>
            <w:vAlign w:val="bottom"/>
          </w:tcPr>
          <w:p w14:paraId="234AC34B"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2,</w:t>
            </w:r>
            <w:r w:rsidR="00C63792" w:rsidRPr="00AE4E8D">
              <w:rPr>
                <w:rFonts w:ascii="Times New Roman" w:hAnsi="Times New Roman"/>
                <w:color w:val="000000"/>
                <w:sz w:val="18"/>
                <w:lang w:val="es-ES"/>
              </w:rPr>
              <w:t>5</w:t>
            </w:r>
            <w:r w:rsidRPr="00AE4E8D">
              <w:rPr>
                <w:rFonts w:ascii="Times New Roman" w:hAnsi="Times New Roman"/>
                <w:color w:val="000000"/>
                <w:sz w:val="18"/>
                <w:lang w:val="es-ES"/>
              </w:rPr>
              <w:t>8%</w:t>
            </w:r>
          </w:p>
        </w:tc>
      </w:tr>
      <w:tr w:rsidR="00D75839" w:rsidRPr="00AE4E8D" w14:paraId="446BC695" w14:textId="77777777" w:rsidTr="000400C8">
        <w:trPr>
          <w:gridAfter w:val="1"/>
          <w:wAfter w:w="21" w:type="pct"/>
          <w:trHeight w:val="270"/>
          <w:jc w:val="center"/>
        </w:trPr>
        <w:tc>
          <w:tcPr>
            <w:tcW w:w="1906" w:type="pct"/>
            <w:tcBorders>
              <w:top w:val="nil"/>
              <w:left w:val="nil"/>
              <w:bottom w:val="nil"/>
              <w:right w:val="nil"/>
            </w:tcBorders>
            <w:vAlign w:val="bottom"/>
          </w:tcPr>
          <w:p w14:paraId="65BA4F27" w14:textId="77777777" w:rsidR="00D75839" w:rsidRPr="00AE4E8D" w:rsidRDefault="00D75839" w:rsidP="00350E47">
            <w:pPr>
              <w:widowControl w:val="0"/>
              <w:tabs>
                <w:tab w:val="right" w:leader="dot" w:pos="5310"/>
              </w:tabs>
              <w:spacing w:before="120" w:after="120"/>
              <w:ind w:left="-28" w:right="752"/>
              <w:rPr>
                <w:rFonts w:ascii="Times New Roman" w:hAnsi="Times New Roman"/>
                <w:color w:val="000000"/>
                <w:sz w:val="18"/>
                <w:lang w:val="en-US"/>
              </w:rPr>
            </w:pPr>
            <w:r w:rsidRPr="00AE4E8D">
              <w:rPr>
                <w:rFonts w:ascii="Times New Roman" w:hAnsi="Times New Roman"/>
                <w:color w:val="000000"/>
                <w:sz w:val="18"/>
                <w:lang w:val="en-US"/>
              </w:rPr>
              <w:t>The Bank of New York ADRs (3)</w:t>
            </w:r>
            <w:r w:rsidRPr="00AE4E8D">
              <w:rPr>
                <w:rFonts w:ascii="Times New Roman" w:hAnsi="Times New Roman"/>
                <w:lang w:val="en-US"/>
              </w:rPr>
              <w:t xml:space="preserve"> </w:t>
            </w:r>
            <w:r w:rsidRPr="00AE4E8D">
              <w:rPr>
                <w:rFonts w:ascii="Times New Roman" w:hAnsi="Times New Roman"/>
                <w:lang w:val="en-US"/>
              </w:rPr>
              <w:tab/>
            </w:r>
          </w:p>
        </w:tc>
        <w:tc>
          <w:tcPr>
            <w:tcW w:w="399" w:type="pct"/>
            <w:tcBorders>
              <w:top w:val="nil"/>
              <w:left w:val="nil"/>
              <w:bottom w:val="nil"/>
              <w:right w:val="nil"/>
            </w:tcBorders>
            <w:vAlign w:val="bottom"/>
          </w:tcPr>
          <w:p w14:paraId="377B7471" w14:textId="77777777" w:rsidR="00D75839" w:rsidRPr="00AE4E8D" w:rsidRDefault="00D75839" w:rsidP="0018126C">
            <w:pPr>
              <w:widowControl w:val="0"/>
              <w:tabs>
                <w:tab w:val="right" w:leader="dot" w:pos="5310"/>
              </w:tabs>
              <w:spacing w:after="120"/>
              <w:jc w:val="center"/>
              <w:rPr>
                <w:rFonts w:ascii="Times New Roman" w:hAnsi="Times New Roman"/>
                <w:sz w:val="18"/>
                <w:lang w:val="es-ES"/>
              </w:rPr>
            </w:pPr>
            <w:r w:rsidRPr="00AE4E8D">
              <w:rPr>
                <w:rFonts w:ascii="Times New Roman" w:hAnsi="Times New Roman"/>
                <w:sz w:val="18"/>
                <w:lang w:val="es-ES"/>
              </w:rPr>
              <w:t>D</w:t>
            </w:r>
          </w:p>
        </w:tc>
        <w:tc>
          <w:tcPr>
            <w:tcW w:w="722" w:type="pct"/>
            <w:tcBorders>
              <w:top w:val="nil"/>
              <w:left w:val="nil"/>
              <w:bottom w:val="nil"/>
              <w:right w:val="nil"/>
            </w:tcBorders>
            <w:vAlign w:val="bottom"/>
          </w:tcPr>
          <w:p w14:paraId="162EF4C3"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90.905.000</w:t>
            </w:r>
          </w:p>
        </w:tc>
        <w:tc>
          <w:tcPr>
            <w:tcW w:w="546" w:type="pct"/>
            <w:tcBorders>
              <w:top w:val="nil"/>
              <w:left w:val="nil"/>
              <w:bottom w:val="nil"/>
              <w:right w:val="nil"/>
            </w:tcBorders>
            <w:vAlign w:val="bottom"/>
          </w:tcPr>
          <w:p w14:paraId="22708AEC" w14:textId="77777777" w:rsidR="00D75839" w:rsidRPr="00AE4E8D" w:rsidRDefault="00D75839" w:rsidP="00391E10">
            <w:pPr>
              <w:widowControl w:val="0"/>
              <w:tabs>
                <w:tab w:val="right" w:leader="dot" w:pos="5310"/>
              </w:tabs>
              <w:spacing w:after="120"/>
              <w:ind w:left="25"/>
              <w:jc w:val="right"/>
              <w:rPr>
                <w:rFonts w:ascii="Times New Roman" w:hAnsi="Times New Roman"/>
                <w:color w:val="000000"/>
                <w:sz w:val="18"/>
                <w:lang w:val="es-ES"/>
              </w:rPr>
            </w:pPr>
            <w:r w:rsidRPr="00AE4E8D">
              <w:rPr>
                <w:rFonts w:ascii="Times New Roman" w:hAnsi="Times New Roman"/>
                <w:color w:val="000000"/>
                <w:sz w:val="18"/>
                <w:lang w:val="es-ES"/>
              </w:rPr>
              <w:t>6,06%</w:t>
            </w:r>
          </w:p>
        </w:tc>
        <w:tc>
          <w:tcPr>
            <w:tcW w:w="817" w:type="pct"/>
            <w:tcBorders>
              <w:top w:val="nil"/>
              <w:left w:val="nil"/>
              <w:bottom w:val="nil"/>
              <w:right w:val="nil"/>
            </w:tcBorders>
            <w:vAlign w:val="bottom"/>
          </w:tcPr>
          <w:p w14:paraId="528E4E69" w14:textId="77777777" w:rsidR="00D75839" w:rsidRPr="00AE4E8D" w:rsidRDefault="00D75839" w:rsidP="00391E10">
            <w:pPr>
              <w:widowControl w:val="0"/>
              <w:tabs>
                <w:tab w:val="right" w:leader="dot" w:pos="5310"/>
              </w:tabs>
              <w:spacing w:after="120"/>
              <w:ind w:left="22" w:right="54"/>
              <w:jc w:val="right"/>
              <w:rPr>
                <w:rFonts w:ascii="Times New Roman" w:hAnsi="Times New Roman"/>
                <w:color w:val="000000"/>
                <w:sz w:val="18"/>
                <w:lang w:val="es-ES"/>
              </w:rPr>
            </w:pPr>
            <w:r w:rsidRPr="00AE4E8D">
              <w:rPr>
                <w:rFonts w:ascii="Times New Roman" w:hAnsi="Times New Roman"/>
                <w:color w:val="000000"/>
                <w:sz w:val="18"/>
                <w:lang w:val="es-ES"/>
              </w:rPr>
              <w:t>272.715.000</w:t>
            </w:r>
          </w:p>
        </w:tc>
        <w:tc>
          <w:tcPr>
            <w:tcW w:w="588" w:type="pct"/>
            <w:tcBorders>
              <w:top w:val="nil"/>
              <w:left w:val="nil"/>
              <w:bottom w:val="nil"/>
              <w:right w:val="nil"/>
            </w:tcBorders>
            <w:vAlign w:val="bottom"/>
          </w:tcPr>
          <w:p w14:paraId="3862E158"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9,</w:t>
            </w:r>
            <w:r w:rsidR="00C63792" w:rsidRPr="00AE4E8D">
              <w:rPr>
                <w:rFonts w:ascii="Times New Roman" w:hAnsi="Times New Roman"/>
                <w:color w:val="000000"/>
                <w:sz w:val="18"/>
                <w:lang w:val="es-ES"/>
              </w:rPr>
              <w:t>38</w:t>
            </w:r>
            <w:r w:rsidRPr="00AE4E8D">
              <w:rPr>
                <w:rFonts w:ascii="Times New Roman" w:hAnsi="Times New Roman"/>
                <w:color w:val="000000"/>
                <w:sz w:val="18"/>
                <w:lang w:val="es-ES"/>
              </w:rPr>
              <w:t>%</w:t>
            </w:r>
          </w:p>
        </w:tc>
      </w:tr>
      <w:tr w:rsidR="00D75839" w:rsidRPr="00AE4E8D" w14:paraId="73B6E539" w14:textId="77777777" w:rsidTr="000400C8">
        <w:trPr>
          <w:gridAfter w:val="1"/>
          <w:wAfter w:w="21" w:type="pct"/>
          <w:trHeight w:val="270"/>
          <w:jc w:val="center"/>
        </w:trPr>
        <w:tc>
          <w:tcPr>
            <w:tcW w:w="1906" w:type="pct"/>
            <w:tcBorders>
              <w:top w:val="nil"/>
              <w:left w:val="nil"/>
              <w:bottom w:val="nil"/>
              <w:right w:val="nil"/>
            </w:tcBorders>
            <w:vAlign w:val="bottom"/>
          </w:tcPr>
          <w:p w14:paraId="75AE2542" w14:textId="77777777" w:rsidR="00D75839" w:rsidRPr="00AE4E8D" w:rsidRDefault="00D75839" w:rsidP="00350E47">
            <w:pPr>
              <w:widowControl w:val="0"/>
              <w:tabs>
                <w:tab w:val="left" w:leader="dot" w:pos="4111"/>
                <w:tab w:val="right" w:leader="dot" w:pos="5310"/>
              </w:tabs>
              <w:spacing w:before="120" w:after="120"/>
              <w:ind w:left="-28" w:right="752"/>
              <w:rPr>
                <w:rFonts w:ascii="Times New Roman" w:hAnsi="Times New Roman"/>
                <w:sz w:val="18"/>
                <w:lang w:val="es-ES"/>
              </w:rPr>
            </w:pPr>
            <w:r w:rsidRPr="00AE4E8D">
              <w:rPr>
                <w:rFonts w:ascii="Times New Roman" w:hAnsi="Times New Roman"/>
                <w:sz w:val="18"/>
                <w:lang w:val="es-ES"/>
              </w:rPr>
              <w:t>Accionistas Principales (4)</w:t>
            </w:r>
            <w:r w:rsidRPr="00AE4E8D">
              <w:rPr>
                <w:rFonts w:ascii="Times New Roman" w:hAnsi="Times New Roman"/>
                <w:lang w:val="es-ES"/>
              </w:rPr>
              <w:t xml:space="preserve"> </w:t>
            </w:r>
            <w:r w:rsidRPr="00AE4E8D">
              <w:rPr>
                <w:rFonts w:ascii="Times New Roman" w:hAnsi="Times New Roman"/>
                <w:lang w:val="es-ES"/>
              </w:rPr>
              <w:tab/>
            </w:r>
          </w:p>
        </w:tc>
        <w:tc>
          <w:tcPr>
            <w:tcW w:w="399" w:type="pct"/>
            <w:tcBorders>
              <w:top w:val="nil"/>
              <w:left w:val="nil"/>
              <w:bottom w:val="nil"/>
              <w:right w:val="nil"/>
            </w:tcBorders>
            <w:vAlign w:val="bottom"/>
          </w:tcPr>
          <w:p w14:paraId="34D83ABB" w14:textId="77777777" w:rsidR="00D75839" w:rsidRPr="00AE4E8D" w:rsidRDefault="00D75839" w:rsidP="0018126C">
            <w:pPr>
              <w:widowControl w:val="0"/>
              <w:tabs>
                <w:tab w:val="right" w:leader="dot" w:pos="5310"/>
              </w:tabs>
              <w:spacing w:after="120"/>
              <w:jc w:val="center"/>
              <w:rPr>
                <w:rFonts w:ascii="Times New Roman" w:hAnsi="Times New Roman"/>
                <w:sz w:val="18"/>
                <w:lang w:val="es-ES"/>
              </w:rPr>
            </w:pPr>
            <w:r w:rsidRPr="00AE4E8D">
              <w:rPr>
                <w:rFonts w:ascii="Times New Roman" w:hAnsi="Times New Roman"/>
                <w:sz w:val="18"/>
                <w:lang w:val="es-ES"/>
              </w:rPr>
              <w:t>D</w:t>
            </w:r>
          </w:p>
        </w:tc>
        <w:tc>
          <w:tcPr>
            <w:tcW w:w="722" w:type="pct"/>
            <w:tcBorders>
              <w:top w:val="nil"/>
              <w:left w:val="nil"/>
              <w:bottom w:val="nil"/>
              <w:right w:val="nil"/>
            </w:tcBorders>
            <w:vAlign w:val="bottom"/>
          </w:tcPr>
          <w:p w14:paraId="6651E52F"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448.689.072</w:t>
            </w:r>
          </w:p>
        </w:tc>
        <w:tc>
          <w:tcPr>
            <w:tcW w:w="546" w:type="pct"/>
            <w:tcBorders>
              <w:top w:val="nil"/>
              <w:left w:val="nil"/>
              <w:bottom w:val="nil"/>
              <w:right w:val="nil"/>
            </w:tcBorders>
            <w:vAlign w:val="bottom"/>
          </w:tcPr>
          <w:p w14:paraId="6ED22053" w14:textId="77777777" w:rsidR="00D75839" w:rsidRPr="00AE4E8D" w:rsidRDefault="00D75839" w:rsidP="001C5C49">
            <w:pPr>
              <w:widowControl w:val="0"/>
              <w:tabs>
                <w:tab w:val="right" w:leader="dot" w:pos="5310"/>
              </w:tabs>
              <w:spacing w:after="120"/>
              <w:ind w:left="25"/>
              <w:jc w:val="right"/>
              <w:rPr>
                <w:rFonts w:ascii="Times New Roman" w:hAnsi="Times New Roman"/>
                <w:color w:val="000000"/>
                <w:sz w:val="18"/>
                <w:lang w:val="es-ES"/>
              </w:rPr>
            </w:pPr>
            <w:r w:rsidRPr="00AE4E8D">
              <w:rPr>
                <w:rFonts w:ascii="Times New Roman" w:hAnsi="Times New Roman"/>
                <w:color w:val="000000"/>
                <w:sz w:val="18"/>
                <w:lang w:val="es-ES"/>
              </w:rPr>
              <w:t>29,9</w:t>
            </w:r>
            <w:r w:rsidR="001C5C49" w:rsidRPr="00AE4E8D">
              <w:rPr>
                <w:rFonts w:ascii="Times New Roman" w:hAnsi="Times New Roman"/>
                <w:color w:val="000000"/>
                <w:sz w:val="18"/>
                <w:lang w:val="es-ES"/>
              </w:rPr>
              <w:t>2</w:t>
            </w:r>
            <w:r w:rsidRPr="00AE4E8D">
              <w:rPr>
                <w:rFonts w:ascii="Times New Roman" w:hAnsi="Times New Roman"/>
                <w:color w:val="000000"/>
                <w:sz w:val="18"/>
                <w:lang w:val="es-ES"/>
              </w:rPr>
              <w:t>%</w:t>
            </w:r>
          </w:p>
        </w:tc>
        <w:tc>
          <w:tcPr>
            <w:tcW w:w="817" w:type="pct"/>
            <w:tcBorders>
              <w:top w:val="nil"/>
              <w:left w:val="nil"/>
              <w:bottom w:val="nil"/>
              <w:right w:val="nil"/>
            </w:tcBorders>
            <w:vAlign w:val="bottom"/>
          </w:tcPr>
          <w:p w14:paraId="0E2F11B5" w14:textId="77777777" w:rsidR="00D75839" w:rsidRPr="00AE4E8D" w:rsidRDefault="00D75839" w:rsidP="00391E10">
            <w:pPr>
              <w:widowControl w:val="0"/>
              <w:tabs>
                <w:tab w:val="right" w:leader="dot" w:pos="5310"/>
              </w:tabs>
              <w:spacing w:after="120"/>
              <w:ind w:left="22" w:right="54"/>
              <w:jc w:val="right"/>
              <w:rPr>
                <w:rFonts w:ascii="Times New Roman" w:hAnsi="Times New Roman"/>
                <w:color w:val="000000"/>
                <w:sz w:val="18"/>
                <w:lang w:val="es-ES"/>
              </w:rPr>
            </w:pPr>
            <w:r w:rsidRPr="00AE4E8D">
              <w:rPr>
                <w:rFonts w:ascii="Times New Roman" w:hAnsi="Times New Roman"/>
                <w:color w:val="000000"/>
                <w:sz w:val="18"/>
                <w:lang w:val="es-ES"/>
              </w:rPr>
              <w:t>1.346.067.216</w:t>
            </w:r>
          </w:p>
        </w:tc>
        <w:tc>
          <w:tcPr>
            <w:tcW w:w="588" w:type="pct"/>
            <w:tcBorders>
              <w:top w:val="nil"/>
              <w:left w:val="nil"/>
              <w:bottom w:val="nil"/>
              <w:right w:val="nil"/>
            </w:tcBorders>
            <w:vAlign w:val="bottom"/>
          </w:tcPr>
          <w:p w14:paraId="3EC7027A" w14:textId="77777777" w:rsidR="00D75839" w:rsidRPr="00AE4E8D" w:rsidRDefault="00D75839" w:rsidP="001C5C49">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4</w:t>
            </w:r>
            <w:r w:rsidR="00092BB2" w:rsidRPr="00AE4E8D">
              <w:rPr>
                <w:rFonts w:ascii="Times New Roman" w:hAnsi="Times New Roman"/>
                <w:color w:val="000000"/>
                <w:sz w:val="18"/>
                <w:lang w:val="es-ES"/>
              </w:rPr>
              <w:t>6</w:t>
            </w:r>
            <w:r w:rsidRPr="00AE4E8D">
              <w:rPr>
                <w:rFonts w:ascii="Times New Roman" w:hAnsi="Times New Roman"/>
                <w:color w:val="000000"/>
                <w:sz w:val="18"/>
                <w:lang w:val="es-ES"/>
              </w:rPr>
              <w:t>,</w:t>
            </w:r>
            <w:r w:rsidR="00092BB2" w:rsidRPr="00AE4E8D">
              <w:rPr>
                <w:rFonts w:ascii="Times New Roman" w:hAnsi="Times New Roman"/>
                <w:color w:val="000000"/>
                <w:sz w:val="18"/>
                <w:lang w:val="es-ES"/>
              </w:rPr>
              <w:t>3</w:t>
            </w:r>
            <w:r w:rsidR="00863248" w:rsidRPr="00AE4E8D">
              <w:rPr>
                <w:rFonts w:ascii="Times New Roman" w:hAnsi="Times New Roman"/>
                <w:color w:val="000000"/>
                <w:sz w:val="18"/>
                <w:lang w:val="es-ES"/>
              </w:rPr>
              <w:t>2</w:t>
            </w:r>
            <w:r w:rsidRPr="00AE4E8D">
              <w:rPr>
                <w:rFonts w:ascii="Times New Roman" w:hAnsi="Times New Roman"/>
                <w:color w:val="000000"/>
                <w:sz w:val="18"/>
                <w:lang w:val="es-ES"/>
              </w:rPr>
              <w:t>%</w:t>
            </w:r>
          </w:p>
        </w:tc>
      </w:tr>
      <w:tr w:rsidR="00D75839" w:rsidRPr="00AE4E8D" w14:paraId="2E2FE25F" w14:textId="77777777" w:rsidTr="000400C8">
        <w:trPr>
          <w:gridAfter w:val="1"/>
          <w:wAfter w:w="21" w:type="pct"/>
          <w:trHeight w:val="255"/>
          <w:jc w:val="center"/>
        </w:trPr>
        <w:tc>
          <w:tcPr>
            <w:tcW w:w="1906" w:type="pct"/>
            <w:tcBorders>
              <w:top w:val="nil"/>
              <w:left w:val="nil"/>
              <w:bottom w:val="nil"/>
              <w:right w:val="nil"/>
            </w:tcBorders>
            <w:vAlign w:val="bottom"/>
          </w:tcPr>
          <w:p w14:paraId="4A84B2EB" w14:textId="77777777" w:rsidR="00D75839" w:rsidRPr="00AE4E8D" w:rsidRDefault="00D75839" w:rsidP="00350E47">
            <w:pPr>
              <w:widowControl w:val="0"/>
              <w:tabs>
                <w:tab w:val="left" w:leader="dot" w:pos="4111"/>
                <w:tab w:val="right" w:leader="dot" w:pos="5310"/>
              </w:tabs>
              <w:spacing w:before="120" w:after="120"/>
              <w:ind w:left="-28" w:right="752"/>
              <w:rPr>
                <w:rFonts w:ascii="Times New Roman" w:hAnsi="Times New Roman"/>
                <w:sz w:val="18"/>
                <w:lang w:val="es-ES"/>
              </w:rPr>
            </w:pPr>
            <w:r w:rsidRPr="00AE4E8D">
              <w:rPr>
                <w:rFonts w:ascii="Times New Roman" w:hAnsi="Times New Roman"/>
                <w:sz w:val="18"/>
                <w:lang w:val="es-ES"/>
              </w:rPr>
              <w:t>Banco Hipotecario S.A. (5)</w:t>
            </w:r>
            <w:r w:rsidRPr="00AE4E8D">
              <w:rPr>
                <w:rFonts w:ascii="Times New Roman" w:hAnsi="Times New Roman"/>
                <w:lang w:val="es-ES"/>
              </w:rPr>
              <w:t xml:space="preserve"> </w:t>
            </w:r>
            <w:r w:rsidRPr="00AE4E8D">
              <w:rPr>
                <w:rFonts w:ascii="Times New Roman" w:hAnsi="Times New Roman"/>
                <w:lang w:val="es-ES"/>
              </w:rPr>
              <w:tab/>
            </w:r>
          </w:p>
        </w:tc>
        <w:tc>
          <w:tcPr>
            <w:tcW w:w="399" w:type="pct"/>
            <w:tcBorders>
              <w:top w:val="nil"/>
              <w:left w:val="nil"/>
              <w:bottom w:val="nil"/>
              <w:right w:val="nil"/>
            </w:tcBorders>
            <w:vAlign w:val="bottom"/>
          </w:tcPr>
          <w:p w14:paraId="5FD0BAE9" w14:textId="77777777" w:rsidR="00D75839" w:rsidRPr="00AE4E8D" w:rsidRDefault="00D75839" w:rsidP="0018126C">
            <w:pPr>
              <w:widowControl w:val="0"/>
              <w:tabs>
                <w:tab w:val="right" w:leader="dot" w:pos="5310"/>
              </w:tabs>
              <w:spacing w:after="120"/>
              <w:jc w:val="center"/>
              <w:rPr>
                <w:rFonts w:ascii="Times New Roman" w:hAnsi="Times New Roman"/>
                <w:sz w:val="18"/>
                <w:lang w:val="es-ES"/>
              </w:rPr>
            </w:pPr>
            <w:r w:rsidRPr="00AE4E8D">
              <w:rPr>
                <w:rFonts w:ascii="Times New Roman" w:hAnsi="Times New Roman"/>
                <w:sz w:val="18"/>
                <w:lang w:val="es-ES"/>
              </w:rPr>
              <w:t>D</w:t>
            </w:r>
          </w:p>
        </w:tc>
        <w:tc>
          <w:tcPr>
            <w:tcW w:w="722" w:type="pct"/>
            <w:tcBorders>
              <w:top w:val="nil"/>
              <w:left w:val="nil"/>
              <w:bottom w:val="nil"/>
              <w:right w:val="nil"/>
            </w:tcBorders>
            <w:vAlign w:val="bottom"/>
          </w:tcPr>
          <w:p w14:paraId="659F58CE"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36.634.733</w:t>
            </w:r>
          </w:p>
        </w:tc>
        <w:tc>
          <w:tcPr>
            <w:tcW w:w="546" w:type="pct"/>
            <w:tcBorders>
              <w:top w:val="nil"/>
              <w:left w:val="nil"/>
              <w:bottom w:val="nil"/>
              <w:right w:val="nil"/>
            </w:tcBorders>
            <w:vAlign w:val="bottom"/>
          </w:tcPr>
          <w:p w14:paraId="2D1EC0B6" w14:textId="77777777" w:rsidR="00D75839" w:rsidRPr="00AE4E8D" w:rsidRDefault="00D75839" w:rsidP="00391E10">
            <w:pPr>
              <w:widowControl w:val="0"/>
              <w:tabs>
                <w:tab w:val="right" w:leader="dot" w:pos="5310"/>
              </w:tabs>
              <w:spacing w:after="120"/>
              <w:ind w:left="25"/>
              <w:jc w:val="right"/>
              <w:rPr>
                <w:rFonts w:ascii="Times New Roman" w:hAnsi="Times New Roman"/>
                <w:color w:val="000000"/>
                <w:sz w:val="18"/>
                <w:lang w:val="es-ES"/>
              </w:rPr>
            </w:pPr>
            <w:r w:rsidRPr="00AE4E8D">
              <w:rPr>
                <w:rFonts w:ascii="Times New Roman" w:hAnsi="Times New Roman"/>
                <w:color w:val="000000"/>
                <w:sz w:val="18"/>
                <w:lang w:val="es-ES"/>
              </w:rPr>
              <w:t>2,44%</w:t>
            </w:r>
          </w:p>
        </w:tc>
        <w:tc>
          <w:tcPr>
            <w:tcW w:w="817" w:type="pct"/>
            <w:tcBorders>
              <w:top w:val="nil"/>
              <w:left w:val="nil"/>
              <w:bottom w:val="nil"/>
              <w:right w:val="nil"/>
            </w:tcBorders>
            <w:vAlign w:val="bottom"/>
          </w:tcPr>
          <w:p w14:paraId="0FD3D2D9" w14:textId="77777777" w:rsidR="00D75839" w:rsidRPr="00AE4E8D" w:rsidRDefault="00C63792" w:rsidP="00391E10">
            <w:pPr>
              <w:widowControl w:val="0"/>
              <w:tabs>
                <w:tab w:val="right" w:leader="dot" w:pos="5310"/>
              </w:tabs>
              <w:spacing w:after="120"/>
              <w:ind w:left="22" w:right="54"/>
              <w:jc w:val="right"/>
              <w:rPr>
                <w:rFonts w:ascii="Times New Roman" w:hAnsi="Times New Roman"/>
                <w:color w:val="000000"/>
                <w:sz w:val="18"/>
                <w:lang w:val="es-ES"/>
              </w:rPr>
            </w:pPr>
            <w:r w:rsidRPr="00AE4E8D">
              <w:rPr>
                <w:rFonts w:ascii="Times New Roman" w:hAnsi="Times New Roman"/>
                <w:color w:val="000000"/>
                <w:sz w:val="18"/>
                <w:lang w:val="es-ES"/>
              </w:rPr>
              <w:t>109.904.199</w:t>
            </w:r>
          </w:p>
        </w:tc>
        <w:tc>
          <w:tcPr>
            <w:tcW w:w="588" w:type="pct"/>
            <w:tcBorders>
              <w:top w:val="nil"/>
              <w:left w:val="nil"/>
              <w:bottom w:val="nil"/>
              <w:right w:val="nil"/>
            </w:tcBorders>
            <w:vAlign w:val="bottom"/>
          </w:tcPr>
          <w:p w14:paraId="4C4C824F" w14:textId="77777777" w:rsidR="00D75839" w:rsidRPr="00AE4E8D" w:rsidRDefault="00C63792"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3</w:t>
            </w:r>
            <w:r w:rsidR="00D75839" w:rsidRPr="00AE4E8D">
              <w:rPr>
                <w:rFonts w:ascii="Times New Roman" w:hAnsi="Times New Roman"/>
                <w:color w:val="000000"/>
                <w:sz w:val="18"/>
                <w:lang w:val="es-ES"/>
              </w:rPr>
              <w:t>,</w:t>
            </w:r>
            <w:r w:rsidRPr="00AE4E8D">
              <w:rPr>
                <w:rFonts w:ascii="Times New Roman" w:hAnsi="Times New Roman"/>
                <w:color w:val="000000"/>
                <w:sz w:val="18"/>
                <w:lang w:val="es-ES"/>
              </w:rPr>
              <w:t>78</w:t>
            </w:r>
            <w:r w:rsidR="00D75839" w:rsidRPr="00AE4E8D">
              <w:rPr>
                <w:rFonts w:ascii="Times New Roman" w:hAnsi="Times New Roman"/>
                <w:color w:val="000000"/>
                <w:sz w:val="18"/>
                <w:lang w:val="es-ES"/>
              </w:rPr>
              <w:t>%</w:t>
            </w:r>
          </w:p>
        </w:tc>
      </w:tr>
      <w:tr w:rsidR="00D75839" w:rsidRPr="00AE4E8D" w14:paraId="5692601B" w14:textId="77777777" w:rsidTr="000400C8">
        <w:trPr>
          <w:gridAfter w:val="1"/>
          <w:wAfter w:w="21" w:type="pct"/>
          <w:trHeight w:val="405"/>
          <w:jc w:val="center"/>
        </w:trPr>
        <w:tc>
          <w:tcPr>
            <w:tcW w:w="1906" w:type="pct"/>
            <w:tcBorders>
              <w:top w:val="nil"/>
              <w:left w:val="nil"/>
              <w:bottom w:val="nil"/>
              <w:right w:val="nil"/>
            </w:tcBorders>
            <w:vAlign w:val="bottom"/>
          </w:tcPr>
          <w:p w14:paraId="7E0C2FE6" w14:textId="77777777" w:rsidR="00D75839" w:rsidRPr="00AE4E8D" w:rsidRDefault="00D75839" w:rsidP="00350E47">
            <w:pPr>
              <w:widowControl w:val="0"/>
              <w:tabs>
                <w:tab w:val="left" w:leader="dot" w:pos="4111"/>
                <w:tab w:val="right" w:leader="dot" w:pos="5310"/>
              </w:tabs>
              <w:spacing w:before="120" w:after="120"/>
              <w:ind w:left="-28" w:right="752"/>
              <w:rPr>
                <w:rFonts w:ascii="Times New Roman" w:hAnsi="Times New Roman"/>
                <w:sz w:val="18"/>
                <w:lang w:val="es-ES"/>
              </w:rPr>
            </w:pPr>
            <w:r w:rsidRPr="00AE4E8D">
              <w:rPr>
                <w:rFonts w:ascii="Times New Roman" w:hAnsi="Times New Roman"/>
                <w:sz w:val="18"/>
                <w:lang w:val="es-ES"/>
              </w:rPr>
              <w:t>Tenencias de directores (6)</w:t>
            </w:r>
            <w:r w:rsidRPr="00AE4E8D">
              <w:rPr>
                <w:rFonts w:ascii="Times New Roman" w:hAnsi="Times New Roman"/>
                <w:lang w:val="es-ES"/>
              </w:rPr>
              <w:t xml:space="preserve"> </w:t>
            </w:r>
            <w:r w:rsidRPr="00AE4E8D">
              <w:rPr>
                <w:rFonts w:ascii="Times New Roman" w:hAnsi="Times New Roman"/>
                <w:lang w:val="es-ES"/>
              </w:rPr>
              <w:tab/>
            </w:r>
          </w:p>
        </w:tc>
        <w:tc>
          <w:tcPr>
            <w:tcW w:w="399" w:type="pct"/>
            <w:tcBorders>
              <w:top w:val="nil"/>
              <w:left w:val="nil"/>
              <w:bottom w:val="nil"/>
              <w:right w:val="nil"/>
            </w:tcBorders>
            <w:vAlign w:val="bottom"/>
          </w:tcPr>
          <w:p w14:paraId="34967F25" w14:textId="77777777" w:rsidR="00D75839" w:rsidRPr="00AE4E8D" w:rsidRDefault="00D75839" w:rsidP="0018126C">
            <w:pPr>
              <w:widowControl w:val="0"/>
              <w:tabs>
                <w:tab w:val="right" w:leader="dot" w:pos="5310"/>
              </w:tabs>
              <w:spacing w:after="120"/>
              <w:jc w:val="center"/>
              <w:rPr>
                <w:rFonts w:ascii="Times New Roman" w:hAnsi="Times New Roman"/>
                <w:sz w:val="18"/>
                <w:lang w:val="es-ES"/>
              </w:rPr>
            </w:pPr>
            <w:r w:rsidRPr="00AE4E8D">
              <w:rPr>
                <w:rFonts w:ascii="Times New Roman" w:hAnsi="Times New Roman"/>
                <w:sz w:val="18"/>
                <w:lang w:val="es-ES"/>
              </w:rPr>
              <w:t>D</w:t>
            </w:r>
          </w:p>
        </w:tc>
        <w:tc>
          <w:tcPr>
            <w:tcW w:w="722" w:type="pct"/>
            <w:tcBorders>
              <w:top w:val="nil"/>
              <w:left w:val="nil"/>
              <w:bottom w:val="nil"/>
              <w:right w:val="nil"/>
            </w:tcBorders>
            <w:vAlign w:val="bottom"/>
          </w:tcPr>
          <w:p w14:paraId="0C987A33"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32.100</w:t>
            </w:r>
          </w:p>
        </w:tc>
        <w:tc>
          <w:tcPr>
            <w:tcW w:w="546" w:type="pct"/>
            <w:tcBorders>
              <w:top w:val="nil"/>
              <w:left w:val="nil"/>
              <w:bottom w:val="nil"/>
              <w:right w:val="nil"/>
            </w:tcBorders>
            <w:vAlign w:val="bottom"/>
          </w:tcPr>
          <w:p w14:paraId="50949C24" w14:textId="77777777" w:rsidR="00D75839" w:rsidRPr="00AE4E8D" w:rsidRDefault="00D75839" w:rsidP="00391E10">
            <w:pPr>
              <w:widowControl w:val="0"/>
              <w:tabs>
                <w:tab w:val="right" w:leader="dot" w:pos="5310"/>
              </w:tabs>
              <w:spacing w:after="120"/>
              <w:ind w:left="25"/>
              <w:jc w:val="right"/>
              <w:rPr>
                <w:rFonts w:ascii="Times New Roman" w:hAnsi="Times New Roman"/>
                <w:color w:val="000000"/>
                <w:sz w:val="18"/>
                <w:lang w:val="es-ES"/>
              </w:rPr>
            </w:pPr>
            <w:r w:rsidRPr="00AE4E8D">
              <w:rPr>
                <w:rFonts w:ascii="Times New Roman" w:hAnsi="Times New Roman"/>
                <w:color w:val="000000"/>
                <w:sz w:val="18"/>
                <w:lang w:val="es-ES"/>
              </w:rPr>
              <w:t>0,00%</w:t>
            </w:r>
          </w:p>
        </w:tc>
        <w:tc>
          <w:tcPr>
            <w:tcW w:w="817" w:type="pct"/>
            <w:tcBorders>
              <w:top w:val="nil"/>
              <w:left w:val="nil"/>
              <w:bottom w:val="nil"/>
              <w:right w:val="nil"/>
            </w:tcBorders>
            <w:vAlign w:val="bottom"/>
          </w:tcPr>
          <w:p w14:paraId="7036F1F5" w14:textId="77777777" w:rsidR="00D75839" w:rsidRPr="00AE4E8D" w:rsidRDefault="00D75839" w:rsidP="00391E10">
            <w:pPr>
              <w:widowControl w:val="0"/>
              <w:tabs>
                <w:tab w:val="right" w:leader="dot" w:pos="5310"/>
              </w:tabs>
              <w:spacing w:after="120"/>
              <w:ind w:left="22" w:right="54"/>
              <w:jc w:val="right"/>
              <w:rPr>
                <w:rFonts w:ascii="Times New Roman" w:hAnsi="Times New Roman"/>
                <w:color w:val="000000"/>
                <w:sz w:val="18"/>
                <w:lang w:val="es-ES"/>
              </w:rPr>
            </w:pPr>
            <w:r w:rsidRPr="00AE4E8D">
              <w:rPr>
                <w:rFonts w:ascii="Times New Roman" w:hAnsi="Times New Roman"/>
                <w:color w:val="000000"/>
                <w:sz w:val="18"/>
                <w:lang w:val="es-ES"/>
              </w:rPr>
              <w:t>96.300</w:t>
            </w:r>
          </w:p>
        </w:tc>
        <w:tc>
          <w:tcPr>
            <w:tcW w:w="588" w:type="pct"/>
            <w:tcBorders>
              <w:top w:val="nil"/>
              <w:left w:val="nil"/>
              <w:bottom w:val="nil"/>
              <w:right w:val="nil"/>
            </w:tcBorders>
            <w:vAlign w:val="bottom"/>
          </w:tcPr>
          <w:p w14:paraId="06ED3EE4"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0,00%</w:t>
            </w:r>
          </w:p>
        </w:tc>
      </w:tr>
      <w:tr w:rsidR="00D75839" w:rsidRPr="00AE4E8D" w14:paraId="5C307252" w14:textId="77777777" w:rsidTr="000400C8">
        <w:trPr>
          <w:gridAfter w:val="1"/>
          <w:wAfter w:w="21" w:type="pct"/>
          <w:trHeight w:val="405"/>
          <w:jc w:val="center"/>
        </w:trPr>
        <w:tc>
          <w:tcPr>
            <w:tcW w:w="1906" w:type="pct"/>
            <w:tcBorders>
              <w:top w:val="nil"/>
              <w:left w:val="nil"/>
              <w:bottom w:val="nil"/>
              <w:right w:val="nil"/>
            </w:tcBorders>
            <w:vAlign w:val="bottom"/>
          </w:tcPr>
          <w:p w14:paraId="487DDD40" w14:textId="77777777" w:rsidR="00D75839" w:rsidRPr="00AE4E8D" w:rsidRDefault="00D75839" w:rsidP="00350E47">
            <w:pPr>
              <w:widowControl w:val="0"/>
              <w:tabs>
                <w:tab w:val="left" w:leader="dot" w:pos="4111"/>
                <w:tab w:val="right" w:leader="dot" w:pos="5310"/>
              </w:tabs>
              <w:spacing w:before="120" w:after="120"/>
              <w:ind w:left="-28" w:right="752"/>
              <w:rPr>
                <w:rFonts w:ascii="Times New Roman" w:hAnsi="Times New Roman"/>
                <w:sz w:val="18"/>
                <w:lang w:val="es-ES"/>
              </w:rPr>
            </w:pPr>
            <w:r w:rsidRPr="00AE4E8D">
              <w:rPr>
                <w:rFonts w:ascii="Times New Roman" w:hAnsi="Times New Roman"/>
                <w:sz w:val="18"/>
                <w:lang w:val="es-ES"/>
              </w:rPr>
              <w:t>Otros</w:t>
            </w:r>
            <w:r w:rsidRPr="00AE4E8D">
              <w:rPr>
                <w:rFonts w:ascii="Times New Roman" w:hAnsi="Times New Roman"/>
                <w:lang w:val="es-ES"/>
              </w:rPr>
              <w:tab/>
            </w:r>
          </w:p>
        </w:tc>
        <w:tc>
          <w:tcPr>
            <w:tcW w:w="399" w:type="pct"/>
            <w:tcBorders>
              <w:top w:val="nil"/>
              <w:left w:val="nil"/>
              <w:bottom w:val="nil"/>
              <w:right w:val="nil"/>
            </w:tcBorders>
            <w:vAlign w:val="bottom"/>
          </w:tcPr>
          <w:p w14:paraId="1F9DBA3E" w14:textId="77777777" w:rsidR="00D75839" w:rsidRPr="00AE4E8D" w:rsidRDefault="00D75839" w:rsidP="0018126C">
            <w:pPr>
              <w:widowControl w:val="0"/>
              <w:tabs>
                <w:tab w:val="right" w:leader="dot" w:pos="5310"/>
              </w:tabs>
              <w:spacing w:after="120"/>
              <w:jc w:val="center"/>
              <w:rPr>
                <w:rFonts w:ascii="Times New Roman" w:hAnsi="Times New Roman"/>
                <w:sz w:val="18"/>
                <w:lang w:val="es-ES"/>
              </w:rPr>
            </w:pPr>
            <w:r w:rsidRPr="00AE4E8D">
              <w:rPr>
                <w:rFonts w:ascii="Times New Roman" w:hAnsi="Times New Roman"/>
                <w:sz w:val="18"/>
                <w:lang w:val="es-ES"/>
              </w:rPr>
              <w:t>D</w:t>
            </w:r>
          </w:p>
        </w:tc>
        <w:tc>
          <w:tcPr>
            <w:tcW w:w="722" w:type="pct"/>
            <w:tcBorders>
              <w:top w:val="nil"/>
              <w:left w:val="nil"/>
              <w:bottom w:val="nil"/>
              <w:right w:val="nil"/>
            </w:tcBorders>
            <w:vAlign w:val="bottom"/>
          </w:tcPr>
          <w:p w14:paraId="00FE95C6" w14:textId="77777777" w:rsidR="00D75839" w:rsidRPr="00AE4E8D" w:rsidRDefault="00863248" w:rsidP="00092AD4">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52.863.483</w:t>
            </w:r>
          </w:p>
        </w:tc>
        <w:tc>
          <w:tcPr>
            <w:tcW w:w="546" w:type="pct"/>
            <w:tcBorders>
              <w:top w:val="nil"/>
              <w:left w:val="nil"/>
              <w:bottom w:val="nil"/>
              <w:right w:val="nil"/>
            </w:tcBorders>
            <w:vAlign w:val="bottom"/>
          </w:tcPr>
          <w:p w14:paraId="41C477B7" w14:textId="77777777" w:rsidR="00D75839" w:rsidRPr="00AE4E8D" w:rsidRDefault="00D75839" w:rsidP="00391E10">
            <w:pPr>
              <w:widowControl w:val="0"/>
              <w:tabs>
                <w:tab w:val="right" w:leader="dot" w:pos="5310"/>
              </w:tabs>
              <w:spacing w:after="120"/>
              <w:ind w:left="25"/>
              <w:jc w:val="right"/>
              <w:rPr>
                <w:rFonts w:ascii="Times New Roman" w:hAnsi="Times New Roman"/>
                <w:color w:val="000000"/>
                <w:sz w:val="18"/>
                <w:lang w:val="es-ES"/>
              </w:rPr>
            </w:pPr>
            <w:r w:rsidRPr="00AE4E8D">
              <w:rPr>
                <w:rFonts w:ascii="Times New Roman" w:hAnsi="Times New Roman"/>
                <w:color w:val="000000"/>
                <w:sz w:val="18"/>
                <w:lang w:val="es-ES"/>
              </w:rPr>
              <w:t>3,5</w:t>
            </w:r>
            <w:r w:rsidR="00092BB2" w:rsidRPr="00AE4E8D">
              <w:rPr>
                <w:rFonts w:ascii="Times New Roman" w:hAnsi="Times New Roman"/>
                <w:color w:val="000000"/>
                <w:sz w:val="18"/>
                <w:lang w:val="es-ES"/>
              </w:rPr>
              <w:t>2</w:t>
            </w:r>
            <w:r w:rsidRPr="00AE4E8D">
              <w:rPr>
                <w:rFonts w:ascii="Times New Roman" w:hAnsi="Times New Roman"/>
                <w:color w:val="000000"/>
                <w:sz w:val="18"/>
                <w:lang w:val="es-ES"/>
              </w:rPr>
              <w:t>%</w:t>
            </w:r>
          </w:p>
        </w:tc>
        <w:tc>
          <w:tcPr>
            <w:tcW w:w="817" w:type="pct"/>
            <w:tcBorders>
              <w:top w:val="nil"/>
              <w:left w:val="nil"/>
              <w:bottom w:val="nil"/>
              <w:right w:val="nil"/>
            </w:tcBorders>
            <w:vAlign w:val="bottom"/>
          </w:tcPr>
          <w:p w14:paraId="29317675" w14:textId="77777777" w:rsidR="00D75839" w:rsidRPr="00AE4E8D" w:rsidRDefault="00D75839" w:rsidP="001C5C49">
            <w:pPr>
              <w:widowControl w:val="0"/>
              <w:tabs>
                <w:tab w:val="right" w:leader="dot" w:pos="5310"/>
              </w:tabs>
              <w:spacing w:after="120"/>
              <w:ind w:left="22" w:right="54"/>
              <w:jc w:val="right"/>
              <w:rPr>
                <w:rFonts w:ascii="Times New Roman" w:hAnsi="Times New Roman"/>
                <w:color w:val="000000"/>
                <w:sz w:val="18"/>
                <w:lang w:val="es-ES"/>
              </w:rPr>
            </w:pPr>
            <w:r w:rsidRPr="00AE4E8D">
              <w:rPr>
                <w:rFonts w:ascii="Times New Roman" w:hAnsi="Times New Roman"/>
                <w:color w:val="000000"/>
                <w:sz w:val="18"/>
                <w:lang w:val="es-ES"/>
              </w:rPr>
              <w:t>15</w:t>
            </w:r>
            <w:r w:rsidR="00092BB2" w:rsidRPr="00AE4E8D">
              <w:rPr>
                <w:rFonts w:ascii="Times New Roman" w:hAnsi="Times New Roman"/>
                <w:color w:val="000000"/>
                <w:sz w:val="18"/>
                <w:lang w:val="es-ES"/>
              </w:rPr>
              <w:t>8</w:t>
            </w:r>
            <w:r w:rsidRPr="00AE4E8D">
              <w:rPr>
                <w:rFonts w:ascii="Times New Roman" w:hAnsi="Times New Roman"/>
                <w:color w:val="000000"/>
                <w:sz w:val="18"/>
                <w:lang w:val="es-ES"/>
              </w:rPr>
              <w:t>.</w:t>
            </w:r>
            <w:r w:rsidR="001C5C49" w:rsidRPr="00AE4E8D">
              <w:rPr>
                <w:rFonts w:ascii="Times New Roman" w:hAnsi="Times New Roman"/>
                <w:color w:val="000000"/>
                <w:sz w:val="18"/>
                <w:lang w:val="es-ES"/>
              </w:rPr>
              <w:t>717.894</w:t>
            </w:r>
          </w:p>
        </w:tc>
        <w:tc>
          <w:tcPr>
            <w:tcW w:w="588" w:type="pct"/>
            <w:tcBorders>
              <w:top w:val="nil"/>
              <w:left w:val="nil"/>
              <w:bottom w:val="nil"/>
              <w:right w:val="nil"/>
            </w:tcBorders>
            <w:vAlign w:val="bottom"/>
          </w:tcPr>
          <w:p w14:paraId="699A36AD" w14:textId="77777777" w:rsidR="00D75839" w:rsidRPr="00AE4E8D" w:rsidRDefault="00D75839" w:rsidP="001C5C49">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5,</w:t>
            </w:r>
            <w:r w:rsidR="00092BB2" w:rsidRPr="00AE4E8D">
              <w:rPr>
                <w:rFonts w:ascii="Times New Roman" w:hAnsi="Times New Roman"/>
                <w:color w:val="000000"/>
                <w:sz w:val="18"/>
                <w:lang w:val="es-ES"/>
              </w:rPr>
              <w:t>4</w:t>
            </w:r>
            <w:r w:rsidR="00863248" w:rsidRPr="00AE4E8D">
              <w:rPr>
                <w:rFonts w:ascii="Times New Roman" w:hAnsi="Times New Roman"/>
                <w:color w:val="000000"/>
                <w:sz w:val="18"/>
                <w:lang w:val="es-ES"/>
              </w:rPr>
              <w:t>6</w:t>
            </w:r>
            <w:r w:rsidRPr="00AE4E8D">
              <w:rPr>
                <w:rFonts w:ascii="Times New Roman" w:hAnsi="Times New Roman"/>
                <w:color w:val="000000"/>
                <w:sz w:val="18"/>
                <w:lang w:val="es-ES"/>
              </w:rPr>
              <w:t>%</w:t>
            </w:r>
          </w:p>
        </w:tc>
      </w:tr>
      <w:tr w:rsidR="003B5193" w:rsidRPr="00AE4E8D" w14:paraId="3E1FBB50" w14:textId="77777777" w:rsidTr="00241071">
        <w:trPr>
          <w:gridAfter w:val="1"/>
          <w:wAfter w:w="21" w:type="pct"/>
          <w:trHeight w:val="270"/>
          <w:jc w:val="center"/>
        </w:trPr>
        <w:tc>
          <w:tcPr>
            <w:tcW w:w="1906" w:type="pct"/>
            <w:tcBorders>
              <w:top w:val="nil"/>
              <w:left w:val="nil"/>
              <w:bottom w:val="nil"/>
              <w:right w:val="nil"/>
            </w:tcBorders>
            <w:vAlign w:val="bottom"/>
          </w:tcPr>
          <w:p w14:paraId="499EAE12" w14:textId="77777777" w:rsidR="00D75839" w:rsidRPr="00AE4E8D" w:rsidRDefault="00D75839" w:rsidP="00350E47">
            <w:pPr>
              <w:widowControl w:val="0"/>
              <w:tabs>
                <w:tab w:val="left" w:leader="dot" w:pos="4002"/>
                <w:tab w:val="right" w:leader="dot" w:pos="5310"/>
              </w:tabs>
              <w:spacing w:before="120" w:after="120"/>
              <w:ind w:left="-28" w:right="752"/>
              <w:rPr>
                <w:rFonts w:ascii="Times New Roman" w:hAnsi="Times New Roman"/>
                <w:sz w:val="18"/>
                <w:lang w:val="es-ES"/>
              </w:rPr>
            </w:pPr>
            <w:r w:rsidRPr="00AE4E8D">
              <w:rPr>
                <w:rFonts w:ascii="Times New Roman" w:hAnsi="Times New Roman"/>
                <w:sz w:val="18"/>
                <w:lang w:val="es-ES"/>
              </w:rPr>
              <w:t>ANSES</w:t>
            </w:r>
            <w:r w:rsidRPr="00AE4E8D">
              <w:rPr>
                <w:rFonts w:ascii="Times New Roman" w:hAnsi="Times New Roman"/>
                <w:lang w:val="es-ES"/>
              </w:rPr>
              <w:tab/>
            </w:r>
          </w:p>
        </w:tc>
        <w:tc>
          <w:tcPr>
            <w:tcW w:w="399" w:type="pct"/>
            <w:tcBorders>
              <w:top w:val="nil"/>
              <w:left w:val="nil"/>
              <w:bottom w:val="nil"/>
              <w:right w:val="nil"/>
            </w:tcBorders>
            <w:vAlign w:val="bottom"/>
          </w:tcPr>
          <w:p w14:paraId="6788D329" w14:textId="77777777" w:rsidR="00D75839" w:rsidRPr="00AE4E8D" w:rsidRDefault="00D75839" w:rsidP="0018126C">
            <w:pPr>
              <w:widowControl w:val="0"/>
              <w:tabs>
                <w:tab w:val="right" w:leader="dot" w:pos="5310"/>
              </w:tabs>
              <w:spacing w:after="120"/>
              <w:jc w:val="center"/>
              <w:rPr>
                <w:rFonts w:ascii="Times New Roman" w:hAnsi="Times New Roman"/>
                <w:sz w:val="18"/>
                <w:lang w:val="es-ES"/>
              </w:rPr>
            </w:pPr>
            <w:r w:rsidRPr="00AE4E8D">
              <w:rPr>
                <w:rFonts w:ascii="Times New Roman" w:hAnsi="Times New Roman"/>
                <w:sz w:val="18"/>
                <w:lang w:val="es-ES"/>
              </w:rPr>
              <w:t>D</w:t>
            </w:r>
          </w:p>
        </w:tc>
        <w:tc>
          <w:tcPr>
            <w:tcW w:w="722" w:type="pct"/>
            <w:tcBorders>
              <w:top w:val="nil"/>
              <w:left w:val="nil"/>
              <w:bottom w:val="single" w:sz="8" w:space="0" w:color="auto"/>
              <w:right w:val="nil"/>
            </w:tcBorders>
            <w:vAlign w:val="bottom"/>
          </w:tcPr>
          <w:p w14:paraId="0719B7F2"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74.037.265</w:t>
            </w:r>
          </w:p>
        </w:tc>
        <w:tc>
          <w:tcPr>
            <w:tcW w:w="546" w:type="pct"/>
            <w:tcBorders>
              <w:top w:val="nil"/>
              <w:left w:val="nil"/>
              <w:bottom w:val="nil"/>
              <w:right w:val="nil"/>
            </w:tcBorders>
            <w:vAlign w:val="bottom"/>
          </w:tcPr>
          <w:p w14:paraId="00B26F8C" w14:textId="77777777" w:rsidR="00D75839" w:rsidRPr="00AE4E8D" w:rsidRDefault="00D75839" w:rsidP="00391E10">
            <w:pPr>
              <w:widowControl w:val="0"/>
              <w:tabs>
                <w:tab w:val="right" w:leader="dot" w:pos="5310"/>
              </w:tabs>
              <w:spacing w:after="120"/>
              <w:ind w:left="25"/>
              <w:jc w:val="right"/>
              <w:rPr>
                <w:rFonts w:ascii="Times New Roman" w:hAnsi="Times New Roman"/>
                <w:color w:val="000000"/>
                <w:sz w:val="18"/>
                <w:lang w:val="es-ES"/>
              </w:rPr>
            </w:pPr>
            <w:r w:rsidRPr="00AE4E8D">
              <w:rPr>
                <w:rFonts w:ascii="Times New Roman" w:hAnsi="Times New Roman"/>
                <w:color w:val="000000"/>
                <w:sz w:val="18"/>
                <w:lang w:val="es-ES"/>
              </w:rPr>
              <w:t>4,94%</w:t>
            </w:r>
          </w:p>
        </w:tc>
        <w:tc>
          <w:tcPr>
            <w:tcW w:w="817" w:type="pct"/>
            <w:tcBorders>
              <w:top w:val="nil"/>
              <w:left w:val="nil"/>
              <w:bottom w:val="nil"/>
              <w:right w:val="nil"/>
            </w:tcBorders>
            <w:vAlign w:val="bottom"/>
          </w:tcPr>
          <w:p w14:paraId="586DFCEA" w14:textId="77777777" w:rsidR="00D75839" w:rsidRPr="00AE4E8D" w:rsidRDefault="00D75839" w:rsidP="00391E10">
            <w:pPr>
              <w:widowControl w:val="0"/>
              <w:tabs>
                <w:tab w:val="right" w:leader="dot" w:pos="5310"/>
              </w:tabs>
              <w:spacing w:after="120"/>
              <w:ind w:left="22" w:right="54"/>
              <w:jc w:val="right"/>
              <w:rPr>
                <w:rFonts w:ascii="Times New Roman" w:hAnsi="Times New Roman"/>
                <w:color w:val="000000"/>
                <w:sz w:val="18"/>
                <w:lang w:val="es-ES"/>
              </w:rPr>
            </w:pPr>
            <w:r w:rsidRPr="00AE4E8D">
              <w:rPr>
                <w:rFonts w:ascii="Times New Roman" w:hAnsi="Times New Roman"/>
                <w:color w:val="000000"/>
                <w:sz w:val="18"/>
                <w:lang w:val="es-ES"/>
              </w:rPr>
              <w:t>222.111.795</w:t>
            </w:r>
          </w:p>
        </w:tc>
        <w:tc>
          <w:tcPr>
            <w:tcW w:w="588" w:type="pct"/>
            <w:tcBorders>
              <w:top w:val="nil"/>
              <w:left w:val="nil"/>
              <w:bottom w:val="single" w:sz="8" w:space="0" w:color="auto"/>
              <w:right w:val="nil"/>
            </w:tcBorders>
            <w:vAlign w:val="bottom"/>
          </w:tcPr>
          <w:p w14:paraId="0E8C798C" w14:textId="77777777" w:rsidR="00D75839" w:rsidRPr="00AE4E8D" w:rsidRDefault="00D75839" w:rsidP="00391E10">
            <w:pPr>
              <w:widowControl w:val="0"/>
              <w:tabs>
                <w:tab w:val="right" w:leader="dot" w:pos="5310"/>
              </w:tabs>
              <w:spacing w:after="120"/>
              <w:jc w:val="right"/>
              <w:rPr>
                <w:rFonts w:ascii="Times New Roman" w:hAnsi="Times New Roman"/>
                <w:color w:val="000000"/>
                <w:sz w:val="18"/>
                <w:lang w:val="es-ES"/>
              </w:rPr>
            </w:pPr>
            <w:r w:rsidRPr="00AE4E8D">
              <w:rPr>
                <w:rFonts w:ascii="Times New Roman" w:hAnsi="Times New Roman"/>
                <w:color w:val="000000"/>
                <w:sz w:val="18"/>
                <w:lang w:val="es-ES"/>
              </w:rPr>
              <w:t>7,</w:t>
            </w:r>
            <w:r w:rsidR="00C63792" w:rsidRPr="00AE4E8D">
              <w:rPr>
                <w:rFonts w:ascii="Times New Roman" w:hAnsi="Times New Roman"/>
                <w:color w:val="000000"/>
                <w:sz w:val="18"/>
                <w:lang w:val="es-ES"/>
              </w:rPr>
              <w:t>6</w:t>
            </w:r>
            <w:r w:rsidRPr="00AE4E8D">
              <w:rPr>
                <w:rFonts w:ascii="Times New Roman" w:hAnsi="Times New Roman"/>
                <w:color w:val="000000"/>
                <w:sz w:val="18"/>
                <w:lang w:val="es-ES"/>
              </w:rPr>
              <w:t>4%</w:t>
            </w:r>
          </w:p>
        </w:tc>
      </w:tr>
      <w:tr w:rsidR="00C274BF" w:rsidRPr="00AE4E8D" w14:paraId="5C38C51C" w14:textId="77777777" w:rsidTr="000400C8">
        <w:trPr>
          <w:trHeight w:val="255"/>
          <w:jc w:val="center"/>
        </w:trPr>
        <w:tc>
          <w:tcPr>
            <w:tcW w:w="1906" w:type="pct"/>
            <w:tcBorders>
              <w:top w:val="nil"/>
              <w:left w:val="nil"/>
              <w:bottom w:val="nil"/>
              <w:right w:val="nil"/>
            </w:tcBorders>
            <w:vAlign w:val="bottom"/>
          </w:tcPr>
          <w:p w14:paraId="6261C287" w14:textId="77777777" w:rsidR="00D75839" w:rsidRPr="00AE4E8D" w:rsidRDefault="00D75839" w:rsidP="00350E47">
            <w:pPr>
              <w:widowControl w:val="0"/>
              <w:tabs>
                <w:tab w:val="right" w:leader="dot" w:pos="5310"/>
              </w:tabs>
              <w:ind w:left="-27" w:right="752"/>
              <w:rPr>
                <w:rFonts w:ascii="Times New Roman" w:hAnsi="Times New Roman"/>
                <w:b/>
                <w:sz w:val="18"/>
                <w:lang w:val="es-ES"/>
              </w:rPr>
            </w:pPr>
            <w:r w:rsidRPr="00AE4E8D">
              <w:rPr>
                <w:rFonts w:ascii="Times New Roman" w:hAnsi="Times New Roman"/>
                <w:b/>
                <w:sz w:val="18"/>
                <w:lang w:val="es-ES"/>
              </w:rPr>
              <w:t>TOTAL</w:t>
            </w:r>
            <w:r w:rsidRPr="00AE4E8D">
              <w:rPr>
                <w:rFonts w:ascii="Times New Roman" w:hAnsi="Times New Roman"/>
                <w:lang w:val="es-ES"/>
              </w:rPr>
              <w:tab/>
            </w:r>
          </w:p>
        </w:tc>
        <w:tc>
          <w:tcPr>
            <w:tcW w:w="399" w:type="pct"/>
            <w:tcBorders>
              <w:top w:val="nil"/>
              <w:left w:val="nil"/>
              <w:bottom w:val="nil"/>
              <w:right w:val="nil"/>
            </w:tcBorders>
            <w:noWrap/>
            <w:vAlign w:val="center"/>
          </w:tcPr>
          <w:p w14:paraId="5B70A668" w14:textId="77777777" w:rsidR="00D75839" w:rsidRPr="00AE4E8D" w:rsidRDefault="00D75839" w:rsidP="00350E47">
            <w:pPr>
              <w:rPr>
                <w:rFonts w:ascii="Times New Roman" w:hAnsi="Times New Roman"/>
                <w:b/>
                <w:sz w:val="18"/>
                <w:lang w:val="es-ES"/>
              </w:rPr>
            </w:pPr>
          </w:p>
        </w:tc>
        <w:tc>
          <w:tcPr>
            <w:tcW w:w="722" w:type="pct"/>
            <w:tcBorders>
              <w:top w:val="nil"/>
              <w:left w:val="nil"/>
              <w:bottom w:val="nil"/>
              <w:right w:val="nil"/>
            </w:tcBorders>
            <w:vAlign w:val="center"/>
          </w:tcPr>
          <w:p w14:paraId="0BACDD2B" w14:textId="77777777" w:rsidR="00D75839" w:rsidRPr="00AE4E8D" w:rsidRDefault="00D75839" w:rsidP="004075C4">
            <w:pPr>
              <w:ind w:left="-167"/>
              <w:jc w:val="right"/>
              <w:rPr>
                <w:rFonts w:ascii="Times New Roman" w:hAnsi="Times New Roman"/>
                <w:b/>
                <w:sz w:val="18"/>
                <w:lang w:val="es-ES"/>
              </w:rPr>
            </w:pPr>
            <w:r w:rsidRPr="00AE4E8D">
              <w:rPr>
                <w:rFonts w:ascii="Times New Roman" w:hAnsi="Times New Roman"/>
                <w:b/>
                <w:sz w:val="18"/>
                <w:lang w:val="es-ES"/>
              </w:rPr>
              <w:t>1.500.000.000</w:t>
            </w:r>
          </w:p>
        </w:tc>
        <w:tc>
          <w:tcPr>
            <w:tcW w:w="546" w:type="pct"/>
            <w:tcBorders>
              <w:top w:val="single" w:sz="8" w:space="0" w:color="auto"/>
              <w:left w:val="nil"/>
              <w:bottom w:val="nil"/>
              <w:right w:val="nil"/>
            </w:tcBorders>
            <w:vAlign w:val="center"/>
          </w:tcPr>
          <w:p w14:paraId="01AD77FE" w14:textId="77777777" w:rsidR="00D75839" w:rsidRPr="00AE4E8D" w:rsidRDefault="00D75839" w:rsidP="004075C4">
            <w:pPr>
              <w:ind w:left="25"/>
              <w:jc w:val="right"/>
              <w:rPr>
                <w:rFonts w:ascii="Times New Roman" w:hAnsi="Times New Roman"/>
                <w:b/>
                <w:sz w:val="18"/>
                <w:lang w:val="es-ES"/>
              </w:rPr>
            </w:pPr>
            <w:r w:rsidRPr="00AE4E8D">
              <w:rPr>
                <w:rFonts w:ascii="Times New Roman" w:hAnsi="Times New Roman"/>
                <w:b/>
                <w:sz w:val="18"/>
                <w:lang w:val="es-ES"/>
              </w:rPr>
              <w:t>100,00%</w:t>
            </w:r>
          </w:p>
        </w:tc>
        <w:tc>
          <w:tcPr>
            <w:tcW w:w="817" w:type="pct"/>
            <w:tcBorders>
              <w:top w:val="single" w:sz="8" w:space="0" w:color="auto"/>
              <w:left w:val="nil"/>
              <w:bottom w:val="nil"/>
              <w:right w:val="nil"/>
            </w:tcBorders>
            <w:vAlign w:val="center"/>
          </w:tcPr>
          <w:p w14:paraId="76E0F5AE" w14:textId="77777777" w:rsidR="00863248" w:rsidRPr="00AE4E8D" w:rsidRDefault="00863248" w:rsidP="00863248">
            <w:pPr>
              <w:ind w:left="22"/>
              <w:jc w:val="right"/>
              <w:rPr>
                <w:rFonts w:ascii="Times New Roman" w:hAnsi="Times New Roman"/>
                <w:b/>
                <w:sz w:val="18"/>
                <w:lang w:val="es-ES"/>
              </w:rPr>
            </w:pPr>
            <w:r w:rsidRPr="00AE4E8D">
              <w:rPr>
                <w:rFonts w:ascii="Times New Roman" w:hAnsi="Times New Roman"/>
                <w:b/>
                <w:sz w:val="18"/>
                <w:lang w:val="es-ES"/>
              </w:rPr>
              <w:t>2.</w:t>
            </w:r>
          </w:p>
          <w:p w14:paraId="2F3E0D13" w14:textId="77777777" w:rsidR="00D75839" w:rsidRPr="00AE4E8D" w:rsidRDefault="00863248" w:rsidP="00863248">
            <w:pPr>
              <w:ind w:left="22"/>
              <w:jc w:val="right"/>
              <w:rPr>
                <w:rFonts w:ascii="Times New Roman" w:hAnsi="Times New Roman"/>
                <w:b/>
                <w:sz w:val="18"/>
                <w:lang w:val="es-ES"/>
              </w:rPr>
            </w:pPr>
            <w:r w:rsidRPr="00AE4E8D">
              <w:rPr>
                <w:rFonts w:ascii="Times New Roman" w:hAnsi="Times New Roman"/>
                <w:b/>
                <w:sz w:val="18"/>
                <w:lang w:val="es-ES"/>
              </w:rPr>
              <w:t>906.323.306</w:t>
            </w:r>
          </w:p>
        </w:tc>
        <w:tc>
          <w:tcPr>
            <w:tcW w:w="610" w:type="pct"/>
            <w:gridSpan w:val="2"/>
            <w:tcBorders>
              <w:top w:val="nil"/>
              <w:left w:val="nil"/>
              <w:bottom w:val="nil"/>
              <w:right w:val="nil"/>
            </w:tcBorders>
            <w:vAlign w:val="center"/>
          </w:tcPr>
          <w:p w14:paraId="7A885BDA" w14:textId="77777777" w:rsidR="00D75839" w:rsidRPr="00AE4E8D" w:rsidRDefault="00D75839" w:rsidP="004075C4">
            <w:pPr>
              <w:tabs>
                <w:tab w:val="left" w:pos="727"/>
              </w:tabs>
              <w:jc w:val="right"/>
              <w:rPr>
                <w:rFonts w:ascii="Times New Roman" w:hAnsi="Times New Roman"/>
                <w:b/>
                <w:sz w:val="18"/>
                <w:lang w:val="es-ES"/>
              </w:rPr>
            </w:pPr>
            <w:r w:rsidRPr="00AE4E8D">
              <w:rPr>
                <w:rFonts w:ascii="Times New Roman" w:hAnsi="Times New Roman"/>
                <w:b/>
                <w:sz w:val="18"/>
                <w:lang w:val="es-ES"/>
              </w:rPr>
              <w:t>100,00%</w:t>
            </w:r>
          </w:p>
        </w:tc>
      </w:tr>
    </w:tbl>
    <w:p w14:paraId="08EEBA63" w14:textId="77777777" w:rsidR="00CB5660" w:rsidRPr="00AE4E8D" w:rsidRDefault="00CB5660" w:rsidP="00ED0438">
      <w:pPr>
        <w:tabs>
          <w:tab w:val="left" w:pos="567"/>
        </w:tabs>
        <w:autoSpaceDE w:val="0"/>
        <w:autoSpaceDN w:val="0"/>
        <w:adjustRightInd w:val="0"/>
        <w:ind w:left="567" w:hanging="567"/>
        <w:jc w:val="both"/>
        <w:rPr>
          <w:rFonts w:ascii="Times New Roman" w:hAnsi="Times New Roman"/>
          <w:sz w:val="16"/>
          <w:lang w:val="es-ES"/>
        </w:rPr>
      </w:pPr>
    </w:p>
    <w:p w14:paraId="49711B11" w14:textId="77777777" w:rsidR="00CB5660" w:rsidRPr="00AE4E8D" w:rsidRDefault="00CB5660" w:rsidP="00DF3160">
      <w:pPr>
        <w:tabs>
          <w:tab w:val="left" w:pos="567"/>
        </w:tabs>
        <w:autoSpaceDE w:val="0"/>
        <w:autoSpaceDN w:val="0"/>
        <w:adjustRightInd w:val="0"/>
        <w:ind w:left="567" w:hanging="567"/>
        <w:jc w:val="both"/>
        <w:rPr>
          <w:rFonts w:ascii="Times New Roman" w:hAnsi="Times New Roman"/>
          <w:sz w:val="16"/>
          <w:szCs w:val="16"/>
          <w:lang w:val="es-ES"/>
        </w:rPr>
      </w:pPr>
      <w:r w:rsidRPr="00AE4E8D">
        <w:rPr>
          <w:rFonts w:ascii="Times New Roman" w:hAnsi="Times New Roman"/>
          <w:sz w:val="16"/>
          <w:szCs w:val="16"/>
          <w:lang w:val="es-ES"/>
        </w:rPr>
        <w:t>(*)</w:t>
      </w:r>
      <w:r w:rsidR="00A667F7" w:rsidRPr="00AE4E8D">
        <w:rPr>
          <w:rFonts w:ascii="Times New Roman" w:hAnsi="Times New Roman"/>
          <w:sz w:val="16"/>
          <w:szCs w:val="16"/>
          <w:lang w:val="es-ES"/>
        </w:rPr>
        <w:tab/>
      </w:r>
      <w:r w:rsidRPr="00AE4E8D">
        <w:rPr>
          <w:rFonts w:ascii="Times New Roman" w:hAnsi="Times New Roman"/>
          <w:sz w:val="16"/>
          <w:szCs w:val="16"/>
          <w:lang w:val="es-ES"/>
        </w:rPr>
        <w:t>La última información publicada en la AIF en relación a nuestro capital social a la fecha del presente Programa, se encuentra incorporada en la sección “</w:t>
      </w:r>
      <w:r w:rsidRPr="00AE4E8D">
        <w:rPr>
          <w:rFonts w:ascii="Times New Roman" w:hAnsi="Times New Roman"/>
          <w:i/>
          <w:sz w:val="16"/>
          <w:szCs w:val="16"/>
          <w:lang w:val="es-ES"/>
        </w:rPr>
        <w:t>Información clave sobre la emisora – c) Hechos Relevantes - Instrumentación de Programa de Propiedad Participada (“PPP”)</w:t>
      </w:r>
      <w:r w:rsidRPr="00AE4E8D">
        <w:rPr>
          <w:rFonts w:ascii="Times New Roman" w:hAnsi="Times New Roman"/>
          <w:sz w:val="16"/>
          <w:szCs w:val="16"/>
          <w:lang w:val="es-ES"/>
        </w:rPr>
        <w:t>” del presente Programa.</w:t>
      </w:r>
    </w:p>
    <w:p w14:paraId="1328305F" w14:textId="77777777" w:rsidR="00CB5660" w:rsidRPr="00AE4E8D" w:rsidRDefault="00CB5660" w:rsidP="00350E47">
      <w:pPr>
        <w:tabs>
          <w:tab w:val="left" w:pos="567"/>
        </w:tabs>
        <w:autoSpaceDE w:val="0"/>
        <w:autoSpaceDN w:val="0"/>
        <w:adjustRightInd w:val="0"/>
        <w:ind w:left="567" w:hanging="567"/>
        <w:jc w:val="both"/>
        <w:rPr>
          <w:rFonts w:ascii="Times New Roman" w:hAnsi="Times New Roman"/>
          <w:sz w:val="16"/>
          <w:szCs w:val="16"/>
          <w:lang w:val="es-ES"/>
        </w:rPr>
      </w:pPr>
      <w:r w:rsidRPr="00AE4E8D">
        <w:rPr>
          <w:rFonts w:ascii="Times New Roman" w:hAnsi="Times New Roman"/>
          <w:sz w:val="16"/>
          <w:szCs w:val="16"/>
          <w:lang w:val="es-ES"/>
        </w:rPr>
        <w:t xml:space="preserve">(1) </w:t>
      </w:r>
      <w:r w:rsidRPr="00AE4E8D">
        <w:rPr>
          <w:rFonts w:ascii="Times New Roman" w:hAnsi="Times New Roman"/>
          <w:sz w:val="16"/>
          <w:szCs w:val="16"/>
          <w:lang w:val="es-ES"/>
        </w:rPr>
        <w:tab/>
        <w:t>Nuestras acciones clase A, B y C, tienen derecho a 1 (un) voto por cada acción, mientras que las acciones clase D, tienen derecho a 3 (tres) votos por acción siempre que las acciones clase A representen el 42% o más de nuestro capital social. El 10 de febrero de 2015, el MAE autorizó al Banco el listado y la negociación de las acciones Clase A, B, C y D del Banco.</w:t>
      </w:r>
    </w:p>
    <w:p w14:paraId="07D47426" w14:textId="77777777" w:rsidR="00CB5660" w:rsidRPr="00AE4E8D" w:rsidRDefault="00CB5660" w:rsidP="00350E47">
      <w:pPr>
        <w:tabs>
          <w:tab w:val="left" w:pos="567"/>
        </w:tabs>
        <w:autoSpaceDE w:val="0"/>
        <w:autoSpaceDN w:val="0"/>
        <w:adjustRightInd w:val="0"/>
        <w:ind w:left="567" w:hanging="567"/>
        <w:jc w:val="both"/>
        <w:rPr>
          <w:rFonts w:ascii="Times New Roman" w:hAnsi="Times New Roman"/>
          <w:sz w:val="16"/>
          <w:szCs w:val="16"/>
          <w:lang w:val="es-ES"/>
        </w:rPr>
      </w:pPr>
      <w:r w:rsidRPr="00AE4E8D">
        <w:rPr>
          <w:rFonts w:ascii="Times New Roman" w:hAnsi="Times New Roman"/>
          <w:sz w:val="16"/>
          <w:szCs w:val="16"/>
          <w:lang w:val="es-ES"/>
        </w:rPr>
        <w:t xml:space="preserve">(2) </w:t>
      </w:r>
      <w:r w:rsidRPr="00AE4E8D">
        <w:rPr>
          <w:rFonts w:ascii="Times New Roman" w:hAnsi="Times New Roman"/>
          <w:sz w:val="16"/>
          <w:szCs w:val="16"/>
          <w:lang w:val="es-ES"/>
        </w:rPr>
        <w:tab/>
        <w:t>La cantidad de votos surge de multiplicar la cantidad de acciones por la cantidad de votos de cada acción. Las acciones en cartera propia del Banco carecerán de voto conforme a lo dispuesto por el Artículo 221 de la Ley General de Sociedades Argentina. Mientras que los Accionistas Principales tienen derecho a voto por hasta el 30% (treinta por ciento) de nuestro capital social en circulación.</w:t>
      </w:r>
    </w:p>
    <w:p w14:paraId="7C787BCA" w14:textId="77777777" w:rsidR="00CB5660" w:rsidRPr="00AE4E8D" w:rsidRDefault="00CB5660" w:rsidP="00350E47">
      <w:pPr>
        <w:tabs>
          <w:tab w:val="left" w:pos="567"/>
        </w:tabs>
        <w:autoSpaceDE w:val="0"/>
        <w:autoSpaceDN w:val="0"/>
        <w:adjustRightInd w:val="0"/>
        <w:ind w:left="567" w:hanging="567"/>
        <w:jc w:val="both"/>
        <w:rPr>
          <w:rFonts w:ascii="Times New Roman" w:hAnsi="Times New Roman"/>
          <w:sz w:val="16"/>
          <w:szCs w:val="16"/>
          <w:lang w:val="es-ES"/>
        </w:rPr>
      </w:pPr>
      <w:r w:rsidRPr="00AE4E8D">
        <w:rPr>
          <w:rFonts w:ascii="Times New Roman" w:hAnsi="Times New Roman"/>
          <w:sz w:val="16"/>
          <w:szCs w:val="16"/>
          <w:lang w:val="es-ES"/>
        </w:rPr>
        <w:t xml:space="preserve">(3) </w:t>
      </w:r>
      <w:r w:rsidRPr="00AE4E8D">
        <w:rPr>
          <w:rFonts w:ascii="Times New Roman" w:hAnsi="Times New Roman"/>
          <w:sz w:val="16"/>
          <w:szCs w:val="16"/>
          <w:lang w:val="es-ES"/>
        </w:rPr>
        <w:tab/>
        <w:t xml:space="preserve">Corresponde a 9.090.500 ADRs (10 acciones = 1 ADR) cuyos derechos políticos ejerce el Estado Nacional. Para mayor información véase la sección </w:t>
      </w:r>
      <w:r w:rsidRPr="00AE4E8D">
        <w:rPr>
          <w:rFonts w:ascii="Times New Roman" w:hAnsi="Times New Roman"/>
          <w:i/>
          <w:sz w:val="16"/>
          <w:szCs w:val="16"/>
          <w:lang w:val="es-ES"/>
        </w:rPr>
        <w:t>“Descripción del Capital Social”</w:t>
      </w:r>
      <w:r w:rsidRPr="00AE4E8D">
        <w:rPr>
          <w:rFonts w:ascii="Times New Roman" w:hAnsi="Times New Roman"/>
          <w:sz w:val="16"/>
          <w:szCs w:val="16"/>
          <w:lang w:val="es-ES"/>
        </w:rPr>
        <w:t xml:space="preserve"> del presente.</w:t>
      </w:r>
    </w:p>
    <w:p w14:paraId="3531F81C" w14:textId="77777777" w:rsidR="00CB5660" w:rsidRPr="00AE4E8D" w:rsidRDefault="00CB5660">
      <w:pPr>
        <w:tabs>
          <w:tab w:val="left" w:pos="567"/>
        </w:tabs>
        <w:autoSpaceDE w:val="0"/>
        <w:autoSpaceDN w:val="0"/>
        <w:adjustRightInd w:val="0"/>
        <w:ind w:left="567" w:hanging="567"/>
        <w:jc w:val="both"/>
        <w:rPr>
          <w:rFonts w:ascii="Times New Roman" w:hAnsi="Times New Roman"/>
          <w:sz w:val="16"/>
          <w:szCs w:val="16"/>
          <w:lang w:val="es-ES"/>
        </w:rPr>
      </w:pPr>
      <w:r w:rsidRPr="00AE4E8D">
        <w:rPr>
          <w:rFonts w:ascii="Times New Roman" w:hAnsi="Times New Roman"/>
          <w:sz w:val="16"/>
          <w:szCs w:val="16"/>
          <w:lang w:val="es-ES"/>
        </w:rPr>
        <w:t xml:space="preserve">(4) </w:t>
      </w:r>
      <w:r w:rsidRPr="00AE4E8D">
        <w:rPr>
          <w:rFonts w:ascii="Times New Roman" w:hAnsi="Times New Roman"/>
          <w:sz w:val="16"/>
          <w:szCs w:val="16"/>
          <w:lang w:val="es-ES"/>
        </w:rPr>
        <w:tab/>
        <w:t xml:space="preserve">Al </w:t>
      </w:r>
      <w:r w:rsidR="00B305A4" w:rsidRPr="00AE4E8D">
        <w:rPr>
          <w:rFonts w:ascii="Times New Roman" w:hAnsi="Times New Roman"/>
          <w:sz w:val="16"/>
          <w:szCs w:val="16"/>
          <w:lang w:val="es-ES"/>
        </w:rPr>
        <w:t>3</w:t>
      </w:r>
      <w:r w:rsidR="001C5C49" w:rsidRPr="00AE4E8D">
        <w:rPr>
          <w:rFonts w:ascii="Times New Roman" w:hAnsi="Times New Roman"/>
          <w:sz w:val="16"/>
          <w:szCs w:val="16"/>
          <w:lang w:val="es-ES"/>
        </w:rPr>
        <w:t>0</w:t>
      </w:r>
      <w:r w:rsidR="00B305A4" w:rsidRPr="00AE4E8D">
        <w:rPr>
          <w:rFonts w:ascii="Times New Roman" w:hAnsi="Times New Roman"/>
          <w:sz w:val="16"/>
          <w:szCs w:val="16"/>
          <w:lang w:val="es-ES"/>
        </w:rPr>
        <w:t xml:space="preserve"> de </w:t>
      </w:r>
      <w:r w:rsidR="001C5C49" w:rsidRPr="00AE4E8D">
        <w:rPr>
          <w:rFonts w:ascii="Times New Roman" w:hAnsi="Times New Roman"/>
          <w:sz w:val="16"/>
          <w:szCs w:val="16"/>
          <w:lang w:val="es-ES"/>
        </w:rPr>
        <w:t>junio</w:t>
      </w:r>
      <w:r w:rsidRPr="00AE4E8D">
        <w:rPr>
          <w:rFonts w:ascii="Times New Roman" w:hAnsi="Times New Roman"/>
          <w:sz w:val="16"/>
          <w:szCs w:val="16"/>
          <w:lang w:val="es-ES"/>
        </w:rPr>
        <w:t xml:space="preserve"> de 201</w:t>
      </w:r>
      <w:r w:rsidR="00C63792" w:rsidRPr="00AE4E8D">
        <w:rPr>
          <w:rFonts w:ascii="Times New Roman" w:hAnsi="Times New Roman"/>
          <w:sz w:val="16"/>
          <w:szCs w:val="16"/>
          <w:lang w:val="es-ES"/>
        </w:rPr>
        <w:t>7</w:t>
      </w:r>
      <w:r w:rsidRPr="00AE4E8D">
        <w:rPr>
          <w:rFonts w:ascii="Times New Roman" w:hAnsi="Times New Roman"/>
          <w:sz w:val="16"/>
          <w:szCs w:val="16"/>
          <w:lang w:val="es-ES"/>
        </w:rPr>
        <w:t xml:space="preserve"> entre los Accionistas Principales se incluyen al: (i) 5% a través de Tyrus S.A., una sociedad constituida bajo las leyes de la República del Uruguay, en la cual IRSA es titular del 100% de su capital social; (ii) 5% a través Ritelco S.A., una sociedad constituida bajo las leyes de la República del Uruguay, en la cual IRSA es titular del 100% de su capital social; (iii) 4,93% a través de IRSA; (iv) 5% a través de Inversora Bolívar S.A., una sociedad constituida bajo las leyes de Argentina, en la cual IRSA es titular, directa e indirectamente, del 100% de su capital social; (v) 5% a través de E-Commerce Latina S.A., una sociedad constituida bajo las leyes de la Argentina, en la cual IRSA es titular, directa e indirectamente, del 100% de su capital social;</w:t>
      </w:r>
      <w:r w:rsidR="00EB3492" w:rsidRPr="00AE4E8D">
        <w:rPr>
          <w:rFonts w:ascii="Times New Roman" w:hAnsi="Times New Roman"/>
          <w:sz w:val="16"/>
          <w:szCs w:val="16"/>
          <w:lang w:val="es-ES"/>
        </w:rPr>
        <w:t xml:space="preserve"> </w:t>
      </w:r>
      <w:r w:rsidRPr="00AE4E8D">
        <w:rPr>
          <w:rFonts w:ascii="Times New Roman" w:hAnsi="Times New Roman"/>
          <w:sz w:val="16"/>
          <w:szCs w:val="16"/>
          <w:lang w:val="es-ES"/>
        </w:rPr>
        <w:t xml:space="preserve">(vi) 4,99% a través de Palermo Invest S.A., una sociedad constituida bajo las leyes de la Argentina, en la cual IRSA es titular, directa e indirectamente, del 100% de su capital social; (vii) 0,0003% de titularidad directa de Eduardo Sergio Elsztain. Asimismo, IRSA es controlada en un (i) 63,38% directa e indirectamente por Cresud (366.788.251 acciones), y (ii) 900 acciones de titularidad directa del Sr. Eduardo Sergio Elsztain. Por último el Sr. Eduardo Sergio Elsztain puede ser considerado titular beneficiario del 35,83% del total de las acciones de Cresud, lo cual Incluye (i) 179.724.090 acciones de titularidad de Inversiones Financieras del Sur S.A., de las cuales el Sr. Eduardo Sergio Elsztain puede ser considerado titular beneficiario; (ii) 880 acciones ordinarias de titularidad beneficiaria de Consultores Venture Capital Uruguay S.A.; (iii) 752 acciones ordinarias de titularidad beneficiaria de </w:t>
      </w:r>
      <w:r w:rsidRPr="00AE4E8D">
        <w:rPr>
          <w:rFonts w:ascii="Times New Roman" w:hAnsi="Times New Roman"/>
          <w:sz w:val="16"/>
          <w:szCs w:val="16"/>
          <w:lang w:val="es-ES"/>
        </w:rPr>
        <w:lastRenderedPageBreak/>
        <w:t>Consultores Assets Management S.A.; (iv) 1.783 acciones ordinarias de titularidad beneficiaria de Austral Gold Argentina S.A.; y (v) 565 acciones ordinarias de titularidad directa de Eduardo Sergio Elsztain.</w:t>
      </w:r>
    </w:p>
    <w:p w14:paraId="59080A3C" w14:textId="77777777" w:rsidR="00CB5660" w:rsidRPr="00AE4E8D" w:rsidRDefault="00CB5660" w:rsidP="00350E47">
      <w:pPr>
        <w:tabs>
          <w:tab w:val="left" w:pos="567"/>
        </w:tabs>
        <w:autoSpaceDE w:val="0"/>
        <w:autoSpaceDN w:val="0"/>
        <w:adjustRightInd w:val="0"/>
        <w:ind w:left="567" w:hanging="567"/>
        <w:jc w:val="both"/>
        <w:rPr>
          <w:rFonts w:ascii="Times New Roman" w:hAnsi="Times New Roman"/>
          <w:sz w:val="16"/>
          <w:szCs w:val="16"/>
          <w:lang w:val="es-ES"/>
        </w:rPr>
      </w:pPr>
      <w:r w:rsidRPr="00AE4E8D">
        <w:rPr>
          <w:rFonts w:ascii="Times New Roman" w:hAnsi="Times New Roman"/>
          <w:sz w:val="16"/>
          <w:szCs w:val="16"/>
          <w:lang w:val="es-ES"/>
        </w:rPr>
        <w:t>(5)</w:t>
      </w:r>
      <w:r w:rsidR="00741634" w:rsidRPr="00AE4E8D">
        <w:rPr>
          <w:rFonts w:ascii="Times New Roman" w:hAnsi="Times New Roman"/>
          <w:sz w:val="16"/>
          <w:szCs w:val="16"/>
          <w:lang w:val="es-ES"/>
        </w:rPr>
        <w:t xml:space="preserve"> </w:t>
      </w:r>
      <w:r w:rsidR="00741634" w:rsidRPr="00AE4E8D">
        <w:rPr>
          <w:rFonts w:ascii="Times New Roman" w:hAnsi="Times New Roman"/>
          <w:sz w:val="16"/>
          <w:szCs w:val="16"/>
          <w:lang w:val="es-ES"/>
        </w:rPr>
        <w:tab/>
      </w:r>
      <w:r w:rsidRPr="00AE4E8D">
        <w:rPr>
          <w:rFonts w:ascii="Times New Roman" w:hAnsi="Times New Roman"/>
          <w:sz w:val="16"/>
          <w:szCs w:val="16"/>
          <w:lang w:val="es-ES"/>
        </w:rPr>
        <w:t xml:space="preserve">Incluye 35.100.000 acciones otorgadas por nuestra Asamblea de Accionistas a un programa de compensación de empleados el cual al </w:t>
      </w:r>
      <w:r w:rsidR="00B305A4" w:rsidRPr="00AE4E8D">
        <w:rPr>
          <w:rFonts w:ascii="Times New Roman" w:hAnsi="Times New Roman"/>
          <w:sz w:val="16"/>
          <w:szCs w:val="16"/>
          <w:lang w:val="es-ES"/>
        </w:rPr>
        <w:t>31 de diciembre</w:t>
      </w:r>
      <w:r w:rsidRPr="00AE4E8D">
        <w:rPr>
          <w:rFonts w:ascii="Times New Roman" w:hAnsi="Times New Roman"/>
          <w:sz w:val="16"/>
          <w:szCs w:val="16"/>
          <w:lang w:val="es-ES"/>
        </w:rPr>
        <w:t xml:space="preserve"> de 2016 no ha sido implementado.</w:t>
      </w:r>
    </w:p>
    <w:p w14:paraId="247D8540" w14:textId="77777777" w:rsidR="00CB5660" w:rsidRPr="00AE4E8D" w:rsidRDefault="00CB5660" w:rsidP="00350E47">
      <w:pPr>
        <w:tabs>
          <w:tab w:val="left" w:pos="567"/>
        </w:tabs>
        <w:autoSpaceDE w:val="0"/>
        <w:autoSpaceDN w:val="0"/>
        <w:adjustRightInd w:val="0"/>
        <w:ind w:left="567" w:hanging="567"/>
        <w:jc w:val="both"/>
        <w:rPr>
          <w:rFonts w:ascii="Times New Roman" w:hAnsi="Times New Roman"/>
          <w:sz w:val="16"/>
          <w:szCs w:val="16"/>
          <w:lang w:val="es-ES"/>
        </w:rPr>
      </w:pPr>
      <w:r w:rsidRPr="00AE4E8D">
        <w:rPr>
          <w:rFonts w:ascii="Times New Roman" w:hAnsi="Times New Roman"/>
          <w:sz w:val="16"/>
          <w:szCs w:val="16"/>
          <w:lang w:val="es-ES"/>
        </w:rPr>
        <w:t xml:space="preserve">(6) </w:t>
      </w:r>
      <w:r w:rsidRPr="00AE4E8D">
        <w:rPr>
          <w:rFonts w:ascii="Times New Roman" w:hAnsi="Times New Roman"/>
          <w:sz w:val="16"/>
          <w:szCs w:val="16"/>
          <w:lang w:val="es-ES"/>
        </w:rPr>
        <w:tab/>
        <w:t xml:space="preserve">Al </w:t>
      </w:r>
      <w:r w:rsidR="00391E10" w:rsidRPr="00AE4E8D">
        <w:rPr>
          <w:rFonts w:ascii="Times New Roman" w:hAnsi="Times New Roman"/>
          <w:sz w:val="16"/>
          <w:szCs w:val="16"/>
          <w:lang w:val="es-ES"/>
        </w:rPr>
        <w:t>30</w:t>
      </w:r>
      <w:r w:rsidR="00E841DA" w:rsidRPr="00AE4E8D">
        <w:rPr>
          <w:rFonts w:ascii="Times New Roman" w:hAnsi="Times New Roman"/>
          <w:sz w:val="16"/>
          <w:szCs w:val="16"/>
          <w:lang w:val="es-ES"/>
        </w:rPr>
        <w:t xml:space="preserve"> de </w:t>
      </w:r>
      <w:r w:rsidR="00391E10" w:rsidRPr="00AE4E8D">
        <w:rPr>
          <w:rFonts w:ascii="Times New Roman" w:hAnsi="Times New Roman"/>
          <w:sz w:val="16"/>
          <w:szCs w:val="16"/>
          <w:lang w:val="es-ES"/>
        </w:rPr>
        <w:t>junio</w:t>
      </w:r>
      <w:r w:rsidRPr="00AE4E8D">
        <w:rPr>
          <w:rFonts w:ascii="Times New Roman" w:hAnsi="Times New Roman"/>
          <w:sz w:val="16"/>
          <w:szCs w:val="16"/>
          <w:lang w:val="es-ES"/>
        </w:rPr>
        <w:t xml:space="preserve"> de 201</w:t>
      </w:r>
      <w:r w:rsidR="00C63792" w:rsidRPr="00AE4E8D">
        <w:rPr>
          <w:rFonts w:ascii="Times New Roman" w:hAnsi="Times New Roman"/>
          <w:sz w:val="16"/>
          <w:szCs w:val="16"/>
          <w:lang w:val="es-ES"/>
        </w:rPr>
        <w:t>7</w:t>
      </w:r>
      <w:r w:rsidRPr="00AE4E8D">
        <w:rPr>
          <w:rFonts w:ascii="Times New Roman" w:hAnsi="Times New Roman"/>
          <w:sz w:val="16"/>
          <w:szCs w:val="16"/>
          <w:lang w:val="es-ES"/>
        </w:rPr>
        <w:t>, Eduardo Sergio Elsztain, Pablo Vergara del Carril y Andrés F. Ocampo detentaban 5.000, 27.000 y 100 acciones clase D, respectivamente</w:t>
      </w:r>
      <w:r w:rsidR="00C63792" w:rsidRPr="00AE4E8D">
        <w:rPr>
          <w:rFonts w:ascii="Times New Roman" w:hAnsi="Times New Roman"/>
          <w:sz w:val="16"/>
          <w:szCs w:val="16"/>
          <w:lang w:val="es-ES"/>
        </w:rPr>
        <w:t>.</w:t>
      </w:r>
    </w:p>
    <w:p w14:paraId="7E6DBFD6" w14:textId="77777777" w:rsidR="00CB5660" w:rsidRPr="00AE4E8D" w:rsidRDefault="00CB5660" w:rsidP="00350E47">
      <w:pPr>
        <w:keepNext/>
        <w:autoSpaceDE w:val="0"/>
        <w:autoSpaceDN w:val="0"/>
        <w:adjustRightInd w:val="0"/>
        <w:spacing w:before="240" w:after="240"/>
        <w:outlineLvl w:val="2"/>
        <w:rPr>
          <w:rFonts w:ascii="Times New Roman" w:hAnsi="Times New Roman"/>
          <w:b/>
          <w:lang w:val="es-ES" w:eastAsia="es-AR"/>
        </w:rPr>
      </w:pPr>
      <w:r w:rsidRPr="00AE4E8D">
        <w:rPr>
          <w:rFonts w:ascii="Times New Roman" w:hAnsi="Times New Roman"/>
          <w:b/>
          <w:lang w:val="es-ES" w:eastAsia="es-AR"/>
        </w:rPr>
        <w:t>Derecho de Voto de los Accionistas Principales</w:t>
      </w:r>
    </w:p>
    <w:p w14:paraId="536581E8" w14:textId="77777777" w:rsidR="00CB5660" w:rsidRPr="00AE4E8D" w:rsidRDefault="00CB5660" w:rsidP="00A667F7">
      <w:pPr>
        <w:pStyle w:val="BHTexto"/>
        <w:rPr>
          <w:lang w:val="es-ES"/>
        </w:rPr>
      </w:pPr>
      <w:r w:rsidRPr="00AE4E8D">
        <w:rPr>
          <w:lang w:val="es-ES"/>
        </w:rPr>
        <w:t>Los tenedores de la mayoría de las acciones Clase D tienen derecho a elegir nueve de los miembros del Directorio. Bajo la Ley de Privatización y de acuerdo a lo establecido por el Artículo 6 de nuestro Estatuto en la medida en que sea tenedor de por lo menos una acción Clase A, el gobierno Argentino tendrá derecho a elegir por lo menos dos directores titulares y dos suplentes del Directorio. Los Accionistas Principales no tienen distinto derecho a voto dentro de su misma Clase. El artículo 6 de nuestro Estatuto establece que, con ciertas excepciones, se requiera la previa aprobación del gobierno Argentino como tenedor de acciones Clase A para la adquisición directa o indirecta de cualquier persona (incluidas sus afiliadas), ya sea por compra de acciones, fusión o de otro modo, de acciones Clase D o valores negociables convertibles en acciones Clase D que, junto con las acciones Clase D que el adquirente tenía en su poder, representen el 30% o más de nuestro capital social. La aprobación de los tenedores de acciones Clase A también se requiere para la aprobación de determinados cambios del Banco, incluidos, entre otros, escisiones, la transferencia de una parte sustancial de su cartera de préstamos a terceros y un cambio en su objeto social.</w:t>
      </w:r>
    </w:p>
    <w:p w14:paraId="78358336" w14:textId="77777777" w:rsidR="00CB5660" w:rsidRPr="00AE4E8D" w:rsidRDefault="00CB5660" w:rsidP="00A667F7">
      <w:pPr>
        <w:pStyle w:val="BHTexto"/>
        <w:rPr>
          <w:lang w:val="es-ES"/>
        </w:rPr>
      </w:pPr>
      <w:r w:rsidRPr="00AE4E8D">
        <w:rPr>
          <w:lang w:val="es-ES"/>
        </w:rPr>
        <w:t>En la medida que los Accionistas Principales voten sus acciones Clase D en forma conjunta, tienen suficiente poder de voto para elegir la mayoría de nuestro Directorio y para prevalecer en todo otro tipo de cuestiones que daban ser decididas por el voto de clase de las acciones Clase D.</w:t>
      </w:r>
    </w:p>
    <w:p w14:paraId="37F797F8" w14:textId="77777777" w:rsidR="00CB5660" w:rsidRPr="00AE4E8D" w:rsidRDefault="00CB5660" w:rsidP="00A667F7">
      <w:pPr>
        <w:pStyle w:val="BHTexto"/>
        <w:rPr>
          <w:lang w:val="es-ES"/>
        </w:rPr>
      </w:pPr>
      <w:r w:rsidRPr="00AE4E8D">
        <w:rPr>
          <w:lang w:val="es-ES"/>
        </w:rPr>
        <w:t>El gobierno Argentino no tiene limitaciones en lo que respecta a la enajenación de cualquiera de sus acciones Clase A, excepto por una acción Clase A que debe detentar siempre, de acuerdo al artículo 20 de la Ley de Desarrollo Regional y de Generación del Empleo. Asimismo, de acuerdo a nuestro Estatuto, si como resultado de la venta de las acciones Clase A por el gobierno Argentino, las acciones Clase A representan menos del 42% de nuestro capital social, las acciones Clase D perderán el voto triple. En este caso, las acciones Clase D no detentarán la mayoría del derecho de voto en Asamblea General de Accionistas, y según la cantidad de acciones que detente, el gobierno Argentino podría tener suficiente poder de voto para prevalecer en las Asambleas Generales de Accionistas con excepción de ciertas decisiones que requieren mayorías especiales.</w:t>
      </w:r>
    </w:p>
    <w:p w14:paraId="308DC78E" w14:textId="77777777" w:rsidR="00CB5660" w:rsidRPr="00AE4E8D" w:rsidRDefault="00CB5660" w:rsidP="00A667F7">
      <w:pPr>
        <w:pStyle w:val="BHTexto"/>
        <w:rPr>
          <w:lang w:val="es-ES"/>
        </w:rPr>
      </w:pPr>
      <w:r w:rsidRPr="00AE4E8D">
        <w:rPr>
          <w:lang w:val="es-ES"/>
        </w:rPr>
        <w:t>Excepto lo anteriormente indicado, no tenemos conocimiento de la existencia de otros accionistas que posean más del 5% de nuestro capital social. No obstante, los Accionistas Principales poseen la capacidad para elegir la mayoría de los miembros del Directorio según lo hicieron hasta el presente. Asimismo no tenemos conocimiento de ningún acuerdo que, de entrar en vigencia, podría producir un cambio de control.</w:t>
      </w:r>
    </w:p>
    <w:p w14:paraId="4A2D70D8" w14:textId="77777777" w:rsidR="00CB5660" w:rsidRPr="00AE4E8D" w:rsidRDefault="00CB5660" w:rsidP="00A667F7">
      <w:pPr>
        <w:pStyle w:val="BHTexto"/>
        <w:rPr>
          <w:lang w:val="es-ES"/>
        </w:rPr>
      </w:pPr>
      <w:r w:rsidRPr="00AE4E8D">
        <w:rPr>
          <w:lang w:val="es-ES"/>
        </w:rPr>
        <w:t xml:space="preserve">El 12 de enero de 2010, nuestro Directorio resolvió: (i) someter a la Asamblea General Ordinaria de Accionistas, que las mencionadas acciones Clase D en cartera se entreguen en pago a los tenedores de los Derecho de Apreciación Accionaria o </w:t>
      </w:r>
      <w:r w:rsidRPr="00AE4E8D">
        <w:rPr>
          <w:i/>
          <w:lang w:val="es-ES"/>
        </w:rPr>
        <w:t>Stock Appreciation Rights</w:t>
      </w:r>
      <w:r w:rsidRPr="00AE4E8D">
        <w:rPr>
          <w:lang w:val="es-ES"/>
        </w:rPr>
        <w:t xml:space="preserve"> (indistintamente “</w:t>
      </w:r>
      <w:r w:rsidRPr="00AE4E8D">
        <w:rPr>
          <w:u w:val="single"/>
          <w:lang w:val="es-ES"/>
        </w:rPr>
        <w:t>DAA</w:t>
      </w:r>
      <w:r w:rsidRPr="00AE4E8D">
        <w:rPr>
          <w:lang w:val="es-ES"/>
        </w:rPr>
        <w:t>” o “</w:t>
      </w:r>
      <w:r w:rsidRPr="00AE4E8D">
        <w:rPr>
          <w:u w:val="single"/>
          <w:lang w:val="es-ES"/>
        </w:rPr>
        <w:t>StAR</w:t>
      </w:r>
      <w:r w:rsidRPr="00AE4E8D">
        <w:rPr>
          <w:lang w:val="es-ES"/>
        </w:rPr>
        <w:t>”), por sus singlas en inglés, hasta la ocurrencia de sus acreencias y conforme el valor de la acción a ese momento, y (ii) analizar alternativas posibles para que la Asamblea General Ordinaria de Accionistas decida el destino de las acciones remanentes.</w:t>
      </w:r>
    </w:p>
    <w:p w14:paraId="4C4EFBA4" w14:textId="77777777" w:rsidR="00CB5660" w:rsidRPr="00AE4E8D" w:rsidRDefault="00CB5660" w:rsidP="00A667F7">
      <w:pPr>
        <w:pStyle w:val="BHTexto"/>
        <w:rPr>
          <w:lang w:val="es-ES"/>
        </w:rPr>
      </w:pPr>
      <w:r w:rsidRPr="00AE4E8D">
        <w:rPr>
          <w:lang w:val="es-ES"/>
        </w:rPr>
        <w:t>La Asamblea General Ordinaria de Accionistas celebrada el 30 de abril de 2010 resolvió prorrogar por un año a contar desde el 31 de enero de 2010, el término para la realización de las acciones propias en nuestra cartera.</w:t>
      </w:r>
    </w:p>
    <w:p w14:paraId="0D188F02" w14:textId="77777777" w:rsidR="00CB5660" w:rsidRPr="00AE4E8D" w:rsidRDefault="00CB5660" w:rsidP="00A667F7">
      <w:pPr>
        <w:pStyle w:val="BHTexto"/>
        <w:rPr>
          <w:lang w:val="es-ES"/>
        </w:rPr>
      </w:pPr>
      <w:r w:rsidRPr="00AE4E8D">
        <w:rPr>
          <w:lang w:val="es-ES"/>
        </w:rPr>
        <w:t>Asimismo en la mencionada del 30 abril de 2010, se resolvió delegar en el Directorio la decisión de pagar con acciones propias en cartera los cupones DAA, resultantes de la reestructuración de deuda, según la conveniencia conforme los cálculos de valuación contractual y valor real de mercado de las mismas, dándoles a los accionistas el previo derecho de preferencia en las mismas condiciones.</w:t>
      </w:r>
    </w:p>
    <w:p w14:paraId="0232FDB2" w14:textId="77777777" w:rsidR="00CB5660" w:rsidRPr="00AE4E8D" w:rsidRDefault="00CB5660" w:rsidP="00A667F7">
      <w:pPr>
        <w:pStyle w:val="BHTexto"/>
        <w:rPr>
          <w:lang w:val="es-ES"/>
        </w:rPr>
      </w:pPr>
      <w:r w:rsidRPr="00AE4E8D">
        <w:rPr>
          <w:lang w:val="es-ES"/>
        </w:rPr>
        <w:t xml:space="preserve">El 16 de junio de 2010, el Directorio resolvió realizar una oferta de venta preferente de parte de las acciones propias en cartera a ese momento. En tal sentido el 26 de julio de 2010, dentro del marco de dicha oferta, se procedió a la enajenación de aproximadamente 26,9 millones de las acciones citadas, el producido de dicha oferta y el remanente de dichas acciones se pusieron a disposición de los tenedores de los cupones de DAAs con fecha 3 de agosto de 2010. </w:t>
      </w:r>
    </w:p>
    <w:p w14:paraId="793B5174" w14:textId="77777777" w:rsidR="00CB5660" w:rsidRPr="00AE4E8D" w:rsidRDefault="00CB5660" w:rsidP="00A667F7">
      <w:pPr>
        <w:pStyle w:val="BHTexto"/>
        <w:rPr>
          <w:lang w:val="es-ES"/>
        </w:rPr>
      </w:pPr>
      <w:r w:rsidRPr="00AE4E8D">
        <w:rPr>
          <w:lang w:val="es-ES"/>
        </w:rPr>
        <w:lastRenderedPageBreak/>
        <w:t>A través del Decreto Nº2127/2012 y de la Resolución Nº264/2013 del Ministerio de Economía y Finanzas Publicas se instrumentó el Programa de Propiedad Participada, donde en una primera etapa 17.990.721 acciones de la Clase B sobre un total de 75.000.000 se convirtieron en acciones Clase A a los fines de ser asignadas entre los agentes que se han desvinculado de nosotros según las pautas de instrumentación. Las 17.990.721 acciones en el momento en que sean entregadas a los ex agentes pasarán a ser acciones Clase D. Las acciones asignadas a nuestro personal actualmente en actividad quedan denominadas como acciones Clase B y representativas del Programa de Propiedad Participada.</w:t>
      </w:r>
    </w:p>
    <w:p w14:paraId="73B0CD65" w14:textId="77777777" w:rsidR="00CB5660" w:rsidRPr="00AE4E8D" w:rsidRDefault="00CB5660" w:rsidP="00350E47">
      <w:pPr>
        <w:pStyle w:val="BH2Izquierda"/>
        <w:rPr>
          <w:lang w:val="es-ES"/>
        </w:rPr>
      </w:pPr>
      <w:bookmarkStart w:id="641" w:name="_Toc495973046"/>
      <w:bookmarkStart w:id="642" w:name="_Toc495399953"/>
      <w:r w:rsidRPr="00AE4E8D">
        <w:rPr>
          <w:lang w:val="es-ES"/>
        </w:rPr>
        <w:t>b) Transacciones con Partes Relacionadas</w:t>
      </w:r>
      <w:bookmarkEnd w:id="641"/>
      <w:bookmarkEnd w:id="642"/>
    </w:p>
    <w:p w14:paraId="60C48F01" w14:textId="77777777" w:rsidR="00CB5660" w:rsidRPr="00AE4E8D" w:rsidRDefault="00CB5660" w:rsidP="00A667F7">
      <w:pPr>
        <w:pStyle w:val="BHTexto"/>
        <w:rPr>
          <w:lang w:val="es-ES"/>
        </w:rPr>
      </w:pPr>
      <w:r w:rsidRPr="00AE4E8D">
        <w:rPr>
          <w:lang w:val="es-ES"/>
        </w:rPr>
        <w:t xml:space="preserve">La ley argentina establece ciertas restricciones y limitaciones a las transacciones con ciertas partes vinculadas. A los fines de la presente sección partes vinculadas significa los directores, funcionarios principales, síndicos, y accionistas controlantes del Banco, como así también a las personas relacionadas con ellos y a toda entidad que directa o indirectamente esté vinculada con cualquiera de estas partes que de acuerdo a la normativa aplicable no se exige sean consolidadas. </w:t>
      </w:r>
    </w:p>
    <w:p w14:paraId="6FAF082E" w14:textId="77777777" w:rsidR="00CB5660" w:rsidRPr="00AE4E8D" w:rsidRDefault="00CB5660" w:rsidP="00A667F7">
      <w:pPr>
        <w:pStyle w:val="BHTexto"/>
        <w:rPr>
          <w:lang w:val="es-ES"/>
        </w:rPr>
      </w:pPr>
      <w:r w:rsidRPr="00AE4E8D">
        <w:rPr>
          <w:lang w:val="es-ES"/>
        </w:rPr>
        <w:t>De conformidad con la Ley General de Sociedades Argentina y las Normas Contables del BCRA, los directores de una sociedad argentina están autorizados para realizar operaciones con dicha sociedad si la operación es congruente con las prácticas del mercado. Además, la concesión de préstamos a Partes Relacionadas está sujeta a las Normas Contables del BCRA. Dichas normas establecen límites en el monto del préstamo que puede ser otorgado a partes vinculadas en base, entre otras cosas, a un porcentaje de nuestro patrimonio neto ajustado. El BCRA requiere informes mensuales del importe de los préstamos pendientes de directores, accionistas controlantes, funcionarios y demás entidades vinculadas registrados en las actas de Directorio. Las Normas Contables del BCRA establecen que los préstamos a directores, accionistas controlantes, funcionarios y otras entidades vinculadas se concederán en condiciones de igualdad respecto de las tasas, términos y garantías de préstamos concedidos para el público en general.</w:t>
      </w:r>
    </w:p>
    <w:p w14:paraId="28D9BF5A" w14:textId="77777777" w:rsidR="00CB5660" w:rsidRPr="00AE4E8D" w:rsidRDefault="00CB5660" w:rsidP="00A667F7">
      <w:pPr>
        <w:pStyle w:val="BHTexto"/>
        <w:rPr>
          <w:lang w:val="es-ES"/>
        </w:rPr>
      </w:pPr>
      <w:r w:rsidRPr="00AE4E8D">
        <w:rPr>
          <w:lang w:val="es-ES"/>
        </w:rPr>
        <w:t xml:space="preserve">No participamos en ninguna operación con personas vinculadas, ni les ha otorgado ningún préstamo, ni existe ninguna operación propuesta con dichas personas excepto aquellas permitidas por normas vigentes. En particular, algunos de los directores y gerentes de primera línea han participado en ciertas operaciones de crédito con nosotros. </w:t>
      </w:r>
    </w:p>
    <w:p w14:paraId="448EB63D" w14:textId="77777777" w:rsidR="00CB5660" w:rsidRPr="00AE4E8D" w:rsidRDefault="00CB5660" w:rsidP="00A667F7">
      <w:pPr>
        <w:pStyle w:val="BHTexto"/>
        <w:rPr>
          <w:lang w:val="es-ES"/>
        </w:rPr>
      </w:pPr>
      <w:r w:rsidRPr="00AE4E8D">
        <w:rPr>
          <w:lang w:val="es-ES"/>
        </w:rPr>
        <w:t>Asimismo, conforme a nuestro Estatuto, cualquier fusión por absorción, fusión propiamente dicha u otra combinación que tenga sustancialmente el mismo efecto y que nos involucre a nosotros y un adquirente que haya efectuado previamente una “Adquisición de Control”, siendo ésta una adquisición de acciones títulos convertibles como resultado de la cual el adquirente, directa o indirectamente a través de o junto con sus afiliadas (en conjunto, un “Adquirente”), sea titular o controlare acciones Clase D que, sumadas a las acciones Clase D anteriores del Adquirente representen el 30% o más de nuestro capital en circulación, o por cualquier otra persona o personas, si dicha operación pudiera tener sustancialmente los mismos efectos que una Adquisición de Control (una “Operación con Personas Vinculadas”) debe realizarse de acuerdo con las disposiciones descriptas más abajo.</w:t>
      </w:r>
    </w:p>
    <w:p w14:paraId="31F21422" w14:textId="77777777" w:rsidR="00CB5660" w:rsidRPr="00AE4E8D" w:rsidRDefault="00CB5660" w:rsidP="00A667F7">
      <w:pPr>
        <w:pStyle w:val="BHTexto"/>
        <w:rPr>
          <w:lang w:val="es-ES"/>
        </w:rPr>
      </w:pPr>
      <w:r w:rsidRPr="00AE4E8D">
        <w:rPr>
          <w:lang w:val="es-ES"/>
        </w:rPr>
        <w:t>El precio por acción que deberá recibir cada accionista oferente en cualquier Operación con Personas Vinculadas debe ser el mismo, y no debe ser inferior al más alto de los siguientes:</w:t>
      </w:r>
    </w:p>
    <w:p w14:paraId="2EFB2B41" w14:textId="77777777" w:rsidR="00CB5660" w:rsidRPr="00AE4E8D" w:rsidRDefault="00CB5660" w:rsidP="00933012">
      <w:pPr>
        <w:numPr>
          <w:ilvl w:val="0"/>
          <w:numId w:val="38"/>
        </w:numPr>
        <w:tabs>
          <w:tab w:val="left" w:pos="1418"/>
        </w:tabs>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precio más alto pagado por o por cuenta de la parte que pretende llevar a cabo la Operación con Personas Vinculadas (un “</w:t>
      </w:r>
      <w:r w:rsidRPr="00AE4E8D">
        <w:rPr>
          <w:rFonts w:ascii="Times New Roman" w:hAnsi="Times New Roman"/>
          <w:u w:val="single"/>
          <w:lang w:val="es-ES" w:eastAsia="es-AR"/>
        </w:rPr>
        <w:t>Accionista Interesado</w:t>
      </w:r>
      <w:r w:rsidRPr="00AE4E8D">
        <w:rPr>
          <w:rFonts w:ascii="Times New Roman" w:hAnsi="Times New Roman"/>
          <w:lang w:val="es-ES" w:eastAsia="es-AR"/>
        </w:rPr>
        <w:t>”) por (a) acciones de la Clase a ser transferida en la Operación con Personas Vinculadas dentro del período de dos años inmediatamente anterior al anuncio de la Operación con Personas Vinculadas, o (b) acciones de la Clase adquirida en cualquier Adquisición de Control, en cada caso ajustado por cualquier división accionaria, dividendo en acciones, subdivisión a otra reclasificación que afecte a la Clase;</w:t>
      </w:r>
    </w:p>
    <w:p w14:paraId="74B71A5A" w14:textId="77777777" w:rsidR="00CB5660" w:rsidRPr="00AE4E8D" w:rsidRDefault="00CB5660" w:rsidP="00933012">
      <w:pPr>
        <w:numPr>
          <w:ilvl w:val="0"/>
          <w:numId w:val="38"/>
        </w:numPr>
        <w:tabs>
          <w:tab w:val="left" w:pos="1418"/>
        </w:tabs>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precio de cierre de venta más alto de acciones de la Clase en el BCBA durante los 30 días inmediatamente anteriores al anuncio de la Operación con Personas Vinculadas o la fecha de cualquier Adquisición de Control por parte del Accionista Interesado, ajustado por cualquier división accionaria, dividendo en acciones, subdivisión o reclasificación que afecte a la Clase;</w:t>
      </w:r>
    </w:p>
    <w:p w14:paraId="2F7AE250" w14:textId="77777777" w:rsidR="00CB5660" w:rsidRPr="00AE4E8D" w:rsidRDefault="00CB5660" w:rsidP="00933012">
      <w:pPr>
        <w:numPr>
          <w:ilvl w:val="0"/>
          <w:numId w:val="38"/>
        </w:numPr>
        <w:tabs>
          <w:tab w:val="left" w:pos="1418"/>
        </w:tabs>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el precio resultante de la cláusula (ii), multiplicado por una fracción, cuyo numerador será el precio más alto pagado por el Accionista Interesado o por su cuenta, por cualquier acción de la Clase durante los dos años inmediatamente anteriores al anuncio de la Operación con Personas Vinculadas, y cuyo denominador será el precio de venta de cierre correspondiente a las acciones de la </w:t>
      </w:r>
      <w:r w:rsidRPr="00AE4E8D">
        <w:rPr>
          <w:rFonts w:ascii="Times New Roman" w:hAnsi="Times New Roman"/>
          <w:lang w:val="es-ES" w:eastAsia="es-AR"/>
        </w:rPr>
        <w:lastRenderedPageBreak/>
        <w:t>Clase en la fecha inmediatamente anterior al primer día del período de dos años mencionado precedentemente en el cual el Accionista Interesado adquirió cualquier interés o derecho en acciones de la Clase, en cada caso ajustado por cualquier división accionaria, dividendo en acciones, subdivisión o reclasificación que afecte a la Clase; y</w:t>
      </w:r>
    </w:p>
    <w:p w14:paraId="1848D508" w14:textId="77777777" w:rsidR="00CB5660" w:rsidRPr="00AE4E8D" w:rsidRDefault="00CB5660" w:rsidP="00933012">
      <w:pPr>
        <w:numPr>
          <w:ilvl w:val="0"/>
          <w:numId w:val="38"/>
        </w:numPr>
        <w:tabs>
          <w:tab w:val="left" w:pos="1418"/>
        </w:tabs>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el ingreso neto por acción de las acciones de la Clase durante los cuatro últimos trimestres fiscales completos inmediatamente anteriores al anuncio de la Operación con Personas Vinculadas, multiplicado por la más alta de las relaciones siguientes (a) la relación precio/ingreso de ese período correspondiente a las acciones de la Clase (si lo hubiere), y (b) la relación precio/ingreso más alta para nosotros en el período de dos años anterior al anuncio de la Operación con Personas Vinculadas, en cada caso determinado de conformidad con las prácticas normales en la comunidad financiera.</w:t>
      </w:r>
    </w:p>
    <w:p w14:paraId="3D214FB3" w14:textId="77777777" w:rsidR="00CB5660" w:rsidRPr="00AE4E8D" w:rsidRDefault="00CB5660" w:rsidP="00A667F7">
      <w:pPr>
        <w:pStyle w:val="BHTexto"/>
        <w:rPr>
          <w:lang w:val="es-ES"/>
        </w:rPr>
      </w:pPr>
      <w:r w:rsidRPr="00AE4E8D">
        <w:rPr>
          <w:lang w:val="es-ES"/>
        </w:rPr>
        <w:t>Cualquier oferta debe permanecer abierta por un plazo mínimo de 90 días después del envío de la notificación a los accionistas o la primera publicación de la oferta, y los accionistas tendrán derecho a retirar las acciones ofrecidas en cualquier momento hasta el cierre de la oferta. Después del cierre de la oferta pública de adquisición el Adquirente estará obligado a adquirir todas las acciones o títulos convertibles ofrecidos; considerando que si el número de acciones ofrecidas fuera inferior al mínimo (si tal mínimo se hubiera dispuesto) al cual estaba condicionada la mencionada oferta, el Adquirente podrá retirar la oferta pública de adquisición. El Adquirente podrá concretar cualquier propuesta de acuerdo dentro de un plazo de 30 días posterior al cierre de la oferta; estableciéndose que, si dicha oferta estaba condicionada a la adquisición de un número mínimo de acciones, la propuesta de acuerdo podrá concretarse solamente si se alcanzó dicho mínimo. En caso de no existir propuesta de acuerdo alguna, el Adquirente podrá adquirir el número de acciones indicado en la notificación cursada a nosotros según las condiciones allí indicadas, en la medida en que dicho número de acciones no haya sido adquirido en la oferta de adquisición; siempre que se haya cumplido cualquier condición relacionada con un número mínimo de acciones ofrecidas.</w:t>
      </w:r>
    </w:p>
    <w:p w14:paraId="41FB5DEB" w14:textId="77777777" w:rsidR="00CB5660" w:rsidRPr="00AE4E8D" w:rsidRDefault="00CB5660" w:rsidP="00350E47">
      <w:pPr>
        <w:pStyle w:val="BHTexto"/>
        <w:rPr>
          <w:lang w:val="es-ES"/>
        </w:rPr>
      </w:pPr>
      <w:r w:rsidRPr="00AE4E8D">
        <w:rPr>
          <w:lang w:val="es-ES"/>
        </w:rPr>
        <w:t>La siguiente tabla muestra las operaciones con partes vinculadas celebradas por nosotros sobre una base comparativa al 31 de diciembre 201</w:t>
      </w:r>
      <w:r w:rsidR="009A7BD0" w:rsidRPr="00AE4E8D">
        <w:rPr>
          <w:lang w:val="es-ES"/>
        </w:rPr>
        <w:t>6</w:t>
      </w:r>
      <w:r w:rsidRPr="00AE4E8D">
        <w:rPr>
          <w:lang w:val="es-ES"/>
        </w:rPr>
        <w:t xml:space="preserve"> y </w:t>
      </w:r>
      <w:r w:rsidR="00E841DA" w:rsidRPr="00AE4E8D">
        <w:rPr>
          <w:lang w:val="es-ES"/>
        </w:rPr>
        <w:t>3</w:t>
      </w:r>
      <w:r w:rsidR="003730F6" w:rsidRPr="00AE4E8D">
        <w:rPr>
          <w:lang w:val="es-ES"/>
        </w:rPr>
        <w:t>0</w:t>
      </w:r>
      <w:r w:rsidR="00E841DA" w:rsidRPr="00AE4E8D">
        <w:rPr>
          <w:lang w:val="es-ES"/>
        </w:rPr>
        <w:t xml:space="preserve"> de </w:t>
      </w:r>
      <w:r w:rsidR="003730F6" w:rsidRPr="00AE4E8D">
        <w:rPr>
          <w:lang w:val="es-ES"/>
        </w:rPr>
        <w:t>junio</w:t>
      </w:r>
      <w:r w:rsidRPr="00AE4E8D">
        <w:rPr>
          <w:lang w:val="es-ES"/>
        </w:rPr>
        <w:t xml:space="preserve"> 201</w:t>
      </w:r>
      <w:r w:rsidR="009A7BD0" w:rsidRPr="00AE4E8D">
        <w:rPr>
          <w:lang w:val="es-ES"/>
        </w:rPr>
        <w:t>7</w:t>
      </w:r>
      <w:r w:rsidRPr="00AE4E8D">
        <w:rPr>
          <w:lang w:val="es-ES"/>
        </w:rPr>
        <w:t>:</w:t>
      </w:r>
      <w:r w:rsidR="0038649E" w:rsidRPr="00AE4E8D">
        <w:rPr>
          <w:lang w:val="es-ES"/>
        </w:rPr>
        <w:t xml:space="preserve"> </w:t>
      </w:r>
    </w:p>
    <w:p w14:paraId="634EDCAE" w14:textId="77777777" w:rsidR="00490A4A" w:rsidRPr="00AE4E8D" w:rsidRDefault="00490A4A" w:rsidP="00350E47">
      <w:pPr>
        <w:pStyle w:val="BHTexto"/>
        <w:rPr>
          <w:lang w:val="es-ES"/>
        </w:rPr>
      </w:pPr>
    </w:p>
    <w:tbl>
      <w:tblPr>
        <w:tblW w:w="4917" w:type="pct"/>
        <w:jc w:val="center"/>
        <w:tblLook w:val="04A0" w:firstRow="1" w:lastRow="0" w:firstColumn="1" w:lastColumn="0" w:noHBand="0" w:noVBand="1"/>
      </w:tblPr>
      <w:tblGrid>
        <w:gridCol w:w="742"/>
        <w:gridCol w:w="1200"/>
        <w:gridCol w:w="2053"/>
        <w:gridCol w:w="498"/>
        <w:gridCol w:w="1200"/>
        <w:gridCol w:w="685"/>
        <w:gridCol w:w="54"/>
        <w:gridCol w:w="461"/>
        <w:gridCol w:w="1683"/>
      </w:tblGrid>
      <w:tr w:rsidR="00141F92" w:rsidRPr="00AE4E8D" w14:paraId="39FBF1F6" w14:textId="77777777" w:rsidTr="000400C8">
        <w:trPr>
          <w:trHeight w:val="315"/>
          <w:jc w:val="center"/>
        </w:trPr>
        <w:tc>
          <w:tcPr>
            <w:tcW w:w="3995" w:type="dxa"/>
            <w:gridSpan w:val="3"/>
            <w:tcBorders>
              <w:top w:val="nil"/>
              <w:left w:val="nil"/>
              <w:bottom w:val="nil"/>
              <w:right w:val="nil"/>
            </w:tcBorders>
            <w:shd w:val="clear" w:color="auto" w:fill="auto"/>
          </w:tcPr>
          <w:p w14:paraId="6374F705" w14:textId="77777777" w:rsidR="00141F92" w:rsidRPr="00AE4E8D" w:rsidRDefault="00141F92" w:rsidP="00490A4A">
            <w:pPr>
              <w:rPr>
                <w:rFonts w:ascii="Times New Roman" w:hAnsi="Times New Roman"/>
                <w:color w:val="000000"/>
                <w:lang w:val="es-ES"/>
              </w:rPr>
            </w:pPr>
          </w:p>
        </w:tc>
        <w:tc>
          <w:tcPr>
            <w:tcW w:w="2437" w:type="dxa"/>
            <w:gridSpan w:val="4"/>
            <w:tcBorders>
              <w:top w:val="single" w:sz="8" w:space="0" w:color="auto"/>
              <w:left w:val="nil"/>
              <w:bottom w:val="single" w:sz="8" w:space="0" w:color="auto"/>
              <w:right w:val="nil"/>
            </w:tcBorders>
            <w:shd w:val="clear" w:color="auto" w:fill="auto"/>
            <w:vAlign w:val="center"/>
          </w:tcPr>
          <w:p w14:paraId="193565AB" w14:textId="77777777" w:rsidR="00141F92" w:rsidRPr="00AE4E8D" w:rsidRDefault="00141F92" w:rsidP="00490A4A">
            <w:pPr>
              <w:jc w:val="center"/>
              <w:rPr>
                <w:rFonts w:ascii="Times New Roman" w:hAnsi="Times New Roman"/>
                <w:color w:val="000000"/>
                <w:sz w:val="18"/>
                <w:szCs w:val="18"/>
                <w:lang w:val="es-ES"/>
              </w:rPr>
            </w:pPr>
            <w:r w:rsidRPr="00AE4E8D">
              <w:rPr>
                <w:rFonts w:ascii="Times New Roman" w:hAnsi="Times New Roman"/>
                <w:b/>
                <w:bCs/>
                <w:color w:val="000000"/>
                <w:sz w:val="18"/>
                <w:szCs w:val="18"/>
                <w:lang w:val="es-ES"/>
              </w:rPr>
              <w:t xml:space="preserve"> Al 31 de diciembre de 2016</w:t>
            </w:r>
          </w:p>
        </w:tc>
        <w:tc>
          <w:tcPr>
            <w:tcW w:w="2144" w:type="dxa"/>
            <w:gridSpan w:val="2"/>
            <w:tcBorders>
              <w:top w:val="single" w:sz="8" w:space="0" w:color="auto"/>
              <w:left w:val="nil"/>
              <w:bottom w:val="single" w:sz="8" w:space="0" w:color="auto"/>
              <w:right w:val="nil"/>
            </w:tcBorders>
            <w:shd w:val="clear" w:color="auto" w:fill="auto"/>
            <w:vAlign w:val="center"/>
          </w:tcPr>
          <w:p w14:paraId="308A0559" w14:textId="77777777" w:rsidR="00141F92" w:rsidRPr="00AE4E8D" w:rsidRDefault="00141F92" w:rsidP="00490A4A">
            <w:pPr>
              <w:jc w:val="center"/>
              <w:rPr>
                <w:rFonts w:ascii="Times New Roman" w:hAnsi="Times New Roman"/>
                <w:color w:val="000000"/>
                <w:sz w:val="18"/>
                <w:szCs w:val="18"/>
                <w:lang w:val="es-ES"/>
              </w:rPr>
            </w:pPr>
            <w:r w:rsidRPr="00AE4E8D">
              <w:rPr>
                <w:rFonts w:ascii="Times New Roman" w:hAnsi="Times New Roman"/>
                <w:b/>
                <w:bCs/>
                <w:color w:val="000000"/>
                <w:sz w:val="18"/>
                <w:szCs w:val="18"/>
                <w:lang w:val="es-ES"/>
              </w:rPr>
              <w:t>Al 30 de junio de 2017</w:t>
            </w:r>
          </w:p>
        </w:tc>
      </w:tr>
      <w:tr w:rsidR="00141F92" w:rsidRPr="00AE4E8D" w14:paraId="42C4084C" w14:textId="77777777" w:rsidTr="000400C8">
        <w:trPr>
          <w:trHeight w:val="315"/>
          <w:jc w:val="center"/>
        </w:trPr>
        <w:tc>
          <w:tcPr>
            <w:tcW w:w="3995" w:type="dxa"/>
            <w:gridSpan w:val="3"/>
            <w:tcBorders>
              <w:top w:val="nil"/>
              <w:left w:val="nil"/>
              <w:bottom w:val="nil"/>
              <w:right w:val="nil"/>
            </w:tcBorders>
            <w:shd w:val="clear" w:color="auto" w:fill="auto"/>
            <w:hideMark/>
          </w:tcPr>
          <w:p w14:paraId="117E40EA" w14:textId="77777777" w:rsidR="00141F92" w:rsidRPr="00AE4E8D" w:rsidRDefault="00141F92" w:rsidP="00490A4A">
            <w:pPr>
              <w:rPr>
                <w:rFonts w:ascii="Times New Roman" w:hAnsi="Times New Roman"/>
                <w:color w:val="000000"/>
                <w:lang w:val="es-ES"/>
              </w:rPr>
            </w:pPr>
          </w:p>
        </w:tc>
        <w:tc>
          <w:tcPr>
            <w:tcW w:w="4581" w:type="dxa"/>
            <w:gridSpan w:val="6"/>
            <w:tcBorders>
              <w:top w:val="single" w:sz="8" w:space="0" w:color="auto"/>
              <w:left w:val="nil"/>
              <w:bottom w:val="single" w:sz="8" w:space="0" w:color="auto"/>
              <w:right w:val="nil"/>
            </w:tcBorders>
            <w:shd w:val="clear" w:color="auto" w:fill="auto"/>
            <w:vAlign w:val="center"/>
            <w:hideMark/>
          </w:tcPr>
          <w:p w14:paraId="338CFC9E" w14:textId="77777777" w:rsidR="00141F92" w:rsidRPr="00AE4E8D" w:rsidRDefault="00141F92" w:rsidP="00490A4A">
            <w:pPr>
              <w:jc w:val="center"/>
              <w:rPr>
                <w:rFonts w:ascii="Times New Roman" w:hAnsi="Times New Roman"/>
                <w:color w:val="000000"/>
                <w:sz w:val="18"/>
                <w:szCs w:val="18"/>
                <w:lang w:val="es-ES"/>
              </w:rPr>
            </w:pPr>
            <w:r w:rsidRPr="00AE4E8D">
              <w:rPr>
                <w:rFonts w:ascii="Times New Roman" w:hAnsi="Times New Roman"/>
                <w:color w:val="000000"/>
                <w:sz w:val="18"/>
                <w:szCs w:val="18"/>
                <w:lang w:val="es-ES"/>
              </w:rPr>
              <w:t>(En miles de Pesos)</w:t>
            </w:r>
          </w:p>
        </w:tc>
      </w:tr>
      <w:tr w:rsidR="00141F92" w:rsidRPr="00AE4E8D" w14:paraId="7C8D9A7E"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757F2FB6" w14:textId="77777777" w:rsidR="00141F92" w:rsidRPr="00AE4E8D" w:rsidRDefault="00141F92" w:rsidP="00490A4A">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Préstamos</w:t>
            </w:r>
            <w:r w:rsidRPr="00AE4E8D">
              <w:rPr>
                <w:rFonts w:ascii="Times New Roman" w:hAnsi="Times New Roman"/>
                <w:color w:val="000000"/>
                <w:sz w:val="14"/>
                <w:szCs w:val="14"/>
                <w:lang w:val="es-ES"/>
              </w:rPr>
              <w:t xml:space="preserve"> </w:t>
            </w:r>
          </w:p>
        </w:tc>
        <w:tc>
          <w:tcPr>
            <w:tcW w:w="2383" w:type="dxa"/>
            <w:gridSpan w:val="3"/>
            <w:tcBorders>
              <w:top w:val="single" w:sz="8" w:space="0" w:color="auto"/>
              <w:left w:val="nil"/>
              <w:bottom w:val="nil"/>
              <w:right w:val="nil"/>
            </w:tcBorders>
            <w:shd w:val="clear" w:color="auto" w:fill="auto"/>
            <w:vAlign w:val="center"/>
            <w:hideMark/>
          </w:tcPr>
          <w:p w14:paraId="2B564CBC"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w:t>
            </w:r>
          </w:p>
        </w:tc>
        <w:tc>
          <w:tcPr>
            <w:tcW w:w="2198" w:type="dxa"/>
            <w:gridSpan w:val="3"/>
            <w:tcBorders>
              <w:top w:val="single" w:sz="8" w:space="0" w:color="auto"/>
              <w:left w:val="nil"/>
              <w:bottom w:val="nil"/>
              <w:right w:val="nil"/>
            </w:tcBorders>
            <w:shd w:val="clear" w:color="auto" w:fill="auto"/>
            <w:vAlign w:val="center"/>
            <w:hideMark/>
          </w:tcPr>
          <w:p w14:paraId="28CA8644"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w:t>
            </w:r>
          </w:p>
        </w:tc>
      </w:tr>
      <w:tr w:rsidR="00141F92" w:rsidRPr="00AE4E8D" w14:paraId="407CF41A"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5F6CD207"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BACS Banco de Crédito y Securitización S.A</w:t>
            </w:r>
            <w:r w:rsidRPr="00AE4E8D">
              <w:rPr>
                <w:rFonts w:ascii="Times New Roman" w:hAnsi="Times New Roman"/>
                <w:color w:val="000000"/>
                <w:sz w:val="14"/>
                <w:szCs w:val="14"/>
                <w:lang w:val="es-ES"/>
              </w:rPr>
              <w:t xml:space="preserve"> </w:t>
            </w:r>
          </w:p>
        </w:tc>
        <w:tc>
          <w:tcPr>
            <w:tcW w:w="2383" w:type="dxa"/>
            <w:gridSpan w:val="3"/>
            <w:tcBorders>
              <w:top w:val="nil"/>
              <w:left w:val="nil"/>
              <w:bottom w:val="nil"/>
              <w:right w:val="nil"/>
            </w:tcBorders>
            <w:shd w:val="clear" w:color="auto" w:fill="auto"/>
            <w:vAlign w:val="center"/>
            <w:hideMark/>
          </w:tcPr>
          <w:p w14:paraId="6CC232ED" w14:textId="77777777" w:rsidR="00141F92" w:rsidRPr="00AE4E8D" w:rsidRDefault="00141F92" w:rsidP="00490A4A">
            <w:pPr>
              <w:jc w:val="right"/>
              <w:rPr>
                <w:rFonts w:ascii="Times New Roman" w:hAnsi="Times New Roman"/>
                <w:sz w:val="18"/>
                <w:szCs w:val="18"/>
                <w:lang w:val="es-ES"/>
              </w:rPr>
            </w:pPr>
            <w:r w:rsidRPr="00AE4E8D">
              <w:rPr>
                <w:rFonts w:ascii="Times New Roman" w:hAnsi="Times New Roman"/>
                <w:sz w:val="18"/>
                <w:szCs w:val="18"/>
                <w:lang w:val="es-ES"/>
              </w:rPr>
              <w:t>33.342</w:t>
            </w:r>
          </w:p>
        </w:tc>
        <w:tc>
          <w:tcPr>
            <w:tcW w:w="2198" w:type="dxa"/>
            <w:gridSpan w:val="3"/>
            <w:tcBorders>
              <w:top w:val="nil"/>
              <w:left w:val="nil"/>
              <w:bottom w:val="nil"/>
              <w:right w:val="nil"/>
            </w:tcBorders>
            <w:shd w:val="clear" w:color="auto" w:fill="auto"/>
            <w:vAlign w:val="center"/>
            <w:hideMark/>
          </w:tcPr>
          <w:p w14:paraId="7128ACE0"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24.108</w:t>
            </w:r>
          </w:p>
        </w:tc>
      </w:tr>
      <w:tr w:rsidR="00141F92" w:rsidRPr="00AE4E8D" w14:paraId="29113746"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14AD647C" w14:textId="77777777" w:rsidR="00141F92" w:rsidRPr="00AE4E8D" w:rsidRDefault="00141F92" w:rsidP="00490A4A">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Créditos diversos – Deudores varios</w:t>
            </w:r>
            <w:r w:rsidRPr="00AE4E8D">
              <w:rPr>
                <w:rFonts w:ascii="Times New Roman" w:hAnsi="Times New Roman"/>
                <w:color w:val="000000"/>
                <w:sz w:val="14"/>
                <w:szCs w:val="14"/>
                <w:lang w:val="es-ES"/>
              </w:rPr>
              <w:t xml:space="preserve"> </w:t>
            </w:r>
          </w:p>
        </w:tc>
        <w:tc>
          <w:tcPr>
            <w:tcW w:w="2383" w:type="dxa"/>
            <w:gridSpan w:val="3"/>
            <w:tcBorders>
              <w:top w:val="nil"/>
              <w:left w:val="nil"/>
              <w:bottom w:val="nil"/>
              <w:right w:val="nil"/>
            </w:tcBorders>
            <w:shd w:val="clear" w:color="auto" w:fill="auto"/>
            <w:noWrap/>
            <w:hideMark/>
          </w:tcPr>
          <w:p w14:paraId="5AF4B71F" w14:textId="77777777" w:rsidR="00141F92" w:rsidRPr="00AE4E8D" w:rsidRDefault="00141F92" w:rsidP="00490A4A">
            <w:pPr>
              <w:rPr>
                <w:rFonts w:ascii="Times New Roman" w:hAnsi="Times New Roman"/>
                <w:color w:val="000000"/>
                <w:lang w:val="es-ES"/>
              </w:rPr>
            </w:pPr>
          </w:p>
        </w:tc>
        <w:tc>
          <w:tcPr>
            <w:tcW w:w="2198" w:type="dxa"/>
            <w:gridSpan w:val="3"/>
            <w:tcBorders>
              <w:top w:val="nil"/>
              <w:left w:val="nil"/>
              <w:bottom w:val="nil"/>
              <w:right w:val="nil"/>
            </w:tcBorders>
            <w:shd w:val="clear" w:color="auto" w:fill="auto"/>
            <w:noWrap/>
            <w:hideMark/>
          </w:tcPr>
          <w:p w14:paraId="79220470" w14:textId="77777777" w:rsidR="00141F92" w:rsidRPr="00AE4E8D" w:rsidRDefault="00141F92" w:rsidP="00490A4A">
            <w:pPr>
              <w:rPr>
                <w:rFonts w:ascii="Times New Roman" w:hAnsi="Times New Roman"/>
                <w:color w:val="000000"/>
                <w:lang w:val="es-ES"/>
              </w:rPr>
            </w:pPr>
          </w:p>
        </w:tc>
      </w:tr>
      <w:tr w:rsidR="00141F92" w:rsidRPr="00AE4E8D" w14:paraId="1447A82B"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14823234"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BACS Banco de Crédito y Securitización S.A</w:t>
            </w:r>
            <w:r w:rsidRPr="00AE4E8D">
              <w:rPr>
                <w:rFonts w:ascii="Times New Roman" w:hAnsi="Times New Roman"/>
                <w:color w:val="000000"/>
                <w:sz w:val="14"/>
                <w:szCs w:val="14"/>
                <w:lang w:val="es-ES"/>
              </w:rPr>
              <w:t xml:space="preserve"> </w:t>
            </w:r>
          </w:p>
        </w:tc>
        <w:tc>
          <w:tcPr>
            <w:tcW w:w="2383" w:type="dxa"/>
            <w:gridSpan w:val="3"/>
            <w:tcBorders>
              <w:top w:val="nil"/>
              <w:left w:val="nil"/>
              <w:bottom w:val="nil"/>
              <w:right w:val="nil"/>
            </w:tcBorders>
            <w:shd w:val="clear" w:color="auto" w:fill="auto"/>
            <w:vAlign w:val="center"/>
            <w:hideMark/>
          </w:tcPr>
          <w:p w14:paraId="61CCAA17"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9.443</w:t>
            </w:r>
          </w:p>
        </w:tc>
        <w:tc>
          <w:tcPr>
            <w:tcW w:w="2198" w:type="dxa"/>
            <w:gridSpan w:val="3"/>
            <w:tcBorders>
              <w:top w:val="nil"/>
              <w:left w:val="nil"/>
              <w:bottom w:val="nil"/>
              <w:right w:val="nil"/>
            </w:tcBorders>
            <w:shd w:val="clear" w:color="auto" w:fill="auto"/>
            <w:vAlign w:val="center"/>
            <w:hideMark/>
          </w:tcPr>
          <w:p w14:paraId="03A60CDA"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9.010</w:t>
            </w:r>
          </w:p>
        </w:tc>
      </w:tr>
      <w:tr w:rsidR="00141F92" w:rsidRPr="00AE4E8D" w14:paraId="714F1D0D"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1C0B2A1A"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BHN Vida S.A</w:t>
            </w:r>
            <w:r w:rsidRPr="00AE4E8D">
              <w:rPr>
                <w:rFonts w:ascii="Times New Roman" w:hAnsi="Times New Roman"/>
                <w:color w:val="000000"/>
                <w:sz w:val="14"/>
                <w:szCs w:val="14"/>
                <w:lang w:val="es-ES"/>
              </w:rPr>
              <w:t xml:space="preserve"> </w:t>
            </w:r>
          </w:p>
        </w:tc>
        <w:tc>
          <w:tcPr>
            <w:tcW w:w="2383" w:type="dxa"/>
            <w:gridSpan w:val="3"/>
            <w:tcBorders>
              <w:top w:val="nil"/>
              <w:left w:val="nil"/>
              <w:bottom w:val="nil"/>
              <w:right w:val="nil"/>
            </w:tcBorders>
            <w:shd w:val="clear" w:color="auto" w:fill="auto"/>
            <w:vAlign w:val="center"/>
            <w:hideMark/>
          </w:tcPr>
          <w:p w14:paraId="735AEEED"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20.467</w:t>
            </w:r>
          </w:p>
        </w:tc>
        <w:tc>
          <w:tcPr>
            <w:tcW w:w="2198" w:type="dxa"/>
            <w:gridSpan w:val="3"/>
            <w:tcBorders>
              <w:top w:val="nil"/>
              <w:left w:val="nil"/>
              <w:bottom w:val="nil"/>
              <w:right w:val="nil"/>
            </w:tcBorders>
            <w:shd w:val="clear" w:color="auto" w:fill="auto"/>
            <w:vAlign w:val="center"/>
            <w:hideMark/>
          </w:tcPr>
          <w:p w14:paraId="028CDEE1"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5.470</w:t>
            </w:r>
          </w:p>
        </w:tc>
      </w:tr>
      <w:tr w:rsidR="00141F92" w:rsidRPr="00AE4E8D" w14:paraId="202AE73B"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031A683A"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Seguros Generales S.A </w:t>
            </w:r>
          </w:p>
        </w:tc>
        <w:tc>
          <w:tcPr>
            <w:tcW w:w="2383" w:type="dxa"/>
            <w:gridSpan w:val="3"/>
            <w:tcBorders>
              <w:top w:val="nil"/>
              <w:left w:val="nil"/>
              <w:bottom w:val="nil"/>
              <w:right w:val="nil"/>
            </w:tcBorders>
            <w:shd w:val="clear" w:color="auto" w:fill="auto"/>
            <w:vAlign w:val="center"/>
            <w:hideMark/>
          </w:tcPr>
          <w:p w14:paraId="271D1DDD"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10.850</w:t>
            </w:r>
          </w:p>
        </w:tc>
        <w:tc>
          <w:tcPr>
            <w:tcW w:w="2198" w:type="dxa"/>
            <w:gridSpan w:val="3"/>
            <w:tcBorders>
              <w:top w:val="nil"/>
              <w:left w:val="nil"/>
              <w:bottom w:val="nil"/>
              <w:right w:val="nil"/>
            </w:tcBorders>
            <w:shd w:val="clear" w:color="auto" w:fill="auto"/>
            <w:vAlign w:val="center"/>
            <w:hideMark/>
          </w:tcPr>
          <w:p w14:paraId="230F61E2"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3.430</w:t>
            </w:r>
          </w:p>
        </w:tc>
      </w:tr>
      <w:tr w:rsidR="00141F92" w:rsidRPr="00AE4E8D" w14:paraId="1D994A01"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28F58AE4"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Tarshop S.A </w:t>
            </w:r>
          </w:p>
        </w:tc>
        <w:tc>
          <w:tcPr>
            <w:tcW w:w="2383" w:type="dxa"/>
            <w:gridSpan w:val="3"/>
            <w:tcBorders>
              <w:top w:val="nil"/>
              <w:left w:val="nil"/>
              <w:bottom w:val="nil"/>
              <w:right w:val="nil"/>
            </w:tcBorders>
            <w:shd w:val="clear" w:color="auto" w:fill="auto"/>
            <w:vAlign w:val="center"/>
            <w:hideMark/>
          </w:tcPr>
          <w:p w14:paraId="6EDE191A"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1.898</w:t>
            </w:r>
          </w:p>
        </w:tc>
        <w:tc>
          <w:tcPr>
            <w:tcW w:w="2198" w:type="dxa"/>
            <w:gridSpan w:val="3"/>
            <w:tcBorders>
              <w:top w:val="nil"/>
              <w:left w:val="nil"/>
              <w:bottom w:val="nil"/>
              <w:right w:val="nil"/>
            </w:tcBorders>
            <w:shd w:val="clear" w:color="auto" w:fill="auto"/>
            <w:vAlign w:val="center"/>
            <w:hideMark/>
          </w:tcPr>
          <w:p w14:paraId="5975F733"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136</w:t>
            </w:r>
          </w:p>
        </w:tc>
      </w:tr>
      <w:tr w:rsidR="00141F92" w:rsidRPr="00AE4E8D" w14:paraId="5ABBBA81"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1CB8C01D"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Sociedad de Inversión S.A </w:t>
            </w:r>
          </w:p>
        </w:tc>
        <w:tc>
          <w:tcPr>
            <w:tcW w:w="2383" w:type="dxa"/>
            <w:gridSpan w:val="3"/>
            <w:tcBorders>
              <w:top w:val="nil"/>
              <w:left w:val="nil"/>
              <w:bottom w:val="nil"/>
              <w:right w:val="nil"/>
            </w:tcBorders>
            <w:shd w:val="clear" w:color="auto" w:fill="auto"/>
            <w:vAlign w:val="center"/>
            <w:hideMark/>
          </w:tcPr>
          <w:p w14:paraId="76AED167"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 - </w:t>
            </w:r>
          </w:p>
        </w:tc>
        <w:tc>
          <w:tcPr>
            <w:tcW w:w="2198" w:type="dxa"/>
            <w:gridSpan w:val="3"/>
            <w:tcBorders>
              <w:top w:val="nil"/>
              <w:left w:val="nil"/>
              <w:bottom w:val="nil"/>
              <w:right w:val="nil"/>
            </w:tcBorders>
            <w:shd w:val="clear" w:color="auto" w:fill="auto"/>
            <w:vAlign w:val="center"/>
            <w:hideMark/>
          </w:tcPr>
          <w:p w14:paraId="2BA45774"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750.000 </w:t>
            </w:r>
          </w:p>
        </w:tc>
      </w:tr>
      <w:tr w:rsidR="00141F92" w:rsidRPr="00AE4E8D" w14:paraId="5550FE44" w14:textId="77777777" w:rsidTr="000400C8">
        <w:trPr>
          <w:trHeight w:val="480"/>
          <w:jc w:val="center"/>
        </w:trPr>
        <w:tc>
          <w:tcPr>
            <w:tcW w:w="3995" w:type="dxa"/>
            <w:gridSpan w:val="3"/>
            <w:tcBorders>
              <w:top w:val="nil"/>
              <w:left w:val="nil"/>
              <w:bottom w:val="nil"/>
              <w:right w:val="nil"/>
            </w:tcBorders>
            <w:shd w:val="clear" w:color="auto" w:fill="auto"/>
            <w:vAlign w:val="center"/>
            <w:hideMark/>
          </w:tcPr>
          <w:p w14:paraId="6EEEDDFF" w14:textId="77777777" w:rsidR="00141F92" w:rsidRPr="00AE4E8D" w:rsidRDefault="00141F92" w:rsidP="00490A4A">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Depósitos – Ctas. Ctes. – Cajas de Ahorro y plazo fijo</w:t>
            </w:r>
            <w:r w:rsidRPr="00AE4E8D">
              <w:rPr>
                <w:rFonts w:ascii="Times New Roman" w:hAnsi="Times New Roman"/>
                <w:color w:val="000000"/>
                <w:sz w:val="18"/>
                <w:szCs w:val="18"/>
                <w:lang w:val="es-ES"/>
              </w:rPr>
              <w:t xml:space="preserve"> </w:t>
            </w:r>
          </w:p>
        </w:tc>
        <w:tc>
          <w:tcPr>
            <w:tcW w:w="2383" w:type="dxa"/>
            <w:gridSpan w:val="3"/>
            <w:tcBorders>
              <w:top w:val="nil"/>
              <w:left w:val="nil"/>
              <w:bottom w:val="nil"/>
              <w:right w:val="nil"/>
            </w:tcBorders>
            <w:shd w:val="clear" w:color="auto" w:fill="auto"/>
            <w:noWrap/>
            <w:hideMark/>
          </w:tcPr>
          <w:p w14:paraId="5CC7787F" w14:textId="77777777" w:rsidR="00141F92" w:rsidRPr="00AE4E8D" w:rsidRDefault="00141F92" w:rsidP="00490A4A">
            <w:pPr>
              <w:rPr>
                <w:rFonts w:ascii="Times New Roman" w:hAnsi="Times New Roman"/>
                <w:color w:val="000000"/>
                <w:lang w:val="es-ES"/>
              </w:rPr>
            </w:pPr>
          </w:p>
        </w:tc>
        <w:tc>
          <w:tcPr>
            <w:tcW w:w="2198" w:type="dxa"/>
            <w:gridSpan w:val="3"/>
            <w:tcBorders>
              <w:top w:val="nil"/>
              <w:left w:val="nil"/>
              <w:bottom w:val="nil"/>
              <w:right w:val="nil"/>
            </w:tcBorders>
            <w:shd w:val="clear" w:color="auto" w:fill="auto"/>
            <w:noWrap/>
            <w:hideMark/>
          </w:tcPr>
          <w:p w14:paraId="6B667986" w14:textId="77777777" w:rsidR="00141F92" w:rsidRPr="00AE4E8D" w:rsidRDefault="00141F92" w:rsidP="00490A4A">
            <w:pPr>
              <w:rPr>
                <w:rFonts w:ascii="Times New Roman" w:hAnsi="Times New Roman"/>
                <w:color w:val="000000"/>
                <w:lang w:val="es-ES"/>
              </w:rPr>
            </w:pPr>
          </w:p>
        </w:tc>
      </w:tr>
      <w:tr w:rsidR="00141F92" w:rsidRPr="00AE4E8D" w14:paraId="3C54E803"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1F3768D2"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Sociedad de Inversión S.A </w:t>
            </w:r>
          </w:p>
        </w:tc>
        <w:tc>
          <w:tcPr>
            <w:tcW w:w="2383" w:type="dxa"/>
            <w:gridSpan w:val="3"/>
            <w:tcBorders>
              <w:top w:val="nil"/>
              <w:left w:val="nil"/>
              <w:bottom w:val="nil"/>
              <w:right w:val="nil"/>
            </w:tcBorders>
            <w:shd w:val="clear" w:color="auto" w:fill="auto"/>
            <w:vAlign w:val="center"/>
            <w:hideMark/>
          </w:tcPr>
          <w:p w14:paraId="2BBD0C45"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1.172</w:t>
            </w:r>
          </w:p>
        </w:tc>
        <w:tc>
          <w:tcPr>
            <w:tcW w:w="2198" w:type="dxa"/>
            <w:gridSpan w:val="3"/>
            <w:tcBorders>
              <w:top w:val="nil"/>
              <w:left w:val="nil"/>
              <w:bottom w:val="nil"/>
              <w:right w:val="nil"/>
            </w:tcBorders>
            <w:shd w:val="clear" w:color="auto" w:fill="auto"/>
            <w:vAlign w:val="center"/>
            <w:hideMark/>
          </w:tcPr>
          <w:p w14:paraId="0E8C6D97"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1.807</w:t>
            </w:r>
          </w:p>
        </w:tc>
      </w:tr>
      <w:tr w:rsidR="00141F92" w:rsidRPr="00AE4E8D" w14:paraId="03AB88E6" w14:textId="77777777" w:rsidTr="000400C8">
        <w:trPr>
          <w:trHeight w:val="540"/>
          <w:jc w:val="center"/>
        </w:trPr>
        <w:tc>
          <w:tcPr>
            <w:tcW w:w="3995" w:type="dxa"/>
            <w:gridSpan w:val="3"/>
            <w:tcBorders>
              <w:top w:val="nil"/>
              <w:left w:val="nil"/>
              <w:bottom w:val="nil"/>
              <w:right w:val="nil"/>
            </w:tcBorders>
            <w:shd w:val="clear" w:color="auto" w:fill="auto"/>
            <w:vAlign w:val="center"/>
            <w:hideMark/>
          </w:tcPr>
          <w:p w14:paraId="205590BC"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Vida S.A </w:t>
            </w:r>
          </w:p>
        </w:tc>
        <w:tc>
          <w:tcPr>
            <w:tcW w:w="2383" w:type="dxa"/>
            <w:gridSpan w:val="3"/>
            <w:tcBorders>
              <w:top w:val="nil"/>
              <w:left w:val="nil"/>
              <w:bottom w:val="nil"/>
              <w:right w:val="nil"/>
            </w:tcBorders>
            <w:shd w:val="clear" w:color="auto" w:fill="auto"/>
            <w:vAlign w:val="center"/>
            <w:hideMark/>
          </w:tcPr>
          <w:p w14:paraId="0D9E4761"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2.357</w:t>
            </w:r>
          </w:p>
        </w:tc>
        <w:tc>
          <w:tcPr>
            <w:tcW w:w="2198" w:type="dxa"/>
            <w:gridSpan w:val="3"/>
            <w:tcBorders>
              <w:top w:val="nil"/>
              <w:left w:val="nil"/>
              <w:bottom w:val="nil"/>
              <w:right w:val="nil"/>
            </w:tcBorders>
            <w:shd w:val="clear" w:color="auto" w:fill="auto"/>
            <w:vAlign w:val="center"/>
            <w:hideMark/>
          </w:tcPr>
          <w:p w14:paraId="0C2507DE"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449</w:t>
            </w:r>
          </w:p>
        </w:tc>
      </w:tr>
      <w:tr w:rsidR="00141F92" w:rsidRPr="00AE4E8D" w14:paraId="137D0350"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66AF8A56"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Seguros Generales S.A </w:t>
            </w:r>
          </w:p>
        </w:tc>
        <w:tc>
          <w:tcPr>
            <w:tcW w:w="2383" w:type="dxa"/>
            <w:gridSpan w:val="3"/>
            <w:tcBorders>
              <w:top w:val="nil"/>
              <w:left w:val="nil"/>
              <w:bottom w:val="nil"/>
              <w:right w:val="nil"/>
            </w:tcBorders>
            <w:shd w:val="clear" w:color="auto" w:fill="auto"/>
            <w:vAlign w:val="center"/>
            <w:hideMark/>
          </w:tcPr>
          <w:p w14:paraId="775AFA94"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358</w:t>
            </w:r>
          </w:p>
        </w:tc>
        <w:tc>
          <w:tcPr>
            <w:tcW w:w="2198" w:type="dxa"/>
            <w:gridSpan w:val="3"/>
            <w:tcBorders>
              <w:top w:val="nil"/>
              <w:left w:val="nil"/>
              <w:bottom w:val="nil"/>
              <w:right w:val="nil"/>
            </w:tcBorders>
            <w:shd w:val="clear" w:color="auto" w:fill="auto"/>
            <w:vAlign w:val="center"/>
            <w:hideMark/>
          </w:tcPr>
          <w:p w14:paraId="784BEAD6"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198</w:t>
            </w:r>
          </w:p>
        </w:tc>
      </w:tr>
      <w:tr w:rsidR="00141F92" w:rsidRPr="00AE4E8D" w14:paraId="478981A1"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3DF4D95F"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 Valores S.A </w:t>
            </w:r>
          </w:p>
        </w:tc>
        <w:tc>
          <w:tcPr>
            <w:tcW w:w="2383" w:type="dxa"/>
            <w:gridSpan w:val="3"/>
            <w:tcBorders>
              <w:top w:val="nil"/>
              <w:left w:val="nil"/>
              <w:bottom w:val="nil"/>
              <w:right w:val="nil"/>
            </w:tcBorders>
            <w:shd w:val="clear" w:color="auto" w:fill="auto"/>
            <w:vAlign w:val="center"/>
            <w:hideMark/>
          </w:tcPr>
          <w:p w14:paraId="7543EC06"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w:t>
            </w:r>
          </w:p>
        </w:tc>
        <w:tc>
          <w:tcPr>
            <w:tcW w:w="2198" w:type="dxa"/>
            <w:gridSpan w:val="3"/>
            <w:tcBorders>
              <w:top w:val="nil"/>
              <w:left w:val="nil"/>
              <w:bottom w:val="nil"/>
              <w:right w:val="nil"/>
            </w:tcBorders>
            <w:shd w:val="clear" w:color="auto" w:fill="auto"/>
            <w:vAlign w:val="center"/>
            <w:hideMark/>
          </w:tcPr>
          <w:p w14:paraId="49C28C34"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2.996</w:t>
            </w:r>
          </w:p>
        </w:tc>
      </w:tr>
      <w:tr w:rsidR="00141F92" w:rsidRPr="00AE4E8D" w14:paraId="26CBC842"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013ED60F"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BACS Banco de Crédito y Securitización S.A </w:t>
            </w:r>
          </w:p>
        </w:tc>
        <w:tc>
          <w:tcPr>
            <w:tcW w:w="2383" w:type="dxa"/>
            <w:gridSpan w:val="3"/>
            <w:tcBorders>
              <w:top w:val="nil"/>
              <w:left w:val="nil"/>
              <w:bottom w:val="nil"/>
              <w:right w:val="nil"/>
            </w:tcBorders>
            <w:shd w:val="clear" w:color="auto" w:fill="auto"/>
            <w:vAlign w:val="center"/>
            <w:hideMark/>
          </w:tcPr>
          <w:p w14:paraId="62A6A562"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3.426</w:t>
            </w:r>
          </w:p>
        </w:tc>
        <w:tc>
          <w:tcPr>
            <w:tcW w:w="2198" w:type="dxa"/>
            <w:gridSpan w:val="3"/>
            <w:tcBorders>
              <w:top w:val="nil"/>
              <w:left w:val="nil"/>
              <w:bottom w:val="nil"/>
              <w:right w:val="nil"/>
            </w:tcBorders>
            <w:shd w:val="clear" w:color="auto" w:fill="auto"/>
            <w:vAlign w:val="center"/>
            <w:hideMark/>
          </w:tcPr>
          <w:p w14:paraId="2E2399B0"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11.678</w:t>
            </w:r>
          </w:p>
        </w:tc>
      </w:tr>
      <w:tr w:rsidR="00141F92" w:rsidRPr="00AE4E8D" w14:paraId="70A6BEE0"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72CE6537"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Tarshop S.A </w:t>
            </w:r>
          </w:p>
        </w:tc>
        <w:tc>
          <w:tcPr>
            <w:tcW w:w="2383" w:type="dxa"/>
            <w:gridSpan w:val="3"/>
            <w:tcBorders>
              <w:top w:val="nil"/>
              <w:left w:val="nil"/>
              <w:bottom w:val="nil"/>
              <w:right w:val="nil"/>
            </w:tcBorders>
            <w:shd w:val="clear" w:color="auto" w:fill="auto"/>
            <w:vAlign w:val="center"/>
            <w:hideMark/>
          </w:tcPr>
          <w:p w14:paraId="730DD5A1"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51.628</w:t>
            </w:r>
          </w:p>
        </w:tc>
        <w:tc>
          <w:tcPr>
            <w:tcW w:w="2198" w:type="dxa"/>
            <w:gridSpan w:val="3"/>
            <w:tcBorders>
              <w:top w:val="nil"/>
              <w:left w:val="nil"/>
              <w:bottom w:val="nil"/>
              <w:right w:val="nil"/>
            </w:tcBorders>
            <w:shd w:val="clear" w:color="auto" w:fill="auto"/>
            <w:vAlign w:val="center"/>
            <w:hideMark/>
          </w:tcPr>
          <w:p w14:paraId="74C97BFE"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26.623</w:t>
            </w:r>
          </w:p>
        </w:tc>
      </w:tr>
      <w:tr w:rsidR="00141F92" w:rsidRPr="00AE4E8D" w14:paraId="084CB672" w14:textId="77777777" w:rsidTr="000400C8">
        <w:trPr>
          <w:trHeight w:val="480"/>
          <w:jc w:val="center"/>
        </w:trPr>
        <w:tc>
          <w:tcPr>
            <w:tcW w:w="3995" w:type="dxa"/>
            <w:gridSpan w:val="3"/>
            <w:tcBorders>
              <w:top w:val="nil"/>
              <w:left w:val="nil"/>
              <w:bottom w:val="nil"/>
              <w:right w:val="nil"/>
            </w:tcBorders>
            <w:shd w:val="clear" w:color="auto" w:fill="auto"/>
            <w:vAlign w:val="center"/>
            <w:hideMark/>
          </w:tcPr>
          <w:p w14:paraId="47F57E1A" w14:textId="77777777" w:rsidR="00141F92" w:rsidRPr="00AE4E8D" w:rsidRDefault="00141F92" w:rsidP="00490A4A">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Otras obligaciones por intermediación financiera</w:t>
            </w:r>
            <w:r w:rsidRPr="00AE4E8D">
              <w:rPr>
                <w:rFonts w:ascii="Times New Roman" w:hAnsi="Times New Roman"/>
                <w:color w:val="000000"/>
                <w:sz w:val="18"/>
                <w:szCs w:val="18"/>
                <w:lang w:val="es-ES"/>
              </w:rPr>
              <w:t xml:space="preserve"> </w:t>
            </w:r>
          </w:p>
        </w:tc>
        <w:tc>
          <w:tcPr>
            <w:tcW w:w="2383" w:type="dxa"/>
            <w:gridSpan w:val="3"/>
            <w:tcBorders>
              <w:top w:val="nil"/>
              <w:left w:val="nil"/>
              <w:bottom w:val="nil"/>
              <w:right w:val="nil"/>
            </w:tcBorders>
            <w:shd w:val="clear" w:color="auto" w:fill="auto"/>
            <w:noWrap/>
            <w:hideMark/>
          </w:tcPr>
          <w:p w14:paraId="2FF3867C" w14:textId="77777777" w:rsidR="00141F92" w:rsidRPr="00AE4E8D" w:rsidRDefault="00141F92" w:rsidP="00490A4A">
            <w:pPr>
              <w:rPr>
                <w:rFonts w:ascii="Times New Roman" w:hAnsi="Times New Roman"/>
                <w:color w:val="000000"/>
                <w:lang w:val="es-ES"/>
              </w:rPr>
            </w:pPr>
          </w:p>
        </w:tc>
        <w:tc>
          <w:tcPr>
            <w:tcW w:w="2198" w:type="dxa"/>
            <w:gridSpan w:val="3"/>
            <w:tcBorders>
              <w:top w:val="nil"/>
              <w:left w:val="nil"/>
              <w:bottom w:val="nil"/>
              <w:right w:val="nil"/>
            </w:tcBorders>
            <w:shd w:val="clear" w:color="auto" w:fill="auto"/>
            <w:noWrap/>
            <w:hideMark/>
          </w:tcPr>
          <w:p w14:paraId="2C7B1120" w14:textId="77777777" w:rsidR="00141F92" w:rsidRPr="00AE4E8D" w:rsidRDefault="00141F92" w:rsidP="00490A4A">
            <w:pPr>
              <w:rPr>
                <w:rFonts w:ascii="Times New Roman" w:hAnsi="Times New Roman"/>
                <w:color w:val="000000"/>
                <w:lang w:val="es-ES"/>
              </w:rPr>
            </w:pPr>
          </w:p>
        </w:tc>
      </w:tr>
      <w:tr w:rsidR="00141F92" w:rsidRPr="00AE4E8D" w14:paraId="531F75D9"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01FFE146"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Seguros Generales S.A </w:t>
            </w:r>
          </w:p>
        </w:tc>
        <w:tc>
          <w:tcPr>
            <w:tcW w:w="2383" w:type="dxa"/>
            <w:gridSpan w:val="3"/>
            <w:tcBorders>
              <w:top w:val="nil"/>
              <w:left w:val="nil"/>
              <w:bottom w:val="nil"/>
              <w:right w:val="nil"/>
            </w:tcBorders>
            <w:shd w:val="clear" w:color="auto" w:fill="auto"/>
            <w:vAlign w:val="center"/>
            <w:hideMark/>
          </w:tcPr>
          <w:p w14:paraId="5071F433"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1.464</w:t>
            </w:r>
          </w:p>
        </w:tc>
        <w:tc>
          <w:tcPr>
            <w:tcW w:w="2198" w:type="dxa"/>
            <w:gridSpan w:val="3"/>
            <w:tcBorders>
              <w:top w:val="nil"/>
              <w:left w:val="nil"/>
              <w:bottom w:val="nil"/>
              <w:right w:val="nil"/>
            </w:tcBorders>
            <w:shd w:val="clear" w:color="auto" w:fill="auto"/>
            <w:vAlign w:val="center"/>
            <w:hideMark/>
          </w:tcPr>
          <w:p w14:paraId="3EB22418"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13.408</w:t>
            </w:r>
          </w:p>
        </w:tc>
      </w:tr>
      <w:tr w:rsidR="00141F92" w:rsidRPr="00AE4E8D" w14:paraId="677ED6E6"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78F8EA75"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lastRenderedPageBreak/>
              <w:t xml:space="preserve">BHN Vida S.A </w:t>
            </w:r>
          </w:p>
        </w:tc>
        <w:tc>
          <w:tcPr>
            <w:tcW w:w="2383" w:type="dxa"/>
            <w:gridSpan w:val="3"/>
            <w:tcBorders>
              <w:top w:val="nil"/>
              <w:left w:val="nil"/>
              <w:bottom w:val="nil"/>
              <w:right w:val="nil"/>
            </w:tcBorders>
            <w:shd w:val="clear" w:color="auto" w:fill="auto"/>
            <w:vAlign w:val="center"/>
            <w:hideMark/>
          </w:tcPr>
          <w:p w14:paraId="0047888A"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10.523</w:t>
            </w:r>
          </w:p>
        </w:tc>
        <w:tc>
          <w:tcPr>
            <w:tcW w:w="2198" w:type="dxa"/>
            <w:gridSpan w:val="3"/>
            <w:tcBorders>
              <w:top w:val="nil"/>
              <w:left w:val="nil"/>
              <w:bottom w:val="nil"/>
              <w:right w:val="nil"/>
            </w:tcBorders>
            <w:shd w:val="clear" w:color="auto" w:fill="auto"/>
            <w:vAlign w:val="center"/>
            <w:hideMark/>
          </w:tcPr>
          <w:p w14:paraId="534DB753"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36.651</w:t>
            </w:r>
          </w:p>
        </w:tc>
      </w:tr>
      <w:tr w:rsidR="00141F92" w:rsidRPr="00AE4E8D" w14:paraId="383A8C30"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0807256D"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BACS Banco de Crédito y Securitización S.A </w:t>
            </w:r>
          </w:p>
        </w:tc>
        <w:tc>
          <w:tcPr>
            <w:tcW w:w="2383" w:type="dxa"/>
            <w:gridSpan w:val="3"/>
            <w:tcBorders>
              <w:top w:val="nil"/>
              <w:left w:val="nil"/>
              <w:bottom w:val="nil"/>
              <w:right w:val="nil"/>
            </w:tcBorders>
            <w:shd w:val="clear" w:color="auto" w:fill="auto"/>
            <w:vAlign w:val="center"/>
            <w:hideMark/>
          </w:tcPr>
          <w:p w14:paraId="15338158"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21.590</w:t>
            </w:r>
          </w:p>
        </w:tc>
        <w:tc>
          <w:tcPr>
            <w:tcW w:w="2198" w:type="dxa"/>
            <w:gridSpan w:val="3"/>
            <w:tcBorders>
              <w:top w:val="nil"/>
              <w:left w:val="nil"/>
              <w:bottom w:val="nil"/>
              <w:right w:val="nil"/>
            </w:tcBorders>
            <w:shd w:val="clear" w:color="auto" w:fill="auto"/>
            <w:vAlign w:val="center"/>
            <w:hideMark/>
          </w:tcPr>
          <w:p w14:paraId="73F5D007"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13.180</w:t>
            </w:r>
          </w:p>
        </w:tc>
      </w:tr>
      <w:tr w:rsidR="00141F92" w:rsidRPr="00AE4E8D" w14:paraId="4A5DD37D" w14:textId="77777777" w:rsidTr="000400C8">
        <w:trPr>
          <w:trHeight w:val="300"/>
          <w:jc w:val="center"/>
        </w:trPr>
        <w:tc>
          <w:tcPr>
            <w:tcW w:w="3995" w:type="dxa"/>
            <w:gridSpan w:val="3"/>
            <w:tcBorders>
              <w:top w:val="nil"/>
              <w:left w:val="nil"/>
              <w:bottom w:val="nil"/>
              <w:right w:val="nil"/>
            </w:tcBorders>
            <w:shd w:val="clear" w:color="auto" w:fill="auto"/>
            <w:hideMark/>
          </w:tcPr>
          <w:p w14:paraId="3920D9CA" w14:textId="77777777" w:rsidR="00141F92" w:rsidRPr="00AE4E8D" w:rsidRDefault="00141F92" w:rsidP="00490A4A">
            <w:pPr>
              <w:rPr>
                <w:rFonts w:ascii="Times New Roman" w:hAnsi="Times New Roman"/>
                <w:color w:val="000000"/>
                <w:lang w:val="es-ES"/>
              </w:rPr>
            </w:pPr>
          </w:p>
        </w:tc>
        <w:tc>
          <w:tcPr>
            <w:tcW w:w="2383" w:type="dxa"/>
            <w:gridSpan w:val="3"/>
            <w:tcBorders>
              <w:top w:val="nil"/>
              <w:left w:val="nil"/>
              <w:bottom w:val="nil"/>
              <w:right w:val="nil"/>
            </w:tcBorders>
            <w:shd w:val="clear" w:color="auto" w:fill="auto"/>
            <w:hideMark/>
          </w:tcPr>
          <w:p w14:paraId="3C4FF7BE" w14:textId="77777777" w:rsidR="00141F92" w:rsidRPr="00AE4E8D" w:rsidRDefault="00141F92" w:rsidP="00490A4A">
            <w:pPr>
              <w:rPr>
                <w:rFonts w:ascii="Times New Roman" w:hAnsi="Times New Roman"/>
                <w:color w:val="000000"/>
                <w:lang w:val="es-ES"/>
              </w:rPr>
            </w:pPr>
          </w:p>
        </w:tc>
        <w:tc>
          <w:tcPr>
            <w:tcW w:w="2198" w:type="dxa"/>
            <w:gridSpan w:val="3"/>
            <w:tcBorders>
              <w:top w:val="nil"/>
              <w:left w:val="nil"/>
              <w:bottom w:val="nil"/>
              <w:right w:val="nil"/>
            </w:tcBorders>
            <w:shd w:val="clear" w:color="auto" w:fill="auto"/>
            <w:hideMark/>
          </w:tcPr>
          <w:p w14:paraId="62E01A4C" w14:textId="77777777" w:rsidR="00141F92" w:rsidRPr="00AE4E8D" w:rsidRDefault="00141F92" w:rsidP="00490A4A">
            <w:pPr>
              <w:rPr>
                <w:rFonts w:ascii="Times New Roman" w:hAnsi="Times New Roman"/>
                <w:color w:val="000000"/>
                <w:lang w:val="es-ES"/>
              </w:rPr>
            </w:pPr>
          </w:p>
        </w:tc>
      </w:tr>
      <w:tr w:rsidR="00141F92" w:rsidRPr="00AE4E8D" w14:paraId="6C7C7912"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0C87423F" w14:textId="77777777" w:rsidR="00141F92" w:rsidRPr="00AE4E8D" w:rsidRDefault="00141F92" w:rsidP="00490A4A">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Obligaciones diversas</w:t>
            </w:r>
            <w:r w:rsidRPr="00AE4E8D">
              <w:rPr>
                <w:rFonts w:ascii="Times New Roman" w:hAnsi="Times New Roman"/>
                <w:color w:val="000000"/>
                <w:sz w:val="18"/>
                <w:szCs w:val="18"/>
                <w:lang w:val="es-ES"/>
              </w:rPr>
              <w:t xml:space="preserve"> </w:t>
            </w:r>
          </w:p>
        </w:tc>
        <w:tc>
          <w:tcPr>
            <w:tcW w:w="2383" w:type="dxa"/>
            <w:gridSpan w:val="3"/>
            <w:tcBorders>
              <w:top w:val="nil"/>
              <w:left w:val="nil"/>
              <w:bottom w:val="nil"/>
              <w:right w:val="nil"/>
            </w:tcBorders>
            <w:shd w:val="clear" w:color="auto" w:fill="auto"/>
            <w:noWrap/>
            <w:hideMark/>
          </w:tcPr>
          <w:p w14:paraId="3C052A94" w14:textId="77777777" w:rsidR="00141F92" w:rsidRPr="00AE4E8D" w:rsidRDefault="00141F92" w:rsidP="00490A4A">
            <w:pPr>
              <w:rPr>
                <w:rFonts w:ascii="Times New Roman" w:hAnsi="Times New Roman"/>
                <w:color w:val="000000"/>
                <w:lang w:val="es-ES"/>
              </w:rPr>
            </w:pPr>
          </w:p>
        </w:tc>
        <w:tc>
          <w:tcPr>
            <w:tcW w:w="2198" w:type="dxa"/>
            <w:gridSpan w:val="3"/>
            <w:tcBorders>
              <w:top w:val="nil"/>
              <w:left w:val="nil"/>
              <w:bottom w:val="nil"/>
              <w:right w:val="nil"/>
            </w:tcBorders>
            <w:shd w:val="clear" w:color="auto" w:fill="auto"/>
            <w:noWrap/>
            <w:hideMark/>
          </w:tcPr>
          <w:p w14:paraId="2D3F3261" w14:textId="77777777" w:rsidR="00141F92" w:rsidRPr="00AE4E8D" w:rsidRDefault="00141F92" w:rsidP="00490A4A">
            <w:pPr>
              <w:rPr>
                <w:rFonts w:ascii="Times New Roman" w:hAnsi="Times New Roman"/>
                <w:color w:val="000000"/>
                <w:lang w:val="es-ES"/>
              </w:rPr>
            </w:pPr>
          </w:p>
        </w:tc>
      </w:tr>
      <w:tr w:rsidR="00141F92" w:rsidRPr="00AE4E8D" w14:paraId="5FCF3244"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7E3D8C77" w14:textId="77777777" w:rsidR="00141F92" w:rsidRPr="00AE4E8D" w:rsidRDefault="00141F92" w:rsidP="00490A4A">
            <w:pPr>
              <w:jc w:val="both"/>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Seguros Generales S.A </w:t>
            </w:r>
          </w:p>
        </w:tc>
        <w:tc>
          <w:tcPr>
            <w:tcW w:w="2383" w:type="dxa"/>
            <w:gridSpan w:val="3"/>
            <w:tcBorders>
              <w:top w:val="nil"/>
              <w:left w:val="nil"/>
              <w:bottom w:val="nil"/>
              <w:right w:val="nil"/>
            </w:tcBorders>
            <w:shd w:val="clear" w:color="auto" w:fill="auto"/>
            <w:vAlign w:val="center"/>
            <w:hideMark/>
          </w:tcPr>
          <w:p w14:paraId="1A42A4D9" w14:textId="77777777" w:rsidR="00141F92" w:rsidRPr="00AE4E8D" w:rsidRDefault="00141F92" w:rsidP="00490A4A">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11.745</w:t>
            </w:r>
          </w:p>
        </w:tc>
        <w:tc>
          <w:tcPr>
            <w:tcW w:w="2198" w:type="dxa"/>
            <w:gridSpan w:val="3"/>
            <w:tcBorders>
              <w:top w:val="nil"/>
              <w:left w:val="nil"/>
              <w:bottom w:val="nil"/>
              <w:right w:val="nil"/>
            </w:tcBorders>
            <w:shd w:val="clear" w:color="auto" w:fill="auto"/>
            <w:vAlign w:val="center"/>
            <w:hideMark/>
          </w:tcPr>
          <w:p w14:paraId="09BAD6CD"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4.642</w:t>
            </w:r>
          </w:p>
        </w:tc>
      </w:tr>
      <w:tr w:rsidR="00141F92" w:rsidRPr="00AE4E8D" w14:paraId="11F3B50C"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2AC83298"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Vida S.A </w:t>
            </w:r>
          </w:p>
        </w:tc>
        <w:tc>
          <w:tcPr>
            <w:tcW w:w="2383" w:type="dxa"/>
            <w:gridSpan w:val="3"/>
            <w:tcBorders>
              <w:top w:val="nil"/>
              <w:left w:val="nil"/>
              <w:bottom w:val="nil"/>
              <w:right w:val="nil"/>
            </w:tcBorders>
            <w:shd w:val="clear" w:color="auto" w:fill="auto"/>
            <w:vAlign w:val="center"/>
            <w:hideMark/>
          </w:tcPr>
          <w:p w14:paraId="5D49CD87" w14:textId="77777777" w:rsidR="00141F92" w:rsidRPr="00AE4E8D" w:rsidRDefault="00141F92" w:rsidP="002F1CE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19.</w:t>
            </w:r>
            <w:r w:rsidR="002F1CED" w:rsidRPr="00AE4E8D">
              <w:rPr>
                <w:rFonts w:ascii="Times New Roman" w:hAnsi="Times New Roman"/>
                <w:color w:val="000000"/>
                <w:sz w:val="18"/>
                <w:szCs w:val="18"/>
                <w:lang w:val="es-ES"/>
              </w:rPr>
              <w:t>303</w:t>
            </w:r>
          </w:p>
        </w:tc>
        <w:tc>
          <w:tcPr>
            <w:tcW w:w="2198" w:type="dxa"/>
            <w:gridSpan w:val="3"/>
            <w:tcBorders>
              <w:top w:val="nil"/>
              <w:left w:val="nil"/>
              <w:bottom w:val="nil"/>
              <w:right w:val="nil"/>
            </w:tcBorders>
            <w:shd w:val="clear" w:color="auto" w:fill="auto"/>
            <w:vAlign w:val="center"/>
            <w:hideMark/>
          </w:tcPr>
          <w:p w14:paraId="735EABDA"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10.023</w:t>
            </w:r>
          </w:p>
        </w:tc>
      </w:tr>
      <w:tr w:rsidR="00141F92" w:rsidRPr="00AE4E8D" w14:paraId="6F6E6FD6"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4D7541BC" w14:textId="77777777" w:rsidR="00141F92" w:rsidRPr="00AE4E8D" w:rsidRDefault="00141F92" w:rsidP="00490A4A">
            <w:pPr>
              <w:rPr>
                <w:rFonts w:ascii="Times New Roman" w:hAnsi="Times New Roman"/>
                <w:color w:val="000000"/>
                <w:sz w:val="18"/>
                <w:lang w:val="es-ES"/>
              </w:rPr>
            </w:pPr>
            <w:r w:rsidRPr="00AE4E8D">
              <w:rPr>
                <w:rFonts w:ascii="Times New Roman" w:hAnsi="Times New Roman"/>
                <w:color w:val="000000"/>
                <w:sz w:val="18"/>
                <w:szCs w:val="18"/>
                <w:lang w:val="es-ES"/>
              </w:rPr>
              <w:t>BACS Banco de Crédito y Securitización S.A</w:t>
            </w:r>
          </w:p>
        </w:tc>
        <w:tc>
          <w:tcPr>
            <w:tcW w:w="498" w:type="dxa"/>
            <w:tcBorders>
              <w:top w:val="nil"/>
              <w:left w:val="nil"/>
              <w:bottom w:val="nil"/>
              <w:right w:val="nil"/>
            </w:tcBorders>
            <w:shd w:val="clear" w:color="auto" w:fill="auto"/>
            <w:vAlign w:val="center"/>
            <w:hideMark/>
          </w:tcPr>
          <w:p w14:paraId="2667A1DD" w14:textId="77777777" w:rsidR="00141F92" w:rsidRPr="00AE4E8D" w:rsidRDefault="00141F92" w:rsidP="00490A4A">
            <w:pPr>
              <w:rPr>
                <w:rFonts w:ascii="Times New Roman" w:hAnsi="Times New Roman"/>
                <w:color w:val="000000"/>
                <w:sz w:val="18"/>
                <w:lang w:val="es-ES"/>
              </w:rPr>
            </w:pPr>
          </w:p>
        </w:tc>
        <w:tc>
          <w:tcPr>
            <w:tcW w:w="1885" w:type="dxa"/>
            <w:gridSpan w:val="2"/>
            <w:tcBorders>
              <w:top w:val="nil"/>
              <w:left w:val="nil"/>
              <w:bottom w:val="nil"/>
              <w:right w:val="nil"/>
            </w:tcBorders>
            <w:shd w:val="clear" w:color="auto" w:fill="auto"/>
            <w:vAlign w:val="center"/>
            <w:hideMark/>
          </w:tcPr>
          <w:p w14:paraId="70B96995" w14:textId="77777777" w:rsidR="00141F92" w:rsidRPr="00AE4E8D" w:rsidRDefault="00805857" w:rsidP="00241071">
            <w:pPr>
              <w:ind w:firstLine="822"/>
              <w:rPr>
                <w:rFonts w:ascii="Times New Roman" w:hAnsi="Times New Roman"/>
                <w:color w:val="000000"/>
                <w:sz w:val="18"/>
                <w:lang w:val="es-ES"/>
              </w:rPr>
            </w:pPr>
            <w:r w:rsidRPr="00AE4E8D">
              <w:rPr>
                <w:rFonts w:ascii="Times New Roman" w:hAnsi="Times New Roman"/>
                <w:color w:val="000000"/>
                <w:sz w:val="18"/>
                <w:lang w:val="es-ES"/>
              </w:rPr>
              <w:t xml:space="preserve">                -</w:t>
            </w:r>
          </w:p>
        </w:tc>
        <w:tc>
          <w:tcPr>
            <w:tcW w:w="2198" w:type="dxa"/>
            <w:gridSpan w:val="3"/>
            <w:tcBorders>
              <w:top w:val="nil"/>
              <w:left w:val="nil"/>
              <w:bottom w:val="nil"/>
              <w:right w:val="nil"/>
            </w:tcBorders>
            <w:shd w:val="clear" w:color="auto" w:fill="auto"/>
            <w:vAlign w:val="center"/>
            <w:hideMark/>
          </w:tcPr>
          <w:p w14:paraId="14147237"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3.684</w:t>
            </w:r>
          </w:p>
        </w:tc>
      </w:tr>
      <w:tr w:rsidR="00141F92" w:rsidRPr="00AE4E8D" w14:paraId="51BF8D0A" w14:textId="77777777" w:rsidTr="000400C8">
        <w:trPr>
          <w:trHeight w:val="315"/>
          <w:jc w:val="center"/>
        </w:trPr>
        <w:tc>
          <w:tcPr>
            <w:tcW w:w="3995" w:type="dxa"/>
            <w:gridSpan w:val="3"/>
            <w:tcBorders>
              <w:top w:val="nil"/>
              <w:left w:val="nil"/>
              <w:bottom w:val="nil"/>
              <w:right w:val="nil"/>
            </w:tcBorders>
            <w:shd w:val="clear" w:color="auto" w:fill="auto"/>
            <w:vAlign w:val="center"/>
            <w:hideMark/>
          </w:tcPr>
          <w:p w14:paraId="7AC545FF"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Tarshop S.A.</w:t>
            </w:r>
          </w:p>
        </w:tc>
        <w:tc>
          <w:tcPr>
            <w:tcW w:w="498" w:type="dxa"/>
            <w:tcBorders>
              <w:top w:val="nil"/>
              <w:left w:val="nil"/>
              <w:bottom w:val="single" w:sz="8" w:space="0" w:color="auto"/>
              <w:right w:val="nil"/>
            </w:tcBorders>
            <w:shd w:val="clear" w:color="auto" w:fill="auto"/>
            <w:vAlign w:val="center"/>
            <w:hideMark/>
          </w:tcPr>
          <w:p w14:paraId="7D1B3F25"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w:t>
            </w:r>
          </w:p>
        </w:tc>
        <w:tc>
          <w:tcPr>
            <w:tcW w:w="1885" w:type="dxa"/>
            <w:gridSpan w:val="2"/>
            <w:tcBorders>
              <w:top w:val="nil"/>
              <w:left w:val="nil"/>
              <w:bottom w:val="single" w:sz="8" w:space="0" w:color="auto"/>
              <w:right w:val="nil"/>
            </w:tcBorders>
            <w:shd w:val="clear" w:color="auto" w:fill="auto"/>
            <w:vAlign w:val="center"/>
            <w:hideMark/>
          </w:tcPr>
          <w:p w14:paraId="195263DB"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w:t>
            </w:r>
            <w:r w:rsidR="00805857" w:rsidRPr="00AE4E8D">
              <w:rPr>
                <w:rFonts w:ascii="Times New Roman" w:hAnsi="Times New Roman"/>
                <w:color w:val="000000"/>
                <w:sz w:val="18"/>
                <w:szCs w:val="18"/>
                <w:lang w:val="es-ES"/>
              </w:rPr>
              <w:t xml:space="preserve">                                 -</w:t>
            </w:r>
          </w:p>
        </w:tc>
        <w:tc>
          <w:tcPr>
            <w:tcW w:w="2198" w:type="dxa"/>
            <w:gridSpan w:val="3"/>
            <w:tcBorders>
              <w:top w:val="nil"/>
              <w:left w:val="nil"/>
              <w:bottom w:val="single" w:sz="8" w:space="0" w:color="auto"/>
              <w:right w:val="nil"/>
            </w:tcBorders>
            <w:shd w:val="clear" w:color="auto" w:fill="auto"/>
            <w:vAlign w:val="center"/>
            <w:hideMark/>
          </w:tcPr>
          <w:p w14:paraId="08CD9451" w14:textId="77777777" w:rsidR="00141F92" w:rsidRPr="00AE4E8D" w:rsidRDefault="00141F92" w:rsidP="003730F6">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115 </w:t>
            </w:r>
          </w:p>
        </w:tc>
      </w:tr>
      <w:tr w:rsidR="00141F92" w:rsidRPr="00AE4E8D" w14:paraId="23391307" w14:textId="77777777" w:rsidTr="000400C8">
        <w:trPr>
          <w:trHeight w:val="315"/>
          <w:jc w:val="center"/>
        </w:trPr>
        <w:tc>
          <w:tcPr>
            <w:tcW w:w="1942" w:type="dxa"/>
            <w:gridSpan w:val="2"/>
            <w:tcBorders>
              <w:top w:val="nil"/>
              <w:left w:val="nil"/>
              <w:bottom w:val="nil"/>
              <w:right w:val="nil"/>
            </w:tcBorders>
            <w:shd w:val="clear" w:color="auto" w:fill="auto"/>
            <w:hideMark/>
          </w:tcPr>
          <w:p w14:paraId="3C929984" w14:textId="77777777" w:rsidR="00141F92" w:rsidRPr="00AE4E8D" w:rsidRDefault="00141F92" w:rsidP="00490A4A">
            <w:pPr>
              <w:rPr>
                <w:rFonts w:ascii="Times New Roman" w:hAnsi="Times New Roman"/>
                <w:color w:val="000000"/>
                <w:lang w:val="es-ES"/>
              </w:rPr>
            </w:pPr>
          </w:p>
        </w:tc>
        <w:tc>
          <w:tcPr>
            <w:tcW w:w="2053" w:type="dxa"/>
            <w:tcBorders>
              <w:top w:val="nil"/>
              <w:left w:val="nil"/>
              <w:bottom w:val="nil"/>
              <w:right w:val="nil"/>
            </w:tcBorders>
            <w:shd w:val="clear" w:color="auto" w:fill="auto"/>
            <w:vAlign w:val="center"/>
            <w:hideMark/>
          </w:tcPr>
          <w:p w14:paraId="5F183178" w14:textId="77777777" w:rsidR="00141F92" w:rsidRPr="00AE4E8D" w:rsidRDefault="00141F92" w:rsidP="00490A4A">
            <w:pPr>
              <w:rPr>
                <w:rFonts w:ascii="Times New Roman" w:hAnsi="Times New Roman"/>
                <w:b/>
                <w:color w:val="000000"/>
                <w:sz w:val="18"/>
                <w:lang w:val="es-ES"/>
              </w:rPr>
            </w:pPr>
          </w:p>
        </w:tc>
        <w:tc>
          <w:tcPr>
            <w:tcW w:w="4581" w:type="dxa"/>
            <w:gridSpan w:val="6"/>
            <w:tcBorders>
              <w:top w:val="single" w:sz="8" w:space="0" w:color="auto"/>
              <w:left w:val="nil"/>
              <w:bottom w:val="single" w:sz="8" w:space="0" w:color="auto"/>
              <w:right w:val="nil"/>
            </w:tcBorders>
            <w:shd w:val="clear" w:color="auto" w:fill="auto"/>
            <w:vAlign w:val="center"/>
            <w:hideMark/>
          </w:tcPr>
          <w:p w14:paraId="3E2EC49A" w14:textId="77777777" w:rsidR="00141F92" w:rsidRPr="00AE4E8D" w:rsidRDefault="00141F92" w:rsidP="003730F6">
            <w:pPr>
              <w:jc w:val="cente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Por el período finalizado el 30 de junio de</w:t>
            </w:r>
          </w:p>
        </w:tc>
      </w:tr>
      <w:tr w:rsidR="00141F92" w:rsidRPr="00AE4E8D" w14:paraId="78963055" w14:textId="77777777" w:rsidTr="000400C8">
        <w:trPr>
          <w:trHeight w:val="315"/>
          <w:jc w:val="center"/>
        </w:trPr>
        <w:tc>
          <w:tcPr>
            <w:tcW w:w="742" w:type="dxa"/>
            <w:tcBorders>
              <w:top w:val="nil"/>
              <w:left w:val="nil"/>
              <w:bottom w:val="nil"/>
              <w:right w:val="nil"/>
            </w:tcBorders>
            <w:shd w:val="clear" w:color="auto" w:fill="auto"/>
            <w:hideMark/>
          </w:tcPr>
          <w:p w14:paraId="5F9BA72B" w14:textId="77777777" w:rsidR="00141F92" w:rsidRPr="00AE4E8D" w:rsidRDefault="00141F92" w:rsidP="00490A4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bottom"/>
            <w:hideMark/>
          </w:tcPr>
          <w:p w14:paraId="7168FC3A" w14:textId="77777777" w:rsidR="00141F92" w:rsidRPr="00AE4E8D" w:rsidRDefault="00141F92" w:rsidP="00490A4A">
            <w:pPr>
              <w:rPr>
                <w:rFonts w:ascii="Times New Roman" w:hAnsi="Times New Roman"/>
                <w:color w:val="000000"/>
                <w:sz w:val="22"/>
                <w:szCs w:val="22"/>
                <w:lang w:val="es-ES"/>
              </w:rPr>
            </w:pPr>
          </w:p>
        </w:tc>
        <w:tc>
          <w:tcPr>
            <w:tcW w:w="2053" w:type="dxa"/>
            <w:tcBorders>
              <w:top w:val="nil"/>
              <w:left w:val="nil"/>
              <w:bottom w:val="nil"/>
              <w:right w:val="nil"/>
            </w:tcBorders>
            <w:shd w:val="clear" w:color="auto" w:fill="auto"/>
            <w:noWrap/>
            <w:vAlign w:val="bottom"/>
            <w:hideMark/>
          </w:tcPr>
          <w:p w14:paraId="63A13494" w14:textId="77777777" w:rsidR="00141F92" w:rsidRPr="00AE4E8D" w:rsidRDefault="00141F92" w:rsidP="00490A4A">
            <w:pPr>
              <w:rPr>
                <w:rFonts w:ascii="Times New Roman" w:hAnsi="Times New Roman"/>
                <w:color w:val="000000"/>
                <w:sz w:val="22"/>
                <w:szCs w:val="22"/>
                <w:lang w:val="es-ES"/>
              </w:rPr>
            </w:pPr>
          </w:p>
        </w:tc>
        <w:tc>
          <w:tcPr>
            <w:tcW w:w="2383" w:type="dxa"/>
            <w:gridSpan w:val="3"/>
            <w:tcBorders>
              <w:top w:val="single" w:sz="8" w:space="0" w:color="auto"/>
              <w:left w:val="nil"/>
              <w:bottom w:val="single" w:sz="8" w:space="0" w:color="auto"/>
              <w:right w:val="nil"/>
            </w:tcBorders>
            <w:shd w:val="clear" w:color="auto" w:fill="auto"/>
            <w:vAlign w:val="center"/>
            <w:hideMark/>
          </w:tcPr>
          <w:p w14:paraId="3A6B072E" w14:textId="77777777" w:rsidR="00141F92" w:rsidRPr="00AE4E8D" w:rsidRDefault="00141F92" w:rsidP="00490A4A">
            <w:pPr>
              <w:jc w:val="center"/>
              <w:rPr>
                <w:rFonts w:ascii="Times New Roman" w:hAnsi="Times New Roman"/>
                <w:b/>
                <w:color w:val="000000"/>
                <w:sz w:val="18"/>
                <w:lang w:val="es-ES"/>
              </w:rPr>
            </w:pPr>
            <w:r w:rsidRPr="00AE4E8D">
              <w:rPr>
                <w:rFonts w:ascii="Times New Roman" w:hAnsi="Times New Roman"/>
                <w:b/>
                <w:bCs/>
                <w:color w:val="000000"/>
                <w:sz w:val="18"/>
                <w:szCs w:val="18"/>
                <w:lang w:val="es-ES"/>
              </w:rPr>
              <w:t>2016</w:t>
            </w:r>
          </w:p>
        </w:tc>
        <w:tc>
          <w:tcPr>
            <w:tcW w:w="2198" w:type="dxa"/>
            <w:gridSpan w:val="3"/>
            <w:tcBorders>
              <w:top w:val="single" w:sz="8" w:space="0" w:color="auto"/>
              <w:left w:val="nil"/>
              <w:bottom w:val="single" w:sz="8" w:space="0" w:color="auto"/>
              <w:right w:val="nil"/>
            </w:tcBorders>
            <w:shd w:val="clear" w:color="auto" w:fill="auto"/>
            <w:vAlign w:val="center"/>
            <w:hideMark/>
          </w:tcPr>
          <w:p w14:paraId="36FF3B64" w14:textId="77777777" w:rsidR="00141F92" w:rsidRPr="00AE4E8D" w:rsidRDefault="00141F92" w:rsidP="00490A4A">
            <w:pPr>
              <w:jc w:val="center"/>
              <w:rPr>
                <w:rFonts w:ascii="Times New Roman" w:hAnsi="Times New Roman"/>
                <w:b/>
                <w:color w:val="000000"/>
                <w:sz w:val="18"/>
                <w:lang w:val="es-ES"/>
              </w:rPr>
            </w:pPr>
            <w:r w:rsidRPr="00AE4E8D">
              <w:rPr>
                <w:rFonts w:ascii="Times New Roman" w:hAnsi="Times New Roman"/>
                <w:b/>
                <w:bCs/>
                <w:color w:val="000000"/>
                <w:sz w:val="18"/>
                <w:szCs w:val="18"/>
                <w:lang w:val="es-ES"/>
              </w:rPr>
              <w:t>2017</w:t>
            </w:r>
          </w:p>
        </w:tc>
      </w:tr>
      <w:tr w:rsidR="00141F92" w:rsidRPr="00AE4E8D" w14:paraId="2A72E9D3" w14:textId="77777777" w:rsidTr="000400C8">
        <w:trPr>
          <w:trHeight w:val="300"/>
          <w:jc w:val="center"/>
        </w:trPr>
        <w:tc>
          <w:tcPr>
            <w:tcW w:w="742" w:type="dxa"/>
            <w:tcBorders>
              <w:top w:val="nil"/>
              <w:left w:val="nil"/>
              <w:bottom w:val="nil"/>
              <w:right w:val="nil"/>
            </w:tcBorders>
            <w:shd w:val="clear" w:color="auto" w:fill="auto"/>
            <w:hideMark/>
          </w:tcPr>
          <w:p w14:paraId="34C9383F" w14:textId="77777777" w:rsidR="00141F92" w:rsidRPr="00AE4E8D" w:rsidRDefault="00141F92" w:rsidP="00490A4A">
            <w:pPr>
              <w:rPr>
                <w:rFonts w:ascii="Times New Roman" w:hAnsi="Times New Roman"/>
                <w:color w:val="000000"/>
                <w:lang w:val="es-ES"/>
              </w:rPr>
            </w:pPr>
          </w:p>
        </w:tc>
        <w:tc>
          <w:tcPr>
            <w:tcW w:w="1200" w:type="dxa"/>
            <w:tcBorders>
              <w:top w:val="nil"/>
              <w:left w:val="nil"/>
              <w:bottom w:val="nil"/>
              <w:right w:val="nil"/>
            </w:tcBorders>
            <w:shd w:val="clear" w:color="auto" w:fill="auto"/>
            <w:noWrap/>
            <w:vAlign w:val="bottom"/>
            <w:hideMark/>
          </w:tcPr>
          <w:p w14:paraId="267F9D08" w14:textId="77777777" w:rsidR="00141F92" w:rsidRPr="00AE4E8D" w:rsidRDefault="00141F92" w:rsidP="00490A4A">
            <w:pPr>
              <w:rPr>
                <w:rFonts w:ascii="Times New Roman" w:hAnsi="Times New Roman"/>
                <w:color w:val="000000"/>
                <w:sz w:val="22"/>
                <w:lang w:val="es-ES"/>
              </w:rPr>
            </w:pPr>
          </w:p>
        </w:tc>
        <w:tc>
          <w:tcPr>
            <w:tcW w:w="2053" w:type="dxa"/>
            <w:tcBorders>
              <w:top w:val="nil"/>
              <w:left w:val="nil"/>
              <w:bottom w:val="nil"/>
              <w:right w:val="nil"/>
            </w:tcBorders>
            <w:shd w:val="clear" w:color="auto" w:fill="auto"/>
            <w:noWrap/>
            <w:vAlign w:val="bottom"/>
            <w:hideMark/>
          </w:tcPr>
          <w:p w14:paraId="08B81513" w14:textId="77777777" w:rsidR="00141F92" w:rsidRPr="00AE4E8D" w:rsidRDefault="00141F92" w:rsidP="00490A4A">
            <w:pPr>
              <w:rPr>
                <w:rFonts w:ascii="Times New Roman" w:hAnsi="Times New Roman"/>
                <w:color w:val="000000"/>
                <w:sz w:val="22"/>
                <w:lang w:val="es-ES"/>
              </w:rPr>
            </w:pPr>
          </w:p>
        </w:tc>
        <w:tc>
          <w:tcPr>
            <w:tcW w:w="4581" w:type="dxa"/>
            <w:gridSpan w:val="6"/>
            <w:tcBorders>
              <w:top w:val="single" w:sz="8" w:space="0" w:color="auto"/>
              <w:left w:val="nil"/>
              <w:bottom w:val="nil"/>
              <w:right w:val="nil"/>
            </w:tcBorders>
            <w:shd w:val="clear" w:color="auto" w:fill="auto"/>
            <w:vAlign w:val="center"/>
            <w:hideMark/>
          </w:tcPr>
          <w:p w14:paraId="190D333A" w14:textId="77777777" w:rsidR="00141F92" w:rsidRPr="00AE4E8D" w:rsidRDefault="00141F92" w:rsidP="00490A4A">
            <w:pPr>
              <w:jc w:val="center"/>
              <w:rPr>
                <w:rFonts w:ascii="Times New Roman" w:hAnsi="Times New Roman"/>
                <w:color w:val="000000"/>
                <w:sz w:val="18"/>
                <w:lang w:val="es-ES"/>
              </w:rPr>
            </w:pPr>
            <w:r w:rsidRPr="00AE4E8D">
              <w:rPr>
                <w:rFonts w:ascii="Times New Roman" w:hAnsi="Times New Roman"/>
                <w:color w:val="000000"/>
                <w:sz w:val="18"/>
                <w:szCs w:val="18"/>
                <w:lang w:val="es-ES"/>
              </w:rPr>
              <w:t>(En miles de Pesos)</w:t>
            </w:r>
          </w:p>
        </w:tc>
      </w:tr>
      <w:tr w:rsidR="00141F92" w:rsidRPr="00AE4E8D" w14:paraId="114C855E" w14:textId="77777777" w:rsidTr="000400C8">
        <w:trPr>
          <w:trHeight w:val="480"/>
          <w:jc w:val="center"/>
        </w:trPr>
        <w:tc>
          <w:tcPr>
            <w:tcW w:w="3995" w:type="dxa"/>
            <w:gridSpan w:val="3"/>
            <w:tcBorders>
              <w:top w:val="nil"/>
              <w:left w:val="nil"/>
              <w:bottom w:val="nil"/>
              <w:right w:val="nil"/>
            </w:tcBorders>
            <w:shd w:val="clear" w:color="auto" w:fill="auto"/>
            <w:vAlign w:val="center"/>
            <w:hideMark/>
          </w:tcPr>
          <w:p w14:paraId="15810E82" w14:textId="77777777" w:rsidR="00141F92" w:rsidRPr="00AE4E8D" w:rsidRDefault="00141F92" w:rsidP="00490A4A">
            <w:pPr>
              <w:jc w:val="center"/>
              <w:rPr>
                <w:rFonts w:ascii="Times New Roman" w:hAnsi="Times New Roman"/>
                <w:b/>
                <w:color w:val="000000"/>
                <w:sz w:val="18"/>
                <w:lang w:val="es-ES"/>
              </w:rPr>
            </w:pPr>
            <w:r w:rsidRPr="00AE4E8D">
              <w:rPr>
                <w:rFonts w:ascii="Times New Roman" w:hAnsi="Times New Roman"/>
                <w:b/>
                <w:bCs/>
                <w:color w:val="000000"/>
                <w:sz w:val="18"/>
                <w:szCs w:val="18"/>
                <w:lang w:val="es-ES"/>
              </w:rPr>
              <w:t>Ingresos financieros</w:t>
            </w:r>
            <w:r w:rsidRPr="00AE4E8D">
              <w:rPr>
                <w:rFonts w:ascii="Times New Roman" w:hAnsi="Times New Roman"/>
                <w:color w:val="000000"/>
                <w:sz w:val="18"/>
                <w:szCs w:val="18"/>
                <w:lang w:val="es-ES"/>
              </w:rPr>
              <w:t xml:space="preserve"> </w:t>
            </w:r>
          </w:p>
        </w:tc>
        <w:tc>
          <w:tcPr>
            <w:tcW w:w="498" w:type="dxa"/>
            <w:tcBorders>
              <w:top w:val="nil"/>
              <w:left w:val="nil"/>
              <w:bottom w:val="nil"/>
              <w:right w:val="nil"/>
            </w:tcBorders>
            <w:shd w:val="clear" w:color="auto" w:fill="auto"/>
            <w:hideMark/>
          </w:tcPr>
          <w:p w14:paraId="13165650" w14:textId="77777777" w:rsidR="00141F92" w:rsidRPr="00AE4E8D" w:rsidRDefault="00141F92" w:rsidP="00490A4A">
            <w:pPr>
              <w:rPr>
                <w:rFonts w:ascii="Times New Roman" w:hAnsi="Times New Roman"/>
                <w:color w:val="000000"/>
                <w:lang w:val="es-ES"/>
              </w:rPr>
            </w:pPr>
          </w:p>
        </w:tc>
        <w:tc>
          <w:tcPr>
            <w:tcW w:w="1200" w:type="dxa"/>
            <w:tcBorders>
              <w:top w:val="nil"/>
              <w:left w:val="nil"/>
              <w:bottom w:val="nil"/>
              <w:right w:val="nil"/>
            </w:tcBorders>
            <w:shd w:val="clear" w:color="auto" w:fill="auto"/>
            <w:hideMark/>
          </w:tcPr>
          <w:p w14:paraId="5AFA00AB" w14:textId="77777777" w:rsidR="00141F92" w:rsidRPr="00AE4E8D" w:rsidRDefault="00141F92" w:rsidP="00490A4A">
            <w:pPr>
              <w:rPr>
                <w:rFonts w:ascii="Times New Roman" w:hAnsi="Times New Roman"/>
                <w:color w:val="000000"/>
                <w:lang w:val="es-ES"/>
              </w:rPr>
            </w:pPr>
          </w:p>
        </w:tc>
        <w:tc>
          <w:tcPr>
            <w:tcW w:w="1200" w:type="dxa"/>
            <w:gridSpan w:val="3"/>
            <w:tcBorders>
              <w:top w:val="nil"/>
              <w:left w:val="nil"/>
              <w:bottom w:val="nil"/>
              <w:right w:val="nil"/>
            </w:tcBorders>
            <w:shd w:val="clear" w:color="auto" w:fill="auto"/>
            <w:hideMark/>
          </w:tcPr>
          <w:p w14:paraId="43F89682" w14:textId="77777777" w:rsidR="00141F92" w:rsidRPr="00AE4E8D" w:rsidRDefault="00141F92" w:rsidP="00490A4A">
            <w:pPr>
              <w:rPr>
                <w:rFonts w:ascii="Times New Roman" w:hAnsi="Times New Roman"/>
                <w:color w:val="000000"/>
                <w:lang w:val="es-ES"/>
              </w:rPr>
            </w:pPr>
          </w:p>
        </w:tc>
        <w:tc>
          <w:tcPr>
            <w:tcW w:w="1683" w:type="dxa"/>
            <w:tcBorders>
              <w:top w:val="nil"/>
              <w:left w:val="nil"/>
              <w:bottom w:val="nil"/>
              <w:right w:val="nil"/>
            </w:tcBorders>
            <w:shd w:val="clear" w:color="auto" w:fill="auto"/>
            <w:hideMark/>
          </w:tcPr>
          <w:p w14:paraId="32B2D2C4" w14:textId="77777777" w:rsidR="00141F92" w:rsidRPr="00AE4E8D" w:rsidRDefault="00141F92" w:rsidP="00490A4A">
            <w:pPr>
              <w:rPr>
                <w:rFonts w:ascii="Times New Roman" w:hAnsi="Times New Roman"/>
                <w:color w:val="000000"/>
                <w:lang w:val="es-ES"/>
              </w:rPr>
            </w:pPr>
          </w:p>
        </w:tc>
      </w:tr>
      <w:tr w:rsidR="00141F92" w:rsidRPr="00AE4E8D" w14:paraId="44DECC1E"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3FA52AA9"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BACS Banco de Crédito y Securitización S.A. </w:t>
            </w:r>
          </w:p>
        </w:tc>
        <w:tc>
          <w:tcPr>
            <w:tcW w:w="2383" w:type="dxa"/>
            <w:gridSpan w:val="3"/>
            <w:tcBorders>
              <w:top w:val="nil"/>
              <w:left w:val="nil"/>
              <w:bottom w:val="nil"/>
              <w:right w:val="nil"/>
            </w:tcBorders>
            <w:shd w:val="clear" w:color="auto" w:fill="auto"/>
            <w:vAlign w:val="center"/>
            <w:hideMark/>
          </w:tcPr>
          <w:p w14:paraId="3E62621F" w14:textId="77777777" w:rsidR="00141F92" w:rsidRPr="00AE4E8D" w:rsidRDefault="00141F92" w:rsidP="0038575D">
            <w:pPr>
              <w:jc w:val="right"/>
              <w:rPr>
                <w:rFonts w:ascii="Times New Roman" w:hAnsi="Times New Roman"/>
                <w:sz w:val="18"/>
                <w:szCs w:val="18"/>
                <w:lang w:val="es-ES"/>
              </w:rPr>
            </w:pPr>
            <w:r w:rsidRPr="00AE4E8D">
              <w:rPr>
                <w:rFonts w:ascii="Times New Roman" w:hAnsi="Times New Roman"/>
                <w:sz w:val="18"/>
                <w:szCs w:val="18"/>
                <w:lang w:val="es-ES"/>
              </w:rPr>
              <w:t>5.077</w:t>
            </w:r>
          </w:p>
        </w:tc>
        <w:tc>
          <w:tcPr>
            <w:tcW w:w="2198" w:type="dxa"/>
            <w:gridSpan w:val="3"/>
            <w:tcBorders>
              <w:top w:val="nil"/>
              <w:left w:val="nil"/>
              <w:bottom w:val="nil"/>
              <w:right w:val="nil"/>
            </w:tcBorders>
            <w:shd w:val="clear" w:color="auto" w:fill="auto"/>
            <w:vAlign w:val="center"/>
            <w:hideMark/>
          </w:tcPr>
          <w:p w14:paraId="5F5B1919" w14:textId="77777777" w:rsidR="00141F92" w:rsidRPr="00AE4E8D" w:rsidRDefault="00141F92" w:rsidP="0038575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3.801</w:t>
            </w:r>
          </w:p>
        </w:tc>
      </w:tr>
      <w:tr w:rsidR="00141F92" w:rsidRPr="00AE4E8D" w14:paraId="34CD4A13"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3249744A"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Tarshop S.A. </w:t>
            </w:r>
          </w:p>
        </w:tc>
        <w:tc>
          <w:tcPr>
            <w:tcW w:w="2383" w:type="dxa"/>
            <w:gridSpan w:val="3"/>
            <w:tcBorders>
              <w:top w:val="nil"/>
              <w:left w:val="nil"/>
              <w:bottom w:val="nil"/>
              <w:right w:val="nil"/>
            </w:tcBorders>
            <w:shd w:val="clear" w:color="auto" w:fill="auto"/>
            <w:vAlign w:val="center"/>
            <w:hideMark/>
          </w:tcPr>
          <w:p w14:paraId="46FF091C" w14:textId="77777777" w:rsidR="00141F92" w:rsidRPr="00AE4E8D" w:rsidRDefault="00141F92" w:rsidP="0038575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806</w:t>
            </w:r>
          </w:p>
        </w:tc>
        <w:tc>
          <w:tcPr>
            <w:tcW w:w="2198" w:type="dxa"/>
            <w:gridSpan w:val="3"/>
            <w:tcBorders>
              <w:top w:val="nil"/>
              <w:left w:val="nil"/>
              <w:bottom w:val="nil"/>
              <w:right w:val="nil"/>
            </w:tcBorders>
            <w:shd w:val="clear" w:color="auto" w:fill="auto"/>
            <w:vAlign w:val="center"/>
            <w:hideMark/>
          </w:tcPr>
          <w:p w14:paraId="410D42ED" w14:textId="77777777" w:rsidR="00141F92" w:rsidRPr="00AE4E8D" w:rsidRDefault="00141F92" w:rsidP="0038575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1.487</w:t>
            </w:r>
          </w:p>
        </w:tc>
      </w:tr>
      <w:tr w:rsidR="00141F92" w:rsidRPr="00AE4E8D" w14:paraId="061F0660" w14:textId="77777777" w:rsidTr="000400C8">
        <w:trPr>
          <w:trHeight w:val="540"/>
          <w:jc w:val="center"/>
        </w:trPr>
        <w:tc>
          <w:tcPr>
            <w:tcW w:w="3995" w:type="dxa"/>
            <w:gridSpan w:val="3"/>
            <w:tcBorders>
              <w:top w:val="nil"/>
              <w:left w:val="nil"/>
              <w:bottom w:val="nil"/>
              <w:right w:val="nil"/>
            </w:tcBorders>
            <w:shd w:val="clear" w:color="auto" w:fill="auto"/>
            <w:vAlign w:val="center"/>
            <w:hideMark/>
          </w:tcPr>
          <w:p w14:paraId="429F9BC9" w14:textId="77777777" w:rsidR="00141F92" w:rsidRPr="00AE4E8D" w:rsidRDefault="00141F92" w:rsidP="00490A4A">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Egresos financieros</w:t>
            </w:r>
            <w:r w:rsidRPr="00AE4E8D">
              <w:rPr>
                <w:rFonts w:ascii="Times New Roman" w:hAnsi="Times New Roman"/>
                <w:color w:val="000000"/>
                <w:sz w:val="18"/>
                <w:szCs w:val="18"/>
                <w:lang w:val="es-ES"/>
              </w:rPr>
              <w:t xml:space="preserve"> </w:t>
            </w:r>
          </w:p>
        </w:tc>
        <w:tc>
          <w:tcPr>
            <w:tcW w:w="2383" w:type="dxa"/>
            <w:gridSpan w:val="3"/>
            <w:tcBorders>
              <w:top w:val="nil"/>
              <w:left w:val="nil"/>
              <w:bottom w:val="nil"/>
              <w:right w:val="nil"/>
            </w:tcBorders>
            <w:shd w:val="clear" w:color="auto" w:fill="auto"/>
            <w:hideMark/>
          </w:tcPr>
          <w:p w14:paraId="0028428B" w14:textId="77777777" w:rsidR="00141F92" w:rsidRPr="00AE4E8D" w:rsidRDefault="00141F92" w:rsidP="00490A4A">
            <w:pPr>
              <w:jc w:val="right"/>
              <w:rPr>
                <w:rFonts w:ascii="Times New Roman" w:hAnsi="Times New Roman"/>
                <w:color w:val="000000"/>
                <w:lang w:val="es-ES"/>
              </w:rPr>
            </w:pPr>
          </w:p>
        </w:tc>
        <w:tc>
          <w:tcPr>
            <w:tcW w:w="2198" w:type="dxa"/>
            <w:gridSpan w:val="3"/>
            <w:tcBorders>
              <w:top w:val="nil"/>
              <w:left w:val="nil"/>
              <w:bottom w:val="nil"/>
              <w:right w:val="nil"/>
            </w:tcBorders>
            <w:shd w:val="clear" w:color="auto" w:fill="auto"/>
            <w:hideMark/>
          </w:tcPr>
          <w:p w14:paraId="238D7DC7" w14:textId="77777777" w:rsidR="00141F92" w:rsidRPr="00AE4E8D" w:rsidRDefault="00141F92" w:rsidP="00490A4A">
            <w:pPr>
              <w:jc w:val="right"/>
              <w:rPr>
                <w:rFonts w:ascii="Times New Roman" w:hAnsi="Times New Roman"/>
                <w:color w:val="000000"/>
                <w:lang w:val="es-ES"/>
              </w:rPr>
            </w:pPr>
          </w:p>
        </w:tc>
      </w:tr>
      <w:tr w:rsidR="00141F92" w:rsidRPr="00AE4E8D" w14:paraId="65EBA8B1" w14:textId="77777777" w:rsidTr="000400C8">
        <w:trPr>
          <w:trHeight w:val="540"/>
          <w:jc w:val="center"/>
        </w:trPr>
        <w:tc>
          <w:tcPr>
            <w:tcW w:w="3995" w:type="dxa"/>
            <w:gridSpan w:val="3"/>
            <w:tcBorders>
              <w:top w:val="nil"/>
              <w:left w:val="nil"/>
              <w:bottom w:val="nil"/>
              <w:right w:val="nil"/>
            </w:tcBorders>
            <w:shd w:val="clear" w:color="auto" w:fill="auto"/>
            <w:vAlign w:val="center"/>
            <w:hideMark/>
          </w:tcPr>
          <w:p w14:paraId="6F4452E2"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Vida S.A. </w:t>
            </w:r>
          </w:p>
        </w:tc>
        <w:tc>
          <w:tcPr>
            <w:tcW w:w="2383" w:type="dxa"/>
            <w:gridSpan w:val="3"/>
            <w:tcBorders>
              <w:top w:val="nil"/>
              <w:left w:val="nil"/>
              <w:bottom w:val="nil"/>
              <w:right w:val="nil"/>
            </w:tcBorders>
            <w:shd w:val="clear" w:color="auto" w:fill="auto"/>
            <w:vAlign w:val="center"/>
            <w:hideMark/>
          </w:tcPr>
          <w:p w14:paraId="2B2CA948" w14:textId="77777777" w:rsidR="00141F92" w:rsidRPr="00AE4E8D" w:rsidRDefault="00141F92" w:rsidP="0038575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17.188</w:t>
            </w:r>
          </w:p>
        </w:tc>
        <w:tc>
          <w:tcPr>
            <w:tcW w:w="2198" w:type="dxa"/>
            <w:gridSpan w:val="3"/>
            <w:tcBorders>
              <w:top w:val="nil"/>
              <w:left w:val="nil"/>
              <w:bottom w:val="nil"/>
              <w:right w:val="nil"/>
            </w:tcBorders>
            <w:shd w:val="clear" w:color="auto" w:fill="auto"/>
            <w:vAlign w:val="center"/>
            <w:hideMark/>
          </w:tcPr>
          <w:p w14:paraId="6B66E853" w14:textId="77777777" w:rsidR="00141F92" w:rsidRPr="00AE4E8D" w:rsidRDefault="00141F92" w:rsidP="0038575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9.450</w:t>
            </w:r>
          </w:p>
        </w:tc>
      </w:tr>
      <w:tr w:rsidR="00141F92" w:rsidRPr="00AE4E8D" w14:paraId="0B1B3A48"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1CB387E9"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Seguros Generales S.A. </w:t>
            </w:r>
          </w:p>
        </w:tc>
        <w:tc>
          <w:tcPr>
            <w:tcW w:w="2383" w:type="dxa"/>
            <w:gridSpan w:val="3"/>
            <w:tcBorders>
              <w:top w:val="nil"/>
              <w:left w:val="nil"/>
              <w:bottom w:val="nil"/>
              <w:right w:val="nil"/>
            </w:tcBorders>
            <w:shd w:val="clear" w:color="auto" w:fill="auto"/>
            <w:vAlign w:val="center"/>
            <w:hideMark/>
          </w:tcPr>
          <w:p w14:paraId="2E71C7EB" w14:textId="77777777" w:rsidR="00141F92" w:rsidRPr="00AE4E8D" w:rsidRDefault="00141F92" w:rsidP="0038575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842</w:t>
            </w:r>
          </w:p>
        </w:tc>
        <w:tc>
          <w:tcPr>
            <w:tcW w:w="2198" w:type="dxa"/>
            <w:gridSpan w:val="3"/>
            <w:tcBorders>
              <w:top w:val="nil"/>
              <w:left w:val="nil"/>
              <w:bottom w:val="nil"/>
              <w:right w:val="nil"/>
            </w:tcBorders>
            <w:shd w:val="clear" w:color="auto" w:fill="auto"/>
            <w:vAlign w:val="center"/>
            <w:hideMark/>
          </w:tcPr>
          <w:p w14:paraId="5E0F46C7" w14:textId="77777777" w:rsidR="00141F92" w:rsidRPr="00AE4E8D" w:rsidRDefault="00141F92" w:rsidP="0038575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1.100</w:t>
            </w:r>
          </w:p>
        </w:tc>
      </w:tr>
      <w:tr w:rsidR="00141F92" w:rsidRPr="00AE4E8D" w14:paraId="39C13BC1"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2E97848B" w14:textId="77777777" w:rsidR="00141F92" w:rsidRPr="00AE4E8D" w:rsidRDefault="00141F92" w:rsidP="00490A4A">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Ingresos de Servicios</w:t>
            </w:r>
            <w:r w:rsidRPr="00AE4E8D">
              <w:rPr>
                <w:rFonts w:ascii="Times New Roman" w:hAnsi="Times New Roman"/>
                <w:color w:val="000000"/>
                <w:sz w:val="18"/>
                <w:szCs w:val="18"/>
                <w:lang w:val="es-ES"/>
              </w:rPr>
              <w:t xml:space="preserve"> </w:t>
            </w:r>
          </w:p>
        </w:tc>
        <w:tc>
          <w:tcPr>
            <w:tcW w:w="2383" w:type="dxa"/>
            <w:gridSpan w:val="3"/>
            <w:tcBorders>
              <w:top w:val="nil"/>
              <w:left w:val="nil"/>
              <w:bottom w:val="nil"/>
              <w:right w:val="nil"/>
            </w:tcBorders>
            <w:shd w:val="clear" w:color="auto" w:fill="auto"/>
            <w:hideMark/>
          </w:tcPr>
          <w:p w14:paraId="05C49EAB" w14:textId="77777777" w:rsidR="00141F92" w:rsidRPr="00AE4E8D" w:rsidRDefault="00141F92" w:rsidP="00490A4A">
            <w:pPr>
              <w:jc w:val="right"/>
              <w:rPr>
                <w:rFonts w:ascii="Times New Roman" w:hAnsi="Times New Roman"/>
                <w:color w:val="000000"/>
                <w:lang w:val="es-ES"/>
              </w:rPr>
            </w:pPr>
          </w:p>
        </w:tc>
        <w:tc>
          <w:tcPr>
            <w:tcW w:w="2198" w:type="dxa"/>
            <w:gridSpan w:val="3"/>
            <w:tcBorders>
              <w:top w:val="nil"/>
              <w:left w:val="nil"/>
              <w:bottom w:val="nil"/>
              <w:right w:val="nil"/>
            </w:tcBorders>
            <w:shd w:val="clear" w:color="auto" w:fill="auto"/>
            <w:hideMark/>
          </w:tcPr>
          <w:p w14:paraId="6307B540" w14:textId="77777777" w:rsidR="00141F92" w:rsidRPr="00AE4E8D" w:rsidRDefault="00141F92" w:rsidP="00490A4A">
            <w:pPr>
              <w:jc w:val="right"/>
              <w:rPr>
                <w:rFonts w:ascii="Times New Roman" w:hAnsi="Times New Roman"/>
                <w:color w:val="000000"/>
                <w:lang w:val="es-ES"/>
              </w:rPr>
            </w:pPr>
          </w:p>
        </w:tc>
      </w:tr>
      <w:tr w:rsidR="00141F92" w:rsidRPr="00AE4E8D" w14:paraId="4FA1FB13"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451E3D58"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BACS Banco de Crédito y Securitización S.A. </w:t>
            </w:r>
          </w:p>
        </w:tc>
        <w:tc>
          <w:tcPr>
            <w:tcW w:w="2383" w:type="dxa"/>
            <w:gridSpan w:val="3"/>
            <w:tcBorders>
              <w:top w:val="nil"/>
              <w:left w:val="nil"/>
              <w:bottom w:val="nil"/>
              <w:right w:val="nil"/>
            </w:tcBorders>
            <w:shd w:val="clear" w:color="auto" w:fill="auto"/>
            <w:vAlign w:val="center"/>
            <w:hideMark/>
          </w:tcPr>
          <w:p w14:paraId="342437D4" w14:textId="77777777" w:rsidR="00141F92" w:rsidRPr="00AE4E8D" w:rsidRDefault="00141F92" w:rsidP="0038575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32</w:t>
            </w:r>
          </w:p>
        </w:tc>
        <w:tc>
          <w:tcPr>
            <w:tcW w:w="2198" w:type="dxa"/>
            <w:gridSpan w:val="3"/>
            <w:tcBorders>
              <w:top w:val="nil"/>
              <w:left w:val="nil"/>
              <w:bottom w:val="nil"/>
              <w:right w:val="nil"/>
            </w:tcBorders>
            <w:shd w:val="clear" w:color="auto" w:fill="auto"/>
            <w:vAlign w:val="center"/>
            <w:hideMark/>
          </w:tcPr>
          <w:p w14:paraId="6C7E9834" w14:textId="77777777" w:rsidR="00141F92" w:rsidRPr="00AE4E8D" w:rsidRDefault="00141F92" w:rsidP="0038575D">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54</w:t>
            </w:r>
          </w:p>
        </w:tc>
      </w:tr>
      <w:tr w:rsidR="00141F92" w:rsidRPr="00AE4E8D" w14:paraId="3C9D78CF"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1429EF3B"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Vida S.A. </w:t>
            </w:r>
          </w:p>
        </w:tc>
        <w:tc>
          <w:tcPr>
            <w:tcW w:w="2383" w:type="dxa"/>
            <w:gridSpan w:val="3"/>
            <w:tcBorders>
              <w:top w:val="nil"/>
              <w:left w:val="nil"/>
              <w:bottom w:val="nil"/>
              <w:right w:val="nil"/>
            </w:tcBorders>
            <w:shd w:val="clear" w:color="auto" w:fill="auto"/>
            <w:vAlign w:val="center"/>
            <w:hideMark/>
          </w:tcPr>
          <w:p w14:paraId="27CB706B"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50.918</w:t>
            </w:r>
          </w:p>
        </w:tc>
        <w:tc>
          <w:tcPr>
            <w:tcW w:w="2198" w:type="dxa"/>
            <w:gridSpan w:val="3"/>
            <w:tcBorders>
              <w:top w:val="nil"/>
              <w:left w:val="nil"/>
              <w:bottom w:val="nil"/>
              <w:right w:val="nil"/>
            </w:tcBorders>
            <w:shd w:val="clear" w:color="auto" w:fill="auto"/>
            <w:vAlign w:val="center"/>
            <w:hideMark/>
          </w:tcPr>
          <w:p w14:paraId="42A4855F"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169.889</w:t>
            </w:r>
          </w:p>
        </w:tc>
      </w:tr>
      <w:tr w:rsidR="00141F92" w:rsidRPr="00AE4E8D" w14:paraId="020EF88A"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00307B3D"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Seguros Generales S.A. </w:t>
            </w:r>
          </w:p>
        </w:tc>
        <w:tc>
          <w:tcPr>
            <w:tcW w:w="2383" w:type="dxa"/>
            <w:gridSpan w:val="3"/>
            <w:tcBorders>
              <w:top w:val="nil"/>
              <w:left w:val="nil"/>
              <w:bottom w:val="nil"/>
              <w:right w:val="nil"/>
            </w:tcBorders>
            <w:shd w:val="clear" w:color="auto" w:fill="auto"/>
            <w:vAlign w:val="center"/>
            <w:hideMark/>
          </w:tcPr>
          <w:p w14:paraId="5EF48510"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58.288</w:t>
            </w:r>
          </w:p>
        </w:tc>
        <w:tc>
          <w:tcPr>
            <w:tcW w:w="2198" w:type="dxa"/>
            <w:gridSpan w:val="3"/>
            <w:tcBorders>
              <w:top w:val="nil"/>
              <w:left w:val="nil"/>
              <w:bottom w:val="nil"/>
              <w:right w:val="nil"/>
            </w:tcBorders>
            <w:shd w:val="clear" w:color="auto" w:fill="auto"/>
            <w:vAlign w:val="center"/>
            <w:hideMark/>
          </w:tcPr>
          <w:p w14:paraId="65A18F9A"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142.814</w:t>
            </w:r>
          </w:p>
        </w:tc>
      </w:tr>
      <w:tr w:rsidR="00141F92" w:rsidRPr="00AE4E8D" w14:paraId="5927DA10"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136187B3" w14:textId="77777777" w:rsidR="00141F92" w:rsidRPr="00AE4E8D" w:rsidRDefault="00141F92" w:rsidP="00490A4A">
            <w:pPr>
              <w:rPr>
                <w:rFonts w:ascii="Times New Roman" w:hAnsi="Times New Roman"/>
                <w:b/>
                <w:bCs/>
                <w:color w:val="000000"/>
                <w:sz w:val="18"/>
                <w:szCs w:val="18"/>
                <w:lang w:val="es-ES"/>
              </w:rPr>
            </w:pPr>
            <w:r w:rsidRPr="00AE4E8D">
              <w:rPr>
                <w:rFonts w:ascii="Times New Roman" w:hAnsi="Times New Roman"/>
                <w:b/>
                <w:bCs/>
                <w:color w:val="000000"/>
                <w:sz w:val="18"/>
                <w:szCs w:val="18"/>
                <w:lang w:val="es-ES"/>
              </w:rPr>
              <w:t>Egresos por Servicios</w:t>
            </w:r>
            <w:r w:rsidRPr="00AE4E8D">
              <w:rPr>
                <w:rFonts w:ascii="Times New Roman" w:hAnsi="Times New Roman"/>
                <w:color w:val="000000"/>
                <w:sz w:val="18"/>
                <w:szCs w:val="18"/>
                <w:lang w:val="es-ES"/>
              </w:rPr>
              <w:t xml:space="preserve"> </w:t>
            </w:r>
          </w:p>
        </w:tc>
        <w:tc>
          <w:tcPr>
            <w:tcW w:w="2383" w:type="dxa"/>
            <w:gridSpan w:val="3"/>
            <w:tcBorders>
              <w:top w:val="nil"/>
              <w:left w:val="nil"/>
              <w:bottom w:val="nil"/>
              <w:right w:val="nil"/>
            </w:tcBorders>
            <w:shd w:val="clear" w:color="auto" w:fill="auto"/>
            <w:hideMark/>
          </w:tcPr>
          <w:p w14:paraId="1F9F8F09" w14:textId="77777777" w:rsidR="00141F92" w:rsidRPr="00AE4E8D" w:rsidRDefault="00141F92" w:rsidP="00490A4A">
            <w:pPr>
              <w:jc w:val="right"/>
              <w:rPr>
                <w:rFonts w:ascii="Times New Roman" w:hAnsi="Times New Roman"/>
                <w:color w:val="000000"/>
                <w:lang w:val="es-ES"/>
              </w:rPr>
            </w:pPr>
          </w:p>
        </w:tc>
        <w:tc>
          <w:tcPr>
            <w:tcW w:w="2198" w:type="dxa"/>
            <w:gridSpan w:val="3"/>
            <w:tcBorders>
              <w:top w:val="nil"/>
              <w:left w:val="nil"/>
              <w:bottom w:val="nil"/>
              <w:right w:val="nil"/>
            </w:tcBorders>
            <w:shd w:val="clear" w:color="auto" w:fill="auto"/>
            <w:hideMark/>
          </w:tcPr>
          <w:p w14:paraId="473F0ECE" w14:textId="77777777" w:rsidR="00141F92" w:rsidRPr="00AE4E8D" w:rsidRDefault="00141F92" w:rsidP="00490A4A">
            <w:pPr>
              <w:jc w:val="right"/>
              <w:rPr>
                <w:rFonts w:ascii="Times New Roman" w:hAnsi="Times New Roman"/>
                <w:color w:val="000000"/>
                <w:lang w:val="es-ES"/>
              </w:rPr>
            </w:pPr>
          </w:p>
        </w:tc>
      </w:tr>
      <w:tr w:rsidR="00141F92" w:rsidRPr="00AE4E8D" w14:paraId="419B8506"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68E580DC"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BACS Banco de Crédito y Securitización S.A. </w:t>
            </w:r>
          </w:p>
        </w:tc>
        <w:tc>
          <w:tcPr>
            <w:tcW w:w="2383" w:type="dxa"/>
            <w:gridSpan w:val="3"/>
            <w:tcBorders>
              <w:top w:val="nil"/>
              <w:left w:val="nil"/>
              <w:bottom w:val="nil"/>
              <w:right w:val="nil"/>
            </w:tcBorders>
            <w:shd w:val="clear" w:color="auto" w:fill="auto"/>
            <w:vAlign w:val="center"/>
            <w:hideMark/>
          </w:tcPr>
          <w:p w14:paraId="478D6B16"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1.940</w:t>
            </w:r>
          </w:p>
        </w:tc>
        <w:tc>
          <w:tcPr>
            <w:tcW w:w="2198" w:type="dxa"/>
            <w:gridSpan w:val="3"/>
            <w:tcBorders>
              <w:top w:val="nil"/>
              <w:left w:val="nil"/>
              <w:bottom w:val="nil"/>
              <w:right w:val="nil"/>
            </w:tcBorders>
            <w:shd w:val="clear" w:color="auto" w:fill="auto"/>
            <w:vAlign w:val="center"/>
            <w:hideMark/>
          </w:tcPr>
          <w:p w14:paraId="17520BCD"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4.597</w:t>
            </w:r>
          </w:p>
        </w:tc>
      </w:tr>
      <w:tr w:rsidR="00141F92" w:rsidRPr="00AE4E8D" w14:paraId="5AC3287E" w14:textId="77777777" w:rsidTr="000400C8">
        <w:trPr>
          <w:trHeight w:val="300"/>
          <w:jc w:val="center"/>
        </w:trPr>
        <w:tc>
          <w:tcPr>
            <w:tcW w:w="3995" w:type="dxa"/>
            <w:gridSpan w:val="3"/>
            <w:tcBorders>
              <w:top w:val="nil"/>
              <w:left w:val="nil"/>
              <w:bottom w:val="nil"/>
              <w:right w:val="nil"/>
            </w:tcBorders>
            <w:shd w:val="clear" w:color="auto" w:fill="auto"/>
            <w:vAlign w:val="center"/>
            <w:hideMark/>
          </w:tcPr>
          <w:p w14:paraId="064B10F3"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Vida S.A. </w:t>
            </w:r>
          </w:p>
        </w:tc>
        <w:tc>
          <w:tcPr>
            <w:tcW w:w="2383" w:type="dxa"/>
            <w:gridSpan w:val="3"/>
            <w:tcBorders>
              <w:top w:val="nil"/>
              <w:left w:val="nil"/>
              <w:bottom w:val="nil"/>
              <w:right w:val="nil"/>
            </w:tcBorders>
            <w:shd w:val="clear" w:color="auto" w:fill="auto"/>
            <w:vAlign w:val="center"/>
            <w:hideMark/>
          </w:tcPr>
          <w:p w14:paraId="08D5DE9F"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183</w:t>
            </w:r>
          </w:p>
        </w:tc>
        <w:tc>
          <w:tcPr>
            <w:tcW w:w="2198" w:type="dxa"/>
            <w:gridSpan w:val="3"/>
            <w:tcBorders>
              <w:top w:val="nil"/>
              <w:left w:val="nil"/>
              <w:bottom w:val="nil"/>
              <w:right w:val="nil"/>
            </w:tcBorders>
            <w:shd w:val="clear" w:color="auto" w:fill="auto"/>
            <w:vAlign w:val="center"/>
            <w:hideMark/>
          </w:tcPr>
          <w:p w14:paraId="0FCA30EA"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113</w:t>
            </w:r>
          </w:p>
        </w:tc>
      </w:tr>
      <w:tr w:rsidR="00141F92" w:rsidRPr="00AE4E8D" w14:paraId="0CC970E5" w14:textId="77777777" w:rsidTr="000400C8">
        <w:trPr>
          <w:trHeight w:val="480"/>
          <w:jc w:val="center"/>
        </w:trPr>
        <w:tc>
          <w:tcPr>
            <w:tcW w:w="3995" w:type="dxa"/>
            <w:gridSpan w:val="3"/>
            <w:tcBorders>
              <w:top w:val="nil"/>
              <w:left w:val="nil"/>
              <w:bottom w:val="nil"/>
              <w:right w:val="nil"/>
            </w:tcBorders>
            <w:shd w:val="clear" w:color="auto" w:fill="auto"/>
            <w:vAlign w:val="center"/>
            <w:hideMark/>
          </w:tcPr>
          <w:p w14:paraId="0BF55F6A" w14:textId="77777777" w:rsidR="00141F92" w:rsidRPr="00AE4E8D" w:rsidRDefault="00141F92" w:rsidP="00490A4A">
            <w:pPr>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BHN Seguros Generales S.A. </w:t>
            </w:r>
          </w:p>
        </w:tc>
        <w:tc>
          <w:tcPr>
            <w:tcW w:w="2383" w:type="dxa"/>
            <w:gridSpan w:val="3"/>
            <w:tcBorders>
              <w:top w:val="nil"/>
              <w:left w:val="nil"/>
              <w:bottom w:val="nil"/>
              <w:right w:val="nil"/>
            </w:tcBorders>
            <w:shd w:val="clear" w:color="auto" w:fill="auto"/>
            <w:vAlign w:val="center"/>
            <w:hideMark/>
          </w:tcPr>
          <w:p w14:paraId="5F5A1FBA"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173</w:t>
            </w:r>
          </w:p>
        </w:tc>
        <w:tc>
          <w:tcPr>
            <w:tcW w:w="2198" w:type="dxa"/>
            <w:gridSpan w:val="3"/>
            <w:tcBorders>
              <w:top w:val="nil"/>
              <w:left w:val="nil"/>
              <w:bottom w:val="nil"/>
              <w:right w:val="nil"/>
            </w:tcBorders>
            <w:shd w:val="clear" w:color="auto" w:fill="auto"/>
            <w:vAlign w:val="center"/>
            <w:hideMark/>
          </w:tcPr>
          <w:p w14:paraId="1F800195" w14:textId="77777777" w:rsidR="00141F92" w:rsidRPr="00AE4E8D" w:rsidRDefault="00141F92" w:rsidP="006B3539">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365</w:t>
            </w:r>
          </w:p>
        </w:tc>
      </w:tr>
    </w:tbl>
    <w:p w14:paraId="26FCCAC6" w14:textId="77777777" w:rsidR="00CB5660" w:rsidRPr="00AE4E8D" w:rsidRDefault="00892B8D" w:rsidP="00474216">
      <w:pPr>
        <w:rPr>
          <w:rFonts w:ascii="Times New Roman" w:hAnsi="Times New Roman"/>
          <w:sz w:val="16"/>
          <w:lang w:val="es-ES"/>
        </w:rPr>
      </w:pPr>
      <w:bookmarkStart w:id="643" w:name="_Toc449010436"/>
      <w:bookmarkStart w:id="644" w:name="_Toc456700515"/>
      <w:bookmarkStart w:id="645" w:name="_Toc457831466"/>
      <w:bookmarkStart w:id="646" w:name="_Toc421201441"/>
      <w:bookmarkStart w:id="647" w:name="_Toc420062616"/>
      <w:bookmarkEnd w:id="628"/>
      <w:bookmarkEnd w:id="629"/>
      <w:bookmarkEnd w:id="630"/>
      <w:bookmarkEnd w:id="631"/>
      <w:bookmarkEnd w:id="632"/>
      <w:bookmarkEnd w:id="633"/>
      <w:bookmarkEnd w:id="634"/>
      <w:r w:rsidRPr="00AE4E8D">
        <w:rPr>
          <w:rFonts w:ascii="Times New Roman" w:hAnsi="Times New Roman"/>
          <w:sz w:val="16"/>
          <w:lang w:val="es-ES"/>
        </w:rPr>
        <w:t>(</w:t>
      </w:r>
      <w:r w:rsidR="00CB5660" w:rsidRPr="00AE4E8D">
        <w:rPr>
          <w:rFonts w:ascii="Times New Roman" w:hAnsi="Times New Roman"/>
          <w:sz w:val="16"/>
          <w:lang w:val="es-ES"/>
        </w:rPr>
        <w:t>*) Fuente: información interna del Banco y sus subsidiarias.</w:t>
      </w:r>
      <w:bookmarkEnd w:id="643"/>
      <w:bookmarkEnd w:id="644"/>
      <w:bookmarkEnd w:id="645"/>
    </w:p>
    <w:p w14:paraId="4AFBCFA4" w14:textId="77777777" w:rsidR="00CB5660" w:rsidRPr="00AE4E8D" w:rsidRDefault="00CB5660" w:rsidP="00350E47">
      <w:pPr>
        <w:autoSpaceDE w:val="0"/>
        <w:autoSpaceDN w:val="0"/>
        <w:adjustRightInd w:val="0"/>
        <w:spacing w:before="240" w:after="240"/>
        <w:jc w:val="center"/>
        <w:outlineLvl w:val="0"/>
        <w:rPr>
          <w:rFonts w:ascii="Times New Roman" w:hAnsi="Times New Roman"/>
          <w:b/>
          <w:lang w:val="es-ES"/>
        </w:rPr>
      </w:pPr>
      <w:r w:rsidRPr="00AE4E8D">
        <w:rPr>
          <w:rFonts w:ascii="Times New Roman" w:hAnsi="Times New Roman"/>
          <w:b/>
          <w:highlight w:val="cyan"/>
          <w:lang w:val="es-ES"/>
        </w:rPr>
        <w:br w:type="page"/>
      </w:r>
      <w:bookmarkStart w:id="648" w:name="_Toc449010437"/>
      <w:bookmarkStart w:id="649" w:name="_Toc487734746"/>
      <w:bookmarkStart w:id="650" w:name="_Toc495973047"/>
      <w:bookmarkStart w:id="651" w:name="_Toc495399954"/>
      <w:r w:rsidRPr="00AE4E8D">
        <w:rPr>
          <w:rFonts w:ascii="Times New Roman" w:hAnsi="Times New Roman"/>
          <w:b/>
          <w:lang w:val="es-ES"/>
        </w:rPr>
        <w:lastRenderedPageBreak/>
        <w:t>MARCO REGULATORIO DEL SISTEMA FINANCIERO ARGENTINO</w:t>
      </w:r>
      <w:bookmarkEnd w:id="646"/>
      <w:bookmarkEnd w:id="648"/>
      <w:bookmarkEnd w:id="649"/>
      <w:bookmarkEnd w:id="650"/>
      <w:bookmarkEnd w:id="651"/>
      <w:r w:rsidR="00C27CA4" w:rsidRPr="00AE4E8D">
        <w:rPr>
          <w:rFonts w:ascii="Times New Roman" w:hAnsi="Times New Roman"/>
          <w:b/>
          <w:lang w:val="es-ES"/>
        </w:rPr>
        <w:t xml:space="preserve"> </w:t>
      </w:r>
    </w:p>
    <w:p w14:paraId="3959ABE2" w14:textId="77777777" w:rsidR="00CB5660" w:rsidRPr="00AE4E8D" w:rsidRDefault="00CB5660" w:rsidP="00A667F7">
      <w:pPr>
        <w:pStyle w:val="BHTexto"/>
        <w:rPr>
          <w:lang w:val="es-ES"/>
        </w:rPr>
      </w:pPr>
      <w:r w:rsidRPr="00AE4E8D">
        <w:rPr>
          <w:lang w:val="es-ES"/>
        </w:rPr>
        <w:t>El siguiente es un resumen de ciertas cuestiones relacionadas con el sistema financiero argentino, en el que se incluyen las disposiciones de la ley y las regulaciones argentinas aplicables a las entidades financieras en Argentina. Este resumen no constituye un análisis completo de todas las leyes y regulaciones aplicables a las entidades financieras de Argentina. Se aconseja a los futuros inversores en Obligaciones Negociables consultar a sus asesores legales para obtener un análisis más detallado del mismo.</w:t>
      </w:r>
    </w:p>
    <w:p w14:paraId="4023C6C2" w14:textId="77777777" w:rsidR="00CB5660" w:rsidRPr="00AE4E8D" w:rsidRDefault="00CB5660" w:rsidP="00A667F7">
      <w:pPr>
        <w:pStyle w:val="BHTexto"/>
        <w:rPr>
          <w:lang w:val="es-ES"/>
        </w:rPr>
      </w:pPr>
      <w:r w:rsidRPr="00AE4E8D">
        <w:rPr>
          <w:lang w:val="es-ES"/>
        </w:rPr>
        <w:t>Esta información debe leerse en conjunto con la sección</w:t>
      </w:r>
      <w:r w:rsidRPr="00AE4E8D">
        <w:rPr>
          <w:i/>
          <w:lang w:val="es-ES"/>
        </w:rPr>
        <w:t xml:space="preserve"> “Factores de Riesgo”</w:t>
      </w:r>
      <w:r w:rsidRPr="00AE4E8D">
        <w:rPr>
          <w:lang w:val="es-ES"/>
        </w:rPr>
        <w:t>, incluida en este Prospecto.</w:t>
      </w:r>
    </w:p>
    <w:p w14:paraId="378CC928" w14:textId="77777777" w:rsidR="00CB5660" w:rsidRPr="00AE4E8D" w:rsidRDefault="00CB5660" w:rsidP="000B006E">
      <w:pPr>
        <w:keepNext/>
        <w:autoSpaceDE w:val="0"/>
        <w:autoSpaceDN w:val="0"/>
        <w:adjustRightInd w:val="0"/>
        <w:spacing w:before="240" w:after="240"/>
        <w:outlineLvl w:val="1"/>
        <w:rPr>
          <w:rFonts w:ascii="Times New Roman" w:hAnsi="Times New Roman"/>
          <w:b/>
          <w:lang w:val="es-ES"/>
        </w:rPr>
      </w:pPr>
      <w:bookmarkStart w:id="652" w:name="_Toc421201442"/>
      <w:bookmarkStart w:id="653" w:name="_Toc495973048"/>
      <w:bookmarkStart w:id="654" w:name="_Toc495399955"/>
      <w:r w:rsidRPr="00AE4E8D">
        <w:rPr>
          <w:rFonts w:ascii="Times New Roman" w:hAnsi="Times New Roman"/>
          <w:b/>
          <w:lang w:val="es-ES"/>
        </w:rPr>
        <w:t>El Sistema Bancario Argentino</w:t>
      </w:r>
      <w:bookmarkEnd w:id="652"/>
      <w:bookmarkEnd w:id="653"/>
      <w:bookmarkEnd w:id="654"/>
    </w:p>
    <w:p w14:paraId="2F0DE4B7" w14:textId="77777777" w:rsidR="008F3070" w:rsidRPr="00AE4E8D" w:rsidRDefault="008F3070" w:rsidP="00A667F7">
      <w:pPr>
        <w:pStyle w:val="BHTexto"/>
        <w:rPr>
          <w:lang w:val="es-ES"/>
        </w:rPr>
      </w:pPr>
      <w:r w:rsidRPr="00AE4E8D">
        <w:rPr>
          <w:lang w:val="es-ES"/>
        </w:rPr>
        <w:t>A</w:t>
      </w:r>
      <w:r w:rsidR="00B64B03" w:rsidRPr="00AE4E8D">
        <w:rPr>
          <w:lang w:val="es-ES"/>
        </w:rPr>
        <w:t>l</w:t>
      </w:r>
      <w:r w:rsidRPr="00AE4E8D">
        <w:rPr>
          <w:lang w:val="es-ES"/>
        </w:rPr>
        <w:t xml:space="preserve"> </w:t>
      </w:r>
      <w:r w:rsidR="00C4290B" w:rsidRPr="00AE4E8D">
        <w:rPr>
          <w:lang w:val="es-ES"/>
        </w:rPr>
        <w:t>30</w:t>
      </w:r>
      <w:r w:rsidR="00541E41" w:rsidRPr="00AE4E8D">
        <w:rPr>
          <w:lang w:val="es-ES"/>
        </w:rPr>
        <w:t xml:space="preserve"> de </w:t>
      </w:r>
      <w:r w:rsidR="00C4290B" w:rsidRPr="00AE4E8D">
        <w:rPr>
          <w:lang w:val="es-ES"/>
        </w:rPr>
        <w:t>abril</w:t>
      </w:r>
      <w:r w:rsidR="00863248" w:rsidRPr="00AE4E8D">
        <w:rPr>
          <w:lang w:val="es-ES"/>
        </w:rPr>
        <w:t xml:space="preserve"> </w:t>
      </w:r>
      <w:r w:rsidR="00541E41" w:rsidRPr="00AE4E8D">
        <w:rPr>
          <w:lang w:val="es-ES"/>
        </w:rPr>
        <w:t>de 2017</w:t>
      </w:r>
      <w:r w:rsidRPr="00AE4E8D">
        <w:rPr>
          <w:lang w:val="es-ES"/>
        </w:rPr>
        <w:t xml:space="preserve"> el sistema financiero argentino estaba compuesto por 78 entidades financieras (bancos, compañías financieras y cajas de crédito), de las cuales 65 eran entidades privadas de capital nacional o extranjero y 13 eran entidades financieras estatales de Argentina.</w:t>
      </w:r>
    </w:p>
    <w:p w14:paraId="430C0A82" w14:textId="77777777" w:rsidR="008F3070" w:rsidRPr="00AE4E8D" w:rsidRDefault="008F3070" w:rsidP="00A667F7">
      <w:pPr>
        <w:pStyle w:val="BHTexto"/>
        <w:rPr>
          <w:lang w:val="es-ES"/>
        </w:rPr>
      </w:pPr>
      <w:r w:rsidRPr="00AE4E8D">
        <w:rPr>
          <w:lang w:val="es-ES"/>
        </w:rPr>
        <w:t>A</w:t>
      </w:r>
      <w:r w:rsidR="00B64B03" w:rsidRPr="00AE4E8D">
        <w:rPr>
          <w:lang w:val="es-ES"/>
        </w:rPr>
        <w:t xml:space="preserve">l </w:t>
      </w:r>
      <w:r w:rsidR="00C4290B" w:rsidRPr="00AE4E8D">
        <w:rPr>
          <w:lang w:val="es-ES"/>
        </w:rPr>
        <w:t>30</w:t>
      </w:r>
      <w:r w:rsidR="00541E41" w:rsidRPr="00AE4E8D">
        <w:rPr>
          <w:lang w:val="es-ES"/>
        </w:rPr>
        <w:t xml:space="preserve"> de </w:t>
      </w:r>
      <w:r w:rsidR="00C4290B" w:rsidRPr="00AE4E8D">
        <w:rPr>
          <w:lang w:val="es-ES"/>
        </w:rPr>
        <w:t>abril</w:t>
      </w:r>
      <w:r w:rsidR="00863248" w:rsidRPr="00AE4E8D">
        <w:rPr>
          <w:lang w:val="es-ES"/>
        </w:rPr>
        <w:t xml:space="preserve"> </w:t>
      </w:r>
      <w:r w:rsidR="00541E41" w:rsidRPr="00AE4E8D">
        <w:rPr>
          <w:lang w:val="es-ES"/>
        </w:rPr>
        <w:t>de 2017</w:t>
      </w:r>
      <w:r w:rsidRPr="00AE4E8D">
        <w:rPr>
          <w:lang w:val="es-ES"/>
        </w:rPr>
        <w:t xml:space="preserve">, de las 65 entidades financieras privadas, </w:t>
      </w:r>
      <w:r w:rsidR="00541E41" w:rsidRPr="00AE4E8D">
        <w:rPr>
          <w:lang w:val="es-ES"/>
        </w:rPr>
        <w:t xml:space="preserve">33 </w:t>
      </w:r>
      <w:r w:rsidRPr="00AE4E8D">
        <w:rPr>
          <w:lang w:val="es-ES"/>
        </w:rPr>
        <w:t>eran entidades financieras privadas locales, 17 eran de capital privado extranjero (es decir, sucursales o subsidiarias de entidades financieras extranjeras); 1</w:t>
      </w:r>
      <w:r w:rsidR="00541E41" w:rsidRPr="00AE4E8D">
        <w:rPr>
          <w:lang w:val="es-ES"/>
        </w:rPr>
        <w:t>4</w:t>
      </w:r>
      <w:r w:rsidRPr="00AE4E8D">
        <w:rPr>
          <w:lang w:val="es-ES"/>
        </w:rPr>
        <w:t xml:space="preserve"> eran entidades financieras privadas (es decir, sociedades anónimas); y uno era un banco cooperativo limitado privado.</w:t>
      </w:r>
    </w:p>
    <w:p w14:paraId="3FFC08C0" w14:textId="77777777" w:rsidR="008F3070" w:rsidRPr="00AE4E8D" w:rsidRDefault="008F3070" w:rsidP="00A667F7">
      <w:pPr>
        <w:pStyle w:val="BHTexto"/>
        <w:rPr>
          <w:lang w:val="es-ES"/>
        </w:rPr>
      </w:pPr>
      <w:r w:rsidRPr="00AE4E8D">
        <w:rPr>
          <w:lang w:val="es-ES"/>
        </w:rPr>
        <w:t xml:space="preserve">Los diez bancos comerciales privados más importantes, en función de los activos totales al </w:t>
      </w:r>
      <w:r w:rsidR="00C4290B" w:rsidRPr="00AE4E8D">
        <w:rPr>
          <w:lang w:val="es-ES"/>
        </w:rPr>
        <w:t>30</w:t>
      </w:r>
      <w:r w:rsidR="00541E41" w:rsidRPr="00AE4E8D">
        <w:rPr>
          <w:lang w:val="es-ES"/>
        </w:rPr>
        <w:t xml:space="preserve"> de </w:t>
      </w:r>
      <w:r w:rsidR="00C4290B" w:rsidRPr="00AE4E8D">
        <w:rPr>
          <w:lang w:val="es-ES"/>
        </w:rPr>
        <w:t>abril</w:t>
      </w:r>
      <w:r w:rsidR="00863248" w:rsidRPr="00AE4E8D">
        <w:rPr>
          <w:lang w:val="es-ES"/>
        </w:rPr>
        <w:t xml:space="preserve"> </w:t>
      </w:r>
      <w:r w:rsidR="00541E41" w:rsidRPr="00AE4E8D">
        <w:rPr>
          <w:lang w:val="es-ES"/>
        </w:rPr>
        <w:t>de 2017</w:t>
      </w:r>
      <w:r w:rsidRPr="00AE4E8D">
        <w:rPr>
          <w:lang w:val="es-ES"/>
        </w:rPr>
        <w:t>, eran los siguientes: Banco Santander Río S.A; Banco de Galicia y Buenos Aires S.A.; BBVA Banco Francés S.A.; Banco Macro S.A.; HSBC Bank Argentina S.A.; Banco Credicoop Coop. Ltd</w:t>
      </w:r>
      <w:r w:rsidR="0004410E" w:rsidRPr="00AE4E8D">
        <w:rPr>
          <w:lang w:val="es-ES"/>
        </w:rPr>
        <w:t>a</w:t>
      </w:r>
      <w:r w:rsidRPr="00AE4E8D">
        <w:rPr>
          <w:lang w:val="es-ES"/>
        </w:rPr>
        <w:t>; Industrial and Commercial Bank of China S.A. (Argentina);</w:t>
      </w:r>
      <w:r w:rsidR="00C4290B" w:rsidRPr="00AE4E8D">
        <w:rPr>
          <w:lang w:val="es-ES"/>
        </w:rPr>
        <w:t xml:space="preserve"> Banco Patagonia S.A.;</w:t>
      </w:r>
      <w:r w:rsidRPr="00AE4E8D">
        <w:rPr>
          <w:lang w:val="es-ES"/>
        </w:rPr>
        <w:t xml:space="preserve"> Citibank, N.A. y Banco Supervielle S.A. Según la información del BCRA, al </w:t>
      </w:r>
      <w:r w:rsidR="00C4290B" w:rsidRPr="00AE4E8D">
        <w:rPr>
          <w:lang w:val="es-ES"/>
        </w:rPr>
        <w:t>30</w:t>
      </w:r>
      <w:r w:rsidR="00541E41" w:rsidRPr="00AE4E8D">
        <w:rPr>
          <w:lang w:val="es-ES"/>
        </w:rPr>
        <w:t xml:space="preserve"> de </w:t>
      </w:r>
      <w:r w:rsidR="00C4290B" w:rsidRPr="00AE4E8D">
        <w:rPr>
          <w:lang w:val="es-ES"/>
        </w:rPr>
        <w:t>abril</w:t>
      </w:r>
      <w:r w:rsidR="00863248" w:rsidRPr="00AE4E8D">
        <w:rPr>
          <w:lang w:val="es-ES"/>
        </w:rPr>
        <w:t xml:space="preserve"> </w:t>
      </w:r>
      <w:r w:rsidR="00541E41" w:rsidRPr="00AE4E8D">
        <w:rPr>
          <w:lang w:val="es-ES"/>
        </w:rPr>
        <w:t>de 2017</w:t>
      </w:r>
      <w:r w:rsidRPr="00AE4E8D">
        <w:rPr>
          <w:lang w:val="es-ES"/>
        </w:rPr>
        <w:t xml:space="preserve">, los bancos comerciales privados representaban aproximadamente el </w:t>
      </w:r>
      <w:r w:rsidR="001A6223" w:rsidRPr="00AE4E8D">
        <w:rPr>
          <w:lang w:val="es-ES"/>
        </w:rPr>
        <w:t>5</w:t>
      </w:r>
      <w:r w:rsidR="00CC6C58" w:rsidRPr="00AE4E8D">
        <w:rPr>
          <w:lang w:val="es-ES"/>
        </w:rPr>
        <w:t>4,1</w:t>
      </w:r>
      <w:r w:rsidRPr="00AE4E8D">
        <w:rPr>
          <w:lang w:val="es-ES"/>
        </w:rPr>
        <w:t>% de los depósitos y aproximadamente el 6</w:t>
      </w:r>
      <w:r w:rsidR="00CC6C58" w:rsidRPr="00AE4E8D">
        <w:rPr>
          <w:lang w:val="es-ES"/>
        </w:rPr>
        <w:t>4,8</w:t>
      </w:r>
      <w:r w:rsidRPr="00AE4E8D">
        <w:rPr>
          <w:lang w:val="es-ES"/>
        </w:rPr>
        <w:t xml:space="preserve">% de los préstamos del sistema financiero argentino. Los bancos extranjeros más importantes en términos de activos que operaban en la Argentina a dicha fecha eran Banco Santander Río S.A.; BBVA Banco Francés S.A.; HSBC Bank Argentina S.A.; Banco Patagonia S.A.; Industrial and Commercial Bank of China S.A. (Argentina) y Citibank, N.A. Los bancos extranjeros establecidos en Argentina están sujetos a las mismas condiciones reglamentarias que los bancos argentinos. Los bancos cooperativos se dedican principalmente a la banca personal, con énfasis especial en el segmento minorista del mercado. Al </w:t>
      </w:r>
      <w:r w:rsidR="00CC6C58" w:rsidRPr="00AE4E8D">
        <w:rPr>
          <w:lang w:val="es-ES"/>
        </w:rPr>
        <w:t>30</w:t>
      </w:r>
      <w:r w:rsidR="001A6223" w:rsidRPr="00AE4E8D">
        <w:rPr>
          <w:lang w:val="es-ES"/>
        </w:rPr>
        <w:t xml:space="preserve"> de </w:t>
      </w:r>
      <w:r w:rsidR="00CC6C58" w:rsidRPr="00AE4E8D">
        <w:rPr>
          <w:lang w:val="es-ES"/>
        </w:rPr>
        <w:t>abril</w:t>
      </w:r>
      <w:r w:rsidR="001A6223" w:rsidRPr="00AE4E8D">
        <w:rPr>
          <w:lang w:val="es-ES"/>
        </w:rPr>
        <w:t xml:space="preserve"> de 2017</w:t>
      </w:r>
      <w:r w:rsidRPr="00AE4E8D">
        <w:rPr>
          <w:lang w:val="es-ES"/>
        </w:rPr>
        <w:t xml:space="preserve"> las entidades financieras (no bancarias) participaban con el 0,</w:t>
      </w:r>
      <w:r w:rsidR="001A6223" w:rsidRPr="00AE4E8D">
        <w:rPr>
          <w:lang w:val="es-ES"/>
        </w:rPr>
        <w:t>3</w:t>
      </w:r>
      <w:r w:rsidRPr="00AE4E8D">
        <w:rPr>
          <w:lang w:val="es-ES"/>
        </w:rPr>
        <w:t xml:space="preserve">% de los depósitos y el </w:t>
      </w:r>
      <w:r w:rsidR="001A6223" w:rsidRPr="00AE4E8D">
        <w:rPr>
          <w:lang w:val="es-ES"/>
        </w:rPr>
        <w:t>3,</w:t>
      </w:r>
      <w:r w:rsidR="00CC6C58" w:rsidRPr="00AE4E8D">
        <w:rPr>
          <w:lang w:val="es-ES"/>
        </w:rPr>
        <w:t>4</w:t>
      </w:r>
      <w:r w:rsidRPr="00AE4E8D">
        <w:rPr>
          <w:lang w:val="es-ES"/>
        </w:rPr>
        <w:t>% de los préstamos en el sistema financiero argentino.</w:t>
      </w:r>
    </w:p>
    <w:p w14:paraId="42E87A54" w14:textId="77777777" w:rsidR="008F3070" w:rsidRPr="00AE4E8D" w:rsidRDefault="008F3070" w:rsidP="00A667F7">
      <w:pPr>
        <w:pStyle w:val="BHTexto"/>
        <w:rPr>
          <w:lang w:val="es-ES"/>
        </w:rPr>
      </w:pPr>
      <w:r w:rsidRPr="00AE4E8D">
        <w:rPr>
          <w:lang w:val="es-ES"/>
        </w:rPr>
        <w:t>Los bancos públicos argentinos más importantes, en función de los activos totales, eran el Banco de la Nación Argentina y el Banco de la Provincia de Buenos Aires. Conforme a las disposiciones de la Ley de Entidades Financieras, los bancos públicos y privados poseen derechos y obligaciones similares, con la excepción de que los primeros manejan los ingresos públicos y promueven el desarrollo regional, y algunos de ellos reciben un tratamiento fiscal preferencial. Los Estatutos de algunos bancos públicos disponen que los gobiernos a los cuales pertenecen (</w:t>
      </w:r>
      <w:proofErr w:type="gramStart"/>
      <w:r w:rsidRPr="00AE4E8D">
        <w:rPr>
          <w:lang w:val="es-ES"/>
        </w:rPr>
        <w:t>nacional</w:t>
      </w:r>
      <w:proofErr w:type="gramEnd"/>
      <w:r w:rsidRPr="00AE4E8D">
        <w:rPr>
          <w:lang w:val="es-ES"/>
        </w:rPr>
        <w:t xml:space="preserve"> o provinciales) garantizan sus compromisos. En virtud de las leyes vigentes, el Banco de la Provincia de Buenos Aires no estará sujeto a los impuestos, tasas o contribuciones que el gobierno nacional pueda imponer. Según datos suministrados por el BCRA, al </w:t>
      </w:r>
      <w:r w:rsidR="00CC6C58" w:rsidRPr="00AE4E8D">
        <w:rPr>
          <w:lang w:val="es-ES"/>
        </w:rPr>
        <w:t>30</w:t>
      </w:r>
      <w:r w:rsidR="001A6223" w:rsidRPr="00AE4E8D">
        <w:rPr>
          <w:lang w:val="es-ES"/>
        </w:rPr>
        <w:t xml:space="preserve"> de </w:t>
      </w:r>
      <w:r w:rsidR="00CC6C58" w:rsidRPr="00AE4E8D">
        <w:rPr>
          <w:lang w:val="es-ES"/>
        </w:rPr>
        <w:t>abril</w:t>
      </w:r>
      <w:r w:rsidR="001A6223" w:rsidRPr="00AE4E8D">
        <w:rPr>
          <w:lang w:val="es-ES"/>
        </w:rPr>
        <w:t xml:space="preserve"> de 2017</w:t>
      </w:r>
      <w:r w:rsidRPr="00AE4E8D">
        <w:rPr>
          <w:lang w:val="es-ES"/>
        </w:rPr>
        <w:t xml:space="preserve"> los bancos comerciales oficiales y los bancos comerciales en los cuales el Gobierno Argentino tenía una participación mayoritaria en el capital, participaban el </w:t>
      </w:r>
      <w:r w:rsidR="001A6223" w:rsidRPr="00AE4E8D">
        <w:rPr>
          <w:lang w:val="es-ES"/>
        </w:rPr>
        <w:t>4</w:t>
      </w:r>
      <w:r w:rsidR="00916536" w:rsidRPr="00AE4E8D">
        <w:rPr>
          <w:lang w:val="es-ES"/>
        </w:rPr>
        <w:t>5,5</w:t>
      </w:r>
      <w:r w:rsidRPr="00AE4E8D">
        <w:rPr>
          <w:lang w:val="es-ES"/>
        </w:rPr>
        <w:t>% de los depósitos y en el 3</w:t>
      </w:r>
      <w:r w:rsidR="00916536" w:rsidRPr="00AE4E8D">
        <w:rPr>
          <w:lang w:val="es-ES"/>
        </w:rPr>
        <w:t>1,7</w:t>
      </w:r>
      <w:r w:rsidRPr="00AE4E8D">
        <w:rPr>
          <w:lang w:val="es-ES"/>
        </w:rPr>
        <w:t>% de los préstamos en el sistema financiero argentino.</w:t>
      </w:r>
    </w:p>
    <w:p w14:paraId="6BA9B46A" w14:textId="77777777" w:rsidR="00CB5660" w:rsidRPr="00AE4E8D" w:rsidRDefault="00CB5660" w:rsidP="00A667F7">
      <w:pPr>
        <w:pStyle w:val="BHTexto"/>
        <w:rPr>
          <w:lang w:val="es-ES"/>
        </w:rPr>
      </w:pPr>
      <w:r w:rsidRPr="00AE4E8D">
        <w:rPr>
          <w:lang w:val="es-ES"/>
        </w:rPr>
        <w:t>Debido a la demora del BCRA para actualizar la información del sistema financiero</w:t>
      </w:r>
      <w:r w:rsidR="0004410E" w:rsidRPr="00AE4E8D">
        <w:rPr>
          <w:lang w:val="es-ES"/>
        </w:rPr>
        <w:t xml:space="preserve"> no podemos proporcionar información más reciente y</w:t>
      </w:r>
      <w:r w:rsidRPr="00AE4E8D">
        <w:rPr>
          <w:lang w:val="es-ES"/>
        </w:rPr>
        <w:t xml:space="preserve"> no podemos asegurar que la información mencionada anteriormente no se haya desactualizado a la fecha de este Prospecto.</w:t>
      </w:r>
    </w:p>
    <w:p w14:paraId="687B46C8" w14:textId="77777777" w:rsidR="00CB5660" w:rsidRPr="00AE4E8D" w:rsidRDefault="00CB5660" w:rsidP="002063E5">
      <w:pPr>
        <w:keepNext/>
        <w:autoSpaceDE w:val="0"/>
        <w:autoSpaceDN w:val="0"/>
        <w:adjustRightInd w:val="0"/>
        <w:spacing w:before="240" w:after="240"/>
        <w:outlineLvl w:val="1"/>
        <w:rPr>
          <w:rFonts w:ascii="Times New Roman" w:hAnsi="Times New Roman"/>
          <w:b/>
          <w:lang w:val="es-ES" w:eastAsia="es-AR"/>
        </w:rPr>
      </w:pPr>
      <w:bookmarkStart w:id="655" w:name="_Toc430186233"/>
      <w:bookmarkStart w:id="656" w:name="_Toc495973049"/>
      <w:bookmarkStart w:id="657" w:name="_Toc495399956"/>
      <w:bookmarkStart w:id="658" w:name="_Toc421201443"/>
      <w:r w:rsidRPr="00AE4E8D">
        <w:rPr>
          <w:rFonts w:ascii="Times New Roman" w:hAnsi="Times New Roman"/>
          <w:b/>
          <w:lang w:val="es-ES" w:eastAsia="es-AR"/>
        </w:rPr>
        <w:t>Regulación del Sistema Bancario Argentino</w:t>
      </w:r>
      <w:bookmarkEnd w:id="655"/>
      <w:bookmarkEnd w:id="656"/>
      <w:bookmarkEnd w:id="657"/>
    </w:p>
    <w:p w14:paraId="5C5765A9" w14:textId="77777777" w:rsidR="00CB5660" w:rsidRPr="00AE4E8D" w:rsidRDefault="00CB5660" w:rsidP="002063E5">
      <w:pPr>
        <w:keepNext/>
        <w:autoSpaceDE w:val="0"/>
        <w:autoSpaceDN w:val="0"/>
        <w:adjustRightInd w:val="0"/>
        <w:spacing w:before="240" w:after="240"/>
        <w:outlineLvl w:val="2"/>
        <w:rPr>
          <w:rFonts w:ascii="Times New Roman" w:hAnsi="Times New Roman"/>
          <w:b/>
          <w:w w:val="0"/>
          <w:lang w:val="es-ES"/>
        </w:rPr>
      </w:pPr>
      <w:bookmarkStart w:id="659" w:name="_Toc430186234"/>
      <w:r w:rsidRPr="00AE4E8D">
        <w:rPr>
          <w:rFonts w:ascii="Times New Roman" w:hAnsi="Times New Roman"/>
          <w:b/>
          <w:w w:val="0"/>
          <w:lang w:val="es-ES"/>
        </w:rPr>
        <w:t>Reseña</w:t>
      </w:r>
      <w:bookmarkEnd w:id="659"/>
      <w:r w:rsidR="002179AF" w:rsidRPr="00AE4E8D">
        <w:rPr>
          <w:rFonts w:ascii="Times New Roman" w:hAnsi="Times New Roman"/>
          <w:b/>
          <w:w w:val="0"/>
          <w:lang w:val="es-ES"/>
        </w:rPr>
        <w:t xml:space="preserve"> </w:t>
      </w:r>
    </w:p>
    <w:p w14:paraId="1FE3D9AA" w14:textId="77777777" w:rsidR="002E07D5" w:rsidRPr="00AE4E8D" w:rsidRDefault="002E07D5" w:rsidP="0018126C">
      <w:pPr>
        <w:pStyle w:val="BHTexto"/>
        <w:rPr>
          <w:lang w:val="es-ES"/>
        </w:rPr>
      </w:pPr>
      <w:r w:rsidRPr="00AE4E8D">
        <w:rPr>
          <w:lang w:val="es-ES"/>
        </w:rPr>
        <w:t xml:space="preserve">Fundado en 1935, el </w:t>
      </w:r>
      <w:r w:rsidR="00CB5660" w:rsidRPr="00AE4E8D">
        <w:rPr>
          <w:lang w:val="es-ES"/>
        </w:rPr>
        <w:t>BCRA</w:t>
      </w:r>
      <w:r w:rsidRPr="00AE4E8D">
        <w:rPr>
          <w:lang w:val="es-ES"/>
        </w:rPr>
        <w:t xml:space="preserve"> es la principal autoridad monetaria y financiera de Argentina. Su misión es preservar el valor de la moneda y la estabilidad financiera, el trabajo y el desarrollo económico con equidad social. Opera de acuerdo con su carta orgánica, reformada en 2012 por Ley N° 26.739, y las </w:t>
      </w:r>
      <w:r w:rsidRPr="00AE4E8D">
        <w:rPr>
          <w:lang w:val="es-ES"/>
        </w:rPr>
        <w:lastRenderedPageBreak/>
        <w:t xml:space="preserve">disposiciones de la </w:t>
      </w:r>
      <w:r w:rsidR="00A667F7" w:rsidRPr="00AE4E8D">
        <w:rPr>
          <w:lang w:val="es-ES"/>
        </w:rPr>
        <w:t>Ley de Entidades Financieras</w:t>
      </w:r>
      <w:r w:rsidRPr="00AE4E8D">
        <w:rPr>
          <w:lang w:val="es-ES"/>
        </w:rPr>
        <w:t xml:space="preserve">. Según los términos de su carta orgánica, el </w:t>
      </w:r>
      <w:r w:rsidR="002C3DEF" w:rsidRPr="00AE4E8D">
        <w:rPr>
          <w:lang w:val="es-ES"/>
        </w:rPr>
        <w:t>BCRA</w:t>
      </w:r>
      <w:r w:rsidRPr="00AE4E8D">
        <w:rPr>
          <w:lang w:val="es-ES"/>
        </w:rPr>
        <w:t xml:space="preserve"> debe operar independientemente del gobierno nacional. </w:t>
      </w:r>
    </w:p>
    <w:p w14:paraId="03221D5D" w14:textId="77777777" w:rsidR="002E07D5" w:rsidRPr="00AE4E8D" w:rsidRDefault="002E07D5" w:rsidP="0018126C">
      <w:pPr>
        <w:pStyle w:val="BHTexto"/>
        <w:rPr>
          <w:lang w:val="es-ES"/>
        </w:rPr>
      </w:pPr>
      <w:r w:rsidRPr="00AE4E8D">
        <w:rPr>
          <w:lang w:val="es-ES"/>
        </w:rPr>
        <w:t xml:space="preserve">Desde 1977, las actividades bancarias en Argentina han estado reguladas principalmente por la </w:t>
      </w:r>
      <w:r w:rsidR="00A667F7" w:rsidRPr="00AE4E8D">
        <w:rPr>
          <w:lang w:val="es-ES"/>
        </w:rPr>
        <w:t>Ley de Entidades Financieras</w:t>
      </w:r>
      <w:r w:rsidRPr="00AE4E8D">
        <w:rPr>
          <w:lang w:val="es-ES"/>
        </w:rPr>
        <w:t xml:space="preserve">, que faculta al </w:t>
      </w:r>
      <w:r w:rsidR="002C3DEF" w:rsidRPr="00AE4E8D">
        <w:rPr>
          <w:lang w:val="es-ES"/>
        </w:rPr>
        <w:t>BCRA</w:t>
      </w:r>
      <w:r w:rsidRPr="00AE4E8D">
        <w:rPr>
          <w:lang w:val="es-ES"/>
        </w:rPr>
        <w:t xml:space="preserve"> a regular el sector financiero. El </w:t>
      </w:r>
      <w:r w:rsidR="002C3DEF" w:rsidRPr="00AE4E8D">
        <w:rPr>
          <w:lang w:val="es-ES"/>
        </w:rPr>
        <w:t>BCRA</w:t>
      </w:r>
      <w:r w:rsidRPr="00AE4E8D">
        <w:rPr>
          <w:lang w:val="es-ES"/>
        </w:rPr>
        <w:t xml:space="preserve"> regula y supervisa el sistema bancario argentino a través de la Superintendencia de Entidades Financieras y Cambiarias. La Superintendencia de Entidades Financieras y Cambiarias es responsable de hacer cumplir las leyes bancarias de Argentina, mediante el establecimiento de requisitos de suministro de información contable y financiera aplicable al sector bancario, la supervisión y reglamentación de las prácticas en materia de préstamos de las entidades financieras y el establecimiento de normas para la participación de las entidades financieras en el mercado cambiario y la emisión de bonos y otros títulos, entre otras funciones. </w:t>
      </w:r>
    </w:p>
    <w:p w14:paraId="4ECD1AA7" w14:textId="77777777" w:rsidR="002E07D5" w:rsidRPr="00AE4E8D" w:rsidRDefault="002E07D5" w:rsidP="0018126C">
      <w:pPr>
        <w:pStyle w:val="BHTexto"/>
        <w:rPr>
          <w:lang w:val="es-ES"/>
        </w:rPr>
      </w:pPr>
      <w:r w:rsidRPr="00AE4E8D">
        <w:rPr>
          <w:lang w:val="es-ES"/>
        </w:rPr>
        <w:t xml:space="preserve">Las facultades del </w:t>
      </w:r>
      <w:r w:rsidR="002C3DEF" w:rsidRPr="00AE4E8D">
        <w:rPr>
          <w:lang w:val="es-ES"/>
        </w:rPr>
        <w:t>BCRA</w:t>
      </w:r>
      <w:r w:rsidRPr="00AE4E8D">
        <w:rPr>
          <w:lang w:val="es-ES"/>
        </w:rPr>
        <w:t xml:space="preserve"> incluyen fijar la base monetaria, establecer las tasas de interés, determinar las exigencias de capital mínimo, liquidez y solvencia, regular el crédito, aprobar fusiones bancarias, aumentos de capital y transferencias de acciones, otorgar y revocar licencias bancarias, autorizar el establecimiento de sucursales de entidades financieras extranjeras en Argentina y otorgar asistencia financiera a entidades financieras en casos de problemas temporarios de liquidez o solvencia.</w:t>
      </w:r>
    </w:p>
    <w:p w14:paraId="2D845668" w14:textId="77777777" w:rsidR="002E07D5" w:rsidRPr="00AE4E8D" w:rsidRDefault="002E07D5" w:rsidP="0018126C">
      <w:pPr>
        <w:pStyle w:val="BHTexto"/>
        <w:rPr>
          <w:lang w:val="es-ES"/>
        </w:rPr>
      </w:pPr>
      <w:r w:rsidRPr="00AE4E8D">
        <w:rPr>
          <w:lang w:val="es-ES"/>
        </w:rPr>
        <w:t xml:space="preserve">El </w:t>
      </w:r>
      <w:r w:rsidR="002C3DEF" w:rsidRPr="00AE4E8D">
        <w:rPr>
          <w:lang w:val="es-ES"/>
        </w:rPr>
        <w:t>BCRA</w:t>
      </w:r>
      <w:r w:rsidRPr="00AE4E8D">
        <w:rPr>
          <w:lang w:val="es-ES"/>
        </w:rPr>
        <w:t xml:space="preserve"> establece diferentes “relaciones técnicas” que deben ser observadas por las entidades financieras con respecto a los niveles de solvencia, liquidez, créditos máximos a otorgar a los clientes y posiciones de activos y pasivos en moneda extranjera.</w:t>
      </w:r>
    </w:p>
    <w:p w14:paraId="48F3A72D" w14:textId="77777777" w:rsidR="002E07D5" w:rsidRPr="00AE4E8D" w:rsidRDefault="002E07D5" w:rsidP="0018126C">
      <w:pPr>
        <w:pStyle w:val="BHTexto"/>
        <w:rPr>
          <w:lang w:val="es-ES"/>
        </w:rPr>
      </w:pPr>
      <w:r w:rsidRPr="00AE4E8D">
        <w:rPr>
          <w:lang w:val="es-ES"/>
        </w:rPr>
        <w:t xml:space="preserve">Además, las entidades financieras necesitan la autorización del </w:t>
      </w:r>
      <w:r w:rsidR="002C3DEF" w:rsidRPr="00AE4E8D">
        <w:rPr>
          <w:lang w:val="es-ES"/>
        </w:rPr>
        <w:t>BCRA</w:t>
      </w:r>
      <w:r w:rsidRPr="00AE4E8D">
        <w:rPr>
          <w:lang w:val="es-ES"/>
        </w:rPr>
        <w:t xml:space="preserve"> para la enajenación de sus activos, tal como es el caso de la apertura o cambio de sucursales o cajeros automáticos, la adquisición de participaciones en otras sociedades financieras o no financieras y la constitución de gravámenes sobre sus activos, entre otros.</w:t>
      </w:r>
    </w:p>
    <w:p w14:paraId="4661498E" w14:textId="77777777" w:rsidR="002E07D5" w:rsidRPr="00AE4E8D" w:rsidRDefault="002E07D5" w:rsidP="0018126C">
      <w:pPr>
        <w:pStyle w:val="BHTexto"/>
        <w:rPr>
          <w:lang w:val="es-ES"/>
        </w:rPr>
      </w:pPr>
      <w:r w:rsidRPr="00AE4E8D">
        <w:rPr>
          <w:lang w:val="es-ES"/>
        </w:rPr>
        <w:t xml:space="preserve">Como supervisor del sistema financiero, el </w:t>
      </w:r>
      <w:r w:rsidR="002C3DEF" w:rsidRPr="00AE4E8D">
        <w:rPr>
          <w:lang w:val="es-ES"/>
        </w:rPr>
        <w:t>BCRA</w:t>
      </w:r>
      <w:r w:rsidRPr="00AE4E8D">
        <w:rPr>
          <w:lang w:val="es-ES"/>
        </w:rPr>
        <w:t xml:space="preserve"> exige que las entidades financieras presenten información en forma diaria, mensual, trimestral, semestral y anual. Estos informes, que incluyen balances y estados de resultados, información relacionada con los fondos de reserva, destino de los depósitos, clasificaciones de calidad de cartera, (incluyendo detalles de los principales deudores y cualquier previsión por riesgo de incobrabilidad), cumplimiento de los requerimientos de capital y cualquier otra información pertinente, permiten al </w:t>
      </w:r>
      <w:r w:rsidR="002C3DEF" w:rsidRPr="00AE4E8D">
        <w:rPr>
          <w:lang w:val="es-ES"/>
        </w:rPr>
        <w:t>BCRA</w:t>
      </w:r>
      <w:r w:rsidRPr="00AE4E8D">
        <w:rPr>
          <w:lang w:val="es-ES"/>
        </w:rPr>
        <w:t xml:space="preserve"> monitorear las prácticas comerciales de las entidades financieras. Para confirmar la exactitud de la información suministrada, el </w:t>
      </w:r>
      <w:r w:rsidR="002C3DEF" w:rsidRPr="00AE4E8D">
        <w:rPr>
          <w:lang w:val="es-ES"/>
        </w:rPr>
        <w:t>BCRA</w:t>
      </w:r>
      <w:r w:rsidRPr="00AE4E8D">
        <w:rPr>
          <w:lang w:val="es-ES"/>
        </w:rPr>
        <w:t xml:space="preserve"> está autorizado a llevar a cabo inspecciones.</w:t>
      </w:r>
    </w:p>
    <w:p w14:paraId="1D4FAF1E" w14:textId="77777777" w:rsidR="002E07D5" w:rsidRPr="00AE4E8D" w:rsidRDefault="002E07D5" w:rsidP="0018126C">
      <w:pPr>
        <w:pStyle w:val="BHTexto"/>
        <w:rPr>
          <w:lang w:val="es-ES"/>
        </w:rPr>
      </w:pPr>
      <w:r w:rsidRPr="00AE4E8D">
        <w:rPr>
          <w:lang w:val="es-ES"/>
        </w:rPr>
        <w:t xml:space="preserve">Si las </w:t>
      </w:r>
      <w:r w:rsidR="00A667F7" w:rsidRPr="00AE4E8D">
        <w:rPr>
          <w:lang w:val="es-ES"/>
        </w:rPr>
        <w:t>normas del BCRA</w:t>
      </w:r>
      <w:r w:rsidRPr="00AE4E8D">
        <w:rPr>
          <w:lang w:val="es-ES"/>
        </w:rPr>
        <w:t xml:space="preserve"> no se cumplen, la Superintendencia de Entidades Financieras y Cambiarias puede imponer diversas sanciones dependiendo de la gravedad de la infracción. Estas sanciones varían desde un aviso de incumplimiento a la imposición de multas o incluso, en casos extremos, la revocación de la licencia para operar de la entidad financiera. Además, el incumplimiento de ciertas normas puede dar lugar a la presentación obligatoria de planes de regulación y saneamiento ante el </w:t>
      </w:r>
      <w:r w:rsidR="002C3DEF" w:rsidRPr="00AE4E8D">
        <w:rPr>
          <w:lang w:val="es-ES"/>
        </w:rPr>
        <w:t>BCRA</w:t>
      </w:r>
      <w:r w:rsidRPr="00AE4E8D">
        <w:rPr>
          <w:lang w:val="es-ES"/>
        </w:rPr>
        <w:t xml:space="preserve">. Estos planes deben ser aprobados por el </w:t>
      </w:r>
      <w:r w:rsidR="002C3DEF" w:rsidRPr="00AE4E8D">
        <w:rPr>
          <w:lang w:val="es-ES"/>
        </w:rPr>
        <w:t>BCRA</w:t>
      </w:r>
      <w:r w:rsidRPr="00AE4E8D">
        <w:rPr>
          <w:lang w:val="es-ES"/>
        </w:rPr>
        <w:t xml:space="preserve"> a fin de permitir que la entidad financiera permanezca en el negocio.</w:t>
      </w:r>
    </w:p>
    <w:p w14:paraId="14FDE645" w14:textId="77777777" w:rsidR="002E07D5" w:rsidRPr="00AE4E8D" w:rsidRDefault="002E07D5" w:rsidP="0018126C">
      <w:pPr>
        <w:pStyle w:val="BH3Izquierda"/>
        <w:rPr>
          <w:lang w:val="es-ES"/>
        </w:rPr>
      </w:pPr>
      <w:r w:rsidRPr="00AE4E8D">
        <w:rPr>
          <w:lang w:val="es-ES"/>
        </w:rPr>
        <w:t>Regulación y supervisión bancaria</w:t>
      </w:r>
    </w:p>
    <w:p w14:paraId="6B77ACC5" w14:textId="77777777" w:rsidR="002E07D5" w:rsidRPr="00AE4E8D" w:rsidRDefault="002E07D5" w:rsidP="0018126C">
      <w:pPr>
        <w:pStyle w:val="BH4Cursiva"/>
        <w:rPr>
          <w:lang w:val="es-ES"/>
        </w:rPr>
      </w:pPr>
      <w:r w:rsidRPr="00AE4E8D">
        <w:rPr>
          <w:lang w:val="es-ES"/>
        </w:rPr>
        <w:t xml:space="preserve">Supervisión del </w:t>
      </w:r>
      <w:r w:rsidR="002C3DEF" w:rsidRPr="00AE4E8D">
        <w:rPr>
          <w:lang w:val="es-ES"/>
        </w:rPr>
        <w:t>BCRA</w:t>
      </w:r>
    </w:p>
    <w:p w14:paraId="692BFB3F" w14:textId="77777777" w:rsidR="002E07D5" w:rsidRPr="00AE4E8D" w:rsidRDefault="002E07D5" w:rsidP="00B52753">
      <w:pPr>
        <w:autoSpaceDE w:val="0"/>
        <w:autoSpaceDN w:val="0"/>
        <w:adjustRightInd w:val="0"/>
        <w:spacing w:after="240"/>
        <w:jc w:val="both"/>
        <w:rPr>
          <w:rFonts w:ascii="Times New Roman" w:hAnsi="Times New Roman"/>
          <w:lang w:val="es-ES"/>
        </w:rPr>
      </w:pPr>
      <w:r w:rsidRPr="00AE4E8D">
        <w:rPr>
          <w:rFonts w:ascii="Times New Roman" w:hAnsi="Times New Roman"/>
          <w:lang w:val="es-ES" w:eastAsia="es-ES"/>
        </w:rPr>
        <w:t xml:space="preserve">Desde septiembre de 1994, el </w:t>
      </w:r>
      <w:r w:rsidR="002C3DEF" w:rsidRPr="00AE4E8D">
        <w:rPr>
          <w:rFonts w:ascii="Times New Roman" w:hAnsi="Times New Roman"/>
          <w:lang w:val="es-ES" w:eastAsia="es-ES"/>
        </w:rPr>
        <w:t>BCRA</w:t>
      </w:r>
      <w:r w:rsidRPr="00AE4E8D">
        <w:rPr>
          <w:rFonts w:ascii="Times New Roman" w:hAnsi="Times New Roman"/>
          <w:lang w:val="es-ES" w:eastAsia="es-ES"/>
        </w:rPr>
        <w:t xml:space="preserve"> ha supervisado a las entidades financieras argentinas en forma consolidada. Dichas entidades financieras deben presentar periódicamente estados contables consolidados que reflejen tanto las operaciones de su casa central o matriz, como también las de sus filiales en Argentina y en el exterior, y aquéllas correspondientes a sus subsidiarias significativas, tanto nacionales como extranjeras.</w:t>
      </w:r>
      <w:r w:rsidRPr="00AE4E8D">
        <w:rPr>
          <w:rFonts w:ascii="Times New Roman" w:hAnsi="Times New Roman"/>
          <w:lang w:val="es-ES"/>
        </w:rPr>
        <w:t xml:space="preserve"> En consecuencia, los requisitos relacionados con liquidez y solvencia, capitales mínimos, concentración del riesgo y previsiones por riesgos de incobrabilidad, entre otros, deben ser calculados sobre una base consolidada.</w:t>
      </w:r>
    </w:p>
    <w:p w14:paraId="57529F7D" w14:textId="77777777" w:rsidR="002E07D5" w:rsidRPr="00AE4E8D" w:rsidRDefault="002E07D5" w:rsidP="0018126C">
      <w:pPr>
        <w:pStyle w:val="BH4Cursiva"/>
        <w:rPr>
          <w:w w:val="0"/>
          <w:lang w:val="es-ES"/>
        </w:rPr>
      </w:pPr>
      <w:r w:rsidRPr="00AE4E8D">
        <w:rPr>
          <w:lang w:val="es-ES"/>
        </w:rPr>
        <w:t>Actividades e</w:t>
      </w:r>
      <w:r w:rsidRPr="00AE4E8D">
        <w:rPr>
          <w:w w:val="0"/>
          <w:lang w:val="es-ES"/>
        </w:rPr>
        <w:t xml:space="preserve"> inversiones permitidas</w:t>
      </w:r>
    </w:p>
    <w:p w14:paraId="17BD6511" w14:textId="77777777" w:rsidR="002E07D5" w:rsidRPr="00AE4E8D" w:rsidRDefault="002E07D5" w:rsidP="0018126C">
      <w:pPr>
        <w:pStyle w:val="BHTexto"/>
        <w:rPr>
          <w:w w:val="0"/>
          <w:lang w:val="es-ES"/>
        </w:rPr>
      </w:pPr>
      <w:r w:rsidRPr="00AE4E8D">
        <w:rPr>
          <w:lang w:val="es-ES"/>
        </w:rPr>
        <w:t xml:space="preserve">La </w:t>
      </w:r>
      <w:r w:rsidR="00A667F7" w:rsidRPr="00AE4E8D">
        <w:rPr>
          <w:lang w:val="es-ES"/>
        </w:rPr>
        <w:t>Ley de Entidades Financieras</w:t>
      </w:r>
      <w:r w:rsidRPr="00AE4E8D">
        <w:rPr>
          <w:lang w:val="es-ES"/>
        </w:rPr>
        <w:t xml:space="preserve"> se aplica a todas aquellas personas humanas</w:t>
      </w:r>
      <w:r w:rsidRPr="00AE4E8D" w:rsidDel="001B5B7E">
        <w:rPr>
          <w:lang w:val="es-ES"/>
        </w:rPr>
        <w:t xml:space="preserve"> </w:t>
      </w:r>
      <w:r w:rsidRPr="00AE4E8D">
        <w:rPr>
          <w:lang w:val="es-ES"/>
        </w:rPr>
        <w:t>y jurídicas que actúan como intermediarios financiero y que, como tales, son parte del sistema financiero, incluyendo los bancos comerciales, bancos de inversión, bancos hipotecarios, compañías financieras, sociedades de ahorro y préstamo para la vivienda y cooperativas de crédito. Excepto los bancos comerciales, que están autorizados a realizar todas las actividades financieras y prestar todos los servicios financieros que</w:t>
      </w:r>
      <w:r w:rsidRPr="00AE4E8D">
        <w:rPr>
          <w:w w:val="0"/>
          <w:lang w:val="es-ES"/>
        </w:rPr>
        <w:t xml:space="preserve"> estén específicamente establecidos por la ley o las </w:t>
      </w:r>
      <w:r w:rsidR="00A667F7" w:rsidRPr="00AE4E8D">
        <w:rPr>
          <w:w w:val="0"/>
          <w:lang w:val="es-ES"/>
        </w:rPr>
        <w:t>normas del BCRA</w:t>
      </w:r>
      <w:r w:rsidRPr="00AE4E8D">
        <w:rPr>
          <w:w w:val="0"/>
          <w:lang w:val="es-ES"/>
        </w:rPr>
        <w:t xml:space="preserve">, las actividades que pueden ser llevadas a cabo por las otras entidades financieras argentinas están detalladas en la </w:t>
      </w:r>
      <w:r w:rsidR="00A667F7" w:rsidRPr="00AE4E8D">
        <w:rPr>
          <w:lang w:val="es-ES"/>
        </w:rPr>
        <w:t>Ley de Entidades Financieras</w:t>
      </w:r>
      <w:r w:rsidRPr="00AE4E8D">
        <w:rPr>
          <w:w w:val="0"/>
          <w:lang w:val="es-ES"/>
        </w:rPr>
        <w:t xml:space="preserve"> y </w:t>
      </w:r>
      <w:r w:rsidRPr="00AE4E8D">
        <w:rPr>
          <w:w w:val="0"/>
          <w:lang w:val="es-ES"/>
        </w:rPr>
        <w:lastRenderedPageBreak/>
        <w:t xml:space="preserve">las normas del </w:t>
      </w:r>
      <w:r w:rsidR="002C3DEF" w:rsidRPr="00AE4E8D">
        <w:rPr>
          <w:w w:val="0"/>
          <w:lang w:val="es-ES"/>
        </w:rPr>
        <w:t>BCRA</w:t>
      </w:r>
      <w:r w:rsidRPr="00AE4E8D">
        <w:rPr>
          <w:w w:val="0"/>
          <w:lang w:val="es-ES"/>
        </w:rPr>
        <w:t xml:space="preserve"> relacionadas. Algunas de las actividades permitidas a los bancos comerciales incluyen la capacidad para: (i) recibir depósitos del público tanto en moneda local como extranjera; (ii) suscribir, adquirir, colocar o negociar títulos de deuda, incluidos títulos públicos, tanto en el mercado cambiario como en el mercado abierto (sujeto a previa aprobación por parte de la CNV, si corresponde); (iii) otorgar y recibir préstamos; (iv) garantizar las deudas de los clientes; (v) llevar a cabo operaciones de cambio en moneda extranjera; (vi) emitir tarjetas de crédito; (vii) actuar, sujeto a determinadas condiciones, como intermediarios en operaciones de bienes inmuebles; (viii) llevar a cabo operaciones de financiamiento comercial; (ix) actuar como agentes de registro de letras hipotecarias, (x) realizar transacciones en moneda extranjera y (xi) actuar como fiduciario en fideicomisos financieros. Además, de acuerdo con la </w:t>
      </w:r>
      <w:r w:rsidR="00A667F7" w:rsidRPr="00AE4E8D">
        <w:rPr>
          <w:lang w:val="es-ES"/>
        </w:rPr>
        <w:t>Ley de Entidades Financieras</w:t>
      </w:r>
      <w:r w:rsidRPr="00AE4E8D">
        <w:rPr>
          <w:w w:val="0"/>
          <w:lang w:val="es-ES"/>
        </w:rPr>
        <w:t xml:space="preserve">, y la Comunicación “A” 3086 del </w:t>
      </w:r>
      <w:r w:rsidR="002C3DEF" w:rsidRPr="00AE4E8D">
        <w:rPr>
          <w:w w:val="0"/>
          <w:lang w:val="es-ES"/>
        </w:rPr>
        <w:t>BCRA</w:t>
      </w:r>
      <w:r w:rsidRPr="00AE4E8D">
        <w:rPr>
          <w:w w:val="0"/>
          <w:lang w:val="es-ES"/>
        </w:rPr>
        <w:t xml:space="preserve">, y modificatoria, los bancos comerciales están autorizados a participar en sociedades comerciales, industriales, agropecuarias y de otros tipos que no presten servicios complementarios a los servicios bancarios (según se define en las normas del </w:t>
      </w:r>
      <w:r w:rsidR="002C3DEF" w:rsidRPr="00AE4E8D">
        <w:rPr>
          <w:w w:val="0"/>
          <w:lang w:val="es-ES"/>
        </w:rPr>
        <w:t>BCRA</w:t>
      </w:r>
      <w:r w:rsidRPr="00AE4E8D">
        <w:rPr>
          <w:w w:val="0"/>
          <w:lang w:val="es-ES"/>
        </w:rPr>
        <w:t xml:space="preserve"> correspondientes) en tanto la participación del banco comercial en tales sociedades no supere el 12,5% de sus acciones con derecho de voto o de su capital social. No obstante, en caso de exceder los límites mencionados anteriormente, el banco deberá (i) solicitar autorización al </w:t>
      </w:r>
      <w:r w:rsidR="002C3DEF" w:rsidRPr="00AE4E8D">
        <w:rPr>
          <w:w w:val="0"/>
          <w:lang w:val="es-ES"/>
        </w:rPr>
        <w:t>BCRA</w:t>
      </w:r>
      <w:r w:rsidRPr="00AE4E8D">
        <w:rPr>
          <w:w w:val="0"/>
          <w:lang w:val="es-ES"/>
        </w:rPr>
        <w:t xml:space="preserve">, o (ii) notificar dicha situación a la autoridad referida, según el caso. Sin embargo, </w:t>
      </w:r>
      <w:r w:rsidR="00F80D63" w:rsidRPr="00AE4E8D">
        <w:rPr>
          <w:w w:val="0"/>
          <w:lang w:val="es-ES"/>
        </w:rPr>
        <w:t>aun</w:t>
      </w:r>
      <w:r w:rsidRPr="00AE4E8D">
        <w:rPr>
          <w:w w:val="0"/>
          <w:lang w:val="es-ES"/>
        </w:rPr>
        <w:t xml:space="preserve"> cuando las participaciones de los bancos comerciales no alcancen tales porcentajes, éstos no tienen permiso para operar dichas sociedades si: (i) tales participaciones les permiten controlar una mayoría de votos suficientes para formar la voluntad social en una asamblea de accionistas o reunión del directorio, o (ii) el </w:t>
      </w:r>
      <w:r w:rsidR="002C3DEF" w:rsidRPr="00AE4E8D">
        <w:rPr>
          <w:w w:val="0"/>
          <w:lang w:val="es-ES"/>
        </w:rPr>
        <w:t>BCRA</w:t>
      </w:r>
      <w:r w:rsidRPr="00AE4E8D">
        <w:rPr>
          <w:w w:val="0"/>
          <w:lang w:val="es-ES"/>
        </w:rPr>
        <w:t xml:space="preserve"> no autoriza la adquisición.</w:t>
      </w:r>
    </w:p>
    <w:p w14:paraId="57DAEACE" w14:textId="77777777" w:rsidR="002E07D5" w:rsidRPr="00AE4E8D" w:rsidRDefault="002E07D5" w:rsidP="0018126C">
      <w:pPr>
        <w:pStyle w:val="BHTexto"/>
        <w:rPr>
          <w:w w:val="0"/>
          <w:lang w:val="es-ES"/>
        </w:rPr>
      </w:pPr>
      <w:r w:rsidRPr="00AE4E8D">
        <w:rPr>
          <w:w w:val="0"/>
          <w:lang w:val="es-ES"/>
        </w:rPr>
        <w:t xml:space="preserve">Asimismo, </w:t>
      </w:r>
      <w:r w:rsidRPr="00AE4E8D">
        <w:rPr>
          <w:lang w:val="es-ES"/>
        </w:rPr>
        <w:t>de conformidad con la Comunicación “A” 5700</w:t>
      </w:r>
      <w:r w:rsidR="00863248" w:rsidRPr="00AE4E8D">
        <w:rPr>
          <w:lang w:val="es-ES"/>
        </w:rPr>
        <w:t>, modificada por la Comunicación “A” 6304</w:t>
      </w:r>
      <w:r w:rsidRPr="00AE4E8D">
        <w:rPr>
          <w:lang w:val="es-ES"/>
        </w:rPr>
        <w:t xml:space="preserve">, los bancos comerciales pueden mantener participaciones en el capital de empresas del país o del exterior que tengan por objeto exclusivo una o dos de las actividades que se mencionan en el punto 2.2. </w:t>
      </w:r>
      <w:proofErr w:type="gramStart"/>
      <w:r w:rsidRPr="00AE4E8D">
        <w:rPr>
          <w:lang w:val="es-ES"/>
        </w:rPr>
        <w:t>de</w:t>
      </w:r>
      <w:proofErr w:type="gramEnd"/>
      <w:r w:rsidRPr="00AE4E8D">
        <w:rPr>
          <w:lang w:val="es-ES"/>
        </w:rPr>
        <w:t xml:space="preserve"> la Comunicación “A” 5700, cuando la participación del banco comercial fuera superior al 12,5% de las acciones con derechos de voto de dicha empresa o permitiera al banco comercial controlar la mayoría de votos en una asamblea de accionistas o reunión de Directorio. Si el objeto social de dichas empresas incluye dos de las actividades que se mencionan en el punto 2.2. </w:t>
      </w:r>
      <w:proofErr w:type="gramStart"/>
      <w:r w:rsidRPr="00AE4E8D">
        <w:rPr>
          <w:lang w:val="es-ES"/>
        </w:rPr>
        <w:t>de</w:t>
      </w:r>
      <w:proofErr w:type="gramEnd"/>
      <w:r w:rsidRPr="00AE4E8D">
        <w:rPr>
          <w:lang w:val="es-ES"/>
        </w:rPr>
        <w:t xml:space="preserve"> la Comunicación “A” 5700, se requerirá la autorización del </w:t>
      </w:r>
      <w:r w:rsidR="002C3DEF" w:rsidRPr="00AE4E8D">
        <w:rPr>
          <w:lang w:val="es-ES"/>
        </w:rPr>
        <w:t>BCRA</w:t>
      </w:r>
      <w:r w:rsidRPr="00AE4E8D">
        <w:rPr>
          <w:lang w:val="es-ES"/>
        </w:rPr>
        <w:t>.</w:t>
      </w:r>
    </w:p>
    <w:p w14:paraId="046ED26E" w14:textId="77777777" w:rsidR="002E07D5" w:rsidRPr="00AE4E8D" w:rsidRDefault="002E07D5" w:rsidP="0018126C">
      <w:pPr>
        <w:pStyle w:val="BHTexto"/>
        <w:rPr>
          <w:w w:val="0"/>
          <w:lang w:val="es-ES"/>
        </w:rPr>
      </w:pPr>
      <w:r w:rsidRPr="00AE4E8D">
        <w:rPr>
          <w:w w:val="0"/>
          <w:lang w:val="es-ES"/>
        </w:rPr>
        <w:t xml:space="preserve">Bajo las normas del </w:t>
      </w:r>
      <w:r w:rsidR="002C3DEF" w:rsidRPr="00AE4E8D">
        <w:rPr>
          <w:w w:val="0"/>
          <w:lang w:val="es-ES"/>
        </w:rPr>
        <w:t>BCRA</w:t>
      </w:r>
      <w:r w:rsidRPr="00AE4E8D">
        <w:rPr>
          <w:w w:val="0"/>
          <w:lang w:val="es-ES"/>
        </w:rPr>
        <w:t>, el monto total de las participaciones de un banco comercial en el capital social de terceros, incluidas las participaciones en fondos comunes de inversión, no puede superar el 50% de la Responsabilidad Patrimonial Computable (“RPC”) de dicho banco. Además, el monto total de las participaciones de un banco comercial, consideradas en conjunto, en: (i) acciones sin cotización, excluyendo las participaciones en sociedades que prestan servicios complementarios a la actividad financiera y participaciones en empresas del estado que prestan servicios públicos, (ii) acciones con cotización y cuotapartes en fondos comunes de inversión que no den lugar a requerimientos de capital mínimo sobre la base de riesgo de mercado, y (iii) acciones con cotización pública que no tienen un “precio de mercado disponible para el público en general,” está limitado al 25% de la RPC de dicho banco. A tal efecto, se considera que un determinado precio de mercado de las acciones está “disponible para el público en general” cuando se dispone de cotizaciones que midan el volumen diario de las operaciones significativas, y la venta de tales acciones en poder del banco no afectaría significativamente el listado de las acciones.</w:t>
      </w:r>
    </w:p>
    <w:p w14:paraId="2A8B8786" w14:textId="77777777" w:rsidR="002E07D5" w:rsidRPr="00AE4E8D" w:rsidRDefault="002E07D5" w:rsidP="0018126C">
      <w:pPr>
        <w:pStyle w:val="BH3Izquierda"/>
        <w:rPr>
          <w:rFonts w:eastAsia="MS Mincho"/>
          <w:lang w:val="es-ES"/>
        </w:rPr>
      </w:pPr>
      <w:bookmarkStart w:id="660" w:name="_Toc430186236"/>
      <w:r w:rsidRPr="00AE4E8D">
        <w:rPr>
          <w:rFonts w:eastAsia="MS Mincho"/>
          <w:lang w:val="es-ES"/>
        </w:rPr>
        <w:t xml:space="preserve">Operaciones y </w:t>
      </w:r>
      <w:bookmarkEnd w:id="660"/>
      <w:r w:rsidRPr="00AE4E8D">
        <w:rPr>
          <w:rFonts w:eastAsia="MS Mincho"/>
          <w:lang w:val="es-ES"/>
        </w:rPr>
        <w:t xml:space="preserve">actividades prohibidas y limitadas </w:t>
      </w:r>
    </w:p>
    <w:p w14:paraId="45DAF70C" w14:textId="77777777" w:rsidR="002E07D5" w:rsidRPr="00AE4E8D" w:rsidRDefault="002E07D5" w:rsidP="0018126C">
      <w:pPr>
        <w:pStyle w:val="BHTexto"/>
        <w:rPr>
          <w:lang w:val="es-ES"/>
        </w:rPr>
      </w:pPr>
      <w:r w:rsidRPr="00AE4E8D">
        <w:rPr>
          <w:lang w:val="es-ES"/>
        </w:rPr>
        <w:t xml:space="preserve">La </w:t>
      </w:r>
      <w:r w:rsidR="00A667F7" w:rsidRPr="00AE4E8D">
        <w:rPr>
          <w:lang w:val="es-ES"/>
        </w:rPr>
        <w:t>Ley de Entidades Financieras</w:t>
      </w:r>
      <w:r w:rsidRPr="00AE4E8D">
        <w:rPr>
          <w:lang w:val="es-ES"/>
        </w:rPr>
        <w:t xml:space="preserve"> prohíbe a los bancos comerciales: (a) constituir gravámenes sobre sus bienes sin previa autorización del </w:t>
      </w:r>
      <w:r w:rsidR="002C3DEF" w:rsidRPr="00AE4E8D">
        <w:rPr>
          <w:lang w:val="es-ES"/>
        </w:rPr>
        <w:t>BCRA</w:t>
      </w:r>
      <w:r w:rsidRPr="00AE4E8D">
        <w:rPr>
          <w:lang w:val="es-ES"/>
        </w:rPr>
        <w:t xml:space="preserve">, (b) aceptar en garantía sus propias acciones, (c) operar con sus directores o administradores y con empresas o personas vinculadas con ellos, en condiciones más favorables que las acordadas de ordinario a su clientela, y (d) explotar por cuenta propia empresas comerciales, industriales, agropecuarias, o de otra clase, salvo con expresa autorización del </w:t>
      </w:r>
      <w:r w:rsidR="002C3DEF" w:rsidRPr="00AE4E8D">
        <w:rPr>
          <w:lang w:val="es-ES"/>
        </w:rPr>
        <w:t>BCRA</w:t>
      </w:r>
      <w:r w:rsidRPr="00AE4E8D">
        <w:rPr>
          <w:lang w:val="es-ES"/>
        </w:rPr>
        <w:t xml:space="preserve">, excepto aquéllas consideradas actividades financieras según las normas del </w:t>
      </w:r>
      <w:r w:rsidR="002C3DEF" w:rsidRPr="00AE4E8D">
        <w:rPr>
          <w:lang w:val="es-ES"/>
        </w:rPr>
        <w:t>BCRA</w:t>
      </w:r>
      <w:r w:rsidRPr="00AE4E8D">
        <w:rPr>
          <w:lang w:val="es-ES"/>
        </w:rPr>
        <w:t xml:space="preserve">. No obstante lo antedicho, los bancos podrán ser titulares de acciones de otras entidades financieras, siempre que medie autorización del </w:t>
      </w:r>
      <w:r w:rsidR="002C3DEF" w:rsidRPr="00AE4E8D">
        <w:rPr>
          <w:lang w:val="es-ES"/>
        </w:rPr>
        <w:t>BCRA</w:t>
      </w:r>
      <w:r w:rsidRPr="00AE4E8D">
        <w:rPr>
          <w:lang w:val="es-ES"/>
        </w:rPr>
        <w:t>, y de acciones y obligaciones de empresas de servicios públicos en la medida en que sean necesarias para obtener su prestación.</w:t>
      </w:r>
    </w:p>
    <w:p w14:paraId="7C445941" w14:textId="77777777" w:rsidR="002E07D5" w:rsidRPr="00AE4E8D" w:rsidRDefault="002E07D5" w:rsidP="0018126C">
      <w:pPr>
        <w:pStyle w:val="BH3Izquierda"/>
        <w:rPr>
          <w:lang w:val="es-ES"/>
        </w:rPr>
      </w:pPr>
      <w:bookmarkStart w:id="661" w:name="_Toc430186237"/>
      <w:r w:rsidRPr="00AE4E8D">
        <w:rPr>
          <w:lang w:val="es-ES"/>
        </w:rPr>
        <w:t xml:space="preserve">Requisitos de liquidez y </w:t>
      </w:r>
      <w:bookmarkEnd w:id="661"/>
      <w:r w:rsidRPr="00AE4E8D">
        <w:rPr>
          <w:lang w:val="es-ES"/>
        </w:rPr>
        <w:t>solvencia</w:t>
      </w:r>
    </w:p>
    <w:p w14:paraId="652100E8" w14:textId="77777777" w:rsidR="002E07D5" w:rsidRPr="00AE4E8D" w:rsidRDefault="002E07D5" w:rsidP="0018126C">
      <w:pPr>
        <w:pStyle w:val="BH4Cursiva"/>
        <w:rPr>
          <w:lang w:val="es-ES"/>
        </w:rPr>
      </w:pPr>
      <w:r w:rsidRPr="00AE4E8D">
        <w:rPr>
          <w:lang w:val="es-ES"/>
        </w:rPr>
        <w:t>Fondo de reserva legal</w:t>
      </w:r>
    </w:p>
    <w:p w14:paraId="3E2CAC82" w14:textId="77777777" w:rsidR="002E07D5" w:rsidRPr="00AE4E8D" w:rsidRDefault="002E07D5" w:rsidP="0018126C">
      <w:pPr>
        <w:pStyle w:val="BHTexto"/>
        <w:rPr>
          <w:lang w:val="es-ES"/>
        </w:rPr>
      </w:pPr>
      <w:r w:rsidRPr="00AE4E8D">
        <w:rPr>
          <w:lang w:val="es-ES"/>
        </w:rPr>
        <w:t xml:space="preserve">De acuerdo con las disposiciones de la </w:t>
      </w:r>
      <w:r w:rsidR="00A667F7" w:rsidRPr="00AE4E8D">
        <w:rPr>
          <w:lang w:val="es-ES"/>
        </w:rPr>
        <w:t>Ley de Entidades Financieras</w:t>
      </w:r>
      <w:r w:rsidRPr="00AE4E8D">
        <w:rPr>
          <w:lang w:val="es-ES"/>
        </w:rPr>
        <w:t xml:space="preserve"> y las normas del </w:t>
      </w:r>
      <w:r w:rsidR="002C3DEF" w:rsidRPr="00AE4E8D">
        <w:rPr>
          <w:lang w:val="es-ES"/>
        </w:rPr>
        <w:t>BCRA</w:t>
      </w:r>
      <w:r w:rsidRPr="00AE4E8D">
        <w:rPr>
          <w:lang w:val="es-ES"/>
        </w:rPr>
        <w:t xml:space="preserve">, las entidades financieras deben destinar anualmente al fondo de reserva legal una proporción de sus </w:t>
      </w:r>
      <w:r w:rsidRPr="00AE4E8D">
        <w:rPr>
          <w:lang w:val="es-ES"/>
        </w:rPr>
        <w:lastRenderedPageBreak/>
        <w:t>utilidades que no será inferior al 10% ni superior al 20%. Esta reserva legal sólo puede ser utilizada cuando la entidad financiera ha incurrido en pérdidas y ha agotado todas las demás reservas. Si una entidad financiera no cumple con esta exigencia, no podrá pagar dividendos a sus accionistas. Para mayor aclaración, véase “Reseña y Perspectiva Operativa y Financiera”.</w:t>
      </w:r>
    </w:p>
    <w:p w14:paraId="52E2C41A" w14:textId="77777777" w:rsidR="002E07D5" w:rsidRPr="00AE4E8D" w:rsidRDefault="002E07D5" w:rsidP="00B52753">
      <w:pPr>
        <w:spacing w:after="240"/>
        <w:jc w:val="both"/>
        <w:rPr>
          <w:rFonts w:ascii="Times New Roman" w:hAnsi="Times New Roman"/>
          <w:b/>
          <w:i/>
          <w:lang w:val="es-ES"/>
        </w:rPr>
      </w:pPr>
      <w:bookmarkStart w:id="662" w:name="_Toc430186239"/>
      <w:r w:rsidRPr="00AE4E8D">
        <w:rPr>
          <w:rFonts w:ascii="Times New Roman" w:hAnsi="Times New Roman"/>
          <w:b/>
          <w:i/>
          <w:lang w:val="es-ES"/>
        </w:rPr>
        <w:t xml:space="preserve">Activos </w:t>
      </w:r>
      <w:bookmarkEnd w:id="662"/>
      <w:r w:rsidRPr="00AE4E8D">
        <w:rPr>
          <w:rFonts w:ascii="Times New Roman" w:hAnsi="Times New Roman"/>
          <w:b/>
          <w:i/>
          <w:lang w:val="es-ES" w:eastAsia="es-ES"/>
        </w:rPr>
        <w:t>no líquidos</w:t>
      </w:r>
    </w:p>
    <w:p w14:paraId="608A0138" w14:textId="77777777" w:rsidR="002E07D5" w:rsidRPr="00AE4E8D" w:rsidRDefault="002E07D5" w:rsidP="0018126C">
      <w:pPr>
        <w:pStyle w:val="BHTexto"/>
        <w:rPr>
          <w:lang w:val="es-ES"/>
        </w:rPr>
      </w:pPr>
      <w:r w:rsidRPr="00AE4E8D">
        <w:rPr>
          <w:lang w:val="es-ES"/>
        </w:rPr>
        <w:t>A partir de febrero de 2004, los activos no líquidos (computados sobre la base del saldo al cierre al último día de cada mes, y neto de los activos que se deducen para computar el capital regulatorio) más el financiamiento otorgado a partes relacionadas con entidades financieras (computado sobre la base del saldo más alto durante cada mes para cada cliente) no puede exceder el 100% del capital regulatorio de la entidad financiera, con excepción de ciertos casos particulares en los que se puede exceder hasta el 150%.</w:t>
      </w:r>
    </w:p>
    <w:p w14:paraId="295DB123" w14:textId="77777777" w:rsidR="002E07D5" w:rsidRPr="00AE4E8D" w:rsidRDefault="002E07D5" w:rsidP="0018126C">
      <w:pPr>
        <w:pStyle w:val="BHTexto"/>
        <w:rPr>
          <w:lang w:val="es-ES"/>
        </w:rPr>
      </w:pPr>
      <w:r w:rsidRPr="00AE4E8D">
        <w:rPr>
          <w:lang w:val="es-ES"/>
        </w:rPr>
        <w:t>Los activos no líquidos consisten en activos y créditos diversos, mobiliario e instalaciones, activos dados como garantía de obligaciones, salvo las operaciones con swaps, futuros y derivados, determinados bienes intangibles y participaciones en otras sociedades sin cotización o acciones con cotización, si la tenencia supera el 2,5% del capital de la sociedad emisora. El incumplimiento de los índices produce un aumento en las exigencias de capital mínimo equivalente al 100% del exceso del índice.</w:t>
      </w:r>
    </w:p>
    <w:p w14:paraId="0A6165DB" w14:textId="77777777" w:rsidR="002E07D5" w:rsidRPr="00AE4E8D" w:rsidRDefault="002E07D5" w:rsidP="0018126C">
      <w:pPr>
        <w:pStyle w:val="BH4Cursiva"/>
        <w:rPr>
          <w:lang w:val="es-ES"/>
        </w:rPr>
      </w:pPr>
      <w:r w:rsidRPr="00AE4E8D">
        <w:rPr>
          <w:lang w:val="es-ES"/>
        </w:rPr>
        <w:t>Exigencias de capital mínimo</w:t>
      </w:r>
    </w:p>
    <w:p w14:paraId="558D49BD" w14:textId="77777777" w:rsidR="002E07D5" w:rsidRPr="00AE4E8D" w:rsidRDefault="002E07D5" w:rsidP="0018126C">
      <w:pPr>
        <w:pStyle w:val="BHTexto"/>
        <w:rPr>
          <w:lang w:val="es-ES"/>
        </w:rPr>
      </w:pPr>
      <w:r w:rsidRPr="00AE4E8D">
        <w:rPr>
          <w:lang w:val="es-ES"/>
        </w:rPr>
        <w:t xml:space="preserve">El </w:t>
      </w:r>
      <w:r w:rsidR="002C3DEF" w:rsidRPr="00AE4E8D">
        <w:rPr>
          <w:lang w:val="es-ES"/>
        </w:rPr>
        <w:t>BCRA</w:t>
      </w:r>
      <w:r w:rsidRPr="00AE4E8D">
        <w:rPr>
          <w:lang w:val="es-ES"/>
        </w:rPr>
        <w:t xml:space="preserve"> exige que las entidades financieras integren montos mínimos de capital sobre la base de los saldos al cierre de cada mes. Dicho monto mínimo de capital se define como el mayor valor que resulte de la comparación entre (i) la exigencia básica y (ii) la suma del riesgo de crédito, riesgo operacional y riesgo de mercado. Las entidades financieras (junto con sus sucursales en Argentina y en el exterior) deben cumplir con los requisitos de capital mínimo tanto en forma individual como consolidada.</w:t>
      </w:r>
    </w:p>
    <w:p w14:paraId="2852C6EE" w14:textId="77777777" w:rsidR="002E07D5" w:rsidRPr="00AE4E8D" w:rsidRDefault="002E07D5" w:rsidP="0018126C">
      <w:pPr>
        <w:pStyle w:val="BHTexto"/>
        <w:rPr>
          <w:lang w:val="es-ES"/>
        </w:rPr>
      </w:pPr>
      <w:r w:rsidRPr="00AE4E8D">
        <w:rPr>
          <w:lang w:val="es-ES"/>
        </w:rPr>
        <w:t xml:space="preserve">Los bancos comerciales por función de custodia de los títulos representativos de las inversiones del Fondo de Garantía de Sustentabilidad del Sistema Integrado Previsional Argentino y/o de agente de registro de letras hipotecarias escriturales tendrán que registrar un exceso de responsabilidad patrimonial computable respecto de la exigencia de capital mínimo equivalente al 0,25% del importe de los valores en custodia y/o letras hipotecarias y que deberá mantenerse invertido en títulos públicos nacionales o en instrumentos de regulación monetaria. </w:t>
      </w:r>
    </w:p>
    <w:p w14:paraId="0AA66830" w14:textId="77777777" w:rsidR="002E07D5" w:rsidRPr="00AE4E8D" w:rsidRDefault="002E07D5" w:rsidP="0018126C">
      <w:pPr>
        <w:pStyle w:val="BHTexto"/>
        <w:rPr>
          <w:lang w:val="es-ES"/>
        </w:rPr>
      </w:pPr>
      <w:r w:rsidRPr="00AE4E8D">
        <w:rPr>
          <w:lang w:val="es-ES"/>
        </w:rPr>
        <w:t xml:space="preserve">Asimismo, según la Comunicación “A” 5694 del </w:t>
      </w:r>
      <w:r w:rsidR="002C3DEF" w:rsidRPr="00AE4E8D">
        <w:rPr>
          <w:lang w:val="es-ES"/>
        </w:rPr>
        <w:t>BCRA</w:t>
      </w:r>
      <w:r w:rsidRPr="00AE4E8D">
        <w:rPr>
          <w:lang w:val="es-ES"/>
        </w:rPr>
        <w:t xml:space="preserve">, las entidades financieras calificadas como de importancia sistémica local (D-SIBs), deberán observar una exigencia de capital adicional equivalente al 1% del total los activos ponderados por riesgo (APR), exclusivamente con capital ordinario de nivel uno (COn1), conforme al cronograma establecido más adelante (actualmente, los APR surgen de multiplicar las exigencias de capital mínimo establecidas por las regulaciones del </w:t>
      </w:r>
      <w:r w:rsidR="002C3DEF" w:rsidRPr="00AE4E8D">
        <w:rPr>
          <w:lang w:val="es-ES"/>
        </w:rPr>
        <w:t>BCRA</w:t>
      </w:r>
      <w:r w:rsidRPr="00AE4E8D">
        <w:rPr>
          <w:lang w:val="es-ES"/>
        </w:rPr>
        <w:t xml:space="preserve"> por 12,5):</w:t>
      </w:r>
    </w:p>
    <w:tbl>
      <w:tblPr>
        <w:tblW w:w="5000" w:type="pct"/>
        <w:tblLook w:val="04A0" w:firstRow="1" w:lastRow="0" w:firstColumn="1" w:lastColumn="0" w:noHBand="0" w:noVBand="1"/>
      </w:tblPr>
      <w:tblGrid>
        <w:gridCol w:w="1700"/>
        <w:gridCol w:w="1709"/>
        <w:gridCol w:w="1699"/>
        <w:gridCol w:w="1729"/>
        <w:gridCol w:w="1884"/>
      </w:tblGrid>
      <w:tr w:rsidR="008635F4" w:rsidRPr="00AE4E8D" w14:paraId="49026CFD" w14:textId="77777777" w:rsidTr="000400C8">
        <w:trPr>
          <w:tblHeader/>
        </w:trPr>
        <w:tc>
          <w:tcPr>
            <w:tcW w:w="975" w:type="pct"/>
            <w:tcBorders>
              <w:bottom w:val="single" w:sz="4" w:space="0" w:color="auto"/>
            </w:tcBorders>
            <w:vAlign w:val="bottom"/>
          </w:tcPr>
          <w:p w14:paraId="2CF7B71B"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lang w:val="es-ES"/>
              </w:rPr>
            </w:pPr>
          </w:p>
        </w:tc>
        <w:tc>
          <w:tcPr>
            <w:tcW w:w="980" w:type="pct"/>
            <w:tcBorders>
              <w:bottom w:val="single" w:sz="4" w:space="0" w:color="auto"/>
            </w:tcBorders>
            <w:vAlign w:val="bottom"/>
          </w:tcPr>
          <w:p w14:paraId="36384D18" w14:textId="77777777" w:rsidR="008635F4" w:rsidRPr="00AE4E8D" w:rsidRDefault="008635F4" w:rsidP="00C1450C">
            <w:pPr>
              <w:tabs>
                <w:tab w:val="left" w:pos="142"/>
              </w:tabs>
              <w:autoSpaceDE w:val="0"/>
              <w:autoSpaceDN w:val="0"/>
              <w:adjustRightInd w:val="0"/>
              <w:contextualSpacing/>
              <w:jc w:val="center"/>
              <w:rPr>
                <w:rFonts w:ascii="Times New Roman" w:hAnsi="Times New Roman"/>
                <w:b/>
                <w:sz w:val="16"/>
                <w:lang w:val="es-ES"/>
              </w:rPr>
            </w:pPr>
            <w:r w:rsidRPr="00AE4E8D">
              <w:rPr>
                <w:rFonts w:ascii="Times New Roman" w:hAnsi="Times New Roman"/>
                <w:b/>
                <w:sz w:val="16"/>
                <w:szCs w:val="16"/>
                <w:lang w:val="es-ES" w:eastAsia="es-AR"/>
              </w:rPr>
              <w:t>Enero/Marzo</w:t>
            </w:r>
          </w:p>
        </w:tc>
        <w:tc>
          <w:tcPr>
            <w:tcW w:w="974" w:type="pct"/>
            <w:tcBorders>
              <w:bottom w:val="single" w:sz="4" w:space="0" w:color="auto"/>
            </w:tcBorders>
            <w:vAlign w:val="bottom"/>
          </w:tcPr>
          <w:p w14:paraId="28F253BB" w14:textId="77777777" w:rsidR="008635F4" w:rsidRPr="00AE4E8D" w:rsidRDefault="008635F4" w:rsidP="00C1450C">
            <w:pPr>
              <w:tabs>
                <w:tab w:val="left" w:pos="142"/>
              </w:tabs>
              <w:autoSpaceDE w:val="0"/>
              <w:autoSpaceDN w:val="0"/>
              <w:adjustRightInd w:val="0"/>
              <w:contextualSpacing/>
              <w:jc w:val="center"/>
              <w:rPr>
                <w:rFonts w:ascii="Times New Roman" w:hAnsi="Times New Roman"/>
                <w:b/>
                <w:sz w:val="16"/>
                <w:lang w:val="es-ES"/>
              </w:rPr>
            </w:pPr>
            <w:r w:rsidRPr="00AE4E8D">
              <w:rPr>
                <w:rFonts w:ascii="Times New Roman" w:hAnsi="Times New Roman"/>
                <w:b/>
                <w:sz w:val="16"/>
                <w:szCs w:val="16"/>
                <w:lang w:val="es-ES" w:eastAsia="es-AR"/>
              </w:rPr>
              <w:t>Abril/Junio</w:t>
            </w:r>
          </w:p>
        </w:tc>
        <w:tc>
          <w:tcPr>
            <w:tcW w:w="991" w:type="pct"/>
            <w:tcBorders>
              <w:bottom w:val="single" w:sz="4" w:space="0" w:color="auto"/>
            </w:tcBorders>
            <w:vAlign w:val="bottom"/>
          </w:tcPr>
          <w:p w14:paraId="738307BE" w14:textId="77777777" w:rsidR="008635F4" w:rsidRPr="00AE4E8D" w:rsidRDefault="008635F4" w:rsidP="00C1450C">
            <w:pPr>
              <w:tabs>
                <w:tab w:val="left" w:pos="142"/>
              </w:tabs>
              <w:autoSpaceDE w:val="0"/>
              <w:autoSpaceDN w:val="0"/>
              <w:adjustRightInd w:val="0"/>
              <w:contextualSpacing/>
              <w:jc w:val="center"/>
              <w:rPr>
                <w:rFonts w:ascii="Times New Roman" w:hAnsi="Times New Roman"/>
                <w:b/>
                <w:sz w:val="16"/>
                <w:szCs w:val="16"/>
                <w:lang w:val="es-ES" w:eastAsia="es-AR"/>
              </w:rPr>
            </w:pPr>
            <w:r w:rsidRPr="00AE4E8D">
              <w:rPr>
                <w:rFonts w:ascii="Times New Roman" w:hAnsi="Times New Roman"/>
                <w:b/>
                <w:sz w:val="16"/>
                <w:szCs w:val="16"/>
                <w:lang w:val="es-ES" w:eastAsia="es-AR"/>
              </w:rPr>
              <w:t>Julio/Septiembre</w:t>
            </w:r>
          </w:p>
        </w:tc>
        <w:tc>
          <w:tcPr>
            <w:tcW w:w="1080" w:type="pct"/>
            <w:tcBorders>
              <w:bottom w:val="single" w:sz="4" w:space="0" w:color="auto"/>
            </w:tcBorders>
            <w:vAlign w:val="bottom"/>
          </w:tcPr>
          <w:p w14:paraId="04CD09ED" w14:textId="77777777" w:rsidR="008635F4" w:rsidRPr="00AE4E8D" w:rsidRDefault="008635F4" w:rsidP="00C1450C">
            <w:pPr>
              <w:tabs>
                <w:tab w:val="left" w:pos="142"/>
              </w:tabs>
              <w:autoSpaceDE w:val="0"/>
              <w:autoSpaceDN w:val="0"/>
              <w:adjustRightInd w:val="0"/>
              <w:contextualSpacing/>
              <w:jc w:val="center"/>
              <w:rPr>
                <w:rFonts w:ascii="Times New Roman" w:hAnsi="Times New Roman"/>
                <w:b/>
                <w:sz w:val="16"/>
                <w:szCs w:val="16"/>
                <w:lang w:val="es-ES" w:eastAsia="es-AR"/>
              </w:rPr>
            </w:pPr>
            <w:r w:rsidRPr="00AE4E8D">
              <w:rPr>
                <w:rFonts w:ascii="Times New Roman" w:hAnsi="Times New Roman"/>
                <w:b/>
                <w:sz w:val="16"/>
                <w:szCs w:val="16"/>
                <w:lang w:val="es-ES" w:eastAsia="es-AR"/>
              </w:rPr>
              <w:t>Octubre/Diciembre</w:t>
            </w:r>
          </w:p>
        </w:tc>
      </w:tr>
      <w:tr w:rsidR="008635F4" w:rsidRPr="00AE4E8D" w14:paraId="3117D2C1" w14:textId="77777777" w:rsidTr="000400C8">
        <w:tc>
          <w:tcPr>
            <w:tcW w:w="975" w:type="pct"/>
            <w:tcBorders>
              <w:top w:val="single" w:sz="4" w:space="0" w:color="auto"/>
            </w:tcBorders>
            <w:vAlign w:val="bottom"/>
          </w:tcPr>
          <w:p w14:paraId="7D1BFFF8"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2016</w:t>
            </w:r>
          </w:p>
        </w:tc>
        <w:tc>
          <w:tcPr>
            <w:tcW w:w="980" w:type="pct"/>
            <w:tcBorders>
              <w:top w:val="single" w:sz="4" w:space="0" w:color="auto"/>
            </w:tcBorders>
            <w:vAlign w:val="bottom"/>
          </w:tcPr>
          <w:p w14:paraId="3637DA09"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0,075</w:t>
            </w:r>
          </w:p>
        </w:tc>
        <w:tc>
          <w:tcPr>
            <w:tcW w:w="974" w:type="pct"/>
            <w:tcBorders>
              <w:top w:val="single" w:sz="4" w:space="0" w:color="auto"/>
            </w:tcBorders>
            <w:vAlign w:val="bottom"/>
          </w:tcPr>
          <w:p w14:paraId="17B45860"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0,15</w:t>
            </w:r>
          </w:p>
        </w:tc>
        <w:tc>
          <w:tcPr>
            <w:tcW w:w="991" w:type="pct"/>
            <w:tcBorders>
              <w:top w:val="single" w:sz="4" w:space="0" w:color="auto"/>
            </w:tcBorders>
            <w:vAlign w:val="bottom"/>
          </w:tcPr>
          <w:p w14:paraId="7CAF0AD3"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0,225</w:t>
            </w:r>
          </w:p>
        </w:tc>
        <w:tc>
          <w:tcPr>
            <w:tcW w:w="1080" w:type="pct"/>
            <w:tcBorders>
              <w:top w:val="single" w:sz="4" w:space="0" w:color="auto"/>
            </w:tcBorders>
            <w:vAlign w:val="bottom"/>
          </w:tcPr>
          <w:p w14:paraId="623F4A72"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0,3</w:t>
            </w:r>
          </w:p>
        </w:tc>
      </w:tr>
      <w:tr w:rsidR="008635F4" w:rsidRPr="00AE4E8D" w14:paraId="632204C6" w14:textId="77777777" w:rsidTr="000400C8">
        <w:tc>
          <w:tcPr>
            <w:tcW w:w="975" w:type="pct"/>
            <w:vAlign w:val="bottom"/>
          </w:tcPr>
          <w:p w14:paraId="79FCF9B2"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2017</w:t>
            </w:r>
          </w:p>
        </w:tc>
        <w:tc>
          <w:tcPr>
            <w:tcW w:w="980" w:type="pct"/>
            <w:vAlign w:val="bottom"/>
          </w:tcPr>
          <w:p w14:paraId="79041BB8"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0,375</w:t>
            </w:r>
          </w:p>
        </w:tc>
        <w:tc>
          <w:tcPr>
            <w:tcW w:w="974" w:type="pct"/>
            <w:vAlign w:val="bottom"/>
          </w:tcPr>
          <w:p w14:paraId="2DA85E00"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0,45</w:t>
            </w:r>
          </w:p>
        </w:tc>
        <w:tc>
          <w:tcPr>
            <w:tcW w:w="991" w:type="pct"/>
            <w:vAlign w:val="bottom"/>
          </w:tcPr>
          <w:p w14:paraId="2F2AFF17"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0,525</w:t>
            </w:r>
          </w:p>
        </w:tc>
        <w:tc>
          <w:tcPr>
            <w:tcW w:w="1080" w:type="pct"/>
            <w:vAlign w:val="bottom"/>
          </w:tcPr>
          <w:p w14:paraId="1F88EE13"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0,6</w:t>
            </w:r>
          </w:p>
        </w:tc>
      </w:tr>
      <w:tr w:rsidR="008635F4" w:rsidRPr="00AE4E8D" w14:paraId="671118A9" w14:textId="77777777" w:rsidTr="000400C8">
        <w:tc>
          <w:tcPr>
            <w:tcW w:w="975" w:type="pct"/>
            <w:vAlign w:val="bottom"/>
          </w:tcPr>
          <w:p w14:paraId="2B1E10C6"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2018</w:t>
            </w:r>
          </w:p>
        </w:tc>
        <w:tc>
          <w:tcPr>
            <w:tcW w:w="980" w:type="pct"/>
            <w:vAlign w:val="bottom"/>
          </w:tcPr>
          <w:p w14:paraId="3B764489"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0,675</w:t>
            </w:r>
          </w:p>
        </w:tc>
        <w:tc>
          <w:tcPr>
            <w:tcW w:w="974" w:type="pct"/>
            <w:vAlign w:val="bottom"/>
          </w:tcPr>
          <w:p w14:paraId="433015FC"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0,75</w:t>
            </w:r>
          </w:p>
        </w:tc>
        <w:tc>
          <w:tcPr>
            <w:tcW w:w="991" w:type="pct"/>
            <w:vAlign w:val="bottom"/>
          </w:tcPr>
          <w:p w14:paraId="26C832B3"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0,825</w:t>
            </w:r>
          </w:p>
        </w:tc>
        <w:tc>
          <w:tcPr>
            <w:tcW w:w="1080" w:type="pct"/>
            <w:vAlign w:val="bottom"/>
          </w:tcPr>
          <w:p w14:paraId="694DC1CF"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0,9</w:t>
            </w:r>
          </w:p>
        </w:tc>
      </w:tr>
      <w:tr w:rsidR="008635F4" w:rsidRPr="00AE4E8D" w14:paraId="1B6C803A" w14:textId="77777777" w:rsidTr="000400C8">
        <w:tc>
          <w:tcPr>
            <w:tcW w:w="975" w:type="pct"/>
            <w:vAlign w:val="bottom"/>
          </w:tcPr>
          <w:p w14:paraId="15EBEBE8"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lang w:val="es-ES"/>
              </w:rPr>
            </w:pPr>
            <w:r w:rsidRPr="00AE4E8D">
              <w:rPr>
                <w:rFonts w:ascii="Times New Roman" w:hAnsi="Times New Roman"/>
                <w:sz w:val="16"/>
                <w:szCs w:val="16"/>
                <w:lang w:val="es-ES" w:eastAsia="es-AR"/>
              </w:rPr>
              <w:t>A partir</w:t>
            </w:r>
            <w:r w:rsidRPr="00AE4E8D">
              <w:rPr>
                <w:rFonts w:ascii="Times New Roman" w:hAnsi="Times New Roman"/>
                <w:sz w:val="16"/>
                <w:lang w:val="es-ES"/>
              </w:rPr>
              <w:t xml:space="preserve"> de </w:t>
            </w:r>
            <w:r w:rsidRPr="00AE4E8D">
              <w:rPr>
                <w:rFonts w:ascii="Times New Roman" w:hAnsi="Times New Roman"/>
                <w:sz w:val="16"/>
                <w:szCs w:val="16"/>
                <w:lang w:val="es-ES" w:eastAsia="es-AR"/>
              </w:rPr>
              <w:t>enero 2019</w:t>
            </w:r>
          </w:p>
        </w:tc>
        <w:tc>
          <w:tcPr>
            <w:tcW w:w="980" w:type="pct"/>
            <w:vAlign w:val="bottom"/>
          </w:tcPr>
          <w:p w14:paraId="16C5D4F6"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p>
        </w:tc>
        <w:tc>
          <w:tcPr>
            <w:tcW w:w="974" w:type="pct"/>
            <w:vAlign w:val="bottom"/>
          </w:tcPr>
          <w:p w14:paraId="3E87A541"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p>
        </w:tc>
        <w:tc>
          <w:tcPr>
            <w:tcW w:w="991" w:type="pct"/>
            <w:vAlign w:val="bottom"/>
          </w:tcPr>
          <w:p w14:paraId="74DB77D1"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r w:rsidRPr="00AE4E8D">
              <w:rPr>
                <w:rFonts w:ascii="Times New Roman" w:hAnsi="Times New Roman"/>
                <w:sz w:val="16"/>
                <w:szCs w:val="16"/>
                <w:lang w:val="es-ES" w:eastAsia="es-AR"/>
              </w:rPr>
              <w:t>1</w:t>
            </w:r>
          </w:p>
        </w:tc>
        <w:tc>
          <w:tcPr>
            <w:tcW w:w="1080" w:type="pct"/>
            <w:vAlign w:val="bottom"/>
          </w:tcPr>
          <w:p w14:paraId="22907886" w14:textId="77777777" w:rsidR="008635F4" w:rsidRPr="00AE4E8D" w:rsidRDefault="008635F4" w:rsidP="00C1450C">
            <w:pPr>
              <w:tabs>
                <w:tab w:val="left" w:pos="142"/>
              </w:tabs>
              <w:autoSpaceDE w:val="0"/>
              <w:autoSpaceDN w:val="0"/>
              <w:adjustRightInd w:val="0"/>
              <w:contextualSpacing/>
              <w:jc w:val="center"/>
              <w:rPr>
                <w:rFonts w:ascii="Times New Roman" w:hAnsi="Times New Roman"/>
                <w:sz w:val="16"/>
                <w:szCs w:val="16"/>
                <w:lang w:val="es-ES" w:eastAsia="es-AR"/>
              </w:rPr>
            </w:pPr>
          </w:p>
        </w:tc>
      </w:tr>
    </w:tbl>
    <w:p w14:paraId="2C7FF8DA" w14:textId="77777777" w:rsidR="002E07D5" w:rsidRPr="00AE4E8D" w:rsidRDefault="002E07D5" w:rsidP="0018126C">
      <w:pPr>
        <w:pStyle w:val="BHTexto"/>
        <w:rPr>
          <w:lang w:val="es-ES"/>
        </w:rPr>
      </w:pPr>
      <w:r w:rsidRPr="00AE4E8D">
        <w:rPr>
          <w:lang w:val="es-ES"/>
        </w:rPr>
        <w:t>El Banco no califica como una entidad de importancia sistémica local.</w:t>
      </w:r>
    </w:p>
    <w:p w14:paraId="447A9D7C" w14:textId="77777777" w:rsidR="002E07D5" w:rsidRPr="00AE4E8D" w:rsidRDefault="002E07D5" w:rsidP="0018126C">
      <w:pPr>
        <w:pStyle w:val="BH4Cursiva"/>
        <w:rPr>
          <w:lang w:val="es-ES"/>
        </w:rPr>
      </w:pPr>
      <w:r w:rsidRPr="00AE4E8D">
        <w:rPr>
          <w:lang w:val="es-ES"/>
        </w:rPr>
        <w:t>Capital mínimo básico</w:t>
      </w:r>
    </w:p>
    <w:p w14:paraId="2EF8732B" w14:textId="77777777" w:rsidR="002E07D5" w:rsidRPr="00AE4E8D" w:rsidRDefault="002E07D5" w:rsidP="0018126C">
      <w:pPr>
        <w:pStyle w:val="BHTexto"/>
        <w:rPr>
          <w:lang w:val="es-ES"/>
        </w:rPr>
      </w:pPr>
      <w:r w:rsidRPr="00AE4E8D">
        <w:rPr>
          <w:lang w:val="es-ES"/>
        </w:rPr>
        <w:t>La exigencia de capital mínimo básico varía según el tipo de entidad financiera y la jurisdicción en que se encuentre radicada su sede principal, Ps. 26 millones para los bancos en las categorías I y II (Ps. 12 millones para las restantes entidades de esta categoría), y Ps. 15 millones para los bancos de las categorías III y IV (Ps. 8 millones para las restantes entidades de esta categoría).</w:t>
      </w:r>
    </w:p>
    <w:tbl>
      <w:tblPr>
        <w:tblW w:w="5000" w:type="pct"/>
        <w:tblLook w:val="0000" w:firstRow="0" w:lastRow="0" w:firstColumn="0" w:lastColumn="0" w:noHBand="0" w:noVBand="0"/>
      </w:tblPr>
      <w:tblGrid>
        <w:gridCol w:w="2029"/>
        <w:gridCol w:w="3265"/>
        <w:gridCol w:w="3427"/>
      </w:tblGrid>
      <w:tr w:rsidR="002E07D5" w:rsidRPr="00AE4E8D" w14:paraId="05B583C7" w14:textId="77777777" w:rsidTr="000400C8">
        <w:tc>
          <w:tcPr>
            <w:tcW w:w="1163" w:type="pct"/>
            <w:tcBorders>
              <w:top w:val="nil"/>
              <w:left w:val="nil"/>
              <w:bottom w:val="nil"/>
              <w:right w:val="nil"/>
            </w:tcBorders>
          </w:tcPr>
          <w:p w14:paraId="0C66F94A" w14:textId="77777777" w:rsidR="002E07D5" w:rsidRPr="00AE4E8D" w:rsidRDefault="002E07D5" w:rsidP="0014790B">
            <w:pPr>
              <w:pBdr>
                <w:bottom w:val="single" w:sz="4" w:space="1" w:color="000000"/>
              </w:pBdr>
              <w:autoSpaceDE w:val="0"/>
              <w:autoSpaceDN w:val="0"/>
              <w:adjustRightInd w:val="0"/>
              <w:rPr>
                <w:rFonts w:ascii="Times New Roman" w:hAnsi="Times New Roman"/>
                <w:b/>
                <w:sz w:val="16"/>
                <w:szCs w:val="16"/>
                <w:lang w:val="es-ES"/>
              </w:rPr>
            </w:pPr>
            <w:r w:rsidRPr="00AE4E8D">
              <w:rPr>
                <w:rFonts w:ascii="Times New Roman" w:hAnsi="Times New Roman"/>
                <w:b/>
                <w:sz w:val="16"/>
                <w:szCs w:val="16"/>
                <w:lang w:val="es-ES"/>
              </w:rPr>
              <w:t>Categorías</w:t>
            </w:r>
          </w:p>
        </w:tc>
        <w:tc>
          <w:tcPr>
            <w:tcW w:w="1872" w:type="pct"/>
            <w:tcBorders>
              <w:top w:val="nil"/>
              <w:left w:val="nil"/>
              <w:bottom w:val="nil"/>
              <w:right w:val="nil"/>
            </w:tcBorders>
          </w:tcPr>
          <w:p w14:paraId="657635FE" w14:textId="77777777" w:rsidR="002E07D5" w:rsidRPr="00AE4E8D" w:rsidRDefault="002E07D5" w:rsidP="0014790B">
            <w:pPr>
              <w:pBdr>
                <w:bottom w:val="single" w:sz="4" w:space="1" w:color="000000"/>
              </w:pBdr>
              <w:autoSpaceDE w:val="0"/>
              <w:autoSpaceDN w:val="0"/>
              <w:adjustRightInd w:val="0"/>
              <w:rPr>
                <w:rFonts w:ascii="Times New Roman" w:hAnsi="Times New Roman"/>
                <w:b/>
                <w:sz w:val="16"/>
                <w:szCs w:val="16"/>
                <w:lang w:val="es-ES"/>
              </w:rPr>
            </w:pPr>
            <w:r w:rsidRPr="00AE4E8D">
              <w:rPr>
                <w:rFonts w:ascii="Times New Roman" w:hAnsi="Times New Roman"/>
                <w:b/>
                <w:sz w:val="16"/>
                <w:szCs w:val="16"/>
                <w:lang w:val="es-ES"/>
              </w:rPr>
              <w:t>Bancos</w:t>
            </w:r>
          </w:p>
        </w:tc>
        <w:tc>
          <w:tcPr>
            <w:tcW w:w="1965" w:type="pct"/>
            <w:tcBorders>
              <w:top w:val="nil"/>
              <w:left w:val="nil"/>
              <w:bottom w:val="nil"/>
              <w:right w:val="nil"/>
            </w:tcBorders>
          </w:tcPr>
          <w:p w14:paraId="03022E43" w14:textId="77777777" w:rsidR="002E07D5" w:rsidRPr="00AE4E8D" w:rsidRDefault="002E07D5" w:rsidP="0014790B">
            <w:pPr>
              <w:pBdr>
                <w:bottom w:val="single" w:sz="4" w:space="1" w:color="000000"/>
              </w:pBdr>
              <w:autoSpaceDE w:val="0"/>
              <w:autoSpaceDN w:val="0"/>
              <w:adjustRightInd w:val="0"/>
              <w:rPr>
                <w:rFonts w:ascii="Times New Roman" w:hAnsi="Times New Roman"/>
                <w:b/>
                <w:sz w:val="16"/>
                <w:szCs w:val="16"/>
                <w:lang w:val="es-ES"/>
              </w:rPr>
            </w:pPr>
            <w:r w:rsidRPr="00AE4E8D">
              <w:rPr>
                <w:rFonts w:ascii="Times New Roman" w:hAnsi="Times New Roman"/>
                <w:b/>
                <w:sz w:val="16"/>
                <w:szCs w:val="16"/>
                <w:lang w:val="es-ES"/>
              </w:rPr>
              <w:t>Restantes Entidades (*)</w:t>
            </w:r>
          </w:p>
        </w:tc>
      </w:tr>
      <w:tr w:rsidR="002E07D5" w:rsidRPr="00AE4E8D" w14:paraId="7A2CB01A" w14:textId="77777777" w:rsidTr="000400C8">
        <w:tc>
          <w:tcPr>
            <w:tcW w:w="1163" w:type="pct"/>
            <w:tcBorders>
              <w:top w:val="nil"/>
              <w:left w:val="nil"/>
              <w:bottom w:val="nil"/>
              <w:right w:val="nil"/>
            </w:tcBorders>
          </w:tcPr>
          <w:p w14:paraId="1F8D2F0E"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I y II</w:t>
            </w:r>
          </w:p>
        </w:tc>
        <w:tc>
          <w:tcPr>
            <w:tcW w:w="1872" w:type="pct"/>
            <w:tcBorders>
              <w:top w:val="nil"/>
              <w:left w:val="nil"/>
              <w:bottom w:val="nil"/>
              <w:right w:val="nil"/>
            </w:tcBorders>
          </w:tcPr>
          <w:p w14:paraId="0652FAAE"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 xml:space="preserve">Ps. 26 millones </w:t>
            </w:r>
          </w:p>
        </w:tc>
        <w:tc>
          <w:tcPr>
            <w:tcW w:w="1965" w:type="pct"/>
            <w:tcBorders>
              <w:top w:val="nil"/>
              <w:left w:val="nil"/>
              <w:bottom w:val="nil"/>
              <w:right w:val="nil"/>
            </w:tcBorders>
          </w:tcPr>
          <w:p w14:paraId="38679E32"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Ps. 12 millones</w:t>
            </w:r>
          </w:p>
        </w:tc>
      </w:tr>
      <w:tr w:rsidR="002E07D5" w:rsidRPr="00AE4E8D" w14:paraId="05487140" w14:textId="77777777" w:rsidTr="000400C8">
        <w:tc>
          <w:tcPr>
            <w:tcW w:w="1163" w:type="pct"/>
            <w:tcBorders>
              <w:top w:val="nil"/>
              <w:left w:val="nil"/>
              <w:bottom w:val="nil"/>
              <w:right w:val="nil"/>
            </w:tcBorders>
          </w:tcPr>
          <w:p w14:paraId="1F6CC5FD"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III y IV</w:t>
            </w:r>
          </w:p>
        </w:tc>
        <w:tc>
          <w:tcPr>
            <w:tcW w:w="1872" w:type="pct"/>
            <w:tcBorders>
              <w:top w:val="nil"/>
              <w:left w:val="nil"/>
              <w:bottom w:val="nil"/>
              <w:right w:val="nil"/>
            </w:tcBorders>
          </w:tcPr>
          <w:p w14:paraId="2AF44E28"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Ps. 15 millones</w:t>
            </w:r>
          </w:p>
        </w:tc>
        <w:tc>
          <w:tcPr>
            <w:tcW w:w="1965" w:type="pct"/>
            <w:tcBorders>
              <w:top w:val="nil"/>
              <w:left w:val="nil"/>
              <w:bottom w:val="nil"/>
              <w:right w:val="nil"/>
            </w:tcBorders>
          </w:tcPr>
          <w:p w14:paraId="796726CD"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Ps. 8 millones</w:t>
            </w:r>
          </w:p>
        </w:tc>
      </w:tr>
    </w:tbl>
    <w:p w14:paraId="472D5195" w14:textId="77777777" w:rsidR="002E07D5" w:rsidRPr="00AE4E8D" w:rsidRDefault="002E07D5" w:rsidP="000935B8">
      <w:pPr>
        <w:keepNext/>
        <w:spacing w:after="240"/>
        <w:rPr>
          <w:rFonts w:ascii="Times New Roman" w:hAnsi="Times New Roman"/>
          <w:lang w:val="es-ES"/>
        </w:rPr>
      </w:pPr>
      <w:r w:rsidRPr="00AE4E8D">
        <w:rPr>
          <w:rFonts w:ascii="Times New Roman" w:hAnsi="Times New Roman"/>
          <w:sz w:val="14"/>
          <w:szCs w:val="14"/>
          <w:lang w:val="es-ES" w:eastAsia="x-none"/>
        </w:rPr>
        <w:t>(*)</w:t>
      </w:r>
      <w:r w:rsidR="00212F0F" w:rsidRPr="00AE4E8D">
        <w:rPr>
          <w:rFonts w:ascii="Times New Roman" w:hAnsi="Times New Roman"/>
          <w:sz w:val="14"/>
          <w:szCs w:val="14"/>
          <w:lang w:val="es-ES" w:eastAsia="x-none"/>
        </w:rPr>
        <w:t xml:space="preserve"> </w:t>
      </w:r>
      <w:r w:rsidRPr="00AE4E8D">
        <w:rPr>
          <w:rFonts w:ascii="Times New Roman" w:hAnsi="Times New Roman"/>
          <w:sz w:val="14"/>
          <w:szCs w:val="14"/>
          <w:lang w:val="es-ES" w:eastAsia="x-none"/>
        </w:rPr>
        <w:t>A excepción de las entidades de crédito.</w:t>
      </w:r>
    </w:p>
    <w:p w14:paraId="309F96D9" w14:textId="77777777" w:rsidR="002E07D5" w:rsidRPr="00AE4E8D" w:rsidRDefault="002E07D5" w:rsidP="0018126C">
      <w:pPr>
        <w:pStyle w:val="BHTexto"/>
        <w:rPr>
          <w:lang w:val="es-ES"/>
        </w:rPr>
      </w:pPr>
      <w:r w:rsidRPr="00AE4E8D">
        <w:rPr>
          <w:lang w:val="es-ES"/>
        </w:rPr>
        <w:t>Adicionalmente, las entidades con casas operativas ubicadas en puertos y aeropuertos internacionales deberán observar la exigencia que corresponde a la Categoría I. Las compañías financieras que realicen, en forma directa, operaciones de comercio exterior deberán observar las exigencias establecidas para los bancos en la respectiva categoría.</w:t>
      </w:r>
    </w:p>
    <w:p w14:paraId="756AD4E0" w14:textId="77777777" w:rsidR="002E07D5" w:rsidRPr="00AE4E8D" w:rsidRDefault="002E07D5" w:rsidP="0018126C">
      <w:pPr>
        <w:pStyle w:val="BHTexto"/>
        <w:rPr>
          <w:lang w:val="es-ES"/>
        </w:rPr>
      </w:pPr>
      <w:r w:rsidRPr="00AE4E8D">
        <w:rPr>
          <w:lang w:val="es-ES"/>
        </w:rPr>
        <w:t xml:space="preserve">Sin perjuicio de lo anterior, la responsabilidad patrimonial computable a integrar por los bancos comerciales por función de custodia de los títulos representativos de las inversiones del Fondo de </w:t>
      </w:r>
      <w:r w:rsidRPr="00AE4E8D">
        <w:rPr>
          <w:lang w:val="es-ES"/>
        </w:rPr>
        <w:lastRenderedPageBreak/>
        <w:t xml:space="preserve">Garantía de Sustentabilidad del Sistema Integrado Previsional Argentino debe ser igual o superior a Ps. 400 millones o al equivalente al 1% del valor libro total de los títulos en custodia. </w:t>
      </w:r>
    </w:p>
    <w:p w14:paraId="1E75919C" w14:textId="77777777" w:rsidR="002E07D5" w:rsidRPr="00AE4E8D" w:rsidRDefault="002E07D5" w:rsidP="0018126C">
      <w:pPr>
        <w:pStyle w:val="BH4Cursiva"/>
        <w:rPr>
          <w:lang w:val="es-ES"/>
        </w:rPr>
      </w:pPr>
      <w:r w:rsidRPr="00AE4E8D">
        <w:rPr>
          <w:lang w:val="es-ES"/>
        </w:rPr>
        <w:t>Descripción de las regulaciones de Capital Nivel 1 y Nivel 2</w:t>
      </w:r>
    </w:p>
    <w:p w14:paraId="1F5FC772" w14:textId="77777777" w:rsidR="002E07D5" w:rsidRPr="00AE4E8D" w:rsidRDefault="002E07D5" w:rsidP="0018126C">
      <w:pPr>
        <w:pStyle w:val="BHTexto"/>
        <w:rPr>
          <w:lang w:val="es-ES"/>
        </w:rPr>
      </w:pPr>
      <w:r w:rsidRPr="00AE4E8D">
        <w:rPr>
          <w:lang w:val="es-ES"/>
        </w:rPr>
        <w:t>Las entidades financieras argentinas deben cumplir con lineamientos similares a los adoptados por el Comité de Basilea para la Supervisión Bancaria y Prácticas de Supervisión, modificados en 1995 (las “Normas de Basilea”). En ciertos aspectos, sin embargo, las regulaciones bancarias argentinas exigen coeficientes más altos que los establecidos por las Normas de Basilea.</w:t>
      </w:r>
    </w:p>
    <w:p w14:paraId="3873159D" w14:textId="77777777" w:rsidR="002E07D5" w:rsidRPr="00AE4E8D" w:rsidRDefault="002E07D5" w:rsidP="0018126C">
      <w:pPr>
        <w:pStyle w:val="BHTexto"/>
        <w:rPr>
          <w:lang w:val="es-ES"/>
        </w:rPr>
      </w:pPr>
      <w:r w:rsidRPr="00AE4E8D">
        <w:rPr>
          <w:lang w:val="es-ES"/>
        </w:rPr>
        <w:t xml:space="preserve">El </w:t>
      </w:r>
      <w:r w:rsidR="002C3DEF" w:rsidRPr="00AE4E8D">
        <w:rPr>
          <w:lang w:val="es-ES"/>
        </w:rPr>
        <w:t>BCRA</w:t>
      </w:r>
      <w:r w:rsidRPr="00AE4E8D">
        <w:rPr>
          <w:lang w:val="es-ES"/>
        </w:rPr>
        <w:t xml:space="preserve"> toma en consideración la responsabilidad patrimonial computable o RPC de una entidad financiera para determinar el cumplimiento de las exigencias de capital. De conformidad con las Comunicaciones “A” 5369 </w:t>
      </w:r>
      <w:r w:rsidR="00863248" w:rsidRPr="00AE4E8D">
        <w:rPr>
          <w:lang w:val="es-ES"/>
        </w:rPr>
        <w:t xml:space="preserve">modificada por la Comunicación “A” </w:t>
      </w:r>
      <w:r w:rsidRPr="00AE4E8D">
        <w:rPr>
          <w:lang w:val="es-ES"/>
        </w:rPr>
        <w:t>5580, con sus modificaciones y normas complementarias, la RPC está representada por el capital nivel 1 (Patrimonio Neto Básico) y capital Nivel 2 (Patrimonio Neto Complementario).</w:t>
      </w:r>
    </w:p>
    <w:p w14:paraId="32110087" w14:textId="77777777" w:rsidR="002E07D5" w:rsidRPr="00AE4E8D" w:rsidRDefault="002E07D5" w:rsidP="0018126C">
      <w:pPr>
        <w:pStyle w:val="BHTexto"/>
        <w:rPr>
          <w:lang w:val="es-ES"/>
        </w:rPr>
      </w:pPr>
      <w:r w:rsidRPr="00AE4E8D">
        <w:rPr>
          <w:lang w:val="es-ES"/>
        </w:rPr>
        <w:t xml:space="preserve">El capital nivel 1 está compuesto por (i) el capital ordinario nivel 1 (COn1), (ii) conceptos deducibles del capital ordinario nivel 1(CDCOn1), (iii) el capital adicional nivel 1 (CAn1) y (iv) conceptos deducibles del capital adicional nivel uno (CDCAn1) </w:t>
      </w:r>
    </w:p>
    <w:p w14:paraId="514E0260" w14:textId="77777777" w:rsidR="002E07D5" w:rsidRPr="00AE4E8D" w:rsidRDefault="002E07D5" w:rsidP="0018126C">
      <w:pPr>
        <w:pStyle w:val="BHTexto"/>
        <w:rPr>
          <w:lang w:val="es-ES"/>
        </w:rPr>
      </w:pPr>
      <w:r w:rsidRPr="00AE4E8D">
        <w:rPr>
          <w:lang w:val="es-ES"/>
        </w:rPr>
        <w:t>El</w:t>
      </w:r>
      <w:r w:rsidRPr="00AE4E8D">
        <w:rPr>
          <w:rFonts w:eastAsia="SimSun"/>
          <w:lang w:val="es-ES"/>
        </w:rPr>
        <w:t xml:space="preserve"> COn1 </w:t>
      </w:r>
      <w:r w:rsidRPr="00AE4E8D">
        <w:rPr>
          <w:lang w:val="es-ES"/>
        </w:rPr>
        <w:t>comprende: (i) el capital social (excluyendo acciones con preferencia patrimonial), (ii) los aportes no capitalizados (excluyendo las primas de emisión), (iii) los ajustes al patrimonio, (iv) las reservas de utilidades excluyendo la reserva especial para instrumentos de deuda), (v) los resultados no asignados, (vi) otros resultados positivos o negativos en los siguientes términos y proporciones:</w:t>
      </w:r>
    </w:p>
    <w:p w14:paraId="38BDF3B8" w14:textId="77777777" w:rsidR="002E07D5" w:rsidRPr="00AE4E8D" w:rsidRDefault="002E07D5" w:rsidP="000668B5">
      <w:pPr>
        <w:pStyle w:val="BHTexto"/>
        <w:numPr>
          <w:ilvl w:val="0"/>
          <w:numId w:val="105"/>
        </w:numPr>
        <w:rPr>
          <w:lang w:val="es-ES"/>
        </w:rPr>
      </w:pPr>
      <w:r w:rsidRPr="00AE4E8D">
        <w:rPr>
          <w:lang w:val="es-ES"/>
        </w:rPr>
        <w:t>respecto de los resultados de ejercicios económicos anteriores, 100% de los resultados netos registrados hasta el último estado contable trimestral con informe limitado del auditor, por el último ejercicio económico completo y respecto del que el auditor no ha emitido informe de auditoría;</w:t>
      </w:r>
    </w:p>
    <w:p w14:paraId="6A3BA153" w14:textId="77777777" w:rsidR="002E07D5" w:rsidRPr="00AE4E8D" w:rsidRDefault="002E07D5" w:rsidP="000668B5">
      <w:pPr>
        <w:pStyle w:val="BHTexto"/>
        <w:numPr>
          <w:ilvl w:val="0"/>
          <w:numId w:val="105"/>
        </w:numPr>
        <w:rPr>
          <w:lang w:val="es-ES"/>
        </w:rPr>
      </w:pPr>
      <w:r w:rsidRPr="00AE4E8D">
        <w:rPr>
          <w:lang w:val="es-ES"/>
        </w:rPr>
        <w:t xml:space="preserve">100% de los resultados netos registrados del ejercicio actual a la fecha de los estados contables trimestrales auditados más recientes; </w:t>
      </w:r>
    </w:p>
    <w:p w14:paraId="0CA8D1EF" w14:textId="77777777" w:rsidR="002E07D5" w:rsidRPr="00AE4E8D" w:rsidRDefault="002E07D5" w:rsidP="000668B5">
      <w:pPr>
        <w:pStyle w:val="BHTexto"/>
        <w:numPr>
          <w:ilvl w:val="0"/>
          <w:numId w:val="105"/>
        </w:numPr>
        <w:rPr>
          <w:lang w:val="es-ES"/>
        </w:rPr>
      </w:pPr>
      <w:r w:rsidRPr="00AE4E8D">
        <w:rPr>
          <w:lang w:val="es-ES"/>
        </w:rPr>
        <w:t>50% de las ganancias o 100% de las pérdidas por los estados contables trimestrales o anuales auditados más recientes; y</w:t>
      </w:r>
    </w:p>
    <w:p w14:paraId="438A7D10" w14:textId="77777777" w:rsidR="002E07D5" w:rsidRPr="00AE4E8D" w:rsidRDefault="002E07D5" w:rsidP="000668B5">
      <w:pPr>
        <w:pStyle w:val="BHTexto"/>
        <w:numPr>
          <w:ilvl w:val="0"/>
          <w:numId w:val="105"/>
        </w:numPr>
        <w:rPr>
          <w:lang w:val="es-ES"/>
        </w:rPr>
      </w:pPr>
      <w:r w:rsidRPr="00AE4E8D">
        <w:rPr>
          <w:lang w:val="es-ES"/>
        </w:rPr>
        <w:t xml:space="preserve">100% de quebrantos no considerados en los estados contables correspondientes a la cuantificación de los hechos informados por el auditor; </w:t>
      </w:r>
      <w:r w:rsidR="004553A3" w:rsidRPr="00AE4E8D">
        <w:rPr>
          <w:lang w:val="es-ES"/>
        </w:rPr>
        <w:t>y</w:t>
      </w:r>
    </w:p>
    <w:p w14:paraId="32ECB457" w14:textId="77777777" w:rsidR="002E07D5" w:rsidRPr="00AE4E8D" w:rsidRDefault="002E07D5" w:rsidP="0018126C">
      <w:pPr>
        <w:pStyle w:val="BHTexto"/>
        <w:rPr>
          <w:lang w:val="es-ES"/>
        </w:rPr>
      </w:pPr>
      <w:r w:rsidRPr="00AE4E8D">
        <w:rPr>
          <w:lang w:val="es-ES"/>
        </w:rPr>
        <w:t>(vii) primas de emisión resultantes de instrumentos incluidos en el COn1 y, en el caso de entidades consolidadas, las participaciones no controlantes (acciones ordinarias emitidas por las subsidiarias sujetas a supervisión consolidada y en poder de terceros, siempre que cumplan ciertas condiciones y requisitos.</w:t>
      </w:r>
    </w:p>
    <w:p w14:paraId="3DCF4C2A" w14:textId="77777777" w:rsidR="002E07D5" w:rsidRPr="00AE4E8D" w:rsidRDefault="002E07D5" w:rsidP="0018126C">
      <w:pPr>
        <w:pStyle w:val="BHTexto"/>
        <w:rPr>
          <w:lang w:val="es-ES"/>
        </w:rPr>
      </w:pPr>
      <w:r w:rsidRPr="00AE4E8D">
        <w:rPr>
          <w:lang w:val="es-ES"/>
        </w:rPr>
        <w:t>Para que una acción sea considerada dentro del COn1, la entidad financiera se debe abstener de crear, en ocasión de su emisión, cualquier expectativa de que la acción será recomprada, rescatada o amortizada, y los términos contractuales no deberán contener cláusula alguna que pudiera originar tal expectativa</w:t>
      </w:r>
    </w:p>
    <w:p w14:paraId="54A9C9F0" w14:textId="77777777" w:rsidR="002E07D5" w:rsidRPr="00AE4E8D" w:rsidRDefault="002E07D5" w:rsidP="0018126C">
      <w:pPr>
        <w:pStyle w:val="BHTexto"/>
        <w:rPr>
          <w:lang w:val="es-ES"/>
        </w:rPr>
      </w:pPr>
      <w:r w:rsidRPr="00AE4E8D">
        <w:rPr>
          <w:lang w:val="es-ES"/>
        </w:rPr>
        <w:t>A los conceptos citados se les restarán, de corresponder, los conceptos deducibles previstos en el punto 8.4.1 y 8.4.2. (</w:t>
      </w:r>
      <w:proofErr w:type="gramStart"/>
      <w:r w:rsidRPr="00AE4E8D">
        <w:rPr>
          <w:lang w:val="es-ES"/>
        </w:rPr>
        <w:t>según</w:t>
      </w:r>
      <w:proofErr w:type="gramEnd"/>
      <w:r w:rsidRPr="00AE4E8D">
        <w:rPr>
          <w:lang w:val="es-ES"/>
        </w:rPr>
        <w:t xml:space="preserve"> corresponda) de la Comunicación “A” 5580 del </w:t>
      </w:r>
      <w:r w:rsidR="002C3DEF" w:rsidRPr="00AE4E8D">
        <w:rPr>
          <w:lang w:val="es-ES"/>
        </w:rPr>
        <w:t>BCRA</w:t>
      </w:r>
      <w:r w:rsidRPr="00AE4E8D">
        <w:rPr>
          <w:lang w:val="es-ES"/>
        </w:rPr>
        <w:t>.</w:t>
      </w:r>
    </w:p>
    <w:p w14:paraId="10B4DE7F" w14:textId="77777777" w:rsidR="002E07D5" w:rsidRPr="00AE4E8D" w:rsidRDefault="002E07D5" w:rsidP="0018126C">
      <w:pPr>
        <w:pStyle w:val="BHTexto"/>
        <w:rPr>
          <w:lang w:val="es-ES"/>
        </w:rPr>
      </w:pPr>
      <w:r w:rsidRPr="00AE4E8D">
        <w:rPr>
          <w:lang w:val="es-ES"/>
        </w:rPr>
        <w:t>Los conceptos deducibles del (COn1) incluyen, entre otros: (a) saldos a favor por aplicación de retenciones al impuesto a la ganancias excedan el 10% del patrimonio neto básico correspondiente al mes anterior; (b) depósitos en cuentas de corresponsalía respecto de entidades financieras del exterior que no cuenten con calificación internacional de riesgo comprendida en la categoría “</w:t>
      </w:r>
      <w:r w:rsidRPr="00AE4E8D">
        <w:rPr>
          <w:i/>
          <w:lang w:val="es-ES"/>
        </w:rPr>
        <w:t>investment grade</w:t>
      </w:r>
      <w:r w:rsidRPr="00AE4E8D">
        <w:rPr>
          <w:lang w:val="es-ES"/>
        </w:rPr>
        <w:t>”; (c) valores</w:t>
      </w:r>
      <w:r w:rsidR="00140213" w:rsidRPr="00AE4E8D">
        <w:rPr>
          <w:lang w:val="es-ES"/>
        </w:rPr>
        <w:t xml:space="preserve"> negociables</w:t>
      </w:r>
      <w:r w:rsidRPr="00AE4E8D">
        <w:rPr>
          <w:lang w:val="es-ES"/>
        </w:rPr>
        <w:t xml:space="preserve">, que físicamente no se encuentren en poder de la entidad, salvo que su registro o custodia se encuentre a cargo del </w:t>
      </w:r>
      <w:r w:rsidR="002C3DEF" w:rsidRPr="00AE4E8D">
        <w:rPr>
          <w:lang w:val="es-ES"/>
        </w:rPr>
        <w:t>BCRA</w:t>
      </w:r>
      <w:r w:rsidRPr="00AE4E8D">
        <w:rPr>
          <w:lang w:val="es-ES"/>
        </w:rPr>
        <w:t xml:space="preserve"> (“CRyL”), Caja de Valores S.A., o Clearstream, Euroclear, y Depositary Trust Company; (d) títulos emitidos por gobiernos de países extranjeros, cuya calificación internacional de riesgo sea inferior a la categoría “investment grade” según la Comunicación “A” 5671; (e) instrumentos de deuda contractualmente subordinados a los demás pasivos, emitidos por otras entidades financieras; (f) participaciones vinculadas a la aplicación del diferimiento del pago de impuestos; (g) accionistas; (h) inmuebles incorporados al patrimonio de la entidad financiera, cuya registración contable no se encuentre respaldada con la pertinente escritura traslativa de dominio debidamente inscripta en el respectivo Registro de la Propiedad Inmueble, excepto los adquiridos mediante subasta judicial; (i) llave de negocio; (j) gastos de organización y desarrollo; (k) partidas pendientes de imputación, saldos deudores y otras; (l) ante requerimiento que formule la Superintendencia de Entidades Financieras y Cambiarias, los importes de determinados activos </w:t>
      </w:r>
      <w:r w:rsidRPr="00AE4E8D">
        <w:rPr>
          <w:lang w:val="es-ES"/>
        </w:rPr>
        <w:lastRenderedPageBreak/>
        <w:t>comprendidos, cuando surja que las registraciones contables efectuadas por las entidades no reflejan en forma precisa la realidad económica y jurídica de las operaciones o que se han llevado a cabo acciones o ardides para desnaturalizar o disimular el verdadero carácter o alcance de las operaciones; (m) diferencias por insuficiencia de constitución de las previsiones mínimas por riesgo de incobrabilidad determinadas por la Superintendencia de Entidades Financieras y Cambiarias; (n) participaciones en empresas cuyo objeto social sea el desarrollo de las siguientes actividades: (i) asistencia financiera mediante operaciones de arrendamiento financiero de bienes de capital, durables e inmuebles, adquiridos con tal objeto (“</w:t>
      </w:r>
      <w:r w:rsidRPr="00AE4E8D">
        <w:rPr>
          <w:i/>
          <w:lang w:val="es-ES"/>
        </w:rPr>
        <w:t>leasing</w:t>
      </w:r>
      <w:r w:rsidRPr="00AE4E8D">
        <w:rPr>
          <w:lang w:val="es-ES"/>
        </w:rPr>
        <w:t>”) o sobre créditos provenientes de ventas (“</w:t>
      </w:r>
      <w:r w:rsidRPr="00AE4E8D">
        <w:rPr>
          <w:i/>
          <w:lang w:val="es-ES"/>
        </w:rPr>
        <w:t>factoring</w:t>
      </w:r>
      <w:r w:rsidRPr="00AE4E8D">
        <w:rPr>
          <w:lang w:val="es-ES"/>
        </w:rPr>
        <w:t xml:space="preserve">”), (ii) adquisición con carácter transitorio de participaciones en empresas para facilitar su desarrollo, con la finalidad de vender posteriormente las tenencias y (iii) la emisión de tarjetas de crédito o débito según establece la Comunicación “A” 5700; (o) el exceso a los límites para la afectación de activos en garantía según lo dispuesto en las normas del </w:t>
      </w:r>
      <w:r w:rsidR="002C3DEF" w:rsidRPr="00AE4E8D">
        <w:rPr>
          <w:lang w:val="es-ES"/>
        </w:rPr>
        <w:t>BCRA</w:t>
      </w:r>
      <w:r w:rsidRPr="00AE4E8D">
        <w:rPr>
          <w:lang w:val="es-ES"/>
        </w:rPr>
        <w:t>; (p) el mayor saldo de la asistencia crediticia otorgada en el mes al sector público cuando se cumplan determinadas condiciones; (q) ganancias por ventas relacionadas con operaciones de securitización debido a ciertas circunstancias; (r) ganancias y pérdidas relacionadas con derivados debido a cambios en el riesgo de crédito de la entidad financiera; (s) pasivos por instrumentos derivados en determinadas circunstancias y (t) participaciones de capital en otras entidades argentinas o extranjeras sujeta a supervisión consolidada.</w:t>
      </w:r>
    </w:p>
    <w:p w14:paraId="05C86D9B" w14:textId="77777777" w:rsidR="002E07D5" w:rsidRPr="00AE4E8D" w:rsidRDefault="002E07D5" w:rsidP="0018126C">
      <w:pPr>
        <w:pStyle w:val="BHTexto"/>
        <w:rPr>
          <w:lang w:val="es-ES"/>
        </w:rPr>
      </w:pPr>
      <w:r w:rsidRPr="00AE4E8D">
        <w:rPr>
          <w:lang w:val="es-ES"/>
        </w:rPr>
        <w:t xml:space="preserve">El capital adicional de nivel uno (CAn1) incluye determinados instrumentos de deuda emitidos por la entidad financiera que cumplan los requisitos previstos en el punto 8.3.2. </w:t>
      </w:r>
      <w:proofErr w:type="gramStart"/>
      <w:r w:rsidRPr="00AE4E8D">
        <w:rPr>
          <w:lang w:val="es-ES"/>
        </w:rPr>
        <w:t>de</w:t>
      </w:r>
      <w:proofErr w:type="gramEnd"/>
      <w:r w:rsidRPr="00AE4E8D">
        <w:rPr>
          <w:lang w:val="es-ES"/>
        </w:rPr>
        <w:t xml:space="preserve"> la Comunicación “A” 5580 emitida por el </w:t>
      </w:r>
      <w:r w:rsidR="002C3DEF" w:rsidRPr="00AE4E8D">
        <w:rPr>
          <w:lang w:val="es-ES"/>
        </w:rPr>
        <w:t>BCRA</w:t>
      </w:r>
      <w:r w:rsidRPr="00AE4E8D">
        <w:rPr>
          <w:lang w:val="es-ES"/>
        </w:rPr>
        <w:t xml:space="preserve"> (con sus modificaciones y normas complementarias) y no se hallen ya incluidos en el COn1, y primas de emisión resultantes de instrumentos incluidos en el CAn1. Además, en los casos de entidades consolidadas, incluye instrumentos emitidos por subsidiarias sujetas a supervisión consolidada y en poder de terceros, de acuerdo con los requisitos regulatorios aplicables.</w:t>
      </w:r>
    </w:p>
    <w:p w14:paraId="75218103" w14:textId="77777777" w:rsidR="002E07D5" w:rsidRPr="00AE4E8D" w:rsidRDefault="002E07D5" w:rsidP="0018126C">
      <w:pPr>
        <w:pStyle w:val="BHTexto"/>
        <w:rPr>
          <w:lang w:val="es-ES"/>
        </w:rPr>
      </w:pPr>
      <w:r w:rsidRPr="00AE4E8D">
        <w:rPr>
          <w:lang w:val="es-ES"/>
        </w:rPr>
        <w:t xml:space="preserve">Asimismo, los instrumentos de deuda incluidos en el CAn1 deberán observar los siguientes requisitos: </w:t>
      </w:r>
    </w:p>
    <w:p w14:paraId="215F48A7" w14:textId="77777777" w:rsidR="002E07D5" w:rsidRPr="00AE4E8D" w:rsidRDefault="002E07D5" w:rsidP="000668B5">
      <w:pPr>
        <w:pStyle w:val="BHTexto"/>
        <w:numPr>
          <w:ilvl w:val="0"/>
          <w:numId w:val="106"/>
        </w:numPr>
        <w:rPr>
          <w:lang w:val="es-ES"/>
        </w:rPr>
      </w:pPr>
      <w:r w:rsidRPr="00AE4E8D">
        <w:rPr>
          <w:lang w:val="es-ES"/>
        </w:rPr>
        <w:t xml:space="preserve">Estar totalmente suscriptos e integrados. </w:t>
      </w:r>
    </w:p>
    <w:p w14:paraId="5F72EC2F" w14:textId="77777777" w:rsidR="002E07D5" w:rsidRPr="00AE4E8D" w:rsidRDefault="002E07D5" w:rsidP="000668B5">
      <w:pPr>
        <w:pStyle w:val="BHTexto"/>
        <w:numPr>
          <w:ilvl w:val="0"/>
          <w:numId w:val="106"/>
        </w:numPr>
        <w:rPr>
          <w:lang w:val="es-ES"/>
        </w:rPr>
      </w:pPr>
      <w:r w:rsidRPr="00AE4E8D">
        <w:rPr>
          <w:lang w:val="es-ES"/>
        </w:rPr>
        <w:t xml:space="preserve">Estar subordinados a depositantes, acreedores quirografarios y a deuda subordinada de la entidad financiera. Deberán prever que, en caso de quiebra de la entidad y una vez satisfecha la totalidad de las deudas con los demás acreedores, los acreedores tendrán prelación en la distribución de fondos sólo y exclusivamente con respecto a los accionistas (cualquiera sea la clase de acciones), con expresa renuncia a cualquier privilegio general o especial. </w:t>
      </w:r>
    </w:p>
    <w:p w14:paraId="56DBA5C8" w14:textId="77777777" w:rsidR="002E07D5" w:rsidRPr="00AE4E8D" w:rsidRDefault="002E07D5" w:rsidP="000668B5">
      <w:pPr>
        <w:pStyle w:val="BHTexto"/>
        <w:numPr>
          <w:ilvl w:val="0"/>
          <w:numId w:val="106"/>
        </w:numPr>
        <w:rPr>
          <w:lang w:val="es-ES"/>
        </w:rPr>
      </w:pPr>
      <w:r w:rsidRPr="00AE4E8D">
        <w:rPr>
          <w:lang w:val="es-ES"/>
        </w:rPr>
        <w:t>No estar asegurados ni cubiertos por alguna garantía del emisor o de un vinculado, ni ser objeto de cualquier otro acuerdo que mejore jurídica o económicamente el orden de prelación en el cobro para el caso de quiebra de la entidad.</w:t>
      </w:r>
    </w:p>
    <w:p w14:paraId="4373DA46" w14:textId="77777777" w:rsidR="002E07D5" w:rsidRPr="00AE4E8D" w:rsidRDefault="002E07D5" w:rsidP="000668B5">
      <w:pPr>
        <w:pStyle w:val="BHTexto"/>
        <w:numPr>
          <w:ilvl w:val="0"/>
          <w:numId w:val="106"/>
        </w:numPr>
        <w:rPr>
          <w:lang w:val="es-ES"/>
        </w:rPr>
      </w:pPr>
      <w:r w:rsidRPr="00AE4E8D">
        <w:rPr>
          <w:lang w:val="es-ES"/>
        </w:rPr>
        <w:t xml:space="preserve">No prever pago de ningún tipo en concepto de capital, excepto en caso de liquidación de la entidad financiera. No podrán tener cláusulas de remuneración escalonada creciente ni otros incentivos para su amortización anticipada. </w:t>
      </w:r>
    </w:p>
    <w:p w14:paraId="4E89897E" w14:textId="77777777" w:rsidR="002E07D5" w:rsidRPr="00AE4E8D" w:rsidRDefault="002E07D5" w:rsidP="000668B5">
      <w:pPr>
        <w:pStyle w:val="BHTexto"/>
        <w:numPr>
          <w:ilvl w:val="0"/>
          <w:numId w:val="106"/>
        </w:numPr>
        <w:rPr>
          <w:lang w:val="es-ES"/>
        </w:rPr>
      </w:pPr>
      <w:r w:rsidRPr="00AE4E8D">
        <w:rPr>
          <w:lang w:val="es-ES"/>
        </w:rPr>
        <w:t>Transcurridos cinco años desde su emisión, la entidad financiera podrá rescatar los instrumentos, siempre que: (i) cuente con autorización de la Superintendencia de Entidades Financieras y Cambiarias; (ii) se abstenga de generar expectativas de que ejercitará la opción de compra; y (c) sustituya el instrumento con RPC de igual o mayor calidad y en condiciones que sean sostenibles para su capacidad de generación de ingresos, o demuestre que, una vez ejercida la opción de compra, su RPC supera ampliamente al menos en un 20% los requerimientos mínimos de capital</w:t>
      </w:r>
    </w:p>
    <w:p w14:paraId="0D6C8D5B" w14:textId="77777777" w:rsidR="002E07D5" w:rsidRPr="00AE4E8D" w:rsidRDefault="002E07D5" w:rsidP="000668B5">
      <w:pPr>
        <w:pStyle w:val="BHTexto"/>
        <w:numPr>
          <w:ilvl w:val="0"/>
          <w:numId w:val="106"/>
        </w:numPr>
        <w:rPr>
          <w:lang w:val="es-ES"/>
        </w:rPr>
      </w:pPr>
      <w:r w:rsidRPr="00AE4E8D">
        <w:rPr>
          <w:lang w:val="es-ES"/>
        </w:rPr>
        <w:t>Cualquier restitución de capital requerirá la autorización previa de la Superintendencia de Entidades Financieras y Cambiarias y la entidad financiera no deberá tener la expectativa ni crearla en el mercado de que obtendrá dicha autorización.</w:t>
      </w:r>
    </w:p>
    <w:p w14:paraId="187782B9" w14:textId="77777777" w:rsidR="002E07D5" w:rsidRPr="00AE4E8D" w:rsidRDefault="002E07D5" w:rsidP="000668B5">
      <w:pPr>
        <w:pStyle w:val="BHTexto"/>
        <w:numPr>
          <w:ilvl w:val="0"/>
          <w:numId w:val="106"/>
        </w:numPr>
        <w:rPr>
          <w:lang w:val="es-ES"/>
        </w:rPr>
      </w:pPr>
      <w:r w:rsidRPr="00AE4E8D">
        <w:rPr>
          <w:lang w:val="es-ES"/>
        </w:rPr>
        <w:t>La entidad financiera podrá en todo momento y a su entera discreción cancelar pagos en concepto de dividendos o cupones de interés. No incorporar un dividendo/cupón de interés que se reajuste periódicamente en función del riesgo de crédito de la entidad financiera.</w:t>
      </w:r>
    </w:p>
    <w:p w14:paraId="3BDEC28F" w14:textId="77777777" w:rsidR="002E07D5" w:rsidRPr="00AE4E8D" w:rsidRDefault="002E07D5" w:rsidP="000668B5">
      <w:pPr>
        <w:pStyle w:val="BHTexto"/>
        <w:numPr>
          <w:ilvl w:val="0"/>
          <w:numId w:val="106"/>
        </w:numPr>
        <w:rPr>
          <w:lang w:val="es-ES"/>
        </w:rPr>
      </w:pPr>
      <w:r w:rsidRPr="00AE4E8D">
        <w:rPr>
          <w:lang w:val="es-ES"/>
        </w:rPr>
        <w:t>No haber sido comprados por la entidad financiera ni por otra entidad que ella controle o sobre la que ejerza influencia significativa.</w:t>
      </w:r>
    </w:p>
    <w:p w14:paraId="6BDAA922" w14:textId="77777777" w:rsidR="002E07D5" w:rsidRPr="00AE4E8D" w:rsidRDefault="002E07D5" w:rsidP="000668B5">
      <w:pPr>
        <w:pStyle w:val="BHTexto"/>
        <w:numPr>
          <w:ilvl w:val="0"/>
          <w:numId w:val="106"/>
        </w:numPr>
        <w:rPr>
          <w:lang w:val="es-ES"/>
        </w:rPr>
      </w:pPr>
      <w:r w:rsidRPr="00AE4E8D">
        <w:rPr>
          <w:lang w:val="es-ES"/>
        </w:rPr>
        <w:t>No haber sido comprados con la financiación directa o indirecta de la entidad financiera y no poseer características que dificulten la recapitalización.</w:t>
      </w:r>
    </w:p>
    <w:p w14:paraId="3E977E9A" w14:textId="77777777" w:rsidR="002E07D5" w:rsidRPr="00AE4E8D" w:rsidRDefault="002E07D5" w:rsidP="0018126C">
      <w:pPr>
        <w:pStyle w:val="BHTexto"/>
        <w:rPr>
          <w:lang w:val="es-ES"/>
        </w:rPr>
      </w:pPr>
      <w:r w:rsidRPr="00AE4E8D">
        <w:rPr>
          <w:lang w:val="es-ES"/>
        </w:rPr>
        <w:t xml:space="preserve">Los instrumentos que son parte del pasivo deberán absorber pérdidas, una vez alcanzado un evento desencadenante prefijado, a través de su conversión en acciones ordinarias y un mecanismo que asigne </w:t>
      </w:r>
      <w:r w:rsidRPr="00AE4E8D">
        <w:rPr>
          <w:lang w:val="es-ES"/>
        </w:rPr>
        <w:lastRenderedPageBreak/>
        <w:t xml:space="preserve">pérdidas al instrumento. El capital nivel dos comprende los siguientes conceptos: (i) ciertos instrumentos de deuda emitidos por la entidad financiera no incluidos a categoría de capital de nivel 1 y que observen los requisitos previstos en el punto 8.3.3 de la Comunicación “A” 5580 (con sus modificaciones y normas complementarias) emitida por el </w:t>
      </w:r>
      <w:r w:rsidR="002C3DEF" w:rsidRPr="00AE4E8D">
        <w:rPr>
          <w:lang w:val="es-ES"/>
        </w:rPr>
        <w:t>BCRA</w:t>
      </w:r>
      <w:r w:rsidRPr="00AE4E8D">
        <w:rPr>
          <w:lang w:val="es-ES"/>
        </w:rPr>
        <w:t xml:space="preserve">, (ii) primas de emisión resultantes de instrumentos incluidos en el capital de Nivel 2, y (iii) previsiones por riesgo de incobrabilidad sobre la cartera correspondiente a deudores clasificados “en situación normal” de las regulaciones del </w:t>
      </w:r>
      <w:r w:rsidR="002C3DEF" w:rsidRPr="00AE4E8D">
        <w:rPr>
          <w:lang w:val="es-ES"/>
        </w:rPr>
        <w:t>BCRA</w:t>
      </w:r>
      <w:r w:rsidRPr="00AE4E8D">
        <w:rPr>
          <w:lang w:val="es-ES"/>
        </w:rPr>
        <w:t xml:space="preserve"> sobre “Clasificación de deudores” y sobre las financiaciones que se encuentran cubiertas con garantías preferidas “A”, sin superar el 1,25 % de los activos ponderados por riesgo de crédito. Además, en los casos de entidades consolidadas, incluye: (iv) instrumentos de deuda emitidos por subsidiarias sujetas a supervisión consolidada en poder de terceros, que cumplan los criterios para su inclusión en el patrimonio neto complementario.</w:t>
      </w:r>
    </w:p>
    <w:p w14:paraId="54E0C085" w14:textId="77777777" w:rsidR="002E07D5" w:rsidRPr="00AE4E8D" w:rsidRDefault="002E07D5" w:rsidP="0018126C">
      <w:pPr>
        <w:pStyle w:val="BHTexto"/>
        <w:rPr>
          <w:lang w:val="es-ES"/>
        </w:rPr>
      </w:pPr>
      <w:r w:rsidRPr="00AE4E8D">
        <w:rPr>
          <w:lang w:val="es-ES"/>
        </w:rPr>
        <w:t xml:space="preserve">A los conceptos citados en los puntos precedentes se les restarán, de corresponder, los conceptos deducibles previstos en el punto 8.4.2 de la Comunicación “A” 5580 (con sus modificaciones y normas complementarias) del </w:t>
      </w:r>
      <w:r w:rsidR="002C3DEF" w:rsidRPr="00AE4E8D">
        <w:rPr>
          <w:lang w:val="es-ES"/>
        </w:rPr>
        <w:t>BCRA</w:t>
      </w:r>
      <w:r w:rsidRPr="00AE4E8D">
        <w:rPr>
          <w:lang w:val="es-ES"/>
        </w:rPr>
        <w:t>, que se describen más abajo.</w:t>
      </w:r>
    </w:p>
    <w:p w14:paraId="4D46A1B5" w14:textId="77777777" w:rsidR="002E07D5" w:rsidRPr="00AE4E8D" w:rsidRDefault="002E07D5" w:rsidP="0018126C">
      <w:pPr>
        <w:pStyle w:val="BHTexto"/>
        <w:rPr>
          <w:lang w:val="es-ES"/>
        </w:rPr>
      </w:pPr>
      <w:r w:rsidRPr="00AE4E8D">
        <w:rPr>
          <w:lang w:val="es-ES"/>
        </w:rPr>
        <w:t xml:space="preserve">Por otra parte, los instrumentos incluidos en el patrimonio neto complementario deberán observar los siguientes requisitos: </w:t>
      </w:r>
    </w:p>
    <w:p w14:paraId="29B66C1B" w14:textId="77777777" w:rsidR="002E07D5" w:rsidRPr="00AE4E8D" w:rsidRDefault="002E07D5" w:rsidP="000668B5">
      <w:pPr>
        <w:pStyle w:val="BHTexto"/>
        <w:numPr>
          <w:ilvl w:val="0"/>
          <w:numId w:val="107"/>
        </w:numPr>
        <w:rPr>
          <w:lang w:val="es-ES"/>
        </w:rPr>
      </w:pPr>
      <w:r w:rsidRPr="00AE4E8D">
        <w:rPr>
          <w:lang w:val="es-ES"/>
        </w:rPr>
        <w:t xml:space="preserve">Estar totalmente suscriptos e integrados. </w:t>
      </w:r>
    </w:p>
    <w:p w14:paraId="565E08FF" w14:textId="77777777" w:rsidR="002E07D5" w:rsidRPr="00AE4E8D" w:rsidRDefault="002E07D5" w:rsidP="000668B5">
      <w:pPr>
        <w:pStyle w:val="BHTexto"/>
        <w:numPr>
          <w:ilvl w:val="0"/>
          <w:numId w:val="107"/>
        </w:numPr>
        <w:rPr>
          <w:lang w:val="es-ES"/>
        </w:rPr>
      </w:pPr>
      <w:r w:rsidRPr="00AE4E8D">
        <w:rPr>
          <w:lang w:val="es-ES"/>
        </w:rPr>
        <w:t xml:space="preserve">Estar subordinados a depositantes, acreedores quirografarios y a deuda subordinada de la entidad financiera. </w:t>
      </w:r>
    </w:p>
    <w:p w14:paraId="708BF986" w14:textId="77777777" w:rsidR="002E07D5" w:rsidRPr="00AE4E8D" w:rsidRDefault="002E07D5" w:rsidP="000668B5">
      <w:pPr>
        <w:pStyle w:val="BHTexto"/>
        <w:numPr>
          <w:ilvl w:val="0"/>
          <w:numId w:val="107"/>
        </w:numPr>
        <w:rPr>
          <w:lang w:val="es-ES"/>
        </w:rPr>
      </w:pPr>
      <w:r w:rsidRPr="00AE4E8D">
        <w:rPr>
          <w:lang w:val="es-ES"/>
        </w:rPr>
        <w:t xml:space="preserve">No estar asegurados ni cubiertos por alguna garantía del emisor o de un vinculado, ni ser objeto de cualquier otro acuerdo que mejore jurídica o económicamente el orden de prelación en el cobro para el caso de quiebra de la entidad. </w:t>
      </w:r>
    </w:p>
    <w:p w14:paraId="44F0702E" w14:textId="77777777" w:rsidR="002E07D5" w:rsidRPr="00AE4E8D" w:rsidRDefault="002E07D5" w:rsidP="000668B5">
      <w:pPr>
        <w:pStyle w:val="BHTexto"/>
        <w:numPr>
          <w:ilvl w:val="0"/>
          <w:numId w:val="107"/>
        </w:numPr>
        <w:rPr>
          <w:lang w:val="es-ES"/>
        </w:rPr>
      </w:pPr>
      <w:r w:rsidRPr="00AE4E8D">
        <w:rPr>
          <w:lang w:val="es-ES"/>
        </w:rPr>
        <w:t xml:space="preserve">Vencimiento: (i) plazo de vencimiento original no inferior a cinco años; (ii) no existir cláusulas de remuneración escalonada creciente u otros incentivos para su amortización anticipada; y (iii) a partir del comienzo de cada uno de los últimos cinco años de vida de cada emisión, el importe computable será disminuido en el 20% del valor nominal emitido. Transcurridos cinco años desde su emisión, la entidad financiera podrá rescatarlos siempre que cuente con autorización de la Superintendencia de Entidades Financieras y Cambiarias en forma previa al ejercicio de la opción de compra; y se abstenga de generar expectativas de que ejercitará la opción de compra. El instrumento deberá ser sustituido con RPC de igual o mayor calidad y en condiciones que sean sostenibles para su capacidad de generación de ingresos, o si se demuestra que, una vez ejercida la opción de compra, su RPC supera ampliamente, como mínimo en un 20%, los requerimientos de capital mínimo. </w:t>
      </w:r>
    </w:p>
    <w:p w14:paraId="570C8122" w14:textId="77777777" w:rsidR="002E07D5" w:rsidRPr="00AE4E8D" w:rsidRDefault="002E07D5" w:rsidP="000668B5">
      <w:pPr>
        <w:pStyle w:val="BHTexto"/>
        <w:numPr>
          <w:ilvl w:val="0"/>
          <w:numId w:val="107"/>
        </w:numPr>
        <w:rPr>
          <w:lang w:val="es-ES"/>
        </w:rPr>
      </w:pPr>
      <w:r w:rsidRPr="00AE4E8D">
        <w:rPr>
          <w:lang w:val="es-ES"/>
        </w:rPr>
        <w:t xml:space="preserve">El inversor no tendrá ningún derecho a acelerar la devolución de los pagos futuros previstos, excepto en caso de quiebra o liquidación. </w:t>
      </w:r>
    </w:p>
    <w:p w14:paraId="15C2C8D3" w14:textId="77777777" w:rsidR="002E07D5" w:rsidRPr="00AE4E8D" w:rsidRDefault="002E07D5" w:rsidP="000668B5">
      <w:pPr>
        <w:pStyle w:val="BHTexto"/>
        <w:numPr>
          <w:ilvl w:val="0"/>
          <w:numId w:val="107"/>
        </w:numPr>
        <w:rPr>
          <w:lang w:val="es-ES"/>
        </w:rPr>
      </w:pPr>
      <w:r w:rsidRPr="00AE4E8D">
        <w:rPr>
          <w:lang w:val="es-ES"/>
        </w:rPr>
        <w:t>No pueden incorporar un dividendo/cupón de interés que se reajuste periódicamente en función del riesgo de crédito de la entidad financiera.</w:t>
      </w:r>
    </w:p>
    <w:p w14:paraId="6C9F0777" w14:textId="77777777" w:rsidR="002E07D5" w:rsidRPr="00AE4E8D" w:rsidRDefault="002E07D5" w:rsidP="000668B5">
      <w:pPr>
        <w:pStyle w:val="BHTexto"/>
        <w:numPr>
          <w:ilvl w:val="0"/>
          <w:numId w:val="107"/>
        </w:numPr>
        <w:rPr>
          <w:lang w:val="es-ES"/>
        </w:rPr>
      </w:pPr>
      <w:r w:rsidRPr="00AE4E8D">
        <w:rPr>
          <w:lang w:val="es-ES"/>
        </w:rPr>
        <w:t>No puedan haber sido comprados por la entidad financiera ni por alguna entidad que ella controle o sobre la que ejerza influencia significativa</w:t>
      </w:r>
    </w:p>
    <w:p w14:paraId="2BEE3EA4" w14:textId="77777777" w:rsidR="002E07D5" w:rsidRPr="00AE4E8D" w:rsidRDefault="002E07D5" w:rsidP="000668B5">
      <w:pPr>
        <w:pStyle w:val="BHTexto"/>
        <w:numPr>
          <w:ilvl w:val="0"/>
          <w:numId w:val="107"/>
        </w:numPr>
        <w:rPr>
          <w:lang w:val="es-ES"/>
        </w:rPr>
      </w:pPr>
      <w:r w:rsidRPr="00AE4E8D">
        <w:rPr>
          <w:lang w:val="es-ES"/>
        </w:rPr>
        <w:t>No pueden haber sido comprados con la financiación directa o indirecta de la entidad financiera.</w:t>
      </w:r>
    </w:p>
    <w:p w14:paraId="6DE5EE52" w14:textId="77777777" w:rsidR="002E07D5" w:rsidRPr="00AE4E8D" w:rsidRDefault="002E07D5" w:rsidP="0018126C">
      <w:pPr>
        <w:pStyle w:val="BHTexto"/>
        <w:rPr>
          <w:lang w:val="es-ES"/>
        </w:rPr>
      </w:pPr>
      <w:r w:rsidRPr="00AE4E8D">
        <w:rPr>
          <w:lang w:val="es-ES"/>
        </w:rPr>
        <w:t xml:space="preserve">Además, los instrumentos incluidos en el capital Nivel 2 y CAn1 deberán observar los siguientes requisitos adicionales para garantizar su capacidad de absorción de pérdidas: </w:t>
      </w:r>
    </w:p>
    <w:p w14:paraId="28F4AA57" w14:textId="77777777" w:rsidR="002E07D5" w:rsidRPr="00AE4E8D" w:rsidRDefault="002E07D5" w:rsidP="0018126C">
      <w:pPr>
        <w:pStyle w:val="BHTexto"/>
        <w:rPr>
          <w:lang w:val="es-ES"/>
        </w:rPr>
      </w:pPr>
      <w:r w:rsidRPr="00AE4E8D">
        <w:rPr>
          <w:lang w:val="es-ES"/>
        </w:rPr>
        <w:t>a) Sus términos y condiciones deberán incluir una disposición en virtud de la cual los instrumentos deberán absorber pérdidas -a través de una quita o mediante su conversión en capital ordinario- en caso de que se produzca alguno de los eventos desencadenantes que se indican más adelante.</w:t>
      </w:r>
    </w:p>
    <w:p w14:paraId="4D378A78" w14:textId="77777777" w:rsidR="002E07D5" w:rsidRPr="00AE4E8D" w:rsidRDefault="002E07D5" w:rsidP="0018126C">
      <w:pPr>
        <w:pStyle w:val="BHTexto"/>
        <w:rPr>
          <w:lang w:val="es-ES"/>
        </w:rPr>
      </w:pPr>
      <w:r w:rsidRPr="00AE4E8D">
        <w:rPr>
          <w:lang w:val="es-ES"/>
        </w:rPr>
        <w:t xml:space="preserve">b) Si hubiera compensación a los tenedores de estos instrumentos por la quita realizada, deberá llevarse a cabo en forma inmediata y sólo con acciones ordinarias, de acuerdo con la legislación que le resulte aplicable. </w:t>
      </w:r>
    </w:p>
    <w:p w14:paraId="66C806A4" w14:textId="77777777" w:rsidR="002E07D5" w:rsidRPr="00AE4E8D" w:rsidRDefault="002E07D5" w:rsidP="0018126C">
      <w:pPr>
        <w:pStyle w:val="BHTexto"/>
        <w:rPr>
          <w:lang w:val="es-ES"/>
        </w:rPr>
      </w:pPr>
      <w:r w:rsidRPr="00AE4E8D">
        <w:rPr>
          <w:lang w:val="es-ES"/>
        </w:rPr>
        <w:t>c) La entidad financiera deberá contar en todo momento con las autorizaciones necesarias para poder emitir en forma inmediata la cantidad correspondiente de acciones ordinarias cuando suceda alguno de los eventos desencadenantes que se indican más adelante.</w:t>
      </w:r>
    </w:p>
    <w:p w14:paraId="22B3B4BF" w14:textId="77777777" w:rsidR="002E07D5" w:rsidRPr="00AE4E8D" w:rsidRDefault="002E07D5" w:rsidP="0018126C">
      <w:pPr>
        <w:pStyle w:val="BHTexto"/>
        <w:rPr>
          <w:lang w:val="es-ES"/>
        </w:rPr>
      </w:pPr>
      <w:r w:rsidRPr="00AE4E8D">
        <w:rPr>
          <w:lang w:val="es-ES"/>
        </w:rPr>
        <w:lastRenderedPageBreak/>
        <w:t xml:space="preserve">A continuación se detallan los eventos desencadenantes que tornarán operativa la disposición anteriormente: (i) estando afectada la solvencia y/o liquidez de la entidad financiera, el </w:t>
      </w:r>
      <w:r w:rsidR="002C3DEF" w:rsidRPr="00AE4E8D">
        <w:rPr>
          <w:lang w:val="es-ES"/>
        </w:rPr>
        <w:t>BCRA</w:t>
      </w:r>
      <w:r w:rsidRPr="00AE4E8D">
        <w:rPr>
          <w:lang w:val="es-ES"/>
        </w:rPr>
        <w:t xml:space="preserve"> rechace el plan de regularización y saneamiento, o revoque su autorización para funcionar, o autorice su reestructuración en defensa de los depositantes (lo que ocurra primero); o (ii) la decisión de capitalizar a la entidad financiera con fondos públicos.</w:t>
      </w:r>
    </w:p>
    <w:p w14:paraId="6329BDD4" w14:textId="77777777" w:rsidR="002E07D5" w:rsidRPr="00AE4E8D" w:rsidRDefault="002E07D5" w:rsidP="0018126C">
      <w:pPr>
        <w:pStyle w:val="BHTexto"/>
        <w:rPr>
          <w:lang w:val="es-ES"/>
        </w:rPr>
      </w:pPr>
      <w:r w:rsidRPr="00AE4E8D">
        <w:rPr>
          <w:lang w:val="es-ES"/>
        </w:rPr>
        <w:t xml:space="preserve">El Banco ha emitido tres clases de obligaciones negociables subordinadas, todas en circulación a la fecha de este Prospecto. La clase emitida en 2013 y 2014 cumplen con todos los requisitos descriptos anteriormente. Sin embargo, la clase emitida en noviembre de 2010 no cumple con los requisitos porque fue emitida antes de aprobarse la Comunicación “A” 5580 </w:t>
      </w:r>
      <w:r w:rsidR="00863248" w:rsidRPr="00AE4E8D">
        <w:rPr>
          <w:lang w:val="es-ES"/>
        </w:rPr>
        <w:t xml:space="preserve">modificada por la Comunicación “A” 6327 </w:t>
      </w:r>
      <w:r w:rsidRPr="00AE4E8D">
        <w:rPr>
          <w:lang w:val="es-ES"/>
        </w:rPr>
        <w:t xml:space="preserve">del </w:t>
      </w:r>
      <w:r w:rsidR="002C3DEF" w:rsidRPr="00AE4E8D">
        <w:rPr>
          <w:lang w:val="es-ES"/>
        </w:rPr>
        <w:t>BCRA</w:t>
      </w:r>
      <w:r w:rsidRPr="00AE4E8D">
        <w:rPr>
          <w:lang w:val="es-ES"/>
        </w:rPr>
        <w:t>. Véase “Reseña y Perspectiva Operativa y Financiera —Liquidez y recursos de capital—Obtención de fondos--Financiaciones”.</w:t>
      </w:r>
    </w:p>
    <w:p w14:paraId="536461EE" w14:textId="77777777" w:rsidR="002E07D5" w:rsidRPr="00AE4E8D" w:rsidRDefault="002E07D5" w:rsidP="0018126C">
      <w:pPr>
        <w:pStyle w:val="BHTexto"/>
        <w:rPr>
          <w:lang w:val="es-ES"/>
        </w:rPr>
      </w:pPr>
      <w:r w:rsidRPr="00AE4E8D">
        <w:rPr>
          <w:lang w:val="es-ES"/>
        </w:rPr>
        <w:t xml:space="preserve">Deben seguirse criterios adicionales relacionados con los conceptos computables incluidos en el cálculo de la RPC según los requerimientos regulatorios de participaciones minoritarias y otros instrumentos computables emitidos por subsidiarias </w:t>
      </w:r>
      <w:proofErr w:type="gramStart"/>
      <w:r w:rsidRPr="00AE4E8D">
        <w:rPr>
          <w:lang w:val="es-ES"/>
        </w:rPr>
        <w:t>sujetas</w:t>
      </w:r>
      <w:proofErr w:type="gramEnd"/>
      <w:r w:rsidRPr="00AE4E8D">
        <w:rPr>
          <w:lang w:val="es-ES"/>
        </w:rPr>
        <w:t xml:space="preserve"> a supervisión consolidada en poder de terceros. Una participación minoritaria podrá reconocerse en el COn1 de la entidad financiera si el instrumento que la origina observa todos los requisitos para su clasificación como acción ordinaria a efectos de la RPC. </w:t>
      </w:r>
    </w:p>
    <w:p w14:paraId="4D0DC139" w14:textId="77777777" w:rsidR="002E07D5" w:rsidRPr="00AE4E8D" w:rsidRDefault="002E07D5" w:rsidP="0018126C">
      <w:pPr>
        <w:pStyle w:val="BHTexto"/>
        <w:rPr>
          <w:lang w:val="es-ES"/>
        </w:rPr>
      </w:pPr>
      <w:r w:rsidRPr="00AE4E8D">
        <w:rPr>
          <w:lang w:val="es-ES"/>
        </w:rPr>
        <w:t xml:space="preserve">Conceptos deducibles aplicables a los distintos niveles de capital: </w:t>
      </w:r>
    </w:p>
    <w:p w14:paraId="23BA98C7" w14:textId="77777777" w:rsidR="002E07D5" w:rsidRPr="00AE4E8D" w:rsidRDefault="002E07D5" w:rsidP="0018126C">
      <w:pPr>
        <w:pStyle w:val="BHTexto"/>
        <w:rPr>
          <w:lang w:val="es-ES"/>
        </w:rPr>
      </w:pPr>
      <w:r w:rsidRPr="00AE4E8D">
        <w:rPr>
          <w:lang w:val="es-ES"/>
        </w:rPr>
        <w:t xml:space="preserve">Las inversiones en instrumentos computables como capital regulatorio de entidades financieras no están sujetas a supervisión consolidada, cuando la entidad posea hasta el 10% del capital social ordinario de la emisora, de acuerdo con los siguientes criterios: (i) las inversiones incluyen las participaciones directas, indirectas o sintéticas; (ii) las inversiones incluyen la posición comprada neta; (iii) pueden no incluir las tenencias de valores </w:t>
      </w:r>
      <w:r w:rsidR="00140213" w:rsidRPr="00AE4E8D">
        <w:rPr>
          <w:lang w:val="es-ES"/>
        </w:rPr>
        <w:t xml:space="preserve">negociables </w:t>
      </w:r>
      <w:r w:rsidRPr="00AE4E8D">
        <w:rPr>
          <w:lang w:val="es-ES"/>
        </w:rPr>
        <w:t>suscriptos para ser colocados en el plazo de cinco días hábiles. Cuando las participaciones en el capital de otras entidades financieras (que individualmente representen menos del 10% del COn1 de cada emisora) superen el 10% del COn1 de la entidad financiera, neto de las deducciones correspondientes, el importe por encima de este 10% deberá deducirse de cada uno de los niveles de capital en función de la siguiente metodología:</w:t>
      </w:r>
    </w:p>
    <w:p w14:paraId="4883C171" w14:textId="77777777" w:rsidR="002E07D5" w:rsidRPr="00AE4E8D" w:rsidRDefault="002E07D5" w:rsidP="000668B5">
      <w:pPr>
        <w:pStyle w:val="BHTexto"/>
        <w:numPr>
          <w:ilvl w:val="0"/>
          <w:numId w:val="108"/>
        </w:numPr>
        <w:rPr>
          <w:lang w:val="es-ES"/>
        </w:rPr>
      </w:pPr>
      <w:r w:rsidRPr="00AE4E8D">
        <w:rPr>
          <w:lang w:val="es-ES"/>
        </w:rPr>
        <w:t xml:space="preserve">Monto a deducir del COn1: total del exceso sobre el 10% multiplicado por la proporción que representan las tenencias de COn1 sobre el total de participaciones de capital. </w:t>
      </w:r>
    </w:p>
    <w:p w14:paraId="01A0D9E8" w14:textId="77777777" w:rsidR="002E07D5" w:rsidRPr="00AE4E8D" w:rsidRDefault="002E07D5" w:rsidP="000668B5">
      <w:pPr>
        <w:pStyle w:val="BHTexto"/>
        <w:numPr>
          <w:ilvl w:val="0"/>
          <w:numId w:val="108"/>
        </w:numPr>
        <w:rPr>
          <w:lang w:val="es-ES"/>
        </w:rPr>
      </w:pPr>
      <w:r w:rsidRPr="00AE4E8D">
        <w:rPr>
          <w:lang w:val="es-ES"/>
        </w:rPr>
        <w:t xml:space="preserve">Monto a deducir del CAn1: total del exceso sobre el 10% multiplicado por la proporción que representan las tenencias de CAn1 sobre el total de participaciones de capital. </w:t>
      </w:r>
    </w:p>
    <w:p w14:paraId="12D44232" w14:textId="77777777" w:rsidR="002E07D5" w:rsidRPr="00AE4E8D" w:rsidRDefault="002E07D5" w:rsidP="000668B5">
      <w:pPr>
        <w:pStyle w:val="BHTexto"/>
        <w:numPr>
          <w:ilvl w:val="0"/>
          <w:numId w:val="108"/>
        </w:numPr>
        <w:rPr>
          <w:lang w:val="es-ES"/>
        </w:rPr>
      </w:pPr>
      <w:r w:rsidRPr="00AE4E8D">
        <w:rPr>
          <w:lang w:val="es-ES"/>
        </w:rPr>
        <w:t xml:space="preserve">Monto a deducir del patrimonio neto complementario: total del exceso sobre el 10% multiplicado por la proporción que representan las tenencias de patrimonio neto complementario sobre el total de participaciones de capital. </w:t>
      </w:r>
    </w:p>
    <w:p w14:paraId="73FC3262" w14:textId="77777777" w:rsidR="002E07D5" w:rsidRPr="00AE4E8D" w:rsidRDefault="002E07D5" w:rsidP="00B52753">
      <w:pPr>
        <w:autoSpaceDE w:val="0"/>
        <w:autoSpaceDN w:val="0"/>
        <w:adjustRightInd w:val="0"/>
        <w:spacing w:after="240"/>
        <w:jc w:val="both"/>
        <w:rPr>
          <w:rFonts w:ascii="Times New Roman" w:hAnsi="Times New Roman"/>
          <w:lang w:val="es-ES"/>
        </w:rPr>
      </w:pPr>
      <w:r w:rsidRPr="00AE4E8D">
        <w:rPr>
          <w:rFonts w:ascii="Times New Roman" w:hAnsi="Times New Roman"/>
          <w:lang w:val="es-ES"/>
        </w:rPr>
        <w:t xml:space="preserve">Las inversiones en instrumentos computables como capital regulatorio de entidades financieras no están </w:t>
      </w:r>
      <w:r w:rsidRPr="00AE4E8D">
        <w:rPr>
          <w:rStyle w:val="BHTextoCar"/>
          <w:lang w:val="es-ES"/>
        </w:rPr>
        <w:t>sujetas a supervisión consolidada cuando la entidad posea hasta el 10% del capital social ordinario de la emisora, o cuando la emisora sea una subsidiaria de una entidad financiera, de acuerdo con los siguientes criterios: (i) las inversiones incluyen las participaciones directas, indirectas o sintéticas; (ii) las</w:t>
      </w:r>
      <w:r w:rsidRPr="00AE4E8D">
        <w:rPr>
          <w:rFonts w:ascii="Times New Roman" w:hAnsi="Times New Roman"/>
          <w:lang w:val="es-ES"/>
        </w:rPr>
        <w:t xml:space="preserve"> inversiones incluyen la posición comprada neta; (iii) pueden no incluir las tenencias de valores </w:t>
      </w:r>
      <w:r w:rsidR="00140213" w:rsidRPr="00AE4E8D">
        <w:rPr>
          <w:rFonts w:ascii="Times New Roman" w:hAnsi="Times New Roman"/>
          <w:lang w:val="es-ES"/>
        </w:rPr>
        <w:t xml:space="preserve">negociables </w:t>
      </w:r>
      <w:r w:rsidRPr="00AE4E8D">
        <w:rPr>
          <w:rFonts w:ascii="Times New Roman" w:hAnsi="Times New Roman"/>
          <w:lang w:val="es-ES"/>
        </w:rPr>
        <w:t xml:space="preserve">suscriptos para ser colocados en el plazo de cinco días hábiles. </w:t>
      </w:r>
    </w:p>
    <w:p w14:paraId="2D25C41D" w14:textId="77777777" w:rsidR="002E07D5" w:rsidRPr="00AE4E8D" w:rsidRDefault="002E07D5" w:rsidP="00B52753">
      <w:pPr>
        <w:autoSpaceDE w:val="0"/>
        <w:autoSpaceDN w:val="0"/>
        <w:adjustRightInd w:val="0"/>
        <w:spacing w:after="240"/>
        <w:jc w:val="both"/>
        <w:rPr>
          <w:rFonts w:ascii="Times New Roman" w:hAnsi="Times New Roman"/>
          <w:i/>
          <w:lang w:val="es-ES"/>
        </w:rPr>
      </w:pPr>
      <w:bookmarkStart w:id="663" w:name="_Toc430186247"/>
      <w:r w:rsidRPr="00AE4E8D">
        <w:rPr>
          <w:rFonts w:ascii="Times New Roman" w:hAnsi="Times New Roman"/>
          <w:b/>
          <w:i/>
          <w:lang w:val="es-ES"/>
        </w:rPr>
        <w:t>Límites</w:t>
      </w:r>
      <w:bookmarkEnd w:id="663"/>
    </w:p>
    <w:p w14:paraId="1CE15AFD" w14:textId="77777777" w:rsidR="002E07D5" w:rsidRPr="00AE4E8D" w:rsidRDefault="002E07D5" w:rsidP="0018126C">
      <w:pPr>
        <w:pStyle w:val="BHTexto"/>
        <w:rPr>
          <w:lang w:val="es-ES"/>
        </w:rPr>
      </w:pPr>
      <w:r w:rsidRPr="00AE4E8D">
        <w:rPr>
          <w:lang w:val="es-ES"/>
        </w:rPr>
        <w:t>La Comunicación “A” 5580</w:t>
      </w:r>
      <w:r w:rsidR="00863248" w:rsidRPr="00AE4E8D">
        <w:rPr>
          <w:lang w:val="es-ES"/>
        </w:rPr>
        <w:t xml:space="preserve"> modificada por la Comunicación “A” 6327</w:t>
      </w:r>
      <w:r w:rsidRPr="00AE4E8D">
        <w:rPr>
          <w:lang w:val="es-ES"/>
        </w:rPr>
        <w:t xml:space="preserve"> (con sus modificaciones y normas complementarias) del </w:t>
      </w:r>
      <w:r w:rsidR="002C3DEF" w:rsidRPr="00AE4E8D">
        <w:rPr>
          <w:lang w:val="es-ES"/>
        </w:rPr>
        <w:t>BCRA</w:t>
      </w:r>
      <w:r w:rsidRPr="00AE4E8D">
        <w:rPr>
          <w:lang w:val="es-ES"/>
        </w:rPr>
        <w:t xml:space="preserve">, establece los límites mínimos en relación con la integración de capital: (i) para el COn1, el importe resultante de multiplicar 4,5% por los activos ponderados por riesgo (“APR”); (ii) para el patrimonio neto básico, el importe resultante de multiplicar 6% por los APR y (iii) para la RPC, el importe resultante de multiplicar 8% por los APR. Se considerará como activos ponderados por riesgo (APR) al importe resultante de multiplicar por 12,5 la exigencia de capital mínimo según las regulaciones del </w:t>
      </w:r>
      <w:r w:rsidR="002C3DEF" w:rsidRPr="00AE4E8D">
        <w:rPr>
          <w:lang w:val="es-ES"/>
        </w:rPr>
        <w:t>BCRA</w:t>
      </w:r>
      <w:r w:rsidRPr="00AE4E8D">
        <w:rPr>
          <w:lang w:val="es-ES"/>
        </w:rPr>
        <w:t>. La falta de cumplimiento de cualquiera de estos límites será considerada incumplimiento de integración del capital mínimo.</w:t>
      </w:r>
    </w:p>
    <w:p w14:paraId="0C6C5635" w14:textId="77777777" w:rsidR="002E07D5" w:rsidRPr="00AE4E8D" w:rsidRDefault="002E07D5" w:rsidP="0018126C">
      <w:pPr>
        <w:pStyle w:val="BHTexto"/>
        <w:rPr>
          <w:lang w:val="es-ES"/>
        </w:rPr>
      </w:pPr>
      <w:r w:rsidRPr="00AE4E8D">
        <w:rPr>
          <w:lang w:val="es-ES"/>
        </w:rPr>
        <w:t>En virtud de la Comunicación “A” 5867</w:t>
      </w:r>
      <w:r w:rsidR="00863248" w:rsidRPr="00AE4E8D">
        <w:rPr>
          <w:lang w:val="es-ES"/>
        </w:rPr>
        <w:t xml:space="preserve"> modificada por la Comunicación “A” 588</w:t>
      </w:r>
      <w:r w:rsidR="00802DA6" w:rsidRPr="00AE4E8D">
        <w:rPr>
          <w:lang w:val="es-ES"/>
        </w:rPr>
        <w:t>9</w:t>
      </w:r>
      <w:r w:rsidRPr="00AE4E8D">
        <w:rPr>
          <w:lang w:val="es-ES"/>
        </w:rPr>
        <w:t>,</w:t>
      </w:r>
      <w:r w:rsidR="00EB3492" w:rsidRPr="00AE4E8D">
        <w:rPr>
          <w:lang w:val="es-ES"/>
        </w:rPr>
        <w:t xml:space="preserve"> </w:t>
      </w:r>
      <w:r w:rsidRPr="00AE4E8D">
        <w:rPr>
          <w:lang w:val="es-ES"/>
        </w:rPr>
        <w:t>los APR resultarán de aplicar la siguiente expresión:</w:t>
      </w:r>
    </w:p>
    <w:p w14:paraId="3333EEDE" w14:textId="77777777" w:rsidR="002E07D5" w:rsidRPr="00AE4E8D" w:rsidRDefault="002E07D5" w:rsidP="0018126C">
      <w:pPr>
        <w:pStyle w:val="BHTexto"/>
        <w:jc w:val="center"/>
        <w:rPr>
          <w:lang w:val="en-US"/>
        </w:rPr>
      </w:pPr>
      <w:r w:rsidRPr="00AE4E8D">
        <w:rPr>
          <w:lang w:val="en-US"/>
        </w:rPr>
        <w:t>APR = APRc + [(RM+RO) x 12</w:t>
      </w:r>
      <w:proofErr w:type="gramStart"/>
      <w:r w:rsidRPr="00AE4E8D">
        <w:rPr>
          <w:lang w:val="en-US"/>
        </w:rPr>
        <w:t>,5</w:t>
      </w:r>
      <w:proofErr w:type="gramEnd"/>
      <w:r w:rsidRPr="00AE4E8D">
        <w:rPr>
          <w:lang w:val="en-US"/>
        </w:rPr>
        <w:t>]</w:t>
      </w:r>
    </w:p>
    <w:p w14:paraId="6A5F9CA7" w14:textId="77777777" w:rsidR="002E07D5" w:rsidRPr="00AE4E8D" w:rsidRDefault="002E07D5" w:rsidP="0018126C">
      <w:pPr>
        <w:pStyle w:val="BHTexto"/>
        <w:rPr>
          <w:lang w:val="es-ES"/>
        </w:rPr>
      </w:pPr>
      <w:proofErr w:type="gramStart"/>
      <w:r w:rsidRPr="00AE4E8D">
        <w:rPr>
          <w:lang w:val="es-ES"/>
        </w:rPr>
        <w:t>donde</w:t>
      </w:r>
      <w:proofErr w:type="gramEnd"/>
      <w:r w:rsidRPr="00AE4E8D">
        <w:rPr>
          <w:lang w:val="es-ES"/>
        </w:rPr>
        <w:t>:</w:t>
      </w:r>
    </w:p>
    <w:p w14:paraId="7109A2FC" w14:textId="77777777" w:rsidR="002E07D5" w:rsidRPr="00AE4E8D" w:rsidRDefault="002E07D5" w:rsidP="0018126C">
      <w:pPr>
        <w:pStyle w:val="BHTexto"/>
        <w:rPr>
          <w:lang w:val="es-ES"/>
        </w:rPr>
      </w:pPr>
      <w:r w:rsidRPr="00AE4E8D">
        <w:rPr>
          <w:lang w:val="es-ES"/>
        </w:rPr>
        <w:lastRenderedPageBreak/>
        <w:t>“APRc”: activos ponderados por riesgo de crédito.</w:t>
      </w:r>
    </w:p>
    <w:p w14:paraId="19BE821A" w14:textId="77777777" w:rsidR="002E07D5" w:rsidRPr="00AE4E8D" w:rsidRDefault="002E07D5" w:rsidP="0018126C">
      <w:pPr>
        <w:pStyle w:val="BHTexto"/>
        <w:rPr>
          <w:lang w:val="es-ES"/>
        </w:rPr>
      </w:pPr>
      <w:r w:rsidRPr="00AE4E8D">
        <w:rPr>
          <w:lang w:val="es-ES"/>
        </w:rPr>
        <w:t>“RM”: exigencia por riesgo de mercado.</w:t>
      </w:r>
    </w:p>
    <w:p w14:paraId="3C91F04B" w14:textId="77777777" w:rsidR="002E07D5" w:rsidRPr="00AE4E8D" w:rsidRDefault="002E07D5" w:rsidP="0018126C">
      <w:pPr>
        <w:pStyle w:val="BHTexto"/>
        <w:rPr>
          <w:lang w:val="es-ES"/>
        </w:rPr>
      </w:pPr>
      <w:r w:rsidRPr="00AE4E8D">
        <w:rPr>
          <w:lang w:val="es-ES"/>
        </w:rPr>
        <w:t>“RO”: exigencia por riesgo operacional.</w:t>
      </w:r>
    </w:p>
    <w:p w14:paraId="45BC46B6" w14:textId="77777777" w:rsidR="002E07D5" w:rsidRPr="00AE4E8D" w:rsidRDefault="002E07D5" w:rsidP="0018126C">
      <w:pPr>
        <w:pStyle w:val="BH4Cursiva"/>
        <w:rPr>
          <w:lang w:val="es-ES"/>
        </w:rPr>
      </w:pPr>
      <w:r w:rsidRPr="00AE4E8D">
        <w:rPr>
          <w:lang w:val="es-ES"/>
        </w:rPr>
        <w:t>Capital económico</w:t>
      </w:r>
    </w:p>
    <w:p w14:paraId="62F1894F" w14:textId="77777777" w:rsidR="002E07D5" w:rsidRPr="00AE4E8D" w:rsidRDefault="002E07D5" w:rsidP="0018126C">
      <w:pPr>
        <w:pStyle w:val="BHTexto"/>
        <w:rPr>
          <w:lang w:val="es-ES"/>
        </w:rPr>
      </w:pPr>
      <w:r w:rsidRPr="00AE4E8D">
        <w:rPr>
          <w:lang w:val="es-ES"/>
        </w:rPr>
        <w:t xml:space="preserve">La Comunicación “A” 5398 </w:t>
      </w:r>
      <w:r w:rsidR="00863248" w:rsidRPr="00AE4E8D">
        <w:rPr>
          <w:lang w:val="es-ES"/>
        </w:rPr>
        <w:t xml:space="preserve">modificada por la Comunicación “A” 6327 </w:t>
      </w:r>
      <w:r w:rsidRPr="00AE4E8D">
        <w:rPr>
          <w:lang w:val="es-ES"/>
        </w:rPr>
        <w:t xml:space="preserve">del </w:t>
      </w:r>
      <w:r w:rsidR="002C3DEF" w:rsidRPr="00AE4E8D">
        <w:rPr>
          <w:lang w:val="es-ES"/>
        </w:rPr>
        <w:t>BCRA</w:t>
      </w:r>
      <w:r w:rsidRPr="00AE4E8D">
        <w:rPr>
          <w:lang w:val="es-ES"/>
        </w:rPr>
        <w:t xml:space="preserve"> establece que es de fundamental importancia que las entidades financieras cuenten con un proceso interno, integrado y global, para evaluar la suficiencia de su capital económico en función de su perfil de riesgo (“</w:t>
      </w:r>
      <w:r w:rsidRPr="00AE4E8D">
        <w:rPr>
          <w:i/>
          <w:lang w:val="es-ES"/>
        </w:rPr>
        <w:t>Internal Capital Adequacy Assessment Process</w:t>
      </w:r>
      <w:r w:rsidRPr="00AE4E8D">
        <w:rPr>
          <w:lang w:val="es-ES"/>
        </w:rPr>
        <w:t>” - “ICAAP”) y con una estrategia para mantener sus niveles de capital a lo largo del tiempo. Si como resultado de este proceso interno se determina que el capital regulatorio es insuficiente, las entidades financieras deberán incrementarlo en base a sus propias estimaciones, para observar la normativa.</w:t>
      </w:r>
    </w:p>
    <w:p w14:paraId="672D89B1" w14:textId="77777777" w:rsidR="002E07D5" w:rsidRPr="00AE4E8D" w:rsidRDefault="002E07D5" w:rsidP="0018126C">
      <w:pPr>
        <w:pStyle w:val="BHTexto"/>
        <w:rPr>
          <w:lang w:val="es-ES"/>
        </w:rPr>
      </w:pPr>
      <w:r w:rsidRPr="00AE4E8D">
        <w:rPr>
          <w:lang w:val="es-ES"/>
        </w:rPr>
        <w:t>El capital económico de las entidades financieras es aquel que requieren para cubrir, no sólo las pérdidas inesperadas originadas por las exposiciones a los riesgos crediticio, operacional y de mercado, sino también las que provienen de otros riesgos a los que puede estar expuesta la entidad financiera.</w:t>
      </w:r>
    </w:p>
    <w:p w14:paraId="59083E04" w14:textId="77777777" w:rsidR="002E07D5" w:rsidRPr="00AE4E8D" w:rsidRDefault="002E07D5" w:rsidP="0018126C">
      <w:pPr>
        <w:pStyle w:val="BHTexto"/>
        <w:rPr>
          <w:lang w:val="es-ES"/>
        </w:rPr>
      </w:pPr>
      <w:r w:rsidRPr="00AE4E8D">
        <w:rPr>
          <w:lang w:val="es-ES"/>
        </w:rPr>
        <w:t>Las entidades financieras deben demostrar que sus objetivos internos de capital están bien fundamentados y son acordes con su perfil general de riesgo y entorno operativo. El proceso de evaluación de la suficiencia del capital o ICAAP debe tener en cuenta todos los riesgos significativos a los que se enfrenta la entidad financiera. A este fin, las entidades financieras deben desarrollar un proceso integral para la gestión de, al menos, los riesgos de crédito, operacional, de mercado, tasa de interés, liquidez, securitización, graduación, reputacional y estratégico, empleando para ello pruebas de estrés para evaluar situaciones adversas pero posibles que puedan afectar su nivel de capital.</w:t>
      </w:r>
    </w:p>
    <w:p w14:paraId="2C3FFCD1" w14:textId="77777777" w:rsidR="002E07D5" w:rsidRPr="00AE4E8D" w:rsidRDefault="002E07D5" w:rsidP="0018126C">
      <w:pPr>
        <w:pStyle w:val="BHTexto"/>
        <w:rPr>
          <w:lang w:val="es-ES"/>
        </w:rPr>
      </w:pPr>
      <w:r w:rsidRPr="00AE4E8D">
        <w:rPr>
          <w:lang w:val="es-ES"/>
        </w:rPr>
        <w:t>El ICAAP debe comprender pruebas de estrés que complementen y validen todo otro enfoque cuantitativo o cualitativo empleado por la entidad, de modo que el directorio y la gerencia cuenten con una comprensión más acabada de la interacción entre los distintos tipos de riesgos en condiciones de estrés. Asimismo, el ICAAP debe considerar las necesidades de capital de corto y largo plazo y propender a la prudente acumulación de excedentes de capital en los períodos benignos del ciclo económico.</w:t>
      </w:r>
    </w:p>
    <w:p w14:paraId="2DD29DD7" w14:textId="77777777" w:rsidR="002E07D5" w:rsidRPr="00AE4E8D" w:rsidRDefault="002E07D5" w:rsidP="0018126C">
      <w:pPr>
        <w:pStyle w:val="BHTexto"/>
        <w:rPr>
          <w:lang w:val="es-ES"/>
        </w:rPr>
      </w:pPr>
      <w:r w:rsidRPr="00AE4E8D">
        <w:rPr>
          <w:lang w:val="es-ES"/>
        </w:rPr>
        <w:t>El nivel de capital de cada entidad debe determinarse con arreglo a su perfil de riesgo, teniendo en cuenta además factores externos como los efectos del ciclo económico y de la coyuntura económica.</w:t>
      </w:r>
    </w:p>
    <w:p w14:paraId="03FE18A0" w14:textId="77777777" w:rsidR="002E07D5" w:rsidRPr="00AE4E8D" w:rsidRDefault="002E07D5" w:rsidP="00B52753">
      <w:pPr>
        <w:autoSpaceDE w:val="0"/>
        <w:autoSpaceDN w:val="0"/>
        <w:adjustRightInd w:val="0"/>
        <w:spacing w:after="240"/>
        <w:jc w:val="both"/>
        <w:rPr>
          <w:rFonts w:ascii="Times New Roman" w:hAnsi="Times New Roman"/>
          <w:b/>
          <w:i/>
          <w:lang w:val="es-ES"/>
        </w:rPr>
      </w:pPr>
      <w:bookmarkStart w:id="664" w:name="_Toc430186248"/>
      <w:r w:rsidRPr="00AE4E8D">
        <w:rPr>
          <w:rFonts w:ascii="Times New Roman" w:hAnsi="Times New Roman"/>
          <w:b/>
          <w:i/>
          <w:lang w:val="es-ES"/>
        </w:rPr>
        <w:t xml:space="preserve">Requisitos aplicables a la distribución de </w:t>
      </w:r>
      <w:bookmarkEnd w:id="664"/>
      <w:r w:rsidRPr="00AE4E8D">
        <w:rPr>
          <w:rFonts w:ascii="Times New Roman" w:hAnsi="Times New Roman"/>
          <w:b/>
          <w:i/>
          <w:lang w:val="es-ES"/>
        </w:rPr>
        <w:t>dividendos</w:t>
      </w:r>
    </w:p>
    <w:p w14:paraId="46036B98" w14:textId="77777777" w:rsidR="002E07D5" w:rsidRPr="00AE4E8D" w:rsidRDefault="002E07D5" w:rsidP="0018126C">
      <w:pPr>
        <w:pStyle w:val="BHTexto"/>
        <w:rPr>
          <w:lang w:val="es-ES"/>
        </w:rPr>
      </w:pPr>
      <w:r w:rsidRPr="00AE4E8D">
        <w:rPr>
          <w:lang w:val="es-ES"/>
        </w:rPr>
        <w:t xml:space="preserve">El </w:t>
      </w:r>
      <w:r w:rsidR="002C3DEF" w:rsidRPr="00AE4E8D">
        <w:rPr>
          <w:lang w:val="es-ES"/>
        </w:rPr>
        <w:t>BCRA</w:t>
      </w:r>
      <w:r w:rsidRPr="00AE4E8D">
        <w:rPr>
          <w:lang w:val="es-ES"/>
        </w:rPr>
        <w:t xml:space="preserve"> impuso restricciones al pago de los dividendos, limitando la capacidad de las entidades financieras para distribuir dividendos sin su previa conformidad. </w:t>
      </w:r>
    </w:p>
    <w:p w14:paraId="0C438C46" w14:textId="77777777" w:rsidR="002E07D5" w:rsidRPr="00AE4E8D" w:rsidRDefault="002E07D5" w:rsidP="0018126C">
      <w:pPr>
        <w:pStyle w:val="BHTexto"/>
        <w:rPr>
          <w:lang w:val="es-ES"/>
        </w:rPr>
      </w:pPr>
      <w:r w:rsidRPr="00AE4E8D">
        <w:rPr>
          <w:lang w:val="es-ES"/>
        </w:rPr>
        <w:t xml:space="preserve">Por medio de las Comunicaciones “A” </w:t>
      </w:r>
      <w:r w:rsidR="006D45CE" w:rsidRPr="00AE4E8D">
        <w:rPr>
          <w:lang w:val="es-ES"/>
        </w:rPr>
        <w:t>5827</w:t>
      </w:r>
      <w:r w:rsidRPr="00AE4E8D">
        <w:rPr>
          <w:lang w:val="es-ES"/>
        </w:rPr>
        <w:t xml:space="preserve"> y </w:t>
      </w:r>
      <w:r w:rsidR="006D45CE" w:rsidRPr="00AE4E8D">
        <w:rPr>
          <w:lang w:val="es-ES"/>
        </w:rPr>
        <w:t>6013</w:t>
      </w:r>
      <w:r w:rsidRPr="00AE4E8D">
        <w:rPr>
          <w:lang w:val="es-ES"/>
        </w:rPr>
        <w:t xml:space="preserve">, el </w:t>
      </w:r>
      <w:r w:rsidR="002C3DEF" w:rsidRPr="00AE4E8D">
        <w:rPr>
          <w:lang w:val="es-ES"/>
        </w:rPr>
        <w:t>BCRA</w:t>
      </w:r>
      <w:r w:rsidRPr="00AE4E8D">
        <w:rPr>
          <w:lang w:val="es-ES"/>
        </w:rPr>
        <w:t xml:space="preserve"> modificó y reordenó sus normas en materia de distribución de dividendos por parte de las entidades financieras. De acuerdo con dicha reglamentación, la Superintendencia de Entidades Financieras y Cambiarias revisará la capacidad de una entidad financiera para distribuir dividendos cuando la entidad le solicite su conformidad. Esta solicitud debe ser presentada dentro de un plazo de 30 días hábiles antes de la asamblea de accionistas que aprobará los estados contables de la entidad. La Superintendencia de Entidades Financieras y Cambiarias puede autorizar la distribución de dividendos siempre que en el mes anterior a la presentación de la solicitud de autorización ante la Superintendencia de Entidades Financieras y Cambiarias: </w:t>
      </w:r>
    </w:p>
    <w:p w14:paraId="16691C0B" w14:textId="77777777" w:rsidR="002E07D5" w:rsidRPr="00AE4E8D" w:rsidRDefault="002E07D5" w:rsidP="0018126C">
      <w:pPr>
        <w:pStyle w:val="BHTexto"/>
        <w:rPr>
          <w:lang w:val="es-ES"/>
        </w:rPr>
      </w:pPr>
      <w:r w:rsidRPr="00AE4E8D">
        <w:rPr>
          <w:lang w:val="es-ES"/>
        </w:rPr>
        <w:t xml:space="preserve">(i) la entidad financiera no se encuentre sujeta a un proceso liquidatorio o de transferencia obligatoria de activos a pedido del </w:t>
      </w:r>
      <w:r w:rsidR="002C3DEF" w:rsidRPr="00AE4E8D">
        <w:rPr>
          <w:lang w:val="es-ES"/>
        </w:rPr>
        <w:t>BCRA</w:t>
      </w:r>
      <w:r w:rsidRPr="00AE4E8D">
        <w:rPr>
          <w:lang w:val="es-ES"/>
        </w:rPr>
        <w:t xml:space="preserve"> de conformidad con los Artículos 34 o 35 bis de la </w:t>
      </w:r>
      <w:r w:rsidR="00A667F7" w:rsidRPr="00AE4E8D">
        <w:rPr>
          <w:lang w:val="es-ES"/>
        </w:rPr>
        <w:t>Ley de Entidades Financieras</w:t>
      </w:r>
      <w:r w:rsidRPr="00AE4E8D">
        <w:rPr>
          <w:lang w:val="es-ES"/>
        </w:rPr>
        <w:t xml:space="preserve">; </w:t>
      </w:r>
    </w:p>
    <w:p w14:paraId="596597D4" w14:textId="77777777" w:rsidR="002E07D5" w:rsidRPr="00AE4E8D" w:rsidRDefault="002E07D5" w:rsidP="0018126C">
      <w:pPr>
        <w:pStyle w:val="BHTexto"/>
        <w:rPr>
          <w:lang w:val="es-ES"/>
        </w:rPr>
      </w:pPr>
      <w:r w:rsidRPr="00AE4E8D">
        <w:rPr>
          <w:lang w:val="es-ES"/>
        </w:rPr>
        <w:t xml:space="preserve">(ii) la entidad financiera no registre asistencia financiera del </w:t>
      </w:r>
      <w:r w:rsidR="002C3DEF" w:rsidRPr="00AE4E8D">
        <w:rPr>
          <w:lang w:val="es-ES"/>
        </w:rPr>
        <w:t>BCRA</w:t>
      </w:r>
      <w:r w:rsidRPr="00AE4E8D">
        <w:rPr>
          <w:lang w:val="es-ES"/>
        </w:rPr>
        <w:t>;</w:t>
      </w:r>
    </w:p>
    <w:p w14:paraId="297E84F2" w14:textId="77777777" w:rsidR="002E07D5" w:rsidRPr="00AE4E8D" w:rsidRDefault="002E07D5" w:rsidP="0018126C">
      <w:pPr>
        <w:pStyle w:val="BHTexto"/>
        <w:rPr>
          <w:lang w:val="es-ES"/>
        </w:rPr>
      </w:pPr>
      <w:r w:rsidRPr="00AE4E8D">
        <w:rPr>
          <w:lang w:val="es-ES"/>
        </w:rPr>
        <w:t xml:space="preserve">(iii) la entidad financiera no presente atrasos o incumplimientos en el régimen informativo establecido por el </w:t>
      </w:r>
      <w:r w:rsidR="002C3DEF" w:rsidRPr="00AE4E8D">
        <w:rPr>
          <w:lang w:val="es-ES"/>
        </w:rPr>
        <w:t>BCRA</w:t>
      </w:r>
      <w:r w:rsidRPr="00AE4E8D">
        <w:rPr>
          <w:lang w:val="es-ES"/>
        </w:rPr>
        <w:t xml:space="preserve"> </w:t>
      </w:r>
    </w:p>
    <w:p w14:paraId="75BF0516" w14:textId="77777777" w:rsidR="002E07D5" w:rsidRPr="00AE4E8D" w:rsidRDefault="002E07D5" w:rsidP="0018126C">
      <w:pPr>
        <w:pStyle w:val="BHTexto"/>
        <w:rPr>
          <w:lang w:val="es-ES"/>
        </w:rPr>
      </w:pPr>
      <w:r w:rsidRPr="00AE4E8D">
        <w:rPr>
          <w:lang w:val="es-ES"/>
        </w:rPr>
        <w:t xml:space="preserve">(iv) la entidad financiera no registre deficiencia de integración de capital mínimo (de manera individual y consolidada y sin computar a tales fines los efectos de las franquicias individuales otorgadas por la Superintendencia de Entidades Financieras y Cambiarias) o de efectivo mínimo (en promedio) en pesos, en moneda extranjera o en valores </w:t>
      </w:r>
      <w:r w:rsidR="00140213" w:rsidRPr="00AE4E8D">
        <w:rPr>
          <w:lang w:val="es-ES"/>
        </w:rPr>
        <w:t xml:space="preserve">negociables </w:t>
      </w:r>
      <w:r w:rsidRPr="00AE4E8D">
        <w:rPr>
          <w:lang w:val="es-ES"/>
        </w:rPr>
        <w:t>públicos; y</w:t>
      </w:r>
    </w:p>
    <w:p w14:paraId="3C3320A4" w14:textId="77777777" w:rsidR="002E07D5" w:rsidRPr="00AE4E8D" w:rsidRDefault="002E07D5" w:rsidP="0018126C">
      <w:pPr>
        <w:pStyle w:val="BHTexto"/>
        <w:rPr>
          <w:rFonts w:eastAsia="MS Mincho"/>
          <w:kern w:val="28"/>
          <w:lang w:val="es-ES"/>
        </w:rPr>
      </w:pPr>
      <w:r w:rsidRPr="00AE4E8D">
        <w:rPr>
          <w:rFonts w:eastAsia="MS Mincho"/>
          <w:kern w:val="28"/>
          <w:lang w:val="es-ES"/>
        </w:rPr>
        <w:t xml:space="preserve">(v) la entidad financiera no registre sanciones de multa -superiores al 25% (veinticinco por ciento) de la última responsabilidad patrimonial computable reportada-, o de inhabilitación, suspensión, prohibición o revocación impuestas en los últimos cinco (5) años por el BCRA, la Unidad de Información Financiera </w:t>
      </w:r>
      <w:r w:rsidRPr="00AE4E8D">
        <w:rPr>
          <w:rFonts w:eastAsia="MS Mincho"/>
          <w:kern w:val="28"/>
          <w:lang w:val="es-ES"/>
        </w:rPr>
        <w:lastRenderedPageBreak/>
        <w:t>(UIF), la Comisión Nacional de Valores (CNV) y/o la Superintendencia de Seguros de la Nación (SSN) que se ponderen como significativas, excepto cuando se hayan implementado medidas correctivas a satisfacción de la Superintendencia de Entidades Financieras y Cambiarias, previa consulta, de corresponder, al organismo que haya impuesto la sanción que sea objeto de ponderación. La Superintendencia de Entidades Financieras y Cambiarias también tendrá en consideración las informaciones y/o sanciones que sean comunicadas por entes o autoridades del exterior con facultades equivalentes. Para la ponderación de la significancia de las sanciones, se considerarán el tipo, motivo y monto de la sanción aplicada, el grado de participación en los hechos, la posible alteración del orden económico, la existencia de perjuicios ocasionados a terceros, el beneficio económico generado para el sancionado, su volumen operativo, su responsabilidad patrimonial y el cargo o función ejercida por las personas humanas que resulten involucradas.</w:t>
      </w:r>
    </w:p>
    <w:p w14:paraId="107812F7" w14:textId="77777777" w:rsidR="002E07D5" w:rsidRPr="00AE4E8D" w:rsidRDefault="002E07D5" w:rsidP="0018126C">
      <w:pPr>
        <w:pStyle w:val="BHTexto"/>
        <w:rPr>
          <w:lang w:val="es-ES"/>
        </w:rPr>
      </w:pPr>
      <w:r w:rsidRPr="00AE4E8D">
        <w:rPr>
          <w:lang w:val="es-ES"/>
        </w:rPr>
        <w:t>Asimismo, ciertas situaciones, como es el caso de la inobservancia de los requisitos de capital mínimo o el incumplimiento en el pago del capital o los intereses en virtud de las obligaciones negociables subordinadas (</w:t>
      </w:r>
      <w:r w:rsidRPr="00AE4E8D">
        <w:rPr>
          <w:i/>
          <w:lang w:val="es-ES"/>
        </w:rPr>
        <w:t>Nivel 2</w:t>
      </w:r>
      <w:r w:rsidRPr="00AE4E8D">
        <w:rPr>
          <w:lang w:val="es-ES"/>
        </w:rPr>
        <w:t>) en circulación</w:t>
      </w:r>
      <w:r w:rsidRPr="00AE4E8D">
        <w:rPr>
          <w:i/>
          <w:lang w:val="es-ES"/>
        </w:rPr>
        <w:t xml:space="preserve"> </w:t>
      </w:r>
      <w:r w:rsidRPr="00AE4E8D">
        <w:rPr>
          <w:lang w:val="es-ES"/>
        </w:rPr>
        <w:t>del Banco podrían resultar en la imposibilidad del Emisor para distribuir dividendos a sus accionistas</w:t>
      </w:r>
    </w:p>
    <w:p w14:paraId="697C49F8" w14:textId="77777777" w:rsidR="002E07D5" w:rsidRPr="00AE4E8D" w:rsidRDefault="002E07D5" w:rsidP="0018126C">
      <w:pPr>
        <w:pStyle w:val="BHTexto"/>
        <w:rPr>
          <w:lang w:val="es-ES"/>
        </w:rPr>
      </w:pPr>
      <w:r w:rsidRPr="00AE4E8D">
        <w:rPr>
          <w:lang w:val="es-ES"/>
        </w:rPr>
        <w:t xml:space="preserve">Las entidades financieras que cumplan con todos los requisitos anteriormente mencionados pueden distribuir dividendos hasta un monto igual a (i) al saldo positivo de la cuenta “Resultados no asignados” al cierre del ejercicio económico, más (ii) la reserva facultativa para el pago de futuros dividendos, menos (iii) las reservas obligatorias y otras partidas, como: (a) saldo registrado en relación con pagos efectuados en virtud de fallos judiciales de pesificación; (b) el saldo positivo neto del valor contable y el valor de mercado de ciertos títulos de deuda pública y notas del </w:t>
      </w:r>
      <w:r w:rsidR="002C3DEF" w:rsidRPr="00AE4E8D">
        <w:rPr>
          <w:lang w:val="es-ES"/>
        </w:rPr>
        <w:t>BCRA</w:t>
      </w:r>
      <w:r w:rsidRPr="00AE4E8D">
        <w:rPr>
          <w:lang w:val="es-ES"/>
        </w:rPr>
        <w:t xml:space="preserve"> que la entidad financiera posee y que no están destinados al mercado; (c) ajustes no registrados del valor de activos informado por la Superintendencia de Entidades Financieras y Cambiarias o mencionado por auditores en su informe; (d) exenciones individuales relacionadas con la valuación de activos emitida por la Superintendencia de Entidades Financieras y Cambiarias; (e) saldo de depósitos judiciales en moneda extranjera y el valor contable de dichos depósitos conforme lo exige la Ley Nº 25.561 y el Decreto Nº 214/02; y (f) sumas netas relacionadas con pérdidas a causa de la aplicación de las normas de valuación de títulos del sector público no financiero y las normas monetarias del </w:t>
      </w:r>
      <w:r w:rsidR="002C3DEF" w:rsidRPr="00AE4E8D">
        <w:rPr>
          <w:lang w:val="es-ES"/>
        </w:rPr>
        <w:t>BCRA</w:t>
      </w:r>
      <w:r w:rsidRPr="00AE4E8D">
        <w:rPr>
          <w:lang w:val="es-ES"/>
        </w:rPr>
        <w:t>.</w:t>
      </w:r>
    </w:p>
    <w:p w14:paraId="602EB0CB" w14:textId="77777777" w:rsidR="002E07D5" w:rsidRPr="00AE4E8D" w:rsidRDefault="002E07D5" w:rsidP="0018126C">
      <w:pPr>
        <w:pStyle w:val="BHTexto"/>
        <w:rPr>
          <w:lang w:val="es-ES"/>
        </w:rPr>
      </w:pPr>
      <w:r w:rsidRPr="00AE4E8D">
        <w:rPr>
          <w:lang w:val="es-ES"/>
        </w:rPr>
        <w:t xml:space="preserve">No pueden pagarse dividendos en ninguna de las siguientes circunstancias: </w:t>
      </w:r>
    </w:p>
    <w:p w14:paraId="7A4145B1" w14:textId="77777777" w:rsidR="002E07D5" w:rsidRPr="00AE4E8D" w:rsidRDefault="002E07D5" w:rsidP="000668B5">
      <w:pPr>
        <w:pStyle w:val="BHTexto"/>
        <w:numPr>
          <w:ilvl w:val="0"/>
          <w:numId w:val="109"/>
        </w:numPr>
        <w:rPr>
          <w:lang w:val="es-ES"/>
        </w:rPr>
      </w:pPr>
      <w:r w:rsidRPr="00AE4E8D">
        <w:rPr>
          <w:lang w:val="es-ES"/>
        </w:rPr>
        <w:t>si la integración de efectivo mínimo en promedio fuera menor a la exigencia correspondiente a la última posición cerrada o a la proyectada después de efectuar el pago de dividendos; y/o</w:t>
      </w:r>
    </w:p>
    <w:p w14:paraId="351B915C" w14:textId="77777777" w:rsidR="002E07D5" w:rsidRPr="00AE4E8D" w:rsidRDefault="002E07D5" w:rsidP="000668B5">
      <w:pPr>
        <w:pStyle w:val="BHTexto"/>
        <w:numPr>
          <w:ilvl w:val="0"/>
          <w:numId w:val="109"/>
        </w:numPr>
        <w:rPr>
          <w:lang w:val="es-ES"/>
        </w:rPr>
      </w:pPr>
      <w:r w:rsidRPr="00AE4E8D">
        <w:rPr>
          <w:lang w:val="es-ES"/>
        </w:rPr>
        <w:t>si la entidad financiera no cumpliera con los Márgenes de Capital Adicionales (según se define en el presente).</w:t>
      </w:r>
    </w:p>
    <w:p w14:paraId="7DA44C36" w14:textId="77777777" w:rsidR="002E07D5" w:rsidRPr="00AE4E8D" w:rsidRDefault="002E07D5" w:rsidP="0018126C">
      <w:pPr>
        <w:pStyle w:val="BHTexto"/>
        <w:rPr>
          <w:lang w:val="es-ES"/>
        </w:rPr>
      </w:pPr>
      <w:r w:rsidRPr="00AE4E8D">
        <w:rPr>
          <w:lang w:val="es-ES"/>
        </w:rPr>
        <w:t>Asimismo, para el caso de entidades financieras que sean sucursales de entidades extranjeras, la Superintendencia de Entidades Financieras y Cambiarias tendrá en cuenta, además, la situación de liquidez y solvencia de sus casas matrices y de los mercados en los cuales operen.</w:t>
      </w:r>
    </w:p>
    <w:p w14:paraId="230CB2FF" w14:textId="77777777" w:rsidR="002E07D5" w:rsidRPr="00AE4E8D" w:rsidRDefault="002E07D5" w:rsidP="0018126C">
      <w:pPr>
        <w:pStyle w:val="BHTexto"/>
        <w:rPr>
          <w:lang w:val="es-ES"/>
        </w:rPr>
      </w:pPr>
      <w:r w:rsidRPr="00AE4E8D">
        <w:rPr>
          <w:lang w:val="es-ES"/>
        </w:rPr>
        <w:t>Según la Comunicación “A” 5580</w:t>
      </w:r>
      <w:r w:rsidR="00863248" w:rsidRPr="00AE4E8D">
        <w:rPr>
          <w:lang w:val="es-ES"/>
        </w:rPr>
        <w:t xml:space="preserve"> modificada por la Comunicación “A” 6327</w:t>
      </w:r>
      <w:r w:rsidRPr="00AE4E8D">
        <w:rPr>
          <w:lang w:val="es-ES"/>
        </w:rPr>
        <w:t xml:space="preserve"> del </w:t>
      </w:r>
      <w:r w:rsidR="002C3DEF" w:rsidRPr="00AE4E8D">
        <w:rPr>
          <w:lang w:val="es-ES"/>
        </w:rPr>
        <w:t>BCRA</w:t>
      </w:r>
      <w:r w:rsidRPr="00AE4E8D">
        <w:rPr>
          <w:lang w:val="es-ES"/>
        </w:rPr>
        <w:t>, la exigencia de capital regulatorio mínimo por riesgo de crédito de contraparte por securitizaciones deberá computarse sobre todas las operaciones vigentes a la fecha de cómputo.</w:t>
      </w:r>
    </w:p>
    <w:p w14:paraId="393BB262" w14:textId="77777777" w:rsidR="002E07D5" w:rsidRPr="00AE4E8D" w:rsidRDefault="002E07D5" w:rsidP="0018126C">
      <w:pPr>
        <w:pStyle w:val="BHTexto"/>
        <w:rPr>
          <w:lang w:val="es-ES"/>
        </w:rPr>
      </w:pPr>
      <w:r w:rsidRPr="00AE4E8D">
        <w:rPr>
          <w:lang w:val="es-ES"/>
        </w:rPr>
        <w:t xml:space="preserve">La Comunicación “A” 5689, de fecha 8 de enero de 2015 emitida por el </w:t>
      </w:r>
      <w:r w:rsidR="002C3DEF" w:rsidRPr="00AE4E8D">
        <w:rPr>
          <w:lang w:val="es-ES"/>
        </w:rPr>
        <w:t>BCRA</w:t>
      </w:r>
      <w:r w:rsidRPr="00AE4E8D">
        <w:rPr>
          <w:lang w:val="es-ES"/>
        </w:rPr>
        <w:t xml:space="preserve">, establece que las entidades financieras deberán registrar y exponer contablemente las sanciones administrativas y/o disciplinarias, y las penales con sentencia judicial de primera instancia, que fueron aplicadas o iniciadas por el BCRA, la Unidad de Información Financiera, la Comisión Nacional de Valores y la Superintendencia de Seguros de la Nación. A partir de enero de 2015, el importe correspondiente al asiento contable incluirá todas las sanciones y deberá contemplar una previsión para el 100% de cada sanción que debe afrontar la entidad. Estos conceptos deberán mantenerse hasta tanto se proceda al pago o bien se cuente con sentencia judicial firme. De acuerdo con la Comunicación “A” 5707, modificada por Comunicación “A” 5827 del </w:t>
      </w:r>
      <w:r w:rsidR="002C3DEF" w:rsidRPr="00AE4E8D">
        <w:rPr>
          <w:lang w:val="es-ES"/>
        </w:rPr>
        <w:t>BCRA</w:t>
      </w:r>
      <w:r w:rsidRPr="00AE4E8D">
        <w:rPr>
          <w:lang w:val="es-ES"/>
        </w:rPr>
        <w:t xml:space="preserve">, si se reparten dividendos, este importe también será deducido del monto distribuible. En abril de 2016, el </w:t>
      </w:r>
      <w:r w:rsidR="002C3DEF" w:rsidRPr="00AE4E8D">
        <w:rPr>
          <w:lang w:val="es-ES"/>
        </w:rPr>
        <w:t>BCRA</w:t>
      </w:r>
      <w:r w:rsidRPr="00AE4E8D">
        <w:rPr>
          <w:lang w:val="es-ES"/>
        </w:rPr>
        <w:t xml:space="preserve"> emitió la Comunicación “A” 5940, que modificó disposiciones de la Comunicación “A” 5689. Según dicha Comunicación, las entidades financieras que a la fecha de su emisión tengan saldos por estos conceptos registrados en la cuenta “Previsiones – Para sanciones administrativas, disciplinarias y penales”, deberán analizar, de acuerdo con los informes legales vigentes, si respecto de dichas sanciones se cumplen las condiciones para su registración contable total o parcial, de acuerdo con las disposiciones del Plan y Manual de Cuentas (es decir, que sean de probable concreción y que el monto pueda estimarse razonablemente)..</w:t>
      </w:r>
    </w:p>
    <w:p w14:paraId="423739F6" w14:textId="77777777" w:rsidR="002E07D5" w:rsidRPr="00AE4E8D" w:rsidRDefault="002E07D5" w:rsidP="0018126C">
      <w:pPr>
        <w:pStyle w:val="BHTexto"/>
        <w:rPr>
          <w:lang w:val="es-ES"/>
        </w:rPr>
      </w:pPr>
      <w:r w:rsidRPr="00AE4E8D">
        <w:rPr>
          <w:lang w:val="es-ES"/>
        </w:rPr>
        <w:lastRenderedPageBreak/>
        <w:t xml:space="preserve">En enero de 2015, la Comunicación “A” 5694 del </w:t>
      </w:r>
      <w:r w:rsidR="002C3DEF" w:rsidRPr="00AE4E8D">
        <w:rPr>
          <w:lang w:val="es-ES"/>
        </w:rPr>
        <w:t>BCRA</w:t>
      </w:r>
      <w:r w:rsidRPr="00AE4E8D">
        <w:rPr>
          <w:lang w:val="es-ES"/>
        </w:rPr>
        <w:t xml:space="preserve"> también estableció que las entidades financieras calificadas como de importancia sistémica local (D-SIBs) deberán observar una exigencia de capital mínimo adicional equivalente al 1% de los activos ponderados por riesgo (APR), exclusivamente con capital ordinario de nivel uno (COn1) de acuerdo con el cronograma descripto en “—</w:t>
      </w:r>
      <w:r w:rsidRPr="00AE4E8D">
        <w:rPr>
          <w:color w:val="000000"/>
          <w:lang w:val="es-ES"/>
        </w:rPr>
        <w:t>Requisitos de liquidez y solvencia—R</w:t>
      </w:r>
      <w:r w:rsidRPr="00AE4E8D">
        <w:rPr>
          <w:lang w:val="es-ES"/>
        </w:rPr>
        <w:t xml:space="preserve">equisitos aplicables a la distribución de dividendos” (actualmente, los APR surgen de multiplicar las exigencias de capital mínimo según las regulaciones del </w:t>
      </w:r>
      <w:r w:rsidR="002C3DEF" w:rsidRPr="00AE4E8D">
        <w:rPr>
          <w:lang w:val="es-ES"/>
        </w:rPr>
        <w:t>BCRA</w:t>
      </w:r>
      <w:r w:rsidRPr="00AE4E8D">
        <w:rPr>
          <w:lang w:val="es-ES"/>
        </w:rPr>
        <w:t xml:space="preserve"> por 12,5). De acuerdo con la Comunicación “A” 5707 del </w:t>
      </w:r>
      <w:r w:rsidR="002C3DEF" w:rsidRPr="00AE4E8D">
        <w:rPr>
          <w:lang w:val="es-ES"/>
        </w:rPr>
        <w:t>BCRA</w:t>
      </w:r>
      <w:r w:rsidRPr="00AE4E8D">
        <w:rPr>
          <w:lang w:val="es-ES"/>
        </w:rPr>
        <w:t xml:space="preserve">, modificada por Comunicación “A” 5827 del </w:t>
      </w:r>
      <w:r w:rsidR="002C3DEF" w:rsidRPr="00AE4E8D">
        <w:rPr>
          <w:lang w:val="es-ES"/>
        </w:rPr>
        <w:t>BCRA</w:t>
      </w:r>
      <w:r w:rsidRPr="00AE4E8D">
        <w:rPr>
          <w:lang w:val="es-ES"/>
        </w:rPr>
        <w:t>, si se reparten dividendos, este importe también será deducido del monto distribuible.</w:t>
      </w:r>
    </w:p>
    <w:p w14:paraId="5BB75C78" w14:textId="77777777" w:rsidR="002E07D5" w:rsidRPr="00AE4E8D" w:rsidRDefault="002E07D5" w:rsidP="0018126C">
      <w:pPr>
        <w:pStyle w:val="BHTexto"/>
        <w:rPr>
          <w:lang w:val="es-ES"/>
        </w:rPr>
      </w:pPr>
      <w:r w:rsidRPr="00AE4E8D">
        <w:rPr>
          <w:lang w:val="es-ES"/>
        </w:rPr>
        <w:t>En virtud de la Comunicación “A” 5827 del BCRA, a partir del 1 de enero de 2016, las entidades financieras deben constituir márgenes de capital adicionales a las exigencias de capitales mínimos de modo de acumular recursos propios que puedan utilizar en caso de incurrir en pérdidas, reduciendo de esta forma el riesgo de incumplimiento de dicha exigencia. Cuanto mayor sea la utilización del margen, mayor será el porcentaje de los resultados que las entidades financieras deberán retener para recomponer dicho margen. El margen de conservación del capital será del 2,5% del importe de los activos ponderados por riesgo (APR), adicional a la exigencia de capital mínimo. En los casos de entidades financieras calificadas como de importancia sistémica, el margen de conservación de capital será del 3,5% de los APR (los “Márgenes de Capital Adicionales”). El margen de conservación de capital incrementado, de corresponder, para las entidades calificadas como de importancia sistémica deberá integrarse exclusivamente con capital ordinario de nivel 1 (COn1), neto de capitales deducibles (CDCOn1).</w:t>
      </w:r>
    </w:p>
    <w:p w14:paraId="24635A16" w14:textId="77777777" w:rsidR="002E07D5" w:rsidRPr="00AE4E8D" w:rsidRDefault="002E07D5" w:rsidP="0018126C">
      <w:pPr>
        <w:pStyle w:val="BHTexto"/>
        <w:rPr>
          <w:lang w:val="es-ES"/>
        </w:rPr>
      </w:pPr>
      <w:r w:rsidRPr="00AE4E8D">
        <w:rPr>
          <w:lang w:val="es-ES"/>
        </w:rPr>
        <w:t xml:space="preserve">La distribución de resultados estará limitada cuando el nivel y composición de la responsabilidad patrimonial computable de las entidades financieras -a pesar de cumplir con la exigencia de capital mínimo-, las ubique dentro del rango del margen de conservación del capital. Esta limitación alcanza únicamente a la distribución de resultados y no a la operatoria de la entidad. Las entidades podrán seguir operando con normalidad cuando el nivel de COn1 se sitúe dentro del rango del margen de conservación. Cuando el coeficiente de capital ordinario de nivel 1 -COn1 en porcentaje de los APR- se sitúe dentro del rango del margen de conservación del capital -ampliado cuando se trate de entidades calificadas como de importancia sistémica-, la restricción a la distribución de resultados aumentará a medida que el coeficiente de COn1 se aproxime al mínimo establecido (4,5% de los APR). </w:t>
      </w:r>
    </w:p>
    <w:p w14:paraId="1283C673" w14:textId="77777777" w:rsidR="002E07D5" w:rsidRPr="00AE4E8D" w:rsidRDefault="002E07D5" w:rsidP="0018126C">
      <w:pPr>
        <w:pStyle w:val="BHTexto"/>
        <w:rPr>
          <w:lang w:val="es-ES"/>
        </w:rPr>
      </w:pPr>
      <w:r w:rsidRPr="00AE4E8D">
        <w:rPr>
          <w:lang w:val="es-ES"/>
        </w:rPr>
        <w:t>El COn1 se deberá usar en primer lugar para integrar la exigencia mínima de capital del 4,5 % de los APR. Posteriormente, y si fuese necesario debido a que la entidad no cuenta con capital adicional de nivel uno (CAn1) o capital de nivel dos (PNc) suficiente, el COn1 también se aplicará a integrar los requisitos de 6 % y 8 % de capital de nivel 1 y capital total. Sólo el remanente de COn1, en caso de que lo hubiera, podrá ser computado para satisfacer el margen de conservación.</w:t>
      </w:r>
    </w:p>
    <w:p w14:paraId="6460F60D" w14:textId="77777777" w:rsidR="002E07D5" w:rsidRPr="00AE4E8D" w:rsidRDefault="002E07D5" w:rsidP="0018126C">
      <w:pPr>
        <w:pStyle w:val="BHTexto"/>
        <w:rPr>
          <w:lang w:val="es-ES"/>
        </w:rPr>
      </w:pPr>
      <w:r w:rsidRPr="00AE4E8D">
        <w:rPr>
          <w:lang w:val="es-ES"/>
        </w:rPr>
        <w:t>La entidad que desee realizar una distribución de resultados mayor a la admitida por este régimen deberá financiar esa distribución mediante nuevos aportes de COn1 por el importe en exceso del límite correspondiente.</w:t>
      </w:r>
    </w:p>
    <w:p w14:paraId="76CC4D7A" w14:textId="77777777" w:rsidR="002E07D5" w:rsidRPr="00AE4E8D" w:rsidRDefault="002E07D5" w:rsidP="0018126C">
      <w:pPr>
        <w:pStyle w:val="BHTexto"/>
        <w:rPr>
          <w:lang w:val="es-ES"/>
        </w:rPr>
      </w:pPr>
      <w:r w:rsidRPr="00AE4E8D">
        <w:rPr>
          <w:lang w:val="es-ES"/>
        </w:rPr>
        <w:t xml:space="preserve">La Comunicación “A” 5827 del </w:t>
      </w:r>
      <w:r w:rsidR="002C3DEF" w:rsidRPr="00AE4E8D">
        <w:rPr>
          <w:lang w:val="es-ES"/>
        </w:rPr>
        <w:t>BCRA</w:t>
      </w:r>
      <w:r w:rsidRPr="00AE4E8D">
        <w:rPr>
          <w:lang w:val="es-ES"/>
        </w:rPr>
        <w:t xml:space="preserve"> también establece el margen contra-cíclico que busca garantizar que el nivel de capital de las entidades financieras se corresponda con la acumulación del riesgo sistémico asociado a una expansión excesiva del crédito y al entorno macro-financiero en general. De conformidad con dicha Comunicación, cuando a criterio del </w:t>
      </w:r>
      <w:r w:rsidR="002C3DEF" w:rsidRPr="00AE4E8D">
        <w:rPr>
          <w:lang w:val="es-ES"/>
        </w:rPr>
        <w:t>BCRA</w:t>
      </w:r>
      <w:r w:rsidRPr="00AE4E8D">
        <w:rPr>
          <w:lang w:val="es-ES"/>
        </w:rPr>
        <w:t xml:space="preserve"> el crecimiento del crédito fuera excesivo, provocando un incremento del riesgo sistémico, podrá establecer -con un período de preaviso de hasta 12 meses- la obligación de constituir el margen contra-cíclico en el rango comprendido entre el 0 % y el 2,5 % de los activos ponderados por riesgo. Asimismo, el BCRA podrá disponer su reducción o liberación cuando a su juicio ese riesgo sistémico se haya materializado o disminuido. </w:t>
      </w:r>
    </w:p>
    <w:p w14:paraId="16C52BB9" w14:textId="77777777" w:rsidR="002E07D5" w:rsidRPr="00AE4E8D" w:rsidRDefault="002E07D5" w:rsidP="0018126C">
      <w:pPr>
        <w:pStyle w:val="BHTexto"/>
        <w:rPr>
          <w:lang w:val="es-ES"/>
        </w:rPr>
      </w:pPr>
      <w:r w:rsidRPr="00AE4E8D">
        <w:rPr>
          <w:lang w:val="es-ES"/>
        </w:rPr>
        <w:t>Las entidades financieras con actividad internacional deberán analizar la ubicación geográfica de sus exposiciones crediticias con residentes del país y del exterior del sector privado y calcular el nivel requerido del margen de capital contra-cíclico como la media ponderada de los márgenes exigidos en las jurisdicciones en las que tengan alguna exposición. Al efecto de la ponderación, las exposiciones crediticias incluyen todas aquellas frente al sector privado sujetas a exigencia de capital por riesgo de crédito, abarcando también a aquellas registradas en la cartera de negociación. Para determinar a qué jurisdicción corresponde cada exposición, las entidades</w:t>
      </w:r>
      <w:r w:rsidR="00EB3492" w:rsidRPr="00AE4E8D">
        <w:rPr>
          <w:lang w:val="es-ES"/>
        </w:rPr>
        <w:t xml:space="preserve"> </w:t>
      </w:r>
      <w:r w:rsidRPr="00AE4E8D">
        <w:rPr>
          <w:lang w:val="es-ES"/>
        </w:rPr>
        <w:t>financieras</w:t>
      </w:r>
      <w:r w:rsidR="00EB3492" w:rsidRPr="00AE4E8D">
        <w:rPr>
          <w:lang w:val="es-ES"/>
        </w:rPr>
        <w:t xml:space="preserve"> </w:t>
      </w:r>
      <w:r w:rsidRPr="00AE4E8D">
        <w:rPr>
          <w:lang w:val="es-ES"/>
        </w:rPr>
        <w:t>deberán aplicar, cuando sea posible, el principio del riesgo último.</w:t>
      </w:r>
    </w:p>
    <w:p w14:paraId="252B08FD" w14:textId="77777777" w:rsidR="002E07D5" w:rsidRPr="00AE4E8D" w:rsidRDefault="002E07D5" w:rsidP="0018126C">
      <w:pPr>
        <w:pStyle w:val="BHTexto"/>
        <w:rPr>
          <w:lang w:val="es-ES"/>
        </w:rPr>
      </w:pPr>
      <w:r w:rsidRPr="00AE4E8D">
        <w:rPr>
          <w:lang w:val="es-ES"/>
        </w:rPr>
        <w:t>El requisito establecido por el margen contracíclico se observará a través de un incremento del margen de conservación de capital y deberá integrarse exclusivamente con capital ordinario de nivel 1 (COn1), neto de conceptos deducibles (CDCOn1).</w:t>
      </w:r>
    </w:p>
    <w:p w14:paraId="7F048EE6" w14:textId="77777777" w:rsidR="002E07D5" w:rsidRPr="00AE4E8D" w:rsidRDefault="002E07D5" w:rsidP="002E07D5">
      <w:pPr>
        <w:autoSpaceDE w:val="0"/>
        <w:autoSpaceDN w:val="0"/>
        <w:adjustRightInd w:val="0"/>
        <w:spacing w:after="240"/>
        <w:rPr>
          <w:rFonts w:ascii="Times New Roman" w:hAnsi="Times New Roman"/>
          <w:lang w:val="es-ES"/>
        </w:rPr>
      </w:pPr>
      <w:r w:rsidRPr="00AE4E8D">
        <w:rPr>
          <w:rFonts w:ascii="Times New Roman" w:hAnsi="Times New Roman"/>
          <w:b/>
          <w:i/>
          <w:lang w:val="es-ES"/>
        </w:rPr>
        <w:t xml:space="preserve">Riesgo de crédito </w:t>
      </w:r>
    </w:p>
    <w:p w14:paraId="6CEB0836" w14:textId="77777777" w:rsidR="002E07D5" w:rsidRPr="00AE4E8D" w:rsidRDefault="002E07D5" w:rsidP="0018126C">
      <w:pPr>
        <w:pStyle w:val="BHTexto"/>
        <w:rPr>
          <w:lang w:val="es-ES"/>
        </w:rPr>
      </w:pPr>
      <w:r w:rsidRPr="00AE4E8D">
        <w:rPr>
          <w:lang w:val="es-ES"/>
        </w:rPr>
        <w:lastRenderedPageBreak/>
        <w:t>El requerimiento de capital mínimo en relación con el riesgo de crédito de contraparte (“CRC”) se calculará dividiendo la suma del saldo diario de cada concepto por la cantidad de días correspondiente al mes. El requerimiento de capital por riesgo de crédito de contraparte se determinará aplicando la siguiente expresión:</w:t>
      </w:r>
    </w:p>
    <w:p w14:paraId="0FA6E6CC" w14:textId="77777777" w:rsidR="002E07D5" w:rsidRPr="00AE4E8D" w:rsidRDefault="002E07D5" w:rsidP="0018126C">
      <w:pPr>
        <w:pStyle w:val="BHTexto"/>
        <w:jc w:val="center"/>
        <w:rPr>
          <w:lang w:val="es-ES"/>
        </w:rPr>
      </w:pPr>
      <w:r w:rsidRPr="00AE4E8D">
        <w:rPr>
          <w:lang w:val="es-ES"/>
        </w:rPr>
        <w:t>CRC = k* (0,08* APRc) + INC.</w:t>
      </w:r>
    </w:p>
    <w:p w14:paraId="10F0D83C" w14:textId="77777777" w:rsidR="002E07D5" w:rsidRPr="00AE4E8D" w:rsidRDefault="002E07D5" w:rsidP="0018126C">
      <w:pPr>
        <w:pStyle w:val="BHTexto"/>
        <w:rPr>
          <w:lang w:val="es-ES"/>
        </w:rPr>
      </w:pPr>
      <w:r w:rsidRPr="00AE4E8D">
        <w:rPr>
          <w:lang w:val="es-ES"/>
        </w:rPr>
        <w:t>La variable “k” es el factor vinculado a la calificación (1 la calificación más alta y 5 la más baja) asignada a la entidad según la evaluación efectuada por la Superintendencia de Entidades Financieras y Cambiarias, teniendo en cuenta la siguiente escala:</w:t>
      </w:r>
    </w:p>
    <w:tbl>
      <w:tblPr>
        <w:tblW w:w="0" w:type="auto"/>
        <w:jc w:val="center"/>
        <w:tblLayout w:type="fixed"/>
        <w:tblLook w:val="0000" w:firstRow="0" w:lastRow="0" w:firstColumn="0" w:lastColumn="0" w:noHBand="0" w:noVBand="0"/>
      </w:tblPr>
      <w:tblGrid>
        <w:gridCol w:w="4320"/>
        <w:gridCol w:w="3902"/>
      </w:tblGrid>
      <w:tr w:rsidR="002E07D5" w:rsidRPr="00AE4E8D" w14:paraId="094BFA1B" w14:textId="77777777" w:rsidTr="000400C8">
        <w:trPr>
          <w:jc w:val="center"/>
        </w:trPr>
        <w:tc>
          <w:tcPr>
            <w:tcW w:w="4320" w:type="dxa"/>
            <w:tcBorders>
              <w:top w:val="nil"/>
              <w:left w:val="nil"/>
              <w:bottom w:val="single" w:sz="4" w:space="0" w:color="000000"/>
              <w:right w:val="nil"/>
            </w:tcBorders>
          </w:tcPr>
          <w:p w14:paraId="02A42B26" w14:textId="77777777" w:rsidR="002E07D5" w:rsidRPr="00AE4E8D" w:rsidRDefault="002E07D5" w:rsidP="00B52753">
            <w:pPr>
              <w:autoSpaceDE w:val="0"/>
              <w:autoSpaceDN w:val="0"/>
              <w:adjustRightInd w:val="0"/>
              <w:rPr>
                <w:rFonts w:ascii="Times New Roman" w:hAnsi="Times New Roman"/>
                <w:b/>
                <w:sz w:val="16"/>
                <w:lang w:val="es-ES"/>
              </w:rPr>
            </w:pPr>
            <w:r w:rsidRPr="00AE4E8D">
              <w:rPr>
                <w:rFonts w:ascii="Times New Roman" w:hAnsi="Times New Roman"/>
                <w:b/>
                <w:sz w:val="16"/>
                <w:lang w:val="es-ES"/>
              </w:rPr>
              <w:t>Calificación</w:t>
            </w:r>
          </w:p>
        </w:tc>
        <w:tc>
          <w:tcPr>
            <w:tcW w:w="3902" w:type="dxa"/>
            <w:tcBorders>
              <w:top w:val="nil"/>
              <w:left w:val="nil"/>
              <w:bottom w:val="single" w:sz="4" w:space="0" w:color="000000"/>
              <w:right w:val="nil"/>
            </w:tcBorders>
          </w:tcPr>
          <w:p w14:paraId="6F1810DE" w14:textId="77777777" w:rsidR="002E07D5" w:rsidRPr="00AE4E8D" w:rsidRDefault="002E07D5" w:rsidP="00B52753">
            <w:pPr>
              <w:autoSpaceDE w:val="0"/>
              <w:autoSpaceDN w:val="0"/>
              <w:adjustRightInd w:val="0"/>
              <w:rPr>
                <w:rFonts w:ascii="Times New Roman" w:hAnsi="Times New Roman"/>
                <w:b/>
                <w:sz w:val="16"/>
                <w:lang w:val="es-ES"/>
              </w:rPr>
            </w:pPr>
            <w:r w:rsidRPr="00AE4E8D">
              <w:rPr>
                <w:rFonts w:ascii="Times New Roman" w:hAnsi="Times New Roman"/>
                <w:b/>
                <w:sz w:val="16"/>
                <w:szCs w:val="16"/>
                <w:lang w:val="es-ES"/>
              </w:rPr>
              <w:t>Factor K</w:t>
            </w:r>
          </w:p>
        </w:tc>
      </w:tr>
      <w:tr w:rsidR="002E07D5" w:rsidRPr="00AE4E8D" w14:paraId="6FED81CB" w14:textId="77777777" w:rsidTr="000400C8">
        <w:trPr>
          <w:jc w:val="center"/>
        </w:trPr>
        <w:tc>
          <w:tcPr>
            <w:tcW w:w="4320" w:type="dxa"/>
            <w:tcBorders>
              <w:top w:val="single" w:sz="4" w:space="0" w:color="000000"/>
              <w:left w:val="nil"/>
              <w:bottom w:val="nil"/>
              <w:right w:val="nil"/>
            </w:tcBorders>
          </w:tcPr>
          <w:p w14:paraId="42C6A61D"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w:t>
            </w:r>
          </w:p>
        </w:tc>
        <w:tc>
          <w:tcPr>
            <w:tcW w:w="3902" w:type="dxa"/>
            <w:tcBorders>
              <w:top w:val="single" w:sz="4" w:space="0" w:color="000000"/>
              <w:left w:val="nil"/>
              <w:bottom w:val="nil"/>
              <w:right w:val="nil"/>
            </w:tcBorders>
          </w:tcPr>
          <w:p w14:paraId="59DF8B3D"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w:t>
            </w:r>
          </w:p>
        </w:tc>
      </w:tr>
      <w:tr w:rsidR="002E07D5" w:rsidRPr="00AE4E8D" w14:paraId="69927951" w14:textId="77777777" w:rsidTr="000400C8">
        <w:trPr>
          <w:jc w:val="center"/>
        </w:trPr>
        <w:tc>
          <w:tcPr>
            <w:tcW w:w="4320" w:type="dxa"/>
            <w:tcBorders>
              <w:top w:val="nil"/>
              <w:left w:val="nil"/>
              <w:bottom w:val="nil"/>
              <w:right w:val="nil"/>
            </w:tcBorders>
          </w:tcPr>
          <w:p w14:paraId="05993266" w14:textId="77777777" w:rsidR="002E07D5" w:rsidRPr="00AE4E8D" w:rsidRDefault="002E07D5" w:rsidP="00B52753">
            <w:pPr>
              <w:autoSpaceDE w:val="0"/>
              <w:autoSpaceDN w:val="0"/>
              <w:adjustRightInd w:val="0"/>
              <w:rPr>
                <w:rFonts w:ascii="Times New Roman" w:hAnsi="Times New Roman"/>
                <w:sz w:val="16"/>
                <w:lang w:val="es-ES"/>
              </w:rPr>
            </w:pPr>
            <w:r w:rsidRPr="00AE4E8D">
              <w:rPr>
                <w:rFonts w:ascii="Times New Roman" w:hAnsi="Times New Roman"/>
                <w:sz w:val="16"/>
                <w:lang w:val="es-ES"/>
              </w:rPr>
              <w:t>2</w:t>
            </w:r>
          </w:p>
        </w:tc>
        <w:tc>
          <w:tcPr>
            <w:tcW w:w="3902" w:type="dxa"/>
            <w:tcBorders>
              <w:top w:val="nil"/>
              <w:left w:val="nil"/>
              <w:bottom w:val="nil"/>
              <w:right w:val="nil"/>
            </w:tcBorders>
          </w:tcPr>
          <w:p w14:paraId="612F2B06" w14:textId="77777777" w:rsidR="002E07D5" w:rsidRPr="00AE4E8D" w:rsidRDefault="002E07D5" w:rsidP="00B52753">
            <w:pPr>
              <w:autoSpaceDE w:val="0"/>
              <w:autoSpaceDN w:val="0"/>
              <w:adjustRightInd w:val="0"/>
              <w:rPr>
                <w:rFonts w:ascii="Times New Roman" w:hAnsi="Times New Roman"/>
                <w:sz w:val="16"/>
                <w:lang w:val="es-ES"/>
              </w:rPr>
            </w:pPr>
            <w:r w:rsidRPr="00AE4E8D">
              <w:rPr>
                <w:rFonts w:ascii="Times New Roman" w:hAnsi="Times New Roman"/>
                <w:sz w:val="16"/>
                <w:lang w:val="es-ES"/>
              </w:rPr>
              <w:t>1,03</w:t>
            </w:r>
          </w:p>
        </w:tc>
      </w:tr>
      <w:tr w:rsidR="002E07D5" w:rsidRPr="00AE4E8D" w14:paraId="5305F5DE" w14:textId="77777777" w:rsidTr="000400C8">
        <w:trPr>
          <w:jc w:val="center"/>
        </w:trPr>
        <w:tc>
          <w:tcPr>
            <w:tcW w:w="4320" w:type="dxa"/>
            <w:tcBorders>
              <w:top w:val="nil"/>
              <w:left w:val="nil"/>
              <w:bottom w:val="nil"/>
              <w:right w:val="nil"/>
            </w:tcBorders>
          </w:tcPr>
          <w:p w14:paraId="33450719"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3</w:t>
            </w:r>
          </w:p>
        </w:tc>
        <w:tc>
          <w:tcPr>
            <w:tcW w:w="3902" w:type="dxa"/>
            <w:tcBorders>
              <w:top w:val="nil"/>
              <w:left w:val="nil"/>
              <w:bottom w:val="nil"/>
              <w:right w:val="nil"/>
            </w:tcBorders>
          </w:tcPr>
          <w:p w14:paraId="7A2E086B"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1,08</w:t>
            </w:r>
          </w:p>
        </w:tc>
      </w:tr>
      <w:tr w:rsidR="002E07D5" w:rsidRPr="00AE4E8D" w14:paraId="71A53FD6" w14:textId="77777777" w:rsidTr="000400C8">
        <w:trPr>
          <w:jc w:val="center"/>
        </w:trPr>
        <w:tc>
          <w:tcPr>
            <w:tcW w:w="4320" w:type="dxa"/>
            <w:tcBorders>
              <w:top w:val="nil"/>
              <w:left w:val="nil"/>
              <w:bottom w:val="nil"/>
              <w:right w:val="nil"/>
            </w:tcBorders>
          </w:tcPr>
          <w:p w14:paraId="26B62F60"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4</w:t>
            </w:r>
          </w:p>
        </w:tc>
        <w:tc>
          <w:tcPr>
            <w:tcW w:w="3902" w:type="dxa"/>
            <w:tcBorders>
              <w:top w:val="nil"/>
              <w:left w:val="nil"/>
              <w:bottom w:val="nil"/>
              <w:right w:val="nil"/>
            </w:tcBorders>
          </w:tcPr>
          <w:p w14:paraId="364434AA"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1,13</w:t>
            </w:r>
          </w:p>
        </w:tc>
      </w:tr>
      <w:tr w:rsidR="002E07D5" w:rsidRPr="00AE4E8D" w14:paraId="0BBC4FF9" w14:textId="77777777" w:rsidTr="000400C8">
        <w:trPr>
          <w:jc w:val="center"/>
        </w:trPr>
        <w:tc>
          <w:tcPr>
            <w:tcW w:w="4320" w:type="dxa"/>
            <w:tcBorders>
              <w:top w:val="nil"/>
              <w:left w:val="nil"/>
              <w:bottom w:val="nil"/>
              <w:right w:val="nil"/>
            </w:tcBorders>
          </w:tcPr>
          <w:p w14:paraId="6B8EEC07"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5</w:t>
            </w:r>
          </w:p>
        </w:tc>
        <w:tc>
          <w:tcPr>
            <w:tcW w:w="3902" w:type="dxa"/>
            <w:tcBorders>
              <w:top w:val="nil"/>
              <w:left w:val="nil"/>
              <w:bottom w:val="nil"/>
              <w:right w:val="nil"/>
            </w:tcBorders>
          </w:tcPr>
          <w:p w14:paraId="6501A8F9"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1,19</w:t>
            </w:r>
          </w:p>
        </w:tc>
      </w:tr>
    </w:tbl>
    <w:p w14:paraId="5254AC11" w14:textId="77777777" w:rsidR="002E07D5" w:rsidRPr="00AE4E8D" w:rsidRDefault="002E07D5" w:rsidP="0018126C">
      <w:pPr>
        <w:pStyle w:val="BHTexto"/>
        <w:rPr>
          <w:lang w:val="es-ES"/>
        </w:rPr>
      </w:pPr>
      <w:r w:rsidRPr="00AE4E8D">
        <w:rPr>
          <w:lang w:val="es-ES"/>
        </w:rPr>
        <w:t>“APRc” significa activos ponderados por riesgo de crédito, determinados mediante la suma de los valores obtenidos luego de aplicar la siguiente expresión:</w:t>
      </w:r>
    </w:p>
    <w:p w14:paraId="1559F340" w14:textId="77777777" w:rsidR="002E07D5" w:rsidRPr="00AE4E8D" w:rsidRDefault="002E07D5" w:rsidP="0018126C">
      <w:pPr>
        <w:pStyle w:val="BHTexto"/>
        <w:rPr>
          <w:lang w:val="es-ES"/>
        </w:rPr>
      </w:pPr>
      <w:r w:rsidRPr="00AE4E8D">
        <w:rPr>
          <w:lang w:val="es-ES"/>
        </w:rPr>
        <w:t>A x p + PFB x CCF x p + no DvP + (DVP + RCD+ INC (fraccionamiento)) x 12,5La variable “A” representa activos computables, “PFB” son los conceptos computables no registrados en el balance de saldos (“partidas fuera de balance”), CCF es el factor de conversión crediticia y p es el ponderador de riesgo.</w:t>
      </w:r>
    </w:p>
    <w:p w14:paraId="36D5A762" w14:textId="77777777" w:rsidR="002E07D5" w:rsidRPr="00AE4E8D" w:rsidRDefault="002E07D5" w:rsidP="0018126C">
      <w:pPr>
        <w:pStyle w:val="BHTexto"/>
        <w:rPr>
          <w:lang w:val="es-ES"/>
        </w:rPr>
      </w:pPr>
      <w:r w:rsidRPr="00AE4E8D">
        <w:rPr>
          <w:lang w:val="es-ES"/>
        </w:rPr>
        <w:t>Por otro lado, “no DvP” designa operaciones sin entrega contra pago; DvP son operaciones de entrega contra pago fallidas; “RCD” hace referencia a la exigencia por riesgo de crédito de contraparte en operaciones con derivados extrabursátiles (“</w:t>
      </w:r>
      <w:r w:rsidRPr="00AE4E8D">
        <w:rPr>
          <w:i/>
          <w:lang w:val="es-ES"/>
        </w:rPr>
        <w:t>over-the-counter</w:t>
      </w:r>
      <w:r w:rsidRPr="00AE4E8D">
        <w:rPr>
          <w:lang w:val="es-ES"/>
        </w:rPr>
        <w:t>” - “OTC”).</w:t>
      </w:r>
    </w:p>
    <w:p w14:paraId="3D8318DE" w14:textId="77777777" w:rsidR="002E07D5" w:rsidRPr="00AE4E8D" w:rsidRDefault="002E07D5" w:rsidP="0018126C">
      <w:pPr>
        <w:pStyle w:val="BHTexto"/>
        <w:rPr>
          <w:lang w:val="es-ES"/>
        </w:rPr>
      </w:pPr>
      <w:r w:rsidRPr="00AE4E8D">
        <w:rPr>
          <w:lang w:val="es-ES"/>
        </w:rPr>
        <w:t>La variable “INC” designa exigencias de incremento del capital mínimo por excesos en otras relaciones técnicas (por ejemplo en la relación de activos inmovilizados, el fraccionamiento y la calificación del riesgo crediticio y limitaciones a las operaciones con clientes relacionados), y la exposición crediticia resultante de la sumatoria de posiciones no cubiertas por contratos para cubrir variaciones de precios de productos básicos (“</w:t>
      </w:r>
      <w:r w:rsidRPr="00AE4E8D">
        <w:rPr>
          <w:i/>
          <w:lang w:val="es-ES"/>
        </w:rPr>
        <w:t>commodities</w:t>
      </w:r>
      <w:r w:rsidRPr="00AE4E8D">
        <w:rPr>
          <w:lang w:val="es-ES"/>
        </w:rPr>
        <w:t>”).</w:t>
      </w:r>
    </w:p>
    <w:p w14:paraId="695DD450" w14:textId="77777777" w:rsidR="002E07D5" w:rsidRPr="00AE4E8D" w:rsidRDefault="002E07D5" w:rsidP="0018126C">
      <w:pPr>
        <w:pStyle w:val="BHTexto"/>
        <w:rPr>
          <w:lang w:val="es-ES"/>
        </w:rPr>
      </w:pPr>
      <w:r w:rsidRPr="00AE4E8D">
        <w:rPr>
          <w:lang w:val="es-ES"/>
        </w:rPr>
        <w:t>En virtud de la Comunicación “A” 6128, con vigencia a partir del 1 de enero de 2017, la exigencia de capital mínimo por riesgo de crédito se determinará aplicando la siguiente expresión:</w:t>
      </w:r>
    </w:p>
    <w:p w14:paraId="4FA6EED5" w14:textId="77777777" w:rsidR="002E07D5" w:rsidRPr="00AE4E8D" w:rsidRDefault="002E07D5" w:rsidP="0018126C">
      <w:pPr>
        <w:pStyle w:val="BHTexto"/>
        <w:rPr>
          <w:lang w:val="en-US"/>
        </w:rPr>
      </w:pPr>
      <w:r w:rsidRPr="00AE4E8D">
        <w:rPr>
          <w:lang w:val="en-US"/>
        </w:rPr>
        <w:t>CRC = (k x 0</w:t>
      </w:r>
      <w:proofErr w:type="gramStart"/>
      <w:r w:rsidRPr="00AE4E8D">
        <w:rPr>
          <w:lang w:val="en-US"/>
        </w:rPr>
        <w:t>,08</w:t>
      </w:r>
      <w:proofErr w:type="gramEnd"/>
      <w:r w:rsidRPr="00AE4E8D">
        <w:rPr>
          <w:lang w:val="en-US"/>
        </w:rPr>
        <w:t xml:space="preserve"> x APRc) + INC </w:t>
      </w:r>
    </w:p>
    <w:p w14:paraId="52253F30" w14:textId="77777777" w:rsidR="002E07D5" w:rsidRPr="00AE4E8D" w:rsidRDefault="002E07D5" w:rsidP="0018126C">
      <w:pPr>
        <w:pStyle w:val="BHTexto"/>
        <w:rPr>
          <w:lang w:val="es-ES"/>
        </w:rPr>
      </w:pPr>
      <w:proofErr w:type="gramStart"/>
      <w:r w:rsidRPr="00AE4E8D">
        <w:rPr>
          <w:lang w:val="es-ES"/>
        </w:rPr>
        <w:t>donde</w:t>
      </w:r>
      <w:proofErr w:type="gramEnd"/>
      <w:r w:rsidRPr="00AE4E8D">
        <w:rPr>
          <w:lang w:val="es-ES"/>
        </w:rPr>
        <w:t>:</w:t>
      </w:r>
    </w:p>
    <w:p w14:paraId="79F5FE28" w14:textId="77777777" w:rsidR="002E07D5" w:rsidRPr="00AE4E8D" w:rsidRDefault="002E07D5" w:rsidP="0018126C">
      <w:pPr>
        <w:pStyle w:val="BHTexto"/>
        <w:rPr>
          <w:lang w:val="es-ES"/>
        </w:rPr>
      </w:pPr>
      <w:r w:rsidRPr="00AE4E8D">
        <w:rPr>
          <w:lang w:val="es-ES"/>
        </w:rPr>
        <w:t>“k”: factor determinado por la calificación (siendo 1 el más fuerte y 5 el más débil) asignada a la entidad financiera por la Superintendencia, teniendo en cuenta la siguiente escala:</w:t>
      </w:r>
    </w:p>
    <w:tbl>
      <w:tblPr>
        <w:tblW w:w="5000" w:type="pct"/>
        <w:jc w:val="center"/>
        <w:tblLook w:val="0000" w:firstRow="0" w:lastRow="0" w:firstColumn="0" w:lastColumn="0" w:noHBand="0" w:noVBand="0"/>
      </w:tblPr>
      <w:tblGrid>
        <w:gridCol w:w="4582"/>
        <w:gridCol w:w="4139"/>
      </w:tblGrid>
      <w:tr w:rsidR="002E07D5" w:rsidRPr="00AE4E8D" w14:paraId="4DDF85CA" w14:textId="77777777" w:rsidTr="000400C8">
        <w:trPr>
          <w:jc w:val="center"/>
        </w:trPr>
        <w:tc>
          <w:tcPr>
            <w:tcW w:w="2627" w:type="pct"/>
            <w:tcBorders>
              <w:top w:val="nil"/>
              <w:left w:val="nil"/>
              <w:bottom w:val="single" w:sz="4" w:space="0" w:color="000000"/>
              <w:right w:val="nil"/>
            </w:tcBorders>
          </w:tcPr>
          <w:p w14:paraId="6D24500C" w14:textId="77777777" w:rsidR="002E07D5" w:rsidRPr="00AE4E8D" w:rsidRDefault="002E07D5" w:rsidP="0014790B">
            <w:pPr>
              <w:autoSpaceDE w:val="0"/>
              <w:autoSpaceDN w:val="0"/>
              <w:adjustRightInd w:val="0"/>
              <w:rPr>
                <w:rFonts w:ascii="Times New Roman" w:hAnsi="Times New Roman"/>
                <w:b/>
                <w:sz w:val="16"/>
                <w:szCs w:val="16"/>
                <w:lang w:val="es-ES"/>
              </w:rPr>
            </w:pPr>
            <w:r w:rsidRPr="00AE4E8D">
              <w:rPr>
                <w:rFonts w:ascii="Times New Roman" w:hAnsi="Times New Roman"/>
                <w:b/>
                <w:sz w:val="16"/>
                <w:szCs w:val="16"/>
                <w:lang w:val="es-ES"/>
              </w:rPr>
              <w:t>Calificación</w:t>
            </w:r>
          </w:p>
        </w:tc>
        <w:tc>
          <w:tcPr>
            <w:tcW w:w="2373" w:type="pct"/>
            <w:tcBorders>
              <w:top w:val="nil"/>
              <w:left w:val="nil"/>
              <w:bottom w:val="single" w:sz="4" w:space="0" w:color="000000"/>
              <w:right w:val="nil"/>
            </w:tcBorders>
          </w:tcPr>
          <w:p w14:paraId="251FBE98" w14:textId="77777777" w:rsidR="002E07D5" w:rsidRPr="00AE4E8D" w:rsidRDefault="002E07D5" w:rsidP="0014790B">
            <w:pPr>
              <w:autoSpaceDE w:val="0"/>
              <w:autoSpaceDN w:val="0"/>
              <w:adjustRightInd w:val="0"/>
              <w:rPr>
                <w:rFonts w:ascii="Times New Roman" w:hAnsi="Times New Roman"/>
                <w:b/>
                <w:sz w:val="16"/>
                <w:szCs w:val="16"/>
                <w:lang w:val="es-ES"/>
              </w:rPr>
            </w:pPr>
            <w:r w:rsidRPr="00AE4E8D">
              <w:rPr>
                <w:rFonts w:ascii="Times New Roman" w:hAnsi="Times New Roman"/>
                <w:b/>
                <w:sz w:val="16"/>
                <w:szCs w:val="16"/>
                <w:lang w:val="es-ES"/>
              </w:rPr>
              <w:t>Factor K</w:t>
            </w:r>
          </w:p>
        </w:tc>
      </w:tr>
      <w:tr w:rsidR="002E07D5" w:rsidRPr="00AE4E8D" w14:paraId="43111CDD" w14:textId="77777777" w:rsidTr="000400C8">
        <w:trPr>
          <w:jc w:val="center"/>
        </w:trPr>
        <w:tc>
          <w:tcPr>
            <w:tcW w:w="2627" w:type="pct"/>
            <w:tcBorders>
              <w:top w:val="single" w:sz="4" w:space="0" w:color="000000"/>
              <w:left w:val="nil"/>
              <w:bottom w:val="nil"/>
              <w:right w:val="nil"/>
            </w:tcBorders>
          </w:tcPr>
          <w:p w14:paraId="131C758B"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w:t>
            </w:r>
          </w:p>
        </w:tc>
        <w:tc>
          <w:tcPr>
            <w:tcW w:w="2373" w:type="pct"/>
            <w:tcBorders>
              <w:top w:val="single" w:sz="4" w:space="0" w:color="000000"/>
              <w:left w:val="nil"/>
              <w:bottom w:val="nil"/>
              <w:right w:val="nil"/>
            </w:tcBorders>
          </w:tcPr>
          <w:p w14:paraId="45D62332"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w:t>
            </w:r>
          </w:p>
        </w:tc>
      </w:tr>
      <w:tr w:rsidR="002E07D5" w:rsidRPr="00AE4E8D" w14:paraId="45344422" w14:textId="77777777" w:rsidTr="000400C8">
        <w:trPr>
          <w:jc w:val="center"/>
        </w:trPr>
        <w:tc>
          <w:tcPr>
            <w:tcW w:w="2627" w:type="pct"/>
            <w:tcBorders>
              <w:top w:val="nil"/>
              <w:left w:val="nil"/>
              <w:bottom w:val="nil"/>
              <w:right w:val="nil"/>
            </w:tcBorders>
          </w:tcPr>
          <w:p w14:paraId="028D331D"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2</w:t>
            </w:r>
          </w:p>
        </w:tc>
        <w:tc>
          <w:tcPr>
            <w:tcW w:w="2373" w:type="pct"/>
            <w:tcBorders>
              <w:top w:val="nil"/>
              <w:left w:val="nil"/>
              <w:bottom w:val="nil"/>
              <w:right w:val="nil"/>
            </w:tcBorders>
          </w:tcPr>
          <w:p w14:paraId="7DEE976E"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1,03</w:t>
            </w:r>
          </w:p>
        </w:tc>
      </w:tr>
      <w:tr w:rsidR="002E07D5" w:rsidRPr="00AE4E8D" w14:paraId="5CA3285A" w14:textId="77777777" w:rsidTr="000400C8">
        <w:trPr>
          <w:jc w:val="center"/>
        </w:trPr>
        <w:tc>
          <w:tcPr>
            <w:tcW w:w="2627" w:type="pct"/>
            <w:tcBorders>
              <w:top w:val="nil"/>
              <w:left w:val="nil"/>
              <w:bottom w:val="nil"/>
              <w:right w:val="nil"/>
            </w:tcBorders>
          </w:tcPr>
          <w:p w14:paraId="0126AFC9"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3</w:t>
            </w:r>
          </w:p>
        </w:tc>
        <w:tc>
          <w:tcPr>
            <w:tcW w:w="2373" w:type="pct"/>
            <w:tcBorders>
              <w:top w:val="nil"/>
              <w:left w:val="nil"/>
              <w:bottom w:val="nil"/>
              <w:right w:val="nil"/>
            </w:tcBorders>
          </w:tcPr>
          <w:p w14:paraId="443266EB"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1,08</w:t>
            </w:r>
          </w:p>
        </w:tc>
      </w:tr>
      <w:tr w:rsidR="002E07D5" w:rsidRPr="00AE4E8D" w14:paraId="51B489AA" w14:textId="77777777" w:rsidTr="000400C8">
        <w:trPr>
          <w:jc w:val="center"/>
        </w:trPr>
        <w:tc>
          <w:tcPr>
            <w:tcW w:w="2627" w:type="pct"/>
            <w:tcBorders>
              <w:top w:val="nil"/>
              <w:left w:val="nil"/>
              <w:bottom w:val="nil"/>
              <w:right w:val="nil"/>
            </w:tcBorders>
          </w:tcPr>
          <w:p w14:paraId="7A4FE7F9"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4</w:t>
            </w:r>
          </w:p>
        </w:tc>
        <w:tc>
          <w:tcPr>
            <w:tcW w:w="2373" w:type="pct"/>
            <w:tcBorders>
              <w:top w:val="nil"/>
              <w:left w:val="nil"/>
              <w:bottom w:val="nil"/>
              <w:right w:val="nil"/>
            </w:tcBorders>
          </w:tcPr>
          <w:p w14:paraId="66832F25"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1,13</w:t>
            </w:r>
          </w:p>
        </w:tc>
      </w:tr>
      <w:tr w:rsidR="002E07D5" w:rsidRPr="00AE4E8D" w14:paraId="6D2C840C" w14:textId="77777777" w:rsidTr="000400C8">
        <w:trPr>
          <w:jc w:val="center"/>
        </w:trPr>
        <w:tc>
          <w:tcPr>
            <w:tcW w:w="2627" w:type="pct"/>
            <w:tcBorders>
              <w:top w:val="nil"/>
              <w:left w:val="nil"/>
              <w:bottom w:val="nil"/>
              <w:right w:val="nil"/>
            </w:tcBorders>
          </w:tcPr>
          <w:p w14:paraId="161215D4"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5</w:t>
            </w:r>
          </w:p>
        </w:tc>
        <w:tc>
          <w:tcPr>
            <w:tcW w:w="2373" w:type="pct"/>
            <w:tcBorders>
              <w:top w:val="nil"/>
              <w:left w:val="nil"/>
              <w:bottom w:val="nil"/>
              <w:right w:val="nil"/>
            </w:tcBorders>
          </w:tcPr>
          <w:p w14:paraId="4EDC1C0A"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1,19</w:t>
            </w:r>
          </w:p>
        </w:tc>
      </w:tr>
    </w:tbl>
    <w:p w14:paraId="5FD2A716" w14:textId="77777777" w:rsidR="002E07D5" w:rsidRPr="00AE4E8D" w:rsidRDefault="002E07D5" w:rsidP="0018126C">
      <w:pPr>
        <w:pStyle w:val="BHTexto"/>
        <w:rPr>
          <w:lang w:val="es-ES"/>
        </w:rPr>
      </w:pPr>
      <w:r w:rsidRPr="00AE4E8D">
        <w:rPr>
          <w:lang w:val="es-ES"/>
        </w:rPr>
        <w:t>Para el cálculo del requerimiento de capital, la calificación será aquella que corresponda al tercer mes siguiente a aquel en que tenga lugar la más reciente calificación informada a la entidad financiera. En tanto no se comunique, el valor de “k” será igual a 1,03.</w:t>
      </w:r>
    </w:p>
    <w:p w14:paraId="2F60D208" w14:textId="77777777" w:rsidR="002E07D5" w:rsidRPr="00AE4E8D" w:rsidRDefault="002E07D5" w:rsidP="0018126C">
      <w:pPr>
        <w:pStyle w:val="BHTexto"/>
        <w:rPr>
          <w:lang w:val="es-ES"/>
        </w:rPr>
      </w:pPr>
      <w:r w:rsidRPr="00AE4E8D">
        <w:rPr>
          <w:lang w:val="es-ES"/>
        </w:rPr>
        <w:t>APRc: activos ponderados por riesgo de crédito, calculados mediante la suma de los siguientes:</w:t>
      </w:r>
    </w:p>
    <w:p w14:paraId="30664AFC" w14:textId="77777777" w:rsidR="002E07D5" w:rsidRPr="00AE4E8D" w:rsidRDefault="002E07D5" w:rsidP="0018126C">
      <w:pPr>
        <w:pStyle w:val="BHTexto"/>
        <w:ind w:left="567"/>
        <w:rPr>
          <w:lang w:val="es-ES"/>
        </w:rPr>
      </w:pPr>
      <w:r w:rsidRPr="00AE4E8D">
        <w:rPr>
          <w:lang w:val="es-ES"/>
        </w:rPr>
        <w:t>A x p + PFB x CCF x p + no DvP + (DVP + RCD+ INC (fraccionamiento)) x 12,5donde:</w:t>
      </w:r>
    </w:p>
    <w:p w14:paraId="5F57635C" w14:textId="77777777" w:rsidR="002E07D5" w:rsidRPr="00AE4E8D" w:rsidRDefault="002E07D5" w:rsidP="0018126C">
      <w:pPr>
        <w:pStyle w:val="BHTexto"/>
        <w:ind w:left="567"/>
        <w:rPr>
          <w:lang w:val="es-ES"/>
        </w:rPr>
      </w:pPr>
      <w:r w:rsidRPr="00AE4E8D">
        <w:rPr>
          <w:lang w:val="es-ES"/>
        </w:rPr>
        <w:t>“A”: activos computables/exposiciones.</w:t>
      </w:r>
    </w:p>
    <w:p w14:paraId="368BBB01" w14:textId="77777777" w:rsidR="002E07D5" w:rsidRPr="00AE4E8D" w:rsidRDefault="002E07D5" w:rsidP="0018126C">
      <w:pPr>
        <w:pStyle w:val="BHTexto"/>
        <w:ind w:left="567"/>
        <w:rPr>
          <w:lang w:val="es-ES"/>
        </w:rPr>
      </w:pPr>
      <w:r w:rsidRPr="00AE4E8D">
        <w:rPr>
          <w:lang w:val="es-ES"/>
        </w:rPr>
        <w:t>“PFB”: conceptos computables no registrados en el balance de saldos (“partidas fuera de balance”), se encuentren o no contabilizados en cuentas de orden.</w:t>
      </w:r>
    </w:p>
    <w:p w14:paraId="2991F57F" w14:textId="77777777" w:rsidR="002E07D5" w:rsidRPr="00AE4E8D" w:rsidRDefault="002E07D5" w:rsidP="0018126C">
      <w:pPr>
        <w:pStyle w:val="BHTexto"/>
        <w:ind w:left="567"/>
        <w:rPr>
          <w:lang w:val="es-ES"/>
        </w:rPr>
      </w:pPr>
      <w:r w:rsidRPr="00AE4E8D">
        <w:rPr>
          <w:lang w:val="es-ES"/>
        </w:rPr>
        <w:t>“CCF”: factor de conversión crediticia.</w:t>
      </w:r>
    </w:p>
    <w:p w14:paraId="5F83E4B3" w14:textId="77777777" w:rsidR="002E07D5" w:rsidRPr="00AE4E8D" w:rsidRDefault="002E07D5" w:rsidP="0018126C">
      <w:pPr>
        <w:pStyle w:val="BHTexto"/>
        <w:ind w:left="567"/>
        <w:rPr>
          <w:lang w:val="es-ES"/>
        </w:rPr>
      </w:pPr>
      <w:r w:rsidRPr="00AE4E8D">
        <w:rPr>
          <w:lang w:val="es-ES"/>
        </w:rPr>
        <w:t>“p”: ponderador de riesgo, en tanto por uno.</w:t>
      </w:r>
    </w:p>
    <w:p w14:paraId="61E97F84" w14:textId="77777777" w:rsidR="002E07D5" w:rsidRPr="00AE4E8D" w:rsidRDefault="002E07D5" w:rsidP="0018126C">
      <w:pPr>
        <w:pStyle w:val="BHTexto"/>
        <w:ind w:left="567"/>
        <w:rPr>
          <w:lang w:val="es-ES"/>
        </w:rPr>
      </w:pPr>
      <w:r w:rsidRPr="00AE4E8D">
        <w:rPr>
          <w:lang w:val="es-ES"/>
        </w:rPr>
        <w:lastRenderedPageBreak/>
        <w:t>“no DvP”: operaciones sin entrega contra pago. Importe determinado mediante la suma de los valores obtenidos luego de aplicar a las operaciones comprendidas el correspondiente ponderador de riesgo (p).</w:t>
      </w:r>
    </w:p>
    <w:p w14:paraId="55CDD8A6" w14:textId="77777777" w:rsidR="002E07D5" w:rsidRPr="00AE4E8D" w:rsidRDefault="002E07D5" w:rsidP="0018126C">
      <w:pPr>
        <w:pStyle w:val="BHTexto"/>
        <w:ind w:left="567"/>
        <w:rPr>
          <w:lang w:val="es-ES"/>
        </w:rPr>
      </w:pPr>
      <w:r w:rsidRPr="00AE4E8D">
        <w:rPr>
          <w:lang w:val="es-ES"/>
        </w:rPr>
        <w:t>“DvP”: operaciones de entrega contra pago fallidas (a los efectos de estas normas, incluyen las operaciones de pago contra pago -PvP- fallidas). Importe determinado mediante la suma de los valores obtenidos luego de multiplicar la exposición actual positiva por la exigencia de capital aplicable.</w:t>
      </w:r>
    </w:p>
    <w:p w14:paraId="54FD2F25" w14:textId="77777777" w:rsidR="002E07D5" w:rsidRPr="00AE4E8D" w:rsidRDefault="002E07D5" w:rsidP="0018126C">
      <w:pPr>
        <w:pStyle w:val="BHTexto"/>
        <w:ind w:left="567"/>
        <w:rPr>
          <w:lang w:val="es-ES"/>
        </w:rPr>
      </w:pPr>
      <w:r w:rsidRPr="00AE4E8D">
        <w:rPr>
          <w:lang w:val="es-ES"/>
        </w:rPr>
        <w:t>“RCD”: exigencia por riesgo de crédito de contraparte en operaciones con derivados extrabursátiles (“over-the-counter” - OTC).</w:t>
      </w:r>
    </w:p>
    <w:p w14:paraId="10068C4A" w14:textId="77777777" w:rsidR="002E07D5" w:rsidRPr="00AE4E8D" w:rsidRDefault="002E07D5" w:rsidP="0018126C">
      <w:pPr>
        <w:pStyle w:val="BHTexto"/>
        <w:ind w:left="567"/>
        <w:rPr>
          <w:lang w:val="es-ES"/>
        </w:rPr>
      </w:pPr>
      <w:r w:rsidRPr="00AE4E8D">
        <w:rPr>
          <w:lang w:val="es-ES"/>
        </w:rPr>
        <w:t>“</w:t>
      </w:r>
      <w:proofErr w:type="gramStart"/>
      <w:r w:rsidRPr="00AE4E8D">
        <w:rPr>
          <w:lang w:val="es-ES"/>
        </w:rPr>
        <w:t>INC</w:t>
      </w:r>
      <w:r w:rsidRPr="00AE4E8D">
        <w:rPr>
          <w:vertAlign w:val="subscript"/>
          <w:lang w:val="es-ES"/>
        </w:rPr>
        <w:t>(</w:t>
      </w:r>
      <w:proofErr w:type="gramEnd"/>
      <w:r w:rsidRPr="00AE4E8D">
        <w:rPr>
          <w:vertAlign w:val="subscript"/>
          <w:lang w:val="es-ES"/>
        </w:rPr>
        <w:t>fraccionamiento)</w:t>
      </w:r>
      <w:r w:rsidRPr="00AE4E8D">
        <w:rPr>
          <w:lang w:val="es-ES"/>
        </w:rPr>
        <w:t>”: incremento por los excesos a los siguientes límites:</w:t>
      </w:r>
    </w:p>
    <w:p w14:paraId="6640B14C" w14:textId="77777777" w:rsidR="002E07D5" w:rsidRPr="00AE4E8D" w:rsidRDefault="002E07D5" w:rsidP="0018126C">
      <w:pPr>
        <w:pStyle w:val="BHTexto"/>
        <w:ind w:left="1418"/>
        <w:rPr>
          <w:lang w:val="es-ES"/>
        </w:rPr>
      </w:pPr>
      <w:r w:rsidRPr="00AE4E8D">
        <w:rPr>
          <w:lang w:val="es-ES"/>
        </w:rPr>
        <w:t>- participación en el capital de empresa: 15%;</w:t>
      </w:r>
    </w:p>
    <w:p w14:paraId="5ADE9636" w14:textId="77777777" w:rsidR="002E07D5" w:rsidRPr="00AE4E8D" w:rsidRDefault="002E07D5" w:rsidP="0018126C">
      <w:pPr>
        <w:pStyle w:val="BHTexto"/>
        <w:ind w:left="1418"/>
        <w:rPr>
          <w:lang w:val="es-ES"/>
        </w:rPr>
      </w:pPr>
      <w:r w:rsidRPr="00AE4E8D">
        <w:rPr>
          <w:lang w:val="es-ES"/>
        </w:rPr>
        <w:t>- total de participaciones en el capital de empresas: 60%.</w:t>
      </w:r>
    </w:p>
    <w:p w14:paraId="28357B26" w14:textId="77777777" w:rsidR="002E07D5" w:rsidRPr="00AE4E8D" w:rsidRDefault="002E07D5" w:rsidP="0018126C">
      <w:pPr>
        <w:pStyle w:val="BHTexto"/>
        <w:ind w:left="567"/>
        <w:rPr>
          <w:lang w:val="es-ES"/>
        </w:rPr>
      </w:pPr>
      <w:r w:rsidRPr="00AE4E8D">
        <w:rPr>
          <w:lang w:val="es-ES"/>
        </w:rPr>
        <w:t>Los límites máximos establecidos se aplicarán sobre la responsabilidad patrimonial computable de la entidad financiera del último día anterior al que corresponda, conforme a lo establecido en las normas sobre “Fraccionamiento del riesgo crediticio”.</w:t>
      </w:r>
    </w:p>
    <w:p w14:paraId="26C21901" w14:textId="77777777" w:rsidR="002E07D5" w:rsidRPr="00AE4E8D" w:rsidRDefault="002E07D5" w:rsidP="0018126C">
      <w:pPr>
        <w:pStyle w:val="BHTexto"/>
        <w:ind w:left="567"/>
        <w:rPr>
          <w:lang w:val="es-ES"/>
        </w:rPr>
      </w:pPr>
      <w:r w:rsidRPr="00AE4E8D">
        <w:rPr>
          <w:lang w:val="es-ES"/>
        </w:rPr>
        <w:t>“INC”: incremento por los excesos en la relación de activos inmovilizados y otros conceptos; los límites establecidos en las normas sobre “Fraccionamiento del riesgo crediticio”; y los límites de graduación del crédito.</w:t>
      </w:r>
    </w:p>
    <w:p w14:paraId="7F45F7AD" w14:textId="77777777" w:rsidR="002E07D5" w:rsidRPr="00AE4E8D" w:rsidRDefault="002E07D5" w:rsidP="002E07D5">
      <w:pPr>
        <w:autoSpaceDE w:val="0"/>
        <w:autoSpaceDN w:val="0"/>
        <w:adjustRightInd w:val="0"/>
        <w:spacing w:after="240"/>
        <w:jc w:val="both"/>
        <w:rPr>
          <w:rStyle w:val="BHTextoCar"/>
          <w:lang w:val="es-ES"/>
        </w:rPr>
      </w:pPr>
      <w:r w:rsidRPr="00AE4E8D">
        <w:rPr>
          <w:rFonts w:ascii="Times New Roman" w:hAnsi="Times New Roman"/>
          <w:lang w:val="es-ES"/>
        </w:rPr>
        <w:t xml:space="preserve">Cada tipo de activo se pondera de acuerdo con el nivel de riesgo asumido que se asociará con él. En </w:t>
      </w:r>
      <w:r w:rsidRPr="00AE4E8D">
        <w:rPr>
          <w:rStyle w:val="BHTextoCar"/>
          <w:lang w:val="es-ES"/>
        </w:rPr>
        <w:t>términos amplios, los ponderadores asignados a los distintos tipos de activo son los siguientes:</w:t>
      </w:r>
    </w:p>
    <w:tbl>
      <w:tblPr>
        <w:tblW w:w="0" w:type="auto"/>
        <w:tblLook w:val="0000" w:firstRow="0" w:lastRow="0" w:firstColumn="0" w:lastColumn="0" w:noHBand="0" w:noVBand="0"/>
      </w:tblPr>
      <w:tblGrid>
        <w:gridCol w:w="6679"/>
        <w:gridCol w:w="2041"/>
      </w:tblGrid>
      <w:tr w:rsidR="002E07D5" w:rsidRPr="00AE4E8D" w14:paraId="6984D5B9" w14:textId="77777777" w:rsidTr="000400C8">
        <w:trPr>
          <w:tblHeader/>
        </w:trPr>
        <w:tc>
          <w:tcPr>
            <w:tcW w:w="6679" w:type="dxa"/>
            <w:tcBorders>
              <w:top w:val="nil"/>
              <w:left w:val="nil"/>
              <w:bottom w:val="nil"/>
              <w:right w:val="nil"/>
            </w:tcBorders>
          </w:tcPr>
          <w:p w14:paraId="3A3BB084" w14:textId="77777777" w:rsidR="002E07D5" w:rsidRPr="00AE4E8D" w:rsidRDefault="002E07D5" w:rsidP="0014790B">
            <w:pPr>
              <w:pBdr>
                <w:bottom w:val="single" w:sz="4" w:space="1" w:color="000000"/>
              </w:pBdr>
              <w:autoSpaceDE w:val="0"/>
              <w:autoSpaceDN w:val="0"/>
              <w:adjustRightInd w:val="0"/>
              <w:jc w:val="center"/>
              <w:rPr>
                <w:rFonts w:ascii="Times New Roman" w:hAnsi="Times New Roman"/>
                <w:b/>
                <w:sz w:val="16"/>
                <w:szCs w:val="16"/>
                <w:lang w:val="es-ES"/>
              </w:rPr>
            </w:pPr>
            <w:r w:rsidRPr="00AE4E8D">
              <w:rPr>
                <w:rFonts w:ascii="Times New Roman" w:hAnsi="Times New Roman"/>
                <w:b/>
                <w:sz w:val="16"/>
                <w:szCs w:val="16"/>
                <w:lang w:val="es-ES"/>
              </w:rPr>
              <w:t>Tipo de Activo</w:t>
            </w:r>
          </w:p>
        </w:tc>
        <w:tc>
          <w:tcPr>
            <w:tcW w:w="2041" w:type="dxa"/>
            <w:tcBorders>
              <w:top w:val="nil"/>
              <w:left w:val="nil"/>
              <w:bottom w:val="nil"/>
              <w:right w:val="nil"/>
            </w:tcBorders>
          </w:tcPr>
          <w:p w14:paraId="1EEF9DC8" w14:textId="77777777" w:rsidR="002E07D5" w:rsidRPr="00AE4E8D" w:rsidRDefault="002E07D5" w:rsidP="0014790B">
            <w:pPr>
              <w:pBdr>
                <w:bottom w:val="single" w:sz="4" w:space="1" w:color="000000"/>
              </w:pBdr>
              <w:autoSpaceDE w:val="0"/>
              <w:autoSpaceDN w:val="0"/>
              <w:adjustRightInd w:val="0"/>
              <w:jc w:val="center"/>
              <w:rPr>
                <w:rFonts w:ascii="Times New Roman" w:hAnsi="Times New Roman"/>
                <w:b/>
                <w:sz w:val="16"/>
                <w:szCs w:val="16"/>
                <w:lang w:val="es-ES"/>
              </w:rPr>
            </w:pPr>
            <w:r w:rsidRPr="00AE4E8D">
              <w:rPr>
                <w:rFonts w:ascii="Times New Roman" w:hAnsi="Times New Roman"/>
                <w:b/>
                <w:sz w:val="16"/>
                <w:szCs w:val="16"/>
                <w:lang w:val="es-ES"/>
              </w:rPr>
              <w:t>Ponderador (%)</w:t>
            </w:r>
          </w:p>
        </w:tc>
      </w:tr>
      <w:tr w:rsidR="002E07D5" w:rsidRPr="00AE4E8D" w14:paraId="10F99D79" w14:textId="77777777" w:rsidTr="000400C8">
        <w:tc>
          <w:tcPr>
            <w:tcW w:w="6679" w:type="dxa"/>
            <w:tcBorders>
              <w:top w:val="nil"/>
              <w:left w:val="nil"/>
              <w:bottom w:val="nil"/>
              <w:right w:val="nil"/>
            </w:tcBorders>
          </w:tcPr>
          <w:p w14:paraId="280812C5" w14:textId="77777777" w:rsidR="002E07D5" w:rsidRPr="00AE4E8D" w:rsidRDefault="002E07D5" w:rsidP="0014790B">
            <w:pPr>
              <w:tabs>
                <w:tab w:val="left" w:pos="180"/>
                <w:tab w:val="left" w:pos="360"/>
                <w:tab w:val="left" w:leader="dot" w:pos="7182"/>
              </w:tabs>
              <w:autoSpaceDE w:val="0"/>
              <w:autoSpaceDN w:val="0"/>
              <w:adjustRightInd w:val="0"/>
              <w:ind w:left="180" w:right="252" w:hanging="180"/>
              <w:rPr>
                <w:rFonts w:ascii="Times New Roman" w:hAnsi="Times New Roman"/>
                <w:i/>
                <w:sz w:val="16"/>
                <w:szCs w:val="16"/>
                <w:lang w:val="es-ES"/>
              </w:rPr>
            </w:pPr>
            <w:r w:rsidRPr="00AE4E8D">
              <w:rPr>
                <w:rFonts w:ascii="Times New Roman" w:hAnsi="Times New Roman"/>
                <w:i/>
                <w:sz w:val="16"/>
                <w:szCs w:val="16"/>
                <w:lang w:val="es-ES"/>
              </w:rPr>
              <w:t xml:space="preserve">Efectivo y equivalentes de efectivo </w:t>
            </w:r>
          </w:p>
        </w:tc>
        <w:tc>
          <w:tcPr>
            <w:tcW w:w="2041" w:type="dxa"/>
            <w:tcBorders>
              <w:top w:val="nil"/>
              <w:left w:val="nil"/>
              <w:bottom w:val="nil"/>
              <w:right w:val="nil"/>
            </w:tcBorders>
            <w:vAlign w:val="bottom"/>
          </w:tcPr>
          <w:p w14:paraId="58C4CD02" w14:textId="77777777" w:rsidR="002E07D5" w:rsidRPr="00AE4E8D" w:rsidRDefault="002E07D5" w:rsidP="0014790B">
            <w:pPr>
              <w:autoSpaceDE w:val="0"/>
              <w:autoSpaceDN w:val="0"/>
              <w:adjustRightInd w:val="0"/>
              <w:jc w:val="center"/>
              <w:rPr>
                <w:rFonts w:ascii="Times New Roman" w:hAnsi="Times New Roman"/>
                <w:sz w:val="16"/>
                <w:szCs w:val="16"/>
                <w:lang w:val="es-ES"/>
              </w:rPr>
            </w:pPr>
          </w:p>
        </w:tc>
      </w:tr>
      <w:tr w:rsidR="002E07D5" w:rsidRPr="00AE4E8D" w14:paraId="045B5CC0" w14:textId="77777777" w:rsidTr="000400C8">
        <w:tc>
          <w:tcPr>
            <w:tcW w:w="6679" w:type="dxa"/>
            <w:tcBorders>
              <w:top w:val="nil"/>
              <w:left w:val="nil"/>
              <w:bottom w:val="nil"/>
              <w:right w:val="nil"/>
            </w:tcBorders>
          </w:tcPr>
          <w:p w14:paraId="531AD2F8" w14:textId="77777777" w:rsidR="002E07D5" w:rsidRPr="00AE4E8D" w:rsidRDefault="002E07D5" w:rsidP="0014790B">
            <w:pPr>
              <w:autoSpaceDE w:val="0"/>
              <w:autoSpaceDN w:val="0"/>
              <w:adjustRightInd w:val="0"/>
              <w:jc w:val="both"/>
              <w:rPr>
                <w:rFonts w:ascii="Times New Roman" w:hAnsi="Times New Roman"/>
                <w:sz w:val="16"/>
                <w:szCs w:val="16"/>
                <w:lang w:val="es-ES"/>
              </w:rPr>
            </w:pPr>
            <w:r w:rsidRPr="00AE4E8D">
              <w:rPr>
                <w:rFonts w:ascii="Times New Roman" w:hAnsi="Times New Roman"/>
                <w:sz w:val="16"/>
                <w:szCs w:val="16"/>
                <w:lang w:val="es-ES"/>
              </w:rPr>
              <w:t>Efectivo en caja, en tránsito (cuando la entidad financiera asuma</w:t>
            </w:r>
          </w:p>
          <w:p w14:paraId="471C4DC8"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 xml:space="preserve">la responsabilidad y riesgo del traslado), en cajeros automáticos, en cuentas corrientes y en cuentas especiales en el </w:t>
            </w:r>
            <w:r w:rsidR="002C3DEF" w:rsidRPr="00AE4E8D">
              <w:rPr>
                <w:rFonts w:ascii="Times New Roman" w:hAnsi="Times New Roman"/>
                <w:sz w:val="16"/>
                <w:szCs w:val="16"/>
                <w:lang w:val="es-ES"/>
              </w:rPr>
              <w:t>BCRA</w:t>
            </w:r>
            <w:r w:rsidRPr="00AE4E8D">
              <w:rPr>
                <w:rFonts w:ascii="Times New Roman" w:hAnsi="Times New Roman"/>
                <w:sz w:val="16"/>
                <w:szCs w:val="16"/>
                <w:lang w:val="es-ES"/>
              </w:rPr>
              <w:t>, oro amonedado o en barras</w:t>
            </w:r>
          </w:p>
        </w:tc>
        <w:tc>
          <w:tcPr>
            <w:tcW w:w="2041" w:type="dxa"/>
            <w:tcBorders>
              <w:top w:val="nil"/>
              <w:left w:val="nil"/>
              <w:bottom w:val="nil"/>
              <w:right w:val="nil"/>
            </w:tcBorders>
            <w:vAlign w:val="bottom"/>
          </w:tcPr>
          <w:p w14:paraId="23E0DBC2"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0</w:t>
            </w:r>
          </w:p>
        </w:tc>
      </w:tr>
      <w:tr w:rsidR="002E07D5" w:rsidRPr="00AE4E8D" w14:paraId="12711975" w14:textId="77777777" w:rsidTr="000400C8">
        <w:tc>
          <w:tcPr>
            <w:tcW w:w="6679" w:type="dxa"/>
            <w:tcBorders>
              <w:top w:val="nil"/>
              <w:left w:val="nil"/>
              <w:bottom w:val="nil"/>
              <w:right w:val="nil"/>
            </w:tcBorders>
          </w:tcPr>
          <w:p w14:paraId="4001D8DD" w14:textId="77777777" w:rsidR="002E07D5" w:rsidRPr="00AE4E8D" w:rsidRDefault="002E07D5" w:rsidP="0014790B">
            <w:pPr>
              <w:autoSpaceDE w:val="0"/>
              <w:autoSpaceDN w:val="0"/>
              <w:adjustRightInd w:val="0"/>
              <w:jc w:val="both"/>
              <w:rPr>
                <w:rFonts w:ascii="Times New Roman" w:hAnsi="Times New Roman"/>
                <w:sz w:val="16"/>
                <w:szCs w:val="16"/>
                <w:lang w:val="es-ES"/>
              </w:rPr>
            </w:pPr>
            <w:r w:rsidRPr="00AE4E8D">
              <w:rPr>
                <w:rFonts w:ascii="Times New Roman" w:hAnsi="Times New Roman"/>
                <w:sz w:val="16"/>
                <w:szCs w:val="16"/>
                <w:lang w:val="es-ES"/>
              </w:rPr>
              <w:t>Partidas de efectivo que estén en trámite de ser percibidas, efectivo en empresas transportadoras de caudales y efectivo en custodia en entidades financieras.</w:t>
            </w:r>
          </w:p>
        </w:tc>
        <w:tc>
          <w:tcPr>
            <w:tcW w:w="2041" w:type="dxa"/>
            <w:tcBorders>
              <w:top w:val="nil"/>
              <w:left w:val="nil"/>
              <w:bottom w:val="nil"/>
              <w:right w:val="nil"/>
            </w:tcBorders>
            <w:vAlign w:val="bottom"/>
          </w:tcPr>
          <w:p w14:paraId="21E96915"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20</w:t>
            </w:r>
          </w:p>
        </w:tc>
      </w:tr>
      <w:tr w:rsidR="002E07D5" w:rsidRPr="00AE4E8D" w14:paraId="60F6A423" w14:textId="77777777" w:rsidTr="000400C8">
        <w:tc>
          <w:tcPr>
            <w:tcW w:w="6679" w:type="dxa"/>
            <w:tcBorders>
              <w:top w:val="nil"/>
              <w:left w:val="nil"/>
              <w:bottom w:val="nil"/>
              <w:right w:val="nil"/>
            </w:tcBorders>
          </w:tcPr>
          <w:p w14:paraId="17EA5447"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i/>
                <w:sz w:val="16"/>
                <w:szCs w:val="16"/>
                <w:lang w:val="es-ES"/>
              </w:rPr>
              <w:t xml:space="preserve">Exposición a gobiernos y bancos centrales </w:t>
            </w:r>
          </w:p>
        </w:tc>
        <w:tc>
          <w:tcPr>
            <w:tcW w:w="2041" w:type="dxa"/>
            <w:tcBorders>
              <w:top w:val="nil"/>
              <w:left w:val="nil"/>
              <w:bottom w:val="nil"/>
              <w:right w:val="nil"/>
            </w:tcBorders>
            <w:vAlign w:val="bottom"/>
          </w:tcPr>
          <w:p w14:paraId="13AFF92B" w14:textId="77777777" w:rsidR="002E07D5" w:rsidRPr="00AE4E8D" w:rsidRDefault="002E07D5" w:rsidP="0014790B">
            <w:pPr>
              <w:autoSpaceDE w:val="0"/>
              <w:autoSpaceDN w:val="0"/>
              <w:adjustRightInd w:val="0"/>
              <w:jc w:val="center"/>
              <w:rPr>
                <w:rFonts w:ascii="Times New Roman" w:hAnsi="Times New Roman"/>
                <w:sz w:val="16"/>
                <w:szCs w:val="16"/>
                <w:lang w:val="es-ES"/>
              </w:rPr>
            </w:pPr>
          </w:p>
        </w:tc>
      </w:tr>
      <w:tr w:rsidR="002E07D5" w:rsidRPr="00AE4E8D" w14:paraId="4BEEC155" w14:textId="77777777" w:rsidTr="000400C8">
        <w:tc>
          <w:tcPr>
            <w:tcW w:w="6679" w:type="dxa"/>
            <w:tcBorders>
              <w:top w:val="nil"/>
              <w:left w:val="nil"/>
              <w:bottom w:val="nil"/>
              <w:right w:val="nil"/>
            </w:tcBorders>
          </w:tcPr>
          <w:p w14:paraId="7103B16C" w14:textId="77777777" w:rsidR="002E07D5" w:rsidRPr="00AE4E8D" w:rsidRDefault="002E07D5" w:rsidP="0014790B">
            <w:pPr>
              <w:autoSpaceDE w:val="0"/>
              <w:autoSpaceDN w:val="0"/>
              <w:adjustRightInd w:val="0"/>
              <w:jc w:val="both"/>
              <w:rPr>
                <w:rFonts w:ascii="Times New Roman" w:hAnsi="Times New Roman"/>
                <w:sz w:val="16"/>
                <w:szCs w:val="16"/>
                <w:lang w:val="es-ES"/>
              </w:rPr>
            </w:pPr>
            <w:r w:rsidRPr="00AE4E8D">
              <w:rPr>
                <w:rFonts w:ascii="Times New Roman" w:hAnsi="Times New Roman"/>
                <w:sz w:val="16"/>
                <w:szCs w:val="16"/>
                <w:lang w:val="es-ES"/>
              </w:rPr>
              <w:t xml:space="preserve">Al </w:t>
            </w:r>
            <w:r w:rsidR="002C3DEF" w:rsidRPr="00AE4E8D">
              <w:rPr>
                <w:rFonts w:ascii="Times New Roman" w:hAnsi="Times New Roman"/>
                <w:sz w:val="16"/>
                <w:szCs w:val="16"/>
                <w:lang w:val="es-ES"/>
              </w:rPr>
              <w:t>BCRA</w:t>
            </w:r>
            <w:r w:rsidRPr="00AE4E8D">
              <w:rPr>
                <w:rFonts w:ascii="Times New Roman" w:hAnsi="Times New Roman"/>
                <w:sz w:val="16"/>
                <w:szCs w:val="16"/>
                <w:lang w:val="es-ES"/>
              </w:rPr>
              <w:t xml:space="preserve"> en pesos, cuando su fuente de fondos sea en esa moneda.</w:t>
            </w:r>
          </w:p>
        </w:tc>
        <w:tc>
          <w:tcPr>
            <w:tcW w:w="2041" w:type="dxa"/>
            <w:tcBorders>
              <w:top w:val="nil"/>
              <w:left w:val="nil"/>
              <w:bottom w:val="nil"/>
              <w:right w:val="nil"/>
            </w:tcBorders>
            <w:vAlign w:val="bottom"/>
          </w:tcPr>
          <w:p w14:paraId="35BA6CDA"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0</w:t>
            </w:r>
          </w:p>
        </w:tc>
      </w:tr>
      <w:tr w:rsidR="002E07D5" w:rsidRPr="00AE4E8D" w14:paraId="6C424996" w14:textId="77777777" w:rsidTr="000400C8">
        <w:tc>
          <w:tcPr>
            <w:tcW w:w="6679" w:type="dxa"/>
            <w:tcBorders>
              <w:top w:val="nil"/>
              <w:left w:val="nil"/>
              <w:bottom w:val="nil"/>
              <w:right w:val="nil"/>
            </w:tcBorders>
          </w:tcPr>
          <w:p w14:paraId="217BC76D" w14:textId="77777777" w:rsidR="002E07D5" w:rsidRPr="00AE4E8D" w:rsidRDefault="002E07D5" w:rsidP="0014790B">
            <w:pPr>
              <w:autoSpaceDE w:val="0"/>
              <w:autoSpaceDN w:val="0"/>
              <w:adjustRightInd w:val="0"/>
              <w:jc w:val="both"/>
              <w:rPr>
                <w:rFonts w:ascii="Times New Roman" w:hAnsi="Times New Roman"/>
                <w:sz w:val="16"/>
                <w:szCs w:val="16"/>
                <w:lang w:val="es-ES"/>
              </w:rPr>
            </w:pPr>
            <w:r w:rsidRPr="00AE4E8D">
              <w:rPr>
                <w:rFonts w:ascii="Times New Roman" w:hAnsi="Times New Roman"/>
                <w:sz w:val="16"/>
                <w:szCs w:val="16"/>
                <w:lang w:val="es-ES"/>
              </w:rPr>
              <w:t xml:space="preserve">Al sector público no financiero en pesos, cuando su fuente de fondos sea en esa moneda, incluidas las operaciones securitizadas. </w:t>
            </w:r>
          </w:p>
        </w:tc>
        <w:tc>
          <w:tcPr>
            <w:tcW w:w="2041" w:type="dxa"/>
            <w:tcBorders>
              <w:top w:val="nil"/>
              <w:left w:val="nil"/>
              <w:bottom w:val="nil"/>
              <w:right w:val="nil"/>
            </w:tcBorders>
            <w:vAlign w:val="bottom"/>
          </w:tcPr>
          <w:p w14:paraId="249E6981"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0</w:t>
            </w:r>
          </w:p>
        </w:tc>
      </w:tr>
      <w:tr w:rsidR="002E07D5" w:rsidRPr="00AE4E8D" w14:paraId="74FE129C" w14:textId="77777777" w:rsidTr="000400C8">
        <w:tc>
          <w:tcPr>
            <w:tcW w:w="6679" w:type="dxa"/>
            <w:tcBorders>
              <w:top w:val="nil"/>
              <w:left w:val="nil"/>
              <w:bottom w:val="nil"/>
              <w:right w:val="nil"/>
            </w:tcBorders>
          </w:tcPr>
          <w:p w14:paraId="460DE385"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Al sector público no financiero por financiaciones otorgadas a beneficiarios de la seguridad social o a empleados públicos (con código de descuento).</w:t>
            </w:r>
          </w:p>
        </w:tc>
        <w:tc>
          <w:tcPr>
            <w:tcW w:w="2041" w:type="dxa"/>
            <w:tcBorders>
              <w:top w:val="nil"/>
              <w:left w:val="nil"/>
              <w:bottom w:val="nil"/>
              <w:right w:val="nil"/>
            </w:tcBorders>
            <w:vAlign w:val="bottom"/>
          </w:tcPr>
          <w:p w14:paraId="1DDE520A"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0</w:t>
            </w:r>
          </w:p>
        </w:tc>
      </w:tr>
      <w:tr w:rsidR="002E07D5" w:rsidRPr="00AE4E8D" w14:paraId="2D85D737" w14:textId="77777777" w:rsidTr="000400C8">
        <w:tc>
          <w:tcPr>
            <w:tcW w:w="6679" w:type="dxa"/>
            <w:tcBorders>
              <w:top w:val="nil"/>
              <w:left w:val="nil"/>
              <w:bottom w:val="nil"/>
              <w:right w:val="nil"/>
            </w:tcBorders>
          </w:tcPr>
          <w:p w14:paraId="521CE7BA"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 xml:space="preserve">Al sector público no financiero y al </w:t>
            </w:r>
            <w:r w:rsidR="002C3DEF" w:rsidRPr="00AE4E8D">
              <w:rPr>
                <w:rFonts w:ascii="Times New Roman" w:hAnsi="Times New Roman"/>
                <w:sz w:val="16"/>
                <w:szCs w:val="16"/>
                <w:lang w:val="es-ES"/>
              </w:rPr>
              <w:t>BCRA</w:t>
            </w:r>
            <w:r w:rsidRPr="00AE4E8D">
              <w:rPr>
                <w:rFonts w:ascii="Times New Roman" w:hAnsi="Times New Roman"/>
                <w:sz w:val="16"/>
                <w:szCs w:val="16"/>
                <w:lang w:val="es-ES"/>
              </w:rPr>
              <w:t xml:space="preserve">. Demás. </w:t>
            </w:r>
          </w:p>
        </w:tc>
        <w:tc>
          <w:tcPr>
            <w:tcW w:w="2041" w:type="dxa"/>
            <w:tcBorders>
              <w:top w:val="nil"/>
              <w:left w:val="nil"/>
              <w:bottom w:val="nil"/>
              <w:right w:val="nil"/>
            </w:tcBorders>
            <w:vAlign w:val="bottom"/>
          </w:tcPr>
          <w:p w14:paraId="39F2AA8E"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48B7C3AE" w14:textId="77777777" w:rsidTr="000400C8">
        <w:tc>
          <w:tcPr>
            <w:tcW w:w="6679" w:type="dxa"/>
            <w:tcBorders>
              <w:top w:val="nil"/>
              <w:left w:val="nil"/>
              <w:bottom w:val="nil"/>
              <w:right w:val="nil"/>
            </w:tcBorders>
          </w:tcPr>
          <w:p w14:paraId="029E135B"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A otros estados soberanos (o sus bancos centrales) y demás entes del sector público no financiero de esos estados.</w:t>
            </w:r>
          </w:p>
        </w:tc>
        <w:tc>
          <w:tcPr>
            <w:tcW w:w="2041" w:type="dxa"/>
            <w:tcBorders>
              <w:top w:val="nil"/>
              <w:left w:val="nil"/>
              <w:bottom w:val="nil"/>
              <w:right w:val="nil"/>
            </w:tcBorders>
            <w:vAlign w:val="bottom"/>
          </w:tcPr>
          <w:p w14:paraId="05592A48"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3CC08FF6" w14:textId="77777777" w:rsidTr="000400C8">
        <w:tc>
          <w:tcPr>
            <w:tcW w:w="6679" w:type="dxa"/>
            <w:tcBorders>
              <w:top w:val="nil"/>
              <w:left w:val="nil"/>
              <w:bottom w:val="nil"/>
              <w:right w:val="nil"/>
            </w:tcBorders>
          </w:tcPr>
          <w:p w14:paraId="4CDACB88" w14:textId="77777777" w:rsidR="002E07D5" w:rsidRPr="00AE4E8D" w:rsidRDefault="002E07D5" w:rsidP="0014790B">
            <w:pPr>
              <w:autoSpaceDE w:val="0"/>
              <w:autoSpaceDN w:val="0"/>
              <w:adjustRightInd w:val="0"/>
              <w:jc w:val="both"/>
              <w:rPr>
                <w:rFonts w:ascii="Times New Roman" w:hAnsi="Times New Roman"/>
                <w:sz w:val="16"/>
                <w:szCs w:val="16"/>
                <w:lang w:val="es-ES"/>
              </w:rPr>
            </w:pPr>
            <w:r w:rsidRPr="00AE4E8D">
              <w:rPr>
                <w:rFonts w:ascii="Times New Roman" w:hAnsi="Times New Roman"/>
                <w:sz w:val="16"/>
                <w:szCs w:val="16"/>
                <w:lang w:val="es-ES"/>
              </w:rPr>
              <w:t>Al Banco de Pagos Internacionales, al Fondo Monetario Internacional, al Banco Central Europeo y a la Comunidad Europea.</w:t>
            </w:r>
          </w:p>
        </w:tc>
        <w:tc>
          <w:tcPr>
            <w:tcW w:w="2041" w:type="dxa"/>
            <w:tcBorders>
              <w:top w:val="nil"/>
              <w:left w:val="nil"/>
              <w:bottom w:val="nil"/>
              <w:right w:val="nil"/>
            </w:tcBorders>
            <w:vAlign w:val="bottom"/>
          </w:tcPr>
          <w:p w14:paraId="00BF0F74"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0</w:t>
            </w:r>
          </w:p>
        </w:tc>
      </w:tr>
      <w:tr w:rsidR="002E07D5" w:rsidRPr="00AE4E8D" w14:paraId="37D3D6C5" w14:textId="77777777" w:rsidTr="000400C8">
        <w:tc>
          <w:tcPr>
            <w:tcW w:w="6679" w:type="dxa"/>
            <w:tcBorders>
              <w:top w:val="nil"/>
              <w:left w:val="nil"/>
              <w:bottom w:val="nil"/>
              <w:right w:val="nil"/>
            </w:tcBorders>
          </w:tcPr>
          <w:p w14:paraId="425F9A66"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i/>
                <w:sz w:val="16"/>
                <w:szCs w:val="16"/>
                <w:lang w:val="es-ES"/>
              </w:rPr>
              <w:t>Exposiciones a Bancos Multilaterales de Desarrollo (BMD)</w:t>
            </w:r>
          </w:p>
        </w:tc>
        <w:tc>
          <w:tcPr>
            <w:tcW w:w="2041" w:type="dxa"/>
            <w:tcBorders>
              <w:top w:val="nil"/>
              <w:left w:val="nil"/>
              <w:bottom w:val="nil"/>
              <w:right w:val="nil"/>
            </w:tcBorders>
            <w:vAlign w:val="bottom"/>
          </w:tcPr>
          <w:p w14:paraId="68B30BAD" w14:textId="77777777" w:rsidR="002E07D5" w:rsidRPr="00AE4E8D" w:rsidRDefault="002E07D5" w:rsidP="0014790B">
            <w:pPr>
              <w:autoSpaceDE w:val="0"/>
              <w:autoSpaceDN w:val="0"/>
              <w:adjustRightInd w:val="0"/>
              <w:jc w:val="center"/>
              <w:rPr>
                <w:rFonts w:ascii="Times New Roman" w:hAnsi="Times New Roman"/>
                <w:sz w:val="16"/>
                <w:szCs w:val="16"/>
                <w:lang w:val="es-ES"/>
              </w:rPr>
            </w:pPr>
          </w:p>
        </w:tc>
      </w:tr>
      <w:tr w:rsidR="002E07D5" w:rsidRPr="00AE4E8D" w14:paraId="7FC90644" w14:textId="77777777" w:rsidTr="000400C8">
        <w:tc>
          <w:tcPr>
            <w:tcW w:w="6679" w:type="dxa"/>
            <w:tcBorders>
              <w:top w:val="nil"/>
              <w:left w:val="nil"/>
              <w:bottom w:val="nil"/>
              <w:right w:val="nil"/>
            </w:tcBorders>
          </w:tcPr>
          <w:p w14:paraId="54E3251F"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Exposición a las siguientes entidades: Banco Internacional de Reconstrucción y Desarrollo (BIRD), Corporación Financiera Internacional (CFI), Banco Interamericano de Desarrollo (BID), Banco Europeo de Inversiones (BEI), Banco Asiático de Desarrollo (ADB), Banco Africano de Desarrollo (AFDB), Fondo Europeo de Inversiones (FEI), Banco Nórdico de Inversiones (NIB), Banco de Desarrollo del Caribe (CDB), Banco Islámico de Desarrollo (IDB) y Banco de Desarrollo del Consejo de Europa (BDCE).</w:t>
            </w:r>
          </w:p>
        </w:tc>
        <w:tc>
          <w:tcPr>
            <w:tcW w:w="2041" w:type="dxa"/>
            <w:tcBorders>
              <w:top w:val="nil"/>
              <w:left w:val="nil"/>
              <w:bottom w:val="nil"/>
              <w:right w:val="nil"/>
            </w:tcBorders>
            <w:vAlign w:val="bottom"/>
          </w:tcPr>
          <w:p w14:paraId="29140322"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0</w:t>
            </w:r>
          </w:p>
        </w:tc>
      </w:tr>
      <w:tr w:rsidR="002E07D5" w:rsidRPr="00AE4E8D" w14:paraId="430E5985" w14:textId="77777777" w:rsidTr="000400C8">
        <w:tc>
          <w:tcPr>
            <w:tcW w:w="6679" w:type="dxa"/>
            <w:tcBorders>
              <w:top w:val="nil"/>
              <w:left w:val="nil"/>
              <w:bottom w:val="nil"/>
              <w:right w:val="nil"/>
            </w:tcBorders>
          </w:tcPr>
          <w:p w14:paraId="5E025384"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Demás.</w:t>
            </w:r>
          </w:p>
        </w:tc>
        <w:tc>
          <w:tcPr>
            <w:tcW w:w="2041" w:type="dxa"/>
            <w:tcBorders>
              <w:top w:val="nil"/>
              <w:left w:val="nil"/>
              <w:bottom w:val="nil"/>
              <w:right w:val="nil"/>
            </w:tcBorders>
            <w:vAlign w:val="bottom"/>
          </w:tcPr>
          <w:p w14:paraId="1A4ACFB0"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16D94F61" w14:textId="77777777" w:rsidTr="000400C8">
        <w:tc>
          <w:tcPr>
            <w:tcW w:w="6679" w:type="dxa"/>
            <w:tcBorders>
              <w:top w:val="nil"/>
              <w:left w:val="nil"/>
              <w:bottom w:val="nil"/>
              <w:right w:val="nil"/>
            </w:tcBorders>
          </w:tcPr>
          <w:p w14:paraId="188D2134"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i/>
                <w:sz w:val="16"/>
                <w:szCs w:val="16"/>
                <w:lang w:val="es-ES"/>
              </w:rPr>
              <w:t>Exposición a entidades financieras del país.</w:t>
            </w:r>
          </w:p>
        </w:tc>
        <w:tc>
          <w:tcPr>
            <w:tcW w:w="2041" w:type="dxa"/>
            <w:tcBorders>
              <w:top w:val="nil"/>
              <w:left w:val="nil"/>
              <w:bottom w:val="nil"/>
              <w:right w:val="nil"/>
            </w:tcBorders>
            <w:vAlign w:val="bottom"/>
          </w:tcPr>
          <w:p w14:paraId="793F9237" w14:textId="77777777" w:rsidR="002E07D5" w:rsidRPr="00AE4E8D" w:rsidRDefault="002E07D5" w:rsidP="0014790B">
            <w:pPr>
              <w:autoSpaceDE w:val="0"/>
              <w:autoSpaceDN w:val="0"/>
              <w:adjustRightInd w:val="0"/>
              <w:jc w:val="center"/>
              <w:rPr>
                <w:rFonts w:ascii="Times New Roman" w:hAnsi="Times New Roman"/>
                <w:sz w:val="16"/>
                <w:szCs w:val="16"/>
                <w:lang w:val="es-ES"/>
              </w:rPr>
            </w:pPr>
          </w:p>
        </w:tc>
      </w:tr>
      <w:tr w:rsidR="002E07D5" w:rsidRPr="00AE4E8D" w14:paraId="6671D9DF" w14:textId="77777777" w:rsidTr="000400C8">
        <w:tc>
          <w:tcPr>
            <w:tcW w:w="6679" w:type="dxa"/>
            <w:tcBorders>
              <w:top w:val="nil"/>
              <w:left w:val="nil"/>
              <w:bottom w:val="nil"/>
              <w:right w:val="nil"/>
            </w:tcBorders>
          </w:tcPr>
          <w:p w14:paraId="29C6F868"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 xml:space="preserve">Exposiciones denominadas en pesos -cuya fuente de fondos sea en esa moneda- por operaciones cuyo plazo contractual original sea de hasta 3 meses. </w:t>
            </w:r>
          </w:p>
        </w:tc>
        <w:tc>
          <w:tcPr>
            <w:tcW w:w="2041" w:type="dxa"/>
            <w:tcBorders>
              <w:top w:val="nil"/>
              <w:left w:val="nil"/>
              <w:bottom w:val="nil"/>
              <w:right w:val="nil"/>
            </w:tcBorders>
            <w:vAlign w:val="bottom"/>
          </w:tcPr>
          <w:p w14:paraId="51348226"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20</w:t>
            </w:r>
          </w:p>
        </w:tc>
      </w:tr>
      <w:tr w:rsidR="002E07D5" w:rsidRPr="00AE4E8D" w14:paraId="564A9692" w14:textId="77777777" w:rsidTr="000400C8">
        <w:tc>
          <w:tcPr>
            <w:tcW w:w="6679" w:type="dxa"/>
            <w:tcBorders>
              <w:top w:val="nil"/>
              <w:left w:val="nil"/>
              <w:bottom w:val="nil"/>
              <w:right w:val="nil"/>
            </w:tcBorders>
          </w:tcPr>
          <w:p w14:paraId="38C039B2"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Demás.</w:t>
            </w:r>
          </w:p>
        </w:tc>
        <w:tc>
          <w:tcPr>
            <w:tcW w:w="2041" w:type="dxa"/>
            <w:tcBorders>
              <w:top w:val="nil"/>
              <w:left w:val="nil"/>
              <w:bottom w:val="nil"/>
              <w:right w:val="nil"/>
            </w:tcBorders>
            <w:vAlign w:val="bottom"/>
          </w:tcPr>
          <w:p w14:paraId="41723AE7"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18210F11" w14:textId="77777777" w:rsidTr="000400C8">
        <w:tc>
          <w:tcPr>
            <w:tcW w:w="6679" w:type="dxa"/>
            <w:tcBorders>
              <w:top w:val="nil"/>
              <w:left w:val="nil"/>
              <w:bottom w:val="nil"/>
              <w:right w:val="nil"/>
            </w:tcBorders>
          </w:tcPr>
          <w:p w14:paraId="067F330A"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i/>
                <w:sz w:val="16"/>
                <w:szCs w:val="16"/>
                <w:lang w:val="es-ES"/>
              </w:rPr>
              <w:t xml:space="preserve">Exposición a entidades financieras del exterior. </w:t>
            </w:r>
          </w:p>
        </w:tc>
        <w:tc>
          <w:tcPr>
            <w:tcW w:w="2041" w:type="dxa"/>
            <w:tcBorders>
              <w:top w:val="nil"/>
              <w:left w:val="nil"/>
              <w:bottom w:val="nil"/>
              <w:right w:val="nil"/>
            </w:tcBorders>
            <w:vAlign w:val="bottom"/>
          </w:tcPr>
          <w:p w14:paraId="58D5AB7F"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09AE769B" w14:textId="77777777" w:rsidTr="000400C8">
        <w:tc>
          <w:tcPr>
            <w:tcW w:w="6679" w:type="dxa"/>
            <w:tcBorders>
              <w:top w:val="nil"/>
              <w:left w:val="nil"/>
              <w:bottom w:val="nil"/>
              <w:right w:val="nil"/>
            </w:tcBorders>
          </w:tcPr>
          <w:p w14:paraId="474BB02E"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i/>
                <w:sz w:val="16"/>
                <w:szCs w:val="16"/>
                <w:lang w:val="es-ES"/>
              </w:rPr>
              <w:t>Exposición a empresas y otras personas jurídicas del país y del exterior -incluyendo entidades cambiarias, aseguradoras, bursátiles y empresas del país a las que se les otorga el tratamiento del sector privado no financiero en función de lo establecido en la Sección 1 de las normas sobre “Financiamiento al sector público no financiero”.</w:t>
            </w:r>
          </w:p>
        </w:tc>
        <w:tc>
          <w:tcPr>
            <w:tcW w:w="2041" w:type="dxa"/>
            <w:tcBorders>
              <w:top w:val="nil"/>
              <w:left w:val="nil"/>
              <w:bottom w:val="nil"/>
              <w:right w:val="nil"/>
            </w:tcBorders>
            <w:vAlign w:val="bottom"/>
          </w:tcPr>
          <w:p w14:paraId="3DB2A69C"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74F65DB2" w14:textId="77777777" w:rsidTr="000400C8">
        <w:tc>
          <w:tcPr>
            <w:tcW w:w="6679" w:type="dxa"/>
            <w:tcBorders>
              <w:top w:val="nil"/>
              <w:left w:val="nil"/>
              <w:bottom w:val="nil"/>
              <w:right w:val="nil"/>
            </w:tcBorders>
          </w:tcPr>
          <w:p w14:paraId="0508DA2D"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i/>
                <w:sz w:val="16"/>
                <w:szCs w:val="16"/>
                <w:lang w:val="es-ES"/>
              </w:rPr>
              <w:t>Exposiciones incluidas en la cartera minorista.</w:t>
            </w:r>
          </w:p>
        </w:tc>
        <w:tc>
          <w:tcPr>
            <w:tcW w:w="2041" w:type="dxa"/>
            <w:tcBorders>
              <w:top w:val="nil"/>
              <w:left w:val="nil"/>
              <w:bottom w:val="nil"/>
              <w:right w:val="nil"/>
            </w:tcBorders>
            <w:vAlign w:val="bottom"/>
          </w:tcPr>
          <w:p w14:paraId="3FA696DC" w14:textId="77777777" w:rsidR="002E07D5" w:rsidRPr="00AE4E8D" w:rsidRDefault="002E07D5" w:rsidP="0014790B">
            <w:pPr>
              <w:autoSpaceDE w:val="0"/>
              <w:autoSpaceDN w:val="0"/>
              <w:adjustRightInd w:val="0"/>
              <w:jc w:val="center"/>
              <w:rPr>
                <w:rFonts w:ascii="Times New Roman" w:hAnsi="Times New Roman"/>
                <w:sz w:val="16"/>
                <w:szCs w:val="16"/>
                <w:lang w:val="es-ES"/>
              </w:rPr>
            </w:pPr>
          </w:p>
        </w:tc>
      </w:tr>
      <w:tr w:rsidR="002E07D5" w:rsidRPr="00AE4E8D" w14:paraId="5478681F" w14:textId="77777777" w:rsidTr="000400C8">
        <w:tc>
          <w:tcPr>
            <w:tcW w:w="6679" w:type="dxa"/>
            <w:tcBorders>
              <w:top w:val="nil"/>
              <w:left w:val="nil"/>
              <w:bottom w:val="nil"/>
              <w:right w:val="nil"/>
            </w:tcBorders>
          </w:tcPr>
          <w:p w14:paraId="2A756575"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Financiaciones a personas humanas</w:t>
            </w:r>
            <w:r w:rsidRPr="00AE4E8D" w:rsidDel="001B5B7E">
              <w:rPr>
                <w:rFonts w:ascii="Times New Roman" w:hAnsi="Times New Roman"/>
                <w:sz w:val="16"/>
                <w:szCs w:val="16"/>
                <w:lang w:val="es-ES"/>
              </w:rPr>
              <w:t xml:space="preserve"> </w:t>
            </w:r>
            <w:r w:rsidRPr="00AE4E8D">
              <w:rPr>
                <w:rFonts w:ascii="Times New Roman" w:hAnsi="Times New Roman"/>
                <w:sz w:val="16"/>
                <w:szCs w:val="16"/>
                <w:lang w:val="es-ES"/>
              </w:rPr>
              <w:t xml:space="preserve">(cuando el total de las cuotas por financiaciones de la entidad no exceda, al momento de los acuerdos, del treinta por ciento (30%) de los ingresos del prestatario y a Micro, Pequeñas y Medianas Empresas (“MiPyMEs”). </w:t>
            </w:r>
          </w:p>
        </w:tc>
        <w:tc>
          <w:tcPr>
            <w:tcW w:w="2041" w:type="dxa"/>
            <w:tcBorders>
              <w:top w:val="nil"/>
              <w:left w:val="nil"/>
              <w:bottom w:val="nil"/>
              <w:right w:val="nil"/>
            </w:tcBorders>
            <w:vAlign w:val="bottom"/>
          </w:tcPr>
          <w:p w14:paraId="74C213A4"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75</w:t>
            </w:r>
          </w:p>
        </w:tc>
      </w:tr>
      <w:tr w:rsidR="002E07D5" w:rsidRPr="00AE4E8D" w14:paraId="569EB2CC" w14:textId="77777777" w:rsidTr="000400C8">
        <w:tc>
          <w:tcPr>
            <w:tcW w:w="6679" w:type="dxa"/>
            <w:tcBorders>
              <w:top w:val="nil"/>
              <w:left w:val="nil"/>
              <w:bottom w:val="nil"/>
              <w:right w:val="nil"/>
            </w:tcBorders>
          </w:tcPr>
          <w:p w14:paraId="2A3F5CAF"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i/>
                <w:sz w:val="16"/>
                <w:szCs w:val="16"/>
                <w:lang w:val="es-ES"/>
              </w:rPr>
              <w:t>Demás.</w:t>
            </w:r>
          </w:p>
        </w:tc>
        <w:tc>
          <w:tcPr>
            <w:tcW w:w="2041" w:type="dxa"/>
            <w:tcBorders>
              <w:top w:val="nil"/>
              <w:left w:val="nil"/>
              <w:bottom w:val="nil"/>
              <w:right w:val="nil"/>
            </w:tcBorders>
            <w:vAlign w:val="bottom"/>
          </w:tcPr>
          <w:p w14:paraId="5BD35CDF"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52DF2521" w14:textId="77777777" w:rsidTr="000400C8">
        <w:tc>
          <w:tcPr>
            <w:tcW w:w="6679" w:type="dxa"/>
            <w:tcBorders>
              <w:top w:val="nil"/>
              <w:left w:val="nil"/>
              <w:bottom w:val="nil"/>
              <w:right w:val="nil"/>
            </w:tcBorders>
          </w:tcPr>
          <w:p w14:paraId="213E2982"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i/>
                <w:sz w:val="16"/>
                <w:szCs w:val="16"/>
                <w:lang w:val="es-ES"/>
              </w:rPr>
              <w:t xml:space="preserve">Exposiciones garantizadas por sociedades de garantía recíproca o fondos de garantía de carácter público inscriptos en los Registros habilitados en el </w:t>
            </w:r>
            <w:r w:rsidR="002C3DEF" w:rsidRPr="00AE4E8D">
              <w:rPr>
                <w:rFonts w:ascii="Times New Roman" w:hAnsi="Times New Roman"/>
                <w:sz w:val="16"/>
                <w:szCs w:val="16"/>
                <w:lang w:val="es-ES"/>
              </w:rPr>
              <w:t>BCRA</w:t>
            </w:r>
            <w:r w:rsidRPr="00AE4E8D">
              <w:rPr>
                <w:rFonts w:ascii="Times New Roman" w:hAnsi="Times New Roman"/>
                <w:i/>
                <w:sz w:val="16"/>
                <w:szCs w:val="16"/>
                <w:lang w:val="es-ES"/>
              </w:rPr>
              <w:t xml:space="preserve">. </w:t>
            </w:r>
          </w:p>
        </w:tc>
        <w:tc>
          <w:tcPr>
            <w:tcW w:w="2041" w:type="dxa"/>
            <w:tcBorders>
              <w:top w:val="nil"/>
              <w:left w:val="nil"/>
              <w:bottom w:val="nil"/>
              <w:right w:val="nil"/>
            </w:tcBorders>
            <w:vAlign w:val="bottom"/>
          </w:tcPr>
          <w:p w14:paraId="68CB1B31"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50</w:t>
            </w:r>
          </w:p>
        </w:tc>
      </w:tr>
      <w:tr w:rsidR="002E07D5" w:rsidRPr="00AE4E8D" w14:paraId="2A60F18D" w14:textId="77777777" w:rsidTr="000400C8">
        <w:tc>
          <w:tcPr>
            <w:tcW w:w="6679" w:type="dxa"/>
            <w:tcBorders>
              <w:top w:val="nil"/>
              <w:left w:val="nil"/>
              <w:bottom w:val="nil"/>
              <w:right w:val="nil"/>
            </w:tcBorders>
          </w:tcPr>
          <w:p w14:paraId="55A04644" w14:textId="77777777" w:rsidR="002E07D5" w:rsidRPr="00AE4E8D" w:rsidRDefault="002E07D5" w:rsidP="0014790B">
            <w:pPr>
              <w:autoSpaceDE w:val="0"/>
              <w:autoSpaceDN w:val="0"/>
              <w:adjustRightInd w:val="0"/>
              <w:jc w:val="both"/>
              <w:rPr>
                <w:rFonts w:ascii="Times New Roman" w:hAnsi="Times New Roman"/>
                <w:i/>
                <w:sz w:val="16"/>
                <w:szCs w:val="16"/>
                <w:lang w:val="es-ES"/>
              </w:rPr>
            </w:pPr>
            <w:r w:rsidRPr="00AE4E8D">
              <w:rPr>
                <w:rFonts w:ascii="Times New Roman" w:hAnsi="Times New Roman"/>
                <w:i/>
                <w:sz w:val="16"/>
                <w:szCs w:val="16"/>
                <w:lang w:val="es-ES"/>
              </w:rPr>
              <w:t>Financiaciones con garantía hipotecaria en primer grado, y cualquiera sea su grado de prelación siempre que la entidad sea la acreedora en todos los grados, sobre vivienda residencial.</w:t>
            </w:r>
          </w:p>
        </w:tc>
        <w:tc>
          <w:tcPr>
            <w:tcW w:w="2041" w:type="dxa"/>
            <w:tcBorders>
              <w:top w:val="nil"/>
              <w:left w:val="nil"/>
              <w:bottom w:val="nil"/>
              <w:right w:val="nil"/>
            </w:tcBorders>
            <w:vAlign w:val="bottom"/>
          </w:tcPr>
          <w:p w14:paraId="00B49266" w14:textId="77777777" w:rsidR="002E07D5" w:rsidRPr="00AE4E8D" w:rsidRDefault="002E07D5" w:rsidP="0014790B">
            <w:pPr>
              <w:autoSpaceDE w:val="0"/>
              <w:autoSpaceDN w:val="0"/>
              <w:adjustRightInd w:val="0"/>
              <w:jc w:val="center"/>
              <w:rPr>
                <w:rFonts w:ascii="Times New Roman" w:hAnsi="Times New Roman"/>
                <w:sz w:val="16"/>
                <w:szCs w:val="16"/>
                <w:lang w:val="es-ES"/>
              </w:rPr>
            </w:pPr>
          </w:p>
        </w:tc>
      </w:tr>
      <w:tr w:rsidR="002E07D5" w:rsidRPr="00AE4E8D" w14:paraId="1F861FAC" w14:textId="77777777" w:rsidTr="000400C8">
        <w:tc>
          <w:tcPr>
            <w:tcW w:w="6679" w:type="dxa"/>
            <w:tcBorders>
              <w:top w:val="nil"/>
              <w:left w:val="nil"/>
              <w:bottom w:val="nil"/>
              <w:right w:val="nil"/>
            </w:tcBorders>
          </w:tcPr>
          <w:p w14:paraId="641F854A"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lastRenderedPageBreak/>
              <w:t>Respecto del apoyo crediticio que no supere el 75% del valor de tasación del inmueble</w:t>
            </w:r>
          </w:p>
        </w:tc>
        <w:tc>
          <w:tcPr>
            <w:tcW w:w="2041" w:type="dxa"/>
            <w:tcBorders>
              <w:top w:val="nil"/>
              <w:left w:val="nil"/>
              <w:bottom w:val="nil"/>
              <w:right w:val="nil"/>
            </w:tcBorders>
            <w:vAlign w:val="bottom"/>
          </w:tcPr>
          <w:p w14:paraId="28494FC6" w14:textId="77777777" w:rsidR="002E07D5" w:rsidRPr="00AE4E8D" w:rsidRDefault="002E07D5" w:rsidP="0014790B">
            <w:pPr>
              <w:autoSpaceDE w:val="0"/>
              <w:autoSpaceDN w:val="0"/>
              <w:adjustRightInd w:val="0"/>
              <w:jc w:val="center"/>
              <w:rPr>
                <w:rFonts w:ascii="Times New Roman" w:hAnsi="Times New Roman"/>
                <w:sz w:val="16"/>
                <w:szCs w:val="16"/>
                <w:lang w:val="es-ES"/>
              </w:rPr>
            </w:pPr>
          </w:p>
        </w:tc>
      </w:tr>
      <w:tr w:rsidR="002E07D5" w:rsidRPr="00AE4E8D" w14:paraId="05A84BAD" w14:textId="77777777" w:rsidTr="000400C8">
        <w:tc>
          <w:tcPr>
            <w:tcW w:w="6679" w:type="dxa"/>
            <w:tcBorders>
              <w:top w:val="nil"/>
              <w:left w:val="nil"/>
              <w:bottom w:val="nil"/>
              <w:right w:val="nil"/>
            </w:tcBorders>
          </w:tcPr>
          <w:p w14:paraId="7779BA8F" w14:textId="77777777" w:rsidR="002E07D5" w:rsidRPr="00AE4E8D" w:rsidRDefault="002E07D5" w:rsidP="0014790B">
            <w:pPr>
              <w:autoSpaceDE w:val="0"/>
              <w:autoSpaceDN w:val="0"/>
              <w:adjustRightInd w:val="0"/>
              <w:ind w:firstLine="567"/>
              <w:rPr>
                <w:rFonts w:ascii="Times New Roman" w:hAnsi="Times New Roman"/>
                <w:sz w:val="16"/>
                <w:szCs w:val="16"/>
                <w:lang w:val="es-ES"/>
              </w:rPr>
            </w:pPr>
            <w:r w:rsidRPr="00AE4E8D">
              <w:rPr>
                <w:rFonts w:ascii="Times New Roman" w:hAnsi="Times New Roman"/>
                <w:sz w:val="16"/>
                <w:szCs w:val="16"/>
                <w:lang w:val="es-ES"/>
              </w:rPr>
              <w:t>- Vivienda única, familiar y de ocupación permanente.</w:t>
            </w:r>
          </w:p>
        </w:tc>
        <w:tc>
          <w:tcPr>
            <w:tcW w:w="2041" w:type="dxa"/>
            <w:tcBorders>
              <w:top w:val="nil"/>
              <w:left w:val="nil"/>
              <w:bottom w:val="nil"/>
              <w:right w:val="nil"/>
            </w:tcBorders>
            <w:vAlign w:val="bottom"/>
          </w:tcPr>
          <w:p w14:paraId="13F6FF2E"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35</w:t>
            </w:r>
          </w:p>
        </w:tc>
      </w:tr>
      <w:tr w:rsidR="002E07D5" w:rsidRPr="00AE4E8D" w14:paraId="3ED8D026" w14:textId="77777777" w:rsidTr="000400C8">
        <w:tc>
          <w:tcPr>
            <w:tcW w:w="6679" w:type="dxa"/>
            <w:tcBorders>
              <w:top w:val="nil"/>
              <w:left w:val="nil"/>
              <w:bottom w:val="nil"/>
              <w:right w:val="nil"/>
            </w:tcBorders>
          </w:tcPr>
          <w:p w14:paraId="246BD5A9" w14:textId="77777777" w:rsidR="002E07D5" w:rsidRPr="00AE4E8D" w:rsidRDefault="002E07D5" w:rsidP="0014790B">
            <w:pPr>
              <w:autoSpaceDE w:val="0"/>
              <w:autoSpaceDN w:val="0"/>
              <w:adjustRightInd w:val="0"/>
              <w:ind w:firstLine="567"/>
              <w:rPr>
                <w:rFonts w:ascii="Times New Roman" w:hAnsi="Times New Roman"/>
                <w:sz w:val="16"/>
                <w:szCs w:val="16"/>
                <w:lang w:val="es-ES"/>
              </w:rPr>
            </w:pPr>
            <w:r w:rsidRPr="00AE4E8D">
              <w:rPr>
                <w:rFonts w:ascii="Times New Roman" w:hAnsi="Times New Roman"/>
                <w:sz w:val="16"/>
                <w:szCs w:val="16"/>
                <w:lang w:val="es-ES"/>
              </w:rPr>
              <w:t>- Demás.</w:t>
            </w:r>
          </w:p>
        </w:tc>
        <w:tc>
          <w:tcPr>
            <w:tcW w:w="2041" w:type="dxa"/>
            <w:tcBorders>
              <w:top w:val="nil"/>
              <w:left w:val="nil"/>
              <w:bottom w:val="nil"/>
              <w:right w:val="nil"/>
            </w:tcBorders>
            <w:vAlign w:val="bottom"/>
          </w:tcPr>
          <w:p w14:paraId="57F07582"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50</w:t>
            </w:r>
          </w:p>
        </w:tc>
      </w:tr>
      <w:tr w:rsidR="002E07D5" w:rsidRPr="00AE4E8D" w14:paraId="2F1CF1EA" w14:textId="77777777" w:rsidTr="000400C8">
        <w:tc>
          <w:tcPr>
            <w:tcW w:w="6679" w:type="dxa"/>
            <w:tcBorders>
              <w:top w:val="nil"/>
              <w:left w:val="nil"/>
              <w:bottom w:val="nil"/>
              <w:right w:val="nil"/>
            </w:tcBorders>
          </w:tcPr>
          <w:p w14:paraId="1EB60611"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 xml:space="preserve">Sobre el importe que supere el 75% del valor de tasación de tales bienes. </w:t>
            </w:r>
          </w:p>
        </w:tc>
        <w:tc>
          <w:tcPr>
            <w:tcW w:w="2041" w:type="dxa"/>
            <w:tcBorders>
              <w:top w:val="nil"/>
              <w:left w:val="nil"/>
              <w:bottom w:val="nil"/>
              <w:right w:val="nil"/>
            </w:tcBorders>
            <w:vAlign w:val="bottom"/>
          </w:tcPr>
          <w:p w14:paraId="48137FDC"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445B73B4" w14:textId="77777777" w:rsidTr="000400C8">
        <w:tc>
          <w:tcPr>
            <w:tcW w:w="6679" w:type="dxa"/>
            <w:tcBorders>
              <w:top w:val="nil"/>
              <w:left w:val="nil"/>
              <w:bottom w:val="nil"/>
              <w:right w:val="nil"/>
            </w:tcBorders>
          </w:tcPr>
          <w:p w14:paraId="0479736E"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sz w:val="16"/>
                <w:szCs w:val="16"/>
                <w:lang w:val="es-ES"/>
              </w:rPr>
              <w:t xml:space="preserve">Financiaciones con garantía hipotecaria en primer grado, y cualquiera sea su grado de prelación siempre que la entidad sea la acreedora en todos los grados, sobre bienes distintos de vivienda residencial. </w:t>
            </w:r>
          </w:p>
        </w:tc>
        <w:tc>
          <w:tcPr>
            <w:tcW w:w="2041" w:type="dxa"/>
            <w:tcBorders>
              <w:top w:val="nil"/>
              <w:left w:val="nil"/>
              <w:bottom w:val="nil"/>
              <w:right w:val="nil"/>
            </w:tcBorders>
            <w:vAlign w:val="bottom"/>
          </w:tcPr>
          <w:p w14:paraId="424DF922" w14:textId="77777777" w:rsidR="002E07D5" w:rsidRPr="00AE4E8D" w:rsidRDefault="002E07D5" w:rsidP="0014790B">
            <w:pPr>
              <w:autoSpaceDE w:val="0"/>
              <w:autoSpaceDN w:val="0"/>
              <w:adjustRightInd w:val="0"/>
              <w:jc w:val="center"/>
              <w:rPr>
                <w:rFonts w:ascii="Times New Roman" w:hAnsi="Times New Roman"/>
                <w:sz w:val="16"/>
                <w:szCs w:val="16"/>
                <w:lang w:val="es-ES"/>
              </w:rPr>
            </w:pPr>
          </w:p>
        </w:tc>
      </w:tr>
      <w:tr w:rsidR="002E07D5" w:rsidRPr="00AE4E8D" w14:paraId="14BFD96C" w14:textId="77777777" w:rsidTr="000400C8">
        <w:tc>
          <w:tcPr>
            <w:tcW w:w="6679" w:type="dxa"/>
            <w:tcBorders>
              <w:top w:val="nil"/>
              <w:left w:val="nil"/>
              <w:bottom w:val="nil"/>
              <w:right w:val="nil"/>
            </w:tcBorders>
          </w:tcPr>
          <w:p w14:paraId="03729EE1"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Hasta el importe equivalente al 50% del valor de mercado del inmueble o el 60% del importe del crédito hipotecario, de ambos el menor.</w:t>
            </w:r>
          </w:p>
        </w:tc>
        <w:tc>
          <w:tcPr>
            <w:tcW w:w="2041" w:type="dxa"/>
            <w:tcBorders>
              <w:top w:val="nil"/>
              <w:left w:val="nil"/>
              <w:bottom w:val="nil"/>
              <w:right w:val="nil"/>
            </w:tcBorders>
            <w:vAlign w:val="bottom"/>
          </w:tcPr>
          <w:p w14:paraId="5F45D316"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50</w:t>
            </w:r>
          </w:p>
        </w:tc>
      </w:tr>
      <w:tr w:rsidR="002E07D5" w:rsidRPr="00AE4E8D" w14:paraId="0F9645D4" w14:textId="77777777" w:rsidTr="000400C8">
        <w:tc>
          <w:tcPr>
            <w:tcW w:w="6679" w:type="dxa"/>
            <w:tcBorders>
              <w:top w:val="nil"/>
              <w:left w:val="nil"/>
              <w:bottom w:val="nil"/>
              <w:right w:val="nil"/>
            </w:tcBorders>
          </w:tcPr>
          <w:p w14:paraId="1F04C354"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Sobre el resto de la financiación.</w:t>
            </w:r>
          </w:p>
        </w:tc>
        <w:tc>
          <w:tcPr>
            <w:tcW w:w="2041" w:type="dxa"/>
            <w:tcBorders>
              <w:top w:val="nil"/>
              <w:left w:val="nil"/>
              <w:bottom w:val="nil"/>
              <w:right w:val="nil"/>
            </w:tcBorders>
            <w:vAlign w:val="bottom"/>
          </w:tcPr>
          <w:p w14:paraId="14C61EBF"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754232FE" w14:textId="77777777" w:rsidTr="000400C8">
        <w:tc>
          <w:tcPr>
            <w:tcW w:w="6679" w:type="dxa"/>
            <w:tcBorders>
              <w:top w:val="nil"/>
              <w:left w:val="nil"/>
              <w:bottom w:val="nil"/>
              <w:right w:val="nil"/>
            </w:tcBorders>
          </w:tcPr>
          <w:p w14:paraId="13019196"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sz w:val="16"/>
                <w:szCs w:val="16"/>
                <w:lang w:val="es-ES"/>
              </w:rPr>
              <w:t>Préstamos con más de 90 días de atraso.</w:t>
            </w:r>
          </w:p>
        </w:tc>
        <w:tc>
          <w:tcPr>
            <w:tcW w:w="2041" w:type="dxa"/>
            <w:tcBorders>
              <w:top w:val="nil"/>
              <w:left w:val="nil"/>
              <w:bottom w:val="nil"/>
              <w:right w:val="nil"/>
            </w:tcBorders>
            <w:vAlign w:val="bottom"/>
          </w:tcPr>
          <w:p w14:paraId="3E3AEA7B" w14:textId="77777777" w:rsidR="002E07D5" w:rsidRPr="00AE4E8D" w:rsidRDefault="002E07D5" w:rsidP="0014790B">
            <w:pPr>
              <w:autoSpaceDE w:val="0"/>
              <w:autoSpaceDN w:val="0"/>
              <w:adjustRightInd w:val="0"/>
              <w:jc w:val="center"/>
              <w:rPr>
                <w:rFonts w:ascii="Times New Roman" w:hAnsi="Times New Roman"/>
                <w:sz w:val="16"/>
                <w:szCs w:val="16"/>
                <w:lang w:val="es-ES"/>
              </w:rPr>
            </w:pPr>
          </w:p>
        </w:tc>
      </w:tr>
      <w:tr w:rsidR="002E07D5" w:rsidRPr="00AE4E8D" w14:paraId="1389008D" w14:textId="77777777" w:rsidTr="000400C8">
        <w:tc>
          <w:tcPr>
            <w:tcW w:w="6679" w:type="dxa"/>
            <w:tcBorders>
              <w:top w:val="nil"/>
              <w:left w:val="nil"/>
              <w:bottom w:val="nil"/>
              <w:right w:val="nil"/>
            </w:tcBorders>
          </w:tcPr>
          <w:p w14:paraId="07AB30F7" w14:textId="77777777" w:rsidR="002E07D5" w:rsidRPr="00AE4E8D" w:rsidRDefault="002E07D5" w:rsidP="0014790B">
            <w:p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El ponderador varía según el préstamo y las previsiones específicas constituidas</w:t>
            </w:r>
          </w:p>
        </w:tc>
        <w:tc>
          <w:tcPr>
            <w:tcW w:w="2041" w:type="dxa"/>
            <w:tcBorders>
              <w:top w:val="nil"/>
              <w:left w:val="nil"/>
              <w:bottom w:val="nil"/>
              <w:right w:val="nil"/>
            </w:tcBorders>
            <w:vAlign w:val="bottom"/>
          </w:tcPr>
          <w:p w14:paraId="4D821C6B"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50-150</w:t>
            </w:r>
          </w:p>
        </w:tc>
      </w:tr>
      <w:tr w:rsidR="002E07D5" w:rsidRPr="00AE4E8D" w14:paraId="04037ED6" w14:textId="77777777" w:rsidTr="000400C8">
        <w:tc>
          <w:tcPr>
            <w:tcW w:w="6679" w:type="dxa"/>
            <w:tcBorders>
              <w:top w:val="nil"/>
              <w:left w:val="nil"/>
              <w:bottom w:val="nil"/>
              <w:right w:val="nil"/>
            </w:tcBorders>
          </w:tcPr>
          <w:p w14:paraId="09E6E63C"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sz w:val="16"/>
                <w:szCs w:val="16"/>
                <w:lang w:val="es-ES"/>
              </w:rPr>
              <w:t>Participaciones en el capital de empresas</w:t>
            </w:r>
            <w:r w:rsidRPr="00AE4E8D">
              <w:rPr>
                <w:rFonts w:ascii="Times New Roman" w:hAnsi="Times New Roman"/>
                <w:i/>
                <w:sz w:val="16"/>
                <w:szCs w:val="16"/>
                <w:lang w:val="es-ES"/>
              </w:rPr>
              <w:t xml:space="preserve"> </w:t>
            </w:r>
          </w:p>
        </w:tc>
        <w:tc>
          <w:tcPr>
            <w:tcW w:w="2041" w:type="dxa"/>
            <w:tcBorders>
              <w:top w:val="nil"/>
              <w:left w:val="nil"/>
              <w:bottom w:val="nil"/>
              <w:right w:val="nil"/>
            </w:tcBorders>
            <w:vAlign w:val="bottom"/>
          </w:tcPr>
          <w:p w14:paraId="7A1B4A6F"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150</w:t>
            </w:r>
          </w:p>
        </w:tc>
      </w:tr>
      <w:tr w:rsidR="002E07D5" w:rsidRPr="00AE4E8D" w14:paraId="2CABE4B8" w14:textId="77777777" w:rsidTr="000400C8">
        <w:tc>
          <w:tcPr>
            <w:tcW w:w="6679" w:type="dxa"/>
            <w:tcBorders>
              <w:top w:val="nil"/>
              <w:left w:val="nil"/>
              <w:bottom w:val="nil"/>
              <w:right w:val="nil"/>
            </w:tcBorders>
          </w:tcPr>
          <w:p w14:paraId="15258A9F" w14:textId="77777777" w:rsidR="002E07D5" w:rsidRPr="00AE4E8D" w:rsidRDefault="002E07D5" w:rsidP="0014790B">
            <w:pPr>
              <w:autoSpaceDE w:val="0"/>
              <w:autoSpaceDN w:val="0"/>
              <w:adjustRightInd w:val="0"/>
              <w:jc w:val="both"/>
              <w:rPr>
                <w:rFonts w:ascii="Times New Roman" w:hAnsi="Times New Roman"/>
                <w:i/>
                <w:sz w:val="16"/>
                <w:szCs w:val="16"/>
                <w:lang w:val="es-ES"/>
              </w:rPr>
            </w:pPr>
            <w:r w:rsidRPr="00AE4E8D">
              <w:rPr>
                <w:rFonts w:ascii="Times New Roman" w:hAnsi="Times New Roman"/>
                <w:i/>
                <w:sz w:val="16"/>
                <w:szCs w:val="16"/>
                <w:lang w:val="es-ES"/>
              </w:rPr>
              <w:t xml:space="preserve">Exposiciones a entidades de contraparte central (CCP) </w:t>
            </w:r>
          </w:p>
        </w:tc>
        <w:tc>
          <w:tcPr>
            <w:tcW w:w="2041" w:type="dxa"/>
            <w:tcBorders>
              <w:top w:val="nil"/>
              <w:left w:val="nil"/>
              <w:bottom w:val="nil"/>
              <w:right w:val="nil"/>
            </w:tcBorders>
            <w:vAlign w:val="bottom"/>
          </w:tcPr>
          <w:p w14:paraId="5C43B60C"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0</w:t>
            </w:r>
          </w:p>
        </w:tc>
      </w:tr>
      <w:tr w:rsidR="002E07D5" w:rsidRPr="00AE4E8D" w14:paraId="1838E09A" w14:textId="77777777" w:rsidTr="000400C8">
        <w:tc>
          <w:tcPr>
            <w:tcW w:w="6679" w:type="dxa"/>
            <w:tcBorders>
              <w:top w:val="nil"/>
              <w:left w:val="nil"/>
              <w:bottom w:val="nil"/>
              <w:right w:val="nil"/>
            </w:tcBorders>
          </w:tcPr>
          <w:p w14:paraId="59723212" w14:textId="77777777" w:rsidR="002E07D5" w:rsidRPr="00AE4E8D" w:rsidRDefault="002E07D5" w:rsidP="0014790B">
            <w:pPr>
              <w:autoSpaceDE w:val="0"/>
              <w:autoSpaceDN w:val="0"/>
              <w:adjustRightInd w:val="0"/>
              <w:rPr>
                <w:rFonts w:ascii="Times New Roman" w:hAnsi="Times New Roman"/>
                <w:i/>
                <w:sz w:val="16"/>
                <w:szCs w:val="16"/>
                <w:lang w:val="es-ES"/>
              </w:rPr>
            </w:pPr>
            <w:r w:rsidRPr="00AE4E8D">
              <w:rPr>
                <w:rFonts w:ascii="Times New Roman" w:hAnsi="Times New Roman"/>
                <w:i/>
                <w:sz w:val="16"/>
                <w:szCs w:val="16"/>
                <w:lang w:val="es-ES"/>
              </w:rPr>
              <w:t xml:space="preserve">Demás activos y/o partidas fuera de balance </w:t>
            </w:r>
          </w:p>
        </w:tc>
        <w:tc>
          <w:tcPr>
            <w:tcW w:w="2041" w:type="dxa"/>
            <w:tcBorders>
              <w:top w:val="nil"/>
              <w:left w:val="nil"/>
              <w:bottom w:val="nil"/>
              <w:right w:val="nil"/>
            </w:tcBorders>
            <w:vAlign w:val="bottom"/>
          </w:tcPr>
          <w:p w14:paraId="0CF7C478"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bl>
    <w:p w14:paraId="590D1F7A" w14:textId="77777777" w:rsidR="002E07D5" w:rsidRPr="00AE4E8D" w:rsidRDefault="002E07D5" w:rsidP="0018126C">
      <w:pPr>
        <w:pStyle w:val="BHTexto"/>
        <w:rPr>
          <w:lang w:val="es-ES"/>
        </w:rPr>
      </w:pPr>
      <w:r w:rsidRPr="00AE4E8D">
        <w:rPr>
          <w:lang w:val="es-ES"/>
        </w:rPr>
        <w:t>La exigencia de capital mínimo depende también de la calificación CAMELBIG (1 la mejor calificación, 5 la peor) que efectúa la Superintendencia de Entidades Financieras y Cambiarias (SEFyC), la cual determina también el valor del coeficiente k. Esta es una calificación amplia del desempeño, los riesgos y las perspectivas de las entidades, en consonancia con el criterio internacional. Las entidades deben ajustar su exigencia de capital por los siguientes factores “k”:</w:t>
      </w:r>
    </w:p>
    <w:tbl>
      <w:tblPr>
        <w:tblW w:w="5000" w:type="pct"/>
        <w:jc w:val="center"/>
        <w:tblCellMar>
          <w:left w:w="115" w:type="dxa"/>
          <w:right w:w="115" w:type="dxa"/>
        </w:tblCellMar>
        <w:tblLook w:val="0000" w:firstRow="0" w:lastRow="0" w:firstColumn="0" w:lastColumn="0" w:noHBand="0" w:noVBand="0"/>
      </w:tblPr>
      <w:tblGrid>
        <w:gridCol w:w="5662"/>
        <w:gridCol w:w="3073"/>
      </w:tblGrid>
      <w:tr w:rsidR="002E07D5" w:rsidRPr="00AE4E8D" w14:paraId="0AA62B38" w14:textId="77777777" w:rsidTr="000400C8">
        <w:trPr>
          <w:jc w:val="center"/>
        </w:trPr>
        <w:tc>
          <w:tcPr>
            <w:tcW w:w="3241" w:type="pct"/>
            <w:tcBorders>
              <w:top w:val="nil"/>
              <w:left w:val="nil"/>
              <w:bottom w:val="nil"/>
              <w:right w:val="nil"/>
            </w:tcBorders>
          </w:tcPr>
          <w:p w14:paraId="677D799D" w14:textId="77777777" w:rsidR="002E07D5" w:rsidRPr="00AE4E8D" w:rsidRDefault="002E07D5" w:rsidP="0018126C">
            <w:pPr>
              <w:autoSpaceDE w:val="0"/>
              <w:autoSpaceDN w:val="0"/>
              <w:adjustRightInd w:val="0"/>
              <w:jc w:val="center"/>
              <w:rPr>
                <w:rFonts w:ascii="Times New Roman" w:hAnsi="Times New Roman"/>
                <w:b/>
                <w:sz w:val="16"/>
                <w:szCs w:val="16"/>
                <w:u w:val="single"/>
                <w:lang w:val="es-ES"/>
              </w:rPr>
            </w:pPr>
            <w:r w:rsidRPr="00AE4E8D">
              <w:rPr>
                <w:rFonts w:ascii="Times New Roman" w:hAnsi="Times New Roman"/>
                <w:b/>
                <w:sz w:val="16"/>
                <w:szCs w:val="16"/>
                <w:u w:val="single"/>
                <w:lang w:val="es-ES"/>
              </w:rPr>
              <w:t>Calificación CAMELBIG</w:t>
            </w:r>
          </w:p>
        </w:tc>
        <w:tc>
          <w:tcPr>
            <w:tcW w:w="1759" w:type="pct"/>
            <w:tcBorders>
              <w:top w:val="nil"/>
              <w:left w:val="nil"/>
              <w:bottom w:val="nil"/>
              <w:right w:val="nil"/>
            </w:tcBorders>
          </w:tcPr>
          <w:p w14:paraId="53AF6442" w14:textId="77777777" w:rsidR="002E07D5" w:rsidRPr="00AE4E8D" w:rsidRDefault="002E07D5" w:rsidP="0018126C">
            <w:pPr>
              <w:autoSpaceDE w:val="0"/>
              <w:autoSpaceDN w:val="0"/>
              <w:adjustRightInd w:val="0"/>
              <w:jc w:val="center"/>
              <w:rPr>
                <w:rFonts w:ascii="Times New Roman" w:hAnsi="Times New Roman"/>
                <w:b/>
                <w:sz w:val="16"/>
                <w:szCs w:val="16"/>
                <w:u w:val="single"/>
                <w:lang w:val="es-ES"/>
              </w:rPr>
            </w:pPr>
            <w:r w:rsidRPr="00AE4E8D">
              <w:rPr>
                <w:rFonts w:ascii="Times New Roman" w:hAnsi="Times New Roman"/>
                <w:b/>
                <w:sz w:val="16"/>
                <w:szCs w:val="16"/>
                <w:u w:val="single"/>
                <w:lang w:val="es-ES"/>
              </w:rPr>
              <w:t>Factor K</w:t>
            </w:r>
          </w:p>
        </w:tc>
      </w:tr>
      <w:tr w:rsidR="002E07D5" w:rsidRPr="00AE4E8D" w14:paraId="22A8116C" w14:textId="77777777" w:rsidTr="000400C8">
        <w:trPr>
          <w:jc w:val="center"/>
        </w:trPr>
        <w:tc>
          <w:tcPr>
            <w:tcW w:w="3241" w:type="pct"/>
            <w:tcBorders>
              <w:top w:val="nil"/>
              <w:left w:val="nil"/>
              <w:bottom w:val="nil"/>
              <w:right w:val="nil"/>
            </w:tcBorders>
          </w:tcPr>
          <w:p w14:paraId="23D4C4C2"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w:t>
            </w:r>
          </w:p>
        </w:tc>
        <w:tc>
          <w:tcPr>
            <w:tcW w:w="1759" w:type="pct"/>
            <w:tcBorders>
              <w:top w:val="nil"/>
              <w:left w:val="nil"/>
              <w:bottom w:val="nil"/>
              <w:right w:val="nil"/>
            </w:tcBorders>
          </w:tcPr>
          <w:p w14:paraId="348D0FE8"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1,00</w:t>
            </w:r>
          </w:p>
        </w:tc>
      </w:tr>
      <w:tr w:rsidR="002E07D5" w:rsidRPr="00AE4E8D" w14:paraId="6E940A04" w14:textId="77777777" w:rsidTr="000400C8">
        <w:trPr>
          <w:jc w:val="center"/>
        </w:trPr>
        <w:tc>
          <w:tcPr>
            <w:tcW w:w="3241" w:type="pct"/>
            <w:tcBorders>
              <w:top w:val="nil"/>
              <w:left w:val="nil"/>
              <w:bottom w:val="nil"/>
              <w:right w:val="nil"/>
            </w:tcBorders>
          </w:tcPr>
          <w:p w14:paraId="24B1236B"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2</w:t>
            </w:r>
          </w:p>
        </w:tc>
        <w:tc>
          <w:tcPr>
            <w:tcW w:w="1759" w:type="pct"/>
            <w:tcBorders>
              <w:top w:val="nil"/>
              <w:left w:val="nil"/>
              <w:bottom w:val="nil"/>
              <w:right w:val="nil"/>
            </w:tcBorders>
          </w:tcPr>
          <w:p w14:paraId="3AA888C7"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1,03</w:t>
            </w:r>
          </w:p>
        </w:tc>
      </w:tr>
      <w:tr w:rsidR="002E07D5" w:rsidRPr="00AE4E8D" w14:paraId="2196C4C3" w14:textId="77777777" w:rsidTr="000400C8">
        <w:trPr>
          <w:jc w:val="center"/>
        </w:trPr>
        <w:tc>
          <w:tcPr>
            <w:tcW w:w="3241" w:type="pct"/>
            <w:tcBorders>
              <w:top w:val="nil"/>
              <w:left w:val="nil"/>
              <w:bottom w:val="nil"/>
              <w:right w:val="nil"/>
            </w:tcBorders>
          </w:tcPr>
          <w:p w14:paraId="40511F7C"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3</w:t>
            </w:r>
          </w:p>
        </w:tc>
        <w:tc>
          <w:tcPr>
            <w:tcW w:w="1759" w:type="pct"/>
            <w:tcBorders>
              <w:top w:val="nil"/>
              <w:left w:val="nil"/>
              <w:bottom w:val="nil"/>
              <w:right w:val="nil"/>
            </w:tcBorders>
          </w:tcPr>
          <w:p w14:paraId="03319E69"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1,08</w:t>
            </w:r>
          </w:p>
        </w:tc>
      </w:tr>
      <w:tr w:rsidR="002E07D5" w:rsidRPr="00AE4E8D" w14:paraId="78709A61" w14:textId="77777777" w:rsidTr="000400C8">
        <w:trPr>
          <w:jc w:val="center"/>
        </w:trPr>
        <w:tc>
          <w:tcPr>
            <w:tcW w:w="3241" w:type="pct"/>
            <w:tcBorders>
              <w:top w:val="nil"/>
              <w:left w:val="nil"/>
              <w:bottom w:val="nil"/>
              <w:right w:val="nil"/>
            </w:tcBorders>
          </w:tcPr>
          <w:p w14:paraId="30074389"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4</w:t>
            </w:r>
          </w:p>
        </w:tc>
        <w:tc>
          <w:tcPr>
            <w:tcW w:w="1759" w:type="pct"/>
            <w:tcBorders>
              <w:top w:val="nil"/>
              <w:left w:val="nil"/>
              <w:bottom w:val="nil"/>
              <w:right w:val="nil"/>
            </w:tcBorders>
          </w:tcPr>
          <w:p w14:paraId="21B6AF52"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1,13</w:t>
            </w:r>
          </w:p>
        </w:tc>
      </w:tr>
      <w:tr w:rsidR="002E07D5" w:rsidRPr="00AE4E8D" w14:paraId="7662582B" w14:textId="77777777" w:rsidTr="000400C8">
        <w:trPr>
          <w:jc w:val="center"/>
        </w:trPr>
        <w:tc>
          <w:tcPr>
            <w:tcW w:w="3241" w:type="pct"/>
            <w:tcBorders>
              <w:top w:val="nil"/>
              <w:left w:val="nil"/>
              <w:bottom w:val="nil"/>
              <w:right w:val="nil"/>
            </w:tcBorders>
          </w:tcPr>
          <w:p w14:paraId="12DF60EB"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5</w:t>
            </w:r>
          </w:p>
        </w:tc>
        <w:tc>
          <w:tcPr>
            <w:tcW w:w="1759" w:type="pct"/>
            <w:tcBorders>
              <w:top w:val="nil"/>
              <w:left w:val="nil"/>
              <w:bottom w:val="nil"/>
              <w:right w:val="nil"/>
            </w:tcBorders>
          </w:tcPr>
          <w:p w14:paraId="1E95DD95" w14:textId="77777777" w:rsidR="002E07D5" w:rsidRPr="00AE4E8D" w:rsidRDefault="002E07D5" w:rsidP="000935B8">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1,19</w:t>
            </w:r>
          </w:p>
        </w:tc>
      </w:tr>
    </w:tbl>
    <w:p w14:paraId="35DD6EEB" w14:textId="77777777" w:rsidR="002E07D5" w:rsidRPr="00AE4E8D" w:rsidRDefault="002E07D5" w:rsidP="0018126C">
      <w:pPr>
        <w:pStyle w:val="BHTexto"/>
        <w:rPr>
          <w:lang w:val="es-ES"/>
        </w:rPr>
      </w:pPr>
      <w:r w:rsidRPr="00AE4E8D">
        <w:rPr>
          <w:lang w:val="es-ES"/>
        </w:rPr>
        <w:t>Quedan excluidos: (a) las garantías otorgadas a favor del BCRA y por obligaciones directas; (b) los conceptos que deben deducirse a los fines del cálculo de la responsabilidad patrimonial computable (RPC); y (c) las financiaciones y avales, fianzas y otras responsabilidades otorgadas por sucursales y subsidiarias locales de entidades financieras del exterior, por cuenta y orden de su casa matriz o sus sucursales en otros países o de la entidad controlante, siempre que se observen los siguientes requisitos: (i) la entidad extranjera deberá tener calificación internacional de riesgo comprendida en la categoría “</w:t>
      </w:r>
      <w:r w:rsidRPr="00AE4E8D">
        <w:rPr>
          <w:i/>
          <w:lang w:val="es-ES"/>
        </w:rPr>
        <w:t>investment grade</w:t>
      </w:r>
      <w:r w:rsidRPr="00AE4E8D">
        <w:rPr>
          <w:lang w:val="es-ES"/>
        </w:rPr>
        <w:t>”, (ii) la entidad extranjera deberá estar sujeta a normas que abarquen la supervisión sobre base consolidada de las sucursales o subsidiarias locales; (iii) en el caso de las financiaciones, éstas deberán ser atendidas por las sucursales o subsidiarias locales sólo con fondos provenientes de líneas asignadas a ellas por los citados intermediarios del exterior; y (iv) en el caso de las garantías otorgadas localmente, deberá existir respecto de ellas contragarantías extendidas por la casa matriz o por la entidad controlante del exterior, cuya efectivización opere en forma irrestricta a simple requerimiento de la sucursal o subsidiaria local y en modo inmediato a su eventual ejecución por parte del beneficiario.</w:t>
      </w:r>
    </w:p>
    <w:p w14:paraId="0AF50C9C" w14:textId="77777777" w:rsidR="002E07D5" w:rsidRPr="00AE4E8D" w:rsidRDefault="002E07D5" w:rsidP="00B52753">
      <w:pPr>
        <w:autoSpaceDE w:val="0"/>
        <w:autoSpaceDN w:val="0"/>
        <w:adjustRightInd w:val="0"/>
        <w:spacing w:after="240"/>
        <w:jc w:val="both"/>
        <w:rPr>
          <w:rFonts w:ascii="Times New Roman" w:hAnsi="Times New Roman"/>
          <w:b/>
          <w:i/>
          <w:lang w:val="es-ES"/>
        </w:rPr>
      </w:pPr>
      <w:bookmarkStart w:id="665" w:name="_Toc430186252"/>
      <w:r w:rsidRPr="00AE4E8D">
        <w:rPr>
          <w:rFonts w:ascii="Times New Roman" w:hAnsi="Times New Roman"/>
          <w:b/>
          <w:i/>
          <w:lang w:val="es-ES"/>
        </w:rPr>
        <w:t xml:space="preserve">Riesgo de </w:t>
      </w:r>
      <w:bookmarkEnd w:id="665"/>
      <w:r w:rsidRPr="00AE4E8D">
        <w:rPr>
          <w:rFonts w:ascii="Times New Roman" w:hAnsi="Times New Roman"/>
          <w:b/>
          <w:i/>
          <w:lang w:val="es-ES"/>
        </w:rPr>
        <w:t xml:space="preserve">tasa de interés </w:t>
      </w:r>
    </w:p>
    <w:p w14:paraId="75F16AF9" w14:textId="77777777" w:rsidR="002E07D5" w:rsidRPr="00AE4E8D" w:rsidRDefault="002E07D5" w:rsidP="002E07D5">
      <w:pPr>
        <w:autoSpaceDE w:val="0"/>
        <w:autoSpaceDN w:val="0"/>
        <w:adjustRightInd w:val="0"/>
        <w:spacing w:after="240"/>
        <w:jc w:val="both"/>
        <w:rPr>
          <w:rStyle w:val="BHTextoCar"/>
          <w:lang w:val="es-ES"/>
        </w:rPr>
      </w:pPr>
      <w:r w:rsidRPr="00AE4E8D">
        <w:rPr>
          <w:rFonts w:ascii="Times New Roman" w:hAnsi="Times New Roman"/>
          <w:lang w:val="es-ES"/>
        </w:rPr>
        <w:t xml:space="preserve">Hasta el 1º de enero de 2013, las entidades financieras debían cumplir con exigencias de capital mínimo </w:t>
      </w:r>
      <w:r w:rsidRPr="00AE4E8D">
        <w:rPr>
          <w:rStyle w:val="BHTextoCar"/>
          <w:lang w:val="es-ES"/>
        </w:rPr>
        <w:t xml:space="preserve">por riesgo de tasa de interés. Estas exigencias están destinadas a reflejar la sensibilidad de los activos y pasivos frente a variaciones en las tasas de interés. La Comunicación “A” 5369 del </w:t>
      </w:r>
      <w:r w:rsidR="002C3DEF" w:rsidRPr="00AE4E8D">
        <w:rPr>
          <w:rStyle w:val="BHTextoCar"/>
          <w:lang w:val="es-ES"/>
        </w:rPr>
        <w:t>BCRA</w:t>
      </w:r>
      <w:r w:rsidRPr="00AE4E8D">
        <w:rPr>
          <w:rStyle w:val="BHTextoCar"/>
          <w:lang w:val="es-ES"/>
        </w:rPr>
        <w:t xml:space="preserve"> eliminó la totalidad de estas exigencias de capital mínimo. Sin perjuicio de este cambio, las entidades financieras siguen obligadas a calcular el riesgo de tasa de interés y sujetas a la supervisión de la Superintendencia de Entidades Financieras y Cambiarias. </w:t>
      </w:r>
    </w:p>
    <w:p w14:paraId="49A1DC66" w14:textId="77777777" w:rsidR="002E07D5" w:rsidRPr="00AE4E8D" w:rsidRDefault="002E07D5" w:rsidP="002E07D5">
      <w:pPr>
        <w:autoSpaceDE w:val="0"/>
        <w:autoSpaceDN w:val="0"/>
        <w:adjustRightInd w:val="0"/>
        <w:spacing w:after="240"/>
        <w:jc w:val="both"/>
        <w:rPr>
          <w:rFonts w:ascii="Times New Roman" w:hAnsi="Times New Roman"/>
          <w:b/>
          <w:i/>
          <w:lang w:val="es-ES"/>
        </w:rPr>
      </w:pPr>
      <w:r w:rsidRPr="00AE4E8D">
        <w:rPr>
          <w:rFonts w:ascii="Times New Roman" w:hAnsi="Times New Roman"/>
          <w:b/>
          <w:i/>
          <w:lang w:val="es-ES"/>
        </w:rPr>
        <w:t>Riesgo de mercado</w:t>
      </w:r>
    </w:p>
    <w:p w14:paraId="61911E54" w14:textId="77777777" w:rsidR="002E07D5" w:rsidRPr="00AE4E8D" w:rsidRDefault="002E07D5" w:rsidP="0018126C">
      <w:pPr>
        <w:pStyle w:val="BHTexto"/>
        <w:rPr>
          <w:lang w:val="es-ES"/>
        </w:rPr>
      </w:pPr>
      <w:r w:rsidRPr="00AE4E8D">
        <w:rPr>
          <w:lang w:val="es-ES"/>
        </w:rPr>
        <w:t>Se exige capitales mínimos por riesgos de mercado en función del riesgo de mercado de los portafolios de las entidades medidos de acuerdo a su VaR. La norma incluye aquellos activos que tienen listado habitual en los mercados y excluye los activos que se mantienen en cuentas de inversión, los que deben satisfacer las exigencias de capital mínimo por riesgo de crédito de la contraparte y por riesgo de tasa de interés.</w:t>
      </w:r>
    </w:p>
    <w:p w14:paraId="17455E3A" w14:textId="77777777" w:rsidR="002E07D5" w:rsidRPr="00AE4E8D" w:rsidRDefault="002E07D5" w:rsidP="0018126C">
      <w:pPr>
        <w:pStyle w:val="BHTexto"/>
        <w:rPr>
          <w:lang w:val="es-ES"/>
        </w:rPr>
      </w:pPr>
      <w:r w:rsidRPr="00AE4E8D">
        <w:rPr>
          <w:lang w:val="es-ES"/>
        </w:rPr>
        <w:t xml:space="preserve">Se definen cinco categorías de activos. Los activos nacionales se dividen en acciones y en bonos públicos/instrumentos de deuda del </w:t>
      </w:r>
      <w:r w:rsidR="002C3DEF" w:rsidRPr="00AE4E8D">
        <w:rPr>
          <w:lang w:val="es-ES"/>
        </w:rPr>
        <w:t>BCRA</w:t>
      </w:r>
      <w:r w:rsidRPr="00AE4E8D">
        <w:rPr>
          <w:lang w:val="es-ES"/>
        </w:rPr>
        <w:t>, los que a su vez se clasifican en dos zonas de acuerdo a si su vida promedio ("</w:t>
      </w:r>
      <w:r w:rsidRPr="00AE4E8D">
        <w:rPr>
          <w:i/>
          <w:lang w:val="es-ES"/>
        </w:rPr>
        <w:t>modified duration</w:t>
      </w:r>
      <w:r w:rsidRPr="00AE4E8D">
        <w:rPr>
          <w:lang w:val="es-ES"/>
        </w:rPr>
        <w:t>") es inferior o superior a 2,5 años. Las acciones extranjeras y los bonos extranjeros constituyen otras dos categorías: estos últimos también se clasifican según su vida promedio, y se subdividen en dos zonas, definidas de la misma manera que para los activos nacionales. La quinta categoría la constituyen las posiciones en moneda extranjera, con las distinciones del caso según sea la moneda de que se trate.</w:t>
      </w:r>
    </w:p>
    <w:p w14:paraId="5B3C8526" w14:textId="77777777" w:rsidR="002E07D5" w:rsidRPr="00AE4E8D" w:rsidRDefault="002E07D5" w:rsidP="0018126C">
      <w:pPr>
        <w:pStyle w:val="BHTexto"/>
        <w:rPr>
          <w:lang w:val="es-ES"/>
        </w:rPr>
      </w:pPr>
      <w:r w:rsidRPr="00AE4E8D">
        <w:rPr>
          <w:lang w:val="es-ES"/>
        </w:rPr>
        <w:lastRenderedPageBreak/>
        <w:t>El requisito total de capital por riesgo de mercado es la suma de los cinco montos de capital necesarios para cubrir el riesgo valuado en cada categoría de activos.</w:t>
      </w:r>
    </w:p>
    <w:p w14:paraId="3BCCF7D8" w14:textId="77777777" w:rsidR="002E07D5" w:rsidRPr="00AE4E8D" w:rsidRDefault="002E07D5" w:rsidP="0018126C">
      <w:pPr>
        <w:pStyle w:val="BHTexto"/>
        <w:rPr>
          <w:lang w:val="es-ES"/>
        </w:rPr>
      </w:pPr>
      <w:r w:rsidRPr="00AE4E8D">
        <w:rPr>
          <w:lang w:val="es-ES"/>
        </w:rPr>
        <w:t xml:space="preserve">El cumplimiento de los requisitos de capital por riesgo de mercado es diario. La información al </w:t>
      </w:r>
      <w:r w:rsidR="002C3DEF" w:rsidRPr="00AE4E8D">
        <w:rPr>
          <w:lang w:val="es-ES"/>
        </w:rPr>
        <w:t>BCRA</w:t>
      </w:r>
      <w:r w:rsidRPr="00AE4E8D">
        <w:rPr>
          <w:lang w:val="es-ES"/>
        </w:rPr>
        <w:t xml:space="preserve"> se realiza en forma mensual. </w:t>
      </w:r>
      <w:r w:rsidR="002F623D" w:rsidRPr="00AE4E8D">
        <w:rPr>
          <w:lang w:val="es-ES"/>
        </w:rPr>
        <w:t xml:space="preserve">A partir de </w:t>
      </w:r>
      <w:r w:rsidRPr="00AE4E8D">
        <w:rPr>
          <w:lang w:val="es-ES"/>
        </w:rPr>
        <w:t>mayo de 2003, en el cálculo de la exigencia por riesgo de mercado se incluye al dólar como moneda extranjera a los efectos del cálculo de la exigencia de capital por riesgo de mercado, considerando a todos los activos y pasivos en dicha moneda.</w:t>
      </w:r>
    </w:p>
    <w:p w14:paraId="414CE8AB" w14:textId="77777777" w:rsidR="002E07D5" w:rsidRPr="00AE4E8D" w:rsidRDefault="002E07D5" w:rsidP="0018126C">
      <w:pPr>
        <w:pStyle w:val="BHTexto"/>
        <w:rPr>
          <w:lang w:val="es-ES"/>
        </w:rPr>
      </w:pPr>
      <w:r w:rsidRPr="00AE4E8D">
        <w:rPr>
          <w:lang w:val="es-ES"/>
        </w:rPr>
        <w:t>En virtud de la Comunicación “A” 5867, con vigencia a partir del 1 de marzo de 2016, el riesgo de mercado se definirá como la posibilidad de sufrir pérdidas en posiciones registradas dentro y fuera de balance a raíz de las fluctuaciones adversas en los precios de mercado. La exigencia de capital por riesgo de mercado será la suma aritmética de la exigencia de capital por los riesgos por tasa de interés, acciones, tipo de cambio y opciones. Para su determinación, las entidades deberán emplear un “Método de Medición Estándar” basado en una suma de componentes que capturan por separado el riesgo específico y el riesgo general de mercado de las posiciones en valores</w:t>
      </w:r>
      <w:r w:rsidR="00140213" w:rsidRPr="00AE4E8D">
        <w:rPr>
          <w:lang w:val="es-ES"/>
        </w:rPr>
        <w:t xml:space="preserve"> negociables</w:t>
      </w:r>
      <w:r w:rsidRPr="00AE4E8D">
        <w:rPr>
          <w:lang w:val="es-ES"/>
        </w:rPr>
        <w:t>.</w:t>
      </w:r>
    </w:p>
    <w:p w14:paraId="3E86C1BC" w14:textId="77777777" w:rsidR="002E07D5" w:rsidRPr="00AE4E8D" w:rsidRDefault="002E07D5" w:rsidP="0018126C">
      <w:pPr>
        <w:pStyle w:val="BHTexto"/>
        <w:rPr>
          <w:lang w:val="es-ES"/>
        </w:rPr>
      </w:pPr>
      <w:r w:rsidRPr="00AE4E8D">
        <w:rPr>
          <w:i/>
          <w:lang w:val="es-ES"/>
        </w:rPr>
        <w:t>Consideraciones generales</w:t>
      </w:r>
      <w:r w:rsidRPr="00AE4E8D">
        <w:rPr>
          <w:lang w:val="es-ES"/>
        </w:rPr>
        <w:t xml:space="preserve">. Los riesgos sujetos a esta exigencia de capital son los riesgos de las posiciones en instrumentos -valores </w:t>
      </w:r>
      <w:r w:rsidR="00140213" w:rsidRPr="00AE4E8D">
        <w:rPr>
          <w:lang w:val="es-ES"/>
        </w:rPr>
        <w:t xml:space="preserve">negociables </w:t>
      </w:r>
      <w:r w:rsidRPr="00AE4E8D">
        <w:rPr>
          <w:lang w:val="es-ES"/>
        </w:rPr>
        <w:t xml:space="preserve">y derivados- imputados a la cartera de negociación y los riesgos de las posiciones en monedas extranjeras imputados a la cartera de inversión o de negociación, indistintamente. A los efectos de la imputación antedicha, la cartera de negociación de las entidades se compone de posiciones en instrumentos financieros incorporados al patrimonio de la entidad con la finalidad de negociarlos o de dar cobertura a otros elementos de dicha cartera. De acuerdo a la nueva normativa, un instrumento financiero se podrá imputar a la cartera de negociación -a los fines de la exigencia de capital por riesgo de mercado- si su negociación está libre de toda restricción o si es posible obtener una cobertura total del instrumento. Además, la cartera deberá ser gestionada de forma activa y las posiciones valuadas en forma diaria y con adecuada precisión. Las posiciones que se mantengan con fines de negociación son aquellas que se tienen para su venta a corto plazo o con el propósito de obtener beneficios a partir de las fluctuaciones de precios en el corto plazo, reales o </w:t>
      </w:r>
      <w:proofErr w:type="gramStart"/>
      <w:r w:rsidRPr="00AE4E8D">
        <w:rPr>
          <w:lang w:val="es-ES"/>
        </w:rPr>
        <w:t>esperadas</w:t>
      </w:r>
      <w:proofErr w:type="gramEnd"/>
      <w:r w:rsidRPr="00AE4E8D">
        <w:rPr>
          <w:lang w:val="es-ES"/>
        </w:rPr>
        <w:t xml:space="preserve">, o mediante el arbitraje de precios. Incluyen tanto las posiciones que las entidades conservan para sí como las que adquieren como consecuencia de la prestación de servicios a clientes o de la “creación de mercado”. Las entidades deberán calcular la exigencia de capital por riesgo de crédito de contraparte de las operaciones con derivados OTC y de financiación con valores </w:t>
      </w:r>
      <w:r w:rsidR="00140213" w:rsidRPr="00AE4E8D">
        <w:rPr>
          <w:lang w:val="es-ES"/>
        </w:rPr>
        <w:t xml:space="preserve">negociables </w:t>
      </w:r>
      <w:r w:rsidRPr="00AE4E8D">
        <w:rPr>
          <w:lang w:val="es-ES"/>
        </w:rPr>
        <w:t>(“</w:t>
      </w:r>
      <w:r w:rsidRPr="00AE4E8D">
        <w:rPr>
          <w:i/>
          <w:lang w:val="es-ES"/>
        </w:rPr>
        <w:t>Securities Financing Transactions</w:t>
      </w:r>
      <w:r w:rsidRPr="00AE4E8D">
        <w:rPr>
          <w:lang w:val="es-ES"/>
        </w:rPr>
        <w:t xml:space="preserve">” -SFT-) -tales como operaciones de pase (acuerdos REPO)- registradas en la cartera de negociación en forma separada y adicional al cálculo de las exigencias de capital por riesgo general de mercado y riesgo específico de los subyacentes. A este efecto, deberán aplicar los métodos y ponderadores que son de aplicación cuando esas operaciones se registran en la cartera de inversión. Las entidades deberán contar con políticas y procedimientos claramente definidos para determinar qué exposiciones incluir o excluir de la cartera de negociación con el fin de calcular su exigencia de capital mínimo por riesgo de mercado. Por su parte la cartera de inversión quedará compuesta por las posiciones en los restantes instrumentos que no compongan la cartera de negociación. </w:t>
      </w:r>
    </w:p>
    <w:p w14:paraId="52C32C6D" w14:textId="77777777" w:rsidR="002E07D5" w:rsidRPr="00AE4E8D" w:rsidRDefault="002E07D5" w:rsidP="0018126C">
      <w:pPr>
        <w:pStyle w:val="BHTexto"/>
        <w:rPr>
          <w:lang w:val="es-ES"/>
        </w:rPr>
      </w:pPr>
      <w:r w:rsidRPr="00AE4E8D">
        <w:rPr>
          <w:lang w:val="es-ES"/>
        </w:rPr>
        <w:t xml:space="preserve">La exigencia de capital por riesgo de tipo de cambio se aplicará a la posición total en cada moneda extranjera. La exigencia de capital por valores </w:t>
      </w:r>
      <w:r w:rsidR="00140213" w:rsidRPr="00AE4E8D">
        <w:rPr>
          <w:lang w:val="es-ES"/>
        </w:rPr>
        <w:t xml:space="preserve">negociables </w:t>
      </w:r>
      <w:r w:rsidRPr="00AE4E8D">
        <w:rPr>
          <w:lang w:val="es-ES"/>
        </w:rPr>
        <w:t xml:space="preserve">se computará respecto de los instrumentos imputados a la cartera de negociación, que deberán estar valuados en forma prudente (a precios de mercado -“marked to market”- o a modelo -“marked to model”-). Los instrumentos cuyo rendimiento se determine en función del CER deberán ser considerados a tasa fija. Independientemente de que estén registradas en la cartera de negociación o en la cartera de inversión, los conceptos que deben deducirse a los fines del cálculo de la RPC se excluirán del cómputo de la exigencia de capital por riesgo de mercado. </w:t>
      </w:r>
    </w:p>
    <w:p w14:paraId="248C375A" w14:textId="77777777" w:rsidR="002E07D5" w:rsidRPr="00AE4E8D" w:rsidRDefault="002E07D5" w:rsidP="0018126C">
      <w:pPr>
        <w:pStyle w:val="BHTexto"/>
        <w:rPr>
          <w:lang w:val="es-ES"/>
        </w:rPr>
      </w:pPr>
      <w:r w:rsidRPr="00AE4E8D">
        <w:rPr>
          <w:lang w:val="es-ES"/>
        </w:rPr>
        <w:t>Exigencia de capital por riesgo de tasa de interés: La exigencia de capital por el riesgo de tasa de interés se deberá calcular respecto de los títulos de deuda y otros instrumentos imputados a la cartera de negociación, incluidas las acciones preferidas no convertibles. La exigencia se calcula sumando dos exigencias por separado: una por el riesgo específico de cada instrumento, ya sea que se trate de una posición vendida o comprada, y otra por el riesgo general de mercado -vinculado al efecto de cambios en la tasa de interés sobre la cartera-, en la que se podrán compensar las posiciones compradas y vendidas en diferentes instrumentos.</w:t>
      </w:r>
    </w:p>
    <w:p w14:paraId="323444CC" w14:textId="77777777" w:rsidR="002E07D5" w:rsidRPr="00AE4E8D" w:rsidRDefault="002E07D5" w:rsidP="0018126C">
      <w:pPr>
        <w:pStyle w:val="BHTexto"/>
        <w:rPr>
          <w:lang w:val="es-ES"/>
        </w:rPr>
      </w:pPr>
      <w:r w:rsidRPr="00AE4E8D">
        <w:rPr>
          <w:i/>
          <w:lang w:val="es-ES"/>
        </w:rPr>
        <w:t>Exigencia de capital por riesgo de posiciones en acciones</w:t>
      </w:r>
      <w:r w:rsidRPr="00AE4E8D">
        <w:rPr>
          <w:lang w:val="es-ES"/>
        </w:rPr>
        <w:t xml:space="preserve">. La exigencia de capital por el riesgo de mantener posiciones en acciones en la cartera de negociación alcanza a las posiciones compradas y vendidas en acciones ordinarias, títulos de deuda convertibles que se comporten como acciones y los compromisos para adquirir o vender acciones, así como en todo otro instrumento que tenga un comportamiento en el mercado similar al de las acciones, excluyendo a las acciones preferidas no </w:t>
      </w:r>
      <w:r w:rsidRPr="00AE4E8D">
        <w:rPr>
          <w:lang w:val="es-ES"/>
        </w:rPr>
        <w:lastRenderedPageBreak/>
        <w:t>convertibles, a las que se aplicará la exigencia por riesgo de tasa de interés descripta en el punto anterior. Las posiciones compradas y vendidas en la misma especie podrán computarse en términos netos.</w:t>
      </w:r>
    </w:p>
    <w:p w14:paraId="1A401C6E" w14:textId="77777777" w:rsidR="002E07D5" w:rsidRPr="00AE4E8D" w:rsidRDefault="002E07D5" w:rsidP="0018126C">
      <w:pPr>
        <w:pStyle w:val="BHTexto"/>
        <w:rPr>
          <w:lang w:val="es-ES"/>
        </w:rPr>
      </w:pPr>
      <w:r w:rsidRPr="00AE4E8D">
        <w:rPr>
          <w:i/>
          <w:lang w:val="es-ES"/>
        </w:rPr>
        <w:t>Exigencia de capital por riesgo de tipo de cambio</w:t>
      </w:r>
      <w:r w:rsidRPr="00AE4E8D">
        <w:rPr>
          <w:lang w:val="es-ES"/>
        </w:rPr>
        <w:t>. La exigencia de capital por el riesgo de tipo de cambio establece el capital mínimo necesario para cubrir el riesgo de mantener posiciones en moneda extranjera, incluido el oro. El cálculo de la exigencia de capital por riesgo de tipo de cambio requiere que la entidad primero, cuantifique su exposición en cada moneda y luego, estime los riesgos inherentes a la combinación de posiciones compradas y vendidas en diferentes monedas.</w:t>
      </w:r>
    </w:p>
    <w:p w14:paraId="288F6507" w14:textId="77777777" w:rsidR="002E07D5" w:rsidRPr="00AE4E8D" w:rsidRDefault="002E07D5" w:rsidP="0018126C">
      <w:pPr>
        <w:pStyle w:val="BHTexto"/>
        <w:rPr>
          <w:lang w:val="es-ES"/>
        </w:rPr>
      </w:pPr>
      <w:r w:rsidRPr="00AE4E8D">
        <w:rPr>
          <w:i/>
          <w:lang w:val="es-ES"/>
        </w:rPr>
        <w:t>Exigencia de capital por riesgo de posiciones en opciones.</w:t>
      </w:r>
      <w:r w:rsidRPr="00AE4E8D">
        <w:rPr>
          <w:lang w:val="es-ES"/>
        </w:rPr>
        <w:t xml:space="preserve"> El cálculo de la exigencia de capital por riesgo de posiciones en opciones dependerá según se trate de entidades que sólo compren opciones -y siempre que el valor de mercado de la totalidad de las opciones en cartera no supere el 5% de su RPC del mes anterior, o cuyas posiciones en opciones vendidas estén cubiertas por posiciones compradas en opciones que posean exactamente las mismas condiciones contractuales, las que podrán usar el método simplificado previsto en las normas, mientras que en el resto de los casos, las entidades deberán usar el método alternativo (“delta-plus”) también previsto en las normas.</w:t>
      </w:r>
    </w:p>
    <w:p w14:paraId="202398CF" w14:textId="77777777" w:rsidR="002E07D5" w:rsidRPr="00AE4E8D" w:rsidRDefault="002F623D" w:rsidP="0018126C">
      <w:pPr>
        <w:pStyle w:val="BHTexto"/>
        <w:rPr>
          <w:lang w:val="es-ES"/>
        </w:rPr>
      </w:pPr>
      <w:r w:rsidRPr="00AE4E8D">
        <w:rPr>
          <w:lang w:val="es-ES"/>
        </w:rPr>
        <w:t>L</w:t>
      </w:r>
      <w:r w:rsidR="002E07D5" w:rsidRPr="00AE4E8D">
        <w:rPr>
          <w:lang w:val="es-ES"/>
        </w:rPr>
        <w:t xml:space="preserve">a Comunicación “A” 5867 </w:t>
      </w:r>
      <w:r w:rsidRPr="00AE4E8D">
        <w:rPr>
          <w:lang w:val="es-ES"/>
        </w:rPr>
        <w:t xml:space="preserve">entró en vigencia el 1| de marzo de 2016 </w:t>
      </w:r>
      <w:r w:rsidR="002E07D5" w:rsidRPr="00AE4E8D">
        <w:rPr>
          <w:lang w:val="es-ES"/>
        </w:rPr>
        <w:t>y hasta el 31 de agosto de 2016, las entidades financieras deberán calcular extracontablemente la exigencia por riesgo de mercado conforme a la metodología vigente al 30 de diciembre de 2015 y considerar, al efecto de la determinación de la exigencia de capitales mínimos, la exigencia de capital por riesgo de mercado que resulte en un mayor importe.</w:t>
      </w:r>
    </w:p>
    <w:p w14:paraId="10A9F9D2" w14:textId="77777777" w:rsidR="002E07D5" w:rsidRPr="00AE4E8D" w:rsidRDefault="002E07D5" w:rsidP="002E07D5">
      <w:pPr>
        <w:autoSpaceDE w:val="0"/>
        <w:autoSpaceDN w:val="0"/>
        <w:adjustRightInd w:val="0"/>
        <w:spacing w:after="240"/>
        <w:jc w:val="both"/>
        <w:rPr>
          <w:rFonts w:ascii="Times New Roman" w:hAnsi="Times New Roman"/>
          <w:b/>
          <w:i/>
          <w:lang w:val="es-ES"/>
        </w:rPr>
      </w:pPr>
      <w:r w:rsidRPr="00AE4E8D">
        <w:rPr>
          <w:rFonts w:ascii="Times New Roman" w:hAnsi="Times New Roman"/>
          <w:b/>
          <w:i/>
          <w:lang w:val="es-ES"/>
        </w:rPr>
        <w:t xml:space="preserve">Consecuencias del incumplimiento de las exigencias de capital mínimo </w:t>
      </w:r>
    </w:p>
    <w:p w14:paraId="63E19EBD" w14:textId="77777777" w:rsidR="002E07D5" w:rsidRPr="00AE4E8D" w:rsidRDefault="002E07D5" w:rsidP="0018126C">
      <w:pPr>
        <w:pStyle w:val="BHTexto"/>
        <w:rPr>
          <w:lang w:val="es-ES"/>
        </w:rPr>
      </w:pPr>
      <w:r w:rsidRPr="00AE4E8D">
        <w:rPr>
          <w:lang w:val="es-ES"/>
        </w:rPr>
        <w:t xml:space="preserve">En caso de incumplimiento de las exigencias de capital mínimo por parte de una entidad financiera, la Comunicación “A” 3171 del </w:t>
      </w:r>
      <w:r w:rsidR="002C3DEF" w:rsidRPr="00AE4E8D">
        <w:rPr>
          <w:lang w:val="es-ES"/>
        </w:rPr>
        <w:t>BCRA</w:t>
      </w:r>
      <w:r w:rsidRPr="00AE4E8D">
        <w:rPr>
          <w:lang w:val="es-ES"/>
        </w:rPr>
        <w:t xml:space="preserve"> establece lo siguiente:</w:t>
      </w:r>
    </w:p>
    <w:p w14:paraId="6193B45D" w14:textId="77777777" w:rsidR="002E07D5" w:rsidRPr="00AE4E8D" w:rsidRDefault="002E07D5" w:rsidP="000668B5">
      <w:pPr>
        <w:pStyle w:val="BHTexto"/>
        <w:numPr>
          <w:ilvl w:val="0"/>
          <w:numId w:val="110"/>
        </w:numPr>
        <w:rPr>
          <w:lang w:val="es-ES"/>
        </w:rPr>
      </w:pPr>
      <w:r w:rsidRPr="00AE4E8D">
        <w:rPr>
          <w:i/>
          <w:lang w:val="es-ES"/>
        </w:rPr>
        <w:t>incumplimientos informados por las entidades</w:t>
      </w:r>
      <w:r w:rsidRPr="00AE4E8D">
        <w:rPr>
          <w:lang w:val="es-ES"/>
        </w:rPr>
        <w:t xml:space="preserve">: la entidad deberá encuadrarse en la exigencia a más tardar en el segundo mes siguiente a aquel en que se registre el incumplimiento, o presentar un plan de regularización y saneamiento dentro de los 30 días corridos siguientes al último día del mes al que corresponda el incumplimiento. Además, el incumplimiento de la exigencia de capital mínimo supondrá una serie de consecuencias para la entidad financiera, entre ellas la prohibición de instalar filiales en el país y en el exterior, instalar oficinas de representación en el exterior o tener una participación en entidades financieras del exterior, así como la prohibición de distribuir dividendos en efectivo. Asimismo, la Superintendencia de Entidades Financieras y Cambiarias podrá designar un veedor, con las facultades establecidas por la </w:t>
      </w:r>
      <w:r w:rsidR="00A667F7" w:rsidRPr="00AE4E8D">
        <w:rPr>
          <w:lang w:val="es-ES"/>
        </w:rPr>
        <w:t>Ley de Entidades Financieras</w:t>
      </w:r>
      <w:r w:rsidRPr="00AE4E8D">
        <w:rPr>
          <w:lang w:val="es-ES"/>
        </w:rPr>
        <w:t>.</w:t>
      </w:r>
    </w:p>
    <w:p w14:paraId="7A7B4FB7" w14:textId="77777777" w:rsidR="002E07D5" w:rsidRPr="00AE4E8D" w:rsidRDefault="002E07D5" w:rsidP="000668B5">
      <w:pPr>
        <w:pStyle w:val="BHTexto"/>
        <w:numPr>
          <w:ilvl w:val="0"/>
          <w:numId w:val="110"/>
        </w:numPr>
        <w:rPr>
          <w:lang w:val="es-ES"/>
        </w:rPr>
      </w:pPr>
      <w:r w:rsidRPr="00AE4E8D">
        <w:rPr>
          <w:i/>
          <w:lang w:val="es-ES"/>
        </w:rPr>
        <w:t>incumplimientos identificados por la Superintendencia de Entidades Financieras y Cambiarias</w:t>
      </w:r>
      <w:r w:rsidRPr="00AE4E8D">
        <w:rPr>
          <w:lang w:val="es-ES"/>
        </w:rPr>
        <w:t>: la entidad dispondrá de 30 días corridos contados desde la notificación de la determinación efectuada por la Superintendencia de Entidades Financieras y Cambiarias a fin de formular su descargo. Cuando la entidad no presente su descargo o si el descargo formulado es desestimado, el incumplimiento se considerará firme, aplicándose el procedimiento establecido en el punto (i).</w:t>
      </w:r>
    </w:p>
    <w:p w14:paraId="67AE09F4" w14:textId="77777777" w:rsidR="002E07D5" w:rsidRPr="00AE4E8D" w:rsidRDefault="002E07D5" w:rsidP="0018126C">
      <w:pPr>
        <w:pStyle w:val="BHTexto"/>
        <w:rPr>
          <w:lang w:val="es-ES"/>
        </w:rPr>
      </w:pPr>
      <w:r w:rsidRPr="00AE4E8D">
        <w:rPr>
          <w:lang w:val="es-ES"/>
        </w:rPr>
        <w:t xml:space="preserve">Asimismo, de acuerdo con la Comunicación “A” 5282 del </w:t>
      </w:r>
      <w:r w:rsidR="002C3DEF" w:rsidRPr="00AE4E8D">
        <w:rPr>
          <w:lang w:val="es-ES"/>
        </w:rPr>
        <w:t>BCRA</w:t>
      </w:r>
      <w:r w:rsidRPr="00AE4E8D">
        <w:rPr>
          <w:lang w:val="es-ES"/>
        </w:rPr>
        <w:t>, en caso de producirse un defecto de integración diaria respecto de la exigencia de capital por riesgo de mercado, excepto la correspondiente al último día del mes, originado en el cómputo de la exigencia por la suma del VaR de los activos comprendidos (u originado en el cómputo de las exigencias por riesgo de tasa, de tipo de cambio y de acciones, la entidad financiera deberá reponer el capital y/o reducir sus posiciones de activos financieros hasta lograr cumplir el requisito establecido, para lo cual contará con un plazo de diez días hábiles, contados a partir de la primera deficiencia. De mantenerse el defecto por un término superior a diez días hábiles, la entidad deberá presentar un plan de regularización y saneamiento dentro de los cinco días hábiles siguientes, y podrá quedar sujeta a un procedimiento administrativo iniciado por la Superintendencia de Entidades Financieras y Cambiarias.</w:t>
      </w:r>
    </w:p>
    <w:p w14:paraId="1AC0B3D4" w14:textId="77777777" w:rsidR="002E07D5" w:rsidRPr="00AE4E8D" w:rsidRDefault="002E07D5" w:rsidP="00B52753">
      <w:pPr>
        <w:autoSpaceDE w:val="0"/>
        <w:autoSpaceDN w:val="0"/>
        <w:adjustRightInd w:val="0"/>
        <w:spacing w:after="240"/>
        <w:jc w:val="both"/>
        <w:rPr>
          <w:rFonts w:ascii="Times New Roman" w:hAnsi="Times New Roman"/>
          <w:b/>
          <w:i/>
          <w:lang w:val="es-ES"/>
        </w:rPr>
      </w:pPr>
      <w:bookmarkStart w:id="666" w:name="_Toc430186253"/>
      <w:r w:rsidRPr="00AE4E8D">
        <w:rPr>
          <w:rFonts w:ascii="Times New Roman" w:hAnsi="Times New Roman"/>
          <w:b/>
          <w:i/>
          <w:lang w:val="es-ES"/>
        </w:rPr>
        <w:t xml:space="preserve">Riesgo </w:t>
      </w:r>
      <w:bookmarkEnd w:id="666"/>
      <w:r w:rsidRPr="00AE4E8D">
        <w:rPr>
          <w:rFonts w:ascii="Times New Roman" w:hAnsi="Times New Roman"/>
          <w:b/>
          <w:i/>
          <w:lang w:val="es-ES"/>
        </w:rPr>
        <w:t>operacional</w:t>
      </w:r>
    </w:p>
    <w:p w14:paraId="6DBF8BDA" w14:textId="77777777" w:rsidR="002E07D5" w:rsidRPr="00AE4E8D" w:rsidRDefault="002E07D5" w:rsidP="0018126C">
      <w:pPr>
        <w:pStyle w:val="BHTexto"/>
        <w:rPr>
          <w:lang w:val="es-ES"/>
        </w:rPr>
      </w:pPr>
      <w:r w:rsidRPr="00AE4E8D">
        <w:rPr>
          <w:lang w:val="es-ES"/>
        </w:rPr>
        <w:t>La norma sobre riesgo operacional aborda la gestión del riesgo operacional (RO) como una disciplina integral y separada de la gestión de otros riesgos, atento a su importancia. Se define el RO como el riesgo de pérdidas resultantes de la falta de adecuación o fallas en los procesos internos, de la actuación del personal o de los sistemas o bien aquellas que son producto de eventos externos. La definición incluye el riesgo legal y excluye el riesgo estratégico y reputacional.</w:t>
      </w:r>
    </w:p>
    <w:p w14:paraId="6865211B" w14:textId="77777777" w:rsidR="002E07D5" w:rsidRPr="00AE4E8D" w:rsidRDefault="002E07D5" w:rsidP="0018126C">
      <w:pPr>
        <w:pStyle w:val="BHTexto"/>
        <w:rPr>
          <w:lang w:val="es-ES"/>
        </w:rPr>
      </w:pPr>
      <w:r w:rsidRPr="00AE4E8D">
        <w:rPr>
          <w:lang w:val="es-ES"/>
        </w:rPr>
        <w:lastRenderedPageBreak/>
        <w:t>Las entidades financieras deben establecer un sistema para la gestión del RO que comprende las políticas, procesos, procedimientos y estructuras con que cuenta la entidad financiera para su adecuada gestión. Este marco debe permitir también a la entidad financiera evaluar si cuenta con capital suficiente.</w:t>
      </w:r>
    </w:p>
    <w:p w14:paraId="0AB3ECD7" w14:textId="77777777" w:rsidR="002E07D5" w:rsidRPr="00AE4E8D" w:rsidRDefault="002E07D5" w:rsidP="0018126C">
      <w:pPr>
        <w:pStyle w:val="BHTexto"/>
        <w:rPr>
          <w:lang w:val="es-ES"/>
        </w:rPr>
      </w:pPr>
      <w:r w:rsidRPr="00AE4E8D">
        <w:rPr>
          <w:lang w:val="es-ES"/>
        </w:rPr>
        <w:t>Se definen siete tipos de eventos de pérdidas operacionales, de acuerdo al criterio usado internacionalmente:</w:t>
      </w:r>
    </w:p>
    <w:p w14:paraId="3391BA64" w14:textId="77777777" w:rsidR="002E07D5" w:rsidRPr="00AE4E8D" w:rsidRDefault="002E07D5" w:rsidP="000668B5">
      <w:pPr>
        <w:pStyle w:val="BHTexto"/>
        <w:numPr>
          <w:ilvl w:val="0"/>
          <w:numId w:val="111"/>
        </w:numPr>
        <w:rPr>
          <w:lang w:val="es-ES"/>
        </w:rPr>
      </w:pPr>
      <w:r w:rsidRPr="00AE4E8D">
        <w:rPr>
          <w:lang w:val="es-ES"/>
        </w:rPr>
        <w:t>fraude interno,</w:t>
      </w:r>
    </w:p>
    <w:p w14:paraId="78A85056" w14:textId="77777777" w:rsidR="002E07D5" w:rsidRPr="00AE4E8D" w:rsidRDefault="002E07D5" w:rsidP="000668B5">
      <w:pPr>
        <w:pStyle w:val="BHTexto"/>
        <w:numPr>
          <w:ilvl w:val="0"/>
          <w:numId w:val="111"/>
        </w:numPr>
        <w:rPr>
          <w:lang w:val="es-ES"/>
        </w:rPr>
      </w:pPr>
      <w:r w:rsidRPr="00AE4E8D">
        <w:rPr>
          <w:lang w:val="es-ES"/>
        </w:rPr>
        <w:t>fraude externo,</w:t>
      </w:r>
    </w:p>
    <w:p w14:paraId="6C1EF46B" w14:textId="77777777" w:rsidR="002E07D5" w:rsidRPr="00AE4E8D" w:rsidRDefault="002E07D5" w:rsidP="000668B5">
      <w:pPr>
        <w:pStyle w:val="BHTexto"/>
        <w:numPr>
          <w:ilvl w:val="0"/>
          <w:numId w:val="111"/>
        </w:numPr>
        <w:rPr>
          <w:lang w:val="es-ES"/>
        </w:rPr>
      </w:pPr>
      <w:r w:rsidRPr="00AE4E8D">
        <w:rPr>
          <w:lang w:val="es-ES"/>
        </w:rPr>
        <w:t>relaciones laborales y seguridad en el puesto de trabajo,</w:t>
      </w:r>
    </w:p>
    <w:p w14:paraId="7A938C67" w14:textId="77777777" w:rsidR="002E07D5" w:rsidRPr="00AE4E8D" w:rsidRDefault="002E07D5" w:rsidP="000668B5">
      <w:pPr>
        <w:pStyle w:val="BHTexto"/>
        <w:numPr>
          <w:ilvl w:val="0"/>
          <w:numId w:val="111"/>
        </w:numPr>
        <w:rPr>
          <w:lang w:val="es-ES"/>
        </w:rPr>
      </w:pPr>
      <w:r w:rsidRPr="00AE4E8D">
        <w:rPr>
          <w:lang w:val="es-ES"/>
        </w:rPr>
        <w:t>prácticas con los clientes, productos y negocios,</w:t>
      </w:r>
    </w:p>
    <w:p w14:paraId="097E3C0A" w14:textId="77777777" w:rsidR="002E07D5" w:rsidRPr="00AE4E8D" w:rsidRDefault="002E07D5" w:rsidP="000668B5">
      <w:pPr>
        <w:pStyle w:val="BHTexto"/>
        <w:numPr>
          <w:ilvl w:val="0"/>
          <w:numId w:val="111"/>
        </w:numPr>
        <w:rPr>
          <w:lang w:val="es-ES"/>
        </w:rPr>
      </w:pPr>
      <w:r w:rsidRPr="00AE4E8D">
        <w:rPr>
          <w:lang w:val="es-ES"/>
        </w:rPr>
        <w:t>daños a activos físicos,</w:t>
      </w:r>
    </w:p>
    <w:p w14:paraId="4AD1FF68" w14:textId="77777777" w:rsidR="002E07D5" w:rsidRPr="00AE4E8D" w:rsidRDefault="002E07D5" w:rsidP="000668B5">
      <w:pPr>
        <w:pStyle w:val="BHTexto"/>
        <w:numPr>
          <w:ilvl w:val="0"/>
          <w:numId w:val="111"/>
        </w:numPr>
        <w:rPr>
          <w:rFonts w:eastAsia="Wingdings-Regular"/>
          <w:lang w:val="es-ES"/>
        </w:rPr>
      </w:pPr>
      <w:r w:rsidRPr="00AE4E8D">
        <w:rPr>
          <w:lang w:val="es-ES"/>
        </w:rPr>
        <w:t>alteraciones en la actividad y fallas tecnológicas,</w:t>
      </w:r>
      <w:r w:rsidRPr="00AE4E8D">
        <w:rPr>
          <w:rFonts w:eastAsia="Wingdings-Regular"/>
          <w:lang w:val="es-ES"/>
        </w:rPr>
        <w:t xml:space="preserve"> y</w:t>
      </w:r>
    </w:p>
    <w:p w14:paraId="75402653" w14:textId="77777777" w:rsidR="002E07D5" w:rsidRPr="00AE4E8D" w:rsidRDefault="002E07D5" w:rsidP="000668B5">
      <w:pPr>
        <w:pStyle w:val="BHTexto"/>
        <w:numPr>
          <w:ilvl w:val="0"/>
          <w:numId w:val="111"/>
        </w:numPr>
        <w:rPr>
          <w:lang w:val="es-ES"/>
        </w:rPr>
      </w:pPr>
      <w:r w:rsidRPr="00AE4E8D">
        <w:rPr>
          <w:lang w:val="es-ES"/>
        </w:rPr>
        <w:t>ejecución, gestión y cumplimiento del plazo de los procesos.</w:t>
      </w:r>
    </w:p>
    <w:p w14:paraId="390B2D6C" w14:textId="77777777" w:rsidR="002E07D5" w:rsidRPr="00AE4E8D" w:rsidRDefault="002E07D5" w:rsidP="0018126C">
      <w:pPr>
        <w:pStyle w:val="BHTexto"/>
        <w:rPr>
          <w:lang w:val="es-ES"/>
        </w:rPr>
      </w:pPr>
      <w:r w:rsidRPr="00AE4E8D">
        <w:rPr>
          <w:lang w:val="es-ES"/>
        </w:rPr>
        <w:t xml:space="preserve">Las entidades financieras tienen la responsabilidad de implementar un sistema de gestión del RO eficiente, en cumplimiento de las pautas establecidas por el </w:t>
      </w:r>
      <w:r w:rsidR="002C3DEF" w:rsidRPr="00AE4E8D">
        <w:rPr>
          <w:lang w:val="es-ES"/>
        </w:rPr>
        <w:t>BCRA</w:t>
      </w:r>
      <w:r w:rsidRPr="00AE4E8D">
        <w:rPr>
          <w:lang w:val="es-ES"/>
        </w:rPr>
        <w:t xml:space="preserve">. Un sistema sólido para la gestión del riesgo debe contar con una clara asignación de responsabilidades dentro de la organización de las entidades financieras. Así, la norma describe el papel de los distintos niveles de la organización en la gestión del RO (directorio y </w:t>
      </w:r>
      <w:proofErr w:type="gramStart"/>
      <w:r w:rsidRPr="00AE4E8D">
        <w:rPr>
          <w:lang w:val="es-ES"/>
        </w:rPr>
        <w:t>gerencia general –o equivalentes-</w:t>
      </w:r>
      <w:proofErr w:type="gramEnd"/>
      <w:r w:rsidRPr="00AE4E8D">
        <w:rPr>
          <w:lang w:val="es-ES"/>
        </w:rPr>
        <w:t xml:space="preserve"> y gerencias de línea).</w:t>
      </w:r>
    </w:p>
    <w:p w14:paraId="7CDA5808" w14:textId="77777777" w:rsidR="002E07D5" w:rsidRPr="00AE4E8D" w:rsidRDefault="002E07D5" w:rsidP="0018126C">
      <w:pPr>
        <w:pStyle w:val="BHTexto"/>
        <w:rPr>
          <w:lang w:val="es-ES"/>
        </w:rPr>
      </w:pPr>
      <w:r w:rsidRPr="00AE4E8D">
        <w:rPr>
          <w:lang w:val="es-ES"/>
        </w:rPr>
        <w:t>Se requiere que exista una “Unidad de Riesgo Operacional” acorde con el tamaño de la entidad, la naturaleza y complejidad de sus productos y procesos y la magnitud de sus operaciones, pudiendo tratarse de una única persona responsable, en los casos que así lo ameriten. Se permite que esta Unidad dependa funcionalmente de la Gerencia General (o autoridad equivalente) o de un nivel funcional con capacidad decisoria en materia de gestión de riesgos que reporte a esa Gerencia.</w:t>
      </w:r>
    </w:p>
    <w:p w14:paraId="5F7015E7" w14:textId="77777777" w:rsidR="002E07D5" w:rsidRPr="00AE4E8D" w:rsidRDefault="002E07D5" w:rsidP="0018126C">
      <w:pPr>
        <w:pStyle w:val="BHTexto"/>
        <w:rPr>
          <w:lang w:val="es-ES"/>
        </w:rPr>
      </w:pPr>
      <w:r w:rsidRPr="00AE4E8D">
        <w:rPr>
          <w:lang w:val="es-ES"/>
        </w:rPr>
        <w:t>Una gestión efectiva de este riesgo contribuirá a prevenir la ocurrencia de futuras pérdidas derivadas de eventos operativos. Consecuentemente, las entidades financieras deben gestionar el RO inherente a sus productos, actividades, procesos y sistemas relevantes. El proceso de gestión del RO comprende las etapas que se describen a continuación.</w:t>
      </w:r>
    </w:p>
    <w:p w14:paraId="6A052771" w14:textId="77777777" w:rsidR="002E07D5" w:rsidRPr="00AE4E8D" w:rsidRDefault="002E07D5" w:rsidP="0018126C">
      <w:pPr>
        <w:pStyle w:val="BHTexto"/>
        <w:rPr>
          <w:lang w:val="es-ES"/>
        </w:rPr>
      </w:pPr>
      <w:r w:rsidRPr="00AE4E8D">
        <w:rPr>
          <w:lang w:val="es-ES"/>
        </w:rPr>
        <w:t>a) Identificación y evaluación: para la identificación se tendrán en cuenta factores internos y externos, que pudieran afectar el desarrollo de los procesos e influir negativamente en las proyecciones realizadas conforme las estrategias de negocios definidas por la entidad. Las entidades financieras utilizarán datos internos, debiendo establecer un proceso para registrar y consignar en forma sistemática la frecuencia, severidad, categorías y otros aspectos relevantes de los eventos de pérdida por riesgo operacional. Entre las herramientas complementarias que las entidades deben usar pueden destacarse las autoevaluaciones de riesgo, la asignación de riesgos y los indicadores de riesgo.</w:t>
      </w:r>
    </w:p>
    <w:p w14:paraId="62C702CC" w14:textId="77777777" w:rsidR="002E07D5" w:rsidRPr="00AE4E8D" w:rsidRDefault="002E07D5" w:rsidP="0018126C">
      <w:pPr>
        <w:pStyle w:val="BHTexto"/>
        <w:rPr>
          <w:lang w:val="es-ES"/>
        </w:rPr>
      </w:pPr>
      <w:r w:rsidRPr="00AE4E8D">
        <w:rPr>
          <w:lang w:val="es-ES"/>
        </w:rPr>
        <w:t>b) Seguimiento: se requiere contar con un proceso de seguimiento eficaz a los efectos de facilitar la rápida detección y corrección de las posibles deficiencias que se produzcan en las políticas, procesos y procedimientos de gestión del riesgo operacional. Además, se deberá verificar la evolución de los indicadores que permitan detectar deficiencias y proponer acciones correctivas.</w:t>
      </w:r>
    </w:p>
    <w:p w14:paraId="07C349C5" w14:textId="77777777" w:rsidR="002E07D5" w:rsidRPr="00AE4E8D" w:rsidRDefault="002E07D5" w:rsidP="0018126C">
      <w:pPr>
        <w:pStyle w:val="BHTexto"/>
        <w:rPr>
          <w:lang w:val="es-ES"/>
        </w:rPr>
      </w:pPr>
      <w:r w:rsidRPr="00AE4E8D">
        <w:rPr>
          <w:lang w:val="es-ES"/>
        </w:rPr>
        <w:t>c) Control y mitigación del riesgo: se deberá contar con un sistema que asegure el cumplimiento de las políticas internas documentadas, reexaminando con una frecuencia mínima anual las estrategias de control y reducción de riesgos operacionales, debiendo realizar los ajustes que pudieran corresponder.</w:t>
      </w:r>
    </w:p>
    <w:p w14:paraId="69F1AF21" w14:textId="77777777" w:rsidR="002E07D5" w:rsidRPr="00AE4E8D" w:rsidRDefault="002E07D5" w:rsidP="0018126C">
      <w:pPr>
        <w:pStyle w:val="BHTexto"/>
        <w:rPr>
          <w:lang w:val="es-ES"/>
        </w:rPr>
      </w:pPr>
      <w:r w:rsidRPr="00AE4E8D">
        <w:rPr>
          <w:lang w:val="es-ES"/>
        </w:rPr>
        <w:t>De acuerdo con la Comunicación “A” 5282, la exigencia de capital mínimo en relación con el riesgo operacional es igual al 15% del ingreso bruto positivo promedio anual de los últimos 36 meses.</w:t>
      </w:r>
    </w:p>
    <w:p w14:paraId="77D87767" w14:textId="77777777" w:rsidR="002E07D5" w:rsidRPr="00AE4E8D" w:rsidRDefault="002E07D5" w:rsidP="0018126C">
      <w:pPr>
        <w:pStyle w:val="BHTexto"/>
        <w:rPr>
          <w:lang w:val="es-ES"/>
        </w:rPr>
      </w:pPr>
      <w:r w:rsidRPr="00AE4E8D">
        <w:rPr>
          <w:lang w:val="es-ES"/>
        </w:rPr>
        <w:t>El riesgo operacional se determinará aplicando la siguiente expresión:</w:t>
      </w:r>
    </w:p>
    <w:p w14:paraId="46699245" w14:textId="77777777" w:rsidR="002E07D5" w:rsidRPr="00AE4E8D" w:rsidRDefault="00B80D94" w:rsidP="0018126C">
      <w:pPr>
        <w:pStyle w:val="BHTexto"/>
        <w:jc w:val="center"/>
        <w:rPr>
          <w:noProof/>
          <w:lang w:val="es-ES"/>
        </w:rPr>
      </w:pPr>
      <w:r w:rsidRPr="00AE4E8D">
        <w:rPr>
          <w:noProof/>
          <w:lang w:val="es-ES" w:eastAsia="es-ES"/>
        </w:rPr>
        <w:drawing>
          <wp:inline distT="0" distB="0" distL="0" distR="0" wp14:anchorId="0C4AC935" wp14:editId="2C15B80B">
            <wp:extent cx="1821180" cy="84582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21180" cy="845820"/>
                    </a:xfrm>
                    <a:prstGeom prst="rect">
                      <a:avLst/>
                    </a:prstGeom>
                    <a:noFill/>
                    <a:ln>
                      <a:noFill/>
                    </a:ln>
                  </pic:spPr>
                </pic:pic>
              </a:graphicData>
            </a:graphic>
          </wp:inline>
        </w:drawing>
      </w:r>
    </w:p>
    <w:p w14:paraId="5B1D319D" w14:textId="77777777" w:rsidR="002E07D5" w:rsidRPr="00AE4E8D" w:rsidRDefault="002E07D5" w:rsidP="000668B5">
      <w:pPr>
        <w:pStyle w:val="BHTexto"/>
        <w:jc w:val="left"/>
        <w:rPr>
          <w:lang w:val="es-ES"/>
        </w:rPr>
      </w:pPr>
      <w:r w:rsidRPr="00AE4E8D">
        <w:rPr>
          <w:lang w:val="es-ES"/>
        </w:rPr>
        <w:t>Los factores comprendidos en la fórmula se definen como sigue:</w:t>
      </w:r>
    </w:p>
    <w:p w14:paraId="0A0537FE" w14:textId="77777777" w:rsidR="002E07D5" w:rsidRPr="00AE4E8D" w:rsidRDefault="002E07D5" w:rsidP="000668B5">
      <w:pPr>
        <w:pStyle w:val="BHTexto"/>
        <w:numPr>
          <w:ilvl w:val="0"/>
          <w:numId w:val="112"/>
        </w:numPr>
        <w:rPr>
          <w:lang w:val="es-ES"/>
        </w:rPr>
      </w:pPr>
      <w:r w:rsidRPr="00AE4E8D">
        <w:rPr>
          <w:lang w:val="es-ES"/>
        </w:rPr>
        <w:lastRenderedPageBreak/>
        <w:t>CRO: exigencia de capital por riesgo operacional.</w:t>
      </w:r>
    </w:p>
    <w:p w14:paraId="0541CA97" w14:textId="77777777" w:rsidR="002E07D5" w:rsidRPr="00AE4E8D" w:rsidRDefault="002E07D5" w:rsidP="000668B5">
      <w:pPr>
        <w:pStyle w:val="BHTexto"/>
        <w:numPr>
          <w:ilvl w:val="0"/>
          <w:numId w:val="112"/>
        </w:numPr>
        <w:rPr>
          <w:lang w:val="es-ES"/>
        </w:rPr>
      </w:pPr>
      <w:r w:rsidRPr="00AE4E8D">
        <w:rPr>
          <w:lang w:val="es-ES"/>
        </w:rPr>
        <w:t>α: 15%.</w:t>
      </w:r>
    </w:p>
    <w:p w14:paraId="4805C8FD" w14:textId="77777777" w:rsidR="002E07D5" w:rsidRPr="00AE4E8D" w:rsidRDefault="002E07D5" w:rsidP="000668B5">
      <w:pPr>
        <w:pStyle w:val="BHTexto"/>
        <w:numPr>
          <w:ilvl w:val="0"/>
          <w:numId w:val="112"/>
        </w:numPr>
        <w:rPr>
          <w:lang w:val="es-ES"/>
        </w:rPr>
      </w:pPr>
      <w:r w:rsidRPr="00AE4E8D">
        <w:rPr>
          <w:lang w:val="es-ES"/>
        </w:rPr>
        <w:t>n: número de períodos de 12 meses consecutivos en los cuales el IB es positivo, tomando en cuenta los últimos 36 meses anteriores al mes en que se efectúa el cálculo. El valor máximo de n es 3.</w:t>
      </w:r>
    </w:p>
    <w:p w14:paraId="20FC6C5A" w14:textId="77777777" w:rsidR="002E07D5" w:rsidRPr="00AE4E8D" w:rsidRDefault="002E07D5" w:rsidP="000668B5">
      <w:pPr>
        <w:pStyle w:val="BHTexto"/>
        <w:numPr>
          <w:ilvl w:val="0"/>
          <w:numId w:val="112"/>
        </w:numPr>
        <w:rPr>
          <w:lang w:val="es-ES"/>
        </w:rPr>
      </w:pPr>
      <w:r w:rsidRPr="00AE4E8D">
        <w:rPr>
          <w:lang w:val="es-ES"/>
        </w:rPr>
        <w:t xml:space="preserve">IBt: ingreso bruto de períodos de 12 meses consecutivos -siempre que sea positivo-, correspondiente a los últimos 36 meses anteriores al mes en que se efectúa el cálculo. </w:t>
      </w:r>
    </w:p>
    <w:p w14:paraId="0ED57564" w14:textId="77777777" w:rsidR="002E07D5" w:rsidRPr="00AE4E8D" w:rsidRDefault="002E07D5" w:rsidP="000668B5">
      <w:pPr>
        <w:pStyle w:val="BHTexto"/>
        <w:rPr>
          <w:lang w:val="es-ES"/>
        </w:rPr>
      </w:pPr>
      <w:r w:rsidRPr="00AE4E8D">
        <w:rPr>
          <w:lang w:val="es-ES"/>
        </w:rPr>
        <w:t>El IB se define como la suma de: (a) ingresos financieros y por servicios menos egresos financieros y por servicios, y (b) utilidades diversas menos pérdidas diversas.</w:t>
      </w:r>
    </w:p>
    <w:p w14:paraId="2E0535C0" w14:textId="77777777" w:rsidR="002E07D5" w:rsidRPr="00AE4E8D" w:rsidRDefault="002E07D5" w:rsidP="000668B5">
      <w:pPr>
        <w:pStyle w:val="BHTexto"/>
        <w:rPr>
          <w:lang w:val="es-ES"/>
        </w:rPr>
      </w:pPr>
      <w:r w:rsidRPr="00AE4E8D">
        <w:rPr>
          <w:lang w:val="es-ES"/>
        </w:rPr>
        <w:t>De los rubros contables mencionados en (a) y (b) se excluirán los siguientes conceptos:</w:t>
      </w:r>
    </w:p>
    <w:p w14:paraId="18EBD7FA" w14:textId="77777777" w:rsidR="002E07D5" w:rsidRPr="00AE4E8D" w:rsidRDefault="002E07D5" w:rsidP="000668B5">
      <w:pPr>
        <w:pStyle w:val="BHTexto"/>
        <w:numPr>
          <w:ilvl w:val="0"/>
          <w:numId w:val="113"/>
        </w:numPr>
        <w:rPr>
          <w:lang w:val="es-ES"/>
        </w:rPr>
      </w:pPr>
      <w:r w:rsidRPr="00AE4E8D">
        <w:rPr>
          <w:lang w:val="es-ES"/>
        </w:rPr>
        <w:t>cargos provenientes de la constitución de previsiones, desafectación de previsiones constituidas en ejercicios anteriores y créditos recuperados en el ejercicio castigados en ejercicios anteriores;</w:t>
      </w:r>
    </w:p>
    <w:p w14:paraId="2AC94167" w14:textId="77777777" w:rsidR="002E07D5" w:rsidRPr="00AE4E8D" w:rsidRDefault="002E07D5" w:rsidP="000668B5">
      <w:pPr>
        <w:pStyle w:val="BHTexto"/>
        <w:numPr>
          <w:ilvl w:val="0"/>
          <w:numId w:val="113"/>
        </w:numPr>
        <w:rPr>
          <w:lang w:val="es-ES"/>
        </w:rPr>
      </w:pPr>
      <w:r w:rsidRPr="00AE4E8D">
        <w:rPr>
          <w:lang w:val="es-ES"/>
        </w:rPr>
        <w:t>el resultado proveniente de participaciones en entidades financieras y en empresas, en la medida que se trate de conceptos deducibles de la responsabilidad patrimonial computable;</w:t>
      </w:r>
    </w:p>
    <w:p w14:paraId="05DECD03" w14:textId="77777777" w:rsidR="002E07D5" w:rsidRPr="00AE4E8D" w:rsidRDefault="002E07D5" w:rsidP="000668B5">
      <w:pPr>
        <w:pStyle w:val="BHTexto"/>
        <w:numPr>
          <w:ilvl w:val="0"/>
          <w:numId w:val="113"/>
        </w:numPr>
        <w:rPr>
          <w:lang w:val="es-ES"/>
        </w:rPr>
      </w:pPr>
      <w:r w:rsidRPr="00AE4E8D">
        <w:rPr>
          <w:lang w:val="es-ES"/>
        </w:rPr>
        <w:t>conceptos extraordinarios o irregulares (es decir, aquellos provenientes de resultados atípicos y excepcionales acaecidos durante el período, de suceso infrecuente en el pasado y no esperado para el futuro), incluyendo ingresos provenientes del cobro de seguros (recuperos de siniestros); y</w:t>
      </w:r>
    </w:p>
    <w:p w14:paraId="4F6B8F3B" w14:textId="77777777" w:rsidR="002E07D5" w:rsidRPr="00AE4E8D" w:rsidRDefault="002E07D5" w:rsidP="000668B5">
      <w:pPr>
        <w:pStyle w:val="BHTexto"/>
        <w:numPr>
          <w:ilvl w:val="0"/>
          <w:numId w:val="113"/>
        </w:numPr>
        <w:rPr>
          <w:lang w:val="es-ES"/>
        </w:rPr>
      </w:pPr>
      <w:r w:rsidRPr="00AE4E8D">
        <w:rPr>
          <w:lang w:val="es-ES"/>
        </w:rPr>
        <w:t xml:space="preserve">resultados provenientes de la venta de especies del sector público financiero, establecidos en las regulaciones del </w:t>
      </w:r>
      <w:r w:rsidR="002C3DEF" w:rsidRPr="00AE4E8D">
        <w:rPr>
          <w:lang w:val="es-ES"/>
        </w:rPr>
        <w:t>BCRA</w:t>
      </w:r>
      <w:r w:rsidRPr="00AE4E8D">
        <w:rPr>
          <w:lang w:val="es-ES"/>
        </w:rPr>
        <w:t xml:space="preserve"> (“Valuación de instrumentos de deuda del sector público no financiero y de regulación monetaria del BCRA”).</w:t>
      </w:r>
    </w:p>
    <w:p w14:paraId="6C62AB8A" w14:textId="77777777" w:rsidR="002E07D5" w:rsidRPr="00AE4E8D" w:rsidRDefault="002E07D5" w:rsidP="000668B5">
      <w:pPr>
        <w:pStyle w:val="BHTexto"/>
        <w:rPr>
          <w:lang w:val="es-ES"/>
        </w:rPr>
      </w:pPr>
      <w:r w:rsidRPr="00AE4E8D">
        <w:rPr>
          <w:lang w:val="es-ES"/>
        </w:rPr>
        <w:t>Las nuevas entidades financieras deben cumplir en el primer mes con una exigencia de capital mínimo por riesgo operacional equivalente al 10% de la sumatoria de las exigencias determinadas por los riesgos de crédito y de mercado -en este caso, para las posiciones del último día- de ese mes. A partir del segundo y hasta el trigésimo sexto mes, la exigencia mensual será equivalente al 10% del promedio de las exigencias determinadas para los meses transcurridos hasta el período de cálculo -inclusive-, resultantes de considerar los riesgos mencionados en el párrafo precedente. A partir del trigésimo séptimo mes, la exigencia mensual se calculará en función de la fórmula de riesgo operacional.</w:t>
      </w:r>
    </w:p>
    <w:p w14:paraId="205BB68F" w14:textId="77777777" w:rsidR="002E07D5" w:rsidRPr="00AE4E8D" w:rsidRDefault="002E07D5" w:rsidP="002E07D5">
      <w:pPr>
        <w:tabs>
          <w:tab w:val="left" w:pos="851"/>
        </w:tabs>
        <w:autoSpaceDE w:val="0"/>
        <w:autoSpaceDN w:val="0"/>
        <w:adjustRightInd w:val="0"/>
        <w:spacing w:after="240"/>
        <w:jc w:val="both"/>
        <w:rPr>
          <w:rFonts w:ascii="Times New Roman" w:hAnsi="Times New Roman"/>
          <w:b/>
          <w:i/>
          <w:lang w:val="es-ES"/>
        </w:rPr>
      </w:pPr>
      <w:r w:rsidRPr="00AE4E8D">
        <w:rPr>
          <w:rFonts w:ascii="Times New Roman" w:hAnsi="Times New Roman"/>
          <w:b/>
          <w:i/>
          <w:lang w:val="es-ES"/>
        </w:rPr>
        <w:t xml:space="preserve">Exigencias de efectivo mínimo </w:t>
      </w:r>
    </w:p>
    <w:p w14:paraId="7977554D" w14:textId="77777777" w:rsidR="002E07D5" w:rsidRPr="00AE4E8D" w:rsidRDefault="002E07D5" w:rsidP="000668B5">
      <w:pPr>
        <w:pStyle w:val="BHTexto"/>
        <w:rPr>
          <w:lang w:val="es-ES"/>
        </w:rPr>
      </w:pPr>
      <w:r w:rsidRPr="00AE4E8D">
        <w:rPr>
          <w:lang w:val="es-ES"/>
        </w:rPr>
        <w:t>La exigencia de efectivo mínimo requiere que una entidad financiera mantenga una parte de sus depósitos u obligaciones en libre disponibilidad, sin asignarlas a operaciones de préstamo. De acuerdo con la Comunicación “A” 3498 (con sus modificatorias y suplementos) del 1º de marzo de 2002, la exigencia de efectivo mínimo comprende depósitos y otras obligaciones por intermediación financiera (a la vista y a plazo).</w:t>
      </w:r>
    </w:p>
    <w:p w14:paraId="72106481" w14:textId="77777777" w:rsidR="002E07D5" w:rsidRPr="00AE4E8D" w:rsidRDefault="002E07D5" w:rsidP="000668B5">
      <w:pPr>
        <w:pStyle w:val="BHTexto"/>
        <w:rPr>
          <w:lang w:val="es-ES"/>
        </w:rPr>
      </w:pPr>
      <w:r w:rsidRPr="00AE4E8D">
        <w:rPr>
          <w:lang w:val="es-ES"/>
        </w:rPr>
        <w:t xml:space="preserve">La exigencia de efectivo mínimo es aplicable a los depósitos a la vista y a plazo y otras obligaciones por intermediación financiera denominadas en pesos, moneda extranjera o valores </w:t>
      </w:r>
      <w:r w:rsidR="00140213" w:rsidRPr="00AE4E8D">
        <w:rPr>
          <w:lang w:val="es-ES"/>
        </w:rPr>
        <w:t xml:space="preserve">negociables </w:t>
      </w:r>
      <w:r w:rsidRPr="00AE4E8D">
        <w:rPr>
          <w:lang w:val="es-ES"/>
        </w:rPr>
        <w:t>públicos y privados, y los saldos sin utilizar de adelantos en cuenta corriente formalizados que no contengan cláusulas que habiliten a la entidad a disponer discrecional y unilateralmente la anulación de la posibilidad de uso de dichos márgenes.</w:t>
      </w:r>
    </w:p>
    <w:p w14:paraId="79EC9AAD" w14:textId="77777777" w:rsidR="002E07D5" w:rsidRPr="00AE4E8D" w:rsidRDefault="002E07D5" w:rsidP="000668B5">
      <w:pPr>
        <w:pStyle w:val="BHTexto"/>
        <w:rPr>
          <w:lang w:val="es-ES"/>
        </w:rPr>
      </w:pPr>
      <w:r w:rsidRPr="00AE4E8D">
        <w:rPr>
          <w:lang w:val="es-ES"/>
        </w:rPr>
        <w:t>Las obligaciones de efectivo mínimo no incluyen (i) obligaciones con el BCRA; (ii) obligaciones con entidades financieras locales; (iii) obligaciones con bancos del exterior (incluidas las casas matrices y controlantes de entidades locales y sus sucursales) por líneas que tengan como destino la financiación de operaciones de comercio exterior; (iv) obligaciones por compras al contado a liquidar y a término, (v) ventas al contado a liquidar y a término, vinculadas o no a pases activos; (vi) obligaciones por líneas financieras del exterior con corresponsales; y (vii) obligaciones a la vista por giros y transferencias del exterior pendientes de pago siempre que su plazo no exceda las 72 horas hábiles a partir de su depósito.</w:t>
      </w:r>
    </w:p>
    <w:p w14:paraId="04F6DBC2" w14:textId="77777777" w:rsidR="002E07D5" w:rsidRPr="00AE4E8D" w:rsidRDefault="002E07D5" w:rsidP="000668B5">
      <w:pPr>
        <w:pStyle w:val="BHTexto"/>
        <w:rPr>
          <w:lang w:val="es-ES"/>
        </w:rPr>
      </w:pPr>
      <w:r w:rsidRPr="00AE4E8D">
        <w:rPr>
          <w:lang w:val="es-ES"/>
        </w:rPr>
        <w:t>Las obligaciones comprendidas se computarán por los saldos de capitales efectivamente transados. Quedan excluidos los intereses y primas devengados, vencidos o a vencer, por las obligaciones comprendidas, en tanto no hayan sido acreditados en cuenta o puestos a disposición de terceros y , en el caso de depósitos a plazo fijo de UVI (según se define más adelante), el monto devengado resultante del incremento del valor de dicha unidad.</w:t>
      </w:r>
    </w:p>
    <w:p w14:paraId="0D594D2A" w14:textId="77777777" w:rsidR="002E07D5" w:rsidRPr="00AE4E8D" w:rsidRDefault="002E07D5" w:rsidP="000668B5">
      <w:pPr>
        <w:pStyle w:val="BHTexto"/>
        <w:rPr>
          <w:lang w:val="es-ES"/>
        </w:rPr>
      </w:pPr>
      <w:r w:rsidRPr="00AE4E8D">
        <w:rPr>
          <w:lang w:val="es-ES"/>
        </w:rPr>
        <w:lastRenderedPageBreak/>
        <w:t>La exigencia de efectivo mínimo se aplicará sobre el promedio mensual de los saldos diarios de las obligaciones comprendidas, registrados al cierre de cada día durante cada mes calendario, con excepción del período comprendido entre el mes de diciembre de un año y el mes de febrero del año siguiente, para el que se aplicará un promedio trimestral. La exigencia se observará en forma separada por cada una de las monedas en que se encuentren denominadas las obligaciones.</w:t>
      </w:r>
    </w:p>
    <w:p w14:paraId="35F1F3C3" w14:textId="77777777" w:rsidR="002E07D5" w:rsidRPr="00AE4E8D" w:rsidRDefault="002E07D5" w:rsidP="000668B5">
      <w:pPr>
        <w:pStyle w:val="BHTexto"/>
        <w:rPr>
          <w:lang w:val="es-ES"/>
        </w:rPr>
      </w:pPr>
      <w:r w:rsidRPr="00AE4E8D">
        <w:rPr>
          <w:lang w:val="es-ES"/>
        </w:rPr>
        <w:t xml:space="preserve">El cuadro que sigue muestra las tasas de las que surgirán (a partir de abril de 2014 para los conceptos en pesos, y a partir del 1° de febrero de 2016 para los conceptos en moneda extranjera) las exigencias de efectivo mínimo que, en el caso de operaciones en pesos, dependerán de la categoría a la que pertenezca la localidad en la que se encuentre radicada la casa operativa en la que se efectúen (Comunicación “A” 6007 </w:t>
      </w:r>
      <w:r w:rsidR="00577B28" w:rsidRPr="00AE4E8D">
        <w:rPr>
          <w:lang w:val="es-ES"/>
        </w:rPr>
        <w:t xml:space="preserve">modificada por la Comunicación “A” 6148 </w:t>
      </w:r>
      <w:r w:rsidRPr="00AE4E8D">
        <w:rPr>
          <w:lang w:val="es-ES"/>
        </w:rPr>
        <w:t>del BCRA</w:t>
      </w:r>
      <w:r w:rsidR="001B2A8A" w:rsidRPr="00AE4E8D">
        <w:rPr>
          <w:lang w:val="es-ES"/>
        </w:rPr>
        <w:t>,</w:t>
      </w:r>
      <w:r w:rsidRPr="00AE4E8D">
        <w:rPr>
          <w:lang w:val="es-ES"/>
        </w:rPr>
        <w:t xml:space="preserve"> Comunicación “A” </w:t>
      </w:r>
      <w:r w:rsidR="00705F00" w:rsidRPr="00AE4E8D">
        <w:rPr>
          <w:lang w:val="es-ES"/>
        </w:rPr>
        <w:t>6080</w:t>
      </w:r>
      <w:r w:rsidRPr="00AE4E8D">
        <w:rPr>
          <w:lang w:val="es-ES"/>
        </w:rPr>
        <w:t xml:space="preserve"> </w:t>
      </w:r>
      <w:r w:rsidR="00577B28" w:rsidRPr="00AE4E8D">
        <w:rPr>
          <w:lang w:val="es-ES"/>
        </w:rPr>
        <w:t xml:space="preserve">modificada por la Comunicación “A” 6305 </w:t>
      </w:r>
      <w:r w:rsidRPr="00AE4E8D">
        <w:rPr>
          <w:lang w:val="es-ES"/>
        </w:rPr>
        <w:t>del BCRA</w:t>
      </w:r>
      <w:r w:rsidR="001B2A8A" w:rsidRPr="00AE4E8D">
        <w:rPr>
          <w:lang w:val="es-ES"/>
        </w:rPr>
        <w:t>, Comunicación “A” 6148 del BCRA y Comunicación “A” 6204 del BCRA</w:t>
      </w:r>
      <w:r w:rsidRPr="00AE4E8D">
        <w:rPr>
          <w:lang w:val="es-E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851"/>
        <w:gridCol w:w="1134"/>
        <w:gridCol w:w="850"/>
        <w:gridCol w:w="1165"/>
      </w:tblGrid>
      <w:tr w:rsidR="00705F00" w:rsidRPr="00AE4E8D" w14:paraId="3E995787" w14:textId="77777777" w:rsidTr="000400C8">
        <w:trPr>
          <w:tblHeader/>
          <w:jc w:val="center"/>
        </w:trPr>
        <w:tc>
          <w:tcPr>
            <w:tcW w:w="4644" w:type="dxa"/>
            <w:shd w:val="clear" w:color="auto" w:fill="auto"/>
          </w:tcPr>
          <w:p w14:paraId="1E215FD3" w14:textId="77777777" w:rsidR="00705F00" w:rsidRPr="00AE4E8D" w:rsidRDefault="00705F00" w:rsidP="00741F80">
            <w:pPr>
              <w:autoSpaceDE w:val="0"/>
              <w:autoSpaceDN w:val="0"/>
              <w:adjustRightInd w:val="0"/>
              <w:rPr>
                <w:rFonts w:ascii="Times New Roman" w:hAnsi="Times New Roman"/>
                <w:sz w:val="16"/>
                <w:lang w:val="es-ES"/>
              </w:rPr>
            </w:pPr>
          </w:p>
        </w:tc>
        <w:tc>
          <w:tcPr>
            <w:tcW w:w="4000" w:type="dxa"/>
            <w:gridSpan w:val="4"/>
            <w:shd w:val="clear" w:color="auto" w:fill="auto"/>
          </w:tcPr>
          <w:p w14:paraId="0165EF48" w14:textId="77777777" w:rsidR="00705F00" w:rsidRPr="00AE4E8D" w:rsidRDefault="00705F00" w:rsidP="00741F80">
            <w:pPr>
              <w:autoSpaceDE w:val="0"/>
              <w:autoSpaceDN w:val="0"/>
              <w:adjustRightInd w:val="0"/>
              <w:jc w:val="center"/>
              <w:rPr>
                <w:rFonts w:ascii="Times New Roman" w:hAnsi="Times New Roman"/>
                <w:b/>
                <w:sz w:val="16"/>
                <w:lang w:val="es-ES"/>
              </w:rPr>
            </w:pPr>
            <w:r w:rsidRPr="00AE4E8D">
              <w:rPr>
                <w:rFonts w:ascii="Times New Roman" w:hAnsi="Times New Roman"/>
                <w:b/>
                <w:sz w:val="16"/>
                <w:lang w:val="es-ES"/>
              </w:rPr>
              <w:t>Tasas en %</w:t>
            </w:r>
          </w:p>
        </w:tc>
      </w:tr>
      <w:tr w:rsidR="00705F00" w:rsidRPr="00AE4E8D" w14:paraId="4A13002D" w14:textId="77777777" w:rsidTr="000400C8">
        <w:trPr>
          <w:tblHeader/>
          <w:jc w:val="center"/>
        </w:trPr>
        <w:tc>
          <w:tcPr>
            <w:tcW w:w="4644" w:type="dxa"/>
            <w:shd w:val="clear" w:color="auto" w:fill="auto"/>
          </w:tcPr>
          <w:p w14:paraId="1BBF9CA1" w14:textId="77777777" w:rsidR="00705F00" w:rsidRPr="00AE4E8D" w:rsidRDefault="00705F00" w:rsidP="00741F80">
            <w:pPr>
              <w:autoSpaceDE w:val="0"/>
              <w:autoSpaceDN w:val="0"/>
              <w:adjustRightInd w:val="0"/>
              <w:rPr>
                <w:rFonts w:ascii="Times New Roman" w:hAnsi="Times New Roman"/>
                <w:sz w:val="16"/>
                <w:lang w:val="es-ES"/>
              </w:rPr>
            </w:pPr>
          </w:p>
        </w:tc>
        <w:tc>
          <w:tcPr>
            <w:tcW w:w="1985" w:type="dxa"/>
            <w:gridSpan w:val="2"/>
            <w:shd w:val="clear" w:color="auto" w:fill="auto"/>
          </w:tcPr>
          <w:p w14:paraId="20E88F7A" w14:textId="77777777" w:rsidR="00705F00" w:rsidRPr="00AE4E8D" w:rsidRDefault="00705F00" w:rsidP="00741F80">
            <w:pPr>
              <w:autoSpaceDE w:val="0"/>
              <w:autoSpaceDN w:val="0"/>
              <w:adjustRightInd w:val="0"/>
              <w:jc w:val="center"/>
              <w:rPr>
                <w:rFonts w:ascii="Times New Roman" w:hAnsi="Times New Roman"/>
                <w:b/>
                <w:sz w:val="16"/>
                <w:lang w:val="es-ES"/>
              </w:rPr>
            </w:pPr>
            <w:r w:rsidRPr="00AE4E8D">
              <w:rPr>
                <w:rFonts w:ascii="Times New Roman" w:hAnsi="Times New Roman"/>
                <w:b/>
                <w:sz w:val="16"/>
                <w:lang w:val="es-ES"/>
              </w:rPr>
              <w:t>Categoría I</w:t>
            </w:r>
          </w:p>
        </w:tc>
        <w:tc>
          <w:tcPr>
            <w:tcW w:w="2015" w:type="dxa"/>
            <w:gridSpan w:val="2"/>
            <w:shd w:val="clear" w:color="auto" w:fill="auto"/>
          </w:tcPr>
          <w:p w14:paraId="14D4FDA3" w14:textId="77777777" w:rsidR="00705F00" w:rsidRPr="00AE4E8D" w:rsidRDefault="00705F00" w:rsidP="00741F80">
            <w:pPr>
              <w:autoSpaceDE w:val="0"/>
              <w:autoSpaceDN w:val="0"/>
              <w:adjustRightInd w:val="0"/>
              <w:jc w:val="center"/>
              <w:rPr>
                <w:rFonts w:ascii="Times New Roman" w:hAnsi="Times New Roman"/>
                <w:b/>
                <w:sz w:val="16"/>
                <w:lang w:val="es-ES"/>
              </w:rPr>
            </w:pPr>
            <w:r w:rsidRPr="00AE4E8D">
              <w:rPr>
                <w:rFonts w:ascii="Times New Roman" w:hAnsi="Times New Roman"/>
                <w:b/>
                <w:sz w:val="16"/>
                <w:lang w:val="es-ES"/>
              </w:rPr>
              <w:t>Categorías II a VI</w:t>
            </w:r>
          </w:p>
        </w:tc>
      </w:tr>
      <w:tr w:rsidR="00705F00" w:rsidRPr="00AE4E8D" w14:paraId="4BA4346B" w14:textId="77777777" w:rsidTr="000400C8">
        <w:trPr>
          <w:tblHeader/>
          <w:jc w:val="center"/>
        </w:trPr>
        <w:tc>
          <w:tcPr>
            <w:tcW w:w="4644" w:type="dxa"/>
            <w:shd w:val="clear" w:color="auto" w:fill="auto"/>
          </w:tcPr>
          <w:p w14:paraId="55FA8D65" w14:textId="77777777" w:rsidR="00705F00" w:rsidRPr="00AE4E8D" w:rsidRDefault="00705F00" w:rsidP="00741F80">
            <w:pPr>
              <w:autoSpaceDE w:val="0"/>
              <w:autoSpaceDN w:val="0"/>
              <w:adjustRightInd w:val="0"/>
              <w:rPr>
                <w:rFonts w:ascii="Times New Roman" w:hAnsi="Times New Roman"/>
                <w:sz w:val="16"/>
                <w:lang w:val="es-ES"/>
              </w:rPr>
            </w:pPr>
          </w:p>
          <w:p w14:paraId="080F4DBC" w14:textId="77777777" w:rsidR="00705F00" w:rsidRPr="00AE4E8D" w:rsidRDefault="00705F00" w:rsidP="00741F80">
            <w:pPr>
              <w:autoSpaceDE w:val="0"/>
              <w:autoSpaceDN w:val="0"/>
              <w:adjustRightInd w:val="0"/>
              <w:rPr>
                <w:rFonts w:ascii="Times New Roman" w:hAnsi="Times New Roman"/>
                <w:sz w:val="16"/>
                <w:lang w:val="es-ES"/>
              </w:rPr>
            </w:pPr>
            <w:r w:rsidRPr="00AE4E8D">
              <w:rPr>
                <w:rFonts w:ascii="Times New Roman" w:hAnsi="Times New Roman"/>
                <w:b/>
                <w:sz w:val="16"/>
                <w:u w:val="single"/>
                <w:lang w:val="es-ES"/>
              </w:rPr>
              <w:t>Concepto</w:t>
            </w:r>
          </w:p>
        </w:tc>
        <w:tc>
          <w:tcPr>
            <w:tcW w:w="851" w:type="dxa"/>
            <w:shd w:val="clear" w:color="auto" w:fill="auto"/>
          </w:tcPr>
          <w:p w14:paraId="4E25EA4E" w14:textId="77777777" w:rsidR="00705F00" w:rsidRPr="00AE4E8D" w:rsidRDefault="00705F00" w:rsidP="00741F80">
            <w:pPr>
              <w:autoSpaceDE w:val="0"/>
              <w:autoSpaceDN w:val="0"/>
              <w:adjustRightInd w:val="0"/>
              <w:jc w:val="center"/>
              <w:rPr>
                <w:rFonts w:ascii="Times New Roman" w:hAnsi="Times New Roman"/>
                <w:sz w:val="16"/>
                <w:lang w:val="es-ES"/>
              </w:rPr>
            </w:pPr>
            <w:r w:rsidRPr="00AE4E8D">
              <w:rPr>
                <w:rFonts w:ascii="Times New Roman" w:hAnsi="Times New Roman"/>
                <w:b/>
                <w:sz w:val="16"/>
                <w:lang w:val="es-ES"/>
              </w:rPr>
              <w:t>En pesos</w:t>
            </w:r>
          </w:p>
        </w:tc>
        <w:tc>
          <w:tcPr>
            <w:tcW w:w="1134" w:type="dxa"/>
            <w:shd w:val="clear" w:color="auto" w:fill="auto"/>
          </w:tcPr>
          <w:p w14:paraId="1F9A9757" w14:textId="77777777" w:rsidR="00705F00" w:rsidRPr="00AE4E8D" w:rsidRDefault="00705F00" w:rsidP="00741F80">
            <w:pPr>
              <w:autoSpaceDE w:val="0"/>
              <w:autoSpaceDN w:val="0"/>
              <w:adjustRightInd w:val="0"/>
              <w:jc w:val="center"/>
              <w:rPr>
                <w:rFonts w:ascii="Times New Roman" w:hAnsi="Times New Roman"/>
                <w:b/>
                <w:sz w:val="16"/>
                <w:lang w:val="es-ES"/>
              </w:rPr>
            </w:pPr>
            <w:r w:rsidRPr="00AE4E8D">
              <w:rPr>
                <w:rFonts w:ascii="Times New Roman" w:hAnsi="Times New Roman"/>
                <w:b/>
                <w:sz w:val="16"/>
                <w:lang w:val="es-ES"/>
              </w:rPr>
              <w:t>En moneda extranjera</w:t>
            </w:r>
          </w:p>
        </w:tc>
        <w:tc>
          <w:tcPr>
            <w:tcW w:w="850" w:type="dxa"/>
            <w:shd w:val="clear" w:color="auto" w:fill="auto"/>
          </w:tcPr>
          <w:p w14:paraId="08ACB8C1" w14:textId="77777777" w:rsidR="00705F00" w:rsidRPr="00AE4E8D" w:rsidRDefault="00705F00" w:rsidP="00741F80">
            <w:pPr>
              <w:autoSpaceDE w:val="0"/>
              <w:autoSpaceDN w:val="0"/>
              <w:adjustRightInd w:val="0"/>
              <w:jc w:val="center"/>
              <w:rPr>
                <w:rFonts w:ascii="Times New Roman" w:hAnsi="Times New Roman"/>
                <w:b/>
                <w:sz w:val="16"/>
                <w:lang w:val="es-ES"/>
              </w:rPr>
            </w:pPr>
            <w:r w:rsidRPr="00AE4E8D">
              <w:rPr>
                <w:rFonts w:ascii="Times New Roman" w:hAnsi="Times New Roman"/>
                <w:b/>
                <w:sz w:val="16"/>
                <w:lang w:val="es-ES"/>
              </w:rPr>
              <w:t>En</w:t>
            </w:r>
          </w:p>
          <w:p w14:paraId="653876EA" w14:textId="77777777" w:rsidR="00705F00" w:rsidRPr="00AE4E8D" w:rsidRDefault="00705F00" w:rsidP="00741F80">
            <w:pPr>
              <w:autoSpaceDE w:val="0"/>
              <w:autoSpaceDN w:val="0"/>
              <w:adjustRightInd w:val="0"/>
              <w:jc w:val="center"/>
              <w:rPr>
                <w:rFonts w:ascii="Times New Roman" w:hAnsi="Times New Roman"/>
                <w:b/>
                <w:sz w:val="16"/>
                <w:lang w:val="es-ES"/>
              </w:rPr>
            </w:pPr>
            <w:r w:rsidRPr="00AE4E8D">
              <w:rPr>
                <w:rFonts w:ascii="Times New Roman" w:hAnsi="Times New Roman"/>
                <w:b/>
                <w:sz w:val="16"/>
                <w:lang w:val="es-ES"/>
              </w:rPr>
              <w:t>pesos</w:t>
            </w:r>
          </w:p>
        </w:tc>
        <w:tc>
          <w:tcPr>
            <w:tcW w:w="1165" w:type="dxa"/>
            <w:shd w:val="clear" w:color="auto" w:fill="auto"/>
          </w:tcPr>
          <w:p w14:paraId="4236CEB1" w14:textId="77777777" w:rsidR="00705F00" w:rsidRPr="00AE4E8D" w:rsidRDefault="00705F00" w:rsidP="00741F80">
            <w:pPr>
              <w:autoSpaceDE w:val="0"/>
              <w:autoSpaceDN w:val="0"/>
              <w:adjustRightInd w:val="0"/>
              <w:jc w:val="center"/>
              <w:rPr>
                <w:rFonts w:ascii="Times New Roman" w:hAnsi="Times New Roman"/>
                <w:b/>
                <w:sz w:val="16"/>
                <w:lang w:val="es-ES"/>
              </w:rPr>
            </w:pPr>
            <w:r w:rsidRPr="00AE4E8D">
              <w:rPr>
                <w:rFonts w:ascii="Times New Roman" w:hAnsi="Times New Roman"/>
                <w:b/>
                <w:sz w:val="16"/>
                <w:lang w:val="es-ES"/>
              </w:rPr>
              <w:t>En moneda extranjera</w:t>
            </w:r>
          </w:p>
        </w:tc>
      </w:tr>
      <w:tr w:rsidR="00705F00" w:rsidRPr="00AE4E8D" w14:paraId="4D6845A1" w14:textId="77777777" w:rsidTr="000400C8">
        <w:trPr>
          <w:jc w:val="center"/>
        </w:trPr>
        <w:tc>
          <w:tcPr>
            <w:tcW w:w="4644" w:type="dxa"/>
            <w:shd w:val="clear" w:color="auto" w:fill="auto"/>
          </w:tcPr>
          <w:p w14:paraId="757BB7B9"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p>
          <w:p w14:paraId="26441FA8"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r w:rsidRPr="00AE4E8D">
              <w:rPr>
                <w:rFonts w:ascii="Times New Roman" w:hAnsi="Times New Roman"/>
                <w:sz w:val="16"/>
                <w:lang w:val="es-ES"/>
              </w:rPr>
              <w:t>1-</w:t>
            </w:r>
            <w:r w:rsidRPr="00AE4E8D">
              <w:rPr>
                <w:rFonts w:ascii="Times New Roman" w:hAnsi="Times New Roman"/>
                <w:sz w:val="16"/>
                <w:lang w:val="es-ES"/>
              </w:rPr>
              <w:tab/>
              <w:t xml:space="preserve">Depósitos en cuenta corriente y cuentas a la vista </w:t>
            </w:r>
          </w:p>
        </w:tc>
        <w:tc>
          <w:tcPr>
            <w:tcW w:w="851" w:type="dxa"/>
            <w:shd w:val="clear" w:color="auto" w:fill="auto"/>
          </w:tcPr>
          <w:p w14:paraId="1E7F35CB" w14:textId="77777777" w:rsidR="00705F00" w:rsidRPr="00AE4E8D" w:rsidRDefault="00705F00" w:rsidP="00741F80">
            <w:pPr>
              <w:tabs>
                <w:tab w:val="left" w:pos="470"/>
              </w:tabs>
              <w:autoSpaceDE w:val="0"/>
              <w:autoSpaceDN w:val="0"/>
              <w:adjustRightInd w:val="0"/>
              <w:spacing w:after="60"/>
              <w:jc w:val="right"/>
              <w:rPr>
                <w:rFonts w:ascii="Times New Roman" w:hAnsi="Times New Roman"/>
                <w:sz w:val="16"/>
                <w:lang w:val="es-ES"/>
              </w:rPr>
            </w:pPr>
          </w:p>
          <w:p w14:paraId="113F6459" w14:textId="77777777" w:rsidR="00705F00" w:rsidRPr="00AE4E8D" w:rsidRDefault="00705F00" w:rsidP="00741F80">
            <w:pPr>
              <w:tabs>
                <w:tab w:val="left" w:pos="470"/>
              </w:tabs>
              <w:autoSpaceDE w:val="0"/>
              <w:autoSpaceDN w:val="0"/>
              <w:adjustRightInd w:val="0"/>
              <w:spacing w:after="60"/>
              <w:jc w:val="right"/>
              <w:rPr>
                <w:rFonts w:ascii="Times New Roman" w:hAnsi="Times New Roman"/>
                <w:sz w:val="16"/>
                <w:lang w:val="es-ES"/>
              </w:rPr>
            </w:pPr>
            <w:r w:rsidRPr="00AE4E8D">
              <w:rPr>
                <w:rFonts w:ascii="Times New Roman" w:hAnsi="Times New Roman"/>
                <w:sz w:val="16"/>
                <w:lang w:val="es-ES"/>
              </w:rPr>
              <w:t>20</w:t>
            </w:r>
          </w:p>
        </w:tc>
        <w:tc>
          <w:tcPr>
            <w:tcW w:w="1134" w:type="dxa"/>
            <w:shd w:val="clear" w:color="auto" w:fill="auto"/>
          </w:tcPr>
          <w:p w14:paraId="47F95544" w14:textId="77777777" w:rsidR="00705F00" w:rsidRPr="00AE4E8D" w:rsidRDefault="00705F00" w:rsidP="00741F80">
            <w:pPr>
              <w:autoSpaceDE w:val="0"/>
              <w:autoSpaceDN w:val="0"/>
              <w:adjustRightInd w:val="0"/>
              <w:spacing w:after="60"/>
              <w:jc w:val="right"/>
              <w:rPr>
                <w:rFonts w:ascii="Times New Roman" w:hAnsi="Times New Roman"/>
                <w:sz w:val="16"/>
                <w:lang w:val="es-ES"/>
              </w:rPr>
            </w:pPr>
          </w:p>
        </w:tc>
        <w:tc>
          <w:tcPr>
            <w:tcW w:w="850" w:type="dxa"/>
            <w:shd w:val="clear" w:color="auto" w:fill="auto"/>
          </w:tcPr>
          <w:p w14:paraId="4348EE9D" w14:textId="77777777" w:rsidR="00705F00" w:rsidRPr="00AE4E8D" w:rsidRDefault="00705F00" w:rsidP="00741F80">
            <w:pPr>
              <w:autoSpaceDE w:val="0"/>
              <w:autoSpaceDN w:val="0"/>
              <w:adjustRightInd w:val="0"/>
              <w:spacing w:after="60"/>
              <w:jc w:val="right"/>
              <w:rPr>
                <w:rFonts w:ascii="Times New Roman" w:hAnsi="Times New Roman"/>
                <w:sz w:val="16"/>
                <w:lang w:val="es-ES"/>
              </w:rPr>
            </w:pPr>
          </w:p>
          <w:p w14:paraId="5FF6DFDD" w14:textId="77777777" w:rsidR="00705F00" w:rsidRPr="00AE4E8D" w:rsidRDefault="00705F00" w:rsidP="00741F80">
            <w:pPr>
              <w:autoSpaceDE w:val="0"/>
              <w:autoSpaceDN w:val="0"/>
              <w:adjustRightInd w:val="0"/>
              <w:spacing w:after="60"/>
              <w:jc w:val="right"/>
              <w:rPr>
                <w:rFonts w:ascii="Times New Roman" w:hAnsi="Times New Roman"/>
                <w:sz w:val="16"/>
                <w:lang w:val="es-ES"/>
              </w:rPr>
            </w:pPr>
            <w:r w:rsidRPr="00AE4E8D">
              <w:rPr>
                <w:rFonts w:ascii="Times New Roman" w:hAnsi="Times New Roman"/>
                <w:sz w:val="16"/>
                <w:lang w:val="es-ES"/>
              </w:rPr>
              <w:t>18</w:t>
            </w:r>
          </w:p>
        </w:tc>
        <w:tc>
          <w:tcPr>
            <w:tcW w:w="1165" w:type="dxa"/>
            <w:shd w:val="clear" w:color="auto" w:fill="auto"/>
          </w:tcPr>
          <w:p w14:paraId="1CF71188" w14:textId="77777777" w:rsidR="00705F00" w:rsidRPr="00AE4E8D" w:rsidRDefault="00705F00" w:rsidP="00741F80">
            <w:pPr>
              <w:autoSpaceDE w:val="0"/>
              <w:autoSpaceDN w:val="0"/>
              <w:adjustRightInd w:val="0"/>
              <w:spacing w:after="60"/>
              <w:jc w:val="right"/>
              <w:rPr>
                <w:rFonts w:ascii="Times New Roman" w:hAnsi="Times New Roman"/>
                <w:sz w:val="16"/>
                <w:lang w:val="es-ES"/>
              </w:rPr>
            </w:pPr>
          </w:p>
        </w:tc>
      </w:tr>
      <w:tr w:rsidR="00705F00" w:rsidRPr="00AE4E8D" w14:paraId="4D009F0A" w14:textId="77777777" w:rsidTr="000400C8">
        <w:trPr>
          <w:jc w:val="center"/>
        </w:trPr>
        <w:tc>
          <w:tcPr>
            <w:tcW w:w="4644" w:type="dxa"/>
            <w:shd w:val="clear" w:color="auto" w:fill="auto"/>
          </w:tcPr>
          <w:p w14:paraId="3444064F"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r w:rsidRPr="00AE4E8D">
              <w:rPr>
                <w:rFonts w:ascii="Times New Roman" w:hAnsi="Times New Roman"/>
                <w:sz w:val="16"/>
                <w:lang w:val="es-ES"/>
              </w:rPr>
              <w:t>2-</w:t>
            </w:r>
            <w:r w:rsidRPr="00AE4E8D">
              <w:rPr>
                <w:rFonts w:ascii="Times New Roman" w:hAnsi="Times New Roman"/>
                <w:sz w:val="16"/>
                <w:lang w:val="es-ES"/>
              </w:rPr>
              <w:tab/>
              <w:t>Depósitos en caja de ahorros, en cuenta básica y en cuenta gratuita universal</w:t>
            </w:r>
          </w:p>
        </w:tc>
        <w:tc>
          <w:tcPr>
            <w:tcW w:w="851" w:type="dxa"/>
            <w:shd w:val="clear" w:color="auto" w:fill="auto"/>
          </w:tcPr>
          <w:p w14:paraId="30B2CFDB"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20</w:t>
            </w:r>
          </w:p>
        </w:tc>
        <w:tc>
          <w:tcPr>
            <w:tcW w:w="1134" w:type="dxa"/>
            <w:shd w:val="clear" w:color="auto" w:fill="auto"/>
          </w:tcPr>
          <w:p w14:paraId="56DCBF27"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20</w:t>
            </w:r>
          </w:p>
        </w:tc>
        <w:tc>
          <w:tcPr>
            <w:tcW w:w="850" w:type="dxa"/>
            <w:shd w:val="clear" w:color="auto" w:fill="auto"/>
          </w:tcPr>
          <w:p w14:paraId="6D9E16A7"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18</w:t>
            </w:r>
          </w:p>
        </w:tc>
        <w:tc>
          <w:tcPr>
            <w:tcW w:w="1165" w:type="dxa"/>
            <w:shd w:val="clear" w:color="auto" w:fill="auto"/>
          </w:tcPr>
          <w:p w14:paraId="64D7FC8D"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25</w:t>
            </w:r>
          </w:p>
        </w:tc>
      </w:tr>
      <w:tr w:rsidR="00705F00" w:rsidRPr="00AE4E8D" w14:paraId="63E04A1A" w14:textId="77777777" w:rsidTr="000400C8">
        <w:trPr>
          <w:jc w:val="center"/>
        </w:trPr>
        <w:tc>
          <w:tcPr>
            <w:tcW w:w="4644" w:type="dxa"/>
            <w:shd w:val="clear" w:color="auto" w:fill="auto"/>
          </w:tcPr>
          <w:p w14:paraId="2BE2191A"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r w:rsidRPr="00AE4E8D">
              <w:rPr>
                <w:rFonts w:ascii="Times New Roman" w:hAnsi="Times New Roman"/>
                <w:sz w:val="16"/>
                <w:lang w:val="es-ES"/>
              </w:rPr>
              <w:t>3-</w:t>
            </w:r>
            <w:r w:rsidRPr="00AE4E8D">
              <w:rPr>
                <w:rFonts w:ascii="Times New Roman" w:hAnsi="Times New Roman"/>
                <w:sz w:val="16"/>
                <w:lang w:val="es-ES"/>
              </w:rPr>
              <w:tab/>
              <w:t>Usuras pupilares, cuentas especiales para círculos cerrados, fondo de cese laboral para los trabajadores de la industria de la construcción, sueldo/de la seguridad social, cuentas corrientes especiales para personas jurídicas y caja de ahorros para el pago de planes o programas de ayuda social</w:t>
            </w:r>
          </w:p>
        </w:tc>
        <w:tc>
          <w:tcPr>
            <w:tcW w:w="851" w:type="dxa"/>
            <w:shd w:val="clear" w:color="auto" w:fill="auto"/>
          </w:tcPr>
          <w:p w14:paraId="1BE9C573"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20</w:t>
            </w:r>
          </w:p>
        </w:tc>
        <w:tc>
          <w:tcPr>
            <w:tcW w:w="1134" w:type="dxa"/>
            <w:shd w:val="clear" w:color="auto" w:fill="auto"/>
          </w:tcPr>
          <w:p w14:paraId="72489FCC"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25</w:t>
            </w:r>
          </w:p>
        </w:tc>
        <w:tc>
          <w:tcPr>
            <w:tcW w:w="850" w:type="dxa"/>
            <w:shd w:val="clear" w:color="auto" w:fill="auto"/>
          </w:tcPr>
          <w:p w14:paraId="672738D6"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18</w:t>
            </w:r>
          </w:p>
        </w:tc>
        <w:tc>
          <w:tcPr>
            <w:tcW w:w="1165" w:type="dxa"/>
            <w:shd w:val="clear" w:color="auto" w:fill="auto"/>
          </w:tcPr>
          <w:p w14:paraId="66BC60F3"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25</w:t>
            </w:r>
          </w:p>
        </w:tc>
      </w:tr>
      <w:tr w:rsidR="00705F00" w:rsidRPr="00AE4E8D" w14:paraId="77BD7D7B" w14:textId="77777777" w:rsidTr="000400C8">
        <w:trPr>
          <w:jc w:val="center"/>
        </w:trPr>
        <w:tc>
          <w:tcPr>
            <w:tcW w:w="4644" w:type="dxa"/>
            <w:shd w:val="clear" w:color="auto" w:fill="auto"/>
          </w:tcPr>
          <w:p w14:paraId="2E87C301"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r w:rsidRPr="00AE4E8D">
              <w:rPr>
                <w:rFonts w:ascii="Times New Roman" w:hAnsi="Times New Roman"/>
                <w:sz w:val="16"/>
                <w:lang w:val="es-ES"/>
              </w:rPr>
              <w:t>4-</w:t>
            </w:r>
            <w:r w:rsidRPr="00AE4E8D">
              <w:rPr>
                <w:rFonts w:ascii="Times New Roman" w:hAnsi="Times New Roman"/>
                <w:sz w:val="16"/>
                <w:lang w:val="es-ES"/>
              </w:rPr>
              <w:tab/>
              <w:t>Otros depósitos y obligaciones a la vista, haberes previsionales acreditados por la ANSES pendientes de efectivización y saldos inmovilizados correspondientes a obligaciones comprendidas en estas normas</w:t>
            </w:r>
          </w:p>
        </w:tc>
        <w:tc>
          <w:tcPr>
            <w:tcW w:w="851" w:type="dxa"/>
            <w:shd w:val="clear" w:color="auto" w:fill="auto"/>
          </w:tcPr>
          <w:p w14:paraId="2950C4FF"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20</w:t>
            </w:r>
          </w:p>
        </w:tc>
        <w:tc>
          <w:tcPr>
            <w:tcW w:w="1134" w:type="dxa"/>
            <w:shd w:val="clear" w:color="auto" w:fill="auto"/>
          </w:tcPr>
          <w:p w14:paraId="1AA236FE"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25</w:t>
            </w:r>
          </w:p>
        </w:tc>
        <w:tc>
          <w:tcPr>
            <w:tcW w:w="850" w:type="dxa"/>
            <w:shd w:val="clear" w:color="auto" w:fill="auto"/>
          </w:tcPr>
          <w:p w14:paraId="5C246545"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18</w:t>
            </w:r>
          </w:p>
        </w:tc>
        <w:tc>
          <w:tcPr>
            <w:tcW w:w="1165" w:type="dxa"/>
            <w:shd w:val="clear" w:color="auto" w:fill="auto"/>
          </w:tcPr>
          <w:p w14:paraId="7B4DEE57"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25</w:t>
            </w:r>
          </w:p>
        </w:tc>
      </w:tr>
      <w:tr w:rsidR="00705F00" w:rsidRPr="00AE4E8D" w14:paraId="4ED5460A" w14:textId="77777777" w:rsidTr="000400C8">
        <w:trPr>
          <w:jc w:val="center"/>
        </w:trPr>
        <w:tc>
          <w:tcPr>
            <w:tcW w:w="4644" w:type="dxa"/>
            <w:shd w:val="clear" w:color="auto" w:fill="auto"/>
          </w:tcPr>
          <w:p w14:paraId="3B83DDE1"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r w:rsidRPr="00AE4E8D">
              <w:rPr>
                <w:rFonts w:ascii="Times New Roman" w:hAnsi="Times New Roman"/>
                <w:sz w:val="16"/>
                <w:lang w:val="es-ES"/>
              </w:rPr>
              <w:t>5-</w:t>
            </w:r>
            <w:r w:rsidRPr="00AE4E8D">
              <w:rPr>
                <w:rFonts w:ascii="Times New Roman" w:hAnsi="Times New Roman"/>
                <w:sz w:val="16"/>
                <w:lang w:val="es-ES"/>
              </w:rPr>
              <w:tab/>
              <w:t>Saldos sin utilizar de adelantos en cuenta corriente formalizados</w:t>
            </w:r>
          </w:p>
        </w:tc>
        <w:tc>
          <w:tcPr>
            <w:tcW w:w="851" w:type="dxa"/>
            <w:shd w:val="clear" w:color="auto" w:fill="auto"/>
          </w:tcPr>
          <w:p w14:paraId="4CE3E6DD"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20</w:t>
            </w:r>
          </w:p>
        </w:tc>
        <w:tc>
          <w:tcPr>
            <w:tcW w:w="1134" w:type="dxa"/>
            <w:shd w:val="clear" w:color="auto" w:fill="auto"/>
          </w:tcPr>
          <w:p w14:paraId="5E1C9C3A"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850" w:type="dxa"/>
            <w:shd w:val="clear" w:color="auto" w:fill="auto"/>
          </w:tcPr>
          <w:p w14:paraId="0AA24526"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18</w:t>
            </w:r>
          </w:p>
        </w:tc>
        <w:tc>
          <w:tcPr>
            <w:tcW w:w="1165" w:type="dxa"/>
            <w:shd w:val="clear" w:color="auto" w:fill="auto"/>
          </w:tcPr>
          <w:p w14:paraId="0E4381BF" w14:textId="77777777" w:rsidR="00705F00" w:rsidRPr="00AE4E8D" w:rsidRDefault="00705F00" w:rsidP="00741F80">
            <w:pPr>
              <w:autoSpaceDE w:val="0"/>
              <w:autoSpaceDN w:val="0"/>
              <w:adjustRightInd w:val="0"/>
              <w:jc w:val="right"/>
              <w:rPr>
                <w:rFonts w:ascii="Times New Roman" w:hAnsi="Times New Roman"/>
                <w:sz w:val="16"/>
                <w:lang w:val="es-ES"/>
              </w:rPr>
            </w:pPr>
          </w:p>
        </w:tc>
      </w:tr>
      <w:tr w:rsidR="00705F00" w:rsidRPr="00AE4E8D" w14:paraId="5F57728C" w14:textId="77777777" w:rsidTr="000400C8">
        <w:trPr>
          <w:jc w:val="center"/>
        </w:trPr>
        <w:tc>
          <w:tcPr>
            <w:tcW w:w="4644" w:type="dxa"/>
            <w:shd w:val="clear" w:color="auto" w:fill="auto"/>
          </w:tcPr>
          <w:p w14:paraId="66ECDCAD"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r w:rsidRPr="00AE4E8D">
              <w:rPr>
                <w:rFonts w:ascii="Times New Roman" w:hAnsi="Times New Roman"/>
                <w:sz w:val="16"/>
                <w:lang w:val="es-ES"/>
              </w:rPr>
              <w:t>6-</w:t>
            </w:r>
            <w:r w:rsidRPr="00AE4E8D">
              <w:rPr>
                <w:rFonts w:ascii="Times New Roman" w:hAnsi="Times New Roman"/>
                <w:sz w:val="16"/>
                <w:lang w:val="es-ES"/>
              </w:rPr>
              <w:tab/>
              <w:t>Depósitos en cuentas corrientes de entidades financieras no bancarias, computables para la integración de su efectivo mínimo</w:t>
            </w:r>
          </w:p>
        </w:tc>
        <w:tc>
          <w:tcPr>
            <w:tcW w:w="851" w:type="dxa"/>
            <w:shd w:val="clear" w:color="auto" w:fill="auto"/>
          </w:tcPr>
          <w:p w14:paraId="27DABA08"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 xml:space="preserve">100 </w:t>
            </w:r>
          </w:p>
        </w:tc>
        <w:tc>
          <w:tcPr>
            <w:tcW w:w="1134" w:type="dxa"/>
            <w:shd w:val="clear" w:color="auto" w:fill="auto"/>
          </w:tcPr>
          <w:p w14:paraId="0D1F8EF0"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850" w:type="dxa"/>
            <w:shd w:val="clear" w:color="auto" w:fill="auto"/>
          </w:tcPr>
          <w:p w14:paraId="0EBB525A"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100</w:t>
            </w:r>
          </w:p>
        </w:tc>
        <w:tc>
          <w:tcPr>
            <w:tcW w:w="1165" w:type="dxa"/>
            <w:shd w:val="clear" w:color="auto" w:fill="auto"/>
          </w:tcPr>
          <w:p w14:paraId="4352ECE9" w14:textId="77777777" w:rsidR="00705F00" w:rsidRPr="00AE4E8D" w:rsidRDefault="00705F00" w:rsidP="00741F80">
            <w:pPr>
              <w:autoSpaceDE w:val="0"/>
              <w:autoSpaceDN w:val="0"/>
              <w:adjustRightInd w:val="0"/>
              <w:jc w:val="right"/>
              <w:rPr>
                <w:rFonts w:ascii="Times New Roman" w:hAnsi="Times New Roman"/>
                <w:sz w:val="16"/>
                <w:lang w:val="es-ES"/>
              </w:rPr>
            </w:pPr>
          </w:p>
        </w:tc>
      </w:tr>
      <w:tr w:rsidR="00705F00" w:rsidRPr="00AE4E8D" w14:paraId="13A88B69" w14:textId="77777777" w:rsidTr="000400C8">
        <w:trPr>
          <w:jc w:val="center"/>
        </w:trPr>
        <w:tc>
          <w:tcPr>
            <w:tcW w:w="4644" w:type="dxa"/>
            <w:shd w:val="clear" w:color="auto" w:fill="auto"/>
          </w:tcPr>
          <w:p w14:paraId="38D23EC6"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r w:rsidRPr="00AE4E8D">
              <w:rPr>
                <w:rFonts w:ascii="Times New Roman" w:hAnsi="Times New Roman"/>
                <w:sz w:val="16"/>
                <w:lang w:val="es-ES"/>
              </w:rPr>
              <w:t>7-</w:t>
            </w:r>
            <w:r w:rsidRPr="00AE4E8D">
              <w:rPr>
                <w:rFonts w:ascii="Times New Roman" w:hAnsi="Times New Roman"/>
                <w:sz w:val="16"/>
                <w:lang w:val="es-ES"/>
              </w:rPr>
              <w:tab/>
              <w:t>Depósitos a plazo fijo, obligaciones por “aceptaciones”, pases activos -incluidas las responsabilidades por venta o cesión de créditos a sujetos distintos de entidades financieras-, pases pasivos, cauciones y pases bursátiles pasivos, inversiones a plazo constante, con opción de cancelación anticipada o de renovación por plazo determinado y con retribución variable, y otras obligaciones a plazo con excepción de los depósitos reprogramados comprendidos en los puntos 11, 12, 13 y14, de esta tabla, según su plazo residual:</w:t>
            </w:r>
          </w:p>
        </w:tc>
        <w:tc>
          <w:tcPr>
            <w:tcW w:w="851" w:type="dxa"/>
            <w:shd w:val="clear" w:color="auto" w:fill="auto"/>
          </w:tcPr>
          <w:p w14:paraId="74BF0A91"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p>
        </w:tc>
        <w:tc>
          <w:tcPr>
            <w:tcW w:w="1134" w:type="dxa"/>
            <w:shd w:val="clear" w:color="auto" w:fill="auto"/>
          </w:tcPr>
          <w:p w14:paraId="6005584E"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850" w:type="dxa"/>
            <w:shd w:val="clear" w:color="auto" w:fill="auto"/>
          </w:tcPr>
          <w:p w14:paraId="48199D73"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1165" w:type="dxa"/>
            <w:shd w:val="clear" w:color="auto" w:fill="auto"/>
          </w:tcPr>
          <w:p w14:paraId="19BA1AF3" w14:textId="77777777" w:rsidR="00705F00" w:rsidRPr="00AE4E8D" w:rsidRDefault="00705F00" w:rsidP="00741F80">
            <w:pPr>
              <w:autoSpaceDE w:val="0"/>
              <w:autoSpaceDN w:val="0"/>
              <w:adjustRightInd w:val="0"/>
              <w:jc w:val="right"/>
              <w:rPr>
                <w:rFonts w:ascii="Times New Roman" w:hAnsi="Times New Roman"/>
                <w:sz w:val="16"/>
                <w:lang w:val="es-ES"/>
              </w:rPr>
            </w:pPr>
          </w:p>
        </w:tc>
      </w:tr>
      <w:tr w:rsidR="00705F00" w:rsidRPr="00AE4E8D" w14:paraId="24A75923" w14:textId="77777777" w:rsidTr="000400C8">
        <w:trPr>
          <w:jc w:val="center"/>
        </w:trPr>
        <w:tc>
          <w:tcPr>
            <w:tcW w:w="4644" w:type="dxa"/>
            <w:shd w:val="clear" w:color="auto" w:fill="auto"/>
          </w:tcPr>
          <w:p w14:paraId="43F8F849" w14:textId="77777777" w:rsidR="00705F00" w:rsidRPr="00AE4E8D" w:rsidRDefault="00705F00" w:rsidP="00741F80">
            <w:pPr>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i) Hasta 29 días</w:t>
            </w:r>
          </w:p>
        </w:tc>
        <w:tc>
          <w:tcPr>
            <w:tcW w:w="851" w:type="dxa"/>
            <w:shd w:val="clear" w:color="auto" w:fill="auto"/>
          </w:tcPr>
          <w:p w14:paraId="4159EAC0"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 xml:space="preserve">14 </w:t>
            </w:r>
          </w:p>
        </w:tc>
        <w:tc>
          <w:tcPr>
            <w:tcW w:w="1134" w:type="dxa"/>
            <w:shd w:val="clear" w:color="auto" w:fill="auto"/>
          </w:tcPr>
          <w:p w14:paraId="318FA69C"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23</w:t>
            </w:r>
          </w:p>
        </w:tc>
        <w:tc>
          <w:tcPr>
            <w:tcW w:w="850" w:type="dxa"/>
            <w:shd w:val="clear" w:color="auto" w:fill="auto"/>
          </w:tcPr>
          <w:p w14:paraId="6EF786DC"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13</w:t>
            </w:r>
          </w:p>
        </w:tc>
        <w:tc>
          <w:tcPr>
            <w:tcW w:w="1165" w:type="dxa"/>
            <w:shd w:val="clear" w:color="auto" w:fill="auto"/>
          </w:tcPr>
          <w:p w14:paraId="28FD9E1C"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23</w:t>
            </w:r>
          </w:p>
        </w:tc>
      </w:tr>
      <w:tr w:rsidR="00705F00" w:rsidRPr="00AE4E8D" w14:paraId="4D756742" w14:textId="77777777" w:rsidTr="000400C8">
        <w:trPr>
          <w:jc w:val="center"/>
        </w:trPr>
        <w:tc>
          <w:tcPr>
            <w:tcW w:w="4644" w:type="dxa"/>
            <w:shd w:val="clear" w:color="auto" w:fill="auto"/>
          </w:tcPr>
          <w:p w14:paraId="431359B3" w14:textId="77777777" w:rsidR="00705F00" w:rsidRPr="00AE4E8D" w:rsidRDefault="00705F00" w:rsidP="00741F80">
            <w:pPr>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 xml:space="preserve">ii) De 30 a 59 días </w:t>
            </w:r>
          </w:p>
        </w:tc>
        <w:tc>
          <w:tcPr>
            <w:tcW w:w="851" w:type="dxa"/>
            <w:shd w:val="clear" w:color="auto" w:fill="auto"/>
          </w:tcPr>
          <w:p w14:paraId="5864F487"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10</w:t>
            </w:r>
          </w:p>
        </w:tc>
        <w:tc>
          <w:tcPr>
            <w:tcW w:w="1134" w:type="dxa"/>
            <w:shd w:val="clear" w:color="auto" w:fill="auto"/>
          </w:tcPr>
          <w:p w14:paraId="3405CA57"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17</w:t>
            </w:r>
          </w:p>
        </w:tc>
        <w:tc>
          <w:tcPr>
            <w:tcW w:w="850" w:type="dxa"/>
            <w:shd w:val="clear" w:color="auto" w:fill="auto"/>
          </w:tcPr>
          <w:p w14:paraId="5D3049A4"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9</w:t>
            </w:r>
          </w:p>
        </w:tc>
        <w:tc>
          <w:tcPr>
            <w:tcW w:w="1165" w:type="dxa"/>
            <w:shd w:val="clear" w:color="auto" w:fill="auto"/>
          </w:tcPr>
          <w:p w14:paraId="2085F0D9"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17</w:t>
            </w:r>
          </w:p>
        </w:tc>
      </w:tr>
      <w:tr w:rsidR="00705F00" w:rsidRPr="00AE4E8D" w14:paraId="0AF2E5CD" w14:textId="77777777" w:rsidTr="000400C8">
        <w:trPr>
          <w:jc w:val="center"/>
        </w:trPr>
        <w:tc>
          <w:tcPr>
            <w:tcW w:w="4644" w:type="dxa"/>
            <w:shd w:val="clear" w:color="auto" w:fill="auto"/>
          </w:tcPr>
          <w:p w14:paraId="2C07322F" w14:textId="77777777" w:rsidR="00705F00" w:rsidRPr="00AE4E8D" w:rsidRDefault="00705F00" w:rsidP="00741F80">
            <w:pPr>
              <w:tabs>
                <w:tab w:val="left" w:pos="284"/>
              </w:tabs>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iii) De 60 a 89 días</w:t>
            </w:r>
          </w:p>
        </w:tc>
        <w:tc>
          <w:tcPr>
            <w:tcW w:w="851" w:type="dxa"/>
            <w:shd w:val="clear" w:color="auto" w:fill="auto"/>
          </w:tcPr>
          <w:p w14:paraId="2B1CFB6F"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 xml:space="preserve">5 </w:t>
            </w:r>
          </w:p>
        </w:tc>
        <w:tc>
          <w:tcPr>
            <w:tcW w:w="1134" w:type="dxa"/>
            <w:shd w:val="clear" w:color="auto" w:fill="auto"/>
          </w:tcPr>
          <w:p w14:paraId="11E69A4F"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11</w:t>
            </w:r>
          </w:p>
        </w:tc>
        <w:tc>
          <w:tcPr>
            <w:tcW w:w="850" w:type="dxa"/>
            <w:shd w:val="clear" w:color="auto" w:fill="auto"/>
          </w:tcPr>
          <w:p w14:paraId="56BA7907"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4</w:t>
            </w:r>
          </w:p>
        </w:tc>
        <w:tc>
          <w:tcPr>
            <w:tcW w:w="1165" w:type="dxa"/>
            <w:shd w:val="clear" w:color="auto" w:fill="auto"/>
          </w:tcPr>
          <w:p w14:paraId="4AC1E173"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11</w:t>
            </w:r>
          </w:p>
        </w:tc>
      </w:tr>
      <w:tr w:rsidR="00705F00" w:rsidRPr="00AE4E8D" w14:paraId="71802137" w14:textId="77777777" w:rsidTr="000400C8">
        <w:trPr>
          <w:jc w:val="center"/>
        </w:trPr>
        <w:tc>
          <w:tcPr>
            <w:tcW w:w="4644" w:type="dxa"/>
            <w:shd w:val="clear" w:color="auto" w:fill="auto"/>
          </w:tcPr>
          <w:p w14:paraId="2366A7F7" w14:textId="77777777" w:rsidR="00705F00" w:rsidRPr="00AE4E8D" w:rsidRDefault="00705F00" w:rsidP="00741F80">
            <w:pPr>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iv) De 90 a 179 días</w:t>
            </w:r>
          </w:p>
        </w:tc>
        <w:tc>
          <w:tcPr>
            <w:tcW w:w="851" w:type="dxa"/>
            <w:shd w:val="clear" w:color="auto" w:fill="auto"/>
          </w:tcPr>
          <w:p w14:paraId="344674F0"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 xml:space="preserve">1 </w:t>
            </w:r>
          </w:p>
        </w:tc>
        <w:tc>
          <w:tcPr>
            <w:tcW w:w="1134" w:type="dxa"/>
            <w:shd w:val="clear" w:color="auto" w:fill="auto"/>
          </w:tcPr>
          <w:p w14:paraId="0E00FC99"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5</w:t>
            </w:r>
          </w:p>
        </w:tc>
        <w:tc>
          <w:tcPr>
            <w:tcW w:w="850" w:type="dxa"/>
            <w:shd w:val="clear" w:color="auto" w:fill="auto"/>
          </w:tcPr>
          <w:p w14:paraId="56E73227"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65" w:type="dxa"/>
            <w:shd w:val="clear" w:color="auto" w:fill="auto"/>
          </w:tcPr>
          <w:p w14:paraId="7E7BE153"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5</w:t>
            </w:r>
          </w:p>
        </w:tc>
      </w:tr>
      <w:tr w:rsidR="00705F00" w:rsidRPr="00AE4E8D" w14:paraId="665DE789" w14:textId="77777777" w:rsidTr="000400C8">
        <w:trPr>
          <w:jc w:val="center"/>
        </w:trPr>
        <w:tc>
          <w:tcPr>
            <w:tcW w:w="4644" w:type="dxa"/>
            <w:shd w:val="clear" w:color="auto" w:fill="auto"/>
          </w:tcPr>
          <w:p w14:paraId="5B8722C1" w14:textId="77777777" w:rsidR="00705F00" w:rsidRPr="00AE4E8D" w:rsidRDefault="00705F00" w:rsidP="00741F80">
            <w:pPr>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 xml:space="preserve">v) De 180 días a 365 días </w:t>
            </w:r>
          </w:p>
        </w:tc>
        <w:tc>
          <w:tcPr>
            <w:tcW w:w="851" w:type="dxa"/>
            <w:shd w:val="clear" w:color="auto" w:fill="auto"/>
          </w:tcPr>
          <w:p w14:paraId="6A4D35FB"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1134" w:type="dxa"/>
            <w:shd w:val="clear" w:color="auto" w:fill="auto"/>
          </w:tcPr>
          <w:p w14:paraId="2F1CBF4B"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w:t>
            </w:r>
          </w:p>
        </w:tc>
        <w:tc>
          <w:tcPr>
            <w:tcW w:w="850" w:type="dxa"/>
            <w:shd w:val="clear" w:color="auto" w:fill="auto"/>
          </w:tcPr>
          <w:p w14:paraId="7CE3634E"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1165" w:type="dxa"/>
            <w:shd w:val="clear" w:color="auto" w:fill="auto"/>
          </w:tcPr>
          <w:p w14:paraId="3A6596FB"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w:t>
            </w:r>
          </w:p>
        </w:tc>
      </w:tr>
      <w:tr w:rsidR="00705F00" w:rsidRPr="00AE4E8D" w14:paraId="0B9BBA08" w14:textId="77777777" w:rsidTr="000400C8">
        <w:trPr>
          <w:jc w:val="center"/>
        </w:trPr>
        <w:tc>
          <w:tcPr>
            <w:tcW w:w="4644" w:type="dxa"/>
            <w:shd w:val="clear" w:color="auto" w:fill="auto"/>
          </w:tcPr>
          <w:p w14:paraId="3B885021" w14:textId="77777777" w:rsidR="00705F00" w:rsidRPr="00AE4E8D" w:rsidRDefault="00705F00" w:rsidP="00741F80">
            <w:pPr>
              <w:autoSpaceDE w:val="0"/>
              <w:autoSpaceDN w:val="0"/>
              <w:adjustRightInd w:val="0"/>
              <w:spacing w:after="60"/>
              <w:ind w:left="284" w:firstLine="142"/>
              <w:rPr>
                <w:rFonts w:ascii="Times New Roman" w:hAnsi="Times New Roman"/>
                <w:sz w:val="16"/>
                <w:lang w:val="es-ES"/>
              </w:rPr>
            </w:pPr>
            <w:r w:rsidRPr="00AE4E8D">
              <w:rPr>
                <w:rFonts w:ascii="Times New Roman" w:hAnsi="Times New Roman"/>
                <w:sz w:val="16"/>
                <w:lang w:val="es-ES"/>
              </w:rPr>
              <w:t xml:space="preserve">vi) Más de 180 días </w:t>
            </w:r>
          </w:p>
        </w:tc>
        <w:tc>
          <w:tcPr>
            <w:tcW w:w="851" w:type="dxa"/>
            <w:shd w:val="clear" w:color="auto" w:fill="auto"/>
          </w:tcPr>
          <w:p w14:paraId="7776E843"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szCs w:val="16"/>
                <w:lang w:val="es-ES"/>
              </w:rPr>
              <w:t>-</w:t>
            </w:r>
          </w:p>
        </w:tc>
        <w:tc>
          <w:tcPr>
            <w:tcW w:w="1134" w:type="dxa"/>
            <w:shd w:val="clear" w:color="auto" w:fill="auto"/>
          </w:tcPr>
          <w:p w14:paraId="27B95039"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850" w:type="dxa"/>
            <w:shd w:val="clear" w:color="auto" w:fill="auto"/>
          </w:tcPr>
          <w:p w14:paraId="0B47542E"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szCs w:val="16"/>
                <w:lang w:val="es-ES"/>
              </w:rPr>
              <w:t>-</w:t>
            </w:r>
          </w:p>
        </w:tc>
        <w:tc>
          <w:tcPr>
            <w:tcW w:w="1165" w:type="dxa"/>
            <w:shd w:val="clear" w:color="auto" w:fill="auto"/>
          </w:tcPr>
          <w:p w14:paraId="4A752866"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r>
      <w:tr w:rsidR="00705F00" w:rsidRPr="00AE4E8D" w14:paraId="2F85B803" w14:textId="77777777" w:rsidTr="000400C8">
        <w:trPr>
          <w:jc w:val="center"/>
        </w:trPr>
        <w:tc>
          <w:tcPr>
            <w:tcW w:w="4644" w:type="dxa"/>
            <w:shd w:val="clear" w:color="auto" w:fill="auto"/>
          </w:tcPr>
          <w:p w14:paraId="703C8ABD" w14:textId="77777777" w:rsidR="00705F00" w:rsidRPr="00AE4E8D" w:rsidRDefault="00705F00" w:rsidP="00741F80">
            <w:pPr>
              <w:autoSpaceDE w:val="0"/>
              <w:autoSpaceDN w:val="0"/>
              <w:adjustRightInd w:val="0"/>
              <w:spacing w:after="60"/>
              <w:ind w:left="284" w:firstLine="142"/>
              <w:rPr>
                <w:rFonts w:ascii="Times New Roman" w:hAnsi="Times New Roman"/>
                <w:sz w:val="16"/>
                <w:lang w:val="es-ES"/>
              </w:rPr>
            </w:pPr>
            <w:r w:rsidRPr="00AE4E8D">
              <w:rPr>
                <w:rFonts w:ascii="Times New Roman" w:hAnsi="Times New Roman"/>
                <w:sz w:val="16"/>
                <w:lang w:val="es-ES"/>
              </w:rPr>
              <w:t>vii) Más de 365 días</w:t>
            </w:r>
          </w:p>
        </w:tc>
        <w:tc>
          <w:tcPr>
            <w:tcW w:w="851" w:type="dxa"/>
            <w:shd w:val="clear" w:color="auto" w:fill="auto"/>
          </w:tcPr>
          <w:p w14:paraId="5DA35996"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1134" w:type="dxa"/>
            <w:shd w:val="clear" w:color="auto" w:fill="auto"/>
          </w:tcPr>
          <w:p w14:paraId="5EB0C31B"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850" w:type="dxa"/>
            <w:shd w:val="clear" w:color="auto" w:fill="auto"/>
          </w:tcPr>
          <w:p w14:paraId="3E39C710"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1165" w:type="dxa"/>
            <w:shd w:val="clear" w:color="auto" w:fill="auto"/>
          </w:tcPr>
          <w:p w14:paraId="49968C00"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r>
      <w:tr w:rsidR="00705F00" w:rsidRPr="00AE4E8D" w14:paraId="31AD3EB9" w14:textId="77777777" w:rsidTr="000400C8">
        <w:trPr>
          <w:jc w:val="center"/>
        </w:trPr>
        <w:tc>
          <w:tcPr>
            <w:tcW w:w="4644" w:type="dxa"/>
            <w:shd w:val="clear" w:color="auto" w:fill="auto"/>
          </w:tcPr>
          <w:p w14:paraId="37F12707"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r w:rsidRPr="00AE4E8D">
              <w:rPr>
                <w:rFonts w:ascii="Times New Roman" w:hAnsi="Times New Roman"/>
                <w:sz w:val="16"/>
                <w:lang w:val="es-ES"/>
              </w:rPr>
              <w:t>8-</w:t>
            </w:r>
            <w:r w:rsidRPr="00AE4E8D">
              <w:rPr>
                <w:rFonts w:ascii="Times New Roman" w:hAnsi="Times New Roman"/>
                <w:sz w:val="16"/>
                <w:lang w:val="es-ES"/>
              </w:rPr>
              <w:tab/>
              <w:t>Obligaciones por líneas financieras del exterior (no instrumentadas mediante depósitos a plazo ni valores negociables de deuda)</w:t>
            </w:r>
          </w:p>
        </w:tc>
        <w:tc>
          <w:tcPr>
            <w:tcW w:w="851" w:type="dxa"/>
            <w:shd w:val="clear" w:color="auto" w:fill="auto"/>
          </w:tcPr>
          <w:p w14:paraId="39730C83"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34" w:type="dxa"/>
            <w:shd w:val="clear" w:color="auto" w:fill="auto"/>
          </w:tcPr>
          <w:p w14:paraId="0DB3D6AF"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850" w:type="dxa"/>
            <w:shd w:val="clear" w:color="auto" w:fill="auto"/>
          </w:tcPr>
          <w:p w14:paraId="473FA9ED"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65" w:type="dxa"/>
            <w:shd w:val="clear" w:color="auto" w:fill="auto"/>
          </w:tcPr>
          <w:p w14:paraId="7066C555" w14:textId="77777777" w:rsidR="00705F00" w:rsidRPr="00AE4E8D" w:rsidRDefault="00705F00" w:rsidP="00741F80">
            <w:pPr>
              <w:autoSpaceDE w:val="0"/>
              <w:autoSpaceDN w:val="0"/>
              <w:adjustRightInd w:val="0"/>
              <w:jc w:val="right"/>
              <w:rPr>
                <w:rFonts w:ascii="Times New Roman" w:hAnsi="Times New Roman"/>
                <w:sz w:val="16"/>
                <w:lang w:val="es-ES"/>
              </w:rPr>
            </w:pPr>
          </w:p>
        </w:tc>
      </w:tr>
      <w:tr w:rsidR="00705F00" w:rsidRPr="00AE4E8D" w14:paraId="23485E73" w14:textId="77777777" w:rsidTr="000400C8">
        <w:trPr>
          <w:jc w:val="center"/>
        </w:trPr>
        <w:tc>
          <w:tcPr>
            <w:tcW w:w="4644" w:type="dxa"/>
            <w:shd w:val="clear" w:color="auto" w:fill="auto"/>
          </w:tcPr>
          <w:p w14:paraId="5E4C07F6" w14:textId="77777777" w:rsidR="00705F00" w:rsidRPr="00AE4E8D" w:rsidRDefault="00705F00" w:rsidP="00741F80">
            <w:pPr>
              <w:tabs>
                <w:tab w:val="left" w:pos="284"/>
              </w:tabs>
              <w:autoSpaceDE w:val="0"/>
              <w:autoSpaceDN w:val="0"/>
              <w:adjustRightInd w:val="0"/>
              <w:spacing w:after="60"/>
              <w:ind w:left="284" w:hanging="284"/>
              <w:rPr>
                <w:rFonts w:ascii="Times New Roman" w:hAnsi="Times New Roman"/>
                <w:sz w:val="16"/>
                <w:lang w:val="es-ES"/>
              </w:rPr>
            </w:pPr>
            <w:r w:rsidRPr="00AE4E8D">
              <w:rPr>
                <w:rFonts w:ascii="Times New Roman" w:hAnsi="Times New Roman"/>
                <w:sz w:val="16"/>
                <w:lang w:val="es-ES"/>
              </w:rPr>
              <w:t>9-</w:t>
            </w:r>
            <w:r w:rsidRPr="00AE4E8D">
              <w:rPr>
                <w:rFonts w:ascii="Times New Roman" w:hAnsi="Times New Roman"/>
                <w:sz w:val="16"/>
                <w:lang w:val="es-ES"/>
              </w:rPr>
              <w:tab/>
              <w:t>Valores negociables de deuda (comprendidas las obligaciones negociables), según su plazo residual</w:t>
            </w:r>
          </w:p>
        </w:tc>
        <w:tc>
          <w:tcPr>
            <w:tcW w:w="851" w:type="dxa"/>
            <w:shd w:val="clear" w:color="auto" w:fill="auto"/>
          </w:tcPr>
          <w:p w14:paraId="25DA5085"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p>
        </w:tc>
        <w:tc>
          <w:tcPr>
            <w:tcW w:w="1134" w:type="dxa"/>
            <w:shd w:val="clear" w:color="auto" w:fill="auto"/>
          </w:tcPr>
          <w:p w14:paraId="434FC43A"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850" w:type="dxa"/>
            <w:shd w:val="clear" w:color="auto" w:fill="auto"/>
          </w:tcPr>
          <w:p w14:paraId="6627AA9A"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1165" w:type="dxa"/>
            <w:shd w:val="clear" w:color="auto" w:fill="auto"/>
          </w:tcPr>
          <w:p w14:paraId="1AC8C55E"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r>
      <w:tr w:rsidR="00705F00" w:rsidRPr="00AE4E8D" w14:paraId="01C829C1" w14:textId="77777777" w:rsidTr="000400C8">
        <w:trPr>
          <w:jc w:val="center"/>
        </w:trPr>
        <w:tc>
          <w:tcPr>
            <w:tcW w:w="4644" w:type="dxa"/>
            <w:shd w:val="clear" w:color="auto" w:fill="auto"/>
          </w:tcPr>
          <w:p w14:paraId="2A5C1734" w14:textId="77777777" w:rsidR="00705F00" w:rsidRPr="00AE4E8D" w:rsidRDefault="00705F00" w:rsidP="00741F80">
            <w:pPr>
              <w:tabs>
                <w:tab w:val="left" w:pos="426"/>
              </w:tabs>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i) Hasta 29 días</w:t>
            </w:r>
          </w:p>
        </w:tc>
        <w:tc>
          <w:tcPr>
            <w:tcW w:w="851" w:type="dxa"/>
            <w:shd w:val="clear" w:color="auto" w:fill="auto"/>
          </w:tcPr>
          <w:p w14:paraId="29F2ECED"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14</w:t>
            </w:r>
          </w:p>
        </w:tc>
        <w:tc>
          <w:tcPr>
            <w:tcW w:w="1134" w:type="dxa"/>
            <w:shd w:val="clear" w:color="auto" w:fill="auto"/>
          </w:tcPr>
          <w:p w14:paraId="6777FB10"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23</w:t>
            </w:r>
          </w:p>
        </w:tc>
        <w:tc>
          <w:tcPr>
            <w:tcW w:w="850" w:type="dxa"/>
            <w:shd w:val="clear" w:color="auto" w:fill="auto"/>
          </w:tcPr>
          <w:p w14:paraId="00E79325"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14</w:t>
            </w:r>
          </w:p>
        </w:tc>
        <w:tc>
          <w:tcPr>
            <w:tcW w:w="1165" w:type="dxa"/>
            <w:shd w:val="clear" w:color="auto" w:fill="auto"/>
          </w:tcPr>
          <w:p w14:paraId="4F04AF5C"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23</w:t>
            </w:r>
          </w:p>
        </w:tc>
      </w:tr>
      <w:tr w:rsidR="00705F00" w:rsidRPr="00AE4E8D" w14:paraId="085E9602" w14:textId="77777777" w:rsidTr="000400C8">
        <w:trPr>
          <w:jc w:val="center"/>
        </w:trPr>
        <w:tc>
          <w:tcPr>
            <w:tcW w:w="4644" w:type="dxa"/>
            <w:shd w:val="clear" w:color="auto" w:fill="auto"/>
          </w:tcPr>
          <w:p w14:paraId="76F67B12" w14:textId="77777777" w:rsidR="00705F00" w:rsidRPr="00AE4E8D" w:rsidRDefault="00705F00" w:rsidP="00741F80">
            <w:pPr>
              <w:tabs>
                <w:tab w:val="left" w:pos="426"/>
              </w:tabs>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ii) De 30 a 59 días</w:t>
            </w:r>
          </w:p>
        </w:tc>
        <w:tc>
          <w:tcPr>
            <w:tcW w:w="851" w:type="dxa"/>
            <w:shd w:val="clear" w:color="auto" w:fill="auto"/>
          </w:tcPr>
          <w:p w14:paraId="68DC56F4"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10</w:t>
            </w:r>
          </w:p>
        </w:tc>
        <w:tc>
          <w:tcPr>
            <w:tcW w:w="1134" w:type="dxa"/>
            <w:shd w:val="clear" w:color="auto" w:fill="auto"/>
          </w:tcPr>
          <w:p w14:paraId="6800B152"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17</w:t>
            </w:r>
          </w:p>
        </w:tc>
        <w:tc>
          <w:tcPr>
            <w:tcW w:w="850" w:type="dxa"/>
            <w:shd w:val="clear" w:color="auto" w:fill="auto"/>
          </w:tcPr>
          <w:p w14:paraId="7D9F7917"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10</w:t>
            </w:r>
          </w:p>
        </w:tc>
        <w:tc>
          <w:tcPr>
            <w:tcW w:w="1165" w:type="dxa"/>
            <w:shd w:val="clear" w:color="auto" w:fill="auto"/>
          </w:tcPr>
          <w:p w14:paraId="69F5738B"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17</w:t>
            </w:r>
          </w:p>
        </w:tc>
      </w:tr>
      <w:tr w:rsidR="00705F00" w:rsidRPr="00AE4E8D" w14:paraId="5967A0FC" w14:textId="77777777" w:rsidTr="000400C8">
        <w:trPr>
          <w:jc w:val="center"/>
        </w:trPr>
        <w:tc>
          <w:tcPr>
            <w:tcW w:w="4644" w:type="dxa"/>
            <w:shd w:val="clear" w:color="auto" w:fill="auto"/>
          </w:tcPr>
          <w:p w14:paraId="2FAD7D87" w14:textId="77777777" w:rsidR="00705F00" w:rsidRPr="00AE4E8D" w:rsidRDefault="00705F00" w:rsidP="00741F80">
            <w:pPr>
              <w:tabs>
                <w:tab w:val="left" w:pos="426"/>
              </w:tabs>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iii) De 60 a 89 días</w:t>
            </w:r>
          </w:p>
        </w:tc>
        <w:tc>
          <w:tcPr>
            <w:tcW w:w="851" w:type="dxa"/>
            <w:shd w:val="clear" w:color="auto" w:fill="auto"/>
          </w:tcPr>
          <w:p w14:paraId="2DB583BA"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5</w:t>
            </w:r>
          </w:p>
        </w:tc>
        <w:tc>
          <w:tcPr>
            <w:tcW w:w="1134" w:type="dxa"/>
            <w:shd w:val="clear" w:color="auto" w:fill="auto"/>
          </w:tcPr>
          <w:p w14:paraId="278B4EB0"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11</w:t>
            </w:r>
          </w:p>
        </w:tc>
        <w:tc>
          <w:tcPr>
            <w:tcW w:w="850" w:type="dxa"/>
            <w:shd w:val="clear" w:color="auto" w:fill="auto"/>
          </w:tcPr>
          <w:p w14:paraId="265680CB"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5</w:t>
            </w:r>
          </w:p>
        </w:tc>
        <w:tc>
          <w:tcPr>
            <w:tcW w:w="1165" w:type="dxa"/>
            <w:shd w:val="clear" w:color="auto" w:fill="auto"/>
          </w:tcPr>
          <w:p w14:paraId="5F97B0D4"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11</w:t>
            </w:r>
          </w:p>
        </w:tc>
      </w:tr>
      <w:tr w:rsidR="00705F00" w:rsidRPr="00AE4E8D" w14:paraId="23B2E137" w14:textId="77777777" w:rsidTr="000400C8">
        <w:trPr>
          <w:jc w:val="center"/>
        </w:trPr>
        <w:tc>
          <w:tcPr>
            <w:tcW w:w="4644" w:type="dxa"/>
            <w:shd w:val="clear" w:color="auto" w:fill="auto"/>
          </w:tcPr>
          <w:p w14:paraId="7797D9EE" w14:textId="77777777" w:rsidR="00705F00" w:rsidRPr="00AE4E8D" w:rsidRDefault="00705F00" w:rsidP="00741F80">
            <w:pPr>
              <w:tabs>
                <w:tab w:val="left" w:pos="426"/>
              </w:tabs>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iv) De 90 a 179 días</w:t>
            </w:r>
          </w:p>
        </w:tc>
        <w:tc>
          <w:tcPr>
            <w:tcW w:w="851" w:type="dxa"/>
            <w:shd w:val="clear" w:color="auto" w:fill="auto"/>
          </w:tcPr>
          <w:p w14:paraId="17907F5E"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1</w:t>
            </w:r>
          </w:p>
        </w:tc>
        <w:tc>
          <w:tcPr>
            <w:tcW w:w="1134" w:type="dxa"/>
            <w:shd w:val="clear" w:color="auto" w:fill="auto"/>
          </w:tcPr>
          <w:p w14:paraId="1D72EF06"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5</w:t>
            </w:r>
          </w:p>
        </w:tc>
        <w:tc>
          <w:tcPr>
            <w:tcW w:w="850" w:type="dxa"/>
            <w:shd w:val="clear" w:color="auto" w:fill="auto"/>
          </w:tcPr>
          <w:p w14:paraId="5D4883A8"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1</w:t>
            </w:r>
          </w:p>
        </w:tc>
        <w:tc>
          <w:tcPr>
            <w:tcW w:w="1165" w:type="dxa"/>
            <w:shd w:val="clear" w:color="auto" w:fill="auto"/>
          </w:tcPr>
          <w:p w14:paraId="41EFB300"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5</w:t>
            </w:r>
          </w:p>
        </w:tc>
      </w:tr>
      <w:tr w:rsidR="00705F00" w:rsidRPr="00AE4E8D" w14:paraId="0A146E04" w14:textId="77777777" w:rsidTr="000400C8">
        <w:trPr>
          <w:jc w:val="center"/>
        </w:trPr>
        <w:tc>
          <w:tcPr>
            <w:tcW w:w="4644" w:type="dxa"/>
            <w:shd w:val="clear" w:color="auto" w:fill="auto"/>
          </w:tcPr>
          <w:p w14:paraId="2076C922" w14:textId="77777777" w:rsidR="00705F00" w:rsidRPr="00AE4E8D" w:rsidRDefault="00705F00" w:rsidP="00741F80">
            <w:pPr>
              <w:tabs>
                <w:tab w:val="left" w:pos="426"/>
              </w:tabs>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 xml:space="preserve">v) De 180 días a 365 días </w:t>
            </w:r>
          </w:p>
        </w:tc>
        <w:tc>
          <w:tcPr>
            <w:tcW w:w="851" w:type="dxa"/>
            <w:shd w:val="clear" w:color="auto" w:fill="auto"/>
          </w:tcPr>
          <w:p w14:paraId="080EE224"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1134" w:type="dxa"/>
            <w:shd w:val="clear" w:color="auto" w:fill="auto"/>
          </w:tcPr>
          <w:p w14:paraId="3E0628D0"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w:t>
            </w:r>
          </w:p>
        </w:tc>
        <w:tc>
          <w:tcPr>
            <w:tcW w:w="850" w:type="dxa"/>
            <w:shd w:val="clear" w:color="auto" w:fill="auto"/>
          </w:tcPr>
          <w:p w14:paraId="0D589413"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65" w:type="dxa"/>
            <w:shd w:val="clear" w:color="auto" w:fill="auto"/>
          </w:tcPr>
          <w:p w14:paraId="1A354E95"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w:t>
            </w:r>
          </w:p>
        </w:tc>
      </w:tr>
      <w:tr w:rsidR="00705F00" w:rsidRPr="00AE4E8D" w14:paraId="126BE81A" w14:textId="77777777" w:rsidTr="000400C8">
        <w:trPr>
          <w:jc w:val="center"/>
        </w:trPr>
        <w:tc>
          <w:tcPr>
            <w:tcW w:w="4644" w:type="dxa"/>
            <w:shd w:val="clear" w:color="auto" w:fill="auto"/>
          </w:tcPr>
          <w:p w14:paraId="4CCD58A8" w14:textId="77777777" w:rsidR="00705F00" w:rsidRPr="00AE4E8D" w:rsidRDefault="00705F00" w:rsidP="00741F80">
            <w:pPr>
              <w:tabs>
                <w:tab w:val="left" w:pos="426"/>
              </w:tabs>
              <w:autoSpaceDE w:val="0"/>
              <w:autoSpaceDN w:val="0"/>
              <w:adjustRightInd w:val="0"/>
              <w:ind w:left="284" w:firstLine="142"/>
              <w:rPr>
                <w:rFonts w:ascii="Times New Roman" w:hAnsi="Times New Roman"/>
                <w:sz w:val="16"/>
                <w:lang w:val="es-ES"/>
              </w:rPr>
            </w:pPr>
            <w:r w:rsidRPr="00AE4E8D">
              <w:rPr>
                <w:rFonts w:ascii="Times New Roman" w:hAnsi="Times New Roman"/>
                <w:sz w:val="16"/>
                <w:lang w:val="es-ES"/>
              </w:rPr>
              <w:t>vi) Más de 180 días</w:t>
            </w:r>
          </w:p>
        </w:tc>
        <w:tc>
          <w:tcPr>
            <w:tcW w:w="851" w:type="dxa"/>
            <w:shd w:val="clear" w:color="auto" w:fill="auto"/>
          </w:tcPr>
          <w:p w14:paraId="7CCF10A0"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34" w:type="dxa"/>
            <w:shd w:val="clear" w:color="auto" w:fill="auto"/>
          </w:tcPr>
          <w:p w14:paraId="2EBDC409"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850" w:type="dxa"/>
            <w:shd w:val="clear" w:color="auto" w:fill="auto"/>
          </w:tcPr>
          <w:p w14:paraId="41165520"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65" w:type="dxa"/>
            <w:shd w:val="clear" w:color="auto" w:fill="auto"/>
          </w:tcPr>
          <w:p w14:paraId="10CC8DE3"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r>
      <w:tr w:rsidR="00705F00" w:rsidRPr="00AE4E8D" w14:paraId="29C5CD8E" w14:textId="77777777" w:rsidTr="000400C8">
        <w:trPr>
          <w:jc w:val="center"/>
        </w:trPr>
        <w:tc>
          <w:tcPr>
            <w:tcW w:w="4644" w:type="dxa"/>
            <w:shd w:val="clear" w:color="auto" w:fill="auto"/>
          </w:tcPr>
          <w:p w14:paraId="50B3EE7B" w14:textId="77777777" w:rsidR="00705F00" w:rsidRPr="00AE4E8D" w:rsidRDefault="00705F00" w:rsidP="00741F80">
            <w:pPr>
              <w:tabs>
                <w:tab w:val="left" w:pos="426"/>
              </w:tabs>
              <w:autoSpaceDE w:val="0"/>
              <w:autoSpaceDN w:val="0"/>
              <w:adjustRightInd w:val="0"/>
              <w:spacing w:after="60"/>
              <w:ind w:left="284" w:firstLine="142"/>
              <w:rPr>
                <w:rFonts w:ascii="Times New Roman" w:hAnsi="Times New Roman"/>
                <w:sz w:val="16"/>
                <w:lang w:val="es-ES"/>
              </w:rPr>
            </w:pPr>
            <w:r w:rsidRPr="00AE4E8D">
              <w:rPr>
                <w:rFonts w:ascii="Times New Roman" w:hAnsi="Times New Roman"/>
                <w:sz w:val="16"/>
                <w:lang w:val="es-ES"/>
              </w:rPr>
              <w:t>vi) Más de 365 días</w:t>
            </w:r>
          </w:p>
        </w:tc>
        <w:tc>
          <w:tcPr>
            <w:tcW w:w="851" w:type="dxa"/>
            <w:shd w:val="clear" w:color="auto" w:fill="auto"/>
          </w:tcPr>
          <w:p w14:paraId="21D0D800"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1134" w:type="dxa"/>
            <w:shd w:val="clear" w:color="auto" w:fill="auto"/>
          </w:tcPr>
          <w:p w14:paraId="63FB4061"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szCs w:val="16"/>
                <w:lang w:val="es-ES"/>
              </w:rPr>
              <w:t>-</w:t>
            </w:r>
          </w:p>
        </w:tc>
        <w:tc>
          <w:tcPr>
            <w:tcW w:w="850" w:type="dxa"/>
            <w:shd w:val="clear" w:color="auto" w:fill="auto"/>
          </w:tcPr>
          <w:p w14:paraId="38E1B4E9"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1165" w:type="dxa"/>
            <w:shd w:val="clear" w:color="auto" w:fill="auto"/>
          </w:tcPr>
          <w:p w14:paraId="45E62928"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szCs w:val="16"/>
                <w:lang w:val="es-ES"/>
              </w:rPr>
              <w:t>-</w:t>
            </w:r>
          </w:p>
        </w:tc>
      </w:tr>
      <w:tr w:rsidR="00705F00" w:rsidRPr="00AE4E8D" w14:paraId="73E439B4" w14:textId="77777777" w:rsidTr="000400C8">
        <w:trPr>
          <w:jc w:val="center"/>
        </w:trPr>
        <w:tc>
          <w:tcPr>
            <w:tcW w:w="4644" w:type="dxa"/>
            <w:shd w:val="clear" w:color="auto" w:fill="auto"/>
          </w:tcPr>
          <w:p w14:paraId="246B9B40" w14:textId="77777777" w:rsidR="00705F00" w:rsidRPr="00AE4E8D" w:rsidRDefault="00705F00" w:rsidP="00741F80">
            <w:pPr>
              <w:tabs>
                <w:tab w:val="left" w:pos="426"/>
              </w:tabs>
              <w:autoSpaceDE w:val="0"/>
              <w:autoSpaceDN w:val="0"/>
              <w:adjustRightInd w:val="0"/>
              <w:spacing w:after="60"/>
              <w:ind w:left="425" w:hanging="425"/>
              <w:rPr>
                <w:rFonts w:ascii="Times New Roman" w:hAnsi="Times New Roman"/>
                <w:sz w:val="16"/>
                <w:lang w:val="es-ES"/>
              </w:rPr>
            </w:pPr>
            <w:r w:rsidRPr="00AE4E8D">
              <w:rPr>
                <w:rFonts w:ascii="Times New Roman" w:hAnsi="Times New Roman"/>
                <w:sz w:val="16"/>
                <w:lang w:val="es-ES"/>
              </w:rPr>
              <w:t>10-</w:t>
            </w:r>
            <w:r w:rsidRPr="00AE4E8D">
              <w:rPr>
                <w:rFonts w:ascii="Times New Roman" w:hAnsi="Times New Roman"/>
                <w:sz w:val="16"/>
                <w:lang w:val="es-ES"/>
              </w:rPr>
              <w:tab/>
              <w:t>Obligaciones con el Fondo Fiduciario de Asistencia a Entidades Financieras y de Seguros</w:t>
            </w:r>
          </w:p>
        </w:tc>
        <w:tc>
          <w:tcPr>
            <w:tcW w:w="851" w:type="dxa"/>
            <w:shd w:val="clear" w:color="auto" w:fill="auto"/>
          </w:tcPr>
          <w:p w14:paraId="4F2FB7D9"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p>
          <w:p w14:paraId="74ACD240"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34" w:type="dxa"/>
            <w:shd w:val="clear" w:color="auto" w:fill="auto"/>
          </w:tcPr>
          <w:p w14:paraId="250AD9F6"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850" w:type="dxa"/>
            <w:shd w:val="clear" w:color="auto" w:fill="auto"/>
          </w:tcPr>
          <w:p w14:paraId="2C587DD2" w14:textId="77777777" w:rsidR="00705F00" w:rsidRPr="00AE4E8D" w:rsidRDefault="00705F00" w:rsidP="00741F80">
            <w:pPr>
              <w:autoSpaceDE w:val="0"/>
              <w:autoSpaceDN w:val="0"/>
              <w:adjustRightInd w:val="0"/>
              <w:jc w:val="right"/>
              <w:rPr>
                <w:rFonts w:ascii="Times New Roman" w:hAnsi="Times New Roman"/>
                <w:sz w:val="16"/>
                <w:lang w:val="es-ES"/>
              </w:rPr>
            </w:pPr>
          </w:p>
          <w:p w14:paraId="59DFB7C1"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65" w:type="dxa"/>
            <w:shd w:val="clear" w:color="auto" w:fill="auto"/>
          </w:tcPr>
          <w:p w14:paraId="7699587A" w14:textId="77777777" w:rsidR="00705F00" w:rsidRPr="00AE4E8D" w:rsidRDefault="00705F00" w:rsidP="00741F80">
            <w:pPr>
              <w:autoSpaceDE w:val="0"/>
              <w:autoSpaceDN w:val="0"/>
              <w:adjustRightInd w:val="0"/>
              <w:jc w:val="right"/>
              <w:rPr>
                <w:rFonts w:ascii="Times New Roman" w:hAnsi="Times New Roman"/>
                <w:sz w:val="16"/>
                <w:lang w:val="es-ES"/>
              </w:rPr>
            </w:pPr>
          </w:p>
        </w:tc>
      </w:tr>
      <w:tr w:rsidR="00705F00" w:rsidRPr="00AE4E8D" w14:paraId="0568BEA6" w14:textId="77777777" w:rsidTr="000400C8">
        <w:trPr>
          <w:jc w:val="center"/>
        </w:trPr>
        <w:tc>
          <w:tcPr>
            <w:tcW w:w="4644" w:type="dxa"/>
            <w:shd w:val="clear" w:color="auto" w:fill="auto"/>
          </w:tcPr>
          <w:p w14:paraId="15869220" w14:textId="77777777" w:rsidR="00705F00" w:rsidRPr="00AE4E8D" w:rsidRDefault="00705F00" w:rsidP="00741F80">
            <w:pPr>
              <w:tabs>
                <w:tab w:val="left" w:pos="426"/>
              </w:tabs>
              <w:autoSpaceDE w:val="0"/>
              <w:autoSpaceDN w:val="0"/>
              <w:adjustRightInd w:val="0"/>
              <w:spacing w:after="60"/>
              <w:ind w:left="425" w:hanging="425"/>
              <w:rPr>
                <w:rFonts w:ascii="Times New Roman" w:hAnsi="Times New Roman"/>
                <w:sz w:val="16"/>
                <w:lang w:val="es-ES"/>
              </w:rPr>
            </w:pPr>
            <w:r w:rsidRPr="00AE4E8D">
              <w:rPr>
                <w:rFonts w:ascii="Times New Roman" w:hAnsi="Times New Roman"/>
                <w:sz w:val="16"/>
                <w:lang w:val="es-ES"/>
              </w:rPr>
              <w:t>11.</w:t>
            </w:r>
            <w:r w:rsidRPr="00AE4E8D">
              <w:rPr>
                <w:rFonts w:ascii="Times New Roman" w:hAnsi="Times New Roman"/>
                <w:sz w:val="16"/>
                <w:lang w:val="es-ES"/>
              </w:rPr>
              <w:tab/>
              <w:t xml:space="preserve">Depósitos a la vista y a plazo fijo efectuados por orden de la Justicia con fondos originados en las causas en que interviene, </w:t>
            </w:r>
            <w:r w:rsidRPr="00AE4E8D">
              <w:rPr>
                <w:rFonts w:ascii="Times New Roman" w:hAnsi="Times New Roman"/>
                <w:sz w:val="16"/>
                <w:lang w:val="es-ES"/>
              </w:rPr>
              <w:lastRenderedPageBreak/>
              <w:t>y sus saldos inmovilizados</w:t>
            </w:r>
          </w:p>
        </w:tc>
        <w:tc>
          <w:tcPr>
            <w:tcW w:w="851" w:type="dxa"/>
            <w:shd w:val="clear" w:color="auto" w:fill="auto"/>
          </w:tcPr>
          <w:p w14:paraId="66A0801B"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lastRenderedPageBreak/>
              <w:t>13</w:t>
            </w:r>
          </w:p>
        </w:tc>
        <w:tc>
          <w:tcPr>
            <w:tcW w:w="1134" w:type="dxa"/>
            <w:shd w:val="clear" w:color="auto" w:fill="auto"/>
          </w:tcPr>
          <w:p w14:paraId="365F8BA3"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15</w:t>
            </w:r>
          </w:p>
        </w:tc>
        <w:tc>
          <w:tcPr>
            <w:tcW w:w="850" w:type="dxa"/>
            <w:shd w:val="clear" w:color="auto" w:fill="auto"/>
          </w:tcPr>
          <w:p w14:paraId="0A7CC169"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13</w:t>
            </w:r>
          </w:p>
        </w:tc>
        <w:tc>
          <w:tcPr>
            <w:tcW w:w="1165" w:type="dxa"/>
            <w:shd w:val="clear" w:color="auto" w:fill="auto"/>
          </w:tcPr>
          <w:p w14:paraId="6F14A0C6"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15</w:t>
            </w:r>
          </w:p>
        </w:tc>
      </w:tr>
      <w:tr w:rsidR="00705F00" w:rsidRPr="00AE4E8D" w14:paraId="3C63BEAC" w14:textId="77777777" w:rsidTr="000400C8">
        <w:trPr>
          <w:jc w:val="center"/>
        </w:trPr>
        <w:tc>
          <w:tcPr>
            <w:tcW w:w="4644" w:type="dxa"/>
            <w:shd w:val="clear" w:color="auto" w:fill="auto"/>
          </w:tcPr>
          <w:p w14:paraId="1E669D61" w14:textId="77777777" w:rsidR="00705F00" w:rsidRPr="00AE4E8D" w:rsidRDefault="00705F00" w:rsidP="00741F80">
            <w:pPr>
              <w:tabs>
                <w:tab w:val="left" w:pos="426"/>
              </w:tabs>
              <w:autoSpaceDE w:val="0"/>
              <w:autoSpaceDN w:val="0"/>
              <w:adjustRightInd w:val="0"/>
              <w:spacing w:after="60"/>
              <w:ind w:left="425" w:hanging="425"/>
              <w:rPr>
                <w:rFonts w:ascii="Times New Roman" w:hAnsi="Times New Roman"/>
                <w:sz w:val="16"/>
                <w:lang w:val="es-ES"/>
              </w:rPr>
            </w:pPr>
            <w:r w:rsidRPr="00AE4E8D">
              <w:rPr>
                <w:rFonts w:ascii="Times New Roman" w:hAnsi="Times New Roman"/>
                <w:sz w:val="16"/>
                <w:lang w:val="es-ES"/>
              </w:rPr>
              <w:lastRenderedPageBreak/>
              <w:t>12-</w:t>
            </w:r>
            <w:r w:rsidRPr="00AE4E8D">
              <w:rPr>
                <w:rFonts w:ascii="Times New Roman" w:hAnsi="Times New Roman"/>
                <w:sz w:val="16"/>
                <w:lang w:val="es-ES"/>
              </w:rPr>
              <w:tab/>
              <w:t>Depósitos –cualquiera sea su modalidad- que constituyan el haber de fondos comunes de inversión</w:t>
            </w:r>
          </w:p>
        </w:tc>
        <w:tc>
          <w:tcPr>
            <w:tcW w:w="851" w:type="dxa"/>
            <w:shd w:val="clear" w:color="auto" w:fill="auto"/>
          </w:tcPr>
          <w:p w14:paraId="61B0591E"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20</w:t>
            </w:r>
          </w:p>
        </w:tc>
        <w:tc>
          <w:tcPr>
            <w:tcW w:w="1134" w:type="dxa"/>
            <w:shd w:val="clear" w:color="auto" w:fill="auto"/>
          </w:tcPr>
          <w:p w14:paraId="4557CDA8"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25</w:t>
            </w:r>
          </w:p>
        </w:tc>
        <w:tc>
          <w:tcPr>
            <w:tcW w:w="850" w:type="dxa"/>
            <w:shd w:val="clear" w:color="auto" w:fill="auto"/>
          </w:tcPr>
          <w:p w14:paraId="5479863D"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20</w:t>
            </w:r>
          </w:p>
        </w:tc>
        <w:tc>
          <w:tcPr>
            <w:tcW w:w="1165" w:type="dxa"/>
            <w:shd w:val="clear" w:color="auto" w:fill="auto"/>
          </w:tcPr>
          <w:p w14:paraId="551FB4B1"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25</w:t>
            </w:r>
          </w:p>
        </w:tc>
      </w:tr>
      <w:tr w:rsidR="00705F00" w:rsidRPr="00AE4E8D" w14:paraId="28E9E6D9" w14:textId="77777777" w:rsidTr="000400C8">
        <w:trPr>
          <w:jc w:val="center"/>
        </w:trPr>
        <w:tc>
          <w:tcPr>
            <w:tcW w:w="4644" w:type="dxa"/>
            <w:shd w:val="clear" w:color="auto" w:fill="auto"/>
          </w:tcPr>
          <w:p w14:paraId="59969431" w14:textId="77777777" w:rsidR="00705F00" w:rsidRPr="00AE4E8D" w:rsidRDefault="00705F00" w:rsidP="00741F80">
            <w:pPr>
              <w:tabs>
                <w:tab w:val="left" w:pos="426"/>
              </w:tabs>
              <w:autoSpaceDE w:val="0"/>
              <w:autoSpaceDN w:val="0"/>
              <w:adjustRightInd w:val="0"/>
              <w:spacing w:after="60"/>
              <w:ind w:left="425" w:hanging="425"/>
              <w:rPr>
                <w:rFonts w:ascii="Times New Roman" w:hAnsi="Times New Roman"/>
                <w:sz w:val="16"/>
                <w:lang w:val="es-ES"/>
              </w:rPr>
            </w:pPr>
            <w:r w:rsidRPr="00AE4E8D">
              <w:rPr>
                <w:rFonts w:ascii="Times New Roman" w:hAnsi="Times New Roman"/>
                <w:sz w:val="16"/>
                <w:lang w:val="es-ES"/>
              </w:rPr>
              <w:t>13-</w:t>
            </w:r>
            <w:r w:rsidRPr="00AE4E8D">
              <w:rPr>
                <w:rFonts w:ascii="Times New Roman" w:hAnsi="Times New Roman"/>
                <w:sz w:val="16"/>
                <w:lang w:val="es-ES"/>
              </w:rPr>
              <w:tab/>
              <w:t>Depósitos especiales vinculados al ingreso de fondos del exterior - Decreto 616/2005</w:t>
            </w:r>
          </w:p>
        </w:tc>
        <w:tc>
          <w:tcPr>
            <w:tcW w:w="851" w:type="dxa"/>
            <w:shd w:val="clear" w:color="auto" w:fill="auto"/>
          </w:tcPr>
          <w:p w14:paraId="00BFEF20"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p>
        </w:tc>
        <w:tc>
          <w:tcPr>
            <w:tcW w:w="1134" w:type="dxa"/>
            <w:shd w:val="clear" w:color="auto" w:fill="auto"/>
          </w:tcPr>
          <w:p w14:paraId="5E455180" w14:textId="77777777" w:rsidR="00705F00" w:rsidRPr="00AE4E8D" w:rsidRDefault="00705F00" w:rsidP="00741F80">
            <w:pPr>
              <w:autoSpaceDE w:val="0"/>
              <w:autoSpaceDN w:val="0"/>
              <w:adjustRightInd w:val="0"/>
              <w:jc w:val="right"/>
              <w:rPr>
                <w:rFonts w:ascii="Times New Roman" w:hAnsi="Times New Roman"/>
                <w:sz w:val="16"/>
                <w:lang w:val="es-ES"/>
              </w:rPr>
            </w:pPr>
          </w:p>
          <w:p w14:paraId="24548228"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100</w:t>
            </w:r>
          </w:p>
        </w:tc>
        <w:tc>
          <w:tcPr>
            <w:tcW w:w="850" w:type="dxa"/>
            <w:shd w:val="clear" w:color="auto" w:fill="auto"/>
          </w:tcPr>
          <w:p w14:paraId="5911F1A0"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1165" w:type="dxa"/>
            <w:shd w:val="clear" w:color="auto" w:fill="auto"/>
          </w:tcPr>
          <w:p w14:paraId="206F70B4" w14:textId="77777777" w:rsidR="00705F00" w:rsidRPr="00AE4E8D" w:rsidRDefault="00705F00" w:rsidP="00741F80">
            <w:pPr>
              <w:autoSpaceDE w:val="0"/>
              <w:autoSpaceDN w:val="0"/>
              <w:adjustRightInd w:val="0"/>
              <w:jc w:val="right"/>
              <w:rPr>
                <w:rFonts w:ascii="Times New Roman" w:hAnsi="Times New Roman"/>
                <w:sz w:val="16"/>
                <w:lang w:val="es-ES"/>
              </w:rPr>
            </w:pPr>
          </w:p>
          <w:p w14:paraId="6E435A3E"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100</w:t>
            </w:r>
          </w:p>
        </w:tc>
      </w:tr>
      <w:tr w:rsidR="00705F00" w:rsidRPr="00AE4E8D" w14:paraId="3160EC37" w14:textId="77777777" w:rsidTr="000400C8">
        <w:trPr>
          <w:jc w:val="center"/>
        </w:trPr>
        <w:tc>
          <w:tcPr>
            <w:tcW w:w="4644" w:type="dxa"/>
            <w:shd w:val="clear" w:color="auto" w:fill="auto"/>
          </w:tcPr>
          <w:p w14:paraId="3049E315" w14:textId="77777777" w:rsidR="00705F00" w:rsidRPr="00AE4E8D" w:rsidRDefault="00705F00" w:rsidP="00741F80">
            <w:pPr>
              <w:tabs>
                <w:tab w:val="left" w:pos="426"/>
              </w:tabs>
              <w:autoSpaceDE w:val="0"/>
              <w:autoSpaceDN w:val="0"/>
              <w:adjustRightInd w:val="0"/>
              <w:ind w:left="426" w:hanging="426"/>
              <w:rPr>
                <w:rFonts w:ascii="Times New Roman" w:hAnsi="Times New Roman"/>
                <w:sz w:val="16"/>
                <w:lang w:val="es-ES"/>
              </w:rPr>
            </w:pPr>
            <w:r w:rsidRPr="00AE4E8D">
              <w:rPr>
                <w:rFonts w:ascii="Times New Roman" w:hAnsi="Times New Roman"/>
                <w:sz w:val="16"/>
                <w:lang w:val="es-ES"/>
              </w:rPr>
              <w:t>14-</w:t>
            </w:r>
            <w:r w:rsidRPr="00AE4E8D">
              <w:rPr>
                <w:rFonts w:ascii="Times New Roman" w:hAnsi="Times New Roman"/>
                <w:sz w:val="16"/>
                <w:lang w:val="es-ES"/>
              </w:rPr>
              <w:tab/>
              <w:t>Inversiones a plazo instrumentadas en certificados nominativos intransferibles, en pesos, correspondientes a titulares del sector público que cuenten con el derecho a ejercer la opción de cancelación anticipada en un plazo inferior a 30 días contados desde su constitución</w:t>
            </w:r>
          </w:p>
        </w:tc>
        <w:tc>
          <w:tcPr>
            <w:tcW w:w="851" w:type="dxa"/>
            <w:shd w:val="clear" w:color="auto" w:fill="auto"/>
          </w:tcPr>
          <w:p w14:paraId="1D9964B6"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16</w:t>
            </w:r>
          </w:p>
        </w:tc>
        <w:tc>
          <w:tcPr>
            <w:tcW w:w="1134" w:type="dxa"/>
            <w:shd w:val="clear" w:color="auto" w:fill="auto"/>
          </w:tcPr>
          <w:p w14:paraId="20B969EB"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850" w:type="dxa"/>
            <w:shd w:val="clear" w:color="auto" w:fill="auto"/>
          </w:tcPr>
          <w:p w14:paraId="04212102"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15</w:t>
            </w:r>
          </w:p>
        </w:tc>
        <w:tc>
          <w:tcPr>
            <w:tcW w:w="1165" w:type="dxa"/>
            <w:shd w:val="clear" w:color="auto" w:fill="auto"/>
          </w:tcPr>
          <w:p w14:paraId="05FC0BE4" w14:textId="77777777" w:rsidR="00705F00" w:rsidRPr="00AE4E8D" w:rsidRDefault="00705F00" w:rsidP="00741F80">
            <w:pPr>
              <w:autoSpaceDE w:val="0"/>
              <w:autoSpaceDN w:val="0"/>
              <w:adjustRightInd w:val="0"/>
              <w:jc w:val="right"/>
              <w:rPr>
                <w:rFonts w:ascii="Times New Roman" w:hAnsi="Times New Roman"/>
                <w:sz w:val="16"/>
                <w:lang w:val="es-ES"/>
              </w:rPr>
            </w:pPr>
          </w:p>
        </w:tc>
      </w:tr>
      <w:tr w:rsidR="00705F00" w:rsidRPr="00AE4E8D" w14:paraId="6F05CD7D" w14:textId="77777777" w:rsidTr="000400C8">
        <w:trPr>
          <w:jc w:val="center"/>
        </w:trPr>
        <w:tc>
          <w:tcPr>
            <w:tcW w:w="4644" w:type="dxa"/>
            <w:shd w:val="clear" w:color="auto" w:fill="auto"/>
          </w:tcPr>
          <w:p w14:paraId="6E52D145" w14:textId="77777777" w:rsidR="00705F00" w:rsidRPr="00AE4E8D" w:rsidRDefault="00705F00" w:rsidP="00741F80">
            <w:pPr>
              <w:tabs>
                <w:tab w:val="left" w:pos="426"/>
              </w:tabs>
              <w:autoSpaceDE w:val="0"/>
              <w:autoSpaceDN w:val="0"/>
              <w:adjustRightInd w:val="0"/>
              <w:ind w:left="426" w:hanging="426"/>
              <w:rPr>
                <w:rFonts w:ascii="Times New Roman" w:hAnsi="Times New Roman"/>
                <w:sz w:val="16"/>
                <w:lang w:val="es-ES"/>
              </w:rPr>
            </w:pPr>
          </w:p>
        </w:tc>
        <w:tc>
          <w:tcPr>
            <w:tcW w:w="851" w:type="dxa"/>
            <w:shd w:val="clear" w:color="auto" w:fill="auto"/>
          </w:tcPr>
          <w:p w14:paraId="7A33355B"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p>
        </w:tc>
        <w:tc>
          <w:tcPr>
            <w:tcW w:w="1134" w:type="dxa"/>
            <w:shd w:val="clear" w:color="auto" w:fill="auto"/>
          </w:tcPr>
          <w:p w14:paraId="1992D67A"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850" w:type="dxa"/>
            <w:shd w:val="clear" w:color="auto" w:fill="auto"/>
          </w:tcPr>
          <w:p w14:paraId="313AC7E2"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1165" w:type="dxa"/>
            <w:shd w:val="clear" w:color="auto" w:fill="auto"/>
          </w:tcPr>
          <w:p w14:paraId="37130078" w14:textId="77777777" w:rsidR="00705F00" w:rsidRPr="00AE4E8D" w:rsidRDefault="00705F00" w:rsidP="00741F80">
            <w:pPr>
              <w:autoSpaceDE w:val="0"/>
              <w:autoSpaceDN w:val="0"/>
              <w:adjustRightInd w:val="0"/>
              <w:jc w:val="right"/>
              <w:rPr>
                <w:rFonts w:ascii="Times New Roman" w:hAnsi="Times New Roman"/>
                <w:sz w:val="16"/>
                <w:lang w:val="es-ES"/>
              </w:rPr>
            </w:pPr>
          </w:p>
        </w:tc>
      </w:tr>
      <w:tr w:rsidR="00705F00" w:rsidRPr="00AE4E8D" w14:paraId="4A42CDD6" w14:textId="77777777" w:rsidTr="000400C8">
        <w:trPr>
          <w:jc w:val="center"/>
        </w:trPr>
        <w:tc>
          <w:tcPr>
            <w:tcW w:w="4644" w:type="dxa"/>
            <w:shd w:val="clear" w:color="auto" w:fill="auto"/>
          </w:tcPr>
          <w:p w14:paraId="4CA922B4" w14:textId="77777777" w:rsidR="00705F00" w:rsidRPr="00AE4E8D" w:rsidRDefault="00705F00" w:rsidP="00741F80">
            <w:pPr>
              <w:tabs>
                <w:tab w:val="left" w:pos="426"/>
              </w:tabs>
              <w:autoSpaceDE w:val="0"/>
              <w:autoSpaceDN w:val="0"/>
              <w:adjustRightInd w:val="0"/>
              <w:ind w:left="426" w:hanging="426"/>
              <w:rPr>
                <w:rFonts w:ascii="Times New Roman" w:hAnsi="Times New Roman"/>
                <w:sz w:val="16"/>
                <w:lang w:val="es-ES"/>
              </w:rPr>
            </w:pPr>
            <w:r w:rsidRPr="00AE4E8D">
              <w:rPr>
                <w:rFonts w:ascii="Times New Roman" w:hAnsi="Times New Roman"/>
                <w:sz w:val="16"/>
                <w:lang w:val="es-ES"/>
              </w:rPr>
              <w:t>15- Depósitos e inversiones a plazo de UVA y UVI</w:t>
            </w:r>
          </w:p>
          <w:p w14:paraId="0FA53B9F" w14:textId="77777777" w:rsidR="00705F00" w:rsidRPr="00AE4E8D" w:rsidRDefault="00705F00" w:rsidP="00741F80">
            <w:pPr>
              <w:numPr>
                <w:ilvl w:val="0"/>
                <w:numId w:val="71"/>
              </w:numPr>
              <w:tabs>
                <w:tab w:val="left" w:pos="426"/>
              </w:tabs>
              <w:autoSpaceDE w:val="0"/>
              <w:autoSpaceDN w:val="0"/>
              <w:adjustRightInd w:val="0"/>
              <w:rPr>
                <w:rFonts w:ascii="Times New Roman" w:hAnsi="Times New Roman"/>
                <w:sz w:val="16"/>
                <w:lang w:val="es-ES"/>
              </w:rPr>
            </w:pPr>
            <w:r w:rsidRPr="00AE4E8D">
              <w:rPr>
                <w:rFonts w:ascii="Times New Roman" w:hAnsi="Times New Roman"/>
                <w:sz w:val="16"/>
                <w:lang w:val="es-ES"/>
              </w:rPr>
              <w:t>Hasta 29 días</w:t>
            </w:r>
          </w:p>
        </w:tc>
        <w:tc>
          <w:tcPr>
            <w:tcW w:w="851" w:type="dxa"/>
            <w:shd w:val="clear" w:color="auto" w:fill="auto"/>
          </w:tcPr>
          <w:p w14:paraId="50ECE946"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p>
          <w:p w14:paraId="2BBE0A35"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7</w:t>
            </w:r>
          </w:p>
        </w:tc>
        <w:tc>
          <w:tcPr>
            <w:tcW w:w="1134" w:type="dxa"/>
            <w:shd w:val="clear" w:color="auto" w:fill="auto"/>
          </w:tcPr>
          <w:p w14:paraId="349A5CAF" w14:textId="77777777" w:rsidR="00705F00" w:rsidRPr="00AE4E8D" w:rsidRDefault="00705F00" w:rsidP="00741F80">
            <w:pPr>
              <w:autoSpaceDE w:val="0"/>
              <w:autoSpaceDN w:val="0"/>
              <w:adjustRightInd w:val="0"/>
              <w:jc w:val="right"/>
              <w:rPr>
                <w:rFonts w:ascii="Times New Roman" w:hAnsi="Times New Roman"/>
                <w:sz w:val="16"/>
                <w:lang w:val="es-ES"/>
              </w:rPr>
            </w:pPr>
          </w:p>
          <w:p w14:paraId="20E27FB7"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850" w:type="dxa"/>
            <w:shd w:val="clear" w:color="auto" w:fill="auto"/>
          </w:tcPr>
          <w:p w14:paraId="2C4A56AA" w14:textId="77777777" w:rsidR="00705F00" w:rsidRPr="00AE4E8D" w:rsidRDefault="00705F00" w:rsidP="00741F80">
            <w:pPr>
              <w:autoSpaceDE w:val="0"/>
              <w:autoSpaceDN w:val="0"/>
              <w:adjustRightInd w:val="0"/>
              <w:jc w:val="right"/>
              <w:rPr>
                <w:rFonts w:ascii="Times New Roman" w:hAnsi="Times New Roman"/>
                <w:sz w:val="16"/>
                <w:lang w:val="es-ES"/>
              </w:rPr>
            </w:pPr>
          </w:p>
          <w:p w14:paraId="3AEB80AA"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6</w:t>
            </w:r>
          </w:p>
        </w:tc>
        <w:tc>
          <w:tcPr>
            <w:tcW w:w="1165" w:type="dxa"/>
            <w:shd w:val="clear" w:color="auto" w:fill="auto"/>
          </w:tcPr>
          <w:p w14:paraId="77B3C97A" w14:textId="77777777" w:rsidR="00705F00" w:rsidRPr="00AE4E8D" w:rsidRDefault="00705F00" w:rsidP="00741F80">
            <w:pPr>
              <w:autoSpaceDE w:val="0"/>
              <w:autoSpaceDN w:val="0"/>
              <w:adjustRightInd w:val="0"/>
              <w:jc w:val="right"/>
              <w:rPr>
                <w:rFonts w:ascii="Times New Roman" w:hAnsi="Times New Roman"/>
                <w:sz w:val="16"/>
                <w:lang w:val="es-ES"/>
              </w:rPr>
            </w:pPr>
          </w:p>
          <w:p w14:paraId="474557B6"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r>
      <w:tr w:rsidR="00705F00" w:rsidRPr="00AE4E8D" w14:paraId="2D40D160" w14:textId="77777777" w:rsidTr="000400C8">
        <w:trPr>
          <w:jc w:val="center"/>
        </w:trPr>
        <w:tc>
          <w:tcPr>
            <w:tcW w:w="4644" w:type="dxa"/>
            <w:shd w:val="clear" w:color="auto" w:fill="auto"/>
          </w:tcPr>
          <w:p w14:paraId="7FDF7A15" w14:textId="77777777" w:rsidR="00705F00" w:rsidRPr="00AE4E8D" w:rsidRDefault="00705F00" w:rsidP="00741F80">
            <w:pPr>
              <w:numPr>
                <w:ilvl w:val="0"/>
                <w:numId w:val="71"/>
              </w:numPr>
              <w:tabs>
                <w:tab w:val="left" w:pos="426"/>
              </w:tabs>
              <w:autoSpaceDE w:val="0"/>
              <w:autoSpaceDN w:val="0"/>
              <w:adjustRightInd w:val="0"/>
              <w:rPr>
                <w:rFonts w:ascii="Times New Roman" w:hAnsi="Times New Roman"/>
                <w:sz w:val="16"/>
                <w:lang w:val="es-ES"/>
              </w:rPr>
            </w:pPr>
            <w:r w:rsidRPr="00AE4E8D">
              <w:rPr>
                <w:rFonts w:ascii="Times New Roman" w:hAnsi="Times New Roman"/>
                <w:sz w:val="16"/>
                <w:lang w:val="es-ES"/>
              </w:rPr>
              <w:t>De 30 a 59 días</w:t>
            </w:r>
          </w:p>
        </w:tc>
        <w:tc>
          <w:tcPr>
            <w:tcW w:w="851" w:type="dxa"/>
            <w:shd w:val="clear" w:color="auto" w:fill="auto"/>
          </w:tcPr>
          <w:p w14:paraId="3B5B74AF"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5</w:t>
            </w:r>
          </w:p>
        </w:tc>
        <w:tc>
          <w:tcPr>
            <w:tcW w:w="1134" w:type="dxa"/>
            <w:shd w:val="clear" w:color="auto" w:fill="auto"/>
          </w:tcPr>
          <w:p w14:paraId="3E983D8F"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850" w:type="dxa"/>
            <w:shd w:val="clear" w:color="auto" w:fill="auto"/>
          </w:tcPr>
          <w:p w14:paraId="717E6492"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4</w:t>
            </w:r>
          </w:p>
        </w:tc>
        <w:tc>
          <w:tcPr>
            <w:tcW w:w="1165" w:type="dxa"/>
            <w:shd w:val="clear" w:color="auto" w:fill="auto"/>
          </w:tcPr>
          <w:p w14:paraId="18E53C23"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r>
      <w:tr w:rsidR="00705F00" w:rsidRPr="00AE4E8D" w14:paraId="21E29293" w14:textId="77777777" w:rsidTr="000400C8">
        <w:trPr>
          <w:jc w:val="center"/>
        </w:trPr>
        <w:tc>
          <w:tcPr>
            <w:tcW w:w="4644" w:type="dxa"/>
            <w:shd w:val="clear" w:color="auto" w:fill="auto"/>
          </w:tcPr>
          <w:p w14:paraId="2AAD0E5E" w14:textId="77777777" w:rsidR="00705F00" w:rsidRPr="00AE4E8D" w:rsidRDefault="00705F00" w:rsidP="00741F80">
            <w:pPr>
              <w:numPr>
                <w:ilvl w:val="0"/>
                <w:numId w:val="71"/>
              </w:numPr>
              <w:tabs>
                <w:tab w:val="left" w:pos="426"/>
              </w:tabs>
              <w:autoSpaceDE w:val="0"/>
              <w:autoSpaceDN w:val="0"/>
              <w:adjustRightInd w:val="0"/>
              <w:rPr>
                <w:rFonts w:ascii="Times New Roman" w:hAnsi="Times New Roman"/>
                <w:sz w:val="16"/>
                <w:lang w:val="es-ES"/>
              </w:rPr>
            </w:pPr>
            <w:r w:rsidRPr="00AE4E8D">
              <w:rPr>
                <w:rFonts w:ascii="Times New Roman" w:hAnsi="Times New Roman"/>
                <w:sz w:val="16"/>
                <w:lang w:val="es-ES"/>
              </w:rPr>
              <w:t>De 60 a 89 días</w:t>
            </w:r>
          </w:p>
        </w:tc>
        <w:tc>
          <w:tcPr>
            <w:tcW w:w="851" w:type="dxa"/>
            <w:shd w:val="clear" w:color="auto" w:fill="auto"/>
          </w:tcPr>
          <w:p w14:paraId="4C0CF25B"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3</w:t>
            </w:r>
          </w:p>
        </w:tc>
        <w:tc>
          <w:tcPr>
            <w:tcW w:w="1134" w:type="dxa"/>
            <w:shd w:val="clear" w:color="auto" w:fill="auto"/>
          </w:tcPr>
          <w:p w14:paraId="27BA6E78"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850" w:type="dxa"/>
            <w:shd w:val="clear" w:color="auto" w:fill="auto"/>
          </w:tcPr>
          <w:p w14:paraId="362CAA2A"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2</w:t>
            </w:r>
          </w:p>
        </w:tc>
        <w:tc>
          <w:tcPr>
            <w:tcW w:w="1165" w:type="dxa"/>
            <w:shd w:val="clear" w:color="auto" w:fill="auto"/>
          </w:tcPr>
          <w:p w14:paraId="6A88EC6A"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r>
      <w:tr w:rsidR="00705F00" w:rsidRPr="00AE4E8D" w14:paraId="11E1A2C8" w14:textId="77777777" w:rsidTr="000400C8">
        <w:trPr>
          <w:jc w:val="center"/>
        </w:trPr>
        <w:tc>
          <w:tcPr>
            <w:tcW w:w="4644" w:type="dxa"/>
            <w:shd w:val="clear" w:color="auto" w:fill="auto"/>
          </w:tcPr>
          <w:p w14:paraId="0C1DD2BE" w14:textId="77777777" w:rsidR="00705F00" w:rsidRPr="00AE4E8D" w:rsidRDefault="00705F00" w:rsidP="00741F80">
            <w:pPr>
              <w:numPr>
                <w:ilvl w:val="0"/>
                <w:numId w:val="71"/>
              </w:numPr>
              <w:tabs>
                <w:tab w:val="left" w:pos="426"/>
              </w:tabs>
              <w:autoSpaceDE w:val="0"/>
              <w:autoSpaceDN w:val="0"/>
              <w:adjustRightInd w:val="0"/>
              <w:rPr>
                <w:rFonts w:ascii="Times New Roman" w:hAnsi="Times New Roman"/>
                <w:sz w:val="16"/>
                <w:lang w:val="es-ES"/>
              </w:rPr>
            </w:pPr>
            <w:r w:rsidRPr="00AE4E8D">
              <w:rPr>
                <w:rFonts w:ascii="Times New Roman" w:hAnsi="Times New Roman"/>
                <w:sz w:val="16"/>
                <w:lang w:val="es-ES"/>
              </w:rPr>
              <w:t>Más de 90 días</w:t>
            </w:r>
          </w:p>
        </w:tc>
        <w:tc>
          <w:tcPr>
            <w:tcW w:w="851" w:type="dxa"/>
            <w:shd w:val="clear" w:color="auto" w:fill="auto"/>
          </w:tcPr>
          <w:p w14:paraId="6F2A857B"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34" w:type="dxa"/>
            <w:shd w:val="clear" w:color="auto" w:fill="auto"/>
          </w:tcPr>
          <w:p w14:paraId="4D4FC44E"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c>
          <w:tcPr>
            <w:tcW w:w="850" w:type="dxa"/>
            <w:shd w:val="clear" w:color="auto" w:fill="auto"/>
          </w:tcPr>
          <w:p w14:paraId="082AD1A9"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65" w:type="dxa"/>
            <w:shd w:val="clear" w:color="auto" w:fill="auto"/>
          </w:tcPr>
          <w:p w14:paraId="6DB9F464"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w:t>
            </w:r>
          </w:p>
        </w:tc>
      </w:tr>
      <w:tr w:rsidR="00705F00" w:rsidRPr="00AE4E8D" w14:paraId="38CCBCCF" w14:textId="77777777" w:rsidTr="000400C8">
        <w:trPr>
          <w:jc w:val="center"/>
        </w:trPr>
        <w:tc>
          <w:tcPr>
            <w:tcW w:w="4644" w:type="dxa"/>
            <w:shd w:val="clear" w:color="auto" w:fill="auto"/>
          </w:tcPr>
          <w:p w14:paraId="182E8F47" w14:textId="77777777" w:rsidR="00705F00" w:rsidRPr="00AE4E8D" w:rsidRDefault="00705F00" w:rsidP="00741F80">
            <w:pPr>
              <w:tabs>
                <w:tab w:val="left" w:pos="426"/>
              </w:tabs>
              <w:autoSpaceDE w:val="0"/>
              <w:autoSpaceDN w:val="0"/>
              <w:adjustRightInd w:val="0"/>
              <w:ind w:left="1080"/>
              <w:rPr>
                <w:rFonts w:ascii="Times New Roman" w:hAnsi="Times New Roman"/>
                <w:sz w:val="16"/>
                <w:lang w:val="es-ES"/>
              </w:rPr>
            </w:pPr>
          </w:p>
        </w:tc>
        <w:tc>
          <w:tcPr>
            <w:tcW w:w="851" w:type="dxa"/>
            <w:shd w:val="clear" w:color="auto" w:fill="auto"/>
          </w:tcPr>
          <w:p w14:paraId="4D3B483F"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p>
        </w:tc>
        <w:tc>
          <w:tcPr>
            <w:tcW w:w="1134" w:type="dxa"/>
            <w:shd w:val="clear" w:color="auto" w:fill="auto"/>
          </w:tcPr>
          <w:p w14:paraId="764F6E3A"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850" w:type="dxa"/>
            <w:shd w:val="clear" w:color="auto" w:fill="auto"/>
          </w:tcPr>
          <w:p w14:paraId="6044A300"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1165" w:type="dxa"/>
            <w:shd w:val="clear" w:color="auto" w:fill="auto"/>
          </w:tcPr>
          <w:p w14:paraId="442E219F" w14:textId="77777777" w:rsidR="00705F00" w:rsidRPr="00AE4E8D" w:rsidRDefault="00705F00" w:rsidP="00741F80">
            <w:pPr>
              <w:autoSpaceDE w:val="0"/>
              <w:autoSpaceDN w:val="0"/>
              <w:adjustRightInd w:val="0"/>
              <w:jc w:val="right"/>
              <w:rPr>
                <w:rFonts w:ascii="Times New Roman" w:hAnsi="Times New Roman"/>
                <w:sz w:val="16"/>
                <w:lang w:val="es-ES"/>
              </w:rPr>
            </w:pPr>
          </w:p>
        </w:tc>
      </w:tr>
      <w:tr w:rsidR="00705F00" w:rsidRPr="00AE4E8D" w14:paraId="33491DFD" w14:textId="77777777" w:rsidTr="000400C8">
        <w:trPr>
          <w:jc w:val="center"/>
        </w:trPr>
        <w:tc>
          <w:tcPr>
            <w:tcW w:w="4644" w:type="dxa"/>
            <w:shd w:val="clear" w:color="auto" w:fill="auto"/>
          </w:tcPr>
          <w:p w14:paraId="21742831" w14:textId="77777777" w:rsidR="00705F00" w:rsidRPr="00AE4E8D" w:rsidRDefault="00705F00" w:rsidP="00741F80">
            <w:pPr>
              <w:tabs>
                <w:tab w:val="left" w:pos="0"/>
              </w:tabs>
              <w:autoSpaceDE w:val="0"/>
              <w:autoSpaceDN w:val="0"/>
              <w:adjustRightInd w:val="0"/>
              <w:spacing w:after="60"/>
              <w:ind w:left="425" w:hanging="425"/>
              <w:rPr>
                <w:rFonts w:ascii="Times New Roman" w:hAnsi="Times New Roman"/>
                <w:sz w:val="16"/>
                <w:lang w:val="es-ES"/>
              </w:rPr>
            </w:pPr>
            <w:r w:rsidRPr="00AE4E8D">
              <w:rPr>
                <w:rFonts w:ascii="Times New Roman" w:hAnsi="Times New Roman"/>
                <w:sz w:val="16"/>
                <w:lang w:val="es-ES"/>
              </w:rPr>
              <w:t>16-</w:t>
            </w:r>
            <w:r w:rsidRPr="00AE4E8D">
              <w:rPr>
                <w:rFonts w:ascii="Times New Roman" w:hAnsi="Times New Roman"/>
                <w:sz w:val="16"/>
                <w:lang w:val="es-ES"/>
              </w:rPr>
              <w:tab/>
              <w:t>Depósitos e inversiones a plazo que se constituyan a nombre de menores de edad por fondos que reciban a título gratuito</w:t>
            </w:r>
          </w:p>
        </w:tc>
        <w:tc>
          <w:tcPr>
            <w:tcW w:w="851" w:type="dxa"/>
            <w:shd w:val="clear" w:color="auto" w:fill="auto"/>
          </w:tcPr>
          <w:p w14:paraId="0036B539" w14:textId="77777777" w:rsidR="00705F00" w:rsidRPr="00AE4E8D" w:rsidRDefault="00705F00" w:rsidP="00741F80">
            <w:pPr>
              <w:tabs>
                <w:tab w:val="left" w:pos="470"/>
              </w:tabs>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34" w:type="dxa"/>
            <w:shd w:val="clear" w:color="auto" w:fill="auto"/>
          </w:tcPr>
          <w:p w14:paraId="4DD301E1" w14:textId="77777777" w:rsidR="00705F00" w:rsidRPr="00AE4E8D" w:rsidRDefault="00705F00" w:rsidP="00741F80">
            <w:pPr>
              <w:autoSpaceDE w:val="0"/>
              <w:autoSpaceDN w:val="0"/>
              <w:adjustRightInd w:val="0"/>
              <w:jc w:val="right"/>
              <w:rPr>
                <w:rFonts w:ascii="Times New Roman" w:hAnsi="Times New Roman"/>
                <w:sz w:val="16"/>
                <w:lang w:val="es-ES"/>
              </w:rPr>
            </w:pPr>
          </w:p>
        </w:tc>
        <w:tc>
          <w:tcPr>
            <w:tcW w:w="850" w:type="dxa"/>
            <w:shd w:val="clear" w:color="auto" w:fill="auto"/>
          </w:tcPr>
          <w:p w14:paraId="32FBFB18" w14:textId="77777777" w:rsidR="00705F00" w:rsidRPr="00AE4E8D" w:rsidRDefault="00705F00" w:rsidP="00741F80">
            <w:pPr>
              <w:autoSpaceDE w:val="0"/>
              <w:autoSpaceDN w:val="0"/>
              <w:adjustRightInd w:val="0"/>
              <w:jc w:val="right"/>
              <w:rPr>
                <w:rFonts w:ascii="Times New Roman" w:hAnsi="Times New Roman"/>
                <w:sz w:val="16"/>
                <w:lang w:val="es-ES"/>
              </w:rPr>
            </w:pPr>
            <w:r w:rsidRPr="00AE4E8D">
              <w:rPr>
                <w:rFonts w:ascii="Times New Roman" w:hAnsi="Times New Roman"/>
                <w:sz w:val="16"/>
                <w:lang w:val="es-ES"/>
              </w:rPr>
              <w:t>0</w:t>
            </w:r>
          </w:p>
        </w:tc>
        <w:tc>
          <w:tcPr>
            <w:tcW w:w="1165" w:type="dxa"/>
            <w:shd w:val="clear" w:color="auto" w:fill="auto"/>
          </w:tcPr>
          <w:p w14:paraId="07DC8E3B" w14:textId="77777777" w:rsidR="00705F00" w:rsidRPr="00AE4E8D" w:rsidRDefault="00705F00" w:rsidP="00741F80">
            <w:pPr>
              <w:autoSpaceDE w:val="0"/>
              <w:autoSpaceDN w:val="0"/>
              <w:adjustRightInd w:val="0"/>
              <w:jc w:val="right"/>
              <w:rPr>
                <w:rFonts w:ascii="Times New Roman" w:hAnsi="Times New Roman"/>
                <w:sz w:val="16"/>
                <w:lang w:val="es-ES"/>
              </w:rPr>
            </w:pPr>
          </w:p>
        </w:tc>
      </w:tr>
    </w:tbl>
    <w:p w14:paraId="1710415D" w14:textId="77777777" w:rsidR="002E07D5" w:rsidRPr="00AE4E8D" w:rsidRDefault="002E07D5" w:rsidP="000668B5">
      <w:pPr>
        <w:pStyle w:val="BHTexto"/>
        <w:rPr>
          <w:lang w:val="es-ES"/>
        </w:rPr>
      </w:pPr>
      <w:r w:rsidRPr="00AE4E8D">
        <w:rPr>
          <w:lang w:val="es-ES"/>
        </w:rPr>
        <w:t>Además de las exigencias arriba mencionadas, el defecto de aplicación de recursos correspondientes a depósitos en moneda extranjera que se determine en un mes se computará por un importe equivalente en el cálculo de la exigencia de efectivo mínimo para la moneda correspondiente de ese mismo período.</w:t>
      </w:r>
    </w:p>
    <w:p w14:paraId="65A84714" w14:textId="77777777" w:rsidR="002E07D5" w:rsidRPr="00AE4E8D" w:rsidRDefault="002E07D5" w:rsidP="000668B5">
      <w:pPr>
        <w:pStyle w:val="BHTexto"/>
        <w:rPr>
          <w:lang w:val="es-ES"/>
        </w:rPr>
      </w:pPr>
      <w:r w:rsidRPr="00AE4E8D">
        <w:rPr>
          <w:lang w:val="es-ES"/>
        </w:rPr>
        <w:t>La integración se debe efectuar en la misma moneda que la de la exigencia, pudiéndose realizar con los siguientes conceptos:</w:t>
      </w:r>
    </w:p>
    <w:p w14:paraId="03BBB03F" w14:textId="77777777" w:rsidR="002E07D5" w:rsidRPr="00AE4E8D" w:rsidRDefault="002E07D5" w:rsidP="000668B5">
      <w:pPr>
        <w:pStyle w:val="BHTexto"/>
        <w:numPr>
          <w:ilvl w:val="0"/>
          <w:numId w:val="114"/>
        </w:numPr>
        <w:rPr>
          <w:lang w:val="es-ES"/>
        </w:rPr>
      </w:pPr>
      <w:r w:rsidRPr="00AE4E8D">
        <w:rPr>
          <w:lang w:val="es-ES"/>
        </w:rPr>
        <w:t xml:space="preserve">Cuentas corrientes de las entidades financieras abiertas en el </w:t>
      </w:r>
      <w:r w:rsidR="002C3DEF" w:rsidRPr="00AE4E8D">
        <w:rPr>
          <w:lang w:val="es-ES"/>
        </w:rPr>
        <w:t>BCRA</w:t>
      </w:r>
      <w:r w:rsidRPr="00AE4E8D">
        <w:rPr>
          <w:lang w:val="es-ES"/>
        </w:rPr>
        <w:t xml:space="preserve"> en pesos.</w:t>
      </w:r>
    </w:p>
    <w:p w14:paraId="52651C87" w14:textId="77777777" w:rsidR="002E07D5" w:rsidRPr="00AE4E8D" w:rsidRDefault="002E07D5" w:rsidP="000668B5">
      <w:pPr>
        <w:pStyle w:val="BHTexto"/>
        <w:numPr>
          <w:ilvl w:val="0"/>
          <w:numId w:val="114"/>
        </w:numPr>
        <w:rPr>
          <w:lang w:val="es-ES"/>
        </w:rPr>
      </w:pPr>
      <w:r w:rsidRPr="00AE4E8D">
        <w:rPr>
          <w:lang w:val="es-ES"/>
        </w:rPr>
        <w:t xml:space="preserve">Cuentas de efectivo mínimo de las entidades financieras abiertas en el </w:t>
      </w:r>
      <w:r w:rsidR="002C3DEF" w:rsidRPr="00AE4E8D">
        <w:rPr>
          <w:lang w:val="es-ES"/>
        </w:rPr>
        <w:t>BCRA</w:t>
      </w:r>
      <w:r w:rsidRPr="00AE4E8D">
        <w:rPr>
          <w:lang w:val="es-ES"/>
        </w:rPr>
        <w:t>, en dólares o en otras monedas extranjeras.</w:t>
      </w:r>
    </w:p>
    <w:p w14:paraId="0C04575D" w14:textId="77777777" w:rsidR="002E07D5" w:rsidRPr="00AE4E8D" w:rsidRDefault="002E07D5" w:rsidP="000668B5">
      <w:pPr>
        <w:pStyle w:val="BHTexto"/>
        <w:numPr>
          <w:ilvl w:val="0"/>
          <w:numId w:val="114"/>
        </w:numPr>
        <w:rPr>
          <w:lang w:val="es-ES"/>
        </w:rPr>
      </w:pPr>
      <w:r w:rsidRPr="00AE4E8D">
        <w:rPr>
          <w:lang w:val="es-ES"/>
        </w:rPr>
        <w:t>Cuentas especiales de garantías a favor de las cámaras electrónicas de compensación y para la cobertura de la liquidación de operaciones con tarjetas de crédito y en cajeros automáticos y por transferencias inmediatas de fondos.</w:t>
      </w:r>
    </w:p>
    <w:p w14:paraId="1D9848FA" w14:textId="77777777" w:rsidR="002E07D5" w:rsidRPr="00AE4E8D" w:rsidRDefault="002E07D5" w:rsidP="000668B5">
      <w:pPr>
        <w:pStyle w:val="BHTexto"/>
        <w:numPr>
          <w:ilvl w:val="0"/>
          <w:numId w:val="114"/>
        </w:numPr>
        <w:rPr>
          <w:lang w:val="es-ES"/>
        </w:rPr>
      </w:pPr>
      <w:r w:rsidRPr="00AE4E8D">
        <w:rPr>
          <w:lang w:val="es-ES"/>
        </w:rPr>
        <w:t>Cuentas corrientes de las entidades no bancarias, abiertas en bancos comerciales para la integración de la exigencia de efectivo mínimo.</w:t>
      </w:r>
    </w:p>
    <w:p w14:paraId="76346F84" w14:textId="77777777" w:rsidR="002E07D5" w:rsidRPr="00AE4E8D" w:rsidRDefault="002E07D5" w:rsidP="000668B5">
      <w:pPr>
        <w:pStyle w:val="BHTexto"/>
        <w:numPr>
          <w:ilvl w:val="0"/>
          <w:numId w:val="114"/>
        </w:numPr>
        <w:rPr>
          <w:lang w:val="es-ES"/>
        </w:rPr>
      </w:pPr>
      <w:r w:rsidRPr="00AE4E8D">
        <w:rPr>
          <w:lang w:val="es-ES"/>
        </w:rPr>
        <w:t xml:space="preserve">Cuentas corrientes especiales abiertas en el </w:t>
      </w:r>
      <w:r w:rsidR="002C3DEF" w:rsidRPr="00AE4E8D">
        <w:rPr>
          <w:lang w:val="es-ES"/>
        </w:rPr>
        <w:t>BCRA</w:t>
      </w:r>
      <w:r w:rsidRPr="00AE4E8D">
        <w:rPr>
          <w:lang w:val="es-ES"/>
        </w:rPr>
        <w:t>, vinculadas con la atención de los beneficios previsionales a cargo de la Administración Nacional de la Seguridad Social (ANSES).</w:t>
      </w:r>
    </w:p>
    <w:p w14:paraId="54A70CD8" w14:textId="77777777" w:rsidR="002E07D5" w:rsidRPr="00AE4E8D" w:rsidRDefault="002E07D5" w:rsidP="000668B5">
      <w:pPr>
        <w:pStyle w:val="BHTexto"/>
        <w:numPr>
          <w:ilvl w:val="0"/>
          <w:numId w:val="114"/>
        </w:numPr>
        <w:rPr>
          <w:lang w:val="es-ES"/>
        </w:rPr>
      </w:pPr>
      <w:r w:rsidRPr="00AE4E8D">
        <w:rPr>
          <w:lang w:val="es-ES"/>
        </w:rPr>
        <w:t xml:space="preserve">Subcuenta 60 de efectivo mínimo habilitada en la “Central de Registro y Liquidación de Pasivos Públicos y Fideicomisos Financieros - CRYL” de valores </w:t>
      </w:r>
      <w:r w:rsidR="00140213" w:rsidRPr="00AE4E8D">
        <w:rPr>
          <w:lang w:val="es-ES"/>
        </w:rPr>
        <w:t xml:space="preserve">negociables </w:t>
      </w:r>
      <w:r w:rsidRPr="00AE4E8D">
        <w:rPr>
          <w:lang w:val="es-ES"/>
        </w:rPr>
        <w:t xml:space="preserve">públicos e instrumentos de regulación monetaria del </w:t>
      </w:r>
      <w:r w:rsidR="002C3DEF" w:rsidRPr="00AE4E8D">
        <w:rPr>
          <w:lang w:val="es-ES"/>
        </w:rPr>
        <w:t>BCRA</w:t>
      </w:r>
      <w:r w:rsidRPr="00AE4E8D">
        <w:rPr>
          <w:lang w:val="es-ES"/>
        </w:rPr>
        <w:t xml:space="preserve"> valuados a valor de mercado. </w:t>
      </w:r>
    </w:p>
    <w:p w14:paraId="27A497E8" w14:textId="77777777" w:rsidR="002E07D5" w:rsidRPr="00AE4E8D" w:rsidRDefault="002E07D5" w:rsidP="000668B5">
      <w:pPr>
        <w:pStyle w:val="BHTexto"/>
        <w:rPr>
          <w:lang w:val="es-ES"/>
        </w:rPr>
      </w:pPr>
      <w:r w:rsidRPr="00AE4E8D">
        <w:rPr>
          <w:lang w:val="es-ES"/>
        </w:rPr>
        <w:t xml:space="preserve">Estos conceptos admitidos están sujetos a revisión por el </w:t>
      </w:r>
      <w:r w:rsidR="002C3DEF" w:rsidRPr="00AE4E8D">
        <w:rPr>
          <w:lang w:val="es-ES"/>
        </w:rPr>
        <w:t>BCRA</w:t>
      </w:r>
      <w:r w:rsidRPr="00AE4E8D">
        <w:rPr>
          <w:lang w:val="es-ES"/>
        </w:rPr>
        <w:t xml:space="preserve"> y podrán modificarse en el futuro.</w:t>
      </w:r>
    </w:p>
    <w:p w14:paraId="70646629" w14:textId="77777777" w:rsidR="002E07D5" w:rsidRPr="00AE4E8D" w:rsidRDefault="002E07D5" w:rsidP="000668B5">
      <w:pPr>
        <w:pStyle w:val="BHTexto"/>
        <w:rPr>
          <w:lang w:val="es-ES"/>
        </w:rPr>
      </w:pPr>
      <w:r w:rsidRPr="00AE4E8D">
        <w:rPr>
          <w:lang w:val="es-ES"/>
        </w:rPr>
        <w:t xml:space="preserve">La remuneración de las cuentas en el </w:t>
      </w:r>
      <w:r w:rsidR="002C3DEF" w:rsidRPr="00AE4E8D">
        <w:rPr>
          <w:lang w:val="es-ES"/>
        </w:rPr>
        <w:t>BCRA</w:t>
      </w:r>
      <w:r w:rsidRPr="00AE4E8D">
        <w:rPr>
          <w:lang w:val="es-ES"/>
        </w:rPr>
        <w:t xml:space="preserve"> relacionadas con las reservas de liquidez sólo se realiza hasta los montos correspondientes a las exigencias establecidas para las operaciones a plazo, no remunerándose las reservas en exceso a esa exigencia.</w:t>
      </w:r>
    </w:p>
    <w:p w14:paraId="56B02CA7" w14:textId="77777777" w:rsidR="002E07D5" w:rsidRPr="00AE4E8D" w:rsidRDefault="002E07D5" w:rsidP="000668B5">
      <w:pPr>
        <w:pStyle w:val="BHTexto"/>
        <w:rPr>
          <w:lang w:val="es-ES"/>
        </w:rPr>
      </w:pPr>
      <w:r w:rsidRPr="00AE4E8D">
        <w:rPr>
          <w:lang w:val="es-ES"/>
        </w:rPr>
        <w:t xml:space="preserve">En los casos de integración de la exigencia de los depósitos a plazo de títulos públicos, la misma deberá efectuarse con tenencias valuadas a precio de mercado y de la misma especie, sólo en términos de posición mensual. Las tenencias deberán depositarse en cuentas especiales habilitadas en el </w:t>
      </w:r>
      <w:r w:rsidR="002C3DEF" w:rsidRPr="00AE4E8D">
        <w:rPr>
          <w:lang w:val="es-ES"/>
        </w:rPr>
        <w:t>BCRA</w:t>
      </w:r>
      <w:r w:rsidRPr="00AE4E8D">
        <w:rPr>
          <w:lang w:val="es-ES"/>
        </w:rPr>
        <w:t xml:space="preserve"> a esos efectos.</w:t>
      </w:r>
    </w:p>
    <w:p w14:paraId="3FADE2F3" w14:textId="77777777" w:rsidR="002E07D5" w:rsidRPr="00AE4E8D" w:rsidRDefault="002E07D5" w:rsidP="000668B5">
      <w:pPr>
        <w:pStyle w:val="BHTexto"/>
        <w:rPr>
          <w:lang w:val="es-ES"/>
        </w:rPr>
      </w:pPr>
      <w:r w:rsidRPr="00AE4E8D">
        <w:rPr>
          <w:lang w:val="es-ES"/>
        </w:rPr>
        <w:t>La exigencia de efectivo mínimo se aplicará sobre el promedio mensual de los saldos diarios de las obligaciones comprendidas, registrados al cierre de cada día durante cada mes calendario. Los promedios se obtendrán dividiendo la suma de los saldos diarios por la cantidad total de días de cada mes.</w:t>
      </w:r>
    </w:p>
    <w:p w14:paraId="0CE86DC8" w14:textId="77777777" w:rsidR="002E07D5" w:rsidRPr="00AE4E8D" w:rsidRDefault="002E07D5" w:rsidP="000668B5">
      <w:pPr>
        <w:pStyle w:val="BHTexto"/>
        <w:rPr>
          <w:lang w:val="es-ES"/>
        </w:rPr>
      </w:pPr>
      <w:r w:rsidRPr="00AE4E8D">
        <w:rPr>
          <w:lang w:val="es-ES"/>
        </w:rPr>
        <w:t xml:space="preserve">En ningún día del mes la suma de los saldos de los conceptos admitidos como integración, registrados al cierre de cada día, podrá ser inferior al 50% de la exigencia de efectivo mínimo total, sin incluir la exigencia por incremento de depósitos, determinada para el mes inmediato anterior, recalculada en función de las exigencias y conceptos vigentes en el mes al que corresponden los encajes. Dicha </w:t>
      </w:r>
      <w:r w:rsidRPr="00AE4E8D">
        <w:rPr>
          <w:lang w:val="es-ES"/>
        </w:rPr>
        <w:lastRenderedPageBreak/>
        <w:t>exigencia diaria será del 70% cuando en el período de cómputo anterior se haya registrado una deficiencia de integración.</w:t>
      </w:r>
    </w:p>
    <w:p w14:paraId="4BC83B8A" w14:textId="77777777" w:rsidR="002E07D5" w:rsidRPr="00AE4E8D" w:rsidRDefault="002E07D5" w:rsidP="000668B5">
      <w:pPr>
        <w:pStyle w:val="BHTexto"/>
        <w:rPr>
          <w:lang w:val="es-ES"/>
        </w:rPr>
      </w:pPr>
      <w:r w:rsidRPr="00AE4E8D">
        <w:rPr>
          <w:lang w:val="es-ES"/>
        </w:rPr>
        <w:t>Las deficiencias de integración del efectivo mínimo en pesos y de la integración mínima diaria en pesos estarán sujetas a un cargo equivalente a dos veces la Tasa Badlar Bancos Privados para depósitos en pesos, informada para el último día hábil del pertinente período.</w:t>
      </w:r>
    </w:p>
    <w:p w14:paraId="5BA10B93" w14:textId="77777777" w:rsidR="002E07D5" w:rsidRPr="00AE4E8D" w:rsidRDefault="002E07D5" w:rsidP="000668B5">
      <w:pPr>
        <w:pStyle w:val="BHTexto"/>
        <w:rPr>
          <w:lang w:val="es-ES"/>
        </w:rPr>
      </w:pPr>
      <w:r w:rsidRPr="00AE4E8D">
        <w:rPr>
          <w:lang w:val="es-ES"/>
        </w:rPr>
        <w:t>Las deficiencias de integración del efectivo mínimo en moneda extranjera y de la integración mínima diaria quedan sujetas a un cargo equivalente a dos veces la Tasa Badlar Bancos Privados</w:t>
      </w:r>
      <w:r w:rsidR="00F80D63" w:rsidRPr="00AE4E8D">
        <w:rPr>
          <w:lang w:val="es-ES"/>
        </w:rPr>
        <w:t xml:space="preserve"> </w:t>
      </w:r>
      <w:r w:rsidRPr="00AE4E8D">
        <w:rPr>
          <w:lang w:val="es-ES"/>
        </w:rPr>
        <w:t>en dólares estadounidenses o dos veces la tasa LIBOR a 30 días de plazo por operaciones en esa moneda, informadas para el último día hábil del pertinente período o la última disponible, de ambas la mayor.</w:t>
      </w:r>
    </w:p>
    <w:p w14:paraId="4C45FC90" w14:textId="77777777" w:rsidR="002E07D5" w:rsidRPr="00AE4E8D" w:rsidRDefault="002E07D5" w:rsidP="000668B5">
      <w:pPr>
        <w:pStyle w:val="BHTexto"/>
        <w:rPr>
          <w:lang w:val="es-ES"/>
        </w:rPr>
      </w:pPr>
      <w:r w:rsidRPr="00AE4E8D">
        <w:rPr>
          <w:lang w:val="es-ES"/>
        </w:rPr>
        <w:t xml:space="preserve">Los cargos podrán ser reducidos en función de: (i) el otorgamiento de financiaciones en el marco del Programa de Fomento al Consumo y la Producción denominado “AHORA 12”, creado por Resolución Conjunta Nº 671 del entonces Ministerio de </w:t>
      </w:r>
      <w:r w:rsidR="00F80D63" w:rsidRPr="00AE4E8D">
        <w:rPr>
          <w:lang w:val="es-ES"/>
        </w:rPr>
        <w:t>Economía</w:t>
      </w:r>
      <w:r w:rsidRPr="00AE4E8D">
        <w:rPr>
          <w:lang w:val="es-ES"/>
        </w:rPr>
        <w:t xml:space="preserve"> y Finanzas Publicas y Nº 267 del Ministerio de Industria del 11 de septiembre de 2014, y (ii) las acreditaciones efectuadas por la Administración Nacional de la Seguridad Social (ANSES) para el pago de prestaciones de la seguridad social. La exigencia de efectivo mínimo podrá incrementarse con motivo de un defecto en las financiaciones acordadas a clientes distintos de MiPyMEs. Las exigencias de efectivo mínimo en moneda extranjera podrán reducirse en el caso de un relanzamiento de las suscripciones de Lebac (títulos del </w:t>
      </w:r>
      <w:r w:rsidR="002C3DEF" w:rsidRPr="00AE4E8D">
        <w:rPr>
          <w:lang w:val="es-ES"/>
        </w:rPr>
        <w:t>BCRA</w:t>
      </w:r>
      <w:r w:rsidRPr="00AE4E8D">
        <w:rPr>
          <w:lang w:val="es-ES"/>
        </w:rPr>
        <w:t>).</w:t>
      </w:r>
    </w:p>
    <w:p w14:paraId="33F70B50" w14:textId="77777777" w:rsidR="002E07D5" w:rsidRPr="00AE4E8D" w:rsidRDefault="002E07D5" w:rsidP="002E07D5">
      <w:pPr>
        <w:tabs>
          <w:tab w:val="left" w:pos="851"/>
        </w:tabs>
        <w:autoSpaceDE w:val="0"/>
        <w:autoSpaceDN w:val="0"/>
        <w:adjustRightInd w:val="0"/>
        <w:spacing w:after="240"/>
        <w:jc w:val="both"/>
        <w:rPr>
          <w:rFonts w:ascii="Times New Roman" w:hAnsi="Times New Roman"/>
          <w:b/>
          <w:i/>
          <w:lang w:val="es-ES"/>
        </w:rPr>
      </w:pPr>
      <w:r w:rsidRPr="00AE4E8D">
        <w:rPr>
          <w:rFonts w:ascii="Times New Roman" w:hAnsi="Times New Roman"/>
          <w:b/>
          <w:i/>
          <w:lang w:val="es-ES"/>
        </w:rPr>
        <w:t xml:space="preserve">Políticas de liquidez interna de las entidades financieras </w:t>
      </w:r>
    </w:p>
    <w:p w14:paraId="2779BE3A" w14:textId="77777777" w:rsidR="002E07D5" w:rsidRPr="00AE4E8D" w:rsidRDefault="002E07D5" w:rsidP="000668B5">
      <w:pPr>
        <w:pStyle w:val="BHTexto"/>
        <w:rPr>
          <w:lang w:val="es-ES"/>
        </w:rPr>
      </w:pPr>
      <w:r w:rsidRPr="00AE4E8D">
        <w:rPr>
          <w:lang w:val="es-ES"/>
        </w:rPr>
        <w:t>De acuerdo con la Comunicación “A” 5693</w:t>
      </w:r>
      <w:r w:rsidR="00577B28" w:rsidRPr="00AE4E8D">
        <w:rPr>
          <w:lang w:val="es-ES"/>
        </w:rPr>
        <w:t xml:space="preserve"> modificada por las Comunicaciones “A” 6702 y 6330</w:t>
      </w:r>
      <w:r w:rsidRPr="00AE4E8D">
        <w:rPr>
          <w:lang w:val="es-ES"/>
        </w:rPr>
        <w:t>, las entidades financieras deberán adoptar políticas de dirección y control que aseguren la disponibilidad de razonables niveles de liquidez para atender eficientemente, en distintos escenarios alternativos, sus depósitos y otros compromisos de naturaleza financiera. Dichas políticas deberán prever los procedimientos a emplear para evaluar con suficiente anticipación las condiciones de liquidez de la entidad en el contexto del mercado, con la consecuente revisión de las estimaciones y su adecuación a los nuevos escenarios, arbitrando las medidas conducentes a la eliminación de los desfases de liquidez o adoptando recaudos para prever la obtención de recursos a costo de mercado y suficientes para sustentar prudentemente los activos a más largo plazo. En ese orden, deberá tenerse en cuenta (i) el grado en que sus pasivos o activos se encuentran concentrados en determinados clientes, (ii) la situación general de la economía y del mercado y su probable evolución, su repercusión sobre la disponibilidad de líneas de crédito y (iii) la capacidad para obtener recursos mediante la venta de títulos públicos y/o cartera activa.</w:t>
      </w:r>
    </w:p>
    <w:p w14:paraId="04837976" w14:textId="77777777" w:rsidR="002E07D5" w:rsidRPr="00AE4E8D" w:rsidRDefault="002E07D5" w:rsidP="000668B5">
      <w:pPr>
        <w:pStyle w:val="BHTexto"/>
        <w:rPr>
          <w:lang w:val="es-ES"/>
        </w:rPr>
      </w:pPr>
      <w:r w:rsidRPr="00AE4E8D">
        <w:rPr>
          <w:lang w:val="es-ES"/>
        </w:rPr>
        <w:t>La estructura orgánica de la entidad deberá contemplar la unidad -o persona humana- específica encargada de gestionar la liquidez y los niveles de responsabilidad de quienes tendrán a su cargo la gestión del ratio de cobertura de liquidez (LCR), que requerirá un seguimiento diario. Necesariamente, corresponderá la participación y coordinación de la máxima autoridad gerencial de la entidad (por ejemplo: gerente general).</w:t>
      </w:r>
    </w:p>
    <w:p w14:paraId="42D754CC" w14:textId="77777777" w:rsidR="002E07D5" w:rsidRPr="00AE4E8D" w:rsidRDefault="002E07D5" w:rsidP="000668B5">
      <w:pPr>
        <w:pStyle w:val="BHTexto"/>
        <w:rPr>
          <w:lang w:val="es-ES"/>
        </w:rPr>
      </w:pPr>
      <w:r w:rsidRPr="00AE4E8D">
        <w:rPr>
          <w:lang w:val="es-ES"/>
        </w:rPr>
        <w:t>Además deberá designarse a un director o consejero al cual se informará al menos semanalmente, o con más frecuencia si las circunstancias así lo exigen, especialmente cuando cambios en las condiciones de liquidez obliguen a definir nuevos cursos de acción para resguardar a la entidad. En los casos de sucursales de entidades del exterior, se deberá informar a su máxima autoridad en el país.</w:t>
      </w:r>
    </w:p>
    <w:p w14:paraId="59DCE109" w14:textId="77777777" w:rsidR="002E07D5" w:rsidRPr="00AE4E8D" w:rsidRDefault="002E07D5" w:rsidP="000668B5">
      <w:pPr>
        <w:pStyle w:val="BHTexto"/>
        <w:rPr>
          <w:lang w:val="es-ES"/>
        </w:rPr>
      </w:pPr>
      <w:r w:rsidRPr="00AE4E8D">
        <w:rPr>
          <w:lang w:val="es-ES"/>
        </w:rPr>
        <w:t>Los funcionarios y directivos designados serán los responsables del manejo de la política de liquidez que, además del seguimiento del LCR, comprende la adopción de los recaudos para el cumplimiento de la integración del efectivo mínimo.</w:t>
      </w:r>
    </w:p>
    <w:p w14:paraId="09B208B0" w14:textId="77777777" w:rsidR="002E07D5" w:rsidRPr="00AE4E8D" w:rsidRDefault="002E07D5" w:rsidP="000668B5">
      <w:pPr>
        <w:pStyle w:val="BHTexto"/>
        <w:rPr>
          <w:lang w:val="es-ES"/>
        </w:rPr>
      </w:pPr>
      <w:r w:rsidRPr="00AE4E8D">
        <w:rPr>
          <w:lang w:val="es-ES"/>
        </w:rPr>
        <w:t>Deberá informarse a la Superintendencia de Entidades Financieras y Cambiarias la nómina de tales funcionarios y directivos, así como los cambios posteriores dentro de los 10 días corridos de producidos.</w:t>
      </w:r>
    </w:p>
    <w:p w14:paraId="0E04096E" w14:textId="77777777" w:rsidR="002E07D5" w:rsidRPr="00AE4E8D" w:rsidRDefault="002E07D5" w:rsidP="000668B5">
      <w:pPr>
        <w:pStyle w:val="BH4Cursiva"/>
        <w:rPr>
          <w:lang w:val="es-ES"/>
        </w:rPr>
      </w:pPr>
      <w:r w:rsidRPr="00AE4E8D">
        <w:rPr>
          <w:lang w:val="es-ES"/>
        </w:rPr>
        <w:t xml:space="preserve">Regulación del riesgo de crédito </w:t>
      </w:r>
    </w:p>
    <w:p w14:paraId="4BEA6AFF" w14:textId="77777777" w:rsidR="002E07D5" w:rsidRPr="00AE4E8D" w:rsidRDefault="002E07D5" w:rsidP="000668B5">
      <w:pPr>
        <w:pStyle w:val="BHTexto"/>
        <w:rPr>
          <w:lang w:val="es-ES"/>
        </w:rPr>
      </w:pPr>
      <w:r w:rsidRPr="00AE4E8D">
        <w:rPr>
          <w:lang w:val="es-ES"/>
        </w:rPr>
        <w:t>La normativa sobre riesgo de crédito establece normas para reducir dicho riesgo sin erosionar significativamente la rentabilidad promedio. Existen tres tipos de ratios que limitan la exposición de la entidad prestamista, a saber: los límites a la concentración del riesgo, los límites a las operaciones con clientes en función del capital de la entidad y los límites crediticios en función del patrimonio neto del cliente.</w:t>
      </w:r>
    </w:p>
    <w:p w14:paraId="7B178EA7" w14:textId="77777777" w:rsidR="002E07D5" w:rsidRPr="00AE4E8D" w:rsidRDefault="002E07D5" w:rsidP="000668B5">
      <w:pPr>
        <w:pStyle w:val="BHTexto"/>
        <w:rPr>
          <w:lang w:val="es-ES"/>
        </w:rPr>
      </w:pPr>
      <w:bookmarkStart w:id="667" w:name="_Toc430186258"/>
      <w:r w:rsidRPr="00AE4E8D">
        <w:rPr>
          <w:i/>
          <w:lang w:val="es-ES"/>
        </w:rPr>
        <w:t xml:space="preserve">Concentración del </w:t>
      </w:r>
      <w:bookmarkEnd w:id="667"/>
      <w:r w:rsidRPr="00AE4E8D">
        <w:rPr>
          <w:i/>
          <w:lang w:val="es-ES"/>
        </w:rPr>
        <w:t>riesgo</w:t>
      </w:r>
      <w:r w:rsidRPr="00AE4E8D">
        <w:rPr>
          <w:lang w:val="es-ES"/>
        </w:rPr>
        <w:t>: la normativa incluye el concepto de concentración del riesgo, definido como la suma de las financiaciones que individualmente superen el 10% de la RPC de la entidad. La concentración del riesgo no puede ser en ningún momento mayor a:</w:t>
      </w:r>
    </w:p>
    <w:p w14:paraId="51C88A96" w14:textId="77777777" w:rsidR="002E07D5" w:rsidRPr="00AE4E8D" w:rsidRDefault="002E07D5" w:rsidP="000668B5">
      <w:pPr>
        <w:pStyle w:val="BHTexto"/>
        <w:numPr>
          <w:ilvl w:val="0"/>
          <w:numId w:val="115"/>
        </w:numPr>
        <w:rPr>
          <w:lang w:val="es-ES"/>
        </w:rPr>
      </w:pPr>
      <w:r w:rsidRPr="00AE4E8D">
        <w:rPr>
          <w:lang w:val="es-ES"/>
        </w:rPr>
        <w:lastRenderedPageBreak/>
        <w:t>tres veces la RPC de la entidad para el mes anterior, sin incluir las financiaciones a entidades financieras locales;</w:t>
      </w:r>
    </w:p>
    <w:p w14:paraId="15798851" w14:textId="77777777" w:rsidR="002E07D5" w:rsidRPr="00AE4E8D" w:rsidRDefault="002E07D5" w:rsidP="000668B5">
      <w:pPr>
        <w:pStyle w:val="BHTexto"/>
        <w:numPr>
          <w:ilvl w:val="0"/>
          <w:numId w:val="115"/>
        </w:numPr>
        <w:rPr>
          <w:lang w:val="es-ES"/>
        </w:rPr>
      </w:pPr>
      <w:r w:rsidRPr="00AE4E8D">
        <w:rPr>
          <w:lang w:val="es-ES"/>
        </w:rPr>
        <w:t>cinco veces la RPC de la entidad para el mes anterior, computando todas las financiaciones; y/o</w:t>
      </w:r>
    </w:p>
    <w:p w14:paraId="726F4D83" w14:textId="77777777" w:rsidR="002E07D5" w:rsidRPr="00AE4E8D" w:rsidRDefault="002E07D5" w:rsidP="000668B5">
      <w:pPr>
        <w:pStyle w:val="BHTexto"/>
        <w:numPr>
          <w:ilvl w:val="0"/>
          <w:numId w:val="115"/>
        </w:numPr>
        <w:rPr>
          <w:lang w:val="es-ES"/>
        </w:rPr>
      </w:pPr>
      <w:r w:rsidRPr="00AE4E8D">
        <w:rPr>
          <w:lang w:val="es-ES"/>
        </w:rPr>
        <w:t>diez veces la RPC de la entidad para el mes anterior, para bancos comerciales de segundo grado, cuando se computen transacciones con otras entidades financieras.</w:t>
      </w:r>
    </w:p>
    <w:p w14:paraId="32FD7C5F" w14:textId="77777777" w:rsidR="002E07D5" w:rsidRPr="00AE4E8D" w:rsidRDefault="002E07D5" w:rsidP="000668B5">
      <w:pPr>
        <w:pStyle w:val="BHTexto"/>
        <w:rPr>
          <w:lang w:val="es-ES"/>
        </w:rPr>
      </w:pPr>
      <w:r w:rsidRPr="00AE4E8D">
        <w:rPr>
          <w:lang w:val="es-ES"/>
        </w:rPr>
        <w:t>Los límites máximos de tres y cinco veces arriba indicados se incrementarán a 4 y 6 veces la responsabilidad patrimonial computable de la entidad para el mes anterior, respectivamente, siempre que los aumentos se afecten al otorgamiento de asistencia financiera a fideicomisos o fondos fiduciarios pertenecientes al sector público no financiero.</w:t>
      </w:r>
    </w:p>
    <w:p w14:paraId="41992400" w14:textId="77777777" w:rsidR="002E07D5" w:rsidRPr="00AE4E8D" w:rsidRDefault="002E07D5" w:rsidP="000668B5">
      <w:pPr>
        <w:pStyle w:val="BHTexto"/>
        <w:rPr>
          <w:lang w:val="es-ES"/>
        </w:rPr>
      </w:pPr>
      <w:r w:rsidRPr="00AE4E8D">
        <w:rPr>
          <w:lang w:val="es-ES"/>
        </w:rPr>
        <w:t>Las financiaciones que superen el 2,5% de la RPC de la entidad financiera prestamista, excepto las operaciones interfinancieras, deben contar con la opinión de las más altas autoridades de la entidad y la aprobación del directorio o autoridad equivalente.</w:t>
      </w:r>
    </w:p>
    <w:p w14:paraId="2B06E586" w14:textId="77777777" w:rsidR="002E07D5" w:rsidRPr="00AE4E8D" w:rsidRDefault="002E07D5" w:rsidP="000668B5">
      <w:pPr>
        <w:pStyle w:val="BHTexto"/>
        <w:rPr>
          <w:lang w:val="es-ES"/>
        </w:rPr>
      </w:pPr>
      <w:r w:rsidRPr="00AE4E8D">
        <w:rPr>
          <w:i/>
          <w:lang w:val="es-ES"/>
        </w:rPr>
        <w:t>Diversificación del riesgo</w:t>
      </w:r>
      <w:r w:rsidRPr="00AE4E8D">
        <w:rPr>
          <w:lang w:val="es-ES"/>
        </w:rPr>
        <w:t>: Las entidades financieras deberán procurar que su cartera crediticia, en las distintas modalidades de financiación utilizadas, esté diversificada entre el mayor número posible de personas o empresas y entre las diferentes actividades económicas, de manera de evitar una concentración del riesgo, por operaciones con un conjunto reducido de personas o empresas o que se refieran a un determinado sector, que pueda comprometer significativamente el patrimonio de las entidades financieras.</w:t>
      </w:r>
    </w:p>
    <w:p w14:paraId="42A01122" w14:textId="77777777" w:rsidR="002E07D5" w:rsidRPr="00AE4E8D" w:rsidRDefault="002E07D5" w:rsidP="000668B5">
      <w:pPr>
        <w:pStyle w:val="BHTexto"/>
        <w:rPr>
          <w:lang w:val="es-ES"/>
        </w:rPr>
      </w:pPr>
      <w:r w:rsidRPr="00AE4E8D">
        <w:rPr>
          <w:i/>
          <w:lang w:val="es-ES"/>
        </w:rPr>
        <w:t>Graduación del riesgo</w:t>
      </w:r>
      <w:r w:rsidRPr="00AE4E8D">
        <w:rPr>
          <w:lang w:val="es-ES"/>
        </w:rPr>
        <w:t>: En el caso de límites a la financiación basados en el patrimonio neto del cliente, como regla general, las financiaciones totales no pueden superar el 100% de la responsabilidad patrimonial computable de los clientes. Este límite básico se amplía hasta un 300% cuando el apoyo adicional no supera el 2,5% de la responsabilidad patrimonial computable de la entidad financiera al último día hábil del segundo mes anterior a la fecha de la financiación y cuenta con la aprobación del directorio o autoridad equivalente de la entidad pertinente.</w:t>
      </w:r>
    </w:p>
    <w:p w14:paraId="11BE1BD2" w14:textId="77777777" w:rsidR="002E07D5" w:rsidRPr="00AE4E8D" w:rsidRDefault="002E07D5" w:rsidP="002E07D5">
      <w:pPr>
        <w:tabs>
          <w:tab w:val="left" w:pos="851"/>
        </w:tabs>
        <w:autoSpaceDE w:val="0"/>
        <w:autoSpaceDN w:val="0"/>
        <w:adjustRightInd w:val="0"/>
        <w:spacing w:after="240"/>
        <w:jc w:val="both"/>
        <w:rPr>
          <w:rFonts w:ascii="Times New Roman" w:hAnsi="Times New Roman"/>
          <w:b/>
          <w:i/>
          <w:lang w:val="es-ES"/>
        </w:rPr>
      </w:pPr>
      <w:r w:rsidRPr="00AE4E8D">
        <w:rPr>
          <w:rFonts w:ascii="Times New Roman" w:hAnsi="Times New Roman"/>
          <w:b/>
          <w:i/>
          <w:lang w:val="es-ES"/>
        </w:rPr>
        <w:t>Márgenes crediticios</w:t>
      </w:r>
    </w:p>
    <w:p w14:paraId="453E124B" w14:textId="77777777" w:rsidR="002E07D5" w:rsidRPr="00AE4E8D" w:rsidRDefault="002E07D5" w:rsidP="000668B5">
      <w:pPr>
        <w:pStyle w:val="BHTexto"/>
        <w:rPr>
          <w:lang w:val="es-ES"/>
        </w:rPr>
      </w:pPr>
      <w:r w:rsidRPr="00AE4E8D">
        <w:rPr>
          <w:lang w:val="es-ES"/>
        </w:rPr>
        <w:t>Los límites máximos individuales aplicables a clientes no vinculados se calculan en relación con la responsabilidad patrimonial computable de la entidad financiera.</w:t>
      </w:r>
    </w:p>
    <w:p w14:paraId="79509A43" w14:textId="77777777" w:rsidR="002E07D5" w:rsidRPr="00AE4E8D" w:rsidRDefault="002E07D5" w:rsidP="000668B5">
      <w:pPr>
        <w:pStyle w:val="BHTexto"/>
        <w:rPr>
          <w:lang w:val="es-ES"/>
        </w:rPr>
      </w:pPr>
      <w:r w:rsidRPr="00AE4E8D">
        <w:rPr>
          <w:lang w:val="es-ES"/>
        </w:rPr>
        <w:t>Los límites máximos de asistencia financiera aplicables al sector público no financiero son los siguientes:</w:t>
      </w:r>
    </w:p>
    <w:tbl>
      <w:tblPr>
        <w:tblW w:w="5000" w:type="pct"/>
        <w:jc w:val="center"/>
        <w:shd w:val="clear" w:color="auto" w:fill="FFFFFF"/>
        <w:tblCellMar>
          <w:left w:w="0" w:type="dxa"/>
          <w:right w:w="0" w:type="dxa"/>
        </w:tblCellMar>
        <w:tblLook w:val="04A0" w:firstRow="1" w:lastRow="0" w:firstColumn="1" w:lastColumn="0" w:noHBand="0" w:noVBand="1"/>
      </w:tblPr>
      <w:tblGrid>
        <w:gridCol w:w="5242"/>
        <w:gridCol w:w="3263"/>
      </w:tblGrid>
      <w:tr w:rsidR="00AF780B" w:rsidRPr="00AE4E8D" w14:paraId="539DEE73" w14:textId="77777777" w:rsidTr="000668B5">
        <w:trPr>
          <w:jc w:val="center"/>
        </w:trPr>
        <w:tc>
          <w:tcPr>
            <w:tcW w:w="3082" w:type="pct"/>
            <w:shd w:val="clear" w:color="auto" w:fill="FFFFFF"/>
            <w:noWrap/>
            <w:vAlign w:val="bottom"/>
            <w:hideMark/>
          </w:tcPr>
          <w:p w14:paraId="243B066F" w14:textId="77777777" w:rsidR="002E07D5" w:rsidRPr="00AE4E8D" w:rsidRDefault="002E07D5" w:rsidP="00B52753">
            <w:pPr>
              <w:keepNext/>
              <w:autoSpaceDE w:val="0"/>
              <w:autoSpaceDN w:val="0"/>
              <w:adjustRightInd w:val="0"/>
              <w:jc w:val="both"/>
              <w:rPr>
                <w:rFonts w:ascii="Times New Roman" w:hAnsi="Times New Roman"/>
                <w:sz w:val="16"/>
                <w:lang w:val="es-ES"/>
              </w:rPr>
            </w:pPr>
            <w:r w:rsidRPr="00AE4E8D">
              <w:rPr>
                <w:rFonts w:ascii="Times New Roman" w:hAnsi="Times New Roman"/>
                <w:b/>
                <w:sz w:val="16"/>
                <w:lang w:val="es-ES"/>
              </w:rPr>
              <w:t xml:space="preserve">Financiaciones </w:t>
            </w:r>
            <w:r w:rsidRPr="00AE4E8D">
              <w:rPr>
                <w:rFonts w:ascii="Times New Roman" w:hAnsi="Times New Roman"/>
                <w:b/>
                <w:bCs/>
                <w:sz w:val="16"/>
                <w:szCs w:val="16"/>
                <w:lang w:val="es-ES" w:eastAsia="es-AR"/>
              </w:rPr>
              <w:t>al sector público no financiero</w:t>
            </w:r>
          </w:p>
        </w:tc>
        <w:tc>
          <w:tcPr>
            <w:tcW w:w="1918" w:type="pct"/>
            <w:shd w:val="clear" w:color="auto" w:fill="FFFFFF"/>
            <w:vAlign w:val="bottom"/>
            <w:hideMark/>
          </w:tcPr>
          <w:p w14:paraId="0772A12D" w14:textId="77777777" w:rsidR="002E07D5" w:rsidRPr="00AE4E8D" w:rsidRDefault="002E07D5" w:rsidP="00B52753">
            <w:pPr>
              <w:keepNext/>
              <w:pBdr>
                <w:bottom w:val="single" w:sz="4" w:space="1" w:color="000000"/>
              </w:pBdr>
              <w:autoSpaceDE w:val="0"/>
              <w:autoSpaceDN w:val="0"/>
              <w:adjustRightInd w:val="0"/>
              <w:ind w:left="133" w:right="93"/>
              <w:jc w:val="center"/>
              <w:rPr>
                <w:rFonts w:ascii="Times New Roman" w:hAnsi="Times New Roman"/>
                <w:sz w:val="16"/>
                <w:lang w:val="es-ES"/>
              </w:rPr>
            </w:pPr>
            <w:r w:rsidRPr="00AE4E8D">
              <w:rPr>
                <w:rFonts w:ascii="Times New Roman" w:hAnsi="Times New Roman"/>
                <w:b/>
                <w:sz w:val="16"/>
                <w:lang w:val="es-ES"/>
              </w:rPr>
              <w:t>Límite máximo</w:t>
            </w:r>
            <w:r w:rsidRPr="00AE4E8D">
              <w:rPr>
                <w:rFonts w:ascii="Times New Roman" w:hAnsi="Times New Roman"/>
                <w:b/>
                <w:bCs/>
                <w:sz w:val="16"/>
                <w:szCs w:val="16"/>
                <w:lang w:val="es-ES" w:eastAsia="es-AR"/>
              </w:rPr>
              <w:t xml:space="preserve"> (*)</w:t>
            </w:r>
          </w:p>
        </w:tc>
      </w:tr>
      <w:tr w:rsidR="00AF780B" w:rsidRPr="00AE4E8D" w14:paraId="06432CB6" w14:textId="77777777" w:rsidTr="000668B5">
        <w:trPr>
          <w:jc w:val="center"/>
        </w:trPr>
        <w:tc>
          <w:tcPr>
            <w:tcW w:w="3082" w:type="pct"/>
            <w:shd w:val="clear" w:color="auto" w:fill="auto"/>
            <w:hideMark/>
          </w:tcPr>
          <w:p w14:paraId="6CD186F8" w14:textId="77777777" w:rsidR="002E07D5" w:rsidRPr="00AE4E8D" w:rsidRDefault="002E07D5" w:rsidP="00B52753">
            <w:pPr>
              <w:keepNext/>
              <w:autoSpaceDE w:val="0"/>
              <w:autoSpaceDN w:val="0"/>
              <w:adjustRightInd w:val="0"/>
              <w:spacing w:before="100" w:beforeAutospacing="1" w:after="100" w:afterAutospacing="1"/>
              <w:ind w:left="240" w:hanging="240"/>
              <w:jc w:val="both"/>
              <w:rPr>
                <w:rFonts w:ascii="Times New Roman" w:hAnsi="Times New Roman"/>
                <w:sz w:val="16"/>
                <w:lang w:val="es-ES"/>
              </w:rPr>
            </w:pPr>
            <w:r w:rsidRPr="00AE4E8D">
              <w:rPr>
                <w:rFonts w:ascii="Times New Roman" w:hAnsi="Times New Roman"/>
                <w:sz w:val="16"/>
                <w:szCs w:val="16"/>
                <w:lang w:val="es-ES" w:eastAsia="es-AR"/>
              </w:rPr>
              <w:t xml:space="preserve">i) </w:t>
            </w:r>
            <w:r w:rsidRPr="00AE4E8D">
              <w:rPr>
                <w:rFonts w:ascii="Times New Roman" w:hAnsi="Times New Roman"/>
                <w:sz w:val="16"/>
                <w:lang w:val="es-ES"/>
              </w:rPr>
              <w:t>Al sector público nacional</w:t>
            </w:r>
          </w:p>
        </w:tc>
        <w:tc>
          <w:tcPr>
            <w:tcW w:w="1918" w:type="pct"/>
            <w:shd w:val="clear" w:color="auto" w:fill="auto"/>
            <w:vAlign w:val="bottom"/>
            <w:hideMark/>
          </w:tcPr>
          <w:p w14:paraId="3D33C617" w14:textId="77777777" w:rsidR="002E07D5" w:rsidRPr="00AE4E8D" w:rsidRDefault="002E07D5" w:rsidP="00B52753">
            <w:pPr>
              <w:keepNext/>
              <w:autoSpaceDE w:val="0"/>
              <w:autoSpaceDN w:val="0"/>
              <w:adjustRightInd w:val="0"/>
              <w:jc w:val="center"/>
              <w:rPr>
                <w:rFonts w:ascii="Times New Roman" w:hAnsi="Times New Roman"/>
                <w:sz w:val="16"/>
                <w:lang w:val="es-ES"/>
              </w:rPr>
            </w:pPr>
            <w:r w:rsidRPr="00AE4E8D">
              <w:rPr>
                <w:rFonts w:ascii="Times New Roman" w:hAnsi="Times New Roman"/>
                <w:sz w:val="16"/>
                <w:lang w:val="es-ES"/>
              </w:rPr>
              <w:t>50%</w:t>
            </w:r>
          </w:p>
        </w:tc>
      </w:tr>
      <w:tr w:rsidR="00AF780B" w:rsidRPr="00AE4E8D" w14:paraId="78820A13" w14:textId="77777777" w:rsidTr="000668B5">
        <w:trPr>
          <w:jc w:val="center"/>
        </w:trPr>
        <w:tc>
          <w:tcPr>
            <w:tcW w:w="3082" w:type="pct"/>
            <w:shd w:val="clear" w:color="auto" w:fill="FFFFFF"/>
            <w:hideMark/>
          </w:tcPr>
          <w:p w14:paraId="5A16F91D" w14:textId="77777777" w:rsidR="002E07D5" w:rsidRPr="00AE4E8D" w:rsidRDefault="002E07D5" w:rsidP="00B52753">
            <w:pPr>
              <w:keepNext/>
              <w:autoSpaceDE w:val="0"/>
              <w:autoSpaceDN w:val="0"/>
              <w:adjustRightInd w:val="0"/>
              <w:spacing w:before="100" w:beforeAutospacing="1" w:after="100" w:afterAutospacing="1"/>
              <w:ind w:left="240" w:hanging="240"/>
              <w:jc w:val="both"/>
              <w:rPr>
                <w:rFonts w:ascii="Times New Roman" w:hAnsi="Times New Roman"/>
                <w:sz w:val="16"/>
                <w:lang w:val="es-ES"/>
              </w:rPr>
            </w:pPr>
            <w:r w:rsidRPr="00AE4E8D">
              <w:rPr>
                <w:rFonts w:ascii="Times New Roman" w:hAnsi="Times New Roman"/>
                <w:sz w:val="16"/>
                <w:szCs w:val="16"/>
                <w:lang w:val="es-ES" w:eastAsia="es-AR"/>
              </w:rPr>
              <w:t xml:space="preserve">ii) </w:t>
            </w:r>
            <w:r w:rsidRPr="00AE4E8D">
              <w:rPr>
                <w:rFonts w:ascii="Times New Roman" w:hAnsi="Times New Roman"/>
                <w:sz w:val="16"/>
                <w:lang w:val="es-ES"/>
              </w:rPr>
              <w:t>A cada jurisdicción provincial o la Ciudad Autónoma de Buenos Aires</w:t>
            </w:r>
          </w:p>
        </w:tc>
        <w:tc>
          <w:tcPr>
            <w:tcW w:w="1918" w:type="pct"/>
            <w:shd w:val="clear" w:color="auto" w:fill="FFFFFF"/>
            <w:vAlign w:val="bottom"/>
            <w:hideMark/>
          </w:tcPr>
          <w:p w14:paraId="3E5FB3D0" w14:textId="77777777" w:rsidR="002E07D5" w:rsidRPr="00AE4E8D" w:rsidRDefault="002E07D5" w:rsidP="00B52753">
            <w:pPr>
              <w:keepNext/>
              <w:autoSpaceDE w:val="0"/>
              <w:autoSpaceDN w:val="0"/>
              <w:adjustRightInd w:val="0"/>
              <w:jc w:val="center"/>
              <w:rPr>
                <w:rFonts w:ascii="Times New Roman" w:hAnsi="Times New Roman"/>
                <w:sz w:val="16"/>
                <w:lang w:val="es-ES"/>
              </w:rPr>
            </w:pPr>
            <w:r w:rsidRPr="00AE4E8D">
              <w:rPr>
                <w:rFonts w:ascii="Times New Roman" w:hAnsi="Times New Roman"/>
                <w:sz w:val="16"/>
                <w:lang w:val="es-ES"/>
              </w:rPr>
              <w:t>10%</w:t>
            </w:r>
          </w:p>
        </w:tc>
      </w:tr>
      <w:tr w:rsidR="00AF780B" w:rsidRPr="00AE4E8D" w14:paraId="71121B32" w14:textId="77777777" w:rsidTr="000668B5">
        <w:trPr>
          <w:jc w:val="center"/>
        </w:trPr>
        <w:tc>
          <w:tcPr>
            <w:tcW w:w="3082" w:type="pct"/>
            <w:shd w:val="clear" w:color="auto" w:fill="auto"/>
            <w:hideMark/>
          </w:tcPr>
          <w:p w14:paraId="2FC9811A" w14:textId="77777777" w:rsidR="002E07D5" w:rsidRPr="00AE4E8D" w:rsidRDefault="002E07D5" w:rsidP="00B52753">
            <w:pPr>
              <w:keepNext/>
              <w:autoSpaceDE w:val="0"/>
              <w:autoSpaceDN w:val="0"/>
              <w:adjustRightInd w:val="0"/>
              <w:spacing w:before="100" w:beforeAutospacing="1" w:after="100" w:afterAutospacing="1"/>
              <w:ind w:left="240" w:hanging="240"/>
              <w:jc w:val="both"/>
              <w:rPr>
                <w:rFonts w:ascii="Times New Roman" w:hAnsi="Times New Roman"/>
                <w:sz w:val="16"/>
                <w:lang w:val="es-ES"/>
              </w:rPr>
            </w:pPr>
            <w:r w:rsidRPr="00AE4E8D">
              <w:rPr>
                <w:rFonts w:ascii="Times New Roman" w:hAnsi="Times New Roman"/>
                <w:sz w:val="16"/>
                <w:szCs w:val="16"/>
                <w:lang w:val="es-ES" w:eastAsia="es-AR"/>
              </w:rPr>
              <w:t xml:space="preserve">iii) </w:t>
            </w:r>
            <w:r w:rsidRPr="00AE4E8D">
              <w:rPr>
                <w:rFonts w:ascii="Times New Roman" w:hAnsi="Times New Roman"/>
                <w:sz w:val="16"/>
                <w:lang w:val="es-ES"/>
              </w:rPr>
              <w:t>A cada jurisdicción municipal</w:t>
            </w:r>
          </w:p>
        </w:tc>
        <w:tc>
          <w:tcPr>
            <w:tcW w:w="1918" w:type="pct"/>
            <w:shd w:val="clear" w:color="auto" w:fill="auto"/>
            <w:vAlign w:val="bottom"/>
            <w:hideMark/>
          </w:tcPr>
          <w:p w14:paraId="606A8235" w14:textId="77777777" w:rsidR="002E07D5" w:rsidRPr="00AE4E8D" w:rsidRDefault="002E07D5" w:rsidP="00B52753">
            <w:pPr>
              <w:keepNext/>
              <w:autoSpaceDE w:val="0"/>
              <w:autoSpaceDN w:val="0"/>
              <w:adjustRightInd w:val="0"/>
              <w:jc w:val="center"/>
              <w:rPr>
                <w:rFonts w:ascii="Times New Roman" w:hAnsi="Times New Roman"/>
                <w:sz w:val="16"/>
                <w:lang w:val="es-ES"/>
              </w:rPr>
            </w:pPr>
            <w:r w:rsidRPr="00AE4E8D">
              <w:rPr>
                <w:rFonts w:ascii="Times New Roman" w:hAnsi="Times New Roman"/>
                <w:sz w:val="16"/>
                <w:lang w:val="es-ES"/>
              </w:rPr>
              <w:t>3%</w:t>
            </w:r>
          </w:p>
        </w:tc>
      </w:tr>
      <w:tr w:rsidR="002E07D5" w:rsidRPr="00AE4E8D" w14:paraId="3F3D60C2" w14:textId="77777777" w:rsidTr="000668B5">
        <w:trPr>
          <w:jc w:val="center"/>
        </w:trPr>
        <w:tc>
          <w:tcPr>
            <w:tcW w:w="5000" w:type="pct"/>
            <w:gridSpan w:val="2"/>
            <w:shd w:val="clear" w:color="auto" w:fill="auto"/>
          </w:tcPr>
          <w:p w14:paraId="5EAA353D" w14:textId="77777777" w:rsidR="002E07D5" w:rsidRPr="00AE4E8D" w:rsidRDefault="002E07D5" w:rsidP="0014790B">
            <w:pPr>
              <w:keepNext/>
              <w:autoSpaceDE w:val="0"/>
              <w:autoSpaceDN w:val="0"/>
              <w:adjustRightInd w:val="0"/>
              <w:jc w:val="both"/>
              <w:rPr>
                <w:rFonts w:ascii="Times New Roman" w:hAnsi="Times New Roman"/>
                <w:sz w:val="16"/>
                <w:szCs w:val="16"/>
                <w:lang w:val="es-ES" w:eastAsia="es-AR"/>
              </w:rPr>
            </w:pPr>
          </w:p>
          <w:p w14:paraId="42C94A8A" w14:textId="77777777" w:rsidR="002E07D5" w:rsidRPr="00AE4E8D" w:rsidRDefault="002E07D5" w:rsidP="0014790B">
            <w:pPr>
              <w:keepNext/>
              <w:autoSpaceDE w:val="0"/>
              <w:autoSpaceDN w:val="0"/>
              <w:adjustRightInd w:val="0"/>
              <w:jc w:val="both"/>
              <w:rPr>
                <w:rFonts w:ascii="Times New Roman" w:hAnsi="Times New Roman"/>
                <w:sz w:val="16"/>
                <w:szCs w:val="16"/>
                <w:lang w:val="es-ES" w:eastAsia="es-AR"/>
              </w:rPr>
            </w:pPr>
            <w:r w:rsidRPr="00AE4E8D">
              <w:rPr>
                <w:rFonts w:ascii="Times New Roman" w:hAnsi="Times New Roman"/>
                <w:sz w:val="16"/>
                <w:szCs w:val="16"/>
                <w:lang w:val="es-ES" w:eastAsia="es-AR"/>
              </w:rPr>
              <w:t xml:space="preserve">(*) </w:t>
            </w:r>
            <w:r w:rsidRPr="00AE4E8D">
              <w:rPr>
                <w:rFonts w:ascii="Times New Roman" w:hAnsi="Times New Roman"/>
                <w:i/>
                <w:iCs/>
                <w:sz w:val="16"/>
                <w:szCs w:val="16"/>
                <w:lang w:val="es-ES" w:eastAsia="es-AR"/>
              </w:rPr>
              <w:t xml:space="preserve">Los límites básicos establecidos se incrementarán en 15 puntos porcentuales, siempre que los aumentos se afecten al otorgamiento de asistencia financiera a fideicomisos o </w:t>
            </w:r>
            <w:proofErr w:type="gramStart"/>
            <w:r w:rsidRPr="00AE4E8D">
              <w:rPr>
                <w:rFonts w:ascii="Times New Roman" w:hAnsi="Times New Roman"/>
                <w:i/>
                <w:iCs/>
                <w:sz w:val="16"/>
                <w:szCs w:val="16"/>
                <w:lang w:val="es-ES" w:eastAsia="es-AR"/>
              </w:rPr>
              <w:t>fondos fiduciarios, sujeto a ciertas condiciones y conforme</w:t>
            </w:r>
            <w:proofErr w:type="gramEnd"/>
            <w:r w:rsidRPr="00AE4E8D">
              <w:rPr>
                <w:rFonts w:ascii="Times New Roman" w:hAnsi="Times New Roman"/>
                <w:i/>
                <w:iCs/>
                <w:sz w:val="16"/>
                <w:szCs w:val="16"/>
                <w:lang w:val="es-ES" w:eastAsia="es-AR"/>
              </w:rPr>
              <w:t xml:space="preserve"> a las normas sobre financiamiento al sector público o la incorporación de instrumentos de deuda emitidos por ellos. </w:t>
            </w:r>
          </w:p>
        </w:tc>
      </w:tr>
    </w:tbl>
    <w:p w14:paraId="30B5B70A" w14:textId="77777777" w:rsidR="002E07D5" w:rsidRPr="00AE4E8D" w:rsidRDefault="002E07D5" w:rsidP="000668B5">
      <w:pPr>
        <w:pStyle w:val="BHTexto"/>
        <w:rPr>
          <w:lang w:val="es-ES"/>
        </w:rPr>
      </w:pPr>
      <w:r w:rsidRPr="00AE4E8D">
        <w:rPr>
          <w:lang w:val="es-ES"/>
        </w:rPr>
        <w:t>Globalmente, la financiación al sector público no puede exceder del 75% de la RPC de la entidad. A julio de 2007, la asistencia financiera mensual al sector púbico no podía exceder del 35% de los activos de una entidad financiera.</w:t>
      </w:r>
    </w:p>
    <w:p w14:paraId="463BB5D3" w14:textId="77777777" w:rsidR="002E07D5" w:rsidRPr="00AE4E8D" w:rsidRDefault="002E07D5" w:rsidP="000668B5">
      <w:pPr>
        <w:pStyle w:val="BHTexto"/>
        <w:rPr>
          <w:lang w:val="es-ES"/>
        </w:rPr>
      </w:pPr>
      <w:r w:rsidRPr="00AE4E8D">
        <w:rPr>
          <w:lang w:val="es-ES"/>
        </w:rPr>
        <w:t>Los límites máximos de asistencia financiera aplicables al sector privado no financiero del país y al sector no financiero del exterior son los siguientes:</w:t>
      </w:r>
    </w:p>
    <w:tbl>
      <w:tblPr>
        <w:tblW w:w="0" w:type="auto"/>
        <w:jc w:val="center"/>
        <w:tblLayout w:type="fixed"/>
        <w:tblLook w:val="04A0" w:firstRow="1" w:lastRow="0" w:firstColumn="1" w:lastColumn="0" w:noHBand="0" w:noVBand="1"/>
      </w:tblPr>
      <w:tblGrid>
        <w:gridCol w:w="6930"/>
        <w:gridCol w:w="1710"/>
      </w:tblGrid>
      <w:tr w:rsidR="002E07D5" w:rsidRPr="00AE4E8D" w14:paraId="7A25C707" w14:textId="77777777" w:rsidTr="000400C8">
        <w:trPr>
          <w:jc w:val="center"/>
        </w:trPr>
        <w:tc>
          <w:tcPr>
            <w:tcW w:w="6930" w:type="dxa"/>
            <w:shd w:val="clear" w:color="auto" w:fill="auto"/>
          </w:tcPr>
          <w:p w14:paraId="7BBB4C85" w14:textId="77777777" w:rsidR="002E07D5" w:rsidRPr="00AE4E8D" w:rsidRDefault="002E07D5" w:rsidP="00B52753">
            <w:pPr>
              <w:autoSpaceDE w:val="0"/>
              <w:autoSpaceDN w:val="0"/>
              <w:adjustRightInd w:val="0"/>
              <w:rPr>
                <w:rFonts w:ascii="Times New Roman" w:hAnsi="Times New Roman"/>
                <w:b/>
                <w:sz w:val="16"/>
                <w:lang w:val="es-ES"/>
              </w:rPr>
            </w:pPr>
            <w:r w:rsidRPr="00AE4E8D">
              <w:rPr>
                <w:rFonts w:ascii="Times New Roman" w:hAnsi="Times New Roman"/>
                <w:b/>
                <w:sz w:val="16"/>
                <w:lang w:val="es-ES"/>
              </w:rPr>
              <w:t xml:space="preserve">Financiaciones </w:t>
            </w:r>
            <w:r w:rsidRPr="00AE4E8D">
              <w:rPr>
                <w:rFonts w:ascii="Times New Roman" w:hAnsi="Times New Roman"/>
                <w:b/>
                <w:sz w:val="16"/>
                <w:szCs w:val="16"/>
                <w:lang w:val="es-ES"/>
              </w:rPr>
              <w:t>al sector privado no financiero del país y al sector no financiero del exterior</w:t>
            </w:r>
          </w:p>
        </w:tc>
        <w:tc>
          <w:tcPr>
            <w:tcW w:w="1710" w:type="dxa"/>
            <w:shd w:val="clear" w:color="auto" w:fill="auto"/>
            <w:vAlign w:val="bottom"/>
          </w:tcPr>
          <w:p w14:paraId="5B738798" w14:textId="77777777" w:rsidR="002E07D5" w:rsidRPr="00AE4E8D" w:rsidRDefault="002E07D5" w:rsidP="00B52753">
            <w:pPr>
              <w:pBdr>
                <w:bottom w:val="single" w:sz="4" w:space="1" w:color="000000"/>
              </w:pBdr>
              <w:autoSpaceDE w:val="0"/>
              <w:autoSpaceDN w:val="0"/>
              <w:adjustRightInd w:val="0"/>
              <w:jc w:val="center"/>
              <w:rPr>
                <w:rFonts w:ascii="Times New Roman" w:hAnsi="Times New Roman"/>
                <w:b/>
                <w:sz w:val="16"/>
                <w:lang w:val="es-ES"/>
              </w:rPr>
            </w:pPr>
            <w:r w:rsidRPr="00AE4E8D">
              <w:rPr>
                <w:rFonts w:ascii="Times New Roman" w:hAnsi="Times New Roman"/>
                <w:b/>
                <w:sz w:val="16"/>
                <w:lang w:val="es-ES"/>
              </w:rPr>
              <w:t>Límite máximo</w:t>
            </w:r>
          </w:p>
        </w:tc>
      </w:tr>
      <w:tr w:rsidR="002E07D5" w:rsidRPr="00AE4E8D" w14:paraId="4F08D8A1" w14:textId="77777777" w:rsidTr="000400C8">
        <w:trPr>
          <w:jc w:val="center"/>
        </w:trPr>
        <w:tc>
          <w:tcPr>
            <w:tcW w:w="6930" w:type="dxa"/>
            <w:shd w:val="clear" w:color="auto" w:fill="auto"/>
          </w:tcPr>
          <w:p w14:paraId="16515E91" w14:textId="77777777" w:rsidR="002E07D5" w:rsidRPr="00AE4E8D" w:rsidRDefault="002E07D5" w:rsidP="000668B5">
            <w:pPr>
              <w:numPr>
                <w:ilvl w:val="0"/>
                <w:numId w:val="69"/>
              </w:numPr>
              <w:autoSpaceDE w:val="0"/>
              <w:autoSpaceDN w:val="0"/>
              <w:adjustRightInd w:val="0"/>
              <w:ind w:left="360" w:hanging="360"/>
              <w:rPr>
                <w:rFonts w:ascii="Times New Roman" w:hAnsi="Times New Roman"/>
                <w:sz w:val="16"/>
                <w:szCs w:val="16"/>
                <w:lang w:val="es-ES"/>
              </w:rPr>
            </w:pPr>
            <w:r w:rsidRPr="00AE4E8D">
              <w:rPr>
                <w:rFonts w:ascii="Times New Roman" w:hAnsi="Times New Roman"/>
                <w:sz w:val="16"/>
                <w:szCs w:val="16"/>
                <w:lang w:val="es-ES"/>
              </w:rPr>
              <w:t>A cada prestatario</w:t>
            </w:r>
          </w:p>
        </w:tc>
        <w:tc>
          <w:tcPr>
            <w:tcW w:w="1710" w:type="dxa"/>
            <w:shd w:val="clear" w:color="auto" w:fill="auto"/>
          </w:tcPr>
          <w:p w14:paraId="4AA5A070" w14:textId="77777777" w:rsidR="002E07D5" w:rsidRPr="00AE4E8D" w:rsidRDefault="002E07D5" w:rsidP="0014790B">
            <w:pPr>
              <w:autoSpaceDE w:val="0"/>
              <w:autoSpaceDN w:val="0"/>
              <w:adjustRightInd w:val="0"/>
              <w:rPr>
                <w:rFonts w:ascii="Times New Roman" w:hAnsi="Times New Roman"/>
                <w:sz w:val="16"/>
                <w:szCs w:val="16"/>
                <w:lang w:val="es-ES"/>
              </w:rPr>
            </w:pPr>
          </w:p>
        </w:tc>
      </w:tr>
      <w:tr w:rsidR="002E07D5" w:rsidRPr="00AE4E8D" w14:paraId="2F87EC0E" w14:textId="77777777" w:rsidTr="000400C8">
        <w:trPr>
          <w:jc w:val="center"/>
        </w:trPr>
        <w:tc>
          <w:tcPr>
            <w:tcW w:w="6930" w:type="dxa"/>
            <w:shd w:val="clear" w:color="auto" w:fill="auto"/>
          </w:tcPr>
          <w:p w14:paraId="216B8091" w14:textId="77777777" w:rsidR="002E07D5" w:rsidRPr="00AE4E8D" w:rsidRDefault="002E07D5" w:rsidP="0014790B">
            <w:pPr>
              <w:autoSpaceDE w:val="0"/>
              <w:autoSpaceDN w:val="0"/>
              <w:adjustRightInd w:val="0"/>
              <w:ind w:left="360" w:hanging="360"/>
              <w:rPr>
                <w:rFonts w:ascii="Times New Roman" w:hAnsi="Times New Roman"/>
                <w:sz w:val="16"/>
                <w:szCs w:val="16"/>
                <w:lang w:val="es-ES"/>
              </w:rPr>
            </w:pPr>
            <w:r w:rsidRPr="00AE4E8D">
              <w:rPr>
                <w:rFonts w:ascii="Times New Roman" w:hAnsi="Times New Roman"/>
                <w:sz w:val="16"/>
                <w:szCs w:val="16"/>
                <w:lang w:val="es-ES"/>
              </w:rPr>
              <w:tab/>
              <w:t>a) Financiaciones sin garantías computables</w:t>
            </w:r>
          </w:p>
        </w:tc>
        <w:tc>
          <w:tcPr>
            <w:tcW w:w="1710" w:type="dxa"/>
            <w:shd w:val="clear" w:color="auto" w:fill="auto"/>
          </w:tcPr>
          <w:p w14:paraId="342FF99E"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15%</w:t>
            </w:r>
          </w:p>
        </w:tc>
      </w:tr>
      <w:tr w:rsidR="002E07D5" w:rsidRPr="00AE4E8D" w14:paraId="7AC824FE" w14:textId="77777777" w:rsidTr="000400C8">
        <w:trPr>
          <w:jc w:val="center"/>
        </w:trPr>
        <w:tc>
          <w:tcPr>
            <w:tcW w:w="6930" w:type="dxa"/>
            <w:shd w:val="clear" w:color="auto" w:fill="auto"/>
          </w:tcPr>
          <w:p w14:paraId="0C779DC5" w14:textId="77777777" w:rsidR="002E07D5" w:rsidRPr="00AE4E8D" w:rsidRDefault="002E07D5" w:rsidP="00B52753">
            <w:pPr>
              <w:autoSpaceDE w:val="0"/>
              <w:autoSpaceDN w:val="0"/>
              <w:adjustRightInd w:val="0"/>
              <w:ind w:left="360" w:hanging="360"/>
              <w:rPr>
                <w:rFonts w:ascii="Times New Roman" w:hAnsi="Times New Roman"/>
                <w:sz w:val="16"/>
                <w:lang w:val="es-ES"/>
              </w:rPr>
            </w:pPr>
            <w:r w:rsidRPr="00AE4E8D">
              <w:rPr>
                <w:rFonts w:ascii="Times New Roman" w:hAnsi="Times New Roman"/>
                <w:sz w:val="16"/>
                <w:szCs w:val="16"/>
                <w:lang w:val="es-ES"/>
              </w:rPr>
              <w:tab/>
            </w:r>
            <w:r w:rsidRPr="00AE4E8D">
              <w:rPr>
                <w:rFonts w:ascii="Times New Roman" w:hAnsi="Times New Roman"/>
                <w:sz w:val="16"/>
                <w:lang w:val="es-ES"/>
              </w:rPr>
              <w:t>b) Total de financiaciones (cuenten o no con garantías computables) y/</w:t>
            </w:r>
            <w:r w:rsidRPr="00AE4E8D">
              <w:rPr>
                <w:rFonts w:ascii="Times New Roman" w:hAnsi="Times New Roman"/>
                <w:sz w:val="16"/>
                <w:szCs w:val="16"/>
                <w:lang w:val="es-ES"/>
              </w:rPr>
              <w:t xml:space="preserve"> u obligaciones garantizadas inclusive financiaciones garantizadas por terceros</w:t>
            </w:r>
          </w:p>
        </w:tc>
        <w:tc>
          <w:tcPr>
            <w:tcW w:w="1710" w:type="dxa"/>
            <w:shd w:val="clear" w:color="auto" w:fill="auto"/>
          </w:tcPr>
          <w:p w14:paraId="63EC4962" w14:textId="77777777" w:rsidR="002E07D5" w:rsidRPr="00AE4E8D" w:rsidRDefault="002E07D5" w:rsidP="00B52753">
            <w:pPr>
              <w:autoSpaceDE w:val="0"/>
              <w:autoSpaceDN w:val="0"/>
              <w:adjustRightInd w:val="0"/>
              <w:jc w:val="center"/>
              <w:rPr>
                <w:rFonts w:ascii="Times New Roman" w:hAnsi="Times New Roman"/>
                <w:sz w:val="16"/>
                <w:lang w:val="es-ES"/>
              </w:rPr>
            </w:pPr>
            <w:r w:rsidRPr="00AE4E8D">
              <w:rPr>
                <w:rFonts w:ascii="Times New Roman" w:hAnsi="Times New Roman"/>
                <w:sz w:val="16"/>
                <w:lang w:val="es-ES"/>
              </w:rPr>
              <w:t>25%</w:t>
            </w:r>
          </w:p>
        </w:tc>
      </w:tr>
      <w:tr w:rsidR="002E07D5" w:rsidRPr="00AE4E8D" w14:paraId="1B3DF8CA" w14:textId="77777777" w:rsidTr="000400C8">
        <w:trPr>
          <w:jc w:val="center"/>
        </w:trPr>
        <w:tc>
          <w:tcPr>
            <w:tcW w:w="6930" w:type="dxa"/>
            <w:shd w:val="clear" w:color="auto" w:fill="auto"/>
          </w:tcPr>
          <w:p w14:paraId="6B400FCB" w14:textId="77777777" w:rsidR="002E07D5" w:rsidRPr="00AE4E8D" w:rsidRDefault="002E07D5" w:rsidP="000668B5">
            <w:pPr>
              <w:numPr>
                <w:ilvl w:val="0"/>
                <w:numId w:val="69"/>
              </w:numPr>
              <w:autoSpaceDE w:val="0"/>
              <w:autoSpaceDN w:val="0"/>
              <w:adjustRightInd w:val="0"/>
              <w:ind w:left="360" w:hanging="360"/>
              <w:rPr>
                <w:rFonts w:ascii="Times New Roman" w:hAnsi="Times New Roman"/>
                <w:sz w:val="16"/>
                <w:lang w:val="es-ES"/>
              </w:rPr>
            </w:pPr>
            <w:r w:rsidRPr="00AE4E8D">
              <w:rPr>
                <w:rFonts w:ascii="Times New Roman" w:hAnsi="Times New Roman"/>
                <w:sz w:val="16"/>
                <w:lang w:val="es-ES"/>
              </w:rPr>
              <w:t>A cada sociedad de garantía recíproca (</w:t>
            </w:r>
            <w:r w:rsidRPr="00AE4E8D">
              <w:rPr>
                <w:rFonts w:ascii="Times New Roman" w:hAnsi="Times New Roman"/>
                <w:sz w:val="16"/>
                <w:szCs w:val="16"/>
                <w:lang w:val="es-ES"/>
              </w:rPr>
              <w:t>RGC) (</w:t>
            </w:r>
            <w:r w:rsidR="00F80D63" w:rsidRPr="00AE4E8D">
              <w:rPr>
                <w:rFonts w:ascii="Times New Roman" w:hAnsi="Times New Roman"/>
                <w:sz w:val="16"/>
                <w:szCs w:val="16"/>
                <w:lang w:val="es-ES"/>
              </w:rPr>
              <w:t>aun</w:t>
            </w:r>
            <w:r w:rsidRPr="00AE4E8D">
              <w:rPr>
                <w:rFonts w:ascii="Times New Roman" w:hAnsi="Times New Roman"/>
                <w:sz w:val="16"/>
                <w:lang w:val="es-ES"/>
              </w:rPr>
              <w:t xml:space="preserve"> cuando sea vinculada) o fondo de garantía de carácter público</w:t>
            </w:r>
          </w:p>
        </w:tc>
        <w:tc>
          <w:tcPr>
            <w:tcW w:w="1710" w:type="dxa"/>
            <w:shd w:val="clear" w:color="auto" w:fill="auto"/>
          </w:tcPr>
          <w:p w14:paraId="13AAD1C4" w14:textId="77777777" w:rsidR="002E07D5" w:rsidRPr="00AE4E8D" w:rsidRDefault="002E07D5" w:rsidP="00B52753">
            <w:pPr>
              <w:autoSpaceDE w:val="0"/>
              <w:autoSpaceDN w:val="0"/>
              <w:adjustRightInd w:val="0"/>
              <w:jc w:val="center"/>
              <w:rPr>
                <w:rFonts w:ascii="Times New Roman" w:hAnsi="Times New Roman"/>
                <w:sz w:val="16"/>
                <w:lang w:val="es-ES"/>
              </w:rPr>
            </w:pPr>
            <w:r w:rsidRPr="00AE4E8D">
              <w:rPr>
                <w:rFonts w:ascii="Times New Roman" w:hAnsi="Times New Roman"/>
                <w:sz w:val="16"/>
                <w:lang w:val="es-ES"/>
              </w:rPr>
              <w:t>25%</w:t>
            </w:r>
          </w:p>
        </w:tc>
      </w:tr>
      <w:tr w:rsidR="002E07D5" w:rsidRPr="00AE4E8D" w14:paraId="03205759" w14:textId="77777777" w:rsidTr="000400C8">
        <w:trPr>
          <w:jc w:val="center"/>
        </w:trPr>
        <w:tc>
          <w:tcPr>
            <w:tcW w:w="6930" w:type="dxa"/>
            <w:shd w:val="clear" w:color="auto" w:fill="auto"/>
          </w:tcPr>
          <w:p w14:paraId="337E13C8" w14:textId="77777777" w:rsidR="002E07D5" w:rsidRPr="00AE4E8D" w:rsidRDefault="002E07D5" w:rsidP="000668B5">
            <w:pPr>
              <w:numPr>
                <w:ilvl w:val="0"/>
                <w:numId w:val="69"/>
              </w:numPr>
              <w:autoSpaceDE w:val="0"/>
              <w:autoSpaceDN w:val="0"/>
              <w:adjustRightInd w:val="0"/>
              <w:ind w:left="360" w:hanging="360"/>
              <w:rPr>
                <w:rFonts w:ascii="Times New Roman" w:hAnsi="Times New Roman"/>
                <w:sz w:val="16"/>
                <w:lang w:val="es-ES"/>
              </w:rPr>
            </w:pPr>
            <w:r w:rsidRPr="00AE4E8D">
              <w:rPr>
                <w:rFonts w:ascii="Times New Roman" w:hAnsi="Times New Roman"/>
                <w:sz w:val="16"/>
                <w:lang w:val="es-ES"/>
              </w:rPr>
              <w:t xml:space="preserve">A cada compañía de seguros de crédito </w:t>
            </w:r>
            <w:r w:rsidRPr="00AE4E8D">
              <w:rPr>
                <w:rFonts w:ascii="Times New Roman" w:hAnsi="Times New Roman"/>
                <w:sz w:val="16"/>
                <w:szCs w:val="16"/>
                <w:lang w:val="es-ES"/>
              </w:rPr>
              <w:t>de</w:t>
            </w:r>
            <w:r w:rsidRPr="00AE4E8D">
              <w:rPr>
                <w:rFonts w:ascii="Times New Roman" w:hAnsi="Times New Roman"/>
                <w:sz w:val="16"/>
                <w:lang w:val="es-ES"/>
              </w:rPr>
              <w:t xml:space="preserve"> exportación</w:t>
            </w:r>
          </w:p>
        </w:tc>
        <w:tc>
          <w:tcPr>
            <w:tcW w:w="1710" w:type="dxa"/>
            <w:shd w:val="clear" w:color="auto" w:fill="auto"/>
          </w:tcPr>
          <w:p w14:paraId="06C9B48E" w14:textId="77777777" w:rsidR="002E07D5" w:rsidRPr="00AE4E8D" w:rsidRDefault="002E07D5" w:rsidP="00B52753">
            <w:pPr>
              <w:autoSpaceDE w:val="0"/>
              <w:autoSpaceDN w:val="0"/>
              <w:adjustRightInd w:val="0"/>
              <w:jc w:val="center"/>
              <w:rPr>
                <w:rFonts w:ascii="Times New Roman" w:hAnsi="Times New Roman"/>
                <w:sz w:val="16"/>
                <w:lang w:val="es-ES"/>
              </w:rPr>
            </w:pPr>
            <w:r w:rsidRPr="00AE4E8D">
              <w:rPr>
                <w:rFonts w:ascii="Times New Roman" w:hAnsi="Times New Roman"/>
                <w:sz w:val="16"/>
                <w:lang w:val="es-ES"/>
              </w:rPr>
              <w:t>15%</w:t>
            </w:r>
          </w:p>
        </w:tc>
      </w:tr>
    </w:tbl>
    <w:p w14:paraId="0AC3A7CF" w14:textId="77777777" w:rsidR="002E07D5" w:rsidRPr="00AE4E8D" w:rsidRDefault="002E07D5" w:rsidP="000668B5">
      <w:pPr>
        <w:pStyle w:val="BHTexto"/>
        <w:rPr>
          <w:lang w:val="es-ES"/>
        </w:rPr>
      </w:pPr>
      <w:r w:rsidRPr="00AE4E8D">
        <w:rPr>
          <w:lang w:val="es-ES"/>
        </w:rPr>
        <w:t>Los límites máximos de asistencia financiera aplicables al sector financiero del país son los siguientes:</w:t>
      </w:r>
    </w:p>
    <w:tbl>
      <w:tblPr>
        <w:tblW w:w="8516" w:type="dxa"/>
        <w:tblInd w:w="55" w:type="dxa"/>
        <w:tblLayout w:type="fixed"/>
        <w:tblCellMar>
          <w:left w:w="70" w:type="dxa"/>
          <w:right w:w="70" w:type="dxa"/>
        </w:tblCellMar>
        <w:tblLook w:val="04A0" w:firstRow="1" w:lastRow="0" w:firstColumn="1" w:lastColumn="0" w:noHBand="0" w:noVBand="1"/>
      </w:tblPr>
      <w:tblGrid>
        <w:gridCol w:w="2033"/>
        <w:gridCol w:w="1993"/>
        <w:gridCol w:w="249"/>
        <w:gridCol w:w="1996"/>
        <w:gridCol w:w="249"/>
        <w:gridCol w:w="1996"/>
      </w:tblGrid>
      <w:tr w:rsidR="00CB5B44" w:rsidRPr="00AE4E8D" w14:paraId="448756AC" w14:textId="77777777" w:rsidTr="000400C8">
        <w:trPr>
          <w:trHeight w:val="221"/>
        </w:trPr>
        <w:tc>
          <w:tcPr>
            <w:tcW w:w="4026" w:type="dxa"/>
            <w:gridSpan w:val="2"/>
            <w:tcBorders>
              <w:top w:val="nil"/>
              <w:left w:val="nil"/>
              <w:bottom w:val="nil"/>
              <w:right w:val="nil"/>
            </w:tcBorders>
            <w:shd w:val="clear" w:color="auto" w:fill="auto"/>
            <w:vAlign w:val="center"/>
            <w:hideMark/>
          </w:tcPr>
          <w:p w14:paraId="0F0965B4" w14:textId="77777777" w:rsidR="00E177DD" w:rsidRPr="00AE4E8D" w:rsidRDefault="00E177DD" w:rsidP="00BD536D">
            <w:pPr>
              <w:rPr>
                <w:rFonts w:ascii="Times New Roman" w:hAnsi="Times New Roman"/>
                <w:b/>
                <w:color w:val="000000"/>
                <w:sz w:val="16"/>
                <w:lang w:val="es-ES"/>
              </w:rPr>
            </w:pPr>
          </w:p>
        </w:tc>
        <w:tc>
          <w:tcPr>
            <w:tcW w:w="249" w:type="dxa"/>
            <w:tcBorders>
              <w:top w:val="nil"/>
              <w:left w:val="nil"/>
              <w:bottom w:val="nil"/>
              <w:right w:val="nil"/>
            </w:tcBorders>
            <w:shd w:val="clear" w:color="auto" w:fill="auto"/>
            <w:vAlign w:val="center"/>
            <w:hideMark/>
          </w:tcPr>
          <w:p w14:paraId="768F6905" w14:textId="77777777" w:rsidR="00E177DD" w:rsidRPr="00AE4E8D" w:rsidRDefault="00E177DD" w:rsidP="00E177DD">
            <w:pPr>
              <w:rPr>
                <w:rFonts w:ascii="Times New Roman" w:hAnsi="Times New Roman"/>
                <w:b/>
                <w:bCs/>
                <w:color w:val="000000"/>
                <w:sz w:val="16"/>
                <w:szCs w:val="16"/>
                <w:lang w:val="es-ES" w:eastAsia="es-AR"/>
              </w:rPr>
            </w:pPr>
          </w:p>
        </w:tc>
        <w:tc>
          <w:tcPr>
            <w:tcW w:w="4241" w:type="dxa"/>
            <w:gridSpan w:val="3"/>
            <w:tcBorders>
              <w:top w:val="nil"/>
              <w:left w:val="nil"/>
              <w:bottom w:val="single" w:sz="4" w:space="0" w:color="auto"/>
              <w:right w:val="nil"/>
            </w:tcBorders>
            <w:shd w:val="clear" w:color="auto" w:fill="auto"/>
            <w:vAlign w:val="center"/>
            <w:hideMark/>
          </w:tcPr>
          <w:p w14:paraId="76BCD013" w14:textId="77777777" w:rsidR="00E177DD" w:rsidRPr="00AE4E8D" w:rsidRDefault="00E177DD" w:rsidP="00BD536D">
            <w:pPr>
              <w:jc w:val="center"/>
              <w:rPr>
                <w:rFonts w:ascii="Times New Roman" w:hAnsi="Times New Roman"/>
                <w:b/>
                <w:color w:val="000000"/>
                <w:sz w:val="16"/>
                <w:lang w:val="es-ES"/>
              </w:rPr>
            </w:pPr>
            <w:r w:rsidRPr="00AE4E8D">
              <w:rPr>
                <w:rFonts w:ascii="Times New Roman" w:hAnsi="Times New Roman"/>
                <w:b/>
                <w:color w:val="000000"/>
                <w:sz w:val="16"/>
                <w:lang w:val="es-ES"/>
              </w:rPr>
              <w:t>Tomador</w:t>
            </w:r>
          </w:p>
        </w:tc>
      </w:tr>
      <w:tr w:rsidR="003B5193" w:rsidRPr="00AE4E8D" w14:paraId="7D0296A2" w14:textId="77777777" w:rsidTr="006238FE">
        <w:trPr>
          <w:trHeight w:val="618"/>
        </w:trPr>
        <w:tc>
          <w:tcPr>
            <w:tcW w:w="2033" w:type="dxa"/>
            <w:tcBorders>
              <w:top w:val="nil"/>
              <w:left w:val="nil"/>
              <w:bottom w:val="nil"/>
              <w:right w:val="nil"/>
            </w:tcBorders>
            <w:shd w:val="clear" w:color="auto" w:fill="auto"/>
            <w:vAlign w:val="center"/>
            <w:hideMark/>
          </w:tcPr>
          <w:p w14:paraId="1714E25F" w14:textId="77777777" w:rsidR="00E177DD" w:rsidRPr="00AE4E8D" w:rsidRDefault="00E177DD" w:rsidP="00BD536D">
            <w:pPr>
              <w:rPr>
                <w:rFonts w:ascii="Times New Roman" w:hAnsi="Times New Roman"/>
                <w:b/>
                <w:color w:val="000000"/>
                <w:sz w:val="16"/>
                <w:lang w:val="es-ES"/>
              </w:rPr>
            </w:pPr>
            <w:r w:rsidRPr="00AE4E8D">
              <w:rPr>
                <w:rFonts w:ascii="Times New Roman" w:hAnsi="Times New Roman"/>
                <w:b/>
                <w:color w:val="000000"/>
                <w:sz w:val="16"/>
                <w:lang w:val="es-ES"/>
              </w:rPr>
              <w:t>Financiaciones al sector financiero del país</w:t>
            </w:r>
          </w:p>
        </w:tc>
        <w:tc>
          <w:tcPr>
            <w:tcW w:w="1993" w:type="dxa"/>
            <w:tcBorders>
              <w:top w:val="nil"/>
              <w:left w:val="nil"/>
              <w:bottom w:val="single" w:sz="4" w:space="0" w:color="auto"/>
              <w:right w:val="nil"/>
            </w:tcBorders>
            <w:shd w:val="clear" w:color="auto" w:fill="auto"/>
            <w:vAlign w:val="center"/>
            <w:hideMark/>
          </w:tcPr>
          <w:p w14:paraId="173D20D8" w14:textId="77777777" w:rsidR="00E177DD" w:rsidRPr="00AE4E8D" w:rsidRDefault="00E177DD" w:rsidP="00BD536D">
            <w:pPr>
              <w:jc w:val="center"/>
              <w:rPr>
                <w:rFonts w:ascii="Times New Roman" w:hAnsi="Times New Roman"/>
                <w:b/>
                <w:color w:val="000000"/>
                <w:sz w:val="16"/>
                <w:lang w:val="es-ES"/>
              </w:rPr>
            </w:pPr>
            <w:r w:rsidRPr="00AE4E8D">
              <w:rPr>
                <w:rFonts w:ascii="Times New Roman" w:hAnsi="Times New Roman"/>
                <w:b/>
                <w:color w:val="000000"/>
                <w:sz w:val="16"/>
                <w:lang w:val="es-ES"/>
              </w:rPr>
              <w:t>Entidad prestamista</w:t>
            </w:r>
          </w:p>
        </w:tc>
        <w:tc>
          <w:tcPr>
            <w:tcW w:w="249" w:type="dxa"/>
            <w:tcBorders>
              <w:top w:val="nil"/>
              <w:left w:val="nil"/>
              <w:bottom w:val="nil"/>
              <w:right w:val="nil"/>
            </w:tcBorders>
            <w:shd w:val="clear" w:color="auto" w:fill="auto"/>
            <w:vAlign w:val="center"/>
            <w:hideMark/>
          </w:tcPr>
          <w:p w14:paraId="1F21B924" w14:textId="77777777" w:rsidR="00E177DD" w:rsidRPr="00AE4E8D" w:rsidRDefault="00E177DD" w:rsidP="00E177DD">
            <w:pPr>
              <w:jc w:val="center"/>
              <w:rPr>
                <w:rFonts w:ascii="Times New Roman" w:hAnsi="Times New Roman"/>
                <w:b/>
                <w:bCs/>
                <w:color w:val="000000"/>
                <w:sz w:val="16"/>
                <w:szCs w:val="16"/>
                <w:lang w:val="es-ES" w:eastAsia="es-AR"/>
              </w:rPr>
            </w:pPr>
          </w:p>
        </w:tc>
        <w:tc>
          <w:tcPr>
            <w:tcW w:w="1996" w:type="dxa"/>
            <w:tcBorders>
              <w:top w:val="nil"/>
              <w:left w:val="nil"/>
              <w:bottom w:val="single" w:sz="4" w:space="0" w:color="auto"/>
              <w:right w:val="nil"/>
            </w:tcBorders>
            <w:shd w:val="clear" w:color="auto" w:fill="auto"/>
            <w:vAlign w:val="center"/>
            <w:hideMark/>
          </w:tcPr>
          <w:p w14:paraId="6BC8562B" w14:textId="77777777" w:rsidR="00E177DD" w:rsidRPr="00AE4E8D" w:rsidRDefault="00E177DD" w:rsidP="00BD536D">
            <w:pPr>
              <w:jc w:val="center"/>
              <w:rPr>
                <w:rFonts w:ascii="Times New Roman" w:hAnsi="Times New Roman"/>
                <w:b/>
                <w:color w:val="000000"/>
                <w:sz w:val="16"/>
                <w:lang w:val="es-ES"/>
              </w:rPr>
            </w:pPr>
            <w:r w:rsidRPr="00AE4E8D">
              <w:rPr>
                <w:rFonts w:ascii="Times New Roman" w:hAnsi="Times New Roman"/>
                <w:b/>
                <w:color w:val="000000"/>
                <w:sz w:val="16"/>
                <w:lang w:val="es-ES"/>
              </w:rPr>
              <w:t>Calificación 1, 2 o 3</w:t>
            </w:r>
          </w:p>
        </w:tc>
        <w:tc>
          <w:tcPr>
            <w:tcW w:w="249" w:type="dxa"/>
            <w:tcBorders>
              <w:top w:val="nil"/>
              <w:left w:val="nil"/>
              <w:bottom w:val="nil"/>
              <w:right w:val="nil"/>
            </w:tcBorders>
            <w:shd w:val="clear" w:color="auto" w:fill="auto"/>
            <w:vAlign w:val="center"/>
            <w:hideMark/>
          </w:tcPr>
          <w:p w14:paraId="7F9EA362" w14:textId="77777777" w:rsidR="00E177DD" w:rsidRPr="00AE4E8D" w:rsidRDefault="00E177DD" w:rsidP="00E177DD">
            <w:pPr>
              <w:jc w:val="center"/>
              <w:rPr>
                <w:rFonts w:ascii="Times New Roman" w:hAnsi="Times New Roman"/>
                <w:b/>
                <w:bCs/>
                <w:color w:val="000000"/>
                <w:sz w:val="16"/>
                <w:szCs w:val="16"/>
                <w:lang w:val="es-ES" w:eastAsia="es-AR"/>
              </w:rPr>
            </w:pPr>
          </w:p>
        </w:tc>
        <w:tc>
          <w:tcPr>
            <w:tcW w:w="1996" w:type="dxa"/>
            <w:tcBorders>
              <w:top w:val="nil"/>
              <w:left w:val="nil"/>
              <w:bottom w:val="single" w:sz="4" w:space="0" w:color="auto"/>
              <w:right w:val="nil"/>
            </w:tcBorders>
            <w:shd w:val="clear" w:color="auto" w:fill="auto"/>
            <w:vAlign w:val="center"/>
            <w:hideMark/>
          </w:tcPr>
          <w:p w14:paraId="03EED8DF" w14:textId="77777777" w:rsidR="00E177DD" w:rsidRPr="00AE4E8D" w:rsidRDefault="00E177DD" w:rsidP="00BD536D">
            <w:pPr>
              <w:jc w:val="center"/>
              <w:rPr>
                <w:rFonts w:ascii="Times New Roman" w:hAnsi="Times New Roman"/>
                <w:b/>
                <w:color w:val="000000"/>
                <w:sz w:val="16"/>
                <w:lang w:val="es-ES"/>
              </w:rPr>
            </w:pPr>
            <w:r w:rsidRPr="00AE4E8D">
              <w:rPr>
                <w:rFonts w:ascii="Times New Roman" w:hAnsi="Times New Roman"/>
                <w:b/>
                <w:color w:val="000000"/>
                <w:sz w:val="16"/>
                <w:lang w:val="es-ES"/>
              </w:rPr>
              <w:t>Calificación 4 o 5</w:t>
            </w:r>
          </w:p>
        </w:tc>
      </w:tr>
      <w:tr w:rsidR="000E61D3" w:rsidRPr="00AE4E8D" w14:paraId="47CF12E9" w14:textId="77777777" w:rsidTr="000400C8">
        <w:trPr>
          <w:trHeight w:val="827"/>
        </w:trPr>
        <w:tc>
          <w:tcPr>
            <w:tcW w:w="2033" w:type="dxa"/>
            <w:vMerge w:val="restart"/>
            <w:tcBorders>
              <w:top w:val="nil"/>
              <w:left w:val="nil"/>
              <w:bottom w:val="nil"/>
              <w:right w:val="nil"/>
            </w:tcBorders>
            <w:shd w:val="clear" w:color="auto" w:fill="auto"/>
            <w:vAlign w:val="center"/>
            <w:hideMark/>
          </w:tcPr>
          <w:p w14:paraId="6759CAD2" w14:textId="77777777" w:rsidR="00E177DD" w:rsidRPr="00AE4E8D" w:rsidRDefault="00E177DD" w:rsidP="00BD536D">
            <w:pPr>
              <w:rPr>
                <w:rFonts w:ascii="Times New Roman" w:hAnsi="Times New Roman"/>
                <w:color w:val="000000"/>
                <w:sz w:val="16"/>
                <w:lang w:val="es-ES"/>
              </w:rPr>
            </w:pPr>
            <w:r w:rsidRPr="00AE4E8D">
              <w:rPr>
                <w:rFonts w:ascii="Times New Roman" w:hAnsi="Times New Roman"/>
                <w:color w:val="000000"/>
                <w:sz w:val="16"/>
                <w:lang w:val="es-ES"/>
              </w:rPr>
              <w:lastRenderedPageBreak/>
              <w:t>i)</w:t>
            </w:r>
            <w:r w:rsidR="00EB3492" w:rsidRPr="00AE4E8D">
              <w:rPr>
                <w:rFonts w:ascii="Times New Roman" w:hAnsi="Times New Roman"/>
                <w:color w:val="000000"/>
                <w:sz w:val="16"/>
                <w:szCs w:val="16"/>
                <w:lang w:val="es-ES" w:eastAsia="es-AR"/>
              </w:rPr>
              <w:t xml:space="preserve">  </w:t>
            </w:r>
            <w:r w:rsidRPr="00AE4E8D">
              <w:rPr>
                <w:rFonts w:ascii="Times New Roman" w:hAnsi="Times New Roman"/>
                <w:color w:val="000000"/>
                <w:sz w:val="16"/>
                <w:lang w:val="es-ES"/>
              </w:rPr>
              <w:t>Si la entidad prestamista no es banco comercial de segundo grado, a una entidad financiera local</w:t>
            </w:r>
          </w:p>
        </w:tc>
        <w:tc>
          <w:tcPr>
            <w:tcW w:w="1993" w:type="dxa"/>
            <w:tcBorders>
              <w:top w:val="nil"/>
              <w:left w:val="nil"/>
              <w:bottom w:val="nil"/>
              <w:right w:val="nil"/>
            </w:tcBorders>
            <w:shd w:val="clear" w:color="auto" w:fill="auto"/>
            <w:vAlign w:val="center"/>
            <w:hideMark/>
          </w:tcPr>
          <w:p w14:paraId="7AC6D1CC" w14:textId="77777777" w:rsidR="00E177DD" w:rsidRPr="00AE4E8D" w:rsidRDefault="00E177DD" w:rsidP="00BD536D">
            <w:pPr>
              <w:rPr>
                <w:rFonts w:ascii="Times New Roman" w:hAnsi="Times New Roman"/>
                <w:color w:val="000000"/>
                <w:sz w:val="16"/>
                <w:lang w:val="es-ES"/>
              </w:rPr>
            </w:pPr>
            <w:r w:rsidRPr="00AE4E8D">
              <w:rPr>
                <w:rFonts w:ascii="Times New Roman" w:hAnsi="Times New Roman"/>
                <w:color w:val="000000"/>
                <w:sz w:val="16"/>
                <w:lang w:val="es-ES"/>
              </w:rPr>
              <w:t>Calificación 1, 2 o 3</w:t>
            </w:r>
          </w:p>
        </w:tc>
        <w:tc>
          <w:tcPr>
            <w:tcW w:w="249" w:type="dxa"/>
            <w:tcBorders>
              <w:top w:val="nil"/>
              <w:left w:val="nil"/>
              <w:bottom w:val="nil"/>
              <w:right w:val="nil"/>
            </w:tcBorders>
            <w:shd w:val="clear" w:color="auto" w:fill="auto"/>
            <w:vAlign w:val="center"/>
            <w:hideMark/>
          </w:tcPr>
          <w:p w14:paraId="386B7473" w14:textId="77777777" w:rsidR="00E177DD" w:rsidRPr="00AE4E8D" w:rsidRDefault="00E177DD" w:rsidP="00E177DD">
            <w:pPr>
              <w:rPr>
                <w:rFonts w:ascii="Times New Roman" w:hAnsi="Times New Roman"/>
                <w:color w:val="000000"/>
                <w:sz w:val="16"/>
                <w:szCs w:val="16"/>
                <w:lang w:val="es-ES" w:eastAsia="es-AR"/>
              </w:rPr>
            </w:pPr>
          </w:p>
        </w:tc>
        <w:tc>
          <w:tcPr>
            <w:tcW w:w="1996" w:type="dxa"/>
            <w:tcBorders>
              <w:top w:val="nil"/>
              <w:left w:val="nil"/>
              <w:bottom w:val="nil"/>
              <w:right w:val="nil"/>
            </w:tcBorders>
            <w:shd w:val="clear" w:color="auto" w:fill="auto"/>
            <w:vAlign w:val="center"/>
            <w:hideMark/>
          </w:tcPr>
          <w:p w14:paraId="0D5F24A4" w14:textId="77777777" w:rsidR="00E177DD" w:rsidRPr="00AE4E8D" w:rsidRDefault="00E177DD" w:rsidP="00BD536D">
            <w:pPr>
              <w:jc w:val="center"/>
              <w:rPr>
                <w:rFonts w:ascii="Times New Roman" w:hAnsi="Times New Roman"/>
                <w:color w:val="000000"/>
                <w:sz w:val="16"/>
                <w:lang w:val="es-ES"/>
              </w:rPr>
            </w:pPr>
            <w:r w:rsidRPr="00AE4E8D">
              <w:rPr>
                <w:rFonts w:ascii="Times New Roman" w:hAnsi="Times New Roman"/>
                <w:color w:val="000000"/>
                <w:sz w:val="16"/>
                <w:lang w:val="es-ES"/>
              </w:rPr>
              <w:t>25%</w:t>
            </w:r>
          </w:p>
        </w:tc>
        <w:tc>
          <w:tcPr>
            <w:tcW w:w="249" w:type="dxa"/>
            <w:tcBorders>
              <w:top w:val="nil"/>
              <w:left w:val="nil"/>
              <w:bottom w:val="nil"/>
              <w:right w:val="nil"/>
            </w:tcBorders>
            <w:shd w:val="clear" w:color="auto" w:fill="auto"/>
            <w:vAlign w:val="center"/>
            <w:hideMark/>
          </w:tcPr>
          <w:p w14:paraId="160D5849" w14:textId="77777777" w:rsidR="00E177DD" w:rsidRPr="00AE4E8D" w:rsidRDefault="00E177DD" w:rsidP="00E177DD">
            <w:pPr>
              <w:jc w:val="center"/>
              <w:rPr>
                <w:rFonts w:ascii="Times New Roman" w:hAnsi="Times New Roman"/>
                <w:color w:val="000000"/>
                <w:sz w:val="16"/>
                <w:szCs w:val="16"/>
                <w:lang w:val="es-ES" w:eastAsia="es-AR"/>
              </w:rPr>
            </w:pPr>
          </w:p>
        </w:tc>
        <w:tc>
          <w:tcPr>
            <w:tcW w:w="1996" w:type="dxa"/>
            <w:tcBorders>
              <w:top w:val="nil"/>
              <w:left w:val="nil"/>
              <w:bottom w:val="nil"/>
              <w:right w:val="nil"/>
            </w:tcBorders>
            <w:shd w:val="clear" w:color="auto" w:fill="auto"/>
            <w:vAlign w:val="center"/>
            <w:hideMark/>
          </w:tcPr>
          <w:p w14:paraId="19009E8C" w14:textId="77777777" w:rsidR="00E177DD" w:rsidRPr="00AE4E8D" w:rsidRDefault="00E177DD" w:rsidP="00BD536D">
            <w:pPr>
              <w:jc w:val="center"/>
              <w:rPr>
                <w:rFonts w:ascii="Times New Roman" w:hAnsi="Times New Roman"/>
                <w:color w:val="000000"/>
                <w:sz w:val="16"/>
                <w:lang w:val="es-ES"/>
              </w:rPr>
            </w:pPr>
            <w:r w:rsidRPr="00AE4E8D">
              <w:rPr>
                <w:rFonts w:ascii="Times New Roman" w:hAnsi="Times New Roman"/>
                <w:color w:val="000000"/>
                <w:sz w:val="16"/>
                <w:lang w:val="es-ES"/>
              </w:rPr>
              <w:t>25%</w:t>
            </w:r>
          </w:p>
        </w:tc>
      </w:tr>
      <w:tr w:rsidR="000E61D3" w:rsidRPr="00AE4E8D" w14:paraId="114B3BAA" w14:textId="77777777" w:rsidTr="000400C8">
        <w:trPr>
          <w:trHeight w:val="330"/>
        </w:trPr>
        <w:tc>
          <w:tcPr>
            <w:tcW w:w="2033" w:type="dxa"/>
            <w:vMerge/>
            <w:tcBorders>
              <w:top w:val="nil"/>
              <w:left w:val="nil"/>
              <w:bottom w:val="nil"/>
              <w:right w:val="nil"/>
            </w:tcBorders>
            <w:vAlign w:val="center"/>
            <w:hideMark/>
          </w:tcPr>
          <w:p w14:paraId="6E155B5E" w14:textId="77777777" w:rsidR="00E177DD" w:rsidRPr="00AE4E8D" w:rsidRDefault="00E177DD" w:rsidP="00BD536D">
            <w:pPr>
              <w:rPr>
                <w:rFonts w:ascii="Times New Roman" w:hAnsi="Times New Roman"/>
                <w:color w:val="000000"/>
                <w:sz w:val="16"/>
                <w:lang w:val="es-ES"/>
              </w:rPr>
            </w:pPr>
          </w:p>
        </w:tc>
        <w:tc>
          <w:tcPr>
            <w:tcW w:w="1993" w:type="dxa"/>
            <w:tcBorders>
              <w:top w:val="nil"/>
              <w:left w:val="nil"/>
              <w:bottom w:val="nil"/>
              <w:right w:val="nil"/>
            </w:tcBorders>
            <w:shd w:val="clear" w:color="auto" w:fill="auto"/>
            <w:vAlign w:val="center"/>
            <w:hideMark/>
          </w:tcPr>
          <w:p w14:paraId="445F267A" w14:textId="77777777" w:rsidR="00E177DD" w:rsidRPr="00AE4E8D" w:rsidRDefault="00E177DD" w:rsidP="00BD536D">
            <w:pPr>
              <w:rPr>
                <w:rFonts w:ascii="Times New Roman" w:hAnsi="Times New Roman"/>
                <w:color w:val="000000"/>
                <w:sz w:val="16"/>
                <w:lang w:val="es-ES"/>
              </w:rPr>
            </w:pPr>
            <w:r w:rsidRPr="00AE4E8D">
              <w:rPr>
                <w:rFonts w:ascii="Times New Roman" w:hAnsi="Times New Roman"/>
                <w:color w:val="000000"/>
                <w:sz w:val="16"/>
                <w:lang w:val="es-ES"/>
              </w:rPr>
              <w:t>Calificación 4 o 5</w:t>
            </w:r>
          </w:p>
        </w:tc>
        <w:tc>
          <w:tcPr>
            <w:tcW w:w="249" w:type="dxa"/>
            <w:tcBorders>
              <w:top w:val="nil"/>
              <w:left w:val="nil"/>
              <w:bottom w:val="nil"/>
              <w:right w:val="nil"/>
            </w:tcBorders>
            <w:shd w:val="clear" w:color="auto" w:fill="auto"/>
            <w:vAlign w:val="center"/>
            <w:hideMark/>
          </w:tcPr>
          <w:p w14:paraId="1153DD95" w14:textId="77777777" w:rsidR="00E177DD" w:rsidRPr="00AE4E8D" w:rsidRDefault="00E177DD" w:rsidP="00E177DD">
            <w:pPr>
              <w:rPr>
                <w:rFonts w:ascii="Times New Roman" w:hAnsi="Times New Roman"/>
                <w:color w:val="000000"/>
                <w:sz w:val="16"/>
                <w:szCs w:val="16"/>
                <w:lang w:val="es-ES" w:eastAsia="es-AR"/>
              </w:rPr>
            </w:pPr>
          </w:p>
        </w:tc>
        <w:tc>
          <w:tcPr>
            <w:tcW w:w="1996" w:type="dxa"/>
            <w:tcBorders>
              <w:top w:val="nil"/>
              <w:left w:val="nil"/>
              <w:bottom w:val="nil"/>
              <w:right w:val="nil"/>
            </w:tcBorders>
            <w:shd w:val="clear" w:color="auto" w:fill="auto"/>
            <w:vAlign w:val="center"/>
            <w:hideMark/>
          </w:tcPr>
          <w:p w14:paraId="596846A3" w14:textId="77777777" w:rsidR="00E177DD" w:rsidRPr="00AE4E8D" w:rsidRDefault="00E177DD" w:rsidP="00BD536D">
            <w:pPr>
              <w:jc w:val="center"/>
              <w:rPr>
                <w:rFonts w:ascii="Times New Roman" w:hAnsi="Times New Roman"/>
                <w:color w:val="000000"/>
                <w:sz w:val="16"/>
                <w:lang w:val="es-ES"/>
              </w:rPr>
            </w:pPr>
            <w:r w:rsidRPr="00AE4E8D">
              <w:rPr>
                <w:rFonts w:ascii="Times New Roman" w:hAnsi="Times New Roman"/>
                <w:color w:val="000000"/>
                <w:sz w:val="16"/>
                <w:lang w:val="es-ES"/>
              </w:rPr>
              <w:t>25%</w:t>
            </w:r>
          </w:p>
        </w:tc>
        <w:tc>
          <w:tcPr>
            <w:tcW w:w="249" w:type="dxa"/>
            <w:tcBorders>
              <w:top w:val="nil"/>
              <w:left w:val="nil"/>
              <w:bottom w:val="nil"/>
              <w:right w:val="nil"/>
            </w:tcBorders>
            <w:shd w:val="clear" w:color="auto" w:fill="auto"/>
            <w:vAlign w:val="center"/>
            <w:hideMark/>
          </w:tcPr>
          <w:p w14:paraId="106ACD2F" w14:textId="77777777" w:rsidR="00E177DD" w:rsidRPr="00AE4E8D" w:rsidRDefault="00E177DD" w:rsidP="00E177DD">
            <w:pPr>
              <w:jc w:val="center"/>
              <w:rPr>
                <w:rFonts w:ascii="Times New Roman" w:hAnsi="Times New Roman"/>
                <w:color w:val="000000"/>
                <w:sz w:val="16"/>
                <w:szCs w:val="16"/>
                <w:lang w:val="es-ES" w:eastAsia="es-AR"/>
              </w:rPr>
            </w:pPr>
          </w:p>
        </w:tc>
        <w:tc>
          <w:tcPr>
            <w:tcW w:w="1996" w:type="dxa"/>
            <w:tcBorders>
              <w:top w:val="nil"/>
              <w:left w:val="nil"/>
              <w:bottom w:val="nil"/>
              <w:right w:val="nil"/>
            </w:tcBorders>
            <w:shd w:val="clear" w:color="auto" w:fill="auto"/>
            <w:vAlign w:val="center"/>
            <w:hideMark/>
          </w:tcPr>
          <w:p w14:paraId="6C4E421D" w14:textId="77777777" w:rsidR="00E177DD" w:rsidRPr="00AE4E8D" w:rsidRDefault="00E177DD" w:rsidP="00BD536D">
            <w:pPr>
              <w:jc w:val="center"/>
              <w:rPr>
                <w:rFonts w:ascii="Times New Roman" w:hAnsi="Times New Roman"/>
                <w:color w:val="000000"/>
                <w:sz w:val="16"/>
                <w:lang w:val="es-ES"/>
              </w:rPr>
            </w:pPr>
            <w:r w:rsidRPr="00AE4E8D">
              <w:rPr>
                <w:rFonts w:ascii="Times New Roman" w:hAnsi="Times New Roman"/>
                <w:color w:val="000000"/>
                <w:sz w:val="16"/>
                <w:lang w:val="es-ES"/>
              </w:rPr>
              <w:t>0%</w:t>
            </w:r>
          </w:p>
        </w:tc>
      </w:tr>
      <w:tr w:rsidR="000E61D3" w:rsidRPr="00AE4E8D" w14:paraId="535EFDBF" w14:textId="77777777" w:rsidTr="000400C8">
        <w:trPr>
          <w:trHeight w:val="496"/>
        </w:trPr>
        <w:tc>
          <w:tcPr>
            <w:tcW w:w="2033" w:type="dxa"/>
            <w:vMerge w:val="restart"/>
            <w:tcBorders>
              <w:top w:val="nil"/>
              <w:left w:val="nil"/>
              <w:bottom w:val="nil"/>
              <w:right w:val="nil"/>
            </w:tcBorders>
            <w:shd w:val="clear" w:color="auto" w:fill="auto"/>
            <w:vAlign w:val="center"/>
            <w:hideMark/>
          </w:tcPr>
          <w:p w14:paraId="0E3C963E" w14:textId="77777777" w:rsidR="00E177DD" w:rsidRPr="00AE4E8D" w:rsidRDefault="00E177DD" w:rsidP="00BD536D">
            <w:pPr>
              <w:rPr>
                <w:rFonts w:ascii="Times New Roman" w:hAnsi="Times New Roman"/>
                <w:color w:val="000000"/>
                <w:sz w:val="16"/>
                <w:lang w:val="es-ES"/>
              </w:rPr>
            </w:pPr>
            <w:r w:rsidRPr="00AE4E8D">
              <w:rPr>
                <w:rFonts w:ascii="Times New Roman" w:hAnsi="Times New Roman"/>
                <w:color w:val="000000"/>
                <w:sz w:val="16"/>
                <w:lang w:val="es-ES"/>
              </w:rPr>
              <w:t>ii)</w:t>
            </w:r>
            <w:r w:rsidR="00EB3492" w:rsidRPr="00AE4E8D">
              <w:rPr>
                <w:rFonts w:ascii="Times New Roman" w:hAnsi="Times New Roman"/>
                <w:color w:val="000000"/>
                <w:sz w:val="16"/>
                <w:szCs w:val="16"/>
                <w:lang w:val="es-ES" w:eastAsia="es-AR"/>
              </w:rPr>
              <w:t xml:space="preserve">  </w:t>
            </w:r>
            <w:r w:rsidRPr="00AE4E8D">
              <w:rPr>
                <w:rFonts w:ascii="Times New Roman" w:hAnsi="Times New Roman"/>
                <w:color w:val="000000"/>
                <w:sz w:val="16"/>
                <w:lang w:val="es-ES"/>
              </w:rPr>
              <w:t>Si la entidad prestamista es banco comercial de segundo grado</w:t>
            </w:r>
          </w:p>
        </w:tc>
        <w:tc>
          <w:tcPr>
            <w:tcW w:w="1993" w:type="dxa"/>
            <w:tcBorders>
              <w:top w:val="nil"/>
              <w:left w:val="nil"/>
              <w:bottom w:val="nil"/>
              <w:right w:val="nil"/>
            </w:tcBorders>
            <w:shd w:val="clear" w:color="auto" w:fill="auto"/>
            <w:vAlign w:val="center"/>
            <w:hideMark/>
          </w:tcPr>
          <w:p w14:paraId="455C85D1" w14:textId="77777777" w:rsidR="00E177DD" w:rsidRPr="00AE4E8D" w:rsidRDefault="00E177DD" w:rsidP="00BD536D">
            <w:pPr>
              <w:rPr>
                <w:rFonts w:ascii="Times New Roman" w:hAnsi="Times New Roman"/>
                <w:color w:val="000000"/>
                <w:sz w:val="16"/>
                <w:lang w:val="es-ES"/>
              </w:rPr>
            </w:pPr>
            <w:r w:rsidRPr="00AE4E8D">
              <w:rPr>
                <w:rFonts w:ascii="Times New Roman" w:hAnsi="Times New Roman"/>
                <w:color w:val="000000"/>
                <w:sz w:val="16"/>
                <w:lang w:val="es-ES"/>
              </w:rPr>
              <w:t>Calificación 1, 2 o 3</w:t>
            </w:r>
          </w:p>
        </w:tc>
        <w:tc>
          <w:tcPr>
            <w:tcW w:w="249" w:type="dxa"/>
            <w:tcBorders>
              <w:top w:val="nil"/>
              <w:left w:val="nil"/>
              <w:bottom w:val="nil"/>
              <w:right w:val="nil"/>
            </w:tcBorders>
            <w:shd w:val="clear" w:color="auto" w:fill="auto"/>
            <w:vAlign w:val="center"/>
            <w:hideMark/>
          </w:tcPr>
          <w:p w14:paraId="09866CBC" w14:textId="77777777" w:rsidR="00E177DD" w:rsidRPr="00AE4E8D" w:rsidRDefault="00E177DD" w:rsidP="00E177DD">
            <w:pPr>
              <w:rPr>
                <w:rFonts w:ascii="Times New Roman" w:hAnsi="Times New Roman"/>
                <w:color w:val="000000"/>
                <w:sz w:val="16"/>
                <w:szCs w:val="16"/>
                <w:lang w:val="es-ES" w:eastAsia="es-AR"/>
              </w:rPr>
            </w:pPr>
          </w:p>
        </w:tc>
        <w:tc>
          <w:tcPr>
            <w:tcW w:w="1996" w:type="dxa"/>
            <w:tcBorders>
              <w:top w:val="nil"/>
              <w:left w:val="nil"/>
              <w:bottom w:val="nil"/>
              <w:right w:val="nil"/>
            </w:tcBorders>
            <w:shd w:val="clear" w:color="auto" w:fill="auto"/>
            <w:vAlign w:val="center"/>
            <w:hideMark/>
          </w:tcPr>
          <w:p w14:paraId="0506188E" w14:textId="77777777" w:rsidR="00E177DD" w:rsidRPr="00AE4E8D" w:rsidRDefault="00E177DD" w:rsidP="00BD536D">
            <w:pPr>
              <w:jc w:val="center"/>
              <w:rPr>
                <w:rFonts w:ascii="Times New Roman" w:hAnsi="Times New Roman"/>
                <w:color w:val="000000"/>
                <w:sz w:val="16"/>
                <w:lang w:val="es-ES"/>
              </w:rPr>
            </w:pPr>
            <w:r w:rsidRPr="00AE4E8D">
              <w:rPr>
                <w:rFonts w:ascii="Times New Roman" w:hAnsi="Times New Roman"/>
                <w:color w:val="000000"/>
                <w:sz w:val="16"/>
                <w:lang w:val="es-ES"/>
              </w:rPr>
              <w:t>100%</w:t>
            </w:r>
          </w:p>
        </w:tc>
        <w:tc>
          <w:tcPr>
            <w:tcW w:w="249" w:type="dxa"/>
            <w:tcBorders>
              <w:top w:val="nil"/>
              <w:left w:val="nil"/>
              <w:bottom w:val="nil"/>
              <w:right w:val="nil"/>
            </w:tcBorders>
            <w:shd w:val="clear" w:color="auto" w:fill="auto"/>
            <w:vAlign w:val="center"/>
            <w:hideMark/>
          </w:tcPr>
          <w:p w14:paraId="55E8B229" w14:textId="77777777" w:rsidR="00E177DD" w:rsidRPr="00AE4E8D" w:rsidRDefault="00E177DD" w:rsidP="00E177DD">
            <w:pPr>
              <w:jc w:val="center"/>
              <w:rPr>
                <w:rFonts w:ascii="Times New Roman" w:hAnsi="Times New Roman"/>
                <w:color w:val="000000"/>
                <w:sz w:val="16"/>
                <w:szCs w:val="16"/>
                <w:lang w:val="es-ES" w:eastAsia="es-AR"/>
              </w:rPr>
            </w:pPr>
          </w:p>
        </w:tc>
        <w:tc>
          <w:tcPr>
            <w:tcW w:w="1996" w:type="dxa"/>
            <w:tcBorders>
              <w:top w:val="nil"/>
              <w:left w:val="nil"/>
              <w:bottom w:val="nil"/>
              <w:right w:val="nil"/>
            </w:tcBorders>
            <w:shd w:val="clear" w:color="auto" w:fill="auto"/>
            <w:vAlign w:val="center"/>
            <w:hideMark/>
          </w:tcPr>
          <w:p w14:paraId="5B07C009" w14:textId="77777777" w:rsidR="00E177DD" w:rsidRPr="00AE4E8D" w:rsidRDefault="00E177DD" w:rsidP="00BD536D">
            <w:pPr>
              <w:jc w:val="center"/>
              <w:rPr>
                <w:rFonts w:ascii="Times New Roman" w:hAnsi="Times New Roman"/>
                <w:color w:val="000000"/>
                <w:sz w:val="16"/>
                <w:lang w:val="es-ES"/>
              </w:rPr>
            </w:pPr>
            <w:r w:rsidRPr="00AE4E8D">
              <w:rPr>
                <w:rFonts w:ascii="Times New Roman" w:hAnsi="Times New Roman"/>
                <w:color w:val="000000"/>
                <w:sz w:val="16"/>
                <w:lang w:val="es-ES"/>
              </w:rPr>
              <w:t>100%</w:t>
            </w:r>
          </w:p>
        </w:tc>
      </w:tr>
      <w:tr w:rsidR="000E61D3" w:rsidRPr="00AE4E8D" w14:paraId="345ED55B" w14:textId="77777777" w:rsidTr="000400C8">
        <w:trPr>
          <w:trHeight w:val="330"/>
        </w:trPr>
        <w:tc>
          <w:tcPr>
            <w:tcW w:w="2033" w:type="dxa"/>
            <w:vMerge/>
            <w:tcBorders>
              <w:top w:val="nil"/>
              <w:left w:val="nil"/>
              <w:bottom w:val="nil"/>
              <w:right w:val="nil"/>
            </w:tcBorders>
            <w:vAlign w:val="center"/>
            <w:hideMark/>
          </w:tcPr>
          <w:p w14:paraId="7E39787A" w14:textId="77777777" w:rsidR="00E177DD" w:rsidRPr="00AE4E8D" w:rsidRDefault="00E177DD" w:rsidP="00BD536D">
            <w:pPr>
              <w:rPr>
                <w:rFonts w:ascii="Times New Roman" w:hAnsi="Times New Roman"/>
                <w:color w:val="000000"/>
                <w:sz w:val="16"/>
                <w:lang w:val="es-ES"/>
              </w:rPr>
            </w:pPr>
          </w:p>
        </w:tc>
        <w:tc>
          <w:tcPr>
            <w:tcW w:w="1993" w:type="dxa"/>
            <w:tcBorders>
              <w:top w:val="nil"/>
              <w:left w:val="nil"/>
              <w:bottom w:val="nil"/>
              <w:right w:val="nil"/>
            </w:tcBorders>
            <w:shd w:val="clear" w:color="auto" w:fill="auto"/>
            <w:vAlign w:val="center"/>
            <w:hideMark/>
          </w:tcPr>
          <w:p w14:paraId="7DCFD654" w14:textId="77777777" w:rsidR="00E177DD" w:rsidRPr="00AE4E8D" w:rsidRDefault="00E177DD" w:rsidP="00BD536D">
            <w:pPr>
              <w:rPr>
                <w:rFonts w:ascii="Times New Roman" w:hAnsi="Times New Roman"/>
                <w:color w:val="000000"/>
                <w:sz w:val="16"/>
                <w:lang w:val="es-ES"/>
              </w:rPr>
            </w:pPr>
            <w:r w:rsidRPr="00AE4E8D">
              <w:rPr>
                <w:rFonts w:ascii="Times New Roman" w:hAnsi="Times New Roman"/>
                <w:color w:val="000000"/>
                <w:sz w:val="16"/>
                <w:lang w:val="es-ES"/>
              </w:rPr>
              <w:t>Calificación 4 o 5</w:t>
            </w:r>
          </w:p>
        </w:tc>
        <w:tc>
          <w:tcPr>
            <w:tcW w:w="249" w:type="dxa"/>
            <w:tcBorders>
              <w:top w:val="nil"/>
              <w:left w:val="nil"/>
              <w:bottom w:val="nil"/>
              <w:right w:val="nil"/>
            </w:tcBorders>
            <w:shd w:val="clear" w:color="auto" w:fill="auto"/>
            <w:vAlign w:val="center"/>
            <w:hideMark/>
          </w:tcPr>
          <w:p w14:paraId="295E5804" w14:textId="77777777" w:rsidR="00E177DD" w:rsidRPr="00AE4E8D" w:rsidRDefault="00E177DD" w:rsidP="00E177DD">
            <w:pPr>
              <w:rPr>
                <w:rFonts w:ascii="Times New Roman" w:hAnsi="Times New Roman"/>
                <w:color w:val="000000"/>
                <w:sz w:val="16"/>
                <w:szCs w:val="16"/>
                <w:lang w:val="es-ES" w:eastAsia="es-AR"/>
              </w:rPr>
            </w:pPr>
          </w:p>
        </w:tc>
        <w:tc>
          <w:tcPr>
            <w:tcW w:w="1996" w:type="dxa"/>
            <w:tcBorders>
              <w:top w:val="nil"/>
              <w:left w:val="nil"/>
              <w:bottom w:val="nil"/>
              <w:right w:val="nil"/>
            </w:tcBorders>
            <w:shd w:val="clear" w:color="auto" w:fill="auto"/>
            <w:vAlign w:val="center"/>
            <w:hideMark/>
          </w:tcPr>
          <w:p w14:paraId="236362E7" w14:textId="77777777" w:rsidR="00E177DD" w:rsidRPr="00AE4E8D" w:rsidRDefault="00E177DD" w:rsidP="00BD536D">
            <w:pPr>
              <w:jc w:val="center"/>
              <w:rPr>
                <w:rFonts w:ascii="Times New Roman" w:hAnsi="Times New Roman"/>
                <w:color w:val="000000"/>
                <w:sz w:val="16"/>
                <w:lang w:val="es-ES"/>
              </w:rPr>
            </w:pPr>
            <w:r w:rsidRPr="00AE4E8D">
              <w:rPr>
                <w:rFonts w:ascii="Times New Roman" w:hAnsi="Times New Roman"/>
                <w:color w:val="000000"/>
                <w:sz w:val="16"/>
                <w:lang w:val="es-ES"/>
              </w:rPr>
              <w:t>100%</w:t>
            </w:r>
          </w:p>
        </w:tc>
        <w:tc>
          <w:tcPr>
            <w:tcW w:w="249" w:type="dxa"/>
            <w:tcBorders>
              <w:top w:val="nil"/>
              <w:left w:val="nil"/>
              <w:bottom w:val="nil"/>
              <w:right w:val="nil"/>
            </w:tcBorders>
            <w:shd w:val="clear" w:color="auto" w:fill="auto"/>
            <w:vAlign w:val="center"/>
            <w:hideMark/>
          </w:tcPr>
          <w:p w14:paraId="36D5FC67" w14:textId="77777777" w:rsidR="00E177DD" w:rsidRPr="00AE4E8D" w:rsidRDefault="00E177DD" w:rsidP="00E177DD">
            <w:pPr>
              <w:jc w:val="center"/>
              <w:rPr>
                <w:rFonts w:ascii="Times New Roman" w:hAnsi="Times New Roman"/>
                <w:color w:val="000000"/>
                <w:sz w:val="16"/>
                <w:szCs w:val="16"/>
                <w:lang w:val="es-ES" w:eastAsia="es-AR"/>
              </w:rPr>
            </w:pPr>
          </w:p>
        </w:tc>
        <w:tc>
          <w:tcPr>
            <w:tcW w:w="1996" w:type="dxa"/>
            <w:tcBorders>
              <w:top w:val="nil"/>
              <w:left w:val="nil"/>
              <w:bottom w:val="nil"/>
              <w:right w:val="nil"/>
            </w:tcBorders>
            <w:shd w:val="clear" w:color="auto" w:fill="auto"/>
            <w:vAlign w:val="center"/>
            <w:hideMark/>
          </w:tcPr>
          <w:p w14:paraId="4A40D602" w14:textId="77777777" w:rsidR="00E177DD" w:rsidRPr="00AE4E8D" w:rsidRDefault="00E177DD" w:rsidP="00BD536D">
            <w:pPr>
              <w:jc w:val="center"/>
              <w:rPr>
                <w:rFonts w:ascii="Times New Roman" w:hAnsi="Times New Roman"/>
                <w:color w:val="000000"/>
                <w:sz w:val="16"/>
                <w:lang w:val="es-ES"/>
              </w:rPr>
            </w:pPr>
            <w:r w:rsidRPr="00AE4E8D">
              <w:rPr>
                <w:rFonts w:ascii="Times New Roman" w:hAnsi="Times New Roman"/>
                <w:color w:val="000000"/>
                <w:sz w:val="16"/>
                <w:lang w:val="es-ES"/>
              </w:rPr>
              <w:t>0%</w:t>
            </w:r>
          </w:p>
        </w:tc>
      </w:tr>
      <w:tr w:rsidR="00E177DD" w:rsidRPr="00AE4E8D" w14:paraId="6E6E17EA" w14:textId="77777777" w:rsidTr="000400C8">
        <w:trPr>
          <w:trHeight w:val="265"/>
        </w:trPr>
        <w:tc>
          <w:tcPr>
            <w:tcW w:w="8516" w:type="dxa"/>
            <w:gridSpan w:val="6"/>
            <w:tcBorders>
              <w:top w:val="nil"/>
              <w:left w:val="nil"/>
              <w:bottom w:val="nil"/>
              <w:right w:val="nil"/>
            </w:tcBorders>
            <w:shd w:val="clear" w:color="auto" w:fill="auto"/>
            <w:vAlign w:val="center"/>
            <w:hideMark/>
          </w:tcPr>
          <w:p w14:paraId="352BDA9A" w14:textId="77777777" w:rsidR="00E177DD" w:rsidRPr="00AE4E8D" w:rsidRDefault="00E177DD" w:rsidP="00BD536D">
            <w:pPr>
              <w:jc w:val="both"/>
              <w:rPr>
                <w:rFonts w:ascii="Times New Roman" w:hAnsi="Times New Roman"/>
                <w:i/>
                <w:color w:val="000000"/>
                <w:sz w:val="14"/>
                <w:lang w:val="es-ES"/>
              </w:rPr>
            </w:pPr>
            <w:r w:rsidRPr="00AE4E8D">
              <w:rPr>
                <w:rFonts w:ascii="Times New Roman" w:hAnsi="Times New Roman"/>
                <w:i/>
                <w:color w:val="000000"/>
                <w:sz w:val="14"/>
                <w:lang w:val="es-ES"/>
              </w:rPr>
              <w:t>*Este límite puede ser dividido en dos segmentos, con y sin garantía, en cada caso, por el 25% sujeto al cumplimiento de ciertos requisitos.</w:t>
            </w:r>
          </w:p>
        </w:tc>
      </w:tr>
    </w:tbl>
    <w:p w14:paraId="10986146" w14:textId="77777777" w:rsidR="002E07D5" w:rsidRPr="00AE4E8D" w:rsidRDefault="002E07D5" w:rsidP="000668B5">
      <w:pPr>
        <w:pStyle w:val="BHTexto"/>
        <w:rPr>
          <w:lang w:val="es-ES"/>
        </w:rPr>
      </w:pPr>
      <w:r w:rsidRPr="00AE4E8D">
        <w:rPr>
          <w:lang w:val="es-ES"/>
        </w:rPr>
        <w:t>Los límites máximos de asistencia financiera aplicables a sector financiero del exterior son los siguientes:</w:t>
      </w:r>
    </w:p>
    <w:tbl>
      <w:tblPr>
        <w:tblW w:w="5000" w:type="pct"/>
        <w:jc w:val="center"/>
        <w:shd w:val="clear" w:color="auto" w:fill="FFFFFF"/>
        <w:tblCellMar>
          <w:left w:w="0" w:type="dxa"/>
          <w:right w:w="0" w:type="dxa"/>
        </w:tblCellMar>
        <w:tblLook w:val="04A0" w:firstRow="1" w:lastRow="0" w:firstColumn="1" w:lastColumn="0" w:noHBand="0" w:noVBand="1"/>
      </w:tblPr>
      <w:tblGrid>
        <w:gridCol w:w="5555"/>
        <w:gridCol w:w="2950"/>
      </w:tblGrid>
      <w:tr w:rsidR="002E07D5" w:rsidRPr="00AE4E8D" w14:paraId="02F434F2" w14:textId="77777777" w:rsidTr="000668B5">
        <w:trPr>
          <w:jc w:val="center"/>
        </w:trPr>
        <w:tc>
          <w:tcPr>
            <w:tcW w:w="3266" w:type="pct"/>
            <w:shd w:val="clear" w:color="auto" w:fill="FFFFFF"/>
            <w:noWrap/>
            <w:vAlign w:val="bottom"/>
            <w:hideMark/>
          </w:tcPr>
          <w:p w14:paraId="40D8783F" w14:textId="77777777" w:rsidR="002E07D5" w:rsidRPr="00AE4E8D" w:rsidRDefault="002E07D5" w:rsidP="0014790B">
            <w:pPr>
              <w:autoSpaceDE w:val="0"/>
              <w:autoSpaceDN w:val="0"/>
              <w:adjustRightInd w:val="0"/>
              <w:rPr>
                <w:rFonts w:ascii="Times New Roman" w:hAnsi="Times New Roman"/>
                <w:b/>
                <w:sz w:val="16"/>
                <w:szCs w:val="16"/>
                <w:lang w:val="es-ES"/>
              </w:rPr>
            </w:pPr>
            <w:r w:rsidRPr="00AE4E8D">
              <w:rPr>
                <w:rFonts w:ascii="Times New Roman" w:hAnsi="Times New Roman"/>
                <w:b/>
                <w:sz w:val="16"/>
                <w:szCs w:val="16"/>
                <w:lang w:val="es-ES"/>
              </w:rPr>
              <w:t>Financiaciones al sector financiero del exterior</w:t>
            </w:r>
          </w:p>
        </w:tc>
        <w:tc>
          <w:tcPr>
            <w:tcW w:w="1734" w:type="pct"/>
            <w:shd w:val="clear" w:color="auto" w:fill="FFFFFF"/>
            <w:vAlign w:val="bottom"/>
            <w:hideMark/>
          </w:tcPr>
          <w:p w14:paraId="4B89DD1B" w14:textId="77777777" w:rsidR="002E07D5" w:rsidRPr="00AE4E8D" w:rsidRDefault="002E07D5" w:rsidP="0014790B">
            <w:pPr>
              <w:pBdr>
                <w:bottom w:val="single" w:sz="4" w:space="1" w:color="auto"/>
              </w:pBdr>
              <w:autoSpaceDE w:val="0"/>
              <w:autoSpaceDN w:val="0"/>
              <w:adjustRightInd w:val="0"/>
              <w:jc w:val="center"/>
              <w:rPr>
                <w:rFonts w:ascii="Times New Roman" w:hAnsi="Times New Roman"/>
                <w:b/>
                <w:sz w:val="16"/>
                <w:szCs w:val="16"/>
                <w:lang w:val="es-ES"/>
              </w:rPr>
            </w:pPr>
            <w:r w:rsidRPr="00AE4E8D">
              <w:rPr>
                <w:rFonts w:ascii="Times New Roman" w:hAnsi="Times New Roman"/>
                <w:b/>
                <w:sz w:val="16"/>
                <w:szCs w:val="16"/>
                <w:lang w:val="es-ES"/>
              </w:rPr>
              <w:t>Límite máximo</w:t>
            </w:r>
          </w:p>
        </w:tc>
      </w:tr>
      <w:tr w:rsidR="002E07D5" w:rsidRPr="00AE4E8D" w14:paraId="79403CE0" w14:textId="77777777" w:rsidTr="000668B5">
        <w:trPr>
          <w:jc w:val="center"/>
        </w:trPr>
        <w:tc>
          <w:tcPr>
            <w:tcW w:w="3266" w:type="pct"/>
            <w:shd w:val="clear" w:color="auto" w:fill="auto"/>
            <w:hideMark/>
          </w:tcPr>
          <w:p w14:paraId="6D9FDD1C" w14:textId="77777777" w:rsidR="002E07D5" w:rsidRPr="00AE4E8D" w:rsidRDefault="002E07D5" w:rsidP="000668B5">
            <w:pPr>
              <w:numPr>
                <w:ilvl w:val="0"/>
                <w:numId w:val="70"/>
              </w:num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 xml:space="preserve"> Con calificación internacional “</w:t>
            </w:r>
            <w:r w:rsidRPr="00AE4E8D">
              <w:rPr>
                <w:rFonts w:ascii="Times New Roman" w:hAnsi="Times New Roman"/>
                <w:i/>
                <w:sz w:val="16"/>
                <w:szCs w:val="16"/>
                <w:lang w:val="es-ES"/>
              </w:rPr>
              <w:t>investment grade</w:t>
            </w:r>
            <w:r w:rsidRPr="00AE4E8D">
              <w:rPr>
                <w:rFonts w:ascii="Times New Roman" w:hAnsi="Times New Roman"/>
                <w:sz w:val="16"/>
                <w:szCs w:val="16"/>
                <w:lang w:val="es-ES"/>
              </w:rPr>
              <w:t>”</w:t>
            </w:r>
          </w:p>
        </w:tc>
        <w:tc>
          <w:tcPr>
            <w:tcW w:w="1734" w:type="pct"/>
            <w:shd w:val="clear" w:color="auto" w:fill="auto"/>
            <w:vAlign w:val="bottom"/>
            <w:hideMark/>
          </w:tcPr>
          <w:p w14:paraId="28F27A08"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25%</w:t>
            </w:r>
          </w:p>
        </w:tc>
      </w:tr>
      <w:tr w:rsidR="002E07D5" w:rsidRPr="00AE4E8D" w14:paraId="3729716C" w14:textId="77777777" w:rsidTr="000668B5">
        <w:trPr>
          <w:jc w:val="center"/>
        </w:trPr>
        <w:tc>
          <w:tcPr>
            <w:tcW w:w="3266" w:type="pct"/>
            <w:shd w:val="clear" w:color="auto" w:fill="FFFFFF"/>
            <w:hideMark/>
          </w:tcPr>
          <w:p w14:paraId="306C5184" w14:textId="77777777" w:rsidR="002E07D5" w:rsidRPr="00AE4E8D" w:rsidRDefault="002E07D5" w:rsidP="000668B5">
            <w:pPr>
              <w:numPr>
                <w:ilvl w:val="0"/>
                <w:numId w:val="70"/>
              </w:numPr>
              <w:autoSpaceDE w:val="0"/>
              <w:autoSpaceDN w:val="0"/>
              <w:adjustRightInd w:val="0"/>
              <w:rPr>
                <w:rFonts w:ascii="Times New Roman" w:hAnsi="Times New Roman"/>
                <w:sz w:val="16"/>
                <w:szCs w:val="16"/>
                <w:lang w:val="es-ES"/>
              </w:rPr>
            </w:pPr>
            <w:r w:rsidRPr="00AE4E8D">
              <w:rPr>
                <w:rFonts w:ascii="Times New Roman" w:hAnsi="Times New Roman"/>
                <w:sz w:val="16"/>
                <w:szCs w:val="16"/>
                <w:lang w:val="es-ES"/>
              </w:rPr>
              <w:t>Cuando no cumpla con lo anterior</w:t>
            </w:r>
          </w:p>
        </w:tc>
        <w:tc>
          <w:tcPr>
            <w:tcW w:w="1734" w:type="pct"/>
            <w:shd w:val="clear" w:color="auto" w:fill="FFFFFF"/>
            <w:vAlign w:val="bottom"/>
            <w:hideMark/>
          </w:tcPr>
          <w:p w14:paraId="467FFD69" w14:textId="77777777" w:rsidR="002E07D5" w:rsidRPr="00AE4E8D" w:rsidRDefault="002E07D5" w:rsidP="0014790B">
            <w:pPr>
              <w:autoSpaceDE w:val="0"/>
              <w:autoSpaceDN w:val="0"/>
              <w:adjustRightInd w:val="0"/>
              <w:jc w:val="center"/>
              <w:rPr>
                <w:rFonts w:ascii="Times New Roman" w:hAnsi="Times New Roman"/>
                <w:sz w:val="16"/>
                <w:szCs w:val="16"/>
                <w:lang w:val="es-ES"/>
              </w:rPr>
            </w:pPr>
            <w:r w:rsidRPr="00AE4E8D">
              <w:rPr>
                <w:rFonts w:ascii="Times New Roman" w:hAnsi="Times New Roman"/>
                <w:sz w:val="16"/>
                <w:szCs w:val="16"/>
                <w:lang w:val="es-ES"/>
              </w:rPr>
              <w:t>5%</w:t>
            </w:r>
          </w:p>
        </w:tc>
      </w:tr>
    </w:tbl>
    <w:p w14:paraId="4BF112A0" w14:textId="77777777" w:rsidR="002E07D5" w:rsidRPr="00AE4E8D" w:rsidRDefault="002E07D5" w:rsidP="000668B5">
      <w:pPr>
        <w:pStyle w:val="BHTexto"/>
        <w:rPr>
          <w:lang w:val="es-ES"/>
        </w:rPr>
      </w:pPr>
      <w:r w:rsidRPr="00AE4E8D">
        <w:rPr>
          <w:rStyle w:val="BHTextoCar"/>
          <w:lang w:val="es-ES"/>
        </w:rPr>
        <w:t xml:space="preserve">La asignación de márgenes por exposición crediticia de la contraparte en operaciones con derivados se realiza sobre la base de medidas sensibles al riesgo y las características de cada tipo de operación en </w:t>
      </w:r>
      <w:r w:rsidRPr="00AE4E8D">
        <w:rPr>
          <w:lang w:val="es-ES"/>
        </w:rPr>
        <w:t xml:space="preserve">particular (tipo de contrato, frecuencia de valuación a precios de mercado, volatilidad del activo). Las operaciones a ser incluidas son operaciones a término (“forwards”), futuros y opciones de acciones y títulos públicos, e instrumentos de regulación monetaria del </w:t>
      </w:r>
      <w:r w:rsidR="002C3DEF" w:rsidRPr="00AE4E8D">
        <w:rPr>
          <w:lang w:val="es-ES"/>
        </w:rPr>
        <w:t>BCRA</w:t>
      </w:r>
      <w:r w:rsidRPr="00AE4E8D">
        <w:rPr>
          <w:lang w:val="es-ES"/>
        </w:rPr>
        <w:t xml:space="preserve"> con volatilidad publicada, opciones de compra o venta de dichos activos y permutas (swaps).</w:t>
      </w:r>
    </w:p>
    <w:p w14:paraId="7A646E85" w14:textId="77777777" w:rsidR="002E07D5" w:rsidRPr="00AE4E8D" w:rsidRDefault="002E07D5" w:rsidP="002E07D5">
      <w:pPr>
        <w:tabs>
          <w:tab w:val="left" w:pos="851"/>
        </w:tabs>
        <w:autoSpaceDE w:val="0"/>
        <w:autoSpaceDN w:val="0"/>
        <w:adjustRightInd w:val="0"/>
        <w:spacing w:after="240"/>
        <w:jc w:val="both"/>
        <w:rPr>
          <w:rFonts w:ascii="Times New Roman" w:hAnsi="Times New Roman"/>
          <w:b/>
          <w:i/>
          <w:lang w:val="es-ES"/>
        </w:rPr>
      </w:pPr>
      <w:r w:rsidRPr="00AE4E8D">
        <w:rPr>
          <w:rFonts w:ascii="Times New Roman" w:hAnsi="Times New Roman"/>
          <w:b/>
          <w:i/>
          <w:lang w:val="es-ES"/>
        </w:rPr>
        <w:t>Límites para personas vinculadas</w:t>
      </w:r>
    </w:p>
    <w:p w14:paraId="79F0E1D1" w14:textId="77777777" w:rsidR="002E07D5" w:rsidRPr="00AE4E8D" w:rsidRDefault="002E07D5" w:rsidP="00F80D63">
      <w:pPr>
        <w:pStyle w:val="BHTexto"/>
        <w:rPr>
          <w:lang w:val="es-ES"/>
        </w:rPr>
      </w:pPr>
      <w:r w:rsidRPr="00AE4E8D">
        <w:rPr>
          <w:lang w:val="es-ES"/>
        </w:rPr>
        <w:t>El monto total de operaciones pertinentes con empresas o personas vinculadas no podrá exceder en ningún momento los límites del patrimonio neto de la entidad financiera al último día del mes anterior al mes en que se computa, de acuerdo con las siguientes normas generales:</w:t>
      </w:r>
    </w:p>
    <w:p w14:paraId="291418B8" w14:textId="77777777" w:rsidR="002E07D5" w:rsidRPr="00AE4E8D" w:rsidRDefault="002E07D5" w:rsidP="000668B5">
      <w:pPr>
        <w:pStyle w:val="BHTexto"/>
        <w:numPr>
          <w:ilvl w:val="0"/>
          <w:numId w:val="116"/>
        </w:numPr>
        <w:rPr>
          <w:lang w:val="es-ES"/>
        </w:rPr>
      </w:pPr>
      <w:r w:rsidRPr="00AE4E8D">
        <w:rPr>
          <w:lang w:val="es-ES"/>
        </w:rPr>
        <w:t>en el caso de entidades financieras locales que realicen operaciones sujetas a consolidación por la entidad prestamista o prestataria, se podrá otorgar asistencia a cada entidad (i) con calificación 1 de la Superintendencia de Entidades Financieras y Cambiarias, por un monto máximo equivalente al 100% de su responsabilidad patrimonial computable; o (ii) con calificación 2 de la Superintendencia de Entidades Financieras y Cambiarias, por un monto máximo equivalente al 10% de su responsabilidad patrimonial computable; y asistencia adicional por un monto máximo equivalente al 90% de dicha responsabilidad patrimonial computable siempre que el vencimiento de las financiaciones y otras líneas de crédito pertinentes ocurra dentro de los 180 días;</w:t>
      </w:r>
    </w:p>
    <w:p w14:paraId="0305262F" w14:textId="77777777" w:rsidR="002E07D5" w:rsidRPr="00AE4E8D" w:rsidRDefault="002E07D5" w:rsidP="000668B5">
      <w:pPr>
        <w:pStyle w:val="BHTexto"/>
        <w:numPr>
          <w:ilvl w:val="0"/>
          <w:numId w:val="116"/>
        </w:numPr>
        <w:rPr>
          <w:lang w:val="es-ES"/>
        </w:rPr>
      </w:pPr>
      <w:r w:rsidRPr="00AE4E8D">
        <w:rPr>
          <w:lang w:val="es-ES"/>
        </w:rPr>
        <w:t>en el caso de entidades financieras locales no incluidas en el párrafo anterior, la entidad financiera puede otorgar asistencia por un monto máximo equivalente al 10% de su responsabilidad patrimonial computable; y</w:t>
      </w:r>
    </w:p>
    <w:p w14:paraId="77969CA8" w14:textId="77777777" w:rsidR="002E07D5" w:rsidRPr="00AE4E8D" w:rsidRDefault="002E07D5" w:rsidP="000668B5">
      <w:pPr>
        <w:pStyle w:val="BHTexto"/>
        <w:numPr>
          <w:ilvl w:val="0"/>
          <w:numId w:val="116"/>
        </w:numPr>
        <w:rPr>
          <w:lang w:val="es-ES"/>
        </w:rPr>
      </w:pPr>
      <w:r w:rsidRPr="00AE4E8D">
        <w:rPr>
          <w:lang w:val="es-ES"/>
        </w:rPr>
        <w:t>otras empresas locales vinculadas que suministren exclusivamente servicios complementarios de la actividad de la entidad financiera, así como a bancos extranjeros vinculados con calificación en la categoría “investment grade”, podrán recibir asistencia por un monto máximo equivalente al 10% de la responsabilidad patrimonial computable de la entidad prestamista.</w:t>
      </w:r>
    </w:p>
    <w:p w14:paraId="6804D317" w14:textId="77777777" w:rsidR="002E07D5" w:rsidRPr="00AE4E8D" w:rsidRDefault="002E07D5" w:rsidP="00F80D63">
      <w:pPr>
        <w:pStyle w:val="BHTexto"/>
        <w:rPr>
          <w:lang w:val="es-ES"/>
        </w:rPr>
      </w:pPr>
      <w:r w:rsidRPr="00AE4E8D">
        <w:rPr>
          <w:lang w:val="es-ES"/>
        </w:rPr>
        <w:t>Si la entidad financiera cuenta con una calificación de 4 o 5, no podrá otorgarse asistencia financiera a una persona o empresa vinculada, salvo en ciertas situaciones especiales.</w:t>
      </w:r>
    </w:p>
    <w:p w14:paraId="1C230614" w14:textId="77777777" w:rsidR="002E07D5" w:rsidRPr="00AE4E8D" w:rsidRDefault="002E07D5" w:rsidP="00F80D63">
      <w:pPr>
        <w:pStyle w:val="BHTexto"/>
        <w:rPr>
          <w:lang w:val="es-ES"/>
        </w:rPr>
      </w:pPr>
      <w:r w:rsidRPr="00AE4E8D">
        <w:rPr>
          <w:lang w:val="es-ES"/>
        </w:rPr>
        <w:t>Por último, el monto de asistencia financiera total no excluida otorgada por una entidad financiera a personas humanas</w:t>
      </w:r>
      <w:r w:rsidRPr="00AE4E8D" w:rsidDel="001B5B7E">
        <w:rPr>
          <w:lang w:val="es-ES"/>
        </w:rPr>
        <w:t xml:space="preserve"> </w:t>
      </w:r>
      <w:r w:rsidRPr="00AE4E8D">
        <w:rPr>
          <w:lang w:val="es-ES"/>
        </w:rPr>
        <w:t>y empresas vinculadas y su participación accionaria en estas no podrá superar el 20% del capital regulatorio de la entidad establecido por la ley argentina, salvo cuando el límite aplicable sea del 100%.</w:t>
      </w:r>
    </w:p>
    <w:p w14:paraId="06ACF640" w14:textId="77777777" w:rsidR="002E07D5" w:rsidRPr="00AE4E8D" w:rsidRDefault="002E07D5" w:rsidP="00F80D63">
      <w:pPr>
        <w:pStyle w:val="BHTexto"/>
        <w:rPr>
          <w:lang w:val="es-ES"/>
        </w:rPr>
      </w:pPr>
      <w:r w:rsidRPr="00AE4E8D">
        <w:rPr>
          <w:lang w:val="es-ES"/>
        </w:rPr>
        <w:t xml:space="preserve">De acuerdo con la normativa del </w:t>
      </w:r>
      <w:r w:rsidR="002C3DEF" w:rsidRPr="00AE4E8D">
        <w:rPr>
          <w:lang w:val="es-ES"/>
        </w:rPr>
        <w:t>BCRA</w:t>
      </w:r>
      <w:r w:rsidRPr="00AE4E8D">
        <w:rPr>
          <w:lang w:val="es-ES"/>
        </w:rPr>
        <w:t>, se considerarán “vinculadas” a la entidad financiera (y por lo tanto parte del mismo grupo económico) las siguientes personas humanas</w:t>
      </w:r>
      <w:r w:rsidRPr="00AE4E8D" w:rsidDel="001B5B7E">
        <w:rPr>
          <w:lang w:val="es-ES"/>
        </w:rPr>
        <w:t xml:space="preserve"> </w:t>
      </w:r>
      <w:r w:rsidRPr="00AE4E8D">
        <w:rPr>
          <w:lang w:val="es-ES"/>
        </w:rPr>
        <w:t>y jurídicas:</w:t>
      </w:r>
    </w:p>
    <w:p w14:paraId="346FA594" w14:textId="77777777" w:rsidR="002E07D5" w:rsidRPr="00AE4E8D" w:rsidRDefault="002E07D5" w:rsidP="000668B5">
      <w:pPr>
        <w:pStyle w:val="BHTexto"/>
        <w:numPr>
          <w:ilvl w:val="0"/>
          <w:numId w:val="89"/>
        </w:numPr>
        <w:rPr>
          <w:lang w:val="es-ES"/>
        </w:rPr>
      </w:pPr>
      <w:r w:rsidRPr="00AE4E8D">
        <w:rPr>
          <w:lang w:val="es-ES"/>
        </w:rPr>
        <w:t>cualquier empresa o persona que directa o indirectamente ejerza el control de la entidad financiera, esté controlada por la entidad financiera o esté sujeta a supervisión consolidada con la entidad financiera;</w:t>
      </w:r>
    </w:p>
    <w:p w14:paraId="3A2FFEAD" w14:textId="77777777" w:rsidR="002E07D5" w:rsidRPr="00AE4E8D" w:rsidRDefault="002E07D5" w:rsidP="000668B5">
      <w:pPr>
        <w:pStyle w:val="BHTexto"/>
        <w:numPr>
          <w:ilvl w:val="0"/>
          <w:numId w:val="89"/>
        </w:numPr>
        <w:rPr>
          <w:lang w:val="es-ES"/>
        </w:rPr>
      </w:pPr>
      <w:r w:rsidRPr="00AE4E8D">
        <w:rPr>
          <w:lang w:val="es-ES"/>
        </w:rPr>
        <w:t xml:space="preserve">cualquier empresa que tenga directores comunes con la entidad o empresa que ejerce el control directo o indirecto de la entidad financiera o con la entidad financiera, siempre que esos </w:t>
      </w:r>
      <w:r w:rsidRPr="00AE4E8D">
        <w:rPr>
          <w:lang w:val="es-ES"/>
        </w:rPr>
        <w:lastRenderedPageBreak/>
        <w:t>directores, en conjunto, conformen la mayoría simple de los órganos de dirección de cada una de esas empresas o entidades financieras; o</w:t>
      </w:r>
    </w:p>
    <w:p w14:paraId="5E49F981" w14:textId="77777777" w:rsidR="002E07D5" w:rsidRPr="00AE4E8D" w:rsidRDefault="002E07D5" w:rsidP="000668B5">
      <w:pPr>
        <w:pStyle w:val="BHTexto"/>
        <w:numPr>
          <w:ilvl w:val="0"/>
          <w:numId w:val="89"/>
        </w:numPr>
        <w:rPr>
          <w:lang w:val="es-ES"/>
        </w:rPr>
      </w:pPr>
      <w:r w:rsidRPr="00AE4E8D">
        <w:rPr>
          <w:lang w:val="es-ES"/>
        </w:rPr>
        <w:t>con carácter excepcional, conforme lo determine el Directorio del BCRA, a propuesta del Superintendente de Entidades Financieras y Cambiarias.</w:t>
      </w:r>
    </w:p>
    <w:p w14:paraId="56F5AEB7" w14:textId="77777777" w:rsidR="002E07D5" w:rsidRPr="00AE4E8D" w:rsidRDefault="002E07D5" w:rsidP="00F80D63">
      <w:pPr>
        <w:pStyle w:val="BHTexto"/>
        <w:rPr>
          <w:lang w:val="es-ES"/>
        </w:rPr>
      </w:pPr>
      <w:r w:rsidRPr="00AE4E8D">
        <w:rPr>
          <w:lang w:val="es-ES"/>
        </w:rPr>
        <w:t xml:space="preserve">Se considerará que existe control por parte de una empresa o persona sobre </w:t>
      </w:r>
      <w:proofErr w:type="gramStart"/>
      <w:r w:rsidRPr="00AE4E8D">
        <w:rPr>
          <w:lang w:val="es-ES"/>
        </w:rPr>
        <w:t>otra</w:t>
      </w:r>
      <w:proofErr w:type="gramEnd"/>
      <w:r w:rsidRPr="00AE4E8D">
        <w:rPr>
          <w:lang w:val="es-ES"/>
        </w:rPr>
        <w:t xml:space="preserve"> si se cumple alguna de las siguientes condiciones:</w:t>
      </w:r>
    </w:p>
    <w:p w14:paraId="2A3C8F0E" w14:textId="77777777" w:rsidR="002E07D5" w:rsidRPr="00AE4E8D" w:rsidRDefault="002E07D5" w:rsidP="000668B5">
      <w:pPr>
        <w:pStyle w:val="BHTexto"/>
        <w:numPr>
          <w:ilvl w:val="0"/>
          <w:numId w:val="90"/>
        </w:numPr>
        <w:rPr>
          <w:lang w:val="es-ES"/>
        </w:rPr>
      </w:pPr>
      <w:r w:rsidRPr="00AE4E8D">
        <w:rPr>
          <w:lang w:val="es-ES"/>
        </w:rPr>
        <w:t>dicha empresa o persona, directa o indirectamente, posee o controla el 25% o más del total de votos de cualquier instrumento con derecho a voto en la otra empresa;</w:t>
      </w:r>
    </w:p>
    <w:p w14:paraId="7048C720" w14:textId="77777777" w:rsidR="002E07D5" w:rsidRPr="00AE4E8D" w:rsidRDefault="002E07D5" w:rsidP="000668B5">
      <w:pPr>
        <w:pStyle w:val="BHTexto"/>
        <w:numPr>
          <w:ilvl w:val="0"/>
          <w:numId w:val="90"/>
        </w:numPr>
        <w:rPr>
          <w:lang w:val="es-ES"/>
        </w:rPr>
      </w:pPr>
      <w:r w:rsidRPr="00AE4E8D">
        <w:rPr>
          <w:lang w:val="es-ES"/>
        </w:rPr>
        <w:t>dicha empresa o persona, directa o indirectamente, ha contado con el 50% o más del total de los votos de los instrumentos con derecho a voto en la última asamblea en la que se hayan elegido directores u otras personas que ejerzan similar función en la otra empresa;</w:t>
      </w:r>
    </w:p>
    <w:p w14:paraId="330C1BEC" w14:textId="77777777" w:rsidR="002E07D5" w:rsidRPr="00AE4E8D" w:rsidRDefault="002E07D5" w:rsidP="000668B5">
      <w:pPr>
        <w:pStyle w:val="BHTexto"/>
        <w:numPr>
          <w:ilvl w:val="0"/>
          <w:numId w:val="90"/>
        </w:numPr>
        <w:rPr>
          <w:lang w:val="es-ES"/>
        </w:rPr>
      </w:pPr>
      <w:r w:rsidRPr="00AE4E8D">
        <w:rPr>
          <w:lang w:val="es-ES"/>
        </w:rPr>
        <w:t>dicha empresa o persona, directa o indirectamente, posee participación en la otra empresa por cualquier título, aun cuando sus votos resulten inferiores a los porcentajes arriba establecidos, de modo de contar con los votos necesarios para formar la voluntad social en las asambleas de accionistas o para adoptar decisiones en reuniones de directorio u órgano similar; o</w:t>
      </w:r>
    </w:p>
    <w:p w14:paraId="72980BF7" w14:textId="77777777" w:rsidR="002E07D5" w:rsidRPr="00AE4E8D" w:rsidRDefault="002E07D5" w:rsidP="000668B5">
      <w:pPr>
        <w:pStyle w:val="BHTexto"/>
        <w:numPr>
          <w:ilvl w:val="0"/>
          <w:numId w:val="90"/>
        </w:numPr>
        <w:rPr>
          <w:lang w:val="es-ES"/>
        </w:rPr>
      </w:pPr>
      <w:r w:rsidRPr="00AE4E8D">
        <w:rPr>
          <w:lang w:val="es-ES"/>
        </w:rPr>
        <w:t>dicha empresa o persona, directa o indirectamente, ejerce influencia controlante sobre la dirección y/o políticas de la otra empresa, cuando así lo determine el Directorio del BCRA, a propuesta del Superintendente de Entidades Financieras y Cambiarias.</w:t>
      </w:r>
    </w:p>
    <w:p w14:paraId="4E0FFDC3" w14:textId="77777777" w:rsidR="002E07D5" w:rsidRPr="00AE4E8D" w:rsidRDefault="002E07D5" w:rsidP="00F80D63">
      <w:pPr>
        <w:pStyle w:val="BHTexto"/>
        <w:rPr>
          <w:lang w:val="es-ES"/>
        </w:rPr>
      </w:pPr>
      <w:r w:rsidRPr="00AE4E8D">
        <w:rPr>
          <w:lang w:val="es-ES"/>
        </w:rPr>
        <w:t>La reglamentación contiene varios factores no excluyentes que son pautas que pueden denotar la existencia de dicha influencia controlante, entre otras, las siguientes:</w:t>
      </w:r>
    </w:p>
    <w:p w14:paraId="56870591" w14:textId="77777777" w:rsidR="002E07D5" w:rsidRPr="00AE4E8D" w:rsidRDefault="002E07D5" w:rsidP="000668B5">
      <w:pPr>
        <w:pStyle w:val="BHTexto"/>
        <w:numPr>
          <w:ilvl w:val="0"/>
          <w:numId w:val="91"/>
        </w:numPr>
        <w:rPr>
          <w:lang w:val="es-ES"/>
        </w:rPr>
      </w:pPr>
      <w:r w:rsidRPr="00AE4E8D">
        <w:rPr>
          <w:lang w:val="es-ES"/>
        </w:rPr>
        <w:t xml:space="preserve">posesión de un porcentaje del capital de la empresa que otorgue los votos necesarios para influir en la aprobación de los estados contables y en la distribución de utilidades de la otra </w:t>
      </w:r>
      <w:r w:rsidR="00577B28" w:rsidRPr="00AE4E8D">
        <w:rPr>
          <w:lang w:val="es-ES"/>
        </w:rPr>
        <w:t>empresa</w:t>
      </w:r>
      <w:r w:rsidRPr="00AE4E8D">
        <w:rPr>
          <w:lang w:val="es-ES"/>
        </w:rPr>
        <w:t xml:space="preserve">; </w:t>
      </w:r>
    </w:p>
    <w:p w14:paraId="14ED82D1" w14:textId="77777777" w:rsidR="002E07D5" w:rsidRPr="00AE4E8D" w:rsidRDefault="002E07D5" w:rsidP="000668B5">
      <w:pPr>
        <w:pStyle w:val="BHTexto"/>
        <w:numPr>
          <w:ilvl w:val="0"/>
          <w:numId w:val="91"/>
        </w:numPr>
        <w:rPr>
          <w:lang w:val="es-ES"/>
        </w:rPr>
      </w:pPr>
      <w:r w:rsidRPr="00AE4E8D">
        <w:rPr>
          <w:lang w:val="es-ES"/>
        </w:rPr>
        <w:t xml:space="preserve">representación en el directorio u órganos administrativos superiores de la otra </w:t>
      </w:r>
      <w:r w:rsidR="00577B28" w:rsidRPr="00AE4E8D">
        <w:rPr>
          <w:lang w:val="es-ES"/>
        </w:rPr>
        <w:t>empresa</w:t>
      </w:r>
      <w:r w:rsidRPr="00AE4E8D">
        <w:rPr>
          <w:lang w:val="es-ES"/>
        </w:rPr>
        <w:t xml:space="preserve">; </w:t>
      </w:r>
    </w:p>
    <w:p w14:paraId="76C0380E" w14:textId="77777777" w:rsidR="002E07D5" w:rsidRPr="00AE4E8D" w:rsidRDefault="002E07D5" w:rsidP="000668B5">
      <w:pPr>
        <w:pStyle w:val="BHTexto"/>
        <w:numPr>
          <w:ilvl w:val="0"/>
          <w:numId w:val="91"/>
        </w:numPr>
        <w:rPr>
          <w:lang w:val="es-ES"/>
        </w:rPr>
      </w:pPr>
      <w:r w:rsidRPr="00AE4E8D">
        <w:rPr>
          <w:lang w:val="es-ES"/>
        </w:rPr>
        <w:t>existencia de operaciones importantes con la empresa.</w:t>
      </w:r>
    </w:p>
    <w:p w14:paraId="473370C3" w14:textId="77777777" w:rsidR="002E07D5" w:rsidRPr="00AE4E8D" w:rsidRDefault="002E07D5" w:rsidP="000668B5">
      <w:pPr>
        <w:pStyle w:val="BHTexto"/>
        <w:numPr>
          <w:ilvl w:val="0"/>
          <w:numId w:val="91"/>
        </w:numPr>
        <w:rPr>
          <w:lang w:val="es-ES"/>
        </w:rPr>
      </w:pPr>
      <w:r w:rsidRPr="00AE4E8D">
        <w:rPr>
          <w:lang w:val="es-ES"/>
        </w:rPr>
        <w:t>intercambio de personal directivo con la empresa;</w:t>
      </w:r>
    </w:p>
    <w:p w14:paraId="1B79D676" w14:textId="77777777" w:rsidR="002E07D5" w:rsidRPr="00AE4E8D" w:rsidRDefault="002E07D5" w:rsidP="000668B5">
      <w:pPr>
        <w:pStyle w:val="BHTexto"/>
        <w:numPr>
          <w:ilvl w:val="0"/>
          <w:numId w:val="91"/>
        </w:numPr>
        <w:rPr>
          <w:lang w:val="es-ES"/>
        </w:rPr>
      </w:pPr>
      <w:r w:rsidRPr="00AE4E8D">
        <w:rPr>
          <w:lang w:val="es-ES"/>
        </w:rPr>
        <w:t>dependencia técnico - administrativa de la empresa; y</w:t>
      </w:r>
    </w:p>
    <w:p w14:paraId="2C253CBE" w14:textId="77777777" w:rsidR="002E07D5" w:rsidRPr="00AE4E8D" w:rsidRDefault="002E07D5" w:rsidP="000668B5">
      <w:pPr>
        <w:pStyle w:val="BHTexto"/>
        <w:numPr>
          <w:ilvl w:val="0"/>
          <w:numId w:val="91"/>
        </w:numPr>
        <w:rPr>
          <w:lang w:val="es-ES"/>
        </w:rPr>
      </w:pPr>
      <w:r w:rsidRPr="00AE4E8D">
        <w:rPr>
          <w:lang w:val="es-ES"/>
        </w:rPr>
        <w:t>participación en la fijación de las políticas societarias de la empresa.</w:t>
      </w:r>
    </w:p>
    <w:p w14:paraId="2B9810A1" w14:textId="77777777" w:rsidR="002E07D5" w:rsidRPr="00AE4E8D" w:rsidRDefault="002E07D5" w:rsidP="000E1220">
      <w:pPr>
        <w:pStyle w:val="BH4Cursiva"/>
        <w:rPr>
          <w:lang w:val="es-ES"/>
        </w:rPr>
      </w:pPr>
      <w:r w:rsidRPr="00AE4E8D">
        <w:rPr>
          <w:lang w:val="es-ES"/>
        </w:rPr>
        <w:t>Regulaciones sobre tasa de interés en las operaciones de crédito y depósito y comisiones</w:t>
      </w:r>
    </w:p>
    <w:p w14:paraId="03C2AE88" w14:textId="77777777" w:rsidR="002E07D5" w:rsidRPr="00AE4E8D" w:rsidRDefault="002E07D5" w:rsidP="00F80D63">
      <w:pPr>
        <w:pStyle w:val="BHTexto"/>
        <w:rPr>
          <w:i/>
          <w:lang w:val="es-ES"/>
        </w:rPr>
      </w:pPr>
      <w:r w:rsidRPr="00AE4E8D">
        <w:rPr>
          <w:i/>
          <w:lang w:val="es-ES"/>
        </w:rPr>
        <w:t>Tasas de financiación máximas</w:t>
      </w:r>
    </w:p>
    <w:p w14:paraId="5EAE5A2A" w14:textId="77777777" w:rsidR="002E07D5" w:rsidRPr="00AE4E8D" w:rsidRDefault="002E07D5" w:rsidP="00F80D63">
      <w:pPr>
        <w:pStyle w:val="BHTexto"/>
        <w:rPr>
          <w:lang w:val="es-ES"/>
        </w:rPr>
      </w:pPr>
      <w:r w:rsidRPr="00AE4E8D">
        <w:rPr>
          <w:lang w:val="es-ES"/>
        </w:rPr>
        <w:t xml:space="preserve">De acuerdo con la Comunicación “A” 5590, que estuvo vigente desde junio de 2014 hasta diciembre de 2015, el </w:t>
      </w:r>
      <w:r w:rsidR="002C3DEF" w:rsidRPr="00AE4E8D">
        <w:rPr>
          <w:lang w:val="es-ES"/>
        </w:rPr>
        <w:t>BCRA</w:t>
      </w:r>
      <w:r w:rsidRPr="00AE4E8D">
        <w:rPr>
          <w:lang w:val="es-ES"/>
        </w:rPr>
        <w:t xml:space="preserve"> estableció límites a las tasas de interés en las operaciones de crédito aplicables a financiación de consumo, respecto de préstamos personales y préstamos prendarios otorgados a personas humanas</w:t>
      </w:r>
      <w:r w:rsidRPr="00AE4E8D" w:rsidDel="001B5B7E">
        <w:rPr>
          <w:lang w:val="es-ES"/>
        </w:rPr>
        <w:t xml:space="preserve"> </w:t>
      </w:r>
      <w:r w:rsidRPr="00AE4E8D">
        <w:rPr>
          <w:lang w:val="es-ES"/>
        </w:rPr>
        <w:t>usuarias de servicios financieros y que no revistan el carácter de Micro, pequeñas y medianas empresas (MiPyMEs).</w:t>
      </w:r>
    </w:p>
    <w:p w14:paraId="61C5F764" w14:textId="77777777" w:rsidR="002E07D5" w:rsidRPr="00AE4E8D" w:rsidRDefault="002E07D5" w:rsidP="00F80D63">
      <w:pPr>
        <w:pStyle w:val="BHTexto"/>
        <w:rPr>
          <w:lang w:val="es-ES"/>
        </w:rPr>
      </w:pPr>
      <w:r w:rsidRPr="00AE4E8D">
        <w:rPr>
          <w:lang w:val="es-ES"/>
        </w:rPr>
        <w:t>Conforme a estos límites, se definieron dos grupo</w:t>
      </w:r>
      <w:r w:rsidR="00577B28" w:rsidRPr="00AE4E8D">
        <w:rPr>
          <w:lang w:val="es-ES"/>
        </w:rPr>
        <w:t>s</w:t>
      </w:r>
      <w:r w:rsidRPr="00AE4E8D">
        <w:rPr>
          <w:lang w:val="es-ES"/>
        </w:rPr>
        <w:t xml:space="preserve"> de entidades: (i) entidades financieras con depósitos en pesos del sector privado no financiero, considerando que el promedio de los últimos tres meses anteriores al 1º de abril de 2014, sea igual o superior al 1% del total de los depósitos del sector privado no financiero en pesos del sistema financiero (Grupo I) y (ii) todas las demás entidades financieras (Grupo II).</w:t>
      </w:r>
    </w:p>
    <w:p w14:paraId="02B09405" w14:textId="77777777" w:rsidR="002E07D5" w:rsidRPr="00AE4E8D" w:rsidRDefault="002E07D5" w:rsidP="00F80D63">
      <w:pPr>
        <w:pStyle w:val="BHTexto"/>
        <w:rPr>
          <w:lang w:val="es-ES"/>
        </w:rPr>
      </w:pPr>
      <w:r w:rsidRPr="00AE4E8D">
        <w:rPr>
          <w:lang w:val="es-ES"/>
        </w:rPr>
        <w:t xml:space="preserve">En el caso de entidades comprendidas dentro del Grupo I, el </w:t>
      </w:r>
      <w:r w:rsidR="002C3DEF" w:rsidRPr="00AE4E8D">
        <w:rPr>
          <w:lang w:val="es-ES"/>
        </w:rPr>
        <w:t>BCRA</w:t>
      </w:r>
      <w:r w:rsidRPr="00AE4E8D">
        <w:rPr>
          <w:lang w:val="es-ES"/>
        </w:rPr>
        <w:t xml:space="preserve"> publicaba mensualmente las tasas de interés máxima que estas entidades financieras estaban autorizadas a aplicar a cada financiación que desembolse y/o repacte. Las tasas de interés máxima estaban basadas en el producto de multiplicar la “tasa de interés de referencia” más reciente (según lo publicado por el </w:t>
      </w:r>
      <w:r w:rsidR="002C3DEF" w:rsidRPr="00AE4E8D">
        <w:rPr>
          <w:lang w:val="es-ES"/>
        </w:rPr>
        <w:t>BCRA</w:t>
      </w:r>
      <w:r w:rsidRPr="00AE4E8D">
        <w:rPr>
          <w:lang w:val="es-ES"/>
        </w:rPr>
        <w:t xml:space="preserve"> sobre la base del promedio simple de las tasas de corte de Letras del BCRA en pesos, de plazo más próximo a los 90 días, del segundo mes inmediato anterior al de desembolso de las financiaciones) por los siguientes múltiplos: (i) respecto de préstamos prendarios: 1,25; (ii) respecto de adelantos, financiaciones de tarjetas de crédito y préstamos hipotecarios sobre la vivienda asignadas a entidades financieras por terceros, como acreencias respecto de fideicomisos cuyos activos fideicomitidos estuvieran constituidos por éstos, y como garantía de financiaciones: 2; y (iii) respecto de préstamos personales: 1,45.</w:t>
      </w:r>
    </w:p>
    <w:p w14:paraId="4B2B2B61" w14:textId="77777777" w:rsidR="002E07D5" w:rsidRPr="00AE4E8D" w:rsidRDefault="002E07D5" w:rsidP="00F80D63">
      <w:pPr>
        <w:pStyle w:val="BHTexto"/>
        <w:rPr>
          <w:lang w:val="es-ES"/>
        </w:rPr>
      </w:pPr>
      <w:r w:rsidRPr="00AE4E8D">
        <w:rPr>
          <w:lang w:val="es-ES"/>
        </w:rPr>
        <w:lastRenderedPageBreak/>
        <w:t>En el caso del Grupo II, los múltiplos aplicados eran los siguientes (i) respecto de préstamos prendarios: 1,40; (ii) respecto de adelantos, financiaciones de tarjetas de crédito y préstamos hipotecarios sobre la vivienda asignadas a entidades financieras por terceros, como acreencias respecto de fideicomisos cuyos activos fideicomitidos estuviera constituidos por éstos, y como garantía de financiaciones: 2; y (iii) respecto de préstamos personales: 1,80.</w:t>
      </w:r>
    </w:p>
    <w:p w14:paraId="522BFE7B" w14:textId="77777777" w:rsidR="002E07D5" w:rsidRPr="00AE4E8D" w:rsidRDefault="002E07D5" w:rsidP="00F80D63">
      <w:pPr>
        <w:pStyle w:val="BHTexto"/>
        <w:rPr>
          <w:lang w:val="es-ES"/>
        </w:rPr>
      </w:pPr>
      <w:r w:rsidRPr="00AE4E8D">
        <w:rPr>
          <w:lang w:val="es-ES"/>
        </w:rPr>
        <w:t xml:space="preserve">Con fecha 17 de diciembre de 2015, el </w:t>
      </w:r>
      <w:r w:rsidR="002C3DEF" w:rsidRPr="00AE4E8D">
        <w:rPr>
          <w:lang w:val="es-ES"/>
        </w:rPr>
        <w:t>BCRA</w:t>
      </w:r>
      <w:r w:rsidRPr="00AE4E8D">
        <w:rPr>
          <w:lang w:val="es-ES"/>
        </w:rPr>
        <w:t xml:space="preserve"> emitió la Comunicación “A” 5853, por medio de la cual dejó sin efecto para las nuevas operaciones que se concierten a partir de dicha fecha, inclusive, las disposiciones que establecían las tasas de interés máximas aplicables las operaciones de crédito que se describen precedentemente. Asimismo, la Comunicación “A” 5853 estableció como criterio básico que las tasas de interés compensatorio se concertarán libremente entre las entidades financieras y los clientes teniendo en cuenta, de corresponder, las disposiciones establecidas en los casos de regímenes específicos, tales como las normas del </w:t>
      </w:r>
      <w:r w:rsidR="002C3DEF" w:rsidRPr="00AE4E8D">
        <w:rPr>
          <w:lang w:val="es-ES"/>
        </w:rPr>
        <w:t>BCRA</w:t>
      </w:r>
      <w:r w:rsidRPr="00AE4E8D">
        <w:rPr>
          <w:lang w:val="es-ES"/>
        </w:rPr>
        <w:t xml:space="preserve"> que establecen la tasa de interés aplicable a préstamos de tarjetas de crédito. </w:t>
      </w:r>
    </w:p>
    <w:p w14:paraId="7CCEA825" w14:textId="77777777" w:rsidR="002E07D5" w:rsidRPr="00AE4E8D" w:rsidRDefault="002E07D5" w:rsidP="00F80D63">
      <w:pPr>
        <w:pStyle w:val="BHTexto"/>
        <w:rPr>
          <w:lang w:val="es-ES"/>
        </w:rPr>
      </w:pPr>
      <w:r w:rsidRPr="00AE4E8D">
        <w:rPr>
          <w:lang w:val="es-ES"/>
        </w:rPr>
        <w:t xml:space="preserve">Con relación a las operaciones concertadas a tasa regulada los incumplimientos que se detecten hasta el 31 de diciembre de 2015, se tratarán conforme a las normas vigentes al 16 de diciembre de 2015; de tratarse de incumplimientos que se detecten a partir del 1° de enero de 2016, serán de aplicación las disposiciones dadas a conocer mediante la Comunicación “A” 5849. La Comunicación “A” 5849 establece el procedimiento para el reintegro a </w:t>
      </w:r>
      <w:r w:rsidR="00275216" w:rsidRPr="00AE4E8D">
        <w:rPr>
          <w:lang w:val="es-ES"/>
        </w:rPr>
        <w:t xml:space="preserve">consumidores </w:t>
      </w:r>
      <w:r w:rsidRPr="00AE4E8D">
        <w:rPr>
          <w:lang w:val="es-ES"/>
        </w:rPr>
        <w:t>del importe cobrado en exceso por entidades financieras de la tasa de interés máxima aplicable a operaciones de crédito.</w:t>
      </w:r>
    </w:p>
    <w:p w14:paraId="1F159020" w14:textId="77777777" w:rsidR="002E07D5" w:rsidRPr="00AE4E8D" w:rsidRDefault="002E07D5" w:rsidP="00F80D63">
      <w:pPr>
        <w:pStyle w:val="BHTexto"/>
        <w:rPr>
          <w:lang w:val="es-ES"/>
        </w:rPr>
      </w:pPr>
      <w:r w:rsidRPr="00AE4E8D">
        <w:rPr>
          <w:lang w:val="es-ES"/>
        </w:rPr>
        <w:t>Tasas mínimas para depósitos e inversiones a plazo</w:t>
      </w:r>
    </w:p>
    <w:p w14:paraId="1946D8B2" w14:textId="77777777" w:rsidR="002E07D5" w:rsidRPr="00AE4E8D" w:rsidRDefault="002E07D5" w:rsidP="00F80D63">
      <w:pPr>
        <w:pStyle w:val="BHTexto"/>
        <w:rPr>
          <w:lang w:val="es-ES"/>
        </w:rPr>
      </w:pPr>
      <w:r w:rsidRPr="00AE4E8D">
        <w:rPr>
          <w:lang w:val="es-ES"/>
        </w:rPr>
        <w:t xml:space="preserve">Según la Comunicación “A” 5640, que se aplicó desde octubre de 2014 a diciembre de 2015, el </w:t>
      </w:r>
      <w:r w:rsidR="002C3DEF" w:rsidRPr="00AE4E8D">
        <w:rPr>
          <w:lang w:val="es-ES"/>
        </w:rPr>
        <w:t>BCRA</w:t>
      </w:r>
      <w:r w:rsidRPr="00AE4E8D">
        <w:rPr>
          <w:lang w:val="es-ES"/>
        </w:rPr>
        <w:t xml:space="preserve"> estableció tasas de interés mínimas aplicables a depósitos a plazo efectuados por personas humanas</w:t>
      </w:r>
      <w:r w:rsidRPr="00AE4E8D" w:rsidDel="001B5B7E">
        <w:rPr>
          <w:lang w:val="es-ES"/>
        </w:rPr>
        <w:t xml:space="preserve"> </w:t>
      </w:r>
      <w:r w:rsidRPr="00AE4E8D">
        <w:rPr>
          <w:lang w:val="es-ES"/>
        </w:rPr>
        <w:t xml:space="preserve">(por un monto de capital equivalente o inferior al monto en ese momento cubierto por SEDESA) (es decir, depósitos que no superen los Ps. 350.000). La Comunicación “A” 5659, emitida el 31 de octubre de 2015, aumentó el aporte que los bancos debían destinar mensualmente al Fondo de Garantía de los Depósitos, del 0,015% al 0,060% del promedio mensual del saldo de depósitos diarios. El 7 de abril de 2016, el </w:t>
      </w:r>
      <w:r w:rsidR="002C3DEF" w:rsidRPr="00AE4E8D">
        <w:rPr>
          <w:lang w:val="es-ES"/>
        </w:rPr>
        <w:t>BCRA</w:t>
      </w:r>
      <w:r w:rsidRPr="00AE4E8D">
        <w:rPr>
          <w:lang w:val="es-ES"/>
        </w:rPr>
        <w:t xml:space="preserve"> emitió la Comunicación “A” 5943 por la cual se retrotrajo la tasa de contribución mensual al 0,015% del promedio mensual del saldo diario de depósitos, y el 1º de mayo de 2016 el monto cubierto se amplió a Ps. 450.000).</w:t>
      </w:r>
    </w:p>
    <w:p w14:paraId="4DF3D990" w14:textId="77777777" w:rsidR="002E07D5" w:rsidRPr="00AE4E8D" w:rsidRDefault="002E07D5" w:rsidP="00F80D63">
      <w:pPr>
        <w:pStyle w:val="BHTexto"/>
        <w:rPr>
          <w:lang w:val="es-ES"/>
        </w:rPr>
      </w:pPr>
      <w:r w:rsidRPr="00AE4E8D">
        <w:rPr>
          <w:lang w:val="es-ES"/>
        </w:rPr>
        <w:t xml:space="preserve">La tasa de interés aplicable a dichos depósitos no podía ser inferior al resultado de multiplicar la “tasa de interés de referencia” más reciente (según lo publicado por el </w:t>
      </w:r>
      <w:r w:rsidR="002C3DEF" w:rsidRPr="00AE4E8D">
        <w:rPr>
          <w:lang w:val="es-ES"/>
        </w:rPr>
        <w:t>BCRA</w:t>
      </w:r>
      <w:r w:rsidRPr="00AE4E8D">
        <w:rPr>
          <w:lang w:val="es-ES"/>
        </w:rPr>
        <w:t xml:space="preserve"> sobre la base del promedio simple de las tasas de corte de Letras del BCRA en pesos, de plazo más próximo a los 90 días, del segundo mes inmediato anterior al retiro de los depósitos) por los siguientes múltiplos, dependiendo del plazo original de cada depósito: (a) de 30 a 44 días: 0,91, (b) de 45 a 59 días: 0,93, (c) de 60 a 119 días: 0,97, (d) de 120 a 179 días: 0,98, y (e) más de 180 días: 0,99.</w:t>
      </w:r>
    </w:p>
    <w:p w14:paraId="1EEE4C4C" w14:textId="77777777" w:rsidR="002E07D5" w:rsidRPr="00AE4E8D" w:rsidRDefault="002E07D5" w:rsidP="00F80D63">
      <w:pPr>
        <w:pStyle w:val="BHTexto"/>
        <w:rPr>
          <w:lang w:val="es-ES"/>
        </w:rPr>
      </w:pPr>
      <w:r w:rsidRPr="00AE4E8D">
        <w:rPr>
          <w:lang w:val="es-ES"/>
        </w:rPr>
        <w:t xml:space="preserve">Con fecha 17 de diciembre de 2015, el </w:t>
      </w:r>
      <w:r w:rsidR="002C3DEF" w:rsidRPr="00AE4E8D">
        <w:rPr>
          <w:lang w:val="es-ES"/>
        </w:rPr>
        <w:t>BCRA</w:t>
      </w:r>
      <w:r w:rsidRPr="00AE4E8D">
        <w:rPr>
          <w:lang w:val="es-ES"/>
        </w:rPr>
        <w:t xml:space="preserve"> emitió la Comunicación “A” 5853, por medio de la cual se dejó sin efecto para las nuevas operaciones que se concierten a partir de dicha fecha inclusive, las disposiciones que establecían tasas de interés mínimas aplicables a los depósitos a plazo que se describen precedentemente, estableciendo que la retribución para los depósitos a tasa fija será según la tasa que libremente se convenga. </w:t>
      </w:r>
    </w:p>
    <w:p w14:paraId="36F1B110" w14:textId="77777777" w:rsidR="002E07D5" w:rsidRPr="00AE4E8D" w:rsidRDefault="002E07D5" w:rsidP="00F80D63">
      <w:pPr>
        <w:pStyle w:val="BHTexto"/>
        <w:rPr>
          <w:lang w:val="es-ES"/>
        </w:rPr>
      </w:pPr>
      <w:r w:rsidRPr="00AE4E8D">
        <w:rPr>
          <w:lang w:val="es-ES"/>
        </w:rPr>
        <w:t>Con relación a las operaciones concertadas a tasa regulada los incumplimientos que se detecten hasta el 31 de diciembre de 2015, inclusive, se tratarán conforme a las normas vigentes al 16 de diciembre de 2015; de tratarse de incumplimientos que se detecten a partir de 1 de enero de 2016, serán de aplicación las disposiciones dadas a conocer mediante la Comunicación “A” 5849. La Comunicación “A” 5849 establece el procedimiento para reintegro al usuario por las entidades financieras del importe originado en incumplimiento al nivel de la tasa de interés mínima aplicable sobre depósitos a plazo.</w:t>
      </w:r>
    </w:p>
    <w:p w14:paraId="71228827" w14:textId="77777777" w:rsidR="002E07D5" w:rsidRPr="00AE4E8D" w:rsidRDefault="002E07D5" w:rsidP="00F80D63">
      <w:pPr>
        <w:pStyle w:val="BHTexto"/>
        <w:rPr>
          <w:i/>
          <w:lang w:val="es-ES"/>
        </w:rPr>
      </w:pPr>
      <w:r w:rsidRPr="00AE4E8D">
        <w:rPr>
          <w:i/>
          <w:lang w:val="es-ES"/>
        </w:rPr>
        <w:t>Comisiones</w:t>
      </w:r>
    </w:p>
    <w:p w14:paraId="54CE3C19" w14:textId="77777777" w:rsidR="002E07D5" w:rsidRPr="00AE4E8D" w:rsidRDefault="002E07D5" w:rsidP="00F80D63">
      <w:pPr>
        <w:pStyle w:val="BHTexto"/>
        <w:rPr>
          <w:lang w:val="es-ES"/>
        </w:rPr>
      </w:pPr>
      <w:r w:rsidRPr="00AE4E8D">
        <w:rPr>
          <w:lang w:val="es-ES"/>
        </w:rPr>
        <w:t xml:space="preserve">El 6 de octubre de 2013, el </w:t>
      </w:r>
      <w:r w:rsidR="002C3DEF" w:rsidRPr="00AE4E8D">
        <w:rPr>
          <w:lang w:val="es-ES"/>
        </w:rPr>
        <w:t>BCRA</w:t>
      </w:r>
      <w:r w:rsidRPr="00AE4E8D">
        <w:rPr>
          <w:lang w:val="es-ES"/>
        </w:rPr>
        <w:t xml:space="preserve"> emitió la Comunicación “A” 5460, otorgando protección amplia a los usuarios de servicios financieros. La protección incluye, entre otras cuestiones, la regulación de comisiones y cargos adicionales a los intereses cobrados por entidades financieras por los servicios prestados. Las comisiones y cargos adicionales deben tener origen en un costo real, directo y demostrable y estar debidamente justificados desde el punto de vista técnico y económico. Cabe destacar que la Comunicación “A” 5514 establece una excepción a la exigibilidad de la Comunicación “A” 5460 para ciertos contratos de crédito con garantía prendaria celebrados hasta el 30 de septiembre de 2018.</w:t>
      </w:r>
    </w:p>
    <w:p w14:paraId="06E475B5" w14:textId="77777777" w:rsidR="002E07D5" w:rsidRPr="00AE4E8D" w:rsidRDefault="002E07D5" w:rsidP="00F80D63">
      <w:pPr>
        <w:pStyle w:val="BHTexto"/>
        <w:rPr>
          <w:lang w:val="es-ES"/>
        </w:rPr>
      </w:pPr>
      <w:r w:rsidRPr="00AE4E8D">
        <w:rPr>
          <w:lang w:val="es-ES"/>
        </w:rPr>
        <w:lastRenderedPageBreak/>
        <w:t xml:space="preserve">El 10 de junio de 2014, el </w:t>
      </w:r>
      <w:r w:rsidR="002C3DEF" w:rsidRPr="00AE4E8D">
        <w:rPr>
          <w:lang w:val="es-ES"/>
        </w:rPr>
        <w:t>BCRA</w:t>
      </w:r>
      <w:r w:rsidRPr="00AE4E8D">
        <w:rPr>
          <w:lang w:val="es-ES"/>
        </w:rPr>
        <w:t xml:space="preserve"> emitió las Comunicaciones “A” 5591 y “A” 5592 a través de las que estableció nuevas reglas respecto de comisiones y cargos por productos y servicios financieros básicos. Comenzando en la fecha de vigencia de la norma, las entidades financieras deben contar con autorización previa del </w:t>
      </w:r>
      <w:r w:rsidR="002C3DEF" w:rsidRPr="00AE4E8D">
        <w:rPr>
          <w:lang w:val="es-ES"/>
        </w:rPr>
        <w:t>BCRA</w:t>
      </w:r>
      <w:r w:rsidRPr="00AE4E8D">
        <w:rPr>
          <w:lang w:val="es-ES"/>
        </w:rPr>
        <w:t xml:space="preserve"> para implementar aumentos a los costos de esos servicios. La norma también específicamente define qué servicios financieros son considerados básicos.</w:t>
      </w:r>
    </w:p>
    <w:p w14:paraId="05846671" w14:textId="77777777" w:rsidR="002E07D5" w:rsidRPr="00AE4E8D" w:rsidRDefault="002E07D5" w:rsidP="00F80D63">
      <w:pPr>
        <w:pStyle w:val="BHTexto"/>
        <w:rPr>
          <w:lang w:val="es-ES"/>
        </w:rPr>
      </w:pPr>
      <w:r w:rsidRPr="00AE4E8D">
        <w:rPr>
          <w:lang w:val="es-ES"/>
        </w:rPr>
        <w:t xml:space="preserve">El 23 de diciembre de 2014, el </w:t>
      </w:r>
      <w:r w:rsidR="002C3DEF" w:rsidRPr="00AE4E8D">
        <w:rPr>
          <w:lang w:val="es-ES"/>
        </w:rPr>
        <w:t>BCRA</w:t>
      </w:r>
      <w:r w:rsidRPr="00AE4E8D">
        <w:rPr>
          <w:lang w:val="es-ES"/>
        </w:rPr>
        <w:t xml:space="preserve"> emitió la Comunicación “A” 5685 modificando la Comunicación “A” 5460 estableciendo que todos los aumentos en las comisiones de nuevos productos y servicios deberán contar con autorización previa del </w:t>
      </w:r>
      <w:r w:rsidR="002C3DEF" w:rsidRPr="00AE4E8D">
        <w:rPr>
          <w:lang w:val="es-ES"/>
        </w:rPr>
        <w:t>BCRA</w:t>
      </w:r>
      <w:r w:rsidRPr="00AE4E8D">
        <w:rPr>
          <w:lang w:val="es-ES"/>
        </w:rPr>
        <w:t>.</w:t>
      </w:r>
    </w:p>
    <w:p w14:paraId="435AADAE" w14:textId="77777777" w:rsidR="002E07D5" w:rsidRPr="00AE4E8D" w:rsidRDefault="002E07D5" w:rsidP="00F80D63">
      <w:pPr>
        <w:pStyle w:val="BHTexto"/>
        <w:rPr>
          <w:lang w:val="es-ES"/>
        </w:rPr>
      </w:pPr>
      <w:r w:rsidRPr="00AE4E8D">
        <w:rPr>
          <w:lang w:val="es-ES"/>
        </w:rPr>
        <w:t xml:space="preserve">El 21 de agosto de 2015, el </w:t>
      </w:r>
      <w:r w:rsidR="002C3DEF" w:rsidRPr="00AE4E8D">
        <w:rPr>
          <w:lang w:val="es-ES"/>
        </w:rPr>
        <w:t>BCRA</w:t>
      </w:r>
      <w:r w:rsidRPr="00AE4E8D">
        <w:rPr>
          <w:lang w:val="es-ES"/>
        </w:rPr>
        <w:t xml:space="preserve"> emitió la Comunicación “A” 5795 (tal como la misma fuera modificada y complementada, incluyendo sin limitación la Comunicación “A” 5828) estableciendo normas adicionales destinadas a proteger a los usuarios de servicios financieros mediante regulaciones de refuerzo que prohíben a las entidades financieras cobrar honorarios y comisiones en relación con los productos de seguro que los usuarios contraten con carácter accesorio a un servicio financiero, independientemente de que se trate de una solicitud del usuario o de una condición establecida por la entidad financiera para acceder al servicio financiero. Al respecto, a partir del 13 de noviembre de 2015, las entidades financieras no podrán percibir retribuciones ni utilidades por tales productos de seguros que sus usuarios deban contratar ni percibirlas directa o indirectamente de la compañía de seguros.</w:t>
      </w:r>
    </w:p>
    <w:p w14:paraId="08C5C1A2" w14:textId="77777777" w:rsidR="002E07D5" w:rsidRPr="00AE4E8D" w:rsidRDefault="00275216" w:rsidP="00F80D63">
      <w:pPr>
        <w:pStyle w:val="BHTexto"/>
        <w:rPr>
          <w:lang w:val="es-ES"/>
        </w:rPr>
      </w:pPr>
      <w:r w:rsidRPr="00AE4E8D">
        <w:rPr>
          <w:lang w:val="es-ES"/>
        </w:rPr>
        <w:t>L</w:t>
      </w:r>
      <w:r w:rsidR="002E07D5" w:rsidRPr="00AE4E8D">
        <w:rPr>
          <w:lang w:val="es-ES"/>
        </w:rPr>
        <w:t>a Comunicación “A” 5828 hace una distinción entre “seguros de vida sobre saldo deudor” y “otros seguros”, estableciendo para el caso de los primeros que las entidades financieras no podrán cobrar comisiones y/o cargos asociados con esta clase de seguros. Las entidades financieras deben contratar seguros de vida sobre saldo deudor con cobertura en caso de fallecimiento o incapacidad total permanente respecto de financiaciones otorgadas a personas físicas. Por otro lado, las entidades podrán autoasegurar los riesgos de fallecimiento e incapacidad total permanente de usuarios de servicios financieros. En ambos casos, la cobertura debe cubrir íntegramente el monto adeudado en caso de fallecimiento o incapacidad total permanente del beneficiario.</w:t>
      </w:r>
    </w:p>
    <w:p w14:paraId="25A21A07" w14:textId="77777777" w:rsidR="002E07D5" w:rsidRPr="00AE4E8D" w:rsidRDefault="002E07D5" w:rsidP="00F80D63">
      <w:pPr>
        <w:pStyle w:val="BHTexto"/>
        <w:rPr>
          <w:lang w:val="es-ES"/>
        </w:rPr>
      </w:pPr>
      <w:r w:rsidRPr="00AE4E8D">
        <w:rPr>
          <w:lang w:val="es-ES"/>
        </w:rPr>
        <w:t xml:space="preserve">El 21 de marzo de 2016, el </w:t>
      </w:r>
      <w:r w:rsidR="002C3DEF" w:rsidRPr="00AE4E8D">
        <w:rPr>
          <w:lang w:val="es-ES"/>
        </w:rPr>
        <w:t>BCRA</w:t>
      </w:r>
      <w:r w:rsidRPr="00AE4E8D">
        <w:rPr>
          <w:lang w:val="es-ES"/>
        </w:rPr>
        <w:t xml:space="preserve"> emitió la Comunicación “A” 5927 (complementada por la Comunicación “A” 5928), que establece nuevas reglas destinadas a la protección de usuarios de servicios financieros. En este sentido, a partir del 1º de abril de 2016, las transferencias electrónicas de clientes que revistan la condición de usuarios de servicios financieros no se encontrarán sujetas a cargos y/o comisiones. Para los clientes que no revistan esta condición (como ciertas compañías) no se encontrarán sujetas a cargos y/o comisiones las transferencias por medios electrónicos por hasta el importe de Ps. 250.000. La Comunicación “A” 5927 también establece que pueden cursarse transferencias inmediatas de fondos a través de Internet (“home banking”) por importes de hasta Ps. 100.000 por día y por cuenta, todos los días del año.</w:t>
      </w:r>
    </w:p>
    <w:p w14:paraId="56CD3E88" w14:textId="77777777" w:rsidR="002E07D5" w:rsidRPr="00AE4E8D" w:rsidRDefault="002E07D5" w:rsidP="00F80D63">
      <w:pPr>
        <w:pStyle w:val="BHTexto"/>
        <w:rPr>
          <w:lang w:val="es-ES"/>
        </w:rPr>
      </w:pPr>
      <w:r w:rsidRPr="00AE4E8D">
        <w:rPr>
          <w:lang w:val="es-ES"/>
        </w:rPr>
        <w:t xml:space="preserve">El 21 de marzo de 2016, el </w:t>
      </w:r>
      <w:r w:rsidR="002C3DEF" w:rsidRPr="00AE4E8D">
        <w:rPr>
          <w:lang w:val="es-ES"/>
        </w:rPr>
        <w:t>BCRA</w:t>
      </w:r>
      <w:r w:rsidRPr="00AE4E8D">
        <w:rPr>
          <w:lang w:val="es-ES"/>
        </w:rPr>
        <w:t xml:space="preserve"> emitió la Comunicación “A” 5928, según la cual todas las cajas de ahorro serán gratuitas, incluido el uso de la tarjeta de débito correspondiente. Al respecto, se establece que todas las cajas de ahorro tanto nuevas como existentes serán ahora gratuitas. Las cajas de ahorro no tendrán requisitos de monto mínimo ni cargos relacionados con su apertura, mantenimiento o renovación. Así también, según esta regulación, las comisiones podrían ser aumentadas hasta el 20% debiendo los clientes ser notificados de tal circunstancia con una anticipación de 60 días. Asimismo, con fecha 1º de septiembre de 2016 se eliminarán los topes sobre comisiones, pero las entidades financieras deberán notificar a sus clientes respecto de las comisiones que cobren otras entidades financieras.</w:t>
      </w:r>
    </w:p>
    <w:p w14:paraId="1AE4C5E5" w14:textId="77777777" w:rsidR="002E07D5" w:rsidRPr="00AE4E8D" w:rsidRDefault="002E07D5" w:rsidP="00F80D63">
      <w:pPr>
        <w:pStyle w:val="BHTexto"/>
        <w:rPr>
          <w:lang w:val="es-ES"/>
        </w:rPr>
      </w:pPr>
      <w:r w:rsidRPr="00AE4E8D">
        <w:rPr>
          <w:lang w:val="es-ES"/>
        </w:rPr>
        <w:t>Otorgamiento obligatorio de línea de créditos para la inversión productiva.</w:t>
      </w:r>
    </w:p>
    <w:p w14:paraId="5588978A" w14:textId="77777777" w:rsidR="002E07D5" w:rsidRPr="00AE4E8D" w:rsidRDefault="002E07D5" w:rsidP="00F80D63">
      <w:pPr>
        <w:pStyle w:val="BHTexto"/>
        <w:rPr>
          <w:lang w:val="es-ES"/>
        </w:rPr>
      </w:pPr>
      <w:r w:rsidRPr="00AE4E8D">
        <w:rPr>
          <w:lang w:val="es-ES"/>
        </w:rPr>
        <w:t xml:space="preserve">El 5 de julio de 2012, el </w:t>
      </w:r>
      <w:r w:rsidR="002C3DEF" w:rsidRPr="00AE4E8D">
        <w:rPr>
          <w:lang w:val="es-ES"/>
        </w:rPr>
        <w:t>BCRA</w:t>
      </w:r>
      <w:r w:rsidRPr="00AE4E8D">
        <w:rPr>
          <w:lang w:val="es-ES"/>
        </w:rPr>
        <w:t xml:space="preserve"> emitió la comunicación “A” 5319 disponiendo que las entidades financieras deben otorgar líneas de crédito para la inversión productiva (el “Cupo 2012”), de acuerdo con los términos y condiciones allí </w:t>
      </w:r>
      <w:proofErr w:type="gramStart"/>
      <w:r w:rsidRPr="00AE4E8D">
        <w:rPr>
          <w:lang w:val="es-ES"/>
        </w:rPr>
        <w:t>descriptos</w:t>
      </w:r>
      <w:proofErr w:type="gramEnd"/>
      <w:r w:rsidRPr="00AE4E8D">
        <w:rPr>
          <w:lang w:val="es-ES"/>
        </w:rPr>
        <w:t xml:space="preserve">. Posteriormente el </w:t>
      </w:r>
      <w:r w:rsidR="002C3DEF" w:rsidRPr="00AE4E8D">
        <w:rPr>
          <w:lang w:val="es-ES"/>
        </w:rPr>
        <w:t>BCRA</w:t>
      </w:r>
      <w:r w:rsidRPr="00AE4E8D">
        <w:rPr>
          <w:lang w:val="es-ES"/>
        </w:rPr>
        <w:t xml:space="preserve"> emitió la Comunicación “A” 5380 y “A” 5449 (el “Cupo 2013”), “A” 5516 y “A” 5600 (el “Cupo 2014”), “A” 5681 y “A” 5771 (el “Cupo 2015”), “A” 5874 y “A” 5975 (el “Cupo 2016”) , y “A” 6084 (el “Cupo 2017) estableciendo nuevas regulaciones aplicables a líneas de crédito para inversiones productivas (el “Cupo”). El Cupo 2012, el Cupo 2013, el Cupo 2014, el Cupo 2015 y el Cupo 2016 no son acumulativos y deben ser cumplidos en forma independiente en cada año. Las entidades financieras sujetas a este régimen son aquéllas que operen como agentes financieros de los gobiernos nacional, provinciales, de la Ciudad Autónoma de Buenos Aires y/o municipales y/o cuyo importe total promedio de depósitos, considerando el promedio mensual de saldos diarios en un período de tres meses, sea igual o superior al 1% del total de los depósitos del sistema financiero.</w:t>
      </w:r>
    </w:p>
    <w:p w14:paraId="742A6F8F" w14:textId="77777777" w:rsidR="002E07D5" w:rsidRPr="00AE4E8D" w:rsidRDefault="002E07D5" w:rsidP="00F80D63">
      <w:pPr>
        <w:pStyle w:val="BHTexto"/>
        <w:rPr>
          <w:lang w:val="es-ES"/>
        </w:rPr>
      </w:pPr>
    </w:p>
    <w:p w14:paraId="1B06A668" w14:textId="77777777" w:rsidR="002E07D5" w:rsidRPr="00AE4E8D" w:rsidRDefault="002E07D5" w:rsidP="00F80D63">
      <w:pPr>
        <w:pStyle w:val="BHTexto"/>
        <w:rPr>
          <w:u w:val="single"/>
          <w:lang w:val="es-ES"/>
        </w:rPr>
      </w:pPr>
      <w:r w:rsidRPr="00AE4E8D">
        <w:rPr>
          <w:u w:val="single"/>
          <w:lang w:val="es-ES"/>
        </w:rPr>
        <w:lastRenderedPageBreak/>
        <w:t>Cupo 2016</w:t>
      </w:r>
    </w:p>
    <w:p w14:paraId="692A9528" w14:textId="77777777" w:rsidR="002E07D5" w:rsidRPr="00AE4E8D" w:rsidRDefault="002E07D5" w:rsidP="00F80D63">
      <w:pPr>
        <w:pStyle w:val="BHTexto"/>
        <w:rPr>
          <w:lang w:val="es-ES"/>
        </w:rPr>
      </w:pPr>
      <w:r w:rsidRPr="00AE4E8D">
        <w:rPr>
          <w:lang w:val="es-ES"/>
        </w:rPr>
        <w:t xml:space="preserve">La Comunicación “A” 5874 y Comunicación “A” 5975 del </w:t>
      </w:r>
      <w:r w:rsidR="002C3DEF" w:rsidRPr="00AE4E8D">
        <w:rPr>
          <w:lang w:val="es-ES"/>
        </w:rPr>
        <w:t>BCRA</w:t>
      </w:r>
      <w:r w:rsidRPr="00AE4E8D">
        <w:rPr>
          <w:lang w:val="es-ES"/>
        </w:rPr>
        <w:t xml:space="preserve"> establecieron los siguientes lineamientos para el Cupo 2016: </w:t>
      </w:r>
    </w:p>
    <w:p w14:paraId="21A91446" w14:textId="77777777" w:rsidR="002E07D5" w:rsidRPr="00AE4E8D" w:rsidRDefault="002E07D5" w:rsidP="00F80D63">
      <w:pPr>
        <w:pStyle w:val="BHTexto"/>
        <w:rPr>
          <w:lang w:val="es-ES"/>
        </w:rPr>
      </w:pPr>
      <w:r w:rsidRPr="00AE4E8D">
        <w:rPr>
          <w:lang w:val="es-ES"/>
        </w:rPr>
        <w:t>Las entidades financieras que operen como agentes financieros de los gobiernos Nacional, provinciales, de la Ciudad Autónoma de Buenos Aires y/o municipales y/o cuya participación en los depósitos del sector privado no financiero en pesos del sistema financiero sea igual o superior al 1%, considerando el promedio simple de los saldos diarios de los depósitos del sector privado no financiero en pesos del semestre calendario anterior, deberán otorgar líneas de crédito que sean, como mínimo, equivalente al 14% de los depósitos del sector privado no financiero en pesos, calculado en función del promedio mensual de saldos diarios de noviembre de 2015, y a partir del 1 de julio de 2016, equivalente al 15,5% de los depósitos del sector privado no financiero en pesos, calculado en función del promedio mensual de saldos diarios de mayo de 2016.</w:t>
      </w:r>
    </w:p>
    <w:p w14:paraId="6E7B74C1" w14:textId="77777777" w:rsidR="002E07D5" w:rsidRPr="00AE4E8D" w:rsidRDefault="002E07D5" w:rsidP="00F80D63">
      <w:pPr>
        <w:pStyle w:val="BHTexto"/>
        <w:rPr>
          <w:lang w:val="es-ES"/>
        </w:rPr>
      </w:pPr>
      <w:r w:rsidRPr="00AE4E8D">
        <w:rPr>
          <w:lang w:val="es-ES"/>
        </w:rPr>
        <w:t>De tratarse de entidades alcanzadas cuya participación en los depósitos del sector privado no financiero en pesos sea inferior al 0,25% -calculada conforme lo descripto en el párrafo anterior- el porcentaje a aplicar será, como mínimo, del 8%, y a partir del 1 de julio de 2016 y hasta el 31 de diciembre de 2016, como mínimo, del 9%.</w:t>
      </w:r>
    </w:p>
    <w:p w14:paraId="113AFA37" w14:textId="77777777" w:rsidR="002E07D5" w:rsidRPr="00AE4E8D" w:rsidRDefault="002E07D5" w:rsidP="00F80D63">
      <w:pPr>
        <w:pStyle w:val="BHTexto"/>
        <w:rPr>
          <w:lang w:val="es-ES"/>
        </w:rPr>
      </w:pPr>
      <w:r w:rsidRPr="00AE4E8D">
        <w:rPr>
          <w:lang w:val="es-ES"/>
        </w:rPr>
        <w:t xml:space="preserve">Al menos el 75% del Cupo 2016 deberá ser destinado a líneas de crédito para pequeñas, medianas y microempresas. </w:t>
      </w:r>
    </w:p>
    <w:p w14:paraId="1E9DCB40" w14:textId="77777777" w:rsidR="002E07D5" w:rsidRPr="00AE4E8D" w:rsidRDefault="002E07D5" w:rsidP="00F80D63">
      <w:pPr>
        <w:pStyle w:val="BHTexto"/>
        <w:rPr>
          <w:lang w:val="es-ES"/>
        </w:rPr>
      </w:pPr>
      <w:r w:rsidRPr="00AE4E8D">
        <w:rPr>
          <w:lang w:val="es-ES"/>
        </w:rPr>
        <w:t xml:space="preserve">Las mencionadas </w:t>
      </w:r>
      <w:r w:rsidR="000E1220" w:rsidRPr="00AE4E8D">
        <w:rPr>
          <w:lang w:val="es-ES"/>
        </w:rPr>
        <w:t>Comunicaciones</w:t>
      </w:r>
      <w:r w:rsidRPr="00AE4E8D">
        <w:rPr>
          <w:lang w:val="es-ES"/>
        </w:rPr>
        <w:t xml:space="preserve"> (y sus modificatorias) establecieron qué tipo de financiaciones podrán otorgarse a efectos de que las mismas puedan ser consideradas elegibles para su cómputo dentro del Cupo 2016, entre ellas: </w:t>
      </w:r>
    </w:p>
    <w:p w14:paraId="268B23BA" w14:textId="77777777" w:rsidR="002E07D5" w:rsidRPr="00AE4E8D" w:rsidRDefault="002E07D5" w:rsidP="000E1220">
      <w:pPr>
        <w:pStyle w:val="BHTexto"/>
        <w:ind w:left="567"/>
        <w:rPr>
          <w:lang w:val="es-ES"/>
        </w:rPr>
      </w:pPr>
      <w:r w:rsidRPr="00AE4E8D">
        <w:rPr>
          <w:lang w:val="es-ES"/>
        </w:rPr>
        <w:t xml:space="preserve">(i) financiación de proyectos de inversión (entendiéndose por tales las financiaciones destinadas a la adquisición de bienes de capital y/o a la construcción de instalaciones necesarias para la producción de bienes y/o servicios y a la comercialización de bienes y/o servicios, a la financiación de capital de trabajo de proyectos de inversión por hasta un monto equivalente al 20% del importe total del proyecto, la adquisición de inmuebles, en la medida en que el importe de la financiación no supere el 70% del valor atribuible a las construcciones efectuadas sobre el terreno, financiaciones para la adquisición de automotores y maquinaria, las cuales deberán concretarse al mismo precio de venta que en operaciones de contado, entre otras); </w:t>
      </w:r>
    </w:p>
    <w:p w14:paraId="42E6695E" w14:textId="77777777" w:rsidR="002E07D5" w:rsidRPr="00AE4E8D" w:rsidRDefault="002E07D5" w:rsidP="000E1220">
      <w:pPr>
        <w:pStyle w:val="BHTexto"/>
        <w:ind w:left="567"/>
        <w:rPr>
          <w:lang w:val="es-ES"/>
        </w:rPr>
      </w:pPr>
      <w:r w:rsidRPr="00AE4E8D">
        <w:rPr>
          <w:lang w:val="es-ES"/>
        </w:rPr>
        <w:t xml:space="preserve">(ii) descuento de cheques de pago diferido, certificados de obra pública -o documento que lo reemplace- y facturas y pagarés a clientes que sean pequeñas, medianas y microempresas por hasta un monto equivalente al 30% del Cupo para el primer semestre 2016 y por el total del Cupo para el segundo semestre 2016; </w:t>
      </w:r>
    </w:p>
    <w:p w14:paraId="1C6509FA" w14:textId="77777777" w:rsidR="002E07D5" w:rsidRPr="00AE4E8D" w:rsidRDefault="002E07D5" w:rsidP="000E1220">
      <w:pPr>
        <w:pStyle w:val="BHTexto"/>
        <w:ind w:left="567"/>
        <w:rPr>
          <w:lang w:val="es-ES"/>
        </w:rPr>
      </w:pPr>
      <w:r w:rsidRPr="00AE4E8D">
        <w:rPr>
          <w:lang w:val="es-ES"/>
        </w:rPr>
        <w:t xml:space="preserve">(iii) incorporación, mediante cesión o descuento, de financiaciones otorgadas a usuarios de servicios financieros, o de acreencias respecto de fideicomisos cuyos activos fideicomitidos sean -principalmente- esas financiaciones otorgadas por entidades financieras no alcanzadas por las mencionadas normas, con un costo financiero total nominal anual no superior al 27% para las financiaciones acordadas hasta el 31 de octubre de 2016 y 21% para las acordadas a partir del 1 de noviembre de 2016, las cuales podrán alcanzar hasta el 5% del Cupo 2016; </w:t>
      </w:r>
    </w:p>
    <w:p w14:paraId="6B3C7297" w14:textId="77777777" w:rsidR="002E07D5" w:rsidRPr="00AE4E8D" w:rsidRDefault="002E07D5" w:rsidP="000E1220">
      <w:pPr>
        <w:pStyle w:val="BHTexto"/>
        <w:ind w:left="567"/>
        <w:rPr>
          <w:lang w:val="es-ES"/>
        </w:rPr>
      </w:pPr>
      <w:r w:rsidRPr="00AE4E8D">
        <w:rPr>
          <w:lang w:val="es-ES"/>
        </w:rPr>
        <w:t xml:space="preserve">(iv) microcréditos otorgados a microemprendedores quienes cumplan con ciertos requisitos (entre ellos, no reúnan individualmente o en su grupo familiar, ingresos superiores a dos salarios mínimos vital y móvil y no se encuentren inscriptos en el impuesto al valor agregado, el impuesto a las ganancias y a los bienes personales en la AFIP). Complementariamente se podrá otorgar al microemprendedor créditos para la adquisición de bienes o servicios para consumo; </w:t>
      </w:r>
    </w:p>
    <w:p w14:paraId="09050298" w14:textId="77777777" w:rsidR="002E07D5" w:rsidRPr="00AE4E8D" w:rsidRDefault="002E07D5" w:rsidP="000E1220">
      <w:pPr>
        <w:pStyle w:val="BHTexto"/>
        <w:ind w:left="567"/>
        <w:rPr>
          <w:lang w:val="es-ES"/>
        </w:rPr>
      </w:pPr>
      <w:r w:rsidRPr="00AE4E8D">
        <w:rPr>
          <w:lang w:val="es-ES"/>
        </w:rPr>
        <w:t xml:space="preserve">(v) préstamos que se otorguen a personas humanas a una tasa de interés de hasta el 22% nominal anual para el primer año y a partir del segundo año, de no continuarse con dicha tasa, a una tasa variable equivalente a Tasa Badlar Bancos Privados en pesos de bancos privados, más 150 puntos básicos y que destinen esos fondos de manera directa a la adquisición de vivienda única de su grupo familiar que se instrumenten mediante cesión en garantía de los derechos sobre fideicomisos para la construcción de esos inmuebles, sujetos a ciertas condiciones. Estas financiaciones podrán alcanzar, en su conjunto, hasta el 10% del Cupo 2016; </w:t>
      </w:r>
    </w:p>
    <w:p w14:paraId="20413EE3" w14:textId="77777777" w:rsidR="002E07D5" w:rsidRPr="00AE4E8D" w:rsidRDefault="002E07D5" w:rsidP="000E1220">
      <w:pPr>
        <w:pStyle w:val="BHTexto"/>
        <w:ind w:left="567"/>
        <w:rPr>
          <w:lang w:val="es-ES"/>
        </w:rPr>
      </w:pPr>
      <w:r w:rsidRPr="00AE4E8D">
        <w:rPr>
          <w:lang w:val="es-ES"/>
        </w:rPr>
        <w:t>(</w:t>
      </w:r>
      <w:proofErr w:type="gramStart"/>
      <w:r w:rsidRPr="00AE4E8D">
        <w:rPr>
          <w:lang w:val="es-ES"/>
        </w:rPr>
        <w:t>vi</w:t>
      </w:r>
      <w:proofErr w:type="gramEnd"/>
      <w:r w:rsidRPr="00AE4E8D">
        <w:rPr>
          <w:lang w:val="es-ES"/>
        </w:rPr>
        <w:t xml:space="preserve">) préstamos hipotecarios para individuos destinados a la compra, construcción o ampliación de viviendas, a una tasa de interés de hasta el 22% nominal anual para el primer año y a partir del segundo año, de no continuarse con dicha tasa, a una tasa variable equivalente a Tasa Badlar </w:t>
      </w:r>
      <w:r w:rsidRPr="00AE4E8D">
        <w:rPr>
          <w:lang w:val="es-ES"/>
        </w:rPr>
        <w:lastRenderedPageBreak/>
        <w:t xml:space="preserve">Bancos Privados de bancos privados, más 150 puntos básicos, los cuales podrán alcanzar hasta el 10% del Cupo 2016; </w:t>
      </w:r>
    </w:p>
    <w:p w14:paraId="021650C0" w14:textId="77777777" w:rsidR="002E07D5" w:rsidRPr="00AE4E8D" w:rsidRDefault="002E07D5" w:rsidP="000E1220">
      <w:pPr>
        <w:pStyle w:val="BHTexto"/>
        <w:ind w:left="567"/>
        <w:rPr>
          <w:lang w:val="es-ES"/>
        </w:rPr>
      </w:pPr>
      <w:r w:rsidRPr="00AE4E8D">
        <w:rPr>
          <w:lang w:val="es-ES"/>
        </w:rPr>
        <w:t xml:space="preserve">(vii) asistencias acordadas a personas humanas y/o jurídicas en zonas en situación de emergencia por catástrofes naturales las cuales podrán alcanzar hasta el 15% del Cupo 2016; </w:t>
      </w:r>
    </w:p>
    <w:p w14:paraId="2D2497C3" w14:textId="77777777" w:rsidR="002E07D5" w:rsidRPr="00AE4E8D" w:rsidRDefault="002E07D5" w:rsidP="000E1220">
      <w:pPr>
        <w:pStyle w:val="BHTexto"/>
        <w:ind w:left="567"/>
        <w:rPr>
          <w:lang w:val="es-ES"/>
        </w:rPr>
      </w:pPr>
      <w:r w:rsidRPr="00AE4E8D">
        <w:rPr>
          <w:lang w:val="es-ES"/>
        </w:rPr>
        <w:t>(viii) financiaciones otorgadas a entidades financieras no alcanzadas por estas normas y/o a empresas que presten asistencia financiera mediante operaciones de arrendamiento financiero, siempre que éstas destinen los fondos, a partir de la fecha de entrada en vigencia de la normativa, al otorgamiento de asistencias crediticias a MiPyMEs para la adquisición de automotores y/o maquinaria a un precio de venta que no sea superior al de operaciones de contado -precio de lista, neto de eventuales promociones generales que pudieran existir- y en las condiciones de esta línea. Los fondos deberán ser aplicados en un plazo no mayor a 10 días hábiles entre la fecha en que reciben la asistencia de la entidad financiera y su aplicación crediticia a MiPyMEs (Comunicación “A” 5929); y</w:t>
      </w:r>
    </w:p>
    <w:p w14:paraId="6FDEEEA7" w14:textId="77777777" w:rsidR="002E07D5" w:rsidRPr="00AE4E8D" w:rsidRDefault="002E07D5" w:rsidP="000E1220">
      <w:pPr>
        <w:pStyle w:val="BHTexto"/>
        <w:ind w:left="567"/>
        <w:rPr>
          <w:lang w:val="es-ES"/>
        </w:rPr>
      </w:pPr>
      <w:r w:rsidRPr="00AE4E8D">
        <w:rPr>
          <w:lang w:val="es-ES"/>
        </w:rPr>
        <w:t xml:space="preserve">(ix) a partir del 1 de agosto de 2016, para capital de trabajo a MiPyMEs que se destinen a la actividad ganadera -para la adquisición y/o producción de ganado bovino, ovino, porcino, aves de corral, apicultura, etc.-, tambera (lechería) u otras actividades productivas desarrolladas en economías regionales que cuenten con la cobertura prevista en el punto 2.2.9. </w:t>
      </w:r>
      <w:proofErr w:type="gramStart"/>
      <w:r w:rsidRPr="00AE4E8D">
        <w:rPr>
          <w:lang w:val="es-ES"/>
        </w:rPr>
        <w:t>de</w:t>
      </w:r>
      <w:proofErr w:type="gramEnd"/>
      <w:r w:rsidRPr="00AE4E8D">
        <w:rPr>
          <w:lang w:val="es-ES"/>
        </w:rPr>
        <w:t xml:space="preserve"> las normas sobre “Previsiones mínimas por riesgo de incobrabilidad”, por hasta el 10% del Cupo 2016. </w:t>
      </w:r>
    </w:p>
    <w:p w14:paraId="56767334" w14:textId="77777777" w:rsidR="002E07D5" w:rsidRPr="00AE4E8D" w:rsidRDefault="002E07D5" w:rsidP="000E1220">
      <w:pPr>
        <w:pStyle w:val="BHTexto"/>
        <w:rPr>
          <w:lang w:val="es-ES"/>
        </w:rPr>
      </w:pPr>
      <w:r w:rsidRPr="00AE4E8D">
        <w:rPr>
          <w:lang w:val="es-ES"/>
        </w:rPr>
        <w:t>Las tasa de interés máxima a aplicar, excepto para las financiaciones indicadas en los puntos (iii), (v), (vi) y (vii), será del 22% nominal anual fija</w:t>
      </w:r>
      <w:r w:rsidRPr="00AE4E8D">
        <w:rPr>
          <w:rFonts w:eastAsia="Calibri"/>
          <w:lang w:val="es-ES"/>
        </w:rPr>
        <w:t xml:space="preserve"> </w:t>
      </w:r>
      <w:r w:rsidRPr="00AE4E8D">
        <w:rPr>
          <w:lang w:val="es-ES"/>
        </w:rPr>
        <w:t>para las operaciones que se acuerden hasta el 31 de octubre de 2016 y del 17 % nominal anual fija para las acordadas a partir del 1 de noviembre de 2016 o, en el caso de las financiaciones expresadas en Unidades de Valor Adquisitivo actualizables por “CER” (“</w:t>
      </w:r>
      <w:r w:rsidRPr="00AE4E8D">
        <w:rPr>
          <w:u w:val="single"/>
          <w:lang w:val="es-ES"/>
        </w:rPr>
        <w:t>UVA</w:t>
      </w:r>
      <w:r w:rsidRPr="00AE4E8D">
        <w:rPr>
          <w:lang w:val="es-ES"/>
        </w:rPr>
        <w:t>”), del 1 % nominal anual. Para las operaciones con clientes que no reúnan la condición de pequeñas, medianas y microempresas la tasa es libre.</w:t>
      </w:r>
    </w:p>
    <w:p w14:paraId="192E7985" w14:textId="77777777" w:rsidR="002E07D5" w:rsidRPr="00AE4E8D" w:rsidRDefault="002E07D5" w:rsidP="000E1220">
      <w:pPr>
        <w:pStyle w:val="BHTexto"/>
        <w:rPr>
          <w:lang w:val="es-ES"/>
        </w:rPr>
      </w:pPr>
      <w:r w:rsidRPr="00AE4E8D">
        <w:rPr>
          <w:lang w:val="es-ES"/>
        </w:rPr>
        <w:t xml:space="preserve">Las financiaciones deberán ser denominadas en pesos y tener -al momento del desembolso- un plazo promedio igual o superior a 24 meses, ponderando para ello los vencimientos de capital, sin que el plazo total sea inferior a 36 meses. Las financiaciones indicadas en el punto (i) con destino a capital de trabajo deberán tener un plazo promedio ponderado efectivo igual o superior a 24 meses. Las operaciones de descuento previstas en el punto (ii) y (iii) no tendrán plazo mínimo. Los préstamos hipotecarios indicados en el punto (vi) deberán tener un plazo mínimo de 10 años. Las financiaciones para capital de trabajo a MiPyMEs previstas en el punto (ix). </w:t>
      </w:r>
      <w:proofErr w:type="gramStart"/>
      <w:r w:rsidRPr="00AE4E8D">
        <w:rPr>
          <w:lang w:val="es-ES"/>
        </w:rPr>
        <w:t>deberán</w:t>
      </w:r>
      <w:proofErr w:type="gramEnd"/>
      <w:r w:rsidRPr="00AE4E8D">
        <w:rPr>
          <w:lang w:val="es-ES"/>
        </w:rPr>
        <w:t xml:space="preserve"> tener un plazo promedio ponderado igual o superior a 18 meses para las financiaciones acordadas hasta el 31 de octubre de 2016, y un plazo mínimo de 12 meses para aquellas acordadas a partir del 1 de noviembre de 2016. </w:t>
      </w:r>
    </w:p>
    <w:p w14:paraId="26F89ED0" w14:textId="77777777" w:rsidR="002E07D5" w:rsidRPr="00AE4E8D" w:rsidRDefault="002E07D5" w:rsidP="000E1220">
      <w:pPr>
        <w:pStyle w:val="BHTexto"/>
        <w:rPr>
          <w:lang w:val="es-ES"/>
        </w:rPr>
      </w:pPr>
      <w:r w:rsidRPr="00AE4E8D">
        <w:rPr>
          <w:lang w:val="es-ES"/>
        </w:rPr>
        <w:t>Las entidades podrán integrar esta cartera mediante préstamos otorgados en común con otras entidades, en la proporción que corresponda.</w:t>
      </w:r>
    </w:p>
    <w:p w14:paraId="2AF14D95" w14:textId="77777777" w:rsidR="002E07D5" w:rsidRPr="00AE4E8D" w:rsidRDefault="002E07D5" w:rsidP="000E1220">
      <w:pPr>
        <w:pStyle w:val="BHTexto"/>
        <w:rPr>
          <w:lang w:val="es-ES"/>
        </w:rPr>
      </w:pPr>
      <w:r w:rsidRPr="00AE4E8D">
        <w:rPr>
          <w:lang w:val="es-ES"/>
        </w:rPr>
        <w:t>En caso de admitirse cancelaciones anticipadas, el derecho a cancelación deberá ser únicamente a favor de los prestatarios.</w:t>
      </w:r>
    </w:p>
    <w:p w14:paraId="063A1391" w14:textId="77777777" w:rsidR="002E07D5" w:rsidRPr="00AE4E8D" w:rsidRDefault="002E07D5" w:rsidP="000E1220">
      <w:pPr>
        <w:pStyle w:val="BHTexto"/>
        <w:rPr>
          <w:u w:val="single"/>
          <w:lang w:val="es-ES"/>
        </w:rPr>
      </w:pPr>
      <w:r w:rsidRPr="00AE4E8D">
        <w:rPr>
          <w:u w:val="single"/>
          <w:lang w:val="es-ES"/>
        </w:rPr>
        <w:t>Cupo 2017</w:t>
      </w:r>
    </w:p>
    <w:p w14:paraId="7D0D4B42" w14:textId="77777777" w:rsidR="002E07D5" w:rsidRPr="00AE4E8D" w:rsidRDefault="002E07D5" w:rsidP="000E1220">
      <w:pPr>
        <w:pStyle w:val="BHTexto"/>
        <w:rPr>
          <w:lang w:val="es-ES"/>
        </w:rPr>
      </w:pPr>
      <w:r w:rsidRPr="00AE4E8D">
        <w:rPr>
          <w:lang w:val="es-ES"/>
        </w:rPr>
        <w:t>Las entidades financieras alcanzadas deberán mantener, a partir del 1 de enero del 2017 y hasta el 30 de julio de 2017, un saldo de financiaciones comprendidas que sea, como mínimo, equivalente al 18 % de los depósitos del sector privado no financiero en pesos, calculado en función del promedio mensual de saldos diarios de noviembre de 2016. De tratarse de entidades alcanzadas cuya participación en los depósitos del sector privado no financiero en pesos sea inferior al 0,25 % -calculada conforme al párrafo anterior- el porcentaje a aplicar será, a partir del1° de enero del 2017 y hasta el 30 de julio de 2017, como mínimo, del 10 %.”</w:t>
      </w:r>
    </w:p>
    <w:p w14:paraId="020D1BEA" w14:textId="77777777" w:rsidR="002E07D5" w:rsidRPr="00AE4E8D" w:rsidRDefault="002E07D5" w:rsidP="000E1220">
      <w:pPr>
        <w:pStyle w:val="BHTexto"/>
        <w:rPr>
          <w:i/>
          <w:lang w:val="es-ES"/>
        </w:rPr>
      </w:pPr>
      <w:r w:rsidRPr="00AE4E8D">
        <w:rPr>
          <w:i/>
          <w:lang w:val="es-ES"/>
        </w:rPr>
        <w:t>Préstamos y Unidades de Vivienda</w:t>
      </w:r>
    </w:p>
    <w:p w14:paraId="4BF49A14" w14:textId="77777777" w:rsidR="002E07D5" w:rsidRPr="00AE4E8D" w:rsidRDefault="002E07D5" w:rsidP="000E1220">
      <w:pPr>
        <w:pStyle w:val="BHTexto"/>
        <w:rPr>
          <w:lang w:val="es-ES"/>
        </w:rPr>
      </w:pPr>
      <w:r w:rsidRPr="00AE4E8D">
        <w:rPr>
          <w:lang w:val="es-ES"/>
        </w:rPr>
        <w:t xml:space="preserve">El 8 de abril de 2016, el </w:t>
      </w:r>
      <w:r w:rsidR="002C3DEF" w:rsidRPr="00AE4E8D">
        <w:rPr>
          <w:lang w:val="es-ES"/>
        </w:rPr>
        <w:t>BCRA</w:t>
      </w:r>
      <w:r w:rsidRPr="00AE4E8D">
        <w:rPr>
          <w:lang w:val="es-ES"/>
        </w:rPr>
        <w:t xml:space="preserve"> emitió la Comunicación “A” 5945, según la cual los bancos pueden tomar depósitos y otorgar nuevos préstamos ajustables por el CER, mediante un sistema indexado de ahorro cuyos instrumentos se denominan Unidades de Vivienda (“UVI”). El </w:t>
      </w:r>
      <w:r w:rsidR="002C3DEF" w:rsidRPr="00AE4E8D">
        <w:rPr>
          <w:lang w:val="es-ES"/>
        </w:rPr>
        <w:t>BCRA</w:t>
      </w:r>
      <w:r w:rsidRPr="00AE4E8D">
        <w:rPr>
          <w:lang w:val="es-ES"/>
        </w:rPr>
        <w:t xml:space="preserve"> publicará periódicamente el valor diario de cada UVI en pesos para depósitos y préstamos.</w:t>
      </w:r>
    </w:p>
    <w:p w14:paraId="01C7C258" w14:textId="77777777" w:rsidR="002E07D5" w:rsidRPr="00AE4E8D" w:rsidRDefault="002E07D5" w:rsidP="002E07D5">
      <w:pPr>
        <w:widowControl w:val="0"/>
        <w:autoSpaceDE w:val="0"/>
        <w:autoSpaceDN w:val="0"/>
        <w:adjustRightInd w:val="0"/>
        <w:spacing w:after="240"/>
        <w:jc w:val="both"/>
        <w:rPr>
          <w:rFonts w:ascii="Times New Roman" w:hAnsi="Times New Roman"/>
          <w:b/>
          <w:i/>
          <w:lang w:val="es-ES"/>
        </w:rPr>
      </w:pPr>
      <w:r w:rsidRPr="00AE4E8D">
        <w:rPr>
          <w:rFonts w:ascii="Times New Roman" w:hAnsi="Times New Roman"/>
          <w:b/>
          <w:i/>
          <w:lang w:val="es-ES"/>
        </w:rPr>
        <w:t>Sistema Cambiario</w:t>
      </w:r>
    </w:p>
    <w:p w14:paraId="6777629D" w14:textId="77777777" w:rsidR="002E07D5" w:rsidRPr="00AE4E8D" w:rsidRDefault="00275216" w:rsidP="000E1220">
      <w:pPr>
        <w:pStyle w:val="BHTexto"/>
        <w:rPr>
          <w:lang w:val="es-ES"/>
        </w:rPr>
      </w:pPr>
      <w:r w:rsidRPr="00AE4E8D">
        <w:rPr>
          <w:lang w:val="es-ES"/>
        </w:rPr>
        <w:lastRenderedPageBreak/>
        <w:t>Desde que Macri asumió el poder</w:t>
      </w:r>
      <w:r w:rsidR="002E07D5" w:rsidRPr="00AE4E8D">
        <w:rPr>
          <w:lang w:val="es-ES"/>
        </w:rPr>
        <w:t>, se produjeron cambios significativos en las normas que regulan el funcionamiento del mercado de cambios tendientes a una mayor flexibilidad en las operaciones cambiarias.</w:t>
      </w:r>
    </w:p>
    <w:p w14:paraId="6A0F072A" w14:textId="77777777" w:rsidR="002E07D5" w:rsidRPr="00AE4E8D" w:rsidRDefault="002E07D5" w:rsidP="000E1220">
      <w:pPr>
        <w:pStyle w:val="BHTexto"/>
        <w:rPr>
          <w:lang w:val="es-ES"/>
        </w:rPr>
      </w:pPr>
      <w:r w:rsidRPr="00AE4E8D">
        <w:rPr>
          <w:lang w:val="es-ES"/>
        </w:rPr>
        <w:t>Estas modificaciones, inicialmente contempladas en la Comunicación</w:t>
      </w:r>
      <w:r w:rsidR="00EB3492" w:rsidRPr="00AE4E8D">
        <w:rPr>
          <w:lang w:val="es-ES"/>
        </w:rPr>
        <w:t xml:space="preserve"> </w:t>
      </w:r>
      <w:r w:rsidRPr="00AE4E8D">
        <w:rPr>
          <w:lang w:val="es-ES"/>
        </w:rPr>
        <w:t>“</w:t>
      </w:r>
      <w:hyperlink r:id="rId30" w:tgtFrame="_blank" w:history="1">
        <w:r w:rsidRPr="00AE4E8D">
          <w:rPr>
            <w:lang w:val="es-ES"/>
          </w:rPr>
          <w:t>A” 5850</w:t>
        </w:r>
      </w:hyperlink>
      <w:r w:rsidRPr="00AE4E8D">
        <w:rPr>
          <w:lang w:val="es-ES"/>
        </w:rPr>
        <w:t>,</w:t>
      </w:r>
      <w:r w:rsidR="00EB3492" w:rsidRPr="00AE4E8D">
        <w:rPr>
          <w:lang w:val="es-ES"/>
        </w:rPr>
        <w:t xml:space="preserve"> </w:t>
      </w:r>
      <w:r w:rsidRPr="00AE4E8D">
        <w:rPr>
          <w:lang w:val="es-ES"/>
        </w:rPr>
        <w:t>Comunicación “</w:t>
      </w:r>
      <w:hyperlink r:id="rId31" w:tgtFrame="_blank" w:history="1">
        <w:r w:rsidRPr="00AE4E8D">
          <w:rPr>
            <w:lang w:val="es-ES"/>
          </w:rPr>
          <w:t>A” 5899</w:t>
        </w:r>
      </w:hyperlink>
      <w:r w:rsidRPr="00AE4E8D">
        <w:rPr>
          <w:lang w:val="es-ES"/>
        </w:rPr>
        <w:t> y Comunicación “</w:t>
      </w:r>
      <w:hyperlink r:id="rId32" w:tgtFrame="_blank" w:history="1">
        <w:r w:rsidRPr="00AE4E8D">
          <w:rPr>
            <w:lang w:val="es-ES"/>
          </w:rPr>
          <w:t>A” 5955</w:t>
        </w:r>
      </w:hyperlink>
      <w:r w:rsidRPr="00AE4E8D">
        <w:rPr>
          <w:lang w:val="es-ES"/>
        </w:rPr>
        <w:t>, entre otras, habilitaron la posibilidad de que las entidades autorizadas a operar en cambios realicen operaciones de arbitraje y canje de moneda extranjera con sus clientes, flexibilizaron las condiciones para que los residentes puedan acceder al mercado de cambios para formar activos externos y las condiciones para la repatriación de inversiones de portafolio y directas de no residentes.</w:t>
      </w:r>
    </w:p>
    <w:p w14:paraId="5D92B6D7" w14:textId="77777777" w:rsidR="002E07D5" w:rsidRPr="00AE4E8D" w:rsidRDefault="002942A2" w:rsidP="000E1220">
      <w:pPr>
        <w:pStyle w:val="BHTexto"/>
        <w:rPr>
          <w:lang w:val="es-ES"/>
        </w:rPr>
      </w:pPr>
      <w:r w:rsidRPr="00AE4E8D">
        <w:rPr>
          <w:lang w:val="es-ES"/>
        </w:rPr>
        <w:t>E</w:t>
      </w:r>
      <w:r w:rsidR="002E07D5" w:rsidRPr="00AE4E8D">
        <w:rPr>
          <w:lang w:val="es-ES"/>
        </w:rPr>
        <w:t xml:space="preserve">l </w:t>
      </w:r>
      <w:r w:rsidR="002C3DEF" w:rsidRPr="00AE4E8D">
        <w:rPr>
          <w:lang w:val="es-ES"/>
        </w:rPr>
        <w:t>BCRA</w:t>
      </w:r>
      <w:r w:rsidR="002E07D5" w:rsidRPr="00AE4E8D">
        <w:rPr>
          <w:lang w:val="es-ES"/>
        </w:rPr>
        <w:t xml:space="preserve"> continuó flexibilizando las normas en materia cambiaria</w:t>
      </w:r>
      <w:r w:rsidR="00845924" w:rsidRPr="00AE4E8D">
        <w:rPr>
          <w:lang w:val="es-ES"/>
        </w:rPr>
        <w:t xml:space="preserve"> </w:t>
      </w:r>
      <w:r w:rsidRPr="00AE4E8D">
        <w:rPr>
          <w:lang w:val="es-ES"/>
        </w:rPr>
        <w:t xml:space="preserve">a través de la </w:t>
      </w:r>
      <w:r w:rsidR="002E07D5" w:rsidRPr="00AE4E8D">
        <w:rPr>
          <w:lang w:val="es-ES"/>
        </w:rPr>
        <w:t>Comunicación “</w:t>
      </w:r>
      <w:hyperlink r:id="rId33" w:tgtFrame="_blank" w:history="1">
        <w:r w:rsidR="002E07D5" w:rsidRPr="00AE4E8D">
          <w:rPr>
            <w:lang w:val="es-ES"/>
          </w:rPr>
          <w:t>A” 6037</w:t>
        </w:r>
      </w:hyperlink>
      <w:r w:rsidRPr="00AE4E8D">
        <w:rPr>
          <w:lang w:val="es-ES"/>
        </w:rPr>
        <w:t xml:space="preserve"> del 9 de agosto de 2016,</w:t>
      </w:r>
      <w:r w:rsidR="002E07D5" w:rsidRPr="00AE4E8D">
        <w:rPr>
          <w:lang w:val="es-ES"/>
        </w:rPr>
        <w:t xml:space="preserve"> simplificando sustancialmente las condiciones generales en las que venía operando el mercado de cambios desde el año 2002.</w:t>
      </w:r>
    </w:p>
    <w:p w14:paraId="607D351D" w14:textId="77777777" w:rsidR="002E07D5" w:rsidRPr="00AE4E8D" w:rsidRDefault="002E07D5" w:rsidP="000E1220">
      <w:pPr>
        <w:pStyle w:val="BHTexto"/>
        <w:rPr>
          <w:lang w:val="es-ES"/>
        </w:rPr>
      </w:pPr>
      <w:r w:rsidRPr="00AE4E8D">
        <w:rPr>
          <w:lang w:val="es-ES"/>
        </w:rPr>
        <w:t>La nueva regulación establece que las operaciones de cambio se pueden cursar con declaración jurada del concepto que corresponda a la operación de cambio, excepto en los casos en que se establecen requisitos específicos, eliminando en general, la obligación de justificar con documentación cada operación cambiaria.</w:t>
      </w:r>
    </w:p>
    <w:p w14:paraId="3E6B7FAA" w14:textId="77777777" w:rsidR="002E07D5" w:rsidRPr="00AE4E8D" w:rsidRDefault="002E07D5" w:rsidP="000E1220">
      <w:pPr>
        <w:pStyle w:val="BHTexto"/>
        <w:rPr>
          <w:lang w:val="es-ES"/>
        </w:rPr>
      </w:pPr>
      <w:r w:rsidRPr="00AE4E8D">
        <w:rPr>
          <w:lang w:val="es-ES"/>
        </w:rPr>
        <w:t>Asimismo</w:t>
      </w:r>
      <w:r w:rsidR="00275216" w:rsidRPr="00AE4E8D">
        <w:rPr>
          <w:lang w:val="es-ES"/>
        </w:rPr>
        <w:t>,</w:t>
      </w:r>
      <w:r w:rsidRPr="00AE4E8D">
        <w:rPr>
          <w:lang w:val="es-ES"/>
        </w:rPr>
        <w:t xml:space="preserve"> las operaciones en concepto de formación de activos externos de residentes dejaron de estar sujetas a un límite de monto y se eliminaron las restricciones de acceso al mercado vinculados a operaciones de derivados con contrapartes del exterior. Por otra parte se flexibilizaron aún más las condiciones para operar en cambios en horarios extendidos.</w:t>
      </w:r>
    </w:p>
    <w:p w14:paraId="3D0D6657" w14:textId="77777777" w:rsidR="00626FCE" w:rsidRPr="00AE4E8D" w:rsidRDefault="00626FCE" w:rsidP="000E1220">
      <w:pPr>
        <w:pStyle w:val="BHTexto"/>
        <w:rPr>
          <w:lang w:val="es-ES"/>
        </w:rPr>
      </w:pPr>
      <w:r w:rsidRPr="00AE4E8D">
        <w:rPr>
          <w:lang w:val="es-ES"/>
        </w:rPr>
        <w:t>En virtud de la Resolución E 1/2017 del Ministerio de Hacienda y la Comunicación “A” 6150 del BCRA, se eliminó la obligación que exigía a los no residentes que realizaran inversiones de portafolio en el país destinada a tenencia de activos financieros del sector privado a mantener por un período de 120 días de permanencia los fondos en el país. A partir de dicha resolución y de lo dispuesto en la Comunicación “A” 6244 del BCRA, no hay restricciones de ingreso y egreso en el MULC.</w:t>
      </w:r>
    </w:p>
    <w:p w14:paraId="461BD951" w14:textId="77777777" w:rsidR="002E07D5" w:rsidRPr="00AE4E8D" w:rsidRDefault="002E07D5" w:rsidP="000E1220">
      <w:pPr>
        <w:pStyle w:val="BH4Cursiva"/>
        <w:rPr>
          <w:lang w:val="es-ES"/>
        </w:rPr>
      </w:pPr>
      <w:r w:rsidRPr="00AE4E8D">
        <w:rPr>
          <w:lang w:val="es-ES"/>
        </w:rPr>
        <w:t>Capacidad de préstamo en moneda extranjera</w:t>
      </w:r>
    </w:p>
    <w:p w14:paraId="356CDDBB" w14:textId="77777777" w:rsidR="002E07D5" w:rsidRPr="00AE4E8D" w:rsidRDefault="002E07D5" w:rsidP="000E1220">
      <w:pPr>
        <w:pStyle w:val="BHTexto"/>
        <w:rPr>
          <w:lang w:val="es-ES"/>
        </w:rPr>
      </w:pPr>
      <w:r w:rsidRPr="00AE4E8D">
        <w:rPr>
          <w:lang w:val="es-ES"/>
        </w:rPr>
        <w:t xml:space="preserve">Las normas sobre aplicación de la capacidad de préstamo de depósitos en moneda extranjera, Comunicación “A” 4851 del </w:t>
      </w:r>
      <w:r w:rsidR="002C3DEF" w:rsidRPr="00AE4E8D">
        <w:rPr>
          <w:lang w:val="es-ES"/>
        </w:rPr>
        <w:t>BCRA</w:t>
      </w:r>
      <w:r w:rsidRPr="00AE4E8D">
        <w:rPr>
          <w:lang w:val="es-ES"/>
        </w:rPr>
        <w:t xml:space="preserve">, según fuera modificada, establecen que la capacidad de préstamo de los depósitos en moneda extranjera, incluidos los depósitos en dólares estadounidenses a ser liquidados en pesos, debe quedar comprendida en una de las siguientes categorías: (a) prefinanciación y financiación de exportaciones que se efectúen directamente o a través de mandatarios, consignatarios u otros intermediarios actuantes por cuenta y orden del propietario de las mercaderías; (b) financiaciones a productores, procesadores o acopiadores de bienes, siempre que cuenten con contratos de venta en firme de la mercadería a un exportador, con precio fijado en moneda extranjera -independientemente de la moneda en que se liquide la operación- y se trate de mercaderías fungibles con cotización, en moneda extranjera, normal y habitual en los mercados locales o del exterior, de amplia difusión y fácil acceso al conocimiento público; (c) financiación a productores de bienes a ser exportados como productos finales o formando parte de otros bienes, por terceros compradores, siempre que dichas operaciones cuenten con avales o garantías totales en moneda extranjera de dichos terceros compradores; (d) la financiación de proyectos de inversión, capital de trabajo o compra de cualquier clase de bienes –que incluye las importaciones temporarias de </w:t>
      </w:r>
      <w:r w:rsidRPr="00AE4E8D">
        <w:rPr>
          <w:i/>
          <w:lang w:val="es-ES"/>
        </w:rPr>
        <w:t>commodities</w:t>
      </w:r>
      <w:r w:rsidRPr="00AE4E8D">
        <w:rPr>
          <w:lang w:val="es-ES"/>
        </w:rPr>
        <w:t xml:space="preserve">- que incrementen, o se relacionen con la producción de bienes para exportación, incluso préstamos sindicados, sean otorgados por entidades financieras locales o extranjeras; (e) financiaciones a clientes de la cartera comercial y de naturaleza comercial que reciben el tratamiento de los créditos para consumo o vivienda cuyo destino sea la importación de bienes de capital, que incrementen la producción de mercaderías destinadas al mercado interno; (f) títulos de deuda o certificados de participación en fideicomisos financieros cuyos activos fideicomitidos sean préstamos originados por las entidades financieras según lo descripto en los párrafos (a) a (d) precedentes (excluidos los préstamos sindicados); (g) títulos de deuda o certificados de participación en fideicomisos financieros, emitidos en moneda extranjera, y con oferta pública autorizada por la CNV, cuyos activos fideicomitidos sean documentos garantizados por sociedades de garantía recíproca o por fondos de garantía de carácter público, comprados por el fiduciario, con el fin de financiar operaciones de exportación; (h) financiación con destinos distintos de los mencionados en los párrafos (a) a (d) precedentes comprendidos en el programa de crédito a que se refiere el “Préstamo BID N° 119/OC-AR”, que no excedan el 10% de la capacidad de préstamo; (i) préstamos interfinancieros (las entidades podrán imputar a estos recursos préstamos interfinancieros si los identifican e informan esa circunstancia a las prestatarias); (j) letras del BCRA denominadas en dólares, (k) Inversiones directas en el exterior por parte de empresas residentes en el país, que tengan como objeto el desarrollo de actividades productivas de bienes y/o servicios no </w:t>
      </w:r>
      <w:r w:rsidRPr="00AE4E8D">
        <w:rPr>
          <w:lang w:val="es-ES"/>
        </w:rPr>
        <w:lastRenderedPageBreak/>
        <w:t>financieros, ya sea a través de aportes y/o compras de participaciones en empresas, en la medida que estén constituidas en países o territorios considerados cooperadores a los fines de la transparencia fiscal en función de lo dispuesto en el artículo 1° del Decreto N° 589/13 y complementarios; y (l) Financiación de proyectos de inversión, incluido su capital de trabajo, que permitan el incremento de la producción del sector energético y cuenten con contratos de venta en firme y/o avales o garantías totales en moneda extranjera.</w:t>
      </w:r>
    </w:p>
    <w:p w14:paraId="2C831897" w14:textId="77777777" w:rsidR="002E07D5" w:rsidRPr="00AE4E8D" w:rsidRDefault="002E07D5" w:rsidP="000E1220">
      <w:pPr>
        <w:pStyle w:val="BHTexto"/>
        <w:rPr>
          <w:lang w:val="es-ES"/>
        </w:rPr>
      </w:pPr>
      <w:r w:rsidRPr="00AE4E8D">
        <w:rPr>
          <w:lang w:val="es-ES"/>
        </w:rPr>
        <w:t xml:space="preserve">La Comunicación “A” 5534 (y complementarias) del </w:t>
      </w:r>
      <w:r w:rsidR="002C3DEF" w:rsidRPr="00AE4E8D">
        <w:rPr>
          <w:lang w:val="es-ES"/>
        </w:rPr>
        <w:t>BCRA</w:t>
      </w:r>
      <w:r w:rsidRPr="00AE4E8D">
        <w:rPr>
          <w:lang w:val="es-ES"/>
        </w:rPr>
        <w:t xml:space="preserve"> provee una fórmula específica para calcular la capacidad de las entidades financiera para otorgar préstamos en moneda extranjera para las importaciones (correspondientes a los puntos (d) y (e) y, según corresponda, los puntos (f) a (h) del párrafo anterior).</w:t>
      </w:r>
    </w:p>
    <w:p w14:paraId="3C532189" w14:textId="77777777" w:rsidR="002E07D5" w:rsidRPr="00AE4E8D" w:rsidRDefault="002E07D5" w:rsidP="000E1220">
      <w:pPr>
        <w:pStyle w:val="BHTexto"/>
        <w:rPr>
          <w:lang w:val="es-ES"/>
        </w:rPr>
      </w:pPr>
      <w:r w:rsidRPr="00AE4E8D">
        <w:rPr>
          <w:lang w:val="es-ES"/>
        </w:rPr>
        <w:t>La capacidad de préstamo será determinada para cada moneda de captación, efectuándose dicha determinación sobre la base del promedio mensual de los saldos diarios registrados durante cada mes calendario. Los defectos de aplicación estarán sujetos a un incremento equivalente de la exigencia de efectivo mínimo en la respectiva moneda extranjera.</w:t>
      </w:r>
    </w:p>
    <w:p w14:paraId="5C3A65F3" w14:textId="77777777" w:rsidR="002E07D5" w:rsidRPr="00AE4E8D" w:rsidRDefault="002E07D5" w:rsidP="000E1220">
      <w:pPr>
        <w:pStyle w:val="BH4Cursiva"/>
        <w:rPr>
          <w:lang w:val="es-ES"/>
        </w:rPr>
      </w:pPr>
      <w:bookmarkStart w:id="668" w:name="_Toc430186263"/>
      <w:r w:rsidRPr="00AE4E8D">
        <w:rPr>
          <w:lang w:val="es-ES"/>
        </w:rPr>
        <w:t xml:space="preserve">Posición general de </w:t>
      </w:r>
      <w:bookmarkEnd w:id="668"/>
      <w:r w:rsidRPr="00AE4E8D">
        <w:rPr>
          <w:lang w:val="es-ES"/>
        </w:rPr>
        <w:t>cambios</w:t>
      </w:r>
    </w:p>
    <w:p w14:paraId="47660BAB" w14:textId="77777777" w:rsidR="002E07D5" w:rsidRPr="00AE4E8D" w:rsidRDefault="002E07D5" w:rsidP="000E1220">
      <w:pPr>
        <w:pStyle w:val="BHTexto"/>
        <w:rPr>
          <w:lang w:val="es-ES"/>
        </w:rPr>
      </w:pPr>
      <w:r w:rsidRPr="00AE4E8D">
        <w:rPr>
          <w:lang w:val="es-ES"/>
        </w:rPr>
        <w:t>La posición general de cambios comprende la totalidad de los activos externos líquidos de la entidad, como ser: disponibilidades en oro amonedado o en barras de buena entrega, billetes en moneda extranjera, tenencias de depósitos a la vista en bancos del exterior, inversiones en títulos públicos externos emitidos por países miembro de la OCDE cuya deuda soberana cuente con una calificación internacional no inferior a “AA”, certificados de depósito a plazo fijo en entidades bancarias del exterior que cuenten con calificación internacional no inferior a “AA” y los saldos deudores y acreedores de corresponsalía. También se incluyen las compras y ventas de estos activos que estén concertadas y pendientes de liquidación por operaciones de cambio con clientes a plazos no mayores a 48 horas. No forman parte de la posición general de cambios, los billetes en moneda extranjera en custodia de la entidad, los saldos de corresponsalía por transferencias de terceros pendientes de liquidación, las ventas y compras a término de divisas o valores externos y las inversiones directas en el exterior.</w:t>
      </w:r>
    </w:p>
    <w:p w14:paraId="30DA8AA5" w14:textId="77777777" w:rsidR="002E07D5" w:rsidRPr="00AE4E8D" w:rsidRDefault="002E07D5" w:rsidP="000E1220">
      <w:pPr>
        <w:pStyle w:val="BHTexto"/>
        <w:rPr>
          <w:lang w:val="es-ES"/>
        </w:rPr>
      </w:pPr>
      <w:r w:rsidRPr="00AE4E8D">
        <w:rPr>
          <w:lang w:val="es-ES"/>
        </w:rPr>
        <w:t>El límite máximo de la posición general de cambios se recalculará mensualmente y su actualización entrará en vigencia el primer día hábil de cada mes. Según las normas del régimen informativo correspondiente, este límite máximo se establece en un 15,0% del equivalente en dólares estadounidenses de la RPC a fines del mes inmediato previo al último mes para el cual ya haya operado la fecha de vencimiento para su presentación ante el BCRA. El límite máximo de la posición general de cambios será aumentado en un monto equivalente en dólares estadounidenses, al 5,0% de la suma de lo operado por la entidad en la compra y venta de moneda extranjera con clientes en el mes calendario previo al inmediato anterior,</w:t>
      </w:r>
      <w:r w:rsidR="00EB3492" w:rsidRPr="00AE4E8D">
        <w:rPr>
          <w:lang w:val="es-ES"/>
        </w:rPr>
        <w:t xml:space="preserve"> </w:t>
      </w:r>
      <w:r w:rsidRPr="00AE4E8D">
        <w:rPr>
          <w:lang w:val="es-ES"/>
        </w:rPr>
        <w:t>en un 2,0% del total de depósitos a la vista y a plazo constituidos y pagaderos localmente en billetes en moneda extranjera, excluyendo los depósitos en custodia y los constituidos en el marco de la Ley 27.260, registrados por la entidad al cierre del mes calendario previo al inmediato anterior, y en el monto diario equivalente en dólares estadounidenses a los depósitos constituidos en moneda extranjera en el marco de la Ley 27.260, neto de los billetes en moneda extranjera remitidos por la realización de canjes y arbitrajes con el exterior, a partir del 1 de octubre de 2016. En el caso de que el l</w:t>
      </w:r>
      <w:r w:rsidR="001C099B" w:rsidRPr="00AE4E8D">
        <w:rPr>
          <w:lang w:val="es-ES"/>
        </w:rPr>
        <w:t>ímite máximo fuera inferior a U</w:t>
      </w:r>
      <w:r w:rsidRPr="00AE4E8D">
        <w:rPr>
          <w:lang w:val="es-ES"/>
        </w:rPr>
        <w:t>S</w:t>
      </w:r>
      <w:r w:rsidR="001C099B" w:rsidRPr="00AE4E8D">
        <w:rPr>
          <w:lang w:val="es-ES"/>
        </w:rPr>
        <w:t>$</w:t>
      </w:r>
      <w:r w:rsidRPr="00AE4E8D">
        <w:rPr>
          <w:lang w:val="es-ES"/>
        </w:rPr>
        <w:t xml:space="preserve"> 8 millones, más el monto diario equivalente en dólares estadounidenses que surja de los depósitos constituidos en moneda extranjera en el marco de la Ley 27.260 neto de los billetes en moneda extranjera remitidos por la realización de canjes y arbitrajes con el exterior, a partir del 1 de octubre de 2016, el límite mínimo del máximo será la suma de estos dos últimos montos. </w:t>
      </w:r>
    </w:p>
    <w:p w14:paraId="4B05A885" w14:textId="77777777" w:rsidR="002E07D5" w:rsidRPr="00AE4E8D" w:rsidRDefault="002E07D5" w:rsidP="000E1220">
      <w:pPr>
        <w:pStyle w:val="BHTexto"/>
        <w:rPr>
          <w:color w:val="000000"/>
          <w:lang w:val="es-ES"/>
        </w:rPr>
      </w:pPr>
      <w:r w:rsidRPr="00AE4E8D">
        <w:rPr>
          <w:lang w:val="es-ES"/>
        </w:rPr>
        <w:t>Las entidades autorizadas a operar con divisas que no cumplan con los límites máximos establecidos para la posición general de cambios o con las normas del régimen sobre información de operaciones de cambio deben abstenerse de operar con divisas hasta cumplir con lo precedente.</w:t>
      </w:r>
    </w:p>
    <w:p w14:paraId="331EC238" w14:textId="77777777" w:rsidR="002E07D5" w:rsidRPr="00AE4E8D" w:rsidRDefault="002E07D5" w:rsidP="000E1220">
      <w:pPr>
        <w:pStyle w:val="BHTexto"/>
        <w:rPr>
          <w:color w:val="000000"/>
          <w:lang w:val="es-ES"/>
        </w:rPr>
      </w:pPr>
      <w:r w:rsidRPr="00AE4E8D">
        <w:rPr>
          <w:lang w:val="es-ES"/>
        </w:rPr>
        <w:t xml:space="preserve">Si bien se admiten ciertas excepciones, las entidades autorizadas a operar en divisas requieren conformidad previa del </w:t>
      </w:r>
      <w:r w:rsidR="002C3DEF" w:rsidRPr="00AE4E8D">
        <w:rPr>
          <w:lang w:val="es-ES"/>
        </w:rPr>
        <w:t>BCRA</w:t>
      </w:r>
      <w:r w:rsidRPr="00AE4E8D">
        <w:rPr>
          <w:lang w:val="es-ES"/>
        </w:rPr>
        <w:t xml:space="preserve"> para realizar sus propias compras cuando el pago se realice contra la entrega de moneda extranjera u otro tipo de activo externo que esté comprendido en la posición general de cambios.</w:t>
      </w:r>
    </w:p>
    <w:p w14:paraId="3E0DB842" w14:textId="77777777" w:rsidR="002E07D5" w:rsidRPr="00AE4E8D" w:rsidRDefault="002E07D5" w:rsidP="000E1220">
      <w:pPr>
        <w:pStyle w:val="BH4Cursiva"/>
        <w:rPr>
          <w:color w:val="000000"/>
          <w:lang w:val="es-ES"/>
        </w:rPr>
      </w:pPr>
      <w:bookmarkStart w:id="669" w:name="_Toc430186264"/>
      <w:r w:rsidRPr="00AE4E8D">
        <w:rPr>
          <w:lang w:val="es-ES"/>
        </w:rPr>
        <w:t xml:space="preserve">Posición global neta de </w:t>
      </w:r>
      <w:bookmarkEnd w:id="669"/>
      <w:r w:rsidRPr="00AE4E8D">
        <w:rPr>
          <w:lang w:val="es-ES"/>
        </w:rPr>
        <w:t>moneda extranjera</w:t>
      </w:r>
    </w:p>
    <w:p w14:paraId="2F62949E" w14:textId="77777777" w:rsidR="002E07D5" w:rsidRPr="00AE4E8D" w:rsidRDefault="002E07D5" w:rsidP="000E1220">
      <w:pPr>
        <w:pStyle w:val="BHTexto"/>
        <w:rPr>
          <w:lang w:val="es-ES"/>
        </w:rPr>
      </w:pPr>
      <w:r w:rsidRPr="00AE4E8D">
        <w:rPr>
          <w:lang w:val="es-ES"/>
        </w:rPr>
        <w:t xml:space="preserve">La totalidad de los activos y pasivos por intermediación financiera en moneda extranjera y en títulos en moneda extranjera (por operaciones al contado y a término) está incluida en la posición global neta, incluyendo los contratos de derivados vinculados con esos conceptos y los que contemplen la evolución del tipo de cambio, los rubros que corresponda computar en la Posición General de Cambios, los depósitos en esa moneda en las cuentas abiertas en el </w:t>
      </w:r>
      <w:r w:rsidR="002C3DEF" w:rsidRPr="00AE4E8D">
        <w:rPr>
          <w:lang w:val="es-ES"/>
        </w:rPr>
        <w:t>BCRA</w:t>
      </w:r>
      <w:r w:rsidRPr="00AE4E8D">
        <w:rPr>
          <w:lang w:val="es-ES"/>
        </w:rPr>
        <w:t xml:space="preserve">, como así también, la posición de oro, las </w:t>
      </w:r>
      <w:r w:rsidRPr="00AE4E8D">
        <w:rPr>
          <w:lang w:val="es-ES"/>
        </w:rPr>
        <w:lastRenderedPageBreak/>
        <w:t xml:space="preserve">Letras del </w:t>
      </w:r>
      <w:r w:rsidR="002C3DEF" w:rsidRPr="00AE4E8D">
        <w:rPr>
          <w:lang w:val="es-ES"/>
        </w:rPr>
        <w:t>BCRA</w:t>
      </w:r>
      <w:r w:rsidRPr="00AE4E8D">
        <w:rPr>
          <w:lang w:val="es-ES"/>
        </w:rPr>
        <w:t xml:space="preserve"> en moneda extranjera, la deuda subordinada en moneda extranjera y los instrumentos representativos de deuda en moneda extranjera.</w:t>
      </w:r>
    </w:p>
    <w:p w14:paraId="73EC46AA" w14:textId="77777777" w:rsidR="002E07D5" w:rsidRPr="00AE4E8D" w:rsidRDefault="002E07D5" w:rsidP="000E1220">
      <w:pPr>
        <w:pStyle w:val="BHTexto"/>
        <w:rPr>
          <w:lang w:val="es-ES"/>
        </w:rPr>
      </w:pPr>
      <w:r w:rsidRPr="00AE4E8D">
        <w:rPr>
          <w:lang w:val="es-ES"/>
        </w:rPr>
        <w:t>También se computarán las operaciones a término que se celebren dentro de un acuerdo marco en el ámbito de mercados autorizados del país con la modalidad de liquidación por diferencia, sin entrega del activo subyacente negociado. Asimismo, se considerarán los certificados de participación o títulos de deuda emitidos por fideicomisos financieros y los derechos de crédito respecto de los fideicomisos ordinarios en la proporción que corresponda, cuando su subyacente esté constituido por activos en moneda extranjera. Los activos deducibles para determinar la RPC,</w:t>
      </w:r>
      <w:r w:rsidR="00EB3492" w:rsidRPr="00AE4E8D">
        <w:rPr>
          <w:lang w:val="es-ES"/>
        </w:rPr>
        <w:t xml:space="preserve"> </w:t>
      </w:r>
      <w:r w:rsidRPr="00AE4E8D">
        <w:rPr>
          <w:lang w:val="es-ES"/>
        </w:rPr>
        <w:t>los conceptos incluidos que registre la entidad financiera en sus sucursales en el exterior serán excluidos de esta relación.</w:t>
      </w:r>
    </w:p>
    <w:p w14:paraId="4A5FDCB8" w14:textId="77777777" w:rsidR="002E07D5" w:rsidRPr="00AE4E8D" w:rsidRDefault="002E07D5" w:rsidP="000E1220">
      <w:pPr>
        <w:pStyle w:val="BHTexto"/>
        <w:rPr>
          <w:lang w:val="es-ES"/>
        </w:rPr>
      </w:pPr>
      <w:r w:rsidRPr="00AE4E8D">
        <w:rPr>
          <w:lang w:val="es-ES"/>
        </w:rPr>
        <w:t>En la Posición Global Neta de Moneda Extranjera se consideran dos relaciones:</w:t>
      </w:r>
    </w:p>
    <w:p w14:paraId="5AA36D83" w14:textId="77777777" w:rsidR="002E07D5" w:rsidRPr="00AE4E8D" w:rsidRDefault="002E07D5" w:rsidP="000E1220">
      <w:pPr>
        <w:pStyle w:val="BHTexto"/>
        <w:rPr>
          <w:lang w:val="es-ES"/>
        </w:rPr>
      </w:pPr>
      <w:r w:rsidRPr="00AE4E8D">
        <w:rPr>
          <w:u w:val="single"/>
          <w:lang w:val="es-ES"/>
        </w:rPr>
        <w:t>Posición Global Neta Negativa de Moneda Extranjera (el pasivo supera al activo)</w:t>
      </w:r>
      <w:r w:rsidRPr="00AE4E8D">
        <w:rPr>
          <w:lang w:val="es-ES"/>
        </w:rPr>
        <w:t xml:space="preserve">: a partir del 1º de enero de 2017 (Comunicación “A” 6128 del </w:t>
      </w:r>
      <w:r w:rsidR="002C3DEF" w:rsidRPr="00AE4E8D">
        <w:rPr>
          <w:lang w:val="es-ES"/>
        </w:rPr>
        <w:t>BCRA</w:t>
      </w:r>
      <w:r w:rsidRPr="00AE4E8D">
        <w:rPr>
          <w:lang w:val="es-ES"/>
        </w:rPr>
        <w:t>) esta posición no podrá superar el 25,0%.</w:t>
      </w:r>
    </w:p>
    <w:p w14:paraId="4AAD1F4B" w14:textId="77777777" w:rsidR="002E07D5" w:rsidRPr="00AE4E8D" w:rsidRDefault="002E07D5" w:rsidP="000E1220">
      <w:pPr>
        <w:pStyle w:val="BHTexto"/>
        <w:rPr>
          <w:lang w:val="es-ES"/>
        </w:rPr>
      </w:pPr>
      <w:r w:rsidRPr="00AE4E8D">
        <w:rPr>
          <w:u w:val="single"/>
          <w:lang w:val="es-ES"/>
        </w:rPr>
        <w:t>Posición Global Neta Positiva de Moneda Extranjera (el activo supera al pasivo)</w:t>
      </w:r>
      <w:r w:rsidRPr="00AE4E8D">
        <w:rPr>
          <w:lang w:val="es-ES"/>
        </w:rPr>
        <w:t xml:space="preserve">: La Comunicación “A” 6128 del </w:t>
      </w:r>
      <w:r w:rsidR="002C3DEF" w:rsidRPr="00AE4E8D">
        <w:rPr>
          <w:lang w:val="es-ES"/>
        </w:rPr>
        <w:t>BCRA</w:t>
      </w:r>
      <w:r w:rsidRPr="00AE4E8D">
        <w:rPr>
          <w:lang w:val="es-ES"/>
        </w:rPr>
        <w:t xml:space="preserve"> estableció que, a partir del 1° de enero de 2017 esta posición diaria (en promedio mensual de saldos diarios convertidos a pesos al tipo de cambio de referencia-) no podrá superar el 25% de la RPC o los recursos propios líquidos (entendiéndose por ello, recursos propios líquidos al exceso de RPC respecto de los activos inmovilizados y otros conceptos, computables de acuerdo con las normas del BCRA relacionadas con la "Relación para los activos inmovilizados y otros conceptos"), ambos del mes anterior al que corresponda, lo que fuera menor. </w:t>
      </w:r>
    </w:p>
    <w:p w14:paraId="6E965EE1" w14:textId="77777777" w:rsidR="002E07D5" w:rsidRPr="00AE4E8D" w:rsidRDefault="002E07D5" w:rsidP="000E1220">
      <w:pPr>
        <w:pStyle w:val="BHTexto"/>
        <w:rPr>
          <w:lang w:val="es-ES"/>
        </w:rPr>
      </w:pPr>
      <w:r w:rsidRPr="00AE4E8D">
        <w:rPr>
          <w:lang w:val="es-ES"/>
        </w:rPr>
        <w:t xml:space="preserve">Los excesos a estas relaciones estarán sujetos a un cargo equivalente a 1,5 veces la tasa de interés nominal de las Lebac en pesos (Letras del </w:t>
      </w:r>
      <w:r w:rsidR="002C3DEF" w:rsidRPr="00AE4E8D">
        <w:rPr>
          <w:lang w:val="es-ES"/>
        </w:rPr>
        <w:t>BCRA</w:t>
      </w:r>
      <w:r w:rsidRPr="00AE4E8D">
        <w:rPr>
          <w:lang w:val="es-ES"/>
        </w:rPr>
        <w:t>). Los cargos no ingresados en tiempo y forma estarán sujetos a un interés equivalente a la tasa que surja de adicionar un 50% a aquélla aplicable a los excesos a estas relaciones.</w:t>
      </w:r>
    </w:p>
    <w:p w14:paraId="19C2C764" w14:textId="77777777" w:rsidR="002E07D5" w:rsidRPr="00AE4E8D" w:rsidRDefault="002E07D5" w:rsidP="000E1220">
      <w:pPr>
        <w:pStyle w:val="BHTexto"/>
        <w:rPr>
          <w:lang w:val="es-ES"/>
        </w:rPr>
      </w:pPr>
      <w:r w:rsidRPr="00AE4E8D">
        <w:rPr>
          <w:lang w:val="es-ES"/>
        </w:rPr>
        <w:t xml:space="preserve">Además del cargo mencionado precedentemente, se aplicarán las sanciones establecidas en el Artículo 41 de la </w:t>
      </w:r>
      <w:r w:rsidR="00A667F7" w:rsidRPr="00AE4E8D">
        <w:rPr>
          <w:lang w:val="es-ES"/>
        </w:rPr>
        <w:t>Ley de Entidades Financieras</w:t>
      </w:r>
      <w:r w:rsidRPr="00AE4E8D">
        <w:rPr>
          <w:lang w:val="es-ES"/>
        </w:rPr>
        <w:t xml:space="preserve"> (incluso: llamado de atención; apercibimiento; multas; inhabilitación temporaria o permanente para el uso de la cuenta corriente bancaria; inhabilitación temporaria o permanente para desempeñarse como promotores, fundadores, directores, administradores, miembros de los consejos de vigilancia, síndicos, liquidadores, gerentes, auditores, socios o accionistas; y revocación de la autorización para funcionar).</w:t>
      </w:r>
    </w:p>
    <w:p w14:paraId="6067FF4C" w14:textId="77777777" w:rsidR="002E07D5" w:rsidRPr="00AE4E8D" w:rsidRDefault="002E07D5" w:rsidP="000E1220">
      <w:pPr>
        <w:pStyle w:val="BH4Cursiva"/>
        <w:rPr>
          <w:lang w:val="es-ES"/>
        </w:rPr>
      </w:pPr>
      <w:r w:rsidRPr="00AE4E8D">
        <w:rPr>
          <w:lang w:val="es-ES"/>
        </w:rPr>
        <w:t xml:space="preserve">Declaración de emergencia operatoria Futuros de Dólar ROFEX. </w:t>
      </w:r>
    </w:p>
    <w:p w14:paraId="10B9FAC0" w14:textId="77777777" w:rsidR="002E07D5" w:rsidRPr="00AE4E8D" w:rsidRDefault="002E07D5" w:rsidP="000E1220">
      <w:pPr>
        <w:pStyle w:val="BHTexto"/>
        <w:rPr>
          <w:lang w:val="es-ES"/>
        </w:rPr>
      </w:pPr>
      <w:r w:rsidRPr="00AE4E8D">
        <w:rPr>
          <w:lang w:val="es-ES"/>
        </w:rPr>
        <w:t xml:space="preserve">Con fecha 14 de diciembre de 2015, la Comunicación 657 de Argentina Clearing S.A. y el Mercado a Término de Rosario S.A. (sujeto a la aprobación expresa por la CNV, la cual fue otorgada) dispuso (i) declarar la emergencia con relación a las posiciones abiertas a dicha fecha sobre los Contratos de Futuros de Dólar con vencimiento hasta junio 2016, cuya fecha de concertación sea posterior al 29 de septiembre de 2015; y (ii) disponer, con respecto a las posiciones compradas abiertas a dicha fecha de Futuros de Dólar con vencimiento hasta junio 2016, inclusive, las siguientes medidas: (a) la corrección del precio original de la operación adicionando Ps. 1,25 por dólar para aquellas operaciones abiertas entre el 30 de septiembre de 2015 y el 27 de octubre de 2015, inclusive; (b) la corrección del precio original de la operación adicionando Ps. 1,75 por dólar para aquellas operaciones abiertas a partir del 28 de octubre de 2015. </w:t>
      </w:r>
    </w:p>
    <w:p w14:paraId="49D5600E" w14:textId="77777777" w:rsidR="002E07D5" w:rsidRPr="00AE4E8D" w:rsidRDefault="002E07D5" w:rsidP="000E1220">
      <w:pPr>
        <w:pStyle w:val="BHTexto"/>
        <w:rPr>
          <w:lang w:val="es-ES"/>
        </w:rPr>
      </w:pPr>
      <w:r w:rsidRPr="00AE4E8D">
        <w:rPr>
          <w:lang w:val="es-ES"/>
        </w:rPr>
        <w:t>Las correcciones mencionadas en los apartados precedentes fueron realizadas mediante la registración de una operación de venta al precio original de la operación y la simultánea compra al precio original más el importe indicado en los ítems a. y b, produciendo la novación de las operaciones involucradas en nuevas operaciones al nuevo precio determinado.</w:t>
      </w:r>
    </w:p>
    <w:p w14:paraId="19D2DDCB" w14:textId="77777777" w:rsidR="002E07D5" w:rsidRPr="00AE4E8D" w:rsidRDefault="002E07D5" w:rsidP="000E1220">
      <w:pPr>
        <w:pStyle w:val="BHTexto"/>
        <w:rPr>
          <w:lang w:val="es-ES"/>
        </w:rPr>
      </w:pPr>
      <w:r w:rsidRPr="00AE4E8D">
        <w:rPr>
          <w:lang w:val="es-ES"/>
        </w:rPr>
        <w:t>A los efectos del registro en ROFEX y Argentina Clearing S.A., la contraparte de estas operaciones fue el BCRA.</w:t>
      </w:r>
    </w:p>
    <w:p w14:paraId="49936D04" w14:textId="77777777" w:rsidR="002E07D5" w:rsidRPr="00AE4E8D" w:rsidRDefault="002E07D5" w:rsidP="000E1220">
      <w:pPr>
        <w:pStyle w:val="BH4Cursiva"/>
        <w:rPr>
          <w:lang w:val="es-ES"/>
        </w:rPr>
      </w:pPr>
      <w:r w:rsidRPr="00AE4E8D">
        <w:rPr>
          <w:lang w:val="es-ES"/>
        </w:rPr>
        <w:t>Cesión de posición en moneda extranjera de entidades financieras y cambiarias</w:t>
      </w:r>
    </w:p>
    <w:p w14:paraId="37CA1C1A" w14:textId="77777777" w:rsidR="002E07D5" w:rsidRPr="00AE4E8D" w:rsidRDefault="002E07D5" w:rsidP="000E1220">
      <w:pPr>
        <w:pStyle w:val="BHTexto"/>
        <w:rPr>
          <w:lang w:val="es-ES"/>
        </w:rPr>
      </w:pPr>
      <w:r w:rsidRPr="00AE4E8D">
        <w:rPr>
          <w:lang w:val="es-ES"/>
        </w:rPr>
        <w:t xml:space="preserve">Con fecha 17 de diciembre de 2015, la Comunicación “A” 5852 estableció que las entidades financieras autorizadas a operar en cambios y las entidades cambiarias debían vender al </w:t>
      </w:r>
      <w:r w:rsidR="002C3DEF" w:rsidRPr="00AE4E8D">
        <w:rPr>
          <w:lang w:val="es-ES"/>
        </w:rPr>
        <w:t>BCRA</w:t>
      </w:r>
      <w:r w:rsidRPr="00AE4E8D">
        <w:rPr>
          <w:lang w:val="es-ES"/>
        </w:rPr>
        <w:t xml:space="preserve"> su posición de moneda extranjera positiva vigente al cierre de las operaciones del día 16 de diciembre de 2015 valuada al tipo de cambio de referencia de ese día y recomprarla totalmente, pudiendo hacerlo el día 17, 18 o 21 de diciembre de 2015 al tipo de cambio de referencia correspondiente al día de la recompra.</w:t>
      </w:r>
    </w:p>
    <w:p w14:paraId="5FA4EFA1" w14:textId="77777777" w:rsidR="002E07D5" w:rsidRPr="00AE4E8D" w:rsidRDefault="002E07D5" w:rsidP="000E1220">
      <w:pPr>
        <w:pStyle w:val="BHTexto"/>
        <w:rPr>
          <w:lang w:val="es-ES"/>
        </w:rPr>
      </w:pPr>
      <w:r w:rsidRPr="00AE4E8D">
        <w:rPr>
          <w:lang w:val="es-ES"/>
        </w:rPr>
        <w:t xml:space="preserve">Para el caso particular de la posición comprada abierta en futuros de dólar estadounidense operados en Rofex alcanzados por la corrección de precio original prevista por el Punto II) de la Comunicación 657 de </w:t>
      </w:r>
      <w:r w:rsidRPr="00AE4E8D">
        <w:rPr>
          <w:lang w:val="es-ES"/>
        </w:rPr>
        <w:lastRenderedPageBreak/>
        <w:t xml:space="preserve">Argentina Clearing S.A. y el Mercado a Término de Rosario S.A. debía venderse al </w:t>
      </w:r>
      <w:r w:rsidR="002C3DEF" w:rsidRPr="00AE4E8D">
        <w:rPr>
          <w:lang w:val="es-ES"/>
        </w:rPr>
        <w:t>BCRA</w:t>
      </w:r>
      <w:r w:rsidRPr="00AE4E8D">
        <w:rPr>
          <w:lang w:val="es-ES"/>
        </w:rPr>
        <w:t xml:space="preserve"> a los precios originales corregidos que resultaren de aplicar esa Comunicación y recomprarse totalmente al tipo de cambio de referencia correspondiente al día de la recompra.</w:t>
      </w:r>
    </w:p>
    <w:p w14:paraId="5589D9B1" w14:textId="77777777" w:rsidR="002E07D5" w:rsidRPr="00AE4E8D" w:rsidRDefault="002E07D5" w:rsidP="000E1220">
      <w:pPr>
        <w:pStyle w:val="BHTexto"/>
        <w:rPr>
          <w:lang w:val="es-ES"/>
        </w:rPr>
      </w:pPr>
      <w:r w:rsidRPr="00AE4E8D">
        <w:rPr>
          <w:lang w:val="es-ES"/>
        </w:rPr>
        <w:t>A los fines de ejercer la opción de fecha de recompra prevista en el primer párrafo, las entidades debían presentar una nota firmada por su presidente o máxima autoridad local a la Subgerencia General de Operaciones antes de las 10:00 hs. del día elegido manifestando expresamente la decisión adoptada.</w:t>
      </w:r>
    </w:p>
    <w:p w14:paraId="24712BDA" w14:textId="77777777" w:rsidR="002E07D5" w:rsidRPr="00AE4E8D" w:rsidRDefault="002E07D5" w:rsidP="000E1220">
      <w:pPr>
        <w:pStyle w:val="BHTexto"/>
        <w:rPr>
          <w:lang w:val="es-ES"/>
        </w:rPr>
      </w:pPr>
      <w:r w:rsidRPr="00AE4E8D">
        <w:rPr>
          <w:lang w:val="es-ES"/>
        </w:rPr>
        <w:t>Si las entidades que no ejercieran la opción prevista por el primer párrafo o que no cumplieran con los requisitos formales señalados precedentemente, la recompra debía perfeccionarse el día 22 de diciembre de 2015 al tipo de cambio de referencia aplicable a esa fecha.</w:t>
      </w:r>
    </w:p>
    <w:p w14:paraId="24AC07CA" w14:textId="77777777" w:rsidR="002E07D5" w:rsidRPr="00AE4E8D" w:rsidRDefault="002E07D5" w:rsidP="000E1220">
      <w:pPr>
        <w:pStyle w:val="BHTexto"/>
        <w:rPr>
          <w:lang w:val="es-ES"/>
        </w:rPr>
      </w:pPr>
      <w:r w:rsidRPr="00AE4E8D">
        <w:rPr>
          <w:lang w:val="es-ES"/>
        </w:rPr>
        <w:t>El concepto “posición de moneda extranjera” señalado precedentemente era determinado de la siguiente manera: (i) para las casas, agencias y oficinas de cambio: posición general de cambios; y (ii) para las entidades financieras autorizadas a operar en cambios: posición global neta de moneda extranjera, menos los activos netos de los pasivos en títulos públicos denominados en moneda extranjera en base a la moneda en la cual se paguen sus servicios financieros (moneda extranjera o pesos -</w:t>
      </w:r>
      <w:r w:rsidRPr="00AE4E8D">
        <w:rPr>
          <w:i/>
          <w:lang w:val="es-ES"/>
        </w:rPr>
        <w:t>dollar linked</w:t>
      </w:r>
      <w:r w:rsidRPr="00AE4E8D">
        <w:rPr>
          <w:lang w:val="es-ES"/>
        </w:rPr>
        <w:t>-).</w:t>
      </w:r>
    </w:p>
    <w:p w14:paraId="76B38FB2" w14:textId="77777777" w:rsidR="002E07D5" w:rsidRPr="00AE4E8D" w:rsidRDefault="002E07D5" w:rsidP="000E1220">
      <w:pPr>
        <w:pStyle w:val="BHTexto"/>
        <w:rPr>
          <w:lang w:val="es-ES"/>
        </w:rPr>
      </w:pPr>
      <w:r w:rsidRPr="00AE4E8D">
        <w:rPr>
          <w:lang w:val="es-ES"/>
        </w:rPr>
        <w:t xml:space="preserve">En caso de que la posición de moneda extranjera determinada fuera negativa, no correspondía realizar venta y recompra alguna al </w:t>
      </w:r>
      <w:r w:rsidR="002C3DEF" w:rsidRPr="00AE4E8D">
        <w:rPr>
          <w:lang w:val="es-ES"/>
        </w:rPr>
        <w:t>BCRA</w:t>
      </w:r>
      <w:r w:rsidRPr="00AE4E8D">
        <w:rPr>
          <w:lang w:val="es-ES"/>
        </w:rPr>
        <w:t>.</w:t>
      </w:r>
    </w:p>
    <w:p w14:paraId="619C8C29" w14:textId="77777777" w:rsidR="002E07D5" w:rsidRPr="00AE4E8D" w:rsidRDefault="002E07D5" w:rsidP="000E1220">
      <w:pPr>
        <w:pStyle w:val="BHTexto"/>
        <w:rPr>
          <w:lang w:val="es-ES"/>
        </w:rPr>
      </w:pPr>
      <w:r w:rsidRPr="00AE4E8D">
        <w:rPr>
          <w:lang w:val="es-ES"/>
        </w:rPr>
        <w:t>El 18 de diciembre de 2015, el Banco realizó la recompra indicada al tipo de cambio de referencia establecido para dicha fecha. Adicionalmente el 22 de diciembre de 2015, CCF realizó la recompra indicada al tipo de cambio de referencia establecido para dicha fecha.</w:t>
      </w:r>
    </w:p>
    <w:p w14:paraId="4DB9DB55" w14:textId="77777777" w:rsidR="002E07D5" w:rsidRPr="00AE4E8D" w:rsidRDefault="002E07D5" w:rsidP="000E1220">
      <w:pPr>
        <w:pStyle w:val="BH4Cursiva"/>
        <w:rPr>
          <w:lang w:val="es-ES"/>
        </w:rPr>
      </w:pPr>
      <w:bookmarkStart w:id="670" w:name="_Toc430186265"/>
      <w:r w:rsidRPr="00AE4E8D">
        <w:rPr>
          <w:lang w:val="es-ES"/>
        </w:rPr>
        <w:t xml:space="preserve">Activos </w:t>
      </w:r>
      <w:bookmarkEnd w:id="670"/>
      <w:r w:rsidRPr="00AE4E8D">
        <w:rPr>
          <w:lang w:val="es-ES"/>
        </w:rPr>
        <w:t>fijos y otros conceptos</w:t>
      </w:r>
    </w:p>
    <w:p w14:paraId="6E202EEE" w14:textId="77777777" w:rsidR="002E07D5" w:rsidRPr="00AE4E8D" w:rsidRDefault="002E07D5" w:rsidP="000E1220">
      <w:pPr>
        <w:pStyle w:val="BHTexto"/>
        <w:rPr>
          <w:lang w:val="es-ES"/>
        </w:rPr>
      </w:pPr>
      <w:r w:rsidRPr="00AE4E8D">
        <w:rPr>
          <w:lang w:val="es-ES"/>
        </w:rPr>
        <w:t xml:space="preserve">El </w:t>
      </w:r>
      <w:r w:rsidR="002C3DEF" w:rsidRPr="00AE4E8D">
        <w:rPr>
          <w:lang w:val="es-ES"/>
        </w:rPr>
        <w:t>BCRA</w:t>
      </w:r>
      <w:r w:rsidRPr="00AE4E8D">
        <w:rPr>
          <w:lang w:val="es-ES"/>
        </w:rPr>
        <w:t xml:space="preserve"> determina que los activos fijos y otros conceptos mantenidos por las entidades financieras no deben exceder el 100% de la RPC de la entidad.</w:t>
      </w:r>
    </w:p>
    <w:p w14:paraId="63B5659B" w14:textId="77777777" w:rsidR="002E07D5" w:rsidRPr="00AE4E8D" w:rsidRDefault="002E07D5" w:rsidP="000E1220">
      <w:pPr>
        <w:pStyle w:val="BHTexto"/>
        <w:rPr>
          <w:lang w:val="es-ES"/>
        </w:rPr>
      </w:pPr>
      <w:r w:rsidRPr="00AE4E8D">
        <w:rPr>
          <w:lang w:val="es-ES"/>
        </w:rPr>
        <w:t>Dichos activos fijos y otros conceptos incluyen los siguientes:</w:t>
      </w:r>
    </w:p>
    <w:p w14:paraId="4107E2F8" w14:textId="77777777" w:rsidR="002E07D5" w:rsidRPr="00AE4E8D" w:rsidRDefault="002E07D5" w:rsidP="000668B5">
      <w:pPr>
        <w:pStyle w:val="BHTexto"/>
        <w:numPr>
          <w:ilvl w:val="0"/>
          <w:numId w:val="92"/>
        </w:numPr>
        <w:rPr>
          <w:lang w:val="es-ES"/>
        </w:rPr>
      </w:pPr>
      <w:r w:rsidRPr="00AE4E8D">
        <w:rPr>
          <w:lang w:val="es-ES"/>
        </w:rPr>
        <w:t>Acciones de empresas del país</w:t>
      </w:r>
    </w:p>
    <w:p w14:paraId="669B2101" w14:textId="77777777" w:rsidR="002E07D5" w:rsidRPr="00AE4E8D" w:rsidRDefault="002E07D5" w:rsidP="000668B5">
      <w:pPr>
        <w:pStyle w:val="BHTexto"/>
        <w:numPr>
          <w:ilvl w:val="0"/>
          <w:numId w:val="92"/>
        </w:numPr>
        <w:rPr>
          <w:lang w:val="es-ES"/>
        </w:rPr>
      </w:pPr>
      <w:r w:rsidRPr="00AE4E8D">
        <w:rPr>
          <w:lang w:val="es-ES"/>
        </w:rPr>
        <w:t>Créditos varios</w:t>
      </w:r>
    </w:p>
    <w:p w14:paraId="684E0631" w14:textId="77777777" w:rsidR="002E07D5" w:rsidRPr="00AE4E8D" w:rsidRDefault="002E07D5" w:rsidP="000668B5">
      <w:pPr>
        <w:pStyle w:val="BHTexto"/>
        <w:numPr>
          <w:ilvl w:val="0"/>
          <w:numId w:val="92"/>
        </w:numPr>
        <w:rPr>
          <w:lang w:val="es-ES"/>
        </w:rPr>
      </w:pPr>
      <w:r w:rsidRPr="00AE4E8D">
        <w:rPr>
          <w:lang w:val="es-ES"/>
        </w:rPr>
        <w:t>Bienes de uso</w:t>
      </w:r>
    </w:p>
    <w:p w14:paraId="1450760C" w14:textId="77777777" w:rsidR="002E07D5" w:rsidRPr="00AE4E8D" w:rsidRDefault="002E07D5" w:rsidP="000668B5">
      <w:pPr>
        <w:pStyle w:val="BHTexto"/>
        <w:numPr>
          <w:ilvl w:val="0"/>
          <w:numId w:val="92"/>
        </w:numPr>
        <w:rPr>
          <w:lang w:val="es-ES"/>
        </w:rPr>
      </w:pPr>
      <w:r w:rsidRPr="00AE4E8D">
        <w:rPr>
          <w:lang w:val="es-ES"/>
        </w:rPr>
        <w:t>Otros activos</w:t>
      </w:r>
    </w:p>
    <w:p w14:paraId="6DCD6194" w14:textId="77777777" w:rsidR="002E07D5" w:rsidRPr="00AE4E8D" w:rsidRDefault="002E07D5" w:rsidP="000E1220">
      <w:pPr>
        <w:pStyle w:val="BHTexto"/>
        <w:rPr>
          <w:lang w:val="es-ES"/>
        </w:rPr>
      </w:pPr>
      <w:r w:rsidRPr="00AE4E8D">
        <w:rPr>
          <w:lang w:val="es-ES"/>
        </w:rPr>
        <w:t>Los activos fijos se computarán en base a los saldos al cierre de cada mes, neto de las depreciaciones y amortizaciones acumuladas y las previsiones por riesgos de incobrabilidad que les sean atribuibles.</w:t>
      </w:r>
    </w:p>
    <w:p w14:paraId="7B2565F2" w14:textId="77777777" w:rsidR="002E07D5" w:rsidRPr="00AE4E8D" w:rsidRDefault="002E07D5" w:rsidP="000E1220">
      <w:pPr>
        <w:pStyle w:val="BHTexto"/>
        <w:rPr>
          <w:lang w:val="es-ES"/>
        </w:rPr>
      </w:pPr>
      <w:r w:rsidRPr="00AE4E8D">
        <w:rPr>
          <w:lang w:val="es-ES"/>
        </w:rPr>
        <w:t>El incumplimiento de la relación origina el incremento de la exigencia de capital mínimo por un importe equivalente al 100% del exceso en la relación.</w:t>
      </w:r>
    </w:p>
    <w:p w14:paraId="64C4E66E" w14:textId="77777777" w:rsidR="002E07D5" w:rsidRPr="00AE4E8D" w:rsidRDefault="002E07D5" w:rsidP="000E1220">
      <w:pPr>
        <w:pStyle w:val="BH4Cursiva"/>
        <w:rPr>
          <w:lang w:val="es-ES"/>
        </w:rPr>
      </w:pPr>
      <w:r w:rsidRPr="00AE4E8D">
        <w:rPr>
          <w:lang w:val="es-ES"/>
        </w:rPr>
        <w:t>Evaluaciones crediticias</w:t>
      </w:r>
    </w:p>
    <w:p w14:paraId="70C8EAFE" w14:textId="77777777" w:rsidR="002E07D5" w:rsidRPr="00AE4E8D" w:rsidRDefault="002E07D5" w:rsidP="000E1220">
      <w:pPr>
        <w:pStyle w:val="BHTexto"/>
        <w:rPr>
          <w:lang w:val="es-ES"/>
        </w:rPr>
      </w:pPr>
      <w:r w:rsidRPr="00AE4E8D">
        <w:rPr>
          <w:lang w:val="es-ES"/>
        </w:rPr>
        <w:t xml:space="preserve">La Comunicación “A” 5671 adoptada el 28 de noviembre de 2014 reemplaza las disposiciones emitidas por el </w:t>
      </w:r>
      <w:r w:rsidR="002C3DEF" w:rsidRPr="00AE4E8D">
        <w:rPr>
          <w:lang w:val="es-ES"/>
        </w:rPr>
        <w:t>BCRA</w:t>
      </w:r>
      <w:r w:rsidRPr="00AE4E8D">
        <w:rPr>
          <w:lang w:val="es-ES"/>
        </w:rPr>
        <w:t xml:space="preserve"> en materia de exigencias de calificación de riesgo asignada por una sociedad calificadora de riesgo local. Actualmente rige el criterio establecido por la comunicación “A” 5671 para los casos en que existían exigencias de calificación internacional.</w:t>
      </w:r>
    </w:p>
    <w:p w14:paraId="66EBF4BA" w14:textId="77777777" w:rsidR="002E07D5" w:rsidRPr="00AE4E8D" w:rsidRDefault="002E07D5" w:rsidP="000E1220">
      <w:pPr>
        <w:pStyle w:val="BHTexto"/>
        <w:rPr>
          <w:lang w:val="es-ES"/>
        </w:rPr>
      </w:pPr>
      <w:r w:rsidRPr="00AE4E8D">
        <w:rPr>
          <w:lang w:val="es-ES"/>
        </w:rPr>
        <w:t xml:space="preserve">Las disposiciones contenidas en la Comunicación “A” 5671 constituyen pautas básicas para evaluar adecuadamente el riesgo de crédito que las entidades financieras deberán observar cuando den cumplimiento a disposiciones del </w:t>
      </w:r>
      <w:r w:rsidR="002C3DEF" w:rsidRPr="00AE4E8D">
        <w:rPr>
          <w:lang w:val="es-ES"/>
        </w:rPr>
        <w:t>BCRA</w:t>
      </w:r>
      <w:r w:rsidRPr="00AE4E8D">
        <w:rPr>
          <w:lang w:val="es-ES"/>
        </w:rPr>
        <w:t xml:space="preserve"> que contemplen el requisito de una determinada calificación, y no reemplazan la evaluación crediticia que cada entidad financiera debe realizar de sus contrapartes. Las calificaciones internacionales de riesgo a las que aluden estas disposiciones deberán ser emitidas por agencias calificadoras de riesgo que cuenten con un código de conducta basado en los “Principios del Código de Conducta para los Agentes de Calificación de Riesgos” dados a conocer por la Organización Internacional de Comisiones de Valores (OICV – IOSCO).</w:t>
      </w:r>
    </w:p>
    <w:p w14:paraId="0518777D" w14:textId="77777777" w:rsidR="002E07D5" w:rsidRPr="00AE4E8D" w:rsidRDefault="002E07D5" w:rsidP="000E1220">
      <w:pPr>
        <w:pStyle w:val="BHTexto"/>
        <w:rPr>
          <w:lang w:val="es-ES"/>
        </w:rPr>
      </w:pPr>
      <w:r w:rsidRPr="00AE4E8D">
        <w:rPr>
          <w:lang w:val="es-ES"/>
        </w:rPr>
        <w:t>El Anexo II de la Comunicación “A” 5671 establece una tabla de los nuevos requisitos de calificación para las entidades financieras. Esta tabla clasifica los requisitos de calificaciones de crédito para las distintas operaciones.</w:t>
      </w:r>
    </w:p>
    <w:p w14:paraId="16ACA9D0" w14:textId="77777777" w:rsidR="002E07D5" w:rsidRPr="00AE4E8D" w:rsidRDefault="002E07D5" w:rsidP="000E1220">
      <w:pPr>
        <w:pStyle w:val="BH4Cursiva"/>
        <w:rPr>
          <w:rFonts w:eastAsia="MS Mincho"/>
          <w:lang w:val="es-ES"/>
        </w:rPr>
      </w:pPr>
      <w:bookmarkStart w:id="671" w:name="_Toc430186266"/>
      <w:r w:rsidRPr="00AE4E8D">
        <w:rPr>
          <w:rFonts w:eastAsia="MS Mincho"/>
          <w:lang w:val="es-ES"/>
        </w:rPr>
        <w:t xml:space="preserve">Clasificación de la deuda y previsiones por riesgo de </w:t>
      </w:r>
      <w:bookmarkEnd w:id="671"/>
      <w:r w:rsidRPr="00AE4E8D">
        <w:rPr>
          <w:rFonts w:eastAsia="MS Mincho"/>
          <w:lang w:val="es-ES"/>
        </w:rPr>
        <w:t>incobrabilidad</w:t>
      </w:r>
    </w:p>
    <w:p w14:paraId="78FB5B43" w14:textId="77777777" w:rsidR="002E07D5" w:rsidRPr="00AE4E8D" w:rsidRDefault="002E07D5" w:rsidP="000E1220">
      <w:pPr>
        <w:pStyle w:val="BHTexto"/>
        <w:rPr>
          <w:rFonts w:eastAsia="MS Mincho"/>
          <w:i/>
          <w:lang w:val="es-ES"/>
        </w:rPr>
      </w:pPr>
      <w:r w:rsidRPr="00AE4E8D">
        <w:rPr>
          <w:rFonts w:eastAsia="MS Mincho"/>
          <w:i/>
          <w:lang w:val="es-ES"/>
        </w:rPr>
        <w:t>Cartera de créditos</w:t>
      </w:r>
    </w:p>
    <w:p w14:paraId="5DE91D36" w14:textId="77777777" w:rsidR="002E07D5" w:rsidRPr="00AE4E8D" w:rsidRDefault="002E07D5" w:rsidP="000E1220">
      <w:pPr>
        <w:pStyle w:val="BHTexto"/>
        <w:rPr>
          <w:lang w:val="es-ES"/>
        </w:rPr>
      </w:pPr>
      <w:r w:rsidRPr="00AE4E8D">
        <w:rPr>
          <w:lang w:val="es-ES"/>
        </w:rPr>
        <w:lastRenderedPageBreak/>
        <w:t xml:space="preserve">Las reglamentaciones sobre clasificación de deuda están destinadas a establecer pautas claras para identificar y clasificar la calidad de los activos, como también evaluar el riesgo real o potencial de pérdidas sobre el capital o los intereses, para determinar (tomando en cuenta las garantías), si las previsiones afectadas a tales contingencias son adecuadas. Los bancos deben clasificar sus carteras de préstamos en dos categorías diferentes: (i) préstamos para el consumo o la vivienda, y (ii) préstamos comerciales. Los préstamos para el consumo o la vivienda incluyen préstamos para la vivienda, préstamos para el consumo, financiamientos a través de tarjetas de crédito, préstamos de hasta Ps. 1.250.000 a microemprendimientos y otros tipos de préstamos comerciales de hasta Ps. 2.500.000 con o sin garantías. Todos los demás préstamos son considerados préstamos comerciales. Los préstamos para el consumo o la vivienda superiores a Ps. 2.500.000 son clasificados como préstamos comerciales. Si un cliente tiene ambas clases de préstamos (préstamos comerciales y para el consumo o la vivienda), los préstamos para el consumo o vivienda serán incorporados a la cartera comercial para determinar bajo qué cartera deben ser clasificados basados en el monto indicado. En estos casos, los préstamos garantizados con garantías preferidas se ponderarán al 50% de su valor nominal. </w:t>
      </w:r>
    </w:p>
    <w:p w14:paraId="531294D5" w14:textId="77777777" w:rsidR="002E07D5" w:rsidRPr="00AE4E8D" w:rsidRDefault="002E07D5" w:rsidP="000E1220">
      <w:pPr>
        <w:pStyle w:val="BHTexto"/>
        <w:rPr>
          <w:lang w:val="es-ES"/>
        </w:rPr>
      </w:pPr>
      <w:r w:rsidRPr="00AE4E8D">
        <w:rPr>
          <w:lang w:val="es-ES"/>
        </w:rPr>
        <w:t xml:space="preserve">Bajo el sistema de clasificación de deuda vigente, cada cliente, como también sus deudas pendientes, </w:t>
      </w:r>
      <w:proofErr w:type="gramStart"/>
      <w:r w:rsidRPr="00AE4E8D">
        <w:rPr>
          <w:lang w:val="es-ES"/>
        </w:rPr>
        <w:t>son</w:t>
      </w:r>
      <w:proofErr w:type="gramEnd"/>
      <w:r w:rsidRPr="00AE4E8D">
        <w:rPr>
          <w:lang w:val="es-ES"/>
        </w:rPr>
        <w:t xml:space="preserve"> incluidos dentro de una de seis sub-categorías. Los criterios de clasificación de deuda aplicados a la cartera de préstamos para el consumo están basados primordialmente en factores objetivos relacionados con el cumplimiento de las obligaciones por parte del cliente o en su situación legal, mientras que el criterio clave para clasificar la cartera de préstamo comercial lo constituye la capacidad de pago de cada cliente, basado en su flujo de efectivo futuro.</w:t>
      </w:r>
    </w:p>
    <w:p w14:paraId="0AE47EA8" w14:textId="77777777" w:rsidR="002E07D5" w:rsidRPr="00AE4E8D" w:rsidRDefault="002E07D5" w:rsidP="000E1220">
      <w:pPr>
        <w:pStyle w:val="BH4Cursiva"/>
        <w:rPr>
          <w:lang w:val="es-ES"/>
        </w:rPr>
      </w:pPr>
      <w:bookmarkStart w:id="672" w:name="_Toc430186267"/>
      <w:r w:rsidRPr="00AE4E8D">
        <w:rPr>
          <w:lang w:val="es-ES"/>
        </w:rPr>
        <w:t xml:space="preserve">Clasificación de </w:t>
      </w:r>
      <w:bookmarkEnd w:id="672"/>
      <w:r w:rsidRPr="00AE4E8D">
        <w:rPr>
          <w:lang w:val="es-ES"/>
        </w:rPr>
        <w:t>préstamos comerciales</w:t>
      </w:r>
    </w:p>
    <w:p w14:paraId="7ADBAD3F" w14:textId="77777777" w:rsidR="002E07D5" w:rsidRPr="00AE4E8D" w:rsidRDefault="002E07D5" w:rsidP="000E1220">
      <w:pPr>
        <w:pStyle w:val="BHTexto"/>
        <w:rPr>
          <w:lang w:val="es-ES"/>
        </w:rPr>
      </w:pPr>
      <w:r w:rsidRPr="00AE4E8D">
        <w:rPr>
          <w:lang w:val="es-ES"/>
        </w:rPr>
        <w:t xml:space="preserve">El criterio principal para evaluar un préstamo perteneciente a la cartera comercial es la capacidad de su prestatario para reembolsarlo, capacidad que se mide principalmente por el flujo de efectivo futuro de dicho prestatario. De acuerdo con las normas del </w:t>
      </w:r>
      <w:r w:rsidR="002C3DEF" w:rsidRPr="00AE4E8D">
        <w:rPr>
          <w:lang w:val="es-ES"/>
        </w:rPr>
        <w:t>BCRA</w:t>
      </w:r>
      <w:r w:rsidRPr="00AE4E8D">
        <w:rPr>
          <w:lang w:val="es-ES"/>
        </w:rPr>
        <w:t>, los préstamos comerciales son clasificados del siguiente modo:</w:t>
      </w:r>
    </w:p>
    <w:tbl>
      <w:tblPr>
        <w:tblW w:w="5000" w:type="pct"/>
        <w:jc w:val="center"/>
        <w:tblLook w:val="0000" w:firstRow="0" w:lastRow="0" w:firstColumn="0" w:lastColumn="0" w:noHBand="0" w:noVBand="0"/>
      </w:tblPr>
      <w:tblGrid>
        <w:gridCol w:w="2240"/>
        <w:gridCol w:w="6481"/>
      </w:tblGrid>
      <w:tr w:rsidR="002E07D5" w:rsidRPr="00AE4E8D" w14:paraId="54873E63" w14:textId="77777777" w:rsidTr="000400C8">
        <w:trPr>
          <w:tblHeader/>
          <w:jc w:val="center"/>
        </w:trPr>
        <w:tc>
          <w:tcPr>
            <w:tcW w:w="1284" w:type="pct"/>
            <w:tcBorders>
              <w:bottom w:val="single" w:sz="4" w:space="0" w:color="auto"/>
            </w:tcBorders>
          </w:tcPr>
          <w:p w14:paraId="58924F42" w14:textId="77777777" w:rsidR="002E07D5" w:rsidRPr="00AE4E8D" w:rsidRDefault="002E07D5" w:rsidP="00B52753">
            <w:pPr>
              <w:widowControl w:val="0"/>
              <w:autoSpaceDE w:val="0"/>
              <w:autoSpaceDN w:val="0"/>
              <w:adjustRightInd w:val="0"/>
              <w:jc w:val="both"/>
              <w:rPr>
                <w:rFonts w:ascii="Times New Roman" w:hAnsi="Times New Roman"/>
                <w:b/>
                <w:color w:val="000000"/>
                <w:sz w:val="16"/>
                <w:lang w:val="es-ES"/>
              </w:rPr>
            </w:pPr>
            <w:r w:rsidRPr="00AE4E8D">
              <w:rPr>
                <w:rFonts w:ascii="Times New Roman" w:hAnsi="Times New Roman"/>
                <w:b/>
                <w:color w:val="000000"/>
                <w:sz w:val="16"/>
                <w:lang w:val="es-ES"/>
              </w:rPr>
              <w:t>Clasificación</w:t>
            </w:r>
          </w:p>
        </w:tc>
        <w:tc>
          <w:tcPr>
            <w:tcW w:w="3716" w:type="pct"/>
            <w:tcBorders>
              <w:bottom w:val="single" w:sz="4" w:space="0" w:color="auto"/>
            </w:tcBorders>
          </w:tcPr>
          <w:p w14:paraId="7FF77D1A" w14:textId="77777777" w:rsidR="002E07D5" w:rsidRPr="00AE4E8D" w:rsidRDefault="002E07D5" w:rsidP="00B52753">
            <w:pPr>
              <w:widowControl w:val="0"/>
              <w:autoSpaceDE w:val="0"/>
              <w:autoSpaceDN w:val="0"/>
              <w:adjustRightInd w:val="0"/>
              <w:jc w:val="both"/>
              <w:rPr>
                <w:rFonts w:ascii="Times New Roman" w:hAnsi="Times New Roman"/>
                <w:b/>
                <w:color w:val="000000"/>
                <w:sz w:val="16"/>
                <w:lang w:val="es-ES"/>
              </w:rPr>
            </w:pPr>
            <w:r w:rsidRPr="00AE4E8D">
              <w:rPr>
                <w:rFonts w:ascii="Times New Roman" w:hAnsi="Times New Roman"/>
                <w:b/>
                <w:color w:val="000000"/>
                <w:sz w:val="16"/>
                <w:lang w:val="es-ES"/>
              </w:rPr>
              <w:t>Criterios</w:t>
            </w:r>
          </w:p>
        </w:tc>
      </w:tr>
      <w:tr w:rsidR="002E07D5" w:rsidRPr="00AE4E8D" w14:paraId="3D643AC1" w14:textId="77777777" w:rsidTr="000400C8">
        <w:trPr>
          <w:jc w:val="center"/>
        </w:trPr>
        <w:tc>
          <w:tcPr>
            <w:tcW w:w="1284" w:type="pct"/>
            <w:tcBorders>
              <w:top w:val="single" w:sz="4" w:space="0" w:color="auto"/>
            </w:tcBorders>
          </w:tcPr>
          <w:p w14:paraId="63714430"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p>
          <w:p w14:paraId="0B51D8AE"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szCs w:val="16"/>
                <w:lang w:val="es-ES"/>
              </w:rPr>
              <w:t>En situación normal</w:t>
            </w:r>
          </w:p>
        </w:tc>
        <w:tc>
          <w:tcPr>
            <w:tcW w:w="3716" w:type="pct"/>
            <w:tcBorders>
              <w:top w:val="single" w:sz="4" w:space="0" w:color="auto"/>
            </w:tcBorders>
          </w:tcPr>
          <w:p w14:paraId="5DF24C9F"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p>
          <w:p w14:paraId="33725F8E"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szCs w:val="16"/>
                <w:lang w:val="es-ES"/>
              </w:rPr>
              <w:t xml:space="preserve">Deudores respecto de </w:t>
            </w:r>
            <w:r w:rsidRPr="00AE4E8D">
              <w:rPr>
                <w:rFonts w:ascii="Times New Roman" w:hAnsi="Times New Roman"/>
                <w:color w:val="000000"/>
                <w:sz w:val="16"/>
                <w:lang w:val="es-ES"/>
              </w:rPr>
              <w:t>los que no existen dudas respecto de su capacidad para cumplir con sus obligaciones de pago.</w:t>
            </w:r>
          </w:p>
          <w:p w14:paraId="45C8A4BA"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618B458A" w14:textId="77777777" w:rsidTr="000400C8">
        <w:trPr>
          <w:jc w:val="center"/>
        </w:trPr>
        <w:tc>
          <w:tcPr>
            <w:tcW w:w="1284" w:type="pct"/>
          </w:tcPr>
          <w:p w14:paraId="492EC705" w14:textId="77777777" w:rsidR="002E07D5" w:rsidRPr="00AE4E8D" w:rsidRDefault="002E07D5" w:rsidP="00B52753">
            <w:pPr>
              <w:widowControl w:val="0"/>
              <w:autoSpaceDE w:val="0"/>
              <w:autoSpaceDN w:val="0"/>
              <w:adjustRightInd w:val="0"/>
              <w:rPr>
                <w:rFonts w:ascii="Times New Roman" w:hAnsi="Times New Roman"/>
                <w:color w:val="000000"/>
                <w:sz w:val="16"/>
                <w:lang w:val="es-ES"/>
              </w:rPr>
            </w:pPr>
            <w:r w:rsidRPr="00AE4E8D">
              <w:rPr>
                <w:rFonts w:ascii="Times New Roman" w:hAnsi="Times New Roman"/>
                <w:color w:val="000000"/>
                <w:sz w:val="16"/>
                <w:szCs w:val="16"/>
                <w:lang w:val="es-ES"/>
              </w:rPr>
              <w:t>Con</w:t>
            </w:r>
            <w:r w:rsidRPr="00AE4E8D">
              <w:rPr>
                <w:rFonts w:ascii="Times New Roman" w:hAnsi="Times New Roman"/>
                <w:color w:val="000000"/>
                <w:sz w:val="16"/>
                <w:lang w:val="es-ES"/>
              </w:rPr>
              <w:t xml:space="preserve"> seguimiento especial /En observación</w:t>
            </w:r>
          </w:p>
        </w:tc>
        <w:tc>
          <w:tcPr>
            <w:tcW w:w="3716" w:type="pct"/>
          </w:tcPr>
          <w:p w14:paraId="2295DA8B"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szCs w:val="16"/>
                <w:lang w:val="es-ES"/>
              </w:rPr>
              <w:t>Los deudores</w:t>
            </w:r>
            <w:r w:rsidRPr="00AE4E8D">
              <w:rPr>
                <w:rFonts w:ascii="Times New Roman" w:hAnsi="Times New Roman"/>
                <w:color w:val="000000"/>
                <w:sz w:val="16"/>
                <w:lang w:val="es-ES"/>
              </w:rPr>
              <w:t xml:space="preserve"> cuya mora supera los 90 días, entre otros criterios, aunque son considerados capaces de hacer frente a todas sus obligaciones financieras, son sensibles a los cambios que puedan comprometer su capacidad para honrar deudas en ausencia de medidas correctivas oportunas.</w:t>
            </w:r>
          </w:p>
          <w:p w14:paraId="69EDC429"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199587CE" w14:textId="77777777" w:rsidTr="000400C8">
        <w:trPr>
          <w:jc w:val="center"/>
        </w:trPr>
        <w:tc>
          <w:tcPr>
            <w:tcW w:w="1284" w:type="pct"/>
          </w:tcPr>
          <w:p w14:paraId="36F7A782" w14:textId="77777777" w:rsidR="002E07D5" w:rsidRPr="00AE4E8D" w:rsidRDefault="002E07D5" w:rsidP="00B52753">
            <w:pPr>
              <w:widowControl w:val="0"/>
              <w:autoSpaceDE w:val="0"/>
              <w:autoSpaceDN w:val="0"/>
              <w:adjustRightInd w:val="0"/>
              <w:rPr>
                <w:rFonts w:ascii="Times New Roman" w:hAnsi="Times New Roman"/>
                <w:color w:val="000000"/>
                <w:sz w:val="16"/>
                <w:lang w:val="es-ES"/>
              </w:rPr>
            </w:pPr>
            <w:r w:rsidRPr="00AE4E8D">
              <w:rPr>
                <w:rFonts w:ascii="Times New Roman" w:hAnsi="Times New Roman"/>
                <w:color w:val="000000"/>
                <w:sz w:val="16"/>
                <w:lang w:val="es-ES"/>
              </w:rPr>
              <w:t xml:space="preserve">Bajo seguimiento especial / </w:t>
            </w:r>
            <w:r w:rsidRPr="00AE4E8D">
              <w:rPr>
                <w:rFonts w:ascii="Times New Roman" w:hAnsi="Times New Roman"/>
                <w:color w:val="000000"/>
                <w:sz w:val="16"/>
                <w:szCs w:val="16"/>
                <w:lang w:val="es-ES"/>
              </w:rPr>
              <w:t>en</w:t>
            </w:r>
            <w:r w:rsidRPr="00AE4E8D">
              <w:rPr>
                <w:rFonts w:ascii="Times New Roman" w:hAnsi="Times New Roman"/>
                <w:color w:val="000000"/>
                <w:sz w:val="16"/>
                <w:lang w:val="es-ES"/>
              </w:rPr>
              <w:t xml:space="preserve"> negociación o con acuerdos de refinanciación</w:t>
            </w:r>
            <w:r w:rsidRPr="00AE4E8D">
              <w:rPr>
                <w:rFonts w:ascii="Times New Roman" w:hAnsi="Times New Roman"/>
                <w:color w:val="000000"/>
                <w:sz w:val="16"/>
                <w:szCs w:val="16"/>
                <w:lang w:val="es-ES"/>
              </w:rPr>
              <w:t>.</w:t>
            </w:r>
          </w:p>
        </w:tc>
        <w:tc>
          <w:tcPr>
            <w:tcW w:w="3716" w:type="pct"/>
          </w:tcPr>
          <w:p w14:paraId="55E2010A"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sz w:val="16"/>
                <w:szCs w:val="16"/>
                <w:lang w:val="es-ES"/>
              </w:rPr>
              <w:t>Incluye aquellos clientes</w:t>
            </w:r>
            <w:r w:rsidRPr="00AE4E8D">
              <w:rPr>
                <w:rFonts w:ascii="Times New Roman" w:hAnsi="Times New Roman"/>
                <w:sz w:val="16"/>
                <w:lang w:val="es-ES"/>
              </w:rPr>
              <w:t xml:space="preserve"> que </w:t>
            </w:r>
            <w:r w:rsidRPr="00AE4E8D">
              <w:rPr>
                <w:rFonts w:ascii="Times New Roman" w:hAnsi="Times New Roman"/>
                <w:sz w:val="16"/>
                <w:szCs w:val="16"/>
                <w:lang w:val="es-ES"/>
              </w:rPr>
              <w:t xml:space="preserve">ante la imposibilidad </w:t>
            </w:r>
            <w:r w:rsidRPr="00AE4E8D">
              <w:rPr>
                <w:rFonts w:ascii="Times New Roman" w:hAnsi="Times New Roman"/>
                <w:sz w:val="16"/>
                <w:lang w:val="es-ES"/>
              </w:rPr>
              <w:t xml:space="preserve">de </w:t>
            </w:r>
            <w:r w:rsidRPr="00AE4E8D">
              <w:rPr>
                <w:rFonts w:ascii="Times New Roman" w:hAnsi="Times New Roman"/>
                <w:sz w:val="16"/>
                <w:szCs w:val="16"/>
                <w:lang w:val="es-ES"/>
              </w:rPr>
              <w:t xml:space="preserve">hacer frente al pago de </w:t>
            </w:r>
            <w:r w:rsidRPr="00AE4E8D">
              <w:rPr>
                <w:rFonts w:ascii="Times New Roman" w:hAnsi="Times New Roman"/>
                <w:sz w:val="16"/>
                <w:lang w:val="es-ES"/>
              </w:rPr>
              <w:t xml:space="preserve">sus obligaciones </w:t>
            </w:r>
            <w:r w:rsidRPr="00AE4E8D">
              <w:rPr>
                <w:rFonts w:ascii="Times New Roman" w:hAnsi="Times New Roman"/>
                <w:sz w:val="16"/>
                <w:szCs w:val="16"/>
                <w:lang w:val="es-ES"/>
              </w:rPr>
              <w:t>en las condiciones pactadas, manifiesten fehacientemente antes</w:t>
            </w:r>
            <w:r w:rsidRPr="00AE4E8D">
              <w:rPr>
                <w:rFonts w:ascii="Times New Roman" w:hAnsi="Times New Roman"/>
                <w:sz w:val="16"/>
                <w:lang w:val="es-ES"/>
              </w:rPr>
              <w:t xml:space="preserve"> de los 60 días </w:t>
            </w:r>
            <w:r w:rsidRPr="00AE4E8D">
              <w:rPr>
                <w:rFonts w:ascii="Times New Roman" w:hAnsi="Times New Roman"/>
                <w:sz w:val="16"/>
                <w:szCs w:val="16"/>
                <w:lang w:val="es-ES"/>
              </w:rPr>
              <w:t>contados desde</w:t>
            </w:r>
            <w:r w:rsidRPr="00AE4E8D">
              <w:rPr>
                <w:rFonts w:ascii="Times New Roman" w:hAnsi="Times New Roman"/>
                <w:sz w:val="16"/>
                <w:lang w:val="es-ES"/>
              </w:rPr>
              <w:t xml:space="preserve"> la fecha </w:t>
            </w:r>
            <w:r w:rsidRPr="00AE4E8D">
              <w:rPr>
                <w:rFonts w:ascii="Times New Roman" w:hAnsi="Times New Roman"/>
                <w:sz w:val="16"/>
                <w:szCs w:val="16"/>
                <w:lang w:val="es-ES"/>
              </w:rPr>
              <w:t xml:space="preserve">en que se verificó la mora en el pago </w:t>
            </w:r>
            <w:r w:rsidRPr="00AE4E8D">
              <w:rPr>
                <w:rFonts w:ascii="Times New Roman" w:hAnsi="Times New Roman"/>
                <w:sz w:val="16"/>
                <w:lang w:val="es-ES"/>
              </w:rPr>
              <w:t xml:space="preserve">de </w:t>
            </w:r>
            <w:r w:rsidRPr="00AE4E8D">
              <w:rPr>
                <w:rFonts w:ascii="Times New Roman" w:hAnsi="Times New Roman"/>
                <w:sz w:val="16"/>
                <w:szCs w:val="16"/>
                <w:lang w:val="es-ES"/>
              </w:rPr>
              <w:t>las obligaciones, la</w:t>
            </w:r>
            <w:r w:rsidRPr="00AE4E8D">
              <w:rPr>
                <w:rFonts w:ascii="Times New Roman" w:hAnsi="Times New Roman"/>
                <w:sz w:val="16"/>
                <w:lang w:val="es-ES"/>
              </w:rPr>
              <w:t xml:space="preserve"> intención de refinanciar </w:t>
            </w:r>
            <w:r w:rsidRPr="00AE4E8D">
              <w:rPr>
                <w:rFonts w:ascii="Times New Roman" w:hAnsi="Times New Roman"/>
                <w:sz w:val="16"/>
                <w:szCs w:val="16"/>
                <w:lang w:val="es-ES"/>
              </w:rPr>
              <w:t>sus</w:t>
            </w:r>
            <w:r w:rsidRPr="00AE4E8D">
              <w:rPr>
                <w:rFonts w:ascii="Times New Roman" w:hAnsi="Times New Roman"/>
                <w:sz w:val="16"/>
                <w:lang w:val="es-ES"/>
              </w:rPr>
              <w:t xml:space="preserve"> deudas. </w:t>
            </w:r>
            <w:r w:rsidRPr="00AE4E8D">
              <w:rPr>
                <w:rFonts w:ascii="Times New Roman" w:eastAsia="Calibri" w:hAnsi="Times New Roman"/>
                <w:sz w:val="16"/>
                <w:szCs w:val="16"/>
                <w:lang w:val="es-ES"/>
              </w:rPr>
              <w:t xml:space="preserve">De no haberse alcanzado </w:t>
            </w:r>
            <w:r w:rsidRPr="00AE4E8D">
              <w:rPr>
                <w:rFonts w:ascii="Times New Roman" w:eastAsia="Calibri" w:hAnsi="Times New Roman"/>
                <w:sz w:val="16"/>
                <w:lang w:val="es-ES"/>
              </w:rPr>
              <w:t xml:space="preserve">el </w:t>
            </w:r>
            <w:r w:rsidRPr="00AE4E8D">
              <w:rPr>
                <w:rFonts w:ascii="Times New Roman" w:eastAsia="Calibri" w:hAnsi="Times New Roman"/>
                <w:sz w:val="16"/>
                <w:szCs w:val="16"/>
                <w:lang w:val="es-ES"/>
              </w:rPr>
              <w:t>acuerdo</w:t>
            </w:r>
            <w:r w:rsidRPr="00AE4E8D">
              <w:rPr>
                <w:rFonts w:ascii="Times New Roman" w:eastAsia="Calibri" w:hAnsi="Times New Roman"/>
                <w:sz w:val="16"/>
                <w:lang w:val="es-ES"/>
              </w:rPr>
              <w:t xml:space="preserve"> dentro de los 90 días (si </w:t>
            </w:r>
            <w:r w:rsidRPr="00AE4E8D">
              <w:rPr>
                <w:rFonts w:ascii="Times New Roman" w:eastAsia="Calibri" w:hAnsi="Times New Roman"/>
                <w:sz w:val="16"/>
                <w:szCs w:val="16"/>
                <w:lang w:val="es-ES"/>
              </w:rPr>
              <w:t>estuvieran</w:t>
            </w:r>
            <w:r w:rsidRPr="00AE4E8D">
              <w:rPr>
                <w:rFonts w:ascii="Times New Roman" w:eastAsia="Calibri" w:hAnsi="Times New Roman"/>
                <w:sz w:val="16"/>
                <w:lang w:val="es-ES"/>
              </w:rPr>
              <w:t xml:space="preserve"> involucrados dos </w:t>
            </w:r>
            <w:r w:rsidRPr="00AE4E8D">
              <w:rPr>
                <w:rFonts w:ascii="Times New Roman" w:eastAsia="Calibri" w:hAnsi="Times New Roman"/>
                <w:sz w:val="16"/>
                <w:szCs w:val="16"/>
                <w:lang w:val="es-ES"/>
              </w:rPr>
              <w:t xml:space="preserve">entidades </w:t>
            </w:r>
            <w:r w:rsidRPr="00AE4E8D">
              <w:rPr>
                <w:rFonts w:ascii="Times New Roman" w:eastAsia="Calibri" w:hAnsi="Times New Roman"/>
                <w:sz w:val="16"/>
                <w:lang w:val="es-ES"/>
              </w:rPr>
              <w:t xml:space="preserve">prestamistas) o 180 días </w:t>
            </w:r>
            <w:r w:rsidRPr="00AE4E8D">
              <w:rPr>
                <w:rFonts w:ascii="Times New Roman" w:eastAsia="Calibri" w:hAnsi="Times New Roman"/>
                <w:sz w:val="16"/>
                <w:szCs w:val="16"/>
                <w:lang w:val="es-ES"/>
              </w:rPr>
              <w:t>calendarios</w:t>
            </w:r>
            <w:r w:rsidRPr="00AE4E8D">
              <w:rPr>
                <w:rFonts w:ascii="Times New Roman" w:eastAsia="Calibri" w:hAnsi="Times New Roman"/>
                <w:sz w:val="16"/>
                <w:lang w:val="es-ES"/>
              </w:rPr>
              <w:t xml:space="preserve"> (si </w:t>
            </w:r>
            <w:r w:rsidRPr="00AE4E8D">
              <w:rPr>
                <w:rFonts w:ascii="Times New Roman" w:eastAsia="Calibri" w:hAnsi="Times New Roman"/>
                <w:sz w:val="16"/>
                <w:szCs w:val="16"/>
                <w:lang w:val="es-ES"/>
              </w:rPr>
              <w:t>estuvieran</w:t>
            </w:r>
            <w:r w:rsidRPr="00AE4E8D">
              <w:rPr>
                <w:rFonts w:ascii="Times New Roman" w:eastAsia="Calibri" w:hAnsi="Times New Roman"/>
                <w:sz w:val="16"/>
                <w:lang w:val="es-ES"/>
              </w:rPr>
              <w:t xml:space="preserve"> involucrados más de dos </w:t>
            </w:r>
            <w:r w:rsidRPr="00AE4E8D">
              <w:rPr>
                <w:rFonts w:ascii="Times New Roman" w:eastAsia="Calibri" w:hAnsi="Times New Roman"/>
                <w:sz w:val="16"/>
                <w:szCs w:val="16"/>
                <w:lang w:val="es-ES"/>
              </w:rPr>
              <w:t xml:space="preserve">entidades </w:t>
            </w:r>
            <w:r w:rsidRPr="00AE4E8D">
              <w:rPr>
                <w:rFonts w:ascii="Times New Roman" w:eastAsia="Calibri" w:hAnsi="Times New Roman"/>
                <w:sz w:val="16"/>
                <w:lang w:val="es-ES"/>
              </w:rPr>
              <w:t xml:space="preserve">prestamistas) después de la fecha de incumplimiento </w:t>
            </w:r>
            <w:r w:rsidRPr="00AE4E8D">
              <w:rPr>
                <w:rFonts w:ascii="Times New Roman" w:eastAsia="Calibri" w:hAnsi="Times New Roman"/>
                <w:sz w:val="16"/>
                <w:szCs w:val="16"/>
                <w:lang w:val="es-ES"/>
              </w:rPr>
              <w:t>de pago, deberá reclasificarse al deudor</w:t>
            </w:r>
            <w:r w:rsidRPr="00AE4E8D">
              <w:rPr>
                <w:rFonts w:ascii="Times New Roman" w:eastAsia="Calibri" w:hAnsi="Times New Roman"/>
                <w:sz w:val="16"/>
                <w:lang w:val="es-ES"/>
              </w:rPr>
              <w:t xml:space="preserve"> en la categoría inferior que corresponda, </w:t>
            </w:r>
            <w:r w:rsidRPr="00AE4E8D">
              <w:rPr>
                <w:rFonts w:ascii="Times New Roman" w:eastAsia="Calibri" w:hAnsi="Times New Roman"/>
                <w:sz w:val="16"/>
                <w:szCs w:val="16"/>
                <w:lang w:val="es-ES"/>
              </w:rPr>
              <w:t xml:space="preserve">de acuerdo con </w:t>
            </w:r>
            <w:r w:rsidRPr="00AE4E8D">
              <w:rPr>
                <w:rFonts w:ascii="Times New Roman" w:eastAsia="Calibri" w:hAnsi="Times New Roman"/>
                <w:sz w:val="16"/>
                <w:lang w:val="es-ES"/>
              </w:rPr>
              <w:t>los indicadores establecidos para cada nivel.</w:t>
            </w:r>
          </w:p>
          <w:p w14:paraId="5A4EBC2A"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p>
        </w:tc>
      </w:tr>
      <w:tr w:rsidR="002E07D5" w:rsidRPr="00AE4E8D" w14:paraId="03D59BEB" w14:textId="77777777" w:rsidTr="000400C8">
        <w:trPr>
          <w:jc w:val="center"/>
        </w:trPr>
        <w:tc>
          <w:tcPr>
            <w:tcW w:w="1284" w:type="pct"/>
          </w:tcPr>
          <w:p w14:paraId="18879692"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Con problemas</w:t>
            </w:r>
          </w:p>
        </w:tc>
        <w:tc>
          <w:tcPr>
            <w:tcW w:w="3716" w:type="pct"/>
          </w:tcPr>
          <w:p w14:paraId="24A82360"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szCs w:val="16"/>
                <w:lang w:val="es-ES"/>
              </w:rPr>
              <w:t>Deudores</w:t>
            </w:r>
            <w:r w:rsidRPr="00AE4E8D">
              <w:rPr>
                <w:rFonts w:ascii="Times New Roman" w:hAnsi="Times New Roman"/>
                <w:color w:val="000000"/>
                <w:sz w:val="16"/>
                <w:lang w:val="es-ES"/>
              </w:rPr>
              <w:t xml:space="preserve"> con dificultades para cumplir con sus obligaciones financieras en forma regular que, de no ser corregidas, pueden dar como resultado pérdidas para el banco.</w:t>
            </w:r>
          </w:p>
          <w:p w14:paraId="6161E686"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4B18F9F7" w14:textId="77777777" w:rsidTr="000400C8">
        <w:trPr>
          <w:jc w:val="center"/>
        </w:trPr>
        <w:tc>
          <w:tcPr>
            <w:tcW w:w="1284" w:type="pct"/>
          </w:tcPr>
          <w:p w14:paraId="34CB35CD" w14:textId="77777777" w:rsidR="002E07D5" w:rsidRPr="00AE4E8D" w:rsidRDefault="002E07D5" w:rsidP="00B52753">
            <w:pPr>
              <w:widowControl w:val="0"/>
              <w:autoSpaceDE w:val="0"/>
              <w:autoSpaceDN w:val="0"/>
              <w:adjustRightInd w:val="0"/>
              <w:rPr>
                <w:rFonts w:ascii="Times New Roman" w:hAnsi="Times New Roman"/>
                <w:color w:val="000000"/>
                <w:sz w:val="16"/>
                <w:lang w:val="es-ES"/>
              </w:rPr>
            </w:pPr>
            <w:r w:rsidRPr="00AE4E8D">
              <w:rPr>
                <w:rFonts w:ascii="Times New Roman" w:hAnsi="Times New Roman"/>
                <w:color w:val="000000"/>
                <w:sz w:val="16"/>
                <w:lang w:val="es-ES"/>
              </w:rPr>
              <w:t>Con alto riesgo de insolvencia</w:t>
            </w:r>
          </w:p>
        </w:tc>
        <w:tc>
          <w:tcPr>
            <w:tcW w:w="3716" w:type="pct"/>
          </w:tcPr>
          <w:p w14:paraId="72DBD27C"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szCs w:val="16"/>
                <w:lang w:val="es-ES"/>
              </w:rPr>
              <w:t>Deudores</w:t>
            </w:r>
            <w:r w:rsidRPr="00AE4E8D">
              <w:rPr>
                <w:rFonts w:ascii="Times New Roman" w:hAnsi="Times New Roman"/>
                <w:color w:val="000000"/>
                <w:sz w:val="16"/>
                <w:lang w:val="es-ES"/>
              </w:rPr>
              <w:t xml:space="preserve"> con una alta probabilidad de que no cumplan con sus </w:t>
            </w:r>
            <w:r w:rsidRPr="00AE4E8D">
              <w:rPr>
                <w:rFonts w:ascii="Times New Roman" w:hAnsi="Times New Roman"/>
                <w:color w:val="000000"/>
                <w:sz w:val="16"/>
                <w:szCs w:val="16"/>
                <w:lang w:val="es-ES"/>
              </w:rPr>
              <w:t>compromisos financieros</w:t>
            </w:r>
            <w:r w:rsidRPr="00AE4E8D">
              <w:rPr>
                <w:rFonts w:ascii="Times New Roman" w:hAnsi="Times New Roman"/>
                <w:color w:val="000000"/>
                <w:sz w:val="16"/>
                <w:lang w:val="es-ES"/>
              </w:rPr>
              <w:t>.</w:t>
            </w:r>
          </w:p>
          <w:p w14:paraId="7626D727"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479490EE" w14:textId="77777777" w:rsidTr="000400C8">
        <w:trPr>
          <w:jc w:val="center"/>
        </w:trPr>
        <w:tc>
          <w:tcPr>
            <w:tcW w:w="1284" w:type="pct"/>
          </w:tcPr>
          <w:p w14:paraId="183A49E1" w14:textId="77777777" w:rsidR="002E07D5" w:rsidRPr="00AE4E8D" w:rsidRDefault="002E07D5" w:rsidP="00B52753">
            <w:pPr>
              <w:widowControl w:val="0"/>
              <w:autoSpaceDE w:val="0"/>
              <w:autoSpaceDN w:val="0"/>
              <w:adjustRightInd w:val="0"/>
              <w:rPr>
                <w:rFonts w:ascii="Times New Roman" w:hAnsi="Times New Roman"/>
                <w:color w:val="000000"/>
                <w:sz w:val="16"/>
                <w:lang w:val="es-ES"/>
              </w:rPr>
            </w:pPr>
            <w:r w:rsidRPr="00AE4E8D">
              <w:rPr>
                <w:rFonts w:ascii="Times New Roman" w:hAnsi="Times New Roman"/>
                <w:color w:val="000000"/>
                <w:sz w:val="16"/>
                <w:lang w:val="es-ES"/>
              </w:rPr>
              <w:t>Irrecuperable</w:t>
            </w:r>
          </w:p>
        </w:tc>
        <w:tc>
          <w:tcPr>
            <w:tcW w:w="3716" w:type="pct"/>
          </w:tcPr>
          <w:p w14:paraId="0F310BB7"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 xml:space="preserve">Préstamos clasificados como irrecuperables al momento </w:t>
            </w:r>
            <w:r w:rsidRPr="00AE4E8D">
              <w:rPr>
                <w:rFonts w:ascii="Times New Roman" w:hAnsi="Times New Roman"/>
                <w:color w:val="000000"/>
                <w:sz w:val="16"/>
                <w:szCs w:val="16"/>
                <w:lang w:val="es-ES"/>
              </w:rPr>
              <w:t>del análisis</w:t>
            </w:r>
            <w:r w:rsidRPr="00AE4E8D">
              <w:rPr>
                <w:rFonts w:ascii="Times New Roman" w:hAnsi="Times New Roman"/>
                <w:color w:val="000000"/>
                <w:sz w:val="16"/>
                <w:lang w:val="es-ES"/>
              </w:rPr>
              <w:t xml:space="preserve"> (aunque podría existir la posibilidad de que tales préstamos se cobraran en el futuro). El </w:t>
            </w:r>
            <w:r w:rsidRPr="00AE4E8D">
              <w:rPr>
                <w:rFonts w:ascii="Times New Roman" w:hAnsi="Times New Roman"/>
                <w:color w:val="000000"/>
                <w:sz w:val="16"/>
                <w:szCs w:val="16"/>
                <w:lang w:val="es-ES"/>
              </w:rPr>
              <w:t>deudor</w:t>
            </w:r>
            <w:r w:rsidRPr="00AE4E8D">
              <w:rPr>
                <w:rFonts w:ascii="Times New Roman" w:hAnsi="Times New Roman"/>
                <w:color w:val="000000"/>
                <w:sz w:val="16"/>
                <w:lang w:val="es-ES"/>
              </w:rPr>
              <w:t xml:space="preserve"> no cumplirá sus obligaciones financieras con la entidad financiera.</w:t>
            </w:r>
          </w:p>
          <w:p w14:paraId="679B3030"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650EA696" w14:textId="77777777" w:rsidTr="000400C8">
        <w:trPr>
          <w:jc w:val="center"/>
        </w:trPr>
        <w:tc>
          <w:tcPr>
            <w:tcW w:w="1284" w:type="pct"/>
          </w:tcPr>
          <w:p w14:paraId="2988DF17" w14:textId="77777777" w:rsidR="002E07D5" w:rsidRPr="00AE4E8D" w:rsidRDefault="002E07D5" w:rsidP="00B52753">
            <w:pPr>
              <w:widowControl w:val="0"/>
              <w:autoSpaceDE w:val="0"/>
              <w:autoSpaceDN w:val="0"/>
              <w:adjustRightInd w:val="0"/>
              <w:rPr>
                <w:rFonts w:ascii="Times New Roman" w:hAnsi="Times New Roman"/>
                <w:color w:val="000000"/>
                <w:sz w:val="16"/>
                <w:lang w:val="es-ES"/>
              </w:rPr>
            </w:pPr>
            <w:r w:rsidRPr="00AE4E8D">
              <w:rPr>
                <w:rFonts w:ascii="Times New Roman" w:hAnsi="Times New Roman"/>
                <w:color w:val="000000"/>
                <w:sz w:val="16"/>
                <w:lang w:val="es-ES"/>
              </w:rPr>
              <w:t>Irrecuperable por disposición técnica</w:t>
            </w:r>
          </w:p>
        </w:tc>
        <w:tc>
          <w:tcPr>
            <w:tcW w:w="3716" w:type="pct"/>
          </w:tcPr>
          <w:p w14:paraId="02E34D07" w14:textId="77777777" w:rsidR="002E07D5" w:rsidRPr="00AE4E8D" w:rsidRDefault="002E07D5" w:rsidP="00B52753">
            <w:pPr>
              <w:widowControl w:val="0"/>
              <w:jc w:val="both"/>
              <w:rPr>
                <w:rFonts w:ascii="Times New Roman" w:hAnsi="Times New Roman"/>
                <w:color w:val="000000"/>
                <w:sz w:val="16"/>
                <w:lang w:val="es-ES"/>
              </w:rPr>
            </w:pPr>
            <w:r w:rsidRPr="00AE4E8D">
              <w:rPr>
                <w:rFonts w:ascii="Times New Roman" w:hAnsi="Times New Roman"/>
                <w:color w:val="000000"/>
                <w:sz w:val="16"/>
                <w:lang w:val="es-ES"/>
              </w:rPr>
              <w:t xml:space="preserve">(a) Un </w:t>
            </w:r>
            <w:r w:rsidRPr="00AE4E8D">
              <w:rPr>
                <w:rFonts w:ascii="Times New Roman" w:hAnsi="Times New Roman"/>
                <w:color w:val="000000"/>
                <w:sz w:val="16"/>
                <w:szCs w:val="16"/>
                <w:lang w:val="es-ES" w:eastAsia="es-ES"/>
              </w:rPr>
              <w:t>deudor que</w:t>
            </w:r>
            <w:r w:rsidRPr="00AE4E8D">
              <w:rPr>
                <w:rFonts w:ascii="Times New Roman" w:hAnsi="Times New Roman"/>
                <w:color w:val="000000"/>
                <w:sz w:val="16"/>
                <w:lang w:val="es-ES"/>
              </w:rPr>
              <w:t xml:space="preserve"> no ha cumplido con sus obligaciones de pago </w:t>
            </w:r>
            <w:r w:rsidRPr="00AE4E8D">
              <w:rPr>
                <w:rFonts w:ascii="Times New Roman" w:hAnsi="Times New Roman"/>
                <w:color w:val="000000"/>
                <w:sz w:val="16"/>
                <w:szCs w:val="16"/>
                <w:lang w:val="es-ES" w:eastAsia="es-ES"/>
              </w:rPr>
              <w:t xml:space="preserve">de un préstamo </w:t>
            </w:r>
            <w:r w:rsidRPr="00AE4E8D">
              <w:rPr>
                <w:rFonts w:ascii="Times New Roman" w:hAnsi="Times New Roman"/>
                <w:color w:val="000000"/>
                <w:sz w:val="16"/>
                <w:lang w:val="es-ES"/>
              </w:rPr>
              <w:t xml:space="preserve">durante más de 180 días calendario según el informe correspondiente suministrado por el </w:t>
            </w:r>
            <w:r w:rsidR="002C3DEF" w:rsidRPr="00AE4E8D">
              <w:rPr>
                <w:rFonts w:ascii="Times New Roman" w:hAnsi="Times New Roman"/>
                <w:color w:val="000000"/>
                <w:sz w:val="16"/>
                <w:szCs w:val="16"/>
                <w:lang w:val="es-ES" w:eastAsia="es-ES"/>
              </w:rPr>
              <w:t>BCRA</w:t>
            </w:r>
            <w:r w:rsidRPr="00AE4E8D">
              <w:rPr>
                <w:rFonts w:ascii="Times New Roman" w:hAnsi="Times New Roman"/>
                <w:color w:val="000000"/>
                <w:sz w:val="16"/>
                <w:szCs w:val="16"/>
                <w:lang w:val="es-ES" w:eastAsia="es-ES"/>
              </w:rPr>
              <w:t>,</w:t>
            </w:r>
            <w:r w:rsidRPr="00AE4E8D">
              <w:rPr>
                <w:rFonts w:ascii="Times New Roman" w:hAnsi="Times New Roman"/>
                <w:color w:val="000000"/>
                <w:sz w:val="16"/>
                <w:lang w:val="es-ES"/>
              </w:rPr>
              <w:t xml:space="preserve"> incluye (1) las entidades financieras liquidadas por el </w:t>
            </w:r>
            <w:r w:rsidR="002C3DEF" w:rsidRPr="00AE4E8D">
              <w:rPr>
                <w:rFonts w:ascii="Times New Roman" w:hAnsi="Times New Roman"/>
                <w:color w:val="000000"/>
                <w:sz w:val="16"/>
                <w:szCs w:val="16"/>
                <w:lang w:val="es-ES" w:eastAsia="es-ES"/>
              </w:rPr>
              <w:t>BCRA</w:t>
            </w:r>
            <w:r w:rsidRPr="00AE4E8D">
              <w:rPr>
                <w:rFonts w:ascii="Times New Roman" w:hAnsi="Times New Roman"/>
                <w:color w:val="000000"/>
                <w:sz w:val="16"/>
                <w:lang w:val="es-ES"/>
              </w:rPr>
              <w:t xml:space="preserve">, (2) entidades residuales creadas como resultado de la privatización de entidades financieras públicas, o en procesos de privatización o disolución, (3) entidades financieras cuya licencia ha sido revocada por el </w:t>
            </w:r>
            <w:r w:rsidR="002C3DEF" w:rsidRPr="00AE4E8D">
              <w:rPr>
                <w:rFonts w:ascii="Times New Roman" w:hAnsi="Times New Roman"/>
                <w:color w:val="000000"/>
                <w:sz w:val="16"/>
                <w:szCs w:val="16"/>
                <w:lang w:val="es-ES" w:eastAsia="es-ES"/>
              </w:rPr>
              <w:t>BCRA</w:t>
            </w:r>
            <w:r w:rsidRPr="00AE4E8D">
              <w:rPr>
                <w:rFonts w:ascii="Times New Roman" w:hAnsi="Times New Roman"/>
                <w:color w:val="000000"/>
                <w:sz w:val="16"/>
                <w:lang w:val="es-ES"/>
              </w:rPr>
              <w:t xml:space="preserve"> y que se encuentran sujetas a liquidación judicial o procedimientos de quiebra, y (4) fideicomisos en los que Seguro de Depósitos S.A. (SEDESA) </w:t>
            </w:r>
            <w:r w:rsidRPr="00AE4E8D">
              <w:rPr>
                <w:rFonts w:ascii="Times New Roman" w:hAnsi="Times New Roman"/>
                <w:color w:val="000000"/>
                <w:sz w:val="16"/>
                <w:szCs w:val="16"/>
                <w:lang w:val="es-ES" w:eastAsia="es-ES"/>
              </w:rPr>
              <w:t>sea</w:t>
            </w:r>
            <w:r w:rsidRPr="00AE4E8D">
              <w:rPr>
                <w:rFonts w:ascii="Times New Roman" w:hAnsi="Times New Roman"/>
                <w:color w:val="000000"/>
                <w:sz w:val="16"/>
                <w:lang w:val="es-ES"/>
              </w:rPr>
              <w:t xml:space="preserve"> beneficiario</w:t>
            </w:r>
            <w:r w:rsidRPr="00AE4E8D">
              <w:rPr>
                <w:rFonts w:ascii="Times New Roman" w:hAnsi="Times New Roman"/>
                <w:color w:val="000000"/>
                <w:sz w:val="16"/>
                <w:szCs w:val="16"/>
                <w:lang w:val="es-ES" w:eastAsia="es-ES"/>
              </w:rPr>
              <w:t>;</w:t>
            </w:r>
            <w:r w:rsidRPr="00AE4E8D">
              <w:rPr>
                <w:rFonts w:ascii="Times New Roman" w:hAnsi="Times New Roman"/>
                <w:color w:val="000000"/>
                <w:sz w:val="16"/>
                <w:lang w:val="es-ES"/>
              </w:rPr>
              <w:t xml:space="preserve"> o (b) determinada clase de prestatario extranjero (incluyendo bancos u otras entidades financieras que no están sujetos a la supervisión del </w:t>
            </w:r>
            <w:r w:rsidR="002C3DEF" w:rsidRPr="00AE4E8D">
              <w:rPr>
                <w:rFonts w:ascii="Times New Roman" w:hAnsi="Times New Roman"/>
                <w:color w:val="000000"/>
                <w:sz w:val="16"/>
                <w:szCs w:val="16"/>
                <w:lang w:val="es-ES" w:eastAsia="es-ES"/>
              </w:rPr>
              <w:t>BCRA</w:t>
            </w:r>
            <w:r w:rsidRPr="00AE4E8D">
              <w:rPr>
                <w:rFonts w:ascii="Times New Roman" w:hAnsi="Times New Roman"/>
                <w:color w:val="000000"/>
                <w:sz w:val="16"/>
                <w:lang w:val="es-ES"/>
              </w:rPr>
              <w:t xml:space="preserve"> o autoridad similar del país en el cual están constituidos) que no </w:t>
            </w:r>
            <w:r w:rsidRPr="00AE4E8D">
              <w:rPr>
                <w:rFonts w:ascii="Times New Roman" w:hAnsi="Times New Roman"/>
                <w:color w:val="000000"/>
                <w:sz w:val="16"/>
                <w:szCs w:val="16"/>
                <w:lang w:val="es-ES" w:eastAsia="es-ES"/>
              </w:rPr>
              <w:t xml:space="preserve">cuentan con la calificación internacional de </w:t>
            </w:r>
            <w:r w:rsidRPr="00AE4E8D">
              <w:rPr>
                <w:rFonts w:ascii="Times New Roman" w:hAnsi="Times New Roman"/>
                <w:color w:val="000000"/>
                <w:sz w:val="16"/>
                <w:lang w:val="es-ES"/>
              </w:rPr>
              <w:t>“</w:t>
            </w:r>
            <w:r w:rsidRPr="00AE4E8D">
              <w:rPr>
                <w:rFonts w:ascii="Times New Roman" w:hAnsi="Times New Roman"/>
                <w:i/>
                <w:color w:val="000000"/>
                <w:sz w:val="16"/>
                <w:lang w:val="es-ES"/>
              </w:rPr>
              <w:t>investment grade</w:t>
            </w:r>
            <w:r w:rsidRPr="00AE4E8D">
              <w:rPr>
                <w:rFonts w:ascii="Times New Roman" w:hAnsi="Times New Roman"/>
                <w:color w:val="000000"/>
                <w:sz w:val="16"/>
                <w:lang w:val="es-ES"/>
              </w:rPr>
              <w:t xml:space="preserve">” </w:t>
            </w:r>
            <w:r w:rsidRPr="00AE4E8D">
              <w:rPr>
                <w:rFonts w:ascii="Times New Roman" w:hAnsi="Times New Roman"/>
                <w:color w:val="000000"/>
                <w:sz w:val="16"/>
                <w:szCs w:val="16"/>
                <w:lang w:val="es-ES" w:eastAsia="es-ES"/>
              </w:rPr>
              <w:t>de</w:t>
            </w:r>
            <w:r w:rsidRPr="00AE4E8D">
              <w:rPr>
                <w:rFonts w:ascii="Times New Roman" w:hAnsi="Times New Roman"/>
                <w:color w:val="000000"/>
                <w:sz w:val="16"/>
                <w:lang w:val="es-ES"/>
              </w:rPr>
              <w:t xml:space="preserve"> cualquiera de las agencias calificadoras de riesgo reconocidas por el </w:t>
            </w:r>
            <w:r w:rsidR="002C3DEF" w:rsidRPr="00AE4E8D">
              <w:rPr>
                <w:rFonts w:ascii="Times New Roman" w:hAnsi="Times New Roman"/>
                <w:color w:val="000000"/>
                <w:sz w:val="16"/>
                <w:szCs w:val="16"/>
                <w:lang w:val="es-ES" w:eastAsia="es-ES"/>
              </w:rPr>
              <w:t>BCRA</w:t>
            </w:r>
            <w:r w:rsidRPr="00AE4E8D">
              <w:rPr>
                <w:rFonts w:ascii="Times New Roman" w:hAnsi="Times New Roman"/>
                <w:color w:val="000000"/>
                <w:sz w:val="16"/>
                <w:lang w:val="es-ES"/>
              </w:rPr>
              <w:t>.</w:t>
            </w:r>
          </w:p>
        </w:tc>
      </w:tr>
    </w:tbl>
    <w:p w14:paraId="7E19A64D" w14:textId="77777777" w:rsidR="002E07D5" w:rsidRPr="00AE4E8D" w:rsidRDefault="002E07D5" w:rsidP="000E1220">
      <w:pPr>
        <w:pStyle w:val="BH4Cursiva"/>
        <w:rPr>
          <w:lang w:val="es-ES"/>
        </w:rPr>
      </w:pPr>
      <w:bookmarkStart w:id="673" w:name="_Toc430186268"/>
      <w:r w:rsidRPr="00AE4E8D">
        <w:rPr>
          <w:lang w:val="es-ES"/>
        </w:rPr>
        <w:lastRenderedPageBreak/>
        <w:t xml:space="preserve">Clasificación de préstamos para el consumo y la </w:t>
      </w:r>
      <w:bookmarkEnd w:id="673"/>
      <w:r w:rsidRPr="00AE4E8D">
        <w:rPr>
          <w:lang w:val="es-ES"/>
        </w:rPr>
        <w:t>vivienda</w:t>
      </w:r>
    </w:p>
    <w:p w14:paraId="390DD8B3" w14:textId="77777777" w:rsidR="002E07D5" w:rsidRPr="00AE4E8D" w:rsidRDefault="002E07D5" w:rsidP="000E1220">
      <w:pPr>
        <w:pStyle w:val="BHTexto"/>
        <w:rPr>
          <w:lang w:val="es-ES"/>
        </w:rPr>
      </w:pPr>
      <w:r w:rsidRPr="00AE4E8D">
        <w:rPr>
          <w:lang w:val="es-ES"/>
        </w:rPr>
        <w:t xml:space="preserve">El principal criterio utilizado en la evaluación de los préstamos en la cartera de préstamos de consumo y la vivienda es la duración de los incumplimientos. Según las </w:t>
      </w:r>
      <w:r w:rsidR="00A667F7" w:rsidRPr="00AE4E8D">
        <w:rPr>
          <w:lang w:val="es-ES"/>
        </w:rPr>
        <w:t>normas del BCRA</w:t>
      </w:r>
      <w:r w:rsidRPr="00AE4E8D">
        <w:rPr>
          <w:lang w:val="es-ES"/>
        </w:rPr>
        <w:t>, los prestatarios de estos préstamos son clasificados del siguiente modo:</w:t>
      </w:r>
    </w:p>
    <w:tbl>
      <w:tblPr>
        <w:tblW w:w="5000" w:type="pct"/>
        <w:jc w:val="center"/>
        <w:tblLook w:val="0000" w:firstRow="0" w:lastRow="0" w:firstColumn="0" w:lastColumn="0" w:noHBand="0" w:noVBand="0"/>
      </w:tblPr>
      <w:tblGrid>
        <w:gridCol w:w="2240"/>
        <w:gridCol w:w="26"/>
        <w:gridCol w:w="6422"/>
        <w:gridCol w:w="33"/>
      </w:tblGrid>
      <w:tr w:rsidR="002E07D5" w:rsidRPr="00AE4E8D" w14:paraId="010FA1AF" w14:textId="77777777" w:rsidTr="000400C8">
        <w:trPr>
          <w:gridAfter w:val="1"/>
          <w:wAfter w:w="20" w:type="pct"/>
          <w:tblHeader/>
          <w:jc w:val="center"/>
        </w:trPr>
        <w:tc>
          <w:tcPr>
            <w:tcW w:w="1299" w:type="pct"/>
            <w:gridSpan w:val="2"/>
            <w:tcBorders>
              <w:bottom w:val="single" w:sz="4" w:space="0" w:color="auto"/>
            </w:tcBorders>
          </w:tcPr>
          <w:p w14:paraId="633F2743" w14:textId="77777777" w:rsidR="002E07D5" w:rsidRPr="00AE4E8D" w:rsidRDefault="002E07D5" w:rsidP="00B52753">
            <w:pPr>
              <w:widowControl w:val="0"/>
              <w:autoSpaceDE w:val="0"/>
              <w:autoSpaceDN w:val="0"/>
              <w:adjustRightInd w:val="0"/>
              <w:jc w:val="both"/>
              <w:rPr>
                <w:rFonts w:ascii="Times New Roman" w:hAnsi="Times New Roman"/>
                <w:b/>
                <w:color w:val="000000"/>
                <w:sz w:val="16"/>
                <w:lang w:val="es-ES"/>
              </w:rPr>
            </w:pPr>
            <w:r w:rsidRPr="00AE4E8D">
              <w:rPr>
                <w:rFonts w:ascii="Times New Roman" w:hAnsi="Times New Roman"/>
                <w:b/>
                <w:color w:val="000000"/>
                <w:sz w:val="16"/>
                <w:lang w:val="es-ES"/>
              </w:rPr>
              <w:t>Clasificación</w:t>
            </w:r>
          </w:p>
        </w:tc>
        <w:tc>
          <w:tcPr>
            <w:tcW w:w="3682" w:type="pct"/>
            <w:tcBorders>
              <w:bottom w:val="single" w:sz="4" w:space="0" w:color="auto"/>
            </w:tcBorders>
          </w:tcPr>
          <w:p w14:paraId="08D2262F" w14:textId="77777777" w:rsidR="002E07D5" w:rsidRPr="00AE4E8D" w:rsidRDefault="002E07D5" w:rsidP="00B52753">
            <w:pPr>
              <w:widowControl w:val="0"/>
              <w:autoSpaceDE w:val="0"/>
              <w:autoSpaceDN w:val="0"/>
              <w:adjustRightInd w:val="0"/>
              <w:jc w:val="both"/>
              <w:rPr>
                <w:rFonts w:ascii="Times New Roman" w:hAnsi="Times New Roman"/>
                <w:b/>
                <w:color w:val="000000"/>
                <w:sz w:val="16"/>
                <w:lang w:val="es-ES"/>
              </w:rPr>
            </w:pPr>
            <w:r w:rsidRPr="00AE4E8D">
              <w:rPr>
                <w:rFonts w:ascii="Times New Roman" w:hAnsi="Times New Roman"/>
                <w:b/>
                <w:color w:val="000000"/>
                <w:sz w:val="16"/>
                <w:lang w:val="es-ES"/>
              </w:rPr>
              <w:t>Criterios</w:t>
            </w:r>
          </w:p>
        </w:tc>
      </w:tr>
      <w:tr w:rsidR="002E07D5" w:rsidRPr="00AE4E8D" w14:paraId="5742EC98" w14:textId="77777777" w:rsidTr="000400C8">
        <w:trPr>
          <w:gridAfter w:val="1"/>
          <w:wAfter w:w="20" w:type="pct"/>
          <w:jc w:val="center"/>
        </w:trPr>
        <w:tc>
          <w:tcPr>
            <w:tcW w:w="1299" w:type="pct"/>
            <w:gridSpan w:val="2"/>
            <w:tcBorders>
              <w:top w:val="single" w:sz="4" w:space="0" w:color="auto"/>
            </w:tcBorders>
          </w:tcPr>
          <w:p w14:paraId="4FBA6A6D"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p>
          <w:p w14:paraId="3D91A5C0"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szCs w:val="16"/>
                <w:lang w:val="es-ES"/>
              </w:rPr>
              <w:t>Situación normal</w:t>
            </w:r>
          </w:p>
        </w:tc>
        <w:tc>
          <w:tcPr>
            <w:tcW w:w="3682" w:type="pct"/>
            <w:tcBorders>
              <w:top w:val="single" w:sz="4" w:space="0" w:color="auto"/>
            </w:tcBorders>
          </w:tcPr>
          <w:p w14:paraId="17908700"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p>
          <w:p w14:paraId="1E97D315"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r w:rsidRPr="00AE4E8D">
              <w:rPr>
                <w:rFonts w:ascii="Times New Roman" w:hAnsi="Times New Roman"/>
                <w:color w:val="000000"/>
                <w:sz w:val="16"/>
                <w:lang w:val="es-ES"/>
              </w:rPr>
              <w:t>Si todos los pagos sobre los préstamos están vigentes o en mora por menos de 31 días calendario y, en caso de adelantos en cuentas corrientes, en mora por menos de 61 días calendario.</w:t>
            </w:r>
          </w:p>
          <w:p w14:paraId="41899C6E"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58142CA2" w14:textId="77777777" w:rsidTr="000400C8">
        <w:trPr>
          <w:gridAfter w:val="1"/>
          <w:wAfter w:w="20" w:type="pct"/>
          <w:jc w:val="center"/>
        </w:trPr>
        <w:tc>
          <w:tcPr>
            <w:tcW w:w="1299" w:type="pct"/>
            <w:gridSpan w:val="2"/>
          </w:tcPr>
          <w:p w14:paraId="3D7B6BBF"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szCs w:val="16"/>
                <w:lang w:val="es-ES"/>
              </w:rPr>
              <w:t>Riesgo Bajo</w:t>
            </w:r>
          </w:p>
        </w:tc>
        <w:tc>
          <w:tcPr>
            <w:tcW w:w="3682" w:type="pct"/>
          </w:tcPr>
          <w:p w14:paraId="42E140C6" w14:textId="77777777" w:rsidR="002E07D5" w:rsidRPr="00AE4E8D" w:rsidRDefault="002E07D5" w:rsidP="0014790B">
            <w:pPr>
              <w:widowControl w:val="0"/>
              <w:autoSpaceDE w:val="0"/>
              <w:autoSpaceDN w:val="0"/>
              <w:adjustRightInd w:val="0"/>
              <w:rPr>
                <w:rFonts w:ascii="Times New Roman" w:hAnsi="Times New Roman"/>
                <w:color w:val="000000"/>
                <w:sz w:val="16"/>
                <w:szCs w:val="16"/>
                <w:lang w:val="es-ES"/>
              </w:rPr>
            </w:pPr>
            <w:r w:rsidRPr="00AE4E8D">
              <w:rPr>
                <w:rFonts w:ascii="Times New Roman" w:eastAsia="Calibri" w:hAnsi="Times New Roman"/>
                <w:sz w:val="16"/>
                <w:szCs w:val="16"/>
                <w:lang w:val="es-ES"/>
              </w:rPr>
              <w:t>Préstamos de clientes que registran incumplimientos ocasionales en la atención de sus obligaciones, con atrasos de más de 31 hasta 90 días</w:t>
            </w:r>
          </w:p>
          <w:p w14:paraId="567EC338"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p>
        </w:tc>
      </w:tr>
      <w:tr w:rsidR="002E07D5" w:rsidRPr="00AE4E8D" w14:paraId="5D46D590" w14:textId="77777777" w:rsidTr="000400C8">
        <w:trPr>
          <w:gridAfter w:val="1"/>
          <w:wAfter w:w="20" w:type="pct"/>
          <w:jc w:val="center"/>
        </w:trPr>
        <w:tc>
          <w:tcPr>
            <w:tcW w:w="1299" w:type="pct"/>
            <w:gridSpan w:val="2"/>
          </w:tcPr>
          <w:p w14:paraId="19013545"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 xml:space="preserve">Riesgo </w:t>
            </w:r>
            <w:r w:rsidRPr="00AE4E8D">
              <w:rPr>
                <w:rFonts w:ascii="Times New Roman" w:hAnsi="Times New Roman"/>
                <w:color w:val="000000"/>
                <w:sz w:val="16"/>
                <w:szCs w:val="16"/>
                <w:lang w:val="es-ES"/>
              </w:rPr>
              <w:t>Medio</w:t>
            </w:r>
          </w:p>
        </w:tc>
        <w:tc>
          <w:tcPr>
            <w:tcW w:w="3682" w:type="pct"/>
          </w:tcPr>
          <w:p w14:paraId="5E65598D"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r w:rsidRPr="00AE4E8D">
              <w:rPr>
                <w:rFonts w:ascii="Times New Roman" w:hAnsi="Times New Roman"/>
                <w:color w:val="000000"/>
                <w:sz w:val="16"/>
                <w:lang w:val="es-ES"/>
              </w:rPr>
              <w:t xml:space="preserve">Préstamos en los cuales sus obligaciones de pago están en mora por un período de más de </w:t>
            </w:r>
            <w:r w:rsidRPr="00AE4E8D">
              <w:rPr>
                <w:rFonts w:ascii="Times New Roman" w:hAnsi="Times New Roman"/>
                <w:color w:val="000000"/>
                <w:sz w:val="16"/>
                <w:szCs w:val="16"/>
                <w:lang w:val="es-ES"/>
              </w:rPr>
              <w:t>90</w:t>
            </w:r>
            <w:r w:rsidRPr="00AE4E8D">
              <w:rPr>
                <w:rFonts w:ascii="Times New Roman" w:hAnsi="Times New Roman"/>
                <w:color w:val="000000"/>
                <w:sz w:val="16"/>
                <w:lang w:val="es-ES"/>
              </w:rPr>
              <w:t xml:space="preserve"> días pero menos de </w:t>
            </w:r>
            <w:r w:rsidRPr="00AE4E8D">
              <w:rPr>
                <w:rFonts w:ascii="Times New Roman" w:hAnsi="Times New Roman"/>
                <w:color w:val="000000"/>
                <w:sz w:val="16"/>
                <w:szCs w:val="16"/>
                <w:lang w:val="es-ES"/>
              </w:rPr>
              <w:t>180</w:t>
            </w:r>
            <w:r w:rsidRPr="00AE4E8D">
              <w:rPr>
                <w:rFonts w:ascii="Times New Roman" w:hAnsi="Times New Roman"/>
                <w:color w:val="000000"/>
                <w:sz w:val="16"/>
                <w:lang w:val="es-ES"/>
              </w:rPr>
              <w:t xml:space="preserve"> días calendario.</w:t>
            </w:r>
          </w:p>
          <w:p w14:paraId="71296CFB"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1C77C135" w14:textId="77777777" w:rsidTr="000400C8">
        <w:trPr>
          <w:gridAfter w:val="1"/>
          <w:wAfter w:w="20" w:type="pct"/>
          <w:jc w:val="center"/>
        </w:trPr>
        <w:tc>
          <w:tcPr>
            <w:tcW w:w="1299" w:type="pct"/>
            <w:gridSpan w:val="2"/>
          </w:tcPr>
          <w:p w14:paraId="017BE33D"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 xml:space="preserve">Riesgo </w:t>
            </w:r>
            <w:r w:rsidRPr="00AE4E8D">
              <w:rPr>
                <w:rFonts w:ascii="Times New Roman" w:hAnsi="Times New Roman"/>
                <w:color w:val="000000"/>
                <w:sz w:val="16"/>
                <w:szCs w:val="16"/>
                <w:lang w:val="es-ES"/>
              </w:rPr>
              <w:t>Alto</w:t>
            </w:r>
          </w:p>
        </w:tc>
        <w:tc>
          <w:tcPr>
            <w:tcW w:w="3682" w:type="pct"/>
          </w:tcPr>
          <w:p w14:paraId="08C93A2F"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r w:rsidRPr="00AE4E8D">
              <w:rPr>
                <w:rFonts w:ascii="Times New Roman" w:hAnsi="Times New Roman"/>
                <w:color w:val="000000"/>
                <w:sz w:val="16"/>
                <w:lang w:val="es-ES"/>
              </w:rPr>
              <w:t xml:space="preserve">Préstamos en </w:t>
            </w:r>
            <w:r w:rsidRPr="00AE4E8D">
              <w:rPr>
                <w:rFonts w:ascii="Times New Roman" w:hAnsi="Times New Roman"/>
                <w:color w:val="000000"/>
                <w:sz w:val="16"/>
                <w:szCs w:val="16"/>
                <w:lang w:val="es-ES"/>
              </w:rPr>
              <w:t>cuyo respecto se ha entablado una acción judicial de cobro, o préstamos que tengan</w:t>
            </w:r>
            <w:r w:rsidRPr="00AE4E8D">
              <w:rPr>
                <w:rFonts w:ascii="Times New Roman" w:hAnsi="Times New Roman"/>
                <w:color w:val="000000"/>
                <w:sz w:val="16"/>
                <w:lang w:val="es-ES"/>
              </w:rPr>
              <w:t xml:space="preserve"> obligaciones de pago en mora </w:t>
            </w:r>
            <w:r w:rsidRPr="00AE4E8D">
              <w:rPr>
                <w:rFonts w:ascii="Times New Roman" w:hAnsi="Times New Roman"/>
                <w:color w:val="000000"/>
                <w:sz w:val="16"/>
                <w:szCs w:val="16"/>
                <w:lang w:val="es-ES"/>
              </w:rPr>
              <w:t>durante</w:t>
            </w:r>
            <w:r w:rsidRPr="00AE4E8D">
              <w:rPr>
                <w:rFonts w:ascii="Times New Roman" w:hAnsi="Times New Roman"/>
                <w:color w:val="000000"/>
                <w:sz w:val="16"/>
                <w:lang w:val="es-ES"/>
              </w:rPr>
              <w:t xml:space="preserve"> más de 180 días calendario</w:t>
            </w:r>
            <w:r w:rsidRPr="00AE4E8D">
              <w:rPr>
                <w:rFonts w:ascii="Times New Roman" w:hAnsi="Times New Roman"/>
                <w:color w:val="000000"/>
                <w:sz w:val="16"/>
                <w:szCs w:val="16"/>
                <w:lang w:val="es-ES"/>
              </w:rPr>
              <w:t xml:space="preserve"> pero menos de 365 días calendario</w:t>
            </w:r>
            <w:r w:rsidRPr="00AE4E8D">
              <w:rPr>
                <w:rFonts w:ascii="Times New Roman" w:hAnsi="Times New Roman"/>
                <w:color w:val="000000"/>
                <w:sz w:val="16"/>
                <w:lang w:val="es-ES"/>
              </w:rPr>
              <w:t>.</w:t>
            </w:r>
          </w:p>
          <w:p w14:paraId="2AC9D832"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0E5DEF35" w14:textId="77777777" w:rsidTr="000400C8">
        <w:trPr>
          <w:jc w:val="center"/>
        </w:trPr>
        <w:tc>
          <w:tcPr>
            <w:tcW w:w="1284" w:type="pct"/>
          </w:tcPr>
          <w:p w14:paraId="393BD194" w14:textId="77777777" w:rsidR="002E07D5" w:rsidRPr="00AE4E8D" w:rsidRDefault="002E07D5" w:rsidP="00B52753">
            <w:pPr>
              <w:widowControl w:val="0"/>
              <w:autoSpaceDE w:val="0"/>
              <w:autoSpaceDN w:val="0"/>
              <w:adjustRightInd w:val="0"/>
              <w:rPr>
                <w:rFonts w:ascii="Times New Roman" w:hAnsi="Times New Roman"/>
                <w:color w:val="000000"/>
                <w:sz w:val="16"/>
                <w:lang w:val="es-ES"/>
              </w:rPr>
            </w:pPr>
            <w:r w:rsidRPr="00AE4E8D">
              <w:rPr>
                <w:rFonts w:ascii="Times New Roman" w:hAnsi="Times New Roman"/>
                <w:color w:val="000000"/>
                <w:sz w:val="16"/>
                <w:szCs w:val="16"/>
                <w:lang w:val="es-ES"/>
              </w:rPr>
              <w:t>Irrecuperable</w:t>
            </w:r>
          </w:p>
        </w:tc>
        <w:tc>
          <w:tcPr>
            <w:tcW w:w="3716" w:type="pct"/>
            <w:gridSpan w:val="3"/>
          </w:tcPr>
          <w:p w14:paraId="46E3E941"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r w:rsidRPr="00AE4E8D">
              <w:rPr>
                <w:rFonts w:ascii="Times New Roman" w:hAnsi="Times New Roman"/>
                <w:color w:val="000000"/>
                <w:sz w:val="16"/>
                <w:szCs w:val="16"/>
                <w:lang w:val="es-ES"/>
              </w:rPr>
              <w:t>Prestatarios con una alta probabilidad de que no honren sus obligaciones financieras.</w:t>
            </w:r>
          </w:p>
          <w:p w14:paraId="3078338A"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6C600287" w14:textId="77777777" w:rsidTr="000400C8">
        <w:trPr>
          <w:gridAfter w:val="1"/>
          <w:wAfter w:w="20" w:type="pct"/>
          <w:jc w:val="center"/>
        </w:trPr>
        <w:tc>
          <w:tcPr>
            <w:tcW w:w="1299" w:type="pct"/>
            <w:gridSpan w:val="2"/>
          </w:tcPr>
          <w:p w14:paraId="44AE6EF7" w14:textId="77777777" w:rsidR="002E07D5" w:rsidRPr="00AE4E8D" w:rsidRDefault="002E07D5" w:rsidP="00B52753">
            <w:pPr>
              <w:widowControl w:val="0"/>
              <w:autoSpaceDE w:val="0"/>
              <w:autoSpaceDN w:val="0"/>
              <w:adjustRightInd w:val="0"/>
              <w:rPr>
                <w:rFonts w:ascii="Times New Roman" w:hAnsi="Times New Roman"/>
                <w:color w:val="000000"/>
                <w:sz w:val="16"/>
                <w:lang w:val="es-ES"/>
              </w:rPr>
            </w:pPr>
            <w:r w:rsidRPr="00AE4E8D">
              <w:rPr>
                <w:rFonts w:ascii="Times New Roman" w:hAnsi="Times New Roman"/>
                <w:color w:val="000000"/>
                <w:sz w:val="16"/>
                <w:szCs w:val="16"/>
                <w:lang w:val="es-ES"/>
              </w:rPr>
              <w:t>Préstamos irrecuperables</w:t>
            </w:r>
          </w:p>
        </w:tc>
        <w:tc>
          <w:tcPr>
            <w:tcW w:w="3682" w:type="pct"/>
          </w:tcPr>
          <w:p w14:paraId="72E3C1BC"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r w:rsidRPr="00AE4E8D">
              <w:rPr>
                <w:rFonts w:ascii="Times New Roman" w:hAnsi="Times New Roman"/>
                <w:color w:val="000000"/>
                <w:sz w:val="16"/>
                <w:lang w:val="es-ES"/>
              </w:rPr>
              <w:t xml:space="preserve">Préstamos en los cuales las obligaciones de pago </w:t>
            </w:r>
            <w:r w:rsidRPr="00AE4E8D">
              <w:rPr>
                <w:rFonts w:ascii="Times New Roman" w:hAnsi="Times New Roman"/>
                <w:color w:val="000000"/>
                <w:sz w:val="16"/>
                <w:szCs w:val="16"/>
                <w:lang w:val="es-ES"/>
              </w:rPr>
              <w:t>tienen una</w:t>
            </w:r>
            <w:r w:rsidRPr="00AE4E8D">
              <w:rPr>
                <w:rFonts w:ascii="Times New Roman" w:hAnsi="Times New Roman"/>
                <w:color w:val="000000"/>
                <w:sz w:val="16"/>
                <w:lang w:val="es-ES"/>
              </w:rPr>
              <w:t xml:space="preserve"> mora </w:t>
            </w:r>
            <w:r w:rsidRPr="00AE4E8D">
              <w:rPr>
                <w:rFonts w:ascii="Times New Roman" w:hAnsi="Times New Roman"/>
                <w:color w:val="000000"/>
                <w:sz w:val="16"/>
                <w:szCs w:val="16"/>
                <w:lang w:val="es-ES"/>
              </w:rPr>
              <w:t>superior a</w:t>
            </w:r>
            <w:r w:rsidRPr="00AE4E8D">
              <w:rPr>
                <w:rFonts w:ascii="Times New Roman" w:hAnsi="Times New Roman"/>
                <w:color w:val="000000"/>
                <w:sz w:val="16"/>
                <w:lang w:val="es-ES"/>
              </w:rPr>
              <w:t xml:space="preserve"> un año o bien el deudor es insolvente o fallido o se encuentra en proceso de liquidación.</w:t>
            </w:r>
          </w:p>
          <w:p w14:paraId="268C387E" w14:textId="77777777" w:rsidR="002E07D5" w:rsidRPr="00AE4E8D" w:rsidRDefault="002E07D5" w:rsidP="00B52753">
            <w:pPr>
              <w:widowControl w:val="0"/>
              <w:autoSpaceDE w:val="0"/>
              <w:autoSpaceDN w:val="0"/>
              <w:adjustRightInd w:val="0"/>
              <w:jc w:val="both"/>
              <w:outlineLvl w:val="2"/>
              <w:rPr>
                <w:rFonts w:ascii="Times New Roman" w:hAnsi="Times New Roman"/>
                <w:color w:val="000000"/>
                <w:sz w:val="16"/>
                <w:lang w:val="es-ES"/>
              </w:rPr>
            </w:pPr>
          </w:p>
        </w:tc>
      </w:tr>
      <w:tr w:rsidR="002E07D5" w:rsidRPr="00AE4E8D" w14:paraId="32158086" w14:textId="77777777" w:rsidTr="000400C8">
        <w:trPr>
          <w:gridAfter w:val="1"/>
          <w:wAfter w:w="20" w:type="pct"/>
          <w:jc w:val="center"/>
        </w:trPr>
        <w:tc>
          <w:tcPr>
            <w:tcW w:w="1299" w:type="pct"/>
            <w:gridSpan w:val="2"/>
          </w:tcPr>
          <w:p w14:paraId="3A4DDD32" w14:textId="77777777" w:rsidR="002E07D5" w:rsidRPr="00AE4E8D" w:rsidRDefault="002E07D5" w:rsidP="0014790B">
            <w:pPr>
              <w:widowControl w:val="0"/>
              <w:autoSpaceDE w:val="0"/>
              <w:autoSpaceDN w:val="0"/>
              <w:adjustRightInd w:val="0"/>
              <w:jc w:val="both"/>
              <w:rPr>
                <w:rFonts w:ascii="Times New Roman" w:hAnsi="Times New Roman"/>
                <w:color w:val="000000"/>
                <w:sz w:val="16"/>
                <w:szCs w:val="16"/>
                <w:lang w:val="es-ES"/>
              </w:rPr>
            </w:pPr>
            <w:r w:rsidRPr="00AE4E8D">
              <w:rPr>
                <w:rFonts w:ascii="Times New Roman" w:hAnsi="Times New Roman"/>
                <w:color w:val="000000"/>
                <w:sz w:val="16"/>
                <w:lang w:val="es-ES"/>
              </w:rPr>
              <w:t xml:space="preserve">Irrecuperable </w:t>
            </w:r>
          </w:p>
          <w:p w14:paraId="582B8D39"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 xml:space="preserve">por disposición técnica </w:t>
            </w:r>
          </w:p>
        </w:tc>
        <w:tc>
          <w:tcPr>
            <w:tcW w:w="3682" w:type="pct"/>
          </w:tcPr>
          <w:p w14:paraId="19D5972E"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 xml:space="preserve">Se aplican los mismos criterios que para los préstamos comerciales en estado de técnicamente irrecuperables según </w:t>
            </w:r>
            <w:r w:rsidRPr="00AE4E8D">
              <w:rPr>
                <w:rFonts w:ascii="Times New Roman" w:hAnsi="Times New Roman"/>
                <w:color w:val="000000"/>
                <w:sz w:val="16"/>
                <w:szCs w:val="16"/>
                <w:lang w:val="es-ES"/>
              </w:rPr>
              <w:t>los</w:t>
            </w:r>
            <w:r w:rsidRPr="00AE4E8D">
              <w:rPr>
                <w:rFonts w:ascii="Times New Roman" w:hAnsi="Times New Roman"/>
                <w:color w:val="000000"/>
                <w:sz w:val="16"/>
                <w:lang w:val="es-ES"/>
              </w:rPr>
              <w:t xml:space="preserve"> </w:t>
            </w:r>
            <w:r w:rsidR="00A667F7" w:rsidRPr="00AE4E8D">
              <w:rPr>
                <w:rFonts w:ascii="Times New Roman" w:hAnsi="Times New Roman"/>
                <w:color w:val="000000"/>
                <w:sz w:val="16"/>
                <w:lang w:val="es-ES"/>
              </w:rPr>
              <w:t>normas del BCRA</w:t>
            </w:r>
            <w:r w:rsidRPr="00AE4E8D">
              <w:rPr>
                <w:rFonts w:ascii="Times New Roman" w:hAnsi="Times New Roman"/>
                <w:color w:val="000000"/>
                <w:sz w:val="16"/>
                <w:lang w:val="es-ES"/>
              </w:rPr>
              <w:t xml:space="preserve">. </w:t>
            </w:r>
          </w:p>
        </w:tc>
      </w:tr>
    </w:tbl>
    <w:p w14:paraId="7DF07316" w14:textId="77777777" w:rsidR="002E07D5" w:rsidRPr="00AE4E8D" w:rsidRDefault="002E07D5" w:rsidP="000E1220">
      <w:pPr>
        <w:pStyle w:val="BH4Cursiva"/>
        <w:rPr>
          <w:lang w:val="es-ES"/>
        </w:rPr>
      </w:pPr>
      <w:bookmarkStart w:id="674" w:name="_Toc430186269"/>
      <w:r w:rsidRPr="00AE4E8D">
        <w:rPr>
          <w:lang w:val="es-ES"/>
        </w:rPr>
        <w:t xml:space="preserve">Previsiones mínimas por riesgos de </w:t>
      </w:r>
      <w:bookmarkEnd w:id="674"/>
      <w:r w:rsidRPr="00AE4E8D">
        <w:rPr>
          <w:lang w:val="es-ES"/>
        </w:rPr>
        <w:t>incobrabilidad</w:t>
      </w:r>
    </w:p>
    <w:p w14:paraId="0C7C0E1A" w14:textId="77777777" w:rsidR="002E07D5" w:rsidRPr="00AE4E8D" w:rsidRDefault="002E07D5" w:rsidP="000E1220">
      <w:pPr>
        <w:pStyle w:val="BHTexto"/>
        <w:rPr>
          <w:lang w:val="es-ES"/>
        </w:rPr>
      </w:pPr>
      <w:r w:rsidRPr="00AE4E8D">
        <w:rPr>
          <w:lang w:val="es-ES"/>
        </w:rPr>
        <w:t>Los bancos argentinos están obligados a establecer las siguientes previsiones de crédito mínimas en relación con la categoría de cartera de crédito:</w:t>
      </w:r>
    </w:p>
    <w:tbl>
      <w:tblPr>
        <w:tblW w:w="5000" w:type="pct"/>
        <w:jc w:val="center"/>
        <w:tblLook w:val="0000" w:firstRow="0" w:lastRow="0" w:firstColumn="0" w:lastColumn="0" w:noHBand="0" w:noVBand="0"/>
      </w:tblPr>
      <w:tblGrid>
        <w:gridCol w:w="5725"/>
        <w:gridCol w:w="1479"/>
        <w:gridCol w:w="1517"/>
      </w:tblGrid>
      <w:tr w:rsidR="002E07D5" w:rsidRPr="00AE4E8D" w14:paraId="2D2C33A1" w14:textId="77777777" w:rsidTr="000400C8">
        <w:trPr>
          <w:trHeight w:val="70"/>
          <w:jc w:val="center"/>
        </w:trPr>
        <w:tc>
          <w:tcPr>
            <w:tcW w:w="3282" w:type="pct"/>
            <w:tcBorders>
              <w:top w:val="single" w:sz="4" w:space="0" w:color="auto"/>
            </w:tcBorders>
          </w:tcPr>
          <w:p w14:paraId="0E35BFB5" w14:textId="77777777" w:rsidR="002E07D5" w:rsidRPr="00AE4E8D" w:rsidRDefault="002E07D5" w:rsidP="00B52753">
            <w:pPr>
              <w:widowControl w:val="0"/>
              <w:autoSpaceDE w:val="0"/>
              <w:autoSpaceDN w:val="0"/>
              <w:adjustRightInd w:val="0"/>
              <w:rPr>
                <w:rFonts w:ascii="Times New Roman" w:hAnsi="Times New Roman"/>
                <w:b/>
                <w:color w:val="000000"/>
                <w:sz w:val="16"/>
                <w:lang w:val="es-ES"/>
              </w:rPr>
            </w:pPr>
            <w:r w:rsidRPr="00AE4E8D">
              <w:rPr>
                <w:rFonts w:ascii="Times New Roman" w:hAnsi="Times New Roman"/>
                <w:b/>
                <w:color w:val="000000"/>
                <w:sz w:val="16"/>
                <w:lang w:val="es-ES"/>
              </w:rPr>
              <w:t>Categoría</w:t>
            </w:r>
          </w:p>
        </w:tc>
        <w:tc>
          <w:tcPr>
            <w:tcW w:w="848" w:type="pct"/>
            <w:tcBorders>
              <w:top w:val="single" w:sz="4" w:space="0" w:color="auto"/>
            </w:tcBorders>
          </w:tcPr>
          <w:p w14:paraId="3F084870" w14:textId="77777777" w:rsidR="002E07D5" w:rsidRPr="00AE4E8D" w:rsidRDefault="002E07D5" w:rsidP="00B52753">
            <w:pPr>
              <w:widowControl w:val="0"/>
              <w:tabs>
                <w:tab w:val="center" w:pos="1125"/>
              </w:tabs>
              <w:autoSpaceDE w:val="0"/>
              <w:autoSpaceDN w:val="0"/>
              <w:adjustRightInd w:val="0"/>
              <w:rPr>
                <w:rFonts w:ascii="Times New Roman" w:hAnsi="Times New Roman"/>
                <w:b/>
                <w:color w:val="000000"/>
                <w:sz w:val="16"/>
                <w:lang w:val="es-ES"/>
              </w:rPr>
            </w:pPr>
            <w:r w:rsidRPr="00AE4E8D">
              <w:rPr>
                <w:rFonts w:ascii="Times New Roman" w:hAnsi="Times New Roman"/>
                <w:b/>
                <w:color w:val="000000"/>
                <w:sz w:val="16"/>
                <w:lang w:val="es-ES"/>
              </w:rPr>
              <w:t>Con Garantías Preferidas</w:t>
            </w:r>
          </w:p>
        </w:tc>
        <w:tc>
          <w:tcPr>
            <w:tcW w:w="870" w:type="pct"/>
            <w:tcBorders>
              <w:top w:val="single" w:sz="4" w:space="0" w:color="auto"/>
            </w:tcBorders>
          </w:tcPr>
          <w:p w14:paraId="3BCFC7AE" w14:textId="77777777" w:rsidR="002E07D5" w:rsidRPr="00AE4E8D" w:rsidRDefault="002E07D5" w:rsidP="00B52753">
            <w:pPr>
              <w:widowControl w:val="0"/>
              <w:rPr>
                <w:rFonts w:ascii="Times New Roman" w:hAnsi="Times New Roman"/>
                <w:b/>
                <w:color w:val="000000"/>
                <w:sz w:val="16"/>
                <w:lang w:val="es-ES"/>
              </w:rPr>
            </w:pPr>
            <w:r w:rsidRPr="00AE4E8D">
              <w:rPr>
                <w:rFonts w:ascii="Times New Roman" w:hAnsi="Times New Roman"/>
                <w:b/>
                <w:color w:val="000000"/>
                <w:sz w:val="16"/>
                <w:lang w:val="es-ES"/>
              </w:rPr>
              <w:t>Sin Garantías Preferidas</w:t>
            </w:r>
          </w:p>
        </w:tc>
      </w:tr>
      <w:tr w:rsidR="002E07D5" w:rsidRPr="00AE4E8D" w14:paraId="0509A98B" w14:textId="77777777" w:rsidTr="000400C8">
        <w:trPr>
          <w:trHeight w:val="70"/>
          <w:jc w:val="center"/>
        </w:trPr>
        <w:tc>
          <w:tcPr>
            <w:tcW w:w="3282" w:type="pct"/>
            <w:tcBorders>
              <w:top w:val="single" w:sz="4" w:space="0" w:color="auto"/>
            </w:tcBorders>
          </w:tcPr>
          <w:p w14:paraId="13C58407"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szCs w:val="16"/>
                <w:lang w:val="es-ES"/>
              </w:rPr>
              <w:t xml:space="preserve">“En situación normal” </w:t>
            </w:r>
          </w:p>
        </w:tc>
        <w:tc>
          <w:tcPr>
            <w:tcW w:w="848" w:type="pct"/>
            <w:tcBorders>
              <w:top w:val="single" w:sz="4" w:space="0" w:color="auto"/>
            </w:tcBorders>
          </w:tcPr>
          <w:p w14:paraId="1B66C089"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1%</w:t>
            </w:r>
          </w:p>
        </w:tc>
        <w:tc>
          <w:tcPr>
            <w:tcW w:w="870" w:type="pct"/>
            <w:tcBorders>
              <w:top w:val="single" w:sz="4" w:space="0" w:color="auto"/>
            </w:tcBorders>
            <w:vAlign w:val="bottom"/>
          </w:tcPr>
          <w:p w14:paraId="4FF4FFE4"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1%</w:t>
            </w:r>
          </w:p>
        </w:tc>
      </w:tr>
      <w:tr w:rsidR="002E07D5" w:rsidRPr="00AE4E8D" w14:paraId="18410688" w14:textId="77777777" w:rsidTr="000400C8">
        <w:trPr>
          <w:jc w:val="center"/>
        </w:trPr>
        <w:tc>
          <w:tcPr>
            <w:tcW w:w="3282" w:type="pct"/>
          </w:tcPr>
          <w:p w14:paraId="5EB9F98F"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“En observación” y “</w:t>
            </w:r>
            <w:r w:rsidRPr="00AE4E8D">
              <w:rPr>
                <w:rFonts w:ascii="Times New Roman" w:hAnsi="Times New Roman"/>
                <w:color w:val="000000"/>
                <w:sz w:val="16"/>
                <w:szCs w:val="16"/>
                <w:lang w:val="es-ES"/>
              </w:rPr>
              <w:t>de</w:t>
            </w:r>
            <w:r w:rsidRPr="00AE4E8D">
              <w:rPr>
                <w:rFonts w:ascii="Times New Roman" w:hAnsi="Times New Roman"/>
                <w:color w:val="000000"/>
                <w:sz w:val="16"/>
                <w:lang w:val="es-ES"/>
              </w:rPr>
              <w:t xml:space="preserve"> Riesgo</w:t>
            </w:r>
            <w:r w:rsidRPr="00AE4E8D">
              <w:rPr>
                <w:rFonts w:ascii="Times New Roman" w:hAnsi="Times New Roman"/>
                <w:color w:val="000000"/>
                <w:sz w:val="16"/>
                <w:szCs w:val="16"/>
                <w:lang w:val="es-ES"/>
              </w:rPr>
              <w:t xml:space="preserve"> Bajo”</w:t>
            </w:r>
          </w:p>
        </w:tc>
        <w:tc>
          <w:tcPr>
            <w:tcW w:w="848" w:type="pct"/>
          </w:tcPr>
          <w:p w14:paraId="1FA7C868"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3%</w:t>
            </w:r>
          </w:p>
        </w:tc>
        <w:tc>
          <w:tcPr>
            <w:tcW w:w="870" w:type="pct"/>
            <w:vAlign w:val="bottom"/>
          </w:tcPr>
          <w:p w14:paraId="02BFEF03"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5%</w:t>
            </w:r>
          </w:p>
        </w:tc>
      </w:tr>
      <w:tr w:rsidR="002E07D5" w:rsidRPr="00AE4E8D" w14:paraId="5D8BEC58" w14:textId="77777777" w:rsidTr="000400C8">
        <w:trPr>
          <w:jc w:val="center"/>
        </w:trPr>
        <w:tc>
          <w:tcPr>
            <w:tcW w:w="3282" w:type="pct"/>
          </w:tcPr>
          <w:p w14:paraId="11A44AFB"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 xml:space="preserve">“Bajo negociación o </w:t>
            </w:r>
            <w:r w:rsidRPr="00AE4E8D">
              <w:rPr>
                <w:rFonts w:ascii="Times New Roman" w:hAnsi="Times New Roman"/>
                <w:color w:val="000000"/>
                <w:sz w:val="16"/>
                <w:szCs w:val="16"/>
                <w:lang w:val="es-ES"/>
              </w:rPr>
              <w:t>con acuerdos</w:t>
            </w:r>
            <w:r w:rsidRPr="00AE4E8D">
              <w:rPr>
                <w:rFonts w:ascii="Times New Roman" w:hAnsi="Times New Roman"/>
                <w:color w:val="000000"/>
                <w:sz w:val="16"/>
                <w:lang w:val="es-ES"/>
              </w:rPr>
              <w:t xml:space="preserve"> de </w:t>
            </w:r>
            <w:r w:rsidRPr="00AE4E8D">
              <w:rPr>
                <w:rFonts w:ascii="Times New Roman" w:hAnsi="Times New Roman"/>
                <w:color w:val="000000"/>
                <w:sz w:val="16"/>
                <w:szCs w:val="16"/>
                <w:lang w:val="es-ES"/>
              </w:rPr>
              <w:t>refinanciación”</w:t>
            </w:r>
          </w:p>
        </w:tc>
        <w:tc>
          <w:tcPr>
            <w:tcW w:w="848" w:type="pct"/>
          </w:tcPr>
          <w:p w14:paraId="66DD32CF"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6%</w:t>
            </w:r>
          </w:p>
        </w:tc>
        <w:tc>
          <w:tcPr>
            <w:tcW w:w="870" w:type="pct"/>
            <w:vAlign w:val="bottom"/>
          </w:tcPr>
          <w:p w14:paraId="4EF30ECF"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12%</w:t>
            </w:r>
          </w:p>
        </w:tc>
      </w:tr>
      <w:tr w:rsidR="002E07D5" w:rsidRPr="00AE4E8D" w14:paraId="648CCB0E" w14:textId="77777777" w:rsidTr="000400C8">
        <w:trPr>
          <w:jc w:val="center"/>
        </w:trPr>
        <w:tc>
          <w:tcPr>
            <w:tcW w:w="3282" w:type="pct"/>
          </w:tcPr>
          <w:p w14:paraId="5BF6E14E"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“Con Problemas” y “</w:t>
            </w:r>
            <w:r w:rsidRPr="00AE4E8D">
              <w:rPr>
                <w:rFonts w:ascii="Times New Roman" w:hAnsi="Times New Roman"/>
                <w:color w:val="000000"/>
                <w:sz w:val="16"/>
                <w:szCs w:val="16"/>
                <w:lang w:val="es-ES"/>
              </w:rPr>
              <w:t xml:space="preserve">de </w:t>
            </w:r>
            <w:r w:rsidRPr="00AE4E8D">
              <w:rPr>
                <w:rFonts w:ascii="Times New Roman" w:hAnsi="Times New Roman"/>
                <w:color w:val="000000"/>
                <w:sz w:val="16"/>
                <w:lang w:val="es-ES"/>
              </w:rPr>
              <w:t>Riesgo Medio”</w:t>
            </w:r>
          </w:p>
        </w:tc>
        <w:tc>
          <w:tcPr>
            <w:tcW w:w="848" w:type="pct"/>
          </w:tcPr>
          <w:p w14:paraId="292E5869"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12%</w:t>
            </w:r>
          </w:p>
        </w:tc>
        <w:tc>
          <w:tcPr>
            <w:tcW w:w="870" w:type="pct"/>
            <w:vAlign w:val="bottom"/>
          </w:tcPr>
          <w:p w14:paraId="72027D46"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25%</w:t>
            </w:r>
          </w:p>
        </w:tc>
      </w:tr>
      <w:tr w:rsidR="002E07D5" w:rsidRPr="00AE4E8D" w14:paraId="397E7F5E" w14:textId="77777777" w:rsidTr="000400C8">
        <w:trPr>
          <w:jc w:val="center"/>
        </w:trPr>
        <w:tc>
          <w:tcPr>
            <w:tcW w:w="3282" w:type="pct"/>
          </w:tcPr>
          <w:p w14:paraId="0856D632" w14:textId="77777777" w:rsidR="002E07D5" w:rsidRPr="00AE4E8D" w:rsidRDefault="002E07D5" w:rsidP="00B52753">
            <w:pPr>
              <w:widowControl w:val="0"/>
              <w:jc w:val="both"/>
              <w:rPr>
                <w:rFonts w:ascii="Times New Roman" w:hAnsi="Times New Roman"/>
                <w:color w:val="000000"/>
                <w:sz w:val="16"/>
                <w:lang w:val="es-ES"/>
              </w:rPr>
            </w:pPr>
            <w:r w:rsidRPr="00AE4E8D">
              <w:rPr>
                <w:rFonts w:ascii="Times New Roman" w:hAnsi="Times New Roman"/>
                <w:color w:val="000000"/>
                <w:sz w:val="16"/>
                <w:lang w:val="es-ES"/>
              </w:rPr>
              <w:t>“Con alto riesgo de insolvencia” y “</w:t>
            </w:r>
            <w:r w:rsidRPr="00AE4E8D">
              <w:rPr>
                <w:rFonts w:ascii="Times New Roman" w:hAnsi="Times New Roman"/>
                <w:color w:val="000000"/>
                <w:sz w:val="16"/>
                <w:szCs w:val="16"/>
                <w:lang w:val="es-ES"/>
              </w:rPr>
              <w:t>de</w:t>
            </w:r>
            <w:r w:rsidRPr="00AE4E8D">
              <w:rPr>
                <w:rFonts w:ascii="Times New Roman" w:hAnsi="Times New Roman"/>
                <w:color w:val="000000"/>
                <w:sz w:val="16"/>
                <w:lang w:val="es-ES"/>
              </w:rPr>
              <w:t xml:space="preserve"> Riesgo</w:t>
            </w:r>
            <w:r w:rsidRPr="00AE4E8D">
              <w:rPr>
                <w:rFonts w:ascii="Times New Roman" w:hAnsi="Times New Roman"/>
                <w:color w:val="000000"/>
                <w:sz w:val="16"/>
                <w:szCs w:val="16"/>
                <w:lang w:val="es-ES"/>
              </w:rPr>
              <w:t xml:space="preserve"> Alto”</w:t>
            </w:r>
          </w:p>
        </w:tc>
        <w:tc>
          <w:tcPr>
            <w:tcW w:w="848" w:type="pct"/>
          </w:tcPr>
          <w:p w14:paraId="0663E42E"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25%</w:t>
            </w:r>
          </w:p>
        </w:tc>
        <w:tc>
          <w:tcPr>
            <w:tcW w:w="870" w:type="pct"/>
            <w:vAlign w:val="bottom"/>
          </w:tcPr>
          <w:p w14:paraId="41356C09"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50%</w:t>
            </w:r>
          </w:p>
        </w:tc>
      </w:tr>
      <w:tr w:rsidR="002E07D5" w:rsidRPr="00AE4E8D" w14:paraId="1F17D7A2" w14:textId="77777777" w:rsidTr="000400C8">
        <w:trPr>
          <w:jc w:val="center"/>
        </w:trPr>
        <w:tc>
          <w:tcPr>
            <w:tcW w:w="3282" w:type="pct"/>
          </w:tcPr>
          <w:p w14:paraId="44E91AC8"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“Irrecuperable”</w:t>
            </w:r>
          </w:p>
        </w:tc>
        <w:tc>
          <w:tcPr>
            <w:tcW w:w="848" w:type="pct"/>
          </w:tcPr>
          <w:p w14:paraId="3DB53822"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50%</w:t>
            </w:r>
          </w:p>
        </w:tc>
        <w:tc>
          <w:tcPr>
            <w:tcW w:w="870" w:type="pct"/>
            <w:vAlign w:val="bottom"/>
          </w:tcPr>
          <w:p w14:paraId="6C374325"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100%</w:t>
            </w:r>
          </w:p>
        </w:tc>
      </w:tr>
      <w:tr w:rsidR="002E07D5" w:rsidRPr="00AE4E8D" w14:paraId="6FCECEE7" w14:textId="77777777" w:rsidTr="000400C8">
        <w:trPr>
          <w:jc w:val="center"/>
        </w:trPr>
        <w:tc>
          <w:tcPr>
            <w:tcW w:w="3282" w:type="pct"/>
          </w:tcPr>
          <w:p w14:paraId="70B8189F" w14:textId="77777777" w:rsidR="002E07D5" w:rsidRPr="00AE4E8D" w:rsidRDefault="002E07D5" w:rsidP="00B52753">
            <w:pPr>
              <w:widowControl w:val="0"/>
              <w:autoSpaceDE w:val="0"/>
              <w:autoSpaceDN w:val="0"/>
              <w:adjustRightInd w:val="0"/>
              <w:jc w:val="both"/>
              <w:rPr>
                <w:rFonts w:ascii="Times New Roman" w:hAnsi="Times New Roman"/>
                <w:color w:val="000000"/>
                <w:sz w:val="16"/>
                <w:lang w:val="es-ES"/>
              </w:rPr>
            </w:pPr>
            <w:r w:rsidRPr="00AE4E8D">
              <w:rPr>
                <w:rFonts w:ascii="Times New Roman" w:hAnsi="Times New Roman"/>
                <w:color w:val="000000"/>
                <w:sz w:val="16"/>
                <w:lang w:val="es-ES"/>
              </w:rPr>
              <w:t>“Irrecuperable por disposición técnica”</w:t>
            </w:r>
          </w:p>
        </w:tc>
        <w:tc>
          <w:tcPr>
            <w:tcW w:w="848" w:type="pct"/>
          </w:tcPr>
          <w:p w14:paraId="6195837F"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100%</w:t>
            </w:r>
          </w:p>
        </w:tc>
        <w:tc>
          <w:tcPr>
            <w:tcW w:w="870" w:type="pct"/>
            <w:vAlign w:val="bottom"/>
          </w:tcPr>
          <w:p w14:paraId="3FE2832B" w14:textId="77777777" w:rsidR="002E07D5" w:rsidRPr="00AE4E8D" w:rsidRDefault="002E07D5" w:rsidP="00B52753">
            <w:pPr>
              <w:widowControl w:val="0"/>
              <w:autoSpaceDE w:val="0"/>
              <w:autoSpaceDN w:val="0"/>
              <w:adjustRightInd w:val="0"/>
              <w:jc w:val="center"/>
              <w:rPr>
                <w:rFonts w:ascii="Times New Roman" w:hAnsi="Times New Roman"/>
                <w:color w:val="000000"/>
                <w:sz w:val="16"/>
                <w:lang w:val="es-ES"/>
              </w:rPr>
            </w:pPr>
            <w:r w:rsidRPr="00AE4E8D">
              <w:rPr>
                <w:rFonts w:ascii="Times New Roman" w:hAnsi="Times New Roman"/>
                <w:color w:val="000000"/>
                <w:sz w:val="16"/>
                <w:lang w:val="es-ES"/>
              </w:rPr>
              <w:t>100%</w:t>
            </w:r>
          </w:p>
        </w:tc>
      </w:tr>
    </w:tbl>
    <w:p w14:paraId="6BE45C4A" w14:textId="77777777" w:rsidR="002E07D5" w:rsidRPr="00AE4E8D" w:rsidRDefault="002E07D5" w:rsidP="000E1220">
      <w:pPr>
        <w:pStyle w:val="BHTexto"/>
        <w:rPr>
          <w:lang w:val="es-ES"/>
        </w:rPr>
      </w:pPr>
      <w:r w:rsidRPr="00AE4E8D">
        <w:rPr>
          <w:lang w:val="es-ES"/>
        </w:rPr>
        <w:t>La Superintendencia de Entidades Financieras y Cambiarias podría exigir previsiones adicionales si determina que el nivel actual es inadecuado.</w:t>
      </w:r>
    </w:p>
    <w:p w14:paraId="32B58423" w14:textId="77777777" w:rsidR="002E07D5" w:rsidRPr="00AE4E8D" w:rsidRDefault="002E07D5" w:rsidP="000E1220">
      <w:pPr>
        <w:pStyle w:val="BHTexto"/>
        <w:rPr>
          <w:lang w:val="es-ES"/>
        </w:rPr>
      </w:pPr>
      <w:r w:rsidRPr="00AE4E8D">
        <w:rPr>
          <w:lang w:val="es-ES"/>
        </w:rPr>
        <w:t xml:space="preserve">Las entidades financieras tienen derecho a registrar previsiones por incobrabilidad por montos superiores a los exigidos por las </w:t>
      </w:r>
      <w:r w:rsidR="00A667F7" w:rsidRPr="00AE4E8D">
        <w:rPr>
          <w:lang w:val="es-ES"/>
        </w:rPr>
        <w:t>normas del BCRA</w:t>
      </w:r>
      <w:r w:rsidRPr="00AE4E8D">
        <w:rPr>
          <w:lang w:val="es-ES"/>
        </w:rPr>
        <w:t xml:space="preserve">. En tales casos y sin perjuicio de la existencia de determinadas excepciones, el hecho de registrar una previsión mayor para un crédito comercial, en la medida en que el monto de la previsión registrada quede comprendido en la siguiente categoría de la cartera de créditos establecida por los </w:t>
      </w:r>
      <w:r w:rsidR="00A667F7" w:rsidRPr="00AE4E8D">
        <w:rPr>
          <w:lang w:val="es-ES"/>
        </w:rPr>
        <w:t>normas del BCRA</w:t>
      </w:r>
      <w:r w:rsidRPr="00AE4E8D">
        <w:rPr>
          <w:lang w:val="es-ES"/>
        </w:rPr>
        <w:t>, tendrá como resultado automático que el deudor quede recategorizado consecuentemente.</w:t>
      </w:r>
    </w:p>
    <w:p w14:paraId="789AF2ED" w14:textId="77777777" w:rsidR="002E07D5" w:rsidRPr="00AE4E8D" w:rsidRDefault="002E07D5" w:rsidP="000E1220">
      <w:pPr>
        <w:pStyle w:val="BH4Cursiva"/>
        <w:rPr>
          <w:lang w:val="es-ES"/>
        </w:rPr>
      </w:pPr>
      <w:bookmarkStart w:id="675" w:name="_Toc430186270"/>
      <w:r w:rsidRPr="00AE4E8D">
        <w:rPr>
          <w:lang w:val="es-ES"/>
        </w:rPr>
        <w:t xml:space="preserve">Frecuencia mínima para </w:t>
      </w:r>
      <w:bookmarkEnd w:id="675"/>
      <w:r w:rsidRPr="00AE4E8D">
        <w:rPr>
          <w:lang w:val="es-ES"/>
        </w:rPr>
        <w:t>revisión de clasificación</w:t>
      </w:r>
    </w:p>
    <w:p w14:paraId="6B66617C" w14:textId="77777777" w:rsidR="002E07D5" w:rsidRPr="00AE4E8D" w:rsidRDefault="002E07D5" w:rsidP="000E1220">
      <w:pPr>
        <w:pStyle w:val="BHTexto"/>
        <w:rPr>
          <w:color w:val="000000"/>
          <w:lang w:val="es-ES"/>
        </w:rPr>
      </w:pPr>
      <w:r w:rsidRPr="00AE4E8D">
        <w:rPr>
          <w:color w:val="000000"/>
          <w:lang w:val="es-ES"/>
        </w:rPr>
        <w:t xml:space="preserve">Las entidades financieras </w:t>
      </w:r>
      <w:r w:rsidRPr="00AE4E8D">
        <w:rPr>
          <w:lang w:val="es-ES"/>
        </w:rPr>
        <w:t>deberán desarrollar procedimientos de análisis de cartera que aseguren un análisis adecuado de la situación económica y financiera del deudor y una revisión periódica de su situación en cuanto a las condiciones objetivas y subjetivas de todos los riesgos asumidos. Los procedimientos establecidos se deberán detallar en un manual denominado “Manual de Procedimientos de Clasificación y Previsión” que deberá estar a disposición permanente de la Superintendencia de Entidades Bancarias y Cambiarias para su revisión. El análisis de clasificación debe estar debidamente documentado. La revisión de clasificación deberá comprender (i) clientes cuyo endeudamiento total (en pesos y en moneda extranjera) supere el 1% de la responsabilidad patrimonial computable de la entidad correspondiente al mes anterior al de la clasificación o el equivalente a Ps. 4 millones, de ambos el menor; y (ii) alcanzar como mínimo el 20% de la cartera activa total, que se completará, en caso de corresponder, incorporando a clientes cuyo endeudamiento total sea inferior a aquellos márgenes que se describen en el punto (i) anterior.</w:t>
      </w:r>
    </w:p>
    <w:p w14:paraId="51B6C7C2" w14:textId="77777777" w:rsidR="002E07D5" w:rsidRPr="00AE4E8D" w:rsidRDefault="002E07D5" w:rsidP="000E1220">
      <w:pPr>
        <w:pStyle w:val="BHTexto"/>
        <w:rPr>
          <w:color w:val="000000"/>
          <w:lang w:val="es-ES"/>
        </w:rPr>
      </w:pPr>
      <w:r w:rsidRPr="00AE4E8D">
        <w:rPr>
          <w:color w:val="000000"/>
          <w:lang w:val="es-ES"/>
        </w:rPr>
        <w:t xml:space="preserve">En el caso de préstamos comerciales, las normas aplicables también requieren una frecuencia mínima de revisión. Dicha revisión deberá tener lugar (i) trimestralmente para </w:t>
      </w:r>
      <w:r w:rsidRPr="00AE4E8D">
        <w:rPr>
          <w:lang w:val="es-ES"/>
        </w:rPr>
        <w:t xml:space="preserve">clientes cuyas financiaciones sean </w:t>
      </w:r>
      <w:r w:rsidRPr="00AE4E8D">
        <w:rPr>
          <w:lang w:val="es-ES"/>
        </w:rPr>
        <w:lastRenderedPageBreak/>
        <w:t xml:space="preserve">equivalentes al 5,0% o más de la responsabilidad patrimonial computable del mes anterior a la finalización de dicho período y (ii) semestralmente, respecto de clientes cuyas financiaciones sumen (x) en algún momento entre el 1% -o el equivalente a Ps. 4 millones, de ambos el menor e (y) menos del 5,0% de la responsabilidad patrimonial computable de la entidad financiera respecto del mes anterior. Al cierre del segundo trimestre, la revisión íntegra conforme al punto (i) y (ii) deberá haber alcanzado no menos del 50% del importe total de la cartera comercial comprendida, y de resultar inferior, será completada incorporando clientes (en orden descendente) cuyo endeudamiento total resulte inferior a los límites que se describen en (ii)(x) de la oración anterior. </w:t>
      </w:r>
    </w:p>
    <w:p w14:paraId="6C1A451A" w14:textId="77777777" w:rsidR="002E07D5" w:rsidRPr="00AE4E8D" w:rsidRDefault="002E07D5" w:rsidP="000E1220">
      <w:pPr>
        <w:pStyle w:val="BHTexto"/>
        <w:rPr>
          <w:lang w:val="es-ES"/>
        </w:rPr>
      </w:pPr>
      <w:r w:rsidRPr="00AE4E8D">
        <w:rPr>
          <w:color w:val="000000"/>
          <w:lang w:val="es-ES"/>
        </w:rPr>
        <w:t>Asimismo, las entidades financieras deben revisar la clasificación asignada a un deudor en ciertos casos, tales como cuando otra entidad financiera reduce la clasificación del deudor en la “</w:t>
      </w:r>
      <w:r w:rsidRPr="00AE4E8D">
        <w:rPr>
          <w:lang w:val="es-ES"/>
        </w:rPr>
        <w:t>Central de Deudores del Sistema Financiero” cuyas acreencias representen como mínimo el 10% del total informado en el sistema financiero. Solamente se permite una discrepancia de más de un nivel en relación a la información presentada por las entidades financieras a la Central de Deudores del Sistema Financiero y la clasificación más baja otorgada por al menos otras dos entidades y el total de acreencias de dichas entidades totalicen 40% o más del total informado; si existiera una discrepancia superior, la entidad financiera deberá reclasificar al deudor.</w:t>
      </w:r>
    </w:p>
    <w:p w14:paraId="46D9D84D" w14:textId="77777777" w:rsidR="002E07D5" w:rsidRPr="00AE4E8D" w:rsidRDefault="002E07D5" w:rsidP="000E1220">
      <w:pPr>
        <w:pStyle w:val="BH4Cursiva"/>
        <w:rPr>
          <w:lang w:val="es-ES"/>
        </w:rPr>
      </w:pPr>
      <w:bookmarkStart w:id="676" w:name="_Toc430186271"/>
      <w:r w:rsidRPr="00AE4E8D">
        <w:rPr>
          <w:lang w:val="es-ES"/>
        </w:rPr>
        <w:t xml:space="preserve">Previsiones por </w:t>
      </w:r>
      <w:bookmarkEnd w:id="676"/>
      <w:r w:rsidRPr="00AE4E8D">
        <w:rPr>
          <w:lang w:val="es-ES"/>
        </w:rPr>
        <w:t>riesgo de incobrabilidad</w:t>
      </w:r>
    </w:p>
    <w:p w14:paraId="2E4BE481" w14:textId="77777777" w:rsidR="002E07D5" w:rsidRPr="00AE4E8D" w:rsidRDefault="002E07D5" w:rsidP="000E1220">
      <w:pPr>
        <w:pStyle w:val="BHTexto"/>
        <w:rPr>
          <w:lang w:val="es-ES"/>
        </w:rPr>
      </w:pPr>
      <w:r w:rsidRPr="00AE4E8D">
        <w:rPr>
          <w:lang w:val="es-ES"/>
        </w:rPr>
        <w:t xml:space="preserve">La previsión por riesgo de incobrabilidad es mantenida de conformidad con las normas aplicables del </w:t>
      </w:r>
      <w:r w:rsidR="002C3DEF" w:rsidRPr="00AE4E8D">
        <w:rPr>
          <w:lang w:val="es-ES"/>
        </w:rPr>
        <w:t>BCRA</w:t>
      </w:r>
      <w:r w:rsidRPr="00AE4E8D">
        <w:rPr>
          <w:lang w:val="es-ES"/>
        </w:rPr>
        <w:t>. Los incrementos en la previsión se basan en el nivel de crecimiento de la cartera de préstamos así como en el deterioro de la calidad de préstamos existentes, mientras que las disminuciones en la previsión se basan en reglamentaciones que requieren que los préstamos en situación irregular clasificados como “irrecuperables” sean pasados a pérdida después de determinado período de tiempo y en las decisiones de la administración de pasar a pérdida aquellos préstamos en situación irregular que evidencien una muy baja probabilidad de recuperación.</w:t>
      </w:r>
    </w:p>
    <w:p w14:paraId="3089FD3C" w14:textId="77777777" w:rsidR="002E07D5" w:rsidRPr="00AE4E8D" w:rsidRDefault="002E07D5" w:rsidP="000E1220">
      <w:pPr>
        <w:pStyle w:val="BH4Cursiva"/>
        <w:rPr>
          <w:rFonts w:eastAsia="MS Mincho"/>
          <w:lang w:val="es-ES"/>
        </w:rPr>
      </w:pPr>
      <w:bookmarkStart w:id="677" w:name="_Toc430186272"/>
      <w:r w:rsidRPr="00AE4E8D">
        <w:rPr>
          <w:rFonts w:eastAsia="MS Mincho"/>
          <w:lang w:val="es-ES"/>
        </w:rPr>
        <w:t xml:space="preserve">Privilegios de los </w:t>
      </w:r>
      <w:bookmarkEnd w:id="677"/>
      <w:r w:rsidRPr="00AE4E8D">
        <w:rPr>
          <w:rFonts w:eastAsia="MS Mincho"/>
          <w:lang w:val="es-ES"/>
        </w:rPr>
        <w:t>depositantes</w:t>
      </w:r>
    </w:p>
    <w:p w14:paraId="38C4AE81" w14:textId="77777777" w:rsidR="002E07D5" w:rsidRPr="00AE4E8D" w:rsidRDefault="002E07D5" w:rsidP="000E1220">
      <w:pPr>
        <w:pStyle w:val="BHTexto"/>
        <w:rPr>
          <w:lang w:val="es-ES"/>
        </w:rPr>
      </w:pPr>
      <w:r w:rsidRPr="00AE4E8D">
        <w:rPr>
          <w:lang w:val="es-ES"/>
        </w:rPr>
        <w:t xml:space="preserve">Conforme al artículo 49 de la </w:t>
      </w:r>
      <w:r w:rsidR="00A667F7" w:rsidRPr="00AE4E8D">
        <w:rPr>
          <w:lang w:val="es-ES"/>
        </w:rPr>
        <w:t>Ley de Entidades Financieras</w:t>
      </w:r>
      <w:r w:rsidRPr="00AE4E8D">
        <w:rPr>
          <w:lang w:val="es-ES"/>
        </w:rPr>
        <w:t xml:space="preserve">, en el supuesto de la liquidación judicial o quiebra de un banco, todos los depositantes, independientemente de su clase o del monto o moneda de sus depósitos, gozarán de privilegio respecto de todos los demás acreedores (como accionistas del banco), con la excepción de ciertos créditos emergentes de relaciones laborales (artículo 53, párrafos “a” y “b”) y de aquellos acreedores con prenda o hipoteca, en el siguiente orden de prioridad: (a) depósitos de hasta Ps. 450.000 por persona (incluyendo todos los montos que tal persona depositó en una entidad financiera), o su equivalente en moneda extranjera, (b) todos los depósitos de un monto superior a Ps. 450.000, o su equivalente en moneda extranjera, y (c) los pasivos originados en líneas comerciales otorgadas a la entidad financiera y que afectan directamente al comercio internacional. Asimismo, según el artículo 53 de la </w:t>
      </w:r>
      <w:r w:rsidR="00A667F7" w:rsidRPr="00AE4E8D">
        <w:rPr>
          <w:lang w:val="es-ES"/>
        </w:rPr>
        <w:t>Ley de Entidades Financieras</w:t>
      </w:r>
      <w:r w:rsidRPr="00AE4E8D">
        <w:rPr>
          <w:lang w:val="es-ES"/>
        </w:rPr>
        <w:t xml:space="preserve">, y sus modificatorias, los créditos del </w:t>
      </w:r>
      <w:r w:rsidR="002C3DEF" w:rsidRPr="00AE4E8D">
        <w:rPr>
          <w:lang w:val="es-ES"/>
        </w:rPr>
        <w:t>BCRA</w:t>
      </w:r>
      <w:r w:rsidRPr="00AE4E8D">
        <w:rPr>
          <w:lang w:val="es-ES"/>
        </w:rPr>
        <w:t xml:space="preserve"> tienen prioridad absoluta sobre todos los demás créditos, con la excepción de créditos prendarios e hipotecarios, ciertos acreedores laborales, los depósitos de las personas humanas</w:t>
      </w:r>
      <w:r w:rsidRPr="00AE4E8D" w:rsidDel="001B5B7E">
        <w:rPr>
          <w:lang w:val="es-ES"/>
        </w:rPr>
        <w:t xml:space="preserve"> </w:t>
      </w:r>
      <w:r w:rsidRPr="00AE4E8D">
        <w:rPr>
          <w:lang w:val="es-ES"/>
        </w:rPr>
        <w:t xml:space="preserve">y/o jurídicas conforme al artículo 49, párrafo e), puntos i) y ii), deuda otorgada conforme al artículo 17, párrafos (b), (c) y (f) de la Carta Orgánica del </w:t>
      </w:r>
      <w:r w:rsidR="002C3DEF" w:rsidRPr="00AE4E8D">
        <w:rPr>
          <w:lang w:val="es-ES"/>
        </w:rPr>
        <w:t>BCRA</w:t>
      </w:r>
      <w:r w:rsidRPr="00AE4E8D">
        <w:rPr>
          <w:lang w:val="es-ES"/>
        </w:rPr>
        <w:t xml:space="preserve"> (incluso descuentos otorgados por entidades financieras debido a un falta de liquidez provisoria, anticipos a entidad financieras con garantía, cesión de derechos, prendas o cesión especial de ciertos activos) y la deuda otorgada por el Fondo de Liquidez Bancaria respaldada por una prenda o hipoteca.</w:t>
      </w:r>
    </w:p>
    <w:p w14:paraId="6C675E2E" w14:textId="77777777" w:rsidR="002E07D5" w:rsidRPr="00AE4E8D" w:rsidRDefault="002E07D5" w:rsidP="000E1220">
      <w:pPr>
        <w:pStyle w:val="BHTexto"/>
        <w:rPr>
          <w:lang w:val="es-ES"/>
        </w:rPr>
      </w:pPr>
      <w:r w:rsidRPr="00AE4E8D">
        <w:rPr>
          <w:lang w:val="es-ES"/>
        </w:rPr>
        <w:t xml:space="preserve">La modificación del artículo 35 bis de la </w:t>
      </w:r>
      <w:r w:rsidR="00A667F7" w:rsidRPr="00AE4E8D">
        <w:rPr>
          <w:lang w:val="es-ES"/>
        </w:rPr>
        <w:t>Ley de Entidades Financieras</w:t>
      </w:r>
      <w:r w:rsidRPr="00AE4E8D">
        <w:rPr>
          <w:lang w:val="es-ES"/>
        </w:rPr>
        <w:t xml:space="preserve"> por Ley Nº 25.780 dispone que si un banco se encuentra en una situación en la que el </w:t>
      </w:r>
      <w:r w:rsidR="002C3DEF" w:rsidRPr="00AE4E8D">
        <w:rPr>
          <w:lang w:val="es-ES"/>
        </w:rPr>
        <w:t>BCRA</w:t>
      </w:r>
      <w:r w:rsidRPr="00AE4E8D">
        <w:rPr>
          <w:lang w:val="es-ES"/>
        </w:rPr>
        <w:t xml:space="preserve"> puede revocar su autorización para operar y queda sujeto a disolución o liquidación por resolución judicial, el Directorio del </w:t>
      </w:r>
      <w:r w:rsidR="002C3DEF" w:rsidRPr="00AE4E8D">
        <w:rPr>
          <w:lang w:val="es-ES"/>
        </w:rPr>
        <w:t>BCRA</w:t>
      </w:r>
      <w:r w:rsidRPr="00AE4E8D">
        <w:rPr>
          <w:lang w:val="es-ES"/>
        </w:rPr>
        <w:t xml:space="preserve"> puede llevar a cabo ciertas acciones. Entre ellas, en el caso de excluir la transferencia de activos y pasivos a fideicomisos financieros u otras entidades financieras, el </w:t>
      </w:r>
      <w:r w:rsidR="002C3DEF" w:rsidRPr="00AE4E8D">
        <w:rPr>
          <w:lang w:val="es-ES"/>
        </w:rPr>
        <w:t>BCRA</w:t>
      </w:r>
      <w:r w:rsidRPr="00AE4E8D">
        <w:rPr>
          <w:lang w:val="es-ES"/>
        </w:rPr>
        <w:t xml:space="preserve"> puede excluir total o parcialmente las obligaciones menciones en el artículo 49, párrafo e) así como la deuda definida en el artículo 53, dando efecto al orden de prioridad entre acreedores. Respecto de la exclusión parcial, el orden de prioridad del punto e) del artículo 49 debe seguirse sin otorgar un tratamiento diferente a las obligaciones del mismo grado.</w:t>
      </w:r>
    </w:p>
    <w:p w14:paraId="54950A50" w14:textId="77777777" w:rsidR="002E07D5" w:rsidRPr="00AE4E8D" w:rsidRDefault="002E07D5" w:rsidP="000E1220">
      <w:pPr>
        <w:pStyle w:val="BH4Cursiva"/>
        <w:rPr>
          <w:rFonts w:eastAsia="MS Mincho"/>
          <w:lang w:val="es-ES"/>
        </w:rPr>
      </w:pPr>
      <w:bookmarkStart w:id="678" w:name="_Toc430186273"/>
      <w:r w:rsidRPr="00AE4E8D">
        <w:rPr>
          <w:rFonts w:eastAsia="MS Mincho"/>
          <w:lang w:val="es-ES"/>
        </w:rPr>
        <w:t xml:space="preserve">Sistema de Seguro de </w:t>
      </w:r>
      <w:bookmarkEnd w:id="678"/>
      <w:r w:rsidRPr="00AE4E8D">
        <w:rPr>
          <w:rFonts w:eastAsia="MS Mincho"/>
          <w:lang w:val="es-ES"/>
        </w:rPr>
        <w:t>Garantía de los Depósitos Bancarios</w:t>
      </w:r>
    </w:p>
    <w:p w14:paraId="74B985C9" w14:textId="77777777" w:rsidR="002E07D5" w:rsidRPr="00AE4E8D" w:rsidRDefault="002E07D5" w:rsidP="000E1220">
      <w:pPr>
        <w:pStyle w:val="BHTexto"/>
        <w:rPr>
          <w:lang w:val="es-ES"/>
        </w:rPr>
      </w:pPr>
      <w:r w:rsidRPr="00AE4E8D">
        <w:rPr>
          <w:lang w:val="es-ES"/>
        </w:rPr>
        <w:t xml:space="preserve">La Ley Nº 24.485, aprobada el 12 de abril de 1995 y sus modificatorias, </w:t>
      </w:r>
      <w:proofErr w:type="gramStart"/>
      <w:r w:rsidRPr="00AE4E8D">
        <w:rPr>
          <w:lang w:val="es-ES"/>
        </w:rPr>
        <w:t>creó</w:t>
      </w:r>
      <w:proofErr w:type="gramEnd"/>
      <w:r w:rsidRPr="00AE4E8D">
        <w:rPr>
          <w:lang w:val="es-ES"/>
        </w:rPr>
        <w:t xml:space="preserve"> el Sistema de Seguro de Garantía de los Depósitos o “SSGS” que tiene el carácter de obligatorio para los depósitos bancarios, y delegó en el </w:t>
      </w:r>
      <w:r w:rsidR="002C3DEF" w:rsidRPr="00AE4E8D">
        <w:rPr>
          <w:lang w:val="es-ES"/>
        </w:rPr>
        <w:t>BCRA</w:t>
      </w:r>
      <w:r w:rsidRPr="00AE4E8D">
        <w:rPr>
          <w:lang w:val="es-ES"/>
        </w:rPr>
        <w:t xml:space="preserve"> la responsabilidad de organizar e implementar el sistema. El sistema constituye una </w:t>
      </w:r>
      <w:r w:rsidRPr="00AE4E8D">
        <w:rPr>
          <w:lang w:val="es-ES"/>
        </w:rPr>
        <w:lastRenderedPageBreak/>
        <w:t xml:space="preserve">protección complementaria al privilegio otorgado a los depositantes por el artículo 49 de la </w:t>
      </w:r>
      <w:r w:rsidR="00A667F7" w:rsidRPr="00AE4E8D">
        <w:rPr>
          <w:lang w:val="es-ES"/>
        </w:rPr>
        <w:t>Ley de Entidades Financieras</w:t>
      </w:r>
      <w:r w:rsidRPr="00AE4E8D">
        <w:rPr>
          <w:lang w:val="es-ES"/>
        </w:rPr>
        <w:t>, según se menciona anteriormente.</w:t>
      </w:r>
    </w:p>
    <w:p w14:paraId="0C4E7159" w14:textId="77777777" w:rsidR="002E07D5" w:rsidRPr="00AE4E8D" w:rsidRDefault="002E07D5" w:rsidP="000E1220">
      <w:pPr>
        <w:pStyle w:val="BHTexto"/>
        <w:rPr>
          <w:lang w:val="es-ES"/>
        </w:rPr>
      </w:pPr>
      <w:r w:rsidRPr="00AE4E8D">
        <w:rPr>
          <w:lang w:val="es-ES"/>
        </w:rPr>
        <w:t xml:space="preserve">El Sistema de Seguro de Garantía los Depósitos ha sido implementado mediante la creación de un Fondo de Garantía de los Depósitos o “FGD” administrado por Seguro de Depósitos Sociedad Anónima o SEDESA. De acuerdo con el Decreto Nº 1292/96, los accionistas de SEDESA son el gobierno nacional, a través del </w:t>
      </w:r>
      <w:r w:rsidR="002C3DEF" w:rsidRPr="00AE4E8D">
        <w:rPr>
          <w:lang w:val="es-ES"/>
        </w:rPr>
        <w:t>BCRA</w:t>
      </w:r>
      <w:r w:rsidRPr="00AE4E8D">
        <w:rPr>
          <w:lang w:val="es-ES"/>
        </w:rPr>
        <w:t xml:space="preserve"> y un fideicomiso establecido por las entidades financieras participantes. Estas entidades deben pagar al FGD un aporte mensual determinado por las </w:t>
      </w:r>
      <w:r w:rsidR="00A667F7" w:rsidRPr="00AE4E8D">
        <w:rPr>
          <w:lang w:val="es-ES"/>
        </w:rPr>
        <w:t>normas del BCRA</w:t>
      </w:r>
      <w:r w:rsidRPr="00AE4E8D">
        <w:rPr>
          <w:lang w:val="es-ES"/>
        </w:rPr>
        <w:t xml:space="preserve">. El SSGD es financiado a través de aportes regulares y adicionales efectuados por entidades financieras, conforme lo estipulado por la Comunicación “A” 4271 del </w:t>
      </w:r>
      <w:r w:rsidR="002C3DEF" w:rsidRPr="00AE4E8D">
        <w:rPr>
          <w:lang w:val="es-ES"/>
        </w:rPr>
        <w:t>BCRA</w:t>
      </w:r>
      <w:r w:rsidRPr="00AE4E8D">
        <w:rPr>
          <w:lang w:val="es-ES"/>
        </w:rPr>
        <w:t>, de fecha 30 de diciembre de 2004.</w:t>
      </w:r>
    </w:p>
    <w:p w14:paraId="385F2A97" w14:textId="77777777" w:rsidR="002E07D5" w:rsidRPr="00AE4E8D" w:rsidRDefault="002E07D5" w:rsidP="000E1220">
      <w:pPr>
        <w:pStyle w:val="BHTexto"/>
        <w:rPr>
          <w:lang w:val="es-ES"/>
        </w:rPr>
      </w:pPr>
      <w:r w:rsidRPr="00AE4E8D">
        <w:rPr>
          <w:lang w:val="es-ES"/>
        </w:rPr>
        <w:t>El SSGD cubre depósitos efectuados por personas humanas</w:t>
      </w:r>
      <w:r w:rsidRPr="00AE4E8D" w:rsidDel="001B5B7E">
        <w:rPr>
          <w:lang w:val="es-ES"/>
        </w:rPr>
        <w:t xml:space="preserve"> </w:t>
      </w:r>
      <w:r w:rsidRPr="00AE4E8D">
        <w:rPr>
          <w:lang w:val="es-ES"/>
        </w:rPr>
        <w:t xml:space="preserve">y jurídicas en moneda argentina o extranjera y mantenidos en cuentas con las entidades financieras participantes, incluyendo cuentas corrientes, cajas de ahorro y depósitos a plazo fijo hasta el monto de Ps. 350.000, según lo establecido por la Comunicación “A” 5659 del </w:t>
      </w:r>
      <w:r w:rsidR="002C3DEF" w:rsidRPr="00AE4E8D">
        <w:rPr>
          <w:lang w:val="es-ES"/>
        </w:rPr>
        <w:t>BCRA</w:t>
      </w:r>
      <w:r w:rsidRPr="00AE4E8D">
        <w:rPr>
          <w:lang w:val="es-ES"/>
        </w:rPr>
        <w:t xml:space="preserve"> del 31 de octubre de 2014, y sus modificatorias. El 7 de abril de 2016, la Comunicación “A” 5943 amplió el monto cubierto a Ps. 450.000, a partir del 1º de mayo de 2016.</w:t>
      </w:r>
    </w:p>
    <w:p w14:paraId="35F1B2BB" w14:textId="77777777" w:rsidR="002E07D5" w:rsidRPr="00AE4E8D" w:rsidRDefault="002E07D5" w:rsidP="000E1220">
      <w:pPr>
        <w:pStyle w:val="BHTexto"/>
        <w:rPr>
          <w:iCs/>
          <w:color w:val="000000"/>
          <w:lang w:val="es-ES" w:eastAsia="es-AR"/>
        </w:rPr>
      </w:pPr>
      <w:r w:rsidRPr="00AE4E8D">
        <w:rPr>
          <w:iCs/>
          <w:color w:val="000000"/>
          <w:lang w:val="es-ES" w:eastAsia="es-AR"/>
        </w:rPr>
        <w:t>El efectivo pago de esta garantía será realizado dentro de los 30 días hábiles después de la revocación de la licencia de la entidad financiera en la cual se mantengan dichos fondos y dichos pagos están sujetos a los derechos de prioridad del depositante, descriptos precedentemente.</w:t>
      </w:r>
    </w:p>
    <w:p w14:paraId="14627B8A" w14:textId="77777777" w:rsidR="002E07D5" w:rsidRPr="00AE4E8D" w:rsidRDefault="002E07D5" w:rsidP="000E1220">
      <w:pPr>
        <w:pStyle w:val="BHTexto"/>
        <w:rPr>
          <w:iCs/>
          <w:color w:val="000000"/>
          <w:lang w:val="es-ES" w:eastAsia="es-AR"/>
        </w:rPr>
      </w:pPr>
      <w:r w:rsidRPr="00AE4E8D">
        <w:rPr>
          <w:iCs/>
          <w:color w:val="000000"/>
          <w:lang w:val="es-ES" w:eastAsia="es-AR"/>
        </w:rPr>
        <w:t xml:space="preserve">Considerando las circunstancias que afectan el sistema financiero, el Decreto Nº 214/2002 estableció que SEDESA puede emitir valores </w:t>
      </w:r>
      <w:r w:rsidR="00140213" w:rsidRPr="00AE4E8D">
        <w:rPr>
          <w:iCs/>
          <w:color w:val="000000"/>
          <w:lang w:val="es-ES" w:eastAsia="es-AR"/>
        </w:rPr>
        <w:t xml:space="preserve">negociables </w:t>
      </w:r>
      <w:r w:rsidRPr="00AE4E8D">
        <w:rPr>
          <w:iCs/>
          <w:color w:val="000000"/>
          <w:lang w:val="es-ES" w:eastAsia="es-AR"/>
        </w:rPr>
        <w:t>nominativos con el fin de ofrecerlos a los depositantes en pago de la garantía en el supuesto que no tuviera suficientes fondos disponibles.</w:t>
      </w:r>
    </w:p>
    <w:p w14:paraId="212A1B2D" w14:textId="77777777" w:rsidR="002E07D5" w:rsidRPr="00AE4E8D" w:rsidRDefault="002E07D5" w:rsidP="000E1220">
      <w:pPr>
        <w:pStyle w:val="BHTexto"/>
        <w:rPr>
          <w:color w:val="000000"/>
          <w:lang w:val="es-ES"/>
        </w:rPr>
      </w:pPr>
      <w:r w:rsidRPr="00AE4E8D">
        <w:rPr>
          <w:color w:val="000000"/>
          <w:lang w:val="es-ES"/>
        </w:rPr>
        <w:t xml:space="preserve">El SSGD no cubre: (i) </w:t>
      </w:r>
      <w:r w:rsidRPr="00AE4E8D">
        <w:rPr>
          <w:iCs/>
          <w:color w:val="000000"/>
          <w:lang w:val="es-ES" w:eastAsia="es-AR"/>
        </w:rPr>
        <w:t xml:space="preserve">los </w:t>
      </w:r>
      <w:r w:rsidRPr="00AE4E8D">
        <w:rPr>
          <w:color w:val="000000"/>
          <w:lang w:val="es-ES"/>
        </w:rPr>
        <w:t xml:space="preserve">depósitos </w:t>
      </w:r>
      <w:r w:rsidRPr="00AE4E8D">
        <w:rPr>
          <w:iCs/>
          <w:color w:val="000000"/>
          <w:lang w:val="es-ES" w:eastAsia="es-AR"/>
        </w:rPr>
        <w:t xml:space="preserve">de </w:t>
      </w:r>
      <w:r w:rsidRPr="00AE4E8D">
        <w:rPr>
          <w:color w:val="000000"/>
          <w:lang w:val="es-ES"/>
        </w:rPr>
        <w:t xml:space="preserve">entidades financieras </w:t>
      </w:r>
      <w:r w:rsidRPr="00AE4E8D">
        <w:rPr>
          <w:lang w:val="es-ES"/>
        </w:rPr>
        <w:t xml:space="preserve">en </w:t>
      </w:r>
      <w:r w:rsidRPr="00AE4E8D">
        <w:rPr>
          <w:iCs/>
          <w:lang w:val="es-ES" w:eastAsia="es-AR"/>
        </w:rPr>
        <w:t>otros intermediarios, incluidos los</w:t>
      </w:r>
      <w:r w:rsidRPr="00AE4E8D">
        <w:rPr>
          <w:lang w:val="es-ES"/>
        </w:rPr>
        <w:t xml:space="preserve"> certificados de </w:t>
      </w:r>
      <w:r w:rsidRPr="00AE4E8D">
        <w:rPr>
          <w:iCs/>
          <w:lang w:val="es-ES" w:eastAsia="es-AR"/>
        </w:rPr>
        <w:t xml:space="preserve">plazo fijo adquiridos por negociación secundaria </w:t>
      </w:r>
      <w:r w:rsidRPr="00AE4E8D">
        <w:rPr>
          <w:color w:val="000000"/>
          <w:lang w:val="es-ES"/>
        </w:rPr>
        <w:t xml:space="preserve">, (ii) depósitos efectuados por personas vinculadas directa o indirectamente </w:t>
      </w:r>
      <w:r w:rsidRPr="00AE4E8D">
        <w:rPr>
          <w:iCs/>
          <w:color w:val="000000"/>
          <w:lang w:val="es-ES" w:eastAsia="es-AR"/>
        </w:rPr>
        <w:t>a</w:t>
      </w:r>
      <w:r w:rsidRPr="00AE4E8D">
        <w:rPr>
          <w:color w:val="000000"/>
          <w:lang w:val="es-ES"/>
        </w:rPr>
        <w:t xml:space="preserve"> la entidad, (iii) depósitos a plazo de valores</w:t>
      </w:r>
      <w:r w:rsidR="00140213" w:rsidRPr="00AE4E8D">
        <w:rPr>
          <w:color w:val="000000"/>
          <w:lang w:val="es-ES"/>
        </w:rPr>
        <w:t xml:space="preserve"> negociables</w:t>
      </w:r>
      <w:r w:rsidRPr="00AE4E8D">
        <w:rPr>
          <w:color w:val="000000"/>
          <w:lang w:val="es-ES"/>
        </w:rPr>
        <w:t xml:space="preserve">, aceptaciones o garantías, (iv) depósitos a plazo fijo transferibles </w:t>
      </w:r>
      <w:r w:rsidRPr="00AE4E8D">
        <w:rPr>
          <w:iCs/>
          <w:color w:val="000000"/>
          <w:lang w:val="es-ES" w:eastAsia="es-AR"/>
        </w:rPr>
        <w:t>cuya titularidad haya</w:t>
      </w:r>
      <w:r w:rsidRPr="00AE4E8D">
        <w:rPr>
          <w:color w:val="000000"/>
          <w:lang w:val="es-ES"/>
        </w:rPr>
        <w:t xml:space="preserve"> sido </w:t>
      </w:r>
      <w:r w:rsidRPr="00AE4E8D">
        <w:rPr>
          <w:iCs/>
          <w:color w:val="000000"/>
          <w:lang w:val="es-ES" w:eastAsia="es-AR"/>
        </w:rPr>
        <w:t>adquirida</w:t>
      </w:r>
      <w:r w:rsidRPr="00AE4E8D">
        <w:rPr>
          <w:color w:val="000000"/>
          <w:lang w:val="es-ES"/>
        </w:rPr>
        <w:t xml:space="preserve"> por</w:t>
      </w:r>
      <w:r w:rsidRPr="00AE4E8D">
        <w:rPr>
          <w:iCs/>
          <w:color w:val="000000"/>
          <w:lang w:val="es-ES" w:eastAsia="es-AR"/>
        </w:rPr>
        <w:t xml:space="preserve"> vía de</w:t>
      </w:r>
      <w:r w:rsidRPr="00AE4E8D">
        <w:rPr>
          <w:color w:val="000000"/>
          <w:lang w:val="es-ES"/>
        </w:rPr>
        <w:t xml:space="preserve"> endoso, (v) depósitos que cuenten con el beneficio de algún incentivo (por ejemplo, sorteos de autos) además de la tasa de interés convenida, y (vi) depósitos en los que la tasa de interés convenida sea </w:t>
      </w:r>
      <w:r w:rsidRPr="00AE4E8D">
        <w:rPr>
          <w:iCs/>
          <w:color w:val="000000"/>
          <w:lang w:val="es-ES" w:eastAsia="es-AR"/>
        </w:rPr>
        <w:t>superior a</w:t>
      </w:r>
      <w:r w:rsidRPr="00AE4E8D">
        <w:rPr>
          <w:color w:val="000000"/>
          <w:lang w:val="es-ES"/>
        </w:rPr>
        <w:t xml:space="preserve"> las tasas de referencia </w:t>
      </w:r>
      <w:r w:rsidRPr="00AE4E8D">
        <w:rPr>
          <w:iCs/>
          <w:color w:val="000000"/>
          <w:lang w:val="es-ES" w:eastAsia="es-AR"/>
        </w:rPr>
        <w:t>difundidas</w:t>
      </w:r>
      <w:r w:rsidRPr="00AE4E8D">
        <w:rPr>
          <w:color w:val="000000"/>
          <w:lang w:val="es-ES"/>
        </w:rPr>
        <w:t xml:space="preserve"> periódicamente por el </w:t>
      </w:r>
      <w:r w:rsidR="002C3DEF" w:rsidRPr="00AE4E8D">
        <w:rPr>
          <w:iCs/>
          <w:color w:val="000000"/>
          <w:lang w:val="es-ES" w:eastAsia="es-AR"/>
        </w:rPr>
        <w:t>BCRA</w:t>
      </w:r>
      <w:r w:rsidRPr="00AE4E8D">
        <w:rPr>
          <w:color w:val="000000"/>
          <w:lang w:val="es-ES"/>
        </w:rPr>
        <w:t xml:space="preserve"> para depósitos a plazo fijo y saldos de cuentas a la vista así como montos disponibles de depósitos vencidos o cuentas cerradas.</w:t>
      </w:r>
    </w:p>
    <w:p w14:paraId="6761501B" w14:textId="77777777" w:rsidR="002E07D5" w:rsidRPr="00AE4E8D" w:rsidRDefault="002E07D5" w:rsidP="000E1220">
      <w:pPr>
        <w:pStyle w:val="BHTexto"/>
        <w:rPr>
          <w:lang w:val="es-ES"/>
        </w:rPr>
      </w:pPr>
      <w:r w:rsidRPr="00AE4E8D">
        <w:rPr>
          <w:lang w:val="es-ES"/>
        </w:rPr>
        <w:t xml:space="preserve">En virtud de la Comunicación “A” 5710, toda entidad financiera fue obligada a aportar al FGD un monto mensual del 0,6% del promedio mensual de saldos diarios de depósitos en moneda local y extranjera, según lo determinado por el </w:t>
      </w:r>
      <w:r w:rsidR="002C3DEF" w:rsidRPr="00AE4E8D">
        <w:rPr>
          <w:lang w:val="es-ES"/>
        </w:rPr>
        <w:t>BCRA</w:t>
      </w:r>
      <w:r w:rsidRPr="00AE4E8D">
        <w:rPr>
          <w:lang w:val="es-ES"/>
        </w:rPr>
        <w:t>. El 7 de abril de 2016, la Comunicación “A” 5943 fijó la contribución mensual en el 0,015% del promedio mensual del saldo diario de depósitos.</w:t>
      </w:r>
    </w:p>
    <w:p w14:paraId="1B4B15F2" w14:textId="77777777" w:rsidR="002E07D5" w:rsidRPr="00AE4E8D" w:rsidRDefault="002E07D5" w:rsidP="000E1220">
      <w:pPr>
        <w:pStyle w:val="BHTexto"/>
        <w:rPr>
          <w:lang w:val="es-ES"/>
        </w:rPr>
      </w:pPr>
      <w:r w:rsidRPr="00AE4E8D">
        <w:rPr>
          <w:lang w:val="es-ES"/>
        </w:rPr>
        <w:t xml:space="preserve">Cuando los depósitos a plazo fijo en dólares estadounidenses del sector privado no financiero sean aplicados a la suscripción de letras del </w:t>
      </w:r>
      <w:r w:rsidR="002C3DEF" w:rsidRPr="00AE4E8D">
        <w:rPr>
          <w:lang w:val="es-ES"/>
        </w:rPr>
        <w:t>BCRA</w:t>
      </w:r>
      <w:r w:rsidRPr="00AE4E8D">
        <w:rPr>
          <w:lang w:val="es-ES"/>
        </w:rPr>
        <w:t xml:space="preserve"> denominadas en dólares estadounidenses, el aporte de las entidades financieras será equivalente al 0,015% del promedio mensual de saldos diarios de la posición neta de dichas letras. El aporte inmediato de dichos montos es condición suspensiva para la operación permanente de la entidad financiera. El primer aporte fue realizado el 24 de mayo de 1995. El </w:t>
      </w:r>
      <w:r w:rsidR="002C3DEF" w:rsidRPr="00AE4E8D">
        <w:rPr>
          <w:lang w:val="es-ES"/>
        </w:rPr>
        <w:t>BCRA</w:t>
      </w:r>
      <w:r w:rsidRPr="00AE4E8D">
        <w:rPr>
          <w:lang w:val="es-ES"/>
        </w:rPr>
        <w:t xml:space="preserve"> puede requerir que las entidades financieras anticipen el pago de hasta el equivalente a dos años de aportes mensuales y debiten los aportes vencidos de los fondos de las entidades financieras depositados en el </w:t>
      </w:r>
      <w:r w:rsidR="002C3DEF" w:rsidRPr="00AE4E8D">
        <w:rPr>
          <w:lang w:val="es-ES"/>
        </w:rPr>
        <w:t>BCRA</w:t>
      </w:r>
      <w:r w:rsidRPr="00AE4E8D">
        <w:rPr>
          <w:lang w:val="es-ES"/>
        </w:rPr>
        <w:t xml:space="preserve">. El </w:t>
      </w:r>
      <w:r w:rsidR="002C3DEF" w:rsidRPr="00AE4E8D">
        <w:rPr>
          <w:lang w:val="es-ES"/>
        </w:rPr>
        <w:t>BCRA</w:t>
      </w:r>
      <w:r w:rsidRPr="00AE4E8D">
        <w:rPr>
          <w:lang w:val="es-ES"/>
        </w:rPr>
        <w:t xml:space="preserve"> puede asimismo exigir aportes adicionales de parte de ciertas entidades, dependiendo de su evaluación de la situación patrimonial de dichas entidades.</w:t>
      </w:r>
    </w:p>
    <w:p w14:paraId="2A959B3D" w14:textId="77777777" w:rsidR="002E07D5" w:rsidRPr="00AE4E8D" w:rsidRDefault="002E07D5" w:rsidP="000E1220">
      <w:pPr>
        <w:pStyle w:val="BHTexto"/>
        <w:rPr>
          <w:lang w:val="es-ES"/>
        </w:rPr>
      </w:pPr>
      <w:r w:rsidRPr="00AE4E8D">
        <w:rPr>
          <w:lang w:val="es-ES"/>
        </w:rPr>
        <w:t>Además del aporte mencionado, las entidades deberán efectuar un aporte adicional diferenciado según sea el resultado que se obtenga de la ponderación de los siguientes factores: (i) la calificación asignada a la entidad según la evaluación efectuada por la Superintendencia de Entidades Financieras y Cambiarias; (ii) la relación de exceso de integración de responsabilidad patrimonial computable respecto de la exigencia de capital mínimo; y (iii) la calidad de la cartera activa.</w:t>
      </w:r>
    </w:p>
    <w:p w14:paraId="48714116" w14:textId="77777777" w:rsidR="002E07D5" w:rsidRPr="00AE4E8D" w:rsidRDefault="002E07D5" w:rsidP="000E1220">
      <w:pPr>
        <w:pStyle w:val="BHTexto"/>
        <w:rPr>
          <w:lang w:val="es-ES"/>
        </w:rPr>
      </w:pPr>
      <w:r w:rsidRPr="00AE4E8D">
        <w:rPr>
          <w:lang w:val="es-ES"/>
        </w:rPr>
        <w:t xml:space="preserve">Cuando los aportes al FGD llegan a Ps. 2.000 millones o el 5,0% del total de depósitos del sistema, lo que sea mayor, el </w:t>
      </w:r>
      <w:r w:rsidR="002C3DEF" w:rsidRPr="00AE4E8D">
        <w:rPr>
          <w:lang w:val="es-ES"/>
        </w:rPr>
        <w:t>BCRA</w:t>
      </w:r>
      <w:r w:rsidRPr="00AE4E8D">
        <w:rPr>
          <w:lang w:val="es-ES"/>
        </w:rPr>
        <w:t xml:space="preserve"> podrá suspender o reducir los aportes mensuales, y restablecerlos cuando los aportes posteriormente caigan por debajo de dicho nivel.</w:t>
      </w:r>
    </w:p>
    <w:p w14:paraId="3BDABF3C" w14:textId="77777777" w:rsidR="002E07D5" w:rsidRPr="00AE4E8D" w:rsidRDefault="002E07D5" w:rsidP="000E1220">
      <w:pPr>
        <w:pStyle w:val="BH4Cursiva"/>
        <w:rPr>
          <w:rFonts w:eastAsia="MS Mincho"/>
          <w:lang w:val="es-ES"/>
        </w:rPr>
      </w:pPr>
      <w:bookmarkStart w:id="679" w:name="_Toc430186275"/>
      <w:r w:rsidRPr="00AE4E8D">
        <w:rPr>
          <w:rFonts w:eastAsia="MS Mincho"/>
          <w:lang w:val="es-ES"/>
        </w:rPr>
        <w:t xml:space="preserve">Mercado de </w:t>
      </w:r>
      <w:bookmarkEnd w:id="679"/>
      <w:r w:rsidRPr="00AE4E8D">
        <w:rPr>
          <w:rFonts w:eastAsia="MS Mincho"/>
          <w:lang w:val="es-ES"/>
        </w:rPr>
        <w:t>capitales</w:t>
      </w:r>
    </w:p>
    <w:p w14:paraId="51E73D42" w14:textId="77777777" w:rsidR="002E07D5" w:rsidRPr="00AE4E8D" w:rsidRDefault="002E07D5" w:rsidP="000E1220">
      <w:pPr>
        <w:pStyle w:val="BHTexto"/>
        <w:rPr>
          <w:lang w:val="es-ES"/>
        </w:rPr>
      </w:pPr>
      <w:r w:rsidRPr="00AE4E8D">
        <w:rPr>
          <w:lang w:val="es-ES"/>
        </w:rPr>
        <w:t xml:space="preserve">Los bancos comerciales están autorizados a suscribir y vender acciones y títulos de deuda. En la actualidad, no existen limitaciones legales con respecto al monto de los títulos que un banco puede comprometerse a suscribir. Sin embargo, según las regulaciones del </w:t>
      </w:r>
      <w:r w:rsidR="002C3DEF" w:rsidRPr="00AE4E8D">
        <w:rPr>
          <w:lang w:val="es-ES"/>
        </w:rPr>
        <w:t>BCRA</w:t>
      </w:r>
      <w:r w:rsidRPr="00AE4E8D">
        <w:rPr>
          <w:lang w:val="es-ES"/>
        </w:rPr>
        <w:t xml:space="preserve">, la suscripción de títulos de </w:t>
      </w:r>
      <w:r w:rsidRPr="00AE4E8D">
        <w:rPr>
          <w:lang w:val="es-ES"/>
        </w:rPr>
        <w:lastRenderedPageBreak/>
        <w:t>deuda por un banco debe ser tratada como “asistencia financiera” y, por lo tanto, hasta que los títulos sean vendidos a terceros, tal suscripción estará sujeta a limitaciones.</w:t>
      </w:r>
    </w:p>
    <w:p w14:paraId="2F25EC5D" w14:textId="77777777" w:rsidR="002E07D5" w:rsidRPr="00AE4E8D" w:rsidRDefault="002E07D5" w:rsidP="000E1220">
      <w:pPr>
        <w:pStyle w:val="BHTexto"/>
        <w:rPr>
          <w:lang w:val="es-ES"/>
        </w:rPr>
      </w:pPr>
      <w:r w:rsidRPr="00AE4E8D">
        <w:rPr>
          <w:lang w:val="es-ES"/>
        </w:rPr>
        <w:t>La Ley de Mercado de Capitales introdujo cambios sustanciales a las regulaciones que rigen los mercados, bolsas de valores y los diversos agentes que operan en el mercado de capitales, además de ciertas modificaciones a las facultades de la CNV. El 9 de septiembre de 2013, la CNV publicó las Normas de la CNV que complementan la Ley de Mercado de Capitales. Las Normas de la CNV han estado vigentes desde el 18 de septiembre de 2013.</w:t>
      </w:r>
    </w:p>
    <w:p w14:paraId="5CE96807" w14:textId="77777777" w:rsidR="002E07D5" w:rsidRPr="00AE4E8D" w:rsidRDefault="002E07D5" w:rsidP="000E1220">
      <w:pPr>
        <w:pStyle w:val="BHTexto"/>
        <w:rPr>
          <w:lang w:val="es-ES"/>
        </w:rPr>
      </w:pPr>
      <w:r w:rsidRPr="00AE4E8D">
        <w:rPr>
          <w:lang w:val="es-ES"/>
        </w:rPr>
        <w:t xml:space="preserve">Una de las modificaciones más significativas introducida por la Ley del Mercado de Capitales y las Normas de la CNV es que los agentes y mercados deben cumplir con los requisitos de la CNV a los fines de solicitar una autorización para operar, así como requisitos de registro. Asimismo dispone que cada categoría de agente </w:t>
      </w:r>
      <w:proofErr w:type="gramStart"/>
      <w:r w:rsidRPr="00AE4E8D">
        <w:rPr>
          <w:lang w:val="es-ES"/>
        </w:rPr>
        <w:t>debe</w:t>
      </w:r>
      <w:proofErr w:type="gramEnd"/>
      <w:r w:rsidRPr="00AE4E8D">
        <w:rPr>
          <w:lang w:val="es-ES"/>
        </w:rPr>
        <w:t xml:space="preserve"> cumplir requisitos de patrimonio neto mínimo y de liquidez.</w:t>
      </w:r>
    </w:p>
    <w:p w14:paraId="0148AFE2" w14:textId="77777777" w:rsidR="002E07D5" w:rsidRPr="00AE4E8D" w:rsidRDefault="002E07D5" w:rsidP="000E1220">
      <w:pPr>
        <w:pStyle w:val="BHTexto"/>
        <w:rPr>
          <w:lang w:val="es-ES"/>
        </w:rPr>
      </w:pPr>
      <w:r w:rsidRPr="00AE4E8D">
        <w:rPr>
          <w:lang w:val="es-ES"/>
        </w:rPr>
        <w:t>Asimismo, según la Ley del Mercado de Capitales, la autorregulación de los mercados fue eliminada y la autorización, supervisión, control así como las facultades disciplinarias y regulatorias son conferidas a la CNV respecto de todos los participantes del mercado.</w:t>
      </w:r>
    </w:p>
    <w:p w14:paraId="5C9034AF" w14:textId="77777777" w:rsidR="002E07D5" w:rsidRPr="00AE4E8D" w:rsidRDefault="002E07D5" w:rsidP="000E1220">
      <w:pPr>
        <w:pStyle w:val="BH4Cursiva"/>
        <w:rPr>
          <w:rFonts w:eastAsia="MS Mincho"/>
          <w:lang w:val="es-ES"/>
        </w:rPr>
      </w:pPr>
      <w:bookmarkStart w:id="680" w:name="_Toc430186276"/>
      <w:r w:rsidRPr="00AE4E8D">
        <w:rPr>
          <w:rFonts w:eastAsia="MS Mincho"/>
          <w:lang w:val="es-ES"/>
        </w:rPr>
        <w:t xml:space="preserve">Entidades </w:t>
      </w:r>
      <w:bookmarkEnd w:id="680"/>
      <w:r w:rsidRPr="00AE4E8D">
        <w:rPr>
          <w:rFonts w:eastAsia="MS Mincho"/>
          <w:lang w:val="es-ES"/>
        </w:rPr>
        <w:t>financieras con dificultades económicas</w:t>
      </w:r>
    </w:p>
    <w:p w14:paraId="234217A3" w14:textId="77777777" w:rsidR="002E07D5" w:rsidRPr="00AE4E8D" w:rsidRDefault="002E07D5" w:rsidP="000E1220">
      <w:pPr>
        <w:pStyle w:val="BHTexto"/>
        <w:rPr>
          <w:lang w:val="es-ES"/>
        </w:rPr>
      </w:pPr>
      <w:r w:rsidRPr="00AE4E8D">
        <w:rPr>
          <w:lang w:val="es-ES"/>
        </w:rPr>
        <w:t xml:space="preserve">La </w:t>
      </w:r>
      <w:r w:rsidR="00A667F7" w:rsidRPr="00AE4E8D">
        <w:rPr>
          <w:lang w:val="es-ES"/>
        </w:rPr>
        <w:t>Ley de Entidades Financieras</w:t>
      </w:r>
      <w:r w:rsidRPr="00AE4E8D">
        <w:rPr>
          <w:lang w:val="es-ES"/>
        </w:rPr>
        <w:t xml:space="preserve"> dispone que toda entidad financiera, incluyendo un banco comercial, que opere registrando reiterados incumplimientos a los distintos límites o relaciones técnicas establecidas, según el criterio del </w:t>
      </w:r>
      <w:r w:rsidR="002C3DEF" w:rsidRPr="00AE4E8D">
        <w:rPr>
          <w:lang w:val="es-ES"/>
        </w:rPr>
        <w:t>BCRA</w:t>
      </w:r>
      <w:r w:rsidRPr="00AE4E8D">
        <w:rPr>
          <w:lang w:val="es-ES"/>
        </w:rPr>
        <w:t xml:space="preserve"> adoptado por la mayoría de los miembros del directorio, con su solvencia o liquidez afectada, o en cualquiera de las otras circunstancias enumeradas en el Artículo 44 de la </w:t>
      </w:r>
      <w:r w:rsidR="00A667F7" w:rsidRPr="00AE4E8D">
        <w:rPr>
          <w:lang w:val="es-ES"/>
        </w:rPr>
        <w:t>Ley de Entidades Financieras</w:t>
      </w:r>
      <w:r w:rsidRPr="00AE4E8D">
        <w:rPr>
          <w:lang w:val="es-ES"/>
        </w:rPr>
        <w:t xml:space="preserve">, debe (ante una solicitud del </w:t>
      </w:r>
      <w:r w:rsidR="002C3DEF" w:rsidRPr="00AE4E8D">
        <w:rPr>
          <w:lang w:val="es-ES"/>
        </w:rPr>
        <w:t>BCRA</w:t>
      </w:r>
      <w:r w:rsidRPr="00AE4E8D">
        <w:rPr>
          <w:lang w:val="es-ES"/>
        </w:rPr>
        <w:t xml:space="preserve"> y para evitar la revocación de su licencia) preparar un plan de regularización y saneamiento. El plan debe ser presentado al </w:t>
      </w:r>
      <w:r w:rsidR="002C3DEF" w:rsidRPr="00AE4E8D">
        <w:rPr>
          <w:lang w:val="es-ES"/>
        </w:rPr>
        <w:t>BCRA</w:t>
      </w:r>
      <w:r w:rsidRPr="00AE4E8D">
        <w:rPr>
          <w:lang w:val="es-ES"/>
        </w:rPr>
        <w:t xml:space="preserve"> en una fecha específica, no más allá de los 30 días calendario posteriores a la fecha en la cual el </w:t>
      </w:r>
      <w:r w:rsidR="002C3DEF" w:rsidRPr="00AE4E8D">
        <w:rPr>
          <w:lang w:val="es-ES"/>
        </w:rPr>
        <w:t>BCRA</w:t>
      </w:r>
      <w:r w:rsidRPr="00AE4E8D">
        <w:rPr>
          <w:lang w:val="es-ES"/>
        </w:rPr>
        <w:t xml:space="preserve"> hubiera formulado una solicitud a tal efecto. Si la entidad no presentara un plan de regularización y saneamiento, no obtuviera la aprobación reglamentaria de éste, o no cumpliera con tal plan, el </w:t>
      </w:r>
      <w:r w:rsidR="002C3DEF" w:rsidRPr="00AE4E8D">
        <w:rPr>
          <w:lang w:val="es-ES"/>
        </w:rPr>
        <w:t>BCRA</w:t>
      </w:r>
      <w:r w:rsidRPr="00AE4E8D">
        <w:rPr>
          <w:lang w:val="es-ES"/>
        </w:rPr>
        <w:t xml:space="preserve"> estará facultado para revocar la licencia de la entidad para operar como tal.</w:t>
      </w:r>
    </w:p>
    <w:p w14:paraId="39918309" w14:textId="77777777" w:rsidR="002E07D5" w:rsidRPr="00AE4E8D" w:rsidRDefault="002E07D5" w:rsidP="000E1220">
      <w:pPr>
        <w:pStyle w:val="BHTexto"/>
        <w:rPr>
          <w:lang w:val="es-ES"/>
        </w:rPr>
      </w:pPr>
      <w:r w:rsidRPr="00AE4E8D">
        <w:rPr>
          <w:lang w:val="es-ES"/>
        </w:rPr>
        <w:t xml:space="preserve">Además, la carta orgánica del </w:t>
      </w:r>
      <w:r w:rsidR="002C3DEF" w:rsidRPr="00AE4E8D">
        <w:rPr>
          <w:lang w:val="es-ES"/>
        </w:rPr>
        <w:t>BCRA</w:t>
      </w:r>
      <w:r w:rsidRPr="00AE4E8D">
        <w:rPr>
          <w:lang w:val="es-ES"/>
        </w:rPr>
        <w:t xml:space="preserve"> autoriza a la Superintendencia de Entidades Financieras, con la previa autorización del Presidente del </w:t>
      </w:r>
      <w:r w:rsidR="002C3DEF" w:rsidRPr="00AE4E8D">
        <w:rPr>
          <w:lang w:val="es-ES"/>
        </w:rPr>
        <w:t>BCRA</w:t>
      </w:r>
      <w:r w:rsidRPr="00AE4E8D">
        <w:rPr>
          <w:lang w:val="es-ES"/>
        </w:rPr>
        <w:t xml:space="preserve">, a disponer la suspensión transitoria, total o parcial, de las operaciones de una entidad financiera por un plazo máximo de 30 días, si su liquidez o solvencia se vieran afectadas de modo adverso. Dicho plazo se puede renovar por 90 días adicionales como máximo, con la aprobación del Directorio del </w:t>
      </w:r>
      <w:r w:rsidR="002C3DEF" w:rsidRPr="00AE4E8D">
        <w:rPr>
          <w:lang w:val="es-ES"/>
        </w:rPr>
        <w:t>BCRA</w:t>
      </w:r>
      <w:r w:rsidRPr="00AE4E8D">
        <w:rPr>
          <w:lang w:val="es-ES"/>
        </w:rPr>
        <w:t>. Durante el plazo de la suspensión no se podrán trabar medidas cautelares ni realizar actos de ejecución forzada contra la entidad. Asimismo serán nulos los compromisos que aumenten los pasivos de las entidades y se suspenderá su exigibilidad así como el devengamiento de intereses.</w:t>
      </w:r>
    </w:p>
    <w:p w14:paraId="1E5CBA4D" w14:textId="77777777" w:rsidR="002E07D5" w:rsidRPr="00AE4E8D" w:rsidRDefault="002E07D5" w:rsidP="000E1220">
      <w:pPr>
        <w:pStyle w:val="BHTexto"/>
        <w:rPr>
          <w:lang w:val="es-ES"/>
        </w:rPr>
      </w:pPr>
      <w:r w:rsidRPr="00AE4E8D">
        <w:rPr>
          <w:lang w:val="es-ES"/>
        </w:rPr>
        <w:t xml:space="preserve">Si, según el criterio del </w:t>
      </w:r>
      <w:r w:rsidR="002C3DEF" w:rsidRPr="00AE4E8D">
        <w:rPr>
          <w:lang w:val="es-ES"/>
        </w:rPr>
        <w:t>BCRA</w:t>
      </w:r>
      <w:r w:rsidRPr="00AE4E8D">
        <w:rPr>
          <w:lang w:val="es-ES"/>
        </w:rPr>
        <w:t xml:space="preserve"> una entidad financiera se encuentra en una situación que, según la </w:t>
      </w:r>
      <w:r w:rsidR="00A667F7" w:rsidRPr="00AE4E8D">
        <w:rPr>
          <w:lang w:val="es-ES"/>
        </w:rPr>
        <w:t>Ley de Entidades Financieras</w:t>
      </w:r>
      <w:r w:rsidRPr="00AE4E8D">
        <w:rPr>
          <w:lang w:val="es-ES"/>
        </w:rPr>
        <w:t xml:space="preserve">, autorizaría al </w:t>
      </w:r>
      <w:r w:rsidR="002C3DEF" w:rsidRPr="00AE4E8D">
        <w:rPr>
          <w:lang w:val="es-ES"/>
        </w:rPr>
        <w:t>BCRA</w:t>
      </w:r>
      <w:r w:rsidRPr="00AE4E8D">
        <w:rPr>
          <w:lang w:val="es-ES"/>
        </w:rPr>
        <w:t xml:space="preserve"> a revocar su licencia para operar como tal, el </w:t>
      </w:r>
      <w:r w:rsidR="002C3DEF" w:rsidRPr="00AE4E8D">
        <w:rPr>
          <w:lang w:val="es-ES"/>
        </w:rPr>
        <w:t>BCRA</w:t>
      </w:r>
      <w:r w:rsidRPr="00AE4E8D">
        <w:rPr>
          <w:lang w:val="es-ES"/>
        </w:rPr>
        <w:t xml:space="preserve"> puede, antes de considerar tal revocación, disponer un plan de regularización y saneamiento que puede consistir en una serie de medidas, entre otras:</w:t>
      </w:r>
    </w:p>
    <w:p w14:paraId="6663E121" w14:textId="77777777" w:rsidR="002E07D5" w:rsidRPr="00AE4E8D" w:rsidRDefault="002E07D5" w:rsidP="000668B5">
      <w:pPr>
        <w:pStyle w:val="BHTexto"/>
        <w:numPr>
          <w:ilvl w:val="0"/>
          <w:numId w:val="93"/>
        </w:numPr>
        <w:rPr>
          <w:lang w:val="es-ES"/>
        </w:rPr>
      </w:pPr>
      <w:r w:rsidRPr="00AE4E8D">
        <w:rPr>
          <w:lang w:val="es-ES"/>
        </w:rPr>
        <w:t>adopción de medidas para capitalizar o aumentar el capital de la entidad financiera;</w:t>
      </w:r>
    </w:p>
    <w:p w14:paraId="20C0A1EE" w14:textId="77777777" w:rsidR="002E07D5" w:rsidRPr="00AE4E8D" w:rsidRDefault="002E07D5" w:rsidP="000668B5">
      <w:pPr>
        <w:pStyle w:val="BHTexto"/>
        <w:numPr>
          <w:ilvl w:val="0"/>
          <w:numId w:val="93"/>
        </w:numPr>
        <w:rPr>
          <w:lang w:val="es-ES"/>
        </w:rPr>
      </w:pPr>
      <w:r w:rsidRPr="00AE4E8D">
        <w:rPr>
          <w:lang w:val="es-ES"/>
        </w:rPr>
        <w:t>revocación de la aprobación otorgada a los accionistas de la entidad financiera para mantener una participación en ésta;</w:t>
      </w:r>
    </w:p>
    <w:p w14:paraId="1910F35E" w14:textId="77777777" w:rsidR="002E07D5" w:rsidRPr="00AE4E8D" w:rsidRDefault="002E07D5" w:rsidP="000668B5">
      <w:pPr>
        <w:pStyle w:val="BHTexto"/>
        <w:numPr>
          <w:ilvl w:val="0"/>
          <w:numId w:val="93"/>
        </w:numPr>
        <w:rPr>
          <w:lang w:val="es-ES"/>
        </w:rPr>
      </w:pPr>
      <w:r w:rsidRPr="00AE4E8D">
        <w:rPr>
          <w:lang w:val="es-ES"/>
        </w:rPr>
        <w:t>reestructuración o transferencia de activos y pasivos;</w:t>
      </w:r>
    </w:p>
    <w:p w14:paraId="3A5510B3" w14:textId="77777777" w:rsidR="002E07D5" w:rsidRPr="00AE4E8D" w:rsidRDefault="002E07D5" w:rsidP="000668B5">
      <w:pPr>
        <w:pStyle w:val="BHTexto"/>
        <w:numPr>
          <w:ilvl w:val="0"/>
          <w:numId w:val="93"/>
        </w:numPr>
        <w:rPr>
          <w:lang w:val="es-ES"/>
        </w:rPr>
      </w:pPr>
      <w:r w:rsidRPr="00AE4E8D">
        <w:rPr>
          <w:lang w:val="es-ES"/>
        </w:rPr>
        <w:t>otorgamiento de exenciones temporarias para cumplir con reglamentaciones técnicas o pagar cargos y multas que surjan de dicho cumplimiento defectuoso o</w:t>
      </w:r>
    </w:p>
    <w:p w14:paraId="6C6E7BAA" w14:textId="77777777" w:rsidR="002E07D5" w:rsidRPr="00AE4E8D" w:rsidRDefault="002E07D5" w:rsidP="000668B5">
      <w:pPr>
        <w:pStyle w:val="BHTexto"/>
        <w:numPr>
          <w:ilvl w:val="0"/>
          <w:numId w:val="93"/>
        </w:numPr>
        <w:rPr>
          <w:lang w:val="es-ES"/>
        </w:rPr>
      </w:pPr>
      <w:r w:rsidRPr="00AE4E8D">
        <w:rPr>
          <w:lang w:val="es-ES"/>
        </w:rPr>
        <w:t>designación de un delegado o interventor que eventualmente puede reemplazar al directorio de la entidad financiera.</w:t>
      </w:r>
    </w:p>
    <w:p w14:paraId="658B2463" w14:textId="77777777" w:rsidR="002E07D5" w:rsidRPr="00AE4E8D" w:rsidRDefault="002E07D5" w:rsidP="000E1220">
      <w:pPr>
        <w:pStyle w:val="BH4Cursiva"/>
        <w:rPr>
          <w:rFonts w:eastAsia="MS Mincho"/>
          <w:lang w:val="es-ES"/>
        </w:rPr>
      </w:pPr>
      <w:bookmarkStart w:id="681" w:name="_Toc430186277"/>
      <w:r w:rsidRPr="00AE4E8D">
        <w:rPr>
          <w:rFonts w:eastAsia="MS Mincho"/>
          <w:lang w:val="es-ES"/>
        </w:rPr>
        <w:t xml:space="preserve">Revocación de la licencia para operar como </w:t>
      </w:r>
      <w:bookmarkEnd w:id="681"/>
      <w:r w:rsidRPr="00AE4E8D">
        <w:rPr>
          <w:rFonts w:eastAsia="MS Mincho"/>
          <w:lang w:val="es-ES"/>
        </w:rPr>
        <w:t>entidad financiera</w:t>
      </w:r>
    </w:p>
    <w:p w14:paraId="25FFDF14" w14:textId="77777777" w:rsidR="002E07D5" w:rsidRPr="00AE4E8D" w:rsidRDefault="002E07D5" w:rsidP="000E1220">
      <w:pPr>
        <w:pStyle w:val="BHTexto"/>
        <w:rPr>
          <w:lang w:val="es-ES"/>
        </w:rPr>
      </w:pPr>
      <w:r w:rsidRPr="00AE4E8D">
        <w:rPr>
          <w:lang w:val="es-ES"/>
        </w:rPr>
        <w:t xml:space="preserve">El </w:t>
      </w:r>
      <w:r w:rsidR="002C3DEF" w:rsidRPr="00AE4E8D">
        <w:rPr>
          <w:lang w:val="es-ES"/>
        </w:rPr>
        <w:t>BCRA</w:t>
      </w:r>
      <w:r w:rsidRPr="00AE4E8D">
        <w:rPr>
          <w:lang w:val="es-ES"/>
        </w:rPr>
        <w:t xml:space="preserve"> podrá revocar la licencia para operar como entidad financiera si el plan de regularización y saneamiento hubiera fallado o no se lo considerara viable, o se hubiera incurrido en violaciones de las leyes y reglamentaciones locales o si se hubiera afectado la solvencia o liquidez de la entidad financiera, o si se hubieran producido cambios significativos en la situación de la entidad desde que se otorgó la autorización original, o si las autoridades legales o societarias de la entidad financiera hubieran adoptado una decisión con respecto a su disolución, entre otras circunstancias establecidas en la </w:t>
      </w:r>
      <w:r w:rsidR="00A667F7" w:rsidRPr="00AE4E8D">
        <w:rPr>
          <w:lang w:val="es-ES"/>
        </w:rPr>
        <w:t>Ley de Entidades Financieras</w:t>
      </w:r>
      <w:r w:rsidRPr="00AE4E8D">
        <w:rPr>
          <w:lang w:val="es-ES"/>
        </w:rPr>
        <w:t>.</w:t>
      </w:r>
      <w:r w:rsidRPr="00AE4E8D">
        <w:rPr>
          <w:i/>
          <w:lang w:val="es-ES"/>
        </w:rPr>
        <w:t xml:space="preserve"> </w:t>
      </w:r>
      <w:r w:rsidRPr="00AE4E8D">
        <w:rPr>
          <w:lang w:val="es-ES"/>
        </w:rPr>
        <w:t xml:space="preserve">Asimismo, según la Comunicación “A” 5785, sanciones impuestas por el </w:t>
      </w:r>
      <w:r w:rsidR="002C3DEF" w:rsidRPr="00AE4E8D">
        <w:rPr>
          <w:lang w:val="es-ES"/>
        </w:rPr>
        <w:t>BCRA</w:t>
      </w:r>
      <w:r w:rsidRPr="00AE4E8D">
        <w:rPr>
          <w:lang w:val="es-ES"/>
        </w:rPr>
        <w:t xml:space="preserve">, la UIF, la </w:t>
      </w:r>
      <w:r w:rsidRPr="00AE4E8D">
        <w:rPr>
          <w:lang w:val="es-ES"/>
        </w:rPr>
        <w:lastRenderedPageBreak/>
        <w:t xml:space="preserve">CNV y/o la Superintendencia de Seguros de la Nación a entidades financieras y/o sus autoridades podrían resultar en la revocación de sus licencias para operar como entidad financiera. Tal revocación podrá tener lugar cuando, en opinión del Directorio de </w:t>
      </w:r>
      <w:r w:rsidR="002C3DEF" w:rsidRPr="00AE4E8D">
        <w:rPr>
          <w:lang w:val="es-ES"/>
        </w:rPr>
        <w:t>BCRA</w:t>
      </w:r>
      <w:r w:rsidRPr="00AE4E8D">
        <w:rPr>
          <w:lang w:val="es-ES"/>
        </w:rPr>
        <w:t>, se hubiera producido un cambio sustancial en las condiciones consideradas necesarias para mantener dicha licencia, incluidas aquéllas relacionadas con la idoneidad, experiencia, probidad e integridad moral de (i) los miembros del directorio de una entidad financiera (directores, consejeros o autoridades equivalentes), (ii) sus accionistas, (iii) los integrantes del consejo de vigilancia, y (iv) otros, como sus gerentes. A tales efectos, la Superintendencia de Entidades Financieras y Cambiarias también tomará en consideración las informaciones y/o sanciones comunicadas por entes de supervisión del exterior con facultades equivalentes. Para la ponderación de la significancia de las sanciones, se considerarán el tipo, motivo y monto de la sanción aplicada, el grado de participación en los hechos, la posible alteración del orden económico, la existencia de perjuicios ocasionados a terceros, el beneficio económico generado para el sancionado, su volumen operativo, su responsabilidad patrimonial y el cargo o función ejercida por las personas humanas que resulten involucradas.</w:t>
      </w:r>
    </w:p>
    <w:p w14:paraId="641DD86E" w14:textId="77777777" w:rsidR="002E07D5" w:rsidRPr="00AE4E8D" w:rsidRDefault="002E07D5" w:rsidP="000E1220">
      <w:pPr>
        <w:pStyle w:val="BHTexto"/>
        <w:rPr>
          <w:lang w:val="es-ES"/>
        </w:rPr>
      </w:pPr>
      <w:r w:rsidRPr="00AE4E8D">
        <w:rPr>
          <w:lang w:val="es-ES"/>
        </w:rPr>
        <w:t xml:space="preserve">Una vez que se haya revocado la licencia para operar como entidad financiera, ésta deberá ser liquidada. </w:t>
      </w:r>
    </w:p>
    <w:p w14:paraId="6804EFD1" w14:textId="77777777" w:rsidR="002E07D5" w:rsidRPr="00AE4E8D" w:rsidRDefault="002E07D5" w:rsidP="000E1220">
      <w:pPr>
        <w:pStyle w:val="BH4Cursiva"/>
        <w:rPr>
          <w:lang w:val="es-ES"/>
        </w:rPr>
      </w:pPr>
      <w:bookmarkStart w:id="682" w:name="_Toc430186278"/>
      <w:r w:rsidRPr="00AE4E8D">
        <w:rPr>
          <w:lang w:val="es-ES"/>
        </w:rPr>
        <w:t xml:space="preserve">Liquidación de </w:t>
      </w:r>
      <w:bookmarkEnd w:id="682"/>
      <w:r w:rsidRPr="00AE4E8D">
        <w:rPr>
          <w:lang w:val="es-ES"/>
        </w:rPr>
        <w:t>entidades financieras</w:t>
      </w:r>
    </w:p>
    <w:p w14:paraId="2071086F" w14:textId="77777777" w:rsidR="002E07D5" w:rsidRPr="00AE4E8D" w:rsidRDefault="002E07D5" w:rsidP="000E1220">
      <w:pPr>
        <w:pStyle w:val="BHTexto"/>
        <w:rPr>
          <w:lang w:val="es-ES"/>
        </w:rPr>
      </w:pPr>
      <w:r w:rsidRPr="00AE4E8D">
        <w:rPr>
          <w:lang w:val="es-ES"/>
        </w:rPr>
        <w:t xml:space="preserve">Según lo estipulado por la </w:t>
      </w:r>
      <w:r w:rsidR="00A667F7" w:rsidRPr="00AE4E8D">
        <w:rPr>
          <w:lang w:val="es-ES"/>
        </w:rPr>
        <w:t>Ley de Entidades Financieras</w:t>
      </w:r>
      <w:r w:rsidRPr="00AE4E8D">
        <w:rPr>
          <w:lang w:val="es-ES"/>
        </w:rPr>
        <w:t xml:space="preserve">, el </w:t>
      </w:r>
      <w:r w:rsidR="002C3DEF" w:rsidRPr="00AE4E8D">
        <w:rPr>
          <w:lang w:val="es-ES"/>
        </w:rPr>
        <w:t>BCRA</w:t>
      </w:r>
      <w:r w:rsidRPr="00AE4E8D">
        <w:rPr>
          <w:lang w:val="es-ES"/>
        </w:rPr>
        <w:t xml:space="preserve"> debe notificar la decisión de revocación, a un a un juez competente, que deberá determinar quién liquidará la entidad: las autoridades societarias (liquidación extrajudicial) o un liquidador independiente designado por el juez a tal fin (liquidación judicial). La decisión del juez deberá estar basada en la existencia o no de garantías suficientes en cuanto a que las autoridades societarias son capaces de llevar a cabo tal liquidación en forma adecuada.</w:t>
      </w:r>
    </w:p>
    <w:p w14:paraId="2B5D4632" w14:textId="77777777" w:rsidR="002E07D5" w:rsidRPr="00AE4E8D" w:rsidRDefault="002E07D5" w:rsidP="000E1220">
      <w:pPr>
        <w:pStyle w:val="BH4Cursiva"/>
        <w:rPr>
          <w:lang w:val="es-ES"/>
        </w:rPr>
      </w:pPr>
      <w:bookmarkStart w:id="683" w:name="_Toc430186279"/>
      <w:r w:rsidRPr="00AE4E8D">
        <w:rPr>
          <w:lang w:val="es-ES"/>
        </w:rPr>
        <w:t xml:space="preserve">Quiebra de </w:t>
      </w:r>
      <w:bookmarkEnd w:id="683"/>
      <w:r w:rsidRPr="00AE4E8D">
        <w:rPr>
          <w:lang w:val="es-ES"/>
        </w:rPr>
        <w:t>entidades financieras</w:t>
      </w:r>
    </w:p>
    <w:p w14:paraId="345AA4A9" w14:textId="77777777" w:rsidR="002E07D5" w:rsidRPr="00AE4E8D" w:rsidRDefault="002E07D5" w:rsidP="000E1220">
      <w:pPr>
        <w:pStyle w:val="BHTexto"/>
        <w:rPr>
          <w:lang w:val="es-ES"/>
        </w:rPr>
      </w:pPr>
      <w:r w:rsidRPr="00AE4E8D">
        <w:rPr>
          <w:lang w:val="es-ES"/>
        </w:rPr>
        <w:t xml:space="preserve">Conforme a la </w:t>
      </w:r>
      <w:r w:rsidR="00A667F7" w:rsidRPr="00AE4E8D">
        <w:rPr>
          <w:lang w:val="es-ES"/>
        </w:rPr>
        <w:t>Ley de Entidades Financieras</w:t>
      </w:r>
      <w:r w:rsidRPr="00AE4E8D">
        <w:rPr>
          <w:lang w:val="es-ES"/>
        </w:rPr>
        <w:t xml:space="preserve">, las entidades financieras no pueden presentar sus propios pedidos de quiebra. Además, la quiebra no debe declararse hasta tanto la licencia para operar como entidad financiera haya sido revocada. </w:t>
      </w:r>
    </w:p>
    <w:p w14:paraId="146BBF97" w14:textId="77777777" w:rsidR="002E07D5" w:rsidRPr="00AE4E8D" w:rsidRDefault="002E07D5" w:rsidP="000E1220">
      <w:pPr>
        <w:pStyle w:val="BHTexto"/>
        <w:rPr>
          <w:lang w:val="es-ES"/>
        </w:rPr>
      </w:pPr>
      <w:r w:rsidRPr="00AE4E8D">
        <w:rPr>
          <w:lang w:val="es-ES"/>
        </w:rPr>
        <w:t xml:space="preserve">Una vez que la licencia para operar como entidad financiera haya sido revocada, el juzgado comercial competente puede declarar en quiebra a la ex–entidad financiera o el </w:t>
      </w:r>
      <w:r w:rsidR="002C3DEF" w:rsidRPr="00AE4E8D">
        <w:rPr>
          <w:lang w:val="es-ES"/>
        </w:rPr>
        <w:t>BCRA</w:t>
      </w:r>
      <w:r w:rsidRPr="00AE4E8D">
        <w:rPr>
          <w:lang w:val="es-ES"/>
        </w:rPr>
        <w:t xml:space="preserve"> o cualquier acreedor del banco podrá presentar un pedido de quiebra después de que haya transcurrido un período de 60 días calendario desde que se revocó la licencia.</w:t>
      </w:r>
    </w:p>
    <w:p w14:paraId="04A1AF51" w14:textId="77777777" w:rsidR="002E07D5" w:rsidRPr="00AE4E8D" w:rsidRDefault="002E07D5" w:rsidP="000E1220">
      <w:pPr>
        <w:pStyle w:val="BHTexto"/>
        <w:rPr>
          <w:lang w:val="es-ES"/>
        </w:rPr>
      </w:pPr>
      <w:r w:rsidRPr="00AE4E8D">
        <w:rPr>
          <w:lang w:val="es-ES"/>
        </w:rPr>
        <w:t xml:space="preserve">Una vez declarada la quiebra de una entidad financiera, las disposiciones de la Ley N° 24.522 de Concursos y Quiebras y la </w:t>
      </w:r>
      <w:r w:rsidR="00A667F7" w:rsidRPr="00AE4E8D">
        <w:rPr>
          <w:lang w:val="es-ES"/>
        </w:rPr>
        <w:t>Ley de Entidades Financieras</w:t>
      </w:r>
      <w:r w:rsidRPr="00AE4E8D">
        <w:rPr>
          <w:lang w:val="es-ES"/>
        </w:rPr>
        <w:t xml:space="preserve"> serán aplicables, quedando establecido, sin embargo, que en ciertos casos, las disposiciones específicas de la </w:t>
      </w:r>
      <w:r w:rsidR="00A667F7" w:rsidRPr="00AE4E8D">
        <w:rPr>
          <w:lang w:val="es-ES"/>
        </w:rPr>
        <w:t>Ley de Entidades Financieras</w:t>
      </w:r>
      <w:r w:rsidRPr="00AE4E8D">
        <w:rPr>
          <w:lang w:val="es-ES"/>
        </w:rPr>
        <w:t xml:space="preserve"> reemplazarán disposiciones de la Ley N° 24.522 de Concursos y Quiebras (por ejemplo, en cuanto a los privilegios de los depositantes). </w:t>
      </w:r>
    </w:p>
    <w:p w14:paraId="49CF7763" w14:textId="77777777" w:rsidR="002E07D5" w:rsidRPr="00AE4E8D" w:rsidRDefault="002E07D5" w:rsidP="000E1220">
      <w:pPr>
        <w:pStyle w:val="BH4Cursiva"/>
        <w:rPr>
          <w:rFonts w:eastAsia="MS Mincho"/>
          <w:lang w:val="es-ES"/>
        </w:rPr>
      </w:pPr>
      <w:bookmarkStart w:id="684" w:name="_Toc430186280"/>
      <w:r w:rsidRPr="00AE4E8D">
        <w:rPr>
          <w:rFonts w:eastAsia="MS Mincho"/>
          <w:lang w:val="es-ES"/>
        </w:rPr>
        <w:t xml:space="preserve">Fusión, consolidación y transferencia de </w:t>
      </w:r>
      <w:bookmarkEnd w:id="684"/>
      <w:r w:rsidRPr="00AE4E8D">
        <w:rPr>
          <w:rFonts w:eastAsia="MS Mincho"/>
          <w:lang w:val="es-ES"/>
        </w:rPr>
        <w:t>fondo de comercio</w:t>
      </w:r>
    </w:p>
    <w:p w14:paraId="3723FD50" w14:textId="77777777" w:rsidR="002E07D5" w:rsidRPr="00AE4E8D" w:rsidRDefault="002E07D5" w:rsidP="000E1220">
      <w:pPr>
        <w:pStyle w:val="BHTexto"/>
        <w:rPr>
          <w:lang w:val="es-ES"/>
        </w:rPr>
      </w:pPr>
      <w:r w:rsidRPr="00AE4E8D">
        <w:rPr>
          <w:lang w:val="es-ES"/>
        </w:rPr>
        <w:t xml:space="preserve">La fusión, consolidación y transferencia de fondo de comercio podrá ser dispuesta entre entidades del mismo o de diferente tipo y estará sujeta a la previa aprobación del </w:t>
      </w:r>
      <w:r w:rsidR="002C3DEF" w:rsidRPr="00AE4E8D">
        <w:rPr>
          <w:lang w:val="es-ES"/>
        </w:rPr>
        <w:t>BCRA</w:t>
      </w:r>
      <w:r w:rsidRPr="00AE4E8D">
        <w:rPr>
          <w:lang w:val="es-ES"/>
        </w:rPr>
        <w:t xml:space="preserve">. La nueva entidad deberá presentar un perfil de estructura económico-financiera que respalde el proyecto a fin de obtener autorización del </w:t>
      </w:r>
      <w:r w:rsidR="002C3DEF" w:rsidRPr="00AE4E8D">
        <w:rPr>
          <w:lang w:val="es-ES"/>
        </w:rPr>
        <w:t>BCRA</w:t>
      </w:r>
      <w:r w:rsidRPr="00AE4E8D">
        <w:rPr>
          <w:lang w:val="es-ES"/>
        </w:rPr>
        <w:t>.</w:t>
      </w:r>
    </w:p>
    <w:p w14:paraId="7AB9B290" w14:textId="77777777" w:rsidR="002E07D5" w:rsidRPr="00AE4E8D" w:rsidRDefault="002E07D5" w:rsidP="000E1220">
      <w:pPr>
        <w:pStyle w:val="BH4Cursiva"/>
        <w:rPr>
          <w:rFonts w:eastAsia="MS Mincho"/>
          <w:lang w:val="es-ES"/>
        </w:rPr>
      </w:pPr>
      <w:bookmarkStart w:id="685" w:name="_Toc430186281"/>
      <w:r w:rsidRPr="00AE4E8D">
        <w:rPr>
          <w:rFonts w:eastAsia="MS Mincho"/>
          <w:lang w:val="es-ES"/>
        </w:rPr>
        <w:t>Unidad de Reestructuración del Sistema Financiero</w:t>
      </w:r>
      <w:bookmarkEnd w:id="685"/>
    </w:p>
    <w:p w14:paraId="4104299C" w14:textId="77777777" w:rsidR="002E07D5" w:rsidRPr="00AE4E8D" w:rsidRDefault="002E07D5" w:rsidP="000E1220">
      <w:pPr>
        <w:pStyle w:val="BHTexto"/>
        <w:rPr>
          <w:lang w:val="es-ES"/>
        </w:rPr>
      </w:pPr>
      <w:r w:rsidRPr="00AE4E8D">
        <w:rPr>
          <w:lang w:val="es-ES"/>
        </w:rPr>
        <w:t xml:space="preserve">La Unidad de Reestructuración del Sistema Financiero fue creada para supervisar la instrumentación del enfoque estratégico de aquellos bancos que cuentan con asistencia brindada por el </w:t>
      </w:r>
      <w:r w:rsidR="002C3DEF" w:rsidRPr="00AE4E8D">
        <w:rPr>
          <w:lang w:val="es-ES"/>
        </w:rPr>
        <w:t>BCRA</w:t>
      </w:r>
      <w:r w:rsidRPr="00AE4E8D">
        <w:rPr>
          <w:lang w:val="es-ES"/>
        </w:rPr>
        <w:t xml:space="preserve">. Esta unidad está encargada de reprogramar vencimientos, determinar estrategias de reestructuración y planes de acción, aprobar planes de transformación, y acelerar la amortización de los redescuentos otorgados por el </w:t>
      </w:r>
      <w:r w:rsidR="00CB5660" w:rsidRPr="00AE4E8D">
        <w:rPr>
          <w:lang w:val="es-ES"/>
        </w:rPr>
        <w:t>BCRA</w:t>
      </w:r>
      <w:r w:rsidRPr="00AE4E8D">
        <w:rPr>
          <w:lang w:val="es-ES"/>
        </w:rPr>
        <w:t>.</w:t>
      </w:r>
    </w:p>
    <w:p w14:paraId="57BD23B5" w14:textId="77777777" w:rsidR="00141F92" w:rsidRPr="00AE4E8D" w:rsidRDefault="00CB5660" w:rsidP="00141F92">
      <w:pPr>
        <w:autoSpaceDE w:val="0"/>
        <w:autoSpaceDN w:val="0"/>
        <w:adjustRightInd w:val="0"/>
        <w:spacing w:before="240" w:after="240"/>
        <w:jc w:val="center"/>
        <w:outlineLvl w:val="0"/>
        <w:rPr>
          <w:rFonts w:ascii="Times New Roman" w:hAnsi="Times New Roman"/>
          <w:b/>
          <w:caps/>
          <w:lang w:val="es-ES" w:eastAsia="es-AR"/>
        </w:rPr>
      </w:pPr>
      <w:bookmarkStart w:id="686" w:name="_DV_M3326"/>
      <w:bookmarkStart w:id="687" w:name="_DV_M3328"/>
      <w:bookmarkStart w:id="688" w:name="_DV_M3332"/>
      <w:bookmarkStart w:id="689" w:name="_DV_M3354"/>
      <w:bookmarkStart w:id="690" w:name="_DV_M3355"/>
      <w:bookmarkStart w:id="691" w:name="_DV_M3359"/>
      <w:bookmarkStart w:id="692" w:name="_DV_M3360"/>
      <w:bookmarkStart w:id="693" w:name="_DV_M3364"/>
      <w:bookmarkStart w:id="694" w:name="_DV_M3365"/>
      <w:bookmarkStart w:id="695" w:name="_DV_M3368"/>
      <w:bookmarkStart w:id="696" w:name="_DV_M3372"/>
      <w:bookmarkStart w:id="697" w:name="_DV_M3379"/>
      <w:bookmarkStart w:id="698" w:name="_Toc421201488"/>
      <w:bookmarkStart w:id="699" w:name="_Toc421201500"/>
      <w:bookmarkEnd w:id="658"/>
      <w:bookmarkEnd w:id="686"/>
      <w:bookmarkEnd w:id="687"/>
      <w:bookmarkEnd w:id="688"/>
      <w:bookmarkEnd w:id="689"/>
      <w:bookmarkEnd w:id="690"/>
      <w:bookmarkEnd w:id="691"/>
      <w:bookmarkEnd w:id="692"/>
      <w:bookmarkEnd w:id="693"/>
      <w:bookmarkEnd w:id="694"/>
      <w:bookmarkEnd w:id="695"/>
      <w:bookmarkEnd w:id="696"/>
      <w:bookmarkEnd w:id="697"/>
      <w:r w:rsidRPr="00AE4E8D">
        <w:rPr>
          <w:rFonts w:ascii="Times New Roman" w:hAnsi="Times New Roman"/>
          <w:b/>
          <w:highlight w:val="cyan"/>
          <w:lang w:val="es-ES" w:eastAsia="es-AR"/>
        </w:rPr>
        <w:br w:type="page"/>
      </w:r>
      <w:bookmarkStart w:id="700" w:name="_Toc449010438"/>
      <w:bookmarkStart w:id="701" w:name="_Toc487734747"/>
      <w:bookmarkStart w:id="702" w:name="_Toc495973050"/>
      <w:bookmarkStart w:id="703" w:name="_Toc495399957"/>
      <w:bookmarkEnd w:id="698"/>
      <w:r w:rsidR="00141F92" w:rsidRPr="00AE4E8D">
        <w:rPr>
          <w:rFonts w:ascii="Times New Roman" w:hAnsi="Times New Roman"/>
          <w:b/>
          <w:lang w:val="es-ES" w:eastAsia="es-AR"/>
        </w:rPr>
        <w:lastRenderedPageBreak/>
        <w:t>EL SISTEMA ARGENTINO DE SEGUROS Y SU REGLAMENTACIÓN</w:t>
      </w:r>
      <w:bookmarkEnd w:id="700"/>
      <w:bookmarkEnd w:id="701"/>
      <w:bookmarkEnd w:id="702"/>
      <w:bookmarkEnd w:id="703"/>
    </w:p>
    <w:p w14:paraId="0E0FAF06" w14:textId="77777777" w:rsidR="00141F92" w:rsidRPr="00AE4E8D" w:rsidRDefault="00141F92" w:rsidP="00141F92">
      <w:pPr>
        <w:pStyle w:val="BHTexto"/>
        <w:rPr>
          <w:i/>
          <w:lang w:val="es-ES"/>
        </w:rPr>
      </w:pPr>
      <w:r w:rsidRPr="00AE4E8D">
        <w:rPr>
          <w:i/>
          <w:lang w:val="es-ES"/>
        </w:rPr>
        <w:t>A continuación se presenta un resumen de algunos asuntos vinculados con el sistema argentino de seguros, incluyendo disposiciones de leyes y reglamentaciones aplicables a las compañías de seguros en la Argentina. Este resumen no pretende constituir un análisis completo de todas las leyes y reglamentaciones aplicables a las compañías de seguros en la Argentina. Se aconseja a los potenciales inversores en las Obligaciones Negociables consultar a sus asesores legales para obtener un análisis más detallado al respecto.</w:t>
      </w:r>
    </w:p>
    <w:p w14:paraId="0ABA2B9C" w14:textId="77777777" w:rsidR="00141F92" w:rsidRPr="00AE4E8D" w:rsidRDefault="00141F92" w:rsidP="00141F92">
      <w:pPr>
        <w:keepNext/>
        <w:autoSpaceDE w:val="0"/>
        <w:autoSpaceDN w:val="0"/>
        <w:adjustRightInd w:val="0"/>
        <w:spacing w:before="240" w:after="240"/>
        <w:outlineLvl w:val="1"/>
        <w:rPr>
          <w:rFonts w:ascii="Times New Roman" w:hAnsi="Times New Roman"/>
          <w:b/>
          <w:lang w:val="es-ES"/>
        </w:rPr>
      </w:pPr>
      <w:bookmarkStart w:id="704" w:name="_Toc421201489"/>
      <w:bookmarkStart w:id="705" w:name="_Toc495973051"/>
      <w:bookmarkStart w:id="706" w:name="_Toc495399958"/>
      <w:r w:rsidRPr="00AE4E8D">
        <w:rPr>
          <w:rFonts w:ascii="Times New Roman" w:hAnsi="Times New Roman"/>
          <w:b/>
          <w:lang w:val="es-ES"/>
        </w:rPr>
        <w:t>La Industria de Seguros</w:t>
      </w:r>
      <w:bookmarkEnd w:id="704"/>
      <w:bookmarkEnd w:id="705"/>
      <w:bookmarkEnd w:id="706"/>
    </w:p>
    <w:p w14:paraId="2327BC84" w14:textId="77777777" w:rsidR="00141F92" w:rsidRPr="00AE4E8D" w:rsidRDefault="00141F92" w:rsidP="00141F92">
      <w:pPr>
        <w:pStyle w:val="BHTexto"/>
        <w:rPr>
          <w:lang w:val="es-ES"/>
        </w:rPr>
      </w:pPr>
      <w:r w:rsidRPr="00AE4E8D">
        <w:rPr>
          <w:lang w:val="es-ES"/>
        </w:rPr>
        <w:t>El total de entidades aseguradoras existentes asciende a 184, de las cuales 16 se desempeñan en Seguros de Retiro, 37 exclusivamente en Vida (incluye: Colectivo, Individual, Previsional, Salud, Accidentes Personales y Sepelios), 15 con exclusividad en Riesgos del Trabajo y 5 en Transporte Público de Pasajeros. Las restantes 111 entidades se dedican a operaciones de otros Seguros de Daños Patrimoniales, o hacen operaciones “Mixtas” (es decir que cubren tanto Seguros Patrimoniales como de Personas).</w:t>
      </w:r>
    </w:p>
    <w:p w14:paraId="4677DA50" w14:textId="77777777" w:rsidR="00141F92" w:rsidRPr="00AE4E8D" w:rsidRDefault="00141F92" w:rsidP="00141F92">
      <w:pPr>
        <w:pStyle w:val="BHTexto"/>
        <w:rPr>
          <w:lang w:val="es-ES"/>
        </w:rPr>
      </w:pPr>
      <w:r w:rsidRPr="00AE4E8D">
        <w:rPr>
          <w:lang w:val="es-ES"/>
        </w:rPr>
        <w:t>El mercado de reaseguros opera con 28 reaseguradoras locales. La composición del mercado está formada por 19 entidades nacionales y 9 sucursales de entidades extranjeras. Por otra parte, 4 entidades aseguradoras están autorizadas a operar en reaseguro activos. El mercado reasegurador se complementa con 77 Reaseguradoras Admitidas.</w:t>
      </w:r>
    </w:p>
    <w:p w14:paraId="7EFEF80A" w14:textId="77777777" w:rsidR="00141F92" w:rsidRPr="00AE4E8D" w:rsidRDefault="00141F92" w:rsidP="00141F92">
      <w:pPr>
        <w:pStyle w:val="BHTexto"/>
        <w:rPr>
          <w:lang w:val="es-ES"/>
        </w:rPr>
      </w:pPr>
      <w:r w:rsidRPr="00AE4E8D">
        <w:rPr>
          <w:lang w:val="es-ES"/>
        </w:rPr>
        <w:t>La intermediación en el mercado se encuentra en manos de los asesores productores de seguros (personas físicas y jurídicas) y los intermediarios de reaseguros que en total alcanzan los 31.600 agentes. Los Productores individuales son 31.016, mientras que la cifra de Sociedades habilitadas asciende a 562.</w:t>
      </w:r>
    </w:p>
    <w:p w14:paraId="167E94B1" w14:textId="77777777" w:rsidR="00141F92" w:rsidRPr="00AE4E8D" w:rsidRDefault="00141F92" w:rsidP="00141F92">
      <w:pPr>
        <w:pStyle w:val="BHTexto"/>
        <w:rPr>
          <w:lang w:val="es-ES"/>
        </w:rPr>
      </w:pPr>
      <w:r w:rsidRPr="00AE4E8D">
        <w:rPr>
          <w:lang w:val="es-ES"/>
        </w:rPr>
        <w:t>La cantidad de empleados de las aseguradoras registra un paulatino incremento alcanzando en la actualidad los 30.300 empleados.</w:t>
      </w:r>
    </w:p>
    <w:p w14:paraId="111B03ED" w14:textId="77777777" w:rsidR="00141F92" w:rsidRPr="00AE4E8D" w:rsidRDefault="006B3F93" w:rsidP="00141F92">
      <w:pPr>
        <w:pStyle w:val="BHTexto"/>
        <w:rPr>
          <w:lang w:val="es-ES"/>
        </w:rPr>
      </w:pPr>
      <w:r w:rsidRPr="00AE4E8D">
        <w:rPr>
          <w:lang w:val="es-ES"/>
        </w:rPr>
        <w:t>Durante el 2016, l</w:t>
      </w:r>
      <w:r w:rsidR="00141F92" w:rsidRPr="00AE4E8D">
        <w:rPr>
          <w:lang w:val="es-ES"/>
        </w:rPr>
        <w:t xml:space="preserve">a producción del Mercado Asegurador ascendió a los </w:t>
      </w:r>
      <w:r w:rsidR="002942A2" w:rsidRPr="00AE4E8D">
        <w:rPr>
          <w:lang w:val="es-ES"/>
        </w:rPr>
        <w:t>Ps.</w:t>
      </w:r>
      <w:r w:rsidR="00141F92" w:rsidRPr="00AE4E8D">
        <w:rPr>
          <w:lang w:val="es-ES"/>
        </w:rPr>
        <w:t>153.000 millones</w:t>
      </w:r>
      <w:r w:rsidR="002942A2" w:rsidRPr="00AE4E8D">
        <w:rPr>
          <w:lang w:val="es-ES"/>
        </w:rPr>
        <w:t>,</w:t>
      </w:r>
      <w:r w:rsidR="00141F92" w:rsidRPr="00AE4E8D">
        <w:rPr>
          <w:lang w:val="es-ES"/>
        </w:rPr>
        <w:t xml:space="preserve"> de los cuales más del 82% corresponden a los Seguros de Daños Patrimoniales, y el resto a los Seguros de Personas. Los Seguros Automotores alcanza</w:t>
      </w:r>
      <w:r w:rsidR="00C91B06" w:rsidRPr="00AE4E8D">
        <w:rPr>
          <w:lang w:val="es-ES"/>
        </w:rPr>
        <w:t>ron</w:t>
      </w:r>
      <w:r w:rsidR="00141F92" w:rsidRPr="00AE4E8D">
        <w:rPr>
          <w:lang w:val="es-ES"/>
        </w:rPr>
        <w:t xml:space="preserve"> </w:t>
      </w:r>
      <w:r w:rsidR="00C91B06" w:rsidRPr="00AE4E8D">
        <w:rPr>
          <w:lang w:val="es-ES"/>
        </w:rPr>
        <w:t xml:space="preserve">aproximadamente </w:t>
      </w:r>
      <w:r w:rsidR="00141F92" w:rsidRPr="00AE4E8D">
        <w:rPr>
          <w:lang w:val="es-ES"/>
        </w:rPr>
        <w:t xml:space="preserve">los </w:t>
      </w:r>
      <w:r w:rsidR="00C91B06" w:rsidRPr="00AE4E8D">
        <w:rPr>
          <w:lang w:val="es-ES"/>
        </w:rPr>
        <w:t>Ps.</w:t>
      </w:r>
      <w:r w:rsidR="00141F92" w:rsidRPr="00AE4E8D">
        <w:rPr>
          <w:lang w:val="es-ES"/>
        </w:rPr>
        <w:t xml:space="preserve">55.000 millones (un 23% más respecto al </w:t>
      </w:r>
      <w:r w:rsidR="00C91B06" w:rsidRPr="00AE4E8D">
        <w:rPr>
          <w:lang w:val="es-ES"/>
        </w:rPr>
        <w:t>2015</w:t>
      </w:r>
      <w:r w:rsidR="00141F92" w:rsidRPr="00AE4E8D">
        <w:rPr>
          <w:lang w:val="es-ES"/>
        </w:rPr>
        <w:t>), seguido por el ramo Riesgos del Trabajo con un volumen producido de más de 43.000 millones de pesos. Respecto a los seguros de Personas, la principal operatoria se registró en el ramo Vida colectivo, con una operatoria que alcanzó los 17.600 millones de pesos y se incrementó un 17% respecto al año anterior.</w:t>
      </w:r>
    </w:p>
    <w:p w14:paraId="5472425C" w14:textId="77777777" w:rsidR="00141F92" w:rsidRPr="00AE4E8D" w:rsidRDefault="00141F92" w:rsidP="00141F92">
      <w:pPr>
        <w:pStyle w:val="BHTexto"/>
        <w:rPr>
          <w:lang w:val="es-ES"/>
        </w:rPr>
      </w:pPr>
      <w:r w:rsidRPr="00AE4E8D">
        <w:rPr>
          <w:lang w:val="es-ES"/>
        </w:rPr>
        <w:t xml:space="preserve">El sector opera con un Activo total de </w:t>
      </w:r>
      <w:r w:rsidR="00C91B06" w:rsidRPr="00AE4E8D">
        <w:rPr>
          <w:lang w:val="es-ES"/>
        </w:rPr>
        <w:t>aproximadamente Ps.</w:t>
      </w:r>
      <w:r w:rsidRPr="00AE4E8D">
        <w:rPr>
          <w:lang w:val="es-ES"/>
        </w:rPr>
        <w:t>230</w:t>
      </w:r>
      <w:r w:rsidR="00C91B06" w:rsidRPr="00AE4E8D">
        <w:rPr>
          <w:lang w:val="es-ES"/>
        </w:rPr>
        <w:t>.000</w:t>
      </w:r>
      <w:r w:rsidRPr="00AE4E8D">
        <w:rPr>
          <w:lang w:val="es-ES"/>
        </w:rPr>
        <w:t xml:space="preserve"> millones y un Pasivo cercano a los </w:t>
      </w:r>
      <w:r w:rsidR="00C91B06" w:rsidRPr="00AE4E8D">
        <w:rPr>
          <w:lang w:val="es-ES"/>
        </w:rPr>
        <w:t>Ps.</w:t>
      </w:r>
      <w:r w:rsidRPr="00AE4E8D">
        <w:rPr>
          <w:lang w:val="es-ES"/>
        </w:rPr>
        <w:t>183</w:t>
      </w:r>
      <w:r w:rsidR="00C91B06" w:rsidRPr="00AE4E8D">
        <w:rPr>
          <w:lang w:val="es-ES"/>
        </w:rPr>
        <w:t>.000</w:t>
      </w:r>
      <w:r w:rsidRPr="00AE4E8D">
        <w:rPr>
          <w:lang w:val="es-ES"/>
        </w:rPr>
        <w:t xml:space="preserve"> millones, que reflejan un Patrimonio Neto total superior a los </w:t>
      </w:r>
      <w:r w:rsidR="00C91B06" w:rsidRPr="00AE4E8D">
        <w:rPr>
          <w:lang w:val="es-ES"/>
        </w:rPr>
        <w:t>Ps.</w:t>
      </w:r>
      <w:r w:rsidRPr="00AE4E8D">
        <w:rPr>
          <w:lang w:val="es-ES"/>
        </w:rPr>
        <w:t>46</w:t>
      </w:r>
      <w:r w:rsidR="00C91B06" w:rsidRPr="00AE4E8D">
        <w:rPr>
          <w:lang w:val="es-ES"/>
        </w:rPr>
        <w:t>.</w:t>
      </w:r>
      <w:r w:rsidRPr="00AE4E8D">
        <w:rPr>
          <w:lang w:val="es-ES"/>
        </w:rPr>
        <w:t>6</w:t>
      </w:r>
      <w:r w:rsidR="00C91B06" w:rsidRPr="00AE4E8D">
        <w:rPr>
          <w:lang w:val="es-ES"/>
        </w:rPr>
        <w:t>00</w:t>
      </w:r>
      <w:r w:rsidRPr="00AE4E8D">
        <w:rPr>
          <w:lang w:val="es-ES"/>
        </w:rPr>
        <w:t xml:space="preserve"> millones. Toda la estructura muestra un incremento del orden del 16% respecto al año anterior.</w:t>
      </w:r>
      <w:r w:rsidR="004F4C9E" w:rsidRPr="00AE4E8D">
        <w:rPr>
          <w:lang w:val="es-ES"/>
        </w:rPr>
        <w:t xml:space="preserve"> </w:t>
      </w:r>
    </w:p>
    <w:p w14:paraId="3E68A428" w14:textId="77777777" w:rsidR="00141F92" w:rsidRPr="00AE4E8D" w:rsidRDefault="00141F92" w:rsidP="00141F92">
      <w:pPr>
        <w:keepNext/>
        <w:autoSpaceDE w:val="0"/>
        <w:autoSpaceDN w:val="0"/>
        <w:adjustRightInd w:val="0"/>
        <w:spacing w:before="240" w:after="240"/>
        <w:outlineLvl w:val="1"/>
        <w:rPr>
          <w:rFonts w:ascii="Times New Roman" w:hAnsi="Times New Roman"/>
          <w:b/>
          <w:lang w:val="es-ES"/>
        </w:rPr>
      </w:pPr>
      <w:bookmarkStart w:id="707" w:name="_Toc421201490"/>
      <w:bookmarkStart w:id="708" w:name="_Toc495973052"/>
      <w:bookmarkStart w:id="709" w:name="_Toc495399959"/>
      <w:r w:rsidRPr="00AE4E8D">
        <w:rPr>
          <w:rFonts w:ascii="Times New Roman" w:hAnsi="Times New Roman"/>
          <w:b/>
          <w:lang w:val="es-ES"/>
        </w:rPr>
        <w:t>Superintendencia de Seguros de la Nación</w:t>
      </w:r>
      <w:bookmarkEnd w:id="707"/>
      <w:bookmarkEnd w:id="708"/>
      <w:bookmarkEnd w:id="709"/>
    </w:p>
    <w:p w14:paraId="4F6E591D"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Las actividades de las compañías de seguros de la Argentina están reguladas por la Ley N°20.091 de Compañías de Seguros, con sus modificaciones y reglamentación (la "</w:t>
      </w:r>
      <w:r w:rsidRPr="00AE4E8D">
        <w:rPr>
          <w:rFonts w:ascii="Times New Roman" w:hAnsi="Times New Roman"/>
          <w:u w:val="single"/>
          <w:lang w:val="es-ES"/>
        </w:rPr>
        <w:t>Ley de Compañías de Seguros</w:t>
      </w:r>
      <w:r w:rsidRPr="00AE4E8D">
        <w:rPr>
          <w:rFonts w:ascii="Times New Roman" w:hAnsi="Times New Roman"/>
          <w:lang w:val="es-ES"/>
        </w:rPr>
        <w:t>"), y por reglamentaciones emitidas por la Superintendencia de Seguros. La Superintendencia de Seguros es la autoridad regulatoria y supervisora de las compañías de seguros y productores asesores de seguros de la Argentina. Las compañías de seguros deben presentar sus estados contables anuales y trimestrales y proporcionar a la Superintendencia de Seguros un análisis detallado y completo de su situación financiera. Además, la Superintendencia de Seguros realiza inspecciones periódicas de las actividades de las compañías de seguros. Las facultades de supervisión de la Superintendencia de Seguros incluyen:</w:t>
      </w:r>
    </w:p>
    <w:p w14:paraId="575D8B6B" w14:textId="77777777" w:rsidR="00141F92" w:rsidRPr="00AE4E8D" w:rsidRDefault="00141F92" w:rsidP="00D43A0B">
      <w:pPr>
        <w:pStyle w:val="BHTexto"/>
        <w:numPr>
          <w:ilvl w:val="0"/>
          <w:numId w:val="117"/>
        </w:numPr>
        <w:rPr>
          <w:lang w:val="es-ES"/>
        </w:rPr>
      </w:pPr>
      <w:r w:rsidRPr="00AE4E8D">
        <w:rPr>
          <w:lang w:val="es-ES"/>
        </w:rPr>
        <w:t>autorizar compañías de seguros para operar en ramos específicos y planes de seguros así como los términos y condiciones de sus pólizas;</w:t>
      </w:r>
    </w:p>
    <w:p w14:paraId="3ABA7890" w14:textId="77777777" w:rsidR="00141F92" w:rsidRPr="00AE4E8D" w:rsidRDefault="00141F92" w:rsidP="00D43A0B">
      <w:pPr>
        <w:pStyle w:val="BHTexto"/>
        <w:numPr>
          <w:ilvl w:val="0"/>
          <w:numId w:val="117"/>
        </w:numPr>
        <w:rPr>
          <w:lang w:val="es-ES"/>
        </w:rPr>
      </w:pPr>
      <w:r w:rsidRPr="00AE4E8D">
        <w:rPr>
          <w:lang w:val="es-ES"/>
        </w:rPr>
        <w:t>aprobar los estatutos de tales empresas;</w:t>
      </w:r>
    </w:p>
    <w:p w14:paraId="1EB00D59" w14:textId="77777777" w:rsidR="00141F92" w:rsidRPr="00AE4E8D" w:rsidRDefault="00141F92" w:rsidP="00D43A0B">
      <w:pPr>
        <w:pStyle w:val="BHTexto"/>
        <w:numPr>
          <w:ilvl w:val="0"/>
          <w:numId w:val="117"/>
        </w:numPr>
        <w:rPr>
          <w:lang w:val="es-ES"/>
        </w:rPr>
      </w:pPr>
      <w:r w:rsidRPr="00AE4E8D">
        <w:rPr>
          <w:lang w:val="es-ES"/>
        </w:rPr>
        <w:t>evaluar la solvencia y experiencia en materia de seguros de los accionistas, directores y síndicos de las compañías de seguros; determinar, con criterios generales y uniformes, los requisitos de capital y reserva mínimos; supervisar la situación financiera de las compañías de seguros; regular las categorías y montos de inversiones permitidas a las compañías de seguros; autorizar las fusiones de las compañías de seguros y la cesión de carteras; y</w:t>
      </w:r>
    </w:p>
    <w:p w14:paraId="62FCCB6C" w14:textId="77777777" w:rsidR="00141F92" w:rsidRPr="00AE4E8D" w:rsidRDefault="00141F92" w:rsidP="00D43A0B">
      <w:pPr>
        <w:pStyle w:val="BHTexto"/>
        <w:numPr>
          <w:ilvl w:val="0"/>
          <w:numId w:val="117"/>
        </w:numPr>
        <w:rPr>
          <w:lang w:val="es-ES"/>
        </w:rPr>
      </w:pPr>
      <w:r w:rsidRPr="00AE4E8D">
        <w:rPr>
          <w:lang w:val="es-ES"/>
        </w:rPr>
        <w:lastRenderedPageBreak/>
        <w:t>imponer multas a las compañías de seguro o de suspender o revocar sus licencias; y supervisar la liquidación de las compañías de seguros.</w:t>
      </w:r>
    </w:p>
    <w:p w14:paraId="1714E200"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De conformidad con la Ley de Compañías de Seguros, solamente las compañías de seguros (sean nacionales o extranjeras) a las que la Superintendencia de Seguros ha otorgado licencias están facultadas para llevar a cabo actividades de seguros en la Argentina. Estas compañías pueden ser: (i) entidades argentinas privadas, en la forma de sociedades anónimas, sociedades cooperativas o sociedades de seguros mutuos; (ii) sucursales u oficinas de representación de sociedades extranjeras del tipo descripto en (i) precedente; o (iii) entidades gubernamentales federales, provinciales o municipales. La ley de Privatización, sin embargo, nos permitió explícitamente brindar seguros por riesgos asociados con nuestras actividades de préstamo hasta agosto de 2007.</w:t>
      </w:r>
    </w:p>
    <w:p w14:paraId="172EE5D5"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Con vigencia al 1 de octubre de 1998, la Superintendencia de Seguros permitió la incorporación de nuevas compañías de seguros. La emisión de nuevas licencias estuvo suspendida entre 1977 y 1994, y solamente se permitió en circunstancias limitadas desde 1994.</w:t>
      </w:r>
    </w:p>
    <w:p w14:paraId="7D33C8F5"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transferencia de acciones de compañías de seguros nacionales está sujeta a la aprobación de la Superintendencia de Seguros. No existen restricciones sobre la titularidad extranjera de compañías de seguros locales. Las últimas reglamentaciones emitidas requieren que las sociedades recientemente constituidas suministren información específica sobre los accionistas de la sociedad.</w:t>
      </w:r>
    </w:p>
    <w:p w14:paraId="46B16221"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Asimismo, las personas, propiedades y cualquier interés asegurable ubicado dentro de la Argentina no pueden estar asegurados por compañías de seguros no aprobadas por la Superintendencia de Seguros. Las pólizas de seguros emitidas en violación de este requisito tendrán como consecuencia que el asegurado, y el corredor queden sujetos a multas de hasta 25 veces la suma de la prima.</w:t>
      </w:r>
    </w:p>
    <w:p w14:paraId="1E0E6109" w14:textId="77777777" w:rsidR="00141F92" w:rsidRPr="00AE4E8D" w:rsidRDefault="00141F92" w:rsidP="00141F92">
      <w:pPr>
        <w:keepNext/>
        <w:autoSpaceDE w:val="0"/>
        <w:autoSpaceDN w:val="0"/>
        <w:adjustRightInd w:val="0"/>
        <w:spacing w:before="240" w:after="240"/>
        <w:outlineLvl w:val="1"/>
        <w:rPr>
          <w:rFonts w:ascii="Times New Roman" w:hAnsi="Times New Roman"/>
          <w:b/>
          <w:lang w:val="es-ES"/>
        </w:rPr>
      </w:pPr>
      <w:bookmarkStart w:id="710" w:name="_Toc421201491"/>
      <w:bookmarkStart w:id="711" w:name="_Toc495973053"/>
      <w:bookmarkStart w:id="712" w:name="_Toc495399960"/>
      <w:r w:rsidRPr="00AE4E8D">
        <w:rPr>
          <w:rFonts w:ascii="Times New Roman" w:hAnsi="Times New Roman"/>
          <w:b/>
          <w:lang w:val="es-ES"/>
        </w:rPr>
        <w:t>Reservas Requeridas</w:t>
      </w:r>
      <w:bookmarkEnd w:id="710"/>
      <w:bookmarkEnd w:id="711"/>
      <w:bookmarkEnd w:id="712"/>
    </w:p>
    <w:p w14:paraId="28AD4FF7"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Superintendencia de Seguros requiere que las compañías que lleven a cabo operaciones de seguros, incluyéndonos, mantengan determinadas reservas, según sus líneas de actividad y de las pólizas emitidas. Las reservas se determinan principalmente conforme a dos criterios, siniestros y primas.</w:t>
      </w:r>
    </w:p>
    <w:p w14:paraId="1BE18B54"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Las reservas relacionadas con siniestros tienen dos formas: ocurrencia y "siniestros informados pero no registrados" ("</w:t>
      </w:r>
      <w:r w:rsidRPr="00AE4E8D">
        <w:rPr>
          <w:rFonts w:ascii="Times New Roman" w:hAnsi="Times New Roman"/>
          <w:u w:val="single"/>
          <w:lang w:val="es-ES"/>
        </w:rPr>
        <w:t>IPNR</w:t>
      </w:r>
      <w:r w:rsidRPr="00AE4E8D">
        <w:rPr>
          <w:rFonts w:ascii="Times New Roman" w:hAnsi="Times New Roman"/>
          <w:lang w:val="es-ES"/>
        </w:rPr>
        <w:t>"). La reserva por ocurrencia se relaciona con siniestros presentados pero que no han sido aún pagados, y se basa en una estimación razonable de los futuros montos a pagar en base al conocimiento que la compañía de seguros tenga de los siniestros informados por sus asegurados. La reserva por IPNR tiene por objeto contabilizar los siniestros presentados que no han sido registrados en los registros contables de la sociedad. Esta reserva puede estimarse en base a la información histórica o a la revisión posterior, si fuera posible. Las compañías de seguros argentinas, incluyéndonos, emplean una tercera forma de reservas relacionadas con siniestros, para "responsabilidad incurrida pero no informada" ("</w:t>
      </w:r>
      <w:r w:rsidRPr="00AE4E8D">
        <w:rPr>
          <w:rFonts w:ascii="Times New Roman" w:hAnsi="Times New Roman"/>
          <w:u w:val="single"/>
          <w:lang w:val="es-ES"/>
        </w:rPr>
        <w:t>IPNI</w:t>
      </w:r>
      <w:r w:rsidRPr="00AE4E8D">
        <w:rPr>
          <w:rFonts w:ascii="Times New Roman" w:hAnsi="Times New Roman"/>
          <w:lang w:val="es-ES"/>
        </w:rPr>
        <w:t>"), conforme es requerida por la Superintendencia de Seguros. La IPNI es una estimación de los montos que se prevé pagar en concepto de siniestros no presentados, típicamente basada en información histórica de la compañía o datos del mercado.</w:t>
      </w:r>
    </w:p>
    <w:p w14:paraId="36AACBC4"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También existen tres formas de reservas relacionadas con primas: las reservas por riesgos actuales, la reserva matemática y primas suficientes. La reserva por riesgos actuales se mantiene para aquellas áreas de actividad en las que las pólizas cubren un período de tiempo breve (generalmente menos de un año) y se paga una comisión inicial por la totalidad del período de cobertura. La reserva para riesgos actuales tiene por objeto riesgos relacionados con la cobertura que se extiende más allá de los períodos contables aplicables. La reserva por riesgos actuales esencialmente permite distribuir la ganancia durante diferentes períodos económicos, puesto que la ganancia generada por las primas pagadas en el ejercicio económico aplicable puede no cubrir riesgos que se extiendan más allá de dicho período. La reserva matemática se constituye para contratos a largo plazo (típicamente seguros de vida) en los que el riesgo aumenta con el transcurso del tiempo. A fin de evitar cobrar a los prestatarios primas que aumenten en forma incremental, las primas se mantienen constantes, pero incluyen un porcentaje cuyo objeto es cubrir los riesgos futuros, que se considera una reserva. La reserva matemática también permite a la sociedad amortizar una parte del ingreso por primas recibido.</w:t>
      </w:r>
    </w:p>
    <w:p w14:paraId="5157E529"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Mediante la Resolución N°28.906/02 la Superintendencia de Seguros determinó la obligatoriedad de constituir la reserva de Insuficiencia de Primas. Como su nombre lo indica, el objetivo de esta reserva es cubrir el déficit que pueda tener la prima. Para eso se suman todos los ingresos generados (primas devengadas y utilidades por inversión) y se restan los egresos incurridos (siniestros pagados, gastos administrativos, etc.) durante los últimos doce meses anteriores al cierre. Actualmente mantenemos reservas por niveles iguales o superiores a los establecidos en la Resolución antes citada.</w:t>
      </w:r>
    </w:p>
    <w:p w14:paraId="33FF3042" w14:textId="77777777" w:rsidR="00141F92" w:rsidRPr="00AE4E8D" w:rsidRDefault="00141F92" w:rsidP="00141F92">
      <w:pPr>
        <w:keepNext/>
        <w:autoSpaceDE w:val="0"/>
        <w:autoSpaceDN w:val="0"/>
        <w:adjustRightInd w:val="0"/>
        <w:spacing w:before="240" w:after="240"/>
        <w:outlineLvl w:val="1"/>
        <w:rPr>
          <w:rFonts w:ascii="Times New Roman" w:hAnsi="Times New Roman"/>
          <w:b/>
          <w:lang w:val="es-ES"/>
        </w:rPr>
      </w:pPr>
      <w:bookmarkStart w:id="713" w:name="_Toc421201492"/>
      <w:bookmarkStart w:id="714" w:name="_Toc495973054"/>
      <w:bookmarkStart w:id="715" w:name="_Toc495399961"/>
      <w:r w:rsidRPr="00AE4E8D">
        <w:rPr>
          <w:rFonts w:ascii="Times New Roman" w:hAnsi="Times New Roman"/>
          <w:b/>
          <w:lang w:val="es-ES"/>
        </w:rPr>
        <w:lastRenderedPageBreak/>
        <w:t>Requisitos de Capital Mínimo</w:t>
      </w:r>
      <w:bookmarkEnd w:id="713"/>
      <w:bookmarkEnd w:id="714"/>
      <w:bookmarkEnd w:id="715"/>
    </w:p>
    <w:p w14:paraId="5FEB3010"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Conforme a las reglamentaciones sancionadas en abril de 1998, desde el 1 de octubre de 1998, tanto las compañías de seguro existentes a esa fecha como las compañías de seguros constituidas en el futuro están obligadas a cumplir con requisitos de capital mínimo. El capital mínimo requerido tanto para las sociedades existentes como para las que se constituyan es el monto determinado que resulte mayor tomando en cuenta la línea de actividad de seguros, las primas y sobrecargos, y los siniestros pagados y devengados.</w:t>
      </w:r>
    </w:p>
    <w:p w14:paraId="5C9FB8B7" w14:textId="77777777" w:rsidR="00141F92" w:rsidRPr="00AE4E8D" w:rsidRDefault="00141F92" w:rsidP="00141F92">
      <w:pPr>
        <w:keepNext/>
        <w:autoSpaceDE w:val="0"/>
        <w:autoSpaceDN w:val="0"/>
        <w:adjustRightInd w:val="0"/>
        <w:spacing w:before="240" w:after="240"/>
        <w:outlineLvl w:val="2"/>
        <w:rPr>
          <w:rFonts w:ascii="Times New Roman" w:hAnsi="Times New Roman"/>
          <w:b/>
          <w:lang w:val="es-ES"/>
        </w:rPr>
      </w:pPr>
      <w:bookmarkStart w:id="716" w:name="_Toc421201493"/>
      <w:r w:rsidRPr="00AE4E8D">
        <w:rPr>
          <w:rFonts w:ascii="Times New Roman" w:hAnsi="Times New Roman"/>
          <w:b/>
          <w:lang w:val="es-ES"/>
        </w:rPr>
        <w:t>Línea de Actividad</w:t>
      </w:r>
      <w:bookmarkEnd w:id="716"/>
    </w:p>
    <w:p w14:paraId="767E3BB0"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Las compañías de seguros tienen requisitos de capital mínimo en base a su línea de negocios que van de Ps.1.5 millones a Ps.10 millones y pueden alcanzar hasta Ps. 15 millones en caso de desarrollo conjunto de distintas líneas de negocios.</w:t>
      </w:r>
    </w:p>
    <w:p w14:paraId="63C4CEC3" w14:textId="77777777" w:rsidR="00141F92" w:rsidRPr="00AE4E8D" w:rsidRDefault="00141F92" w:rsidP="00141F92">
      <w:pPr>
        <w:keepNext/>
        <w:autoSpaceDE w:val="0"/>
        <w:autoSpaceDN w:val="0"/>
        <w:adjustRightInd w:val="0"/>
        <w:spacing w:before="240" w:after="240"/>
        <w:outlineLvl w:val="2"/>
        <w:rPr>
          <w:rFonts w:ascii="Times New Roman" w:hAnsi="Times New Roman"/>
          <w:b/>
          <w:lang w:val="es-ES"/>
        </w:rPr>
      </w:pPr>
      <w:bookmarkStart w:id="717" w:name="_Toc421201494"/>
      <w:r w:rsidRPr="00AE4E8D">
        <w:rPr>
          <w:rFonts w:ascii="Times New Roman" w:hAnsi="Times New Roman"/>
          <w:b/>
          <w:lang w:val="es-ES"/>
        </w:rPr>
        <w:t>Primas Percibidas</w:t>
      </w:r>
      <w:bookmarkEnd w:id="717"/>
    </w:p>
    <w:p w14:paraId="103D0A8D"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Para todas las compañías de seguros, el requisito de capital mínimo basado en las primas percibidas es igual a (i) un porcentaje especificado de primas percibidas durante el ejercicio económico anterior, multiplicado por (ii) la relación entre los siniestros netos y brutos pagados durante los tres ejercicios económicos anteriores, relación ésta que no podrá ser inferior a 0,5. Con respecto a las compañías más recientemente constituidas, la fórmula que antecede se ajustará para tomar en cuenta el período durante el cual cada compañía ha existido.</w:t>
      </w:r>
    </w:p>
    <w:p w14:paraId="10CA726E" w14:textId="77777777" w:rsidR="00141F92" w:rsidRPr="00AE4E8D" w:rsidRDefault="00141F92" w:rsidP="00141F92">
      <w:pPr>
        <w:keepNext/>
        <w:autoSpaceDE w:val="0"/>
        <w:autoSpaceDN w:val="0"/>
        <w:adjustRightInd w:val="0"/>
        <w:spacing w:before="240" w:after="240"/>
        <w:outlineLvl w:val="2"/>
        <w:rPr>
          <w:rFonts w:ascii="Times New Roman" w:hAnsi="Times New Roman"/>
          <w:b/>
          <w:lang w:val="es-ES"/>
        </w:rPr>
      </w:pPr>
      <w:bookmarkStart w:id="718" w:name="_Toc421201495"/>
      <w:r w:rsidRPr="00AE4E8D">
        <w:rPr>
          <w:rFonts w:ascii="Times New Roman" w:hAnsi="Times New Roman"/>
          <w:b/>
          <w:lang w:val="es-ES"/>
        </w:rPr>
        <w:t>Siniestros Pagados</w:t>
      </w:r>
      <w:bookmarkEnd w:id="718"/>
    </w:p>
    <w:p w14:paraId="4194AA12"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Para todas las compañías de seguros, el requisito de capital mínimo basado en siniestros pagados es igual a (i) un porcentaje especificado de la suma de los siniestros pagados más siniestros devengados durante los últimos tres ejercicios económicos dividido por tres, multiplicado por (ii) la relación entre los siniestros pagados netos y brutos durante el ejercicio económico anterior, relación ésta que no será inferior a 0,5. Con respecto a las sociedades más recientemente constituidas, la fórmula que antecede se ajustará para tomar en cuenta el período durante el cual cada compañía ha existido.</w:t>
      </w:r>
    </w:p>
    <w:p w14:paraId="7F4D52A5"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Las compañías de seguros de vida individuales sin cobertura de ahorros deben tener un capital mínimo determinado conforme a los procedimientos especificados en las reglamentaciones de seguros. Los seguros de vida individuales con cobertura de ahorros deben tener un capital mínimo determinado conforme a un procedimiento especial que dependerá de las primas, sobrecargos y siniestros, en todos los casos conforme se especifique en las reglamentaciones de seguros.</w:t>
      </w:r>
    </w:p>
    <w:p w14:paraId="5468898A" w14:textId="77777777" w:rsidR="00141F92" w:rsidRPr="00AE4E8D" w:rsidRDefault="00141F92" w:rsidP="00141F92">
      <w:pPr>
        <w:keepNext/>
        <w:autoSpaceDE w:val="0"/>
        <w:autoSpaceDN w:val="0"/>
        <w:adjustRightInd w:val="0"/>
        <w:spacing w:before="240" w:after="240"/>
        <w:outlineLvl w:val="2"/>
        <w:rPr>
          <w:rFonts w:ascii="Times New Roman" w:hAnsi="Times New Roman"/>
          <w:b/>
          <w:lang w:val="es-ES"/>
        </w:rPr>
      </w:pPr>
      <w:bookmarkStart w:id="719" w:name="_Toc421201496"/>
      <w:r w:rsidRPr="00AE4E8D">
        <w:rPr>
          <w:rFonts w:ascii="Times New Roman" w:hAnsi="Times New Roman"/>
          <w:b/>
          <w:lang w:val="es-ES"/>
        </w:rPr>
        <w:t>Déficit en el Capital Mínimo</w:t>
      </w:r>
      <w:bookmarkEnd w:id="719"/>
    </w:p>
    <w:p w14:paraId="497147E0"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En el caso de déficit en el capital mínimo, las compañías de seguros pueden ser intimadas, según las circunstancias, a brindar explicaciones a la Superintendencia de Seguros dentro de los cinco Días Hábiles y eliminar el déficit en un plazo de quince Días Hábiles, o a presentar un plan de reestructuración que establezca la eliminación del déficit a través de uno de los siguientes procedimientos: (i) aportes de capital; (ii) fusión; (iii) administración por un tercero con opción de compra o fusión; (iv) cesión de la cartera; y (v) exclusión de ciertos activos o pasivos de compañías de seguro y la cesión, a título oneroso de dichos activos a otra compañía de seguros o a un fideicomiso.</w:t>
      </w:r>
    </w:p>
    <w:p w14:paraId="19DF46ED"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Si una compañía de seguros no cumple los requisitos de capital mínimos, la Superintendencia de Seguros puede embargar los bienes de la sociedad a ordenarle que se abstenga de realizar nuevas actividades, en tanto se encuentre pendiente el cumplimiento de los requisitos mínimos.</w:t>
      </w:r>
    </w:p>
    <w:p w14:paraId="25B0B0D1" w14:textId="77777777" w:rsidR="00141F92" w:rsidRPr="00AE4E8D" w:rsidRDefault="00141F92" w:rsidP="00141F92">
      <w:pPr>
        <w:keepNext/>
        <w:autoSpaceDE w:val="0"/>
        <w:autoSpaceDN w:val="0"/>
        <w:adjustRightInd w:val="0"/>
        <w:spacing w:before="240" w:after="240"/>
        <w:outlineLvl w:val="2"/>
        <w:rPr>
          <w:rFonts w:ascii="Times New Roman" w:hAnsi="Times New Roman"/>
          <w:b/>
          <w:lang w:val="es-ES"/>
        </w:rPr>
      </w:pPr>
      <w:bookmarkStart w:id="720" w:name="_Toc421201497"/>
      <w:r w:rsidRPr="00AE4E8D">
        <w:rPr>
          <w:rFonts w:ascii="Times New Roman" w:hAnsi="Times New Roman"/>
          <w:b/>
          <w:lang w:val="es-ES"/>
        </w:rPr>
        <w:t>Actividades Prohibidas</w:t>
      </w:r>
      <w:bookmarkEnd w:id="720"/>
    </w:p>
    <w:p w14:paraId="067BF6AE"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Entre otras prohibiciones, las compañías de seguros no pueden: </w:t>
      </w:r>
    </w:p>
    <w:p w14:paraId="5CB31FE4" w14:textId="77777777" w:rsidR="00141F92" w:rsidRPr="00AE4E8D" w:rsidRDefault="00141F92" w:rsidP="00D43A0B">
      <w:pPr>
        <w:pStyle w:val="BHTexto"/>
        <w:numPr>
          <w:ilvl w:val="0"/>
          <w:numId w:val="118"/>
        </w:numPr>
        <w:rPr>
          <w:lang w:val="es-ES"/>
        </w:rPr>
      </w:pPr>
      <w:r w:rsidRPr="00AE4E8D">
        <w:rPr>
          <w:lang w:val="es-ES"/>
        </w:rPr>
        <w:t>ser co</w:t>
      </w:r>
      <w:r w:rsidRPr="00AE4E8D">
        <w:rPr>
          <w:lang w:val="es-ES"/>
        </w:rPr>
        <w:noBreakHyphen/>
        <w:t>propietarios de bienes sin la previa autorización de la Superintendencia de Seguros;</w:t>
      </w:r>
    </w:p>
    <w:p w14:paraId="5EDB4DE2" w14:textId="77777777" w:rsidR="00141F92" w:rsidRPr="00AE4E8D" w:rsidRDefault="00141F92" w:rsidP="00D43A0B">
      <w:pPr>
        <w:pStyle w:val="BHTexto"/>
        <w:numPr>
          <w:ilvl w:val="0"/>
          <w:numId w:val="118"/>
        </w:numPr>
        <w:rPr>
          <w:lang w:val="es-ES"/>
        </w:rPr>
      </w:pPr>
      <w:r w:rsidRPr="00AE4E8D">
        <w:rPr>
          <w:lang w:val="es-ES"/>
        </w:rPr>
        <w:t>integrar otras sociedades, salvo inversiones en sociedades con oferta pública y en el marco de los parámetros de la reglamentación;</w:t>
      </w:r>
    </w:p>
    <w:p w14:paraId="1E47D210" w14:textId="77777777" w:rsidR="00141F92" w:rsidRPr="00AE4E8D" w:rsidRDefault="00141F92" w:rsidP="00D43A0B">
      <w:pPr>
        <w:pStyle w:val="BHTexto"/>
        <w:numPr>
          <w:ilvl w:val="0"/>
          <w:numId w:val="118"/>
        </w:numPr>
        <w:rPr>
          <w:lang w:val="es-ES"/>
        </w:rPr>
      </w:pPr>
      <w:r w:rsidRPr="00AE4E8D">
        <w:rPr>
          <w:lang w:val="es-ES"/>
        </w:rPr>
        <w:lastRenderedPageBreak/>
        <w:t>constituir gravámenes sobre sus bienes inmuebles, excepto que hayan sido afectados como garantía del pago de saldo de su adquisición de acuerdo con las condiciones establecidas por la Superintendencia de Seguros;</w:t>
      </w:r>
    </w:p>
    <w:p w14:paraId="44526610" w14:textId="77777777" w:rsidR="00141F92" w:rsidRPr="00AE4E8D" w:rsidRDefault="00141F92" w:rsidP="00D43A0B">
      <w:pPr>
        <w:pStyle w:val="BHTexto"/>
        <w:numPr>
          <w:ilvl w:val="0"/>
          <w:numId w:val="118"/>
        </w:numPr>
        <w:rPr>
          <w:lang w:val="es-ES"/>
        </w:rPr>
      </w:pPr>
      <w:r w:rsidRPr="00AE4E8D">
        <w:rPr>
          <w:lang w:val="es-ES"/>
        </w:rPr>
        <w:t>emitir títulos de deuda, pagarés o letras de cambio;</w:t>
      </w:r>
    </w:p>
    <w:p w14:paraId="28223AC5" w14:textId="77777777" w:rsidR="00141F92" w:rsidRPr="00AE4E8D" w:rsidRDefault="00141F92" w:rsidP="00D43A0B">
      <w:pPr>
        <w:pStyle w:val="BHTexto"/>
        <w:numPr>
          <w:ilvl w:val="0"/>
          <w:numId w:val="118"/>
        </w:numPr>
        <w:rPr>
          <w:lang w:val="es-ES"/>
        </w:rPr>
      </w:pPr>
      <w:r w:rsidRPr="00AE4E8D">
        <w:rPr>
          <w:lang w:val="es-ES"/>
        </w:rPr>
        <w:t>pagar siniestros con letras de cambio o pagarés;</w:t>
      </w:r>
    </w:p>
    <w:p w14:paraId="443571EE" w14:textId="77777777" w:rsidR="00141F92" w:rsidRPr="00AE4E8D" w:rsidRDefault="00141F92" w:rsidP="00D43A0B">
      <w:pPr>
        <w:pStyle w:val="BHTexto"/>
        <w:numPr>
          <w:ilvl w:val="0"/>
          <w:numId w:val="118"/>
        </w:numPr>
        <w:rPr>
          <w:lang w:val="es-ES"/>
        </w:rPr>
      </w:pPr>
      <w:r w:rsidRPr="00AE4E8D">
        <w:rPr>
          <w:lang w:val="es-ES"/>
        </w:rPr>
        <w:t xml:space="preserve">contraer empréstitos bancarios, salvo que constituyeran deuda subordinada sujeta a las normas de la Superintendencia de Seguros o a menos que fueran previamente autorizados por la Superintendencia de Seguros, en casos de situaciones temporarias de falta de activos líquidos; y </w:t>
      </w:r>
    </w:p>
    <w:p w14:paraId="5160938C" w14:textId="77777777" w:rsidR="00141F92" w:rsidRPr="00AE4E8D" w:rsidRDefault="00141F92" w:rsidP="00D43A0B">
      <w:pPr>
        <w:pStyle w:val="BHTexto"/>
        <w:numPr>
          <w:ilvl w:val="0"/>
          <w:numId w:val="118"/>
        </w:numPr>
        <w:rPr>
          <w:lang w:val="es-ES"/>
        </w:rPr>
      </w:pPr>
      <w:r w:rsidRPr="00AE4E8D">
        <w:rPr>
          <w:lang w:val="es-ES"/>
        </w:rPr>
        <w:t>garantizar obligaciones de terceros, salvo en el caso de operaciones de seguro aprobadas.</w:t>
      </w:r>
    </w:p>
    <w:p w14:paraId="010944C5" w14:textId="77777777" w:rsidR="00141F92" w:rsidRPr="00AE4E8D" w:rsidRDefault="00141F92" w:rsidP="00141F92">
      <w:pPr>
        <w:keepNext/>
        <w:autoSpaceDE w:val="0"/>
        <w:autoSpaceDN w:val="0"/>
        <w:adjustRightInd w:val="0"/>
        <w:spacing w:before="240" w:after="240"/>
        <w:outlineLvl w:val="2"/>
        <w:rPr>
          <w:rFonts w:ascii="Times New Roman" w:hAnsi="Times New Roman"/>
          <w:b/>
          <w:lang w:val="es-ES"/>
        </w:rPr>
      </w:pPr>
      <w:bookmarkStart w:id="721" w:name="_Toc421201498"/>
      <w:r w:rsidRPr="00AE4E8D">
        <w:rPr>
          <w:rFonts w:ascii="Times New Roman" w:hAnsi="Times New Roman"/>
          <w:b/>
          <w:lang w:val="es-ES"/>
        </w:rPr>
        <w:t>Reaseguros</w:t>
      </w:r>
      <w:bookmarkEnd w:id="721"/>
    </w:p>
    <w:p w14:paraId="5B9FE40D"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Entre 1992 y hasta 2011 la mayoría de las compañías de seguros en la Argentina se han reasegurado con compañías extranjeras, que actúan a través de representantes debidamente registrados ante la Superintendencia de Seguros. No obstante, desde el 2011 los reaseguros con compañías extranjeras son únicamente admitidos por la Superintendencia de Seguros de la Nación excepcionalmente ante casos específicos y siempre que se reúnan ciertos requerimientos tanto por parte de la compañía de seguros como de la compañía de reaseguros. </w:t>
      </w:r>
    </w:p>
    <w:p w14:paraId="1FFCA031"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Las compañías de reaseguro deben cumplir con un requisito de capital mínimo descripto en las reglamentaciones de seguros. </w:t>
      </w:r>
    </w:p>
    <w:p w14:paraId="399A3219" w14:textId="77777777" w:rsidR="00141F92" w:rsidRPr="00AE4E8D" w:rsidRDefault="00141F92" w:rsidP="00141F92">
      <w:pPr>
        <w:keepNext/>
        <w:autoSpaceDE w:val="0"/>
        <w:autoSpaceDN w:val="0"/>
        <w:adjustRightInd w:val="0"/>
        <w:spacing w:before="240" w:after="240"/>
        <w:outlineLvl w:val="2"/>
        <w:rPr>
          <w:rFonts w:ascii="Times New Roman" w:hAnsi="Times New Roman"/>
          <w:b/>
          <w:lang w:val="es-ES"/>
        </w:rPr>
      </w:pPr>
      <w:bookmarkStart w:id="722" w:name="_Toc421201499"/>
      <w:r w:rsidRPr="00AE4E8D">
        <w:rPr>
          <w:rFonts w:ascii="Times New Roman" w:hAnsi="Times New Roman"/>
          <w:b/>
          <w:lang w:val="es-ES"/>
        </w:rPr>
        <w:t>Liquidación</w:t>
      </w:r>
      <w:bookmarkEnd w:id="722"/>
    </w:p>
    <w:p w14:paraId="6B80A8B2" w14:textId="77777777" w:rsidR="00141F92" w:rsidRPr="00AE4E8D" w:rsidRDefault="00141F92" w:rsidP="00141F92">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Liquidación Voluntaria</w:t>
      </w:r>
    </w:p>
    <w:p w14:paraId="41D496AC" w14:textId="77777777" w:rsidR="00141F92"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Si una compañía de seguros opta por liquidarse, los procedimientos de liquidación pueden ser llevados a cabo en forma válida por la dirección de la compañía, sin perjuicio de lo cual la Superintendencia de Seguros conserva el derecho de supervisar el procedimiento de liquidación. Si la compañía no inicia los procedimientos de liquidación en forma inmediata, o si el interés de los asegurados de la compañía pudiera verse afectado en algún modo, la Superintendencia de Seguros puede tomar el control del procedimiento de liquidación después de obtener una orden de un tribunal competente.</w:t>
      </w:r>
    </w:p>
    <w:p w14:paraId="13A50E71" w14:textId="77777777" w:rsidR="00141F92" w:rsidRPr="00AE4E8D" w:rsidRDefault="00141F92" w:rsidP="00141F92">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Liquidación Involuntaria</w:t>
      </w:r>
    </w:p>
    <w:p w14:paraId="3E27C33E" w14:textId="77777777" w:rsidR="00CB5660" w:rsidRPr="00AE4E8D" w:rsidRDefault="00141F92" w:rsidP="00141F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Si la liquidación es el resultado de la revocación de la licencia de seguros, la Superintendencia de Seguros exigirá su designación como liquidador por parte de un tribunal competente. Además, cualquier tribunal competente puede, a solicitud de una parte interesada, declarar la disolución de una compañía de seguros y disponer su liquidación por parte de la Superintendencia de Seguros, siempre que se cumplan determinadas condiciones para la disolución. Las compañías de seguros no pueden hacer uso de los procedimientos de reorganización establecidos en la Ley de Concursos y Quiebras.</w:t>
      </w:r>
    </w:p>
    <w:p w14:paraId="1679F239" w14:textId="77777777" w:rsidR="00CB5660" w:rsidRPr="00AE4E8D" w:rsidRDefault="00CB5660" w:rsidP="00CC3B07">
      <w:pPr>
        <w:pStyle w:val="BH1Centro"/>
        <w:rPr>
          <w:rFonts w:ascii="Times New Roman" w:hAnsi="Times New Roman"/>
          <w:lang w:val="es-ES"/>
        </w:rPr>
      </w:pPr>
      <w:r w:rsidRPr="00AE4E8D">
        <w:rPr>
          <w:rFonts w:ascii="Times New Roman" w:hAnsi="Times New Roman"/>
          <w:highlight w:val="cyan"/>
          <w:lang w:val="es-ES"/>
        </w:rPr>
        <w:br w:type="page"/>
      </w:r>
      <w:bookmarkStart w:id="723" w:name="_Toc449010439"/>
      <w:bookmarkStart w:id="724" w:name="_Toc487734748"/>
      <w:bookmarkStart w:id="725" w:name="_Toc495973055"/>
      <w:bookmarkStart w:id="726" w:name="_Toc495399962"/>
      <w:r w:rsidRPr="00AE4E8D">
        <w:rPr>
          <w:rFonts w:ascii="Times New Roman" w:hAnsi="Times New Roman"/>
          <w:lang w:val="es-ES"/>
        </w:rPr>
        <w:lastRenderedPageBreak/>
        <w:t>INFORMACIÓN CONTABLE</w:t>
      </w:r>
      <w:bookmarkEnd w:id="647"/>
      <w:bookmarkEnd w:id="699"/>
      <w:bookmarkEnd w:id="723"/>
      <w:bookmarkEnd w:id="724"/>
      <w:bookmarkEnd w:id="725"/>
      <w:bookmarkEnd w:id="726"/>
    </w:p>
    <w:p w14:paraId="5F4E403C" w14:textId="77777777" w:rsidR="00CB5660" w:rsidRPr="00AE4E8D" w:rsidRDefault="00CB5660" w:rsidP="006659E6">
      <w:pPr>
        <w:pStyle w:val="BH2Izquierda"/>
        <w:rPr>
          <w:lang w:val="es-ES"/>
        </w:rPr>
      </w:pPr>
      <w:bookmarkStart w:id="727" w:name="_Toc414610909"/>
      <w:bookmarkStart w:id="728" w:name="_Toc420062617"/>
      <w:bookmarkStart w:id="729" w:name="_Toc421201501"/>
      <w:bookmarkStart w:id="730" w:name="_Toc495973056"/>
      <w:bookmarkStart w:id="731" w:name="_Toc495399963"/>
      <w:r w:rsidRPr="00AE4E8D">
        <w:rPr>
          <w:lang w:val="es-ES"/>
        </w:rPr>
        <w:t>a) Estados contables y otra información contable</w:t>
      </w:r>
      <w:bookmarkEnd w:id="727"/>
      <w:bookmarkEnd w:id="728"/>
      <w:bookmarkEnd w:id="729"/>
      <w:bookmarkEnd w:id="730"/>
      <w:bookmarkEnd w:id="731"/>
    </w:p>
    <w:p w14:paraId="58031B3B" w14:textId="77777777" w:rsidR="00CB5660" w:rsidRPr="00AE4E8D" w:rsidRDefault="00CB5660" w:rsidP="006659E6">
      <w:pPr>
        <w:pStyle w:val="BH3Izquierda"/>
        <w:rPr>
          <w:lang w:val="es-ES"/>
        </w:rPr>
      </w:pPr>
      <w:bookmarkStart w:id="732" w:name="_Toc414610910"/>
      <w:bookmarkStart w:id="733" w:name="_Toc420062618"/>
      <w:bookmarkStart w:id="734" w:name="_Toc421201502"/>
      <w:r w:rsidRPr="00AE4E8D">
        <w:rPr>
          <w:lang w:val="es-ES"/>
        </w:rPr>
        <w:t xml:space="preserve">Estados contables del último </w:t>
      </w:r>
      <w:bookmarkEnd w:id="732"/>
      <w:r w:rsidRPr="00AE4E8D">
        <w:rPr>
          <w:lang w:val="es-ES"/>
        </w:rPr>
        <w:t>ejercicio</w:t>
      </w:r>
      <w:bookmarkEnd w:id="733"/>
      <w:bookmarkEnd w:id="734"/>
    </w:p>
    <w:p w14:paraId="0A3893AF" w14:textId="77777777" w:rsidR="00C4332A" w:rsidRPr="00AE4E8D" w:rsidRDefault="00CB5660" w:rsidP="008F5315">
      <w:pPr>
        <w:autoSpaceDE w:val="0"/>
        <w:autoSpaceDN w:val="0"/>
        <w:adjustRightInd w:val="0"/>
        <w:spacing w:before="120" w:after="120"/>
        <w:jc w:val="both"/>
        <w:rPr>
          <w:rFonts w:ascii="Times New Roman" w:hAnsi="Times New Roman"/>
          <w:lang w:val="es-ES" w:eastAsia="x-none"/>
        </w:rPr>
      </w:pPr>
      <w:r w:rsidRPr="00AE4E8D">
        <w:rPr>
          <w:rFonts w:ascii="Times New Roman" w:hAnsi="Times New Roman"/>
          <w:lang w:val="es-ES" w:eastAsia="x-none"/>
        </w:rPr>
        <w:t xml:space="preserve">La información contable consolidada </w:t>
      </w:r>
      <w:r w:rsidR="00892B8D" w:rsidRPr="00AE4E8D">
        <w:rPr>
          <w:rFonts w:ascii="Times New Roman" w:hAnsi="Times New Roman"/>
          <w:lang w:val="es-ES" w:eastAsia="x-none"/>
        </w:rPr>
        <w:t>seleccionada</w:t>
      </w:r>
      <w:r w:rsidRPr="00AE4E8D">
        <w:rPr>
          <w:rFonts w:ascii="Times New Roman" w:hAnsi="Times New Roman"/>
          <w:lang w:val="es-ES" w:eastAsia="x-none"/>
        </w:rPr>
        <w:t xml:space="preserve"> al 31 de diciembre de </w:t>
      </w:r>
      <w:r w:rsidR="00892B8D" w:rsidRPr="00AE4E8D">
        <w:rPr>
          <w:rFonts w:ascii="Times New Roman" w:hAnsi="Times New Roman"/>
          <w:lang w:val="es-ES" w:eastAsia="x-none"/>
        </w:rPr>
        <w:t xml:space="preserve">2014, </w:t>
      </w:r>
      <w:r w:rsidRPr="00AE4E8D">
        <w:rPr>
          <w:rFonts w:ascii="Times New Roman" w:hAnsi="Times New Roman"/>
          <w:lang w:val="es-ES" w:eastAsia="x-none"/>
        </w:rPr>
        <w:t>201</w:t>
      </w:r>
      <w:r w:rsidR="00F80F6B" w:rsidRPr="00AE4E8D">
        <w:rPr>
          <w:rFonts w:ascii="Times New Roman" w:hAnsi="Times New Roman"/>
          <w:lang w:val="es-ES" w:eastAsia="x-none"/>
        </w:rPr>
        <w:t>5</w:t>
      </w:r>
      <w:r w:rsidRPr="00AE4E8D">
        <w:rPr>
          <w:rFonts w:ascii="Times New Roman" w:hAnsi="Times New Roman"/>
          <w:lang w:val="es-ES" w:eastAsia="x-none"/>
        </w:rPr>
        <w:t xml:space="preserve"> y 201</w:t>
      </w:r>
      <w:r w:rsidR="00F80F6B" w:rsidRPr="00AE4E8D">
        <w:rPr>
          <w:rFonts w:ascii="Times New Roman" w:hAnsi="Times New Roman"/>
          <w:lang w:val="es-ES" w:eastAsia="x-none"/>
        </w:rPr>
        <w:t>6</w:t>
      </w:r>
      <w:r w:rsidRPr="00AE4E8D">
        <w:rPr>
          <w:rFonts w:ascii="Times New Roman" w:hAnsi="Times New Roman"/>
          <w:lang w:val="es-ES" w:eastAsia="x-none"/>
        </w:rPr>
        <w:t>, y para cada uno de los ejercicios finalizados el 31 de diciembre de 201</w:t>
      </w:r>
      <w:r w:rsidR="00F80F6B" w:rsidRPr="00AE4E8D">
        <w:rPr>
          <w:rFonts w:ascii="Times New Roman" w:hAnsi="Times New Roman"/>
          <w:lang w:val="es-ES" w:eastAsia="x-none"/>
        </w:rPr>
        <w:t>4</w:t>
      </w:r>
      <w:r w:rsidRPr="00AE4E8D">
        <w:rPr>
          <w:rFonts w:ascii="Times New Roman" w:hAnsi="Times New Roman"/>
          <w:lang w:val="es-ES" w:eastAsia="x-none"/>
        </w:rPr>
        <w:t>, 201</w:t>
      </w:r>
      <w:r w:rsidR="00F80F6B" w:rsidRPr="00AE4E8D">
        <w:rPr>
          <w:rFonts w:ascii="Times New Roman" w:hAnsi="Times New Roman"/>
          <w:lang w:val="es-ES" w:eastAsia="x-none"/>
        </w:rPr>
        <w:t>5</w:t>
      </w:r>
      <w:r w:rsidRPr="00AE4E8D">
        <w:rPr>
          <w:rFonts w:ascii="Times New Roman" w:hAnsi="Times New Roman"/>
          <w:lang w:val="es-ES" w:eastAsia="x-none"/>
        </w:rPr>
        <w:t xml:space="preserve"> y 201</w:t>
      </w:r>
      <w:r w:rsidR="00F80F6B" w:rsidRPr="00AE4E8D">
        <w:rPr>
          <w:rFonts w:ascii="Times New Roman" w:hAnsi="Times New Roman"/>
          <w:lang w:val="es-ES" w:eastAsia="x-none"/>
        </w:rPr>
        <w:t>6</w:t>
      </w:r>
      <w:r w:rsidRPr="00AE4E8D">
        <w:rPr>
          <w:rFonts w:ascii="Times New Roman" w:hAnsi="Times New Roman"/>
          <w:lang w:val="es-ES" w:eastAsia="x-none"/>
        </w:rPr>
        <w:t xml:space="preserve"> deriva de nuestros estados contables consolidados incluidos en este Prospecto, que han sido auditados por Price Waterhouse &amp; Co. S.R.L. El informe de Price Waterhouse &amp; Co. S.R.L. sobre nuestros estados contables consolidados </w:t>
      </w:r>
      <w:r w:rsidR="00892B8D" w:rsidRPr="00AE4E8D">
        <w:rPr>
          <w:rFonts w:ascii="Times New Roman" w:hAnsi="Times New Roman"/>
          <w:lang w:val="es-ES" w:eastAsia="x-none"/>
        </w:rPr>
        <w:t xml:space="preserve">auditados </w:t>
      </w:r>
      <w:r w:rsidRPr="00AE4E8D">
        <w:rPr>
          <w:rFonts w:ascii="Times New Roman" w:hAnsi="Times New Roman"/>
          <w:lang w:val="es-ES" w:eastAsia="x-none"/>
        </w:rPr>
        <w:t>se incluye en otra sección de este Prospecto. El resumen de la información contable consolidada al 31 de diciembre de 201</w:t>
      </w:r>
      <w:r w:rsidR="00797A0A" w:rsidRPr="00AE4E8D">
        <w:rPr>
          <w:rFonts w:ascii="Times New Roman" w:hAnsi="Times New Roman"/>
          <w:lang w:val="es-ES" w:eastAsia="x-none"/>
        </w:rPr>
        <w:t>2</w:t>
      </w:r>
      <w:r w:rsidRPr="00AE4E8D">
        <w:rPr>
          <w:rFonts w:ascii="Times New Roman" w:hAnsi="Times New Roman"/>
          <w:lang w:val="es-ES" w:eastAsia="x-none"/>
        </w:rPr>
        <w:t xml:space="preserve"> y 201</w:t>
      </w:r>
      <w:r w:rsidR="00797A0A" w:rsidRPr="00AE4E8D">
        <w:rPr>
          <w:rFonts w:ascii="Times New Roman" w:hAnsi="Times New Roman"/>
          <w:lang w:val="es-ES" w:eastAsia="x-none"/>
        </w:rPr>
        <w:t>3</w:t>
      </w:r>
      <w:r w:rsidRPr="00AE4E8D">
        <w:rPr>
          <w:rFonts w:ascii="Times New Roman" w:hAnsi="Times New Roman"/>
          <w:lang w:val="es-ES" w:eastAsia="x-none"/>
        </w:rPr>
        <w:t xml:space="preserve"> y para el ejercicio finalizado el 31 de diciembre de 201</w:t>
      </w:r>
      <w:r w:rsidR="00F80F6B" w:rsidRPr="00AE4E8D">
        <w:rPr>
          <w:rFonts w:ascii="Times New Roman" w:hAnsi="Times New Roman"/>
          <w:lang w:val="es-ES" w:eastAsia="x-none"/>
        </w:rPr>
        <w:t>3</w:t>
      </w:r>
      <w:r w:rsidRPr="00AE4E8D">
        <w:rPr>
          <w:rFonts w:ascii="Times New Roman" w:hAnsi="Times New Roman"/>
          <w:lang w:val="es-ES" w:eastAsia="x-none"/>
        </w:rPr>
        <w:t xml:space="preserve"> deriva de los estados contables consolidados auditados que no se incluyen en este Prospecto.</w:t>
      </w:r>
      <w:r w:rsidR="009A292B" w:rsidRPr="00AE4E8D">
        <w:rPr>
          <w:rFonts w:ascii="Times New Roman" w:hAnsi="Times New Roman"/>
          <w:lang w:val="es-ES" w:eastAsia="x-none"/>
        </w:rPr>
        <w:t xml:space="preserve"> </w:t>
      </w:r>
    </w:p>
    <w:p w14:paraId="37864D9B" w14:textId="77777777" w:rsidR="00C4332A" w:rsidRPr="00AE4E8D" w:rsidRDefault="00C4332A" w:rsidP="008511C0">
      <w:pPr>
        <w:pStyle w:val="BHTexto"/>
        <w:rPr>
          <w:lang w:val="es-ES"/>
        </w:rPr>
      </w:pPr>
      <w:r w:rsidRPr="00AE4E8D">
        <w:rPr>
          <w:lang w:val="es-ES"/>
        </w:rPr>
        <w:t xml:space="preserve">La información contable consolidada para los </w:t>
      </w:r>
      <w:r w:rsidR="0038649E" w:rsidRPr="00AE4E8D">
        <w:rPr>
          <w:lang w:val="es-ES"/>
        </w:rPr>
        <w:t>seis</w:t>
      </w:r>
      <w:r w:rsidRPr="00AE4E8D">
        <w:rPr>
          <w:lang w:val="es-ES"/>
        </w:rPr>
        <w:t xml:space="preserve"> meses finalizados el 3</w:t>
      </w:r>
      <w:r w:rsidR="0038649E" w:rsidRPr="00AE4E8D">
        <w:rPr>
          <w:lang w:val="es-ES"/>
        </w:rPr>
        <w:t>0</w:t>
      </w:r>
      <w:r w:rsidRPr="00AE4E8D">
        <w:rPr>
          <w:lang w:val="es-ES"/>
        </w:rPr>
        <w:t xml:space="preserve"> de </w:t>
      </w:r>
      <w:r w:rsidR="0038649E" w:rsidRPr="00AE4E8D">
        <w:rPr>
          <w:lang w:val="es-ES"/>
        </w:rPr>
        <w:t>junio</w:t>
      </w:r>
      <w:r w:rsidRPr="00AE4E8D">
        <w:rPr>
          <w:lang w:val="es-ES"/>
        </w:rPr>
        <w:t xml:space="preserve"> de 2016 y 2017 y a dichas fechas, deriva de nuestros estados contables consolidados no auditados incluidos en este Prospecto. Los resultados de las operaciones para los meses finalizados el 3</w:t>
      </w:r>
      <w:r w:rsidR="0038649E" w:rsidRPr="00AE4E8D">
        <w:rPr>
          <w:lang w:val="es-ES"/>
        </w:rPr>
        <w:t>0</w:t>
      </w:r>
      <w:r w:rsidRPr="00AE4E8D">
        <w:rPr>
          <w:lang w:val="es-ES"/>
        </w:rPr>
        <w:t xml:space="preserve"> de </w:t>
      </w:r>
      <w:r w:rsidR="0038649E" w:rsidRPr="00AE4E8D">
        <w:rPr>
          <w:lang w:val="es-ES"/>
        </w:rPr>
        <w:t>junio</w:t>
      </w:r>
      <w:r w:rsidRPr="00AE4E8D">
        <w:rPr>
          <w:lang w:val="es-ES"/>
        </w:rPr>
        <w:t xml:space="preserve"> de 2017 no necesariamente indican los resultados a ser esperados para el ejercicio finalizado el 31 de diciembre de 2017 ni para ningún otro período.</w:t>
      </w:r>
    </w:p>
    <w:p w14:paraId="365C1384" w14:textId="77777777" w:rsidR="00CB5660" w:rsidRPr="00AE4E8D" w:rsidRDefault="00CB5660" w:rsidP="008F5315">
      <w:pPr>
        <w:autoSpaceDE w:val="0"/>
        <w:autoSpaceDN w:val="0"/>
        <w:adjustRightInd w:val="0"/>
        <w:spacing w:before="120" w:after="120"/>
        <w:jc w:val="both"/>
        <w:rPr>
          <w:rFonts w:ascii="Times New Roman" w:hAnsi="Times New Roman"/>
          <w:lang w:val="es-ES" w:eastAsia="x-none"/>
        </w:rPr>
      </w:pPr>
      <w:r w:rsidRPr="00AE4E8D">
        <w:rPr>
          <w:rFonts w:ascii="Times New Roman" w:hAnsi="Times New Roman"/>
          <w:lang w:val="es-ES" w:eastAsia="x-none"/>
        </w:rPr>
        <w:t>La información contable se encuentra publicada en el sitio web de la CNV, en la AIF, bajo los números de identificación ID N°</w:t>
      </w:r>
      <w:r w:rsidR="00950D47" w:rsidRPr="00AE4E8D">
        <w:rPr>
          <w:rFonts w:ascii="Times New Roman" w:hAnsi="Times New Roman"/>
          <w:lang w:val="es-ES" w:eastAsia="x-none"/>
        </w:rPr>
        <w:t>4-211671-D</w:t>
      </w:r>
      <w:r w:rsidRPr="00AE4E8D">
        <w:rPr>
          <w:rFonts w:ascii="Times New Roman" w:hAnsi="Times New Roman"/>
          <w:lang w:val="es-ES" w:eastAsia="x-none"/>
        </w:rPr>
        <w:t xml:space="preserve"> (</w:t>
      </w:r>
      <w:r w:rsidR="00F80F6B" w:rsidRPr="00AE4E8D">
        <w:rPr>
          <w:rFonts w:ascii="Times New Roman" w:hAnsi="Times New Roman"/>
          <w:lang w:val="es-ES" w:eastAsia="x-none"/>
        </w:rPr>
        <w:t>diciembre</w:t>
      </w:r>
      <w:r w:rsidR="00D75839" w:rsidRPr="00AE4E8D">
        <w:rPr>
          <w:rFonts w:ascii="Times New Roman" w:hAnsi="Times New Roman"/>
          <w:lang w:val="es-ES" w:eastAsia="x-none"/>
        </w:rPr>
        <w:t xml:space="preserve"> </w:t>
      </w:r>
      <w:r w:rsidRPr="00AE4E8D">
        <w:rPr>
          <w:rFonts w:ascii="Times New Roman" w:hAnsi="Times New Roman"/>
          <w:lang w:val="es-ES" w:eastAsia="x-none"/>
        </w:rPr>
        <w:t>de 2016), ID Nº4-366707-D (diciembre de 2015)</w:t>
      </w:r>
      <w:r w:rsidR="00F80F6B" w:rsidRPr="00AE4E8D">
        <w:rPr>
          <w:rFonts w:ascii="Times New Roman" w:hAnsi="Times New Roman"/>
          <w:lang w:val="es-ES" w:eastAsia="x-none"/>
        </w:rPr>
        <w:t xml:space="preserve"> e</w:t>
      </w:r>
      <w:r w:rsidRPr="00AE4E8D">
        <w:rPr>
          <w:rFonts w:ascii="Times New Roman" w:hAnsi="Times New Roman"/>
          <w:lang w:val="es-ES" w:eastAsia="x-none"/>
        </w:rPr>
        <w:t xml:space="preserve"> ID Nº4-284203-D (diciembre de 2014).</w:t>
      </w:r>
    </w:p>
    <w:p w14:paraId="0565917D" w14:textId="77777777" w:rsidR="00CB5660" w:rsidRPr="00AE4E8D" w:rsidRDefault="00CB5660">
      <w:pPr>
        <w:pStyle w:val="BH3Izquierda"/>
        <w:spacing w:before="120" w:after="120"/>
        <w:rPr>
          <w:lang w:val="es-ES"/>
        </w:rPr>
      </w:pPr>
      <w:bookmarkStart w:id="735" w:name="_Toc414610911"/>
      <w:bookmarkStart w:id="736" w:name="_Toc420062619"/>
      <w:bookmarkStart w:id="737" w:name="_Toc421201503"/>
      <w:r w:rsidRPr="00AE4E8D">
        <w:rPr>
          <w:lang w:val="es-ES"/>
        </w:rPr>
        <w:t>Exportaciones</w:t>
      </w:r>
      <w:bookmarkEnd w:id="735"/>
      <w:bookmarkEnd w:id="736"/>
      <w:bookmarkEnd w:id="737"/>
    </w:p>
    <w:p w14:paraId="248B166B" w14:textId="77777777" w:rsidR="00CB5660" w:rsidRPr="00AE4E8D" w:rsidRDefault="00CB5660" w:rsidP="008F5315">
      <w:pPr>
        <w:pStyle w:val="BHTexto"/>
        <w:rPr>
          <w:color w:val="000000"/>
          <w:lang w:val="es-ES"/>
        </w:rPr>
      </w:pPr>
      <w:r w:rsidRPr="00AE4E8D">
        <w:rPr>
          <w:lang w:val="es-ES"/>
        </w:rPr>
        <w:t>No realizamos exportaciones.</w:t>
      </w:r>
    </w:p>
    <w:p w14:paraId="06E7CE95" w14:textId="77777777" w:rsidR="00CB5660" w:rsidRPr="00AE4E8D" w:rsidRDefault="00CB5660">
      <w:pPr>
        <w:pStyle w:val="BH3Izquierda"/>
        <w:spacing w:before="120" w:after="120"/>
        <w:rPr>
          <w:lang w:val="es-ES"/>
        </w:rPr>
      </w:pPr>
      <w:bookmarkStart w:id="738" w:name="_Toc414610912"/>
      <w:bookmarkStart w:id="739" w:name="_Toc420062620"/>
      <w:bookmarkStart w:id="740" w:name="_Toc421201504"/>
      <w:r w:rsidRPr="00AE4E8D">
        <w:rPr>
          <w:lang w:val="es-ES"/>
        </w:rPr>
        <w:t>Asuntos Legales y Regulatorios</w:t>
      </w:r>
      <w:bookmarkEnd w:id="738"/>
      <w:bookmarkEnd w:id="739"/>
      <w:bookmarkEnd w:id="740"/>
    </w:p>
    <w:p w14:paraId="05ECD717" w14:textId="77777777" w:rsidR="005737C2" w:rsidRPr="00AE4E8D" w:rsidRDefault="005737C2" w:rsidP="00B52753">
      <w:pPr>
        <w:pStyle w:val="BH3Izquierda"/>
        <w:rPr>
          <w:lang w:val="es-ES"/>
        </w:rPr>
      </w:pPr>
      <w:r w:rsidRPr="00AE4E8D">
        <w:rPr>
          <w:lang w:val="es-ES"/>
        </w:rPr>
        <w:t>Introducción</w:t>
      </w:r>
    </w:p>
    <w:p w14:paraId="6A04403B" w14:textId="77777777" w:rsidR="00041E90" w:rsidRPr="00AE4E8D" w:rsidRDefault="00041E90" w:rsidP="00041E90">
      <w:pPr>
        <w:pStyle w:val="BHTexto"/>
        <w:rPr>
          <w:lang w:val="es-ES"/>
        </w:rPr>
      </w:pPr>
      <w:r w:rsidRPr="00AE4E8D">
        <w:rPr>
          <w:lang w:val="es-ES"/>
        </w:rPr>
        <w:t>Al 30 de junio de 2017, registrábamos previsiones para juicios por Ps.181</w:t>
      </w:r>
      <w:proofErr w:type="gramStart"/>
      <w:r w:rsidRPr="00AE4E8D">
        <w:rPr>
          <w:lang w:val="es-ES"/>
        </w:rPr>
        <w:t>,3</w:t>
      </w:r>
      <w:proofErr w:type="gramEnd"/>
      <w:r w:rsidRPr="00AE4E8D">
        <w:rPr>
          <w:lang w:val="es-ES"/>
        </w:rPr>
        <w:t xml:space="preserve"> millones. El monto de estas previsiones se determina teniendo en cuenta los montos reclamados y la estimación de pérdida. Creemos que estas acciones legales y reclamos son habituales en el giro de nuestras actividades y consideramos que ninguno de ellos debería tener efectos significativamente materiales y adversos en nuestras actividades comerciales o nuestra situación patrimonial. Véase no obstante </w:t>
      </w:r>
      <w:r w:rsidRPr="00AE4E8D">
        <w:rPr>
          <w:i/>
          <w:lang w:val="es-ES"/>
        </w:rPr>
        <w:t>“Factores de Riesgo” – “La Ley de Defensa al Consumidor puede limitar alguno de nuestros derechos” y “Las acciones colectivas contra entidades financieras por montos indeterminados pueden afectar la rentabilidad del sistema financiero”</w:t>
      </w:r>
      <w:r w:rsidRPr="00AE4E8D">
        <w:rPr>
          <w:lang w:val="es-ES"/>
        </w:rPr>
        <w:t>.</w:t>
      </w:r>
    </w:p>
    <w:p w14:paraId="4020FE16" w14:textId="77777777" w:rsidR="005737C2" w:rsidRPr="00AE4E8D" w:rsidRDefault="005737C2" w:rsidP="00B52753">
      <w:pPr>
        <w:pStyle w:val="BH3Izquierda"/>
        <w:rPr>
          <w:lang w:val="es-ES"/>
        </w:rPr>
      </w:pPr>
      <w:r w:rsidRPr="00AE4E8D">
        <w:rPr>
          <w:lang w:val="es-ES"/>
        </w:rPr>
        <w:t xml:space="preserve">Sumarios en sede administrativa. </w:t>
      </w:r>
    </w:p>
    <w:p w14:paraId="4CC065FD" w14:textId="77777777" w:rsidR="00DA6198" w:rsidRPr="00AE4E8D" w:rsidRDefault="00DA6198" w:rsidP="008511C0">
      <w:pPr>
        <w:jc w:val="both"/>
        <w:rPr>
          <w:rFonts w:ascii="Times New Roman" w:hAnsi="Times New Roman"/>
          <w:lang w:val="es-ES" w:eastAsia="x-none"/>
        </w:rPr>
      </w:pPr>
      <w:r w:rsidRPr="00AE4E8D">
        <w:rPr>
          <w:rFonts w:ascii="Times New Roman" w:hAnsi="Times New Roman"/>
          <w:lang w:val="es-ES" w:eastAsia="x-none"/>
        </w:rPr>
        <w:t>Al 3</w:t>
      </w:r>
      <w:r w:rsidR="005849CF" w:rsidRPr="00AE4E8D">
        <w:rPr>
          <w:rFonts w:ascii="Times New Roman" w:hAnsi="Times New Roman"/>
          <w:lang w:val="es-ES" w:eastAsia="x-none"/>
        </w:rPr>
        <w:t>0</w:t>
      </w:r>
      <w:r w:rsidRPr="00AE4E8D">
        <w:rPr>
          <w:rFonts w:ascii="Times New Roman" w:hAnsi="Times New Roman"/>
          <w:lang w:val="es-ES" w:eastAsia="x-none"/>
        </w:rPr>
        <w:t xml:space="preserve"> de </w:t>
      </w:r>
      <w:r w:rsidR="005849CF" w:rsidRPr="00AE4E8D">
        <w:rPr>
          <w:rFonts w:ascii="Times New Roman" w:hAnsi="Times New Roman"/>
          <w:lang w:val="es-ES" w:eastAsia="x-none"/>
        </w:rPr>
        <w:t>junio</w:t>
      </w:r>
      <w:r w:rsidRPr="00AE4E8D">
        <w:rPr>
          <w:rFonts w:ascii="Times New Roman" w:hAnsi="Times New Roman"/>
          <w:lang w:val="es-ES" w:eastAsia="x-none"/>
        </w:rPr>
        <w:t xml:space="preserve"> de 2017, dado el estado actual de las actuaciones y teniendo en cuenta que existen argumentos jurídicos y fácticos que generan expectativas razonables para el dictado de una absolución de las personas físicas imputadas y de Banco Hipotecario S.A., no se han contabilizado previsiones.</w:t>
      </w:r>
      <w:r w:rsidR="0038649E" w:rsidRPr="00AE4E8D">
        <w:rPr>
          <w:rFonts w:ascii="Times New Roman" w:hAnsi="Times New Roman"/>
          <w:lang w:val="es-ES" w:eastAsia="x-none"/>
        </w:rPr>
        <w:t xml:space="preserve"> </w:t>
      </w:r>
    </w:p>
    <w:p w14:paraId="0C156624" w14:textId="77777777" w:rsidR="005737C2" w:rsidRPr="00AE4E8D" w:rsidRDefault="005737C2" w:rsidP="00D43A0B">
      <w:pPr>
        <w:pStyle w:val="BH4Cursiva"/>
        <w:rPr>
          <w:lang w:val="es-ES"/>
        </w:rPr>
      </w:pPr>
      <w:r w:rsidRPr="00AE4E8D">
        <w:rPr>
          <w:lang w:val="es-ES"/>
        </w:rPr>
        <w:t>Resolución N° 209/13 de la Unidad de Información Financiera</w:t>
      </w:r>
    </w:p>
    <w:p w14:paraId="2BFC34A4" w14:textId="77777777" w:rsidR="00AD703C" w:rsidRPr="00AE4E8D" w:rsidRDefault="00AD703C" w:rsidP="00AD703C">
      <w:pPr>
        <w:pStyle w:val="BHTexto"/>
        <w:rPr>
          <w:lang w:val="es-ES"/>
        </w:rPr>
      </w:pPr>
      <w:r w:rsidRPr="00AE4E8D">
        <w:rPr>
          <w:lang w:val="es-ES"/>
        </w:rPr>
        <w:t xml:space="preserve">El 19 de febrero de 2014 el Banco fue notificado de la Resolución de la Unidad de Información Financiera (UIF) N° 209/13 por la que se dispuso instruir un sumario a la entidad; a sus directores (Sres. Eduardo S. Elsztain; Mario Blejer; Ernesto M. Viñes; Jacobo J. Dreizzen; Edgardo L. Fornero; Carlos B. Pisula; Gabriel G. Reznik; Pablo D. Vergara del Carril; Mauricio E. Wior; Saul Zang); al Gerente de Área de Riesgo y Controlling, Sr. Gustavo D. Efkhanian y al Gerente de la Unidad de Prevención y Control de Lavado de Dinero, Sr. Jorge Gimeno. En dicho sumario se investiga las responsabilidad de las personas sumariadas por presunto incumplimiento a las disposiciones contenidas en el art. 21 de la Ley 25.246, sus modificatorias y la Resolución UIF N° 228/2007, a raíz de las deficiencias detectadas </w:t>
      </w:r>
      <w:r w:rsidRPr="00AD703C">
        <w:rPr>
          <w:lang w:val="es-ES"/>
        </w:rPr>
        <w:t>entre el 6 de diciembre de 2010 y el 28 de enero de 2011</w:t>
      </w:r>
      <w:r>
        <w:rPr>
          <w:lang w:val="es-ES"/>
        </w:rPr>
        <w:t xml:space="preserve"> </w:t>
      </w:r>
      <w:r w:rsidRPr="00AE4E8D">
        <w:rPr>
          <w:lang w:val="es-ES"/>
        </w:rPr>
        <w:t xml:space="preserve">por la inspección del BCRA en la organización y los controles internos implementados para la prevención del lavado de dinero proveniente de actividades ilícitas. El 25 de marzo de 2014 se presentaron las defensas y descargos correspondientes al Banco y a las personas físicas sumariadas. Por resolución del 7 de julio de 2016 se dispuso la desvinculación de las actuaciones sumariales de los señores Gustavo Daniel Efkhanian y Jorge Gimeno, y se ordenó citar al ex director titular Sr. Marcelo G. Cufré. </w:t>
      </w:r>
      <w:r>
        <w:rPr>
          <w:lang w:val="es-ES"/>
        </w:rPr>
        <w:t>El 24 de enero de 2017 se citó</w:t>
      </w:r>
      <w:r w:rsidRPr="00AE4E8D">
        <w:rPr>
          <w:lang w:val="es-ES"/>
        </w:rPr>
        <w:t xml:space="preserve"> a los ex directores del Banco: Clarisa </w:t>
      </w:r>
      <w:r w:rsidRPr="00AE4E8D">
        <w:rPr>
          <w:lang w:val="es-ES"/>
        </w:rPr>
        <w:lastRenderedPageBreak/>
        <w:t>Lifsic de Estol; Federico Besando y Diego Bossio. Los cuatro ex directores incorporados a las actuaciones sumariales en julio de 2016 y enero de 2017 se presentaron y formularon sus pertinentes descargos.</w:t>
      </w:r>
    </w:p>
    <w:p w14:paraId="057C4EF3" w14:textId="77777777" w:rsidR="005737C2" w:rsidRPr="00AE4E8D" w:rsidRDefault="005737C2" w:rsidP="00D43A0B">
      <w:pPr>
        <w:pStyle w:val="BH4Cursiva"/>
        <w:rPr>
          <w:lang w:val="es-ES"/>
        </w:rPr>
      </w:pPr>
      <w:r w:rsidRPr="00AE4E8D">
        <w:rPr>
          <w:lang w:val="es-ES"/>
        </w:rPr>
        <w:t>Resolución Nº76/15 de la Unidad de Información Financiera</w:t>
      </w:r>
    </w:p>
    <w:p w14:paraId="0CED6BD0" w14:textId="77777777" w:rsidR="005737C2" w:rsidRPr="00AE4E8D" w:rsidRDefault="005737C2" w:rsidP="00D43A0B">
      <w:pPr>
        <w:pStyle w:val="BHTexto"/>
        <w:rPr>
          <w:lang w:val="es-ES"/>
        </w:rPr>
      </w:pPr>
      <w:r w:rsidRPr="00AE4E8D">
        <w:rPr>
          <w:lang w:val="es-ES"/>
        </w:rPr>
        <w:t>El 11 de agosto de 2015 el Banco fue notificado de la Resolución N° 76/15 por la cual el Presidente de la Unidad de Información Financiera (UIF) había dispuesto la instrucción de un sumario al Banco Hipotecario S.A.; a sus directores (Sres. Eduardo S. Elsztain, Mario Blejer, Jacobo Julio Dreizzen, Carlos B. Pisula, Ernesto M. Viñes, Gabriel G. Reznik, Pablo D. Vergara del Carril, Mauricio Wior, Saúl Zang, Edgardo Fornero, y Diego Bossio; y Sras. Mariana Gonzalez y Ada Massa) y al Oficial de Cumplimiento (Sr. Ernesto M. Viñes), por supuestos incumplimientos a las previsiones del artículo 21, inc. a) de la Ley 25.246 y a la Resolución UIF N° 121/11. Según la resolución mencionada se ha alegado que el Banco y sus directores habrían incurrido en determinados incumplimientos vinculados con el modo de identificar a sus clientes, con los parámetros de monitoreo, con la definición de la matriz de riesgo y con los procedimientos de actualización de antecedentes y perfiles de clientes, entre otros.</w:t>
      </w:r>
    </w:p>
    <w:p w14:paraId="0B4DD27F" w14:textId="77777777" w:rsidR="005737C2" w:rsidRPr="00AE4E8D" w:rsidRDefault="005737C2" w:rsidP="00D43A0B">
      <w:pPr>
        <w:pStyle w:val="BHTexto"/>
        <w:rPr>
          <w:lang w:val="es-ES"/>
        </w:rPr>
      </w:pPr>
      <w:r w:rsidRPr="00AE4E8D">
        <w:rPr>
          <w:lang w:val="es-ES"/>
        </w:rPr>
        <w:t>El 23 de setiembre de 2015 se presentaron los descargos y defensas ante la UIF, se acompañó la prueba documental y se ofrecieron pruebas informativa, pericial informática y testimonial. El 13 de abril de 2016 se dispuso la apertura a prueba, la que fue producida en tiempo y forma por los imputados.</w:t>
      </w:r>
    </w:p>
    <w:p w14:paraId="43911400" w14:textId="77777777" w:rsidR="00FF64E7" w:rsidRPr="00AE4E8D" w:rsidRDefault="00FF64E7" w:rsidP="00D43A0B">
      <w:pPr>
        <w:pStyle w:val="BHTexto"/>
        <w:rPr>
          <w:lang w:val="es-ES"/>
        </w:rPr>
      </w:pPr>
      <w:r w:rsidRPr="00AE4E8D">
        <w:rPr>
          <w:lang w:val="es-ES"/>
        </w:rPr>
        <w:t xml:space="preserve">Mediante resolución comunicada a los sumariados el 2.08.16 se hizo saber que la UIF libraría oficio al BCRA a fin de que informe sobre el plan de adecuación y mitigación de riesgos presentado oportunamente por el Banco Hipotecario y remita toda la información vinculada con la inspección que dio origen a las actuaciones sumariales. </w:t>
      </w:r>
    </w:p>
    <w:p w14:paraId="2FB910E1" w14:textId="77777777" w:rsidR="00FF64E7" w:rsidRPr="00AE4E8D" w:rsidRDefault="00FF64E7" w:rsidP="00D43A0B">
      <w:pPr>
        <w:pStyle w:val="BHTexto"/>
        <w:rPr>
          <w:lang w:val="es-ES"/>
        </w:rPr>
      </w:pPr>
      <w:r w:rsidRPr="00AE4E8D">
        <w:rPr>
          <w:lang w:val="es-ES"/>
        </w:rPr>
        <w:t>En función de los antecedentes que se han registrado en la UIF ante casos similares, se estima que existe</w:t>
      </w:r>
      <w:r w:rsidR="00EB3492" w:rsidRPr="00AE4E8D">
        <w:rPr>
          <w:lang w:val="es-ES"/>
        </w:rPr>
        <w:t xml:space="preserve"> </w:t>
      </w:r>
      <w:r w:rsidRPr="00AE4E8D">
        <w:rPr>
          <w:lang w:val="es-ES"/>
        </w:rPr>
        <w:t>probabilidad de la aplicación de una multa en sede administrativa. Por ello, se estimó razonable constituir una de previsión del orden de los miles de pesos 20, la que fue contabilizado con fecha 22 de octubre de 2015.</w:t>
      </w:r>
    </w:p>
    <w:p w14:paraId="69C94926" w14:textId="77777777" w:rsidR="00B33C11" w:rsidRPr="00AE4E8D" w:rsidRDefault="005849CF" w:rsidP="00D43A0B">
      <w:pPr>
        <w:pStyle w:val="BHTexto"/>
        <w:rPr>
          <w:lang w:val="es-ES"/>
        </w:rPr>
      </w:pPr>
      <w:r w:rsidRPr="00AE4E8D">
        <w:rPr>
          <w:lang w:val="es-ES"/>
        </w:rPr>
        <w:t>Entre ellas, se incluyó el informe emitido por el BCRA sobre el plan de adecuación y de mitigación de riesgos presentado oportunamente por el Banco Hipotecario. Al concluir esa etapa procesal, los apoderados de las personas sumariadas presentaron los alegatos sobre la prueba producida.</w:t>
      </w:r>
    </w:p>
    <w:p w14:paraId="6A082698" w14:textId="77777777" w:rsidR="00B33C11" w:rsidRPr="00AE4E8D" w:rsidRDefault="00B33C11" w:rsidP="00D43A0B">
      <w:pPr>
        <w:pStyle w:val="BH4Cursiva"/>
        <w:rPr>
          <w:lang w:val="es-ES"/>
        </w:rPr>
      </w:pPr>
      <w:r w:rsidRPr="00AE4E8D">
        <w:rPr>
          <w:lang w:val="es-ES"/>
        </w:rPr>
        <w:t>Resolución N ° 1014/16: Superintendencia de Entidades Financieras y Cambiarias</w:t>
      </w:r>
    </w:p>
    <w:p w14:paraId="55BD95B8" w14:textId="77777777" w:rsidR="00B33C11" w:rsidRPr="00AE4E8D" w:rsidRDefault="00B33C11" w:rsidP="00D43A0B">
      <w:pPr>
        <w:pStyle w:val="BHTexto"/>
        <w:rPr>
          <w:lang w:val="es-ES"/>
        </w:rPr>
      </w:pPr>
      <w:r w:rsidRPr="00AE4E8D">
        <w:rPr>
          <w:lang w:val="es-ES"/>
        </w:rPr>
        <w:t>El 15 de febrero de 2016 el Banco fue notificado de la Resolución N° 1014 dictada por el Superintendente de Entidades Financieras y Cambiarias por la que dispuso la instrucción de un sumario en los términos del artículo 41 de la Ley de Entidades Financieras (Sumario N° 1486), al Banco Hipotecario S.A. y</w:t>
      </w:r>
      <w:r w:rsidR="00EB3492" w:rsidRPr="00AE4E8D">
        <w:rPr>
          <w:lang w:val="es-ES"/>
        </w:rPr>
        <w:t xml:space="preserve"> </w:t>
      </w:r>
      <w:r w:rsidRPr="00AE4E8D">
        <w:rPr>
          <w:lang w:val="es-ES"/>
        </w:rPr>
        <w:t>a su presidente Sr. Eduardo S. Elsztain por presunta infracción a las normas de la Comunicación “A” 4490,</w:t>
      </w:r>
      <w:r w:rsidR="00EB3492" w:rsidRPr="00AE4E8D">
        <w:rPr>
          <w:lang w:val="es-ES"/>
        </w:rPr>
        <w:t xml:space="preserve"> </w:t>
      </w:r>
      <w:r w:rsidRPr="00AE4E8D">
        <w:rPr>
          <w:lang w:val="es-ES"/>
        </w:rPr>
        <w:t>en razón de haber omitido informar -dentro del plazo establecido por la normativa aplicable-, la designación de nuevos directores por las Asambleas realizadas el 27 de marzo y 24 de abril de 2013,</w:t>
      </w:r>
      <w:r w:rsidR="00EB3492" w:rsidRPr="00AE4E8D">
        <w:rPr>
          <w:lang w:val="es-ES"/>
        </w:rPr>
        <w:t xml:space="preserve"> </w:t>
      </w:r>
      <w:r w:rsidRPr="00AE4E8D">
        <w:rPr>
          <w:lang w:val="es-ES"/>
        </w:rPr>
        <w:t xml:space="preserve">y de haber presentado tardíamente documentación relacionada con esos directores. Cabe comentar que en todos los casos se trató de directores titulares y suplentes designados por el Estado Nacional. </w:t>
      </w:r>
    </w:p>
    <w:p w14:paraId="6525A163" w14:textId="77777777" w:rsidR="00B33C11" w:rsidRPr="00AE4E8D" w:rsidRDefault="00B33C11" w:rsidP="00D43A0B">
      <w:pPr>
        <w:pStyle w:val="BHTexto"/>
        <w:rPr>
          <w:lang w:val="es-ES"/>
        </w:rPr>
      </w:pPr>
      <w:r w:rsidRPr="00AE4E8D">
        <w:rPr>
          <w:lang w:val="es-ES"/>
        </w:rPr>
        <w:t xml:space="preserve">El 29 de febrero de 2016 se presentaron las defensas y descargos y se acompañó la prueba documental, las que tramitan ante la Gerencia de Asuntos Contenciosos en lo Financiero del BCRA. </w:t>
      </w:r>
    </w:p>
    <w:p w14:paraId="6FAD423B" w14:textId="77777777" w:rsidR="00B33C11" w:rsidRPr="00AE4E8D" w:rsidRDefault="00B33C11" w:rsidP="00D43A0B">
      <w:pPr>
        <w:pStyle w:val="BHTexto"/>
        <w:rPr>
          <w:highlight w:val="yellow"/>
          <w:lang w:val="es-ES"/>
        </w:rPr>
      </w:pPr>
      <w:r w:rsidRPr="00AE4E8D">
        <w:rPr>
          <w:lang w:val="es-ES"/>
        </w:rPr>
        <w:t>Ante la probabilidad de que el Banco sea pasible de una multa, se estimó razonable constituir una previsión de</w:t>
      </w:r>
      <w:r w:rsidR="00EB3492" w:rsidRPr="00AE4E8D">
        <w:rPr>
          <w:lang w:val="es-ES"/>
        </w:rPr>
        <w:t xml:space="preserve"> </w:t>
      </w:r>
      <w:r w:rsidRPr="00AE4E8D">
        <w:rPr>
          <w:lang w:val="es-ES"/>
        </w:rPr>
        <w:t>miles de pesos 560, la que fue contabilizada el pasado 30 de junio de 2016.</w:t>
      </w:r>
    </w:p>
    <w:p w14:paraId="64D2C785" w14:textId="77777777" w:rsidR="005737C2" w:rsidRPr="00AE4E8D" w:rsidRDefault="005737C2" w:rsidP="00D43A0B">
      <w:pPr>
        <w:pStyle w:val="BH4Cursiva"/>
        <w:rPr>
          <w:lang w:val="es-ES"/>
        </w:rPr>
      </w:pPr>
      <w:r w:rsidRPr="00AE4E8D">
        <w:rPr>
          <w:lang w:val="es-ES"/>
        </w:rPr>
        <w:t>Resolución N ° 219/16: Superintenden</w:t>
      </w:r>
      <w:r w:rsidR="00AC4285" w:rsidRPr="00AE4E8D">
        <w:rPr>
          <w:lang w:val="es-ES"/>
        </w:rPr>
        <w:t>cia</w:t>
      </w:r>
      <w:r w:rsidRPr="00AE4E8D">
        <w:rPr>
          <w:lang w:val="es-ES"/>
        </w:rPr>
        <w:t xml:space="preserve"> de Entidades Financieras y Cambiarias</w:t>
      </w:r>
    </w:p>
    <w:p w14:paraId="053D1D59" w14:textId="77777777" w:rsidR="005737C2" w:rsidRPr="00AE4E8D" w:rsidRDefault="005737C2" w:rsidP="00D43A0B">
      <w:pPr>
        <w:pStyle w:val="BHTexto"/>
        <w:rPr>
          <w:lang w:val="es-ES"/>
        </w:rPr>
      </w:pPr>
      <w:r w:rsidRPr="00AE4E8D">
        <w:rPr>
          <w:lang w:val="es-ES"/>
        </w:rPr>
        <w:t>El 10 de mayo 2016, fuimos notificados de la Resolución N°219 de fecha 22 de abril de 2016, aprobada por la Superintenden</w:t>
      </w:r>
      <w:r w:rsidR="008C0F46" w:rsidRPr="00AE4E8D">
        <w:rPr>
          <w:lang w:val="es-ES"/>
        </w:rPr>
        <w:t>cia</w:t>
      </w:r>
      <w:r w:rsidRPr="00AE4E8D">
        <w:rPr>
          <w:lang w:val="es-ES"/>
        </w:rPr>
        <w:t xml:space="preserve"> de Entidades Financieras y Cambiarias por </w:t>
      </w:r>
      <w:r w:rsidR="00AC4285" w:rsidRPr="00AE4E8D">
        <w:rPr>
          <w:lang w:val="es-ES"/>
        </w:rPr>
        <w:t>la</w:t>
      </w:r>
      <w:r w:rsidRPr="00AE4E8D">
        <w:rPr>
          <w:lang w:val="es-ES"/>
        </w:rPr>
        <w:t xml:space="preserve"> cual se dispuso instruir el Sumario Cambiario N°6845, en materia de divisas contra B</w:t>
      </w:r>
      <w:r w:rsidR="00560403" w:rsidRPr="00AE4E8D">
        <w:rPr>
          <w:lang w:val="es-ES"/>
        </w:rPr>
        <w:t xml:space="preserve">anco </w:t>
      </w:r>
      <w:r w:rsidRPr="00AE4E8D">
        <w:rPr>
          <w:lang w:val="es-ES"/>
        </w:rPr>
        <w:t>H</w:t>
      </w:r>
      <w:r w:rsidR="00560403" w:rsidRPr="00AE4E8D">
        <w:rPr>
          <w:lang w:val="es-ES"/>
        </w:rPr>
        <w:t xml:space="preserve">ipotecario </w:t>
      </w:r>
      <w:r w:rsidRPr="00AE4E8D">
        <w:rPr>
          <w:lang w:val="es-ES"/>
        </w:rPr>
        <w:t>S</w:t>
      </w:r>
      <w:r w:rsidR="00560403" w:rsidRPr="00AE4E8D">
        <w:rPr>
          <w:lang w:val="es-ES"/>
        </w:rPr>
        <w:t>.</w:t>
      </w:r>
      <w:r w:rsidRPr="00AE4E8D">
        <w:rPr>
          <w:lang w:val="es-ES"/>
        </w:rPr>
        <w:t>A</w:t>
      </w:r>
      <w:r w:rsidR="00560403" w:rsidRPr="00AE4E8D">
        <w:rPr>
          <w:lang w:val="es-ES"/>
        </w:rPr>
        <w:t>.</w:t>
      </w:r>
      <w:r w:rsidRPr="00AE4E8D">
        <w:rPr>
          <w:lang w:val="es-ES"/>
        </w:rPr>
        <w:t xml:space="preserve">, Ricardo José González, Luciana Sabrina Fusco y Liliana Elisabeth Sabella, en los términos del artículo 8 de la Ley de Régimen Penal Cambiario (t.o.por Decreto 480/95). El procedimiento sumario alegó una violación de determinadas disposiciones para la venta de moneda extranjera por un monto de US$69.620 en relación con una transacción de préstamo hipotecario, se imputaron presuntas infracciones a las disposiciones de las Comunicaciones "A" 5318, 5322 y normas complementarias. </w:t>
      </w:r>
    </w:p>
    <w:p w14:paraId="149BA59E" w14:textId="77777777" w:rsidR="005737C2" w:rsidRPr="00AE4E8D" w:rsidRDefault="005737C2" w:rsidP="00D43A0B">
      <w:pPr>
        <w:pStyle w:val="BHTexto"/>
        <w:rPr>
          <w:lang w:val="es-ES"/>
        </w:rPr>
      </w:pPr>
      <w:r w:rsidRPr="00AE4E8D">
        <w:rPr>
          <w:lang w:val="es-ES"/>
        </w:rPr>
        <w:t>El 18 de noviembre de 2016 se presentaron los descargos y defensas -entre los cuales se invocó la atipicidad manifiesta del hecho reprochado por aplicación retroactiva de la ley penal más benigna-, y se ofrecieron pruebas.</w:t>
      </w:r>
    </w:p>
    <w:p w14:paraId="322D6069" w14:textId="77777777" w:rsidR="00FA136E" w:rsidRPr="00AE4E8D" w:rsidRDefault="00FA136E" w:rsidP="00D43A0B">
      <w:pPr>
        <w:pStyle w:val="BHTexto"/>
        <w:rPr>
          <w:highlight w:val="yellow"/>
          <w:lang w:val="es-ES"/>
        </w:rPr>
      </w:pPr>
      <w:r w:rsidRPr="00AE4E8D">
        <w:rPr>
          <w:lang w:val="es-ES"/>
        </w:rPr>
        <w:lastRenderedPageBreak/>
        <w:t>Dado el estado actual de las actuaciones y teniendo en cuenta que existen argumentos jurídicos y fácticos que generan expectativas razonables para el dictado de una absolución de las personas físicas imputadas y de Banco Hipotecario S.A.,</w:t>
      </w:r>
      <w:r w:rsidR="00EB3492" w:rsidRPr="00AE4E8D">
        <w:rPr>
          <w:lang w:val="es-ES"/>
        </w:rPr>
        <w:t xml:space="preserve"> </w:t>
      </w:r>
      <w:r w:rsidRPr="00AE4E8D">
        <w:rPr>
          <w:lang w:val="es-ES"/>
        </w:rPr>
        <w:t>no se</w:t>
      </w:r>
      <w:r w:rsidR="00EB3492" w:rsidRPr="00AE4E8D">
        <w:rPr>
          <w:lang w:val="es-ES"/>
        </w:rPr>
        <w:t xml:space="preserve"> </w:t>
      </w:r>
      <w:r w:rsidRPr="00AE4E8D">
        <w:rPr>
          <w:lang w:val="es-ES"/>
        </w:rPr>
        <w:t>han contabilizado previsiones</w:t>
      </w:r>
      <w:r w:rsidR="00D43A0B" w:rsidRPr="00AE4E8D">
        <w:rPr>
          <w:lang w:val="es-ES"/>
        </w:rPr>
        <w:t>.</w:t>
      </w:r>
    </w:p>
    <w:p w14:paraId="11D876F6" w14:textId="77777777" w:rsidR="005737C2" w:rsidRPr="00AE4E8D" w:rsidRDefault="005737C2" w:rsidP="00B52753">
      <w:pPr>
        <w:pStyle w:val="BH3Izquierda"/>
        <w:rPr>
          <w:lang w:val="es-ES"/>
        </w:rPr>
      </w:pPr>
      <w:r w:rsidRPr="00AE4E8D">
        <w:rPr>
          <w:lang w:val="es-ES"/>
        </w:rPr>
        <w:t xml:space="preserve">Sumarios en Instancia Judicial. </w:t>
      </w:r>
    </w:p>
    <w:p w14:paraId="3858748A" w14:textId="77777777" w:rsidR="005737C2" w:rsidRPr="00AE4E8D" w:rsidRDefault="005737C2" w:rsidP="00D43A0B">
      <w:pPr>
        <w:pStyle w:val="BHTexto"/>
        <w:rPr>
          <w:lang w:val="es-ES"/>
        </w:rPr>
      </w:pPr>
      <w:r w:rsidRPr="00AE4E8D">
        <w:rPr>
          <w:lang w:val="es-ES"/>
        </w:rPr>
        <w:t>Al 3</w:t>
      </w:r>
      <w:r w:rsidR="006B3539" w:rsidRPr="00AE4E8D">
        <w:rPr>
          <w:lang w:val="es-ES"/>
        </w:rPr>
        <w:t>0</w:t>
      </w:r>
      <w:r w:rsidRPr="00AE4E8D">
        <w:rPr>
          <w:lang w:val="es-ES"/>
        </w:rPr>
        <w:t xml:space="preserve"> de </w:t>
      </w:r>
      <w:r w:rsidR="006B3539" w:rsidRPr="00AE4E8D">
        <w:rPr>
          <w:lang w:val="es-ES"/>
        </w:rPr>
        <w:t>junio</w:t>
      </w:r>
      <w:r w:rsidRPr="00AE4E8D">
        <w:rPr>
          <w:lang w:val="es-ES"/>
        </w:rPr>
        <w:t xml:space="preserve"> de 201</w:t>
      </w:r>
      <w:r w:rsidR="00C4332A" w:rsidRPr="00AE4E8D">
        <w:rPr>
          <w:lang w:val="es-ES"/>
        </w:rPr>
        <w:t>7</w:t>
      </w:r>
      <w:r w:rsidRPr="00AE4E8D">
        <w:rPr>
          <w:lang w:val="es-ES"/>
        </w:rPr>
        <w:t>, registrábamos previsiones para juicios por sumarios en instancia judicial por Ps.</w:t>
      </w:r>
      <w:r w:rsidR="006B3539" w:rsidRPr="00AE4E8D">
        <w:rPr>
          <w:lang w:val="es-ES"/>
        </w:rPr>
        <w:t>181</w:t>
      </w:r>
      <w:proofErr w:type="gramStart"/>
      <w:r w:rsidR="006B3539" w:rsidRPr="00AE4E8D">
        <w:rPr>
          <w:lang w:val="es-ES"/>
        </w:rPr>
        <w:t>,3</w:t>
      </w:r>
      <w:proofErr w:type="gramEnd"/>
      <w:r w:rsidRPr="00AE4E8D">
        <w:rPr>
          <w:lang w:val="es-ES"/>
        </w:rPr>
        <w:t xml:space="preserve"> millones. El monto de estas previsiones se determina teniendo en cuenta los montos reclamados y la estimación de pérdida. Creemos que estos sumarios son habituales en el giro de nuestras actividades y consideramos que ninguno de dichos reclamos podría afectar materialmente y de manera adversa nuestras actividades comerciales o nuestra situación patrimonial consolidada.</w:t>
      </w:r>
      <w:r w:rsidR="0096113E" w:rsidRPr="00AE4E8D">
        <w:rPr>
          <w:lang w:val="es-ES"/>
        </w:rPr>
        <w:t xml:space="preserve"> </w:t>
      </w:r>
    </w:p>
    <w:p w14:paraId="347B9C50" w14:textId="77777777" w:rsidR="005737C2" w:rsidRPr="00AE4E8D" w:rsidRDefault="005737C2" w:rsidP="00D43A0B">
      <w:pPr>
        <w:pStyle w:val="BH4Cursiva"/>
        <w:rPr>
          <w:lang w:val="es-ES"/>
        </w:rPr>
      </w:pPr>
      <w:r w:rsidRPr="00AE4E8D">
        <w:rPr>
          <w:lang w:val="es-ES"/>
        </w:rPr>
        <w:t>Resolución Nº685/14 de la Superintendencia de Entidades Financieras y Cambiarias</w:t>
      </w:r>
    </w:p>
    <w:p w14:paraId="05287C29" w14:textId="77777777" w:rsidR="005737C2" w:rsidRPr="00AE4E8D" w:rsidRDefault="005737C2" w:rsidP="00D43A0B">
      <w:pPr>
        <w:pStyle w:val="BHTexto"/>
        <w:rPr>
          <w:lang w:val="es-ES"/>
        </w:rPr>
      </w:pPr>
      <w:r w:rsidRPr="00AE4E8D">
        <w:rPr>
          <w:lang w:val="es-ES"/>
        </w:rPr>
        <w:t>El 31 de octubre de 2014 el Banco fue notificado de la Resolución N° 685 del 29/10/14 dictada por el Superintendente de Entidades Financieras y Cambiarias en las actuaciones por las que tramitaba el Sumario en lo Financiero N° 1320, en las cuales se imputaron al Banco y a sus autoridades presuntas infracciones a la normativa sobre asistencia al Sector Público no Financiero, excesos a los límites de fraccionamiento del riesgo crediticio con el sector público no financiero, excesos en la afectación de activos en garantía, insuficiencias en materia de las exigencias de capitales mínimos y objeciones al tratamiento contable con motivo de la operación “Cer Swap Linked to PG08 and External Debt”; y por otra parte, se imputaron demoras en la comunicación de la designación de nuevos directores y retardo en el suministro de documentación relacionada con los nuevos directores electos por las asambleas.</w:t>
      </w:r>
    </w:p>
    <w:p w14:paraId="7D2FF53A" w14:textId="77777777" w:rsidR="005737C2" w:rsidRPr="00AE4E8D" w:rsidRDefault="005737C2" w:rsidP="00D43A0B">
      <w:pPr>
        <w:pStyle w:val="BHTexto"/>
        <w:rPr>
          <w:lang w:val="es-ES"/>
        </w:rPr>
      </w:pPr>
      <w:r w:rsidRPr="00AE4E8D">
        <w:rPr>
          <w:lang w:val="es-ES"/>
        </w:rPr>
        <w:t xml:space="preserve">A través de la Resolución mencionada se impuso una multa de miles de pesos 4.040 al Banco Hipotecario S.A., y multas por montos individuales a sus directores (Eduardo S. Elsztain; Jacobo J. Dreizzen; Carlos B. Pisula; Edgardo L. Fornero; Gabriel G. Reznik; Pablo D. Vergara del Carril; Ernesto M. Viñes; Saul Zang; Mauricio E. Wior, ex directores (Clarisa D. Lifsic de Estol; Federico L. Bensadon; Jorge L. March y Jaime A. Grinberg, a los síndicos (Sres. Ricardo Flammini; José D. Abelovich; Marcelo H. Fuxman; Alfredo H. Groppo; y Martín E. Scotto) al Gerente de Area Gustavo D. Efkhanian y a los ex gerentes (Gabriel G. Saidon y Enrique L. Benitez) que ascienden a miles de pesos 51.582. Por la misma resolución fue absuelta </w:t>
      </w:r>
      <w:proofErr w:type="gramStart"/>
      <w:r w:rsidRPr="00AE4E8D">
        <w:rPr>
          <w:lang w:val="es-ES"/>
        </w:rPr>
        <w:t>la</w:t>
      </w:r>
      <w:proofErr w:type="gramEnd"/>
      <w:r w:rsidRPr="00AE4E8D">
        <w:rPr>
          <w:lang w:val="es-ES"/>
        </w:rPr>
        <w:t xml:space="preserve"> ex síndico Sra. Silvana M. Gentile.</w:t>
      </w:r>
    </w:p>
    <w:p w14:paraId="33DFA516" w14:textId="77777777" w:rsidR="005737C2" w:rsidRPr="00AE4E8D" w:rsidRDefault="005737C2" w:rsidP="00D43A0B">
      <w:pPr>
        <w:pStyle w:val="BHTexto"/>
        <w:rPr>
          <w:lang w:val="es-ES"/>
        </w:rPr>
      </w:pPr>
      <w:r w:rsidRPr="00AE4E8D">
        <w:rPr>
          <w:lang w:val="es-ES"/>
        </w:rPr>
        <w:t xml:space="preserve">Contra la medida sancionatoria, el Banco Hipotecario S.A. y las demás personas afectadas interpusieron el 25 de noviembre de 2014 el recurso de apelación previsto por el art. 42 de la Ley de Entidades Financieras, el que fue remitido por el BCRA a la Cámara Nacional de Apelaciones en lo Contencioso Administrativo Federal, quedando radicado en la Sala I de dicha Cámara. Asimismo y ante la misma Sala quedaron radicadas el 30 de diciembre de 2014 las medidas cautelares autónomas presentadas por el Banco y las personas sancionadas ante las ejecuciones fiscales promovidas por el BCRA para el cobro de las multas. </w:t>
      </w:r>
    </w:p>
    <w:p w14:paraId="25CD0FF1" w14:textId="77777777" w:rsidR="005737C2" w:rsidRPr="00AE4E8D" w:rsidRDefault="005737C2" w:rsidP="00D43A0B">
      <w:pPr>
        <w:pStyle w:val="BHTexto"/>
        <w:rPr>
          <w:lang w:val="es-ES"/>
        </w:rPr>
      </w:pPr>
      <w:r w:rsidRPr="00AE4E8D">
        <w:rPr>
          <w:lang w:val="es-ES"/>
        </w:rPr>
        <w:t xml:space="preserve">Al tomar conocimiento de la resolución dictada el 30 de junio último por la Cámara Federal no haciendo lugar a las medidas cautelares deducidas por la entidad y directores, gerentes y algunos de los síndicos y con el propósito de evitar mayores conflictos y perjuicios patrimoniales que pudieran derivar de las acciones de ejecución de las multas, el Comité Ejecutivo del Banco resolvió aplicar el régimen de indemnidad respecto de los directores, personal superior y síndicos que -en subsidio de los importes no cubiertos por la póliza de seguro D&amp;O-, aprobó el Directorio de la entidad en sus reuniones del 2 de agosto de 2002 y el 8 de mayo de 2013, disponiendo el depósito de los importes de las multas. </w:t>
      </w:r>
    </w:p>
    <w:p w14:paraId="46E946F3" w14:textId="77777777" w:rsidR="00AD703C" w:rsidRPr="00AE4E8D" w:rsidRDefault="00AD703C" w:rsidP="00AD703C">
      <w:pPr>
        <w:pStyle w:val="BHTexto"/>
        <w:rPr>
          <w:lang w:val="es-ES"/>
        </w:rPr>
      </w:pPr>
      <w:r w:rsidRPr="00AE4E8D">
        <w:rPr>
          <w:lang w:val="es-ES"/>
        </w:rPr>
        <w:t>Dicho depósito, incluyendo el correspondiente a la sanción económica aplicada al Banco y las costas respectivas, representó la sum</w:t>
      </w:r>
      <w:r>
        <w:rPr>
          <w:lang w:val="es-ES"/>
        </w:rPr>
        <w:t>a total de miles de pesos 57,8 miles</w:t>
      </w:r>
      <w:r w:rsidRPr="00AE4E8D">
        <w:rPr>
          <w:lang w:val="es-ES"/>
        </w:rPr>
        <w:t xml:space="preserve"> de los cuales </w:t>
      </w:r>
      <w:r>
        <w:rPr>
          <w:lang w:val="es-ES"/>
        </w:rPr>
        <w:t>de pesos 53,6 mil</w:t>
      </w:r>
      <w:r w:rsidRPr="00AE4E8D">
        <w:rPr>
          <w:lang w:val="es-ES"/>
        </w:rPr>
        <w:t xml:space="preserve"> fueron imputados como pérdida del presente ejercicio de acuerdo a lo establecido en Acta No 229 del Comité Ejecutivo de Banco Hipotecario S.A. celebrado el día 2 de julio de 2015 y por el Directorio de la entidad en su reunión del día 15 de julio de 2015 y miles de pesos 4.040 fueron previsionados en el ejercicio anterior.</w:t>
      </w:r>
    </w:p>
    <w:p w14:paraId="7E53AD2B" w14:textId="77777777" w:rsidR="005737C2" w:rsidRPr="00AE4E8D" w:rsidRDefault="005737C2" w:rsidP="00D43A0B">
      <w:pPr>
        <w:pStyle w:val="BHTexto"/>
        <w:rPr>
          <w:lang w:val="es-ES"/>
        </w:rPr>
      </w:pPr>
      <w:r w:rsidRPr="00AE4E8D">
        <w:rPr>
          <w:lang w:val="es-ES"/>
        </w:rPr>
        <w:t>Sin perjuicio de ello, corresponde aclarar que en la presentación realizada ante el tribunal donde tramita la ejecución se hizo saber que las sumas depositadas en las cuentas judiciales habilitadas al efecto, eran dadas a embargo, solicitando que los montos respectivos fueran invertidos en depósitos bancarios a plazo fijo por 180 días renovables automáticamente a fin de asegurar la integridad de su valores monetarios hasta tanto la Cámara Nacional de Apelaciones en lo Contencioso Administrativo Federal resolviera definitivamente el recurso de apelación interpuesto contra la Resolución N° 685/14 del BCRA.</w:t>
      </w:r>
    </w:p>
    <w:p w14:paraId="6B27431A" w14:textId="77777777" w:rsidR="005737C2" w:rsidRPr="00AE4E8D" w:rsidRDefault="005737C2" w:rsidP="00D43A0B">
      <w:pPr>
        <w:pStyle w:val="BHTexto"/>
        <w:rPr>
          <w:lang w:val="es-ES"/>
        </w:rPr>
      </w:pPr>
      <w:r w:rsidRPr="00AE4E8D">
        <w:rPr>
          <w:lang w:val="es-ES"/>
        </w:rPr>
        <w:lastRenderedPageBreak/>
        <w:t>Al desestimarse las medidas cautelares promovidas, a instancias del BCRA el juzgado prosiguió con el proceso de ejecución de las multas contra cada uno de los imputados, razón por la que se solicitó que los importes depositados a embargo, fueran aplicados al</w:t>
      </w:r>
      <w:r w:rsidR="00EB3492" w:rsidRPr="00AE4E8D">
        <w:rPr>
          <w:lang w:val="es-ES"/>
        </w:rPr>
        <w:t xml:space="preserve"> </w:t>
      </w:r>
      <w:r w:rsidRPr="00AE4E8D">
        <w:rPr>
          <w:lang w:val="es-ES"/>
        </w:rPr>
        <w:t>pago de las respectivas sanciones económicas.</w:t>
      </w:r>
    </w:p>
    <w:p w14:paraId="5C463FA5" w14:textId="77777777" w:rsidR="005737C2" w:rsidRPr="00AE4E8D" w:rsidRDefault="005737C2" w:rsidP="00D43A0B">
      <w:pPr>
        <w:pStyle w:val="BH4Cursiva"/>
        <w:rPr>
          <w:lang w:val="es-ES"/>
        </w:rPr>
      </w:pPr>
      <w:r w:rsidRPr="00AE4E8D">
        <w:rPr>
          <w:lang w:val="es-ES"/>
        </w:rPr>
        <w:t>Resolución N° 611/13 de la Superintendencia de Entidades Financieras y Cambiarias.</w:t>
      </w:r>
    </w:p>
    <w:p w14:paraId="0E0478E2" w14:textId="77777777" w:rsidR="005737C2" w:rsidRPr="00AE4E8D" w:rsidRDefault="005737C2" w:rsidP="00D43A0B">
      <w:pPr>
        <w:pStyle w:val="BHTexto"/>
        <w:rPr>
          <w:lang w:val="es-ES"/>
        </w:rPr>
      </w:pPr>
      <w:r w:rsidRPr="00AE4E8D">
        <w:rPr>
          <w:lang w:val="es-ES"/>
        </w:rPr>
        <w:t>El Banco fue notificado el 13 de setiembre de 2013 de la Resolución N° 611 dictada por el Superintendente de Entidades Financieras y Cambiarias que dispuso instruir sumario a esta entidad,</w:t>
      </w:r>
      <w:r w:rsidR="00EB3492" w:rsidRPr="00AE4E8D">
        <w:rPr>
          <w:lang w:val="es-ES"/>
        </w:rPr>
        <w:t xml:space="preserve"> </w:t>
      </w:r>
      <w:r w:rsidRPr="00AE4E8D">
        <w:rPr>
          <w:lang w:val="es-ES"/>
        </w:rPr>
        <w:t>al Gerente de Organización y Procedimientos, Sr. Christian Giummarra y a la ex Gerente de Sistemas, Sra. Aixa Manelli (Sumario en lo Cambiario N° 5469 – Expte 100.082/08);</w:t>
      </w:r>
      <w:r w:rsidR="00EB3492" w:rsidRPr="00AE4E8D">
        <w:rPr>
          <w:lang w:val="es-ES"/>
        </w:rPr>
        <w:t xml:space="preserve"> </w:t>
      </w:r>
      <w:r w:rsidRPr="00AE4E8D">
        <w:rPr>
          <w:lang w:val="es-ES"/>
        </w:rPr>
        <w:t xml:space="preserve">por el presunto incumplimiento de la normativa cambiaria con motivo de la venta de moneda extranjera a personas suspendidas por el BCRA para operar en cambios. El importe acumulado de las ventas de moneda extranjera en supuesta infracción, es del orden de los </w:t>
      </w:r>
      <w:r w:rsidR="002E01F1" w:rsidRPr="00AE4E8D">
        <w:rPr>
          <w:lang w:val="es-ES"/>
        </w:rPr>
        <w:t>US$</w:t>
      </w:r>
      <w:r w:rsidRPr="00AE4E8D">
        <w:rPr>
          <w:lang w:val="es-ES"/>
        </w:rPr>
        <w:t xml:space="preserve"> 39,9 miles y Euros 1,1 miles. Se han presentado las defensas y descargos y ofrecido la prueba que hace al derecho de todos los sumariados.</w:t>
      </w:r>
      <w:r w:rsidR="00EB3492" w:rsidRPr="00AE4E8D">
        <w:rPr>
          <w:lang w:val="es-ES"/>
        </w:rPr>
        <w:t xml:space="preserve"> </w:t>
      </w:r>
      <w:r w:rsidRPr="00AE4E8D">
        <w:rPr>
          <w:lang w:val="es-ES"/>
        </w:rPr>
        <w:t xml:space="preserve">El expediente de este sumario fue acumulado al Sumario en lo Cambiario N° 5529 (Expte. 101.327/10) que se dispuso instruir a los mismos imputados por Resolución N° 720 notificada el </w:t>
      </w:r>
      <w:r w:rsidR="00942294" w:rsidRPr="00AE4E8D">
        <w:rPr>
          <w:lang w:val="es-ES"/>
        </w:rPr>
        <w:t>8 de octubre de 2013</w:t>
      </w:r>
      <w:r w:rsidRPr="00AE4E8D">
        <w:rPr>
          <w:lang w:val="es-ES"/>
        </w:rPr>
        <w:t>,</w:t>
      </w:r>
      <w:r w:rsidR="00EB3492" w:rsidRPr="00AE4E8D">
        <w:rPr>
          <w:lang w:val="es-ES"/>
        </w:rPr>
        <w:t xml:space="preserve"> </w:t>
      </w:r>
      <w:r w:rsidRPr="00AE4E8D">
        <w:rPr>
          <w:lang w:val="es-ES"/>
        </w:rPr>
        <w:t>en razón de su conexidad subjetiva. En este caso el</w:t>
      </w:r>
      <w:r w:rsidR="00EB3492" w:rsidRPr="00AE4E8D">
        <w:rPr>
          <w:lang w:val="es-ES"/>
        </w:rPr>
        <w:t xml:space="preserve"> </w:t>
      </w:r>
      <w:r w:rsidRPr="00AE4E8D">
        <w:rPr>
          <w:lang w:val="es-ES"/>
        </w:rPr>
        <w:t>importe acumulado de las ventas de moneda extranjera en supuesta infracción, fue del orden de los miles de dólares</w:t>
      </w:r>
      <w:r w:rsidR="00EB3492" w:rsidRPr="00AE4E8D">
        <w:rPr>
          <w:lang w:val="es-ES"/>
        </w:rPr>
        <w:t xml:space="preserve"> </w:t>
      </w:r>
      <w:r w:rsidRPr="00AE4E8D">
        <w:rPr>
          <w:lang w:val="es-ES"/>
        </w:rPr>
        <w:t>86. Oportunamente se presentaron las defensas y descargos y fue ofrecida la prueba que hace al derecho de todos los sumariados. El BCRA dispuso la apertura a prueba, la que fue producida oportunamente.</w:t>
      </w:r>
      <w:r w:rsidR="00EB3492" w:rsidRPr="00AE4E8D">
        <w:rPr>
          <w:lang w:val="es-ES"/>
        </w:rPr>
        <w:t xml:space="preserve"> </w:t>
      </w:r>
      <w:r w:rsidRPr="00AE4E8D">
        <w:rPr>
          <w:lang w:val="es-ES"/>
        </w:rPr>
        <w:t>Clausurada esa etapa procesal los abogados presentaron el alegato pertinente. A mediados del mes de setiembre de 2016 el sumario (en el que se acumularon ambas actuaciones),</w:t>
      </w:r>
      <w:r w:rsidR="00EB3492" w:rsidRPr="00AE4E8D">
        <w:rPr>
          <w:lang w:val="es-ES"/>
        </w:rPr>
        <w:t xml:space="preserve"> </w:t>
      </w:r>
      <w:r w:rsidRPr="00AE4E8D">
        <w:rPr>
          <w:lang w:val="es-ES"/>
        </w:rPr>
        <w:t>fue remitido por el BCRA</w:t>
      </w:r>
      <w:r w:rsidR="00EB3492" w:rsidRPr="00AE4E8D">
        <w:rPr>
          <w:lang w:val="es-ES"/>
        </w:rPr>
        <w:t xml:space="preserve"> </w:t>
      </w:r>
      <w:r w:rsidRPr="00AE4E8D">
        <w:rPr>
          <w:lang w:val="es-ES"/>
        </w:rPr>
        <w:t>a la Justicia en lo Penal Económico para que se dicte sentencia. Interviene el Juzgado Nacional en lo Penal Económico Nº 2 (Dr. Pablo Yadarola) - Secretaría Nº 3 (Dr. Fernando Stockfisz). Ante ese tribunal y como medida para mejor proveer, se presentó un escrito describiendo el sistema implementado por el BCRA para comunicar las inhabilitaciones para operar en cambios.</w:t>
      </w:r>
    </w:p>
    <w:p w14:paraId="5C9E24B5" w14:textId="77777777" w:rsidR="005737C2" w:rsidRPr="00AE4E8D" w:rsidRDefault="005737C2" w:rsidP="00D43A0B">
      <w:pPr>
        <w:pStyle w:val="BHTexto"/>
        <w:rPr>
          <w:lang w:val="es-ES"/>
        </w:rPr>
      </w:pPr>
      <w:r w:rsidRPr="00AE4E8D">
        <w:rPr>
          <w:lang w:val="es-ES"/>
        </w:rPr>
        <w:t>El juzgado interviniente citó a los imputados a la audiencia prevista por el art. 41 del C. Penal, la que fue realizada el 27 de febrero de 2017.</w:t>
      </w:r>
    </w:p>
    <w:p w14:paraId="39F30CD8" w14:textId="77777777" w:rsidR="005737C2" w:rsidRPr="00AE4E8D" w:rsidRDefault="005737C2" w:rsidP="00D43A0B">
      <w:pPr>
        <w:pStyle w:val="BHTexto"/>
        <w:rPr>
          <w:lang w:val="es-ES"/>
        </w:rPr>
      </w:pPr>
      <w:r w:rsidRPr="00AE4E8D">
        <w:rPr>
          <w:lang w:val="es-ES"/>
        </w:rPr>
        <w:t>De acuerdo con la opinión de los abogados defensores - en el actual estado de las actuaciones- existen argumentos jurídicos y fácticos que generan expectativas razonables para el dictado de una absolución de las personas físicas imputadas y de Banco Hipotecario S.A., por consiguiente se considera que es baja la probabilidad de que el Banco sea objeto de las sanciones económicas contempladas por la Ley de Régimen Penal Cambiario. Por dicha razón no se han contabilizado previsiones.</w:t>
      </w:r>
    </w:p>
    <w:p w14:paraId="3C40932F" w14:textId="77777777" w:rsidR="005737C2" w:rsidRPr="00AE4E8D" w:rsidRDefault="005737C2" w:rsidP="00D43A0B">
      <w:pPr>
        <w:pStyle w:val="BH4Cursiva"/>
        <w:rPr>
          <w:lang w:val="es-ES"/>
        </w:rPr>
      </w:pPr>
      <w:r w:rsidRPr="00AE4E8D">
        <w:rPr>
          <w:lang w:val="es-ES"/>
        </w:rPr>
        <w:t>Resolución Nº416/14 de la Superintendencia de Entidades Financieras y Cambiarias</w:t>
      </w:r>
    </w:p>
    <w:p w14:paraId="145B4E50" w14:textId="77777777" w:rsidR="005737C2" w:rsidRPr="00AE4E8D" w:rsidRDefault="005737C2" w:rsidP="00D43A0B">
      <w:pPr>
        <w:pStyle w:val="BHTexto"/>
        <w:rPr>
          <w:lang w:val="es-ES"/>
        </w:rPr>
      </w:pPr>
      <w:r w:rsidRPr="00AE4E8D">
        <w:rPr>
          <w:lang w:val="es-ES"/>
        </w:rPr>
        <w:t xml:space="preserve">El 26 de agosto de 2014 el Banco fue notificado de la Resolución del Superintendente de Entidades Financieras y Cambiarias N° 416 del 7 de agosto de 2014 por la cual se dispuso la instrucción del Sumario N° 5843 en los términos del artículo 8° de la Ley del Régimen Penal Cambiario N° 19.359 (t.o. por Decreto N° 480/95). En el sumario mencionado se imputa al Banco Hipotecario S.A., directores (Sres. Eduardo S. Elsztain; Jacobo J. Dreizzen; Edgardo L. Fornero; Carlos B. Pisula; Gabriel G. Reznik; Pablo D. Vergara del Carril; Ernesto M. Viñes; Saul Zang; y Mauricio E. Wior) y ex directores (Sra. Clarisa D. Lifsic de Estol y Sr. Federico L. Bensadon) , y a dos ex gerentes (Sres. Gabriel G. Saidon y Enrique L. Benitez), por presunto incumplimiento a las normas divulgadas por la Comunicación “A” 3471 (puntos 2 y 3) y por la Comunicación “A” 4805 (punto 2.2.) con motivo de transferencias de divisas al exterior - realizadas entre agosto y octubre de 2008-, en garantía de la operación de swap “CER Swap Linked to PG08 and External Debt” por un total de miles de dólares 46, sin la autorización del BCRA. Se ha tomado vista de las actuaciones (expediente N° 100.308/10) que tramitan ante la Gerencia de Asuntos Contenciosos en lo Cambiario del </w:t>
      </w:r>
      <w:r w:rsidR="002C3DEF" w:rsidRPr="00AE4E8D">
        <w:rPr>
          <w:lang w:val="es-ES"/>
        </w:rPr>
        <w:t>BCRA</w:t>
      </w:r>
      <w:r w:rsidRPr="00AE4E8D">
        <w:rPr>
          <w:lang w:val="es-ES"/>
        </w:rPr>
        <w:t>. Oportunamente se presentaron las defensas y descargos y fue ofrecida la prueba que hace al derecho de todos los sumariados. El BCRA dispuso el 16 de marzo último la apertura a prueba, la que fue producida en tiempo y forma, así como el alegato de los abogados defensores. Concluida la etapa administrativa las actuaciones fueron remitidas a la Justicia en lo Penal Económico.</w:t>
      </w:r>
      <w:r w:rsidR="00EB3492" w:rsidRPr="00AE4E8D">
        <w:rPr>
          <w:lang w:val="es-ES"/>
        </w:rPr>
        <w:t xml:space="preserve"> </w:t>
      </w:r>
      <w:r w:rsidRPr="00AE4E8D">
        <w:rPr>
          <w:lang w:val="es-ES"/>
        </w:rPr>
        <w:t>El Juzgado en lo Penal Económico N° 3 – Dr. Rafael E. Caputo, Secretaría N°5, declaró el día 18 de noviembre de 2015 su incompentencia, por lo que las actuaciones fueron giradas al Juzgado en lo Penal Económico N° 2 el que aún no se ha expedido sobre su intervención. La cuestión de competencia fue resuelta quedando las actuaciones radicadas ante el Juzgado del Dr. Rafael E. Caputo</w:t>
      </w:r>
      <w:r w:rsidR="00EC0AED" w:rsidRPr="00AE4E8D">
        <w:rPr>
          <w:lang w:val="es-ES"/>
        </w:rPr>
        <w:t xml:space="preserve"> con fecha 31 de octubre de 2016</w:t>
      </w:r>
      <w:r w:rsidRPr="00AE4E8D">
        <w:rPr>
          <w:lang w:val="es-ES"/>
        </w:rPr>
        <w:t>.</w:t>
      </w:r>
    </w:p>
    <w:p w14:paraId="0DD81D8B" w14:textId="77777777" w:rsidR="00843FA6" w:rsidRPr="00AE4E8D" w:rsidRDefault="00843FA6" w:rsidP="00843FA6">
      <w:pPr>
        <w:pStyle w:val="BHTexto"/>
        <w:rPr>
          <w:lang w:val="es-ES"/>
        </w:rPr>
      </w:pPr>
      <w:bookmarkStart w:id="741" w:name="_Toc414610913"/>
      <w:bookmarkStart w:id="742" w:name="_Toc420062621"/>
      <w:bookmarkStart w:id="743" w:name="_Toc421201505"/>
      <w:r w:rsidRPr="00AE4E8D">
        <w:t>Mediante sentencia dictada el 27 de setiembre de 2017 el Juez en lo Penal Económico Dr. Rafael F. Caputo, dispuso la absolución de culpa y cargo del Banco y de los directores y ex gerentes involucrados en las actuaciones sumariales, medida que no se encuentra firme hasta tanto transcurra el plazo previsto para la apelación</w:t>
      </w:r>
      <w:r w:rsidRPr="00AE4E8D">
        <w:rPr>
          <w:lang w:val="es-ES"/>
        </w:rPr>
        <w:t xml:space="preserve">. Por consiguiente se considera que es baja la probabilidad de que el Banco sea objeto de </w:t>
      </w:r>
      <w:r w:rsidRPr="00AE4E8D">
        <w:rPr>
          <w:lang w:val="es-ES"/>
        </w:rPr>
        <w:lastRenderedPageBreak/>
        <w:t>las sanciones económicas contempladas por la Ley de Régimen Penal Cambiario. Por dicha razón no se han contabilizado previsiones.</w:t>
      </w:r>
    </w:p>
    <w:p w14:paraId="36F2261A" w14:textId="77777777" w:rsidR="00CB5660" w:rsidRPr="00AE4E8D" w:rsidRDefault="00CB5660">
      <w:pPr>
        <w:pStyle w:val="BH3Izquierda"/>
        <w:spacing w:before="120" w:after="120"/>
        <w:rPr>
          <w:lang w:val="es-ES"/>
        </w:rPr>
      </w:pPr>
      <w:r w:rsidRPr="00AE4E8D">
        <w:rPr>
          <w:lang w:val="es-ES"/>
        </w:rPr>
        <w:t>Política de Dividendos</w:t>
      </w:r>
      <w:bookmarkStart w:id="744" w:name="_Toc414610914"/>
      <w:bookmarkEnd w:id="741"/>
      <w:bookmarkEnd w:id="742"/>
      <w:bookmarkEnd w:id="743"/>
    </w:p>
    <w:p w14:paraId="02AC8DAA" w14:textId="77777777" w:rsidR="00CB5660" w:rsidRPr="00AE4E8D" w:rsidRDefault="00CB5660" w:rsidP="00D43A0B">
      <w:pPr>
        <w:pStyle w:val="BHTexto"/>
        <w:rPr>
          <w:lang w:val="es-ES"/>
        </w:rPr>
      </w:pPr>
      <w:r w:rsidRPr="00AE4E8D">
        <w:rPr>
          <w:lang w:val="es-ES"/>
        </w:rPr>
        <w:t>La declaración, el monto y el pago de dividendos sobre nuestro capital accionario están determinados por el voto de la mayoría del capital accionario y en general, aunque no necesariamente, se basa en la recomendación anual del Directorio. El Directorio somete nuestros estados contables correspondientes al ejercicio previo, conjuntamente con sus informes y el de la comisión fiscalizadora, a la consideración de la asamblea ordinaria de accionistas para su aprobación. Con posterioridad a la aprobación de los estados contables, los accionistas proceden a determinar la asignación de nuestra ganancia neta correspondiente a dicho ejercicio. Tenemos la obligación de asignar un porcentaje de la ganancia neta (en la actualidad asciende al 20%) a la reserva legal. Si la reserva legal disminuye con posterioridad, existe la posibilidad de que no se abonen dividendos hasta tanto no se restablezca plenamente el monto correspondiente a la reserva legal, porcentaje del cual no se puede disponer para distribución. En virtud de nuestras disposiciones estatutarias, una vez realizada la asignación de la reserva legal y luego de haber separado un monto de la ganancia neta anual para la retribución de los miembros del Directorio y de la comisión fiscalizadora, se debe separar un monto de la ganancia neta que se destinará al pago de dividendos a las acciones preferidas, si las hubiera. El remanente de la ganancia neta anual puede ser distribuido como dividendos para las acciones ordinarias o se puede retener como reserva voluntaria, reserva para contingencias o puede destinarse a otra cuenta o combinación de cuentas, de acuerdo con lo decidido por la asamblea de accionistas. Luego de la implementación del PPP y durante un período de (i) 10 años o (ii) hasta el pago total del precio de la transferencia de las acciones, lo que ocurra primero, un monto de hasta el 0,5% de nuestra ganancia anual será abonado a los beneficiarios del PPP, lo que se imputará a resultados.</w:t>
      </w:r>
    </w:p>
    <w:p w14:paraId="30C35A8C" w14:textId="77777777" w:rsidR="00CB5660" w:rsidRPr="00AE4E8D" w:rsidRDefault="00CB5660" w:rsidP="00D43A0B">
      <w:pPr>
        <w:pStyle w:val="BHTexto"/>
        <w:rPr>
          <w:lang w:val="es-ES"/>
        </w:rPr>
      </w:pPr>
      <w:r w:rsidRPr="00AE4E8D">
        <w:rPr>
          <w:lang w:val="es-ES"/>
        </w:rPr>
        <w:t>Según la legislación argentina, estamos autorizados a declarar y abonar dividendos sólo sobre el saldo de su ganancia neta correspondiente al ejercicio en cuestión, luego de haberle dado cumplimiento a los requerimientos descritos en el párrafo precedente, más los resultados no asignados de ejercicios anteriores, si existieran, reflejados en nuestros estados contables anuales auditados, debidamente aprobados por una asamblea ordinaria de sus accionistas.</w:t>
      </w:r>
    </w:p>
    <w:p w14:paraId="517571A5" w14:textId="77777777" w:rsidR="00CB5660" w:rsidRPr="00AE4E8D" w:rsidRDefault="00CB5660" w:rsidP="00D43A0B">
      <w:pPr>
        <w:pStyle w:val="BHTexto"/>
        <w:rPr>
          <w:lang w:val="es-ES"/>
        </w:rPr>
      </w:pPr>
      <w:r w:rsidRPr="00AE4E8D">
        <w:rPr>
          <w:lang w:val="es-ES"/>
        </w:rPr>
        <w:t>En virtud de las Normas de la CNV y de nuestras disposiciones estatutarias, los dividendos en efectivo deben ser abonados a los accionistas dentro de los 30 días posteriores a la asamblea de accionistas que ha aprobado dicho pago de dividendos. El pago de dividendos en acciones requiere la autorización de la CNV, la que debe ser solicitada dentro de los diez días posteriores a la asamblea de accionistas que ha aprobado los dividendos. Debemos poner dicho pago a disposición de los accionistas en un plazo que no debe exceder los tres meses posteriores a la recepción de la aprobación de la CNV por nuestra parte. El pago de dividendos en acciones y en efectivo también debe ser puesto a disposición de los accionistas dentro de un plazo de tres meses posteriores a dicha notificación. Además, el monto, si lo hubiera, de dividendos que los tenedores de ADSs recibirán en Dólares Estadounidenses estará afectado, entre otras causas, por las políticas de control cambiario introducidas por las autoridades argentinas.</w:t>
      </w:r>
    </w:p>
    <w:p w14:paraId="2195AE0B" w14:textId="77777777" w:rsidR="00CB5660" w:rsidRPr="00AE4E8D" w:rsidRDefault="00CB5660" w:rsidP="00D43A0B">
      <w:pPr>
        <w:pStyle w:val="BHTexto"/>
        <w:rPr>
          <w:lang w:val="es-ES"/>
        </w:rPr>
      </w:pPr>
      <w:r w:rsidRPr="00AE4E8D">
        <w:rPr>
          <w:lang w:val="es-ES"/>
        </w:rPr>
        <w:t>Por último, el BCRA ha impuesto restricciones sobre el pago de dividendos, lo que limita sustancialmente la capacidad de las entidades financieras para distribuir dichos dividendos sin su consentimiento previo. Para obtener más información sobre los requisitos aplicables a la distribución de dividendos véase "Marco Regulatorio del Sistema Financiero Argentino—Requisitos Aplicables a la Distribución de Dividendos".</w:t>
      </w:r>
    </w:p>
    <w:p w14:paraId="0642B371" w14:textId="77777777" w:rsidR="00CB5660" w:rsidRPr="00AE4E8D" w:rsidRDefault="00CB5660">
      <w:pPr>
        <w:pStyle w:val="BH2Izquierda"/>
        <w:spacing w:before="120" w:after="120"/>
        <w:rPr>
          <w:lang w:val="es-ES"/>
        </w:rPr>
      </w:pPr>
      <w:bookmarkStart w:id="745" w:name="_Toc420062622"/>
      <w:bookmarkStart w:id="746" w:name="_Toc421201506"/>
      <w:bookmarkStart w:id="747" w:name="_Toc495973057"/>
      <w:bookmarkStart w:id="748" w:name="_Toc495399964"/>
      <w:r w:rsidRPr="00AE4E8D">
        <w:rPr>
          <w:lang w:val="es-ES"/>
        </w:rPr>
        <w:t>b) Cambios Significativos</w:t>
      </w:r>
      <w:bookmarkEnd w:id="744"/>
      <w:bookmarkEnd w:id="745"/>
      <w:bookmarkEnd w:id="746"/>
      <w:bookmarkEnd w:id="747"/>
      <w:bookmarkEnd w:id="748"/>
    </w:p>
    <w:p w14:paraId="47EAA88D" w14:textId="77777777" w:rsidR="00CB5660" w:rsidRPr="00AE4E8D" w:rsidRDefault="00CB5660" w:rsidP="008F5315">
      <w:pPr>
        <w:pStyle w:val="BHTexto"/>
        <w:rPr>
          <w:lang w:val="es-ES"/>
        </w:rPr>
      </w:pPr>
      <w:r w:rsidRPr="00AE4E8D">
        <w:rPr>
          <w:lang w:val="es-ES"/>
        </w:rPr>
        <w:t xml:space="preserve">Con excepción de lo informado en el presente Prospecto no se han producido cambios significativos en nuestra situación financiera o de negociación desde el </w:t>
      </w:r>
      <w:r w:rsidR="001C79F8" w:rsidRPr="00AE4E8D">
        <w:rPr>
          <w:lang w:val="es-ES"/>
        </w:rPr>
        <w:t>30</w:t>
      </w:r>
      <w:r w:rsidR="008D6F19" w:rsidRPr="00AE4E8D">
        <w:rPr>
          <w:lang w:val="es-ES"/>
        </w:rPr>
        <w:t xml:space="preserve"> de </w:t>
      </w:r>
      <w:r w:rsidR="001C79F8" w:rsidRPr="00AE4E8D">
        <w:rPr>
          <w:lang w:val="es-ES"/>
        </w:rPr>
        <w:t>junio</w:t>
      </w:r>
      <w:r w:rsidRPr="00AE4E8D">
        <w:rPr>
          <w:lang w:val="es-ES"/>
        </w:rPr>
        <w:t xml:space="preserve"> de 201</w:t>
      </w:r>
      <w:r w:rsidR="00C4332A" w:rsidRPr="00AE4E8D">
        <w:rPr>
          <w:lang w:val="es-ES"/>
        </w:rPr>
        <w:t>7</w:t>
      </w:r>
      <w:r w:rsidRPr="00AE4E8D">
        <w:rPr>
          <w:lang w:val="es-ES"/>
        </w:rPr>
        <w:t>.</w:t>
      </w:r>
    </w:p>
    <w:p w14:paraId="10511366" w14:textId="77777777" w:rsidR="00CB5660" w:rsidRPr="00AE4E8D" w:rsidRDefault="00CB5660" w:rsidP="006659E6">
      <w:pPr>
        <w:pStyle w:val="BH1Centro"/>
        <w:rPr>
          <w:rFonts w:ascii="Times New Roman" w:hAnsi="Times New Roman"/>
          <w:lang w:val="es-ES"/>
        </w:rPr>
      </w:pPr>
      <w:r w:rsidRPr="00AE4E8D">
        <w:rPr>
          <w:rFonts w:ascii="Times New Roman" w:hAnsi="Times New Roman"/>
          <w:lang w:val="es-ES"/>
        </w:rPr>
        <w:br w:type="page"/>
      </w:r>
      <w:bookmarkStart w:id="749" w:name="_Toc414610915"/>
      <w:bookmarkStart w:id="750" w:name="_Toc420062623"/>
      <w:bookmarkStart w:id="751" w:name="_Toc421201507"/>
      <w:bookmarkStart w:id="752" w:name="_Toc449010440"/>
      <w:bookmarkStart w:id="753" w:name="_Toc487734749"/>
      <w:bookmarkStart w:id="754" w:name="_Toc495973058"/>
      <w:bookmarkStart w:id="755" w:name="_Toc495399965"/>
      <w:r w:rsidRPr="00AE4E8D">
        <w:rPr>
          <w:rFonts w:ascii="Times New Roman" w:hAnsi="Times New Roman"/>
          <w:lang w:val="es-ES"/>
        </w:rPr>
        <w:lastRenderedPageBreak/>
        <w:t>DE LA OFERTA Y LA NEGOCIACIÓN</w:t>
      </w:r>
      <w:bookmarkEnd w:id="749"/>
      <w:bookmarkEnd w:id="750"/>
      <w:bookmarkEnd w:id="751"/>
      <w:bookmarkEnd w:id="752"/>
      <w:bookmarkEnd w:id="753"/>
      <w:bookmarkEnd w:id="754"/>
      <w:bookmarkEnd w:id="755"/>
      <w:r w:rsidRPr="00AE4E8D">
        <w:rPr>
          <w:rFonts w:ascii="Times New Roman" w:hAnsi="Times New Roman"/>
          <w:lang w:val="es-ES"/>
        </w:rPr>
        <w:t xml:space="preserve"> </w:t>
      </w:r>
    </w:p>
    <w:p w14:paraId="1161F24B" w14:textId="77777777" w:rsidR="00CB5660" w:rsidRPr="00AE4E8D" w:rsidRDefault="00CB5660" w:rsidP="006659E6">
      <w:pPr>
        <w:pStyle w:val="BH2Izquierda"/>
        <w:rPr>
          <w:lang w:val="es-ES"/>
        </w:rPr>
      </w:pPr>
      <w:bookmarkStart w:id="756" w:name="_Toc414610916"/>
      <w:bookmarkStart w:id="757" w:name="_Toc420062624"/>
      <w:bookmarkStart w:id="758" w:name="_Toc421201508"/>
      <w:bookmarkStart w:id="759" w:name="_Toc495973059"/>
      <w:bookmarkStart w:id="760" w:name="_Toc495399966"/>
      <w:r w:rsidRPr="00AE4E8D">
        <w:rPr>
          <w:lang w:val="es-ES"/>
        </w:rPr>
        <w:t>a) Descripción de las Obligaciones Negociables</w:t>
      </w:r>
      <w:bookmarkEnd w:id="756"/>
      <w:bookmarkEnd w:id="757"/>
      <w:bookmarkEnd w:id="758"/>
      <w:bookmarkEnd w:id="759"/>
      <w:bookmarkEnd w:id="760"/>
    </w:p>
    <w:p w14:paraId="7598F099" w14:textId="77777777" w:rsidR="00CB5660" w:rsidRPr="00AE4E8D" w:rsidRDefault="00CB5660" w:rsidP="008F1A6E">
      <w:pPr>
        <w:pStyle w:val="BH3Izquierda"/>
        <w:jc w:val="both"/>
        <w:rPr>
          <w:b w:val="0"/>
          <w:i/>
          <w:lang w:val="es-ES"/>
        </w:rPr>
      </w:pPr>
      <w:bookmarkStart w:id="761" w:name="_Toc414610917"/>
      <w:bookmarkStart w:id="762" w:name="_Toc420062625"/>
      <w:bookmarkStart w:id="763" w:name="_Toc421201509"/>
      <w:r w:rsidRPr="00AE4E8D">
        <w:rPr>
          <w:b w:val="0"/>
          <w:i/>
          <w:lang w:val="es-ES"/>
        </w:rPr>
        <w:t>A continuación se detallan los términos y condiciones generales de las obligaciones negociables que el Banco podrá emitir en el marco del presente Programa, los cuales serán complementados y/o modificados por los términos y condiciones específicos de cada clase y/o serie que se detallen en el suplemento de precio correspondiente a cada clase y/o serie en cuestión. El suplemento de precio detallará, respecto de las clases y/o series a las cuales corresponda, los términos y condiciones específicos de tal clase y/o serie que, en la medida que así se especifique en el correspondiente suplemento de precio o en la medida en que sea incompatible con los términos y condiciones generales descriptos a continuación, complementarán y/o modificarán, solamente respecto de dichas clases y/o series, los presentes términos y condiciones generales de las obligaciones negociables.</w:t>
      </w:r>
    </w:p>
    <w:p w14:paraId="0753171F" w14:textId="77777777" w:rsidR="00CB5660" w:rsidRPr="00AE4E8D" w:rsidRDefault="00CB5660" w:rsidP="006659E6">
      <w:pPr>
        <w:pStyle w:val="BH3Izquierda"/>
        <w:rPr>
          <w:lang w:val="es-ES"/>
        </w:rPr>
      </w:pPr>
      <w:r w:rsidRPr="00AE4E8D">
        <w:rPr>
          <w:lang w:val="es-ES"/>
        </w:rPr>
        <w:t>General</w:t>
      </w:r>
      <w:bookmarkEnd w:id="761"/>
      <w:bookmarkEnd w:id="762"/>
      <w:bookmarkEnd w:id="763"/>
    </w:p>
    <w:p w14:paraId="19AAA55B" w14:textId="77777777" w:rsidR="00CB5660" w:rsidRPr="00AE4E8D" w:rsidRDefault="00CB5660" w:rsidP="006659E6">
      <w:pPr>
        <w:pStyle w:val="BHTexto"/>
        <w:rPr>
          <w:lang w:val="es-ES"/>
        </w:rPr>
      </w:pPr>
      <w:r w:rsidRPr="00AE4E8D">
        <w:rPr>
          <w:lang w:val="es-ES"/>
        </w:rPr>
        <w:t>Las Obligaciones Negociables podrán ser emitidas o no en el marco de convenios de fideicomiso y/o de convenios de agencia que oportunamente el Banco celebre con entidades que actúen como fiduciarios y/o agentes. Tales fiduciarios y/o agentes desempeñarán funciones solamente respecto de las clases que se especifiquen en los respectivos suplementos de precio y tendrán los derechos y obligaciones que se especifiquen en los mismos. La existencia de fiduciarios y agentes se detallará en los suplementos de precio aplicables.</w:t>
      </w:r>
    </w:p>
    <w:p w14:paraId="4296442A" w14:textId="77777777" w:rsidR="00CB5660" w:rsidRPr="00AE4E8D" w:rsidRDefault="00480492" w:rsidP="006659E6">
      <w:pPr>
        <w:pStyle w:val="BHTexto"/>
        <w:rPr>
          <w:lang w:val="es-ES"/>
        </w:rPr>
      </w:pPr>
      <w:r w:rsidRPr="00AE4E8D">
        <w:rPr>
          <w:lang w:val="es-ES"/>
        </w:rPr>
        <w:t>La creación del Programa fue aprobada por nuestra asamblea de accionistas celebrada el 23 de mayo de 2008, habiéndose renovado las facultades delegadas en el Directorio en las asambleas celebradas el 30 de abril de 2010, 27 de marzo de 2012, 24 de marzo de 2014 y 13 de abril de 2016. El Programa fue originariamente aprobado por la asamblea de accionistas por un monto máximo en circulación de hasta US$2.000.000.000. El Directorio, haciendo uso de las facultades delegadas, resolvió con fecha 9 de febrero de 2011 reducir el monto del Programa por un monto en circulación de hasta US$500.000.000. Posteriormente, por resolución de fecha 6 de mayo de 2015, resolvió ampliarlo por hasta la suma de US$800.000.000. Luego por resolución de fecha 15 de junio de 2016, el Directorio aprobó el aumento del monto del Programa por hasta US$1.000.000.000. Finalmente, mediante resolución de fecha 9 de noviembre de 2016, resolvió aumentarlo en US$500.000.000 (o su equivalente en Pesos) adicionales, como consecuencia de lo cual el monto del Programa ascienda a la suma de US$1.500.000.000 (o su equivalente en Pesos).</w:t>
      </w:r>
      <w:r w:rsidRPr="00AE4E8D" w:rsidDel="00333121">
        <w:rPr>
          <w:lang w:val="es-ES"/>
        </w:rPr>
        <w:t xml:space="preserve"> </w:t>
      </w:r>
      <w:r w:rsidRPr="00AE4E8D">
        <w:rPr>
          <w:lang w:val="es-ES"/>
        </w:rPr>
        <w:t>En la asamblea de accionistas celebrada el 13 de abril de 2016 y por resolución del Directorio de fecha 11 de mayo de 2016 se resolvió aprobar la solicitud de prórroga del Programa</w:t>
      </w:r>
      <w:r w:rsidR="00CB5660" w:rsidRPr="00AE4E8D">
        <w:rPr>
          <w:lang w:val="es-ES"/>
        </w:rPr>
        <w:t xml:space="preserve"> por cinco años</w:t>
      </w:r>
      <w:r w:rsidRPr="00AE4E8D">
        <w:rPr>
          <w:lang w:val="es-ES"/>
        </w:rPr>
        <w:t>.</w:t>
      </w:r>
    </w:p>
    <w:p w14:paraId="19C1CA44" w14:textId="77777777" w:rsidR="00CB5660" w:rsidRPr="00AE4E8D" w:rsidRDefault="00CB5660" w:rsidP="006659E6">
      <w:pPr>
        <w:pStyle w:val="BHTexto"/>
        <w:rPr>
          <w:lang w:val="es-ES"/>
        </w:rPr>
      </w:pPr>
      <w:r w:rsidRPr="00AE4E8D">
        <w:rPr>
          <w:lang w:val="es-ES"/>
        </w:rPr>
        <w:t>Las Obligaciones Negociables podrán ser emitidas periódicamente en una o más clases. Las Obligaciones Negociables de todas las clases en un mismo momento en circulación en este Programa están limitadas al valor nominal total de US$1.</w:t>
      </w:r>
      <w:r w:rsidR="007E4BBE" w:rsidRPr="00AE4E8D">
        <w:rPr>
          <w:lang w:val="es-ES"/>
        </w:rPr>
        <w:t>5</w:t>
      </w:r>
      <w:r w:rsidRPr="00AE4E8D">
        <w:rPr>
          <w:lang w:val="es-ES"/>
        </w:rPr>
        <w:t>00.000.000 (o su equivalente en Pesos). Los términos particulares de cada emisión de Obligaciones Negociables, incluidos, entre otros, la fecha de emisión, precio de emisión, moneda de denominación y pago, vencimiento, tasa de interés o fórmula para la tasa de interés, si hubiera y, de ser aplicable, las disposiciones sobre rescate, amortización y ajuste por índices, serán establecidos para cada una de tales emisiones en las Obligaciones Negociables, y descriptas en el suplemento de precio aplicable a cada serie y/o clase. Respecto de cualquier Obligación Negociable en particular, la descripción de las Obligaciones Negociables contenida en el presente está sujeta en su totalidad por referencia y, en tanto fuera contraria, queda reemplazada por dicha Obligación Negociable y el respectivo suplemento de precio.</w:t>
      </w:r>
    </w:p>
    <w:p w14:paraId="3A793F5C" w14:textId="77777777" w:rsidR="00CB5660" w:rsidRPr="00AE4E8D" w:rsidRDefault="00CB5660" w:rsidP="006659E6">
      <w:pPr>
        <w:pStyle w:val="BHTexto"/>
        <w:rPr>
          <w:lang w:val="es-ES"/>
        </w:rPr>
      </w:pPr>
      <w:r w:rsidRPr="00AE4E8D">
        <w:rPr>
          <w:lang w:val="es-ES"/>
        </w:rPr>
        <w:t xml:space="preserve">Las Obligaciones Negociables emitidas en virtud del Programa revestirán el carácter de Obligaciones Negociables simples, no convertibles en acciones en virtud de la ley argentina y se emitirán con arreglo a Ley de Obligaciones Negociables y cualesquiera otras leyes y reglamentaciones argentinas aplicables y cumplirán con todos sus requisitos. Salvo que se detalle lo contrario en el respectivo suplemento de precio, las Obligaciones Negociables constituirán obligaciones incondicionales y no subordinadas del Banco, con garantía común sobre su patrimonio, con al menos igual prioridad de pago que su demás deuda no garantizada y no subordinada (salvo las obligaciones que gocen de preferencia por ley o de puro derecho, incluyendo depósitos). De así especificarlo el respectivo suplemento de precio, el Banco podrá emitir, Obligaciones Negociables subordinadas, de acuerdo a la normativa del BCRA aplicable a cada momento, que estarán sujetas en su derecho de pago al pago de la deuda garantizada del Banco y, en tanto </w:t>
      </w:r>
      <w:r w:rsidRPr="00AE4E8D">
        <w:rPr>
          <w:lang w:val="es-ES"/>
        </w:rPr>
        <w:lastRenderedPageBreak/>
        <w:t>allí se establezca en tal sentido, a cierta otra deuda no garantizada y no subordinada (así como a las obligaciones preferidas por ley o de puro derecho). Véase “</w:t>
      </w:r>
      <w:r w:rsidRPr="00AE4E8D">
        <w:rPr>
          <w:i/>
          <w:lang w:val="es-ES"/>
        </w:rPr>
        <w:t>Rango</w:t>
      </w:r>
      <w:r w:rsidRPr="00AE4E8D">
        <w:rPr>
          <w:lang w:val="es-ES"/>
        </w:rPr>
        <w:t>” para más información.</w:t>
      </w:r>
    </w:p>
    <w:p w14:paraId="58809026" w14:textId="77777777" w:rsidR="00CB5660" w:rsidRPr="00AE4E8D" w:rsidRDefault="00CB5660" w:rsidP="006659E6">
      <w:pPr>
        <w:pStyle w:val="BHTexto"/>
        <w:rPr>
          <w:lang w:val="es-ES"/>
        </w:rPr>
      </w:pPr>
      <w:r w:rsidRPr="00AE4E8D">
        <w:rPr>
          <w:lang w:val="es-ES"/>
        </w:rPr>
        <w:t>Salvo que fueran rescatadas con anterioridad, una Obligación Negociable vencerá no antes de los 30 días desde su fecha de emisión (el “</w:t>
      </w:r>
      <w:r w:rsidRPr="00AE4E8D">
        <w:rPr>
          <w:u w:val="single"/>
          <w:lang w:val="es-ES"/>
        </w:rPr>
        <w:t>Vencimiento Estipulado</w:t>
      </w:r>
      <w:r w:rsidRPr="00AE4E8D">
        <w:rPr>
          <w:lang w:val="es-ES"/>
        </w:rPr>
        <w:t>”) según especifique en su anverso y en el suplemento de precio respectivo.</w:t>
      </w:r>
    </w:p>
    <w:p w14:paraId="5726F8F1" w14:textId="77777777" w:rsidR="00CB5660" w:rsidRPr="00AE4E8D" w:rsidRDefault="00CB5660" w:rsidP="006659E6">
      <w:pPr>
        <w:pStyle w:val="BHTexto"/>
        <w:rPr>
          <w:lang w:val="es-ES"/>
        </w:rPr>
      </w:pPr>
      <w:r w:rsidRPr="00AE4E8D">
        <w:rPr>
          <w:lang w:val="es-ES"/>
        </w:rPr>
        <w:t>Cada Obligación Negociable podrá estar denominada en cualquier moneda (una “</w:t>
      </w:r>
      <w:r w:rsidRPr="00AE4E8D">
        <w:rPr>
          <w:u w:val="single"/>
          <w:lang w:val="es-ES"/>
        </w:rPr>
        <w:t>Moneda Especificada</w:t>
      </w:r>
      <w:r w:rsidRPr="00AE4E8D">
        <w:rPr>
          <w:lang w:val="es-ES"/>
        </w:rPr>
        <w:t>”) según se especifique en su anverso y en el suplemento de precio respectivo. Salvo que se detalle lo contrario en el suplemento de precio respectivo, los pagos sobre cada Obligación Negociable serán realizados en la respectiva Moneda Especificada; teniendo en cuenta que en ciertas circunstancias, según detalle el suplemento de precio respectivo, los pagos sobre una Obligación Negociable denominada en una moneda que no sea el Dólar Estadounidense podrán ser realizados en Dólares Estadounidense o en otras monedas, en caso de estar permitido por la ley argentina. Véase “Pago de capital e intereses”.</w:t>
      </w:r>
    </w:p>
    <w:p w14:paraId="0D29080D" w14:textId="77777777" w:rsidR="00CB5660" w:rsidRPr="00AE4E8D" w:rsidRDefault="00CB5660" w:rsidP="006659E6">
      <w:pPr>
        <w:pStyle w:val="BHTexto"/>
        <w:rPr>
          <w:lang w:val="es-ES"/>
        </w:rPr>
      </w:pPr>
      <w:r w:rsidRPr="00AE4E8D">
        <w:rPr>
          <w:lang w:val="es-ES"/>
        </w:rPr>
        <w:t>Cada Obligación Negociable devengará intereses, si correspondiera, a la tasa de interés o fórmula de tasas de interés establecida en el suplemento de precio respectivo. Salvo que se indique lo contrario en el suplemento de precio respectivo, cada Obligación Negociable podrá devengar intereses a una tasa fija (la “Obligación Negociable a Tasa Fija”) o a una tasa determinada por referencia a una tasa de interés u otra fórmula de tasas de interés (una “</w:t>
      </w:r>
      <w:r w:rsidRPr="00AE4E8D">
        <w:rPr>
          <w:u w:val="single"/>
          <w:lang w:val="es-ES"/>
        </w:rPr>
        <w:t>Obligación Negociable a Tasa Variable</w:t>
      </w:r>
      <w:r w:rsidRPr="00AE4E8D">
        <w:rPr>
          <w:lang w:val="es-ES"/>
        </w:rPr>
        <w:t>”) o podrá no devengar intereses (una “</w:t>
      </w:r>
      <w:r w:rsidRPr="00AE4E8D">
        <w:rPr>
          <w:u w:val="single"/>
          <w:lang w:val="es-ES"/>
        </w:rPr>
        <w:t>Obligación Negociable sin Cupón de Interés</w:t>
      </w:r>
      <w:r w:rsidRPr="00AE4E8D">
        <w:rPr>
          <w:lang w:val="es-ES"/>
        </w:rPr>
        <w:t>”). Véase “</w:t>
      </w:r>
      <w:r w:rsidRPr="00AE4E8D">
        <w:rPr>
          <w:i/>
          <w:lang w:val="es-ES"/>
        </w:rPr>
        <w:t>Tasa de interés</w:t>
      </w:r>
      <w:r w:rsidRPr="00AE4E8D">
        <w:rPr>
          <w:lang w:val="es-ES"/>
        </w:rPr>
        <w:t>”.</w:t>
      </w:r>
    </w:p>
    <w:p w14:paraId="7A268DAC" w14:textId="77777777" w:rsidR="00CB5660" w:rsidRPr="00AE4E8D" w:rsidRDefault="00CB5660" w:rsidP="006659E6">
      <w:pPr>
        <w:pStyle w:val="BHTexto"/>
        <w:rPr>
          <w:lang w:val="es-ES"/>
        </w:rPr>
      </w:pPr>
      <w:r w:rsidRPr="00AE4E8D">
        <w:rPr>
          <w:lang w:val="es-ES"/>
        </w:rPr>
        <w:t>Las Obligaciones Negociables también podrán ser emitidas con capital y/o intereses pagaderos en una o más monedas distintas de la moneda en la que están denominadas, en caso de estar permitido por la ley argentina (las “</w:t>
      </w:r>
      <w:r w:rsidRPr="00AE4E8D">
        <w:rPr>
          <w:u w:val="single"/>
          <w:lang w:val="es-ES"/>
        </w:rPr>
        <w:t>Obligaciones Negociables de Doble Moneda</w:t>
      </w:r>
      <w:r w:rsidRPr="00AE4E8D">
        <w:rPr>
          <w:lang w:val="es-ES"/>
        </w:rPr>
        <w:t>”) o vinculadas con un índice y/o una fórmula (las “</w:t>
      </w:r>
      <w:r w:rsidRPr="00AE4E8D">
        <w:rPr>
          <w:u w:val="single"/>
          <w:lang w:val="es-ES"/>
        </w:rPr>
        <w:t>Obligaciones Negociables Indexadas</w:t>
      </w:r>
      <w:r w:rsidRPr="00AE4E8D">
        <w:rPr>
          <w:lang w:val="es-ES"/>
        </w:rPr>
        <w:t>”). Las Obligaciones Negociables de Doble Moneda y las Obligaciones Negociables Indexadas podrán ser emitidas con intereses devengados a una tasa fija o variable o sin devengar intereses o una combinación de tales condiciones, en cuyo caso se aplicarán a tales Obligaciones Negociables de Doble Moneda o Indexadas las disposiciones relacionadas con las Obligaciones Negociables a Tasa Fija, Obligaciones Negociables a Tasa Variable, Obligaciones Negociables sin Cupón de Interés o una combinación de ellas, respectivamente, cuando el contexto lo permita. Las referencias en el presente a Obligaciones Negociables denominadas en una Moneda Especificada incluirán, a menos que el contexto requiera lo contrario, Obligaciones Negociables de Doble Moneda pagaderas en tal Moneda Especificada.</w:t>
      </w:r>
    </w:p>
    <w:p w14:paraId="3415ED1B" w14:textId="77777777" w:rsidR="00CB5660" w:rsidRPr="00AE4E8D" w:rsidRDefault="00CB5660" w:rsidP="006659E6">
      <w:pPr>
        <w:pStyle w:val="BHTexto"/>
        <w:rPr>
          <w:lang w:val="es-ES"/>
        </w:rPr>
      </w:pPr>
      <w:r w:rsidRPr="00AE4E8D">
        <w:rPr>
          <w:lang w:val="es-ES"/>
        </w:rPr>
        <w:t>Las Obligaciones Negociables podrán ser emitidas como Obligaciones Negociables con Descuento de Emisión Original. Una “Obligación Negociable con Descuento de Emisión Original” incluyendo cualquier Obligación Negociable sin Cupón de Interés, es un título emitido a un precio menor que su valor nominal, y que dispone que, en caso de rescate o vencimiento anticipado de su Vencimiento Estipulado, el monto pagadero al tenedor de dicho título será determinado de acuerdo con los términos de dicha Obligación Negociable y será un monto inferior al monto pagadero en el Vencimiento Estipulado. Véase “</w:t>
      </w:r>
      <w:r w:rsidRPr="00AE4E8D">
        <w:rPr>
          <w:i/>
          <w:lang w:val="es-ES"/>
        </w:rPr>
        <w:t>Tratamiento Impositivo</w:t>
      </w:r>
      <w:r w:rsidRPr="00AE4E8D">
        <w:rPr>
          <w:lang w:val="es-ES"/>
        </w:rPr>
        <w:t>” para más información.</w:t>
      </w:r>
    </w:p>
    <w:p w14:paraId="4835F4C2" w14:textId="77777777" w:rsidR="00CB5660" w:rsidRPr="00AE4E8D" w:rsidRDefault="00CB5660" w:rsidP="006659E6">
      <w:pPr>
        <w:pStyle w:val="BHTexto"/>
        <w:rPr>
          <w:lang w:val="es-ES"/>
        </w:rPr>
      </w:pPr>
      <w:r w:rsidRPr="00AE4E8D">
        <w:rPr>
          <w:lang w:val="es-ES"/>
        </w:rPr>
        <w:t>Salvo que se especifique lo contrario en el suplemento de precio respectivo, las Obligaciones Negociables no estarán sujetas a un fondo de amortización (el “</w:t>
      </w:r>
      <w:r w:rsidRPr="00AE4E8D">
        <w:rPr>
          <w:u w:val="single"/>
          <w:lang w:val="es-ES"/>
        </w:rPr>
        <w:t>Fondo de Amortización</w:t>
      </w:r>
      <w:r w:rsidRPr="00AE4E8D">
        <w:rPr>
          <w:lang w:val="es-ES"/>
        </w:rPr>
        <w:t>”), ni podrán ser rescatadas antes de su Vencimiento Estipulado, salvo en caso de ocurrir ciertos cambios relacionados con cuestiones impositivas argentinas. Véase “</w:t>
      </w:r>
      <w:r w:rsidRPr="00AE4E8D">
        <w:rPr>
          <w:i/>
          <w:lang w:val="es-ES"/>
        </w:rPr>
        <w:t>Rescate y compra</w:t>
      </w:r>
      <w:r w:rsidRPr="00AE4E8D">
        <w:rPr>
          <w:lang w:val="es-ES"/>
        </w:rPr>
        <w:t>”</w:t>
      </w:r>
      <w:r w:rsidR="00275216" w:rsidRPr="00AE4E8D">
        <w:rPr>
          <w:lang w:val="es-ES"/>
        </w:rPr>
        <w:t xml:space="preserve"> y </w:t>
      </w:r>
      <w:r w:rsidR="00275216" w:rsidRPr="00AE4E8D">
        <w:rPr>
          <w:i/>
          <w:lang w:val="es-ES"/>
        </w:rPr>
        <w:t>“Rescate por Cuestiones Impositivas”</w:t>
      </w:r>
      <w:r w:rsidRPr="00AE4E8D">
        <w:rPr>
          <w:lang w:val="es-ES"/>
        </w:rPr>
        <w:t>.</w:t>
      </w:r>
    </w:p>
    <w:p w14:paraId="58FB890C" w14:textId="77777777" w:rsidR="00CB5660" w:rsidRPr="00AE4E8D" w:rsidRDefault="00CB5660" w:rsidP="006659E6">
      <w:pPr>
        <w:pStyle w:val="BHTexto"/>
        <w:rPr>
          <w:lang w:val="es-ES"/>
        </w:rPr>
      </w:pPr>
      <w:r w:rsidRPr="00AE4E8D">
        <w:rPr>
          <w:lang w:val="es-ES"/>
        </w:rPr>
        <w:t>El suplemento de precio aplicable podrá prever la constitución de un Fondo de Amortización para una Serie o Clase, el que podrá ser constituido con el objeto de garantizar el pago de tales Obligaciones Negociables. La composición y modalidad de integración del Fondo de Amortización será definida en su caso, en el respectivo suplemento de precio.</w:t>
      </w:r>
    </w:p>
    <w:p w14:paraId="44C571A4" w14:textId="77777777" w:rsidR="00CB5660" w:rsidRPr="00AE4E8D" w:rsidRDefault="00CB5660" w:rsidP="00275216">
      <w:pPr>
        <w:pStyle w:val="BHTexto"/>
        <w:rPr>
          <w:lang w:val="es-ES"/>
        </w:rPr>
      </w:pPr>
      <w:r w:rsidRPr="00AE4E8D">
        <w:rPr>
          <w:lang w:val="es-ES"/>
        </w:rPr>
        <w:t>De estar permitido por las leyes aplicables y especificado en el suplemento de precio respectivo respecto de una clase de Obligaciones Negociables, el Banco periódicamente podrá, sin el consentimiento de los tenedores de Obligaciones Negociables en circulación, crear y emitir otras Obligaciones Negociables de dicha clase si tuvieran los mismos términos y condiciones que las Obligaciones Negociables de dicha clase en todo aspecto (salvo la fecha de emisión, el precio de emisión, las leyendas aplicables y, de corresponder, el primer pago de intereses) y las otras Obligaciones Negociables formarán en última instancia una única clase con las Obligaciones Negociables previamente en circulación de la clase respectiva</w:t>
      </w:r>
      <w:r w:rsidR="00275216" w:rsidRPr="00AE4E8D">
        <w:rPr>
          <w:lang w:val="es-AR"/>
        </w:rPr>
        <w:t>, previendo,</w:t>
      </w:r>
      <w:r w:rsidR="00275216" w:rsidRPr="00AE4E8D">
        <w:rPr>
          <w:lang w:val="es-ES"/>
        </w:rPr>
        <w:t xml:space="preserve"> sin embargo, que si </w:t>
      </w:r>
      <w:r w:rsidR="0018188E" w:rsidRPr="00AE4E8D">
        <w:rPr>
          <w:lang w:val="es-ES"/>
        </w:rPr>
        <w:t>las Obligaciones Negociables</w:t>
      </w:r>
      <w:r w:rsidR="00275216" w:rsidRPr="00AE4E8D">
        <w:rPr>
          <w:lang w:val="es-ES"/>
        </w:rPr>
        <w:t xml:space="preserve"> no </w:t>
      </w:r>
      <w:r w:rsidR="0018188E" w:rsidRPr="00AE4E8D">
        <w:rPr>
          <w:lang w:val="es-ES"/>
        </w:rPr>
        <w:t xml:space="preserve">fueran fungibles con las Obligaciones Negociables previamente emitidas y en circulación a los efectos del impuesto federal a las ganancias </w:t>
      </w:r>
      <w:r w:rsidR="00275216" w:rsidRPr="00AE4E8D">
        <w:rPr>
          <w:lang w:val="es-ES"/>
        </w:rPr>
        <w:t xml:space="preserve">de </w:t>
      </w:r>
      <w:r w:rsidR="0018188E" w:rsidRPr="00AE4E8D">
        <w:rPr>
          <w:lang w:val="es-ES"/>
        </w:rPr>
        <w:t>Estados Unidos,</w:t>
      </w:r>
      <w:r w:rsidR="00275216" w:rsidRPr="00AE4E8D">
        <w:rPr>
          <w:lang w:val="es-ES"/>
        </w:rPr>
        <w:t xml:space="preserve"> d</w:t>
      </w:r>
      <w:r w:rsidR="0018188E" w:rsidRPr="00AE4E8D">
        <w:rPr>
          <w:lang w:val="es-ES"/>
        </w:rPr>
        <w:t xml:space="preserve">ichas Obligaciones Negociables </w:t>
      </w:r>
      <w:r w:rsidR="00275216" w:rsidRPr="00AE4E8D">
        <w:rPr>
          <w:lang w:val="es-ES"/>
        </w:rPr>
        <w:t xml:space="preserve">se emitirán bajo un código de identificación separado de las </w:t>
      </w:r>
      <w:r w:rsidR="0018188E" w:rsidRPr="00AE4E8D">
        <w:rPr>
          <w:lang w:val="es-ES"/>
        </w:rPr>
        <w:t xml:space="preserve">Obligaciones Negociables </w:t>
      </w:r>
      <w:r w:rsidR="00275216" w:rsidRPr="00AE4E8D">
        <w:rPr>
          <w:lang w:val="es-ES"/>
        </w:rPr>
        <w:t xml:space="preserve">pendientes </w:t>
      </w:r>
      <w:r w:rsidR="0018188E" w:rsidRPr="00AE4E8D">
        <w:rPr>
          <w:lang w:val="es-ES"/>
        </w:rPr>
        <w:t>y en circulación</w:t>
      </w:r>
      <w:r w:rsidR="00275216" w:rsidRPr="00AE4E8D">
        <w:rPr>
          <w:lang w:val="es-ES"/>
        </w:rPr>
        <w:t>.</w:t>
      </w:r>
    </w:p>
    <w:p w14:paraId="65A58A13" w14:textId="77777777" w:rsidR="00CB5660" w:rsidRPr="00AE4E8D" w:rsidRDefault="00CB5660" w:rsidP="006659E6">
      <w:pPr>
        <w:pStyle w:val="BH3Izquierda"/>
        <w:rPr>
          <w:lang w:val="es-ES"/>
        </w:rPr>
      </w:pPr>
      <w:bookmarkStart w:id="764" w:name="_Toc414610918"/>
      <w:bookmarkStart w:id="765" w:name="_Toc420062626"/>
      <w:bookmarkStart w:id="766" w:name="_Toc421201510"/>
      <w:r w:rsidRPr="00AE4E8D">
        <w:rPr>
          <w:lang w:val="es-ES"/>
        </w:rPr>
        <w:lastRenderedPageBreak/>
        <w:t>Duración del Programa</w:t>
      </w:r>
      <w:bookmarkEnd w:id="764"/>
      <w:bookmarkEnd w:id="765"/>
      <w:bookmarkEnd w:id="766"/>
    </w:p>
    <w:p w14:paraId="1AAEF184" w14:textId="77777777" w:rsidR="00CB5660" w:rsidRPr="00AE4E8D" w:rsidRDefault="00CB5660" w:rsidP="006659E6">
      <w:pPr>
        <w:pStyle w:val="BHTexto"/>
        <w:rPr>
          <w:lang w:val="es-ES"/>
        </w:rPr>
      </w:pPr>
      <w:r w:rsidRPr="00AE4E8D">
        <w:rPr>
          <w:lang w:val="es-ES"/>
        </w:rPr>
        <w:t>El Programa tendrá una duración de cinco años contados a partir del 28 de julio de 2016.</w:t>
      </w:r>
    </w:p>
    <w:p w14:paraId="44741D09" w14:textId="77777777" w:rsidR="00CB5660" w:rsidRPr="00AE4E8D" w:rsidRDefault="00CB5660" w:rsidP="006659E6">
      <w:pPr>
        <w:pStyle w:val="BH3Izquierda"/>
        <w:rPr>
          <w:lang w:val="es-ES"/>
        </w:rPr>
      </w:pPr>
      <w:bookmarkStart w:id="767" w:name="_Toc414610919"/>
      <w:bookmarkStart w:id="768" w:name="_Toc420062627"/>
      <w:bookmarkStart w:id="769" w:name="_Toc421201511"/>
      <w:r w:rsidRPr="00AE4E8D">
        <w:rPr>
          <w:lang w:val="es-ES"/>
        </w:rPr>
        <w:t>Forma y Denominación</w:t>
      </w:r>
      <w:bookmarkEnd w:id="767"/>
      <w:bookmarkEnd w:id="768"/>
      <w:bookmarkEnd w:id="769"/>
    </w:p>
    <w:p w14:paraId="358AB212" w14:textId="77777777" w:rsidR="00CB5660" w:rsidRPr="00AE4E8D" w:rsidRDefault="00CB5660" w:rsidP="006659E6">
      <w:pPr>
        <w:pStyle w:val="BHTexto"/>
        <w:rPr>
          <w:lang w:val="es-ES"/>
        </w:rPr>
      </w:pPr>
      <w:r w:rsidRPr="00AE4E8D">
        <w:rPr>
          <w:lang w:val="es-ES"/>
        </w:rPr>
        <w:t>Las Obligaciones Negociables se emitirán en las denominaciones especificadas en el suplemento de precio aplicable a cada serie o clase. Se deja constancia que el Banco se ajustará al monto mínimo establecido por el BCRA, mediante la Comunicación “A” 5034 y modificatorias, el cual actualmente es de Ps.1.000.000 conforme modificaciones introducidas a la definición de Inversores Calificados por la Comunicación “A” 5841.</w:t>
      </w:r>
    </w:p>
    <w:p w14:paraId="24DE212D" w14:textId="77777777" w:rsidR="00CB5660" w:rsidRPr="00AE4E8D" w:rsidRDefault="00CB5660" w:rsidP="006659E6">
      <w:pPr>
        <w:pStyle w:val="BHTexto"/>
        <w:rPr>
          <w:lang w:val="es-ES"/>
        </w:rPr>
      </w:pPr>
      <w:r w:rsidRPr="00AE4E8D">
        <w:rPr>
          <w:lang w:val="es-ES"/>
        </w:rPr>
        <w:t xml:space="preserve">En virtud de la Ley Nº 24.587 de Nominatividad de los Títulos Valores Privados, las sociedades argentinas no pueden emitir valores </w:t>
      </w:r>
      <w:r w:rsidR="00140213" w:rsidRPr="00AE4E8D">
        <w:rPr>
          <w:lang w:val="es-ES"/>
        </w:rPr>
        <w:t xml:space="preserve">negociables </w:t>
      </w:r>
      <w:r w:rsidRPr="00AE4E8D">
        <w:rPr>
          <w:lang w:val="es-ES"/>
        </w:rPr>
        <w:t>cartulares al portador a menos que cuenten con la autorización de la CNV de Argentina para su oferta pública en Argentina y estén representados por certificados globales o individuales, registrados o depositados en sistemas de depósito colectivo autorizados por la CNV. En consecuencia, en tanto las disposiciones de la Ley de Nominatividad de los Títulos Valores Privados estén en vigencia, emitiremos únicamente títulos nominativos no endosables o bien títulos depositados ante un custodio o sistema de compensación, no canjeables por títulos cartulares al portador, conforme se establezca en el suplemento de precio aplicable.</w:t>
      </w:r>
    </w:p>
    <w:p w14:paraId="78AB7D82" w14:textId="77777777" w:rsidR="00CB5660" w:rsidRPr="00AE4E8D" w:rsidRDefault="00CB5660" w:rsidP="006659E6">
      <w:pPr>
        <w:pStyle w:val="BHTexto"/>
        <w:rPr>
          <w:lang w:val="es-ES"/>
        </w:rPr>
      </w:pPr>
      <w:r w:rsidRPr="00AE4E8D">
        <w:rPr>
          <w:lang w:val="es-ES"/>
        </w:rPr>
        <w:t>En caso que se ofrezcan las Obligaciones Negociables en los Estados Unidos de América a compradores institucionales calificados en base a la Norma 144A según la Ley de Títulos Valores estarán representadas por una o más Obligaciones Negociables Globales bajo la Norma 144A. En caso que se ofrezcan las Obligaciones Negociables en base a la Reglamentación S estarán representadas por una o más Obligaciones Negociables globales de la Reglamentación S. En caso de que se ofrezcan las Obligaciones Negociables en otros mercados distintos de Estados Unidos de América, las mismas estarán representadas de conformidad con las leyes aplicables de dichos mercados.</w:t>
      </w:r>
    </w:p>
    <w:p w14:paraId="65FACCF9" w14:textId="77777777" w:rsidR="00CB5660" w:rsidRPr="00AE4E8D" w:rsidRDefault="00CB5660" w:rsidP="006659E6">
      <w:pPr>
        <w:pStyle w:val="BH3Izquierda"/>
        <w:rPr>
          <w:lang w:val="es-ES"/>
        </w:rPr>
      </w:pPr>
      <w:bookmarkStart w:id="770" w:name="_Toc414610920"/>
      <w:bookmarkStart w:id="771" w:name="_Toc420062628"/>
      <w:bookmarkStart w:id="772" w:name="_Toc421201512"/>
      <w:r w:rsidRPr="00AE4E8D">
        <w:rPr>
          <w:lang w:val="es-ES"/>
        </w:rPr>
        <w:t>Reemplazo de Obligaciones Negociables</w:t>
      </w:r>
      <w:bookmarkEnd w:id="770"/>
      <w:bookmarkEnd w:id="771"/>
      <w:bookmarkEnd w:id="772"/>
    </w:p>
    <w:p w14:paraId="61966A43" w14:textId="77777777" w:rsidR="00CB5660" w:rsidRPr="00AE4E8D" w:rsidRDefault="00CB5660" w:rsidP="006659E6">
      <w:pPr>
        <w:pStyle w:val="BHTexto"/>
        <w:rPr>
          <w:i/>
          <w:iCs/>
          <w:lang w:val="es-ES"/>
        </w:rPr>
      </w:pPr>
      <w:r w:rsidRPr="00AE4E8D">
        <w:rPr>
          <w:lang w:val="es-ES"/>
        </w:rPr>
        <w:t xml:space="preserve">Las Obligaciones Negociables que fueran destruidas total o parcialmente, </w:t>
      </w:r>
      <w:r w:rsidR="000E1220" w:rsidRPr="00AE4E8D">
        <w:rPr>
          <w:lang w:val="es-ES"/>
        </w:rPr>
        <w:t>pérdidas</w:t>
      </w:r>
      <w:r w:rsidR="00683F25" w:rsidRPr="00AE4E8D">
        <w:rPr>
          <w:lang w:val="es-ES"/>
        </w:rPr>
        <w:t>,</w:t>
      </w:r>
      <w:r w:rsidRPr="00AE4E8D">
        <w:rPr>
          <w:lang w:val="es-ES"/>
        </w:rPr>
        <w:t xml:space="preserve"> </w:t>
      </w:r>
      <w:r w:rsidR="0038119B" w:rsidRPr="00AE4E8D">
        <w:rPr>
          <w:lang w:val="es-ES"/>
        </w:rPr>
        <w:t>sustraídas</w:t>
      </w:r>
      <w:r w:rsidR="00683F25" w:rsidRPr="00AE4E8D">
        <w:rPr>
          <w:lang w:val="es-ES"/>
        </w:rPr>
        <w:t xml:space="preserve"> o</w:t>
      </w:r>
      <w:r w:rsidR="00337C6D" w:rsidRPr="00AE4E8D">
        <w:rPr>
          <w:lang w:val="es-ES"/>
        </w:rPr>
        <w:t xml:space="preserve"> deterioradas</w:t>
      </w:r>
      <w:r w:rsidRPr="00AE4E8D">
        <w:rPr>
          <w:lang w:val="es-ES"/>
        </w:rPr>
        <w:t xml:space="preserve"> </w:t>
      </w:r>
      <w:proofErr w:type="gramStart"/>
      <w:r w:rsidR="0038119B" w:rsidRPr="00AE4E8D">
        <w:rPr>
          <w:lang w:val="es-ES"/>
        </w:rPr>
        <w:t>conforme</w:t>
      </w:r>
      <w:proofErr w:type="gramEnd"/>
      <w:r w:rsidR="0038119B" w:rsidRPr="00AE4E8D">
        <w:rPr>
          <w:lang w:val="es-ES"/>
        </w:rPr>
        <w:t xml:space="preserve"> el artículo 1852 y siguientes del Código Civil y Comercial, </w:t>
      </w:r>
      <w:r w:rsidRPr="00AE4E8D">
        <w:rPr>
          <w:lang w:val="es-ES"/>
        </w:rPr>
        <w:t xml:space="preserve">serán reemplazadas contra entrega al Banco y el Fiduciario (en caso de que éste último sea designado por el Banco) de prueba de la pérdida, </w:t>
      </w:r>
      <w:r w:rsidR="0038119B" w:rsidRPr="00AE4E8D">
        <w:rPr>
          <w:lang w:val="es-ES"/>
        </w:rPr>
        <w:t>sustracción</w:t>
      </w:r>
      <w:r w:rsidR="00AA77D1" w:rsidRPr="00AE4E8D">
        <w:rPr>
          <w:lang w:val="es-ES"/>
        </w:rPr>
        <w:t>, deterioro</w:t>
      </w:r>
      <w:r w:rsidRPr="00AE4E8D">
        <w:rPr>
          <w:lang w:val="es-ES"/>
        </w:rPr>
        <w:t xml:space="preserve"> o destrucción total a satisfacción del Banco. En el caso de una Obligación Negociable perdida, </w:t>
      </w:r>
      <w:r w:rsidR="0038119B" w:rsidRPr="00AE4E8D">
        <w:rPr>
          <w:lang w:val="es-ES"/>
        </w:rPr>
        <w:t>sustraída</w:t>
      </w:r>
      <w:r w:rsidR="001840D6" w:rsidRPr="00AE4E8D">
        <w:rPr>
          <w:lang w:val="es-ES"/>
        </w:rPr>
        <w:t>, deteriorada</w:t>
      </w:r>
      <w:r w:rsidRPr="00AE4E8D">
        <w:rPr>
          <w:lang w:val="es-ES"/>
        </w:rPr>
        <w:t xml:space="preserve"> o destruida totalmente, podrá exigirse una indemnización a satisfacción del Banco a costa del tenedor de dicha Obligación Negociable antes de emitirse una Obligación Negociable de reemplazo. Al emitirse una nueva Obligación Negociable, el Banco podrá requerir el pago de una suma suficiente para cubrir cualquier impuesto u otra carga pública que pudiera ser fijada al respecto y cualquier otro gasto (incluidos los honorarios y sus asesores legales y sus agentes) al respecto.</w:t>
      </w:r>
    </w:p>
    <w:p w14:paraId="62776534" w14:textId="77777777" w:rsidR="00CB5660" w:rsidRPr="00AE4E8D" w:rsidRDefault="00CB5660" w:rsidP="006659E6">
      <w:pPr>
        <w:pStyle w:val="BH3Izquierda"/>
        <w:rPr>
          <w:lang w:val="es-ES"/>
        </w:rPr>
      </w:pPr>
      <w:bookmarkStart w:id="773" w:name="_Toc414610921"/>
      <w:bookmarkStart w:id="774" w:name="_Toc420062629"/>
      <w:bookmarkStart w:id="775" w:name="_Toc421201513"/>
      <w:r w:rsidRPr="00AE4E8D">
        <w:rPr>
          <w:lang w:val="es-ES"/>
        </w:rPr>
        <w:t>Obligaciones Negociables definitivas y Obligaciones Negociables Provisorias</w:t>
      </w:r>
      <w:bookmarkEnd w:id="773"/>
      <w:bookmarkEnd w:id="774"/>
      <w:bookmarkEnd w:id="775"/>
    </w:p>
    <w:p w14:paraId="19726611" w14:textId="77777777" w:rsidR="00CB5660" w:rsidRPr="00AE4E8D" w:rsidRDefault="00CB5660" w:rsidP="006659E6">
      <w:pPr>
        <w:pStyle w:val="BHTexto"/>
        <w:rPr>
          <w:lang w:val="es-ES"/>
        </w:rPr>
      </w:pPr>
      <w:r w:rsidRPr="00AE4E8D">
        <w:rPr>
          <w:lang w:val="es-ES"/>
        </w:rPr>
        <w:t>Las Obligaciones Negociables provisorias podrán canjearse por Obligaciones Negociables definitivas, en las denominaciones establecidas en cada oportunidad, según se determine en el suplemento de precio aplicable. Todas las Obligaciones Negociables provisorias estarán identificadas como tales y mencionarán el derecho del Obligacionista de canjearlas por Obligaciones Negociables definitivas, así como el modo de efectuar dicho canje.</w:t>
      </w:r>
    </w:p>
    <w:p w14:paraId="54C25C69" w14:textId="77777777" w:rsidR="00CB5660" w:rsidRPr="00AE4E8D" w:rsidRDefault="00CB5660" w:rsidP="006659E6">
      <w:pPr>
        <w:pStyle w:val="BH3Izquierda"/>
        <w:rPr>
          <w:lang w:val="es-ES"/>
        </w:rPr>
      </w:pPr>
      <w:bookmarkStart w:id="776" w:name="_Toc414610922"/>
      <w:bookmarkStart w:id="777" w:name="_Toc420062630"/>
      <w:bookmarkStart w:id="778" w:name="_Toc421201514"/>
      <w:r w:rsidRPr="00AE4E8D">
        <w:rPr>
          <w:lang w:val="es-ES"/>
        </w:rPr>
        <w:t>Rango</w:t>
      </w:r>
      <w:bookmarkEnd w:id="776"/>
      <w:bookmarkEnd w:id="777"/>
      <w:bookmarkEnd w:id="778"/>
    </w:p>
    <w:p w14:paraId="3F6017DD" w14:textId="77777777" w:rsidR="00CB5660" w:rsidRPr="00AE4E8D" w:rsidRDefault="00CB5660" w:rsidP="006659E6">
      <w:pPr>
        <w:pStyle w:val="BHTexto"/>
        <w:rPr>
          <w:lang w:val="es-ES"/>
        </w:rPr>
      </w:pPr>
      <w:r w:rsidRPr="00AE4E8D">
        <w:rPr>
          <w:lang w:val="es-ES"/>
        </w:rPr>
        <w:t xml:space="preserve">Las Obligaciones Negociables revestirán el carácter de obligaciones negociables simples no convertibles en acciones en virtud de la Ley de Mercado de Capitales, las Normas de la CNV, y la Ley de Obligaciones Negociables, y tendrán derecho a los beneficios allí establecidos y </w:t>
      </w:r>
      <w:proofErr w:type="gramStart"/>
      <w:r w:rsidRPr="00AE4E8D">
        <w:rPr>
          <w:lang w:val="es-ES"/>
        </w:rPr>
        <w:t>sujetas</w:t>
      </w:r>
      <w:proofErr w:type="gramEnd"/>
      <w:r w:rsidRPr="00AE4E8D">
        <w:rPr>
          <w:lang w:val="es-ES"/>
        </w:rPr>
        <w:t xml:space="preserve"> a sus requisitos de procedimiento. En particular, según el Artículo 29 de la Ley de Obligaciones Negociables, si el Banco incumple en el pago de cualquier monto adeudado en virtud de una Obligación Negociable de cualquier clase, el tenedor de dicha Obligación Negociable tendrá derecho a entablar acción ejecutiva en Argentina para recuperar el pago de dicho monto.</w:t>
      </w:r>
    </w:p>
    <w:p w14:paraId="64804C74" w14:textId="77777777" w:rsidR="00CB5660" w:rsidRPr="00AE4E8D" w:rsidRDefault="00CB5660" w:rsidP="006659E6">
      <w:pPr>
        <w:pStyle w:val="BHTexto"/>
        <w:rPr>
          <w:lang w:val="es-ES"/>
        </w:rPr>
      </w:pPr>
      <w:r w:rsidRPr="00AE4E8D">
        <w:rPr>
          <w:lang w:val="es-ES"/>
        </w:rPr>
        <w:lastRenderedPageBreak/>
        <w:t>A menos que lo contrario se especifique en el suplemento de precio aplicable, las Obligaciones Negociables constituirán obligaciones simples, incondicionales y no subordinadas del Banco, con garantía común sobre su patrimonio, y tendrán en todo momento al menos igual prioridad de pago que todas sus demás deudas no garantizadas y no subordinadas, existentes y futuras (salvo las obligaciones que gozan de preferencia por ley o de puro derecho, incluyendo depósitos). Estas condiciones generales podrán ser reemplazadas, ampliadas, y/o complementadas en el suplemento de precio aplicable a cada serie y/o clase, con el debido resguardo del interés de los inversores.</w:t>
      </w:r>
    </w:p>
    <w:p w14:paraId="2901EFCF" w14:textId="77777777" w:rsidR="00CB5660" w:rsidRPr="00AE4E8D" w:rsidRDefault="00CB5660" w:rsidP="006659E6">
      <w:pPr>
        <w:pStyle w:val="BHTexto"/>
        <w:rPr>
          <w:lang w:val="es-ES"/>
        </w:rPr>
      </w:pPr>
      <w:r w:rsidRPr="00AE4E8D">
        <w:rPr>
          <w:lang w:val="es-ES"/>
        </w:rPr>
        <w:t xml:space="preserve">En particular, según la Ley de Entidades Financieras, todos los depositantes existentes y futuros del Banco gozarán de un derecho de preferencia general sobre los tenedores de Obligaciones Negociables emitidas en el marco de este Programa. La Ley de Entidades Financieras dispone que, en caso de liquidación judicial o quiebra, todos los depositantes, sin considerar el tipo, monto o moneda de sus depósitos, ya sea personas </w:t>
      </w:r>
      <w:r w:rsidR="006107DB" w:rsidRPr="00AE4E8D">
        <w:rPr>
          <w:lang w:val="es-ES"/>
        </w:rPr>
        <w:t>humanas</w:t>
      </w:r>
      <w:r w:rsidRPr="00AE4E8D">
        <w:rPr>
          <w:lang w:val="es-ES"/>
        </w:rPr>
        <w:t xml:space="preserve"> o jurídicas, tuvieran una prioridad de pago sobre todos los demás acreedores del Banco (incluidos los tenedores de Obligaciones Negociables), salvo ciertos acreedores laborales y garantizados. Asimismo, los depositantes tendrían prioridad sobre todos los demás acreedores, con la excepción de ciertos acreedores laborales, por los fondos en poder del BCRA como reservas, los demás fondos en el momento de cualquier revocación de su licencia bancaria y respecto de los fondos de cualquier transferencia forzosa de activos del Banco por parte del BCRA.</w:t>
      </w:r>
    </w:p>
    <w:p w14:paraId="4A59A0BB" w14:textId="77777777" w:rsidR="00CB5660" w:rsidRPr="00AE4E8D" w:rsidRDefault="00CB5660" w:rsidP="006659E6">
      <w:pPr>
        <w:pStyle w:val="BHTexto"/>
        <w:rPr>
          <w:lang w:val="es-ES"/>
        </w:rPr>
      </w:pPr>
      <w:r w:rsidRPr="00AE4E8D">
        <w:rPr>
          <w:lang w:val="es-ES"/>
        </w:rPr>
        <w:t xml:space="preserve">Si así lo especificara el respectivo suplemento de precio, el Banco podrá emitir, Obligaciones Negociables subordinadas, las cuales estarán subordinadas al pago de la deuda no subordinada del Banco, de acuerdo lo establecen las normas aplicables. </w:t>
      </w:r>
    </w:p>
    <w:p w14:paraId="6B77F92D" w14:textId="77777777" w:rsidR="00CB5660" w:rsidRPr="00AE4E8D" w:rsidRDefault="00CB5660" w:rsidP="006659E6">
      <w:pPr>
        <w:pStyle w:val="BHTexto"/>
        <w:rPr>
          <w:lang w:val="es-ES"/>
        </w:rPr>
      </w:pPr>
      <w:r w:rsidRPr="00AE4E8D">
        <w:rPr>
          <w:lang w:val="es-ES"/>
        </w:rPr>
        <w:t>Asimismo, excepto acreedores laborales y acreedores garantizados con una prenda o hipoteca, los titulares de cualquier tipo de depósitos tendrán preferencia por sobre (i) los fondos en poder del BCRA en concepto de reservas; (ii) otros fondos en poder del BCRA en concepto de reservas; (iii) otros fondos existentes a la fecha de revocación de la habilitación del Banco y, (iv) los fondos resultantes de la transferencia obligatoria de los activos del Banco dictaminada por el BCRA, los cuales serán pagados de acuerdo al siguiente orden de preferencia a los restantes acreedores: (a) depósitos de hasta Ps.350.000 por persona o sociedad (considerando todos los montos de dicha persona/sociedad en una institución financiera) o su equivalente en moneda extranjera, con prioridad de una persona por depósito (en el caso de cuentas con más de un titular, el monto se prorratea entre los titulares); (b) todos los depósitos superiores a Ps.350.000 o su equivalente en moneda extranjera, por los montos que excedan dicha suma; y (c) las obligaciones derivadas de las facilidades de crédito otorgadas al banco, que afecten en forma directa el comercio internacional. Asimismo, bajo el artículo 53 de la Ley de Entidades Financieras, todos los créditos del BCRA tendrán prioridad por sobre todos los demás acreedores, salvo aquéllos garantizados con una prenda o hipoteca, ciertos acreedores laborales y depositantes (en los términos establecidos anteriormente), facilidades otorgadas de acuerdo con la Carta Orgánica del BCRA (redescuentos otorgados a entidades financieras en el supuesto de falta temporaria de liquidez, anticipos a entidades financieras bajo un bono, cesión de bonos, prenda o cesión especial de ciertos activos) y facilidades otorgadas por el fondo de liquidez bancaria y garantizadas con una prenda o hipoteca.</w:t>
      </w:r>
    </w:p>
    <w:p w14:paraId="749F2BFB" w14:textId="77777777" w:rsidR="00CB5660" w:rsidRPr="00AE4E8D" w:rsidRDefault="00CB5660" w:rsidP="006659E6">
      <w:pPr>
        <w:pStyle w:val="BH3Izquierda"/>
        <w:rPr>
          <w:lang w:val="es-ES"/>
        </w:rPr>
      </w:pPr>
      <w:bookmarkStart w:id="779" w:name="_Toc414610923"/>
      <w:bookmarkStart w:id="780" w:name="_Toc420062631"/>
      <w:bookmarkStart w:id="781" w:name="_Toc421201515"/>
      <w:r w:rsidRPr="00AE4E8D">
        <w:rPr>
          <w:lang w:val="es-ES"/>
        </w:rPr>
        <w:t>Tasa de Interés</w:t>
      </w:r>
      <w:bookmarkEnd w:id="779"/>
      <w:bookmarkEnd w:id="780"/>
      <w:bookmarkEnd w:id="781"/>
    </w:p>
    <w:p w14:paraId="1967271C" w14:textId="77777777" w:rsidR="00CB5660" w:rsidRPr="00AE4E8D" w:rsidRDefault="00CB5660" w:rsidP="000E1220">
      <w:pPr>
        <w:pStyle w:val="BH4Cursiva"/>
        <w:rPr>
          <w:lang w:val="es-ES"/>
        </w:rPr>
      </w:pPr>
      <w:r w:rsidRPr="00AE4E8D">
        <w:rPr>
          <w:lang w:val="es-ES"/>
        </w:rPr>
        <w:t>Introducción</w:t>
      </w:r>
    </w:p>
    <w:p w14:paraId="25541871" w14:textId="77777777" w:rsidR="00CB5660" w:rsidRPr="00AE4E8D" w:rsidRDefault="00CB5660" w:rsidP="006659E6">
      <w:pPr>
        <w:pStyle w:val="BHTexto"/>
        <w:rPr>
          <w:lang w:val="es-ES"/>
        </w:rPr>
      </w:pPr>
      <w:r w:rsidRPr="00AE4E8D">
        <w:rPr>
          <w:lang w:val="es-ES"/>
        </w:rPr>
        <w:t>Cada Obligación Negociable a Tasa fija u Obligación Negociable a Tasa Variable devengará intereses a partir de (e incluyendo) la fecha de emisión o cualquier otra fecha (la “</w:t>
      </w:r>
      <w:r w:rsidRPr="00AE4E8D">
        <w:rPr>
          <w:u w:val="single"/>
          <w:lang w:val="es-ES"/>
        </w:rPr>
        <w:t>Fecha de Inicio del Período de Intereses</w:t>
      </w:r>
      <w:r w:rsidRPr="00AE4E8D">
        <w:rPr>
          <w:lang w:val="es-ES"/>
        </w:rPr>
        <w:t>”) especificada en el respectivo suplemento de precio o desde la última Fecha de Pago de Intereses (o, si dicha Obligación Negociable fuera una Obligación Negociable a Tasa Variable y el Período de Redeterminación de Intereses fuera diario o semanal, a partir del día siguiente a la última Fecha de Redeterminación de Intereses) (según se define más adelante) hasta la que se hubieran pagado o debidamente dispuesto el pago de intereses sobre dicha Obligación Negociable a la tasa fija anual, o a la tasa anual determinada según la fórmula de tasas de interés, según lo establecido en el respectivo suplemento de precio, hasta el pago o la disposición del pago de su capital. Los intereses se pagarán en la o las fechas especificadas en el respectivo suplemento de precio (una “</w:t>
      </w:r>
      <w:r w:rsidRPr="00AE4E8D">
        <w:rPr>
          <w:u w:val="single"/>
          <w:lang w:val="es-ES"/>
        </w:rPr>
        <w:t>Fecha de Pago de Intereses</w:t>
      </w:r>
      <w:r w:rsidRPr="00AE4E8D">
        <w:rPr>
          <w:lang w:val="es-ES"/>
        </w:rPr>
        <w:t>”) y al Vencimiento Estipulado o en caso de rescate o vencimiento anticipado, según se especifica bajo el título “</w:t>
      </w:r>
      <w:r w:rsidRPr="00AE4E8D">
        <w:rPr>
          <w:i/>
          <w:lang w:val="es-ES"/>
        </w:rPr>
        <w:t>Pago de capital e intereses</w:t>
      </w:r>
      <w:r w:rsidRPr="00AE4E8D">
        <w:rPr>
          <w:lang w:val="es-ES"/>
        </w:rPr>
        <w:t>”, más adelante.</w:t>
      </w:r>
    </w:p>
    <w:p w14:paraId="263A7487" w14:textId="77777777" w:rsidR="00CB5660" w:rsidRPr="00AE4E8D" w:rsidRDefault="00CB5660" w:rsidP="006659E6">
      <w:pPr>
        <w:pStyle w:val="BHTexto"/>
        <w:rPr>
          <w:lang w:val="es-ES"/>
        </w:rPr>
      </w:pPr>
      <w:r w:rsidRPr="00AE4E8D">
        <w:rPr>
          <w:lang w:val="es-ES"/>
        </w:rPr>
        <w:t>Cada Obligación Negociable devengará intereses (i) a una tasa fija o (ii) a una tasa variable determinada por referencia a una tasa de interés base (incluida la LIBOR -una “Obligación Negociable a Tasa LIBOR”-), la Tasa del Tesoro de los Estados Unidos de América (una “</w:t>
      </w:r>
      <w:r w:rsidRPr="00AE4E8D">
        <w:rPr>
          <w:u w:val="single"/>
          <w:lang w:val="es-ES"/>
        </w:rPr>
        <w:t>Obligación Negociable a Tasa del Tesoro de los Estados Unidos de América</w:t>
      </w:r>
      <w:r w:rsidRPr="00AE4E8D">
        <w:rPr>
          <w:lang w:val="es-ES"/>
        </w:rPr>
        <w:t xml:space="preserve">”) o cualquier otra tasa de interés base que se consigne en el </w:t>
      </w:r>
      <w:r w:rsidRPr="00AE4E8D">
        <w:rPr>
          <w:lang w:val="es-ES"/>
        </w:rPr>
        <w:lastRenderedPageBreak/>
        <w:t>respectivo suplemento de precio incluyendo, sin limitación, la tasa de descuento de las LEBAC, la tasa BADLAR y/o la tasa CER, y de acuerdo a lo establecido por las leyes y regulaciones aplicables argentinas, la cual podrá ser ajustada agregando o restando el Margen y/o multiplicando el Multiplicador del Margen. El “Margen” es la cantidad de puntos porcentuales especificada en el respectivo suplemento de precio aplicable a la tasa de interés de las Obligaciones Negociables respectivas, y el “Multiplicador del Margen” es el porcentaje especificado en el respectivo suplemento de precio como aplicable a la tasa de interés de dicha Obligación Negociable. Una Obligación Negociable a Tasa Variable también podrá reunir cualquiera o todas las siguientes condiciones (de conformidad a lo que se establezca en el respectivo suplemento de precio): (i) una tasa de interés máxima, o tope, sobre la tasa de interés que podrá devengarse durante cualquier período de intereses (una “</w:t>
      </w:r>
      <w:r w:rsidRPr="00AE4E8D">
        <w:rPr>
          <w:u w:val="single"/>
          <w:lang w:val="es-ES"/>
        </w:rPr>
        <w:t>Tasa Máxima</w:t>
      </w:r>
      <w:r w:rsidRPr="00AE4E8D">
        <w:rPr>
          <w:lang w:val="es-ES"/>
        </w:rPr>
        <w:t>”), y (ii) una tasa de interés mínima, o piso, sobre la tasa de interés que podrá devengarse durante cualquier período de intereses (una “</w:t>
      </w:r>
      <w:r w:rsidRPr="00AE4E8D">
        <w:rPr>
          <w:u w:val="single"/>
          <w:lang w:val="es-ES"/>
        </w:rPr>
        <w:t>Tasa Mínima</w:t>
      </w:r>
      <w:r w:rsidRPr="00AE4E8D">
        <w:rPr>
          <w:lang w:val="es-ES"/>
        </w:rPr>
        <w:t>”).</w:t>
      </w:r>
    </w:p>
    <w:p w14:paraId="2B9531D7" w14:textId="77777777" w:rsidR="00CB5660" w:rsidRPr="00AE4E8D" w:rsidRDefault="00CB5660" w:rsidP="006659E6">
      <w:pPr>
        <w:pStyle w:val="BHTexto"/>
        <w:rPr>
          <w:lang w:val="es-ES"/>
        </w:rPr>
      </w:pPr>
      <w:r w:rsidRPr="00AE4E8D">
        <w:rPr>
          <w:lang w:val="es-ES"/>
        </w:rPr>
        <w:t>Las mencionadas condiciones generales relativas a Tasa de Interés podrán ser reemplazadas, ampliadas, y/o complementadas en el suplemento de precio aplicable a cada serie y/o clase, con el debido resguardo del interés de los inversores.</w:t>
      </w:r>
    </w:p>
    <w:p w14:paraId="15A5D3EF" w14:textId="77777777" w:rsidR="00CB5660" w:rsidRPr="00AE4E8D" w:rsidRDefault="00CB5660" w:rsidP="006659E6">
      <w:pPr>
        <w:pStyle w:val="BHTexto"/>
        <w:rPr>
          <w:lang w:val="es-ES"/>
        </w:rPr>
      </w:pPr>
      <w:r w:rsidRPr="00AE4E8D">
        <w:rPr>
          <w:lang w:val="es-ES"/>
        </w:rPr>
        <w:t>El Banco emplea las siguientes definiciones generales en este capítulo:</w:t>
      </w:r>
    </w:p>
    <w:p w14:paraId="15C02E9A" w14:textId="77777777" w:rsidR="00CB5660" w:rsidRPr="00AE4E8D" w:rsidRDefault="00CB5660" w:rsidP="006659E6">
      <w:pPr>
        <w:pStyle w:val="BHTexto"/>
        <w:rPr>
          <w:lang w:val="es-ES"/>
        </w:rPr>
      </w:pPr>
      <w:r w:rsidRPr="00AE4E8D">
        <w:rPr>
          <w:i/>
          <w:lang w:val="es-ES"/>
        </w:rPr>
        <w:t>“BADLAR”</w:t>
      </w:r>
      <w:r w:rsidRPr="00AE4E8D">
        <w:rPr>
          <w:lang w:val="es-ES"/>
        </w:rPr>
        <w:t xml:space="preserve"> significa el promedio de tasas de interés ofrecidas por entidades bancarias privadas para operaciones a plazo fijo superiores a un millón de Pesos por un plazo de entre 30 y 35 días. Esta tasa es publicada por el BCRA en su </w:t>
      </w:r>
      <w:r w:rsidRPr="00AE4E8D">
        <w:rPr>
          <w:i/>
          <w:iCs/>
          <w:lang w:val="es-ES"/>
        </w:rPr>
        <w:t>website.</w:t>
      </w:r>
    </w:p>
    <w:p w14:paraId="08C874F5" w14:textId="77777777" w:rsidR="00CB5660" w:rsidRPr="00AE4E8D" w:rsidRDefault="00CB5660" w:rsidP="006659E6">
      <w:pPr>
        <w:pStyle w:val="BHTexto"/>
        <w:rPr>
          <w:lang w:val="es-ES"/>
        </w:rPr>
      </w:pPr>
      <w:r w:rsidRPr="00AE4E8D">
        <w:rPr>
          <w:i/>
          <w:lang w:val="es-ES"/>
        </w:rPr>
        <w:t>"Día Hábil”</w:t>
      </w:r>
      <w:r w:rsidRPr="00AE4E8D">
        <w:rPr>
          <w:lang w:val="es-ES"/>
        </w:rPr>
        <w:t xml:space="preserve"> significa, salvo que el respectivo suplemento de precio defina lo contrario, cualquier día, salvo sábados o domingos, que no fuera feriado oficial ni un día en que los bancos comerciales estén autorizados u obligados por ley, normas o decreto del poder ejecutivo a cerrar en la Ciudad de Nueva York o en la Ciudad Autónoma de Buenos Aires, teniendo en cuenta, que respecto de Obligaciones Negociables denominadas en una Moneda Especificada que no sea el Dólar Estadounidense, que tampoco sea un día en que los bancos comerciales estén autorizados u obligados por ley, normas o decreto del poder ejecutivo a cerrar en el principal centro financiero del país que emita la Moneda Especificada (o, si la Moneda Especificada fuera el Euro, el día que también sea un día en que esté abierto el sistema TARGET </w:t>
      </w:r>
      <w:r w:rsidRPr="00AE4E8D">
        <w:rPr>
          <w:i/>
          <w:lang w:val="es-ES"/>
        </w:rPr>
        <w:t>(Trans-European Automated Real Time Gross Settlement Express Transfer)</w:t>
      </w:r>
      <w:r w:rsidRPr="00AE4E8D">
        <w:rPr>
          <w:lang w:val="es-ES"/>
        </w:rPr>
        <w:t xml:space="preserve"> (una “</w:t>
      </w:r>
      <w:r w:rsidRPr="00AE4E8D">
        <w:rPr>
          <w:u w:val="single"/>
          <w:lang w:val="es-ES"/>
        </w:rPr>
        <w:t>Fecha de Liquidación TARGET</w:t>
      </w:r>
      <w:r w:rsidRPr="00AE4E8D">
        <w:rPr>
          <w:lang w:val="es-ES"/>
        </w:rPr>
        <w:t>”), y teniendo en cuenta, asimismo, que respecto de una Obligación Negociable a Tasa LIBOR, que también sea un Día Hábil Bancario en Londres.</w:t>
      </w:r>
    </w:p>
    <w:p w14:paraId="0D3B9886" w14:textId="77777777" w:rsidR="00CB5660" w:rsidRPr="00AE4E8D" w:rsidRDefault="00CB5660" w:rsidP="006659E6">
      <w:pPr>
        <w:pStyle w:val="BHTexto"/>
        <w:rPr>
          <w:lang w:val="es-ES"/>
        </w:rPr>
      </w:pPr>
      <w:r w:rsidRPr="00AE4E8D">
        <w:rPr>
          <w:i/>
          <w:lang w:val="es-ES"/>
        </w:rPr>
        <w:t>“CER”</w:t>
      </w:r>
      <w:r w:rsidRPr="00AE4E8D">
        <w:rPr>
          <w:lang w:val="es-ES"/>
        </w:rPr>
        <w:t xml:space="preserve"> significa el índice de ajuste diario elaborado por el BCRA que refleja la tasa de inflación. Este índice toma como base de cálculo la variación registrada en el Índice de Precios al Consumidor, el cual es elaborado por el Instituto Nacional de Estadística y Censos.</w:t>
      </w:r>
    </w:p>
    <w:p w14:paraId="42570507" w14:textId="77777777" w:rsidR="00CB5660" w:rsidRPr="00AE4E8D" w:rsidRDefault="00CB5660" w:rsidP="006659E6">
      <w:pPr>
        <w:pStyle w:val="BHTexto"/>
        <w:rPr>
          <w:lang w:val="es-ES"/>
        </w:rPr>
      </w:pPr>
      <w:r w:rsidRPr="00AE4E8D">
        <w:rPr>
          <w:i/>
          <w:lang w:val="es-ES"/>
        </w:rPr>
        <w:t xml:space="preserve">“Día Hábil Bancario en Londres </w:t>
      </w:r>
      <w:r w:rsidRPr="00AE4E8D">
        <w:rPr>
          <w:lang w:val="es-ES"/>
        </w:rPr>
        <w:t>“significa cualquier día en que se realicen operaciones en depósitos en Dólares Estadounidenses en el mercado interbancario de Londres.</w:t>
      </w:r>
    </w:p>
    <w:p w14:paraId="1F68A7CD" w14:textId="77777777" w:rsidR="00CB5660" w:rsidRPr="00AE4E8D" w:rsidRDefault="00CB5660" w:rsidP="006659E6">
      <w:pPr>
        <w:pStyle w:val="BHTexto"/>
        <w:rPr>
          <w:lang w:val="es-ES"/>
        </w:rPr>
      </w:pPr>
      <w:r w:rsidRPr="00AE4E8D">
        <w:rPr>
          <w:i/>
          <w:lang w:val="es-ES"/>
        </w:rPr>
        <w:t>“Vencimiento del Índice”</w:t>
      </w:r>
      <w:r w:rsidRPr="00AE4E8D">
        <w:rPr>
          <w:lang w:val="es-ES"/>
        </w:rPr>
        <w:t xml:space="preserve"> significa, respecto de una Obligación Negociable a Tasa Variable, el período al vencimiento del instrumento u obligación sobre la que se basa la fórmula de tasas de interés, según se especifique en el suplemento de precio respectivo.</w:t>
      </w:r>
    </w:p>
    <w:p w14:paraId="0CFA172D" w14:textId="77777777" w:rsidR="00CB5660" w:rsidRPr="00AE4E8D" w:rsidRDefault="00CB5660" w:rsidP="006659E6">
      <w:pPr>
        <w:pStyle w:val="BHTexto"/>
        <w:rPr>
          <w:lang w:val="es-ES"/>
        </w:rPr>
      </w:pPr>
      <w:r w:rsidRPr="00AE4E8D">
        <w:rPr>
          <w:lang w:val="es-ES"/>
        </w:rPr>
        <w:t>El fiduciario y el agente de cálculo para las Obligaciones Negociables Globales (el “</w:t>
      </w:r>
      <w:r w:rsidRPr="00AE4E8D">
        <w:rPr>
          <w:u w:val="single"/>
          <w:lang w:val="es-ES"/>
        </w:rPr>
        <w:t>Agente de Cálculo</w:t>
      </w:r>
      <w:r w:rsidRPr="00AE4E8D">
        <w:rPr>
          <w:lang w:val="es-ES"/>
        </w:rPr>
        <w:t>”) respecto de las Obligaciones Negociables a Tasa Variable se determinarán en el suplemento de precio respectivo.</w:t>
      </w:r>
    </w:p>
    <w:p w14:paraId="7157D98F" w14:textId="77777777" w:rsidR="00CB5660" w:rsidRPr="00AE4E8D" w:rsidRDefault="00CB5660" w:rsidP="000E1220">
      <w:pPr>
        <w:pStyle w:val="BH4Cursiva"/>
        <w:rPr>
          <w:lang w:val="es-ES"/>
        </w:rPr>
      </w:pPr>
      <w:r w:rsidRPr="00AE4E8D">
        <w:rPr>
          <w:lang w:val="es-ES"/>
        </w:rPr>
        <w:t>Obligaciones Negociables a Tasa Fija</w:t>
      </w:r>
    </w:p>
    <w:p w14:paraId="52423657" w14:textId="77777777" w:rsidR="00CB5660" w:rsidRPr="00AE4E8D" w:rsidRDefault="00CB5660" w:rsidP="006659E6">
      <w:pPr>
        <w:pStyle w:val="BHTexto"/>
        <w:rPr>
          <w:lang w:val="es-ES"/>
        </w:rPr>
      </w:pPr>
      <w:r w:rsidRPr="00AE4E8D">
        <w:rPr>
          <w:lang w:val="es-ES"/>
        </w:rPr>
        <w:t>Las Obligaciones Negociables a Tasa Fija devengarán intereses a partir de (e incluyendo) la Fecha de Inicio del Período de Intereses especificada en el respectivo suplemento de precio, a la o las tasas anuales especificadas (la “</w:t>
      </w:r>
      <w:r w:rsidRPr="00AE4E8D">
        <w:rPr>
          <w:u w:val="single"/>
          <w:lang w:val="es-ES"/>
        </w:rPr>
        <w:t>Tasa de Interés Fija</w:t>
      </w:r>
      <w:r w:rsidRPr="00AE4E8D">
        <w:rPr>
          <w:lang w:val="es-ES"/>
        </w:rPr>
        <w:t>”), pagaderos por período vencido en la Fecha de Pago de Intereses de cada año y en el Vencimiento Estipulado o en caso de rescate o caducidad del plazo. El primer pago de intereses se realizará en la Fecha de Pago de Intereses inmediatamente posterior a la Fecha de Inicio del Período de Intereses y, si el período a partir de la Fecha de Inicio del Período de Intereses hasta la Fecha de Pago de Intereses fuera diferente del período comprendido entre las Fechas de Pago de Intereses posteriores, será igual al “Monto Irregular Inicial” especificado en el respectivo suplemento de precio. Si el Vencimiento Estipulado no fuera una Fecha de Pago de Intereses, los intereses desde la Fecha de Pago de Intereses anterior, inclusive (o la Fecha de Inicio del Período de Intereses, según fuera el caso) hasta el Vencimiento Estipulado, exclusive, será igual al “Monto Irregular Final” especificado en el respectivo suplemento de precio.</w:t>
      </w:r>
    </w:p>
    <w:p w14:paraId="512B76F4" w14:textId="77777777" w:rsidR="00CB5660" w:rsidRPr="00AE4E8D" w:rsidRDefault="00CB5660" w:rsidP="000E1220">
      <w:pPr>
        <w:pStyle w:val="BH4Cursiva"/>
        <w:rPr>
          <w:lang w:val="es-ES"/>
        </w:rPr>
      </w:pPr>
      <w:r w:rsidRPr="00AE4E8D">
        <w:rPr>
          <w:lang w:val="es-ES"/>
        </w:rPr>
        <w:lastRenderedPageBreak/>
        <w:t>Obligaciones Negociables a Tasa Variable</w:t>
      </w:r>
    </w:p>
    <w:p w14:paraId="0B7F5632" w14:textId="77777777" w:rsidR="00CB5660" w:rsidRPr="00AE4E8D" w:rsidRDefault="00CB5660" w:rsidP="000E1220">
      <w:pPr>
        <w:pStyle w:val="BH5Cursiva"/>
        <w:rPr>
          <w:lang w:val="es-ES"/>
        </w:rPr>
      </w:pPr>
      <w:r w:rsidRPr="00AE4E8D">
        <w:rPr>
          <w:lang w:val="es-ES"/>
        </w:rPr>
        <w:t>Introducción</w:t>
      </w:r>
    </w:p>
    <w:p w14:paraId="2F1A70B1" w14:textId="77777777" w:rsidR="00CB5660" w:rsidRPr="00AE4E8D" w:rsidRDefault="00CB5660" w:rsidP="006659E6">
      <w:pPr>
        <w:pStyle w:val="BHTexto"/>
        <w:rPr>
          <w:lang w:val="es-ES"/>
        </w:rPr>
      </w:pPr>
      <w:r w:rsidRPr="00AE4E8D">
        <w:rPr>
          <w:lang w:val="es-ES"/>
        </w:rPr>
        <w:t>El suplemento de precio relacionado con una Obligación Negociable a Tasa Variable designará una tasa de interés base (la “</w:t>
      </w:r>
      <w:r w:rsidRPr="00AE4E8D">
        <w:rPr>
          <w:u w:val="single"/>
          <w:lang w:val="es-ES"/>
        </w:rPr>
        <w:t>Tasa de Interés Base</w:t>
      </w:r>
      <w:r w:rsidRPr="00AE4E8D">
        <w:rPr>
          <w:lang w:val="es-ES"/>
        </w:rPr>
        <w:t>”) para dicha Obligación Negociable a Tasa Variable. La Tasa de Interés Base para cada Obligación Negociable a Tasa Variable será: (i) LIBOR, en cuyo caso dicha Obligación Negociable será una Obligación Negociable a Tasa LIBOR; (ii) la Tasa del Tesoro de los Estados Unidos de América, en cuyo caso dicha Obligación Negociable será una Obligación Negociable a Tasa del Tesoro de los Estados Unidos de América; o (iii) otra tasa de interés base establecida en el suplemento de precio que corresponda, incluyendo, sin limitación, la tasa de descuento de las LEBAC, la tasa BADLAR y/o la tasa CER. El suplemento de precio de una Obligación Negociable a Tasa Variable también especificará, de ser aplicable, el Agente de Cálculo, el Vencimiento del Índice, el Margen y/o el Multiplicador del Margen, la Tasa Máxima, la Tasa Mínima, las Fechas de Registro Regular y la Tasa de Interés Inicial, las Fechas de Pago de Intereses, las Fechas de Cálculo, las Fechas de Determinación de Intereses, el Período de Redeterminación de Intereses y las Fechas de Redeterminación de Intereses (cada una, según se define más adelante) respecto de dicha Obligación Negociable.</w:t>
      </w:r>
    </w:p>
    <w:p w14:paraId="2461F671" w14:textId="77777777" w:rsidR="00CB5660" w:rsidRPr="00AE4E8D" w:rsidRDefault="00CB5660" w:rsidP="006659E6">
      <w:pPr>
        <w:pStyle w:val="BHTexto"/>
        <w:rPr>
          <w:lang w:val="es-ES"/>
        </w:rPr>
      </w:pPr>
      <w:r w:rsidRPr="00AE4E8D">
        <w:rPr>
          <w:lang w:val="es-ES"/>
        </w:rPr>
        <w:t>La tasa de interés de cada Obligación Negociable a Tasa Variable será redeterminada y tendrá vigencia en forma diaria, semanal, mensual, trimestral, semestral o anual o con cualquier otra frecuencia según especifique el suplemento de precio respectivo (cada una, un “</w:t>
      </w:r>
      <w:r w:rsidRPr="00AE4E8D">
        <w:rPr>
          <w:u w:val="single"/>
          <w:lang w:val="es-ES"/>
        </w:rPr>
        <w:t>Período de Redeterminación de Intereses</w:t>
      </w:r>
      <w:r w:rsidRPr="00AE4E8D">
        <w:rPr>
          <w:lang w:val="es-ES"/>
        </w:rPr>
        <w:t>”); teniendo en cuenta, que (i) la tasa de interés vigente desde la fecha de emisión hasta la primera Fecha de Redeterminación de Intereses respecto de una Obligación Negociable a Tasa Variable será la tasa de interés inicial según se establezca en el respectivo suplemento de precio (la “</w:t>
      </w:r>
      <w:r w:rsidRPr="00AE4E8D">
        <w:rPr>
          <w:u w:val="single"/>
          <w:lang w:val="es-ES"/>
        </w:rPr>
        <w:t>Tasa de Interés Inicial</w:t>
      </w:r>
      <w:r w:rsidRPr="00AE4E8D">
        <w:rPr>
          <w:lang w:val="es-ES"/>
        </w:rPr>
        <w:t>”), y (ii) salvo que se especifique lo contrario en el respectivo suplemento de precio, la tasa de interés vigente para los diez días inmediatamente anteriores al Vencimiento Estipulado de una Obligación Negociable será la vigente el décimo día anterior a dicho Vencimiento Estipulado. Las fechas en las que se recalculará la tasa de interés (cada una, una “</w:t>
      </w:r>
      <w:r w:rsidRPr="00AE4E8D">
        <w:rPr>
          <w:u w:val="single"/>
          <w:lang w:val="es-ES"/>
        </w:rPr>
        <w:t>Fecha de Redeterminación de Intereses</w:t>
      </w:r>
      <w:r w:rsidRPr="00AE4E8D">
        <w:rPr>
          <w:lang w:val="es-ES"/>
        </w:rPr>
        <w:t>”) estarán especificadas en el respectivo suplemento de precio. Si cualquier Fecha de Redeterminación de Intereses para cualquier Obligación Negociable a Tasa Variable no fuera un Día Hábil respecto de dicha Obligación Negociable a Tasa Variable, la Fecha de Redeterminación de Intereses para dicha Obligación Negociable a Tasa Variable será pospuesta al primer día que fuera Día Hábil respecto de dicha Obligación Negociable a Tasa Variable, salvo que, en el caso de una Obligación Negociable a Tasa LIBOR, si dicho Día Hábil estuviera comprendido en el mes calendario posterior, dicha Fecha de Redeterminación de Intereses será el Día Hábil inmediatamente anterior.</w:t>
      </w:r>
    </w:p>
    <w:p w14:paraId="5D38131B" w14:textId="77777777" w:rsidR="00CB5660" w:rsidRPr="00AE4E8D" w:rsidRDefault="00CB5660" w:rsidP="006659E6">
      <w:pPr>
        <w:pStyle w:val="BHTexto"/>
        <w:rPr>
          <w:lang w:val="es-ES"/>
        </w:rPr>
      </w:pPr>
      <w:r w:rsidRPr="00AE4E8D">
        <w:rPr>
          <w:lang w:val="es-ES"/>
        </w:rPr>
        <w:t>Las “Fechas de Determinación de Intereses” serán las consignadas a continuación a menos que se indique cualquiera otra, en el respectivo suplemento de precio, siempre con el debido resguardo del interés del inversor. La Fecha de Determinación de Intereses correspondiente a una Fecha de Redeterminación de Intereses para una Obligación Negociable a Tasa LIBOR (la “</w:t>
      </w:r>
      <w:r w:rsidRPr="00AE4E8D">
        <w:rPr>
          <w:u w:val="single"/>
          <w:lang w:val="es-ES"/>
        </w:rPr>
        <w:t>Fecha de Determinación de Intereses a Tasa LIBOR</w:t>
      </w:r>
      <w:r w:rsidRPr="00AE4E8D">
        <w:rPr>
          <w:lang w:val="es-ES"/>
        </w:rPr>
        <w:t>”) será el segundo Día Hábil anterior a dicha Fecha de Redeterminación de Intereses. La Fecha de Determinación de Intereses correspondiente a una Fecha de Redeterminación de Intereses para una Obligación Negociable a Tasa del Tesoro de los Estados Unidos de América (la “</w:t>
      </w:r>
      <w:r w:rsidRPr="00AE4E8D">
        <w:rPr>
          <w:u w:val="single"/>
          <w:lang w:val="es-ES"/>
        </w:rPr>
        <w:t>Fecha de Determinación de Intereses a Tasa del Tesoro de los Estados Unidos de América</w:t>
      </w:r>
      <w:r w:rsidRPr="00AE4E8D">
        <w:rPr>
          <w:lang w:val="es-ES"/>
        </w:rPr>
        <w:t>”) será el día de la semana en la que recayera dicha Fecha de Redeterminación de Intereses y en la que normalmente hubiera ventas de las letras del Tesoro. Las letras del Tesoro de los Estados Unidos de América son vendidas generalmente en subasta pública el lunes de cada semana, salvo que fuera feriado oficial, en cuyo caso la subasta generalmente se realiza el siguiente martes, salvo que dicha venta pudiera realizarse el viernes anterior. Si, como resultado de un feriado oficial, se realizara una venta el viernes anterior, dicho viernes será la Fecha de Determinación de Intereses a Tasa del Tesoro de los Estados Unidos de América correspondiente a la Fecha de Redeterminación de Intereses de la semana inmediata posterior. Si una venta recayera en cualquier Fecha de Redeterminación de Intereses para una Obligación Negociable a Tasa del Tesoro de los Estados Unidos de América, dicha Fecha de Redeterminación de Intereses será en cambio el primer Día Hábil inmediatamente posterior a la fecha de dicha venta.</w:t>
      </w:r>
    </w:p>
    <w:p w14:paraId="4B41ECA4" w14:textId="77777777" w:rsidR="00CB5660" w:rsidRPr="00AE4E8D" w:rsidRDefault="00CB5660" w:rsidP="006659E6">
      <w:pPr>
        <w:pStyle w:val="BHTexto"/>
        <w:rPr>
          <w:lang w:val="es-ES"/>
        </w:rPr>
      </w:pPr>
      <w:r w:rsidRPr="00AE4E8D">
        <w:rPr>
          <w:lang w:val="es-ES"/>
        </w:rPr>
        <w:t xml:space="preserve">Todos los porcentajes resultantes de los cálculos referidos en este Prospecto serán redondeados, de ser necesario, al cienmilésimo de un punto porcentual más cercano, redondeando hacia arriba los cinco millonésimos de un punto porcentual (por ejemplo, redondeando 9,876545% (o 0,09876545) a 9,87655% (o 0,0987655)), y todos los montos en la Moneda Especificada utilizados o resultantes de dichos cálculos serán redondeados al centavo más cercano (redondeando hacia arriba la mitad del centavo) o al equivalente más cercano en Monedas Especificadas que no sean el Dólar Estadounidense. Además de cualquier Tasa Máxima que pudiera ser aplicable a cualquier Obligación Negociable a Tasa Variable </w:t>
      </w:r>
      <w:r w:rsidRPr="00AE4E8D">
        <w:rPr>
          <w:lang w:val="es-ES"/>
        </w:rPr>
        <w:lastRenderedPageBreak/>
        <w:t>según las disposiciones anteriores, la tasa de interés sobre Obligaciones Negociables a Tasa Variable en ningún caso será mayor que la tasa de interés máxima permitida por la ley aplicable.</w:t>
      </w:r>
    </w:p>
    <w:p w14:paraId="3B2036C1" w14:textId="77777777" w:rsidR="00CB5660" w:rsidRPr="00AE4E8D" w:rsidRDefault="00CB5660" w:rsidP="006659E6">
      <w:pPr>
        <w:pStyle w:val="BHTexto"/>
        <w:rPr>
          <w:lang w:val="es-ES"/>
        </w:rPr>
      </w:pPr>
      <w:r w:rsidRPr="00AE4E8D">
        <w:rPr>
          <w:lang w:val="es-ES"/>
        </w:rPr>
        <w:t>A solicitud del tenedor de cualquier Obligación Negociable a Tasa Variable, el Agente de Cálculo correspondiente suministrará la tasa de interés en ese momento vigente y, de estar determinada, la tasa de interés que entrará en vigencia en la próxima Fecha de Redeterminación de Intereses respecto de dicha Obligación Negociable a Tasa Variable. La determinación del Agente de Cálculo correspondiente de cualquier tasa de interés será definitiva y obligatoria salvo error manifiesto.</w:t>
      </w:r>
    </w:p>
    <w:p w14:paraId="5DE16885" w14:textId="77777777" w:rsidR="00CB5660" w:rsidRPr="00AE4E8D" w:rsidRDefault="00CB5660" w:rsidP="006659E6">
      <w:pPr>
        <w:pStyle w:val="BHTexto"/>
        <w:rPr>
          <w:lang w:val="es-ES"/>
        </w:rPr>
      </w:pPr>
      <w:r w:rsidRPr="00AE4E8D">
        <w:rPr>
          <w:lang w:val="es-ES"/>
        </w:rPr>
        <w:t xml:space="preserve">A solicitud del Banco, el Agente de Cálculo correspondiente dispondrá la notificación al Banco (y en su caso al fiduciario, en caso de así determinarlo el suplemento de precio respectivo) de la tasa de interés y el monto de intereses para cada período de intereses y la respectiva Fecha de Pago de Intereses, a la brevedad posible luego de su determinación pero siempre dentro de los cuatro Días Hábiles siguientes y, en el caso de Obligaciones Negociables admitidas para su listado en la bolsa de valores de Luxemburgo para su negociación en el mercado Euro MTF, no más allá del primer día del respectivo Período de Redeterminación de Intereses y, de lo contrario, dentro de los 30 días de la correspondiente Fecha de Pago. Dicha notificación se hará de acuerdo con las disposiciones de las Obligaciones Negociables relacionadas con las notificaciones a tenedores de Obligaciones Negociables. Véase </w:t>
      </w:r>
      <w:r w:rsidRPr="00AE4E8D">
        <w:rPr>
          <w:i/>
          <w:iCs/>
          <w:lang w:val="es-ES"/>
        </w:rPr>
        <w:t xml:space="preserve">“Notificaciones”. </w:t>
      </w:r>
      <w:r w:rsidRPr="00AE4E8D">
        <w:rPr>
          <w:lang w:val="es-ES"/>
        </w:rPr>
        <w:t>El monto de intereses y la Fecha de Pago de Intereses podrá ser modificada posteriormente (o podrán celebrarse acuerdos alternativos por vía de ajuste) sin notificación en caso de una prórroga o reducción del Período de Redeterminación de Intereses.</w:t>
      </w:r>
    </w:p>
    <w:p w14:paraId="2B73B16D" w14:textId="77777777" w:rsidR="00CB5660" w:rsidRPr="00AE4E8D" w:rsidRDefault="00CB5660" w:rsidP="006659E6">
      <w:pPr>
        <w:pStyle w:val="BHTexto"/>
        <w:rPr>
          <w:lang w:val="es-ES"/>
        </w:rPr>
      </w:pPr>
      <w:r w:rsidRPr="00AE4E8D">
        <w:rPr>
          <w:lang w:val="es-ES"/>
        </w:rPr>
        <w:t>La forma en la que se determinará la tasa de interés de cualquier Obligación Negociable a Tasa Variable que no fuera una Obligación Negociable a Tasa LIBOR o una Obligación Negociable a Tasa del Tesoro de los Estados Unidos de América estará detallada en el respectivo suplemento de precio.</w:t>
      </w:r>
    </w:p>
    <w:p w14:paraId="106A66C9" w14:textId="77777777" w:rsidR="00CB5660" w:rsidRPr="00AE4E8D" w:rsidRDefault="00CB5660" w:rsidP="000E1220">
      <w:pPr>
        <w:pStyle w:val="BH4Cursiva"/>
        <w:rPr>
          <w:lang w:val="es-ES"/>
        </w:rPr>
      </w:pPr>
      <w:r w:rsidRPr="00AE4E8D">
        <w:rPr>
          <w:lang w:val="es-ES"/>
        </w:rPr>
        <w:t>Obligaciones Negociables a Tasa LIBOR</w:t>
      </w:r>
    </w:p>
    <w:p w14:paraId="5CF5EBBC" w14:textId="77777777" w:rsidR="00CB5660" w:rsidRPr="00AE4E8D" w:rsidRDefault="00CB5660" w:rsidP="006659E6">
      <w:pPr>
        <w:pStyle w:val="BHTexto"/>
        <w:rPr>
          <w:lang w:val="es-ES"/>
        </w:rPr>
      </w:pPr>
      <w:r w:rsidRPr="00AE4E8D">
        <w:rPr>
          <w:lang w:val="es-ES"/>
        </w:rPr>
        <w:t>Las Obligaciones Negociables a Tasa LIBOR devengarán intereses a las tasas de interés (calculadas con referencia a la LIBOR y el Margen y/o el Multiplicador del Margen, si hubiera, sujeto a la Tasa Máxima o Tasa Mínima, si hubiera) y serán pagaderos en las fechas especificadas en el anverso de la Obligación Negociable a Tasa LIBOR y en el suplemento de precio que corresponda.</w:t>
      </w:r>
    </w:p>
    <w:p w14:paraId="61616668" w14:textId="77777777" w:rsidR="00CB5660" w:rsidRPr="00AE4E8D" w:rsidRDefault="00CB5660" w:rsidP="006659E6">
      <w:pPr>
        <w:pStyle w:val="BHTexto"/>
        <w:rPr>
          <w:lang w:val="es-ES"/>
        </w:rPr>
      </w:pPr>
      <w:r w:rsidRPr="00AE4E8D">
        <w:rPr>
          <w:lang w:val="es-ES"/>
        </w:rPr>
        <w:t>La LIBOR respecto de cualquier Fecha de Redeterminación de Intereses será determinada por el Agente de Cálculo de acuerdo con las siguientes disposiciones. En la Fecha de Determinación de Intereses a Tasa LIBOR correspondiente, la LIBOR se determinará sobre la base de lo siguiente, según lo especificado en el suplemento de precio pertinente:</w:t>
      </w:r>
    </w:p>
    <w:p w14:paraId="70A29F2F" w14:textId="77777777" w:rsidR="00CB5660" w:rsidRPr="00AE4E8D" w:rsidRDefault="00CB5660" w:rsidP="006659E6">
      <w:pPr>
        <w:pStyle w:val="BHTexto"/>
        <w:rPr>
          <w:lang w:val="es-ES"/>
        </w:rPr>
      </w:pPr>
      <w:r w:rsidRPr="00AE4E8D">
        <w:rPr>
          <w:lang w:val="es-ES"/>
        </w:rPr>
        <w:t xml:space="preserve">(i) las tasas ofrecidas para depósitos en la Moneda Especificada que tengan el Vencimiento del Índice especificado, a partir de la Fecha de Redeterminación de Intereses próxima siguiente que aparezca en la pantalla designada como página “LIBOR 01” o “LIBOR 02”, según corresponda, en el </w:t>
      </w:r>
      <w:r w:rsidRPr="00AE4E8D">
        <w:rPr>
          <w:i/>
          <w:lang w:val="es-ES"/>
        </w:rPr>
        <w:t>Reuters Monitor Money Rates Service</w:t>
      </w:r>
      <w:r w:rsidRPr="00AE4E8D">
        <w:rPr>
          <w:lang w:val="es-ES"/>
        </w:rPr>
        <w:t xml:space="preserve"> (u otra página que pueda reemplazar, en el futuro, dichas páginas en ese servicio a los fines de exhibir las tasas interbancarias de Londres ofrecidas por los principales bancos para depósitos en la Moneda Especificada) (cada una, una “</w:t>
      </w:r>
      <w:r w:rsidRPr="00AE4E8D">
        <w:rPr>
          <w:u w:val="single"/>
          <w:lang w:val="es-ES"/>
        </w:rPr>
        <w:t>Página LIBOR de la Pantalla Reuters</w:t>
      </w:r>
      <w:r w:rsidRPr="00AE4E8D">
        <w:rPr>
          <w:lang w:val="es-ES"/>
        </w:rPr>
        <w:t xml:space="preserve">”), a las 11.00 horas, hora de Londres de dicha Fecha de Determinación de Intereses a Tasa LIBOR. Si como mínimo dos de dichas tasas ofrecidas aparecieran en la Página LIBOR de la Pantalla Reuters, LIBOR respecto de dicha Fecha de Redeterminación de Intereses será la media aritmética de dichas tasas ofrecidas, según lo determinado por el Agente de Cálculo. Si aparecieran menos de dos tasas ofrecidas, la LIBOR para dicha Fecha de Redeterminación de Intereses será determinada según se describe en el punto (iii) más adelante; o </w:t>
      </w:r>
    </w:p>
    <w:p w14:paraId="29C1D47F" w14:textId="77777777" w:rsidR="00CB5660" w:rsidRPr="00AE4E8D" w:rsidRDefault="00CB5660" w:rsidP="006659E6">
      <w:pPr>
        <w:pStyle w:val="BHTexto"/>
        <w:rPr>
          <w:lang w:val="es-ES"/>
        </w:rPr>
      </w:pPr>
      <w:r w:rsidRPr="00AE4E8D">
        <w:rPr>
          <w:lang w:val="es-ES"/>
        </w:rPr>
        <w:t>(ii) las tasas ofrecidas para depósitos en la Moneda Especificada que tengan el Vencimiento del Índice especificado, a partir de la Fecha de Redeterminación de Intereses próxima siguiente que aparezca en la pantalla designada como página “BBAM1” en el Bloomberg Service (u otra página que pueda reemplazar, en el futuro, dicha página en ese servicio a los fines de exhibir las tasas interbancarias de Londres ofrecidas por los principales bancos para depósitos en la Moneda Especificada) (cada una, una “</w:t>
      </w:r>
      <w:r w:rsidRPr="00AE4E8D">
        <w:rPr>
          <w:u w:val="single"/>
          <w:lang w:val="es-ES"/>
        </w:rPr>
        <w:t>Página Bloomberg</w:t>
      </w:r>
      <w:r w:rsidRPr="00AE4E8D">
        <w:rPr>
          <w:lang w:val="es-ES"/>
        </w:rPr>
        <w:t>”), a las 11.00 horas, hora de Londres, en dicha Fecha de Determinación de Intereses a Tasa LIBOR. Si no aparecieran dichas tasas, la LIBOR respecto de dicha Fecha de Redeterminación de Intereses será determinada según se describe en el punto (iii) más adelante;</w:t>
      </w:r>
    </w:p>
    <w:p w14:paraId="0C01E0E2" w14:textId="77777777" w:rsidR="00CB5660" w:rsidRPr="00AE4E8D" w:rsidRDefault="00CB5660" w:rsidP="006659E6">
      <w:pPr>
        <w:pStyle w:val="BHTexto"/>
        <w:rPr>
          <w:lang w:val="es-ES"/>
        </w:rPr>
      </w:pPr>
      <w:r w:rsidRPr="00AE4E8D">
        <w:rPr>
          <w:lang w:val="es-ES"/>
        </w:rPr>
        <w:t>Si no se especificara una Pantalla Reuters Página LIBOR o Bloomberg en el suplemento de precio correspondiente, la LIBOR será determinada como si se hubiera especificado una Página LIBOR de la Pantalla Reuters.</w:t>
      </w:r>
    </w:p>
    <w:p w14:paraId="3F1D0249" w14:textId="77777777" w:rsidR="00CB5660" w:rsidRPr="00AE4E8D" w:rsidRDefault="00CB5660" w:rsidP="006659E6">
      <w:pPr>
        <w:pStyle w:val="BHTexto"/>
        <w:rPr>
          <w:lang w:val="es-ES"/>
        </w:rPr>
      </w:pPr>
      <w:r w:rsidRPr="00AE4E8D">
        <w:rPr>
          <w:lang w:val="es-ES"/>
        </w:rPr>
        <w:lastRenderedPageBreak/>
        <w:t>(iii) Respecto de una Fecha de Determinación de Intereses a Tasa LIBOR en la que aparezcan menos de dos tasas ofrecidas para el Vencimiento del Índice correspondiente en la Página LIBOR de la Pantalla de Reuters, según se describe en (a) anterior, o en la que no aparezcan tasas en la Página Bloomberg, según el caso y según se describe en (b) anterior, como corresponda, la LIBOR se determinará sobre la base de tasas, a aproximadamente las 11.00 horas, hora de Londres, en dicha Fecha de Determinación de Intereses a Tasa LIBOR a las que se ofrezcan depósitos en la Moneda Especificada que tengan el Vencimiento del Índice especificado a bancos de primera línea en el mercado interbancario de Londres por cuatro bancos principales en el mercado interbancario de Londres seleccionados por el Banco a partir del segundo Día Hábil inmediatamente siguiente a dicha Fecha de Determinación de Intereses a Tasa LIBOR y en un monto de capital equivalente a como mínimo US$1.000.000 (o su equivalente aproximado en una Moneda Especificada que no sea Dólares Estadounidenses) que, a criterio del Banco, sea representativa de una operación única en dicho mercado a ese momento (un “</w:t>
      </w:r>
      <w:r w:rsidRPr="00AE4E8D">
        <w:rPr>
          <w:u w:val="single"/>
          <w:lang w:val="es-ES"/>
        </w:rPr>
        <w:t>Monto Representativo</w:t>
      </w:r>
      <w:r w:rsidRPr="00AE4E8D">
        <w:rPr>
          <w:lang w:val="es-ES"/>
        </w:rPr>
        <w:t>”). El Agente de Cálculo solicitará a la oficina principal de Londres de cada uno de dichos bancos una cotización de su tasa. Si se obtuvieran por lo menos dos cotizaciones, LIBOR respecto de dicha Fecha de Redeterminación de Intereses será la media aritmética de dichas cotizaciones. Si se obtuvieran menos de dos cotizaciones, LIBOR respecto de dicha Fecha de Redeterminación de Intereses será la media aritmética de las tasas cotizadas a las 11.00 horas aproximadamente, hora de la Ciudad de Nueva York, en dicha Fecha de Determinación de Intereses a Tasa LIBOR por tres bancos principales en la Ciudad de Nueva York elegidos por el Banco para préstamos en la Moneda Especificada a bancos europeos líderes, que tengan el Vencimiento del Índice especificado comenzando en la Fecha de Redeterminación de Intereses y en un Monto Representativo; teniendo en cuenta que si cotizaran menos de tres bancos seleccionados por el Banco según lo mencionado en esta oración, la LIBOR respecto de dicha Fecha de Redeterminación de Intereses será la LIBOR vigente en dicha Fecha de Determinación de Intereses a Tasa LIBOR.</w:t>
      </w:r>
    </w:p>
    <w:p w14:paraId="56ED8F99" w14:textId="77777777" w:rsidR="00CB5660" w:rsidRPr="00AE4E8D" w:rsidRDefault="00CB5660" w:rsidP="000E1220">
      <w:pPr>
        <w:pStyle w:val="BH4Cursiva"/>
        <w:rPr>
          <w:lang w:val="es-ES"/>
        </w:rPr>
      </w:pPr>
      <w:r w:rsidRPr="00AE4E8D">
        <w:rPr>
          <w:lang w:val="es-ES"/>
        </w:rPr>
        <w:t>Obligaciones Negociables a Tasa del Tesoro de los Estados Unidos de América</w:t>
      </w:r>
    </w:p>
    <w:p w14:paraId="72AABBB1" w14:textId="77777777" w:rsidR="00CB5660" w:rsidRPr="00AE4E8D" w:rsidRDefault="00CB5660" w:rsidP="006659E6">
      <w:pPr>
        <w:pStyle w:val="BHTexto"/>
        <w:rPr>
          <w:lang w:val="es-ES"/>
        </w:rPr>
      </w:pPr>
      <w:r w:rsidRPr="00AE4E8D">
        <w:rPr>
          <w:lang w:val="es-ES"/>
        </w:rPr>
        <w:t>Las Obligaciones Negociables a Tasa del Tesoro de los Estados Unidos de América devengarán intereses a la tasa de interés (calculadas con referencia a la Tasa del Tesoro de los Estados Unidos de América y al Margen y/o Multiplicador del Margen, si hubiera, sujeto a la Tasa Máxima o Tasa Mínima, si hubiera) y serán pagaderos en las fechas especificadas en el suplemento de precio correspondiente. La “Fecha de Cálculo” respecto de una Fecha de Determinación de Intereses a Tasa del Tesoro de los Estados Unidos de América podrá ser el décimo día posterior a dicha Fecha de Determinación de Intereses a Tasa del Tesoro de los Estados Unidos de América, o si ese día no fuera Día Hábil, el Día Hábil próximo siguiente, a menos que el suplemento de precio respectivo indique alguna modificación que permita el mayor resguardo del interés de los inversores.</w:t>
      </w:r>
    </w:p>
    <w:p w14:paraId="1AEF70B6" w14:textId="77777777" w:rsidR="00CB5660" w:rsidRPr="00AE4E8D" w:rsidRDefault="00CB5660" w:rsidP="006659E6">
      <w:pPr>
        <w:pStyle w:val="BHTexto"/>
        <w:rPr>
          <w:lang w:val="es-ES"/>
        </w:rPr>
      </w:pPr>
      <w:r w:rsidRPr="00AE4E8D">
        <w:rPr>
          <w:lang w:val="es-ES"/>
        </w:rPr>
        <w:t>La “Tasa del Tesoro de los Estados Unidos de América” significa respecto de cualquier Fecha de Redeterminación de Intereses, a menos que se especifique otra cosa en el suplemento de precio y en tanto se resguarde el interés de los inversores, la tasa para la subasta, en la Fecha de Determinación de Intereses a Tasa del Tesoro de los Estados Unidos de América correspondiente, de obligaciones directas de los Estados Unidos de América (“</w:t>
      </w:r>
      <w:r w:rsidRPr="00AE4E8D">
        <w:rPr>
          <w:u w:val="single"/>
          <w:lang w:val="es-ES"/>
        </w:rPr>
        <w:t>Letras del Tesoro</w:t>
      </w:r>
      <w:r w:rsidRPr="00AE4E8D">
        <w:rPr>
          <w:lang w:val="es-ES"/>
        </w:rPr>
        <w:t xml:space="preserve">”) que tengan el Vencimiento del Índice especificado en el suplemento de precio correspondiente, según aparezca dicha tasa en la pantalla de (i) </w:t>
      </w:r>
      <w:r w:rsidRPr="00AE4E8D">
        <w:rPr>
          <w:i/>
          <w:lang w:val="es-ES"/>
        </w:rPr>
        <w:t>Reuters Monitor Money Rates Service</w:t>
      </w:r>
      <w:r w:rsidRPr="00AE4E8D">
        <w:rPr>
          <w:lang w:val="es-ES"/>
        </w:rPr>
        <w:t xml:space="preserve"> (u otro servicio que pueda reemplazarlo en el futuro) en la página “RTRTSY1” o “RTRTSY2” según corresponda (u otras páginas que puedan reemplazar dichas páginas), o (ii) </w:t>
      </w:r>
      <w:r w:rsidRPr="00AE4E8D">
        <w:rPr>
          <w:i/>
          <w:lang w:val="es-ES"/>
        </w:rPr>
        <w:t xml:space="preserve">Bloomberg Services </w:t>
      </w:r>
      <w:r w:rsidRPr="00AE4E8D">
        <w:rPr>
          <w:lang w:val="es-ES"/>
        </w:rPr>
        <w:t xml:space="preserve">(u otro servicio que pueda reemplazarlo en el futuro) en la página “BTMM” o “PX1”, según corresponda (u otras páginas que puedan reemplazar dichas páginas). En el caso de que dicha tasa no apareciera en cualquiera de dichas páginas para las 15.00 horas, hora de la Ciudad de Nueva York, en la Fecha de Cálculo correspondiente a dicha Fecha de Determinación de Intereses a Tasa del Tesoro de los Estados Unidos de América, entonces la Tasa del Tesoro de los Estados Unidos de América para dicha Fecha de Redeterminación de Intereses será la tasa para esa fecha publicada en la Actualización Diaria H.15 bajo el título </w:t>
      </w:r>
      <w:r w:rsidRPr="00AE4E8D">
        <w:rPr>
          <w:i/>
          <w:lang w:val="es-ES"/>
        </w:rPr>
        <w:t>“Títulos del Gobierno de los Estados Unidos de América – Letras del Tesoro – Subasta alta”</w:t>
      </w:r>
      <w:r w:rsidRPr="00AE4E8D">
        <w:rPr>
          <w:lang w:val="es-ES"/>
        </w:rPr>
        <w:t xml:space="preserve">. En el caso de que estas tasas no aparecieran o no estuvieran publicadas para las 15.00 horas, hora de la Ciudad de Nueva York, en la Fecha de Cálculo correspondiente a dicha Fecha de Determinación de Intereses a Tasa del Tesoro de los Estados Unidos de América, entonces la Tasa del Tesoro de los Estados Unidos de América para dicha Fecha de Redeterminación de Intereses será la “Tasa de Inversión” (expresada como un rendimiento equivalente al bono, sobre la base de un año de 365 o 366 días, según corresponda, aplicado sobre una base diaria) según lo anunciado por el Departamento del Tesoro de los Estados Unidos de América de América para la subasta realizada en dicha Fecha de Determinación de Intereses a Tasa del Tesoro de los Estados Unidos de América, disponible actualmente en el sitio de internet en: </w:t>
      </w:r>
      <w:hyperlink r:id="rId34" w:history="1">
        <w:r w:rsidRPr="00AE4E8D">
          <w:rPr>
            <w:color w:val="000000"/>
            <w:u w:val="single"/>
            <w:lang w:val="es-ES"/>
          </w:rPr>
          <w:t>http://www.publicdebt.treas.gov/AI/OFBills</w:t>
        </w:r>
      </w:hyperlink>
      <w:r w:rsidRPr="00AE4E8D">
        <w:rPr>
          <w:lang w:val="es-ES"/>
        </w:rPr>
        <w:t xml:space="preserve"> o el sitio de internet que lo reemplace en el futuro. En el caso de que los resultados de la subasta de Letras del Tesoro que tengan Vencimiento del Índice especificado en el anverso de la Obligación Negociable y en el suplemento de </w:t>
      </w:r>
      <w:r w:rsidRPr="00AE4E8D">
        <w:rPr>
          <w:lang w:val="es-ES"/>
        </w:rPr>
        <w:lastRenderedPageBreak/>
        <w:t>precio correspondiente no sean publicados o informados según lo establecido anteriormente para las 15.00 horas, hora de la Ciudad de Nueva York, en dicha Fecha de Cálculo o si no se llevara a cabo dicha subasta en dicha Fecha de Determinación de Intereses a Tasa del Tesoro de los Estados Unidos de América, entonces la Tasa del Tesoro de los Estados Unidos de América será calculada por el Agente de Cálculo y será la tasa para dicha Fecha de Determinación de Intereses a Tasa del Tesoro de los Estados Unidos de América para la emisión de Letras del Tesoro con un vencimiento remanente lo más cercano posible al Vencimiento del Índice especificado (expresado como un rendimiento equivalente al bono, sobre la base de un año de 365 o 366 días, según corresponda, aplicado sobre una base diaria) según lo publicado en H.15(519), bajo el título “</w:t>
      </w:r>
      <w:r w:rsidRPr="00AE4E8D">
        <w:rPr>
          <w:i/>
          <w:lang w:val="es-ES"/>
        </w:rPr>
        <w:t>Títulos del Gobierno de los Estados Unidos de América–Letras del Tesoro (mercado secundario)</w:t>
      </w:r>
      <w:r w:rsidRPr="00AE4E8D">
        <w:rPr>
          <w:lang w:val="es-ES"/>
        </w:rPr>
        <w:t>”. En el caso de que estas tasas no aparecieran o no fueran publicadas para las 15.00 horas, hora de la Ciudad de Nueva York, en dicha Fecha de Cálculo correspondiente a dicha Fecha de Determinación de Intereses a Tasa del Tesoro de los Estados Unidos de América, entonces la Tasa del Tesoro de los Estados Unidos de América para dicha Fecha de Redeterminación de Intereses será la tasa para dicha Fecha de Determinación de Intereses a Tasa del Tesoro de los Estados Unidos de América para la emisión de Letras del Tesoro con un vencimiento remanente lo más cercano posible al Vencimiento del Índice especificado según lo publicado en la Actualización Diaria H.15 u otra fuente electrónica reconocida utilizada a los fines de exhibir dicha tasa, bajo el título “</w:t>
      </w:r>
      <w:r w:rsidRPr="00AE4E8D">
        <w:rPr>
          <w:i/>
          <w:lang w:val="es-ES"/>
        </w:rPr>
        <w:t>Títulos del Gobierno de los Estados Unidos de América – Letras del Tesoro (mercado secundario)</w:t>
      </w:r>
      <w:r w:rsidRPr="00AE4E8D">
        <w:rPr>
          <w:lang w:val="es-ES"/>
        </w:rPr>
        <w:t>”. En el caso de que estas tasas no aparecieran o no fueran publicadas para las 15.00 horas, hora de la Ciudad de Nueva York, en dicha Fecha de Cálculo correspondiente a dicha Fecha de Determinación de Intereses a Tasa del Tesoro de los Estados Unidos de América, entonces la Tasa del Tesoro de los Estados Unidos de América será calculada por el Agente de Cálculo y constituirá un rendimiento al vencimiento (expresada como un rendimiento equivalente al bono sobre la base de un año de 365 o 366 días, según corresponda, aplicado sobre una base diaria) de la media aritmética de las tasas de licitación del mercado secundario, a las 15.30 horas aproximadamente, hora de la Ciudad de Nueva York, en dicha Fecha de Determinación de Intereses a Tasa del Tesoro de los Estados Unidos de América, cotizadas por tres colocadores líderes de títulos del gobierno de los Estados Unidos de América elegidos por el Banco para la emisión de Letras del Tesoro con un vencimiento remanente lo más cercano posible al Vencimiento del Índice especificado; teniendo en cuenta que, si los colocadores elegidos, según lo mencionado, no cotizaran según lo mencionado en esta oración, la Tasa del Tesoro de los Estados Unidos de América para dicha Fecha de Redeterminación de Intereses será la Tasa del Tesoro de los Estados Unidos de América vigente en dicha Fecha de Determinación de Intereses a Tasa del Tesoro de los Estados Unidos de América.</w:t>
      </w:r>
    </w:p>
    <w:p w14:paraId="6EC3AFE2" w14:textId="77777777" w:rsidR="00CB5660" w:rsidRPr="00AE4E8D" w:rsidRDefault="00CB5660" w:rsidP="006659E6">
      <w:pPr>
        <w:pStyle w:val="BH3Izquierda"/>
        <w:rPr>
          <w:lang w:val="es-ES"/>
        </w:rPr>
      </w:pPr>
      <w:bookmarkStart w:id="782" w:name="_Toc414610924"/>
      <w:bookmarkStart w:id="783" w:name="_Toc420062632"/>
      <w:bookmarkStart w:id="784" w:name="_Toc421201516"/>
      <w:r w:rsidRPr="00AE4E8D">
        <w:rPr>
          <w:lang w:val="es-ES"/>
        </w:rPr>
        <w:t>Pago de Capital e Intereses</w:t>
      </w:r>
      <w:bookmarkEnd w:id="782"/>
      <w:bookmarkEnd w:id="783"/>
      <w:bookmarkEnd w:id="784"/>
    </w:p>
    <w:p w14:paraId="643F7306" w14:textId="77777777" w:rsidR="00CB5660" w:rsidRPr="00AE4E8D" w:rsidRDefault="00CB5660" w:rsidP="000E1220">
      <w:pPr>
        <w:pStyle w:val="BH4Cursiva"/>
        <w:rPr>
          <w:lang w:val="es-ES"/>
        </w:rPr>
      </w:pPr>
      <w:r w:rsidRPr="00AE4E8D">
        <w:rPr>
          <w:lang w:val="es-ES"/>
        </w:rPr>
        <w:t>Introducción</w:t>
      </w:r>
    </w:p>
    <w:p w14:paraId="712CAC2E" w14:textId="77777777" w:rsidR="00CB5660" w:rsidRPr="00AE4E8D" w:rsidRDefault="00CB5660" w:rsidP="006659E6">
      <w:pPr>
        <w:pStyle w:val="BHTexto"/>
        <w:rPr>
          <w:lang w:val="es-ES"/>
        </w:rPr>
      </w:pPr>
      <w:r w:rsidRPr="00AE4E8D">
        <w:rPr>
          <w:lang w:val="es-ES"/>
        </w:rPr>
        <w:t>Los intereses (y capital, si hubiera, pagadero en otra oportunidad que no sea al Vencimiento Estipulado o al momento de la caducidad de plazos o rescate) serán pagaderos con fondos de disponibilidad inmediata a la persona a cuyo nombre se encuentre registrada una Obligación Negociable al cierre de las operaciones en la Fecha de Registro Regular inmediatamente anterior a cada Fecha de Pago de Intereses, independientemente de la cancelación de dichas Obligaciones Negociables al momento de su transferencia o canje posterior a dicha Fecha de Registro y antes de dicha Fecha de Pago de Intereses; teniendo en cuenta que los intereses pagaderos al Vencimiento Estipulado o al momento de la caducidad de plazos o rescate serán pagaderos a la persona a quien se adeude el capital; teniendo en cuenta, asimismo que, si y en la medida en que el Banco no cumpla con el pago de intereses (incluyendo Montos Adicionales) adeudados en dicha Fecha de Pago de Intereses, dichos intereses en mora (incluyendo Montos Adicionales) serán pagados a la persona a cuyo nombre estuvieran registradas dichas Obligaciones Negociables al cierre de una fecha de registro posterior que estableciera el Banco mediante notificación enviada por correo a los tenedores de las Obligaciones Negociables como mínimo 15 días antes de dicha fecha de registro posterior, no pudiendo tener lugar dicha fecha de registro menos de 15 días antes de la fecha de pago de esos intereses en mora. Salvo cuando se especificara lo contrario en la Obligación Negociable o el suplemento de precio correspondiente, el primer pago de intereses sobre cualquier Obligación Negociable emitida entre una Fecha de Registro Regular y una Fecha de Pago de Intereses será efectuado en la Fecha de Pago de Intereses siguiente a la Fecha de Registro Regular próxima siguiente al titular registrado al cierre de las operaciones de dicha Fecha de Registro Regular próxima siguiente. La “Fecha de Registro Regular”, a menos que se modifique en el suplemento de precio respectivo, y siempre con el debido resguardo del interés de los inversores, respecto de cualquier Obligación Negociable será la fecha que ocurra 15 días calendario previos a cada Fecha de Pago de Intereses, sea o no Día Hábil.</w:t>
      </w:r>
    </w:p>
    <w:p w14:paraId="59D65C57" w14:textId="77777777" w:rsidR="00CB5660" w:rsidRPr="00AE4E8D" w:rsidRDefault="00CB5660" w:rsidP="006659E6">
      <w:pPr>
        <w:pStyle w:val="BHTexto"/>
        <w:rPr>
          <w:lang w:val="es-ES"/>
        </w:rPr>
      </w:pPr>
      <w:r w:rsidRPr="00AE4E8D">
        <w:rPr>
          <w:lang w:val="es-ES"/>
        </w:rPr>
        <w:lastRenderedPageBreak/>
        <w:t>El pago de capital y cualquier prima, intereses, Montos Adicionales y otros montos sobre cualquier Obligación Negociable Nominativa o respecto de ella al Vencimiento Estipulado o ante el acaecimiento de un evento de rescate anticipado o aceleración, será efectuado en fondos de disponibilidad inmediata a la persona a cuyo nombre se encuentre registrada dicha Obligación Negociable al momento de su entrega en la oficina especificada de cualquier otro Agente de Pago, o en su caso en la oficina del fiduciario que establezca el suplemento de precio respectivo, siempre que la Obligación Negociable Nominativa sea presentada al Agente de Pago puntualmente para que éste realice dichos pagos en tales fondos de acuerdo con sus procedimientos habituales. Los pagos de capital y cualquier prima, intereses, Montos Adicionales y otros montos sobre las Obligaciones Negociables Nominativas o respecto de ellas a ser efectuados en otra oportunidad que no sea el Vencimiento Estipulado o al momento del rescate serán efectuados mediante cheque enviado por correo en la fecha de vencimiento de dichos pagos al domicilio de la persona con derecho a ellos según aparezca en el Registro; teniendo en cuenta que (i) el Depositario correspondiente, como tenedor de las Obligaciones Negociables Globales, tendrá derecho a recibir los pagos de intereses mediante transferencia cablegráfica de fondos de inmediata disponibilidad, (ii) un tenedor de US$1.000.000 (o su equivalente aproximado en una Moneda Especificada que no sea Dólares Estadounidenses) de capital o valor nominal total de Obligaciones Negociables de la misma clase tendrá derecho a recibir los pagos de intereses mediante transferencia cablegráfica de fondos de inmediata disponibilidad a una cuenta que mantenga dicho tenedor en un banco ubicado en los Estados Unidos de América según pueda haber sido designado en la forma apropiada por dicha persona al Banco por escrito a más tardar 15 días antes de la fecha en que dicho pago es debido y (iii) en tanto el tenedor de una Obligación Negociable Nominativa emitida y denominada en una Moneda Especificada que no sea Dólares Estadounidenses optara por recibir el pago de capital e intereses al Vencimiento Estipulado o ante el acaecimiento de un rescate anticipado en dicha Moneda Especificada, dicho pago, salvo en las circunstancias que se describen en el suplemento de precio correspondiente, será efectuado mediante transferencia cablegráfica de fondos de disponibilidad inmediata a una cuenta especificada por escrito como mínimo 15 días antes del Vencimiento Estipulado por el Tenedor al Banco.</w:t>
      </w:r>
    </w:p>
    <w:p w14:paraId="0FA16AB9" w14:textId="77777777" w:rsidR="00CB5660" w:rsidRPr="00AE4E8D" w:rsidRDefault="00CB5660" w:rsidP="006659E6">
      <w:pPr>
        <w:pStyle w:val="BHTexto"/>
        <w:rPr>
          <w:lang w:val="es-ES"/>
        </w:rPr>
      </w:pPr>
      <w:r w:rsidRPr="00AE4E8D">
        <w:rPr>
          <w:lang w:val="es-ES"/>
        </w:rPr>
        <w:t>Los pagos de intereses sobre cualquier Obligación Negociable a Tasa Fija u Obligación Negociable a Tasa Variable en cualquier Fecha de Pago de Intereses incluirán los intereses devengados hasta pero excluyendo dicha Fecha de Pago de Intereses; teniendo en cuenta que salvo especificación en contrario en el suplemento de precio correspondiente, si las Fechas de Redeterminación de Intereses respecto de cualquier Obligación Negociable a Tasa Variable fueran diarios o semanales, los intereses pagaderos sobre dicha Obligación Negociable en cualquier Fecha de Pago de Intereses, con las excepciones de intereses pagaderos en la fecha en que venza el capital de dicha Obligación Negociable, incluirán intereses devengados hasta pero excluyendo el día siguiente a la Fecha de Redeterminación de Intereses inmediata anterior.</w:t>
      </w:r>
    </w:p>
    <w:p w14:paraId="3E87EB03" w14:textId="77777777" w:rsidR="00CB5660" w:rsidRPr="00AE4E8D" w:rsidRDefault="00CB5660" w:rsidP="006659E6">
      <w:pPr>
        <w:pStyle w:val="BHTexto"/>
        <w:rPr>
          <w:lang w:val="es-ES"/>
        </w:rPr>
      </w:pPr>
      <w:r w:rsidRPr="00AE4E8D">
        <w:rPr>
          <w:lang w:val="es-ES"/>
        </w:rPr>
        <w:t>Respecto de una Obligación Negociable a Tasa Variable, los intereses devengados desde la fecha de emisión o desde la última fecha en la cual se han pagado intereses se calculan multiplicando el capital o valor nominal de dicha Obligación Negociable a Tasa Variable por un factor de interés devengado. Dicho factor de interés devengado se computa sumando el factor de interés calculado por cada día desde la fecha de emisión o desde la última fecha en la que se hayan pagado intereses hasta pero excluyendo la fecha para la cual se calculan los intereses devengados. El factor de interés (expresado como un decimal) para cada día se computa dividiendo la tasa de interés (expresada como un decimal) aplicable a dicha fecha por 360, en el caso de las Obligaciones Negociables a Tasa LIBOR, o por la cantidad real de días en el año, en el caso de Obligaciones Negociables a Tasa del Tesoro de los Estados Unidos de América.</w:t>
      </w:r>
    </w:p>
    <w:p w14:paraId="7F4FA794" w14:textId="77777777" w:rsidR="00CB5660" w:rsidRPr="00AE4E8D" w:rsidRDefault="00CB5660" w:rsidP="006659E6">
      <w:pPr>
        <w:pStyle w:val="BHTexto"/>
        <w:rPr>
          <w:lang w:val="es-ES"/>
        </w:rPr>
      </w:pPr>
      <w:r w:rsidRPr="00AE4E8D">
        <w:rPr>
          <w:lang w:val="es-ES"/>
        </w:rPr>
        <w:t>Los intereses sobre las Obligaciones Negociables a Tasa Fija serán calculados sobre la base de un año de 360 días con 12 meses de 30 días cada uno y, en el caso de un mes incompleto, la cantidad de días transcurridos, o de acuerdo a la convención de tasas de interés determinada en cada respectivo Suplemento de Precio.</w:t>
      </w:r>
    </w:p>
    <w:p w14:paraId="2DDCE2A3" w14:textId="77777777" w:rsidR="00CB5660" w:rsidRPr="00AE4E8D" w:rsidRDefault="00CB5660" w:rsidP="006659E6">
      <w:pPr>
        <w:pStyle w:val="BHTexto"/>
        <w:rPr>
          <w:lang w:val="es-ES"/>
        </w:rPr>
      </w:pPr>
      <w:r w:rsidRPr="00AE4E8D">
        <w:rPr>
          <w:lang w:val="es-ES"/>
        </w:rPr>
        <w:t xml:space="preserve">Si cualquier Fecha de Pago de Intereses (que no sea al Vencimiento Estipulado) para cualquier Obligación Negociable a Tasa Variable resultara un día que no sea Día Hábil en las ubicaciones pertinentes especificadas en el suplemento de precio y el lugar de pago, dicha Fecha de Pago de Intereses será el Día Hábil próximo siguiente a dicho Día Hábil (con la excepción de que, en el caso de una Obligación Negociable a Tasa LIBOR, si dicho Día Hábil ocurriera en el mes calendario próximo siguiente, dicha Fecha de Pago de Intereses será el Día Hábil próximo anterior a dicho Día Hábil). Si el Vencimiento Estipulado para cualquier Obligación Negociable a Tasa Fija u Obligación Negociable a Tasa Variable o la Fecha de Pago de Intereses de cualquier Obligación Negociable a Tasa Fija tuviera lugar un día que no sea Día Hábil en las ubicaciones pertinentes especificadas en el suplemento de precio y el lugar de pago, el pago de capital (y prima, si hubiera) e intereses sobre dicha Obligación Negociable </w:t>
      </w:r>
      <w:r w:rsidRPr="00AE4E8D">
        <w:rPr>
          <w:lang w:val="es-ES"/>
        </w:rPr>
        <w:lastRenderedPageBreak/>
        <w:t>se realizará el Día Hábil próximo siguiente en el lugar de pago con la misma vigencia y efecto como si se realizara en la fecha de vencimiento y no se devengarán intereses sobre dicho pago desde y después de dicha fecha de vencimiento.</w:t>
      </w:r>
    </w:p>
    <w:p w14:paraId="0DEF4316" w14:textId="77777777" w:rsidR="00CB5660" w:rsidRPr="00AE4E8D" w:rsidRDefault="00CB5660" w:rsidP="000E1220">
      <w:pPr>
        <w:pStyle w:val="BH4Cursiva"/>
        <w:rPr>
          <w:lang w:val="es-ES"/>
        </w:rPr>
      </w:pPr>
      <w:r w:rsidRPr="00AE4E8D">
        <w:rPr>
          <w:lang w:val="es-ES"/>
        </w:rPr>
        <w:t>Moneda Especificada que no sea Dólares Estadounidenses</w:t>
      </w:r>
    </w:p>
    <w:p w14:paraId="2EED5B7D" w14:textId="77777777" w:rsidR="00CB5660" w:rsidRPr="00AE4E8D" w:rsidRDefault="00CB5660" w:rsidP="006659E6">
      <w:pPr>
        <w:pStyle w:val="BHTexto"/>
        <w:rPr>
          <w:lang w:val="es-ES"/>
        </w:rPr>
      </w:pPr>
      <w:r w:rsidRPr="00AE4E8D">
        <w:rPr>
          <w:lang w:val="es-ES"/>
        </w:rPr>
        <w:t>Si alguna Obligación Negociable se denominara en una Moneda Especificada que no sea Dólares Estadounidenses, se establecerán ciertas disposiciones respecto de ello en el suplemento de precio correspondiente, que especificarán la moneda o unidad de moneda extranjera en que deberán pagarse el capital o cualquier prima o intereses respecto de dicha Obligación Negociable, junto con otros términos relativos a la denominación que no sea Dólares Estadounidenses.</w:t>
      </w:r>
    </w:p>
    <w:p w14:paraId="62DBA299" w14:textId="77777777" w:rsidR="00CB5660" w:rsidRPr="00AE4E8D" w:rsidRDefault="00CB5660" w:rsidP="006659E6">
      <w:pPr>
        <w:pStyle w:val="BHTexto"/>
        <w:rPr>
          <w:lang w:val="es-ES"/>
        </w:rPr>
      </w:pPr>
      <w:r w:rsidRPr="00AE4E8D">
        <w:rPr>
          <w:lang w:val="es-ES"/>
        </w:rPr>
        <w:t>Si el Banco ofreciera Obligaciones Negociables Indexadas u Obligaciones Negociables de Doble Moneda, el suplemento de precio correspondiente y dichas Obligaciones Negociables Indexadas u Obligaciones Negociables de Doble Moneda establecerán el método y los términos en que se determinarán el monto de capital (pagadero en el Vencimiento Estipulado o antes), intereses y/o cualquier prima, las consecuencias impositivas adicionales para el tenedor de dicha Obligación Negociable, una descripción de ciertos riesgos relacionados con la inversión en dicha Obligación Negociable y otra información relativa a ella.</w:t>
      </w:r>
    </w:p>
    <w:p w14:paraId="1EF9BFC5" w14:textId="77777777" w:rsidR="00CB5660" w:rsidRPr="00AE4E8D" w:rsidRDefault="00CB5660" w:rsidP="006659E6">
      <w:pPr>
        <w:pStyle w:val="BHTexto"/>
        <w:rPr>
          <w:lang w:val="es-ES"/>
        </w:rPr>
      </w:pPr>
      <w:r w:rsidRPr="00AE4E8D">
        <w:rPr>
          <w:lang w:val="es-ES"/>
        </w:rPr>
        <w:t>Las Obligaciones Negociables denominadas en una Moneda Especificada que no sea Dólares Estadounidenses, a menos que se especifique de otra forma en el suplemento de precio respectivo, y siempre en el resguardo del interés de los inversores, dispondrán que, en el caso de una re-denominación oficial de la Moneda Especificada, las obligaciones del Banco respecto de los pagos sobre dichas Obligaciones Negociables, en todos los casos, se considerarán inmediatamente siguientes a dicha re denominación para proveer al pago de ese monto de la Moneda Especificada re-denominada que represente el monto de dichas obligaciones inmediatamente antes de dicha re-denominación.</w:t>
      </w:r>
    </w:p>
    <w:p w14:paraId="6E3EA987" w14:textId="77777777" w:rsidR="00CB5660" w:rsidRPr="00AE4E8D" w:rsidRDefault="00CB5660" w:rsidP="006659E6">
      <w:pPr>
        <w:pStyle w:val="BHTexto"/>
        <w:rPr>
          <w:lang w:val="es-ES"/>
        </w:rPr>
      </w:pPr>
      <w:r w:rsidRPr="00AE4E8D">
        <w:rPr>
          <w:lang w:val="es-ES"/>
        </w:rPr>
        <w:t xml:space="preserve">Si el capital o cualquier prima, intereses, Montos Adicionales u otros montos sobre cualquier Obligación Negociable fueran pagaderos en una Moneda Especificada que no sea Dólares Estadounidenses y dicha Moneda Especificada no estuviera disponible debido a la imposición de controles cambiarios u otras circunstancias más allá del control del Banco, o dejara de ser utilizada por el gobierno del país que emite dicha moneda o para la liquidación de operaciones por entidades públicas de la comunidad bancaria internacional o dentro de ella, el Banco tendrá derecho, en la medida permitida por la ley argentina, a satisfacer sus obligaciones hacia el tenedor de dichas Obligaciones Negociables efectuando dicho pago en Dólares Estadounidenses sobre la base de (i) en el caso de pagos de intereses, sobre la base de la cotización compradora del Agente de Cambio (Dólar Estadounidense vendedor) para dicha Moneda Especificada y, en el caso de pagos de capital, sobre la base de la cotización vendedora del Agente de Cambio (Dólar Estadounidense comprador) para dicha Moneda Especificada, en cada caso, a las 11.00 hs., hora de la Ciudad de Nueva York, o con anterioridad, del segundo Día Hábil inmediatamente anterior a la Fecha de Pago aplicable o la fecha para la que debe determinarse el Equivalente en Dólares </w:t>
      </w:r>
      <w:r w:rsidRPr="00AE4E8D">
        <w:rPr>
          <w:color w:val="000000"/>
          <w:spacing w:val="-2"/>
          <w:lang w:val="es-ES"/>
        </w:rPr>
        <w:t>Estadounidenses</w:t>
      </w:r>
      <w:r w:rsidRPr="00AE4E8D">
        <w:rPr>
          <w:lang w:val="es-ES"/>
        </w:rPr>
        <w:t xml:space="preserve">, o (ii) si no existieran cotizaciones por cualquier razón, el tipo de cambio determinado por el Agente de Cambio en base a un promedio de cotizaciones otorgadas al Agente de Cambio por bancos comerciales que lleven a cabo operaciones de cambio, o en base a cualquier otro método que el Agente de Cambio pudiera determinar en forma razonable para calcular el tipo de cambio de mercado el segundo Día Hábil inmediatamente anterior a la Fecha de Pago aplicable o la fecha para la que deba determinarse el Equivalente en Dólares </w:t>
      </w:r>
      <w:r w:rsidRPr="00AE4E8D">
        <w:rPr>
          <w:color w:val="000000"/>
          <w:spacing w:val="-2"/>
          <w:lang w:val="es-ES"/>
        </w:rPr>
        <w:t>Estadounidenses</w:t>
      </w:r>
      <w:r w:rsidRPr="00AE4E8D">
        <w:rPr>
          <w:lang w:val="es-ES"/>
        </w:rPr>
        <w:t xml:space="preserve"> (la tasa determinada de acuerdo con el punto (i) y (ii) precedentes, el “</w:t>
      </w:r>
      <w:r w:rsidRPr="00AE4E8D">
        <w:rPr>
          <w:u w:val="single"/>
          <w:lang w:val="es-ES"/>
        </w:rPr>
        <w:t>Tipo de Cambio</w:t>
      </w:r>
      <w:r w:rsidRPr="00AE4E8D">
        <w:rPr>
          <w:lang w:val="es-ES"/>
        </w:rPr>
        <w:t>”). En el supuesto de que el Tipo de Cambio no se encontrara disponible el segundo Día Hábil inmediatamente precedente a la fecha de pago correspondiente, el tipo de cambio al cual el monto exigible será convertido a Dólares Estadounidenses será aquel convenido en dicho momento entre el Banco y el Agente de Tipo de Cambio. A menos que se especifique lo contrario, el agente de tipo de cambio (el “</w:t>
      </w:r>
      <w:r w:rsidRPr="00AE4E8D">
        <w:rPr>
          <w:u w:val="single"/>
          <w:lang w:val="es-ES"/>
        </w:rPr>
        <w:t>Agente de Tipo de Cambio</w:t>
      </w:r>
      <w:r w:rsidRPr="00AE4E8D">
        <w:rPr>
          <w:lang w:val="es-ES"/>
        </w:rPr>
        <w:t xml:space="preserve">”) con respecto a las Obligaciones Negociables denominadas en una Moneda Especificada que no sea el Dólar Estadounidense, será determinado en el suplemento de precio correspondiente. </w:t>
      </w:r>
    </w:p>
    <w:p w14:paraId="74FA8C63" w14:textId="77777777" w:rsidR="00CB5660" w:rsidRPr="00AE4E8D" w:rsidRDefault="00CB5660" w:rsidP="006659E6">
      <w:pPr>
        <w:pStyle w:val="BHTexto"/>
        <w:rPr>
          <w:lang w:val="es-ES"/>
        </w:rPr>
      </w:pPr>
      <w:r w:rsidRPr="00AE4E8D">
        <w:rPr>
          <w:lang w:val="es-ES"/>
        </w:rPr>
        <w:t xml:space="preserve">Los pagos de capital y prima, intereses, Montos Adicionales y otros montos a tenedores de una Obligación Negociable denominada en una Moneda Especificada que no sea Dólares Estadounidenses que mantengan la Obligación Negociable a través de DTC, en la medida permitida por la ley argentina, se efectuarán en Dólares Estadounidenses. No obstante, todo tenedor en DTC de una Obligación Negociable denominada en una Moneda Especificada que no sea Dólares Estadounidenses puede optar por recibir los pagos mediante transferencia cablegráfica en dicha Moneda Especificada que no sea Dólares Estadounidenses mediante la entrega de una notificación escrita al participante de DTC a través del cual mantiene su participación beneficiaria, no después de la Fecha de Registro Regular, en el caso de un pago </w:t>
      </w:r>
      <w:r w:rsidRPr="00AE4E8D">
        <w:rPr>
          <w:lang w:val="es-ES"/>
        </w:rPr>
        <w:lastRenderedPageBreak/>
        <w:t>de intereses, o por lo menos 15 días calendario antes del Vencimiento Estipulado, especificando las instrucciones de transferencia cablegráfica a una cuenta denominada en la Moneda Especificada. El participante de DTC debe notificar a DTC la elección y las instrucciones de transferencia cablegráfica el décimo segundo Día Hábil anterior al pago de capital correspondiente o antes.</w:t>
      </w:r>
    </w:p>
    <w:p w14:paraId="4AE8A4FB" w14:textId="77777777" w:rsidR="00CB5660" w:rsidRPr="00AE4E8D" w:rsidRDefault="00CB5660" w:rsidP="006659E6">
      <w:pPr>
        <w:pStyle w:val="BHTexto"/>
        <w:rPr>
          <w:lang w:val="es-ES"/>
        </w:rPr>
      </w:pPr>
      <w:r w:rsidRPr="00AE4E8D">
        <w:rPr>
          <w:lang w:val="es-ES"/>
        </w:rPr>
        <w:t>Si se especificara en una Obligación Negociable denominada en una Moneda Especificada que no sea Dólares Estadounidenses y en el suplemento de precio correspondiente y salvo según lo establecido en el párrafo siguiente, los pagos de capital y toda prima, intereses, Montos Adicionales u otros montos respecto de dicha Obligación Negociable, en la medida permitida por la ley argentina, serán efectuados en Dólares Estadounidenses si el tenedor de dicha Obligación Negociable, en la Fecha de Registro Regular pertinente o al Vencimiento Estipulado, según el caso, hubiera enviado una solicitud por escrito de dicho pago en Dólares Estadounidenses al Banco y al Agente de Pago correspondiente en la Fecha de Registro Regular o antes de ese momento o la fecha que ocurra 15 días antes del Vencimiento Determinado, según el caso. Dicha solicitud podrá efectuarse por escrito (enviada por correo o entregada en mano) o por facsímil. Los tenedores de Obligaciones Negociables denominadas en una Moneda Especificada que no sea Dólares Estadounidenses que se encuentren registradas a nombre de un intermediario o representante deberán contactar a dicho intermediario o representante para determinar si y la forma en que puede realizarse una elección de recibir pagos en Dólares Estadounidenses.</w:t>
      </w:r>
    </w:p>
    <w:p w14:paraId="5A0E0421" w14:textId="77777777" w:rsidR="00CB5660" w:rsidRPr="00AE4E8D" w:rsidRDefault="00CB5660" w:rsidP="006659E6">
      <w:pPr>
        <w:pStyle w:val="BHTexto"/>
        <w:rPr>
          <w:lang w:val="es-ES"/>
        </w:rPr>
      </w:pPr>
      <w:r w:rsidRPr="00AE4E8D">
        <w:rPr>
          <w:lang w:val="es-ES"/>
        </w:rPr>
        <w:t xml:space="preserve">El monto en Dólares Estadounidenses a ser recibido por el tenedor de una Obligación Negociable denominada en una Moneda Especificada que no sea Dólares Estadounidenses que optara por recibir el pago en Dólares Estadounidenses se basará en el Tipo de Cambio del segundo Día Hábil anterior a la fecha de pago. Si hubiera Tipos de Cambios el segundo Día Hábil anterior a la fecha de pago de capital o cualquier prima, intereses, Montos Adicionales u otros montos respecto de cualquier pagaré, dicho pago será efectuado en la Moneda Especificada. Todos los costos del cambio de moneda relacionados con cualquier pago en Dólares Estadounidenses sobre cualquiera de dichas Obligaciones Negociables denominadas en una Moneda Especificada que no sea Dólares Estadounidenses serán soportados por su tenedor mediante deducciones del pago de dicho cambio de moneda que se efectúa en nombre del tenedor por el Agente de Cambio. </w:t>
      </w:r>
    </w:p>
    <w:p w14:paraId="66C142BF" w14:textId="77777777" w:rsidR="00CB5660" w:rsidRPr="00AE4E8D" w:rsidRDefault="00CB5660" w:rsidP="006659E6">
      <w:pPr>
        <w:pStyle w:val="BHTexto"/>
        <w:rPr>
          <w:lang w:val="es-ES"/>
        </w:rPr>
      </w:pPr>
      <w:r w:rsidRPr="00AE4E8D">
        <w:rPr>
          <w:lang w:val="es-ES"/>
        </w:rPr>
        <w:t>Salvo especificación en contrario incluida en el suplemento de precio correspondiente, (i) una Obligación Negociable denominada en Euros podrá presentarse para el pago únicamente un día en que el sistema TARGET esté en operaciones y (ii) si los intereses debieran calcularse para un período inferior a un año, se calcularán sobre la base de la cantidad real de días transcurridos dividido por 365 (o, si cualquiera de los días transcurridos tuviera lugar en un año bisiesto, la suma de (a) la cantidad de esos días que transcurran en un año bisiesto dividido por 366 y (b) la cantidad de esos días que transcurran en el año no bisiesto dividido por 365).</w:t>
      </w:r>
    </w:p>
    <w:p w14:paraId="1F2A94A5" w14:textId="77777777" w:rsidR="00CB5660" w:rsidRPr="00AE4E8D" w:rsidRDefault="00CB5660" w:rsidP="006659E6">
      <w:pPr>
        <w:pStyle w:val="BH3Izquierda"/>
        <w:rPr>
          <w:lang w:val="es-ES"/>
        </w:rPr>
      </w:pPr>
      <w:bookmarkStart w:id="785" w:name="_Toc414610925"/>
      <w:bookmarkStart w:id="786" w:name="_Toc420062633"/>
      <w:bookmarkStart w:id="787" w:name="_Toc421201517"/>
      <w:r w:rsidRPr="00AE4E8D">
        <w:rPr>
          <w:lang w:val="es-ES"/>
        </w:rPr>
        <w:t>Rescate y compra</w:t>
      </w:r>
      <w:bookmarkEnd w:id="785"/>
      <w:bookmarkEnd w:id="786"/>
      <w:bookmarkEnd w:id="787"/>
    </w:p>
    <w:p w14:paraId="3F955010" w14:textId="77777777" w:rsidR="00CB5660" w:rsidRPr="00AE4E8D" w:rsidRDefault="00CB5660" w:rsidP="000E1220">
      <w:pPr>
        <w:pStyle w:val="BH4Cursiva"/>
        <w:rPr>
          <w:lang w:val="es-ES"/>
        </w:rPr>
      </w:pPr>
      <w:r w:rsidRPr="00AE4E8D">
        <w:rPr>
          <w:lang w:val="es-ES"/>
        </w:rPr>
        <w:t>Rescate por Cuestiones Impositivas</w:t>
      </w:r>
    </w:p>
    <w:p w14:paraId="5E2D52A6" w14:textId="77777777" w:rsidR="00CB5660" w:rsidRPr="00AE4E8D" w:rsidRDefault="00CB5660" w:rsidP="006659E6">
      <w:pPr>
        <w:pStyle w:val="BHTexto"/>
        <w:rPr>
          <w:lang w:val="es-ES"/>
        </w:rPr>
      </w:pPr>
      <w:r w:rsidRPr="00AE4E8D">
        <w:rPr>
          <w:lang w:val="es-ES"/>
        </w:rPr>
        <w:t xml:space="preserve">Las Obligaciones Negociables de cualquier clase podrán rescatarse a opción del Banco en su totalidad pero no parcialmente, en cualquier momento, enviando una notificación por escrito con una anticipación de entre 30 y 60 días (que será irrevocable) a los tenedores, y de corresponder, a la CNV, al 100% de su monto de capital (o, en el caso de Obligaciones Negociables con Descuento de Emisión Original, a su Monto Nominal Amortizado (según se define más adelante)), junto con intereses devengados e impagos y Montos Adicionales a la fecha fijada para el rescate (la que, en el caso de Obligaciones Negociables a Tasa Variable, deberá ser una Fecha de Pago de Intereses) si, como resultado de cualquier cambio o modificación de las leyes (o regulaciones o normativa promulgada en virtud de ellas) de Argentina o cualquier subdivisión política o cualquier autoridad fiscal del país o en el país o cualquier cambio en la aplicación, administración o interpretación oficial de dichas leyes, regulaciones o normativa, incluyendo, a título enunciativo, la resolución de un tribunal competente, en cuanto a que el Banco ha quedado obligado o quedará obligado a pagar Montos Adicionales y/o impuestos argentinos sobre o respecto de dichas Obligaciones Negociables, cuyo cambio o modificación entrara en vigencia en la fecha de emisión de las Obligaciones Negociables de dicha clase o después de ella y el Banco determinara de buena fe que dicha obligación no puede evadirse tomando las medidas razonables a su disposición. En el suplemento de precio aplicable, se establecerán los procedimientos específicos y detallados relativo al Rescate de las Obligaciones Negociables por cuestiones impositivas, los cuales en su caso reemplazarán, complementarán y/o modificarán los términos y condiciones del procedimiento en general aquí descripto, siempre con el debido resguardo del interés de los inversores. </w:t>
      </w:r>
      <w:r w:rsidRPr="00AE4E8D">
        <w:rPr>
          <w:color w:val="000000"/>
          <w:lang w:val="es-ES"/>
        </w:rPr>
        <w:t>En todos los casos de rescate, se garantizará el trato igualitario entre los inversores.</w:t>
      </w:r>
    </w:p>
    <w:p w14:paraId="0BC8862C" w14:textId="77777777" w:rsidR="00CB5660" w:rsidRPr="00AE4E8D" w:rsidRDefault="00CB5660" w:rsidP="006659E6">
      <w:pPr>
        <w:pStyle w:val="BHTexto"/>
        <w:rPr>
          <w:lang w:val="es-ES"/>
        </w:rPr>
      </w:pPr>
      <w:r w:rsidRPr="00AE4E8D">
        <w:rPr>
          <w:lang w:val="es-ES"/>
        </w:rPr>
        <w:lastRenderedPageBreak/>
        <w:t>Adicionalmente se informa que toda notificación que el Banco realice a los tenedores será efectuada también a través del sitio web de la CNV (</w:t>
      </w:r>
      <w:hyperlink r:id="rId35" w:history="1">
        <w:r w:rsidRPr="00AE4E8D">
          <w:rPr>
            <w:color w:val="0000FF"/>
            <w:u w:val="single"/>
            <w:lang w:val="es-ES"/>
          </w:rPr>
          <w:t>www.cnv.gob.ar</w:t>
        </w:r>
      </w:hyperlink>
      <w:r w:rsidRPr="00AE4E8D">
        <w:rPr>
          <w:lang w:val="es-ES"/>
        </w:rPr>
        <w:t>), como un “Hecho Relevante.”</w:t>
      </w:r>
    </w:p>
    <w:p w14:paraId="26CFEDA0" w14:textId="77777777" w:rsidR="00CB5660" w:rsidRPr="00AE4E8D" w:rsidRDefault="00CB5660" w:rsidP="000E1220">
      <w:pPr>
        <w:pStyle w:val="BH4Cursiva"/>
        <w:rPr>
          <w:lang w:val="es-ES"/>
        </w:rPr>
      </w:pPr>
      <w:r w:rsidRPr="00AE4E8D">
        <w:rPr>
          <w:lang w:val="es-ES"/>
        </w:rPr>
        <w:t>Rescate a Opción del Banco</w:t>
      </w:r>
    </w:p>
    <w:p w14:paraId="11DBC9FA" w14:textId="77777777" w:rsidR="00CB5660" w:rsidRPr="00AE4E8D" w:rsidRDefault="00CB5660" w:rsidP="006659E6">
      <w:pPr>
        <w:pStyle w:val="BHTexto"/>
        <w:rPr>
          <w:lang w:val="es-ES"/>
        </w:rPr>
      </w:pPr>
      <w:r w:rsidRPr="00AE4E8D">
        <w:rPr>
          <w:lang w:val="es-ES"/>
        </w:rPr>
        <w:t>Con sujeción al cumplimiento de todas las leyes y regulaciones pertinentes, habiéndose enviado (salvo que se indicara lo contrario en el suplemento de precio correspondiente) notificación con una anticipación de entre 30 y 60 días a los tenedores de las Obligaciones Negociables de acuerdo con las disposiciones que rigen el envío de notificación establecidas más adelante (notificación que será irrevocable) y al Fiduciario (con una antelación de 15 días a la fecha de entrega de dicha notificación a los tenedores) y, de corresponder, a la CNV, el Banco puede rescatar la totalidad o parte de las Obligaciones Negociables a ese momento en circulación en las fechas (la o las “</w:t>
      </w:r>
      <w:r w:rsidRPr="00AE4E8D">
        <w:rPr>
          <w:u w:val="single"/>
          <w:lang w:val="es-ES"/>
        </w:rPr>
        <w:t>Fechas de Rescate Opcional</w:t>
      </w:r>
      <w:r w:rsidRPr="00AE4E8D">
        <w:rPr>
          <w:lang w:val="es-ES"/>
        </w:rPr>
        <w:t>”) y en los montos (el o los “</w:t>
      </w:r>
      <w:r w:rsidRPr="00AE4E8D">
        <w:rPr>
          <w:u w:val="single"/>
          <w:lang w:val="es-ES"/>
        </w:rPr>
        <w:t>Montos de Rescate Opcional</w:t>
      </w:r>
      <w:r w:rsidRPr="00AE4E8D">
        <w:rPr>
          <w:lang w:val="es-ES"/>
        </w:rPr>
        <w:t>”) especificados o determinados en la forma que se indique en el suplemento de precio correspondiente junto con intereses devengados (si hubiera) a la fecha fijada para el rescate (la que, en el caso de Obligaciones Negociables a Tasa Variable, deberá ser una Fecha de Pago de Intereses).</w:t>
      </w:r>
    </w:p>
    <w:p w14:paraId="37E02DCC" w14:textId="77777777" w:rsidR="00CB5660" w:rsidRPr="00AE4E8D" w:rsidRDefault="00CB5660" w:rsidP="006659E6">
      <w:pPr>
        <w:pStyle w:val="BHTexto"/>
        <w:rPr>
          <w:lang w:val="es-ES"/>
        </w:rPr>
      </w:pPr>
      <w:r w:rsidRPr="00AE4E8D">
        <w:rPr>
          <w:lang w:val="es-ES"/>
        </w:rPr>
        <w:t xml:space="preserve">En el caso del rescate parcial de las Obligaciones Negociables de una clase, dicho rescate será por un monto de capital que constituirá el “Monto de Rescate Mínimo” o un “Monto de Rescate Superior”, en cada caso, según lo indicado en el suplemento de precio correspondiente. En el caso de un rescate parcial de Obligaciones Negociables Cartulares, dichas Obligaciones Negociables a ser rescatadas serán determinadas a </w:t>
      </w:r>
      <w:r w:rsidRPr="00AE4E8D">
        <w:rPr>
          <w:i/>
          <w:lang w:val="es-ES"/>
        </w:rPr>
        <w:t xml:space="preserve">pro rata, </w:t>
      </w:r>
      <w:r w:rsidRPr="00AE4E8D">
        <w:rPr>
          <w:lang w:val="es-ES"/>
        </w:rPr>
        <w:t xml:space="preserve">por sorteo o de otra forma, de conformidad con los procedimientos del depositario, como máximo 60 días antes de la fecha fijada para el rescate. En el caso de un rescate parcial de Obligaciones Negociables que estén representadas por una Obligación Negociable Global, las Obligaciones Negociables pertinentes serán seleccionadas de acuerdo con las normas del sistema o sistemas de compensación pertinentes, según el caso. Si las Obligaciones Negociables fueran admitidas para su listado en la bolsa de valores de Luxemburgo para su negociación en el mercado Euro MTF o se listarán en cualquier otro mercado autorizado y las normas de la bolsa de valores de Luxemburgo o dicho otro mercado autorizado lo exigiera, según corresponda, una vez por cada año en que tenga lugar un rescate parcial de Obligaciones Negociables, el Banco dispondrá que se publique en un periódico líder de circulación general en Luxemburgo o según lo especificado por otros mercados autorizados, un aviso especificando el monto de capital total de Obligaciones Negociables en circulación y un listado de las Obligaciones Negociables seleccionadas para el rescate pero no entregadas. En el suplemento de precio aplicable, se establecerán los procedimientos específicos y detallados relativo al rescate a opción del Banco, los cuales en su caso reemplazarán, complementarán y/o modificarán los términos y condiciones del procedimiento en general aquí descripto, siempre con el debido resguardo del interés de los inversores. </w:t>
      </w:r>
      <w:r w:rsidRPr="00AE4E8D">
        <w:rPr>
          <w:color w:val="000000"/>
          <w:lang w:val="es-ES"/>
        </w:rPr>
        <w:t>En todos los casos de rescate, se garantizará el trato igualitario entre los inversores.</w:t>
      </w:r>
    </w:p>
    <w:p w14:paraId="2E49CADE" w14:textId="77777777" w:rsidR="00CB5660" w:rsidRPr="00AE4E8D" w:rsidRDefault="00CB5660" w:rsidP="006659E6">
      <w:pPr>
        <w:pStyle w:val="BHTexto"/>
        <w:rPr>
          <w:lang w:val="es-ES"/>
        </w:rPr>
      </w:pPr>
      <w:r w:rsidRPr="00AE4E8D">
        <w:rPr>
          <w:lang w:val="es-ES"/>
        </w:rPr>
        <w:t>Adicionalmente se informa que toda notificación que el Banco realice a los tenedores será efectuada también a través del sitio web de la CNV (</w:t>
      </w:r>
      <w:hyperlink r:id="rId36" w:history="1">
        <w:r w:rsidRPr="00AE4E8D">
          <w:rPr>
            <w:color w:val="0000FF"/>
            <w:u w:val="single"/>
            <w:lang w:val="es-ES"/>
          </w:rPr>
          <w:t>www.cnv.gob.ar</w:t>
        </w:r>
      </w:hyperlink>
      <w:r w:rsidRPr="00AE4E8D">
        <w:rPr>
          <w:lang w:val="es-ES"/>
        </w:rPr>
        <w:t>), como un “Hecho Relevante.”</w:t>
      </w:r>
    </w:p>
    <w:p w14:paraId="5FF885BB" w14:textId="77777777" w:rsidR="00CB5660" w:rsidRPr="00AE4E8D" w:rsidRDefault="00CB5660" w:rsidP="000E1220">
      <w:pPr>
        <w:pStyle w:val="BH4Cursiva"/>
        <w:rPr>
          <w:lang w:val="es-ES"/>
        </w:rPr>
      </w:pPr>
      <w:r w:rsidRPr="00AE4E8D">
        <w:rPr>
          <w:lang w:val="es-ES"/>
        </w:rPr>
        <w:t>Rescate a Opción del Tenedor</w:t>
      </w:r>
    </w:p>
    <w:p w14:paraId="5C2F4407" w14:textId="77777777" w:rsidR="00CB5660" w:rsidRPr="00AE4E8D" w:rsidRDefault="00CB5660" w:rsidP="006659E6">
      <w:pPr>
        <w:pStyle w:val="BHTexto"/>
        <w:rPr>
          <w:lang w:val="es-ES"/>
        </w:rPr>
      </w:pPr>
      <w:r w:rsidRPr="00AE4E8D">
        <w:rPr>
          <w:lang w:val="es-ES"/>
        </w:rPr>
        <w:t>Luego de que el tenedor de cualquier Obligación Negociable enviara al Banco (salvo que se indicara en lo contrario en el suplemento de precio pertinente) notificación con una anticipación de entre 30 y 60 días, de acuerdo con las disposiciones que rigen el envío de notificación establecidas más adelante, notificación que será irrevocable, sujeto al cumplimiento de todas las leyes y regulaciones pertinentes, al momento del vencimiento de dicha notificación, el Banco rescatará dicha Obligación Negociable al precio o a los precios especificados en los suplementos de precio aplicables, en la Fecha de Rescate Opcional y al Monto de Rescate Opcional especificado o determinado en la forma establecida en el suplemento de precio pertinente, en su totalidad pero no en partes, junto con intereses devengados (si hubiera) a la fecha fijada para el rescate.</w:t>
      </w:r>
    </w:p>
    <w:p w14:paraId="1C51AC5E" w14:textId="77777777" w:rsidR="00CB5660" w:rsidRPr="00AE4E8D" w:rsidRDefault="00CB5660" w:rsidP="006659E6">
      <w:pPr>
        <w:pStyle w:val="BHTexto"/>
        <w:rPr>
          <w:lang w:val="es-ES"/>
        </w:rPr>
      </w:pPr>
      <w:r w:rsidRPr="00AE4E8D">
        <w:rPr>
          <w:lang w:val="es-ES"/>
        </w:rPr>
        <w:t xml:space="preserve">El rescate parcial será realizado a </w:t>
      </w:r>
      <w:r w:rsidRPr="00AE4E8D">
        <w:rPr>
          <w:i/>
          <w:lang w:val="es-ES"/>
        </w:rPr>
        <w:t xml:space="preserve">pro rata, </w:t>
      </w:r>
      <w:r w:rsidRPr="00AE4E8D">
        <w:rPr>
          <w:lang w:val="es-ES"/>
        </w:rPr>
        <w:t>por sorteo o de otra forma, sin perjuicio de lo cual, los respectivos suplementos de precio establecerán los procedimientos de rescate específicos de las Obligaciones Negociables que se emitan en particular, los cuales reemplazarán, complementarán y/o modificarán los presentes términos y condiciones generales, siempre con el debido resguardo del interés de los inversores. Asimismo se informa que toda notificación que el Banco realice a los tenedores, será efectuada también a través del sitio web de la CNV (www.cnv.gob.ar), como “Hecho Relevante”.</w:t>
      </w:r>
    </w:p>
    <w:p w14:paraId="044E543D" w14:textId="77777777" w:rsidR="00CB5660" w:rsidRPr="00AE4E8D" w:rsidRDefault="00CB5660" w:rsidP="006659E6">
      <w:pPr>
        <w:pStyle w:val="BHTexto"/>
        <w:rPr>
          <w:lang w:val="es-ES"/>
        </w:rPr>
      </w:pPr>
      <w:r w:rsidRPr="00AE4E8D">
        <w:rPr>
          <w:lang w:val="es-ES"/>
        </w:rPr>
        <w:t xml:space="preserve">Únicamente el tenedor registral de un Obligación Negociable Global puede ejercer el derecho a su amortización. Con el objeto de asegurar que dicha entidad puntualmente ejercerá un derecho a la amortización de una Obligación Negociable en particular, los titulares beneficiarios de dichas Obligaciones Negociables deben impartir instrucciones al intermediario u otro participante directo o </w:t>
      </w:r>
      <w:r w:rsidRPr="00AE4E8D">
        <w:rPr>
          <w:lang w:val="es-ES"/>
        </w:rPr>
        <w:lastRenderedPageBreak/>
        <w:t xml:space="preserve">indirecto a través del cual mantengan una participación en dicha Obligación Negociable para que notifique a DTC, Euroclear o Clearstream, según el caso, su intención de ejercer un derecho de amortización. Las distintas empresas tienen plazos diferentes para aceptar instrucciones de sus clientes y, en consecuencia, cada titular beneficiario debería consultar al intermediario u otro participante directo o indirecto a través del cual mantenga una participación en una Obligación Negociable con el objeto de determinar el plazo dentro del cual debe enviarse dicha instrucción con el objeto de notificar puntualmente a DTC, Euroclear o Clearstream, según el caso. En el suplemento de precio aplicable, se establecerán los procedimientos específicos y detallados relativo al rescate a opción del tenedor, los cuales en su caso reemplazarán, complementarán y/o modificarán los términos y condiciones del procedimiento en general aquí descripto, siempre con el debido resguardo del interés de los inversores. </w:t>
      </w:r>
      <w:r w:rsidRPr="00AE4E8D">
        <w:rPr>
          <w:color w:val="000000"/>
          <w:lang w:val="es-ES"/>
        </w:rPr>
        <w:t>En todos los casos de rescate, se garantizará el trato igualitario entre los inversores.</w:t>
      </w:r>
    </w:p>
    <w:p w14:paraId="4C026394" w14:textId="77777777" w:rsidR="00CB5660" w:rsidRPr="00AE4E8D" w:rsidRDefault="00CB5660" w:rsidP="006659E6">
      <w:pPr>
        <w:pStyle w:val="BHTexto"/>
        <w:rPr>
          <w:lang w:val="es-ES"/>
        </w:rPr>
      </w:pPr>
      <w:r w:rsidRPr="00AE4E8D">
        <w:rPr>
          <w:lang w:val="es-ES"/>
        </w:rPr>
        <w:t>Adicionalmente se informa que toda notificación que el Banco realice a los tenedores será efectuada también a través del sitio web de la CNV (</w:t>
      </w:r>
      <w:hyperlink r:id="rId37" w:history="1">
        <w:r w:rsidRPr="00AE4E8D">
          <w:rPr>
            <w:color w:val="0000FF"/>
            <w:u w:val="single"/>
            <w:lang w:val="es-ES"/>
          </w:rPr>
          <w:t>www.cnv.gob.ar</w:t>
        </w:r>
      </w:hyperlink>
      <w:r w:rsidRPr="00AE4E8D">
        <w:rPr>
          <w:lang w:val="es-ES"/>
        </w:rPr>
        <w:t>), como un “Hecho Relevante.”</w:t>
      </w:r>
    </w:p>
    <w:p w14:paraId="12B3002E" w14:textId="77777777" w:rsidR="00CB5660" w:rsidRPr="00AE4E8D" w:rsidRDefault="00CB5660" w:rsidP="000E1220">
      <w:pPr>
        <w:pStyle w:val="BH4Cursiva"/>
        <w:rPr>
          <w:lang w:val="es-ES"/>
        </w:rPr>
      </w:pPr>
      <w:r w:rsidRPr="00AE4E8D">
        <w:rPr>
          <w:lang w:val="es-ES"/>
        </w:rPr>
        <w:t>Rescate de Obligaciones Negociables con Descuento de Emisión Original</w:t>
      </w:r>
    </w:p>
    <w:p w14:paraId="781AAF43" w14:textId="77777777" w:rsidR="00CB5660" w:rsidRPr="00AE4E8D" w:rsidRDefault="00CB5660" w:rsidP="006659E6">
      <w:pPr>
        <w:pStyle w:val="BHTexto"/>
        <w:rPr>
          <w:lang w:val="es-ES"/>
        </w:rPr>
      </w:pPr>
      <w:r w:rsidRPr="00AE4E8D">
        <w:rPr>
          <w:lang w:val="es-ES"/>
        </w:rPr>
        <w:t>En el caso de caducidad de plazos o rescate anterior al vencimiento de una Obligación Negociable con Descuento de Emisión Original, el monto que deba pagarse sobre ella en lugar del monto de capital adeudado al Vencimiento Estipulado será el monto (el “</w:t>
      </w:r>
      <w:r w:rsidRPr="00AE4E8D">
        <w:rPr>
          <w:u w:val="single"/>
          <w:lang w:val="es-ES"/>
        </w:rPr>
        <w:t>Monto Nominal Amortizado</w:t>
      </w:r>
      <w:r w:rsidRPr="00AE4E8D">
        <w:rPr>
          <w:lang w:val="es-ES"/>
        </w:rPr>
        <w:t xml:space="preserve">”) equivalente a la suma de (i) el precio de emisión (según lo definido en </w:t>
      </w:r>
      <w:r w:rsidRPr="00AE4E8D">
        <w:rPr>
          <w:i/>
          <w:lang w:val="es-ES"/>
        </w:rPr>
        <w:t>“Tratamiento Impositivo”</w:t>
      </w:r>
      <w:r w:rsidRPr="00AE4E8D">
        <w:rPr>
          <w:lang w:val="es-ES"/>
        </w:rPr>
        <w:t xml:space="preserve">) de dicha Obligación Negociable y (ii) el producto del rendimiento devengado especificado en el suplemento de precio pertinente (compuesto anualmente) y el precio de emisión desde (e incluyendo) la fecha de emisión hasta (excluyendo) la Fecha de Rescate Opcional (o, en el caso de un rescate anticipado por cuestiones impositivas, la fecha fijada para el rescate) y calculado de acuerdo con los principios de cálculo del rendimiento de bonos Estadounidenses generalmente aceptados, pero en ningún caso el Monto Nominal Amortizado superará el monto de capital de dicha Obligación Negociable adeudado al momento de su Vencimiento Estipulado. En el suplemento de precio aplicable, se establecerán los procedimientos específicos y detallados relativo al Rescate de Obligaciones Negociables con Descuento de Emisión Original, los cuales en su caso reemplazarán, complementarán y/o modificarán los términos y condiciones del procedimiento en general aquí descripto, siempre con el debido resguardo del interés de los inversores. </w:t>
      </w:r>
      <w:r w:rsidRPr="00AE4E8D">
        <w:rPr>
          <w:color w:val="000000"/>
          <w:lang w:val="es-ES"/>
        </w:rPr>
        <w:t>En todos los casos de rescate, se garantizará el trato igualitario entre los inversores.</w:t>
      </w:r>
    </w:p>
    <w:p w14:paraId="32C29347" w14:textId="77777777" w:rsidR="00CB5660" w:rsidRPr="00AE4E8D" w:rsidRDefault="00CB5660" w:rsidP="006659E6">
      <w:pPr>
        <w:pStyle w:val="BHTexto"/>
        <w:rPr>
          <w:lang w:val="es-ES"/>
        </w:rPr>
      </w:pPr>
      <w:r w:rsidRPr="00AE4E8D">
        <w:rPr>
          <w:lang w:val="es-ES"/>
        </w:rPr>
        <w:t>Adicionalmente se informa que toda notificación que el Banco realice a los tenedores será efectuada también a través del sitio web de la CNV (</w:t>
      </w:r>
      <w:hyperlink r:id="rId38" w:history="1">
        <w:r w:rsidRPr="00AE4E8D">
          <w:rPr>
            <w:color w:val="0000FF"/>
            <w:u w:val="single"/>
            <w:lang w:val="es-ES"/>
          </w:rPr>
          <w:t>www.cnv.gob.ar</w:t>
        </w:r>
      </w:hyperlink>
      <w:r w:rsidRPr="00AE4E8D">
        <w:rPr>
          <w:lang w:val="es-ES"/>
        </w:rPr>
        <w:t>), como un “Hecho Relevante.”</w:t>
      </w:r>
    </w:p>
    <w:p w14:paraId="6D98E108" w14:textId="77777777" w:rsidR="00CB5660" w:rsidRPr="00AE4E8D" w:rsidRDefault="00CB5660" w:rsidP="000E1220">
      <w:pPr>
        <w:pStyle w:val="BH4Cursiva"/>
        <w:rPr>
          <w:lang w:val="es-ES"/>
        </w:rPr>
      </w:pPr>
      <w:r w:rsidRPr="00AE4E8D">
        <w:rPr>
          <w:lang w:val="es-ES"/>
        </w:rPr>
        <w:t>Compra de Obligaciones Negociables</w:t>
      </w:r>
    </w:p>
    <w:p w14:paraId="1CFDF2BC" w14:textId="77777777" w:rsidR="00CB5660" w:rsidRPr="00AE4E8D" w:rsidRDefault="00CB5660" w:rsidP="002831AB">
      <w:pPr>
        <w:autoSpaceDE w:val="0"/>
        <w:autoSpaceDN w:val="0"/>
        <w:adjustRightInd w:val="0"/>
        <w:spacing w:before="120" w:after="120"/>
        <w:jc w:val="both"/>
        <w:rPr>
          <w:rStyle w:val="BHTextoCar"/>
          <w:lang w:val="es-ES"/>
        </w:rPr>
      </w:pPr>
      <w:r w:rsidRPr="00AE4E8D">
        <w:rPr>
          <w:rFonts w:ascii="Times New Roman" w:hAnsi="Times New Roman"/>
          <w:lang w:val="es-ES" w:eastAsia="es-AR"/>
        </w:rPr>
        <w:t xml:space="preserve">El Banco y sus subsidiarias en cualquier momento podrán comprar o de otro modo adquirir cualquier </w:t>
      </w:r>
      <w:r w:rsidRPr="00AE4E8D">
        <w:rPr>
          <w:rStyle w:val="BHTextoCar"/>
          <w:lang w:val="es-ES"/>
        </w:rPr>
        <w:t>Obligación Negociable en el mercado abierto o de otra forma a cualquier precio pudiendo revenderlas o disponer de otra forma de ella en cualquier momento; teniendo en cuenta que, en la determinación, en cualquier momento, de si los tenedores del monto de capital requerido de Obligaciones Negociables en circulación han emitido o no alguna solicitud, demanda, autorización, instrucción, notificación, consentimiento o dispensa, no se contarán y serán consideradas fuera de circulación las Obligaciones Negociables de titularidad del Banco o cualquiera de sus subsidiarias.</w:t>
      </w:r>
    </w:p>
    <w:p w14:paraId="5555CF77" w14:textId="77777777" w:rsidR="00CB5660" w:rsidRPr="00AE4E8D" w:rsidRDefault="00CB5660" w:rsidP="006659E6">
      <w:pPr>
        <w:pStyle w:val="BH3Izquierda"/>
        <w:rPr>
          <w:lang w:val="es-ES"/>
        </w:rPr>
      </w:pPr>
      <w:bookmarkStart w:id="788" w:name="_Toc414610926"/>
      <w:bookmarkStart w:id="789" w:name="_Toc420062634"/>
      <w:bookmarkStart w:id="790" w:name="_Toc421201518"/>
      <w:r w:rsidRPr="00AE4E8D">
        <w:rPr>
          <w:lang w:val="es-ES"/>
        </w:rPr>
        <w:t>Cancelación</w:t>
      </w:r>
      <w:bookmarkEnd w:id="788"/>
      <w:bookmarkEnd w:id="789"/>
      <w:bookmarkEnd w:id="790"/>
    </w:p>
    <w:p w14:paraId="5804F8C6" w14:textId="77777777" w:rsidR="00CB5660" w:rsidRPr="00AE4E8D" w:rsidRDefault="00CB5660" w:rsidP="006659E6">
      <w:pPr>
        <w:pStyle w:val="BHTexto"/>
        <w:rPr>
          <w:lang w:val="es-ES"/>
        </w:rPr>
      </w:pPr>
      <w:r w:rsidRPr="00AE4E8D">
        <w:rPr>
          <w:lang w:val="es-ES"/>
        </w:rPr>
        <w:t>Las Obligaciones Negociables rescatadas íntegramente por el Banco serán canceladas de inmediato y no podrán ser emitidas nuevamente ni revendidas.</w:t>
      </w:r>
    </w:p>
    <w:p w14:paraId="51C89706" w14:textId="77777777" w:rsidR="00CB5660" w:rsidRPr="00AE4E8D" w:rsidRDefault="00CB5660" w:rsidP="006659E6">
      <w:pPr>
        <w:pStyle w:val="BHTexto"/>
        <w:rPr>
          <w:lang w:val="es-ES"/>
        </w:rPr>
      </w:pPr>
      <w:r w:rsidRPr="00AE4E8D">
        <w:rPr>
          <w:lang w:val="es-ES"/>
        </w:rPr>
        <w:t>Si se hubiera enviado notificación de rescate en la forma establecida en el presente y en el suplemento de precio pertinente, las Obligaciones Negociables de una clase a ser rescatadas vencerán y serán exigibles en la fecha de rescate especificada en dicha notificación, y al momento de la presentación y entrega de las Obligaciones Negociables en el lugar o lugares especificados en dicha notificación, serán pagadas y rescatadas por el Banco en los lugares, en la forma y moneda allí especificada y al precio de rescate allí especificado junto con los intereses devengados y Montos Adicionales, si hubiera, a la fecha de rescate. Desde la fecha de rescate y a partir de ese momento, si los fondos para el rescate de las Obligaciones Negociables llamadas a rescate hubieran sido puestos a disposición a tal fin en la oficina fiduciaria del Fiduciario en la fecha de rescate, las Obligaciones Negociables llamadas a rescate dejarán de devengar intereses (y en el caso de Obligaciones Negociables con Descuento de Emisión Original, dejará de aumentar el Monto Nominal Amortizado pagadero sobre ellas) y el único derecho de los tenedores de dichas Obligaciones Negociables será el de recibir el pago del precio de rescate junto con los intereses devengados y Montos Adicionales, si hubiera, a la fecha de rescate, según lo mencionado anteriormente.</w:t>
      </w:r>
    </w:p>
    <w:p w14:paraId="1756ABE1" w14:textId="77777777" w:rsidR="00CB5660" w:rsidRPr="00AE4E8D" w:rsidRDefault="00CB5660" w:rsidP="006659E6">
      <w:pPr>
        <w:pStyle w:val="BH3Izquierda"/>
        <w:rPr>
          <w:lang w:val="es-ES"/>
        </w:rPr>
      </w:pPr>
      <w:bookmarkStart w:id="791" w:name="_Toc414610927"/>
      <w:bookmarkStart w:id="792" w:name="_Toc420062635"/>
      <w:bookmarkStart w:id="793" w:name="_Toc421201519"/>
      <w:r w:rsidRPr="00AE4E8D">
        <w:rPr>
          <w:lang w:val="es-ES"/>
        </w:rPr>
        <w:lastRenderedPageBreak/>
        <w:t>Montos Adicionales</w:t>
      </w:r>
      <w:bookmarkEnd w:id="791"/>
      <w:bookmarkEnd w:id="792"/>
      <w:bookmarkEnd w:id="793"/>
    </w:p>
    <w:p w14:paraId="730CA363" w14:textId="77777777" w:rsidR="00CB5660" w:rsidRPr="00AE4E8D" w:rsidRDefault="00CB5660" w:rsidP="006659E6">
      <w:pPr>
        <w:pStyle w:val="BHTexto"/>
        <w:rPr>
          <w:lang w:val="es-ES"/>
        </w:rPr>
      </w:pPr>
      <w:r w:rsidRPr="00AE4E8D">
        <w:rPr>
          <w:lang w:val="es-ES"/>
        </w:rPr>
        <w:t xml:space="preserve">Excepto que se disponga lo contrario en el suplemento de precio aplicable, todos los impuestos, aranceles, tasas, contribuciones, retenciones, gastos de transferencia, cargas y/o gravámenes que pudieran recaer sobre los actos, contratos y operaciones relacionados con la emisión, suscripción, colocación y cumplimiento de las Obligaciones Negociables de cada serie y/o clase estarán íntegra y exclusivamente a cargo del Banco. </w:t>
      </w:r>
      <w:r w:rsidR="00134C25" w:rsidRPr="00AE4E8D">
        <w:rPr>
          <w:lang w:val="es-ES"/>
        </w:rPr>
        <w:t>Todo</w:t>
      </w:r>
      <w:r w:rsidR="00326001" w:rsidRPr="00AE4E8D">
        <w:rPr>
          <w:lang w:val="es-ES"/>
        </w:rPr>
        <w:t>s</w:t>
      </w:r>
      <w:r w:rsidR="00134C25" w:rsidRPr="00AE4E8D">
        <w:rPr>
          <w:lang w:val="es-ES"/>
        </w:rPr>
        <w:t xml:space="preserve"> los pagos de capital, prima o</w:t>
      </w:r>
      <w:r w:rsidRPr="00AE4E8D">
        <w:rPr>
          <w:lang w:val="es-ES"/>
        </w:rPr>
        <w:t xml:space="preserve"> intereses </w:t>
      </w:r>
      <w:r w:rsidR="00134C25" w:rsidRPr="00AE4E8D">
        <w:rPr>
          <w:lang w:val="es-ES"/>
        </w:rPr>
        <w:t xml:space="preserve">abonados por nosotros con respecto a las Obligaciones Negociables se realizarán sin retención o deducción por o a cuenta de cualquier impuesto presente o futuro, sanciones, multas, aranceles, gravámenes u otros cargos gubernamentales de cualquier naturaleza impuesta o gravada por o en nombre de la Argentina, o cualquier subdivisión política de la misma o cualquier autoridad facultada para ello (“Impuestos”), a menos que la ley nos obligue a deducir o retener dichos Impuestos. En cualquier evento de ese tipo, sujeto a ciertas excepciones, pagaremos dichos montos adicionales </w:t>
      </w:r>
      <w:r w:rsidRPr="00AE4E8D">
        <w:rPr>
          <w:lang w:val="es-ES"/>
        </w:rPr>
        <w:t>("</w:t>
      </w:r>
      <w:r w:rsidRPr="00AE4E8D">
        <w:rPr>
          <w:u w:val="single"/>
          <w:lang w:val="es-ES"/>
        </w:rPr>
        <w:t>Montos Adicionales</w:t>
      </w:r>
      <w:r w:rsidRPr="00AE4E8D">
        <w:rPr>
          <w:lang w:val="es-ES"/>
        </w:rPr>
        <w:t xml:space="preserve">") </w:t>
      </w:r>
      <w:r w:rsidR="00134C25" w:rsidRPr="00AE4E8D">
        <w:rPr>
          <w:lang w:val="es-ES"/>
        </w:rPr>
        <w:t>con respecto a los Impuestos que sean necesarios para asegurar que los montos recibidos por los tenedores de dichos montos después de dicha retención o deducción sean iguales a los respectivos cantidades que hubieran sido admisibles con respecto a dichas Obligaciones Negociables en ausencia de dicha retención o deducción. Los Importes Adicionales se considerarán todos los efectos como un monto pagadero en virtud de las Obligaciones Negociables, excepto que no se pagarán Montos Adicionales por los importes pendientes en virtud de cualquiera de las Obligaciones Negociables en los siguientes casos</w:t>
      </w:r>
      <w:r w:rsidRPr="00AE4E8D">
        <w:rPr>
          <w:lang w:val="es-ES"/>
        </w:rPr>
        <w:t xml:space="preserve">: </w:t>
      </w:r>
    </w:p>
    <w:p w14:paraId="46E50633" w14:textId="77777777" w:rsidR="00CB5660" w:rsidRPr="00AE4E8D" w:rsidRDefault="00CB5660" w:rsidP="006659E6">
      <w:pPr>
        <w:pStyle w:val="BHTexto"/>
        <w:rPr>
          <w:lang w:val="es-ES"/>
        </w:rPr>
      </w:pPr>
      <w:r w:rsidRPr="00AE4E8D">
        <w:rPr>
          <w:lang w:val="es-ES"/>
        </w:rPr>
        <w:t>(i) cuando los Impuestos no se habrían aplicado de no haber sido por existir una relación actual o pasada entre el tenedor</w:t>
      </w:r>
      <w:r w:rsidR="00D958BC" w:rsidRPr="00AE4E8D">
        <w:rPr>
          <w:lang w:val="es-ES"/>
        </w:rPr>
        <w:t xml:space="preserve"> o el beneficiario final</w:t>
      </w:r>
      <w:r w:rsidRPr="00AE4E8D">
        <w:rPr>
          <w:lang w:val="es-ES"/>
        </w:rPr>
        <w:t xml:space="preserve"> de una Obligación Negociable y la Argentina distinta de la mera tenencia de esa Obligación Negociable y percepción de pagos sobre la misma; o </w:t>
      </w:r>
    </w:p>
    <w:p w14:paraId="5B2BA878" w14:textId="77777777" w:rsidR="00CB5660" w:rsidRPr="00AE4E8D" w:rsidRDefault="00CB5660" w:rsidP="006659E6">
      <w:pPr>
        <w:pStyle w:val="BHTexto"/>
        <w:rPr>
          <w:lang w:val="es-ES"/>
        </w:rPr>
      </w:pPr>
      <w:r w:rsidRPr="00AE4E8D">
        <w:rPr>
          <w:lang w:val="es-ES"/>
        </w:rPr>
        <w:t xml:space="preserve">(ii) cuando los Impuestos no habrían sido aplicados de no haber sido por el incumplimiento </w:t>
      </w:r>
      <w:r w:rsidR="00D958BC" w:rsidRPr="00AE4E8D">
        <w:rPr>
          <w:lang w:val="es-ES"/>
        </w:rPr>
        <w:t xml:space="preserve">del tenedor o del beneficiario final </w:t>
      </w:r>
      <w:r w:rsidRPr="00AE4E8D">
        <w:rPr>
          <w:lang w:val="es-ES"/>
        </w:rPr>
        <w:t>de los requisitos de certificación, identificación, información o provisión de información respecto de la nacionalidad, residencia</w:t>
      </w:r>
      <w:r w:rsidR="00D958BC" w:rsidRPr="00AE4E8D">
        <w:rPr>
          <w:lang w:val="es-ES"/>
        </w:rPr>
        <w:t>,</w:t>
      </w:r>
      <w:r w:rsidRPr="00AE4E8D">
        <w:rPr>
          <w:lang w:val="es-ES"/>
        </w:rPr>
        <w:t xml:space="preserve"> identidad </w:t>
      </w:r>
      <w:r w:rsidR="00D958BC" w:rsidRPr="00AE4E8D">
        <w:rPr>
          <w:lang w:val="es-ES"/>
        </w:rPr>
        <w:t>o conexión con Argentina de dicho</w:t>
      </w:r>
      <w:r w:rsidRPr="00AE4E8D">
        <w:rPr>
          <w:lang w:val="es-ES"/>
        </w:rPr>
        <w:t xml:space="preserve"> tenedor </w:t>
      </w:r>
      <w:r w:rsidR="00D958BC" w:rsidRPr="00AE4E8D">
        <w:rPr>
          <w:lang w:val="es-ES"/>
        </w:rPr>
        <w:t xml:space="preserve">o beneficiario final </w:t>
      </w:r>
      <w:r w:rsidRPr="00AE4E8D">
        <w:rPr>
          <w:lang w:val="es-ES"/>
        </w:rPr>
        <w:t xml:space="preserve">de la Obligación Negociable, exigidos por el Banco con, por lo menos, treinta (30) días de anticipación a la fecha de pago de intereses o a la fecha de pago de capital aplicable, según corresponda, si dicho cumplimiento fuera exigido por ley o reglamentación de la Argentina o cualquier subdivisión política o autoridad impositiva de la misma como una condición previa a la desgravación fiscal o exención de esos Impuestos; </w:t>
      </w:r>
    </w:p>
    <w:p w14:paraId="34EAEA8C" w14:textId="77777777" w:rsidR="00CB5660" w:rsidRPr="00AE4E8D" w:rsidRDefault="00CB5660" w:rsidP="006659E6">
      <w:pPr>
        <w:pStyle w:val="BHTexto"/>
        <w:rPr>
          <w:lang w:val="es-ES"/>
        </w:rPr>
      </w:pPr>
      <w:r w:rsidRPr="00AE4E8D">
        <w:rPr>
          <w:lang w:val="es-ES"/>
        </w:rPr>
        <w:t xml:space="preserve">(iii) respecto de cualquier impuesto sucesorio, a los activos, a las herencias, a las donaciones, a las ventas, a la transferencia o sobre los bienes personales o cualquier impuesto, contribución o carga gubernamental similar; </w:t>
      </w:r>
    </w:p>
    <w:p w14:paraId="3334C65D" w14:textId="77777777" w:rsidR="00CB5660" w:rsidRPr="00AE4E8D" w:rsidRDefault="00CB5660" w:rsidP="006659E6">
      <w:pPr>
        <w:pStyle w:val="BHTexto"/>
        <w:rPr>
          <w:lang w:val="es-ES"/>
        </w:rPr>
      </w:pPr>
      <w:r w:rsidRPr="00AE4E8D">
        <w:rPr>
          <w:lang w:val="es-ES"/>
        </w:rPr>
        <w:t xml:space="preserve">(iv) a un tenedor o titular beneficiario de una Obligación Negociable, o a su representante, en relación con impuestos argentinos pagaderos de otro modo que mediante retención efectuada sobre el pago del capital, la prima, si la hubiera, o los intereses sobre las Obligaciones Negociables; </w:t>
      </w:r>
    </w:p>
    <w:p w14:paraId="0AAABEE5" w14:textId="77777777" w:rsidR="00CB5660" w:rsidRPr="00AE4E8D" w:rsidRDefault="00CB5660" w:rsidP="006659E6">
      <w:pPr>
        <w:pStyle w:val="BHTexto"/>
        <w:rPr>
          <w:lang w:val="es-ES"/>
        </w:rPr>
      </w:pPr>
      <w:r w:rsidRPr="00AE4E8D">
        <w:rPr>
          <w:lang w:val="es-ES"/>
        </w:rPr>
        <w:t xml:space="preserve">(v) cuando haya Impuestos sobre una Obligación Negociable presentada para el pago más de treinta (30) días después de la fecha en que dicho pago se hizo exigible o de la fecha en que se disponga debidamente y se notifique el pago de la misma a los tenedores de las Obligaciones Negociables, lo que ocurra en último lugar, salvo en la medida en que el tenedor de esa Obligación Negociable hubiera tenido derecho a esos montos adicionales contra presentación de la misma para el pago en cualquier fecha durante tal período de treinta (30) días; </w:t>
      </w:r>
    </w:p>
    <w:p w14:paraId="536A1A40" w14:textId="77777777" w:rsidR="00CB5660" w:rsidRPr="00AE4E8D" w:rsidRDefault="00D958BC" w:rsidP="006659E6">
      <w:pPr>
        <w:pStyle w:val="BHTexto"/>
        <w:rPr>
          <w:lang w:val="es-ES"/>
        </w:rPr>
      </w:pPr>
      <w:r w:rsidRPr="00AE4E8D" w:rsidDel="00D958BC">
        <w:rPr>
          <w:lang w:val="es-ES"/>
        </w:rPr>
        <w:t xml:space="preserve"> </w:t>
      </w:r>
      <w:r w:rsidR="00CB5660" w:rsidRPr="00AE4E8D">
        <w:rPr>
          <w:lang w:val="es-ES"/>
        </w:rPr>
        <w:t>(vi) respecto de cualesquiera Impuestos que deban aplicarse bajo los artículos 1471 a 1474 del Código Fiscal (o cualquier versión de dichos artículos que los reemplace o suceda) (“</w:t>
      </w:r>
      <w:r w:rsidR="00CB5660" w:rsidRPr="00AE4E8D">
        <w:rPr>
          <w:u w:val="single"/>
          <w:lang w:val="es-ES"/>
        </w:rPr>
        <w:t>FATCA</w:t>
      </w:r>
      <w:r w:rsidR="00CB5660" w:rsidRPr="00AE4E8D">
        <w:rPr>
          <w:lang w:val="es-ES"/>
        </w:rPr>
        <w:t xml:space="preserve">”), y las reglamentaciones u otras normas relacionadas, cualquier acuerdo (incluyendo un acuerdo intergubernamental) celebrado en relación con ellos, o cualquier ley, reglamentación u otra normativa oficial sancionada en cualquier jurisdicción que implemente el FATCA o cualquier acuerdo intergubernamental respecto de FATCA; o </w:t>
      </w:r>
    </w:p>
    <w:p w14:paraId="287DF8E5" w14:textId="77777777" w:rsidR="00CB5660" w:rsidRPr="00AE4E8D" w:rsidRDefault="00CB5660" w:rsidP="006659E6">
      <w:pPr>
        <w:pStyle w:val="BHTexto"/>
        <w:rPr>
          <w:lang w:val="es-ES"/>
        </w:rPr>
      </w:pPr>
      <w:r w:rsidRPr="00AE4E8D">
        <w:rPr>
          <w:lang w:val="es-ES"/>
        </w:rPr>
        <w:t xml:space="preserve">(vii) cualquier combinación de las situaciones (i) a (vii) descriptas precedentemente, ni tampoco se pagarán montos adicionales en relación con el pago del capital, cualquier prima, si la hubiere, o los intereses sobre Obligaciones Negociables a ningún tenedor o titular beneficiario de una Obligación Negociable que sea un fiduciario o una sociedad de personas o una sociedad de responsabilidad limitada o tuviera un carácter distinto al de exclusivo titular beneficiario de dicho pago, en la medida en que fuera obligatorio, de conformidad con las leyes de Argentina, incluir dicho pago en los ingresos a efectos impositivos de un beneficiario o fiduciante en relación con dicho fideicomiso o de un socio en relación con dicha sociedad de personas, sociedad de responsabilidad limitada o titular beneficiario, siempre que </w:t>
      </w:r>
      <w:r w:rsidRPr="00AE4E8D">
        <w:rPr>
          <w:lang w:val="es-ES"/>
        </w:rPr>
        <w:lastRenderedPageBreak/>
        <w:t>tales sujetos no hubieran tenido derecho a recibir dichos Montos Adicionales si hubieran sido los tenedores de las Obligaciones Negociables.</w:t>
      </w:r>
    </w:p>
    <w:p w14:paraId="03C23566" w14:textId="77777777" w:rsidR="00CB5660" w:rsidRPr="00AE4E8D" w:rsidRDefault="00CB5660" w:rsidP="006659E6">
      <w:pPr>
        <w:pStyle w:val="BH3Izquierda"/>
        <w:rPr>
          <w:lang w:val="es-ES"/>
        </w:rPr>
      </w:pPr>
      <w:bookmarkStart w:id="794" w:name="_Toc414610928"/>
      <w:bookmarkStart w:id="795" w:name="_Toc420062636"/>
      <w:bookmarkStart w:id="796" w:name="_Toc421201520"/>
      <w:r w:rsidRPr="00AE4E8D">
        <w:rPr>
          <w:lang w:val="es-ES"/>
        </w:rPr>
        <w:t>Listado y Negociación</w:t>
      </w:r>
      <w:bookmarkEnd w:id="794"/>
      <w:bookmarkEnd w:id="795"/>
      <w:bookmarkEnd w:id="796"/>
    </w:p>
    <w:p w14:paraId="4C87331D" w14:textId="77777777" w:rsidR="00CB5660" w:rsidRPr="00AE4E8D" w:rsidRDefault="00B26B42" w:rsidP="006659E6">
      <w:pPr>
        <w:pStyle w:val="BHTexto"/>
        <w:rPr>
          <w:lang w:val="es-ES"/>
        </w:rPr>
      </w:pPr>
      <w:r w:rsidRPr="00AE4E8D">
        <w:rPr>
          <w:lang w:val="es-ES"/>
        </w:rPr>
        <w:t>Las Obligaciones Negociables de una clase, serán listadas en uno o más mercados autorizados por la CNV. A tal fin, e</w:t>
      </w:r>
      <w:r w:rsidR="00CB5660" w:rsidRPr="00AE4E8D">
        <w:rPr>
          <w:lang w:val="es-ES"/>
        </w:rPr>
        <w:t xml:space="preserve">l Banco podrá solicitar que las Obligaciones Negociables de una clase sean admitidas para su listado en la Bolsa de Valores de Luxemburgo para su negociación en el mercado Euro MTF y para que sean listadas en </w:t>
      </w:r>
      <w:r w:rsidR="0013533F" w:rsidRPr="00AE4E8D">
        <w:rPr>
          <w:lang w:val="es-ES"/>
        </w:rPr>
        <w:t>BYMA</w:t>
      </w:r>
      <w:r w:rsidR="00CB5660" w:rsidRPr="00AE4E8D">
        <w:rPr>
          <w:lang w:val="es-ES"/>
        </w:rPr>
        <w:t xml:space="preserve"> a través de la BCBA, o en cualquier otro mercado autorizado del país o del exterior. Sin embargo, no puede asegurarse que estás solicitudes sean aceptadas. Adicionalmente podrán emitirse, en el marco de este Programa, Obligaciones Negociables que no sean listadas en ningún mercado autorizado y el suplemento de precio correspondiente a una clase especificará si las Obligaciones Negociables de esa clase se encuentran listadas o no en la bolsa de valores de Luxemburgo para su negociación en el mercado Euro MTF, en </w:t>
      </w:r>
      <w:r w:rsidR="0013533F" w:rsidRPr="00AE4E8D">
        <w:rPr>
          <w:lang w:val="es-ES"/>
        </w:rPr>
        <w:t>BYMA</w:t>
      </w:r>
      <w:r w:rsidR="00CB5660" w:rsidRPr="00AE4E8D">
        <w:rPr>
          <w:lang w:val="es-ES"/>
        </w:rPr>
        <w:t xml:space="preserve"> a través de la BCBA (o la entidad que la suceda en el futuro) y/o en cualquier otra bolsa de valores autorizada por la CNV en Argentina o en el extranjero.</w:t>
      </w:r>
    </w:p>
    <w:p w14:paraId="79C0CE0D" w14:textId="77777777" w:rsidR="00CB5660" w:rsidRPr="00AE4E8D" w:rsidRDefault="00CB5660" w:rsidP="002831AB">
      <w:pPr>
        <w:keepNext/>
        <w:autoSpaceDE w:val="0"/>
        <w:autoSpaceDN w:val="0"/>
        <w:adjustRightInd w:val="0"/>
        <w:spacing w:before="240" w:after="240"/>
        <w:outlineLvl w:val="2"/>
        <w:rPr>
          <w:rFonts w:ascii="Times New Roman" w:hAnsi="Times New Roman"/>
          <w:lang w:val="es-ES" w:eastAsia="es-AR"/>
        </w:rPr>
      </w:pPr>
      <w:bookmarkStart w:id="797" w:name="_Toc414610929"/>
      <w:bookmarkStart w:id="798" w:name="_Toc420062637"/>
      <w:bookmarkStart w:id="799" w:name="_Toc421201521"/>
      <w:r w:rsidRPr="00AE4E8D">
        <w:rPr>
          <w:rFonts w:ascii="Times New Roman" w:hAnsi="Times New Roman"/>
          <w:b/>
          <w:lang w:val="es-ES" w:eastAsia="es-AR"/>
        </w:rPr>
        <w:t>Restricciones a la Transferencia</w:t>
      </w:r>
      <w:bookmarkEnd w:id="797"/>
      <w:bookmarkEnd w:id="798"/>
      <w:bookmarkEnd w:id="799"/>
    </w:p>
    <w:p w14:paraId="74ADC5DA" w14:textId="77777777" w:rsidR="00CB5660" w:rsidRPr="00AE4E8D" w:rsidRDefault="00CB5660" w:rsidP="002831AB">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El Banco no ha registrado las Obligaciones Negociables en los términos de la Ley de Títulos Valores estadounidense, por lo que no podrán ser transferidas salvo en cumplimiento de ciertas restricciones a la transferencia. </w:t>
      </w:r>
    </w:p>
    <w:p w14:paraId="498C2339" w14:textId="77777777" w:rsidR="00CB5660" w:rsidRPr="00AE4E8D" w:rsidRDefault="00CB5660" w:rsidP="006659E6">
      <w:pPr>
        <w:pStyle w:val="BH3Izquierda"/>
        <w:rPr>
          <w:lang w:val="es-ES"/>
        </w:rPr>
      </w:pPr>
      <w:bookmarkStart w:id="800" w:name="_Toc414610930"/>
      <w:bookmarkStart w:id="801" w:name="_Toc420062638"/>
      <w:bookmarkStart w:id="802" w:name="_Toc421201522"/>
      <w:r w:rsidRPr="00AE4E8D">
        <w:rPr>
          <w:lang w:val="es-ES"/>
        </w:rPr>
        <w:t>Derechos de registro</w:t>
      </w:r>
      <w:bookmarkEnd w:id="800"/>
      <w:bookmarkEnd w:id="801"/>
      <w:bookmarkEnd w:id="802"/>
    </w:p>
    <w:p w14:paraId="20301242" w14:textId="77777777" w:rsidR="00CB5660" w:rsidRPr="00AE4E8D" w:rsidRDefault="00CB5660" w:rsidP="002831AB">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De así especificarlo el respectivo suplemento de precio aplicable, el Banco podrá otorgar derechos de registro a los tenedores de una clase de Obligaciones Negociables. </w:t>
      </w:r>
    </w:p>
    <w:p w14:paraId="6F392B91" w14:textId="77777777" w:rsidR="00CB5660" w:rsidRPr="00AE4E8D" w:rsidRDefault="00CB5660" w:rsidP="006659E6">
      <w:pPr>
        <w:pStyle w:val="BH3Izquierda"/>
        <w:rPr>
          <w:lang w:val="es-ES"/>
        </w:rPr>
      </w:pPr>
      <w:bookmarkStart w:id="803" w:name="_Toc414610931"/>
      <w:bookmarkStart w:id="804" w:name="_Toc420062639"/>
      <w:bookmarkStart w:id="805" w:name="_Toc421201523"/>
      <w:r w:rsidRPr="00AE4E8D">
        <w:rPr>
          <w:lang w:val="es-ES"/>
        </w:rPr>
        <w:t>Asambleas, modificación y dispensa</w:t>
      </w:r>
      <w:bookmarkEnd w:id="803"/>
      <w:bookmarkEnd w:id="804"/>
      <w:bookmarkEnd w:id="805"/>
    </w:p>
    <w:p w14:paraId="7F493F5A" w14:textId="77777777" w:rsidR="00CB5660" w:rsidRPr="00AE4E8D" w:rsidRDefault="00CB5660" w:rsidP="002831AB">
      <w:pPr>
        <w:autoSpaceDE w:val="0"/>
        <w:autoSpaceDN w:val="0"/>
        <w:adjustRightInd w:val="0"/>
        <w:spacing w:before="120" w:after="120"/>
        <w:jc w:val="both"/>
        <w:rPr>
          <w:rStyle w:val="BHTextoCar"/>
          <w:lang w:val="es-ES"/>
        </w:rPr>
      </w:pPr>
      <w:r w:rsidRPr="00AE4E8D">
        <w:rPr>
          <w:rFonts w:ascii="Times New Roman" w:hAnsi="Times New Roman"/>
          <w:lang w:val="es-ES" w:eastAsia="es-AR"/>
        </w:rPr>
        <w:t xml:space="preserve">En cualquier momento podrán convocarse y celebrarse asambleas de tenedores de Obligaciones Negociables </w:t>
      </w:r>
      <w:r w:rsidRPr="00AE4E8D">
        <w:rPr>
          <w:rStyle w:val="BHTextoCar"/>
          <w:lang w:val="es-ES"/>
        </w:rPr>
        <w:t xml:space="preserve">para tratar y decidir sobre cualquier cuestión que competa a la asamblea de tenedores de las mismas. Tales asambleas se llevarán a cabo conforme con lo dispuesto por la Ley de Obligaciones Negociables, las normas aplicables de la CNV y las demás disposiciones legales vigentes. La convocatoria, el quórum, las mayorías y los demás aspectos de dichas asambleas se regirán por tales disposiciones legales. </w:t>
      </w:r>
    </w:p>
    <w:p w14:paraId="38104C44" w14:textId="77777777" w:rsidR="00CB5660" w:rsidRPr="00AE4E8D" w:rsidRDefault="00CB5660" w:rsidP="006659E6">
      <w:pPr>
        <w:pStyle w:val="BH3Izquierda"/>
        <w:rPr>
          <w:lang w:val="es-ES"/>
        </w:rPr>
      </w:pPr>
      <w:bookmarkStart w:id="806" w:name="_Toc414610932"/>
      <w:bookmarkStart w:id="807" w:name="_Toc420062640"/>
      <w:bookmarkStart w:id="808" w:name="_Toc421201524"/>
      <w:r w:rsidRPr="00AE4E8D">
        <w:rPr>
          <w:lang w:val="es-ES"/>
        </w:rPr>
        <w:t>Reintegro de fondos; prescripción</w:t>
      </w:r>
      <w:bookmarkEnd w:id="806"/>
      <w:bookmarkEnd w:id="807"/>
      <w:bookmarkEnd w:id="808"/>
    </w:p>
    <w:p w14:paraId="644AAE2F" w14:textId="77777777" w:rsidR="00CB5660" w:rsidRPr="00AE4E8D" w:rsidRDefault="00CB5660" w:rsidP="006659E6">
      <w:pPr>
        <w:pStyle w:val="BHTexto"/>
        <w:rPr>
          <w:lang w:val="es-ES"/>
        </w:rPr>
      </w:pPr>
      <w:r w:rsidRPr="00AE4E8D">
        <w:rPr>
          <w:lang w:val="es-ES"/>
        </w:rPr>
        <w:t xml:space="preserve">Los reclamos contra el Banco por el pago de capital (incluyendo Montos Adicionales) y/o intereses relacionados con las Obligaciones Negociables deben efectuarse dentro de los </w:t>
      </w:r>
      <w:r w:rsidRPr="00AE4E8D">
        <w:rPr>
          <w:rStyle w:val="hps"/>
          <w:lang w:val="es-ES"/>
        </w:rPr>
        <w:t>cinco</w:t>
      </w:r>
      <w:r w:rsidRPr="00AE4E8D">
        <w:rPr>
          <w:lang w:val="es-ES"/>
        </w:rPr>
        <w:t xml:space="preserve"> </w:t>
      </w:r>
      <w:r w:rsidRPr="00AE4E8D">
        <w:rPr>
          <w:rStyle w:val="hps"/>
          <w:lang w:val="es-ES"/>
        </w:rPr>
        <w:t>años</w:t>
      </w:r>
      <w:r w:rsidRPr="00AE4E8D">
        <w:rPr>
          <w:lang w:val="es-ES"/>
        </w:rPr>
        <w:t xml:space="preserve"> </w:t>
      </w:r>
      <w:r w:rsidRPr="00AE4E8D">
        <w:rPr>
          <w:rStyle w:val="hps"/>
          <w:lang w:val="es-ES"/>
        </w:rPr>
        <w:t>y dos</w:t>
      </w:r>
      <w:r w:rsidRPr="00AE4E8D">
        <w:rPr>
          <w:lang w:val="es-ES"/>
        </w:rPr>
        <w:t xml:space="preserve"> </w:t>
      </w:r>
      <w:r w:rsidRPr="00AE4E8D">
        <w:rPr>
          <w:rStyle w:val="hps"/>
          <w:lang w:val="es-ES"/>
        </w:rPr>
        <w:t>años</w:t>
      </w:r>
      <w:r w:rsidRPr="00AE4E8D">
        <w:rPr>
          <w:lang w:val="es-ES"/>
        </w:rPr>
        <w:t xml:space="preserve"> </w:t>
      </w:r>
      <w:r w:rsidRPr="00AE4E8D">
        <w:rPr>
          <w:rStyle w:val="hps"/>
          <w:lang w:val="es-ES"/>
        </w:rPr>
        <w:t>respectivamente</w:t>
      </w:r>
      <w:r w:rsidRPr="00AE4E8D">
        <w:rPr>
          <w:lang w:val="es-ES"/>
        </w:rPr>
        <w:t>, contados desde la fecha de vencimiento de pago.</w:t>
      </w:r>
    </w:p>
    <w:p w14:paraId="200926FB" w14:textId="77777777" w:rsidR="00CB5660" w:rsidRPr="00AE4E8D" w:rsidRDefault="00CB5660" w:rsidP="006659E6">
      <w:pPr>
        <w:pStyle w:val="BH3Izquierda"/>
        <w:rPr>
          <w:lang w:val="es-ES"/>
        </w:rPr>
      </w:pPr>
      <w:bookmarkStart w:id="809" w:name="_Toc414610933"/>
      <w:bookmarkStart w:id="810" w:name="_Toc420062641"/>
      <w:bookmarkStart w:id="811" w:name="_Toc421201525"/>
      <w:r w:rsidRPr="00AE4E8D">
        <w:rPr>
          <w:lang w:val="es-ES"/>
        </w:rPr>
        <w:t>Compromisos</w:t>
      </w:r>
      <w:bookmarkEnd w:id="809"/>
      <w:bookmarkEnd w:id="810"/>
      <w:bookmarkEnd w:id="811"/>
    </w:p>
    <w:p w14:paraId="1A291FDC" w14:textId="77777777" w:rsidR="00CB5660" w:rsidRPr="00AE4E8D" w:rsidRDefault="00CB5660" w:rsidP="006659E6">
      <w:pPr>
        <w:pStyle w:val="BHTexto"/>
        <w:rPr>
          <w:lang w:val="es-ES"/>
        </w:rPr>
      </w:pPr>
      <w:r w:rsidRPr="00AE4E8D">
        <w:rPr>
          <w:lang w:val="es-ES"/>
        </w:rPr>
        <w:t>El Banco podrá asumir compromisos en relación a cada clase y/o serie de Obligaciones Negociables a ser emitida en el marco del Programa, los cuales serán especificados en el suplemento de precio aplicable a cada clase y/o serie.</w:t>
      </w:r>
    </w:p>
    <w:p w14:paraId="36B80900" w14:textId="77777777" w:rsidR="00CB5660" w:rsidRPr="00AE4E8D" w:rsidRDefault="00CB5660" w:rsidP="006659E6">
      <w:pPr>
        <w:pStyle w:val="BH3Izquierda"/>
        <w:rPr>
          <w:lang w:val="es-ES"/>
        </w:rPr>
      </w:pPr>
      <w:bookmarkStart w:id="812" w:name="_Toc414610934"/>
      <w:bookmarkStart w:id="813" w:name="_Toc420062642"/>
      <w:bookmarkStart w:id="814" w:name="_Toc421201526"/>
      <w:r w:rsidRPr="00AE4E8D">
        <w:rPr>
          <w:lang w:val="es-ES"/>
        </w:rPr>
        <w:t>Supuestos de Incumplimiento</w:t>
      </w:r>
      <w:bookmarkEnd w:id="812"/>
      <w:bookmarkEnd w:id="813"/>
      <w:bookmarkEnd w:id="814"/>
    </w:p>
    <w:p w14:paraId="4D3E02D1" w14:textId="77777777" w:rsidR="00CB5660" w:rsidRPr="00AE4E8D" w:rsidRDefault="00CB5660" w:rsidP="00EA707B">
      <w:pPr>
        <w:pStyle w:val="BHTexto"/>
        <w:rPr>
          <w:lang w:val="es-ES"/>
        </w:rPr>
      </w:pPr>
      <w:r w:rsidRPr="00AE4E8D">
        <w:rPr>
          <w:lang w:val="es-ES"/>
        </w:rPr>
        <w:t>A menos que sea especificado en el suplemento de precio aplicable relativo a una clase de Obligaciones Negociables, será un supuesto de incumplimiento con respecto a las Obligaciones Negociables de tal clase si los siguientes supuestos (cada uno de ellos un “</w:t>
      </w:r>
      <w:r w:rsidRPr="00AE4E8D">
        <w:rPr>
          <w:u w:val="single"/>
          <w:lang w:val="es-ES"/>
        </w:rPr>
        <w:t>Supuesto de Incumplimiento</w:t>
      </w:r>
      <w:r w:rsidRPr="00AE4E8D">
        <w:rPr>
          <w:lang w:val="es-ES"/>
        </w:rPr>
        <w:t xml:space="preserve">”) hubieran ocurrido y subsistieran: </w:t>
      </w:r>
    </w:p>
    <w:p w14:paraId="5EFEE025" w14:textId="77777777" w:rsidR="00CB5660" w:rsidRPr="00AE4E8D" w:rsidRDefault="00CB5660" w:rsidP="00EA707B">
      <w:pPr>
        <w:pStyle w:val="BHTexto"/>
        <w:rPr>
          <w:lang w:val="es-ES"/>
        </w:rPr>
      </w:pPr>
      <w:r w:rsidRPr="00AE4E8D">
        <w:rPr>
          <w:lang w:val="es-ES"/>
        </w:rPr>
        <w:t xml:space="preserve">(i) El Banco no pagara el capital o intereses (o Montos Adicionales, si hubieran) sobre las Obligaciones Negociables en la fecha en que venzan y sean exigibles de acuerdo con sus términos, y dicho incumplimiento continuara durante un período de diez (10) días (en el caso del capital) o quince (15) días (en el caso de los intereses o Montos Adicionales, si correspondieran); </w:t>
      </w:r>
    </w:p>
    <w:p w14:paraId="72E9CB92" w14:textId="77777777" w:rsidR="00CB5660" w:rsidRPr="00AE4E8D" w:rsidRDefault="00CB5660" w:rsidP="00B70242">
      <w:pPr>
        <w:pStyle w:val="BHTexto"/>
        <w:rPr>
          <w:lang w:val="es-ES"/>
        </w:rPr>
      </w:pPr>
      <w:r w:rsidRPr="00AE4E8D">
        <w:rPr>
          <w:lang w:val="es-ES"/>
        </w:rPr>
        <w:lastRenderedPageBreak/>
        <w:t>(ii) El Banco no cumpliera con el pago a su vencimiento de los intereses o capital de cualquier endeudamiento del Banco por un monto total adeudado de por lo menos US$50.000.000 (o su equivalente al momento de determinación) y dicho incumplimiento continuara después los plazos establecidos en el punto (i) precedente; o tuviera lugar cualquier otro supuesto de incumplimiento conforme a cualquier acuerdo o instrumento relativo a dicho endeudamiento en un monto de capital total de por lo menos US$50.000.000 (o su equivalente al momento de determinación) que resultara en la caducidad de sus plazos;</w:t>
      </w:r>
    </w:p>
    <w:p w14:paraId="0E33A1F8" w14:textId="77777777" w:rsidR="00CB5660" w:rsidRPr="00AE4E8D" w:rsidRDefault="00CB5660" w:rsidP="00A9161E">
      <w:pPr>
        <w:pStyle w:val="BHTexto"/>
        <w:rPr>
          <w:lang w:val="es-ES"/>
        </w:rPr>
      </w:pPr>
      <w:r w:rsidRPr="00AE4E8D">
        <w:rPr>
          <w:lang w:val="es-ES"/>
        </w:rPr>
        <w:t>(iii) (a) Un tribunal competente dictara una resolución o fallo firme para la designación de un administrador, liquidador, síndico o interventor para el Banco respecto de todos o sustancialmente todos los bienes del Banco y, dicha resolución o fallo en firme no fueran suspendidos y permanecieran vigentes por un período de noventa (90) días corridos; (b) el BCRA (x) iniciara un procedimiento conforme al Artículo34, 35 o 35(bis) de la Ley de Entidades Financieras</w:t>
      </w:r>
      <w:r w:rsidRPr="00AE4E8D" w:rsidDel="002B74C8">
        <w:rPr>
          <w:lang w:val="es-ES"/>
        </w:rPr>
        <w:t xml:space="preserve"> </w:t>
      </w:r>
      <w:r w:rsidRPr="00AE4E8D">
        <w:rPr>
          <w:lang w:val="es-ES"/>
        </w:rPr>
        <w:t xml:space="preserve">exigiendo al Banco la presentación de un plan conforme a dicho Artículo o (y) ordenara la suspensión provisoria, total o parcial de las actividades del Banco o de una subsidiaria significativa de conformidad con el Artículo 49 de la carta orgánica del BCRA. </w:t>
      </w:r>
    </w:p>
    <w:p w14:paraId="6DD9595E" w14:textId="77777777" w:rsidR="00CB5660" w:rsidRPr="00AE4E8D" w:rsidRDefault="00CB5660" w:rsidP="00A9161E">
      <w:pPr>
        <w:pStyle w:val="BHTexto"/>
        <w:rPr>
          <w:lang w:val="es-ES"/>
        </w:rPr>
      </w:pPr>
      <w:r w:rsidRPr="00AE4E8D">
        <w:rPr>
          <w:lang w:val="es-ES"/>
        </w:rPr>
        <w:t>(iv) El Banco (a) presentara un plan de regularización y saneamiento conforme a la Ley de Entidades Financieras, la Ley de Concursos y Quiebras de Argentina o cualquier ley aplicable en materia de quiebras, concursos u otra ley similar vigente actualmente o en el futuro, (b) aceptara la designación o la toma de posesión por parte de un administrador, síndico, fiduciario o interventor del Banco para todos o sustancialmente la totalidad de los bienes del Banco, o (c) efectuara cualquier cesión en beneficio de los acreedores en general; o se torna ilegal que el Banco realice o cumpla con sus obligaciones de pago en virtud de los títulos de cada Serie y/o Clase.</w:t>
      </w:r>
    </w:p>
    <w:p w14:paraId="464666C8" w14:textId="77777777" w:rsidR="00CB5660" w:rsidRPr="00AE4E8D" w:rsidRDefault="00CB5660" w:rsidP="00A9161E">
      <w:pPr>
        <w:pStyle w:val="BHTexto"/>
        <w:rPr>
          <w:lang w:val="es-ES"/>
        </w:rPr>
      </w:pPr>
      <w:r w:rsidRPr="00AE4E8D">
        <w:rPr>
          <w:lang w:val="es-ES"/>
        </w:rPr>
        <w:t xml:space="preserve">Entonces, los tenedores de no menos del 25% del valor nominal de los títulos de cada serie o clase, por medio de una notificación escrita diligenciada al Banco, podrán manifestar que todos los títulos de dicha serie o clase que en ese momento se encontraban sin amortizar, de inmediato se transformen en exigibles y pagaderos; </w:t>
      </w:r>
      <w:r w:rsidRPr="00AE4E8D">
        <w:rPr>
          <w:i/>
          <w:lang w:val="es-ES"/>
        </w:rPr>
        <w:t>quedando establecido</w:t>
      </w:r>
      <w:r w:rsidRPr="00AE4E8D">
        <w:rPr>
          <w:lang w:val="es-ES"/>
        </w:rPr>
        <w:t xml:space="preserve"> que en los Supuestos de Incumplimiento (iii) y (iv) del presente Prospecto, respecto del Banco, todas las obligaciones negociables deberán, sin necesidad de notificarle al Banco o realizar ningún otro acto por parte del Fiduciario (en caso de ser designado) o cualquier tenedor de alguna obligación negociable, tornarse pagaderas y exigibles de inmediato; </w:t>
      </w:r>
      <w:r w:rsidRPr="00AE4E8D">
        <w:rPr>
          <w:i/>
          <w:lang w:val="es-ES"/>
        </w:rPr>
        <w:t>quedando asimismo establecido</w:t>
      </w:r>
      <w:r w:rsidRPr="00AE4E8D">
        <w:rPr>
          <w:lang w:val="es-ES"/>
        </w:rPr>
        <w:t xml:space="preserve"> que ninguno de los hechos o circunstancias descriptos anteriormente constituirán un Supuesto de Incumplimiento si surgen o de otro modo se relacionan con Deuda pendiente a la fecha del contrato de fideicomiso de fecha 14 de enero de 2004. En caso de que haya acaecido y subsista el Supuesto de Incumplimiento establecido en (ii) anterior en relación con los títulos de cualquier Serie y/o Clase, dicho Supuesto de Incumplimiento será rescindido y anulado automáticamente luego de que el Supuesto de Incumplimiento o Incumplimiento en el pago que desencadenó el Supuesto de Incumplimiento conforme al (ii) sea remediado o subsanado por el Banco o sea dispensado por los tenedores de la respectiva Deuda. Dicha rescisión o anulación no afectará ningún Supuesto de Incumplimiento posterior ni perjudicará cualquier derecho derivado de aquel.</w:t>
      </w:r>
    </w:p>
    <w:p w14:paraId="15E1D569" w14:textId="77777777" w:rsidR="00CB5660" w:rsidRPr="00AE4E8D" w:rsidRDefault="00CB5660" w:rsidP="00EA707B">
      <w:pPr>
        <w:pStyle w:val="BHTexto"/>
        <w:rPr>
          <w:lang w:val="es-ES"/>
        </w:rPr>
      </w:pPr>
      <w:r w:rsidRPr="00AE4E8D">
        <w:rPr>
          <w:lang w:val="es-ES"/>
        </w:rPr>
        <w:t>Al producirse cualquiera de tales declaraciones de caducidad anticipada de plazos, el capital de las Obligaciones Negociables cuyo vencimiento sea anticipado de este modo y los intereses devengados sobre ellas y todos los demás montos pagaderos en relación con dichas Obligaciones Negociables se tornarán y serán inmediatamente exigibles y pagaderos. Si el Supuesto de Incumplimiento o Supuestos de Incumplimiento que dan origen a cualquiera de tales declaraciones de caducidad anticipada de plazos fuera subsanado luego de tal declaración, dicha declaración podrá ser rescindida por los tenedores de dichos títulos.</w:t>
      </w:r>
    </w:p>
    <w:p w14:paraId="13C4CCF4" w14:textId="77777777" w:rsidR="00CB5660" w:rsidRPr="00AE4E8D" w:rsidRDefault="00CB5660" w:rsidP="006659E6">
      <w:pPr>
        <w:pStyle w:val="BH3Izquierda"/>
        <w:rPr>
          <w:lang w:val="es-ES"/>
        </w:rPr>
      </w:pPr>
      <w:bookmarkStart w:id="815" w:name="_Toc414610935"/>
      <w:bookmarkStart w:id="816" w:name="_Toc420062643"/>
      <w:bookmarkStart w:id="817" w:name="_Toc421201527"/>
      <w:r w:rsidRPr="00AE4E8D">
        <w:rPr>
          <w:lang w:val="es-ES"/>
        </w:rPr>
        <w:t>Agentes de Pago; Agentes de Transferencia; Agentes de Registro</w:t>
      </w:r>
      <w:bookmarkEnd w:id="815"/>
      <w:bookmarkEnd w:id="816"/>
      <w:bookmarkEnd w:id="817"/>
    </w:p>
    <w:p w14:paraId="7FF75BC4" w14:textId="77777777" w:rsidR="00CB5660" w:rsidRPr="00AE4E8D" w:rsidRDefault="00CB5660" w:rsidP="006659E6">
      <w:pPr>
        <w:pStyle w:val="BHTexto"/>
        <w:rPr>
          <w:lang w:val="es-ES"/>
        </w:rPr>
      </w:pPr>
      <w:r w:rsidRPr="00AE4E8D">
        <w:rPr>
          <w:lang w:val="es-ES"/>
        </w:rPr>
        <w:t xml:space="preserve">Las Obligaciones Negociables podrán ser o no emitidas en el marco de convenios de fideicomiso y/o de convenios de agencia que oportunamente el Banco celebre con entidades que actúen como fiduciarios y/o agentes. Tales fiduciarios y/o agentes desempeñarán funciones solamente respecto de las clases que se especifiquen en el suplemento de precio respectivo y tendrán los derechos y obligaciones que se especifiquen en tales documentos. La existencia de fiduciarios y agentes se detallará en el suplemento de precio correspondiente, los cuales serán indicados en la última página del suplemento de precio correspondiente. </w:t>
      </w:r>
    </w:p>
    <w:p w14:paraId="4F887812" w14:textId="77777777" w:rsidR="00CB5660" w:rsidRPr="00AE4E8D" w:rsidRDefault="00CB5660" w:rsidP="006659E6">
      <w:pPr>
        <w:pStyle w:val="BH3Izquierda"/>
        <w:rPr>
          <w:lang w:val="es-ES"/>
        </w:rPr>
      </w:pPr>
      <w:bookmarkStart w:id="818" w:name="_Toc414610936"/>
      <w:bookmarkStart w:id="819" w:name="_Toc420062644"/>
      <w:bookmarkStart w:id="820" w:name="_Toc421201528"/>
      <w:r w:rsidRPr="00AE4E8D">
        <w:rPr>
          <w:lang w:val="es-ES"/>
        </w:rPr>
        <w:lastRenderedPageBreak/>
        <w:t>Notificaciones</w:t>
      </w:r>
      <w:bookmarkEnd w:id="818"/>
      <w:bookmarkEnd w:id="819"/>
      <w:bookmarkEnd w:id="820"/>
    </w:p>
    <w:p w14:paraId="41732CC5" w14:textId="77777777" w:rsidR="00CB5660" w:rsidRPr="00AE4E8D" w:rsidRDefault="00CB5660" w:rsidP="006659E6">
      <w:pPr>
        <w:pStyle w:val="BHTexto"/>
        <w:rPr>
          <w:lang w:val="es-ES"/>
        </w:rPr>
      </w:pPr>
      <w:r w:rsidRPr="00AE4E8D">
        <w:rPr>
          <w:lang w:val="es-ES"/>
        </w:rPr>
        <w:t>Todas las notificaciones a los tenedores de Obligaciones Negociables se considerarán debidamente efectuadas si se publican por 1 día en l</w:t>
      </w:r>
      <w:r w:rsidR="008D5572" w:rsidRPr="00AE4E8D">
        <w:rPr>
          <w:lang w:val="es-ES"/>
        </w:rPr>
        <w:t>os Sistemas informativos de los Mercados</w:t>
      </w:r>
      <w:r w:rsidR="007D0260" w:rsidRPr="00AE4E8D">
        <w:rPr>
          <w:lang w:val="es-ES"/>
        </w:rPr>
        <w:t>,</w:t>
      </w:r>
      <w:r w:rsidRPr="00AE4E8D">
        <w:rPr>
          <w:lang w:val="es-ES"/>
        </w:rPr>
        <w:t xml:space="preserve"> </w:t>
      </w:r>
      <w:r w:rsidR="007D0260" w:rsidRPr="00AE4E8D">
        <w:rPr>
          <w:lang w:val="es-ES"/>
        </w:rPr>
        <w:t>todo ello es en virtud de la delegación de facultades otorgadas por el M</w:t>
      </w:r>
      <w:r w:rsidR="0013533F" w:rsidRPr="00AE4E8D">
        <w:rPr>
          <w:lang w:val="es-ES"/>
        </w:rPr>
        <w:t>ercado de Valores S.A.</w:t>
      </w:r>
      <w:r w:rsidR="007D0260" w:rsidRPr="00AE4E8D">
        <w:rPr>
          <w:lang w:val="es-ES"/>
        </w:rPr>
        <w:t xml:space="preserve"> a la BCBA en materia de constitución de Tribunales Arbitrales, de conformidad con lo dispuesto en la Resolución Nº17.501 de la CNV </w:t>
      </w:r>
      <w:r w:rsidRPr="00AE4E8D">
        <w:rPr>
          <w:lang w:val="es-ES"/>
        </w:rPr>
        <w:t>y en el sitio web de la CNV (</w:t>
      </w:r>
      <w:hyperlink r:id="rId39" w:history="1">
        <w:r w:rsidRPr="00AE4E8D">
          <w:rPr>
            <w:color w:val="0000FF"/>
            <w:u w:val="single"/>
            <w:lang w:val="es-ES"/>
          </w:rPr>
          <w:t>www.cnv.gob.ar</w:t>
        </w:r>
      </w:hyperlink>
      <w:r w:rsidRPr="00AE4E8D">
        <w:rPr>
          <w:lang w:val="es-ES"/>
        </w:rPr>
        <w:t xml:space="preserve">) como “Hechos Relevantes” en </w:t>
      </w:r>
      <w:hyperlink r:id="rId40" w:history="1">
        <w:r w:rsidRPr="00AE4E8D">
          <w:rPr>
            <w:color w:val="0000FF"/>
            <w:u w:val="single"/>
            <w:lang w:val="es-ES"/>
          </w:rPr>
          <w:t>www.cnv.gob.ar</w:t>
        </w:r>
      </w:hyperlink>
      <w:r w:rsidRPr="00AE4E8D">
        <w:rPr>
          <w:lang w:val="es-ES"/>
        </w:rPr>
        <w:t>, mientras las Obligaciones Negociables de cualquier serie y/o clase se encuentren listadas en la BCBA, o en el órgano informativo correspondiente del mercado autorizado en donde se encuentren listados las Obligaciones Negociables, y, en la medida en que sea requerido por ley, en el Boletín Oficial de la República Argentina (“</w:t>
      </w:r>
      <w:r w:rsidRPr="00AE4E8D">
        <w:rPr>
          <w:u w:val="single"/>
          <w:lang w:val="es-ES"/>
        </w:rPr>
        <w:t>Boletín Oficial</w:t>
      </w:r>
      <w:r w:rsidRPr="00AE4E8D">
        <w:rPr>
          <w:lang w:val="es-ES"/>
        </w:rPr>
        <w:t>”). En el caso en que las Obligaciones Negociables de cualquier serie y/o clase que no tuvieren autorización para su listado en mercados autorizados podrá notificarse a sus tenedores, a opción del Banco, mediante publicación por un día en un diario de amplia circulación de la jurisdicción de que se trate o, en el caso en que no correspondiere notificar a la totalidad de los tenedores, en forma individual a los domicilios que figuren en el registro correspondiente a la serie y/o clase de que se trate. Cualquier notificación de la forma indicada se considerará efectuada el día siguiente al día en que se realizó la última publicación y/o recepción. El costo de cualquier publicación y/o notificación estará a cargo del Banco.</w:t>
      </w:r>
      <w:r w:rsidR="007D0260" w:rsidRPr="00AE4E8D">
        <w:rPr>
          <w:lang w:val="es-ES"/>
        </w:rPr>
        <w:t xml:space="preserve"> </w:t>
      </w:r>
    </w:p>
    <w:p w14:paraId="7A89606C" w14:textId="77777777" w:rsidR="00CB5660" w:rsidRPr="00AE4E8D" w:rsidRDefault="00CB5660" w:rsidP="006659E6">
      <w:pPr>
        <w:pStyle w:val="BH3Izquierda"/>
        <w:rPr>
          <w:lang w:val="es-ES"/>
        </w:rPr>
      </w:pPr>
      <w:bookmarkStart w:id="821" w:name="_Toc414610937"/>
      <w:bookmarkStart w:id="822" w:name="_Toc420062645"/>
      <w:bookmarkStart w:id="823" w:name="_Toc421201529"/>
      <w:r w:rsidRPr="00AE4E8D">
        <w:rPr>
          <w:lang w:val="es-ES"/>
        </w:rPr>
        <w:t>Indemnización relativa a la moneda de sentencia</w:t>
      </w:r>
      <w:bookmarkEnd w:id="821"/>
      <w:bookmarkEnd w:id="822"/>
      <w:bookmarkEnd w:id="823"/>
    </w:p>
    <w:p w14:paraId="03450DCB" w14:textId="77777777" w:rsidR="00CB5660" w:rsidRPr="00AE4E8D" w:rsidRDefault="00CB5660" w:rsidP="006659E6">
      <w:pPr>
        <w:pStyle w:val="BHTexto"/>
        <w:rPr>
          <w:lang w:val="es-ES"/>
        </w:rPr>
      </w:pPr>
      <w:r w:rsidRPr="00AE4E8D">
        <w:rPr>
          <w:lang w:val="es-ES"/>
        </w:rPr>
        <w:t>En caso de que la sentencia o fallo dictado por cualquier tribunal determinara el pago de un monto con respecto a cualquier Obligación Negociable en una moneda (la "moneda de sentencia") distinta de la moneda (la “moneda de denominación") en que están denominadas dichas Obligaciones Negociables o de la moneda en la que debe efectuarse el pago, el Banco indemnizará al tenedor correspondiente por cualquier diferencia resultante o emergente de cualquier variación en el tipo de cambio vigente entre la fecha en la que teóricamente debería convertirse el monto en la moneda de denominación a la moneda de sentencia a los fines de cumplir con lo dispuesto por dicha sentencia o fallo y la fecha efectiva de pago de dicho monto. Esta indemnización constituirá una obligación separada e independiente de las otras obligaciones contenidas en los términos y condiciones de las Obligaciones Negociables, otorgará el derecho a iniciar acción legal separada e independiente, se aplicará independientemente de cualquier indulgencia concedida oportunamente y continuará en plena vigencia y validez independientemente de cualquier sentencia u orden por una suma o sumas liquidadas en relación con montos adeudados con respecto a la Obligación Negociable correspondiente conforme a dicha sentencia u orden.</w:t>
      </w:r>
    </w:p>
    <w:p w14:paraId="0B2ED048" w14:textId="77777777" w:rsidR="00CB5660" w:rsidRPr="00AE4E8D" w:rsidRDefault="00CB5660" w:rsidP="006659E6">
      <w:pPr>
        <w:pStyle w:val="BH3Izquierda"/>
        <w:rPr>
          <w:lang w:val="es-ES"/>
        </w:rPr>
      </w:pPr>
      <w:bookmarkStart w:id="824" w:name="_Toc414610938"/>
      <w:bookmarkStart w:id="825" w:name="_Toc420062646"/>
      <w:bookmarkStart w:id="826" w:name="_Toc421201530"/>
      <w:r w:rsidRPr="00AE4E8D">
        <w:rPr>
          <w:lang w:val="es-ES"/>
        </w:rPr>
        <w:t>Acción Ejecutiva</w:t>
      </w:r>
      <w:bookmarkEnd w:id="824"/>
      <w:bookmarkEnd w:id="825"/>
      <w:bookmarkEnd w:id="826"/>
    </w:p>
    <w:p w14:paraId="1DF92218" w14:textId="77777777" w:rsidR="00CB5660" w:rsidRPr="00AE4E8D" w:rsidRDefault="00CB5660" w:rsidP="006659E6">
      <w:pPr>
        <w:pStyle w:val="BHTexto"/>
        <w:rPr>
          <w:lang w:val="es-ES"/>
        </w:rPr>
      </w:pPr>
      <w:r w:rsidRPr="00AE4E8D">
        <w:rPr>
          <w:lang w:val="es-ES"/>
        </w:rPr>
        <w:t>Según el Artículo 29 de la Ley de Obligaciones Negociables, las Obligaciones Negociables que revisten el carácter de Obligaciones Negociables otorgan a sus titulares el derecho de iniciar acción ejecutiva; por lo tanto cualquier depositario, de acuerdo con la Ley de Mercado de Capitales, se encuentra habilitado para expedir certificados respecto de las Obligaciones Negociables representadas por títulos globales, a favor de cualquier titular beneficiario. Estos certificados habilitan a sus titulares beneficiarios a demandar judicialmente ante cualquier tribunal competente en la Argentina, incluyendo la vía ejecutiva, con el fin de obtener cualquier suma adeudada bajo las Obligaciones Negociables.</w:t>
      </w:r>
    </w:p>
    <w:p w14:paraId="799DA535" w14:textId="77777777" w:rsidR="00CB5660" w:rsidRPr="00AE4E8D" w:rsidRDefault="00CB5660" w:rsidP="006659E6">
      <w:pPr>
        <w:pStyle w:val="BH3Izquierda"/>
        <w:rPr>
          <w:lang w:val="es-ES"/>
        </w:rPr>
      </w:pPr>
      <w:bookmarkStart w:id="827" w:name="_Toc414610939"/>
      <w:bookmarkStart w:id="828" w:name="_Toc420062647"/>
      <w:bookmarkStart w:id="829" w:name="_Toc421201531"/>
      <w:r w:rsidRPr="00AE4E8D">
        <w:rPr>
          <w:lang w:val="es-ES"/>
        </w:rPr>
        <w:t>Legislación aplicable</w:t>
      </w:r>
      <w:bookmarkEnd w:id="827"/>
      <w:bookmarkEnd w:id="828"/>
      <w:bookmarkEnd w:id="829"/>
    </w:p>
    <w:p w14:paraId="2FD7E38B" w14:textId="77777777" w:rsidR="00CB5660" w:rsidRPr="00AE4E8D" w:rsidRDefault="00CB5660" w:rsidP="006659E6">
      <w:pPr>
        <w:pStyle w:val="BHTexto"/>
        <w:rPr>
          <w:lang w:val="es-ES"/>
        </w:rPr>
      </w:pPr>
      <w:r w:rsidRPr="00AE4E8D">
        <w:rPr>
          <w:lang w:val="es-ES"/>
        </w:rPr>
        <w:t>La Ley de Obligaciones Negociables establece los requisitos para que las Obligaciones Negociables revistan tal carácter, y dicha ley, junto con la Ley General de Sociedades Argentina y modificatorias, y demás leyes y reglamentaciones argentinas regirán la capacidad y autoridad societaria del Banco para emitir y entregar las Obligaciones Negociables, y la autorización de la CNV para la creación del Programa y la oferta de las Obligaciones Negociables en Argentina. Las cuestiones relacionadas con las Obligaciones Negociables se rigen por y deberán ser interpretadas de conformidad con las leyes de la Argentina. Sin embargo, todas las cuestiones relacionadas con las Obligaciones Negociables podrán regirse e interpretarse por las leyes del Estado de nueva york o por las leyes argentinas o por las de cualquier otra jurisdicción, en cada caso si así se especificara en el suplemento de precio correspondiente. La información sobre sentencias, jurisdicción, traslado de notificaciones y renuncia a inmunidad se detallará en el suplemento de precio respectivo.</w:t>
      </w:r>
    </w:p>
    <w:p w14:paraId="08412257" w14:textId="77777777" w:rsidR="00CB5660" w:rsidRPr="00AE4E8D" w:rsidRDefault="00CB5660" w:rsidP="00431671">
      <w:pPr>
        <w:pStyle w:val="BH3Izquierda"/>
        <w:rPr>
          <w:lang w:val="es-ES"/>
        </w:rPr>
      </w:pPr>
      <w:r w:rsidRPr="00AE4E8D">
        <w:rPr>
          <w:lang w:val="es-ES"/>
        </w:rPr>
        <w:lastRenderedPageBreak/>
        <w:t>Jurisdicción</w:t>
      </w:r>
    </w:p>
    <w:p w14:paraId="45CF2B16" w14:textId="77777777" w:rsidR="00CB5660" w:rsidRPr="00AE4E8D" w:rsidRDefault="00CB5660" w:rsidP="006659E6">
      <w:pPr>
        <w:pStyle w:val="BHTexto"/>
        <w:rPr>
          <w:lang w:val="es-ES"/>
        </w:rPr>
      </w:pPr>
      <w:r w:rsidRPr="00AE4E8D">
        <w:rPr>
          <w:lang w:val="es-ES"/>
        </w:rPr>
        <w:t xml:space="preserve">En caso que las Obligaciones Negociables se listen en </w:t>
      </w:r>
      <w:r w:rsidR="0013533F" w:rsidRPr="00AE4E8D">
        <w:rPr>
          <w:lang w:val="es-ES"/>
        </w:rPr>
        <w:t>BYMA</w:t>
      </w:r>
      <w:r w:rsidRPr="00AE4E8D">
        <w:rPr>
          <w:lang w:val="es-ES"/>
        </w:rPr>
        <w:t>, el Banco se someterá irrevocablemente a la jurisdicción del Tribunal de Arbitraje General de la Bolsa de Comercio de Buenos Aires</w:t>
      </w:r>
      <w:r w:rsidR="004945D3" w:rsidRPr="00AE4E8D">
        <w:rPr>
          <w:lang w:val="es-ES"/>
        </w:rPr>
        <w:t xml:space="preserve"> (en ejercicio de las facultades delegadas por ByMA a la BCBA en virtud de la Resolución Nº18.629)</w:t>
      </w:r>
      <w:r w:rsidRPr="00AE4E8D">
        <w:rPr>
          <w:lang w:val="es-ES"/>
        </w:rPr>
        <w:t xml:space="preserve"> en sus relaciones con los tenedores de las Obligaciones Negociables, todo ello es en virtud de la delegación de facultades otorgadas por el M</w:t>
      </w:r>
      <w:r w:rsidR="0013533F" w:rsidRPr="00AE4E8D">
        <w:rPr>
          <w:lang w:val="es-ES"/>
        </w:rPr>
        <w:t>ercado de Valores S.A.</w:t>
      </w:r>
      <w:r w:rsidRPr="00AE4E8D">
        <w:rPr>
          <w:lang w:val="es-ES"/>
        </w:rPr>
        <w:t xml:space="preserve"> a la BCBA en materia de constitución de Tribunales Arbitrales, de conformidad con lo dispuesto en la Resolución Nº 17.501 de la CNV. Sin perjuicio de ello, de conformidad con el Artículo 46 de la Ley de Mercado de Capitales, los tenedores podrán someter sus controversias en relación con las Obligaciones Negociables a la jurisdicción no exclusiva del Tribunal Arbitral de la BCBA o el que se cree en el futuro de conformidad con el artículo 46 de la Ley de Mercado de Capitales o bien a la de los tribunales judiciales en lo comercial de la Ciudad Autónoma de Buenos Aires, a opción exclusiva del tenedor en cuestión. A su vez, en los casos en que las normas vigentes establezcan la acumulación de acciones entabladas con idéntica finalidad ante un solo tribunal, la acumulación se efectuará ante el tribunal judicial. Sin perjuicio de ello, el Banco se someterá irrevocablemente a la jurisdicción no exclusiva de los tribunales judiciales competentes con asiento en la Ciudad Autónoma de Buenos Aires, incluidos los juzgados de primera instancia en lo comercial, o si fuese el caso, a cualquier tribunal que se indique en el correspondiente Suplemento de Precio.</w:t>
      </w:r>
    </w:p>
    <w:p w14:paraId="37B4CFC6" w14:textId="77777777" w:rsidR="00CB5660" w:rsidRPr="00AE4E8D" w:rsidRDefault="00CB5660" w:rsidP="006659E6">
      <w:pPr>
        <w:pStyle w:val="BH2Izquierda"/>
        <w:rPr>
          <w:lang w:val="es-ES"/>
        </w:rPr>
      </w:pPr>
      <w:bookmarkStart w:id="830" w:name="_Toc414610940"/>
      <w:bookmarkStart w:id="831" w:name="_Toc420062648"/>
      <w:bookmarkStart w:id="832" w:name="_Toc421201532"/>
      <w:bookmarkStart w:id="833" w:name="_Toc495973060"/>
      <w:bookmarkStart w:id="834" w:name="_Toc495399967"/>
      <w:r w:rsidRPr="00AE4E8D">
        <w:rPr>
          <w:iCs/>
          <w:lang w:val="es-ES"/>
        </w:rPr>
        <w:t xml:space="preserve">b) </w:t>
      </w:r>
      <w:r w:rsidRPr="00AE4E8D">
        <w:rPr>
          <w:lang w:val="es-ES"/>
        </w:rPr>
        <w:t>Plan de Distribución</w:t>
      </w:r>
      <w:bookmarkEnd w:id="830"/>
      <w:bookmarkEnd w:id="831"/>
      <w:bookmarkEnd w:id="832"/>
      <w:bookmarkEnd w:id="833"/>
      <w:bookmarkEnd w:id="834"/>
    </w:p>
    <w:p w14:paraId="2E939E2C" w14:textId="77777777" w:rsidR="00CB5660" w:rsidRPr="00AE4E8D" w:rsidRDefault="00CB5660" w:rsidP="006659E6">
      <w:pPr>
        <w:pStyle w:val="BHTexto"/>
        <w:rPr>
          <w:lang w:val="es-ES"/>
        </w:rPr>
      </w:pPr>
      <w:r w:rsidRPr="00AE4E8D">
        <w:rPr>
          <w:lang w:val="es-ES"/>
        </w:rPr>
        <w:t>Véase “</w:t>
      </w:r>
      <w:r w:rsidRPr="00AE4E8D">
        <w:rPr>
          <w:i/>
          <w:lang w:val="es-ES"/>
        </w:rPr>
        <w:t>Suscripción y Venta</w:t>
      </w:r>
      <w:r w:rsidRPr="00AE4E8D">
        <w:rPr>
          <w:lang w:val="es-ES"/>
        </w:rPr>
        <w:t>”.</w:t>
      </w:r>
    </w:p>
    <w:p w14:paraId="7027BD25" w14:textId="77777777" w:rsidR="00CB5660" w:rsidRPr="00AE4E8D" w:rsidRDefault="00CB5660" w:rsidP="00CC3B07">
      <w:pPr>
        <w:pStyle w:val="BH1Centro"/>
        <w:rPr>
          <w:rFonts w:ascii="Times New Roman" w:hAnsi="Times New Roman"/>
          <w:highlight w:val="cyan"/>
          <w:lang w:val="es-ES"/>
        </w:rPr>
      </w:pPr>
      <w:r w:rsidRPr="00AE4E8D">
        <w:rPr>
          <w:rFonts w:ascii="Times New Roman" w:hAnsi="Times New Roman"/>
          <w:highlight w:val="cyan"/>
          <w:lang w:val="es-ES"/>
        </w:rPr>
        <w:br w:type="page"/>
      </w:r>
      <w:bookmarkStart w:id="835" w:name="_Toc420062649"/>
      <w:bookmarkStart w:id="836" w:name="_Toc421201533"/>
      <w:bookmarkStart w:id="837" w:name="_Toc449010441"/>
      <w:bookmarkStart w:id="838" w:name="_Toc487734750"/>
      <w:bookmarkStart w:id="839" w:name="_Toc495973061"/>
      <w:bookmarkStart w:id="840" w:name="_Toc495399968"/>
      <w:r w:rsidRPr="00AE4E8D">
        <w:rPr>
          <w:rFonts w:ascii="Times New Roman" w:hAnsi="Times New Roman"/>
          <w:lang w:val="es-ES"/>
        </w:rPr>
        <w:lastRenderedPageBreak/>
        <w:t>SUSCRIPCIÓN Y VENTA</w:t>
      </w:r>
      <w:bookmarkEnd w:id="835"/>
      <w:bookmarkEnd w:id="836"/>
      <w:bookmarkEnd w:id="837"/>
      <w:bookmarkEnd w:id="838"/>
      <w:bookmarkEnd w:id="839"/>
      <w:bookmarkEnd w:id="840"/>
    </w:p>
    <w:p w14:paraId="3F90395D" w14:textId="77777777" w:rsidR="00CB5660" w:rsidRPr="00AE4E8D" w:rsidRDefault="00CB5660" w:rsidP="008962C3">
      <w:pPr>
        <w:pStyle w:val="BHTexto"/>
        <w:rPr>
          <w:lang w:val="es-ES"/>
        </w:rPr>
      </w:pPr>
      <w:r w:rsidRPr="00AE4E8D">
        <w:rPr>
          <w:lang w:val="es-ES"/>
        </w:rPr>
        <w:t>Sujeto a los términos y condiciones establecidos en un contrato de colocación (el “</w:t>
      </w:r>
      <w:r w:rsidRPr="00AE4E8D">
        <w:rPr>
          <w:u w:val="single"/>
          <w:lang w:val="es-ES"/>
        </w:rPr>
        <w:t>Contrato de Colocación</w:t>
      </w:r>
      <w:r w:rsidRPr="00AE4E8D">
        <w:rPr>
          <w:lang w:val="es-ES"/>
        </w:rPr>
        <w:t>”) a ser celebrado entre nosotros y los diversos colocadores, podremos ofrecer las Obligaciones Negociables periódicamente a través de colocadores. Podremos pagar al colocador respectivo una comisión por las ventas realizadas a través del mismo en calidad de colocador.</w:t>
      </w:r>
    </w:p>
    <w:p w14:paraId="1AF5879E" w14:textId="77777777" w:rsidR="00CB5660" w:rsidRPr="00AE4E8D" w:rsidRDefault="00CB5660" w:rsidP="008962C3">
      <w:pPr>
        <w:pStyle w:val="BHTexto"/>
        <w:rPr>
          <w:lang w:val="es-ES"/>
        </w:rPr>
      </w:pPr>
      <w:r w:rsidRPr="00AE4E8D">
        <w:rPr>
          <w:lang w:val="es-ES"/>
        </w:rPr>
        <w:t>Podremos asimismo vender Obligaciones Negociables a los colocadores en carácter de mandante por cuenta propia con un descuento o comisión que se acordará. Asimismo, las Obligaciones Negociables podrán ser vendidas periódicamente a través de un sindicato de entidades financieras en representación de las cuales un colocador actuará como organizador principal (un “</w:t>
      </w:r>
      <w:r w:rsidRPr="00AE4E8D">
        <w:rPr>
          <w:u w:val="single"/>
          <w:lang w:val="es-ES"/>
        </w:rPr>
        <w:t>Organizador Principal</w:t>
      </w:r>
      <w:r w:rsidRPr="00AE4E8D">
        <w:rPr>
          <w:lang w:val="es-ES"/>
        </w:rPr>
        <w:t>”). Dichos Obligaciones Negociables podrán ser revendidas a los precios de mercado en vigencia, o a precios relacionados con ellos, en el momento de dicha reventa, según lo determine el colocador pertinente.</w:t>
      </w:r>
    </w:p>
    <w:p w14:paraId="58608247" w14:textId="77777777" w:rsidR="00CB5660" w:rsidRPr="00AE4E8D" w:rsidRDefault="00CB5660" w:rsidP="008962C3">
      <w:pPr>
        <w:pStyle w:val="BHTexto"/>
        <w:rPr>
          <w:lang w:val="es-ES"/>
        </w:rPr>
      </w:pPr>
      <w:r w:rsidRPr="00AE4E8D">
        <w:rPr>
          <w:lang w:val="es-ES"/>
        </w:rPr>
        <w:t>Nos hemos reservado el derecho de vender Obligaciones Negociables directamente en nuestro propio nombre, en cuyo caso no serán exigibles comisiones en relación con ninguna de dichas ventas.</w:t>
      </w:r>
    </w:p>
    <w:p w14:paraId="0972BB62" w14:textId="77777777" w:rsidR="00CB5660" w:rsidRPr="00AE4E8D" w:rsidRDefault="00CB5660" w:rsidP="008962C3">
      <w:pPr>
        <w:pStyle w:val="BHTexto"/>
        <w:rPr>
          <w:lang w:val="es-ES"/>
        </w:rPr>
      </w:pPr>
      <w:r w:rsidRPr="00AE4E8D">
        <w:rPr>
          <w:lang w:val="es-ES"/>
        </w:rPr>
        <w:t>Nos hemos obligado a indemnizar a los colocadores contra determinadas obligaciones y a reembolsar determinados gastos.</w:t>
      </w:r>
    </w:p>
    <w:p w14:paraId="118B4D0F" w14:textId="77777777" w:rsidR="00CB5660" w:rsidRPr="00AE4E8D" w:rsidRDefault="00CB5660" w:rsidP="008962C3">
      <w:pPr>
        <w:pStyle w:val="BHTexto"/>
        <w:rPr>
          <w:lang w:val="es-ES"/>
        </w:rPr>
      </w:pPr>
      <w:r w:rsidRPr="00AE4E8D">
        <w:rPr>
          <w:lang w:val="es-ES"/>
        </w:rPr>
        <w:t>El suplemento de precio aplicable establecerá los términos de la oferta de cualesquiera Obligaciones Negociables, incluyendo su precio de compra y el destino de los fondos derivados de su venta, cualquier descuento de suscripción o concesión permitido o restablecido o pagado a los colocadores, cualquier mercado de valores en el que coticen dichas Obligaciones Negociables y cualquier restricción a la venta y entrega de Obligaciones Negociables. Los métodos de colocación a emplear serán determinados en oportunidad de la colocación de cada clase y/o serie de acuerdo con las leyes vigentes a esa fecha, y estarán detallados en el suplemento de precio aplicable.</w:t>
      </w:r>
    </w:p>
    <w:p w14:paraId="2818039B" w14:textId="77777777" w:rsidR="00CB5660" w:rsidRPr="00AE4E8D" w:rsidRDefault="00CB5660" w:rsidP="008962C3">
      <w:pPr>
        <w:pStyle w:val="BHTexto"/>
        <w:rPr>
          <w:lang w:val="es-ES"/>
        </w:rPr>
      </w:pPr>
      <w:r w:rsidRPr="00AE4E8D">
        <w:rPr>
          <w:lang w:val="es-ES"/>
        </w:rPr>
        <w:t>Nos reservamos el derecho de retirar, cancelar o modificar cualquier oferta de Obligaciones Negociables prevista en el presente o en cualquier suplemento de precio, mediante la publicación de un aviso en los mismos medios en los que se haya anunciado dicha oferta de Obligaciones Negociables y en un diario de amplia circulación de Argentina. Podremos rechazar ofertas de compra de Obligaciones Negociables parcialmente; siempre que dicho rechazo se efectúe en forma proporcional. Si se designaran colocadores, cada colocador tendrá derecho a rechazar parcialmente cualquier oferta de compra de Obligaciones Negociables recibida en su carácter de agente; siempre que lo haga en forma proporcional.</w:t>
      </w:r>
    </w:p>
    <w:p w14:paraId="3C4F0BE7" w14:textId="77777777" w:rsidR="00CB5660" w:rsidRPr="00AE4E8D" w:rsidRDefault="00CB5660" w:rsidP="008962C3">
      <w:pPr>
        <w:pStyle w:val="BHTexto"/>
        <w:rPr>
          <w:lang w:val="es-ES"/>
        </w:rPr>
      </w:pPr>
      <w:r w:rsidRPr="00AE4E8D">
        <w:rPr>
          <w:lang w:val="es-ES"/>
        </w:rPr>
        <w:t>Todo colocador y/o agente que participe de la distribución de Obligaciones Negociables podrá ser considerado un suscriptor en firme, y todo descuento o comisión recibidos por ellos por la venta o reventa de Obligaciones Negociables podrán ser considerados descuentos y comisiones por suscripción de acuerdo con la Ley de Obligaciones Negociables. Los agentes y/o colocadores podrán ser nuestros clientes, realizar negocios o prestarnos servicios o a nuestras afiliadas en el giro ordinario de los negocios.</w:t>
      </w:r>
    </w:p>
    <w:p w14:paraId="3F887868" w14:textId="77777777" w:rsidR="00CB5660" w:rsidRPr="00AE4E8D" w:rsidRDefault="00CB5660" w:rsidP="008962C3">
      <w:pPr>
        <w:pStyle w:val="BHTexto"/>
        <w:rPr>
          <w:lang w:val="es-ES"/>
        </w:rPr>
      </w:pPr>
      <w:r w:rsidRPr="00AE4E8D">
        <w:rPr>
          <w:lang w:val="es-ES"/>
        </w:rPr>
        <w:t>Salvo disposición en contrario contenida en el suplemento de precio aplicable, los colocadores y sus afiliadas que participen en una oferta de Obligaciones Negociables podrán realizar operaciones que estabilicen, mantengan o de otro modo afecten el precio de mercado de las Obligaciones Negociables. Tales operaciones podrán incluir operaciones de estabilización efectuadas de acuerdo con la Norma 104 de la Reglamentación M conforme a la Ley de Títulos Valores, en virtud de la cual las personas mencionadas podrán hacer ofertas de compra o comprar Obligaciones Negociables con el objeto de estabilizar su precio de mercado. Los colocadores podrán asimismo crear una posición corta para sus respectivas cuentas vendiendo más Obligaciones Negociables en relación con dicha oferta que los que se han comprometido a comprarnos y en tal caso podrán comprar Obligaciones Negociables en el mercado abierto luego de la finalización de una oferta de Obligaciones Negociables para cubrir la totalidad o una parte de dicha posición corta. Cualquiera de las operaciones descriptas en este párrafo podrá tener por resultado el mantenimiento del precio de las Obligaciones Negociables en un nivel superior al que de otro modo prevalecería en el mercado abierto. Ninguna de las operaciones descriptas en este párrafo es obligatoria y, en caso de ser emprendida, podrá ser interrumpida en cualquier momento.</w:t>
      </w:r>
    </w:p>
    <w:p w14:paraId="717FFF4D" w14:textId="77777777" w:rsidR="00CB5660" w:rsidRPr="00AE4E8D" w:rsidRDefault="00CB5660" w:rsidP="008962C3">
      <w:pPr>
        <w:pStyle w:val="BHTexto"/>
        <w:rPr>
          <w:lang w:val="es-ES"/>
        </w:rPr>
      </w:pPr>
      <w:r w:rsidRPr="00AE4E8D">
        <w:rPr>
          <w:lang w:val="es-ES"/>
        </w:rPr>
        <w:t xml:space="preserve">En relación con la emisión de Obligaciones Negociables, los agentes que participen en la organización y coordinación de la colocación y distribución, una vez que los valores negociables ingresan en la negociación secundaria, podrán realizar operaciones destinadas a estabilizar el precio de mercado de dichos valores, únicamente a través de los sistemas informáticos de negociación bajo segmentos que aseguren la prioridad precio tiempo y por interferencia de ofertas, garantizados por el mercado y/o la cámara compensadora en su caso, de acuerdo con la Ley de Mercado de Capitales y el artículo 12 de la Sección IV del Capítulo IV, Título VI de las Normas de la CNV sobre Reglamentación de Operaciones de </w:t>
      </w:r>
      <w:r w:rsidRPr="00AE4E8D">
        <w:rPr>
          <w:lang w:val="es-ES"/>
        </w:rPr>
        <w:lastRenderedPageBreak/>
        <w:t>Estabilización del Mercado (incorporado a las Normas de la CNV por la Resolución General 662/2016). En virtud de dicho artículo, las operaciones de estabilización deberán seguir las siguientes condiciones:</w:t>
      </w:r>
    </w:p>
    <w:p w14:paraId="56721ECA" w14:textId="77777777" w:rsidR="00CB5660" w:rsidRPr="00AE4E8D" w:rsidRDefault="00CB5660" w:rsidP="00933012">
      <w:pPr>
        <w:pStyle w:val="6"/>
        <w:numPr>
          <w:ilvl w:val="0"/>
          <w:numId w:val="41"/>
        </w:numPr>
        <w:autoSpaceDE/>
        <w:autoSpaceDN/>
        <w:adjustRightInd/>
        <w:spacing w:after="0" w:afterAutospacing="0"/>
        <w:rPr>
          <w:sz w:val="20"/>
          <w:szCs w:val="20"/>
          <w:lang w:val="es-ES"/>
        </w:rPr>
      </w:pPr>
      <w:r w:rsidRPr="00AE4E8D">
        <w:rPr>
          <w:sz w:val="20"/>
          <w:szCs w:val="20"/>
          <w:lang w:val="es-ES"/>
        </w:rPr>
        <w:t>El prospecto correspondiente a la oferta pública debe incluir una advertencia dirigida a los inversores en la que se describa la posibilidad de realizar operaciones de estabilización, su duración y sus condiciones.</w:t>
      </w:r>
    </w:p>
    <w:p w14:paraId="731401EC" w14:textId="77777777" w:rsidR="00CB5660" w:rsidRPr="00AE4E8D" w:rsidRDefault="00CB5660" w:rsidP="00933012">
      <w:pPr>
        <w:pStyle w:val="6"/>
        <w:numPr>
          <w:ilvl w:val="0"/>
          <w:numId w:val="41"/>
        </w:numPr>
        <w:autoSpaceDE/>
        <w:autoSpaceDN/>
        <w:adjustRightInd/>
        <w:spacing w:after="0" w:afterAutospacing="0"/>
        <w:rPr>
          <w:sz w:val="20"/>
          <w:szCs w:val="20"/>
          <w:lang w:val="es-ES"/>
        </w:rPr>
      </w:pPr>
      <w:r w:rsidRPr="00AE4E8D">
        <w:rPr>
          <w:sz w:val="20"/>
          <w:szCs w:val="20"/>
          <w:lang w:val="es-ES"/>
        </w:rPr>
        <w:t>Las operaciones de estabilización solo podrán ser realizadas por agentes que hayan participado en la organización y coordinación de la colocación y distribución de la emisión.</w:t>
      </w:r>
    </w:p>
    <w:p w14:paraId="619AB311" w14:textId="77777777" w:rsidR="00CB5660" w:rsidRPr="00AE4E8D" w:rsidRDefault="00CB5660" w:rsidP="00933012">
      <w:pPr>
        <w:pStyle w:val="6"/>
        <w:numPr>
          <w:ilvl w:val="0"/>
          <w:numId w:val="41"/>
        </w:numPr>
        <w:autoSpaceDE/>
        <w:autoSpaceDN/>
        <w:adjustRightInd/>
        <w:spacing w:after="0" w:afterAutospacing="0"/>
        <w:rPr>
          <w:sz w:val="20"/>
          <w:szCs w:val="20"/>
          <w:lang w:val="es-ES"/>
        </w:rPr>
      </w:pPr>
      <w:r w:rsidRPr="00AE4E8D">
        <w:rPr>
          <w:sz w:val="20"/>
          <w:szCs w:val="20"/>
          <w:lang w:val="es-ES"/>
        </w:rPr>
        <w:t>No pueden exceder el plazo de los primeros treinta (30) días corridos posteriores siguientes al primer día en el cual se inició la negociación secundaria de los títulos en el mercado.</w:t>
      </w:r>
    </w:p>
    <w:p w14:paraId="06D48898" w14:textId="77777777" w:rsidR="00CB5660" w:rsidRPr="00AE4E8D" w:rsidRDefault="00CB5660" w:rsidP="00933012">
      <w:pPr>
        <w:pStyle w:val="6"/>
        <w:numPr>
          <w:ilvl w:val="0"/>
          <w:numId w:val="41"/>
        </w:numPr>
        <w:autoSpaceDE/>
        <w:autoSpaceDN/>
        <w:adjustRightInd/>
        <w:spacing w:after="0" w:afterAutospacing="0"/>
        <w:rPr>
          <w:sz w:val="20"/>
          <w:szCs w:val="20"/>
          <w:lang w:val="es-ES"/>
        </w:rPr>
      </w:pPr>
      <w:r w:rsidRPr="00AE4E8D">
        <w:rPr>
          <w:sz w:val="20"/>
          <w:szCs w:val="20"/>
          <w:lang w:val="es-ES"/>
        </w:rPr>
        <w:t>Las operaciones de estabilización podrán ser destinadas a evitar o moderar alteraciones bruscas en el precio de los valores negociables que hayan sido objetos de la colocación primaria por medio del sistema de formación de libro o por subasta o licitación pública.</w:t>
      </w:r>
    </w:p>
    <w:p w14:paraId="2288D489" w14:textId="77777777" w:rsidR="00CB5660" w:rsidRPr="00AE4E8D" w:rsidRDefault="00CB5660" w:rsidP="00933012">
      <w:pPr>
        <w:pStyle w:val="6"/>
        <w:numPr>
          <w:ilvl w:val="0"/>
          <w:numId w:val="41"/>
        </w:numPr>
        <w:autoSpaceDE/>
        <w:autoSpaceDN/>
        <w:adjustRightInd/>
        <w:spacing w:after="0" w:afterAutospacing="0"/>
        <w:rPr>
          <w:sz w:val="20"/>
          <w:szCs w:val="20"/>
          <w:lang w:val="es-ES"/>
        </w:rPr>
      </w:pPr>
      <w:r w:rsidRPr="00AE4E8D">
        <w:rPr>
          <w:sz w:val="20"/>
          <w:szCs w:val="20"/>
          <w:lang w:val="es-ES"/>
        </w:rPr>
        <w:t>Ninguna de las operaciones de estabilización llevadas a cabo dentro del plazo autorizado se realizarán a precios más altos que los negociados en los mercados, en operaciones celebradas entre partes no vinculadas con actividades de organización, colocación y distribución.</w:t>
      </w:r>
    </w:p>
    <w:p w14:paraId="764E50C7" w14:textId="77777777" w:rsidR="00CB5660" w:rsidRPr="00AE4E8D" w:rsidRDefault="00CB5660" w:rsidP="00933012">
      <w:pPr>
        <w:pStyle w:val="6"/>
        <w:numPr>
          <w:ilvl w:val="0"/>
          <w:numId w:val="41"/>
        </w:numPr>
        <w:autoSpaceDE/>
        <w:autoSpaceDN/>
        <w:adjustRightInd/>
        <w:spacing w:after="0" w:afterAutospacing="0"/>
        <w:rPr>
          <w:sz w:val="20"/>
          <w:szCs w:val="20"/>
          <w:lang w:val="es-ES"/>
        </w:rPr>
      </w:pPr>
      <w:r w:rsidRPr="00AE4E8D">
        <w:rPr>
          <w:sz w:val="20"/>
          <w:szCs w:val="20"/>
          <w:lang w:val="es-ES"/>
        </w:rPr>
        <w:t xml:space="preserve">Los agentes que realicen operaciones en los términos aquí indicados, deberán informar a los mercados la individualización de las mismas. Los mercados deberán hacer públicas las operaciones de estabilización, ya fuere en cada operación individual, o al final de la jornada de negociación. </w:t>
      </w:r>
    </w:p>
    <w:p w14:paraId="357DC74C" w14:textId="77777777" w:rsidR="00CB5660" w:rsidRPr="00AE4E8D" w:rsidRDefault="00CB5660" w:rsidP="00CC3B07">
      <w:pPr>
        <w:keepNext/>
        <w:autoSpaceDE w:val="0"/>
        <w:autoSpaceDN w:val="0"/>
        <w:adjustRightInd w:val="0"/>
        <w:spacing w:before="240" w:after="240"/>
        <w:outlineLvl w:val="1"/>
        <w:rPr>
          <w:rFonts w:ascii="Times New Roman" w:hAnsi="Times New Roman"/>
          <w:b/>
          <w:lang w:val="es-ES" w:eastAsia="es-AR"/>
        </w:rPr>
      </w:pPr>
      <w:bookmarkStart w:id="841" w:name="_Toc421201534"/>
      <w:bookmarkStart w:id="842" w:name="_Toc495973062"/>
      <w:bookmarkStart w:id="843" w:name="_Toc495399969"/>
      <w:r w:rsidRPr="00AE4E8D">
        <w:rPr>
          <w:rFonts w:ascii="Times New Roman" w:hAnsi="Times New Roman"/>
          <w:b/>
          <w:lang w:val="es-ES" w:eastAsia="es-AR"/>
        </w:rPr>
        <w:t>Estados Unidos de América</w:t>
      </w:r>
      <w:bookmarkEnd w:id="841"/>
      <w:bookmarkEnd w:id="842"/>
      <w:bookmarkEnd w:id="843"/>
    </w:p>
    <w:p w14:paraId="355382C1" w14:textId="77777777" w:rsidR="00CB5660" w:rsidRPr="00AE4E8D" w:rsidRDefault="00CB5660" w:rsidP="00CC3B07">
      <w:pPr>
        <w:keepNext/>
        <w:autoSpaceDE w:val="0"/>
        <w:autoSpaceDN w:val="0"/>
        <w:adjustRightInd w:val="0"/>
        <w:spacing w:before="240" w:after="240"/>
        <w:outlineLvl w:val="2"/>
        <w:rPr>
          <w:rFonts w:ascii="Times New Roman" w:hAnsi="Times New Roman"/>
          <w:b/>
          <w:lang w:val="es-ES" w:eastAsia="es-AR"/>
        </w:rPr>
      </w:pPr>
      <w:bookmarkStart w:id="844" w:name="_Toc82933088"/>
      <w:bookmarkStart w:id="845" w:name="_Toc420062651"/>
      <w:bookmarkStart w:id="846" w:name="_Toc421201535"/>
      <w:r w:rsidRPr="00AE4E8D">
        <w:rPr>
          <w:rFonts w:ascii="Times New Roman" w:hAnsi="Times New Roman"/>
          <w:b/>
          <w:lang w:val="es-ES" w:eastAsia="es-AR"/>
        </w:rPr>
        <w:t xml:space="preserve">Ofertas fuera de los </w:t>
      </w:r>
      <w:bookmarkEnd w:id="844"/>
      <w:bookmarkEnd w:id="845"/>
      <w:r w:rsidRPr="00AE4E8D">
        <w:rPr>
          <w:rFonts w:ascii="Times New Roman" w:hAnsi="Times New Roman"/>
          <w:b/>
          <w:lang w:val="es-ES" w:eastAsia="es-AR"/>
        </w:rPr>
        <w:t>Estados Unidos de América</w:t>
      </w:r>
      <w:bookmarkEnd w:id="846"/>
    </w:p>
    <w:p w14:paraId="5FCBFF47" w14:textId="77777777" w:rsidR="00CB5660" w:rsidRPr="00AE4E8D" w:rsidRDefault="00CB5660" w:rsidP="008962C3">
      <w:pPr>
        <w:pStyle w:val="BHTexto"/>
        <w:rPr>
          <w:lang w:val="es-ES"/>
        </w:rPr>
      </w:pPr>
      <w:r w:rsidRPr="00AE4E8D">
        <w:rPr>
          <w:lang w:val="es-ES"/>
        </w:rPr>
        <w:t>Las Obligaciones Negociables no han sido y no serán registradas bajo la Ley de Títulos Valores y no podrán ser ofrecidas ni vendidas dentro de los Estados Unidos de América o a personas Estadounidenses o para la cuenta o en beneficio de éstas salvo que las Obligaciones Negociables se encuentren registradas bajo la Ley de Títulos Valores o se disponga de una exención de los requisitos de registro de la Ley de Títulos Valores. Los términos utilizados en este párrafo tienen los significados que se les asignan en la Reglamentación S.</w:t>
      </w:r>
    </w:p>
    <w:p w14:paraId="300D267A" w14:textId="77777777" w:rsidR="00CB5660" w:rsidRPr="00AE4E8D" w:rsidRDefault="00CB5660" w:rsidP="008962C3">
      <w:pPr>
        <w:pStyle w:val="BHTexto"/>
        <w:rPr>
          <w:lang w:val="es-ES"/>
        </w:rPr>
      </w:pPr>
      <w:r w:rsidRPr="00AE4E8D">
        <w:rPr>
          <w:lang w:val="es-ES"/>
        </w:rPr>
        <w:t>Cada colocador ha acordado o acordará que, salvo según lo permita el Contrato de Colocación, no ofrecerá, venderá ni entregará Obligaciones Negociables dentro de los Estados Unidos de América o a personas Estadounidenses o para la cuenta o en beneficio de éstas, (i) como parte de su distribución en cualquier momento, o (ii) de otro modo hasta que hayan transcurrido 40 días después de la finalización de la distribución de las Obligaciones Negociables de una clase según nos lo certifique, y que habrá enviado a cada colocador al cual venda Obligaciones Negociables antes de que se cumplan dichos 40 días una confirmación u otra notificación donde se enuncien las restricciones a las ofertas y ventas de dichas Obligaciones Negociables dentro de los Estados Unidos de América o a personas Estadounidenses o para la cuenta o en beneficio de éstas.</w:t>
      </w:r>
    </w:p>
    <w:p w14:paraId="0389EE71" w14:textId="77777777" w:rsidR="00CB5660" w:rsidRPr="00AE4E8D" w:rsidRDefault="00CB5660" w:rsidP="008962C3">
      <w:pPr>
        <w:pStyle w:val="BHTexto"/>
        <w:rPr>
          <w:lang w:val="es-ES"/>
        </w:rPr>
      </w:pPr>
      <w:r w:rsidRPr="00AE4E8D">
        <w:rPr>
          <w:lang w:val="es-ES"/>
        </w:rPr>
        <w:t>Por otra parte, hasta que hayan transcurrido 40 días después de la finalización de la distribución de las Obligaciones Negociables de una clase, una oferta o venta de Obligaciones Negociables de dicha clase dentro de los Estados Unidos de América por parte de un Colocador que no participe en la oferta de dicha clase podrá constituir infracción de los requisitos de registro de la Ley de Títulos Valores, si dicha oferta o venta se efectúa de otro modo que conforme a una exención de registro aplicable bajo la Ley de Títulos Valores.</w:t>
      </w:r>
    </w:p>
    <w:p w14:paraId="5D8D098A" w14:textId="77777777" w:rsidR="00CB5660" w:rsidRPr="00AE4E8D" w:rsidRDefault="00CB5660" w:rsidP="00CC3B07">
      <w:pPr>
        <w:keepNext/>
        <w:autoSpaceDE w:val="0"/>
        <w:autoSpaceDN w:val="0"/>
        <w:adjustRightInd w:val="0"/>
        <w:spacing w:before="240" w:after="240"/>
        <w:outlineLvl w:val="2"/>
        <w:rPr>
          <w:rFonts w:ascii="Times New Roman" w:hAnsi="Times New Roman"/>
          <w:b/>
          <w:lang w:val="es-ES" w:eastAsia="es-AR"/>
        </w:rPr>
      </w:pPr>
      <w:bookmarkStart w:id="847" w:name="_Toc82933089"/>
      <w:bookmarkStart w:id="848" w:name="_Toc420062652"/>
      <w:bookmarkStart w:id="849" w:name="_Toc421201536"/>
      <w:r w:rsidRPr="00AE4E8D">
        <w:rPr>
          <w:rFonts w:ascii="Times New Roman" w:hAnsi="Times New Roman"/>
          <w:b/>
          <w:lang w:val="es-ES" w:eastAsia="es-AR"/>
        </w:rPr>
        <w:t xml:space="preserve">Ofertas dentro de los </w:t>
      </w:r>
      <w:bookmarkEnd w:id="847"/>
      <w:bookmarkEnd w:id="848"/>
      <w:r w:rsidRPr="00AE4E8D">
        <w:rPr>
          <w:rFonts w:ascii="Times New Roman" w:hAnsi="Times New Roman"/>
          <w:b/>
          <w:lang w:val="es-ES" w:eastAsia="es-AR"/>
        </w:rPr>
        <w:t>Estados Unidos de América</w:t>
      </w:r>
      <w:bookmarkEnd w:id="849"/>
    </w:p>
    <w:p w14:paraId="06B3DE95" w14:textId="77777777" w:rsidR="00CB5660" w:rsidRPr="00AE4E8D" w:rsidRDefault="00CB5660" w:rsidP="008962C3">
      <w:pPr>
        <w:pStyle w:val="BHTexto"/>
        <w:rPr>
          <w:lang w:val="es-ES"/>
        </w:rPr>
      </w:pPr>
      <w:r w:rsidRPr="00AE4E8D">
        <w:rPr>
          <w:lang w:val="es-ES"/>
        </w:rPr>
        <w:t>Las Obligaciones Negociables ofrecidas y vendidas dentro de los Estados Unidos de América no se registran bajo la Ley de Títulos Valores y se ofrecen y venden conforme a una exención de registro establecida en virtud del artículo 4 (2) de aquélla, que exime a las operaciones realizadas por un emisor que no involucren una oferta pública.</w:t>
      </w:r>
    </w:p>
    <w:p w14:paraId="3D6EBFBD" w14:textId="77777777" w:rsidR="00CB5660" w:rsidRPr="00AE4E8D" w:rsidRDefault="00CB5660" w:rsidP="008962C3">
      <w:pPr>
        <w:pStyle w:val="BHTexto"/>
        <w:rPr>
          <w:lang w:val="es-ES"/>
        </w:rPr>
      </w:pPr>
      <w:r w:rsidRPr="00AE4E8D">
        <w:rPr>
          <w:lang w:val="es-ES"/>
        </w:rPr>
        <w:t xml:space="preserve">Los colocadores podrán organizar la reventa de las Obligaciones Negociables a Compradores Institucionales Calificados de conformidad con la Norma 144A, y cada uno de dichos compradores de </w:t>
      </w:r>
      <w:r w:rsidRPr="00AE4E8D">
        <w:rPr>
          <w:lang w:val="es-ES"/>
        </w:rPr>
        <w:lastRenderedPageBreak/>
        <w:t>Obligaciones Negociables queda por el presente notificado de que los colocadores pueden estar basándose en la exención de los requisitos de registro de la Ley de Títulos Valores establecida por la Norma 144A. En la medida en que no nos encontremos sujetos o no cumplamos con los requisitos de presentación de información del artículo 13 o 15(d) de la Ley de Mercados o los requisitos de presentación de información de la Norma 12g3-2(b) conforme a aquélla, nos hemos obligado a suministrar a los tenedores de las Obligaciones Negociables y a los compradores potenciales designados por dichos tenedores, ante la correspondiente solicitud, la información que sea necesaria en virtud de la Norma 144A.</w:t>
      </w:r>
    </w:p>
    <w:p w14:paraId="5CBE85AF" w14:textId="77777777" w:rsidR="00CB5660" w:rsidRPr="00AE4E8D" w:rsidRDefault="00CB5660" w:rsidP="008962C3">
      <w:pPr>
        <w:pStyle w:val="BHTexto"/>
        <w:rPr>
          <w:lang w:val="es-ES"/>
        </w:rPr>
      </w:pPr>
      <w:r w:rsidRPr="00AE4E8D">
        <w:rPr>
          <w:lang w:val="es-ES"/>
        </w:rPr>
        <w:t>Todo comprador de Obligaciones Negociables debe tener un conocimiento y experiencia suficientes en asuntos comerciales para ser capaz de evaluar los méritos y los riesgos de la inversión en las Obligaciones Negociables y su tenencia y estar expuesto a asumir el riesgo económico de la inversión por un plazo indefinido de tiempo debido a que las Obligaciones Negociables no han sido registradas bajo la Ley de Títulos Valores. No existe ningún compromiso de registrar las Obligaciones Negociables, y éstas no pueden ser vendidas, salvo que sean posteriormente registradas o se disponga de una exención de dicho requisito de registro. No es posible ofrecer garantías de que las Obligaciones Negociables serán vendidas, o de que existirá un mercado secundario para las Obligaciones Negociables.</w:t>
      </w:r>
    </w:p>
    <w:p w14:paraId="141B641E" w14:textId="77777777" w:rsidR="00CB5660" w:rsidRPr="00AE4E8D" w:rsidRDefault="00CB5660" w:rsidP="008962C3">
      <w:pPr>
        <w:pStyle w:val="BHTexto"/>
        <w:rPr>
          <w:lang w:val="es-ES"/>
        </w:rPr>
      </w:pPr>
      <w:r w:rsidRPr="00AE4E8D">
        <w:rPr>
          <w:lang w:val="es-ES"/>
        </w:rPr>
        <w:t>Cada clase de Obligaciones Negociables estará asimismo sujeta a las restricciones a las ventas adicionales en los Estados Unidos de América que nosotros y el colocador o colocadores pertinentes acordemos y según se indique en el suplemento de precio aplicable. Cada uno de los colocadores ha acordado o acordará que ofrecerá, venderá o entregará las Obligaciones Negociables solamente en cumplimiento de dichas restricciones adicionales a la venta.</w:t>
      </w:r>
    </w:p>
    <w:p w14:paraId="79DC88B2" w14:textId="77777777" w:rsidR="00CB5660" w:rsidRPr="00AE4E8D" w:rsidRDefault="00CB5660" w:rsidP="00CC3B07">
      <w:pPr>
        <w:keepNext/>
        <w:autoSpaceDE w:val="0"/>
        <w:autoSpaceDN w:val="0"/>
        <w:adjustRightInd w:val="0"/>
        <w:spacing w:before="240" w:after="240"/>
        <w:outlineLvl w:val="1"/>
        <w:rPr>
          <w:rFonts w:ascii="Times New Roman" w:hAnsi="Times New Roman"/>
          <w:b/>
          <w:lang w:val="es-ES" w:eastAsia="es-AR"/>
        </w:rPr>
      </w:pPr>
      <w:bookmarkStart w:id="850" w:name="_Toc420062653"/>
      <w:bookmarkStart w:id="851" w:name="_Toc421201537"/>
      <w:bookmarkStart w:id="852" w:name="_Toc495973063"/>
      <w:bookmarkStart w:id="853" w:name="_Toc495399970"/>
      <w:r w:rsidRPr="00AE4E8D">
        <w:rPr>
          <w:rFonts w:ascii="Times New Roman" w:hAnsi="Times New Roman"/>
          <w:b/>
          <w:lang w:val="es-ES" w:eastAsia="es-AR"/>
        </w:rPr>
        <w:t>Argentina</w:t>
      </w:r>
      <w:bookmarkEnd w:id="850"/>
      <w:bookmarkEnd w:id="851"/>
      <w:bookmarkEnd w:id="852"/>
      <w:bookmarkEnd w:id="853"/>
      <w:r w:rsidRPr="00AE4E8D">
        <w:rPr>
          <w:rFonts w:ascii="Times New Roman" w:hAnsi="Times New Roman"/>
          <w:b/>
          <w:lang w:val="es-ES" w:eastAsia="es-AR"/>
        </w:rPr>
        <w:t xml:space="preserve"> </w:t>
      </w:r>
    </w:p>
    <w:p w14:paraId="1C74FE8A" w14:textId="77777777" w:rsidR="00CB5660" w:rsidRPr="00AE4E8D" w:rsidRDefault="00CB5660" w:rsidP="008962C3">
      <w:pPr>
        <w:pStyle w:val="BHTexto"/>
        <w:rPr>
          <w:lang w:val="es-ES"/>
        </w:rPr>
      </w:pPr>
      <w:r w:rsidRPr="00AE4E8D">
        <w:rPr>
          <w:lang w:val="es-ES"/>
        </w:rPr>
        <w:t>La creación del Programa y la oferta pública ha sido autorizada por la CNV mediante la Resolución Nº16.573 de fecha 24 de mayo de 2011 y el aumento del monto del Programa fue autorizado mediante Resolución Nº17.805 de fecha 9 de septiembre de 2015; estipulándose, sin embargo, que cualquier actualización o modificación de la información incluida en este Prospecto, incluyendo el suplemento de precio aplicable y la actualización anual requerida por la CNV, debe ser aprobada antes de que pueda efectuarse cualquier oferta adicional de Obligaciones Negociables utilizando ese Prospecto actualizado o modificado. Asimismo, mediante Resolución Nº18.145 de fecha 28 de julio de 2016, la CNV aprobó la prórroga de la vigencia y el aumento del monto del Programa</w:t>
      </w:r>
      <w:r w:rsidR="00D243F8" w:rsidRPr="00AE4E8D">
        <w:rPr>
          <w:lang w:val="es-ES"/>
        </w:rPr>
        <w:t xml:space="preserve"> y una nueva ampliación de su monto por Resolución Nº18.493 de fecha 2 de febrero de 2017</w:t>
      </w:r>
      <w:r w:rsidRPr="00AE4E8D">
        <w:rPr>
          <w:lang w:val="es-ES"/>
        </w:rPr>
        <w:t xml:space="preserve">. </w:t>
      </w:r>
    </w:p>
    <w:p w14:paraId="4F55C0EF" w14:textId="77777777" w:rsidR="00CB5660" w:rsidRPr="00AE4E8D" w:rsidRDefault="00CB5660" w:rsidP="008962C3">
      <w:pPr>
        <w:pStyle w:val="BHTexto"/>
        <w:rPr>
          <w:lang w:val="es-ES"/>
        </w:rPr>
      </w:pPr>
      <w:r w:rsidRPr="00AE4E8D">
        <w:rPr>
          <w:lang w:val="es-ES"/>
        </w:rPr>
        <w:t>Cada clase y/o serie de Obligaciones Negociables que se emitan en el marco del Programa será colocada por los mecanismos de subasta o licitación pública o por la formación de libro, según se determine en el suplemento de precio respectivo de conformidad con las Normas de la CNV. En cualquier caso, el procedimiento de colocación deberá asegurar la plena transparencia y quedar definido y hacerse público en todos sus extremos antes de proceder al inicio del mismo. La colocación primaria de valores negociables mediante los procesos de subasta o licitación deberá ser llevada a cabo a través de sistemas informáticos presentados por los mercados autorizados por la CNV, previo cumplimiento de los requisitos dispuestos en las normas aplicables a los mercados. El mecanismo de formación de libro podrá estar a cargo de agentes colocadores en el exterior cuando la colocación de los valores negociables esté también prevista en otro u otros países, siempre que se trate de países con exigencias regulatorias que cumplan -a criterio de la CNV- con estándares internacionalmente reconocidos en la materia y aseguren el cumplimiento de las disposiciones de las Normas de la CNV en lo que resulte de aplicación. El agente colocador en el exterior deberá designar como su representante en el país a un agente de negociación y/o agente de liquidación y compensación registrado ante la CNV, a los fines del ingreso de las manifestaciones de interés locales. El suplemento de precio y el aviso de suscripción a publicar deberán incluir la mención del sistema de colocación a utilizar, así como los parámetros para la determinación del precio (u otra variable financiera) y las pautas para la adjudicación de los valores negociables.</w:t>
      </w:r>
    </w:p>
    <w:p w14:paraId="27D771A2" w14:textId="77777777" w:rsidR="00CB5660" w:rsidRPr="00AE4E8D" w:rsidRDefault="00CB5660" w:rsidP="008962C3">
      <w:pPr>
        <w:pStyle w:val="BHTexto"/>
        <w:rPr>
          <w:lang w:val="es-ES"/>
        </w:rPr>
      </w:pPr>
      <w:r w:rsidRPr="00AE4E8D">
        <w:rPr>
          <w:lang w:val="es-ES"/>
        </w:rPr>
        <w:t xml:space="preserve">Asimismo, la colocación de Obligaciones Negociables en Argentina tendrá lugar de acuerdo con las disposiciones establecidas en la Resolución General Nº622/2013, y sus modificatorias, dictadas por la CNV y todas las otras Normas de la CNV a través de alguno de los siguientes actos, entre otros: (i) la publicación de un resumen de los términos y condiciones de éste Prospecto, cualquier suplemento de Prospecto y el suplemento de precio aplicable en el sistema de difusión del mercado donde se listen y/o se negocien las Obligaciones Negociables; (ii) la distribución de este Prospecto, cualquier suplemento de Prospecto y el suplemento de precio aplicable al público en Argentina; (iii) </w:t>
      </w:r>
      <w:r w:rsidRPr="00AE4E8D">
        <w:rPr>
          <w:i/>
          <w:lang w:val="es-ES"/>
        </w:rPr>
        <w:t>road shows</w:t>
      </w:r>
      <w:r w:rsidRPr="00AE4E8D">
        <w:rPr>
          <w:lang w:val="es-ES"/>
        </w:rPr>
        <w:t xml:space="preserve"> en Argentina para potenciales inversores; y (iv) conferencias telefónicas con potenciales inversores en Argentina, entre otros actos a ser realizados, los cuales serán detallados en el suplemento de precio correspondiente. Los </w:t>
      </w:r>
      <w:r w:rsidRPr="00AE4E8D">
        <w:rPr>
          <w:lang w:val="es-ES"/>
        </w:rPr>
        <w:lastRenderedPageBreak/>
        <w:t>suplementos de precio incluirán detalles específicos de los esfuerzos de colocación a realizar de conformidad con la Ley de Mercado de Capitales y las Normas de la CNV. Se deja constancia que a los efectos de suscribir las Obligaciones Negociables que se emitan en el marco de este Programa, los interesados deberán suministrar aquella información o documentación que debamos o resolvamos libremente solicitarles para el cumplimiento de, entre otras, las normas sobre lavado de activos de origen delictivo y sobre prevención del lavado para el mercado de capitales emanadas de la UIF. Este Prospecto estará disponible al público en general en Argentina.</w:t>
      </w:r>
    </w:p>
    <w:p w14:paraId="0F2F2168" w14:textId="77777777" w:rsidR="00CB5660" w:rsidRPr="00AE4E8D" w:rsidRDefault="00CB5660" w:rsidP="00CC3B07">
      <w:pPr>
        <w:keepNext/>
        <w:autoSpaceDE w:val="0"/>
        <w:autoSpaceDN w:val="0"/>
        <w:adjustRightInd w:val="0"/>
        <w:spacing w:before="240" w:after="240"/>
        <w:outlineLvl w:val="1"/>
        <w:rPr>
          <w:rFonts w:ascii="Times New Roman" w:hAnsi="Times New Roman"/>
          <w:b/>
          <w:lang w:val="es-ES" w:eastAsia="es-AR"/>
        </w:rPr>
      </w:pPr>
      <w:bookmarkStart w:id="854" w:name="_Toc420062654"/>
      <w:bookmarkStart w:id="855" w:name="_Toc421201538"/>
      <w:bookmarkStart w:id="856" w:name="_Toc495973064"/>
      <w:bookmarkStart w:id="857" w:name="_Toc495399971"/>
      <w:r w:rsidRPr="00AE4E8D">
        <w:rPr>
          <w:rFonts w:ascii="Times New Roman" w:hAnsi="Times New Roman"/>
          <w:b/>
          <w:lang w:val="es-ES" w:eastAsia="es-AR"/>
        </w:rPr>
        <w:t>Área Económica Europea</w:t>
      </w:r>
      <w:bookmarkEnd w:id="854"/>
      <w:bookmarkEnd w:id="855"/>
      <w:bookmarkEnd w:id="856"/>
      <w:bookmarkEnd w:id="857"/>
    </w:p>
    <w:p w14:paraId="1E21462F" w14:textId="77777777" w:rsidR="00CB5660" w:rsidRPr="00AE4E8D" w:rsidRDefault="00CB5660" w:rsidP="00CC3B07">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En relación con cada Estado Miembro del Área Económica Europea que ha implementado la Directiva sobre Prospectos (según se define a continuación) (cada uno, un “</w:t>
      </w:r>
      <w:r w:rsidRPr="00AE4E8D">
        <w:rPr>
          <w:rFonts w:ascii="Times New Roman" w:hAnsi="Times New Roman"/>
          <w:u w:val="single"/>
          <w:lang w:val="es-ES" w:eastAsia="es-AR"/>
        </w:rPr>
        <w:t>Estado Miembro Relevante</w:t>
      </w:r>
      <w:r w:rsidRPr="00AE4E8D">
        <w:rPr>
          <w:rFonts w:ascii="Times New Roman" w:hAnsi="Times New Roman"/>
          <w:lang w:val="es-ES" w:eastAsia="es-AR"/>
        </w:rPr>
        <w:t>”), con efectos a partir de la fecha en que se implemente la Directiva sobre Prospectos en dicho Estado Miembro Relevante (la “</w:t>
      </w:r>
      <w:r w:rsidRPr="00AE4E8D">
        <w:rPr>
          <w:rFonts w:ascii="Times New Roman" w:hAnsi="Times New Roman"/>
          <w:u w:val="single"/>
          <w:lang w:val="es-ES" w:eastAsia="es-AR"/>
        </w:rPr>
        <w:t>Fecha de Implementación Relevante</w:t>
      </w:r>
      <w:r w:rsidRPr="00AE4E8D">
        <w:rPr>
          <w:rFonts w:ascii="Times New Roman" w:hAnsi="Times New Roman"/>
          <w:lang w:val="es-ES" w:eastAsia="es-AR"/>
        </w:rPr>
        <w:t>”) no se podrá realizar ninguna oferta pública de Obligaciones Negociables en dicho Estado Miembro Relevante, excepto en los siguientes casos:</w:t>
      </w:r>
    </w:p>
    <w:p w14:paraId="7D8E43C6" w14:textId="77777777" w:rsidR="00CB5660" w:rsidRPr="00AE4E8D" w:rsidRDefault="00CB5660" w:rsidP="00933012">
      <w:pPr>
        <w:numPr>
          <w:ilvl w:val="0"/>
          <w:numId w:val="39"/>
        </w:numPr>
        <w:tabs>
          <w:tab w:val="left" w:pos="1418"/>
        </w:tabs>
        <w:autoSpaceDE w:val="0"/>
        <w:autoSpaceDN w:val="0"/>
        <w:adjustRightInd w:val="0"/>
        <w:spacing w:before="120" w:after="120"/>
        <w:jc w:val="both"/>
        <w:rPr>
          <w:rFonts w:ascii="Times New Roman" w:hAnsi="Times New Roman"/>
          <w:lang w:val="es-ES" w:eastAsia="es-ES"/>
        </w:rPr>
      </w:pPr>
      <w:r w:rsidRPr="00AE4E8D">
        <w:rPr>
          <w:rFonts w:ascii="Times New Roman" w:hAnsi="Times New Roman"/>
          <w:lang w:val="es-ES" w:eastAsia="es-ES"/>
        </w:rPr>
        <w:t>a una persona jurídica que reviste el carácter de inversor calificado según la definición de la Directiva sobre Prospectos;</w:t>
      </w:r>
    </w:p>
    <w:p w14:paraId="55CB06CD" w14:textId="77777777" w:rsidR="00CB5660" w:rsidRPr="00AE4E8D" w:rsidRDefault="00CB5660" w:rsidP="00933012">
      <w:pPr>
        <w:numPr>
          <w:ilvl w:val="0"/>
          <w:numId w:val="39"/>
        </w:numPr>
        <w:tabs>
          <w:tab w:val="left" w:pos="1418"/>
        </w:tabs>
        <w:autoSpaceDE w:val="0"/>
        <w:autoSpaceDN w:val="0"/>
        <w:adjustRightInd w:val="0"/>
        <w:spacing w:before="120" w:after="120"/>
        <w:jc w:val="both"/>
        <w:rPr>
          <w:rFonts w:ascii="Times New Roman" w:hAnsi="Times New Roman"/>
          <w:lang w:val="es-ES" w:eastAsia="es-ES"/>
        </w:rPr>
      </w:pPr>
      <w:r w:rsidRPr="00AE4E8D">
        <w:rPr>
          <w:rFonts w:ascii="Times New Roman" w:hAnsi="Times New Roman"/>
          <w:lang w:val="es-ES" w:eastAsia="es-ES"/>
        </w:rPr>
        <w:t xml:space="preserve">a menos de 150, personas </w:t>
      </w:r>
      <w:r w:rsidR="006107DB" w:rsidRPr="00AE4E8D">
        <w:rPr>
          <w:rFonts w:ascii="Times New Roman" w:hAnsi="Times New Roman"/>
          <w:lang w:val="es-ES" w:eastAsia="es-ES"/>
        </w:rPr>
        <w:t>humanas</w:t>
      </w:r>
      <w:r w:rsidRPr="00AE4E8D">
        <w:rPr>
          <w:rFonts w:ascii="Times New Roman" w:hAnsi="Times New Roman"/>
          <w:lang w:val="es-ES" w:eastAsia="es-ES"/>
        </w:rPr>
        <w:t xml:space="preserve"> o jurídicas (distintas de inversores calificados según la definición de la Directiva sobre Prospectos) de acuerdo con lo permitido en la Directiva sobre Prospectos, sujeto a la obtención del previo consentimiento de los colocadores; o</w:t>
      </w:r>
    </w:p>
    <w:p w14:paraId="68D0DAAF" w14:textId="77777777" w:rsidR="00CB5660" w:rsidRPr="00AE4E8D" w:rsidRDefault="00CB5660" w:rsidP="00933012">
      <w:pPr>
        <w:numPr>
          <w:ilvl w:val="0"/>
          <w:numId w:val="39"/>
        </w:numPr>
        <w:tabs>
          <w:tab w:val="left" w:pos="1418"/>
        </w:tabs>
        <w:autoSpaceDE w:val="0"/>
        <w:autoSpaceDN w:val="0"/>
        <w:adjustRightInd w:val="0"/>
        <w:spacing w:before="120" w:after="120"/>
        <w:jc w:val="both"/>
        <w:rPr>
          <w:rFonts w:ascii="Times New Roman" w:hAnsi="Times New Roman"/>
          <w:lang w:val="es-ES" w:eastAsia="es-ES"/>
        </w:rPr>
      </w:pPr>
      <w:r w:rsidRPr="00AE4E8D">
        <w:rPr>
          <w:rFonts w:ascii="Times New Roman" w:hAnsi="Times New Roman"/>
          <w:lang w:val="es-ES" w:eastAsia="es-ES"/>
        </w:rPr>
        <w:t>en cualquier otra circunstancia comprendida por el alcance del artículo 3(2) de la Directiva sobre Prospectos,</w:t>
      </w:r>
    </w:p>
    <w:p w14:paraId="2F626137" w14:textId="77777777" w:rsidR="00CB5660" w:rsidRPr="00AE4E8D" w:rsidRDefault="00CB5660" w:rsidP="008962C3">
      <w:pPr>
        <w:pStyle w:val="BHTexto"/>
        <w:rPr>
          <w:lang w:val="es-ES"/>
        </w:rPr>
      </w:pPr>
      <w:r w:rsidRPr="00AE4E8D">
        <w:rPr>
          <w:lang w:val="es-ES"/>
        </w:rPr>
        <w:t>Ello sujeto a la excepción de que ninguna oferta de Obligaciones Negociables tal nos exigirá a nosotros o a los colocadores publicar un Prospecto de acuerdo con el artículo 3 de la Directiva sobre Prospectos o complementar un Prospecto de acuerdo con el artículo 16 de la Directiva sobre Prospectos.</w:t>
      </w:r>
    </w:p>
    <w:p w14:paraId="6C383533" w14:textId="77777777" w:rsidR="00CB5660" w:rsidRPr="00AE4E8D" w:rsidRDefault="00CB5660" w:rsidP="008962C3">
      <w:pPr>
        <w:pStyle w:val="BHTexto"/>
        <w:rPr>
          <w:lang w:val="es-ES"/>
        </w:rPr>
      </w:pPr>
      <w:r w:rsidRPr="00AE4E8D">
        <w:rPr>
          <w:lang w:val="es-ES"/>
        </w:rPr>
        <w:t>Este Prospecto ha sido redactado sobre la base de que toda oferta de Obligaciones Negociables en un Estado Miembro Relevante se realizará de acuerdo con una exención, en virtud de la Directiva de Prospectos, al requisito de publicar un Prospecto para ofertas de Obligaciones Negociables. En consecuencia, toda persona que realice o intente realizar una oferta en dicho Estado Miembro Relevante de Obligaciones Negociables que sean objeto de la oferta prevista en este Prospecto sólo podrá hacerlo en tanto no surja ninguna obligación para nosotros ni para los colocadores de publicar un Prospecto de acuerdo con el artículo 3 de la Directiva sobre Prospectos en relación con dicha oferta. Ni nosotros ni los colocadores hemos autorizado o autorizamos a realizar una oferta de Obligaciones Negociables en tanto surja una obligación para nosotros o los colocadores de publicar un Prospecto para dicha oferta.</w:t>
      </w:r>
    </w:p>
    <w:p w14:paraId="435DC489" w14:textId="77777777" w:rsidR="00CB5660" w:rsidRPr="00AE4E8D" w:rsidRDefault="00CB5660" w:rsidP="008962C3">
      <w:pPr>
        <w:pStyle w:val="BHTexto"/>
        <w:rPr>
          <w:lang w:val="es-ES"/>
        </w:rPr>
      </w:pPr>
      <w:r w:rsidRPr="00AE4E8D">
        <w:rPr>
          <w:lang w:val="es-ES"/>
        </w:rPr>
        <w:t>A los fines de las disposiciones anteriores, la expresión “oferta pública” en relación con las Obligaciones Negociables en un Estado Miembro Relevante significa la comunicación, bajo cualquier modalidad y por cualquier medio, de información suficiente sobre los términos de la oferta y las Obligaciones Negociables a ser ofrecidas, de forma de permitirle a un inversor adoptar una decisión sobre la compra o suscripción de las Obligaciones Negociables, conforme ésta pueda ser modificada en dicho Estado Miembro Relevante en virtud de las medidas que implementen la Directiva sobre Prospectos en dicho Estado Miembro Relevante, y la expresión Directiva sobre Prospectos significa la Directiva 2003/71/EC, y sus modificatorias.</w:t>
      </w:r>
    </w:p>
    <w:p w14:paraId="7F49A1E5" w14:textId="77777777" w:rsidR="00CB5660" w:rsidRPr="00AE4E8D" w:rsidRDefault="00CB5660" w:rsidP="00CC3B07">
      <w:pPr>
        <w:keepNext/>
        <w:autoSpaceDE w:val="0"/>
        <w:autoSpaceDN w:val="0"/>
        <w:adjustRightInd w:val="0"/>
        <w:spacing w:before="240" w:after="240"/>
        <w:outlineLvl w:val="1"/>
        <w:rPr>
          <w:rFonts w:ascii="Times New Roman" w:hAnsi="Times New Roman"/>
          <w:b/>
          <w:lang w:val="es-ES" w:eastAsia="es-AR"/>
        </w:rPr>
      </w:pPr>
      <w:bookmarkStart w:id="858" w:name="_Toc420062655"/>
      <w:bookmarkStart w:id="859" w:name="_Toc421201539"/>
      <w:bookmarkStart w:id="860" w:name="_Toc495973065"/>
      <w:bookmarkStart w:id="861" w:name="_Toc495399972"/>
      <w:bookmarkStart w:id="862" w:name="_Toc82933091"/>
      <w:r w:rsidRPr="00AE4E8D">
        <w:rPr>
          <w:rFonts w:ascii="Times New Roman" w:hAnsi="Times New Roman"/>
          <w:b/>
          <w:lang w:val="es-ES" w:eastAsia="es-AR"/>
        </w:rPr>
        <w:t>Reino Unido</w:t>
      </w:r>
      <w:bookmarkEnd w:id="858"/>
      <w:bookmarkEnd w:id="859"/>
      <w:bookmarkEnd w:id="860"/>
      <w:bookmarkEnd w:id="861"/>
    </w:p>
    <w:p w14:paraId="46D4BE22" w14:textId="77777777" w:rsidR="00CB5660" w:rsidRPr="00AE4E8D" w:rsidRDefault="00CB5660" w:rsidP="00495EF7">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 xml:space="preserve">Este Prospecto es únicamente para distribución a personas que (i) tengan experiencia profesional en asuntos relacionados a inversiones comprendidas en el artículo 19(5) de la Ley de Mercados y Servicios Financieros del 2000 (Promoción Financiera) Orden 2005 (y sus modificatorias, la “Orden de Promoción Financiera”), (ii) sean personas comprendidas en el artículo 49(2)(a) a (d)(“entidades con alto patrimonio neto, asociaciones no registradas, etc.”) de la Orden de Promoción Financiera, (iii) estén ubicados fuera del Reino Unido, o (iv) sean personas a quienes le sea comunicada, o se cause la comunicación de, una invitación o inducción a participar en una actividad de inversión (conforme el significado de la sección 21 de la Ley de Mercados y Servicios Financieros del 2000 (“FMSA”) en conexión con la emisión o la venta de cualquier valor negociable que podría ser lícito (tales personas en forma conjunta serán referidas como “personas relevantes”). El presente Prospecto está dirigido a personas relevantes y no deberá actuar en función de este documento ni deberá basarse en el mismo. Toda inversión o actividad de inversión </w:t>
      </w:r>
      <w:r w:rsidRPr="00AE4E8D">
        <w:rPr>
          <w:rFonts w:ascii="Times New Roman" w:hAnsi="Times New Roman"/>
          <w:lang w:val="es-ES" w:eastAsia="es-AR"/>
        </w:rPr>
        <w:lastRenderedPageBreak/>
        <w:t>correspondiente a este Prospecto está disponible únicamente para las personas pertinentes y podrá ser contratada solamente con ellas.</w:t>
      </w:r>
    </w:p>
    <w:p w14:paraId="6A8F0693" w14:textId="77777777" w:rsidR="00CB5660" w:rsidRPr="00AE4E8D" w:rsidRDefault="00CB5660" w:rsidP="008763EC">
      <w:pPr>
        <w:keepNext/>
        <w:autoSpaceDE w:val="0"/>
        <w:autoSpaceDN w:val="0"/>
        <w:adjustRightInd w:val="0"/>
        <w:spacing w:before="240" w:after="240"/>
        <w:outlineLvl w:val="1"/>
        <w:rPr>
          <w:rFonts w:ascii="Times New Roman" w:hAnsi="Times New Roman"/>
          <w:b/>
          <w:lang w:val="es-ES" w:eastAsia="es-AR"/>
        </w:rPr>
      </w:pPr>
      <w:bookmarkStart w:id="863" w:name="_Toc495973066"/>
      <w:bookmarkStart w:id="864" w:name="_Toc495399973"/>
      <w:r w:rsidRPr="00AE4E8D">
        <w:rPr>
          <w:rFonts w:ascii="Times New Roman" w:hAnsi="Times New Roman"/>
          <w:b/>
          <w:lang w:val="es-ES" w:eastAsia="es-AR"/>
        </w:rPr>
        <w:t>Canadá</w:t>
      </w:r>
      <w:bookmarkEnd w:id="863"/>
      <w:bookmarkEnd w:id="864"/>
    </w:p>
    <w:p w14:paraId="0BFC28A5" w14:textId="77777777" w:rsidR="00CB5660" w:rsidRPr="00AE4E8D" w:rsidRDefault="00CB5660" w:rsidP="0010095F">
      <w:pPr>
        <w:spacing w:before="120" w:after="120"/>
        <w:jc w:val="both"/>
        <w:rPr>
          <w:rFonts w:ascii="Times New Roman" w:hAnsi="Times New Roman"/>
          <w:lang w:val="es-ES" w:eastAsia="es-AR"/>
        </w:rPr>
      </w:pPr>
      <w:r w:rsidRPr="00AE4E8D">
        <w:rPr>
          <w:rFonts w:ascii="Times New Roman" w:hAnsi="Times New Roman"/>
          <w:lang w:val="es-ES" w:eastAsia="es-AR"/>
        </w:rPr>
        <w:t xml:space="preserve">Las Obligaciones Negociables pueden ser vendidas únicamente a aquellos compradores considerados inversores calificados, tal como se define en el Instrumento Nacional 45-106 Exenciones del Prospecto o apartado </w:t>
      </w:r>
      <w:proofErr w:type="gramStart"/>
      <w:r w:rsidRPr="00AE4E8D">
        <w:rPr>
          <w:rFonts w:ascii="Times New Roman" w:hAnsi="Times New Roman"/>
          <w:lang w:val="es-ES" w:eastAsia="es-AR"/>
        </w:rPr>
        <w:t>73.3(</w:t>
      </w:r>
      <w:proofErr w:type="gramEnd"/>
      <w:r w:rsidRPr="00AE4E8D">
        <w:rPr>
          <w:rFonts w:ascii="Times New Roman" w:hAnsi="Times New Roman"/>
          <w:lang w:val="es-ES" w:eastAsia="es-AR"/>
        </w:rPr>
        <w:t xml:space="preserve">1) de la Securities Act (Ontario), y están permitidos los cliente definidos en el National Instrument 31-103 Registration Requirements, Exemptions and Ongoing Registrant Obligations. Cualquier reventa de las Obligaciones Negociables debe hacerse de conformidad con el formulario de excepción, o en una operación no sujeta a los requisitos del prospecto de las leyes de valores aplicables. </w:t>
      </w:r>
    </w:p>
    <w:p w14:paraId="63B0035A" w14:textId="77777777" w:rsidR="00CB5660" w:rsidRPr="00AE4E8D" w:rsidRDefault="00CB5660" w:rsidP="0010095F">
      <w:pPr>
        <w:spacing w:before="120" w:after="120"/>
        <w:jc w:val="both"/>
        <w:rPr>
          <w:rFonts w:ascii="Times New Roman" w:hAnsi="Times New Roman"/>
          <w:lang w:val="es-ES" w:eastAsia="es-AR"/>
        </w:rPr>
      </w:pPr>
      <w:r w:rsidRPr="00AE4E8D">
        <w:rPr>
          <w:rFonts w:ascii="Times New Roman" w:hAnsi="Times New Roman"/>
          <w:lang w:val="es-ES" w:eastAsia="es-AR"/>
        </w:rPr>
        <w:t xml:space="preserve">La legislación de valores en ciertas provincias o territorios de Canadá puede proporcionar a un comprador recursos en casos de rescisión o daños si este Prospecto (incluyendo cualquier modificación del mismo) contiene una declaración falsa, siempre que los recursos en casos de rescisión o daños sean ejercidas por el comprador en el plazo prescrito por la legislación de valores de la provincia o territorio del comprador. El comprador debe hacer referencia a las disposiciones aplicables de la legislación de valores de la provincia o territorio del comprador para la aplicación de estos derechos o consultar con un asesor legal. </w:t>
      </w:r>
    </w:p>
    <w:p w14:paraId="727D837C" w14:textId="77777777" w:rsidR="003D4EA7" w:rsidRPr="00AE4E8D" w:rsidRDefault="00CB5660" w:rsidP="00474216">
      <w:pPr>
        <w:rPr>
          <w:rFonts w:ascii="Times New Roman" w:hAnsi="Times New Roman"/>
          <w:lang w:val="es-ES" w:eastAsia="es-AR"/>
        </w:rPr>
      </w:pPr>
      <w:bookmarkStart w:id="865" w:name="_Toc487735040"/>
      <w:r w:rsidRPr="00AE4E8D">
        <w:rPr>
          <w:rFonts w:ascii="Times New Roman" w:hAnsi="Times New Roman"/>
          <w:lang w:val="es-ES" w:eastAsia="es-AR"/>
        </w:rPr>
        <w:t>De conformidad con la sección 3A.3 (o, en el caso de valores emitidos o garantizados por el gobierno de una jurisdicción no canadiense, la sección 3A.4) del National Instrument 33-105 Underwriting Conflicts (NI 33-105), a los compradores iniciales no se les requiere cumplir con los requerimientos del NI 33-105 con respecto a los conflictos de interés de suscripción en relación con la emisión</w:t>
      </w:r>
      <w:r w:rsidR="00C91B06" w:rsidRPr="00AE4E8D">
        <w:rPr>
          <w:rFonts w:ascii="Times New Roman" w:hAnsi="Times New Roman"/>
          <w:lang w:val="es-ES" w:eastAsia="es-AR"/>
        </w:rPr>
        <w:t xml:space="preserve"> de las Obligaciones Negociables</w:t>
      </w:r>
      <w:r w:rsidRPr="00AE4E8D">
        <w:rPr>
          <w:rFonts w:ascii="Times New Roman" w:hAnsi="Times New Roman"/>
          <w:lang w:val="es-ES" w:eastAsia="es-AR"/>
        </w:rPr>
        <w:t>.</w:t>
      </w:r>
      <w:bookmarkStart w:id="866" w:name="_Toc420062656"/>
      <w:bookmarkStart w:id="867" w:name="_Toc421201540"/>
      <w:bookmarkEnd w:id="865"/>
    </w:p>
    <w:p w14:paraId="542A2C8C" w14:textId="77777777" w:rsidR="00CB5660" w:rsidRPr="00AE4E8D" w:rsidRDefault="00CB5660" w:rsidP="00CC3B07">
      <w:pPr>
        <w:keepNext/>
        <w:autoSpaceDE w:val="0"/>
        <w:autoSpaceDN w:val="0"/>
        <w:adjustRightInd w:val="0"/>
        <w:spacing w:before="240" w:after="240"/>
        <w:outlineLvl w:val="1"/>
        <w:rPr>
          <w:rFonts w:ascii="Times New Roman" w:hAnsi="Times New Roman"/>
          <w:b/>
          <w:lang w:val="es-ES" w:eastAsia="es-AR"/>
        </w:rPr>
      </w:pPr>
      <w:bookmarkStart w:id="868" w:name="_Toc495973067"/>
      <w:bookmarkStart w:id="869" w:name="_Toc495399974"/>
      <w:r w:rsidRPr="00AE4E8D">
        <w:rPr>
          <w:rFonts w:ascii="Times New Roman" w:hAnsi="Times New Roman"/>
          <w:b/>
          <w:lang w:val="es-ES" w:eastAsia="es-AR"/>
        </w:rPr>
        <w:t>Otras Jurisdicciones</w:t>
      </w:r>
      <w:bookmarkEnd w:id="862"/>
      <w:bookmarkEnd w:id="866"/>
      <w:bookmarkEnd w:id="867"/>
      <w:bookmarkEnd w:id="868"/>
      <w:bookmarkEnd w:id="869"/>
    </w:p>
    <w:p w14:paraId="70FBE47A" w14:textId="77777777" w:rsidR="00CB5660" w:rsidRPr="00AE4E8D" w:rsidRDefault="00CB5660" w:rsidP="00CC3B07">
      <w:pPr>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No hemos adoptado ni adoptaremos ninguna medida en ninguna jurisdicción que permitiría una oferta pública de las Obligaciones Negociables, o la posesión o distribución de cualquier material de oferta en relación con éstas, en ningún país o jurisdicción en que se requiera una acción a tal efecto. Solicitamos a las personas a cuyas manos llegue este Prospecto el cumplimiento de todas las leyes aplicables a su propio cargo.</w:t>
      </w:r>
    </w:p>
    <w:p w14:paraId="0A791290" w14:textId="77777777" w:rsidR="00CB5660" w:rsidRPr="00AE4E8D" w:rsidRDefault="00CB5660" w:rsidP="00CC3B07">
      <w:pPr>
        <w:pStyle w:val="BH1Centro"/>
        <w:rPr>
          <w:rFonts w:ascii="Times New Roman" w:hAnsi="Times New Roman"/>
          <w:lang w:val="es-ES"/>
        </w:rPr>
      </w:pPr>
      <w:r w:rsidRPr="00AE4E8D">
        <w:rPr>
          <w:rFonts w:ascii="Times New Roman" w:hAnsi="Times New Roman"/>
          <w:highlight w:val="cyan"/>
          <w:lang w:val="es-ES"/>
        </w:rPr>
        <w:br w:type="page"/>
      </w:r>
      <w:bookmarkStart w:id="870" w:name="_Toc414610951"/>
      <w:bookmarkStart w:id="871" w:name="_Toc420062657"/>
      <w:bookmarkStart w:id="872" w:name="_Toc421201541"/>
      <w:bookmarkStart w:id="873" w:name="_Toc449010442"/>
      <w:bookmarkStart w:id="874" w:name="_Toc487734751"/>
      <w:bookmarkStart w:id="875" w:name="_Toc495973068"/>
      <w:bookmarkStart w:id="876" w:name="_Toc495399975"/>
      <w:r w:rsidRPr="00AE4E8D">
        <w:rPr>
          <w:rFonts w:ascii="Times New Roman" w:hAnsi="Times New Roman"/>
          <w:lang w:val="es-ES"/>
        </w:rPr>
        <w:lastRenderedPageBreak/>
        <w:t>INFORMACIÓN ADICIONAL</w:t>
      </w:r>
      <w:bookmarkEnd w:id="870"/>
      <w:bookmarkEnd w:id="871"/>
      <w:bookmarkEnd w:id="872"/>
      <w:bookmarkEnd w:id="873"/>
      <w:bookmarkEnd w:id="874"/>
      <w:bookmarkEnd w:id="875"/>
      <w:bookmarkEnd w:id="876"/>
      <w:r w:rsidRPr="00AE4E8D">
        <w:rPr>
          <w:rFonts w:ascii="Times New Roman" w:hAnsi="Times New Roman"/>
          <w:lang w:val="es-ES"/>
        </w:rPr>
        <w:t xml:space="preserve"> </w:t>
      </w:r>
    </w:p>
    <w:p w14:paraId="61C9C3B3" w14:textId="77777777" w:rsidR="00CB5660" w:rsidRPr="00AE4E8D" w:rsidRDefault="00CB5660" w:rsidP="006659E6">
      <w:pPr>
        <w:pStyle w:val="BH2Izquierda"/>
        <w:rPr>
          <w:lang w:val="es-ES"/>
        </w:rPr>
      </w:pPr>
      <w:bookmarkStart w:id="877" w:name="_Toc420062658"/>
      <w:bookmarkStart w:id="878" w:name="_Toc421201542"/>
      <w:bookmarkStart w:id="879" w:name="_Toc495973069"/>
      <w:bookmarkStart w:id="880" w:name="_Toc495399976"/>
      <w:bookmarkStart w:id="881" w:name="_Toc170617879"/>
      <w:bookmarkStart w:id="882" w:name="_Toc170643869"/>
      <w:bookmarkStart w:id="883" w:name="_Toc414610952"/>
      <w:r w:rsidRPr="00AE4E8D">
        <w:rPr>
          <w:lang w:val="es-ES"/>
        </w:rPr>
        <w:t>a) Descripción del Capital Social</w:t>
      </w:r>
      <w:bookmarkEnd w:id="877"/>
      <w:bookmarkEnd w:id="878"/>
      <w:bookmarkEnd w:id="879"/>
      <w:bookmarkEnd w:id="880"/>
    </w:p>
    <w:p w14:paraId="14659C5F" w14:textId="77777777" w:rsidR="00CB5660" w:rsidRPr="00AE4E8D" w:rsidRDefault="00CB5660" w:rsidP="006659E6">
      <w:pPr>
        <w:pStyle w:val="BHTexto"/>
        <w:rPr>
          <w:lang w:val="es-ES"/>
        </w:rPr>
      </w:pPr>
      <w:r w:rsidRPr="00AE4E8D">
        <w:rPr>
          <w:lang w:val="es-ES"/>
        </w:rPr>
        <w:t>A continuación se presenta un breve resumen de algunas disposiciones importantes de nuestros Estatutos y de leyes y regulaciones de Argentina con respecto al capital social. Esta descripción no tiene la intención de ser completa y está calificada por referencia a los Estatutos, el derecho argentino y las Normas de la CNV y otras reglamentaciones.</w:t>
      </w:r>
    </w:p>
    <w:p w14:paraId="192CA309" w14:textId="77777777" w:rsidR="00CB5660" w:rsidRPr="00AE4E8D" w:rsidRDefault="00CB5660" w:rsidP="006659E6">
      <w:pPr>
        <w:pStyle w:val="BHTexto"/>
        <w:rPr>
          <w:lang w:val="es-ES"/>
        </w:rPr>
      </w:pPr>
      <w:r w:rsidRPr="00AE4E8D">
        <w:rPr>
          <w:lang w:val="es-ES"/>
        </w:rPr>
        <w:t>Nuestros Estatutos se rigen por la ley argentina y cualquier acción relacionada con el cumplimiento de los Estatutos o los derechos de accionistas en virtud de ellos debe ser iniciados ante los tribunales argentinos. Bajo nuestros Estatutos, nuestro plazo de duración es de 100 años desde la fecha de registro de nuestros Estatutos en el Registro Público de Comercio (hasta el 23 de octubre 2097).</w:t>
      </w:r>
    </w:p>
    <w:p w14:paraId="60773E6C" w14:textId="77777777" w:rsidR="00CB5660" w:rsidRPr="00AE4E8D" w:rsidRDefault="00CB5660" w:rsidP="006659E6">
      <w:pPr>
        <w:pStyle w:val="BH3Izquierda"/>
        <w:rPr>
          <w:lang w:val="es-ES"/>
        </w:rPr>
      </w:pPr>
      <w:bookmarkStart w:id="884" w:name="_Toc420062659"/>
      <w:bookmarkStart w:id="885" w:name="_Toc421201543"/>
      <w:r w:rsidRPr="00AE4E8D">
        <w:rPr>
          <w:lang w:val="es-ES"/>
        </w:rPr>
        <w:t>Capital Social</w:t>
      </w:r>
      <w:bookmarkEnd w:id="884"/>
      <w:bookmarkEnd w:id="885"/>
      <w:r w:rsidRPr="00AE4E8D">
        <w:rPr>
          <w:lang w:val="es-ES"/>
        </w:rPr>
        <w:t xml:space="preserve"> </w:t>
      </w:r>
    </w:p>
    <w:p w14:paraId="59A2B13D" w14:textId="77777777" w:rsidR="00CB5660" w:rsidRPr="00AE4E8D" w:rsidRDefault="00CB5660" w:rsidP="006659E6">
      <w:pPr>
        <w:pStyle w:val="BHTexto"/>
        <w:rPr>
          <w:lang w:val="es-ES"/>
        </w:rPr>
      </w:pPr>
      <w:r w:rsidRPr="00AE4E8D">
        <w:rPr>
          <w:lang w:val="es-ES"/>
        </w:rPr>
        <w:t xml:space="preserve">De conformidad con nuestro Estatuto, el capital social </w:t>
      </w:r>
      <w:r w:rsidR="00F64BD6" w:rsidRPr="00AE4E8D">
        <w:rPr>
          <w:lang w:val="es-ES"/>
        </w:rPr>
        <w:t xml:space="preserve">del Banco </w:t>
      </w:r>
      <w:r w:rsidRPr="00AE4E8D">
        <w:rPr>
          <w:lang w:val="es-ES"/>
        </w:rPr>
        <w:t xml:space="preserve">emitido al </w:t>
      </w:r>
      <w:r w:rsidR="001C79F8" w:rsidRPr="00AE4E8D">
        <w:rPr>
          <w:lang w:val="es-ES"/>
        </w:rPr>
        <w:t>30</w:t>
      </w:r>
      <w:r w:rsidRPr="00AE4E8D">
        <w:rPr>
          <w:lang w:val="es-ES"/>
        </w:rPr>
        <w:t xml:space="preserve"> de </w:t>
      </w:r>
      <w:r w:rsidR="001C79F8" w:rsidRPr="00AE4E8D">
        <w:rPr>
          <w:lang w:val="es-ES"/>
        </w:rPr>
        <w:t>junio</w:t>
      </w:r>
      <w:r w:rsidRPr="00AE4E8D">
        <w:rPr>
          <w:lang w:val="es-ES"/>
        </w:rPr>
        <w:t xml:space="preserve"> de 201</w:t>
      </w:r>
      <w:r w:rsidR="00A0279A" w:rsidRPr="00AE4E8D">
        <w:rPr>
          <w:lang w:val="es-ES"/>
        </w:rPr>
        <w:t>7</w:t>
      </w:r>
      <w:r w:rsidRPr="00AE4E8D">
        <w:rPr>
          <w:lang w:val="es-ES"/>
        </w:rPr>
        <w:t xml:space="preserve"> asciende a la suma de Ps.1.500.000.000, el cual está representado por 1.500.000.000 de acciones ordinarias, escriturales, de un valor nominal un Peso (Ps.1</w:t>
      </w:r>
      <w:proofErr w:type="gramStart"/>
      <w:r w:rsidRPr="00AE4E8D">
        <w:rPr>
          <w:lang w:val="es-ES"/>
        </w:rPr>
        <w:t>,00</w:t>
      </w:r>
      <w:proofErr w:type="gramEnd"/>
      <w:r w:rsidRPr="00AE4E8D">
        <w:rPr>
          <w:lang w:val="es-ES"/>
        </w:rPr>
        <w:t>) cada una. El monto de capital emitido para cada Clase de acciones es de:</w:t>
      </w:r>
    </w:p>
    <w:tbl>
      <w:tblPr>
        <w:tblW w:w="0" w:type="auto"/>
        <w:jc w:val="right"/>
        <w:tblLook w:val="00A0" w:firstRow="1" w:lastRow="0" w:firstColumn="1" w:lastColumn="0" w:noHBand="0" w:noVBand="0"/>
      </w:tblPr>
      <w:tblGrid>
        <w:gridCol w:w="6071"/>
        <w:gridCol w:w="2359"/>
      </w:tblGrid>
      <w:tr w:rsidR="001C79F8" w:rsidRPr="00AE4E8D" w14:paraId="46B8BB6F" w14:textId="77777777" w:rsidTr="000400C8">
        <w:trPr>
          <w:trHeight w:val="316"/>
          <w:jc w:val="right"/>
        </w:trPr>
        <w:tc>
          <w:tcPr>
            <w:tcW w:w="0" w:type="auto"/>
          </w:tcPr>
          <w:p w14:paraId="5176629A" w14:textId="77777777" w:rsidR="001C79F8" w:rsidRPr="00AE4E8D" w:rsidRDefault="001C79F8" w:rsidP="001C0B2A">
            <w:pPr>
              <w:widowControl w:val="0"/>
              <w:tabs>
                <w:tab w:val="right" w:leader="dot" w:pos="5855"/>
              </w:tabs>
              <w:autoSpaceDE w:val="0"/>
              <w:autoSpaceDN w:val="0"/>
              <w:adjustRightInd w:val="0"/>
              <w:rPr>
                <w:rFonts w:ascii="Times New Roman" w:hAnsi="Times New Roman"/>
                <w:color w:val="000000"/>
                <w:lang w:val="es-ES"/>
              </w:rPr>
            </w:pPr>
            <w:r w:rsidRPr="00AE4E8D">
              <w:rPr>
                <w:rFonts w:ascii="Times New Roman" w:hAnsi="Times New Roman"/>
                <w:color w:val="000000"/>
                <w:lang w:val="es-ES"/>
              </w:rPr>
              <w:t>Acciones Clase A</w:t>
            </w:r>
            <w:r w:rsidRPr="00AE4E8D">
              <w:rPr>
                <w:rFonts w:ascii="Times New Roman" w:hAnsi="Times New Roman"/>
                <w:lang w:val="es-ES"/>
              </w:rPr>
              <w:tab/>
            </w:r>
          </w:p>
        </w:tc>
        <w:tc>
          <w:tcPr>
            <w:tcW w:w="2359" w:type="dxa"/>
          </w:tcPr>
          <w:p w14:paraId="45B187EF" w14:textId="77777777" w:rsidR="001C79F8" w:rsidRPr="00AE4E8D" w:rsidRDefault="001C79F8" w:rsidP="00FE7984">
            <w:pPr>
              <w:widowControl w:val="0"/>
              <w:tabs>
                <w:tab w:val="right" w:leader="dot" w:pos="5310"/>
              </w:tabs>
              <w:autoSpaceDE w:val="0"/>
              <w:autoSpaceDN w:val="0"/>
              <w:adjustRightInd w:val="0"/>
              <w:ind w:left="-97"/>
              <w:rPr>
                <w:rFonts w:ascii="Times New Roman" w:hAnsi="Times New Roman"/>
                <w:color w:val="000000"/>
                <w:lang w:val="es-ES"/>
              </w:rPr>
            </w:pPr>
            <w:r w:rsidRPr="00AE4E8D">
              <w:rPr>
                <w:rFonts w:ascii="Times New Roman" w:hAnsi="Times New Roman"/>
                <w:lang w:val="es-ES"/>
              </w:rPr>
              <w:t>Ps.664.818.687</w:t>
            </w:r>
          </w:p>
        </w:tc>
      </w:tr>
      <w:tr w:rsidR="001C79F8" w:rsidRPr="00AE4E8D" w14:paraId="36C7B789" w14:textId="77777777" w:rsidTr="000400C8">
        <w:trPr>
          <w:trHeight w:val="337"/>
          <w:jc w:val="right"/>
        </w:trPr>
        <w:tc>
          <w:tcPr>
            <w:tcW w:w="0" w:type="auto"/>
          </w:tcPr>
          <w:p w14:paraId="37FB6279" w14:textId="77777777" w:rsidR="001C79F8" w:rsidRPr="00AE4E8D" w:rsidRDefault="001C79F8" w:rsidP="001C0B2A">
            <w:pPr>
              <w:widowControl w:val="0"/>
              <w:tabs>
                <w:tab w:val="right" w:leader="dot" w:pos="5855"/>
              </w:tabs>
              <w:autoSpaceDE w:val="0"/>
              <w:autoSpaceDN w:val="0"/>
              <w:adjustRightInd w:val="0"/>
              <w:rPr>
                <w:rFonts w:ascii="Times New Roman" w:hAnsi="Times New Roman"/>
                <w:color w:val="000000"/>
                <w:lang w:val="es-ES"/>
              </w:rPr>
            </w:pPr>
            <w:r w:rsidRPr="00AE4E8D">
              <w:rPr>
                <w:rFonts w:ascii="Times New Roman" w:hAnsi="Times New Roman"/>
                <w:color w:val="000000"/>
                <w:lang w:val="es-ES"/>
              </w:rPr>
              <w:t>Acciones Clase B</w:t>
            </w:r>
            <w:r w:rsidRPr="00AE4E8D">
              <w:rPr>
                <w:rFonts w:ascii="Times New Roman" w:hAnsi="Times New Roman"/>
                <w:lang w:val="es-ES"/>
              </w:rPr>
              <w:tab/>
            </w:r>
          </w:p>
        </w:tc>
        <w:tc>
          <w:tcPr>
            <w:tcW w:w="2359" w:type="dxa"/>
          </w:tcPr>
          <w:p w14:paraId="41FD8AEF" w14:textId="77777777" w:rsidR="001C79F8" w:rsidRPr="00AE4E8D" w:rsidRDefault="001C79F8" w:rsidP="001C0B2A">
            <w:pPr>
              <w:widowControl w:val="0"/>
              <w:tabs>
                <w:tab w:val="right" w:leader="dot" w:pos="5310"/>
              </w:tabs>
              <w:autoSpaceDE w:val="0"/>
              <w:autoSpaceDN w:val="0"/>
              <w:adjustRightInd w:val="0"/>
              <w:ind w:left="-97"/>
              <w:rPr>
                <w:rFonts w:ascii="Times New Roman" w:hAnsi="Times New Roman"/>
                <w:color w:val="000000"/>
                <w:lang w:val="es-ES"/>
              </w:rPr>
            </w:pPr>
            <w:r w:rsidRPr="00AE4E8D">
              <w:rPr>
                <w:rFonts w:ascii="Times New Roman" w:hAnsi="Times New Roman"/>
                <w:lang w:val="es-ES"/>
              </w:rPr>
              <w:t>Ps.57.009.279</w:t>
            </w:r>
          </w:p>
        </w:tc>
      </w:tr>
      <w:tr w:rsidR="001C79F8" w:rsidRPr="00AE4E8D" w14:paraId="0606B1BF" w14:textId="77777777" w:rsidTr="000400C8">
        <w:trPr>
          <w:trHeight w:val="337"/>
          <w:jc w:val="right"/>
        </w:trPr>
        <w:tc>
          <w:tcPr>
            <w:tcW w:w="0" w:type="auto"/>
          </w:tcPr>
          <w:p w14:paraId="26D8CBE7" w14:textId="77777777" w:rsidR="001C79F8" w:rsidRPr="00AE4E8D" w:rsidRDefault="001C79F8" w:rsidP="001C0B2A">
            <w:pPr>
              <w:widowControl w:val="0"/>
              <w:tabs>
                <w:tab w:val="right" w:leader="dot" w:pos="5855"/>
              </w:tabs>
              <w:autoSpaceDE w:val="0"/>
              <w:autoSpaceDN w:val="0"/>
              <w:adjustRightInd w:val="0"/>
              <w:rPr>
                <w:rFonts w:ascii="Times New Roman" w:hAnsi="Times New Roman"/>
                <w:color w:val="000000"/>
                <w:lang w:val="es-ES"/>
              </w:rPr>
            </w:pPr>
            <w:r w:rsidRPr="00AE4E8D">
              <w:rPr>
                <w:rFonts w:ascii="Times New Roman" w:hAnsi="Times New Roman"/>
                <w:color w:val="000000"/>
                <w:lang w:val="es-ES"/>
              </w:rPr>
              <w:t>Acciones Clase C</w:t>
            </w:r>
            <w:r w:rsidRPr="00AE4E8D">
              <w:rPr>
                <w:rFonts w:ascii="Times New Roman" w:hAnsi="Times New Roman"/>
                <w:lang w:val="es-ES"/>
              </w:rPr>
              <w:tab/>
            </w:r>
          </w:p>
        </w:tc>
        <w:tc>
          <w:tcPr>
            <w:tcW w:w="2359" w:type="dxa"/>
          </w:tcPr>
          <w:p w14:paraId="66131B2E" w14:textId="77777777" w:rsidR="001C79F8" w:rsidRPr="00AE4E8D" w:rsidRDefault="001C79F8" w:rsidP="001C0B2A">
            <w:pPr>
              <w:widowControl w:val="0"/>
              <w:tabs>
                <w:tab w:val="right" w:leader="dot" w:pos="5310"/>
              </w:tabs>
              <w:autoSpaceDE w:val="0"/>
              <w:autoSpaceDN w:val="0"/>
              <w:adjustRightInd w:val="0"/>
              <w:ind w:left="-97"/>
              <w:rPr>
                <w:rFonts w:ascii="Times New Roman" w:hAnsi="Times New Roman"/>
                <w:color w:val="000000"/>
                <w:lang w:val="es-ES"/>
              </w:rPr>
            </w:pPr>
            <w:r w:rsidRPr="00AE4E8D">
              <w:rPr>
                <w:rFonts w:ascii="Times New Roman" w:hAnsi="Times New Roman"/>
                <w:lang w:val="es-ES"/>
              </w:rPr>
              <w:t>Ps.75.000.000</w:t>
            </w:r>
          </w:p>
        </w:tc>
      </w:tr>
      <w:tr w:rsidR="001C79F8" w:rsidRPr="00AE4E8D" w14:paraId="1316794B" w14:textId="77777777" w:rsidTr="000400C8">
        <w:trPr>
          <w:trHeight w:val="337"/>
          <w:jc w:val="right"/>
        </w:trPr>
        <w:tc>
          <w:tcPr>
            <w:tcW w:w="0" w:type="auto"/>
          </w:tcPr>
          <w:p w14:paraId="49DD8D6E" w14:textId="77777777" w:rsidR="001C79F8" w:rsidRPr="00AE4E8D" w:rsidRDefault="001C79F8" w:rsidP="001C0B2A">
            <w:pPr>
              <w:widowControl w:val="0"/>
              <w:tabs>
                <w:tab w:val="right" w:leader="dot" w:pos="5855"/>
              </w:tabs>
              <w:autoSpaceDE w:val="0"/>
              <w:autoSpaceDN w:val="0"/>
              <w:adjustRightInd w:val="0"/>
              <w:rPr>
                <w:rFonts w:ascii="Times New Roman" w:hAnsi="Times New Roman"/>
                <w:color w:val="000000"/>
                <w:lang w:val="es-ES"/>
              </w:rPr>
            </w:pPr>
            <w:r w:rsidRPr="00AE4E8D">
              <w:rPr>
                <w:rFonts w:ascii="Times New Roman" w:hAnsi="Times New Roman"/>
                <w:color w:val="000000"/>
                <w:lang w:val="es-ES"/>
              </w:rPr>
              <w:t>Acciones Clase D</w:t>
            </w:r>
            <w:r w:rsidRPr="00AE4E8D">
              <w:rPr>
                <w:rFonts w:ascii="Times New Roman" w:hAnsi="Times New Roman"/>
                <w:lang w:val="es-ES"/>
              </w:rPr>
              <w:tab/>
            </w:r>
          </w:p>
        </w:tc>
        <w:tc>
          <w:tcPr>
            <w:tcW w:w="2359" w:type="dxa"/>
          </w:tcPr>
          <w:p w14:paraId="538792C5" w14:textId="77777777" w:rsidR="001C79F8" w:rsidRPr="00AE4E8D" w:rsidRDefault="001C79F8" w:rsidP="00FE7984">
            <w:pPr>
              <w:widowControl w:val="0"/>
              <w:tabs>
                <w:tab w:val="right" w:leader="dot" w:pos="5310"/>
              </w:tabs>
              <w:autoSpaceDE w:val="0"/>
              <w:autoSpaceDN w:val="0"/>
              <w:adjustRightInd w:val="0"/>
              <w:ind w:left="-97"/>
              <w:rPr>
                <w:rFonts w:ascii="Times New Roman" w:hAnsi="Times New Roman"/>
                <w:color w:val="000000"/>
                <w:lang w:val="es-ES" w:eastAsia="es-AR"/>
              </w:rPr>
            </w:pPr>
            <w:r w:rsidRPr="00AE4E8D">
              <w:rPr>
                <w:rFonts w:ascii="Times New Roman" w:hAnsi="Times New Roman"/>
                <w:lang w:val="es-ES"/>
              </w:rPr>
              <w:t>Ps.703.172.034</w:t>
            </w:r>
          </w:p>
        </w:tc>
      </w:tr>
    </w:tbl>
    <w:p w14:paraId="6037F109" w14:textId="77777777" w:rsidR="00CB5660" w:rsidRPr="00AE4E8D" w:rsidRDefault="00CB5660" w:rsidP="00A22DB4">
      <w:pPr>
        <w:tabs>
          <w:tab w:val="left" w:pos="567"/>
        </w:tabs>
        <w:autoSpaceDE w:val="0"/>
        <w:autoSpaceDN w:val="0"/>
        <w:adjustRightInd w:val="0"/>
        <w:ind w:left="567" w:hanging="567"/>
        <w:jc w:val="both"/>
        <w:rPr>
          <w:rFonts w:ascii="Times New Roman" w:hAnsi="Times New Roman"/>
          <w:sz w:val="16"/>
          <w:lang w:val="es-ES"/>
        </w:rPr>
      </w:pPr>
      <w:r w:rsidRPr="00AE4E8D">
        <w:rPr>
          <w:rFonts w:ascii="Times New Roman" w:hAnsi="Times New Roman"/>
          <w:sz w:val="16"/>
          <w:lang w:val="es-ES"/>
        </w:rPr>
        <w:t>(*) La última información publicada en la AIF en relación a nuestro capital social a la fecha del presente Programa, se encuentra incorporada en la sección “</w:t>
      </w:r>
      <w:r w:rsidRPr="00AE4E8D">
        <w:rPr>
          <w:rFonts w:ascii="Times New Roman" w:hAnsi="Times New Roman"/>
          <w:i/>
          <w:sz w:val="16"/>
          <w:lang w:val="es-ES"/>
        </w:rPr>
        <w:t>Información clave sobre la emisora – c) Hechos Relevantes - Instrumentación de Programa de Propiedad Participada (“PPP”)</w:t>
      </w:r>
      <w:r w:rsidRPr="00AE4E8D">
        <w:rPr>
          <w:rFonts w:ascii="Times New Roman" w:hAnsi="Times New Roman"/>
          <w:sz w:val="16"/>
          <w:lang w:val="es-ES"/>
        </w:rPr>
        <w:t>” del presente Programa.</w:t>
      </w:r>
      <w:r w:rsidR="00EB3492" w:rsidRPr="00AE4E8D">
        <w:rPr>
          <w:rFonts w:ascii="Times New Roman" w:hAnsi="Times New Roman"/>
          <w:lang w:val="es-ES"/>
        </w:rPr>
        <w:t xml:space="preserve"> </w:t>
      </w:r>
    </w:p>
    <w:p w14:paraId="5D26C859" w14:textId="77777777" w:rsidR="00CB5660" w:rsidRPr="00AE4E8D" w:rsidRDefault="00CB5660" w:rsidP="006659E6">
      <w:pPr>
        <w:pStyle w:val="BHTexto"/>
        <w:rPr>
          <w:lang w:val="es-ES"/>
        </w:rPr>
      </w:pPr>
      <w:r w:rsidRPr="00AE4E8D">
        <w:rPr>
          <w:lang w:val="es-ES"/>
        </w:rPr>
        <w:t>Durante los meses de diciembre de 2013 y de abril de 2014, informamos en función de un requerimiento en virtud del Decreto N°2127 del 7 de noviembre de 2012 y de la Resolución N°264 del 18 de junio de 2013 del Ministerio de Economía y Finanzas Públicas, la conversión de Acciones Ordinarias “Clase A” en igual Acciones Ordinarias “Clase D”, y su transferencia de titularidad.</w:t>
      </w:r>
    </w:p>
    <w:p w14:paraId="33E0F59E" w14:textId="77777777" w:rsidR="00CB5660" w:rsidRPr="00AE4E8D" w:rsidRDefault="00CB5660" w:rsidP="006659E6">
      <w:pPr>
        <w:pStyle w:val="BHTexto"/>
        <w:rPr>
          <w:lang w:val="es-ES"/>
        </w:rPr>
      </w:pPr>
      <w:r w:rsidRPr="00AE4E8D">
        <w:rPr>
          <w:lang w:val="es-ES"/>
        </w:rPr>
        <w:t xml:space="preserve">El 14 de febrero de 2007, entró en vigencia el cambio del valor nominal de nuestras acciones, lo que no implicó un cambio en nuestro capital social. En la Asamblea General Ordinaria y Extraordinaria de Accionistas celebrada el 21 de julio de 2006, nuestros accionistas resolvieron mantener el capital suscripto e integrado de Ps.1.500.000.000, representado por 1.500.000.000 de acciones ordinarias. Los accionistas también registraron las acciones escriturales de un Peso (Ps.1) valor nominal cada una y con derecho a un voto por acción, salvo por el derecho de voto múltiple conferido a las acciones Clase D. </w:t>
      </w:r>
    </w:p>
    <w:p w14:paraId="583B8ED4" w14:textId="77777777" w:rsidR="00CB5660" w:rsidRPr="00AE4E8D" w:rsidRDefault="00CB5660" w:rsidP="006659E6">
      <w:pPr>
        <w:pStyle w:val="BHTexto"/>
        <w:rPr>
          <w:lang w:val="es-ES"/>
        </w:rPr>
      </w:pPr>
      <w:r w:rsidRPr="00AE4E8D">
        <w:rPr>
          <w:lang w:val="es-ES"/>
        </w:rPr>
        <w:t>El total de acciones emitidas están totalmente integradas. No hubo variación de la cantidad de acciones en circulación en el último año. Asimismo, el capital ha sido totalmente integrado. El capital se ha mantenido constante en los últimos 3 años habiéndose registrado una variación no sustancial respecto del número de acciones que integran las distintas clases.</w:t>
      </w:r>
    </w:p>
    <w:p w14:paraId="7FE35273" w14:textId="77777777" w:rsidR="00CB5660" w:rsidRPr="00AE4E8D" w:rsidRDefault="00CB5660" w:rsidP="006659E6">
      <w:pPr>
        <w:pStyle w:val="BHTexto"/>
        <w:rPr>
          <w:lang w:val="es-ES"/>
        </w:rPr>
      </w:pPr>
      <w:r w:rsidRPr="00AE4E8D">
        <w:rPr>
          <w:lang w:val="es-ES"/>
        </w:rPr>
        <w:t>En virtud de lo dispuesto en la Ley de Privatización y en nuestro Estatuto, las acciones que conforman nuestro capital social se dividen en las siguientes clases:</w:t>
      </w:r>
    </w:p>
    <w:p w14:paraId="4EDEF425" w14:textId="77777777" w:rsidR="00CB5660" w:rsidRPr="00AE4E8D" w:rsidRDefault="00CB5660" w:rsidP="00933012">
      <w:pPr>
        <w:numPr>
          <w:ilvl w:val="0"/>
          <w:numId w:val="42"/>
        </w:numPr>
        <w:tabs>
          <w:tab w:val="left" w:pos="1418"/>
        </w:tabs>
        <w:autoSpaceDE w:val="0"/>
        <w:autoSpaceDN w:val="0"/>
        <w:adjustRightInd w:val="0"/>
        <w:spacing w:before="120" w:after="120"/>
        <w:ind w:hanging="369"/>
        <w:jc w:val="both"/>
        <w:rPr>
          <w:rFonts w:ascii="Times New Roman" w:hAnsi="Times New Roman"/>
          <w:lang w:val="es-ES" w:eastAsia="es-AR"/>
        </w:rPr>
      </w:pPr>
      <w:r w:rsidRPr="00AE4E8D">
        <w:rPr>
          <w:rFonts w:ascii="Times New Roman" w:hAnsi="Times New Roman"/>
          <w:lang w:val="es-ES" w:eastAsia="es-AR"/>
        </w:rPr>
        <w:t xml:space="preserve">Acciones Clase A, que representan acciones de propiedad del Gobierno Argentino en forma directa e indirecta, y que actualmente comprenden el </w:t>
      </w:r>
      <w:r w:rsidRPr="00AE4E8D">
        <w:rPr>
          <w:rFonts w:ascii="Times New Roman" w:hAnsi="Times New Roman"/>
          <w:lang w:val="es-ES"/>
        </w:rPr>
        <w:t>44,</w:t>
      </w:r>
      <w:r w:rsidR="00FE7984" w:rsidRPr="00AE4E8D">
        <w:rPr>
          <w:rFonts w:ascii="Times New Roman" w:hAnsi="Times New Roman"/>
          <w:lang w:val="es-ES"/>
        </w:rPr>
        <w:t>3</w:t>
      </w:r>
      <w:r w:rsidRPr="00AE4E8D">
        <w:rPr>
          <w:rFonts w:ascii="Times New Roman" w:hAnsi="Times New Roman"/>
          <w:lang w:val="es-ES" w:eastAsia="es-AR"/>
        </w:rPr>
        <w:t>% de nuestras acciones en circulación;</w:t>
      </w:r>
    </w:p>
    <w:p w14:paraId="5A491EB5" w14:textId="77777777" w:rsidR="00CB5660" w:rsidRPr="00AE4E8D" w:rsidRDefault="00CB5660" w:rsidP="00933012">
      <w:pPr>
        <w:numPr>
          <w:ilvl w:val="0"/>
          <w:numId w:val="42"/>
        </w:numPr>
        <w:tabs>
          <w:tab w:val="left" w:pos="1418"/>
        </w:tabs>
        <w:autoSpaceDE w:val="0"/>
        <w:autoSpaceDN w:val="0"/>
        <w:adjustRightInd w:val="0"/>
        <w:spacing w:before="120" w:after="120"/>
        <w:ind w:hanging="369"/>
        <w:jc w:val="both"/>
        <w:rPr>
          <w:rFonts w:ascii="Times New Roman" w:hAnsi="Times New Roman"/>
          <w:lang w:val="es-ES" w:eastAsia="es-AR"/>
        </w:rPr>
      </w:pPr>
      <w:r w:rsidRPr="00AE4E8D">
        <w:rPr>
          <w:rFonts w:ascii="Times New Roman" w:hAnsi="Times New Roman"/>
          <w:lang w:val="es-ES" w:eastAsia="es-AR"/>
        </w:rPr>
        <w:t xml:space="preserve">Acciones Clase B, que representan acciones que actualmente se encuentran en poder del Banco Nación como fiduciario del PPP, pero que serán ofrecidas a nuestros empleados en virtud del PPP, bajo el régimen dispuesto por la Ley de Privatización, y que actualmente comprenden el </w:t>
      </w:r>
      <w:r w:rsidRPr="00AE4E8D">
        <w:rPr>
          <w:rFonts w:ascii="Times New Roman" w:hAnsi="Times New Roman"/>
          <w:lang w:val="es-ES"/>
        </w:rPr>
        <w:t>3,8</w:t>
      </w:r>
      <w:r w:rsidRPr="00AE4E8D">
        <w:rPr>
          <w:rFonts w:ascii="Times New Roman" w:hAnsi="Times New Roman"/>
          <w:lang w:val="es-ES" w:eastAsia="es-AR"/>
        </w:rPr>
        <w:t>% de nuestras acciones en circulación. Las acciones Clase B que no fueran adquiridas por nuestros empleados bajo el PPP se convertirán automáticamente en acciones Clase D;</w:t>
      </w:r>
    </w:p>
    <w:p w14:paraId="422BFBD7" w14:textId="77777777" w:rsidR="00CB5660" w:rsidRPr="00AE4E8D" w:rsidRDefault="00CB5660" w:rsidP="00933012">
      <w:pPr>
        <w:numPr>
          <w:ilvl w:val="0"/>
          <w:numId w:val="42"/>
        </w:numPr>
        <w:tabs>
          <w:tab w:val="left" w:pos="1418"/>
        </w:tabs>
        <w:autoSpaceDE w:val="0"/>
        <w:autoSpaceDN w:val="0"/>
        <w:adjustRightInd w:val="0"/>
        <w:spacing w:before="120" w:after="120"/>
        <w:ind w:hanging="369"/>
        <w:jc w:val="both"/>
        <w:rPr>
          <w:rFonts w:ascii="Times New Roman" w:hAnsi="Times New Roman"/>
          <w:lang w:val="es-ES" w:eastAsia="es-AR"/>
        </w:rPr>
      </w:pPr>
      <w:r w:rsidRPr="00AE4E8D">
        <w:rPr>
          <w:rFonts w:ascii="Times New Roman" w:hAnsi="Times New Roman"/>
          <w:lang w:val="es-ES" w:eastAsia="es-AR"/>
        </w:rPr>
        <w:t xml:space="preserve">Acciones Clase C, actualmente en poder del fiduciario del Fideicomiso de Asistencia al Fondo Federal de Infraestructura Regional, que se creó para detentar y representar acciones Clase C a ser adquiridas por personas jurídicas cuyo objeto sea el desarrollo de </w:t>
      </w:r>
      <w:r w:rsidRPr="00AE4E8D">
        <w:rPr>
          <w:rFonts w:ascii="Times New Roman" w:hAnsi="Times New Roman"/>
          <w:lang w:val="es-ES" w:eastAsia="es-AR"/>
        </w:rPr>
        <w:lastRenderedPageBreak/>
        <w:t xml:space="preserve">actividades vinculadas con la construcción de viviendas o actividades inmobiliarias a través de un programa especial que aún resta implementar y que actualmente comprenden el </w:t>
      </w:r>
      <w:r w:rsidRPr="00AE4E8D">
        <w:rPr>
          <w:rFonts w:ascii="Times New Roman" w:hAnsi="Times New Roman"/>
          <w:lang w:val="es-ES"/>
        </w:rPr>
        <w:t>5</w:t>
      </w:r>
      <w:r w:rsidRPr="00AE4E8D">
        <w:rPr>
          <w:rFonts w:ascii="Times New Roman" w:hAnsi="Times New Roman"/>
          <w:lang w:val="es-ES" w:eastAsia="es-AR"/>
        </w:rPr>
        <w:t>% de nuestras acciones en circulación. Las acciones Clase C que no sean adquiridas por dichas personas jurídicas bajo el programa de adquisición que se establezca se convertirán automáticamente en acciones Clase D ; y</w:t>
      </w:r>
    </w:p>
    <w:p w14:paraId="2C694B23" w14:textId="77777777" w:rsidR="00CB5660" w:rsidRPr="00AE4E8D" w:rsidRDefault="00CB5660" w:rsidP="00933012">
      <w:pPr>
        <w:numPr>
          <w:ilvl w:val="0"/>
          <w:numId w:val="42"/>
        </w:numPr>
        <w:tabs>
          <w:tab w:val="left" w:pos="1276"/>
          <w:tab w:val="left" w:pos="1418"/>
        </w:tabs>
        <w:autoSpaceDE w:val="0"/>
        <w:autoSpaceDN w:val="0"/>
        <w:adjustRightInd w:val="0"/>
        <w:spacing w:before="120" w:after="120"/>
        <w:ind w:hanging="369"/>
        <w:jc w:val="both"/>
        <w:rPr>
          <w:rFonts w:ascii="Times New Roman" w:hAnsi="Times New Roman"/>
          <w:lang w:val="es-ES" w:eastAsia="es-AR"/>
        </w:rPr>
      </w:pPr>
      <w:r w:rsidRPr="00AE4E8D">
        <w:rPr>
          <w:rFonts w:ascii="Times New Roman" w:hAnsi="Times New Roman"/>
          <w:lang w:val="es-ES" w:eastAsia="es-AR"/>
        </w:rPr>
        <w:t xml:space="preserve">Acciones Clase D, que representarán aquellas acciones transferidas en dominio perfecto al capital privado no incluido en las categorías de titulares antes mencionados. Las acciones Clase A vendidas se convertirán en acciones Clase D. Las acciones Clase D no cambiarán de clase por ser eventualmente suscriptas o adquiridas por el Estado Nacional, otra persona jurídica de carácter público o por personal que participa en el PPP, o por sujetos del programa de adquisición de acciones Clase C. Un determinado número de acciones Clase D se conserva bajo la forma de ADSs. Actualmente, las acciones Clase D representan el </w:t>
      </w:r>
      <w:r w:rsidRPr="00AE4E8D">
        <w:rPr>
          <w:rFonts w:ascii="Times New Roman" w:hAnsi="Times New Roman"/>
          <w:lang w:val="es-ES"/>
        </w:rPr>
        <w:t>46,</w:t>
      </w:r>
      <w:r w:rsidR="00FE7984" w:rsidRPr="00AE4E8D">
        <w:rPr>
          <w:rFonts w:ascii="Times New Roman" w:hAnsi="Times New Roman"/>
          <w:lang w:val="es-ES"/>
        </w:rPr>
        <w:t>9</w:t>
      </w:r>
      <w:r w:rsidRPr="00AE4E8D">
        <w:rPr>
          <w:rFonts w:ascii="Times New Roman" w:hAnsi="Times New Roman"/>
          <w:lang w:val="es-ES" w:eastAsia="es-AR"/>
        </w:rPr>
        <w:t xml:space="preserve">% de nuestro capital social. </w:t>
      </w:r>
      <w:r w:rsidRPr="00AE4E8D">
        <w:rPr>
          <w:rFonts w:ascii="Times New Roman" w:hAnsi="Times New Roman"/>
          <w:lang w:val="es-ES"/>
        </w:rPr>
        <w:t>90.905.000</w:t>
      </w:r>
      <w:r w:rsidRPr="00AE4E8D">
        <w:rPr>
          <w:rFonts w:ascii="Times New Roman" w:hAnsi="Times New Roman"/>
          <w:lang w:val="es-ES" w:eastAsia="es-AR"/>
        </w:rPr>
        <w:t xml:space="preserve"> acciones Clase D, que representan </w:t>
      </w:r>
      <w:r w:rsidRPr="00AE4E8D">
        <w:rPr>
          <w:rFonts w:ascii="Times New Roman" w:hAnsi="Times New Roman"/>
          <w:lang w:val="es-ES"/>
        </w:rPr>
        <w:t>6,06</w:t>
      </w:r>
      <w:r w:rsidRPr="00AE4E8D">
        <w:rPr>
          <w:rFonts w:ascii="Times New Roman" w:hAnsi="Times New Roman"/>
          <w:lang w:val="es-ES" w:eastAsia="es-AR"/>
        </w:rPr>
        <w:t>% de nuestro capital social, se conservan actualmente en fideicomiso del First Trust of New York, en carácter de Fiduciario de la Opción, fideicomiso que se mantiene con el propósito de enajenar, de tiempo en tiempo y a lo largo de un período que finalizó el 2 de febrero de 2004, los ADSs remanentes tras el ejercicio de las Opciones, de acuerdo con las instrucciones recibidas del Accionista Vendedor.</w:t>
      </w:r>
    </w:p>
    <w:p w14:paraId="5E7443FF" w14:textId="77777777" w:rsidR="00CB5660" w:rsidRPr="00AE4E8D" w:rsidRDefault="00CB5660" w:rsidP="006659E6">
      <w:pPr>
        <w:pStyle w:val="BHTexto"/>
        <w:rPr>
          <w:lang w:val="es-ES"/>
        </w:rPr>
      </w:pPr>
      <w:r w:rsidRPr="00AE4E8D">
        <w:rPr>
          <w:lang w:val="es-ES"/>
        </w:rPr>
        <w:t>Desde que se sancionó la Ley de Privatización, no se ha producido ningún aumento de capital o emisión de nuevas acciones.</w:t>
      </w:r>
    </w:p>
    <w:p w14:paraId="2D617603" w14:textId="77777777" w:rsidR="00CB5660" w:rsidRPr="00AE4E8D" w:rsidRDefault="00CB5660" w:rsidP="006659E6">
      <w:pPr>
        <w:pStyle w:val="BH3Izquierda"/>
        <w:rPr>
          <w:lang w:val="es-ES"/>
        </w:rPr>
      </w:pPr>
      <w:bookmarkStart w:id="886" w:name="_Toc420062660"/>
      <w:bookmarkStart w:id="887" w:name="_Toc421201544"/>
      <w:r w:rsidRPr="00AE4E8D">
        <w:rPr>
          <w:lang w:val="es-ES"/>
        </w:rPr>
        <w:t>Derechos de Voto</w:t>
      </w:r>
      <w:bookmarkEnd w:id="886"/>
      <w:bookmarkEnd w:id="887"/>
    </w:p>
    <w:p w14:paraId="0EF92BE8" w14:textId="77777777" w:rsidR="00CB5660" w:rsidRPr="00AE4E8D" w:rsidRDefault="00CB5660" w:rsidP="000E1220">
      <w:pPr>
        <w:pStyle w:val="BH4Cursiva"/>
        <w:rPr>
          <w:lang w:val="es-ES"/>
        </w:rPr>
      </w:pPr>
      <w:r w:rsidRPr="00AE4E8D">
        <w:rPr>
          <w:lang w:val="es-ES"/>
        </w:rPr>
        <w:t>General</w:t>
      </w:r>
    </w:p>
    <w:p w14:paraId="08161C75" w14:textId="77777777" w:rsidR="00CB5660" w:rsidRPr="00AE4E8D" w:rsidRDefault="00CB5660" w:rsidP="006659E6">
      <w:pPr>
        <w:pStyle w:val="BHTexto"/>
        <w:rPr>
          <w:lang w:val="es-ES"/>
        </w:rPr>
      </w:pPr>
      <w:r w:rsidRPr="00AE4E8D">
        <w:rPr>
          <w:lang w:val="es-ES"/>
        </w:rPr>
        <w:t xml:space="preserve">Conforme se analizará más adelante, los tenedores de acciones Clase A y acciones Clase D tienen ciertos derechos de voto especiales en relación con determinadas decisiones societarias de relevancia. Toda vez que dichos derechos especiales no sean de aplicación (respecto a las acciones Clase A y las acciones Clase D) y en todos los casos (respecto a las acciones Clase B y acciones Clase C) cada acción ordinaria otorga a su tenedor derecho a un voto. De acuerdo con las Normas de la CNV, no podremos emitir acciones de voto múltiple con posterioridad a haber ingresado al régimen de oferta pública. </w:t>
      </w:r>
    </w:p>
    <w:p w14:paraId="534E5852" w14:textId="77777777" w:rsidR="00CB5660" w:rsidRPr="00AE4E8D" w:rsidRDefault="00CB5660" w:rsidP="006659E6">
      <w:pPr>
        <w:pStyle w:val="BHTexto"/>
        <w:rPr>
          <w:lang w:val="es-ES"/>
        </w:rPr>
      </w:pPr>
      <w:r w:rsidRPr="00AE4E8D">
        <w:rPr>
          <w:lang w:val="es-ES"/>
        </w:rPr>
        <w:t>En el marco de la Ley de Privatización, cualquier resolución susceptible de perjudicar los derechos de los tenedores de una clase de acciones en particular, pero no los derechos de tenedores de otras clases de acciones, o de afectar los derechos de los tenedores de una clase de acciones en forma diferente que los derechos de los tenedores de otras clases de acciones, deberá ser aprobada por los tenedores de dicha clase de acciones en una Asamblea Extraordinaria.</w:t>
      </w:r>
    </w:p>
    <w:p w14:paraId="7F9F14E2" w14:textId="77777777" w:rsidR="00CB5660" w:rsidRPr="00AE4E8D" w:rsidRDefault="00CB5660" w:rsidP="006659E6">
      <w:pPr>
        <w:pStyle w:val="BHTexto"/>
        <w:rPr>
          <w:lang w:val="es-ES"/>
        </w:rPr>
      </w:pPr>
      <w:r w:rsidRPr="00AE4E8D">
        <w:rPr>
          <w:lang w:val="es-ES"/>
        </w:rPr>
        <w:t xml:space="preserve">Podemos emitir acciones preferidas con o sin derecho de voto. Dichas acciones preferidas se podrán dividir en Clases A, B, C y D. Los tenedores de acciones preferidas con derecho a voto ejercerán tales derechos y estarán sujetos a las mismas restricciones a la titularidad, conversión y transferencia que los tenedores de acciones ordinarias de la clase a la que pertenezcan. Actualmente no poseemos acciones preferidas emitidas ni en circulación. </w:t>
      </w:r>
    </w:p>
    <w:p w14:paraId="14F10CCD" w14:textId="77777777" w:rsidR="00CB5660" w:rsidRPr="00AE4E8D" w:rsidRDefault="00CB5660" w:rsidP="000E1220">
      <w:pPr>
        <w:pStyle w:val="BH4Cursiva"/>
        <w:rPr>
          <w:lang w:val="es-ES"/>
        </w:rPr>
      </w:pPr>
      <w:r w:rsidRPr="00AE4E8D">
        <w:rPr>
          <w:lang w:val="es-ES"/>
        </w:rPr>
        <w:t>Acciones Clase A</w:t>
      </w:r>
    </w:p>
    <w:p w14:paraId="7E84E11F" w14:textId="77777777" w:rsidR="00CB5660" w:rsidRPr="00AE4E8D" w:rsidRDefault="00CB5660" w:rsidP="006659E6">
      <w:pPr>
        <w:pStyle w:val="BHTexto"/>
        <w:rPr>
          <w:lang w:val="es-ES"/>
        </w:rPr>
      </w:pPr>
      <w:r w:rsidRPr="00AE4E8D">
        <w:rPr>
          <w:lang w:val="es-ES"/>
        </w:rPr>
        <w:t>Los tenedores de acciones Clase A tendrán derecho a elegir como mínimo dos directores titulares y dos suplentes, sin perjuicio de la cantidad de acciones que constituyan la clase en un momento dado. Los tenedores de acciones Clase A también tienen derecho, tal como se describe en el siguiente párrafo, a aprobar ciertas transacciones relacionadas con nosotros y ciertas adquisiciones de acciones. Las acciones Clase A vendidas por el Gobierno Argentino o el fiduciario del Fideicomiso de Asistencia al Fondo Federal de Infraestructura Regional se convierten automáticamente a acciones Clase C o D, según corresponda. Bajo la Ley de Privatización y nuestro Estatuto, el Gobierno Argentino debe siempre conservar la propiedad de, al menos, una acción Clase A. Asimismo la mencionada ley también establece que el Gobierno Argentino ejercerá los derechos de voto de las acciones Clase A en poder del fiduciario del Fideicomiso de Asistencia al Fondo Federal de Infraestructura Regional.</w:t>
      </w:r>
    </w:p>
    <w:p w14:paraId="4ABD5B7F" w14:textId="77777777" w:rsidR="00CB5660" w:rsidRPr="00AE4E8D" w:rsidRDefault="00CB5660" w:rsidP="006659E6">
      <w:pPr>
        <w:pStyle w:val="BHTexto"/>
        <w:rPr>
          <w:lang w:val="es-ES"/>
        </w:rPr>
      </w:pPr>
      <w:r w:rsidRPr="00AE4E8D">
        <w:rPr>
          <w:lang w:val="es-ES"/>
        </w:rPr>
        <w:t xml:space="preserve">De conformidad con nuestro Estatuto, se requiere el voto afirmativo de los tenedores de acciones Clase </w:t>
      </w:r>
      <w:proofErr w:type="gramStart"/>
      <w:r w:rsidRPr="00AE4E8D">
        <w:rPr>
          <w:lang w:val="es-ES"/>
        </w:rPr>
        <w:t>A</w:t>
      </w:r>
      <w:proofErr w:type="gramEnd"/>
      <w:r w:rsidRPr="00AE4E8D">
        <w:rPr>
          <w:lang w:val="es-ES"/>
        </w:rPr>
        <w:t>, cualquiera sea el porcentaje de dichas acciones en nuestro capital accionario, para:</w:t>
      </w:r>
    </w:p>
    <w:p w14:paraId="5D6BED14" w14:textId="77777777" w:rsidR="00CB5660" w:rsidRPr="00AE4E8D" w:rsidRDefault="00CB5660" w:rsidP="000668B5">
      <w:pPr>
        <w:pStyle w:val="BHVieta2"/>
        <w:numPr>
          <w:ilvl w:val="0"/>
          <w:numId w:val="55"/>
        </w:numPr>
        <w:rPr>
          <w:lang w:val="es-ES"/>
        </w:rPr>
      </w:pPr>
      <w:r w:rsidRPr="00AE4E8D">
        <w:rPr>
          <w:lang w:val="es-ES"/>
        </w:rPr>
        <w:t>aprobar fusiones o escisiones;</w:t>
      </w:r>
    </w:p>
    <w:p w14:paraId="1072FF38" w14:textId="77777777" w:rsidR="00CB5660" w:rsidRPr="00AE4E8D" w:rsidRDefault="00CB5660" w:rsidP="000668B5">
      <w:pPr>
        <w:pStyle w:val="BHVieta2"/>
        <w:numPr>
          <w:ilvl w:val="0"/>
          <w:numId w:val="55"/>
        </w:numPr>
        <w:rPr>
          <w:lang w:val="es-ES"/>
        </w:rPr>
      </w:pPr>
      <w:r w:rsidRPr="00AE4E8D">
        <w:rPr>
          <w:lang w:val="es-ES"/>
        </w:rPr>
        <w:lastRenderedPageBreak/>
        <w:t xml:space="preserve">aprobar una adquisición de acciones que constituya una Adquisición de Control que, por lo tanto, dé como resultado que seamos objeto de una situación de control (tal como es definida por la Ley General de Sociedades Argentina, las reglamentaciones del BCRA o nuestro Estatuto); </w:t>
      </w:r>
    </w:p>
    <w:p w14:paraId="26B5D0DA" w14:textId="77777777" w:rsidR="00CB5660" w:rsidRPr="00AE4E8D" w:rsidRDefault="00CB5660" w:rsidP="000668B5">
      <w:pPr>
        <w:pStyle w:val="BHVieta2"/>
        <w:numPr>
          <w:ilvl w:val="0"/>
          <w:numId w:val="55"/>
        </w:numPr>
        <w:rPr>
          <w:lang w:val="es-ES"/>
        </w:rPr>
      </w:pPr>
      <w:r w:rsidRPr="00AE4E8D">
        <w:rPr>
          <w:lang w:val="es-ES"/>
        </w:rPr>
        <w:t>transferir a terceros de una parte sustancial de nuestra cartera de préstamos que cause que cesemos en la actividad hipotecaria y de préstamo a la vivienda o la disminuyamos sustancialmente;</w:t>
      </w:r>
    </w:p>
    <w:p w14:paraId="2819F5F1" w14:textId="77777777" w:rsidR="00CB5660" w:rsidRPr="00AE4E8D" w:rsidRDefault="00CB5660" w:rsidP="000668B5">
      <w:pPr>
        <w:pStyle w:val="BHVieta2"/>
        <w:numPr>
          <w:ilvl w:val="0"/>
          <w:numId w:val="55"/>
        </w:numPr>
        <w:rPr>
          <w:lang w:val="es-ES"/>
        </w:rPr>
      </w:pPr>
      <w:r w:rsidRPr="00AE4E8D">
        <w:rPr>
          <w:lang w:val="es-ES"/>
        </w:rPr>
        <w:t>modificar nuestro objeto social;</w:t>
      </w:r>
    </w:p>
    <w:p w14:paraId="06FCE19E" w14:textId="77777777" w:rsidR="00CB5660" w:rsidRPr="00AE4E8D" w:rsidRDefault="00CB5660" w:rsidP="000668B5">
      <w:pPr>
        <w:pStyle w:val="BHVieta2"/>
        <w:numPr>
          <w:ilvl w:val="0"/>
          <w:numId w:val="55"/>
        </w:numPr>
        <w:rPr>
          <w:lang w:val="es-ES"/>
        </w:rPr>
      </w:pPr>
      <w:r w:rsidRPr="00AE4E8D">
        <w:rPr>
          <w:lang w:val="es-ES"/>
        </w:rPr>
        <w:t>transferir nuestro domicilio al extranjero; y</w:t>
      </w:r>
    </w:p>
    <w:p w14:paraId="2E680D51" w14:textId="77777777" w:rsidR="00CB5660" w:rsidRPr="00AE4E8D" w:rsidRDefault="00CB5660" w:rsidP="000668B5">
      <w:pPr>
        <w:pStyle w:val="BHVieta2"/>
        <w:numPr>
          <w:ilvl w:val="0"/>
          <w:numId w:val="55"/>
        </w:numPr>
        <w:rPr>
          <w:lang w:val="es-ES"/>
        </w:rPr>
      </w:pPr>
      <w:r w:rsidRPr="00AE4E8D">
        <w:rPr>
          <w:lang w:val="es-ES"/>
        </w:rPr>
        <w:t>nuestra disolución voluntaria.</w:t>
      </w:r>
    </w:p>
    <w:p w14:paraId="68D3A8A0" w14:textId="77777777" w:rsidR="00CB5660" w:rsidRPr="00AE4E8D" w:rsidRDefault="00CB5660" w:rsidP="000E1220">
      <w:pPr>
        <w:pStyle w:val="BH4Cursiva"/>
        <w:rPr>
          <w:lang w:val="es-ES"/>
        </w:rPr>
      </w:pPr>
      <w:r w:rsidRPr="00AE4E8D">
        <w:rPr>
          <w:lang w:val="es-ES"/>
        </w:rPr>
        <w:t>Acciones Clase B</w:t>
      </w:r>
    </w:p>
    <w:p w14:paraId="1AF8F7EA" w14:textId="77777777" w:rsidR="00CB5660" w:rsidRPr="00AE4E8D" w:rsidRDefault="00CB5660" w:rsidP="006659E6">
      <w:pPr>
        <w:pStyle w:val="BHTexto"/>
        <w:rPr>
          <w:lang w:val="es-ES"/>
        </w:rPr>
      </w:pPr>
      <w:r w:rsidRPr="00AE4E8D">
        <w:rPr>
          <w:lang w:val="es-ES"/>
        </w:rPr>
        <w:t xml:space="preserve">Ante la adquisición de las acciones Clase B por parte de nuestros empleados bajo el PPP, los tenedores de acciones Clase B tienen derecho a elegir un director titular y un director suplente en tanto dichas acciones representen más del 2% de nuestro capital social en el momento de convocatoria a la asamblea de accionistas correspondiente. Hasta ese momento, tal director será elegido por las acciones Clase A. La Ley de Privatización establece que el Gobierno Argentino ejercerá los derechos de voto de las acciones Clase B antes de que dichas acciones sean ofrecidas y vendidas. </w:t>
      </w:r>
    </w:p>
    <w:p w14:paraId="5C4B942A" w14:textId="77777777" w:rsidR="00CB5660" w:rsidRPr="00AE4E8D" w:rsidRDefault="00CB5660" w:rsidP="006659E6">
      <w:pPr>
        <w:pStyle w:val="BHTexto"/>
        <w:rPr>
          <w:lang w:val="es-ES"/>
        </w:rPr>
      </w:pPr>
      <w:r w:rsidRPr="00AE4E8D">
        <w:rPr>
          <w:lang w:val="es-ES"/>
        </w:rPr>
        <w:t>Las acciones Clase B adquiridas por nuestros empleados y posteriormente transferidas fuera del PPP se convertirán automáticamente en acciones Clase D. Todas las acciones Clase B no adquiridas por nuestros empleados de acuerdo al PPP (en el momento de su implementación) se convertirán en acciones Clase A. Cada acción Clase B posee derecho a un voto.</w:t>
      </w:r>
    </w:p>
    <w:p w14:paraId="5A7FE606" w14:textId="77777777" w:rsidR="00CB31A8" w:rsidRPr="00AE4E8D" w:rsidRDefault="00CB5660" w:rsidP="006659E6">
      <w:pPr>
        <w:pStyle w:val="BHTexto"/>
        <w:rPr>
          <w:lang w:val="es-ES"/>
        </w:rPr>
      </w:pPr>
      <w:r w:rsidRPr="00AE4E8D">
        <w:rPr>
          <w:lang w:val="es-ES"/>
        </w:rPr>
        <w:t xml:space="preserve">El 13 de noviembre de 2012, a través del Decreto Nº2127/2012 y de la Resolución Nº264/2013 del Ministerio de Economía y Finanzas Publicas se instrumentó el PPP, donde en una primera etapa 17.990.721 acciones de la Clase B sobre un total de 75.000.000 se convirtieron en acciones Clase A a los fines de ser asignadas entre los agentes que se han desvinculado del Banco según las pautas de instrumentación. Las 17.990.721 acciones en el momento en que sean entregadas a los ex agentes pasarán a ser acciones Clase D. </w:t>
      </w:r>
    </w:p>
    <w:p w14:paraId="77A85B0E" w14:textId="77777777" w:rsidR="00CB5660" w:rsidRPr="00AE4E8D" w:rsidRDefault="00CB5660" w:rsidP="006659E6">
      <w:pPr>
        <w:pStyle w:val="BHTexto"/>
        <w:rPr>
          <w:lang w:val="es-ES"/>
        </w:rPr>
      </w:pPr>
      <w:r w:rsidRPr="00AE4E8D">
        <w:rPr>
          <w:lang w:val="es-ES"/>
        </w:rPr>
        <w:t xml:space="preserve">Al </w:t>
      </w:r>
      <w:r w:rsidR="009C6E69" w:rsidRPr="00AE4E8D">
        <w:rPr>
          <w:lang w:val="es-ES"/>
        </w:rPr>
        <w:t>3</w:t>
      </w:r>
      <w:r w:rsidR="00640836" w:rsidRPr="00AE4E8D">
        <w:rPr>
          <w:lang w:val="es-ES"/>
        </w:rPr>
        <w:t>0</w:t>
      </w:r>
      <w:r w:rsidR="009C6E69" w:rsidRPr="00AE4E8D">
        <w:rPr>
          <w:lang w:val="es-ES"/>
        </w:rPr>
        <w:t xml:space="preserve"> de </w:t>
      </w:r>
      <w:r w:rsidR="00640836" w:rsidRPr="00AE4E8D">
        <w:rPr>
          <w:lang w:val="es-ES"/>
        </w:rPr>
        <w:t>junio</w:t>
      </w:r>
      <w:r w:rsidRPr="00AE4E8D">
        <w:rPr>
          <w:lang w:val="es-ES"/>
        </w:rPr>
        <w:t xml:space="preserve"> de 201</w:t>
      </w:r>
      <w:r w:rsidR="001E7C09" w:rsidRPr="00AE4E8D">
        <w:rPr>
          <w:lang w:val="es-ES"/>
        </w:rPr>
        <w:t>7</w:t>
      </w:r>
      <w:r w:rsidRPr="00AE4E8D">
        <w:rPr>
          <w:lang w:val="es-ES"/>
        </w:rPr>
        <w:t xml:space="preserve">, este curso de acción fue tomado solo respecto de </w:t>
      </w:r>
      <w:r w:rsidR="00640836" w:rsidRPr="00AE4E8D">
        <w:rPr>
          <w:lang w:val="es-ES"/>
        </w:rPr>
        <w:t>11.702.914</w:t>
      </w:r>
      <w:r w:rsidRPr="00AE4E8D">
        <w:rPr>
          <w:lang w:val="es-ES"/>
        </w:rPr>
        <w:t xml:space="preserve"> acciones. Las acciones asignadas a nuestro personal actualmente en actividad quedan denominadas como acciones Clase B y representativas del Programa de Propiedad Participada</w:t>
      </w:r>
      <w:r w:rsidR="001C79F8" w:rsidRPr="00AE4E8D">
        <w:rPr>
          <w:lang w:val="es-ES"/>
        </w:rPr>
        <w:t xml:space="preserve">. </w:t>
      </w:r>
    </w:p>
    <w:p w14:paraId="10BA10FD" w14:textId="77777777" w:rsidR="00CB5660" w:rsidRPr="00AE4E8D" w:rsidRDefault="00CB5660" w:rsidP="000E1220">
      <w:pPr>
        <w:pStyle w:val="BH4Cursiva"/>
        <w:rPr>
          <w:lang w:val="es-ES"/>
        </w:rPr>
      </w:pPr>
      <w:r w:rsidRPr="00AE4E8D">
        <w:rPr>
          <w:lang w:val="es-ES"/>
        </w:rPr>
        <w:t>Acciones Clase C</w:t>
      </w:r>
    </w:p>
    <w:p w14:paraId="4D2A78C6" w14:textId="77777777" w:rsidR="00CB5660" w:rsidRPr="00AE4E8D" w:rsidRDefault="00CB5660" w:rsidP="006659E6">
      <w:pPr>
        <w:pStyle w:val="BHTexto"/>
        <w:rPr>
          <w:lang w:val="es-ES"/>
        </w:rPr>
      </w:pPr>
      <w:r w:rsidRPr="00AE4E8D">
        <w:rPr>
          <w:lang w:val="es-ES"/>
        </w:rPr>
        <w:t>Una vez que se haya producido la transferencia de las acciones Clase C a sociedades vinculadas con la construcción de viviendas o a la actividad inmobiliaria, los tenedores de dichas acciones tendrán derecho a elegir un director titular y un director suplente, en tanto dichas acciones representen más del 3% de nuestro capital. Hasta ese momento, tales directores serán elegidos por los tenedores de las acciones Clase A. La Ley de Privatización establece que el Gobierno Argentino ejercerá los derechos de voto de las acciones Clase C en poder del fiduciario del Fideicomiso de Asistencia al Fondo Federal de Infraestructura Regional antes de que dichas acciones sean ofrecidas y vendidas. Sólo las sociedades que se han dedicado a la construcción de viviendas o a la actividad inmobiliaria durante por lo menos un año están habilitadas para comprar acciones Clase D. Las acciones Clase C transferidas a personas que no sean compañías relacionadas con la construcción de vivienda o con la actividad inmobiliaria, se convertirán automáticamente en acciones Clase D. Cada acción Clase C posee derecho a un voto.</w:t>
      </w:r>
    </w:p>
    <w:p w14:paraId="71682CFA" w14:textId="77777777" w:rsidR="00CB5660" w:rsidRPr="00AE4E8D" w:rsidRDefault="00CB5660" w:rsidP="000E1220">
      <w:pPr>
        <w:pStyle w:val="BH4Cursiva"/>
        <w:rPr>
          <w:lang w:val="es-ES"/>
        </w:rPr>
      </w:pPr>
      <w:r w:rsidRPr="00AE4E8D">
        <w:rPr>
          <w:lang w:val="es-ES"/>
        </w:rPr>
        <w:t>Acciones Clase D</w:t>
      </w:r>
    </w:p>
    <w:p w14:paraId="449265FC" w14:textId="77777777" w:rsidR="00CB5660" w:rsidRPr="00AE4E8D" w:rsidRDefault="00CB5660" w:rsidP="006659E6">
      <w:pPr>
        <w:pStyle w:val="BHTexto"/>
        <w:rPr>
          <w:lang w:val="es-ES"/>
        </w:rPr>
      </w:pPr>
      <w:r w:rsidRPr="00AE4E8D">
        <w:rPr>
          <w:lang w:val="es-ES"/>
        </w:rPr>
        <w:t>Los tenedores de acciones Clase D tendrán derecho a elegir nueve directores titulares y sus respectivos suplementes. Además, y en tanto las acciones Clase A representen más del 42% de nuestro capital, las acciones Clase D poseen derecho a tres votos por acción, salvo en los siguientes casos donde los tenedores de acciones Clase D tendrán derecho a un voto por acción:</w:t>
      </w:r>
    </w:p>
    <w:p w14:paraId="3F5F556E" w14:textId="77777777" w:rsidR="00CB5660" w:rsidRPr="00AE4E8D" w:rsidRDefault="00CB5660" w:rsidP="00D43A0B">
      <w:pPr>
        <w:pStyle w:val="BHTexto"/>
        <w:numPr>
          <w:ilvl w:val="0"/>
          <w:numId w:val="119"/>
        </w:numPr>
        <w:rPr>
          <w:lang w:val="es-ES"/>
        </w:rPr>
      </w:pPr>
      <w:r w:rsidRPr="00AE4E8D">
        <w:rPr>
          <w:lang w:val="es-ES"/>
        </w:rPr>
        <w:t>cambio fundamental en nuestro objeto social;</w:t>
      </w:r>
    </w:p>
    <w:p w14:paraId="475D317B" w14:textId="77777777" w:rsidR="00CB5660" w:rsidRPr="00AE4E8D" w:rsidRDefault="00CB5660" w:rsidP="00D43A0B">
      <w:pPr>
        <w:pStyle w:val="BHTexto"/>
        <w:numPr>
          <w:ilvl w:val="0"/>
          <w:numId w:val="119"/>
        </w:numPr>
        <w:rPr>
          <w:lang w:val="es-ES"/>
        </w:rPr>
      </w:pPr>
      <w:r w:rsidRPr="00AE4E8D">
        <w:rPr>
          <w:lang w:val="es-ES"/>
        </w:rPr>
        <w:t>transferir nuestro domicilio fuera de la Argentina;</w:t>
      </w:r>
    </w:p>
    <w:p w14:paraId="5D401153" w14:textId="77777777" w:rsidR="00CB5660" w:rsidRPr="00AE4E8D" w:rsidRDefault="00CB5660" w:rsidP="00D43A0B">
      <w:pPr>
        <w:pStyle w:val="BHTexto"/>
        <w:numPr>
          <w:ilvl w:val="0"/>
          <w:numId w:val="119"/>
        </w:numPr>
        <w:rPr>
          <w:lang w:val="es-ES"/>
        </w:rPr>
      </w:pPr>
      <w:r w:rsidRPr="00AE4E8D">
        <w:rPr>
          <w:lang w:val="es-ES"/>
        </w:rPr>
        <w:t>nuestra disolución antes del vencimiento del plazo de duración estipulado en nuestro Estatuto;</w:t>
      </w:r>
    </w:p>
    <w:p w14:paraId="7DE58E97" w14:textId="77777777" w:rsidR="00CB5660" w:rsidRPr="00AE4E8D" w:rsidRDefault="00CB5660" w:rsidP="00D43A0B">
      <w:pPr>
        <w:pStyle w:val="BHTexto"/>
        <w:numPr>
          <w:ilvl w:val="0"/>
          <w:numId w:val="119"/>
        </w:numPr>
        <w:rPr>
          <w:lang w:val="es-ES"/>
        </w:rPr>
      </w:pPr>
      <w:r w:rsidRPr="00AE4E8D">
        <w:rPr>
          <w:lang w:val="es-ES"/>
        </w:rPr>
        <w:t xml:space="preserve">fusión o escisión en la cual no seamos la sociedad continuadora; </w:t>
      </w:r>
    </w:p>
    <w:p w14:paraId="6A9C3735" w14:textId="77777777" w:rsidR="00CB5660" w:rsidRPr="00AE4E8D" w:rsidRDefault="00CB5660" w:rsidP="00D43A0B">
      <w:pPr>
        <w:pStyle w:val="BHTexto"/>
        <w:numPr>
          <w:ilvl w:val="0"/>
          <w:numId w:val="119"/>
        </w:numPr>
        <w:rPr>
          <w:lang w:val="es-ES"/>
        </w:rPr>
      </w:pPr>
      <w:r w:rsidRPr="00AE4E8D">
        <w:rPr>
          <w:lang w:val="es-ES"/>
        </w:rPr>
        <w:lastRenderedPageBreak/>
        <w:t>recapitalización total o parcial después de una reducción obligatoria de capital; y</w:t>
      </w:r>
    </w:p>
    <w:p w14:paraId="05FECBF1" w14:textId="77777777" w:rsidR="00CB5660" w:rsidRPr="00AE4E8D" w:rsidRDefault="00CB5660" w:rsidP="00D43A0B">
      <w:pPr>
        <w:pStyle w:val="BHTexto"/>
        <w:numPr>
          <w:ilvl w:val="0"/>
          <w:numId w:val="119"/>
        </w:numPr>
        <w:rPr>
          <w:lang w:val="es-ES"/>
        </w:rPr>
      </w:pPr>
      <w:r w:rsidRPr="00AE4E8D">
        <w:rPr>
          <w:lang w:val="es-ES"/>
        </w:rPr>
        <w:t>aprobación de reservas facultativas distintas de las reservas legales cuando su monto supere nuestro capital accionario y nuestras reservas legales.</w:t>
      </w:r>
    </w:p>
    <w:p w14:paraId="1AE28E4E" w14:textId="77777777" w:rsidR="00CB5660" w:rsidRPr="00AE4E8D" w:rsidRDefault="00CB5660" w:rsidP="006659E6">
      <w:pPr>
        <w:pStyle w:val="BHTexto"/>
        <w:rPr>
          <w:lang w:val="es-ES"/>
        </w:rPr>
      </w:pPr>
      <w:r w:rsidRPr="00AE4E8D">
        <w:rPr>
          <w:lang w:val="es-ES"/>
        </w:rPr>
        <w:t>Además, independientemente de nuestro porcentaje de acciones de capital en circulación representadas por las acciones Clase A, se requiere el voto afirmativo de los tenedores de acciones Clase A para adoptar determinadas decisiones relevantes. Véase "</w:t>
      </w:r>
      <w:r w:rsidRPr="00AE4E8D">
        <w:rPr>
          <w:i/>
          <w:lang w:val="es-ES"/>
        </w:rPr>
        <w:t>Acciones Clase A</w:t>
      </w:r>
      <w:r w:rsidRPr="00AE4E8D">
        <w:rPr>
          <w:lang w:val="es-ES"/>
        </w:rPr>
        <w:t xml:space="preserve">", para más información. </w:t>
      </w:r>
    </w:p>
    <w:p w14:paraId="007A1132" w14:textId="77777777" w:rsidR="00CB5660" w:rsidRPr="00AE4E8D" w:rsidRDefault="00CB5660" w:rsidP="000E1220">
      <w:pPr>
        <w:pStyle w:val="BH4Cursiva"/>
        <w:rPr>
          <w:lang w:val="es-ES"/>
        </w:rPr>
      </w:pPr>
      <w:r w:rsidRPr="00AE4E8D">
        <w:rPr>
          <w:lang w:val="es-ES"/>
        </w:rPr>
        <w:t>Acciones Clase D subyacentes a las ADS en poder del Fiduciario de las Opciones</w:t>
      </w:r>
    </w:p>
    <w:p w14:paraId="65F249E2" w14:textId="77777777" w:rsidR="00CB5660" w:rsidRPr="00AE4E8D" w:rsidRDefault="00CB5660" w:rsidP="006659E6">
      <w:pPr>
        <w:pStyle w:val="BHTexto"/>
        <w:rPr>
          <w:lang w:val="es-ES"/>
        </w:rPr>
      </w:pPr>
      <w:r w:rsidRPr="00AE4E8D">
        <w:rPr>
          <w:lang w:val="es-ES"/>
        </w:rPr>
        <w:t>Las acciones Clase D subyacentes a las acciones ADSs de titularidad del fiduciario de las opciones serán votadas por este último, conforme instrucciones del accionista vendedor.</w:t>
      </w:r>
    </w:p>
    <w:p w14:paraId="1B094F14" w14:textId="77777777" w:rsidR="00CB5660" w:rsidRPr="00AE4E8D" w:rsidRDefault="00CB5660" w:rsidP="006659E6">
      <w:pPr>
        <w:pStyle w:val="BH3Izquierda"/>
        <w:rPr>
          <w:lang w:val="es-ES"/>
        </w:rPr>
      </w:pPr>
      <w:bookmarkStart w:id="888" w:name="_Toc420062661"/>
      <w:bookmarkStart w:id="889" w:name="_Toc421201545"/>
      <w:r w:rsidRPr="00AE4E8D">
        <w:rPr>
          <w:lang w:val="es-ES"/>
        </w:rPr>
        <w:t>Derechos de Registro</w:t>
      </w:r>
      <w:bookmarkEnd w:id="888"/>
      <w:bookmarkEnd w:id="889"/>
    </w:p>
    <w:p w14:paraId="4F2B6764" w14:textId="77777777" w:rsidR="00CB5660" w:rsidRPr="00AE4E8D" w:rsidRDefault="00CB5660" w:rsidP="006659E6">
      <w:pPr>
        <w:pStyle w:val="BHTexto"/>
        <w:rPr>
          <w:lang w:val="es-ES"/>
        </w:rPr>
      </w:pPr>
      <w:r w:rsidRPr="00AE4E8D">
        <w:rPr>
          <w:lang w:val="es-ES"/>
        </w:rPr>
        <w:t>Conforme a un contrato de derechos de registro, los tenedores o titulares beneficiarios de ADSs o acciones Clase D representativas como mínimo de un 3,0% de nuestras acciones en circulación ("</w:t>
      </w:r>
      <w:r w:rsidRPr="00AE4E8D">
        <w:rPr>
          <w:u w:val="single"/>
          <w:lang w:val="es-ES"/>
        </w:rPr>
        <w:t>Valores Negociables Registrables</w:t>
      </w:r>
      <w:r w:rsidRPr="00AE4E8D">
        <w:rPr>
          <w:lang w:val="es-ES"/>
        </w:rPr>
        <w:t>") pueden exigirnos, a nuestro costo, la presentación ante la SEC de una declaración de registro en relación con las acciones Clase D o ADSs (un "</w:t>
      </w:r>
      <w:r w:rsidRPr="00AE4E8D">
        <w:rPr>
          <w:u w:val="single"/>
          <w:lang w:val="es-ES"/>
        </w:rPr>
        <w:t>Derecho de Registro Requerido</w:t>
      </w:r>
      <w:r w:rsidRPr="00AE4E8D">
        <w:rPr>
          <w:lang w:val="es-ES"/>
        </w:rPr>
        <w:t xml:space="preserve">") y emplear sus mayores esfuerzos para lograr que las ADSs sean aprobadas para su listado en la NYSE, salvo en los siguientes casos en los que las ADSs o acciones Clase D hayan dejado de ser Valores Negociables Registrables: (i) si se hubiera declarado vigente bajo la Ley de Títulos Valores estadounidense una declaración de registro respecto de la oferta de dichos valores negociables por su tenedor y tales valores negociables hubieran sido enajenados por dicho tenedor de conformidad con dicha declaración de registro, (ii) tales valores negociables hubieran sido vendidos al público de conformidad con, o fuesen elegibles para su venta al público sin restricciones sobre volumen o forma de venta bajo, la Norma 144 (k) (o cualquier disposición similar entonces vigente, excepto la Norma 144A) sancionada bajo la Ley de Títulos Valores estadounidense, (iii) tales valores </w:t>
      </w:r>
      <w:r w:rsidR="005A14E7" w:rsidRPr="00AE4E8D">
        <w:rPr>
          <w:lang w:val="es-ES"/>
        </w:rPr>
        <w:t xml:space="preserve">negociables </w:t>
      </w:r>
      <w:r w:rsidRPr="00AE4E8D">
        <w:rPr>
          <w:lang w:val="es-ES"/>
        </w:rPr>
        <w:t xml:space="preserve">hubieran sido transferidos de otra forma y nosotros o su agente de transferencia hubiéramos entregado nuevos certificados por tales valores negociables que no contengan una leyenda restringiendo su transferencia posterior y dicha enajenación posterior de dichos valores negociables no requiera registro o calificación bajo la Ley de Títulos Valores estadounidense a otra ley estadual similar entonces vigente, o (iv) dichos valores negociables hubieran dejado de estar en circulación. Los Derechos de Registro Requerido son ejercibles hasta cuatro veces en cualquier momento a partir de la primera de las siguientes fechas: (i) el 2 de mayo de 2000, o (ii) cinco meses después de la finalización de cualquier oferta pública de nuestro capital accionario en los Estados Unidos de América. No estaremos obligados a realizar más de un registro requerido en ningún período de doce meses. En ciertas circunstancias, el Gobierno Argentino actuando a través del Banco Nación tiene derecho a posponer la presentación de una declaración de registro cuya presentación fuese solicitada en virtud de un Derecho de Registro Requerido. No se ha ejercido ningún Derecho de Registro Requerido a la fecha de este Prospecto. </w:t>
      </w:r>
    </w:p>
    <w:p w14:paraId="4F2A38D9" w14:textId="77777777" w:rsidR="00CB5660" w:rsidRPr="00AE4E8D" w:rsidRDefault="00CB5660" w:rsidP="006659E6">
      <w:pPr>
        <w:pStyle w:val="BH3Izquierda"/>
        <w:rPr>
          <w:lang w:val="es-ES"/>
        </w:rPr>
      </w:pPr>
      <w:bookmarkStart w:id="890" w:name="_Toc420062662"/>
      <w:bookmarkStart w:id="891" w:name="_Toc421201546"/>
      <w:r w:rsidRPr="00AE4E8D">
        <w:rPr>
          <w:lang w:val="es-ES"/>
        </w:rPr>
        <w:t>Ciertas Disposiciones Relativas a la Adquisición de Acciones</w:t>
      </w:r>
      <w:bookmarkEnd w:id="890"/>
      <w:bookmarkEnd w:id="891"/>
    </w:p>
    <w:p w14:paraId="21D3CEA6" w14:textId="77777777" w:rsidR="00CB5660" w:rsidRPr="00AE4E8D" w:rsidRDefault="00CB5660" w:rsidP="000E1220">
      <w:pPr>
        <w:pStyle w:val="BH4Cursiva"/>
        <w:rPr>
          <w:lang w:val="es-ES"/>
        </w:rPr>
      </w:pPr>
      <w:r w:rsidRPr="00AE4E8D">
        <w:rPr>
          <w:lang w:val="es-ES"/>
        </w:rPr>
        <w:t>Ciertas Disposiciones de la Ley de Privatización y de Nuestro Estatuto</w:t>
      </w:r>
    </w:p>
    <w:p w14:paraId="55AB8CC5" w14:textId="77777777" w:rsidR="00CB5660" w:rsidRPr="00AE4E8D" w:rsidRDefault="00CB5660" w:rsidP="006659E6">
      <w:pPr>
        <w:pStyle w:val="BHTexto"/>
        <w:rPr>
          <w:lang w:val="es-ES"/>
        </w:rPr>
      </w:pPr>
      <w:r w:rsidRPr="00AE4E8D">
        <w:rPr>
          <w:lang w:val="es-ES"/>
        </w:rPr>
        <w:t xml:space="preserve">Conforme a la Ley de Privatización y a nuestro Estatuto, cada persona </w:t>
      </w:r>
      <w:r w:rsidR="00E03816" w:rsidRPr="00AE4E8D">
        <w:rPr>
          <w:lang w:val="es-ES"/>
        </w:rPr>
        <w:t>humana</w:t>
      </w:r>
      <w:r w:rsidRPr="00AE4E8D">
        <w:rPr>
          <w:lang w:val="es-ES"/>
        </w:rPr>
        <w:t xml:space="preserve"> o jurídica que pertenezca al mismo "grupo económico" no podrá ser titular de un porcentaje superior al 5% de nuestro capital social. Si bien la Ley de Privatización no define el término "grupo económico", sin embargo aplicaremos el significado que se le asigna a esta expresión en las normas del BCRA.</w:t>
      </w:r>
    </w:p>
    <w:p w14:paraId="314452EF" w14:textId="77777777" w:rsidR="00CB5660" w:rsidRPr="00AE4E8D" w:rsidRDefault="00CB5660" w:rsidP="006659E6">
      <w:pPr>
        <w:pStyle w:val="BHTexto"/>
        <w:rPr>
          <w:lang w:val="es-ES"/>
        </w:rPr>
      </w:pPr>
      <w:r w:rsidRPr="00AE4E8D">
        <w:rPr>
          <w:lang w:val="es-ES"/>
        </w:rPr>
        <w:t xml:space="preserve">Además, conforme a la Ley de Privatización, no podrá asignarse a ninguna persona </w:t>
      </w:r>
      <w:r w:rsidR="00E03816" w:rsidRPr="00AE4E8D">
        <w:rPr>
          <w:lang w:val="es-ES"/>
        </w:rPr>
        <w:t>humana</w:t>
      </w:r>
      <w:r w:rsidRPr="00AE4E8D">
        <w:rPr>
          <w:lang w:val="es-ES"/>
        </w:rPr>
        <w:t xml:space="preserve"> o jurídica más del 5% de nuestro capital social. De conformidad con los términos de la Ley de Privatización, el Ministerio de Economía y Finanzas Públicas podrá establecer los demás términos y condiciones de las ofertas de acciones.</w:t>
      </w:r>
    </w:p>
    <w:p w14:paraId="252E6DD9" w14:textId="77777777" w:rsidR="00CB5660" w:rsidRPr="00AE4E8D" w:rsidRDefault="00CB5660" w:rsidP="000E1220">
      <w:pPr>
        <w:pStyle w:val="BH4Cursiva"/>
        <w:rPr>
          <w:lang w:val="es-ES"/>
        </w:rPr>
      </w:pPr>
      <w:r w:rsidRPr="00AE4E8D">
        <w:rPr>
          <w:lang w:val="es-ES"/>
        </w:rPr>
        <w:t>Ciertas Disposiciones Relativas al BCRA</w:t>
      </w:r>
    </w:p>
    <w:p w14:paraId="0138DB34" w14:textId="77777777" w:rsidR="00CB5660" w:rsidRPr="00AE4E8D" w:rsidRDefault="00CB5660" w:rsidP="006659E6">
      <w:pPr>
        <w:pStyle w:val="BHTexto"/>
        <w:rPr>
          <w:lang w:val="es-ES"/>
        </w:rPr>
      </w:pPr>
      <w:r w:rsidRPr="00AE4E8D">
        <w:rPr>
          <w:lang w:val="es-ES"/>
        </w:rPr>
        <w:t xml:space="preserve">La Ley de Privatización y las reglamentaciones complementarias aplicables al respecto, requieren que las adquisiciones significativas estén aprobadas previamente por el BCRA, en ese orden de ideas, “Adquisición Significativa”, en el marco de las </w:t>
      </w:r>
      <w:r w:rsidR="00A667F7" w:rsidRPr="00AE4E8D">
        <w:rPr>
          <w:lang w:val="es-ES"/>
        </w:rPr>
        <w:t>normas del BCRA</w:t>
      </w:r>
      <w:r w:rsidRPr="00AE4E8D">
        <w:rPr>
          <w:lang w:val="es-ES"/>
        </w:rPr>
        <w:t xml:space="preserve"> significa la compra de acciones que confieren al comprador el cinco por ciento (5,0%) o más de nuestros votos.</w:t>
      </w:r>
    </w:p>
    <w:p w14:paraId="7D3E044C" w14:textId="77777777" w:rsidR="00CB5660" w:rsidRPr="00AE4E8D" w:rsidRDefault="00CB5660" w:rsidP="006659E6">
      <w:pPr>
        <w:pStyle w:val="BHTexto"/>
        <w:rPr>
          <w:lang w:val="es-ES"/>
        </w:rPr>
      </w:pPr>
      <w:r w:rsidRPr="00AE4E8D">
        <w:rPr>
          <w:lang w:val="es-ES"/>
        </w:rPr>
        <w:lastRenderedPageBreak/>
        <w:t>Adicionalmente, cualquier adquisición distinta de una Adquisición Significativa, del 2% o más del capital de una entidad financiera deberá ser informada al BCRA por nosotros.</w:t>
      </w:r>
    </w:p>
    <w:p w14:paraId="4F37D078" w14:textId="77777777" w:rsidR="00CB5660" w:rsidRPr="00AE4E8D" w:rsidRDefault="00CB5660" w:rsidP="000E1220">
      <w:pPr>
        <w:pStyle w:val="BH4Cursiva"/>
        <w:rPr>
          <w:lang w:val="es-ES"/>
        </w:rPr>
      </w:pPr>
      <w:r w:rsidRPr="00AE4E8D">
        <w:rPr>
          <w:lang w:val="es-ES"/>
        </w:rPr>
        <w:t>Notificación de Ciertas Adquisiciones</w:t>
      </w:r>
    </w:p>
    <w:p w14:paraId="2B457086" w14:textId="77777777" w:rsidR="00CB5660" w:rsidRPr="00AE4E8D" w:rsidRDefault="00CB5660" w:rsidP="006659E6">
      <w:pPr>
        <w:pStyle w:val="BHTexto"/>
        <w:rPr>
          <w:lang w:val="es-ES"/>
        </w:rPr>
      </w:pPr>
      <w:r w:rsidRPr="00AE4E8D">
        <w:rPr>
          <w:lang w:val="es-ES"/>
        </w:rPr>
        <w:t>De conformidad con nuestro Estatuto, cualquier persona que, directa o indirectamente a través de sus afiliadas o personas que actúen en forma concertada con ella o conjuntamente con éstas, adquiera acciones Clase D o valores negociables convertibles en acciones Clase D que tuviera como resultado que dicha persona controlara más del 3% de las acciones Clase D, estará obligada a notificarnos dicha adquisición, dentro de un plazo de cinco días desde la fecha de la mencionada adquisición, además de cumplir con todos los requisitos que sean impuestos por una autoridad regulatoria de la Argentina y/o de otras jurisdicciones donde se encuentren listadas y/o se negocien nuestras acciones Clase D. Dicha notificación deberá incluir el nombre o los nombres de la persona o personas, en su caso, que actúen en concierto con ella, la fecha de la adquisición, el número de acciones adquiridas, el precio al cual se realizó la adquisición, así como una declaración respecto de si el propósito de la persona o personas es adquirir una mayor participación accionaria en el Banco o el control de éste. Toda adquisición posterior que sea efectuada por dicha persona o personas requerirá una notificación similar en los mismos términos.</w:t>
      </w:r>
    </w:p>
    <w:p w14:paraId="21FA91DC" w14:textId="77777777" w:rsidR="00CB5660" w:rsidRPr="00AE4E8D" w:rsidRDefault="00CB5660" w:rsidP="000E1220">
      <w:pPr>
        <w:pStyle w:val="BH4Cursiva"/>
        <w:rPr>
          <w:lang w:val="es-ES"/>
        </w:rPr>
      </w:pPr>
      <w:r w:rsidRPr="00AE4E8D">
        <w:rPr>
          <w:lang w:val="es-ES"/>
        </w:rPr>
        <w:t>Mayoría Especial</w:t>
      </w:r>
    </w:p>
    <w:p w14:paraId="24BA5BD9" w14:textId="77777777" w:rsidR="00CB5660" w:rsidRPr="00AE4E8D" w:rsidRDefault="00CB5660" w:rsidP="006659E6">
      <w:pPr>
        <w:pStyle w:val="BHTexto"/>
        <w:rPr>
          <w:lang w:val="es-ES"/>
        </w:rPr>
      </w:pPr>
      <w:r w:rsidRPr="00AE4E8D">
        <w:rPr>
          <w:lang w:val="es-ES"/>
        </w:rPr>
        <w:t>Las resoluciones que se adopten en una Asamblea de Accionistas del Banco, sean éstas Ordinarias o Extraordinarias, Generales o Especiales, podrán ser adoptadas por la mayoría absoluta de los accionistas presentes en la misma, con las siguientes excepciones:</w:t>
      </w:r>
    </w:p>
    <w:p w14:paraId="1C624CC8" w14:textId="77777777" w:rsidR="00CB5660" w:rsidRPr="00AE4E8D" w:rsidRDefault="00CB5660" w:rsidP="00933012">
      <w:pPr>
        <w:numPr>
          <w:ilvl w:val="0"/>
          <w:numId w:val="43"/>
        </w:numPr>
        <w:tabs>
          <w:tab w:val="left" w:pos="993"/>
          <w:tab w:val="left" w:pos="1843"/>
        </w:tabs>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se requiere el voto favorable del 75% de las acciones con derecho a voto, tanto en primera como en segunda convocatoria (sin considerar los derechos de voto múltiple) para la aprobación de ciertos actos por parte nuestra, a saber: (a) el retiro de la autorización de listado de nuestras acciones en la BCBA (o la entidad que pueda reemplazarla en el futuro) y/o en el NYSE; (b) la transferencia de nuestro domicilio al extranjero; (c) un cambio fundamental en nuestro objeto social</w:t>
      </w:r>
      <w:r w:rsidR="00CE1483">
        <w:rPr>
          <w:rFonts w:ascii="Times New Roman" w:hAnsi="Times New Roman"/>
          <w:lang w:val="es-ES" w:eastAsia="es-AR"/>
        </w:rPr>
        <w:t>;</w:t>
      </w:r>
      <w:r w:rsidRPr="00AE4E8D">
        <w:rPr>
          <w:rFonts w:ascii="Times New Roman" w:hAnsi="Times New Roman"/>
          <w:lang w:val="es-ES" w:eastAsia="es-AR"/>
        </w:rPr>
        <w:t xml:space="preserve"> y (d) ciertas escisiones que resulten en la transferencia del 25% o más de nuestros activos;</w:t>
      </w:r>
    </w:p>
    <w:p w14:paraId="022849EF" w14:textId="77777777" w:rsidR="00CB5660" w:rsidRPr="00AE4E8D" w:rsidRDefault="00CB5660" w:rsidP="00933012">
      <w:pPr>
        <w:numPr>
          <w:ilvl w:val="0"/>
          <w:numId w:val="43"/>
        </w:numPr>
        <w:tabs>
          <w:tab w:val="left" w:pos="993"/>
          <w:tab w:val="left" w:pos="1843"/>
        </w:tabs>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se requiere el voto favorable del 66% de las acciones con derecho a voto, tanto en primera como en segunda convocatoria (sin considerar los derechos de voto múltiple) para aprobar ciertas modificaciones al Estatuto, a saber: (a) modificar nuestro Estatuto para cambiar el porcentaje de titularidad de nuestras acciones, o que constituya una adquisición de control; (b) modificar las disposiciones de nuestro Estatuto que exigen que las ofertas públicas de adquisición requeridas conforme a nuestro Estatuto sean efectuadas totalmente en efectivo por la totalidad de las acciones y valores negociables convertibles en circulación a un precio no inferior a un precio mínimo especificado conforme a lo dispuesto en nuestro Estatuto, (c) modificar las disposiciones de nuestro Estatuto relativas al número, nominación, elección y composición del Directorio, (d) el otorgamiento de ciertas garantías a favor de los accionistas, (e) aprobar el cese total o la reducción significativa de las actividades de préstamos para nuestras viviendas; y (f) las disposiciones sobre el número, nominación, elección y composición del Directorio; y</w:t>
      </w:r>
    </w:p>
    <w:p w14:paraId="5EA90EEB" w14:textId="77777777" w:rsidR="00CB5660" w:rsidRPr="00AE4E8D" w:rsidRDefault="00CB5660" w:rsidP="00933012">
      <w:pPr>
        <w:numPr>
          <w:ilvl w:val="0"/>
          <w:numId w:val="43"/>
        </w:numPr>
        <w:tabs>
          <w:tab w:val="left" w:pos="993"/>
          <w:tab w:val="left" w:pos="1843"/>
        </w:tabs>
        <w:autoSpaceDE w:val="0"/>
        <w:autoSpaceDN w:val="0"/>
        <w:adjustRightInd w:val="0"/>
        <w:spacing w:before="120" w:after="120"/>
        <w:jc w:val="both"/>
        <w:rPr>
          <w:rFonts w:ascii="Times New Roman" w:hAnsi="Times New Roman"/>
          <w:lang w:val="es-ES" w:eastAsia="es-AR"/>
        </w:rPr>
      </w:pPr>
      <w:r w:rsidRPr="00AE4E8D">
        <w:rPr>
          <w:rFonts w:ascii="Times New Roman" w:hAnsi="Times New Roman"/>
          <w:lang w:val="es-ES" w:eastAsia="es-AR"/>
        </w:rPr>
        <w:t>se requiere la aprobación de la mayoría absoluta de las acciones con derecho de voto (sin considerar los derechos de voto múltiple) para: (a) fusiones o escisiones en las que no seamos la persona jurídica continuadora, y (b) la disolución anticipada o el revalúo parcial o total del capital.</w:t>
      </w:r>
    </w:p>
    <w:p w14:paraId="16AE36F3" w14:textId="77777777" w:rsidR="00CB5660" w:rsidRPr="00AE4E8D" w:rsidRDefault="00CB5660" w:rsidP="006659E6">
      <w:pPr>
        <w:pStyle w:val="BH2Izquierda"/>
        <w:rPr>
          <w:lang w:val="es-ES"/>
        </w:rPr>
      </w:pPr>
      <w:bookmarkStart w:id="892" w:name="_Toc414610956"/>
      <w:bookmarkStart w:id="893" w:name="_Toc420062663"/>
      <w:bookmarkStart w:id="894" w:name="_Toc421201547"/>
      <w:bookmarkStart w:id="895" w:name="_Toc495973070"/>
      <w:bookmarkStart w:id="896" w:name="_Toc495399977"/>
      <w:bookmarkEnd w:id="881"/>
      <w:bookmarkEnd w:id="882"/>
      <w:bookmarkEnd w:id="883"/>
      <w:r w:rsidRPr="00AE4E8D">
        <w:rPr>
          <w:lang w:val="es-ES"/>
        </w:rPr>
        <w:t xml:space="preserve">b) Acta Constitutiva y </w:t>
      </w:r>
      <w:bookmarkEnd w:id="892"/>
      <w:bookmarkEnd w:id="893"/>
      <w:r w:rsidRPr="00AE4E8D">
        <w:rPr>
          <w:lang w:val="es-ES"/>
        </w:rPr>
        <w:t>Estatuto</w:t>
      </w:r>
      <w:bookmarkEnd w:id="894"/>
      <w:bookmarkEnd w:id="895"/>
      <w:bookmarkEnd w:id="896"/>
    </w:p>
    <w:p w14:paraId="347ED022" w14:textId="77777777" w:rsidR="00CB5660" w:rsidRPr="00AE4E8D" w:rsidRDefault="00CB5660" w:rsidP="006659E6">
      <w:pPr>
        <w:pStyle w:val="BH3Izquierda"/>
        <w:rPr>
          <w:lang w:val="es-ES"/>
        </w:rPr>
      </w:pPr>
      <w:bookmarkStart w:id="897" w:name="_Toc420062664"/>
      <w:bookmarkStart w:id="898" w:name="_Toc421201548"/>
      <w:bookmarkStart w:id="899" w:name="_Toc82933110"/>
      <w:bookmarkStart w:id="900" w:name="_Toc414610957"/>
      <w:r w:rsidRPr="00AE4E8D">
        <w:rPr>
          <w:lang w:val="es-ES"/>
        </w:rPr>
        <w:t>Constitución. Objeto Social.</w:t>
      </w:r>
      <w:bookmarkEnd w:id="897"/>
      <w:bookmarkEnd w:id="898"/>
    </w:p>
    <w:p w14:paraId="0003899D" w14:textId="77777777" w:rsidR="00CB5660" w:rsidRPr="00AE4E8D" w:rsidRDefault="00CB5660" w:rsidP="006659E6">
      <w:pPr>
        <w:pStyle w:val="BHTexto"/>
        <w:rPr>
          <w:lang w:val="es-ES"/>
        </w:rPr>
      </w:pPr>
      <w:r w:rsidRPr="00AE4E8D">
        <w:rPr>
          <w:lang w:val="es-ES"/>
        </w:rPr>
        <w:t>Somos una sociedad anónima constituida bajo las leyes de Argentina y fuimos inscriptos en el Registro Público de Comercio el 23 de octubre de 1997, bajo el número 12.296, libro 122, Tomo A de Sociedades Anónimas. De conformidad con nuestro Estatuto, nuestra duración es de cien años a contar desde nuestra fecha de registro en el Registro Público de Comercio (hasta el 23 de octubre de 2097). Nuestra sede social está ubicada en Reconquista 151 (C1003ABC), Ciudad Autónoma de Buenos Aires.</w:t>
      </w:r>
    </w:p>
    <w:p w14:paraId="22C2F6AC" w14:textId="77777777" w:rsidR="00CB5660" w:rsidRPr="00AE4E8D" w:rsidRDefault="00CB5660" w:rsidP="006659E6">
      <w:pPr>
        <w:pStyle w:val="BHTexto"/>
        <w:rPr>
          <w:lang w:val="es-ES"/>
        </w:rPr>
      </w:pPr>
      <w:r w:rsidRPr="00AE4E8D">
        <w:rPr>
          <w:lang w:val="es-ES"/>
        </w:rPr>
        <w:lastRenderedPageBreak/>
        <w:t>De conformidad con el artículo 4 de nuestro Estatuto, nuestro objeto es realizar, por cuenta propia o por intermedio de o asociada a terceros, dentro de o fuera del país (a) todas las actividades bancarias autorizadas por la Ley de Entidades Financieras</w:t>
      </w:r>
      <w:r w:rsidRPr="00AE4E8D" w:rsidDel="002B74C8">
        <w:rPr>
          <w:lang w:val="es-ES"/>
        </w:rPr>
        <w:t xml:space="preserve"> </w:t>
      </w:r>
      <w:r w:rsidRPr="00AE4E8D">
        <w:rPr>
          <w:lang w:val="es-ES"/>
        </w:rPr>
        <w:t>y demás leyes, reglamentaciones y normas complementarias y accesorias que regulen la actividad bancaria para los bancos comerciales, y en atención de las necesidades de préstamos hipotecarios para la vivienda, (b) asegurar los riesgos de las operaciones que realice o de los bienes que hayan sido objeto de su financiación, aunque no hubieran sido dados en garantía, imponer seguros a los beneficiarios de sus operaciones y asegurar los riesgos provenientes de las operatorias previstas en el artículo 10 de la Ley Nº21.581 (la “</w:t>
      </w:r>
      <w:r w:rsidRPr="00AE4E8D">
        <w:rPr>
          <w:u w:val="single"/>
          <w:lang w:val="es-ES"/>
        </w:rPr>
        <w:t>Ley de Fondo Nacional de la Vivienda</w:t>
      </w:r>
      <w:r w:rsidRPr="00AE4E8D">
        <w:rPr>
          <w:lang w:val="es-ES"/>
        </w:rPr>
        <w:t>”), y en la Ley Nº24.626 (la “</w:t>
      </w:r>
      <w:r w:rsidRPr="00AE4E8D">
        <w:rPr>
          <w:u w:val="single"/>
          <w:lang w:val="es-ES"/>
        </w:rPr>
        <w:t>Ley de Sistema de Seguro Obligatorio</w:t>
      </w:r>
      <w:r w:rsidRPr="00AE4E8D">
        <w:rPr>
          <w:lang w:val="es-ES"/>
        </w:rPr>
        <w:t xml:space="preserve">”); (c) realizar todas las operaciones bursátiles contempladas en las normas legales que ordenan la actividad, conforme los lineamientos regulados por la CNV, actuando como sociedad de bolsa en los mercados de valores autorizados, o agente de cualquier otro mercado autorizado; (d) realizar operaciones inmobiliarias de compraventa, construcción, locación y administración de inmuebles e intermediación, mandatos, comisiones, y cualquier otra que resulte necesaria para facilitar la consecución de su objeto bancario; </w:t>
      </w:r>
      <w:r w:rsidR="00CE1483">
        <w:rPr>
          <w:lang w:val="es-ES"/>
        </w:rPr>
        <w:t xml:space="preserve">y </w:t>
      </w:r>
      <w:r w:rsidRPr="00AE4E8D">
        <w:rPr>
          <w:lang w:val="es-ES"/>
        </w:rPr>
        <w:t>(e) actuar como fiduciario en los términos previstos en la Ley de Fideicomisos. De acuerdo con nuestro Estatuto y el artículo 17 de la Ley de Privatización, debemos, por el plazo de diez años a partir del 22 de julio de 1997, realizar al menos las siguientes actividades: (i) financiar la construcción y adquisición de viviendas en el país, por cuenta propia o a través de terceros, asegurando una armónica distribución regional del crédito, de modo tal de hacer accesible el mismo a los diversos sectores de la comunidad; (ii) mantener líneas de crédito destinadas a la financiación de la construcción de viviendas en pequeñas localidades, destinando anualmente a estas operaciones no menos del 10 % del total de créditos que otorgue para la construcción, debiendo contemplar una equitativa distribución geográfica; y (iii) Preservar la constitución del fondo especial previsto en el artículo 13 de la Ley Nº24.143 (la “Ley de Cancelación de Créditos y Deudas Existentes Entre el Banco Hipotecario Nacional, el BCRA y la Secretaría De Hacienda”), que establece que constituiremos un fondo especial destinado a subsidiar los servicios de reembolso de los prestatarios que se encuentren afectados por serias situaciones de emergencia económica y que no pudieran ser atendidas mediante la renegociación del crédito. Dicho fondo se integrará con el 2% de las sumas ingresadas en concepto de intereses percibidos sobre préstamos para la vivienda.</w:t>
      </w:r>
    </w:p>
    <w:p w14:paraId="2C7DE586" w14:textId="77777777" w:rsidR="00CB5660" w:rsidRPr="00AE4E8D" w:rsidRDefault="00CB5660" w:rsidP="006659E6">
      <w:pPr>
        <w:pStyle w:val="BHTexto"/>
        <w:rPr>
          <w:lang w:val="es-ES"/>
        </w:rPr>
      </w:pPr>
      <w:r w:rsidRPr="00AE4E8D">
        <w:rPr>
          <w:lang w:val="es-ES"/>
        </w:rPr>
        <w:t>Regularemos esta operación con sujeción a las disposiciones establecidas en las Normas Contables del BCRA. También administraremos las cuentas de menores de acuerdo con las condiciones establecidas en el artículo 33 de la Ley Nº21.963 (“</w:t>
      </w:r>
      <w:r w:rsidRPr="00AE4E8D">
        <w:rPr>
          <w:u w:val="single"/>
          <w:lang w:val="es-ES"/>
        </w:rPr>
        <w:t>Ley de Caja Nacional de Ahorro y Seguro</w:t>
      </w:r>
      <w:r w:rsidRPr="00AE4E8D">
        <w:rPr>
          <w:lang w:val="es-ES"/>
        </w:rPr>
        <w:t xml:space="preserve">”), aplicando la inembargabilidad de saldos en caja de ahorro de acuerdo con el artículo 34 de la mencionada Ley. </w:t>
      </w:r>
    </w:p>
    <w:p w14:paraId="74DB2074" w14:textId="77777777" w:rsidR="00CB5660" w:rsidRPr="00AE4E8D" w:rsidRDefault="00CB5660" w:rsidP="002831AB">
      <w:pPr>
        <w:keepNext/>
        <w:autoSpaceDE w:val="0"/>
        <w:autoSpaceDN w:val="0"/>
        <w:adjustRightInd w:val="0"/>
        <w:spacing w:before="240" w:after="240"/>
        <w:outlineLvl w:val="2"/>
        <w:rPr>
          <w:rFonts w:ascii="Times New Roman" w:hAnsi="Times New Roman"/>
          <w:b/>
          <w:lang w:val="es-ES" w:eastAsia="es-AR"/>
        </w:rPr>
      </w:pPr>
      <w:bookmarkStart w:id="901" w:name="_Toc420062665"/>
      <w:bookmarkStart w:id="902" w:name="_Toc421201549"/>
      <w:r w:rsidRPr="00AE4E8D">
        <w:rPr>
          <w:rFonts w:ascii="Times New Roman" w:hAnsi="Times New Roman"/>
          <w:b/>
          <w:lang w:val="es-ES" w:eastAsia="es-AR"/>
        </w:rPr>
        <w:t>Relaciones entre los Directores y el Banco. Conflicto de Intereses.</w:t>
      </w:r>
      <w:bookmarkEnd w:id="901"/>
      <w:bookmarkEnd w:id="902"/>
    </w:p>
    <w:p w14:paraId="1578F160" w14:textId="77777777" w:rsidR="00CB5660" w:rsidRPr="00AE4E8D" w:rsidRDefault="00CB5660" w:rsidP="006659E6">
      <w:pPr>
        <w:pStyle w:val="BHTexto"/>
        <w:rPr>
          <w:lang w:val="es-ES"/>
        </w:rPr>
      </w:pPr>
      <w:r w:rsidRPr="00AE4E8D">
        <w:rPr>
          <w:lang w:val="es-ES"/>
        </w:rPr>
        <w:t xml:space="preserve">El artículo 14 de nuestro Estatuto establece que el Directorio fijará la remuneración de los miembros que desempeñen funciones ejecutivas, técnicas y administrativas o mandatos especiales en un nivel congruente con el vigente en el mercado, con la abstención de los directores interesados y con la subsiguiente ratificación de dicha decisión mediante una asamblea de accionistas. </w:t>
      </w:r>
    </w:p>
    <w:p w14:paraId="5BD0A90B" w14:textId="77777777" w:rsidR="00CB5660" w:rsidRPr="00AE4E8D" w:rsidRDefault="00CB5660" w:rsidP="006659E6">
      <w:pPr>
        <w:pStyle w:val="BHTexto"/>
        <w:rPr>
          <w:lang w:val="es-ES"/>
        </w:rPr>
      </w:pPr>
      <w:r w:rsidRPr="00AE4E8D">
        <w:rPr>
          <w:lang w:val="es-ES"/>
        </w:rPr>
        <w:t>El artículo 6.8 del Reglamento Interno del Directorio establece que un director que tenga interés particular, contrario o concurrente al nuestro deberá hacérnoslo saber antes de que se proceda a la deliberación del tema en particular, con el objeto de que el director afectado se retire del ámbito de la reunión específica, al que retornará cuando concluya el tratamiento del punto del orden del día en particular sobre el cual el mencionado director debiera abstenerse. El incumplimiento de la mencionada obligación implicará que se deberá convocar a una Asamblea de Accionistas la que deberá decidir: (i) la eventual adopción de sanciones; (ii) la remoción o suspensión en el cargo del director; o (iii) el inicio de una acción contra el director (artículo 10 del Reglamento Interno del Directorio). Además, de acuerdo con el artículo 10 del Reglamento Interno del Directorio, el incumplimiento de esta obligación será ponderado por el Directorio, pudiéndose aplicar sanciones al director infractor.</w:t>
      </w:r>
    </w:p>
    <w:p w14:paraId="6EF1FB89" w14:textId="77777777" w:rsidR="00CB5660" w:rsidRPr="00AE4E8D" w:rsidRDefault="00CB5660" w:rsidP="006659E6">
      <w:pPr>
        <w:pStyle w:val="BH3Izquierda"/>
        <w:rPr>
          <w:lang w:val="es-ES"/>
        </w:rPr>
      </w:pPr>
      <w:bookmarkStart w:id="903" w:name="_Toc420062666"/>
      <w:bookmarkStart w:id="904" w:name="_Toc421201550"/>
      <w:r w:rsidRPr="00AE4E8D">
        <w:rPr>
          <w:lang w:val="es-ES"/>
        </w:rPr>
        <w:t>Derechos y Obligaciones de los Accionistas</w:t>
      </w:r>
      <w:bookmarkEnd w:id="903"/>
      <w:bookmarkEnd w:id="904"/>
    </w:p>
    <w:p w14:paraId="544BB03A" w14:textId="77777777" w:rsidR="00CB5660" w:rsidRPr="00AE4E8D" w:rsidRDefault="00CB5660" w:rsidP="000E1220">
      <w:pPr>
        <w:pStyle w:val="BH4Cursiva"/>
        <w:rPr>
          <w:lang w:val="es-ES"/>
        </w:rPr>
      </w:pPr>
      <w:r w:rsidRPr="00AE4E8D">
        <w:rPr>
          <w:lang w:val="es-ES"/>
        </w:rPr>
        <w:t>Participación en la Liquidación del Banco</w:t>
      </w:r>
    </w:p>
    <w:p w14:paraId="76B48BD7" w14:textId="77777777" w:rsidR="00CB5660" w:rsidRPr="00AE4E8D" w:rsidRDefault="00CB5660" w:rsidP="006659E6">
      <w:pPr>
        <w:pStyle w:val="BHTexto"/>
        <w:rPr>
          <w:lang w:val="es-ES"/>
        </w:rPr>
      </w:pPr>
      <w:r w:rsidRPr="00AE4E8D">
        <w:rPr>
          <w:lang w:val="es-ES"/>
        </w:rPr>
        <w:t>En caso de liquidación del Banco, se podrá designar a uno o más liquidadores para liquidar sus activos y negocios, en tales casos, en la liquidación de nuestros activos, lo recaudado será destinado para afrontar el pago de nuestras deudas y nuestros pasivos, mientras que los montos restantes serán distribuidos entre los accionistas a prorrata de sus tenencias, sujeto a los derechos de preferencia de las acciones preferidas, si es que a ese momento hubiese acciones preferidas emitidas y en circulación.</w:t>
      </w:r>
    </w:p>
    <w:p w14:paraId="0765B118" w14:textId="77777777" w:rsidR="00CB5660" w:rsidRPr="00AE4E8D" w:rsidRDefault="00CB5660" w:rsidP="000E1220">
      <w:pPr>
        <w:pStyle w:val="BH4Cursiva"/>
        <w:rPr>
          <w:lang w:val="es-ES"/>
        </w:rPr>
      </w:pPr>
      <w:r w:rsidRPr="00AE4E8D">
        <w:rPr>
          <w:lang w:val="es-ES"/>
        </w:rPr>
        <w:lastRenderedPageBreak/>
        <w:t>Reducción del Capital</w:t>
      </w:r>
    </w:p>
    <w:p w14:paraId="63478E1A" w14:textId="77777777" w:rsidR="00CB5660" w:rsidRPr="00AE4E8D" w:rsidRDefault="00CB5660" w:rsidP="006659E6">
      <w:pPr>
        <w:pStyle w:val="BHTexto"/>
        <w:rPr>
          <w:lang w:val="es-ES"/>
        </w:rPr>
      </w:pPr>
      <w:r w:rsidRPr="00AE4E8D">
        <w:rPr>
          <w:lang w:val="es-ES"/>
        </w:rPr>
        <w:t>Las reducciones de capital podrán ser voluntarias u obligatorias. Las reducciones de capital voluntarias deberán ser aprobadas en una Asamblea Extraordinaria de Accionistas, las cuales solo podrán tener lugar con posterioridad a ser convocadas de acuerdo a la normativa aplicable a cada momento y tras la notificación de los accionistas mediante la publicación de los edictos correspondientes y habiéndosele dado a los acreedores la oportunidad de obtener el pago o una garantía adicional de sus créditos. De acuerdo con el artículo 206 de la Ley General de Sociedades Argentina, las reducciones de capital son obligatorias cuando las pérdidas insumen las reservas y el 50% del capital social de una sociedad. Nuestras acciones están sujetas a rescate en relación con una reducción del capital social decidida por el voto mayoritario de una Asamblea Extraordinaria de Accionistas. Las acciones rescatadas de esta forma deberán ser canceladas por nosotros.</w:t>
      </w:r>
    </w:p>
    <w:p w14:paraId="4B2377FA" w14:textId="77777777" w:rsidR="00CB5660" w:rsidRPr="00AE4E8D" w:rsidRDefault="00CB5660" w:rsidP="000E1220">
      <w:pPr>
        <w:pStyle w:val="BH4Cursiva"/>
        <w:rPr>
          <w:lang w:val="es-ES"/>
        </w:rPr>
      </w:pPr>
      <w:r w:rsidRPr="00AE4E8D">
        <w:rPr>
          <w:lang w:val="es-ES"/>
        </w:rPr>
        <w:t>Adquisición de Acciones Propias por parte de la Emisora</w:t>
      </w:r>
    </w:p>
    <w:p w14:paraId="2ABE8751" w14:textId="77777777" w:rsidR="00CB5660" w:rsidRPr="00AE4E8D" w:rsidRDefault="00CB5660" w:rsidP="006659E6">
      <w:pPr>
        <w:pStyle w:val="BHTexto"/>
        <w:rPr>
          <w:lang w:val="es-ES"/>
        </w:rPr>
      </w:pPr>
      <w:r w:rsidRPr="00AE4E8D">
        <w:rPr>
          <w:lang w:val="es-ES"/>
        </w:rPr>
        <w:t xml:space="preserve">De acuerdo con el Artículo 221 de la Ley General de Sociedades Argentina y las Normas de la CNV, las sociedades pueden adquirir acciones propias en tanto las mismas sean admitidas para su listado por un mercado autorizado. Una vez que dichas acciones hayan sido totalmente integradas, las acciones podrán ser adquiridas, con las utilidades netas y reservas libres o facultativas resultantes de los últimos estados contables aprobados por el Directorio. </w:t>
      </w:r>
    </w:p>
    <w:p w14:paraId="6A59EB91" w14:textId="77777777" w:rsidR="00CB5660" w:rsidRPr="00AE4E8D" w:rsidRDefault="00CB5660" w:rsidP="006659E6">
      <w:pPr>
        <w:pStyle w:val="BHTexto"/>
        <w:rPr>
          <w:lang w:val="es-ES"/>
        </w:rPr>
      </w:pPr>
      <w:r w:rsidRPr="00AE4E8D">
        <w:rPr>
          <w:lang w:val="es-ES"/>
        </w:rPr>
        <w:t>La decisión de una sociedad de adquirir acciones propias deberá: (i) ser adoptada por el Directorio previo informe del Comité de Auditoría o del órgano de control, (ii) ser informada a la CNV y a otros mercados autorizados, y (iii) ser publicada en el boletín informativo de dichos mercados autorizados o en un periódico de gran circulación. La resolución del Directorio deberá establecer el fin de la adquisición, el monto máximo a ser invertido, la cantidad máxima de acciones o el porcentaje de capital máximo que puede ser adquirido y el precio máximo a pagar por las acciones. El Directorio deberá demostrar a la CNV que posee liquidez suficiente para adquirir las acciones, y que el pago de acciones no afecta la solvencia de la sociedad. El monto total de acciones adquiridas y ya en poder de la sociedad no deberá superar el 10% de su capital accionario. Las acciones adquiridas por la sociedad en exceso de dichos límites deberán ser enajenadas dentro de los noventa días desde la fecha de la adquisición que motivó dicho exceso.</w:t>
      </w:r>
    </w:p>
    <w:p w14:paraId="16AEFBE9" w14:textId="77777777" w:rsidR="00CB5660" w:rsidRPr="00AE4E8D" w:rsidRDefault="00CB5660" w:rsidP="006659E6">
      <w:pPr>
        <w:pStyle w:val="BHTexto"/>
        <w:rPr>
          <w:lang w:val="es-ES"/>
        </w:rPr>
      </w:pPr>
      <w:r w:rsidRPr="00AE4E8D">
        <w:rPr>
          <w:lang w:val="es-ES"/>
        </w:rPr>
        <w:t>Las acciones adquiridas de acuerdo con estas disposiciones deberán ser enajenadas por la sociedad dentro de un plazo de un año de la fecha de su adquisición, a menos que una Asamblea Ordinaria de Accionistas autorice una extensión. Al momento de su transferencia, la sociedad deberá realizar una oferta de acciones preferente a los accionistas de acuerdo con los términos establecidos en el artículo 221 de la Ley General de Sociedades Argentina y sus reglamentaciones complementarias y accesorias. Los derechos de las acciones adquiridas por la sociedad se suspenderán hasta que las acciones se vendan a terceros y no serán tomadas en cuenta para el cálculo de quórum y mayorías.</w:t>
      </w:r>
    </w:p>
    <w:p w14:paraId="5202D224" w14:textId="77777777" w:rsidR="00CB5660" w:rsidRPr="00AE4E8D" w:rsidRDefault="00CB5660" w:rsidP="006659E6">
      <w:pPr>
        <w:pStyle w:val="BHTexto"/>
        <w:rPr>
          <w:lang w:val="es-ES"/>
        </w:rPr>
      </w:pPr>
      <w:r w:rsidRPr="00AE4E8D">
        <w:rPr>
          <w:lang w:val="es-ES"/>
        </w:rPr>
        <w:t>Una vez que el plazo finalice, y sin que haya habido una resolución de asamblea de accionistas extendiendo el plazo, el capital de la sociedad disminuirá por ley en un importe igual al valor par de la recompra de acciones remanentes en la cartera, que serán canceladas.</w:t>
      </w:r>
    </w:p>
    <w:p w14:paraId="51448745" w14:textId="77777777" w:rsidR="00CB5660" w:rsidRPr="00AE4E8D" w:rsidRDefault="00CB5660" w:rsidP="006659E6">
      <w:pPr>
        <w:pStyle w:val="BHTexto"/>
        <w:rPr>
          <w:lang w:val="es-ES"/>
        </w:rPr>
      </w:pPr>
      <w:r w:rsidRPr="00AE4E8D">
        <w:rPr>
          <w:lang w:val="es-ES"/>
        </w:rPr>
        <w:t>Finalmente, la sociedad no puede adquirir acciones propias: (i) si la sociedad conocía acerca de la existencia de una oferta pública de sus acciones; (ii) antes del final del primer día siguiente a la publicación de la decisión de la sociedad de adquirir acciones propias; o (iii) si las acciones no han sido totalmente integradas.</w:t>
      </w:r>
    </w:p>
    <w:p w14:paraId="4D0633E3" w14:textId="77777777" w:rsidR="00CB5660" w:rsidRPr="00AE4E8D" w:rsidRDefault="00CB5660" w:rsidP="006659E6">
      <w:pPr>
        <w:pStyle w:val="BHTexto"/>
        <w:rPr>
          <w:lang w:val="es-ES"/>
        </w:rPr>
      </w:pPr>
      <w:r w:rsidRPr="00AE4E8D">
        <w:rPr>
          <w:lang w:val="es-ES"/>
        </w:rPr>
        <w:t>El 29 de enero de 2009, con motivo de operar el vencimiento del contrato de cobertura (</w:t>
      </w:r>
      <w:r w:rsidRPr="00AE4E8D">
        <w:rPr>
          <w:i/>
          <w:lang w:val="es-ES"/>
        </w:rPr>
        <w:t>“</w:t>
      </w:r>
      <w:r w:rsidRPr="00AE4E8D">
        <w:rPr>
          <w:i/>
          <w:u w:val="single"/>
          <w:lang w:val="es-ES"/>
        </w:rPr>
        <w:t>Total Return Swap</w:t>
      </w:r>
      <w:r w:rsidRPr="00AE4E8D">
        <w:rPr>
          <w:i/>
          <w:lang w:val="es-ES"/>
        </w:rPr>
        <w:t>”</w:t>
      </w:r>
      <w:r w:rsidRPr="00AE4E8D">
        <w:rPr>
          <w:lang w:val="es-ES"/>
        </w:rPr>
        <w:t>) celebrado el 29 de enero de 2004 con el Deutsche Bank A.G., este último procedió a transferimos 7,11 millones de ADRs representativos de 71,1 millones de acciones ordinarias Clase “D” de un Peso (Ps.1) de valor nominal cada una. Desde este momento, las acciones quedaron en nuestra cartera en los términos y condiciones establecidos en el artículo 221 de la Ley General de Sociedades Argentina. En ese orden, el 12 de enero de 2010, nuestro Directorio resolvió: (a) someter a la Asamblea General Ordinaria de Accionistas, que las mencionadas acciones Clase “D” en cartera se entreguen en pago a los tenedores de los Derechos de Apreciación Accionaria (DDS o STAR, por sus singlas en inglés), hasta la ocurrencia de sus acreencias y conforme el valor de la acción a ese momento; y (b) analizar alternativas posibles para que la Asamblea General Ordinaria de Accionistas decida el destino de las acciones remanentes.</w:t>
      </w:r>
    </w:p>
    <w:p w14:paraId="020172CC" w14:textId="77777777" w:rsidR="00CB5660" w:rsidRPr="00AE4E8D" w:rsidRDefault="00CB5660" w:rsidP="006659E6">
      <w:pPr>
        <w:pStyle w:val="BHTexto"/>
        <w:rPr>
          <w:lang w:val="es-ES"/>
        </w:rPr>
      </w:pPr>
      <w:r w:rsidRPr="00AE4E8D">
        <w:rPr>
          <w:lang w:val="es-ES"/>
        </w:rPr>
        <w:t xml:space="preserve">El 30 de abril de 2010, la Asamblea General Ordinaria de Accionistas celebrada resolvió prorrogar por un año, a contar desde el 31 de enero de 2010, el término para la realización de las acciones propias en cartera. Asimismo, en la Asamblea General Extraordinaria de Accionistas celebrada el mismo día se resolvió facultar al Directorio para pagar con las acciones propias en cartera los cupones DDA, </w:t>
      </w:r>
      <w:r w:rsidRPr="00AE4E8D">
        <w:rPr>
          <w:lang w:val="es-ES"/>
        </w:rPr>
        <w:lastRenderedPageBreak/>
        <w:t>resultantes de la reestructuración de deuda de enero de 2004 según la conveniencia y conforme a los cálculos de valuación contractual y valor real de mercado éstas, dándoles a los accionistas el previo derecho de preferencia en las mismas condiciones.</w:t>
      </w:r>
    </w:p>
    <w:p w14:paraId="0C9D9BBC" w14:textId="77777777" w:rsidR="00CB5660" w:rsidRPr="00AE4E8D" w:rsidRDefault="00CB5660" w:rsidP="006659E6">
      <w:pPr>
        <w:pStyle w:val="BHTexto"/>
        <w:rPr>
          <w:lang w:val="es-ES"/>
        </w:rPr>
      </w:pPr>
      <w:r w:rsidRPr="00AE4E8D">
        <w:rPr>
          <w:lang w:val="es-ES"/>
        </w:rPr>
        <w:t>El 16 de junio de 2010, el Directorio resolvió realizar una oferta de venta preferente de 36 millones de las acciones ordinarias Clase “D” en cartera a los accionistas tenedores de la misma clase. El remanente de dicha oferta sería destinado al pago a los tenedores de los mencionados cupones de DDA, con vencimiento el 3 de agosto de 2010. El 26 de julio de 2010 se procedió a la enajenación de aproximadamente 26,9 millones de dichas acciones y el producido de la oferta y el remanente de las acciones se pusieron a disposición de los tenedores de los cupones de DDA el 3 de agosto de 2010.</w:t>
      </w:r>
    </w:p>
    <w:p w14:paraId="156C2171" w14:textId="77777777" w:rsidR="00CB5660" w:rsidRPr="00AE4E8D" w:rsidRDefault="00CB5660" w:rsidP="00DA3F2C">
      <w:pPr>
        <w:pStyle w:val="BHTexto"/>
        <w:rPr>
          <w:lang w:val="es-ES"/>
        </w:rPr>
      </w:pPr>
      <w:r w:rsidRPr="00AE4E8D">
        <w:rPr>
          <w:lang w:val="es-ES"/>
        </w:rPr>
        <w:t>El 13 de abril de 2011, la Asamblea General Extraordinaria resolvió autorizar al Directorio para proceder a la venta en el mercado de las acciones propias en cartera, reduciendo a 10 días el plazo para el ejercicio del derecho de preferencia por parte de los accionistas y suspendiéndolo en caso de que las ventas de acciones no superen el 1% del capital social dentro de cualquier período de 12 meses. Dada la falta de condiciones y oportunidades propicias para concretar la venta, la Asamblea General Ordinaria del 27 de marzo de 2012 decidió prorrogar por un año la enajenación de las acciones remanentes de la transferencia realizada por el Deutsche Bank, en los términos del artículo 220, inciso 3º, de la Ley General de Sociedades Argentina.</w:t>
      </w:r>
    </w:p>
    <w:p w14:paraId="704BA19D" w14:textId="77777777" w:rsidR="00CB5660" w:rsidRPr="00AE4E8D" w:rsidRDefault="00CB5660" w:rsidP="00DA3F2C">
      <w:pPr>
        <w:pStyle w:val="BHTexto"/>
        <w:rPr>
          <w:lang w:val="es-ES"/>
        </w:rPr>
      </w:pPr>
      <w:r w:rsidRPr="00AE4E8D">
        <w:rPr>
          <w:lang w:val="es-ES"/>
        </w:rPr>
        <w:t>Cumplido este plazo, la Asamblea General Ordinaria del 24 de abril de 2013 decidió destinar las 35,1 millones de acciones ordinarias Clase “D” remanentes a un programa de compensaciones al personal en los términos del artículo 67 de la Ley de Mercado de Capitales. Esta aprobación y la delegación de las facultades en el Directorio para hacer efectivo el plan de compensaciones fue ratificada por la Asamblea General Ordinaria del 24 de abril de 2014, en la cual se decidió asimismo ampliar el programa de compensaciones al personal dependiente de sociedades controladas.</w:t>
      </w:r>
    </w:p>
    <w:p w14:paraId="2083F01F" w14:textId="77777777" w:rsidR="00CB5660" w:rsidRPr="00AE4E8D" w:rsidRDefault="00CB5660" w:rsidP="006659E6">
      <w:pPr>
        <w:pStyle w:val="BHTexto"/>
        <w:rPr>
          <w:lang w:val="es-ES"/>
        </w:rPr>
      </w:pPr>
      <w:r w:rsidRPr="00AE4E8D">
        <w:rPr>
          <w:lang w:val="es-ES"/>
        </w:rPr>
        <w:t xml:space="preserve">A la fecha del presente Prospecto, el programa de compensaciones al personal se encuentra en trámite de autorización ante la CNV. </w:t>
      </w:r>
    </w:p>
    <w:p w14:paraId="009F9CAC" w14:textId="77777777" w:rsidR="00CB5660" w:rsidRPr="00AE4E8D" w:rsidRDefault="00CB5660" w:rsidP="006659E6">
      <w:pPr>
        <w:pStyle w:val="BH3Izquierda"/>
        <w:rPr>
          <w:lang w:val="es-ES"/>
        </w:rPr>
      </w:pPr>
      <w:bookmarkStart w:id="905" w:name="_Toc420062667"/>
      <w:bookmarkStart w:id="906" w:name="_Toc421201551"/>
      <w:r w:rsidRPr="00AE4E8D">
        <w:rPr>
          <w:lang w:val="es-ES"/>
        </w:rPr>
        <w:t>Asambleas de Accionistas</w:t>
      </w:r>
      <w:bookmarkEnd w:id="905"/>
      <w:bookmarkEnd w:id="906"/>
    </w:p>
    <w:p w14:paraId="064A29EF" w14:textId="77777777" w:rsidR="00CB5660" w:rsidRPr="00AE4E8D" w:rsidRDefault="00CB5660" w:rsidP="000E1220">
      <w:pPr>
        <w:pStyle w:val="BH4Cursiva"/>
        <w:rPr>
          <w:lang w:val="es-ES"/>
        </w:rPr>
      </w:pPr>
      <w:r w:rsidRPr="00AE4E8D">
        <w:rPr>
          <w:lang w:val="es-ES"/>
        </w:rPr>
        <w:t>Convocatoria a Asamblea</w:t>
      </w:r>
    </w:p>
    <w:p w14:paraId="6637792F" w14:textId="77777777" w:rsidR="00CB5660" w:rsidRPr="00AE4E8D" w:rsidRDefault="00CB5660" w:rsidP="006659E6">
      <w:pPr>
        <w:pStyle w:val="BHTexto"/>
        <w:rPr>
          <w:lang w:val="es-ES"/>
        </w:rPr>
      </w:pPr>
      <w:r w:rsidRPr="00AE4E8D">
        <w:rPr>
          <w:lang w:val="es-ES"/>
        </w:rPr>
        <w:t>De acuerdo con los artículos 21 y 22 de nuestro Estatuto, deberá convocarse a Asamblea Ordinaria y Extraordinaria de Accionistas para considerar los asuntos establecidos en los artículos 234 y 235 de la Ley General de Sociedades Argentina. Las asambleas ordinarias en primera y segunda convocatoria podrán ser convocadas en forma simultánea. Las convocatorias para Asambleas de Accionistas, sean tanto las Ordinarias como Extraordinarias, Generales o Especiales, se efectuarán por medio de avisos publicados en el Boletín Oficial, en uno de los diarios de mayor circulación general en la Argentina y en los boletines informativos de los mercados autorizados del país donde se encuentren listadas nuestras acciones, por un plazo de cinco días. De acuerdo con la Ley de Mercado de Capitales, el plazo mínimo para convocar a asamblea es de 20 días y el máximo es de 45 días. El Directorio ordenará las publicaciones a efectuar en el exterior para cumplir con las normas y prácticas vigentes de las jurisdicciones correspondientes a los mercados autorizados en donde se encuentren listadas nuestras acciones a ese momento. El Directorio podrá emplear los servicios de empresas que se especializan en la comunicación con accionistas, y recurrir a otros medios de difusión a fin de hacerles llegar sus puntos de vista sobre los temas a someterse a las asambleas que se convoquen; el costo de tales servicios y su diseminación estarán a nuestro cargo.</w:t>
      </w:r>
    </w:p>
    <w:p w14:paraId="7930F0B9" w14:textId="77777777" w:rsidR="00CB5660" w:rsidRPr="00AE4E8D" w:rsidRDefault="00CB5660" w:rsidP="000E1220">
      <w:pPr>
        <w:pStyle w:val="BH4Cursiva"/>
        <w:rPr>
          <w:lang w:val="es-ES"/>
        </w:rPr>
      </w:pPr>
      <w:r w:rsidRPr="00AE4E8D">
        <w:rPr>
          <w:lang w:val="es-ES"/>
        </w:rPr>
        <w:t>Requisitos de Quórum</w:t>
      </w:r>
    </w:p>
    <w:p w14:paraId="658FD254" w14:textId="77777777" w:rsidR="00CB5660" w:rsidRPr="00AE4E8D" w:rsidRDefault="00CB5660" w:rsidP="006659E6">
      <w:pPr>
        <w:pStyle w:val="BHTexto"/>
        <w:rPr>
          <w:lang w:val="es-ES"/>
        </w:rPr>
      </w:pPr>
      <w:r w:rsidRPr="00AE4E8D">
        <w:rPr>
          <w:lang w:val="es-ES"/>
        </w:rPr>
        <w:t>El quórum en las Asambleas Ordinarias de Accionistas en primera convocatoria será una mayoría de los accionistas con derecho a voto. El quórum de las Asambleas Extraordinarias de Accionistas en primera convocatoria será el 60% de los accionistas con derecho a voto. El quórum tanto en las Asambleas Ordinarias y Extraordinarias de Accionistas, en segunda convocatoria se constituirá con nuestros accionistas presentes con derecho a voto.</w:t>
      </w:r>
    </w:p>
    <w:p w14:paraId="5984DAB9" w14:textId="77777777" w:rsidR="00CB5660" w:rsidRPr="00AE4E8D" w:rsidRDefault="00CB5660" w:rsidP="006659E6">
      <w:pPr>
        <w:pStyle w:val="BHTexto"/>
        <w:rPr>
          <w:lang w:val="es-ES"/>
        </w:rPr>
      </w:pPr>
      <w:r w:rsidRPr="00AE4E8D">
        <w:rPr>
          <w:lang w:val="es-ES"/>
        </w:rPr>
        <w:t>Las resoluciones en las Asambleas Ordinarias y Extraordinarias de Accionistas, serán adoptadas por la mayoría de votos presentes, excepto en aquellos casos en que nuestro Estatuto establezca mayorías especiales o requiera la aprobación de las acciones Clase A. Véase "</w:t>
      </w:r>
      <w:r w:rsidRPr="00AE4E8D">
        <w:rPr>
          <w:i/>
          <w:lang w:val="es-ES"/>
        </w:rPr>
        <w:t>Derechos de Voto—Acciones Clase A</w:t>
      </w:r>
      <w:r w:rsidRPr="00AE4E8D">
        <w:rPr>
          <w:lang w:val="es-ES"/>
        </w:rPr>
        <w:t xml:space="preserve">" y " </w:t>
      </w:r>
      <w:r w:rsidRPr="00AE4E8D">
        <w:rPr>
          <w:i/>
          <w:lang w:val="es-ES"/>
        </w:rPr>
        <w:t>Ciertas disposiciones relativas a la adquisición de acciones—Mayoría Especial</w:t>
      </w:r>
      <w:r w:rsidRPr="00AE4E8D">
        <w:rPr>
          <w:lang w:val="es-ES"/>
        </w:rPr>
        <w:t>".</w:t>
      </w:r>
    </w:p>
    <w:p w14:paraId="58C7CEDC" w14:textId="77777777" w:rsidR="00CB5660" w:rsidRPr="00AE4E8D" w:rsidRDefault="00CB5660" w:rsidP="006659E6">
      <w:pPr>
        <w:pStyle w:val="BHTexto"/>
        <w:rPr>
          <w:lang w:val="es-ES"/>
        </w:rPr>
      </w:pPr>
      <w:r w:rsidRPr="00AE4E8D">
        <w:rPr>
          <w:lang w:val="es-ES"/>
        </w:rPr>
        <w:t xml:space="preserve">En las Asambleas, sean estas Ordinarias o Extraordinarias, los accionistas podrán ser representados, mediante el otorgamiento de un mandato en un instrumento privado con su firma certificada en forma </w:t>
      </w:r>
      <w:r w:rsidRPr="00AE4E8D">
        <w:rPr>
          <w:lang w:val="es-ES"/>
        </w:rPr>
        <w:lastRenderedPageBreak/>
        <w:t>judicial, notarial o bancaria. Para participar en las Asambleas, los accionistas deberán gestionar en Caja de Valores S.A. el certificado de tenencia de acciones y depositarlo en la sede social con una antelación de tres días a la realización de la Asamblea, o la que establezcamos de acuerdo a las normativas vigentes y aplicables a cada momento.</w:t>
      </w:r>
    </w:p>
    <w:p w14:paraId="0457BE18" w14:textId="77777777" w:rsidR="00CB5660" w:rsidRPr="00AE4E8D" w:rsidRDefault="00CB5660" w:rsidP="000E1220">
      <w:pPr>
        <w:pStyle w:val="BH4Cursiva"/>
        <w:rPr>
          <w:lang w:val="es-ES"/>
        </w:rPr>
      </w:pPr>
      <w:r w:rsidRPr="00AE4E8D">
        <w:rPr>
          <w:lang w:val="es-ES"/>
        </w:rPr>
        <w:t>Resoluciones que Afectan los Derechos de una Clase de Acciones</w:t>
      </w:r>
    </w:p>
    <w:p w14:paraId="35244EF9" w14:textId="77777777" w:rsidR="00CB5660" w:rsidRPr="00AE4E8D" w:rsidRDefault="00CB5660" w:rsidP="006659E6">
      <w:pPr>
        <w:pStyle w:val="BHTexto"/>
        <w:rPr>
          <w:lang w:val="es-ES"/>
        </w:rPr>
      </w:pPr>
      <w:r w:rsidRPr="00AE4E8D">
        <w:rPr>
          <w:lang w:val="es-ES"/>
        </w:rPr>
        <w:t>De acuerdo con el artículo 24(v) de nuestro Estatuto y al artículo 250 de la Ley General de Sociedades Argentina, cuando la Asamblea deba adoptar resoluciones que afecten los derechos de una clase de acciones, se requerirá el consentimiento o ratificación de la clase de acciones que se trate, que deberá ser presentado en una Asamblea Especial de Accionistas de tal clase.</w:t>
      </w:r>
    </w:p>
    <w:p w14:paraId="4CF67F65" w14:textId="77777777" w:rsidR="00CB5660" w:rsidRPr="00AE4E8D" w:rsidRDefault="00CB5660" w:rsidP="000E1220">
      <w:pPr>
        <w:pStyle w:val="BH4Cursiva"/>
        <w:rPr>
          <w:lang w:val="es-ES"/>
        </w:rPr>
      </w:pPr>
      <w:r w:rsidRPr="00AE4E8D">
        <w:rPr>
          <w:lang w:val="es-ES"/>
        </w:rPr>
        <w:t>Aumentos de Capital. Emisión de Acciones.</w:t>
      </w:r>
    </w:p>
    <w:p w14:paraId="278236D6" w14:textId="77777777" w:rsidR="00CB5660" w:rsidRPr="00AE4E8D" w:rsidDel="00F357E7" w:rsidRDefault="00CB5660" w:rsidP="006659E6">
      <w:pPr>
        <w:pStyle w:val="BHTexto"/>
        <w:rPr>
          <w:lang w:val="es-ES"/>
        </w:rPr>
      </w:pPr>
      <w:r w:rsidRPr="00AE4E8D">
        <w:rPr>
          <w:lang w:val="es-ES"/>
        </w:rPr>
        <w:t>Nuestro Estatuto establece que el capital social podrá ser aumentado hasta el quíntuple de su monto actual mediante resolución de una Asamblea Ordinaria de Accionistas, conforme al artículo 188 de la Ley General de Sociedades Argentina, adicionalmente las sociedades bajo el régimen de la oferta pública en la Argentina, como nosotros, podrán aumentar su capital por encima del quíntuple del monto actual, sin realizar una reforma a su Estatuto.</w:t>
      </w:r>
    </w:p>
    <w:p w14:paraId="497E6DDC" w14:textId="77777777" w:rsidR="00CB5660" w:rsidRPr="00AE4E8D" w:rsidRDefault="00CB5660" w:rsidP="006659E6">
      <w:pPr>
        <w:pStyle w:val="BHTexto"/>
        <w:rPr>
          <w:lang w:val="es-ES"/>
        </w:rPr>
      </w:pPr>
      <w:r w:rsidRPr="00AE4E8D">
        <w:rPr>
          <w:lang w:val="es-ES"/>
        </w:rPr>
        <w:t>La asamblea que apruebe un aumento de capital deberá establecer las condiciones de las acciones a ser emitidas pudiendo delegar al Directorio la facultad de determinar el momento de dicha emisión y los términos y condiciones de pago y toda otra delegación autorizada por la Ley General de Sociedades Argentina.</w:t>
      </w:r>
    </w:p>
    <w:p w14:paraId="12495AA8" w14:textId="77777777" w:rsidR="00CB5660" w:rsidRPr="00AE4E8D" w:rsidRDefault="00CB5660" w:rsidP="006659E6">
      <w:pPr>
        <w:pStyle w:val="BHTexto"/>
        <w:rPr>
          <w:lang w:val="es-ES"/>
        </w:rPr>
      </w:pPr>
      <w:r w:rsidRPr="00AE4E8D">
        <w:rPr>
          <w:lang w:val="es-ES"/>
        </w:rPr>
        <w:t>Sin perjuicio de cualquier cambio que pueda surgir del ejercicio de derechos de preferencia y de acrecer de acuerdo con lo establecido en nuestro Estatuto, toda emisión de acciones ordinarias o preferidas se deberá realizar por clases manteniendo la proporción existente entre las distintas clases a la fecha de inicio del período de suscripción.</w:t>
      </w:r>
    </w:p>
    <w:p w14:paraId="23278852" w14:textId="77777777" w:rsidR="00CB5660" w:rsidRPr="00AE4E8D" w:rsidRDefault="00CB5660" w:rsidP="006659E6">
      <w:pPr>
        <w:pStyle w:val="BHTexto"/>
        <w:rPr>
          <w:lang w:val="es-ES"/>
        </w:rPr>
      </w:pPr>
      <w:r w:rsidRPr="00AE4E8D">
        <w:rPr>
          <w:lang w:val="es-ES"/>
        </w:rPr>
        <w:t>Nuestro Estatuto también establece que los valores negociables convertibles emitidos por nosotros solamente podrán ser convertibles en acciones Clase D y su emisión deberá estar autorizada por una Asamblea Especial de Accionistas Clase D.</w:t>
      </w:r>
    </w:p>
    <w:p w14:paraId="3EA5687D" w14:textId="77777777" w:rsidR="00CB5660" w:rsidRPr="00AE4E8D" w:rsidRDefault="00CB5660" w:rsidP="006659E6">
      <w:pPr>
        <w:pStyle w:val="BH3Izquierda"/>
        <w:rPr>
          <w:lang w:val="es-ES"/>
        </w:rPr>
      </w:pPr>
      <w:bookmarkStart w:id="907" w:name="_Toc420062668"/>
      <w:bookmarkStart w:id="908" w:name="_Toc421201552"/>
      <w:r w:rsidRPr="00AE4E8D">
        <w:rPr>
          <w:lang w:val="es-ES"/>
        </w:rPr>
        <w:t>Restricciones sobre Adquisiciones de Control</w:t>
      </w:r>
      <w:bookmarkEnd w:id="907"/>
      <w:bookmarkEnd w:id="908"/>
    </w:p>
    <w:p w14:paraId="6AA64DD0" w14:textId="77777777" w:rsidR="00CB5660" w:rsidRPr="00AE4E8D" w:rsidRDefault="00CB5660" w:rsidP="002831AB">
      <w:pPr>
        <w:keepNext/>
        <w:autoSpaceDE w:val="0"/>
        <w:autoSpaceDN w:val="0"/>
        <w:adjustRightInd w:val="0"/>
        <w:spacing w:before="240" w:after="240"/>
        <w:jc w:val="both"/>
        <w:outlineLvl w:val="3"/>
        <w:rPr>
          <w:rFonts w:ascii="Times New Roman" w:hAnsi="Times New Roman"/>
          <w:b/>
          <w:i/>
          <w:lang w:val="es-ES" w:eastAsia="es-AR"/>
        </w:rPr>
      </w:pPr>
      <w:r w:rsidRPr="00AE4E8D">
        <w:rPr>
          <w:rFonts w:ascii="Times New Roman" w:hAnsi="Times New Roman"/>
          <w:b/>
          <w:i/>
          <w:lang w:val="es-ES" w:eastAsia="es-AR"/>
        </w:rPr>
        <w:t>Aprobaciones Requeridas y Ofertas Públicas de Adquisición</w:t>
      </w:r>
    </w:p>
    <w:p w14:paraId="09040C91" w14:textId="77777777" w:rsidR="00CB5660" w:rsidRPr="00AE4E8D" w:rsidRDefault="00CB5660" w:rsidP="006659E6">
      <w:pPr>
        <w:pStyle w:val="BHTexto"/>
        <w:rPr>
          <w:lang w:val="es-ES"/>
        </w:rPr>
      </w:pPr>
      <w:r w:rsidRPr="00AE4E8D">
        <w:rPr>
          <w:lang w:val="es-ES"/>
        </w:rPr>
        <w:t>Conforme a nuestros Estatutos, cada Adquisición de Control se debe llevar a cabo de acuerdo con el procedimiento que se detalla en este inciso:</w:t>
      </w:r>
    </w:p>
    <w:p w14:paraId="7B62CEA5" w14:textId="77777777" w:rsidR="00CB5660" w:rsidRPr="00AE4E8D" w:rsidRDefault="00CB5660" w:rsidP="006659E6">
      <w:pPr>
        <w:pStyle w:val="BHTexto"/>
        <w:rPr>
          <w:lang w:val="es-ES"/>
        </w:rPr>
      </w:pPr>
      <w:r w:rsidRPr="00AE4E8D">
        <w:rPr>
          <w:lang w:val="es-ES"/>
        </w:rPr>
        <w:t>Además, conforme a nuestro Estatuto, cada adquisición de acciones o valores negociables convertibles como resultado de la cual el adquirente, en forma directa o indirecta a través de o junto con sus afiliadas (conjuntamente, un "</w:t>
      </w:r>
      <w:r w:rsidRPr="00AE4E8D">
        <w:rPr>
          <w:u w:val="single"/>
          <w:lang w:val="es-ES"/>
        </w:rPr>
        <w:t>Adquirente</w:t>
      </w:r>
      <w:r w:rsidRPr="00AE4E8D">
        <w:rPr>
          <w:lang w:val="es-ES"/>
        </w:rPr>
        <w:t>"), sea titular o controlare acciones Clase D que, sumadas a las acciones Clase D anteriores del Adquirente representen el 30% o más de nuestro capital en circulación (conjuntamente "</w:t>
      </w:r>
      <w:r w:rsidRPr="00AE4E8D">
        <w:rPr>
          <w:u w:val="single"/>
          <w:lang w:val="es-ES"/>
        </w:rPr>
        <w:t>Adquisiciones de Control</w:t>
      </w:r>
      <w:r w:rsidRPr="00AE4E8D">
        <w:rPr>
          <w:lang w:val="es-ES"/>
        </w:rPr>
        <w:t>"), debe realizarse de acuerdo con el procedimiento descripto en este punto, con excepción de adquisiciones por parte de un Adquirente que sea titular o controle más del 50% de nuestro capital con anterioridad a dicha adquisición. Cualquier operación que diera como resultado que el Adquirente posea una participación controlante en nosotros, conforme se la define en la Ley General de Sociedades Argentina, también debe ser previamente aprobada por los tenedores de acciones Clase A.</w:t>
      </w:r>
    </w:p>
    <w:p w14:paraId="189E8415" w14:textId="77777777" w:rsidR="00CB5660" w:rsidRPr="00AE4E8D" w:rsidRDefault="00CB5660" w:rsidP="006659E6">
      <w:pPr>
        <w:pStyle w:val="BHTexto"/>
        <w:rPr>
          <w:lang w:val="es-ES"/>
        </w:rPr>
      </w:pPr>
      <w:r w:rsidRPr="00AE4E8D">
        <w:rPr>
          <w:lang w:val="es-ES"/>
        </w:rPr>
        <w:t>Antes de concretar cualquier Adquisición de Control, un Adquirente debe obtener la aprobación de los tenedores de acciones Clase A, y realizar una Oferta Pública de Adquisición (“</w:t>
      </w:r>
      <w:r w:rsidRPr="00AE4E8D">
        <w:rPr>
          <w:u w:val="single"/>
          <w:lang w:val="es-ES"/>
        </w:rPr>
        <w:t>OPA</w:t>
      </w:r>
      <w:r w:rsidRPr="00AE4E8D">
        <w:rPr>
          <w:lang w:val="es-ES"/>
        </w:rPr>
        <w:t>”) de todas las acciones y valores negociables convertibles en nuestras acciones en circulación. El Adquirente estará obligado a cursarnos notificación escrita de dicha oferta y determinada información específica en relación con ella, así como los términos y condiciones de cualquier acuerdo o propuesta de acuerdo que, de ser consumada, pudiere resultar en una Adquisición de Control (una "</w:t>
      </w:r>
      <w:r w:rsidRPr="00AE4E8D">
        <w:rPr>
          <w:u w:val="single"/>
          <w:lang w:val="es-ES"/>
        </w:rPr>
        <w:t>Propuesta de Acuerdo</w:t>
      </w:r>
      <w:r w:rsidRPr="00AE4E8D">
        <w:rPr>
          <w:lang w:val="es-ES"/>
        </w:rPr>
        <w:t xml:space="preserve">"), como mínimo 15 Días Hábiles antes del comienzo de la oferta. </w:t>
      </w:r>
    </w:p>
    <w:p w14:paraId="143DE216" w14:textId="77777777" w:rsidR="00CB5660" w:rsidRPr="00AE4E8D" w:rsidRDefault="00CB5660" w:rsidP="006659E6">
      <w:pPr>
        <w:pStyle w:val="BHTexto"/>
        <w:rPr>
          <w:lang w:val="es-ES"/>
        </w:rPr>
      </w:pPr>
      <w:r w:rsidRPr="00AE4E8D">
        <w:rPr>
          <w:lang w:val="es-ES"/>
        </w:rPr>
        <w:t xml:space="preserve">Enviaremos a cada accionista y tenedor de valores negociables convertibles una copia de la mencionada notificación a cargo del Adquirente. El Adquirente está obligado a publicar un aviso que contenga en lo sustancial la misma información, en un diario de circulación general en la Ciudad Autónoma de Buenos Aires, en la ciudad de Nueva York y en cualquier otra ciudad en la que se negocien nuestros valores negociables en un mercado autorizado, así como en los boletines informativos de dichos mercados </w:t>
      </w:r>
      <w:r w:rsidRPr="00AE4E8D">
        <w:rPr>
          <w:lang w:val="es-ES"/>
        </w:rPr>
        <w:lastRenderedPageBreak/>
        <w:t>autorizados. La notificación debe ser publicada por lo menos una vez por semana a partir de la fecha en que se nos cursa notificación, hasta que la oferta expire.</w:t>
      </w:r>
    </w:p>
    <w:p w14:paraId="25173245" w14:textId="77777777" w:rsidR="00CB5660" w:rsidRPr="00AE4E8D" w:rsidRDefault="00CB5660" w:rsidP="006659E6">
      <w:pPr>
        <w:pStyle w:val="BHTexto"/>
        <w:rPr>
          <w:lang w:val="es-ES"/>
        </w:rPr>
      </w:pPr>
      <w:r w:rsidRPr="00AE4E8D">
        <w:rPr>
          <w:lang w:val="es-ES"/>
        </w:rPr>
        <w:t>El Directorio convocará a una Asamblea Especial de accionistas de la Clase A para el décimo Día Hábil posterior a la recepción de dicha notificación, a efectos de considerar si la consumación de la oferta resultará en un beneficio para nosotros o en bien del interés general. Si la Asamblea Especial de accionistas de la Clase A no se celebra, o si los accionistas Clase A no aprueban la oferta, ni la OPA ni la Adquisición de Control propuesta se podrán concretar.</w:t>
      </w:r>
    </w:p>
    <w:p w14:paraId="05F05776" w14:textId="77777777" w:rsidR="00CB5660" w:rsidRPr="00AE4E8D" w:rsidRDefault="00CB5660" w:rsidP="006659E6">
      <w:pPr>
        <w:pStyle w:val="BHTexto"/>
        <w:rPr>
          <w:lang w:val="es-ES"/>
        </w:rPr>
      </w:pPr>
      <w:r w:rsidRPr="00AE4E8D">
        <w:rPr>
          <w:lang w:val="es-ES"/>
        </w:rPr>
        <w:t xml:space="preserve">La OPA debe ser realizada de conformidad con un procedimiento especificado en nuestro Estatuto y de conformidad con cualquier requisito adicional o más estricto de jurisdicciones, mercados autorizados en los que se formule la oferta o en los que se negocien nuestros valores negociables. </w:t>
      </w:r>
    </w:p>
    <w:p w14:paraId="70580DE6" w14:textId="77777777" w:rsidR="00CB5660" w:rsidRPr="00AE4E8D" w:rsidRDefault="00CB5660" w:rsidP="006659E6">
      <w:pPr>
        <w:pStyle w:val="BHTexto"/>
        <w:rPr>
          <w:lang w:val="es-ES"/>
        </w:rPr>
      </w:pPr>
      <w:r w:rsidRPr="00AE4E8D">
        <w:rPr>
          <w:lang w:val="es-ES"/>
        </w:rPr>
        <w:t>Conforme a nuestro Estatuto, la oferta debe especificar el mismo precio en dinero en efectivo para todas las acciones ofrecidas. Dicho precio no podrá ser inferior al más alto entre los siguientes:</w:t>
      </w:r>
    </w:p>
    <w:p w14:paraId="7D1A2E0E" w14:textId="77777777" w:rsidR="00CB5660" w:rsidRPr="00AE4E8D" w:rsidRDefault="00CB5660" w:rsidP="00933012">
      <w:pPr>
        <w:numPr>
          <w:ilvl w:val="0"/>
          <w:numId w:val="44"/>
        </w:numPr>
        <w:tabs>
          <w:tab w:val="left" w:pos="1560"/>
        </w:tabs>
        <w:autoSpaceDE w:val="0"/>
        <w:autoSpaceDN w:val="0"/>
        <w:adjustRightInd w:val="0"/>
        <w:spacing w:before="120" w:after="120"/>
        <w:ind w:left="1843"/>
        <w:jc w:val="both"/>
        <w:rPr>
          <w:rFonts w:ascii="Times New Roman" w:hAnsi="Times New Roman"/>
          <w:lang w:val="es-ES"/>
        </w:rPr>
      </w:pPr>
      <w:r w:rsidRPr="00AE4E8D">
        <w:rPr>
          <w:rFonts w:ascii="Times New Roman" w:hAnsi="Times New Roman"/>
          <w:lang w:val="es-ES"/>
        </w:rPr>
        <w:t>el precio más alto pagado por el Adquirente o por cuenta del Adquirente, por acciones Clase D o valores negociables convertibles durante los dos años anteriores a la notificación cursada a nosotros ajustado para cualquier reestructuración accionaria, dividendos, subdivisión o reclasificación que afecte la Clase;</w:t>
      </w:r>
    </w:p>
    <w:p w14:paraId="7065D8E0" w14:textId="77777777" w:rsidR="00CB5660" w:rsidRPr="00AE4E8D" w:rsidRDefault="00CB5660" w:rsidP="00933012">
      <w:pPr>
        <w:numPr>
          <w:ilvl w:val="0"/>
          <w:numId w:val="44"/>
        </w:numPr>
        <w:tabs>
          <w:tab w:val="left" w:pos="1560"/>
        </w:tabs>
        <w:autoSpaceDE w:val="0"/>
        <w:autoSpaceDN w:val="0"/>
        <w:adjustRightInd w:val="0"/>
        <w:spacing w:before="120" w:after="120"/>
        <w:ind w:left="1843"/>
        <w:jc w:val="both"/>
        <w:rPr>
          <w:rFonts w:ascii="Times New Roman" w:hAnsi="Times New Roman"/>
          <w:lang w:val="es-ES"/>
        </w:rPr>
      </w:pPr>
      <w:r w:rsidRPr="00AE4E8D">
        <w:rPr>
          <w:rFonts w:ascii="Times New Roman" w:hAnsi="Times New Roman"/>
          <w:lang w:val="es-ES"/>
        </w:rPr>
        <w:t xml:space="preserve">el precio de cierre más alto correspondiente a las acciones Clase D en la </w:t>
      </w:r>
      <w:r w:rsidRPr="00AE4E8D">
        <w:rPr>
          <w:rFonts w:ascii="Times New Roman" w:hAnsi="Times New Roman"/>
          <w:lang w:val="es-ES" w:eastAsia="es-AR"/>
        </w:rPr>
        <w:t>BCBA</w:t>
      </w:r>
      <w:r w:rsidRPr="00AE4E8D">
        <w:rPr>
          <w:rFonts w:ascii="Times New Roman" w:hAnsi="Times New Roman"/>
          <w:lang w:val="es-ES"/>
        </w:rPr>
        <w:t xml:space="preserve"> durante el período de 30 días inmediatamente anterior a la notificación cursada a nosotros ajustado para cualquier reestructuración accionaria, dividendos, subdivisión o reclasificación que afecte la Clase;</w:t>
      </w:r>
    </w:p>
    <w:p w14:paraId="0E3E0B14" w14:textId="77777777" w:rsidR="00CB5660" w:rsidRPr="00AE4E8D" w:rsidRDefault="00CB5660" w:rsidP="00933012">
      <w:pPr>
        <w:numPr>
          <w:ilvl w:val="0"/>
          <w:numId w:val="44"/>
        </w:numPr>
        <w:tabs>
          <w:tab w:val="left" w:pos="1560"/>
        </w:tabs>
        <w:autoSpaceDE w:val="0"/>
        <w:autoSpaceDN w:val="0"/>
        <w:adjustRightInd w:val="0"/>
        <w:spacing w:before="120" w:after="120"/>
        <w:ind w:left="1843"/>
        <w:jc w:val="both"/>
        <w:rPr>
          <w:rFonts w:ascii="Times New Roman" w:hAnsi="Times New Roman"/>
          <w:lang w:val="es-ES"/>
        </w:rPr>
      </w:pPr>
      <w:r w:rsidRPr="00AE4E8D">
        <w:rPr>
          <w:rFonts w:ascii="Times New Roman" w:hAnsi="Times New Roman"/>
          <w:lang w:val="es-ES"/>
        </w:rPr>
        <w:t xml:space="preserve">el precio resultante de la cláusula (ii) que antecede, multiplicado por una fracción, cuyo numerador será el precio más alto pagado por el Adquirente o por cuenta del Adquirente, por acciones Clase D durante los dos años inmediatamente anteriores a la fecha de notificación cursada a nosotros, y cuyo denominador será el precio de cierre correspondiente a las acciones Clase D en la </w:t>
      </w:r>
      <w:r w:rsidRPr="00AE4E8D">
        <w:rPr>
          <w:rFonts w:ascii="Times New Roman" w:hAnsi="Times New Roman"/>
          <w:lang w:val="es-ES" w:eastAsia="es-AR"/>
        </w:rPr>
        <w:t>BCBA</w:t>
      </w:r>
      <w:r w:rsidRPr="00AE4E8D">
        <w:rPr>
          <w:rFonts w:ascii="Times New Roman" w:hAnsi="Times New Roman"/>
          <w:lang w:val="es-ES"/>
        </w:rPr>
        <w:t xml:space="preserve"> en la fecha inmediatamente anterior al primer día de dicho período de dos años en el cual el Adquirente adquirió cualquier interés o derecho sobre cualesquiera acciones Clase D, ajustado para cualquier reestructuración accionaria, dividendos, subdivisión o reclasificación que afecte la Clase; y</w:t>
      </w:r>
    </w:p>
    <w:p w14:paraId="7D3BC1EC" w14:textId="77777777" w:rsidR="00CB5660" w:rsidRPr="00AE4E8D" w:rsidRDefault="00CB5660" w:rsidP="00933012">
      <w:pPr>
        <w:numPr>
          <w:ilvl w:val="0"/>
          <w:numId w:val="44"/>
        </w:numPr>
        <w:tabs>
          <w:tab w:val="left" w:pos="1560"/>
        </w:tabs>
        <w:autoSpaceDE w:val="0"/>
        <w:autoSpaceDN w:val="0"/>
        <w:adjustRightInd w:val="0"/>
        <w:spacing w:before="120" w:after="120"/>
        <w:ind w:left="1843"/>
        <w:jc w:val="both"/>
        <w:rPr>
          <w:rFonts w:ascii="Times New Roman" w:hAnsi="Times New Roman"/>
          <w:lang w:val="es-ES"/>
        </w:rPr>
      </w:pPr>
      <w:r w:rsidRPr="00AE4E8D">
        <w:rPr>
          <w:rFonts w:ascii="Times New Roman" w:hAnsi="Times New Roman"/>
          <w:lang w:val="es-ES"/>
        </w:rPr>
        <w:t>los ingresos netos por acción Clase D durante los cuatro trimestres fiscales completos inmediatamente anteriores a la fecha de la notificación cursada a nosotros, multiplicadas por la más alta de las siguientes relaciones: (a) la relación precio/ingreso durante ese período para las acciones Clase D (si lo hubiere) o (b) la relación precio/ingreso más alta para nosotros en el período de dos años inmediatamente anterior a la fecha de la notificación cursada a nosotros. En cada caso los múltiplos serán determinados de conformidad con la prácticas normales en la comunidad financiera.</w:t>
      </w:r>
    </w:p>
    <w:p w14:paraId="788B7BC2" w14:textId="77777777" w:rsidR="00CB5660" w:rsidRPr="00AE4E8D" w:rsidRDefault="00CB5660" w:rsidP="006659E6">
      <w:pPr>
        <w:pStyle w:val="BHTexto"/>
        <w:rPr>
          <w:lang w:val="es-ES"/>
        </w:rPr>
      </w:pPr>
      <w:r w:rsidRPr="00AE4E8D">
        <w:rPr>
          <w:lang w:val="es-ES"/>
        </w:rPr>
        <w:t>Cualquier oferta debe permanecer abierta por un plazo mínimo de 90 días después del envío de la notificación a los accionistas o la primera publicación de la oferta, y los accionistas tendrán derecho a retirar las acciones ofrecidas en cualquier momento hasta el cierre de la oferta. Después del cierre de la OPA el Adquirente estará obligado a adquirir todas las acciones o valores negociables convertibles ofrecidos, considerando que si el número de acciones ofrecidas fuera inferior al mínimo (si tal mínimo se hubiera dispuesto) al cual estaba condicionada la mencionada oferta, el Adquirente podrá retirar la OPA. El Adquirente podrá concretar cualquier Propuesta de Acuerdo dentro de un plazo de 30 días posterior al cierre de la oferta, estableciéndose que, si dicha oferta estaba condicionada a la adquisición de un número mínimo de acciones, la Propuesta de Acuerdo podrá concretarse solamente si se alcanzó dicho mínimo. En caso de no existir Propuesta de Acuerdo alguna, el Adquirente podrá adquirir el número de acciones indicado en la notificación cursada a nosotros según las condiciones allí indicadas, en la medida en que dicho número de acciones no haya sido adquirido en la oferta de adquisición, siempre que se haya cumplido cualquier condición relacionada con un número mínimo de acciones ofrecidas.</w:t>
      </w:r>
    </w:p>
    <w:p w14:paraId="1A17B997" w14:textId="77777777" w:rsidR="00CB5660" w:rsidRPr="00AE4E8D" w:rsidRDefault="00CB5660" w:rsidP="000E1220">
      <w:pPr>
        <w:pStyle w:val="BH4Cursiva"/>
        <w:rPr>
          <w:lang w:val="es-ES"/>
        </w:rPr>
      </w:pPr>
      <w:r w:rsidRPr="00AE4E8D">
        <w:rPr>
          <w:lang w:val="es-ES"/>
        </w:rPr>
        <w:t>Restricciones a las Operaciones con Personas Vinculadas</w:t>
      </w:r>
    </w:p>
    <w:p w14:paraId="1B378FED" w14:textId="77777777" w:rsidR="00CB5660" w:rsidRPr="00AE4E8D" w:rsidRDefault="00CB5660" w:rsidP="006659E6">
      <w:pPr>
        <w:pStyle w:val="BHTexto"/>
        <w:rPr>
          <w:lang w:val="es-ES"/>
        </w:rPr>
      </w:pPr>
      <w:r w:rsidRPr="00AE4E8D">
        <w:rPr>
          <w:lang w:val="es-ES"/>
        </w:rPr>
        <w:t xml:space="preserve">Conforme nuestro Estatuto, cualquier fusión por absorción, fusión propiamente dicha u otra combinación que tenga sustancialmente el mismo efecto y que nos involucre a nosotros y un Adquirente que haya efectuado previamente una Adquisición de Control, o por cualquier otra persona o personas, si dicha </w:t>
      </w:r>
      <w:r w:rsidRPr="00AE4E8D">
        <w:rPr>
          <w:lang w:val="es-ES"/>
        </w:rPr>
        <w:lastRenderedPageBreak/>
        <w:t>operación pudiera tener sustancialmente los mismos efectos que una Adquisición de Control (una "</w:t>
      </w:r>
      <w:r w:rsidRPr="00AE4E8D">
        <w:rPr>
          <w:u w:val="single"/>
          <w:lang w:val="es-ES"/>
        </w:rPr>
        <w:t>Operación con Personas Vinculadas</w:t>
      </w:r>
      <w:r w:rsidRPr="00AE4E8D">
        <w:rPr>
          <w:lang w:val="es-ES"/>
        </w:rPr>
        <w:t>") debe realizarse de acuerdo con las disposiciones descriptas más abajo.</w:t>
      </w:r>
    </w:p>
    <w:p w14:paraId="3D99482C" w14:textId="77777777" w:rsidR="00CB5660" w:rsidRPr="00AE4E8D" w:rsidRDefault="00CB5660" w:rsidP="006659E6">
      <w:pPr>
        <w:pStyle w:val="BHTexto"/>
        <w:rPr>
          <w:lang w:val="es-ES"/>
        </w:rPr>
      </w:pPr>
      <w:r w:rsidRPr="00AE4E8D">
        <w:rPr>
          <w:lang w:val="es-ES"/>
        </w:rPr>
        <w:t>El precio por acción que deberá recibir cada accionista oferente en cualquier Operación con personas Vinculadas debe ser el mismo, y no debe ser inferior al más alto de los siguientes:</w:t>
      </w:r>
    </w:p>
    <w:p w14:paraId="3C7287FE" w14:textId="77777777" w:rsidR="00CB5660" w:rsidRPr="00AE4E8D" w:rsidRDefault="00CB5660" w:rsidP="00933012">
      <w:pPr>
        <w:numPr>
          <w:ilvl w:val="0"/>
          <w:numId w:val="48"/>
        </w:numPr>
        <w:tabs>
          <w:tab w:val="left" w:pos="1560"/>
        </w:tabs>
        <w:autoSpaceDE w:val="0"/>
        <w:autoSpaceDN w:val="0"/>
        <w:adjustRightInd w:val="0"/>
        <w:spacing w:before="120" w:after="120"/>
        <w:ind w:left="1843"/>
        <w:jc w:val="both"/>
        <w:rPr>
          <w:rFonts w:ascii="Times New Roman" w:hAnsi="Times New Roman"/>
          <w:lang w:val="es-ES"/>
        </w:rPr>
      </w:pPr>
      <w:r w:rsidRPr="00AE4E8D">
        <w:rPr>
          <w:rFonts w:ascii="Times New Roman" w:hAnsi="Times New Roman"/>
          <w:lang w:val="es-ES"/>
        </w:rPr>
        <w:t>el precio más alto pagado por o por cuenta de la parte que pretende llevar a cabo la Operación con Personas Vinculadas (un "Accionista Interesado") por (a) acciones de la Clase a ser transferida en la Operación con Personas Vinculadas dentro del período de dos años inmediatamente anterior al anuncio de la Operación con Personas Vinculadas, o (b) acciones de la Clase adquirida en cualquier Adquisición de Control, en cada caso ajustado por cualquier división accionaria, dividendo en acciones, subdivisión a otra reclasificación que afecte a la Clase;</w:t>
      </w:r>
    </w:p>
    <w:p w14:paraId="10D7E41B" w14:textId="77777777" w:rsidR="00CB5660" w:rsidRPr="00AE4E8D" w:rsidRDefault="00CB5660" w:rsidP="00933012">
      <w:pPr>
        <w:numPr>
          <w:ilvl w:val="0"/>
          <w:numId w:val="48"/>
        </w:numPr>
        <w:tabs>
          <w:tab w:val="left" w:pos="1560"/>
        </w:tabs>
        <w:autoSpaceDE w:val="0"/>
        <w:autoSpaceDN w:val="0"/>
        <w:adjustRightInd w:val="0"/>
        <w:spacing w:before="120" w:after="120"/>
        <w:ind w:left="1843"/>
        <w:jc w:val="both"/>
        <w:rPr>
          <w:rFonts w:ascii="Times New Roman" w:hAnsi="Times New Roman"/>
          <w:lang w:val="es-ES"/>
        </w:rPr>
      </w:pPr>
      <w:r w:rsidRPr="00AE4E8D">
        <w:rPr>
          <w:rFonts w:ascii="Times New Roman" w:hAnsi="Times New Roman"/>
          <w:lang w:val="es-ES"/>
        </w:rPr>
        <w:t xml:space="preserve">el precio de cierre de venta más alto de acciones de la Clase en </w:t>
      </w:r>
      <w:r w:rsidR="0013533F" w:rsidRPr="00AE4E8D">
        <w:rPr>
          <w:rFonts w:ascii="Times New Roman" w:hAnsi="Times New Roman"/>
          <w:lang w:val="es-ES"/>
        </w:rPr>
        <w:t>BYMA</w:t>
      </w:r>
      <w:r w:rsidRPr="00AE4E8D">
        <w:rPr>
          <w:rFonts w:ascii="Times New Roman" w:hAnsi="Times New Roman"/>
          <w:lang w:val="es-ES"/>
        </w:rPr>
        <w:t xml:space="preserve"> durante los 30 días inmediatamente anteriores al anuncio de la Operación con Personas Vinculadas o la fecha de cualquier Adquisición de Control por parte del Accionista Interesado, ajustado por cualquier división accionaria, dividendo en acciones, subdivisión o reclasificación que afecte a la Clase;</w:t>
      </w:r>
    </w:p>
    <w:p w14:paraId="4556A890" w14:textId="77777777" w:rsidR="00CB5660" w:rsidRPr="00AE4E8D" w:rsidRDefault="00CB5660" w:rsidP="00933012">
      <w:pPr>
        <w:numPr>
          <w:ilvl w:val="0"/>
          <w:numId w:val="48"/>
        </w:numPr>
        <w:tabs>
          <w:tab w:val="left" w:pos="1560"/>
        </w:tabs>
        <w:autoSpaceDE w:val="0"/>
        <w:autoSpaceDN w:val="0"/>
        <w:adjustRightInd w:val="0"/>
        <w:spacing w:before="120" w:after="120"/>
        <w:ind w:left="1843"/>
        <w:jc w:val="both"/>
        <w:rPr>
          <w:rFonts w:ascii="Times New Roman" w:hAnsi="Times New Roman"/>
          <w:lang w:val="es-ES"/>
        </w:rPr>
      </w:pPr>
      <w:r w:rsidRPr="00AE4E8D">
        <w:rPr>
          <w:rFonts w:ascii="Times New Roman" w:hAnsi="Times New Roman"/>
          <w:lang w:val="es-ES"/>
        </w:rPr>
        <w:t>el precio resultante de la cláusula (ii), multiplicado por una fracción, cuyo numerador será el precio más alto pagado por el Accionista Interesado o por su cuenta, por cualquier acción de la Clase durante los dos años inmediatamente anteriores al anuncio de la Operación con Personas Vinculadas, y cuyo denominador será el precio de venta de cierre correspondiente a las acciones de la Clase en la fecha inmediatamente anterior al primer día del período de dos años mencionado precedentemente en el cual el Accionista Interesado adquirió cualquier interés o derecho en acciones de la Clase, en cada caso ajustado por cualquier división accionaria, dividendo en acciones, subdivisión o reclasificación que afecte a la Clase; y</w:t>
      </w:r>
    </w:p>
    <w:p w14:paraId="288D8477" w14:textId="77777777" w:rsidR="00CB5660" w:rsidRPr="00AE4E8D" w:rsidRDefault="00CB5660" w:rsidP="00933012">
      <w:pPr>
        <w:numPr>
          <w:ilvl w:val="0"/>
          <w:numId w:val="48"/>
        </w:numPr>
        <w:tabs>
          <w:tab w:val="left" w:pos="1560"/>
        </w:tabs>
        <w:autoSpaceDE w:val="0"/>
        <w:autoSpaceDN w:val="0"/>
        <w:adjustRightInd w:val="0"/>
        <w:spacing w:before="120" w:after="120"/>
        <w:ind w:left="1843"/>
        <w:jc w:val="both"/>
        <w:rPr>
          <w:rFonts w:ascii="Times New Roman" w:hAnsi="Times New Roman"/>
          <w:lang w:val="es-ES"/>
        </w:rPr>
      </w:pPr>
      <w:r w:rsidRPr="00AE4E8D">
        <w:rPr>
          <w:rFonts w:ascii="Times New Roman" w:hAnsi="Times New Roman"/>
          <w:lang w:val="es-ES"/>
        </w:rPr>
        <w:t>el ingreso neto por acción de las acciones de la Clase durante los cuatro últimos trimestres fiscales completos inmediatamente anteriores al anuncio de la Operación con Personas Vinculadas, multiplicado por la más alta de las relaciones siguientes (a) la relación precio/ingreso de ese período correspondiente a las acciones de la Clase (si lo hubiere), y (b) nuestra relación precio/ingreso más alta en el período de dos años anterior al anuncio de la Operación con Personas Vinculadas, en cada caso determinado de conformidad con las prácticas normales en la comunidad financiera.</w:t>
      </w:r>
    </w:p>
    <w:p w14:paraId="581F8F23" w14:textId="77777777" w:rsidR="00CB5660" w:rsidRPr="00AE4E8D" w:rsidRDefault="00CB5660" w:rsidP="006659E6">
      <w:pPr>
        <w:pStyle w:val="BHTexto"/>
        <w:rPr>
          <w:lang w:val="es-ES"/>
        </w:rPr>
      </w:pPr>
      <w:r w:rsidRPr="00AE4E8D">
        <w:rPr>
          <w:lang w:val="es-ES"/>
        </w:rPr>
        <w:t>Cualquier oferta debe permanecer abierta por un plazo mínimo de 90 días después del envío de la notificación a los accionistas o la primera publicación de la oferta, y los accionistas tendrán derecho a retirar las acciones ofrecidas en cualquier momento hasta el cierre de la oferta. Después del cierre de la OPA el Adquirente estará obligado a adquirir todas las acciones o valores negociables convertibles ofrecidos, considerando que si el número de acciones ofrecidas fuera inferior al mínimo (si tal mínimo se hubiera dispuesto) al cual estaba condicionada la mencionada oferta, el Adquirente podrá retirar la OPA. El Adquirente podrá concretar cualquier Propuesta de Acuerdo dentro de un plazo de 30 días posterior al cierre de la oferta, estableciéndose que, si dicha oferta estaba condicionada a la adquisición de un número mínimo de acciones, la Propuesta de Acuerdo podrá concretarse solamente si se alcanzó dicho mínimo. En caso de no existir Propuesta de Acuerdo alguna, el Adquirente podrá adquirir el número de acciones indicado en la notificación cursada a nosotros según las condiciones allí indicadas, en la medida en que dicho número de acciones no haya sido adquirido en la oferta de adquisición, siempre que se haya cumplido cualquier condición relacionada con un número mínimo de acciones ofrecidas.</w:t>
      </w:r>
    </w:p>
    <w:p w14:paraId="4DC31D9C" w14:textId="77777777" w:rsidR="00CB5660" w:rsidRPr="00AE4E8D" w:rsidRDefault="00CB5660" w:rsidP="000E1220">
      <w:pPr>
        <w:pStyle w:val="BH4Cursiva"/>
        <w:rPr>
          <w:lang w:val="es-ES"/>
        </w:rPr>
      </w:pPr>
      <w:r w:rsidRPr="00AE4E8D">
        <w:rPr>
          <w:lang w:val="es-ES"/>
        </w:rPr>
        <w:t>Adquisiciones por parte del Gobierno Argentino</w:t>
      </w:r>
    </w:p>
    <w:p w14:paraId="5153D917" w14:textId="77777777" w:rsidR="00CB5660" w:rsidRPr="00AE4E8D" w:rsidRDefault="00CB5660" w:rsidP="006659E6">
      <w:pPr>
        <w:pStyle w:val="BHTexto"/>
        <w:rPr>
          <w:lang w:val="es-ES"/>
        </w:rPr>
      </w:pPr>
      <w:r w:rsidRPr="00AE4E8D">
        <w:rPr>
          <w:lang w:val="es-ES"/>
        </w:rPr>
        <w:t>Los niveles mínimos en los cuales una adquisición de acciones por parte del Gobierno Argentino es considerada una Adquisición de Control, y las sanciones aplicables a las Adquisiciones de Control realizadas por el gobierno Nacional en violación de los procedimientos descriptos más arriba, son diferentes de los aplicables a adquisiciones de acciones por otras personas. Las adquisiciones por el gobierno Nacional que resulten en (i) una titularidad o control, por parte del Gobierno Argentino, de un total del 49% o más de nuestras acciones en circulación, o (ii) adquisiciones por parte del Gobierno Argentino</w:t>
      </w:r>
      <w:r w:rsidRPr="00AE4E8D" w:rsidDel="0014009F">
        <w:rPr>
          <w:lang w:val="es-ES"/>
        </w:rPr>
        <w:t xml:space="preserve"> </w:t>
      </w:r>
      <w:r w:rsidRPr="00AE4E8D">
        <w:rPr>
          <w:lang w:val="es-ES"/>
        </w:rPr>
        <w:t xml:space="preserve">del 8% o más de las acciones Clase D en circulación, mientras las acciones Clase A </w:t>
      </w:r>
      <w:r w:rsidRPr="00AE4E8D">
        <w:rPr>
          <w:lang w:val="es-ES"/>
        </w:rPr>
        <w:lastRenderedPageBreak/>
        <w:t>representen por lo menos el 5% de nuestras acciones en circulación al 23 de octubre de 1997, requerirán que el gobierno Nacional realice una oferta pública de compra por todas las acciones Clase D en circulación. Las adquisiciones por parte del Gobierno Argentino</w:t>
      </w:r>
      <w:r w:rsidRPr="00AE4E8D" w:rsidDel="0014009F">
        <w:rPr>
          <w:lang w:val="es-ES"/>
        </w:rPr>
        <w:t xml:space="preserve"> </w:t>
      </w:r>
      <w:r w:rsidRPr="00AE4E8D">
        <w:rPr>
          <w:lang w:val="es-ES"/>
        </w:rPr>
        <w:t>que no reúnan los requisitos de (i) o (ii) más arriba, estarán sujetas a los porcentajes descriptos con respecto a las Adquisiciones de Control. Véase "</w:t>
      </w:r>
      <w:r w:rsidRPr="00AE4E8D">
        <w:rPr>
          <w:i/>
          <w:lang w:val="es-ES"/>
        </w:rPr>
        <w:t>Aprobaciones requeridas y ofertas públicas de adquisición</w:t>
      </w:r>
      <w:r w:rsidRPr="00AE4E8D">
        <w:rPr>
          <w:lang w:val="es-ES"/>
        </w:rPr>
        <w:t>". En relación con las adquisiciones realizadas por el gobierno Nacional consideradas Adquisiciones de Control la oferta de compra requerida sólo debe realizarse por todas las acciones Clase D en circulación.</w:t>
      </w:r>
    </w:p>
    <w:p w14:paraId="18BC2505" w14:textId="77777777" w:rsidR="00CB5660" w:rsidRPr="00AE4E8D" w:rsidRDefault="00CB5660" w:rsidP="006659E6">
      <w:pPr>
        <w:pStyle w:val="BHTexto"/>
        <w:rPr>
          <w:lang w:val="es-ES"/>
        </w:rPr>
      </w:pPr>
      <w:r w:rsidRPr="00AE4E8D">
        <w:rPr>
          <w:lang w:val="es-ES"/>
        </w:rPr>
        <w:t>Cualquier Adquisición de Control realizada por el Gobierno Argentino</w:t>
      </w:r>
      <w:r w:rsidRPr="00AE4E8D" w:rsidDel="0014009F">
        <w:rPr>
          <w:lang w:val="es-ES"/>
        </w:rPr>
        <w:t xml:space="preserve"> </w:t>
      </w:r>
      <w:r w:rsidRPr="00AE4E8D">
        <w:rPr>
          <w:lang w:val="es-ES"/>
        </w:rPr>
        <w:t>de una manera distinta que de conformidad con el procedimiento descripto anteriormente, tendrá por resultado la cancelación de los derechos de voto, de recibir dividendos y otras distribuciones de las acciones adquiridas de esta manera, con excepción de determinadas adquisiciones indirectas (por ejemplo, por medio de procedimientos de ejecución o liquidación), después de las cuales el Gobierno Argentino</w:t>
      </w:r>
      <w:r w:rsidRPr="00AE4E8D" w:rsidDel="0014009F">
        <w:rPr>
          <w:lang w:val="es-ES"/>
        </w:rPr>
        <w:t xml:space="preserve"> </w:t>
      </w:r>
      <w:r w:rsidRPr="00AE4E8D">
        <w:rPr>
          <w:lang w:val="es-ES"/>
        </w:rPr>
        <w:t>no sea titular o controle el 49% o más de las acciones en circulación o más del 50% de las acciones Clase D en circulación, en cuyo caso sólo se retirarán los derechos de voto del gobierno Nacional en relación con las acciones así adquiridas.</w:t>
      </w:r>
    </w:p>
    <w:p w14:paraId="04E4E63F" w14:textId="77777777" w:rsidR="00CB5660" w:rsidRPr="00AE4E8D" w:rsidRDefault="00CB5660" w:rsidP="006659E6">
      <w:pPr>
        <w:pStyle w:val="BH3Izquierda"/>
        <w:rPr>
          <w:lang w:val="es-ES"/>
        </w:rPr>
      </w:pPr>
      <w:bookmarkStart w:id="909" w:name="_Toc421201553"/>
      <w:r w:rsidRPr="00AE4E8D">
        <w:rPr>
          <w:lang w:val="es-ES"/>
        </w:rPr>
        <w:t>Dividendos</w:t>
      </w:r>
      <w:bookmarkEnd w:id="909"/>
    </w:p>
    <w:p w14:paraId="5C619F8E" w14:textId="77777777" w:rsidR="00CB5660" w:rsidRPr="00AE4E8D" w:rsidRDefault="00CB5660" w:rsidP="006659E6">
      <w:pPr>
        <w:pStyle w:val="BHTexto"/>
        <w:rPr>
          <w:lang w:val="es-ES"/>
        </w:rPr>
      </w:pPr>
      <w:r w:rsidRPr="00AE4E8D">
        <w:rPr>
          <w:lang w:val="es-ES"/>
        </w:rPr>
        <w:t>La declaración, el monto y el pago de dividendos sobre nuestro capital accionario están determinados por el voto de la mayoría del capital accionario y en general, aunque no necesariamente, se basa en la recomendación anual del Directorio. El Directorio somete nuestros estados contables correspondientes al ejercicio previo, conjuntamente con sus informes y el de la comisión fiscalizadora, a la consideración de la asamblea ordinaria de accionistas para su aprobación. Con posterioridad a la aprobación de los estados contables, los accionistas proceden a determinar la asignación de nuestra ganancia neta correspondiente a dicho ejercicio. Tenemos la obligación de asignar un porcentaje de la ganancia neta (en la actualidad asciende al 20%) a la reserva legal. Si la reserva legal disminuye con posterioridad, existe la posibilidad de que no se abonen dividendos hasta tanto no se restablezca plenamente el monto correspondiente a la reserva legal, porcentaje del cual no se puede disponer para distribución. En virtud de nuestras disposiciones estatutarias, una vez realizada la asignación de la reserva legal y luego de haber separado un monto de la ganancia neta anual para la retribución de los miembros del Directorio y de la comisión fiscalizadora, se debe separar un monto de la ganancia neta que se destinará al pago de dividendos a las acciones preferidas, si las hubiera. El remanente de la ganancia neta anual puede ser distribuido como dividendos para las acciones ordinarias o se puede retener como reserva voluntaria, reserva para contingencias o puede destinarse a otra cuenta o combinación de cuentas, de acuerdo con lo decidido por la asamblea de accionistas. Luego de la implementación del PPP y durante un período de (i) 10 años o (ii) hasta el pago total del precio de la transferencia de las acciones, lo que ocurra primero, un monto de hasta el 0,5% de nuestra ganancia anual será abonado a los beneficiarios del PPP, lo que se imputará a resultados.</w:t>
      </w:r>
    </w:p>
    <w:p w14:paraId="2832EBEB" w14:textId="77777777" w:rsidR="00CB5660" w:rsidRPr="00AE4E8D" w:rsidRDefault="00CB5660" w:rsidP="006659E6">
      <w:pPr>
        <w:pStyle w:val="BHTexto"/>
        <w:rPr>
          <w:lang w:val="es-ES"/>
        </w:rPr>
      </w:pPr>
      <w:r w:rsidRPr="00AE4E8D">
        <w:rPr>
          <w:lang w:val="es-ES"/>
        </w:rPr>
        <w:t>Según la legislación argentina, estamos autorizados a declarar y abonar dividendos sólo sobre el saldo de su ganancia neta correspondiente al ejercicio en cuestión, luego de haberle dado cumplimiento a los requerimientos descritos en el párrafo precedente, más los resultados no asignados de ejercicios anteriores, si existieran, reflejados en nuestros estados contables anuales auditados, debidamente aprobados por una asamblea ordinaria de sus accionistas.</w:t>
      </w:r>
    </w:p>
    <w:p w14:paraId="44916E56" w14:textId="77777777" w:rsidR="00CB5660" w:rsidRPr="00AE4E8D" w:rsidRDefault="00CB5660" w:rsidP="006659E6">
      <w:pPr>
        <w:pStyle w:val="BHTexto"/>
        <w:rPr>
          <w:lang w:val="es-ES"/>
        </w:rPr>
      </w:pPr>
      <w:r w:rsidRPr="00AE4E8D">
        <w:rPr>
          <w:lang w:val="es-ES"/>
        </w:rPr>
        <w:t>En virtud de las Normas de la CNV y de nuestras disposiciones estatutarias, los dividendos en efectivo deben ser abonados a los accionistas dentro de los 30 días posteriores a la asamblea de accionistas que ha aprobado dicho pago de dividendos. El pago de dividendos en acciones requiere la autorización de la CNV, la que debe ser solicitada dentro de los diez días posteriores a la asamblea de accionistas que ha aprobado los dividendos. Debemos poner dicho pago a disposición de los accionistas en un plazo que no debe exceder los tres meses posteriores a la recepción de la aprobación de la CNV por nuestra parte. El pago de dividendos en acciones y en efectivo también debe ser puesto a disposición de los accionistas dentro de un plazo de tres meses posteriores a dicha notificación. Además, el monto, si lo hubiera, de dividendos que los tenedores de ADSs recibirán en Dólares Estadounidenses estará afectado, entre otras causas, por las políticas de control cambiario introducidas por las autoridades argentinas.</w:t>
      </w:r>
    </w:p>
    <w:p w14:paraId="1A42BC86" w14:textId="77777777" w:rsidR="00CB5660" w:rsidRPr="00AE4E8D" w:rsidRDefault="00CB5660" w:rsidP="006659E6">
      <w:pPr>
        <w:pStyle w:val="BHTexto"/>
        <w:rPr>
          <w:lang w:val="es-ES"/>
        </w:rPr>
      </w:pPr>
      <w:r w:rsidRPr="00AE4E8D">
        <w:rPr>
          <w:lang w:val="es-ES"/>
        </w:rPr>
        <w:t xml:space="preserve">Por último, el BCRA ha impuesto restricciones sobre el pago de dividendos, lo que limita sustancialmente la capacidad de las entidades financieras para distribuir dichos dividendos sin su consentimiento previo. Para obtener más información sobre los requisitos aplicables a la distribución de dividendos véase </w:t>
      </w:r>
      <w:r w:rsidRPr="00AE4E8D">
        <w:rPr>
          <w:i/>
          <w:lang w:val="es-ES"/>
        </w:rPr>
        <w:t>"Marco Regulatorio del Sistema Financiero Argentino—Requisitos Aplicables a la Distribución de Dividendos"</w:t>
      </w:r>
      <w:r w:rsidR="00D958BC" w:rsidRPr="00AE4E8D">
        <w:rPr>
          <w:i/>
          <w:lang w:val="es-ES"/>
        </w:rPr>
        <w:t xml:space="preserve"> y “Requisitos de liquidez y solvencia”</w:t>
      </w:r>
      <w:r w:rsidRPr="00AE4E8D">
        <w:rPr>
          <w:lang w:val="es-ES"/>
        </w:rPr>
        <w:t>.</w:t>
      </w:r>
    </w:p>
    <w:p w14:paraId="0D472E02" w14:textId="77777777" w:rsidR="00CB5660" w:rsidRPr="00AE4E8D" w:rsidRDefault="00CB5660" w:rsidP="006659E6">
      <w:pPr>
        <w:pStyle w:val="BH2Izquierda"/>
        <w:rPr>
          <w:lang w:val="es-ES"/>
        </w:rPr>
      </w:pPr>
      <w:bookmarkStart w:id="910" w:name="_Toc414610962"/>
      <w:bookmarkStart w:id="911" w:name="_Toc420062669"/>
      <w:bookmarkStart w:id="912" w:name="_Toc421201554"/>
      <w:bookmarkStart w:id="913" w:name="_Toc495973071"/>
      <w:bookmarkStart w:id="914" w:name="_Toc495399978"/>
      <w:bookmarkEnd w:id="899"/>
      <w:bookmarkEnd w:id="900"/>
      <w:r w:rsidRPr="00AE4E8D">
        <w:rPr>
          <w:lang w:val="es-ES"/>
        </w:rPr>
        <w:lastRenderedPageBreak/>
        <w:t>c) Contratos Importantes</w:t>
      </w:r>
      <w:bookmarkEnd w:id="910"/>
      <w:bookmarkEnd w:id="911"/>
      <w:bookmarkEnd w:id="912"/>
      <w:bookmarkEnd w:id="913"/>
      <w:bookmarkEnd w:id="914"/>
    </w:p>
    <w:p w14:paraId="7EBCC795" w14:textId="77777777" w:rsidR="00CB5660" w:rsidRPr="00AE4E8D" w:rsidRDefault="00CB5660" w:rsidP="006659E6">
      <w:pPr>
        <w:pStyle w:val="BHTexto"/>
        <w:rPr>
          <w:lang w:val="es-ES"/>
        </w:rPr>
      </w:pPr>
      <w:r w:rsidRPr="00AE4E8D">
        <w:rPr>
          <w:lang w:val="es-ES"/>
        </w:rPr>
        <w:t>No tenemos, a la fecha, contratos significativos ajenos a los que celebran en el curso ordinario de los negocios que debieran ser informados en el presente Prospecto.</w:t>
      </w:r>
    </w:p>
    <w:p w14:paraId="2B419C8F" w14:textId="77777777" w:rsidR="00CB5660" w:rsidRPr="00AE4E8D" w:rsidRDefault="00CB5660" w:rsidP="00CC3B07">
      <w:pPr>
        <w:keepNext/>
        <w:autoSpaceDE w:val="0"/>
        <w:autoSpaceDN w:val="0"/>
        <w:adjustRightInd w:val="0"/>
        <w:spacing w:before="240" w:after="240"/>
        <w:outlineLvl w:val="1"/>
        <w:rPr>
          <w:rFonts w:ascii="Times New Roman" w:hAnsi="Times New Roman"/>
          <w:b/>
          <w:lang w:val="es-ES" w:eastAsia="es-AR"/>
        </w:rPr>
      </w:pPr>
      <w:bookmarkStart w:id="915" w:name="_Toc414610963"/>
      <w:bookmarkStart w:id="916" w:name="_Toc420062670"/>
      <w:bookmarkStart w:id="917" w:name="_Toc421201555"/>
      <w:bookmarkStart w:id="918" w:name="_Toc495973072"/>
      <w:bookmarkStart w:id="919" w:name="_Toc495399979"/>
      <w:bookmarkStart w:id="920" w:name="_Toc414610969"/>
      <w:bookmarkStart w:id="921" w:name="_Toc420062678"/>
      <w:bookmarkStart w:id="922" w:name="_Toc421201558"/>
      <w:r w:rsidRPr="00AE4E8D">
        <w:rPr>
          <w:rFonts w:ascii="Times New Roman" w:hAnsi="Times New Roman"/>
          <w:b/>
          <w:lang w:val="es-ES" w:eastAsia="es-AR"/>
        </w:rPr>
        <w:t>d) Controles de Cambio</w:t>
      </w:r>
      <w:bookmarkEnd w:id="915"/>
      <w:bookmarkEnd w:id="916"/>
      <w:bookmarkEnd w:id="917"/>
      <w:bookmarkEnd w:id="918"/>
      <w:bookmarkEnd w:id="919"/>
    </w:p>
    <w:p w14:paraId="0F1FF67D" w14:textId="77777777" w:rsidR="00CB5660" w:rsidRPr="00AE4E8D" w:rsidRDefault="00CB5660" w:rsidP="00CC3B07">
      <w:pPr>
        <w:keepNext/>
        <w:autoSpaceDE w:val="0"/>
        <w:autoSpaceDN w:val="0"/>
        <w:adjustRightInd w:val="0"/>
        <w:spacing w:before="240" w:after="240"/>
        <w:outlineLvl w:val="2"/>
        <w:rPr>
          <w:rFonts w:ascii="Times New Roman" w:hAnsi="Times New Roman"/>
          <w:b/>
          <w:lang w:val="es-ES" w:eastAsia="es-AR"/>
        </w:rPr>
      </w:pPr>
      <w:bookmarkStart w:id="923" w:name="_Toc420062671"/>
      <w:bookmarkStart w:id="924" w:name="_Toc421201556"/>
      <w:bookmarkStart w:id="925" w:name="_Toc414610964"/>
      <w:r w:rsidRPr="00AE4E8D">
        <w:rPr>
          <w:rFonts w:ascii="Times New Roman" w:hAnsi="Times New Roman"/>
          <w:b/>
          <w:lang w:val="es-ES" w:eastAsia="es-AR"/>
        </w:rPr>
        <w:t>Tipos de Cambio</w:t>
      </w:r>
      <w:bookmarkEnd w:id="923"/>
      <w:bookmarkEnd w:id="924"/>
    </w:p>
    <w:p w14:paraId="583FD966" w14:textId="77777777" w:rsidR="00480492" w:rsidRPr="00AE4E8D" w:rsidRDefault="00480492" w:rsidP="00845924">
      <w:pPr>
        <w:pStyle w:val="BHTexto"/>
      </w:pPr>
      <w:bookmarkStart w:id="926" w:name="_DV_C2653"/>
      <w:r w:rsidRPr="00AE4E8D">
        <w:t>En abril de 1991 se estableció por ley un tipo de cambio fijo de conformidad con el cual el BCRA estaba obligado por ley a vender Dólares Estadounidenses a particulares o empresas a un tipo de cambio fijo de Ps.1,00 por cada Dólar Estadounidense. El 6 de enero de 2002, se sancionó la Ley Nº25.561 de Emergencia Pública y de Reforma del Régimen Cambiario (</w:t>
      </w:r>
      <w:r w:rsidR="0086500C" w:rsidRPr="00AE4E8D">
        <w:t>“</w:t>
      </w:r>
      <w:r w:rsidRPr="00AE4E8D">
        <w:rPr>
          <w:u w:val="single"/>
        </w:rPr>
        <w:t>Ley de Emergencia Pública y de Reforma del Régimen Cambiario</w:t>
      </w:r>
      <w:r w:rsidR="0086500C" w:rsidRPr="00AE4E8D">
        <w:rPr>
          <w:u w:val="single"/>
        </w:rPr>
        <w:t>”</w:t>
      </w:r>
      <w:r w:rsidRPr="00AE4E8D">
        <w:t>), por la que se abandonó la paridad fija, permitiéndose la devaluación controlada del Peso. Luego de la devaluación del Peso y la fijación del tipo de cambio oficial en Ps.1,40 por cada Dólar Estadounidense, el 11 de febrero de 2002, el Gobierno Argentino</w:t>
      </w:r>
      <w:r w:rsidRPr="00AE4E8D" w:rsidDel="0014009F">
        <w:t xml:space="preserve"> </w:t>
      </w:r>
      <w:r w:rsidRPr="00AE4E8D">
        <w:t>permitió la libre flotación del Peso. La escasez de Dólares Estadounidenses y su alta demanda tuvieron como consecuencia que el Peso experimentara una ulterior devaluación de relevancia durante el primer semestre de 2002. Desde el 30 de junio de 2002, el Peso se ha depreciado frente al Dólar Estadounidense de un tipo de cambio de Ps.3,80 = US$1,00 al 30 de junio de 2002 a un tipo de cambio de Ps.15,8502 = US$1,00 al 31 de diciembre de 2016. El BCRA ha afectado indirectamente a este mercado (y podría continuar haciéndolo en el futuro) a través de su activa participación en la compraventa de Dólares Estadounidenses.</w:t>
      </w:r>
    </w:p>
    <w:p w14:paraId="2483FC8B" w14:textId="77777777" w:rsidR="00480492" w:rsidRPr="00AE4E8D" w:rsidRDefault="003C5B79" w:rsidP="00845924">
      <w:pPr>
        <w:pStyle w:val="BHTexto"/>
        <w:rPr>
          <w:rFonts w:eastAsia="MS Mincho"/>
        </w:rPr>
      </w:pPr>
      <w:r w:rsidRPr="00AE4E8D">
        <w:t xml:space="preserve">En </w:t>
      </w:r>
      <w:r w:rsidR="00480492" w:rsidRPr="00AE4E8D">
        <w:t>los últimos años</w:t>
      </w:r>
      <w:r w:rsidR="00480492" w:rsidRPr="00AE4E8D">
        <w:rPr>
          <w:rFonts w:eastAsia="MS Mincho"/>
          <w:lang w:eastAsia="es-ES"/>
        </w:rPr>
        <w:t xml:space="preserve">, el BCRA influyó indirectamente en el mercado cambiario a fin de aislarlo de los shocks externos y mantener una paridad Peso-Dólar relativamente estable. </w:t>
      </w:r>
      <w:bookmarkStart w:id="927" w:name="_cp_text_1_27"/>
      <w:r w:rsidR="00480492" w:rsidRPr="00AE4E8D">
        <w:rPr>
          <w:rFonts w:eastAsia="MS Mincho"/>
          <w:lang w:eastAsia="es-ES"/>
        </w:rPr>
        <w:t xml:space="preserve">El 31 de diciembre de 2014, el tipo de cambio entre el Peso y el Dólar disminuyo a </w:t>
      </w:r>
      <w:bookmarkStart w:id="928" w:name="_cp_text_1_32"/>
      <w:bookmarkEnd w:id="927"/>
      <w:r w:rsidR="00480492" w:rsidRPr="00AE4E8D">
        <w:rPr>
          <w:rFonts w:eastAsia="MS Mincho"/>
          <w:lang w:eastAsia="es-ES"/>
        </w:rPr>
        <w:t>Ps.</w:t>
      </w:r>
      <w:bookmarkEnd w:id="928"/>
      <w:r w:rsidR="00480492" w:rsidRPr="00AE4E8D">
        <w:rPr>
          <w:rFonts w:eastAsia="MS Mincho"/>
          <w:lang w:eastAsia="es-ES"/>
        </w:rPr>
        <w:t>8,552 a US$</w:t>
      </w:r>
      <w:bookmarkStart w:id="929" w:name="_cp_text_1_33"/>
      <w:r w:rsidR="00480492" w:rsidRPr="00AE4E8D">
        <w:rPr>
          <w:rFonts w:eastAsia="MS Mincho"/>
          <w:lang w:eastAsia="es-ES"/>
        </w:rPr>
        <w:t>1,00</w:t>
      </w:r>
      <w:bookmarkEnd w:id="929"/>
      <w:r w:rsidR="00480492" w:rsidRPr="00AE4E8D">
        <w:rPr>
          <w:rFonts w:eastAsia="MS Mincho"/>
          <w:lang w:eastAsia="es-ES"/>
        </w:rPr>
        <w:t xml:space="preserve">, </w:t>
      </w:r>
      <w:bookmarkStart w:id="930" w:name="_cp_text_1_35"/>
      <w:r w:rsidR="00480492" w:rsidRPr="00AE4E8D">
        <w:rPr>
          <w:rFonts w:eastAsia="MS Mincho"/>
          <w:lang w:eastAsia="es-ES"/>
        </w:rPr>
        <w:t>representando una devaluación del Peso de aproximadamente</w:t>
      </w:r>
      <w:r w:rsidR="00480492" w:rsidRPr="00AE4E8D">
        <w:rPr>
          <w:rFonts w:eastAsia="MS Mincho"/>
          <w:u w:val="words"/>
          <w:lang w:eastAsia="es-ES"/>
        </w:rPr>
        <w:t xml:space="preserve"> </w:t>
      </w:r>
      <w:bookmarkEnd w:id="930"/>
      <w:r w:rsidR="00480492" w:rsidRPr="00AE4E8D">
        <w:rPr>
          <w:rFonts w:eastAsia="MS Mincho"/>
          <w:lang w:eastAsia="es-ES"/>
        </w:rPr>
        <w:t>31%</w:t>
      </w:r>
      <w:bookmarkStart w:id="931" w:name="_cp_text_1_38"/>
      <w:r w:rsidR="00480492" w:rsidRPr="00AE4E8D">
        <w:rPr>
          <w:rFonts w:eastAsia="MS Mincho"/>
          <w:lang w:eastAsia="es-ES"/>
        </w:rPr>
        <w:t xml:space="preserve"> en el año</w:t>
      </w:r>
      <w:bookmarkEnd w:id="931"/>
      <w:r w:rsidR="00480492" w:rsidRPr="00AE4E8D">
        <w:rPr>
          <w:rFonts w:eastAsia="MS Mincho"/>
          <w:lang w:eastAsia="es-ES"/>
        </w:rPr>
        <w:t xml:space="preserve">. Al 31 de diciembre de 2015, el tipo de cambio entre el Peso y el Dólar se estableció en Ps.13,005 por US$1,00, lo que representó una devaluación del Peso de aproximadamente del 52% desde enero de 2015. Al 31 de diciembre de 2016, </w:t>
      </w:r>
      <w:r w:rsidRPr="00AE4E8D">
        <w:rPr>
          <w:rFonts w:eastAsia="MS Mincho"/>
          <w:lang w:eastAsia="es-ES"/>
        </w:rPr>
        <w:t xml:space="preserve">el tipo de cambio entre el Peso y el Dólar disminuyó </w:t>
      </w:r>
      <w:r w:rsidR="00480492" w:rsidRPr="00AE4E8D">
        <w:rPr>
          <w:rFonts w:eastAsia="MS Mincho"/>
          <w:lang w:eastAsia="es-ES"/>
        </w:rPr>
        <w:t>a Ps.15,8502 por US$1,</w:t>
      </w:r>
      <w:r w:rsidR="00296832" w:rsidRPr="00AE4E8D">
        <w:rPr>
          <w:rFonts w:eastAsia="MS Mincho"/>
          <w:lang w:eastAsia="es-ES"/>
        </w:rPr>
        <w:t>00,</w:t>
      </w:r>
      <w:r w:rsidR="00480492" w:rsidRPr="00AE4E8D">
        <w:rPr>
          <w:rFonts w:eastAsia="MS Mincho"/>
          <w:lang w:eastAsia="es-ES"/>
        </w:rPr>
        <w:t xml:space="preserve"> representando una devaluación de aproximadamente 22% comparado con el cierre del ejercicio anterior.</w:t>
      </w:r>
    </w:p>
    <w:p w14:paraId="767C15D8" w14:textId="77777777" w:rsidR="00480492" w:rsidRPr="00AE4E8D" w:rsidRDefault="004B69B2" w:rsidP="00845924">
      <w:pPr>
        <w:pStyle w:val="BHTexto"/>
        <w:rPr>
          <w:rFonts w:eastAsia="MS Mincho"/>
          <w:lang w:eastAsia="es-ES"/>
        </w:rPr>
      </w:pPr>
      <w:r w:rsidRPr="00AE4E8D">
        <w:rPr>
          <w:rFonts w:eastAsia="MS Mincho"/>
          <w:lang w:eastAsia="es-ES"/>
        </w:rPr>
        <w:t xml:space="preserve">Al 30 de junio de 2017, el tipo de cambio entre el Peso y </w:t>
      </w:r>
      <w:r w:rsidR="0085031D">
        <w:rPr>
          <w:rFonts w:eastAsia="MS Mincho"/>
          <w:lang w:eastAsia="es-ES"/>
        </w:rPr>
        <w:t>el Dólar se estableció en Ps.16</w:t>
      </w:r>
      <w:r w:rsidR="0085031D">
        <w:rPr>
          <w:rFonts w:eastAsia="MS Mincho"/>
          <w:lang w:val="es-ES" w:eastAsia="es-ES"/>
        </w:rPr>
        <w:t>,</w:t>
      </w:r>
      <w:r w:rsidRPr="00AE4E8D">
        <w:rPr>
          <w:rFonts w:eastAsia="MS Mincho"/>
          <w:lang w:eastAsia="es-ES"/>
        </w:rPr>
        <w:t xml:space="preserve">5985 por US$1,00, </w:t>
      </w:r>
      <w:r w:rsidR="003C5B79" w:rsidRPr="00AE4E8D">
        <w:rPr>
          <w:rFonts w:eastAsia="MS Mincho"/>
          <w:lang w:eastAsia="es-ES"/>
        </w:rPr>
        <w:t xml:space="preserve">lo que representa una depreciación del </w:t>
      </w:r>
      <w:r w:rsidRPr="00AE4E8D">
        <w:rPr>
          <w:rFonts w:eastAsia="MS Mincho"/>
          <w:lang w:eastAsia="es-ES"/>
        </w:rPr>
        <w:t>P</w:t>
      </w:r>
      <w:r w:rsidR="003C5B79" w:rsidRPr="00AE4E8D">
        <w:rPr>
          <w:rFonts w:eastAsia="MS Mincho"/>
          <w:lang w:eastAsia="es-ES"/>
        </w:rPr>
        <w:t>eso de aproximadamente 4.</w:t>
      </w:r>
      <w:r w:rsidR="007E2513" w:rsidRPr="00AE4E8D">
        <w:rPr>
          <w:rFonts w:eastAsia="MS Mincho"/>
          <w:lang w:val="es-ES" w:eastAsia="es-ES"/>
        </w:rPr>
        <w:t>27</w:t>
      </w:r>
      <w:r w:rsidR="003C5B79" w:rsidRPr="00AE4E8D">
        <w:rPr>
          <w:rFonts w:eastAsia="MS Mincho"/>
          <w:lang w:eastAsia="es-ES"/>
        </w:rPr>
        <w:t xml:space="preserve">% desde el </w:t>
      </w:r>
      <w:r w:rsidR="007E2513" w:rsidRPr="00AE4E8D">
        <w:rPr>
          <w:rFonts w:eastAsia="MS Mincho"/>
          <w:lang w:val="es-ES" w:eastAsia="es-ES"/>
        </w:rPr>
        <w:t>2</w:t>
      </w:r>
      <w:r w:rsidR="003C5B79" w:rsidRPr="00AE4E8D">
        <w:rPr>
          <w:rFonts w:eastAsia="MS Mincho"/>
          <w:lang w:eastAsia="es-ES"/>
        </w:rPr>
        <w:t xml:space="preserve"> de enero de 2017. </w:t>
      </w:r>
      <w:r w:rsidR="00480492" w:rsidRPr="00AE4E8D">
        <w:rPr>
          <w:rFonts w:eastAsia="MS Mincho"/>
          <w:lang w:eastAsia="es-ES"/>
        </w:rPr>
        <w:t xml:space="preserve">Al </w:t>
      </w:r>
      <w:r w:rsidR="0085031D">
        <w:rPr>
          <w:rFonts w:eastAsia="MS Mincho"/>
          <w:lang w:val="es-ES" w:eastAsia="es-ES"/>
        </w:rPr>
        <w:t>18</w:t>
      </w:r>
      <w:r w:rsidR="00B8626F" w:rsidRPr="00AE4E8D">
        <w:rPr>
          <w:rFonts w:eastAsia="MS Mincho"/>
          <w:lang w:eastAsia="es-ES"/>
        </w:rPr>
        <w:t xml:space="preserve"> </w:t>
      </w:r>
      <w:r w:rsidR="00480492" w:rsidRPr="00AE4E8D">
        <w:rPr>
          <w:rFonts w:eastAsia="MS Mincho"/>
          <w:lang w:eastAsia="es-ES"/>
        </w:rPr>
        <w:t xml:space="preserve">de </w:t>
      </w:r>
      <w:r w:rsidR="00BE0CDF" w:rsidRPr="00AE4E8D">
        <w:rPr>
          <w:rFonts w:eastAsia="MS Mincho"/>
          <w:lang w:eastAsia="es-ES"/>
        </w:rPr>
        <w:t>octubre</w:t>
      </w:r>
      <w:r w:rsidR="00B8626F" w:rsidRPr="00AE4E8D">
        <w:rPr>
          <w:rFonts w:eastAsia="MS Mincho"/>
          <w:lang w:eastAsia="es-ES"/>
        </w:rPr>
        <w:t xml:space="preserve"> </w:t>
      </w:r>
      <w:r w:rsidR="00480492" w:rsidRPr="00AE4E8D">
        <w:rPr>
          <w:rFonts w:eastAsia="MS Mincho"/>
          <w:lang w:eastAsia="es-ES"/>
        </w:rPr>
        <w:t>de 2017, el tipo de cambio entre el Peso y el Dólar se estableció en Ps.</w:t>
      </w:r>
      <w:r w:rsidR="0085031D" w:rsidRPr="0085031D">
        <w:rPr>
          <w:lang w:val="es-ES"/>
        </w:rPr>
        <w:t>17</w:t>
      </w:r>
      <w:r w:rsidR="0085031D">
        <w:rPr>
          <w:lang w:val="es-ES"/>
        </w:rPr>
        <w:t>,</w:t>
      </w:r>
      <w:r w:rsidR="0085031D" w:rsidRPr="0085031D">
        <w:rPr>
          <w:lang w:val="es-ES"/>
        </w:rPr>
        <w:t>3250</w:t>
      </w:r>
      <w:r w:rsidR="00480492" w:rsidRPr="00AE4E8D">
        <w:rPr>
          <w:rFonts w:eastAsia="MS Mincho"/>
          <w:lang w:eastAsia="es-ES"/>
        </w:rPr>
        <w:t xml:space="preserve"> por US$1,00, según la cotización difundida por el BCRA para el tipo de cambio denominado “tipo de cambio vendedor para Dólares Estadounidenses.” Véase</w:t>
      </w:r>
      <w:r w:rsidR="00480492" w:rsidRPr="00AE4E8D">
        <w:rPr>
          <w:rFonts w:eastAsia="MS Mincho"/>
        </w:rPr>
        <w:t xml:space="preserve"> “</w:t>
      </w:r>
      <w:r w:rsidR="00480492" w:rsidRPr="00AE4E8D">
        <w:rPr>
          <w:rFonts w:eastAsia="MS Mincho"/>
          <w:i/>
        </w:rPr>
        <w:t>Factores de Riesgo</w:t>
      </w:r>
      <w:r w:rsidR="00480492" w:rsidRPr="00AE4E8D">
        <w:rPr>
          <w:rFonts w:eastAsia="MS Mincho"/>
          <w:i/>
        </w:rPr>
        <w:noBreakHyphen/>
      </w:r>
      <w:r w:rsidR="00480492" w:rsidRPr="00AE4E8D">
        <w:rPr>
          <w:i/>
        </w:rPr>
        <w:t>Los controles cambiarios y las restricciones a las transferencias al exterior así como las restricciones al ingreso de capitales</w:t>
      </w:r>
      <w:r w:rsidRPr="00AE4E8D">
        <w:rPr>
          <w:i/>
        </w:rPr>
        <w:t>, si fueran reimpuestas, podrían limitar</w:t>
      </w:r>
      <w:r w:rsidR="00480492" w:rsidRPr="00AE4E8D">
        <w:rPr>
          <w:i/>
        </w:rPr>
        <w:t xml:space="preserve"> la disponibilidad de crédito internacional</w:t>
      </w:r>
      <w:r w:rsidR="00480492" w:rsidRPr="00AE4E8D">
        <w:rPr>
          <w:rFonts w:eastAsia="MS Mincho"/>
        </w:rPr>
        <w:t>”.</w:t>
      </w:r>
    </w:p>
    <w:p w14:paraId="115EE5E6" w14:textId="77777777" w:rsidR="00CB5660" w:rsidRPr="00AE4E8D" w:rsidRDefault="00CB5660" w:rsidP="00CC3B07">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En la siguiente tabla se presentan los tipos de cambio máximo, mínimo, promedio y de cierre de período para la compra de Dólares. </w:t>
      </w:r>
    </w:p>
    <w:p w14:paraId="00A667B9" w14:textId="77777777" w:rsidR="00CB5660" w:rsidRPr="00AE4E8D" w:rsidRDefault="00CB5660" w:rsidP="004F139E">
      <w:pPr>
        <w:rPr>
          <w:rFonts w:ascii="Times New Roman" w:hAnsi="Times New Roman"/>
          <w:sz w:val="16"/>
          <w:lang w:val="es-ES"/>
        </w:rPr>
      </w:pPr>
      <w:bookmarkStart w:id="932" w:name="RANGE!D7"/>
      <w:bookmarkStart w:id="933" w:name="RANGE!E7"/>
      <w:bookmarkStart w:id="934" w:name="RANGE!F7"/>
      <w:bookmarkStart w:id="935" w:name="RANGE!G7"/>
      <w:bookmarkStart w:id="936" w:name="RANGE!D10"/>
      <w:bookmarkStart w:id="937" w:name="RANGE!F10"/>
      <w:bookmarkStart w:id="938" w:name="RANGE!G10"/>
      <w:bookmarkEnd w:id="932"/>
      <w:bookmarkEnd w:id="933"/>
      <w:bookmarkEnd w:id="934"/>
      <w:bookmarkEnd w:id="935"/>
      <w:bookmarkEnd w:id="936"/>
      <w:bookmarkEnd w:id="937"/>
      <w:bookmarkEnd w:id="938"/>
    </w:p>
    <w:tbl>
      <w:tblPr>
        <w:tblW w:w="5000" w:type="pct"/>
        <w:jc w:val="center"/>
        <w:tblLook w:val="04A0" w:firstRow="1" w:lastRow="0" w:firstColumn="1" w:lastColumn="0" w:noHBand="0" w:noVBand="1"/>
      </w:tblPr>
      <w:tblGrid>
        <w:gridCol w:w="4219"/>
        <w:gridCol w:w="1134"/>
        <w:gridCol w:w="1135"/>
        <w:gridCol w:w="1134"/>
        <w:gridCol w:w="1099"/>
      </w:tblGrid>
      <w:tr w:rsidR="00480492" w:rsidRPr="00AE4E8D" w14:paraId="2F453E1A" w14:textId="77777777" w:rsidTr="000400C8">
        <w:trPr>
          <w:trHeight w:val="300"/>
          <w:jc w:val="center"/>
        </w:trPr>
        <w:tc>
          <w:tcPr>
            <w:tcW w:w="5000" w:type="pct"/>
            <w:gridSpan w:val="5"/>
            <w:tcBorders>
              <w:top w:val="nil"/>
              <w:left w:val="nil"/>
              <w:bottom w:val="nil"/>
              <w:right w:val="nil"/>
            </w:tcBorders>
            <w:shd w:val="clear" w:color="auto" w:fill="auto"/>
            <w:hideMark/>
          </w:tcPr>
          <w:p w14:paraId="0AE5DC68" w14:textId="77777777" w:rsidR="00480492" w:rsidRPr="00AE4E8D" w:rsidRDefault="00480492" w:rsidP="00480492">
            <w:pPr>
              <w:jc w:val="center"/>
              <w:rPr>
                <w:rFonts w:ascii="Times New Roman" w:hAnsi="Times New Roman"/>
                <w:b/>
                <w:color w:val="000000"/>
                <w:sz w:val="18"/>
                <w:lang w:val="es-ES"/>
              </w:rPr>
            </w:pPr>
            <w:r w:rsidRPr="00AE4E8D">
              <w:rPr>
                <w:rFonts w:ascii="Times New Roman" w:hAnsi="Times New Roman"/>
                <w:b/>
                <w:color w:val="000000"/>
                <w:sz w:val="18"/>
                <w:lang w:val="es-ES"/>
              </w:rPr>
              <w:t>Tipos de cambio</w:t>
            </w:r>
          </w:p>
        </w:tc>
      </w:tr>
      <w:tr w:rsidR="003863FC" w:rsidRPr="00AE4E8D" w14:paraId="35E3571C" w14:textId="77777777" w:rsidTr="000400C8">
        <w:trPr>
          <w:trHeight w:val="495"/>
          <w:jc w:val="center"/>
        </w:trPr>
        <w:tc>
          <w:tcPr>
            <w:tcW w:w="2419" w:type="pct"/>
            <w:tcBorders>
              <w:top w:val="nil"/>
              <w:left w:val="nil"/>
              <w:bottom w:val="single" w:sz="8" w:space="0" w:color="auto"/>
              <w:right w:val="nil"/>
            </w:tcBorders>
            <w:shd w:val="clear" w:color="auto" w:fill="auto"/>
            <w:hideMark/>
          </w:tcPr>
          <w:p w14:paraId="0E6C32E5" w14:textId="77777777" w:rsidR="00480492" w:rsidRPr="00AE4E8D" w:rsidRDefault="00480492" w:rsidP="00480492">
            <w:pPr>
              <w:rPr>
                <w:rFonts w:ascii="Times New Roman" w:hAnsi="Times New Roman"/>
                <w:color w:val="000000"/>
                <w:sz w:val="18"/>
                <w:lang w:val="es-ES"/>
              </w:rPr>
            </w:pPr>
            <w:r w:rsidRPr="00AE4E8D">
              <w:rPr>
                <w:rFonts w:ascii="Times New Roman" w:hAnsi="Times New Roman"/>
                <w:color w:val="000000"/>
                <w:sz w:val="18"/>
                <w:lang w:val="es-ES"/>
              </w:rPr>
              <w:t> </w:t>
            </w:r>
          </w:p>
        </w:tc>
        <w:tc>
          <w:tcPr>
            <w:tcW w:w="650" w:type="pct"/>
            <w:tcBorders>
              <w:top w:val="nil"/>
              <w:left w:val="nil"/>
              <w:bottom w:val="single" w:sz="8" w:space="0" w:color="auto"/>
              <w:right w:val="nil"/>
            </w:tcBorders>
            <w:shd w:val="clear" w:color="auto" w:fill="auto"/>
            <w:vAlign w:val="center"/>
            <w:hideMark/>
          </w:tcPr>
          <w:p w14:paraId="67E922F0" w14:textId="77777777" w:rsidR="00480492" w:rsidRPr="00AE4E8D" w:rsidRDefault="00480492" w:rsidP="00480492">
            <w:pPr>
              <w:jc w:val="center"/>
              <w:rPr>
                <w:rFonts w:ascii="Times New Roman" w:hAnsi="Times New Roman"/>
                <w:b/>
                <w:color w:val="000000"/>
                <w:sz w:val="18"/>
                <w:lang w:val="es-ES"/>
              </w:rPr>
            </w:pPr>
            <w:r w:rsidRPr="00AE4E8D">
              <w:rPr>
                <w:rFonts w:ascii="Times New Roman" w:hAnsi="Times New Roman"/>
                <w:b/>
                <w:color w:val="000000"/>
                <w:sz w:val="18"/>
                <w:lang w:val="es-ES"/>
              </w:rPr>
              <w:t>Máximo (1)(2)</w:t>
            </w:r>
          </w:p>
        </w:tc>
        <w:tc>
          <w:tcPr>
            <w:tcW w:w="651" w:type="pct"/>
            <w:tcBorders>
              <w:top w:val="nil"/>
              <w:left w:val="nil"/>
              <w:bottom w:val="single" w:sz="8" w:space="0" w:color="auto"/>
              <w:right w:val="nil"/>
            </w:tcBorders>
            <w:shd w:val="clear" w:color="auto" w:fill="auto"/>
            <w:vAlign w:val="center"/>
            <w:hideMark/>
          </w:tcPr>
          <w:p w14:paraId="75EE4C08" w14:textId="77777777" w:rsidR="00480492" w:rsidRPr="00AE4E8D" w:rsidRDefault="00480492" w:rsidP="00480492">
            <w:pPr>
              <w:jc w:val="center"/>
              <w:rPr>
                <w:rFonts w:ascii="Times New Roman" w:hAnsi="Times New Roman"/>
                <w:b/>
                <w:color w:val="000000"/>
                <w:sz w:val="18"/>
                <w:lang w:val="es-ES"/>
              </w:rPr>
            </w:pPr>
            <w:r w:rsidRPr="00AE4E8D">
              <w:rPr>
                <w:rFonts w:ascii="Times New Roman" w:hAnsi="Times New Roman"/>
                <w:b/>
                <w:color w:val="000000"/>
                <w:sz w:val="18"/>
                <w:lang w:val="es-ES"/>
              </w:rPr>
              <w:t>Mínimo (1)(3)</w:t>
            </w:r>
          </w:p>
        </w:tc>
        <w:tc>
          <w:tcPr>
            <w:tcW w:w="650" w:type="pct"/>
            <w:tcBorders>
              <w:top w:val="nil"/>
              <w:left w:val="nil"/>
              <w:bottom w:val="single" w:sz="8" w:space="0" w:color="auto"/>
              <w:right w:val="nil"/>
            </w:tcBorders>
            <w:shd w:val="clear" w:color="auto" w:fill="auto"/>
            <w:vAlign w:val="center"/>
            <w:hideMark/>
          </w:tcPr>
          <w:p w14:paraId="51E7B435" w14:textId="77777777" w:rsidR="00480492" w:rsidRPr="00AE4E8D" w:rsidRDefault="00480492" w:rsidP="00480492">
            <w:pPr>
              <w:jc w:val="center"/>
              <w:rPr>
                <w:rFonts w:ascii="Times New Roman" w:hAnsi="Times New Roman"/>
                <w:b/>
                <w:color w:val="000000"/>
                <w:sz w:val="18"/>
                <w:lang w:val="es-ES"/>
              </w:rPr>
            </w:pPr>
            <w:r w:rsidRPr="00AE4E8D">
              <w:rPr>
                <w:rFonts w:ascii="Times New Roman" w:hAnsi="Times New Roman"/>
                <w:b/>
                <w:color w:val="000000"/>
                <w:sz w:val="18"/>
                <w:lang w:val="es-ES"/>
              </w:rPr>
              <w:t>Promedio (1)(4)</w:t>
            </w:r>
          </w:p>
        </w:tc>
        <w:tc>
          <w:tcPr>
            <w:tcW w:w="630" w:type="pct"/>
            <w:tcBorders>
              <w:top w:val="nil"/>
              <w:left w:val="nil"/>
              <w:bottom w:val="single" w:sz="8" w:space="0" w:color="auto"/>
              <w:right w:val="nil"/>
            </w:tcBorders>
            <w:shd w:val="clear" w:color="auto" w:fill="auto"/>
            <w:vAlign w:val="center"/>
            <w:hideMark/>
          </w:tcPr>
          <w:p w14:paraId="40F94546" w14:textId="77777777" w:rsidR="00480492" w:rsidRPr="00AE4E8D" w:rsidRDefault="00480492" w:rsidP="00480492">
            <w:pPr>
              <w:jc w:val="center"/>
              <w:rPr>
                <w:rFonts w:ascii="Times New Roman" w:hAnsi="Times New Roman"/>
                <w:b/>
                <w:color w:val="000000"/>
                <w:sz w:val="18"/>
                <w:lang w:val="es-ES"/>
              </w:rPr>
            </w:pPr>
            <w:r w:rsidRPr="00AE4E8D">
              <w:rPr>
                <w:rFonts w:ascii="Times New Roman" w:hAnsi="Times New Roman"/>
                <w:b/>
                <w:color w:val="000000"/>
                <w:sz w:val="18"/>
                <w:lang w:val="es-ES"/>
              </w:rPr>
              <w:t>Cierre del período (1)</w:t>
            </w:r>
          </w:p>
        </w:tc>
      </w:tr>
      <w:tr w:rsidR="003863FC" w:rsidRPr="00AE4E8D" w14:paraId="4209639D" w14:textId="77777777" w:rsidTr="000400C8">
        <w:trPr>
          <w:trHeight w:val="300"/>
          <w:jc w:val="center"/>
        </w:trPr>
        <w:tc>
          <w:tcPr>
            <w:tcW w:w="2419" w:type="pct"/>
            <w:tcBorders>
              <w:top w:val="nil"/>
              <w:left w:val="nil"/>
              <w:bottom w:val="nil"/>
              <w:right w:val="nil"/>
            </w:tcBorders>
            <w:shd w:val="clear" w:color="auto" w:fill="auto"/>
          </w:tcPr>
          <w:p w14:paraId="6D91AE5A" w14:textId="77777777" w:rsidR="00480492" w:rsidRPr="00AE4E8D" w:rsidRDefault="00480492" w:rsidP="00480492">
            <w:pPr>
              <w:rPr>
                <w:rFonts w:ascii="Times New Roman" w:hAnsi="Times New Roman"/>
                <w:color w:val="000000"/>
                <w:sz w:val="18"/>
                <w:lang w:val="es-ES"/>
              </w:rPr>
            </w:pPr>
          </w:p>
        </w:tc>
        <w:tc>
          <w:tcPr>
            <w:tcW w:w="650" w:type="pct"/>
            <w:tcBorders>
              <w:top w:val="nil"/>
              <w:left w:val="nil"/>
              <w:bottom w:val="nil"/>
              <w:right w:val="nil"/>
            </w:tcBorders>
            <w:shd w:val="clear" w:color="auto" w:fill="auto"/>
            <w:vAlign w:val="bottom"/>
            <w:hideMark/>
          </w:tcPr>
          <w:p w14:paraId="08DAA317" w14:textId="77777777" w:rsidR="00480492" w:rsidRPr="00AE4E8D" w:rsidRDefault="00480492" w:rsidP="00480492">
            <w:pPr>
              <w:rPr>
                <w:rFonts w:ascii="Times New Roman" w:hAnsi="Times New Roman"/>
                <w:color w:val="000000"/>
                <w:sz w:val="18"/>
                <w:lang w:val="es-ES"/>
              </w:rPr>
            </w:pPr>
          </w:p>
        </w:tc>
        <w:tc>
          <w:tcPr>
            <w:tcW w:w="651" w:type="pct"/>
            <w:tcBorders>
              <w:top w:val="nil"/>
              <w:left w:val="nil"/>
              <w:bottom w:val="nil"/>
              <w:right w:val="nil"/>
            </w:tcBorders>
            <w:shd w:val="clear" w:color="auto" w:fill="auto"/>
            <w:vAlign w:val="bottom"/>
            <w:hideMark/>
          </w:tcPr>
          <w:p w14:paraId="46AF6E84" w14:textId="77777777" w:rsidR="00480492" w:rsidRPr="00AE4E8D" w:rsidRDefault="00480492" w:rsidP="00480492">
            <w:pPr>
              <w:rPr>
                <w:rFonts w:ascii="Times New Roman" w:hAnsi="Times New Roman"/>
                <w:color w:val="000000"/>
                <w:sz w:val="18"/>
                <w:lang w:val="es-ES"/>
              </w:rPr>
            </w:pPr>
          </w:p>
        </w:tc>
        <w:tc>
          <w:tcPr>
            <w:tcW w:w="650" w:type="pct"/>
            <w:tcBorders>
              <w:top w:val="nil"/>
              <w:left w:val="nil"/>
              <w:bottom w:val="nil"/>
              <w:right w:val="nil"/>
            </w:tcBorders>
            <w:shd w:val="clear" w:color="auto" w:fill="auto"/>
            <w:vAlign w:val="bottom"/>
            <w:hideMark/>
          </w:tcPr>
          <w:p w14:paraId="532F8A87" w14:textId="77777777" w:rsidR="00480492" w:rsidRPr="00AE4E8D" w:rsidRDefault="00480492" w:rsidP="00480492">
            <w:pPr>
              <w:rPr>
                <w:rFonts w:ascii="Times New Roman" w:hAnsi="Times New Roman"/>
                <w:color w:val="000000"/>
                <w:sz w:val="18"/>
                <w:lang w:val="es-ES"/>
              </w:rPr>
            </w:pPr>
          </w:p>
        </w:tc>
        <w:tc>
          <w:tcPr>
            <w:tcW w:w="630" w:type="pct"/>
            <w:tcBorders>
              <w:top w:val="nil"/>
              <w:left w:val="nil"/>
              <w:bottom w:val="nil"/>
              <w:right w:val="nil"/>
            </w:tcBorders>
            <w:shd w:val="clear" w:color="auto" w:fill="auto"/>
            <w:vAlign w:val="bottom"/>
            <w:hideMark/>
          </w:tcPr>
          <w:p w14:paraId="61E24F4F" w14:textId="77777777" w:rsidR="00480492" w:rsidRPr="00AE4E8D" w:rsidRDefault="00480492" w:rsidP="00480492">
            <w:pPr>
              <w:rPr>
                <w:rFonts w:ascii="Times New Roman" w:hAnsi="Times New Roman"/>
                <w:color w:val="000000"/>
                <w:sz w:val="18"/>
                <w:lang w:val="es-ES"/>
              </w:rPr>
            </w:pPr>
          </w:p>
        </w:tc>
      </w:tr>
      <w:tr w:rsidR="004B69B2" w:rsidRPr="00AE4E8D" w14:paraId="73729986" w14:textId="77777777" w:rsidTr="000400C8">
        <w:trPr>
          <w:trHeight w:val="196"/>
          <w:jc w:val="center"/>
        </w:trPr>
        <w:tc>
          <w:tcPr>
            <w:tcW w:w="2419" w:type="pct"/>
            <w:tcBorders>
              <w:top w:val="nil"/>
              <w:left w:val="nil"/>
              <w:bottom w:val="nil"/>
              <w:right w:val="nil"/>
            </w:tcBorders>
            <w:shd w:val="clear" w:color="auto" w:fill="auto"/>
          </w:tcPr>
          <w:p w14:paraId="7D3F56AC" w14:textId="77777777" w:rsidR="004B69B2" w:rsidRPr="00AE4E8D" w:rsidRDefault="004B69B2" w:rsidP="004B69B2">
            <w:pPr>
              <w:rPr>
                <w:rFonts w:ascii="Times New Roman" w:hAnsi="Times New Roman"/>
                <w:color w:val="000000"/>
                <w:sz w:val="18"/>
                <w:lang w:val="es-ES"/>
              </w:rPr>
            </w:pPr>
            <w:r w:rsidRPr="00AE4E8D">
              <w:rPr>
                <w:rFonts w:ascii="Times New Roman" w:hAnsi="Times New Roman"/>
                <w:color w:val="000000"/>
                <w:sz w:val="18"/>
                <w:lang w:val="es-ES"/>
              </w:rPr>
              <w:t xml:space="preserve">Ejercicio finalizado: </w:t>
            </w:r>
          </w:p>
        </w:tc>
        <w:tc>
          <w:tcPr>
            <w:tcW w:w="650" w:type="pct"/>
            <w:tcBorders>
              <w:top w:val="nil"/>
              <w:left w:val="nil"/>
              <w:bottom w:val="nil"/>
              <w:right w:val="nil"/>
            </w:tcBorders>
            <w:shd w:val="clear" w:color="auto" w:fill="auto"/>
            <w:vAlign w:val="center"/>
          </w:tcPr>
          <w:p w14:paraId="01ED001F" w14:textId="77777777" w:rsidR="004B69B2" w:rsidRPr="00AE4E8D" w:rsidRDefault="004B69B2" w:rsidP="004B69B2">
            <w:pPr>
              <w:jc w:val="right"/>
              <w:rPr>
                <w:rFonts w:ascii="Times New Roman" w:hAnsi="Times New Roman"/>
                <w:color w:val="000000"/>
                <w:sz w:val="18"/>
                <w:lang w:val="es-ES"/>
              </w:rPr>
            </w:pPr>
          </w:p>
        </w:tc>
        <w:tc>
          <w:tcPr>
            <w:tcW w:w="651" w:type="pct"/>
            <w:tcBorders>
              <w:top w:val="nil"/>
              <w:left w:val="nil"/>
              <w:bottom w:val="nil"/>
              <w:right w:val="nil"/>
            </w:tcBorders>
            <w:shd w:val="clear" w:color="auto" w:fill="auto"/>
            <w:vAlign w:val="center"/>
          </w:tcPr>
          <w:p w14:paraId="7C2A4DA5" w14:textId="77777777" w:rsidR="004B69B2" w:rsidRPr="00AE4E8D" w:rsidRDefault="004B69B2" w:rsidP="004B69B2">
            <w:pPr>
              <w:jc w:val="right"/>
              <w:rPr>
                <w:rFonts w:ascii="Times New Roman" w:hAnsi="Times New Roman"/>
                <w:color w:val="000000"/>
                <w:sz w:val="18"/>
                <w:lang w:val="es-ES"/>
              </w:rPr>
            </w:pPr>
          </w:p>
        </w:tc>
        <w:tc>
          <w:tcPr>
            <w:tcW w:w="650" w:type="pct"/>
            <w:tcBorders>
              <w:top w:val="nil"/>
              <w:left w:val="nil"/>
              <w:bottom w:val="nil"/>
              <w:right w:val="nil"/>
            </w:tcBorders>
            <w:shd w:val="clear" w:color="auto" w:fill="auto"/>
            <w:vAlign w:val="center"/>
          </w:tcPr>
          <w:p w14:paraId="7DF1AF79" w14:textId="77777777" w:rsidR="004B69B2" w:rsidRPr="00AE4E8D" w:rsidRDefault="004B69B2" w:rsidP="004B69B2">
            <w:pPr>
              <w:jc w:val="right"/>
              <w:rPr>
                <w:rFonts w:ascii="Times New Roman" w:hAnsi="Times New Roman"/>
                <w:color w:val="000000"/>
                <w:sz w:val="18"/>
                <w:lang w:val="es-ES"/>
              </w:rPr>
            </w:pPr>
          </w:p>
        </w:tc>
        <w:tc>
          <w:tcPr>
            <w:tcW w:w="630" w:type="pct"/>
            <w:tcBorders>
              <w:top w:val="nil"/>
              <w:left w:val="nil"/>
              <w:bottom w:val="nil"/>
              <w:right w:val="nil"/>
            </w:tcBorders>
            <w:shd w:val="clear" w:color="auto" w:fill="auto"/>
            <w:vAlign w:val="center"/>
          </w:tcPr>
          <w:p w14:paraId="3BE5A187" w14:textId="77777777" w:rsidR="004B69B2" w:rsidRPr="00AE4E8D" w:rsidRDefault="004B69B2" w:rsidP="004B69B2">
            <w:pPr>
              <w:jc w:val="right"/>
              <w:rPr>
                <w:rFonts w:ascii="Times New Roman" w:hAnsi="Times New Roman"/>
                <w:color w:val="000000"/>
                <w:sz w:val="18"/>
                <w:lang w:val="es-ES"/>
              </w:rPr>
            </w:pPr>
          </w:p>
        </w:tc>
      </w:tr>
      <w:tr w:rsidR="004B69B2" w:rsidRPr="00AE4E8D" w14:paraId="75397711" w14:textId="77777777" w:rsidTr="000400C8">
        <w:trPr>
          <w:trHeight w:val="300"/>
          <w:jc w:val="center"/>
        </w:trPr>
        <w:tc>
          <w:tcPr>
            <w:tcW w:w="2419" w:type="pct"/>
            <w:tcBorders>
              <w:top w:val="nil"/>
              <w:left w:val="nil"/>
              <w:bottom w:val="nil"/>
              <w:right w:val="nil"/>
            </w:tcBorders>
            <w:shd w:val="clear" w:color="auto" w:fill="auto"/>
            <w:vAlign w:val="bottom"/>
            <w:hideMark/>
          </w:tcPr>
          <w:p w14:paraId="0E788F96"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31 de diciembre de 2012</w:t>
            </w:r>
            <w:r w:rsidRPr="00AE4E8D">
              <w:rPr>
                <w:rFonts w:ascii="Times New Roman" w:hAnsi="Times New Roman"/>
                <w:color w:val="000000"/>
                <w:sz w:val="14"/>
                <w:lang w:val="es-ES"/>
              </w:rPr>
              <w:t xml:space="preserve"> </w:t>
            </w:r>
          </w:p>
        </w:tc>
        <w:tc>
          <w:tcPr>
            <w:tcW w:w="650" w:type="pct"/>
            <w:tcBorders>
              <w:top w:val="nil"/>
              <w:left w:val="nil"/>
              <w:bottom w:val="nil"/>
              <w:right w:val="nil"/>
            </w:tcBorders>
            <w:shd w:val="clear" w:color="auto" w:fill="auto"/>
            <w:vAlign w:val="center"/>
            <w:hideMark/>
          </w:tcPr>
          <w:p w14:paraId="4229222B"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4,9173</w:t>
            </w:r>
          </w:p>
        </w:tc>
        <w:tc>
          <w:tcPr>
            <w:tcW w:w="651" w:type="pct"/>
            <w:tcBorders>
              <w:top w:val="nil"/>
              <w:left w:val="nil"/>
              <w:bottom w:val="nil"/>
              <w:right w:val="nil"/>
            </w:tcBorders>
            <w:shd w:val="clear" w:color="auto" w:fill="auto"/>
            <w:vAlign w:val="center"/>
            <w:hideMark/>
          </w:tcPr>
          <w:p w14:paraId="3F1099B2"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4,3048</w:t>
            </w:r>
          </w:p>
        </w:tc>
        <w:tc>
          <w:tcPr>
            <w:tcW w:w="650" w:type="pct"/>
            <w:tcBorders>
              <w:top w:val="nil"/>
              <w:left w:val="nil"/>
              <w:bottom w:val="nil"/>
              <w:right w:val="nil"/>
            </w:tcBorders>
            <w:shd w:val="clear" w:color="auto" w:fill="auto"/>
            <w:vAlign w:val="center"/>
            <w:hideMark/>
          </w:tcPr>
          <w:p w14:paraId="7AE525D7"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4,5515</w:t>
            </w:r>
          </w:p>
        </w:tc>
        <w:tc>
          <w:tcPr>
            <w:tcW w:w="630" w:type="pct"/>
            <w:tcBorders>
              <w:top w:val="nil"/>
              <w:left w:val="nil"/>
              <w:bottom w:val="nil"/>
              <w:right w:val="nil"/>
            </w:tcBorders>
            <w:shd w:val="clear" w:color="auto" w:fill="auto"/>
            <w:vAlign w:val="center"/>
            <w:hideMark/>
          </w:tcPr>
          <w:p w14:paraId="43E9A3B0"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4,9173</w:t>
            </w:r>
          </w:p>
        </w:tc>
      </w:tr>
      <w:tr w:rsidR="004B69B2" w:rsidRPr="00AE4E8D" w14:paraId="42114B2C" w14:textId="77777777" w:rsidTr="000400C8">
        <w:trPr>
          <w:trHeight w:val="300"/>
          <w:jc w:val="center"/>
        </w:trPr>
        <w:tc>
          <w:tcPr>
            <w:tcW w:w="2419" w:type="pct"/>
            <w:tcBorders>
              <w:top w:val="nil"/>
              <w:left w:val="nil"/>
              <w:bottom w:val="nil"/>
              <w:right w:val="nil"/>
            </w:tcBorders>
            <w:shd w:val="clear" w:color="auto" w:fill="auto"/>
            <w:vAlign w:val="bottom"/>
            <w:hideMark/>
          </w:tcPr>
          <w:p w14:paraId="3899C91A"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31 de diciembre de 2013</w:t>
            </w:r>
            <w:r w:rsidRPr="00AE4E8D">
              <w:rPr>
                <w:rFonts w:ascii="Times New Roman" w:hAnsi="Times New Roman"/>
                <w:color w:val="000000"/>
                <w:sz w:val="14"/>
                <w:lang w:val="es-ES"/>
              </w:rPr>
              <w:t xml:space="preserve"> </w:t>
            </w:r>
          </w:p>
        </w:tc>
        <w:tc>
          <w:tcPr>
            <w:tcW w:w="650" w:type="pct"/>
            <w:tcBorders>
              <w:top w:val="nil"/>
              <w:left w:val="nil"/>
              <w:bottom w:val="nil"/>
              <w:right w:val="nil"/>
            </w:tcBorders>
            <w:shd w:val="clear" w:color="auto" w:fill="auto"/>
            <w:vAlign w:val="center"/>
            <w:hideMark/>
          </w:tcPr>
          <w:p w14:paraId="7EC4C315"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6,5180</w:t>
            </w:r>
          </w:p>
        </w:tc>
        <w:tc>
          <w:tcPr>
            <w:tcW w:w="651" w:type="pct"/>
            <w:tcBorders>
              <w:top w:val="nil"/>
              <w:left w:val="nil"/>
              <w:bottom w:val="nil"/>
              <w:right w:val="nil"/>
            </w:tcBorders>
            <w:shd w:val="clear" w:color="auto" w:fill="auto"/>
            <w:vAlign w:val="center"/>
            <w:hideMark/>
          </w:tcPr>
          <w:p w14:paraId="5D7CF842"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4,9228</w:t>
            </w:r>
          </w:p>
        </w:tc>
        <w:tc>
          <w:tcPr>
            <w:tcW w:w="650" w:type="pct"/>
            <w:tcBorders>
              <w:top w:val="nil"/>
              <w:left w:val="nil"/>
              <w:bottom w:val="nil"/>
              <w:right w:val="nil"/>
            </w:tcBorders>
            <w:shd w:val="clear" w:color="auto" w:fill="auto"/>
            <w:vAlign w:val="center"/>
            <w:hideMark/>
          </w:tcPr>
          <w:p w14:paraId="1E4CF118"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5,4789</w:t>
            </w:r>
          </w:p>
        </w:tc>
        <w:tc>
          <w:tcPr>
            <w:tcW w:w="630" w:type="pct"/>
            <w:tcBorders>
              <w:top w:val="nil"/>
              <w:left w:val="nil"/>
              <w:bottom w:val="nil"/>
              <w:right w:val="nil"/>
            </w:tcBorders>
            <w:shd w:val="clear" w:color="auto" w:fill="auto"/>
            <w:vAlign w:val="center"/>
            <w:hideMark/>
          </w:tcPr>
          <w:p w14:paraId="08C9D587"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6,5180</w:t>
            </w:r>
          </w:p>
        </w:tc>
      </w:tr>
      <w:tr w:rsidR="004B69B2" w:rsidRPr="00AE4E8D" w14:paraId="7612270E" w14:textId="77777777" w:rsidTr="000400C8">
        <w:trPr>
          <w:trHeight w:val="300"/>
          <w:jc w:val="center"/>
        </w:trPr>
        <w:tc>
          <w:tcPr>
            <w:tcW w:w="2419" w:type="pct"/>
            <w:tcBorders>
              <w:top w:val="nil"/>
              <w:left w:val="nil"/>
              <w:bottom w:val="nil"/>
              <w:right w:val="nil"/>
            </w:tcBorders>
            <w:shd w:val="clear" w:color="auto" w:fill="auto"/>
            <w:vAlign w:val="bottom"/>
            <w:hideMark/>
          </w:tcPr>
          <w:p w14:paraId="2C7DBA7E"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31 de diciembre de 2014</w:t>
            </w:r>
            <w:r w:rsidRPr="00AE4E8D">
              <w:rPr>
                <w:rFonts w:ascii="Times New Roman" w:hAnsi="Times New Roman"/>
                <w:color w:val="000000"/>
                <w:sz w:val="14"/>
                <w:lang w:val="es-ES"/>
              </w:rPr>
              <w:t xml:space="preserve"> </w:t>
            </w:r>
          </w:p>
        </w:tc>
        <w:tc>
          <w:tcPr>
            <w:tcW w:w="650" w:type="pct"/>
            <w:tcBorders>
              <w:top w:val="nil"/>
              <w:left w:val="nil"/>
              <w:bottom w:val="nil"/>
              <w:right w:val="nil"/>
            </w:tcBorders>
            <w:shd w:val="clear" w:color="auto" w:fill="auto"/>
            <w:vAlign w:val="center"/>
            <w:hideMark/>
          </w:tcPr>
          <w:p w14:paraId="6E682FA3"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8,5555</w:t>
            </w:r>
          </w:p>
        </w:tc>
        <w:tc>
          <w:tcPr>
            <w:tcW w:w="651" w:type="pct"/>
            <w:tcBorders>
              <w:top w:val="nil"/>
              <w:left w:val="nil"/>
              <w:bottom w:val="nil"/>
              <w:right w:val="nil"/>
            </w:tcBorders>
            <w:shd w:val="clear" w:color="auto" w:fill="auto"/>
            <w:vAlign w:val="center"/>
            <w:hideMark/>
          </w:tcPr>
          <w:p w14:paraId="2DF88570"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6,5430</w:t>
            </w:r>
          </w:p>
        </w:tc>
        <w:tc>
          <w:tcPr>
            <w:tcW w:w="650" w:type="pct"/>
            <w:tcBorders>
              <w:top w:val="nil"/>
              <w:left w:val="nil"/>
              <w:bottom w:val="nil"/>
              <w:right w:val="nil"/>
            </w:tcBorders>
            <w:shd w:val="clear" w:color="auto" w:fill="auto"/>
            <w:vAlign w:val="center"/>
            <w:hideMark/>
          </w:tcPr>
          <w:p w14:paraId="3223F207"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8,1188</w:t>
            </w:r>
          </w:p>
        </w:tc>
        <w:tc>
          <w:tcPr>
            <w:tcW w:w="630" w:type="pct"/>
            <w:tcBorders>
              <w:top w:val="nil"/>
              <w:left w:val="nil"/>
              <w:bottom w:val="nil"/>
              <w:right w:val="nil"/>
            </w:tcBorders>
            <w:shd w:val="clear" w:color="auto" w:fill="auto"/>
            <w:vAlign w:val="center"/>
            <w:hideMark/>
          </w:tcPr>
          <w:p w14:paraId="2808D64E"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8,5520</w:t>
            </w:r>
          </w:p>
        </w:tc>
      </w:tr>
      <w:tr w:rsidR="004B69B2" w:rsidRPr="00AE4E8D" w14:paraId="67CDE05E" w14:textId="77777777" w:rsidTr="000400C8">
        <w:trPr>
          <w:trHeight w:val="300"/>
          <w:jc w:val="center"/>
        </w:trPr>
        <w:tc>
          <w:tcPr>
            <w:tcW w:w="2419" w:type="pct"/>
            <w:tcBorders>
              <w:top w:val="nil"/>
              <w:left w:val="nil"/>
              <w:bottom w:val="nil"/>
              <w:right w:val="nil"/>
            </w:tcBorders>
            <w:shd w:val="clear" w:color="auto" w:fill="auto"/>
            <w:vAlign w:val="bottom"/>
            <w:hideMark/>
          </w:tcPr>
          <w:p w14:paraId="3171312F"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31 de diciembre de 2015</w:t>
            </w:r>
          </w:p>
        </w:tc>
        <w:tc>
          <w:tcPr>
            <w:tcW w:w="650" w:type="pct"/>
            <w:tcBorders>
              <w:top w:val="nil"/>
              <w:left w:val="nil"/>
              <w:bottom w:val="nil"/>
              <w:right w:val="nil"/>
            </w:tcBorders>
            <w:shd w:val="clear" w:color="auto" w:fill="auto"/>
            <w:vAlign w:val="center"/>
            <w:hideMark/>
          </w:tcPr>
          <w:p w14:paraId="5E789D88"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13,7633</w:t>
            </w:r>
          </w:p>
        </w:tc>
        <w:tc>
          <w:tcPr>
            <w:tcW w:w="651" w:type="pct"/>
            <w:tcBorders>
              <w:top w:val="nil"/>
              <w:left w:val="nil"/>
              <w:bottom w:val="nil"/>
              <w:right w:val="nil"/>
            </w:tcBorders>
            <w:shd w:val="clear" w:color="auto" w:fill="auto"/>
            <w:vAlign w:val="center"/>
            <w:hideMark/>
          </w:tcPr>
          <w:p w14:paraId="544052DB"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8,5537</w:t>
            </w:r>
          </w:p>
        </w:tc>
        <w:tc>
          <w:tcPr>
            <w:tcW w:w="650" w:type="pct"/>
            <w:tcBorders>
              <w:top w:val="nil"/>
              <w:left w:val="nil"/>
              <w:bottom w:val="nil"/>
              <w:right w:val="nil"/>
            </w:tcBorders>
            <w:shd w:val="clear" w:color="auto" w:fill="auto"/>
            <w:vAlign w:val="center"/>
            <w:hideMark/>
          </w:tcPr>
          <w:p w14:paraId="42B77D57"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9,2689</w:t>
            </w:r>
          </w:p>
        </w:tc>
        <w:tc>
          <w:tcPr>
            <w:tcW w:w="630" w:type="pct"/>
            <w:tcBorders>
              <w:top w:val="nil"/>
              <w:left w:val="nil"/>
              <w:bottom w:val="nil"/>
              <w:right w:val="nil"/>
            </w:tcBorders>
            <w:shd w:val="clear" w:color="auto" w:fill="auto"/>
            <w:vAlign w:val="center"/>
            <w:hideMark/>
          </w:tcPr>
          <w:p w14:paraId="14504E05"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lang w:val="es-ES"/>
              </w:rPr>
              <w:t>13,0050</w:t>
            </w:r>
          </w:p>
        </w:tc>
      </w:tr>
      <w:tr w:rsidR="004B69B2" w:rsidRPr="00AE4E8D" w14:paraId="6F66D04A" w14:textId="77777777" w:rsidTr="000400C8">
        <w:trPr>
          <w:trHeight w:val="300"/>
          <w:jc w:val="center"/>
        </w:trPr>
        <w:tc>
          <w:tcPr>
            <w:tcW w:w="2419" w:type="pct"/>
            <w:tcBorders>
              <w:top w:val="nil"/>
              <w:left w:val="nil"/>
              <w:bottom w:val="nil"/>
              <w:right w:val="nil"/>
            </w:tcBorders>
            <w:shd w:val="clear" w:color="auto" w:fill="auto"/>
            <w:vAlign w:val="bottom"/>
            <w:hideMark/>
          </w:tcPr>
          <w:p w14:paraId="60256C15"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31 de diciembre de 2016</w:t>
            </w:r>
          </w:p>
        </w:tc>
        <w:tc>
          <w:tcPr>
            <w:tcW w:w="650" w:type="pct"/>
            <w:tcBorders>
              <w:top w:val="nil"/>
              <w:left w:val="nil"/>
              <w:bottom w:val="nil"/>
              <w:right w:val="nil"/>
            </w:tcBorders>
            <w:shd w:val="clear" w:color="auto" w:fill="auto"/>
            <w:vAlign w:val="center"/>
            <w:hideMark/>
          </w:tcPr>
          <w:p w14:paraId="16B05E16"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16,0392 </w:t>
            </w:r>
          </w:p>
        </w:tc>
        <w:tc>
          <w:tcPr>
            <w:tcW w:w="651" w:type="pct"/>
            <w:tcBorders>
              <w:top w:val="nil"/>
              <w:left w:val="nil"/>
              <w:bottom w:val="nil"/>
              <w:right w:val="nil"/>
            </w:tcBorders>
            <w:shd w:val="clear" w:color="auto" w:fill="auto"/>
            <w:vAlign w:val="center"/>
            <w:hideMark/>
          </w:tcPr>
          <w:p w14:paraId="07164085"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13,0692 </w:t>
            </w:r>
          </w:p>
        </w:tc>
        <w:tc>
          <w:tcPr>
            <w:tcW w:w="650" w:type="pct"/>
            <w:tcBorders>
              <w:top w:val="nil"/>
              <w:left w:val="nil"/>
              <w:bottom w:val="nil"/>
              <w:right w:val="nil"/>
            </w:tcBorders>
            <w:shd w:val="clear" w:color="auto" w:fill="auto"/>
            <w:vAlign w:val="center"/>
            <w:hideMark/>
          </w:tcPr>
          <w:p w14:paraId="7BB5EF93"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14,7794 </w:t>
            </w:r>
          </w:p>
        </w:tc>
        <w:tc>
          <w:tcPr>
            <w:tcW w:w="630" w:type="pct"/>
            <w:tcBorders>
              <w:top w:val="nil"/>
              <w:left w:val="nil"/>
              <w:bottom w:val="nil"/>
              <w:right w:val="nil"/>
            </w:tcBorders>
            <w:shd w:val="clear" w:color="auto" w:fill="auto"/>
            <w:vAlign w:val="center"/>
            <w:hideMark/>
          </w:tcPr>
          <w:p w14:paraId="0DB4E2A0" w14:textId="77777777" w:rsidR="004B69B2" w:rsidRPr="00AE4E8D" w:rsidRDefault="004B69B2" w:rsidP="004B69B2">
            <w:pPr>
              <w:jc w:val="right"/>
              <w:rPr>
                <w:rFonts w:ascii="Times New Roman" w:hAnsi="Times New Roman"/>
                <w:color w:val="000000"/>
                <w:sz w:val="18"/>
                <w:lang w:val="es-ES"/>
              </w:rPr>
            </w:pPr>
            <w:r w:rsidRPr="00AE4E8D">
              <w:rPr>
                <w:rFonts w:ascii="Times New Roman" w:hAnsi="Times New Roman"/>
                <w:color w:val="000000"/>
                <w:sz w:val="18"/>
                <w:szCs w:val="18"/>
                <w:lang w:val="es-ES"/>
              </w:rPr>
              <w:t xml:space="preserve">15,8502 </w:t>
            </w:r>
          </w:p>
        </w:tc>
      </w:tr>
      <w:tr w:rsidR="004B69B2" w:rsidRPr="00AE4E8D" w14:paraId="4CB466F0" w14:textId="77777777" w:rsidTr="00CD6E97">
        <w:trPr>
          <w:trHeight w:val="300"/>
          <w:jc w:val="center"/>
        </w:trPr>
        <w:tc>
          <w:tcPr>
            <w:tcW w:w="2419" w:type="pct"/>
            <w:tcBorders>
              <w:top w:val="nil"/>
              <w:left w:val="nil"/>
              <w:bottom w:val="nil"/>
              <w:right w:val="nil"/>
            </w:tcBorders>
            <w:shd w:val="clear" w:color="auto" w:fill="auto"/>
            <w:vAlign w:val="bottom"/>
          </w:tcPr>
          <w:p w14:paraId="5651A19D" w14:textId="77777777" w:rsidR="004B69B2" w:rsidRPr="00AE4E8D" w:rsidDel="004B69B2" w:rsidRDefault="004B69B2" w:rsidP="004B69B2">
            <w:pPr>
              <w:rPr>
                <w:rFonts w:ascii="Times New Roman" w:hAnsi="Times New Roman"/>
                <w:color w:val="000000"/>
                <w:sz w:val="18"/>
                <w:lang w:val="es-ES"/>
              </w:rPr>
            </w:pPr>
            <w:r w:rsidRPr="00AE4E8D">
              <w:rPr>
                <w:rFonts w:ascii="Times New Roman" w:hAnsi="Times New Roman"/>
                <w:color w:val="000000"/>
                <w:sz w:val="18"/>
                <w:lang w:val="es-ES"/>
              </w:rPr>
              <w:t>Mes finalizado</w:t>
            </w:r>
          </w:p>
        </w:tc>
        <w:tc>
          <w:tcPr>
            <w:tcW w:w="650" w:type="pct"/>
            <w:tcBorders>
              <w:top w:val="nil"/>
              <w:left w:val="nil"/>
              <w:bottom w:val="nil"/>
              <w:right w:val="nil"/>
            </w:tcBorders>
            <w:shd w:val="clear" w:color="auto" w:fill="auto"/>
            <w:vAlign w:val="center"/>
          </w:tcPr>
          <w:p w14:paraId="14B1F242" w14:textId="77777777" w:rsidR="004B69B2" w:rsidRPr="00AE4E8D" w:rsidRDefault="004B69B2" w:rsidP="004B69B2">
            <w:pPr>
              <w:jc w:val="right"/>
              <w:rPr>
                <w:rFonts w:ascii="Times New Roman" w:hAnsi="Times New Roman"/>
                <w:color w:val="000000"/>
                <w:sz w:val="18"/>
                <w:szCs w:val="18"/>
                <w:lang w:val="es-ES"/>
              </w:rPr>
            </w:pPr>
          </w:p>
        </w:tc>
        <w:tc>
          <w:tcPr>
            <w:tcW w:w="651" w:type="pct"/>
            <w:tcBorders>
              <w:top w:val="nil"/>
              <w:left w:val="nil"/>
              <w:bottom w:val="nil"/>
              <w:right w:val="nil"/>
            </w:tcBorders>
            <w:shd w:val="clear" w:color="auto" w:fill="auto"/>
            <w:vAlign w:val="center"/>
          </w:tcPr>
          <w:p w14:paraId="09A788E0" w14:textId="77777777" w:rsidR="004B69B2" w:rsidRPr="00AE4E8D" w:rsidRDefault="004B69B2" w:rsidP="004B69B2">
            <w:pPr>
              <w:jc w:val="right"/>
              <w:rPr>
                <w:rFonts w:ascii="Times New Roman" w:hAnsi="Times New Roman"/>
                <w:color w:val="000000"/>
                <w:sz w:val="18"/>
                <w:szCs w:val="18"/>
                <w:lang w:val="es-ES"/>
              </w:rPr>
            </w:pPr>
          </w:p>
        </w:tc>
        <w:tc>
          <w:tcPr>
            <w:tcW w:w="650" w:type="pct"/>
            <w:tcBorders>
              <w:top w:val="nil"/>
              <w:left w:val="nil"/>
              <w:bottom w:val="nil"/>
              <w:right w:val="nil"/>
            </w:tcBorders>
            <w:shd w:val="clear" w:color="auto" w:fill="auto"/>
            <w:vAlign w:val="center"/>
          </w:tcPr>
          <w:p w14:paraId="7B3AA402" w14:textId="77777777" w:rsidR="004B69B2" w:rsidRPr="00AE4E8D" w:rsidRDefault="004B69B2" w:rsidP="004B69B2">
            <w:pPr>
              <w:jc w:val="right"/>
              <w:rPr>
                <w:rFonts w:ascii="Times New Roman" w:hAnsi="Times New Roman"/>
                <w:color w:val="000000"/>
                <w:sz w:val="18"/>
                <w:szCs w:val="18"/>
                <w:lang w:val="es-ES"/>
              </w:rPr>
            </w:pPr>
          </w:p>
        </w:tc>
        <w:tc>
          <w:tcPr>
            <w:tcW w:w="630" w:type="pct"/>
            <w:tcBorders>
              <w:top w:val="nil"/>
              <w:left w:val="nil"/>
              <w:bottom w:val="nil"/>
              <w:right w:val="nil"/>
            </w:tcBorders>
            <w:shd w:val="clear" w:color="auto" w:fill="auto"/>
            <w:vAlign w:val="center"/>
          </w:tcPr>
          <w:p w14:paraId="13B2C821" w14:textId="77777777" w:rsidR="004B69B2" w:rsidRPr="00AE4E8D" w:rsidRDefault="004B69B2" w:rsidP="004B69B2">
            <w:pPr>
              <w:jc w:val="right"/>
              <w:rPr>
                <w:rFonts w:ascii="Times New Roman" w:hAnsi="Times New Roman"/>
                <w:color w:val="000000"/>
                <w:sz w:val="18"/>
                <w:szCs w:val="18"/>
                <w:lang w:val="es-ES"/>
              </w:rPr>
            </w:pPr>
          </w:p>
        </w:tc>
      </w:tr>
      <w:tr w:rsidR="004B69B2" w:rsidRPr="00AE4E8D" w14:paraId="32C188E2" w14:textId="77777777" w:rsidTr="000400C8">
        <w:trPr>
          <w:trHeight w:val="300"/>
          <w:jc w:val="center"/>
        </w:trPr>
        <w:tc>
          <w:tcPr>
            <w:tcW w:w="2419" w:type="pct"/>
            <w:tcBorders>
              <w:top w:val="nil"/>
              <w:left w:val="nil"/>
              <w:bottom w:val="nil"/>
              <w:right w:val="nil"/>
            </w:tcBorders>
            <w:shd w:val="clear" w:color="auto" w:fill="auto"/>
            <w:vAlign w:val="bottom"/>
          </w:tcPr>
          <w:p w14:paraId="3FDDF3EF"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Enero de 2017</w:t>
            </w:r>
          </w:p>
        </w:tc>
        <w:tc>
          <w:tcPr>
            <w:tcW w:w="650" w:type="pct"/>
            <w:tcBorders>
              <w:top w:val="nil"/>
              <w:left w:val="nil"/>
              <w:bottom w:val="nil"/>
              <w:right w:val="nil"/>
            </w:tcBorders>
            <w:shd w:val="clear" w:color="auto" w:fill="auto"/>
            <w:vAlign w:val="center"/>
          </w:tcPr>
          <w:p w14:paraId="40E3DD22"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16,0533</w:t>
            </w:r>
          </w:p>
        </w:tc>
        <w:tc>
          <w:tcPr>
            <w:tcW w:w="651" w:type="pct"/>
            <w:tcBorders>
              <w:top w:val="nil"/>
              <w:left w:val="nil"/>
              <w:bottom w:val="nil"/>
              <w:right w:val="nil"/>
            </w:tcBorders>
            <w:shd w:val="clear" w:color="auto" w:fill="auto"/>
            <w:vAlign w:val="center"/>
          </w:tcPr>
          <w:p w14:paraId="00A73BDE"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15,8083</w:t>
            </w:r>
          </w:p>
        </w:tc>
        <w:tc>
          <w:tcPr>
            <w:tcW w:w="650" w:type="pct"/>
            <w:tcBorders>
              <w:top w:val="nil"/>
              <w:left w:val="nil"/>
              <w:bottom w:val="nil"/>
              <w:right w:val="nil"/>
            </w:tcBorders>
            <w:shd w:val="clear" w:color="auto" w:fill="auto"/>
            <w:vAlign w:val="center"/>
          </w:tcPr>
          <w:p w14:paraId="2AB0774F"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15,9065</w:t>
            </w:r>
          </w:p>
        </w:tc>
        <w:tc>
          <w:tcPr>
            <w:tcW w:w="630" w:type="pct"/>
            <w:tcBorders>
              <w:top w:val="nil"/>
              <w:left w:val="nil"/>
              <w:bottom w:val="nil"/>
              <w:right w:val="nil"/>
            </w:tcBorders>
            <w:shd w:val="clear" w:color="auto" w:fill="auto"/>
            <w:vAlign w:val="center"/>
          </w:tcPr>
          <w:p w14:paraId="4EDDEC5D"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15,9117</w:t>
            </w:r>
          </w:p>
        </w:tc>
      </w:tr>
      <w:tr w:rsidR="004B69B2" w:rsidRPr="00AE4E8D" w14:paraId="57A4DD0B" w14:textId="77777777" w:rsidTr="000400C8">
        <w:trPr>
          <w:trHeight w:val="300"/>
          <w:jc w:val="center"/>
        </w:trPr>
        <w:tc>
          <w:tcPr>
            <w:tcW w:w="2419" w:type="pct"/>
            <w:tcBorders>
              <w:top w:val="nil"/>
              <w:left w:val="nil"/>
              <w:bottom w:val="nil"/>
              <w:right w:val="nil"/>
            </w:tcBorders>
            <w:shd w:val="clear" w:color="auto" w:fill="auto"/>
            <w:vAlign w:val="bottom"/>
          </w:tcPr>
          <w:p w14:paraId="45AD2735"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Febrero de 2017</w:t>
            </w:r>
          </w:p>
        </w:tc>
        <w:tc>
          <w:tcPr>
            <w:tcW w:w="650" w:type="pct"/>
            <w:tcBorders>
              <w:top w:val="nil"/>
              <w:left w:val="nil"/>
              <w:bottom w:val="nil"/>
              <w:right w:val="nil"/>
            </w:tcBorders>
            <w:shd w:val="clear" w:color="auto" w:fill="auto"/>
            <w:vAlign w:val="center"/>
          </w:tcPr>
          <w:p w14:paraId="1EC605AE"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15,8350</w:t>
            </w:r>
          </w:p>
        </w:tc>
        <w:tc>
          <w:tcPr>
            <w:tcW w:w="651" w:type="pct"/>
            <w:tcBorders>
              <w:top w:val="nil"/>
              <w:left w:val="nil"/>
              <w:bottom w:val="nil"/>
              <w:right w:val="nil"/>
            </w:tcBorders>
            <w:shd w:val="clear" w:color="auto" w:fill="auto"/>
            <w:vAlign w:val="center"/>
          </w:tcPr>
          <w:p w14:paraId="2DD4AD7E"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15,3675</w:t>
            </w:r>
          </w:p>
        </w:tc>
        <w:tc>
          <w:tcPr>
            <w:tcW w:w="650" w:type="pct"/>
            <w:tcBorders>
              <w:top w:val="nil"/>
              <w:left w:val="nil"/>
              <w:bottom w:val="nil"/>
              <w:right w:val="nil"/>
            </w:tcBorders>
            <w:shd w:val="clear" w:color="auto" w:fill="auto"/>
            <w:vAlign w:val="center"/>
          </w:tcPr>
          <w:p w14:paraId="531086FA"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15,5983</w:t>
            </w:r>
          </w:p>
        </w:tc>
        <w:tc>
          <w:tcPr>
            <w:tcW w:w="630" w:type="pct"/>
            <w:tcBorders>
              <w:top w:val="nil"/>
              <w:left w:val="nil"/>
              <w:bottom w:val="nil"/>
              <w:right w:val="nil"/>
            </w:tcBorders>
            <w:shd w:val="clear" w:color="auto" w:fill="auto"/>
            <w:vAlign w:val="center"/>
          </w:tcPr>
          <w:p w14:paraId="3C16F43F"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15,4550</w:t>
            </w:r>
          </w:p>
        </w:tc>
      </w:tr>
      <w:tr w:rsidR="004B69B2" w:rsidRPr="00AE4E8D" w14:paraId="061E202D" w14:textId="77777777" w:rsidTr="000400C8">
        <w:trPr>
          <w:trHeight w:val="300"/>
          <w:jc w:val="center"/>
        </w:trPr>
        <w:tc>
          <w:tcPr>
            <w:tcW w:w="2419" w:type="pct"/>
            <w:tcBorders>
              <w:top w:val="nil"/>
              <w:left w:val="nil"/>
              <w:bottom w:val="nil"/>
              <w:right w:val="nil"/>
            </w:tcBorders>
            <w:shd w:val="clear" w:color="auto" w:fill="auto"/>
            <w:vAlign w:val="center"/>
          </w:tcPr>
          <w:p w14:paraId="6AC0C5C3"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 xml:space="preserve">Marzo de 2017 </w:t>
            </w:r>
          </w:p>
        </w:tc>
        <w:tc>
          <w:tcPr>
            <w:tcW w:w="650" w:type="pct"/>
            <w:tcBorders>
              <w:top w:val="nil"/>
              <w:left w:val="nil"/>
              <w:bottom w:val="nil"/>
              <w:right w:val="nil"/>
            </w:tcBorders>
            <w:shd w:val="clear" w:color="auto" w:fill="auto"/>
            <w:vAlign w:val="center"/>
          </w:tcPr>
          <w:p w14:paraId="006FB0B8" w14:textId="77777777" w:rsidR="004B69B2" w:rsidRPr="00AE4E8D" w:rsidRDefault="004B69B2" w:rsidP="004B69B2">
            <w:pPr>
              <w:jc w:val="right"/>
              <w:rPr>
                <w:rFonts w:ascii="Times New Roman" w:hAnsi="Times New Roman"/>
                <w:lang w:val="es-ES"/>
              </w:rPr>
            </w:pPr>
            <w:r w:rsidRPr="00AE4E8D">
              <w:rPr>
                <w:rFonts w:ascii="Times New Roman" w:hAnsi="Times New Roman"/>
                <w:color w:val="000000"/>
                <w:sz w:val="18"/>
                <w:szCs w:val="18"/>
                <w:lang w:val="es-ES"/>
              </w:rPr>
              <w:t>15,6687</w:t>
            </w:r>
          </w:p>
        </w:tc>
        <w:tc>
          <w:tcPr>
            <w:tcW w:w="651" w:type="pct"/>
            <w:tcBorders>
              <w:top w:val="nil"/>
              <w:left w:val="nil"/>
              <w:bottom w:val="nil"/>
              <w:right w:val="nil"/>
            </w:tcBorders>
            <w:shd w:val="clear" w:color="auto" w:fill="auto"/>
            <w:vAlign w:val="center"/>
          </w:tcPr>
          <w:p w14:paraId="57DB4561" w14:textId="77777777" w:rsidR="004B69B2" w:rsidRPr="00AE4E8D" w:rsidRDefault="004B69B2" w:rsidP="004B69B2">
            <w:pPr>
              <w:jc w:val="right"/>
              <w:rPr>
                <w:rFonts w:ascii="Times New Roman" w:hAnsi="Times New Roman"/>
                <w:lang w:val="es-ES"/>
              </w:rPr>
            </w:pPr>
            <w:r w:rsidRPr="00AE4E8D">
              <w:rPr>
                <w:rFonts w:ascii="Times New Roman" w:hAnsi="Times New Roman"/>
                <w:color w:val="000000"/>
                <w:sz w:val="18"/>
                <w:szCs w:val="18"/>
                <w:lang w:val="es-ES"/>
              </w:rPr>
              <w:t>15,3875</w:t>
            </w:r>
          </w:p>
        </w:tc>
        <w:tc>
          <w:tcPr>
            <w:tcW w:w="650" w:type="pct"/>
            <w:tcBorders>
              <w:top w:val="nil"/>
              <w:left w:val="nil"/>
              <w:bottom w:val="nil"/>
              <w:right w:val="nil"/>
            </w:tcBorders>
            <w:shd w:val="clear" w:color="auto" w:fill="auto"/>
            <w:vAlign w:val="center"/>
          </w:tcPr>
          <w:p w14:paraId="12017F78" w14:textId="77777777" w:rsidR="004B69B2" w:rsidRPr="00AE4E8D" w:rsidRDefault="004B69B2" w:rsidP="004B69B2">
            <w:pPr>
              <w:jc w:val="right"/>
              <w:rPr>
                <w:rFonts w:ascii="Times New Roman" w:hAnsi="Times New Roman"/>
                <w:lang w:val="es-ES"/>
              </w:rPr>
            </w:pPr>
            <w:r w:rsidRPr="00AE4E8D">
              <w:rPr>
                <w:rFonts w:ascii="Times New Roman" w:hAnsi="Times New Roman"/>
                <w:color w:val="000000"/>
                <w:sz w:val="18"/>
                <w:szCs w:val="18"/>
                <w:lang w:val="es-ES"/>
              </w:rPr>
              <w:t>15,5304</w:t>
            </w:r>
          </w:p>
        </w:tc>
        <w:tc>
          <w:tcPr>
            <w:tcW w:w="630" w:type="pct"/>
            <w:tcBorders>
              <w:top w:val="nil"/>
              <w:left w:val="nil"/>
              <w:bottom w:val="nil"/>
              <w:right w:val="nil"/>
            </w:tcBorders>
            <w:shd w:val="clear" w:color="auto" w:fill="auto"/>
            <w:vAlign w:val="center"/>
          </w:tcPr>
          <w:p w14:paraId="5E83ECBE" w14:textId="77777777" w:rsidR="004B69B2" w:rsidRPr="00AE4E8D" w:rsidRDefault="004B69B2" w:rsidP="004B69B2">
            <w:pPr>
              <w:jc w:val="right"/>
              <w:rPr>
                <w:rFonts w:ascii="Times New Roman" w:hAnsi="Times New Roman"/>
                <w:lang w:val="es-ES"/>
              </w:rPr>
            </w:pPr>
            <w:r w:rsidRPr="00AE4E8D">
              <w:rPr>
                <w:rFonts w:ascii="Times New Roman" w:hAnsi="Times New Roman"/>
                <w:color w:val="000000"/>
                <w:sz w:val="18"/>
                <w:szCs w:val="18"/>
                <w:lang w:val="es-ES"/>
              </w:rPr>
              <w:t>15,4770</w:t>
            </w:r>
          </w:p>
        </w:tc>
      </w:tr>
      <w:tr w:rsidR="004B69B2" w:rsidRPr="00AE4E8D" w14:paraId="15606F83" w14:textId="77777777" w:rsidTr="000400C8">
        <w:trPr>
          <w:trHeight w:val="300"/>
          <w:jc w:val="center"/>
        </w:trPr>
        <w:tc>
          <w:tcPr>
            <w:tcW w:w="2419" w:type="pct"/>
            <w:tcBorders>
              <w:top w:val="nil"/>
              <w:left w:val="nil"/>
              <w:bottom w:val="nil"/>
              <w:right w:val="nil"/>
            </w:tcBorders>
            <w:shd w:val="clear" w:color="auto" w:fill="auto"/>
            <w:vAlign w:val="center"/>
          </w:tcPr>
          <w:p w14:paraId="4CC50815"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lastRenderedPageBreak/>
              <w:t>Abril de 2017</w:t>
            </w:r>
          </w:p>
        </w:tc>
        <w:tc>
          <w:tcPr>
            <w:tcW w:w="650" w:type="pct"/>
            <w:tcBorders>
              <w:top w:val="nil"/>
              <w:left w:val="nil"/>
              <w:bottom w:val="nil"/>
              <w:right w:val="nil"/>
            </w:tcBorders>
            <w:shd w:val="clear" w:color="auto" w:fill="auto"/>
            <w:vAlign w:val="center"/>
          </w:tcPr>
          <w:p w14:paraId="3DD3EE23"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15,4532</w:t>
            </w:r>
            <w:r w:rsidRPr="00AE4E8D">
              <w:rPr>
                <w:rFonts w:ascii="Times New Roman" w:hAnsi="Times New Roman"/>
                <w:color w:val="000000"/>
                <w:sz w:val="18"/>
                <w:lang w:val="es-ES"/>
              </w:rPr>
              <w:t xml:space="preserve"> </w:t>
            </w:r>
          </w:p>
        </w:tc>
        <w:tc>
          <w:tcPr>
            <w:tcW w:w="651" w:type="pct"/>
            <w:tcBorders>
              <w:top w:val="nil"/>
              <w:left w:val="nil"/>
              <w:bottom w:val="nil"/>
              <w:right w:val="nil"/>
            </w:tcBorders>
            <w:shd w:val="clear" w:color="auto" w:fill="auto"/>
            <w:vAlign w:val="center"/>
          </w:tcPr>
          <w:p w14:paraId="06638CC2"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15,1742</w:t>
            </w:r>
            <w:r w:rsidRPr="00AE4E8D">
              <w:rPr>
                <w:rFonts w:ascii="Times New Roman" w:hAnsi="Times New Roman"/>
                <w:color w:val="000000"/>
                <w:sz w:val="18"/>
                <w:lang w:val="es-ES"/>
              </w:rPr>
              <w:t xml:space="preserve"> </w:t>
            </w:r>
          </w:p>
        </w:tc>
        <w:tc>
          <w:tcPr>
            <w:tcW w:w="650" w:type="pct"/>
            <w:tcBorders>
              <w:top w:val="nil"/>
              <w:left w:val="nil"/>
              <w:bottom w:val="nil"/>
              <w:right w:val="nil"/>
            </w:tcBorders>
            <w:shd w:val="clear" w:color="auto" w:fill="auto"/>
            <w:vAlign w:val="center"/>
          </w:tcPr>
          <w:p w14:paraId="341BB25D"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15,3599</w:t>
            </w:r>
            <w:r w:rsidRPr="00AE4E8D">
              <w:rPr>
                <w:rFonts w:ascii="Times New Roman" w:hAnsi="Times New Roman"/>
                <w:color w:val="000000"/>
                <w:sz w:val="18"/>
                <w:lang w:val="es-ES"/>
              </w:rPr>
              <w:t xml:space="preserve"> </w:t>
            </w:r>
          </w:p>
        </w:tc>
        <w:tc>
          <w:tcPr>
            <w:tcW w:w="630" w:type="pct"/>
            <w:tcBorders>
              <w:top w:val="nil"/>
              <w:left w:val="nil"/>
              <w:bottom w:val="nil"/>
              <w:right w:val="nil"/>
            </w:tcBorders>
            <w:shd w:val="clear" w:color="auto" w:fill="auto"/>
            <w:vAlign w:val="center"/>
          </w:tcPr>
          <w:p w14:paraId="259662FE"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 xml:space="preserve">15,4268 </w:t>
            </w:r>
          </w:p>
        </w:tc>
      </w:tr>
      <w:tr w:rsidR="004B69B2" w:rsidRPr="00AE4E8D" w14:paraId="355E149A" w14:textId="77777777" w:rsidTr="000400C8">
        <w:trPr>
          <w:trHeight w:val="300"/>
          <w:jc w:val="center"/>
        </w:trPr>
        <w:tc>
          <w:tcPr>
            <w:tcW w:w="2419" w:type="pct"/>
            <w:tcBorders>
              <w:top w:val="nil"/>
              <w:left w:val="nil"/>
              <w:bottom w:val="nil"/>
              <w:right w:val="nil"/>
            </w:tcBorders>
            <w:shd w:val="clear" w:color="auto" w:fill="auto"/>
            <w:vAlign w:val="center"/>
          </w:tcPr>
          <w:p w14:paraId="2FA2A1C6" w14:textId="77777777" w:rsidR="004B69B2" w:rsidRPr="00AE4E8D" w:rsidRDefault="004B69B2" w:rsidP="000400C8">
            <w:pPr>
              <w:ind w:left="284"/>
              <w:rPr>
                <w:rFonts w:ascii="Times New Roman" w:hAnsi="Times New Roman"/>
                <w:color w:val="000000"/>
                <w:sz w:val="18"/>
                <w:highlight w:val="yellow"/>
                <w:lang w:val="es-ES"/>
              </w:rPr>
            </w:pPr>
            <w:r w:rsidRPr="00AE4E8D">
              <w:rPr>
                <w:rFonts w:ascii="Times New Roman" w:hAnsi="Times New Roman"/>
                <w:color w:val="000000"/>
                <w:sz w:val="18"/>
                <w:lang w:val="es-ES"/>
              </w:rPr>
              <w:t>Mayo de 2017</w:t>
            </w:r>
          </w:p>
        </w:tc>
        <w:tc>
          <w:tcPr>
            <w:tcW w:w="650" w:type="pct"/>
            <w:tcBorders>
              <w:top w:val="nil"/>
              <w:left w:val="nil"/>
              <w:bottom w:val="nil"/>
              <w:right w:val="nil"/>
            </w:tcBorders>
            <w:shd w:val="clear" w:color="auto" w:fill="auto"/>
            <w:vAlign w:val="center"/>
          </w:tcPr>
          <w:p w14:paraId="0D24F0B7" w14:textId="77777777" w:rsidR="004B69B2" w:rsidRPr="00AE4E8D" w:rsidRDefault="004B69B2" w:rsidP="004B69B2">
            <w:pPr>
              <w:jc w:val="right"/>
              <w:rPr>
                <w:rFonts w:ascii="Times New Roman" w:hAnsi="Times New Roman"/>
                <w:color w:val="000000"/>
                <w:sz w:val="18"/>
                <w:szCs w:val="18"/>
                <w:highlight w:val="yellow"/>
                <w:lang w:val="es-ES"/>
              </w:rPr>
            </w:pPr>
            <w:r w:rsidRPr="00AE4E8D">
              <w:rPr>
                <w:rFonts w:ascii="Times New Roman" w:hAnsi="Times New Roman"/>
                <w:color w:val="000000"/>
                <w:sz w:val="18"/>
                <w:szCs w:val="18"/>
                <w:lang w:val="es-ES"/>
              </w:rPr>
              <w:t>16,1420</w:t>
            </w:r>
          </w:p>
        </w:tc>
        <w:tc>
          <w:tcPr>
            <w:tcW w:w="651" w:type="pct"/>
            <w:tcBorders>
              <w:top w:val="nil"/>
              <w:left w:val="nil"/>
              <w:bottom w:val="nil"/>
              <w:right w:val="nil"/>
            </w:tcBorders>
            <w:shd w:val="clear" w:color="auto" w:fill="auto"/>
            <w:vAlign w:val="center"/>
          </w:tcPr>
          <w:p w14:paraId="5D335068" w14:textId="77777777" w:rsidR="004B69B2" w:rsidRPr="00AE4E8D" w:rsidRDefault="004B69B2" w:rsidP="004B69B2">
            <w:pPr>
              <w:jc w:val="right"/>
              <w:rPr>
                <w:rFonts w:ascii="Times New Roman" w:hAnsi="Times New Roman"/>
                <w:color w:val="000000"/>
                <w:sz w:val="18"/>
                <w:szCs w:val="18"/>
                <w:highlight w:val="yellow"/>
                <w:lang w:val="es-ES"/>
              </w:rPr>
            </w:pPr>
            <w:r w:rsidRPr="00AE4E8D">
              <w:rPr>
                <w:rFonts w:ascii="Times New Roman" w:hAnsi="Times New Roman"/>
                <w:color w:val="000000"/>
                <w:sz w:val="18"/>
                <w:szCs w:val="18"/>
                <w:lang w:val="es-ES"/>
              </w:rPr>
              <w:t>15,2687</w:t>
            </w:r>
          </w:p>
        </w:tc>
        <w:tc>
          <w:tcPr>
            <w:tcW w:w="650" w:type="pct"/>
            <w:tcBorders>
              <w:top w:val="nil"/>
              <w:left w:val="nil"/>
              <w:bottom w:val="nil"/>
              <w:right w:val="nil"/>
            </w:tcBorders>
            <w:shd w:val="clear" w:color="auto" w:fill="auto"/>
            <w:vAlign w:val="center"/>
          </w:tcPr>
          <w:p w14:paraId="14A07AE7" w14:textId="77777777" w:rsidR="004B69B2" w:rsidRPr="00AE4E8D" w:rsidRDefault="004B69B2" w:rsidP="004B69B2">
            <w:pPr>
              <w:jc w:val="right"/>
              <w:rPr>
                <w:rFonts w:ascii="Times New Roman" w:hAnsi="Times New Roman"/>
                <w:color w:val="000000"/>
                <w:sz w:val="18"/>
                <w:szCs w:val="18"/>
                <w:highlight w:val="yellow"/>
                <w:lang w:val="es-ES"/>
              </w:rPr>
            </w:pPr>
            <w:r w:rsidRPr="00AE4E8D">
              <w:rPr>
                <w:rFonts w:ascii="Times New Roman" w:hAnsi="Times New Roman"/>
                <w:color w:val="000000"/>
                <w:sz w:val="18"/>
                <w:szCs w:val="18"/>
                <w:lang w:val="es-ES"/>
              </w:rPr>
              <w:t>15,6981</w:t>
            </w:r>
          </w:p>
        </w:tc>
        <w:tc>
          <w:tcPr>
            <w:tcW w:w="630" w:type="pct"/>
            <w:tcBorders>
              <w:top w:val="nil"/>
              <w:left w:val="nil"/>
              <w:bottom w:val="nil"/>
              <w:right w:val="nil"/>
            </w:tcBorders>
            <w:shd w:val="clear" w:color="auto" w:fill="auto"/>
            <w:vAlign w:val="center"/>
          </w:tcPr>
          <w:p w14:paraId="6B97B094"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16,1420</w:t>
            </w:r>
          </w:p>
        </w:tc>
      </w:tr>
      <w:tr w:rsidR="004B69B2" w:rsidRPr="00AE4E8D" w14:paraId="0A7E881F" w14:textId="77777777" w:rsidTr="000400C8">
        <w:trPr>
          <w:trHeight w:val="300"/>
          <w:jc w:val="center"/>
        </w:trPr>
        <w:tc>
          <w:tcPr>
            <w:tcW w:w="2419" w:type="pct"/>
            <w:tcBorders>
              <w:top w:val="nil"/>
              <w:left w:val="nil"/>
              <w:bottom w:val="nil"/>
              <w:right w:val="nil"/>
            </w:tcBorders>
            <w:shd w:val="clear" w:color="auto" w:fill="auto"/>
            <w:vAlign w:val="center"/>
          </w:tcPr>
          <w:p w14:paraId="75493514"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Junio de 2017</w:t>
            </w:r>
          </w:p>
        </w:tc>
        <w:tc>
          <w:tcPr>
            <w:tcW w:w="650" w:type="pct"/>
            <w:tcBorders>
              <w:top w:val="nil"/>
              <w:left w:val="nil"/>
              <w:bottom w:val="nil"/>
              <w:right w:val="nil"/>
            </w:tcBorders>
            <w:shd w:val="clear" w:color="auto" w:fill="auto"/>
            <w:vAlign w:val="center"/>
          </w:tcPr>
          <w:p w14:paraId="14863801"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16,5985</w:t>
            </w:r>
          </w:p>
        </w:tc>
        <w:tc>
          <w:tcPr>
            <w:tcW w:w="651" w:type="pct"/>
            <w:tcBorders>
              <w:top w:val="nil"/>
              <w:left w:val="nil"/>
              <w:bottom w:val="nil"/>
              <w:right w:val="nil"/>
            </w:tcBorders>
            <w:shd w:val="clear" w:color="auto" w:fill="auto"/>
            <w:vAlign w:val="center"/>
          </w:tcPr>
          <w:p w14:paraId="7C1F3C07"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15,8510</w:t>
            </w:r>
          </w:p>
        </w:tc>
        <w:tc>
          <w:tcPr>
            <w:tcW w:w="650" w:type="pct"/>
            <w:tcBorders>
              <w:top w:val="nil"/>
              <w:left w:val="nil"/>
              <w:bottom w:val="nil"/>
              <w:right w:val="nil"/>
            </w:tcBorders>
            <w:shd w:val="clear" w:color="auto" w:fill="auto"/>
            <w:vAlign w:val="center"/>
          </w:tcPr>
          <w:p w14:paraId="554EC530"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16,1166</w:t>
            </w:r>
          </w:p>
        </w:tc>
        <w:tc>
          <w:tcPr>
            <w:tcW w:w="630" w:type="pct"/>
            <w:tcBorders>
              <w:top w:val="nil"/>
              <w:left w:val="nil"/>
              <w:bottom w:val="nil"/>
              <w:right w:val="nil"/>
            </w:tcBorders>
            <w:shd w:val="clear" w:color="auto" w:fill="auto"/>
            <w:vAlign w:val="center"/>
          </w:tcPr>
          <w:p w14:paraId="49EFAAF6"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16,5985</w:t>
            </w:r>
          </w:p>
        </w:tc>
      </w:tr>
      <w:tr w:rsidR="004B69B2" w:rsidRPr="00AE4E8D" w14:paraId="56524D3B" w14:textId="77777777" w:rsidTr="000400C8">
        <w:trPr>
          <w:trHeight w:val="300"/>
          <w:jc w:val="center"/>
        </w:trPr>
        <w:tc>
          <w:tcPr>
            <w:tcW w:w="2419" w:type="pct"/>
            <w:tcBorders>
              <w:top w:val="nil"/>
              <w:left w:val="nil"/>
              <w:bottom w:val="nil"/>
              <w:right w:val="nil"/>
            </w:tcBorders>
            <w:shd w:val="clear" w:color="auto" w:fill="auto"/>
            <w:vAlign w:val="center"/>
          </w:tcPr>
          <w:p w14:paraId="3338BE31"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Julio de 2017</w:t>
            </w:r>
          </w:p>
        </w:tc>
        <w:tc>
          <w:tcPr>
            <w:tcW w:w="650" w:type="pct"/>
            <w:tcBorders>
              <w:top w:val="nil"/>
              <w:left w:val="nil"/>
              <w:bottom w:val="nil"/>
              <w:right w:val="nil"/>
            </w:tcBorders>
            <w:shd w:val="clear" w:color="auto" w:fill="auto"/>
            <w:vAlign w:val="center"/>
          </w:tcPr>
          <w:p w14:paraId="22E528BB"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17,7642</w:t>
            </w:r>
          </w:p>
        </w:tc>
        <w:tc>
          <w:tcPr>
            <w:tcW w:w="651" w:type="pct"/>
            <w:tcBorders>
              <w:top w:val="nil"/>
              <w:left w:val="nil"/>
              <w:bottom w:val="nil"/>
              <w:right w:val="nil"/>
            </w:tcBorders>
            <w:shd w:val="clear" w:color="auto" w:fill="auto"/>
            <w:vAlign w:val="center"/>
          </w:tcPr>
          <w:p w14:paraId="4C5859FC"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16,7500</w:t>
            </w:r>
          </w:p>
        </w:tc>
        <w:tc>
          <w:tcPr>
            <w:tcW w:w="650" w:type="pct"/>
            <w:tcBorders>
              <w:top w:val="nil"/>
              <w:left w:val="nil"/>
              <w:bottom w:val="nil"/>
              <w:right w:val="nil"/>
            </w:tcBorders>
            <w:shd w:val="clear" w:color="auto" w:fill="auto"/>
            <w:vAlign w:val="center"/>
          </w:tcPr>
          <w:p w14:paraId="74810065"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17,1712</w:t>
            </w:r>
          </w:p>
        </w:tc>
        <w:tc>
          <w:tcPr>
            <w:tcW w:w="630" w:type="pct"/>
            <w:tcBorders>
              <w:top w:val="nil"/>
              <w:left w:val="nil"/>
              <w:bottom w:val="nil"/>
              <w:right w:val="nil"/>
            </w:tcBorders>
            <w:shd w:val="clear" w:color="auto" w:fill="auto"/>
            <w:vAlign w:val="center"/>
          </w:tcPr>
          <w:p w14:paraId="13F91975"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17,6700</w:t>
            </w:r>
          </w:p>
        </w:tc>
      </w:tr>
      <w:tr w:rsidR="004B69B2" w:rsidRPr="00AE4E8D" w14:paraId="0802590A" w14:textId="77777777" w:rsidTr="000400C8">
        <w:trPr>
          <w:trHeight w:val="300"/>
          <w:jc w:val="center"/>
        </w:trPr>
        <w:tc>
          <w:tcPr>
            <w:tcW w:w="2419" w:type="pct"/>
            <w:tcBorders>
              <w:top w:val="nil"/>
              <w:left w:val="nil"/>
              <w:bottom w:val="nil"/>
              <w:right w:val="nil"/>
            </w:tcBorders>
            <w:shd w:val="clear" w:color="auto" w:fill="auto"/>
            <w:vAlign w:val="center"/>
          </w:tcPr>
          <w:p w14:paraId="2E69C553"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Agosto de 2017</w:t>
            </w:r>
          </w:p>
        </w:tc>
        <w:tc>
          <w:tcPr>
            <w:tcW w:w="650" w:type="pct"/>
            <w:tcBorders>
              <w:top w:val="nil"/>
              <w:left w:val="nil"/>
              <w:bottom w:val="nil"/>
              <w:right w:val="nil"/>
            </w:tcBorders>
            <w:shd w:val="clear" w:color="auto" w:fill="auto"/>
            <w:vAlign w:val="center"/>
          </w:tcPr>
          <w:p w14:paraId="2AC3C26B"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17,7833</w:t>
            </w:r>
          </w:p>
        </w:tc>
        <w:tc>
          <w:tcPr>
            <w:tcW w:w="651" w:type="pct"/>
            <w:tcBorders>
              <w:top w:val="nil"/>
              <w:left w:val="nil"/>
              <w:bottom w:val="nil"/>
              <w:right w:val="nil"/>
            </w:tcBorders>
            <w:shd w:val="clear" w:color="auto" w:fill="auto"/>
            <w:vAlign w:val="center"/>
          </w:tcPr>
          <w:p w14:paraId="33063E5E"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17,0583</w:t>
            </w:r>
          </w:p>
        </w:tc>
        <w:tc>
          <w:tcPr>
            <w:tcW w:w="650" w:type="pct"/>
            <w:tcBorders>
              <w:top w:val="nil"/>
              <w:left w:val="nil"/>
              <w:bottom w:val="nil"/>
              <w:right w:val="nil"/>
            </w:tcBorders>
            <w:shd w:val="clear" w:color="auto" w:fill="auto"/>
            <w:vAlign w:val="center"/>
          </w:tcPr>
          <w:p w14:paraId="1193582B"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17,4165</w:t>
            </w:r>
          </w:p>
        </w:tc>
        <w:tc>
          <w:tcPr>
            <w:tcW w:w="630" w:type="pct"/>
            <w:tcBorders>
              <w:top w:val="nil"/>
              <w:left w:val="nil"/>
              <w:bottom w:val="nil"/>
              <w:right w:val="nil"/>
            </w:tcBorders>
            <w:shd w:val="clear" w:color="auto" w:fill="auto"/>
            <w:vAlign w:val="center"/>
          </w:tcPr>
          <w:p w14:paraId="5CAA300D"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17,3650</w:t>
            </w:r>
          </w:p>
        </w:tc>
      </w:tr>
      <w:tr w:rsidR="004B69B2" w:rsidRPr="00AE4E8D" w14:paraId="2EDD2D01" w14:textId="77777777" w:rsidTr="000400C8">
        <w:trPr>
          <w:trHeight w:val="300"/>
          <w:jc w:val="center"/>
        </w:trPr>
        <w:tc>
          <w:tcPr>
            <w:tcW w:w="2419" w:type="pct"/>
            <w:tcBorders>
              <w:top w:val="nil"/>
              <w:left w:val="nil"/>
              <w:bottom w:val="nil"/>
              <w:right w:val="nil"/>
            </w:tcBorders>
            <w:shd w:val="clear" w:color="auto" w:fill="auto"/>
            <w:vAlign w:val="center"/>
          </w:tcPr>
          <w:p w14:paraId="5D1E80D7" w14:textId="77777777" w:rsidR="004B69B2" w:rsidRPr="00AE4E8D" w:rsidRDefault="004B69B2" w:rsidP="000400C8">
            <w:pPr>
              <w:ind w:left="284"/>
              <w:rPr>
                <w:rFonts w:ascii="Times New Roman" w:hAnsi="Times New Roman"/>
                <w:color w:val="000000"/>
                <w:sz w:val="18"/>
                <w:lang w:val="es-ES"/>
              </w:rPr>
            </w:pPr>
            <w:r w:rsidRPr="00AE4E8D">
              <w:rPr>
                <w:rFonts w:ascii="Times New Roman" w:hAnsi="Times New Roman"/>
                <w:color w:val="000000"/>
                <w:sz w:val="18"/>
                <w:lang w:val="es-ES"/>
              </w:rPr>
              <w:t>Septiembre de 2017</w:t>
            </w:r>
          </w:p>
        </w:tc>
        <w:tc>
          <w:tcPr>
            <w:tcW w:w="650" w:type="pct"/>
            <w:tcBorders>
              <w:top w:val="nil"/>
              <w:left w:val="nil"/>
              <w:bottom w:val="nil"/>
              <w:right w:val="nil"/>
            </w:tcBorders>
            <w:shd w:val="clear" w:color="auto" w:fill="auto"/>
            <w:vAlign w:val="center"/>
          </w:tcPr>
          <w:p w14:paraId="76419863"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17,6108</w:t>
            </w:r>
          </w:p>
        </w:tc>
        <w:tc>
          <w:tcPr>
            <w:tcW w:w="651" w:type="pct"/>
            <w:tcBorders>
              <w:top w:val="nil"/>
              <w:left w:val="nil"/>
              <w:bottom w:val="nil"/>
              <w:right w:val="nil"/>
            </w:tcBorders>
            <w:shd w:val="clear" w:color="auto" w:fill="auto"/>
            <w:vAlign w:val="center"/>
          </w:tcPr>
          <w:p w14:paraId="4D7FF777"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16,9720</w:t>
            </w:r>
          </w:p>
        </w:tc>
        <w:tc>
          <w:tcPr>
            <w:tcW w:w="650" w:type="pct"/>
            <w:tcBorders>
              <w:top w:val="nil"/>
              <w:left w:val="nil"/>
              <w:bottom w:val="nil"/>
              <w:right w:val="nil"/>
            </w:tcBorders>
            <w:shd w:val="clear" w:color="auto" w:fill="auto"/>
            <w:vAlign w:val="center"/>
          </w:tcPr>
          <w:p w14:paraId="4145607B"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17,2465</w:t>
            </w:r>
          </w:p>
        </w:tc>
        <w:tc>
          <w:tcPr>
            <w:tcW w:w="630" w:type="pct"/>
            <w:tcBorders>
              <w:top w:val="nil"/>
              <w:left w:val="nil"/>
              <w:bottom w:val="nil"/>
              <w:right w:val="nil"/>
            </w:tcBorders>
            <w:shd w:val="clear" w:color="auto" w:fill="auto"/>
            <w:vAlign w:val="center"/>
          </w:tcPr>
          <w:p w14:paraId="1D9316C4" w14:textId="77777777" w:rsidR="004B69B2" w:rsidRPr="00AE4E8D" w:rsidRDefault="004B69B2" w:rsidP="004B69B2">
            <w:pPr>
              <w:jc w:val="right"/>
              <w:rPr>
                <w:rFonts w:ascii="Times New Roman" w:hAnsi="Times New Roman"/>
                <w:color w:val="000000"/>
                <w:sz w:val="18"/>
                <w:szCs w:val="18"/>
                <w:lang w:val="es-ES"/>
              </w:rPr>
            </w:pPr>
            <w:r w:rsidRPr="00AE4E8D">
              <w:rPr>
                <w:rFonts w:ascii="Times New Roman" w:hAnsi="Times New Roman"/>
                <w:color w:val="000000"/>
                <w:sz w:val="18"/>
                <w:szCs w:val="18"/>
                <w:lang w:val="es-ES"/>
              </w:rPr>
              <w:t>17,3183</w:t>
            </w:r>
          </w:p>
        </w:tc>
      </w:tr>
      <w:tr w:rsidR="004B69B2" w:rsidRPr="00852076" w14:paraId="72BF8C1F" w14:textId="77777777" w:rsidTr="000400C8">
        <w:trPr>
          <w:trHeight w:val="300"/>
          <w:jc w:val="center"/>
        </w:trPr>
        <w:tc>
          <w:tcPr>
            <w:tcW w:w="2419" w:type="pct"/>
            <w:tcBorders>
              <w:top w:val="nil"/>
              <w:left w:val="nil"/>
              <w:bottom w:val="nil"/>
              <w:right w:val="nil"/>
            </w:tcBorders>
            <w:shd w:val="clear" w:color="auto" w:fill="auto"/>
            <w:vAlign w:val="center"/>
          </w:tcPr>
          <w:p w14:paraId="761443FF" w14:textId="77777777" w:rsidR="004B69B2" w:rsidRPr="00852076" w:rsidRDefault="004B69B2" w:rsidP="00852076">
            <w:pPr>
              <w:ind w:left="284"/>
              <w:rPr>
                <w:rFonts w:ascii="Times New Roman" w:hAnsi="Times New Roman"/>
                <w:color w:val="000000"/>
                <w:sz w:val="18"/>
                <w:szCs w:val="18"/>
                <w:lang w:val="es-ES"/>
              </w:rPr>
            </w:pPr>
            <w:r w:rsidRPr="00852076">
              <w:rPr>
                <w:rFonts w:ascii="Times New Roman" w:hAnsi="Times New Roman"/>
                <w:color w:val="000000"/>
                <w:sz w:val="18"/>
                <w:szCs w:val="18"/>
                <w:lang w:val="es-ES"/>
              </w:rPr>
              <w:t xml:space="preserve">Octubre (al </w:t>
            </w:r>
            <w:r w:rsidR="00852076" w:rsidRPr="00852076">
              <w:rPr>
                <w:rFonts w:ascii="Times New Roman" w:hAnsi="Times New Roman"/>
                <w:color w:val="000000"/>
                <w:sz w:val="18"/>
                <w:szCs w:val="18"/>
                <w:lang w:val="es-ES"/>
              </w:rPr>
              <w:t>18</w:t>
            </w:r>
            <w:r w:rsidRPr="00852076">
              <w:rPr>
                <w:rFonts w:ascii="Times New Roman" w:hAnsi="Times New Roman"/>
                <w:color w:val="000000"/>
                <w:sz w:val="18"/>
                <w:szCs w:val="18"/>
                <w:lang w:val="es-ES"/>
              </w:rPr>
              <w:t xml:space="preserve"> de octubre de 2017)</w:t>
            </w:r>
          </w:p>
        </w:tc>
        <w:tc>
          <w:tcPr>
            <w:tcW w:w="650" w:type="pct"/>
            <w:tcBorders>
              <w:top w:val="nil"/>
              <w:left w:val="nil"/>
              <w:bottom w:val="nil"/>
              <w:right w:val="nil"/>
            </w:tcBorders>
            <w:shd w:val="clear" w:color="auto" w:fill="auto"/>
            <w:vAlign w:val="center"/>
          </w:tcPr>
          <w:p w14:paraId="0281762A" w14:textId="77777777" w:rsidR="004B69B2" w:rsidRPr="00852076" w:rsidRDefault="00852076" w:rsidP="004B69B2">
            <w:pPr>
              <w:jc w:val="right"/>
              <w:rPr>
                <w:rFonts w:ascii="Times New Roman" w:hAnsi="Times New Roman"/>
                <w:color w:val="000000"/>
                <w:sz w:val="18"/>
                <w:szCs w:val="18"/>
                <w:lang w:val="es-ES"/>
              </w:rPr>
            </w:pPr>
            <w:r w:rsidRPr="00852076">
              <w:rPr>
                <w:rFonts w:ascii="Times New Roman" w:hAnsi="Times New Roman"/>
                <w:color w:val="000000"/>
                <w:sz w:val="18"/>
                <w:szCs w:val="18"/>
                <w:lang w:val="es-ES"/>
              </w:rPr>
              <w:t>17,5117</w:t>
            </w:r>
          </w:p>
        </w:tc>
        <w:tc>
          <w:tcPr>
            <w:tcW w:w="651" w:type="pct"/>
            <w:tcBorders>
              <w:top w:val="nil"/>
              <w:left w:val="nil"/>
              <w:bottom w:val="nil"/>
              <w:right w:val="nil"/>
            </w:tcBorders>
            <w:shd w:val="clear" w:color="auto" w:fill="auto"/>
            <w:vAlign w:val="center"/>
          </w:tcPr>
          <w:p w14:paraId="3B9EEBB8" w14:textId="77777777" w:rsidR="004B69B2" w:rsidRPr="00852076" w:rsidRDefault="00852076" w:rsidP="004B69B2">
            <w:pPr>
              <w:jc w:val="right"/>
              <w:rPr>
                <w:rFonts w:ascii="Times New Roman" w:hAnsi="Times New Roman"/>
                <w:color w:val="000000"/>
                <w:sz w:val="18"/>
                <w:szCs w:val="18"/>
                <w:lang w:val="es-ES"/>
              </w:rPr>
            </w:pPr>
            <w:r w:rsidRPr="00852076">
              <w:rPr>
                <w:rFonts w:ascii="Times New Roman" w:hAnsi="Times New Roman"/>
                <w:color w:val="000000"/>
                <w:sz w:val="18"/>
                <w:szCs w:val="18"/>
                <w:lang w:val="es-ES"/>
              </w:rPr>
              <w:t>17,3250</w:t>
            </w:r>
          </w:p>
        </w:tc>
        <w:tc>
          <w:tcPr>
            <w:tcW w:w="650" w:type="pct"/>
            <w:tcBorders>
              <w:top w:val="nil"/>
              <w:left w:val="nil"/>
              <w:bottom w:val="nil"/>
              <w:right w:val="nil"/>
            </w:tcBorders>
            <w:shd w:val="clear" w:color="auto" w:fill="auto"/>
            <w:vAlign w:val="center"/>
          </w:tcPr>
          <w:p w14:paraId="5AC5D01B" w14:textId="77777777" w:rsidR="004B69B2" w:rsidRPr="00852076" w:rsidRDefault="00852076" w:rsidP="004B69B2">
            <w:pPr>
              <w:jc w:val="right"/>
              <w:rPr>
                <w:rFonts w:ascii="Times New Roman" w:hAnsi="Times New Roman"/>
                <w:color w:val="000000"/>
                <w:sz w:val="18"/>
                <w:szCs w:val="18"/>
                <w:lang w:val="es-ES"/>
              </w:rPr>
            </w:pPr>
            <w:r w:rsidRPr="00852076">
              <w:rPr>
                <w:rFonts w:ascii="Times New Roman" w:hAnsi="Times New Roman"/>
                <w:color w:val="000000"/>
                <w:sz w:val="18"/>
                <w:szCs w:val="18"/>
                <w:lang w:val="es-ES"/>
              </w:rPr>
              <w:t>17,4029</w:t>
            </w:r>
          </w:p>
        </w:tc>
        <w:tc>
          <w:tcPr>
            <w:tcW w:w="630" w:type="pct"/>
            <w:tcBorders>
              <w:top w:val="nil"/>
              <w:left w:val="nil"/>
              <w:bottom w:val="nil"/>
              <w:right w:val="nil"/>
            </w:tcBorders>
            <w:shd w:val="clear" w:color="auto" w:fill="auto"/>
            <w:vAlign w:val="center"/>
          </w:tcPr>
          <w:p w14:paraId="71CD799E" w14:textId="77777777" w:rsidR="004B69B2" w:rsidRPr="00852076" w:rsidRDefault="00852076" w:rsidP="004B69B2">
            <w:pPr>
              <w:jc w:val="right"/>
              <w:rPr>
                <w:rFonts w:ascii="Times New Roman" w:hAnsi="Times New Roman"/>
                <w:color w:val="000000"/>
                <w:sz w:val="18"/>
                <w:szCs w:val="18"/>
                <w:lang w:val="es-ES"/>
              </w:rPr>
            </w:pPr>
            <w:r w:rsidRPr="00852076">
              <w:rPr>
                <w:rFonts w:ascii="Times New Roman" w:hAnsi="Times New Roman"/>
                <w:color w:val="000000"/>
                <w:sz w:val="18"/>
                <w:szCs w:val="18"/>
                <w:lang w:val="es-ES"/>
              </w:rPr>
              <w:t>17,3250</w:t>
            </w:r>
          </w:p>
        </w:tc>
      </w:tr>
    </w:tbl>
    <w:p w14:paraId="396F667E" w14:textId="77777777" w:rsidR="00CB5660" w:rsidRPr="00AE4E8D" w:rsidRDefault="00CB5660" w:rsidP="001A3273">
      <w:pPr>
        <w:spacing w:before="240"/>
        <w:rPr>
          <w:rFonts w:ascii="Times New Roman" w:hAnsi="Times New Roman"/>
          <w:i/>
          <w:sz w:val="16"/>
          <w:szCs w:val="16"/>
          <w:lang w:val="es-ES" w:eastAsia="es-AR"/>
        </w:rPr>
      </w:pPr>
      <w:r w:rsidRPr="00AE4E8D">
        <w:rPr>
          <w:rFonts w:ascii="Times New Roman" w:hAnsi="Times New Roman"/>
          <w:iCs/>
          <w:sz w:val="16"/>
          <w:szCs w:val="16"/>
          <w:lang w:val="es-ES" w:eastAsia="es-AR"/>
        </w:rPr>
        <w:t xml:space="preserve">(*) Fuente: BCRA </w:t>
      </w:r>
    </w:p>
    <w:p w14:paraId="01BBB28A" w14:textId="77777777" w:rsidR="00CB5660" w:rsidRPr="00AE4E8D" w:rsidRDefault="00CB5660" w:rsidP="004F139E">
      <w:pPr>
        <w:tabs>
          <w:tab w:val="left" w:pos="851"/>
        </w:tabs>
        <w:ind w:left="851" w:hanging="284"/>
        <w:rPr>
          <w:rFonts w:ascii="Times New Roman" w:hAnsi="Times New Roman"/>
          <w:bCs/>
          <w:kern w:val="28"/>
          <w:sz w:val="16"/>
          <w:szCs w:val="16"/>
          <w:lang w:val="es-ES" w:eastAsia="es-AR"/>
        </w:rPr>
      </w:pPr>
      <w:r w:rsidRPr="00AE4E8D">
        <w:rPr>
          <w:rFonts w:ascii="Times New Roman" w:hAnsi="Times New Roman"/>
          <w:bCs/>
          <w:kern w:val="28"/>
          <w:sz w:val="16"/>
          <w:szCs w:val="16"/>
          <w:lang w:val="es-ES" w:eastAsia="es-AR"/>
        </w:rPr>
        <w:t>(1)</w:t>
      </w:r>
      <w:r w:rsidRPr="00AE4E8D">
        <w:rPr>
          <w:rFonts w:ascii="Times New Roman" w:hAnsi="Times New Roman"/>
          <w:bCs/>
          <w:kern w:val="28"/>
          <w:sz w:val="16"/>
          <w:szCs w:val="16"/>
          <w:lang w:val="es-ES" w:eastAsia="es-AR"/>
        </w:rPr>
        <w:tab/>
        <w:t>Promedio del tipo de cambio vendedor y tipo de cambio comprador según la cotización del tipo de cambio de</w:t>
      </w:r>
      <w:r w:rsidR="004B69B2" w:rsidRPr="00AE4E8D">
        <w:rPr>
          <w:rFonts w:ascii="Times New Roman" w:hAnsi="Times New Roman"/>
          <w:bCs/>
          <w:kern w:val="28"/>
          <w:sz w:val="16"/>
          <w:szCs w:val="16"/>
          <w:lang w:val="es-ES" w:eastAsia="es-AR"/>
        </w:rPr>
        <w:t xml:space="preserve"> </w:t>
      </w:r>
      <w:r w:rsidRPr="00AE4E8D">
        <w:rPr>
          <w:rFonts w:ascii="Times New Roman" w:hAnsi="Times New Roman"/>
          <w:bCs/>
          <w:kern w:val="28"/>
          <w:sz w:val="16"/>
          <w:szCs w:val="16"/>
          <w:lang w:val="es-ES" w:eastAsia="es-AR"/>
        </w:rPr>
        <w:t>l</w:t>
      </w:r>
      <w:r w:rsidR="004B69B2" w:rsidRPr="00AE4E8D">
        <w:rPr>
          <w:rFonts w:ascii="Times New Roman" w:hAnsi="Times New Roman"/>
          <w:bCs/>
          <w:kern w:val="28"/>
          <w:sz w:val="16"/>
          <w:szCs w:val="16"/>
          <w:lang w:val="es-ES" w:eastAsia="es-AR"/>
        </w:rPr>
        <w:t>a</w:t>
      </w:r>
      <w:r w:rsidRPr="00AE4E8D">
        <w:rPr>
          <w:rFonts w:ascii="Times New Roman" w:hAnsi="Times New Roman"/>
          <w:bCs/>
          <w:kern w:val="28"/>
          <w:sz w:val="16"/>
          <w:szCs w:val="16"/>
          <w:lang w:val="es-ES" w:eastAsia="es-AR"/>
        </w:rPr>
        <w:t xml:space="preserve"> </w:t>
      </w:r>
      <w:r w:rsidR="004B69B2" w:rsidRPr="00AE4E8D">
        <w:rPr>
          <w:rFonts w:ascii="Times New Roman" w:hAnsi="Times New Roman"/>
          <w:bCs/>
          <w:kern w:val="28"/>
          <w:sz w:val="16"/>
          <w:szCs w:val="16"/>
          <w:lang w:val="es-ES" w:eastAsia="es-AR"/>
        </w:rPr>
        <w:t xml:space="preserve">Comunicación “A” 3500 del </w:t>
      </w:r>
      <w:r w:rsidRPr="00AE4E8D">
        <w:rPr>
          <w:rFonts w:ascii="Times New Roman" w:hAnsi="Times New Roman"/>
          <w:bCs/>
          <w:kern w:val="28"/>
          <w:sz w:val="16"/>
          <w:szCs w:val="16"/>
          <w:lang w:val="es-ES" w:eastAsia="es-AR"/>
        </w:rPr>
        <w:t>BCRA.</w:t>
      </w:r>
    </w:p>
    <w:p w14:paraId="18BD058B" w14:textId="77777777" w:rsidR="00CB5660" w:rsidRPr="00AE4E8D" w:rsidRDefault="00CB5660" w:rsidP="004F139E">
      <w:pPr>
        <w:tabs>
          <w:tab w:val="left" w:pos="851"/>
        </w:tabs>
        <w:ind w:left="851" w:hanging="284"/>
        <w:rPr>
          <w:rFonts w:ascii="Times New Roman" w:hAnsi="Times New Roman"/>
          <w:bCs/>
          <w:kern w:val="28"/>
          <w:sz w:val="16"/>
          <w:szCs w:val="16"/>
          <w:lang w:val="es-ES" w:eastAsia="es-AR"/>
        </w:rPr>
      </w:pPr>
      <w:r w:rsidRPr="00AE4E8D">
        <w:rPr>
          <w:rFonts w:ascii="Times New Roman" w:hAnsi="Times New Roman"/>
          <w:bCs/>
          <w:kern w:val="28"/>
          <w:sz w:val="16"/>
          <w:szCs w:val="16"/>
          <w:lang w:val="es-ES" w:eastAsia="es-AR"/>
        </w:rPr>
        <w:t>(2)</w:t>
      </w:r>
      <w:r w:rsidRPr="00AE4E8D">
        <w:rPr>
          <w:rFonts w:ascii="Times New Roman" w:hAnsi="Times New Roman"/>
          <w:bCs/>
          <w:kern w:val="28"/>
          <w:sz w:val="16"/>
          <w:szCs w:val="16"/>
          <w:lang w:val="es-ES" w:eastAsia="es-AR"/>
        </w:rPr>
        <w:tab/>
        <w:t>El tipo de cambio máximo indicado fue el tipo de cambio de cierre del mes más alto durante el ejercicio o cualquier período menor, según se indique.</w:t>
      </w:r>
    </w:p>
    <w:p w14:paraId="268A5BD3" w14:textId="77777777" w:rsidR="00CB5660" w:rsidRPr="00AE4E8D" w:rsidRDefault="00CB5660" w:rsidP="004F139E">
      <w:pPr>
        <w:tabs>
          <w:tab w:val="left" w:pos="851"/>
        </w:tabs>
        <w:ind w:left="851" w:hanging="284"/>
        <w:rPr>
          <w:rFonts w:ascii="Times New Roman" w:hAnsi="Times New Roman"/>
          <w:bCs/>
          <w:kern w:val="28"/>
          <w:sz w:val="16"/>
          <w:szCs w:val="16"/>
          <w:lang w:val="es-ES" w:eastAsia="es-AR"/>
        </w:rPr>
      </w:pPr>
      <w:r w:rsidRPr="00AE4E8D">
        <w:rPr>
          <w:rFonts w:ascii="Times New Roman" w:hAnsi="Times New Roman"/>
          <w:bCs/>
          <w:kern w:val="28"/>
          <w:sz w:val="16"/>
          <w:szCs w:val="16"/>
          <w:lang w:val="es-ES" w:eastAsia="es-AR"/>
        </w:rPr>
        <w:t>(3)</w:t>
      </w:r>
      <w:r w:rsidRPr="00AE4E8D">
        <w:rPr>
          <w:rFonts w:ascii="Times New Roman" w:hAnsi="Times New Roman"/>
          <w:bCs/>
          <w:kern w:val="28"/>
          <w:sz w:val="16"/>
          <w:szCs w:val="16"/>
          <w:lang w:val="es-ES" w:eastAsia="es-AR"/>
        </w:rPr>
        <w:tab/>
        <w:t>El tipo de cambio mínimo indicado fue el tipo de cambio de cierre del mes más bajo durante el ejercicio o cualquier período menor, según se indique.</w:t>
      </w:r>
    </w:p>
    <w:p w14:paraId="24F16C38" w14:textId="77777777" w:rsidR="00CB5660" w:rsidRPr="00AE4E8D" w:rsidRDefault="00CB5660" w:rsidP="004F139E">
      <w:pPr>
        <w:tabs>
          <w:tab w:val="left" w:pos="851"/>
        </w:tabs>
        <w:ind w:left="851" w:hanging="284"/>
        <w:rPr>
          <w:rFonts w:ascii="Times New Roman" w:hAnsi="Times New Roman"/>
          <w:bCs/>
          <w:kern w:val="28"/>
          <w:sz w:val="16"/>
          <w:szCs w:val="16"/>
          <w:lang w:val="es-ES" w:eastAsia="es-AR"/>
        </w:rPr>
      </w:pPr>
      <w:r w:rsidRPr="00AE4E8D">
        <w:rPr>
          <w:rFonts w:ascii="Times New Roman" w:hAnsi="Times New Roman"/>
          <w:bCs/>
          <w:kern w:val="28"/>
          <w:sz w:val="16"/>
          <w:szCs w:val="16"/>
          <w:lang w:val="es-ES" w:eastAsia="es-AR"/>
        </w:rPr>
        <w:t>(4)</w:t>
      </w:r>
      <w:r w:rsidRPr="00AE4E8D">
        <w:rPr>
          <w:rFonts w:ascii="Times New Roman" w:hAnsi="Times New Roman"/>
          <w:bCs/>
          <w:kern w:val="28"/>
          <w:sz w:val="16"/>
          <w:szCs w:val="16"/>
          <w:lang w:val="es-ES" w:eastAsia="es-AR"/>
        </w:rPr>
        <w:tab/>
        <w:t>Tipos de cambio promedio de cierre del mes.</w:t>
      </w:r>
    </w:p>
    <w:p w14:paraId="5CD16D85" w14:textId="77777777" w:rsidR="00CB5660" w:rsidRPr="00AE4E8D" w:rsidRDefault="00CB5660" w:rsidP="004F139E">
      <w:pPr>
        <w:tabs>
          <w:tab w:val="left" w:pos="851"/>
        </w:tabs>
        <w:ind w:left="851" w:hanging="284"/>
        <w:rPr>
          <w:rFonts w:ascii="Times New Roman" w:hAnsi="Times New Roman"/>
          <w:bCs/>
          <w:kern w:val="28"/>
          <w:sz w:val="16"/>
          <w:szCs w:val="16"/>
          <w:lang w:val="es-ES" w:eastAsia="es-AR"/>
        </w:rPr>
      </w:pPr>
    </w:p>
    <w:bookmarkEnd w:id="926"/>
    <w:p w14:paraId="6963649A" w14:textId="77777777" w:rsidR="00CB5660" w:rsidRPr="00AE4E8D" w:rsidRDefault="00CB5660" w:rsidP="00CC3B07">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 xml:space="preserve">Controles de Cambio </w:t>
      </w:r>
    </w:p>
    <w:p w14:paraId="25174742" w14:textId="77777777" w:rsidR="00CB5660" w:rsidRPr="00AE4E8D" w:rsidRDefault="00CB5660" w:rsidP="00CD6E97">
      <w:pPr>
        <w:pStyle w:val="BHTexto"/>
        <w:rPr>
          <w:lang w:val="es-ES"/>
        </w:rPr>
      </w:pPr>
      <w:r w:rsidRPr="00AE4E8D">
        <w:rPr>
          <w:lang w:val="es-ES"/>
        </w:rPr>
        <w:t>Debido a</w:t>
      </w:r>
      <w:r w:rsidR="00336B59" w:rsidRPr="00AE4E8D">
        <w:rPr>
          <w:lang w:val="es-ES"/>
        </w:rPr>
        <w:t xml:space="preserve"> la crisis</w:t>
      </w:r>
      <w:r w:rsidRPr="00AE4E8D">
        <w:rPr>
          <w:lang w:val="es-ES"/>
        </w:rPr>
        <w:t xml:space="preserve"> económica y financiera de Argentina </w:t>
      </w:r>
      <w:r w:rsidR="00336B59" w:rsidRPr="00AE4E8D">
        <w:rPr>
          <w:lang w:val="es-ES"/>
        </w:rPr>
        <w:t>que comenzó en</w:t>
      </w:r>
      <w:r w:rsidRPr="00AE4E8D">
        <w:rPr>
          <w:lang w:val="es-ES"/>
        </w:rPr>
        <w:t xml:space="preserve"> 2001, la incapacidad de Argentina de atender el servicio de su deuda pública externa y el decreciente nivel de depósitos en el sistema financiero, el Gobierno Argentino</w:t>
      </w:r>
      <w:r w:rsidR="00845924" w:rsidRPr="00AE4E8D">
        <w:rPr>
          <w:lang w:val="es-ES"/>
        </w:rPr>
        <w:t xml:space="preserve"> </w:t>
      </w:r>
      <w:r w:rsidRPr="00AE4E8D">
        <w:rPr>
          <w:lang w:val="es-ES"/>
        </w:rPr>
        <w:t>estableció una serie de medidas de control monetario y cambiario, entre ellas restricciones a la libre disposición de fondos depositados en bancos y restricciones a la transferencia de fondos al exterior, sujeto a ciertas excepciones.</w:t>
      </w:r>
    </w:p>
    <w:p w14:paraId="09156441" w14:textId="77777777" w:rsidR="00CB5660" w:rsidRPr="00AE4E8D" w:rsidRDefault="00CB5660" w:rsidP="00CD6E97">
      <w:pPr>
        <w:pStyle w:val="BHTexto"/>
        <w:rPr>
          <w:lang w:val="es-ES"/>
        </w:rPr>
      </w:pPr>
      <w:r w:rsidRPr="00AE4E8D">
        <w:rPr>
          <w:lang w:val="es-ES"/>
        </w:rPr>
        <w:t>Además de las medidas antes mencionadas, el 8 de febrero de 2002 el BCRA impuso fuertes restricciones que establecieron la obligación de obtener la previa autorización del BCRA para realizar transferencias de fondos al exterior destinadas a atender el servicio del capital y/o intereses sobre deuda externa.</w:t>
      </w:r>
    </w:p>
    <w:p w14:paraId="14B3CAB6" w14:textId="77777777" w:rsidR="00CB5660" w:rsidRPr="00AE4E8D" w:rsidRDefault="00CB5660" w:rsidP="00CD6E97">
      <w:pPr>
        <w:pStyle w:val="BHTexto"/>
        <w:rPr>
          <w:lang w:val="es-ES"/>
        </w:rPr>
      </w:pPr>
      <w:r w:rsidRPr="00AE4E8D">
        <w:rPr>
          <w:lang w:val="es-ES"/>
        </w:rPr>
        <w:t>Desde octubre de 2011, el Gobierno Argentino ha ampliado las restricciones al acceso al mercado de cambios y las transferencias de divisas al exterior. Mediante una combinación de reglamentaciones cambiarias e impositivas, las autoridades argentinas limita</w:t>
      </w:r>
      <w:r w:rsidR="00234448" w:rsidRPr="00AE4E8D">
        <w:rPr>
          <w:lang w:val="es-ES"/>
        </w:rPr>
        <w:t>ron</w:t>
      </w:r>
      <w:r w:rsidRPr="00AE4E8D">
        <w:rPr>
          <w:lang w:val="es-ES"/>
        </w:rPr>
        <w:t xml:space="preserve"> seriamente el acceso a las divisas extranjeras por parte de personas </w:t>
      </w:r>
      <w:r w:rsidR="006107DB" w:rsidRPr="00AE4E8D">
        <w:rPr>
          <w:lang w:val="es-ES"/>
        </w:rPr>
        <w:t>humanas</w:t>
      </w:r>
      <w:r w:rsidRPr="00AE4E8D">
        <w:rPr>
          <w:lang w:val="es-ES"/>
        </w:rPr>
        <w:t xml:space="preserve"> y entidades del sector privado. </w:t>
      </w:r>
      <w:r w:rsidR="00234448" w:rsidRPr="00AE4E8D">
        <w:rPr>
          <w:lang w:val="es-ES"/>
        </w:rPr>
        <w:t xml:space="preserve">Como resultado de ello, las </w:t>
      </w:r>
      <w:r w:rsidRPr="00AE4E8D">
        <w:rPr>
          <w:lang w:val="es-ES"/>
        </w:rPr>
        <w:t>normas cambiarias inclu</w:t>
      </w:r>
      <w:r w:rsidR="00A853C0" w:rsidRPr="00AE4E8D">
        <w:rPr>
          <w:lang w:val="es-ES"/>
        </w:rPr>
        <w:t>ían</w:t>
      </w:r>
      <w:r w:rsidRPr="00AE4E8D">
        <w:rPr>
          <w:lang w:val="es-ES"/>
        </w:rPr>
        <w:t>, entre otras, la obligación de obtener la previa aprobación del BCRA para realizar ciertas operaciones cambiarias tales como pagos relacionados con regalías, servicios u honorarios a pagar a partes vinculadas de sociedades argentinas en el exterior.</w:t>
      </w:r>
    </w:p>
    <w:p w14:paraId="50746B54" w14:textId="77777777" w:rsidR="00CB5660" w:rsidRPr="00AE4E8D" w:rsidRDefault="00CB5660" w:rsidP="00CD6E97">
      <w:pPr>
        <w:pStyle w:val="BHTexto"/>
        <w:rPr>
          <w:lang w:val="es-ES"/>
        </w:rPr>
      </w:pPr>
      <w:r w:rsidRPr="00AE4E8D">
        <w:rPr>
          <w:lang w:val="es-ES"/>
        </w:rPr>
        <w:t xml:space="preserve">Sin embargo, con el cambio de gobierno en diciembre de 2015, </w:t>
      </w:r>
      <w:r w:rsidR="00336B59" w:rsidRPr="00AE4E8D">
        <w:rPr>
          <w:lang w:val="es-ES"/>
        </w:rPr>
        <w:t xml:space="preserve">el Gobierno Argentino eliminó </w:t>
      </w:r>
      <w:r w:rsidR="00234448" w:rsidRPr="00AE4E8D">
        <w:rPr>
          <w:lang w:val="es-ES"/>
        </w:rPr>
        <w:t xml:space="preserve">todas las </w:t>
      </w:r>
      <w:r w:rsidRPr="00AE4E8D">
        <w:rPr>
          <w:lang w:val="es-ES"/>
        </w:rPr>
        <w:t xml:space="preserve">restricciones al acceso al mercado de divisas y a las transferencias de fondos al exterior, reinstaurándose el marco legal vigente con anterioridad a octubre de 2011. </w:t>
      </w:r>
      <w:r w:rsidR="00234448" w:rsidRPr="00AE4E8D">
        <w:rPr>
          <w:lang w:val="es-ES"/>
        </w:rPr>
        <w:t>H</w:t>
      </w:r>
      <w:r w:rsidR="00480492" w:rsidRPr="00AE4E8D">
        <w:rPr>
          <w:lang w:val="es-ES"/>
        </w:rPr>
        <w:t>acia fines de 2016, las restricciones que impedían el libre acceso al MULC fueron eliminadas.</w:t>
      </w:r>
    </w:p>
    <w:p w14:paraId="1D464CBC" w14:textId="77777777" w:rsidR="00CB5660" w:rsidRPr="00AE4E8D" w:rsidRDefault="00CB5660" w:rsidP="00CC3B07">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 xml:space="preserve">Requisitos de Registro </w:t>
      </w:r>
    </w:p>
    <w:p w14:paraId="2CFA8C42" w14:textId="77777777" w:rsidR="00480492" w:rsidRPr="00AE4E8D" w:rsidRDefault="00CB5660" w:rsidP="00B52753">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lang w:val="es-ES"/>
        </w:rPr>
        <w:t>Los deudores deben informar al BCRA todo endeudamiento externo (financiero y comercial) en que incurran y deben registrar y validar dicho endeudamiento de acuerdo con la</w:t>
      </w:r>
      <w:r w:rsidR="00301D7B" w:rsidRPr="00AE4E8D">
        <w:rPr>
          <w:rFonts w:ascii="Times New Roman" w:hAnsi="Times New Roman"/>
          <w:lang w:val="es-ES"/>
        </w:rPr>
        <w:t>s</w:t>
      </w:r>
      <w:r w:rsidRPr="00AE4E8D">
        <w:rPr>
          <w:rFonts w:ascii="Times New Roman" w:hAnsi="Times New Roman"/>
          <w:lang w:val="es-ES"/>
        </w:rPr>
        <w:t xml:space="preserve"> Comunicaci</w:t>
      </w:r>
      <w:r w:rsidR="00301D7B" w:rsidRPr="00AE4E8D">
        <w:rPr>
          <w:rFonts w:ascii="Times New Roman" w:hAnsi="Times New Roman"/>
          <w:lang w:val="es-ES"/>
        </w:rPr>
        <w:t>o</w:t>
      </w:r>
      <w:r w:rsidRPr="00AE4E8D">
        <w:rPr>
          <w:rFonts w:ascii="Times New Roman" w:hAnsi="Times New Roman"/>
          <w:lang w:val="es-ES"/>
        </w:rPr>
        <w:t>n</w:t>
      </w:r>
      <w:r w:rsidR="00301D7B" w:rsidRPr="00AE4E8D">
        <w:rPr>
          <w:rFonts w:ascii="Times New Roman" w:hAnsi="Times New Roman"/>
          <w:lang w:val="es-ES"/>
        </w:rPr>
        <w:t>es</w:t>
      </w:r>
      <w:r w:rsidRPr="00AE4E8D">
        <w:rPr>
          <w:rFonts w:ascii="Times New Roman" w:hAnsi="Times New Roman"/>
          <w:lang w:val="es-ES"/>
        </w:rPr>
        <w:t xml:space="preserve"> “A” 3602</w:t>
      </w:r>
      <w:r w:rsidR="00301D7B" w:rsidRPr="00AE4E8D">
        <w:rPr>
          <w:rFonts w:ascii="Times New Roman" w:hAnsi="Times New Roman"/>
          <w:lang w:val="es-ES"/>
        </w:rPr>
        <w:t xml:space="preserve"> y 4062</w:t>
      </w:r>
      <w:r w:rsidRPr="00AE4E8D">
        <w:rPr>
          <w:rFonts w:ascii="Times New Roman" w:hAnsi="Times New Roman"/>
          <w:lang w:val="es-ES"/>
        </w:rPr>
        <w:t>. Se requiere el cumplimiento de dicho deber de informar al BCRA para que los deudores puedan adquirir moneda extranjera en el mercado de cambios de Argentina a fin de atender al servicio de dicho endeudamiento externo, entre otros requisitos.</w:t>
      </w:r>
      <w:r w:rsidR="00480492" w:rsidRPr="00AE4E8D">
        <w:rPr>
          <w:rFonts w:ascii="Times New Roman" w:hAnsi="Times New Roman"/>
          <w:b/>
          <w:i/>
          <w:lang w:val="es-ES"/>
        </w:rPr>
        <w:t xml:space="preserve"> </w:t>
      </w:r>
    </w:p>
    <w:p w14:paraId="22E39027" w14:textId="77777777" w:rsidR="00480492" w:rsidRPr="00AE4E8D" w:rsidRDefault="00480492" w:rsidP="00480492">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Desembolsos</w:t>
      </w:r>
    </w:p>
    <w:p w14:paraId="0F1DE949" w14:textId="77777777" w:rsidR="00234448" w:rsidRPr="00AE4E8D" w:rsidRDefault="00480492" w:rsidP="00234448">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De conformidad con la Comunicación “A” 5850 del BCRA, los residentes argentinos ya no deben ingresar y liquidar en el mercado de cambios argentino los fondos recibidos por endeudamiento con el exterior, tanto para liquidar capital como sus intereses. Recientemente, por Resolución E 1/2017 </w:t>
      </w:r>
      <w:r w:rsidR="00234448" w:rsidRPr="00AE4E8D">
        <w:rPr>
          <w:rFonts w:ascii="Times New Roman" w:hAnsi="Times New Roman"/>
          <w:lang w:val="es-ES"/>
        </w:rPr>
        <w:t xml:space="preserve">del Ministerio de Finanzas </w:t>
      </w:r>
      <w:r w:rsidRPr="00AE4E8D">
        <w:rPr>
          <w:rFonts w:ascii="Times New Roman" w:hAnsi="Times New Roman"/>
          <w:lang w:val="es-ES"/>
        </w:rPr>
        <w:t>y Comunicación “A” 6150</w:t>
      </w:r>
      <w:r w:rsidR="00234448" w:rsidRPr="00AE4E8D">
        <w:rPr>
          <w:rFonts w:ascii="Times New Roman" w:hAnsi="Times New Roman"/>
          <w:lang w:val="es-ES"/>
        </w:rPr>
        <w:t xml:space="preserve"> del BCRA</w:t>
      </w:r>
      <w:r w:rsidRPr="00AE4E8D">
        <w:rPr>
          <w:rFonts w:ascii="Times New Roman" w:hAnsi="Times New Roman"/>
          <w:lang w:val="es-ES"/>
        </w:rPr>
        <w:t xml:space="preserve">, </w:t>
      </w:r>
      <w:r w:rsidR="00441DC6" w:rsidRPr="00AE4E8D">
        <w:rPr>
          <w:rFonts w:ascii="Times New Roman" w:hAnsi="Times New Roman"/>
          <w:lang w:val="es-ES"/>
        </w:rPr>
        <w:t>se eliminó la obligación que exigía a los no residentes que realizaran inversiones de portafolio en el país destinada a tenencia de activos financieros del sector privado a mantener por un período de 120 días de permanencia los fondos en el país.</w:t>
      </w:r>
    </w:p>
    <w:p w14:paraId="098B4314" w14:textId="77777777" w:rsidR="00480492" w:rsidRPr="00AE4E8D" w:rsidRDefault="00480492" w:rsidP="00480492">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t xml:space="preserve">Pagos de Intereses </w:t>
      </w:r>
    </w:p>
    <w:p w14:paraId="3E991A87" w14:textId="77777777" w:rsidR="00480492" w:rsidRPr="00AE4E8D" w:rsidRDefault="00480492" w:rsidP="00480492">
      <w:pPr>
        <w:pStyle w:val="BHTexto"/>
        <w:rPr>
          <w:lang w:val="es-ES"/>
        </w:rPr>
      </w:pPr>
      <w:r w:rsidRPr="00AE4E8D">
        <w:rPr>
          <w:lang w:val="es-ES"/>
        </w:rPr>
        <w:t>De conformidad con la Comunicación “A” 5850 del BCRA</w:t>
      </w:r>
      <w:r w:rsidR="00441DC6" w:rsidRPr="00AE4E8D">
        <w:rPr>
          <w:lang w:val="es-ES"/>
        </w:rPr>
        <w:t xml:space="preserve">, modificada por la </w:t>
      </w:r>
      <w:r w:rsidR="00441DC6" w:rsidRPr="00AE4E8D">
        <w:rPr>
          <w:rFonts w:eastAsiaTheme="minorHAnsi"/>
          <w:lang w:val="es-ES"/>
        </w:rPr>
        <w:t>Comunicación “A” 6244</w:t>
      </w:r>
      <w:r w:rsidR="006B6163" w:rsidRPr="00AE4E8D">
        <w:rPr>
          <w:lang w:val="es-ES"/>
        </w:rPr>
        <w:t>,</w:t>
      </w:r>
      <w:r w:rsidRPr="00AE4E8D">
        <w:rPr>
          <w:lang w:val="es-ES"/>
        </w:rPr>
        <w:t xml:space="preserve"> </w:t>
      </w:r>
      <w:r w:rsidR="00441DC6" w:rsidRPr="00AE4E8D">
        <w:rPr>
          <w:lang w:val="es-ES"/>
        </w:rPr>
        <w:t xml:space="preserve">y </w:t>
      </w:r>
      <w:r w:rsidR="006B6163" w:rsidRPr="00AE4E8D">
        <w:rPr>
          <w:lang w:val="es-ES"/>
        </w:rPr>
        <w:t xml:space="preserve">la </w:t>
      </w:r>
      <w:r w:rsidRPr="00AE4E8D">
        <w:rPr>
          <w:lang w:val="es-ES"/>
        </w:rPr>
        <w:t>Comunicación “A” 6037, las divisas necesarias para el pago de intereses de endeudamiento externo pueden adquirirse en el mercado de cambios argentino.</w:t>
      </w:r>
    </w:p>
    <w:p w14:paraId="129B72BB" w14:textId="77777777" w:rsidR="00480492" w:rsidRPr="00AE4E8D" w:rsidRDefault="00480492" w:rsidP="00480492">
      <w:pPr>
        <w:keepNext/>
        <w:autoSpaceDE w:val="0"/>
        <w:autoSpaceDN w:val="0"/>
        <w:adjustRightInd w:val="0"/>
        <w:spacing w:after="120"/>
        <w:jc w:val="both"/>
        <w:outlineLvl w:val="3"/>
        <w:rPr>
          <w:rFonts w:ascii="Times New Roman" w:hAnsi="Times New Roman"/>
          <w:b/>
          <w:i/>
          <w:lang w:val="es-ES"/>
        </w:rPr>
      </w:pPr>
      <w:r w:rsidRPr="00AE4E8D">
        <w:rPr>
          <w:rFonts w:ascii="Times New Roman" w:hAnsi="Times New Roman"/>
          <w:b/>
          <w:i/>
          <w:lang w:val="es-ES"/>
        </w:rPr>
        <w:lastRenderedPageBreak/>
        <w:t>Utilidades y Dividendos de Empresas</w:t>
      </w:r>
    </w:p>
    <w:p w14:paraId="708D208F" w14:textId="77777777" w:rsidR="00480492" w:rsidRPr="00AE4E8D" w:rsidRDefault="00480492" w:rsidP="004804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 xml:space="preserve">De acuerdo con las normas cambiarias, las sociedades argentinas pueden acceder libremente al mercado de cambios de Argentina para efectuar remesas al exterior para pagar utilidades y dividendos, en la medida que surjan de balances cerrados y totalmente auditados y hayan cumplido con los requisitos de certificación aplicables. </w:t>
      </w:r>
    </w:p>
    <w:p w14:paraId="712709BA" w14:textId="77777777" w:rsidR="00480492" w:rsidRPr="00AE4E8D" w:rsidRDefault="00480492" w:rsidP="00480492">
      <w:pPr>
        <w:keepNext/>
        <w:autoSpaceDE w:val="0"/>
        <w:autoSpaceDN w:val="0"/>
        <w:adjustRightInd w:val="0"/>
        <w:spacing w:before="240" w:after="240"/>
        <w:outlineLvl w:val="2"/>
        <w:rPr>
          <w:rFonts w:ascii="Times New Roman" w:hAnsi="Times New Roman"/>
          <w:b/>
          <w:lang w:val="es-ES"/>
        </w:rPr>
      </w:pPr>
      <w:bookmarkStart w:id="939" w:name="_Toc420062677"/>
      <w:bookmarkStart w:id="940" w:name="_Toc421201557"/>
      <w:r w:rsidRPr="00AE4E8D">
        <w:rPr>
          <w:rFonts w:ascii="Times New Roman" w:hAnsi="Times New Roman"/>
          <w:b/>
          <w:lang w:val="es-ES"/>
        </w:rPr>
        <w:t>Lavado de Activos y Financiamiento del Terrorismo</w:t>
      </w:r>
      <w:bookmarkEnd w:id="939"/>
      <w:bookmarkEnd w:id="940"/>
      <w:r w:rsidRPr="00AE4E8D">
        <w:rPr>
          <w:rFonts w:ascii="Times New Roman" w:hAnsi="Times New Roman"/>
          <w:b/>
          <w:lang w:val="es-ES"/>
        </w:rPr>
        <w:t xml:space="preserve"> </w:t>
      </w:r>
    </w:p>
    <w:p w14:paraId="01AD2779" w14:textId="77777777" w:rsidR="00480492" w:rsidRPr="00AE4E8D" w:rsidRDefault="00480492" w:rsidP="004804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El concepto de lavado de activos se emplea generalmente para referirse a operaciones destinadas a introducir fondos de actividades ilícitas en el sistema institucional y así transformar las ganancias de actividades ilegales en activos de una fuente presuntamente legítima.</w:t>
      </w:r>
    </w:p>
    <w:p w14:paraId="6AD00D05" w14:textId="77777777" w:rsidR="00480492" w:rsidRPr="00AE4E8D" w:rsidRDefault="00480492" w:rsidP="004804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El 13 de abril de 2000, el Congreso argentino sancionó la Ley Nº25.246, modificada posteriormente por las Leyes N°26.087, N°26.119, Nº26.286, Nº26.683 y Nº26.734) (en conjunto, la “</w:t>
      </w:r>
      <w:r w:rsidRPr="00AE4E8D">
        <w:rPr>
          <w:rFonts w:ascii="Times New Roman" w:hAnsi="Times New Roman"/>
          <w:u w:val="single"/>
          <w:lang w:val="es-ES"/>
        </w:rPr>
        <w:t>Ley Lavado de Activos</w:t>
      </w:r>
      <w:r w:rsidRPr="00AE4E8D">
        <w:rPr>
          <w:rFonts w:ascii="Times New Roman" w:hAnsi="Times New Roman"/>
          <w:lang w:val="es-ES"/>
        </w:rPr>
        <w:t xml:space="preserve">”) que tipifica la acción de lavado de activos como un delito penal y reemplaza varios artículos del Código Penal </w:t>
      </w:r>
      <w:r w:rsidR="0086500C" w:rsidRPr="00AE4E8D">
        <w:rPr>
          <w:rFonts w:ascii="Times New Roman" w:hAnsi="Times New Roman"/>
          <w:lang w:val="es-ES"/>
        </w:rPr>
        <w:t>de A</w:t>
      </w:r>
      <w:r w:rsidRPr="00AE4E8D">
        <w:rPr>
          <w:rFonts w:ascii="Times New Roman" w:hAnsi="Times New Roman"/>
          <w:lang w:val="es-ES"/>
        </w:rPr>
        <w:t>rgentin</w:t>
      </w:r>
      <w:r w:rsidR="0086500C" w:rsidRPr="00AE4E8D">
        <w:rPr>
          <w:rFonts w:ascii="Times New Roman" w:hAnsi="Times New Roman"/>
          <w:lang w:val="es-ES"/>
        </w:rPr>
        <w:t>a</w:t>
      </w:r>
      <w:r w:rsidRPr="00AE4E8D">
        <w:rPr>
          <w:rFonts w:ascii="Times New Roman" w:hAnsi="Times New Roman"/>
          <w:lang w:val="es-ES"/>
        </w:rPr>
        <w:t xml:space="preserve"> relacionados con lavado de activos. Se lo define como aquel que se comete cuando una persona convierte, transfiere, administra, vende, grava o aplica de cualquier otro modo dinero o cualquier clase de bienes provenientes de un delito, con la consecuencia posible de que los bienes originados o los subrogantes adquieran la apariencia de un origen lícito, y siempre que su valor supere la suma de Ps.300.000, ya sea que tal monto resulte de un solo acto o diversas transacciones vinculadas entre sí. A su vez, se considera al lavado de activos como un crimen autónomo contra el orden económico y financiero, escindiéndolo de la figura de encubrimiento, que es un delito contra la administración pública, lo que permite sancionar el delito autónomo de lavado de activos con independencia de la participación en el delito que originó los fondos objeto de dicho lavado. En cumplimiento de las recomendaciones del GAFI sobre prevención de lavado de dinero, el 1 de junio de 2011 el Congreso argentino sancionó la Ley Nº26.683, en virtud de la cual el lavado de dinero es un delito per se, y también se penaliza el lavado de dinero propio. Asimismo, esta ley extiende los deberes de informar a ciertos miembros del sector privado que anteriormente no tenían tal obligación.</w:t>
      </w:r>
    </w:p>
    <w:p w14:paraId="4A905E45" w14:textId="77777777" w:rsidR="00480492" w:rsidRPr="00AE4E8D" w:rsidRDefault="00480492" w:rsidP="004804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Asimismo, la Ley de Lavado de Activos creó la UIF, hoy bajo la órbita del Ministerio de Finanzas de la Nación, que es responsable del manejo y la transmisión de información a fin de prevenir el lavado de activos originados en: (i) delitos relacionados con el tráfico y comercialización ilegal de estupefacientes (Ley Nº23.737); (ii) delitos relacionados con tráfico de armas (Ley Nº22.415); (iii) delitos relacionados con las actividades de una asociación ilícita, según la definición del artículo 210 bis del Código Penal de Argentina, (iv) actos ilegales cometidos por asociaciones ilícitas (artículo 210 del Código Penal de Argentina) constituidas para cometer delitos con objetivos políticos o raciales; (v) delitos de fraude contra la administración pública (artículo 174, inciso 5 del Código Penal de Argentina); (vi) delitos contra la administración pública bajo los capítulos VI, VII, IX y IX bis del Título XI, Libro Segundo del Código Penal de Argentina; (vii) delitos de prostitución de menores y pornografía infantil bajo los artículos 125, 125 bis, 127 bis y 128 del Código Penal de Argentina; (viii) delitos que involucren financiación a terroristas (artículo 213 cuarto del Código Penal de Argentina); (ix) extorsión (artículo 168 del Código Penal de Argentina); (x) delitos contemplados en la Ley Nº24.769; y (xi) tráfico de personas.</w:t>
      </w:r>
    </w:p>
    <w:p w14:paraId="1F7D6BBD" w14:textId="77777777" w:rsidR="00480492" w:rsidRPr="00AE4E8D" w:rsidRDefault="00480492" w:rsidP="004804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Al igual que las leyes contra el lavado de dinero de otros países, la Ley de Lavado de activos no asigna responsabilidad exclusiva al Gobierno Argentino</w:t>
      </w:r>
      <w:r w:rsidRPr="00AE4E8D" w:rsidDel="0014009F">
        <w:rPr>
          <w:rFonts w:ascii="Times New Roman" w:hAnsi="Times New Roman"/>
          <w:lang w:val="es-ES"/>
        </w:rPr>
        <w:t xml:space="preserve"> </w:t>
      </w:r>
      <w:r w:rsidRPr="00AE4E8D">
        <w:rPr>
          <w:rFonts w:ascii="Times New Roman" w:hAnsi="Times New Roman"/>
          <w:lang w:val="es-ES"/>
        </w:rPr>
        <w:t>por la supervisión de estas actividades delictivas, sino que también delega ciertas facultades a diversas partes del sector privado tales como bancos, accionistas, mercados bursátiles y compañías de seguros, que se han convertido en partes legalmente obligadas a brindar información. Estas obligaciones esencialmente consisten de funciones de recolección de información, tales como: (a) obtener de clientes documentos que demuestren irrefutablemente la identidad, status jurídico, domicilio y otra información sobre sus operaciones necesaria para cumplir con la actividad que se desea realizar (política de “conozca a su cliente”); (b) informar a la UIF todas las operaciones consideradas sospechosas (tal como se explica dicho término más adelante) así como toda operación que no tenga justificación económica o legal, o que sea innecesariamente compleja, ya sea que se realice en forma aislada o reiterada; y (c) realizar actividades de monitoreo en relación con un procedimiento conforme a la Ley de Lavado de Activos que es confidencial tanto para clientes como para terceros.</w:t>
      </w:r>
    </w:p>
    <w:p w14:paraId="299AF001" w14:textId="77777777" w:rsidR="00480492" w:rsidRPr="00AE4E8D" w:rsidRDefault="00480492" w:rsidP="004804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Las entidades financieras argentinas deben cumplir con todas las normas anti-lavado de dinero aplicables establecidas por la UIF, el BCRA y, de corresponder, la CNV (como es nuestro caso). En este sentido, de acuerdo con la Resolución N°229/2014 de la UIF (la “</w:t>
      </w:r>
      <w:r w:rsidRPr="00AE4E8D">
        <w:rPr>
          <w:rFonts w:ascii="Times New Roman" w:hAnsi="Times New Roman"/>
          <w:u w:val="single"/>
          <w:lang w:val="es-ES"/>
        </w:rPr>
        <w:t>Resolución Nº229</w:t>
      </w:r>
      <w:r w:rsidRPr="00AE4E8D">
        <w:rPr>
          <w:rFonts w:ascii="Times New Roman" w:hAnsi="Times New Roman"/>
          <w:lang w:val="es-ES"/>
        </w:rPr>
        <w:t xml:space="preserve">”), el BCRA y la CNV son considerados “Órganos de Control Específico”. En tal carácter, deben cooperar con la UIF en la evaluación del cumplimiento de los procedimientos de lucha contra el lavado de dinero de las partes </w:t>
      </w:r>
      <w:r w:rsidRPr="00AE4E8D">
        <w:rPr>
          <w:rFonts w:ascii="Times New Roman" w:hAnsi="Times New Roman"/>
          <w:lang w:val="es-ES"/>
        </w:rPr>
        <w:lastRenderedPageBreak/>
        <w:t>obligadas legalmente a informar que están sujetas a su control. En este sentido, están facultados para supervisar, monitorear e inspeccionar a dichas entidades, y de ser considerado necesario, implementar ciertas medidas y acciones correctivas.</w:t>
      </w:r>
    </w:p>
    <w:p w14:paraId="37F60EA3" w14:textId="77777777" w:rsidR="00480492" w:rsidRPr="00AE4E8D" w:rsidRDefault="00480492" w:rsidP="004804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Resolución Nº121/2011 y la Resolución Nº104/2016, ambas dictadas por la UIF, y sus modificatorias (la “</w:t>
      </w:r>
      <w:r w:rsidRPr="00AE4E8D">
        <w:rPr>
          <w:rFonts w:ascii="Times New Roman" w:hAnsi="Times New Roman"/>
          <w:u w:val="single"/>
          <w:lang w:val="es-ES"/>
        </w:rPr>
        <w:t>Resolución Nº121”</w:t>
      </w:r>
      <w:r w:rsidRPr="00AE4E8D">
        <w:rPr>
          <w:rFonts w:ascii="Times New Roman" w:hAnsi="Times New Roman"/>
          <w:lang w:val="es-ES"/>
        </w:rPr>
        <w:t xml:space="preserve"> y la </w:t>
      </w:r>
      <w:r w:rsidRPr="00AE4E8D">
        <w:rPr>
          <w:rFonts w:ascii="Times New Roman" w:hAnsi="Times New Roman"/>
          <w:u w:val="single"/>
          <w:lang w:val="es-ES"/>
        </w:rPr>
        <w:t>“Resolución Nº104</w:t>
      </w:r>
      <w:r w:rsidRPr="00AE4E8D">
        <w:rPr>
          <w:rFonts w:ascii="Times New Roman" w:hAnsi="Times New Roman"/>
          <w:lang w:val="es-ES"/>
        </w:rPr>
        <w:t xml:space="preserve">”), son aplicables a las entidades financieras sujetas a la Ley de Entidades Financieras, a las entidades sujetas al régimen de la Ley Nº18.924, y sus modificatorias, y a las personas humanas o jurídicas autorizadas por el BCRA para operar en la compraventa de divisas bajo forma de dinero o de cheques extendidos en divisas o mediante el uso de tarjetas de crédito o débito, o en la transmisión de fondos dentro y fuera del territorio nacional. La Resolución Nº229 de la UIF, con sus modificatorias y complementarias, y la Resolución N°52/2012 sobre Personas Políticamente Expuestas, son aplicables a todos los agentes bursátiles y sociedades de bolsa, compañías administradoras de fondos de inversión, agentes del mercado secundario, intermediarios en la compra o arrendamiento de títulos afiliados a entidades bursátiles con o sin mercados asociados, y agentes intermediarios registrados en mercados de futuros u opciones. La Resolución N°140/2012 de la UIF es aplicable a todos los fiduciarios y administradores de valores fiduciarios regulando los fideicomisos. La Resolución Nº121, la Resolución Nº229 y la Resolución Nº104 regulan, entre otras, la obligación de recolectar la documentación de clientes y los términos, obligaciones y restricciones para el cumplimiento del deber de informar operaciones sospechosas de lavado de dinero y financiación del terrorismo. </w:t>
      </w:r>
    </w:p>
    <w:p w14:paraId="759C467F" w14:textId="77777777" w:rsidR="00480492" w:rsidRPr="00AE4E8D" w:rsidRDefault="00480492" w:rsidP="004804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La Resolución Nº121, la Resolución Nº229 y la Resolución Nº104 establecen las pautas generales referidas a identificación del cliente (incluyendo la distinción entre clientes ocasionales y regulares), la información a solicitar, la documentación a presentar y los procedimientos para detectar e informar operaciones sospechosas. Asimismo, las principales funciones establecidas en dichas resoluciones son las siguientes: a) crear un manual que fije los mecanismos y procedimientos a emplear para prevenir el lavado de dinero y la financiación del terrorismo; b) designar a un miembro del Directorio como funcionario responsable del cumplimiento; c) implementar auditorías periódicas; d) ofrecer capacitación al personal; e) crear un registro de operaciones inusuales (tal como se explica este término a continuación) y sospechosas detectadas; f) implementar herramientas tecnológicas para permitir el desarrollo de sistemas de control eficientes para la prevención del lavado de dinero y financiamiento del terrorismo; g) implementar medidas para permitir a las personas obligadas bajo la Resolución Nº121, la Resolución Nº229 y la Resolución Nº104, a consolidar electrónicamente las operaciones realizadas con clientes, y desarrollar herramientas electrónicas para identificar ciertas conductas y observar operaciones potencialmente sospechosas, solicitando información y, de corresponder, documentos respaldatorios de sus clientes; y h) adoptar métodos de identificación más estrictos para clientes con características específicas según lo dispuesto por las entidades regulatorias aplicables a las entidades cubiertas por la Resolución Nº121, la Resolución Nº229 y la Resolución Nº104, como partes legalmente obligadas a informar, que deben informar toda actividad sospechosa de lavado de dinero a la UIF dentro de los 150 días corridos de su acaecimiento (o tentativa) y toda actividad sospechosa de financiación del terrorismo dentro de las 48 horas de su acaecimiento (o tentativa). Sin embargo, de acuerdo con la Resolución N°3/2014 de la UIF, dentro del plazo de 150 días corridos, las entidades cubiertas por la Resolución Nº121, la Resolución Nº229 y la Resolución Nº104 deben informar toda actividad sospechosa de lavado de dinero a la UIF dentro de los 30 días corridos de la fecha en que dicha actividad es calificada como sospechosa por dicha parte con obligación legal de informar.</w:t>
      </w:r>
    </w:p>
    <w:p w14:paraId="07497AB0" w14:textId="77777777" w:rsidR="00480492" w:rsidRPr="00AE4E8D" w:rsidRDefault="00480492" w:rsidP="00480492">
      <w:pPr>
        <w:autoSpaceDE w:val="0"/>
        <w:autoSpaceDN w:val="0"/>
        <w:adjustRightInd w:val="0"/>
        <w:spacing w:before="120" w:after="120"/>
        <w:jc w:val="both"/>
        <w:rPr>
          <w:rFonts w:ascii="Times New Roman" w:hAnsi="Times New Roman"/>
          <w:lang w:val="es-ES"/>
        </w:rPr>
      </w:pPr>
      <w:r w:rsidRPr="00AE4E8D">
        <w:rPr>
          <w:rFonts w:ascii="Times New Roman" w:hAnsi="Times New Roman"/>
          <w:lang w:val="es-ES"/>
        </w:rPr>
        <w:t>Según la Resolución Nº121 y la Resolución Nº104, se consideran operaciones inusuales aquellas intentadas o consumadas, en forma aislada o regular, sin una justificación económica o legal, que no se corresponden con el perfil económico y financiero del cliente y que se apartan de las prácticas de mercado estándar, considerando su frecuencia, regularidad, monto, complejidad, naturaleza u otras características específicas. De acuerdo con la Resolución Nº229, una operación inusual es aquella que puede ser sospechada -considerando la aptitud del informante a la luz de la actividad que realiza y el análisis efectuado- de ser una operación de lavado de activos y financiación del terrorismo. Por otra parte, bajo la Resolución Nº121, la Resolución Nº229 y la Resolución Nº104, las operaciones sospechosas son las intentadas o consumadas que, habiendo sido previamente identificadas como operaciones inusuales por la parte obligada por ley a informar, son incongruentes con las actividades lícitas declaradas por el cliente o, aún si se relacionan con actividades lícitas, originan sospechas de estar vinculadas a o empleadas para financiar el terrorismo.</w:t>
      </w:r>
    </w:p>
    <w:p w14:paraId="28F471DA" w14:textId="77777777" w:rsidR="00480492" w:rsidRPr="00AE4E8D" w:rsidRDefault="00480492" w:rsidP="00480492">
      <w:pPr>
        <w:pStyle w:val="BHTexto"/>
        <w:rPr>
          <w:lang w:val="es-ES"/>
        </w:rPr>
      </w:pPr>
      <w:r w:rsidRPr="00AE4E8D">
        <w:rPr>
          <w:lang w:val="es-ES"/>
        </w:rPr>
        <w:t>Por Resolución 50/2011, los sujetos que resultan obligados a reportar operaciones sospechosas, a partir de los parámetros indicados por la UIF, se encuentran obligados a registrarse ante la UIF. Dicha Resolución fue complementada por la Resolución 460/2015, que estableció además la obligación de registrar vía web (</w:t>
      </w:r>
      <w:hyperlink w:history="1"/>
      <w:r w:rsidRPr="00AE4E8D">
        <w:rPr>
          <w:lang w:val="es-ES"/>
        </w:rPr>
        <w:t>www.argentina.gob.ar/uif) en el Sistema de Reporte de Operaciones (</w:t>
      </w:r>
      <w:r w:rsidR="0086500C" w:rsidRPr="00AE4E8D">
        <w:rPr>
          <w:lang w:val="es-ES"/>
        </w:rPr>
        <w:t>“</w:t>
      </w:r>
      <w:r w:rsidRPr="00AE4E8D">
        <w:rPr>
          <w:u w:val="single"/>
          <w:lang w:val="es-ES"/>
        </w:rPr>
        <w:t>SRO</w:t>
      </w:r>
      <w:r w:rsidR="0086500C" w:rsidRPr="00AE4E8D">
        <w:rPr>
          <w:lang w:val="es-ES"/>
        </w:rPr>
        <w:t>”</w:t>
      </w:r>
      <w:r w:rsidRPr="00AE4E8D">
        <w:rPr>
          <w:lang w:val="es-ES"/>
        </w:rPr>
        <w:t xml:space="preserve">), y de presentar en formato </w:t>
      </w:r>
      <w:r w:rsidRPr="00AE4E8D">
        <w:rPr>
          <w:lang w:val="es-ES"/>
        </w:rPr>
        <w:lastRenderedPageBreak/>
        <w:t>papel ante la Mesa de Entradas de la UIF, dentro de los siguientes 15 días hábiles administrativos a la registración en el SRO, toda la documentación que respalde dicha registración.</w:t>
      </w:r>
    </w:p>
    <w:p w14:paraId="44C08FB6" w14:textId="77777777" w:rsidR="00480492" w:rsidRPr="00AE4E8D" w:rsidRDefault="00480492" w:rsidP="00CD6E97">
      <w:pPr>
        <w:pStyle w:val="BHTexto"/>
        <w:rPr>
          <w:lang w:val="es-ES"/>
        </w:rPr>
      </w:pPr>
      <w:r w:rsidRPr="00AE4E8D">
        <w:rPr>
          <w:lang w:val="es-ES"/>
        </w:rPr>
        <w:t xml:space="preserve">El BCRA y la CNV deben asimismo cumplir con las reglamentaciones sobre lavado de dinero establecidas por la UIF, entre ellas el informar operaciones sospechosas. Específicamente, el BCRA debe cumplir con la Resolución Nº12/2011 de la UIF, complementada, entre otras, por las Resoluciones Nº1/2012 y Nº92/2012, que, entre otras cosas, establece la obligación del BCRA de evaluar los controles sobre lavado de activos implementados por las entidades financieras de Argentina y enumera ejemplos de las circunstancias que deben ser consideradas especialmente para establecer si una operación específica puede ser considerada inusual y eventualmente calificada como sospechosa. Las operaciones mencionadas deben ser especialmente observadas por el BCRA e incluyen, entre otras, todas las operaciones que involucren entidades financieras, operaciones regulares que involucren valores </w:t>
      </w:r>
      <w:r w:rsidR="005A14E7" w:rsidRPr="00AE4E8D">
        <w:rPr>
          <w:lang w:val="es-ES"/>
        </w:rPr>
        <w:t xml:space="preserve">negociables </w:t>
      </w:r>
      <w:r w:rsidRPr="00AE4E8D">
        <w:rPr>
          <w:lang w:val="es-ES"/>
        </w:rPr>
        <w:t>(especialmente compras y ventas diarias del mismo monto de valores</w:t>
      </w:r>
      <w:r w:rsidR="005A14E7" w:rsidRPr="00AE4E8D">
        <w:rPr>
          <w:lang w:val="es-ES"/>
        </w:rPr>
        <w:t xml:space="preserve"> negociables</w:t>
      </w:r>
      <w:r w:rsidRPr="00AE4E8D">
        <w:rPr>
          <w:lang w:val="es-ES"/>
        </w:rPr>
        <w:t xml:space="preserve">), aportes de capital en entidades financieras pagados en efectivo (o medios distintos de transferencias bancarias) y aportes de capital por parte de empresas constituidas o domiciliadas en jurisdicciones que no permiten información relativa a las relaciones familiares de sus accionistas, miembros del Directorio o su comisión fiscalizadora, depósitos o retiros en efectivo por montos inusuales por personas humanas o jurídicas que normalmente emplean cheques u otros instrumentos financieros y/o cuyas actividades declaradas no se corresponden con el tipo o monto de la operación; depósitos en efectivo posteriores por montos pequeños que en total dan como resultado la suma correspondiente; un mismo cliente que posee numerosas cuentas que en total tienen sumas incongruentes con la actividad declarada por dicho cliente; transferencias de fondos por montos incongruentes con la actividad del cliente u operaciones usuales; cuentas con distintos firmantes autorizados que no tienen relación aparente (en particular cuando están domiciliados o actúan en el extranjero o en paraísos fiscales); clientes que imprevistamente cancelan préstamos; depósitos o retiros en efectivo frecuentes por importes relevantes sin justificación comercial. Por otra parte, la CNV debe cumplir con la Resolución Nº22/2011 de la UIF, complementada, entre otras, por las Resoluciones Nº1/2012 y Nº92/2012, que establece la obligación de la CNV de evaluar los controles de lavado de dinero implementados por las entidades sujetas a su control, y también enumera algunos ejemplos de las circunstancias que deben considerarse especialmente para establecer si una operación en particular puede ser considerada inusual y eventualmente calificar como sospechosa. </w:t>
      </w:r>
    </w:p>
    <w:p w14:paraId="2A5618F4" w14:textId="77777777" w:rsidR="00480492" w:rsidRPr="00AE4E8D" w:rsidRDefault="00480492" w:rsidP="00CD6E97">
      <w:pPr>
        <w:pStyle w:val="BHTexto"/>
        <w:rPr>
          <w:lang w:val="es-ES"/>
        </w:rPr>
      </w:pPr>
      <w:r w:rsidRPr="00AE4E8D">
        <w:rPr>
          <w:lang w:val="es-ES"/>
        </w:rPr>
        <w:t>El régimen de “conozca a su cliente” fue recientemente enmendado por la Resolución Nº104/2016 de la UIF que redefinió ciertos conceptos, por ejemplo, de qué se considera cliente ocasional, habitual, y qué son las operaciones sospechosas. Asimismo, por Resolución Nº04/2017</w:t>
      </w:r>
      <w:r w:rsidR="00A36FFB" w:rsidRPr="00AE4E8D">
        <w:rPr>
          <w:lang w:val="es-ES"/>
        </w:rPr>
        <w:t xml:space="preserve"> de la UIF, junto con la Resolución General CNV Nº692/2017</w:t>
      </w:r>
      <w:r w:rsidRPr="00AE4E8D">
        <w:rPr>
          <w:lang w:val="es-ES"/>
        </w:rPr>
        <w:t xml:space="preserve"> </w:t>
      </w:r>
      <w:r w:rsidR="00A36FFB" w:rsidRPr="00AE4E8D">
        <w:rPr>
          <w:lang w:val="es-ES"/>
        </w:rPr>
        <w:t>establecen</w:t>
      </w:r>
      <w:r w:rsidRPr="00AE4E8D">
        <w:rPr>
          <w:lang w:val="es-ES"/>
        </w:rPr>
        <w:t xml:space="preserve"> nueva</w:t>
      </w:r>
      <w:r w:rsidR="00A36FFB" w:rsidRPr="00AE4E8D">
        <w:rPr>
          <w:lang w:val="es-ES"/>
        </w:rPr>
        <w:t>s</w:t>
      </w:r>
      <w:r w:rsidRPr="00AE4E8D">
        <w:rPr>
          <w:lang w:val="es-ES"/>
        </w:rPr>
        <w:t xml:space="preserve"> </w:t>
      </w:r>
      <w:r w:rsidR="00A36FFB" w:rsidRPr="00AE4E8D">
        <w:rPr>
          <w:lang w:val="es-ES"/>
        </w:rPr>
        <w:t xml:space="preserve">pautas </w:t>
      </w:r>
      <w:r w:rsidRPr="00AE4E8D">
        <w:rPr>
          <w:lang w:val="es-ES"/>
        </w:rPr>
        <w:t>respecto de la debida diligencia e investigación que debe hacerse a los clientes, tanto nacionales como extranjeros, que tengan como único fin abrir cuentas con destino a inversión en el país.</w:t>
      </w:r>
    </w:p>
    <w:p w14:paraId="44080854" w14:textId="77777777" w:rsidR="00480492" w:rsidRPr="00AE4E8D" w:rsidRDefault="00480492" w:rsidP="00CD6E97">
      <w:pPr>
        <w:pStyle w:val="BHTexto"/>
        <w:rPr>
          <w:lang w:val="es-ES"/>
        </w:rPr>
      </w:pPr>
      <w:r w:rsidRPr="00AE4E8D">
        <w:rPr>
          <w:lang w:val="es-ES"/>
        </w:rPr>
        <w:t xml:space="preserve">Las normas del BCRA exigen a los bancos argentinos adoptar ciertas precauciones para impedir el lavado de dinero. En este sentido, el BCRA recomienda a las entidades financieras crear un comité anti-lavado de dinero, para asistir en el cumplimiento de las reglamentaciones sobre lavado de dinero. Asimismo, según se ha mencionado, cada entidad financiera debe designar un miembro del Directorio como la persona responsable de la prevención del lavado de dinero, a cargo de centralizar toda información que el BCRA pueda requerir por propia iniciativa o a solicitud de cualquier autoridad competente e informar todas las operaciones sospechosas a la UIF. Asimismo, las pautas emitidas por el BCRA para detectar operaciones inusuales o sospechadas de lavado de activos o financiación del terrorismo exigen informar las operaciones sospechosas en base a los recursos de la entidad sujeta a la obligación de informar y al tipo de análisis realizado. En particular se considerarán, entre otras, las siguientes circunstancias: (a) si el monto, tipo, frecuencia y naturaleza de una operación realizada por un cliente no tiene relación con sus antecedentes y actividad financiera previa; (b) montos inusualmente altos u operaciones de una complejidad y tipo no usuales para el cliente respectivo; (c) si un cliente se niega a brindar información o documentos requeridos por la entidad o se verifica que la información presentada fue alterada; (d) si un cliente no cumple con cualquier reglamentación aplicable; (e) si un cliente parece demostrar una desaprensión inusual a los riesgos que puede estar asumiendo y/o los costos involucrados en las operaciones, en forma incompatible con el perfil financiero del cliente; (f) si está involucrado un país o jurisdicción que no es un territorio o estado asociado incluido en la lista de países cooperadores del Decreto Nº589/2013, artículo 2(b); (g) si un mismo domicilio aparece registrado para distintas personas jurídicas o las mismas personas humanas fueron facultadas por y/o actúan como apoderados para diferentes personas jurídicas y dicha circunstancia no está justificada por ninguna razón financiera o legal, en particular teniendo en cuenta si tales compañías o entidades no están constituidas, domiciliadas o son residentes de dominios, jurisdicciones, territorios o estados asociados incluidos en la lista de países cooperadores del Decreto Nº589/2013; artículo 2(b), y su principal actividad comercial involucra </w:t>
      </w:r>
      <w:r w:rsidRPr="00AE4E8D">
        <w:rPr>
          <w:lang w:val="es-ES"/>
        </w:rPr>
        <w:lastRenderedPageBreak/>
        <w:t>operaciones en el extranjero; (h) operaciones de naturaleza, monto o tipo similar o realizadas simultáneamente en las que se presuma que una misma operación ha sido dividida en varias a los fines de evitar la aplicación de procedimientos de detección y/o información de operaciones; (i) si se obtienen constantemente ganancias o pérdidas de operaciones realizadas reiteradamente entre las mismas partes; o (j) si existen signos que sugieren una fuente; manejo o uso ilegal de los fondos involucrados en las operaciones, y la entidad sujeta a la obligación legal no tiene explicación para ello.</w:t>
      </w:r>
    </w:p>
    <w:p w14:paraId="0334677F" w14:textId="77777777" w:rsidR="00480492" w:rsidRPr="00AE4E8D" w:rsidRDefault="00480492" w:rsidP="00CD6E97">
      <w:pPr>
        <w:pStyle w:val="BHTexto"/>
        <w:rPr>
          <w:lang w:val="es-ES"/>
        </w:rPr>
      </w:pPr>
      <w:r w:rsidRPr="00AE4E8D">
        <w:rPr>
          <w:lang w:val="es-ES"/>
        </w:rPr>
        <w:t>Asimismo, en virtud de la Comunicación “A” 5612 y “A” 5736, en vigencia a partir de febrero de 2015 y 1 de abril de 2015 respectivamente, las entidades financieras de Argentina deben cumplir con ciertas “políticas de conozca a su cliente” adicionales. En este sentido, de acuerdo con dicha Comunicación, no pueden iniciarse bajo ninguna circunstancia nuevas relaciones comerciales si no se cumplen las “políticas de conozca a su cliente” y los parámetros legales de gestión de riesgo. Asimismo, en lo que respecta a clientes existentes: (i) de no poderse cumplir con las “políticas de conozca a su cliente”, la entidad financiera argentina debe interrumpir operaciones con dicho cliente (es decir, el cese de relación con el cliente de acuerdo con las normas del BCRA para cada tipo de producto) dentro de los 150 días corridos de la notificación de dichas circunstancias; y (ii) si una operación determinada es calificada de sospechosa por la entidad financiera argentina, las operaciones con dicho cliente deben ser interrumpidas dentro de los 30 días corridos de dicha calificación (existen ciertas excepciones para cuentas especiales, tales como cuentas de seguridad social, cuentas sueldo y cuentas universales gratuitas, en las que pueden implementarse procedimientos simplificados de diligencia debida). Por otra parte, en virtud de esta Comunicación, las entidades financieras argentinas deben conservar la documentación relacionada con la interrupción por un plazo de 10 años e incluir en sus manuales de prevención los procedimientos detallados para iniciar y discontinuar operaciones con clientes de acuerdo con las “políticas de conozca a su cliente” implementadas.</w:t>
      </w:r>
    </w:p>
    <w:p w14:paraId="0C73129C" w14:textId="77777777" w:rsidR="00480492" w:rsidRPr="00AE4E8D" w:rsidRDefault="00480492" w:rsidP="00CD6E97">
      <w:pPr>
        <w:pStyle w:val="BHTexto"/>
        <w:rPr>
          <w:color w:val="000000"/>
          <w:lang w:val="es-ES"/>
        </w:rPr>
      </w:pPr>
      <w:r w:rsidRPr="00AE4E8D">
        <w:rPr>
          <w:lang w:val="es-ES"/>
        </w:rPr>
        <w:t xml:space="preserve">Las Normas de la CNV (con la modificaciones introducidas en septiembre de 2013) incluyen un capítulo específico sobre “Prevención de Lavado de Activos y Financiación del Terrorismo” donde establecen que las personas allí mencionadas (incluyendo, entre otros, Agentes de Negociación, Agentes de Compensación y Liquidación (corredores de bolsa) y Agentes de Distribución y Colocación) deben ser consideradas legalmente obligadas a informar bajo la Ley de Lavado de Activos, y por ende están obligadas a cumplir con todas las leyes y reglamentaciones vigentes referidas a lavado de activos y financiación de terrorismo, incluyendo las resoluciones </w:t>
      </w:r>
      <w:r w:rsidRPr="00AE4E8D">
        <w:rPr>
          <w:color w:val="000000"/>
          <w:lang w:val="es-ES"/>
        </w:rPr>
        <w:t>dictadas por la UIF, los decretos del poder ejecutivo sobre resoluciones emitidas por el Consejo de Seguridad de Naciones Unidas en relación con la lucha contra el terrorismo y las resoluciones (y sus anexos) dictadas por el Ministro de Relaciones Exteriores. Asimismo, las Normas de la CNV imponen ciertas restricciones en relación con acuerdos de pago (restringiendo, entre otras medidas, a Ps.1.000 el monto en efectivo que las entidades allí mencionadas pueden recibir o pagar por día y por cliente) y establecen ciertas obligaciones de informar.</w:t>
      </w:r>
    </w:p>
    <w:p w14:paraId="359DA93E" w14:textId="77777777" w:rsidR="00480492" w:rsidRPr="00AE4E8D" w:rsidRDefault="00480492" w:rsidP="00CD6E97">
      <w:pPr>
        <w:pStyle w:val="BHTexto"/>
        <w:rPr>
          <w:lang w:val="es-ES"/>
        </w:rPr>
      </w:pPr>
      <w:r w:rsidRPr="00AE4E8D">
        <w:rPr>
          <w:color w:val="000000"/>
          <w:lang w:val="es-ES"/>
        </w:rPr>
        <w:t xml:space="preserve">Además, las Normas de la CNV establecen que las entidades antes mencionadas únicamente podrán realizar las operaciones allí previstas bajo el sistema de oferta pública, </w:t>
      </w:r>
      <w:r w:rsidRPr="00AE4E8D">
        <w:rPr>
          <w:lang w:val="es-ES"/>
        </w:rPr>
        <w:t>cuando sean efectuadas u ordenadas por sujetos constituidos, domiciliados o que residan en dominios, jurisdicciones, territorios o estados asociados que figuren incluidos dentro del listado de países cooperadores previsto en el artículo 2° inciso b) del Decreto Nº589/2013. Cuando dichos sujetos no se encuentren incluidos dentro de dicho listado y revistan en su jurisdicción de origen la calidad de intermediarios registrados en una entidad bajo control y fiscalización de un organismo que cumpla similares funciones a las de la CNV, sólo se deberá dar curso a ese tipo de operaciones siempre que acrediten que la autoridad bursátil de su jurisdicción de origen ha firmado un memorando de entendimiento de cooperación e intercambio de información con la CNV.</w:t>
      </w:r>
    </w:p>
    <w:p w14:paraId="7C726D54" w14:textId="77777777" w:rsidR="00480492" w:rsidRPr="00AE4E8D" w:rsidRDefault="00480492" w:rsidP="00CD6E97">
      <w:pPr>
        <w:pStyle w:val="BHTexto"/>
        <w:rPr>
          <w:color w:val="000000"/>
          <w:lang w:val="es-ES"/>
        </w:rPr>
      </w:pPr>
      <w:r w:rsidRPr="00AE4E8D">
        <w:rPr>
          <w:color w:val="000000"/>
          <w:lang w:val="es-ES"/>
        </w:rPr>
        <w:t xml:space="preserve">El poder Ejecutivo mediante decreto 360/2016 de fecha 16/02/2016 </w:t>
      </w:r>
      <w:r w:rsidRPr="00AE4E8D">
        <w:rPr>
          <w:rStyle w:val="Textoennegrita"/>
          <w:b w:val="0"/>
          <w:color w:val="000000"/>
          <w:lang w:val="es-ES"/>
        </w:rPr>
        <w:t>crea, en el ámbito del Ministerio de Justicia y Derechos Humanos, el "Programa de Coordinación Nacional Para el Combate del Lavado de Activos y la Financiación del Terrorismo"</w:t>
      </w:r>
      <w:r w:rsidRPr="00AE4E8D">
        <w:rPr>
          <w:b/>
          <w:color w:val="000000"/>
          <w:lang w:val="es-ES"/>
        </w:rPr>
        <w:t xml:space="preserve">. </w:t>
      </w:r>
      <w:r w:rsidRPr="00AE4E8D">
        <w:rPr>
          <w:color w:val="000000"/>
          <w:lang w:val="es-ES"/>
        </w:rPr>
        <w:t>El mismo tendrá el objetivo de reorganizar, coordinar y fortalecer el sistema nacional anti lavado de activos y contra la financiación del terrorismo, en atención a los riesgos concretos que puedan tener impacto en el territorio nacional y a las exigencias globales en el cumplimiento de las obligaciones y recomendaciones internacionales de las Convenciones de la ONU y los estándares del GAFI.</w:t>
      </w:r>
    </w:p>
    <w:p w14:paraId="4CD91AD0" w14:textId="77777777" w:rsidR="00480492" w:rsidRPr="00AE4E8D" w:rsidRDefault="00480492" w:rsidP="00CD6E97">
      <w:pPr>
        <w:pStyle w:val="BHTexto"/>
        <w:rPr>
          <w:color w:val="000000"/>
          <w:lang w:val="es-ES"/>
        </w:rPr>
      </w:pPr>
      <w:r w:rsidRPr="00AE4E8D">
        <w:rPr>
          <w:color w:val="000000"/>
          <w:lang w:val="es-ES"/>
        </w:rPr>
        <w:t xml:space="preserve">Con fecha 22 de julio de 2016 se promulgó la Ley 27.260 (denominada, Programa Nacional de Reparación Histórica para Jubilados y Pensionados) que pone en funcionamiento un esquema de Sinceramiento Fiscal para los contribuyentes que voluntariamente y por única vez adhieran al mismo antes del 31 de marzo de 2017. Dicha disposición y sus normas complementarias se enmarcan en las recomendaciones del GAFI para este tipo de procesos, previniendo que los fondos sincerados no provengan de delitos graves que pudieran contaminar la economía del país, o en sus casos reportarlos para </w:t>
      </w:r>
      <w:r w:rsidRPr="00AE4E8D">
        <w:rPr>
          <w:color w:val="000000"/>
          <w:lang w:val="es-ES"/>
        </w:rPr>
        <w:lastRenderedPageBreak/>
        <w:t>que las autoridades procedan a su investigación. En tal sentido, se emitió la Resolución Nº92/2016 a fin de que los reportes que deban hacerse causados en la adhesión al régimen de sinceramiento fiscal, queden canalizados por separado de los reportes generales que se reciben fuera de la Ley 27.260. La citada ley también cambia de jurisdicción a la UIF pasando del Ministerio de Justicia y Derechos Humanos al Ministerio de Hacienda y Finanzas Públicas de la Nación manteniendo su autonomía y autarquía financiera. Hoy, ante la división del Ministerio, la UIF quedó bajo la órbita del Ministerio de Finanzas.</w:t>
      </w:r>
    </w:p>
    <w:p w14:paraId="3FE67B99" w14:textId="77777777" w:rsidR="00480492" w:rsidRPr="00AE4E8D" w:rsidRDefault="00480492" w:rsidP="00CD6E97">
      <w:pPr>
        <w:pStyle w:val="BHTexto"/>
        <w:rPr>
          <w:color w:val="000000"/>
          <w:lang w:val="es-ES"/>
        </w:rPr>
      </w:pPr>
      <w:r w:rsidRPr="00AE4E8D">
        <w:rPr>
          <w:color w:val="000000"/>
          <w:lang w:val="es-ES"/>
        </w:rPr>
        <w:t>Con fecha 11 de agosto de 2016, la UIF emitió la Resolución N°94/2016 la cual tiende a la bancarización, mediante la implementación de medidas de debida diligencia simplificadas para la apertura de cuentas con saldos de hasta 25 salarios mínimos vitales y móviles con la sola presentación de una declaración jurada sobre condición de Persona Expuesta Políticamente y documento de identidad.</w:t>
      </w:r>
    </w:p>
    <w:p w14:paraId="082074DA" w14:textId="77777777" w:rsidR="00480492" w:rsidRPr="00AE4E8D" w:rsidRDefault="00480492" w:rsidP="00CD6E97">
      <w:pPr>
        <w:pStyle w:val="BHTexto"/>
        <w:rPr>
          <w:color w:val="000000"/>
          <w:lang w:val="es-ES"/>
        </w:rPr>
      </w:pPr>
      <w:r w:rsidRPr="00AE4E8D">
        <w:rPr>
          <w:color w:val="000000"/>
          <w:lang w:val="es-ES"/>
        </w:rPr>
        <w:t>El 30 de agosto de 2016, la UIF emitió la Resolución N°94/2016 adecuando ciertos umbrales normativos a efectos de ajustarlos a la evolución de la macro economía del país.</w:t>
      </w:r>
    </w:p>
    <w:p w14:paraId="602F819F" w14:textId="77777777" w:rsidR="00480492" w:rsidRPr="00AE4E8D" w:rsidRDefault="00480492" w:rsidP="00CD6E97">
      <w:pPr>
        <w:pStyle w:val="BHTexto"/>
        <w:rPr>
          <w:color w:val="000000"/>
          <w:lang w:val="es-ES"/>
        </w:rPr>
      </w:pPr>
      <w:r w:rsidRPr="00AE4E8D">
        <w:rPr>
          <w:color w:val="000000"/>
          <w:lang w:val="es-ES"/>
        </w:rPr>
        <w:t>Con fecha 14 de octubre de 2016 la UIF emitió la Resolución N°135/2016 dictando normas para fortalecer el intercambio de información internacional con organismos análogos con los que suscriba acuerdos o memorandos de entendimiento y a aquellos organismos públicos extranjeros que integren el Grupo Egmont de Unidades de Inteligencia Financiera o la Red de Recuperación de Activos del Grupo de Acción Financiera de Latinoamérica (GAFILAT).</w:t>
      </w:r>
    </w:p>
    <w:p w14:paraId="198C93F8" w14:textId="77777777" w:rsidR="00480492" w:rsidRPr="00AE4E8D" w:rsidRDefault="00480492" w:rsidP="00CD6E97">
      <w:pPr>
        <w:pStyle w:val="BHTexto"/>
        <w:rPr>
          <w:color w:val="000000"/>
          <w:lang w:val="es-ES"/>
        </w:rPr>
      </w:pPr>
      <w:r w:rsidRPr="00AE4E8D">
        <w:rPr>
          <w:color w:val="000000"/>
          <w:lang w:val="es-ES"/>
        </w:rPr>
        <w:t xml:space="preserve">Con fecha 2 de noviembre de 2016 mediante las resoluciones UIF Nº141/2016, la UIF modificó la Resolución Nº121, la Resolución Nº229 de 2011 </w:t>
      </w:r>
      <w:r w:rsidRPr="00AE4E8D">
        <w:rPr>
          <w:lang w:val="es-ES"/>
        </w:rPr>
        <w:t>y la Resolución Nº104</w:t>
      </w:r>
      <w:r w:rsidRPr="00AE4E8D">
        <w:rPr>
          <w:color w:val="000000"/>
          <w:lang w:val="es-ES"/>
        </w:rPr>
        <w:t xml:space="preserve"> aplicables a los sectores financieros y bursátiles. Los principales cambios se relacionan con la aplicación del secreto fiscal y el trazado del perfil de los clientes con un enfoque basado en riesgo. Respecto del secreto fiscal, las entidades no podrán requerir de los clientes declaraciones juradas impositivas nacionales. Los perfiles de los clientes deberán basarse en un nivel de riesgo, la situación patrimonial, económica y financiera en función de la documentación que se obtenga y también deberá trazarse para cada cliente un perfil transaccional.</w:t>
      </w:r>
    </w:p>
    <w:p w14:paraId="41155774" w14:textId="77777777" w:rsidR="00626FCE" w:rsidRPr="00AE4E8D" w:rsidRDefault="00EA0879" w:rsidP="00CD6E97">
      <w:pPr>
        <w:pStyle w:val="BHTexto"/>
        <w:rPr>
          <w:color w:val="000000"/>
          <w:lang w:val="es-ES"/>
        </w:rPr>
      </w:pPr>
      <w:r w:rsidRPr="00AE4E8D">
        <w:rPr>
          <w:color w:val="000000"/>
          <w:lang w:val="es-ES"/>
        </w:rPr>
        <w:t xml:space="preserve">La </w:t>
      </w:r>
      <w:r w:rsidR="000E1220" w:rsidRPr="00AE4E8D">
        <w:rPr>
          <w:color w:val="000000"/>
          <w:lang w:val="es-ES"/>
        </w:rPr>
        <w:t>Resolución</w:t>
      </w:r>
      <w:r w:rsidRPr="00AE4E8D">
        <w:rPr>
          <w:color w:val="000000"/>
          <w:lang w:val="es-ES"/>
        </w:rPr>
        <w:t xml:space="preserve"> </w:t>
      </w:r>
      <w:r w:rsidR="00626FCE" w:rsidRPr="00AE4E8D">
        <w:rPr>
          <w:color w:val="000000"/>
          <w:lang w:val="es-ES"/>
        </w:rPr>
        <w:t xml:space="preserve">UIF N°30/17 </w:t>
      </w:r>
      <w:r w:rsidRPr="00AE4E8D">
        <w:rPr>
          <w:color w:val="000000"/>
          <w:lang w:val="es-ES"/>
        </w:rPr>
        <w:t>de fecha 21 de junio de 2017</w:t>
      </w:r>
      <w:r w:rsidR="00626FCE" w:rsidRPr="00AE4E8D">
        <w:rPr>
          <w:color w:val="000000"/>
          <w:lang w:val="es-ES"/>
        </w:rPr>
        <w:t xml:space="preserve">, modifica por completo el marco regulatorio bajo el cual las Entidades Financieras y Cambiarias </w:t>
      </w:r>
      <w:r w:rsidRPr="00AE4E8D">
        <w:rPr>
          <w:color w:val="000000"/>
          <w:lang w:val="es-ES"/>
        </w:rPr>
        <w:t>deben gestionar los riesgos de lavado de activos y financiamiento del terrorismo</w:t>
      </w:r>
      <w:r w:rsidR="00626FCE" w:rsidRPr="00AE4E8D">
        <w:rPr>
          <w:color w:val="000000"/>
          <w:lang w:val="es-ES"/>
        </w:rPr>
        <w:t xml:space="preserve">, derogando </w:t>
      </w:r>
      <w:r w:rsidRPr="00AE4E8D">
        <w:rPr>
          <w:color w:val="000000"/>
          <w:lang w:val="es-ES"/>
        </w:rPr>
        <w:t>a partir del 15 de septiembre de 2017 a</w:t>
      </w:r>
      <w:r w:rsidR="00626FCE" w:rsidRPr="00AE4E8D">
        <w:rPr>
          <w:color w:val="000000"/>
          <w:lang w:val="es-ES"/>
        </w:rPr>
        <w:t xml:space="preserve"> la </w:t>
      </w:r>
      <w:r w:rsidR="000E1220" w:rsidRPr="00AE4E8D">
        <w:rPr>
          <w:color w:val="000000"/>
          <w:lang w:val="es-ES"/>
        </w:rPr>
        <w:t>Resolución</w:t>
      </w:r>
      <w:r w:rsidRPr="00AE4E8D">
        <w:rPr>
          <w:color w:val="000000"/>
          <w:lang w:val="es-ES"/>
        </w:rPr>
        <w:t xml:space="preserve"> </w:t>
      </w:r>
      <w:r w:rsidR="00626FCE" w:rsidRPr="00AE4E8D">
        <w:rPr>
          <w:color w:val="000000"/>
          <w:lang w:val="es-ES"/>
        </w:rPr>
        <w:t xml:space="preserve">UIF N°121/2011. El nuevo plexo regulatorio se reformuló en base a los nuevos estándares del Grupo de Acción Financiera Internacional (GAFI), que modificaron los criterios en materia de </w:t>
      </w:r>
      <w:r w:rsidRPr="00AE4E8D">
        <w:rPr>
          <w:color w:val="000000"/>
          <w:lang w:val="es-ES"/>
        </w:rPr>
        <w:t>prevención de lavado de activos y financiamiento del terrorismo</w:t>
      </w:r>
      <w:r w:rsidR="00626FCE" w:rsidRPr="00AE4E8D">
        <w:rPr>
          <w:color w:val="000000"/>
          <w:lang w:val="es-ES"/>
        </w:rPr>
        <w:t xml:space="preserve">, pasando así de un enfoque de cumplimiento normativo formalista a un enfoque basado en riesgo bajo el cual las </w:t>
      </w:r>
      <w:r w:rsidRPr="00AE4E8D">
        <w:rPr>
          <w:color w:val="000000"/>
          <w:lang w:val="es-ES"/>
        </w:rPr>
        <w:t xml:space="preserve">entidades </w:t>
      </w:r>
      <w:r w:rsidR="00626FCE" w:rsidRPr="00AE4E8D">
        <w:rPr>
          <w:color w:val="000000"/>
          <w:lang w:val="es-ES"/>
        </w:rPr>
        <w:t xml:space="preserve">deberán implementar un </w:t>
      </w:r>
      <w:r w:rsidRPr="00AE4E8D">
        <w:rPr>
          <w:color w:val="000000"/>
          <w:lang w:val="es-ES"/>
        </w:rPr>
        <w:t xml:space="preserve">sistema de prevención </w:t>
      </w:r>
      <w:r w:rsidR="00626FCE" w:rsidRPr="00AE4E8D">
        <w:rPr>
          <w:color w:val="000000"/>
          <w:lang w:val="es-ES"/>
        </w:rPr>
        <w:t xml:space="preserve">de </w:t>
      </w:r>
      <w:r w:rsidRPr="00AE4E8D">
        <w:rPr>
          <w:color w:val="000000"/>
          <w:lang w:val="es-ES"/>
        </w:rPr>
        <w:t>lavado de activos y financiamiento del terrorismo</w:t>
      </w:r>
      <w:r w:rsidR="00626FCE" w:rsidRPr="00AE4E8D">
        <w:rPr>
          <w:color w:val="000000"/>
          <w:lang w:val="es-ES"/>
        </w:rPr>
        <w:t xml:space="preserve">, el cual deberá contener todas las políticas y procedimientos establecidos para la gestión de </w:t>
      </w:r>
      <w:r w:rsidRPr="00AE4E8D">
        <w:rPr>
          <w:color w:val="000000"/>
          <w:lang w:val="es-ES"/>
        </w:rPr>
        <w:t xml:space="preserve">lavado de activos y financiamiento del terrorismo </w:t>
      </w:r>
      <w:r w:rsidR="00626FCE" w:rsidRPr="00AE4E8D">
        <w:rPr>
          <w:color w:val="000000"/>
          <w:lang w:val="es-ES"/>
        </w:rPr>
        <w:t>a los que se encuentran expuestos y los elementos de cumplimiento exigidos por la normativa vigente, para lo cual deberán desarrollar una metodología de identificación y evaluación de riesgos acorde con la naturaleza y dimensión de su actividad comercial, que tome en cuenta los distintos factores de riesgos en cada una de sus líneas de negocio más pautas de cumplimiento y exigencias a los oficiales de cumplimiento y los procesos para la confección de</w:t>
      </w:r>
      <w:r w:rsidRPr="00AE4E8D">
        <w:rPr>
          <w:color w:val="000000"/>
          <w:lang w:val="es-ES"/>
        </w:rPr>
        <w:t xml:space="preserve"> reportes de operaciones sospechosas, entre otros, establecidos en la propia </w:t>
      </w:r>
      <w:r w:rsidR="00626FCE" w:rsidRPr="00AE4E8D">
        <w:rPr>
          <w:color w:val="000000"/>
          <w:lang w:val="es-ES"/>
        </w:rPr>
        <w:t>resolución.</w:t>
      </w:r>
    </w:p>
    <w:p w14:paraId="6AC8C61E" w14:textId="77777777" w:rsidR="00626FCE" w:rsidRPr="00AE4E8D" w:rsidRDefault="00626FCE" w:rsidP="00CD6E97">
      <w:pPr>
        <w:pStyle w:val="BHTexto"/>
        <w:rPr>
          <w:color w:val="000000"/>
          <w:lang w:val="es-ES"/>
        </w:rPr>
      </w:pPr>
      <w:r w:rsidRPr="00AE4E8D">
        <w:rPr>
          <w:color w:val="000000"/>
          <w:lang w:val="es-ES"/>
        </w:rPr>
        <w:t xml:space="preserve">Finalmente, se </w:t>
      </w:r>
      <w:r w:rsidR="00EA0879" w:rsidRPr="00AE4E8D">
        <w:rPr>
          <w:color w:val="000000"/>
          <w:lang w:val="es-ES"/>
        </w:rPr>
        <w:t xml:space="preserve">fija un plan de implementación que determina distintos hitos y fechas para dar </w:t>
      </w:r>
      <w:r w:rsidR="000E1220" w:rsidRPr="00AE4E8D">
        <w:rPr>
          <w:color w:val="000000"/>
          <w:lang w:val="es-ES"/>
        </w:rPr>
        <w:t>cumplimiento</w:t>
      </w:r>
      <w:r w:rsidR="00EA0879" w:rsidRPr="00AE4E8D">
        <w:rPr>
          <w:color w:val="000000"/>
          <w:lang w:val="es-ES"/>
        </w:rPr>
        <w:t xml:space="preserve"> con lo dispuesto en la </w:t>
      </w:r>
      <w:r w:rsidR="000E1220" w:rsidRPr="00AE4E8D">
        <w:rPr>
          <w:color w:val="000000"/>
          <w:lang w:val="es-ES"/>
        </w:rPr>
        <w:t>Resolución</w:t>
      </w:r>
      <w:r w:rsidR="00EA0879" w:rsidRPr="00AE4E8D">
        <w:rPr>
          <w:color w:val="000000"/>
          <w:lang w:val="es-ES"/>
        </w:rPr>
        <w:t xml:space="preserve"> </w:t>
      </w:r>
      <w:r w:rsidRPr="00AE4E8D">
        <w:rPr>
          <w:color w:val="000000"/>
          <w:lang w:val="es-ES"/>
        </w:rPr>
        <w:t>UIF N°30/17, estableciéndos</w:t>
      </w:r>
      <w:r w:rsidR="00EA0879" w:rsidRPr="00AE4E8D">
        <w:rPr>
          <w:color w:val="000000"/>
          <w:lang w:val="es-ES"/>
        </w:rPr>
        <w:t xml:space="preserve">e como primer exigencia que las entidades financieras y cambiarias para </w:t>
      </w:r>
      <w:r w:rsidRPr="00AE4E8D">
        <w:rPr>
          <w:color w:val="000000"/>
          <w:lang w:val="es-ES"/>
        </w:rPr>
        <w:t>el 31/12/17 deberán haber desarrollado y documentado la metodología de identificación y evaluación de riesgos establecida en la misma.</w:t>
      </w:r>
    </w:p>
    <w:p w14:paraId="336569F4" w14:textId="77777777" w:rsidR="00480492" w:rsidRPr="00AE4E8D" w:rsidRDefault="00480492" w:rsidP="00480492">
      <w:pPr>
        <w:autoSpaceDE w:val="0"/>
        <w:autoSpaceDN w:val="0"/>
        <w:adjustRightInd w:val="0"/>
        <w:spacing w:before="120" w:after="120"/>
        <w:jc w:val="both"/>
        <w:rPr>
          <w:rFonts w:ascii="Times New Roman" w:hAnsi="Times New Roman"/>
          <w:b/>
          <w:lang w:val="es-ES"/>
        </w:rPr>
      </w:pPr>
      <w:r w:rsidRPr="00AE4E8D">
        <w:rPr>
          <w:rFonts w:ascii="Times New Roman" w:hAnsi="Times New Roman"/>
          <w:b/>
          <w:lang w:val="es-ES"/>
        </w:rPr>
        <w:t xml:space="preserve">EN ATENCIÓN A LAS </w:t>
      </w:r>
      <w:r w:rsidR="000E1220" w:rsidRPr="00AE4E8D">
        <w:rPr>
          <w:rFonts w:ascii="Times New Roman" w:hAnsi="Times New Roman"/>
          <w:b/>
          <w:lang w:val="es-ES"/>
        </w:rPr>
        <w:t>DISPOSICIONES</w:t>
      </w:r>
      <w:r w:rsidRPr="00AE4E8D">
        <w:rPr>
          <w:rFonts w:ascii="Times New Roman" w:hAnsi="Times New Roman"/>
          <w:b/>
          <w:lang w:val="es-ES"/>
        </w:rPr>
        <w:t xml:space="preserve"> DETALLADAS PRECEDENTEMENTE, A LOS EFECTOS DE SUSCRIBIR OBLIGACIONES NEGOCIABLES DE BANCO HIPOTECARIO S.A. LOS INVERSORES </w:t>
      </w:r>
      <w:r w:rsidR="000E1220" w:rsidRPr="00AE4E8D">
        <w:rPr>
          <w:rFonts w:ascii="Times New Roman" w:hAnsi="Times New Roman"/>
          <w:b/>
          <w:lang w:val="es-ES"/>
        </w:rPr>
        <w:t>DEBERÁN</w:t>
      </w:r>
      <w:r w:rsidRPr="00AE4E8D">
        <w:rPr>
          <w:rFonts w:ascii="Times New Roman" w:hAnsi="Times New Roman"/>
          <w:b/>
          <w:lang w:val="es-ES"/>
        </w:rPr>
        <w:t xml:space="preserve"> SUMINISTRAR TODA AQUELLA INFORMACIÓN Y DOCUMENTACIÓN QUE DEBA PRESENTAR O SER O SER REQUERIDA POR EL O LOS COLOCADORES Y/O EL BANCO PARA EL CUMPLIMIENTO DE, ENTRE OTRAS, LAS NORMAS SOBRE PREVENCIÓN DE LAVADO DE ACTIVOS DE ORIGEN DELICTIVO EMITIDAS POR LA UIF, EL BCRA O LA CNV.</w:t>
      </w:r>
    </w:p>
    <w:p w14:paraId="549E959F" w14:textId="77777777" w:rsidR="00480492" w:rsidRPr="00AE4E8D" w:rsidRDefault="00480492" w:rsidP="00CD6E97">
      <w:pPr>
        <w:pStyle w:val="BHTexto"/>
        <w:rPr>
          <w:caps/>
          <w:lang w:val="es-ES"/>
        </w:rPr>
      </w:pPr>
      <w:r w:rsidRPr="00AE4E8D">
        <w:rPr>
          <w:lang w:val="es-ES"/>
        </w:rPr>
        <w:t>Para un análisis más exhaustivo del régimen de lavado de activos vigente al día de la fecha, se sugiere a los inversores consultar con sus asesores legales y dar una lectura completa al Título XII, Libro Segundo del Código Penal</w:t>
      </w:r>
      <w:r w:rsidR="0086500C" w:rsidRPr="00AE4E8D">
        <w:rPr>
          <w:lang w:val="es-ES"/>
        </w:rPr>
        <w:t xml:space="preserve"> de</w:t>
      </w:r>
      <w:r w:rsidRPr="00AE4E8D">
        <w:rPr>
          <w:lang w:val="es-ES"/>
        </w:rPr>
        <w:t xml:space="preserve"> </w:t>
      </w:r>
      <w:r w:rsidR="0086500C" w:rsidRPr="00AE4E8D">
        <w:rPr>
          <w:lang w:val="es-ES"/>
        </w:rPr>
        <w:t>A</w:t>
      </w:r>
      <w:r w:rsidRPr="00AE4E8D">
        <w:rPr>
          <w:lang w:val="es-ES"/>
        </w:rPr>
        <w:t>rgentin</w:t>
      </w:r>
      <w:r w:rsidR="0086500C" w:rsidRPr="00AE4E8D">
        <w:rPr>
          <w:lang w:val="es-ES"/>
        </w:rPr>
        <w:t>a</w:t>
      </w:r>
      <w:r w:rsidRPr="00AE4E8D">
        <w:rPr>
          <w:lang w:val="es-ES"/>
        </w:rPr>
        <w:t xml:space="preserve"> y a la normativa emitida por la UIF, la CNV y el BCRA, a cuyo efecto los interesados podrán consultar en el sitio web del Ministerio de Hacienda </w:t>
      </w:r>
      <w:hyperlink r:id="rId41" w:history="1">
        <w:r w:rsidRPr="00AE4E8D">
          <w:rPr>
            <w:rFonts w:eastAsia="Calibri"/>
            <w:color w:val="0000FF"/>
            <w:u w:val="single"/>
            <w:lang w:val="es-ES"/>
          </w:rPr>
          <w:t>www.minhacienda.gob.ar</w:t>
        </w:r>
      </w:hyperlink>
      <w:r w:rsidRPr="00AE4E8D">
        <w:rPr>
          <w:rFonts w:eastAsia="Calibri"/>
          <w:lang w:val="es-ES"/>
        </w:rPr>
        <w:t xml:space="preserve">, en el sitio web del Ministerio de Finanzas </w:t>
      </w:r>
      <w:hyperlink r:id="rId42" w:history="1">
        <w:r w:rsidRPr="00AE4E8D">
          <w:rPr>
            <w:rFonts w:eastAsia="Calibri"/>
            <w:color w:val="0000FF"/>
            <w:u w:val="single"/>
            <w:lang w:val="es-ES"/>
          </w:rPr>
          <w:t>www.minfinanzas.gob.ar</w:t>
        </w:r>
      </w:hyperlink>
      <w:r w:rsidRPr="00AE4E8D">
        <w:rPr>
          <w:lang w:val="es-ES"/>
        </w:rPr>
        <w:t xml:space="preserve">, en </w:t>
      </w:r>
      <w:hyperlink r:id="rId43" w:history="1">
        <w:r w:rsidRPr="00AE4E8D">
          <w:rPr>
            <w:rFonts w:eastAsia="Calibri"/>
            <w:color w:val="0000FF"/>
            <w:u w:val="single"/>
            <w:lang w:val="es-ES"/>
          </w:rPr>
          <w:t>www.infoleg.gob.ar</w:t>
        </w:r>
      </w:hyperlink>
      <w:r w:rsidRPr="00AE4E8D">
        <w:rPr>
          <w:rFonts w:eastAsia="Calibri"/>
          <w:lang w:val="es-ES"/>
        </w:rPr>
        <w:t xml:space="preserve"> y/o en el sitio web </w:t>
      </w:r>
      <w:r w:rsidRPr="00AE4E8D">
        <w:rPr>
          <w:rFonts w:eastAsia="Calibri"/>
          <w:lang w:val="es-ES"/>
        </w:rPr>
        <w:lastRenderedPageBreak/>
        <w:t xml:space="preserve">de la UIF </w:t>
      </w:r>
      <w:hyperlink r:id="rId44" w:history="1">
        <w:r w:rsidRPr="00AE4E8D">
          <w:rPr>
            <w:rFonts w:eastAsia="Calibri"/>
            <w:color w:val="0000FF"/>
            <w:u w:val="single"/>
            <w:lang w:val="es-ES"/>
          </w:rPr>
          <w:t>www.argentina.gob.ar/uif</w:t>
        </w:r>
      </w:hyperlink>
      <w:hyperlink w:history="1"/>
      <w:r w:rsidRPr="00AE4E8D">
        <w:rPr>
          <w:lang w:val="es-ES"/>
        </w:rPr>
        <w:t xml:space="preserve"> y/o en el en el sitio web de la CNV </w:t>
      </w:r>
      <w:hyperlink r:id="rId45" w:history="1">
        <w:r w:rsidRPr="00AE4E8D">
          <w:rPr>
            <w:color w:val="0000FF"/>
            <w:u w:val="single"/>
            <w:lang w:val="es-ES"/>
          </w:rPr>
          <w:t>www.cnv.gob.ar</w:t>
        </w:r>
      </w:hyperlink>
      <w:r w:rsidRPr="00AE4E8D">
        <w:rPr>
          <w:lang w:val="es-ES"/>
        </w:rPr>
        <w:t xml:space="preserve"> o del BCRA, ww.bcra.gov.ar.</w:t>
      </w:r>
    </w:p>
    <w:p w14:paraId="62DEE8C0" w14:textId="77777777" w:rsidR="00480492" w:rsidRPr="00AE4E8D" w:rsidRDefault="00480492" w:rsidP="00480492">
      <w:pPr>
        <w:pStyle w:val="BH2Izquierda"/>
        <w:rPr>
          <w:lang w:val="es-ES"/>
        </w:rPr>
      </w:pPr>
      <w:bookmarkStart w:id="941" w:name="_Toc495973073"/>
      <w:bookmarkStart w:id="942" w:name="_Toc495399980"/>
      <w:r w:rsidRPr="00AE4E8D">
        <w:rPr>
          <w:lang w:val="es-ES"/>
        </w:rPr>
        <w:t>e) Tratamiento Impositivo</w:t>
      </w:r>
      <w:bookmarkEnd w:id="941"/>
      <w:bookmarkEnd w:id="942"/>
    </w:p>
    <w:p w14:paraId="1C93EE7C" w14:textId="77777777" w:rsidR="00480492" w:rsidRPr="00AE4E8D" w:rsidRDefault="00480492" w:rsidP="00480492">
      <w:pPr>
        <w:pStyle w:val="BH3Izquierda"/>
        <w:rPr>
          <w:lang w:val="es-ES"/>
        </w:rPr>
      </w:pPr>
      <w:r w:rsidRPr="00AE4E8D">
        <w:rPr>
          <w:lang w:val="es-ES"/>
        </w:rPr>
        <w:t>Consideraciones Relativas a los Impuestos Argentinos</w:t>
      </w:r>
    </w:p>
    <w:p w14:paraId="7230D1A0" w14:textId="77777777" w:rsidR="00480492" w:rsidRPr="00AE4E8D" w:rsidRDefault="00480492" w:rsidP="00480492">
      <w:pPr>
        <w:pStyle w:val="BHTexto"/>
        <w:rPr>
          <w:lang w:val="es-ES"/>
        </w:rPr>
      </w:pPr>
      <w:r w:rsidRPr="00AE4E8D">
        <w:rPr>
          <w:lang w:val="es-ES"/>
        </w:rPr>
        <w:t xml:space="preserve">El siguiente resumen de las principales consecuencias tributarias en Argentina derivadas de la adquisición, titularidad y enajenación de los valores </w:t>
      </w:r>
      <w:r w:rsidR="005A14E7" w:rsidRPr="00AE4E8D">
        <w:rPr>
          <w:lang w:val="es-ES"/>
        </w:rPr>
        <w:t xml:space="preserve">negociables </w:t>
      </w:r>
      <w:r w:rsidRPr="00AE4E8D">
        <w:rPr>
          <w:lang w:val="es-ES"/>
        </w:rPr>
        <w:t>emitidos por nosotros se basa en las leyes impositivas de Argentina y sus reglamentaciones, según se encuentran en vigencia en la fecha de este Prospecto, y están sujetas a cualquier modificación posterior de las leyes y reglamentaciones argentinas que entren en vigencia después de dicha fecha.</w:t>
      </w:r>
    </w:p>
    <w:p w14:paraId="55E6EB5F" w14:textId="77777777" w:rsidR="00480492" w:rsidRPr="00AE4E8D" w:rsidRDefault="00480492" w:rsidP="00480492">
      <w:pPr>
        <w:pStyle w:val="BHTexto"/>
        <w:rPr>
          <w:lang w:val="es-ES"/>
        </w:rPr>
      </w:pPr>
      <w:r w:rsidRPr="00AE4E8D">
        <w:rPr>
          <w:lang w:val="es-ES"/>
        </w:rPr>
        <w:t>Si bien se considera que este resumen constituye una interpretación adecuada de las leyes vigentes a la fecha de este Prospecto, no puede garantizarse que los tribunales o las autoridades fiscales a cargo de la aplicación de dichas leyes estarán de acuerdo con esta interpretación. Cabe destacar asimismo que las leyes impositivas argentinas has sido objeto de muchas modificaciones en el pasado y que dichas leyes pueden estar sujetas a reordenamientos, revocación de exenciones, re-establecimiento de impuestos y otras modificaciones que reduzcan o eliminen el retorno de la inversión.</w:t>
      </w:r>
    </w:p>
    <w:p w14:paraId="16E08C48" w14:textId="77777777" w:rsidR="00480492" w:rsidRPr="00AE4E8D" w:rsidRDefault="00480492" w:rsidP="000E1220">
      <w:pPr>
        <w:pStyle w:val="BH4Cursiva"/>
        <w:rPr>
          <w:lang w:val="es-ES"/>
        </w:rPr>
      </w:pPr>
      <w:r w:rsidRPr="00AE4E8D">
        <w:rPr>
          <w:lang w:val="es-ES"/>
        </w:rPr>
        <w:t>Impuesto a las Ganancias</w:t>
      </w:r>
    </w:p>
    <w:p w14:paraId="3F7267CB" w14:textId="77777777" w:rsidR="00480492" w:rsidRPr="00AE4E8D" w:rsidRDefault="00480492" w:rsidP="000E1220">
      <w:pPr>
        <w:pStyle w:val="BH4Cursiva"/>
        <w:rPr>
          <w:lang w:val="es-ES"/>
        </w:rPr>
      </w:pPr>
      <w:r w:rsidRPr="00AE4E8D">
        <w:rPr>
          <w:lang w:val="es-ES"/>
        </w:rPr>
        <w:t>Impuesto sobre Pagos de Intereses</w:t>
      </w:r>
    </w:p>
    <w:p w14:paraId="2304B515" w14:textId="77777777" w:rsidR="00480492" w:rsidRPr="00AE4E8D" w:rsidRDefault="00480492" w:rsidP="00480492">
      <w:pPr>
        <w:pStyle w:val="BHTexto"/>
        <w:rPr>
          <w:lang w:val="es-ES"/>
        </w:rPr>
      </w:pPr>
      <w:r w:rsidRPr="00AE4E8D">
        <w:rPr>
          <w:lang w:val="es-ES"/>
        </w:rPr>
        <w:t>Con excepción de lo que se describe más adelante, los pagos de intereses sobre las Obligaciones Negociables (incluido el descuento de emisión original, en su caso) estarán exentos del impuesto a las ganancias de Argentina, si las Obligaciones Negociables se emiten de conformidad con la Ley de Obligaciones Negociables y reúnen los requisitos para el tratamiento de exención impositiva conforme al Artículo 36 de dicha ley. De conformidad con este Artículo, los intereses sobre las Obligaciones Negociables estarán exentos si se cumplen las siguientes condiciones (las "</w:t>
      </w:r>
      <w:r w:rsidRPr="00AE4E8D">
        <w:rPr>
          <w:u w:val="single"/>
          <w:lang w:val="es-ES"/>
        </w:rPr>
        <w:t>Condiciones del Artículo 36</w:t>
      </w:r>
      <w:r w:rsidRPr="00AE4E8D">
        <w:rPr>
          <w:lang w:val="es-ES"/>
        </w:rPr>
        <w:t>"):</w:t>
      </w:r>
    </w:p>
    <w:p w14:paraId="06A3B469" w14:textId="77777777" w:rsidR="00480492" w:rsidRPr="00AE4E8D" w:rsidRDefault="00480492" w:rsidP="00933012">
      <w:pPr>
        <w:numPr>
          <w:ilvl w:val="0"/>
          <w:numId w:val="40"/>
        </w:numPr>
        <w:tabs>
          <w:tab w:val="left" w:pos="1418"/>
        </w:tabs>
        <w:autoSpaceDE w:val="0"/>
        <w:autoSpaceDN w:val="0"/>
        <w:adjustRightInd w:val="0"/>
        <w:spacing w:before="120" w:after="120"/>
        <w:jc w:val="both"/>
        <w:rPr>
          <w:rFonts w:ascii="Times New Roman" w:hAnsi="Times New Roman"/>
          <w:lang w:val="es-ES" w:eastAsia="es-ES"/>
        </w:rPr>
      </w:pPr>
      <w:r w:rsidRPr="00AE4E8D">
        <w:rPr>
          <w:rFonts w:ascii="Times New Roman" w:hAnsi="Times New Roman"/>
          <w:lang w:val="es-ES" w:eastAsia="es-ES"/>
        </w:rPr>
        <w:t>las Obligaciones Negociables deben ser colocadas a través de una oferta pública autorizada por la CNV;</w:t>
      </w:r>
    </w:p>
    <w:p w14:paraId="514CC216" w14:textId="77777777" w:rsidR="00480492" w:rsidRPr="00AE4E8D" w:rsidRDefault="00480492" w:rsidP="00933012">
      <w:pPr>
        <w:numPr>
          <w:ilvl w:val="0"/>
          <w:numId w:val="40"/>
        </w:numPr>
        <w:tabs>
          <w:tab w:val="left" w:pos="1418"/>
        </w:tabs>
        <w:autoSpaceDE w:val="0"/>
        <w:autoSpaceDN w:val="0"/>
        <w:adjustRightInd w:val="0"/>
        <w:spacing w:before="120" w:after="120"/>
        <w:jc w:val="both"/>
        <w:rPr>
          <w:rFonts w:ascii="Times New Roman" w:hAnsi="Times New Roman"/>
          <w:lang w:val="es-ES" w:eastAsia="es-ES"/>
        </w:rPr>
      </w:pPr>
      <w:r w:rsidRPr="00AE4E8D">
        <w:rPr>
          <w:rFonts w:ascii="Times New Roman" w:hAnsi="Times New Roman"/>
          <w:lang w:val="es-ES" w:eastAsia="es-ES"/>
        </w:rPr>
        <w:t>el producido de la colocación debe ser utilizado por la Emisora para (i) capital de trabajo a ser utilizado en Argentina, (ii) inversiones en activos tangibles ubicados en Argentina, (iii) refinanciación de deuda, (iv) la integración de aportes de capital en sociedades controladas o vinculadas a la sociedad emisora cuyo producido se aplique exclusivamente a los destinos antes especificados en los incisos (i), (ii) y (iii), según se haya establecido en la resolución que disponga la emisión, y se haya dado a conocer al público inversor a través del Prospecto; y</w:t>
      </w:r>
    </w:p>
    <w:p w14:paraId="08BEAAB3" w14:textId="77777777" w:rsidR="00480492" w:rsidRPr="00AE4E8D" w:rsidRDefault="00480492" w:rsidP="00933012">
      <w:pPr>
        <w:numPr>
          <w:ilvl w:val="0"/>
          <w:numId w:val="40"/>
        </w:numPr>
        <w:tabs>
          <w:tab w:val="left" w:pos="1418"/>
        </w:tabs>
        <w:autoSpaceDE w:val="0"/>
        <w:autoSpaceDN w:val="0"/>
        <w:adjustRightInd w:val="0"/>
        <w:spacing w:before="120" w:after="120"/>
        <w:jc w:val="both"/>
        <w:rPr>
          <w:rFonts w:ascii="Times New Roman" w:hAnsi="Times New Roman"/>
          <w:lang w:val="es-ES" w:eastAsia="es-ES"/>
        </w:rPr>
      </w:pPr>
      <w:r w:rsidRPr="00AE4E8D">
        <w:rPr>
          <w:rFonts w:ascii="Times New Roman" w:hAnsi="Times New Roman"/>
          <w:lang w:val="es-ES" w:eastAsia="es-ES"/>
        </w:rPr>
        <w:t>la Emisora deberá acreditar ante la CNV, en el tiempo, forma y condiciones que ésta determine en sus reglamentaciones, que los fondos obtenidos de la emisión fueron destinados a los propósitos descriptos en el punto (B) precedente.</w:t>
      </w:r>
    </w:p>
    <w:p w14:paraId="15A74D4D" w14:textId="77777777" w:rsidR="00480492" w:rsidRPr="00AE4E8D" w:rsidRDefault="00480492" w:rsidP="00480492">
      <w:pPr>
        <w:pStyle w:val="BHTexto"/>
        <w:rPr>
          <w:lang w:val="es-ES"/>
        </w:rPr>
      </w:pPr>
      <w:r w:rsidRPr="00AE4E8D">
        <w:rPr>
          <w:lang w:val="es-ES"/>
        </w:rPr>
        <w:t>Si la emisora no cumple con las Condiciones del Artículo 36, el Artículo 38 de la Ley de Obligaciones Negociables establece que decaerán los beneficios resultantes del tratamiento impositivo previsto y la emisora será responsable del pago de los impuestos que hubieran correspondido al inversor, calculados a la tasa máxima establecida por el Artículo 90 de la Ley de Impuesto a las Ganancias (35%). En este caso, los tenedores de Obligaciones Negociables recibirán el monto de intereses que se establece en el Título pertinente como si no hubiera sido exigible ningún impuesto. La emisora se propone cumplir con las Condiciones del Artículo 36. La AFIP reguló, mediante Resolución General N°1516/2003, con las modificaciones introducidas por la Resolución General N°1578/2003, el mecanismo correspondiente para el pago del impuesto a las ganancias por parte de la emisora en caso de que se considere incumplido cualquiera de los requisitos establecidos en el Artículo 36 de la Ley de Obligaciones Negociables.</w:t>
      </w:r>
    </w:p>
    <w:p w14:paraId="4E4D4642" w14:textId="77777777" w:rsidR="00480492" w:rsidRPr="00AE4E8D" w:rsidRDefault="00480492" w:rsidP="00480492">
      <w:pPr>
        <w:pStyle w:val="BHTexto"/>
        <w:rPr>
          <w:lang w:val="es-ES"/>
        </w:rPr>
      </w:pPr>
      <w:r w:rsidRPr="00AE4E8D">
        <w:rPr>
          <w:lang w:val="es-ES"/>
        </w:rPr>
        <w:t xml:space="preserve">Algunas excepciones establecidas por los Artículos 21 de la Ley de Impuesto a las Ganancias y el Artículo 106 de la Ley de Procedimientos Fiscales no se deben aplicar a beneficiarios no residentes de intereses pagados en relación con la tenencia de Obligaciones Negociables, y resultará de aplicación el tratamiento de exención tributaria mencionado anteriormente, independientemente de que este beneficio incremente o no el monto imponible en otro país. </w:t>
      </w:r>
    </w:p>
    <w:p w14:paraId="058D302A" w14:textId="77777777" w:rsidR="00480492" w:rsidRPr="00AE4E8D" w:rsidRDefault="00480492" w:rsidP="00480492">
      <w:pPr>
        <w:pStyle w:val="BHTexto"/>
        <w:rPr>
          <w:lang w:val="es-ES"/>
        </w:rPr>
      </w:pPr>
      <w:r w:rsidRPr="00AE4E8D">
        <w:rPr>
          <w:lang w:val="es-ES"/>
        </w:rPr>
        <w:t>Conforme el Decreto Nº1076/1992 del 2 de julio de 1992, reformado por el Decreto Nº1157/1992 del 10 de julio de 1992, ratificado por la Ley Nº24.307 del 30 de diciembre de 1993 (el "</w:t>
      </w:r>
      <w:r w:rsidRPr="00AE4E8D">
        <w:rPr>
          <w:u w:val="single"/>
          <w:lang w:val="es-ES"/>
        </w:rPr>
        <w:t>Decreto Nº1076</w:t>
      </w:r>
      <w:r w:rsidRPr="00AE4E8D">
        <w:rPr>
          <w:lang w:val="es-ES"/>
        </w:rPr>
        <w:t xml:space="preserve">"), se </w:t>
      </w:r>
      <w:r w:rsidRPr="00AE4E8D">
        <w:rPr>
          <w:lang w:val="es-ES"/>
        </w:rPr>
        <w:lastRenderedPageBreak/>
        <w:t>eliminó la exención descripta precedentemente respecto de determinados contribuyentes argentinos. Como resultado del Decreto Nº1076, los intereses pagados a los Tenedores que se encuentran sujetos a las normas fiscales sobre ajuste por inflación conforme al Título VI de la Ley de Impuesto a las Ganancias (en general, entidades constituidas bajo la ley argentina, sucursales locales de entidades extranjeras, empresas unipersonales y personas humanas que desarrollan determinadas actividades comerciales en Argentina) están sujetos al pago del impuesto a las ganancias en Argentina a la alícuota del 35%.</w:t>
      </w:r>
    </w:p>
    <w:p w14:paraId="147D7B1A" w14:textId="77777777" w:rsidR="00480492" w:rsidRPr="00AE4E8D" w:rsidRDefault="00480492" w:rsidP="00480492">
      <w:pPr>
        <w:pStyle w:val="BHTexto"/>
        <w:rPr>
          <w:lang w:val="es-ES"/>
        </w:rPr>
      </w:pPr>
      <w:r w:rsidRPr="00AE4E8D">
        <w:rPr>
          <w:lang w:val="es-ES"/>
        </w:rPr>
        <w:t>Por ende, la exención es aplicable únicamente a: (i) personas humanas (incluyendo sucesiones indivisas) residentes o no residentes, y (ii) personas jurídicas extranjeras y otras entidades extranjeras.</w:t>
      </w:r>
    </w:p>
    <w:p w14:paraId="2CE83EA2" w14:textId="77777777" w:rsidR="00480492" w:rsidRPr="00AE4E8D" w:rsidRDefault="00480492" w:rsidP="000E1220">
      <w:pPr>
        <w:pStyle w:val="BH4Cursiva"/>
        <w:rPr>
          <w:lang w:val="es-ES"/>
        </w:rPr>
      </w:pPr>
      <w:r w:rsidRPr="00AE4E8D">
        <w:rPr>
          <w:lang w:val="es-ES"/>
        </w:rPr>
        <w:t xml:space="preserve">Impuestos sobre las Ganancias de Capital </w:t>
      </w:r>
    </w:p>
    <w:p w14:paraId="64B78A71" w14:textId="77777777" w:rsidR="00480492" w:rsidRPr="00AE4E8D" w:rsidRDefault="00480492" w:rsidP="00480492">
      <w:pPr>
        <w:pStyle w:val="BHTexto"/>
        <w:rPr>
          <w:lang w:val="es-ES"/>
        </w:rPr>
      </w:pPr>
      <w:r w:rsidRPr="00AE4E8D">
        <w:rPr>
          <w:lang w:val="es-ES"/>
        </w:rPr>
        <w:t>En tanto se cumplan las Condiciones del Artículo 36 de la Ley de Obligaciones Negociables en su totalidad, las personas humanas residentes y no residentes (incluidas las sucesiones indivisas), y las personas jurídicas extranjeras, con excepción de sus establecimientos permanentes en la Argentina, no están sujetas al impuesto a las ganancias derivadas de la venta, canje u otra forma de enajenación de las Obligaciones Negociables.</w:t>
      </w:r>
    </w:p>
    <w:p w14:paraId="7046F6BA" w14:textId="77777777" w:rsidR="00480492" w:rsidRPr="00AE4E8D" w:rsidRDefault="00480492" w:rsidP="00480492">
      <w:pPr>
        <w:pStyle w:val="BHTexto"/>
        <w:rPr>
          <w:lang w:val="es-ES"/>
        </w:rPr>
      </w:pPr>
      <w:r w:rsidRPr="00AE4E8D">
        <w:rPr>
          <w:lang w:val="es-ES"/>
        </w:rPr>
        <w:t>El Decreto Nº1076/1992 ha establecido que los contribuyentes sujetos a las normas fiscales sobre ajuste por inflación bajo el Título VI de la Ley de Impuesto a las Ganancias de Argentina (como se describe anteriormente, las entidades argentinas en general) están sujetos al pago del impuesto a las ganancias por la venta u otra forma de enajenación de las Obligaciones Negociables.</w:t>
      </w:r>
    </w:p>
    <w:p w14:paraId="6D742A10" w14:textId="77777777" w:rsidR="00480492" w:rsidRPr="00AE4E8D" w:rsidRDefault="00480492" w:rsidP="000E1220">
      <w:pPr>
        <w:pStyle w:val="BH4Cursiva"/>
        <w:rPr>
          <w:lang w:val="es-ES"/>
        </w:rPr>
      </w:pPr>
      <w:r w:rsidRPr="00AE4E8D">
        <w:rPr>
          <w:lang w:val="es-ES"/>
        </w:rPr>
        <w:t>Impuesto a la Ganancia Mínima Presunta</w:t>
      </w:r>
    </w:p>
    <w:p w14:paraId="1C7EA89E" w14:textId="77777777" w:rsidR="00480492" w:rsidRPr="00AE4E8D" w:rsidRDefault="00480492" w:rsidP="00480492">
      <w:pPr>
        <w:pStyle w:val="BHTexto"/>
        <w:rPr>
          <w:lang w:val="es-ES"/>
        </w:rPr>
      </w:pPr>
      <w:r w:rsidRPr="00AE4E8D">
        <w:rPr>
          <w:lang w:val="es-ES"/>
        </w:rPr>
        <w:t>El Impuesto a la Ganancia Mínima Presunta (el “</w:t>
      </w:r>
      <w:r w:rsidRPr="00AE4E8D">
        <w:rPr>
          <w:u w:val="single"/>
          <w:lang w:val="es-ES"/>
        </w:rPr>
        <w:t>IGMP</w:t>
      </w:r>
      <w:r w:rsidRPr="00AE4E8D">
        <w:rPr>
          <w:lang w:val="es-ES"/>
        </w:rPr>
        <w:t xml:space="preserve">”) grava la ganancia potencial proveniente de la titularidad de ciertos activos societarios que generan ingresos, incluidas las Obligaciones Negociables. Son sujetos pasivos del impuesto las sociedades comerciales, fundaciones, empresas unipersonales, fideicomisos (excepto fideicomisos financieros establecidos de acuerdo a lo establecido en el Código Civil y Comercial de la Nación), ciertos fondos comunes de inversión constituidos en Argentina y establecimientos comerciales permanentes de propiedad de entidades extranjeras, entre otros contribuyentes. </w:t>
      </w:r>
    </w:p>
    <w:p w14:paraId="4217722A" w14:textId="77777777" w:rsidR="00480492" w:rsidRPr="00AE4E8D" w:rsidRDefault="00480492" w:rsidP="00480492">
      <w:pPr>
        <w:pStyle w:val="BHTexto"/>
        <w:rPr>
          <w:lang w:val="es-ES"/>
        </w:rPr>
      </w:pPr>
      <w:r w:rsidRPr="00AE4E8D">
        <w:rPr>
          <w:lang w:val="es-ES"/>
        </w:rPr>
        <w:t xml:space="preserve">En el caso de Obligaciones Negociables que cotizan en un mercado autorizado, el valor imponible será determinado en base a la última cotización a la fecha de cierre del ejercicio económico. </w:t>
      </w:r>
    </w:p>
    <w:p w14:paraId="18839B03" w14:textId="77777777" w:rsidR="00480492" w:rsidRPr="00AE4E8D" w:rsidRDefault="00480492" w:rsidP="00480492">
      <w:pPr>
        <w:pStyle w:val="BHTexto"/>
        <w:rPr>
          <w:lang w:val="es-ES"/>
        </w:rPr>
      </w:pPr>
      <w:r w:rsidRPr="00AE4E8D">
        <w:rPr>
          <w:lang w:val="es-ES"/>
        </w:rPr>
        <w:t>La alícuota es del 1% (0,2% en el caso de entidades financieras y de seguros locales). Los activos sujetos al impuesto en Argentina cuyo valor en conjunto, determinado de acuerdo con las reglamentaciones vigentes, sea igual o inferior a Ps.200.000 a la fecha de cierre del ejercicio económico correspondiente estarán exentos de la aplicación del Impuesto a la Ganancia Mínima Presunta.</w:t>
      </w:r>
    </w:p>
    <w:p w14:paraId="0BDE8F32" w14:textId="77777777" w:rsidR="00480492" w:rsidRPr="00AE4E8D" w:rsidRDefault="00480492" w:rsidP="00480492">
      <w:pPr>
        <w:pStyle w:val="BHTexto"/>
        <w:rPr>
          <w:lang w:val="es-ES"/>
        </w:rPr>
      </w:pPr>
      <w:r w:rsidRPr="00AE4E8D">
        <w:rPr>
          <w:lang w:val="es-ES"/>
        </w:rPr>
        <w:t>El pago del Impuesto a las Ganancias determinado para un ejercicio económico en particular es considerado como pago a cuenta del IGMP a ser pagado en el mismo ejercicio económico.</w:t>
      </w:r>
    </w:p>
    <w:p w14:paraId="7428211E" w14:textId="77777777" w:rsidR="00480492" w:rsidRPr="00AE4E8D" w:rsidRDefault="00480492" w:rsidP="00480492">
      <w:pPr>
        <w:pStyle w:val="BHTexto"/>
        <w:rPr>
          <w:lang w:val="es-ES"/>
        </w:rPr>
      </w:pPr>
      <w:r w:rsidRPr="00AE4E8D">
        <w:rPr>
          <w:lang w:val="es-ES"/>
        </w:rPr>
        <w:t>Si luego de la deducción descripta en el párrafo anterior existe un excedente del impuesto a las ganancias argentino no absorbido, dicho excedente no generará un crédito para el contribuyente, y el IGMP no podrá ser reembolsado o compensado de ninguna forma. Si por el contrario el impuesto a las ganancias deducible a cuenta del IGMP fuera insuficiente de forma que el IGMP deba pagarse en un ejercicio determinado será posible reconocer el IGMP como un crédito contra el impuesto a las ganancias adeudado en los diez ejercicios económicos inmediatamente siguientes.</w:t>
      </w:r>
    </w:p>
    <w:p w14:paraId="428B5F54" w14:textId="77777777" w:rsidR="00480492" w:rsidRPr="00AE4E8D" w:rsidRDefault="00480492" w:rsidP="00480492">
      <w:pPr>
        <w:pStyle w:val="BHTexto"/>
        <w:rPr>
          <w:lang w:val="es-ES"/>
        </w:rPr>
      </w:pPr>
      <w:r w:rsidRPr="00AE4E8D">
        <w:rPr>
          <w:lang w:val="es-ES"/>
        </w:rPr>
        <w:t>Cabe tener presente que la reciente Ley 27.260, promulgada el 22 de julio de 2016, derogó a partir del período fiscal 2019 el Impuesto a la Ganancia Mínima Presunta.</w:t>
      </w:r>
    </w:p>
    <w:p w14:paraId="77D4F4DA" w14:textId="77777777" w:rsidR="00480492" w:rsidRPr="00AE4E8D" w:rsidRDefault="00480492" w:rsidP="000E1220">
      <w:pPr>
        <w:pStyle w:val="BH4Cursiva"/>
        <w:rPr>
          <w:lang w:val="es-ES"/>
        </w:rPr>
      </w:pPr>
      <w:r w:rsidRPr="00AE4E8D">
        <w:rPr>
          <w:lang w:val="es-ES"/>
        </w:rPr>
        <w:t>Impuesto al Valor Agregado</w:t>
      </w:r>
    </w:p>
    <w:p w14:paraId="3FC23925" w14:textId="77777777" w:rsidR="00480492" w:rsidRPr="00AE4E8D" w:rsidRDefault="00480492" w:rsidP="00480492">
      <w:pPr>
        <w:pStyle w:val="BHTexto"/>
        <w:rPr>
          <w:lang w:val="es-ES"/>
        </w:rPr>
      </w:pPr>
      <w:r w:rsidRPr="00AE4E8D">
        <w:rPr>
          <w:lang w:val="es-ES"/>
        </w:rPr>
        <w:t>Todas las operaciones y transacciones financieras relacionadas con la emisión, suscripción, colocación, compra, transferencia, pago de capital y/o intereses o rescate de las Obligaciones Negociables, y sus garantías, estarán exentas del Impuesto al Valor Agregado; siempre que dichas Obligaciones Negociables hayan</w:t>
      </w:r>
      <w:r w:rsidRPr="00AE4E8D">
        <w:rPr>
          <w:b/>
          <w:lang w:val="es-ES"/>
        </w:rPr>
        <w:t xml:space="preserve"> </w:t>
      </w:r>
      <w:r w:rsidRPr="00AE4E8D">
        <w:rPr>
          <w:lang w:val="es-ES"/>
        </w:rPr>
        <w:t>sido colocadas por medio de una oferta pública y en tanto se hayan cumplido las Condiciones del Artículo 36.</w:t>
      </w:r>
    </w:p>
    <w:p w14:paraId="1917144A" w14:textId="77777777" w:rsidR="00480492" w:rsidRPr="00AE4E8D" w:rsidRDefault="00480492" w:rsidP="00480492">
      <w:pPr>
        <w:pStyle w:val="BHTexto"/>
        <w:rPr>
          <w:lang w:val="es-ES"/>
        </w:rPr>
      </w:pPr>
      <w:r w:rsidRPr="00AE4E8D">
        <w:rPr>
          <w:lang w:val="es-ES"/>
        </w:rPr>
        <w:t>Cabe mencionar que el Artículo 38 de la Ley de Obligaciones Negociables dispone que si la emisora no cumple con las Condiciones del Artículo 36, será responsable por el pago de cualesquiera y todos los impuestos resultantes. En dicho caso, la alícuota aplicable será del 21%, salvo por ciertos casos especiales previstos en las reglamentaciones impositivas.</w:t>
      </w:r>
    </w:p>
    <w:p w14:paraId="2572182D" w14:textId="77777777" w:rsidR="00480492" w:rsidRPr="00AE4E8D" w:rsidRDefault="00480492" w:rsidP="000E1220">
      <w:pPr>
        <w:pStyle w:val="BH4Cursiva"/>
        <w:rPr>
          <w:lang w:val="es-ES"/>
        </w:rPr>
      </w:pPr>
      <w:r w:rsidRPr="00AE4E8D">
        <w:rPr>
          <w:lang w:val="es-ES"/>
        </w:rPr>
        <w:lastRenderedPageBreak/>
        <w:t>Impuesto a los Bienes Personales</w:t>
      </w:r>
    </w:p>
    <w:p w14:paraId="25164027" w14:textId="77777777" w:rsidR="00480492" w:rsidRPr="00AE4E8D" w:rsidRDefault="00480492" w:rsidP="00480492">
      <w:pPr>
        <w:pStyle w:val="BHTexto"/>
        <w:rPr>
          <w:lang w:val="es-ES"/>
        </w:rPr>
      </w:pPr>
      <w:r w:rsidRPr="00AE4E8D">
        <w:rPr>
          <w:lang w:val="es-ES"/>
        </w:rPr>
        <w:t>El Impuesto a los Bienes Personales ("</w:t>
      </w:r>
      <w:r w:rsidRPr="00AE4E8D">
        <w:rPr>
          <w:u w:val="single"/>
          <w:lang w:val="es-ES"/>
        </w:rPr>
        <w:t>IBP</w:t>
      </w:r>
      <w:r w:rsidRPr="00AE4E8D">
        <w:rPr>
          <w:lang w:val="es-ES"/>
        </w:rPr>
        <w:t xml:space="preserve">") grava ciertos activos ubicados en el país (incluidas las Obligaciones Negociables) y en el exterior existentes al 31 de diciembre de cada año </w:t>
      </w:r>
      <w:proofErr w:type="gramStart"/>
      <w:r w:rsidRPr="00AE4E8D">
        <w:rPr>
          <w:lang w:val="es-ES"/>
        </w:rPr>
        <w:t>pertenecientes</w:t>
      </w:r>
      <w:proofErr w:type="gramEnd"/>
      <w:r w:rsidRPr="00AE4E8D">
        <w:rPr>
          <w:lang w:val="es-ES"/>
        </w:rPr>
        <w:t xml:space="preserve"> a personas humanas domiciliadas en Argentina y sucesiones indivisas radicadas en el mismo. En relación con dichas personas se aplica una exención al grupo de activos sujetos al tributo (con exclusión de las acciones y participaciones de cualquier clase de sociedades reguladas por la Ley General de Sociedades Argentina) o cuyo valor en conjunto, determinado de conformidad con las reglamentaciones del IBP, no supere el mínimo no imponible definido para cada periodo fiscal el cual se detalla a continuación. En los casos en que el valor de los activos supere dicho monto, este impuesto será aplicable sobre el excedente.</w:t>
      </w:r>
    </w:p>
    <w:tbl>
      <w:tblPr>
        <w:tblW w:w="5000" w:type="pct"/>
        <w:jc w:val="center"/>
        <w:tblLook w:val="0000" w:firstRow="0" w:lastRow="0" w:firstColumn="0" w:lastColumn="0" w:noHBand="0" w:noVBand="0"/>
      </w:tblPr>
      <w:tblGrid>
        <w:gridCol w:w="4849"/>
        <w:gridCol w:w="1948"/>
        <w:gridCol w:w="1924"/>
      </w:tblGrid>
      <w:tr w:rsidR="00296832" w:rsidRPr="00AE4E8D" w14:paraId="755B0CEB" w14:textId="77777777" w:rsidTr="000400C8">
        <w:trPr>
          <w:trHeight w:val="202"/>
          <w:tblHeader/>
          <w:jc w:val="center"/>
        </w:trPr>
        <w:tc>
          <w:tcPr>
            <w:tcW w:w="2780" w:type="pct"/>
            <w:vAlign w:val="bottom"/>
          </w:tcPr>
          <w:p w14:paraId="61A7EEC9" w14:textId="77777777" w:rsidR="00296832" w:rsidRPr="00AE4E8D" w:rsidRDefault="00296832" w:rsidP="00160FCA">
            <w:pPr>
              <w:pBdr>
                <w:bottom w:val="single" w:sz="4" w:space="1" w:color="auto"/>
              </w:pBdr>
              <w:ind w:right="-100"/>
              <w:jc w:val="center"/>
              <w:textAlignment w:val="baseline"/>
              <w:rPr>
                <w:rFonts w:ascii="Times New Roman" w:hAnsi="Times New Roman"/>
                <w:b/>
                <w:bCs/>
                <w:i/>
                <w:iCs/>
                <w:color w:val="000000"/>
                <w:sz w:val="18"/>
                <w:szCs w:val="18"/>
                <w:lang w:val="es-ES" w:eastAsia="es-ES"/>
              </w:rPr>
            </w:pPr>
            <w:r w:rsidRPr="00AE4E8D">
              <w:rPr>
                <w:rFonts w:ascii="Times New Roman" w:hAnsi="Times New Roman"/>
                <w:b/>
                <w:bCs/>
                <w:sz w:val="18"/>
                <w:szCs w:val="18"/>
                <w:lang w:val="es-ES" w:eastAsia="es-ES"/>
              </w:rPr>
              <w:t>Mínimo no sujeto al Impuesto</w:t>
            </w:r>
          </w:p>
        </w:tc>
        <w:tc>
          <w:tcPr>
            <w:tcW w:w="1117" w:type="pct"/>
            <w:vAlign w:val="bottom"/>
          </w:tcPr>
          <w:p w14:paraId="02806DF7" w14:textId="77777777" w:rsidR="00296832" w:rsidRPr="00AE4E8D" w:rsidRDefault="00296832" w:rsidP="00F45231">
            <w:pPr>
              <w:pBdr>
                <w:bottom w:val="single" w:sz="4" w:space="1" w:color="auto"/>
              </w:pBdr>
              <w:ind w:right="38"/>
              <w:jc w:val="center"/>
              <w:textAlignment w:val="baseline"/>
              <w:rPr>
                <w:rFonts w:ascii="Times New Roman" w:hAnsi="Times New Roman"/>
                <w:b/>
                <w:bCs/>
                <w:sz w:val="18"/>
                <w:szCs w:val="18"/>
                <w:lang w:val="es-ES" w:eastAsia="es-ES"/>
              </w:rPr>
            </w:pPr>
            <w:r w:rsidRPr="00AE4E8D">
              <w:rPr>
                <w:rFonts w:ascii="Times New Roman" w:hAnsi="Times New Roman"/>
                <w:b/>
                <w:bCs/>
                <w:sz w:val="18"/>
                <w:szCs w:val="18"/>
                <w:lang w:val="es-ES" w:eastAsia="es-ES"/>
              </w:rPr>
              <w:t>Periodo</w:t>
            </w:r>
          </w:p>
        </w:tc>
        <w:tc>
          <w:tcPr>
            <w:tcW w:w="1103" w:type="pct"/>
            <w:vAlign w:val="bottom"/>
          </w:tcPr>
          <w:p w14:paraId="14074126" w14:textId="77777777" w:rsidR="00296832" w:rsidRPr="00AE4E8D" w:rsidRDefault="000E1220" w:rsidP="00160FCA">
            <w:pPr>
              <w:pBdr>
                <w:bottom w:val="single" w:sz="4" w:space="1" w:color="auto"/>
              </w:pBdr>
              <w:jc w:val="center"/>
              <w:textAlignment w:val="baseline"/>
              <w:rPr>
                <w:rFonts w:ascii="Times New Roman" w:hAnsi="Times New Roman"/>
                <w:b/>
                <w:sz w:val="18"/>
                <w:lang w:val="es-ES"/>
              </w:rPr>
            </w:pPr>
            <w:r w:rsidRPr="00AE4E8D">
              <w:rPr>
                <w:rFonts w:ascii="Times New Roman" w:hAnsi="Times New Roman"/>
                <w:b/>
                <w:bCs/>
                <w:sz w:val="18"/>
                <w:szCs w:val="18"/>
                <w:lang w:val="es-ES" w:eastAsia="es-ES"/>
              </w:rPr>
              <w:t>Alícuota</w:t>
            </w:r>
            <w:r w:rsidR="00296832" w:rsidRPr="00AE4E8D">
              <w:rPr>
                <w:rFonts w:ascii="Times New Roman" w:hAnsi="Times New Roman"/>
                <w:b/>
                <w:bCs/>
                <w:sz w:val="18"/>
                <w:szCs w:val="18"/>
                <w:lang w:val="es-ES" w:eastAsia="es-ES"/>
              </w:rPr>
              <w:t xml:space="preserve"> aplicable</w:t>
            </w:r>
          </w:p>
        </w:tc>
      </w:tr>
      <w:tr w:rsidR="00296832" w:rsidRPr="00AE4E8D" w14:paraId="4A8E322A" w14:textId="77777777" w:rsidTr="000400C8">
        <w:trPr>
          <w:trHeight w:val="288"/>
          <w:jc w:val="center"/>
        </w:trPr>
        <w:tc>
          <w:tcPr>
            <w:tcW w:w="2780" w:type="pct"/>
            <w:vAlign w:val="bottom"/>
          </w:tcPr>
          <w:p w14:paraId="410B9A78" w14:textId="77777777" w:rsidR="00296832" w:rsidRPr="00AE4E8D" w:rsidRDefault="00296832" w:rsidP="00480492">
            <w:pPr>
              <w:widowControl w:val="0"/>
              <w:tabs>
                <w:tab w:val="left" w:leader="dot" w:pos="4803"/>
              </w:tabs>
              <w:jc w:val="both"/>
              <w:textAlignment w:val="baseline"/>
              <w:rPr>
                <w:rFonts w:ascii="Times New Roman" w:hAnsi="Times New Roman"/>
                <w:b/>
                <w:bCs/>
                <w:sz w:val="18"/>
                <w:szCs w:val="18"/>
                <w:lang w:val="es-ES" w:eastAsia="es-ES"/>
              </w:rPr>
            </w:pPr>
            <w:r w:rsidRPr="00AE4E8D">
              <w:rPr>
                <w:rFonts w:ascii="Times New Roman" w:hAnsi="Times New Roman"/>
                <w:sz w:val="18"/>
                <w:szCs w:val="18"/>
                <w:lang w:val="es-ES" w:eastAsia="es-ES"/>
              </w:rPr>
              <w:t xml:space="preserve">Más de Ps.950.000 </w:t>
            </w:r>
            <w:r w:rsidRPr="00AE4E8D">
              <w:rPr>
                <w:rFonts w:ascii="Times New Roman" w:hAnsi="Times New Roman"/>
                <w:lang w:val="es-ES"/>
              </w:rPr>
              <w:tab/>
            </w:r>
          </w:p>
        </w:tc>
        <w:tc>
          <w:tcPr>
            <w:tcW w:w="1117" w:type="pct"/>
            <w:vAlign w:val="bottom"/>
          </w:tcPr>
          <w:p w14:paraId="7531B440" w14:textId="77777777" w:rsidR="00296832" w:rsidRPr="00AE4E8D" w:rsidRDefault="00296832" w:rsidP="00F45231">
            <w:pPr>
              <w:widowControl w:val="0"/>
              <w:jc w:val="center"/>
              <w:textAlignment w:val="baseline"/>
              <w:rPr>
                <w:rFonts w:ascii="Times New Roman" w:hAnsi="Times New Roman"/>
                <w:sz w:val="18"/>
                <w:szCs w:val="18"/>
                <w:lang w:val="es-ES" w:eastAsia="es-ES"/>
              </w:rPr>
            </w:pPr>
            <w:r w:rsidRPr="00AE4E8D">
              <w:rPr>
                <w:rFonts w:ascii="Times New Roman" w:hAnsi="Times New Roman"/>
                <w:sz w:val="18"/>
                <w:szCs w:val="18"/>
                <w:lang w:val="es-ES" w:eastAsia="es-ES"/>
              </w:rPr>
              <w:t>2017</w:t>
            </w:r>
          </w:p>
        </w:tc>
        <w:tc>
          <w:tcPr>
            <w:tcW w:w="1103" w:type="pct"/>
            <w:vAlign w:val="bottom"/>
          </w:tcPr>
          <w:p w14:paraId="0EDCE01B" w14:textId="77777777" w:rsidR="00296832" w:rsidRPr="00AE4E8D" w:rsidRDefault="00296832" w:rsidP="00160FCA">
            <w:pPr>
              <w:widowControl w:val="0"/>
              <w:jc w:val="center"/>
              <w:textAlignment w:val="baseline"/>
              <w:rPr>
                <w:rFonts w:ascii="Times New Roman" w:hAnsi="Times New Roman"/>
                <w:sz w:val="18"/>
                <w:lang w:val="es-ES"/>
              </w:rPr>
            </w:pPr>
            <w:r w:rsidRPr="00AE4E8D">
              <w:rPr>
                <w:rFonts w:ascii="Times New Roman" w:hAnsi="Times New Roman"/>
                <w:sz w:val="18"/>
                <w:szCs w:val="18"/>
                <w:lang w:val="es-ES" w:eastAsia="es-ES"/>
              </w:rPr>
              <w:t>0,50%</w:t>
            </w:r>
          </w:p>
        </w:tc>
      </w:tr>
      <w:tr w:rsidR="00296832" w:rsidRPr="00AE4E8D" w14:paraId="18E63949" w14:textId="77777777" w:rsidTr="000400C8">
        <w:trPr>
          <w:trHeight w:val="288"/>
          <w:jc w:val="center"/>
        </w:trPr>
        <w:tc>
          <w:tcPr>
            <w:tcW w:w="2780" w:type="pct"/>
            <w:vAlign w:val="bottom"/>
          </w:tcPr>
          <w:p w14:paraId="4C27649A" w14:textId="77777777" w:rsidR="00296832" w:rsidRPr="00AE4E8D" w:rsidRDefault="00296832" w:rsidP="00480492">
            <w:pPr>
              <w:widowControl w:val="0"/>
              <w:tabs>
                <w:tab w:val="left" w:leader="dot" w:pos="4803"/>
              </w:tabs>
              <w:jc w:val="both"/>
              <w:textAlignment w:val="baseline"/>
              <w:rPr>
                <w:rFonts w:ascii="Times New Roman" w:hAnsi="Times New Roman"/>
                <w:b/>
                <w:bCs/>
                <w:sz w:val="18"/>
                <w:szCs w:val="18"/>
                <w:lang w:val="es-ES" w:eastAsia="es-ES"/>
              </w:rPr>
            </w:pPr>
            <w:r w:rsidRPr="00AE4E8D">
              <w:rPr>
                <w:rFonts w:ascii="Times New Roman" w:hAnsi="Times New Roman"/>
                <w:sz w:val="18"/>
                <w:szCs w:val="18"/>
                <w:lang w:val="es-ES" w:eastAsia="es-ES"/>
              </w:rPr>
              <w:t xml:space="preserve">Más de Ps.1.050.000 </w:t>
            </w:r>
            <w:r w:rsidRPr="00AE4E8D">
              <w:rPr>
                <w:rFonts w:ascii="Times New Roman" w:hAnsi="Times New Roman"/>
                <w:lang w:val="es-ES"/>
              </w:rPr>
              <w:tab/>
            </w:r>
          </w:p>
        </w:tc>
        <w:tc>
          <w:tcPr>
            <w:tcW w:w="1117" w:type="pct"/>
            <w:vAlign w:val="bottom"/>
          </w:tcPr>
          <w:p w14:paraId="1E4B3EA4" w14:textId="77777777" w:rsidR="00296832" w:rsidRPr="00AE4E8D" w:rsidRDefault="00296832" w:rsidP="00F45231">
            <w:pPr>
              <w:widowControl w:val="0"/>
              <w:jc w:val="center"/>
              <w:textAlignment w:val="baseline"/>
              <w:rPr>
                <w:rFonts w:ascii="Times New Roman" w:hAnsi="Times New Roman"/>
                <w:sz w:val="18"/>
                <w:szCs w:val="18"/>
                <w:lang w:val="es-ES" w:eastAsia="es-ES"/>
              </w:rPr>
            </w:pPr>
            <w:r w:rsidRPr="00AE4E8D">
              <w:rPr>
                <w:rFonts w:ascii="Times New Roman" w:hAnsi="Times New Roman"/>
                <w:sz w:val="18"/>
                <w:szCs w:val="18"/>
                <w:lang w:val="es-ES" w:eastAsia="es-ES"/>
              </w:rPr>
              <w:t>2018</w:t>
            </w:r>
            <w:r w:rsidR="00D958BC" w:rsidRPr="00AE4E8D">
              <w:rPr>
                <w:rFonts w:ascii="Times New Roman" w:hAnsi="Times New Roman"/>
                <w:sz w:val="18"/>
                <w:szCs w:val="18"/>
                <w:lang w:val="es-ES" w:eastAsia="es-ES"/>
              </w:rPr>
              <w:t xml:space="preserve"> en adelante</w:t>
            </w:r>
          </w:p>
        </w:tc>
        <w:tc>
          <w:tcPr>
            <w:tcW w:w="1103" w:type="pct"/>
            <w:vAlign w:val="bottom"/>
          </w:tcPr>
          <w:p w14:paraId="47AED31F" w14:textId="77777777" w:rsidR="00296832" w:rsidRPr="00AE4E8D" w:rsidRDefault="00296832" w:rsidP="00160FCA">
            <w:pPr>
              <w:widowControl w:val="0"/>
              <w:jc w:val="center"/>
              <w:textAlignment w:val="baseline"/>
              <w:rPr>
                <w:rFonts w:ascii="Times New Roman" w:hAnsi="Times New Roman"/>
                <w:sz w:val="18"/>
                <w:lang w:val="es-ES"/>
              </w:rPr>
            </w:pPr>
            <w:r w:rsidRPr="00AE4E8D">
              <w:rPr>
                <w:rFonts w:ascii="Times New Roman" w:hAnsi="Times New Roman"/>
                <w:sz w:val="18"/>
                <w:szCs w:val="18"/>
                <w:lang w:val="es-ES" w:eastAsia="es-ES"/>
              </w:rPr>
              <w:t>0,25%</w:t>
            </w:r>
          </w:p>
        </w:tc>
      </w:tr>
    </w:tbl>
    <w:p w14:paraId="53306402" w14:textId="77777777" w:rsidR="00480492" w:rsidRPr="00AE4E8D" w:rsidRDefault="00480492" w:rsidP="00480492">
      <w:pPr>
        <w:pStyle w:val="BHTexto"/>
        <w:rPr>
          <w:lang w:val="es-ES"/>
        </w:rPr>
      </w:pPr>
      <w:r w:rsidRPr="00AE4E8D">
        <w:rPr>
          <w:lang w:val="es-ES"/>
        </w:rPr>
        <w:t xml:space="preserve">A su vez, las personas humanas extranjeras domiciliadas y las sucesiones indivisas radicadas en el extranjero son sujetos pasivos de este tributo únicamente en relación con los bienes ubicados en Argentina (incluidas las Obligaciones Negociables). La alícuota aplicable a estos contribuyentes es 0,50% </w:t>
      </w:r>
      <w:r w:rsidR="00D958BC" w:rsidRPr="00AE4E8D">
        <w:rPr>
          <w:lang w:val="es-ES"/>
        </w:rPr>
        <w:t xml:space="preserve">en relación al </w:t>
      </w:r>
      <w:r w:rsidR="002A5A31" w:rsidRPr="00AE4E8D">
        <w:rPr>
          <w:lang w:val="es-ES"/>
        </w:rPr>
        <w:t>período</w:t>
      </w:r>
      <w:r w:rsidR="00D958BC" w:rsidRPr="00AE4E8D">
        <w:rPr>
          <w:lang w:val="es-ES"/>
        </w:rPr>
        <w:t xml:space="preserve"> fiscal 2017 </w:t>
      </w:r>
      <w:r w:rsidRPr="00AE4E8D">
        <w:rPr>
          <w:lang w:val="es-ES"/>
        </w:rPr>
        <w:t xml:space="preserve">y 0,25% en relación a los periodos fiscales 2018 </w:t>
      </w:r>
      <w:r w:rsidR="00D958BC" w:rsidRPr="00AE4E8D">
        <w:rPr>
          <w:lang w:val="es-ES"/>
        </w:rPr>
        <w:t>y siguientes</w:t>
      </w:r>
      <w:r w:rsidRPr="00AE4E8D">
        <w:rPr>
          <w:lang w:val="es-ES"/>
        </w:rPr>
        <w:t>. El IBP no debe pagarse si el monto de dicho impuesto es igual o inferior a Ps.255</w:t>
      </w:r>
      <w:proofErr w:type="gramStart"/>
      <w:r w:rsidRPr="00AE4E8D">
        <w:rPr>
          <w:lang w:val="es-ES"/>
        </w:rPr>
        <w:t>,75</w:t>
      </w:r>
      <w:proofErr w:type="gramEnd"/>
      <w:r w:rsidRPr="00AE4E8D">
        <w:rPr>
          <w:lang w:val="es-ES"/>
        </w:rPr>
        <w:t xml:space="preserve">. </w:t>
      </w:r>
    </w:p>
    <w:p w14:paraId="02798D4D" w14:textId="77777777" w:rsidR="00480492" w:rsidRPr="00AE4E8D" w:rsidRDefault="00480492" w:rsidP="00480492">
      <w:pPr>
        <w:pStyle w:val="BHTexto"/>
        <w:rPr>
          <w:lang w:val="es-ES"/>
        </w:rPr>
      </w:pPr>
      <w:r w:rsidRPr="00AE4E8D">
        <w:rPr>
          <w:lang w:val="es-ES"/>
        </w:rPr>
        <w:t xml:space="preserve">Si bien los valores </w:t>
      </w:r>
      <w:r w:rsidR="005A14E7" w:rsidRPr="00AE4E8D">
        <w:rPr>
          <w:lang w:val="es-ES"/>
        </w:rPr>
        <w:t xml:space="preserve">negociables </w:t>
      </w:r>
      <w:r w:rsidRPr="00AE4E8D">
        <w:rPr>
          <w:lang w:val="es-ES"/>
        </w:rPr>
        <w:t xml:space="preserve">directamente detentados por personas humanas domiciliadas en el extranjero y sucesiones indivisas ubicadas fuera de Argentina estarían técnicamente </w:t>
      </w:r>
      <w:proofErr w:type="gramStart"/>
      <w:r w:rsidRPr="00AE4E8D">
        <w:rPr>
          <w:lang w:val="es-ES"/>
        </w:rPr>
        <w:t>sujetas</w:t>
      </w:r>
      <w:proofErr w:type="gramEnd"/>
      <w:r w:rsidRPr="00AE4E8D">
        <w:rPr>
          <w:lang w:val="es-ES"/>
        </w:rPr>
        <w:t xml:space="preserve"> al IBP, la Ley del IBP no establece ningún método o procedimiento para el cobro de dicho impuesto.</w:t>
      </w:r>
    </w:p>
    <w:p w14:paraId="0C2E7E05" w14:textId="77777777" w:rsidR="00480492" w:rsidRPr="00AE4E8D" w:rsidRDefault="00480492" w:rsidP="00480492">
      <w:pPr>
        <w:pStyle w:val="BHTexto"/>
        <w:rPr>
          <w:lang w:val="es-ES"/>
        </w:rPr>
      </w:pPr>
      <w:r w:rsidRPr="00AE4E8D">
        <w:rPr>
          <w:lang w:val="es-ES"/>
        </w:rPr>
        <w:t xml:space="preserve">El IBP establece una presunción legal irrefutable en el sentido de que las Obligaciones Negociables emitidas bajo la Ley de Obligaciones Negociables son de propiedad de personas humanas o sucesiones indivisas de Argentina y que por lo tanto están sujetas al IBP, en los casos en que sean de titularidad de sociedades, cualquier clase de persona jurídica, compañías, establecimientos permanentes, sucesiones o empresas (i) domiciliados o ubicados o radicados en el exterior en cualquier país que no exige la nominatividad de los valores </w:t>
      </w:r>
      <w:r w:rsidR="005A14E7" w:rsidRPr="00AE4E8D">
        <w:rPr>
          <w:lang w:val="es-ES"/>
        </w:rPr>
        <w:t xml:space="preserve">negociables </w:t>
      </w:r>
      <w:r w:rsidRPr="00AE4E8D">
        <w:rPr>
          <w:lang w:val="es-ES"/>
        </w:rPr>
        <w:t>privados y (ii) que en virtud de su naturaleza jurídica o sus Estatutos (a) su actividad principal consiste en la realización de inversiones fuera de su país de constitución y/o (b) no puede realizar ciertas actividades en su propio país o realizar ciertas inversiones permitidas conforme a las leyes de dicho país.</w:t>
      </w:r>
    </w:p>
    <w:p w14:paraId="6EA53E63" w14:textId="77777777" w:rsidR="00480492" w:rsidRPr="00AE4E8D" w:rsidRDefault="00480492" w:rsidP="00480492">
      <w:pPr>
        <w:pStyle w:val="BHTexto"/>
        <w:rPr>
          <w:lang w:val="es-ES"/>
        </w:rPr>
      </w:pPr>
      <w:r w:rsidRPr="00AE4E8D">
        <w:rPr>
          <w:lang w:val="es-ES"/>
        </w:rPr>
        <w:t>En dichos casos la ley impone al emisor privado argentino (el "</w:t>
      </w:r>
      <w:r w:rsidRPr="00AE4E8D">
        <w:rPr>
          <w:u w:val="single"/>
          <w:lang w:val="es-ES"/>
        </w:rPr>
        <w:t>Responsable Sustituto</w:t>
      </w:r>
      <w:r w:rsidRPr="00AE4E8D">
        <w:rPr>
          <w:lang w:val="es-ES"/>
        </w:rPr>
        <w:t>") pagar el IBP a la alícuota prevista para personas humanas sujetos del exterior incrementando la misma en un 100%. El Decreto Nº127, del 9 de febrero de 1996, y la Resolución General de AFIP N°2151/06 establecen que el Responsable Sustituto y, por ende, la parte obligada a efectuar el pago del impuesto, será la entidad emisora de dichas Obligaciones Negociables. El IBP autoriza asimismo al Responsable Sustituto a recuperar el monto pagado, entre otros medios, a través de una retención o ejecución de los bienes que originaron dicho pago.</w:t>
      </w:r>
    </w:p>
    <w:p w14:paraId="5457521E" w14:textId="77777777" w:rsidR="00480492" w:rsidRPr="00AE4E8D" w:rsidRDefault="00480492" w:rsidP="00480492">
      <w:pPr>
        <w:pStyle w:val="BHTexto"/>
        <w:rPr>
          <w:lang w:val="es-ES"/>
        </w:rPr>
      </w:pPr>
      <w:r w:rsidRPr="00AE4E8D">
        <w:rPr>
          <w:lang w:val="es-ES"/>
        </w:rPr>
        <w:t>La presunción legal precedente no es de aplicación a las siguientes personas jurídicas extranjeras que son titulares directos de dichos bienes: (i) compañías de seguros, (ii) fondos de inversión abiertos, (iii) fondos de pensión y (iv) bancos o entidades financieras cuya casa matriz se encuentre constituida en un país cuyo BCRA o autoridad equivalente ha adoptado los estándares internacionales de supervisión establecidos por el Comité de Basilea.</w:t>
      </w:r>
    </w:p>
    <w:p w14:paraId="34F624B0" w14:textId="77777777" w:rsidR="00480492" w:rsidRPr="00AE4E8D" w:rsidRDefault="00480492" w:rsidP="00480492">
      <w:pPr>
        <w:pStyle w:val="BHTexto"/>
        <w:rPr>
          <w:lang w:val="es-ES"/>
        </w:rPr>
      </w:pPr>
      <w:r w:rsidRPr="00AE4E8D">
        <w:rPr>
          <w:lang w:val="es-ES"/>
        </w:rPr>
        <w:t>Sin perjuicio de ello, el Decreto Nº812/1996 de fecha 22 de julio de 1996 establece que la presunción legal analizada anteriormente no será de aplicación a las acciones y a los títulos de deuda corporativos cuya oferta pública ha sido autorizada por la CNV y que se negocian en las bolsas de comercio de Argentina o del extranjero. A fin de asegurar que esta presunción legal no será de aplicación, y por lo tanto, que el emisor privado argentino no estará obligado como responsable sustituto respecto de las Obligaciones Negociables, deberemos mantener en nuestros registros una copia debidamente certificada de la resolución de la CNV en la que se autoriza la oferta pública de las acciones o los títulos de deuda corporativos y evidencia que acredite que dicho certificado o autorización estaba en vigencia el 31 de diciembre del año en que se originó la obligación tributaria según lo exige la Resolución N°2151 de la AFIP de fecha 31 de octubre de 2006. Nos proponemos cumplir con estos requisitos.</w:t>
      </w:r>
    </w:p>
    <w:p w14:paraId="61EA3AF8" w14:textId="77777777" w:rsidR="00480492" w:rsidRPr="00AE4E8D" w:rsidRDefault="00480492" w:rsidP="000E1220">
      <w:pPr>
        <w:pStyle w:val="BH4Cursiva"/>
        <w:rPr>
          <w:lang w:val="es-ES"/>
        </w:rPr>
      </w:pPr>
      <w:r w:rsidRPr="00AE4E8D">
        <w:rPr>
          <w:lang w:val="es-ES"/>
        </w:rPr>
        <w:t>Impuestos sobre Créditos y Débitos en Cuentas Corrientes</w:t>
      </w:r>
    </w:p>
    <w:p w14:paraId="71E51D6C" w14:textId="77777777" w:rsidR="00480492" w:rsidRPr="00AE4E8D" w:rsidRDefault="00480492" w:rsidP="00480492">
      <w:pPr>
        <w:pStyle w:val="BHTexto"/>
        <w:rPr>
          <w:lang w:val="es-ES"/>
        </w:rPr>
      </w:pPr>
      <w:r w:rsidRPr="00AE4E8D">
        <w:rPr>
          <w:lang w:val="es-ES"/>
        </w:rPr>
        <w:t>La Ley Nº25.413 (denominada "</w:t>
      </w:r>
      <w:r w:rsidRPr="00AE4E8D">
        <w:rPr>
          <w:u w:val="single"/>
          <w:lang w:val="es-ES"/>
        </w:rPr>
        <w:t>Ley de Competitividad</w:t>
      </w:r>
      <w:r w:rsidRPr="00AE4E8D">
        <w:rPr>
          <w:lang w:val="es-ES"/>
        </w:rPr>
        <w:t xml:space="preserve">"), modificada y regulada por la Ley Nº25.453, establece un impuesto a los débitos y créditos, de cualquier naturaleza, realizados en cuentas corrientes abiertas en entidades bancarias radicadas en Argentina, salvo aquéllas específicamente exentas de acuerdo </w:t>
      </w:r>
      <w:r w:rsidRPr="00AE4E8D">
        <w:rPr>
          <w:lang w:val="es-ES"/>
        </w:rPr>
        <w:lastRenderedPageBreak/>
        <w:t xml:space="preserve">con las disposiciones legales y sus reglamentaciones. Los débitos y créditos en las cuentas corrientes están sujetos a una alícuota impositiva general del 0,6%, aunque en ciertos casos podrá aplicarse una alícuota inferior del 0,075%. </w:t>
      </w:r>
    </w:p>
    <w:p w14:paraId="7DA6B68F" w14:textId="77777777" w:rsidR="00480492" w:rsidRPr="00AE4E8D" w:rsidRDefault="00480492" w:rsidP="00480492">
      <w:pPr>
        <w:pStyle w:val="BHTexto"/>
        <w:rPr>
          <w:lang w:val="es-ES"/>
        </w:rPr>
      </w:pPr>
      <w:r w:rsidRPr="00AE4E8D">
        <w:rPr>
          <w:lang w:val="es-ES"/>
        </w:rPr>
        <w:t xml:space="preserve">Ciertas transferencias de dinero o movimientos de efectivo realizados a través de otros mecanismos también pueden estar sujetos a la aplicación de este impuesto, gravados con alícuotas que pueden alcanzar hasta el 1,2% de los montos transferidos en algunos casos. </w:t>
      </w:r>
    </w:p>
    <w:p w14:paraId="7FB695BD" w14:textId="77777777" w:rsidR="00480492" w:rsidRPr="00AE4E8D" w:rsidRDefault="00480492" w:rsidP="00480492">
      <w:pPr>
        <w:pStyle w:val="BHTexto"/>
        <w:rPr>
          <w:lang w:val="es-ES"/>
        </w:rPr>
      </w:pPr>
      <w:r w:rsidRPr="00AE4E8D">
        <w:rPr>
          <w:lang w:val="es-ES"/>
        </w:rPr>
        <w:t>En general, las entidades financieras que participan actúan como agentes de percepción y agentes de liquidación.</w:t>
      </w:r>
    </w:p>
    <w:p w14:paraId="1A9B755D" w14:textId="77777777" w:rsidR="00480492" w:rsidRPr="00AE4E8D" w:rsidRDefault="00480492" w:rsidP="00480492">
      <w:pPr>
        <w:pStyle w:val="BHTexto"/>
        <w:rPr>
          <w:lang w:val="es-ES"/>
        </w:rPr>
      </w:pPr>
      <w:r w:rsidRPr="00AE4E8D">
        <w:rPr>
          <w:lang w:val="es-ES"/>
        </w:rPr>
        <w:t>El Decreto Nº534/2004 estableció que a partir del 1 de mayo de 2004 el 34% de los montos abonados a cuenta de este impuesto por los hechos imponibles cubiertos por el artículo 1 a) de la Ley mencionada anteriormente (sólo créditos) alcanzados por la tasa general del 0.6%, y el 17% del impuesto pagado por operaciones gravadas a la tasa del 1,2% en virtud de los apartados b) y c) de dicha Ley serán considerados como pago a cuenta del impuesto a las ganancias, el impuesto a la ganancia mínima presunta o los aportes especiales sobre el capital de cooperativas por los titulares de cuentas bancarias.</w:t>
      </w:r>
    </w:p>
    <w:p w14:paraId="58F23472" w14:textId="77777777" w:rsidR="00480492" w:rsidRPr="00AE4E8D" w:rsidRDefault="00480492" w:rsidP="00480492">
      <w:pPr>
        <w:pStyle w:val="BHTexto"/>
        <w:rPr>
          <w:lang w:val="es-ES"/>
        </w:rPr>
      </w:pPr>
      <w:r w:rsidRPr="00AE4E8D">
        <w:rPr>
          <w:lang w:val="es-ES"/>
        </w:rPr>
        <w:t>Recientemente, la Ley N° 27.264 y el Decreto N° 1.101 del 17 de octubre de 2016, han establecido que el impuesto sobre los créditos y débitos en cuentas bancarias y otras operatorias, establecido por el Artículo 1° de la Ley de Competitividad N° 25.413 y sus modificaciones, que hubiese sido efectivamente ingresado, podrá ser computado en un 100% como pago a cuenta del impuesto a las ganancias por las empresas que sean consideradas “micro” y “pequeñas” y en un 50% por las industrias manufactureras consideradas “medianas —tramo 1—” en los términos del Artículo 1° de la Ley N° 25.300 y sus normas complementarias. A efectos de usufructuar el beneficio se deberá cumplimentar las previsiones dispuestas en la RG (AFIP) 3946/2016.</w:t>
      </w:r>
    </w:p>
    <w:p w14:paraId="5ED2D413" w14:textId="77777777" w:rsidR="00480492" w:rsidRPr="00AE4E8D" w:rsidRDefault="00480492" w:rsidP="000E1220">
      <w:pPr>
        <w:pStyle w:val="BH4Cursiva"/>
        <w:rPr>
          <w:lang w:val="es-ES"/>
        </w:rPr>
      </w:pPr>
      <w:r w:rsidRPr="00AE4E8D">
        <w:rPr>
          <w:lang w:val="es-ES"/>
        </w:rPr>
        <w:t>Impuesto sobre los Ingresos Brutos</w:t>
      </w:r>
    </w:p>
    <w:p w14:paraId="591ED4DD" w14:textId="77777777" w:rsidR="00480492" w:rsidRPr="00AE4E8D" w:rsidRDefault="00480492" w:rsidP="00480492">
      <w:pPr>
        <w:pStyle w:val="BHTexto"/>
        <w:rPr>
          <w:lang w:val="es-ES"/>
        </w:rPr>
      </w:pPr>
      <w:r w:rsidRPr="00AE4E8D">
        <w:rPr>
          <w:lang w:val="es-ES"/>
        </w:rPr>
        <w:t xml:space="preserve">El impuesto sobre los ingresos brutos es un impuesto local que grava el ejercicio habitual de una actividad económica en una provincia o en la Ciudad Autónoma de Buenos Aires. La base del impuesto es el monto de los importes brutos facturados como resultado de las actividades comerciales realizadas en la jurisdicción. </w:t>
      </w:r>
    </w:p>
    <w:p w14:paraId="0ED8F4B6" w14:textId="77777777" w:rsidR="00480492" w:rsidRPr="00AE4E8D" w:rsidRDefault="00480492" w:rsidP="00480492">
      <w:pPr>
        <w:pStyle w:val="BHTexto"/>
        <w:rPr>
          <w:lang w:val="es-ES"/>
        </w:rPr>
      </w:pPr>
      <w:r w:rsidRPr="00AE4E8D">
        <w:rPr>
          <w:lang w:val="es-ES"/>
        </w:rPr>
        <w:t>Los ingresos resultantes de cualquier operación relacionada con las Obligaciones Negociables emitidas de conformidad con la Ley de Obligaciones Negociables están exentos de la aplicación del impuesto sobre los ingresos brutos en las jurisdicciones de la Ciudad Autónoma de Buenos Aires y la Provincia de Buenos Aires. De conformidad con las disposiciones del Código Fiscal aplicable en ambas jurisdicciones a fin de acogerse a esta exención, las Obligaciones Negociables deben ser emitidas de acuerdo con las disposiciones establecidas en la Ley de Obligaciones Negociables, y la exención impositiva mencionada anteriormente se aplicará en la medida que dichas operaciones estén exentas del impuesto a las ganancias (es decir, en la medida que se cumplan las Condiciones del Artículo 36).</w:t>
      </w:r>
    </w:p>
    <w:p w14:paraId="3430961A" w14:textId="77777777" w:rsidR="00480492" w:rsidRPr="00AE4E8D" w:rsidRDefault="00480492" w:rsidP="000E1220">
      <w:pPr>
        <w:pStyle w:val="BH4Cursiva"/>
        <w:rPr>
          <w:sz w:val="22"/>
          <w:lang w:val="es-ES"/>
        </w:rPr>
      </w:pPr>
      <w:r w:rsidRPr="00AE4E8D">
        <w:rPr>
          <w:lang w:val="es-ES"/>
        </w:rPr>
        <w:t xml:space="preserve">Impuestos de Sellos </w:t>
      </w:r>
    </w:p>
    <w:p w14:paraId="46FB2ED3" w14:textId="77777777" w:rsidR="00480492" w:rsidRPr="00AE4E8D" w:rsidRDefault="00480492" w:rsidP="00480492">
      <w:pPr>
        <w:pStyle w:val="BHTexto"/>
        <w:rPr>
          <w:lang w:val="es-ES"/>
        </w:rPr>
      </w:pPr>
      <w:r w:rsidRPr="00AE4E8D">
        <w:rPr>
          <w:lang w:val="es-ES"/>
        </w:rPr>
        <w:t>El impuesto de sellos es un impuesto local que grava en general las operaciones de carácter oneroso instrumentadas en una cierta jurisdicción provincial o fuera de cierta jurisdicción provincial pero con efectos en dicha jurisdicción.</w:t>
      </w:r>
    </w:p>
    <w:p w14:paraId="2D402427" w14:textId="77777777" w:rsidR="00480492" w:rsidRPr="00AE4E8D" w:rsidRDefault="00480492" w:rsidP="00480492">
      <w:pPr>
        <w:pStyle w:val="BHTexto"/>
        <w:rPr>
          <w:lang w:val="es-ES"/>
        </w:rPr>
      </w:pPr>
      <w:r w:rsidRPr="00AE4E8D">
        <w:rPr>
          <w:lang w:val="es-ES"/>
        </w:rPr>
        <w:t>Sin perjuicio de ello, en la Ciudad Autónoma de Buenos Aires, están exentos de la aplicación de este impuesto los actos, contratos y operaciones de cualquier naturaleza incluyendo entregas y recepciones de dinero, vinculados a la emisión, suscripción, colocación y transferencia de Obligaciones Negociables, emitidas de conformidad con la Ley de Obligaciones Negociables. Esta exención incluye a los incrementos de capital realizados para posibilitar la emisión de las acciones a otorgarse, la conversión de Obligaciones Negociables y la constitución de cualquier garantía real o personal a favor de los inversores o terceros garantes de la emisión, ya sea anteriores, simultáneas o posteriores a dicha emisión.</w:t>
      </w:r>
    </w:p>
    <w:p w14:paraId="10B7BB4C" w14:textId="77777777" w:rsidR="00480492" w:rsidRPr="00AE4E8D" w:rsidRDefault="00480492" w:rsidP="00480492">
      <w:pPr>
        <w:pStyle w:val="BHTexto"/>
        <w:rPr>
          <w:lang w:val="es-ES"/>
        </w:rPr>
      </w:pPr>
      <w:r w:rsidRPr="00AE4E8D">
        <w:rPr>
          <w:lang w:val="es-ES"/>
        </w:rPr>
        <w:t xml:space="preserve">Ello no obstante, los instrumentos, actos y operaciones de cualquier naturaleza vinculados con la emisión de títulos representativos de deuda de sus emisores y cualquier otro título valor destinado a la oferta pública bajo la Ley de Mercado de Capitales por parte de sociedades autorizadas por la CNV a hacer oferta pública se encuentran asimismo exentos de la aplicación de este impuesto en la Ciudad Autónoma de Buenos Aires. Esta exención se aplica asimismo a las garantías relacionadas con las emisiones. Sin embargo, esta exención queda sin efecto, si en un plazo de noventa (90) días corridos no se solicita la autorización para la oferta pública de dichos valores </w:t>
      </w:r>
      <w:r w:rsidR="005A14E7" w:rsidRPr="00AE4E8D">
        <w:rPr>
          <w:lang w:val="es-ES"/>
        </w:rPr>
        <w:t xml:space="preserve">negociables </w:t>
      </w:r>
      <w:r w:rsidRPr="00AE4E8D">
        <w:rPr>
          <w:lang w:val="es-ES"/>
        </w:rPr>
        <w:t>ante la CNV y/o si la colocación de las Obligaciones Negociables no se realiza en un plazo de ciento ochenta (180) días corridos a partir de ser concedida la autorización solicitada.</w:t>
      </w:r>
    </w:p>
    <w:p w14:paraId="7398FEE4" w14:textId="77777777" w:rsidR="00480492" w:rsidRPr="00AE4E8D" w:rsidRDefault="00480492" w:rsidP="00480492">
      <w:pPr>
        <w:pStyle w:val="BHTexto"/>
        <w:rPr>
          <w:lang w:val="es-ES"/>
        </w:rPr>
      </w:pPr>
      <w:r w:rsidRPr="00AE4E8D">
        <w:rPr>
          <w:lang w:val="es-ES"/>
        </w:rPr>
        <w:lastRenderedPageBreak/>
        <w:t xml:space="preserve">Los actos y/o los instrumentos relacionados con la negociación de acciones y otros valores </w:t>
      </w:r>
      <w:r w:rsidR="005A14E7" w:rsidRPr="00AE4E8D">
        <w:rPr>
          <w:lang w:val="es-ES"/>
        </w:rPr>
        <w:t xml:space="preserve">negociables </w:t>
      </w:r>
      <w:r w:rsidRPr="00AE4E8D">
        <w:rPr>
          <w:lang w:val="es-ES"/>
        </w:rPr>
        <w:t>debidamente autorizados para su oferta pública por la CNV están exentos de la aplicación del impuesto de sellos en la Ciudad Autónoma de Buenos Aires. Esta exención queda asimismo sin efecto si se producen las circunstancias mencionadas en la segunda oración del párrafo precedente.</w:t>
      </w:r>
    </w:p>
    <w:p w14:paraId="4F775814" w14:textId="77777777" w:rsidR="00480492" w:rsidRPr="00AE4E8D" w:rsidRDefault="00480492" w:rsidP="00480492">
      <w:pPr>
        <w:pStyle w:val="BHTexto"/>
        <w:rPr>
          <w:lang w:val="es-ES"/>
        </w:rPr>
      </w:pPr>
      <w:r w:rsidRPr="00AE4E8D">
        <w:rPr>
          <w:lang w:val="es-ES"/>
        </w:rPr>
        <w:t>A su vez, en la provincia de Buenos Aires, están exentos de la aplicación de este impuesto los actos, contratos y operaciones de cualquier naturaleza incluyendo entregas y recepciones de dinero, vinculados a la emisión, suscripción, colocación y transferencia de Obligaciones Negociables, emitidas de conformidad con la Ley de Obligaciones Negociables. Esta exención incluye a los incrementos de capital realizados para posibilitar la emisión de las acciones a otorgarse, la conversión de Obligaciones Negociables y la constitución de cualquier garantía real o personal a favor de los inversores o terceros garantes de la emisión, ya sea anteriores, simultáneas o posteriores a dicha emisión.</w:t>
      </w:r>
    </w:p>
    <w:p w14:paraId="307ADCCB" w14:textId="77777777" w:rsidR="00480492" w:rsidRPr="00AE4E8D" w:rsidRDefault="00480492" w:rsidP="00480492">
      <w:pPr>
        <w:pStyle w:val="BHTexto"/>
        <w:rPr>
          <w:lang w:val="es-ES"/>
        </w:rPr>
      </w:pPr>
      <w:r w:rsidRPr="00AE4E8D">
        <w:rPr>
          <w:lang w:val="es-ES"/>
        </w:rPr>
        <w:t xml:space="preserve">En la provincia de Buenos Aires, los instrumentos, actos y operaciones de cualquier naturaleza vinculados con la emisión de títulos representativos de deuda de sus emisores y cualquier otro título valor destinado a la oferta pública bajo la Ley de Mercado de Capitales por parte de sociedades autorizadas por la CNV a hacer oferta pública se encuentran asimismo exentos de la aplicación de este impuesto. Esta exención se aplica asimismo a la constitución de cualquier garantía, real o personal, a favor de los inversores o terceros garantes de la emisión, ya sea anterior, simultánea o posterior a dicha emisión. Sin embargo, esta exención queda sin efecto, si en un plazo de noventa (90) días corridos no se solicita la autorización para la oferta pública de dichos valores </w:t>
      </w:r>
      <w:r w:rsidR="005A14E7" w:rsidRPr="00AE4E8D">
        <w:rPr>
          <w:lang w:val="es-ES"/>
        </w:rPr>
        <w:t xml:space="preserve">negociables </w:t>
      </w:r>
      <w:r w:rsidRPr="00AE4E8D">
        <w:rPr>
          <w:lang w:val="es-ES"/>
        </w:rPr>
        <w:t>ante la CNV y/o si la colocación de las Obligaciones Negociables no se realiza en un plazo de ciento ochenta (180) días corridos a partir de ser concedida la autorización solicitada.</w:t>
      </w:r>
    </w:p>
    <w:p w14:paraId="7475364D" w14:textId="77777777" w:rsidR="00480492" w:rsidRPr="00AE4E8D" w:rsidRDefault="00480492" w:rsidP="00480492">
      <w:pPr>
        <w:pStyle w:val="BHTexto"/>
        <w:rPr>
          <w:lang w:val="es-ES"/>
        </w:rPr>
      </w:pPr>
      <w:r w:rsidRPr="00AE4E8D">
        <w:rPr>
          <w:lang w:val="es-ES"/>
        </w:rPr>
        <w:t xml:space="preserve">Asimismo, los actos relacionados con la negociación de valores </w:t>
      </w:r>
      <w:r w:rsidR="005A14E7" w:rsidRPr="00AE4E8D">
        <w:rPr>
          <w:lang w:val="es-ES"/>
        </w:rPr>
        <w:t xml:space="preserve">negociables </w:t>
      </w:r>
      <w:r w:rsidRPr="00AE4E8D">
        <w:rPr>
          <w:lang w:val="es-ES"/>
        </w:rPr>
        <w:t>debidamente autorizados para su oferta pública por la CNV están exentos de la aplicación del impuesto de sellos en la Provincia de Buenos Aires. Esta exención queda asimismo sin efecto si se producen las circunstancias mencionadas en la segunda oración del párrafo precedente.</w:t>
      </w:r>
    </w:p>
    <w:p w14:paraId="4FB13104" w14:textId="77777777" w:rsidR="00480492" w:rsidRPr="00AE4E8D" w:rsidRDefault="00480492" w:rsidP="00480492">
      <w:pPr>
        <w:pStyle w:val="BHTexto"/>
        <w:rPr>
          <w:b/>
          <w:bCs/>
          <w:lang w:val="es-ES"/>
        </w:rPr>
      </w:pPr>
      <w:r w:rsidRPr="00AE4E8D">
        <w:rPr>
          <w:lang w:val="es-ES"/>
        </w:rPr>
        <w:t>Considerando las atribuciones autónomas conferidas a cada jurisdicción provincial en relación con cuestiones impositivas, debe analizarse cualquier posible efecto derivado de estas operaciones, en forma adicional al tratamiento impositivo establecido por las demás jurisdicciones provinciales.</w:t>
      </w:r>
    </w:p>
    <w:p w14:paraId="5BB248D5" w14:textId="77777777" w:rsidR="00480492" w:rsidRPr="00AE4E8D" w:rsidRDefault="00480492" w:rsidP="000E1220">
      <w:pPr>
        <w:pStyle w:val="BH4Cursiva"/>
        <w:rPr>
          <w:lang w:val="es-ES"/>
        </w:rPr>
      </w:pPr>
      <w:r w:rsidRPr="00AE4E8D">
        <w:rPr>
          <w:lang w:val="es-ES"/>
        </w:rPr>
        <w:t>Impuestos a las Transferencias</w:t>
      </w:r>
    </w:p>
    <w:p w14:paraId="61A1002C" w14:textId="77777777" w:rsidR="00480492" w:rsidRPr="00AE4E8D" w:rsidRDefault="00480492" w:rsidP="00480492">
      <w:pPr>
        <w:pStyle w:val="BHTexto"/>
        <w:rPr>
          <w:lang w:val="es-ES"/>
        </w:rPr>
      </w:pPr>
      <w:r w:rsidRPr="00AE4E8D">
        <w:rPr>
          <w:lang w:val="es-ES"/>
        </w:rPr>
        <w:t>No se gravan impuestos sobre las ventas y/o transferencias de Obligaciones Negociables. En Argentina, a nivel federal y hasta el momento tampoco se encuentra gravado el acervo hereditario ni las transmisiones gratuitas de bienes sobre el causante, donante, legatario o donatario.</w:t>
      </w:r>
    </w:p>
    <w:p w14:paraId="78908E4B" w14:textId="77777777" w:rsidR="00480492" w:rsidRPr="00AE4E8D" w:rsidRDefault="00480492" w:rsidP="00480492">
      <w:pPr>
        <w:pStyle w:val="BHTexto"/>
        <w:rPr>
          <w:lang w:val="es-ES"/>
        </w:rPr>
      </w:pPr>
      <w:r w:rsidRPr="00AE4E8D">
        <w:rPr>
          <w:lang w:val="es-ES"/>
        </w:rPr>
        <w:t>Sin perjuicio de ello, a nivel provincial, la Provincia de Buenos Aires sancionó la Ley Nº14.044, aprobada el 23 de septiembre de 2009 y publicada en el Boletín Oficial el 16 de octubre de 2009, mediante la cual impuso un Impuesto a la Transmisión Gratuita de Bienes, con efectos a partir del 1 de enero de 2010.</w:t>
      </w:r>
    </w:p>
    <w:p w14:paraId="5CAFCC2E" w14:textId="77777777" w:rsidR="00480492" w:rsidRPr="00AE4E8D" w:rsidRDefault="00480492" w:rsidP="00480492">
      <w:pPr>
        <w:pStyle w:val="BHTexto"/>
        <w:rPr>
          <w:lang w:val="es-ES"/>
        </w:rPr>
      </w:pPr>
      <w:r w:rsidRPr="00AE4E8D">
        <w:rPr>
          <w:lang w:val="es-ES"/>
        </w:rPr>
        <w:t>Posteriormente, la Ley Nº14.044 fue modificada en virtud de la Ley Nº14.200 aprobada el 2 de diciembre de 2010 y publicada en el Boletín Oficial el 24 de diciembre de 2010. La Ley Nº14.200 dispuso asimismo extinguir de pleno de derecho las deudas por este Impuesto devengadas al 31 de diciembre de 2010.</w:t>
      </w:r>
    </w:p>
    <w:p w14:paraId="5F38E124" w14:textId="77777777" w:rsidR="00480492" w:rsidRPr="00AE4E8D" w:rsidRDefault="00480492" w:rsidP="00480492">
      <w:pPr>
        <w:pStyle w:val="BHTexto"/>
        <w:rPr>
          <w:lang w:val="es-ES"/>
        </w:rPr>
      </w:pPr>
      <w:r w:rsidRPr="00AE4E8D">
        <w:rPr>
          <w:lang w:val="es-ES"/>
        </w:rPr>
        <w:t>El impuesto a la transmisión gratuita de bienes alcanza al enriquecimiento que se obtenga en virtud de toda transmisión a título gratuito, incluyendo: herencias, legados, donaciones, anticipos de herencia y cualquier otra transmisión que implique un enriquecimiento patrimonial a título gratuito.</w:t>
      </w:r>
    </w:p>
    <w:p w14:paraId="24221984" w14:textId="77777777" w:rsidR="00480492" w:rsidRPr="00AE4E8D" w:rsidRDefault="00480492" w:rsidP="00480492">
      <w:pPr>
        <w:pStyle w:val="BHTexto"/>
        <w:rPr>
          <w:lang w:val="es-ES"/>
        </w:rPr>
      </w:pPr>
      <w:r w:rsidRPr="00AE4E8D">
        <w:rPr>
          <w:lang w:val="es-ES"/>
        </w:rPr>
        <w:t>El impuesto es pagadero por las personas humanas y jurídicas que resulten beneficiarias de una transmisión de bienes a título gratuito.</w:t>
      </w:r>
    </w:p>
    <w:p w14:paraId="4B39A4F5" w14:textId="77777777" w:rsidR="00480492" w:rsidRPr="00AE4E8D" w:rsidRDefault="00480492" w:rsidP="00480492">
      <w:pPr>
        <w:pStyle w:val="BHTexto"/>
        <w:rPr>
          <w:lang w:val="es-ES"/>
        </w:rPr>
      </w:pPr>
      <w:r w:rsidRPr="00AE4E8D">
        <w:rPr>
          <w:lang w:val="es-ES"/>
        </w:rPr>
        <w:t>Respecto de los contribuyentes domiciliados en la Provincia de Buenos Aires, el impuesto grava el monto total del enriquecimiento a título gratuito, respecto de bienes ubicados tanto dentro como fuera de la Provincia de Buenos Aires. Por otro lado, respecto de los contribuyentes domiciliados fuera de la Provincia de Buenos Aires, el impuesto grava únicamente el enriquecimiento a título gratuito resultante de la transmisión de bienes situados dentro de la Provincia de Buenos Aires.</w:t>
      </w:r>
    </w:p>
    <w:p w14:paraId="7D7A3A32" w14:textId="77777777" w:rsidR="00480492" w:rsidRPr="00AE4E8D" w:rsidRDefault="00480492" w:rsidP="00480492">
      <w:pPr>
        <w:pStyle w:val="BHTexto"/>
        <w:rPr>
          <w:lang w:val="es-ES"/>
        </w:rPr>
      </w:pPr>
      <w:r w:rsidRPr="00AE4E8D">
        <w:rPr>
          <w:lang w:val="es-ES"/>
        </w:rPr>
        <w:t xml:space="preserve">Los siguientes tipos de bienes, que pueden ser objeto de una transmisión a título gratuito, se consideran situados en la Provincia de Buenos Aires (i) valores </w:t>
      </w:r>
      <w:r w:rsidR="005A14E7" w:rsidRPr="00AE4E8D">
        <w:rPr>
          <w:lang w:val="es-ES"/>
        </w:rPr>
        <w:t xml:space="preserve">negociables </w:t>
      </w:r>
      <w:r w:rsidRPr="00AE4E8D">
        <w:rPr>
          <w:lang w:val="es-ES"/>
        </w:rPr>
        <w:t>y acciones, obligaciones negociables, participaciones de capital y otros instrumentos negociables representativos de capital social, emitidos por entes públicos o privados y sociedades domiciliados en la Provincia de Buenos Aires; (ii) valores</w:t>
      </w:r>
      <w:r w:rsidR="005A14E7" w:rsidRPr="00AE4E8D">
        <w:rPr>
          <w:lang w:val="es-ES"/>
        </w:rPr>
        <w:t xml:space="preserve"> negociables</w:t>
      </w:r>
      <w:r w:rsidRPr="00AE4E8D">
        <w:rPr>
          <w:lang w:val="es-ES"/>
        </w:rPr>
        <w:t xml:space="preserve">, acciones y otros instrumentos negociables emitidos por entes privados o sociedades domiciliados en una jurisdicción diferente que estuvieran físicamente situados en la Provincia de Buenos </w:t>
      </w:r>
      <w:r w:rsidRPr="00AE4E8D">
        <w:rPr>
          <w:lang w:val="es-ES"/>
        </w:rPr>
        <w:lastRenderedPageBreak/>
        <w:t>Aires al momento de la transmisión; y (iii) valores</w:t>
      </w:r>
      <w:r w:rsidR="005A14E7" w:rsidRPr="00AE4E8D">
        <w:rPr>
          <w:lang w:val="es-ES"/>
        </w:rPr>
        <w:t xml:space="preserve"> negociables</w:t>
      </w:r>
      <w:r w:rsidRPr="00AE4E8D">
        <w:rPr>
          <w:lang w:val="es-ES"/>
        </w:rPr>
        <w:t>, acciones y otros instrumentos negociables representativos de capital social o equivalente emitidos por entes o sociedades domiciliados en otra jurisdicción que también se encuentren físicamente situados en otra jurisdicción, en proporción a los bienes de los emisores que se encontraren en la Provincia de Buenos Aires.</w:t>
      </w:r>
    </w:p>
    <w:p w14:paraId="55177F48" w14:textId="77777777" w:rsidR="00480492" w:rsidRPr="00AE4E8D" w:rsidRDefault="00480492" w:rsidP="00480492">
      <w:pPr>
        <w:pStyle w:val="BHTexto"/>
        <w:rPr>
          <w:lang w:val="es-ES"/>
        </w:rPr>
      </w:pPr>
      <w:r w:rsidRPr="00AE4E8D">
        <w:rPr>
          <w:lang w:val="es-ES"/>
        </w:rPr>
        <w:t>Las transmisiones gratuitas de bienes están exentas del impuesto cuando su valor total, con exclusión de deducciones, exenciones y exclusiones, sea igual o inferior a Ps.</w:t>
      </w:r>
      <w:r w:rsidR="003824B4" w:rsidRPr="00AE4E8D">
        <w:rPr>
          <w:lang w:val="es-ES"/>
        </w:rPr>
        <w:t>107.640</w:t>
      </w:r>
      <w:r w:rsidRPr="00AE4E8D">
        <w:rPr>
          <w:lang w:val="es-ES"/>
        </w:rPr>
        <w:t xml:space="preserve"> y se eleva a Ps.</w:t>
      </w:r>
      <w:r w:rsidR="003824B4" w:rsidRPr="00AE4E8D">
        <w:rPr>
          <w:lang w:val="es-ES"/>
        </w:rPr>
        <w:t>448.500</w:t>
      </w:r>
      <w:r w:rsidRPr="00AE4E8D">
        <w:rPr>
          <w:lang w:val="es-ES"/>
        </w:rPr>
        <w:t xml:space="preserve"> cuando se trata de padres, hijos y cónyuges.</w:t>
      </w:r>
    </w:p>
    <w:p w14:paraId="017AD563" w14:textId="77777777" w:rsidR="00480492" w:rsidRPr="00AE4E8D" w:rsidRDefault="00480492" w:rsidP="00480492">
      <w:pPr>
        <w:pStyle w:val="BHTexto"/>
        <w:rPr>
          <w:lang w:val="es-ES"/>
        </w:rPr>
      </w:pPr>
      <w:r w:rsidRPr="00AE4E8D">
        <w:rPr>
          <w:lang w:val="es-ES"/>
        </w:rPr>
        <w:t>Se han establecido escalas de alícuotas que oscilan entre el 4% y el 21,925%, según el grado de parentesco y la base imponible.</w:t>
      </w:r>
    </w:p>
    <w:p w14:paraId="6058DD7A" w14:textId="77777777" w:rsidR="00480492" w:rsidRPr="00AE4E8D" w:rsidRDefault="00480492" w:rsidP="00480492">
      <w:pPr>
        <w:pStyle w:val="BHTexto"/>
        <w:rPr>
          <w:lang w:val="es-ES"/>
        </w:rPr>
      </w:pPr>
      <w:r w:rsidRPr="00AE4E8D">
        <w:rPr>
          <w:lang w:val="es-ES"/>
        </w:rPr>
        <w:t>La Provincia de Entre Ríos, en virtud de la Ley Nº10.197 publicada en el Boletín Oficial el 24 de enero de 2013, implementó este Impuesto a nivel provincial. Este impuesto tiene características similares a las del impuesto aplicado en la Provincia de Buenos Aires.</w:t>
      </w:r>
    </w:p>
    <w:p w14:paraId="4C357919" w14:textId="77777777" w:rsidR="00480492" w:rsidRPr="00AE4E8D" w:rsidRDefault="00480492" w:rsidP="000E1220">
      <w:pPr>
        <w:pStyle w:val="BH4Cursiva"/>
        <w:rPr>
          <w:lang w:val="es-ES"/>
        </w:rPr>
      </w:pPr>
      <w:r w:rsidRPr="00AE4E8D">
        <w:rPr>
          <w:lang w:val="es-ES"/>
        </w:rPr>
        <w:t>Tasas de Justicia</w:t>
      </w:r>
    </w:p>
    <w:p w14:paraId="3A7388FA" w14:textId="77777777" w:rsidR="0007574B" w:rsidRPr="00AE4E8D" w:rsidRDefault="0007574B" w:rsidP="0007574B">
      <w:pPr>
        <w:pStyle w:val="BHTexto"/>
        <w:rPr>
          <w:lang w:val="es-ES"/>
        </w:rPr>
      </w:pPr>
      <w:r w:rsidRPr="00AE4E8D">
        <w:rPr>
          <w:lang w:val="es-ES"/>
        </w:rPr>
        <w:t xml:space="preserve">En el supuesto de que sea necesario interponer acciones judiciales en relación con las Obligaciones Negociables en Argentina, la promoción de cualquier proceso o procedimiento judicial ante los tribunales nacionales argentinos con sede en la Ciudad Autónoma de Buenos Aires estará </w:t>
      </w:r>
      <w:proofErr w:type="gramStart"/>
      <w:r w:rsidRPr="00AE4E8D">
        <w:rPr>
          <w:lang w:val="es-ES"/>
        </w:rPr>
        <w:t>gravado</w:t>
      </w:r>
      <w:proofErr w:type="gramEnd"/>
      <w:r w:rsidRPr="00AE4E8D">
        <w:rPr>
          <w:lang w:val="es-ES"/>
        </w:rPr>
        <w:t xml:space="preserve"> con una tasa de justicia, cuya alícuota genérica es actualmente del 3%</w:t>
      </w:r>
      <w:r w:rsidR="00F64BD6" w:rsidRPr="00AE4E8D">
        <w:rPr>
          <w:lang w:val="es-ES"/>
        </w:rPr>
        <w:t xml:space="preserve"> de</w:t>
      </w:r>
      <w:r w:rsidR="004F4C9E" w:rsidRPr="00AE4E8D">
        <w:rPr>
          <w:lang w:val="es-ES"/>
        </w:rPr>
        <w:t>l monto reclamado</w:t>
      </w:r>
      <w:r w:rsidRPr="00AE4E8D">
        <w:rPr>
          <w:lang w:val="es-ES"/>
        </w:rPr>
        <w:t xml:space="preserve">. No obstante, en ciertos procesos judiciales especiales como las reinscripciones de prendas o los juicios sucesorios (en los cuales puede verificarse la transmisión a título gratuito de las Obligaciones Negociables que formen parte de un acervo hereditario) la alícuota aplicable se ve reducida en un 50%, por lo que actualmente es del 1,5%. </w:t>
      </w:r>
    </w:p>
    <w:p w14:paraId="7D5AB0F0" w14:textId="77777777" w:rsidR="00480492" w:rsidRPr="00AE4E8D" w:rsidRDefault="00480492" w:rsidP="000E1220">
      <w:pPr>
        <w:pStyle w:val="BH4Cursiva"/>
        <w:rPr>
          <w:lang w:val="es-ES"/>
        </w:rPr>
      </w:pPr>
      <w:r w:rsidRPr="00AE4E8D">
        <w:rPr>
          <w:lang w:val="es-ES"/>
        </w:rPr>
        <w:t>Oferta Pública y Exención Impositiva</w:t>
      </w:r>
    </w:p>
    <w:p w14:paraId="1B42EA64" w14:textId="77777777" w:rsidR="00480492" w:rsidRPr="00AE4E8D" w:rsidRDefault="00480492" w:rsidP="00480492">
      <w:pPr>
        <w:pStyle w:val="BHTexto"/>
        <w:rPr>
          <w:lang w:val="es-ES"/>
        </w:rPr>
      </w:pPr>
      <w:r w:rsidRPr="00AE4E8D">
        <w:rPr>
          <w:lang w:val="es-ES"/>
        </w:rPr>
        <w:t xml:space="preserve">Hasta el dictado de la Resolución Conjunta </w:t>
      </w:r>
      <w:r w:rsidRPr="00AE4E8D">
        <w:rPr>
          <w:lang w:val="es-ES" w:eastAsia="es-AR"/>
        </w:rPr>
        <w:t xml:space="preserve">Nº470-1738/2004 </w:t>
      </w:r>
      <w:r w:rsidRPr="00AE4E8D">
        <w:rPr>
          <w:lang w:val="es-ES"/>
        </w:rPr>
        <w:t xml:space="preserve">de la CNV y AFIP publicada en el Boletín Oficial el 14 de septiembre de 2004, existía incertidumbre sobre la posición de las autoridades fiscales argentinas respecto de los beneficios impositivos de los valores </w:t>
      </w:r>
      <w:r w:rsidR="005A14E7" w:rsidRPr="00AE4E8D">
        <w:rPr>
          <w:lang w:val="es-ES"/>
        </w:rPr>
        <w:t xml:space="preserve">negociables </w:t>
      </w:r>
      <w:r w:rsidRPr="00AE4E8D">
        <w:rPr>
          <w:lang w:val="es-ES"/>
        </w:rPr>
        <w:t>colocados mediante ofertas públicas, tanto respecto de los emitidos originalmente (las Obligaciones Negociables existentes) como los ofrecidos bajo una oferta de canje, incluidas las ofertas de canje realizadas en el marco de procesos concursales o acuerdos preventivos extrajudiciales.</w:t>
      </w:r>
    </w:p>
    <w:p w14:paraId="7126B3E6" w14:textId="77777777" w:rsidR="00480492" w:rsidRPr="00AE4E8D" w:rsidRDefault="00480492" w:rsidP="00480492">
      <w:pPr>
        <w:pStyle w:val="BHTexto"/>
        <w:rPr>
          <w:lang w:val="es-ES"/>
        </w:rPr>
      </w:pPr>
      <w:r w:rsidRPr="00AE4E8D">
        <w:rPr>
          <w:lang w:val="es-ES"/>
        </w:rPr>
        <w:t>Esta Resolución Conjunta establecía que, para la colocación de títulos en el exterior, el requisito de “colocación por oferta pública” debía interpretarse exclusivamente bajo la legislación argentina (de conformidad con la Ley de Mercado de Capitales), y no en virtud de la ley extranjera. Por lo tanto, resultaba irrelevante tanto “lo establecido por las leyes o reglamentaciones de tales mercados extranjeros” como “la denominación otorgada a la oferta bajo la legislación extranjera”. Las emisiones de Obligaciones Negociables ofrecidas bajo la Norma 144A / Regulación S de la Ley de Títulos Valores de Estados Unidos de América (</w:t>
      </w:r>
      <w:r w:rsidRPr="00AE4E8D">
        <w:rPr>
          <w:i/>
          <w:lang w:val="es-ES"/>
        </w:rPr>
        <w:t>U.S. Securities Act</w:t>
      </w:r>
      <w:r w:rsidRPr="00AE4E8D">
        <w:rPr>
          <w:lang w:val="es-ES"/>
        </w:rPr>
        <w:t>) podían colocarse bajo oferta pública (de conformidad con las leyes argentinas).</w:t>
      </w:r>
    </w:p>
    <w:p w14:paraId="74D079E2" w14:textId="77777777" w:rsidR="00480492" w:rsidRPr="00AE4E8D" w:rsidRDefault="00480492" w:rsidP="00480492">
      <w:pPr>
        <w:pStyle w:val="BHTexto"/>
        <w:rPr>
          <w:lang w:val="es-ES"/>
        </w:rPr>
      </w:pPr>
      <w:r w:rsidRPr="00AE4E8D">
        <w:rPr>
          <w:lang w:val="es-ES"/>
        </w:rPr>
        <w:t xml:space="preserve">Si bien la Resolución Conjunta </w:t>
      </w:r>
      <w:r w:rsidRPr="00AE4E8D">
        <w:rPr>
          <w:lang w:val="es-ES" w:eastAsia="es-AR"/>
        </w:rPr>
        <w:t xml:space="preserve">Nº470-1738/2004 </w:t>
      </w:r>
      <w:r w:rsidRPr="00AE4E8D">
        <w:rPr>
          <w:lang w:val="es-ES"/>
        </w:rPr>
        <w:t xml:space="preserve">de la CNV y AFIP y sus complementarias y modificatorias fueron derogadas mediante la Resolución General de la CNV Nº 664/2016, los conceptos de oferta pública incorporados al marco normativa e impositivo por la Resolución Conjunta derogada fueron recogidos por la Resolución General Nº 662 de la CNV. </w:t>
      </w:r>
    </w:p>
    <w:p w14:paraId="7CE0D2B3" w14:textId="77777777" w:rsidR="00480492" w:rsidRPr="00AE4E8D" w:rsidRDefault="00480492" w:rsidP="00480492">
      <w:pPr>
        <w:pStyle w:val="BHTexto"/>
        <w:rPr>
          <w:lang w:val="es-ES"/>
        </w:rPr>
      </w:pPr>
      <w:r w:rsidRPr="00AE4E8D">
        <w:rPr>
          <w:lang w:val="es-ES"/>
        </w:rPr>
        <w:t>Para que exista “colocación por oferta pública” es necesario demostrar “efectivos esfuerzos de colocación” bajo los términos de la Ley de Mercado de Capitales. Por lo tanto, la mera existencia de la autorización de la CNV no es suficiente, pero tampoco resulta necesario obtener un resultado específico, tal como un criterio de dispersión mínima de inversores. En suma, la “colocación por oferta pública” resultaría una obligación de medios, pero no de resultados.</w:t>
      </w:r>
    </w:p>
    <w:p w14:paraId="58002A1E" w14:textId="77777777" w:rsidR="00480492" w:rsidRPr="00AE4E8D" w:rsidRDefault="00480492" w:rsidP="00480492">
      <w:pPr>
        <w:pStyle w:val="BHTexto"/>
        <w:rPr>
          <w:lang w:val="es-ES"/>
        </w:rPr>
      </w:pPr>
      <w:r w:rsidRPr="00AE4E8D">
        <w:rPr>
          <w:lang w:val="es-ES"/>
        </w:rPr>
        <w:t>Los esfuerzos de colocación pueden realizarse no solo en Argentina sino también en el exterior. Las ofertas pueden efectuarse al “público en general” o a un “grupo específico de inversores” o aún “sólo para inversores institucionales”, aclarándose así que la oferta no debe ser dirigida siempre al público en general.</w:t>
      </w:r>
    </w:p>
    <w:p w14:paraId="195C9BF0" w14:textId="77777777" w:rsidR="00480492" w:rsidRPr="00AE4E8D" w:rsidRDefault="00480492" w:rsidP="00480492">
      <w:pPr>
        <w:pStyle w:val="BHTexto"/>
        <w:rPr>
          <w:lang w:val="es-ES"/>
        </w:rPr>
      </w:pPr>
      <w:r w:rsidRPr="00AE4E8D">
        <w:rPr>
          <w:lang w:val="es-ES"/>
        </w:rPr>
        <w:t xml:space="preserve">La celebración de un contrato de colocación resulta válida a los fines de considerar cumplimentado el requisito de la oferta pública, en la medida que se demuestre que el colocador ofertó los valores </w:t>
      </w:r>
      <w:r w:rsidR="005A14E7" w:rsidRPr="00AE4E8D">
        <w:rPr>
          <w:lang w:val="es-ES"/>
        </w:rPr>
        <w:t xml:space="preserve">negociables </w:t>
      </w:r>
      <w:r w:rsidRPr="00AE4E8D">
        <w:rPr>
          <w:lang w:val="es-ES"/>
        </w:rPr>
        <w:t>por los medios previstos en la Ley de Mercado de Capitales.</w:t>
      </w:r>
    </w:p>
    <w:p w14:paraId="10D71444" w14:textId="77777777" w:rsidR="00480492" w:rsidRPr="00AE4E8D" w:rsidRDefault="00480492" w:rsidP="00480492">
      <w:pPr>
        <w:pStyle w:val="BHTexto"/>
        <w:rPr>
          <w:lang w:val="es-ES"/>
        </w:rPr>
      </w:pPr>
      <w:r w:rsidRPr="00AE4E8D">
        <w:rPr>
          <w:lang w:val="es-ES"/>
        </w:rPr>
        <w:t>La refinanciación de “préstamos puente” es una aplicación de fondos de la oferta expresamente aceptada.</w:t>
      </w:r>
    </w:p>
    <w:p w14:paraId="26313285" w14:textId="77777777" w:rsidR="00480492" w:rsidRPr="00AE4E8D" w:rsidRDefault="00480492" w:rsidP="00480492">
      <w:pPr>
        <w:pStyle w:val="BHTexto"/>
        <w:rPr>
          <w:lang w:val="es-ES"/>
        </w:rPr>
      </w:pPr>
      <w:r w:rsidRPr="00AE4E8D">
        <w:rPr>
          <w:lang w:val="es-ES"/>
        </w:rPr>
        <w:lastRenderedPageBreak/>
        <w:t xml:space="preserve">No es un requisito que los valores </w:t>
      </w:r>
      <w:r w:rsidR="005A14E7" w:rsidRPr="00AE4E8D">
        <w:rPr>
          <w:lang w:val="es-ES"/>
        </w:rPr>
        <w:t xml:space="preserve">negociables </w:t>
      </w:r>
      <w:r w:rsidRPr="00AE4E8D">
        <w:rPr>
          <w:lang w:val="es-ES"/>
        </w:rPr>
        <w:t>sean negociados en el mercado de valores para considerarse colocados bajo una oferta pública (si bien se aclara que la negociación en un mercado de valores de Argentina contribuye al análisis de la intención de ofrecerlos públicamente).</w:t>
      </w:r>
    </w:p>
    <w:p w14:paraId="486BEC89" w14:textId="77777777" w:rsidR="00480492" w:rsidRPr="00AE4E8D" w:rsidRDefault="00480492" w:rsidP="00480492">
      <w:pPr>
        <w:pStyle w:val="BHTexto"/>
        <w:rPr>
          <w:lang w:val="es-ES"/>
        </w:rPr>
      </w:pPr>
      <w:r w:rsidRPr="00AE4E8D">
        <w:rPr>
          <w:lang w:val="es-ES"/>
        </w:rPr>
        <w:t>En supuestos de canjes de obligaciones negociables por obligaciones negociables dentro del marco de un programa de refinanciación de deuda, los beneficios de las obligaciones negociables originalmente colocadas mediante oferta pública se extienden a las obligaciones negociables nuevas ofrecidas para canje, en la medida que los suscriptores haya sido asimismo tenedores de los mismos.</w:t>
      </w:r>
    </w:p>
    <w:p w14:paraId="6F5E23E6" w14:textId="77777777" w:rsidR="00480492" w:rsidRPr="00AE4E8D" w:rsidRDefault="00480492" w:rsidP="00480492">
      <w:pPr>
        <w:pStyle w:val="BHTexto"/>
        <w:rPr>
          <w:lang w:val="es-ES"/>
        </w:rPr>
      </w:pPr>
      <w:r w:rsidRPr="00AE4E8D">
        <w:rPr>
          <w:lang w:val="es-ES"/>
        </w:rPr>
        <w:t>Asimismo, las Normas de la CNV establecen en el artículo 3, Capítulo IV, Título VI, que el requisito de oferta pública previsto en la Ley de Mercado de Capitales se considerará cumplido con la celebración de un contrato de colocación y la realización de los esfuerzos de colocación por parte del agente colocador utilizando los mecanismos de colocación primaria establecidos en el artículo 1, Capítulo IV, Título VI de las Normas de la CNV para la venta de los valores negociables adquiridos en el marco del contrato citado.</w:t>
      </w:r>
    </w:p>
    <w:p w14:paraId="0994307C" w14:textId="77777777" w:rsidR="00480492" w:rsidRPr="00AE4E8D" w:rsidRDefault="00480492" w:rsidP="00480492">
      <w:pPr>
        <w:pStyle w:val="BHTexto"/>
        <w:rPr>
          <w:lang w:val="es-ES"/>
        </w:rPr>
      </w:pPr>
      <w:r w:rsidRPr="00AE4E8D">
        <w:rPr>
          <w:lang w:val="es-ES"/>
        </w:rPr>
        <w:t>El agente colocador deberá acreditar a la entidad emisora, la colocación primaria de los valores negociables por medio del sistema de formación de libro o por subasta o licitación pública de conformidad con las Normas de la CNV y la emisora deberá conservar dicha documentación para la procedencia de los beneficios impositivos previstos legalmente.</w:t>
      </w:r>
    </w:p>
    <w:p w14:paraId="1514B754" w14:textId="77777777" w:rsidR="00480492" w:rsidRPr="00AE4E8D" w:rsidRDefault="00480492" w:rsidP="000E1220">
      <w:pPr>
        <w:pStyle w:val="BH4Cursiva"/>
        <w:rPr>
          <w:lang w:val="es-ES"/>
        </w:rPr>
      </w:pPr>
      <w:r w:rsidRPr="00AE4E8D">
        <w:rPr>
          <w:lang w:val="es-ES"/>
        </w:rPr>
        <w:t>Restricción con respecto a las jurisdicciones de baja tributación</w:t>
      </w:r>
    </w:p>
    <w:p w14:paraId="56C9C06B" w14:textId="77777777" w:rsidR="00480492" w:rsidRPr="00AE4E8D" w:rsidRDefault="00480492" w:rsidP="00480492">
      <w:pPr>
        <w:pStyle w:val="BHTexto"/>
        <w:rPr>
          <w:lang w:val="es-ES"/>
        </w:rPr>
      </w:pPr>
      <w:r w:rsidRPr="00AE4E8D">
        <w:rPr>
          <w:lang w:val="es-ES"/>
        </w:rPr>
        <w:t>De acuerdo con la Ley de Procedimiento Fiscal (Ley Nº11.683 con sus modificaciones), cualquier entidad local que reciba fondos de cualquier índole (es decir, préstamos, aportes de capital, etc.) de entidades extranjeras radicadas en jurisdicciones de baja o nula tributación, está sujeta al pago del Impuesto a las Ganancias y el Impuesto al Valor Agregado sobre una base imponible del 110% de los montos recibidos de dichas entidades (sujeto a ciertas limitadas excepciones). Ello se basa sobre la presunción de que dichos montos constituyen aumentos patrimoniales no justificados para el receptor local. Por lo tanto, las Obligaciones Negociables no pueden (i) ser originalmente adquiridas por una persona domiciliada o constituida en una jurisdicción de baja tributación, (ii) ni ser adquiridas por cualquier persona mediante una cuenta bancaria abierta en una jurisdicción de baja tributación. Las jurisdicciones de baja o nula tributación, de conformidad con la legislación argentina, se enumeran en el artículo 21.7 del decreto reglamentario de la Ley de Impuesto a las Ganancias.</w:t>
      </w:r>
    </w:p>
    <w:p w14:paraId="14E7BDD6" w14:textId="77777777" w:rsidR="00480492" w:rsidRPr="00AE4E8D" w:rsidRDefault="00480492" w:rsidP="00480492">
      <w:pPr>
        <w:pStyle w:val="BHTexto"/>
        <w:rPr>
          <w:lang w:val="es-ES"/>
        </w:rPr>
      </w:pPr>
      <w:r w:rsidRPr="00AE4E8D">
        <w:rPr>
          <w:lang w:val="es-ES"/>
        </w:rPr>
        <w:t>El Decreto Nº589/2013 publicado en el Boletín Oficial el 30 de mayo de 2013 sustituyó al artículo 21.7 del decreto reglamentario de la Ley de Impuesto a las Ganancias estableciendo que a todos los efectos previstos en la Ley de Impuesto a las Ganancias y su decreto reglamentario, toda referencia efectuada a países de baja o nula tributación deberá entenderse efectuada a países no considerados cooperadores a los fines de la transparencia fiscal. Se consideran países cooperadores a los fines de la transparencia fiscal a aquellos países que suscriban un acuerdo con Argentina de intercambio de información en materia tributaria o un convenio para evitar la doble imposición internacional con cláusula de intercambio de información amplio, siempre que se cumplimente el efectivo intercambio de información.</w:t>
      </w:r>
    </w:p>
    <w:p w14:paraId="196A82FA" w14:textId="77777777" w:rsidR="00480492" w:rsidRPr="00AE4E8D" w:rsidRDefault="00480492" w:rsidP="00480492">
      <w:pPr>
        <w:pStyle w:val="BHTexto"/>
        <w:rPr>
          <w:lang w:val="es-ES"/>
        </w:rPr>
      </w:pPr>
      <w:r w:rsidRPr="00AE4E8D">
        <w:rPr>
          <w:lang w:val="es-ES"/>
        </w:rPr>
        <w:t>La AFIP elabora y lleva un listado actualizado de los países considerados países cooperadores a los fines de la transparencia fiscal, los cuales se encuentran publicados en el sitio web de este organismo. Las disposiciones del Decreto Nº589/2013 tienen aplicación a partir del 1 de enero de 2014.</w:t>
      </w:r>
    </w:p>
    <w:p w14:paraId="262F6832" w14:textId="77777777" w:rsidR="00480492" w:rsidRPr="00AE4E8D" w:rsidRDefault="00480492" w:rsidP="00480492">
      <w:pPr>
        <w:pStyle w:val="BHTexto"/>
        <w:rPr>
          <w:b/>
          <w:lang w:val="es-ES"/>
        </w:rPr>
      </w:pPr>
      <w:r w:rsidRPr="00AE4E8D">
        <w:rPr>
          <w:b/>
          <w:lang w:val="es-ES"/>
        </w:rPr>
        <w:t>EL RESUMEN PRECEDENTE NO PRETENDE CONSTITUIR UN ANÁLISIS COMPLETO DE TODAS LAS CONSECUENCIAS TRIBUTARIAS QUE SE DESPRENDEN DE LA TITULARIDAD DE OBLIGACIONES NEGOCIABLES. LOS TENEDORES Y COMPRADORES POTENCIALES DEBEN CONSULTAR CON SUS PROPIOS ASESORES IMPOSITIVOS EN LO QUE SE REFIERE A LAS CONSECUENCIAS TRIBUTARIAS EN SU SITUACIÓN ESPECÍFICA.</w:t>
      </w:r>
    </w:p>
    <w:p w14:paraId="03BD028F" w14:textId="77777777" w:rsidR="00480492" w:rsidRPr="00AE4E8D" w:rsidRDefault="00480492" w:rsidP="00480492">
      <w:pPr>
        <w:pStyle w:val="BH2Izquierda"/>
        <w:rPr>
          <w:lang w:val="es-ES"/>
        </w:rPr>
      </w:pPr>
      <w:bookmarkStart w:id="943" w:name="_Toc414610971"/>
      <w:bookmarkStart w:id="944" w:name="_Toc420062680"/>
      <w:bookmarkStart w:id="945" w:name="_Toc421201560"/>
      <w:bookmarkStart w:id="946" w:name="_Toc495973074"/>
      <w:bookmarkStart w:id="947" w:name="_Toc495399981"/>
      <w:bookmarkStart w:id="948" w:name="_Toc170643886"/>
      <w:r w:rsidRPr="00AE4E8D">
        <w:rPr>
          <w:lang w:val="es-ES"/>
        </w:rPr>
        <w:t>f) Dividendos y Agentes Pagadores</w:t>
      </w:r>
      <w:bookmarkEnd w:id="943"/>
      <w:bookmarkEnd w:id="944"/>
      <w:bookmarkEnd w:id="945"/>
      <w:bookmarkEnd w:id="946"/>
      <w:bookmarkEnd w:id="947"/>
    </w:p>
    <w:p w14:paraId="0517EADD" w14:textId="77777777" w:rsidR="00480492" w:rsidRPr="00AE4E8D" w:rsidRDefault="00480492" w:rsidP="00480492">
      <w:pPr>
        <w:pStyle w:val="BHTexto"/>
        <w:rPr>
          <w:lang w:val="es-ES"/>
        </w:rPr>
      </w:pPr>
      <w:r w:rsidRPr="00AE4E8D">
        <w:rPr>
          <w:lang w:val="es-ES"/>
        </w:rPr>
        <w:t>El Banco no posee restricciones contractuales al pago de dividendos. El Banco no cuenta con una política específica respecto al pago de dividendos a sus accionistas, sino que se atiene a lo normado por la Ley General de Sociedades Argentina, las normas del BCRA y demás normativa aplicable. Para mayor información véase la sección “</w:t>
      </w:r>
      <w:r w:rsidRPr="00AE4E8D">
        <w:rPr>
          <w:i/>
          <w:lang w:val="es-ES"/>
        </w:rPr>
        <w:t>Información Adicional - Acta Constitutiva y Estatuto – Dividendos</w:t>
      </w:r>
      <w:r w:rsidRPr="00AE4E8D">
        <w:rPr>
          <w:lang w:val="es-ES"/>
        </w:rPr>
        <w:t xml:space="preserve">” del presente Prospecto. </w:t>
      </w:r>
    </w:p>
    <w:p w14:paraId="0199DBA2" w14:textId="77777777" w:rsidR="00480492" w:rsidRPr="00AE4E8D" w:rsidRDefault="00480492" w:rsidP="00480492">
      <w:pPr>
        <w:pStyle w:val="BH2Izquierda"/>
        <w:rPr>
          <w:lang w:val="es-ES"/>
        </w:rPr>
      </w:pPr>
      <w:bookmarkStart w:id="949" w:name="_Toc414610972"/>
      <w:bookmarkStart w:id="950" w:name="_Toc420062681"/>
      <w:bookmarkStart w:id="951" w:name="_Toc421201561"/>
      <w:bookmarkStart w:id="952" w:name="_Toc495973075"/>
      <w:bookmarkStart w:id="953" w:name="_Toc495399982"/>
      <w:r w:rsidRPr="00AE4E8D">
        <w:rPr>
          <w:lang w:val="es-ES"/>
        </w:rPr>
        <w:lastRenderedPageBreak/>
        <w:t>g) Declaración por Parte de Expertos</w:t>
      </w:r>
      <w:bookmarkEnd w:id="949"/>
      <w:bookmarkEnd w:id="950"/>
      <w:bookmarkEnd w:id="951"/>
      <w:bookmarkEnd w:id="952"/>
      <w:bookmarkEnd w:id="953"/>
    </w:p>
    <w:p w14:paraId="068B83F0" w14:textId="77777777" w:rsidR="00480492" w:rsidRPr="00AE4E8D" w:rsidRDefault="00480492" w:rsidP="00480492">
      <w:pPr>
        <w:pStyle w:val="BHTexto"/>
        <w:rPr>
          <w:lang w:val="es-ES"/>
        </w:rPr>
      </w:pPr>
      <w:r w:rsidRPr="00AE4E8D">
        <w:rPr>
          <w:lang w:val="es-ES"/>
        </w:rPr>
        <w:t>La presente sección no resulta aplicable.</w:t>
      </w:r>
    </w:p>
    <w:p w14:paraId="31513680" w14:textId="77777777" w:rsidR="00480492" w:rsidRPr="00AE4E8D" w:rsidRDefault="00480492" w:rsidP="00480492">
      <w:pPr>
        <w:pStyle w:val="BH2Izquierda"/>
        <w:rPr>
          <w:lang w:val="es-ES"/>
        </w:rPr>
      </w:pPr>
      <w:bookmarkStart w:id="954" w:name="_Toc414610973"/>
      <w:bookmarkStart w:id="955" w:name="_Toc420062682"/>
      <w:bookmarkStart w:id="956" w:name="_Toc421201562"/>
      <w:bookmarkStart w:id="957" w:name="_Toc495973076"/>
      <w:bookmarkStart w:id="958" w:name="_Toc495399983"/>
      <w:r w:rsidRPr="00AE4E8D">
        <w:rPr>
          <w:lang w:val="es-ES"/>
        </w:rPr>
        <w:t>h) Documentos a Disposición</w:t>
      </w:r>
      <w:bookmarkEnd w:id="954"/>
      <w:bookmarkEnd w:id="955"/>
      <w:bookmarkEnd w:id="956"/>
      <w:bookmarkEnd w:id="957"/>
      <w:bookmarkEnd w:id="958"/>
    </w:p>
    <w:p w14:paraId="13A4A733" w14:textId="77777777" w:rsidR="00480492" w:rsidRPr="00AE4E8D" w:rsidRDefault="00480492" w:rsidP="00480492">
      <w:pPr>
        <w:pStyle w:val="BHTexto"/>
        <w:rPr>
          <w:lang w:val="es-ES"/>
        </w:rPr>
      </w:pPr>
      <w:r w:rsidRPr="00AE4E8D">
        <w:rPr>
          <w:lang w:val="es-ES"/>
        </w:rPr>
        <w:t xml:space="preserve">Se podrán obtener copias del presente Prospecto, de los estados contables que integran el presente Prospecto y la memoria de nuestros últimos estados contables anuales </w:t>
      </w:r>
      <w:r w:rsidR="00301D7B" w:rsidRPr="00AE4E8D">
        <w:rPr>
          <w:lang w:val="es-ES"/>
        </w:rPr>
        <w:t xml:space="preserve">y trimestrales </w:t>
      </w:r>
      <w:r w:rsidRPr="00AE4E8D">
        <w:rPr>
          <w:lang w:val="es-ES"/>
        </w:rPr>
        <w:t xml:space="preserve">en nuestras oficinas, ubicadas en </w:t>
      </w:r>
      <w:r w:rsidRPr="00AE4E8D">
        <w:rPr>
          <w:color w:val="000000"/>
          <w:lang w:val="es-ES"/>
        </w:rPr>
        <w:t>Reconquista 151(C1003ABC) Ciudad Autónoma de Buenos Aires, Argentina</w:t>
      </w:r>
      <w:r w:rsidRPr="00AE4E8D">
        <w:rPr>
          <w:lang w:val="es-ES"/>
        </w:rPr>
        <w:t xml:space="preserve"> (durante el horario habitual de oficina, en tanto cualquiera de los </w:t>
      </w:r>
      <w:r w:rsidR="005A14E7" w:rsidRPr="00AE4E8D">
        <w:rPr>
          <w:lang w:val="es-ES"/>
        </w:rPr>
        <w:t>valores negociables</w:t>
      </w:r>
      <w:r w:rsidRPr="00AE4E8D">
        <w:rPr>
          <w:lang w:val="es-ES"/>
        </w:rPr>
        <w:t xml:space="preserve"> se encuentre en circulación o sea emitido en virtud del Programa) y en el sitio web del Banco </w:t>
      </w:r>
      <w:hyperlink r:id="rId46" w:history="1">
        <w:r w:rsidRPr="00AE4E8D">
          <w:rPr>
            <w:color w:val="0000FF"/>
            <w:u w:val="single"/>
            <w:lang w:val="es-ES"/>
          </w:rPr>
          <w:t>http://www.hipotecario.com.ar</w:t>
        </w:r>
      </w:hyperlink>
      <w:r w:rsidRPr="00AE4E8D">
        <w:rPr>
          <w:lang w:val="es-ES"/>
        </w:rPr>
        <w:t xml:space="preserve">. Asimismo, el Prospecto y los estados contables que integran el presente Prospecto podrán ser consultados en el sitio web de la CNV </w:t>
      </w:r>
      <w:hyperlink r:id="rId47" w:history="1">
        <w:r w:rsidRPr="00AE4E8D">
          <w:rPr>
            <w:bCs/>
            <w:color w:val="0000FF"/>
            <w:u w:val="single"/>
            <w:lang w:val="es-ES"/>
          </w:rPr>
          <w:t>www.cnv.gob.ar</w:t>
        </w:r>
      </w:hyperlink>
      <w:r w:rsidRPr="00AE4E8D">
        <w:rPr>
          <w:lang w:val="es-ES"/>
        </w:rPr>
        <w:t xml:space="preserve"> en el ítem “Información Financiera”.</w:t>
      </w:r>
      <w:bookmarkEnd w:id="948"/>
      <w:r w:rsidRPr="00AE4E8D">
        <w:rPr>
          <w:lang w:val="es-ES"/>
        </w:rPr>
        <w:t xml:space="preserve"> Asimismo, se encontrarán a disposición en los mercados donde estén listadas o se negocien las Obligaciones Negociables (entre ellos, sin limitación, en el caso del MAE: </w:t>
      </w:r>
      <w:hyperlink r:id="rId48" w:history="1">
        <w:r w:rsidRPr="00AE4E8D">
          <w:rPr>
            <w:rStyle w:val="Hipervnculo"/>
            <w:lang w:val="es-ES"/>
          </w:rPr>
          <w:t>www.mae.com.ar</w:t>
        </w:r>
      </w:hyperlink>
      <w:r w:rsidRPr="00AE4E8D">
        <w:rPr>
          <w:lang w:val="es-ES"/>
        </w:rPr>
        <w:t xml:space="preserve"> y en el caso de </w:t>
      </w:r>
      <w:r w:rsidR="0013533F" w:rsidRPr="00AE4E8D">
        <w:rPr>
          <w:lang w:val="es-ES"/>
        </w:rPr>
        <w:t>BYMA</w:t>
      </w:r>
      <w:r w:rsidRPr="00AE4E8D">
        <w:rPr>
          <w:lang w:val="es-ES"/>
        </w:rPr>
        <w:t xml:space="preserve">: </w:t>
      </w:r>
      <w:hyperlink r:id="rId49" w:history="1">
        <w:r w:rsidRPr="00AE4E8D">
          <w:rPr>
            <w:rStyle w:val="Hipervnculo"/>
            <w:lang w:val="es-ES"/>
          </w:rPr>
          <w:t>www.bolsar.com.ar</w:t>
        </w:r>
      </w:hyperlink>
      <w:r w:rsidRPr="00AE4E8D">
        <w:rPr>
          <w:lang w:val="es-ES"/>
        </w:rPr>
        <w:t>).</w:t>
      </w:r>
    </w:p>
    <w:p w14:paraId="2EAF09C9" w14:textId="77777777" w:rsidR="00CB5660" w:rsidRPr="00AE4E8D" w:rsidRDefault="00CB5660" w:rsidP="006659E6">
      <w:pPr>
        <w:pStyle w:val="BHTexto"/>
        <w:rPr>
          <w:highlight w:val="cyan"/>
          <w:lang w:val="es-ES"/>
        </w:rPr>
      </w:pPr>
      <w:bookmarkStart w:id="959" w:name="_DV_M591"/>
      <w:bookmarkStart w:id="960" w:name="_DV_M593"/>
      <w:bookmarkStart w:id="961" w:name="_DV_M595"/>
      <w:bookmarkStart w:id="962" w:name="_DV_M596"/>
      <w:bookmarkStart w:id="963" w:name="_DV_M597"/>
      <w:bookmarkStart w:id="964" w:name="_DV_M598"/>
      <w:bookmarkStart w:id="965" w:name="_DV_M599"/>
      <w:bookmarkStart w:id="966" w:name="_DV_M923"/>
      <w:bookmarkStart w:id="967" w:name="_DV_C266"/>
      <w:bookmarkStart w:id="968" w:name="_DV_M278"/>
      <w:bookmarkStart w:id="969" w:name="_DV_M1144"/>
      <w:bookmarkStart w:id="970" w:name="_DV_M30"/>
      <w:bookmarkStart w:id="971" w:name="_DV_M2"/>
      <w:bookmarkStart w:id="972" w:name="_DV_M3"/>
      <w:bookmarkStart w:id="973" w:name="_DV_M4"/>
      <w:bookmarkStart w:id="974" w:name="_DV_M5"/>
      <w:bookmarkStart w:id="975" w:name="_DV_M8"/>
      <w:bookmarkStart w:id="976" w:name="_DV_M9"/>
      <w:bookmarkStart w:id="977" w:name="_DV_M10"/>
      <w:bookmarkStart w:id="978" w:name="_DV_M11"/>
      <w:bookmarkStart w:id="979" w:name="_DV_M12"/>
      <w:bookmarkStart w:id="980" w:name="_DV_M13"/>
      <w:bookmarkStart w:id="981" w:name="_DV_M14"/>
      <w:bookmarkStart w:id="982" w:name="_DV_M15"/>
      <w:bookmarkStart w:id="983" w:name="_DV_M16"/>
      <w:bookmarkStart w:id="984" w:name="_DV_M17"/>
      <w:bookmarkStart w:id="985" w:name="_DV_M18"/>
      <w:bookmarkStart w:id="986" w:name="_DV_M19"/>
      <w:bookmarkStart w:id="987" w:name="_DV_M20"/>
      <w:bookmarkStart w:id="988" w:name="_DV_M21"/>
      <w:bookmarkStart w:id="989" w:name="_DV_M22"/>
      <w:bookmarkStart w:id="990" w:name="_DV_M23"/>
      <w:bookmarkStart w:id="991" w:name="_DV_M24"/>
      <w:bookmarkStart w:id="992" w:name="_DV_M25"/>
      <w:bookmarkStart w:id="993" w:name="_DV_M26"/>
      <w:bookmarkStart w:id="994" w:name="_DV_M27"/>
      <w:bookmarkStart w:id="995" w:name="_DV_M28"/>
      <w:bookmarkStart w:id="996" w:name="_DV_M29"/>
      <w:bookmarkStart w:id="997" w:name="_DV_M31"/>
      <w:bookmarkStart w:id="998" w:name="_DV_M32"/>
      <w:bookmarkStart w:id="999" w:name="_DV_M33"/>
      <w:bookmarkStart w:id="1000" w:name="_DV_M34"/>
      <w:bookmarkStart w:id="1001" w:name="_DV_M35"/>
      <w:bookmarkStart w:id="1002" w:name="_DV_M36"/>
      <w:bookmarkStart w:id="1003" w:name="_DV_M37"/>
      <w:bookmarkStart w:id="1004" w:name="_DV_M38"/>
      <w:bookmarkStart w:id="1005" w:name="_DV_M39"/>
      <w:bookmarkStart w:id="1006" w:name="_DV_M40"/>
      <w:bookmarkStart w:id="1007" w:name="_DV_M41"/>
      <w:bookmarkStart w:id="1008" w:name="_DV_M42"/>
      <w:bookmarkStart w:id="1009" w:name="_DV_M43"/>
      <w:bookmarkStart w:id="1010" w:name="_DV_M44"/>
      <w:bookmarkStart w:id="1011" w:name="_DV_M45"/>
      <w:bookmarkStart w:id="1012" w:name="_DV_M46"/>
      <w:bookmarkStart w:id="1013" w:name="_DV_M48"/>
      <w:bookmarkStart w:id="1014" w:name="_DV_M55"/>
      <w:bookmarkStart w:id="1015" w:name="_DV_M56"/>
      <w:bookmarkStart w:id="1016" w:name="_DV_M57"/>
      <w:bookmarkStart w:id="1017" w:name="_DV_M58"/>
      <w:bookmarkStart w:id="1018" w:name="_DV_M59"/>
      <w:bookmarkStart w:id="1019" w:name="_DV_M60"/>
      <w:bookmarkStart w:id="1020" w:name="_DV_M61"/>
      <w:bookmarkStart w:id="1021" w:name="_DV_M62"/>
      <w:bookmarkStart w:id="1022" w:name="_DV_M63"/>
      <w:bookmarkEnd w:id="920"/>
      <w:bookmarkEnd w:id="921"/>
      <w:bookmarkEnd w:id="922"/>
      <w:bookmarkEnd w:id="925"/>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tbl>
      <w:tblPr>
        <w:tblW w:w="5000" w:type="pct"/>
        <w:tblLook w:val="0000" w:firstRow="0" w:lastRow="0" w:firstColumn="0" w:lastColumn="0" w:noHBand="0" w:noVBand="0"/>
      </w:tblPr>
      <w:tblGrid>
        <w:gridCol w:w="4360"/>
        <w:gridCol w:w="4361"/>
      </w:tblGrid>
      <w:tr w:rsidR="00CB5660" w:rsidRPr="00AE4E8D" w14:paraId="711914C3" w14:textId="77777777" w:rsidTr="000400C8">
        <w:trPr>
          <w:cantSplit/>
        </w:trPr>
        <w:tc>
          <w:tcPr>
            <w:tcW w:w="5000" w:type="pct"/>
            <w:gridSpan w:val="2"/>
          </w:tcPr>
          <w:p w14:paraId="0C173356" w14:textId="77777777" w:rsidR="00CB5660" w:rsidRPr="00AE4E8D" w:rsidRDefault="00CB5660" w:rsidP="002831AB">
            <w:pPr>
              <w:autoSpaceDE w:val="0"/>
              <w:autoSpaceDN w:val="0"/>
              <w:adjustRightInd w:val="0"/>
              <w:spacing w:before="120" w:after="120" w:line="240" w:lineRule="exact"/>
              <w:jc w:val="center"/>
              <w:rPr>
                <w:rFonts w:ascii="Times New Roman" w:hAnsi="Times New Roman"/>
                <w:lang w:val="es-ES" w:eastAsia="es-AR"/>
              </w:rPr>
            </w:pPr>
            <w:r w:rsidRPr="00AE4E8D">
              <w:rPr>
                <w:rFonts w:ascii="Times New Roman" w:hAnsi="Times New Roman"/>
                <w:b/>
                <w:bCs/>
                <w:lang w:val="es-ES" w:eastAsia="es-AR"/>
              </w:rPr>
              <w:t>EMISOR</w:t>
            </w:r>
          </w:p>
        </w:tc>
      </w:tr>
      <w:tr w:rsidR="00CB5660" w:rsidRPr="00AE4E8D" w14:paraId="2255B38A" w14:textId="77777777" w:rsidTr="000400C8">
        <w:trPr>
          <w:cantSplit/>
        </w:trPr>
        <w:tc>
          <w:tcPr>
            <w:tcW w:w="5000" w:type="pct"/>
            <w:gridSpan w:val="2"/>
          </w:tcPr>
          <w:p w14:paraId="6A3E6CF8" w14:textId="77777777" w:rsidR="00CB5660" w:rsidRPr="00AE4E8D" w:rsidRDefault="00CB5660" w:rsidP="002831AB">
            <w:pPr>
              <w:autoSpaceDE w:val="0"/>
              <w:autoSpaceDN w:val="0"/>
              <w:adjustRightInd w:val="0"/>
              <w:spacing w:before="60" w:after="60" w:line="240" w:lineRule="exact"/>
              <w:jc w:val="center"/>
              <w:rPr>
                <w:rFonts w:ascii="Times New Roman" w:hAnsi="Times New Roman"/>
                <w:b/>
                <w:color w:val="000000"/>
                <w:lang w:val="es-ES" w:eastAsia="es-AR"/>
              </w:rPr>
            </w:pPr>
            <w:r w:rsidRPr="00AE4E8D">
              <w:rPr>
                <w:rFonts w:ascii="Times New Roman" w:hAnsi="Times New Roman"/>
                <w:lang w:val="es-ES" w:eastAsia="es-AR"/>
              </w:rPr>
              <w:br w:type="page"/>
            </w:r>
            <w:bookmarkStart w:id="1023" w:name="_DV_M1266"/>
            <w:bookmarkStart w:id="1024" w:name="_DV_M1267"/>
            <w:bookmarkStart w:id="1025" w:name="_DV_M1268"/>
            <w:bookmarkStart w:id="1026" w:name="_DV_M1269"/>
            <w:bookmarkStart w:id="1027" w:name="_DV_M1270"/>
            <w:bookmarkStart w:id="1028" w:name="_DV_M1271"/>
            <w:bookmarkStart w:id="1029" w:name="_DV_M1272"/>
            <w:bookmarkStart w:id="1030" w:name="_DV_M0"/>
            <w:bookmarkStart w:id="1031" w:name="_DV_M1"/>
            <w:bookmarkEnd w:id="1023"/>
            <w:bookmarkEnd w:id="1024"/>
            <w:bookmarkEnd w:id="1025"/>
            <w:bookmarkEnd w:id="1026"/>
            <w:bookmarkEnd w:id="1027"/>
            <w:bookmarkEnd w:id="1028"/>
            <w:bookmarkEnd w:id="1029"/>
            <w:bookmarkEnd w:id="1030"/>
            <w:bookmarkEnd w:id="1031"/>
            <w:r w:rsidR="00192696" w:rsidRPr="00AE4E8D">
              <w:rPr>
                <w:rFonts w:ascii="Times New Roman" w:hAnsi="Times New Roman"/>
                <w:b/>
                <w:color w:val="000000"/>
                <w:lang w:val="es-ES" w:eastAsia="es-AR"/>
              </w:rPr>
              <w:t xml:space="preserve">Banco Hipotecario </w:t>
            </w:r>
            <w:r w:rsidRPr="00AE4E8D">
              <w:rPr>
                <w:rFonts w:ascii="Times New Roman" w:hAnsi="Times New Roman"/>
                <w:b/>
                <w:color w:val="000000"/>
                <w:lang w:val="es-ES" w:eastAsia="es-AR"/>
              </w:rPr>
              <w:t>S.A.</w:t>
            </w:r>
          </w:p>
          <w:p w14:paraId="77E74C85" w14:textId="77777777" w:rsidR="00CB5660" w:rsidRPr="00AE4E8D" w:rsidRDefault="00CB5660" w:rsidP="002831AB">
            <w:pPr>
              <w:autoSpaceDE w:val="0"/>
              <w:autoSpaceDN w:val="0"/>
              <w:adjustRightInd w:val="0"/>
              <w:spacing w:before="60" w:after="60"/>
              <w:jc w:val="center"/>
              <w:rPr>
                <w:rFonts w:ascii="Times New Roman" w:hAnsi="Times New Roman"/>
                <w:color w:val="000000"/>
                <w:lang w:val="es-ES" w:eastAsia="es-AR"/>
              </w:rPr>
            </w:pPr>
            <w:r w:rsidRPr="00AE4E8D">
              <w:rPr>
                <w:rFonts w:ascii="Times New Roman" w:hAnsi="Times New Roman"/>
                <w:color w:val="000000"/>
                <w:lang w:val="es-ES" w:eastAsia="es-AR"/>
              </w:rPr>
              <w:t>Reconquista 151</w:t>
            </w:r>
          </w:p>
          <w:p w14:paraId="7F6F6FC4" w14:textId="77777777" w:rsidR="00CB5660" w:rsidRPr="00AE4E8D" w:rsidRDefault="00CB5660" w:rsidP="002831AB">
            <w:pPr>
              <w:autoSpaceDE w:val="0"/>
              <w:autoSpaceDN w:val="0"/>
              <w:adjustRightInd w:val="0"/>
              <w:spacing w:before="60" w:after="60"/>
              <w:jc w:val="center"/>
              <w:rPr>
                <w:rFonts w:ascii="Times New Roman" w:hAnsi="Times New Roman"/>
                <w:color w:val="000000"/>
                <w:lang w:val="es-ES" w:eastAsia="es-AR"/>
              </w:rPr>
            </w:pPr>
            <w:r w:rsidRPr="00AE4E8D">
              <w:rPr>
                <w:rFonts w:ascii="Times New Roman" w:hAnsi="Times New Roman"/>
                <w:color w:val="000000"/>
                <w:lang w:val="es-ES" w:eastAsia="es-AR"/>
              </w:rPr>
              <w:t>(C1003ABC) Ciudad Autónoma de Buenos Aires,</w:t>
            </w:r>
          </w:p>
          <w:p w14:paraId="711FB04E" w14:textId="77777777" w:rsidR="00CB5660" w:rsidRPr="00AE4E8D" w:rsidRDefault="00CB5660" w:rsidP="002831AB">
            <w:pPr>
              <w:autoSpaceDE w:val="0"/>
              <w:autoSpaceDN w:val="0"/>
              <w:adjustRightInd w:val="0"/>
              <w:spacing w:before="60" w:after="60"/>
              <w:jc w:val="center"/>
              <w:rPr>
                <w:rFonts w:ascii="Times New Roman" w:hAnsi="Times New Roman"/>
                <w:color w:val="000000"/>
                <w:lang w:val="es-ES" w:eastAsia="es-AR"/>
              </w:rPr>
            </w:pPr>
            <w:r w:rsidRPr="00AE4E8D">
              <w:rPr>
                <w:rFonts w:ascii="Times New Roman" w:hAnsi="Times New Roman"/>
                <w:color w:val="000000"/>
                <w:lang w:val="es-ES" w:eastAsia="es-AR"/>
              </w:rPr>
              <w:t>Argentina.</w:t>
            </w:r>
          </w:p>
          <w:p w14:paraId="67BB9526" w14:textId="77777777" w:rsidR="00CB5660" w:rsidRPr="00AE4E8D" w:rsidRDefault="00CB5660" w:rsidP="002831AB">
            <w:pPr>
              <w:autoSpaceDE w:val="0"/>
              <w:autoSpaceDN w:val="0"/>
              <w:adjustRightInd w:val="0"/>
              <w:spacing w:before="120" w:after="120"/>
              <w:jc w:val="center"/>
              <w:rPr>
                <w:rFonts w:ascii="Times New Roman" w:hAnsi="Times New Roman"/>
                <w:lang w:val="es-ES" w:eastAsia="es-AR"/>
              </w:rPr>
            </w:pPr>
          </w:p>
        </w:tc>
      </w:tr>
      <w:tr w:rsidR="00CB5660" w:rsidRPr="00AE4E8D" w14:paraId="34F7F95E" w14:textId="77777777" w:rsidTr="000400C8">
        <w:trPr>
          <w:trHeight w:val="423"/>
        </w:trPr>
        <w:tc>
          <w:tcPr>
            <w:tcW w:w="5000" w:type="pct"/>
            <w:gridSpan w:val="2"/>
          </w:tcPr>
          <w:p w14:paraId="4CD57BB7" w14:textId="77777777" w:rsidR="00CB5660" w:rsidRPr="00AE4E8D" w:rsidRDefault="00CB5660" w:rsidP="002831AB">
            <w:pPr>
              <w:autoSpaceDE w:val="0"/>
              <w:autoSpaceDN w:val="0"/>
              <w:adjustRightInd w:val="0"/>
              <w:spacing w:before="120" w:after="120" w:line="240" w:lineRule="exact"/>
              <w:jc w:val="center"/>
              <w:rPr>
                <w:rFonts w:ascii="Times New Roman" w:hAnsi="Times New Roman"/>
                <w:lang w:val="es-ES" w:eastAsia="es-AR"/>
              </w:rPr>
            </w:pPr>
            <w:r w:rsidRPr="00AE4E8D">
              <w:rPr>
                <w:rFonts w:ascii="Times New Roman" w:hAnsi="Times New Roman"/>
                <w:b/>
                <w:bCs/>
                <w:lang w:val="es-ES" w:eastAsia="es-AR"/>
              </w:rPr>
              <w:t>AUDITORES</w:t>
            </w:r>
          </w:p>
        </w:tc>
      </w:tr>
      <w:tr w:rsidR="00CB5660" w:rsidRPr="00AE4E8D" w14:paraId="11572599" w14:textId="77777777" w:rsidTr="000400C8">
        <w:tc>
          <w:tcPr>
            <w:tcW w:w="5000" w:type="pct"/>
            <w:gridSpan w:val="2"/>
          </w:tcPr>
          <w:p w14:paraId="2826557B" w14:textId="77777777" w:rsidR="001D2931" w:rsidRPr="00AE4E8D" w:rsidRDefault="00CB5660" w:rsidP="001D2931">
            <w:pPr>
              <w:autoSpaceDE w:val="0"/>
              <w:autoSpaceDN w:val="0"/>
              <w:adjustRightInd w:val="0"/>
              <w:spacing w:before="60" w:after="60"/>
              <w:jc w:val="center"/>
              <w:rPr>
                <w:rFonts w:ascii="Times New Roman" w:hAnsi="Times New Roman"/>
                <w:color w:val="000000"/>
                <w:lang w:val="en-US" w:eastAsia="es-AR"/>
              </w:rPr>
            </w:pPr>
            <w:r w:rsidRPr="00AE4E8D">
              <w:rPr>
                <w:rFonts w:ascii="Times New Roman" w:hAnsi="Times New Roman"/>
                <w:b/>
                <w:lang w:val="en-US" w:eastAsia="es-AR"/>
              </w:rPr>
              <w:t xml:space="preserve">Price </w:t>
            </w:r>
            <w:r w:rsidRPr="00AE4E8D">
              <w:rPr>
                <w:rFonts w:ascii="Times New Roman" w:hAnsi="Times New Roman"/>
                <w:b/>
                <w:color w:val="000000"/>
                <w:lang w:val="en-US" w:eastAsia="es-AR"/>
              </w:rPr>
              <w:t>Waterhouse</w:t>
            </w:r>
            <w:r w:rsidRPr="00AE4E8D">
              <w:rPr>
                <w:rFonts w:ascii="Times New Roman" w:hAnsi="Times New Roman"/>
                <w:b/>
                <w:lang w:val="en-US" w:eastAsia="es-AR"/>
              </w:rPr>
              <w:t xml:space="preserve"> &amp; Co. S.R.L.</w:t>
            </w:r>
          </w:p>
          <w:p w14:paraId="61AA0A5A" w14:textId="77777777" w:rsidR="00CB5660" w:rsidRPr="00AE4E8D" w:rsidRDefault="00CB5660" w:rsidP="001D2931">
            <w:pPr>
              <w:autoSpaceDE w:val="0"/>
              <w:autoSpaceDN w:val="0"/>
              <w:adjustRightInd w:val="0"/>
              <w:spacing w:before="60" w:after="60"/>
              <w:jc w:val="center"/>
              <w:rPr>
                <w:rFonts w:ascii="Times New Roman" w:hAnsi="Times New Roman"/>
                <w:color w:val="000000"/>
                <w:lang w:val="es-ES" w:eastAsia="es-AR"/>
              </w:rPr>
            </w:pPr>
            <w:r w:rsidRPr="00AE4E8D">
              <w:rPr>
                <w:rFonts w:ascii="Times New Roman" w:hAnsi="Times New Roman"/>
                <w:color w:val="000000"/>
                <w:lang w:val="es-ES" w:eastAsia="es-AR"/>
              </w:rPr>
              <w:t>Bouchard 557, Piso 7º</w:t>
            </w:r>
          </w:p>
          <w:p w14:paraId="535C0126" w14:textId="77777777" w:rsidR="00CB5660" w:rsidRPr="00AE4E8D" w:rsidRDefault="00CB5660" w:rsidP="002831AB">
            <w:pPr>
              <w:autoSpaceDE w:val="0"/>
              <w:autoSpaceDN w:val="0"/>
              <w:adjustRightInd w:val="0"/>
              <w:spacing w:before="60" w:after="60"/>
              <w:jc w:val="center"/>
              <w:rPr>
                <w:rFonts w:ascii="Times New Roman" w:hAnsi="Times New Roman"/>
                <w:color w:val="000000"/>
                <w:lang w:val="es-ES" w:eastAsia="es-AR"/>
              </w:rPr>
            </w:pPr>
            <w:r w:rsidRPr="00AE4E8D">
              <w:rPr>
                <w:rFonts w:ascii="Times New Roman" w:hAnsi="Times New Roman"/>
                <w:color w:val="000000"/>
                <w:lang w:val="es-ES" w:eastAsia="es-AR"/>
              </w:rPr>
              <w:t>(C1106ABG) Ciudad Autónoma de Buenos Aires,</w:t>
            </w:r>
          </w:p>
          <w:p w14:paraId="0BA50293" w14:textId="77777777" w:rsidR="00CB5660" w:rsidRPr="00AE4E8D" w:rsidRDefault="00CB5660" w:rsidP="002831AB">
            <w:pPr>
              <w:autoSpaceDE w:val="0"/>
              <w:autoSpaceDN w:val="0"/>
              <w:adjustRightInd w:val="0"/>
              <w:spacing w:before="60" w:after="60"/>
              <w:jc w:val="center"/>
              <w:rPr>
                <w:rFonts w:ascii="Times New Roman" w:hAnsi="Times New Roman"/>
                <w:color w:val="000000"/>
                <w:lang w:val="es-ES" w:eastAsia="es-AR"/>
              </w:rPr>
            </w:pPr>
            <w:r w:rsidRPr="00AE4E8D">
              <w:rPr>
                <w:rFonts w:ascii="Times New Roman" w:hAnsi="Times New Roman"/>
                <w:color w:val="000000"/>
                <w:lang w:val="es-ES" w:eastAsia="es-AR"/>
              </w:rPr>
              <w:t>Argentina.</w:t>
            </w:r>
          </w:p>
          <w:p w14:paraId="546066DE" w14:textId="77777777" w:rsidR="00CB5660" w:rsidRPr="00AE4E8D" w:rsidRDefault="00CB5660" w:rsidP="002831AB">
            <w:pPr>
              <w:autoSpaceDE w:val="0"/>
              <w:autoSpaceDN w:val="0"/>
              <w:adjustRightInd w:val="0"/>
              <w:spacing w:before="120" w:after="120"/>
              <w:jc w:val="center"/>
              <w:rPr>
                <w:rFonts w:ascii="Times New Roman" w:hAnsi="Times New Roman"/>
                <w:lang w:val="es-ES" w:eastAsia="es-AR"/>
              </w:rPr>
            </w:pPr>
          </w:p>
        </w:tc>
      </w:tr>
      <w:tr w:rsidR="0081532B" w:rsidRPr="00AE4E8D" w14:paraId="5013B614" w14:textId="77777777" w:rsidTr="0081532B">
        <w:trPr>
          <w:cantSplit/>
        </w:trPr>
        <w:tc>
          <w:tcPr>
            <w:tcW w:w="5000" w:type="pct"/>
            <w:gridSpan w:val="2"/>
          </w:tcPr>
          <w:p w14:paraId="574A14FB" w14:textId="77777777" w:rsidR="0081532B" w:rsidRPr="00AE4E8D" w:rsidRDefault="0081532B" w:rsidP="002831AB">
            <w:pPr>
              <w:autoSpaceDE w:val="0"/>
              <w:autoSpaceDN w:val="0"/>
              <w:adjustRightInd w:val="0"/>
              <w:spacing w:before="120" w:after="120" w:line="240" w:lineRule="exact"/>
              <w:jc w:val="center"/>
              <w:rPr>
                <w:rFonts w:ascii="Times New Roman" w:hAnsi="Times New Roman"/>
                <w:b/>
                <w:bCs/>
                <w:lang w:val="es-ES" w:eastAsia="es-AR"/>
              </w:rPr>
            </w:pPr>
            <w:r w:rsidRPr="00AE4E8D">
              <w:rPr>
                <w:rFonts w:ascii="Times New Roman" w:hAnsi="Times New Roman"/>
                <w:b/>
                <w:bCs/>
                <w:lang w:val="es-ES" w:eastAsia="es-AR"/>
              </w:rPr>
              <w:t xml:space="preserve">ASESORES LEGALES </w:t>
            </w:r>
          </w:p>
        </w:tc>
      </w:tr>
      <w:tr w:rsidR="0081532B" w:rsidRPr="00DD1DF0" w14:paraId="6755875D" w14:textId="77777777" w:rsidTr="0081532B">
        <w:tc>
          <w:tcPr>
            <w:tcW w:w="2500" w:type="pct"/>
          </w:tcPr>
          <w:p w14:paraId="1F3CEF64" w14:textId="77777777" w:rsidR="0081532B" w:rsidRPr="00AE4E8D" w:rsidRDefault="0081532B" w:rsidP="007E1FB8">
            <w:pPr>
              <w:autoSpaceDE w:val="0"/>
              <w:autoSpaceDN w:val="0"/>
              <w:adjustRightInd w:val="0"/>
              <w:spacing w:before="120" w:after="120" w:line="240" w:lineRule="exact"/>
              <w:jc w:val="center"/>
              <w:rPr>
                <w:rFonts w:ascii="Times New Roman" w:hAnsi="Times New Roman"/>
                <w:b/>
                <w:lang w:val="es-ES" w:eastAsia="es-AR"/>
              </w:rPr>
            </w:pPr>
            <w:r w:rsidRPr="00AE4E8D">
              <w:rPr>
                <w:rFonts w:ascii="Times New Roman" w:hAnsi="Times New Roman"/>
                <w:i/>
                <w:iCs/>
                <w:sz w:val="18"/>
                <w:szCs w:val="18"/>
                <w:lang w:val="es-ES" w:eastAsia="es-AR"/>
              </w:rPr>
              <w:t>Respecto de las Leyes de Argentina</w:t>
            </w:r>
            <w:r w:rsidRPr="00AE4E8D">
              <w:rPr>
                <w:rFonts w:ascii="Times New Roman" w:hAnsi="Times New Roman"/>
                <w:b/>
                <w:lang w:val="es-ES" w:eastAsia="es-AR"/>
              </w:rPr>
              <w:t xml:space="preserve"> </w:t>
            </w:r>
          </w:p>
          <w:p w14:paraId="7FB885CC" w14:textId="77777777" w:rsidR="001D2931" w:rsidRPr="00AE4E8D" w:rsidRDefault="0081532B" w:rsidP="001D2931">
            <w:pPr>
              <w:autoSpaceDE w:val="0"/>
              <w:autoSpaceDN w:val="0"/>
              <w:adjustRightInd w:val="0"/>
              <w:spacing w:before="120" w:after="120" w:line="240" w:lineRule="exact"/>
              <w:jc w:val="center"/>
              <w:rPr>
                <w:rFonts w:ascii="Times New Roman" w:hAnsi="Times New Roman"/>
                <w:b/>
                <w:lang w:val="es-ES" w:eastAsia="es-AR"/>
              </w:rPr>
            </w:pPr>
            <w:r w:rsidRPr="00AE4E8D">
              <w:rPr>
                <w:rFonts w:ascii="Times New Roman" w:hAnsi="Times New Roman"/>
                <w:b/>
                <w:lang w:val="es-ES" w:eastAsia="es-AR"/>
              </w:rPr>
              <w:t>Zang, Bergel &amp; Viñes Abogados</w:t>
            </w:r>
          </w:p>
          <w:p w14:paraId="64F1E555" w14:textId="77777777" w:rsidR="001D2931" w:rsidRPr="00AE4E8D" w:rsidRDefault="0081532B" w:rsidP="001D2931">
            <w:pPr>
              <w:autoSpaceDE w:val="0"/>
              <w:autoSpaceDN w:val="0"/>
              <w:adjustRightInd w:val="0"/>
              <w:spacing w:before="60" w:after="60"/>
              <w:jc w:val="center"/>
              <w:rPr>
                <w:rFonts w:ascii="Times New Roman" w:hAnsi="Times New Roman"/>
                <w:color w:val="000000"/>
                <w:lang w:val="es-ES" w:eastAsia="es-AR"/>
              </w:rPr>
            </w:pPr>
            <w:r w:rsidRPr="00AE4E8D">
              <w:rPr>
                <w:rFonts w:ascii="Times New Roman" w:hAnsi="Times New Roman"/>
                <w:color w:val="000000"/>
                <w:lang w:val="es-ES" w:eastAsia="es-AR"/>
              </w:rPr>
              <w:t>Florida 537, Piso 18 Galería Jardín</w:t>
            </w:r>
          </w:p>
          <w:p w14:paraId="2EF7E265" w14:textId="77777777" w:rsidR="001D2931" w:rsidRPr="00AE4E8D" w:rsidRDefault="0081532B" w:rsidP="001D2931">
            <w:pPr>
              <w:autoSpaceDE w:val="0"/>
              <w:autoSpaceDN w:val="0"/>
              <w:adjustRightInd w:val="0"/>
              <w:spacing w:before="60" w:after="60"/>
              <w:jc w:val="center"/>
              <w:rPr>
                <w:rFonts w:ascii="Times New Roman" w:hAnsi="Times New Roman"/>
                <w:color w:val="000000"/>
                <w:lang w:val="es-ES" w:eastAsia="es-AR"/>
              </w:rPr>
            </w:pPr>
            <w:r w:rsidRPr="00AE4E8D">
              <w:rPr>
                <w:rFonts w:ascii="Times New Roman" w:hAnsi="Times New Roman"/>
                <w:color w:val="000000"/>
                <w:lang w:val="es-ES" w:eastAsia="es-AR"/>
              </w:rPr>
              <w:t xml:space="preserve">(C1005AAK), </w:t>
            </w:r>
            <w:r w:rsidR="001D2931" w:rsidRPr="00AE4E8D">
              <w:rPr>
                <w:rFonts w:ascii="Times New Roman" w:hAnsi="Times New Roman"/>
                <w:color w:val="000000"/>
                <w:lang w:val="es-ES" w:eastAsia="es-AR"/>
              </w:rPr>
              <w:t>Ciudad Autónoma de Buenos Aires</w:t>
            </w:r>
            <w:r w:rsidRPr="00AE4E8D">
              <w:rPr>
                <w:rFonts w:ascii="Times New Roman" w:hAnsi="Times New Roman"/>
                <w:color w:val="000000"/>
                <w:lang w:val="es-ES" w:eastAsia="es-AR"/>
              </w:rPr>
              <w:t xml:space="preserve"> </w:t>
            </w:r>
          </w:p>
          <w:p w14:paraId="76B50179" w14:textId="77777777" w:rsidR="0081532B" w:rsidRPr="00AE4E8D" w:rsidRDefault="0081532B" w:rsidP="001D2931">
            <w:pPr>
              <w:autoSpaceDE w:val="0"/>
              <w:autoSpaceDN w:val="0"/>
              <w:adjustRightInd w:val="0"/>
              <w:spacing w:before="60" w:after="60"/>
              <w:jc w:val="center"/>
              <w:rPr>
                <w:rFonts w:ascii="Times New Roman" w:hAnsi="Times New Roman"/>
                <w:b/>
                <w:lang w:val="es-ES" w:eastAsia="es-AR"/>
              </w:rPr>
            </w:pPr>
            <w:r w:rsidRPr="00AE4E8D">
              <w:rPr>
                <w:rFonts w:ascii="Times New Roman" w:hAnsi="Times New Roman"/>
                <w:color w:val="000000"/>
                <w:lang w:val="es-ES" w:eastAsia="es-AR"/>
              </w:rPr>
              <w:t>Argentina</w:t>
            </w:r>
          </w:p>
        </w:tc>
        <w:tc>
          <w:tcPr>
            <w:tcW w:w="2500" w:type="pct"/>
          </w:tcPr>
          <w:p w14:paraId="1906756C" w14:textId="77777777" w:rsidR="0081532B" w:rsidRPr="00AE4E8D" w:rsidRDefault="0081532B" w:rsidP="001D2931">
            <w:pPr>
              <w:autoSpaceDE w:val="0"/>
              <w:autoSpaceDN w:val="0"/>
              <w:adjustRightInd w:val="0"/>
              <w:spacing w:before="120" w:after="120" w:line="240" w:lineRule="exact"/>
              <w:jc w:val="center"/>
              <w:rPr>
                <w:rFonts w:ascii="Times New Roman" w:hAnsi="Times New Roman"/>
                <w:i/>
                <w:iCs/>
                <w:sz w:val="18"/>
                <w:szCs w:val="18"/>
                <w:lang w:val="es-ES" w:eastAsia="es-AR"/>
              </w:rPr>
            </w:pPr>
            <w:r w:rsidRPr="00AE4E8D">
              <w:rPr>
                <w:rFonts w:ascii="Times New Roman" w:hAnsi="Times New Roman"/>
                <w:i/>
                <w:iCs/>
                <w:sz w:val="18"/>
                <w:szCs w:val="18"/>
                <w:lang w:val="es-ES" w:eastAsia="es-AR"/>
              </w:rPr>
              <w:t xml:space="preserve">Respecto de las Leyes de </w:t>
            </w:r>
            <w:r w:rsidR="001D2931" w:rsidRPr="00AE4E8D">
              <w:rPr>
                <w:rFonts w:ascii="Times New Roman" w:hAnsi="Times New Roman"/>
                <w:i/>
                <w:iCs/>
                <w:sz w:val="18"/>
                <w:szCs w:val="18"/>
                <w:lang w:val="es-ES" w:eastAsia="es-AR"/>
              </w:rPr>
              <w:t>Estados Unidos</w:t>
            </w:r>
          </w:p>
          <w:p w14:paraId="27D36A75" w14:textId="77777777" w:rsidR="001D2931" w:rsidRPr="00AE4E8D" w:rsidRDefault="001D2931" w:rsidP="001D2931">
            <w:pPr>
              <w:autoSpaceDE w:val="0"/>
              <w:autoSpaceDN w:val="0"/>
              <w:adjustRightInd w:val="0"/>
              <w:spacing w:before="120" w:after="120" w:line="240" w:lineRule="exact"/>
              <w:jc w:val="center"/>
              <w:rPr>
                <w:rFonts w:ascii="Times New Roman" w:hAnsi="Times New Roman"/>
                <w:b/>
                <w:lang w:val="en-US" w:eastAsia="es-AR"/>
              </w:rPr>
            </w:pPr>
            <w:r w:rsidRPr="00AE4E8D">
              <w:rPr>
                <w:rFonts w:ascii="Times New Roman" w:hAnsi="Times New Roman"/>
                <w:b/>
                <w:lang w:val="en-US" w:eastAsia="es-AR"/>
              </w:rPr>
              <w:t>Simpson Thacher &amp; Bartlett LLP</w:t>
            </w:r>
          </w:p>
          <w:p w14:paraId="74A7C326" w14:textId="77777777" w:rsidR="001D2931" w:rsidRPr="00AE4E8D" w:rsidRDefault="001D2931" w:rsidP="001D2931">
            <w:pPr>
              <w:autoSpaceDE w:val="0"/>
              <w:autoSpaceDN w:val="0"/>
              <w:adjustRightInd w:val="0"/>
              <w:spacing w:before="60" w:after="60"/>
              <w:jc w:val="center"/>
              <w:rPr>
                <w:rFonts w:ascii="Times New Roman" w:hAnsi="Times New Roman"/>
                <w:color w:val="000000"/>
                <w:lang w:val="en-US" w:eastAsia="es-AR"/>
              </w:rPr>
            </w:pPr>
            <w:r w:rsidRPr="00AE4E8D">
              <w:rPr>
                <w:rFonts w:ascii="Times New Roman" w:hAnsi="Times New Roman"/>
                <w:color w:val="000000"/>
                <w:lang w:val="en-US" w:eastAsia="es-AR"/>
              </w:rPr>
              <w:t>425 Lexington Avenue</w:t>
            </w:r>
          </w:p>
          <w:p w14:paraId="62F66EEE" w14:textId="77777777" w:rsidR="001D2931" w:rsidRPr="00AE4E8D" w:rsidRDefault="001D2931" w:rsidP="001D2931">
            <w:pPr>
              <w:autoSpaceDE w:val="0"/>
              <w:autoSpaceDN w:val="0"/>
              <w:adjustRightInd w:val="0"/>
              <w:spacing w:before="60" w:after="60"/>
              <w:jc w:val="center"/>
              <w:rPr>
                <w:rFonts w:ascii="Times New Roman" w:hAnsi="Times New Roman"/>
                <w:color w:val="000000"/>
                <w:lang w:val="en-US" w:eastAsia="es-AR"/>
              </w:rPr>
            </w:pPr>
            <w:r w:rsidRPr="00AE4E8D">
              <w:rPr>
                <w:rFonts w:ascii="Times New Roman" w:hAnsi="Times New Roman"/>
                <w:color w:val="000000"/>
                <w:lang w:val="en-US" w:eastAsia="es-AR"/>
              </w:rPr>
              <w:t>New York, NY 10017</w:t>
            </w:r>
          </w:p>
          <w:p w14:paraId="230A907B" w14:textId="77777777" w:rsidR="0081532B" w:rsidRPr="00AE4E8D" w:rsidRDefault="001D2931" w:rsidP="001D2931">
            <w:pPr>
              <w:autoSpaceDE w:val="0"/>
              <w:autoSpaceDN w:val="0"/>
              <w:adjustRightInd w:val="0"/>
              <w:spacing w:before="60" w:after="60"/>
              <w:jc w:val="center"/>
              <w:rPr>
                <w:rFonts w:ascii="Times New Roman" w:hAnsi="Times New Roman"/>
                <w:i/>
                <w:iCs/>
                <w:sz w:val="18"/>
                <w:szCs w:val="18"/>
                <w:lang w:val="en-US" w:eastAsia="es-AR"/>
              </w:rPr>
            </w:pPr>
            <w:r w:rsidRPr="00AE4E8D">
              <w:rPr>
                <w:rFonts w:ascii="Times New Roman" w:hAnsi="Times New Roman"/>
                <w:color w:val="000000"/>
                <w:lang w:val="en-US" w:eastAsia="es-AR"/>
              </w:rPr>
              <w:t>United States of America</w:t>
            </w:r>
            <w:r w:rsidRPr="00AE4E8D" w:rsidDel="0081532B">
              <w:rPr>
                <w:rFonts w:ascii="Times New Roman" w:hAnsi="Times New Roman"/>
                <w:b/>
                <w:i/>
                <w:iCs/>
                <w:sz w:val="18"/>
                <w:szCs w:val="18"/>
                <w:lang w:val="en-US" w:eastAsia="es-AR"/>
              </w:rPr>
              <w:t xml:space="preserve"> </w:t>
            </w:r>
          </w:p>
        </w:tc>
      </w:tr>
    </w:tbl>
    <w:p w14:paraId="5736DBF7" w14:textId="77777777" w:rsidR="008635F4" w:rsidRPr="00AE4E8D" w:rsidRDefault="008635F4" w:rsidP="00CD6E97">
      <w:pPr>
        <w:rPr>
          <w:rFonts w:ascii="Times New Roman" w:hAnsi="Times New Roman"/>
          <w:lang w:val="en-US"/>
        </w:rPr>
      </w:pPr>
    </w:p>
    <w:sectPr w:rsidR="008635F4" w:rsidRPr="00AE4E8D" w:rsidSect="00FA3175">
      <w:footerReference w:type="default" r:id="rId50"/>
      <w:pgSz w:w="11907" w:h="16839" w:code="9"/>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0F99C1" w14:textId="77777777" w:rsidR="00C347BA" w:rsidRDefault="00C347BA">
      <w:r>
        <w:separator/>
      </w:r>
    </w:p>
  </w:endnote>
  <w:endnote w:type="continuationSeparator" w:id="0">
    <w:p w14:paraId="5DB997E0" w14:textId="77777777" w:rsidR="00C347BA" w:rsidRDefault="00C347BA">
      <w:r>
        <w:continuationSeparator/>
      </w:r>
    </w:p>
  </w:endnote>
  <w:endnote w:type="continuationNotice" w:id="1">
    <w:p w14:paraId="26117A9B" w14:textId="77777777" w:rsidR="00C347BA" w:rsidRDefault="00C347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G Omega">
    <w:panose1 w:val="00000000000000000000"/>
    <w:charset w:val="00"/>
    <w:family w:val="swiss"/>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10002FF" w:usb1="4000FCFF" w:usb2="00000009" w:usb3="00000000" w:csb0="0000019F" w:csb1="00000000"/>
  </w:font>
  <w:font w:name="Bookman Old Style">
    <w:panose1 w:val="02050604050505020204"/>
    <w:charset w:val="00"/>
    <w:family w:val="roman"/>
    <w:pitch w:val="variable"/>
    <w:sig w:usb0="00000287" w:usb1="00000000" w:usb2="00000000" w:usb3="00000000" w:csb0="0000009F" w:csb1="00000000"/>
  </w:font>
  <w:font w:name="ZapfHumnst BT">
    <w:altName w:val="Lucida Sans Unicode"/>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rebuchet MS">
    <w:panose1 w:val="020B0603020202020204"/>
    <w:charset w:val="00"/>
    <w:family w:val="swiss"/>
    <w:pitch w:val="variable"/>
    <w:sig w:usb0="00000287" w:usb1="00000003" w:usb2="00000000" w:usb3="00000000" w:csb0="0000009F" w:csb1="00000000"/>
  </w:font>
  <w:font w:name="Frutiger LT 45 Light">
    <w:altName w:val="Lucida Sans Unicode"/>
    <w:panose1 w:val="00000000000000000000"/>
    <w:charset w:val="00"/>
    <w:family w:val="swiss"/>
    <w:notTrueType/>
    <w:pitch w:val="variable"/>
    <w:sig w:usb0="00000003" w:usb1="00000000" w:usb2="00000000" w:usb3="00000000" w:csb0="00000001" w:csb1="00000000"/>
  </w:font>
  <w:font w:name="HelveticaNeueLT Std">
    <w:altName w:val="HelveticaNeueLT Std"/>
    <w:panose1 w:val="00000000000000000000"/>
    <w:charset w:val="00"/>
    <w:family w:val="roman"/>
    <w:notTrueType/>
    <w:pitch w:val="default"/>
    <w:sig w:usb0="00000003" w:usb1="00000000" w:usb2="00000000" w:usb3="00000000" w:csb0="00000001" w:csb1="00000000"/>
  </w:font>
  <w:font w:name="HelveticaNeueLT Std Cn">
    <w:altName w:val="HelveticaNeueLT Std Cn"/>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PwC_Logo">
    <w:charset w:val="02"/>
    <w:family w:val="auto"/>
    <w:pitch w:val="variable"/>
    <w:sig w:usb0="00000000" w:usb1="10000000" w:usb2="00000000" w:usb3="00000000" w:csb0="80000000" w:csb1="00000000"/>
  </w:font>
  <w:font w:name="Credit Suisse Type Roman">
    <w:altName w:val="Trebuchet MS"/>
    <w:panose1 w:val="00000000000000000000"/>
    <w:charset w:val="00"/>
    <w:family w:val="swiss"/>
    <w:notTrueType/>
    <w:pitch w:val="variable"/>
    <w:sig w:usb0="00000003" w:usb1="00000000" w:usb2="00000000" w:usb3="00000000" w:csb0="00000001" w:csb1="00000000"/>
  </w:font>
  <w:font w:name="Wingdings-Regular">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ED797" w14:textId="77777777" w:rsidR="00C347BA" w:rsidRDefault="00C347BA">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4187734"/>
      <w:docPartObj>
        <w:docPartGallery w:val="Page Numbers (Bottom of Page)"/>
        <w:docPartUnique/>
      </w:docPartObj>
    </w:sdtPr>
    <w:sdtEndPr/>
    <w:sdtContent>
      <w:p w14:paraId="5E1A2F6D" w14:textId="77777777" w:rsidR="00C347BA" w:rsidRDefault="00C347BA">
        <w:pPr>
          <w:pStyle w:val="Piedepgina"/>
          <w:jc w:val="center"/>
        </w:pPr>
        <w:r>
          <w:fldChar w:fldCharType="begin"/>
        </w:r>
        <w:r>
          <w:instrText>PAGE   \* MERGEFORMAT</w:instrText>
        </w:r>
        <w:r>
          <w:fldChar w:fldCharType="separate"/>
        </w:r>
        <w:r w:rsidR="003676BD" w:rsidRPr="003676BD">
          <w:rPr>
            <w:noProof/>
            <w:lang w:val="es-ES"/>
          </w:rPr>
          <w:t>ii</w:t>
        </w:r>
        <w:r>
          <w:fldChar w:fldCharType="end"/>
        </w:r>
      </w:p>
    </w:sdtContent>
  </w:sdt>
  <w:p w14:paraId="2D9A602F" w14:textId="77777777" w:rsidR="00C347BA" w:rsidRDefault="00C347BA">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2471892"/>
      <w:docPartObj>
        <w:docPartGallery w:val="Page Numbers (Bottom of Page)"/>
        <w:docPartUnique/>
      </w:docPartObj>
    </w:sdtPr>
    <w:sdtEndPr/>
    <w:sdtContent>
      <w:p w14:paraId="396D99A1" w14:textId="77777777" w:rsidR="00C347BA" w:rsidRDefault="00C347BA">
        <w:pPr>
          <w:pStyle w:val="Piedepgina"/>
          <w:jc w:val="center"/>
        </w:pPr>
        <w:r>
          <w:fldChar w:fldCharType="begin"/>
        </w:r>
        <w:r>
          <w:instrText>PAGE   \* MERGEFORMAT</w:instrText>
        </w:r>
        <w:r>
          <w:fldChar w:fldCharType="separate"/>
        </w:r>
        <w:r w:rsidR="003676BD" w:rsidRPr="003676BD">
          <w:rPr>
            <w:noProof/>
            <w:lang w:val="es-ES"/>
          </w:rPr>
          <w:t>23</w:t>
        </w:r>
        <w:r>
          <w:fldChar w:fldCharType="end"/>
        </w:r>
      </w:p>
    </w:sdtContent>
  </w:sdt>
  <w:p w14:paraId="3CAB788D" w14:textId="77777777" w:rsidR="00C347BA" w:rsidRDefault="00C347BA">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8160143"/>
      <w:docPartObj>
        <w:docPartGallery w:val="Page Numbers (Bottom of Page)"/>
        <w:docPartUnique/>
      </w:docPartObj>
    </w:sdtPr>
    <w:sdtEndPr/>
    <w:sdtContent>
      <w:p w14:paraId="41675B11" w14:textId="77777777" w:rsidR="00C347BA" w:rsidRDefault="00C347BA">
        <w:pPr>
          <w:pStyle w:val="Piedepgina"/>
          <w:jc w:val="center"/>
        </w:pPr>
        <w:r>
          <w:fldChar w:fldCharType="begin"/>
        </w:r>
        <w:r>
          <w:instrText>PAGE   \* MERGEFORMAT</w:instrText>
        </w:r>
        <w:r>
          <w:fldChar w:fldCharType="separate"/>
        </w:r>
        <w:r w:rsidR="003676BD" w:rsidRPr="003676BD">
          <w:rPr>
            <w:noProof/>
            <w:lang w:val="es-ES"/>
          </w:rPr>
          <w:t>36</w:t>
        </w:r>
        <w:r>
          <w:fldChar w:fldCharType="end"/>
        </w:r>
      </w:p>
    </w:sdtContent>
  </w:sdt>
  <w:p w14:paraId="351D6A9A" w14:textId="77777777" w:rsidR="00C347BA" w:rsidRDefault="00C347BA">
    <w:pPr>
      <w:pStyle w:val="Piedepgin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A082AC" w14:textId="77777777" w:rsidR="00C347BA" w:rsidRDefault="00C347BA" w:rsidP="00241071"/>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4621737"/>
      <w:docPartObj>
        <w:docPartGallery w:val="Page Numbers (Bottom of Page)"/>
        <w:docPartUnique/>
      </w:docPartObj>
    </w:sdtPr>
    <w:sdtEndPr/>
    <w:sdtContent>
      <w:p w14:paraId="17902B84" w14:textId="77777777" w:rsidR="00C347BA" w:rsidRDefault="00C347BA">
        <w:pPr>
          <w:pStyle w:val="Piedepgina"/>
          <w:jc w:val="center"/>
        </w:pPr>
        <w:r>
          <w:fldChar w:fldCharType="begin"/>
        </w:r>
        <w:r>
          <w:instrText>PAGE   \* MERGEFORMAT</w:instrText>
        </w:r>
        <w:r>
          <w:fldChar w:fldCharType="separate"/>
        </w:r>
        <w:r w:rsidR="00680352" w:rsidRPr="00680352">
          <w:rPr>
            <w:noProof/>
            <w:lang w:val="es-ES"/>
          </w:rPr>
          <w:t>147</w:t>
        </w:r>
        <w:r>
          <w:fldChar w:fldCharType="end"/>
        </w:r>
      </w:p>
    </w:sdtContent>
  </w:sdt>
  <w:p w14:paraId="10E23209" w14:textId="77777777" w:rsidR="00C347BA" w:rsidRDefault="00C347BA" w:rsidP="00B52753">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5247165"/>
      <w:docPartObj>
        <w:docPartGallery w:val="Page Numbers (Bottom of Page)"/>
        <w:docPartUnique/>
      </w:docPartObj>
    </w:sdtPr>
    <w:sdtEndPr/>
    <w:sdtContent>
      <w:p w14:paraId="1394CECE" w14:textId="77777777" w:rsidR="00C347BA" w:rsidRDefault="00C347BA">
        <w:pPr>
          <w:pStyle w:val="Piedepgina"/>
          <w:jc w:val="center"/>
        </w:pPr>
        <w:r>
          <w:fldChar w:fldCharType="begin"/>
        </w:r>
        <w:r>
          <w:instrText>PAGE   \* MERGEFORMAT</w:instrText>
        </w:r>
        <w:r>
          <w:fldChar w:fldCharType="separate"/>
        </w:r>
        <w:r w:rsidR="00680352" w:rsidRPr="00680352">
          <w:rPr>
            <w:noProof/>
            <w:lang w:val="es-ES"/>
          </w:rPr>
          <w:t>281</w:t>
        </w:r>
        <w:r>
          <w:fldChar w:fldCharType="end"/>
        </w:r>
      </w:p>
    </w:sdtContent>
  </w:sdt>
  <w:p w14:paraId="4ECE5F9F" w14:textId="77777777" w:rsidR="00C347BA" w:rsidRDefault="00C347BA" w:rsidP="00B52753">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0C55F9" w14:textId="77777777" w:rsidR="00C347BA" w:rsidRDefault="00C347BA">
      <w:r>
        <w:separator/>
      </w:r>
    </w:p>
  </w:footnote>
  <w:footnote w:type="continuationSeparator" w:id="0">
    <w:p w14:paraId="64953668" w14:textId="77777777" w:rsidR="00C347BA" w:rsidRDefault="00C347BA">
      <w:r>
        <w:continuationSeparator/>
      </w:r>
    </w:p>
  </w:footnote>
  <w:footnote w:type="continuationNotice" w:id="1">
    <w:p w14:paraId="19F832ED" w14:textId="77777777" w:rsidR="00C347BA" w:rsidRDefault="00C347BA"/>
  </w:footnote>
  <w:footnote w:id="2">
    <w:p w14:paraId="6EA1831F" w14:textId="77777777" w:rsidR="00C347BA" w:rsidRPr="0096617B" w:rsidRDefault="00C347BA" w:rsidP="00E013EA">
      <w:pPr>
        <w:pStyle w:val="Textonotapie"/>
        <w:spacing w:after="0"/>
        <w:rPr>
          <w:lang w:val="es-AR"/>
        </w:rPr>
      </w:pPr>
      <w:r>
        <w:rPr>
          <w:rStyle w:val="Refdenotaalpie"/>
        </w:rPr>
        <w:footnoteRef/>
      </w:r>
      <w:r w:rsidRPr="00ED0438">
        <w:rPr>
          <w:lang w:val="es-ES"/>
        </w:rPr>
        <w:t xml:space="preserve"> </w:t>
      </w:r>
      <w:r w:rsidRPr="00F57E71">
        <w:rPr>
          <w:sz w:val="16"/>
          <w:lang w:val="es-ES" w:eastAsia="es-AR"/>
        </w:rPr>
        <w:t>Fuente: BCRA.</w:t>
      </w:r>
    </w:p>
  </w:footnote>
  <w:footnote w:id="3">
    <w:p w14:paraId="453027C9" w14:textId="77777777" w:rsidR="00C347BA" w:rsidRPr="00E013EA" w:rsidRDefault="00C347BA" w:rsidP="00E013EA">
      <w:pPr>
        <w:pStyle w:val="BHTexto"/>
        <w:spacing w:before="0" w:after="0"/>
        <w:rPr>
          <w:sz w:val="16"/>
          <w:lang w:val="es-ES" w:eastAsia="es-AR"/>
        </w:rPr>
      </w:pPr>
      <w:r>
        <w:rPr>
          <w:rStyle w:val="Refdenotaalpie"/>
        </w:rPr>
        <w:footnoteRef/>
      </w:r>
      <w:r>
        <w:rPr>
          <w:lang w:val="es-ES"/>
        </w:rPr>
        <w:t xml:space="preserve"> </w:t>
      </w:r>
      <w:r>
        <w:rPr>
          <w:sz w:val="16"/>
          <w:lang w:val="es-ES" w:eastAsia="es-AR"/>
        </w:rPr>
        <w:t>Fuente: información interna del Banco y sus subsidiarias.</w:t>
      </w:r>
    </w:p>
  </w:footnote>
  <w:footnote w:id="4">
    <w:p w14:paraId="637316AB" w14:textId="77777777" w:rsidR="00C347BA" w:rsidRDefault="00C347BA" w:rsidP="00E013EA">
      <w:pPr>
        <w:autoSpaceDE w:val="0"/>
        <w:autoSpaceDN w:val="0"/>
        <w:adjustRightInd w:val="0"/>
        <w:jc w:val="both"/>
      </w:pPr>
      <w:r>
        <w:rPr>
          <w:rStyle w:val="Refdenotaalpie"/>
          <w:rFonts w:eastAsia="Calibri"/>
        </w:rPr>
        <w:footnoteRef/>
      </w:r>
      <w:r w:rsidRPr="00ED0438">
        <w:rPr>
          <w:lang w:val="es-ES"/>
        </w:rPr>
        <w:t xml:space="preserve"> </w:t>
      </w:r>
      <w:r>
        <w:rPr>
          <w:rFonts w:ascii="Times New Roman" w:hAnsi="Times New Roman"/>
          <w:sz w:val="16"/>
          <w:lang w:val="es-ES" w:eastAsia="es-AR"/>
        </w:rPr>
        <w:t>Fuente: información interna del Banco y sus subsidiarias.</w:t>
      </w:r>
    </w:p>
  </w:footnote>
  <w:footnote w:id="5">
    <w:p w14:paraId="5139975B" w14:textId="77777777" w:rsidR="00C347BA" w:rsidRPr="00692AE9" w:rsidRDefault="00C347BA" w:rsidP="00E013EA">
      <w:pPr>
        <w:pStyle w:val="Textonotapie"/>
        <w:spacing w:after="0"/>
        <w:rPr>
          <w:lang w:val="es-AR"/>
        </w:rPr>
      </w:pPr>
      <w:r>
        <w:rPr>
          <w:rStyle w:val="Refdenotaalpie"/>
        </w:rPr>
        <w:footnoteRef/>
      </w:r>
      <w:r w:rsidRPr="009F43BF">
        <w:rPr>
          <w:sz w:val="16"/>
          <w:lang w:val="es-AR"/>
        </w:rPr>
        <w:t xml:space="preserve"> Fuente</w:t>
      </w:r>
      <w:r>
        <w:rPr>
          <w:sz w:val="16"/>
          <w:lang w:val="es-AR"/>
        </w:rPr>
        <w:t>: Información</w:t>
      </w:r>
      <w:r w:rsidRPr="003F159D">
        <w:rPr>
          <w:sz w:val="16"/>
          <w:lang w:val="es-AR"/>
        </w:rPr>
        <w:t xml:space="preserve"> interna del Banco</w:t>
      </w:r>
      <w:r>
        <w:rPr>
          <w:sz w:val="16"/>
          <w:lang w:val="es-AR"/>
        </w:rPr>
        <w:t xml:space="preserve"> y de sus subsidiarias</w:t>
      </w:r>
      <w:r w:rsidRPr="003F159D">
        <w:rPr>
          <w:sz w:val="16"/>
          <w:lang w:val="es-AR"/>
        </w:rPr>
        <w:t>.</w:t>
      </w:r>
    </w:p>
  </w:footnote>
  <w:footnote w:id="6">
    <w:p w14:paraId="297053DA" w14:textId="77777777" w:rsidR="00C347BA" w:rsidRPr="00E013EA" w:rsidRDefault="00C347BA" w:rsidP="00E013EA">
      <w:pPr>
        <w:autoSpaceDE w:val="0"/>
        <w:autoSpaceDN w:val="0"/>
        <w:adjustRightInd w:val="0"/>
        <w:jc w:val="both"/>
        <w:rPr>
          <w:rFonts w:ascii="Times New Roman" w:hAnsi="Times New Roman"/>
          <w:sz w:val="16"/>
          <w:lang w:val="es-ES" w:eastAsia="es-AR"/>
        </w:rPr>
      </w:pPr>
      <w:r>
        <w:rPr>
          <w:rStyle w:val="Refdenotaalpie"/>
          <w:rFonts w:eastAsia="Calibri"/>
        </w:rPr>
        <w:footnoteRef/>
      </w:r>
      <w:r w:rsidRPr="00ED0438">
        <w:rPr>
          <w:lang w:val="es-ES"/>
        </w:rPr>
        <w:t xml:space="preserve"> </w:t>
      </w:r>
      <w:r>
        <w:rPr>
          <w:rFonts w:ascii="Times New Roman" w:hAnsi="Times New Roman"/>
          <w:sz w:val="16"/>
          <w:lang w:val="es-ES" w:eastAsia="es-AR"/>
        </w:rPr>
        <w:t>Fuente: información interna del Banco y sus subsidiarias.</w:t>
      </w:r>
    </w:p>
  </w:footnote>
  <w:footnote w:id="7">
    <w:p w14:paraId="554DAB36" w14:textId="77777777" w:rsidR="00C347BA" w:rsidRPr="0096617B" w:rsidRDefault="00C347BA" w:rsidP="00E013EA">
      <w:pPr>
        <w:pStyle w:val="Textonotapie"/>
        <w:spacing w:after="0"/>
        <w:rPr>
          <w:lang w:val="es-AR"/>
        </w:rPr>
      </w:pPr>
      <w:r>
        <w:rPr>
          <w:rStyle w:val="Refdenotaalpie"/>
        </w:rPr>
        <w:footnoteRef/>
      </w:r>
      <w:r w:rsidRPr="00ED0438">
        <w:rPr>
          <w:lang w:val="es-ES"/>
        </w:rPr>
        <w:t xml:space="preserve"> </w:t>
      </w:r>
      <w:r w:rsidRPr="00F57E71">
        <w:rPr>
          <w:sz w:val="16"/>
          <w:lang w:val="es-ES" w:eastAsia="es-AR"/>
        </w:rPr>
        <w:t>Fuente: BCRA.</w:t>
      </w:r>
    </w:p>
  </w:footnote>
  <w:footnote w:id="8">
    <w:p w14:paraId="1FAE085E" w14:textId="77777777" w:rsidR="00C347BA" w:rsidRPr="0096617B" w:rsidRDefault="00C347BA" w:rsidP="00E013EA">
      <w:pPr>
        <w:pStyle w:val="Textonotapie"/>
        <w:spacing w:after="0"/>
        <w:rPr>
          <w:lang w:val="es-AR"/>
        </w:rPr>
      </w:pPr>
      <w:r>
        <w:rPr>
          <w:rStyle w:val="Refdenotaalpie"/>
        </w:rPr>
        <w:footnoteRef/>
      </w:r>
      <w:r w:rsidRPr="003F159D">
        <w:rPr>
          <w:lang w:val="es-AR"/>
        </w:rPr>
        <w:t xml:space="preserve"> </w:t>
      </w:r>
      <w:r w:rsidRPr="009F43BF">
        <w:rPr>
          <w:sz w:val="16"/>
          <w:lang w:val="es-AR"/>
        </w:rPr>
        <w:t>Fuente: Información</w:t>
      </w:r>
      <w:r w:rsidRPr="003F159D">
        <w:rPr>
          <w:sz w:val="16"/>
          <w:lang w:val="es-AR"/>
        </w:rPr>
        <w:t xml:space="preserve"> interna del Banco</w:t>
      </w:r>
      <w:r>
        <w:rPr>
          <w:sz w:val="16"/>
          <w:lang w:val="es-AR"/>
        </w:rPr>
        <w:t xml:space="preserve"> y de sus subsidiarias</w:t>
      </w:r>
      <w:r w:rsidRPr="003F159D">
        <w:rPr>
          <w:sz w:val="16"/>
          <w:lang w:val="es-AR"/>
        </w:rPr>
        <w:t>.</w:t>
      </w:r>
    </w:p>
  </w:footnote>
  <w:footnote w:id="9">
    <w:p w14:paraId="7283B824" w14:textId="77777777" w:rsidR="00C347BA" w:rsidRPr="0096617B" w:rsidRDefault="00C347BA" w:rsidP="00E013EA">
      <w:pPr>
        <w:pStyle w:val="Textonotapie"/>
        <w:spacing w:after="0"/>
        <w:rPr>
          <w:lang w:val="es-AR"/>
        </w:rPr>
      </w:pPr>
      <w:r>
        <w:rPr>
          <w:rStyle w:val="Refdenotaalpie"/>
        </w:rPr>
        <w:footnoteRef/>
      </w:r>
      <w:r w:rsidRPr="003F159D">
        <w:rPr>
          <w:lang w:val="es-AR"/>
        </w:rPr>
        <w:t xml:space="preserve"> </w:t>
      </w:r>
      <w:r w:rsidRPr="009F43BF">
        <w:rPr>
          <w:sz w:val="16"/>
          <w:lang w:val="es-AR"/>
        </w:rPr>
        <w:t>Fuente: Información</w:t>
      </w:r>
      <w:r w:rsidRPr="003F159D">
        <w:rPr>
          <w:sz w:val="16"/>
          <w:lang w:val="es-AR"/>
        </w:rPr>
        <w:t xml:space="preserve"> interna del Banco</w:t>
      </w:r>
      <w:r>
        <w:rPr>
          <w:sz w:val="16"/>
          <w:lang w:val="es-AR"/>
        </w:rPr>
        <w:t xml:space="preserve"> y sus subsidiarias</w:t>
      </w:r>
      <w:r w:rsidRPr="003F159D">
        <w:rPr>
          <w:sz w:val="16"/>
          <w:lang w:val="es-AR"/>
        </w:rPr>
        <w:t>.</w:t>
      </w:r>
    </w:p>
  </w:footnote>
  <w:footnote w:id="10">
    <w:p w14:paraId="423C2D8C" w14:textId="77777777" w:rsidR="00C347BA" w:rsidRPr="0096617B" w:rsidRDefault="00C347BA" w:rsidP="00E013EA">
      <w:pPr>
        <w:pStyle w:val="Textonotapie"/>
        <w:spacing w:after="0"/>
        <w:rPr>
          <w:lang w:val="es-AR"/>
        </w:rPr>
      </w:pPr>
      <w:r>
        <w:rPr>
          <w:rStyle w:val="Refdenotaalpie"/>
        </w:rPr>
        <w:footnoteRef/>
      </w:r>
      <w:r w:rsidRPr="00BE5523">
        <w:rPr>
          <w:lang w:val="es-AR"/>
        </w:rPr>
        <w:t xml:space="preserve"> </w:t>
      </w:r>
      <w:r w:rsidRPr="00581935">
        <w:rPr>
          <w:sz w:val="16"/>
          <w:szCs w:val="16"/>
          <w:lang w:val="es-AR"/>
        </w:rPr>
        <w:t>Los índices de es</w:t>
      </w:r>
      <w:r w:rsidRPr="00581935">
        <w:rPr>
          <w:sz w:val="16"/>
          <w:szCs w:val="16"/>
          <w:lang w:val="es-ES"/>
        </w:rPr>
        <w:t>te párrafo corresponden</w:t>
      </w:r>
      <w:r w:rsidRPr="006964A3">
        <w:rPr>
          <w:sz w:val="16"/>
          <w:szCs w:val="16"/>
          <w:lang w:val="es-ES"/>
        </w:rPr>
        <w:t xml:space="preserve"> a información i</w:t>
      </w:r>
      <w:r>
        <w:rPr>
          <w:sz w:val="16"/>
          <w:szCs w:val="16"/>
          <w:lang w:val="es-ES"/>
        </w:rPr>
        <w:t>nterna del Banco.</w:t>
      </w:r>
    </w:p>
  </w:footnote>
  <w:footnote w:id="11">
    <w:p w14:paraId="19AC2010" w14:textId="77777777" w:rsidR="00C347BA" w:rsidRPr="00B52753" w:rsidRDefault="00C347BA" w:rsidP="00E013EA">
      <w:pPr>
        <w:pStyle w:val="Textonotapie"/>
        <w:spacing w:after="0"/>
        <w:rPr>
          <w:lang w:val="es-ES"/>
        </w:rPr>
      </w:pPr>
      <w:r>
        <w:rPr>
          <w:rStyle w:val="Refdenotaalpie"/>
        </w:rPr>
        <w:footnoteRef/>
      </w:r>
      <w:r w:rsidRPr="006238FE">
        <w:rPr>
          <w:lang w:val="es-AR"/>
        </w:rPr>
        <w:t xml:space="preserve"> </w:t>
      </w:r>
      <w:r>
        <w:rPr>
          <w:sz w:val="16"/>
          <w:szCs w:val="16"/>
          <w:lang w:val="es-AR"/>
        </w:rPr>
        <w:t>Fuente: Información</w:t>
      </w:r>
      <w:r w:rsidRPr="007D4EB4">
        <w:rPr>
          <w:sz w:val="16"/>
          <w:szCs w:val="16"/>
          <w:lang w:val="es-AR"/>
        </w:rPr>
        <w:t xml:space="preserve"> interna del Banco</w:t>
      </w:r>
      <w:r>
        <w:rPr>
          <w:sz w:val="16"/>
          <w:szCs w:val="16"/>
          <w:lang w:val="es-AR"/>
        </w:rPr>
        <w:t xml:space="preserve"> y sus subsidiarias</w:t>
      </w:r>
      <w:r w:rsidRPr="007D4EB4">
        <w:rPr>
          <w:sz w:val="16"/>
          <w:szCs w:val="16"/>
          <w:lang w:val="es-AR"/>
        </w:rPr>
        <w:t>.</w:t>
      </w:r>
    </w:p>
  </w:footnote>
  <w:footnote w:id="12">
    <w:p w14:paraId="7B56D53C" w14:textId="77777777" w:rsidR="00C347BA" w:rsidRPr="00B52753" w:rsidRDefault="00C347BA" w:rsidP="00E013EA">
      <w:pPr>
        <w:pStyle w:val="Textonotapie"/>
        <w:spacing w:after="0"/>
        <w:rPr>
          <w:lang w:val="es-ES"/>
        </w:rPr>
      </w:pPr>
      <w:r>
        <w:rPr>
          <w:rStyle w:val="Refdenotaalpie"/>
        </w:rPr>
        <w:footnoteRef/>
      </w:r>
      <w:r w:rsidRPr="006238FE">
        <w:rPr>
          <w:lang w:val="es-AR"/>
        </w:rPr>
        <w:t xml:space="preserve"> </w:t>
      </w:r>
      <w:r>
        <w:rPr>
          <w:sz w:val="16"/>
          <w:szCs w:val="16"/>
          <w:lang w:val="es-ES"/>
        </w:rPr>
        <w:t xml:space="preserve">Fuente: Información </w:t>
      </w:r>
      <w:r w:rsidRPr="006964A3">
        <w:rPr>
          <w:sz w:val="16"/>
          <w:szCs w:val="16"/>
          <w:lang w:val="es-ES"/>
        </w:rPr>
        <w:t>interna del Banco</w:t>
      </w:r>
      <w:r>
        <w:rPr>
          <w:sz w:val="16"/>
          <w:szCs w:val="16"/>
          <w:lang w:val="es-ES"/>
        </w:rPr>
        <w:t xml:space="preserve"> y sus subsidiarias</w:t>
      </w:r>
      <w:r w:rsidRPr="006964A3">
        <w:rPr>
          <w:sz w:val="16"/>
          <w:szCs w:val="16"/>
          <w:lang w:val="es-ES"/>
        </w:rPr>
        <w:t>.</w:t>
      </w:r>
    </w:p>
  </w:footnote>
  <w:footnote w:id="13">
    <w:p w14:paraId="4D3F4D51" w14:textId="77777777" w:rsidR="00C347BA" w:rsidRPr="00B52753" w:rsidRDefault="00C347BA" w:rsidP="00E013EA">
      <w:pPr>
        <w:pStyle w:val="Textonotapie"/>
        <w:spacing w:after="0"/>
        <w:ind w:left="142" w:hanging="142"/>
        <w:jc w:val="both"/>
        <w:rPr>
          <w:lang w:val="es-ES"/>
        </w:rPr>
      </w:pPr>
      <w:r>
        <w:rPr>
          <w:rStyle w:val="Refdenotaalpie"/>
        </w:rPr>
        <w:footnoteRef/>
      </w:r>
      <w:r w:rsidRPr="006238FE">
        <w:rPr>
          <w:lang w:val="es-AR"/>
        </w:rPr>
        <w:t xml:space="preserve"> </w:t>
      </w:r>
      <w:r w:rsidRPr="006964A3">
        <w:rPr>
          <w:sz w:val="16"/>
          <w:szCs w:val="16"/>
          <w:lang w:val="es-ES"/>
        </w:rPr>
        <w:t xml:space="preserve">Se aclara que el presente cuadro fue confeccionado con información interna del Banco, el cual puede no ser comparable con el </w:t>
      </w:r>
      <w:r w:rsidRPr="003B11AF">
        <w:rPr>
          <w:sz w:val="16"/>
          <w:lang w:val="es-ES"/>
        </w:rPr>
        <w:t>ANEXO F</w:t>
      </w:r>
      <w:r w:rsidRPr="006964A3">
        <w:rPr>
          <w:sz w:val="16"/>
          <w:szCs w:val="16"/>
          <w:lang w:val="es-ES"/>
        </w:rPr>
        <w:t xml:space="preserve"> de los </w:t>
      </w:r>
      <w:r>
        <w:rPr>
          <w:sz w:val="16"/>
          <w:szCs w:val="16"/>
          <w:lang w:val="es-ES"/>
        </w:rPr>
        <w:t>estados contables</w:t>
      </w:r>
      <w:r w:rsidRPr="006964A3">
        <w:rPr>
          <w:sz w:val="16"/>
          <w:szCs w:val="16"/>
          <w:lang w:val="es-ES"/>
        </w:rPr>
        <w:t xml:space="preserve"> del Banco, dado que los mismos son elaborados a nivel básico, mientras que en el presente, se confeccionó de forma consolidada a fin de proporcionar una mejor exposición y entendimiento de la operatoria del Banco por parte del inversor.</w:t>
      </w:r>
    </w:p>
  </w:footnote>
  <w:footnote w:id="14">
    <w:p w14:paraId="1085F345" w14:textId="77777777" w:rsidR="00C347BA" w:rsidRPr="00DD1DF0" w:rsidRDefault="00C347BA" w:rsidP="001B3E41">
      <w:pPr>
        <w:pStyle w:val="Textonotapie"/>
        <w:spacing w:after="0"/>
        <w:rPr>
          <w:lang w:val="es-ES" w:eastAsia="es-ES"/>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D2658B" w14:textId="77777777" w:rsidR="00C347BA" w:rsidRDefault="00C347BA">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4FA2E4" w14:textId="77777777" w:rsidR="00C347BA" w:rsidRDefault="00C347BA">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C19D67" w14:textId="77777777" w:rsidR="00C347BA" w:rsidRDefault="00C347BA">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9E236" w14:textId="77777777" w:rsidR="00C347BA" w:rsidRPr="005B1DBB" w:rsidRDefault="00C347BA" w:rsidP="005B1DBB">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96602A" w14:textId="77777777" w:rsidR="00C347BA" w:rsidRPr="007A3BAF" w:rsidRDefault="00C347BA" w:rsidP="00FB3FC9">
    <w:pPr>
      <w:pStyle w:val="Encabezad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3FF61E" w14:textId="77777777" w:rsidR="00C347BA" w:rsidRPr="0008264A" w:rsidRDefault="00C347BA" w:rsidP="0008264A">
    <w:pPr>
      <w:pStyle w:val="Encabezado"/>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3EA111E"/>
    <w:lvl w:ilvl="0">
      <w:start w:val="1"/>
      <w:numFmt w:val="decimal"/>
      <w:pStyle w:val="Listaconnmeros5"/>
      <w:lvlText w:val="%1."/>
      <w:lvlJc w:val="left"/>
      <w:pPr>
        <w:tabs>
          <w:tab w:val="num" w:pos="1800"/>
        </w:tabs>
        <w:ind w:left="1800" w:hanging="360"/>
      </w:pPr>
      <w:rPr>
        <w:rFonts w:cs="Times New Roman"/>
      </w:rPr>
    </w:lvl>
  </w:abstractNum>
  <w:abstractNum w:abstractNumId="1">
    <w:nsid w:val="FFFFFF7D"/>
    <w:multiLevelType w:val="singleLevel"/>
    <w:tmpl w:val="B288867A"/>
    <w:lvl w:ilvl="0">
      <w:start w:val="1"/>
      <w:numFmt w:val="decimal"/>
      <w:pStyle w:val="Listaconnmeros4"/>
      <w:lvlText w:val="%1."/>
      <w:lvlJc w:val="left"/>
      <w:pPr>
        <w:tabs>
          <w:tab w:val="num" w:pos="1440"/>
        </w:tabs>
        <w:ind w:left="1440" w:hanging="360"/>
      </w:pPr>
      <w:rPr>
        <w:rFonts w:cs="Times New Roman"/>
      </w:rPr>
    </w:lvl>
  </w:abstractNum>
  <w:abstractNum w:abstractNumId="2">
    <w:nsid w:val="FFFFFF7E"/>
    <w:multiLevelType w:val="singleLevel"/>
    <w:tmpl w:val="039CDE10"/>
    <w:styleLink w:val="List11"/>
    <w:lvl w:ilvl="0">
      <w:start w:val="1"/>
      <w:numFmt w:val="decimal"/>
      <w:pStyle w:val="Listaconnmeros3"/>
      <w:lvlText w:val="%1."/>
      <w:lvlJc w:val="left"/>
      <w:pPr>
        <w:tabs>
          <w:tab w:val="num" w:pos="1080"/>
        </w:tabs>
        <w:ind w:left="1080" w:hanging="360"/>
      </w:pPr>
      <w:rPr>
        <w:rFonts w:cs="Times New Roman"/>
      </w:rPr>
    </w:lvl>
  </w:abstractNum>
  <w:abstractNum w:abstractNumId="3">
    <w:nsid w:val="FFFFFF7F"/>
    <w:multiLevelType w:val="singleLevel"/>
    <w:tmpl w:val="D988C7A2"/>
    <w:lvl w:ilvl="0">
      <w:start w:val="1"/>
      <w:numFmt w:val="lowerRoman"/>
      <w:pStyle w:val="Listaconnmeros2"/>
      <w:lvlText w:val="(%1)"/>
      <w:lvlJc w:val="left"/>
      <w:pPr>
        <w:tabs>
          <w:tab w:val="num" w:pos="2160"/>
        </w:tabs>
        <w:ind w:left="2160" w:hanging="720"/>
      </w:pPr>
      <w:rPr>
        <w:rFonts w:cs="Times New Roman" w:hint="default"/>
        <w:sz w:val="20"/>
      </w:rPr>
    </w:lvl>
  </w:abstractNum>
  <w:abstractNum w:abstractNumId="4">
    <w:nsid w:val="FFFFFF80"/>
    <w:multiLevelType w:val="singleLevel"/>
    <w:tmpl w:val="7EB455B6"/>
    <w:lvl w:ilvl="0">
      <w:start w:val="1"/>
      <w:numFmt w:val="bullet"/>
      <w:pStyle w:val="Listaconvietas5"/>
      <w:lvlText w:val=""/>
      <w:lvlJc w:val="left"/>
      <w:pPr>
        <w:tabs>
          <w:tab w:val="num" w:pos="1800"/>
        </w:tabs>
        <w:ind w:left="1800" w:hanging="360"/>
      </w:pPr>
      <w:rPr>
        <w:rFonts w:ascii="Symbol" w:hAnsi="Symbol" w:hint="default"/>
      </w:rPr>
    </w:lvl>
  </w:abstractNum>
  <w:abstractNum w:abstractNumId="5">
    <w:nsid w:val="FFFFFF81"/>
    <w:multiLevelType w:val="singleLevel"/>
    <w:tmpl w:val="FEDAB858"/>
    <w:lvl w:ilvl="0">
      <w:start w:val="1"/>
      <w:numFmt w:val="bullet"/>
      <w:pStyle w:val="Listaconvietas4"/>
      <w:lvlText w:val=""/>
      <w:lvlJc w:val="left"/>
      <w:pPr>
        <w:tabs>
          <w:tab w:val="num" w:pos="1440"/>
        </w:tabs>
        <w:ind w:left="1440" w:hanging="360"/>
      </w:pPr>
      <w:rPr>
        <w:rFonts w:ascii="Symbol" w:hAnsi="Symbol" w:hint="default"/>
      </w:rPr>
    </w:lvl>
  </w:abstractNum>
  <w:abstractNum w:abstractNumId="6">
    <w:nsid w:val="FFFFFF82"/>
    <w:multiLevelType w:val="singleLevel"/>
    <w:tmpl w:val="AE28C7AA"/>
    <w:lvl w:ilvl="0">
      <w:start w:val="1"/>
      <w:numFmt w:val="bullet"/>
      <w:pStyle w:val="Listaconvietas3"/>
      <w:lvlText w:val=""/>
      <w:lvlJc w:val="left"/>
      <w:pPr>
        <w:tabs>
          <w:tab w:val="num" w:pos="1080"/>
        </w:tabs>
        <w:ind w:left="1080" w:hanging="360"/>
      </w:pPr>
      <w:rPr>
        <w:rFonts w:ascii="Symbol" w:hAnsi="Symbol" w:hint="default"/>
      </w:rPr>
    </w:lvl>
  </w:abstractNum>
  <w:abstractNum w:abstractNumId="7">
    <w:nsid w:val="FFFFFF88"/>
    <w:multiLevelType w:val="singleLevel"/>
    <w:tmpl w:val="E4E6FDB0"/>
    <w:lvl w:ilvl="0">
      <w:start w:val="1"/>
      <w:numFmt w:val="decimal"/>
      <w:pStyle w:val="Listaconnmeros"/>
      <w:lvlText w:val="%1."/>
      <w:lvlJc w:val="left"/>
      <w:pPr>
        <w:tabs>
          <w:tab w:val="num" w:pos="360"/>
        </w:tabs>
        <w:ind w:left="360" w:hanging="360"/>
      </w:pPr>
      <w:rPr>
        <w:rFonts w:cs="Times New Roman"/>
      </w:rPr>
    </w:lvl>
  </w:abstractNum>
  <w:abstractNum w:abstractNumId="8">
    <w:nsid w:val="FFFFFF89"/>
    <w:multiLevelType w:val="singleLevel"/>
    <w:tmpl w:val="881AEC70"/>
    <w:lvl w:ilvl="0">
      <w:start w:val="1"/>
      <w:numFmt w:val="bullet"/>
      <w:pStyle w:val="Listaconvietas"/>
      <w:lvlText w:val=""/>
      <w:lvlJc w:val="left"/>
      <w:pPr>
        <w:tabs>
          <w:tab w:val="num" w:pos="360"/>
        </w:tabs>
        <w:ind w:left="360" w:hanging="360"/>
      </w:pPr>
      <w:rPr>
        <w:rFonts w:ascii="Symbol" w:hAnsi="Symbol" w:hint="default"/>
      </w:rPr>
    </w:lvl>
  </w:abstractNum>
  <w:abstractNum w:abstractNumId="9">
    <w:nsid w:val="FFFFFFFE"/>
    <w:multiLevelType w:val="singleLevel"/>
    <w:tmpl w:val="23C45D36"/>
    <w:lvl w:ilvl="0">
      <w:numFmt w:val="decimal"/>
      <w:pStyle w:val="a"/>
      <w:lvlText w:val="*"/>
      <w:lvlJc w:val="left"/>
      <w:rPr>
        <w:rFonts w:cs="Times New Roman"/>
      </w:rPr>
    </w:lvl>
  </w:abstractNum>
  <w:abstractNum w:abstractNumId="10">
    <w:nsid w:val="00474AB4"/>
    <w:multiLevelType w:val="hybridMultilevel"/>
    <w:tmpl w:val="5EEAA0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010D6FB2"/>
    <w:multiLevelType w:val="hybridMultilevel"/>
    <w:tmpl w:val="AD4CF23A"/>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12">
    <w:nsid w:val="013324D6"/>
    <w:multiLevelType w:val="hybridMultilevel"/>
    <w:tmpl w:val="2FBA819A"/>
    <w:lvl w:ilvl="0" w:tplc="56BE35F6">
      <w:start w:val="1"/>
      <w:numFmt w:val="lowerRoman"/>
      <w:lvlText w:val="(%1)"/>
      <w:lvlJc w:val="left"/>
      <w:pPr>
        <w:ind w:left="1780" w:hanging="360"/>
      </w:pPr>
      <w:rPr>
        <w:rFonts w:cs="Times New Roman" w:hint="default"/>
      </w:rPr>
    </w:lvl>
    <w:lvl w:ilvl="1" w:tplc="2C0A0019" w:tentative="1">
      <w:start w:val="1"/>
      <w:numFmt w:val="lowerLetter"/>
      <w:lvlText w:val="%2."/>
      <w:lvlJc w:val="left"/>
      <w:pPr>
        <w:ind w:left="2500" w:hanging="360"/>
      </w:pPr>
    </w:lvl>
    <w:lvl w:ilvl="2" w:tplc="2C0A001B" w:tentative="1">
      <w:start w:val="1"/>
      <w:numFmt w:val="lowerRoman"/>
      <w:lvlText w:val="%3."/>
      <w:lvlJc w:val="right"/>
      <w:pPr>
        <w:ind w:left="3220" w:hanging="180"/>
      </w:pPr>
    </w:lvl>
    <w:lvl w:ilvl="3" w:tplc="2C0A000F" w:tentative="1">
      <w:start w:val="1"/>
      <w:numFmt w:val="decimal"/>
      <w:lvlText w:val="%4."/>
      <w:lvlJc w:val="left"/>
      <w:pPr>
        <w:ind w:left="3940" w:hanging="360"/>
      </w:pPr>
    </w:lvl>
    <w:lvl w:ilvl="4" w:tplc="2C0A0019" w:tentative="1">
      <w:start w:val="1"/>
      <w:numFmt w:val="lowerLetter"/>
      <w:lvlText w:val="%5."/>
      <w:lvlJc w:val="left"/>
      <w:pPr>
        <w:ind w:left="4660" w:hanging="360"/>
      </w:pPr>
    </w:lvl>
    <w:lvl w:ilvl="5" w:tplc="2C0A001B" w:tentative="1">
      <w:start w:val="1"/>
      <w:numFmt w:val="lowerRoman"/>
      <w:lvlText w:val="%6."/>
      <w:lvlJc w:val="right"/>
      <w:pPr>
        <w:ind w:left="5380" w:hanging="180"/>
      </w:pPr>
    </w:lvl>
    <w:lvl w:ilvl="6" w:tplc="2C0A000F" w:tentative="1">
      <w:start w:val="1"/>
      <w:numFmt w:val="decimal"/>
      <w:lvlText w:val="%7."/>
      <w:lvlJc w:val="left"/>
      <w:pPr>
        <w:ind w:left="6100" w:hanging="360"/>
      </w:pPr>
    </w:lvl>
    <w:lvl w:ilvl="7" w:tplc="2C0A0019" w:tentative="1">
      <w:start w:val="1"/>
      <w:numFmt w:val="lowerLetter"/>
      <w:lvlText w:val="%8."/>
      <w:lvlJc w:val="left"/>
      <w:pPr>
        <w:ind w:left="6820" w:hanging="360"/>
      </w:pPr>
    </w:lvl>
    <w:lvl w:ilvl="8" w:tplc="2C0A001B" w:tentative="1">
      <w:start w:val="1"/>
      <w:numFmt w:val="lowerRoman"/>
      <w:lvlText w:val="%9."/>
      <w:lvlJc w:val="right"/>
      <w:pPr>
        <w:ind w:left="7540" w:hanging="180"/>
      </w:pPr>
    </w:lvl>
  </w:abstractNum>
  <w:abstractNum w:abstractNumId="13">
    <w:nsid w:val="03AA3F6F"/>
    <w:multiLevelType w:val="hybridMultilevel"/>
    <w:tmpl w:val="93B04794"/>
    <w:lvl w:ilvl="0" w:tplc="F43A1ACA">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
    <w:nsid w:val="051116BC"/>
    <w:multiLevelType w:val="hybridMultilevel"/>
    <w:tmpl w:val="7F5EBEB6"/>
    <w:lvl w:ilvl="0" w:tplc="A7E0CFDE">
      <w:numFmt w:val="bullet"/>
      <w:lvlText w:val="-"/>
      <w:lvlJc w:val="left"/>
      <w:pPr>
        <w:tabs>
          <w:tab w:val="num" w:pos="720"/>
        </w:tabs>
        <w:ind w:left="720" w:hanging="360"/>
      </w:pPr>
      <w:rPr>
        <w:rFonts w:ascii="Times New Roman" w:eastAsia="Times New Roman" w:hAnsi="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nsid w:val="05C57B23"/>
    <w:multiLevelType w:val="hybridMultilevel"/>
    <w:tmpl w:val="668C9F20"/>
    <w:lvl w:ilvl="0" w:tplc="56BE35F6">
      <w:start w:val="1"/>
      <w:numFmt w:val="lowerRoman"/>
      <w:lvlText w:val="(%1)"/>
      <w:lvlJc w:val="left"/>
      <w:pPr>
        <w:ind w:left="360" w:hanging="360"/>
      </w:pPr>
      <w:rPr>
        <w:rFonts w:cs="Times New Roman" w:hint="default"/>
      </w:rPr>
    </w:lvl>
    <w:lvl w:ilvl="1" w:tplc="FFFFFFFF" w:tentative="1">
      <w:start w:val="1"/>
      <w:numFmt w:val="lowerLetter"/>
      <w:lvlText w:val="%2."/>
      <w:lvlJc w:val="left"/>
      <w:pPr>
        <w:ind w:left="1080" w:hanging="360"/>
      </w:pPr>
      <w:rPr>
        <w:rFonts w:cs="Times New Roman"/>
      </w:rPr>
    </w:lvl>
    <w:lvl w:ilvl="2" w:tplc="FFFFFFFF" w:tentative="1">
      <w:start w:val="1"/>
      <w:numFmt w:val="lowerRoman"/>
      <w:lvlText w:val="%3."/>
      <w:lvlJc w:val="right"/>
      <w:pPr>
        <w:ind w:left="1800" w:hanging="180"/>
      </w:pPr>
      <w:rPr>
        <w:rFonts w:cs="Times New Roman"/>
      </w:rPr>
    </w:lvl>
    <w:lvl w:ilvl="3" w:tplc="FFFFFFFF" w:tentative="1">
      <w:start w:val="1"/>
      <w:numFmt w:val="decimal"/>
      <w:lvlText w:val="%4."/>
      <w:lvlJc w:val="left"/>
      <w:pPr>
        <w:ind w:left="2520" w:hanging="360"/>
      </w:pPr>
      <w:rPr>
        <w:rFonts w:cs="Times New Roman"/>
      </w:rPr>
    </w:lvl>
    <w:lvl w:ilvl="4" w:tplc="FFFFFFFF" w:tentative="1">
      <w:start w:val="1"/>
      <w:numFmt w:val="lowerLetter"/>
      <w:lvlText w:val="%5."/>
      <w:lvlJc w:val="left"/>
      <w:pPr>
        <w:ind w:left="3240" w:hanging="360"/>
      </w:pPr>
      <w:rPr>
        <w:rFonts w:cs="Times New Roman"/>
      </w:rPr>
    </w:lvl>
    <w:lvl w:ilvl="5" w:tplc="FFFFFFFF" w:tentative="1">
      <w:start w:val="1"/>
      <w:numFmt w:val="lowerRoman"/>
      <w:lvlText w:val="%6."/>
      <w:lvlJc w:val="right"/>
      <w:pPr>
        <w:ind w:left="3960" w:hanging="180"/>
      </w:pPr>
      <w:rPr>
        <w:rFonts w:cs="Times New Roman"/>
      </w:rPr>
    </w:lvl>
    <w:lvl w:ilvl="6" w:tplc="FFFFFFFF" w:tentative="1">
      <w:start w:val="1"/>
      <w:numFmt w:val="decimal"/>
      <w:lvlText w:val="%7."/>
      <w:lvlJc w:val="left"/>
      <w:pPr>
        <w:ind w:left="4680" w:hanging="360"/>
      </w:pPr>
      <w:rPr>
        <w:rFonts w:cs="Times New Roman"/>
      </w:rPr>
    </w:lvl>
    <w:lvl w:ilvl="7" w:tplc="FFFFFFFF" w:tentative="1">
      <w:start w:val="1"/>
      <w:numFmt w:val="lowerLetter"/>
      <w:lvlText w:val="%8."/>
      <w:lvlJc w:val="left"/>
      <w:pPr>
        <w:ind w:left="5400" w:hanging="360"/>
      </w:pPr>
      <w:rPr>
        <w:rFonts w:cs="Times New Roman"/>
      </w:rPr>
    </w:lvl>
    <w:lvl w:ilvl="8" w:tplc="FFFFFFFF" w:tentative="1">
      <w:start w:val="1"/>
      <w:numFmt w:val="lowerRoman"/>
      <w:lvlText w:val="%9."/>
      <w:lvlJc w:val="right"/>
      <w:pPr>
        <w:ind w:left="6120" w:hanging="180"/>
      </w:pPr>
      <w:rPr>
        <w:rFonts w:cs="Times New Roman"/>
      </w:rPr>
    </w:lvl>
  </w:abstractNum>
  <w:abstractNum w:abstractNumId="16">
    <w:nsid w:val="05D32A5D"/>
    <w:multiLevelType w:val="hybridMultilevel"/>
    <w:tmpl w:val="B5924E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063259F4"/>
    <w:multiLevelType w:val="hybridMultilevel"/>
    <w:tmpl w:val="67D83C5C"/>
    <w:lvl w:ilvl="0" w:tplc="4F8C0D9E">
      <w:start w:val="1"/>
      <w:numFmt w:val="decimal"/>
      <w:lvlText w:val="(%1)"/>
      <w:lvlJc w:val="left"/>
      <w:pPr>
        <w:tabs>
          <w:tab w:val="num" w:pos="2204"/>
        </w:tabs>
        <w:ind w:left="2204" w:hanging="360"/>
      </w:pPr>
      <w:rPr>
        <w:rFonts w:hint="default"/>
        <w:b w:val="0"/>
        <w:i w:val="0"/>
        <w:sz w:val="16"/>
      </w:rPr>
    </w:lvl>
    <w:lvl w:ilvl="1" w:tplc="0C0A0019" w:tentative="1">
      <w:start w:val="1"/>
      <w:numFmt w:val="lowerLetter"/>
      <w:lvlText w:val="%2."/>
      <w:lvlJc w:val="left"/>
      <w:pPr>
        <w:tabs>
          <w:tab w:val="num" w:pos="2564"/>
        </w:tabs>
        <w:ind w:left="2564" w:hanging="360"/>
      </w:pPr>
    </w:lvl>
    <w:lvl w:ilvl="2" w:tplc="0C0A001B" w:tentative="1">
      <w:start w:val="1"/>
      <w:numFmt w:val="lowerRoman"/>
      <w:lvlText w:val="%3."/>
      <w:lvlJc w:val="right"/>
      <w:pPr>
        <w:tabs>
          <w:tab w:val="num" w:pos="3284"/>
        </w:tabs>
        <w:ind w:left="3284" w:hanging="180"/>
      </w:pPr>
    </w:lvl>
    <w:lvl w:ilvl="3" w:tplc="0C0A000F" w:tentative="1">
      <w:start w:val="1"/>
      <w:numFmt w:val="decimal"/>
      <w:lvlText w:val="%4."/>
      <w:lvlJc w:val="left"/>
      <w:pPr>
        <w:tabs>
          <w:tab w:val="num" w:pos="4004"/>
        </w:tabs>
        <w:ind w:left="4004" w:hanging="360"/>
      </w:pPr>
    </w:lvl>
    <w:lvl w:ilvl="4" w:tplc="0C0A0019" w:tentative="1">
      <w:start w:val="1"/>
      <w:numFmt w:val="lowerLetter"/>
      <w:lvlText w:val="%5."/>
      <w:lvlJc w:val="left"/>
      <w:pPr>
        <w:tabs>
          <w:tab w:val="num" w:pos="4724"/>
        </w:tabs>
        <w:ind w:left="4724" w:hanging="360"/>
      </w:pPr>
    </w:lvl>
    <w:lvl w:ilvl="5" w:tplc="0C0A001B" w:tentative="1">
      <w:start w:val="1"/>
      <w:numFmt w:val="lowerRoman"/>
      <w:lvlText w:val="%6."/>
      <w:lvlJc w:val="right"/>
      <w:pPr>
        <w:tabs>
          <w:tab w:val="num" w:pos="5444"/>
        </w:tabs>
        <w:ind w:left="5444" w:hanging="180"/>
      </w:pPr>
    </w:lvl>
    <w:lvl w:ilvl="6" w:tplc="0C0A000F" w:tentative="1">
      <w:start w:val="1"/>
      <w:numFmt w:val="decimal"/>
      <w:lvlText w:val="%7."/>
      <w:lvlJc w:val="left"/>
      <w:pPr>
        <w:tabs>
          <w:tab w:val="num" w:pos="6164"/>
        </w:tabs>
        <w:ind w:left="6164" w:hanging="360"/>
      </w:pPr>
    </w:lvl>
    <w:lvl w:ilvl="7" w:tplc="0C0A0019" w:tentative="1">
      <w:start w:val="1"/>
      <w:numFmt w:val="lowerLetter"/>
      <w:lvlText w:val="%8."/>
      <w:lvlJc w:val="left"/>
      <w:pPr>
        <w:tabs>
          <w:tab w:val="num" w:pos="6884"/>
        </w:tabs>
        <w:ind w:left="6884" w:hanging="360"/>
      </w:pPr>
    </w:lvl>
    <w:lvl w:ilvl="8" w:tplc="0C0A001B" w:tentative="1">
      <w:start w:val="1"/>
      <w:numFmt w:val="lowerRoman"/>
      <w:lvlText w:val="%9."/>
      <w:lvlJc w:val="right"/>
      <w:pPr>
        <w:tabs>
          <w:tab w:val="num" w:pos="7604"/>
        </w:tabs>
        <w:ind w:left="7604" w:hanging="180"/>
      </w:pPr>
    </w:lvl>
  </w:abstractNum>
  <w:abstractNum w:abstractNumId="18">
    <w:nsid w:val="065C3A7A"/>
    <w:multiLevelType w:val="hybridMultilevel"/>
    <w:tmpl w:val="49DC148C"/>
    <w:lvl w:ilvl="0" w:tplc="C2B41C3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7422321"/>
    <w:multiLevelType w:val="hybridMultilevel"/>
    <w:tmpl w:val="CCAC6A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07922E6A"/>
    <w:multiLevelType w:val="hybridMultilevel"/>
    <w:tmpl w:val="A698A5D4"/>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21">
    <w:nsid w:val="07A15077"/>
    <w:multiLevelType w:val="hybridMultilevel"/>
    <w:tmpl w:val="30CC7D26"/>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22">
    <w:nsid w:val="08560A90"/>
    <w:multiLevelType w:val="hybridMultilevel"/>
    <w:tmpl w:val="B9AEC9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0984408E"/>
    <w:multiLevelType w:val="multilevel"/>
    <w:tmpl w:val="CF020DFA"/>
    <w:styleLink w:val="PwCListNumbers1"/>
    <w:lvl w:ilvl="0">
      <w:start w:val="1"/>
      <w:numFmt w:val="decimal"/>
      <w:lvlText w:val="%1."/>
      <w:lvlJc w:val="left"/>
      <w:pPr>
        <w:tabs>
          <w:tab w:val="num" w:pos="397"/>
        </w:tabs>
        <w:ind w:left="397" w:hanging="397"/>
      </w:pPr>
      <w:rPr>
        <w:rFonts w:hint="default"/>
      </w:rPr>
    </w:lvl>
    <w:lvl w:ilvl="1">
      <w:start w:val="1"/>
      <w:numFmt w:val="lowerLetter"/>
      <w:lvlText w:val="%2."/>
      <w:lvlJc w:val="left"/>
      <w:pPr>
        <w:tabs>
          <w:tab w:val="num" w:pos="794"/>
        </w:tabs>
        <w:ind w:left="794" w:hanging="397"/>
      </w:pPr>
      <w:rPr>
        <w:rFonts w:hint="default"/>
      </w:rPr>
    </w:lvl>
    <w:lvl w:ilvl="2">
      <w:start w:val="1"/>
      <w:numFmt w:val="lowerRoman"/>
      <w:lvlText w:val="%3."/>
      <w:lvlJc w:val="lef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lowerLetter"/>
      <w:lvlText w:val="%5."/>
      <w:lvlJc w:val="left"/>
      <w:pPr>
        <w:tabs>
          <w:tab w:val="num" w:pos="1985"/>
        </w:tabs>
        <w:ind w:left="1985" w:hanging="397"/>
      </w:pPr>
      <w:rPr>
        <w:rFonts w:hint="default"/>
      </w:rPr>
    </w:lvl>
    <w:lvl w:ilvl="5">
      <w:start w:val="1"/>
      <w:numFmt w:val="lowerRoman"/>
      <w:lvlText w:val="%6."/>
      <w:lvlJc w:val="left"/>
      <w:pPr>
        <w:tabs>
          <w:tab w:val="num" w:pos="2381"/>
        </w:tabs>
        <w:ind w:left="2382" w:hanging="397"/>
      </w:pPr>
      <w:rPr>
        <w:rFonts w:hint="default"/>
      </w:rPr>
    </w:lvl>
    <w:lvl w:ilvl="6">
      <w:start w:val="1"/>
      <w:numFmt w:val="decimal"/>
      <w:lvlText w:val="%7."/>
      <w:lvlJc w:val="left"/>
      <w:pPr>
        <w:tabs>
          <w:tab w:val="num" w:pos="2778"/>
        </w:tabs>
        <w:ind w:left="2779" w:hanging="397"/>
      </w:pPr>
      <w:rPr>
        <w:rFonts w:hint="default"/>
      </w:rPr>
    </w:lvl>
    <w:lvl w:ilvl="7">
      <w:start w:val="1"/>
      <w:numFmt w:val="lowerLetter"/>
      <w:lvlText w:val="%8."/>
      <w:lvlJc w:val="left"/>
      <w:pPr>
        <w:tabs>
          <w:tab w:val="num" w:pos="3175"/>
        </w:tabs>
        <w:ind w:left="3176" w:hanging="397"/>
      </w:pPr>
      <w:rPr>
        <w:rFonts w:hint="default"/>
      </w:rPr>
    </w:lvl>
    <w:lvl w:ilvl="8">
      <w:start w:val="1"/>
      <w:numFmt w:val="lowerRoman"/>
      <w:lvlText w:val="%9."/>
      <w:lvlJc w:val="left"/>
      <w:pPr>
        <w:tabs>
          <w:tab w:val="num" w:pos="3572"/>
        </w:tabs>
        <w:ind w:left="3573" w:hanging="397"/>
      </w:pPr>
      <w:rPr>
        <w:rFonts w:hint="default"/>
      </w:rPr>
    </w:lvl>
  </w:abstractNum>
  <w:abstractNum w:abstractNumId="24">
    <w:nsid w:val="0B0C6D9B"/>
    <w:multiLevelType w:val="multilevel"/>
    <w:tmpl w:val="5D7CF7FC"/>
    <w:lvl w:ilvl="0">
      <w:start w:val="1"/>
      <w:numFmt w:val="lowerLetter"/>
      <w:pStyle w:val="parai"/>
      <w:lvlText w:val="%1)"/>
      <w:lvlJc w:val="left"/>
      <w:pPr>
        <w:tabs>
          <w:tab w:val="num" w:pos="2880"/>
        </w:tabs>
        <w:ind w:left="2880" w:hanging="720"/>
      </w:pPr>
      <w:rPr>
        <w:rFonts w:ascii="Book Antiqua" w:hAnsi="Book Antiqua" w:cs="Book Antiqua" w:hint="default"/>
        <w:b w:val="0"/>
        <w:bCs w:val="0"/>
        <w:i w:val="0"/>
        <w:iCs w:val="0"/>
        <w:caps w:val="0"/>
        <w:strike w:val="0"/>
        <w:dstrike w:val="0"/>
        <w:vanish w:val="0"/>
        <w:color w:val="auto"/>
        <w:sz w:val="24"/>
        <w:szCs w:val="24"/>
        <w:vertAlign w:val="baseline"/>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5">
    <w:nsid w:val="0BD23233"/>
    <w:multiLevelType w:val="hybridMultilevel"/>
    <w:tmpl w:val="1BC25B9C"/>
    <w:lvl w:ilvl="0" w:tplc="56BE35F6">
      <w:start w:val="1"/>
      <w:numFmt w:val="lowerRoman"/>
      <w:lvlText w:val="(%1)"/>
      <w:lvlJc w:val="left"/>
      <w:pPr>
        <w:ind w:left="1780" w:hanging="360"/>
      </w:pPr>
      <w:rPr>
        <w:rFonts w:cs="Times New Roman" w:hint="default"/>
      </w:rPr>
    </w:lvl>
    <w:lvl w:ilvl="1" w:tplc="2C0A0019" w:tentative="1">
      <w:start w:val="1"/>
      <w:numFmt w:val="lowerLetter"/>
      <w:lvlText w:val="%2."/>
      <w:lvlJc w:val="left"/>
      <w:pPr>
        <w:ind w:left="2500" w:hanging="360"/>
      </w:pPr>
      <w:rPr>
        <w:rFonts w:cs="Times New Roman"/>
      </w:rPr>
    </w:lvl>
    <w:lvl w:ilvl="2" w:tplc="2C0A001B" w:tentative="1">
      <w:start w:val="1"/>
      <w:numFmt w:val="lowerRoman"/>
      <w:lvlText w:val="%3."/>
      <w:lvlJc w:val="right"/>
      <w:pPr>
        <w:ind w:left="3220" w:hanging="180"/>
      </w:pPr>
      <w:rPr>
        <w:rFonts w:cs="Times New Roman"/>
      </w:rPr>
    </w:lvl>
    <w:lvl w:ilvl="3" w:tplc="2C0A000F" w:tentative="1">
      <w:start w:val="1"/>
      <w:numFmt w:val="decimal"/>
      <w:lvlText w:val="%4."/>
      <w:lvlJc w:val="left"/>
      <w:pPr>
        <w:ind w:left="3940" w:hanging="360"/>
      </w:pPr>
      <w:rPr>
        <w:rFonts w:cs="Times New Roman"/>
      </w:rPr>
    </w:lvl>
    <w:lvl w:ilvl="4" w:tplc="2C0A0019" w:tentative="1">
      <w:start w:val="1"/>
      <w:numFmt w:val="lowerLetter"/>
      <w:lvlText w:val="%5."/>
      <w:lvlJc w:val="left"/>
      <w:pPr>
        <w:ind w:left="4660" w:hanging="360"/>
      </w:pPr>
      <w:rPr>
        <w:rFonts w:cs="Times New Roman"/>
      </w:rPr>
    </w:lvl>
    <w:lvl w:ilvl="5" w:tplc="2C0A001B" w:tentative="1">
      <w:start w:val="1"/>
      <w:numFmt w:val="lowerRoman"/>
      <w:lvlText w:val="%6."/>
      <w:lvlJc w:val="right"/>
      <w:pPr>
        <w:ind w:left="5380" w:hanging="180"/>
      </w:pPr>
      <w:rPr>
        <w:rFonts w:cs="Times New Roman"/>
      </w:rPr>
    </w:lvl>
    <w:lvl w:ilvl="6" w:tplc="2C0A000F" w:tentative="1">
      <w:start w:val="1"/>
      <w:numFmt w:val="decimal"/>
      <w:lvlText w:val="%7."/>
      <w:lvlJc w:val="left"/>
      <w:pPr>
        <w:ind w:left="6100" w:hanging="360"/>
      </w:pPr>
      <w:rPr>
        <w:rFonts w:cs="Times New Roman"/>
      </w:rPr>
    </w:lvl>
    <w:lvl w:ilvl="7" w:tplc="2C0A0019" w:tentative="1">
      <w:start w:val="1"/>
      <w:numFmt w:val="lowerLetter"/>
      <w:lvlText w:val="%8."/>
      <w:lvlJc w:val="left"/>
      <w:pPr>
        <w:ind w:left="6820" w:hanging="360"/>
      </w:pPr>
      <w:rPr>
        <w:rFonts w:cs="Times New Roman"/>
      </w:rPr>
    </w:lvl>
    <w:lvl w:ilvl="8" w:tplc="2C0A001B" w:tentative="1">
      <w:start w:val="1"/>
      <w:numFmt w:val="lowerRoman"/>
      <w:lvlText w:val="%9."/>
      <w:lvlJc w:val="right"/>
      <w:pPr>
        <w:ind w:left="7540" w:hanging="180"/>
      </w:pPr>
      <w:rPr>
        <w:rFonts w:cs="Times New Roman"/>
      </w:rPr>
    </w:lvl>
  </w:abstractNum>
  <w:abstractNum w:abstractNumId="26">
    <w:nsid w:val="0C0F3B2D"/>
    <w:multiLevelType w:val="hybridMultilevel"/>
    <w:tmpl w:val="F1D8A1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0CF54B3D"/>
    <w:multiLevelType w:val="hybridMultilevel"/>
    <w:tmpl w:val="318AD81E"/>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28">
    <w:nsid w:val="0D470618"/>
    <w:multiLevelType w:val="hybridMultilevel"/>
    <w:tmpl w:val="FE78DFB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0EFF1147"/>
    <w:multiLevelType w:val="hybridMultilevel"/>
    <w:tmpl w:val="B9D6C8C8"/>
    <w:lvl w:ilvl="0" w:tplc="04090011">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1038552C"/>
    <w:multiLevelType w:val="hybridMultilevel"/>
    <w:tmpl w:val="7E7E37C2"/>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31">
    <w:nsid w:val="10F249A3"/>
    <w:multiLevelType w:val="hybridMultilevel"/>
    <w:tmpl w:val="933E251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11E64D34"/>
    <w:multiLevelType w:val="multilevel"/>
    <w:tmpl w:val="2ABE4574"/>
    <w:styleLink w:val="Lista41"/>
    <w:lvl w:ilvl="0">
      <w:numFmt w:val="bullet"/>
      <w:lvlText w:val="•"/>
      <w:lvlJc w:val="left"/>
      <w:pPr>
        <w:tabs>
          <w:tab w:val="num" w:pos="1080"/>
        </w:tabs>
        <w:ind w:left="1080" w:hanging="360"/>
      </w:pPr>
      <w:rPr>
        <w:i w:val="0"/>
        <w:iCs w:val="0"/>
        <w:position w:val="0"/>
        <w:sz w:val="20"/>
        <w:szCs w:val="20"/>
        <w:rtl w:val="0"/>
        <w:lang w:val="en-US"/>
      </w:rPr>
    </w:lvl>
    <w:lvl w:ilvl="1">
      <w:start w:val="1"/>
      <w:numFmt w:val="bullet"/>
      <w:lvlText w:val="o"/>
      <w:lvlJc w:val="left"/>
      <w:pPr>
        <w:tabs>
          <w:tab w:val="num" w:pos="97"/>
        </w:tabs>
      </w:pPr>
      <w:rPr>
        <w:i w:val="0"/>
        <w:iCs w:val="0"/>
        <w:position w:val="0"/>
        <w:sz w:val="20"/>
        <w:szCs w:val="20"/>
        <w:rtl w:val="0"/>
        <w:lang w:val="en-US"/>
      </w:rPr>
    </w:lvl>
    <w:lvl w:ilvl="2">
      <w:start w:val="1"/>
      <w:numFmt w:val="bullet"/>
      <w:lvlText w:val="▪"/>
      <w:lvlJc w:val="left"/>
      <w:pPr>
        <w:tabs>
          <w:tab w:val="num" w:pos="97"/>
        </w:tabs>
      </w:pPr>
      <w:rPr>
        <w:i w:val="0"/>
        <w:iCs w:val="0"/>
        <w:position w:val="0"/>
        <w:sz w:val="20"/>
        <w:szCs w:val="20"/>
        <w:rtl w:val="0"/>
        <w:lang w:val="en-US"/>
      </w:rPr>
    </w:lvl>
    <w:lvl w:ilvl="3">
      <w:start w:val="1"/>
      <w:numFmt w:val="bullet"/>
      <w:lvlText w:val="•"/>
      <w:lvlJc w:val="left"/>
      <w:pPr>
        <w:tabs>
          <w:tab w:val="num" w:pos="97"/>
        </w:tabs>
      </w:pPr>
      <w:rPr>
        <w:i w:val="0"/>
        <w:iCs w:val="0"/>
        <w:position w:val="0"/>
        <w:sz w:val="20"/>
        <w:szCs w:val="20"/>
        <w:rtl w:val="0"/>
        <w:lang w:val="en-US"/>
      </w:rPr>
    </w:lvl>
    <w:lvl w:ilvl="4">
      <w:start w:val="1"/>
      <w:numFmt w:val="bullet"/>
      <w:lvlText w:val="o"/>
      <w:lvlJc w:val="left"/>
      <w:pPr>
        <w:tabs>
          <w:tab w:val="num" w:pos="97"/>
        </w:tabs>
      </w:pPr>
      <w:rPr>
        <w:i w:val="0"/>
        <w:iCs w:val="0"/>
        <w:position w:val="0"/>
        <w:sz w:val="20"/>
        <w:szCs w:val="20"/>
        <w:rtl w:val="0"/>
        <w:lang w:val="en-US"/>
      </w:rPr>
    </w:lvl>
    <w:lvl w:ilvl="5">
      <w:start w:val="1"/>
      <w:numFmt w:val="bullet"/>
      <w:lvlText w:val="▪"/>
      <w:lvlJc w:val="left"/>
      <w:pPr>
        <w:tabs>
          <w:tab w:val="num" w:pos="97"/>
        </w:tabs>
      </w:pPr>
      <w:rPr>
        <w:i w:val="0"/>
        <w:iCs w:val="0"/>
        <w:position w:val="0"/>
        <w:sz w:val="20"/>
        <w:szCs w:val="20"/>
        <w:rtl w:val="0"/>
        <w:lang w:val="en-US"/>
      </w:rPr>
    </w:lvl>
    <w:lvl w:ilvl="6">
      <w:start w:val="1"/>
      <w:numFmt w:val="bullet"/>
      <w:lvlText w:val="•"/>
      <w:lvlJc w:val="left"/>
      <w:pPr>
        <w:tabs>
          <w:tab w:val="num" w:pos="97"/>
        </w:tabs>
      </w:pPr>
      <w:rPr>
        <w:i w:val="0"/>
        <w:iCs w:val="0"/>
        <w:position w:val="0"/>
        <w:sz w:val="20"/>
        <w:szCs w:val="20"/>
        <w:rtl w:val="0"/>
        <w:lang w:val="en-US"/>
      </w:rPr>
    </w:lvl>
    <w:lvl w:ilvl="7">
      <w:start w:val="1"/>
      <w:numFmt w:val="bullet"/>
      <w:lvlText w:val="o"/>
      <w:lvlJc w:val="left"/>
      <w:pPr>
        <w:tabs>
          <w:tab w:val="num" w:pos="97"/>
        </w:tabs>
      </w:pPr>
      <w:rPr>
        <w:i w:val="0"/>
        <w:iCs w:val="0"/>
        <w:position w:val="0"/>
        <w:sz w:val="20"/>
        <w:szCs w:val="20"/>
        <w:rtl w:val="0"/>
        <w:lang w:val="en-US"/>
      </w:rPr>
    </w:lvl>
    <w:lvl w:ilvl="8">
      <w:start w:val="1"/>
      <w:numFmt w:val="bullet"/>
      <w:lvlText w:val="▪"/>
      <w:lvlJc w:val="left"/>
      <w:pPr>
        <w:tabs>
          <w:tab w:val="num" w:pos="97"/>
        </w:tabs>
      </w:pPr>
      <w:rPr>
        <w:i w:val="0"/>
        <w:iCs w:val="0"/>
        <w:position w:val="0"/>
        <w:sz w:val="20"/>
        <w:szCs w:val="20"/>
        <w:rtl w:val="0"/>
        <w:lang w:val="en-US"/>
      </w:rPr>
    </w:lvl>
  </w:abstractNum>
  <w:abstractNum w:abstractNumId="33">
    <w:nsid w:val="120211E1"/>
    <w:multiLevelType w:val="hybridMultilevel"/>
    <w:tmpl w:val="2FE60756"/>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34">
    <w:nsid w:val="12255385"/>
    <w:multiLevelType w:val="hybridMultilevel"/>
    <w:tmpl w:val="938E2F12"/>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35">
    <w:nsid w:val="124B7EAA"/>
    <w:multiLevelType w:val="hybridMultilevel"/>
    <w:tmpl w:val="30CA0B40"/>
    <w:lvl w:ilvl="0" w:tplc="A7E0CFDE">
      <w:numFmt w:val="bullet"/>
      <w:lvlText w:val="-"/>
      <w:lvlJc w:val="left"/>
      <w:pPr>
        <w:ind w:left="2773" w:hanging="360"/>
      </w:pPr>
      <w:rPr>
        <w:rFonts w:ascii="Times New Roman" w:eastAsia="Times New Roman" w:hAnsi="Times New Roman"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36">
    <w:nsid w:val="12783C8C"/>
    <w:multiLevelType w:val="hybridMultilevel"/>
    <w:tmpl w:val="10CE25E0"/>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37">
    <w:nsid w:val="12D517C0"/>
    <w:multiLevelType w:val="hybridMultilevel"/>
    <w:tmpl w:val="DEDE95EE"/>
    <w:lvl w:ilvl="0" w:tplc="2C0A000F">
      <w:start w:val="1"/>
      <w:numFmt w:val="decimal"/>
      <w:pStyle w:val="STBListNumber1DBL"/>
      <w:lvlText w:val="%1."/>
      <w:lvlJc w:val="left"/>
      <w:pPr>
        <w:tabs>
          <w:tab w:val="num" w:pos="1080"/>
        </w:tabs>
        <w:ind w:firstLine="720"/>
      </w:pPr>
      <w:rPr>
        <w:rFonts w:cs="Times New Roman" w:hint="default"/>
      </w:rPr>
    </w:lvl>
    <w:lvl w:ilvl="1" w:tplc="2C0A0019" w:tentative="1">
      <w:start w:val="1"/>
      <w:numFmt w:val="lowerLetter"/>
      <w:lvlText w:val="%2."/>
      <w:lvlJc w:val="left"/>
      <w:pPr>
        <w:tabs>
          <w:tab w:val="num" w:pos="1440"/>
        </w:tabs>
        <w:ind w:left="1440" w:hanging="360"/>
      </w:pPr>
      <w:rPr>
        <w:rFonts w:cs="Times New Roman"/>
      </w:rPr>
    </w:lvl>
    <w:lvl w:ilvl="2" w:tplc="2C0A001B" w:tentative="1">
      <w:start w:val="1"/>
      <w:numFmt w:val="lowerRoman"/>
      <w:lvlText w:val="%3."/>
      <w:lvlJc w:val="right"/>
      <w:pPr>
        <w:tabs>
          <w:tab w:val="num" w:pos="2160"/>
        </w:tabs>
        <w:ind w:left="2160" w:hanging="180"/>
      </w:pPr>
      <w:rPr>
        <w:rFonts w:cs="Times New Roman"/>
      </w:rPr>
    </w:lvl>
    <w:lvl w:ilvl="3" w:tplc="2C0A000F" w:tentative="1">
      <w:start w:val="1"/>
      <w:numFmt w:val="decimal"/>
      <w:lvlText w:val="%4."/>
      <w:lvlJc w:val="left"/>
      <w:pPr>
        <w:tabs>
          <w:tab w:val="num" w:pos="2880"/>
        </w:tabs>
        <w:ind w:left="2880" w:hanging="360"/>
      </w:pPr>
      <w:rPr>
        <w:rFonts w:cs="Times New Roman"/>
      </w:rPr>
    </w:lvl>
    <w:lvl w:ilvl="4" w:tplc="2C0A0019" w:tentative="1">
      <w:start w:val="1"/>
      <w:numFmt w:val="lowerLetter"/>
      <w:lvlText w:val="%5."/>
      <w:lvlJc w:val="left"/>
      <w:pPr>
        <w:tabs>
          <w:tab w:val="num" w:pos="3600"/>
        </w:tabs>
        <w:ind w:left="3600" w:hanging="360"/>
      </w:pPr>
      <w:rPr>
        <w:rFonts w:cs="Times New Roman"/>
      </w:rPr>
    </w:lvl>
    <w:lvl w:ilvl="5" w:tplc="2C0A001B" w:tentative="1">
      <w:start w:val="1"/>
      <w:numFmt w:val="lowerRoman"/>
      <w:lvlText w:val="%6."/>
      <w:lvlJc w:val="right"/>
      <w:pPr>
        <w:tabs>
          <w:tab w:val="num" w:pos="4320"/>
        </w:tabs>
        <w:ind w:left="4320" w:hanging="180"/>
      </w:pPr>
      <w:rPr>
        <w:rFonts w:cs="Times New Roman"/>
      </w:rPr>
    </w:lvl>
    <w:lvl w:ilvl="6" w:tplc="2C0A000F" w:tentative="1">
      <w:start w:val="1"/>
      <w:numFmt w:val="decimal"/>
      <w:lvlText w:val="%7."/>
      <w:lvlJc w:val="left"/>
      <w:pPr>
        <w:tabs>
          <w:tab w:val="num" w:pos="5040"/>
        </w:tabs>
        <w:ind w:left="5040" w:hanging="360"/>
      </w:pPr>
      <w:rPr>
        <w:rFonts w:cs="Times New Roman"/>
      </w:rPr>
    </w:lvl>
    <w:lvl w:ilvl="7" w:tplc="2C0A0019" w:tentative="1">
      <w:start w:val="1"/>
      <w:numFmt w:val="lowerLetter"/>
      <w:lvlText w:val="%8."/>
      <w:lvlJc w:val="left"/>
      <w:pPr>
        <w:tabs>
          <w:tab w:val="num" w:pos="5760"/>
        </w:tabs>
        <w:ind w:left="5760" w:hanging="360"/>
      </w:pPr>
      <w:rPr>
        <w:rFonts w:cs="Times New Roman"/>
      </w:rPr>
    </w:lvl>
    <w:lvl w:ilvl="8" w:tplc="2C0A001B" w:tentative="1">
      <w:start w:val="1"/>
      <w:numFmt w:val="lowerRoman"/>
      <w:lvlText w:val="%9."/>
      <w:lvlJc w:val="right"/>
      <w:pPr>
        <w:tabs>
          <w:tab w:val="num" w:pos="6480"/>
        </w:tabs>
        <w:ind w:left="6480" w:hanging="180"/>
      </w:pPr>
      <w:rPr>
        <w:rFonts w:cs="Times New Roman"/>
      </w:rPr>
    </w:lvl>
  </w:abstractNum>
  <w:abstractNum w:abstractNumId="38">
    <w:nsid w:val="13184252"/>
    <w:multiLevelType w:val="hybridMultilevel"/>
    <w:tmpl w:val="15B061A6"/>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39">
    <w:nsid w:val="134C7FDA"/>
    <w:multiLevelType w:val="hybridMultilevel"/>
    <w:tmpl w:val="4F08469E"/>
    <w:lvl w:ilvl="0" w:tplc="0446677A">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0">
    <w:nsid w:val="13B24696"/>
    <w:multiLevelType w:val="hybridMultilevel"/>
    <w:tmpl w:val="64B02314"/>
    <w:lvl w:ilvl="0" w:tplc="5A12FFF8">
      <w:start w:val="1"/>
      <w:numFmt w:val="bullet"/>
      <w:pStyle w:val="Arrowbullet"/>
      <w:lvlText w:val=""/>
      <w:lvlJc w:val="left"/>
      <w:pPr>
        <w:tabs>
          <w:tab w:val="num" w:pos="864"/>
        </w:tabs>
        <w:ind w:left="864" w:hanging="360"/>
      </w:pPr>
      <w:rPr>
        <w:rFonts w:ascii="Wingdings 3" w:hAnsi="Wingdings 3"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1">
    <w:nsid w:val="140006C3"/>
    <w:multiLevelType w:val="hybridMultilevel"/>
    <w:tmpl w:val="137CEED6"/>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42">
    <w:nsid w:val="14D6787D"/>
    <w:multiLevelType w:val="hybridMultilevel"/>
    <w:tmpl w:val="2AFA207E"/>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43">
    <w:nsid w:val="17235E99"/>
    <w:multiLevelType w:val="hybridMultilevel"/>
    <w:tmpl w:val="AECE9A7C"/>
    <w:lvl w:ilvl="0" w:tplc="B36A7096">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nsid w:val="17EB36B5"/>
    <w:multiLevelType w:val="hybridMultilevel"/>
    <w:tmpl w:val="F59C1F58"/>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45">
    <w:nsid w:val="17EB45BD"/>
    <w:multiLevelType w:val="hybridMultilevel"/>
    <w:tmpl w:val="5502AC72"/>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46">
    <w:nsid w:val="181C14F6"/>
    <w:multiLevelType w:val="multilevel"/>
    <w:tmpl w:val="DA2EA1D0"/>
    <w:lvl w:ilvl="0">
      <w:start w:val="1"/>
      <w:numFmt w:val="bullet"/>
      <w:pStyle w:val="Bullet2L1"/>
      <w:lvlText w:val=""/>
      <w:lvlJc w:val="left"/>
      <w:pPr>
        <w:ind w:left="1080" w:hanging="360"/>
      </w:pPr>
      <w:rPr>
        <w:rFonts w:ascii="Symbol" w:hAnsi="Symbol" w:hint="default"/>
        <w:b w:val="0"/>
        <w:i w:val="0"/>
        <w:caps w:val="0"/>
        <w:sz w:val="20"/>
        <w:u w:val="none"/>
      </w:rPr>
    </w:lvl>
    <w:lvl w:ilvl="1">
      <w:start w:val="1"/>
      <w:numFmt w:val="bullet"/>
      <w:pStyle w:val="Bullet2L2"/>
      <w:lvlText w:val="–"/>
      <w:lvlJc w:val="left"/>
      <w:pPr>
        <w:tabs>
          <w:tab w:val="num" w:pos="1080"/>
        </w:tabs>
        <w:ind w:left="1440" w:hanging="360"/>
      </w:pPr>
      <w:rPr>
        <w:rFonts w:ascii="Times New Roman" w:hAnsi="Times New Roman" w:cs="Times New Roman"/>
        <w:b w:val="0"/>
        <w:i w:val="0"/>
        <w:caps w:val="0"/>
        <w:u w:val="none"/>
      </w:rPr>
    </w:lvl>
    <w:lvl w:ilvl="2">
      <w:start w:val="1"/>
      <w:numFmt w:val="bullet"/>
      <w:pStyle w:val="Bullet2L3"/>
      <w:lvlText w:val=""/>
      <w:lvlJc w:val="left"/>
      <w:pPr>
        <w:tabs>
          <w:tab w:val="num" w:pos="1800"/>
        </w:tabs>
        <w:ind w:left="1440" w:hanging="360"/>
      </w:pPr>
      <w:rPr>
        <w:rFonts w:ascii="Symbol" w:hAnsi="Symbol" w:hint="default"/>
        <w:b w:val="0"/>
        <w:i w:val="0"/>
        <w:caps w:val="0"/>
        <w:u w:val="none"/>
      </w:rPr>
    </w:lvl>
    <w:lvl w:ilvl="3">
      <w:start w:val="1"/>
      <w:numFmt w:val="bullet"/>
      <w:pStyle w:val="Bullet2L4"/>
      <w:lvlText w:val=""/>
      <w:lvlJc w:val="left"/>
      <w:pPr>
        <w:tabs>
          <w:tab w:val="num" w:pos="2880"/>
        </w:tabs>
        <w:ind w:left="2880" w:hanging="720"/>
      </w:pPr>
      <w:rPr>
        <w:rFonts w:ascii="Symbol" w:hAnsi="Symbol" w:hint="default"/>
        <w:b w:val="0"/>
        <w:i w:val="0"/>
        <w:caps w:val="0"/>
        <w:u w:val="none"/>
      </w:rPr>
    </w:lvl>
    <w:lvl w:ilvl="4">
      <w:start w:val="1"/>
      <w:numFmt w:val="bullet"/>
      <w:pStyle w:val="Bullet2L5"/>
      <w:lvlText w:val=""/>
      <w:lvlJc w:val="left"/>
      <w:pPr>
        <w:tabs>
          <w:tab w:val="num" w:pos="720"/>
        </w:tabs>
        <w:ind w:left="720" w:hanging="720"/>
      </w:pPr>
      <w:rPr>
        <w:rFonts w:ascii="Symbol" w:hAnsi="Symbol" w:hint="default"/>
        <w:u w:val="none"/>
      </w:rPr>
    </w:lvl>
    <w:lvl w:ilvl="5">
      <w:start w:val="1"/>
      <w:numFmt w:val="bullet"/>
      <w:pStyle w:val="Bullet2L6"/>
      <w:lvlText w:val=""/>
      <w:lvlJc w:val="left"/>
      <w:pPr>
        <w:tabs>
          <w:tab w:val="num" w:pos="1440"/>
        </w:tabs>
        <w:ind w:left="1440" w:hanging="720"/>
      </w:pPr>
      <w:rPr>
        <w:rFonts w:ascii="Symbol" w:hAnsi="Symbol" w:hint="default"/>
        <w:u w:val="none"/>
      </w:rPr>
    </w:lvl>
    <w:lvl w:ilvl="6">
      <w:start w:val="1"/>
      <w:numFmt w:val="bullet"/>
      <w:pStyle w:val="Bullet2L7"/>
      <w:lvlText w:val=""/>
      <w:lvlJc w:val="left"/>
      <w:pPr>
        <w:tabs>
          <w:tab w:val="num" w:pos="2160"/>
        </w:tabs>
        <w:ind w:left="2160" w:hanging="720"/>
      </w:pPr>
      <w:rPr>
        <w:rFonts w:ascii="Symbol" w:hAnsi="Symbol" w:hint="default"/>
        <w:u w:val="none"/>
      </w:rPr>
    </w:lvl>
    <w:lvl w:ilvl="7">
      <w:start w:val="1"/>
      <w:numFmt w:val="bullet"/>
      <w:lvlRestart w:val="0"/>
      <w:pStyle w:val="Bullet2L8"/>
      <w:lvlText w:val=""/>
      <w:lvlJc w:val="left"/>
      <w:pPr>
        <w:tabs>
          <w:tab w:val="num" w:pos="2880"/>
        </w:tabs>
        <w:ind w:left="2880" w:hanging="720"/>
      </w:pPr>
      <w:rPr>
        <w:rFonts w:ascii="Symbol" w:hAnsi="Symbol" w:hint="default"/>
        <w:b w:val="0"/>
        <w:i w:val="0"/>
        <w:caps w:val="0"/>
        <w:color w:val="auto"/>
        <w:u w:val="none"/>
      </w:rPr>
    </w:lvl>
    <w:lvl w:ilvl="8">
      <w:start w:val="1"/>
      <w:numFmt w:val="bullet"/>
      <w:lvlRestart w:val="0"/>
      <w:pStyle w:val="Bullet2L9"/>
      <w:lvlText w:val=""/>
      <w:lvlJc w:val="left"/>
      <w:pPr>
        <w:tabs>
          <w:tab w:val="num" w:pos="3600"/>
        </w:tabs>
        <w:ind w:left="3600" w:hanging="720"/>
      </w:pPr>
      <w:rPr>
        <w:rFonts w:ascii="Symbol" w:hAnsi="Symbol" w:hint="default"/>
        <w:b w:val="0"/>
        <w:i w:val="0"/>
        <w:caps w:val="0"/>
        <w:color w:val="auto"/>
        <w:u w:val="none"/>
      </w:rPr>
    </w:lvl>
  </w:abstractNum>
  <w:abstractNum w:abstractNumId="47">
    <w:nsid w:val="1B7D3F49"/>
    <w:multiLevelType w:val="hybridMultilevel"/>
    <w:tmpl w:val="114047E0"/>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48">
    <w:nsid w:val="1BA77F63"/>
    <w:multiLevelType w:val="multilevel"/>
    <w:tmpl w:val="7F36AD44"/>
    <w:styleLink w:val="ImportedStyle2"/>
    <w:lvl w:ilvl="0">
      <w:numFmt w:val="bullet"/>
      <w:lvlText w:val="•"/>
      <w:lvlJc w:val="left"/>
      <w:rPr>
        <w:position w:val="0"/>
        <w:rtl w:val="0"/>
      </w:rPr>
    </w:lvl>
    <w:lvl w:ilvl="1">
      <w:start w:val="1"/>
      <w:numFmt w:val="bullet"/>
      <w:lvlText w:val="•"/>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
      <w:lvlJc w:val="left"/>
      <w:rPr>
        <w:position w:val="0"/>
        <w:rtl w:val="0"/>
      </w:rPr>
    </w:lvl>
    <w:lvl w:ilvl="8">
      <w:start w:val="1"/>
      <w:numFmt w:val="bullet"/>
      <w:lvlText w:val="•"/>
      <w:lvlJc w:val="left"/>
      <w:rPr>
        <w:position w:val="0"/>
        <w:rtl w:val="0"/>
      </w:rPr>
    </w:lvl>
  </w:abstractNum>
  <w:abstractNum w:abstractNumId="49">
    <w:nsid w:val="1C094694"/>
    <w:multiLevelType w:val="hybridMultilevel"/>
    <w:tmpl w:val="B862F9C6"/>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50">
    <w:nsid w:val="1C117F1E"/>
    <w:multiLevelType w:val="hybridMultilevel"/>
    <w:tmpl w:val="F7D432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nsid w:val="1DAA484B"/>
    <w:multiLevelType w:val="hybridMultilevel"/>
    <w:tmpl w:val="BA3E66FA"/>
    <w:lvl w:ilvl="0" w:tplc="050AC9C8">
      <w:start w:val="1"/>
      <w:numFmt w:val="lowerRoman"/>
      <w:pStyle w:val="BULLETS5"/>
      <w:lvlText w:val="(%1)"/>
      <w:lvlJc w:val="left"/>
      <w:pPr>
        <w:ind w:left="720" w:hanging="360"/>
      </w:pPr>
      <w:rPr>
        <w:rFonts w:ascii="Times New Roman" w:eastAsia="Times New Roman" w:hAnsi="Times New Roman" w:cs="Times New Roman"/>
      </w:rPr>
    </w:lvl>
    <w:lvl w:ilvl="1" w:tplc="04090001"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nsid w:val="1DAA489C"/>
    <w:multiLevelType w:val="hybridMultilevel"/>
    <w:tmpl w:val="86BC6D1A"/>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53">
    <w:nsid w:val="1DD66399"/>
    <w:multiLevelType w:val="hybridMultilevel"/>
    <w:tmpl w:val="4678EBA2"/>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54">
    <w:nsid w:val="1DF040DD"/>
    <w:multiLevelType w:val="hybridMultilevel"/>
    <w:tmpl w:val="67D83C5C"/>
    <w:lvl w:ilvl="0" w:tplc="4F8C0D9E">
      <w:start w:val="1"/>
      <w:numFmt w:val="decimal"/>
      <w:lvlText w:val="(%1)"/>
      <w:lvlJc w:val="left"/>
      <w:pPr>
        <w:tabs>
          <w:tab w:val="num" w:pos="1080"/>
        </w:tabs>
        <w:ind w:left="1080" w:hanging="360"/>
      </w:pPr>
      <w:rPr>
        <w:rFonts w:hint="default"/>
        <w:b w:val="0"/>
        <w:i w:val="0"/>
        <w:sz w:val="16"/>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5">
    <w:nsid w:val="1E600E34"/>
    <w:multiLevelType w:val="hybridMultilevel"/>
    <w:tmpl w:val="2FBA819A"/>
    <w:lvl w:ilvl="0" w:tplc="56BE35F6">
      <w:start w:val="1"/>
      <w:numFmt w:val="lowerRoman"/>
      <w:lvlText w:val="(%1)"/>
      <w:lvlJc w:val="left"/>
      <w:pPr>
        <w:ind w:left="1780" w:hanging="360"/>
      </w:pPr>
      <w:rPr>
        <w:rFonts w:cs="Times New Roman" w:hint="default"/>
      </w:rPr>
    </w:lvl>
    <w:lvl w:ilvl="1" w:tplc="2C0A0019" w:tentative="1">
      <w:start w:val="1"/>
      <w:numFmt w:val="lowerLetter"/>
      <w:lvlText w:val="%2."/>
      <w:lvlJc w:val="left"/>
      <w:pPr>
        <w:ind w:left="2500" w:hanging="360"/>
      </w:pPr>
    </w:lvl>
    <w:lvl w:ilvl="2" w:tplc="2C0A001B" w:tentative="1">
      <w:start w:val="1"/>
      <w:numFmt w:val="lowerRoman"/>
      <w:lvlText w:val="%3."/>
      <w:lvlJc w:val="right"/>
      <w:pPr>
        <w:ind w:left="3220" w:hanging="180"/>
      </w:pPr>
    </w:lvl>
    <w:lvl w:ilvl="3" w:tplc="2C0A000F" w:tentative="1">
      <w:start w:val="1"/>
      <w:numFmt w:val="decimal"/>
      <w:lvlText w:val="%4."/>
      <w:lvlJc w:val="left"/>
      <w:pPr>
        <w:ind w:left="3940" w:hanging="360"/>
      </w:pPr>
    </w:lvl>
    <w:lvl w:ilvl="4" w:tplc="2C0A0019" w:tentative="1">
      <w:start w:val="1"/>
      <w:numFmt w:val="lowerLetter"/>
      <w:lvlText w:val="%5."/>
      <w:lvlJc w:val="left"/>
      <w:pPr>
        <w:ind w:left="4660" w:hanging="360"/>
      </w:pPr>
    </w:lvl>
    <w:lvl w:ilvl="5" w:tplc="2C0A001B" w:tentative="1">
      <w:start w:val="1"/>
      <w:numFmt w:val="lowerRoman"/>
      <w:lvlText w:val="%6."/>
      <w:lvlJc w:val="right"/>
      <w:pPr>
        <w:ind w:left="5380" w:hanging="180"/>
      </w:pPr>
    </w:lvl>
    <w:lvl w:ilvl="6" w:tplc="2C0A000F" w:tentative="1">
      <w:start w:val="1"/>
      <w:numFmt w:val="decimal"/>
      <w:lvlText w:val="%7."/>
      <w:lvlJc w:val="left"/>
      <w:pPr>
        <w:ind w:left="6100" w:hanging="360"/>
      </w:pPr>
    </w:lvl>
    <w:lvl w:ilvl="7" w:tplc="2C0A0019" w:tentative="1">
      <w:start w:val="1"/>
      <w:numFmt w:val="lowerLetter"/>
      <w:lvlText w:val="%8."/>
      <w:lvlJc w:val="left"/>
      <w:pPr>
        <w:ind w:left="6820" w:hanging="360"/>
      </w:pPr>
    </w:lvl>
    <w:lvl w:ilvl="8" w:tplc="2C0A001B" w:tentative="1">
      <w:start w:val="1"/>
      <w:numFmt w:val="lowerRoman"/>
      <w:lvlText w:val="%9."/>
      <w:lvlJc w:val="right"/>
      <w:pPr>
        <w:ind w:left="7540" w:hanging="180"/>
      </w:pPr>
    </w:lvl>
  </w:abstractNum>
  <w:abstractNum w:abstractNumId="56">
    <w:nsid w:val="1EE435CF"/>
    <w:multiLevelType w:val="hybridMultilevel"/>
    <w:tmpl w:val="D5BA0022"/>
    <w:lvl w:ilvl="0" w:tplc="2C0A0001">
      <w:start w:val="1"/>
      <w:numFmt w:val="decimal"/>
      <w:pStyle w:val="STBListNumber4"/>
      <w:lvlText w:val="%1."/>
      <w:lvlJc w:val="left"/>
      <w:pPr>
        <w:tabs>
          <w:tab w:val="num" w:pos="3240"/>
        </w:tabs>
        <w:ind w:firstLine="2880"/>
      </w:pPr>
      <w:rPr>
        <w:rFonts w:cs="Times New Roman" w:hint="default"/>
      </w:rPr>
    </w:lvl>
    <w:lvl w:ilvl="1" w:tplc="2C0A0003" w:tentative="1">
      <w:start w:val="1"/>
      <w:numFmt w:val="lowerLetter"/>
      <w:lvlText w:val="%2."/>
      <w:lvlJc w:val="left"/>
      <w:pPr>
        <w:tabs>
          <w:tab w:val="num" w:pos="1440"/>
        </w:tabs>
        <w:ind w:left="1440" w:hanging="360"/>
      </w:pPr>
      <w:rPr>
        <w:rFonts w:cs="Times New Roman"/>
      </w:rPr>
    </w:lvl>
    <w:lvl w:ilvl="2" w:tplc="2C0A0005" w:tentative="1">
      <w:start w:val="1"/>
      <w:numFmt w:val="lowerRoman"/>
      <w:lvlText w:val="%3."/>
      <w:lvlJc w:val="right"/>
      <w:pPr>
        <w:tabs>
          <w:tab w:val="num" w:pos="2160"/>
        </w:tabs>
        <w:ind w:left="2160" w:hanging="180"/>
      </w:pPr>
      <w:rPr>
        <w:rFonts w:cs="Times New Roman"/>
      </w:rPr>
    </w:lvl>
    <w:lvl w:ilvl="3" w:tplc="2C0A0001" w:tentative="1">
      <w:start w:val="1"/>
      <w:numFmt w:val="decimal"/>
      <w:lvlText w:val="%4."/>
      <w:lvlJc w:val="left"/>
      <w:pPr>
        <w:tabs>
          <w:tab w:val="num" w:pos="2880"/>
        </w:tabs>
        <w:ind w:left="2880" w:hanging="360"/>
      </w:pPr>
      <w:rPr>
        <w:rFonts w:cs="Times New Roman"/>
      </w:rPr>
    </w:lvl>
    <w:lvl w:ilvl="4" w:tplc="2C0A0003" w:tentative="1">
      <w:start w:val="1"/>
      <w:numFmt w:val="lowerLetter"/>
      <w:lvlText w:val="%5."/>
      <w:lvlJc w:val="left"/>
      <w:pPr>
        <w:tabs>
          <w:tab w:val="num" w:pos="3600"/>
        </w:tabs>
        <w:ind w:left="3600" w:hanging="360"/>
      </w:pPr>
      <w:rPr>
        <w:rFonts w:cs="Times New Roman"/>
      </w:rPr>
    </w:lvl>
    <w:lvl w:ilvl="5" w:tplc="2C0A0005" w:tentative="1">
      <w:start w:val="1"/>
      <w:numFmt w:val="lowerRoman"/>
      <w:lvlText w:val="%6."/>
      <w:lvlJc w:val="right"/>
      <w:pPr>
        <w:tabs>
          <w:tab w:val="num" w:pos="4320"/>
        </w:tabs>
        <w:ind w:left="4320" w:hanging="180"/>
      </w:pPr>
      <w:rPr>
        <w:rFonts w:cs="Times New Roman"/>
      </w:rPr>
    </w:lvl>
    <w:lvl w:ilvl="6" w:tplc="2C0A0001" w:tentative="1">
      <w:start w:val="1"/>
      <w:numFmt w:val="decimal"/>
      <w:lvlText w:val="%7."/>
      <w:lvlJc w:val="left"/>
      <w:pPr>
        <w:tabs>
          <w:tab w:val="num" w:pos="5040"/>
        </w:tabs>
        <w:ind w:left="5040" w:hanging="360"/>
      </w:pPr>
      <w:rPr>
        <w:rFonts w:cs="Times New Roman"/>
      </w:rPr>
    </w:lvl>
    <w:lvl w:ilvl="7" w:tplc="2C0A0003" w:tentative="1">
      <w:start w:val="1"/>
      <w:numFmt w:val="lowerLetter"/>
      <w:lvlText w:val="%8."/>
      <w:lvlJc w:val="left"/>
      <w:pPr>
        <w:tabs>
          <w:tab w:val="num" w:pos="5760"/>
        </w:tabs>
        <w:ind w:left="5760" w:hanging="360"/>
      </w:pPr>
      <w:rPr>
        <w:rFonts w:cs="Times New Roman"/>
      </w:rPr>
    </w:lvl>
    <w:lvl w:ilvl="8" w:tplc="2C0A0005" w:tentative="1">
      <w:start w:val="1"/>
      <w:numFmt w:val="lowerRoman"/>
      <w:lvlText w:val="%9."/>
      <w:lvlJc w:val="right"/>
      <w:pPr>
        <w:tabs>
          <w:tab w:val="num" w:pos="6480"/>
        </w:tabs>
        <w:ind w:left="6480" w:hanging="180"/>
      </w:pPr>
      <w:rPr>
        <w:rFonts w:cs="Times New Roman"/>
      </w:rPr>
    </w:lvl>
  </w:abstractNum>
  <w:abstractNum w:abstractNumId="57">
    <w:nsid w:val="1F2809F3"/>
    <w:multiLevelType w:val="hybridMultilevel"/>
    <w:tmpl w:val="C94AC2B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nsid w:val="209E091A"/>
    <w:multiLevelType w:val="hybridMultilevel"/>
    <w:tmpl w:val="9A88E322"/>
    <w:lvl w:ilvl="0" w:tplc="56BE35F6">
      <w:start w:val="1"/>
      <w:numFmt w:val="lowerRoman"/>
      <w:lvlText w:val="(%1)"/>
      <w:lvlJc w:val="left"/>
      <w:pPr>
        <w:ind w:left="1778" w:hanging="360"/>
      </w:pPr>
      <w:rPr>
        <w:rFonts w:cs="Times New Roman" w:hint="default"/>
      </w:rPr>
    </w:lvl>
    <w:lvl w:ilvl="1" w:tplc="2C0A0019" w:tentative="1">
      <w:start w:val="1"/>
      <w:numFmt w:val="lowerLetter"/>
      <w:lvlText w:val="%2."/>
      <w:lvlJc w:val="left"/>
      <w:pPr>
        <w:ind w:left="2498" w:hanging="360"/>
      </w:pPr>
    </w:lvl>
    <w:lvl w:ilvl="2" w:tplc="2C0A001B" w:tentative="1">
      <w:start w:val="1"/>
      <w:numFmt w:val="lowerRoman"/>
      <w:lvlText w:val="%3."/>
      <w:lvlJc w:val="right"/>
      <w:pPr>
        <w:ind w:left="3218" w:hanging="180"/>
      </w:pPr>
    </w:lvl>
    <w:lvl w:ilvl="3" w:tplc="2C0A000F" w:tentative="1">
      <w:start w:val="1"/>
      <w:numFmt w:val="decimal"/>
      <w:lvlText w:val="%4."/>
      <w:lvlJc w:val="left"/>
      <w:pPr>
        <w:ind w:left="3938" w:hanging="360"/>
      </w:pPr>
    </w:lvl>
    <w:lvl w:ilvl="4" w:tplc="2C0A0019" w:tentative="1">
      <w:start w:val="1"/>
      <w:numFmt w:val="lowerLetter"/>
      <w:lvlText w:val="%5."/>
      <w:lvlJc w:val="left"/>
      <w:pPr>
        <w:ind w:left="4658" w:hanging="360"/>
      </w:pPr>
    </w:lvl>
    <w:lvl w:ilvl="5" w:tplc="2C0A001B" w:tentative="1">
      <w:start w:val="1"/>
      <w:numFmt w:val="lowerRoman"/>
      <w:lvlText w:val="%6."/>
      <w:lvlJc w:val="right"/>
      <w:pPr>
        <w:ind w:left="5378" w:hanging="180"/>
      </w:pPr>
    </w:lvl>
    <w:lvl w:ilvl="6" w:tplc="2C0A000F" w:tentative="1">
      <w:start w:val="1"/>
      <w:numFmt w:val="decimal"/>
      <w:lvlText w:val="%7."/>
      <w:lvlJc w:val="left"/>
      <w:pPr>
        <w:ind w:left="6098" w:hanging="360"/>
      </w:pPr>
    </w:lvl>
    <w:lvl w:ilvl="7" w:tplc="2C0A0019" w:tentative="1">
      <w:start w:val="1"/>
      <w:numFmt w:val="lowerLetter"/>
      <w:lvlText w:val="%8."/>
      <w:lvlJc w:val="left"/>
      <w:pPr>
        <w:ind w:left="6818" w:hanging="360"/>
      </w:pPr>
    </w:lvl>
    <w:lvl w:ilvl="8" w:tplc="2C0A001B" w:tentative="1">
      <w:start w:val="1"/>
      <w:numFmt w:val="lowerRoman"/>
      <w:lvlText w:val="%9."/>
      <w:lvlJc w:val="right"/>
      <w:pPr>
        <w:ind w:left="7538" w:hanging="180"/>
      </w:pPr>
    </w:lvl>
  </w:abstractNum>
  <w:abstractNum w:abstractNumId="59">
    <w:nsid w:val="20B16138"/>
    <w:multiLevelType w:val="hybridMultilevel"/>
    <w:tmpl w:val="CC58D3A6"/>
    <w:lvl w:ilvl="0" w:tplc="56BE35F6">
      <w:start w:val="1"/>
      <w:numFmt w:val="lowerRoman"/>
      <w:lvlText w:val="(%1)"/>
      <w:lvlJc w:val="left"/>
      <w:pPr>
        <w:ind w:left="1778" w:hanging="360"/>
      </w:pPr>
      <w:rPr>
        <w:rFonts w:cs="Times New Roman" w:hint="default"/>
      </w:rPr>
    </w:lvl>
    <w:lvl w:ilvl="1" w:tplc="2C0A0019" w:tentative="1">
      <w:start w:val="1"/>
      <w:numFmt w:val="lowerLetter"/>
      <w:lvlText w:val="%2."/>
      <w:lvlJc w:val="left"/>
      <w:pPr>
        <w:ind w:left="2498" w:hanging="360"/>
      </w:pPr>
    </w:lvl>
    <w:lvl w:ilvl="2" w:tplc="2C0A001B" w:tentative="1">
      <w:start w:val="1"/>
      <w:numFmt w:val="lowerRoman"/>
      <w:lvlText w:val="%3."/>
      <w:lvlJc w:val="right"/>
      <w:pPr>
        <w:ind w:left="3218" w:hanging="180"/>
      </w:pPr>
    </w:lvl>
    <w:lvl w:ilvl="3" w:tplc="2C0A000F" w:tentative="1">
      <w:start w:val="1"/>
      <w:numFmt w:val="decimal"/>
      <w:lvlText w:val="%4."/>
      <w:lvlJc w:val="left"/>
      <w:pPr>
        <w:ind w:left="3938" w:hanging="360"/>
      </w:pPr>
    </w:lvl>
    <w:lvl w:ilvl="4" w:tplc="2C0A0019" w:tentative="1">
      <w:start w:val="1"/>
      <w:numFmt w:val="lowerLetter"/>
      <w:lvlText w:val="%5."/>
      <w:lvlJc w:val="left"/>
      <w:pPr>
        <w:ind w:left="4658" w:hanging="360"/>
      </w:pPr>
    </w:lvl>
    <w:lvl w:ilvl="5" w:tplc="2C0A001B" w:tentative="1">
      <w:start w:val="1"/>
      <w:numFmt w:val="lowerRoman"/>
      <w:lvlText w:val="%6."/>
      <w:lvlJc w:val="right"/>
      <w:pPr>
        <w:ind w:left="5378" w:hanging="180"/>
      </w:pPr>
    </w:lvl>
    <w:lvl w:ilvl="6" w:tplc="2C0A000F" w:tentative="1">
      <w:start w:val="1"/>
      <w:numFmt w:val="decimal"/>
      <w:lvlText w:val="%7."/>
      <w:lvlJc w:val="left"/>
      <w:pPr>
        <w:ind w:left="6098" w:hanging="360"/>
      </w:pPr>
    </w:lvl>
    <w:lvl w:ilvl="7" w:tplc="2C0A0019" w:tentative="1">
      <w:start w:val="1"/>
      <w:numFmt w:val="lowerLetter"/>
      <w:lvlText w:val="%8."/>
      <w:lvlJc w:val="left"/>
      <w:pPr>
        <w:ind w:left="6818" w:hanging="360"/>
      </w:pPr>
    </w:lvl>
    <w:lvl w:ilvl="8" w:tplc="2C0A001B" w:tentative="1">
      <w:start w:val="1"/>
      <w:numFmt w:val="lowerRoman"/>
      <w:lvlText w:val="%9."/>
      <w:lvlJc w:val="right"/>
      <w:pPr>
        <w:ind w:left="7538" w:hanging="180"/>
      </w:pPr>
    </w:lvl>
  </w:abstractNum>
  <w:abstractNum w:abstractNumId="60">
    <w:nsid w:val="20C61266"/>
    <w:multiLevelType w:val="hybridMultilevel"/>
    <w:tmpl w:val="FBC45B0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1">
    <w:nsid w:val="22A07C3E"/>
    <w:multiLevelType w:val="hybridMultilevel"/>
    <w:tmpl w:val="4F08469E"/>
    <w:lvl w:ilvl="0" w:tplc="0446677A">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2">
    <w:nsid w:val="241E3FC9"/>
    <w:multiLevelType w:val="hybridMultilevel"/>
    <w:tmpl w:val="42029DA2"/>
    <w:lvl w:ilvl="0" w:tplc="DBBECC52">
      <w:start w:val="1"/>
      <w:numFmt w:val="lowerLetter"/>
      <w:pStyle w:val="ZBVBullet2"/>
      <w:lvlText w:val="%1."/>
      <w:lvlJc w:val="left"/>
      <w:pPr>
        <w:tabs>
          <w:tab w:val="num" w:pos="3141"/>
        </w:tabs>
        <w:ind w:left="3141" w:hanging="360"/>
      </w:pPr>
      <w:rPr>
        <w:rFonts w:cs="Times New Roman" w:hint="default"/>
      </w:rPr>
    </w:lvl>
    <w:lvl w:ilvl="1" w:tplc="0C0A0003">
      <w:start w:val="1"/>
      <w:numFmt w:val="bullet"/>
      <w:lvlText w:val="o"/>
      <w:lvlJc w:val="left"/>
      <w:pPr>
        <w:tabs>
          <w:tab w:val="num" w:pos="3861"/>
        </w:tabs>
        <w:ind w:left="3861" w:hanging="360"/>
      </w:pPr>
      <w:rPr>
        <w:rFonts w:ascii="Courier New" w:hAnsi="Courier New" w:hint="default"/>
      </w:rPr>
    </w:lvl>
    <w:lvl w:ilvl="2" w:tplc="0C0A0005">
      <w:start w:val="1"/>
      <w:numFmt w:val="bullet"/>
      <w:lvlText w:val=""/>
      <w:lvlJc w:val="left"/>
      <w:pPr>
        <w:tabs>
          <w:tab w:val="num" w:pos="4581"/>
        </w:tabs>
        <w:ind w:left="4581" w:hanging="360"/>
      </w:pPr>
      <w:rPr>
        <w:rFonts w:ascii="Wingdings" w:hAnsi="Wingdings" w:hint="default"/>
      </w:rPr>
    </w:lvl>
    <w:lvl w:ilvl="3" w:tplc="0C0A0001">
      <w:start w:val="1"/>
      <w:numFmt w:val="bullet"/>
      <w:lvlText w:val=""/>
      <w:lvlJc w:val="left"/>
      <w:pPr>
        <w:tabs>
          <w:tab w:val="num" w:pos="5301"/>
        </w:tabs>
        <w:ind w:left="5301" w:hanging="360"/>
      </w:pPr>
      <w:rPr>
        <w:rFonts w:ascii="Symbol" w:hAnsi="Symbol" w:hint="default"/>
      </w:rPr>
    </w:lvl>
    <w:lvl w:ilvl="4" w:tplc="0C0A0003">
      <w:start w:val="1"/>
      <w:numFmt w:val="bullet"/>
      <w:lvlText w:val="o"/>
      <w:lvlJc w:val="left"/>
      <w:pPr>
        <w:tabs>
          <w:tab w:val="num" w:pos="6021"/>
        </w:tabs>
        <w:ind w:left="6021" w:hanging="360"/>
      </w:pPr>
      <w:rPr>
        <w:rFonts w:ascii="Courier New" w:hAnsi="Courier New" w:hint="default"/>
      </w:rPr>
    </w:lvl>
    <w:lvl w:ilvl="5" w:tplc="0C0A0005">
      <w:start w:val="1"/>
      <w:numFmt w:val="bullet"/>
      <w:lvlText w:val=""/>
      <w:lvlJc w:val="left"/>
      <w:pPr>
        <w:tabs>
          <w:tab w:val="num" w:pos="6741"/>
        </w:tabs>
        <w:ind w:left="6741" w:hanging="360"/>
      </w:pPr>
      <w:rPr>
        <w:rFonts w:ascii="Wingdings" w:hAnsi="Wingdings" w:hint="default"/>
      </w:rPr>
    </w:lvl>
    <w:lvl w:ilvl="6" w:tplc="0C0A0001">
      <w:start w:val="1"/>
      <w:numFmt w:val="bullet"/>
      <w:lvlText w:val=""/>
      <w:lvlJc w:val="left"/>
      <w:pPr>
        <w:tabs>
          <w:tab w:val="num" w:pos="7461"/>
        </w:tabs>
        <w:ind w:left="7461" w:hanging="360"/>
      </w:pPr>
      <w:rPr>
        <w:rFonts w:ascii="Symbol" w:hAnsi="Symbol" w:hint="default"/>
      </w:rPr>
    </w:lvl>
    <w:lvl w:ilvl="7" w:tplc="0C0A0003">
      <w:start w:val="1"/>
      <w:numFmt w:val="bullet"/>
      <w:lvlText w:val="o"/>
      <w:lvlJc w:val="left"/>
      <w:pPr>
        <w:tabs>
          <w:tab w:val="num" w:pos="8181"/>
        </w:tabs>
        <w:ind w:left="8181" w:hanging="360"/>
      </w:pPr>
      <w:rPr>
        <w:rFonts w:ascii="Courier New" w:hAnsi="Courier New" w:hint="default"/>
      </w:rPr>
    </w:lvl>
    <w:lvl w:ilvl="8" w:tplc="0C0A0005">
      <w:start w:val="1"/>
      <w:numFmt w:val="bullet"/>
      <w:lvlText w:val=""/>
      <w:lvlJc w:val="left"/>
      <w:pPr>
        <w:tabs>
          <w:tab w:val="num" w:pos="8901"/>
        </w:tabs>
        <w:ind w:left="8901" w:hanging="360"/>
      </w:pPr>
      <w:rPr>
        <w:rFonts w:ascii="Wingdings" w:hAnsi="Wingdings" w:hint="default"/>
      </w:rPr>
    </w:lvl>
  </w:abstractNum>
  <w:abstractNum w:abstractNumId="63">
    <w:nsid w:val="24325A15"/>
    <w:multiLevelType w:val="multilevel"/>
    <w:tmpl w:val="2F486340"/>
    <w:styleLink w:val="List0"/>
    <w:lvl w:ilvl="0">
      <w:start w:val="1"/>
      <w:numFmt w:val="bullet"/>
      <w:lvlText w:val="•"/>
      <w:lvlJc w:val="left"/>
      <w:rPr>
        <w:position w:val="0"/>
        <w:rtl w:val="0"/>
      </w:rPr>
    </w:lvl>
    <w:lvl w:ilvl="1">
      <w:start w:val="1"/>
      <w:numFmt w:val="bullet"/>
      <w:lvlText w:val="–"/>
      <w:lvlJc w:val="left"/>
      <w:rPr>
        <w:position w:val="0"/>
        <w:rtl w:val="0"/>
      </w:rPr>
    </w:lvl>
    <w:lvl w:ilvl="2">
      <w:numFmt w:val="bullet"/>
      <w:lvlText w:val="•"/>
      <w:lvlJc w:val="left"/>
      <w:rPr>
        <w:position w:val="0"/>
        <w:rtl w:val="0"/>
      </w:rPr>
    </w:lvl>
    <w:lvl w:ilvl="3">
      <w:start w:val="1"/>
      <w:numFmt w:val="bullet"/>
      <w:lvlText w:val="•"/>
      <w:lvlJc w:val="left"/>
      <w:rPr>
        <w:position w:val="0"/>
        <w:rtl w:val="0"/>
      </w:rPr>
    </w:lvl>
    <w:lvl w:ilvl="4">
      <w:start w:val="1"/>
      <w:numFmt w:val="bullet"/>
      <w:lvlText w:val="•"/>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
      <w:lvlJc w:val="left"/>
      <w:rPr>
        <w:position w:val="0"/>
        <w:rtl w:val="0"/>
      </w:rPr>
    </w:lvl>
    <w:lvl w:ilvl="8">
      <w:start w:val="1"/>
      <w:numFmt w:val="bullet"/>
      <w:lvlText w:val="−"/>
      <w:lvlJc w:val="left"/>
      <w:rPr>
        <w:position w:val="0"/>
        <w:rtl w:val="0"/>
      </w:rPr>
    </w:lvl>
  </w:abstractNum>
  <w:abstractNum w:abstractNumId="64">
    <w:nsid w:val="2534705C"/>
    <w:multiLevelType w:val="hybridMultilevel"/>
    <w:tmpl w:val="7BB2E436"/>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65">
    <w:nsid w:val="28144054"/>
    <w:multiLevelType w:val="hybridMultilevel"/>
    <w:tmpl w:val="A1664F64"/>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66">
    <w:nsid w:val="28AA332C"/>
    <w:multiLevelType w:val="hybridMultilevel"/>
    <w:tmpl w:val="4F08469E"/>
    <w:lvl w:ilvl="0" w:tplc="0446677A">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7">
    <w:nsid w:val="293C2B48"/>
    <w:multiLevelType w:val="hybridMultilevel"/>
    <w:tmpl w:val="347E312C"/>
    <w:lvl w:ilvl="0" w:tplc="2C0A000F">
      <w:start w:val="1"/>
      <w:numFmt w:val="lowerLetter"/>
      <w:pStyle w:val="Lista"/>
      <w:lvlText w:val="%1."/>
      <w:lvlJc w:val="left"/>
      <w:pPr>
        <w:tabs>
          <w:tab w:val="num" w:pos="720"/>
        </w:tabs>
        <w:ind w:left="720" w:hanging="720"/>
      </w:pPr>
      <w:rPr>
        <w:rFonts w:cs="Times New Roman" w:hint="default"/>
      </w:rPr>
    </w:lvl>
    <w:lvl w:ilvl="1" w:tplc="2C0A0019" w:tentative="1">
      <w:start w:val="1"/>
      <w:numFmt w:val="lowerLetter"/>
      <w:lvlText w:val="%2."/>
      <w:lvlJc w:val="left"/>
      <w:pPr>
        <w:tabs>
          <w:tab w:val="num" w:pos="1440"/>
        </w:tabs>
        <w:ind w:left="1440" w:hanging="360"/>
      </w:pPr>
      <w:rPr>
        <w:rFonts w:cs="Times New Roman"/>
      </w:rPr>
    </w:lvl>
    <w:lvl w:ilvl="2" w:tplc="2C0A001B" w:tentative="1">
      <w:start w:val="1"/>
      <w:numFmt w:val="lowerRoman"/>
      <w:lvlText w:val="%3."/>
      <w:lvlJc w:val="right"/>
      <w:pPr>
        <w:tabs>
          <w:tab w:val="num" w:pos="2160"/>
        </w:tabs>
        <w:ind w:left="2160" w:hanging="180"/>
      </w:pPr>
      <w:rPr>
        <w:rFonts w:cs="Times New Roman"/>
      </w:rPr>
    </w:lvl>
    <w:lvl w:ilvl="3" w:tplc="2C0A000F" w:tentative="1">
      <w:start w:val="1"/>
      <w:numFmt w:val="decimal"/>
      <w:lvlText w:val="%4."/>
      <w:lvlJc w:val="left"/>
      <w:pPr>
        <w:tabs>
          <w:tab w:val="num" w:pos="2880"/>
        </w:tabs>
        <w:ind w:left="2880" w:hanging="360"/>
      </w:pPr>
      <w:rPr>
        <w:rFonts w:cs="Times New Roman"/>
      </w:rPr>
    </w:lvl>
    <w:lvl w:ilvl="4" w:tplc="2C0A0019" w:tentative="1">
      <w:start w:val="1"/>
      <w:numFmt w:val="lowerLetter"/>
      <w:lvlText w:val="%5."/>
      <w:lvlJc w:val="left"/>
      <w:pPr>
        <w:tabs>
          <w:tab w:val="num" w:pos="3600"/>
        </w:tabs>
        <w:ind w:left="3600" w:hanging="360"/>
      </w:pPr>
      <w:rPr>
        <w:rFonts w:cs="Times New Roman"/>
      </w:rPr>
    </w:lvl>
    <w:lvl w:ilvl="5" w:tplc="2C0A001B" w:tentative="1">
      <w:start w:val="1"/>
      <w:numFmt w:val="lowerRoman"/>
      <w:lvlText w:val="%6."/>
      <w:lvlJc w:val="right"/>
      <w:pPr>
        <w:tabs>
          <w:tab w:val="num" w:pos="4320"/>
        </w:tabs>
        <w:ind w:left="4320" w:hanging="180"/>
      </w:pPr>
      <w:rPr>
        <w:rFonts w:cs="Times New Roman"/>
      </w:rPr>
    </w:lvl>
    <w:lvl w:ilvl="6" w:tplc="2C0A000F" w:tentative="1">
      <w:start w:val="1"/>
      <w:numFmt w:val="decimal"/>
      <w:lvlText w:val="%7."/>
      <w:lvlJc w:val="left"/>
      <w:pPr>
        <w:tabs>
          <w:tab w:val="num" w:pos="5040"/>
        </w:tabs>
        <w:ind w:left="5040" w:hanging="360"/>
      </w:pPr>
      <w:rPr>
        <w:rFonts w:cs="Times New Roman"/>
      </w:rPr>
    </w:lvl>
    <w:lvl w:ilvl="7" w:tplc="2C0A0019" w:tentative="1">
      <w:start w:val="1"/>
      <w:numFmt w:val="lowerLetter"/>
      <w:lvlText w:val="%8."/>
      <w:lvlJc w:val="left"/>
      <w:pPr>
        <w:tabs>
          <w:tab w:val="num" w:pos="5760"/>
        </w:tabs>
        <w:ind w:left="5760" w:hanging="360"/>
      </w:pPr>
      <w:rPr>
        <w:rFonts w:cs="Times New Roman"/>
      </w:rPr>
    </w:lvl>
    <w:lvl w:ilvl="8" w:tplc="2C0A001B" w:tentative="1">
      <w:start w:val="1"/>
      <w:numFmt w:val="lowerRoman"/>
      <w:lvlText w:val="%9."/>
      <w:lvlJc w:val="right"/>
      <w:pPr>
        <w:tabs>
          <w:tab w:val="num" w:pos="6480"/>
        </w:tabs>
        <w:ind w:left="6480" w:hanging="180"/>
      </w:pPr>
      <w:rPr>
        <w:rFonts w:cs="Times New Roman"/>
      </w:rPr>
    </w:lvl>
  </w:abstractNum>
  <w:abstractNum w:abstractNumId="68">
    <w:nsid w:val="297056BE"/>
    <w:multiLevelType w:val="hybridMultilevel"/>
    <w:tmpl w:val="5A9ED2DE"/>
    <w:lvl w:ilvl="0" w:tplc="44749C8C">
      <w:start w:val="1"/>
      <w:numFmt w:val="bullet"/>
      <w:pStyle w:val="BHVietaTxt"/>
      <w:lvlText w:val=""/>
      <w:lvlJc w:val="left"/>
      <w:pPr>
        <w:ind w:left="4755" w:hanging="360"/>
      </w:pPr>
      <w:rPr>
        <w:rFonts w:ascii="Symbol" w:hAnsi="Symbol" w:hint="default"/>
      </w:rPr>
    </w:lvl>
    <w:lvl w:ilvl="1" w:tplc="2C0A0003">
      <w:start w:val="1"/>
      <w:numFmt w:val="bullet"/>
      <w:lvlText w:val="o"/>
      <w:lvlJc w:val="left"/>
      <w:pPr>
        <w:ind w:left="2498" w:hanging="360"/>
      </w:pPr>
      <w:rPr>
        <w:rFonts w:ascii="Courier New" w:hAnsi="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69">
    <w:nsid w:val="297A5B0A"/>
    <w:multiLevelType w:val="hybridMultilevel"/>
    <w:tmpl w:val="A814A496"/>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70">
    <w:nsid w:val="2A041A99"/>
    <w:multiLevelType w:val="hybridMultilevel"/>
    <w:tmpl w:val="67D83C5C"/>
    <w:lvl w:ilvl="0" w:tplc="4F8C0D9E">
      <w:start w:val="1"/>
      <w:numFmt w:val="decimal"/>
      <w:lvlText w:val="(%1)"/>
      <w:lvlJc w:val="left"/>
      <w:pPr>
        <w:tabs>
          <w:tab w:val="num" w:pos="2204"/>
        </w:tabs>
        <w:ind w:left="2204" w:hanging="360"/>
      </w:pPr>
      <w:rPr>
        <w:rFonts w:cs="Times New Roman" w:hint="default"/>
        <w:b w:val="0"/>
        <w:i w:val="0"/>
        <w:sz w:val="16"/>
      </w:rPr>
    </w:lvl>
    <w:lvl w:ilvl="1" w:tplc="0C0A0019" w:tentative="1">
      <w:start w:val="1"/>
      <w:numFmt w:val="lowerLetter"/>
      <w:lvlText w:val="%2."/>
      <w:lvlJc w:val="left"/>
      <w:pPr>
        <w:tabs>
          <w:tab w:val="num" w:pos="2564"/>
        </w:tabs>
        <w:ind w:left="2564" w:hanging="360"/>
      </w:pPr>
      <w:rPr>
        <w:rFonts w:cs="Times New Roman"/>
      </w:rPr>
    </w:lvl>
    <w:lvl w:ilvl="2" w:tplc="0C0A001B" w:tentative="1">
      <w:start w:val="1"/>
      <w:numFmt w:val="lowerRoman"/>
      <w:lvlText w:val="%3."/>
      <w:lvlJc w:val="right"/>
      <w:pPr>
        <w:tabs>
          <w:tab w:val="num" w:pos="3284"/>
        </w:tabs>
        <w:ind w:left="3284" w:hanging="180"/>
      </w:pPr>
      <w:rPr>
        <w:rFonts w:cs="Times New Roman"/>
      </w:rPr>
    </w:lvl>
    <w:lvl w:ilvl="3" w:tplc="0C0A000F" w:tentative="1">
      <w:start w:val="1"/>
      <w:numFmt w:val="decimal"/>
      <w:lvlText w:val="%4."/>
      <w:lvlJc w:val="left"/>
      <w:pPr>
        <w:tabs>
          <w:tab w:val="num" w:pos="4004"/>
        </w:tabs>
        <w:ind w:left="4004" w:hanging="360"/>
      </w:pPr>
      <w:rPr>
        <w:rFonts w:cs="Times New Roman"/>
      </w:rPr>
    </w:lvl>
    <w:lvl w:ilvl="4" w:tplc="0C0A0019" w:tentative="1">
      <w:start w:val="1"/>
      <w:numFmt w:val="lowerLetter"/>
      <w:lvlText w:val="%5."/>
      <w:lvlJc w:val="left"/>
      <w:pPr>
        <w:tabs>
          <w:tab w:val="num" w:pos="4724"/>
        </w:tabs>
        <w:ind w:left="4724" w:hanging="360"/>
      </w:pPr>
      <w:rPr>
        <w:rFonts w:cs="Times New Roman"/>
      </w:rPr>
    </w:lvl>
    <w:lvl w:ilvl="5" w:tplc="0C0A001B" w:tentative="1">
      <w:start w:val="1"/>
      <w:numFmt w:val="lowerRoman"/>
      <w:lvlText w:val="%6."/>
      <w:lvlJc w:val="right"/>
      <w:pPr>
        <w:tabs>
          <w:tab w:val="num" w:pos="5444"/>
        </w:tabs>
        <w:ind w:left="5444" w:hanging="180"/>
      </w:pPr>
      <w:rPr>
        <w:rFonts w:cs="Times New Roman"/>
      </w:rPr>
    </w:lvl>
    <w:lvl w:ilvl="6" w:tplc="0C0A000F" w:tentative="1">
      <w:start w:val="1"/>
      <w:numFmt w:val="decimal"/>
      <w:lvlText w:val="%7."/>
      <w:lvlJc w:val="left"/>
      <w:pPr>
        <w:tabs>
          <w:tab w:val="num" w:pos="6164"/>
        </w:tabs>
        <w:ind w:left="6164" w:hanging="360"/>
      </w:pPr>
      <w:rPr>
        <w:rFonts w:cs="Times New Roman"/>
      </w:rPr>
    </w:lvl>
    <w:lvl w:ilvl="7" w:tplc="0C0A0019" w:tentative="1">
      <w:start w:val="1"/>
      <w:numFmt w:val="lowerLetter"/>
      <w:lvlText w:val="%8."/>
      <w:lvlJc w:val="left"/>
      <w:pPr>
        <w:tabs>
          <w:tab w:val="num" w:pos="6884"/>
        </w:tabs>
        <w:ind w:left="6884" w:hanging="360"/>
      </w:pPr>
      <w:rPr>
        <w:rFonts w:cs="Times New Roman"/>
      </w:rPr>
    </w:lvl>
    <w:lvl w:ilvl="8" w:tplc="0C0A001B" w:tentative="1">
      <w:start w:val="1"/>
      <w:numFmt w:val="lowerRoman"/>
      <w:lvlText w:val="%9."/>
      <w:lvlJc w:val="right"/>
      <w:pPr>
        <w:tabs>
          <w:tab w:val="num" w:pos="7604"/>
        </w:tabs>
        <w:ind w:left="7604" w:hanging="180"/>
      </w:pPr>
      <w:rPr>
        <w:rFonts w:cs="Times New Roman"/>
      </w:rPr>
    </w:lvl>
  </w:abstractNum>
  <w:abstractNum w:abstractNumId="71">
    <w:nsid w:val="2AFC35BC"/>
    <w:multiLevelType w:val="multilevel"/>
    <w:tmpl w:val="4D7CFE6C"/>
    <w:styleLink w:val="Lista51"/>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72">
    <w:nsid w:val="2BA212ED"/>
    <w:multiLevelType w:val="hybridMultilevel"/>
    <w:tmpl w:val="F9BC36BA"/>
    <w:lvl w:ilvl="0" w:tplc="94F64038">
      <w:start w:val="1"/>
      <w:numFmt w:val="decimal"/>
      <w:pStyle w:val="BodyTextNumbered"/>
      <w:lvlText w:val="%1."/>
      <w:lvlJc w:val="left"/>
      <w:pPr>
        <w:tabs>
          <w:tab w:val="num" w:pos="1800"/>
        </w:tabs>
        <w:ind w:firstLine="1440"/>
      </w:pPr>
      <w:rPr>
        <w:rFonts w:cs="Times New Roman" w:hint="default"/>
      </w:rPr>
    </w:lvl>
    <w:lvl w:ilvl="1" w:tplc="2C0A0019">
      <w:start w:val="1"/>
      <w:numFmt w:val="lowerLetter"/>
      <w:lvlText w:val="%2."/>
      <w:lvlJc w:val="left"/>
      <w:pPr>
        <w:tabs>
          <w:tab w:val="num" w:pos="1440"/>
        </w:tabs>
        <w:ind w:left="1440" w:hanging="360"/>
      </w:pPr>
      <w:rPr>
        <w:rFonts w:cs="Times New Roman"/>
      </w:rPr>
    </w:lvl>
    <w:lvl w:ilvl="2" w:tplc="2C0A001B">
      <w:start w:val="1"/>
      <w:numFmt w:val="lowerRoman"/>
      <w:lvlText w:val="%3."/>
      <w:lvlJc w:val="right"/>
      <w:pPr>
        <w:tabs>
          <w:tab w:val="num" w:pos="2160"/>
        </w:tabs>
        <w:ind w:left="2160" w:hanging="180"/>
      </w:pPr>
      <w:rPr>
        <w:rFonts w:cs="Times New Roman"/>
      </w:rPr>
    </w:lvl>
    <w:lvl w:ilvl="3" w:tplc="2C0A000F" w:tentative="1">
      <w:start w:val="1"/>
      <w:numFmt w:val="decimal"/>
      <w:lvlText w:val="%4."/>
      <w:lvlJc w:val="left"/>
      <w:pPr>
        <w:tabs>
          <w:tab w:val="num" w:pos="2880"/>
        </w:tabs>
        <w:ind w:left="2880" w:hanging="360"/>
      </w:pPr>
      <w:rPr>
        <w:rFonts w:cs="Times New Roman"/>
      </w:rPr>
    </w:lvl>
    <w:lvl w:ilvl="4" w:tplc="2C0A0019" w:tentative="1">
      <w:start w:val="1"/>
      <w:numFmt w:val="lowerLetter"/>
      <w:lvlText w:val="%5."/>
      <w:lvlJc w:val="left"/>
      <w:pPr>
        <w:tabs>
          <w:tab w:val="num" w:pos="3600"/>
        </w:tabs>
        <w:ind w:left="3600" w:hanging="360"/>
      </w:pPr>
      <w:rPr>
        <w:rFonts w:cs="Times New Roman"/>
      </w:rPr>
    </w:lvl>
    <w:lvl w:ilvl="5" w:tplc="2C0A001B" w:tentative="1">
      <w:start w:val="1"/>
      <w:numFmt w:val="lowerRoman"/>
      <w:lvlText w:val="%6."/>
      <w:lvlJc w:val="right"/>
      <w:pPr>
        <w:tabs>
          <w:tab w:val="num" w:pos="4320"/>
        </w:tabs>
        <w:ind w:left="4320" w:hanging="180"/>
      </w:pPr>
      <w:rPr>
        <w:rFonts w:cs="Times New Roman"/>
      </w:rPr>
    </w:lvl>
    <w:lvl w:ilvl="6" w:tplc="2C0A000F" w:tentative="1">
      <w:start w:val="1"/>
      <w:numFmt w:val="decimal"/>
      <w:lvlText w:val="%7."/>
      <w:lvlJc w:val="left"/>
      <w:pPr>
        <w:tabs>
          <w:tab w:val="num" w:pos="5040"/>
        </w:tabs>
        <w:ind w:left="5040" w:hanging="360"/>
      </w:pPr>
      <w:rPr>
        <w:rFonts w:cs="Times New Roman"/>
      </w:rPr>
    </w:lvl>
    <w:lvl w:ilvl="7" w:tplc="2C0A0019" w:tentative="1">
      <w:start w:val="1"/>
      <w:numFmt w:val="lowerLetter"/>
      <w:lvlText w:val="%8."/>
      <w:lvlJc w:val="left"/>
      <w:pPr>
        <w:tabs>
          <w:tab w:val="num" w:pos="5760"/>
        </w:tabs>
        <w:ind w:left="5760" w:hanging="360"/>
      </w:pPr>
      <w:rPr>
        <w:rFonts w:cs="Times New Roman"/>
      </w:rPr>
    </w:lvl>
    <w:lvl w:ilvl="8" w:tplc="2C0A001B" w:tentative="1">
      <w:start w:val="1"/>
      <w:numFmt w:val="lowerRoman"/>
      <w:lvlText w:val="%9."/>
      <w:lvlJc w:val="right"/>
      <w:pPr>
        <w:tabs>
          <w:tab w:val="num" w:pos="6480"/>
        </w:tabs>
        <w:ind w:left="6480" w:hanging="180"/>
      </w:pPr>
      <w:rPr>
        <w:rFonts w:cs="Times New Roman"/>
      </w:rPr>
    </w:lvl>
  </w:abstractNum>
  <w:abstractNum w:abstractNumId="73">
    <w:nsid w:val="2C9505BA"/>
    <w:multiLevelType w:val="hybridMultilevel"/>
    <w:tmpl w:val="BB22AC0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4">
    <w:nsid w:val="2D1823D8"/>
    <w:multiLevelType w:val="hybridMultilevel"/>
    <w:tmpl w:val="97F2B89C"/>
    <w:lvl w:ilvl="0" w:tplc="A7E0CFDE">
      <w:numFmt w:val="bullet"/>
      <w:lvlText w:val="-"/>
      <w:lvlJc w:val="left"/>
      <w:pPr>
        <w:ind w:left="2773" w:hanging="360"/>
      </w:pPr>
      <w:rPr>
        <w:rFonts w:ascii="Times New Roman" w:eastAsia="Times New Roman" w:hAnsi="Times New Roman"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75">
    <w:nsid w:val="2D636FD1"/>
    <w:multiLevelType w:val="hybridMultilevel"/>
    <w:tmpl w:val="AB322A20"/>
    <w:lvl w:ilvl="0" w:tplc="56BE35F6">
      <w:start w:val="1"/>
      <w:numFmt w:val="lowerRoman"/>
      <w:lvlText w:val="(%1)"/>
      <w:lvlJc w:val="left"/>
      <w:pPr>
        <w:tabs>
          <w:tab w:val="num" w:pos="1362"/>
        </w:tabs>
        <w:ind w:left="1362" w:hanging="720"/>
      </w:pPr>
      <w:rPr>
        <w:rFonts w:cs="Times New Roman" w:hint="default"/>
        <w:w w:val="100"/>
      </w:rPr>
    </w:lvl>
    <w:lvl w:ilvl="1" w:tplc="2C0A0019" w:tentative="1">
      <w:start w:val="1"/>
      <w:numFmt w:val="lowerLetter"/>
      <w:lvlText w:val="%2."/>
      <w:lvlJc w:val="left"/>
      <w:pPr>
        <w:tabs>
          <w:tab w:val="num" w:pos="1722"/>
        </w:tabs>
        <w:ind w:left="1722" w:hanging="360"/>
      </w:pPr>
      <w:rPr>
        <w:rFonts w:cs="Times New Roman"/>
      </w:rPr>
    </w:lvl>
    <w:lvl w:ilvl="2" w:tplc="2C0A001B" w:tentative="1">
      <w:start w:val="1"/>
      <w:numFmt w:val="lowerRoman"/>
      <w:lvlText w:val="%3."/>
      <w:lvlJc w:val="right"/>
      <w:pPr>
        <w:tabs>
          <w:tab w:val="num" w:pos="2442"/>
        </w:tabs>
        <w:ind w:left="2442" w:hanging="180"/>
      </w:pPr>
      <w:rPr>
        <w:rFonts w:cs="Times New Roman"/>
      </w:rPr>
    </w:lvl>
    <w:lvl w:ilvl="3" w:tplc="2C0A000F" w:tentative="1">
      <w:start w:val="1"/>
      <w:numFmt w:val="decimal"/>
      <w:lvlText w:val="%4."/>
      <w:lvlJc w:val="left"/>
      <w:pPr>
        <w:tabs>
          <w:tab w:val="num" w:pos="3162"/>
        </w:tabs>
        <w:ind w:left="3162" w:hanging="360"/>
      </w:pPr>
      <w:rPr>
        <w:rFonts w:cs="Times New Roman"/>
      </w:rPr>
    </w:lvl>
    <w:lvl w:ilvl="4" w:tplc="2C0A0019" w:tentative="1">
      <w:start w:val="1"/>
      <w:numFmt w:val="lowerLetter"/>
      <w:lvlText w:val="%5."/>
      <w:lvlJc w:val="left"/>
      <w:pPr>
        <w:tabs>
          <w:tab w:val="num" w:pos="3882"/>
        </w:tabs>
        <w:ind w:left="3882" w:hanging="360"/>
      </w:pPr>
      <w:rPr>
        <w:rFonts w:cs="Times New Roman"/>
      </w:rPr>
    </w:lvl>
    <w:lvl w:ilvl="5" w:tplc="2C0A001B" w:tentative="1">
      <w:start w:val="1"/>
      <w:numFmt w:val="lowerRoman"/>
      <w:lvlText w:val="%6."/>
      <w:lvlJc w:val="right"/>
      <w:pPr>
        <w:tabs>
          <w:tab w:val="num" w:pos="4602"/>
        </w:tabs>
        <w:ind w:left="4602" w:hanging="180"/>
      </w:pPr>
      <w:rPr>
        <w:rFonts w:cs="Times New Roman"/>
      </w:rPr>
    </w:lvl>
    <w:lvl w:ilvl="6" w:tplc="2C0A000F" w:tentative="1">
      <w:start w:val="1"/>
      <w:numFmt w:val="decimal"/>
      <w:lvlText w:val="%7."/>
      <w:lvlJc w:val="left"/>
      <w:pPr>
        <w:tabs>
          <w:tab w:val="num" w:pos="5322"/>
        </w:tabs>
        <w:ind w:left="5322" w:hanging="360"/>
      </w:pPr>
      <w:rPr>
        <w:rFonts w:cs="Times New Roman"/>
      </w:rPr>
    </w:lvl>
    <w:lvl w:ilvl="7" w:tplc="2C0A0019" w:tentative="1">
      <w:start w:val="1"/>
      <w:numFmt w:val="lowerLetter"/>
      <w:lvlText w:val="%8."/>
      <w:lvlJc w:val="left"/>
      <w:pPr>
        <w:tabs>
          <w:tab w:val="num" w:pos="6042"/>
        </w:tabs>
        <w:ind w:left="6042" w:hanging="360"/>
      </w:pPr>
      <w:rPr>
        <w:rFonts w:cs="Times New Roman"/>
      </w:rPr>
    </w:lvl>
    <w:lvl w:ilvl="8" w:tplc="2C0A001B" w:tentative="1">
      <w:start w:val="1"/>
      <w:numFmt w:val="lowerRoman"/>
      <w:lvlText w:val="%9."/>
      <w:lvlJc w:val="right"/>
      <w:pPr>
        <w:tabs>
          <w:tab w:val="num" w:pos="6762"/>
        </w:tabs>
        <w:ind w:left="6762" w:hanging="180"/>
      </w:pPr>
      <w:rPr>
        <w:rFonts w:cs="Times New Roman"/>
      </w:rPr>
    </w:lvl>
  </w:abstractNum>
  <w:abstractNum w:abstractNumId="76">
    <w:nsid w:val="2E9A1432"/>
    <w:multiLevelType w:val="hybridMultilevel"/>
    <w:tmpl w:val="F740D8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7">
    <w:nsid w:val="2EA2390C"/>
    <w:multiLevelType w:val="hybridMultilevel"/>
    <w:tmpl w:val="741E0F5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8">
    <w:nsid w:val="2EEF4D4F"/>
    <w:multiLevelType w:val="hybridMultilevel"/>
    <w:tmpl w:val="2784667E"/>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79">
    <w:nsid w:val="2FCC6CA3"/>
    <w:multiLevelType w:val="hybridMultilevel"/>
    <w:tmpl w:val="E81C1966"/>
    <w:lvl w:ilvl="0" w:tplc="FFFFFFFF">
      <w:start w:val="1"/>
      <w:numFmt w:val="bullet"/>
      <w:pStyle w:val="Listaconvietas2"/>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80">
    <w:nsid w:val="30A72243"/>
    <w:multiLevelType w:val="hybridMultilevel"/>
    <w:tmpl w:val="4F08469E"/>
    <w:lvl w:ilvl="0" w:tplc="0446677A">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1">
    <w:nsid w:val="30C35F43"/>
    <w:multiLevelType w:val="hybridMultilevel"/>
    <w:tmpl w:val="D2B60A8E"/>
    <w:lvl w:ilvl="0" w:tplc="56BE35F6">
      <w:start w:val="1"/>
      <w:numFmt w:val="lowerRoman"/>
      <w:lvlText w:val="(%1)"/>
      <w:lvlJc w:val="left"/>
      <w:pPr>
        <w:ind w:left="1778" w:hanging="360"/>
      </w:pPr>
      <w:rPr>
        <w:rFonts w:cs="Times New Roman" w:hint="default"/>
      </w:rPr>
    </w:lvl>
    <w:lvl w:ilvl="1" w:tplc="2C0A0019" w:tentative="1">
      <w:start w:val="1"/>
      <w:numFmt w:val="lowerLetter"/>
      <w:lvlText w:val="%2."/>
      <w:lvlJc w:val="left"/>
      <w:pPr>
        <w:ind w:left="2498" w:hanging="360"/>
      </w:pPr>
    </w:lvl>
    <w:lvl w:ilvl="2" w:tplc="2C0A001B" w:tentative="1">
      <w:start w:val="1"/>
      <w:numFmt w:val="lowerRoman"/>
      <w:lvlText w:val="%3."/>
      <w:lvlJc w:val="right"/>
      <w:pPr>
        <w:ind w:left="3218" w:hanging="180"/>
      </w:pPr>
    </w:lvl>
    <w:lvl w:ilvl="3" w:tplc="2C0A000F" w:tentative="1">
      <w:start w:val="1"/>
      <w:numFmt w:val="decimal"/>
      <w:lvlText w:val="%4."/>
      <w:lvlJc w:val="left"/>
      <w:pPr>
        <w:ind w:left="3938" w:hanging="360"/>
      </w:pPr>
    </w:lvl>
    <w:lvl w:ilvl="4" w:tplc="2C0A0019" w:tentative="1">
      <w:start w:val="1"/>
      <w:numFmt w:val="lowerLetter"/>
      <w:lvlText w:val="%5."/>
      <w:lvlJc w:val="left"/>
      <w:pPr>
        <w:ind w:left="4658" w:hanging="360"/>
      </w:pPr>
    </w:lvl>
    <w:lvl w:ilvl="5" w:tplc="2C0A001B" w:tentative="1">
      <w:start w:val="1"/>
      <w:numFmt w:val="lowerRoman"/>
      <w:lvlText w:val="%6."/>
      <w:lvlJc w:val="right"/>
      <w:pPr>
        <w:ind w:left="5378" w:hanging="180"/>
      </w:pPr>
    </w:lvl>
    <w:lvl w:ilvl="6" w:tplc="2C0A000F" w:tentative="1">
      <w:start w:val="1"/>
      <w:numFmt w:val="decimal"/>
      <w:lvlText w:val="%7."/>
      <w:lvlJc w:val="left"/>
      <w:pPr>
        <w:ind w:left="6098" w:hanging="360"/>
      </w:pPr>
    </w:lvl>
    <w:lvl w:ilvl="7" w:tplc="2C0A0019" w:tentative="1">
      <w:start w:val="1"/>
      <w:numFmt w:val="lowerLetter"/>
      <w:lvlText w:val="%8."/>
      <w:lvlJc w:val="left"/>
      <w:pPr>
        <w:ind w:left="6818" w:hanging="360"/>
      </w:pPr>
    </w:lvl>
    <w:lvl w:ilvl="8" w:tplc="2C0A001B" w:tentative="1">
      <w:start w:val="1"/>
      <w:numFmt w:val="lowerRoman"/>
      <w:lvlText w:val="%9."/>
      <w:lvlJc w:val="right"/>
      <w:pPr>
        <w:ind w:left="7538" w:hanging="180"/>
      </w:pPr>
    </w:lvl>
  </w:abstractNum>
  <w:abstractNum w:abstractNumId="82">
    <w:nsid w:val="31E60FD9"/>
    <w:multiLevelType w:val="hybridMultilevel"/>
    <w:tmpl w:val="B28AF236"/>
    <w:lvl w:ilvl="0" w:tplc="A9909918">
      <w:start w:val="1"/>
      <w:numFmt w:val="lowerLetter"/>
      <w:pStyle w:val="Textospie8"/>
      <w:lvlText w:val="(%1)"/>
      <w:lvlJc w:val="left"/>
      <w:pPr>
        <w:tabs>
          <w:tab w:val="num" w:pos="720"/>
        </w:tabs>
        <w:ind w:left="720" w:hanging="360"/>
      </w:pPr>
      <w:rPr>
        <w:rFonts w:cs="Times New Roman" w:hint="default"/>
      </w:rPr>
    </w:lvl>
    <w:lvl w:ilvl="1" w:tplc="2C0A0019" w:tentative="1">
      <w:start w:val="1"/>
      <w:numFmt w:val="lowerLetter"/>
      <w:lvlText w:val="%2."/>
      <w:lvlJc w:val="left"/>
      <w:pPr>
        <w:tabs>
          <w:tab w:val="num" w:pos="1440"/>
        </w:tabs>
        <w:ind w:left="1440" w:hanging="360"/>
      </w:pPr>
      <w:rPr>
        <w:rFonts w:cs="Times New Roman"/>
      </w:rPr>
    </w:lvl>
    <w:lvl w:ilvl="2" w:tplc="2C0A001B" w:tentative="1">
      <w:start w:val="1"/>
      <w:numFmt w:val="lowerRoman"/>
      <w:lvlText w:val="%3."/>
      <w:lvlJc w:val="right"/>
      <w:pPr>
        <w:tabs>
          <w:tab w:val="num" w:pos="2160"/>
        </w:tabs>
        <w:ind w:left="2160" w:hanging="180"/>
      </w:pPr>
      <w:rPr>
        <w:rFonts w:cs="Times New Roman"/>
      </w:rPr>
    </w:lvl>
    <w:lvl w:ilvl="3" w:tplc="2C0A000F" w:tentative="1">
      <w:start w:val="1"/>
      <w:numFmt w:val="decimal"/>
      <w:lvlText w:val="%4."/>
      <w:lvlJc w:val="left"/>
      <w:pPr>
        <w:tabs>
          <w:tab w:val="num" w:pos="2880"/>
        </w:tabs>
        <w:ind w:left="2880" w:hanging="360"/>
      </w:pPr>
      <w:rPr>
        <w:rFonts w:cs="Times New Roman"/>
      </w:rPr>
    </w:lvl>
    <w:lvl w:ilvl="4" w:tplc="2C0A0019" w:tentative="1">
      <w:start w:val="1"/>
      <w:numFmt w:val="lowerLetter"/>
      <w:lvlText w:val="%5."/>
      <w:lvlJc w:val="left"/>
      <w:pPr>
        <w:tabs>
          <w:tab w:val="num" w:pos="3600"/>
        </w:tabs>
        <w:ind w:left="3600" w:hanging="360"/>
      </w:pPr>
      <w:rPr>
        <w:rFonts w:cs="Times New Roman"/>
      </w:rPr>
    </w:lvl>
    <w:lvl w:ilvl="5" w:tplc="2C0A001B" w:tentative="1">
      <w:start w:val="1"/>
      <w:numFmt w:val="lowerRoman"/>
      <w:lvlText w:val="%6."/>
      <w:lvlJc w:val="right"/>
      <w:pPr>
        <w:tabs>
          <w:tab w:val="num" w:pos="4320"/>
        </w:tabs>
        <w:ind w:left="4320" w:hanging="180"/>
      </w:pPr>
      <w:rPr>
        <w:rFonts w:cs="Times New Roman"/>
      </w:rPr>
    </w:lvl>
    <w:lvl w:ilvl="6" w:tplc="2C0A000F" w:tentative="1">
      <w:start w:val="1"/>
      <w:numFmt w:val="decimal"/>
      <w:lvlText w:val="%7."/>
      <w:lvlJc w:val="left"/>
      <w:pPr>
        <w:tabs>
          <w:tab w:val="num" w:pos="5040"/>
        </w:tabs>
        <w:ind w:left="5040" w:hanging="360"/>
      </w:pPr>
      <w:rPr>
        <w:rFonts w:cs="Times New Roman"/>
      </w:rPr>
    </w:lvl>
    <w:lvl w:ilvl="7" w:tplc="2C0A0019" w:tentative="1">
      <w:start w:val="1"/>
      <w:numFmt w:val="lowerLetter"/>
      <w:lvlText w:val="%8."/>
      <w:lvlJc w:val="left"/>
      <w:pPr>
        <w:tabs>
          <w:tab w:val="num" w:pos="5760"/>
        </w:tabs>
        <w:ind w:left="5760" w:hanging="360"/>
      </w:pPr>
      <w:rPr>
        <w:rFonts w:cs="Times New Roman"/>
      </w:rPr>
    </w:lvl>
    <w:lvl w:ilvl="8" w:tplc="2C0A001B" w:tentative="1">
      <w:start w:val="1"/>
      <w:numFmt w:val="lowerRoman"/>
      <w:lvlText w:val="%9."/>
      <w:lvlJc w:val="right"/>
      <w:pPr>
        <w:tabs>
          <w:tab w:val="num" w:pos="6480"/>
        </w:tabs>
        <w:ind w:left="6480" w:hanging="180"/>
      </w:pPr>
      <w:rPr>
        <w:rFonts w:cs="Times New Roman"/>
      </w:rPr>
    </w:lvl>
  </w:abstractNum>
  <w:abstractNum w:abstractNumId="83">
    <w:nsid w:val="32245F28"/>
    <w:multiLevelType w:val="hybridMultilevel"/>
    <w:tmpl w:val="A6687B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4">
    <w:nsid w:val="327B5F17"/>
    <w:multiLevelType w:val="hybridMultilevel"/>
    <w:tmpl w:val="67D83C5C"/>
    <w:lvl w:ilvl="0" w:tplc="4F8C0D9E">
      <w:start w:val="1"/>
      <w:numFmt w:val="decimal"/>
      <w:lvlText w:val="(%1)"/>
      <w:lvlJc w:val="left"/>
      <w:pPr>
        <w:tabs>
          <w:tab w:val="num" w:pos="1080"/>
        </w:tabs>
        <w:ind w:left="1080" w:hanging="360"/>
      </w:pPr>
      <w:rPr>
        <w:rFonts w:hint="default"/>
        <w:b w:val="0"/>
        <w:i w:val="0"/>
        <w:sz w:val="16"/>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5">
    <w:nsid w:val="32884743"/>
    <w:multiLevelType w:val="hybridMultilevel"/>
    <w:tmpl w:val="38EAFCD0"/>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86">
    <w:nsid w:val="32AB7F5D"/>
    <w:multiLevelType w:val="hybridMultilevel"/>
    <w:tmpl w:val="AB02172A"/>
    <w:lvl w:ilvl="0" w:tplc="56BE35F6">
      <w:start w:val="1"/>
      <w:numFmt w:val="lowerRoman"/>
      <w:lvlText w:val="(%1)"/>
      <w:lvlJc w:val="left"/>
      <w:pPr>
        <w:ind w:left="720" w:hanging="360"/>
      </w:pPr>
      <w:rPr>
        <w:rFonts w:cs="Times New Roman"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7">
    <w:nsid w:val="32CE4810"/>
    <w:multiLevelType w:val="hybridMultilevel"/>
    <w:tmpl w:val="01B24F6A"/>
    <w:lvl w:ilvl="0" w:tplc="CF78C3D0">
      <w:start w:val="1"/>
      <w:numFmt w:val="bullet"/>
      <w:pStyle w:val="STBBullet4"/>
      <w:lvlText w:val=""/>
      <w:lvlJc w:val="left"/>
      <w:pPr>
        <w:tabs>
          <w:tab w:val="num" w:pos="1800"/>
        </w:tabs>
        <w:ind w:firstLine="1440"/>
      </w:pPr>
      <w:rPr>
        <w:rFonts w:ascii="Symbol" w:hAnsi="Symbol" w:hint="default"/>
      </w:rPr>
    </w:lvl>
    <w:lvl w:ilvl="1" w:tplc="0C0A0019"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88">
    <w:nsid w:val="345B52DD"/>
    <w:multiLevelType w:val="hybridMultilevel"/>
    <w:tmpl w:val="667631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9">
    <w:nsid w:val="345D19E1"/>
    <w:multiLevelType w:val="hybridMultilevel"/>
    <w:tmpl w:val="29D090B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0">
    <w:nsid w:val="34CF3886"/>
    <w:multiLevelType w:val="hybridMultilevel"/>
    <w:tmpl w:val="71960B2A"/>
    <w:lvl w:ilvl="0" w:tplc="0C0A0015">
      <w:start w:val="1"/>
      <w:numFmt w:val="upperLetter"/>
      <w:lvlText w:val="%1."/>
      <w:lvlJc w:val="left"/>
      <w:pPr>
        <w:ind w:left="1780" w:hanging="360"/>
      </w:pPr>
      <w:rPr>
        <w:rFonts w:cs="Times New Roman"/>
      </w:rPr>
    </w:lvl>
    <w:lvl w:ilvl="1" w:tplc="0C0A0019" w:tentative="1">
      <w:start w:val="1"/>
      <w:numFmt w:val="lowerLetter"/>
      <w:lvlText w:val="%2."/>
      <w:lvlJc w:val="left"/>
      <w:pPr>
        <w:ind w:left="2500" w:hanging="360"/>
      </w:pPr>
      <w:rPr>
        <w:rFonts w:cs="Times New Roman"/>
      </w:rPr>
    </w:lvl>
    <w:lvl w:ilvl="2" w:tplc="0C0A001B" w:tentative="1">
      <w:start w:val="1"/>
      <w:numFmt w:val="lowerRoman"/>
      <w:lvlText w:val="%3."/>
      <w:lvlJc w:val="right"/>
      <w:pPr>
        <w:ind w:left="3220" w:hanging="180"/>
      </w:pPr>
      <w:rPr>
        <w:rFonts w:cs="Times New Roman"/>
      </w:rPr>
    </w:lvl>
    <w:lvl w:ilvl="3" w:tplc="0C0A000F" w:tentative="1">
      <w:start w:val="1"/>
      <w:numFmt w:val="decimal"/>
      <w:lvlText w:val="%4."/>
      <w:lvlJc w:val="left"/>
      <w:pPr>
        <w:ind w:left="3940" w:hanging="360"/>
      </w:pPr>
      <w:rPr>
        <w:rFonts w:cs="Times New Roman"/>
      </w:rPr>
    </w:lvl>
    <w:lvl w:ilvl="4" w:tplc="0C0A0019" w:tentative="1">
      <w:start w:val="1"/>
      <w:numFmt w:val="lowerLetter"/>
      <w:lvlText w:val="%5."/>
      <w:lvlJc w:val="left"/>
      <w:pPr>
        <w:ind w:left="4660" w:hanging="360"/>
      </w:pPr>
      <w:rPr>
        <w:rFonts w:cs="Times New Roman"/>
      </w:rPr>
    </w:lvl>
    <w:lvl w:ilvl="5" w:tplc="0C0A001B" w:tentative="1">
      <w:start w:val="1"/>
      <w:numFmt w:val="lowerRoman"/>
      <w:lvlText w:val="%6."/>
      <w:lvlJc w:val="right"/>
      <w:pPr>
        <w:ind w:left="5380" w:hanging="180"/>
      </w:pPr>
      <w:rPr>
        <w:rFonts w:cs="Times New Roman"/>
      </w:rPr>
    </w:lvl>
    <w:lvl w:ilvl="6" w:tplc="0C0A000F" w:tentative="1">
      <w:start w:val="1"/>
      <w:numFmt w:val="decimal"/>
      <w:lvlText w:val="%7."/>
      <w:lvlJc w:val="left"/>
      <w:pPr>
        <w:ind w:left="6100" w:hanging="360"/>
      </w:pPr>
      <w:rPr>
        <w:rFonts w:cs="Times New Roman"/>
      </w:rPr>
    </w:lvl>
    <w:lvl w:ilvl="7" w:tplc="0C0A0019" w:tentative="1">
      <w:start w:val="1"/>
      <w:numFmt w:val="lowerLetter"/>
      <w:lvlText w:val="%8."/>
      <w:lvlJc w:val="left"/>
      <w:pPr>
        <w:ind w:left="6820" w:hanging="360"/>
      </w:pPr>
      <w:rPr>
        <w:rFonts w:cs="Times New Roman"/>
      </w:rPr>
    </w:lvl>
    <w:lvl w:ilvl="8" w:tplc="0C0A001B" w:tentative="1">
      <w:start w:val="1"/>
      <w:numFmt w:val="lowerRoman"/>
      <w:lvlText w:val="%9."/>
      <w:lvlJc w:val="right"/>
      <w:pPr>
        <w:ind w:left="7540" w:hanging="180"/>
      </w:pPr>
      <w:rPr>
        <w:rFonts w:cs="Times New Roman"/>
      </w:rPr>
    </w:lvl>
  </w:abstractNum>
  <w:abstractNum w:abstractNumId="91">
    <w:nsid w:val="35583AD2"/>
    <w:multiLevelType w:val="hybridMultilevel"/>
    <w:tmpl w:val="703893F6"/>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92">
    <w:nsid w:val="364778E0"/>
    <w:multiLevelType w:val="hybridMultilevel"/>
    <w:tmpl w:val="9D347896"/>
    <w:lvl w:ilvl="0" w:tplc="0C0A0001">
      <w:start w:val="1"/>
      <w:numFmt w:val="decimal"/>
      <w:pStyle w:val="STBListNumber2DBL"/>
      <w:lvlText w:val="%1."/>
      <w:lvlJc w:val="left"/>
      <w:pPr>
        <w:tabs>
          <w:tab w:val="num" w:pos="1800"/>
        </w:tabs>
        <w:ind w:firstLine="144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93">
    <w:nsid w:val="37A5639A"/>
    <w:multiLevelType w:val="hybridMultilevel"/>
    <w:tmpl w:val="97E46BC8"/>
    <w:lvl w:ilvl="0" w:tplc="740211AA">
      <w:start w:val="1"/>
      <w:numFmt w:val="upperLetter"/>
      <w:lvlText w:val="%1."/>
      <w:lvlJc w:val="left"/>
      <w:pPr>
        <w:tabs>
          <w:tab w:val="num" w:pos="1854"/>
        </w:tabs>
        <w:ind w:left="1854" w:hanging="360"/>
      </w:pPr>
      <w:rPr>
        <w:rFonts w:cs="Times New Roman"/>
      </w:rPr>
    </w:lvl>
    <w:lvl w:ilvl="1" w:tplc="2C0A0003">
      <w:start w:val="1"/>
      <w:numFmt w:val="lowerLetter"/>
      <w:lvlText w:val="%2."/>
      <w:lvlJc w:val="left"/>
      <w:pPr>
        <w:tabs>
          <w:tab w:val="num" w:pos="2574"/>
        </w:tabs>
        <w:ind w:left="2574" w:hanging="360"/>
      </w:pPr>
      <w:rPr>
        <w:rFonts w:cs="Times New Roman"/>
      </w:rPr>
    </w:lvl>
    <w:lvl w:ilvl="2" w:tplc="2C0A0005">
      <w:start w:val="1"/>
      <w:numFmt w:val="lowerRoman"/>
      <w:lvlText w:val="%3."/>
      <w:lvlJc w:val="right"/>
      <w:pPr>
        <w:tabs>
          <w:tab w:val="num" w:pos="3294"/>
        </w:tabs>
        <w:ind w:left="3294" w:hanging="180"/>
      </w:pPr>
      <w:rPr>
        <w:rFonts w:cs="Times New Roman"/>
      </w:rPr>
    </w:lvl>
    <w:lvl w:ilvl="3" w:tplc="2C0A0001">
      <w:start w:val="1"/>
      <w:numFmt w:val="decimal"/>
      <w:lvlText w:val="%4."/>
      <w:lvlJc w:val="left"/>
      <w:pPr>
        <w:tabs>
          <w:tab w:val="num" w:pos="4014"/>
        </w:tabs>
        <w:ind w:left="4014" w:hanging="360"/>
      </w:pPr>
      <w:rPr>
        <w:rFonts w:cs="Times New Roman"/>
      </w:rPr>
    </w:lvl>
    <w:lvl w:ilvl="4" w:tplc="2C0A0003">
      <w:start w:val="1"/>
      <w:numFmt w:val="lowerLetter"/>
      <w:lvlText w:val="%5."/>
      <w:lvlJc w:val="left"/>
      <w:pPr>
        <w:tabs>
          <w:tab w:val="num" w:pos="4734"/>
        </w:tabs>
        <w:ind w:left="4734" w:hanging="360"/>
      </w:pPr>
      <w:rPr>
        <w:rFonts w:cs="Times New Roman"/>
      </w:rPr>
    </w:lvl>
    <w:lvl w:ilvl="5" w:tplc="2C0A0005">
      <w:start w:val="1"/>
      <w:numFmt w:val="lowerRoman"/>
      <w:lvlText w:val="%6."/>
      <w:lvlJc w:val="right"/>
      <w:pPr>
        <w:tabs>
          <w:tab w:val="num" w:pos="5454"/>
        </w:tabs>
        <w:ind w:left="5454" w:hanging="180"/>
      </w:pPr>
      <w:rPr>
        <w:rFonts w:cs="Times New Roman"/>
      </w:rPr>
    </w:lvl>
    <w:lvl w:ilvl="6" w:tplc="2C0A0001">
      <w:start w:val="1"/>
      <w:numFmt w:val="decimal"/>
      <w:lvlText w:val="%7."/>
      <w:lvlJc w:val="left"/>
      <w:pPr>
        <w:tabs>
          <w:tab w:val="num" w:pos="6174"/>
        </w:tabs>
        <w:ind w:left="6174" w:hanging="360"/>
      </w:pPr>
      <w:rPr>
        <w:rFonts w:cs="Times New Roman"/>
      </w:rPr>
    </w:lvl>
    <w:lvl w:ilvl="7" w:tplc="2C0A0003">
      <w:start w:val="1"/>
      <w:numFmt w:val="lowerLetter"/>
      <w:lvlText w:val="%8."/>
      <w:lvlJc w:val="left"/>
      <w:pPr>
        <w:tabs>
          <w:tab w:val="num" w:pos="6894"/>
        </w:tabs>
        <w:ind w:left="6894" w:hanging="360"/>
      </w:pPr>
      <w:rPr>
        <w:rFonts w:cs="Times New Roman"/>
      </w:rPr>
    </w:lvl>
    <w:lvl w:ilvl="8" w:tplc="2C0A0005">
      <w:start w:val="1"/>
      <w:numFmt w:val="lowerRoman"/>
      <w:lvlText w:val="%9."/>
      <w:lvlJc w:val="right"/>
      <w:pPr>
        <w:tabs>
          <w:tab w:val="num" w:pos="7614"/>
        </w:tabs>
        <w:ind w:left="7614" w:hanging="180"/>
      </w:pPr>
      <w:rPr>
        <w:rFonts w:cs="Times New Roman"/>
      </w:rPr>
    </w:lvl>
  </w:abstractNum>
  <w:abstractNum w:abstractNumId="94">
    <w:nsid w:val="38642286"/>
    <w:multiLevelType w:val="hybridMultilevel"/>
    <w:tmpl w:val="5290F346"/>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95">
    <w:nsid w:val="39872FDD"/>
    <w:multiLevelType w:val="hybridMultilevel"/>
    <w:tmpl w:val="BBE495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6">
    <w:nsid w:val="3A231799"/>
    <w:multiLevelType w:val="hybridMultilevel"/>
    <w:tmpl w:val="DDACA2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7">
    <w:nsid w:val="3BA4516E"/>
    <w:multiLevelType w:val="hybridMultilevel"/>
    <w:tmpl w:val="68641E8E"/>
    <w:lvl w:ilvl="0" w:tplc="B56EF1FA">
      <w:start w:val="1"/>
      <w:numFmt w:val="decimal"/>
      <w:pStyle w:val="STBListNumber2"/>
      <w:lvlText w:val="%1."/>
      <w:lvlJc w:val="left"/>
      <w:pPr>
        <w:tabs>
          <w:tab w:val="num" w:pos="1800"/>
        </w:tabs>
        <w:ind w:firstLine="1440"/>
      </w:pPr>
      <w:rPr>
        <w:rFonts w:cs="Times New Roman" w:hint="default"/>
      </w:rPr>
    </w:lvl>
    <w:lvl w:ilvl="1" w:tplc="A0183D1C" w:tentative="1">
      <w:start w:val="1"/>
      <w:numFmt w:val="lowerLetter"/>
      <w:lvlText w:val="%2."/>
      <w:lvlJc w:val="left"/>
      <w:pPr>
        <w:tabs>
          <w:tab w:val="num" w:pos="1440"/>
        </w:tabs>
        <w:ind w:left="1440" w:hanging="360"/>
      </w:pPr>
      <w:rPr>
        <w:rFonts w:cs="Times New Roman"/>
      </w:rPr>
    </w:lvl>
    <w:lvl w:ilvl="2" w:tplc="B0C4BB68" w:tentative="1">
      <w:start w:val="1"/>
      <w:numFmt w:val="lowerRoman"/>
      <w:lvlText w:val="%3."/>
      <w:lvlJc w:val="right"/>
      <w:pPr>
        <w:tabs>
          <w:tab w:val="num" w:pos="2160"/>
        </w:tabs>
        <w:ind w:left="2160" w:hanging="180"/>
      </w:pPr>
      <w:rPr>
        <w:rFonts w:cs="Times New Roman"/>
      </w:rPr>
    </w:lvl>
    <w:lvl w:ilvl="3" w:tplc="308A6376" w:tentative="1">
      <w:start w:val="1"/>
      <w:numFmt w:val="decimal"/>
      <w:lvlText w:val="%4."/>
      <w:lvlJc w:val="left"/>
      <w:pPr>
        <w:tabs>
          <w:tab w:val="num" w:pos="2880"/>
        </w:tabs>
        <w:ind w:left="2880" w:hanging="360"/>
      </w:pPr>
      <w:rPr>
        <w:rFonts w:cs="Times New Roman"/>
      </w:rPr>
    </w:lvl>
    <w:lvl w:ilvl="4" w:tplc="34A2B96E" w:tentative="1">
      <w:start w:val="1"/>
      <w:numFmt w:val="lowerLetter"/>
      <w:lvlText w:val="%5."/>
      <w:lvlJc w:val="left"/>
      <w:pPr>
        <w:tabs>
          <w:tab w:val="num" w:pos="3600"/>
        </w:tabs>
        <w:ind w:left="3600" w:hanging="360"/>
      </w:pPr>
      <w:rPr>
        <w:rFonts w:cs="Times New Roman"/>
      </w:rPr>
    </w:lvl>
    <w:lvl w:ilvl="5" w:tplc="54825BFA" w:tentative="1">
      <w:start w:val="1"/>
      <w:numFmt w:val="lowerRoman"/>
      <w:lvlText w:val="%6."/>
      <w:lvlJc w:val="right"/>
      <w:pPr>
        <w:tabs>
          <w:tab w:val="num" w:pos="4320"/>
        </w:tabs>
        <w:ind w:left="4320" w:hanging="180"/>
      </w:pPr>
      <w:rPr>
        <w:rFonts w:cs="Times New Roman"/>
      </w:rPr>
    </w:lvl>
    <w:lvl w:ilvl="6" w:tplc="142635D4" w:tentative="1">
      <w:start w:val="1"/>
      <w:numFmt w:val="decimal"/>
      <w:lvlText w:val="%7."/>
      <w:lvlJc w:val="left"/>
      <w:pPr>
        <w:tabs>
          <w:tab w:val="num" w:pos="5040"/>
        </w:tabs>
        <w:ind w:left="5040" w:hanging="360"/>
      </w:pPr>
      <w:rPr>
        <w:rFonts w:cs="Times New Roman"/>
      </w:rPr>
    </w:lvl>
    <w:lvl w:ilvl="7" w:tplc="56EE57C2" w:tentative="1">
      <w:start w:val="1"/>
      <w:numFmt w:val="lowerLetter"/>
      <w:lvlText w:val="%8."/>
      <w:lvlJc w:val="left"/>
      <w:pPr>
        <w:tabs>
          <w:tab w:val="num" w:pos="5760"/>
        </w:tabs>
        <w:ind w:left="5760" w:hanging="360"/>
      </w:pPr>
      <w:rPr>
        <w:rFonts w:cs="Times New Roman"/>
      </w:rPr>
    </w:lvl>
    <w:lvl w:ilvl="8" w:tplc="36D6F758" w:tentative="1">
      <w:start w:val="1"/>
      <w:numFmt w:val="lowerRoman"/>
      <w:lvlText w:val="%9."/>
      <w:lvlJc w:val="right"/>
      <w:pPr>
        <w:tabs>
          <w:tab w:val="num" w:pos="6480"/>
        </w:tabs>
        <w:ind w:left="6480" w:hanging="180"/>
      </w:pPr>
      <w:rPr>
        <w:rFonts w:cs="Times New Roman"/>
      </w:rPr>
    </w:lvl>
  </w:abstractNum>
  <w:abstractNum w:abstractNumId="98">
    <w:nsid w:val="3BE03978"/>
    <w:multiLevelType w:val="hybridMultilevel"/>
    <w:tmpl w:val="E19468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9">
    <w:nsid w:val="3BE15A3D"/>
    <w:multiLevelType w:val="hybridMultilevel"/>
    <w:tmpl w:val="23361048"/>
    <w:lvl w:ilvl="0" w:tplc="0C0A0001">
      <w:start w:val="1"/>
      <w:numFmt w:val="bullet"/>
      <w:lvlText w:val=""/>
      <w:lvlJc w:val="left"/>
      <w:pPr>
        <w:tabs>
          <w:tab w:val="num" w:pos="1080"/>
        </w:tabs>
        <w:ind w:left="108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0">
    <w:nsid w:val="3CF24F8E"/>
    <w:multiLevelType w:val="hybridMultilevel"/>
    <w:tmpl w:val="9E966C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1">
    <w:nsid w:val="3DD85338"/>
    <w:multiLevelType w:val="hybridMultilevel"/>
    <w:tmpl w:val="4D0C3CA6"/>
    <w:lvl w:ilvl="0" w:tplc="0C0A0001">
      <w:start w:val="1"/>
      <w:numFmt w:val="bullet"/>
      <w:pStyle w:val="STBBullet3DBL"/>
      <w:lvlText w:val=""/>
      <w:lvlJc w:val="left"/>
      <w:pPr>
        <w:tabs>
          <w:tab w:val="num" w:pos="1440"/>
        </w:tabs>
        <w:ind w:firstLine="1080"/>
      </w:pPr>
      <w:rPr>
        <w:rFonts w:ascii="Symbol" w:hAnsi="Symbol" w:hint="default"/>
      </w:rPr>
    </w:lvl>
    <w:lvl w:ilvl="1" w:tplc="321CC8A4" w:tentative="1">
      <w:start w:val="1"/>
      <w:numFmt w:val="bullet"/>
      <w:lvlText w:val="o"/>
      <w:lvlJc w:val="left"/>
      <w:pPr>
        <w:tabs>
          <w:tab w:val="num" w:pos="1440"/>
        </w:tabs>
        <w:ind w:left="1440" w:hanging="360"/>
      </w:pPr>
      <w:rPr>
        <w:rFonts w:ascii="Courier New" w:hAnsi="Courier New" w:hint="default"/>
      </w:rPr>
    </w:lvl>
    <w:lvl w:ilvl="2" w:tplc="F800D57C" w:tentative="1">
      <w:start w:val="1"/>
      <w:numFmt w:val="bullet"/>
      <w:lvlText w:val=""/>
      <w:lvlJc w:val="left"/>
      <w:pPr>
        <w:tabs>
          <w:tab w:val="num" w:pos="2160"/>
        </w:tabs>
        <w:ind w:left="2160" w:hanging="360"/>
      </w:pPr>
      <w:rPr>
        <w:rFonts w:ascii="Wingdings" w:hAnsi="Wingdings" w:hint="default"/>
      </w:rPr>
    </w:lvl>
    <w:lvl w:ilvl="3" w:tplc="7B26F212" w:tentative="1">
      <w:start w:val="1"/>
      <w:numFmt w:val="bullet"/>
      <w:lvlText w:val=""/>
      <w:lvlJc w:val="left"/>
      <w:pPr>
        <w:tabs>
          <w:tab w:val="num" w:pos="2880"/>
        </w:tabs>
        <w:ind w:left="2880" w:hanging="360"/>
      </w:pPr>
      <w:rPr>
        <w:rFonts w:ascii="Symbol" w:hAnsi="Symbol" w:hint="default"/>
      </w:rPr>
    </w:lvl>
    <w:lvl w:ilvl="4" w:tplc="362C87AA" w:tentative="1">
      <w:start w:val="1"/>
      <w:numFmt w:val="bullet"/>
      <w:lvlText w:val="o"/>
      <w:lvlJc w:val="left"/>
      <w:pPr>
        <w:tabs>
          <w:tab w:val="num" w:pos="3600"/>
        </w:tabs>
        <w:ind w:left="3600" w:hanging="360"/>
      </w:pPr>
      <w:rPr>
        <w:rFonts w:ascii="Courier New" w:hAnsi="Courier New" w:hint="default"/>
      </w:rPr>
    </w:lvl>
    <w:lvl w:ilvl="5" w:tplc="E6001AB4" w:tentative="1">
      <w:start w:val="1"/>
      <w:numFmt w:val="bullet"/>
      <w:lvlText w:val=""/>
      <w:lvlJc w:val="left"/>
      <w:pPr>
        <w:tabs>
          <w:tab w:val="num" w:pos="4320"/>
        </w:tabs>
        <w:ind w:left="4320" w:hanging="360"/>
      </w:pPr>
      <w:rPr>
        <w:rFonts w:ascii="Wingdings" w:hAnsi="Wingdings" w:hint="default"/>
      </w:rPr>
    </w:lvl>
    <w:lvl w:ilvl="6" w:tplc="CF0696AE" w:tentative="1">
      <w:start w:val="1"/>
      <w:numFmt w:val="bullet"/>
      <w:lvlText w:val=""/>
      <w:lvlJc w:val="left"/>
      <w:pPr>
        <w:tabs>
          <w:tab w:val="num" w:pos="5040"/>
        </w:tabs>
        <w:ind w:left="5040" w:hanging="360"/>
      </w:pPr>
      <w:rPr>
        <w:rFonts w:ascii="Symbol" w:hAnsi="Symbol" w:hint="default"/>
      </w:rPr>
    </w:lvl>
    <w:lvl w:ilvl="7" w:tplc="332C76DC" w:tentative="1">
      <w:start w:val="1"/>
      <w:numFmt w:val="bullet"/>
      <w:lvlText w:val="o"/>
      <w:lvlJc w:val="left"/>
      <w:pPr>
        <w:tabs>
          <w:tab w:val="num" w:pos="5760"/>
        </w:tabs>
        <w:ind w:left="5760" w:hanging="360"/>
      </w:pPr>
      <w:rPr>
        <w:rFonts w:ascii="Courier New" w:hAnsi="Courier New" w:hint="default"/>
      </w:rPr>
    </w:lvl>
    <w:lvl w:ilvl="8" w:tplc="59A232F0" w:tentative="1">
      <w:start w:val="1"/>
      <w:numFmt w:val="bullet"/>
      <w:lvlText w:val=""/>
      <w:lvlJc w:val="left"/>
      <w:pPr>
        <w:tabs>
          <w:tab w:val="num" w:pos="6480"/>
        </w:tabs>
        <w:ind w:left="6480" w:hanging="360"/>
      </w:pPr>
      <w:rPr>
        <w:rFonts w:ascii="Wingdings" w:hAnsi="Wingdings" w:hint="default"/>
      </w:rPr>
    </w:lvl>
  </w:abstractNum>
  <w:abstractNum w:abstractNumId="102">
    <w:nsid w:val="3E225833"/>
    <w:multiLevelType w:val="hybridMultilevel"/>
    <w:tmpl w:val="B4C6B352"/>
    <w:lvl w:ilvl="0" w:tplc="56BE35F6">
      <w:start w:val="1"/>
      <w:numFmt w:val="lowerRoman"/>
      <w:lvlText w:val="(%1)"/>
      <w:lvlJc w:val="left"/>
      <w:pPr>
        <w:ind w:left="1778" w:hanging="360"/>
      </w:pPr>
      <w:rPr>
        <w:rFonts w:cs="Times New Roman"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103">
    <w:nsid w:val="3E3B2D62"/>
    <w:multiLevelType w:val="hybridMultilevel"/>
    <w:tmpl w:val="70C0F508"/>
    <w:lvl w:ilvl="0" w:tplc="B5145198">
      <w:start w:val="1"/>
      <w:numFmt w:val="decimal"/>
      <w:pStyle w:val="STBListNumber4DBL"/>
      <w:lvlText w:val="%1."/>
      <w:lvlJc w:val="left"/>
      <w:pPr>
        <w:tabs>
          <w:tab w:val="num" w:pos="3240"/>
        </w:tabs>
        <w:ind w:firstLine="288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04">
    <w:nsid w:val="3E631C66"/>
    <w:multiLevelType w:val="hybridMultilevel"/>
    <w:tmpl w:val="8C2CF8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5">
    <w:nsid w:val="3EC549DB"/>
    <w:multiLevelType w:val="hybridMultilevel"/>
    <w:tmpl w:val="109E0132"/>
    <w:lvl w:ilvl="0" w:tplc="0C0A0001">
      <w:start w:val="1"/>
      <w:numFmt w:val="bullet"/>
      <w:lvlText w:val=""/>
      <w:lvlJc w:val="left"/>
      <w:pPr>
        <w:tabs>
          <w:tab w:val="num" w:pos="1080"/>
        </w:tabs>
        <w:ind w:left="1080" w:hanging="360"/>
      </w:pPr>
      <w:rPr>
        <w:rFonts w:ascii="Symbol" w:hAnsi="Symbol" w:hint="default"/>
      </w:rPr>
    </w:lvl>
    <w:lvl w:ilvl="1" w:tplc="0C0A0003" w:tentative="1">
      <w:start w:val="1"/>
      <w:numFmt w:val="bullet"/>
      <w:lvlText w:val="o"/>
      <w:lvlJc w:val="left"/>
      <w:pPr>
        <w:tabs>
          <w:tab w:val="num" w:pos="1800"/>
        </w:tabs>
        <w:ind w:left="1800" w:hanging="360"/>
      </w:pPr>
      <w:rPr>
        <w:rFonts w:ascii="Courier New" w:hAnsi="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06">
    <w:nsid w:val="3EC966AF"/>
    <w:multiLevelType w:val="hybridMultilevel"/>
    <w:tmpl w:val="30B017DC"/>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107">
    <w:nsid w:val="3F015060"/>
    <w:multiLevelType w:val="hybridMultilevel"/>
    <w:tmpl w:val="8ECA4556"/>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08">
    <w:nsid w:val="3F270E07"/>
    <w:multiLevelType w:val="hybridMultilevel"/>
    <w:tmpl w:val="203E533A"/>
    <w:lvl w:ilvl="0" w:tplc="3C4CA35A">
      <w:start w:val="1"/>
      <w:numFmt w:val="lowerRoman"/>
      <w:lvlText w:val="(%1)"/>
      <w:lvlJc w:val="left"/>
      <w:pPr>
        <w:ind w:left="1780" w:hanging="360"/>
      </w:pPr>
      <w:rPr>
        <w:rFonts w:cs="Times New Roman" w:hint="default"/>
        <w:b w:val="0"/>
      </w:rPr>
    </w:lvl>
    <w:lvl w:ilvl="1" w:tplc="2C0A0019" w:tentative="1">
      <w:start w:val="1"/>
      <w:numFmt w:val="lowerLetter"/>
      <w:lvlText w:val="%2."/>
      <w:lvlJc w:val="left"/>
      <w:pPr>
        <w:ind w:left="2500" w:hanging="360"/>
      </w:pPr>
    </w:lvl>
    <w:lvl w:ilvl="2" w:tplc="2C0A001B" w:tentative="1">
      <w:start w:val="1"/>
      <w:numFmt w:val="lowerRoman"/>
      <w:lvlText w:val="%3."/>
      <w:lvlJc w:val="right"/>
      <w:pPr>
        <w:ind w:left="3220" w:hanging="180"/>
      </w:pPr>
    </w:lvl>
    <w:lvl w:ilvl="3" w:tplc="2C0A000F" w:tentative="1">
      <w:start w:val="1"/>
      <w:numFmt w:val="decimal"/>
      <w:lvlText w:val="%4."/>
      <w:lvlJc w:val="left"/>
      <w:pPr>
        <w:ind w:left="3940" w:hanging="360"/>
      </w:pPr>
    </w:lvl>
    <w:lvl w:ilvl="4" w:tplc="2C0A0019" w:tentative="1">
      <w:start w:val="1"/>
      <w:numFmt w:val="lowerLetter"/>
      <w:lvlText w:val="%5."/>
      <w:lvlJc w:val="left"/>
      <w:pPr>
        <w:ind w:left="4660" w:hanging="360"/>
      </w:pPr>
    </w:lvl>
    <w:lvl w:ilvl="5" w:tplc="2C0A001B" w:tentative="1">
      <w:start w:val="1"/>
      <w:numFmt w:val="lowerRoman"/>
      <w:lvlText w:val="%6."/>
      <w:lvlJc w:val="right"/>
      <w:pPr>
        <w:ind w:left="5380" w:hanging="180"/>
      </w:pPr>
    </w:lvl>
    <w:lvl w:ilvl="6" w:tplc="2C0A000F" w:tentative="1">
      <w:start w:val="1"/>
      <w:numFmt w:val="decimal"/>
      <w:lvlText w:val="%7."/>
      <w:lvlJc w:val="left"/>
      <w:pPr>
        <w:ind w:left="6100" w:hanging="360"/>
      </w:pPr>
    </w:lvl>
    <w:lvl w:ilvl="7" w:tplc="2C0A0019" w:tentative="1">
      <w:start w:val="1"/>
      <w:numFmt w:val="lowerLetter"/>
      <w:lvlText w:val="%8."/>
      <w:lvlJc w:val="left"/>
      <w:pPr>
        <w:ind w:left="6820" w:hanging="360"/>
      </w:pPr>
    </w:lvl>
    <w:lvl w:ilvl="8" w:tplc="2C0A001B" w:tentative="1">
      <w:start w:val="1"/>
      <w:numFmt w:val="lowerRoman"/>
      <w:lvlText w:val="%9."/>
      <w:lvlJc w:val="right"/>
      <w:pPr>
        <w:ind w:left="7540" w:hanging="180"/>
      </w:pPr>
    </w:lvl>
  </w:abstractNum>
  <w:abstractNum w:abstractNumId="109">
    <w:nsid w:val="3FAF6111"/>
    <w:multiLevelType w:val="hybridMultilevel"/>
    <w:tmpl w:val="67D83C5C"/>
    <w:lvl w:ilvl="0" w:tplc="4F8C0D9E">
      <w:start w:val="1"/>
      <w:numFmt w:val="decimal"/>
      <w:lvlText w:val="(%1)"/>
      <w:lvlJc w:val="left"/>
      <w:pPr>
        <w:tabs>
          <w:tab w:val="num" w:pos="2204"/>
        </w:tabs>
        <w:ind w:left="2204" w:hanging="360"/>
      </w:pPr>
      <w:rPr>
        <w:rFonts w:cs="Times New Roman" w:hint="default"/>
        <w:b w:val="0"/>
        <w:i w:val="0"/>
        <w:sz w:val="16"/>
      </w:rPr>
    </w:lvl>
    <w:lvl w:ilvl="1" w:tplc="0C0A0019" w:tentative="1">
      <w:start w:val="1"/>
      <w:numFmt w:val="lowerLetter"/>
      <w:lvlText w:val="%2."/>
      <w:lvlJc w:val="left"/>
      <w:pPr>
        <w:tabs>
          <w:tab w:val="num" w:pos="2564"/>
        </w:tabs>
        <w:ind w:left="2564" w:hanging="360"/>
      </w:pPr>
      <w:rPr>
        <w:rFonts w:cs="Times New Roman"/>
      </w:rPr>
    </w:lvl>
    <w:lvl w:ilvl="2" w:tplc="0C0A001B" w:tentative="1">
      <w:start w:val="1"/>
      <w:numFmt w:val="lowerRoman"/>
      <w:lvlText w:val="%3."/>
      <w:lvlJc w:val="right"/>
      <w:pPr>
        <w:tabs>
          <w:tab w:val="num" w:pos="3284"/>
        </w:tabs>
        <w:ind w:left="3284" w:hanging="180"/>
      </w:pPr>
      <w:rPr>
        <w:rFonts w:cs="Times New Roman"/>
      </w:rPr>
    </w:lvl>
    <w:lvl w:ilvl="3" w:tplc="0C0A000F" w:tentative="1">
      <w:start w:val="1"/>
      <w:numFmt w:val="decimal"/>
      <w:lvlText w:val="%4."/>
      <w:lvlJc w:val="left"/>
      <w:pPr>
        <w:tabs>
          <w:tab w:val="num" w:pos="4004"/>
        </w:tabs>
        <w:ind w:left="4004" w:hanging="360"/>
      </w:pPr>
      <w:rPr>
        <w:rFonts w:cs="Times New Roman"/>
      </w:rPr>
    </w:lvl>
    <w:lvl w:ilvl="4" w:tplc="0C0A0019" w:tentative="1">
      <w:start w:val="1"/>
      <w:numFmt w:val="lowerLetter"/>
      <w:lvlText w:val="%5."/>
      <w:lvlJc w:val="left"/>
      <w:pPr>
        <w:tabs>
          <w:tab w:val="num" w:pos="4724"/>
        </w:tabs>
        <w:ind w:left="4724" w:hanging="360"/>
      </w:pPr>
      <w:rPr>
        <w:rFonts w:cs="Times New Roman"/>
      </w:rPr>
    </w:lvl>
    <w:lvl w:ilvl="5" w:tplc="0C0A001B" w:tentative="1">
      <w:start w:val="1"/>
      <w:numFmt w:val="lowerRoman"/>
      <w:lvlText w:val="%6."/>
      <w:lvlJc w:val="right"/>
      <w:pPr>
        <w:tabs>
          <w:tab w:val="num" w:pos="5444"/>
        </w:tabs>
        <w:ind w:left="5444" w:hanging="180"/>
      </w:pPr>
      <w:rPr>
        <w:rFonts w:cs="Times New Roman"/>
      </w:rPr>
    </w:lvl>
    <w:lvl w:ilvl="6" w:tplc="0C0A000F" w:tentative="1">
      <w:start w:val="1"/>
      <w:numFmt w:val="decimal"/>
      <w:lvlText w:val="%7."/>
      <w:lvlJc w:val="left"/>
      <w:pPr>
        <w:tabs>
          <w:tab w:val="num" w:pos="6164"/>
        </w:tabs>
        <w:ind w:left="6164" w:hanging="360"/>
      </w:pPr>
      <w:rPr>
        <w:rFonts w:cs="Times New Roman"/>
      </w:rPr>
    </w:lvl>
    <w:lvl w:ilvl="7" w:tplc="0C0A0019" w:tentative="1">
      <w:start w:val="1"/>
      <w:numFmt w:val="lowerLetter"/>
      <w:lvlText w:val="%8."/>
      <w:lvlJc w:val="left"/>
      <w:pPr>
        <w:tabs>
          <w:tab w:val="num" w:pos="6884"/>
        </w:tabs>
        <w:ind w:left="6884" w:hanging="360"/>
      </w:pPr>
      <w:rPr>
        <w:rFonts w:cs="Times New Roman"/>
      </w:rPr>
    </w:lvl>
    <w:lvl w:ilvl="8" w:tplc="0C0A001B" w:tentative="1">
      <w:start w:val="1"/>
      <w:numFmt w:val="lowerRoman"/>
      <w:lvlText w:val="%9."/>
      <w:lvlJc w:val="right"/>
      <w:pPr>
        <w:tabs>
          <w:tab w:val="num" w:pos="7604"/>
        </w:tabs>
        <w:ind w:left="7604" w:hanging="180"/>
      </w:pPr>
      <w:rPr>
        <w:rFonts w:cs="Times New Roman"/>
      </w:rPr>
    </w:lvl>
  </w:abstractNum>
  <w:abstractNum w:abstractNumId="110">
    <w:nsid w:val="40055454"/>
    <w:multiLevelType w:val="hybridMultilevel"/>
    <w:tmpl w:val="A524F8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1">
    <w:nsid w:val="4014067D"/>
    <w:multiLevelType w:val="hybridMultilevel"/>
    <w:tmpl w:val="B87C036C"/>
    <w:lvl w:ilvl="0" w:tplc="B5D425EC">
      <w:start w:val="1"/>
      <w:numFmt w:val="decimal"/>
      <w:pStyle w:val="ZBVBullet1"/>
      <w:lvlText w:val="%1."/>
      <w:lvlJc w:val="left"/>
      <w:pPr>
        <w:tabs>
          <w:tab w:val="num" w:pos="3141"/>
        </w:tabs>
        <w:ind w:left="3141" w:hanging="360"/>
      </w:pPr>
      <w:rPr>
        <w:rFonts w:cs="Times New Roman" w:hint="default"/>
      </w:rPr>
    </w:lvl>
    <w:lvl w:ilvl="1" w:tplc="0C0A0003">
      <w:start w:val="1"/>
      <w:numFmt w:val="bullet"/>
      <w:lvlText w:val="o"/>
      <w:lvlJc w:val="left"/>
      <w:pPr>
        <w:tabs>
          <w:tab w:val="num" w:pos="3861"/>
        </w:tabs>
        <w:ind w:left="3861" w:hanging="360"/>
      </w:pPr>
      <w:rPr>
        <w:rFonts w:ascii="Courier New" w:hAnsi="Courier New" w:hint="default"/>
      </w:rPr>
    </w:lvl>
    <w:lvl w:ilvl="2" w:tplc="0C0A0005">
      <w:start w:val="1"/>
      <w:numFmt w:val="bullet"/>
      <w:lvlText w:val=""/>
      <w:lvlJc w:val="left"/>
      <w:pPr>
        <w:tabs>
          <w:tab w:val="num" w:pos="4581"/>
        </w:tabs>
        <w:ind w:left="4581" w:hanging="360"/>
      </w:pPr>
      <w:rPr>
        <w:rFonts w:ascii="Wingdings" w:hAnsi="Wingdings" w:hint="default"/>
      </w:rPr>
    </w:lvl>
    <w:lvl w:ilvl="3" w:tplc="0C0A0001">
      <w:start w:val="1"/>
      <w:numFmt w:val="bullet"/>
      <w:lvlText w:val=""/>
      <w:lvlJc w:val="left"/>
      <w:pPr>
        <w:tabs>
          <w:tab w:val="num" w:pos="5301"/>
        </w:tabs>
        <w:ind w:left="5301" w:hanging="360"/>
      </w:pPr>
      <w:rPr>
        <w:rFonts w:ascii="Symbol" w:hAnsi="Symbol" w:hint="default"/>
      </w:rPr>
    </w:lvl>
    <w:lvl w:ilvl="4" w:tplc="0C0A0003">
      <w:start w:val="1"/>
      <w:numFmt w:val="bullet"/>
      <w:lvlText w:val="o"/>
      <w:lvlJc w:val="left"/>
      <w:pPr>
        <w:tabs>
          <w:tab w:val="num" w:pos="6021"/>
        </w:tabs>
        <w:ind w:left="6021" w:hanging="360"/>
      </w:pPr>
      <w:rPr>
        <w:rFonts w:ascii="Courier New" w:hAnsi="Courier New" w:hint="default"/>
      </w:rPr>
    </w:lvl>
    <w:lvl w:ilvl="5" w:tplc="0C0A0005">
      <w:start w:val="1"/>
      <w:numFmt w:val="bullet"/>
      <w:lvlText w:val=""/>
      <w:lvlJc w:val="left"/>
      <w:pPr>
        <w:tabs>
          <w:tab w:val="num" w:pos="6741"/>
        </w:tabs>
        <w:ind w:left="6741" w:hanging="360"/>
      </w:pPr>
      <w:rPr>
        <w:rFonts w:ascii="Wingdings" w:hAnsi="Wingdings" w:hint="default"/>
      </w:rPr>
    </w:lvl>
    <w:lvl w:ilvl="6" w:tplc="0C0A0001">
      <w:start w:val="1"/>
      <w:numFmt w:val="bullet"/>
      <w:lvlText w:val=""/>
      <w:lvlJc w:val="left"/>
      <w:pPr>
        <w:tabs>
          <w:tab w:val="num" w:pos="7461"/>
        </w:tabs>
        <w:ind w:left="7461" w:hanging="360"/>
      </w:pPr>
      <w:rPr>
        <w:rFonts w:ascii="Symbol" w:hAnsi="Symbol" w:hint="default"/>
      </w:rPr>
    </w:lvl>
    <w:lvl w:ilvl="7" w:tplc="0C0A0003">
      <w:start w:val="1"/>
      <w:numFmt w:val="bullet"/>
      <w:lvlText w:val="o"/>
      <w:lvlJc w:val="left"/>
      <w:pPr>
        <w:tabs>
          <w:tab w:val="num" w:pos="8181"/>
        </w:tabs>
        <w:ind w:left="8181" w:hanging="360"/>
      </w:pPr>
      <w:rPr>
        <w:rFonts w:ascii="Courier New" w:hAnsi="Courier New" w:hint="default"/>
      </w:rPr>
    </w:lvl>
    <w:lvl w:ilvl="8" w:tplc="0C0A0005">
      <w:start w:val="1"/>
      <w:numFmt w:val="bullet"/>
      <w:lvlText w:val=""/>
      <w:lvlJc w:val="left"/>
      <w:pPr>
        <w:tabs>
          <w:tab w:val="num" w:pos="8901"/>
        </w:tabs>
        <w:ind w:left="8901" w:hanging="360"/>
      </w:pPr>
      <w:rPr>
        <w:rFonts w:ascii="Wingdings" w:hAnsi="Wingdings" w:hint="default"/>
      </w:rPr>
    </w:lvl>
  </w:abstractNum>
  <w:abstractNum w:abstractNumId="112">
    <w:nsid w:val="417A2E08"/>
    <w:multiLevelType w:val="hybridMultilevel"/>
    <w:tmpl w:val="507E70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3">
    <w:nsid w:val="42D823ED"/>
    <w:multiLevelType w:val="multilevel"/>
    <w:tmpl w:val="666A817C"/>
    <w:lvl w:ilvl="0">
      <w:start w:val="1"/>
      <w:numFmt w:val="upperRoman"/>
      <w:pStyle w:val="Outline1L1"/>
      <w:suff w:val="nothing"/>
      <w:lvlText w:val="PARTe %1:     "/>
      <w:lvlJc w:val="left"/>
      <w:pPr>
        <w:ind w:left="1350"/>
      </w:pPr>
      <w:rPr>
        <w:rFonts w:cs="Times New Roman" w:hint="default"/>
        <w:b/>
        <w:i w:val="0"/>
        <w:caps/>
        <w:smallCaps w:val="0"/>
        <w:color w:val="auto"/>
        <w:u w:val="none"/>
      </w:rPr>
    </w:lvl>
    <w:lvl w:ilvl="1">
      <w:start w:val="1"/>
      <w:numFmt w:val="none"/>
      <w:lvlRestart w:val="0"/>
      <w:pStyle w:val="Outline1L2"/>
      <w:suff w:val="nothing"/>
      <w:lvlText w:val=""/>
      <w:lvlJc w:val="left"/>
      <w:pPr>
        <w:ind w:left="-540"/>
      </w:pPr>
      <w:rPr>
        <w:rFonts w:cs="Times New Roman" w:hint="default"/>
        <w:b/>
        <w:i w:val="0"/>
        <w:caps w:val="0"/>
        <w:color w:val="auto"/>
        <w:u w:val="none"/>
      </w:rPr>
    </w:lvl>
    <w:lvl w:ilvl="2">
      <w:start w:val="1"/>
      <w:numFmt w:val="none"/>
      <w:lvlRestart w:val="0"/>
      <w:pStyle w:val="Outline1L3"/>
      <w:suff w:val="nothing"/>
      <w:lvlText w:val=""/>
      <w:lvlJc w:val="left"/>
      <w:pPr>
        <w:ind w:left="-540"/>
      </w:pPr>
      <w:rPr>
        <w:rFonts w:cs="Times New Roman" w:hint="default"/>
        <w:b/>
        <w:i w:val="0"/>
        <w:caps w:val="0"/>
        <w:color w:val="auto"/>
        <w:u w:val="none"/>
      </w:rPr>
    </w:lvl>
    <w:lvl w:ilvl="3">
      <w:start w:val="1"/>
      <w:numFmt w:val="none"/>
      <w:lvlRestart w:val="0"/>
      <w:pStyle w:val="Outline1L4"/>
      <w:suff w:val="nothing"/>
      <w:lvlText w:val=""/>
      <w:lvlJc w:val="left"/>
      <w:pPr>
        <w:ind w:left="-540"/>
      </w:pPr>
      <w:rPr>
        <w:rFonts w:cs="Times New Roman" w:hint="default"/>
        <w:b w:val="0"/>
        <w:i w:val="0"/>
        <w:caps w:val="0"/>
        <w:color w:val="auto"/>
        <w:u w:val="none"/>
      </w:rPr>
    </w:lvl>
    <w:lvl w:ilvl="4">
      <w:start w:val="1"/>
      <w:numFmt w:val="lowerRoman"/>
      <w:pStyle w:val="Outline1L5"/>
      <w:lvlText w:val="(%5)"/>
      <w:lvlJc w:val="left"/>
      <w:pPr>
        <w:tabs>
          <w:tab w:val="num" w:pos="2340"/>
        </w:tabs>
        <w:ind w:left="2340" w:hanging="720"/>
      </w:pPr>
      <w:rPr>
        <w:rFonts w:cs="Times New Roman" w:hint="default"/>
        <w:b w:val="0"/>
        <w:i w:val="0"/>
        <w:caps w:val="0"/>
        <w:color w:val="auto"/>
        <w:u w:val="none"/>
      </w:rPr>
    </w:lvl>
    <w:lvl w:ilvl="5">
      <w:start w:val="1"/>
      <w:numFmt w:val="upperLetter"/>
      <w:pStyle w:val="Outline1L6"/>
      <w:lvlText w:val="(%6)"/>
      <w:lvlJc w:val="left"/>
      <w:pPr>
        <w:tabs>
          <w:tab w:val="num" w:pos="3060"/>
        </w:tabs>
        <w:ind w:left="3060" w:hanging="720"/>
      </w:pPr>
      <w:rPr>
        <w:rFonts w:cs="Times New Roman" w:hint="default"/>
        <w:b w:val="0"/>
        <w:i w:val="0"/>
        <w:caps w:val="0"/>
        <w:color w:val="auto"/>
        <w:u w:val="none"/>
      </w:rPr>
    </w:lvl>
    <w:lvl w:ilvl="6">
      <w:start w:val="1"/>
      <w:numFmt w:val="bullet"/>
      <w:lvlRestart w:val="0"/>
      <w:pStyle w:val="Outline1L7"/>
      <w:lvlText w:val="·"/>
      <w:lvlJc w:val="left"/>
      <w:pPr>
        <w:tabs>
          <w:tab w:val="num" w:pos="180"/>
        </w:tabs>
        <w:ind w:left="180" w:hanging="720"/>
      </w:pPr>
      <w:rPr>
        <w:rFonts w:ascii="Symbol" w:hAnsi="Symbol" w:hint="default"/>
        <w:b w:val="0"/>
        <w:i w:val="0"/>
        <w:caps w:val="0"/>
        <w:color w:val="auto"/>
        <w:u w:val="none"/>
      </w:rPr>
    </w:lvl>
    <w:lvl w:ilvl="7">
      <w:start w:val="1"/>
      <w:numFmt w:val="lowerLetter"/>
      <w:lvlText w:val="%8."/>
      <w:lvlJc w:val="left"/>
      <w:pPr>
        <w:tabs>
          <w:tab w:val="num" w:pos="2340"/>
        </w:tabs>
        <w:ind w:left="2340" w:hanging="360"/>
      </w:pPr>
      <w:rPr>
        <w:rFonts w:cs="Times New Roman" w:hint="default"/>
      </w:rPr>
    </w:lvl>
    <w:lvl w:ilvl="8">
      <w:start w:val="1"/>
      <w:numFmt w:val="lowerRoman"/>
      <w:lvlText w:val="%9."/>
      <w:lvlJc w:val="left"/>
      <w:pPr>
        <w:tabs>
          <w:tab w:val="num" w:pos="2700"/>
        </w:tabs>
        <w:ind w:left="2700" w:hanging="360"/>
      </w:pPr>
      <w:rPr>
        <w:rFonts w:cs="Times New Roman" w:hint="default"/>
      </w:rPr>
    </w:lvl>
  </w:abstractNum>
  <w:abstractNum w:abstractNumId="114">
    <w:nsid w:val="43821404"/>
    <w:multiLevelType w:val="hybridMultilevel"/>
    <w:tmpl w:val="3BC41660"/>
    <w:lvl w:ilvl="0" w:tplc="A7E0CFDE">
      <w:numFmt w:val="bullet"/>
      <w:lvlText w:val="-"/>
      <w:lvlJc w:val="left"/>
      <w:pPr>
        <w:ind w:left="1713" w:hanging="360"/>
      </w:pPr>
      <w:rPr>
        <w:rFonts w:ascii="Times New Roman" w:eastAsia="Times New Roman" w:hAnsi="Times New Roman" w:hint="default"/>
      </w:rPr>
    </w:lvl>
    <w:lvl w:ilvl="1" w:tplc="2C0A0003" w:tentative="1">
      <w:start w:val="1"/>
      <w:numFmt w:val="bullet"/>
      <w:lvlText w:val="o"/>
      <w:lvlJc w:val="left"/>
      <w:pPr>
        <w:ind w:left="2433" w:hanging="360"/>
      </w:pPr>
      <w:rPr>
        <w:rFonts w:ascii="Courier New" w:hAnsi="Courier New" w:hint="default"/>
      </w:rPr>
    </w:lvl>
    <w:lvl w:ilvl="2" w:tplc="2C0A0005" w:tentative="1">
      <w:start w:val="1"/>
      <w:numFmt w:val="bullet"/>
      <w:lvlText w:val=""/>
      <w:lvlJc w:val="left"/>
      <w:pPr>
        <w:ind w:left="3153" w:hanging="360"/>
      </w:pPr>
      <w:rPr>
        <w:rFonts w:ascii="Wingdings" w:hAnsi="Wingdings" w:hint="default"/>
      </w:rPr>
    </w:lvl>
    <w:lvl w:ilvl="3" w:tplc="2C0A0001" w:tentative="1">
      <w:start w:val="1"/>
      <w:numFmt w:val="bullet"/>
      <w:lvlText w:val=""/>
      <w:lvlJc w:val="left"/>
      <w:pPr>
        <w:ind w:left="3873" w:hanging="360"/>
      </w:pPr>
      <w:rPr>
        <w:rFonts w:ascii="Symbol" w:hAnsi="Symbol" w:hint="default"/>
      </w:rPr>
    </w:lvl>
    <w:lvl w:ilvl="4" w:tplc="2C0A0003" w:tentative="1">
      <w:start w:val="1"/>
      <w:numFmt w:val="bullet"/>
      <w:lvlText w:val="o"/>
      <w:lvlJc w:val="left"/>
      <w:pPr>
        <w:ind w:left="4593" w:hanging="360"/>
      </w:pPr>
      <w:rPr>
        <w:rFonts w:ascii="Courier New" w:hAnsi="Courier New" w:hint="default"/>
      </w:rPr>
    </w:lvl>
    <w:lvl w:ilvl="5" w:tplc="2C0A0005" w:tentative="1">
      <w:start w:val="1"/>
      <w:numFmt w:val="bullet"/>
      <w:lvlText w:val=""/>
      <w:lvlJc w:val="left"/>
      <w:pPr>
        <w:ind w:left="5313" w:hanging="360"/>
      </w:pPr>
      <w:rPr>
        <w:rFonts w:ascii="Wingdings" w:hAnsi="Wingdings" w:hint="default"/>
      </w:rPr>
    </w:lvl>
    <w:lvl w:ilvl="6" w:tplc="2C0A0001" w:tentative="1">
      <w:start w:val="1"/>
      <w:numFmt w:val="bullet"/>
      <w:lvlText w:val=""/>
      <w:lvlJc w:val="left"/>
      <w:pPr>
        <w:ind w:left="6033" w:hanging="360"/>
      </w:pPr>
      <w:rPr>
        <w:rFonts w:ascii="Symbol" w:hAnsi="Symbol" w:hint="default"/>
      </w:rPr>
    </w:lvl>
    <w:lvl w:ilvl="7" w:tplc="2C0A0003" w:tentative="1">
      <w:start w:val="1"/>
      <w:numFmt w:val="bullet"/>
      <w:lvlText w:val="o"/>
      <w:lvlJc w:val="left"/>
      <w:pPr>
        <w:ind w:left="6753" w:hanging="360"/>
      </w:pPr>
      <w:rPr>
        <w:rFonts w:ascii="Courier New" w:hAnsi="Courier New" w:hint="default"/>
      </w:rPr>
    </w:lvl>
    <w:lvl w:ilvl="8" w:tplc="2C0A0005" w:tentative="1">
      <w:start w:val="1"/>
      <w:numFmt w:val="bullet"/>
      <w:lvlText w:val=""/>
      <w:lvlJc w:val="left"/>
      <w:pPr>
        <w:ind w:left="7473" w:hanging="360"/>
      </w:pPr>
      <w:rPr>
        <w:rFonts w:ascii="Wingdings" w:hAnsi="Wingdings" w:hint="default"/>
      </w:rPr>
    </w:lvl>
  </w:abstractNum>
  <w:abstractNum w:abstractNumId="115">
    <w:nsid w:val="447B6F5D"/>
    <w:multiLevelType w:val="hybridMultilevel"/>
    <w:tmpl w:val="45506A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6">
    <w:nsid w:val="461B4CBF"/>
    <w:multiLevelType w:val="hybridMultilevel"/>
    <w:tmpl w:val="FDF8A70E"/>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17">
    <w:nsid w:val="465C6D31"/>
    <w:multiLevelType w:val="hybridMultilevel"/>
    <w:tmpl w:val="9FECC92E"/>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18">
    <w:nsid w:val="47346C55"/>
    <w:multiLevelType w:val="hybridMultilevel"/>
    <w:tmpl w:val="8AA8D706"/>
    <w:lvl w:ilvl="0" w:tplc="35CA0F0C">
      <w:start w:val="1"/>
      <w:numFmt w:val="decimal"/>
      <w:lvlText w:val="(%1)"/>
      <w:lvlJc w:val="left"/>
      <w:pPr>
        <w:ind w:left="720" w:hanging="360"/>
      </w:pPr>
      <w:rPr>
        <w:rFonts w:cs="Times New Roman" w:hint="default"/>
      </w:rPr>
    </w:lvl>
    <w:lvl w:ilvl="1" w:tplc="2C0A0019" w:tentative="1">
      <w:start w:val="1"/>
      <w:numFmt w:val="lowerLetter"/>
      <w:lvlText w:val="%2."/>
      <w:lvlJc w:val="left"/>
      <w:pPr>
        <w:ind w:left="1440" w:hanging="360"/>
      </w:pPr>
      <w:rPr>
        <w:rFonts w:cs="Times New Roman"/>
      </w:rPr>
    </w:lvl>
    <w:lvl w:ilvl="2" w:tplc="2C0A001B" w:tentative="1">
      <w:start w:val="1"/>
      <w:numFmt w:val="lowerRoman"/>
      <w:lvlText w:val="%3."/>
      <w:lvlJc w:val="right"/>
      <w:pPr>
        <w:ind w:left="2160" w:hanging="180"/>
      </w:pPr>
      <w:rPr>
        <w:rFonts w:cs="Times New Roman"/>
      </w:rPr>
    </w:lvl>
    <w:lvl w:ilvl="3" w:tplc="2C0A000F" w:tentative="1">
      <w:start w:val="1"/>
      <w:numFmt w:val="decimal"/>
      <w:lvlText w:val="%4."/>
      <w:lvlJc w:val="left"/>
      <w:pPr>
        <w:ind w:left="2880" w:hanging="360"/>
      </w:pPr>
      <w:rPr>
        <w:rFonts w:cs="Times New Roman"/>
      </w:rPr>
    </w:lvl>
    <w:lvl w:ilvl="4" w:tplc="2C0A0019" w:tentative="1">
      <w:start w:val="1"/>
      <w:numFmt w:val="lowerLetter"/>
      <w:lvlText w:val="%5."/>
      <w:lvlJc w:val="left"/>
      <w:pPr>
        <w:ind w:left="3600" w:hanging="360"/>
      </w:pPr>
      <w:rPr>
        <w:rFonts w:cs="Times New Roman"/>
      </w:rPr>
    </w:lvl>
    <w:lvl w:ilvl="5" w:tplc="2C0A001B" w:tentative="1">
      <w:start w:val="1"/>
      <w:numFmt w:val="lowerRoman"/>
      <w:lvlText w:val="%6."/>
      <w:lvlJc w:val="right"/>
      <w:pPr>
        <w:ind w:left="4320" w:hanging="180"/>
      </w:pPr>
      <w:rPr>
        <w:rFonts w:cs="Times New Roman"/>
      </w:rPr>
    </w:lvl>
    <w:lvl w:ilvl="6" w:tplc="2C0A000F" w:tentative="1">
      <w:start w:val="1"/>
      <w:numFmt w:val="decimal"/>
      <w:lvlText w:val="%7."/>
      <w:lvlJc w:val="left"/>
      <w:pPr>
        <w:ind w:left="5040" w:hanging="360"/>
      </w:pPr>
      <w:rPr>
        <w:rFonts w:cs="Times New Roman"/>
      </w:rPr>
    </w:lvl>
    <w:lvl w:ilvl="7" w:tplc="2C0A0019" w:tentative="1">
      <w:start w:val="1"/>
      <w:numFmt w:val="lowerLetter"/>
      <w:lvlText w:val="%8."/>
      <w:lvlJc w:val="left"/>
      <w:pPr>
        <w:ind w:left="5760" w:hanging="360"/>
      </w:pPr>
      <w:rPr>
        <w:rFonts w:cs="Times New Roman"/>
      </w:rPr>
    </w:lvl>
    <w:lvl w:ilvl="8" w:tplc="2C0A001B" w:tentative="1">
      <w:start w:val="1"/>
      <w:numFmt w:val="lowerRoman"/>
      <w:lvlText w:val="%9."/>
      <w:lvlJc w:val="right"/>
      <w:pPr>
        <w:ind w:left="6480" w:hanging="180"/>
      </w:pPr>
      <w:rPr>
        <w:rFonts w:cs="Times New Roman"/>
      </w:rPr>
    </w:lvl>
  </w:abstractNum>
  <w:abstractNum w:abstractNumId="119">
    <w:nsid w:val="47F07D00"/>
    <w:multiLevelType w:val="hybridMultilevel"/>
    <w:tmpl w:val="63366AB8"/>
    <w:lvl w:ilvl="0" w:tplc="B4F8426E">
      <w:start w:val="1"/>
      <w:numFmt w:val="bullet"/>
      <w:lvlText w:val=""/>
      <w:lvlJc w:val="left"/>
      <w:pPr>
        <w:tabs>
          <w:tab w:val="num" w:pos="4330"/>
        </w:tabs>
        <w:ind w:left="4330" w:hanging="360"/>
      </w:pPr>
      <w:rPr>
        <w:rFonts w:ascii="Symbol" w:hAnsi="Symbol" w:hint="default"/>
      </w:rPr>
    </w:lvl>
    <w:lvl w:ilvl="1" w:tplc="FEA222B2">
      <w:start w:val="1"/>
      <w:numFmt w:val="bullet"/>
      <w:lvlText w:val="o"/>
      <w:lvlJc w:val="left"/>
      <w:pPr>
        <w:tabs>
          <w:tab w:val="num" w:pos="3861"/>
        </w:tabs>
        <w:ind w:left="3861" w:hanging="360"/>
      </w:pPr>
      <w:rPr>
        <w:rFonts w:ascii="Courier New" w:hAnsi="Courier New" w:hint="default"/>
      </w:rPr>
    </w:lvl>
    <w:lvl w:ilvl="2" w:tplc="6FBE636E">
      <w:start w:val="1"/>
      <w:numFmt w:val="bullet"/>
      <w:lvlText w:val=""/>
      <w:lvlJc w:val="left"/>
      <w:pPr>
        <w:tabs>
          <w:tab w:val="num" w:pos="4581"/>
        </w:tabs>
        <w:ind w:left="4581" w:hanging="360"/>
      </w:pPr>
      <w:rPr>
        <w:rFonts w:ascii="Wingdings" w:hAnsi="Wingdings" w:hint="default"/>
      </w:rPr>
    </w:lvl>
    <w:lvl w:ilvl="3" w:tplc="0D223E4E">
      <w:start w:val="1"/>
      <w:numFmt w:val="bullet"/>
      <w:lvlText w:val=""/>
      <w:lvlJc w:val="left"/>
      <w:pPr>
        <w:tabs>
          <w:tab w:val="num" w:pos="5301"/>
        </w:tabs>
        <w:ind w:left="5301" w:hanging="360"/>
      </w:pPr>
      <w:rPr>
        <w:rFonts w:ascii="Symbol" w:hAnsi="Symbol" w:hint="default"/>
      </w:rPr>
    </w:lvl>
    <w:lvl w:ilvl="4" w:tplc="AE04693E">
      <w:start w:val="1"/>
      <w:numFmt w:val="bullet"/>
      <w:lvlText w:val="o"/>
      <w:lvlJc w:val="left"/>
      <w:pPr>
        <w:tabs>
          <w:tab w:val="num" w:pos="6021"/>
        </w:tabs>
        <w:ind w:left="6021" w:hanging="360"/>
      </w:pPr>
      <w:rPr>
        <w:rFonts w:ascii="Courier New" w:hAnsi="Courier New" w:hint="default"/>
      </w:rPr>
    </w:lvl>
    <w:lvl w:ilvl="5" w:tplc="E806DAB8">
      <w:start w:val="1"/>
      <w:numFmt w:val="bullet"/>
      <w:lvlText w:val=""/>
      <w:lvlJc w:val="left"/>
      <w:pPr>
        <w:tabs>
          <w:tab w:val="num" w:pos="6741"/>
        </w:tabs>
        <w:ind w:left="6741" w:hanging="360"/>
      </w:pPr>
      <w:rPr>
        <w:rFonts w:ascii="Wingdings" w:hAnsi="Wingdings" w:hint="default"/>
      </w:rPr>
    </w:lvl>
    <w:lvl w:ilvl="6" w:tplc="44EC8032">
      <w:start w:val="1"/>
      <w:numFmt w:val="bullet"/>
      <w:lvlText w:val=""/>
      <w:lvlJc w:val="left"/>
      <w:pPr>
        <w:tabs>
          <w:tab w:val="num" w:pos="7461"/>
        </w:tabs>
        <w:ind w:left="7461" w:hanging="360"/>
      </w:pPr>
      <w:rPr>
        <w:rFonts w:ascii="Symbol" w:hAnsi="Symbol" w:hint="default"/>
      </w:rPr>
    </w:lvl>
    <w:lvl w:ilvl="7" w:tplc="78F85718">
      <w:start w:val="1"/>
      <w:numFmt w:val="bullet"/>
      <w:lvlText w:val="o"/>
      <w:lvlJc w:val="left"/>
      <w:pPr>
        <w:tabs>
          <w:tab w:val="num" w:pos="8181"/>
        </w:tabs>
        <w:ind w:left="8181" w:hanging="360"/>
      </w:pPr>
      <w:rPr>
        <w:rFonts w:ascii="Courier New" w:hAnsi="Courier New" w:hint="default"/>
      </w:rPr>
    </w:lvl>
    <w:lvl w:ilvl="8" w:tplc="C5E4485A">
      <w:start w:val="1"/>
      <w:numFmt w:val="bullet"/>
      <w:lvlText w:val=""/>
      <w:lvlJc w:val="left"/>
      <w:pPr>
        <w:tabs>
          <w:tab w:val="num" w:pos="8901"/>
        </w:tabs>
        <w:ind w:left="8901" w:hanging="360"/>
      </w:pPr>
      <w:rPr>
        <w:rFonts w:ascii="Wingdings" w:hAnsi="Wingdings" w:hint="default"/>
      </w:rPr>
    </w:lvl>
  </w:abstractNum>
  <w:abstractNum w:abstractNumId="120">
    <w:nsid w:val="49C7281F"/>
    <w:multiLevelType w:val="hybridMultilevel"/>
    <w:tmpl w:val="D9E83D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1">
    <w:nsid w:val="4A0E4C70"/>
    <w:multiLevelType w:val="hybridMultilevel"/>
    <w:tmpl w:val="91C0E834"/>
    <w:lvl w:ilvl="0" w:tplc="0C0A0001">
      <w:start w:val="3"/>
      <w:numFmt w:val="bullet"/>
      <w:pStyle w:val="ListBuller3"/>
      <w:lvlText w:val=""/>
      <w:lvlJc w:val="left"/>
      <w:pPr>
        <w:ind w:left="1080" w:hanging="720"/>
      </w:pPr>
      <w:rPr>
        <w:rFonts w:ascii="Symbol" w:eastAsia="Times New Roman"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2">
    <w:nsid w:val="4D2673D9"/>
    <w:multiLevelType w:val="hybridMultilevel"/>
    <w:tmpl w:val="AB80EB5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3">
    <w:nsid w:val="4EAB4026"/>
    <w:multiLevelType w:val="hybridMultilevel"/>
    <w:tmpl w:val="5246A57A"/>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24">
    <w:nsid w:val="4EAB4A2A"/>
    <w:multiLevelType w:val="hybridMultilevel"/>
    <w:tmpl w:val="F1DC1D1E"/>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25">
    <w:nsid w:val="4F0C382A"/>
    <w:multiLevelType w:val="hybridMultilevel"/>
    <w:tmpl w:val="C5E46CCE"/>
    <w:lvl w:ilvl="0" w:tplc="2C0A0001">
      <w:numFmt w:val="bullet"/>
      <w:lvlText w:val=""/>
      <w:lvlJc w:val="left"/>
      <w:pPr>
        <w:ind w:left="720" w:hanging="360"/>
      </w:pPr>
      <w:rPr>
        <w:rFonts w:ascii="Symbol" w:eastAsia="Times New Roman" w:hAnsi="Symbol" w:cs="Times New Roman"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26">
    <w:nsid w:val="4F832825"/>
    <w:multiLevelType w:val="hybridMultilevel"/>
    <w:tmpl w:val="8F4CC314"/>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127">
    <w:nsid w:val="508E1AE3"/>
    <w:multiLevelType w:val="hybridMultilevel"/>
    <w:tmpl w:val="4F08469E"/>
    <w:lvl w:ilvl="0" w:tplc="0446677A">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28">
    <w:nsid w:val="519B7F6D"/>
    <w:multiLevelType w:val="hybridMultilevel"/>
    <w:tmpl w:val="8BEEA1DC"/>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129">
    <w:nsid w:val="52206CF5"/>
    <w:multiLevelType w:val="hybridMultilevel"/>
    <w:tmpl w:val="668C9F20"/>
    <w:lvl w:ilvl="0" w:tplc="56BE35F6">
      <w:start w:val="1"/>
      <w:numFmt w:val="lowerRoman"/>
      <w:lvlText w:val="(%1)"/>
      <w:lvlJc w:val="left"/>
      <w:pPr>
        <w:ind w:left="360" w:hanging="360"/>
      </w:pPr>
      <w:rPr>
        <w:rFonts w:cs="Times New Roman" w:hint="default"/>
      </w:rPr>
    </w:lvl>
    <w:lvl w:ilvl="1" w:tplc="FFFFFFFF" w:tentative="1">
      <w:start w:val="1"/>
      <w:numFmt w:val="lowerLetter"/>
      <w:lvlText w:val="%2."/>
      <w:lvlJc w:val="left"/>
      <w:pPr>
        <w:ind w:left="1080" w:hanging="360"/>
      </w:pPr>
      <w:rPr>
        <w:rFonts w:cs="Times New Roman"/>
      </w:rPr>
    </w:lvl>
    <w:lvl w:ilvl="2" w:tplc="FFFFFFFF" w:tentative="1">
      <w:start w:val="1"/>
      <w:numFmt w:val="lowerRoman"/>
      <w:lvlText w:val="%3."/>
      <w:lvlJc w:val="right"/>
      <w:pPr>
        <w:ind w:left="1800" w:hanging="180"/>
      </w:pPr>
      <w:rPr>
        <w:rFonts w:cs="Times New Roman"/>
      </w:rPr>
    </w:lvl>
    <w:lvl w:ilvl="3" w:tplc="FFFFFFFF" w:tentative="1">
      <w:start w:val="1"/>
      <w:numFmt w:val="decimal"/>
      <w:lvlText w:val="%4."/>
      <w:lvlJc w:val="left"/>
      <w:pPr>
        <w:ind w:left="2520" w:hanging="360"/>
      </w:pPr>
      <w:rPr>
        <w:rFonts w:cs="Times New Roman"/>
      </w:rPr>
    </w:lvl>
    <w:lvl w:ilvl="4" w:tplc="FFFFFFFF" w:tentative="1">
      <w:start w:val="1"/>
      <w:numFmt w:val="lowerLetter"/>
      <w:lvlText w:val="%5."/>
      <w:lvlJc w:val="left"/>
      <w:pPr>
        <w:ind w:left="3240" w:hanging="360"/>
      </w:pPr>
      <w:rPr>
        <w:rFonts w:cs="Times New Roman"/>
      </w:rPr>
    </w:lvl>
    <w:lvl w:ilvl="5" w:tplc="FFFFFFFF" w:tentative="1">
      <w:start w:val="1"/>
      <w:numFmt w:val="lowerRoman"/>
      <w:lvlText w:val="%6."/>
      <w:lvlJc w:val="right"/>
      <w:pPr>
        <w:ind w:left="3960" w:hanging="180"/>
      </w:pPr>
      <w:rPr>
        <w:rFonts w:cs="Times New Roman"/>
      </w:rPr>
    </w:lvl>
    <w:lvl w:ilvl="6" w:tplc="FFFFFFFF" w:tentative="1">
      <w:start w:val="1"/>
      <w:numFmt w:val="decimal"/>
      <w:lvlText w:val="%7."/>
      <w:lvlJc w:val="left"/>
      <w:pPr>
        <w:ind w:left="4680" w:hanging="360"/>
      </w:pPr>
      <w:rPr>
        <w:rFonts w:cs="Times New Roman"/>
      </w:rPr>
    </w:lvl>
    <w:lvl w:ilvl="7" w:tplc="FFFFFFFF" w:tentative="1">
      <w:start w:val="1"/>
      <w:numFmt w:val="lowerLetter"/>
      <w:lvlText w:val="%8."/>
      <w:lvlJc w:val="left"/>
      <w:pPr>
        <w:ind w:left="5400" w:hanging="360"/>
      </w:pPr>
      <w:rPr>
        <w:rFonts w:cs="Times New Roman"/>
      </w:rPr>
    </w:lvl>
    <w:lvl w:ilvl="8" w:tplc="FFFFFFFF" w:tentative="1">
      <w:start w:val="1"/>
      <w:numFmt w:val="lowerRoman"/>
      <w:lvlText w:val="%9."/>
      <w:lvlJc w:val="right"/>
      <w:pPr>
        <w:ind w:left="6120" w:hanging="180"/>
      </w:pPr>
      <w:rPr>
        <w:rFonts w:cs="Times New Roman"/>
      </w:rPr>
    </w:lvl>
  </w:abstractNum>
  <w:abstractNum w:abstractNumId="130">
    <w:nsid w:val="52250AA2"/>
    <w:multiLevelType w:val="hybridMultilevel"/>
    <w:tmpl w:val="3724D4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1">
    <w:nsid w:val="52A84EC2"/>
    <w:multiLevelType w:val="hybridMultilevel"/>
    <w:tmpl w:val="4F6439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2">
    <w:nsid w:val="52E3094F"/>
    <w:multiLevelType w:val="hybridMultilevel"/>
    <w:tmpl w:val="E4ECD11C"/>
    <w:lvl w:ilvl="0" w:tplc="0C0A001B">
      <w:start w:val="1"/>
      <w:numFmt w:val="bullet"/>
      <w:pStyle w:val="Tabulacin"/>
      <w:lvlText w:val=""/>
      <w:lvlJc w:val="left"/>
      <w:pPr>
        <w:tabs>
          <w:tab w:val="num" w:pos="1440"/>
        </w:tabs>
        <w:ind w:left="1440" w:hanging="360"/>
      </w:pPr>
      <w:rPr>
        <w:rFonts w:ascii="Wingdings 3" w:hAnsi="Wingdings 3" w:hint="default"/>
      </w:rPr>
    </w:lvl>
    <w:lvl w:ilvl="1" w:tplc="2C0A0019" w:tentative="1">
      <w:start w:val="1"/>
      <w:numFmt w:val="bullet"/>
      <w:lvlText w:val="o"/>
      <w:lvlJc w:val="left"/>
      <w:pPr>
        <w:tabs>
          <w:tab w:val="num" w:pos="1440"/>
        </w:tabs>
        <w:ind w:left="1440" w:hanging="360"/>
      </w:pPr>
      <w:rPr>
        <w:rFonts w:ascii="Courier New" w:hAnsi="Courier New" w:hint="default"/>
      </w:rPr>
    </w:lvl>
    <w:lvl w:ilvl="2" w:tplc="2C0A001B" w:tentative="1">
      <w:start w:val="1"/>
      <w:numFmt w:val="bullet"/>
      <w:lvlText w:val=""/>
      <w:lvlJc w:val="left"/>
      <w:pPr>
        <w:tabs>
          <w:tab w:val="num" w:pos="2160"/>
        </w:tabs>
        <w:ind w:left="2160" w:hanging="360"/>
      </w:pPr>
      <w:rPr>
        <w:rFonts w:ascii="Wingdings" w:hAnsi="Wingdings" w:hint="default"/>
      </w:rPr>
    </w:lvl>
    <w:lvl w:ilvl="3" w:tplc="2C0A000F" w:tentative="1">
      <w:start w:val="1"/>
      <w:numFmt w:val="bullet"/>
      <w:lvlText w:val=""/>
      <w:lvlJc w:val="left"/>
      <w:pPr>
        <w:tabs>
          <w:tab w:val="num" w:pos="2880"/>
        </w:tabs>
        <w:ind w:left="2880" w:hanging="360"/>
      </w:pPr>
      <w:rPr>
        <w:rFonts w:ascii="Symbol" w:hAnsi="Symbol" w:hint="default"/>
      </w:rPr>
    </w:lvl>
    <w:lvl w:ilvl="4" w:tplc="2C0A0019" w:tentative="1">
      <w:start w:val="1"/>
      <w:numFmt w:val="bullet"/>
      <w:lvlText w:val="o"/>
      <w:lvlJc w:val="left"/>
      <w:pPr>
        <w:tabs>
          <w:tab w:val="num" w:pos="3600"/>
        </w:tabs>
        <w:ind w:left="3600" w:hanging="360"/>
      </w:pPr>
      <w:rPr>
        <w:rFonts w:ascii="Courier New" w:hAnsi="Courier New" w:hint="default"/>
      </w:rPr>
    </w:lvl>
    <w:lvl w:ilvl="5" w:tplc="2C0A001B" w:tentative="1">
      <w:start w:val="1"/>
      <w:numFmt w:val="bullet"/>
      <w:lvlText w:val=""/>
      <w:lvlJc w:val="left"/>
      <w:pPr>
        <w:tabs>
          <w:tab w:val="num" w:pos="4320"/>
        </w:tabs>
        <w:ind w:left="4320" w:hanging="360"/>
      </w:pPr>
      <w:rPr>
        <w:rFonts w:ascii="Wingdings" w:hAnsi="Wingdings" w:hint="default"/>
      </w:rPr>
    </w:lvl>
    <w:lvl w:ilvl="6" w:tplc="2C0A000F" w:tentative="1">
      <w:start w:val="1"/>
      <w:numFmt w:val="bullet"/>
      <w:lvlText w:val=""/>
      <w:lvlJc w:val="left"/>
      <w:pPr>
        <w:tabs>
          <w:tab w:val="num" w:pos="5040"/>
        </w:tabs>
        <w:ind w:left="5040" w:hanging="360"/>
      </w:pPr>
      <w:rPr>
        <w:rFonts w:ascii="Symbol" w:hAnsi="Symbol" w:hint="default"/>
      </w:rPr>
    </w:lvl>
    <w:lvl w:ilvl="7" w:tplc="2C0A0019" w:tentative="1">
      <w:start w:val="1"/>
      <w:numFmt w:val="bullet"/>
      <w:lvlText w:val="o"/>
      <w:lvlJc w:val="left"/>
      <w:pPr>
        <w:tabs>
          <w:tab w:val="num" w:pos="5760"/>
        </w:tabs>
        <w:ind w:left="5760" w:hanging="360"/>
      </w:pPr>
      <w:rPr>
        <w:rFonts w:ascii="Courier New" w:hAnsi="Courier New" w:hint="default"/>
      </w:rPr>
    </w:lvl>
    <w:lvl w:ilvl="8" w:tplc="2C0A001B" w:tentative="1">
      <w:start w:val="1"/>
      <w:numFmt w:val="bullet"/>
      <w:lvlText w:val=""/>
      <w:lvlJc w:val="left"/>
      <w:pPr>
        <w:tabs>
          <w:tab w:val="num" w:pos="6480"/>
        </w:tabs>
        <w:ind w:left="6480" w:hanging="360"/>
      </w:pPr>
      <w:rPr>
        <w:rFonts w:ascii="Wingdings" w:hAnsi="Wingdings" w:hint="default"/>
      </w:rPr>
    </w:lvl>
  </w:abstractNum>
  <w:abstractNum w:abstractNumId="133">
    <w:nsid w:val="531F1F1D"/>
    <w:multiLevelType w:val="hybridMultilevel"/>
    <w:tmpl w:val="73BC7B3A"/>
    <w:lvl w:ilvl="0" w:tplc="0C0A0001">
      <w:start w:val="1"/>
      <w:numFmt w:val="decimal"/>
      <w:pStyle w:val="STBListNumber1"/>
      <w:lvlText w:val="%1."/>
      <w:lvlJc w:val="left"/>
      <w:pPr>
        <w:tabs>
          <w:tab w:val="num" w:pos="1080"/>
        </w:tabs>
        <w:ind w:firstLine="720"/>
      </w:pPr>
      <w:rPr>
        <w:rFonts w:cs="Times New Roman" w:hint="defaul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34">
    <w:nsid w:val="546F786F"/>
    <w:multiLevelType w:val="hybridMultilevel"/>
    <w:tmpl w:val="87347CEE"/>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35">
    <w:nsid w:val="549D62B9"/>
    <w:multiLevelType w:val="hybridMultilevel"/>
    <w:tmpl w:val="4F0E5AB6"/>
    <w:lvl w:ilvl="0" w:tplc="2C0A0017">
      <w:start w:val="1"/>
      <w:numFmt w:val="bullet"/>
      <w:pStyle w:val="STBBullet2DBL"/>
      <w:lvlText w:val=""/>
      <w:lvlJc w:val="left"/>
      <w:pPr>
        <w:tabs>
          <w:tab w:val="num" w:pos="1080"/>
        </w:tabs>
        <w:ind w:firstLine="720"/>
      </w:pPr>
      <w:rPr>
        <w:rFonts w:ascii="Symbol" w:hAnsi="Symbol" w:hint="default"/>
      </w:rPr>
    </w:lvl>
    <w:lvl w:ilvl="1" w:tplc="2C0A0019" w:tentative="1">
      <w:start w:val="1"/>
      <w:numFmt w:val="bullet"/>
      <w:lvlText w:val="o"/>
      <w:lvlJc w:val="left"/>
      <w:pPr>
        <w:tabs>
          <w:tab w:val="num" w:pos="1440"/>
        </w:tabs>
        <w:ind w:left="1440" w:hanging="360"/>
      </w:pPr>
      <w:rPr>
        <w:rFonts w:ascii="Courier New" w:hAnsi="Courier New" w:hint="default"/>
      </w:rPr>
    </w:lvl>
    <w:lvl w:ilvl="2" w:tplc="2C0A001B" w:tentative="1">
      <w:start w:val="1"/>
      <w:numFmt w:val="bullet"/>
      <w:lvlText w:val=""/>
      <w:lvlJc w:val="left"/>
      <w:pPr>
        <w:tabs>
          <w:tab w:val="num" w:pos="2160"/>
        </w:tabs>
        <w:ind w:left="2160" w:hanging="360"/>
      </w:pPr>
      <w:rPr>
        <w:rFonts w:ascii="Wingdings" w:hAnsi="Wingdings" w:hint="default"/>
      </w:rPr>
    </w:lvl>
    <w:lvl w:ilvl="3" w:tplc="2C0A000F" w:tentative="1">
      <w:start w:val="1"/>
      <w:numFmt w:val="bullet"/>
      <w:lvlText w:val=""/>
      <w:lvlJc w:val="left"/>
      <w:pPr>
        <w:tabs>
          <w:tab w:val="num" w:pos="2880"/>
        </w:tabs>
        <w:ind w:left="2880" w:hanging="360"/>
      </w:pPr>
      <w:rPr>
        <w:rFonts w:ascii="Symbol" w:hAnsi="Symbol" w:hint="default"/>
      </w:rPr>
    </w:lvl>
    <w:lvl w:ilvl="4" w:tplc="2C0A0019" w:tentative="1">
      <w:start w:val="1"/>
      <w:numFmt w:val="bullet"/>
      <w:lvlText w:val="o"/>
      <w:lvlJc w:val="left"/>
      <w:pPr>
        <w:tabs>
          <w:tab w:val="num" w:pos="3600"/>
        </w:tabs>
        <w:ind w:left="3600" w:hanging="360"/>
      </w:pPr>
      <w:rPr>
        <w:rFonts w:ascii="Courier New" w:hAnsi="Courier New" w:hint="default"/>
      </w:rPr>
    </w:lvl>
    <w:lvl w:ilvl="5" w:tplc="2C0A001B" w:tentative="1">
      <w:start w:val="1"/>
      <w:numFmt w:val="bullet"/>
      <w:lvlText w:val=""/>
      <w:lvlJc w:val="left"/>
      <w:pPr>
        <w:tabs>
          <w:tab w:val="num" w:pos="4320"/>
        </w:tabs>
        <w:ind w:left="4320" w:hanging="360"/>
      </w:pPr>
      <w:rPr>
        <w:rFonts w:ascii="Wingdings" w:hAnsi="Wingdings" w:hint="default"/>
      </w:rPr>
    </w:lvl>
    <w:lvl w:ilvl="6" w:tplc="2C0A000F" w:tentative="1">
      <w:start w:val="1"/>
      <w:numFmt w:val="bullet"/>
      <w:lvlText w:val=""/>
      <w:lvlJc w:val="left"/>
      <w:pPr>
        <w:tabs>
          <w:tab w:val="num" w:pos="5040"/>
        </w:tabs>
        <w:ind w:left="5040" w:hanging="360"/>
      </w:pPr>
      <w:rPr>
        <w:rFonts w:ascii="Symbol" w:hAnsi="Symbol" w:hint="default"/>
      </w:rPr>
    </w:lvl>
    <w:lvl w:ilvl="7" w:tplc="2C0A0019" w:tentative="1">
      <w:start w:val="1"/>
      <w:numFmt w:val="bullet"/>
      <w:lvlText w:val="o"/>
      <w:lvlJc w:val="left"/>
      <w:pPr>
        <w:tabs>
          <w:tab w:val="num" w:pos="5760"/>
        </w:tabs>
        <w:ind w:left="5760" w:hanging="360"/>
      </w:pPr>
      <w:rPr>
        <w:rFonts w:ascii="Courier New" w:hAnsi="Courier New" w:hint="default"/>
      </w:rPr>
    </w:lvl>
    <w:lvl w:ilvl="8" w:tplc="2C0A001B" w:tentative="1">
      <w:start w:val="1"/>
      <w:numFmt w:val="bullet"/>
      <w:lvlText w:val=""/>
      <w:lvlJc w:val="left"/>
      <w:pPr>
        <w:tabs>
          <w:tab w:val="num" w:pos="6480"/>
        </w:tabs>
        <w:ind w:left="6480" w:hanging="360"/>
      </w:pPr>
      <w:rPr>
        <w:rFonts w:ascii="Wingdings" w:hAnsi="Wingdings" w:hint="default"/>
      </w:rPr>
    </w:lvl>
  </w:abstractNum>
  <w:abstractNum w:abstractNumId="136">
    <w:nsid w:val="561C263C"/>
    <w:multiLevelType w:val="hybridMultilevel"/>
    <w:tmpl w:val="116235CE"/>
    <w:lvl w:ilvl="0" w:tplc="56BE35F6">
      <w:start w:val="1"/>
      <w:numFmt w:val="lowerRoman"/>
      <w:lvlText w:val="(%1)"/>
      <w:lvlJc w:val="left"/>
      <w:pPr>
        <w:ind w:left="1780" w:hanging="360"/>
      </w:pPr>
      <w:rPr>
        <w:rFonts w:cs="Times New Roman" w:hint="default"/>
      </w:rPr>
    </w:lvl>
    <w:lvl w:ilvl="1" w:tplc="2C0A0003" w:tentative="1">
      <w:start w:val="1"/>
      <w:numFmt w:val="lowerLetter"/>
      <w:lvlText w:val="%2."/>
      <w:lvlJc w:val="left"/>
      <w:pPr>
        <w:ind w:left="2500" w:hanging="360"/>
      </w:pPr>
      <w:rPr>
        <w:rFonts w:cs="Times New Roman"/>
      </w:rPr>
    </w:lvl>
    <w:lvl w:ilvl="2" w:tplc="2C0A0005" w:tentative="1">
      <w:start w:val="1"/>
      <w:numFmt w:val="lowerRoman"/>
      <w:lvlText w:val="%3."/>
      <w:lvlJc w:val="right"/>
      <w:pPr>
        <w:ind w:left="3220" w:hanging="180"/>
      </w:pPr>
      <w:rPr>
        <w:rFonts w:cs="Times New Roman"/>
      </w:rPr>
    </w:lvl>
    <w:lvl w:ilvl="3" w:tplc="2C0A0001" w:tentative="1">
      <w:start w:val="1"/>
      <w:numFmt w:val="decimal"/>
      <w:lvlText w:val="%4."/>
      <w:lvlJc w:val="left"/>
      <w:pPr>
        <w:ind w:left="3940" w:hanging="360"/>
      </w:pPr>
      <w:rPr>
        <w:rFonts w:cs="Times New Roman"/>
      </w:rPr>
    </w:lvl>
    <w:lvl w:ilvl="4" w:tplc="2C0A0003" w:tentative="1">
      <w:start w:val="1"/>
      <w:numFmt w:val="lowerLetter"/>
      <w:lvlText w:val="%5."/>
      <w:lvlJc w:val="left"/>
      <w:pPr>
        <w:ind w:left="4660" w:hanging="360"/>
      </w:pPr>
      <w:rPr>
        <w:rFonts w:cs="Times New Roman"/>
      </w:rPr>
    </w:lvl>
    <w:lvl w:ilvl="5" w:tplc="2C0A0005" w:tentative="1">
      <w:start w:val="1"/>
      <w:numFmt w:val="lowerRoman"/>
      <w:lvlText w:val="%6."/>
      <w:lvlJc w:val="right"/>
      <w:pPr>
        <w:ind w:left="5380" w:hanging="180"/>
      </w:pPr>
      <w:rPr>
        <w:rFonts w:cs="Times New Roman"/>
      </w:rPr>
    </w:lvl>
    <w:lvl w:ilvl="6" w:tplc="2C0A0001" w:tentative="1">
      <w:start w:val="1"/>
      <w:numFmt w:val="decimal"/>
      <w:lvlText w:val="%7."/>
      <w:lvlJc w:val="left"/>
      <w:pPr>
        <w:ind w:left="6100" w:hanging="360"/>
      </w:pPr>
      <w:rPr>
        <w:rFonts w:cs="Times New Roman"/>
      </w:rPr>
    </w:lvl>
    <w:lvl w:ilvl="7" w:tplc="2C0A0003" w:tentative="1">
      <w:start w:val="1"/>
      <w:numFmt w:val="lowerLetter"/>
      <w:lvlText w:val="%8."/>
      <w:lvlJc w:val="left"/>
      <w:pPr>
        <w:ind w:left="6820" w:hanging="360"/>
      </w:pPr>
      <w:rPr>
        <w:rFonts w:cs="Times New Roman"/>
      </w:rPr>
    </w:lvl>
    <w:lvl w:ilvl="8" w:tplc="2C0A0005" w:tentative="1">
      <w:start w:val="1"/>
      <w:numFmt w:val="lowerRoman"/>
      <w:lvlText w:val="%9."/>
      <w:lvlJc w:val="right"/>
      <w:pPr>
        <w:ind w:left="7540" w:hanging="180"/>
      </w:pPr>
      <w:rPr>
        <w:rFonts w:cs="Times New Roman"/>
      </w:rPr>
    </w:lvl>
  </w:abstractNum>
  <w:abstractNum w:abstractNumId="137">
    <w:nsid w:val="561D6A3E"/>
    <w:multiLevelType w:val="hybridMultilevel"/>
    <w:tmpl w:val="32D69AD4"/>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38">
    <w:nsid w:val="56D56AA7"/>
    <w:multiLevelType w:val="hybridMultilevel"/>
    <w:tmpl w:val="8DF80F1C"/>
    <w:lvl w:ilvl="0" w:tplc="56BE35F6">
      <w:start w:val="1"/>
      <w:numFmt w:val="lowerRoman"/>
      <w:lvlText w:val="(%1)"/>
      <w:lvlJc w:val="left"/>
      <w:pPr>
        <w:ind w:left="720" w:hanging="360"/>
      </w:pPr>
      <w:rPr>
        <w:rFonts w:cs="Times New Roman"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9">
    <w:nsid w:val="576C0DE1"/>
    <w:multiLevelType w:val="hybridMultilevel"/>
    <w:tmpl w:val="2F263774"/>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40">
    <w:nsid w:val="57B62E0A"/>
    <w:multiLevelType w:val="hybridMultilevel"/>
    <w:tmpl w:val="F10E2750"/>
    <w:lvl w:ilvl="0" w:tplc="A07E9D4C">
      <w:start w:val="3"/>
      <w:numFmt w:val="bullet"/>
      <w:lvlText w:val="-"/>
      <w:lvlJc w:val="left"/>
      <w:pPr>
        <w:ind w:left="720" w:hanging="360"/>
      </w:pPr>
      <w:rPr>
        <w:rFonts w:ascii="Times New Roman" w:eastAsia="Times New Roman" w:hAnsi="Times New Roman" w:hint="default"/>
      </w:rPr>
    </w:lvl>
    <w:lvl w:ilvl="1" w:tplc="2C0A0003">
      <w:start w:val="1"/>
      <w:numFmt w:val="bullet"/>
      <w:lvlText w:val="o"/>
      <w:lvlJc w:val="left"/>
      <w:pPr>
        <w:ind w:left="1440" w:hanging="360"/>
      </w:pPr>
      <w:rPr>
        <w:rFonts w:ascii="Courier New" w:hAnsi="Courier New" w:hint="default"/>
      </w:rPr>
    </w:lvl>
    <w:lvl w:ilvl="2" w:tplc="2C0A0005">
      <w:start w:val="1"/>
      <w:numFmt w:val="bullet"/>
      <w:lvlText w:val=""/>
      <w:lvlJc w:val="left"/>
      <w:pPr>
        <w:ind w:left="2160" w:hanging="360"/>
      </w:pPr>
      <w:rPr>
        <w:rFonts w:ascii="Wingdings" w:hAnsi="Wingdings" w:hint="default"/>
      </w:rPr>
    </w:lvl>
    <w:lvl w:ilvl="3" w:tplc="2C0A000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1">
    <w:nsid w:val="596674DE"/>
    <w:multiLevelType w:val="hybridMultilevel"/>
    <w:tmpl w:val="FD88EC54"/>
    <w:lvl w:ilvl="0" w:tplc="94F64038">
      <w:start w:val="1"/>
      <w:numFmt w:val="decimal"/>
      <w:pStyle w:val="STBListNumber3DBL"/>
      <w:lvlText w:val="%1."/>
      <w:lvlJc w:val="left"/>
      <w:pPr>
        <w:tabs>
          <w:tab w:val="num" w:pos="2520"/>
        </w:tabs>
        <w:ind w:firstLine="2160"/>
      </w:pPr>
      <w:rPr>
        <w:rFonts w:cs="Times New Roman" w:hint="default"/>
      </w:rPr>
    </w:lvl>
    <w:lvl w:ilvl="1" w:tplc="2C0A0019" w:tentative="1">
      <w:start w:val="1"/>
      <w:numFmt w:val="lowerLetter"/>
      <w:lvlText w:val="%2."/>
      <w:lvlJc w:val="left"/>
      <w:pPr>
        <w:tabs>
          <w:tab w:val="num" w:pos="1440"/>
        </w:tabs>
        <w:ind w:left="1440" w:hanging="360"/>
      </w:pPr>
      <w:rPr>
        <w:rFonts w:cs="Times New Roman"/>
      </w:rPr>
    </w:lvl>
    <w:lvl w:ilvl="2" w:tplc="2C0A001B" w:tentative="1">
      <w:start w:val="1"/>
      <w:numFmt w:val="lowerRoman"/>
      <w:lvlText w:val="%3."/>
      <w:lvlJc w:val="right"/>
      <w:pPr>
        <w:tabs>
          <w:tab w:val="num" w:pos="2160"/>
        </w:tabs>
        <w:ind w:left="2160" w:hanging="180"/>
      </w:pPr>
      <w:rPr>
        <w:rFonts w:cs="Times New Roman"/>
      </w:rPr>
    </w:lvl>
    <w:lvl w:ilvl="3" w:tplc="2C0A000F" w:tentative="1">
      <w:start w:val="1"/>
      <w:numFmt w:val="decimal"/>
      <w:lvlText w:val="%4."/>
      <w:lvlJc w:val="left"/>
      <w:pPr>
        <w:tabs>
          <w:tab w:val="num" w:pos="2880"/>
        </w:tabs>
        <w:ind w:left="2880" w:hanging="360"/>
      </w:pPr>
      <w:rPr>
        <w:rFonts w:cs="Times New Roman"/>
      </w:rPr>
    </w:lvl>
    <w:lvl w:ilvl="4" w:tplc="2C0A0019" w:tentative="1">
      <w:start w:val="1"/>
      <w:numFmt w:val="lowerLetter"/>
      <w:lvlText w:val="%5."/>
      <w:lvlJc w:val="left"/>
      <w:pPr>
        <w:tabs>
          <w:tab w:val="num" w:pos="3600"/>
        </w:tabs>
        <w:ind w:left="3600" w:hanging="360"/>
      </w:pPr>
      <w:rPr>
        <w:rFonts w:cs="Times New Roman"/>
      </w:rPr>
    </w:lvl>
    <w:lvl w:ilvl="5" w:tplc="2C0A001B" w:tentative="1">
      <w:start w:val="1"/>
      <w:numFmt w:val="lowerRoman"/>
      <w:lvlText w:val="%6."/>
      <w:lvlJc w:val="right"/>
      <w:pPr>
        <w:tabs>
          <w:tab w:val="num" w:pos="4320"/>
        </w:tabs>
        <w:ind w:left="4320" w:hanging="180"/>
      </w:pPr>
      <w:rPr>
        <w:rFonts w:cs="Times New Roman"/>
      </w:rPr>
    </w:lvl>
    <w:lvl w:ilvl="6" w:tplc="2C0A000F" w:tentative="1">
      <w:start w:val="1"/>
      <w:numFmt w:val="decimal"/>
      <w:lvlText w:val="%7."/>
      <w:lvlJc w:val="left"/>
      <w:pPr>
        <w:tabs>
          <w:tab w:val="num" w:pos="5040"/>
        </w:tabs>
        <w:ind w:left="5040" w:hanging="360"/>
      </w:pPr>
      <w:rPr>
        <w:rFonts w:cs="Times New Roman"/>
      </w:rPr>
    </w:lvl>
    <w:lvl w:ilvl="7" w:tplc="2C0A0019" w:tentative="1">
      <w:start w:val="1"/>
      <w:numFmt w:val="lowerLetter"/>
      <w:lvlText w:val="%8."/>
      <w:lvlJc w:val="left"/>
      <w:pPr>
        <w:tabs>
          <w:tab w:val="num" w:pos="5760"/>
        </w:tabs>
        <w:ind w:left="5760" w:hanging="360"/>
      </w:pPr>
      <w:rPr>
        <w:rFonts w:cs="Times New Roman"/>
      </w:rPr>
    </w:lvl>
    <w:lvl w:ilvl="8" w:tplc="2C0A001B" w:tentative="1">
      <w:start w:val="1"/>
      <w:numFmt w:val="lowerRoman"/>
      <w:lvlText w:val="%9."/>
      <w:lvlJc w:val="right"/>
      <w:pPr>
        <w:tabs>
          <w:tab w:val="num" w:pos="6480"/>
        </w:tabs>
        <w:ind w:left="6480" w:hanging="180"/>
      </w:pPr>
      <w:rPr>
        <w:rFonts w:cs="Times New Roman"/>
      </w:rPr>
    </w:lvl>
  </w:abstractNum>
  <w:abstractNum w:abstractNumId="142">
    <w:nsid w:val="5971122D"/>
    <w:multiLevelType w:val="hybridMultilevel"/>
    <w:tmpl w:val="096CF526"/>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43">
    <w:nsid w:val="5A035E55"/>
    <w:multiLevelType w:val="hybridMultilevel"/>
    <w:tmpl w:val="5B485B46"/>
    <w:lvl w:ilvl="0" w:tplc="0409000B">
      <w:start w:val="779"/>
      <w:numFmt w:val="bullet"/>
      <w:pStyle w:val="ndice2"/>
      <w:lvlText w:val=""/>
      <w:lvlJc w:val="left"/>
      <w:pPr>
        <w:tabs>
          <w:tab w:val="num" w:pos="720"/>
        </w:tabs>
        <w:ind w:left="720" w:hanging="360"/>
      </w:pPr>
      <w:rPr>
        <w:rFonts w:ascii="Wingdings 3" w:hAnsi="Wingdings 3" w:hint="default"/>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144">
    <w:nsid w:val="5ACC1DA8"/>
    <w:multiLevelType w:val="hybridMultilevel"/>
    <w:tmpl w:val="EE02557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45">
    <w:nsid w:val="5B116E05"/>
    <w:multiLevelType w:val="hybridMultilevel"/>
    <w:tmpl w:val="0D58362A"/>
    <w:lvl w:ilvl="0" w:tplc="56BE35F6">
      <w:start w:val="1"/>
      <w:numFmt w:val="lowerRoman"/>
      <w:lvlText w:val="(%1)"/>
      <w:lvlJc w:val="left"/>
      <w:pPr>
        <w:ind w:left="1778" w:hanging="360"/>
      </w:pPr>
      <w:rPr>
        <w:rFonts w:cs="Times New Roman" w:hint="default"/>
      </w:rPr>
    </w:lvl>
    <w:lvl w:ilvl="1" w:tplc="2C0A0019" w:tentative="1">
      <w:start w:val="1"/>
      <w:numFmt w:val="lowerLetter"/>
      <w:lvlText w:val="%2."/>
      <w:lvlJc w:val="left"/>
      <w:pPr>
        <w:ind w:left="2498" w:hanging="360"/>
      </w:pPr>
    </w:lvl>
    <w:lvl w:ilvl="2" w:tplc="2C0A001B" w:tentative="1">
      <w:start w:val="1"/>
      <w:numFmt w:val="lowerRoman"/>
      <w:lvlText w:val="%3."/>
      <w:lvlJc w:val="right"/>
      <w:pPr>
        <w:ind w:left="3218" w:hanging="180"/>
      </w:pPr>
    </w:lvl>
    <w:lvl w:ilvl="3" w:tplc="2C0A000F" w:tentative="1">
      <w:start w:val="1"/>
      <w:numFmt w:val="decimal"/>
      <w:lvlText w:val="%4."/>
      <w:lvlJc w:val="left"/>
      <w:pPr>
        <w:ind w:left="3938" w:hanging="360"/>
      </w:pPr>
    </w:lvl>
    <w:lvl w:ilvl="4" w:tplc="2C0A0019" w:tentative="1">
      <w:start w:val="1"/>
      <w:numFmt w:val="lowerLetter"/>
      <w:lvlText w:val="%5."/>
      <w:lvlJc w:val="left"/>
      <w:pPr>
        <w:ind w:left="4658" w:hanging="360"/>
      </w:pPr>
    </w:lvl>
    <w:lvl w:ilvl="5" w:tplc="2C0A001B" w:tentative="1">
      <w:start w:val="1"/>
      <w:numFmt w:val="lowerRoman"/>
      <w:lvlText w:val="%6."/>
      <w:lvlJc w:val="right"/>
      <w:pPr>
        <w:ind w:left="5378" w:hanging="180"/>
      </w:pPr>
    </w:lvl>
    <w:lvl w:ilvl="6" w:tplc="2C0A000F" w:tentative="1">
      <w:start w:val="1"/>
      <w:numFmt w:val="decimal"/>
      <w:lvlText w:val="%7."/>
      <w:lvlJc w:val="left"/>
      <w:pPr>
        <w:ind w:left="6098" w:hanging="360"/>
      </w:pPr>
    </w:lvl>
    <w:lvl w:ilvl="7" w:tplc="2C0A0019" w:tentative="1">
      <w:start w:val="1"/>
      <w:numFmt w:val="lowerLetter"/>
      <w:lvlText w:val="%8."/>
      <w:lvlJc w:val="left"/>
      <w:pPr>
        <w:ind w:left="6818" w:hanging="360"/>
      </w:pPr>
    </w:lvl>
    <w:lvl w:ilvl="8" w:tplc="2C0A001B" w:tentative="1">
      <w:start w:val="1"/>
      <w:numFmt w:val="lowerRoman"/>
      <w:lvlText w:val="%9."/>
      <w:lvlJc w:val="right"/>
      <w:pPr>
        <w:ind w:left="7538" w:hanging="180"/>
      </w:pPr>
    </w:lvl>
  </w:abstractNum>
  <w:abstractNum w:abstractNumId="146">
    <w:nsid w:val="5B3F4F0D"/>
    <w:multiLevelType w:val="hybridMultilevel"/>
    <w:tmpl w:val="FB48BE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7">
    <w:nsid w:val="5B84161F"/>
    <w:multiLevelType w:val="hybridMultilevel"/>
    <w:tmpl w:val="AA16B07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8">
    <w:nsid w:val="5BD247FD"/>
    <w:multiLevelType w:val="hybridMultilevel"/>
    <w:tmpl w:val="E66A1A62"/>
    <w:lvl w:ilvl="0" w:tplc="56BE35F6">
      <w:start w:val="1"/>
      <w:numFmt w:val="lowerRoman"/>
      <w:lvlText w:val="(%1)"/>
      <w:lvlJc w:val="left"/>
      <w:pPr>
        <w:ind w:left="1780" w:hanging="360"/>
      </w:pPr>
      <w:rPr>
        <w:rFonts w:cs="Times New Roman" w:hint="default"/>
      </w:rPr>
    </w:lvl>
    <w:lvl w:ilvl="1" w:tplc="2C0A0019" w:tentative="1">
      <w:start w:val="1"/>
      <w:numFmt w:val="lowerLetter"/>
      <w:lvlText w:val="%2."/>
      <w:lvlJc w:val="left"/>
      <w:pPr>
        <w:ind w:left="2500" w:hanging="360"/>
      </w:pPr>
      <w:rPr>
        <w:rFonts w:cs="Times New Roman"/>
      </w:rPr>
    </w:lvl>
    <w:lvl w:ilvl="2" w:tplc="2C0A001B" w:tentative="1">
      <w:start w:val="1"/>
      <w:numFmt w:val="lowerRoman"/>
      <w:lvlText w:val="%3."/>
      <w:lvlJc w:val="right"/>
      <w:pPr>
        <w:ind w:left="3220" w:hanging="180"/>
      </w:pPr>
      <w:rPr>
        <w:rFonts w:cs="Times New Roman"/>
      </w:rPr>
    </w:lvl>
    <w:lvl w:ilvl="3" w:tplc="2C0A000F" w:tentative="1">
      <w:start w:val="1"/>
      <w:numFmt w:val="decimal"/>
      <w:lvlText w:val="%4."/>
      <w:lvlJc w:val="left"/>
      <w:pPr>
        <w:ind w:left="3940" w:hanging="360"/>
      </w:pPr>
      <w:rPr>
        <w:rFonts w:cs="Times New Roman"/>
      </w:rPr>
    </w:lvl>
    <w:lvl w:ilvl="4" w:tplc="2C0A0019" w:tentative="1">
      <w:start w:val="1"/>
      <w:numFmt w:val="lowerLetter"/>
      <w:lvlText w:val="%5."/>
      <w:lvlJc w:val="left"/>
      <w:pPr>
        <w:ind w:left="4660" w:hanging="360"/>
      </w:pPr>
      <w:rPr>
        <w:rFonts w:cs="Times New Roman"/>
      </w:rPr>
    </w:lvl>
    <w:lvl w:ilvl="5" w:tplc="2C0A001B" w:tentative="1">
      <w:start w:val="1"/>
      <w:numFmt w:val="lowerRoman"/>
      <w:lvlText w:val="%6."/>
      <w:lvlJc w:val="right"/>
      <w:pPr>
        <w:ind w:left="5380" w:hanging="180"/>
      </w:pPr>
      <w:rPr>
        <w:rFonts w:cs="Times New Roman"/>
      </w:rPr>
    </w:lvl>
    <w:lvl w:ilvl="6" w:tplc="2C0A000F" w:tentative="1">
      <w:start w:val="1"/>
      <w:numFmt w:val="decimal"/>
      <w:lvlText w:val="%7."/>
      <w:lvlJc w:val="left"/>
      <w:pPr>
        <w:ind w:left="6100" w:hanging="360"/>
      </w:pPr>
      <w:rPr>
        <w:rFonts w:cs="Times New Roman"/>
      </w:rPr>
    </w:lvl>
    <w:lvl w:ilvl="7" w:tplc="2C0A0019" w:tentative="1">
      <w:start w:val="1"/>
      <w:numFmt w:val="lowerLetter"/>
      <w:lvlText w:val="%8."/>
      <w:lvlJc w:val="left"/>
      <w:pPr>
        <w:ind w:left="6820" w:hanging="360"/>
      </w:pPr>
      <w:rPr>
        <w:rFonts w:cs="Times New Roman"/>
      </w:rPr>
    </w:lvl>
    <w:lvl w:ilvl="8" w:tplc="2C0A001B" w:tentative="1">
      <w:start w:val="1"/>
      <w:numFmt w:val="lowerRoman"/>
      <w:lvlText w:val="%9."/>
      <w:lvlJc w:val="right"/>
      <w:pPr>
        <w:ind w:left="7540" w:hanging="180"/>
      </w:pPr>
      <w:rPr>
        <w:rFonts w:cs="Times New Roman"/>
      </w:rPr>
    </w:lvl>
  </w:abstractNum>
  <w:abstractNum w:abstractNumId="149">
    <w:nsid w:val="5D635701"/>
    <w:multiLevelType w:val="hybridMultilevel"/>
    <w:tmpl w:val="FEA0DA72"/>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50">
    <w:nsid w:val="5E413466"/>
    <w:multiLevelType w:val="hybridMultilevel"/>
    <w:tmpl w:val="AA54FFBC"/>
    <w:lvl w:ilvl="0" w:tplc="EB2C8A14">
      <w:numFmt w:val="bullet"/>
      <w:lvlText w:val="-"/>
      <w:lvlJc w:val="left"/>
      <w:pPr>
        <w:ind w:left="1069" w:hanging="360"/>
      </w:pPr>
      <w:rPr>
        <w:rFonts w:ascii="Times New Roman" w:eastAsia="Times New Roman" w:hAnsi="Times New Roman" w:cs="Times New Roman"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151">
    <w:nsid w:val="5E484208"/>
    <w:multiLevelType w:val="hybridMultilevel"/>
    <w:tmpl w:val="FD3214F4"/>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152">
    <w:nsid w:val="5E617B13"/>
    <w:multiLevelType w:val="hybridMultilevel"/>
    <w:tmpl w:val="99B42FAE"/>
    <w:lvl w:ilvl="0" w:tplc="A7E0CFDE">
      <w:numFmt w:val="bullet"/>
      <w:lvlText w:val="-"/>
      <w:lvlJc w:val="left"/>
      <w:pPr>
        <w:ind w:left="1780" w:hanging="360"/>
      </w:pPr>
      <w:rPr>
        <w:rFonts w:ascii="Times New Roman" w:eastAsia="Times New Roman" w:hAnsi="Times New Roman"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53">
    <w:nsid w:val="5ED861BD"/>
    <w:multiLevelType w:val="hybridMultilevel"/>
    <w:tmpl w:val="D6B6947A"/>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54">
    <w:nsid w:val="6155577A"/>
    <w:multiLevelType w:val="hybridMultilevel"/>
    <w:tmpl w:val="7AEA0312"/>
    <w:lvl w:ilvl="0" w:tplc="B8D2E00A">
      <w:start w:val="1"/>
      <w:numFmt w:val="bullet"/>
      <w:pStyle w:val="STBBullet1"/>
      <w:lvlText w:val=""/>
      <w:lvlJc w:val="left"/>
      <w:pPr>
        <w:ind w:left="1080" w:hanging="360"/>
      </w:pPr>
      <w:rPr>
        <w:rFonts w:ascii="Symbol" w:hAnsi="Symbol" w:hint="default"/>
      </w:rPr>
    </w:lvl>
    <w:lvl w:ilvl="1" w:tplc="2C0A0003" w:tentative="1">
      <w:start w:val="1"/>
      <w:numFmt w:val="bullet"/>
      <w:lvlText w:val="o"/>
      <w:lvlJc w:val="left"/>
      <w:pPr>
        <w:ind w:left="1800" w:hanging="360"/>
      </w:pPr>
      <w:rPr>
        <w:rFonts w:ascii="Courier New" w:hAnsi="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155">
    <w:nsid w:val="61AE161A"/>
    <w:multiLevelType w:val="hybridMultilevel"/>
    <w:tmpl w:val="289899C0"/>
    <w:lvl w:ilvl="0" w:tplc="695C7188">
      <w:start w:val="1"/>
      <w:numFmt w:val="bullet"/>
      <w:lvlText w:val="-"/>
      <w:lvlJc w:val="left"/>
      <w:pPr>
        <w:ind w:left="720" w:hanging="360"/>
      </w:pPr>
      <w:rPr>
        <w:rFonts w:ascii="Courier New" w:hAnsi="Courier New"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6">
    <w:nsid w:val="62DE3A2B"/>
    <w:multiLevelType w:val="hybridMultilevel"/>
    <w:tmpl w:val="86E0A5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7">
    <w:nsid w:val="633700D2"/>
    <w:multiLevelType w:val="hybridMultilevel"/>
    <w:tmpl w:val="68865BAC"/>
    <w:lvl w:ilvl="0" w:tplc="2C0A0001">
      <w:start w:val="1"/>
      <w:numFmt w:val="bullet"/>
      <w:lvlText w:val=""/>
      <w:lvlJc w:val="left"/>
      <w:pPr>
        <w:ind w:left="4472" w:hanging="360"/>
      </w:pPr>
      <w:rPr>
        <w:rFonts w:ascii="Symbol" w:hAnsi="Symbol" w:hint="default"/>
      </w:rPr>
    </w:lvl>
    <w:lvl w:ilvl="1" w:tplc="2C0A0003">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158">
    <w:nsid w:val="640E3E3D"/>
    <w:multiLevelType w:val="hybridMultilevel"/>
    <w:tmpl w:val="66703BE2"/>
    <w:lvl w:ilvl="0" w:tplc="9EC0D80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9">
    <w:nsid w:val="642767C2"/>
    <w:multiLevelType w:val="hybridMultilevel"/>
    <w:tmpl w:val="D510562E"/>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60">
    <w:nsid w:val="6531496F"/>
    <w:multiLevelType w:val="hybridMultilevel"/>
    <w:tmpl w:val="EEEED6EC"/>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61">
    <w:nsid w:val="65524DFB"/>
    <w:multiLevelType w:val="hybridMultilevel"/>
    <w:tmpl w:val="622A689E"/>
    <w:lvl w:ilvl="0" w:tplc="0C0A0001">
      <w:start w:val="1"/>
      <w:numFmt w:val="decimal"/>
      <w:lvlText w:val="(%1)"/>
      <w:lvlJc w:val="left"/>
      <w:pPr>
        <w:tabs>
          <w:tab w:val="num" w:pos="720"/>
        </w:tabs>
        <w:ind w:left="720" w:hanging="360"/>
      </w:pPr>
      <w:rPr>
        <w:rFonts w:cs="Times New Roman" w:hint="default"/>
        <w:color w:val="auto"/>
        <w:w w:val="100"/>
        <w:sz w:val="20"/>
        <w:vertAlign w:val="superscript"/>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62">
    <w:nsid w:val="66411014"/>
    <w:multiLevelType w:val="hybridMultilevel"/>
    <w:tmpl w:val="043005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3">
    <w:nsid w:val="667D1456"/>
    <w:multiLevelType w:val="hybridMultilevel"/>
    <w:tmpl w:val="D35AB35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4">
    <w:nsid w:val="6733631F"/>
    <w:multiLevelType w:val="hybridMultilevel"/>
    <w:tmpl w:val="B90210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5">
    <w:nsid w:val="68AF412F"/>
    <w:multiLevelType w:val="hybridMultilevel"/>
    <w:tmpl w:val="C6B20FE6"/>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66">
    <w:nsid w:val="68BE1A26"/>
    <w:multiLevelType w:val="hybridMultilevel"/>
    <w:tmpl w:val="C45CB86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7">
    <w:nsid w:val="68D92C3C"/>
    <w:multiLevelType w:val="hybridMultilevel"/>
    <w:tmpl w:val="4A5C1D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8">
    <w:nsid w:val="69292571"/>
    <w:multiLevelType w:val="hybridMultilevel"/>
    <w:tmpl w:val="766CA48C"/>
    <w:lvl w:ilvl="0" w:tplc="B4F8426E">
      <w:start w:val="1"/>
      <w:numFmt w:val="decimal"/>
      <w:pStyle w:val="STBListNumber3"/>
      <w:lvlText w:val="%1."/>
      <w:lvlJc w:val="left"/>
      <w:pPr>
        <w:tabs>
          <w:tab w:val="num" w:pos="2520"/>
        </w:tabs>
        <w:ind w:firstLine="2160"/>
      </w:pPr>
      <w:rPr>
        <w:rFonts w:cs="Times New Roman" w:hint="default"/>
      </w:rPr>
    </w:lvl>
    <w:lvl w:ilvl="1" w:tplc="FEA222B2" w:tentative="1">
      <w:start w:val="1"/>
      <w:numFmt w:val="lowerLetter"/>
      <w:lvlText w:val="%2."/>
      <w:lvlJc w:val="left"/>
      <w:pPr>
        <w:tabs>
          <w:tab w:val="num" w:pos="1440"/>
        </w:tabs>
        <w:ind w:left="1440" w:hanging="360"/>
      </w:pPr>
      <w:rPr>
        <w:rFonts w:cs="Times New Roman"/>
      </w:rPr>
    </w:lvl>
    <w:lvl w:ilvl="2" w:tplc="6FBE636E" w:tentative="1">
      <w:start w:val="1"/>
      <w:numFmt w:val="lowerRoman"/>
      <w:lvlText w:val="%3."/>
      <w:lvlJc w:val="right"/>
      <w:pPr>
        <w:tabs>
          <w:tab w:val="num" w:pos="2160"/>
        </w:tabs>
        <w:ind w:left="2160" w:hanging="180"/>
      </w:pPr>
      <w:rPr>
        <w:rFonts w:cs="Times New Roman"/>
      </w:rPr>
    </w:lvl>
    <w:lvl w:ilvl="3" w:tplc="0D223E4E" w:tentative="1">
      <w:start w:val="1"/>
      <w:numFmt w:val="decimal"/>
      <w:lvlText w:val="%4."/>
      <w:lvlJc w:val="left"/>
      <w:pPr>
        <w:tabs>
          <w:tab w:val="num" w:pos="2880"/>
        </w:tabs>
        <w:ind w:left="2880" w:hanging="360"/>
      </w:pPr>
      <w:rPr>
        <w:rFonts w:cs="Times New Roman"/>
      </w:rPr>
    </w:lvl>
    <w:lvl w:ilvl="4" w:tplc="AE04693E" w:tentative="1">
      <w:start w:val="1"/>
      <w:numFmt w:val="lowerLetter"/>
      <w:lvlText w:val="%5."/>
      <w:lvlJc w:val="left"/>
      <w:pPr>
        <w:tabs>
          <w:tab w:val="num" w:pos="3600"/>
        </w:tabs>
        <w:ind w:left="3600" w:hanging="360"/>
      </w:pPr>
      <w:rPr>
        <w:rFonts w:cs="Times New Roman"/>
      </w:rPr>
    </w:lvl>
    <w:lvl w:ilvl="5" w:tplc="E806DAB8" w:tentative="1">
      <w:start w:val="1"/>
      <w:numFmt w:val="lowerRoman"/>
      <w:lvlText w:val="%6."/>
      <w:lvlJc w:val="right"/>
      <w:pPr>
        <w:tabs>
          <w:tab w:val="num" w:pos="4320"/>
        </w:tabs>
        <w:ind w:left="4320" w:hanging="180"/>
      </w:pPr>
      <w:rPr>
        <w:rFonts w:cs="Times New Roman"/>
      </w:rPr>
    </w:lvl>
    <w:lvl w:ilvl="6" w:tplc="44EC8032" w:tentative="1">
      <w:start w:val="1"/>
      <w:numFmt w:val="decimal"/>
      <w:lvlText w:val="%7."/>
      <w:lvlJc w:val="left"/>
      <w:pPr>
        <w:tabs>
          <w:tab w:val="num" w:pos="5040"/>
        </w:tabs>
        <w:ind w:left="5040" w:hanging="360"/>
      </w:pPr>
      <w:rPr>
        <w:rFonts w:cs="Times New Roman"/>
      </w:rPr>
    </w:lvl>
    <w:lvl w:ilvl="7" w:tplc="78F85718" w:tentative="1">
      <w:start w:val="1"/>
      <w:numFmt w:val="lowerLetter"/>
      <w:lvlText w:val="%8."/>
      <w:lvlJc w:val="left"/>
      <w:pPr>
        <w:tabs>
          <w:tab w:val="num" w:pos="5760"/>
        </w:tabs>
        <w:ind w:left="5760" w:hanging="360"/>
      </w:pPr>
      <w:rPr>
        <w:rFonts w:cs="Times New Roman"/>
      </w:rPr>
    </w:lvl>
    <w:lvl w:ilvl="8" w:tplc="C5E4485A" w:tentative="1">
      <w:start w:val="1"/>
      <w:numFmt w:val="lowerRoman"/>
      <w:lvlText w:val="%9."/>
      <w:lvlJc w:val="right"/>
      <w:pPr>
        <w:tabs>
          <w:tab w:val="num" w:pos="6480"/>
        </w:tabs>
        <w:ind w:left="6480" w:hanging="180"/>
      </w:pPr>
      <w:rPr>
        <w:rFonts w:cs="Times New Roman"/>
      </w:rPr>
    </w:lvl>
  </w:abstractNum>
  <w:abstractNum w:abstractNumId="169">
    <w:nsid w:val="6B3807A6"/>
    <w:multiLevelType w:val="hybridMultilevel"/>
    <w:tmpl w:val="5B16E682"/>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70">
    <w:nsid w:val="6BE9061B"/>
    <w:multiLevelType w:val="hybridMultilevel"/>
    <w:tmpl w:val="F9409980"/>
    <w:lvl w:ilvl="0" w:tplc="02223A3E">
      <w:start w:val="1"/>
      <w:numFmt w:val="bullet"/>
      <w:pStyle w:val="BulletDagger2"/>
      <w:lvlText w:val=""/>
      <w:lvlJc w:val="left"/>
      <w:pPr>
        <w:tabs>
          <w:tab w:val="num" w:pos="1800"/>
        </w:tabs>
        <w:ind w:left="1800" w:hanging="360"/>
      </w:pPr>
      <w:rPr>
        <w:rFonts w:ascii="Wingdings" w:hAnsi="Wingdings" w:hint="default"/>
        <w:color w:val="auto"/>
      </w:rPr>
    </w:lvl>
    <w:lvl w:ilvl="1" w:tplc="2C0A0019" w:tentative="1">
      <w:start w:val="1"/>
      <w:numFmt w:val="bullet"/>
      <w:lvlText w:val="o"/>
      <w:lvlJc w:val="left"/>
      <w:pPr>
        <w:tabs>
          <w:tab w:val="num" w:pos="1440"/>
        </w:tabs>
        <w:ind w:left="1440" w:hanging="360"/>
      </w:pPr>
      <w:rPr>
        <w:rFonts w:ascii="Courier New" w:hAnsi="Courier New" w:hint="default"/>
      </w:rPr>
    </w:lvl>
    <w:lvl w:ilvl="2" w:tplc="2C0A001B" w:tentative="1">
      <w:start w:val="1"/>
      <w:numFmt w:val="bullet"/>
      <w:lvlText w:val=""/>
      <w:lvlJc w:val="left"/>
      <w:pPr>
        <w:tabs>
          <w:tab w:val="num" w:pos="2160"/>
        </w:tabs>
        <w:ind w:left="2160" w:hanging="360"/>
      </w:pPr>
      <w:rPr>
        <w:rFonts w:ascii="Wingdings" w:hAnsi="Wingdings" w:hint="default"/>
      </w:rPr>
    </w:lvl>
    <w:lvl w:ilvl="3" w:tplc="2C0A000F" w:tentative="1">
      <w:start w:val="1"/>
      <w:numFmt w:val="bullet"/>
      <w:lvlText w:val=""/>
      <w:lvlJc w:val="left"/>
      <w:pPr>
        <w:tabs>
          <w:tab w:val="num" w:pos="2880"/>
        </w:tabs>
        <w:ind w:left="2880" w:hanging="360"/>
      </w:pPr>
      <w:rPr>
        <w:rFonts w:ascii="Symbol" w:hAnsi="Symbol" w:hint="default"/>
      </w:rPr>
    </w:lvl>
    <w:lvl w:ilvl="4" w:tplc="2C0A0019" w:tentative="1">
      <w:start w:val="1"/>
      <w:numFmt w:val="bullet"/>
      <w:lvlText w:val="o"/>
      <w:lvlJc w:val="left"/>
      <w:pPr>
        <w:tabs>
          <w:tab w:val="num" w:pos="3600"/>
        </w:tabs>
        <w:ind w:left="3600" w:hanging="360"/>
      </w:pPr>
      <w:rPr>
        <w:rFonts w:ascii="Courier New" w:hAnsi="Courier New" w:hint="default"/>
      </w:rPr>
    </w:lvl>
    <w:lvl w:ilvl="5" w:tplc="2C0A001B" w:tentative="1">
      <w:start w:val="1"/>
      <w:numFmt w:val="bullet"/>
      <w:lvlText w:val=""/>
      <w:lvlJc w:val="left"/>
      <w:pPr>
        <w:tabs>
          <w:tab w:val="num" w:pos="4320"/>
        </w:tabs>
        <w:ind w:left="4320" w:hanging="360"/>
      </w:pPr>
      <w:rPr>
        <w:rFonts w:ascii="Wingdings" w:hAnsi="Wingdings" w:hint="default"/>
      </w:rPr>
    </w:lvl>
    <w:lvl w:ilvl="6" w:tplc="2C0A000F" w:tentative="1">
      <w:start w:val="1"/>
      <w:numFmt w:val="bullet"/>
      <w:lvlText w:val=""/>
      <w:lvlJc w:val="left"/>
      <w:pPr>
        <w:tabs>
          <w:tab w:val="num" w:pos="5040"/>
        </w:tabs>
        <w:ind w:left="5040" w:hanging="360"/>
      </w:pPr>
      <w:rPr>
        <w:rFonts w:ascii="Symbol" w:hAnsi="Symbol" w:hint="default"/>
      </w:rPr>
    </w:lvl>
    <w:lvl w:ilvl="7" w:tplc="2C0A0019" w:tentative="1">
      <w:start w:val="1"/>
      <w:numFmt w:val="bullet"/>
      <w:lvlText w:val="o"/>
      <w:lvlJc w:val="left"/>
      <w:pPr>
        <w:tabs>
          <w:tab w:val="num" w:pos="5760"/>
        </w:tabs>
        <w:ind w:left="5760" w:hanging="360"/>
      </w:pPr>
      <w:rPr>
        <w:rFonts w:ascii="Courier New" w:hAnsi="Courier New" w:hint="default"/>
      </w:rPr>
    </w:lvl>
    <w:lvl w:ilvl="8" w:tplc="2C0A001B" w:tentative="1">
      <w:start w:val="1"/>
      <w:numFmt w:val="bullet"/>
      <w:lvlText w:val=""/>
      <w:lvlJc w:val="left"/>
      <w:pPr>
        <w:tabs>
          <w:tab w:val="num" w:pos="6480"/>
        </w:tabs>
        <w:ind w:left="6480" w:hanging="360"/>
      </w:pPr>
      <w:rPr>
        <w:rFonts w:ascii="Wingdings" w:hAnsi="Wingdings" w:hint="default"/>
      </w:rPr>
    </w:lvl>
  </w:abstractNum>
  <w:abstractNum w:abstractNumId="171">
    <w:nsid w:val="6D5C4055"/>
    <w:multiLevelType w:val="hybridMultilevel"/>
    <w:tmpl w:val="A182882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2">
    <w:nsid w:val="6F9C154E"/>
    <w:multiLevelType w:val="hybridMultilevel"/>
    <w:tmpl w:val="B9CC4902"/>
    <w:lvl w:ilvl="0" w:tplc="FFFFFFFF">
      <w:start w:val="1"/>
      <w:numFmt w:val="bullet"/>
      <w:pStyle w:val="STBBullet2"/>
      <w:lvlText w:val=""/>
      <w:lvlJc w:val="left"/>
      <w:pPr>
        <w:tabs>
          <w:tab w:val="num" w:pos="1080"/>
        </w:tabs>
        <w:ind w:firstLine="72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3">
    <w:nsid w:val="6FBC4CAF"/>
    <w:multiLevelType w:val="hybridMultilevel"/>
    <w:tmpl w:val="28FCC0D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4">
    <w:nsid w:val="7039180F"/>
    <w:multiLevelType w:val="hybridMultilevel"/>
    <w:tmpl w:val="1A22CBDE"/>
    <w:lvl w:ilvl="0" w:tplc="0C0A0001">
      <w:start w:val="1"/>
      <w:numFmt w:val="lowerLetter"/>
      <w:lvlText w:val="%1)"/>
      <w:lvlJc w:val="left"/>
      <w:pPr>
        <w:ind w:left="720" w:hanging="360"/>
      </w:pPr>
      <w:rPr>
        <w:rFonts w:ascii="Times New Roman" w:eastAsia="SimSun" w:hAnsi="Times New Roman" w:cs="Times New Roman"/>
      </w:rPr>
    </w:lvl>
    <w:lvl w:ilvl="1" w:tplc="0C0A0003" w:tentative="1">
      <w:start w:val="1"/>
      <w:numFmt w:val="lowerLetter"/>
      <w:lvlText w:val="%2."/>
      <w:lvlJc w:val="left"/>
      <w:pPr>
        <w:ind w:left="1440" w:hanging="360"/>
      </w:pPr>
      <w:rPr>
        <w:rFonts w:cs="Times New Roman"/>
      </w:rPr>
    </w:lvl>
    <w:lvl w:ilvl="2" w:tplc="0C0A0005" w:tentative="1">
      <w:start w:val="1"/>
      <w:numFmt w:val="lowerRoman"/>
      <w:lvlText w:val="%3."/>
      <w:lvlJc w:val="right"/>
      <w:pPr>
        <w:ind w:left="2160" w:hanging="180"/>
      </w:pPr>
      <w:rPr>
        <w:rFonts w:cs="Times New Roman"/>
      </w:rPr>
    </w:lvl>
    <w:lvl w:ilvl="3" w:tplc="0C0A0001" w:tentative="1">
      <w:start w:val="1"/>
      <w:numFmt w:val="decimal"/>
      <w:lvlText w:val="%4."/>
      <w:lvlJc w:val="left"/>
      <w:pPr>
        <w:ind w:left="2880" w:hanging="360"/>
      </w:pPr>
      <w:rPr>
        <w:rFonts w:cs="Times New Roman"/>
      </w:rPr>
    </w:lvl>
    <w:lvl w:ilvl="4" w:tplc="0C0A0003" w:tentative="1">
      <w:start w:val="1"/>
      <w:numFmt w:val="lowerLetter"/>
      <w:lvlText w:val="%5."/>
      <w:lvlJc w:val="left"/>
      <w:pPr>
        <w:ind w:left="3600" w:hanging="360"/>
      </w:pPr>
      <w:rPr>
        <w:rFonts w:cs="Times New Roman"/>
      </w:rPr>
    </w:lvl>
    <w:lvl w:ilvl="5" w:tplc="0C0A0005" w:tentative="1">
      <w:start w:val="1"/>
      <w:numFmt w:val="lowerRoman"/>
      <w:lvlText w:val="%6."/>
      <w:lvlJc w:val="right"/>
      <w:pPr>
        <w:ind w:left="4320" w:hanging="180"/>
      </w:pPr>
      <w:rPr>
        <w:rFonts w:cs="Times New Roman"/>
      </w:rPr>
    </w:lvl>
    <w:lvl w:ilvl="6" w:tplc="0C0A0001" w:tentative="1">
      <w:start w:val="1"/>
      <w:numFmt w:val="decimal"/>
      <w:lvlText w:val="%7."/>
      <w:lvlJc w:val="left"/>
      <w:pPr>
        <w:ind w:left="5040" w:hanging="360"/>
      </w:pPr>
      <w:rPr>
        <w:rFonts w:cs="Times New Roman"/>
      </w:rPr>
    </w:lvl>
    <w:lvl w:ilvl="7" w:tplc="0C0A0003" w:tentative="1">
      <w:start w:val="1"/>
      <w:numFmt w:val="lowerLetter"/>
      <w:lvlText w:val="%8."/>
      <w:lvlJc w:val="left"/>
      <w:pPr>
        <w:ind w:left="5760" w:hanging="360"/>
      </w:pPr>
      <w:rPr>
        <w:rFonts w:cs="Times New Roman"/>
      </w:rPr>
    </w:lvl>
    <w:lvl w:ilvl="8" w:tplc="0C0A0005" w:tentative="1">
      <w:start w:val="1"/>
      <w:numFmt w:val="lowerRoman"/>
      <w:lvlText w:val="%9."/>
      <w:lvlJc w:val="right"/>
      <w:pPr>
        <w:ind w:left="6480" w:hanging="180"/>
      </w:pPr>
      <w:rPr>
        <w:rFonts w:cs="Times New Roman"/>
      </w:rPr>
    </w:lvl>
  </w:abstractNum>
  <w:abstractNum w:abstractNumId="175">
    <w:nsid w:val="70C74152"/>
    <w:multiLevelType w:val="hybridMultilevel"/>
    <w:tmpl w:val="826269DA"/>
    <w:lvl w:ilvl="0" w:tplc="E40C2444">
      <w:start w:val="1"/>
      <w:numFmt w:val="bullet"/>
      <w:pStyle w:val="STBBullet3"/>
      <w:lvlText w:val=""/>
      <w:lvlJc w:val="left"/>
      <w:pPr>
        <w:tabs>
          <w:tab w:val="num" w:pos="1440"/>
        </w:tabs>
        <w:ind w:firstLine="108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6">
    <w:nsid w:val="72591CA9"/>
    <w:multiLevelType w:val="multilevel"/>
    <w:tmpl w:val="B790A32C"/>
    <w:styleLink w:val="PwCListBullets1"/>
    <w:lvl w:ilvl="0">
      <w:start w:val="1"/>
      <w:numFmt w:val="bullet"/>
      <w:lvlText w:val=""/>
      <w:lvlJc w:val="left"/>
      <w:pPr>
        <w:tabs>
          <w:tab w:val="num" w:pos="397"/>
        </w:tabs>
        <w:ind w:left="397" w:hanging="397"/>
      </w:pPr>
      <w:rPr>
        <w:rFonts w:ascii="Symbol" w:hAnsi="Symbol" w:hint="default"/>
      </w:rPr>
    </w:lvl>
    <w:lvl w:ilvl="1">
      <w:start w:val="1"/>
      <w:numFmt w:val="bullet"/>
      <w:lvlText w:val=""/>
      <w:lvlJc w:val="left"/>
      <w:pPr>
        <w:tabs>
          <w:tab w:val="num" w:pos="794"/>
        </w:tabs>
        <w:ind w:left="794" w:hanging="397"/>
      </w:pPr>
      <w:rPr>
        <w:rFonts w:ascii="Symbol" w:hAnsi="Symbol" w:hint="default"/>
      </w:rPr>
    </w:lvl>
    <w:lvl w:ilvl="2">
      <w:start w:val="1"/>
      <w:numFmt w:val="bullet"/>
      <w:lvlText w:val=""/>
      <w:lvlJc w:val="left"/>
      <w:pPr>
        <w:tabs>
          <w:tab w:val="num" w:pos="1191"/>
        </w:tabs>
        <w:ind w:left="1191" w:hanging="397"/>
      </w:pPr>
      <w:rPr>
        <w:rFonts w:ascii="Symbol" w:hAnsi="Symbol" w:hint="default"/>
      </w:rPr>
    </w:lvl>
    <w:lvl w:ilvl="3">
      <w:start w:val="1"/>
      <w:numFmt w:val="bullet"/>
      <w:lvlText w:val=""/>
      <w:lvlJc w:val="left"/>
      <w:pPr>
        <w:tabs>
          <w:tab w:val="num" w:pos="1588"/>
        </w:tabs>
        <w:ind w:left="1588" w:hanging="397"/>
      </w:pPr>
      <w:rPr>
        <w:rFonts w:ascii="Symbol" w:hAnsi="Symbol" w:hint="default"/>
      </w:rPr>
    </w:lvl>
    <w:lvl w:ilvl="4">
      <w:start w:val="1"/>
      <w:numFmt w:val="bullet"/>
      <w:lvlText w:val=""/>
      <w:lvlJc w:val="left"/>
      <w:pPr>
        <w:tabs>
          <w:tab w:val="num" w:pos="1985"/>
        </w:tabs>
        <w:ind w:left="1985" w:hanging="397"/>
      </w:pPr>
      <w:rPr>
        <w:rFonts w:ascii="Symbol" w:hAnsi="Symbol" w:hint="default"/>
      </w:rPr>
    </w:lvl>
    <w:lvl w:ilvl="5">
      <w:start w:val="1"/>
      <w:numFmt w:val="bullet"/>
      <w:lvlText w:val=""/>
      <w:lvlJc w:val="left"/>
      <w:pPr>
        <w:tabs>
          <w:tab w:val="num" w:pos="2381"/>
        </w:tabs>
        <w:ind w:left="2382" w:hanging="397"/>
      </w:pPr>
      <w:rPr>
        <w:rFonts w:ascii="Symbol" w:hAnsi="Symbol" w:hint="default"/>
      </w:rPr>
    </w:lvl>
    <w:lvl w:ilvl="6">
      <w:start w:val="1"/>
      <w:numFmt w:val="bullet"/>
      <w:lvlText w:val=""/>
      <w:lvlJc w:val="left"/>
      <w:pPr>
        <w:tabs>
          <w:tab w:val="num" w:pos="2778"/>
        </w:tabs>
        <w:ind w:left="2779" w:hanging="397"/>
      </w:pPr>
      <w:rPr>
        <w:rFonts w:ascii="Symbol" w:hAnsi="Symbol" w:hint="default"/>
      </w:rPr>
    </w:lvl>
    <w:lvl w:ilvl="7">
      <w:start w:val="1"/>
      <w:numFmt w:val="bullet"/>
      <w:lvlText w:val=""/>
      <w:lvlJc w:val="left"/>
      <w:pPr>
        <w:tabs>
          <w:tab w:val="num" w:pos="3175"/>
        </w:tabs>
        <w:ind w:left="3176" w:hanging="397"/>
      </w:pPr>
      <w:rPr>
        <w:rFonts w:ascii="Symbol" w:hAnsi="Symbol" w:hint="default"/>
      </w:rPr>
    </w:lvl>
    <w:lvl w:ilvl="8">
      <w:start w:val="1"/>
      <w:numFmt w:val="bullet"/>
      <w:lvlText w:val=""/>
      <w:lvlJc w:val="left"/>
      <w:pPr>
        <w:tabs>
          <w:tab w:val="num" w:pos="3572"/>
        </w:tabs>
        <w:ind w:left="3573" w:hanging="397"/>
      </w:pPr>
      <w:rPr>
        <w:rFonts w:ascii="Symbol" w:hAnsi="Symbol" w:hint="default"/>
      </w:rPr>
    </w:lvl>
  </w:abstractNum>
  <w:abstractNum w:abstractNumId="177">
    <w:nsid w:val="738C0A0C"/>
    <w:multiLevelType w:val="hybridMultilevel"/>
    <w:tmpl w:val="2C6EEA6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8">
    <w:nsid w:val="73AD0062"/>
    <w:multiLevelType w:val="hybridMultilevel"/>
    <w:tmpl w:val="CE481D0C"/>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79">
    <w:nsid w:val="73D57CA8"/>
    <w:multiLevelType w:val="hybridMultilevel"/>
    <w:tmpl w:val="B6184ADE"/>
    <w:lvl w:ilvl="0" w:tplc="FFFFFFFF">
      <w:start w:val="1"/>
      <w:numFmt w:val="bullet"/>
      <w:pStyle w:val="STBBullet1DBL"/>
      <w:lvlText w:val=""/>
      <w:lvlJc w:val="left"/>
      <w:pPr>
        <w:tabs>
          <w:tab w:val="num" w:pos="720"/>
        </w:tabs>
        <w:ind w:firstLine="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0">
    <w:nsid w:val="73F30D4B"/>
    <w:multiLevelType w:val="hybridMultilevel"/>
    <w:tmpl w:val="67D83C5C"/>
    <w:lvl w:ilvl="0" w:tplc="4F8C0D9E">
      <w:start w:val="1"/>
      <w:numFmt w:val="decimal"/>
      <w:lvlText w:val="(%1)"/>
      <w:lvlJc w:val="left"/>
      <w:pPr>
        <w:tabs>
          <w:tab w:val="num" w:pos="2204"/>
        </w:tabs>
        <w:ind w:left="2204" w:hanging="360"/>
      </w:pPr>
      <w:rPr>
        <w:rFonts w:cs="Times New Roman" w:hint="default"/>
        <w:b w:val="0"/>
        <w:i w:val="0"/>
        <w:sz w:val="16"/>
      </w:rPr>
    </w:lvl>
    <w:lvl w:ilvl="1" w:tplc="0C0A0019" w:tentative="1">
      <w:start w:val="1"/>
      <w:numFmt w:val="lowerLetter"/>
      <w:lvlText w:val="%2."/>
      <w:lvlJc w:val="left"/>
      <w:pPr>
        <w:tabs>
          <w:tab w:val="num" w:pos="2564"/>
        </w:tabs>
        <w:ind w:left="2564" w:hanging="360"/>
      </w:pPr>
      <w:rPr>
        <w:rFonts w:cs="Times New Roman"/>
      </w:rPr>
    </w:lvl>
    <w:lvl w:ilvl="2" w:tplc="0C0A001B" w:tentative="1">
      <w:start w:val="1"/>
      <w:numFmt w:val="lowerRoman"/>
      <w:lvlText w:val="%3."/>
      <w:lvlJc w:val="right"/>
      <w:pPr>
        <w:tabs>
          <w:tab w:val="num" w:pos="3284"/>
        </w:tabs>
        <w:ind w:left="3284" w:hanging="180"/>
      </w:pPr>
      <w:rPr>
        <w:rFonts w:cs="Times New Roman"/>
      </w:rPr>
    </w:lvl>
    <w:lvl w:ilvl="3" w:tplc="0C0A000F" w:tentative="1">
      <w:start w:val="1"/>
      <w:numFmt w:val="decimal"/>
      <w:lvlText w:val="%4."/>
      <w:lvlJc w:val="left"/>
      <w:pPr>
        <w:tabs>
          <w:tab w:val="num" w:pos="4004"/>
        </w:tabs>
        <w:ind w:left="4004" w:hanging="360"/>
      </w:pPr>
      <w:rPr>
        <w:rFonts w:cs="Times New Roman"/>
      </w:rPr>
    </w:lvl>
    <w:lvl w:ilvl="4" w:tplc="0C0A0019" w:tentative="1">
      <w:start w:val="1"/>
      <w:numFmt w:val="lowerLetter"/>
      <w:lvlText w:val="%5."/>
      <w:lvlJc w:val="left"/>
      <w:pPr>
        <w:tabs>
          <w:tab w:val="num" w:pos="4724"/>
        </w:tabs>
        <w:ind w:left="4724" w:hanging="360"/>
      </w:pPr>
      <w:rPr>
        <w:rFonts w:cs="Times New Roman"/>
      </w:rPr>
    </w:lvl>
    <w:lvl w:ilvl="5" w:tplc="0C0A001B" w:tentative="1">
      <w:start w:val="1"/>
      <w:numFmt w:val="lowerRoman"/>
      <w:lvlText w:val="%6."/>
      <w:lvlJc w:val="right"/>
      <w:pPr>
        <w:tabs>
          <w:tab w:val="num" w:pos="5444"/>
        </w:tabs>
        <w:ind w:left="5444" w:hanging="180"/>
      </w:pPr>
      <w:rPr>
        <w:rFonts w:cs="Times New Roman"/>
      </w:rPr>
    </w:lvl>
    <w:lvl w:ilvl="6" w:tplc="0C0A000F" w:tentative="1">
      <w:start w:val="1"/>
      <w:numFmt w:val="decimal"/>
      <w:lvlText w:val="%7."/>
      <w:lvlJc w:val="left"/>
      <w:pPr>
        <w:tabs>
          <w:tab w:val="num" w:pos="6164"/>
        </w:tabs>
        <w:ind w:left="6164" w:hanging="360"/>
      </w:pPr>
      <w:rPr>
        <w:rFonts w:cs="Times New Roman"/>
      </w:rPr>
    </w:lvl>
    <w:lvl w:ilvl="7" w:tplc="0C0A0019" w:tentative="1">
      <w:start w:val="1"/>
      <w:numFmt w:val="lowerLetter"/>
      <w:lvlText w:val="%8."/>
      <w:lvlJc w:val="left"/>
      <w:pPr>
        <w:tabs>
          <w:tab w:val="num" w:pos="6884"/>
        </w:tabs>
        <w:ind w:left="6884" w:hanging="360"/>
      </w:pPr>
      <w:rPr>
        <w:rFonts w:cs="Times New Roman"/>
      </w:rPr>
    </w:lvl>
    <w:lvl w:ilvl="8" w:tplc="0C0A001B" w:tentative="1">
      <w:start w:val="1"/>
      <w:numFmt w:val="lowerRoman"/>
      <w:lvlText w:val="%9."/>
      <w:lvlJc w:val="right"/>
      <w:pPr>
        <w:tabs>
          <w:tab w:val="num" w:pos="7604"/>
        </w:tabs>
        <w:ind w:left="7604" w:hanging="180"/>
      </w:pPr>
      <w:rPr>
        <w:rFonts w:cs="Times New Roman"/>
      </w:rPr>
    </w:lvl>
  </w:abstractNum>
  <w:abstractNum w:abstractNumId="181">
    <w:nsid w:val="74C21083"/>
    <w:multiLevelType w:val="hybridMultilevel"/>
    <w:tmpl w:val="C6F8D63C"/>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nsid w:val="752721FB"/>
    <w:multiLevelType w:val="hybridMultilevel"/>
    <w:tmpl w:val="AF3C32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3">
    <w:nsid w:val="75645037"/>
    <w:multiLevelType w:val="hybridMultilevel"/>
    <w:tmpl w:val="25F6CF24"/>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cs="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cs="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cs="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84">
    <w:nsid w:val="75882E87"/>
    <w:multiLevelType w:val="hybridMultilevel"/>
    <w:tmpl w:val="B3821F18"/>
    <w:lvl w:ilvl="0" w:tplc="FCB66CC8">
      <w:start w:val="1"/>
      <w:numFmt w:val="bullet"/>
      <w:lvlText w:val="•"/>
      <w:lvlJc w:val="left"/>
      <w:pPr>
        <w:ind w:left="1080" w:hanging="360"/>
      </w:pPr>
      <w:rPr>
        <w:rFonts w:ascii="Times New Roman" w:eastAsia="Calibri" w:hAnsi="Times New Roman" w:cs="Times New Roman"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185">
    <w:nsid w:val="758E287B"/>
    <w:multiLevelType w:val="hybridMultilevel"/>
    <w:tmpl w:val="67D83C5C"/>
    <w:lvl w:ilvl="0" w:tplc="4F8C0D9E">
      <w:start w:val="1"/>
      <w:numFmt w:val="decimal"/>
      <w:lvlText w:val="(%1)"/>
      <w:lvlJc w:val="left"/>
      <w:pPr>
        <w:tabs>
          <w:tab w:val="num" w:pos="2204"/>
        </w:tabs>
        <w:ind w:left="2204" w:hanging="360"/>
      </w:pPr>
      <w:rPr>
        <w:rFonts w:hint="default"/>
        <w:b w:val="0"/>
        <w:i w:val="0"/>
        <w:sz w:val="16"/>
      </w:rPr>
    </w:lvl>
    <w:lvl w:ilvl="1" w:tplc="0C0A0019" w:tentative="1">
      <w:start w:val="1"/>
      <w:numFmt w:val="lowerLetter"/>
      <w:lvlText w:val="%2."/>
      <w:lvlJc w:val="left"/>
      <w:pPr>
        <w:tabs>
          <w:tab w:val="num" w:pos="2564"/>
        </w:tabs>
        <w:ind w:left="2564" w:hanging="360"/>
      </w:pPr>
    </w:lvl>
    <w:lvl w:ilvl="2" w:tplc="0C0A001B" w:tentative="1">
      <w:start w:val="1"/>
      <w:numFmt w:val="lowerRoman"/>
      <w:lvlText w:val="%3."/>
      <w:lvlJc w:val="right"/>
      <w:pPr>
        <w:tabs>
          <w:tab w:val="num" w:pos="3284"/>
        </w:tabs>
        <w:ind w:left="3284" w:hanging="180"/>
      </w:pPr>
    </w:lvl>
    <w:lvl w:ilvl="3" w:tplc="0C0A000F" w:tentative="1">
      <w:start w:val="1"/>
      <w:numFmt w:val="decimal"/>
      <w:lvlText w:val="%4."/>
      <w:lvlJc w:val="left"/>
      <w:pPr>
        <w:tabs>
          <w:tab w:val="num" w:pos="4004"/>
        </w:tabs>
        <w:ind w:left="4004" w:hanging="360"/>
      </w:pPr>
    </w:lvl>
    <w:lvl w:ilvl="4" w:tplc="0C0A0019" w:tentative="1">
      <w:start w:val="1"/>
      <w:numFmt w:val="lowerLetter"/>
      <w:lvlText w:val="%5."/>
      <w:lvlJc w:val="left"/>
      <w:pPr>
        <w:tabs>
          <w:tab w:val="num" w:pos="4724"/>
        </w:tabs>
        <w:ind w:left="4724" w:hanging="360"/>
      </w:pPr>
    </w:lvl>
    <w:lvl w:ilvl="5" w:tplc="0C0A001B" w:tentative="1">
      <w:start w:val="1"/>
      <w:numFmt w:val="lowerRoman"/>
      <w:lvlText w:val="%6."/>
      <w:lvlJc w:val="right"/>
      <w:pPr>
        <w:tabs>
          <w:tab w:val="num" w:pos="5444"/>
        </w:tabs>
        <w:ind w:left="5444" w:hanging="180"/>
      </w:pPr>
    </w:lvl>
    <w:lvl w:ilvl="6" w:tplc="0C0A000F" w:tentative="1">
      <w:start w:val="1"/>
      <w:numFmt w:val="decimal"/>
      <w:lvlText w:val="%7."/>
      <w:lvlJc w:val="left"/>
      <w:pPr>
        <w:tabs>
          <w:tab w:val="num" w:pos="6164"/>
        </w:tabs>
        <w:ind w:left="6164" w:hanging="360"/>
      </w:pPr>
    </w:lvl>
    <w:lvl w:ilvl="7" w:tplc="0C0A0019" w:tentative="1">
      <w:start w:val="1"/>
      <w:numFmt w:val="lowerLetter"/>
      <w:lvlText w:val="%8."/>
      <w:lvlJc w:val="left"/>
      <w:pPr>
        <w:tabs>
          <w:tab w:val="num" w:pos="6884"/>
        </w:tabs>
        <w:ind w:left="6884" w:hanging="360"/>
      </w:pPr>
    </w:lvl>
    <w:lvl w:ilvl="8" w:tplc="0C0A001B" w:tentative="1">
      <w:start w:val="1"/>
      <w:numFmt w:val="lowerRoman"/>
      <w:lvlText w:val="%9."/>
      <w:lvlJc w:val="right"/>
      <w:pPr>
        <w:tabs>
          <w:tab w:val="num" w:pos="7604"/>
        </w:tabs>
        <w:ind w:left="7604" w:hanging="180"/>
      </w:pPr>
    </w:lvl>
  </w:abstractNum>
  <w:abstractNum w:abstractNumId="186">
    <w:nsid w:val="75EB159B"/>
    <w:multiLevelType w:val="multilevel"/>
    <w:tmpl w:val="34C6225C"/>
    <w:styleLink w:val="List1"/>
    <w:lvl w:ilvl="0">
      <w:numFmt w:val="bullet"/>
      <w:lvlText w:val="•"/>
      <w:lvlJc w:val="left"/>
      <w:pPr>
        <w:tabs>
          <w:tab w:val="num" w:pos="1080"/>
        </w:tabs>
        <w:ind w:left="1080" w:hanging="360"/>
      </w:pPr>
      <w:rPr>
        <w:position w:val="0"/>
        <w:sz w:val="24"/>
        <w:szCs w:val="24"/>
        <w:rtl w:val="0"/>
      </w:rPr>
    </w:lvl>
    <w:lvl w:ilvl="1">
      <w:start w:val="1"/>
      <w:numFmt w:val="bullet"/>
      <w:lvlText w:val="o"/>
      <w:lvlJc w:val="left"/>
      <w:pPr>
        <w:tabs>
          <w:tab w:val="num" w:pos="2820"/>
        </w:tabs>
        <w:ind w:left="2820" w:hanging="300"/>
      </w:pPr>
      <w:rPr>
        <w:position w:val="0"/>
        <w:sz w:val="20"/>
        <w:szCs w:val="20"/>
        <w:rtl w:val="0"/>
      </w:rPr>
    </w:lvl>
    <w:lvl w:ilvl="2">
      <w:start w:val="1"/>
      <w:numFmt w:val="bullet"/>
      <w:lvlText w:val="▪"/>
      <w:lvlJc w:val="left"/>
      <w:pPr>
        <w:tabs>
          <w:tab w:val="num" w:pos="3540"/>
        </w:tabs>
        <w:ind w:left="3540" w:hanging="300"/>
      </w:pPr>
      <w:rPr>
        <w:position w:val="0"/>
        <w:sz w:val="20"/>
        <w:szCs w:val="20"/>
        <w:rtl w:val="0"/>
      </w:rPr>
    </w:lvl>
    <w:lvl w:ilvl="3">
      <w:start w:val="1"/>
      <w:numFmt w:val="bullet"/>
      <w:lvlText w:val="•"/>
      <w:lvlJc w:val="left"/>
      <w:pPr>
        <w:tabs>
          <w:tab w:val="num" w:pos="4260"/>
        </w:tabs>
        <w:ind w:left="4260" w:hanging="300"/>
      </w:pPr>
      <w:rPr>
        <w:position w:val="0"/>
        <w:sz w:val="20"/>
        <w:szCs w:val="20"/>
        <w:rtl w:val="0"/>
      </w:rPr>
    </w:lvl>
    <w:lvl w:ilvl="4">
      <w:start w:val="1"/>
      <w:numFmt w:val="bullet"/>
      <w:lvlText w:val="o"/>
      <w:lvlJc w:val="left"/>
      <w:pPr>
        <w:tabs>
          <w:tab w:val="num" w:pos="4980"/>
        </w:tabs>
        <w:ind w:left="4980" w:hanging="300"/>
      </w:pPr>
      <w:rPr>
        <w:position w:val="0"/>
        <w:sz w:val="20"/>
        <w:szCs w:val="20"/>
        <w:rtl w:val="0"/>
      </w:rPr>
    </w:lvl>
    <w:lvl w:ilvl="5">
      <w:start w:val="1"/>
      <w:numFmt w:val="bullet"/>
      <w:lvlText w:val="▪"/>
      <w:lvlJc w:val="left"/>
      <w:pPr>
        <w:tabs>
          <w:tab w:val="num" w:pos="5700"/>
        </w:tabs>
        <w:ind w:left="5700" w:hanging="300"/>
      </w:pPr>
      <w:rPr>
        <w:position w:val="0"/>
        <w:sz w:val="20"/>
        <w:szCs w:val="20"/>
        <w:rtl w:val="0"/>
      </w:rPr>
    </w:lvl>
    <w:lvl w:ilvl="6">
      <w:start w:val="1"/>
      <w:numFmt w:val="bullet"/>
      <w:lvlText w:val="•"/>
      <w:lvlJc w:val="left"/>
      <w:pPr>
        <w:tabs>
          <w:tab w:val="num" w:pos="6420"/>
        </w:tabs>
        <w:ind w:left="6420" w:hanging="300"/>
      </w:pPr>
      <w:rPr>
        <w:position w:val="0"/>
        <w:sz w:val="20"/>
        <w:szCs w:val="20"/>
        <w:rtl w:val="0"/>
      </w:rPr>
    </w:lvl>
    <w:lvl w:ilvl="7">
      <w:start w:val="1"/>
      <w:numFmt w:val="bullet"/>
      <w:lvlText w:val="o"/>
      <w:lvlJc w:val="left"/>
      <w:pPr>
        <w:tabs>
          <w:tab w:val="num" w:pos="7140"/>
        </w:tabs>
        <w:ind w:left="7140" w:hanging="300"/>
      </w:pPr>
      <w:rPr>
        <w:position w:val="0"/>
        <w:sz w:val="20"/>
        <w:szCs w:val="20"/>
        <w:rtl w:val="0"/>
      </w:rPr>
    </w:lvl>
    <w:lvl w:ilvl="8">
      <w:start w:val="1"/>
      <w:numFmt w:val="bullet"/>
      <w:lvlText w:val="▪"/>
      <w:lvlJc w:val="left"/>
      <w:pPr>
        <w:tabs>
          <w:tab w:val="num" w:pos="7860"/>
        </w:tabs>
        <w:ind w:left="7860" w:hanging="300"/>
      </w:pPr>
      <w:rPr>
        <w:position w:val="0"/>
        <w:sz w:val="20"/>
        <w:szCs w:val="20"/>
        <w:rtl w:val="0"/>
      </w:rPr>
    </w:lvl>
  </w:abstractNum>
  <w:abstractNum w:abstractNumId="187">
    <w:nsid w:val="75F4639B"/>
    <w:multiLevelType w:val="hybridMultilevel"/>
    <w:tmpl w:val="D8B4F12A"/>
    <w:lvl w:ilvl="0" w:tplc="2C0A0015">
      <w:start w:val="1"/>
      <w:numFmt w:val="upperLetter"/>
      <w:lvlText w:val="%1."/>
      <w:lvlJc w:val="left"/>
      <w:pPr>
        <w:ind w:left="1780" w:hanging="360"/>
      </w:pPr>
      <w:rPr>
        <w:rFonts w:cs="Times New Roman" w:hint="default"/>
      </w:rPr>
    </w:lvl>
    <w:lvl w:ilvl="1" w:tplc="2C0A0019" w:tentative="1">
      <w:start w:val="1"/>
      <w:numFmt w:val="lowerLetter"/>
      <w:lvlText w:val="%2."/>
      <w:lvlJc w:val="left"/>
      <w:pPr>
        <w:ind w:left="2500" w:hanging="360"/>
      </w:pPr>
      <w:rPr>
        <w:rFonts w:cs="Times New Roman"/>
      </w:rPr>
    </w:lvl>
    <w:lvl w:ilvl="2" w:tplc="2C0A001B" w:tentative="1">
      <w:start w:val="1"/>
      <w:numFmt w:val="lowerRoman"/>
      <w:lvlText w:val="%3."/>
      <w:lvlJc w:val="right"/>
      <w:pPr>
        <w:ind w:left="3220" w:hanging="180"/>
      </w:pPr>
      <w:rPr>
        <w:rFonts w:cs="Times New Roman"/>
      </w:rPr>
    </w:lvl>
    <w:lvl w:ilvl="3" w:tplc="2C0A000F" w:tentative="1">
      <w:start w:val="1"/>
      <w:numFmt w:val="decimal"/>
      <w:lvlText w:val="%4."/>
      <w:lvlJc w:val="left"/>
      <w:pPr>
        <w:ind w:left="3940" w:hanging="360"/>
      </w:pPr>
      <w:rPr>
        <w:rFonts w:cs="Times New Roman"/>
      </w:rPr>
    </w:lvl>
    <w:lvl w:ilvl="4" w:tplc="2C0A0019" w:tentative="1">
      <w:start w:val="1"/>
      <w:numFmt w:val="lowerLetter"/>
      <w:lvlText w:val="%5."/>
      <w:lvlJc w:val="left"/>
      <w:pPr>
        <w:ind w:left="4660" w:hanging="360"/>
      </w:pPr>
      <w:rPr>
        <w:rFonts w:cs="Times New Roman"/>
      </w:rPr>
    </w:lvl>
    <w:lvl w:ilvl="5" w:tplc="2C0A001B" w:tentative="1">
      <w:start w:val="1"/>
      <w:numFmt w:val="lowerRoman"/>
      <w:lvlText w:val="%6."/>
      <w:lvlJc w:val="right"/>
      <w:pPr>
        <w:ind w:left="5380" w:hanging="180"/>
      </w:pPr>
      <w:rPr>
        <w:rFonts w:cs="Times New Roman"/>
      </w:rPr>
    </w:lvl>
    <w:lvl w:ilvl="6" w:tplc="2C0A000F" w:tentative="1">
      <w:start w:val="1"/>
      <w:numFmt w:val="decimal"/>
      <w:lvlText w:val="%7."/>
      <w:lvlJc w:val="left"/>
      <w:pPr>
        <w:ind w:left="6100" w:hanging="360"/>
      </w:pPr>
      <w:rPr>
        <w:rFonts w:cs="Times New Roman"/>
      </w:rPr>
    </w:lvl>
    <w:lvl w:ilvl="7" w:tplc="2C0A0019" w:tentative="1">
      <w:start w:val="1"/>
      <w:numFmt w:val="lowerLetter"/>
      <w:lvlText w:val="%8."/>
      <w:lvlJc w:val="left"/>
      <w:pPr>
        <w:ind w:left="6820" w:hanging="360"/>
      </w:pPr>
      <w:rPr>
        <w:rFonts w:cs="Times New Roman"/>
      </w:rPr>
    </w:lvl>
    <w:lvl w:ilvl="8" w:tplc="2C0A001B" w:tentative="1">
      <w:start w:val="1"/>
      <w:numFmt w:val="lowerRoman"/>
      <w:lvlText w:val="%9."/>
      <w:lvlJc w:val="right"/>
      <w:pPr>
        <w:ind w:left="7540" w:hanging="180"/>
      </w:pPr>
      <w:rPr>
        <w:rFonts w:cs="Times New Roman"/>
      </w:rPr>
    </w:lvl>
  </w:abstractNum>
  <w:abstractNum w:abstractNumId="188">
    <w:nsid w:val="767C4E05"/>
    <w:multiLevelType w:val="hybridMultilevel"/>
    <w:tmpl w:val="BE3CBD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9">
    <w:nsid w:val="78AF3332"/>
    <w:multiLevelType w:val="hybridMultilevel"/>
    <w:tmpl w:val="7668DF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0">
    <w:nsid w:val="796579D9"/>
    <w:multiLevelType w:val="hybridMultilevel"/>
    <w:tmpl w:val="67D83C5C"/>
    <w:lvl w:ilvl="0" w:tplc="4F8C0D9E">
      <w:start w:val="1"/>
      <w:numFmt w:val="decimal"/>
      <w:lvlText w:val="(%1)"/>
      <w:lvlJc w:val="left"/>
      <w:pPr>
        <w:tabs>
          <w:tab w:val="num" w:pos="1080"/>
        </w:tabs>
        <w:ind w:left="1080" w:hanging="360"/>
      </w:pPr>
      <w:rPr>
        <w:rFonts w:hint="default"/>
        <w:b w:val="0"/>
        <w:i w:val="0"/>
        <w:sz w:val="16"/>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1">
    <w:nsid w:val="797C6999"/>
    <w:multiLevelType w:val="hybridMultilevel"/>
    <w:tmpl w:val="9B82429E"/>
    <w:name w:val="S&amp;S Numbered List22"/>
    <w:lvl w:ilvl="0" w:tplc="B4F8426E">
      <w:start w:val="1"/>
      <w:numFmt w:val="bullet"/>
      <w:lvlText w:val="-"/>
      <w:lvlJc w:val="left"/>
      <w:pPr>
        <w:ind w:left="360" w:hanging="360"/>
      </w:pPr>
      <w:rPr>
        <w:rFonts w:ascii="Tahoma" w:eastAsia="Times New Roman" w:hAnsi="Tahoma" w:hint="default"/>
      </w:rPr>
    </w:lvl>
    <w:lvl w:ilvl="1" w:tplc="FEA222B2" w:tentative="1">
      <w:start w:val="1"/>
      <w:numFmt w:val="bullet"/>
      <w:lvlText w:val="o"/>
      <w:lvlJc w:val="left"/>
      <w:pPr>
        <w:ind w:left="1080" w:hanging="360"/>
      </w:pPr>
      <w:rPr>
        <w:rFonts w:ascii="Courier New" w:hAnsi="Courier New" w:hint="default"/>
      </w:rPr>
    </w:lvl>
    <w:lvl w:ilvl="2" w:tplc="6FBE636E" w:tentative="1">
      <w:start w:val="1"/>
      <w:numFmt w:val="bullet"/>
      <w:lvlText w:val=""/>
      <w:lvlJc w:val="left"/>
      <w:pPr>
        <w:ind w:left="1800" w:hanging="360"/>
      </w:pPr>
      <w:rPr>
        <w:rFonts w:ascii="Wingdings" w:hAnsi="Wingdings" w:hint="default"/>
      </w:rPr>
    </w:lvl>
    <w:lvl w:ilvl="3" w:tplc="0D223E4E" w:tentative="1">
      <w:start w:val="1"/>
      <w:numFmt w:val="bullet"/>
      <w:lvlText w:val=""/>
      <w:lvlJc w:val="left"/>
      <w:pPr>
        <w:ind w:left="2520" w:hanging="360"/>
      </w:pPr>
      <w:rPr>
        <w:rFonts w:ascii="Symbol" w:hAnsi="Symbol" w:hint="default"/>
      </w:rPr>
    </w:lvl>
    <w:lvl w:ilvl="4" w:tplc="AE04693E" w:tentative="1">
      <w:start w:val="1"/>
      <w:numFmt w:val="bullet"/>
      <w:lvlText w:val="o"/>
      <w:lvlJc w:val="left"/>
      <w:pPr>
        <w:ind w:left="3240" w:hanging="360"/>
      </w:pPr>
      <w:rPr>
        <w:rFonts w:ascii="Courier New" w:hAnsi="Courier New" w:hint="default"/>
      </w:rPr>
    </w:lvl>
    <w:lvl w:ilvl="5" w:tplc="E806DAB8" w:tentative="1">
      <w:start w:val="1"/>
      <w:numFmt w:val="bullet"/>
      <w:lvlText w:val=""/>
      <w:lvlJc w:val="left"/>
      <w:pPr>
        <w:ind w:left="3960" w:hanging="360"/>
      </w:pPr>
      <w:rPr>
        <w:rFonts w:ascii="Wingdings" w:hAnsi="Wingdings" w:hint="default"/>
      </w:rPr>
    </w:lvl>
    <w:lvl w:ilvl="6" w:tplc="44EC8032" w:tentative="1">
      <w:start w:val="1"/>
      <w:numFmt w:val="bullet"/>
      <w:lvlText w:val=""/>
      <w:lvlJc w:val="left"/>
      <w:pPr>
        <w:ind w:left="4680" w:hanging="360"/>
      </w:pPr>
      <w:rPr>
        <w:rFonts w:ascii="Symbol" w:hAnsi="Symbol" w:hint="default"/>
      </w:rPr>
    </w:lvl>
    <w:lvl w:ilvl="7" w:tplc="78F85718" w:tentative="1">
      <w:start w:val="1"/>
      <w:numFmt w:val="bullet"/>
      <w:lvlText w:val="o"/>
      <w:lvlJc w:val="left"/>
      <w:pPr>
        <w:ind w:left="5400" w:hanging="360"/>
      </w:pPr>
      <w:rPr>
        <w:rFonts w:ascii="Courier New" w:hAnsi="Courier New" w:hint="default"/>
      </w:rPr>
    </w:lvl>
    <w:lvl w:ilvl="8" w:tplc="C5E4485A" w:tentative="1">
      <w:start w:val="1"/>
      <w:numFmt w:val="bullet"/>
      <w:lvlText w:val=""/>
      <w:lvlJc w:val="left"/>
      <w:pPr>
        <w:ind w:left="6120" w:hanging="360"/>
      </w:pPr>
      <w:rPr>
        <w:rFonts w:ascii="Wingdings" w:hAnsi="Wingdings" w:hint="default"/>
      </w:rPr>
    </w:lvl>
  </w:abstractNum>
  <w:abstractNum w:abstractNumId="192">
    <w:nsid w:val="7A044B43"/>
    <w:multiLevelType w:val="hybridMultilevel"/>
    <w:tmpl w:val="3CE238F8"/>
    <w:lvl w:ilvl="0" w:tplc="51E40476">
      <w:start w:val="1"/>
      <w:numFmt w:val="decimal"/>
      <w:lvlText w:val="%1."/>
      <w:lvlJc w:val="left"/>
      <w:pPr>
        <w:ind w:left="2138" w:hanging="360"/>
      </w:pPr>
      <w:rPr>
        <w:rFonts w:hint="default"/>
        <w:b w:val="0"/>
        <w:i w:val="0"/>
        <w:sz w:val="18"/>
      </w:rPr>
    </w:lvl>
    <w:lvl w:ilvl="1" w:tplc="2C0A0019" w:tentative="1">
      <w:start w:val="1"/>
      <w:numFmt w:val="lowerLetter"/>
      <w:lvlText w:val="%2."/>
      <w:lvlJc w:val="left"/>
      <w:pPr>
        <w:ind w:left="2858" w:hanging="360"/>
      </w:pPr>
    </w:lvl>
    <w:lvl w:ilvl="2" w:tplc="2C0A001B" w:tentative="1">
      <w:start w:val="1"/>
      <w:numFmt w:val="lowerRoman"/>
      <w:lvlText w:val="%3."/>
      <w:lvlJc w:val="right"/>
      <w:pPr>
        <w:ind w:left="3578" w:hanging="180"/>
      </w:pPr>
    </w:lvl>
    <w:lvl w:ilvl="3" w:tplc="2C0A000F" w:tentative="1">
      <w:start w:val="1"/>
      <w:numFmt w:val="decimal"/>
      <w:lvlText w:val="%4."/>
      <w:lvlJc w:val="left"/>
      <w:pPr>
        <w:ind w:left="4298" w:hanging="360"/>
      </w:pPr>
    </w:lvl>
    <w:lvl w:ilvl="4" w:tplc="2C0A0019" w:tentative="1">
      <w:start w:val="1"/>
      <w:numFmt w:val="lowerLetter"/>
      <w:lvlText w:val="%5."/>
      <w:lvlJc w:val="left"/>
      <w:pPr>
        <w:ind w:left="5018" w:hanging="360"/>
      </w:pPr>
    </w:lvl>
    <w:lvl w:ilvl="5" w:tplc="2C0A001B" w:tentative="1">
      <w:start w:val="1"/>
      <w:numFmt w:val="lowerRoman"/>
      <w:lvlText w:val="%6."/>
      <w:lvlJc w:val="right"/>
      <w:pPr>
        <w:ind w:left="5738" w:hanging="180"/>
      </w:pPr>
    </w:lvl>
    <w:lvl w:ilvl="6" w:tplc="2C0A000F" w:tentative="1">
      <w:start w:val="1"/>
      <w:numFmt w:val="decimal"/>
      <w:lvlText w:val="%7."/>
      <w:lvlJc w:val="left"/>
      <w:pPr>
        <w:ind w:left="6458" w:hanging="360"/>
      </w:pPr>
    </w:lvl>
    <w:lvl w:ilvl="7" w:tplc="2C0A0019" w:tentative="1">
      <w:start w:val="1"/>
      <w:numFmt w:val="lowerLetter"/>
      <w:lvlText w:val="%8."/>
      <w:lvlJc w:val="left"/>
      <w:pPr>
        <w:ind w:left="7178" w:hanging="360"/>
      </w:pPr>
    </w:lvl>
    <w:lvl w:ilvl="8" w:tplc="2C0A001B" w:tentative="1">
      <w:start w:val="1"/>
      <w:numFmt w:val="lowerRoman"/>
      <w:lvlText w:val="%9."/>
      <w:lvlJc w:val="right"/>
      <w:pPr>
        <w:ind w:left="7898" w:hanging="180"/>
      </w:pPr>
    </w:lvl>
  </w:abstractNum>
  <w:abstractNum w:abstractNumId="193">
    <w:nsid w:val="7A8C226F"/>
    <w:multiLevelType w:val="hybridMultilevel"/>
    <w:tmpl w:val="56A2FC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4">
    <w:nsid w:val="7AB37246"/>
    <w:multiLevelType w:val="hybridMultilevel"/>
    <w:tmpl w:val="7C4CD6B6"/>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195">
    <w:nsid w:val="7ACF3518"/>
    <w:multiLevelType w:val="hybridMultilevel"/>
    <w:tmpl w:val="46F210AE"/>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196">
    <w:nsid w:val="7B1A74E1"/>
    <w:multiLevelType w:val="hybridMultilevel"/>
    <w:tmpl w:val="633A44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7">
    <w:nsid w:val="7BB93A87"/>
    <w:multiLevelType w:val="hybridMultilevel"/>
    <w:tmpl w:val="16CCE63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98">
    <w:nsid w:val="7C535ACC"/>
    <w:multiLevelType w:val="hybridMultilevel"/>
    <w:tmpl w:val="71821402"/>
    <w:lvl w:ilvl="0" w:tplc="F9362B10">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99">
    <w:nsid w:val="7E1A7BC6"/>
    <w:multiLevelType w:val="hybridMultilevel"/>
    <w:tmpl w:val="745ECBE0"/>
    <w:lvl w:ilvl="0" w:tplc="2C0A0001">
      <w:start w:val="1"/>
      <w:numFmt w:val="bullet"/>
      <w:lvlText w:val=""/>
      <w:lvlJc w:val="left"/>
      <w:pPr>
        <w:ind w:left="1778" w:hanging="360"/>
      </w:pPr>
      <w:rPr>
        <w:rFonts w:ascii="Symbol" w:hAnsi="Symbol" w:hint="default"/>
      </w:rPr>
    </w:lvl>
    <w:lvl w:ilvl="1" w:tplc="2C0A0003" w:tentative="1">
      <w:start w:val="1"/>
      <w:numFmt w:val="bullet"/>
      <w:lvlText w:val="o"/>
      <w:lvlJc w:val="left"/>
      <w:pPr>
        <w:ind w:left="2498" w:hanging="360"/>
      </w:pPr>
      <w:rPr>
        <w:rFonts w:ascii="Courier New" w:hAnsi="Courier New" w:cs="Courier New" w:hint="default"/>
      </w:rPr>
    </w:lvl>
    <w:lvl w:ilvl="2" w:tplc="2C0A0005" w:tentative="1">
      <w:start w:val="1"/>
      <w:numFmt w:val="bullet"/>
      <w:lvlText w:val=""/>
      <w:lvlJc w:val="left"/>
      <w:pPr>
        <w:ind w:left="3218" w:hanging="360"/>
      </w:pPr>
      <w:rPr>
        <w:rFonts w:ascii="Wingdings" w:hAnsi="Wingdings" w:hint="default"/>
      </w:rPr>
    </w:lvl>
    <w:lvl w:ilvl="3" w:tplc="2C0A0001" w:tentative="1">
      <w:start w:val="1"/>
      <w:numFmt w:val="bullet"/>
      <w:lvlText w:val=""/>
      <w:lvlJc w:val="left"/>
      <w:pPr>
        <w:ind w:left="3938" w:hanging="360"/>
      </w:pPr>
      <w:rPr>
        <w:rFonts w:ascii="Symbol" w:hAnsi="Symbol" w:hint="default"/>
      </w:rPr>
    </w:lvl>
    <w:lvl w:ilvl="4" w:tplc="2C0A0003" w:tentative="1">
      <w:start w:val="1"/>
      <w:numFmt w:val="bullet"/>
      <w:lvlText w:val="o"/>
      <w:lvlJc w:val="left"/>
      <w:pPr>
        <w:ind w:left="4658" w:hanging="360"/>
      </w:pPr>
      <w:rPr>
        <w:rFonts w:ascii="Courier New" w:hAnsi="Courier New" w:cs="Courier New" w:hint="default"/>
      </w:rPr>
    </w:lvl>
    <w:lvl w:ilvl="5" w:tplc="2C0A0005" w:tentative="1">
      <w:start w:val="1"/>
      <w:numFmt w:val="bullet"/>
      <w:lvlText w:val=""/>
      <w:lvlJc w:val="left"/>
      <w:pPr>
        <w:ind w:left="5378" w:hanging="360"/>
      </w:pPr>
      <w:rPr>
        <w:rFonts w:ascii="Wingdings" w:hAnsi="Wingdings" w:hint="default"/>
      </w:rPr>
    </w:lvl>
    <w:lvl w:ilvl="6" w:tplc="2C0A0001" w:tentative="1">
      <w:start w:val="1"/>
      <w:numFmt w:val="bullet"/>
      <w:lvlText w:val=""/>
      <w:lvlJc w:val="left"/>
      <w:pPr>
        <w:ind w:left="6098" w:hanging="360"/>
      </w:pPr>
      <w:rPr>
        <w:rFonts w:ascii="Symbol" w:hAnsi="Symbol" w:hint="default"/>
      </w:rPr>
    </w:lvl>
    <w:lvl w:ilvl="7" w:tplc="2C0A0003" w:tentative="1">
      <w:start w:val="1"/>
      <w:numFmt w:val="bullet"/>
      <w:lvlText w:val="o"/>
      <w:lvlJc w:val="left"/>
      <w:pPr>
        <w:ind w:left="6818" w:hanging="360"/>
      </w:pPr>
      <w:rPr>
        <w:rFonts w:ascii="Courier New" w:hAnsi="Courier New" w:cs="Courier New" w:hint="default"/>
      </w:rPr>
    </w:lvl>
    <w:lvl w:ilvl="8" w:tplc="2C0A0005" w:tentative="1">
      <w:start w:val="1"/>
      <w:numFmt w:val="bullet"/>
      <w:lvlText w:val=""/>
      <w:lvlJc w:val="left"/>
      <w:pPr>
        <w:ind w:left="7538" w:hanging="360"/>
      </w:pPr>
      <w:rPr>
        <w:rFonts w:ascii="Wingdings" w:hAnsi="Wingdings" w:hint="default"/>
      </w:rPr>
    </w:lvl>
  </w:abstractNum>
  <w:abstractNum w:abstractNumId="200">
    <w:nsid w:val="7E5726A9"/>
    <w:multiLevelType w:val="hybridMultilevel"/>
    <w:tmpl w:val="97B0C02C"/>
    <w:lvl w:ilvl="0" w:tplc="2C0A0015">
      <w:start w:val="1"/>
      <w:numFmt w:val="upperLetter"/>
      <w:lvlText w:val="%1."/>
      <w:lvlJc w:val="left"/>
      <w:pPr>
        <w:ind w:left="1780" w:hanging="360"/>
      </w:pPr>
      <w:rPr>
        <w:rFonts w:cs="Times New Roman"/>
      </w:rPr>
    </w:lvl>
    <w:lvl w:ilvl="1" w:tplc="2C0A0019" w:tentative="1">
      <w:start w:val="1"/>
      <w:numFmt w:val="lowerLetter"/>
      <w:lvlText w:val="%2."/>
      <w:lvlJc w:val="left"/>
      <w:pPr>
        <w:ind w:left="2500" w:hanging="360"/>
      </w:pPr>
      <w:rPr>
        <w:rFonts w:cs="Times New Roman"/>
      </w:rPr>
    </w:lvl>
    <w:lvl w:ilvl="2" w:tplc="2C0A001B" w:tentative="1">
      <w:start w:val="1"/>
      <w:numFmt w:val="lowerRoman"/>
      <w:lvlText w:val="%3."/>
      <w:lvlJc w:val="right"/>
      <w:pPr>
        <w:ind w:left="3220" w:hanging="180"/>
      </w:pPr>
      <w:rPr>
        <w:rFonts w:cs="Times New Roman"/>
      </w:rPr>
    </w:lvl>
    <w:lvl w:ilvl="3" w:tplc="2C0A000F" w:tentative="1">
      <w:start w:val="1"/>
      <w:numFmt w:val="decimal"/>
      <w:lvlText w:val="%4."/>
      <w:lvlJc w:val="left"/>
      <w:pPr>
        <w:ind w:left="3940" w:hanging="360"/>
      </w:pPr>
      <w:rPr>
        <w:rFonts w:cs="Times New Roman"/>
      </w:rPr>
    </w:lvl>
    <w:lvl w:ilvl="4" w:tplc="2C0A0019" w:tentative="1">
      <w:start w:val="1"/>
      <w:numFmt w:val="lowerLetter"/>
      <w:lvlText w:val="%5."/>
      <w:lvlJc w:val="left"/>
      <w:pPr>
        <w:ind w:left="4660" w:hanging="360"/>
      </w:pPr>
      <w:rPr>
        <w:rFonts w:cs="Times New Roman"/>
      </w:rPr>
    </w:lvl>
    <w:lvl w:ilvl="5" w:tplc="2C0A001B" w:tentative="1">
      <w:start w:val="1"/>
      <w:numFmt w:val="lowerRoman"/>
      <w:lvlText w:val="%6."/>
      <w:lvlJc w:val="right"/>
      <w:pPr>
        <w:ind w:left="5380" w:hanging="180"/>
      </w:pPr>
      <w:rPr>
        <w:rFonts w:cs="Times New Roman"/>
      </w:rPr>
    </w:lvl>
    <w:lvl w:ilvl="6" w:tplc="2C0A000F" w:tentative="1">
      <w:start w:val="1"/>
      <w:numFmt w:val="decimal"/>
      <w:lvlText w:val="%7."/>
      <w:lvlJc w:val="left"/>
      <w:pPr>
        <w:ind w:left="6100" w:hanging="360"/>
      </w:pPr>
      <w:rPr>
        <w:rFonts w:cs="Times New Roman"/>
      </w:rPr>
    </w:lvl>
    <w:lvl w:ilvl="7" w:tplc="2C0A0019" w:tentative="1">
      <w:start w:val="1"/>
      <w:numFmt w:val="lowerLetter"/>
      <w:lvlText w:val="%8."/>
      <w:lvlJc w:val="left"/>
      <w:pPr>
        <w:ind w:left="6820" w:hanging="360"/>
      </w:pPr>
      <w:rPr>
        <w:rFonts w:cs="Times New Roman"/>
      </w:rPr>
    </w:lvl>
    <w:lvl w:ilvl="8" w:tplc="2C0A001B" w:tentative="1">
      <w:start w:val="1"/>
      <w:numFmt w:val="lowerRoman"/>
      <w:lvlText w:val="%9."/>
      <w:lvlJc w:val="right"/>
      <w:pPr>
        <w:ind w:left="7540" w:hanging="180"/>
      </w:pPr>
      <w:rPr>
        <w:rFonts w:cs="Times New Roman"/>
      </w:rPr>
    </w:lvl>
  </w:abstractNum>
  <w:abstractNum w:abstractNumId="201">
    <w:nsid w:val="7EEB557E"/>
    <w:multiLevelType w:val="hybridMultilevel"/>
    <w:tmpl w:val="FBD6F9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2">
    <w:nsid w:val="7F680CC2"/>
    <w:multiLevelType w:val="hybridMultilevel"/>
    <w:tmpl w:val="35847B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3">
    <w:nsid w:val="7F79127E"/>
    <w:multiLevelType w:val="hybridMultilevel"/>
    <w:tmpl w:val="6242D650"/>
    <w:lvl w:ilvl="0" w:tplc="0C0A0001">
      <w:start w:val="1"/>
      <w:numFmt w:val="bullet"/>
      <w:lvlText w:val=""/>
      <w:lvlJc w:val="left"/>
      <w:pPr>
        <w:ind w:left="1780" w:hanging="360"/>
      </w:pPr>
      <w:rPr>
        <w:rFonts w:ascii="Symbol" w:hAnsi="Symbol" w:hint="default"/>
      </w:rPr>
    </w:lvl>
    <w:lvl w:ilvl="1" w:tplc="0C0A0003" w:tentative="1">
      <w:start w:val="1"/>
      <w:numFmt w:val="bullet"/>
      <w:lvlText w:val="o"/>
      <w:lvlJc w:val="left"/>
      <w:pPr>
        <w:ind w:left="2500" w:hanging="360"/>
      </w:pPr>
      <w:rPr>
        <w:rFonts w:ascii="Courier New" w:hAnsi="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hint="default"/>
      </w:rPr>
    </w:lvl>
    <w:lvl w:ilvl="8" w:tplc="0C0A0005" w:tentative="1">
      <w:start w:val="1"/>
      <w:numFmt w:val="bullet"/>
      <w:lvlText w:val=""/>
      <w:lvlJc w:val="left"/>
      <w:pPr>
        <w:ind w:left="7540" w:hanging="360"/>
      </w:pPr>
      <w:rPr>
        <w:rFonts w:ascii="Wingdings" w:hAnsi="Wingdings" w:hint="default"/>
      </w:rPr>
    </w:lvl>
  </w:abstractNum>
  <w:num w:numId="1">
    <w:abstractNumId w:val="111"/>
  </w:num>
  <w:num w:numId="2">
    <w:abstractNumId w:val="62"/>
  </w:num>
  <w:num w:numId="3">
    <w:abstractNumId w:val="154"/>
  </w:num>
  <w:num w:numId="4">
    <w:abstractNumId w:val="8"/>
  </w:num>
  <w:num w:numId="5">
    <w:abstractNumId w:val="6"/>
  </w:num>
  <w:num w:numId="6">
    <w:abstractNumId w:val="5"/>
  </w:num>
  <w:num w:numId="7">
    <w:abstractNumId w:val="4"/>
  </w:num>
  <w:num w:numId="8">
    <w:abstractNumId w:val="3"/>
  </w:num>
  <w:num w:numId="9">
    <w:abstractNumId w:val="7"/>
  </w:num>
  <w:num w:numId="10">
    <w:abstractNumId w:val="170"/>
  </w:num>
  <w:num w:numId="11">
    <w:abstractNumId w:val="67"/>
  </w:num>
  <w:num w:numId="12">
    <w:abstractNumId w:val="40"/>
  </w:num>
  <w:num w:numId="13">
    <w:abstractNumId w:val="132"/>
  </w:num>
  <w:num w:numId="14">
    <w:abstractNumId w:val="72"/>
  </w:num>
  <w:num w:numId="15">
    <w:abstractNumId w:val="2"/>
  </w:num>
  <w:num w:numId="16">
    <w:abstractNumId w:val="1"/>
  </w:num>
  <w:num w:numId="17">
    <w:abstractNumId w:val="0"/>
  </w:num>
  <w:num w:numId="18">
    <w:abstractNumId w:val="179"/>
  </w:num>
  <w:num w:numId="19">
    <w:abstractNumId w:val="172"/>
  </w:num>
  <w:num w:numId="20">
    <w:abstractNumId w:val="135"/>
  </w:num>
  <w:num w:numId="21">
    <w:abstractNumId w:val="175"/>
  </w:num>
  <w:num w:numId="22">
    <w:abstractNumId w:val="101"/>
  </w:num>
  <w:num w:numId="23">
    <w:abstractNumId w:val="87"/>
  </w:num>
  <w:num w:numId="24">
    <w:abstractNumId w:val="133"/>
  </w:num>
  <w:num w:numId="25">
    <w:abstractNumId w:val="37"/>
  </w:num>
  <w:num w:numId="26">
    <w:abstractNumId w:val="97"/>
  </w:num>
  <w:num w:numId="27">
    <w:abstractNumId w:val="92"/>
  </w:num>
  <w:num w:numId="28">
    <w:abstractNumId w:val="168"/>
  </w:num>
  <w:num w:numId="29">
    <w:abstractNumId w:val="141"/>
  </w:num>
  <w:num w:numId="30">
    <w:abstractNumId w:val="56"/>
  </w:num>
  <w:num w:numId="31">
    <w:abstractNumId w:val="103"/>
  </w:num>
  <w:num w:numId="32">
    <w:abstractNumId w:val="79"/>
  </w:num>
  <w:num w:numId="33">
    <w:abstractNumId w:val="143"/>
  </w:num>
  <w:num w:numId="34">
    <w:abstractNumId w:val="24"/>
  </w:num>
  <w:num w:numId="35">
    <w:abstractNumId w:val="113"/>
  </w:num>
  <w:num w:numId="36">
    <w:abstractNumId w:val="82"/>
  </w:num>
  <w:num w:numId="37">
    <w:abstractNumId w:val="114"/>
  </w:num>
  <w:num w:numId="38">
    <w:abstractNumId w:val="25"/>
  </w:num>
  <w:num w:numId="39">
    <w:abstractNumId w:val="148"/>
  </w:num>
  <w:num w:numId="40">
    <w:abstractNumId w:val="200"/>
  </w:num>
  <w:num w:numId="41">
    <w:abstractNumId w:val="187"/>
  </w:num>
  <w:num w:numId="42">
    <w:abstractNumId w:val="75"/>
  </w:num>
  <w:num w:numId="43">
    <w:abstractNumId w:val="136"/>
  </w:num>
  <w:num w:numId="44">
    <w:abstractNumId w:val="129"/>
  </w:num>
  <w:num w:numId="45">
    <w:abstractNumId w:val="161"/>
  </w:num>
  <w:num w:numId="46">
    <w:abstractNumId w:val="68"/>
  </w:num>
  <w:num w:numId="47">
    <w:abstractNumId w:val="109"/>
  </w:num>
  <w:num w:numId="48">
    <w:abstractNumId w:val="15"/>
  </w:num>
  <w:num w:numId="49">
    <w:abstractNumId w:val="160"/>
  </w:num>
  <w:num w:numId="50">
    <w:abstractNumId w:val="195"/>
  </w:num>
  <w:num w:numId="51">
    <w:abstractNumId w:val="149"/>
  </w:num>
  <w:num w:numId="52">
    <w:abstractNumId w:val="47"/>
  </w:num>
  <w:num w:numId="53">
    <w:abstractNumId w:val="203"/>
  </w:num>
  <w:num w:numId="54">
    <w:abstractNumId w:val="139"/>
  </w:num>
  <w:num w:numId="55">
    <w:abstractNumId w:val="123"/>
  </w:num>
  <w:num w:numId="56">
    <w:abstractNumId w:val="140"/>
  </w:num>
  <w:num w:numId="57">
    <w:abstractNumId w:val="90"/>
  </w:num>
  <w:num w:numId="58">
    <w:abstractNumId w:val="51"/>
  </w:num>
  <w:num w:numId="59">
    <w:abstractNumId w:val="46"/>
  </w:num>
  <w:num w:numId="60">
    <w:abstractNumId w:val="9"/>
    <w:lvlOverride w:ilvl="0">
      <w:lvl w:ilvl="0">
        <w:numFmt w:val="bullet"/>
        <w:pStyle w:val="a"/>
        <w:lvlText w:val=""/>
        <w:legacy w:legacy="1" w:legacySpace="0" w:legacyIndent="720"/>
        <w:lvlJc w:val="left"/>
        <w:pPr>
          <w:ind w:left="720" w:hanging="720"/>
        </w:pPr>
        <w:rPr>
          <w:rFonts w:ascii="Symbol" w:hAnsi="Symbol" w:hint="default"/>
        </w:rPr>
      </w:lvl>
    </w:lvlOverride>
  </w:num>
  <w:num w:numId="61">
    <w:abstractNumId w:val="176"/>
  </w:num>
  <w:num w:numId="62">
    <w:abstractNumId w:val="23"/>
  </w:num>
  <w:num w:numId="63">
    <w:abstractNumId w:val="63"/>
  </w:num>
  <w:num w:numId="64">
    <w:abstractNumId w:val="186"/>
  </w:num>
  <w:num w:numId="65">
    <w:abstractNumId w:val="48"/>
  </w:num>
  <w:num w:numId="66">
    <w:abstractNumId w:val="121"/>
  </w:num>
  <w:num w:numId="67">
    <w:abstractNumId w:val="71"/>
  </w:num>
  <w:num w:numId="68">
    <w:abstractNumId w:val="32"/>
  </w:num>
  <w:num w:numId="69">
    <w:abstractNumId w:val="18"/>
  </w:num>
  <w:num w:numId="70">
    <w:abstractNumId w:val="181"/>
  </w:num>
  <w:num w:numId="71">
    <w:abstractNumId w:val="43"/>
  </w:num>
  <w:num w:numId="7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5"/>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8"/>
  </w:num>
  <w:num w:numId="76">
    <w:abstractNumId w:val="57"/>
  </w:num>
  <w:num w:numId="77">
    <w:abstractNumId w:val="167"/>
  </w:num>
  <w:num w:numId="78">
    <w:abstractNumId w:val="188"/>
  </w:num>
  <w:num w:numId="79">
    <w:abstractNumId w:val="95"/>
  </w:num>
  <w:num w:numId="80">
    <w:abstractNumId w:val="112"/>
  </w:num>
  <w:num w:numId="81">
    <w:abstractNumId w:val="177"/>
  </w:num>
  <w:num w:numId="82">
    <w:abstractNumId w:val="104"/>
  </w:num>
  <w:num w:numId="83">
    <w:abstractNumId w:val="73"/>
  </w:num>
  <w:num w:numId="84">
    <w:abstractNumId w:val="196"/>
  </w:num>
  <w:num w:numId="85">
    <w:abstractNumId w:val="156"/>
  </w:num>
  <w:num w:numId="86">
    <w:abstractNumId w:val="19"/>
  </w:num>
  <w:num w:numId="87">
    <w:abstractNumId w:val="10"/>
  </w:num>
  <w:num w:numId="88">
    <w:abstractNumId w:val="130"/>
  </w:num>
  <w:num w:numId="89">
    <w:abstractNumId w:val="76"/>
  </w:num>
  <w:num w:numId="90">
    <w:abstractNumId w:val="115"/>
  </w:num>
  <w:num w:numId="91">
    <w:abstractNumId w:val="31"/>
  </w:num>
  <w:num w:numId="92">
    <w:abstractNumId w:val="147"/>
  </w:num>
  <w:num w:numId="93">
    <w:abstractNumId w:val="171"/>
  </w:num>
  <w:num w:numId="94">
    <w:abstractNumId w:val="193"/>
  </w:num>
  <w:num w:numId="95">
    <w:abstractNumId w:val="131"/>
  </w:num>
  <w:num w:numId="96">
    <w:abstractNumId w:val="83"/>
  </w:num>
  <w:num w:numId="97">
    <w:abstractNumId w:val="173"/>
  </w:num>
  <w:num w:numId="98">
    <w:abstractNumId w:val="89"/>
  </w:num>
  <w:num w:numId="99">
    <w:abstractNumId w:val="202"/>
  </w:num>
  <w:num w:numId="100">
    <w:abstractNumId w:val="28"/>
  </w:num>
  <w:num w:numId="101">
    <w:abstractNumId w:val="110"/>
  </w:num>
  <w:num w:numId="102">
    <w:abstractNumId w:val="164"/>
  </w:num>
  <w:num w:numId="103">
    <w:abstractNumId w:val="146"/>
  </w:num>
  <w:num w:numId="104">
    <w:abstractNumId w:val="88"/>
  </w:num>
  <w:num w:numId="105">
    <w:abstractNumId w:val="50"/>
  </w:num>
  <w:num w:numId="106">
    <w:abstractNumId w:val="98"/>
  </w:num>
  <w:num w:numId="107">
    <w:abstractNumId w:val="189"/>
  </w:num>
  <w:num w:numId="108">
    <w:abstractNumId w:val="120"/>
  </w:num>
  <w:num w:numId="109">
    <w:abstractNumId w:val="163"/>
  </w:num>
  <w:num w:numId="110">
    <w:abstractNumId w:val="86"/>
  </w:num>
  <w:num w:numId="111">
    <w:abstractNumId w:val="16"/>
  </w:num>
  <w:num w:numId="112">
    <w:abstractNumId w:val="96"/>
  </w:num>
  <w:num w:numId="113">
    <w:abstractNumId w:val="138"/>
  </w:num>
  <w:num w:numId="114">
    <w:abstractNumId w:val="60"/>
  </w:num>
  <w:num w:numId="115">
    <w:abstractNumId w:val="162"/>
  </w:num>
  <w:num w:numId="116">
    <w:abstractNumId w:val="182"/>
  </w:num>
  <w:num w:numId="117">
    <w:abstractNumId w:val="201"/>
  </w:num>
  <w:num w:numId="118">
    <w:abstractNumId w:val="100"/>
  </w:num>
  <w:num w:numId="119">
    <w:abstractNumId w:val="166"/>
  </w:num>
  <w:num w:numId="120">
    <w:abstractNumId w:val="180"/>
  </w:num>
  <w:num w:numId="121">
    <w:abstractNumId w:val="14"/>
  </w:num>
  <w:num w:numId="122">
    <w:abstractNumId w:val="174"/>
  </w:num>
  <w:num w:numId="123">
    <w:abstractNumId w:val="122"/>
  </w:num>
  <w:num w:numId="124">
    <w:abstractNumId w:val="22"/>
  </w:num>
  <w:num w:numId="125">
    <w:abstractNumId w:val="55"/>
  </w:num>
  <w:num w:numId="126">
    <w:abstractNumId w:val="12"/>
  </w:num>
  <w:num w:numId="127">
    <w:abstractNumId w:val="81"/>
  </w:num>
  <w:num w:numId="128">
    <w:abstractNumId w:val="58"/>
  </w:num>
  <w:num w:numId="129">
    <w:abstractNumId w:val="108"/>
  </w:num>
  <w:num w:numId="130">
    <w:abstractNumId w:val="59"/>
  </w:num>
  <w:num w:numId="131">
    <w:abstractNumId w:val="145"/>
  </w:num>
  <w:num w:numId="132">
    <w:abstractNumId w:val="102"/>
  </w:num>
  <w:num w:numId="133">
    <w:abstractNumId w:val="61"/>
  </w:num>
  <w:num w:numId="134">
    <w:abstractNumId w:val="105"/>
  </w:num>
  <w:num w:numId="135">
    <w:abstractNumId w:val="69"/>
  </w:num>
  <w:num w:numId="136">
    <w:abstractNumId w:val="99"/>
  </w:num>
  <w:num w:numId="137">
    <w:abstractNumId w:val="39"/>
  </w:num>
  <w:num w:numId="138">
    <w:abstractNumId w:val="118"/>
  </w:num>
  <w:num w:numId="139">
    <w:abstractNumId w:val="190"/>
  </w:num>
  <w:num w:numId="140">
    <w:abstractNumId w:val="169"/>
  </w:num>
  <w:num w:numId="141">
    <w:abstractNumId w:val="142"/>
  </w:num>
  <w:num w:numId="142">
    <w:abstractNumId w:val="77"/>
  </w:num>
  <w:num w:numId="143">
    <w:abstractNumId w:val="134"/>
  </w:num>
  <w:num w:numId="144">
    <w:abstractNumId w:val="192"/>
  </w:num>
  <w:num w:numId="145">
    <w:abstractNumId w:val="194"/>
  </w:num>
  <w:num w:numId="146">
    <w:abstractNumId w:val="13"/>
  </w:num>
  <w:num w:numId="147">
    <w:abstractNumId w:val="36"/>
  </w:num>
  <w:num w:numId="148">
    <w:abstractNumId w:val="64"/>
  </w:num>
  <w:num w:numId="149">
    <w:abstractNumId w:val="11"/>
  </w:num>
  <w:num w:numId="150">
    <w:abstractNumId w:val="151"/>
  </w:num>
  <w:num w:numId="151">
    <w:abstractNumId w:val="65"/>
  </w:num>
  <w:num w:numId="152">
    <w:abstractNumId w:val="45"/>
  </w:num>
  <w:num w:numId="153">
    <w:abstractNumId w:val="126"/>
  </w:num>
  <w:num w:numId="154">
    <w:abstractNumId w:val="106"/>
  </w:num>
  <w:num w:numId="155">
    <w:abstractNumId w:val="199"/>
  </w:num>
  <w:num w:numId="156">
    <w:abstractNumId w:val="155"/>
  </w:num>
  <w:num w:numId="157">
    <w:abstractNumId w:val="128"/>
  </w:num>
  <w:num w:numId="158">
    <w:abstractNumId w:val="197"/>
  </w:num>
  <w:num w:numId="159">
    <w:abstractNumId w:val="157"/>
  </w:num>
  <w:num w:numId="160">
    <w:abstractNumId w:val="42"/>
  </w:num>
  <w:num w:numId="161">
    <w:abstractNumId w:val="137"/>
  </w:num>
  <w:num w:numId="162">
    <w:abstractNumId w:val="78"/>
  </w:num>
  <w:num w:numId="163">
    <w:abstractNumId w:val="33"/>
  </w:num>
  <w:num w:numId="164">
    <w:abstractNumId w:val="20"/>
  </w:num>
  <w:num w:numId="165">
    <w:abstractNumId w:val="159"/>
  </w:num>
  <w:num w:numId="166">
    <w:abstractNumId w:val="153"/>
  </w:num>
  <w:num w:numId="167">
    <w:abstractNumId w:val="117"/>
  </w:num>
  <w:num w:numId="168">
    <w:abstractNumId w:val="30"/>
  </w:num>
  <w:num w:numId="169">
    <w:abstractNumId w:val="91"/>
  </w:num>
  <w:num w:numId="170">
    <w:abstractNumId w:val="94"/>
  </w:num>
  <w:num w:numId="171">
    <w:abstractNumId w:val="53"/>
  </w:num>
  <w:num w:numId="172">
    <w:abstractNumId w:val="107"/>
  </w:num>
  <w:num w:numId="173">
    <w:abstractNumId w:val="21"/>
  </w:num>
  <w:num w:numId="174">
    <w:abstractNumId w:val="44"/>
  </w:num>
  <w:num w:numId="175">
    <w:abstractNumId w:val="85"/>
  </w:num>
  <w:num w:numId="176">
    <w:abstractNumId w:val="49"/>
  </w:num>
  <w:num w:numId="177">
    <w:abstractNumId w:val="38"/>
  </w:num>
  <w:num w:numId="178">
    <w:abstractNumId w:val="178"/>
  </w:num>
  <w:num w:numId="179">
    <w:abstractNumId w:val="27"/>
  </w:num>
  <w:num w:numId="180">
    <w:abstractNumId w:val="52"/>
  </w:num>
  <w:num w:numId="181">
    <w:abstractNumId w:val="34"/>
  </w:num>
  <w:num w:numId="182">
    <w:abstractNumId w:val="165"/>
  </w:num>
  <w:num w:numId="183">
    <w:abstractNumId w:val="124"/>
  </w:num>
  <w:num w:numId="184">
    <w:abstractNumId w:val="183"/>
  </w:num>
  <w:num w:numId="185">
    <w:abstractNumId w:val="116"/>
  </w:num>
  <w:num w:numId="186">
    <w:abstractNumId w:val="41"/>
  </w:num>
  <w:num w:numId="187">
    <w:abstractNumId w:val="35"/>
  </w:num>
  <w:num w:numId="188">
    <w:abstractNumId w:val="74"/>
  </w:num>
  <w:num w:numId="189">
    <w:abstractNumId w:val="152"/>
  </w:num>
  <w:num w:numId="190">
    <w:abstractNumId w:val="80"/>
  </w:num>
  <w:num w:numId="191">
    <w:abstractNumId w:val="84"/>
  </w:num>
  <w:num w:numId="192">
    <w:abstractNumId w:val="54"/>
  </w:num>
  <w:num w:numId="193">
    <w:abstractNumId w:val="17"/>
  </w:num>
  <w:num w:numId="194">
    <w:abstractNumId w:val="198"/>
  </w:num>
  <w:num w:numId="195">
    <w:abstractNumId w:val="119"/>
  </w:num>
  <w:num w:numId="196">
    <w:abstractNumId w:val="185"/>
  </w:num>
  <w:num w:numId="197">
    <w:abstractNumId w:val="1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144"/>
  </w:num>
  <w:num w:numId="199">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150"/>
  </w:num>
  <w:num w:numId="202">
    <w:abstractNumId w:val="66"/>
  </w:num>
  <w:num w:numId="203">
    <w:abstractNumId w:val="127"/>
  </w:num>
  <w:num w:numId="204">
    <w:abstractNumId w:val="26"/>
  </w:num>
  <w:num w:numId="205">
    <w:abstractNumId w:val="140"/>
  </w:num>
  <w:num w:numId="206">
    <w:abstractNumId w:val="26"/>
  </w:num>
  <w:num w:numId="207">
    <w:abstractNumId w:val="70"/>
  </w:num>
  <w:numIdMacAtCleanup w:val="2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hideSpellingErrors/>
  <w:proofState w:grammar="clean"/>
  <w:defaultTabStop w:val="4536"/>
  <w:hyphenationZone w:val="425"/>
  <w:drawingGridHorizontalSpacing w:val="100"/>
  <w:displayHorizontalDrawingGridEvery w:val="2"/>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31AB"/>
    <w:rsid w:val="0000008A"/>
    <w:rsid w:val="0000228E"/>
    <w:rsid w:val="000025AB"/>
    <w:rsid w:val="0000297D"/>
    <w:rsid w:val="00003798"/>
    <w:rsid w:val="0000563C"/>
    <w:rsid w:val="00005762"/>
    <w:rsid w:val="0000576C"/>
    <w:rsid w:val="0000601C"/>
    <w:rsid w:val="0000693F"/>
    <w:rsid w:val="00007690"/>
    <w:rsid w:val="00007ACA"/>
    <w:rsid w:val="00007E59"/>
    <w:rsid w:val="00010220"/>
    <w:rsid w:val="00010D59"/>
    <w:rsid w:val="00010F6B"/>
    <w:rsid w:val="00011BF0"/>
    <w:rsid w:val="00012BEA"/>
    <w:rsid w:val="0001380E"/>
    <w:rsid w:val="00014207"/>
    <w:rsid w:val="00014403"/>
    <w:rsid w:val="0001626C"/>
    <w:rsid w:val="00017228"/>
    <w:rsid w:val="00017997"/>
    <w:rsid w:val="00017E3C"/>
    <w:rsid w:val="000204EA"/>
    <w:rsid w:val="0002092B"/>
    <w:rsid w:val="00020E1C"/>
    <w:rsid w:val="00020FC5"/>
    <w:rsid w:val="00021463"/>
    <w:rsid w:val="0002283D"/>
    <w:rsid w:val="00022E1B"/>
    <w:rsid w:val="000233FA"/>
    <w:rsid w:val="00023A28"/>
    <w:rsid w:val="00023E4D"/>
    <w:rsid w:val="000244C6"/>
    <w:rsid w:val="00024752"/>
    <w:rsid w:val="00024F39"/>
    <w:rsid w:val="000252BD"/>
    <w:rsid w:val="0002588E"/>
    <w:rsid w:val="00026A3E"/>
    <w:rsid w:val="000272A1"/>
    <w:rsid w:val="00027310"/>
    <w:rsid w:val="00027AC6"/>
    <w:rsid w:val="00027BDF"/>
    <w:rsid w:val="00027D05"/>
    <w:rsid w:val="00030C8E"/>
    <w:rsid w:val="0003102A"/>
    <w:rsid w:val="0003122A"/>
    <w:rsid w:val="00031ED6"/>
    <w:rsid w:val="000322CE"/>
    <w:rsid w:val="00032416"/>
    <w:rsid w:val="00032940"/>
    <w:rsid w:val="00032A0C"/>
    <w:rsid w:val="00032A2A"/>
    <w:rsid w:val="00032DC7"/>
    <w:rsid w:val="000335D2"/>
    <w:rsid w:val="0003451C"/>
    <w:rsid w:val="00034D6A"/>
    <w:rsid w:val="00036679"/>
    <w:rsid w:val="00036C05"/>
    <w:rsid w:val="00036CDE"/>
    <w:rsid w:val="00037EBA"/>
    <w:rsid w:val="000400C8"/>
    <w:rsid w:val="00041D1A"/>
    <w:rsid w:val="00041E90"/>
    <w:rsid w:val="000421B9"/>
    <w:rsid w:val="00044085"/>
    <w:rsid w:val="0004410E"/>
    <w:rsid w:val="00044171"/>
    <w:rsid w:val="00044E88"/>
    <w:rsid w:val="00045987"/>
    <w:rsid w:val="00045C4A"/>
    <w:rsid w:val="00045FC1"/>
    <w:rsid w:val="000460BD"/>
    <w:rsid w:val="00046180"/>
    <w:rsid w:val="0004652B"/>
    <w:rsid w:val="00047854"/>
    <w:rsid w:val="00047D9D"/>
    <w:rsid w:val="000501B8"/>
    <w:rsid w:val="0005085E"/>
    <w:rsid w:val="00050FC7"/>
    <w:rsid w:val="000512B3"/>
    <w:rsid w:val="000515A2"/>
    <w:rsid w:val="000518A6"/>
    <w:rsid w:val="00052427"/>
    <w:rsid w:val="0005269A"/>
    <w:rsid w:val="00052948"/>
    <w:rsid w:val="00053A99"/>
    <w:rsid w:val="00053E69"/>
    <w:rsid w:val="00054233"/>
    <w:rsid w:val="00054806"/>
    <w:rsid w:val="00054DE0"/>
    <w:rsid w:val="000560DA"/>
    <w:rsid w:val="00056810"/>
    <w:rsid w:val="000568C8"/>
    <w:rsid w:val="00056D31"/>
    <w:rsid w:val="00056D56"/>
    <w:rsid w:val="00057056"/>
    <w:rsid w:val="00057F33"/>
    <w:rsid w:val="000604B3"/>
    <w:rsid w:val="00061399"/>
    <w:rsid w:val="00062DDE"/>
    <w:rsid w:val="00063017"/>
    <w:rsid w:val="00063330"/>
    <w:rsid w:val="000635F9"/>
    <w:rsid w:val="00064197"/>
    <w:rsid w:val="000645B9"/>
    <w:rsid w:val="0006473B"/>
    <w:rsid w:val="00065240"/>
    <w:rsid w:val="0006546A"/>
    <w:rsid w:val="000668B5"/>
    <w:rsid w:val="00066AF5"/>
    <w:rsid w:val="000671B8"/>
    <w:rsid w:val="00067A2A"/>
    <w:rsid w:val="00067B1A"/>
    <w:rsid w:val="00067C6C"/>
    <w:rsid w:val="000705F4"/>
    <w:rsid w:val="00070EDA"/>
    <w:rsid w:val="00071252"/>
    <w:rsid w:val="0007169F"/>
    <w:rsid w:val="00071D04"/>
    <w:rsid w:val="00072C30"/>
    <w:rsid w:val="00073848"/>
    <w:rsid w:val="00074347"/>
    <w:rsid w:val="00074511"/>
    <w:rsid w:val="00074D90"/>
    <w:rsid w:val="00075128"/>
    <w:rsid w:val="0007574B"/>
    <w:rsid w:val="00075993"/>
    <w:rsid w:val="00075E73"/>
    <w:rsid w:val="000760A8"/>
    <w:rsid w:val="00076602"/>
    <w:rsid w:val="00076C1A"/>
    <w:rsid w:val="000774BA"/>
    <w:rsid w:val="00077899"/>
    <w:rsid w:val="00077F91"/>
    <w:rsid w:val="00080C08"/>
    <w:rsid w:val="00081A75"/>
    <w:rsid w:val="00081DD3"/>
    <w:rsid w:val="0008264A"/>
    <w:rsid w:val="00082A41"/>
    <w:rsid w:val="00082B18"/>
    <w:rsid w:val="00082C4F"/>
    <w:rsid w:val="00083AB9"/>
    <w:rsid w:val="00083ADB"/>
    <w:rsid w:val="000844A7"/>
    <w:rsid w:val="00084748"/>
    <w:rsid w:val="00084AD7"/>
    <w:rsid w:val="00084EE1"/>
    <w:rsid w:val="00085553"/>
    <w:rsid w:val="0008558A"/>
    <w:rsid w:val="00085E51"/>
    <w:rsid w:val="0008620B"/>
    <w:rsid w:val="00086BCE"/>
    <w:rsid w:val="00087192"/>
    <w:rsid w:val="00087548"/>
    <w:rsid w:val="00087F86"/>
    <w:rsid w:val="00090FA1"/>
    <w:rsid w:val="00091381"/>
    <w:rsid w:val="0009143A"/>
    <w:rsid w:val="00091915"/>
    <w:rsid w:val="00091D27"/>
    <w:rsid w:val="00091EF5"/>
    <w:rsid w:val="00092443"/>
    <w:rsid w:val="000924EA"/>
    <w:rsid w:val="00092AD4"/>
    <w:rsid w:val="00092BB2"/>
    <w:rsid w:val="000935B8"/>
    <w:rsid w:val="00094CFE"/>
    <w:rsid w:val="0009507F"/>
    <w:rsid w:val="00095587"/>
    <w:rsid w:val="00095E1E"/>
    <w:rsid w:val="000960E7"/>
    <w:rsid w:val="00096162"/>
    <w:rsid w:val="00096492"/>
    <w:rsid w:val="00096900"/>
    <w:rsid w:val="0009699C"/>
    <w:rsid w:val="00096C2A"/>
    <w:rsid w:val="000970F9"/>
    <w:rsid w:val="00097962"/>
    <w:rsid w:val="00097FE1"/>
    <w:rsid w:val="000A0A24"/>
    <w:rsid w:val="000A1417"/>
    <w:rsid w:val="000A14C1"/>
    <w:rsid w:val="000A159A"/>
    <w:rsid w:val="000A15B5"/>
    <w:rsid w:val="000A1B50"/>
    <w:rsid w:val="000A2276"/>
    <w:rsid w:val="000A2A96"/>
    <w:rsid w:val="000A3A4F"/>
    <w:rsid w:val="000A3A5E"/>
    <w:rsid w:val="000A3C00"/>
    <w:rsid w:val="000A434A"/>
    <w:rsid w:val="000A44F2"/>
    <w:rsid w:val="000A5045"/>
    <w:rsid w:val="000A5239"/>
    <w:rsid w:val="000A56AE"/>
    <w:rsid w:val="000A5B1C"/>
    <w:rsid w:val="000A5C77"/>
    <w:rsid w:val="000A611A"/>
    <w:rsid w:val="000A619A"/>
    <w:rsid w:val="000A6223"/>
    <w:rsid w:val="000A6A30"/>
    <w:rsid w:val="000A7525"/>
    <w:rsid w:val="000A7BE0"/>
    <w:rsid w:val="000A7FA6"/>
    <w:rsid w:val="000B006E"/>
    <w:rsid w:val="000B1612"/>
    <w:rsid w:val="000B17F7"/>
    <w:rsid w:val="000B1C83"/>
    <w:rsid w:val="000B2490"/>
    <w:rsid w:val="000B25E1"/>
    <w:rsid w:val="000B28C1"/>
    <w:rsid w:val="000B2EEB"/>
    <w:rsid w:val="000B2F04"/>
    <w:rsid w:val="000B309D"/>
    <w:rsid w:val="000B4364"/>
    <w:rsid w:val="000B53F6"/>
    <w:rsid w:val="000B5A2D"/>
    <w:rsid w:val="000B62AF"/>
    <w:rsid w:val="000B78BA"/>
    <w:rsid w:val="000C00CD"/>
    <w:rsid w:val="000C078F"/>
    <w:rsid w:val="000C0F3C"/>
    <w:rsid w:val="000C1C48"/>
    <w:rsid w:val="000C2202"/>
    <w:rsid w:val="000C29FD"/>
    <w:rsid w:val="000C3548"/>
    <w:rsid w:val="000C3A95"/>
    <w:rsid w:val="000C404D"/>
    <w:rsid w:val="000C42DA"/>
    <w:rsid w:val="000C4ED1"/>
    <w:rsid w:val="000C5EC2"/>
    <w:rsid w:val="000C67AA"/>
    <w:rsid w:val="000C6958"/>
    <w:rsid w:val="000C73A2"/>
    <w:rsid w:val="000C79DA"/>
    <w:rsid w:val="000C7FE3"/>
    <w:rsid w:val="000D0F3A"/>
    <w:rsid w:val="000D14F1"/>
    <w:rsid w:val="000D21D7"/>
    <w:rsid w:val="000D225B"/>
    <w:rsid w:val="000D2530"/>
    <w:rsid w:val="000D2A88"/>
    <w:rsid w:val="000D3E6A"/>
    <w:rsid w:val="000D4583"/>
    <w:rsid w:val="000D4C2C"/>
    <w:rsid w:val="000D4D90"/>
    <w:rsid w:val="000D632F"/>
    <w:rsid w:val="000D6B4B"/>
    <w:rsid w:val="000D6F1C"/>
    <w:rsid w:val="000D73A8"/>
    <w:rsid w:val="000D7BE4"/>
    <w:rsid w:val="000E1220"/>
    <w:rsid w:val="000E16BC"/>
    <w:rsid w:val="000E1D18"/>
    <w:rsid w:val="000E31E4"/>
    <w:rsid w:val="000E3524"/>
    <w:rsid w:val="000E5977"/>
    <w:rsid w:val="000E61D3"/>
    <w:rsid w:val="000E729D"/>
    <w:rsid w:val="000F0872"/>
    <w:rsid w:val="000F106A"/>
    <w:rsid w:val="000F1E53"/>
    <w:rsid w:val="000F1E66"/>
    <w:rsid w:val="000F29A9"/>
    <w:rsid w:val="000F3C8E"/>
    <w:rsid w:val="000F3DAC"/>
    <w:rsid w:val="000F4CC6"/>
    <w:rsid w:val="000F50C8"/>
    <w:rsid w:val="000F58C3"/>
    <w:rsid w:val="000F5ABF"/>
    <w:rsid w:val="000F64B8"/>
    <w:rsid w:val="000F7988"/>
    <w:rsid w:val="001005D3"/>
    <w:rsid w:val="001007A8"/>
    <w:rsid w:val="0010095F"/>
    <w:rsid w:val="00101645"/>
    <w:rsid w:val="00101836"/>
    <w:rsid w:val="00103238"/>
    <w:rsid w:val="00103C53"/>
    <w:rsid w:val="00103F52"/>
    <w:rsid w:val="00104BEA"/>
    <w:rsid w:val="00104C3F"/>
    <w:rsid w:val="001052D9"/>
    <w:rsid w:val="00105E0B"/>
    <w:rsid w:val="00106136"/>
    <w:rsid w:val="0010647D"/>
    <w:rsid w:val="001118BB"/>
    <w:rsid w:val="00112F92"/>
    <w:rsid w:val="00113250"/>
    <w:rsid w:val="0011385D"/>
    <w:rsid w:val="0011475A"/>
    <w:rsid w:val="0011498D"/>
    <w:rsid w:val="00114B54"/>
    <w:rsid w:val="00115784"/>
    <w:rsid w:val="00115867"/>
    <w:rsid w:val="00115ADF"/>
    <w:rsid w:val="00116717"/>
    <w:rsid w:val="00116AAF"/>
    <w:rsid w:val="00117579"/>
    <w:rsid w:val="001177BD"/>
    <w:rsid w:val="001178DF"/>
    <w:rsid w:val="00117E53"/>
    <w:rsid w:val="00120986"/>
    <w:rsid w:val="001209B1"/>
    <w:rsid w:val="00120E05"/>
    <w:rsid w:val="00120F4C"/>
    <w:rsid w:val="00121121"/>
    <w:rsid w:val="00121836"/>
    <w:rsid w:val="001244CC"/>
    <w:rsid w:val="0012468F"/>
    <w:rsid w:val="0012502B"/>
    <w:rsid w:val="00125A92"/>
    <w:rsid w:val="00126D58"/>
    <w:rsid w:val="00127562"/>
    <w:rsid w:val="00127A9A"/>
    <w:rsid w:val="00127D94"/>
    <w:rsid w:val="00127EBC"/>
    <w:rsid w:val="00130B86"/>
    <w:rsid w:val="00130E08"/>
    <w:rsid w:val="00130FAB"/>
    <w:rsid w:val="00131FF4"/>
    <w:rsid w:val="00132B77"/>
    <w:rsid w:val="00132D04"/>
    <w:rsid w:val="00132DD5"/>
    <w:rsid w:val="00133063"/>
    <w:rsid w:val="00133A3F"/>
    <w:rsid w:val="00133A8D"/>
    <w:rsid w:val="00134C25"/>
    <w:rsid w:val="0013533F"/>
    <w:rsid w:val="00136970"/>
    <w:rsid w:val="00137534"/>
    <w:rsid w:val="00137695"/>
    <w:rsid w:val="00137DE1"/>
    <w:rsid w:val="00137DFD"/>
    <w:rsid w:val="0014009F"/>
    <w:rsid w:val="00140213"/>
    <w:rsid w:val="001409D8"/>
    <w:rsid w:val="00140C31"/>
    <w:rsid w:val="00140EFC"/>
    <w:rsid w:val="00140F21"/>
    <w:rsid w:val="00141B01"/>
    <w:rsid w:val="00141F92"/>
    <w:rsid w:val="00142348"/>
    <w:rsid w:val="001438DD"/>
    <w:rsid w:val="00144CCC"/>
    <w:rsid w:val="00145B12"/>
    <w:rsid w:val="00145C93"/>
    <w:rsid w:val="00145CFA"/>
    <w:rsid w:val="00146BE3"/>
    <w:rsid w:val="00147359"/>
    <w:rsid w:val="001475D8"/>
    <w:rsid w:val="001478DB"/>
    <w:rsid w:val="0014790B"/>
    <w:rsid w:val="00147C1B"/>
    <w:rsid w:val="00147EDB"/>
    <w:rsid w:val="00147EE3"/>
    <w:rsid w:val="0015007A"/>
    <w:rsid w:val="00150F01"/>
    <w:rsid w:val="00151932"/>
    <w:rsid w:val="00152143"/>
    <w:rsid w:val="00152559"/>
    <w:rsid w:val="00152938"/>
    <w:rsid w:val="00152BC8"/>
    <w:rsid w:val="00153464"/>
    <w:rsid w:val="00153AF5"/>
    <w:rsid w:val="001549F0"/>
    <w:rsid w:val="00154FEA"/>
    <w:rsid w:val="001551F8"/>
    <w:rsid w:val="0015599C"/>
    <w:rsid w:val="00155D8E"/>
    <w:rsid w:val="001562F1"/>
    <w:rsid w:val="00156667"/>
    <w:rsid w:val="00156875"/>
    <w:rsid w:val="00156A5F"/>
    <w:rsid w:val="00157F77"/>
    <w:rsid w:val="001602E0"/>
    <w:rsid w:val="00160FCA"/>
    <w:rsid w:val="00161198"/>
    <w:rsid w:val="001614AD"/>
    <w:rsid w:val="0016163B"/>
    <w:rsid w:val="00161A7B"/>
    <w:rsid w:val="00161FCB"/>
    <w:rsid w:val="00162631"/>
    <w:rsid w:val="001628BF"/>
    <w:rsid w:val="00163B77"/>
    <w:rsid w:val="00163DC5"/>
    <w:rsid w:val="00164743"/>
    <w:rsid w:val="00164ABF"/>
    <w:rsid w:val="00164AFA"/>
    <w:rsid w:val="00165107"/>
    <w:rsid w:val="00165503"/>
    <w:rsid w:val="001655CF"/>
    <w:rsid w:val="001656AD"/>
    <w:rsid w:val="00165BEC"/>
    <w:rsid w:val="001671ED"/>
    <w:rsid w:val="00170329"/>
    <w:rsid w:val="001705F6"/>
    <w:rsid w:val="001715EF"/>
    <w:rsid w:val="00172266"/>
    <w:rsid w:val="001725D0"/>
    <w:rsid w:val="00172B44"/>
    <w:rsid w:val="00172B63"/>
    <w:rsid w:val="00172C63"/>
    <w:rsid w:val="0017385A"/>
    <w:rsid w:val="00173E44"/>
    <w:rsid w:val="001746E3"/>
    <w:rsid w:val="0017475B"/>
    <w:rsid w:val="00174879"/>
    <w:rsid w:val="0017546C"/>
    <w:rsid w:val="00175CB7"/>
    <w:rsid w:val="00176047"/>
    <w:rsid w:val="001765D2"/>
    <w:rsid w:val="00177AD0"/>
    <w:rsid w:val="00177BE8"/>
    <w:rsid w:val="00177D25"/>
    <w:rsid w:val="00180621"/>
    <w:rsid w:val="00180BB7"/>
    <w:rsid w:val="00180FE4"/>
    <w:rsid w:val="0018126C"/>
    <w:rsid w:val="0018188E"/>
    <w:rsid w:val="00181CB6"/>
    <w:rsid w:val="001829F5"/>
    <w:rsid w:val="00182D11"/>
    <w:rsid w:val="001834FC"/>
    <w:rsid w:val="001840D6"/>
    <w:rsid w:val="00184D13"/>
    <w:rsid w:val="00185546"/>
    <w:rsid w:val="00185F4D"/>
    <w:rsid w:val="00186648"/>
    <w:rsid w:val="001866B3"/>
    <w:rsid w:val="00186783"/>
    <w:rsid w:val="00186AE2"/>
    <w:rsid w:val="00186E66"/>
    <w:rsid w:val="00187A16"/>
    <w:rsid w:val="001902A1"/>
    <w:rsid w:val="0019039C"/>
    <w:rsid w:val="001909CE"/>
    <w:rsid w:val="00190C55"/>
    <w:rsid w:val="00191663"/>
    <w:rsid w:val="00191F8D"/>
    <w:rsid w:val="0019252C"/>
    <w:rsid w:val="00192696"/>
    <w:rsid w:val="00192BC8"/>
    <w:rsid w:val="00193357"/>
    <w:rsid w:val="00193628"/>
    <w:rsid w:val="00194486"/>
    <w:rsid w:val="00195F6F"/>
    <w:rsid w:val="0019616B"/>
    <w:rsid w:val="0019658A"/>
    <w:rsid w:val="00196CB1"/>
    <w:rsid w:val="00197048"/>
    <w:rsid w:val="00197519"/>
    <w:rsid w:val="00197C3B"/>
    <w:rsid w:val="001A03F2"/>
    <w:rsid w:val="001A053E"/>
    <w:rsid w:val="001A0835"/>
    <w:rsid w:val="001A0C3B"/>
    <w:rsid w:val="001A16CC"/>
    <w:rsid w:val="001A1797"/>
    <w:rsid w:val="001A188B"/>
    <w:rsid w:val="001A27FD"/>
    <w:rsid w:val="001A2BB2"/>
    <w:rsid w:val="001A3273"/>
    <w:rsid w:val="001A439C"/>
    <w:rsid w:val="001A4995"/>
    <w:rsid w:val="001A4A1E"/>
    <w:rsid w:val="001A5C20"/>
    <w:rsid w:val="001A5D7E"/>
    <w:rsid w:val="001A6223"/>
    <w:rsid w:val="001A6768"/>
    <w:rsid w:val="001A68EF"/>
    <w:rsid w:val="001A7FB2"/>
    <w:rsid w:val="001B0BBD"/>
    <w:rsid w:val="001B16B1"/>
    <w:rsid w:val="001B184A"/>
    <w:rsid w:val="001B1E90"/>
    <w:rsid w:val="001B2507"/>
    <w:rsid w:val="001B26D8"/>
    <w:rsid w:val="001B2A8A"/>
    <w:rsid w:val="001B2B2D"/>
    <w:rsid w:val="001B3034"/>
    <w:rsid w:val="001B3124"/>
    <w:rsid w:val="001B380D"/>
    <w:rsid w:val="001B3A87"/>
    <w:rsid w:val="001B3E41"/>
    <w:rsid w:val="001B3F40"/>
    <w:rsid w:val="001B4156"/>
    <w:rsid w:val="001B46DB"/>
    <w:rsid w:val="001B4A1A"/>
    <w:rsid w:val="001B5044"/>
    <w:rsid w:val="001B5C57"/>
    <w:rsid w:val="001B5D41"/>
    <w:rsid w:val="001B6453"/>
    <w:rsid w:val="001C099B"/>
    <w:rsid w:val="001C0B2A"/>
    <w:rsid w:val="001C0D3E"/>
    <w:rsid w:val="001C10DA"/>
    <w:rsid w:val="001C196B"/>
    <w:rsid w:val="001C1F1B"/>
    <w:rsid w:val="001C1F90"/>
    <w:rsid w:val="001C20B0"/>
    <w:rsid w:val="001C3069"/>
    <w:rsid w:val="001C3C5E"/>
    <w:rsid w:val="001C5C49"/>
    <w:rsid w:val="001C61AB"/>
    <w:rsid w:val="001C6749"/>
    <w:rsid w:val="001C6E34"/>
    <w:rsid w:val="001C79F8"/>
    <w:rsid w:val="001C7E1D"/>
    <w:rsid w:val="001D05E0"/>
    <w:rsid w:val="001D06FA"/>
    <w:rsid w:val="001D0807"/>
    <w:rsid w:val="001D16E4"/>
    <w:rsid w:val="001D1AFE"/>
    <w:rsid w:val="001D2234"/>
    <w:rsid w:val="001D2420"/>
    <w:rsid w:val="001D2931"/>
    <w:rsid w:val="001D2B60"/>
    <w:rsid w:val="001D3021"/>
    <w:rsid w:val="001D3A14"/>
    <w:rsid w:val="001D41B6"/>
    <w:rsid w:val="001D4AAB"/>
    <w:rsid w:val="001D4B9E"/>
    <w:rsid w:val="001D4D7C"/>
    <w:rsid w:val="001D5408"/>
    <w:rsid w:val="001D560D"/>
    <w:rsid w:val="001D56E8"/>
    <w:rsid w:val="001D5A9C"/>
    <w:rsid w:val="001D5E2E"/>
    <w:rsid w:val="001D76D0"/>
    <w:rsid w:val="001D7DC2"/>
    <w:rsid w:val="001E0C6C"/>
    <w:rsid w:val="001E0CFA"/>
    <w:rsid w:val="001E0FB4"/>
    <w:rsid w:val="001E144E"/>
    <w:rsid w:val="001E147A"/>
    <w:rsid w:val="001E2296"/>
    <w:rsid w:val="001E29E2"/>
    <w:rsid w:val="001E2E14"/>
    <w:rsid w:val="001E32C7"/>
    <w:rsid w:val="001E34BD"/>
    <w:rsid w:val="001E3FA9"/>
    <w:rsid w:val="001E44C6"/>
    <w:rsid w:val="001E4A98"/>
    <w:rsid w:val="001E4B10"/>
    <w:rsid w:val="001E4BE7"/>
    <w:rsid w:val="001E556D"/>
    <w:rsid w:val="001E558D"/>
    <w:rsid w:val="001E5AD1"/>
    <w:rsid w:val="001E5CC1"/>
    <w:rsid w:val="001E6030"/>
    <w:rsid w:val="001E60CB"/>
    <w:rsid w:val="001E63A8"/>
    <w:rsid w:val="001E69A9"/>
    <w:rsid w:val="001E6A06"/>
    <w:rsid w:val="001E6B2F"/>
    <w:rsid w:val="001E7645"/>
    <w:rsid w:val="001E7783"/>
    <w:rsid w:val="001E7C09"/>
    <w:rsid w:val="001E7E39"/>
    <w:rsid w:val="001F0156"/>
    <w:rsid w:val="001F0291"/>
    <w:rsid w:val="001F03B1"/>
    <w:rsid w:val="001F0F56"/>
    <w:rsid w:val="001F10E0"/>
    <w:rsid w:val="001F14D7"/>
    <w:rsid w:val="001F1C14"/>
    <w:rsid w:val="001F2BCD"/>
    <w:rsid w:val="001F3345"/>
    <w:rsid w:val="001F3916"/>
    <w:rsid w:val="001F437C"/>
    <w:rsid w:val="001F4424"/>
    <w:rsid w:val="001F555A"/>
    <w:rsid w:val="001F5BA8"/>
    <w:rsid w:val="001F5FF1"/>
    <w:rsid w:val="001F6975"/>
    <w:rsid w:val="001F6BDA"/>
    <w:rsid w:val="001F6C3A"/>
    <w:rsid w:val="001F6D1B"/>
    <w:rsid w:val="001F7EDE"/>
    <w:rsid w:val="002006E2"/>
    <w:rsid w:val="0020217F"/>
    <w:rsid w:val="002031A7"/>
    <w:rsid w:val="0020397C"/>
    <w:rsid w:val="002039D5"/>
    <w:rsid w:val="002042D6"/>
    <w:rsid w:val="00204BD0"/>
    <w:rsid w:val="00204E7A"/>
    <w:rsid w:val="002051B1"/>
    <w:rsid w:val="002062D9"/>
    <w:rsid w:val="002063E5"/>
    <w:rsid w:val="002066A4"/>
    <w:rsid w:val="00206B34"/>
    <w:rsid w:val="00206F5C"/>
    <w:rsid w:val="002072BC"/>
    <w:rsid w:val="00207D61"/>
    <w:rsid w:val="0021010E"/>
    <w:rsid w:val="002106D2"/>
    <w:rsid w:val="00210C86"/>
    <w:rsid w:val="00212606"/>
    <w:rsid w:val="00212C20"/>
    <w:rsid w:val="00212F0F"/>
    <w:rsid w:val="002139A2"/>
    <w:rsid w:val="00213AD1"/>
    <w:rsid w:val="00213F58"/>
    <w:rsid w:val="00214B15"/>
    <w:rsid w:val="00214CD3"/>
    <w:rsid w:val="00214D77"/>
    <w:rsid w:val="0021536B"/>
    <w:rsid w:val="002156AD"/>
    <w:rsid w:val="002161FE"/>
    <w:rsid w:val="0021651A"/>
    <w:rsid w:val="00216D38"/>
    <w:rsid w:val="00216D90"/>
    <w:rsid w:val="00216E47"/>
    <w:rsid w:val="00217403"/>
    <w:rsid w:val="002177B2"/>
    <w:rsid w:val="002179AF"/>
    <w:rsid w:val="0022061F"/>
    <w:rsid w:val="00220D4F"/>
    <w:rsid w:val="00221217"/>
    <w:rsid w:val="00221246"/>
    <w:rsid w:val="00221CBE"/>
    <w:rsid w:val="00221E73"/>
    <w:rsid w:val="0022211C"/>
    <w:rsid w:val="00222A87"/>
    <w:rsid w:val="00223360"/>
    <w:rsid w:val="00223902"/>
    <w:rsid w:val="00224540"/>
    <w:rsid w:val="00224A7F"/>
    <w:rsid w:val="00226816"/>
    <w:rsid w:val="0022684B"/>
    <w:rsid w:val="00226A14"/>
    <w:rsid w:val="00226BBB"/>
    <w:rsid w:val="00226DA6"/>
    <w:rsid w:val="00226E41"/>
    <w:rsid w:val="00226FAD"/>
    <w:rsid w:val="002276B3"/>
    <w:rsid w:val="00227957"/>
    <w:rsid w:val="00227E19"/>
    <w:rsid w:val="002300ED"/>
    <w:rsid w:val="00230ABA"/>
    <w:rsid w:val="00232923"/>
    <w:rsid w:val="00232A92"/>
    <w:rsid w:val="00232C94"/>
    <w:rsid w:val="00232CA2"/>
    <w:rsid w:val="002335EA"/>
    <w:rsid w:val="00234448"/>
    <w:rsid w:val="002346D9"/>
    <w:rsid w:val="00235538"/>
    <w:rsid w:val="0023586F"/>
    <w:rsid w:val="00235A23"/>
    <w:rsid w:val="002361E9"/>
    <w:rsid w:val="00236232"/>
    <w:rsid w:val="002362C2"/>
    <w:rsid w:val="0023649D"/>
    <w:rsid w:val="00236FBE"/>
    <w:rsid w:val="00237FB1"/>
    <w:rsid w:val="002401FE"/>
    <w:rsid w:val="0024091E"/>
    <w:rsid w:val="00240CBD"/>
    <w:rsid w:val="00241071"/>
    <w:rsid w:val="00241C24"/>
    <w:rsid w:val="0024209B"/>
    <w:rsid w:val="002432F5"/>
    <w:rsid w:val="00243B4E"/>
    <w:rsid w:val="00243F7C"/>
    <w:rsid w:val="0024451C"/>
    <w:rsid w:val="00244F3E"/>
    <w:rsid w:val="00245546"/>
    <w:rsid w:val="00245A20"/>
    <w:rsid w:val="00246CB3"/>
    <w:rsid w:val="00247063"/>
    <w:rsid w:val="00247AD2"/>
    <w:rsid w:val="00250C6A"/>
    <w:rsid w:val="002513BC"/>
    <w:rsid w:val="002516CF"/>
    <w:rsid w:val="0025197F"/>
    <w:rsid w:val="00252D6B"/>
    <w:rsid w:val="0025451E"/>
    <w:rsid w:val="00254ACA"/>
    <w:rsid w:val="00254EFA"/>
    <w:rsid w:val="002559DB"/>
    <w:rsid w:val="002566B7"/>
    <w:rsid w:val="002571B5"/>
    <w:rsid w:val="0025762D"/>
    <w:rsid w:val="002577A4"/>
    <w:rsid w:val="002606E7"/>
    <w:rsid w:val="0026099E"/>
    <w:rsid w:val="00260D4C"/>
    <w:rsid w:val="00260FC6"/>
    <w:rsid w:val="0026106C"/>
    <w:rsid w:val="00261838"/>
    <w:rsid w:val="00263534"/>
    <w:rsid w:val="00263806"/>
    <w:rsid w:val="00264B52"/>
    <w:rsid w:val="00264BAD"/>
    <w:rsid w:val="00264C36"/>
    <w:rsid w:val="00264DED"/>
    <w:rsid w:val="00265688"/>
    <w:rsid w:val="00265A9F"/>
    <w:rsid w:val="00265DCE"/>
    <w:rsid w:val="002668B4"/>
    <w:rsid w:val="002669D2"/>
    <w:rsid w:val="0026720F"/>
    <w:rsid w:val="002709D5"/>
    <w:rsid w:val="00270E10"/>
    <w:rsid w:val="00272F0B"/>
    <w:rsid w:val="00274756"/>
    <w:rsid w:val="00274787"/>
    <w:rsid w:val="00275216"/>
    <w:rsid w:val="002753CF"/>
    <w:rsid w:val="00276472"/>
    <w:rsid w:val="00276865"/>
    <w:rsid w:val="00276CA2"/>
    <w:rsid w:val="00277720"/>
    <w:rsid w:val="00280408"/>
    <w:rsid w:val="00280446"/>
    <w:rsid w:val="00280470"/>
    <w:rsid w:val="0028095B"/>
    <w:rsid w:val="00280D02"/>
    <w:rsid w:val="00283072"/>
    <w:rsid w:val="002831AB"/>
    <w:rsid w:val="0028355A"/>
    <w:rsid w:val="00284668"/>
    <w:rsid w:val="00284906"/>
    <w:rsid w:val="00285AE1"/>
    <w:rsid w:val="00285CCA"/>
    <w:rsid w:val="00285FB5"/>
    <w:rsid w:val="00286374"/>
    <w:rsid w:val="00286C88"/>
    <w:rsid w:val="00286F38"/>
    <w:rsid w:val="002874B9"/>
    <w:rsid w:val="00287F56"/>
    <w:rsid w:val="00290692"/>
    <w:rsid w:val="00290A8B"/>
    <w:rsid w:val="00290BD8"/>
    <w:rsid w:val="00290FF7"/>
    <w:rsid w:val="002913FB"/>
    <w:rsid w:val="00291847"/>
    <w:rsid w:val="0029190B"/>
    <w:rsid w:val="00291A24"/>
    <w:rsid w:val="002929C7"/>
    <w:rsid w:val="00292CC5"/>
    <w:rsid w:val="00293180"/>
    <w:rsid w:val="00293762"/>
    <w:rsid w:val="00293A34"/>
    <w:rsid w:val="00293AE7"/>
    <w:rsid w:val="00293EF8"/>
    <w:rsid w:val="002942A2"/>
    <w:rsid w:val="002942EE"/>
    <w:rsid w:val="00294574"/>
    <w:rsid w:val="00294F98"/>
    <w:rsid w:val="00294FA2"/>
    <w:rsid w:val="00295272"/>
    <w:rsid w:val="00295313"/>
    <w:rsid w:val="00295A5B"/>
    <w:rsid w:val="002965CC"/>
    <w:rsid w:val="00296832"/>
    <w:rsid w:val="00296969"/>
    <w:rsid w:val="00296D80"/>
    <w:rsid w:val="00296F7A"/>
    <w:rsid w:val="00297242"/>
    <w:rsid w:val="0029748B"/>
    <w:rsid w:val="00297DCC"/>
    <w:rsid w:val="002A00B1"/>
    <w:rsid w:val="002A012A"/>
    <w:rsid w:val="002A03F7"/>
    <w:rsid w:val="002A139E"/>
    <w:rsid w:val="002A1A2C"/>
    <w:rsid w:val="002A219B"/>
    <w:rsid w:val="002A231D"/>
    <w:rsid w:val="002A25DD"/>
    <w:rsid w:val="002A2783"/>
    <w:rsid w:val="002A2827"/>
    <w:rsid w:val="002A2A4A"/>
    <w:rsid w:val="002A2CC4"/>
    <w:rsid w:val="002A307C"/>
    <w:rsid w:val="002A3A81"/>
    <w:rsid w:val="002A3DD4"/>
    <w:rsid w:val="002A450F"/>
    <w:rsid w:val="002A4D4C"/>
    <w:rsid w:val="002A51A2"/>
    <w:rsid w:val="002A5A31"/>
    <w:rsid w:val="002A64DE"/>
    <w:rsid w:val="002A713A"/>
    <w:rsid w:val="002A71B8"/>
    <w:rsid w:val="002A798C"/>
    <w:rsid w:val="002A7C9C"/>
    <w:rsid w:val="002A7F27"/>
    <w:rsid w:val="002B0A6C"/>
    <w:rsid w:val="002B0B3C"/>
    <w:rsid w:val="002B1964"/>
    <w:rsid w:val="002B1B51"/>
    <w:rsid w:val="002B20CB"/>
    <w:rsid w:val="002B219E"/>
    <w:rsid w:val="002B2548"/>
    <w:rsid w:val="002B30C1"/>
    <w:rsid w:val="002B3926"/>
    <w:rsid w:val="002B3998"/>
    <w:rsid w:val="002B4337"/>
    <w:rsid w:val="002B4BE5"/>
    <w:rsid w:val="002B5128"/>
    <w:rsid w:val="002B5601"/>
    <w:rsid w:val="002B5789"/>
    <w:rsid w:val="002B5894"/>
    <w:rsid w:val="002B6EED"/>
    <w:rsid w:val="002B7314"/>
    <w:rsid w:val="002B74C8"/>
    <w:rsid w:val="002B77FC"/>
    <w:rsid w:val="002C0148"/>
    <w:rsid w:val="002C1E00"/>
    <w:rsid w:val="002C1F32"/>
    <w:rsid w:val="002C2D05"/>
    <w:rsid w:val="002C3387"/>
    <w:rsid w:val="002C35BC"/>
    <w:rsid w:val="002C36FE"/>
    <w:rsid w:val="002C3DA4"/>
    <w:rsid w:val="002C3DEF"/>
    <w:rsid w:val="002C49B5"/>
    <w:rsid w:val="002C4A58"/>
    <w:rsid w:val="002C525A"/>
    <w:rsid w:val="002C54E9"/>
    <w:rsid w:val="002C5819"/>
    <w:rsid w:val="002C5958"/>
    <w:rsid w:val="002C6549"/>
    <w:rsid w:val="002C6614"/>
    <w:rsid w:val="002C6969"/>
    <w:rsid w:val="002C6B6B"/>
    <w:rsid w:val="002D07FB"/>
    <w:rsid w:val="002D0961"/>
    <w:rsid w:val="002D0A10"/>
    <w:rsid w:val="002D0FBA"/>
    <w:rsid w:val="002D24D8"/>
    <w:rsid w:val="002D2642"/>
    <w:rsid w:val="002D2B0F"/>
    <w:rsid w:val="002D2BD2"/>
    <w:rsid w:val="002D2C44"/>
    <w:rsid w:val="002D3069"/>
    <w:rsid w:val="002D4630"/>
    <w:rsid w:val="002D485A"/>
    <w:rsid w:val="002D4870"/>
    <w:rsid w:val="002D4DD1"/>
    <w:rsid w:val="002D5819"/>
    <w:rsid w:val="002D5D8C"/>
    <w:rsid w:val="002D6086"/>
    <w:rsid w:val="002D74B5"/>
    <w:rsid w:val="002D7920"/>
    <w:rsid w:val="002D7940"/>
    <w:rsid w:val="002D7F5E"/>
    <w:rsid w:val="002E01F1"/>
    <w:rsid w:val="002E07D5"/>
    <w:rsid w:val="002E0901"/>
    <w:rsid w:val="002E108C"/>
    <w:rsid w:val="002E1264"/>
    <w:rsid w:val="002E1494"/>
    <w:rsid w:val="002E15C5"/>
    <w:rsid w:val="002E3BCC"/>
    <w:rsid w:val="002E3CB9"/>
    <w:rsid w:val="002E4784"/>
    <w:rsid w:val="002E47BF"/>
    <w:rsid w:val="002E49BE"/>
    <w:rsid w:val="002E4DB1"/>
    <w:rsid w:val="002E5441"/>
    <w:rsid w:val="002E5A31"/>
    <w:rsid w:val="002E5B22"/>
    <w:rsid w:val="002E62B9"/>
    <w:rsid w:val="002E657A"/>
    <w:rsid w:val="002E6CC0"/>
    <w:rsid w:val="002E6CEE"/>
    <w:rsid w:val="002E6FC9"/>
    <w:rsid w:val="002E7350"/>
    <w:rsid w:val="002E799A"/>
    <w:rsid w:val="002E7DC8"/>
    <w:rsid w:val="002E7E8B"/>
    <w:rsid w:val="002E7EC5"/>
    <w:rsid w:val="002F031D"/>
    <w:rsid w:val="002F0E3E"/>
    <w:rsid w:val="002F12D3"/>
    <w:rsid w:val="002F19C2"/>
    <w:rsid w:val="002F1B2C"/>
    <w:rsid w:val="002F1CED"/>
    <w:rsid w:val="002F1D66"/>
    <w:rsid w:val="002F39BD"/>
    <w:rsid w:val="002F40C5"/>
    <w:rsid w:val="002F40D1"/>
    <w:rsid w:val="002F4A4F"/>
    <w:rsid w:val="002F4E25"/>
    <w:rsid w:val="002F5949"/>
    <w:rsid w:val="002F5BD4"/>
    <w:rsid w:val="002F623D"/>
    <w:rsid w:val="002F64C3"/>
    <w:rsid w:val="002F664B"/>
    <w:rsid w:val="002F6911"/>
    <w:rsid w:val="002F7B82"/>
    <w:rsid w:val="002F7EDB"/>
    <w:rsid w:val="002F7FC1"/>
    <w:rsid w:val="00300A1A"/>
    <w:rsid w:val="00301D7B"/>
    <w:rsid w:val="003022D6"/>
    <w:rsid w:val="00302E3B"/>
    <w:rsid w:val="00303630"/>
    <w:rsid w:val="00303C68"/>
    <w:rsid w:val="00306C42"/>
    <w:rsid w:val="00307567"/>
    <w:rsid w:val="0030756E"/>
    <w:rsid w:val="00307DC2"/>
    <w:rsid w:val="00311238"/>
    <w:rsid w:val="00311D76"/>
    <w:rsid w:val="00312D84"/>
    <w:rsid w:val="00312D90"/>
    <w:rsid w:val="003136ED"/>
    <w:rsid w:val="0031388C"/>
    <w:rsid w:val="00313A6A"/>
    <w:rsid w:val="0031400F"/>
    <w:rsid w:val="003147F3"/>
    <w:rsid w:val="0031487F"/>
    <w:rsid w:val="00314ECE"/>
    <w:rsid w:val="00315D11"/>
    <w:rsid w:val="00316488"/>
    <w:rsid w:val="00316665"/>
    <w:rsid w:val="003173CB"/>
    <w:rsid w:val="0031778D"/>
    <w:rsid w:val="00317D91"/>
    <w:rsid w:val="00317E6D"/>
    <w:rsid w:val="00322493"/>
    <w:rsid w:val="003230F0"/>
    <w:rsid w:val="003241F5"/>
    <w:rsid w:val="003242E3"/>
    <w:rsid w:val="00324488"/>
    <w:rsid w:val="00324860"/>
    <w:rsid w:val="00324E9A"/>
    <w:rsid w:val="00325CD1"/>
    <w:rsid w:val="00326001"/>
    <w:rsid w:val="0032614F"/>
    <w:rsid w:val="00326689"/>
    <w:rsid w:val="003268D2"/>
    <w:rsid w:val="00326E46"/>
    <w:rsid w:val="00326FE4"/>
    <w:rsid w:val="0032722D"/>
    <w:rsid w:val="0032749B"/>
    <w:rsid w:val="0032763C"/>
    <w:rsid w:val="00327A08"/>
    <w:rsid w:val="00330E8B"/>
    <w:rsid w:val="003311B5"/>
    <w:rsid w:val="00331583"/>
    <w:rsid w:val="00331DD9"/>
    <w:rsid w:val="003321C0"/>
    <w:rsid w:val="0033223A"/>
    <w:rsid w:val="003326B9"/>
    <w:rsid w:val="003329E1"/>
    <w:rsid w:val="00333121"/>
    <w:rsid w:val="003336A0"/>
    <w:rsid w:val="00333940"/>
    <w:rsid w:val="00333C3B"/>
    <w:rsid w:val="00334378"/>
    <w:rsid w:val="00335128"/>
    <w:rsid w:val="00335466"/>
    <w:rsid w:val="003357FF"/>
    <w:rsid w:val="003367EC"/>
    <w:rsid w:val="00336B59"/>
    <w:rsid w:val="00336B7C"/>
    <w:rsid w:val="00337B97"/>
    <w:rsid w:val="00337C6D"/>
    <w:rsid w:val="003405E2"/>
    <w:rsid w:val="00340722"/>
    <w:rsid w:val="0034078A"/>
    <w:rsid w:val="003409FB"/>
    <w:rsid w:val="00340C8C"/>
    <w:rsid w:val="00342193"/>
    <w:rsid w:val="00342A31"/>
    <w:rsid w:val="00342CC9"/>
    <w:rsid w:val="003438F8"/>
    <w:rsid w:val="003443C8"/>
    <w:rsid w:val="0034450F"/>
    <w:rsid w:val="0034603D"/>
    <w:rsid w:val="003462CF"/>
    <w:rsid w:val="003467D1"/>
    <w:rsid w:val="003471A5"/>
    <w:rsid w:val="00350BBA"/>
    <w:rsid w:val="00350E47"/>
    <w:rsid w:val="0035104A"/>
    <w:rsid w:val="00351343"/>
    <w:rsid w:val="0035303A"/>
    <w:rsid w:val="00353103"/>
    <w:rsid w:val="00353119"/>
    <w:rsid w:val="00353CED"/>
    <w:rsid w:val="00353FFA"/>
    <w:rsid w:val="0035441A"/>
    <w:rsid w:val="00355268"/>
    <w:rsid w:val="003556C5"/>
    <w:rsid w:val="00355EC1"/>
    <w:rsid w:val="0035686E"/>
    <w:rsid w:val="00360C71"/>
    <w:rsid w:val="003612AD"/>
    <w:rsid w:val="00361701"/>
    <w:rsid w:val="00362660"/>
    <w:rsid w:val="0036286D"/>
    <w:rsid w:val="0036290F"/>
    <w:rsid w:val="003630C0"/>
    <w:rsid w:val="00364141"/>
    <w:rsid w:val="00364AFE"/>
    <w:rsid w:val="00365CA9"/>
    <w:rsid w:val="00365F6C"/>
    <w:rsid w:val="00367355"/>
    <w:rsid w:val="003676BD"/>
    <w:rsid w:val="003677F8"/>
    <w:rsid w:val="0037016D"/>
    <w:rsid w:val="003701B1"/>
    <w:rsid w:val="0037068D"/>
    <w:rsid w:val="00371CAC"/>
    <w:rsid w:val="00371D8A"/>
    <w:rsid w:val="00372544"/>
    <w:rsid w:val="003728A5"/>
    <w:rsid w:val="00372F22"/>
    <w:rsid w:val="00373020"/>
    <w:rsid w:val="003730F6"/>
    <w:rsid w:val="003733D7"/>
    <w:rsid w:val="0037360E"/>
    <w:rsid w:val="00373D05"/>
    <w:rsid w:val="00374009"/>
    <w:rsid w:val="003749E2"/>
    <w:rsid w:val="00374B3B"/>
    <w:rsid w:val="0037500C"/>
    <w:rsid w:val="00376943"/>
    <w:rsid w:val="003772A3"/>
    <w:rsid w:val="003772CE"/>
    <w:rsid w:val="00377610"/>
    <w:rsid w:val="00377661"/>
    <w:rsid w:val="00377884"/>
    <w:rsid w:val="00377D76"/>
    <w:rsid w:val="0038018C"/>
    <w:rsid w:val="00380350"/>
    <w:rsid w:val="003807CE"/>
    <w:rsid w:val="00380924"/>
    <w:rsid w:val="0038119B"/>
    <w:rsid w:val="00382024"/>
    <w:rsid w:val="00382132"/>
    <w:rsid w:val="0038233A"/>
    <w:rsid w:val="003824B4"/>
    <w:rsid w:val="003826D5"/>
    <w:rsid w:val="00382888"/>
    <w:rsid w:val="003830CD"/>
    <w:rsid w:val="0038325D"/>
    <w:rsid w:val="00383413"/>
    <w:rsid w:val="00384620"/>
    <w:rsid w:val="003849B0"/>
    <w:rsid w:val="00384BA2"/>
    <w:rsid w:val="0038515B"/>
    <w:rsid w:val="00385335"/>
    <w:rsid w:val="0038575D"/>
    <w:rsid w:val="003863FC"/>
    <w:rsid w:val="0038649E"/>
    <w:rsid w:val="00386A40"/>
    <w:rsid w:val="003870DE"/>
    <w:rsid w:val="00390752"/>
    <w:rsid w:val="00390B2E"/>
    <w:rsid w:val="00391175"/>
    <w:rsid w:val="003911A9"/>
    <w:rsid w:val="00391E10"/>
    <w:rsid w:val="0039354E"/>
    <w:rsid w:val="00394BB7"/>
    <w:rsid w:val="00395B67"/>
    <w:rsid w:val="0039627F"/>
    <w:rsid w:val="00396534"/>
    <w:rsid w:val="00396AB9"/>
    <w:rsid w:val="00396D0C"/>
    <w:rsid w:val="0039710E"/>
    <w:rsid w:val="0039744C"/>
    <w:rsid w:val="003974AF"/>
    <w:rsid w:val="003976A3"/>
    <w:rsid w:val="00397F02"/>
    <w:rsid w:val="003A1DCE"/>
    <w:rsid w:val="003A2168"/>
    <w:rsid w:val="003A216C"/>
    <w:rsid w:val="003A3713"/>
    <w:rsid w:val="003A382A"/>
    <w:rsid w:val="003A3E53"/>
    <w:rsid w:val="003A4170"/>
    <w:rsid w:val="003A461B"/>
    <w:rsid w:val="003A49EE"/>
    <w:rsid w:val="003A4D20"/>
    <w:rsid w:val="003A4FEE"/>
    <w:rsid w:val="003A5BB7"/>
    <w:rsid w:val="003A70D1"/>
    <w:rsid w:val="003A738A"/>
    <w:rsid w:val="003B0985"/>
    <w:rsid w:val="003B11AF"/>
    <w:rsid w:val="003B1693"/>
    <w:rsid w:val="003B2C0A"/>
    <w:rsid w:val="003B351E"/>
    <w:rsid w:val="003B3A05"/>
    <w:rsid w:val="003B3C0A"/>
    <w:rsid w:val="003B3D13"/>
    <w:rsid w:val="003B4A81"/>
    <w:rsid w:val="003B5193"/>
    <w:rsid w:val="003B5910"/>
    <w:rsid w:val="003B5991"/>
    <w:rsid w:val="003B64B2"/>
    <w:rsid w:val="003B6879"/>
    <w:rsid w:val="003B6EE5"/>
    <w:rsid w:val="003B7B0A"/>
    <w:rsid w:val="003B7B22"/>
    <w:rsid w:val="003B7C98"/>
    <w:rsid w:val="003C0E95"/>
    <w:rsid w:val="003C1424"/>
    <w:rsid w:val="003C22E6"/>
    <w:rsid w:val="003C2969"/>
    <w:rsid w:val="003C2FBB"/>
    <w:rsid w:val="003C4180"/>
    <w:rsid w:val="003C41A8"/>
    <w:rsid w:val="003C4643"/>
    <w:rsid w:val="003C467D"/>
    <w:rsid w:val="003C4F02"/>
    <w:rsid w:val="003C53A0"/>
    <w:rsid w:val="003C5B79"/>
    <w:rsid w:val="003C61EC"/>
    <w:rsid w:val="003C64E8"/>
    <w:rsid w:val="003C67CE"/>
    <w:rsid w:val="003C79D3"/>
    <w:rsid w:val="003D0249"/>
    <w:rsid w:val="003D0C7E"/>
    <w:rsid w:val="003D1798"/>
    <w:rsid w:val="003D17AA"/>
    <w:rsid w:val="003D2224"/>
    <w:rsid w:val="003D28E3"/>
    <w:rsid w:val="003D31A1"/>
    <w:rsid w:val="003D3883"/>
    <w:rsid w:val="003D38BE"/>
    <w:rsid w:val="003D39A8"/>
    <w:rsid w:val="003D44C3"/>
    <w:rsid w:val="003D4925"/>
    <w:rsid w:val="003D4DAD"/>
    <w:rsid w:val="003D4EA7"/>
    <w:rsid w:val="003D55EE"/>
    <w:rsid w:val="003D5A31"/>
    <w:rsid w:val="003D638D"/>
    <w:rsid w:val="003D63D9"/>
    <w:rsid w:val="003D69CE"/>
    <w:rsid w:val="003D6AC7"/>
    <w:rsid w:val="003D6B4F"/>
    <w:rsid w:val="003D7560"/>
    <w:rsid w:val="003D7618"/>
    <w:rsid w:val="003D7DB0"/>
    <w:rsid w:val="003D7FFE"/>
    <w:rsid w:val="003E0D90"/>
    <w:rsid w:val="003E12DC"/>
    <w:rsid w:val="003E1478"/>
    <w:rsid w:val="003E20FF"/>
    <w:rsid w:val="003E2985"/>
    <w:rsid w:val="003E4335"/>
    <w:rsid w:val="003E46B0"/>
    <w:rsid w:val="003E5102"/>
    <w:rsid w:val="003E5C26"/>
    <w:rsid w:val="003E6BC2"/>
    <w:rsid w:val="003E78CD"/>
    <w:rsid w:val="003E7B16"/>
    <w:rsid w:val="003E7D5B"/>
    <w:rsid w:val="003E7E1C"/>
    <w:rsid w:val="003E7F5C"/>
    <w:rsid w:val="003F065F"/>
    <w:rsid w:val="003F102F"/>
    <w:rsid w:val="003F159D"/>
    <w:rsid w:val="003F19FF"/>
    <w:rsid w:val="003F328A"/>
    <w:rsid w:val="003F33AF"/>
    <w:rsid w:val="003F4479"/>
    <w:rsid w:val="003F60D1"/>
    <w:rsid w:val="003F6B1E"/>
    <w:rsid w:val="003F6B5B"/>
    <w:rsid w:val="003F7651"/>
    <w:rsid w:val="004000B3"/>
    <w:rsid w:val="00400271"/>
    <w:rsid w:val="00400763"/>
    <w:rsid w:val="00400CBF"/>
    <w:rsid w:val="004014E0"/>
    <w:rsid w:val="004019E5"/>
    <w:rsid w:val="00401FF3"/>
    <w:rsid w:val="004024C6"/>
    <w:rsid w:val="0040269E"/>
    <w:rsid w:val="00403128"/>
    <w:rsid w:val="00403404"/>
    <w:rsid w:val="0040379F"/>
    <w:rsid w:val="0040384E"/>
    <w:rsid w:val="0040439A"/>
    <w:rsid w:val="00404562"/>
    <w:rsid w:val="0040475F"/>
    <w:rsid w:val="00404821"/>
    <w:rsid w:val="00405EB7"/>
    <w:rsid w:val="004075C4"/>
    <w:rsid w:val="00407AEC"/>
    <w:rsid w:val="00407E91"/>
    <w:rsid w:val="00410E75"/>
    <w:rsid w:val="0041158E"/>
    <w:rsid w:val="00413613"/>
    <w:rsid w:val="00413D72"/>
    <w:rsid w:val="00413EFB"/>
    <w:rsid w:val="00413EFC"/>
    <w:rsid w:val="004149F4"/>
    <w:rsid w:val="00414FEE"/>
    <w:rsid w:val="004153B6"/>
    <w:rsid w:val="004156BF"/>
    <w:rsid w:val="00415BCC"/>
    <w:rsid w:val="00415D8D"/>
    <w:rsid w:val="004167F5"/>
    <w:rsid w:val="00416A87"/>
    <w:rsid w:val="00416AC5"/>
    <w:rsid w:val="00417C92"/>
    <w:rsid w:val="00420427"/>
    <w:rsid w:val="00420828"/>
    <w:rsid w:val="00420ACB"/>
    <w:rsid w:val="004214F1"/>
    <w:rsid w:val="004216C0"/>
    <w:rsid w:val="004217C0"/>
    <w:rsid w:val="00422231"/>
    <w:rsid w:val="00422341"/>
    <w:rsid w:val="004227A8"/>
    <w:rsid w:val="004239E5"/>
    <w:rsid w:val="00423E48"/>
    <w:rsid w:val="00424061"/>
    <w:rsid w:val="00424493"/>
    <w:rsid w:val="00424A3D"/>
    <w:rsid w:val="00424FB0"/>
    <w:rsid w:val="00425040"/>
    <w:rsid w:val="00425168"/>
    <w:rsid w:val="004255C3"/>
    <w:rsid w:val="0042564D"/>
    <w:rsid w:val="004300E9"/>
    <w:rsid w:val="00430113"/>
    <w:rsid w:val="0043070D"/>
    <w:rsid w:val="00430CB3"/>
    <w:rsid w:val="004310DC"/>
    <w:rsid w:val="00431671"/>
    <w:rsid w:val="00431AC4"/>
    <w:rsid w:val="00431CBA"/>
    <w:rsid w:val="0043225C"/>
    <w:rsid w:val="004325E0"/>
    <w:rsid w:val="004335AE"/>
    <w:rsid w:val="00433BC4"/>
    <w:rsid w:val="00434886"/>
    <w:rsid w:val="0043596F"/>
    <w:rsid w:val="00435D7C"/>
    <w:rsid w:val="004372A5"/>
    <w:rsid w:val="004376DA"/>
    <w:rsid w:val="00437AD8"/>
    <w:rsid w:val="00437B98"/>
    <w:rsid w:val="004408A3"/>
    <w:rsid w:val="0044092B"/>
    <w:rsid w:val="00440934"/>
    <w:rsid w:val="00441D4B"/>
    <w:rsid w:val="00441DC6"/>
    <w:rsid w:val="0044213E"/>
    <w:rsid w:val="00442363"/>
    <w:rsid w:val="0044236A"/>
    <w:rsid w:val="00443496"/>
    <w:rsid w:val="004436AC"/>
    <w:rsid w:val="00443DB7"/>
    <w:rsid w:val="00443DC6"/>
    <w:rsid w:val="004441AB"/>
    <w:rsid w:val="00444B5F"/>
    <w:rsid w:val="004450C5"/>
    <w:rsid w:val="004456B5"/>
    <w:rsid w:val="00445763"/>
    <w:rsid w:val="004457C5"/>
    <w:rsid w:val="004460C6"/>
    <w:rsid w:val="00446794"/>
    <w:rsid w:val="0044695C"/>
    <w:rsid w:val="00446A69"/>
    <w:rsid w:val="00446C50"/>
    <w:rsid w:val="004470F1"/>
    <w:rsid w:val="004502FD"/>
    <w:rsid w:val="00450D27"/>
    <w:rsid w:val="00451693"/>
    <w:rsid w:val="004516B6"/>
    <w:rsid w:val="00452634"/>
    <w:rsid w:val="00453279"/>
    <w:rsid w:val="00453732"/>
    <w:rsid w:val="00453A56"/>
    <w:rsid w:val="00453B50"/>
    <w:rsid w:val="004553A3"/>
    <w:rsid w:val="00455D01"/>
    <w:rsid w:val="00455D2B"/>
    <w:rsid w:val="0045679E"/>
    <w:rsid w:val="00456EBB"/>
    <w:rsid w:val="00457428"/>
    <w:rsid w:val="00457852"/>
    <w:rsid w:val="00457FCF"/>
    <w:rsid w:val="00461036"/>
    <w:rsid w:val="004613E5"/>
    <w:rsid w:val="00462025"/>
    <w:rsid w:val="00462044"/>
    <w:rsid w:val="004620CF"/>
    <w:rsid w:val="00462688"/>
    <w:rsid w:val="004626E9"/>
    <w:rsid w:val="00462C3A"/>
    <w:rsid w:val="004632C2"/>
    <w:rsid w:val="00463495"/>
    <w:rsid w:val="00464606"/>
    <w:rsid w:val="004647B0"/>
    <w:rsid w:val="00464883"/>
    <w:rsid w:val="00464F19"/>
    <w:rsid w:val="00464F9D"/>
    <w:rsid w:val="004657FF"/>
    <w:rsid w:val="00465E8D"/>
    <w:rsid w:val="00466607"/>
    <w:rsid w:val="0046681F"/>
    <w:rsid w:val="00466C40"/>
    <w:rsid w:val="00466F33"/>
    <w:rsid w:val="004676A2"/>
    <w:rsid w:val="0047006A"/>
    <w:rsid w:val="004702A7"/>
    <w:rsid w:val="004704E2"/>
    <w:rsid w:val="004705F0"/>
    <w:rsid w:val="00471150"/>
    <w:rsid w:val="0047152A"/>
    <w:rsid w:val="00471594"/>
    <w:rsid w:val="00471D80"/>
    <w:rsid w:val="00472854"/>
    <w:rsid w:val="004728F6"/>
    <w:rsid w:val="00473414"/>
    <w:rsid w:val="00473530"/>
    <w:rsid w:val="0047357C"/>
    <w:rsid w:val="00473D8A"/>
    <w:rsid w:val="0047418B"/>
    <w:rsid w:val="00474216"/>
    <w:rsid w:val="0047440D"/>
    <w:rsid w:val="00474B10"/>
    <w:rsid w:val="00474B57"/>
    <w:rsid w:val="00474B60"/>
    <w:rsid w:val="00474D7A"/>
    <w:rsid w:val="00475529"/>
    <w:rsid w:val="00475558"/>
    <w:rsid w:val="004759A4"/>
    <w:rsid w:val="00476DC1"/>
    <w:rsid w:val="004775A8"/>
    <w:rsid w:val="00480492"/>
    <w:rsid w:val="00480522"/>
    <w:rsid w:val="00480790"/>
    <w:rsid w:val="00480808"/>
    <w:rsid w:val="004809C8"/>
    <w:rsid w:val="004811AD"/>
    <w:rsid w:val="004812AC"/>
    <w:rsid w:val="00481E77"/>
    <w:rsid w:val="00483DA7"/>
    <w:rsid w:val="004847C6"/>
    <w:rsid w:val="00484826"/>
    <w:rsid w:val="00484D34"/>
    <w:rsid w:val="00484D3F"/>
    <w:rsid w:val="00486405"/>
    <w:rsid w:val="00486656"/>
    <w:rsid w:val="00487FA5"/>
    <w:rsid w:val="00490A4A"/>
    <w:rsid w:val="00491165"/>
    <w:rsid w:val="00491187"/>
    <w:rsid w:val="00491390"/>
    <w:rsid w:val="004914AF"/>
    <w:rsid w:val="0049167C"/>
    <w:rsid w:val="00491830"/>
    <w:rsid w:val="004919B5"/>
    <w:rsid w:val="00491EDB"/>
    <w:rsid w:val="004926D8"/>
    <w:rsid w:val="004927BE"/>
    <w:rsid w:val="0049320C"/>
    <w:rsid w:val="0049337B"/>
    <w:rsid w:val="00493453"/>
    <w:rsid w:val="0049386A"/>
    <w:rsid w:val="004945D3"/>
    <w:rsid w:val="00494A0A"/>
    <w:rsid w:val="00495287"/>
    <w:rsid w:val="004952BB"/>
    <w:rsid w:val="004956B9"/>
    <w:rsid w:val="00495EF7"/>
    <w:rsid w:val="00496BD3"/>
    <w:rsid w:val="00497130"/>
    <w:rsid w:val="004972E7"/>
    <w:rsid w:val="004973E5"/>
    <w:rsid w:val="00497827"/>
    <w:rsid w:val="00497AAF"/>
    <w:rsid w:val="004A0C38"/>
    <w:rsid w:val="004A1625"/>
    <w:rsid w:val="004A172A"/>
    <w:rsid w:val="004A183C"/>
    <w:rsid w:val="004A3202"/>
    <w:rsid w:val="004A3287"/>
    <w:rsid w:val="004A3E0F"/>
    <w:rsid w:val="004A4F54"/>
    <w:rsid w:val="004A68EC"/>
    <w:rsid w:val="004A7C9F"/>
    <w:rsid w:val="004A7DB3"/>
    <w:rsid w:val="004B01EC"/>
    <w:rsid w:val="004B0BD6"/>
    <w:rsid w:val="004B1C62"/>
    <w:rsid w:val="004B1E6E"/>
    <w:rsid w:val="004B2045"/>
    <w:rsid w:val="004B3A2E"/>
    <w:rsid w:val="004B3E17"/>
    <w:rsid w:val="004B4775"/>
    <w:rsid w:val="004B4C99"/>
    <w:rsid w:val="004B4F31"/>
    <w:rsid w:val="004B51BC"/>
    <w:rsid w:val="004B5E9B"/>
    <w:rsid w:val="004B5F56"/>
    <w:rsid w:val="004B647A"/>
    <w:rsid w:val="004B69B2"/>
    <w:rsid w:val="004B7FBA"/>
    <w:rsid w:val="004C02F9"/>
    <w:rsid w:val="004C0325"/>
    <w:rsid w:val="004C0ABB"/>
    <w:rsid w:val="004C0AE4"/>
    <w:rsid w:val="004C0F77"/>
    <w:rsid w:val="004C1568"/>
    <w:rsid w:val="004C1C8D"/>
    <w:rsid w:val="004C1EB3"/>
    <w:rsid w:val="004C2A98"/>
    <w:rsid w:val="004C2AD5"/>
    <w:rsid w:val="004C2EA9"/>
    <w:rsid w:val="004C340A"/>
    <w:rsid w:val="004C3457"/>
    <w:rsid w:val="004C374D"/>
    <w:rsid w:val="004C3D18"/>
    <w:rsid w:val="004C4190"/>
    <w:rsid w:val="004C51DA"/>
    <w:rsid w:val="004C54BD"/>
    <w:rsid w:val="004C5B9B"/>
    <w:rsid w:val="004C6976"/>
    <w:rsid w:val="004C7829"/>
    <w:rsid w:val="004C7A5A"/>
    <w:rsid w:val="004C7C7B"/>
    <w:rsid w:val="004D0167"/>
    <w:rsid w:val="004D0ADE"/>
    <w:rsid w:val="004D104A"/>
    <w:rsid w:val="004D1C00"/>
    <w:rsid w:val="004D1C62"/>
    <w:rsid w:val="004D1D20"/>
    <w:rsid w:val="004D21EF"/>
    <w:rsid w:val="004D2347"/>
    <w:rsid w:val="004D2984"/>
    <w:rsid w:val="004D2E2C"/>
    <w:rsid w:val="004D2F04"/>
    <w:rsid w:val="004D37DE"/>
    <w:rsid w:val="004D37EC"/>
    <w:rsid w:val="004D3F57"/>
    <w:rsid w:val="004D49DD"/>
    <w:rsid w:val="004D4A9C"/>
    <w:rsid w:val="004D5289"/>
    <w:rsid w:val="004D6B63"/>
    <w:rsid w:val="004D7B80"/>
    <w:rsid w:val="004D7D7C"/>
    <w:rsid w:val="004E0AB2"/>
    <w:rsid w:val="004E0CBC"/>
    <w:rsid w:val="004E0FB2"/>
    <w:rsid w:val="004E1795"/>
    <w:rsid w:val="004E1FC4"/>
    <w:rsid w:val="004E230B"/>
    <w:rsid w:val="004E2B99"/>
    <w:rsid w:val="004E404D"/>
    <w:rsid w:val="004E43F3"/>
    <w:rsid w:val="004E44AF"/>
    <w:rsid w:val="004E4E79"/>
    <w:rsid w:val="004E51CE"/>
    <w:rsid w:val="004E53D9"/>
    <w:rsid w:val="004E57A7"/>
    <w:rsid w:val="004E5C93"/>
    <w:rsid w:val="004E6680"/>
    <w:rsid w:val="004E7282"/>
    <w:rsid w:val="004E742A"/>
    <w:rsid w:val="004E74CE"/>
    <w:rsid w:val="004E7698"/>
    <w:rsid w:val="004F09DF"/>
    <w:rsid w:val="004F0A37"/>
    <w:rsid w:val="004F139E"/>
    <w:rsid w:val="004F22BE"/>
    <w:rsid w:val="004F269D"/>
    <w:rsid w:val="004F37DB"/>
    <w:rsid w:val="004F4A4B"/>
    <w:rsid w:val="004F4C9E"/>
    <w:rsid w:val="004F4CA0"/>
    <w:rsid w:val="004F4CF1"/>
    <w:rsid w:val="004F4F43"/>
    <w:rsid w:val="004F569A"/>
    <w:rsid w:val="004F5E97"/>
    <w:rsid w:val="004F61D1"/>
    <w:rsid w:val="004F7DBA"/>
    <w:rsid w:val="005010B3"/>
    <w:rsid w:val="005012CF"/>
    <w:rsid w:val="005013EA"/>
    <w:rsid w:val="00501866"/>
    <w:rsid w:val="0050221F"/>
    <w:rsid w:val="005028FF"/>
    <w:rsid w:val="005038E3"/>
    <w:rsid w:val="00503CC1"/>
    <w:rsid w:val="00504440"/>
    <w:rsid w:val="005044A0"/>
    <w:rsid w:val="005049EA"/>
    <w:rsid w:val="0050553F"/>
    <w:rsid w:val="00505C19"/>
    <w:rsid w:val="005061A5"/>
    <w:rsid w:val="00506C53"/>
    <w:rsid w:val="00506F68"/>
    <w:rsid w:val="005070B6"/>
    <w:rsid w:val="00507BD4"/>
    <w:rsid w:val="00510148"/>
    <w:rsid w:val="00510BEC"/>
    <w:rsid w:val="00510FD0"/>
    <w:rsid w:val="0051134C"/>
    <w:rsid w:val="00511A6C"/>
    <w:rsid w:val="00511BED"/>
    <w:rsid w:val="00512C80"/>
    <w:rsid w:val="00513003"/>
    <w:rsid w:val="00513439"/>
    <w:rsid w:val="00513791"/>
    <w:rsid w:val="005137B9"/>
    <w:rsid w:val="00514791"/>
    <w:rsid w:val="00515032"/>
    <w:rsid w:val="005150D8"/>
    <w:rsid w:val="005151F3"/>
    <w:rsid w:val="00515C2B"/>
    <w:rsid w:val="00516671"/>
    <w:rsid w:val="0051688A"/>
    <w:rsid w:val="005169B9"/>
    <w:rsid w:val="00516AC9"/>
    <w:rsid w:val="00517218"/>
    <w:rsid w:val="0051751A"/>
    <w:rsid w:val="005176FA"/>
    <w:rsid w:val="005209BD"/>
    <w:rsid w:val="00520F86"/>
    <w:rsid w:val="005214D0"/>
    <w:rsid w:val="0052254A"/>
    <w:rsid w:val="005231B8"/>
    <w:rsid w:val="005233A7"/>
    <w:rsid w:val="0052343D"/>
    <w:rsid w:val="00523AD5"/>
    <w:rsid w:val="00523E7D"/>
    <w:rsid w:val="00524240"/>
    <w:rsid w:val="00524348"/>
    <w:rsid w:val="005245AB"/>
    <w:rsid w:val="0052498C"/>
    <w:rsid w:val="00525258"/>
    <w:rsid w:val="005253E0"/>
    <w:rsid w:val="00526314"/>
    <w:rsid w:val="00526649"/>
    <w:rsid w:val="005268B1"/>
    <w:rsid w:val="00526A4A"/>
    <w:rsid w:val="00527250"/>
    <w:rsid w:val="005307BA"/>
    <w:rsid w:val="00531961"/>
    <w:rsid w:val="00531ACB"/>
    <w:rsid w:val="005324C5"/>
    <w:rsid w:val="00532664"/>
    <w:rsid w:val="005327A6"/>
    <w:rsid w:val="005329AD"/>
    <w:rsid w:val="00532B5F"/>
    <w:rsid w:val="00533AF5"/>
    <w:rsid w:val="00534338"/>
    <w:rsid w:val="0053513B"/>
    <w:rsid w:val="00535310"/>
    <w:rsid w:val="00535CF8"/>
    <w:rsid w:val="0053602E"/>
    <w:rsid w:val="00536451"/>
    <w:rsid w:val="005369B1"/>
    <w:rsid w:val="00536C1A"/>
    <w:rsid w:val="005370B2"/>
    <w:rsid w:val="00537465"/>
    <w:rsid w:val="005379D8"/>
    <w:rsid w:val="00540C33"/>
    <w:rsid w:val="00541763"/>
    <w:rsid w:val="00541BD2"/>
    <w:rsid w:val="00541E41"/>
    <w:rsid w:val="0054300B"/>
    <w:rsid w:val="00543459"/>
    <w:rsid w:val="005434B1"/>
    <w:rsid w:val="005452EF"/>
    <w:rsid w:val="005458BD"/>
    <w:rsid w:val="005463D2"/>
    <w:rsid w:val="00546665"/>
    <w:rsid w:val="00546DDD"/>
    <w:rsid w:val="0054763A"/>
    <w:rsid w:val="00547AC5"/>
    <w:rsid w:val="005503A8"/>
    <w:rsid w:val="00550B89"/>
    <w:rsid w:val="00551AD5"/>
    <w:rsid w:val="005524E8"/>
    <w:rsid w:val="00552E1C"/>
    <w:rsid w:val="005531BB"/>
    <w:rsid w:val="00553AF9"/>
    <w:rsid w:val="00553C0F"/>
    <w:rsid w:val="0055436D"/>
    <w:rsid w:val="005555A3"/>
    <w:rsid w:val="005555CD"/>
    <w:rsid w:val="0055565D"/>
    <w:rsid w:val="0055573C"/>
    <w:rsid w:val="0055576C"/>
    <w:rsid w:val="00555AEA"/>
    <w:rsid w:val="0056004D"/>
    <w:rsid w:val="005600A1"/>
    <w:rsid w:val="00560403"/>
    <w:rsid w:val="0056080B"/>
    <w:rsid w:val="0056112B"/>
    <w:rsid w:val="00561228"/>
    <w:rsid w:val="00561424"/>
    <w:rsid w:val="0056142B"/>
    <w:rsid w:val="00561F30"/>
    <w:rsid w:val="00562374"/>
    <w:rsid w:val="0056294F"/>
    <w:rsid w:val="0056327C"/>
    <w:rsid w:val="005636ED"/>
    <w:rsid w:val="00563F42"/>
    <w:rsid w:val="00564958"/>
    <w:rsid w:val="00564BD1"/>
    <w:rsid w:val="00564C1E"/>
    <w:rsid w:val="00565251"/>
    <w:rsid w:val="00565482"/>
    <w:rsid w:val="0056609C"/>
    <w:rsid w:val="00566851"/>
    <w:rsid w:val="00566F2C"/>
    <w:rsid w:val="005672EC"/>
    <w:rsid w:val="005704F2"/>
    <w:rsid w:val="00571172"/>
    <w:rsid w:val="0057142E"/>
    <w:rsid w:val="00572CEB"/>
    <w:rsid w:val="00573346"/>
    <w:rsid w:val="005737C2"/>
    <w:rsid w:val="00573D3A"/>
    <w:rsid w:val="00574373"/>
    <w:rsid w:val="005746E2"/>
    <w:rsid w:val="005749AB"/>
    <w:rsid w:val="00574D94"/>
    <w:rsid w:val="00574F35"/>
    <w:rsid w:val="00575155"/>
    <w:rsid w:val="00575B58"/>
    <w:rsid w:val="0057612C"/>
    <w:rsid w:val="005762A2"/>
    <w:rsid w:val="00576765"/>
    <w:rsid w:val="00577B28"/>
    <w:rsid w:val="0058019D"/>
    <w:rsid w:val="00580631"/>
    <w:rsid w:val="00581413"/>
    <w:rsid w:val="00581487"/>
    <w:rsid w:val="00581935"/>
    <w:rsid w:val="005822DE"/>
    <w:rsid w:val="005823C1"/>
    <w:rsid w:val="00583346"/>
    <w:rsid w:val="00583BF1"/>
    <w:rsid w:val="0058418C"/>
    <w:rsid w:val="0058443B"/>
    <w:rsid w:val="005849CF"/>
    <w:rsid w:val="005852FD"/>
    <w:rsid w:val="00585470"/>
    <w:rsid w:val="00585C2C"/>
    <w:rsid w:val="00585CC3"/>
    <w:rsid w:val="0058635B"/>
    <w:rsid w:val="00586CD3"/>
    <w:rsid w:val="00586F03"/>
    <w:rsid w:val="005875A7"/>
    <w:rsid w:val="0058770E"/>
    <w:rsid w:val="00587E4C"/>
    <w:rsid w:val="00587ED4"/>
    <w:rsid w:val="00592763"/>
    <w:rsid w:val="005928C3"/>
    <w:rsid w:val="00593421"/>
    <w:rsid w:val="00593C37"/>
    <w:rsid w:val="00593CF9"/>
    <w:rsid w:val="00594193"/>
    <w:rsid w:val="005947F3"/>
    <w:rsid w:val="00594833"/>
    <w:rsid w:val="00594A77"/>
    <w:rsid w:val="00594E8F"/>
    <w:rsid w:val="00595669"/>
    <w:rsid w:val="00595F06"/>
    <w:rsid w:val="00596246"/>
    <w:rsid w:val="0059679A"/>
    <w:rsid w:val="00597129"/>
    <w:rsid w:val="00597782"/>
    <w:rsid w:val="00597D36"/>
    <w:rsid w:val="005A01DB"/>
    <w:rsid w:val="005A071D"/>
    <w:rsid w:val="005A091E"/>
    <w:rsid w:val="005A14E7"/>
    <w:rsid w:val="005A197F"/>
    <w:rsid w:val="005A20CF"/>
    <w:rsid w:val="005A25B5"/>
    <w:rsid w:val="005A3499"/>
    <w:rsid w:val="005A47AB"/>
    <w:rsid w:val="005A5C0E"/>
    <w:rsid w:val="005A5D3D"/>
    <w:rsid w:val="005A618C"/>
    <w:rsid w:val="005A6623"/>
    <w:rsid w:val="005A6910"/>
    <w:rsid w:val="005A6CA2"/>
    <w:rsid w:val="005A6E1D"/>
    <w:rsid w:val="005A6EB8"/>
    <w:rsid w:val="005A77CB"/>
    <w:rsid w:val="005A7A49"/>
    <w:rsid w:val="005B08E5"/>
    <w:rsid w:val="005B0F7D"/>
    <w:rsid w:val="005B1DBB"/>
    <w:rsid w:val="005B1EC5"/>
    <w:rsid w:val="005B2064"/>
    <w:rsid w:val="005B3524"/>
    <w:rsid w:val="005B3529"/>
    <w:rsid w:val="005B4DD1"/>
    <w:rsid w:val="005B5D30"/>
    <w:rsid w:val="005B5FF9"/>
    <w:rsid w:val="005B65FF"/>
    <w:rsid w:val="005B6DD2"/>
    <w:rsid w:val="005C0029"/>
    <w:rsid w:val="005C07A4"/>
    <w:rsid w:val="005C0BEF"/>
    <w:rsid w:val="005C1086"/>
    <w:rsid w:val="005C126D"/>
    <w:rsid w:val="005C17E8"/>
    <w:rsid w:val="005C2B15"/>
    <w:rsid w:val="005C363D"/>
    <w:rsid w:val="005C44FF"/>
    <w:rsid w:val="005C4AB9"/>
    <w:rsid w:val="005C502F"/>
    <w:rsid w:val="005C55E0"/>
    <w:rsid w:val="005C575F"/>
    <w:rsid w:val="005C60A2"/>
    <w:rsid w:val="005C706D"/>
    <w:rsid w:val="005C75B2"/>
    <w:rsid w:val="005D02F4"/>
    <w:rsid w:val="005D0588"/>
    <w:rsid w:val="005D0BB2"/>
    <w:rsid w:val="005D0E87"/>
    <w:rsid w:val="005D16A4"/>
    <w:rsid w:val="005D1A87"/>
    <w:rsid w:val="005D2148"/>
    <w:rsid w:val="005D28FC"/>
    <w:rsid w:val="005D4569"/>
    <w:rsid w:val="005D4781"/>
    <w:rsid w:val="005D59E9"/>
    <w:rsid w:val="005D611B"/>
    <w:rsid w:val="005D7687"/>
    <w:rsid w:val="005D7A0C"/>
    <w:rsid w:val="005D7DFB"/>
    <w:rsid w:val="005E071B"/>
    <w:rsid w:val="005E3726"/>
    <w:rsid w:val="005E37A7"/>
    <w:rsid w:val="005E3E18"/>
    <w:rsid w:val="005E41FE"/>
    <w:rsid w:val="005E44E5"/>
    <w:rsid w:val="005E6C87"/>
    <w:rsid w:val="005E6CE8"/>
    <w:rsid w:val="005E6D1A"/>
    <w:rsid w:val="005E730E"/>
    <w:rsid w:val="005E7A98"/>
    <w:rsid w:val="005F1926"/>
    <w:rsid w:val="005F1F53"/>
    <w:rsid w:val="005F227C"/>
    <w:rsid w:val="005F23EC"/>
    <w:rsid w:val="005F2933"/>
    <w:rsid w:val="005F2BE9"/>
    <w:rsid w:val="005F3EA9"/>
    <w:rsid w:val="005F4666"/>
    <w:rsid w:val="005F4B3F"/>
    <w:rsid w:val="005F5BCA"/>
    <w:rsid w:val="005F5E72"/>
    <w:rsid w:val="005F5F6C"/>
    <w:rsid w:val="005F6387"/>
    <w:rsid w:val="005F7852"/>
    <w:rsid w:val="005F7F21"/>
    <w:rsid w:val="00600531"/>
    <w:rsid w:val="00600C76"/>
    <w:rsid w:val="00600D00"/>
    <w:rsid w:val="00600ED0"/>
    <w:rsid w:val="0060110D"/>
    <w:rsid w:val="00601158"/>
    <w:rsid w:val="00601A30"/>
    <w:rsid w:val="0060287B"/>
    <w:rsid w:val="00602F09"/>
    <w:rsid w:val="00602F71"/>
    <w:rsid w:val="006032B7"/>
    <w:rsid w:val="00603C5F"/>
    <w:rsid w:val="00604018"/>
    <w:rsid w:val="006046AA"/>
    <w:rsid w:val="006048C2"/>
    <w:rsid w:val="00604F69"/>
    <w:rsid w:val="006053BA"/>
    <w:rsid w:val="00606062"/>
    <w:rsid w:val="00606892"/>
    <w:rsid w:val="00606E32"/>
    <w:rsid w:val="006070F9"/>
    <w:rsid w:val="00607A06"/>
    <w:rsid w:val="00607FB9"/>
    <w:rsid w:val="006105B9"/>
    <w:rsid w:val="006107DB"/>
    <w:rsid w:val="00610BB4"/>
    <w:rsid w:val="00611B76"/>
    <w:rsid w:val="00611CD5"/>
    <w:rsid w:val="00611D93"/>
    <w:rsid w:val="006127EA"/>
    <w:rsid w:val="00612E79"/>
    <w:rsid w:val="00614DDC"/>
    <w:rsid w:val="00615FF6"/>
    <w:rsid w:val="00616A68"/>
    <w:rsid w:val="00616DD3"/>
    <w:rsid w:val="00617E8D"/>
    <w:rsid w:val="00617FBC"/>
    <w:rsid w:val="006203F6"/>
    <w:rsid w:val="00620436"/>
    <w:rsid w:val="00621430"/>
    <w:rsid w:val="00621C47"/>
    <w:rsid w:val="00621F29"/>
    <w:rsid w:val="00622EE3"/>
    <w:rsid w:val="00623062"/>
    <w:rsid w:val="0062377D"/>
    <w:rsid w:val="006238FE"/>
    <w:rsid w:val="0062458B"/>
    <w:rsid w:val="0062499A"/>
    <w:rsid w:val="006256C8"/>
    <w:rsid w:val="00626667"/>
    <w:rsid w:val="00626719"/>
    <w:rsid w:val="00626AF1"/>
    <w:rsid w:val="00626D07"/>
    <w:rsid w:val="00626FCE"/>
    <w:rsid w:val="0062797A"/>
    <w:rsid w:val="006307CE"/>
    <w:rsid w:val="0063202E"/>
    <w:rsid w:val="0063210E"/>
    <w:rsid w:val="006328E7"/>
    <w:rsid w:val="00632F86"/>
    <w:rsid w:val="00633504"/>
    <w:rsid w:val="00634ED9"/>
    <w:rsid w:val="00636821"/>
    <w:rsid w:val="00636AAD"/>
    <w:rsid w:val="00636F68"/>
    <w:rsid w:val="0063791A"/>
    <w:rsid w:val="00637BA5"/>
    <w:rsid w:val="00640836"/>
    <w:rsid w:val="00642707"/>
    <w:rsid w:val="00643166"/>
    <w:rsid w:val="006431E7"/>
    <w:rsid w:val="00643F4F"/>
    <w:rsid w:val="0064431D"/>
    <w:rsid w:val="006448A1"/>
    <w:rsid w:val="00645E70"/>
    <w:rsid w:val="00645EED"/>
    <w:rsid w:val="006465B5"/>
    <w:rsid w:val="00646703"/>
    <w:rsid w:val="006476E2"/>
    <w:rsid w:val="006510E0"/>
    <w:rsid w:val="006511F8"/>
    <w:rsid w:val="00651427"/>
    <w:rsid w:val="0065208E"/>
    <w:rsid w:val="0065212C"/>
    <w:rsid w:val="0065299C"/>
    <w:rsid w:val="00652E01"/>
    <w:rsid w:val="006546AB"/>
    <w:rsid w:val="006552D5"/>
    <w:rsid w:val="00656842"/>
    <w:rsid w:val="00661516"/>
    <w:rsid w:val="00661D34"/>
    <w:rsid w:val="00661E40"/>
    <w:rsid w:val="00661FB3"/>
    <w:rsid w:val="00661FFD"/>
    <w:rsid w:val="006620C3"/>
    <w:rsid w:val="00662FE1"/>
    <w:rsid w:val="006637DE"/>
    <w:rsid w:val="00664831"/>
    <w:rsid w:val="00664DA9"/>
    <w:rsid w:val="0066517E"/>
    <w:rsid w:val="00665753"/>
    <w:rsid w:val="006657EA"/>
    <w:rsid w:val="006659B3"/>
    <w:rsid w:val="006659E6"/>
    <w:rsid w:val="0066613C"/>
    <w:rsid w:val="0066702F"/>
    <w:rsid w:val="0066706C"/>
    <w:rsid w:val="00670328"/>
    <w:rsid w:val="00670CE9"/>
    <w:rsid w:val="00670D1A"/>
    <w:rsid w:val="00671423"/>
    <w:rsid w:val="0067153A"/>
    <w:rsid w:val="0067173A"/>
    <w:rsid w:val="00671EB1"/>
    <w:rsid w:val="006724C0"/>
    <w:rsid w:val="00672532"/>
    <w:rsid w:val="0067329E"/>
    <w:rsid w:val="006734DB"/>
    <w:rsid w:val="006741AC"/>
    <w:rsid w:val="0067453B"/>
    <w:rsid w:val="006745FC"/>
    <w:rsid w:val="006761C0"/>
    <w:rsid w:val="00676A64"/>
    <w:rsid w:val="00676EA1"/>
    <w:rsid w:val="00680352"/>
    <w:rsid w:val="006803AE"/>
    <w:rsid w:val="00680695"/>
    <w:rsid w:val="00680BA6"/>
    <w:rsid w:val="00680BF1"/>
    <w:rsid w:val="00680CDB"/>
    <w:rsid w:val="0068132E"/>
    <w:rsid w:val="00682C75"/>
    <w:rsid w:val="00683198"/>
    <w:rsid w:val="00683244"/>
    <w:rsid w:val="00683F25"/>
    <w:rsid w:val="00683FF1"/>
    <w:rsid w:val="006844C4"/>
    <w:rsid w:val="006844DA"/>
    <w:rsid w:val="00684BAA"/>
    <w:rsid w:val="00684DAE"/>
    <w:rsid w:val="006850FF"/>
    <w:rsid w:val="00685E44"/>
    <w:rsid w:val="0068665A"/>
    <w:rsid w:val="0068672B"/>
    <w:rsid w:val="00687F81"/>
    <w:rsid w:val="00690C8B"/>
    <w:rsid w:val="0069116D"/>
    <w:rsid w:val="006920F2"/>
    <w:rsid w:val="006923B4"/>
    <w:rsid w:val="006926A7"/>
    <w:rsid w:val="006928D6"/>
    <w:rsid w:val="00692A5A"/>
    <w:rsid w:val="006934F2"/>
    <w:rsid w:val="00694147"/>
    <w:rsid w:val="006963D2"/>
    <w:rsid w:val="006964A3"/>
    <w:rsid w:val="00696C84"/>
    <w:rsid w:val="00696DB7"/>
    <w:rsid w:val="00697315"/>
    <w:rsid w:val="006977E3"/>
    <w:rsid w:val="00697F98"/>
    <w:rsid w:val="006A00FE"/>
    <w:rsid w:val="006A08CA"/>
    <w:rsid w:val="006A0D56"/>
    <w:rsid w:val="006A1962"/>
    <w:rsid w:val="006A26E7"/>
    <w:rsid w:val="006A2B5E"/>
    <w:rsid w:val="006A2B83"/>
    <w:rsid w:val="006A30AD"/>
    <w:rsid w:val="006A319E"/>
    <w:rsid w:val="006A46FB"/>
    <w:rsid w:val="006A47A7"/>
    <w:rsid w:val="006A4844"/>
    <w:rsid w:val="006A5985"/>
    <w:rsid w:val="006A61C9"/>
    <w:rsid w:val="006A686B"/>
    <w:rsid w:val="006A690D"/>
    <w:rsid w:val="006A6E75"/>
    <w:rsid w:val="006A6FC8"/>
    <w:rsid w:val="006A7EC7"/>
    <w:rsid w:val="006B1431"/>
    <w:rsid w:val="006B174A"/>
    <w:rsid w:val="006B2040"/>
    <w:rsid w:val="006B2E0B"/>
    <w:rsid w:val="006B3539"/>
    <w:rsid w:val="006B3F93"/>
    <w:rsid w:val="006B429E"/>
    <w:rsid w:val="006B4398"/>
    <w:rsid w:val="006B4903"/>
    <w:rsid w:val="006B4A6F"/>
    <w:rsid w:val="006B4A75"/>
    <w:rsid w:val="006B4CA9"/>
    <w:rsid w:val="006B4D35"/>
    <w:rsid w:val="006B5756"/>
    <w:rsid w:val="006B5CEF"/>
    <w:rsid w:val="006B6163"/>
    <w:rsid w:val="006B636B"/>
    <w:rsid w:val="006B6399"/>
    <w:rsid w:val="006B6F52"/>
    <w:rsid w:val="006B7FA3"/>
    <w:rsid w:val="006C00E2"/>
    <w:rsid w:val="006C02B8"/>
    <w:rsid w:val="006C0840"/>
    <w:rsid w:val="006C0F25"/>
    <w:rsid w:val="006C21C1"/>
    <w:rsid w:val="006C2A84"/>
    <w:rsid w:val="006C2F8C"/>
    <w:rsid w:val="006C3E11"/>
    <w:rsid w:val="006C3FF2"/>
    <w:rsid w:val="006C43E2"/>
    <w:rsid w:val="006C47A0"/>
    <w:rsid w:val="006C49ED"/>
    <w:rsid w:val="006C5A66"/>
    <w:rsid w:val="006C5C1C"/>
    <w:rsid w:val="006C5DF7"/>
    <w:rsid w:val="006C6114"/>
    <w:rsid w:val="006C65A8"/>
    <w:rsid w:val="006C6D6A"/>
    <w:rsid w:val="006C6F8D"/>
    <w:rsid w:val="006C70D4"/>
    <w:rsid w:val="006C7B1C"/>
    <w:rsid w:val="006C7C14"/>
    <w:rsid w:val="006C7F40"/>
    <w:rsid w:val="006D03B0"/>
    <w:rsid w:val="006D03B3"/>
    <w:rsid w:val="006D0B14"/>
    <w:rsid w:val="006D0C32"/>
    <w:rsid w:val="006D13CB"/>
    <w:rsid w:val="006D1D9D"/>
    <w:rsid w:val="006D2316"/>
    <w:rsid w:val="006D2871"/>
    <w:rsid w:val="006D2AA4"/>
    <w:rsid w:val="006D2AB7"/>
    <w:rsid w:val="006D2D86"/>
    <w:rsid w:val="006D3B83"/>
    <w:rsid w:val="006D3DA4"/>
    <w:rsid w:val="006D3FCD"/>
    <w:rsid w:val="006D45CE"/>
    <w:rsid w:val="006D4737"/>
    <w:rsid w:val="006D490F"/>
    <w:rsid w:val="006D55C2"/>
    <w:rsid w:val="006D6A94"/>
    <w:rsid w:val="006D6DBA"/>
    <w:rsid w:val="006D7522"/>
    <w:rsid w:val="006D7F3A"/>
    <w:rsid w:val="006E1019"/>
    <w:rsid w:val="006E11FC"/>
    <w:rsid w:val="006E1242"/>
    <w:rsid w:val="006E1544"/>
    <w:rsid w:val="006E2646"/>
    <w:rsid w:val="006E2DCA"/>
    <w:rsid w:val="006E31B6"/>
    <w:rsid w:val="006E320D"/>
    <w:rsid w:val="006E40D1"/>
    <w:rsid w:val="006E4AFE"/>
    <w:rsid w:val="006E4D4A"/>
    <w:rsid w:val="006E50A3"/>
    <w:rsid w:val="006E5806"/>
    <w:rsid w:val="006E6402"/>
    <w:rsid w:val="006E764C"/>
    <w:rsid w:val="006E76D3"/>
    <w:rsid w:val="006F1649"/>
    <w:rsid w:val="006F17ED"/>
    <w:rsid w:val="006F1D0E"/>
    <w:rsid w:val="006F251F"/>
    <w:rsid w:val="006F2609"/>
    <w:rsid w:val="006F3264"/>
    <w:rsid w:val="006F3906"/>
    <w:rsid w:val="006F393B"/>
    <w:rsid w:val="006F394E"/>
    <w:rsid w:val="006F3D8C"/>
    <w:rsid w:val="006F42E3"/>
    <w:rsid w:val="006F4821"/>
    <w:rsid w:val="006F615F"/>
    <w:rsid w:val="006F626F"/>
    <w:rsid w:val="006F686B"/>
    <w:rsid w:val="006F71B1"/>
    <w:rsid w:val="006F7427"/>
    <w:rsid w:val="006F79EF"/>
    <w:rsid w:val="007002A0"/>
    <w:rsid w:val="00700846"/>
    <w:rsid w:val="007010E8"/>
    <w:rsid w:val="007014DF"/>
    <w:rsid w:val="00701518"/>
    <w:rsid w:val="007018D3"/>
    <w:rsid w:val="007023B7"/>
    <w:rsid w:val="00703092"/>
    <w:rsid w:val="00703301"/>
    <w:rsid w:val="00703407"/>
    <w:rsid w:val="00703508"/>
    <w:rsid w:val="007040C9"/>
    <w:rsid w:val="007043E5"/>
    <w:rsid w:val="00704C69"/>
    <w:rsid w:val="00704D6E"/>
    <w:rsid w:val="0070569B"/>
    <w:rsid w:val="0070599E"/>
    <w:rsid w:val="007059BB"/>
    <w:rsid w:val="00705F00"/>
    <w:rsid w:val="00706495"/>
    <w:rsid w:val="00707052"/>
    <w:rsid w:val="00707590"/>
    <w:rsid w:val="007104B3"/>
    <w:rsid w:val="00710BB9"/>
    <w:rsid w:val="00711243"/>
    <w:rsid w:val="007118A5"/>
    <w:rsid w:val="007118B4"/>
    <w:rsid w:val="00712504"/>
    <w:rsid w:val="007128E3"/>
    <w:rsid w:val="00712A63"/>
    <w:rsid w:val="00712B68"/>
    <w:rsid w:val="00713708"/>
    <w:rsid w:val="00713938"/>
    <w:rsid w:val="00713D68"/>
    <w:rsid w:val="00713D9F"/>
    <w:rsid w:val="007141DA"/>
    <w:rsid w:val="007143EC"/>
    <w:rsid w:val="007144DD"/>
    <w:rsid w:val="00714919"/>
    <w:rsid w:val="0071494B"/>
    <w:rsid w:val="00714A61"/>
    <w:rsid w:val="00714E4A"/>
    <w:rsid w:val="00715EDF"/>
    <w:rsid w:val="0071739A"/>
    <w:rsid w:val="007174DF"/>
    <w:rsid w:val="007178C6"/>
    <w:rsid w:val="00717E98"/>
    <w:rsid w:val="00720F6B"/>
    <w:rsid w:val="007211E8"/>
    <w:rsid w:val="007213B2"/>
    <w:rsid w:val="00721D8A"/>
    <w:rsid w:val="00721E3F"/>
    <w:rsid w:val="007221B9"/>
    <w:rsid w:val="007224DA"/>
    <w:rsid w:val="00722A75"/>
    <w:rsid w:val="00722A8A"/>
    <w:rsid w:val="00723328"/>
    <w:rsid w:val="00723B67"/>
    <w:rsid w:val="00723C41"/>
    <w:rsid w:val="00723E06"/>
    <w:rsid w:val="007260D0"/>
    <w:rsid w:val="00726A4D"/>
    <w:rsid w:val="00726A63"/>
    <w:rsid w:val="00726F35"/>
    <w:rsid w:val="007274C0"/>
    <w:rsid w:val="00727ADE"/>
    <w:rsid w:val="00727C2B"/>
    <w:rsid w:val="00730829"/>
    <w:rsid w:val="00730A3C"/>
    <w:rsid w:val="007312A6"/>
    <w:rsid w:val="00731B46"/>
    <w:rsid w:val="0073242E"/>
    <w:rsid w:val="00732795"/>
    <w:rsid w:val="00732B00"/>
    <w:rsid w:val="00732DA0"/>
    <w:rsid w:val="00733055"/>
    <w:rsid w:val="007331CA"/>
    <w:rsid w:val="00733327"/>
    <w:rsid w:val="00733B1A"/>
    <w:rsid w:val="007340FA"/>
    <w:rsid w:val="00734ACD"/>
    <w:rsid w:val="00734E3B"/>
    <w:rsid w:val="0073528E"/>
    <w:rsid w:val="007370E8"/>
    <w:rsid w:val="0073713E"/>
    <w:rsid w:val="007375D2"/>
    <w:rsid w:val="00740311"/>
    <w:rsid w:val="00740539"/>
    <w:rsid w:val="00740C01"/>
    <w:rsid w:val="00741634"/>
    <w:rsid w:val="0074183E"/>
    <w:rsid w:val="00741C23"/>
    <w:rsid w:val="00741F79"/>
    <w:rsid w:val="00741F80"/>
    <w:rsid w:val="0074258C"/>
    <w:rsid w:val="00742C64"/>
    <w:rsid w:val="00742D9A"/>
    <w:rsid w:val="00742F9B"/>
    <w:rsid w:val="00743ED0"/>
    <w:rsid w:val="0074401B"/>
    <w:rsid w:val="007447AB"/>
    <w:rsid w:val="0074481C"/>
    <w:rsid w:val="007456FC"/>
    <w:rsid w:val="00745CA3"/>
    <w:rsid w:val="007477E1"/>
    <w:rsid w:val="007477F5"/>
    <w:rsid w:val="00747B80"/>
    <w:rsid w:val="00750499"/>
    <w:rsid w:val="0075075F"/>
    <w:rsid w:val="00751F5D"/>
    <w:rsid w:val="0075216F"/>
    <w:rsid w:val="00752593"/>
    <w:rsid w:val="0075284A"/>
    <w:rsid w:val="007530E3"/>
    <w:rsid w:val="007534F3"/>
    <w:rsid w:val="0075375D"/>
    <w:rsid w:val="0075460A"/>
    <w:rsid w:val="00754F0C"/>
    <w:rsid w:val="007555DE"/>
    <w:rsid w:val="00757934"/>
    <w:rsid w:val="00757DFE"/>
    <w:rsid w:val="00757F44"/>
    <w:rsid w:val="00761864"/>
    <w:rsid w:val="0076194B"/>
    <w:rsid w:val="00761950"/>
    <w:rsid w:val="007619EB"/>
    <w:rsid w:val="00762628"/>
    <w:rsid w:val="00762855"/>
    <w:rsid w:val="00762B64"/>
    <w:rsid w:val="00763472"/>
    <w:rsid w:val="00763DD4"/>
    <w:rsid w:val="00765875"/>
    <w:rsid w:val="00765B4D"/>
    <w:rsid w:val="00765BF6"/>
    <w:rsid w:val="00765C82"/>
    <w:rsid w:val="007668FF"/>
    <w:rsid w:val="0076703D"/>
    <w:rsid w:val="0076730F"/>
    <w:rsid w:val="00767984"/>
    <w:rsid w:val="00767C53"/>
    <w:rsid w:val="0077078E"/>
    <w:rsid w:val="0077083D"/>
    <w:rsid w:val="0077200C"/>
    <w:rsid w:val="007725C3"/>
    <w:rsid w:val="00772B1E"/>
    <w:rsid w:val="00772EA9"/>
    <w:rsid w:val="007735AA"/>
    <w:rsid w:val="00773871"/>
    <w:rsid w:val="00773C02"/>
    <w:rsid w:val="00774E1E"/>
    <w:rsid w:val="0077551E"/>
    <w:rsid w:val="0077628F"/>
    <w:rsid w:val="007767D0"/>
    <w:rsid w:val="007771EB"/>
    <w:rsid w:val="007774E7"/>
    <w:rsid w:val="00777C0D"/>
    <w:rsid w:val="007801EC"/>
    <w:rsid w:val="0078045B"/>
    <w:rsid w:val="007804BE"/>
    <w:rsid w:val="00780E29"/>
    <w:rsid w:val="00780FB2"/>
    <w:rsid w:val="007819E0"/>
    <w:rsid w:val="00781A85"/>
    <w:rsid w:val="0078234E"/>
    <w:rsid w:val="007833A5"/>
    <w:rsid w:val="00783630"/>
    <w:rsid w:val="00783A9C"/>
    <w:rsid w:val="00786D06"/>
    <w:rsid w:val="00786F24"/>
    <w:rsid w:val="00787001"/>
    <w:rsid w:val="007870D0"/>
    <w:rsid w:val="0079210E"/>
    <w:rsid w:val="00792BF0"/>
    <w:rsid w:val="00792C0A"/>
    <w:rsid w:val="00792C33"/>
    <w:rsid w:val="00792CFD"/>
    <w:rsid w:val="007930E0"/>
    <w:rsid w:val="0079317E"/>
    <w:rsid w:val="007931A7"/>
    <w:rsid w:val="00793277"/>
    <w:rsid w:val="007933DB"/>
    <w:rsid w:val="00793898"/>
    <w:rsid w:val="00793A65"/>
    <w:rsid w:val="007947F1"/>
    <w:rsid w:val="0079520E"/>
    <w:rsid w:val="007962AE"/>
    <w:rsid w:val="00796A71"/>
    <w:rsid w:val="007971B0"/>
    <w:rsid w:val="007973DE"/>
    <w:rsid w:val="00797A0A"/>
    <w:rsid w:val="007A05B7"/>
    <w:rsid w:val="007A0D6A"/>
    <w:rsid w:val="007A0F2A"/>
    <w:rsid w:val="007A0FA2"/>
    <w:rsid w:val="007A2222"/>
    <w:rsid w:val="007A233C"/>
    <w:rsid w:val="007A25E8"/>
    <w:rsid w:val="007A2E1A"/>
    <w:rsid w:val="007A32DE"/>
    <w:rsid w:val="007A3696"/>
    <w:rsid w:val="007A36D7"/>
    <w:rsid w:val="007A3BAF"/>
    <w:rsid w:val="007A4641"/>
    <w:rsid w:val="007A4CF0"/>
    <w:rsid w:val="007A58B5"/>
    <w:rsid w:val="007A6011"/>
    <w:rsid w:val="007A628B"/>
    <w:rsid w:val="007A6D97"/>
    <w:rsid w:val="007A74A8"/>
    <w:rsid w:val="007A790D"/>
    <w:rsid w:val="007B03BB"/>
    <w:rsid w:val="007B0815"/>
    <w:rsid w:val="007B0ABE"/>
    <w:rsid w:val="007B0D49"/>
    <w:rsid w:val="007B1418"/>
    <w:rsid w:val="007B16AD"/>
    <w:rsid w:val="007B1879"/>
    <w:rsid w:val="007B1F73"/>
    <w:rsid w:val="007B2532"/>
    <w:rsid w:val="007B3924"/>
    <w:rsid w:val="007B3C04"/>
    <w:rsid w:val="007B3F95"/>
    <w:rsid w:val="007B4196"/>
    <w:rsid w:val="007B4D6A"/>
    <w:rsid w:val="007B523A"/>
    <w:rsid w:val="007B57C5"/>
    <w:rsid w:val="007B58E8"/>
    <w:rsid w:val="007B6093"/>
    <w:rsid w:val="007B6E79"/>
    <w:rsid w:val="007B6EF5"/>
    <w:rsid w:val="007B714C"/>
    <w:rsid w:val="007B7603"/>
    <w:rsid w:val="007C0039"/>
    <w:rsid w:val="007C03E3"/>
    <w:rsid w:val="007C0A8B"/>
    <w:rsid w:val="007C0E48"/>
    <w:rsid w:val="007C13BD"/>
    <w:rsid w:val="007C1F1A"/>
    <w:rsid w:val="007C2A0A"/>
    <w:rsid w:val="007C2B9D"/>
    <w:rsid w:val="007C38C6"/>
    <w:rsid w:val="007C4007"/>
    <w:rsid w:val="007C4FE6"/>
    <w:rsid w:val="007C5380"/>
    <w:rsid w:val="007C645D"/>
    <w:rsid w:val="007C68FE"/>
    <w:rsid w:val="007C79A4"/>
    <w:rsid w:val="007C79FE"/>
    <w:rsid w:val="007D0260"/>
    <w:rsid w:val="007D0AAA"/>
    <w:rsid w:val="007D0C4B"/>
    <w:rsid w:val="007D0F21"/>
    <w:rsid w:val="007D1A80"/>
    <w:rsid w:val="007D2DF3"/>
    <w:rsid w:val="007D34CA"/>
    <w:rsid w:val="007D3EED"/>
    <w:rsid w:val="007D486B"/>
    <w:rsid w:val="007D49D8"/>
    <w:rsid w:val="007D4A7D"/>
    <w:rsid w:val="007D4EB4"/>
    <w:rsid w:val="007D60C7"/>
    <w:rsid w:val="007D6748"/>
    <w:rsid w:val="007D6B1D"/>
    <w:rsid w:val="007D6CAA"/>
    <w:rsid w:val="007D735E"/>
    <w:rsid w:val="007D73B7"/>
    <w:rsid w:val="007D7405"/>
    <w:rsid w:val="007D75FE"/>
    <w:rsid w:val="007D7A32"/>
    <w:rsid w:val="007D7A8B"/>
    <w:rsid w:val="007D7F93"/>
    <w:rsid w:val="007E0889"/>
    <w:rsid w:val="007E0A62"/>
    <w:rsid w:val="007E1387"/>
    <w:rsid w:val="007E1A50"/>
    <w:rsid w:val="007E1FB8"/>
    <w:rsid w:val="007E2513"/>
    <w:rsid w:val="007E255C"/>
    <w:rsid w:val="007E2A23"/>
    <w:rsid w:val="007E2DFE"/>
    <w:rsid w:val="007E2EBB"/>
    <w:rsid w:val="007E36F1"/>
    <w:rsid w:val="007E40C7"/>
    <w:rsid w:val="007E467A"/>
    <w:rsid w:val="007E4BBE"/>
    <w:rsid w:val="007E5096"/>
    <w:rsid w:val="007E50C3"/>
    <w:rsid w:val="007E53C6"/>
    <w:rsid w:val="007E54CA"/>
    <w:rsid w:val="007E5C9B"/>
    <w:rsid w:val="007E6222"/>
    <w:rsid w:val="007E62A3"/>
    <w:rsid w:val="007E6391"/>
    <w:rsid w:val="007E6495"/>
    <w:rsid w:val="007E6AEA"/>
    <w:rsid w:val="007E6D49"/>
    <w:rsid w:val="007E7763"/>
    <w:rsid w:val="007E7849"/>
    <w:rsid w:val="007E7E4D"/>
    <w:rsid w:val="007F053F"/>
    <w:rsid w:val="007F06C5"/>
    <w:rsid w:val="007F09D3"/>
    <w:rsid w:val="007F43AA"/>
    <w:rsid w:val="007F449A"/>
    <w:rsid w:val="007F44B6"/>
    <w:rsid w:val="007F47AA"/>
    <w:rsid w:val="007F4D2F"/>
    <w:rsid w:val="007F4DF6"/>
    <w:rsid w:val="007F5CE7"/>
    <w:rsid w:val="007F66FA"/>
    <w:rsid w:val="007F751F"/>
    <w:rsid w:val="007F7D8A"/>
    <w:rsid w:val="0080193E"/>
    <w:rsid w:val="00801E86"/>
    <w:rsid w:val="00802088"/>
    <w:rsid w:val="008025B1"/>
    <w:rsid w:val="00802A40"/>
    <w:rsid w:val="00802C3B"/>
    <w:rsid w:val="00802DA6"/>
    <w:rsid w:val="00802DEC"/>
    <w:rsid w:val="0080301D"/>
    <w:rsid w:val="00804220"/>
    <w:rsid w:val="00804931"/>
    <w:rsid w:val="00804BC6"/>
    <w:rsid w:val="00804EDA"/>
    <w:rsid w:val="00805857"/>
    <w:rsid w:val="0080629B"/>
    <w:rsid w:val="0080736B"/>
    <w:rsid w:val="00810A2E"/>
    <w:rsid w:val="00810D70"/>
    <w:rsid w:val="008117B6"/>
    <w:rsid w:val="00811AC1"/>
    <w:rsid w:val="00812133"/>
    <w:rsid w:val="00812E10"/>
    <w:rsid w:val="00813F01"/>
    <w:rsid w:val="0081532B"/>
    <w:rsid w:val="008161AF"/>
    <w:rsid w:val="00816283"/>
    <w:rsid w:val="0081683D"/>
    <w:rsid w:val="008172B1"/>
    <w:rsid w:val="008173ED"/>
    <w:rsid w:val="008174C5"/>
    <w:rsid w:val="00817790"/>
    <w:rsid w:val="008201AD"/>
    <w:rsid w:val="0082039A"/>
    <w:rsid w:val="0082203F"/>
    <w:rsid w:val="0082212C"/>
    <w:rsid w:val="0082244D"/>
    <w:rsid w:val="00822EA5"/>
    <w:rsid w:val="00822F0C"/>
    <w:rsid w:val="008234C8"/>
    <w:rsid w:val="008241F9"/>
    <w:rsid w:val="00824A38"/>
    <w:rsid w:val="00824A4B"/>
    <w:rsid w:val="00825057"/>
    <w:rsid w:val="00825104"/>
    <w:rsid w:val="0082654F"/>
    <w:rsid w:val="00826C62"/>
    <w:rsid w:val="008270C6"/>
    <w:rsid w:val="008273A9"/>
    <w:rsid w:val="00827518"/>
    <w:rsid w:val="00827591"/>
    <w:rsid w:val="00827A3E"/>
    <w:rsid w:val="00830009"/>
    <w:rsid w:val="00832300"/>
    <w:rsid w:val="008334FF"/>
    <w:rsid w:val="008344EC"/>
    <w:rsid w:val="008354D1"/>
    <w:rsid w:val="00836085"/>
    <w:rsid w:val="008366B8"/>
    <w:rsid w:val="00836E9D"/>
    <w:rsid w:val="00837DC9"/>
    <w:rsid w:val="0084001E"/>
    <w:rsid w:val="00840B59"/>
    <w:rsid w:val="00840FFC"/>
    <w:rsid w:val="008410E6"/>
    <w:rsid w:val="0084150A"/>
    <w:rsid w:val="00841CCB"/>
    <w:rsid w:val="00841CFE"/>
    <w:rsid w:val="00841F8D"/>
    <w:rsid w:val="00842313"/>
    <w:rsid w:val="00843FA6"/>
    <w:rsid w:val="008444F1"/>
    <w:rsid w:val="00844B3D"/>
    <w:rsid w:val="0084512B"/>
    <w:rsid w:val="008453C2"/>
    <w:rsid w:val="00845924"/>
    <w:rsid w:val="00845BAD"/>
    <w:rsid w:val="00845BF8"/>
    <w:rsid w:val="00846998"/>
    <w:rsid w:val="00847CA9"/>
    <w:rsid w:val="00847F32"/>
    <w:rsid w:val="0085031D"/>
    <w:rsid w:val="00850622"/>
    <w:rsid w:val="00850D7E"/>
    <w:rsid w:val="00850DD5"/>
    <w:rsid w:val="008510D2"/>
    <w:rsid w:val="008511C0"/>
    <w:rsid w:val="008513D8"/>
    <w:rsid w:val="00851816"/>
    <w:rsid w:val="00851CA6"/>
    <w:rsid w:val="00851D50"/>
    <w:rsid w:val="00851DD1"/>
    <w:rsid w:val="00851FD3"/>
    <w:rsid w:val="00852076"/>
    <w:rsid w:val="008522B8"/>
    <w:rsid w:val="00852C6B"/>
    <w:rsid w:val="00852DB9"/>
    <w:rsid w:val="0085377D"/>
    <w:rsid w:val="00853A42"/>
    <w:rsid w:val="008547D7"/>
    <w:rsid w:val="008549D8"/>
    <w:rsid w:val="008551AA"/>
    <w:rsid w:val="008559DF"/>
    <w:rsid w:val="00855AE8"/>
    <w:rsid w:val="008566A0"/>
    <w:rsid w:val="0085672F"/>
    <w:rsid w:val="008567F6"/>
    <w:rsid w:val="00857578"/>
    <w:rsid w:val="00857C4C"/>
    <w:rsid w:val="008603E7"/>
    <w:rsid w:val="0086146E"/>
    <w:rsid w:val="00861C43"/>
    <w:rsid w:val="00861F3F"/>
    <w:rsid w:val="008622C7"/>
    <w:rsid w:val="0086239E"/>
    <w:rsid w:val="008629DF"/>
    <w:rsid w:val="00862D90"/>
    <w:rsid w:val="00863099"/>
    <w:rsid w:val="0086322C"/>
    <w:rsid w:val="00863248"/>
    <w:rsid w:val="008635F4"/>
    <w:rsid w:val="00864394"/>
    <w:rsid w:val="0086447A"/>
    <w:rsid w:val="0086500C"/>
    <w:rsid w:val="0086513D"/>
    <w:rsid w:val="0086561D"/>
    <w:rsid w:val="008666CC"/>
    <w:rsid w:val="00866C6A"/>
    <w:rsid w:val="00867A21"/>
    <w:rsid w:val="00867C0A"/>
    <w:rsid w:val="00870285"/>
    <w:rsid w:val="00870331"/>
    <w:rsid w:val="0087038D"/>
    <w:rsid w:val="00870706"/>
    <w:rsid w:val="00871BF4"/>
    <w:rsid w:val="00872701"/>
    <w:rsid w:val="00872AAC"/>
    <w:rsid w:val="00872B72"/>
    <w:rsid w:val="00873EB4"/>
    <w:rsid w:val="0087411E"/>
    <w:rsid w:val="008748D0"/>
    <w:rsid w:val="008758A9"/>
    <w:rsid w:val="00875E9E"/>
    <w:rsid w:val="008760FE"/>
    <w:rsid w:val="008763EC"/>
    <w:rsid w:val="00876EE4"/>
    <w:rsid w:val="008774AA"/>
    <w:rsid w:val="00877B5C"/>
    <w:rsid w:val="00877C14"/>
    <w:rsid w:val="008806D7"/>
    <w:rsid w:val="00880B4D"/>
    <w:rsid w:val="008815DF"/>
    <w:rsid w:val="00881C8A"/>
    <w:rsid w:val="00881D65"/>
    <w:rsid w:val="00881FFF"/>
    <w:rsid w:val="00882145"/>
    <w:rsid w:val="0088297A"/>
    <w:rsid w:val="00883811"/>
    <w:rsid w:val="00883972"/>
    <w:rsid w:val="00883C92"/>
    <w:rsid w:val="00883EF2"/>
    <w:rsid w:val="008854A7"/>
    <w:rsid w:val="008858F5"/>
    <w:rsid w:val="00885BDE"/>
    <w:rsid w:val="00886189"/>
    <w:rsid w:val="00887118"/>
    <w:rsid w:val="008875CA"/>
    <w:rsid w:val="00887CF2"/>
    <w:rsid w:val="008903AB"/>
    <w:rsid w:val="008903D5"/>
    <w:rsid w:val="00890EB2"/>
    <w:rsid w:val="008912DB"/>
    <w:rsid w:val="00892B7B"/>
    <w:rsid w:val="00892B8D"/>
    <w:rsid w:val="00893664"/>
    <w:rsid w:val="00893E6D"/>
    <w:rsid w:val="00894317"/>
    <w:rsid w:val="008946A0"/>
    <w:rsid w:val="00894ED6"/>
    <w:rsid w:val="008950B0"/>
    <w:rsid w:val="00895571"/>
    <w:rsid w:val="00895966"/>
    <w:rsid w:val="008962C3"/>
    <w:rsid w:val="008964B0"/>
    <w:rsid w:val="00896ACB"/>
    <w:rsid w:val="00897774"/>
    <w:rsid w:val="008977DC"/>
    <w:rsid w:val="00897DEC"/>
    <w:rsid w:val="008A00C6"/>
    <w:rsid w:val="008A019E"/>
    <w:rsid w:val="008A0A6E"/>
    <w:rsid w:val="008A0C47"/>
    <w:rsid w:val="008A29BC"/>
    <w:rsid w:val="008A2E34"/>
    <w:rsid w:val="008A2F75"/>
    <w:rsid w:val="008A3937"/>
    <w:rsid w:val="008A4A1C"/>
    <w:rsid w:val="008A598C"/>
    <w:rsid w:val="008A59B8"/>
    <w:rsid w:val="008A5B08"/>
    <w:rsid w:val="008A65A8"/>
    <w:rsid w:val="008A6A62"/>
    <w:rsid w:val="008A7421"/>
    <w:rsid w:val="008A7555"/>
    <w:rsid w:val="008B045B"/>
    <w:rsid w:val="008B0B08"/>
    <w:rsid w:val="008B0ED3"/>
    <w:rsid w:val="008B2205"/>
    <w:rsid w:val="008B27E6"/>
    <w:rsid w:val="008B3957"/>
    <w:rsid w:val="008B50BC"/>
    <w:rsid w:val="008B5CFB"/>
    <w:rsid w:val="008B6573"/>
    <w:rsid w:val="008B6844"/>
    <w:rsid w:val="008B69F5"/>
    <w:rsid w:val="008B6DFA"/>
    <w:rsid w:val="008B70A9"/>
    <w:rsid w:val="008B7689"/>
    <w:rsid w:val="008B7B52"/>
    <w:rsid w:val="008C0836"/>
    <w:rsid w:val="008C0A10"/>
    <w:rsid w:val="008C0EB5"/>
    <w:rsid w:val="008C0F46"/>
    <w:rsid w:val="008C1976"/>
    <w:rsid w:val="008C25F0"/>
    <w:rsid w:val="008C3E5F"/>
    <w:rsid w:val="008C4745"/>
    <w:rsid w:val="008C50B4"/>
    <w:rsid w:val="008C53D3"/>
    <w:rsid w:val="008C66E3"/>
    <w:rsid w:val="008C6F31"/>
    <w:rsid w:val="008C762C"/>
    <w:rsid w:val="008D1D9A"/>
    <w:rsid w:val="008D29DC"/>
    <w:rsid w:val="008D2B8C"/>
    <w:rsid w:val="008D3318"/>
    <w:rsid w:val="008D3A2D"/>
    <w:rsid w:val="008D3F41"/>
    <w:rsid w:val="008D43C4"/>
    <w:rsid w:val="008D44E5"/>
    <w:rsid w:val="008D5572"/>
    <w:rsid w:val="008D5925"/>
    <w:rsid w:val="008D60E8"/>
    <w:rsid w:val="008D6F19"/>
    <w:rsid w:val="008D7794"/>
    <w:rsid w:val="008D7819"/>
    <w:rsid w:val="008D7838"/>
    <w:rsid w:val="008D784B"/>
    <w:rsid w:val="008D78F0"/>
    <w:rsid w:val="008D7A31"/>
    <w:rsid w:val="008D7A5E"/>
    <w:rsid w:val="008D7FEF"/>
    <w:rsid w:val="008E08DF"/>
    <w:rsid w:val="008E0AC6"/>
    <w:rsid w:val="008E0F34"/>
    <w:rsid w:val="008E10AC"/>
    <w:rsid w:val="008E1748"/>
    <w:rsid w:val="008E17DC"/>
    <w:rsid w:val="008E23D1"/>
    <w:rsid w:val="008E2BD9"/>
    <w:rsid w:val="008E2DB5"/>
    <w:rsid w:val="008E30C4"/>
    <w:rsid w:val="008E3260"/>
    <w:rsid w:val="008E3329"/>
    <w:rsid w:val="008E3819"/>
    <w:rsid w:val="008E3B52"/>
    <w:rsid w:val="008E3C98"/>
    <w:rsid w:val="008E431B"/>
    <w:rsid w:val="008E4A24"/>
    <w:rsid w:val="008E4BC2"/>
    <w:rsid w:val="008E4F6A"/>
    <w:rsid w:val="008E6124"/>
    <w:rsid w:val="008E7A33"/>
    <w:rsid w:val="008E7B2D"/>
    <w:rsid w:val="008F0574"/>
    <w:rsid w:val="008F1A6E"/>
    <w:rsid w:val="008F1B81"/>
    <w:rsid w:val="008F1FAA"/>
    <w:rsid w:val="008F2477"/>
    <w:rsid w:val="008F27B7"/>
    <w:rsid w:val="008F2EC2"/>
    <w:rsid w:val="008F2FEA"/>
    <w:rsid w:val="008F3070"/>
    <w:rsid w:val="008F30B3"/>
    <w:rsid w:val="008F3E15"/>
    <w:rsid w:val="008F4397"/>
    <w:rsid w:val="008F47A8"/>
    <w:rsid w:val="008F5092"/>
    <w:rsid w:val="008F51E4"/>
    <w:rsid w:val="008F5248"/>
    <w:rsid w:val="008F5315"/>
    <w:rsid w:val="008F5F3C"/>
    <w:rsid w:val="008F6267"/>
    <w:rsid w:val="008F70FD"/>
    <w:rsid w:val="008F716A"/>
    <w:rsid w:val="008F753A"/>
    <w:rsid w:val="008F7E0D"/>
    <w:rsid w:val="00900974"/>
    <w:rsid w:val="009011FD"/>
    <w:rsid w:val="009027BD"/>
    <w:rsid w:val="00903253"/>
    <w:rsid w:val="00903417"/>
    <w:rsid w:val="00903429"/>
    <w:rsid w:val="00903E4D"/>
    <w:rsid w:val="00904005"/>
    <w:rsid w:val="009042D9"/>
    <w:rsid w:val="00904AE3"/>
    <w:rsid w:val="00905587"/>
    <w:rsid w:val="0090609F"/>
    <w:rsid w:val="0090664B"/>
    <w:rsid w:val="00906772"/>
    <w:rsid w:val="0090734E"/>
    <w:rsid w:val="009078FF"/>
    <w:rsid w:val="00907BE7"/>
    <w:rsid w:val="00910A34"/>
    <w:rsid w:val="0091178B"/>
    <w:rsid w:val="0091194F"/>
    <w:rsid w:val="009119EC"/>
    <w:rsid w:val="00912A3C"/>
    <w:rsid w:val="00912C36"/>
    <w:rsid w:val="00913CE5"/>
    <w:rsid w:val="00913D4B"/>
    <w:rsid w:val="00913EDD"/>
    <w:rsid w:val="009144E3"/>
    <w:rsid w:val="00914BC5"/>
    <w:rsid w:val="00914C87"/>
    <w:rsid w:val="009151B0"/>
    <w:rsid w:val="009152E3"/>
    <w:rsid w:val="009153AB"/>
    <w:rsid w:val="009157E0"/>
    <w:rsid w:val="00915CF3"/>
    <w:rsid w:val="009163F5"/>
    <w:rsid w:val="00916536"/>
    <w:rsid w:val="00916580"/>
    <w:rsid w:val="00916BC5"/>
    <w:rsid w:val="00917205"/>
    <w:rsid w:val="0091761C"/>
    <w:rsid w:val="00917EFB"/>
    <w:rsid w:val="0092065F"/>
    <w:rsid w:val="00920F85"/>
    <w:rsid w:val="00921CCC"/>
    <w:rsid w:val="00921D37"/>
    <w:rsid w:val="00921F34"/>
    <w:rsid w:val="009221E8"/>
    <w:rsid w:val="009233C5"/>
    <w:rsid w:val="00923FD1"/>
    <w:rsid w:val="0092551C"/>
    <w:rsid w:val="009260E9"/>
    <w:rsid w:val="00926581"/>
    <w:rsid w:val="00926C37"/>
    <w:rsid w:val="00926E80"/>
    <w:rsid w:val="00927F10"/>
    <w:rsid w:val="00930B46"/>
    <w:rsid w:val="00930F3D"/>
    <w:rsid w:val="009311C9"/>
    <w:rsid w:val="009319BA"/>
    <w:rsid w:val="009320EF"/>
    <w:rsid w:val="009320F3"/>
    <w:rsid w:val="00932C60"/>
    <w:rsid w:val="00932DCE"/>
    <w:rsid w:val="00933012"/>
    <w:rsid w:val="0093327B"/>
    <w:rsid w:val="009343FC"/>
    <w:rsid w:val="00934FBF"/>
    <w:rsid w:val="0093597A"/>
    <w:rsid w:val="009360CF"/>
    <w:rsid w:val="0093654F"/>
    <w:rsid w:val="00936D97"/>
    <w:rsid w:val="00937A8D"/>
    <w:rsid w:val="00940BE0"/>
    <w:rsid w:val="00940BE2"/>
    <w:rsid w:val="00940E98"/>
    <w:rsid w:val="00941CD9"/>
    <w:rsid w:val="009420CD"/>
    <w:rsid w:val="00942294"/>
    <w:rsid w:val="00942365"/>
    <w:rsid w:val="00942D2A"/>
    <w:rsid w:val="009431CE"/>
    <w:rsid w:val="00944FE6"/>
    <w:rsid w:val="009450BC"/>
    <w:rsid w:val="00945549"/>
    <w:rsid w:val="00945700"/>
    <w:rsid w:val="0094735D"/>
    <w:rsid w:val="00947494"/>
    <w:rsid w:val="009475CB"/>
    <w:rsid w:val="00947696"/>
    <w:rsid w:val="009506A1"/>
    <w:rsid w:val="009508EC"/>
    <w:rsid w:val="00950D47"/>
    <w:rsid w:val="00951768"/>
    <w:rsid w:val="00951BFB"/>
    <w:rsid w:val="0095270A"/>
    <w:rsid w:val="00952A83"/>
    <w:rsid w:val="00952C48"/>
    <w:rsid w:val="00952E72"/>
    <w:rsid w:val="00953104"/>
    <w:rsid w:val="00953F4D"/>
    <w:rsid w:val="00954098"/>
    <w:rsid w:val="009542E3"/>
    <w:rsid w:val="00954878"/>
    <w:rsid w:val="00955D88"/>
    <w:rsid w:val="0095732E"/>
    <w:rsid w:val="0095793B"/>
    <w:rsid w:val="009579B0"/>
    <w:rsid w:val="00957BD6"/>
    <w:rsid w:val="00957CBD"/>
    <w:rsid w:val="009603FE"/>
    <w:rsid w:val="0096044C"/>
    <w:rsid w:val="00960F7D"/>
    <w:rsid w:val="00960FF2"/>
    <w:rsid w:val="0096113E"/>
    <w:rsid w:val="00961152"/>
    <w:rsid w:val="0096168D"/>
    <w:rsid w:val="00961DA6"/>
    <w:rsid w:val="0096266A"/>
    <w:rsid w:val="00963141"/>
    <w:rsid w:val="0096379E"/>
    <w:rsid w:val="009642C2"/>
    <w:rsid w:val="009649D5"/>
    <w:rsid w:val="00964E13"/>
    <w:rsid w:val="009650CB"/>
    <w:rsid w:val="009653B3"/>
    <w:rsid w:val="00965559"/>
    <w:rsid w:val="00965CCF"/>
    <w:rsid w:val="00966002"/>
    <w:rsid w:val="0096617B"/>
    <w:rsid w:val="009676B6"/>
    <w:rsid w:val="009676C0"/>
    <w:rsid w:val="00970093"/>
    <w:rsid w:val="00970163"/>
    <w:rsid w:val="009705E6"/>
    <w:rsid w:val="00970921"/>
    <w:rsid w:val="00971150"/>
    <w:rsid w:val="0097152F"/>
    <w:rsid w:val="0097200F"/>
    <w:rsid w:val="009726D8"/>
    <w:rsid w:val="00972B10"/>
    <w:rsid w:val="00972B50"/>
    <w:rsid w:val="00973511"/>
    <w:rsid w:val="0097377F"/>
    <w:rsid w:val="00973F00"/>
    <w:rsid w:val="009741D5"/>
    <w:rsid w:val="00974398"/>
    <w:rsid w:val="009749F1"/>
    <w:rsid w:val="00975195"/>
    <w:rsid w:val="00975C3B"/>
    <w:rsid w:val="00976AF8"/>
    <w:rsid w:val="00976DAA"/>
    <w:rsid w:val="00977740"/>
    <w:rsid w:val="00981218"/>
    <w:rsid w:val="0098161A"/>
    <w:rsid w:val="009820CB"/>
    <w:rsid w:val="0098248D"/>
    <w:rsid w:val="00982889"/>
    <w:rsid w:val="00983989"/>
    <w:rsid w:val="009840DD"/>
    <w:rsid w:val="0098420A"/>
    <w:rsid w:val="00984E25"/>
    <w:rsid w:val="00984FF8"/>
    <w:rsid w:val="00985833"/>
    <w:rsid w:val="0098732D"/>
    <w:rsid w:val="00990317"/>
    <w:rsid w:val="0099038E"/>
    <w:rsid w:val="009906B3"/>
    <w:rsid w:val="00990A72"/>
    <w:rsid w:val="009915E3"/>
    <w:rsid w:val="00991B45"/>
    <w:rsid w:val="00991ED6"/>
    <w:rsid w:val="00992A6C"/>
    <w:rsid w:val="00992AE4"/>
    <w:rsid w:val="00992C74"/>
    <w:rsid w:val="009936AE"/>
    <w:rsid w:val="0099397C"/>
    <w:rsid w:val="00993B12"/>
    <w:rsid w:val="00993F3A"/>
    <w:rsid w:val="009944A0"/>
    <w:rsid w:val="009948A0"/>
    <w:rsid w:val="0099586B"/>
    <w:rsid w:val="009965D9"/>
    <w:rsid w:val="00996A0B"/>
    <w:rsid w:val="00997419"/>
    <w:rsid w:val="009A0B9E"/>
    <w:rsid w:val="009A0CB4"/>
    <w:rsid w:val="009A118A"/>
    <w:rsid w:val="009A20EE"/>
    <w:rsid w:val="009A26F2"/>
    <w:rsid w:val="009A292B"/>
    <w:rsid w:val="009A3389"/>
    <w:rsid w:val="009A3595"/>
    <w:rsid w:val="009A4023"/>
    <w:rsid w:val="009A46B9"/>
    <w:rsid w:val="009A5692"/>
    <w:rsid w:val="009A6126"/>
    <w:rsid w:val="009A6951"/>
    <w:rsid w:val="009A764F"/>
    <w:rsid w:val="009A7BD0"/>
    <w:rsid w:val="009B026F"/>
    <w:rsid w:val="009B0570"/>
    <w:rsid w:val="009B05F9"/>
    <w:rsid w:val="009B1383"/>
    <w:rsid w:val="009B1DA1"/>
    <w:rsid w:val="009B2285"/>
    <w:rsid w:val="009B273F"/>
    <w:rsid w:val="009B27EF"/>
    <w:rsid w:val="009B2848"/>
    <w:rsid w:val="009B3105"/>
    <w:rsid w:val="009B3319"/>
    <w:rsid w:val="009B3327"/>
    <w:rsid w:val="009B3A4F"/>
    <w:rsid w:val="009B449A"/>
    <w:rsid w:val="009B4EC2"/>
    <w:rsid w:val="009B545C"/>
    <w:rsid w:val="009B5551"/>
    <w:rsid w:val="009B59D5"/>
    <w:rsid w:val="009B67FC"/>
    <w:rsid w:val="009B78EC"/>
    <w:rsid w:val="009B7D07"/>
    <w:rsid w:val="009B7DF4"/>
    <w:rsid w:val="009B7E46"/>
    <w:rsid w:val="009C060F"/>
    <w:rsid w:val="009C0A07"/>
    <w:rsid w:val="009C0A78"/>
    <w:rsid w:val="009C152F"/>
    <w:rsid w:val="009C1FAA"/>
    <w:rsid w:val="009C23BB"/>
    <w:rsid w:val="009C261F"/>
    <w:rsid w:val="009C263A"/>
    <w:rsid w:val="009C2758"/>
    <w:rsid w:val="009C27BD"/>
    <w:rsid w:val="009C30E3"/>
    <w:rsid w:val="009C371A"/>
    <w:rsid w:val="009C3D02"/>
    <w:rsid w:val="009C4396"/>
    <w:rsid w:val="009C48F7"/>
    <w:rsid w:val="009C4AB1"/>
    <w:rsid w:val="009C52AD"/>
    <w:rsid w:val="009C5443"/>
    <w:rsid w:val="009C5B04"/>
    <w:rsid w:val="009C5BC5"/>
    <w:rsid w:val="009C6144"/>
    <w:rsid w:val="009C6A41"/>
    <w:rsid w:val="009C6B37"/>
    <w:rsid w:val="009C6E69"/>
    <w:rsid w:val="009C7E66"/>
    <w:rsid w:val="009D0461"/>
    <w:rsid w:val="009D0AFD"/>
    <w:rsid w:val="009D0E75"/>
    <w:rsid w:val="009D11C6"/>
    <w:rsid w:val="009D1C2C"/>
    <w:rsid w:val="009D26D2"/>
    <w:rsid w:val="009D28B2"/>
    <w:rsid w:val="009D28C0"/>
    <w:rsid w:val="009D333C"/>
    <w:rsid w:val="009D36FF"/>
    <w:rsid w:val="009D3B7B"/>
    <w:rsid w:val="009D3F4B"/>
    <w:rsid w:val="009D43DE"/>
    <w:rsid w:val="009D46FC"/>
    <w:rsid w:val="009D471F"/>
    <w:rsid w:val="009D4BA1"/>
    <w:rsid w:val="009D51BB"/>
    <w:rsid w:val="009D58A0"/>
    <w:rsid w:val="009D7715"/>
    <w:rsid w:val="009E0B0A"/>
    <w:rsid w:val="009E127E"/>
    <w:rsid w:val="009E15F7"/>
    <w:rsid w:val="009E1827"/>
    <w:rsid w:val="009E1CE8"/>
    <w:rsid w:val="009E1D4B"/>
    <w:rsid w:val="009E2113"/>
    <w:rsid w:val="009E2377"/>
    <w:rsid w:val="009E245E"/>
    <w:rsid w:val="009E2621"/>
    <w:rsid w:val="009E2FD3"/>
    <w:rsid w:val="009E336E"/>
    <w:rsid w:val="009E3C7B"/>
    <w:rsid w:val="009E4E6F"/>
    <w:rsid w:val="009E547A"/>
    <w:rsid w:val="009E5A2B"/>
    <w:rsid w:val="009E5D57"/>
    <w:rsid w:val="009E701F"/>
    <w:rsid w:val="009E73EE"/>
    <w:rsid w:val="009E7DDD"/>
    <w:rsid w:val="009F00AE"/>
    <w:rsid w:val="009F04AB"/>
    <w:rsid w:val="009F1BC5"/>
    <w:rsid w:val="009F1D94"/>
    <w:rsid w:val="009F279E"/>
    <w:rsid w:val="009F2F14"/>
    <w:rsid w:val="009F30D4"/>
    <w:rsid w:val="009F37CF"/>
    <w:rsid w:val="009F4072"/>
    <w:rsid w:val="009F43BF"/>
    <w:rsid w:val="009F458A"/>
    <w:rsid w:val="009F52EE"/>
    <w:rsid w:val="009F5AA1"/>
    <w:rsid w:val="009F5EB9"/>
    <w:rsid w:val="009F5F64"/>
    <w:rsid w:val="009F695C"/>
    <w:rsid w:val="009F74A7"/>
    <w:rsid w:val="009F750C"/>
    <w:rsid w:val="009F7E46"/>
    <w:rsid w:val="00A0019E"/>
    <w:rsid w:val="00A006CA"/>
    <w:rsid w:val="00A00ABF"/>
    <w:rsid w:val="00A00F99"/>
    <w:rsid w:val="00A011AD"/>
    <w:rsid w:val="00A019FB"/>
    <w:rsid w:val="00A0230B"/>
    <w:rsid w:val="00A023A7"/>
    <w:rsid w:val="00A0244D"/>
    <w:rsid w:val="00A0279A"/>
    <w:rsid w:val="00A02C7D"/>
    <w:rsid w:val="00A033E3"/>
    <w:rsid w:val="00A04B1F"/>
    <w:rsid w:val="00A052EC"/>
    <w:rsid w:val="00A05675"/>
    <w:rsid w:val="00A056A1"/>
    <w:rsid w:val="00A05790"/>
    <w:rsid w:val="00A05962"/>
    <w:rsid w:val="00A0621F"/>
    <w:rsid w:val="00A06882"/>
    <w:rsid w:val="00A06903"/>
    <w:rsid w:val="00A06D3A"/>
    <w:rsid w:val="00A0712E"/>
    <w:rsid w:val="00A07C6D"/>
    <w:rsid w:val="00A107E0"/>
    <w:rsid w:val="00A108A0"/>
    <w:rsid w:val="00A10AE9"/>
    <w:rsid w:val="00A10E29"/>
    <w:rsid w:val="00A10EB8"/>
    <w:rsid w:val="00A119D9"/>
    <w:rsid w:val="00A12781"/>
    <w:rsid w:val="00A12868"/>
    <w:rsid w:val="00A1297E"/>
    <w:rsid w:val="00A1323B"/>
    <w:rsid w:val="00A13DB9"/>
    <w:rsid w:val="00A13E7C"/>
    <w:rsid w:val="00A1475E"/>
    <w:rsid w:val="00A15A08"/>
    <w:rsid w:val="00A174F2"/>
    <w:rsid w:val="00A17DA9"/>
    <w:rsid w:val="00A20980"/>
    <w:rsid w:val="00A216AC"/>
    <w:rsid w:val="00A2205D"/>
    <w:rsid w:val="00A22159"/>
    <w:rsid w:val="00A2265E"/>
    <w:rsid w:val="00A2271B"/>
    <w:rsid w:val="00A22822"/>
    <w:rsid w:val="00A22DB4"/>
    <w:rsid w:val="00A239D5"/>
    <w:rsid w:val="00A2505F"/>
    <w:rsid w:val="00A25298"/>
    <w:rsid w:val="00A26526"/>
    <w:rsid w:val="00A26A3F"/>
    <w:rsid w:val="00A274F0"/>
    <w:rsid w:val="00A3014E"/>
    <w:rsid w:val="00A3016E"/>
    <w:rsid w:val="00A30225"/>
    <w:rsid w:val="00A3077A"/>
    <w:rsid w:val="00A31270"/>
    <w:rsid w:val="00A3157A"/>
    <w:rsid w:val="00A32503"/>
    <w:rsid w:val="00A336D5"/>
    <w:rsid w:val="00A33B3A"/>
    <w:rsid w:val="00A33BBA"/>
    <w:rsid w:val="00A3400E"/>
    <w:rsid w:val="00A34072"/>
    <w:rsid w:val="00A34232"/>
    <w:rsid w:val="00A344C6"/>
    <w:rsid w:val="00A34EED"/>
    <w:rsid w:val="00A35715"/>
    <w:rsid w:val="00A35CB1"/>
    <w:rsid w:val="00A36270"/>
    <w:rsid w:val="00A36541"/>
    <w:rsid w:val="00A368A8"/>
    <w:rsid w:val="00A36A5B"/>
    <w:rsid w:val="00A36C38"/>
    <w:rsid w:val="00A36FFB"/>
    <w:rsid w:val="00A37761"/>
    <w:rsid w:val="00A378AD"/>
    <w:rsid w:val="00A40431"/>
    <w:rsid w:val="00A40642"/>
    <w:rsid w:val="00A40FF2"/>
    <w:rsid w:val="00A41179"/>
    <w:rsid w:val="00A42048"/>
    <w:rsid w:val="00A425A6"/>
    <w:rsid w:val="00A43D05"/>
    <w:rsid w:val="00A44056"/>
    <w:rsid w:val="00A44150"/>
    <w:rsid w:val="00A4486D"/>
    <w:rsid w:val="00A44908"/>
    <w:rsid w:val="00A44B0E"/>
    <w:rsid w:val="00A456C9"/>
    <w:rsid w:val="00A45D04"/>
    <w:rsid w:val="00A4605B"/>
    <w:rsid w:val="00A46811"/>
    <w:rsid w:val="00A4780D"/>
    <w:rsid w:val="00A47902"/>
    <w:rsid w:val="00A47942"/>
    <w:rsid w:val="00A47EA4"/>
    <w:rsid w:val="00A50153"/>
    <w:rsid w:val="00A5048B"/>
    <w:rsid w:val="00A51138"/>
    <w:rsid w:val="00A5159D"/>
    <w:rsid w:val="00A53529"/>
    <w:rsid w:val="00A535D3"/>
    <w:rsid w:val="00A537DB"/>
    <w:rsid w:val="00A541D4"/>
    <w:rsid w:val="00A54783"/>
    <w:rsid w:val="00A54912"/>
    <w:rsid w:val="00A54E04"/>
    <w:rsid w:val="00A556E2"/>
    <w:rsid w:val="00A558BA"/>
    <w:rsid w:val="00A55BBC"/>
    <w:rsid w:val="00A566C3"/>
    <w:rsid w:val="00A5675E"/>
    <w:rsid w:val="00A573AE"/>
    <w:rsid w:val="00A6094C"/>
    <w:rsid w:val="00A624A0"/>
    <w:rsid w:val="00A624D1"/>
    <w:rsid w:val="00A62BAD"/>
    <w:rsid w:val="00A62DF8"/>
    <w:rsid w:val="00A62FC2"/>
    <w:rsid w:val="00A635EA"/>
    <w:rsid w:val="00A642BF"/>
    <w:rsid w:val="00A6452B"/>
    <w:rsid w:val="00A647D9"/>
    <w:rsid w:val="00A6562C"/>
    <w:rsid w:val="00A65FAC"/>
    <w:rsid w:val="00A667F7"/>
    <w:rsid w:val="00A6753F"/>
    <w:rsid w:val="00A67BDA"/>
    <w:rsid w:val="00A70B7D"/>
    <w:rsid w:val="00A7138F"/>
    <w:rsid w:val="00A71943"/>
    <w:rsid w:val="00A72B7A"/>
    <w:rsid w:val="00A73A07"/>
    <w:rsid w:val="00A743BB"/>
    <w:rsid w:val="00A7555B"/>
    <w:rsid w:val="00A755C9"/>
    <w:rsid w:val="00A75DBA"/>
    <w:rsid w:val="00A76165"/>
    <w:rsid w:val="00A76714"/>
    <w:rsid w:val="00A77B33"/>
    <w:rsid w:val="00A77D61"/>
    <w:rsid w:val="00A77E88"/>
    <w:rsid w:val="00A80809"/>
    <w:rsid w:val="00A808BD"/>
    <w:rsid w:val="00A80AAB"/>
    <w:rsid w:val="00A80B85"/>
    <w:rsid w:val="00A81CFE"/>
    <w:rsid w:val="00A82B5C"/>
    <w:rsid w:val="00A82CD6"/>
    <w:rsid w:val="00A8378B"/>
    <w:rsid w:val="00A839EE"/>
    <w:rsid w:val="00A84328"/>
    <w:rsid w:val="00A853C0"/>
    <w:rsid w:val="00A858A0"/>
    <w:rsid w:val="00A85CFA"/>
    <w:rsid w:val="00A86DA3"/>
    <w:rsid w:val="00A87439"/>
    <w:rsid w:val="00A87946"/>
    <w:rsid w:val="00A90001"/>
    <w:rsid w:val="00A901FF"/>
    <w:rsid w:val="00A9033A"/>
    <w:rsid w:val="00A90462"/>
    <w:rsid w:val="00A90F28"/>
    <w:rsid w:val="00A90F94"/>
    <w:rsid w:val="00A911E4"/>
    <w:rsid w:val="00A91426"/>
    <w:rsid w:val="00A9161E"/>
    <w:rsid w:val="00A9189D"/>
    <w:rsid w:val="00A91BA3"/>
    <w:rsid w:val="00A91FAA"/>
    <w:rsid w:val="00A92A99"/>
    <w:rsid w:val="00A92BB8"/>
    <w:rsid w:val="00A93482"/>
    <w:rsid w:val="00A935A9"/>
    <w:rsid w:val="00A93C67"/>
    <w:rsid w:val="00A95027"/>
    <w:rsid w:val="00A95042"/>
    <w:rsid w:val="00A950E1"/>
    <w:rsid w:val="00A95539"/>
    <w:rsid w:val="00A9565A"/>
    <w:rsid w:val="00A95924"/>
    <w:rsid w:val="00A964AF"/>
    <w:rsid w:val="00A9659E"/>
    <w:rsid w:val="00A96E82"/>
    <w:rsid w:val="00A97662"/>
    <w:rsid w:val="00A97767"/>
    <w:rsid w:val="00AA055B"/>
    <w:rsid w:val="00AA089A"/>
    <w:rsid w:val="00AA1162"/>
    <w:rsid w:val="00AA1D1D"/>
    <w:rsid w:val="00AA20EC"/>
    <w:rsid w:val="00AA214E"/>
    <w:rsid w:val="00AA21AC"/>
    <w:rsid w:val="00AA26B2"/>
    <w:rsid w:val="00AA27C2"/>
    <w:rsid w:val="00AA2DDC"/>
    <w:rsid w:val="00AA2F9B"/>
    <w:rsid w:val="00AA3590"/>
    <w:rsid w:val="00AA38F2"/>
    <w:rsid w:val="00AA3B86"/>
    <w:rsid w:val="00AA4378"/>
    <w:rsid w:val="00AA44DD"/>
    <w:rsid w:val="00AA45B1"/>
    <w:rsid w:val="00AA50E8"/>
    <w:rsid w:val="00AA51A5"/>
    <w:rsid w:val="00AA520B"/>
    <w:rsid w:val="00AA557A"/>
    <w:rsid w:val="00AA5715"/>
    <w:rsid w:val="00AA5DCD"/>
    <w:rsid w:val="00AA63FE"/>
    <w:rsid w:val="00AA6779"/>
    <w:rsid w:val="00AA6DBF"/>
    <w:rsid w:val="00AA71D5"/>
    <w:rsid w:val="00AA741D"/>
    <w:rsid w:val="00AA77D1"/>
    <w:rsid w:val="00AA796E"/>
    <w:rsid w:val="00AA7AD7"/>
    <w:rsid w:val="00AA7D08"/>
    <w:rsid w:val="00AA7E9F"/>
    <w:rsid w:val="00AB045F"/>
    <w:rsid w:val="00AB060C"/>
    <w:rsid w:val="00AB0D34"/>
    <w:rsid w:val="00AB0DF3"/>
    <w:rsid w:val="00AB0EB6"/>
    <w:rsid w:val="00AB14D0"/>
    <w:rsid w:val="00AB1561"/>
    <w:rsid w:val="00AB1971"/>
    <w:rsid w:val="00AB1B9B"/>
    <w:rsid w:val="00AB3282"/>
    <w:rsid w:val="00AB34B2"/>
    <w:rsid w:val="00AB4F10"/>
    <w:rsid w:val="00AB65C2"/>
    <w:rsid w:val="00AB65CF"/>
    <w:rsid w:val="00AB7595"/>
    <w:rsid w:val="00AB7D79"/>
    <w:rsid w:val="00AB7FDF"/>
    <w:rsid w:val="00AC0447"/>
    <w:rsid w:val="00AC0EA8"/>
    <w:rsid w:val="00AC1660"/>
    <w:rsid w:val="00AC19AD"/>
    <w:rsid w:val="00AC21C1"/>
    <w:rsid w:val="00AC21DD"/>
    <w:rsid w:val="00AC23D2"/>
    <w:rsid w:val="00AC27E3"/>
    <w:rsid w:val="00AC3BBC"/>
    <w:rsid w:val="00AC3CD1"/>
    <w:rsid w:val="00AC4285"/>
    <w:rsid w:val="00AC4C38"/>
    <w:rsid w:val="00AC5187"/>
    <w:rsid w:val="00AC537E"/>
    <w:rsid w:val="00AC5BA3"/>
    <w:rsid w:val="00AC690D"/>
    <w:rsid w:val="00AC7B7E"/>
    <w:rsid w:val="00AC7BA7"/>
    <w:rsid w:val="00AC7C52"/>
    <w:rsid w:val="00AC7DB3"/>
    <w:rsid w:val="00AD0047"/>
    <w:rsid w:val="00AD0AE5"/>
    <w:rsid w:val="00AD10C5"/>
    <w:rsid w:val="00AD1739"/>
    <w:rsid w:val="00AD19B4"/>
    <w:rsid w:val="00AD3EB3"/>
    <w:rsid w:val="00AD4A46"/>
    <w:rsid w:val="00AD4AA2"/>
    <w:rsid w:val="00AD572E"/>
    <w:rsid w:val="00AD5830"/>
    <w:rsid w:val="00AD5CC1"/>
    <w:rsid w:val="00AD5D1C"/>
    <w:rsid w:val="00AD6047"/>
    <w:rsid w:val="00AD681E"/>
    <w:rsid w:val="00AD6953"/>
    <w:rsid w:val="00AD703C"/>
    <w:rsid w:val="00AD7193"/>
    <w:rsid w:val="00AD722C"/>
    <w:rsid w:val="00AD7CEF"/>
    <w:rsid w:val="00AE095B"/>
    <w:rsid w:val="00AE0DDE"/>
    <w:rsid w:val="00AE1082"/>
    <w:rsid w:val="00AE1DFE"/>
    <w:rsid w:val="00AE2988"/>
    <w:rsid w:val="00AE2A37"/>
    <w:rsid w:val="00AE2EBF"/>
    <w:rsid w:val="00AE3D37"/>
    <w:rsid w:val="00AE418C"/>
    <w:rsid w:val="00AE45A8"/>
    <w:rsid w:val="00AE471F"/>
    <w:rsid w:val="00AE4C1C"/>
    <w:rsid w:val="00AE4E8D"/>
    <w:rsid w:val="00AE56D6"/>
    <w:rsid w:val="00AE571E"/>
    <w:rsid w:val="00AE60A6"/>
    <w:rsid w:val="00AE663C"/>
    <w:rsid w:val="00AE761E"/>
    <w:rsid w:val="00AE7B2C"/>
    <w:rsid w:val="00AE7C70"/>
    <w:rsid w:val="00AE7CCA"/>
    <w:rsid w:val="00AF0E70"/>
    <w:rsid w:val="00AF1863"/>
    <w:rsid w:val="00AF1C9B"/>
    <w:rsid w:val="00AF2C29"/>
    <w:rsid w:val="00AF38B5"/>
    <w:rsid w:val="00AF49A5"/>
    <w:rsid w:val="00AF6674"/>
    <w:rsid w:val="00AF667F"/>
    <w:rsid w:val="00AF6C5B"/>
    <w:rsid w:val="00AF76BE"/>
    <w:rsid w:val="00AF780B"/>
    <w:rsid w:val="00AF7C3F"/>
    <w:rsid w:val="00AF7DCB"/>
    <w:rsid w:val="00AF7EDC"/>
    <w:rsid w:val="00B00FD2"/>
    <w:rsid w:val="00B01A8A"/>
    <w:rsid w:val="00B027A5"/>
    <w:rsid w:val="00B02C19"/>
    <w:rsid w:val="00B03442"/>
    <w:rsid w:val="00B039E5"/>
    <w:rsid w:val="00B042C4"/>
    <w:rsid w:val="00B05066"/>
    <w:rsid w:val="00B07A6E"/>
    <w:rsid w:val="00B07ED3"/>
    <w:rsid w:val="00B110CA"/>
    <w:rsid w:val="00B11E50"/>
    <w:rsid w:val="00B12563"/>
    <w:rsid w:val="00B12D1D"/>
    <w:rsid w:val="00B1350B"/>
    <w:rsid w:val="00B141C7"/>
    <w:rsid w:val="00B14AC9"/>
    <w:rsid w:val="00B14DCF"/>
    <w:rsid w:val="00B156B3"/>
    <w:rsid w:val="00B158EE"/>
    <w:rsid w:val="00B15C7E"/>
    <w:rsid w:val="00B15EC5"/>
    <w:rsid w:val="00B167A9"/>
    <w:rsid w:val="00B1742B"/>
    <w:rsid w:val="00B179A8"/>
    <w:rsid w:val="00B179B9"/>
    <w:rsid w:val="00B17EAB"/>
    <w:rsid w:val="00B200E8"/>
    <w:rsid w:val="00B20632"/>
    <w:rsid w:val="00B2098D"/>
    <w:rsid w:val="00B21407"/>
    <w:rsid w:val="00B21A94"/>
    <w:rsid w:val="00B21EF6"/>
    <w:rsid w:val="00B22205"/>
    <w:rsid w:val="00B230F6"/>
    <w:rsid w:val="00B2334D"/>
    <w:rsid w:val="00B23BF7"/>
    <w:rsid w:val="00B23C69"/>
    <w:rsid w:val="00B2406B"/>
    <w:rsid w:val="00B24249"/>
    <w:rsid w:val="00B2497D"/>
    <w:rsid w:val="00B25351"/>
    <w:rsid w:val="00B2691F"/>
    <w:rsid w:val="00B26A81"/>
    <w:rsid w:val="00B26B15"/>
    <w:rsid w:val="00B26B42"/>
    <w:rsid w:val="00B302E0"/>
    <w:rsid w:val="00B305A4"/>
    <w:rsid w:val="00B30DBD"/>
    <w:rsid w:val="00B31969"/>
    <w:rsid w:val="00B319BA"/>
    <w:rsid w:val="00B326A0"/>
    <w:rsid w:val="00B3282E"/>
    <w:rsid w:val="00B329B9"/>
    <w:rsid w:val="00B330BE"/>
    <w:rsid w:val="00B334CE"/>
    <w:rsid w:val="00B33817"/>
    <w:rsid w:val="00B33BC9"/>
    <w:rsid w:val="00B33C11"/>
    <w:rsid w:val="00B33FA8"/>
    <w:rsid w:val="00B34748"/>
    <w:rsid w:val="00B349F3"/>
    <w:rsid w:val="00B34C6F"/>
    <w:rsid w:val="00B359BD"/>
    <w:rsid w:val="00B35CC7"/>
    <w:rsid w:val="00B35D9F"/>
    <w:rsid w:val="00B35E1A"/>
    <w:rsid w:val="00B35F77"/>
    <w:rsid w:val="00B362BA"/>
    <w:rsid w:val="00B3711C"/>
    <w:rsid w:val="00B3758C"/>
    <w:rsid w:val="00B376FD"/>
    <w:rsid w:val="00B37A59"/>
    <w:rsid w:val="00B37BAC"/>
    <w:rsid w:val="00B4028B"/>
    <w:rsid w:val="00B406BD"/>
    <w:rsid w:val="00B426D8"/>
    <w:rsid w:val="00B42D27"/>
    <w:rsid w:val="00B42DB8"/>
    <w:rsid w:val="00B42F37"/>
    <w:rsid w:val="00B44235"/>
    <w:rsid w:val="00B442B0"/>
    <w:rsid w:val="00B442B7"/>
    <w:rsid w:val="00B4475F"/>
    <w:rsid w:val="00B44AF0"/>
    <w:rsid w:val="00B44C2D"/>
    <w:rsid w:val="00B44CBF"/>
    <w:rsid w:val="00B44EE0"/>
    <w:rsid w:val="00B4507D"/>
    <w:rsid w:val="00B45238"/>
    <w:rsid w:val="00B453DB"/>
    <w:rsid w:val="00B459D6"/>
    <w:rsid w:val="00B47B9B"/>
    <w:rsid w:val="00B47D72"/>
    <w:rsid w:val="00B50C8C"/>
    <w:rsid w:val="00B50E51"/>
    <w:rsid w:val="00B510F8"/>
    <w:rsid w:val="00B51176"/>
    <w:rsid w:val="00B51DC0"/>
    <w:rsid w:val="00B51FB8"/>
    <w:rsid w:val="00B52419"/>
    <w:rsid w:val="00B52753"/>
    <w:rsid w:val="00B52CD7"/>
    <w:rsid w:val="00B53239"/>
    <w:rsid w:val="00B53FA5"/>
    <w:rsid w:val="00B541F1"/>
    <w:rsid w:val="00B54ECE"/>
    <w:rsid w:val="00B554BE"/>
    <w:rsid w:val="00B5574F"/>
    <w:rsid w:val="00B5586B"/>
    <w:rsid w:val="00B561AD"/>
    <w:rsid w:val="00B56B28"/>
    <w:rsid w:val="00B57087"/>
    <w:rsid w:val="00B57F05"/>
    <w:rsid w:val="00B60477"/>
    <w:rsid w:val="00B6100F"/>
    <w:rsid w:val="00B612FD"/>
    <w:rsid w:val="00B61D82"/>
    <w:rsid w:val="00B61EF8"/>
    <w:rsid w:val="00B6362D"/>
    <w:rsid w:val="00B63F1A"/>
    <w:rsid w:val="00B64030"/>
    <w:rsid w:val="00B647A7"/>
    <w:rsid w:val="00B64B03"/>
    <w:rsid w:val="00B6516D"/>
    <w:rsid w:val="00B65170"/>
    <w:rsid w:val="00B6555F"/>
    <w:rsid w:val="00B6580D"/>
    <w:rsid w:val="00B65FA8"/>
    <w:rsid w:val="00B668B0"/>
    <w:rsid w:val="00B66A70"/>
    <w:rsid w:val="00B673EF"/>
    <w:rsid w:val="00B67F7A"/>
    <w:rsid w:val="00B70242"/>
    <w:rsid w:val="00B705E9"/>
    <w:rsid w:val="00B71CA5"/>
    <w:rsid w:val="00B71DE9"/>
    <w:rsid w:val="00B72C98"/>
    <w:rsid w:val="00B72C9D"/>
    <w:rsid w:val="00B733FD"/>
    <w:rsid w:val="00B74D32"/>
    <w:rsid w:val="00B75035"/>
    <w:rsid w:val="00B762B8"/>
    <w:rsid w:val="00B769F1"/>
    <w:rsid w:val="00B76BF1"/>
    <w:rsid w:val="00B76D5D"/>
    <w:rsid w:val="00B77167"/>
    <w:rsid w:val="00B77735"/>
    <w:rsid w:val="00B778CF"/>
    <w:rsid w:val="00B80106"/>
    <w:rsid w:val="00B80297"/>
    <w:rsid w:val="00B80D94"/>
    <w:rsid w:val="00B80DA7"/>
    <w:rsid w:val="00B8180F"/>
    <w:rsid w:val="00B82006"/>
    <w:rsid w:val="00B82480"/>
    <w:rsid w:val="00B8346A"/>
    <w:rsid w:val="00B8363A"/>
    <w:rsid w:val="00B84A31"/>
    <w:rsid w:val="00B8585E"/>
    <w:rsid w:val="00B8626F"/>
    <w:rsid w:val="00B86350"/>
    <w:rsid w:val="00B86C83"/>
    <w:rsid w:val="00B86F81"/>
    <w:rsid w:val="00B87933"/>
    <w:rsid w:val="00B879F7"/>
    <w:rsid w:val="00B87F3F"/>
    <w:rsid w:val="00B90191"/>
    <w:rsid w:val="00B9034E"/>
    <w:rsid w:val="00B906D9"/>
    <w:rsid w:val="00B90E29"/>
    <w:rsid w:val="00B91E6B"/>
    <w:rsid w:val="00B922F0"/>
    <w:rsid w:val="00B92506"/>
    <w:rsid w:val="00B92817"/>
    <w:rsid w:val="00B92D77"/>
    <w:rsid w:val="00B934F2"/>
    <w:rsid w:val="00B94402"/>
    <w:rsid w:val="00B94558"/>
    <w:rsid w:val="00B950A4"/>
    <w:rsid w:val="00B9623E"/>
    <w:rsid w:val="00B96906"/>
    <w:rsid w:val="00B972DD"/>
    <w:rsid w:val="00B9752C"/>
    <w:rsid w:val="00B97733"/>
    <w:rsid w:val="00BA0E46"/>
    <w:rsid w:val="00BA0F4A"/>
    <w:rsid w:val="00BA1347"/>
    <w:rsid w:val="00BA135D"/>
    <w:rsid w:val="00BA1388"/>
    <w:rsid w:val="00BA2147"/>
    <w:rsid w:val="00BA22D6"/>
    <w:rsid w:val="00BA25FC"/>
    <w:rsid w:val="00BA32E3"/>
    <w:rsid w:val="00BA3333"/>
    <w:rsid w:val="00BA4B38"/>
    <w:rsid w:val="00BA542D"/>
    <w:rsid w:val="00BA5FBC"/>
    <w:rsid w:val="00BA6262"/>
    <w:rsid w:val="00BA6B92"/>
    <w:rsid w:val="00BA71E7"/>
    <w:rsid w:val="00BB08EA"/>
    <w:rsid w:val="00BB1682"/>
    <w:rsid w:val="00BB195E"/>
    <w:rsid w:val="00BB25DA"/>
    <w:rsid w:val="00BB2736"/>
    <w:rsid w:val="00BB3A0C"/>
    <w:rsid w:val="00BB4312"/>
    <w:rsid w:val="00BB4911"/>
    <w:rsid w:val="00BB5D98"/>
    <w:rsid w:val="00BB5F74"/>
    <w:rsid w:val="00BB6B21"/>
    <w:rsid w:val="00BB7282"/>
    <w:rsid w:val="00BC096A"/>
    <w:rsid w:val="00BC0C76"/>
    <w:rsid w:val="00BC0CA3"/>
    <w:rsid w:val="00BC0D74"/>
    <w:rsid w:val="00BC0E86"/>
    <w:rsid w:val="00BC0EA5"/>
    <w:rsid w:val="00BC17A4"/>
    <w:rsid w:val="00BC29D0"/>
    <w:rsid w:val="00BC3975"/>
    <w:rsid w:val="00BC3A0A"/>
    <w:rsid w:val="00BC3B74"/>
    <w:rsid w:val="00BC48B6"/>
    <w:rsid w:val="00BC4EFB"/>
    <w:rsid w:val="00BC4F37"/>
    <w:rsid w:val="00BC5158"/>
    <w:rsid w:val="00BC523D"/>
    <w:rsid w:val="00BC579C"/>
    <w:rsid w:val="00BC5810"/>
    <w:rsid w:val="00BC5BC5"/>
    <w:rsid w:val="00BC5E51"/>
    <w:rsid w:val="00BC6189"/>
    <w:rsid w:val="00BC61ED"/>
    <w:rsid w:val="00BC71EA"/>
    <w:rsid w:val="00BC78AE"/>
    <w:rsid w:val="00BD053B"/>
    <w:rsid w:val="00BD0E33"/>
    <w:rsid w:val="00BD1162"/>
    <w:rsid w:val="00BD2106"/>
    <w:rsid w:val="00BD346B"/>
    <w:rsid w:val="00BD3579"/>
    <w:rsid w:val="00BD382F"/>
    <w:rsid w:val="00BD40E6"/>
    <w:rsid w:val="00BD4B27"/>
    <w:rsid w:val="00BD536D"/>
    <w:rsid w:val="00BD5E6B"/>
    <w:rsid w:val="00BD622B"/>
    <w:rsid w:val="00BD6C61"/>
    <w:rsid w:val="00BD70CB"/>
    <w:rsid w:val="00BD7F9C"/>
    <w:rsid w:val="00BE0CDF"/>
    <w:rsid w:val="00BE1687"/>
    <w:rsid w:val="00BE1AE6"/>
    <w:rsid w:val="00BE1D5E"/>
    <w:rsid w:val="00BE20D6"/>
    <w:rsid w:val="00BE29D3"/>
    <w:rsid w:val="00BE30F7"/>
    <w:rsid w:val="00BE3A20"/>
    <w:rsid w:val="00BE4034"/>
    <w:rsid w:val="00BE45A2"/>
    <w:rsid w:val="00BE4862"/>
    <w:rsid w:val="00BE4CD1"/>
    <w:rsid w:val="00BE4DBA"/>
    <w:rsid w:val="00BE532F"/>
    <w:rsid w:val="00BE5523"/>
    <w:rsid w:val="00BE5603"/>
    <w:rsid w:val="00BE5957"/>
    <w:rsid w:val="00BE59D4"/>
    <w:rsid w:val="00BE5BE4"/>
    <w:rsid w:val="00BE5E03"/>
    <w:rsid w:val="00BE5E4D"/>
    <w:rsid w:val="00BE65EC"/>
    <w:rsid w:val="00BE66FA"/>
    <w:rsid w:val="00BE6B83"/>
    <w:rsid w:val="00BE6BD3"/>
    <w:rsid w:val="00BE6BF8"/>
    <w:rsid w:val="00BE71CA"/>
    <w:rsid w:val="00BE7576"/>
    <w:rsid w:val="00BE76B6"/>
    <w:rsid w:val="00BE77BA"/>
    <w:rsid w:val="00BE77E0"/>
    <w:rsid w:val="00BF0AAA"/>
    <w:rsid w:val="00BF0B2B"/>
    <w:rsid w:val="00BF17C7"/>
    <w:rsid w:val="00BF1824"/>
    <w:rsid w:val="00BF2555"/>
    <w:rsid w:val="00BF2662"/>
    <w:rsid w:val="00BF2D3F"/>
    <w:rsid w:val="00BF329E"/>
    <w:rsid w:val="00BF3769"/>
    <w:rsid w:val="00BF41A6"/>
    <w:rsid w:val="00BF4C93"/>
    <w:rsid w:val="00BF55E6"/>
    <w:rsid w:val="00BF5AE3"/>
    <w:rsid w:val="00BF5AF2"/>
    <w:rsid w:val="00BF6A56"/>
    <w:rsid w:val="00BF6B85"/>
    <w:rsid w:val="00BF7046"/>
    <w:rsid w:val="00BF710F"/>
    <w:rsid w:val="00BF7366"/>
    <w:rsid w:val="00BF73AF"/>
    <w:rsid w:val="00BF7530"/>
    <w:rsid w:val="00BF75B4"/>
    <w:rsid w:val="00BF7745"/>
    <w:rsid w:val="00BF7FDA"/>
    <w:rsid w:val="00C00489"/>
    <w:rsid w:val="00C0052B"/>
    <w:rsid w:val="00C009A6"/>
    <w:rsid w:val="00C01E43"/>
    <w:rsid w:val="00C02214"/>
    <w:rsid w:val="00C02309"/>
    <w:rsid w:val="00C042BD"/>
    <w:rsid w:val="00C05626"/>
    <w:rsid w:val="00C05A87"/>
    <w:rsid w:val="00C06312"/>
    <w:rsid w:val="00C07191"/>
    <w:rsid w:val="00C10DB0"/>
    <w:rsid w:val="00C11003"/>
    <w:rsid w:val="00C115C6"/>
    <w:rsid w:val="00C1183D"/>
    <w:rsid w:val="00C11CDD"/>
    <w:rsid w:val="00C11E72"/>
    <w:rsid w:val="00C11EAA"/>
    <w:rsid w:val="00C12277"/>
    <w:rsid w:val="00C12D6A"/>
    <w:rsid w:val="00C1389F"/>
    <w:rsid w:val="00C14232"/>
    <w:rsid w:val="00C144B4"/>
    <w:rsid w:val="00C1450C"/>
    <w:rsid w:val="00C1492F"/>
    <w:rsid w:val="00C15E04"/>
    <w:rsid w:val="00C1611A"/>
    <w:rsid w:val="00C17F5E"/>
    <w:rsid w:val="00C20945"/>
    <w:rsid w:val="00C20AC9"/>
    <w:rsid w:val="00C20B02"/>
    <w:rsid w:val="00C2125F"/>
    <w:rsid w:val="00C21655"/>
    <w:rsid w:val="00C21744"/>
    <w:rsid w:val="00C21F24"/>
    <w:rsid w:val="00C2220B"/>
    <w:rsid w:val="00C23644"/>
    <w:rsid w:val="00C23AEC"/>
    <w:rsid w:val="00C23B30"/>
    <w:rsid w:val="00C247FF"/>
    <w:rsid w:val="00C248D4"/>
    <w:rsid w:val="00C251D2"/>
    <w:rsid w:val="00C25856"/>
    <w:rsid w:val="00C25909"/>
    <w:rsid w:val="00C25916"/>
    <w:rsid w:val="00C25C20"/>
    <w:rsid w:val="00C25CDD"/>
    <w:rsid w:val="00C25F26"/>
    <w:rsid w:val="00C26168"/>
    <w:rsid w:val="00C26BB2"/>
    <w:rsid w:val="00C26E37"/>
    <w:rsid w:val="00C274BF"/>
    <w:rsid w:val="00C279F6"/>
    <w:rsid w:val="00C27C4B"/>
    <w:rsid w:val="00C27CA4"/>
    <w:rsid w:val="00C3022E"/>
    <w:rsid w:val="00C306CB"/>
    <w:rsid w:val="00C307E2"/>
    <w:rsid w:val="00C31A41"/>
    <w:rsid w:val="00C32B4A"/>
    <w:rsid w:val="00C339CD"/>
    <w:rsid w:val="00C33C15"/>
    <w:rsid w:val="00C34199"/>
    <w:rsid w:val="00C347BA"/>
    <w:rsid w:val="00C359EB"/>
    <w:rsid w:val="00C35B6E"/>
    <w:rsid w:val="00C37D67"/>
    <w:rsid w:val="00C40598"/>
    <w:rsid w:val="00C4092D"/>
    <w:rsid w:val="00C41E19"/>
    <w:rsid w:val="00C42212"/>
    <w:rsid w:val="00C42867"/>
    <w:rsid w:val="00C4290B"/>
    <w:rsid w:val="00C4307F"/>
    <w:rsid w:val="00C4332A"/>
    <w:rsid w:val="00C43603"/>
    <w:rsid w:val="00C445F1"/>
    <w:rsid w:val="00C4593B"/>
    <w:rsid w:val="00C45F7B"/>
    <w:rsid w:val="00C45F88"/>
    <w:rsid w:val="00C46247"/>
    <w:rsid w:val="00C4634F"/>
    <w:rsid w:val="00C46409"/>
    <w:rsid w:val="00C46986"/>
    <w:rsid w:val="00C46DE6"/>
    <w:rsid w:val="00C46FCC"/>
    <w:rsid w:val="00C4702E"/>
    <w:rsid w:val="00C47A4E"/>
    <w:rsid w:val="00C517CA"/>
    <w:rsid w:val="00C51888"/>
    <w:rsid w:val="00C523F7"/>
    <w:rsid w:val="00C526AE"/>
    <w:rsid w:val="00C5290B"/>
    <w:rsid w:val="00C52C24"/>
    <w:rsid w:val="00C52CB3"/>
    <w:rsid w:val="00C52D44"/>
    <w:rsid w:val="00C52F17"/>
    <w:rsid w:val="00C5316D"/>
    <w:rsid w:val="00C5317F"/>
    <w:rsid w:val="00C535AE"/>
    <w:rsid w:val="00C536A2"/>
    <w:rsid w:val="00C538E2"/>
    <w:rsid w:val="00C53CFD"/>
    <w:rsid w:val="00C53EE7"/>
    <w:rsid w:val="00C55178"/>
    <w:rsid w:val="00C55619"/>
    <w:rsid w:val="00C5580B"/>
    <w:rsid w:val="00C55B80"/>
    <w:rsid w:val="00C55BF0"/>
    <w:rsid w:val="00C56756"/>
    <w:rsid w:val="00C5708C"/>
    <w:rsid w:val="00C57168"/>
    <w:rsid w:val="00C574D6"/>
    <w:rsid w:val="00C6036A"/>
    <w:rsid w:val="00C617B3"/>
    <w:rsid w:val="00C6233E"/>
    <w:rsid w:val="00C629DB"/>
    <w:rsid w:val="00C62CA9"/>
    <w:rsid w:val="00C632E2"/>
    <w:rsid w:val="00C6370E"/>
    <w:rsid w:val="00C63792"/>
    <w:rsid w:val="00C6391C"/>
    <w:rsid w:val="00C64964"/>
    <w:rsid w:val="00C66BCC"/>
    <w:rsid w:val="00C66E4F"/>
    <w:rsid w:val="00C66FC7"/>
    <w:rsid w:val="00C67015"/>
    <w:rsid w:val="00C67B93"/>
    <w:rsid w:val="00C67FC7"/>
    <w:rsid w:val="00C705BF"/>
    <w:rsid w:val="00C70760"/>
    <w:rsid w:val="00C708C8"/>
    <w:rsid w:val="00C70C65"/>
    <w:rsid w:val="00C714E2"/>
    <w:rsid w:val="00C721D0"/>
    <w:rsid w:val="00C73665"/>
    <w:rsid w:val="00C73802"/>
    <w:rsid w:val="00C739E6"/>
    <w:rsid w:val="00C73BC8"/>
    <w:rsid w:val="00C741AA"/>
    <w:rsid w:val="00C745ED"/>
    <w:rsid w:val="00C74843"/>
    <w:rsid w:val="00C74907"/>
    <w:rsid w:val="00C74945"/>
    <w:rsid w:val="00C75D02"/>
    <w:rsid w:val="00C76FD0"/>
    <w:rsid w:val="00C77615"/>
    <w:rsid w:val="00C77B02"/>
    <w:rsid w:val="00C77DE7"/>
    <w:rsid w:val="00C81517"/>
    <w:rsid w:val="00C81DEE"/>
    <w:rsid w:val="00C8299D"/>
    <w:rsid w:val="00C82D49"/>
    <w:rsid w:val="00C834DA"/>
    <w:rsid w:val="00C8369E"/>
    <w:rsid w:val="00C842F3"/>
    <w:rsid w:val="00C8440F"/>
    <w:rsid w:val="00C855C8"/>
    <w:rsid w:val="00C85685"/>
    <w:rsid w:val="00C86C98"/>
    <w:rsid w:val="00C875CB"/>
    <w:rsid w:val="00C87A62"/>
    <w:rsid w:val="00C90226"/>
    <w:rsid w:val="00C9030E"/>
    <w:rsid w:val="00C9091D"/>
    <w:rsid w:val="00C90A26"/>
    <w:rsid w:val="00C90C58"/>
    <w:rsid w:val="00C91B06"/>
    <w:rsid w:val="00C91E0C"/>
    <w:rsid w:val="00C92E21"/>
    <w:rsid w:val="00C92E3F"/>
    <w:rsid w:val="00C93245"/>
    <w:rsid w:val="00C936DD"/>
    <w:rsid w:val="00C942DB"/>
    <w:rsid w:val="00C94F86"/>
    <w:rsid w:val="00C95025"/>
    <w:rsid w:val="00C9605A"/>
    <w:rsid w:val="00C9636E"/>
    <w:rsid w:val="00C96A63"/>
    <w:rsid w:val="00C96F9E"/>
    <w:rsid w:val="00C9771B"/>
    <w:rsid w:val="00C97D1D"/>
    <w:rsid w:val="00CA019E"/>
    <w:rsid w:val="00CA077E"/>
    <w:rsid w:val="00CA085F"/>
    <w:rsid w:val="00CA0EF0"/>
    <w:rsid w:val="00CA1936"/>
    <w:rsid w:val="00CA1AA8"/>
    <w:rsid w:val="00CA1CC0"/>
    <w:rsid w:val="00CA1DF9"/>
    <w:rsid w:val="00CA1E0D"/>
    <w:rsid w:val="00CA22FE"/>
    <w:rsid w:val="00CA247A"/>
    <w:rsid w:val="00CA27EF"/>
    <w:rsid w:val="00CA295B"/>
    <w:rsid w:val="00CA353D"/>
    <w:rsid w:val="00CA356D"/>
    <w:rsid w:val="00CA3B5C"/>
    <w:rsid w:val="00CA4457"/>
    <w:rsid w:val="00CA5025"/>
    <w:rsid w:val="00CA5EA9"/>
    <w:rsid w:val="00CA6263"/>
    <w:rsid w:val="00CA6629"/>
    <w:rsid w:val="00CA6A8C"/>
    <w:rsid w:val="00CA6F5C"/>
    <w:rsid w:val="00CA7E99"/>
    <w:rsid w:val="00CB01CF"/>
    <w:rsid w:val="00CB01E1"/>
    <w:rsid w:val="00CB0993"/>
    <w:rsid w:val="00CB0A71"/>
    <w:rsid w:val="00CB0E4F"/>
    <w:rsid w:val="00CB16E8"/>
    <w:rsid w:val="00CB297D"/>
    <w:rsid w:val="00CB31A8"/>
    <w:rsid w:val="00CB37D6"/>
    <w:rsid w:val="00CB3AE4"/>
    <w:rsid w:val="00CB4ACD"/>
    <w:rsid w:val="00CB50FA"/>
    <w:rsid w:val="00CB526D"/>
    <w:rsid w:val="00CB5660"/>
    <w:rsid w:val="00CB5B44"/>
    <w:rsid w:val="00CB5E24"/>
    <w:rsid w:val="00CB6829"/>
    <w:rsid w:val="00CB762F"/>
    <w:rsid w:val="00CB7C5A"/>
    <w:rsid w:val="00CB7F7E"/>
    <w:rsid w:val="00CC0519"/>
    <w:rsid w:val="00CC1785"/>
    <w:rsid w:val="00CC3092"/>
    <w:rsid w:val="00CC318F"/>
    <w:rsid w:val="00CC38AF"/>
    <w:rsid w:val="00CC3B07"/>
    <w:rsid w:val="00CC3EFE"/>
    <w:rsid w:val="00CC4656"/>
    <w:rsid w:val="00CC4D0B"/>
    <w:rsid w:val="00CC5372"/>
    <w:rsid w:val="00CC54E2"/>
    <w:rsid w:val="00CC5ABE"/>
    <w:rsid w:val="00CC6142"/>
    <w:rsid w:val="00CC6666"/>
    <w:rsid w:val="00CC69F5"/>
    <w:rsid w:val="00CC6C58"/>
    <w:rsid w:val="00CC712E"/>
    <w:rsid w:val="00CC7A5C"/>
    <w:rsid w:val="00CC7C3C"/>
    <w:rsid w:val="00CC7FDB"/>
    <w:rsid w:val="00CD0423"/>
    <w:rsid w:val="00CD0FE4"/>
    <w:rsid w:val="00CD1F0E"/>
    <w:rsid w:val="00CD22A6"/>
    <w:rsid w:val="00CD3568"/>
    <w:rsid w:val="00CD36E8"/>
    <w:rsid w:val="00CD46B1"/>
    <w:rsid w:val="00CD4A7B"/>
    <w:rsid w:val="00CD4C5E"/>
    <w:rsid w:val="00CD4CDA"/>
    <w:rsid w:val="00CD55E5"/>
    <w:rsid w:val="00CD642F"/>
    <w:rsid w:val="00CD6E97"/>
    <w:rsid w:val="00CD7A1F"/>
    <w:rsid w:val="00CD7A7D"/>
    <w:rsid w:val="00CD7EB4"/>
    <w:rsid w:val="00CE017C"/>
    <w:rsid w:val="00CE02D1"/>
    <w:rsid w:val="00CE07B1"/>
    <w:rsid w:val="00CE0B1E"/>
    <w:rsid w:val="00CE1483"/>
    <w:rsid w:val="00CE1840"/>
    <w:rsid w:val="00CE1AA5"/>
    <w:rsid w:val="00CE2267"/>
    <w:rsid w:val="00CE259F"/>
    <w:rsid w:val="00CE32EA"/>
    <w:rsid w:val="00CE365B"/>
    <w:rsid w:val="00CE4061"/>
    <w:rsid w:val="00CE4401"/>
    <w:rsid w:val="00CE446A"/>
    <w:rsid w:val="00CE47E8"/>
    <w:rsid w:val="00CE47F1"/>
    <w:rsid w:val="00CE4BFE"/>
    <w:rsid w:val="00CE54CC"/>
    <w:rsid w:val="00CE5842"/>
    <w:rsid w:val="00CE5C49"/>
    <w:rsid w:val="00CE667B"/>
    <w:rsid w:val="00CE7274"/>
    <w:rsid w:val="00CE7756"/>
    <w:rsid w:val="00CE7FA4"/>
    <w:rsid w:val="00CE7FEE"/>
    <w:rsid w:val="00CF03AF"/>
    <w:rsid w:val="00CF05B6"/>
    <w:rsid w:val="00CF1754"/>
    <w:rsid w:val="00CF1DBD"/>
    <w:rsid w:val="00CF1E83"/>
    <w:rsid w:val="00CF22CF"/>
    <w:rsid w:val="00CF42BD"/>
    <w:rsid w:val="00CF44AA"/>
    <w:rsid w:val="00CF4710"/>
    <w:rsid w:val="00CF4C7B"/>
    <w:rsid w:val="00CF4ED5"/>
    <w:rsid w:val="00CF5BA8"/>
    <w:rsid w:val="00CF66D0"/>
    <w:rsid w:val="00CF69A4"/>
    <w:rsid w:val="00CF6B76"/>
    <w:rsid w:val="00CF6EDF"/>
    <w:rsid w:val="00CF75BE"/>
    <w:rsid w:val="00CF7F65"/>
    <w:rsid w:val="00D00E58"/>
    <w:rsid w:val="00D01238"/>
    <w:rsid w:val="00D0240F"/>
    <w:rsid w:val="00D028E2"/>
    <w:rsid w:val="00D02E74"/>
    <w:rsid w:val="00D041A4"/>
    <w:rsid w:val="00D045E3"/>
    <w:rsid w:val="00D04872"/>
    <w:rsid w:val="00D0511F"/>
    <w:rsid w:val="00D052D8"/>
    <w:rsid w:val="00D05474"/>
    <w:rsid w:val="00D06739"/>
    <w:rsid w:val="00D06BEA"/>
    <w:rsid w:val="00D06E6C"/>
    <w:rsid w:val="00D101AB"/>
    <w:rsid w:val="00D10C24"/>
    <w:rsid w:val="00D121AF"/>
    <w:rsid w:val="00D128D4"/>
    <w:rsid w:val="00D1302F"/>
    <w:rsid w:val="00D130D7"/>
    <w:rsid w:val="00D133CE"/>
    <w:rsid w:val="00D14A59"/>
    <w:rsid w:val="00D14C74"/>
    <w:rsid w:val="00D15165"/>
    <w:rsid w:val="00D152F5"/>
    <w:rsid w:val="00D15D89"/>
    <w:rsid w:val="00D15EAE"/>
    <w:rsid w:val="00D16264"/>
    <w:rsid w:val="00D169ED"/>
    <w:rsid w:val="00D170BF"/>
    <w:rsid w:val="00D20055"/>
    <w:rsid w:val="00D2025B"/>
    <w:rsid w:val="00D2032F"/>
    <w:rsid w:val="00D204C2"/>
    <w:rsid w:val="00D2094A"/>
    <w:rsid w:val="00D213BD"/>
    <w:rsid w:val="00D2164A"/>
    <w:rsid w:val="00D218D0"/>
    <w:rsid w:val="00D21929"/>
    <w:rsid w:val="00D22C4D"/>
    <w:rsid w:val="00D23221"/>
    <w:rsid w:val="00D23324"/>
    <w:rsid w:val="00D23F04"/>
    <w:rsid w:val="00D243F8"/>
    <w:rsid w:val="00D245D9"/>
    <w:rsid w:val="00D2474B"/>
    <w:rsid w:val="00D24D63"/>
    <w:rsid w:val="00D24E24"/>
    <w:rsid w:val="00D25B9A"/>
    <w:rsid w:val="00D26E0C"/>
    <w:rsid w:val="00D26FBD"/>
    <w:rsid w:val="00D27459"/>
    <w:rsid w:val="00D27D94"/>
    <w:rsid w:val="00D27DF6"/>
    <w:rsid w:val="00D329D5"/>
    <w:rsid w:val="00D33567"/>
    <w:rsid w:val="00D340BE"/>
    <w:rsid w:val="00D34803"/>
    <w:rsid w:val="00D34BF1"/>
    <w:rsid w:val="00D356E3"/>
    <w:rsid w:val="00D357E9"/>
    <w:rsid w:val="00D3665B"/>
    <w:rsid w:val="00D367D8"/>
    <w:rsid w:val="00D3687B"/>
    <w:rsid w:val="00D36A50"/>
    <w:rsid w:val="00D37102"/>
    <w:rsid w:val="00D37C21"/>
    <w:rsid w:val="00D4040F"/>
    <w:rsid w:val="00D407AE"/>
    <w:rsid w:val="00D4168D"/>
    <w:rsid w:val="00D416D3"/>
    <w:rsid w:val="00D41847"/>
    <w:rsid w:val="00D41C0A"/>
    <w:rsid w:val="00D42078"/>
    <w:rsid w:val="00D42297"/>
    <w:rsid w:val="00D42BCC"/>
    <w:rsid w:val="00D436E4"/>
    <w:rsid w:val="00D43A0B"/>
    <w:rsid w:val="00D44812"/>
    <w:rsid w:val="00D4491E"/>
    <w:rsid w:val="00D453DC"/>
    <w:rsid w:val="00D455F2"/>
    <w:rsid w:val="00D45CC5"/>
    <w:rsid w:val="00D45DD9"/>
    <w:rsid w:val="00D45F57"/>
    <w:rsid w:val="00D46029"/>
    <w:rsid w:val="00D465C4"/>
    <w:rsid w:val="00D46E6C"/>
    <w:rsid w:val="00D47E1B"/>
    <w:rsid w:val="00D47E2D"/>
    <w:rsid w:val="00D506DC"/>
    <w:rsid w:val="00D514EA"/>
    <w:rsid w:val="00D51BD1"/>
    <w:rsid w:val="00D5298B"/>
    <w:rsid w:val="00D5351E"/>
    <w:rsid w:val="00D53A7D"/>
    <w:rsid w:val="00D53F41"/>
    <w:rsid w:val="00D54160"/>
    <w:rsid w:val="00D54307"/>
    <w:rsid w:val="00D54396"/>
    <w:rsid w:val="00D54AD4"/>
    <w:rsid w:val="00D56260"/>
    <w:rsid w:val="00D576E9"/>
    <w:rsid w:val="00D60273"/>
    <w:rsid w:val="00D60C52"/>
    <w:rsid w:val="00D60E23"/>
    <w:rsid w:val="00D614D4"/>
    <w:rsid w:val="00D6188C"/>
    <w:rsid w:val="00D618F7"/>
    <w:rsid w:val="00D62A3F"/>
    <w:rsid w:val="00D633AD"/>
    <w:rsid w:val="00D63489"/>
    <w:rsid w:val="00D6358F"/>
    <w:rsid w:val="00D6369A"/>
    <w:rsid w:val="00D636DC"/>
    <w:rsid w:val="00D63818"/>
    <w:rsid w:val="00D63D5A"/>
    <w:rsid w:val="00D644C0"/>
    <w:rsid w:val="00D644F3"/>
    <w:rsid w:val="00D6477B"/>
    <w:rsid w:val="00D65094"/>
    <w:rsid w:val="00D653FE"/>
    <w:rsid w:val="00D654B2"/>
    <w:rsid w:val="00D65ECF"/>
    <w:rsid w:val="00D661B9"/>
    <w:rsid w:val="00D66741"/>
    <w:rsid w:val="00D66A2A"/>
    <w:rsid w:val="00D66FD9"/>
    <w:rsid w:val="00D67100"/>
    <w:rsid w:val="00D67193"/>
    <w:rsid w:val="00D67A4F"/>
    <w:rsid w:val="00D67B6E"/>
    <w:rsid w:val="00D67F5B"/>
    <w:rsid w:val="00D711E7"/>
    <w:rsid w:val="00D729FD"/>
    <w:rsid w:val="00D72A94"/>
    <w:rsid w:val="00D72C27"/>
    <w:rsid w:val="00D72E90"/>
    <w:rsid w:val="00D734F2"/>
    <w:rsid w:val="00D74A30"/>
    <w:rsid w:val="00D74AE7"/>
    <w:rsid w:val="00D74D55"/>
    <w:rsid w:val="00D74FAF"/>
    <w:rsid w:val="00D75731"/>
    <w:rsid w:val="00D75839"/>
    <w:rsid w:val="00D75FD3"/>
    <w:rsid w:val="00D77CF1"/>
    <w:rsid w:val="00D77F42"/>
    <w:rsid w:val="00D80E85"/>
    <w:rsid w:val="00D813FA"/>
    <w:rsid w:val="00D84C17"/>
    <w:rsid w:val="00D84FDB"/>
    <w:rsid w:val="00D85C74"/>
    <w:rsid w:val="00D8676E"/>
    <w:rsid w:val="00D868A3"/>
    <w:rsid w:val="00D8693B"/>
    <w:rsid w:val="00D8732E"/>
    <w:rsid w:val="00D90465"/>
    <w:rsid w:val="00D90C15"/>
    <w:rsid w:val="00D91074"/>
    <w:rsid w:val="00D9172A"/>
    <w:rsid w:val="00D91BA4"/>
    <w:rsid w:val="00D920C1"/>
    <w:rsid w:val="00D9251E"/>
    <w:rsid w:val="00D92D08"/>
    <w:rsid w:val="00D92FD5"/>
    <w:rsid w:val="00D933CF"/>
    <w:rsid w:val="00D936E0"/>
    <w:rsid w:val="00D93D1E"/>
    <w:rsid w:val="00D93FE1"/>
    <w:rsid w:val="00D955EF"/>
    <w:rsid w:val="00D958BC"/>
    <w:rsid w:val="00D95FCC"/>
    <w:rsid w:val="00D9679D"/>
    <w:rsid w:val="00D96AA2"/>
    <w:rsid w:val="00D97084"/>
    <w:rsid w:val="00D97505"/>
    <w:rsid w:val="00DA00B2"/>
    <w:rsid w:val="00DA0613"/>
    <w:rsid w:val="00DA0643"/>
    <w:rsid w:val="00DA07C8"/>
    <w:rsid w:val="00DA083C"/>
    <w:rsid w:val="00DA0EE2"/>
    <w:rsid w:val="00DA2540"/>
    <w:rsid w:val="00DA27F9"/>
    <w:rsid w:val="00DA2820"/>
    <w:rsid w:val="00DA2AF5"/>
    <w:rsid w:val="00DA2C1A"/>
    <w:rsid w:val="00DA2C43"/>
    <w:rsid w:val="00DA3F2C"/>
    <w:rsid w:val="00DA441B"/>
    <w:rsid w:val="00DA44DF"/>
    <w:rsid w:val="00DA4808"/>
    <w:rsid w:val="00DA6198"/>
    <w:rsid w:val="00DA6607"/>
    <w:rsid w:val="00DA7366"/>
    <w:rsid w:val="00DA7845"/>
    <w:rsid w:val="00DA7E1E"/>
    <w:rsid w:val="00DB00D5"/>
    <w:rsid w:val="00DB01A2"/>
    <w:rsid w:val="00DB052F"/>
    <w:rsid w:val="00DB06CA"/>
    <w:rsid w:val="00DB076C"/>
    <w:rsid w:val="00DB1298"/>
    <w:rsid w:val="00DB166D"/>
    <w:rsid w:val="00DB21B0"/>
    <w:rsid w:val="00DB2B63"/>
    <w:rsid w:val="00DB3D13"/>
    <w:rsid w:val="00DB3E2C"/>
    <w:rsid w:val="00DB3E91"/>
    <w:rsid w:val="00DB42CA"/>
    <w:rsid w:val="00DB452A"/>
    <w:rsid w:val="00DB47E5"/>
    <w:rsid w:val="00DB4AAD"/>
    <w:rsid w:val="00DB4C02"/>
    <w:rsid w:val="00DB53E3"/>
    <w:rsid w:val="00DB554C"/>
    <w:rsid w:val="00DB555A"/>
    <w:rsid w:val="00DB58BE"/>
    <w:rsid w:val="00DB6404"/>
    <w:rsid w:val="00DB6B18"/>
    <w:rsid w:val="00DB70AD"/>
    <w:rsid w:val="00DB770A"/>
    <w:rsid w:val="00DC0694"/>
    <w:rsid w:val="00DC0B41"/>
    <w:rsid w:val="00DC0FEE"/>
    <w:rsid w:val="00DC115C"/>
    <w:rsid w:val="00DC1E82"/>
    <w:rsid w:val="00DC1F8F"/>
    <w:rsid w:val="00DC2018"/>
    <w:rsid w:val="00DC205B"/>
    <w:rsid w:val="00DC22C3"/>
    <w:rsid w:val="00DC317A"/>
    <w:rsid w:val="00DC33C0"/>
    <w:rsid w:val="00DC3576"/>
    <w:rsid w:val="00DC4AE5"/>
    <w:rsid w:val="00DC55ED"/>
    <w:rsid w:val="00DC5FA6"/>
    <w:rsid w:val="00DC71E9"/>
    <w:rsid w:val="00DC793B"/>
    <w:rsid w:val="00DC7C2B"/>
    <w:rsid w:val="00DD01D5"/>
    <w:rsid w:val="00DD0308"/>
    <w:rsid w:val="00DD09C5"/>
    <w:rsid w:val="00DD16AF"/>
    <w:rsid w:val="00DD192B"/>
    <w:rsid w:val="00DD1A58"/>
    <w:rsid w:val="00DD1DF0"/>
    <w:rsid w:val="00DD2865"/>
    <w:rsid w:val="00DD2AED"/>
    <w:rsid w:val="00DD3868"/>
    <w:rsid w:val="00DD47EB"/>
    <w:rsid w:val="00DD5006"/>
    <w:rsid w:val="00DD550A"/>
    <w:rsid w:val="00DD5EA3"/>
    <w:rsid w:val="00DD6969"/>
    <w:rsid w:val="00DD6CE8"/>
    <w:rsid w:val="00DD75A6"/>
    <w:rsid w:val="00DD793D"/>
    <w:rsid w:val="00DD79FD"/>
    <w:rsid w:val="00DE042C"/>
    <w:rsid w:val="00DE0D41"/>
    <w:rsid w:val="00DE1113"/>
    <w:rsid w:val="00DE1432"/>
    <w:rsid w:val="00DE164D"/>
    <w:rsid w:val="00DE1ACA"/>
    <w:rsid w:val="00DE1ED9"/>
    <w:rsid w:val="00DE3344"/>
    <w:rsid w:val="00DE38FA"/>
    <w:rsid w:val="00DE3BC6"/>
    <w:rsid w:val="00DE42CF"/>
    <w:rsid w:val="00DE440E"/>
    <w:rsid w:val="00DE4E89"/>
    <w:rsid w:val="00DE5320"/>
    <w:rsid w:val="00DE5F84"/>
    <w:rsid w:val="00DE6425"/>
    <w:rsid w:val="00DF0B8E"/>
    <w:rsid w:val="00DF0E68"/>
    <w:rsid w:val="00DF1D19"/>
    <w:rsid w:val="00DF2BB5"/>
    <w:rsid w:val="00DF2FFE"/>
    <w:rsid w:val="00DF3160"/>
    <w:rsid w:val="00DF47D0"/>
    <w:rsid w:val="00DF556E"/>
    <w:rsid w:val="00DF57D4"/>
    <w:rsid w:val="00DF5BFA"/>
    <w:rsid w:val="00DF6CA5"/>
    <w:rsid w:val="00DF707B"/>
    <w:rsid w:val="00DF756E"/>
    <w:rsid w:val="00DF7606"/>
    <w:rsid w:val="00DF765D"/>
    <w:rsid w:val="00DF7858"/>
    <w:rsid w:val="00DF79E7"/>
    <w:rsid w:val="00E000C2"/>
    <w:rsid w:val="00E0023C"/>
    <w:rsid w:val="00E00266"/>
    <w:rsid w:val="00E00720"/>
    <w:rsid w:val="00E007C7"/>
    <w:rsid w:val="00E008B5"/>
    <w:rsid w:val="00E00CCD"/>
    <w:rsid w:val="00E00FA7"/>
    <w:rsid w:val="00E013EA"/>
    <w:rsid w:val="00E01922"/>
    <w:rsid w:val="00E019B4"/>
    <w:rsid w:val="00E01B05"/>
    <w:rsid w:val="00E0221C"/>
    <w:rsid w:val="00E0245E"/>
    <w:rsid w:val="00E02662"/>
    <w:rsid w:val="00E02723"/>
    <w:rsid w:val="00E035A0"/>
    <w:rsid w:val="00E035BE"/>
    <w:rsid w:val="00E03816"/>
    <w:rsid w:val="00E03E78"/>
    <w:rsid w:val="00E0534F"/>
    <w:rsid w:val="00E053E3"/>
    <w:rsid w:val="00E06E48"/>
    <w:rsid w:val="00E107A4"/>
    <w:rsid w:val="00E10D8B"/>
    <w:rsid w:val="00E10DAB"/>
    <w:rsid w:val="00E10E80"/>
    <w:rsid w:val="00E1139C"/>
    <w:rsid w:val="00E11783"/>
    <w:rsid w:val="00E1192D"/>
    <w:rsid w:val="00E128A3"/>
    <w:rsid w:val="00E12E8E"/>
    <w:rsid w:val="00E13348"/>
    <w:rsid w:val="00E1516D"/>
    <w:rsid w:val="00E1549B"/>
    <w:rsid w:val="00E15EB8"/>
    <w:rsid w:val="00E161CA"/>
    <w:rsid w:val="00E162D4"/>
    <w:rsid w:val="00E177DD"/>
    <w:rsid w:val="00E17813"/>
    <w:rsid w:val="00E20130"/>
    <w:rsid w:val="00E2216C"/>
    <w:rsid w:val="00E223DA"/>
    <w:rsid w:val="00E2404A"/>
    <w:rsid w:val="00E24A52"/>
    <w:rsid w:val="00E24EBA"/>
    <w:rsid w:val="00E25010"/>
    <w:rsid w:val="00E25B4E"/>
    <w:rsid w:val="00E26159"/>
    <w:rsid w:val="00E26BF4"/>
    <w:rsid w:val="00E277B9"/>
    <w:rsid w:val="00E30784"/>
    <w:rsid w:val="00E30972"/>
    <w:rsid w:val="00E31349"/>
    <w:rsid w:val="00E32FAA"/>
    <w:rsid w:val="00E33ACD"/>
    <w:rsid w:val="00E3443B"/>
    <w:rsid w:val="00E34E9C"/>
    <w:rsid w:val="00E35204"/>
    <w:rsid w:val="00E3550C"/>
    <w:rsid w:val="00E35BC7"/>
    <w:rsid w:val="00E35BE4"/>
    <w:rsid w:val="00E35BFE"/>
    <w:rsid w:val="00E35D1D"/>
    <w:rsid w:val="00E36150"/>
    <w:rsid w:val="00E36A50"/>
    <w:rsid w:val="00E36F5B"/>
    <w:rsid w:val="00E37DB7"/>
    <w:rsid w:val="00E40930"/>
    <w:rsid w:val="00E40C5F"/>
    <w:rsid w:val="00E40F2C"/>
    <w:rsid w:val="00E41067"/>
    <w:rsid w:val="00E4146F"/>
    <w:rsid w:val="00E41EFE"/>
    <w:rsid w:val="00E4207B"/>
    <w:rsid w:val="00E42291"/>
    <w:rsid w:val="00E42FC4"/>
    <w:rsid w:val="00E44A45"/>
    <w:rsid w:val="00E44FC6"/>
    <w:rsid w:val="00E4561B"/>
    <w:rsid w:val="00E45770"/>
    <w:rsid w:val="00E45926"/>
    <w:rsid w:val="00E46A73"/>
    <w:rsid w:val="00E477F4"/>
    <w:rsid w:val="00E4780E"/>
    <w:rsid w:val="00E47CA5"/>
    <w:rsid w:val="00E5005B"/>
    <w:rsid w:val="00E50088"/>
    <w:rsid w:val="00E501B5"/>
    <w:rsid w:val="00E509A8"/>
    <w:rsid w:val="00E51042"/>
    <w:rsid w:val="00E51306"/>
    <w:rsid w:val="00E51B9E"/>
    <w:rsid w:val="00E52420"/>
    <w:rsid w:val="00E524B3"/>
    <w:rsid w:val="00E52600"/>
    <w:rsid w:val="00E528E0"/>
    <w:rsid w:val="00E5391E"/>
    <w:rsid w:val="00E56663"/>
    <w:rsid w:val="00E56E8E"/>
    <w:rsid w:val="00E56EB7"/>
    <w:rsid w:val="00E573EE"/>
    <w:rsid w:val="00E57DA3"/>
    <w:rsid w:val="00E6068E"/>
    <w:rsid w:val="00E60808"/>
    <w:rsid w:val="00E60C03"/>
    <w:rsid w:val="00E6121A"/>
    <w:rsid w:val="00E6169B"/>
    <w:rsid w:val="00E6188F"/>
    <w:rsid w:val="00E62ED3"/>
    <w:rsid w:val="00E631C5"/>
    <w:rsid w:val="00E6327C"/>
    <w:rsid w:val="00E63A97"/>
    <w:rsid w:val="00E64269"/>
    <w:rsid w:val="00E6447B"/>
    <w:rsid w:val="00E645E9"/>
    <w:rsid w:val="00E64849"/>
    <w:rsid w:val="00E64A6F"/>
    <w:rsid w:val="00E650EC"/>
    <w:rsid w:val="00E65F29"/>
    <w:rsid w:val="00E65F94"/>
    <w:rsid w:val="00E65F9F"/>
    <w:rsid w:val="00E6669D"/>
    <w:rsid w:val="00E66792"/>
    <w:rsid w:val="00E67C65"/>
    <w:rsid w:val="00E67D11"/>
    <w:rsid w:val="00E67F5A"/>
    <w:rsid w:val="00E7052A"/>
    <w:rsid w:val="00E70A0D"/>
    <w:rsid w:val="00E710B1"/>
    <w:rsid w:val="00E71298"/>
    <w:rsid w:val="00E71B4B"/>
    <w:rsid w:val="00E71CA5"/>
    <w:rsid w:val="00E71CBF"/>
    <w:rsid w:val="00E71E55"/>
    <w:rsid w:val="00E73B94"/>
    <w:rsid w:val="00E73DAA"/>
    <w:rsid w:val="00E7436B"/>
    <w:rsid w:val="00E743BC"/>
    <w:rsid w:val="00E74B45"/>
    <w:rsid w:val="00E74E47"/>
    <w:rsid w:val="00E7559C"/>
    <w:rsid w:val="00E75C43"/>
    <w:rsid w:val="00E763F5"/>
    <w:rsid w:val="00E766D0"/>
    <w:rsid w:val="00E76AE8"/>
    <w:rsid w:val="00E774F2"/>
    <w:rsid w:val="00E77EDB"/>
    <w:rsid w:val="00E8095F"/>
    <w:rsid w:val="00E8233D"/>
    <w:rsid w:val="00E82B52"/>
    <w:rsid w:val="00E82E78"/>
    <w:rsid w:val="00E8320E"/>
    <w:rsid w:val="00E83C63"/>
    <w:rsid w:val="00E841DA"/>
    <w:rsid w:val="00E84EDC"/>
    <w:rsid w:val="00E852DF"/>
    <w:rsid w:val="00E85441"/>
    <w:rsid w:val="00E856A5"/>
    <w:rsid w:val="00E858C0"/>
    <w:rsid w:val="00E85EE2"/>
    <w:rsid w:val="00E8655F"/>
    <w:rsid w:val="00E86949"/>
    <w:rsid w:val="00E8704F"/>
    <w:rsid w:val="00E87421"/>
    <w:rsid w:val="00E90747"/>
    <w:rsid w:val="00E90931"/>
    <w:rsid w:val="00E90F7E"/>
    <w:rsid w:val="00E91314"/>
    <w:rsid w:val="00E9157F"/>
    <w:rsid w:val="00E9162C"/>
    <w:rsid w:val="00E92D0A"/>
    <w:rsid w:val="00E94BAE"/>
    <w:rsid w:val="00E94C4F"/>
    <w:rsid w:val="00E94D1B"/>
    <w:rsid w:val="00E95709"/>
    <w:rsid w:val="00E957C5"/>
    <w:rsid w:val="00E95FBF"/>
    <w:rsid w:val="00E96046"/>
    <w:rsid w:val="00E96773"/>
    <w:rsid w:val="00E970CC"/>
    <w:rsid w:val="00E971D8"/>
    <w:rsid w:val="00EA0230"/>
    <w:rsid w:val="00EA027A"/>
    <w:rsid w:val="00EA0879"/>
    <w:rsid w:val="00EA0AD5"/>
    <w:rsid w:val="00EA1B80"/>
    <w:rsid w:val="00EA1C0F"/>
    <w:rsid w:val="00EA2D44"/>
    <w:rsid w:val="00EA49E9"/>
    <w:rsid w:val="00EA4A68"/>
    <w:rsid w:val="00EA4A7A"/>
    <w:rsid w:val="00EA53C8"/>
    <w:rsid w:val="00EA5856"/>
    <w:rsid w:val="00EA64C5"/>
    <w:rsid w:val="00EA6622"/>
    <w:rsid w:val="00EA7024"/>
    <w:rsid w:val="00EA707B"/>
    <w:rsid w:val="00EA74E1"/>
    <w:rsid w:val="00EA752D"/>
    <w:rsid w:val="00EA7905"/>
    <w:rsid w:val="00EA7B1C"/>
    <w:rsid w:val="00EB0CE7"/>
    <w:rsid w:val="00EB11B0"/>
    <w:rsid w:val="00EB1782"/>
    <w:rsid w:val="00EB1E0D"/>
    <w:rsid w:val="00EB230D"/>
    <w:rsid w:val="00EB2464"/>
    <w:rsid w:val="00EB266C"/>
    <w:rsid w:val="00EB2AFC"/>
    <w:rsid w:val="00EB2E42"/>
    <w:rsid w:val="00EB2E9C"/>
    <w:rsid w:val="00EB31CE"/>
    <w:rsid w:val="00EB3492"/>
    <w:rsid w:val="00EB39E4"/>
    <w:rsid w:val="00EB469E"/>
    <w:rsid w:val="00EB6484"/>
    <w:rsid w:val="00EB6ACD"/>
    <w:rsid w:val="00EC01C9"/>
    <w:rsid w:val="00EC08DF"/>
    <w:rsid w:val="00EC0922"/>
    <w:rsid w:val="00EC0925"/>
    <w:rsid w:val="00EC0AAC"/>
    <w:rsid w:val="00EC0AED"/>
    <w:rsid w:val="00EC0C15"/>
    <w:rsid w:val="00EC0DE2"/>
    <w:rsid w:val="00EC107E"/>
    <w:rsid w:val="00EC10D3"/>
    <w:rsid w:val="00EC16CC"/>
    <w:rsid w:val="00EC1DD2"/>
    <w:rsid w:val="00EC20B1"/>
    <w:rsid w:val="00EC2B3D"/>
    <w:rsid w:val="00EC2CE7"/>
    <w:rsid w:val="00EC3269"/>
    <w:rsid w:val="00EC36AE"/>
    <w:rsid w:val="00EC3E98"/>
    <w:rsid w:val="00EC4913"/>
    <w:rsid w:val="00EC5297"/>
    <w:rsid w:val="00EC55B8"/>
    <w:rsid w:val="00EC55DE"/>
    <w:rsid w:val="00EC5D14"/>
    <w:rsid w:val="00EC6E44"/>
    <w:rsid w:val="00EC710C"/>
    <w:rsid w:val="00EC71D2"/>
    <w:rsid w:val="00EC7284"/>
    <w:rsid w:val="00EC7690"/>
    <w:rsid w:val="00EC790A"/>
    <w:rsid w:val="00EC7BE3"/>
    <w:rsid w:val="00ED0438"/>
    <w:rsid w:val="00ED0DDA"/>
    <w:rsid w:val="00ED10EB"/>
    <w:rsid w:val="00ED1183"/>
    <w:rsid w:val="00ED187D"/>
    <w:rsid w:val="00ED1A22"/>
    <w:rsid w:val="00ED1A42"/>
    <w:rsid w:val="00ED2C6E"/>
    <w:rsid w:val="00ED2F97"/>
    <w:rsid w:val="00ED363D"/>
    <w:rsid w:val="00ED3A5F"/>
    <w:rsid w:val="00ED4891"/>
    <w:rsid w:val="00ED5D5F"/>
    <w:rsid w:val="00ED72E9"/>
    <w:rsid w:val="00ED7D41"/>
    <w:rsid w:val="00ED7E27"/>
    <w:rsid w:val="00EE0155"/>
    <w:rsid w:val="00EE0984"/>
    <w:rsid w:val="00EE0D20"/>
    <w:rsid w:val="00EE0D77"/>
    <w:rsid w:val="00EE0EFF"/>
    <w:rsid w:val="00EE159E"/>
    <w:rsid w:val="00EE16BD"/>
    <w:rsid w:val="00EE1DD5"/>
    <w:rsid w:val="00EE30E2"/>
    <w:rsid w:val="00EE310B"/>
    <w:rsid w:val="00EE3687"/>
    <w:rsid w:val="00EE384E"/>
    <w:rsid w:val="00EE388A"/>
    <w:rsid w:val="00EE4391"/>
    <w:rsid w:val="00EE48FB"/>
    <w:rsid w:val="00EE4D94"/>
    <w:rsid w:val="00EE4D98"/>
    <w:rsid w:val="00EE5254"/>
    <w:rsid w:val="00EE5A8C"/>
    <w:rsid w:val="00EE5D04"/>
    <w:rsid w:val="00EE5E25"/>
    <w:rsid w:val="00EE5EDE"/>
    <w:rsid w:val="00EE6559"/>
    <w:rsid w:val="00EE7571"/>
    <w:rsid w:val="00EE7C32"/>
    <w:rsid w:val="00EF021D"/>
    <w:rsid w:val="00EF0D0D"/>
    <w:rsid w:val="00EF0DAE"/>
    <w:rsid w:val="00EF1530"/>
    <w:rsid w:val="00EF15E2"/>
    <w:rsid w:val="00EF198C"/>
    <w:rsid w:val="00EF2847"/>
    <w:rsid w:val="00EF2D26"/>
    <w:rsid w:val="00EF2DE4"/>
    <w:rsid w:val="00EF329C"/>
    <w:rsid w:val="00EF37EE"/>
    <w:rsid w:val="00EF3D95"/>
    <w:rsid w:val="00EF467F"/>
    <w:rsid w:val="00EF4C5F"/>
    <w:rsid w:val="00EF4E23"/>
    <w:rsid w:val="00EF5326"/>
    <w:rsid w:val="00EF5D76"/>
    <w:rsid w:val="00EF660E"/>
    <w:rsid w:val="00EF7F0A"/>
    <w:rsid w:val="00F0006A"/>
    <w:rsid w:val="00F020B3"/>
    <w:rsid w:val="00F0291A"/>
    <w:rsid w:val="00F02CC8"/>
    <w:rsid w:val="00F0300F"/>
    <w:rsid w:val="00F032CC"/>
    <w:rsid w:val="00F03D7A"/>
    <w:rsid w:val="00F04148"/>
    <w:rsid w:val="00F04714"/>
    <w:rsid w:val="00F04CC8"/>
    <w:rsid w:val="00F05FFE"/>
    <w:rsid w:val="00F0644D"/>
    <w:rsid w:val="00F06D04"/>
    <w:rsid w:val="00F06E02"/>
    <w:rsid w:val="00F079C0"/>
    <w:rsid w:val="00F07A54"/>
    <w:rsid w:val="00F07A63"/>
    <w:rsid w:val="00F12DBF"/>
    <w:rsid w:val="00F12FB0"/>
    <w:rsid w:val="00F13B84"/>
    <w:rsid w:val="00F141DE"/>
    <w:rsid w:val="00F15291"/>
    <w:rsid w:val="00F157AD"/>
    <w:rsid w:val="00F15FE8"/>
    <w:rsid w:val="00F16735"/>
    <w:rsid w:val="00F16861"/>
    <w:rsid w:val="00F17645"/>
    <w:rsid w:val="00F17B07"/>
    <w:rsid w:val="00F2022A"/>
    <w:rsid w:val="00F20318"/>
    <w:rsid w:val="00F20738"/>
    <w:rsid w:val="00F21222"/>
    <w:rsid w:val="00F21DFA"/>
    <w:rsid w:val="00F22853"/>
    <w:rsid w:val="00F22865"/>
    <w:rsid w:val="00F234F2"/>
    <w:rsid w:val="00F23A76"/>
    <w:rsid w:val="00F23CA9"/>
    <w:rsid w:val="00F23D85"/>
    <w:rsid w:val="00F23F2C"/>
    <w:rsid w:val="00F25099"/>
    <w:rsid w:val="00F2670E"/>
    <w:rsid w:val="00F26E53"/>
    <w:rsid w:val="00F26F42"/>
    <w:rsid w:val="00F27154"/>
    <w:rsid w:val="00F272BA"/>
    <w:rsid w:val="00F27575"/>
    <w:rsid w:val="00F278E6"/>
    <w:rsid w:val="00F27917"/>
    <w:rsid w:val="00F3056B"/>
    <w:rsid w:val="00F30744"/>
    <w:rsid w:val="00F30EF1"/>
    <w:rsid w:val="00F30FD0"/>
    <w:rsid w:val="00F31239"/>
    <w:rsid w:val="00F316F8"/>
    <w:rsid w:val="00F321C0"/>
    <w:rsid w:val="00F32347"/>
    <w:rsid w:val="00F32BA8"/>
    <w:rsid w:val="00F33279"/>
    <w:rsid w:val="00F357E7"/>
    <w:rsid w:val="00F360C4"/>
    <w:rsid w:val="00F369AF"/>
    <w:rsid w:val="00F36AC6"/>
    <w:rsid w:val="00F36BE0"/>
    <w:rsid w:val="00F37359"/>
    <w:rsid w:val="00F3759E"/>
    <w:rsid w:val="00F37AC5"/>
    <w:rsid w:val="00F37C37"/>
    <w:rsid w:val="00F40690"/>
    <w:rsid w:val="00F40866"/>
    <w:rsid w:val="00F41767"/>
    <w:rsid w:val="00F4188E"/>
    <w:rsid w:val="00F41DD0"/>
    <w:rsid w:val="00F421D1"/>
    <w:rsid w:val="00F42AB5"/>
    <w:rsid w:val="00F42D2E"/>
    <w:rsid w:val="00F43419"/>
    <w:rsid w:val="00F43BA0"/>
    <w:rsid w:val="00F443FB"/>
    <w:rsid w:val="00F4443F"/>
    <w:rsid w:val="00F448D2"/>
    <w:rsid w:val="00F44FC5"/>
    <w:rsid w:val="00F45231"/>
    <w:rsid w:val="00F4573E"/>
    <w:rsid w:val="00F45F43"/>
    <w:rsid w:val="00F460C4"/>
    <w:rsid w:val="00F460F8"/>
    <w:rsid w:val="00F4617B"/>
    <w:rsid w:val="00F46289"/>
    <w:rsid w:val="00F46567"/>
    <w:rsid w:val="00F4679D"/>
    <w:rsid w:val="00F47EF7"/>
    <w:rsid w:val="00F5051F"/>
    <w:rsid w:val="00F505A9"/>
    <w:rsid w:val="00F5078D"/>
    <w:rsid w:val="00F52307"/>
    <w:rsid w:val="00F530CF"/>
    <w:rsid w:val="00F53CCD"/>
    <w:rsid w:val="00F5497A"/>
    <w:rsid w:val="00F558D7"/>
    <w:rsid w:val="00F560CF"/>
    <w:rsid w:val="00F56D89"/>
    <w:rsid w:val="00F573FB"/>
    <w:rsid w:val="00F576E6"/>
    <w:rsid w:val="00F576FC"/>
    <w:rsid w:val="00F57AF0"/>
    <w:rsid w:val="00F57E71"/>
    <w:rsid w:val="00F602E4"/>
    <w:rsid w:val="00F603A2"/>
    <w:rsid w:val="00F60E71"/>
    <w:rsid w:val="00F60F93"/>
    <w:rsid w:val="00F61391"/>
    <w:rsid w:val="00F618AE"/>
    <w:rsid w:val="00F6194A"/>
    <w:rsid w:val="00F624A2"/>
    <w:rsid w:val="00F62CFF"/>
    <w:rsid w:val="00F63132"/>
    <w:rsid w:val="00F64BD6"/>
    <w:rsid w:val="00F64E99"/>
    <w:rsid w:val="00F64EA0"/>
    <w:rsid w:val="00F65C18"/>
    <w:rsid w:val="00F65F16"/>
    <w:rsid w:val="00F66362"/>
    <w:rsid w:val="00F6738D"/>
    <w:rsid w:val="00F70030"/>
    <w:rsid w:val="00F7188D"/>
    <w:rsid w:val="00F71C4B"/>
    <w:rsid w:val="00F72D34"/>
    <w:rsid w:val="00F73102"/>
    <w:rsid w:val="00F73224"/>
    <w:rsid w:val="00F73607"/>
    <w:rsid w:val="00F73B2B"/>
    <w:rsid w:val="00F748A1"/>
    <w:rsid w:val="00F74B05"/>
    <w:rsid w:val="00F74F8C"/>
    <w:rsid w:val="00F75455"/>
    <w:rsid w:val="00F75D16"/>
    <w:rsid w:val="00F77112"/>
    <w:rsid w:val="00F7780C"/>
    <w:rsid w:val="00F77DBC"/>
    <w:rsid w:val="00F80518"/>
    <w:rsid w:val="00F8094A"/>
    <w:rsid w:val="00F80D63"/>
    <w:rsid w:val="00F80E56"/>
    <w:rsid w:val="00F80F6B"/>
    <w:rsid w:val="00F812B7"/>
    <w:rsid w:val="00F8150A"/>
    <w:rsid w:val="00F81972"/>
    <w:rsid w:val="00F827CC"/>
    <w:rsid w:val="00F82A10"/>
    <w:rsid w:val="00F831D2"/>
    <w:rsid w:val="00F83B4F"/>
    <w:rsid w:val="00F84BBD"/>
    <w:rsid w:val="00F8542B"/>
    <w:rsid w:val="00F857D6"/>
    <w:rsid w:val="00F8588F"/>
    <w:rsid w:val="00F85EB9"/>
    <w:rsid w:val="00F86151"/>
    <w:rsid w:val="00F86181"/>
    <w:rsid w:val="00F86232"/>
    <w:rsid w:val="00F86735"/>
    <w:rsid w:val="00F87593"/>
    <w:rsid w:val="00F90BDD"/>
    <w:rsid w:val="00F91647"/>
    <w:rsid w:val="00F91A77"/>
    <w:rsid w:val="00F934D5"/>
    <w:rsid w:val="00F938F6"/>
    <w:rsid w:val="00F93A29"/>
    <w:rsid w:val="00F943D4"/>
    <w:rsid w:val="00F94A2D"/>
    <w:rsid w:val="00F9545C"/>
    <w:rsid w:val="00F95C32"/>
    <w:rsid w:val="00F96571"/>
    <w:rsid w:val="00F97080"/>
    <w:rsid w:val="00F9798C"/>
    <w:rsid w:val="00FA136E"/>
    <w:rsid w:val="00FA2117"/>
    <w:rsid w:val="00FA230D"/>
    <w:rsid w:val="00FA23BB"/>
    <w:rsid w:val="00FA25BD"/>
    <w:rsid w:val="00FA3175"/>
    <w:rsid w:val="00FA3587"/>
    <w:rsid w:val="00FA37AE"/>
    <w:rsid w:val="00FA386F"/>
    <w:rsid w:val="00FA4058"/>
    <w:rsid w:val="00FA41BF"/>
    <w:rsid w:val="00FA52AA"/>
    <w:rsid w:val="00FA53E6"/>
    <w:rsid w:val="00FA56CA"/>
    <w:rsid w:val="00FA5A50"/>
    <w:rsid w:val="00FA602A"/>
    <w:rsid w:val="00FA78A9"/>
    <w:rsid w:val="00FA7E67"/>
    <w:rsid w:val="00FB07CB"/>
    <w:rsid w:val="00FB0EE9"/>
    <w:rsid w:val="00FB137B"/>
    <w:rsid w:val="00FB1E9C"/>
    <w:rsid w:val="00FB20E5"/>
    <w:rsid w:val="00FB2F53"/>
    <w:rsid w:val="00FB3FC9"/>
    <w:rsid w:val="00FB4240"/>
    <w:rsid w:val="00FB4760"/>
    <w:rsid w:val="00FB480A"/>
    <w:rsid w:val="00FB5571"/>
    <w:rsid w:val="00FB5947"/>
    <w:rsid w:val="00FB6958"/>
    <w:rsid w:val="00FB6A47"/>
    <w:rsid w:val="00FB6C1D"/>
    <w:rsid w:val="00FB72AF"/>
    <w:rsid w:val="00FB75CF"/>
    <w:rsid w:val="00FC0967"/>
    <w:rsid w:val="00FC13C7"/>
    <w:rsid w:val="00FC1867"/>
    <w:rsid w:val="00FC18D9"/>
    <w:rsid w:val="00FC1E6C"/>
    <w:rsid w:val="00FC2003"/>
    <w:rsid w:val="00FC213A"/>
    <w:rsid w:val="00FC2B2D"/>
    <w:rsid w:val="00FC2F2A"/>
    <w:rsid w:val="00FC2F36"/>
    <w:rsid w:val="00FC3855"/>
    <w:rsid w:val="00FC3BB0"/>
    <w:rsid w:val="00FC3D88"/>
    <w:rsid w:val="00FC4479"/>
    <w:rsid w:val="00FC4FF7"/>
    <w:rsid w:val="00FC57A0"/>
    <w:rsid w:val="00FC651C"/>
    <w:rsid w:val="00FC7DCF"/>
    <w:rsid w:val="00FD0212"/>
    <w:rsid w:val="00FD0688"/>
    <w:rsid w:val="00FD1009"/>
    <w:rsid w:val="00FD1057"/>
    <w:rsid w:val="00FD1F85"/>
    <w:rsid w:val="00FD2035"/>
    <w:rsid w:val="00FD2101"/>
    <w:rsid w:val="00FD250B"/>
    <w:rsid w:val="00FD26B2"/>
    <w:rsid w:val="00FD3A3F"/>
    <w:rsid w:val="00FD54AF"/>
    <w:rsid w:val="00FD55C9"/>
    <w:rsid w:val="00FD5F46"/>
    <w:rsid w:val="00FD6DAB"/>
    <w:rsid w:val="00FD6EDC"/>
    <w:rsid w:val="00FD7572"/>
    <w:rsid w:val="00FD7AD2"/>
    <w:rsid w:val="00FD7FBC"/>
    <w:rsid w:val="00FE0836"/>
    <w:rsid w:val="00FE0A43"/>
    <w:rsid w:val="00FE0C7C"/>
    <w:rsid w:val="00FE19E1"/>
    <w:rsid w:val="00FE232C"/>
    <w:rsid w:val="00FE26D8"/>
    <w:rsid w:val="00FE2AB6"/>
    <w:rsid w:val="00FE3ED6"/>
    <w:rsid w:val="00FE45C1"/>
    <w:rsid w:val="00FE4803"/>
    <w:rsid w:val="00FE4842"/>
    <w:rsid w:val="00FE4BDC"/>
    <w:rsid w:val="00FE520D"/>
    <w:rsid w:val="00FE6539"/>
    <w:rsid w:val="00FE6ABD"/>
    <w:rsid w:val="00FE7984"/>
    <w:rsid w:val="00FF04A6"/>
    <w:rsid w:val="00FF05CB"/>
    <w:rsid w:val="00FF082C"/>
    <w:rsid w:val="00FF082E"/>
    <w:rsid w:val="00FF101D"/>
    <w:rsid w:val="00FF2D37"/>
    <w:rsid w:val="00FF2EB2"/>
    <w:rsid w:val="00FF34C7"/>
    <w:rsid w:val="00FF3BFD"/>
    <w:rsid w:val="00FF3CA0"/>
    <w:rsid w:val="00FF44CD"/>
    <w:rsid w:val="00FF4F1F"/>
    <w:rsid w:val="00FF50F8"/>
    <w:rsid w:val="00FF521B"/>
    <w:rsid w:val="00FF5572"/>
    <w:rsid w:val="00FF64E7"/>
    <w:rsid w:val="00FF662D"/>
    <w:rsid w:val="00FF6DD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s-ES" w:eastAsia="es-ES"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iPriority="9" w:unhideWhenUsed="0" w:qFormat="1"/>
    <w:lsdException w:name="heading 2" w:locked="1" w:semiHidden="0" w:uiPriority="9" w:unhideWhenUsed="0"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note text" w:locked="1"/>
    <w:lsdException w:name="annotation text" w:locked="1"/>
    <w:lsdException w:name="header" w:locked="1"/>
    <w:lsdException w:name="footer" w:uiPriority="99"/>
    <w:lsdException w:name="index heading" w:locked="1"/>
    <w:lsdException w:name="caption" w:locked="1" w:uiPriority="35" w:qFormat="1"/>
    <w:lsdException w:name="table of figures" w:locked="1"/>
    <w:lsdException w:name="envelope address" w:uiPriority="99"/>
    <w:lsdException w:name="envelope return" w:locked="1"/>
    <w:lsdException w:name="footnote reference" w:uiPriority="99"/>
    <w:lsdException w:name="annotation reference" w:locked="1"/>
    <w:lsdException w:name="line number" w:uiPriority="99"/>
    <w:lsdException w:name="page number" w:locked="1"/>
    <w:lsdException w:name="endnote reference" w:uiPriority="99"/>
    <w:lsdException w:name="endnote text" w:uiPriority="99"/>
    <w:lsdException w:name="table of authorities" w:locked="1"/>
    <w:lsdException w:name="macro" w:locked="1" w:semiHidden="0" w:unhideWhenUsed="0"/>
    <w:lsdException w:name="toa heading" w:locked="1"/>
    <w:lsdException w:name="List" w:uiPriority="99" w:qFormat="1"/>
    <w:lsdException w:name="List Bullet" w:semiHidden="0" w:uiPriority="99" w:unhideWhenUsed="0" w:qFormat="1"/>
    <w:lsdException w:name="List Number" w:semiHidden="0" w:uiPriority="99" w:unhideWhenUsed="0" w:qFormat="1"/>
    <w:lsdException w:name="List 2" w:uiPriority="99"/>
    <w:lsdException w:name="List 3" w:uiPriority="99"/>
    <w:lsdException w:name="List 4" w:uiPriority="99"/>
    <w:lsdException w:name="List 5" w:uiPriority="99"/>
    <w:lsdException w:name="List Bullet 2" w:locked="1"/>
    <w:lsdException w:name="List Bullet 3" w:locked="1"/>
    <w:lsdException w:name="List Bullet 4" w:locked="1"/>
    <w:lsdException w:name="List Bullet 5" w:uiPriority="99"/>
    <w:lsdException w:name="List Number 2" w:uiPriority="99"/>
    <w:lsdException w:name="List Number 3" w:uiPriority="99"/>
    <w:lsdException w:name="List Number 4" w:uiPriority="99"/>
    <w:lsdException w:name="List Number 5" w:uiPriority="99"/>
    <w:lsdException w:name="Title" w:locked="1" w:semiHidden="0" w:unhideWhenUsed="0" w:qFormat="1"/>
    <w:lsdException w:name="Closing" w:locked="1" w:qFormat="1"/>
    <w:lsdException w:name="Signature" w:locked="1"/>
    <w:lsdException w:name="Default Paragraph Font" w:locked="1" w:uiPriority="1"/>
    <w:lsdException w:name="Body Text" w:locked="1" w:qFormat="1"/>
    <w:lsdException w:name="Body Text Indent" w:locked="1" w:qFormat="1"/>
    <w:lsdException w:name="List Continue" w:locked="1"/>
    <w:lsdException w:name="List Continue 2" w:locked="1"/>
    <w:lsdException w:name="List Continue 3" w:locked="1" w:semiHidden="0" w:unhideWhenUsed="0"/>
    <w:lsdException w:name="List Continue 4" w:locked="1" w:semiHidden="0" w:unhideWhenUsed="0"/>
    <w:lsdException w:name="List Continue 5" w:locked="1" w:semiHidden="0" w:unhideWhenUsed="0"/>
    <w:lsdException w:name="Message Header" w:semiHidden="0" w:uiPriority="99" w:unhideWhenUsed="0"/>
    <w:lsdException w:name="Subtitle" w:locked="1" w:semiHidden="0" w:uiPriority="11" w:unhideWhenUsed="0" w:qFormat="1"/>
    <w:lsdException w:name="Salutation" w:locked="1"/>
    <w:lsdException w:name="Date" w:locked="1"/>
    <w:lsdException w:name="Body Text First Indent" w:uiPriority="99" w:qFormat="1"/>
    <w:lsdException w:name="Body Text First Indent 2" w:uiPriority="99"/>
    <w:lsdException w:name="Note Heading" w:locked="1"/>
    <w:lsdException w:name="Body Text 2" w:uiPriority="99"/>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locked="1" w:semiHidden="0" w:uiPriority="22" w:unhideWhenUsed="0" w:qFormat="1"/>
    <w:lsdException w:name="Emphasis" w:locked="1" w:semiHidden="0" w:uiPriority="20" w:unhideWhenUsed="0" w:qFormat="1"/>
    <w:lsdException w:name="Document Map" w:locked="1"/>
    <w:lsdException w:name="Plain Text" w:locked="1"/>
    <w:lsdException w:name="E-mail Signature"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annotation subject" w:locked="1"/>
    <w:lsdException w:name="No List" w:uiPriority="99"/>
    <w:lsdException w:name="Balloon Text" w:semiHidden="0" w:uiPriority="99" w:unhideWhenUsed="0"/>
    <w:lsdException w:name="Table Grid" w:locked="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6703"/>
    <w:rPr>
      <w:lang w:val="es-AR" w:eastAsia="en-US"/>
    </w:rPr>
  </w:style>
  <w:style w:type="paragraph" w:styleId="Ttulo1">
    <w:name w:val="heading 1"/>
    <w:aliases w:val="título 1,1,Section,GFGSA"/>
    <w:basedOn w:val="Normal"/>
    <w:next w:val="Normal"/>
    <w:link w:val="Ttulo1Car"/>
    <w:uiPriority w:val="9"/>
    <w:qFormat/>
    <w:rsid w:val="00CB0E4F"/>
    <w:pPr>
      <w:keepNext/>
      <w:keepLines/>
      <w:spacing w:before="480"/>
      <w:outlineLvl w:val="0"/>
    </w:pPr>
    <w:rPr>
      <w:rFonts w:ascii="Cambria" w:hAnsi="Cambria"/>
      <w:b/>
      <w:color w:val="365F91"/>
      <w:sz w:val="28"/>
      <w:lang w:val="x-none" w:eastAsia="x-none"/>
    </w:rPr>
  </w:style>
  <w:style w:type="paragraph" w:styleId="Ttulo2">
    <w:name w:val="heading 2"/>
    <w:aliases w:val="título 2,h2,H2,Tight Slug,Major,OPA"/>
    <w:basedOn w:val="Normal"/>
    <w:next w:val="Textoindependiente"/>
    <w:link w:val="Ttulo2Car"/>
    <w:uiPriority w:val="9"/>
    <w:qFormat/>
    <w:rsid w:val="002831AB"/>
    <w:pPr>
      <w:keepNext/>
      <w:keepLines/>
      <w:autoSpaceDE w:val="0"/>
      <w:autoSpaceDN w:val="0"/>
      <w:adjustRightInd w:val="0"/>
      <w:spacing w:before="200"/>
      <w:outlineLvl w:val="1"/>
    </w:pPr>
    <w:rPr>
      <w:rFonts w:ascii="Cambria" w:hAnsi="Cambria"/>
      <w:b/>
      <w:color w:val="4F81BD"/>
      <w:sz w:val="26"/>
      <w:lang w:val="en-US" w:eastAsia="es-AR"/>
    </w:rPr>
  </w:style>
  <w:style w:type="paragraph" w:styleId="Ttulo3">
    <w:name w:val="heading 3"/>
    <w:aliases w:val="título 3,h3,H3,3,Note to Director,TITULOS negrita"/>
    <w:basedOn w:val="Normal"/>
    <w:next w:val="Normal"/>
    <w:link w:val="Ttulo3Car"/>
    <w:uiPriority w:val="9"/>
    <w:qFormat/>
    <w:rsid w:val="002831AB"/>
    <w:pPr>
      <w:keepNext/>
      <w:autoSpaceDE w:val="0"/>
      <w:autoSpaceDN w:val="0"/>
      <w:adjustRightInd w:val="0"/>
      <w:spacing w:before="240" w:after="60"/>
      <w:outlineLvl w:val="2"/>
    </w:pPr>
    <w:rPr>
      <w:rFonts w:ascii="Cambria" w:hAnsi="Cambria"/>
      <w:b/>
      <w:sz w:val="26"/>
      <w:lang w:val="en-US" w:eastAsia="es-AR"/>
    </w:rPr>
  </w:style>
  <w:style w:type="paragraph" w:styleId="Ttulo4">
    <w:name w:val="heading 4"/>
    <w:aliases w:val="Título sin negrita"/>
    <w:basedOn w:val="Normal"/>
    <w:next w:val="Normal"/>
    <w:link w:val="Ttulo4Car"/>
    <w:uiPriority w:val="9"/>
    <w:qFormat/>
    <w:rsid w:val="00CB0E4F"/>
    <w:pPr>
      <w:keepNext/>
      <w:keepLines/>
      <w:spacing w:before="200"/>
      <w:outlineLvl w:val="3"/>
    </w:pPr>
    <w:rPr>
      <w:rFonts w:ascii="Cambria" w:hAnsi="Cambria"/>
      <w:b/>
      <w:i/>
      <w:color w:val="4F81BD"/>
      <w:lang w:val="x-none" w:eastAsia="x-none"/>
    </w:rPr>
  </w:style>
  <w:style w:type="paragraph" w:styleId="Ttulo5">
    <w:name w:val="heading 5"/>
    <w:basedOn w:val="Normal"/>
    <w:next w:val="Normal"/>
    <w:link w:val="Ttulo5Car"/>
    <w:uiPriority w:val="9"/>
    <w:qFormat/>
    <w:rsid w:val="00CB0E4F"/>
    <w:pPr>
      <w:keepNext/>
      <w:keepLines/>
      <w:spacing w:before="200"/>
      <w:outlineLvl w:val="4"/>
    </w:pPr>
    <w:rPr>
      <w:rFonts w:ascii="Cambria" w:hAnsi="Cambria"/>
      <w:color w:val="243F60"/>
      <w:lang w:val="x-none" w:eastAsia="x-none"/>
    </w:rPr>
  </w:style>
  <w:style w:type="paragraph" w:styleId="Ttulo6">
    <w:name w:val="heading 6"/>
    <w:aliases w:val="Título 6 Car Car"/>
    <w:basedOn w:val="Normal"/>
    <w:next w:val="Normal"/>
    <w:link w:val="Ttulo6Car"/>
    <w:uiPriority w:val="9"/>
    <w:qFormat/>
    <w:rsid w:val="002831AB"/>
    <w:pPr>
      <w:autoSpaceDE w:val="0"/>
      <w:autoSpaceDN w:val="0"/>
      <w:adjustRightInd w:val="0"/>
      <w:spacing w:before="240" w:after="60"/>
      <w:outlineLvl w:val="5"/>
    </w:pPr>
    <w:rPr>
      <w:b/>
      <w:sz w:val="22"/>
      <w:lang w:val="en-US" w:eastAsia="es-AR"/>
    </w:rPr>
  </w:style>
  <w:style w:type="paragraph" w:styleId="Ttulo7">
    <w:name w:val="heading 7"/>
    <w:basedOn w:val="Normal"/>
    <w:next w:val="Normal"/>
    <w:link w:val="Ttulo7Car"/>
    <w:uiPriority w:val="9"/>
    <w:qFormat/>
    <w:rsid w:val="002831AB"/>
    <w:pPr>
      <w:autoSpaceDE w:val="0"/>
      <w:autoSpaceDN w:val="0"/>
      <w:adjustRightInd w:val="0"/>
      <w:spacing w:before="240" w:after="60"/>
      <w:outlineLvl w:val="6"/>
    </w:pPr>
    <w:rPr>
      <w:sz w:val="24"/>
      <w:lang w:val="en-US" w:eastAsia="es-AR"/>
    </w:rPr>
  </w:style>
  <w:style w:type="paragraph" w:styleId="Ttulo8">
    <w:name w:val="heading 8"/>
    <w:basedOn w:val="Normal"/>
    <w:next w:val="Normal"/>
    <w:link w:val="Ttulo8Car"/>
    <w:uiPriority w:val="9"/>
    <w:qFormat/>
    <w:rsid w:val="002831AB"/>
    <w:pPr>
      <w:autoSpaceDE w:val="0"/>
      <w:autoSpaceDN w:val="0"/>
      <w:adjustRightInd w:val="0"/>
      <w:spacing w:before="240" w:after="60"/>
      <w:outlineLvl w:val="7"/>
    </w:pPr>
    <w:rPr>
      <w:i/>
      <w:sz w:val="24"/>
      <w:lang w:val="en-US" w:eastAsia="es-AR"/>
    </w:rPr>
  </w:style>
  <w:style w:type="paragraph" w:styleId="Ttulo9">
    <w:name w:val="heading 9"/>
    <w:basedOn w:val="Normal"/>
    <w:next w:val="Normal"/>
    <w:link w:val="Ttulo9Car"/>
    <w:uiPriority w:val="9"/>
    <w:qFormat/>
    <w:rsid w:val="002831AB"/>
    <w:pPr>
      <w:autoSpaceDE w:val="0"/>
      <w:autoSpaceDN w:val="0"/>
      <w:adjustRightInd w:val="0"/>
      <w:spacing w:before="240" w:after="60"/>
      <w:outlineLvl w:val="8"/>
    </w:pPr>
    <w:rPr>
      <w:rFonts w:ascii="Cambria" w:hAnsi="Cambria"/>
      <w:sz w:val="22"/>
      <w:lang w:val="en-US" w:eastAsia="es-A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ZBV1Centro">
    <w:name w:val="ZBV 1 Centro"/>
    <w:basedOn w:val="Normal"/>
    <w:link w:val="ZBV1CentroCar"/>
    <w:qFormat/>
    <w:rsid w:val="00CB0E4F"/>
    <w:pPr>
      <w:keepNext/>
      <w:autoSpaceDE w:val="0"/>
      <w:autoSpaceDN w:val="0"/>
      <w:adjustRightInd w:val="0"/>
      <w:spacing w:before="240" w:after="240"/>
      <w:jc w:val="center"/>
      <w:outlineLvl w:val="0"/>
    </w:pPr>
    <w:rPr>
      <w:rFonts w:ascii="Times New Roman" w:hAnsi="Times New Roman"/>
      <w:b/>
      <w:lang w:val="en-US" w:eastAsia="x-none"/>
    </w:rPr>
  </w:style>
  <w:style w:type="character" w:customStyle="1" w:styleId="ZBV1CentroCar">
    <w:name w:val="ZBV 1 Centro Car"/>
    <w:link w:val="ZBV1Centro"/>
    <w:locked/>
    <w:rsid w:val="00CB0E4F"/>
    <w:rPr>
      <w:rFonts w:ascii="Times New Roman" w:eastAsia="Times New Roman" w:hAnsi="Times New Roman"/>
      <w:b/>
      <w:lang w:val="en-US" w:eastAsia="x-none"/>
    </w:rPr>
  </w:style>
  <w:style w:type="paragraph" w:customStyle="1" w:styleId="ZBV2Izquierda">
    <w:name w:val="ZBV 2 Izquierda"/>
    <w:basedOn w:val="ZBV1Centro"/>
    <w:link w:val="ZBV2IzquierdaCar"/>
    <w:qFormat/>
    <w:rsid w:val="00CB0E4F"/>
  </w:style>
  <w:style w:type="character" w:customStyle="1" w:styleId="ZBV2IzquierdaCar">
    <w:name w:val="ZBV 2 Izquierda Car"/>
    <w:link w:val="ZBV2Izquierda"/>
    <w:locked/>
    <w:rsid w:val="00CB0E4F"/>
    <w:rPr>
      <w:rFonts w:ascii="Times New Roman" w:eastAsia="Times New Roman" w:hAnsi="Times New Roman"/>
      <w:b/>
      <w:lang w:val="en-US" w:eastAsia="x-none"/>
    </w:rPr>
  </w:style>
  <w:style w:type="paragraph" w:customStyle="1" w:styleId="ZBV3Cursiva">
    <w:name w:val="ZBV 3 Cursiva"/>
    <w:basedOn w:val="ZBV1Centro"/>
    <w:link w:val="ZBV3CursivaCar"/>
    <w:qFormat/>
    <w:rsid w:val="00CB0E4F"/>
    <w:pPr>
      <w:jc w:val="left"/>
      <w:outlineLvl w:val="2"/>
    </w:pPr>
    <w:rPr>
      <w:i/>
    </w:rPr>
  </w:style>
  <w:style w:type="character" w:customStyle="1" w:styleId="ZBV3CursivaCar">
    <w:name w:val="ZBV 3 Cursiva Car"/>
    <w:link w:val="ZBV3Cursiva"/>
    <w:locked/>
    <w:rsid w:val="00CB0E4F"/>
    <w:rPr>
      <w:rFonts w:ascii="Times New Roman" w:eastAsia="Times New Roman" w:hAnsi="Times New Roman"/>
      <w:b/>
      <w:i/>
      <w:lang w:val="en-US" w:eastAsia="x-none"/>
    </w:rPr>
  </w:style>
  <w:style w:type="paragraph" w:customStyle="1" w:styleId="ZBV4Cursiva">
    <w:name w:val="ZBV 4 Cursiva"/>
    <w:basedOn w:val="Ttulo4"/>
    <w:link w:val="ZBV4CursivaCar"/>
    <w:qFormat/>
    <w:rsid w:val="00CB0E4F"/>
    <w:pPr>
      <w:keepLines w:val="0"/>
      <w:spacing w:before="240" w:after="60" w:line="276" w:lineRule="auto"/>
    </w:pPr>
    <w:rPr>
      <w:rFonts w:ascii="Times New Roman" w:hAnsi="Times New Roman"/>
      <w:sz w:val="28"/>
      <w:lang w:eastAsia="es-AR"/>
    </w:rPr>
  </w:style>
  <w:style w:type="character" w:customStyle="1" w:styleId="ZBV4CursivaCar">
    <w:name w:val="ZBV 4 Cursiva Car"/>
    <w:link w:val="ZBV4Cursiva"/>
    <w:locked/>
    <w:rsid w:val="00CB0E4F"/>
    <w:rPr>
      <w:rFonts w:ascii="Times New Roman" w:hAnsi="Times New Roman"/>
      <w:b/>
      <w:i/>
      <w:color w:val="4F81BD"/>
      <w:sz w:val="28"/>
      <w:lang w:val="x-none" w:eastAsia="es-AR"/>
    </w:rPr>
  </w:style>
  <w:style w:type="character" w:customStyle="1" w:styleId="Ttulo4Car">
    <w:name w:val="Título 4 Car"/>
    <w:aliases w:val="Título sin negrita Car"/>
    <w:link w:val="Ttulo4"/>
    <w:uiPriority w:val="9"/>
    <w:locked/>
    <w:rsid w:val="00CB0E4F"/>
    <w:rPr>
      <w:rFonts w:ascii="Cambria" w:hAnsi="Cambria"/>
      <w:b/>
      <w:i/>
      <w:color w:val="4F81BD"/>
    </w:rPr>
  </w:style>
  <w:style w:type="paragraph" w:customStyle="1" w:styleId="ZBV5Normal">
    <w:name w:val="ZBV 5 Normal"/>
    <w:basedOn w:val="Ttulo5"/>
    <w:link w:val="ZBV5NormalCar"/>
    <w:qFormat/>
    <w:rsid w:val="00CB0E4F"/>
    <w:pPr>
      <w:spacing w:line="276" w:lineRule="auto"/>
    </w:pPr>
    <w:rPr>
      <w:rFonts w:ascii="Times New Roman" w:hAnsi="Times New Roman"/>
      <w:sz w:val="22"/>
      <w:lang w:eastAsia="es-AR"/>
    </w:rPr>
  </w:style>
  <w:style w:type="character" w:customStyle="1" w:styleId="ZBV5NormalCar">
    <w:name w:val="ZBV 5 Normal Car"/>
    <w:link w:val="ZBV5Normal"/>
    <w:locked/>
    <w:rsid w:val="00CB0E4F"/>
    <w:rPr>
      <w:rFonts w:ascii="Times New Roman" w:hAnsi="Times New Roman"/>
      <w:color w:val="243F60"/>
      <w:sz w:val="22"/>
      <w:lang w:val="x-none" w:eastAsia="es-AR"/>
    </w:rPr>
  </w:style>
  <w:style w:type="character" w:customStyle="1" w:styleId="Ttulo5Car">
    <w:name w:val="Título 5 Car"/>
    <w:link w:val="Ttulo5"/>
    <w:uiPriority w:val="9"/>
    <w:locked/>
    <w:rsid w:val="00CB0E4F"/>
    <w:rPr>
      <w:rFonts w:ascii="Cambria" w:hAnsi="Cambria"/>
      <w:color w:val="243F60"/>
    </w:rPr>
  </w:style>
  <w:style w:type="paragraph" w:customStyle="1" w:styleId="ZBVTexto">
    <w:name w:val="ZBV Texto"/>
    <w:basedOn w:val="Normal"/>
    <w:link w:val="ZBVTextoCar"/>
    <w:qFormat/>
    <w:rsid w:val="00CB0E4F"/>
    <w:pPr>
      <w:autoSpaceDE w:val="0"/>
      <w:autoSpaceDN w:val="0"/>
      <w:adjustRightInd w:val="0"/>
      <w:spacing w:before="120" w:after="120"/>
      <w:jc w:val="both"/>
    </w:pPr>
    <w:rPr>
      <w:rFonts w:ascii="Times New Roman" w:hAnsi="Times New Roman"/>
      <w:lang w:val="en-US" w:eastAsia="x-none"/>
    </w:rPr>
  </w:style>
  <w:style w:type="character" w:customStyle="1" w:styleId="ZBVTextoCar">
    <w:name w:val="ZBV Texto Car"/>
    <w:link w:val="ZBVTexto"/>
    <w:locked/>
    <w:rsid w:val="00CB0E4F"/>
    <w:rPr>
      <w:rFonts w:ascii="Times New Roman" w:eastAsia="Times New Roman" w:hAnsi="Times New Roman"/>
      <w:lang w:val="en-US" w:eastAsia="x-none"/>
    </w:rPr>
  </w:style>
  <w:style w:type="paragraph" w:customStyle="1" w:styleId="ZBVBullet1">
    <w:name w:val="ZBV Bullet 1"/>
    <w:basedOn w:val="Normal"/>
    <w:link w:val="ZBVBullet1Car"/>
    <w:qFormat/>
    <w:rsid w:val="00CB0E4F"/>
    <w:pPr>
      <w:numPr>
        <w:numId w:val="1"/>
      </w:numPr>
      <w:tabs>
        <w:tab w:val="num" w:pos="1418"/>
      </w:tabs>
      <w:autoSpaceDE w:val="0"/>
      <w:autoSpaceDN w:val="0"/>
      <w:adjustRightInd w:val="0"/>
      <w:spacing w:before="120" w:after="120"/>
      <w:ind w:left="1418" w:hanging="425"/>
      <w:jc w:val="both"/>
    </w:pPr>
    <w:rPr>
      <w:lang w:val="en-US" w:eastAsia="es-ES"/>
    </w:rPr>
  </w:style>
  <w:style w:type="character" w:customStyle="1" w:styleId="ZBVBullet1Car">
    <w:name w:val="ZBV Bullet 1 Car"/>
    <w:link w:val="ZBVBullet1"/>
    <w:locked/>
    <w:rsid w:val="00CB0E4F"/>
    <w:rPr>
      <w:lang w:val="en-US"/>
    </w:rPr>
  </w:style>
  <w:style w:type="paragraph" w:customStyle="1" w:styleId="ZBVBullet2">
    <w:name w:val="ZBV Bullet 2"/>
    <w:basedOn w:val="ZBVBullet1"/>
    <w:link w:val="ZBVBullet2Car"/>
    <w:qFormat/>
    <w:rsid w:val="00CB0E4F"/>
    <w:pPr>
      <w:numPr>
        <w:numId w:val="2"/>
      </w:numPr>
      <w:tabs>
        <w:tab w:val="clear" w:pos="3141"/>
        <w:tab w:val="num" w:pos="1418"/>
      </w:tabs>
      <w:ind w:left="1418" w:hanging="425"/>
    </w:pPr>
  </w:style>
  <w:style w:type="character" w:customStyle="1" w:styleId="ZBVBullet2Car">
    <w:name w:val="ZBV Bullet 2 Car"/>
    <w:link w:val="ZBVBullet2"/>
    <w:locked/>
    <w:rsid w:val="00CB0E4F"/>
    <w:rPr>
      <w:lang w:val="en-US"/>
    </w:rPr>
  </w:style>
  <w:style w:type="paragraph" w:customStyle="1" w:styleId="ZBVBullet3">
    <w:name w:val="ZBV Bullet 3"/>
    <w:basedOn w:val="ZBVBullet2"/>
    <w:link w:val="ZBVBullet3Car"/>
    <w:qFormat/>
    <w:rsid w:val="00CB0E4F"/>
    <w:pPr>
      <w:numPr>
        <w:numId w:val="0"/>
      </w:numPr>
      <w:tabs>
        <w:tab w:val="num" w:pos="1418"/>
      </w:tabs>
      <w:ind w:left="1418" w:hanging="425"/>
    </w:pPr>
    <w:rPr>
      <w:rFonts w:ascii="Times New Roman" w:hAnsi="Times New Roman"/>
      <w:lang w:eastAsia="x-none"/>
    </w:rPr>
  </w:style>
  <w:style w:type="character" w:customStyle="1" w:styleId="ZBVBullet3Car">
    <w:name w:val="ZBV Bullet 3 Car"/>
    <w:link w:val="ZBVBullet3"/>
    <w:locked/>
    <w:rsid w:val="00CB0E4F"/>
    <w:rPr>
      <w:rFonts w:ascii="Times New Roman" w:eastAsia="Times New Roman" w:hAnsi="Times New Roman"/>
      <w:lang w:val="en-US" w:eastAsia="x-none"/>
    </w:rPr>
  </w:style>
  <w:style w:type="character" w:customStyle="1" w:styleId="Ttulo1Car">
    <w:name w:val="Título 1 Car"/>
    <w:aliases w:val="título 1 Car,1 Car,Section Car,GFGSA Car"/>
    <w:link w:val="Ttulo1"/>
    <w:uiPriority w:val="9"/>
    <w:locked/>
    <w:rsid w:val="00CB0E4F"/>
    <w:rPr>
      <w:rFonts w:ascii="Cambria" w:hAnsi="Cambria"/>
      <w:b/>
      <w:color w:val="365F91"/>
      <w:sz w:val="28"/>
    </w:rPr>
  </w:style>
  <w:style w:type="paragraph" w:customStyle="1" w:styleId="TtulodeTDC1">
    <w:name w:val="Título de TDC1"/>
    <w:basedOn w:val="Ttulo1"/>
    <w:next w:val="Normal"/>
    <w:semiHidden/>
    <w:rsid w:val="00CB0E4F"/>
    <w:pPr>
      <w:spacing w:line="276" w:lineRule="auto"/>
      <w:outlineLvl w:val="9"/>
    </w:pPr>
    <w:rPr>
      <w:lang w:eastAsia="es-AR"/>
    </w:rPr>
  </w:style>
  <w:style w:type="character" w:customStyle="1" w:styleId="Ttulo2Car">
    <w:name w:val="Título 2 Car"/>
    <w:aliases w:val="título 2 Car,h2 Car,H2 Car,Tight Slug Car,Major Car,OPA Car"/>
    <w:link w:val="Ttulo2"/>
    <w:uiPriority w:val="9"/>
    <w:locked/>
    <w:rsid w:val="002831AB"/>
    <w:rPr>
      <w:rFonts w:ascii="Cambria" w:eastAsia="Times New Roman" w:hAnsi="Cambria"/>
      <w:b/>
      <w:color w:val="4F81BD"/>
      <w:sz w:val="26"/>
      <w:lang w:val="en-US" w:eastAsia="es-AR"/>
    </w:rPr>
  </w:style>
  <w:style w:type="character" w:customStyle="1" w:styleId="Ttulo3Car">
    <w:name w:val="Título 3 Car"/>
    <w:aliases w:val="título 3 Car,h3 Car,H3 Car,3 Car,Note to Director Car,TITULOS negrita Car"/>
    <w:link w:val="Ttulo3"/>
    <w:uiPriority w:val="9"/>
    <w:locked/>
    <w:rsid w:val="002831AB"/>
    <w:rPr>
      <w:rFonts w:ascii="Cambria" w:hAnsi="Cambria"/>
      <w:b/>
      <w:sz w:val="26"/>
      <w:lang w:val="en-US" w:eastAsia="es-AR"/>
    </w:rPr>
  </w:style>
  <w:style w:type="character" w:customStyle="1" w:styleId="Ttulo6Car">
    <w:name w:val="Título 6 Car"/>
    <w:aliases w:val="Título 6 Car Car Car"/>
    <w:link w:val="Ttulo6"/>
    <w:uiPriority w:val="9"/>
    <w:locked/>
    <w:rsid w:val="002831AB"/>
    <w:rPr>
      <w:b/>
      <w:sz w:val="22"/>
      <w:lang w:val="en-US" w:eastAsia="es-AR"/>
    </w:rPr>
  </w:style>
  <w:style w:type="character" w:customStyle="1" w:styleId="Ttulo7Car">
    <w:name w:val="Título 7 Car"/>
    <w:link w:val="Ttulo7"/>
    <w:uiPriority w:val="9"/>
    <w:locked/>
    <w:rsid w:val="002831AB"/>
    <w:rPr>
      <w:sz w:val="24"/>
      <w:lang w:val="en-US" w:eastAsia="es-AR"/>
    </w:rPr>
  </w:style>
  <w:style w:type="character" w:customStyle="1" w:styleId="Ttulo8Car">
    <w:name w:val="Título 8 Car"/>
    <w:link w:val="Ttulo8"/>
    <w:uiPriority w:val="9"/>
    <w:locked/>
    <w:rsid w:val="002831AB"/>
    <w:rPr>
      <w:i/>
      <w:sz w:val="24"/>
      <w:lang w:val="en-US" w:eastAsia="es-AR"/>
    </w:rPr>
  </w:style>
  <w:style w:type="character" w:customStyle="1" w:styleId="Ttulo9Car">
    <w:name w:val="Título 9 Car"/>
    <w:link w:val="Ttulo9"/>
    <w:uiPriority w:val="9"/>
    <w:locked/>
    <w:rsid w:val="002831AB"/>
    <w:rPr>
      <w:rFonts w:ascii="Cambria" w:hAnsi="Cambria"/>
      <w:sz w:val="22"/>
      <w:lang w:val="en-US" w:eastAsia="es-AR"/>
    </w:rPr>
  </w:style>
  <w:style w:type="paragraph" w:customStyle="1" w:styleId="BodyText2Sgl">
    <w:name w:val="Body Text 2 Sgl"/>
    <w:aliases w:val="bt2s,2btx"/>
    <w:basedOn w:val="Normal"/>
    <w:link w:val="BodyText2SglCar"/>
    <w:qFormat/>
    <w:rsid w:val="002831AB"/>
    <w:pPr>
      <w:autoSpaceDE w:val="0"/>
      <w:autoSpaceDN w:val="0"/>
      <w:adjustRightInd w:val="0"/>
      <w:spacing w:after="240"/>
      <w:ind w:firstLine="720"/>
    </w:pPr>
    <w:rPr>
      <w:rFonts w:ascii="Times New Roman" w:hAnsi="Times New Roman"/>
      <w:sz w:val="24"/>
      <w:lang w:val="en-US" w:eastAsia="x-none"/>
    </w:rPr>
  </w:style>
  <w:style w:type="character" w:customStyle="1" w:styleId="BodyText2SglCar">
    <w:name w:val="Body Text 2 Sgl Car"/>
    <w:aliases w:val="bt2s Car,2btx Car"/>
    <w:link w:val="BodyText2Sgl"/>
    <w:locked/>
    <w:rsid w:val="002831AB"/>
    <w:rPr>
      <w:rFonts w:ascii="Times New Roman" w:eastAsia="Times New Roman" w:hAnsi="Times New Roman"/>
      <w:sz w:val="24"/>
      <w:lang w:val="en-US" w:eastAsia="x-none"/>
    </w:rPr>
  </w:style>
  <w:style w:type="paragraph" w:customStyle="1" w:styleId="CenteredB">
    <w:name w:val="Centered B"/>
    <w:basedOn w:val="Normal"/>
    <w:qFormat/>
    <w:rsid w:val="002831AB"/>
    <w:pPr>
      <w:autoSpaceDE w:val="0"/>
      <w:autoSpaceDN w:val="0"/>
      <w:adjustRightInd w:val="0"/>
      <w:spacing w:after="240"/>
      <w:jc w:val="center"/>
    </w:pPr>
    <w:rPr>
      <w:rFonts w:ascii="Times New Roman" w:hAnsi="Times New Roman"/>
      <w:b/>
      <w:lang w:val="en-US" w:eastAsia="es-AR"/>
    </w:rPr>
  </w:style>
  <w:style w:type="paragraph" w:customStyle="1" w:styleId="CenteredText">
    <w:name w:val="Centered Text"/>
    <w:basedOn w:val="Normal"/>
    <w:qFormat/>
    <w:rsid w:val="002831AB"/>
    <w:pPr>
      <w:autoSpaceDE w:val="0"/>
      <w:autoSpaceDN w:val="0"/>
      <w:adjustRightInd w:val="0"/>
      <w:spacing w:after="240"/>
      <w:jc w:val="center"/>
    </w:pPr>
    <w:rPr>
      <w:rFonts w:ascii="Times New Roman" w:hAnsi="Times New Roman"/>
      <w:lang w:val="en-US" w:eastAsia="es-AR"/>
    </w:rPr>
  </w:style>
  <w:style w:type="paragraph" w:customStyle="1" w:styleId="STBBullet1">
    <w:name w:val="STB Bullet 1"/>
    <w:basedOn w:val="Normal"/>
    <w:qFormat/>
    <w:rsid w:val="002831AB"/>
    <w:pPr>
      <w:numPr>
        <w:numId w:val="3"/>
      </w:numPr>
      <w:tabs>
        <w:tab w:val="left" w:pos="1080"/>
      </w:tabs>
      <w:autoSpaceDE w:val="0"/>
      <w:autoSpaceDN w:val="0"/>
      <w:adjustRightInd w:val="0"/>
      <w:spacing w:after="240"/>
    </w:pPr>
    <w:rPr>
      <w:rFonts w:ascii="Times New Roman" w:hAnsi="Times New Roman"/>
      <w:lang w:val="en-US" w:eastAsia="es-AR"/>
    </w:rPr>
  </w:style>
  <w:style w:type="paragraph" w:customStyle="1" w:styleId="TitleB">
    <w:name w:val="Title B"/>
    <w:aliases w:val="tb,Title B1"/>
    <w:basedOn w:val="Normal"/>
    <w:next w:val="Textoindependiente"/>
    <w:qFormat/>
    <w:rsid w:val="002831AB"/>
    <w:pPr>
      <w:keepNext/>
      <w:autoSpaceDE w:val="0"/>
      <w:autoSpaceDN w:val="0"/>
      <w:adjustRightInd w:val="0"/>
      <w:spacing w:after="240"/>
    </w:pPr>
    <w:rPr>
      <w:rFonts w:ascii="Times New Roman" w:hAnsi="Times New Roman"/>
      <w:b/>
      <w:lang w:val="en-US" w:eastAsia="es-AR"/>
    </w:rPr>
  </w:style>
  <w:style w:type="paragraph" w:styleId="Textoindependiente">
    <w:name w:val="Body Text"/>
    <w:aliases w:val="b,body text,ts,Body Text cont,Ctrl+1,Body Text Proposal2,a,Body Text CIM,bt wide,BT,5,.BT,bd,Bodytext,S&amp;S-First Line-1&quot;,Corpo de texto2,Borrador,Body Text1,bt,Btext,Texto independienteR,body text1,bt1,Texto independienteR1"/>
    <w:basedOn w:val="Normal"/>
    <w:link w:val="TextoindependienteCar"/>
    <w:qFormat/>
    <w:rsid w:val="00B86C83"/>
    <w:pPr>
      <w:autoSpaceDE w:val="0"/>
      <w:autoSpaceDN w:val="0"/>
      <w:adjustRightInd w:val="0"/>
      <w:spacing w:after="120"/>
    </w:pPr>
    <w:rPr>
      <w:rFonts w:ascii="Times New Roman" w:hAnsi="Times New Roman"/>
      <w:lang w:val="en-US" w:eastAsia="es-AR"/>
    </w:rPr>
  </w:style>
  <w:style w:type="character" w:customStyle="1" w:styleId="TextoindependienteCar">
    <w:name w:val="Texto independiente Car"/>
    <w:aliases w:val="b Car,body text Car,ts Car,Body Text cont Car,Ctrl+1 Car,Body Text Proposal2 Car,a Car,Body Text CIM Car,bt wide Car,BT Car,5 Car,.BT Car,bd Car,Bodytext Car,S&amp;S-First Line-1&quot; Car,Corpo de texto2 Car,Borrador Car,Body Text1 Car"/>
    <w:link w:val="Textoindependiente"/>
    <w:locked/>
    <w:rsid w:val="002831AB"/>
    <w:rPr>
      <w:rFonts w:ascii="Times New Roman" w:hAnsi="Times New Roman"/>
      <w:lang w:val="en-US" w:eastAsia="es-AR"/>
    </w:rPr>
  </w:style>
  <w:style w:type="paragraph" w:customStyle="1" w:styleId="TitleBC">
    <w:name w:val="Title BC"/>
    <w:basedOn w:val="Normal"/>
    <w:qFormat/>
    <w:rsid w:val="002831AB"/>
    <w:pPr>
      <w:autoSpaceDE w:val="0"/>
      <w:autoSpaceDN w:val="0"/>
      <w:adjustRightInd w:val="0"/>
      <w:spacing w:after="240"/>
      <w:jc w:val="center"/>
      <w:outlineLvl w:val="0"/>
    </w:pPr>
    <w:rPr>
      <w:rFonts w:ascii="Times New Roman Bold" w:hAnsi="Times New Roman Bold"/>
      <w:b/>
      <w:caps/>
      <w:lang w:val="en-US" w:eastAsia="es-AR"/>
    </w:rPr>
  </w:style>
  <w:style w:type="paragraph" w:customStyle="1" w:styleId="Bodytext9pt">
    <w:name w:val="Body text 9 pt"/>
    <w:basedOn w:val="Normal"/>
    <w:qFormat/>
    <w:rsid w:val="002831AB"/>
    <w:pPr>
      <w:autoSpaceDE w:val="0"/>
      <w:autoSpaceDN w:val="0"/>
      <w:adjustRightInd w:val="0"/>
      <w:spacing w:after="240"/>
      <w:ind w:firstLine="720"/>
    </w:pPr>
    <w:rPr>
      <w:rFonts w:ascii="Times New Roman" w:hAnsi="Times New Roman"/>
      <w:sz w:val="18"/>
      <w:lang w:val="en-US" w:eastAsia="es-AR"/>
    </w:rPr>
  </w:style>
  <w:style w:type="paragraph" w:customStyle="1" w:styleId="Bodytextbold">
    <w:name w:val="Body text bold"/>
    <w:basedOn w:val="Normal"/>
    <w:qFormat/>
    <w:rsid w:val="002831AB"/>
    <w:pPr>
      <w:autoSpaceDE w:val="0"/>
      <w:autoSpaceDN w:val="0"/>
      <w:adjustRightInd w:val="0"/>
      <w:spacing w:after="240"/>
      <w:ind w:firstLine="720"/>
    </w:pPr>
    <w:rPr>
      <w:rFonts w:ascii="Times New Roman" w:hAnsi="Times New Roman"/>
      <w:b/>
      <w:lang w:val="en-US" w:eastAsia="es-AR"/>
    </w:rPr>
  </w:style>
  <w:style w:type="paragraph" w:customStyle="1" w:styleId="Bodytextitalic">
    <w:name w:val="Body text italic"/>
    <w:basedOn w:val="Normal"/>
    <w:qFormat/>
    <w:rsid w:val="002831AB"/>
    <w:pPr>
      <w:autoSpaceDE w:val="0"/>
      <w:autoSpaceDN w:val="0"/>
      <w:adjustRightInd w:val="0"/>
      <w:spacing w:after="240"/>
      <w:ind w:firstLine="720"/>
    </w:pPr>
    <w:rPr>
      <w:rFonts w:ascii="Times New Roman" w:hAnsi="Times New Roman"/>
      <w:i/>
      <w:lang w:val="en-US" w:eastAsia="es-AR"/>
    </w:rPr>
  </w:style>
  <w:style w:type="paragraph" w:customStyle="1" w:styleId="Titlebolditalic5">
    <w:name w:val="Title bold italic .5"/>
    <w:basedOn w:val="Normal"/>
    <w:qFormat/>
    <w:rsid w:val="002831AB"/>
    <w:pPr>
      <w:keepNext/>
      <w:autoSpaceDE w:val="0"/>
      <w:autoSpaceDN w:val="0"/>
      <w:adjustRightInd w:val="0"/>
      <w:spacing w:after="240"/>
      <w:ind w:left="720"/>
    </w:pPr>
    <w:rPr>
      <w:rFonts w:ascii="Times New Roman" w:hAnsi="Times New Roman"/>
      <w:b/>
      <w:i/>
      <w:lang w:val="en-US" w:eastAsia="es-AR"/>
    </w:rPr>
  </w:style>
  <w:style w:type="paragraph" w:styleId="Encabezado">
    <w:name w:val="header"/>
    <w:aliases w:val="encabezado,Guideline"/>
    <w:basedOn w:val="Normal"/>
    <w:link w:val="EncabezadoCar"/>
    <w:rsid w:val="002831AB"/>
    <w:pPr>
      <w:tabs>
        <w:tab w:val="center" w:pos="4680"/>
        <w:tab w:val="right" w:pos="9360"/>
      </w:tabs>
      <w:autoSpaceDE w:val="0"/>
      <w:autoSpaceDN w:val="0"/>
      <w:adjustRightInd w:val="0"/>
    </w:pPr>
    <w:rPr>
      <w:rFonts w:ascii="Times New Roman" w:hAnsi="Times New Roman"/>
      <w:lang w:val="en-US" w:eastAsia="x-none"/>
    </w:rPr>
  </w:style>
  <w:style w:type="character" w:customStyle="1" w:styleId="EncabezadoCar">
    <w:name w:val="Encabezado Car"/>
    <w:aliases w:val="encabezado Car,Guideline Car"/>
    <w:link w:val="Encabezado"/>
    <w:locked/>
    <w:rsid w:val="002831AB"/>
    <w:rPr>
      <w:rFonts w:ascii="Times New Roman" w:eastAsia="Times New Roman" w:hAnsi="Times New Roman"/>
      <w:lang w:val="en-US" w:eastAsia="x-none"/>
    </w:rPr>
  </w:style>
  <w:style w:type="paragraph" w:styleId="Piedepgina">
    <w:name w:val="footer"/>
    <w:basedOn w:val="Normal"/>
    <w:link w:val="PiedepginaCar"/>
    <w:uiPriority w:val="99"/>
    <w:rsid w:val="002831AB"/>
    <w:pPr>
      <w:tabs>
        <w:tab w:val="center" w:pos="4680"/>
        <w:tab w:val="right" w:pos="9360"/>
      </w:tabs>
      <w:autoSpaceDE w:val="0"/>
      <w:autoSpaceDN w:val="0"/>
      <w:adjustRightInd w:val="0"/>
    </w:pPr>
    <w:rPr>
      <w:rFonts w:ascii="Times New Roman" w:hAnsi="Times New Roman"/>
      <w:lang w:val="en-US" w:eastAsia="x-none"/>
    </w:rPr>
  </w:style>
  <w:style w:type="character" w:customStyle="1" w:styleId="PiedepginaCar">
    <w:name w:val="Pie de página Car"/>
    <w:link w:val="Piedepgina"/>
    <w:uiPriority w:val="99"/>
    <w:locked/>
    <w:rsid w:val="002831AB"/>
    <w:rPr>
      <w:rFonts w:ascii="Times New Roman" w:eastAsia="Times New Roman" w:hAnsi="Times New Roman"/>
      <w:lang w:val="en-US" w:eastAsia="x-none"/>
    </w:rPr>
  </w:style>
  <w:style w:type="character" w:customStyle="1" w:styleId="DocID">
    <w:name w:val="DocID"/>
    <w:rsid w:val="002831AB"/>
    <w:rPr>
      <w:noProof/>
      <w:spacing w:val="0"/>
      <w:sz w:val="14"/>
    </w:rPr>
  </w:style>
  <w:style w:type="character" w:styleId="Hipervnculo">
    <w:name w:val="Hyperlink"/>
    <w:uiPriority w:val="99"/>
    <w:rsid w:val="002831AB"/>
    <w:rPr>
      <w:color w:val="0000FF"/>
      <w:spacing w:val="0"/>
      <w:u w:val="single"/>
    </w:rPr>
  </w:style>
  <w:style w:type="character" w:styleId="Nmerodepgina">
    <w:name w:val="page number"/>
    <w:basedOn w:val="Fuentedeprrafopredeter"/>
    <w:rsid w:val="002831AB"/>
  </w:style>
  <w:style w:type="paragraph" w:customStyle="1" w:styleId="BodyTextIndent1">
    <w:name w:val="Body Text Indent1"/>
    <w:basedOn w:val="Normal"/>
    <w:uiPriority w:val="99"/>
    <w:rsid w:val="002831AB"/>
    <w:pPr>
      <w:spacing w:after="100" w:afterAutospacing="1"/>
      <w:ind w:firstLine="709"/>
      <w:jc w:val="both"/>
    </w:pPr>
    <w:rPr>
      <w:rFonts w:ascii="Times New Roman" w:hAnsi="Times New Roman"/>
      <w:sz w:val="16"/>
      <w:szCs w:val="16"/>
      <w:lang w:val="es-ES_tradnl" w:eastAsia="es-ES"/>
    </w:rPr>
  </w:style>
  <w:style w:type="paragraph" w:customStyle="1" w:styleId="BlockTextSgl">
    <w:name w:val="Block Text Sgl"/>
    <w:basedOn w:val="Normal"/>
    <w:qFormat/>
    <w:rsid w:val="002831AB"/>
    <w:pPr>
      <w:autoSpaceDE w:val="0"/>
      <w:autoSpaceDN w:val="0"/>
      <w:adjustRightInd w:val="0"/>
      <w:spacing w:after="240"/>
    </w:pPr>
    <w:rPr>
      <w:rFonts w:ascii="Times New Roman" w:hAnsi="Times New Roman"/>
      <w:lang w:val="en-US" w:eastAsia="es-AR"/>
    </w:rPr>
  </w:style>
  <w:style w:type="paragraph" w:customStyle="1" w:styleId="BodyText2Sgl10">
    <w:name w:val="Body Text 2 Sgl 10"/>
    <w:basedOn w:val="Normal"/>
    <w:rsid w:val="002831AB"/>
    <w:pPr>
      <w:spacing w:after="240"/>
      <w:ind w:firstLine="720"/>
    </w:pPr>
    <w:rPr>
      <w:rFonts w:ascii="Times New Roman" w:hAnsi="Times New Roman"/>
      <w:color w:val="000000"/>
      <w:lang w:val="en-US" w:eastAsia="es-ES"/>
    </w:rPr>
  </w:style>
  <w:style w:type="paragraph" w:customStyle="1" w:styleId="BHTexto">
    <w:name w:val="BH Texto"/>
    <w:basedOn w:val="Normal"/>
    <w:link w:val="BHTextoCar"/>
    <w:qFormat/>
    <w:rsid w:val="00A40431"/>
    <w:pPr>
      <w:autoSpaceDE w:val="0"/>
      <w:autoSpaceDN w:val="0"/>
      <w:adjustRightInd w:val="0"/>
      <w:spacing w:before="120" w:after="120"/>
      <w:jc w:val="both"/>
    </w:pPr>
    <w:rPr>
      <w:rFonts w:ascii="Times New Roman" w:hAnsi="Times New Roman"/>
      <w:lang w:val="x-none" w:eastAsia="x-none"/>
    </w:rPr>
  </w:style>
  <w:style w:type="paragraph" w:customStyle="1" w:styleId="BHVietaTxt">
    <w:name w:val="BH Viñeta Txt"/>
    <w:basedOn w:val="BHTexto"/>
    <w:link w:val="BHVietaTxtCar"/>
    <w:qFormat/>
    <w:rsid w:val="00425168"/>
    <w:pPr>
      <w:numPr>
        <w:numId w:val="46"/>
      </w:numPr>
      <w:tabs>
        <w:tab w:val="left" w:pos="1418"/>
      </w:tabs>
    </w:pPr>
    <w:rPr>
      <w:rFonts w:ascii="Calibri" w:hAnsi="Calibri"/>
      <w:lang w:val="en-US" w:eastAsia="es-ES"/>
    </w:rPr>
  </w:style>
  <w:style w:type="character" w:customStyle="1" w:styleId="BHTextoCar">
    <w:name w:val="BH Texto Car"/>
    <w:link w:val="BHTexto"/>
    <w:locked/>
    <w:rsid w:val="00A40431"/>
    <w:rPr>
      <w:rFonts w:ascii="Times New Roman" w:eastAsia="Times New Roman" w:hAnsi="Times New Roman"/>
    </w:rPr>
  </w:style>
  <w:style w:type="character" w:customStyle="1" w:styleId="BHVietaTxtCar">
    <w:name w:val="BH Viñeta Txt Car"/>
    <w:link w:val="BHVietaTxt"/>
    <w:locked/>
    <w:rsid w:val="00425168"/>
    <w:rPr>
      <w:lang w:val="en-US"/>
    </w:rPr>
  </w:style>
  <w:style w:type="paragraph" w:customStyle="1" w:styleId="BH1Centro">
    <w:name w:val="BH1 Centro"/>
    <w:basedOn w:val="Normal"/>
    <w:link w:val="BH1CentroCar"/>
    <w:qFormat/>
    <w:rsid w:val="002831AB"/>
    <w:pPr>
      <w:autoSpaceDE w:val="0"/>
      <w:autoSpaceDN w:val="0"/>
      <w:adjustRightInd w:val="0"/>
      <w:spacing w:before="240" w:after="240"/>
      <w:jc w:val="center"/>
      <w:outlineLvl w:val="0"/>
    </w:pPr>
    <w:rPr>
      <w:rFonts w:ascii="Times New Roman Bold" w:hAnsi="Times New Roman Bold"/>
      <w:b/>
      <w:caps/>
      <w:lang w:val="en-US" w:eastAsia="es-AR"/>
    </w:rPr>
  </w:style>
  <w:style w:type="character" w:customStyle="1" w:styleId="BH1CentroCar">
    <w:name w:val="BH1 Centro Car"/>
    <w:link w:val="BH1Centro"/>
    <w:locked/>
    <w:rsid w:val="002831AB"/>
    <w:rPr>
      <w:rFonts w:ascii="Times New Roman Bold" w:eastAsia="Times New Roman" w:hAnsi="Times New Roman Bold"/>
      <w:b/>
      <w:caps/>
      <w:lang w:val="en-US" w:eastAsia="es-AR"/>
    </w:rPr>
  </w:style>
  <w:style w:type="paragraph" w:customStyle="1" w:styleId="BH1Izquierda">
    <w:name w:val="BH1 Izquierda"/>
    <w:basedOn w:val="Normal"/>
    <w:link w:val="BH1IzquierdaCar"/>
    <w:qFormat/>
    <w:rsid w:val="002831AB"/>
    <w:pPr>
      <w:autoSpaceDE w:val="0"/>
      <w:autoSpaceDN w:val="0"/>
      <w:adjustRightInd w:val="0"/>
      <w:outlineLvl w:val="0"/>
    </w:pPr>
    <w:rPr>
      <w:rFonts w:ascii="Times New Roman" w:hAnsi="Times New Roman"/>
      <w:b/>
      <w:sz w:val="31"/>
      <w:lang w:val="x-none" w:eastAsia="es-AR"/>
    </w:rPr>
  </w:style>
  <w:style w:type="character" w:customStyle="1" w:styleId="BH1IzquierdaCar">
    <w:name w:val="BH1 Izquierda Car"/>
    <w:link w:val="BH1Izquierda"/>
    <w:locked/>
    <w:rsid w:val="002831AB"/>
    <w:rPr>
      <w:rFonts w:ascii="Times New Roman" w:eastAsia="Times New Roman" w:hAnsi="Times New Roman"/>
      <w:b/>
      <w:sz w:val="31"/>
      <w:lang w:val="x-none" w:eastAsia="es-AR"/>
    </w:rPr>
  </w:style>
  <w:style w:type="paragraph" w:customStyle="1" w:styleId="BH2Izquierda">
    <w:name w:val="BH2 Izquierda"/>
    <w:basedOn w:val="Normal"/>
    <w:link w:val="BH2IzquierdaCar"/>
    <w:qFormat/>
    <w:rsid w:val="002831AB"/>
    <w:pPr>
      <w:keepNext/>
      <w:autoSpaceDE w:val="0"/>
      <w:autoSpaceDN w:val="0"/>
      <w:adjustRightInd w:val="0"/>
      <w:spacing w:before="240" w:after="240"/>
      <w:outlineLvl w:val="1"/>
    </w:pPr>
    <w:rPr>
      <w:rFonts w:ascii="Times New Roman" w:hAnsi="Times New Roman"/>
      <w:b/>
      <w:lang w:val="en-US" w:eastAsia="es-AR"/>
    </w:rPr>
  </w:style>
  <w:style w:type="character" w:customStyle="1" w:styleId="BH2IzquierdaCar">
    <w:name w:val="BH2 Izquierda Car"/>
    <w:link w:val="BH2Izquierda"/>
    <w:locked/>
    <w:rsid w:val="002831AB"/>
    <w:rPr>
      <w:rFonts w:ascii="Times New Roman" w:eastAsia="Times New Roman" w:hAnsi="Times New Roman"/>
      <w:b/>
      <w:lang w:val="en-US" w:eastAsia="es-AR"/>
    </w:rPr>
  </w:style>
  <w:style w:type="paragraph" w:styleId="Textodeglobo">
    <w:name w:val="Balloon Text"/>
    <w:basedOn w:val="Normal"/>
    <w:link w:val="TextodegloboCar"/>
    <w:uiPriority w:val="99"/>
    <w:rsid w:val="00B86C83"/>
    <w:pPr>
      <w:autoSpaceDE w:val="0"/>
      <w:autoSpaceDN w:val="0"/>
      <w:adjustRightInd w:val="0"/>
    </w:pPr>
    <w:rPr>
      <w:rFonts w:ascii="Tahoma" w:hAnsi="Tahoma"/>
      <w:sz w:val="16"/>
      <w:lang w:val="en-US" w:eastAsia="x-none"/>
    </w:rPr>
  </w:style>
  <w:style w:type="character" w:customStyle="1" w:styleId="TextodegloboCar">
    <w:name w:val="Texto de globo Car"/>
    <w:link w:val="Textodeglobo"/>
    <w:uiPriority w:val="99"/>
    <w:locked/>
    <w:rsid w:val="002831AB"/>
    <w:rPr>
      <w:rFonts w:ascii="Tahoma" w:hAnsi="Tahoma"/>
      <w:sz w:val="16"/>
      <w:lang w:val="en-US" w:eastAsia="x-none"/>
    </w:rPr>
  </w:style>
  <w:style w:type="paragraph" w:customStyle="1" w:styleId="BLOCKINDENT250">
    <w:name w:val="BLOCK INDENT 2.50"/>
    <w:basedOn w:val="Normal"/>
    <w:rsid w:val="002831AB"/>
    <w:pPr>
      <w:tabs>
        <w:tab w:val="left" w:pos="3600"/>
      </w:tabs>
      <w:spacing w:after="240"/>
      <w:ind w:left="3600" w:hanging="3600"/>
    </w:pPr>
    <w:rPr>
      <w:rFonts w:ascii="Times New Roman" w:hAnsi="Times New Roman"/>
      <w:szCs w:val="24"/>
      <w:lang w:val="en-US" w:eastAsia="es-AR"/>
    </w:rPr>
  </w:style>
  <w:style w:type="character" w:customStyle="1" w:styleId="hps">
    <w:name w:val="hps"/>
    <w:rsid w:val="002831AB"/>
    <w:rPr>
      <w:rFonts w:cs="Times New Roman"/>
    </w:rPr>
  </w:style>
  <w:style w:type="character" w:customStyle="1" w:styleId="DeltaViewInsertion">
    <w:name w:val="DeltaView Insertion"/>
    <w:uiPriority w:val="99"/>
    <w:rsid w:val="002831AB"/>
    <w:rPr>
      <w:color w:val="0000FF"/>
      <w:spacing w:val="0"/>
      <w:u w:val="double"/>
    </w:rPr>
  </w:style>
  <w:style w:type="character" w:customStyle="1" w:styleId="a1">
    <w:name w:val="a1"/>
    <w:uiPriority w:val="99"/>
    <w:rsid w:val="002831AB"/>
  </w:style>
  <w:style w:type="paragraph" w:customStyle="1" w:styleId="BHVieta2">
    <w:name w:val="BH Viñeta 2"/>
    <w:basedOn w:val="Normal"/>
    <w:link w:val="BHVieta2Car"/>
    <w:qFormat/>
    <w:rsid w:val="00A40431"/>
    <w:pPr>
      <w:tabs>
        <w:tab w:val="left" w:pos="1418"/>
      </w:tabs>
      <w:autoSpaceDE w:val="0"/>
      <w:autoSpaceDN w:val="0"/>
      <w:adjustRightInd w:val="0"/>
      <w:spacing w:before="120" w:after="120"/>
      <w:ind w:left="1417" w:hanging="357"/>
      <w:jc w:val="both"/>
    </w:pPr>
    <w:rPr>
      <w:rFonts w:ascii="Times New Roman" w:hAnsi="Times New Roman"/>
      <w:lang w:val="x-none" w:eastAsia="x-none"/>
    </w:rPr>
  </w:style>
  <w:style w:type="character" w:customStyle="1" w:styleId="BHVieta2Car">
    <w:name w:val="BH Viñeta 2 Car"/>
    <w:link w:val="BHVieta2"/>
    <w:locked/>
    <w:rsid w:val="00A40431"/>
    <w:rPr>
      <w:rFonts w:ascii="Times New Roman" w:eastAsia="Times New Roman" w:hAnsi="Times New Roman"/>
    </w:rPr>
  </w:style>
  <w:style w:type="paragraph" w:customStyle="1" w:styleId="BH3Izquierda">
    <w:name w:val="BH3 Izquierda"/>
    <w:basedOn w:val="BH2Izquierda"/>
    <w:link w:val="BH3IzquierdaCar"/>
    <w:qFormat/>
    <w:rsid w:val="002831AB"/>
    <w:pPr>
      <w:outlineLvl w:val="2"/>
    </w:pPr>
  </w:style>
  <w:style w:type="character" w:customStyle="1" w:styleId="BH3IzquierdaCar">
    <w:name w:val="BH3 Izquierda Car"/>
    <w:link w:val="BH3Izquierda"/>
    <w:locked/>
    <w:rsid w:val="002831AB"/>
    <w:rPr>
      <w:rFonts w:ascii="Times New Roman" w:eastAsia="Times New Roman" w:hAnsi="Times New Roman"/>
      <w:b/>
      <w:lang w:val="en-US" w:eastAsia="es-AR"/>
    </w:rPr>
  </w:style>
  <w:style w:type="character" w:styleId="Refdenotaalpie">
    <w:name w:val="footnote reference"/>
    <w:uiPriority w:val="99"/>
    <w:rsid w:val="002831AB"/>
    <w:rPr>
      <w:vertAlign w:val="superscript"/>
    </w:rPr>
  </w:style>
  <w:style w:type="paragraph" w:customStyle="1" w:styleId="BH4Cursiva">
    <w:name w:val="BH4 Cursiva"/>
    <w:basedOn w:val="BH3Izquierda"/>
    <w:link w:val="BH4CursivaCar"/>
    <w:qFormat/>
    <w:rsid w:val="000E1220"/>
    <w:pPr>
      <w:spacing w:before="120" w:after="120"/>
      <w:jc w:val="both"/>
      <w:outlineLvl w:val="3"/>
    </w:pPr>
    <w:rPr>
      <w:i/>
      <w:lang w:val="x-none" w:eastAsia="x-none"/>
    </w:rPr>
  </w:style>
  <w:style w:type="character" w:customStyle="1" w:styleId="BH4CursivaCar">
    <w:name w:val="BH4 Cursiva Car"/>
    <w:link w:val="BH4Cursiva"/>
    <w:locked/>
    <w:rsid w:val="000E1220"/>
    <w:rPr>
      <w:rFonts w:ascii="Times New Roman" w:hAnsi="Times New Roman"/>
      <w:b/>
      <w:i/>
      <w:lang w:val="x-none" w:eastAsia="x-none"/>
    </w:rPr>
  </w:style>
  <w:style w:type="paragraph" w:styleId="Textonotapie">
    <w:name w:val="footnote text"/>
    <w:basedOn w:val="Normal"/>
    <w:next w:val="Normal"/>
    <w:link w:val="TextonotapieCar"/>
    <w:rsid w:val="002831AB"/>
    <w:pPr>
      <w:autoSpaceDE w:val="0"/>
      <w:autoSpaceDN w:val="0"/>
      <w:adjustRightInd w:val="0"/>
      <w:spacing w:after="240"/>
      <w:ind w:left="720" w:hanging="720"/>
    </w:pPr>
    <w:rPr>
      <w:rFonts w:ascii="Times New Roman" w:hAnsi="Times New Roman"/>
      <w:lang w:val="en-US" w:eastAsia="x-none"/>
    </w:rPr>
  </w:style>
  <w:style w:type="character" w:customStyle="1" w:styleId="TextonotapieCar">
    <w:name w:val="Texto nota pie Car"/>
    <w:link w:val="Textonotapie"/>
    <w:locked/>
    <w:rsid w:val="002831AB"/>
    <w:rPr>
      <w:rFonts w:ascii="Times New Roman" w:eastAsia="Times New Roman" w:hAnsi="Times New Roman"/>
      <w:lang w:val="en-US" w:eastAsia="x-none"/>
    </w:rPr>
  </w:style>
  <w:style w:type="paragraph" w:customStyle="1" w:styleId="BH5Cursiva">
    <w:name w:val="BH5 Cursiva"/>
    <w:basedOn w:val="BH4Cursiva"/>
    <w:link w:val="BH5CursivaCar"/>
    <w:qFormat/>
    <w:rsid w:val="002831AB"/>
    <w:pPr>
      <w:outlineLvl w:val="4"/>
    </w:pPr>
    <w:rPr>
      <w:i w:val="0"/>
      <w:lang w:val="en-US" w:eastAsia="es-AR"/>
    </w:rPr>
  </w:style>
  <w:style w:type="character" w:customStyle="1" w:styleId="BH5CursivaCar">
    <w:name w:val="BH5 Cursiva Car"/>
    <w:link w:val="BH5Cursiva"/>
    <w:locked/>
    <w:rsid w:val="002831AB"/>
    <w:rPr>
      <w:rFonts w:ascii="Times New Roman" w:eastAsia="Times New Roman" w:hAnsi="Times New Roman"/>
      <w:b/>
      <w:lang w:val="en-US" w:eastAsia="es-AR"/>
    </w:rPr>
  </w:style>
  <w:style w:type="paragraph" w:styleId="Sangra3detindependiente">
    <w:name w:val="Body Text Indent 3"/>
    <w:basedOn w:val="Normal"/>
    <w:link w:val="Sangra3detindependienteCar"/>
    <w:rsid w:val="002831AB"/>
    <w:pPr>
      <w:autoSpaceDE w:val="0"/>
      <w:autoSpaceDN w:val="0"/>
      <w:adjustRightInd w:val="0"/>
      <w:spacing w:after="120"/>
      <w:ind w:left="283"/>
    </w:pPr>
    <w:rPr>
      <w:rFonts w:ascii="Times New Roman" w:hAnsi="Times New Roman"/>
      <w:sz w:val="16"/>
      <w:lang w:val="en-US" w:eastAsia="x-none"/>
    </w:rPr>
  </w:style>
  <w:style w:type="character" w:customStyle="1" w:styleId="Sangra3detindependienteCar">
    <w:name w:val="Sangría 3 de t. independiente Car"/>
    <w:link w:val="Sangra3detindependiente"/>
    <w:locked/>
    <w:rsid w:val="002831AB"/>
    <w:rPr>
      <w:rFonts w:ascii="Times New Roman" w:eastAsia="Times New Roman" w:hAnsi="Times New Roman"/>
      <w:sz w:val="16"/>
      <w:lang w:val="en-US" w:eastAsia="x-none"/>
    </w:rPr>
  </w:style>
  <w:style w:type="paragraph" w:customStyle="1" w:styleId="BodyTextSgl">
    <w:name w:val="Body Text Sgl"/>
    <w:basedOn w:val="Normal"/>
    <w:rsid w:val="002831AB"/>
    <w:pPr>
      <w:autoSpaceDE w:val="0"/>
      <w:autoSpaceDN w:val="0"/>
      <w:adjustRightInd w:val="0"/>
      <w:spacing w:after="240"/>
      <w:ind w:firstLine="1440"/>
    </w:pPr>
    <w:rPr>
      <w:rFonts w:ascii="Times New Roman" w:hAnsi="Times New Roman"/>
      <w:lang w:val="en-US" w:eastAsia="es-AR"/>
    </w:rPr>
  </w:style>
  <w:style w:type="paragraph" w:styleId="TDC1">
    <w:name w:val="toc 1"/>
    <w:aliases w:val="Perfil Societario"/>
    <w:basedOn w:val="Normal"/>
    <w:next w:val="Normal"/>
    <w:autoRedefine/>
    <w:uiPriority w:val="39"/>
    <w:rsid w:val="00643F4F"/>
    <w:pPr>
      <w:tabs>
        <w:tab w:val="right" w:leader="dot" w:pos="8931"/>
      </w:tabs>
      <w:autoSpaceDE w:val="0"/>
      <w:autoSpaceDN w:val="0"/>
      <w:adjustRightInd w:val="0"/>
      <w:spacing w:before="120" w:after="120"/>
      <w:ind w:right="709"/>
    </w:pPr>
    <w:rPr>
      <w:rFonts w:ascii="Times New Roman Bold" w:hAnsi="Times New Roman Bold"/>
      <w:b/>
      <w:bCs/>
      <w:caps/>
      <w:noProof/>
      <w:lang w:val="es-ES" w:eastAsia="es-AR"/>
    </w:rPr>
  </w:style>
  <w:style w:type="paragraph" w:styleId="Textodebloque">
    <w:name w:val="Block Text"/>
    <w:aliases w:val="blk,MBP_Bd Single t6 .5 L,MBP_Bd Single Sp .5 L,CG-Single Sp 0,CG-Single Sp 0.51,s21,!Body Text,5(J),5s2(J),s9,Second Heading 9,75 Sgl J,CG-Single Sp 0.5,s2,!Body Text .5(J),!Body Text .5s2(J),Second Heading 2,Second Heading,5 Sgl J,S2"/>
    <w:basedOn w:val="Normal"/>
    <w:rsid w:val="002831AB"/>
    <w:pPr>
      <w:autoSpaceDE w:val="0"/>
      <w:autoSpaceDN w:val="0"/>
      <w:adjustRightInd w:val="0"/>
      <w:spacing w:line="480" w:lineRule="auto"/>
    </w:pPr>
    <w:rPr>
      <w:rFonts w:ascii="Times New Roman" w:hAnsi="Times New Roman"/>
      <w:lang w:val="en-US" w:eastAsia="es-AR"/>
    </w:rPr>
  </w:style>
  <w:style w:type="paragraph" w:customStyle="1" w:styleId="BlockTextSglJ">
    <w:name w:val="Block Text Sgl J"/>
    <w:basedOn w:val="Normal"/>
    <w:rsid w:val="002831AB"/>
    <w:pPr>
      <w:autoSpaceDE w:val="0"/>
      <w:autoSpaceDN w:val="0"/>
      <w:adjustRightInd w:val="0"/>
      <w:spacing w:after="240"/>
      <w:jc w:val="both"/>
    </w:pPr>
    <w:rPr>
      <w:rFonts w:ascii="Times New Roman" w:hAnsi="Times New Roman"/>
      <w:lang w:val="en-US" w:eastAsia="es-AR"/>
    </w:rPr>
  </w:style>
  <w:style w:type="paragraph" w:customStyle="1" w:styleId="FootnoteTextMore">
    <w:name w:val="Footnote TextMore"/>
    <w:basedOn w:val="Textonotapie"/>
    <w:rsid w:val="002831AB"/>
    <w:pPr>
      <w:ind w:firstLine="0"/>
    </w:pPr>
  </w:style>
  <w:style w:type="paragraph" w:customStyle="1" w:styleId="BlockText1">
    <w:name w:val="Block Text 1"/>
    <w:basedOn w:val="Normal"/>
    <w:rsid w:val="002831AB"/>
    <w:pPr>
      <w:autoSpaceDE w:val="0"/>
      <w:autoSpaceDN w:val="0"/>
      <w:adjustRightInd w:val="0"/>
      <w:spacing w:line="480" w:lineRule="auto"/>
      <w:ind w:left="1440" w:right="1440"/>
    </w:pPr>
    <w:rPr>
      <w:rFonts w:ascii="Times New Roman" w:hAnsi="Times New Roman"/>
      <w:lang w:val="en-US" w:eastAsia="es-AR"/>
    </w:rPr>
  </w:style>
  <w:style w:type="paragraph" w:customStyle="1" w:styleId="BlockTextJ">
    <w:name w:val="Block Text J"/>
    <w:basedOn w:val="Textodebloque"/>
    <w:rsid w:val="002831AB"/>
    <w:pPr>
      <w:jc w:val="both"/>
    </w:pPr>
  </w:style>
  <w:style w:type="paragraph" w:styleId="Textoindependienteprimerasangra">
    <w:name w:val="Body Text First Indent"/>
    <w:aliases w:val="f1,i,btfi"/>
    <w:basedOn w:val="Textoindependiente"/>
    <w:link w:val="TextoindependienteprimerasangraCar"/>
    <w:uiPriority w:val="99"/>
    <w:qFormat/>
    <w:rsid w:val="00B86C83"/>
    <w:pPr>
      <w:spacing w:after="240"/>
      <w:ind w:firstLine="720"/>
    </w:pPr>
    <w:rPr>
      <w:lang w:eastAsia="x-none"/>
    </w:rPr>
  </w:style>
  <w:style w:type="character" w:customStyle="1" w:styleId="TextoindependienteprimerasangraCar">
    <w:name w:val="Texto independiente primera sangría Car"/>
    <w:aliases w:val="f1 Car,i Car,btfi Car"/>
    <w:link w:val="Textoindependienteprimerasangra"/>
    <w:uiPriority w:val="99"/>
    <w:locked/>
    <w:rsid w:val="002831AB"/>
    <w:rPr>
      <w:rFonts w:ascii="Times New Roman" w:hAnsi="Times New Roman"/>
      <w:lang w:val="en-US" w:eastAsia="x-none"/>
    </w:rPr>
  </w:style>
  <w:style w:type="paragraph" w:customStyle="1" w:styleId="TitleL">
    <w:name w:val="Title L"/>
    <w:basedOn w:val="Ttulo"/>
    <w:rsid w:val="002831AB"/>
  </w:style>
  <w:style w:type="paragraph" w:styleId="Ttulo">
    <w:name w:val="Title"/>
    <w:aliases w:val="t,TitleCtr,Text"/>
    <w:basedOn w:val="Normal"/>
    <w:next w:val="Normal"/>
    <w:link w:val="TtuloCar"/>
    <w:qFormat/>
    <w:rsid w:val="002831AB"/>
    <w:pPr>
      <w:pBdr>
        <w:bottom w:val="single" w:sz="8" w:space="4" w:color="4F81BD"/>
      </w:pBdr>
      <w:autoSpaceDE w:val="0"/>
      <w:autoSpaceDN w:val="0"/>
      <w:adjustRightInd w:val="0"/>
      <w:spacing w:after="300"/>
      <w:contextualSpacing/>
    </w:pPr>
    <w:rPr>
      <w:rFonts w:ascii="Cambria" w:hAnsi="Cambria"/>
      <w:color w:val="17365D"/>
      <w:spacing w:val="5"/>
      <w:kern w:val="28"/>
      <w:sz w:val="52"/>
      <w:lang w:val="en-US" w:eastAsia="es-AR"/>
    </w:rPr>
  </w:style>
  <w:style w:type="character" w:customStyle="1" w:styleId="TtuloCar">
    <w:name w:val="Título Car"/>
    <w:aliases w:val="t Car,TitleCtr Car,Text Car"/>
    <w:link w:val="Ttulo"/>
    <w:locked/>
    <w:rsid w:val="002831AB"/>
    <w:rPr>
      <w:rFonts w:ascii="Cambria" w:eastAsia="Times New Roman" w:hAnsi="Cambria"/>
      <w:color w:val="17365D"/>
      <w:spacing w:val="5"/>
      <w:kern w:val="28"/>
      <w:sz w:val="52"/>
      <w:lang w:val="en-US" w:eastAsia="es-AR"/>
    </w:rPr>
  </w:style>
  <w:style w:type="paragraph" w:styleId="Listaconvietas">
    <w:name w:val="List Bullet"/>
    <w:basedOn w:val="Normal"/>
    <w:autoRedefine/>
    <w:uiPriority w:val="99"/>
    <w:qFormat/>
    <w:rsid w:val="00B86C83"/>
    <w:pPr>
      <w:numPr>
        <w:numId w:val="4"/>
      </w:numPr>
      <w:tabs>
        <w:tab w:val="clear" w:pos="360"/>
        <w:tab w:val="num" w:pos="1080"/>
      </w:tabs>
      <w:autoSpaceDE w:val="0"/>
      <w:autoSpaceDN w:val="0"/>
      <w:adjustRightInd w:val="0"/>
      <w:spacing w:after="240"/>
      <w:ind w:left="1080"/>
    </w:pPr>
    <w:rPr>
      <w:rFonts w:ascii="Times New Roman" w:hAnsi="Times New Roman"/>
      <w:lang w:val="en-US" w:eastAsia="es-AR"/>
    </w:rPr>
  </w:style>
  <w:style w:type="paragraph" w:customStyle="1" w:styleId="TitleC">
    <w:name w:val="Title C"/>
    <w:basedOn w:val="Normal"/>
    <w:next w:val="Normal"/>
    <w:rsid w:val="002831AB"/>
    <w:pPr>
      <w:autoSpaceDE w:val="0"/>
      <w:autoSpaceDN w:val="0"/>
      <w:adjustRightInd w:val="0"/>
      <w:spacing w:after="240"/>
      <w:jc w:val="center"/>
    </w:pPr>
    <w:rPr>
      <w:rFonts w:ascii="Times New Roman" w:hAnsi="Times New Roman"/>
      <w:lang w:val="en-US" w:eastAsia="es-AR"/>
    </w:rPr>
  </w:style>
  <w:style w:type="paragraph" w:customStyle="1" w:styleId="BodyText2SglJ">
    <w:name w:val="Body Text 2 Sgl J"/>
    <w:aliases w:val="CG-Bullet2"/>
    <w:basedOn w:val="BodyText2Sgl"/>
    <w:rsid w:val="002831AB"/>
    <w:pPr>
      <w:jc w:val="both"/>
    </w:pPr>
  </w:style>
  <w:style w:type="paragraph" w:styleId="Listaconvietas2">
    <w:name w:val="List Bullet 2"/>
    <w:aliases w:val="lb2"/>
    <w:basedOn w:val="Normal"/>
    <w:autoRedefine/>
    <w:rsid w:val="002831AB"/>
    <w:pPr>
      <w:numPr>
        <w:numId w:val="32"/>
      </w:numPr>
      <w:jc w:val="both"/>
    </w:pPr>
    <w:rPr>
      <w:rFonts w:ascii="Times New Roman" w:hAnsi="Times New Roman"/>
      <w:lang w:val="en-US" w:eastAsia="es-AR"/>
    </w:rPr>
  </w:style>
  <w:style w:type="paragraph" w:styleId="Listaconvietas3">
    <w:name w:val="List Bullet 3"/>
    <w:basedOn w:val="Normal"/>
    <w:autoRedefine/>
    <w:rsid w:val="002831AB"/>
    <w:pPr>
      <w:numPr>
        <w:numId w:val="5"/>
      </w:numPr>
      <w:spacing w:after="240"/>
    </w:pPr>
    <w:rPr>
      <w:rFonts w:ascii="Times New Roman" w:hAnsi="Times New Roman"/>
      <w:lang w:val="en-US" w:eastAsia="es-AR"/>
    </w:rPr>
  </w:style>
  <w:style w:type="paragraph" w:styleId="Listaconvietas4">
    <w:name w:val="List Bullet 4"/>
    <w:basedOn w:val="Normal"/>
    <w:autoRedefine/>
    <w:rsid w:val="002831AB"/>
    <w:pPr>
      <w:numPr>
        <w:numId w:val="6"/>
      </w:numPr>
      <w:spacing w:after="240"/>
    </w:pPr>
    <w:rPr>
      <w:rFonts w:ascii="Times New Roman" w:hAnsi="Times New Roman"/>
      <w:lang w:val="en-US" w:eastAsia="es-AR"/>
    </w:rPr>
  </w:style>
  <w:style w:type="paragraph" w:styleId="Listaconvietas5">
    <w:name w:val="List Bullet 5"/>
    <w:basedOn w:val="Normal"/>
    <w:autoRedefine/>
    <w:uiPriority w:val="99"/>
    <w:rsid w:val="002831AB"/>
    <w:pPr>
      <w:numPr>
        <w:numId w:val="7"/>
      </w:numPr>
      <w:autoSpaceDE w:val="0"/>
      <w:autoSpaceDN w:val="0"/>
      <w:adjustRightInd w:val="0"/>
    </w:pPr>
    <w:rPr>
      <w:rFonts w:ascii="Times New Roman" w:hAnsi="Times New Roman"/>
      <w:lang w:val="en-US" w:eastAsia="es-AR"/>
    </w:rPr>
  </w:style>
  <w:style w:type="paragraph" w:customStyle="1" w:styleId="Table9pt">
    <w:name w:val="Table 9pt"/>
    <w:basedOn w:val="Normal"/>
    <w:rsid w:val="002831AB"/>
    <w:pPr>
      <w:autoSpaceDE w:val="0"/>
      <w:autoSpaceDN w:val="0"/>
      <w:adjustRightInd w:val="0"/>
    </w:pPr>
    <w:rPr>
      <w:rFonts w:ascii="Times New Roman" w:hAnsi="Times New Roman"/>
      <w:sz w:val="18"/>
      <w:szCs w:val="18"/>
      <w:lang w:val="en-US" w:eastAsia="es-AR"/>
    </w:rPr>
  </w:style>
  <w:style w:type="paragraph" w:customStyle="1" w:styleId="Table">
    <w:name w:val="Table"/>
    <w:basedOn w:val="Normal"/>
    <w:rsid w:val="002831AB"/>
    <w:pPr>
      <w:autoSpaceDE w:val="0"/>
      <w:autoSpaceDN w:val="0"/>
      <w:adjustRightInd w:val="0"/>
    </w:pPr>
    <w:rPr>
      <w:rFonts w:ascii="Times New Roman" w:hAnsi="Times New Roman"/>
      <w:lang w:val="en-US" w:eastAsia="es-AR"/>
    </w:rPr>
  </w:style>
  <w:style w:type="character" w:customStyle="1" w:styleId="TableText10pt">
    <w:name w:val="Table Text 10pt"/>
    <w:rsid w:val="002831AB"/>
    <w:rPr>
      <w:rFonts w:ascii="Times New Roman" w:hAnsi="Times New Roman"/>
      <w:spacing w:val="0"/>
      <w:sz w:val="20"/>
    </w:rPr>
  </w:style>
  <w:style w:type="paragraph" w:customStyle="1" w:styleId="SmallCircle">
    <w:name w:val="Small Circle"/>
    <w:basedOn w:val="Normal"/>
    <w:rsid w:val="002831AB"/>
    <w:pPr>
      <w:widowControl w:val="0"/>
      <w:autoSpaceDE w:val="0"/>
      <w:autoSpaceDN w:val="0"/>
      <w:adjustRightInd w:val="0"/>
      <w:ind w:left="1440" w:hanging="720"/>
    </w:pPr>
    <w:rPr>
      <w:rFonts w:ascii="Times New Roman" w:hAnsi="Times New Roman"/>
      <w:sz w:val="24"/>
      <w:szCs w:val="24"/>
      <w:lang w:val="en-US" w:eastAsia="es-AR"/>
    </w:rPr>
  </w:style>
  <w:style w:type="paragraph" w:customStyle="1" w:styleId="CG-SingleSp">
    <w:name w:val="CG-Single Sp"/>
    <w:aliases w:val="s1,0.5 s2,0.,DPWfd tbl stub10,0,s1s2,Second Heading 1,dx-Bd Single Sp"/>
    <w:basedOn w:val="Normal"/>
    <w:rsid w:val="002831AB"/>
    <w:pPr>
      <w:autoSpaceDE w:val="0"/>
      <w:autoSpaceDN w:val="0"/>
      <w:adjustRightInd w:val="0"/>
      <w:spacing w:after="240"/>
    </w:pPr>
    <w:rPr>
      <w:rFonts w:ascii="Times New Roman" w:hAnsi="Times New Roman"/>
      <w:lang w:val="en-US" w:eastAsia="es-AR"/>
    </w:rPr>
  </w:style>
  <w:style w:type="paragraph" w:customStyle="1" w:styleId="TitleBIIndented">
    <w:name w:val="Title BI Indented"/>
    <w:basedOn w:val="TitleB"/>
    <w:rsid w:val="002831AB"/>
  </w:style>
  <w:style w:type="character" w:customStyle="1" w:styleId="Table10pt">
    <w:name w:val="Table 10 pt"/>
    <w:rsid w:val="002831AB"/>
    <w:rPr>
      <w:rFonts w:ascii="Arial" w:hAnsi="Arial"/>
      <w:color w:val="auto"/>
      <w:spacing w:val="0"/>
      <w:sz w:val="20"/>
      <w:u w:val="none"/>
      <w:vertAlign w:val="baseline"/>
    </w:rPr>
  </w:style>
  <w:style w:type="paragraph" w:customStyle="1" w:styleId="STBBullet4DBL">
    <w:name w:val="STB Bullet 4 DBL"/>
    <w:basedOn w:val="Normal"/>
    <w:rsid w:val="002831AB"/>
    <w:pPr>
      <w:tabs>
        <w:tab w:val="num" w:pos="1800"/>
      </w:tabs>
      <w:autoSpaceDE w:val="0"/>
      <w:autoSpaceDN w:val="0"/>
      <w:adjustRightInd w:val="0"/>
      <w:spacing w:line="480" w:lineRule="auto"/>
      <w:ind w:firstLine="1440"/>
    </w:pPr>
    <w:rPr>
      <w:rFonts w:ascii="Times New Roman" w:hAnsi="Times New Roman"/>
      <w:sz w:val="24"/>
      <w:szCs w:val="24"/>
      <w:lang w:val="en-US" w:eastAsia="es-AR"/>
    </w:rPr>
  </w:style>
  <w:style w:type="paragraph" w:customStyle="1" w:styleId="blockTBI">
    <w:name w:val="block TBI"/>
    <w:basedOn w:val="Normal"/>
    <w:rsid w:val="002831AB"/>
    <w:pPr>
      <w:autoSpaceDE w:val="0"/>
      <w:autoSpaceDN w:val="0"/>
      <w:adjustRightInd w:val="0"/>
      <w:spacing w:after="240"/>
    </w:pPr>
    <w:rPr>
      <w:rFonts w:ascii="Times New Roman" w:hAnsi="Times New Roman"/>
      <w:b/>
      <w:bCs/>
      <w:i/>
      <w:iCs/>
      <w:lang w:val="en-US" w:eastAsia="es-AR"/>
    </w:rPr>
  </w:style>
  <w:style w:type="character" w:customStyle="1" w:styleId="Table7pt">
    <w:name w:val="Table 7pt"/>
    <w:qFormat/>
    <w:rsid w:val="003B5193"/>
    <w:rPr>
      <w:spacing w:val="0"/>
      <w:sz w:val="14"/>
    </w:rPr>
  </w:style>
  <w:style w:type="character" w:customStyle="1" w:styleId="DeltaViewDeletion">
    <w:name w:val="DeltaView Deletion"/>
    <w:rsid w:val="002831AB"/>
    <w:rPr>
      <w:strike/>
      <w:color w:val="FF0000"/>
      <w:spacing w:val="0"/>
    </w:rPr>
  </w:style>
  <w:style w:type="paragraph" w:styleId="Textocomentario">
    <w:name w:val="annotation text"/>
    <w:basedOn w:val="Normal"/>
    <w:link w:val="TextocomentarioCar"/>
    <w:rsid w:val="002831AB"/>
    <w:pPr>
      <w:autoSpaceDE w:val="0"/>
      <w:autoSpaceDN w:val="0"/>
      <w:adjustRightInd w:val="0"/>
    </w:pPr>
    <w:rPr>
      <w:rFonts w:ascii="Times New Roman" w:hAnsi="Times New Roman"/>
      <w:lang w:val="en-US" w:eastAsia="x-none"/>
    </w:rPr>
  </w:style>
  <w:style w:type="character" w:customStyle="1" w:styleId="TextocomentarioCar">
    <w:name w:val="Texto comentario Car"/>
    <w:link w:val="Textocomentario"/>
    <w:locked/>
    <w:rsid w:val="002831AB"/>
    <w:rPr>
      <w:rFonts w:ascii="Times New Roman" w:eastAsia="Times New Roman" w:hAnsi="Times New Roman"/>
      <w:lang w:val="en-US" w:eastAsia="x-none"/>
    </w:rPr>
  </w:style>
  <w:style w:type="paragraph" w:styleId="Textoindependiente2">
    <w:name w:val="Body Text 2"/>
    <w:aliases w:val="b2"/>
    <w:basedOn w:val="Normal"/>
    <w:link w:val="Textoindependiente2Car"/>
    <w:uiPriority w:val="99"/>
    <w:rsid w:val="002831AB"/>
    <w:pPr>
      <w:spacing w:line="480" w:lineRule="auto"/>
      <w:ind w:firstLine="720"/>
    </w:pPr>
    <w:rPr>
      <w:rFonts w:ascii="Times New Roman" w:hAnsi="Times New Roman"/>
      <w:sz w:val="24"/>
      <w:lang w:val="en-US" w:eastAsia="x-none"/>
    </w:rPr>
  </w:style>
  <w:style w:type="character" w:customStyle="1" w:styleId="Textoindependiente2Car">
    <w:name w:val="Texto independiente 2 Car"/>
    <w:aliases w:val="b2 Car"/>
    <w:link w:val="Textoindependiente2"/>
    <w:uiPriority w:val="99"/>
    <w:locked/>
    <w:rsid w:val="002831AB"/>
    <w:rPr>
      <w:rFonts w:ascii="Times New Roman" w:eastAsia="Times New Roman" w:hAnsi="Times New Roman"/>
      <w:sz w:val="24"/>
      <w:lang w:val="en-US" w:eastAsia="x-none"/>
    </w:rPr>
  </w:style>
  <w:style w:type="paragraph" w:customStyle="1" w:styleId="HdgBodyText">
    <w:name w:val="Hdg Body Text"/>
    <w:basedOn w:val="Textoindependiente"/>
    <w:next w:val="Textoindependiente"/>
    <w:rsid w:val="002831AB"/>
    <w:pPr>
      <w:autoSpaceDE/>
      <w:autoSpaceDN/>
      <w:adjustRightInd/>
      <w:spacing w:after="0"/>
    </w:pPr>
    <w:rPr>
      <w:sz w:val="18"/>
      <w:szCs w:val="18"/>
    </w:rPr>
  </w:style>
  <w:style w:type="paragraph" w:customStyle="1" w:styleId="Item">
    <w:name w:val="Item"/>
    <w:basedOn w:val="Normal"/>
    <w:rsid w:val="002831AB"/>
    <w:pPr>
      <w:autoSpaceDE w:val="0"/>
      <w:autoSpaceDN w:val="0"/>
      <w:adjustRightInd w:val="0"/>
      <w:spacing w:after="240"/>
      <w:ind w:left="1080" w:hanging="360"/>
    </w:pPr>
    <w:rPr>
      <w:rFonts w:ascii="Times New Roman" w:hAnsi="Times New Roman"/>
      <w:lang w:val="en-US" w:eastAsia="es-AR"/>
    </w:rPr>
  </w:style>
  <w:style w:type="paragraph" w:customStyle="1" w:styleId="Asuntodelcomentario1">
    <w:name w:val="Asunto del comentario1"/>
    <w:basedOn w:val="Textocomentario"/>
    <w:next w:val="Textocomentario"/>
    <w:rsid w:val="002831AB"/>
    <w:rPr>
      <w:b/>
      <w:bCs/>
    </w:rPr>
  </w:style>
  <w:style w:type="paragraph" w:customStyle="1" w:styleId="TableFootnote">
    <w:name w:val="Table Footnote"/>
    <w:basedOn w:val="Normal"/>
    <w:rsid w:val="002831AB"/>
    <w:pPr>
      <w:ind w:left="720" w:hanging="720"/>
      <w:jc w:val="both"/>
    </w:pPr>
    <w:rPr>
      <w:rFonts w:ascii="Times New Roman" w:hAnsi="Times New Roman"/>
      <w:sz w:val="16"/>
      <w:lang w:val="en-US" w:eastAsia="es-AR"/>
    </w:rPr>
  </w:style>
  <w:style w:type="paragraph" w:customStyle="1" w:styleId="TableNote">
    <w:name w:val="Table Note"/>
    <w:basedOn w:val="Normal"/>
    <w:uiPriority w:val="99"/>
    <w:rsid w:val="002831AB"/>
    <w:pPr>
      <w:keepNext/>
      <w:ind w:left="360" w:hanging="360"/>
    </w:pPr>
    <w:rPr>
      <w:rFonts w:ascii="Times New Roman" w:hAnsi="Times New Roman"/>
      <w:i/>
      <w:lang w:val="en-US" w:eastAsia="es-ES"/>
    </w:rPr>
  </w:style>
  <w:style w:type="paragraph" w:styleId="Listaconnmeros2">
    <w:name w:val="List Number 2"/>
    <w:basedOn w:val="Normal"/>
    <w:uiPriority w:val="99"/>
    <w:rsid w:val="002831AB"/>
    <w:pPr>
      <w:numPr>
        <w:numId w:val="8"/>
      </w:numPr>
      <w:adjustRightInd w:val="0"/>
      <w:snapToGrid w:val="0"/>
      <w:spacing w:after="240"/>
    </w:pPr>
    <w:rPr>
      <w:rFonts w:ascii="Times New Roman" w:hAnsi="Times New Roman"/>
      <w:lang w:val="en-US" w:eastAsia="es-ES"/>
    </w:rPr>
  </w:style>
  <w:style w:type="paragraph" w:styleId="Listaconnmeros">
    <w:name w:val="List Number"/>
    <w:basedOn w:val="Normal"/>
    <w:uiPriority w:val="99"/>
    <w:qFormat/>
    <w:rsid w:val="00B86C83"/>
    <w:pPr>
      <w:numPr>
        <w:numId w:val="9"/>
      </w:numPr>
      <w:autoSpaceDE w:val="0"/>
      <w:autoSpaceDN w:val="0"/>
      <w:adjustRightInd w:val="0"/>
    </w:pPr>
    <w:rPr>
      <w:rFonts w:ascii="Times New Roman" w:hAnsi="Times New Roman"/>
      <w:lang w:val="en-US" w:eastAsia="es-AR"/>
    </w:rPr>
  </w:style>
  <w:style w:type="paragraph" w:customStyle="1" w:styleId="BulletedDagger">
    <w:name w:val="Bulleted Dagger"/>
    <w:basedOn w:val="Normal"/>
    <w:rsid w:val="002831AB"/>
    <w:pPr>
      <w:tabs>
        <w:tab w:val="num" w:pos="1080"/>
        <w:tab w:val="left" w:pos="1440"/>
      </w:tabs>
      <w:spacing w:after="240"/>
      <w:ind w:left="1080" w:hanging="360"/>
    </w:pPr>
    <w:rPr>
      <w:rFonts w:ascii="Times New Roman" w:hAnsi="Times New Roman"/>
      <w:lang w:val="en-US" w:eastAsia="es-AR"/>
    </w:rPr>
  </w:style>
  <w:style w:type="paragraph" w:styleId="NormalWeb">
    <w:name w:val="Normal (Web)"/>
    <w:basedOn w:val="Normal"/>
    <w:uiPriority w:val="99"/>
    <w:rsid w:val="002831AB"/>
    <w:pPr>
      <w:spacing w:before="100" w:beforeAutospacing="1" w:after="100" w:afterAutospacing="1"/>
    </w:pPr>
    <w:rPr>
      <w:rFonts w:ascii="Arial Unicode MS" w:eastAsia="Arial Unicode MS" w:hAnsi="Arial Unicode MS" w:cs="Arial Unicode MS"/>
      <w:sz w:val="24"/>
      <w:szCs w:val="24"/>
      <w:lang w:val="es-ES" w:eastAsia="es-ES"/>
    </w:rPr>
  </w:style>
  <w:style w:type="paragraph" w:customStyle="1" w:styleId="CoverTitle6">
    <w:name w:val="Cover Title 6"/>
    <w:basedOn w:val="Normal"/>
    <w:rsid w:val="002831AB"/>
    <w:pPr>
      <w:spacing w:after="60"/>
      <w:jc w:val="center"/>
    </w:pPr>
    <w:rPr>
      <w:rFonts w:ascii="Times New Roman" w:eastAsia="MS Mincho" w:hAnsi="Times New Roman"/>
      <w:lang w:val="en-US" w:eastAsia="es-AR"/>
    </w:rPr>
  </w:style>
  <w:style w:type="paragraph" w:customStyle="1" w:styleId="CoverTitle1">
    <w:name w:val="Cover Title 1"/>
    <w:basedOn w:val="Normal"/>
    <w:rsid w:val="002831AB"/>
    <w:pPr>
      <w:jc w:val="center"/>
    </w:pPr>
    <w:rPr>
      <w:rFonts w:ascii="Times New Roman" w:eastAsia="MS Mincho" w:hAnsi="Times New Roman"/>
      <w:b/>
      <w:bCs/>
      <w:caps/>
      <w:sz w:val="40"/>
      <w:lang w:val="en-US" w:eastAsia="es-AR"/>
    </w:rPr>
  </w:style>
  <w:style w:type="paragraph" w:customStyle="1" w:styleId="TitleLItal">
    <w:name w:val="Title L Ital"/>
    <w:basedOn w:val="Normal"/>
    <w:rsid w:val="002831AB"/>
    <w:pPr>
      <w:keepNext/>
      <w:spacing w:after="240"/>
      <w:jc w:val="both"/>
    </w:pPr>
    <w:rPr>
      <w:rFonts w:ascii="Times New Roman" w:hAnsi="Times New Roman"/>
      <w:i/>
      <w:iCs/>
      <w:lang w:val="en-US" w:eastAsia="es-AR"/>
    </w:rPr>
  </w:style>
  <w:style w:type="paragraph" w:customStyle="1" w:styleId="Centered">
    <w:name w:val="Centered"/>
    <w:basedOn w:val="Normal"/>
    <w:next w:val="Textoindependiente"/>
    <w:rsid w:val="002831AB"/>
    <w:pPr>
      <w:keepNext/>
      <w:spacing w:after="240"/>
      <w:jc w:val="center"/>
    </w:pPr>
    <w:rPr>
      <w:rFonts w:ascii="Times New Roman" w:hAnsi="Times New Roman"/>
      <w:b/>
      <w:bCs/>
      <w:sz w:val="22"/>
      <w:szCs w:val="22"/>
      <w:lang w:val="en-US" w:eastAsia="es-AR"/>
    </w:rPr>
  </w:style>
  <w:style w:type="paragraph" w:customStyle="1" w:styleId="BoldHeading">
    <w:name w:val="Bold Heading"/>
    <w:basedOn w:val="Normal"/>
    <w:uiPriority w:val="99"/>
    <w:rsid w:val="002831AB"/>
    <w:pPr>
      <w:keepNext/>
      <w:spacing w:after="240"/>
      <w:jc w:val="both"/>
    </w:pPr>
    <w:rPr>
      <w:rFonts w:ascii="Times New Roman" w:eastAsia="SimSun" w:hAnsi="Times New Roman"/>
      <w:b/>
      <w:lang w:val="en-US" w:eastAsia="es-AR"/>
    </w:rPr>
  </w:style>
  <w:style w:type="paragraph" w:customStyle="1" w:styleId="BoldItal">
    <w:name w:val="BoldItal"/>
    <w:basedOn w:val="Normal"/>
    <w:rsid w:val="002831AB"/>
    <w:pPr>
      <w:keepNext/>
      <w:spacing w:after="240"/>
      <w:jc w:val="both"/>
      <w:outlineLvl w:val="0"/>
    </w:pPr>
    <w:rPr>
      <w:rFonts w:ascii="Times New Roman" w:eastAsia="SimSun" w:hAnsi="Times New Roman"/>
      <w:b/>
      <w:i/>
      <w:lang w:val="en-US" w:eastAsia="es-AR"/>
    </w:rPr>
  </w:style>
  <w:style w:type="paragraph" w:customStyle="1" w:styleId="BlockTextBoldSgl">
    <w:name w:val="Block Text Bold Sgl"/>
    <w:basedOn w:val="Normal"/>
    <w:rsid w:val="002831AB"/>
    <w:pPr>
      <w:keepNext/>
      <w:keepLines/>
      <w:spacing w:after="240"/>
    </w:pPr>
    <w:rPr>
      <w:rFonts w:ascii="Times New Roman" w:hAnsi="Times New Roman"/>
      <w:b/>
      <w:szCs w:val="24"/>
      <w:lang w:val="en-US" w:eastAsia="es-AR"/>
    </w:rPr>
  </w:style>
  <w:style w:type="paragraph" w:customStyle="1" w:styleId="ListBullet1">
    <w:name w:val="List Bullet 1"/>
    <w:basedOn w:val="Normal"/>
    <w:rsid w:val="002831AB"/>
    <w:pPr>
      <w:tabs>
        <w:tab w:val="num" w:pos="360"/>
      </w:tabs>
      <w:spacing w:after="240"/>
      <w:ind w:left="360" w:hanging="360"/>
      <w:jc w:val="both"/>
    </w:pPr>
    <w:rPr>
      <w:rFonts w:ascii="Times New Roman" w:hAnsi="Times New Roman"/>
      <w:szCs w:val="24"/>
      <w:lang w:val="en-US" w:eastAsia="es-AR"/>
    </w:rPr>
  </w:style>
  <w:style w:type="paragraph" w:customStyle="1" w:styleId="BodyTextFirstIndent2J">
    <w:name w:val="Body Text First Indent 2J"/>
    <w:basedOn w:val="Normal"/>
    <w:rsid w:val="002831AB"/>
    <w:pPr>
      <w:spacing w:after="240"/>
      <w:ind w:left="720" w:firstLine="720"/>
      <w:jc w:val="both"/>
    </w:pPr>
    <w:rPr>
      <w:rFonts w:ascii="Times New Roman" w:hAnsi="Times New Roman"/>
      <w:szCs w:val="24"/>
      <w:lang w:val="en-US" w:eastAsia="es-AR"/>
    </w:rPr>
  </w:style>
  <w:style w:type="paragraph" w:customStyle="1" w:styleId="CG-Title-Center">
    <w:name w:val="CG-Title-Center"/>
    <w:aliases w:val="t5"/>
    <w:basedOn w:val="Normal"/>
    <w:next w:val="Normal"/>
    <w:rsid w:val="002831AB"/>
    <w:pPr>
      <w:keepNext/>
      <w:spacing w:after="240"/>
      <w:jc w:val="center"/>
    </w:pPr>
    <w:rPr>
      <w:rFonts w:ascii="Times New Roman" w:hAnsi="Times New Roman"/>
      <w:lang w:val="en-US" w:eastAsia="es-AR"/>
    </w:rPr>
  </w:style>
  <w:style w:type="character" w:customStyle="1" w:styleId="Table10pt0">
    <w:name w:val="Table 10pt"/>
    <w:qFormat/>
    <w:rsid w:val="002831AB"/>
    <w:rPr>
      <w:sz w:val="20"/>
    </w:rPr>
  </w:style>
  <w:style w:type="paragraph" w:customStyle="1" w:styleId="BulletDagger2">
    <w:name w:val="Bullet Dagger2"/>
    <w:basedOn w:val="Normal"/>
    <w:rsid w:val="002831AB"/>
    <w:pPr>
      <w:numPr>
        <w:numId w:val="10"/>
      </w:numPr>
      <w:autoSpaceDE w:val="0"/>
      <w:autoSpaceDN w:val="0"/>
      <w:adjustRightInd w:val="0"/>
      <w:spacing w:after="240"/>
    </w:pPr>
    <w:rPr>
      <w:rFonts w:ascii="Times New Roman" w:hAnsi="Times New Roman"/>
      <w:lang w:val="en-US" w:eastAsia="es-AR"/>
    </w:rPr>
  </w:style>
  <w:style w:type="paragraph" w:styleId="Lista">
    <w:name w:val="List"/>
    <w:basedOn w:val="Normal"/>
    <w:uiPriority w:val="99"/>
    <w:qFormat/>
    <w:rsid w:val="00B86C83"/>
    <w:pPr>
      <w:numPr>
        <w:numId w:val="11"/>
      </w:numPr>
      <w:autoSpaceDE w:val="0"/>
      <w:autoSpaceDN w:val="0"/>
      <w:adjustRightInd w:val="0"/>
      <w:spacing w:after="240"/>
    </w:pPr>
    <w:rPr>
      <w:rFonts w:ascii="Times New Roman" w:hAnsi="Times New Roman"/>
      <w:lang w:val="en-US" w:eastAsia="es-AR"/>
    </w:rPr>
  </w:style>
  <w:style w:type="paragraph" w:customStyle="1" w:styleId="TableNotes">
    <w:name w:val="Table Notes"/>
    <w:basedOn w:val="Normal"/>
    <w:qFormat/>
    <w:rsid w:val="00B86C83"/>
    <w:pPr>
      <w:keepNext/>
      <w:autoSpaceDE w:val="0"/>
      <w:autoSpaceDN w:val="0"/>
      <w:adjustRightInd w:val="0"/>
      <w:spacing w:after="60"/>
      <w:ind w:left="706" w:hanging="605"/>
    </w:pPr>
    <w:rPr>
      <w:rFonts w:ascii="Times New Roman" w:hAnsi="Times New Roman"/>
      <w:bCs/>
      <w:kern w:val="28"/>
      <w:lang w:val="en-US" w:eastAsia="es-AR"/>
    </w:rPr>
  </w:style>
  <w:style w:type="paragraph" w:customStyle="1" w:styleId="TableText">
    <w:name w:val="Table Text"/>
    <w:basedOn w:val="Textodebloque"/>
    <w:rsid w:val="002831AB"/>
    <w:pPr>
      <w:autoSpaceDE/>
      <w:autoSpaceDN/>
      <w:adjustRightInd/>
    </w:pPr>
    <w:rPr>
      <w:sz w:val="16"/>
      <w:szCs w:val="24"/>
      <w:lang w:eastAsia="es-ES"/>
    </w:rPr>
  </w:style>
  <w:style w:type="paragraph" w:customStyle="1" w:styleId="TitleBoldItalic">
    <w:name w:val="Title Bold/Italic"/>
    <w:basedOn w:val="Normal"/>
    <w:rsid w:val="002831AB"/>
    <w:pPr>
      <w:keepNext/>
      <w:spacing w:after="240"/>
      <w:jc w:val="both"/>
    </w:pPr>
    <w:rPr>
      <w:rFonts w:ascii="Times New Roman Bold" w:hAnsi="Times New Roman Bold"/>
      <w:b/>
      <w:bCs/>
      <w:i/>
      <w:iCs/>
      <w:szCs w:val="24"/>
      <w:lang w:val="en-US" w:eastAsia="es-AR"/>
    </w:rPr>
  </w:style>
  <w:style w:type="paragraph" w:customStyle="1" w:styleId="TableNoteLine">
    <w:name w:val="Table Note Line"/>
    <w:basedOn w:val="Normal"/>
    <w:uiPriority w:val="99"/>
    <w:rsid w:val="002831AB"/>
    <w:pPr>
      <w:pBdr>
        <w:bottom w:val="single" w:sz="4" w:space="1" w:color="auto"/>
      </w:pBdr>
      <w:spacing w:after="120"/>
      <w:ind w:right="7200"/>
    </w:pPr>
    <w:rPr>
      <w:rFonts w:ascii="Times New Roman" w:hAnsi="Times New Roman"/>
      <w:szCs w:val="24"/>
      <w:lang w:val="en-US" w:eastAsia="es-AR"/>
    </w:rPr>
  </w:style>
  <w:style w:type="paragraph" w:customStyle="1" w:styleId="Table8pt">
    <w:name w:val="Table 8pt"/>
    <w:basedOn w:val="Normal"/>
    <w:rsid w:val="002831AB"/>
    <w:rPr>
      <w:rFonts w:ascii="Times New Roman" w:hAnsi="Times New Roman"/>
      <w:sz w:val="16"/>
      <w:szCs w:val="16"/>
      <w:lang w:val="en-US" w:eastAsia="es-AR"/>
    </w:rPr>
  </w:style>
  <w:style w:type="paragraph" w:customStyle="1" w:styleId="TitleBoldItal">
    <w:name w:val="Title Bold Ital"/>
    <w:basedOn w:val="Normal"/>
    <w:rsid w:val="002831AB"/>
    <w:pPr>
      <w:keepNext/>
      <w:spacing w:after="200"/>
      <w:ind w:left="720"/>
    </w:pPr>
    <w:rPr>
      <w:rFonts w:ascii="Times New Roman" w:eastAsia="Batang" w:hAnsi="Times New Roman"/>
      <w:b/>
      <w:bCs/>
      <w:i/>
      <w:iCs/>
      <w:lang w:val="en-US" w:eastAsia="es-AR"/>
    </w:rPr>
  </w:style>
  <w:style w:type="paragraph" w:customStyle="1" w:styleId="TableLine">
    <w:name w:val="Table Line"/>
    <w:basedOn w:val="Normal"/>
    <w:rsid w:val="002831AB"/>
    <w:pPr>
      <w:pBdr>
        <w:bottom w:val="single" w:sz="4" w:space="1" w:color="auto"/>
      </w:pBdr>
      <w:spacing w:after="60"/>
      <w:ind w:right="7200"/>
    </w:pPr>
    <w:rPr>
      <w:rFonts w:ascii="Times New Roman" w:hAnsi="Times New Roman"/>
      <w:szCs w:val="24"/>
      <w:lang w:val="en-US" w:eastAsia="es-AR"/>
    </w:rPr>
  </w:style>
  <w:style w:type="paragraph" w:customStyle="1" w:styleId="TableNote85">
    <w:name w:val="Table Note 8.5"/>
    <w:basedOn w:val="Normal"/>
    <w:rsid w:val="002831AB"/>
    <w:pPr>
      <w:spacing w:after="120"/>
      <w:ind w:left="360" w:hanging="360"/>
    </w:pPr>
    <w:rPr>
      <w:rFonts w:ascii="Times New Roman" w:hAnsi="Times New Roman"/>
      <w:sz w:val="17"/>
      <w:szCs w:val="17"/>
      <w:lang w:val="en-US" w:eastAsia="es-AR"/>
    </w:rPr>
  </w:style>
  <w:style w:type="character" w:customStyle="1" w:styleId="Table10">
    <w:name w:val="Table 10"/>
    <w:rsid w:val="002831AB"/>
    <w:rPr>
      <w:sz w:val="20"/>
    </w:rPr>
  </w:style>
  <w:style w:type="paragraph" w:styleId="Textosinformato">
    <w:name w:val="Plain Text"/>
    <w:basedOn w:val="Normal"/>
    <w:link w:val="TextosinformatoCar"/>
    <w:rsid w:val="002831AB"/>
    <w:rPr>
      <w:rFonts w:ascii="Courier New" w:hAnsi="Courier New"/>
      <w:lang w:val="en-US" w:eastAsia="x-none"/>
    </w:rPr>
  </w:style>
  <w:style w:type="character" w:customStyle="1" w:styleId="TextosinformatoCar">
    <w:name w:val="Texto sin formato Car"/>
    <w:link w:val="Textosinformato"/>
    <w:locked/>
    <w:rsid w:val="002831AB"/>
    <w:rPr>
      <w:rFonts w:ascii="Courier New" w:eastAsia="Times New Roman" w:hAnsi="Courier New"/>
      <w:lang w:val="en-US" w:eastAsia="x-none"/>
    </w:rPr>
  </w:style>
  <w:style w:type="character" w:customStyle="1" w:styleId="Table6pt">
    <w:name w:val="Table 6pt"/>
    <w:rsid w:val="002831AB"/>
    <w:rPr>
      <w:rFonts w:ascii="Times New Roman" w:hAnsi="Times New Roman"/>
      <w:spacing w:val="0"/>
      <w:sz w:val="14"/>
    </w:rPr>
  </w:style>
  <w:style w:type="paragraph" w:customStyle="1" w:styleId="BlockTextBullet">
    <w:name w:val="Block Text Bullet"/>
    <w:basedOn w:val="Normal"/>
    <w:rsid w:val="002831AB"/>
    <w:pPr>
      <w:spacing w:after="240"/>
      <w:ind w:left="360" w:hanging="360"/>
      <w:jc w:val="both"/>
    </w:pPr>
    <w:rPr>
      <w:rFonts w:ascii="Times New Roman" w:hAnsi="Times New Roman"/>
      <w:lang w:val="en-US" w:eastAsia="es-AR"/>
    </w:rPr>
  </w:style>
  <w:style w:type="paragraph" w:customStyle="1" w:styleId="BLOCKBOLDSGL">
    <w:name w:val="BLOCK BOLD SGL"/>
    <w:aliases w:val="bbs"/>
    <w:basedOn w:val="Normal"/>
    <w:uiPriority w:val="99"/>
    <w:rsid w:val="002831AB"/>
    <w:pPr>
      <w:keepNext/>
      <w:spacing w:after="240"/>
    </w:pPr>
    <w:rPr>
      <w:rFonts w:ascii="Times New Roman" w:hAnsi="Times New Roman"/>
      <w:b/>
      <w:szCs w:val="24"/>
      <w:lang w:val="en-US" w:eastAsia="es-AR"/>
    </w:rPr>
  </w:style>
  <w:style w:type="paragraph" w:customStyle="1" w:styleId="ItalicsBold">
    <w:name w:val="Italics/Bold"/>
    <w:basedOn w:val="Normal"/>
    <w:uiPriority w:val="99"/>
    <w:rsid w:val="002831AB"/>
    <w:pPr>
      <w:keepNext/>
      <w:spacing w:after="240"/>
    </w:pPr>
    <w:rPr>
      <w:rFonts w:ascii="Times New Roman" w:hAnsi="Times New Roman"/>
      <w:b/>
      <w:i/>
      <w:szCs w:val="24"/>
      <w:lang w:val="en-US" w:eastAsia="es-AR"/>
    </w:rPr>
  </w:style>
  <w:style w:type="paragraph" w:customStyle="1" w:styleId="ItalicsBold50Indent">
    <w:name w:val="Italics/Bold .50 Indent"/>
    <w:basedOn w:val="Normal"/>
    <w:rsid w:val="002831AB"/>
    <w:pPr>
      <w:keepNext/>
      <w:spacing w:after="240"/>
      <w:ind w:firstLine="720"/>
    </w:pPr>
    <w:rPr>
      <w:rFonts w:ascii="Times New Roman" w:hAnsi="Times New Roman"/>
      <w:b/>
      <w:i/>
      <w:szCs w:val="24"/>
      <w:lang w:val="en-US" w:eastAsia="es-AR"/>
    </w:rPr>
  </w:style>
  <w:style w:type="paragraph" w:customStyle="1" w:styleId="Italics5Indent">
    <w:name w:val="Italics/.5 Indent"/>
    <w:basedOn w:val="Normal"/>
    <w:rsid w:val="002831AB"/>
    <w:pPr>
      <w:keepNext/>
      <w:spacing w:after="240"/>
      <w:ind w:firstLine="720"/>
    </w:pPr>
    <w:rPr>
      <w:rFonts w:ascii="Times New Roman" w:hAnsi="Times New Roman"/>
      <w:i/>
      <w:szCs w:val="24"/>
      <w:lang w:val="en-US" w:eastAsia="es-AR"/>
    </w:rPr>
  </w:style>
  <w:style w:type="paragraph" w:customStyle="1" w:styleId="Arrowbullet">
    <w:name w:val="Arrow bullet"/>
    <w:basedOn w:val="Normal"/>
    <w:rsid w:val="002831AB"/>
    <w:pPr>
      <w:numPr>
        <w:numId w:val="12"/>
      </w:numPr>
      <w:spacing w:after="240"/>
    </w:pPr>
    <w:rPr>
      <w:rFonts w:ascii="Times New Roman" w:hAnsi="Times New Roman"/>
      <w:szCs w:val="24"/>
      <w:lang w:val="en-US" w:eastAsia="es-AR"/>
    </w:rPr>
  </w:style>
  <w:style w:type="paragraph" w:customStyle="1" w:styleId="ItalicsBlock">
    <w:name w:val="Italics/Block"/>
    <w:basedOn w:val="Normal"/>
    <w:rsid w:val="002831AB"/>
    <w:pPr>
      <w:spacing w:after="240"/>
    </w:pPr>
    <w:rPr>
      <w:rFonts w:ascii="Times New Roman" w:hAnsi="Times New Roman"/>
      <w:i/>
      <w:szCs w:val="24"/>
      <w:lang w:val="en-US" w:eastAsia="es-AR"/>
    </w:rPr>
  </w:style>
  <w:style w:type="paragraph" w:customStyle="1" w:styleId="AOHeadings">
    <w:name w:val="AOHeadings"/>
    <w:basedOn w:val="Normal"/>
    <w:next w:val="Normal"/>
    <w:rsid w:val="002831AB"/>
    <w:pPr>
      <w:spacing w:before="200"/>
      <w:jc w:val="both"/>
    </w:pPr>
    <w:rPr>
      <w:rFonts w:ascii="Times New Roman" w:hAnsi="Times New Roman"/>
      <w:lang w:val="en-US" w:eastAsia="es-AR"/>
    </w:rPr>
  </w:style>
  <w:style w:type="paragraph" w:customStyle="1" w:styleId="Body05Justified">
    <w:name w:val="Body 0.5 Justified"/>
    <w:basedOn w:val="Normal"/>
    <w:uiPriority w:val="99"/>
    <w:rsid w:val="002831AB"/>
    <w:pPr>
      <w:spacing w:after="240"/>
      <w:ind w:firstLine="720"/>
    </w:pPr>
    <w:rPr>
      <w:rFonts w:ascii="Times New Roman" w:hAnsi="Times New Roman"/>
      <w:lang w:val="en-US" w:eastAsia="es-AR"/>
    </w:rPr>
  </w:style>
  <w:style w:type="paragraph" w:customStyle="1" w:styleId="BodyBullet">
    <w:name w:val="Body Bullet"/>
    <w:aliases w:val="bb"/>
    <w:basedOn w:val="Textoindependiente"/>
    <w:rsid w:val="002831AB"/>
    <w:pPr>
      <w:autoSpaceDE/>
      <w:autoSpaceDN/>
      <w:adjustRightInd/>
      <w:spacing w:after="240"/>
    </w:pPr>
    <w:rPr>
      <w:lang w:eastAsia="es-ES"/>
    </w:rPr>
  </w:style>
  <w:style w:type="paragraph" w:customStyle="1" w:styleId="Char">
    <w:name w:val="Char"/>
    <w:basedOn w:val="Normal"/>
    <w:rsid w:val="002831AB"/>
    <w:pPr>
      <w:spacing w:after="160" w:line="240" w:lineRule="exact"/>
    </w:pPr>
    <w:rPr>
      <w:rFonts w:ascii="Verdana" w:eastAsia="PMingLiU" w:hAnsi="Verdana"/>
      <w:lang w:val="en-US" w:eastAsia="es-AR"/>
    </w:rPr>
  </w:style>
  <w:style w:type="paragraph" w:customStyle="1" w:styleId="75indent">
    <w:name w:val=".75 indent"/>
    <w:basedOn w:val="Normal"/>
    <w:rsid w:val="002831AB"/>
    <w:pPr>
      <w:tabs>
        <w:tab w:val="left" w:pos="1440"/>
      </w:tabs>
      <w:spacing w:after="240"/>
      <w:ind w:left="1440" w:hanging="360"/>
    </w:pPr>
    <w:rPr>
      <w:rFonts w:ascii="Times New Roman" w:hAnsi="Times New Roman"/>
      <w:szCs w:val="24"/>
      <w:lang w:val="en-US" w:eastAsia="es-AR"/>
    </w:rPr>
  </w:style>
  <w:style w:type="paragraph" w:customStyle="1" w:styleId="Tabulacin">
    <w:name w:val="Tabulación"/>
    <w:basedOn w:val="Normal"/>
    <w:semiHidden/>
    <w:rsid w:val="002831AB"/>
    <w:pPr>
      <w:widowControl w:val="0"/>
      <w:numPr>
        <w:numId w:val="13"/>
      </w:numPr>
      <w:tabs>
        <w:tab w:val="clear" w:pos="1440"/>
      </w:tabs>
      <w:ind w:left="709" w:hanging="425"/>
      <w:jc w:val="both"/>
    </w:pPr>
    <w:rPr>
      <w:rFonts w:ascii="Garamond" w:hAnsi="Garamond"/>
      <w:w w:val="0"/>
      <w:lang w:val="es-ES" w:eastAsia="es-AR"/>
    </w:rPr>
  </w:style>
  <w:style w:type="paragraph" w:customStyle="1" w:styleId="Body05">
    <w:name w:val="Body 0.5"/>
    <w:basedOn w:val="Textoindependiente"/>
    <w:rsid w:val="002831AB"/>
    <w:pPr>
      <w:autoSpaceDE/>
      <w:autoSpaceDN/>
      <w:adjustRightInd/>
      <w:spacing w:after="240"/>
      <w:ind w:firstLine="720"/>
      <w:jc w:val="both"/>
    </w:pPr>
  </w:style>
  <w:style w:type="paragraph" w:customStyle="1" w:styleId="A4">
    <w:name w:val="A4"/>
    <w:rsid w:val="002831AB"/>
    <w:pPr>
      <w:tabs>
        <w:tab w:val="left" w:pos="-720"/>
      </w:tabs>
      <w:spacing w:line="360" w:lineRule="atLeast"/>
    </w:pPr>
    <w:rPr>
      <w:rFonts w:ascii="Courier" w:hAnsi="Courier"/>
      <w:sz w:val="24"/>
      <w:lang w:val="en-US"/>
    </w:rPr>
  </w:style>
  <w:style w:type="paragraph" w:customStyle="1" w:styleId="TitleItalicIndent05">
    <w:name w:val="Title Italic Indent 0.5&quot;"/>
    <w:basedOn w:val="Normal"/>
    <w:uiPriority w:val="99"/>
    <w:rsid w:val="002831AB"/>
    <w:pPr>
      <w:keepNext/>
      <w:spacing w:after="240"/>
      <w:ind w:left="720"/>
    </w:pPr>
    <w:rPr>
      <w:rFonts w:ascii="Times" w:hAnsi="Times" w:cs="Times"/>
      <w:i/>
      <w:lang w:val="en-US" w:eastAsia="es-ES"/>
    </w:rPr>
  </w:style>
  <w:style w:type="paragraph" w:customStyle="1" w:styleId="BodyText31">
    <w:name w:val="Body Text 31"/>
    <w:basedOn w:val="Normal"/>
    <w:uiPriority w:val="99"/>
    <w:rsid w:val="002831AB"/>
    <w:rPr>
      <w:rFonts w:ascii="Times New Roman" w:hAnsi="Times New Roman"/>
      <w:lang w:eastAsia="es-ES"/>
    </w:rPr>
  </w:style>
  <w:style w:type="character" w:customStyle="1" w:styleId="TitleBCChar">
    <w:name w:val="Title BC Char"/>
    <w:rsid w:val="002831AB"/>
    <w:rPr>
      <w:rFonts w:ascii="Times New Roman Bold" w:hAnsi="Times New Roman Bold"/>
      <w:b/>
      <w:caps/>
      <w:spacing w:val="0"/>
      <w:sz w:val="24"/>
      <w:lang w:val="en-US" w:eastAsia="x-none"/>
    </w:rPr>
  </w:style>
  <w:style w:type="paragraph" w:customStyle="1" w:styleId="BodyText2J">
    <w:name w:val="Body Text 2 J"/>
    <w:basedOn w:val="Textoindependiente2"/>
    <w:rsid w:val="002831AB"/>
    <w:pPr>
      <w:jc w:val="both"/>
    </w:pPr>
  </w:style>
  <w:style w:type="paragraph" w:customStyle="1" w:styleId="Textodeglobo1">
    <w:name w:val="Texto de globo1"/>
    <w:basedOn w:val="Normal"/>
    <w:rsid w:val="002831AB"/>
    <w:pPr>
      <w:autoSpaceDE w:val="0"/>
      <w:autoSpaceDN w:val="0"/>
      <w:adjustRightInd w:val="0"/>
    </w:pPr>
    <w:rPr>
      <w:rFonts w:ascii="Tahoma" w:hAnsi="Tahoma" w:cs="Tahoma"/>
      <w:sz w:val="16"/>
      <w:szCs w:val="16"/>
      <w:lang w:val="en-US" w:eastAsia="es-AR"/>
    </w:rPr>
  </w:style>
  <w:style w:type="paragraph" w:styleId="Sangra2detindependiente">
    <w:name w:val="Body Text Indent 2"/>
    <w:basedOn w:val="Normal"/>
    <w:link w:val="Sangra2detindependienteCar"/>
    <w:rsid w:val="002831AB"/>
    <w:pPr>
      <w:autoSpaceDE w:val="0"/>
      <w:autoSpaceDN w:val="0"/>
      <w:adjustRightInd w:val="0"/>
      <w:spacing w:after="120" w:line="480" w:lineRule="auto"/>
      <w:ind w:left="283"/>
    </w:pPr>
    <w:rPr>
      <w:rFonts w:ascii="Times New Roman" w:hAnsi="Times New Roman"/>
      <w:lang w:val="en-US" w:eastAsia="x-none"/>
    </w:rPr>
  </w:style>
  <w:style w:type="character" w:customStyle="1" w:styleId="Sangra2detindependienteCar">
    <w:name w:val="Sangría 2 de t. independiente Car"/>
    <w:link w:val="Sangra2detindependiente"/>
    <w:locked/>
    <w:rsid w:val="002831AB"/>
    <w:rPr>
      <w:rFonts w:ascii="Times New Roman" w:eastAsia="Times New Roman" w:hAnsi="Times New Roman"/>
      <w:lang w:val="en-US" w:eastAsia="x-none"/>
    </w:rPr>
  </w:style>
  <w:style w:type="character" w:customStyle="1" w:styleId="CarCar1">
    <w:name w:val="Car Car1"/>
    <w:rsid w:val="002831AB"/>
    <w:rPr>
      <w:sz w:val="18"/>
      <w:lang w:val="en-US" w:eastAsia="en-US"/>
    </w:rPr>
  </w:style>
  <w:style w:type="character" w:customStyle="1" w:styleId="CarCar">
    <w:name w:val="Car Car"/>
    <w:rsid w:val="002831AB"/>
    <w:rPr>
      <w:sz w:val="18"/>
      <w:lang w:val="en-US" w:eastAsia="en-US"/>
    </w:rPr>
  </w:style>
  <w:style w:type="paragraph" w:customStyle="1" w:styleId="CarCarCarCar">
    <w:name w:val="Car Car Car Car"/>
    <w:basedOn w:val="Normal"/>
    <w:rsid w:val="002831AB"/>
    <w:pPr>
      <w:spacing w:after="160" w:line="240" w:lineRule="exact"/>
    </w:pPr>
    <w:rPr>
      <w:rFonts w:ascii="Verdana" w:eastAsia="PMingLiU" w:hAnsi="Verdana"/>
      <w:lang w:val="en-US" w:eastAsia="es-AR"/>
    </w:rPr>
  </w:style>
  <w:style w:type="paragraph" w:styleId="TDC2">
    <w:name w:val="toc 2"/>
    <w:basedOn w:val="Normal"/>
    <w:next w:val="Normal"/>
    <w:autoRedefine/>
    <w:uiPriority w:val="39"/>
    <w:rsid w:val="0088297A"/>
    <w:pPr>
      <w:tabs>
        <w:tab w:val="right" w:leader="dot" w:pos="8505"/>
      </w:tabs>
      <w:spacing w:before="100" w:after="100"/>
      <w:ind w:left="567" w:right="709"/>
    </w:pPr>
    <w:rPr>
      <w:rFonts w:ascii="Times New Roman" w:hAnsi="Times New Roman"/>
      <w:noProof/>
      <w:lang w:val="es-ES" w:eastAsia="es-AR"/>
    </w:rPr>
  </w:style>
  <w:style w:type="paragraph" w:styleId="TDC3">
    <w:name w:val="toc 3"/>
    <w:basedOn w:val="Normal"/>
    <w:next w:val="Normal"/>
    <w:autoRedefine/>
    <w:uiPriority w:val="39"/>
    <w:rsid w:val="00AE1DFE"/>
    <w:pPr>
      <w:tabs>
        <w:tab w:val="right" w:leader="dot" w:pos="8931"/>
        <w:tab w:val="right" w:leader="dot" w:pos="9344"/>
      </w:tabs>
      <w:spacing w:before="120" w:after="120"/>
      <w:ind w:left="1560" w:right="284"/>
    </w:pPr>
    <w:rPr>
      <w:rFonts w:ascii="Times New Roman" w:hAnsi="Times New Roman"/>
      <w:noProof/>
      <w:szCs w:val="24"/>
      <w:lang w:eastAsia="es-AR"/>
    </w:rPr>
  </w:style>
  <w:style w:type="paragraph" w:styleId="TDC4">
    <w:name w:val="toc 4"/>
    <w:basedOn w:val="Normal"/>
    <w:next w:val="Normal"/>
    <w:autoRedefine/>
    <w:uiPriority w:val="39"/>
    <w:rsid w:val="002831AB"/>
    <w:pPr>
      <w:tabs>
        <w:tab w:val="right" w:leader="dot" w:pos="9360"/>
      </w:tabs>
      <w:spacing w:after="240"/>
      <w:ind w:left="2880" w:hanging="2880"/>
    </w:pPr>
    <w:rPr>
      <w:rFonts w:ascii="Times New Roman" w:hAnsi="Times New Roman"/>
      <w:noProof/>
      <w:sz w:val="16"/>
      <w:szCs w:val="16"/>
      <w:lang w:val="es-ES" w:eastAsia="es-AR"/>
    </w:rPr>
  </w:style>
  <w:style w:type="paragraph" w:styleId="TDC5">
    <w:name w:val="toc 5"/>
    <w:basedOn w:val="Normal"/>
    <w:next w:val="Normal"/>
    <w:autoRedefine/>
    <w:uiPriority w:val="39"/>
    <w:rsid w:val="002831AB"/>
    <w:pPr>
      <w:tabs>
        <w:tab w:val="right" w:leader="dot" w:pos="9360"/>
      </w:tabs>
      <w:spacing w:after="240"/>
      <w:ind w:left="3600" w:hanging="720"/>
    </w:pPr>
    <w:rPr>
      <w:rFonts w:ascii="Times New Roman" w:hAnsi="Times New Roman"/>
      <w:noProof/>
      <w:szCs w:val="24"/>
      <w:lang w:val="en-US" w:eastAsia="es-AR"/>
    </w:rPr>
  </w:style>
  <w:style w:type="paragraph" w:styleId="TDC6">
    <w:name w:val="toc 6"/>
    <w:basedOn w:val="Normal"/>
    <w:next w:val="Normal"/>
    <w:autoRedefine/>
    <w:uiPriority w:val="39"/>
    <w:rsid w:val="002831AB"/>
    <w:pPr>
      <w:tabs>
        <w:tab w:val="right" w:leader="dot" w:pos="9360"/>
      </w:tabs>
      <w:spacing w:after="240"/>
      <w:ind w:left="4320" w:hanging="720"/>
    </w:pPr>
    <w:rPr>
      <w:rFonts w:ascii="Times New Roman" w:hAnsi="Times New Roman"/>
      <w:noProof/>
      <w:szCs w:val="24"/>
      <w:lang w:val="en-US" w:eastAsia="es-AR"/>
    </w:rPr>
  </w:style>
  <w:style w:type="paragraph" w:styleId="TDC7">
    <w:name w:val="toc 7"/>
    <w:basedOn w:val="Normal"/>
    <w:next w:val="Normal"/>
    <w:autoRedefine/>
    <w:uiPriority w:val="39"/>
    <w:rsid w:val="002831AB"/>
    <w:pPr>
      <w:tabs>
        <w:tab w:val="right" w:leader="dot" w:pos="2297"/>
        <w:tab w:val="left" w:leader="dot" w:pos="2880"/>
        <w:tab w:val="left" w:leader="dot" w:pos="9360"/>
      </w:tabs>
    </w:pPr>
    <w:rPr>
      <w:rFonts w:ascii="Times New Roman" w:hAnsi="Times New Roman"/>
      <w:noProof/>
      <w:szCs w:val="24"/>
      <w:lang w:val="en-US" w:eastAsia="es-AR"/>
    </w:rPr>
  </w:style>
  <w:style w:type="paragraph" w:styleId="TDC8">
    <w:name w:val="toc 8"/>
    <w:basedOn w:val="Normal"/>
    <w:next w:val="Normal"/>
    <w:autoRedefine/>
    <w:uiPriority w:val="39"/>
    <w:rsid w:val="002831AB"/>
    <w:pPr>
      <w:tabs>
        <w:tab w:val="right" w:leader="dot" w:pos="9360"/>
      </w:tabs>
      <w:spacing w:after="240"/>
      <w:ind w:left="5760" w:hanging="720"/>
    </w:pPr>
    <w:rPr>
      <w:rFonts w:ascii="Times New Roman" w:hAnsi="Times New Roman"/>
      <w:noProof/>
      <w:szCs w:val="24"/>
      <w:lang w:val="en-US" w:eastAsia="es-AR"/>
    </w:rPr>
  </w:style>
  <w:style w:type="paragraph" w:styleId="TDC9">
    <w:name w:val="toc 9"/>
    <w:basedOn w:val="Normal"/>
    <w:next w:val="Normal"/>
    <w:autoRedefine/>
    <w:uiPriority w:val="39"/>
    <w:rsid w:val="002831AB"/>
    <w:pPr>
      <w:tabs>
        <w:tab w:val="right" w:leader="dot" w:pos="9360"/>
      </w:tabs>
      <w:spacing w:after="240"/>
      <w:ind w:left="6480" w:hanging="720"/>
    </w:pPr>
    <w:rPr>
      <w:rFonts w:ascii="Times New Roman" w:hAnsi="Times New Roman"/>
      <w:noProof/>
      <w:szCs w:val="24"/>
      <w:lang w:val="en-US" w:eastAsia="es-AR"/>
    </w:rPr>
  </w:style>
  <w:style w:type="paragraph" w:customStyle="1" w:styleId="5hanging">
    <w:name w:val=".5 hanging"/>
    <w:basedOn w:val="Normal"/>
    <w:rsid w:val="002831AB"/>
    <w:pPr>
      <w:spacing w:after="240"/>
      <w:ind w:left="720" w:firstLine="720"/>
    </w:pPr>
    <w:rPr>
      <w:rFonts w:ascii="Times New Roman" w:hAnsi="Times New Roman"/>
      <w:szCs w:val="24"/>
      <w:lang w:val="en-US" w:eastAsia="es-AR"/>
    </w:rPr>
  </w:style>
  <w:style w:type="paragraph" w:customStyle="1" w:styleId="BodyTextNumbered">
    <w:name w:val="Body Text Numbered"/>
    <w:basedOn w:val="Textoindependiente"/>
    <w:rsid w:val="002831AB"/>
    <w:pPr>
      <w:numPr>
        <w:numId w:val="14"/>
      </w:numPr>
      <w:autoSpaceDE/>
      <w:autoSpaceDN/>
      <w:adjustRightInd/>
      <w:spacing w:after="0" w:line="480" w:lineRule="auto"/>
    </w:pPr>
    <w:rPr>
      <w:sz w:val="24"/>
      <w:szCs w:val="24"/>
    </w:rPr>
  </w:style>
  <w:style w:type="paragraph" w:customStyle="1" w:styleId="BlockText1Sgl">
    <w:name w:val="Block Text 1 Sgl"/>
    <w:basedOn w:val="Normal"/>
    <w:rsid w:val="002831AB"/>
    <w:pPr>
      <w:spacing w:after="240"/>
      <w:ind w:left="1440" w:right="1440"/>
    </w:pPr>
    <w:rPr>
      <w:rFonts w:ascii="Times New Roman" w:hAnsi="Times New Roman"/>
      <w:szCs w:val="24"/>
      <w:lang w:val="en-US" w:eastAsia="es-AR"/>
    </w:rPr>
  </w:style>
  <w:style w:type="paragraph" w:customStyle="1" w:styleId="TitleUC">
    <w:name w:val="Title UC"/>
    <w:basedOn w:val="Normal"/>
    <w:next w:val="Normal"/>
    <w:rsid w:val="002831AB"/>
    <w:pPr>
      <w:spacing w:after="240"/>
      <w:jc w:val="center"/>
      <w:outlineLvl w:val="0"/>
    </w:pPr>
    <w:rPr>
      <w:rFonts w:ascii="Times New Roman" w:hAnsi="Times New Roman"/>
      <w:szCs w:val="24"/>
      <w:u w:val="single"/>
      <w:lang w:val="en-US" w:eastAsia="es-AR"/>
    </w:rPr>
  </w:style>
  <w:style w:type="paragraph" w:customStyle="1" w:styleId="EndnoteTextMore">
    <w:name w:val="Endnote TextMore"/>
    <w:basedOn w:val="Textonotaalfinal"/>
    <w:rsid w:val="002831AB"/>
    <w:pPr>
      <w:ind w:firstLine="0"/>
    </w:pPr>
  </w:style>
  <w:style w:type="paragraph" w:styleId="Textonotaalfinal">
    <w:name w:val="endnote text"/>
    <w:basedOn w:val="Normal"/>
    <w:next w:val="EndnoteTextMore"/>
    <w:link w:val="TextonotaalfinalCar"/>
    <w:uiPriority w:val="99"/>
    <w:rsid w:val="00B86C83"/>
    <w:pPr>
      <w:spacing w:after="240"/>
      <w:ind w:left="720" w:hanging="720"/>
    </w:pPr>
    <w:rPr>
      <w:rFonts w:ascii="Times New Roman" w:hAnsi="Times New Roman"/>
      <w:sz w:val="24"/>
      <w:lang w:val="en-US" w:eastAsia="x-none"/>
    </w:rPr>
  </w:style>
  <w:style w:type="character" w:customStyle="1" w:styleId="TextonotaalfinalCar">
    <w:name w:val="Texto nota al final Car"/>
    <w:link w:val="Textonotaalfinal"/>
    <w:uiPriority w:val="99"/>
    <w:locked/>
    <w:rsid w:val="002831AB"/>
    <w:rPr>
      <w:rFonts w:ascii="Times New Roman" w:hAnsi="Times New Roman"/>
      <w:sz w:val="24"/>
      <w:lang w:val="en-US" w:eastAsia="x-none"/>
    </w:rPr>
  </w:style>
  <w:style w:type="paragraph" w:customStyle="1" w:styleId="BlockText5">
    <w:name w:val="Block Text .5"/>
    <w:basedOn w:val="Normal"/>
    <w:rsid w:val="002831AB"/>
    <w:pPr>
      <w:spacing w:line="480" w:lineRule="auto"/>
      <w:ind w:left="720" w:right="720"/>
    </w:pPr>
    <w:rPr>
      <w:rFonts w:ascii="Times New Roman" w:hAnsi="Times New Roman"/>
      <w:szCs w:val="24"/>
      <w:lang w:val="en-US" w:eastAsia="es-AR"/>
    </w:rPr>
  </w:style>
  <w:style w:type="paragraph" w:styleId="Sangradetextonormal">
    <w:name w:val="Body Text Indent"/>
    <w:aliases w:val="Sangría de t. independiente"/>
    <w:basedOn w:val="Normal"/>
    <w:link w:val="SangradetextonormalCar"/>
    <w:qFormat/>
    <w:rsid w:val="00B86C83"/>
    <w:pPr>
      <w:spacing w:after="240"/>
      <w:ind w:left="720"/>
    </w:pPr>
    <w:rPr>
      <w:rFonts w:ascii="Times New Roman" w:hAnsi="Times New Roman"/>
      <w:sz w:val="24"/>
      <w:lang w:val="en-US" w:eastAsia="x-none"/>
    </w:rPr>
  </w:style>
  <w:style w:type="character" w:customStyle="1" w:styleId="SangradetextonormalCar">
    <w:name w:val="Sangría de texto normal Car"/>
    <w:aliases w:val="Sangría de t. independiente Car"/>
    <w:link w:val="Sangradetextonormal"/>
    <w:locked/>
    <w:rsid w:val="002831AB"/>
    <w:rPr>
      <w:rFonts w:ascii="Times New Roman" w:hAnsi="Times New Roman"/>
      <w:sz w:val="24"/>
      <w:lang w:val="en-US" w:eastAsia="x-none"/>
    </w:rPr>
  </w:style>
  <w:style w:type="paragraph" w:customStyle="1" w:styleId="BodyText3J">
    <w:name w:val="Body Text 3 J"/>
    <w:basedOn w:val="Textoindependiente3"/>
    <w:rsid w:val="002831AB"/>
    <w:pPr>
      <w:jc w:val="both"/>
    </w:pPr>
  </w:style>
  <w:style w:type="paragraph" w:styleId="Textoindependiente3">
    <w:name w:val="Body Text 3"/>
    <w:basedOn w:val="Normal"/>
    <w:link w:val="Textoindependiente3Car"/>
    <w:rsid w:val="002831AB"/>
    <w:pPr>
      <w:spacing w:line="360" w:lineRule="auto"/>
      <w:ind w:firstLine="1440"/>
    </w:pPr>
    <w:rPr>
      <w:rFonts w:ascii="Times New Roman" w:hAnsi="Times New Roman"/>
      <w:sz w:val="24"/>
      <w:lang w:val="en-US" w:eastAsia="x-none"/>
    </w:rPr>
  </w:style>
  <w:style w:type="character" w:customStyle="1" w:styleId="Textoindependiente3Car">
    <w:name w:val="Texto independiente 3 Car"/>
    <w:link w:val="Textoindependiente3"/>
    <w:locked/>
    <w:rsid w:val="002831AB"/>
    <w:rPr>
      <w:rFonts w:ascii="Times New Roman" w:eastAsia="Times New Roman" w:hAnsi="Times New Roman"/>
      <w:sz w:val="24"/>
      <w:lang w:val="en-US" w:eastAsia="x-none"/>
    </w:rPr>
  </w:style>
  <w:style w:type="paragraph" w:customStyle="1" w:styleId="BodyTextJ">
    <w:name w:val="Body Text J"/>
    <w:basedOn w:val="Textoindependiente"/>
    <w:rsid w:val="002831AB"/>
    <w:pPr>
      <w:autoSpaceDE/>
      <w:autoSpaceDN/>
      <w:adjustRightInd/>
      <w:spacing w:after="0" w:line="480" w:lineRule="auto"/>
      <w:ind w:firstLine="1440"/>
      <w:jc w:val="both"/>
    </w:pPr>
    <w:rPr>
      <w:sz w:val="24"/>
      <w:szCs w:val="24"/>
    </w:rPr>
  </w:style>
  <w:style w:type="paragraph" w:styleId="Fecha">
    <w:name w:val="Date"/>
    <w:basedOn w:val="Normal"/>
    <w:next w:val="Normal"/>
    <w:link w:val="FechaCar"/>
    <w:rsid w:val="002831AB"/>
    <w:pPr>
      <w:spacing w:after="240"/>
    </w:pPr>
    <w:rPr>
      <w:rFonts w:ascii="Times New Roman" w:hAnsi="Times New Roman"/>
      <w:sz w:val="24"/>
      <w:lang w:val="en-US" w:eastAsia="x-none"/>
    </w:rPr>
  </w:style>
  <w:style w:type="character" w:customStyle="1" w:styleId="FechaCar">
    <w:name w:val="Fecha Car"/>
    <w:link w:val="Fecha"/>
    <w:locked/>
    <w:rsid w:val="002831AB"/>
    <w:rPr>
      <w:rFonts w:ascii="Times New Roman" w:eastAsia="Times New Roman" w:hAnsi="Times New Roman"/>
      <w:sz w:val="24"/>
      <w:lang w:val="en-US" w:eastAsia="x-none"/>
    </w:rPr>
  </w:style>
  <w:style w:type="paragraph" w:styleId="Textoindependienteprimerasangra2">
    <w:name w:val="Body Text First Indent 2"/>
    <w:basedOn w:val="Sangradetextonormal"/>
    <w:link w:val="Textoindependienteprimerasangra2Car"/>
    <w:uiPriority w:val="99"/>
    <w:rsid w:val="002831AB"/>
    <w:pPr>
      <w:ind w:firstLine="720"/>
    </w:pPr>
  </w:style>
  <w:style w:type="character" w:customStyle="1" w:styleId="Textoindependienteprimerasangra2Car">
    <w:name w:val="Texto independiente primera sangría 2 Car"/>
    <w:link w:val="Textoindependienteprimerasangra2"/>
    <w:uiPriority w:val="99"/>
    <w:locked/>
    <w:rsid w:val="002831AB"/>
    <w:rPr>
      <w:rFonts w:ascii="Times New Roman" w:eastAsia="Times New Roman" w:hAnsi="Times New Roman"/>
      <w:sz w:val="24"/>
      <w:lang w:val="en-US" w:eastAsia="x-none"/>
    </w:rPr>
  </w:style>
  <w:style w:type="paragraph" w:styleId="Saludo">
    <w:name w:val="Salutation"/>
    <w:basedOn w:val="Normal"/>
    <w:next w:val="Normal"/>
    <w:link w:val="SaludoCar"/>
    <w:rsid w:val="002831AB"/>
    <w:rPr>
      <w:rFonts w:ascii="Times New Roman" w:hAnsi="Times New Roman"/>
      <w:sz w:val="24"/>
      <w:lang w:val="en-US" w:eastAsia="x-none"/>
    </w:rPr>
  </w:style>
  <w:style w:type="character" w:customStyle="1" w:styleId="SaludoCar">
    <w:name w:val="Saludo Car"/>
    <w:link w:val="Saludo"/>
    <w:locked/>
    <w:rsid w:val="002831AB"/>
    <w:rPr>
      <w:rFonts w:ascii="Times New Roman" w:eastAsia="Times New Roman" w:hAnsi="Times New Roman"/>
      <w:sz w:val="24"/>
      <w:lang w:val="en-US" w:eastAsia="x-none"/>
    </w:rPr>
  </w:style>
  <w:style w:type="paragraph" w:styleId="Cierre">
    <w:name w:val="Closing"/>
    <w:basedOn w:val="Normal"/>
    <w:link w:val="CierreCar"/>
    <w:qFormat/>
    <w:rsid w:val="002831AB"/>
    <w:pPr>
      <w:spacing w:after="600"/>
      <w:ind w:left="4320"/>
    </w:pPr>
    <w:rPr>
      <w:rFonts w:ascii="Times New Roman" w:hAnsi="Times New Roman"/>
      <w:sz w:val="24"/>
      <w:lang w:val="en-US" w:eastAsia="x-none"/>
    </w:rPr>
  </w:style>
  <w:style w:type="character" w:customStyle="1" w:styleId="CierreCar">
    <w:name w:val="Cierre Car"/>
    <w:link w:val="Cierre"/>
    <w:locked/>
    <w:rsid w:val="002831AB"/>
    <w:rPr>
      <w:rFonts w:ascii="Times New Roman" w:eastAsia="Times New Roman" w:hAnsi="Times New Roman"/>
      <w:sz w:val="24"/>
      <w:lang w:val="en-US" w:eastAsia="x-none"/>
    </w:rPr>
  </w:style>
  <w:style w:type="paragraph" w:styleId="Direccinsobre">
    <w:name w:val="envelope address"/>
    <w:basedOn w:val="Normal"/>
    <w:uiPriority w:val="99"/>
    <w:rsid w:val="002831AB"/>
    <w:pPr>
      <w:framePr w:w="7920" w:h="1980" w:hRule="exact" w:hSpace="180" w:wrap="auto" w:hAnchor="page" w:xAlign="center" w:yAlign="bottom"/>
      <w:ind w:left="2880"/>
    </w:pPr>
    <w:rPr>
      <w:rFonts w:ascii="Times New Roman" w:hAnsi="Times New Roman"/>
      <w:szCs w:val="24"/>
      <w:lang w:val="en-US" w:eastAsia="es-AR"/>
    </w:rPr>
  </w:style>
  <w:style w:type="paragraph" w:styleId="ndice1">
    <w:name w:val="index 1"/>
    <w:basedOn w:val="Normal"/>
    <w:next w:val="Normal"/>
    <w:autoRedefine/>
    <w:semiHidden/>
    <w:rsid w:val="002831AB"/>
    <w:pPr>
      <w:ind w:left="360" w:hanging="360"/>
    </w:pPr>
    <w:rPr>
      <w:rFonts w:ascii="Times New Roman" w:hAnsi="Times New Roman"/>
      <w:szCs w:val="24"/>
      <w:lang w:val="en-US" w:eastAsia="es-AR"/>
    </w:rPr>
  </w:style>
  <w:style w:type="paragraph" w:styleId="ndice2">
    <w:name w:val="index 2"/>
    <w:basedOn w:val="Normal"/>
    <w:next w:val="Normal"/>
    <w:autoRedefine/>
    <w:semiHidden/>
    <w:rsid w:val="002831AB"/>
    <w:pPr>
      <w:numPr>
        <w:numId w:val="33"/>
      </w:numPr>
      <w:autoSpaceDE w:val="0"/>
      <w:autoSpaceDN w:val="0"/>
      <w:adjustRightInd w:val="0"/>
      <w:jc w:val="both"/>
    </w:pPr>
    <w:rPr>
      <w:rFonts w:ascii="Times New Roman" w:hAnsi="Times New Roman"/>
      <w:lang w:val="en-US" w:eastAsia="es-AR"/>
    </w:rPr>
  </w:style>
  <w:style w:type="paragraph" w:styleId="ndice3">
    <w:name w:val="index 3"/>
    <w:basedOn w:val="Normal"/>
    <w:next w:val="Normal"/>
    <w:autoRedefine/>
    <w:semiHidden/>
    <w:rsid w:val="002831AB"/>
    <w:pPr>
      <w:ind w:left="1080" w:hanging="360"/>
    </w:pPr>
    <w:rPr>
      <w:rFonts w:ascii="Times New Roman" w:hAnsi="Times New Roman"/>
      <w:szCs w:val="24"/>
      <w:lang w:val="en-US" w:eastAsia="es-AR"/>
    </w:rPr>
  </w:style>
  <w:style w:type="paragraph" w:styleId="ndice4">
    <w:name w:val="index 4"/>
    <w:basedOn w:val="Normal"/>
    <w:next w:val="Normal"/>
    <w:autoRedefine/>
    <w:semiHidden/>
    <w:rsid w:val="002831AB"/>
    <w:pPr>
      <w:ind w:left="1440" w:hanging="360"/>
    </w:pPr>
    <w:rPr>
      <w:rFonts w:ascii="Times New Roman" w:hAnsi="Times New Roman"/>
      <w:szCs w:val="24"/>
      <w:lang w:val="en-US" w:eastAsia="es-AR"/>
    </w:rPr>
  </w:style>
  <w:style w:type="paragraph" w:styleId="ndice5">
    <w:name w:val="index 5"/>
    <w:basedOn w:val="Normal"/>
    <w:next w:val="Normal"/>
    <w:autoRedefine/>
    <w:semiHidden/>
    <w:rsid w:val="002831AB"/>
    <w:pPr>
      <w:ind w:left="1800" w:hanging="360"/>
    </w:pPr>
    <w:rPr>
      <w:rFonts w:ascii="Times New Roman" w:hAnsi="Times New Roman"/>
      <w:szCs w:val="24"/>
      <w:lang w:val="en-US" w:eastAsia="es-AR"/>
    </w:rPr>
  </w:style>
  <w:style w:type="paragraph" w:styleId="ndice6">
    <w:name w:val="index 6"/>
    <w:basedOn w:val="Normal"/>
    <w:next w:val="Normal"/>
    <w:autoRedefine/>
    <w:semiHidden/>
    <w:rsid w:val="002831AB"/>
    <w:pPr>
      <w:ind w:left="2160" w:hanging="360"/>
    </w:pPr>
    <w:rPr>
      <w:rFonts w:ascii="Times New Roman" w:hAnsi="Times New Roman"/>
      <w:szCs w:val="24"/>
      <w:lang w:val="en-US" w:eastAsia="es-AR"/>
    </w:rPr>
  </w:style>
  <w:style w:type="paragraph" w:styleId="ndice7">
    <w:name w:val="index 7"/>
    <w:basedOn w:val="Normal"/>
    <w:next w:val="Normal"/>
    <w:autoRedefine/>
    <w:semiHidden/>
    <w:rsid w:val="002831AB"/>
    <w:pPr>
      <w:ind w:left="2520" w:hanging="360"/>
    </w:pPr>
    <w:rPr>
      <w:rFonts w:ascii="Times New Roman" w:hAnsi="Times New Roman"/>
      <w:szCs w:val="24"/>
      <w:lang w:val="en-US" w:eastAsia="es-AR"/>
    </w:rPr>
  </w:style>
  <w:style w:type="paragraph" w:styleId="ndice8">
    <w:name w:val="index 8"/>
    <w:basedOn w:val="Normal"/>
    <w:next w:val="Normal"/>
    <w:autoRedefine/>
    <w:semiHidden/>
    <w:rsid w:val="002831AB"/>
    <w:pPr>
      <w:ind w:left="2880" w:hanging="360"/>
    </w:pPr>
    <w:rPr>
      <w:rFonts w:ascii="Times New Roman" w:hAnsi="Times New Roman"/>
      <w:szCs w:val="24"/>
      <w:lang w:val="en-US" w:eastAsia="es-AR"/>
    </w:rPr>
  </w:style>
  <w:style w:type="paragraph" w:styleId="ndice9">
    <w:name w:val="index 9"/>
    <w:basedOn w:val="Normal"/>
    <w:next w:val="Normal"/>
    <w:autoRedefine/>
    <w:semiHidden/>
    <w:rsid w:val="002831AB"/>
    <w:pPr>
      <w:ind w:left="3240" w:hanging="360"/>
    </w:pPr>
    <w:rPr>
      <w:rFonts w:ascii="Times New Roman" w:hAnsi="Times New Roman"/>
      <w:szCs w:val="24"/>
      <w:lang w:val="en-US" w:eastAsia="es-AR"/>
    </w:rPr>
  </w:style>
  <w:style w:type="paragraph" w:styleId="Ttulodendice">
    <w:name w:val="index heading"/>
    <w:basedOn w:val="Normal"/>
    <w:next w:val="ndice1"/>
    <w:semiHidden/>
    <w:rsid w:val="002831AB"/>
    <w:pPr>
      <w:keepNext/>
      <w:spacing w:after="240"/>
      <w:jc w:val="center"/>
    </w:pPr>
    <w:rPr>
      <w:rFonts w:ascii="Times New Roman" w:hAnsi="Times New Roman"/>
      <w:b/>
      <w:bCs/>
      <w:szCs w:val="24"/>
      <w:lang w:val="en-US" w:eastAsia="es-AR"/>
    </w:rPr>
  </w:style>
  <w:style w:type="paragraph" w:styleId="Continuarlista">
    <w:name w:val="List Continue"/>
    <w:basedOn w:val="Normal"/>
    <w:rsid w:val="002831AB"/>
    <w:pPr>
      <w:spacing w:after="240"/>
      <w:ind w:left="360"/>
    </w:pPr>
    <w:rPr>
      <w:rFonts w:ascii="Times New Roman" w:hAnsi="Times New Roman"/>
      <w:szCs w:val="24"/>
      <w:lang w:val="en-US" w:eastAsia="es-AR"/>
    </w:rPr>
  </w:style>
  <w:style w:type="paragraph" w:styleId="Continuarlista2">
    <w:name w:val="List Continue 2"/>
    <w:basedOn w:val="Normal"/>
    <w:rsid w:val="002831AB"/>
    <w:pPr>
      <w:spacing w:after="240"/>
      <w:ind w:left="720"/>
    </w:pPr>
    <w:rPr>
      <w:rFonts w:ascii="Times New Roman" w:hAnsi="Times New Roman"/>
      <w:szCs w:val="24"/>
      <w:lang w:val="en-US" w:eastAsia="es-AR"/>
    </w:rPr>
  </w:style>
  <w:style w:type="paragraph" w:styleId="Continuarlista3">
    <w:name w:val="List Continue 3"/>
    <w:basedOn w:val="Normal"/>
    <w:rsid w:val="002831AB"/>
    <w:pPr>
      <w:spacing w:after="240"/>
      <w:ind w:left="1080"/>
    </w:pPr>
    <w:rPr>
      <w:rFonts w:ascii="Times New Roman" w:hAnsi="Times New Roman"/>
      <w:szCs w:val="24"/>
      <w:lang w:val="en-US" w:eastAsia="es-AR"/>
    </w:rPr>
  </w:style>
  <w:style w:type="paragraph" w:styleId="Continuarlista4">
    <w:name w:val="List Continue 4"/>
    <w:basedOn w:val="Normal"/>
    <w:rsid w:val="002831AB"/>
    <w:pPr>
      <w:spacing w:after="240"/>
      <w:ind w:left="1440"/>
    </w:pPr>
    <w:rPr>
      <w:rFonts w:ascii="Times New Roman" w:hAnsi="Times New Roman"/>
      <w:szCs w:val="24"/>
      <w:lang w:val="en-US" w:eastAsia="es-AR"/>
    </w:rPr>
  </w:style>
  <w:style w:type="paragraph" w:styleId="Continuarlista5">
    <w:name w:val="List Continue 5"/>
    <w:basedOn w:val="Normal"/>
    <w:rsid w:val="002831AB"/>
    <w:pPr>
      <w:spacing w:after="240"/>
      <w:ind w:left="1800"/>
    </w:pPr>
    <w:rPr>
      <w:rFonts w:ascii="Times New Roman" w:hAnsi="Times New Roman"/>
      <w:szCs w:val="24"/>
      <w:lang w:val="en-US" w:eastAsia="es-AR"/>
    </w:rPr>
  </w:style>
  <w:style w:type="paragraph" w:styleId="Subttulo">
    <w:name w:val="Subtitle"/>
    <w:basedOn w:val="Normal"/>
    <w:link w:val="SubttuloCar"/>
    <w:uiPriority w:val="11"/>
    <w:qFormat/>
    <w:rsid w:val="002831AB"/>
    <w:pPr>
      <w:autoSpaceDE w:val="0"/>
      <w:autoSpaceDN w:val="0"/>
      <w:adjustRightInd w:val="0"/>
      <w:spacing w:after="60"/>
      <w:jc w:val="center"/>
      <w:outlineLvl w:val="1"/>
    </w:pPr>
    <w:rPr>
      <w:rFonts w:ascii="Cambria" w:hAnsi="Cambria"/>
      <w:sz w:val="24"/>
      <w:lang w:val="en-US" w:eastAsia="es-AR"/>
    </w:rPr>
  </w:style>
  <w:style w:type="character" w:customStyle="1" w:styleId="SubttuloCar">
    <w:name w:val="Subtítulo Car"/>
    <w:link w:val="Subttulo"/>
    <w:uiPriority w:val="11"/>
    <w:locked/>
    <w:rsid w:val="002831AB"/>
    <w:rPr>
      <w:rFonts w:ascii="Cambria" w:hAnsi="Cambria"/>
      <w:sz w:val="24"/>
      <w:lang w:val="en-US" w:eastAsia="es-AR"/>
    </w:rPr>
  </w:style>
  <w:style w:type="paragraph" w:styleId="Textoconsangra">
    <w:name w:val="table of authorities"/>
    <w:basedOn w:val="Normal"/>
    <w:next w:val="Normal"/>
    <w:semiHidden/>
    <w:rsid w:val="002831AB"/>
    <w:pPr>
      <w:spacing w:after="240"/>
      <w:ind w:left="720" w:hanging="720"/>
    </w:pPr>
    <w:rPr>
      <w:rFonts w:ascii="Times New Roman" w:hAnsi="Times New Roman"/>
      <w:szCs w:val="24"/>
      <w:lang w:val="en-US" w:eastAsia="es-AR"/>
    </w:rPr>
  </w:style>
  <w:style w:type="paragraph" w:styleId="Tabladeilustraciones">
    <w:name w:val="table of figures"/>
    <w:basedOn w:val="Normal"/>
    <w:next w:val="Normal"/>
    <w:semiHidden/>
    <w:rsid w:val="002831AB"/>
    <w:pPr>
      <w:spacing w:after="240"/>
      <w:ind w:left="720" w:hanging="720"/>
    </w:pPr>
    <w:rPr>
      <w:rFonts w:ascii="Times New Roman" w:hAnsi="Times New Roman"/>
      <w:szCs w:val="24"/>
      <w:lang w:val="en-US" w:eastAsia="es-AR"/>
    </w:rPr>
  </w:style>
  <w:style w:type="paragraph" w:customStyle="1" w:styleId="TitleBU">
    <w:name w:val="Title BU"/>
    <w:basedOn w:val="Normal"/>
    <w:next w:val="Textoindependiente"/>
    <w:rsid w:val="002831AB"/>
    <w:pPr>
      <w:spacing w:after="240"/>
      <w:outlineLvl w:val="0"/>
    </w:pPr>
    <w:rPr>
      <w:rFonts w:ascii="Times New Roman" w:hAnsi="Times New Roman"/>
      <w:b/>
      <w:bCs/>
      <w:szCs w:val="24"/>
      <w:u w:val="single"/>
      <w:lang w:val="en-US" w:eastAsia="es-AR"/>
    </w:rPr>
  </w:style>
  <w:style w:type="paragraph" w:customStyle="1" w:styleId="TitleBUC">
    <w:name w:val="Title BUC"/>
    <w:basedOn w:val="Normal"/>
    <w:next w:val="Textoindependiente"/>
    <w:rsid w:val="002831AB"/>
    <w:pPr>
      <w:spacing w:after="240"/>
      <w:jc w:val="center"/>
      <w:outlineLvl w:val="0"/>
    </w:pPr>
    <w:rPr>
      <w:rFonts w:ascii="Times New Roman" w:hAnsi="Times New Roman"/>
      <w:b/>
      <w:bCs/>
      <w:szCs w:val="24"/>
      <w:u w:val="single"/>
      <w:lang w:val="en-US" w:eastAsia="es-AR"/>
    </w:rPr>
  </w:style>
  <w:style w:type="paragraph" w:styleId="Encabezadodelista">
    <w:name w:val="toa heading"/>
    <w:basedOn w:val="Normal"/>
    <w:next w:val="Normal"/>
    <w:semiHidden/>
    <w:rsid w:val="002831AB"/>
    <w:pPr>
      <w:spacing w:after="240"/>
      <w:jc w:val="center"/>
    </w:pPr>
    <w:rPr>
      <w:rFonts w:ascii="Times New Roman" w:hAnsi="Times New Roman"/>
      <w:b/>
      <w:bCs/>
      <w:szCs w:val="24"/>
      <w:lang w:val="en-US" w:eastAsia="es-AR"/>
    </w:rPr>
  </w:style>
  <w:style w:type="paragraph" w:customStyle="1" w:styleId="CenteredU">
    <w:name w:val="Centered U"/>
    <w:basedOn w:val="Normal"/>
    <w:rsid w:val="002831AB"/>
    <w:pPr>
      <w:spacing w:after="240"/>
      <w:jc w:val="center"/>
    </w:pPr>
    <w:rPr>
      <w:rFonts w:ascii="Times New Roman" w:hAnsi="Times New Roman"/>
      <w:szCs w:val="24"/>
      <w:u w:val="single"/>
      <w:lang w:val="en-US" w:eastAsia="es-AR"/>
    </w:rPr>
  </w:style>
  <w:style w:type="paragraph" w:customStyle="1" w:styleId="CenteredBU">
    <w:name w:val="Centered BU"/>
    <w:basedOn w:val="Normal"/>
    <w:rsid w:val="002831AB"/>
    <w:pPr>
      <w:spacing w:after="240"/>
      <w:jc w:val="center"/>
    </w:pPr>
    <w:rPr>
      <w:rFonts w:ascii="Times New Roman" w:hAnsi="Times New Roman"/>
      <w:b/>
      <w:bCs/>
      <w:szCs w:val="24"/>
      <w:u w:val="single"/>
      <w:lang w:val="en-US" w:eastAsia="es-AR"/>
    </w:rPr>
  </w:style>
  <w:style w:type="paragraph" w:customStyle="1" w:styleId="BodyTextIndentInch">
    <w:name w:val="Body Text Indent Inch"/>
    <w:basedOn w:val="Normal"/>
    <w:rsid w:val="002831AB"/>
    <w:pPr>
      <w:spacing w:line="480" w:lineRule="auto"/>
      <w:ind w:left="1440"/>
    </w:pPr>
    <w:rPr>
      <w:rFonts w:ascii="Times New Roman" w:hAnsi="Times New Roman"/>
      <w:szCs w:val="24"/>
      <w:lang w:val="en-US" w:eastAsia="es-AR"/>
    </w:rPr>
  </w:style>
  <w:style w:type="paragraph" w:customStyle="1" w:styleId="BodyTextIndentInchSgl">
    <w:name w:val="Body Text Indent Inch Sgl"/>
    <w:basedOn w:val="Normal"/>
    <w:rsid w:val="002831AB"/>
    <w:pPr>
      <w:spacing w:after="240"/>
      <w:ind w:left="1440"/>
    </w:pPr>
    <w:rPr>
      <w:rFonts w:ascii="Times New Roman" w:hAnsi="Times New Roman"/>
      <w:szCs w:val="24"/>
      <w:lang w:val="en-US" w:eastAsia="es-AR"/>
    </w:rPr>
  </w:style>
  <w:style w:type="paragraph" w:customStyle="1" w:styleId="BodyTextIndentInchJ">
    <w:name w:val="Body Text Indent Inch J"/>
    <w:basedOn w:val="Normal"/>
    <w:rsid w:val="002831AB"/>
    <w:pPr>
      <w:spacing w:line="480" w:lineRule="auto"/>
      <w:ind w:left="1440"/>
      <w:jc w:val="both"/>
    </w:pPr>
    <w:rPr>
      <w:rFonts w:ascii="Times New Roman" w:hAnsi="Times New Roman"/>
      <w:szCs w:val="24"/>
      <w:lang w:val="en-US" w:eastAsia="es-AR"/>
    </w:rPr>
  </w:style>
  <w:style w:type="paragraph" w:customStyle="1" w:styleId="BodyTextIndentInchSglJ">
    <w:name w:val="Body Text Indent Inch Sgl J"/>
    <w:basedOn w:val="Normal"/>
    <w:rsid w:val="002831AB"/>
    <w:pPr>
      <w:spacing w:after="240"/>
      <w:ind w:left="1440"/>
      <w:jc w:val="both"/>
    </w:pPr>
    <w:rPr>
      <w:rFonts w:ascii="Times New Roman" w:hAnsi="Times New Roman"/>
      <w:szCs w:val="24"/>
      <w:lang w:val="en-US" w:eastAsia="es-AR"/>
    </w:rPr>
  </w:style>
  <w:style w:type="paragraph" w:customStyle="1" w:styleId="BlockText5J">
    <w:name w:val="Block Text .5 J"/>
    <w:basedOn w:val="BlockText5"/>
    <w:rsid w:val="002831AB"/>
    <w:pPr>
      <w:jc w:val="both"/>
    </w:pPr>
  </w:style>
  <w:style w:type="paragraph" w:customStyle="1" w:styleId="BlockText5Sgl">
    <w:name w:val="Block Text .5 Sgl"/>
    <w:basedOn w:val="Normal"/>
    <w:rsid w:val="002831AB"/>
    <w:pPr>
      <w:spacing w:after="240"/>
      <w:ind w:left="720"/>
    </w:pPr>
    <w:rPr>
      <w:rFonts w:ascii="Times New Roman" w:hAnsi="Times New Roman"/>
      <w:szCs w:val="24"/>
      <w:lang w:val="en-US" w:eastAsia="es-AR"/>
    </w:rPr>
  </w:style>
  <w:style w:type="paragraph" w:customStyle="1" w:styleId="BlockText1J">
    <w:name w:val="Block Text 1 J"/>
    <w:basedOn w:val="Normal"/>
    <w:rsid w:val="002831AB"/>
    <w:pPr>
      <w:spacing w:line="480" w:lineRule="auto"/>
      <w:ind w:left="1440" w:right="1440"/>
      <w:jc w:val="both"/>
    </w:pPr>
    <w:rPr>
      <w:rFonts w:ascii="Times New Roman" w:hAnsi="Times New Roman"/>
      <w:szCs w:val="24"/>
      <w:lang w:val="en-US" w:eastAsia="es-AR"/>
    </w:rPr>
  </w:style>
  <w:style w:type="paragraph" w:customStyle="1" w:styleId="BlockText1SglJ">
    <w:name w:val="Block Text 1 Sgl J"/>
    <w:basedOn w:val="Normal"/>
    <w:rsid w:val="002831AB"/>
    <w:pPr>
      <w:spacing w:after="240"/>
      <w:ind w:left="1440" w:right="1440"/>
      <w:jc w:val="both"/>
    </w:pPr>
    <w:rPr>
      <w:rFonts w:ascii="Times New Roman" w:hAnsi="Times New Roman"/>
      <w:szCs w:val="24"/>
      <w:lang w:val="en-US" w:eastAsia="es-AR"/>
    </w:rPr>
  </w:style>
  <w:style w:type="paragraph" w:customStyle="1" w:styleId="BodyTextSglJ">
    <w:name w:val="Body Text Sgl J"/>
    <w:basedOn w:val="Normal"/>
    <w:rsid w:val="002831AB"/>
    <w:pPr>
      <w:spacing w:after="240"/>
      <w:ind w:firstLine="1440"/>
      <w:jc w:val="both"/>
    </w:pPr>
    <w:rPr>
      <w:rFonts w:ascii="Times New Roman" w:hAnsi="Times New Roman"/>
      <w:szCs w:val="24"/>
      <w:lang w:val="en-US" w:eastAsia="es-AR"/>
    </w:rPr>
  </w:style>
  <w:style w:type="paragraph" w:customStyle="1" w:styleId="BodyTextIndentSgl">
    <w:name w:val="Body Text Indent Sgl"/>
    <w:basedOn w:val="Normal"/>
    <w:rsid w:val="002831AB"/>
    <w:pPr>
      <w:spacing w:after="240"/>
      <w:ind w:left="720"/>
    </w:pPr>
    <w:rPr>
      <w:rFonts w:ascii="Times New Roman" w:hAnsi="Times New Roman"/>
      <w:szCs w:val="24"/>
      <w:lang w:val="en-US" w:eastAsia="es-AR"/>
    </w:rPr>
  </w:style>
  <w:style w:type="paragraph" w:customStyle="1" w:styleId="BodyTextIndentJ">
    <w:name w:val="Body Text Indent J"/>
    <w:basedOn w:val="Normal"/>
    <w:rsid w:val="002831AB"/>
    <w:pPr>
      <w:spacing w:line="480" w:lineRule="auto"/>
      <w:ind w:left="720"/>
      <w:jc w:val="both"/>
    </w:pPr>
    <w:rPr>
      <w:rFonts w:ascii="Times New Roman" w:hAnsi="Times New Roman"/>
      <w:szCs w:val="24"/>
      <w:lang w:val="en-US" w:eastAsia="es-AR"/>
    </w:rPr>
  </w:style>
  <w:style w:type="paragraph" w:customStyle="1" w:styleId="BodyTextIndentSglJ">
    <w:name w:val="Body Text Indent Sgl J"/>
    <w:basedOn w:val="Normal"/>
    <w:rsid w:val="002831AB"/>
    <w:pPr>
      <w:spacing w:after="240"/>
      <w:ind w:left="720"/>
      <w:jc w:val="both"/>
    </w:pPr>
    <w:rPr>
      <w:rFonts w:ascii="Times New Roman" w:hAnsi="Times New Roman"/>
      <w:szCs w:val="24"/>
      <w:lang w:val="en-US" w:eastAsia="es-AR"/>
    </w:rPr>
  </w:style>
  <w:style w:type="paragraph" w:customStyle="1" w:styleId="RightAlign">
    <w:name w:val="Right Align"/>
    <w:basedOn w:val="CenteredB"/>
    <w:rsid w:val="002831AB"/>
  </w:style>
  <w:style w:type="paragraph" w:customStyle="1" w:styleId="TableFootnotes">
    <w:name w:val="Table Footnotes"/>
    <w:basedOn w:val="Normal"/>
    <w:rsid w:val="002831AB"/>
    <w:pPr>
      <w:spacing w:after="60"/>
      <w:ind w:left="360" w:hanging="360"/>
    </w:pPr>
    <w:rPr>
      <w:rFonts w:ascii="Times New Roman" w:hAnsi="Times New Roman"/>
      <w:color w:val="000000"/>
      <w:szCs w:val="24"/>
      <w:lang w:val="en-US" w:eastAsia="es-AR"/>
    </w:rPr>
  </w:style>
  <w:style w:type="paragraph" w:styleId="Mapadeldocumento">
    <w:name w:val="Document Map"/>
    <w:basedOn w:val="Normal"/>
    <w:link w:val="MapadeldocumentoCar"/>
    <w:rsid w:val="00B86C83"/>
    <w:pPr>
      <w:shd w:val="clear" w:color="auto" w:fill="000080"/>
    </w:pPr>
    <w:rPr>
      <w:rFonts w:ascii="Tahoma" w:hAnsi="Tahoma"/>
      <w:sz w:val="24"/>
      <w:lang w:val="en-US" w:eastAsia="x-none"/>
    </w:rPr>
  </w:style>
  <w:style w:type="character" w:customStyle="1" w:styleId="MapadeldocumentoCar">
    <w:name w:val="Mapa del documento Car"/>
    <w:link w:val="Mapadeldocumento"/>
    <w:locked/>
    <w:rsid w:val="002831AB"/>
    <w:rPr>
      <w:rFonts w:ascii="Tahoma" w:hAnsi="Tahoma"/>
      <w:sz w:val="24"/>
      <w:shd w:val="clear" w:color="auto" w:fill="000080"/>
      <w:lang w:val="en-US" w:eastAsia="x-none"/>
    </w:rPr>
  </w:style>
  <w:style w:type="character" w:customStyle="1" w:styleId="TableText9pt">
    <w:name w:val="Table Text 9pt"/>
    <w:rsid w:val="002831AB"/>
    <w:rPr>
      <w:rFonts w:ascii="Times New Roman" w:hAnsi="Times New Roman"/>
      <w:spacing w:val="0"/>
      <w:sz w:val="18"/>
    </w:rPr>
  </w:style>
  <w:style w:type="character" w:customStyle="1" w:styleId="TableText8pt">
    <w:name w:val="Table Text 8pt"/>
    <w:rsid w:val="002831AB"/>
    <w:rPr>
      <w:rFonts w:ascii="Arial" w:hAnsi="Arial"/>
      <w:spacing w:val="0"/>
      <w:sz w:val="16"/>
    </w:rPr>
  </w:style>
  <w:style w:type="character" w:customStyle="1" w:styleId="TableText7pt">
    <w:name w:val="Table Text 7pt"/>
    <w:rsid w:val="002831AB"/>
    <w:rPr>
      <w:rFonts w:ascii="Times New Roman" w:hAnsi="Times New Roman"/>
      <w:spacing w:val="0"/>
      <w:sz w:val="14"/>
    </w:rPr>
  </w:style>
  <w:style w:type="character" w:customStyle="1" w:styleId="TableText6pt">
    <w:name w:val="Table Text 6pt"/>
    <w:rsid w:val="002831AB"/>
    <w:rPr>
      <w:rFonts w:ascii="Times New Roman" w:hAnsi="Times New Roman"/>
      <w:spacing w:val="0"/>
      <w:sz w:val="12"/>
    </w:rPr>
  </w:style>
  <w:style w:type="paragraph" w:customStyle="1" w:styleId="TableFootnotes8pt">
    <w:name w:val="Table Footnotes 8pt"/>
    <w:basedOn w:val="Normal"/>
    <w:rsid w:val="002831AB"/>
    <w:pPr>
      <w:ind w:left="360" w:hanging="360"/>
    </w:pPr>
    <w:rPr>
      <w:rFonts w:ascii="Times New Roman" w:hAnsi="Times New Roman"/>
      <w:sz w:val="16"/>
      <w:szCs w:val="16"/>
      <w:lang w:val="en-US" w:eastAsia="es-AR"/>
    </w:rPr>
  </w:style>
  <w:style w:type="paragraph" w:customStyle="1" w:styleId="Heading5BoldItalic">
    <w:name w:val="Heading .5 Bold Italic"/>
    <w:basedOn w:val="Normal"/>
    <w:next w:val="Normal"/>
    <w:rsid w:val="002831AB"/>
    <w:pPr>
      <w:keepNext/>
      <w:spacing w:after="240"/>
      <w:ind w:left="720"/>
    </w:pPr>
    <w:rPr>
      <w:rFonts w:ascii="Times New Roman" w:hAnsi="Times New Roman"/>
      <w:b/>
      <w:bCs/>
      <w:i/>
      <w:iCs/>
      <w:szCs w:val="24"/>
      <w:lang w:val="en-US" w:eastAsia="es-AR"/>
    </w:rPr>
  </w:style>
  <w:style w:type="paragraph" w:customStyle="1" w:styleId="HeadingLeftBold">
    <w:name w:val="Heading Left Bold"/>
    <w:basedOn w:val="Normal"/>
    <w:next w:val="Normal"/>
    <w:rsid w:val="002831AB"/>
    <w:pPr>
      <w:keepNext/>
      <w:spacing w:after="240"/>
    </w:pPr>
    <w:rPr>
      <w:rFonts w:ascii="Times New Roman" w:hAnsi="Times New Roman"/>
      <w:b/>
      <w:bCs/>
      <w:szCs w:val="24"/>
      <w:lang w:val="en-US" w:eastAsia="es-AR"/>
    </w:rPr>
  </w:style>
  <w:style w:type="paragraph" w:customStyle="1" w:styleId="Heading5Bold">
    <w:name w:val="Heading .5 Bold"/>
    <w:basedOn w:val="Normal"/>
    <w:next w:val="Normal"/>
    <w:rsid w:val="002831AB"/>
    <w:pPr>
      <w:keepNext/>
      <w:spacing w:after="240"/>
      <w:ind w:left="720"/>
    </w:pPr>
    <w:rPr>
      <w:rFonts w:ascii="Times New Roman" w:hAnsi="Times New Roman"/>
      <w:b/>
      <w:bCs/>
      <w:szCs w:val="24"/>
      <w:lang w:val="en-US" w:eastAsia="es-AR"/>
    </w:rPr>
  </w:style>
  <w:style w:type="paragraph" w:styleId="Lista5">
    <w:name w:val="List 5"/>
    <w:basedOn w:val="Normal"/>
    <w:uiPriority w:val="99"/>
    <w:rsid w:val="002831AB"/>
    <w:pPr>
      <w:ind w:left="1800" w:hanging="360"/>
    </w:pPr>
    <w:rPr>
      <w:rFonts w:ascii="Times New Roman" w:hAnsi="Times New Roman"/>
      <w:sz w:val="24"/>
      <w:szCs w:val="24"/>
      <w:lang w:val="en-US" w:eastAsia="es-AR"/>
    </w:rPr>
  </w:style>
  <w:style w:type="paragraph" w:customStyle="1" w:styleId="Heading5Italic">
    <w:name w:val="Heading .5 Italic"/>
    <w:basedOn w:val="Normal"/>
    <w:next w:val="Normal"/>
    <w:rsid w:val="002831AB"/>
    <w:pPr>
      <w:keepNext/>
      <w:spacing w:after="240"/>
      <w:ind w:left="720"/>
    </w:pPr>
    <w:rPr>
      <w:rFonts w:ascii="Times New Roman" w:hAnsi="Times New Roman"/>
      <w:i/>
      <w:iCs/>
      <w:szCs w:val="24"/>
      <w:lang w:val="en-US" w:eastAsia="es-AR"/>
    </w:rPr>
  </w:style>
  <w:style w:type="paragraph" w:customStyle="1" w:styleId="TitleBCPart2">
    <w:name w:val="Title BC Part 2"/>
    <w:basedOn w:val="Normal"/>
    <w:rsid w:val="002831AB"/>
    <w:pPr>
      <w:keepNext/>
      <w:spacing w:after="240"/>
      <w:jc w:val="center"/>
      <w:outlineLvl w:val="1"/>
    </w:pPr>
    <w:rPr>
      <w:rFonts w:ascii="Times New Roman" w:hAnsi="Times New Roman"/>
      <w:b/>
      <w:bCs/>
      <w:caps/>
      <w:szCs w:val="24"/>
      <w:lang w:val="en-US" w:eastAsia="es-AR"/>
    </w:rPr>
  </w:style>
  <w:style w:type="paragraph" w:customStyle="1" w:styleId="TOCManualEntry">
    <w:name w:val="TOC Manual Entry"/>
    <w:basedOn w:val="Normal"/>
    <w:rsid w:val="002831AB"/>
    <w:pPr>
      <w:tabs>
        <w:tab w:val="right" w:leader="dot" w:pos="9360"/>
      </w:tabs>
      <w:ind w:left="360" w:hanging="360"/>
    </w:pPr>
    <w:rPr>
      <w:rFonts w:ascii="Times New Roman" w:hAnsi="Times New Roman"/>
      <w:szCs w:val="24"/>
      <w:lang w:val="en-US" w:eastAsia="es-AR"/>
    </w:rPr>
  </w:style>
  <w:style w:type="paragraph" w:customStyle="1" w:styleId="CG-LeftInd05">
    <w:name w:val="CG-Left Ind 0.5"/>
    <w:aliases w:val="i1"/>
    <w:basedOn w:val="Normal"/>
    <w:rsid w:val="002831AB"/>
    <w:pPr>
      <w:autoSpaceDE w:val="0"/>
      <w:autoSpaceDN w:val="0"/>
      <w:adjustRightInd w:val="0"/>
      <w:spacing w:after="220"/>
      <w:ind w:left="720"/>
    </w:pPr>
    <w:rPr>
      <w:rFonts w:ascii="Times New Roman" w:eastAsia="MS Mincho" w:hAnsi="Times New Roman"/>
      <w:sz w:val="22"/>
      <w:szCs w:val="22"/>
      <w:lang w:val="en-US" w:eastAsia="es-AR"/>
    </w:rPr>
  </w:style>
  <w:style w:type="paragraph" w:customStyle="1" w:styleId="CarCarCarCarCarCar1Car">
    <w:name w:val="Car Car Car Car Car Car1 Car"/>
    <w:basedOn w:val="Normal"/>
    <w:rsid w:val="002831AB"/>
    <w:pPr>
      <w:spacing w:after="160" w:line="240" w:lineRule="exact"/>
    </w:pPr>
    <w:rPr>
      <w:rFonts w:ascii="Verdana" w:eastAsia="PMingLiU" w:hAnsi="Verdana"/>
      <w:lang w:val="en-US" w:eastAsia="es-AR"/>
    </w:rPr>
  </w:style>
  <w:style w:type="paragraph" w:customStyle="1" w:styleId="Notes">
    <w:name w:val="Notes"/>
    <w:basedOn w:val="Normal"/>
    <w:uiPriority w:val="99"/>
    <w:rsid w:val="002831AB"/>
    <w:pPr>
      <w:tabs>
        <w:tab w:val="left" w:pos="360"/>
      </w:tabs>
      <w:ind w:left="360" w:hanging="360"/>
      <w:jc w:val="both"/>
    </w:pPr>
    <w:rPr>
      <w:rFonts w:ascii="Times New Roman" w:hAnsi="Times New Roman"/>
      <w:szCs w:val="24"/>
      <w:lang w:val="en-US" w:eastAsia="es-AR"/>
    </w:rPr>
  </w:style>
  <w:style w:type="character" w:customStyle="1" w:styleId="BlockTextSglChar">
    <w:name w:val="Block Text Sgl Char"/>
    <w:rsid w:val="002831AB"/>
    <w:rPr>
      <w:lang w:val="en-US" w:eastAsia="en-US"/>
    </w:rPr>
  </w:style>
  <w:style w:type="character" w:customStyle="1" w:styleId="CharChar2">
    <w:name w:val="Char Char2"/>
    <w:rsid w:val="002831AB"/>
    <w:rPr>
      <w:spacing w:val="0"/>
      <w:sz w:val="24"/>
      <w:lang w:val="en-US" w:eastAsia="x-none"/>
    </w:rPr>
  </w:style>
  <w:style w:type="character" w:customStyle="1" w:styleId="CharChar">
    <w:name w:val="Char Char"/>
    <w:rsid w:val="002831AB"/>
    <w:rPr>
      <w:sz w:val="24"/>
      <w:lang w:val="en-US" w:eastAsia="en-US"/>
    </w:rPr>
  </w:style>
  <w:style w:type="paragraph" w:customStyle="1" w:styleId="Car">
    <w:name w:val="Car"/>
    <w:basedOn w:val="Normal"/>
    <w:rsid w:val="002831AB"/>
    <w:pPr>
      <w:spacing w:after="160" w:line="240" w:lineRule="exact"/>
    </w:pPr>
    <w:rPr>
      <w:rFonts w:ascii="Verdana" w:eastAsia="PMingLiU" w:hAnsi="Verdana"/>
      <w:lang w:val="en-US" w:eastAsia="es-AR"/>
    </w:rPr>
  </w:style>
  <w:style w:type="character" w:styleId="nfasis">
    <w:name w:val="Emphasis"/>
    <w:uiPriority w:val="20"/>
    <w:qFormat/>
    <w:rsid w:val="002831AB"/>
    <w:rPr>
      <w:i/>
    </w:rPr>
  </w:style>
  <w:style w:type="character" w:styleId="Textoennegrita">
    <w:name w:val="Strong"/>
    <w:uiPriority w:val="22"/>
    <w:qFormat/>
    <w:rsid w:val="002831AB"/>
    <w:rPr>
      <w:b/>
    </w:rPr>
  </w:style>
  <w:style w:type="paragraph" w:customStyle="1" w:styleId="TitleBI">
    <w:name w:val="Title BI"/>
    <w:basedOn w:val="TitleL"/>
    <w:rsid w:val="002831AB"/>
    <w:pPr>
      <w:autoSpaceDE/>
      <w:autoSpaceDN/>
      <w:adjustRightInd/>
      <w:ind w:left="720"/>
    </w:pPr>
    <w:rPr>
      <w:rFonts w:cs="Arial"/>
      <w:i/>
      <w:iCs/>
      <w:sz w:val="24"/>
      <w:szCs w:val="24"/>
    </w:rPr>
  </w:style>
  <w:style w:type="paragraph" w:customStyle="1" w:styleId="STBBullet2">
    <w:name w:val="STB Bullet 2"/>
    <w:basedOn w:val="Normal"/>
    <w:rsid w:val="002831AB"/>
    <w:pPr>
      <w:numPr>
        <w:numId w:val="19"/>
      </w:numPr>
      <w:spacing w:after="240"/>
    </w:pPr>
    <w:rPr>
      <w:rFonts w:ascii="Times New Roman" w:hAnsi="Times New Roman"/>
      <w:szCs w:val="24"/>
      <w:lang w:val="en-US" w:eastAsia="es-AR"/>
    </w:rPr>
  </w:style>
  <w:style w:type="paragraph" w:customStyle="1" w:styleId="STBListNumber1">
    <w:name w:val="STB List Number 1"/>
    <w:basedOn w:val="Normal"/>
    <w:rsid w:val="002831AB"/>
    <w:pPr>
      <w:numPr>
        <w:numId w:val="24"/>
      </w:numPr>
      <w:spacing w:after="240"/>
    </w:pPr>
    <w:rPr>
      <w:rFonts w:ascii="Times New Roman" w:hAnsi="Times New Roman"/>
      <w:szCs w:val="24"/>
      <w:lang w:val="en-US" w:eastAsia="es-AR"/>
    </w:rPr>
  </w:style>
  <w:style w:type="paragraph" w:customStyle="1" w:styleId="STBListNumber2">
    <w:name w:val="STB List Number 2"/>
    <w:basedOn w:val="Normal"/>
    <w:rsid w:val="002831AB"/>
    <w:pPr>
      <w:numPr>
        <w:numId w:val="26"/>
      </w:numPr>
      <w:spacing w:after="240"/>
    </w:pPr>
    <w:rPr>
      <w:rFonts w:ascii="Times New Roman" w:hAnsi="Times New Roman"/>
      <w:szCs w:val="24"/>
      <w:lang w:val="en-US" w:eastAsia="es-AR"/>
    </w:rPr>
  </w:style>
  <w:style w:type="paragraph" w:styleId="Lista4">
    <w:name w:val="List 4"/>
    <w:basedOn w:val="Normal"/>
    <w:uiPriority w:val="99"/>
    <w:rsid w:val="002831AB"/>
    <w:pPr>
      <w:ind w:left="1440" w:hanging="360"/>
    </w:pPr>
    <w:rPr>
      <w:rFonts w:ascii="Times New Roman" w:hAnsi="Times New Roman"/>
      <w:szCs w:val="24"/>
      <w:lang w:val="en-US" w:eastAsia="es-AR"/>
    </w:rPr>
  </w:style>
  <w:style w:type="paragraph" w:customStyle="1" w:styleId="TableText0">
    <w:name w:val="Table Text*"/>
    <w:basedOn w:val="Normal"/>
    <w:rsid w:val="002831AB"/>
    <w:pPr>
      <w:spacing w:after="240"/>
    </w:pPr>
    <w:rPr>
      <w:rFonts w:ascii="Times New Roman" w:hAnsi="Times New Roman"/>
      <w:szCs w:val="24"/>
      <w:lang w:val="en-US" w:eastAsia="es-AR"/>
    </w:rPr>
  </w:style>
  <w:style w:type="paragraph" w:customStyle="1" w:styleId="STBBullet1DBL">
    <w:name w:val="STB Bullet 1 DBL"/>
    <w:basedOn w:val="Normal"/>
    <w:rsid w:val="002831AB"/>
    <w:pPr>
      <w:numPr>
        <w:numId w:val="18"/>
      </w:numPr>
      <w:spacing w:line="480" w:lineRule="auto"/>
    </w:pPr>
    <w:rPr>
      <w:rFonts w:ascii="Times New Roman" w:hAnsi="Times New Roman"/>
      <w:szCs w:val="24"/>
      <w:lang w:val="en-US" w:eastAsia="es-AR"/>
    </w:rPr>
  </w:style>
  <w:style w:type="paragraph" w:customStyle="1" w:styleId="STBBullet2DBL">
    <w:name w:val="STB Bullet 2 DBL"/>
    <w:basedOn w:val="Normal"/>
    <w:rsid w:val="002831AB"/>
    <w:pPr>
      <w:numPr>
        <w:numId w:val="20"/>
      </w:numPr>
      <w:spacing w:line="480" w:lineRule="auto"/>
    </w:pPr>
    <w:rPr>
      <w:rFonts w:ascii="Times New Roman" w:hAnsi="Times New Roman"/>
      <w:szCs w:val="24"/>
      <w:lang w:val="en-US" w:eastAsia="es-AR"/>
    </w:rPr>
  </w:style>
  <w:style w:type="paragraph" w:customStyle="1" w:styleId="STBBullet3">
    <w:name w:val="STB Bullet 3"/>
    <w:basedOn w:val="Normal"/>
    <w:rsid w:val="002831AB"/>
    <w:pPr>
      <w:numPr>
        <w:numId w:val="21"/>
      </w:numPr>
      <w:spacing w:after="240"/>
    </w:pPr>
    <w:rPr>
      <w:rFonts w:ascii="Times New Roman" w:hAnsi="Times New Roman"/>
      <w:szCs w:val="24"/>
      <w:lang w:val="en-US" w:eastAsia="es-AR"/>
    </w:rPr>
  </w:style>
  <w:style w:type="paragraph" w:customStyle="1" w:styleId="STBBullet3DBL">
    <w:name w:val="STB Bullet 3 DBL"/>
    <w:basedOn w:val="Normal"/>
    <w:rsid w:val="002831AB"/>
    <w:pPr>
      <w:numPr>
        <w:numId w:val="22"/>
      </w:numPr>
      <w:spacing w:line="480" w:lineRule="auto"/>
    </w:pPr>
    <w:rPr>
      <w:rFonts w:ascii="Times New Roman" w:hAnsi="Times New Roman"/>
      <w:szCs w:val="24"/>
      <w:lang w:val="en-US" w:eastAsia="es-AR"/>
    </w:rPr>
  </w:style>
  <w:style w:type="paragraph" w:customStyle="1" w:styleId="STBBullet4">
    <w:name w:val="STB Bullet 4"/>
    <w:basedOn w:val="Normal"/>
    <w:rsid w:val="002831AB"/>
    <w:pPr>
      <w:numPr>
        <w:numId w:val="23"/>
      </w:numPr>
      <w:spacing w:after="240"/>
    </w:pPr>
    <w:rPr>
      <w:rFonts w:ascii="Times New Roman" w:hAnsi="Times New Roman"/>
      <w:szCs w:val="24"/>
      <w:lang w:val="en-US" w:eastAsia="es-AR"/>
    </w:rPr>
  </w:style>
  <w:style w:type="paragraph" w:customStyle="1" w:styleId="STBListNumber1DBL">
    <w:name w:val="STB List Number 1 DBL"/>
    <w:basedOn w:val="Normal"/>
    <w:rsid w:val="002831AB"/>
    <w:pPr>
      <w:numPr>
        <w:numId w:val="25"/>
      </w:numPr>
      <w:spacing w:line="480" w:lineRule="auto"/>
    </w:pPr>
    <w:rPr>
      <w:rFonts w:ascii="Times New Roman" w:hAnsi="Times New Roman"/>
      <w:szCs w:val="24"/>
      <w:lang w:val="en-US" w:eastAsia="es-AR"/>
    </w:rPr>
  </w:style>
  <w:style w:type="paragraph" w:customStyle="1" w:styleId="STBListNumber2DBL">
    <w:name w:val="STB List Number 2 DBL"/>
    <w:basedOn w:val="Normal"/>
    <w:rsid w:val="002831AB"/>
    <w:pPr>
      <w:numPr>
        <w:numId w:val="27"/>
      </w:numPr>
      <w:spacing w:line="480" w:lineRule="auto"/>
    </w:pPr>
    <w:rPr>
      <w:rFonts w:ascii="Times New Roman" w:hAnsi="Times New Roman"/>
      <w:szCs w:val="24"/>
      <w:lang w:val="en-US" w:eastAsia="es-AR"/>
    </w:rPr>
  </w:style>
  <w:style w:type="paragraph" w:customStyle="1" w:styleId="STBListNumber3">
    <w:name w:val="STB List Number 3"/>
    <w:basedOn w:val="Normal"/>
    <w:rsid w:val="002831AB"/>
    <w:pPr>
      <w:numPr>
        <w:numId w:val="28"/>
      </w:numPr>
      <w:spacing w:after="240"/>
    </w:pPr>
    <w:rPr>
      <w:rFonts w:ascii="Times New Roman" w:hAnsi="Times New Roman"/>
      <w:szCs w:val="24"/>
      <w:lang w:val="en-US" w:eastAsia="es-AR"/>
    </w:rPr>
  </w:style>
  <w:style w:type="paragraph" w:customStyle="1" w:styleId="STBListNumber3DBL">
    <w:name w:val="STB List Number 3 DBL"/>
    <w:basedOn w:val="Normal"/>
    <w:rsid w:val="002831AB"/>
    <w:pPr>
      <w:numPr>
        <w:numId w:val="29"/>
      </w:numPr>
      <w:spacing w:line="480" w:lineRule="auto"/>
    </w:pPr>
    <w:rPr>
      <w:rFonts w:ascii="Times New Roman" w:hAnsi="Times New Roman"/>
      <w:szCs w:val="24"/>
      <w:lang w:val="en-US" w:eastAsia="es-AR"/>
    </w:rPr>
  </w:style>
  <w:style w:type="paragraph" w:customStyle="1" w:styleId="STBListNumber4">
    <w:name w:val="STB List Number 4"/>
    <w:basedOn w:val="Normal"/>
    <w:rsid w:val="002831AB"/>
    <w:pPr>
      <w:numPr>
        <w:numId w:val="30"/>
      </w:numPr>
      <w:spacing w:after="240"/>
    </w:pPr>
    <w:rPr>
      <w:rFonts w:ascii="Times New Roman" w:hAnsi="Times New Roman"/>
      <w:szCs w:val="24"/>
      <w:lang w:val="en-US" w:eastAsia="es-AR"/>
    </w:rPr>
  </w:style>
  <w:style w:type="paragraph" w:customStyle="1" w:styleId="STBListNumber4DBL">
    <w:name w:val="STB List Number 4 DBL"/>
    <w:basedOn w:val="Normal"/>
    <w:rsid w:val="002831AB"/>
    <w:pPr>
      <w:numPr>
        <w:numId w:val="31"/>
      </w:numPr>
      <w:spacing w:line="480" w:lineRule="auto"/>
    </w:pPr>
    <w:rPr>
      <w:rFonts w:ascii="Times New Roman" w:hAnsi="Times New Roman"/>
      <w:szCs w:val="24"/>
      <w:lang w:val="en-US" w:eastAsia="es-AR"/>
    </w:rPr>
  </w:style>
  <w:style w:type="paragraph" w:customStyle="1" w:styleId="ItalBodyText">
    <w:name w:val="Ital Body Text"/>
    <w:basedOn w:val="Textoindependiente"/>
    <w:rsid w:val="002831AB"/>
    <w:pPr>
      <w:autoSpaceDE/>
      <w:autoSpaceDN/>
      <w:adjustRightInd/>
      <w:spacing w:after="240" w:line="480" w:lineRule="auto"/>
      <w:ind w:firstLine="1440"/>
    </w:pPr>
    <w:rPr>
      <w:i/>
      <w:iCs/>
    </w:rPr>
  </w:style>
  <w:style w:type="character" w:styleId="Refdecomentario">
    <w:name w:val="annotation reference"/>
    <w:rsid w:val="002831AB"/>
    <w:rPr>
      <w:sz w:val="16"/>
    </w:rPr>
  </w:style>
  <w:style w:type="paragraph" w:customStyle="1" w:styleId="titleblockBI">
    <w:name w:val="title block BI"/>
    <w:basedOn w:val="Normal"/>
    <w:next w:val="Normal"/>
    <w:rsid w:val="002831AB"/>
    <w:pPr>
      <w:keepNext/>
      <w:spacing w:after="240"/>
    </w:pPr>
    <w:rPr>
      <w:rFonts w:ascii="Times New Roman Bold" w:hAnsi="Times New Roman Bold"/>
      <w:b/>
      <w:bCs/>
      <w:i/>
      <w:iCs/>
      <w:szCs w:val="24"/>
      <w:lang w:val="en-US" w:eastAsia="es-AR"/>
    </w:rPr>
  </w:style>
  <w:style w:type="paragraph" w:customStyle="1" w:styleId="title5BI">
    <w:name w:val="title .5 BI"/>
    <w:basedOn w:val="Normal"/>
    <w:next w:val="Normal"/>
    <w:rsid w:val="002831AB"/>
    <w:pPr>
      <w:spacing w:after="240"/>
      <w:ind w:left="720" w:right="144"/>
    </w:pPr>
    <w:rPr>
      <w:rFonts w:ascii="Times New Roman Bold" w:hAnsi="Times New Roman Bold"/>
      <w:b/>
      <w:bCs/>
      <w:i/>
      <w:iCs/>
      <w:sz w:val="19"/>
      <w:szCs w:val="19"/>
      <w:lang w:val="en-US" w:eastAsia="es-AR"/>
    </w:rPr>
  </w:style>
  <w:style w:type="paragraph" w:customStyle="1" w:styleId="Direct">
    <w:name w:val="Direct"/>
    <w:basedOn w:val="BodyTextIndentSgl"/>
    <w:rsid w:val="002831AB"/>
    <w:pPr>
      <w:ind w:left="1495" w:hanging="415"/>
    </w:pPr>
    <w:rPr>
      <w:sz w:val="19"/>
      <w:szCs w:val="19"/>
    </w:rPr>
  </w:style>
  <w:style w:type="character" w:customStyle="1" w:styleId="DeltaViewFormatChange">
    <w:name w:val="DeltaView Format Change"/>
    <w:rsid w:val="002831AB"/>
    <w:rPr>
      <w:color w:val="000000"/>
      <w:spacing w:val="0"/>
    </w:rPr>
  </w:style>
  <w:style w:type="paragraph" w:customStyle="1" w:styleId="IndentItalics">
    <w:name w:val="Indent/Italics"/>
    <w:basedOn w:val="Normal"/>
    <w:rsid w:val="002831AB"/>
    <w:pPr>
      <w:spacing w:after="240"/>
      <w:ind w:firstLine="720"/>
    </w:pPr>
    <w:rPr>
      <w:rFonts w:ascii="Times New Roman" w:hAnsi="Times New Roman"/>
      <w:i/>
      <w:szCs w:val="24"/>
      <w:lang w:val="en-US" w:eastAsia="es-AR"/>
    </w:rPr>
  </w:style>
  <w:style w:type="paragraph" w:customStyle="1" w:styleId="BLOCK250">
    <w:name w:val="BLOCK 2.50"/>
    <w:basedOn w:val="BLOCKINDENT250"/>
    <w:rsid w:val="002831AB"/>
    <w:pPr>
      <w:tabs>
        <w:tab w:val="left" w:leader="dot" w:pos="3600"/>
      </w:tabs>
      <w:ind w:firstLine="0"/>
    </w:pPr>
  </w:style>
  <w:style w:type="paragraph" w:customStyle="1" w:styleId="BOLDITALICS5INDENT">
    <w:name w:val="BOLD ITALICS/.5 INDENT"/>
    <w:basedOn w:val="Normal"/>
    <w:rsid w:val="002831AB"/>
    <w:pPr>
      <w:spacing w:after="240"/>
      <w:ind w:firstLine="720"/>
    </w:pPr>
    <w:rPr>
      <w:rFonts w:ascii="Times New Roman Bold" w:hAnsi="Times New Roman Bold"/>
      <w:b/>
      <w:i/>
      <w:szCs w:val="24"/>
      <w:lang w:val="en-US" w:eastAsia="es-AR"/>
    </w:rPr>
  </w:style>
  <w:style w:type="paragraph" w:customStyle="1" w:styleId="HeadingLeftBI">
    <w:name w:val="Heading Left B I"/>
    <w:basedOn w:val="Normal"/>
    <w:rsid w:val="002831AB"/>
    <w:pPr>
      <w:keepNext/>
      <w:spacing w:after="240"/>
    </w:pPr>
    <w:rPr>
      <w:rFonts w:ascii="Times New Roman" w:hAnsi="Times New Roman"/>
      <w:b/>
      <w:bCs/>
      <w:i/>
      <w:iCs/>
      <w:szCs w:val="24"/>
      <w:lang w:val="en-US" w:eastAsia="es-AR"/>
    </w:rPr>
  </w:style>
  <w:style w:type="paragraph" w:customStyle="1" w:styleId="Bullet5">
    <w:name w:val="Bullet .5"/>
    <w:basedOn w:val="Normal"/>
    <w:rsid w:val="002831AB"/>
    <w:pPr>
      <w:tabs>
        <w:tab w:val="num" w:pos="1080"/>
      </w:tabs>
      <w:spacing w:after="240"/>
      <w:ind w:left="1080" w:hanging="360"/>
    </w:pPr>
    <w:rPr>
      <w:rFonts w:ascii="Times New Roman" w:hAnsi="Times New Roman"/>
      <w:szCs w:val="24"/>
      <w:lang w:val="en-US" w:eastAsia="es-AR"/>
    </w:rPr>
  </w:style>
  <w:style w:type="paragraph" w:customStyle="1" w:styleId="Block25">
    <w:name w:val="Block .25"/>
    <w:basedOn w:val="Normal"/>
    <w:rsid w:val="002831AB"/>
    <w:pPr>
      <w:spacing w:after="240"/>
      <w:ind w:left="360"/>
    </w:pPr>
    <w:rPr>
      <w:rFonts w:ascii="Times New Roman" w:hAnsi="Times New Roman"/>
      <w:szCs w:val="24"/>
      <w:lang w:val="en-US" w:eastAsia="es-AR"/>
    </w:rPr>
  </w:style>
  <w:style w:type="paragraph" w:customStyle="1" w:styleId="TitleLI">
    <w:name w:val="Title L I"/>
    <w:basedOn w:val="TitleL"/>
    <w:rsid w:val="002831AB"/>
    <w:pPr>
      <w:keepNext/>
      <w:keepLines/>
      <w:autoSpaceDE/>
      <w:autoSpaceDN/>
      <w:adjustRightInd/>
    </w:pPr>
    <w:rPr>
      <w:rFonts w:cs="Arial"/>
      <w:i/>
      <w:sz w:val="24"/>
      <w:szCs w:val="32"/>
    </w:rPr>
  </w:style>
  <w:style w:type="paragraph" w:customStyle="1" w:styleId="TableText1">
    <w:name w:val="TableText"/>
    <w:aliases w:val="tt,Table text"/>
    <w:basedOn w:val="Normal"/>
    <w:rsid w:val="002831AB"/>
    <w:pPr>
      <w:tabs>
        <w:tab w:val="right" w:leader="dot" w:pos="4709"/>
      </w:tabs>
    </w:pPr>
    <w:rPr>
      <w:rFonts w:ascii="Times New Roman" w:hAnsi="Times New Roman"/>
      <w:sz w:val="16"/>
      <w:szCs w:val="24"/>
      <w:lang w:val="en-US" w:eastAsia="es-AR"/>
    </w:rPr>
  </w:style>
  <w:style w:type="paragraph" w:customStyle="1" w:styleId="NotesLine">
    <w:name w:val="Notes Line"/>
    <w:basedOn w:val="Normal"/>
    <w:rsid w:val="002831AB"/>
    <w:pPr>
      <w:pBdr>
        <w:bottom w:val="single" w:sz="4" w:space="1" w:color="auto"/>
      </w:pBdr>
      <w:ind w:right="7920"/>
    </w:pPr>
    <w:rPr>
      <w:rFonts w:ascii="Times New Roman" w:hAnsi="Times New Roman"/>
      <w:szCs w:val="24"/>
      <w:lang w:val="en-US" w:eastAsia="es-AR"/>
    </w:rPr>
  </w:style>
  <w:style w:type="paragraph" w:customStyle="1" w:styleId="TableRule">
    <w:name w:val="Table Rule"/>
    <w:basedOn w:val="Normal"/>
    <w:rsid w:val="002831AB"/>
    <w:pPr>
      <w:keepNext/>
      <w:spacing w:after="60"/>
    </w:pPr>
    <w:rPr>
      <w:rFonts w:ascii="Times New Roman" w:hAnsi="Times New Roman"/>
      <w:szCs w:val="24"/>
      <w:u w:val="single"/>
      <w:lang w:val="en-US" w:eastAsia="es-ES"/>
    </w:rPr>
  </w:style>
  <w:style w:type="paragraph" w:customStyle="1" w:styleId="textonota6">
    <w:name w:val="texto nota 6"/>
    <w:basedOn w:val="Normal"/>
    <w:rsid w:val="002831AB"/>
    <w:pPr>
      <w:ind w:left="2160"/>
      <w:jc w:val="both"/>
    </w:pPr>
    <w:rPr>
      <w:rFonts w:ascii="Times New Roman" w:hAnsi="Times New Roman" w:cs="Arial"/>
      <w:bCs/>
      <w:szCs w:val="24"/>
      <w:lang w:val="en-US" w:eastAsia="es-AR"/>
    </w:rPr>
  </w:style>
  <w:style w:type="character" w:customStyle="1" w:styleId="ListBulletChar">
    <w:name w:val="List Bullet Char"/>
    <w:rsid w:val="002831AB"/>
    <w:rPr>
      <w:lang w:val="en-US" w:eastAsia="en-US"/>
    </w:rPr>
  </w:style>
  <w:style w:type="character" w:customStyle="1" w:styleId="TitleChar">
    <w:name w:val="Title Char"/>
    <w:rsid w:val="002831AB"/>
    <w:rPr>
      <w:b/>
      <w:kern w:val="28"/>
      <w:lang w:val="en-US" w:eastAsia="en-US"/>
    </w:rPr>
  </w:style>
  <w:style w:type="character" w:customStyle="1" w:styleId="TitleLChar">
    <w:name w:val="Title L Char"/>
    <w:rsid w:val="002831AB"/>
    <w:rPr>
      <w:b/>
      <w:kern w:val="28"/>
      <w:lang w:val="en-US" w:eastAsia="en-US"/>
    </w:rPr>
  </w:style>
  <w:style w:type="paragraph" w:customStyle="1" w:styleId="TitleLBoldItalic">
    <w:name w:val="Title L Bold Italic"/>
    <w:basedOn w:val="Normal"/>
    <w:rsid w:val="002831AB"/>
    <w:pPr>
      <w:spacing w:after="240"/>
    </w:pPr>
    <w:rPr>
      <w:rFonts w:ascii="Times New Roman" w:hAnsi="Times New Roman"/>
      <w:b/>
      <w:i/>
      <w:szCs w:val="24"/>
      <w:lang w:val="en-US" w:eastAsia="es-AR"/>
    </w:rPr>
  </w:style>
  <w:style w:type="paragraph" w:customStyle="1" w:styleId="TitleL5">
    <w:name w:val="Title L .5"/>
    <w:basedOn w:val="Normal"/>
    <w:rsid w:val="002831AB"/>
    <w:pPr>
      <w:keepNext/>
      <w:spacing w:after="240"/>
      <w:ind w:left="720"/>
    </w:pPr>
    <w:rPr>
      <w:rFonts w:ascii="Times New Roman" w:hAnsi="Times New Roman"/>
      <w:b/>
      <w:i/>
      <w:iCs/>
      <w:szCs w:val="24"/>
      <w:lang w:val="en-US" w:eastAsia="es-AR"/>
    </w:rPr>
  </w:style>
  <w:style w:type="paragraph" w:customStyle="1" w:styleId="CoverTitle3">
    <w:name w:val="Cover Title 3"/>
    <w:basedOn w:val="Normal"/>
    <w:rsid w:val="002831AB"/>
    <w:pPr>
      <w:jc w:val="center"/>
    </w:pPr>
    <w:rPr>
      <w:rFonts w:ascii="Times New Roman" w:hAnsi="Times New Roman"/>
      <w:b/>
      <w:sz w:val="32"/>
      <w:szCs w:val="24"/>
      <w:lang w:val="en-US" w:eastAsia="es-AR"/>
    </w:rPr>
  </w:style>
  <w:style w:type="paragraph" w:customStyle="1" w:styleId="CoverTitle8">
    <w:name w:val="Cover Title 8"/>
    <w:basedOn w:val="Normal"/>
    <w:rsid w:val="002831AB"/>
    <w:pPr>
      <w:spacing w:after="120"/>
      <w:jc w:val="center"/>
    </w:pPr>
    <w:rPr>
      <w:rFonts w:ascii="Times New Roman" w:eastAsia="MS Mincho" w:hAnsi="Times New Roman"/>
      <w:sz w:val="18"/>
      <w:szCs w:val="24"/>
      <w:lang w:val="en-US" w:eastAsia="es-AR"/>
    </w:rPr>
  </w:style>
  <w:style w:type="paragraph" w:customStyle="1" w:styleId="CoverText">
    <w:name w:val="Cover Text"/>
    <w:basedOn w:val="Normal"/>
    <w:rsid w:val="002831AB"/>
    <w:pPr>
      <w:spacing w:line="216" w:lineRule="auto"/>
      <w:jc w:val="both"/>
    </w:pPr>
    <w:rPr>
      <w:rFonts w:ascii="Times New Roman" w:eastAsia="MS Mincho" w:hAnsi="Times New Roman"/>
      <w:sz w:val="18"/>
      <w:szCs w:val="24"/>
      <w:lang w:val="en-US" w:eastAsia="es-AR"/>
    </w:rPr>
  </w:style>
  <w:style w:type="paragraph" w:customStyle="1" w:styleId="CoverTitle4">
    <w:name w:val="Cover Title 4"/>
    <w:basedOn w:val="Normal"/>
    <w:rsid w:val="002831AB"/>
    <w:pPr>
      <w:jc w:val="center"/>
    </w:pPr>
    <w:rPr>
      <w:rFonts w:ascii="Times New Roman" w:hAnsi="Times New Roman"/>
      <w:b/>
      <w:sz w:val="28"/>
      <w:szCs w:val="24"/>
      <w:lang w:val="en-US" w:eastAsia="es-AR"/>
    </w:rPr>
  </w:style>
  <w:style w:type="paragraph" w:customStyle="1" w:styleId="CoverText3">
    <w:name w:val="Cover Text 3"/>
    <w:basedOn w:val="Normal"/>
    <w:rsid w:val="002831AB"/>
    <w:pPr>
      <w:spacing w:after="60"/>
      <w:ind w:left="706"/>
    </w:pPr>
    <w:rPr>
      <w:rFonts w:ascii="Times New Roman" w:eastAsia="MS Mincho" w:hAnsi="Times New Roman"/>
      <w:b/>
      <w:szCs w:val="24"/>
      <w:lang w:val="en-US" w:eastAsia="es-AR"/>
    </w:rPr>
  </w:style>
  <w:style w:type="paragraph" w:customStyle="1" w:styleId="CoverText2">
    <w:name w:val="Cover Text 2"/>
    <w:basedOn w:val="Normal"/>
    <w:rsid w:val="002831AB"/>
    <w:pPr>
      <w:spacing w:after="60" w:line="216" w:lineRule="auto"/>
      <w:ind w:left="706" w:firstLine="14"/>
      <w:jc w:val="both"/>
    </w:pPr>
    <w:rPr>
      <w:rFonts w:ascii="Times New Roman" w:eastAsia="MS Mincho" w:hAnsi="Times New Roman"/>
      <w:bCs/>
      <w:sz w:val="18"/>
      <w:szCs w:val="24"/>
      <w:lang w:val="en-US" w:eastAsia="es-AR"/>
    </w:rPr>
  </w:style>
  <w:style w:type="paragraph" w:customStyle="1" w:styleId="Footnote">
    <w:name w:val="Footnote"/>
    <w:basedOn w:val="Normal"/>
    <w:rsid w:val="002831AB"/>
    <w:pPr>
      <w:spacing w:before="120" w:line="240" w:lineRule="atLeast"/>
      <w:ind w:left="360" w:hanging="360"/>
      <w:jc w:val="both"/>
    </w:pPr>
    <w:rPr>
      <w:rFonts w:ascii="Times New Roman" w:hAnsi="Times New Roman"/>
      <w:szCs w:val="24"/>
      <w:lang w:val="en-US" w:eastAsia="es-AR"/>
    </w:rPr>
  </w:style>
  <w:style w:type="paragraph" w:customStyle="1" w:styleId="SigBlock">
    <w:name w:val="SigBlock"/>
    <w:basedOn w:val="Footnote"/>
    <w:rsid w:val="002831AB"/>
    <w:pPr>
      <w:keepLines/>
      <w:tabs>
        <w:tab w:val="left" w:pos="5400"/>
        <w:tab w:val="left" w:pos="5760"/>
        <w:tab w:val="center" w:pos="8280"/>
        <w:tab w:val="right" w:pos="10800"/>
      </w:tabs>
      <w:spacing w:before="0"/>
      <w:ind w:left="0" w:firstLine="0"/>
    </w:pPr>
  </w:style>
  <w:style w:type="paragraph" w:customStyle="1" w:styleId="NewFootnote">
    <w:name w:val="New Footnote"/>
    <w:basedOn w:val="Normal"/>
    <w:rsid w:val="002831AB"/>
    <w:pPr>
      <w:spacing w:before="60"/>
      <w:ind w:left="360" w:hanging="360"/>
    </w:pPr>
    <w:rPr>
      <w:rFonts w:ascii="Times New Roman" w:hAnsi="Times New Roman"/>
      <w:sz w:val="16"/>
      <w:szCs w:val="16"/>
      <w:lang w:val="en-US" w:eastAsia="es-AR"/>
    </w:rPr>
  </w:style>
  <w:style w:type="paragraph" w:customStyle="1" w:styleId="Bullet-1">
    <w:name w:val="Bullet-1"/>
    <w:basedOn w:val="Normal"/>
    <w:rsid w:val="002831AB"/>
    <w:pPr>
      <w:ind w:left="576" w:hanging="288"/>
    </w:pPr>
    <w:rPr>
      <w:rFonts w:ascii="Times New Roman" w:hAnsi="Times New Roman"/>
      <w:szCs w:val="24"/>
      <w:lang w:val="en-US" w:eastAsia="es-AR"/>
    </w:rPr>
  </w:style>
  <w:style w:type="paragraph" w:customStyle="1" w:styleId="Bullet">
    <w:name w:val="Bullet"/>
    <w:basedOn w:val="Normal"/>
    <w:link w:val="BulletCar"/>
    <w:qFormat/>
    <w:rsid w:val="002831AB"/>
    <w:pPr>
      <w:tabs>
        <w:tab w:val="num" w:pos="360"/>
      </w:tabs>
      <w:spacing w:after="240"/>
      <w:ind w:left="360" w:hanging="360"/>
    </w:pPr>
    <w:rPr>
      <w:rFonts w:ascii="Times New Roman" w:eastAsia="SimSun" w:hAnsi="Times New Roman"/>
      <w:sz w:val="24"/>
      <w:lang w:val="en-US" w:eastAsia="x-none"/>
    </w:rPr>
  </w:style>
  <w:style w:type="paragraph" w:customStyle="1" w:styleId="ListBullet6">
    <w:name w:val="List Bullet 6"/>
    <w:basedOn w:val="Listaconvietas2"/>
    <w:rsid w:val="002831AB"/>
    <w:pPr>
      <w:numPr>
        <w:numId w:val="0"/>
      </w:numPr>
      <w:tabs>
        <w:tab w:val="num" w:pos="2160"/>
      </w:tabs>
      <w:ind w:left="2160" w:hanging="360"/>
    </w:pPr>
    <w:rPr>
      <w:rFonts w:eastAsia="SimSun"/>
      <w:szCs w:val="24"/>
      <w:lang w:val="es-AR"/>
    </w:rPr>
  </w:style>
  <w:style w:type="paragraph" w:customStyle="1" w:styleId="Indentblocktext">
    <w:name w:val="Indent block text"/>
    <w:basedOn w:val="Normal"/>
    <w:rsid w:val="002831AB"/>
    <w:pPr>
      <w:spacing w:after="180"/>
      <w:ind w:firstLine="720"/>
      <w:jc w:val="both"/>
    </w:pPr>
    <w:rPr>
      <w:rFonts w:ascii="Tms Rmn" w:hAnsi="Tms Rmn"/>
      <w:szCs w:val="24"/>
      <w:lang w:val="en-US" w:eastAsia="es-AR"/>
    </w:rPr>
  </w:style>
  <w:style w:type="paragraph" w:customStyle="1" w:styleId="texto">
    <w:name w:val="texto"/>
    <w:basedOn w:val="Normal"/>
    <w:rsid w:val="002831AB"/>
    <w:pPr>
      <w:ind w:left="426"/>
      <w:jc w:val="both"/>
    </w:pPr>
    <w:rPr>
      <w:rFonts w:ascii="Times New Roman" w:hAnsi="Times New Roman" w:cs="Arial"/>
      <w:bCs/>
      <w:szCs w:val="24"/>
      <w:lang w:val="en-US" w:eastAsia="es-AR"/>
    </w:rPr>
  </w:style>
  <w:style w:type="paragraph" w:customStyle="1" w:styleId="Textoinformeauditor">
    <w:name w:val="Texto informe auditor"/>
    <w:basedOn w:val="Normal"/>
    <w:rsid w:val="002831AB"/>
    <w:pPr>
      <w:spacing w:line="360" w:lineRule="auto"/>
      <w:ind w:left="426"/>
      <w:jc w:val="both"/>
    </w:pPr>
    <w:rPr>
      <w:rFonts w:ascii="Times New Roman" w:hAnsi="Times New Roman" w:cs="Arial"/>
      <w:bCs/>
      <w:szCs w:val="24"/>
      <w:lang w:val="en-US" w:eastAsia="es-AR"/>
    </w:rPr>
  </w:style>
  <w:style w:type="paragraph" w:customStyle="1" w:styleId="textonota1">
    <w:name w:val="texto nota 1"/>
    <w:basedOn w:val="texto"/>
    <w:rsid w:val="002831AB"/>
    <w:pPr>
      <w:ind w:left="432"/>
    </w:pPr>
  </w:style>
  <w:style w:type="paragraph" w:customStyle="1" w:styleId="textonota2">
    <w:name w:val="texto nota 2"/>
    <w:basedOn w:val="textonota1"/>
    <w:rsid w:val="002831AB"/>
    <w:pPr>
      <w:ind w:left="792"/>
    </w:pPr>
    <w:rPr>
      <w:sz w:val="18"/>
    </w:rPr>
  </w:style>
  <w:style w:type="paragraph" w:customStyle="1" w:styleId="texto2">
    <w:name w:val="texto 2"/>
    <w:basedOn w:val="textonota2"/>
    <w:rsid w:val="002831AB"/>
    <w:pPr>
      <w:ind w:left="576"/>
    </w:pPr>
  </w:style>
  <w:style w:type="paragraph" w:customStyle="1" w:styleId="textonota3">
    <w:name w:val="texto nota 3"/>
    <w:basedOn w:val="texto2"/>
    <w:rsid w:val="002831AB"/>
    <w:pPr>
      <w:ind w:left="990"/>
    </w:pPr>
    <w:rPr>
      <w:sz w:val="20"/>
    </w:rPr>
  </w:style>
  <w:style w:type="paragraph" w:customStyle="1" w:styleId="textonota4">
    <w:name w:val="texto nota 4"/>
    <w:basedOn w:val="textonota3"/>
    <w:rsid w:val="002831AB"/>
    <w:pPr>
      <w:ind w:left="1368"/>
    </w:pPr>
  </w:style>
  <w:style w:type="paragraph" w:customStyle="1" w:styleId="textonota5">
    <w:name w:val="texto nota 5"/>
    <w:basedOn w:val="textonota4"/>
    <w:rsid w:val="002831AB"/>
    <w:pPr>
      <w:ind w:left="1728"/>
    </w:pPr>
  </w:style>
  <w:style w:type="paragraph" w:customStyle="1" w:styleId="texto6">
    <w:name w:val="texto 6"/>
    <w:basedOn w:val="textonota5"/>
    <w:rsid w:val="002831AB"/>
    <w:pPr>
      <w:ind w:left="1890"/>
    </w:pPr>
  </w:style>
  <w:style w:type="paragraph" w:customStyle="1" w:styleId="Textonota30">
    <w:name w:val="Texto nota 3"/>
    <w:basedOn w:val="Normal"/>
    <w:rsid w:val="002831AB"/>
    <w:pPr>
      <w:ind w:left="1512"/>
    </w:pPr>
    <w:rPr>
      <w:rFonts w:ascii="Times New Roman" w:hAnsi="Times New Roman" w:cs="Arial"/>
      <w:bCs/>
      <w:sz w:val="19"/>
      <w:szCs w:val="24"/>
      <w:lang w:val="en-US" w:eastAsia="es-AR"/>
    </w:rPr>
  </w:style>
  <w:style w:type="character" w:customStyle="1" w:styleId="Style10pt">
    <w:name w:val="Style 10 pt"/>
    <w:rsid w:val="002831AB"/>
    <w:rPr>
      <w:rFonts w:ascii="Arial" w:hAnsi="Arial"/>
      <w:sz w:val="20"/>
    </w:rPr>
  </w:style>
  <w:style w:type="paragraph" w:customStyle="1" w:styleId="TextoNota">
    <w:name w:val="Texto Nota"/>
    <w:basedOn w:val="Normal"/>
    <w:rsid w:val="002831AB"/>
    <w:pPr>
      <w:ind w:left="450"/>
      <w:jc w:val="both"/>
    </w:pPr>
    <w:rPr>
      <w:rFonts w:ascii="Times New Roman" w:hAnsi="Times New Roman" w:cs="Arial"/>
      <w:bCs/>
      <w:szCs w:val="24"/>
      <w:lang w:eastAsia="es-AR"/>
    </w:rPr>
  </w:style>
  <w:style w:type="paragraph" w:customStyle="1" w:styleId="Textonota0">
    <w:name w:val="Texto nota"/>
    <w:basedOn w:val="Normal"/>
    <w:rsid w:val="002831AB"/>
    <w:pPr>
      <w:ind w:left="446"/>
      <w:jc w:val="both"/>
    </w:pPr>
    <w:rPr>
      <w:rFonts w:ascii="Book Antiqua" w:hAnsi="Book Antiqua" w:cs="Arial"/>
      <w:bCs/>
      <w:szCs w:val="24"/>
      <w:lang w:val="en-US" w:eastAsia="es-AR"/>
    </w:rPr>
  </w:style>
  <w:style w:type="paragraph" w:customStyle="1" w:styleId="Texto0">
    <w:name w:val="Texto"/>
    <w:basedOn w:val="Normal"/>
    <w:uiPriority w:val="99"/>
    <w:rsid w:val="002831AB"/>
    <w:pPr>
      <w:widowControl w:val="0"/>
      <w:jc w:val="both"/>
    </w:pPr>
    <w:rPr>
      <w:rFonts w:ascii="Book Antiqua" w:hAnsi="Book Antiqua"/>
      <w:bCs/>
      <w:szCs w:val="24"/>
      <w:lang w:val="es-ES_tradnl" w:eastAsia="es-AR"/>
    </w:rPr>
  </w:style>
  <w:style w:type="paragraph" w:customStyle="1" w:styleId="TextoNota20">
    <w:name w:val="Texto Nota2"/>
    <w:basedOn w:val="Normal"/>
    <w:rsid w:val="002831AB"/>
    <w:pPr>
      <w:ind w:left="1170"/>
      <w:jc w:val="both"/>
    </w:pPr>
    <w:rPr>
      <w:rFonts w:ascii="Times New Roman" w:hAnsi="Times New Roman" w:cs="Arial"/>
      <w:bCs/>
      <w:sz w:val="14"/>
      <w:szCs w:val="14"/>
      <w:lang w:val="en-US" w:eastAsia="es-AR"/>
    </w:rPr>
  </w:style>
  <w:style w:type="paragraph" w:customStyle="1" w:styleId="Texto1">
    <w:name w:val="Texto 1"/>
    <w:basedOn w:val="Texto0"/>
    <w:rsid w:val="002831AB"/>
    <w:pPr>
      <w:widowControl/>
      <w:ind w:left="360"/>
      <w:jc w:val="left"/>
    </w:pPr>
    <w:rPr>
      <w:rFonts w:ascii="Arial" w:hAnsi="Arial"/>
      <w:bCs w:val="0"/>
      <w:sz w:val="19"/>
      <w:lang w:val="en-US"/>
    </w:rPr>
  </w:style>
  <w:style w:type="paragraph" w:customStyle="1" w:styleId="Texto20">
    <w:name w:val="Texto 2"/>
    <w:basedOn w:val="Texto1"/>
    <w:rsid w:val="002831AB"/>
    <w:pPr>
      <w:ind w:left="720"/>
    </w:pPr>
  </w:style>
  <w:style w:type="paragraph" w:customStyle="1" w:styleId="Textonota10">
    <w:name w:val="Texto nota 1"/>
    <w:basedOn w:val="Normal"/>
    <w:rsid w:val="002831AB"/>
    <w:pPr>
      <w:ind w:left="792"/>
    </w:pPr>
    <w:rPr>
      <w:rFonts w:ascii="Times New Roman" w:hAnsi="Times New Roman"/>
      <w:sz w:val="19"/>
      <w:szCs w:val="24"/>
      <w:lang w:val="en-US" w:eastAsia="es-AR"/>
    </w:rPr>
  </w:style>
  <w:style w:type="paragraph" w:customStyle="1" w:styleId="BlockTextSglBold">
    <w:name w:val="Block Text Sgl Bold"/>
    <w:basedOn w:val="Normal"/>
    <w:rsid w:val="002831AB"/>
    <w:pPr>
      <w:keepNext/>
      <w:keepLines/>
      <w:spacing w:after="240"/>
    </w:pPr>
    <w:rPr>
      <w:rFonts w:ascii="Times New Roman Bold" w:hAnsi="Times New Roman Bold"/>
      <w:b/>
      <w:szCs w:val="24"/>
      <w:lang w:val="en-US" w:eastAsia="es-AR"/>
    </w:rPr>
  </w:style>
  <w:style w:type="paragraph" w:customStyle="1" w:styleId="TitleIIndented">
    <w:name w:val="Title I Indented"/>
    <w:basedOn w:val="TitleBIIndented"/>
    <w:rsid w:val="002831AB"/>
    <w:pPr>
      <w:autoSpaceDE/>
      <w:autoSpaceDN/>
      <w:adjustRightInd/>
      <w:ind w:left="720"/>
    </w:pPr>
    <w:rPr>
      <w:b w:val="0"/>
      <w:bCs/>
      <w:i/>
      <w:iCs/>
      <w:szCs w:val="24"/>
    </w:rPr>
  </w:style>
  <w:style w:type="paragraph" w:customStyle="1" w:styleId="List1inchJ">
    <w:name w:val="List 1 inch J"/>
    <w:basedOn w:val="Normal"/>
    <w:rsid w:val="002831AB"/>
    <w:pPr>
      <w:spacing w:after="240"/>
      <w:ind w:left="2160" w:hanging="720"/>
    </w:pPr>
    <w:rPr>
      <w:rFonts w:ascii="Times New Roman" w:hAnsi="Times New Roman"/>
      <w:szCs w:val="24"/>
      <w:lang w:val="en-US" w:eastAsia="es-AR"/>
    </w:rPr>
  </w:style>
  <w:style w:type="character" w:customStyle="1" w:styleId="BodyText2SglChar1">
    <w:name w:val="Body Text 2 Sgl Char1"/>
    <w:rsid w:val="002831AB"/>
    <w:rPr>
      <w:sz w:val="24"/>
      <w:lang w:val="en-US" w:eastAsia="en-US"/>
    </w:rPr>
  </w:style>
  <w:style w:type="paragraph" w:customStyle="1" w:styleId="TitleI">
    <w:name w:val="Title I"/>
    <w:basedOn w:val="Normal"/>
    <w:rsid w:val="002831AB"/>
    <w:pPr>
      <w:spacing w:after="240"/>
    </w:pPr>
    <w:rPr>
      <w:rFonts w:ascii="Times New Roman" w:hAnsi="Times New Roman"/>
      <w:i/>
      <w:sz w:val="24"/>
      <w:szCs w:val="24"/>
      <w:lang w:val="en-US" w:eastAsia="es-AR"/>
    </w:rPr>
  </w:style>
  <w:style w:type="paragraph" w:customStyle="1" w:styleId="TitleB2">
    <w:name w:val="Title B2"/>
    <w:basedOn w:val="TitleB"/>
    <w:rsid w:val="002831AB"/>
  </w:style>
  <w:style w:type="paragraph" w:customStyle="1" w:styleId="HangingIndent">
    <w:name w:val="Hanging Indent"/>
    <w:basedOn w:val="Normal"/>
    <w:uiPriority w:val="99"/>
    <w:rsid w:val="002831AB"/>
    <w:pPr>
      <w:spacing w:after="240"/>
      <w:ind w:left="1440" w:hanging="720"/>
    </w:pPr>
    <w:rPr>
      <w:rFonts w:ascii="Times New Roman" w:hAnsi="Times New Roman"/>
      <w:szCs w:val="24"/>
      <w:lang w:val="en-US" w:eastAsia="es-AR"/>
    </w:rPr>
  </w:style>
  <w:style w:type="paragraph" w:customStyle="1" w:styleId="Bullet1">
    <w:name w:val="Bullet1"/>
    <w:basedOn w:val="Normal"/>
    <w:rsid w:val="002831AB"/>
    <w:pPr>
      <w:widowControl w:val="0"/>
      <w:spacing w:after="240"/>
      <w:ind w:left="720" w:hanging="720"/>
      <w:jc w:val="both"/>
    </w:pPr>
    <w:rPr>
      <w:rFonts w:ascii="MS Mincho" w:eastAsia="MS Mincho" w:hAnsi="Times New Roman"/>
      <w:szCs w:val="24"/>
      <w:lang w:val="es-ES" w:eastAsia="es-ES"/>
    </w:rPr>
  </w:style>
  <w:style w:type="paragraph" w:customStyle="1" w:styleId="BulletedList">
    <w:name w:val="Bulleted List"/>
    <w:basedOn w:val="Normal"/>
    <w:rsid w:val="002831AB"/>
    <w:pPr>
      <w:tabs>
        <w:tab w:val="left" w:pos="1440"/>
      </w:tabs>
      <w:spacing w:after="240"/>
      <w:ind w:left="1440" w:hanging="720"/>
      <w:contextualSpacing/>
    </w:pPr>
    <w:rPr>
      <w:rFonts w:ascii="Times New Roman" w:hAnsi="Times New Roman"/>
      <w:szCs w:val="24"/>
      <w:lang w:val="en-US" w:eastAsia="es-AR"/>
    </w:rPr>
  </w:style>
  <w:style w:type="paragraph" w:customStyle="1" w:styleId="BlockText5BoldItal">
    <w:name w:val="Block Text .5 Bold Ital"/>
    <w:basedOn w:val="Normal"/>
    <w:rsid w:val="002831AB"/>
    <w:pPr>
      <w:keepNext/>
      <w:spacing w:after="240"/>
      <w:ind w:left="720"/>
    </w:pPr>
    <w:rPr>
      <w:rFonts w:ascii="Times New Roman" w:hAnsi="Times New Roman"/>
      <w:b/>
      <w:i/>
      <w:szCs w:val="24"/>
      <w:lang w:val="en-US" w:eastAsia="es-AR"/>
    </w:rPr>
  </w:style>
  <w:style w:type="paragraph" w:styleId="Firmadecorreoelectrnico">
    <w:name w:val="E-mail Signature"/>
    <w:basedOn w:val="Normal"/>
    <w:link w:val="FirmadecorreoelectrnicoCar"/>
    <w:uiPriority w:val="99"/>
    <w:rsid w:val="002831AB"/>
    <w:rPr>
      <w:rFonts w:ascii="Times New Roman" w:hAnsi="Times New Roman"/>
      <w:sz w:val="24"/>
      <w:lang w:val="en-US" w:eastAsia="x-none"/>
    </w:rPr>
  </w:style>
  <w:style w:type="character" w:customStyle="1" w:styleId="FirmadecorreoelectrnicoCar">
    <w:name w:val="Firma de correo electrónico Car"/>
    <w:link w:val="Firmadecorreoelectrnico"/>
    <w:uiPriority w:val="99"/>
    <w:locked/>
    <w:rsid w:val="002831AB"/>
    <w:rPr>
      <w:rFonts w:ascii="Times New Roman" w:eastAsia="Times New Roman" w:hAnsi="Times New Roman"/>
      <w:sz w:val="24"/>
      <w:lang w:val="en-US" w:eastAsia="x-none"/>
    </w:rPr>
  </w:style>
  <w:style w:type="character" w:styleId="Nmerodelnea">
    <w:name w:val="line number"/>
    <w:uiPriority w:val="99"/>
    <w:rsid w:val="002831AB"/>
    <w:rPr>
      <w:rFonts w:cs="Times New Roman"/>
    </w:rPr>
  </w:style>
  <w:style w:type="paragraph" w:styleId="Lista2">
    <w:name w:val="List 2"/>
    <w:basedOn w:val="Normal"/>
    <w:uiPriority w:val="99"/>
    <w:rsid w:val="002831AB"/>
    <w:pPr>
      <w:ind w:left="720" w:hanging="360"/>
    </w:pPr>
    <w:rPr>
      <w:rFonts w:ascii="Times New Roman" w:hAnsi="Times New Roman"/>
      <w:sz w:val="24"/>
      <w:szCs w:val="24"/>
      <w:lang w:val="en-US" w:eastAsia="es-AR"/>
    </w:rPr>
  </w:style>
  <w:style w:type="paragraph" w:styleId="Lista3">
    <w:name w:val="List 3"/>
    <w:basedOn w:val="Normal"/>
    <w:uiPriority w:val="99"/>
    <w:rsid w:val="002831AB"/>
    <w:pPr>
      <w:ind w:left="1080" w:hanging="360"/>
    </w:pPr>
    <w:rPr>
      <w:rFonts w:ascii="Times New Roman" w:hAnsi="Times New Roman"/>
      <w:sz w:val="24"/>
      <w:szCs w:val="24"/>
      <w:lang w:val="en-US" w:eastAsia="es-AR"/>
    </w:rPr>
  </w:style>
  <w:style w:type="paragraph" w:styleId="Listaconnmeros3">
    <w:name w:val="List Number 3"/>
    <w:basedOn w:val="Normal"/>
    <w:uiPriority w:val="99"/>
    <w:rsid w:val="002831AB"/>
    <w:pPr>
      <w:numPr>
        <w:numId w:val="15"/>
      </w:numPr>
    </w:pPr>
    <w:rPr>
      <w:rFonts w:ascii="Times New Roman" w:hAnsi="Times New Roman"/>
      <w:sz w:val="24"/>
      <w:szCs w:val="24"/>
      <w:lang w:val="en-US" w:eastAsia="es-AR"/>
    </w:rPr>
  </w:style>
  <w:style w:type="paragraph" w:styleId="Listaconnmeros4">
    <w:name w:val="List Number 4"/>
    <w:basedOn w:val="Normal"/>
    <w:uiPriority w:val="99"/>
    <w:rsid w:val="002831AB"/>
    <w:pPr>
      <w:numPr>
        <w:numId w:val="16"/>
      </w:numPr>
    </w:pPr>
    <w:rPr>
      <w:rFonts w:ascii="Times New Roman" w:hAnsi="Times New Roman"/>
      <w:sz w:val="24"/>
      <w:szCs w:val="24"/>
      <w:lang w:val="en-US" w:eastAsia="es-AR"/>
    </w:rPr>
  </w:style>
  <w:style w:type="paragraph" w:styleId="Listaconnmeros5">
    <w:name w:val="List Number 5"/>
    <w:basedOn w:val="Normal"/>
    <w:uiPriority w:val="99"/>
    <w:rsid w:val="002831AB"/>
    <w:pPr>
      <w:numPr>
        <w:numId w:val="17"/>
      </w:numPr>
    </w:pPr>
    <w:rPr>
      <w:rFonts w:ascii="Times New Roman" w:hAnsi="Times New Roman"/>
      <w:sz w:val="24"/>
      <w:szCs w:val="24"/>
      <w:lang w:val="en-US" w:eastAsia="es-AR"/>
    </w:rPr>
  </w:style>
  <w:style w:type="paragraph" w:styleId="Sangranormal">
    <w:name w:val="Normal Indent"/>
    <w:basedOn w:val="Normal"/>
    <w:uiPriority w:val="99"/>
    <w:rsid w:val="002831AB"/>
    <w:pPr>
      <w:ind w:left="720"/>
    </w:pPr>
    <w:rPr>
      <w:rFonts w:ascii="Times New Roman" w:hAnsi="Times New Roman"/>
      <w:szCs w:val="24"/>
      <w:lang w:val="en-US" w:eastAsia="es-AR"/>
    </w:rPr>
  </w:style>
  <w:style w:type="paragraph" w:styleId="Encabezadodenota">
    <w:name w:val="Note Heading"/>
    <w:basedOn w:val="Normal"/>
    <w:next w:val="Normal"/>
    <w:link w:val="EncabezadodenotaCar"/>
    <w:rsid w:val="002831AB"/>
    <w:rPr>
      <w:rFonts w:ascii="Times New Roman" w:hAnsi="Times New Roman"/>
      <w:sz w:val="24"/>
      <w:lang w:val="en-US" w:eastAsia="x-none"/>
    </w:rPr>
  </w:style>
  <w:style w:type="character" w:customStyle="1" w:styleId="EncabezadodenotaCar">
    <w:name w:val="Encabezado de nota Car"/>
    <w:link w:val="Encabezadodenota"/>
    <w:locked/>
    <w:rsid w:val="002831AB"/>
    <w:rPr>
      <w:rFonts w:ascii="Times New Roman" w:eastAsia="Times New Roman" w:hAnsi="Times New Roman"/>
      <w:sz w:val="24"/>
      <w:lang w:val="en-US" w:eastAsia="x-none"/>
    </w:rPr>
  </w:style>
  <w:style w:type="paragraph" w:styleId="Firma">
    <w:name w:val="Signature"/>
    <w:basedOn w:val="Normal"/>
    <w:link w:val="FirmaCar"/>
    <w:rsid w:val="002831AB"/>
    <w:pPr>
      <w:ind w:left="4320"/>
    </w:pPr>
    <w:rPr>
      <w:rFonts w:ascii="Times New Roman" w:hAnsi="Times New Roman"/>
      <w:sz w:val="24"/>
      <w:lang w:val="en-US" w:eastAsia="x-none"/>
    </w:rPr>
  </w:style>
  <w:style w:type="character" w:customStyle="1" w:styleId="FirmaCar">
    <w:name w:val="Firma Car"/>
    <w:link w:val="Firma"/>
    <w:locked/>
    <w:rsid w:val="002831AB"/>
    <w:rPr>
      <w:rFonts w:ascii="Times New Roman" w:eastAsia="Times New Roman" w:hAnsi="Times New Roman"/>
      <w:sz w:val="24"/>
      <w:lang w:val="en-US" w:eastAsia="x-none"/>
    </w:rPr>
  </w:style>
  <w:style w:type="paragraph" w:styleId="Epgrafe">
    <w:name w:val="caption"/>
    <w:basedOn w:val="Normal"/>
    <w:next w:val="Normal"/>
    <w:uiPriority w:val="35"/>
    <w:qFormat/>
    <w:rsid w:val="002831AB"/>
    <w:pPr>
      <w:autoSpaceDE w:val="0"/>
      <w:autoSpaceDN w:val="0"/>
      <w:adjustRightInd w:val="0"/>
    </w:pPr>
    <w:rPr>
      <w:rFonts w:ascii="Times New Roman" w:hAnsi="Times New Roman"/>
      <w:b/>
      <w:bCs/>
      <w:lang w:val="en-US" w:eastAsia="es-AR"/>
    </w:rPr>
  </w:style>
  <w:style w:type="character" w:styleId="Refdenotaalfinal">
    <w:name w:val="endnote reference"/>
    <w:uiPriority w:val="99"/>
    <w:rsid w:val="00B86C83"/>
    <w:rPr>
      <w:vertAlign w:val="superscript"/>
    </w:rPr>
  </w:style>
  <w:style w:type="paragraph" w:styleId="Textomacro">
    <w:name w:val="macro"/>
    <w:link w:val="TextomacroCar"/>
    <w:semiHidden/>
    <w:rsid w:val="002831AB"/>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val="en-US" w:eastAsia="es-AR"/>
    </w:rPr>
  </w:style>
  <w:style w:type="character" w:customStyle="1" w:styleId="TextomacroCar">
    <w:name w:val="Texto macro Car"/>
    <w:link w:val="Textomacro"/>
    <w:semiHidden/>
    <w:locked/>
    <w:rsid w:val="002831AB"/>
    <w:rPr>
      <w:rFonts w:ascii="Courier New" w:hAnsi="Courier New"/>
      <w:lang w:val="en-US" w:eastAsia="es-AR" w:bidi="ar-SA"/>
    </w:rPr>
  </w:style>
  <w:style w:type="paragraph" w:customStyle="1" w:styleId="CarCarCarCarCarCar1Car1">
    <w:name w:val="Car Car Car Car Car Car1 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Tablenotes6pt">
    <w:name w:val="Table notes 6pt"/>
    <w:basedOn w:val="Normal"/>
    <w:rsid w:val="002831AB"/>
    <w:pPr>
      <w:ind w:left="319" w:hanging="319"/>
    </w:pPr>
    <w:rPr>
      <w:rFonts w:ascii="Times New Roman" w:hAnsi="Times New Roman"/>
      <w:i/>
      <w:iCs/>
      <w:sz w:val="12"/>
      <w:szCs w:val="24"/>
      <w:lang w:val="en-US" w:eastAsia="es-AR"/>
    </w:rPr>
  </w:style>
  <w:style w:type="paragraph" w:customStyle="1" w:styleId="Tablenotes8pt">
    <w:name w:val="Table notes 8pt"/>
    <w:basedOn w:val="Normal"/>
    <w:rsid w:val="002831AB"/>
    <w:pPr>
      <w:ind w:left="360" w:hanging="360"/>
    </w:pPr>
    <w:rPr>
      <w:rFonts w:ascii="Times New Roman" w:hAnsi="Times New Roman"/>
      <w:i/>
      <w:iCs/>
      <w:sz w:val="16"/>
      <w:szCs w:val="24"/>
      <w:lang w:val="en-US" w:eastAsia="es-AR"/>
    </w:rPr>
  </w:style>
  <w:style w:type="character" w:customStyle="1" w:styleId="BodyTextFirstIndentChar">
    <w:name w:val="Body Text First Indent Char"/>
    <w:rsid w:val="002831AB"/>
    <w:rPr>
      <w:spacing w:val="0"/>
      <w:sz w:val="24"/>
      <w:lang w:val="en-US" w:eastAsia="x-none"/>
    </w:rPr>
  </w:style>
  <w:style w:type="character" w:customStyle="1" w:styleId="bCar1">
    <w:name w:val="b Car1"/>
    <w:aliases w:val="body text Car1,ts Car1,Body Text cont Car1,Ctrl+1 Car1,Body Text Proposal2 Car1,a Car1,Body Text CIM Car1,bt wide Car1,BT Car1,5 Car1,.BT Car1,bd Car Car1,Texto independiente Car1,bt Car1,Borrador Car1,Body Text1 Car1,Bodytext Car1,bt Car"/>
    <w:rsid w:val="002831AB"/>
    <w:rPr>
      <w:sz w:val="18"/>
      <w:lang w:val="en-US" w:eastAsia="en-US"/>
    </w:rPr>
  </w:style>
  <w:style w:type="paragraph" w:customStyle="1" w:styleId="Car2">
    <w:name w:val="Car2"/>
    <w:basedOn w:val="Normal"/>
    <w:rsid w:val="002831AB"/>
    <w:pPr>
      <w:spacing w:after="160" w:line="240" w:lineRule="exact"/>
    </w:pPr>
    <w:rPr>
      <w:rFonts w:ascii="Verdana" w:eastAsia="PMingLiU" w:hAnsi="Verdana"/>
      <w:lang w:val="en-US" w:eastAsia="es-AR"/>
    </w:rPr>
  </w:style>
  <w:style w:type="character" w:styleId="Hipervnculovisitado">
    <w:name w:val="FollowedHyperlink"/>
    <w:uiPriority w:val="99"/>
    <w:rsid w:val="002831AB"/>
    <w:rPr>
      <w:color w:val="800080"/>
      <w:u w:val="single"/>
    </w:rPr>
  </w:style>
  <w:style w:type="paragraph" w:customStyle="1" w:styleId="Tax">
    <w:name w:val="Tax"/>
    <w:basedOn w:val="Normal"/>
    <w:uiPriority w:val="99"/>
    <w:rsid w:val="002831AB"/>
    <w:pPr>
      <w:autoSpaceDE w:val="0"/>
      <w:autoSpaceDN w:val="0"/>
      <w:adjustRightInd w:val="0"/>
    </w:pPr>
    <w:rPr>
      <w:rFonts w:ascii="Times New Roman" w:hAnsi="Times New Roman"/>
      <w:sz w:val="24"/>
      <w:szCs w:val="24"/>
      <w:lang w:val="en-US" w:eastAsia="es-AR"/>
    </w:rPr>
  </w:style>
  <w:style w:type="paragraph" w:customStyle="1" w:styleId="Asuntodelcomentario2">
    <w:name w:val="Asunto del comentario2"/>
    <w:basedOn w:val="Textocomentario"/>
    <w:next w:val="Textocomentario"/>
    <w:semiHidden/>
    <w:rsid w:val="002831AB"/>
    <w:rPr>
      <w:b/>
      <w:bCs/>
    </w:rPr>
  </w:style>
  <w:style w:type="paragraph" w:customStyle="1" w:styleId="Textodeglobo2">
    <w:name w:val="Texto de globo2"/>
    <w:basedOn w:val="Normal"/>
    <w:rsid w:val="002831AB"/>
    <w:pPr>
      <w:autoSpaceDE w:val="0"/>
      <w:autoSpaceDN w:val="0"/>
      <w:adjustRightInd w:val="0"/>
    </w:pPr>
    <w:rPr>
      <w:rFonts w:ascii="Tahoma" w:hAnsi="Tahoma" w:cs="Tahoma"/>
      <w:sz w:val="16"/>
      <w:szCs w:val="16"/>
      <w:lang w:val="en-US" w:eastAsia="es-AR"/>
    </w:rPr>
  </w:style>
  <w:style w:type="paragraph" w:customStyle="1" w:styleId="CarCarCar1">
    <w:name w:val="Car Car Car1"/>
    <w:basedOn w:val="Normal"/>
    <w:rsid w:val="002831AB"/>
    <w:pPr>
      <w:spacing w:after="160" w:line="240" w:lineRule="exact"/>
    </w:pPr>
    <w:rPr>
      <w:rFonts w:ascii="Verdana" w:eastAsia="PMingLiU" w:hAnsi="Verdana"/>
      <w:lang w:val="en-US" w:eastAsia="es-AR"/>
    </w:rPr>
  </w:style>
  <w:style w:type="paragraph" w:customStyle="1" w:styleId="CarCarCar1CarCarCarCarCarCarCarCarCar">
    <w:name w:val="Car Car Car1 Car Car Car Car Car Car Car Car Car"/>
    <w:basedOn w:val="Normal"/>
    <w:rsid w:val="002831AB"/>
    <w:pPr>
      <w:spacing w:after="160" w:line="240" w:lineRule="exact"/>
    </w:pPr>
    <w:rPr>
      <w:rFonts w:ascii="Verdana" w:eastAsia="PMingLiU" w:hAnsi="Verdana"/>
      <w:lang w:val="en-US" w:eastAsia="es-AR"/>
    </w:rPr>
  </w:style>
  <w:style w:type="paragraph" w:customStyle="1" w:styleId="CarCarCar1Car">
    <w:name w:val="Car Car Car1 Car"/>
    <w:basedOn w:val="Normal"/>
    <w:rsid w:val="002831AB"/>
    <w:pPr>
      <w:spacing w:after="160" w:line="240" w:lineRule="exact"/>
    </w:pPr>
    <w:rPr>
      <w:rFonts w:ascii="Verdana" w:eastAsia="PMingLiU" w:hAnsi="Verdana"/>
      <w:lang w:val="en-US" w:eastAsia="es-AR"/>
    </w:rPr>
  </w:style>
  <w:style w:type="paragraph" w:customStyle="1" w:styleId="CarCarCar">
    <w:name w:val="Car Car Car"/>
    <w:basedOn w:val="Normal"/>
    <w:rsid w:val="002831AB"/>
    <w:pPr>
      <w:spacing w:after="160" w:line="240" w:lineRule="exact"/>
    </w:pPr>
    <w:rPr>
      <w:rFonts w:ascii="Verdana" w:eastAsia="PMingLiU" w:hAnsi="Verdana"/>
      <w:lang w:val="en-US" w:eastAsia="es-AR"/>
    </w:rPr>
  </w:style>
  <w:style w:type="paragraph" w:customStyle="1" w:styleId="CarCarCarCarCarCar">
    <w:name w:val="Car Car Car Car Car Car"/>
    <w:basedOn w:val="Normal"/>
    <w:rsid w:val="002831AB"/>
    <w:pPr>
      <w:spacing w:after="160" w:line="240" w:lineRule="exact"/>
    </w:pPr>
    <w:rPr>
      <w:rFonts w:ascii="Verdana" w:eastAsia="PMingLiU" w:hAnsi="Verdana"/>
      <w:lang w:val="en-US" w:eastAsia="es-AR"/>
    </w:rPr>
  </w:style>
  <w:style w:type="paragraph" w:customStyle="1" w:styleId="table0">
    <w:name w:val="table"/>
    <w:basedOn w:val="Normal"/>
    <w:rsid w:val="002831AB"/>
    <w:pPr>
      <w:autoSpaceDE w:val="0"/>
      <w:autoSpaceDN w:val="0"/>
    </w:pPr>
    <w:rPr>
      <w:rFonts w:ascii="Times New Roman" w:hAnsi="Times New Roman"/>
      <w:lang w:val="es-ES" w:eastAsia="es-ES"/>
    </w:rPr>
  </w:style>
  <w:style w:type="paragraph" w:customStyle="1" w:styleId="CarCarCarCarCarCarCarCarCar">
    <w:name w:val="Car Car Car Car Car Car Car Car Car"/>
    <w:basedOn w:val="Normal"/>
    <w:rsid w:val="002831AB"/>
    <w:pPr>
      <w:spacing w:after="160" w:line="240" w:lineRule="exact"/>
    </w:pPr>
    <w:rPr>
      <w:rFonts w:ascii="Verdana" w:eastAsia="PMingLiU" w:hAnsi="Verdana"/>
      <w:lang w:val="en-US" w:eastAsia="es-AR"/>
    </w:rPr>
  </w:style>
  <w:style w:type="paragraph" w:customStyle="1" w:styleId="CarCarCar1CarCarCarCarCarCarCarCarCarCarCarCarCarCarCarCarCarCarCar">
    <w:name w:val="Car Car Car1 Car Car Car Car Car Car Car Car Car Car Car Car Car Car Car Car Car Car Car"/>
    <w:basedOn w:val="Normal"/>
    <w:rsid w:val="002831AB"/>
    <w:pPr>
      <w:spacing w:after="160" w:line="240" w:lineRule="exact"/>
    </w:pPr>
    <w:rPr>
      <w:rFonts w:ascii="Verdana" w:eastAsia="PMingLiU" w:hAnsi="Verdana"/>
      <w:lang w:val="en-US" w:eastAsia="es-AR"/>
    </w:rPr>
  </w:style>
  <w:style w:type="paragraph" w:customStyle="1" w:styleId="Normal1">
    <w:name w:val="Normal1"/>
    <w:basedOn w:val="Normal"/>
    <w:rsid w:val="002831AB"/>
    <w:pPr>
      <w:autoSpaceDE w:val="0"/>
      <w:autoSpaceDN w:val="0"/>
      <w:adjustRightInd w:val="0"/>
    </w:pPr>
    <w:rPr>
      <w:rFonts w:ascii="Garamond" w:eastAsia="SimSun" w:hAnsi="Garamond"/>
      <w:sz w:val="24"/>
      <w:szCs w:val="24"/>
      <w:lang w:eastAsia="es-AR"/>
    </w:rPr>
  </w:style>
  <w:style w:type="paragraph" w:customStyle="1" w:styleId="s2-90369">
    <w:name w:val="s2-90369"/>
    <w:basedOn w:val="Normal"/>
    <w:rsid w:val="002831AB"/>
    <w:pPr>
      <w:autoSpaceDE w:val="0"/>
      <w:autoSpaceDN w:val="0"/>
      <w:adjustRightInd w:val="0"/>
      <w:ind w:firstLine="737"/>
      <w:jc w:val="both"/>
    </w:pPr>
    <w:rPr>
      <w:rFonts w:ascii="Arial" w:hAnsi="Arial" w:cs="Arial"/>
      <w:lang w:val="es-ES" w:eastAsia="es-ES"/>
    </w:rPr>
  </w:style>
  <w:style w:type="character" w:customStyle="1" w:styleId="CharChar3">
    <w:name w:val="Char Char3"/>
    <w:rsid w:val="002831AB"/>
    <w:rPr>
      <w:sz w:val="24"/>
      <w:lang w:val="en-US" w:eastAsia="en-US"/>
    </w:rPr>
  </w:style>
  <w:style w:type="paragraph" w:customStyle="1" w:styleId="FooterLandscape">
    <w:name w:val="Footer Landscape"/>
    <w:basedOn w:val="Normal"/>
    <w:rsid w:val="002831AB"/>
    <w:pPr>
      <w:tabs>
        <w:tab w:val="center" w:pos="7200"/>
        <w:tab w:val="right" w:pos="14400"/>
      </w:tabs>
    </w:pPr>
    <w:rPr>
      <w:rFonts w:ascii="Arial" w:hAnsi="Arial"/>
      <w:szCs w:val="24"/>
      <w:lang w:val="en-US" w:eastAsia="es-AR"/>
    </w:rPr>
  </w:style>
  <w:style w:type="paragraph" w:customStyle="1" w:styleId="BlockText5SglJ">
    <w:name w:val="Block Text .5 Sgl J"/>
    <w:basedOn w:val="Normal"/>
    <w:rsid w:val="002831AB"/>
    <w:pPr>
      <w:spacing w:after="240"/>
      <w:ind w:left="720" w:right="720"/>
      <w:jc w:val="both"/>
    </w:pPr>
    <w:rPr>
      <w:rFonts w:ascii="Times New Roman" w:hAnsi="Times New Roman"/>
      <w:szCs w:val="24"/>
      <w:lang w:val="en-US" w:eastAsia="es-AR"/>
    </w:rPr>
  </w:style>
  <w:style w:type="character" w:customStyle="1" w:styleId="CharChar1">
    <w:name w:val="Char Char1"/>
    <w:rsid w:val="002831AB"/>
    <w:rPr>
      <w:sz w:val="24"/>
      <w:lang w:val="en-US" w:eastAsia="en-US"/>
    </w:rPr>
  </w:style>
  <w:style w:type="paragraph" w:customStyle="1" w:styleId="C10">
    <w:name w:val="C10"/>
    <w:rsid w:val="002831AB"/>
    <w:pPr>
      <w:spacing w:line="240" w:lineRule="exact"/>
      <w:jc w:val="right"/>
    </w:pPr>
    <w:rPr>
      <w:rFonts w:ascii="Times New Roman" w:hAnsi="Times New Roman"/>
      <w:noProof/>
      <w:lang w:val="en-US" w:eastAsia="en-US"/>
    </w:rPr>
  </w:style>
  <w:style w:type="paragraph" w:customStyle="1" w:styleId="CPNNormal">
    <w:name w:val="CPNNormal"/>
    <w:uiPriority w:val="99"/>
    <w:rsid w:val="002831AB"/>
    <w:pPr>
      <w:tabs>
        <w:tab w:val="left" w:pos="-720"/>
        <w:tab w:val="left" w:pos="990"/>
      </w:tabs>
      <w:spacing w:after="240"/>
      <w:ind w:firstLine="544"/>
      <w:jc w:val="both"/>
    </w:pPr>
    <w:rPr>
      <w:rFonts w:ascii="Times New Roman" w:hAnsi="Times New Roman"/>
      <w:lang w:val="en-US"/>
    </w:rPr>
  </w:style>
  <w:style w:type="paragraph" w:customStyle="1" w:styleId="DeltaViewTableBody">
    <w:name w:val="DeltaView Table Body"/>
    <w:basedOn w:val="Normal"/>
    <w:rsid w:val="002831AB"/>
    <w:pPr>
      <w:autoSpaceDE w:val="0"/>
      <w:autoSpaceDN w:val="0"/>
      <w:adjustRightInd w:val="0"/>
    </w:pPr>
    <w:rPr>
      <w:rFonts w:ascii="Arial" w:hAnsi="Arial" w:cs="Arial"/>
      <w:sz w:val="24"/>
      <w:szCs w:val="24"/>
      <w:lang w:val="en-US" w:eastAsia="es-AR"/>
    </w:rPr>
  </w:style>
  <w:style w:type="character" w:customStyle="1" w:styleId="DeltaViewMoveDestination">
    <w:name w:val="DeltaView Move Destination"/>
    <w:rsid w:val="002831AB"/>
    <w:rPr>
      <w:color w:val="00C000"/>
      <w:spacing w:val="0"/>
      <w:u w:val="double"/>
    </w:rPr>
  </w:style>
  <w:style w:type="character" w:customStyle="1" w:styleId="TextodegloboCar1">
    <w:name w:val="Texto de globo Car1"/>
    <w:uiPriority w:val="99"/>
    <w:semiHidden/>
    <w:rsid w:val="002831AB"/>
    <w:rPr>
      <w:rFonts w:ascii="Tahoma" w:hAnsi="Tahoma"/>
      <w:sz w:val="16"/>
      <w:lang w:val="en-US" w:eastAsia="x-none"/>
    </w:rPr>
  </w:style>
  <w:style w:type="paragraph" w:customStyle="1" w:styleId="taba9">
    <w:name w:val="taba9"/>
    <w:basedOn w:val="Normal"/>
    <w:rsid w:val="002831AB"/>
    <w:pPr>
      <w:tabs>
        <w:tab w:val="right" w:leader="dot" w:pos="5310"/>
      </w:tabs>
    </w:pPr>
    <w:rPr>
      <w:rFonts w:ascii="Arial" w:hAnsi="Arial" w:cs="Arial"/>
      <w:sz w:val="18"/>
      <w:szCs w:val="18"/>
      <w:lang w:val="en-US" w:eastAsia="es-ES"/>
    </w:rPr>
  </w:style>
  <w:style w:type="paragraph" w:customStyle="1" w:styleId="p2">
    <w:name w:val="p2"/>
    <w:basedOn w:val="Normal"/>
    <w:uiPriority w:val="99"/>
    <w:rsid w:val="002831AB"/>
    <w:pPr>
      <w:widowControl w:val="0"/>
      <w:tabs>
        <w:tab w:val="left" w:pos="374"/>
      </w:tabs>
      <w:autoSpaceDE w:val="0"/>
      <w:autoSpaceDN w:val="0"/>
      <w:adjustRightInd w:val="0"/>
      <w:spacing w:line="226" w:lineRule="atLeast"/>
      <w:ind w:left="1066" w:hanging="374"/>
    </w:pPr>
    <w:rPr>
      <w:rFonts w:ascii="Times New Roman" w:hAnsi="Times New Roman"/>
      <w:sz w:val="24"/>
      <w:szCs w:val="24"/>
      <w:lang w:val="en-US" w:eastAsia="es-ES"/>
    </w:rPr>
  </w:style>
  <w:style w:type="paragraph" w:customStyle="1" w:styleId="OmniPage1">
    <w:name w:val="OmniPage #1"/>
    <w:basedOn w:val="Normal"/>
    <w:rsid w:val="002831AB"/>
    <w:pPr>
      <w:spacing w:line="220" w:lineRule="exact"/>
    </w:pPr>
    <w:rPr>
      <w:rFonts w:ascii="Times New Roman" w:hAnsi="Times New Roman"/>
      <w:lang w:val="en-US" w:eastAsia="es-ES"/>
    </w:rPr>
  </w:style>
  <w:style w:type="character" w:customStyle="1" w:styleId="pp-place-title">
    <w:name w:val="pp-place-title"/>
    <w:rsid w:val="002831AB"/>
    <w:rPr>
      <w:rFonts w:cs="Times New Roman"/>
    </w:rPr>
  </w:style>
  <w:style w:type="character" w:customStyle="1" w:styleId="pp-headline-itempp-headline-address">
    <w:name w:val="pp-headline-item pp-headline-address"/>
    <w:rsid w:val="002831AB"/>
    <w:rPr>
      <w:rFonts w:cs="Times New Roman"/>
    </w:rPr>
  </w:style>
  <w:style w:type="paragraph" w:customStyle="1" w:styleId="CenteredB16pt">
    <w:name w:val="Centered B 16 pt"/>
    <w:basedOn w:val="Normal"/>
    <w:rsid w:val="002831AB"/>
    <w:pPr>
      <w:widowControl w:val="0"/>
      <w:tabs>
        <w:tab w:val="left" w:pos="0"/>
        <w:tab w:val="left" w:pos="720"/>
      </w:tabs>
      <w:suppressAutoHyphens/>
      <w:autoSpaceDE w:val="0"/>
      <w:autoSpaceDN w:val="0"/>
      <w:adjustRightInd w:val="0"/>
      <w:jc w:val="center"/>
    </w:pPr>
    <w:rPr>
      <w:rFonts w:ascii="Times New Roman Bold" w:hAnsi="Times New Roman Bold"/>
      <w:smallCaps/>
      <w:sz w:val="32"/>
      <w:szCs w:val="32"/>
      <w:lang w:val="en-US" w:eastAsia="es-AR"/>
    </w:rPr>
  </w:style>
  <w:style w:type="table" w:styleId="Tablaconcuadrcula">
    <w:name w:val="Table Grid"/>
    <w:basedOn w:val="Tablanormal"/>
    <w:rsid w:val="002831AB"/>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arCarCarCharChar">
    <w:name w:val="Car Car Car Char Char"/>
    <w:basedOn w:val="Normal"/>
    <w:rsid w:val="002831AB"/>
    <w:pPr>
      <w:spacing w:after="160" w:line="240" w:lineRule="exact"/>
    </w:pPr>
    <w:rPr>
      <w:rFonts w:ascii="Verdana" w:eastAsia="PMingLiU" w:hAnsi="Verdana"/>
      <w:lang w:val="en-US" w:eastAsia="es-AR"/>
    </w:rPr>
  </w:style>
  <w:style w:type="paragraph" w:customStyle="1" w:styleId="Prrafodelista1">
    <w:name w:val="Párrafo de lista1"/>
    <w:basedOn w:val="Normal"/>
    <w:rsid w:val="002831AB"/>
    <w:pPr>
      <w:autoSpaceDE w:val="0"/>
      <w:autoSpaceDN w:val="0"/>
      <w:adjustRightInd w:val="0"/>
      <w:ind w:left="708"/>
    </w:pPr>
    <w:rPr>
      <w:rFonts w:ascii="Times New Roman" w:hAnsi="Times New Roman"/>
      <w:lang w:val="en-US" w:eastAsia="es-AR"/>
    </w:rPr>
  </w:style>
  <w:style w:type="paragraph" w:customStyle="1" w:styleId="CM56">
    <w:name w:val="CM56"/>
    <w:basedOn w:val="Normal"/>
    <w:next w:val="Normal"/>
    <w:uiPriority w:val="99"/>
    <w:rsid w:val="002831AB"/>
    <w:pPr>
      <w:widowControl w:val="0"/>
      <w:autoSpaceDE w:val="0"/>
      <w:autoSpaceDN w:val="0"/>
      <w:adjustRightInd w:val="0"/>
      <w:spacing w:after="255"/>
    </w:pPr>
    <w:rPr>
      <w:rFonts w:ascii="Times New Roman" w:eastAsia="MS Mincho" w:hAnsi="Times New Roman"/>
      <w:sz w:val="24"/>
      <w:szCs w:val="24"/>
      <w:lang w:val="es-ES" w:eastAsia="es-ES"/>
    </w:rPr>
  </w:style>
  <w:style w:type="paragraph" w:customStyle="1" w:styleId="DPWfdtblbody9">
    <w:name w:val="DPWfd tbl body9"/>
    <w:aliases w:val="y9"/>
    <w:basedOn w:val="Normal"/>
    <w:rsid w:val="002831AB"/>
    <w:pPr>
      <w:spacing w:line="180" w:lineRule="exact"/>
      <w:jc w:val="both"/>
    </w:pPr>
    <w:rPr>
      <w:rFonts w:ascii="Times New Roman" w:hAnsi="Times New Roman"/>
      <w:sz w:val="18"/>
      <w:szCs w:val="18"/>
      <w:lang w:val="en-US" w:eastAsia="es-ES"/>
    </w:rPr>
  </w:style>
  <w:style w:type="paragraph" w:customStyle="1" w:styleId="BodyText2SglCarCarCarCarCar">
    <w:name w:val="Body Text 2 Sgl Car Car Car Car Car"/>
    <w:basedOn w:val="Normal"/>
    <w:rsid w:val="002831AB"/>
    <w:pPr>
      <w:widowControl w:val="0"/>
      <w:autoSpaceDE w:val="0"/>
      <w:autoSpaceDN w:val="0"/>
      <w:adjustRightInd w:val="0"/>
      <w:spacing w:after="240"/>
      <w:ind w:firstLine="720"/>
    </w:pPr>
    <w:rPr>
      <w:rFonts w:ascii="Times New Roman" w:hAnsi="Times New Roman"/>
      <w:sz w:val="24"/>
      <w:szCs w:val="24"/>
      <w:lang w:val="es-ES" w:eastAsia="es-ES"/>
    </w:rPr>
  </w:style>
  <w:style w:type="character" w:customStyle="1" w:styleId="apple-style-span">
    <w:name w:val="apple-style-span"/>
    <w:rsid w:val="002831AB"/>
    <w:rPr>
      <w:rFonts w:cs="Times New Roman"/>
    </w:rPr>
  </w:style>
  <w:style w:type="character" w:customStyle="1" w:styleId="apple-converted-space">
    <w:name w:val="apple-converted-space"/>
    <w:rsid w:val="002831AB"/>
    <w:rPr>
      <w:rFonts w:cs="Times New Roman"/>
    </w:rPr>
  </w:style>
  <w:style w:type="paragraph" w:customStyle="1" w:styleId="bodytext2">
    <w:name w:val="bodytext2"/>
    <w:basedOn w:val="Normal"/>
    <w:uiPriority w:val="99"/>
    <w:rsid w:val="002831AB"/>
    <w:pPr>
      <w:ind w:left="284" w:firstLine="709"/>
      <w:jc w:val="both"/>
    </w:pPr>
    <w:rPr>
      <w:rFonts w:ascii="Book Antiqua" w:hAnsi="Book Antiqua"/>
      <w:lang w:val="es-ES" w:eastAsia="es-ES"/>
    </w:rPr>
  </w:style>
  <w:style w:type="character" w:customStyle="1" w:styleId="deltaviewinsertion0">
    <w:name w:val="deltaviewinsertion"/>
    <w:uiPriority w:val="99"/>
    <w:rsid w:val="002831AB"/>
    <w:rPr>
      <w:color w:val="0000FF"/>
      <w:spacing w:val="0"/>
      <w:u w:val="single"/>
    </w:rPr>
  </w:style>
  <w:style w:type="paragraph" w:customStyle="1" w:styleId="NormaProspecto">
    <w:name w:val="Norma Prospecto"/>
    <w:basedOn w:val="Normal"/>
    <w:uiPriority w:val="99"/>
    <w:rsid w:val="002831AB"/>
    <w:pPr>
      <w:widowControl w:val="0"/>
      <w:autoSpaceDE w:val="0"/>
      <w:autoSpaceDN w:val="0"/>
      <w:adjustRightInd w:val="0"/>
      <w:spacing w:after="120"/>
      <w:jc w:val="both"/>
    </w:pPr>
    <w:rPr>
      <w:rFonts w:ascii="Times New Roman" w:hAnsi="Times New Roman"/>
      <w:lang w:eastAsia="es-ES"/>
    </w:rPr>
  </w:style>
  <w:style w:type="paragraph" w:customStyle="1" w:styleId="Default">
    <w:name w:val="Default"/>
    <w:rsid w:val="002831AB"/>
    <w:pPr>
      <w:autoSpaceDE w:val="0"/>
      <w:autoSpaceDN w:val="0"/>
      <w:adjustRightInd w:val="0"/>
    </w:pPr>
    <w:rPr>
      <w:rFonts w:ascii="Times New Roman" w:hAnsi="Times New Roman"/>
      <w:color w:val="000000"/>
      <w:sz w:val="24"/>
      <w:szCs w:val="24"/>
    </w:rPr>
  </w:style>
  <w:style w:type="paragraph" w:customStyle="1" w:styleId="s4">
    <w:name w:val="s4"/>
    <w:basedOn w:val="Normal"/>
    <w:uiPriority w:val="99"/>
    <w:rsid w:val="002831AB"/>
    <w:pPr>
      <w:spacing w:before="100" w:beforeAutospacing="1" w:after="100" w:afterAutospacing="1"/>
    </w:pPr>
    <w:rPr>
      <w:rFonts w:ascii="Times New Roman" w:hAnsi="Times New Roman"/>
      <w:sz w:val="24"/>
      <w:szCs w:val="24"/>
      <w:lang w:val="es-ES" w:eastAsia="es-ES"/>
    </w:rPr>
  </w:style>
  <w:style w:type="paragraph" w:customStyle="1" w:styleId="Revisin1">
    <w:name w:val="Revisión1"/>
    <w:hidden/>
    <w:semiHidden/>
    <w:rsid w:val="002831AB"/>
    <w:rPr>
      <w:rFonts w:ascii="Times New Roman" w:hAnsi="Times New Roman"/>
      <w:lang w:val="en-US" w:eastAsia="en-US"/>
    </w:rPr>
  </w:style>
  <w:style w:type="character" w:customStyle="1" w:styleId="TABLES9PT">
    <w:name w:val="TABLES 9PT"/>
    <w:rsid w:val="002831AB"/>
    <w:rPr>
      <w:spacing w:val="0"/>
      <w:sz w:val="18"/>
    </w:rPr>
  </w:style>
  <w:style w:type="paragraph" w:customStyle="1" w:styleId="Col1">
    <w:name w:val="Col1"/>
    <w:basedOn w:val="Normal"/>
    <w:rsid w:val="002831AB"/>
    <w:pPr>
      <w:tabs>
        <w:tab w:val="decimal" w:pos="101"/>
        <w:tab w:val="decimal" w:pos="1008"/>
      </w:tabs>
    </w:pPr>
    <w:rPr>
      <w:rFonts w:ascii="Times New Roman" w:hAnsi="Times New Roman"/>
      <w:sz w:val="18"/>
      <w:szCs w:val="24"/>
      <w:lang w:val="en-US" w:eastAsia="es-AR"/>
    </w:rPr>
  </w:style>
  <w:style w:type="paragraph" w:customStyle="1" w:styleId="BodyTextIndent22">
    <w:name w:val="Body Text Indent 22"/>
    <w:basedOn w:val="Normal"/>
    <w:rsid w:val="002831AB"/>
    <w:pPr>
      <w:ind w:left="284" w:firstLine="709"/>
      <w:jc w:val="both"/>
    </w:pPr>
    <w:rPr>
      <w:rFonts w:ascii="Book Antiqua" w:hAnsi="Book Antiqua"/>
      <w:kern w:val="18"/>
      <w:lang w:val="es-ES" w:eastAsia="es-ES"/>
    </w:rPr>
  </w:style>
  <w:style w:type="paragraph" w:customStyle="1" w:styleId="BodyTextIndent21">
    <w:name w:val="Body Text Indent 21"/>
    <w:basedOn w:val="Normal"/>
    <w:rsid w:val="002831AB"/>
    <w:pPr>
      <w:ind w:left="284" w:firstLine="709"/>
      <w:jc w:val="both"/>
    </w:pPr>
    <w:rPr>
      <w:rFonts w:ascii="Book Antiqua" w:hAnsi="Book Antiqua"/>
      <w:kern w:val="18"/>
      <w:lang w:val="es-ES" w:eastAsia="es-ES"/>
    </w:rPr>
  </w:style>
  <w:style w:type="paragraph" w:styleId="Asuntodelcomentario">
    <w:name w:val="annotation subject"/>
    <w:basedOn w:val="Textocomentario"/>
    <w:next w:val="Textocomentario"/>
    <w:link w:val="AsuntodelcomentarioCar"/>
    <w:rsid w:val="002831AB"/>
    <w:rPr>
      <w:b/>
    </w:rPr>
  </w:style>
  <w:style w:type="character" w:customStyle="1" w:styleId="AsuntodelcomentarioCar">
    <w:name w:val="Asunto del comentario Car"/>
    <w:link w:val="Asuntodelcomentario"/>
    <w:locked/>
    <w:rsid w:val="002831AB"/>
    <w:rPr>
      <w:rFonts w:ascii="Times New Roman" w:eastAsia="Times New Roman" w:hAnsi="Times New Roman"/>
      <w:b/>
      <w:lang w:val="en-US" w:eastAsia="x-none"/>
    </w:rPr>
  </w:style>
  <w:style w:type="paragraph" w:customStyle="1" w:styleId="Sangr3detindependiente">
    <w:name w:val="Sangr僘 3 de t. independiente"/>
    <w:basedOn w:val="Normal"/>
    <w:next w:val="BodyText2Sgl"/>
    <w:rsid w:val="002831AB"/>
    <w:pPr>
      <w:widowControl w:val="0"/>
      <w:autoSpaceDE w:val="0"/>
      <w:autoSpaceDN w:val="0"/>
      <w:adjustRightInd w:val="0"/>
      <w:spacing w:after="240"/>
      <w:ind w:left="720"/>
    </w:pPr>
    <w:rPr>
      <w:rFonts w:ascii="Times New Roman" w:hAnsi="Times New Roman"/>
      <w:lang w:val="en-US" w:eastAsia="es-ES"/>
    </w:rPr>
  </w:style>
  <w:style w:type="paragraph" w:customStyle="1" w:styleId="DeltaViewTableHeading">
    <w:name w:val="DeltaView Table Heading"/>
    <w:basedOn w:val="Normal"/>
    <w:rsid w:val="002831AB"/>
    <w:pPr>
      <w:autoSpaceDE w:val="0"/>
      <w:autoSpaceDN w:val="0"/>
      <w:adjustRightInd w:val="0"/>
      <w:spacing w:after="120"/>
    </w:pPr>
    <w:rPr>
      <w:rFonts w:ascii="Arial" w:hAnsi="Arial" w:cs="Arial"/>
      <w:b/>
      <w:bCs/>
      <w:sz w:val="24"/>
      <w:szCs w:val="24"/>
      <w:lang w:val="en-US" w:eastAsia="es-ES"/>
    </w:rPr>
  </w:style>
  <w:style w:type="paragraph" w:customStyle="1" w:styleId="s7-94468">
    <w:name w:val="s7-94468"/>
    <w:basedOn w:val="Normal"/>
    <w:next w:val="Normal"/>
    <w:uiPriority w:val="99"/>
    <w:rsid w:val="002831AB"/>
    <w:pPr>
      <w:widowControl w:val="0"/>
      <w:autoSpaceDE w:val="0"/>
      <w:autoSpaceDN w:val="0"/>
      <w:adjustRightInd w:val="0"/>
      <w:spacing w:before="100" w:beforeAutospacing="1" w:after="100" w:afterAutospacing="1"/>
    </w:pPr>
    <w:rPr>
      <w:rFonts w:ascii="Times New Roman" w:hAnsi="Times New Roman"/>
      <w:sz w:val="24"/>
      <w:szCs w:val="24"/>
      <w:lang w:val="es-ES" w:eastAsia="es-ES"/>
    </w:rPr>
  </w:style>
  <w:style w:type="paragraph" w:customStyle="1" w:styleId="RiskFactor">
    <w:name w:val="Risk Factor"/>
    <w:basedOn w:val="Normal"/>
    <w:rsid w:val="002831AB"/>
    <w:pPr>
      <w:keepNext/>
      <w:spacing w:after="240"/>
      <w:ind w:firstLine="720"/>
      <w:jc w:val="both"/>
    </w:pPr>
    <w:rPr>
      <w:rFonts w:ascii="Times New Roman" w:hAnsi="Times New Roman"/>
      <w:b/>
      <w:bCs/>
      <w:i/>
      <w:iCs/>
      <w:w w:val="0"/>
      <w:lang w:val="en-US" w:eastAsia="es-AR"/>
    </w:rPr>
  </w:style>
  <w:style w:type="paragraph" w:customStyle="1" w:styleId="BodyText2Sgl11pt">
    <w:name w:val="Body Text 2 Sgl 11pt"/>
    <w:basedOn w:val="Normal"/>
    <w:rsid w:val="002831AB"/>
    <w:pPr>
      <w:tabs>
        <w:tab w:val="left" w:pos="567"/>
      </w:tabs>
      <w:spacing w:after="240" w:line="240" w:lineRule="exact"/>
      <w:ind w:firstLine="720"/>
    </w:pPr>
    <w:rPr>
      <w:rFonts w:ascii="Times New Roman" w:hAnsi="Times New Roman"/>
      <w:sz w:val="22"/>
      <w:szCs w:val="22"/>
      <w:lang w:val="en-US" w:eastAsia="es-ES"/>
    </w:rPr>
  </w:style>
  <w:style w:type="paragraph" w:customStyle="1" w:styleId="ListB">
    <w:name w:val="ListB"/>
    <w:basedOn w:val="Normal"/>
    <w:uiPriority w:val="99"/>
    <w:rsid w:val="002831AB"/>
    <w:pPr>
      <w:keepNext/>
      <w:tabs>
        <w:tab w:val="left" w:pos="567"/>
      </w:tabs>
      <w:spacing w:after="240" w:line="240" w:lineRule="exact"/>
    </w:pPr>
    <w:rPr>
      <w:rFonts w:ascii="Times New Roman" w:hAnsi="Times New Roman"/>
      <w:b/>
      <w:bCs/>
      <w:sz w:val="22"/>
      <w:szCs w:val="22"/>
      <w:lang w:val="es-ES" w:eastAsia="es-ES"/>
    </w:rPr>
  </w:style>
  <w:style w:type="paragraph" w:customStyle="1" w:styleId="s38">
    <w:name w:val="s38"/>
    <w:basedOn w:val="Normal"/>
    <w:uiPriority w:val="99"/>
    <w:rsid w:val="002831AB"/>
    <w:pPr>
      <w:ind w:left="964" w:hanging="397"/>
      <w:jc w:val="both"/>
    </w:pPr>
    <w:rPr>
      <w:rFonts w:ascii="Arial" w:hAnsi="Arial" w:cs="Arial"/>
      <w:lang w:val="es-ES" w:eastAsia="es-ES"/>
    </w:rPr>
  </w:style>
  <w:style w:type="paragraph" w:customStyle="1" w:styleId="Tablefootnote0">
    <w:name w:val="Table footnote"/>
    <w:basedOn w:val="Normal"/>
    <w:rsid w:val="002831AB"/>
    <w:pPr>
      <w:ind w:left="360" w:hanging="360"/>
    </w:pPr>
    <w:rPr>
      <w:rFonts w:ascii="Times New Roman" w:eastAsia="Batang" w:hAnsi="Times New Roman"/>
      <w:sz w:val="16"/>
      <w:szCs w:val="16"/>
      <w:lang w:val="en-US" w:eastAsia="es-AR"/>
    </w:rPr>
  </w:style>
  <w:style w:type="paragraph" w:customStyle="1" w:styleId="NormalTimesNewRoman">
    <w:name w:val="Normal + Times New Roman"/>
    <w:aliases w:val="10 pt,Negro,Justificado,Comprimido  0,1 pto"/>
    <w:basedOn w:val="Normal"/>
    <w:semiHidden/>
    <w:rsid w:val="002831AB"/>
    <w:pPr>
      <w:tabs>
        <w:tab w:val="left" w:pos="-720"/>
        <w:tab w:val="left" w:pos="284"/>
      </w:tabs>
      <w:suppressAutoHyphens/>
      <w:jc w:val="both"/>
    </w:pPr>
    <w:rPr>
      <w:rFonts w:ascii="Times New Roman" w:eastAsia="SimSun" w:hAnsi="Times New Roman"/>
      <w:color w:val="000000"/>
      <w:spacing w:val="-2"/>
      <w:lang w:eastAsia="es-AR"/>
    </w:rPr>
  </w:style>
  <w:style w:type="paragraph" w:customStyle="1" w:styleId="PrrafoFecha">
    <w:name w:val="Párrafo Fecha"/>
    <w:basedOn w:val="Normal"/>
    <w:next w:val="Normal"/>
    <w:uiPriority w:val="99"/>
    <w:semiHidden/>
    <w:rsid w:val="002831AB"/>
    <w:pPr>
      <w:spacing w:after="720"/>
      <w:jc w:val="right"/>
    </w:pPr>
    <w:rPr>
      <w:rFonts w:ascii="Courier New" w:eastAsia="SimSun" w:hAnsi="Courier New"/>
      <w:sz w:val="24"/>
      <w:lang w:val="es-ES_tradnl" w:eastAsia="es-ES"/>
    </w:rPr>
  </w:style>
  <w:style w:type="paragraph" w:customStyle="1" w:styleId="Prrafo1lnea">
    <w:name w:val="Párrafo 1 línea"/>
    <w:basedOn w:val="Normal"/>
    <w:uiPriority w:val="99"/>
    <w:semiHidden/>
    <w:rsid w:val="002831AB"/>
    <w:pPr>
      <w:jc w:val="both"/>
    </w:pPr>
    <w:rPr>
      <w:rFonts w:ascii="Courier New" w:eastAsia="SimSun" w:hAnsi="Courier New"/>
      <w:sz w:val="24"/>
      <w:lang w:val="es-ES_tradnl" w:eastAsia="es-ES"/>
    </w:rPr>
  </w:style>
  <w:style w:type="paragraph" w:customStyle="1" w:styleId="Sangradetextonormal1">
    <w:name w:val="Sangría de texto normal1"/>
    <w:basedOn w:val="Normal"/>
    <w:rsid w:val="002831AB"/>
    <w:pPr>
      <w:spacing w:after="120"/>
      <w:ind w:left="283"/>
    </w:pPr>
    <w:rPr>
      <w:rFonts w:ascii="Times New Roman" w:eastAsia="SimSun" w:hAnsi="Times New Roman"/>
      <w:sz w:val="24"/>
      <w:lang w:eastAsia="es-ES"/>
    </w:rPr>
  </w:style>
  <w:style w:type="paragraph" w:customStyle="1" w:styleId="PrrafoDireccion">
    <w:name w:val="Párrafo Direccion"/>
    <w:basedOn w:val="Normal"/>
    <w:uiPriority w:val="99"/>
    <w:semiHidden/>
    <w:rsid w:val="002831AB"/>
    <w:rPr>
      <w:rFonts w:ascii="Courier New" w:eastAsia="SimSun" w:hAnsi="Courier New"/>
      <w:sz w:val="24"/>
      <w:lang w:val="es-ES_tradnl" w:eastAsia="es-ES"/>
    </w:rPr>
  </w:style>
  <w:style w:type="paragraph" w:customStyle="1" w:styleId="PrrafoIndentado">
    <w:name w:val="Párrafo Indentado"/>
    <w:basedOn w:val="PrrafoFecha"/>
    <w:uiPriority w:val="99"/>
    <w:semiHidden/>
    <w:rsid w:val="002831AB"/>
    <w:pPr>
      <w:spacing w:before="240" w:after="0"/>
      <w:ind w:left="851"/>
      <w:jc w:val="both"/>
    </w:pPr>
  </w:style>
  <w:style w:type="paragraph" w:customStyle="1" w:styleId="PrrafoNormal">
    <w:name w:val="Párrafo Normal"/>
    <w:basedOn w:val="PrrafoFecha"/>
    <w:uiPriority w:val="99"/>
    <w:semiHidden/>
    <w:rsid w:val="002831AB"/>
    <w:pPr>
      <w:spacing w:after="240" w:line="360" w:lineRule="exact"/>
      <w:jc w:val="both"/>
    </w:pPr>
  </w:style>
  <w:style w:type="paragraph" w:customStyle="1" w:styleId="PrrafoRoman">
    <w:name w:val="Párrafo Romaní"/>
    <w:basedOn w:val="PrrafoFecha"/>
    <w:uiPriority w:val="99"/>
    <w:semiHidden/>
    <w:rsid w:val="002831AB"/>
    <w:pPr>
      <w:spacing w:after="0" w:line="480" w:lineRule="exact"/>
      <w:ind w:left="1418"/>
      <w:jc w:val="both"/>
    </w:pPr>
  </w:style>
  <w:style w:type="paragraph" w:customStyle="1" w:styleId="TtuloPrincipal">
    <w:name w:val="Título Principal"/>
    <w:basedOn w:val="PrrafoFecha"/>
    <w:next w:val="Normal"/>
    <w:uiPriority w:val="99"/>
    <w:semiHidden/>
    <w:rsid w:val="002831AB"/>
    <w:pPr>
      <w:spacing w:after="360"/>
      <w:jc w:val="center"/>
    </w:pPr>
    <w:rPr>
      <w:rFonts w:ascii="Garamond" w:hAnsi="Garamond"/>
      <w:b/>
      <w:u w:val="single"/>
    </w:rPr>
  </w:style>
  <w:style w:type="paragraph" w:customStyle="1" w:styleId="TtuloSecundario">
    <w:name w:val="Título Secundario"/>
    <w:basedOn w:val="Normal"/>
    <w:uiPriority w:val="99"/>
    <w:semiHidden/>
    <w:rsid w:val="002831AB"/>
    <w:pPr>
      <w:jc w:val="center"/>
    </w:pPr>
    <w:rPr>
      <w:rFonts w:ascii="Courier New" w:eastAsia="SimSun" w:hAnsi="Courier New"/>
      <w:sz w:val="24"/>
      <w:u w:val="single"/>
      <w:lang w:val="es-ES_tradnl" w:eastAsia="es-ES"/>
    </w:rPr>
  </w:style>
  <w:style w:type="paragraph" w:customStyle="1" w:styleId="Fax">
    <w:name w:val="Fax"/>
    <w:basedOn w:val="Normal"/>
    <w:uiPriority w:val="99"/>
    <w:semiHidden/>
    <w:rsid w:val="002831AB"/>
    <w:pPr>
      <w:spacing w:after="120"/>
    </w:pPr>
    <w:rPr>
      <w:rFonts w:ascii="Times New Roman" w:eastAsia="SimSun" w:hAnsi="Times New Roman"/>
      <w:sz w:val="24"/>
      <w:lang w:val="en-US" w:eastAsia="es-ES"/>
    </w:rPr>
  </w:style>
  <w:style w:type="paragraph" w:customStyle="1" w:styleId="To">
    <w:name w:val="To"/>
    <w:basedOn w:val="Normal"/>
    <w:uiPriority w:val="99"/>
    <w:semiHidden/>
    <w:rsid w:val="002831AB"/>
    <w:pPr>
      <w:spacing w:after="120"/>
    </w:pPr>
    <w:rPr>
      <w:rFonts w:ascii="Times New Roman" w:eastAsia="SimSun" w:hAnsi="Times New Roman"/>
      <w:sz w:val="24"/>
      <w:lang w:val="en-US" w:eastAsia="es-ES"/>
    </w:rPr>
  </w:style>
  <w:style w:type="paragraph" w:customStyle="1" w:styleId="Textodenotaalfinal">
    <w:name w:val="Texto de nota al final"/>
    <w:basedOn w:val="Normal"/>
    <w:uiPriority w:val="99"/>
    <w:semiHidden/>
    <w:rsid w:val="002831AB"/>
    <w:pPr>
      <w:widowControl w:val="0"/>
      <w:autoSpaceDE w:val="0"/>
      <w:autoSpaceDN w:val="0"/>
      <w:adjustRightInd w:val="0"/>
    </w:pPr>
    <w:rPr>
      <w:rFonts w:ascii="Courier" w:eastAsia="SimSun" w:hAnsi="Courier"/>
      <w:szCs w:val="24"/>
      <w:lang w:val="es-ES" w:eastAsia="es-ES"/>
    </w:rPr>
  </w:style>
  <w:style w:type="paragraph" w:customStyle="1" w:styleId="Textodenotaalpie">
    <w:name w:val="Texto de nota al pie"/>
    <w:basedOn w:val="Normal"/>
    <w:uiPriority w:val="99"/>
    <w:semiHidden/>
    <w:rsid w:val="002831AB"/>
    <w:pPr>
      <w:widowControl w:val="0"/>
      <w:autoSpaceDE w:val="0"/>
      <w:autoSpaceDN w:val="0"/>
      <w:adjustRightInd w:val="0"/>
    </w:pPr>
    <w:rPr>
      <w:rFonts w:ascii="Courier" w:eastAsia="SimSun" w:hAnsi="Courier"/>
      <w:szCs w:val="24"/>
      <w:lang w:val="es-ES" w:eastAsia="es-ES"/>
    </w:rPr>
  </w:style>
  <w:style w:type="paragraph" w:customStyle="1" w:styleId="Document1">
    <w:name w:val="Document 1"/>
    <w:uiPriority w:val="99"/>
    <w:semiHidden/>
    <w:rsid w:val="002831AB"/>
    <w:pPr>
      <w:keepNext/>
      <w:keepLines/>
      <w:widowControl w:val="0"/>
      <w:tabs>
        <w:tab w:val="left" w:pos="-720"/>
      </w:tabs>
      <w:suppressAutoHyphens/>
      <w:autoSpaceDE w:val="0"/>
      <w:autoSpaceDN w:val="0"/>
      <w:adjustRightInd w:val="0"/>
      <w:spacing w:line="240" w:lineRule="atLeast"/>
    </w:pPr>
    <w:rPr>
      <w:rFonts w:ascii="Courier" w:eastAsia="SimSun" w:hAnsi="Courier"/>
      <w:sz w:val="24"/>
      <w:szCs w:val="24"/>
      <w:lang w:val="en-US"/>
    </w:rPr>
  </w:style>
  <w:style w:type="paragraph" w:customStyle="1" w:styleId="Tdc10">
    <w:name w:val="Tdc 1"/>
    <w:basedOn w:val="Normal"/>
    <w:uiPriority w:val="99"/>
    <w:semiHidden/>
    <w:rsid w:val="002831AB"/>
    <w:pPr>
      <w:widowControl w:val="0"/>
      <w:tabs>
        <w:tab w:val="right" w:leader="dot" w:pos="9360"/>
      </w:tabs>
      <w:suppressAutoHyphens/>
      <w:autoSpaceDE w:val="0"/>
      <w:autoSpaceDN w:val="0"/>
      <w:adjustRightInd w:val="0"/>
      <w:spacing w:before="480" w:line="240" w:lineRule="atLeast"/>
      <w:ind w:left="720" w:right="720" w:hanging="720"/>
    </w:pPr>
    <w:rPr>
      <w:rFonts w:ascii="Courier" w:eastAsia="SimSun" w:hAnsi="Courier"/>
      <w:sz w:val="24"/>
      <w:szCs w:val="24"/>
      <w:lang w:val="en-US" w:eastAsia="es-ES"/>
    </w:rPr>
  </w:style>
  <w:style w:type="paragraph" w:customStyle="1" w:styleId="Tdc20">
    <w:name w:val="Tdc 2"/>
    <w:basedOn w:val="Normal"/>
    <w:uiPriority w:val="99"/>
    <w:semiHidden/>
    <w:rsid w:val="002831AB"/>
    <w:pPr>
      <w:widowControl w:val="0"/>
      <w:tabs>
        <w:tab w:val="right" w:leader="dot" w:pos="9360"/>
      </w:tabs>
      <w:suppressAutoHyphens/>
      <w:autoSpaceDE w:val="0"/>
      <w:autoSpaceDN w:val="0"/>
      <w:adjustRightInd w:val="0"/>
      <w:spacing w:line="240" w:lineRule="atLeast"/>
      <w:ind w:left="1440" w:right="720" w:hanging="720"/>
    </w:pPr>
    <w:rPr>
      <w:rFonts w:ascii="Courier" w:eastAsia="SimSun" w:hAnsi="Courier"/>
      <w:sz w:val="24"/>
      <w:szCs w:val="24"/>
      <w:lang w:val="en-US" w:eastAsia="es-ES"/>
    </w:rPr>
  </w:style>
  <w:style w:type="paragraph" w:customStyle="1" w:styleId="Tdc30">
    <w:name w:val="Tdc 3"/>
    <w:basedOn w:val="Normal"/>
    <w:uiPriority w:val="99"/>
    <w:semiHidden/>
    <w:rsid w:val="002831AB"/>
    <w:pPr>
      <w:widowControl w:val="0"/>
      <w:tabs>
        <w:tab w:val="right" w:leader="dot" w:pos="9360"/>
      </w:tabs>
      <w:suppressAutoHyphens/>
      <w:autoSpaceDE w:val="0"/>
      <w:autoSpaceDN w:val="0"/>
      <w:adjustRightInd w:val="0"/>
      <w:spacing w:line="240" w:lineRule="atLeast"/>
      <w:ind w:left="2160" w:right="720" w:hanging="720"/>
    </w:pPr>
    <w:rPr>
      <w:rFonts w:ascii="Courier" w:eastAsia="SimSun" w:hAnsi="Courier"/>
      <w:sz w:val="24"/>
      <w:szCs w:val="24"/>
      <w:lang w:val="en-US" w:eastAsia="es-ES"/>
    </w:rPr>
  </w:style>
  <w:style w:type="paragraph" w:customStyle="1" w:styleId="Tdc40">
    <w:name w:val="Tdc 4"/>
    <w:basedOn w:val="Normal"/>
    <w:uiPriority w:val="99"/>
    <w:semiHidden/>
    <w:rsid w:val="002831AB"/>
    <w:pPr>
      <w:widowControl w:val="0"/>
      <w:tabs>
        <w:tab w:val="right" w:leader="dot" w:pos="9360"/>
      </w:tabs>
      <w:suppressAutoHyphens/>
      <w:autoSpaceDE w:val="0"/>
      <w:autoSpaceDN w:val="0"/>
      <w:adjustRightInd w:val="0"/>
      <w:spacing w:line="240" w:lineRule="atLeast"/>
      <w:ind w:left="2880" w:right="720" w:hanging="720"/>
    </w:pPr>
    <w:rPr>
      <w:rFonts w:ascii="Courier" w:eastAsia="SimSun" w:hAnsi="Courier"/>
      <w:sz w:val="24"/>
      <w:szCs w:val="24"/>
      <w:lang w:val="en-US" w:eastAsia="es-ES"/>
    </w:rPr>
  </w:style>
  <w:style w:type="paragraph" w:customStyle="1" w:styleId="Tdc50">
    <w:name w:val="Tdc 5"/>
    <w:basedOn w:val="Normal"/>
    <w:uiPriority w:val="99"/>
    <w:semiHidden/>
    <w:rsid w:val="002831AB"/>
    <w:pPr>
      <w:widowControl w:val="0"/>
      <w:tabs>
        <w:tab w:val="right" w:leader="dot" w:pos="9360"/>
      </w:tabs>
      <w:suppressAutoHyphens/>
      <w:autoSpaceDE w:val="0"/>
      <w:autoSpaceDN w:val="0"/>
      <w:adjustRightInd w:val="0"/>
      <w:spacing w:line="240" w:lineRule="atLeast"/>
      <w:ind w:left="3600" w:right="720" w:hanging="720"/>
    </w:pPr>
    <w:rPr>
      <w:rFonts w:ascii="Courier" w:eastAsia="SimSun" w:hAnsi="Courier"/>
      <w:sz w:val="24"/>
      <w:szCs w:val="24"/>
      <w:lang w:val="en-US" w:eastAsia="es-ES"/>
    </w:rPr>
  </w:style>
  <w:style w:type="paragraph" w:customStyle="1" w:styleId="Tdc60">
    <w:name w:val="Tdc 6"/>
    <w:basedOn w:val="Normal"/>
    <w:uiPriority w:val="99"/>
    <w:semiHidden/>
    <w:rsid w:val="002831AB"/>
    <w:pPr>
      <w:widowControl w:val="0"/>
      <w:tabs>
        <w:tab w:val="right" w:pos="9360"/>
      </w:tabs>
      <w:suppressAutoHyphens/>
      <w:autoSpaceDE w:val="0"/>
      <w:autoSpaceDN w:val="0"/>
      <w:adjustRightInd w:val="0"/>
      <w:spacing w:line="240" w:lineRule="atLeast"/>
      <w:ind w:left="720" w:hanging="720"/>
    </w:pPr>
    <w:rPr>
      <w:rFonts w:ascii="Courier" w:eastAsia="SimSun" w:hAnsi="Courier"/>
      <w:sz w:val="24"/>
      <w:szCs w:val="24"/>
      <w:lang w:val="en-US" w:eastAsia="es-ES"/>
    </w:rPr>
  </w:style>
  <w:style w:type="paragraph" w:customStyle="1" w:styleId="Tdc70">
    <w:name w:val="Tdc 7"/>
    <w:basedOn w:val="Normal"/>
    <w:uiPriority w:val="99"/>
    <w:semiHidden/>
    <w:rsid w:val="002831AB"/>
    <w:pPr>
      <w:widowControl w:val="0"/>
      <w:suppressAutoHyphens/>
      <w:autoSpaceDE w:val="0"/>
      <w:autoSpaceDN w:val="0"/>
      <w:adjustRightInd w:val="0"/>
      <w:spacing w:line="240" w:lineRule="atLeast"/>
      <w:ind w:left="720" w:hanging="720"/>
    </w:pPr>
    <w:rPr>
      <w:rFonts w:ascii="Courier" w:eastAsia="SimSun" w:hAnsi="Courier"/>
      <w:sz w:val="24"/>
      <w:szCs w:val="24"/>
      <w:lang w:val="en-US" w:eastAsia="es-ES"/>
    </w:rPr>
  </w:style>
  <w:style w:type="paragraph" w:customStyle="1" w:styleId="Tdc80">
    <w:name w:val="Tdc 8"/>
    <w:basedOn w:val="Normal"/>
    <w:uiPriority w:val="99"/>
    <w:semiHidden/>
    <w:rsid w:val="002831AB"/>
    <w:pPr>
      <w:widowControl w:val="0"/>
      <w:tabs>
        <w:tab w:val="right" w:pos="9360"/>
      </w:tabs>
      <w:suppressAutoHyphens/>
      <w:autoSpaceDE w:val="0"/>
      <w:autoSpaceDN w:val="0"/>
      <w:adjustRightInd w:val="0"/>
      <w:spacing w:line="240" w:lineRule="atLeast"/>
      <w:ind w:left="720" w:hanging="720"/>
    </w:pPr>
    <w:rPr>
      <w:rFonts w:ascii="Courier" w:eastAsia="SimSun" w:hAnsi="Courier"/>
      <w:sz w:val="24"/>
      <w:szCs w:val="24"/>
      <w:lang w:val="en-US" w:eastAsia="es-ES"/>
    </w:rPr>
  </w:style>
  <w:style w:type="paragraph" w:customStyle="1" w:styleId="Tdc90">
    <w:name w:val="Tdc 9"/>
    <w:basedOn w:val="Normal"/>
    <w:uiPriority w:val="99"/>
    <w:semiHidden/>
    <w:rsid w:val="002831AB"/>
    <w:pPr>
      <w:widowControl w:val="0"/>
      <w:tabs>
        <w:tab w:val="right" w:leader="dot" w:pos="9360"/>
      </w:tabs>
      <w:suppressAutoHyphens/>
      <w:autoSpaceDE w:val="0"/>
      <w:autoSpaceDN w:val="0"/>
      <w:adjustRightInd w:val="0"/>
      <w:spacing w:line="240" w:lineRule="atLeast"/>
      <w:ind w:left="720" w:hanging="720"/>
    </w:pPr>
    <w:rPr>
      <w:rFonts w:ascii="Courier" w:eastAsia="SimSun" w:hAnsi="Courier"/>
      <w:sz w:val="24"/>
      <w:szCs w:val="24"/>
      <w:lang w:val="en-US" w:eastAsia="es-ES"/>
    </w:rPr>
  </w:style>
  <w:style w:type="paragraph" w:customStyle="1" w:styleId="Encabezadodetda">
    <w:name w:val="Encabezado de tda"/>
    <w:basedOn w:val="Normal"/>
    <w:uiPriority w:val="99"/>
    <w:semiHidden/>
    <w:rsid w:val="002831AB"/>
    <w:pPr>
      <w:widowControl w:val="0"/>
      <w:tabs>
        <w:tab w:val="right" w:pos="9360"/>
      </w:tabs>
      <w:suppressAutoHyphens/>
      <w:autoSpaceDE w:val="0"/>
      <w:autoSpaceDN w:val="0"/>
      <w:adjustRightInd w:val="0"/>
      <w:spacing w:line="240" w:lineRule="atLeast"/>
    </w:pPr>
    <w:rPr>
      <w:rFonts w:ascii="Courier" w:eastAsia="SimSun" w:hAnsi="Courier"/>
      <w:sz w:val="24"/>
      <w:szCs w:val="24"/>
      <w:lang w:val="en-US" w:eastAsia="es-ES"/>
    </w:rPr>
  </w:style>
  <w:style w:type="paragraph" w:customStyle="1" w:styleId="BalloonText1">
    <w:name w:val="Balloon Text1"/>
    <w:basedOn w:val="Normal"/>
    <w:rsid w:val="002831AB"/>
    <w:rPr>
      <w:rFonts w:ascii="Tahoma" w:eastAsia="SimSun" w:hAnsi="Tahoma" w:cs="Book Antiqua"/>
      <w:sz w:val="16"/>
      <w:szCs w:val="16"/>
      <w:lang w:eastAsia="es-AR"/>
    </w:rPr>
  </w:style>
  <w:style w:type="paragraph" w:customStyle="1" w:styleId="BodyText23">
    <w:name w:val="Body Text 23"/>
    <w:basedOn w:val="Normal"/>
    <w:uiPriority w:val="99"/>
    <w:semiHidden/>
    <w:rsid w:val="002831AB"/>
    <w:pPr>
      <w:overflowPunct w:val="0"/>
      <w:autoSpaceDE w:val="0"/>
      <w:autoSpaceDN w:val="0"/>
      <w:adjustRightInd w:val="0"/>
      <w:spacing w:after="360"/>
      <w:ind w:firstLine="2835"/>
      <w:jc w:val="both"/>
      <w:textAlignment w:val="baseline"/>
    </w:pPr>
    <w:rPr>
      <w:rFonts w:ascii="Arial" w:eastAsia="SimSun" w:hAnsi="Arial"/>
      <w:b/>
      <w:sz w:val="24"/>
      <w:lang w:val="es-ES_tradnl" w:eastAsia="es-ES"/>
    </w:rPr>
  </w:style>
  <w:style w:type="paragraph" w:customStyle="1" w:styleId="CommentSubject1">
    <w:name w:val="Comment Subject1"/>
    <w:basedOn w:val="Textocomentario"/>
    <w:next w:val="Textocomentario"/>
    <w:rsid w:val="002831AB"/>
    <w:pPr>
      <w:autoSpaceDE/>
      <w:autoSpaceDN/>
      <w:adjustRightInd/>
    </w:pPr>
    <w:rPr>
      <w:rFonts w:eastAsia="SimSun"/>
      <w:b/>
      <w:bCs/>
      <w:lang w:val="es-ES" w:eastAsia="es-AR"/>
    </w:rPr>
  </w:style>
  <w:style w:type="paragraph" w:customStyle="1" w:styleId="p0">
    <w:name w:val="p0"/>
    <w:basedOn w:val="Normal"/>
    <w:uiPriority w:val="99"/>
    <w:semiHidden/>
    <w:rsid w:val="002831AB"/>
    <w:pPr>
      <w:widowControl w:val="0"/>
      <w:tabs>
        <w:tab w:val="left" w:pos="720"/>
      </w:tabs>
      <w:spacing w:line="240" w:lineRule="atLeast"/>
      <w:jc w:val="both"/>
    </w:pPr>
    <w:rPr>
      <w:rFonts w:ascii="Times New Roman" w:eastAsia="SimSun" w:hAnsi="Times New Roman"/>
      <w:sz w:val="24"/>
      <w:lang w:val="es-ES" w:eastAsia="es-ES"/>
    </w:rPr>
  </w:style>
  <w:style w:type="paragraph" w:customStyle="1" w:styleId="AODocTxt">
    <w:name w:val="AODocTxt"/>
    <w:basedOn w:val="Normal"/>
    <w:rsid w:val="002831AB"/>
    <w:pPr>
      <w:spacing w:before="200"/>
      <w:jc w:val="both"/>
    </w:pPr>
    <w:rPr>
      <w:rFonts w:ascii="Times New Roman" w:eastAsia="SimSun" w:hAnsi="Times New Roman"/>
      <w:lang w:val="en-US" w:eastAsia="es-AR"/>
    </w:rPr>
  </w:style>
  <w:style w:type="paragraph" w:customStyle="1" w:styleId="AODocTxtL1">
    <w:name w:val="AODocTxtL1"/>
    <w:basedOn w:val="AODocTxt"/>
    <w:rsid w:val="002831AB"/>
    <w:pPr>
      <w:tabs>
        <w:tab w:val="num" w:pos="360"/>
        <w:tab w:val="num" w:pos="1440"/>
      </w:tabs>
      <w:ind w:left="1440" w:hanging="360"/>
    </w:pPr>
  </w:style>
  <w:style w:type="paragraph" w:customStyle="1" w:styleId="AODocTxtL2">
    <w:name w:val="AODocTxtL2"/>
    <w:basedOn w:val="AODocTxt"/>
    <w:rsid w:val="002831AB"/>
    <w:pPr>
      <w:tabs>
        <w:tab w:val="num" w:pos="360"/>
        <w:tab w:val="num" w:pos="2160"/>
      </w:tabs>
      <w:ind w:left="2160" w:hanging="180"/>
    </w:pPr>
  </w:style>
  <w:style w:type="paragraph" w:customStyle="1" w:styleId="AODocTxtL3">
    <w:name w:val="AODocTxtL3"/>
    <w:basedOn w:val="AODocTxt"/>
    <w:rsid w:val="002831AB"/>
    <w:pPr>
      <w:tabs>
        <w:tab w:val="num" w:pos="360"/>
        <w:tab w:val="num" w:pos="2880"/>
      </w:tabs>
      <w:ind w:left="2880" w:hanging="360"/>
    </w:pPr>
  </w:style>
  <w:style w:type="paragraph" w:customStyle="1" w:styleId="AODocTxtL4">
    <w:name w:val="AODocTxtL4"/>
    <w:basedOn w:val="AODocTxt"/>
    <w:rsid w:val="002831AB"/>
    <w:pPr>
      <w:tabs>
        <w:tab w:val="num" w:pos="360"/>
        <w:tab w:val="num" w:pos="3600"/>
      </w:tabs>
      <w:ind w:left="3600" w:hanging="360"/>
    </w:pPr>
  </w:style>
  <w:style w:type="paragraph" w:customStyle="1" w:styleId="AODocTxtL5">
    <w:name w:val="AODocTxtL5"/>
    <w:basedOn w:val="AODocTxt"/>
    <w:rsid w:val="002831AB"/>
    <w:pPr>
      <w:tabs>
        <w:tab w:val="num" w:pos="360"/>
        <w:tab w:val="num" w:pos="4320"/>
      </w:tabs>
      <w:ind w:left="4320" w:hanging="180"/>
    </w:pPr>
  </w:style>
  <w:style w:type="paragraph" w:customStyle="1" w:styleId="AODocTxtL6">
    <w:name w:val="AODocTxtL6"/>
    <w:basedOn w:val="AODocTxt"/>
    <w:rsid w:val="002831AB"/>
    <w:pPr>
      <w:tabs>
        <w:tab w:val="num" w:pos="360"/>
        <w:tab w:val="num" w:pos="5040"/>
      </w:tabs>
      <w:ind w:left="5040" w:hanging="360"/>
    </w:pPr>
  </w:style>
  <w:style w:type="paragraph" w:customStyle="1" w:styleId="AODocTxtL7">
    <w:name w:val="AODocTxtL7"/>
    <w:basedOn w:val="AODocTxt"/>
    <w:rsid w:val="002831AB"/>
    <w:pPr>
      <w:tabs>
        <w:tab w:val="num" w:pos="360"/>
        <w:tab w:val="num" w:pos="5760"/>
      </w:tabs>
      <w:ind w:left="5760" w:hanging="360"/>
    </w:pPr>
  </w:style>
  <w:style w:type="paragraph" w:customStyle="1" w:styleId="AODocTxtL8">
    <w:name w:val="AODocTxtL8"/>
    <w:basedOn w:val="AODocTxt"/>
    <w:rsid w:val="002831AB"/>
    <w:pPr>
      <w:tabs>
        <w:tab w:val="num" w:pos="360"/>
        <w:tab w:val="num" w:pos="6480"/>
      </w:tabs>
      <w:ind w:left="6480" w:hanging="180"/>
    </w:pPr>
  </w:style>
  <w:style w:type="paragraph" w:customStyle="1" w:styleId="AOGenNum1List">
    <w:name w:val="AOGenNum1List"/>
    <w:basedOn w:val="Normal"/>
    <w:uiPriority w:val="99"/>
    <w:semiHidden/>
    <w:rsid w:val="002831AB"/>
    <w:pPr>
      <w:tabs>
        <w:tab w:val="num" w:pos="2160"/>
      </w:tabs>
      <w:spacing w:before="200"/>
      <w:ind w:left="2160" w:hanging="180"/>
      <w:jc w:val="both"/>
    </w:pPr>
    <w:rPr>
      <w:rFonts w:ascii="Times New Roman" w:eastAsia="SimSun" w:hAnsi="Times New Roman"/>
      <w:lang w:val="en-US" w:eastAsia="es-AR"/>
    </w:rPr>
  </w:style>
  <w:style w:type="paragraph" w:customStyle="1" w:styleId="BodyText21">
    <w:name w:val="Body Text 21"/>
    <w:basedOn w:val="Normal"/>
    <w:rsid w:val="002831AB"/>
    <w:pPr>
      <w:jc w:val="both"/>
    </w:pPr>
    <w:rPr>
      <w:rFonts w:ascii="Times New Roman" w:eastAsia="SimSun" w:hAnsi="Times New Roman"/>
      <w:lang w:val="es-ES_tradnl" w:eastAsia="es-ES"/>
    </w:rPr>
  </w:style>
  <w:style w:type="character" w:customStyle="1" w:styleId="msoins0">
    <w:name w:val="msoins"/>
    <w:uiPriority w:val="99"/>
    <w:semiHidden/>
    <w:rsid w:val="002831AB"/>
  </w:style>
  <w:style w:type="paragraph" w:customStyle="1" w:styleId="Tabla">
    <w:name w:val="Tabla"/>
    <w:basedOn w:val="Normal"/>
    <w:rsid w:val="002831AB"/>
    <w:pPr>
      <w:widowControl w:val="0"/>
      <w:tabs>
        <w:tab w:val="left" w:pos="664"/>
      </w:tabs>
      <w:spacing w:before="120" w:after="60"/>
      <w:ind w:right="357"/>
      <w:jc w:val="both"/>
    </w:pPr>
    <w:rPr>
      <w:rFonts w:ascii="CG Times (W1)" w:eastAsia="SimSun" w:hAnsi="CG Times (W1)"/>
      <w:noProof/>
      <w:sz w:val="24"/>
      <w:lang w:eastAsia="es-AR"/>
    </w:rPr>
  </w:style>
  <w:style w:type="paragraph" w:customStyle="1" w:styleId="ROMANI">
    <w:name w:val="ROMANI"/>
    <w:uiPriority w:val="99"/>
    <w:semiHidden/>
    <w:rsid w:val="002831AB"/>
    <w:pPr>
      <w:widowControl w:val="0"/>
      <w:tabs>
        <w:tab w:val="left" w:pos="-720"/>
      </w:tabs>
      <w:suppressAutoHyphens/>
      <w:jc w:val="both"/>
    </w:pPr>
    <w:rPr>
      <w:rFonts w:ascii="Courier New" w:eastAsia="SimSun" w:hAnsi="Courier New" w:cs="Courier New"/>
      <w:spacing w:val="-3"/>
      <w:sz w:val="24"/>
      <w:szCs w:val="24"/>
      <w:lang w:val="en-US" w:eastAsia="en-US"/>
    </w:rPr>
  </w:style>
  <w:style w:type="paragraph" w:customStyle="1" w:styleId="Parrafo">
    <w:name w:val="Parrafo"/>
    <w:basedOn w:val="Normal"/>
    <w:uiPriority w:val="99"/>
    <w:semiHidden/>
    <w:rsid w:val="002831AB"/>
    <w:pPr>
      <w:spacing w:before="120"/>
      <w:jc w:val="both"/>
    </w:pPr>
    <w:rPr>
      <w:rFonts w:ascii="Times New Roman" w:eastAsia="SimSun" w:hAnsi="Times New Roman"/>
      <w:lang w:eastAsia="es-AR"/>
    </w:rPr>
  </w:style>
  <w:style w:type="paragraph" w:customStyle="1" w:styleId="5italbold">
    <w:name w:val=".5 italbold"/>
    <w:basedOn w:val="TitleL"/>
    <w:uiPriority w:val="99"/>
    <w:semiHidden/>
    <w:rsid w:val="002831AB"/>
    <w:pPr>
      <w:keepNext/>
      <w:autoSpaceDE/>
      <w:autoSpaceDN/>
      <w:adjustRightInd/>
      <w:ind w:firstLine="720"/>
    </w:pPr>
    <w:rPr>
      <w:rFonts w:ascii="Times New Roman Bold" w:eastAsia="SimSun" w:hAnsi="Times New Roman Bold"/>
      <w:lang w:eastAsia="es-ES"/>
    </w:rPr>
  </w:style>
  <w:style w:type="paragraph" w:customStyle="1" w:styleId="Title5BoldItal">
    <w:name w:val="Title .5 Bold &amp; Ital"/>
    <w:basedOn w:val="Normal"/>
    <w:uiPriority w:val="99"/>
    <w:semiHidden/>
    <w:rsid w:val="002831AB"/>
    <w:pPr>
      <w:keepNext/>
      <w:spacing w:after="240"/>
      <w:ind w:firstLine="720"/>
      <w:jc w:val="both"/>
    </w:pPr>
    <w:rPr>
      <w:rFonts w:ascii="Times New Roman" w:eastAsia="SimSun" w:hAnsi="Times New Roman"/>
      <w:b/>
      <w:bCs/>
      <w:i/>
      <w:iCs/>
      <w:lang w:val="en-US" w:eastAsia="es-AR"/>
    </w:rPr>
  </w:style>
  <w:style w:type="paragraph" w:customStyle="1" w:styleId="TitleL5BoldItal">
    <w:name w:val="Title L .5 Bold &amp; Ital"/>
    <w:basedOn w:val="Normal"/>
    <w:uiPriority w:val="99"/>
    <w:semiHidden/>
    <w:rsid w:val="002831AB"/>
    <w:pPr>
      <w:keepNext/>
      <w:suppressAutoHyphens/>
      <w:spacing w:after="240"/>
      <w:ind w:firstLine="720"/>
      <w:jc w:val="both"/>
    </w:pPr>
    <w:rPr>
      <w:rFonts w:ascii="Times New Roman" w:eastAsia="SimSun" w:hAnsi="Times New Roman"/>
      <w:b/>
      <w:bCs/>
      <w:i/>
      <w:iCs/>
      <w:lang w:val="en-US" w:eastAsia="es-AR"/>
    </w:rPr>
  </w:style>
  <w:style w:type="paragraph" w:customStyle="1" w:styleId="Piedepgin">
    <w:name w:val="Pie de págin"/>
    <w:uiPriority w:val="99"/>
    <w:semiHidden/>
    <w:rsid w:val="002831AB"/>
    <w:pPr>
      <w:tabs>
        <w:tab w:val="center" w:pos="4418"/>
        <w:tab w:val="right" w:pos="8838"/>
        <w:tab w:val="left" w:pos="9360"/>
      </w:tabs>
      <w:spacing w:line="240" w:lineRule="atLeast"/>
    </w:pPr>
    <w:rPr>
      <w:rFonts w:ascii="Times New Roman" w:eastAsia="SimSun" w:hAnsi="Times New Roman"/>
      <w:color w:val="000000"/>
      <w:lang w:val="en-US" w:eastAsia="en-US"/>
    </w:rPr>
  </w:style>
  <w:style w:type="paragraph" w:customStyle="1" w:styleId="Table8pt0">
    <w:name w:val="Table 8 pt."/>
    <w:basedOn w:val="Normal"/>
    <w:uiPriority w:val="99"/>
    <w:semiHidden/>
    <w:rsid w:val="002831AB"/>
    <w:pPr>
      <w:tabs>
        <w:tab w:val="left" w:pos="2160"/>
        <w:tab w:val="left" w:pos="4320"/>
        <w:tab w:val="left" w:pos="5400"/>
        <w:tab w:val="left" w:pos="6120"/>
        <w:tab w:val="left" w:pos="7013"/>
        <w:tab w:val="left" w:pos="8093"/>
        <w:tab w:val="left" w:pos="9000"/>
      </w:tabs>
      <w:suppressAutoHyphens/>
      <w:spacing w:after="240"/>
      <w:jc w:val="both"/>
    </w:pPr>
    <w:rPr>
      <w:rFonts w:ascii="Times New Roman" w:eastAsia="SimSun" w:hAnsi="Times New Roman"/>
      <w:sz w:val="16"/>
      <w:szCs w:val="16"/>
      <w:lang w:val="en-US" w:eastAsia="es-AR"/>
    </w:rPr>
  </w:style>
  <w:style w:type="paragraph" w:customStyle="1" w:styleId="BodyText22">
    <w:name w:val="Body Text 22"/>
    <w:basedOn w:val="Normal"/>
    <w:uiPriority w:val="99"/>
    <w:rsid w:val="002831AB"/>
    <w:pPr>
      <w:widowControl w:val="0"/>
      <w:jc w:val="both"/>
    </w:pPr>
    <w:rPr>
      <w:rFonts w:ascii="Times New Roman" w:eastAsia="SimSun" w:hAnsi="Times New Roman"/>
      <w:lang w:eastAsia="es-ES"/>
    </w:rPr>
  </w:style>
  <w:style w:type="paragraph" w:customStyle="1" w:styleId="Sangradetextonormal2">
    <w:name w:val="Sangría de texto normal2"/>
    <w:basedOn w:val="Normal"/>
    <w:uiPriority w:val="99"/>
    <w:rsid w:val="002831AB"/>
    <w:pPr>
      <w:widowControl w:val="0"/>
      <w:overflowPunct w:val="0"/>
      <w:autoSpaceDE w:val="0"/>
      <w:autoSpaceDN w:val="0"/>
      <w:adjustRightInd w:val="0"/>
      <w:jc w:val="both"/>
      <w:textAlignment w:val="baseline"/>
    </w:pPr>
    <w:rPr>
      <w:rFonts w:ascii="Times New Roman" w:eastAsia="MS Mincho" w:hAnsi="Times New Roman"/>
      <w:sz w:val="24"/>
      <w:szCs w:val="24"/>
      <w:lang w:val="es-ES_tradnl" w:eastAsia="es-ES"/>
    </w:rPr>
  </w:style>
  <w:style w:type="paragraph" w:customStyle="1" w:styleId="Body-DTPJPMCo">
    <w:name w:val="Body-DTP_JPMCo"/>
    <w:basedOn w:val="Normal"/>
    <w:uiPriority w:val="99"/>
    <w:semiHidden/>
    <w:rsid w:val="002831AB"/>
    <w:pPr>
      <w:ind w:firstLine="720"/>
    </w:pPr>
    <w:rPr>
      <w:rFonts w:ascii="Times New Roman" w:eastAsia="SimSun" w:hAnsi="Times New Roman"/>
      <w:sz w:val="24"/>
      <w:szCs w:val="24"/>
      <w:lang w:eastAsia="es-ES"/>
    </w:rPr>
  </w:style>
  <w:style w:type="paragraph" w:customStyle="1" w:styleId="BodyTextJ5">
    <w:name w:val="Body Text J .5"/>
    <w:basedOn w:val="Normal"/>
    <w:uiPriority w:val="99"/>
    <w:semiHidden/>
    <w:rsid w:val="002831AB"/>
    <w:pPr>
      <w:suppressAutoHyphens/>
      <w:spacing w:after="240"/>
      <w:ind w:left="720" w:firstLine="360"/>
      <w:jc w:val="both"/>
    </w:pPr>
    <w:rPr>
      <w:rFonts w:ascii="Times New Roman" w:eastAsia="SimSun" w:hAnsi="Times New Roman"/>
      <w:lang w:val="en-US" w:eastAsia="es-AR"/>
    </w:rPr>
  </w:style>
  <w:style w:type="paragraph" w:customStyle="1" w:styleId="TitleL5Italic">
    <w:name w:val="Title L .5 Italic"/>
    <w:basedOn w:val="Normal"/>
    <w:uiPriority w:val="99"/>
    <w:semiHidden/>
    <w:rsid w:val="002831AB"/>
    <w:pPr>
      <w:keepNext/>
      <w:suppressAutoHyphens/>
      <w:spacing w:after="240"/>
      <w:ind w:firstLine="720"/>
      <w:jc w:val="both"/>
    </w:pPr>
    <w:rPr>
      <w:rFonts w:ascii="Times New Roman" w:eastAsia="SimSun" w:hAnsi="Times New Roman"/>
      <w:i/>
      <w:iCs/>
      <w:lang w:val="en-US" w:eastAsia="es-AR"/>
    </w:rPr>
  </w:style>
  <w:style w:type="paragraph" w:customStyle="1" w:styleId="Style1">
    <w:name w:val="Style1"/>
    <w:basedOn w:val="Ttulo1"/>
    <w:uiPriority w:val="99"/>
    <w:semiHidden/>
    <w:rsid w:val="002831AB"/>
    <w:pPr>
      <w:keepLines w:val="0"/>
      <w:tabs>
        <w:tab w:val="decimal" w:pos="3150"/>
        <w:tab w:val="decimal" w:pos="4500"/>
        <w:tab w:val="decimal" w:pos="5760"/>
        <w:tab w:val="decimal" w:pos="7020"/>
        <w:tab w:val="decimal" w:pos="8190"/>
        <w:tab w:val="decimal" w:pos="9630"/>
        <w:tab w:val="decimal" w:pos="10890"/>
        <w:tab w:val="decimal" w:pos="12600"/>
        <w:tab w:val="decimal" w:pos="13860"/>
        <w:tab w:val="decimal" w:pos="15480"/>
      </w:tabs>
      <w:spacing w:before="240"/>
      <w:outlineLvl w:val="9"/>
    </w:pPr>
    <w:rPr>
      <w:rFonts w:eastAsia="SimSun"/>
      <w:b w:val="0"/>
      <w:bCs/>
      <w:i/>
      <w:iCs/>
      <w:color w:val="auto"/>
      <w:kern w:val="32"/>
      <w:sz w:val="16"/>
      <w:szCs w:val="16"/>
      <w:lang w:eastAsia="es-AR"/>
    </w:rPr>
  </w:style>
  <w:style w:type="paragraph" w:customStyle="1" w:styleId="TitleL25Italic">
    <w:name w:val="Title L .25 Italic"/>
    <w:basedOn w:val="Normal"/>
    <w:uiPriority w:val="99"/>
    <w:semiHidden/>
    <w:rsid w:val="002831AB"/>
    <w:pPr>
      <w:keepNext/>
      <w:suppressAutoHyphens/>
      <w:spacing w:after="240"/>
      <w:ind w:left="360"/>
      <w:jc w:val="both"/>
    </w:pPr>
    <w:rPr>
      <w:rFonts w:ascii="Times New Roman" w:eastAsia="SimSun" w:hAnsi="Times New Roman"/>
      <w:i/>
      <w:iCs/>
      <w:lang w:val="en-US" w:eastAsia="es-AR"/>
    </w:rPr>
  </w:style>
  <w:style w:type="paragraph" w:customStyle="1" w:styleId="CPN-bullet">
    <w:name w:val="CPN-bullet"/>
    <w:basedOn w:val="Normal"/>
    <w:uiPriority w:val="99"/>
    <w:semiHidden/>
    <w:rsid w:val="002831AB"/>
    <w:pPr>
      <w:tabs>
        <w:tab w:val="left" w:pos="990"/>
      </w:tabs>
      <w:overflowPunct w:val="0"/>
      <w:autoSpaceDE w:val="0"/>
      <w:autoSpaceDN w:val="0"/>
      <w:adjustRightInd w:val="0"/>
      <w:spacing w:after="210"/>
      <w:ind w:left="907" w:hanging="360"/>
      <w:textAlignment w:val="baseline"/>
    </w:pPr>
    <w:rPr>
      <w:rFonts w:ascii="Times New Roman" w:eastAsia="SimSun" w:hAnsi="Times New Roman"/>
      <w:sz w:val="21"/>
      <w:szCs w:val="21"/>
      <w:lang w:val="en-AU" w:eastAsia="es-AR"/>
    </w:rPr>
  </w:style>
  <w:style w:type="paragraph" w:customStyle="1" w:styleId="TitleL5Bold">
    <w:name w:val="Title L .5 Bold"/>
    <w:basedOn w:val="Normal"/>
    <w:uiPriority w:val="99"/>
    <w:semiHidden/>
    <w:rsid w:val="002831AB"/>
    <w:pPr>
      <w:keepNext/>
      <w:suppressAutoHyphens/>
      <w:spacing w:after="240"/>
      <w:ind w:firstLine="720"/>
      <w:jc w:val="both"/>
    </w:pPr>
    <w:rPr>
      <w:rFonts w:ascii="Times New Roman" w:eastAsia="SimSun" w:hAnsi="Times New Roman"/>
      <w:b/>
      <w:bCs/>
      <w:lang w:val="en-US" w:eastAsia="es-AR"/>
    </w:rPr>
  </w:style>
  <w:style w:type="paragraph" w:customStyle="1" w:styleId="16pttitle">
    <w:name w:val="16 pt title"/>
    <w:basedOn w:val="Normal"/>
    <w:uiPriority w:val="99"/>
    <w:semiHidden/>
    <w:rsid w:val="002831AB"/>
    <w:pPr>
      <w:suppressAutoHyphens/>
      <w:spacing w:after="120"/>
      <w:jc w:val="center"/>
    </w:pPr>
    <w:rPr>
      <w:rFonts w:ascii="Times New Roman" w:eastAsia="SimSun" w:hAnsi="Times New Roman"/>
      <w:b/>
      <w:bCs/>
      <w:sz w:val="32"/>
      <w:szCs w:val="32"/>
      <w:lang w:val="es-MX" w:eastAsia="es-AR"/>
    </w:rPr>
  </w:style>
  <w:style w:type="paragraph" w:customStyle="1" w:styleId="12pttitle">
    <w:name w:val="12 pt title"/>
    <w:basedOn w:val="Normal"/>
    <w:uiPriority w:val="99"/>
    <w:semiHidden/>
    <w:rsid w:val="002831AB"/>
    <w:pPr>
      <w:suppressAutoHyphens/>
      <w:spacing w:after="120"/>
      <w:jc w:val="center"/>
    </w:pPr>
    <w:rPr>
      <w:rFonts w:ascii="Times New Roman" w:eastAsia="SimSun" w:hAnsi="Times New Roman"/>
      <w:b/>
      <w:bCs/>
      <w:sz w:val="24"/>
      <w:szCs w:val="24"/>
      <w:lang w:val="en-US" w:eastAsia="es-AR"/>
    </w:rPr>
  </w:style>
  <w:style w:type="paragraph" w:customStyle="1" w:styleId="9ptjust">
    <w:name w:val="9 pt just"/>
    <w:basedOn w:val="Normal"/>
    <w:uiPriority w:val="99"/>
    <w:semiHidden/>
    <w:rsid w:val="002831AB"/>
    <w:pPr>
      <w:suppressAutoHyphens/>
      <w:spacing w:after="120"/>
      <w:jc w:val="both"/>
    </w:pPr>
    <w:rPr>
      <w:rFonts w:ascii="Times New Roman" w:eastAsia="SimSun" w:hAnsi="Times New Roman"/>
      <w:sz w:val="18"/>
      <w:szCs w:val="18"/>
      <w:lang w:val="en-US" w:eastAsia="es-AR"/>
    </w:rPr>
  </w:style>
  <w:style w:type="paragraph" w:customStyle="1" w:styleId="9ptbt">
    <w:name w:val="9 pt bt"/>
    <w:basedOn w:val="Normal"/>
    <w:uiPriority w:val="99"/>
    <w:semiHidden/>
    <w:rsid w:val="002831AB"/>
    <w:pPr>
      <w:suppressAutoHyphens/>
      <w:spacing w:after="120"/>
      <w:ind w:firstLine="720"/>
      <w:jc w:val="both"/>
    </w:pPr>
    <w:rPr>
      <w:rFonts w:ascii="Times New Roman" w:eastAsia="SimSun" w:hAnsi="Times New Roman"/>
      <w:sz w:val="18"/>
      <w:szCs w:val="18"/>
      <w:lang w:val="en-US" w:eastAsia="es-AR"/>
    </w:rPr>
  </w:style>
  <w:style w:type="paragraph" w:customStyle="1" w:styleId="9ptcenter">
    <w:name w:val="9 pt center"/>
    <w:basedOn w:val="Normal"/>
    <w:uiPriority w:val="99"/>
    <w:semiHidden/>
    <w:rsid w:val="002831AB"/>
    <w:pPr>
      <w:suppressAutoHyphens/>
      <w:spacing w:after="120"/>
      <w:jc w:val="center"/>
    </w:pPr>
    <w:rPr>
      <w:rFonts w:ascii="Times New Roman" w:eastAsia="SimSun" w:hAnsi="Times New Roman"/>
      <w:sz w:val="18"/>
      <w:szCs w:val="18"/>
      <w:lang w:val="en-US" w:eastAsia="es-AR"/>
    </w:rPr>
  </w:style>
  <w:style w:type="paragraph" w:customStyle="1" w:styleId="TitleLBold">
    <w:name w:val="Title L Bold"/>
    <w:aliases w:val="Italic"/>
    <w:basedOn w:val="TitleL"/>
    <w:uiPriority w:val="99"/>
    <w:semiHidden/>
    <w:rsid w:val="002831AB"/>
    <w:pPr>
      <w:keepNext/>
      <w:autoSpaceDE/>
      <w:autoSpaceDN/>
      <w:adjustRightInd/>
      <w:jc w:val="both"/>
    </w:pPr>
    <w:rPr>
      <w:rFonts w:eastAsia="SimSun"/>
      <w:i/>
      <w:iCs/>
    </w:rPr>
  </w:style>
  <w:style w:type="paragraph" w:customStyle="1" w:styleId="OutlineBodyText">
    <w:name w:val="Outline Body Text"/>
    <w:aliases w:val="obt Car Car"/>
    <w:basedOn w:val="Normal"/>
    <w:link w:val="obtCarCarCar"/>
    <w:uiPriority w:val="99"/>
    <w:semiHidden/>
    <w:rsid w:val="002831AB"/>
    <w:pPr>
      <w:spacing w:after="240"/>
      <w:ind w:firstLine="720"/>
    </w:pPr>
    <w:rPr>
      <w:rFonts w:ascii="Times New Roman" w:eastAsia="SimSun" w:hAnsi="Times New Roman"/>
      <w:kern w:val="28"/>
      <w:lang w:val="en-US" w:eastAsia="x-none"/>
    </w:rPr>
  </w:style>
  <w:style w:type="character" w:customStyle="1" w:styleId="obtCarCarCar">
    <w:name w:val="obt Car Car Car"/>
    <w:link w:val="OutlineBodyText"/>
    <w:uiPriority w:val="99"/>
    <w:semiHidden/>
    <w:locked/>
    <w:rsid w:val="002831AB"/>
    <w:rPr>
      <w:rFonts w:ascii="Times New Roman" w:eastAsia="SimSun" w:hAnsi="Times New Roman"/>
      <w:kern w:val="28"/>
      <w:lang w:val="en-US" w:eastAsia="x-none"/>
    </w:rPr>
  </w:style>
  <w:style w:type="paragraph" w:customStyle="1" w:styleId="Subtitle6">
    <w:name w:val="Subtitle6"/>
    <w:basedOn w:val="Normal"/>
    <w:next w:val="OutlineBodyText"/>
    <w:uiPriority w:val="99"/>
    <w:semiHidden/>
    <w:rsid w:val="002831AB"/>
    <w:pPr>
      <w:keepNext/>
      <w:widowControl w:val="0"/>
      <w:tabs>
        <w:tab w:val="left" w:pos="720"/>
      </w:tabs>
      <w:spacing w:after="240"/>
    </w:pPr>
    <w:rPr>
      <w:rFonts w:ascii="Times New Roman" w:eastAsia="SimSun" w:hAnsi="Times New Roman"/>
      <w:i/>
      <w:iCs/>
      <w:kern w:val="28"/>
      <w:lang w:val="en-US" w:eastAsia="es-AR"/>
    </w:rPr>
  </w:style>
  <w:style w:type="paragraph" w:customStyle="1" w:styleId="tablefootnote1">
    <w:name w:val="table footnote"/>
    <w:basedOn w:val="BodyTextJ"/>
    <w:link w:val="tablefootnoteChar"/>
    <w:uiPriority w:val="99"/>
    <w:qFormat/>
    <w:rsid w:val="00B86C83"/>
    <w:pPr>
      <w:spacing w:after="240" w:line="240" w:lineRule="auto"/>
      <w:ind w:left="360" w:hanging="360"/>
    </w:pPr>
    <w:rPr>
      <w:rFonts w:eastAsia="SimSun"/>
      <w:sz w:val="20"/>
      <w:szCs w:val="20"/>
    </w:rPr>
  </w:style>
  <w:style w:type="paragraph" w:customStyle="1" w:styleId="Textodetabla">
    <w:name w:val="Texto de tabla"/>
    <w:basedOn w:val="Normal"/>
    <w:uiPriority w:val="99"/>
    <w:rsid w:val="002831AB"/>
    <w:pPr>
      <w:tabs>
        <w:tab w:val="decimal" w:pos="0"/>
      </w:tabs>
      <w:jc w:val="both"/>
    </w:pPr>
    <w:rPr>
      <w:rFonts w:ascii="Times New Roman" w:eastAsia="SimSun" w:hAnsi="Times New Roman"/>
      <w:sz w:val="24"/>
      <w:lang w:eastAsia="es-ES"/>
    </w:rPr>
  </w:style>
  <w:style w:type="paragraph" w:customStyle="1" w:styleId="Textopredeterminado">
    <w:name w:val="Texto predeterminado"/>
    <w:basedOn w:val="Normal"/>
    <w:rsid w:val="002831AB"/>
    <w:rPr>
      <w:rFonts w:ascii="Arial" w:eastAsia="SimSun" w:hAnsi="Arial"/>
      <w:sz w:val="24"/>
      <w:lang w:eastAsia="es-ES"/>
    </w:rPr>
  </w:style>
  <w:style w:type="paragraph" w:customStyle="1" w:styleId="xl24">
    <w:name w:val="xl24"/>
    <w:basedOn w:val="Normal"/>
    <w:rsid w:val="002831AB"/>
    <w:pPr>
      <w:spacing w:before="100" w:beforeAutospacing="1" w:after="100" w:afterAutospacing="1"/>
    </w:pPr>
    <w:rPr>
      <w:rFonts w:ascii="CG Omega" w:eastAsia="SimSun" w:hAnsi="CG Omega" w:cs="Arial Unicode MS"/>
      <w:sz w:val="24"/>
      <w:szCs w:val="24"/>
      <w:lang w:val="es-ES" w:eastAsia="es-ES"/>
    </w:rPr>
  </w:style>
  <w:style w:type="paragraph" w:customStyle="1" w:styleId="xl25">
    <w:name w:val="xl25"/>
    <w:basedOn w:val="Normal"/>
    <w:rsid w:val="002831AB"/>
    <w:pPr>
      <w:shd w:val="clear" w:color="000000" w:fill="auto"/>
      <w:spacing w:before="100" w:beforeAutospacing="1" w:after="100" w:afterAutospacing="1"/>
      <w:jc w:val="center"/>
    </w:pPr>
    <w:rPr>
      <w:rFonts w:ascii="CG Omega" w:eastAsia="SimSun" w:hAnsi="CG Omega" w:cs="Arial Unicode MS"/>
      <w:b/>
      <w:bCs/>
      <w:color w:val="FFFFFF"/>
      <w:sz w:val="24"/>
      <w:szCs w:val="24"/>
      <w:lang w:val="es-ES" w:eastAsia="es-ES"/>
    </w:rPr>
  </w:style>
  <w:style w:type="paragraph" w:customStyle="1" w:styleId="xl26">
    <w:name w:val="xl26"/>
    <w:basedOn w:val="Normal"/>
    <w:rsid w:val="002831A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textAlignment w:val="center"/>
    </w:pPr>
    <w:rPr>
      <w:rFonts w:ascii="CG Omega" w:eastAsia="SimSun" w:hAnsi="CG Omega" w:cs="Arial Unicode MS"/>
      <w:b/>
      <w:bCs/>
      <w:sz w:val="24"/>
      <w:szCs w:val="24"/>
      <w:lang w:val="es-ES" w:eastAsia="es-ES"/>
    </w:rPr>
  </w:style>
  <w:style w:type="paragraph" w:customStyle="1" w:styleId="xl27">
    <w:name w:val="xl27"/>
    <w:basedOn w:val="Normal"/>
    <w:rsid w:val="002831A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textAlignment w:val="center"/>
    </w:pPr>
    <w:rPr>
      <w:rFonts w:ascii="CG Omega" w:eastAsia="SimSun" w:hAnsi="CG Omega" w:cs="Arial Unicode MS"/>
      <w:b/>
      <w:bCs/>
      <w:sz w:val="24"/>
      <w:szCs w:val="24"/>
      <w:lang w:val="es-ES" w:eastAsia="es-ES"/>
    </w:rPr>
  </w:style>
  <w:style w:type="paragraph" w:customStyle="1" w:styleId="xl28">
    <w:name w:val="xl28"/>
    <w:basedOn w:val="Normal"/>
    <w:rsid w:val="002831AB"/>
    <w:pPr>
      <w:spacing w:before="100" w:beforeAutospacing="1" w:after="100" w:afterAutospacing="1"/>
      <w:jc w:val="center"/>
    </w:pPr>
    <w:rPr>
      <w:rFonts w:ascii="CG Omega" w:eastAsia="SimSun" w:hAnsi="CG Omega" w:cs="Arial Unicode MS"/>
      <w:b/>
      <w:bCs/>
      <w:color w:val="FFFFFF"/>
      <w:sz w:val="24"/>
      <w:szCs w:val="24"/>
      <w:lang w:val="es-ES" w:eastAsia="es-ES"/>
    </w:rPr>
  </w:style>
  <w:style w:type="paragraph" w:customStyle="1" w:styleId="xl29">
    <w:name w:val="xl29"/>
    <w:basedOn w:val="Normal"/>
    <w:rsid w:val="002831A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textAlignment w:val="center"/>
    </w:pPr>
    <w:rPr>
      <w:rFonts w:ascii="CG Omega" w:eastAsia="SimSun" w:hAnsi="CG Omega" w:cs="Arial Unicode MS"/>
      <w:b/>
      <w:bCs/>
      <w:sz w:val="24"/>
      <w:szCs w:val="24"/>
      <w:lang w:val="es-ES" w:eastAsia="es-ES"/>
    </w:rPr>
  </w:style>
  <w:style w:type="paragraph" w:customStyle="1" w:styleId="xl30">
    <w:name w:val="xl30"/>
    <w:basedOn w:val="Normal"/>
    <w:rsid w:val="002831AB"/>
    <w:pPr>
      <w:pBdr>
        <w:top w:val="single" w:sz="4" w:space="0" w:color="auto"/>
        <w:left w:val="single" w:sz="4" w:space="0" w:color="auto"/>
        <w:bottom w:val="single" w:sz="4" w:space="0" w:color="auto"/>
      </w:pBdr>
      <w:shd w:val="clear" w:color="auto" w:fill="99CCFF"/>
      <w:spacing w:before="100" w:beforeAutospacing="1" w:after="100" w:afterAutospacing="1"/>
      <w:jc w:val="center"/>
      <w:textAlignment w:val="center"/>
    </w:pPr>
    <w:rPr>
      <w:rFonts w:ascii="CG Omega" w:eastAsia="SimSun" w:hAnsi="CG Omega" w:cs="Arial Unicode MS"/>
      <w:b/>
      <w:bCs/>
      <w:sz w:val="24"/>
      <w:szCs w:val="24"/>
      <w:lang w:val="es-ES" w:eastAsia="es-ES"/>
    </w:rPr>
  </w:style>
  <w:style w:type="paragraph" w:customStyle="1" w:styleId="xl31">
    <w:name w:val="xl31"/>
    <w:basedOn w:val="Normal"/>
    <w:rsid w:val="002831AB"/>
    <w:pPr>
      <w:spacing w:before="100" w:beforeAutospacing="1" w:after="100" w:afterAutospacing="1"/>
    </w:pPr>
    <w:rPr>
      <w:rFonts w:ascii="CG Omega" w:eastAsia="SimSun" w:hAnsi="CG Omega" w:cs="Arial Unicode MS"/>
      <w:sz w:val="24"/>
      <w:szCs w:val="24"/>
      <w:lang w:val="es-ES" w:eastAsia="es-ES"/>
    </w:rPr>
  </w:style>
  <w:style w:type="paragraph" w:customStyle="1" w:styleId="xl32">
    <w:name w:val="xl32"/>
    <w:basedOn w:val="Normal"/>
    <w:rsid w:val="002831AB"/>
    <w:pPr>
      <w:pBdr>
        <w:left w:val="single" w:sz="4" w:space="0" w:color="auto"/>
        <w:right w:val="single" w:sz="4" w:space="0" w:color="auto"/>
      </w:pBdr>
      <w:shd w:val="clear" w:color="auto" w:fill="CCFFFF"/>
      <w:spacing w:before="100" w:beforeAutospacing="1" w:after="100" w:afterAutospacing="1"/>
      <w:textAlignment w:val="center"/>
    </w:pPr>
    <w:rPr>
      <w:rFonts w:ascii="CG Omega" w:eastAsia="SimSun" w:hAnsi="CG Omega" w:cs="Arial Unicode MS"/>
      <w:b/>
      <w:bCs/>
      <w:lang w:val="es-ES" w:eastAsia="es-ES"/>
    </w:rPr>
  </w:style>
  <w:style w:type="paragraph" w:customStyle="1" w:styleId="xl33">
    <w:name w:val="xl33"/>
    <w:basedOn w:val="Normal"/>
    <w:rsid w:val="002831AB"/>
    <w:pPr>
      <w:pBdr>
        <w:left w:val="single" w:sz="4" w:space="0" w:color="auto"/>
        <w:right w:val="single" w:sz="4" w:space="0" w:color="auto"/>
      </w:pBdr>
      <w:shd w:val="clear" w:color="auto" w:fill="CCFFFF"/>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34">
    <w:name w:val="xl34"/>
    <w:basedOn w:val="Normal"/>
    <w:rsid w:val="002831AB"/>
    <w:pPr>
      <w:pBdr>
        <w:left w:val="single" w:sz="4" w:space="0" w:color="auto"/>
        <w:right w:val="single" w:sz="4" w:space="0" w:color="auto"/>
      </w:pBdr>
      <w:shd w:val="clear" w:color="auto" w:fill="CCFFFF"/>
      <w:spacing w:before="100" w:beforeAutospacing="1" w:after="100" w:afterAutospacing="1"/>
      <w:jc w:val="center"/>
      <w:textAlignment w:val="center"/>
    </w:pPr>
    <w:rPr>
      <w:rFonts w:ascii="CG Omega" w:eastAsia="SimSun" w:hAnsi="CG Omega" w:cs="Arial Unicode MS"/>
      <w:lang w:val="es-ES" w:eastAsia="es-ES"/>
    </w:rPr>
  </w:style>
  <w:style w:type="paragraph" w:customStyle="1" w:styleId="xl35">
    <w:name w:val="xl35"/>
    <w:basedOn w:val="Normal"/>
    <w:rsid w:val="002831AB"/>
    <w:pPr>
      <w:pBdr>
        <w:left w:val="single" w:sz="4" w:space="0" w:color="auto"/>
        <w:right w:val="single" w:sz="4" w:space="0" w:color="auto"/>
      </w:pBdr>
      <w:shd w:val="clear" w:color="auto" w:fill="CCFFFF"/>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36">
    <w:name w:val="xl36"/>
    <w:basedOn w:val="Normal"/>
    <w:rsid w:val="002831AB"/>
    <w:pPr>
      <w:pBdr>
        <w:left w:val="single" w:sz="4" w:space="0" w:color="auto"/>
        <w:right w:val="single" w:sz="4" w:space="0" w:color="auto"/>
      </w:pBdr>
      <w:shd w:val="clear" w:color="auto" w:fill="CCFFFF"/>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37">
    <w:name w:val="xl37"/>
    <w:basedOn w:val="Normal"/>
    <w:rsid w:val="002831AB"/>
    <w:pPr>
      <w:spacing w:before="100" w:beforeAutospacing="1" w:after="100" w:afterAutospacing="1"/>
      <w:jc w:val="center"/>
      <w:textAlignment w:val="center"/>
    </w:pPr>
    <w:rPr>
      <w:rFonts w:ascii="CG Omega" w:eastAsia="SimSun" w:hAnsi="CG Omega" w:cs="Arial Unicode MS"/>
      <w:lang w:val="es-ES" w:eastAsia="es-ES"/>
    </w:rPr>
  </w:style>
  <w:style w:type="paragraph" w:customStyle="1" w:styleId="xl38">
    <w:name w:val="xl38"/>
    <w:basedOn w:val="Normal"/>
    <w:rsid w:val="002831AB"/>
    <w:pPr>
      <w:pBdr>
        <w:left w:val="single" w:sz="4" w:space="0" w:color="auto"/>
        <w:right w:val="single" w:sz="4" w:space="0" w:color="auto"/>
      </w:pBdr>
      <w:spacing w:before="100" w:beforeAutospacing="1" w:after="100" w:afterAutospacing="1"/>
      <w:textAlignment w:val="center"/>
    </w:pPr>
    <w:rPr>
      <w:rFonts w:ascii="CG Omega" w:eastAsia="SimSun" w:hAnsi="CG Omega" w:cs="Arial Unicode MS"/>
      <w:b/>
      <w:bCs/>
      <w:lang w:val="es-ES" w:eastAsia="es-ES"/>
    </w:rPr>
  </w:style>
  <w:style w:type="paragraph" w:customStyle="1" w:styleId="xl39">
    <w:name w:val="xl39"/>
    <w:basedOn w:val="Normal"/>
    <w:rsid w:val="002831AB"/>
    <w:pPr>
      <w:pBdr>
        <w:left w:val="single" w:sz="4" w:space="0" w:color="auto"/>
        <w:right w:val="single" w:sz="4" w:space="0" w:color="auto"/>
      </w:pBdr>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40">
    <w:name w:val="xl40"/>
    <w:basedOn w:val="Normal"/>
    <w:rsid w:val="002831AB"/>
    <w:pPr>
      <w:pBdr>
        <w:left w:val="single" w:sz="4" w:space="0" w:color="auto"/>
        <w:right w:val="single" w:sz="4" w:space="0" w:color="auto"/>
      </w:pBdr>
      <w:spacing w:before="100" w:beforeAutospacing="1" w:after="100" w:afterAutospacing="1"/>
      <w:jc w:val="center"/>
      <w:textAlignment w:val="center"/>
    </w:pPr>
    <w:rPr>
      <w:rFonts w:ascii="CG Omega" w:eastAsia="SimSun" w:hAnsi="CG Omega" w:cs="Arial Unicode MS"/>
      <w:lang w:val="es-ES" w:eastAsia="es-ES"/>
    </w:rPr>
  </w:style>
  <w:style w:type="paragraph" w:customStyle="1" w:styleId="xl41">
    <w:name w:val="xl41"/>
    <w:basedOn w:val="Normal"/>
    <w:rsid w:val="002831AB"/>
    <w:pPr>
      <w:pBdr>
        <w:left w:val="single" w:sz="4" w:space="0" w:color="auto"/>
        <w:right w:val="single" w:sz="4" w:space="0" w:color="auto"/>
      </w:pBdr>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42">
    <w:name w:val="xl42"/>
    <w:basedOn w:val="Normal"/>
    <w:rsid w:val="002831AB"/>
    <w:pPr>
      <w:pBdr>
        <w:left w:val="single" w:sz="4" w:space="0" w:color="auto"/>
        <w:right w:val="single" w:sz="4" w:space="0" w:color="auto"/>
      </w:pBdr>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Notacuerpo">
    <w:name w:val="Nota cuerpo"/>
    <w:basedOn w:val="Normal"/>
    <w:rsid w:val="002831AB"/>
    <w:pPr>
      <w:ind w:left="1440"/>
      <w:jc w:val="both"/>
    </w:pPr>
    <w:rPr>
      <w:rFonts w:ascii="Arial" w:eastAsia="SimSun" w:hAnsi="Arial"/>
      <w:sz w:val="24"/>
      <w:lang w:eastAsia="es-ES"/>
    </w:rPr>
  </w:style>
  <w:style w:type="paragraph" w:customStyle="1" w:styleId="BodyTextIndent31">
    <w:name w:val="Body Text Indent 31"/>
    <w:basedOn w:val="Normal"/>
    <w:uiPriority w:val="99"/>
    <w:semiHidden/>
    <w:rsid w:val="002831AB"/>
    <w:pPr>
      <w:tabs>
        <w:tab w:val="left" w:pos="6237"/>
      </w:tabs>
      <w:ind w:firstLine="284"/>
      <w:jc w:val="both"/>
    </w:pPr>
    <w:rPr>
      <w:rFonts w:ascii="Garamond" w:eastAsia="SimSun" w:hAnsi="Garamond"/>
      <w:lang w:eastAsia="es-ES"/>
    </w:rPr>
  </w:style>
  <w:style w:type="paragraph" w:customStyle="1" w:styleId="NotaN">
    <w:name w:val="Nota Nº"/>
    <w:basedOn w:val="Normal"/>
    <w:uiPriority w:val="99"/>
    <w:rsid w:val="00B86C83"/>
    <w:pPr>
      <w:jc w:val="both"/>
    </w:pPr>
    <w:rPr>
      <w:rFonts w:ascii="Arial" w:eastAsia="SimSun" w:hAnsi="Arial"/>
      <w:b/>
      <w:sz w:val="24"/>
      <w:szCs w:val="24"/>
      <w:u w:val="single"/>
      <w:lang w:eastAsia="es-ES"/>
    </w:rPr>
  </w:style>
  <w:style w:type="paragraph" w:customStyle="1" w:styleId="ListArabic1">
    <w:name w:val="List Arabic 1"/>
    <w:basedOn w:val="Normal"/>
    <w:next w:val="Textoindependiente"/>
    <w:uiPriority w:val="99"/>
    <w:semiHidden/>
    <w:rsid w:val="002831AB"/>
    <w:pPr>
      <w:tabs>
        <w:tab w:val="left" w:pos="22"/>
        <w:tab w:val="num" w:pos="624"/>
      </w:tabs>
      <w:spacing w:after="200" w:line="288" w:lineRule="auto"/>
      <w:ind w:left="624" w:hanging="624"/>
      <w:jc w:val="both"/>
    </w:pPr>
    <w:rPr>
      <w:rFonts w:ascii="CG Times" w:eastAsia="SimSun" w:hAnsi="CG Times"/>
      <w:sz w:val="22"/>
      <w:lang w:val="en-GB" w:eastAsia="es-AR"/>
    </w:rPr>
  </w:style>
  <w:style w:type="paragraph" w:customStyle="1" w:styleId="ListArabic2">
    <w:name w:val="List Arabic 2"/>
    <w:basedOn w:val="Normal"/>
    <w:next w:val="Textoindependiente2"/>
    <w:uiPriority w:val="99"/>
    <w:semiHidden/>
    <w:rsid w:val="002831AB"/>
    <w:pPr>
      <w:tabs>
        <w:tab w:val="left" w:pos="50"/>
        <w:tab w:val="num" w:pos="1417"/>
      </w:tabs>
      <w:spacing w:after="200" w:line="288" w:lineRule="auto"/>
      <w:ind w:left="1417" w:hanging="793"/>
      <w:jc w:val="both"/>
    </w:pPr>
    <w:rPr>
      <w:rFonts w:ascii="CG Times" w:eastAsia="SimSun" w:hAnsi="CG Times"/>
      <w:sz w:val="22"/>
      <w:lang w:val="en-GB" w:eastAsia="es-AR"/>
    </w:rPr>
  </w:style>
  <w:style w:type="paragraph" w:customStyle="1" w:styleId="ListArabic3">
    <w:name w:val="List Arabic 3"/>
    <w:basedOn w:val="Normal"/>
    <w:next w:val="Textoindependiente3"/>
    <w:uiPriority w:val="99"/>
    <w:semiHidden/>
    <w:rsid w:val="002831AB"/>
    <w:pPr>
      <w:tabs>
        <w:tab w:val="left" w:pos="68"/>
        <w:tab w:val="num" w:pos="1928"/>
      </w:tabs>
      <w:spacing w:after="200" w:line="288" w:lineRule="auto"/>
      <w:ind w:left="1928" w:hanging="511"/>
      <w:jc w:val="both"/>
    </w:pPr>
    <w:rPr>
      <w:rFonts w:ascii="CG Times" w:eastAsia="SimSun" w:hAnsi="CG Times"/>
      <w:sz w:val="22"/>
      <w:lang w:val="en-GB" w:eastAsia="es-AR"/>
    </w:rPr>
  </w:style>
  <w:style w:type="paragraph" w:customStyle="1" w:styleId="NotesAlpha">
    <w:name w:val="Notes Alpha"/>
    <w:basedOn w:val="Normal"/>
    <w:uiPriority w:val="99"/>
    <w:semiHidden/>
    <w:rsid w:val="002831AB"/>
    <w:pPr>
      <w:tabs>
        <w:tab w:val="num" w:pos="624"/>
      </w:tabs>
      <w:spacing w:after="100" w:line="288" w:lineRule="auto"/>
      <w:ind w:left="624" w:hanging="624"/>
      <w:jc w:val="both"/>
    </w:pPr>
    <w:rPr>
      <w:rFonts w:ascii="CG Times" w:eastAsia="SimSun" w:hAnsi="CG Times"/>
      <w:sz w:val="22"/>
      <w:lang w:val="en-GB" w:eastAsia="es-AR"/>
    </w:rPr>
  </w:style>
  <w:style w:type="paragraph" w:customStyle="1" w:styleId="NotesArabic">
    <w:name w:val="Notes Arabic"/>
    <w:basedOn w:val="Normal"/>
    <w:uiPriority w:val="99"/>
    <w:semiHidden/>
    <w:rsid w:val="002831AB"/>
    <w:pPr>
      <w:tabs>
        <w:tab w:val="num" w:pos="624"/>
      </w:tabs>
      <w:spacing w:after="100" w:line="288" w:lineRule="auto"/>
      <w:ind w:left="624" w:hanging="624"/>
      <w:jc w:val="both"/>
    </w:pPr>
    <w:rPr>
      <w:rFonts w:ascii="CG Times" w:eastAsia="SimSun" w:hAnsi="CG Times"/>
      <w:sz w:val="22"/>
      <w:lang w:val="en-GB" w:eastAsia="es-AR"/>
    </w:rPr>
  </w:style>
  <w:style w:type="paragraph" w:customStyle="1" w:styleId="NotesRoman">
    <w:name w:val="Notes Roman"/>
    <w:basedOn w:val="Normal"/>
    <w:uiPriority w:val="99"/>
    <w:semiHidden/>
    <w:rsid w:val="002831AB"/>
    <w:pPr>
      <w:tabs>
        <w:tab w:val="left" w:pos="624"/>
      </w:tabs>
      <w:spacing w:after="100" w:line="288" w:lineRule="auto"/>
      <w:ind w:left="624" w:hanging="624"/>
      <w:jc w:val="both"/>
    </w:pPr>
    <w:rPr>
      <w:rFonts w:ascii="CG Times" w:eastAsia="SimSun" w:hAnsi="CG Times"/>
      <w:sz w:val="22"/>
      <w:lang w:val="en-GB" w:eastAsia="es-AR"/>
    </w:rPr>
  </w:style>
  <w:style w:type="paragraph" w:customStyle="1" w:styleId="PartHeadings">
    <w:name w:val="Part Headings"/>
    <w:basedOn w:val="Normal"/>
    <w:next w:val="Normal"/>
    <w:uiPriority w:val="99"/>
    <w:semiHidden/>
    <w:rsid w:val="002831AB"/>
    <w:pPr>
      <w:tabs>
        <w:tab w:val="num" w:pos="360"/>
      </w:tabs>
      <w:suppressAutoHyphens/>
      <w:spacing w:after="300" w:line="312" w:lineRule="auto"/>
      <w:jc w:val="center"/>
      <w:outlineLvl w:val="2"/>
    </w:pPr>
    <w:rPr>
      <w:rFonts w:ascii="CG Times" w:eastAsia="SimSun" w:hAnsi="CG Times"/>
      <w:b/>
      <w:sz w:val="21"/>
      <w:lang w:val="en-GB" w:eastAsia="es-AR"/>
    </w:rPr>
  </w:style>
  <w:style w:type="paragraph" w:customStyle="1" w:styleId="ListRoman1">
    <w:name w:val="List Roman 1"/>
    <w:basedOn w:val="Normal"/>
    <w:next w:val="Textoindependiente"/>
    <w:uiPriority w:val="99"/>
    <w:semiHidden/>
    <w:rsid w:val="002831AB"/>
    <w:pPr>
      <w:tabs>
        <w:tab w:val="left" w:pos="22"/>
        <w:tab w:val="num" w:pos="360"/>
      </w:tabs>
      <w:spacing w:after="200" w:line="288" w:lineRule="auto"/>
      <w:ind w:left="360" w:hanging="360"/>
      <w:jc w:val="both"/>
    </w:pPr>
    <w:rPr>
      <w:rFonts w:ascii="CG Times" w:eastAsia="SimSun" w:hAnsi="CG Times"/>
      <w:sz w:val="22"/>
      <w:lang w:val="en-GB" w:eastAsia="es-AR"/>
    </w:rPr>
  </w:style>
  <w:style w:type="paragraph" w:customStyle="1" w:styleId="ListLegal1">
    <w:name w:val="List Legal 1"/>
    <w:basedOn w:val="Normal"/>
    <w:next w:val="Textoindependiente"/>
    <w:uiPriority w:val="99"/>
    <w:semiHidden/>
    <w:rsid w:val="002831AB"/>
    <w:pPr>
      <w:tabs>
        <w:tab w:val="left" w:pos="22"/>
        <w:tab w:val="num" w:pos="360"/>
      </w:tabs>
      <w:spacing w:after="200" w:line="288" w:lineRule="auto"/>
      <w:ind w:left="360" w:hanging="360"/>
      <w:jc w:val="both"/>
    </w:pPr>
    <w:rPr>
      <w:rFonts w:ascii="CG Times" w:eastAsia="SimSun" w:hAnsi="CG Times"/>
      <w:sz w:val="22"/>
      <w:lang w:val="en-GB" w:eastAsia="es-AR"/>
    </w:rPr>
  </w:style>
  <w:style w:type="paragraph" w:customStyle="1" w:styleId="ListAlpha1">
    <w:name w:val="List Alpha 1"/>
    <w:basedOn w:val="Normal"/>
    <w:next w:val="Textoindependiente"/>
    <w:uiPriority w:val="99"/>
    <w:semiHidden/>
    <w:rsid w:val="002831AB"/>
    <w:pPr>
      <w:tabs>
        <w:tab w:val="left" w:pos="22"/>
        <w:tab w:val="num" w:pos="720"/>
      </w:tabs>
      <w:spacing w:after="200" w:line="288" w:lineRule="auto"/>
      <w:ind w:left="624" w:hanging="624"/>
      <w:jc w:val="both"/>
    </w:pPr>
    <w:rPr>
      <w:rFonts w:ascii="CG Times" w:eastAsia="SimSun" w:hAnsi="CG Times"/>
      <w:sz w:val="22"/>
      <w:lang w:val="en-GB" w:eastAsia="es-AR"/>
    </w:rPr>
  </w:style>
  <w:style w:type="paragraph" w:customStyle="1" w:styleId="ListRoman2">
    <w:name w:val="List Roman 2"/>
    <w:basedOn w:val="Normal"/>
    <w:next w:val="Textoindependiente2"/>
    <w:uiPriority w:val="99"/>
    <w:semiHidden/>
    <w:rsid w:val="002831AB"/>
    <w:pPr>
      <w:tabs>
        <w:tab w:val="left" w:pos="50"/>
        <w:tab w:val="num" w:pos="360"/>
      </w:tabs>
      <w:spacing w:after="200" w:line="288" w:lineRule="auto"/>
      <w:ind w:left="360" w:hanging="360"/>
      <w:jc w:val="both"/>
    </w:pPr>
    <w:rPr>
      <w:rFonts w:ascii="CG Times" w:eastAsia="SimSun" w:hAnsi="CG Times"/>
      <w:sz w:val="22"/>
      <w:lang w:val="en-GB" w:eastAsia="es-AR"/>
    </w:rPr>
  </w:style>
  <w:style w:type="paragraph" w:customStyle="1" w:styleId="LISTALPHACAPS3">
    <w:name w:val="LIST ALPHA CAPS 3"/>
    <w:basedOn w:val="Normal"/>
    <w:next w:val="Textoindependiente3"/>
    <w:uiPriority w:val="99"/>
    <w:semiHidden/>
    <w:rsid w:val="002831AB"/>
    <w:pPr>
      <w:tabs>
        <w:tab w:val="left" w:pos="68"/>
        <w:tab w:val="num" w:pos="360"/>
      </w:tabs>
      <w:spacing w:after="200" w:line="288" w:lineRule="auto"/>
      <w:jc w:val="both"/>
    </w:pPr>
    <w:rPr>
      <w:rFonts w:ascii="CG Times" w:eastAsia="SimSun" w:hAnsi="CG Times"/>
      <w:sz w:val="22"/>
      <w:lang w:val="en-GB" w:eastAsia="es-AR"/>
    </w:rPr>
  </w:style>
  <w:style w:type="paragraph" w:customStyle="1" w:styleId="ListAlpha3">
    <w:name w:val="List Alpha 3"/>
    <w:basedOn w:val="Normal"/>
    <w:next w:val="Textoindependiente3"/>
    <w:uiPriority w:val="99"/>
    <w:semiHidden/>
    <w:rsid w:val="002831AB"/>
    <w:pPr>
      <w:tabs>
        <w:tab w:val="left" w:pos="68"/>
        <w:tab w:val="num" w:pos="1928"/>
      </w:tabs>
      <w:spacing w:after="200" w:line="288" w:lineRule="auto"/>
      <w:ind w:left="1928" w:hanging="511"/>
      <w:jc w:val="both"/>
    </w:pPr>
    <w:rPr>
      <w:rFonts w:ascii="CG Times" w:eastAsia="SimSun" w:hAnsi="CG Times"/>
      <w:sz w:val="22"/>
      <w:lang w:val="en-GB" w:eastAsia="es-AR"/>
    </w:rPr>
  </w:style>
  <w:style w:type="paragraph" w:customStyle="1" w:styleId="ListArabic4">
    <w:name w:val="List Arabic 4"/>
    <w:basedOn w:val="Normal"/>
    <w:next w:val="BodyText4"/>
    <w:uiPriority w:val="99"/>
    <w:semiHidden/>
    <w:rsid w:val="002831AB"/>
    <w:pPr>
      <w:tabs>
        <w:tab w:val="left" w:pos="86"/>
        <w:tab w:val="num" w:pos="360"/>
      </w:tabs>
      <w:spacing w:after="200" w:line="288" w:lineRule="auto"/>
      <w:ind w:left="360" w:hanging="360"/>
      <w:jc w:val="both"/>
    </w:pPr>
    <w:rPr>
      <w:rFonts w:ascii="CG Times" w:eastAsia="SimSun" w:hAnsi="CG Times"/>
      <w:sz w:val="22"/>
      <w:lang w:val="en-GB" w:eastAsia="es-AR"/>
    </w:rPr>
  </w:style>
  <w:style w:type="paragraph" w:customStyle="1" w:styleId="BodyText4">
    <w:name w:val="Body Text 4"/>
    <w:basedOn w:val="Normal"/>
    <w:uiPriority w:val="99"/>
    <w:semiHidden/>
    <w:rsid w:val="002831AB"/>
    <w:pPr>
      <w:spacing w:after="200" w:line="288" w:lineRule="auto"/>
      <w:ind w:left="2438"/>
      <w:jc w:val="both"/>
    </w:pPr>
    <w:rPr>
      <w:rFonts w:ascii="CG Times" w:eastAsia="SimSun" w:hAnsi="CG Times"/>
      <w:sz w:val="22"/>
      <w:lang w:val="en-GB" w:eastAsia="es-AR"/>
    </w:rPr>
  </w:style>
  <w:style w:type="paragraph" w:customStyle="1" w:styleId="ListAlpha2">
    <w:name w:val="List Alpha 2"/>
    <w:basedOn w:val="Normal"/>
    <w:next w:val="Textoindependiente2"/>
    <w:uiPriority w:val="99"/>
    <w:semiHidden/>
    <w:rsid w:val="002831AB"/>
    <w:pPr>
      <w:tabs>
        <w:tab w:val="left" w:pos="50"/>
        <w:tab w:val="num" w:pos="1417"/>
      </w:tabs>
      <w:spacing w:after="200" w:line="288" w:lineRule="auto"/>
      <w:ind w:left="1417" w:hanging="793"/>
      <w:jc w:val="both"/>
    </w:pPr>
    <w:rPr>
      <w:rFonts w:ascii="CG Times" w:eastAsia="SimSun" w:hAnsi="CG Times"/>
      <w:sz w:val="22"/>
      <w:lang w:val="en-GB" w:eastAsia="es-AR"/>
    </w:rPr>
  </w:style>
  <w:style w:type="paragraph" w:customStyle="1" w:styleId="ListRoman3">
    <w:name w:val="List Roman 3"/>
    <w:basedOn w:val="Normal"/>
    <w:next w:val="Textoindependiente3"/>
    <w:uiPriority w:val="99"/>
    <w:semiHidden/>
    <w:rsid w:val="002831AB"/>
    <w:pPr>
      <w:tabs>
        <w:tab w:val="left" w:pos="68"/>
        <w:tab w:val="num" w:pos="360"/>
      </w:tabs>
      <w:spacing w:after="200" w:line="288" w:lineRule="auto"/>
      <w:ind w:left="360" w:hanging="360"/>
      <w:jc w:val="both"/>
    </w:pPr>
    <w:rPr>
      <w:rFonts w:ascii="CG Times" w:eastAsia="SimSun" w:hAnsi="CG Times"/>
      <w:sz w:val="22"/>
      <w:lang w:val="en-GB" w:eastAsia="es-AR"/>
    </w:rPr>
  </w:style>
  <w:style w:type="paragraph" w:customStyle="1" w:styleId="Sangradetindependiente1">
    <w:name w:val="Sangría de t. independiente1"/>
    <w:basedOn w:val="Normal"/>
    <w:uiPriority w:val="99"/>
    <w:semiHidden/>
    <w:rsid w:val="002831AB"/>
    <w:pPr>
      <w:widowControl w:val="0"/>
      <w:autoSpaceDE w:val="0"/>
      <w:autoSpaceDN w:val="0"/>
      <w:adjustRightInd w:val="0"/>
      <w:jc w:val="both"/>
    </w:pPr>
    <w:rPr>
      <w:rFonts w:ascii="Times New Roman" w:eastAsia="SimSun" w:hAnsi="Times New Roman"/>
      <w:sz w:val="24"/>
      <w:szCs w:val="24"/>
      <w:lang w:val="es-ES" w:eastAsia="es-ES"/>
    </w:rPr>
  </w:style>
  <w:style w:type="paragraph" w:customStyle="1" w:styleId="xl46">
    <w:name w:val="xl46"/>
    <w:basedOn w:val="Normal"/>
    <w:rsid w:val="002831AB"/>
    <w:pPr>
      <w:pBdr>
        <w:left w:val="single" w:sz="4" w:space="0" w:color="auto"/>
      </w:pBdr>
      <w:spacing w:before="100" w:beforeAutospacing="1" w:after="100" w:afterAutospacing="1"/>
    </w:pPr>
    <w:rPr>
      <w:rFonts w:ascii="CG Omega" w:eastAsia="SimSun" w:hAnsi="CG Omega" w:cs="Arial Unicode MS"/>
      <w:b/>
      <w:bCs/>
      <w:sz w:val="16"/>
      <w:szCs w:val="16"/>
      <w:lang w:val="es-ES" w:eastAsia="es-ES"/>
    </w:rPr>
  </w:style>
  <w:style w:type="paragraph" w:customStyle="1" w:styleId="ListLegal2">
    <w:name w:val="List Legal 2"/>
    <w:basedOn w:val="Normal"/>
    <w:next w:val="Textoindependiente"/>
    <w:uiPriority w:val="99"/>
    <w:semiHidden/>
    <w:rsid w:val="002831AB"/>
    <w:pPr>
      <w:tabs>
        <w:tab w:val="left" w:pos="22"/>
        <w:tab w:val="num" w:pos="624"/>
      </w:tabs>
      <w:spacing w:after="200" w:line="288" w:lineRule="auto"/>
      <w:ind w:left="624" w:hanging="624"/>
      <w:jc w:val="both"/>
    </w:pPr>
    <w:rPr>
      <w:rFonts w:ascii="CG Times" w:eastAsia="SimSun" w:hAnsi="CG Times"/>
      <w:sz w:val="22"/>
      <w:lang w:val="en-GB" w:eastAsia="es-AR"/>
    </w:rPr>
  </w:style>
  <w:style w:type="paragraph" w:customStyle="1" w:styleId="ListLegal3">
    <w:name w:val="List Legal 3"/>
    <w:basedOn w:val="Normal"/>
    <w:next w:val="Textoindependiente2"/>
    <w:uiPriority w:val="99"/>
    <w:semiHidden/>
    <w:rsid w:val="002831AB"/>
    <w:pPr>
      <w:tabs>
        <w:tab w:val="left" w:pos="50"/>
        <w:tab w:val="num" w:pos="1417"/>
      </w:tabs>
      <w:spacing w:after="200" w:line="288" w:lineRule="auto"/>
      <w:ind w:left="1417" w:hanging="793"/>
      <w:jc w:val="both"/>
    </w:pPr>
    <w:rPr>
      <w:rFonts w:ascii="CG Times" w:eastAsia="SimSun" w:hAnsi="CG Times"/>
      <w:sz w:val="22"/>
      <w:lang w:val="en-GB" w:eastAsia="es-AR"/>
    </w:rPr>
  </w:style>
  <w:style w:type="paragraph" w:customStyle="1" w:styleId="ListALPHACAPS1">
    <w:name w:val="List ALPHA CAPS 1"/>
    <w:basedOn w:val="Normal"/>
    <w:next w:val="Textoindependiente"/>
    <w:uiPriority w:val="99"/>
    <w:semiHidden/>
    <w:rsid w:val="002831AB"/>
    <w:pPr>
      <w:tabs>
        <w:tab w:val="left" w:pos="22"/>
        <w:tab w:val="num" w:pos="624"/>
      </w:tabs>
      <w:spacing w:after="200" w:line="288" w:lineRule="auto"/>
      <w:ind w:left="624" w:hanging="624"/>
      <w:jc w:val="both"/>
    </w:pPr>
    <w:rPr>
      <w:rFonts w:ascii="CG Times" w:eastAsia="SimSun" w:hAnsi="CG Times"/>
      <w:sz w:val="22"/>
      <w:lang w:val="en-GB" w:eastAsia="es-AR"/>
    </w:rPr>
  </w:style>
  <w:style w:type="paragraph" w:customStyle="1" w:styleId="LISTALPHACAPS2">
    <w:name w:val="LIST ALPHA CAPS 2"/>
    <w:basedOn w:val="Normal"/>
    <w:next w:val="Textoindependiente2"/>
    <w:uiPriority w:val="99"/>
    <w:semiHidden/>
    <w:rsid w:val="002831AB"/>
    <w:pPr>
      <w:tabs>
        <w:tab w:val="left" w:pos="50"/>
        <w:tab w:val="num" w:pos="1080"/>
        <w:tab w:val="num" w:pos="1417"/>
      </w:tabs>
      <w:spacing w:after="200" w:line="288" w:lineRule="auto"/>
      <w:ind w:left="1417" w:hanging="793"/>
      <w:jc w:val="both"/>
    </w:pPr>
    <w:rPr>
      <w:rFonts w:ascii="CG Times" w:eastAsia="SimSun" w:hAnsi="CG Times"/>
      <w:sz w:val="22"/>
      <w:lang w:val="en-GB" w:eastAsia="es-AR"/>
    </w:rPr>
  </w:style>
  <w:style w:type="paragraph" w:customStyle="1" w:styleId="Textoindependiente21">
    <w:name w:val="Texto independiente 21"/>
    <w:basedOn w:val="Normal"/>
    <w:uiPriority w:val="99"/>
    <w:rsid w:val="002831AB"/>
    <w:pPr>
      <w:widowControl w:val="0"/>
      <w:jc w:val="both"/>
    </w:pPr>
    <w:rPr>
      <w:rFonts w:ascii="Times New Roman" w:eastAsia="SimSun" w:hAnsi="Times New Roman"/>
      <w:sz w:val="24"/>
      <w:lang w:val="es-ES" w:eastAsia="es-ES"/>
    </w:rPr>
  </w:style>
  <w:style w:type="paragraph" w:customStyle="1" w:styleId="Estndar">
    <w:name w:val="Estándar"/>
    <w:basedOn w:val="Normal"/>
    <w:uiPriority w:val="99"/>
    <w:rsid w:val="002831AB"/>
    <w:rPr>
      <w:rFonts w:ascii="Times New Roman" w:eastAsia="SimSun" w:hAnsi="Times New Roman"/>
      <w:sz w:val="24"/>
      <w:lang w:val="en-US" w:eastAsia="es-ES"/>
    </w:rPr>
  </w:style>
  <w:style w:type="paragraph" w:customStyle="1" w:styleId="FIGURA">
    <w:name w:val="FIGURA"/>
    <w:basedOn w:val="Normal"/>
    <w:next w:val="Normal"/>
    <w:uiPriority w:val="99"/>
    <w:semiHidden/>
    <w:rsid w:val="002831AB"/>
    <w:pPr>
      <w:jc w:val="both"/>
    </w:pPr>
    <w:rPr>
      <w:rFonts w:ascii="Arial Narrow" w:eastAsia="SimSun" w:hAnsi="Arial Narrow"/>
      <w:b/>
      <w:lang w:eastAsia="es-ES"/>
    </w:rPr>
  </w:style>
  <w:style w:type="paragraph" w:customStyle="1" w:styleId="Sangradetindependiente10">
    <w:name w:val="Sangría de t.independiente1"/>
    <w:basedOn w:val="Normal"/>
    <w:uiPriority w:val="99"/>
    <w:semiHidden/>
    <w:rsid w:val="002831AB"/>
    <w:pPr>
      <w:ind w:firstLine="708"/>
      <w:jc w:val="both"/>
    </w:pPr>
    <w:rPr>
      <w:rFonts w:ascii="Book Antiqua" w:eastAsia="SimSun" w:hAnsi="Book Antiqua"/>
      <w:lang w:eastAsia="es-ES"/>
    </w:rPr>
  </w:style>
  <w:style w:type="paragraph" w:customStyle="1" w:styleId="BodyFinancial">
    <w:name w:val="Body Financial"/>
    <w:basedOn w:val="Normal"/>
    <w:uiPriority w:val="99"/>
    <w:semiHidden/>
    <w:rsid w:val="002831AB"/>
    <w:pPr>
      <w:spacing w:after="240"/>
      <w:ind w:firstLine="720"/>
      <w:jc w:val="both"/>
    </w:pPr>
    <w:rPr>
      <w:rFonts w:ascii="Times New Roman" w:eastAsia="SimSun" w:hAnsi="Times New Roman"/>
      <w:lang w:val="en-US" w:eastAsia="es-ES"/>
    </w:rPr>
  </w:style>
  <w:style w:type="paragraph" w:customStyle="1" w:styleId="ListBullet3">
    <w:name w:val="List Bullet3"/>
    <w:basedOn w:val="Textodebloque"/>
    <w:uiPriority w:val="99"/>
    <w:semiHidden/>
    <w:rsid w:val="002831AB"/>
    <w:pPr>
      <w:tabs>
        <w:tab w:val="num" w:pos="2520"/>
      </w:tabs>
      <w:autoSpaceDE/>
      <w:autoSpaceDN/>
      <w:adjustRightInd/>
      <w:spacing w:after="240" w:line="240" w:lineRule="auto"/>
      <w:ind w:left="2520" w:hanging="360"/>
      <w:jc w:val="both"/>
    </w:pPr>
    <w:rPr>
      <w:rFonts w:eastAsia="SimSun"/>
      <w:lang w:eastAsia="es-ES"/>
    </w:rPr>
  </w:style>
  <w:style w:type="paragraph" w:customStyle="1" w:styleId="List2">
    <w:name w:val="List2"/>
    <w:basedOn w:val="Textoindependiente"/>
    <w:uiPriority w:val="99"/>
    <w:semiHidden/>
    <w:rsid w:val="002831AB"/>
    <w:pPr>
      <w:tabs>
        <w:tab w:val="num" w:pos="1209"/>
      </w:tabs>
      <w:autoSpaceDE/>
      <w:autoSpaceDN/>
      <w:adjustRightInd/>
      <w:spacing w:after="240"/>
      <w:ind w:left="1209" w:hanging="360"/>
      <w:jc w:val="both"/>
    </w:pPr>
    <w:rPr>
      <w:rFonts w:eastAsia="SimSun"/>
      <w:lang w:eastAsia="es-ES"/>
    </w:rPr>
  </w:style>
  <w:style w:type="paragraph" w:customStyle="1" w:styleId="ListBullet5">
    <w:name w:val="List Bullet5"/>
    <w:basedOn w:val="BlockText1"/>
    <w:uiPriority w:val="99"/>
    <w:semiHidden/>
    <w:rsid w:val="002831AB"/>
    <w:pPr>
      <w:tabs>
        <w:tab w:val="num" w:pos="360"/>
      </w:tabs>
      <w:autoSpaceDE/>
      <w:autoSpaceDN/>
      <w:adjustRightInd/>
      <w:spacing w:line="240" w:lineRule="auto"/>
      <w:ind w:left="360" w:right="0" w:hanging="360"/>
      <w:jc w:val="both"/>
    </w:pPr>
    <w:rPr>
      <w:rFonts w:eastAsia="SimSun"/>
      <w:lang w:eastAsia="es-ES"/>
    </w:rPr>
  </w:style>
  <w:style w:type="paragraph" w:customStyle="1" w:styleId="font5">
    <w:name w:val="font5"/>
    <w:basedOn w:val="Normal"/>
    <w:rsid w:val="002831AB"/>
    <w:pPr>
      <w:spacing w:before="100" w:beforeAutospacing="1" w:after="100" w:afterAutospacing="1"/>
    </w:pPr>
    <w:rPr>
      <w:rFonts w:ascii="Arial" w:eastAsia="SimSun" w:hAnsi="Arial" w:cs="Arial"/>
      <w:sz w:val="16"/>
      <w:szCs w:val="16"/>
      <w:lang w:val="es-ES" w:eastAsia="es-ES"/>
    </w:rPr>
  </w:style>
  <w:style w:type="paragraph" w:customStyle="1" w:styleId="Firstpara">
    <w:name w:val="Firstpara"/>
    <w:basedOn w:val="Normal"/>
    <w:next w:val="Textoindependiente"/>
    <w:uiPriority w:val="99"/>
    <w:semiHidden/>
    <w:rsid w:val="002831AB"/>
    <w:pPr>
      <w:spacing w:before="120"/>
      <w:jc w:val="both"/>
    </w:pPr>
    <w:rPr>
      <w:rFonts w:ascii="Times New Roman" w:eastAsia="SimSun" w:hAnsi="Times New Roman"/>
      <w:lang w:val="en-US" w:eastAsia="es-ES"/>
    </w:rPr>
  </w:style>
  <w:style w:type="character" w:customStyle="1" w:styleId="sintesistexto">
    <w:name w:val="sintesistexto"/>
    <w:uiPriority w:val="99"/>
    <w:semiHidden/>
    <w:rsid w:val="002831AB"/>
  </w:style>
  <w:style w:type="paragraph" w:customStyle="1" w:styleId="bullettext">
    <w:name w:val="bullettext"/>
    <w:basedOn w:val="Normal"/>
    <w:autoRedefine/>
    <w:uiPriority w:val="99"/>
    <w:semiHidden/>
    <w:rsid w:val="002831AB"/>
    <w:pPr>
      <w:tabs>
        <w:tab w:val="num" w:pos="720"/>
      </w:tabs>
      <w:autoSpaceDE w:val="0"/>
      <w:autoSpaceDN w:val="0"/>
      <w:adjustRightInd w:val="0"/>
      <w:ind w:left="720" w:hanging="360"/>
      <w:jc w:val="both"/>
    </w:pPr>
    <w:rPr>
      <w:rFonts w:ascii="Times New Roman" w:eastAsia="SimSun" w:hAnsi="Times New Roman"/>
      <w:lang w:val="es-ES" w:eastAsia="es-ES"/>
    </w:rPr>
  </w:style>
  <w:style w:type="paragraph" w:customStyle="1" w:styleId="StyleTtuloPrincipalNounderline">
    <w:name w:val="Style Título Principal + No underline"/>
    <w:basedOn w:val="TtuloPrincipal"/>
    <w:uiPriority w:val="99"/>
    <w:semiHidden/>
    <w:rsid w:val="002831AB"/>
    <w:rPr>
      <w:bCs/>
      <w:caps/>
      <w:u w:val="none"/>
    </w:rPr>
  </w:style>
  <w:style w:type="paragraph" w:customStyle="1" w:styleId="StyleTtuloPrincipalNounderline1">
    <w:name w:val="Style Título Principal + No underline1"/>
    <w:basedOn w:val="TtuloPrincipal"/>
    <w:uiPriority w:val="99"/>
    <w:semiHidden/>
    <w:rsid w:val="002831AB"/>
    <w:rPr>
      <w:bCs/>
      <w:caps/>
      <w:u w:val="none"/>
    </w:rPr>
  </w:style>
  <w:style w:type="paragraph" w:styleId="Remitedesobre">
    <w:name w:val="envelope return"/>
    <w:basedOn w:val="Normal"/>
    <w:rsid w:val="002831AB"/>
    <w:rPr>
      <w:rFonts w:ascii="Arial" w:eastAsia="SimSun" w:hAnsi="Arial" w:cs="Arial"/>
      <w:lang w:eastAsia="es-ES"/>
    </w:rPr>
  </w:style>
  <w:style w:type="character" w:styleId="AcrnimoHTML">
    <w:name w:val="HTML Acronym"/>
    <w:basedOn w:val="Fuentedeprrafopredeter"/>
    <w:uiPriority w:val="99"/>
    <w:rsid w:val="002831AB"/>
  </w:style>
  <w:style w:type="paragraph" w:styleId="DireccinHTML">
    <w:name w:val="HTML Address"/>
    <w:basedOn w:val="Normal"/>
    <w:link w:val="DireccinHTMLCar"/>
    <w:uiPriority w:val="99"/>
    <w:rsid w:val="002831AB"/>
    <w:rPr>
      <w:rFonts w:ascii="Times New Roman" w:eastAsia="SimSun" w:hAnsi="Times New Roman"/>
      <w:i/>
      <w:sz w:val="24"/>
      <w:lang w:val="x-none" w:eastAsia="x-none"/>
    </w:rPr>
  </w:style>
  <w:style w:type="character" w:customStyle="1" w:styleId="DireccinHTMLCar">
    <w:name w:val="Dirección HTML Car"/>
    <w:link w:val="DireccinHTML"/>
    <w:uiPriority w:val="99"/>
    <w:locked/>
    <w:rsid w:val="002831AB"/>
    <w:rPr>
      <w:rFonts w:ascii="Times New Roman" w:eastAsia="SimSun" w:hAnsi="Times New Roman"/>
      <w:i/>
      <w:sz w:val="24"/>
    </w:rPr>
  </w:style>
  <w:style w:type="character" w:styleId="CitaHTML">
    <w:name w:val="HTML Cite"/>
    <w:uiPriority w:val="99"/>
    <w:rsid w:val="002831AB"/>
    <w:rPr>
      <w:i/>
    </w:rPr>
  </w:style>
  <w:style w:type="character" w:styleId="CdigoHTML">
    <w:name w:val="HTML Code"/>
    <w:uiPriority w:val="99"/>
    <w:rsid w:val="002831AB"/>
    <w:rPr>
      <w:rFonts w:ascii="Courier New" w:hAnsi="Courier New"/>
      <w:sz w:val="20"/>
    </w:rPr>
  </w:style>
  <w:style w:type="character" w:styleId="DefinicinHTML">
    <w:name w:val="HTML Definition"/>
    <w:uiPriority w:val="99"/>
    <w:rsid w:val="002831AB"/>
    <w:rPr>
      <w:i/>
    </w:rPr>
  </w:style>
  <w:style w:type="character" w:styleId="TecladoHTML">
    <w:name w:val="HTML Keyboard"/>
    <w:uiPriority w:val="99"/>
    <w:rsid w:val="002831AB"/>
    <w:rPr>
      <w:rFonts w:ascii="Courier New" w:hAnsi="Courier New"/>
      <w:sz w:val="20"/>
    </w:rPr>
  </w:style>
  <w:style w:type="paragraph" w:styleId="HTMLconformatoprevio">
    <w:name w:val="HTML Preformatted"/>
    <w:basedOn w:val="Normal"/>
    <w:link w:val="HTMLconformatoprevioCar"/>
    <w:uiPriority w:val="99"/>
    <w:rsid w:val="002831AB"/>
    <w:rPr>
      <w:rFonts w:ascii="Courier New" w:eastAsia="SimSun" w:hAnsi="Courier New"/>
      <w:lang w:val="x-none" w:eastAsia="x-none"/>
    </w:rPr>
  </w:style>
  <w:style w:type="character" w:customStyle="1" w:styleId="HTMLconformatoprevioCar">
    <w:name w:val="HTML con formato previo Car"/>
    <w:link w:val="HTMLconformatoprevio"/>
    <w:uiPriority w:val="99"/>
    <w:locked/>
    <w:rsid w:val="002831AB"/>
    <w:rPr>
      <w:rFonts w:ascii="Courier New" w:eastAsia="SimSun" w:hAnsi="Courier New"/>
    </w:rPr>
  </w:style>
  <w:style w:type="character" w:styleId="EjemplodeHTML">
    <w:name w:val="HTML Sample"/>
    <w:uiPriority w:val="99"/>
    <w:rsid w:val="002831AB"/>
    <w:rPr>
      <w:rFonts w:ascii="Courier New" w:hAnsi="Courier New"/>
    </w:rPr>
  </w:style>
  <w:style w:type="character" w:styleId="MquinadeescribirHTML">
    <w:name w:val="HTML Typewriter"/>
    <w:uiPriority w:val="99"/>
    <w:rsid w:val="002831AB"/>
    <w:rPr>
      <w:rFonts w:ascii="Courier New" w:hAnsi="Courier New"/>
      <w:sz w:val="20"/>
    </w:rPr>
  </w:style>
  <w:style w:type="character" w:styleId="VariableHTML">
    <w:name w:val="HTML Variable"/>
    <w:uiPriority w:val="99"/>
    <w:rsid w:val="002831AB"/>
    <w:rPr>
      <w:i/>
    </w:rPr>
  </w:style>
  <w:style w:type="paragraph" w:styleId="Encabezadodemensaje">
    <w:name w:val="Message Header"/>
    <w:basedOn w:val="Normal"/>
    <w:link w:val="EncabezadodemensajeCar"/>
    <w:uiPriority w:val="99"/>
    <w:rsid w:val="002831A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SimSun" w:hAnsi="Arial"/>
      <w:sz w:val="24"/>
      <w:lang w:val="x-none" w:eastAsia="x-none"/>
    </w:rPr>
  </w:style>
  <w:style w:type="character" w:customStyle="1" w:styleId="EncabezadodemensajeCar">
    <w:name w:val="Encabezado de mensaje Car"/>
    <w:link w:val="Encabezadodemensaje"/>
    <w:uiPriority w:val="99"/>
    <w:locked/>
    <w:rsid w:val="002831AB"/>
    <w:rPr>
      <w:rFonts w:ascii="Arial" w:eastAsia="SimSun" w:hAnsi="Arial"/>
      <w:sz w:val="24"/>
      <w:shd w:val="pct20" w:color="auto" w:fill="auto"/>
    </w:rPr>
  </w:style>
  <w:style w:type="character" w:customStyle="1" w:styleId="Cuerpodeltexto3">
    <w:name w:val="Cuerpo del texto (3)_"/>
    <w:uiPriority w:val="99"/>
    <w:rsid w:val="002831AB"/>
    <w:rPr>
      <w:b/>
      <w:sz w:val="17"/>
    </w:rPr>
  </w:style>
  <w:style w:type="character" w:customStyle="1" w:styleId="Cuerpodeltexto">
    <w:name w:val="Cuerpo del texto_"/>
    <w:uiPriority w:val="99"/>
    <w:rsid w:val="002831AB"/>
    <w:rPr>
      <w:sz w:val="15"/>
    </w:rPr>
  </w:style>
  <w:style w:type="character" w:customStyle="1" w:styleId="Cuerpodeltexto4">
    <w:name w:val="Cuerpo del texto (4)_"/>
    <w:uiPriority w:val="99"/>
    <w:rsid w:val="002831AB"/>
    <w:rPr>
      <w:rFonts w:ascii="Consolas" w:hAnsi="Consolas"/>
      <w:i/>
      <w:spacing w:val="-10"/>
      <w:sz w:val="14"/>
    </w:rPr>
  </w:style>
  <w:style w:type="paragraph" w:customStyle="1" w:styleId="Cuerpodeltexto30">
    <w:name w:val="Cuerpo del texto (3)"/>
    <w:basedOn w:val="Normal"/>
    <w:uiPriority w:val="99"/>
    <w:rsid w:val="002831AB"/>
    <w:pPr>
      <w:shd w:val="clear" w:color="auto" w:fill="FFFFFF"/>
      <w:spacing w:line="240" w:lineRule="atLeast"/>
    </w:pPr>
    <w:rPr>
      <w:rFonts w:ascii="Times New Roman" w:eastAsia="SimSun" w:hAnsi="Times New Roman"/>
      <w:b/>
      <w:bCs/>
      <w:sz w:val="17"/>
      <w:szCs w:val="17"/>
      <w:lang w:eastAsia="es-AR"/>
    </w:rPr>
  </w:style>
  <w:style w:type="paragraph" w:customStyle="1" w:styleId="Cuerpodeltexto0">
    <w:name w:val="Cuerpo del texto"/>
    <w:basedOn w:val="Normal"/>
    <w:uiPriority w:val="99"/>
    <w:rsid w:val="002831AB"/>
    <w:pPr>
      <w:shd w:val="clear" w:color="auto" w:fill="FFFFFF"/>
      <w:spacing w:line="240" w:lineRule="atLeast"/>
    </w:pPr>
    <w:rPr>
      <w:rFonts w:ascii="Times New Roman" w:eastAsia="SimSun" w:hAnsi="Times New Roman"/>
      <w:sz w:val="15"/>
      <w:szCs w:val="15"/>
      <w:lang w:eastAsia="es-AR"/>
    </w:rPr>
  </w:style>
  <w:style w:type="paragraph" w:customStyle="1" w:styleId="Cuerpodeltexto40">
    <w:name w:val="Cuerpo del texto (4)"/>
    <w:basedOn w:val="Normal"/>
    <w:uiPriority w:val="99"/>
    <w:rsid w:val="002831AB"/>
    <w:pPr>
      <w:shd w:val="clear" w:color="auto" w:fill="FFFFFF"/>
      <w:spacing w:line="240" w:lineRule="atLeast"/>
    </w:pPr>
    <w:rPr>
      <w:rFonts w:ascii="Consolas" w:eastAsia="SimSun" w:hAnsi="Consolas"/>
      <w:i/>
      <w:iCs/>
      <w:spacing w:val="-10"/>
      <w:sz w:val="14"/>
      <w:szCs w:val="14"/>
      <w:lang w:eastAsia="es-AR"/>
    </w:rPr>
  </w:style>
  <w:style w:type="character" w:customStyle="1" w:styleId="Leyendadelatabla">
    <w:name w:val="Leyenda de la tabla_"/>
    <w:uiPriority w:val="99"/>
    <w:rsid w:val="002831AB"/>
    <w:rPr>
      <w:sz w:val="15"/>
    </w:rPr>
  </w:style>
  <w:style w:type="paragraph" w:customStyle="1" w:styleId="Leyendadelatabla0">
    <w:name w:val="Leyenda de la tabla"/>
    <w:basedOn w:val="Normal"/>
    <w:uiPriority w:val="99"/>
    <w:rsid w:val="002831AB"/>
    <w:pPr>
      <w:shd w:val="clear" w:color="auto" w:fill="FFFFFF"/>
      <w:spacing w:line="240" w:lineRule="atLeast"/>
    </w:pPr>
    <w:rPr>
      <w:rFonts w:ascii="Times New Roman" w:eastAsia="SimSun" w:hAnsi="Times New Roman"/>
      <w:sz w:val="15"/>
      <w:szCs w:val="15"/>
      <w:lang w:eastAsia="es-AR"/>
    </w:rPr>
  </w:style>
  <w:style w:type="paragraph" w:customStyle="1" w:styleId="CharCharCarCarCharCharCarCarCharCharCarCarCharChar">
    <w:name w:val="Char Char Car Car Char Char Car Car Char Char Car Car Char Char"/>
    <w:basedOn w:val="Normal"/>
    <w:uiPriority w:val="99"/>
    <w:rsid w:val="002831AB"/>
    <w:pPr>
      <w:spacing w:after="160" w:line="240" w:lineRule="exact"/>
    </w:pPr>
    <w:rPr>
      <w:rFonts w:ascii="Verdana" w:eastAsia="PMingLiU" w:hAnsi="Verdana"/>
      <w:lang w:val="en-US" w:eastAsia="es-AR"/>
    </w:rPr>
  </w:style>
  <w:style w:type="paragraph" w:customStyle="1" w:styleId="bodytext5">
    <w:name w:val="bodytext5"/>
    <w:basedOn w:val="Normal"/>
    <w:uiPriority w:val="99"/>
    <w:rsid w:val="002831AB"/>
    <w:pPr>
      <w:spacing w:before="100" w:beforeAutospacing="1" w:after="100" w:afterAutospacing="1"/>
    </w:pPr>
    <w:rPr>
      <w:rFonts w:ascii="Times New Roman" w:eastAsia="SimSun" w:hAnsi="Times New Roman"/>
      <w:sz w:val="24"/>
      <w:szCs w:val="24"/>
      <w:lang w:eastAsia="es-ES"/>
    </w:rPr>
  </w:style>
  <w:style w:type="table" w:customStyle="1" w:styleId="Tablaconcuadrcula1">
    <w:name w:val="Tabla con cuadrícula1"/>
    <w:uiPriority w:val="99"/>
    <w:rsid w:val="002831AB"/>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50">
    <w:name w:val="Body Text .5"/>
    <w:basedOn w:val="Normal"/>
    <w:uiPriority w:val="99"/>
    <w:rsid w:val="002831AB"/>
    <w:pPr>
      <w:tabs>
        <w:tab w:val="left" w:pos="-720"/>
      </w:tabs>
      <w:suppressAutoHyphens/>
      <w:spacing w:after="240"/>
      <w:ind w:firstLine="720"/>
    </w:pPr>
    <w:rPr>
      <w:rFonts w:ascii="Times New Roman" w:eastAsia="SimSun" w:hAnsi="Times New Roman"/>
      <w:lang w:val="en-US" w:eastAsia="es-AR"/>
    </w:rPr>
  </w:style>
  <w:style w:type="paragraph" w:customStyle="1" w:styleId="s15">
    <w:name w:val="s15"/>
    <w:basedOn w:val="Normal"/>
    <w:uiPriority w:val="99"/>
    <w:rsid w:val="002831AB"/>
    <w:pPr>
      <w:jc w:val="both"/>
    </w:pPr>
    <w:rPr>
      <w:rFonts w:ascii="Arial" w:eastAsia="SimSun" w:hAnsi="Arial" w:cs="Arial"/>
      <w:lang w:val="en-US" w:eastAsia="es-AR"/>
    </w:rPr>
  </w:style>
  <w:style w:type="paragraph" w:customStyle="1" w:styleId="s31">
    <w:name w:val="s31"/>
    <w:basedOn w:val="Normal"/>
    <w:uiPriority w:val="99"/>
    <w:rsid w:val="002831AB"/>
    <w:pPr>
      <w:ind w:left="1191"/>
      <w:jc w:val="both"/>
    </w:pPr>
    <w:rPr>
      <w:rFonts w:ascii="Arial" w:eastAsia="SimSun" w:hAnsi="Arial" w:cs="Arial"/>
      <w:lang w:val="en-US" w:eastAsia="es-AR"/>
    </w:rPr>
  </w:style>
  <w:style w:type="paragraph" w:customStyle="1" w:styleId="DPWfdPF">
    <w:name w:val="DPW fd PF"/>
    <w:aliases w:val="p,f,D,DPW fd PF Char1 Char Char,DPW fd PF Char1 Char Char1,DPW fd PF Char1 Char Char Char Char Char Char,DPW fd PF Char1 Char Char Char Char Char Char Char Char,pf,DPW PF,f Car"/>
    <w:basedOn w:val="Normal"/>
    <w:uiPriority w:val="99"/>
    <w:rsid w:val="002831AB"/>
    <w:pPr>
      <w:spacing w:after="200"/>
      <w:ind w:firstLine="360"/>
    </w:pPr>
    <w:rPr>
      <w:rFonts w:ascii="Times New Roman" w:eastAsia="SimSun" w:hAnsi="Times New Roman"/>
      <w:lang w:eastAsia="es-AR"/>
    </w:rPr>
  </w:style>
  <w:style w:type="paragraph" w:customStyle="1" w:styleId="2hanging">
    <w:name w:val="(2)hanging"/>
    <w:basedOn w:val="Normal"/>
    <w:uiPriority w:val="99"/>
    <w:rsid w:val="002831AB"/>
    <w:pPr>
      <w:spacing w:after="240"/>
      <w:ind w:left="2160" w:hanging="720"/>
    </w:pPr>
    <w:rPr>
      <w:rFonts w:ascii="Times New Roman" w:eastAsia="SimSun" w:hAnsi="Times New Roman"/>
      <w:lang w:val="en-US" w:eastAsia="es-AR"/>
    </w:rPr>
  </w:style>
  <w:style w:type="paragraph" w:customStyle="1" w:styleId="Sangradetindependiente">
    <w:name w:val="Sangría de t.independiente"/>
    <w:basedOn w:val="Normal"/>
    <w:rsid w:val="002831AB"/>
    <w:pPr>
      <w:widowControl w:val="0"/>
      <w:jc w:val="both"/>
    </w:pPr>
    <w:rPr>
      <w:rFonts w:ascii="Times New Roman" w:eastAsia="SimSun" w:hAnsi="Times New Roman"/>
      <w:lang w:val="es-ES_tradnl" w:eastAsia="es-ES"/>
    </w:rPr>
  </w:style>
  <w:style w:type="paragraph" w:customStyle="1" w:styleId="s9-95267">
    <w:name w:val="s9-95267"/>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9-95271">
    <w:name w:val="s9-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1-95271">
    <w:name w:val="s1-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2-95271">
    <w:name w:val="s2-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3-95271">
    <w:name w:val="s3-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4-95271">
    <w:name w:val="s4-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5-95271">
    <w:name w:val="s5-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6-95271">
    <w:name w:val="s6-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5-95269">
    <w:name w:val="s5-95269"/>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1-95269">
    <w:name w:val="s1-95269"/>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2-95269">
    <w:name w:val="s2-95269"/>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6-95269">
    <w:name w:val="s6-95269"/>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Prrafodelista10">
    <w:name w:val="Párrafo de lista1"/>
    <w:basedOn w:val="Normal"/>
    <w:rsid w:val="00661E40"/>
    <w:pPr>
      <w:ind w:left="708"/>
    </w:pPr>
    <w:rPr>
      <w:rFonts w:ascii="Times New Roman" w:eastAsia="SimSun" w:hAnsi="Times New Roman"/>
      <w:lang w:val="es-ES" w:eastAsia="es-AR"/>
    </w:rPr>
  </w:style>
  <w:style w:type="paragraph" w:customStyle="1" w:styleId="BoldItalicsMargin">
    <w:name w:val="Bold Italics Margin"/>
    <w:basedOn w:val="Normal"/>
    <w:uiPriority w:val="99"/>
    <w:rsid w:val="002831AB"/>
    <w:pPr>
      <w:kinsoku w:val="0"/>
      <w:spacing w:after="240"/>
    </w:pPr>
    <w:rPr>
      <w:rFonts w:ascii="Times New Roman" w:eastAsia="SimSun" w:hAnsi="Times New Roman"/>
      <w:b/>
      <w:i/>
      <w:lang w:val="en-US" w:eastAsia="es-AR"/>
    </w:rPr>
  </w:style>
  <w:style w:type="paragraph" w:customStyle="1" w:styleId="0-Texto">
    <w:name w:val="0 - Texto"/>
    <w:uiPriority w:val="99"/>
    <w:rsid w:val="002831AB"/>
    <w:pPr>
      <w:tabs>
        <w:tab w:val="left" w:pos="708"/>
        <w:tab w:val="left" w:pos="1416"/>
        <w:tab w:val="left" w:pos="2124"/>
        <w:tab w:val="left" w:pos="2832"/>
        <w:tab w:val="left" w:pos="3540"/>
        <w:tab w:val="left" w:pos="4248"/>
        <w:tab w:val="left" w:pos="4956"/>
        <w:tab w:val="left" w:pos="6564"/>
      </w:tabs>
      <w:autoSpaceDE w:val="0"/>
      <w:autoSpaceDN w:val="0"/>
      <w:adjustRightInd w:val="0"/>
      <w:jc w:val="both"/>
    </w:pPr>
    <w:rPr>
      <w:rFonts w:ascii="Arial" w:eastAsia="SimSun" w:hAnsi="Arial" w:cs="Courier New"/>
      <w:bCs/>
      <w:lang w:val="es-AR" w:eastAsia="es-AR"/>
    </w:rPr>
  </w:style>
  <w:style w:type="character" w:customStyle="1" w:styleId="8-Articulo">
    <w:name w:val="8 - Articulo"/>
    <w:uiPriority w:val="99"/>
    <w:rsid w:val="002831AB"/>
    <w:rPr>
      <w:rFonts w:ascii="Arial" w:hAnsi="Arial"/>
      <w:b/>
      <w:i/>
      <w:caps/>
      <w:color w:val="026BDD"/>
      <w:sz w:val="22"/>
      <w:lang w:val="es-AR" w:eastAsia="es-AR"/>
    </w:rPr>
  </w:style>
  <w:style w:type="paragraph" w:customStyle="1" w:styleId="Body">
    <w:name w:val="Body"/>
    <w:basedOn w:val="Textoindependienteprimerasangra"/>
    <w:link w:val="BodyChar"/>
    <w:qFormat/>
    <w:rsid w:val="00B86C83"/>
    <w:pPr>
      <w:autoSpaceDE/>
      <w:autoSpaceDN/>
      <w:adjustRightInd/>
      <w:ind w:firstLine="0"/>
    </w:pPr>
    <w:rPr>
      <w:rFonts w:eastAsia="SimSun"/>
    </w:rPr>
  </w:style>
  <w:style w:type="paragraph" w:customStyle="1" w:styleId="CharCharCarCarCharCharCarCarCharCharCarCarCharChar1">
    <w:name w:val="Char Char Car Car Char Char Car Car Char Char Car Car Char Char1"/>
    <w:basedOn w:val="Normal"/>
    <w:uiPriority w:val="99"/>
    <w:rsid w:val="002831AB"/>
    <w:pPr>
      <w:spacing w:after="160" w:line="240" w:lineRule="exact"/>
    </w:pPr>
    <w:rPr>
      <w:rFonts w:ascii="Verdana" w:eastAsia="PMingLiU" w:hAnsi="Verdana"/>
      <w:lang w:val="en-US" w:eastAsia="es-AR"/>
    </w:rPr>
  </w:style>
  <w:style w:type="paragraph" w:customStyle="1" w:styleId="Prrafodelista11">
    <w:name w:val="Párrafo de lista11"/>
    <w:basedOn w:val="Normal"/>
    <w:uiPriority w:val="99"/>
    <w:rsid w:val="002831AB"/>
    <w:pPr>
      <w:ind w:left="708"/>
    </w:pPr>
    <w:rPr>
      <w:rFonts w:ascii="Times New Roman" w:eastAsia="SimSun" w:hAnsi="Times New Roman"/>
      <w:lang w:val="es-ES" w:eastAsia="es-AR"/>
    </w:rPr>
  </w:style>
  <w:style w:type="paragraph" w:customStyle="1" w:styleId="Prrafodelista2">
    <w:name w:val="Párrafo de lista2"/>
    <w:basedOn w:val="Normal"/>
    <w:uiPriority w:val="99"/>
    <w:rsid w:val="002831AB"/>
    <w:pPr>
      <w:ind w:left="708"/>
    </w:pPr>
    <w:rPr>
      <w:rFonts w:ascii="Times New Roman" w:eastAsia="SimSun" w:hAnsi="Times New Roman"/>
      <w:sz w:val="24"/>
      <w:szCs w:val="24"/>
      <w:lang w:eastAsia="es-ES"/>
    </w:rPr>
  </w:style>
  <w:style w:type="paragraph" w:customStyle="1" w:styleId="Textoindependiente22">
    <w:name w:val="Texto independiente 22"/>
    <w:basedOn w:val="Normal"/>
    <w:uiPriority w:val="99"/>
    <w:rsid w:val="002831AB"/>
    <w:pPr>
      <w:ind w:left="284" w:firstLine="709"/>
      <w:jc w:val="both"/>
    </w:pPr>
    <w:rPr>
      <w:rFonts w:ascii="Book Antiqua" w:eastAsia="SimSun" w:hAnsi="Book Antiqua"/>
      <w:kern w:val="18"/>
      <w:lang w:val="es-ES" w:eastAsia="es-ES"/>
    </w:rPr>
  </w:style>
  <w:style w:type="paragraph" w:customStyle="1" w:styleId="s1-1616">
    <w:name w:val="s1-1616"/>
    <w:basedOn w:val="Normal"/>
    <w:uiPriority w:val="99"/>
    <w:rsid w:val="002831AB"/>
    <w:pPr>
      <w:jc w:val="both"/>
    </w:pPr>
    <w:rPr>
      <w:rFonts w:ascii="Arial" w:eastAsia="SimSun" w:hAnsi="Arial" w:cs="Arial"/>
      <w:lang w:eastAsia="es-AR"/>
    </w:rPr>
  </w:style>
  <w:style w:type="paragraph" w:customStyle="1" w:styleId="s3-1616">
    <w:name w:val="s3-1616"/>
    <w:basedOn w:val="Normal"/>
    <w:uiPriority w:val="99"/>
    <w:rsid w:val="002831AB"/>
    <w:pPr>
      <w:jc w:val="both"/>
    </w:pPr>
    <w:rPr>
      <w:rFonts w:ascii="Times New Roman" w:eastAsia="SimSun" w:hAnsi="Times New Roman"/>
      <w:sz w:val="24"/>
      <w:szCs w:val="24"/>
      <w:lang w:eastAsia="es-AR"/>
    </w:rPr>
  </w:style>
  <w:style w:type="character" w:customStyle="1" w:styleId="DeltaViewMoveSource">
    <w:name w:val="DeltaView Move Source"/>
    <w:rsid w:val="002831AB"/>
    <w:rPr>
      <w:strike/>
      <w:color w:val="00C000"/>
    </w:rPr>
  </w:style>
  <w:style w:type="paragraph" w:customStyle="1" w:styleId="Textoindependiente23">
    <w:name w:val="Texto independiente 23"/>
    <w:basedOn w:val="Normal"/>
    <w:rsid w:val="002831AB"/>
    <w:pPr>
      <w:ind w:left="284" w:firstLine="709"/>
      <w:jc w:val="both"/>
    </w:pPr>
    <w:rPr>
      <w:rFonts w:ascii="Book Antiqua" w:hAnsi="Book Antiqua"/>
      <w:kern w:val="18"/>
      <w:lang w:val="es-ES" w:eastAsia="es-ES"/>
    </w:rPr>
  </w:style>
  <w:style w:type="paragraph" w:customStyle="1" w:styleId="TextoTS">
    <w:name w:val="Texto TS"/>
    <w:basedOn w:val="Normal"/>
    <w:link w:val="TextoTSCar"/>
    <w:qFormat/>
    <w:rsid w:val="002831AB"/>
    <w:pPr>
      <w:spacing w:before="120" w:after="200"/>
      <w:jc w:val="both"/>
    </w:pPr>
    <w:rPr>
      <w:rFonts w:ascii="Times New Roman" w:hAnsi="Times New Roman"/>
      <w:lang w:val="x-none" w:eastAsia="x-none"/>
    </w:rPr>
  </w:style>
  <w:style w:type="character" w:customStyle="1" w:styleId="TextoTSCar">
    <w:name w:val="Texto TS Car"/>
    <w:link w:val="TextoTS"/>
    <w:locked/>
    <w:rsid w:val="002831AB"/>
    <w:rPr>
      <w:rFonts w:ascii="Times New Roman" w:eastAsia="Times New Roman" w:hAnsi="Times New Roman"/>
    </w:rPr>
  </w:style>
  <w:style w:type="paragraph" w:customStyle="1" w:styleId="Ttulo4TS">
    <w:name w:val="Título 4 TS"/>
    <w:basedOn w:val="Normal"/>
    <w:link w:val="Ttulo4TSCar"/>
    <w:qFormat/>
    <w:rsid w:val="002831AB"/>
    <w:pPr>
      <w:autoSpaceDE w:val="0"/>
      <w:autoSpaceDN w:val="0"/>
      <w:adjustRightInd w:val="0"/>
      <w:spacing w:after="200"/>
      <w:jc w:val="both"/>
    </w:pPr>
    <w:rPr>
      <w:rFonts w:ascii="Times New Roman" w:hAnsi="Times New Roman"/>
      <w:b/>
      <w:i/>
      <w:color w:val="000000"/>
      <w:sz w:val="24"/>
      <w:lang w:val="es-ES" w:eastAsia="x-none"/>
    </w:rPr>
  </w:style>
  <w:style w:type="character" w:customStyle="1" w:styleId="Ttulo4TSCar">
    <w:name w:val="Título 4 TS Car"/>
    <w:link w:val="Ttulo4TS"/>
    <w:locked/>
    <w:rsid w:val="002831AB"/>
    <w:rPr>
      <w:rFonts w:ascii="Times New Roman" w:eastAsia="Times New Roman" w:hAnsi="Times New Roman"/>
      <w:b/>
      <w:i/>
      <w:color w:val="000000"/>
      <w:sz w:val="24"/>
      <w:lang w:val="es-ES" w:eastAsia="x-none"/>
    </w:rPr>
  </w:style>
  <w:style w:type="paragraph" w:customStyle="1" w:styleId="s8-3255">
    <w:name w:val="s8-3255"/>
    <w:basedOn w:val="Normal"/>
    <w:uiPriority w:val="99"/>
    <w:rsid w:val="002831AB"/>
    <w:pPr>
      <w:ind w:firstLine="1077"/>
    </w:pPr>
    <w:rPr>
      <w:rFonts w:ascii="Arial" w:eastAsia="SimSun" w:hAnsi="Arial" w:cs="Arial"/>
      <w:lang w:eastAsia="es-AR"/>
    </w:rPr>
  </w:style>
  <w:style w:type="paragraph" w:customStyle="1" w:styleId="s36-3255">
    <w:name w:val="s36-3255"/>
    <w:basedOn w:val="Normal"/>
    <w:uiPriority w:val="99"/>
    <w:rsid w:val="002831AB"/>
    <w:pPr>
      <w:ind w:firstLine="1077"/>
    </w:pPr>
    <w:rPr>
      <w:rFonts w:ascii="Times New Roman" w:eastAsia="SimSun" w:hAnsi="Times New Roman"/>
      <w:sz w:val="24"/>
      <w:szCs w:val="24"/>
      <w:lang w:eastAsia="es-AR"/>
    </w:rPr>
  </w:style>
  <w:style w:type="paragraph" w:customStyle="1" w:styleId="s41-3255">
    <w:name w:val="s41-3255"/>
    <w:basedOn w:val="Normal"/>
    <w:uiPriority w:val="99"/>
    <w:rsid w:val="002831AB"/>
    <w:pPr>
      <w:ind w:firstLine="1077"/>
      <w:jc w:val="both"/>
    </w:pPr>
    <w:rPr>
      <w:rFonts w:ascii="Times New Roman" w:eastAsia="SimSun" w:hAnsi="Times New Roman"/>
      <w:sz w:val="24"/>
      <w:szCs w:val="24"/>
      <w:lang w:eastAsia="es-AR"/>
    </w:rPr>
  </w:style>
  <w:style w:type="paragraph" w:customStyle="1" w:styleId="Sinespaciado1">
    <w:name w:val="Sin espaciado1"/>
    <w:rsid w:val="002831AB"/>
    <w:pPr>
      <w:autoSpaceDE w:val="0"/>
      <w:autoSpaceDN w:val="0"/>
      <w:adjustRightInd w:val="0"/>
    </w:pPr>
    <w:rPr>
      <w:rFonts w:ascii="Times New Roman" w:hAnsi="Times New Roman"/>
      <w:lang w:val="en-US" w:eastAsia="es-AR"/>
    </w:rPr>
  </w:style>
  <w:style w:type="paragraph" w:customStyle="1" w:styleId="Ttulo3TS">
    <w:name w:val="Título 3 TS"/>
    <w:basedOn w:val="Normal"/>
    <w:link w:val="Ttulo3TSCar"/>
    <w:autoRedefine/>
    <w:qFormat/>
    <w:rsid w:val="002831AB"/>
    <w:pPr>
      <w:widowControl w:val="0"/>
      <w:autoSpaceDE w:val="0"/>
      <w:autoSpaceDN w:val="0"/>
      <w:adjustRightInd w:val="0"/>
      <w:spacing w:after="200"/>
      <w:ind w:right="-11"/>
      <w:outlineLvl w:val="3"/>
    </w:pPr>
    <w:rPr>
      <w:rFonts w:ascii="Times New Roman" w:hAnsi="Times New Roman"/>
      <w:b/>
      <w:lang w:val="x-none" w:eastAsia="x-none"/>
    </w:rPr>
  </w:style>
  <w:style w:type="character" w:customStyle="1" w:styleId="Ttulo3TSCar">
    <w:name w:val="Título 3 TS Car"/>
    <w:link w:val="Ttulo3TS"/>
    <w:locked/>
    <w:rsid w:val="002831AB"/>
    <w:rPr>
      <w:rFonts w:ascii="Times New Roman" w:hAnsi="Times New Roman"/>
      <w:b/>
    </w:rPr>
  </w:style>
  <w:style w:type="paragraph" w:customStyle="1" w:styleId="s6-3556">
    <w:name w:val="s6-3556"/>
    <w:basedOn w:val="Normal"/>
    <w:rsid w:val="002831AB"/>
    <w:pPr>
      <w:spacing w:before="100" w:beforeAutospacing="1" w:after="100" w:afterAutospacing="1"/>
    </w:pPr>
    <w:rPr>
      <w:rFonts w:ascii="Times New Roman" w:hAnsi="Times New Roman"/>
      <w:sz w:val="24"/>
      <w:szCs w:val="24"/>
      <w:lang w:eastAsia="es-AR"/>
    </w:rPr>
  </w:style>
  <w:style w:type="paragraph" w:customStyle="1" w:styleId="s1-3556">
    <w:name w:val="s1-3556"/>
    <w:basedOn w:val="Normal"/>
    <w:rsid w:val="002831AB"/>
    <w:pPr>
      <w:spacing w:before="100" w:beforeAutospacing="1" w:after="100" w:afterAutospacing="1"/>
    </w:pPr>
    <w:rPr>
      <w:rFonts w:ascii="Times New Roman" w:hAnsi="Times New Roman"/>
      <w:sz w:val="24"/>
      <w:szCs w:val="24"/>
      <w:lang w:eastAsia="es-AR"/>
    </w:rPr>
  </w:style>
  <w:style w:type="paragraph" w:customStyle="1" w:styleId="s2-3556">
    <w:name w:val="s2-3556"/>
    <w:basedOn w:val="Normal"/>
    <w:rsid w:val="002831AB"/>
    <w:pPr>
      <w:spacing w:before="100" w:beforeAutospacing="1" w:after="100" w:afterAutospacing="1"/>
    </w:pPr>
    <w:rPr>
      <w:rFonts w:ascii="Times New Roman" w:hAnsi="Times New Roman"/>
      <w:sz w:val="24"/>
      <w:szCs w:val="24"/>
      <w:lang w:eastAsia="es-AR"/>
    </w:rPr>
  </w:style>
  <w:style w:type="paragraph" w:customStyle="1" w:styleId="Ttulo5TS">
    <w:name w:val="Título 5 TS"/>
    <w:basedOn w:val="Textoindependiente3"/>
    <w:link w:val="Ttulo5TSCar"/>
    <w:rsid w:val="002831AB"/>
    <w:pPr>
      <w:widowControl w:val="0"/>
      <w:autoSpaceDE w:val="0"/>
      <w:autoSpaceDN w:val="0"/>
      <w:adjustRightInd w:val="0"/>
      <w:spacing w:after="120" w:line="240" w:lineRule="auto"/>
      <w:ind w:firstLine="0"/>
      <w:jc w:val="both"/>
    </w:pPr>
    <w:rPr>
      <w:i/>
      <w:sz w:val="20"/>
      <w:lang w:val="x-none"/>
    </w:rPr>
  </w:style>
  <w:style w:type="character" w:customStyle="1" w:styleId="Ttulo5TSCar">
    <w:name w:val="Título 5 TS Car"/>
    <w:link w:val="Ttulo5TS"/>
    <w:locked/>
    <w:rsid w:val="002831AB"/>
    <w:rPr>
      <w:rFonts w:ascii="Times New Roman" w:eastAsia="Times New Roman" w:hAnsi="Times New Roman"/>
      <w:i/>
    </w:rPr>
  </w:style>
  <w:style w:type="paragraph" w:customStyle="1" w:styleId="OmniPage2">
    <w:name w:val="OmniPage #2"/>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3">
    <w:name w:val="OmniPage #3"/>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4">
    <w:name w:val="OmniPage #4"/>
    <w:basedOn w:val="Normal"/>
    <w:rsid w:val="002831AB"/>
    <w:pPr>
      <w:autoSpaceDE w:val="0"/>
      <w:autoSpaceDN w:val="0"/>
      <w:adjustRightInd w:val="0"/>
      <w:spacing w:line="220" w:lineRule="exact"/>
    </w:pPr>
    <w:rPr>
      <w:rFonts w:ascii="Times New Roman" w:hAnsi="Times New Roman"/>
      <w:lang w:val="en-US" w:eastAsia="es-AR"/>
    </w:rPr>
  </w:style>
  <w:style w:type="paragraph" w:customStyle="1" w:styleId="OmniPage6">
    <w:name w:val="OmniPage #6"/>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5">
    <w:name w:val="OmniPage #5"/>
    <w:basedOn w:val="Normal"/>
    <w:rsid w:val="002831AB"/>
    <w:pPr>
      <w:autoSpaceDE w:val="0"/>
      <w:autoSpaceDN w:val="0"/>
      <w:adjustRightInd w:val="0"/>
      <w:spacing w:line="220" w:lineRule="exact"/>
    </w:pPr>
    <w:rPr>
      <w:rFonts w:ascii="Times New Roman" w:hAnsi="Times New Roman"/>
      <w:lang w:val="en-US" w:eastAsia="es-AR"/>
    </w:rPr>
  </w:style>
  <w:style w:type="paragraph" w:customStyle="1" w:styleId="OmniPage7">
    <w:name w:val="OmniPage #7"/>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8">
    <w:name w:val="OmniPage #8"/>
    <w:basedOn w:val="Normal"/>
    <w:rsid w:val="002831AB"/>
    <w:pPr>
      <w:autoSpaceDE w:val="0"/>
      <w:autoSpaceDN w:val="0"/>
      <w:adjustRightInd w:val="0"/>
      <w:spacing w:line="180" w:lineRule="exact"/>
    </w:pPr>
    <w:rPr>
      <w:rFonts w:ascii="Times New Roman" w:hAnsi="Times New Roman"/>
      <w:lang w:val="en-US" w:eastAsia="es-AR"/>
    </w:rPr>
  </w:style>
  <w:style w:type="paragraph" w:customStyle="1" w:styleId="OmniPage9">
    <w:name w:val="OmniPage #9"/>
    <w:basedOn w:val="Normal"/>
    <w:rsid w:val="002831AB"/>
    <w:pPr>
      <w:autoSpaceDE w:val="0"/>
      <w:autoSpaceDN w:val="0"/>
      <w:adjustRightInd w:val="0"/>
      <w:spacing w:line="360" w:lineRule="exact"/>
    </w:pPr>
    <w:rPr>
      <w:rFonts w:ascii="Times New Roman" w:hAnsi="Times New Roman"/>
      <w:lang w:val="en-US" w:eastAsia="es-AR"/>
    </w:rPr>
  </w:style>
  <w:style w:type="paragraph" w:customStyle="1" w:styleId="OmniPage10">
    <w:name w:val="OmniPage #10"/>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11">
    <w:name w:val="OmniPage #11"/>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16">
    <w:name w:val="OmniPage #16"/>
    <w:basedOn w:val="Normal"/>
    <w:rsid w:val="002831AB"/>
    <w:pPr>
      <w:autoSpaceDE w:val="0"/>
      <w:autoSpaceDN w:val="0"/>
      <w:adjustRightInd w:val="0"/>
      <w:spacing w:line="300" w:lineRule="exact"/>
    </w:pPr>
    <w:rPr>
      <w:rFonts w:ascii="Times New Roman" w:hAnsi="Times New Roman"/>
      <w:lang w:val="en-US" w:eastAsia="es-AR"/>
    </w:rPr>
  </w:style>
  <w:style w:type="paragraph" w:customStyle="1" w:styleId="OmniPage17">
    <w:name w:val="OmniPage #17"/>
    <w:basedOn w:val="Normal"/>
    <w:rsid w:val="002831AB"/>
    <w:pPr>
      <w:autoSpaceDE w:val="0"/>
      <w:autoSpaceDN w:val="0"/>
      <w:adjustRightInd w:val="0"/>
      <w:spacing w:line="180" w:lineRule="exact"/>
    </w:pPr>
    <w:rPr>
      <w:rFonts w:ascii="Times New Roman" w:hAnsi="Times New Roman"/>
      <w:lang w:val="en-US" w:eastAsia="es-AR"/>
    </w:rPr>
  </w:style>
  <w:style w:type="paragraph" w:customStyle="1" w:styleId="OmniPage22">
    <w:name w:val="OmniPage #22"/>
    <w:basedOn w:val="Normal"/>
    <w:rsid w:val="002831AB"/>
    <w:pPr>
      <w:autoSpaceDE w:val="0"/>
      <w:autoSpaceDN w:val="0"/>
      <w:adjustRightInd w:val="0"/>
      <w:spacing w:line="220" w:lineRule="exact"/>
    </w:pPr>
    <w:rPr>
      <w:rFonts w:ascii="Times New Roman" w:hAnsi="Times New Roman"/>
      <w:lang w:val="en-US" w:eastAsia="es-AR"/>
    </w:rPr>
  </w:style>
  <w:style w:type="paragraph" w:customStyle="1" w:styleId="OmniPage23">
    <w:name w:val="OmniPage #23"/>
    <w:basedOn w:val="Normal"/>
    <w:rsid w:val="002831AB"/>
    <w:pPr>
      <w:autoSpaceDE w:val="0"/>
      <w:autoSpaceDN w:val="0"/>
      <w:adjustRightInd w:val="0"/>
      <w:spacing w:line="220" w:lineRule="exact"/>
    </w:pPr>
    <w:rPr>
      <w:rFonts w:ascii="Times New Roman" w:hAnsi="Times New Roman"/>
      <w:lang w:val="en-US" w:eastAsia="es-AR"/>
    </w:rPr>
  </w:style>
  <w:style w:type="paragraph" w:customStyle="1" w:styleId="OmniPage24">
    <w:name w:val="OmniPage #24"/>
    <w:basedOn w:val="Normal"/>
    <w:rsid w:val="002831AB"/>
    <w:pPr>
      <w:autoSpaceDE w:val="0"/>
      <w:autoSpaceDN w:val="0"/>
      <w:adjustRightInd w:val="0"/>
      <w:spacing w:line="340" w:lineRule="exact"/>
    </w:pPr>
    <w:rPr>
      <w:rFonts w:ascii="Times New Roman" w:hAnsi="Times New Roman"/>
      <w:lang w:val="en-US" w:eastAsia="es-AR"/>
    </w:rPr>
  </w:style>
  <w:style w:type="paragraph" w:customStyle="1" w:styleId="OmniPage25">
    <w:name w:val="OmniPage #25"/>
    <w:basedOn w:val="Normal"/>
    <w:rsid w:val="002831AB"/>
    <w:pPr>
      <w:autoSpaceDE w:val="0"/>
      <w:autoSpaceDN w:val="0"/>
      <w:adjustRightInd w:val="0"/>
      <w:spacing w:line="700" w:lineRule="exact"/>
    </w:pPr>
    <w:rPr>
      <w:rFonts w:ascii="Times New Roman" w:hAnsi="Times New Roman"/>
      <w:lang w:val="en-US" w:eastAsia="es-AR"/>
    </w:rPr>
  </w:style>
  <w:style w:type="paragraph" w:customStyle="1" w:styleId="OmniPage12">
    <w:name w:val="OmniPage #12"/>
    <w:basedOn w:val="Normal"/>
    <w:rsid w:val="002831AB"/>
    <w:pPr>
      <w:autoSpaceDE w:val="0"/>
      <w:autoSpaceDN w:val="0"/>
      <w:adjustRightInd w:val="0"/>
      <w:spacing w:line="300" w:lineRule="exact"/>
    </w:pPr>
    <w:rPr>
      <w:rFonts w:ascii="Times New Roman" w:hAnsi="Times New Roman"/>
      <w:lang w:val="en-US" w:eastAsia="es-AR"/>
    </w:rPr>
  </w:style>
  <w:style w:type="paragraph" w:customStyle="1" w:styleId="OmniPage13">
    <w:name w:val="OmniPage #13"/>
    <w:basedOn w:val="Normal"/>
    <w:rsid w:val="002831AB"/>
    <w:pPr>
      <w:autoSpaceDE w:val="0"/>
      <w:autoSpaceDN w:val="0"/>
      <w:adjustRightInd w:val="0"/>
      <w:spacing w:line="420" w:lineRule="exact"/>
    </w:pPr>
    <w:rPr>
      <w:rFonts w:ascii="Times New Roman" w:hAnsi="Times New Roman"/>
      <w:lang w:val="en-US" w:eastAsia="es-AR"/>
    </w:rPr>
  </w:style>
  <w:style w:type="paragraph" w:customStyle="1" w:styleId="OmniPage14">
    <w:name w:val="OmniPage #14"/>
    <w:basedOn w:val="Normal"/>
    <w:rsid w:val="002831AB"/>
    <w:pPr>
      <w:autoSpaceDE w:val="0"/>
      <w:autoSpaceDN w:val="0"/>
      <w:adjustRightInd w:val="0"/>
      <w:spacing w:line="360" w:lineRule="exact"/>
    </w:pPr>
    <w:rPr>
      <w:rFonts w:ascii="Times New Roman" w:hAnsi="Times New Roman"/>
      <w:lang w:val="en-US" w:eastAsia="es-AR"/>
    </w:rPr>
  </w:style>
  <w:style w:type="paragraph" w:customStyle="1" w:styleId="OmniPage15">
    <w:name w:val="OmniPage #15"/>
    <w:basedOn w:val="Normal"/>
    <w:rsid w:val="002831AB"/>
    <w:pPr>
      <w:autoSpaceDE w:val="0"/>
      <w:autoSpaceDN w:val="0"/>
      <w:adjustRightInd w:val="0"/>
      <w:spacing w:line="220" w:lineRule="exact"/>
    </w:pPr>
    <w:rPr>
      <w:rFonts w:ascii="Times New Roman" w:hAnsi="Times New Roman"/>
      <w:lang w:val="en-US" w:eastAsia="es-AR"/>
    </w:rPr>
  </w:style>
  <w:style w:type="character" w:customStyle="1" w:styleId="Heading1Char">
    <w:name w:val="Heading 1 Char"/>
    <w:aliases w:val="Section Char"/>
    <w:rsid w:val="002831AB"/>
    <w:rPr>
      <w:rFonts w:ascii="Arial" w:hAnsi="Arial"/>
      <w:b/>
      <w:kern w:val="32"/>
      <w:sz w:val="32"/>
      <w:lang w:val="es-ES" w:eastAsia="es-ES"/>
    </w:rPr>
  </w:style>
  <w:style w:type="character" w:customStyle="1" w:styleId="Heading4Char">
    <w:name w:val="Heading 4 Char"/>
    <w:rsid w:val="002831AB"/>
    <w:rPr>
      <w:b/>
      <w:sz w:val="24"/>
      <w:lang w:val="es-AR" w:eastAsia="es-ES"/>
    </w:rPr>
  </w:style>
  <w:style w:type="paragraph" w:customStyle="1" w:styleId="Estilo1">
    <w:name w:val="Estilo1"/>
    <w:basedOn w:val="Sangradetextonormal1"/>
    <w:rsid w:val="002831AB"/>
    <w:pPr>
      <w:autoSpaceDE w:val="0"/>
      <w:autoSpaceDN w:val="0"/>
      <w:adjustRightInd w:val="0"/>
      <w:ind w:left="0"/>
    </w:pPr>
    <w:rPr>
      <w:rFonts w:eastAsia="Times New Roman"/>
      <w:b/>
      <w:bCs/>
      <w:caps/>
      <w:sz w:val="22"/>
      <w:szCs w:val="22"/>
      <w:lang w:val="es-ES_tradnl" w:eastAsia="en-US"/>
    </w:rPr>
  </w:style>
  <w:style w:type="paragraph" w:customStyle="1" w:styleId="Estilo2">
    <w:name w:val="Estilo2"/>
    <w:basedOn w:val="Ttulo3"/>
    <w:rsid w:val="002831AB"/>
    <w:rPr>
      <w:i/>
      <w:iCs/>
    </w:rPr>
  </w:style>
  <w:style w:type="paragraph" w:customStyle="1" w:styleId="xl43">
    <w:name w:val="xl43"/>
    <w:basedOn w:val="Normal"/>
    <w:rsid w:val="002831AB"/>
    <w:pPr>
      <w:pBdr>
        <w:bottom w:val="single" w:sz="4" w:space="0" w:color="auto"/>
      </w:pBdr>
      <w:autoSpaceDE w:val="0"/>
      <w:autoSpaceDN w:val="0"/>
      <w:adjustRightInd w:val="0"/>
      <w:spacing w:before="100" w:beforeAutospacing="1" w:after="100" w:afterAutospacing="1"/>
      <w:jc w:val="right"/>
    </w:pPr>
    <w:rPr>
      <w:rFonts w:ascii="Arial Unicode MS" w:eastAsia="Arial Unicode MS" w:hAnsi="Arial Unicode MS" w:cs="Arial Unicode MS"/>
      <w:sz w:val="16"/>
      <w:szCs w:val="16"/>
      <w:lang w:val="en-US" w:eastAsia="es-AR"/>
    </w:rPr>
  </w:style>
  <w:style w:type="paragraph" w:customStyle="1" w:styleId="xl44">
    <w:name w:val="xl44"/>
    <w:basedOn w:val="Normal"/>
    <w:rsid w:val="002831AB"/>
    <w:pPr>
      <w:autoSpaceDE w:val="0"/>
      <w:autoSpaceDN w:val="0"/>
      <w:adjustRightInd w:val="0"/>
      <w:spacing w:before="100" w:beforeAutospacing="1" w:after="100" w:afterAutospacing="1"/>
      <w:jc w:val="right"/>
    </w:pPr>
    <w:rPr>
      <w:rFonts w:ascii="Arial Unicode MS" w:eastAsia="Arial Unicode MS" w:hAnsi="Arial Unicode MS" w:cs="Arial Unicode MS"/>
      <w:sz w:val="16"/>
      <w:szCs w:val="16"/>
      <w:lang w:val="en-US" w:eastAsia="es-AR"/>
    </w:rPr>
  </w:style>
  <w:style w:type="paragraph" w:customStyle="1" w:styleId="xl45">
    <w:name w:val="xl45"/>
    <w:basedOn w:val="Normal"/>
    <w:rsid w:val="002831AB"/>
    <w:pPr>
      <w:pBdr>
        <w:top w:val="single" w:sz="4" w:space="0" w:color="auto"/>
      </w:pBdr>
      <w:autoSpaceDE w:val="0"/>
      <w:autoSpaceDN w:val="0"/>
      <w:adjustRightInd w:val="0"/>
      <w:spacing w:before="100" w:beforeAutospacing="1" w:after="100" w:afterAutospacing="1"/>
      <w:jc w:val="right"/>
    </w:pPr>
    <w:rPr>
      <w:rFonts w:ascii="Arial Unicode MS" w:eastAsia="Arial Unicode MS" w:hAnsi="Arial Unicode MS" w:cs="Arial Unicode MS"/>
      <w:sz w:val="16"/>
      <w:szCs w:val="16"/>
      <w:lang w:val="en-US" w:eastAsia="es-AR"/>
    </w:rPr>
  </w:style>
  <w:style w:type="paragraph" w:customStyle="1" w:styleId="xl47">
    <w:name w:val="xl47"/>
    <w:basedOn w:val="Normal"/>
    <w:rsid w:val="002831AB"/>
    <w:pPr>
      <w:pBdr>
        <w:top w:val="single" w:sz="4" w:space="0" w:color="auto"/>
      </w:pBdr>
      <w:autoSpaceDE w:val="0"/>
      <w:autoSpaceDN w:val="0"/>
      <w:adjustRightInd w:val="0"/>
      <w:spacing w:before="100" w:beforeAutospacing="1" w:after="100" w:afterAutospacing="1"/>
      <w:jc w:val="right"/>
    </w:pPr>
    <w:rPr>
      <w:rFonts w:ascii="Arial Unicode MS" w:eastAsia="Arial Unicode MS" w:hAnsi="Arial Unicode MS" w:cs="Arial Unicode MS"/>
      <w:b/>
      <w:bCs/>
      <w:sz w:val="16"/>
      <w:szCs w:val="16"/>
      <w:lang w:val="en-US" w:eastAsia="es-AR"/>
    </w:rPr>
  </w:style>
  <w:style w:type="paragraph" w:customStyle="1" w:styleId="ListBullet3Sgl">
    <w:name w:val="List Bullet 3 Sgl"/>
    <w:basedOn w:val="Listaconvietas3"/>
    <w:rsid w:val="002831AB"/>
    <w:pPr>
      <w:numPr>
        <w:numId w:val="0"/>
      </w:numPr>
      <w:tabs>
        <w:tab w:val="num" w:pos="1080"/>
        <w:tab w:val="num" w:pos="1440"/>
      </w:tabs>
      <w:autoSpaceDE w:val="0"/>
      <w:autoSpaceDN w:val="0"/>
      <w:adjustRightInd w:val="0"/>
      <w:ind w:left="1080" w:hanging="360"/>
      <w:jc w:val="both"/>
    </w:pPr>
    <w:rPr>
      <w:b/>
      <w:bCs/>
      <w:i/>
      <w:iCs/>
      <w:w w:val="0"/>
      <w:sz w:val="19"/>
      <w:szCs w:val="19"/>
    </w:rPr>
  </w:style>
  <w:style w:type="paragraph" w:customStyle="1" w:styleId="ListBullet3SglJ">
    <w:name w:val="List Bullet 3 Sgl/J"/>
    <w:basedOn w:val="ListBullet3Sgl"/>
    <w:rsid w:val="002831AB"/>
  </w:style>
  <w:style w:type="paragraph" w:customStyle="1" w:styleId="footnumbers">
    <w:name w:val="footnumbers"/>
    <w:basedOn w:val="Normal"/>
    <w:rsid w:val="002831AB"/>
    <w:pPr>
      <w:tabs>
        <w:tab w:val="num" w:pos="425"/>
        <w:tab w:val="num" w:pos="2160"/>
      </w:tabs>
      <w:autoSpaceDE w:val="0"/>
      <w:autoSpaceDN w:val="0"/>
      <w:adjustRightInd w:val="0"/>
      <w:spacing w:after="240"/>
      <w:ind w:left="432" w:hanging="432"/>
    </w:pPr>
    <w:rPr>
      <w:rFonts w:ascii="Times New Roman" w:hAnsi="Times New Roman"/>
      <w:lang w:val="en-US" w:eastAsia="es-AR"/>
    </w:rPr>
  </w:style>
  <w:style w:type="paragraph" w:customStyle="1" w:styleId="HeadingBody1">
    <w:name w:val="HeadingBody 1"/>
    <w:basedOn w:val="Textoindependiente"/>
    <w:next w:val="Textoindependiente"/>
    <w:rsid w:val="002831AB"/>
    <w:pPr>
      <w:spacing w:after="240"/>
      <w:jc w:val="center"/>
    </w:pPr>
  </w:style>
  <w:style w:type="character" w:customStyle="1" w:styleId="Table9pt0">
    <w:name w:val="Table 9 pt"/>
    <w:rsid w:val="002831AB"/>
    <w:rPr>
      <w:spacing w:val="0"/>
      <w:sz w:val="18"/>
    </w:rPr>
  </w:style>
  <w:style w:type="paragraph" w:customStyle="1" w:styleId="Level3">
    <w:name w:val="Level 3"/>
    <w:basedOn w:val="Normal"/>
    <w:rsid w:val="002831AB"/>
    <w:pPr>
      <w:keepNext/>
      <w:autoSpaceDE w:val="0"/>
      <w:autoSpaceDN w:val="0"/>
      <w:adjustRightInd w:val="0"/>
      <w:spacing w:after="240"/>
      <w:jc w:val="both"/>
    </w:pPr>
    <w:rPr>
      <w:rFonts w:ascii="Times New Roman" w:hAnsi="Times New Roman"/>
      <w:b/>
      <w:bCs/>
      <w:lang w:val="en-US" w:eastAsia="es-AR"/>
    </w:rPr>
  </w:style>
  <w:style w:type="paragraph" w:customStyle="1" w:styleId="TableNotes0">
    <w:name w:val="Table Note(s)"/>
    <w:basedOn w:val="Normal"/>
    <w:rsid w:val="002831AB"/>
    <w:pPr>
      <w:autoSpaceDE w:val="0"/>
      <w:autoSpaceDN w:val="0"/>
      <w:adjustRightInd w:val="0"/>
      <w:spacing w:after="120"/>
      <w:ind w:left="360" w:hanging="360"/>
      <w:jc w:val="both"/>
    </w:pPr>
    <w:rPr>
      <w:rFonts w:ascii="Times New Roman" w:hAnsi="Times New Roman"/>
      <w:lang w:val="en-US" w:eastAsia="es-AR"/>
    </w:rPr>
  </w:style>
  <w:style w:type="paragraph" w:customStyle="1" w:styleId="tablenotes1">
    <w:name w:val="table notes"/>
    <w:basedOn w:val="Textoindependiente"/>
    <w:rsid w:val="002831AB"/>
    <w:pPr>
      <w:spacing w:after="0"/>
      <w:ind w:left="360" w:hanging="360"/>
      <w:jc w:val="both"/>
    </w:pPr>
    <w:rPr>
      <w:sz w:val="16"/>
      <w:szCs w:val="16"/>
    </w:rPr>
  </w:style>
  <w:style w:type="paragraph" w:customStyle="1" w:styleId="Notes8">
    <w:name w:val="Notes8"/>
    <w:basedOn w:val="Normal"/>
    <w:next w:val="Normal"/>
    <w:rsid w:val="002831AB"/>
    <w:pPr>
      <w:tabs>
        <w:tab w:val="left" w:pos="440"/>
        <w:tab w:val="left" w:pos="660"/>
        <w:tab w:val="left" w:pos="879"/>
        <w:tab w:val="left" w:pos="1099"/>
        <w:tab w:val="left" w:pos="1318"/>
        <w:tab w:val="left" w:pos="1538"/>
        <w:tab w:val="left" w:pos="1758"/>
        <w:tab w:val="left" w:pos="1977"/>
        <w:tab w:val="left" w:pos="2197"/>
        <w:tab w:val="left" w:pos="2416"/>
        <w:tab w:val="left" w:pos="2636"/>
        <w:tab w:val="left" w:pos="2856"/>
        <w:tab w:val="left" w:pos="3075"/>
        <w:tab w:val="left" w:pos="3295"/>
        <w:tab w:val="left" w:pos="3514"/>
        <w:tab w:val="left" w:pos="3734"/>
        <w:tab w:val="left" w:pos="3954"/>
        <w:tab w:val="left" w:pos="4173"/>
        <w:tab w:val="left" w:pos="4393"/>
        <w:tab w:val="left" w:pos="4612"/>
        <w:tab w:val="left" w:pos="4832"/>
        <w:tab w:val="left" w:pos="5052"/>
        <w:tab w:val="left" w:pos="5271"/>
        <w:tab w:val="left" w:pos="5491"/>
        <w:tab w:val="left" w:pos="5710"/>
        <w:tab w:val="left" w:pos="5930"/>
        <w:tab w:val="left" w:pos="6150"/>
        <w:tab w:val="left" w:pos="6369"/>
        <w:tab w:val="left" w:pos="6589"/>
        <w:tab w:val="left" w:pos="6808"/>
        <w:tab w:val="left" w:pos="7028"/>
        <w:tab w:val="left" w:pos="7248"/>
        <w:tab w:val="left" w:pos="7467"/>
        <w:tab w:val="left" w:pos="7687"/>
        <w:tab w:val="left" w:pos="7906"/>
        <w:tab w:val="left" w:pos="8126"/>
        <w:tab w:val="left" w:pos="8346"/>
        <w:tab w:val="left" w:pos="8565"/>
        <w:tab w:val="left" w:pos="8785"/>
        <w:tab w:val="left" w:pos="9004"/>
      </w:tabs>
      <w:autoSpaceDE w:val="0"/>
      <w:autoSpaceDN w:val="0"/>
      <w:adjustRightInd w:val="0"/>
      <w:ind w:left="440" w:hanging="440"/>
      <w:jc w:val="both"/>
    </w:pPr>
    <w:rPr>
      <w:rFonts w:ascii="Times New Roman" w:hAnsi="Times New Roman"/>
      <w:color w:val="000000"/>
      <w:sz w:val="16"/>
      <w:szCs w:val="16"/>
      <w:lang w:val="en-US" w:eastAsia="es-AR"/>
    </w:rPr>
  </w:style>
  <w:style w:type="paragraph" w:customStyle="1" w:styleId="text-1ind">
    <w:name w:val="text-1ind"/>
    <w:basedOn w:val="Normal"/>
    <w:next w:val="Normal"/>
    <w:rsid w:val="002831AB"/>
    <w:pPr>
      <w:tabs>
        <w:tab w:val="left" w:pos="-1440"/>
      </w:tabs>
      <w:autoSpaceDE w:val="0"/>
      <w:autoSpaceDN w:val="0"/>
      <w:adjustRightInd w:val="0"/>
      <w:ind w:firstLine="720"/>
      <w:jc w:val="both"/>
    </w:pPr>
    <w:rPr>
      <w:rFonts w:ascii="Times New Roman" w:hAnsi="Times New Roman"/>
      <w:color w:val="000000"/>
      <w:lang w:val="en-US" w:eastAsia="es-AR"/>
    </w:rPr>
  </w:style>
  <w:style w:type="paragraph" w:customStyle="1" w:styleId="Heading21">
    <w:name w:val="Heading 21"/>
    <w:basedOn w:val="Normal"/>
    <w:next w:val="Normal"/>
    <w:rsid w:val="002831AB"/>
    <w:pPr>
      <w:keepNext/>
      <w:widowControl w:val="0"/>
      <w:autoSpaceDE w:val="0"/>
      <w:autoSpaceDN w:val="0"/>
      <w:adjustRightInd w:val="0"/>
      <w:ind w:firstLine="723"/>
      <w:jc w:val="both"/>
    </w:pPr>
    <w:rPr>
      <w:rFonts w:ascii="Times New Roman" w:hAnsi="Times New Roman"/>
      <w:b/>
      <w:bCs/>
      <w:i/>
      <w:iCs/>
      <w:color w:val="000000"/>
      <w:lang w:val="en-US" w:eastAsia="es-AR"/>
    </w:rPr>
  </w:style>
  <w:style w:type="character" w:customStyle="1" w:styleId="Table12pt">
    <w:name w:val="Table 12pt"/>
    <w:rsid w:val="002831AB"/>
    <w:rPr>
      <w:spacing w:val="0"/>
      <w:sz w:val="24"/>
    </w:rPr>
  </w:style>
  <w:style w:type="paragraph" w:customStyle="1" w:styleId="Heading14">
    <w:name w:val="Heading 14"/>
    <w:basedOn w:val="Normal"/>
    <w:rsid w:val="002831AB"/>
    <w:pPr>
      <w:tabs>
        <w:tab w:val="num"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left="2880" w:hanging="360"/>
    </w:pPr>
    <w:rPr>
      <w:rFonts w:ascii="Times New Roman" w:hAnsi="Times New Roman"/>
      <w:lang w:val="en-US" w:eastAsia="es-AR"/>
    </w:rPr>
  </w:style>
  <w:style w:type="paragraph" w:customStyle="1" w:styleId="BlockText5Ital">
    <w:name w:val="Block Text .5 Ital"/>
    <w:basedOn w:val="Normal"/>
    <w:rsid w:val="002831AB"/>
    <w:pPr>
      <w:keepNext/>
      <w:autoSpaceDE w:val="0"/>
      <w:autoSpaceDN w:val="0"/>
      <w:adjustRightInd w:val="0"/>
      <w:spacing w:after="240"/>
      <w:ind w:left="720"/>
    </w:pPr>
    <w:rPr>
      <w:rFonts w:ascii="Times New Roman" w:hAnsi="Times New Roman"/>
      <w:i/>
      <w:iCs/>
      <w:lang w:val="en-US" w:eastAsia="es-AR"/>
    </w:rPr>
  </w:style>
  <w:style w:type="character" w:customStyle="1" w:styleId="DeltaViewDelimiter">
    <w:name w:val="DeltaView Delimiter"/>
    <w:rsid w:val="002831AB"/>
    <w:rPr>
      <w:spacing w:val="0"/>
    </w:rPr>
  </w:style>
  <w:style w:type="paragraph" w:customStyle="1" w:styleId="TableTab">
    <w:name w:val="Table*Tab"/>
    <w:basedOn w:val="Normal"/>
    <w:rsid w:val="002831AB"/>
    <w:pPr>
      <w:tabs>
        <w:tab w:val="right" w:leader="dot" w:pos="4752"/>
      </w:tabs>
      <w:autoSpaceDE w:val="0"/>
      <w:autoSpaceDN w:val="0"/>
      <w:adjustRightInd w:val="0"/>
      <w:spacing w:before="60" w:after="60"/>
      <w:ind w:left="360" w:hanging="360"/>
    </w:pPr>
    <w:rPr>
      <w:rFonts w:ascii="Times New Roman" w:hAnsi="Times New Roman"/>
      <w:lang w:val="en-US" w:eastAsia="es-AR"/>
    </w:rPr>
  </w:style>
  <w:style w:type="paragraph" w:customStyle="1" w:styleId="Salutation1">
    <w:name w:val="Salutation1"/>
    <w:basedOn w:val="Normal"/>
    <w:next w:val="Normal"/>
    <w:rsid w:val="002831AB"/>
    <w:pPr>
      <w:autoSpaceDE w:val="0"/>
      <w:autoSpaceDN w:val="0"/>
      <w:adjustRightInd w:val="0"/>
      <w:spacing w:before="240" w:after="240" w:line="240" w:lineRule="atLeast"/>
    </w:pPr>
    <w:rPr>
      <w:rFonts w:ascii="Garamond" w:hAnsi="Garamond"/>
      <w:kern w:val="18"/>
      <w:lang w:val="en-US" w:eastAsia="es-AR"/>
    </w:rPr>
  </w:style>
  <w:style w:type="paragraph" w:customStyle="1" w:styleId="BlockTextj0">
    <w:name w:val="Block Text j"/>
    <w:basedOn w:val="Textodebloque"/>
    <w:rsid w:val="002831AB"/>
    <w:pPr>
      <w:spacing w:after="200" w:line="240" w:lineRule="auto"/>
      <w:jc w:val="both"/>
    </w:pPr>
    <w:rPr>
      <w:rFonts w:ascii="Arial" w:hAnsi="Arial" w:cs="Arial"/>
    </w:rPr>
  </w:style>
  <w:style w:type="paragraph" w:customStyle="1" w:styleId="ListBullet4b">
    <w:name w:val="List Bullet 4b"/>
    <w:basedOn w:val="Normal"/>
    <w:rsid w:val="002831AB"/>
    <w:pPr>
      <w:tabs>
        <w:tab w:val="left" w:pos="567"/>
      </w:tabs>
      <w:autoSpaceDE w:val="0"/>
      <w:autoSpaceDN w:val="0"/>
      <w:adjustRightInd w:val="0"/>
      <w:spacing w:after="240"/>
      <w:ind w:left="1440" w:hanging="360"/>
    </w:pPr>
    <w:rPr>
      <w:rFonts w:ascii="Times New Roman" w:eastAsia="Arial Unicode MS" w:hAnsi="Times New Roman"/>
      <w:b/>
      <w:bCs/>
      <w:w w:val="0"/>
      <w:sz w:val="19"/>
      <w:szCs w:val="19"/>
      <w:lang w:val="en-US" w:eastAsia="es-AR"/>
    </w:rPr>
  </w:style>
  <w:style w:type="paragraph" w:customStyle="1" w:styleId="Textopredeterminado1">
    <w:name w:val="Texto predeterminado:1"/>
    <w:basedOn w:val="Normal"/>
    <w:rsid w:val="002831AB"/>
    <w:pPr>
      <w:tabs>
        <w:tab w:val="left" w:pos="567"/>
      </w:tabs>
      <w:autoSpaceDE w:val="0"/>
      <w:autoSpaceDN w:val="0"/>
      <w:adjustRightInd w:val="0"/>
      <w:ind w:left="567"/>
      <w:jc w:val="both"/>
    </w:pPr>
    <w:rPr>
      <w:rFonts w:ascii="Arial" w:eastAsia="Arial Unicode MS" w:hAnsi="Arial" w:cs="Arial"/>
      <w:b/>
      <w:bCs/>
      <w:noProof/>
      <w:w w:val="0"/>
      <w:lang w:val="en-US" w:eastAsia="es-AR"/>
    </w:rPr>
  </w:style>
  <w:style w:type="paragraph" w:customStyle="1" w:styleId="Listaconvitas5">
    <w:name w:val="Lista con vitas 5"/>
    <w:basedOn w:val="Normal"/>
    <w:autoRedefine/>
    <w:rsid w:val="002831AB"/>
    <w:pPr>
      <w:autoSpaceDE w:val="0"/>
      <w:autoSpaceDN w:val="0"/>
      <w:adjustRightInd w:val="0"/>
      <w:spacing w:before="100" w:beforeAutospacing="1" w:after="100" w:afterAutospacing="1"/>
      <w:jc w:val="right"/>
    </w:pPr>
    <w:rPr>
      <w:rFonts w:ascii="Times New Roman" w:hAnsi="Times New Roman"/>
      <w:color w:val="000000"/>
      <w:lang w:val="en-US" w:eastAsia="es-AR"/>
    </w:rPr>
  </w:style>
  <w:style w:type="paragraph" w:customStyle="1" w:styleId="TitleADDRESS">
    <w:name w:val="TitleADDRESS"/>
    <w:basedOn w:val="Normal"/>
    <w:rsid w:val="002831AB"/>
    <w:pPr>
      <w:widowControl w:val="0"/>
      <w:autoSpaceDE w:val="0"/>
      <w:autoSpaceDN w:val="0"/>
      <w:adjustRightInd w:val="0"/>
      <w:spacing w:after="360"/>
      <w:jc w:val="center"/>
    </w:pPr>
    <w:rPr>
      <w:rFonts w:ascii="Times New Roman" w:hAnsi="Times New Roman"/>
      <w:b/>
      <w:bCs/>
      <w:lang w:val="en-US" w:eastAsia="es-AR"/>
    </w:rPr>
  </w:style>
  <w:style w:type="paragraph" w:customStyle="1" w:styleId="CENTERCAPS">
    <w:name w:val="CENTERCAPS"/>
    <w:basedOn w:val="Normal"/>
    <w:next w:val="Normal"/>
    <w:rsid w:val="002831AB"/>
    <w:pPr>
      <w:keepNext/>
      <w:widowControl w:val="0"/>
      <w:autoSpaceDE w:val="0"/>
      <w:autoSpaceDN w:val="0"/>
      <w:adjustRightInd w:val="0"/>
      <w:spacing w:before="240" w:line="480" w:lineRule="auto"/>
      <w:jc w:val="center"/>
    </w:pPr>
    <w:rPr>
      <w:rFonts w:ascii="Times New Roman" w:hAnsi="Times New Roman"/>
      <w:caps/>
      <w:lang w:val="en-US" w:eastAsia="es-AR"/>
    </w:rPr>
  </w:style>
  <w:style w:type="paragraph" w:customStyle="1" w:styleId="OR">
    <w:name w:val="OR"/>
    <w:basedOn w:val="CENTERCAPS"/>
    <w:rsid w:val="002831AB"/>
    <w:rPr>
      <w:caps w:val="0"/>
    </w:rPr>
  </w:style>
  <w:style w:type="paragraph" w:customStyle="1" w:styleId="NOTES0">
    <w:name w:val="NOTES"/>
    <w:basedOn w:val="Normal"/>
    <w:rsid w:val="002831AB"/>
    <w:pPr>
      <w:widowControl w:val="0"/>
      <w:tabs>
        <w:tab w:val="left" w:pos="2520"/>
      </w:tabs>
      <w:autoSpaceDE w:val="0"/>
      <w:autoSpaceDN w:val="0"/>
      <w:adjustRightInd w:val="0"/>
      <w:spacing w:after="240"/>
      <w:ind w:left="2520" w:hanging="1080"/>
    </w:pPr>
    <w:rPr>
      <w:rFonts w:ascii="Times New Roman" w:hAnsi="Times New Roman"/>
      <w:b/>
      <w:bCs/>
      <w:lang w:val="en-US" w:eastAsia="es-AR"/>
    </w:rPr>
  </w:style>
  <w:style w:type="paragraph" w:customStyle="1" w:styleId="TitlePgBLANKLINE">
    <w:name w:val="TitlePgBLANKLINE"/>
    <w:basedOn w:val="Normal"/>
    <w:rsid w:val="002831AB"/>
    <w:pPr>
      <w:widowControl w:val="0"/>
      <w:autoSpaceDE w:val="0"/>
      <w:autoSpaceDN w:val="0"/>
      <w:adjustRightInd w:val="0"/>
      <w:spacing w:after="360"/>
      <w:jc w:val="center"/>
    </w:pPr>
    <w:rPr>
      <w:rFonts w:ascii="Times New Roman" w:hAnsi="Times New Roman"/>
      <w:lang w:val="en-US" w:eastAsia="es-AR"/>
    </w:rPr>
  </w:style>
  <w:style w:type="paragraph" w:customStyle="1" w:styleId="Tulo1">
    <w:name w:val="T咜ulo 1"/>
    <w:basedOn w:val="Normal"/>
    <w:next w:val="DeltaViewTableHeading"/>
    <w:rsid w:val="002831AB"/>
    <w:pPr>
      <w:keepNext/>
      <w:widowControl w:val="0"/>
      <w:autoSpaceDE w:val="0"/>
      <w:autoSpaceDN w:val="0"/>
      <w:adjustRightInd w:val="0"/>
      <w:spacing w:after="240"/>
      <w:jc w:val="center"/>
    </w:pPr>
    <w:rPr>
      <w:rFonts w:ascii="Times New Roman" w:hAnsi="Times New Roman"/>
      <w:b/>
      <w:bCs/>
      <w:caps/>
      <w:lang w:val="en-US" w:eastAsia="es-AR"/>
    </w:rPr>
  </w:style>
  <w:style w:type="paragraph" w:customStyle="1" w:styleId="Tulo2">
    <w:name w:val="T咜ulo 2"/>
    <w:basedOn w:val="Normal"/>
    <w:next w:val="DeltaViewTableHeading"/>
    <w:rsid w:val="002831AB"/>
    <w:pPr>
      <w:keepNext/>
      <w:keepLines/>
      <w:widowControl w:val="0"/>
      <w:autoSpaceDE w:val="0"/>
      <w:autoSpaceDN w:val="0"/>
      <w:adjustRightInd w:val="0"/>
      <w:spacing w:after="240"/>
    </w:pPr>
    <w:rPr>
      <w:rFonts w:ascii="Times New Roman" w:hAnsi="Times New Roman"/>
      <w:b/>
      <w:bCs/>
      <w:lang w:val="en-US" w:eastAsia="es-AR"/>
    </w:rPr>
  </w:style>
  <w:style w:type="paragraph" w:customStyle="1" w:styleId="Tulo3">
    <w:name w:val="T咜ulo 3"/>
    <w:basedOn w:val="Normal"/>
    <w:next w:val="DeltaViewTableHeading"/>
    <w:rsid w:val="002831AB"/>
    <w:pPr>
      <w:keepNext/>
      <w:widowControl w:val="0"/>
      <w:autoSpaceDE w:val="0"/>
      <w:autoSpaceDN w:val="0"/>
      <w:adjustRightInd w:val="0"/>
      <w:spacing w:after="240"/>
    </w:pPr>
    <w:rPr>
      <w:rFonts w:ascii="Times New Roman" w:hAnsi="Times New Roman"/>
      <w:lang w:val="en-US" w:eastAsia="es-AR"/>
    </w:rPr>
  </w:style>
  <w:style w:type="paragraph" w:customStyle="1" w:styleId="Tulo4">
    <w:name w:val="T咜ulo 4"/>
    <w:basedOn w:val="Normal"/>
    <w:next w:val="DeltaViewTableHeading"/>
    <w:rsid w:val="002831AB"/>
    <w:pPr>
      <w:widowControl w:val="0"/>
      <w:autoSpaceDE w:val="0"/>
      <w:autoSpaceDN w:val="0"/>
      <w:adjustRightInd w:val="0"/>
      <w:spacing w:after="240"/>
    </w:pPr>
    <w:rPr>
      <w:rFonts w:ascii="Times New Roman" w:hAnsi="Times New Roman"/>
      <w:lang w:val="en-US" w:eastAsia="es-AR"/>
    </w:rPr>
  </w:style>
  <w:style w:type="paragraph" w:customStyle="1" w:styleId="Tulo5">
    <w:name w:val="T咜ulo 5"/>
    <w:basedOn w:val="Normal"/>
    <w:next w:val="DeltaViewTableHeading"/>
    <w:rsid w:val="002831AB"/>
    <w:pPr>
      <w:widowControl w:val="0"/>
      <w:autoSpaceDE w:val="0"/>
      <w:autoSpaceDN w:val="0"/>
      <w:adjustRightInd w:val="0"/>
      <w:spacing w:after="240"/>
    </w:pPr>
    <w:rPr>
      <w:rFonts w:ascii="Times New Roman" w:hAnsi="Times New Roman"/>
      <w:lang w:val="en-US" w:eastAsia="es-AR"/>
    </w:rPr>
  </w:style>
  <w:style w:type="paragraph" w:customStyle="1" w:styleId="Tulo6">
    <w:name w:val="T咜ulo 6"/>
    <w:basedOn w:val="Normal"/>
    <w:next w:val="DeltaViewTableHeading"/>
    <w:rsid w:val="002831AB"/>
    <w:pPr>
      <w:widowControl w:val="0"/>
      <w:autoSpaceDE w:val="0"/>
      <w:autoSpaceDN w:val="0"/>
      <w:adjustRightInd w:val="0"/>
      <w:spacing w:after="240"/>
    </w:pPr>
    <w:rPr>
      <w:rFonts w:ascii="Times New Roman" w:hAnsi="Times New Roman"/>
      <w:lang w:val="en-US" w:eastAsia="es-AR"/>
    </w:rPr>
  </w:style>
  <w:style w:type="paragraph" w:customStyle="1" w:styleId="Tulo7">
    <w:name w:val="T咜ulo 7"/>
    <w:basedOn w:val="Normal"/>
    <w:next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Tulo8">
    <w:name w:val="T咜ulo 8"/>
    <w:basedOn w:val="Normal"/>
    <w:next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Tulo9">
    <w:name w:val="T咜ulo 9"/>
    <w:basedOn w:val="Normal"/>
    <w:next w:val="Normal"/>
    <w:rsid w:val="002831AB"/>
    <w:pPr>
      <w:widowControl w:val="0"/>
      <w:autoSpaceDE w:val="0"/>
      <w:autoSpaceDN w:val="0"/>
      <w:adjustRightInd w:val="0"/>
      <w:spacing w:after="240"/>
    </w:pPr>
    <w:rPr>
      <w:rFonts w:ascii="Times New Roman" w:hAnsi="Times New Roman"/>
      <w:lang w:val="en-US" w:eastAsia="es-AR"/>
    </w:rPr>
  </w:style>
  <w:style w:type="character" w:customStyle="1" w:styleId="Fuentedeprafopredeter">
    <w:name w:val="Fuente de p疵rafo predeter."/>
    <w:rsid w:val="002831AB"/>
    <w:rPr>
      <w:rFonts w:ascii="Times New Roman" w:hAnsi="Times New Roman"/>
      <w:spacing w:val="0"/>
      <w:sz w:val="20"/>
      <w:lang w:val="en-US" w:eastAsia="x-none"/>
    </w:rPr>
  </w:style>
  <w:style w:type="character" w:customStyle="1" w:styleId="Nerodepina">
    <w:name w:val="N伹ero de p疊ina"/>
    <w:rsid w:val="002831AB"/>
    <w:rPr>
      <w:rFonts w:ascii="Times New Roman" w:hAnsi="Times New Roman"/>
      <w:spacing w:val="0"/>
      <w:sz w:val="20"/>
      <w:lang w:val="en-US" w:eastAsia="x-none"/>
    </w:rPr>
  </w:style>
  <w:style w:type="paragraph" w:customStyle="1" w:styleId="Piedepina">
    <w:name w:val="Pie de p疊ina"/>
    <w:basedOn w:val="Normal"/>
    <w:rsid w:val="002831AB"/>
    <w:pPr>
      <w:widowControl w:val="0"/>
      <w:tabs>
        <w:tab w:val="left" w:pos="0"/>
        <w:tab w:val="center" w:pos="4680"/>
        <w:tab w:val="right" w:pos="9350"/>
      </w:tabs>
      <w:autoSpaceDE w:val="0"/>
      <w:autoSpaceDN w:val="0"/>
      <w:adjustRightInd w:val="0"/>
    </w:pPr>
    <w:rPr>
      <w:rFonts w:ascii="Times New Roman" w:hAnsi="Times New Roman"/>
      <w:sz w:val="19"/>
      <w:szCs w:val="19"/>
      <w:lang w:val="en-US" w:eastAsia="es-AR"/>
    </w:rPr>
  </w:style>
  <w:style w:type="character" w:customStyle="1" w:styleId="Hipervculo">
    <w:name w:val="Hiperv匤culo"/>
    <w:rsid w:val="002831AB"/>
    <w:rPr>
      <w:rFonts w:ascii="Times New Roman" w:hAnsi="Times New Roman"/>
      <w:color w:val="0000FF"/>
      <w:spacing w:val="0"/>
      <w:sz w:val="20"/>
      <w:u w:val="single"/>
      <w:lang w:val="en-US" w:eastAsia="x-none"/>
    </w:rPr>
  </w:style>
  <w:style w:type="paragraph" w:customStyle="1" w:styleId="Tulo">
    <w:name w:val="T咜ulo"/>
    <w:basedOn w:val="Normal"/>
    <w:next w:val="DeltaViewTableHeading"/>
    <w:rsid w:val="002831AB"/>
    <w:pPr>
      <w:keepNext/>
      <w:widowControl w:val="0"/>
      <w:autoSpaceDE w:val="0"/>
      <w:autoSpaceDN w:val="0"/>
      <w:adjustRightInd w:val="0"/>
      <w:spacing w:after="240"/>
      <w:jc w:val="center"/>
    </w:pPr>
    <w:rPr>
      <w:rFonts w:ascii="Times New Roman" w:hAnsi="Times New Roman"/>
      <w:b/>
      <w:bCs/>
      <w:caps/>
      <w:lang w:val="en-US" w:eastAsia="es-AR"/>
    </w:rPr>
  </w:style>
  <w:style w:type="paragraph" w:customStyle="1" w:styleId="Textoindependienteprimerasangr">
    <w:name w:val="Texto independiente primera sangr僘"/>
    <w:basedOn w:val="DeltaViewTableHeading"/>
    <w:rsid w:val="002831AB"/>
    <w:pPr>
      <w:widowControl w:val="0"/>
      <w:spacing w:after="240"/>
      <w:ind w:firstLine="720"/>
    </w:pPr>
    <w:rPr>
      <w:rFonts w:ascii="Times New Roman" w:hAnsi="Times New Roman" w:cs="Times New Roman"/>
      <w:b w:val="0"/>
      <w:bCs w:val="0"/>
      <w:sz w:val="20"/>
      <w:szCs w:val="20"/>
      <w:lang w:eastAsia="en-US"/>
    </w:rPr>
  </w:style>
  <w:style w:type="paragraph" w:customStyle="1" w:styleId="Sangrdetextonormal">
    <w:name w:val="Sangr僘 de texto normal"/>
    <w:basedOn w:val="Normal"/>
    <w:rsid w:val="002831AB"/>
    <w:pPr>
      <w:widowControl w:val="0"/>
      <w:autoSpaceDE w:val="0"/>
      <w:autoSpaceDN w:val="0"/>
      <w:adjustRightInd w:val="0"/>
      <w:spacing w:after="240"/>
      <w:ind w:left="720"/>
    </w:pPr>
    <w:rPr>
      <w:rFonts w:ascii="Times New Roman" w:hAnsi="Times New Roman"/>
      <w:lang w:val="en-US" w:eastAsia="es-AR"/>
    </w:rPr>
  </w:style>
  <w:style w:type="paragraph" w:customStyle="1" w:styleId="Textoindependienteprimerasangr2">
    <w:name w:val="Texto independiente primera sangr僘 2"/>
    <w:basedOn w:val="Sangrdetextonormal"/>
    <w:rsid w:val="002831AB"/>
    <w:pPr>
      <w:ind w:firstLine="720"/>
    </w:pPr>
  </w:style>
  <w:style w:type="paragraph" w:customStyle="1" w:styleId="Sangr2detindependiente">
    <w:name w:val="Sangr僘 2 de t. independiente"/>
    <w:basedOn w:val="Normal"/>
    <w:rsid w:val="002831AB"/>
    <w:pPr>
      <w:widowControl w:val="0"/>
      <w:autoSpaceDE w:val="0"/>
      <w:autoSpaceDN w:val="0"/>
      <w:adjustRightInd w:val="0"/>
      <w:spacing w:line="480" w:lineRule="auto"/>
      <w:ind w:left="720"/>
    </w:pPr>
    <w:rPr>
      <w:rFonts w:ascii="Times New Roman" w:hAnsi="Times New Roman"/>
      <w:lang w:val="en-US" w:eastAsia="es-AR"/>
    </w:rPr>
  </w:style>
  <w:style w:type="paragraph" w:customStyle="1" w:styleId="Direccisobre">
    <w:name w:val="Direcci sobre"/>
    <w:basedOn w:val="Normal"/>
    <w:rsid w:val="002831AB"/>
    <w:pPr>
      <w:framePr w:w="7920" w:h="1980" w:hRule="exact" w:hSpace="180" w:wrap="auto" w:hAnchor="page" w:xAlign="center" w:yAlign="bottom"/>
      <w:widowControl w:val="0"/>
      <w:autoSpaceDE w:val="0"/>
      <w:autoSpaceDN w:val="0"/>
      <w:adjustRightInd w:val="0"/>
      <w:ind w:left="2880"/>
    </w:pPr>
    <w:rPr>
      <w:rFonts w:ascii="Times New Roman" w:hAnsi="Times New Roman"/>
      <w:lang w:val="en-US" w:eastAsia="es-AR"/>
    </w:rPr>
  </w:style>
  <w:style w:type="character" w:customStyle="1" w:styleId="Hipervculovisitado">
    <w:name w:val="Hiperv匤culo visitado"/>
    <w:rsid w:val="002831AB"/>
    <w:rPr>
      <w:rFonts w:ascii="Times New Roman" w:hAnsi="Times New Roman"/>
      <w:color w:val="800080"/>
      <w:spacing w:val="0"/>
      <w:sz w:val="20"/>
      <w:u w:val="single"/>
      <w:lang w:val="en-US" w:eastAsia="x-none"/>
    </w:rPr>
  </w:style>
  <w:style w:type="paragraph" w:customStyle="1" w:styleId="ndice10">
    <w:name w:val="ﾍndice 1"/>
    <w:basedOn w:val="Normal"/>
    <w:next w:val="Normal"/>
    <w:rsid w:val="002831AB"/>
    <w:pPr>
      <w:widowControl w:val="0"/>
      <w:tabs>
        <w:tab w:val="right" w:leader="dot" w:pos="9360"/>
      </w:tabs>
      <w:autoSpaceDE w:val="0"/>
      <w:autoSpaceDN w:val="0"/>
      <w:adjustRightInd w:val="0"/>
    </w:pPr>
    <w:rPr>
      <w:rFonts w:ascii="Times New Roman" w:hAnsi="Times New Roman"/>
      <w:noProof/>
      <w:color w:val="000000"/>
      <w:sz w:val="17"/>
      <w:szCs w:val="17"/>
      <w:lang w:val="en-US" w:eastAsia="es-AR"/>
    </w:rPr>
  </w:style>
  <w:style w:type="paragraph" w:customStyle="1" w:styleId="ndice20">
    <w:name w:val="ﾍndice 2"/>
    <w:basedOn w:val="Normal"/>
    <w:next w:val="Normal"/>
    <w:autoRedefine/>
    <w:rsid w:val="002831AB"/>
    <w:pPr>
      <w:widowControl w:val="0"/>
      <w:autoSpaceDE w:val="0"/>
      <w:autoSpaceDN w:val="0"/>
      <w:adjustRightInd w:val="0"/>
      <w:ind w:left="720" w:hanging="360"/>
    </w:pPr>
    <w:rPr>
      <w:rFonts w:ascii="Times New Roman" w:hAnsi="Times New Roman"/>
      <w:lang w:val="en-US" w:eastAsia="es-AR"/>
    </w:rPr>
  </w:style>
  <w:style w:type="paragraph" w:customStyle="1" w:styleId="ndice30">
    <w:name w:val="ﾍndice 3"/>
    <w:basedOn w:val="Normal"/>
    <w:next w:val="Normal"/>
    <w:autoRedefine/>
    <w:rsid w:val="002831AB"/>
    <w:pPr>
      <w:widowControl w:val="0"/>
      <w:autoSpaceDE w:val="0"/>
      <w:autoSpaceDN w:val="0"/>
      <w:adjustRightInd w:val="0"/>
      <w:ind w:left="1080" w:hanging="360"/>
    </w:pPr>
    <w:rPr>
      <w:rFonts w:ascii="Times New Roman" w:hAnsi="Times New Roman"/>
      <w:lang w:val="en-US" w:eastAsia="es-AR"/>
    </w:rPr>
  </w:style>
  <w:style w:type="paragraph" w:customStyle="1" w:styleId="ndice40">
    <w:name w:val="ﾍndice 4"/>
    <w:basedOn w:val="Normal"/>
    <w:next w:val="Normal"/>
    <w:autoRedefine/>
    <w:rsid w:val="002831AB"/>
    <w:pPr>
      <w:widowControl w:val="0"/>
      <w:autoSpaceDE w:val="0"/>
      <w:autoSpaceDN w:val="0"/>
      <w:adjustRightInd w:val="0"/>
      <w:ind w:left="1440" w:hanging="360"/>
    </w:pPr>
    <w:rPr>
      <w:rFonts w:ascii="Times New Roman" w:hAnsi="Times New Roman"/>
      <w:lang w:val="en-US" w:eastAsia="es-AR"/>
    </w:rPr>
  </w:style>
  <w:style w:type="paragraph" w:customStyle="1" w:styleId="ndice50">
    <w:name w:val="ﾍndice 5"/>
    <w:basedOn w:val="Normal"/>
    <w:next w:val="Normal"/>
    <w:autoRedefine/>
    <w:rsid w:val="002831AB"/>
    <w:pPr>
      <w:widowControl w:val="0"/>
      <w:autoSpaceDE w:val="0"/>
      <w:autoSpaceDN w:val="0"/>
      <w:adjustRightInd w:val="0"/>
      <w:ind w:left="1800" w:hanging="360"/>
    </w:pPr>
    <w:rPr>
      <w:rFonts w:ascii="Times New Roman" w:hAnsi="Times New Roman"/>
      <w:lang w:val="en-US" w:eastAsia="es-AR"/>
    </w:rPr>
  </w:style>
  <w:style w:type="paragraph" w:customStyle="1" w:styleId="ndice60">
    <w:name w:val="ﾍndice 6"/>
    <w:basedOn w:val="Normal"/>
    <w:next w:val="Normal"/>
    <w:autoRedefine/>
    <w:rsid w:val="002831AB"/>
    <w:pPr>
      <w:widowControl w:val="0"/>
      <w:autoSpaceDE w:val="0"/>
      <w:autoSpaceDN w:val="0"/>
      <w:adjustRightInd w:val="0"/>
      <w:ind w:left="2160" w:hanging="360"/>
    </w:pPr>
    <w:rPr>
      <w:rFonts w:ascii="Times New Roman" w:hAnsi="Times New Roman"/>
      <w:lang w:val="en-US" w:eastAsia="es-AR"/>
    </w:rPr>
  </w:style>
  <w:style w:type="paragraph" w:customStyle="1" w:styleId="ndice70">
    <w:name w:val="ﾍndice 7"/>
    <w:basedOn w:val="Normal"/>
    <w:next w:val="Normal"/>
    <w:autoRedefine/>
    <w:rsid w:val="002831AB"/>
    <w:pPr>
      <w:widowControl w:val="0"/>
      <w:autoSpaceDE w:val="0"/>
      <w:autoSpaceDN w:val="0"/>
      <w:adjustRightInd w:val="0"/>
      <w:ind w:left="2520" w:hanging="360"/>
    </w:pPr>
    <w:rPr>
      <w:rFonts w:ascii="Times New Roman" w:hAnsi="Times New Roman"/>
      <w:lang w:val="en-US" w:eastAsia="es-AR"/>
    </w:rPr>
  </w:style>
  <w:style w:type="paragraph" w:customStyle="1" w:styleId="ndice80">
    <w:name w:val="ﾍndice 8"/>
    <w:basedOn w:val="Normal"/>
    <w:next w:val="Normal"/>
    <w:autoRedefine/>
    <w:rsid w:val="002831AB"/>
    <w:pPr>
      <w:widowControl w:val="0"/>
      <w:autoSpaceDE w:val="0"/>
      <w:autoSpaceDN w:val="0"/>
      <w:adjustRightInd w:val="0"/>
      <w:ind w:left="2880" w:hanging="360"/>
    </w:pPr>
    <w:rPr>
      <w:rFonts w:ascii="Times New Roman" w:hAnsi="Times New Roman"/>
      <w:lang w:val="en-US" w:eastAsia="es-AR"/>
    </w:rPr>
  </w:style>
  <w:style w:type="paragraph" w:customStyle="1" w:styleId="ndice90">
    <w:name w:val="ﾍndice 9"/>
    <w:basedOn w:val="Normal"/>
    <w:next w:val="Normal"/>
    <w:autoRedefine/>
    <w:rsid w:val="002831AB"/>
    <w:pPr>
      <w:widowControl w:val="0"/>
      <w:autoSpaceDE w:val="0"/>
      <w:autoSpaceDN w:val="0"/>
      <w:adjustRightInd w:val="0"/>
      <w:ind w:left="3240" w:hanging="360"/>
    </w:pPr>
    <w:rPr>
      <w:rFonts w:ascii="Times New Roman" w:hAnsi="Times New Roman"/>
      <w:lang w:val="en-US" w:eastAsia="es-AR"/>
    </w:rPr>
  </w:style>
  <w:style w:type="paragraph" w:customStyle="1" w:styleId="Tulodedice">
    <w:name w:val="T咜ulo de 匤dice"/>
    <w:basedOn w:val="Normal"/>
    <w:next w:val="ndice10"/>
    <w:rsid w:val="002831AB"/>
    <w:pPr>
      <w:keepNext/>
      <w:widowControl w:val="0"/>
      <w:autoSpaceDE w:val="0"/>
      <w:autoSpaceDN w:val="0"/>
      <w:adjustRightInd w:val="0"/>
      <w:spacing w:after="240"/>
      <w:jc w:val="center"/>
    </w:pPr>
    <w:rPr>
      <w:rFonts w:ascii="Times New Roman" w:hAnsi="Times New Roman"/>
      <w:b/>
      <w:bCs/>
      <w:lang w:val="en-US" w:eastAsia="es-AR"/>
    </w:rPr>
  </w:style>
  <w:style w:type="paragraph" w:customStyle="1" w:styleId="Subtulo">
    <w:name w:val="Subt咜ulo"/>
    <w:basedOn w:val="Normal"/>
    <w:rsid w:val="002831AB"/>
    <w:pPr>
      <w:widowControl w:val="0"/>
      <w:autoSpaceDE w:val="0"/>
      <w:autoSpaceDN w:val="0"/>
      <w:adjustRightInd w:val="0"/>
      <w:spacing w:after="240"/>
      <w:jc w:val="center"/>
    </w:pPr>
    <w:rPr>
      <w:rFonts w:ascii="Times New Roman" w:hAnsi="Times New Roman"/>
      <w:lang w:val="en-US" w:eastAsia="es-AR"/>
    </w:rPr>
  </w:style>
  <w:style w:type="paragraph" w:customStyle="1" w:styleId="Textoconsangr">
    <w:name w:val="Texto con sangr僘"/>
    <w:basedOn w:val="Normal"/>
    <w:next w:val="Normal"/>
    <w:rsid w:val="002831AB"/>
    <w:pPr>
      <w:widowControl w:val="0"/>
      <w:autoSpaceDE w:val="0"/>
      <w:autoSpaceDN w:val="0"/>
      <w:adjustRightInd w:val="0"/>
      <w:spacing w:after="240"/>
      <w:ind w:left="720" w:hanging="720"/>
    </w:pPr>
    <w:rPr>
      <w:rFonts w:ascii="Times New Roman" w:hAnsi="Times New Roman"/>
      <w:lang w:val="en-US" w:eastAsia="es-AR"/>
    </w:rPr>
  </w:style>
  <w:style w:type="paragraph" w:customStyle="1" w:styleId="Listaconvitas">
    <w:name w:val="Lista con vitas"/>
    <w:basedOn w:val="Normal"/>
    <w:rsid w:val="002831AB"/>
    <w:pPr>
      <w:widowControl w:val="0"/>
      <w:autoSpaceDE w:val="0"/>
      <w:autoSpaceDN w:val="0"/>
      <w:adjustRightInd w:val="0"/>
    </w:pPr>
    <w:rPr>
      <w:rFonts w:ascii="Times New Roman" w:hAnsi="Times New Roman"/>
      <w:lang w:val="en-US" w:eastAsia="es-AR"/>
    </w:rPr>
  </w:style>
  <w:style w:type="paragraph" w:customStyle="1" w:styleId="Listaconvitas2">
    <w:name w:val="Lista con vitas 2"/>
    <w:basedOn w:val="Normal"/>
    <w:rsid w:val="002831AB"/>
    <w:pPr>
      <w:widowControl w:val="0"/>
      <w:autoSpaceDE w:val="0"/>
      <w:autoSpaceDN w:val="0"/>
      <w:adjustRightInd w:val="0"/>
      <w:spacing w:after="120"/>
    </w:pPr>
    <w:rPr>
      <w:rFonts w:ascii="Times New Roman" w:hAnsi="Times New Roman"/>
      <w:lang w:val="en-US" w:eastAsia="es-AR"/>
    </w:rPr>
  </w:style>
  <w:style w:type="paragraph" w:customStyle="1" w:styleId="Listaconvitas3">
    <w:name w:val="Lista con vitas 3"/>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aconvitas4">
    <w:name w:val="Lista con vitas 4"/>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FlushLeft">
    <w:name w:val="FlushLeft"/>
    <w:basedOn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Table1">
    <w:name w:val="Table*"/>
    <w:basedOn w:val="Normal"/>
    <w:rsid w:val="002831AB"/>
    <w:pPr>
      <w:widowControl w:val="0"/>
      <w:autoSpaceDE w:val="0"/>
      <w:autoSpaceDN w:val="0"/>
      <w:adjustRightInd w:val="0"/>
      <w:spacing w:before="60" w:after="60"/>
    </w:pPr>
    <w:rPr>
      <w:rFonts w:ascii="Times New Roman" w:hAnsi="Times New Roman"/>
      <w:lang w:val="en-US" w:eastAsia="es-AR"/>
    </w:rPr>
  </w:style>
  <w:style w:type="paragraph" w:customStyle="1" w:styleId="LeftFlush">
    <w:name w:val="Left Flush"/>
    <w:basedOn w:val="Textoindependienteprimerasangr"/>
    <w:rsid w:val="002831AB"/>
    <w:pPr>
      <w:ind w:firstLine="0"/>
      <w:jc w:val="right"/>
    </w:pPr>
  </w:style>
  <w:style w:type="paragraph" w:customStyle="1" w:styleId="BlockTextBold">
    <w:name w:val="Block Text Bold"/>
    <w:basedOn w:val="DeltaViewTableBody"/>
    <w:rsid w:val="002831AB"/>
    <w:pPr>
      <w:keepNext/>
      <w:widowControl w:val="0"/>
      <w:spacing w:after="240"/>
      <w:jc w:val="both"/>
    </w:pPr>
    <w:rPr>
      <w:rFonts w:ascii="Times New Roman" w:hAnsi="Times New Roman" w:cs="Times New Roman"/>
      <w:b/>
      <w:bCs/>
      <w:sz w:val="20"/>
      <w:szCs w:val="20"/>
      <w:lang w:eastAsia="es-ES"/>
    </w:rPr>
  </w:style>
  <w:style w:type="paragraph" w:customStyle="1" w:styleId="RightJustified">
    <w:name w:val="Right Justified"/>
    <w:basedOn w:val="Normal"/>
    <w:rsid w:val="002831AB"/>
    <w:pPr>
      <w:widowControl w:val="0"/>
      <w:autoSpaceDE w:val="0"/>
      <w:autoSpaceDN w:val="0"/>
      <w:adjustRightInd w:val="0"/>
      <w:spacing w:after="240"/>
      <w:jc w:val="right"/>
    </w:pPr>
    <w:rPr>
      <w:rFonts w:ascii="Times New Roman" w:hAnsi="Times New Roman"/>
      <w:lang w:val="en-US" w:eastAsia="es-AR"/>
    </w:rPr>
  </w:style>
  <w:style w:type="paragraph" w:customStyle="1" w:styleId="TtulodeTDC10">
    <w:name w:val="Título de TDC1"/>
    <w:basedOn w:val="Normal"/>
    <w:qFormat/>
    <w:rsid w:val="00661E40"/>
    <w:pPr>
      <w:widowControl w:val="0"/>
      <w:autoSpaceDE w:val="0"/>
      <w:autoSpaceDN w:val="0"/>
      <w:adjustRightInd w:val="0"/>
      <w:spacing w:after="240"/>
      <w:jc w:val="center"/>
    </w:pPr>
    <w:rPr>
      <w:rFonts w:ascii="Times New Roman" w:hAnsi="Times New Roman"/>
      <w:b/>
      <w:bCs/>
      <w:lang w:val="en-US" w:eastAsia="es-AR"/>
    </w:rPr>
  </w:style>
  <w:style w:type="paragraph" w:customStyle="1" w:styleId="TOCPage">
    <w:name w:val="TOC Page"/>
    <w:basedOn w:val="Normal"/>
    <w:rsid w:val="002831AB"/>
    <w:pPr>
      <w:widowControl w:val="0"/>
      <w:tabs>
        <w:tab w:val="right" w:pos="4698"/>
        <w:tab w:val="right" w:pos="10080"/>
      </w:tabs>
      <w:autoSpaceDE w:val="0"/>
      <w:autoSpaceDN w:val="0"/>
      <w:adjustRightInd w:val="0"/>
      <w:spacing w:after="240"/>
    </w:pPr>
    <w:rPr>
      <w:rFonts w:ascii="Times New Roman" w:hAnsi="Times New Roman"/>
      <w:b/>
      <w:bCs/>
      <w:lang w:val="en-US" w:eastAsia="es-AR"/>
    </w:rPr>
  </w:style>
  <w:style w:type="paragraph" w:customStyle="1" w:styleId="BlockTextBoldItalicSgl">
    <w:name w:val="Block Text Bold Italic Sgl"/>
    <w:basedOn w:val="BlockTextBoldSgl"/>
    <w:rsid w:val="002831AB"/>
    <w:pPr>
      <w:widowControl w:val="0"/>
      <w:autoSpaceDE w:val="0"/>
      <w:autoSpaceDN w:val="0"/>
      <w:adjustRightInd w:val="0"/>
    </w:pPr>
    <w:rPr>
      <w:bCs/>
      <w:i/>
      <w:iCs/>
      <w:szCs w:val="20"/>
    </w:rPr>
  </w:style>
  <w:style w:type="paragraph" w:customStyle="1" w:styleId="TableTab5Sgl">
    <w:name w:val="Table*Tab .5 Sgl"/>
    <w:basedOn w:val="TableTab"/>
    <w:rsid w:val="002831AB"/>
    <w:pPr>
      <w:widowControl w:val="0"/>
      <w:ind w:left="720"/>
    </w:pPr>
    <w:rPr>
      <w:lang w:eastAsia="es-ES"/>
    </w:rPr>
  </w:style>
  <w:style w:type="paragraph" w:customStyle="1" w:styleId="ListNumber1">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10">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11">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12">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0">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TitlePgCntrCAPS">
    <w:name w:val="TitlePgCntrCAPS"/>
    <w:basedOn w:val="Normal"/>
    <w:rsid w:val="002831AB"/>
    <w:pPr>
      <w:widowControl w:val="0"/>
      <w:autoSpaceDE w:val="0"/>
      <w:autoSpaceDN w:val="0"/>
      <w:adjustRightInd w:val="0"/>
      <w:spacing w:before="480" w:after="360"/>
      <w:jc w:val="center"/>
    </w:pPr>
    <w:rPr>
      <w:rFonts w:ascii="Times New Roman" w:hAnsi="Times New Roman"/>
      <w:lang w:val="en-US" w:eastAsia="es-AR"/>
    </w:rPr>
  </w:style>
  <w:style w:type="paragraph" w:customStyle="1" w:styleId="TitlePgCNTRSMALL">
    <w:name w:val="TitlePgCNTRSMALL"/>
    <w:basedOn w:val="Normal"/>
    <w:rsid w:val="002831AB"/>
    <w:pPr>
      <w:widowControl w:val="0"/>
      <w:autoSpaceDE w:val="0"/>
      <w:autoSpaceDN w:val="0"/>
      <w:adjustRightInd w:val="0"/>
      <w:spacing w:after="240"/>
      <w:jc w:val="center"/>
    </w:pPr>
    <w:rPr>
      <w:rFonts w:ascii="Times New Roman" w:hAnsi="Times New Roman"/>
      <w:lang w:val="en-US" w:eastAsia="es-AR"/>
    </w:rPr>
  </w:style>
  <w:style w:type="paragraph" w:customStyle="1" w:styleId="TitlePgDONOR">
    <w:name w:val="TitlePgDONOR"/>
    <w:basedOn w:val="Normal"/>
    <w:rsid w:val="002831AB"/>
    <w:pPr>
      <w:widowControl w:val="0"/>
      <w:autoSpaceDE w:val="0"/>
      <w:autoSpaceDN w:val="0"/>
      <w:adjustRightInd w:val="0"/>
      <w:spacing w:after="360"/>
      <w:ind w:left="5760"/>
    </w:pPr>
    <w:rPr>
      <w:rFonts w:ascii="Times New Roman" w:hAnsi="Times New Roman"/>
      <w:lang w:val="en-US" w:eastAsia="es-AR"/>
    </w:rPr>
  </w:style>
  <w:style w:type="paragraph" w:customStyle="1" w:styleId="TitlePgTRUSTEE">
    <w:name w:val="TitlePgTRUSTEE"/>
    <w:basedOn w:val="Normal"/>
    <w:rsid w:val="002831AB"/>
    <w:pPr>
      <w:widowControl w:val="0"/>
      <w:autoSpaceDE w:val="0"/>
      <w:autoSpaceDN w:val="0"/>
      <w:adjustRightInd w:val="0"/>
      <w:spacing w:after="360"/>
      <w:ind w:left="5760"/>
    </w:pPr>
    <w:rPr>
      <w:rFonts w:ascii="Times New Roman" w:hAnsi="Times New Roman"/>
      <w:lang w:val="en-US" w:eastAsia="es-AR"/>
    </w:rPr>
  </w:style>
  <w:style w:type="paragraph" w:customStyle="1" w:styleId="TitleBORDER">
    <w:name w:val="TitleBORDER"/>
    <w:basedOn w:val="Normal"/>
    <w:rsid w:val="002831AB"/>
    <w:pPr>
      <w:widowControl w:val="0"/>
      <w:pBdr>
        <w:top w:val="single" w:sz="4" w:space="1" w:color="000000"/>
        <w:bottom w:val="single" w:sz="4" w:space="1" w:color="000000"/>
      </w:pBdr>
      <w:autoSpaceDE w:val="0"/>
      <w:autoSpaceDN w:val="0"/>
      <w:adjustRightInd w:val="0"/>
      <w:spacing w:before="720" w:after="720"/>
      <w:jc w:val="center"/>
    </w:pPr>
    <w:rPr>
      <w:rFonts w:ascii="Times New Roman" w:hAnsi="Times New Roman"/>
      <w:lang w:val="en-US" w:eastAsia="es-AR"/>
    </w:rPr>
  </w:style>
  <w:style w:type="paragraph" w:customStyle="1" w:styleId="TitlePgDATE">
    <w:name w:val="TitlePgDATE"/>
    <w:basedOn w:val="Normal"/>
    <w:rsid w:val="002831AB"/>
    <w:pPr>
      <w:widowControl w:val="0"/>
      <w:autoSpaceDE w:val="0"/>
      <w:autoSpaceDN w:val="0"/>
      <w:adjustRightInd w:val="0"/>
      <w:spacing w:after="360"/>
      <w:jc w:val="center"/>
    </w:pPr>
    <w:rPr>
      <w:rFonts w:ascii="Times New Roman" w:hAnsi="Times New Roman"/>
      <w:lang w:val="en-US" w:eastAsia="es-AR"/>
    </w:rPr>
  </w:style>
  <w:style w:type="paragraph" w:customStyle="1" w:styleId="NotesNUM">
    <w:name w:val="NotesNUM"/>
    <w:basedOn w:val="NOTES0"/>
    <w:rsid w:val="002831AB"/>
    <w:pPr>
      <w:spacing w:after="0"/>
      <w:ind w:left="2880" w:hanging="360"/>
    </w:pPr>
  </w:style>
  <w:style w:type="paragraph" w:customStyle="1" w:styleId="NotesINDENT">
    <w:name w:val="NotesINDENT"/>
    <w:basedOn w:val="NOTES0"/>
    <w:rsid w:val="002831AB"/>
    <w:pPr>
      <w:ind w:firstLine="0"/>
    </w:pPr>
  </w:style>
  <w:style w:type="paragraph" w:customStyle="1" w:styleId="LISTNUM2">
    <w:name w:val="LIST NUM 2"/>
    <w:basedOn w:val="Normal"/>
    <w:rsid w:val="002831AB"/>
    <w:pPr>
      <w:keepNext/>
      <w:widowControl w:val="0"/>
      <w:autoSpaceDE w:val="0"/>
      <w:autoSpaceDN w:val="0"/>
      <w:adjustRightInd w:val="0"/>
      <w:spacing w:after="240"/>
    </w:pPr>
    <w:rPr>
      <w:rFonts w:ascii="Times New Roman" w:hAnsi="Times New Roman"/>
      <w:b/>
      <w:bCs/>
      <w:lang w:val="en-US" w:eastAsia="es-AR"/>
    </w:rPr>
  </w:style>
  <w:style w:type="paragraph" w:customStyle="1" w:styleId="LISTNUM3">
    <w:name w:val="LIST NUM 3"/>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LISTNUM4">
    <w:name w:val="LIST NUM 4"/>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LISTNUM5">
    <w:name w:val="LIST NUM 5"/>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LISTNUM6">
    <w:name w:val="LIST NUM 6"/>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LISTNUM7">
    <w:name w:val="LIST NUM 7"/>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BodyTextNOINDENT">
    <w:name w:val="Body Text NO INDENT"/>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SEAL">
    <w:name w:val="SEAL"/>
    <w:basedOn w:val="Normal"/>
    <w:rsid w:val="002831AB"/>
    <w:pPr>
      <w:widowControl w:val="0"/>
      <w:autoSpaceDE w:val="0"/>
      <w:autoSpaceDN w:val="0"/>
      <w:adjustRightInd w:val="0"/>
    </w:pPr>
    <w:rPr>
      <w:rFonts w:ascii="Times New Roman" w:hAnsi="Times New Roman"/>
      <w:lang w:val="en-US" w:eastAsia="es-AR"/>
    </w:rPr>
  </w:style>
  <w:style w:type="paragraph" w:customStyle="1" w:styleId="SIGLine">
    <w:name w:val="SIGLine"/>
    <w:basedOn w:val="DeltaViewTableHeading"/>
    <w:rsid w:val="002831AB"/>
    <w:pPr>
      <w:widowControl w:val="0"/>
      <w:tabs>
        <w:tab w:val="right" w:pos="9177"/>
      </w:tabs>
      <w:spacing w:after="0"/>
      <w:ind w:left="5016"/>
    </w:pPr>
    <w:rPr>
      <w:rFonts w:ascii="Times New Roman" w:hAnsi="Times New Roman" w:cs="Times New Roman"/>
      <w:b w:val="0"/>
      <w:bCs w:val="0"/>
      <w:sz w:val="20"/>
      <w:szCs w:val="20"/>
      <w:u w:val="single"/>
      <w:lang w:eastAsia="en-US"/>
    </w:rPr>
  </w:style>
  <w:style w:type="paragraph" w:customStyle="1" w:styleId="SIGName">
    <w:name w:val="SIGName"/>
    <w:basedOn w:val="Firma"/>
    <w:rsid w:val="002831AB"/>
    <w:pPr>
      <w:widowControl w:val="0"/>
      <w:autoSpaceDE w:val="0"/>
      <w:autoSpaceDN w:val="0"/>
      <w:adjustRightInd w:val="0"/>
      <w:ind w:left="5040" w:firstLine="720"/>
    </w:pPr>
  </w:style>
  <w:style w:type="paragraph" w:customStyle="1" w:styleId="CaptionSTB">
    <w:name w:val="CaptionSTB"/>
    <w:basedOn w:val="Normal"/>
    <w:rsid w:val="002831AB"/>
    <w:pPr>
      <w:widowControl w:val="0"/>
      <w:autoSpaceDE w:val="0"/>
      <w:autoSpaceDN w:val="0"/>
      <w:adjustRightInd w:val="0"/>
      <w:spacing w:after="360"/>
    </w:pPr>
    <w:rPr>
      <w:rFonts w:ascii="Times New Roman" w:hAnsi="Times New Roman"/>
      <w:lang w:val="en-US" w:eastAsia="es-AR"/>
    </w:rPr>
  </w:style>
  <w:style w:type="paragraph" w:customStyle="1" w:styleId="WITSig">
    <w:name w:val="WITSig"/>
    <w:basedOn w:val="Normal"/>
    <w:rsid w:val="002831AB"/>
    <w:pPr>
      <w:widowControl w:val="0"/>
      <w:tabs>
        <w:tab w:val="right" w:pos="3591"/>
      </w:tabs>
      <w:autoSpaceDE w:val="0"/>
      <w:autoSpaceDN w:val="0"/>
      <w:adjustRightInd w:val="0"/>
      <w:spacing w:after="240"/>
    </w:pPr>
    <w:rPr>
      <w:rFonts w:ascii="Times New Roman" w:hAnsi="Times New Roman"/>
      <w:u w:val="single"/>
      <w:lang w:val="en-US" w:eastAsia="es-AR"/>
    </w:rPr>
  </w:style>
  <w:style w:type="paragraph" w:customStyle="1" w:styleId="WITTitle">
    <w:name w:val="WIT Title"/>
    <w:basedOn w:val="Normal"/>
    <w:rsid w:val="002831AB"/>
    <w:pPr>
      <w:widowControl w:val="0"/>
      <w:autoSpaceDE w:val="0"/>
      <w:autoSpaceDN w:val="0"/>
      <w:adjustRightInd w:val="0"/>
      <w:spacing w:after="360"/>
    </w:pPr>
    <w:rPr>
      <w:rFonts w:ascii="Times New Roman" w:hAnsi="Times New Roman"/>
      <w:lang w:val="en-US" w:eastAsia="es-AR"/>
    </w:rPr>
  </w:style>
  <w:style w:type="paragraph" w:customStyle="1" w:styleId="SIGNameRight">
    <w:name w:val="SIGNameRight"/>
    <w:basedOn w:val="Normal"/>
    <w:rsid w:val="002831AB"/>
    <w:pPr>
      <w:widowControl w:val="0"/>
      <w:tabs>
        <w:tab w:val="right" w:pos="9177"/>
      </w:tabs>
      <w:autoSpaceDE w:val="0"/>
      <w:autoSpaceDN w:val="0"/>
      <w:adjustRightInd w:val="0"/>
      <w:spacing w:after="240"/>
      <w:ind w:left="4334" w:firstLine="1440"/>
    </w:pPr>
    <w:rPr>
      <w:rFonts w:ascii="Times New Roman" w:hAnsi="Times New Roman"/>
      <w:lang w:val="en-US" w:eastAsia="es-AR"/>
    </w:rPr>
  </w:style>
  <w:style w:type="paragraph" w:customStyle="1" w:styleId="HANGBULLET">
    <w:name w:val="HANGBULLET"/>
    <w:basedOn w:val="Normal"/>
    <w:rsid w:val="002831AB"/>
    <w:pPr>
      <w:widowControl w:val="0"/>
      <w:autoSpaceDE w:val="0"/>
      <w:autoSpaceDN w:val="0"/>
      <w:adjustRightInd w:val="0"/>
      <w:spacing w:line="480" w:lineRule="auto"/>
      <w:ind w:left="1440" w:hanging="720"/>
    </w:pPr>
    <w:rPr>
      <w:rFonts w:ascii="Times New Roman" w:hAnsi="Times New Roman"/>
      <w:lang w:val="en-US" w:eastAsia="es-AR"/>
    </w:rPr>
  </w:style>
  <w:style w:type="paragraph" w:customStyle="1" w:styleId="NUMINDENT">
    <w:name w:val="NUM INDENT"/>
    <w:basedOn w:val="Normal"/>
    <w:rsid w:val="002831AB"/>
    <w:pPr>
      <w:widowControl w:val="0"/>
      <w:tabs>
        <w:tab w:val="num" w:pos="1995"/>
      </w:tabs>
      <w:autoSpaceDE w:val="0"/>
      <w:autoSpaceDN w:val="0"/>
      <w:adjustRightInd w:val="0"/>
      <w:spacing w:after="240"/>
      <w:ind w:left="1995" w:hanging="555"/>
    </w:pPr>
    <w:rPr>
      <w:rFonts w:ascii="Times New Roman" w:hAnsi="Times New Roman"/>
      <w:lang w:val="en-US" w:eastAsia="es-AR"/>
    </w:rPr>
  </w:style>
  <w:style w:type="paragraph" w:customStyle="1" w:styleId="BlockTextSglwtab">
    <w:name w:val="Block Text Sgl w/tab"/>
    <w:basedOn w:val="BlockTextSgl"/>
    <w:rsid w:val="002831AB"/>
    <w:pPr>
      <w:widowControl w:val="0"/>
      <w:tabs>
        <w:tab w:val="right" w:pos="10080"/>
      </w:tabs>
    </w:pPr>
  </w:style>
  <w:style w:type="paragraph" w:customStyle="1" w:styleId="Page">
    <w:name w:val="Page*"/>
    <w:basedOn w:val="Normal"/>
    <w:rsid w:val="002831AB"/>
    <w:pPr>
      <w:widowControl w:val="0"/>
      <w:autoSpaceDE w:val="0"/>
      <w:autoSpaceDN w:val="0"/>
      <w:adjustRightInd w:val="0"/>
      <w:spacing w:after="240"/>
      <w:jc w:val="right"/>
    </w:pPr>
    <w:rPr>
      <w:rFonts w:ascii="Times New Roman" w:hAnsi="Times New Roman"/>
      <w:b/>
      <w:bCs/>
      <w:u w:val="single"/>
      <w:lang w:val="en-US" w:eastAsia="es-AR"/>
    </w:rPr>
  </w:style>
  <w:style w:type="paragraph" w:customStyle="1" w:styleId="BlockText5JHang">
    <w:name w:val="Block Text .5J Hang"/>
    <w:basedOn w:val="BlockText5J"/>
    <w:rsid w:val="002831AB"/>
    <w:pPr>
      <w:widowControl w:val="0"/>
      <w:autoSpaceDE w:val="0"/>
      <w:autoSpaceDN w:val="0"/>
      <w:adjustRightInd w:val="0"/>
      <w:spacing w:after="240" w:line="240" w:lineRule="auto"/>
      <w:ind w:left="1080" w:right="0" w:hanging="360"/>
      <w:jc w:val="left"/>
    </w:pPr>
    <w:rPr>
      <w:szCs w:val="20"/>
    </w:rPr>
  </w:style>
  <w:style w:type="paragraph" w:customStyle="1" w:styleId="Listaconneros3">
    <w:name w:val="Lista con n伹eros 3"/>
    <w:basedOn w:val="Normal"/>
    <w:rsid w:val="002831AB"/>
    <w:pPr>
      <w:widowControl w:val="0"/>
      <w:tabs>
        <w:tab w:val="num" w:pos="1080"/>
      </w:tabs>
      <w:autoSpaceDE w:val="0"/>
      <w:autoSpaceDN w:val="0"/>
      <w:adjustRightInd w:val="0"/>
      <w:ind w:left="1080" w:hanging="360"/>
    </w:pPr>
    <w:rPr>
      <w:rFonts w:ascii="Times New Roman" w:hAnsi="Times New Roman"/>
      <w:lang w:val="en-US" w:eastAsia="es-AR"/>
    </w:rPr>
  </w:style>
  <w:style w:type="paragraph" w:customStyle="1" w:styleId="Listaconneros4">
    <w:name w:val="Lista con n伹eros 4"/>
    <w:basedOn w:val="Normal"/>
    <w:rsid w:val="002831AB"/>
    <w:pPr>
      <w:widowControl w:val="0"/>
      <w:autoSpaceDE w:val="0"/>
      <w:autoSpaceDN w:val="0"/>
      <w:adjustRightInd w:val="0"/>
    </w:pPr>
    <w:rPr>
      <w:rFonts w:ascii="Times New Roman" w:hAnsi="Times New Roman"/>
      <w:lang w:val="en-US" w:eastAsia="es-AR"/>
    </w:rPr>
  </w:style>
  <w:style w:type="paragraph" w:customStyle="1" w:styleId="Financial3">
    <w:name w:val="Financial3"/>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Financial1">
    <w:name w:val="Financial1"/>
    <w:basedOn w:val="Normal"/>
    <w:rsid w:val="002831AB"/>
    <w:pPr>
      <w:keepNext/>
      <w:widowControl w:val="0"/>
      <w:autoSpaceDE w:val="0"/>
      <w:autoSpaceDN w:val="0"/>
      <w:adjustRightInd w:val="0"/>
      <w:spacing w:after="240"/>
    </w:pPr>
    <w:rPr>
      <w:rFonts w:ascii="Times New Roman" w:hAnsi="Times New Roman"/>
      <w:b/>
      <w:bCs/>
      <w:lang w:val="en-US" w:eastAsia="es-AR"/>
    </w:rPr>
  </w:style>
  <w:style w:type="paragraph" w:customStyle="1" w:styleId="Financial2">
    <w:name w:val="Financial2"/>
    <w:basedOn w:val="Normal"/>
    <w:rsid w:val="002831AB"/>
    <w:pPr>
      <w:widowControl w:val="0"/>
      <w:autoSpaceDE w:val="0"/>
      <w:autoSpaceDN w:val="0"/>
      <w:adjustRightInd w:val="0"/>
      <w:spacing w:after="240"/>
    </w:pPr>
    <w:rPr>
      <w:rFonts w:ascii="Times New Roman" w:hAnsi="Times New Roman"/>
      <w:b/>
      <w:bCs/>
      <w:lang w:val="en-US" w:eastAsia="es-AR"/>
    </w:rPr>
  </w:style>
  <w:style w:type="paragraph" w:customStyle="1" w:styleId="Financial4">
    <w:name w:val="Financial4"/>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Financial5">
    <w:name w:val="Financial5"/>
    <w:basedOn w:val="Normal"/>
    <w:rsid w:val="002831AB"/>
    <w:pPr>
      <w:widowControl w:val="0"/>
      <w:autoSpaceDE w:val="0"/>
      <w:autoSpaceDN w:val="0"/>
      <w:adjustRightInd w:val="0"/>
      <w:spacing w:after="240"/>
    </w:pPr>
    <w:rPr>
      <w:rFonts w:ascii="Times New Roman" w:hAnsi="Times New Roman"/>
      <w:b/>
      <w:bCs/>
      <w:lang w:val="en-US" w:eastAsia="es-AR"/>
    </w:rPr>
  </w:style>
  <w:style w:type="paragraph" w:customStyle="1" w:styleId="FinancialBullet">
    <w:name w:val="Financial Bullet"/>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FinancialBullet2">
    <w:name w:val="Financial Bullet2"/>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FinancialBulletHypen">
    <w:name w:val="Financial Bullet Hypen"/>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Financial">
    <w:name w:val="Financial"/>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List5J">
    <w:name w:val="List .5 J"/>
    <w:basedOn w:val="Normal"/>
    <w:rsid w:val="002831AB"/>
    <w:pPr>
      <w:widowControl w:val="0"/>
      <w:autoSpaceDE w:val="0"/>
      <w:autoSpaceDN w:val="0"/>
      <w:adjustRightInd w:val="0"/>
      <w:spacing w:after="240"/>
      <w:ind w:left="1440" w:hanging="720"/>
      <w:jc w:val="both"/>
    </w:pPr>
    <w:rPr>
      <w:rFonts w:ascii="Times New Roman" w:hAnsi="Times New Roman"/>
      <w:lang w:val="en-US" w:eastAsia="es-AR"/>
    </w:rPr>
  </w:style>
  <w:style w:type="paragraph" w:customStyle="1" w:styleId="TitleFinancialBU">
    <w:name w:val="Title Financial BU"/>
    <w:basedOn w:val="Normal"/>
    <w:rsid w:val="002831AB"/>
    <w:pPr>
      <w:widowControl w:val="0"/>
      <w:autoSpaceDE w:val="0"/>
      <w:autoSpaceDN w:val="0"/>
      <w:adjustRightInd w:val="0"/>
      <w:spacing w:after="240"/>
    </w:pPr>
    <w:rPr>
      <w:rFonts w:ascii="Times New Roman" w:hAnsi="Times New Roman"/>
      <w:b/>
      <w:bCs/>
      <w:u w:val="single"/>
      <w:lang w:val="en-US" w:eastAsia="es-AR"/>
    </w:rPr>
  </w:style>
  <w:style w:type="paragraph" w:customStyle="1" w:styleId="FlushRight">
    <w:name w:val="Flush Right"/>
    <w:basedOn w:val="Normal"/>
    <w:rsid w:val="002831AB"/>
    <w:pPr>
      <w:widowControl w:val="0"/>
      <w:autoSpaceDE w:val="0"/>
      <w:autoSpaceDN w:val="0"/>
      <w:adjustRightInd w:val="0"/>
      <w:spacing w:after="240"/>
      <w:jc w:val="right"/>
    </w:pPr>
    <w:rPr>
      <w:rFonts w:ascii="Times New Roman" w:hAnsi="Times New Roman"/>
      <w:lang w:val="en-US" w:eastAsia="es-AR"/>
    </w:rPr>
  </w:style>
  <w:style w:type="paragraph" w:customStyle="1" w:styleId="CenterFinancialB">
    <w:name w:val="Center Financial B"/>
    <w:basedOn w:val="Normal"/>
    <w:rsid w:val="002831AB"/>
    <w:pPr>
      <w:widowControl w:val="0"/>
      <w:autoSpaceDE w:val="0"/>
      <w:autoSpaceDN w:val="0"/>
      <w:adjustRightInd w:val="0"/>
      <w:spacing w:after="240"/>
      <w:jc w:val="center"/>
    </w:pPr>
    <w:rPr>
      <w:rFonts w:ascii="Times New Roman" w:hAnsi="Times New Roman"/>
      <w:b/>
      <w:bCs/>
      <w:lang w:val="en-US" w:eastAsia="es-AR"/>
    </w:rPr>
  </w:style>
  <w:style w:type="paragraph" w:customStyle="1" w:styleId="TitleFinancialCB">
    <w:name w:val="Title Financial CB"/>
    <w:basedOn w:val="Normal"/>
    <w:rsid w:val="002831AB"/>
    <w:pPr>
      <w:widowControl w:val="0"/>
      <w:autoSpaceDE w:val="0"/>
      <w:autoSpaceDN w:val="0"/>
      <w:adjustRightInd w:val="0"/>
      <w:spacing w:after="240"/>
      <w:jc w:val="center"/>
    </w:pPr>
    <w:rPr>
      <w:rFonts w:ascii="Times New Roman" w:hAnsi="Times New Roman"/>
      <w:b/>
      <w:bCs/>
      <w:lang w:val="en-US" w:eastAsia="es-AR"/>
    </w:rPr>
  </w:style>
  <w:style w:type="paragraph" w:customStyle="1" w:styleId="TitleFinancialI">
    <w:name w:val="Title Financial I"/>
    <w:basedOn w:val="Normal"/>
    <w:rsid w:val="002831AB"/>
    <w:pPr>
      <w:widowControl w:val="0"/>
      <w:autoSpaceDE w:val="0"/>
      <w:autoSpaceDN w:val="0"/>
      <w:adjustRightInd w:val="0"/>
      <w:spacing w:after="240"/>
    </w:pPr>
    <w:rPr>
      <w:rFonts w:ascii="Times New Roman" w:hAnsi="Times New Roman"/>
      <w:i/>
      <w:iCs/>
      <w:lang w:val="en-US" w:eastAsia="es-AR"/>
    </w:rPr>
  </w:style>
  <w:style w:type="paragraph" w:customStyle="1" w:styleId="BlockTextHang">
    <w:name w:val="Block Text Hang"/>
    <w:basedOn w:val="DeltaViewTableBody"/>
    <w:rsid w:val="002831AB"/>
    <w:pPr>
      <w:widowControl w:val="0"/>
      <w:spacing w:after="240"/>
      <w:ind w:left="720" w:hanging="720"/>
      <w:jc w:val="both"/>
    </w:pPr>
    <w:rPr>
      <w:rFonts w:ascii="Times New Roman" w:hAnsi="Times New Roman" w:cs="Times New Roman"/>
      <w:sz w:val="20"/>
      <w:szCs w:val="20"/>
      <w:lang w:eastAsia="es-ES"/>
    </w:rPr>
  </w:style>
  <w:style w:type="paragraph" w:customStyle="1" w:styleId="BlockText3SglJ">
    <w:name w:val="Block Text .3 Sgl J"/>
    <w:basedOn w:val="BlockText5SglJ"/>
    <w:rsid w:val="002831AB"/>
    <w:pPr>
      <w:widowControl w:val="0"/>
      <w:autoSpaceDE w:val="0"/>
      <w:autoSpaceDN w:val="0"/>
      <w:adjustRightInd w:val="0"/>
      <w:ind w:left="432" w:right="0"/>
    </w:pPr>
    <w:rPr>
      <w:szCs w:val="20"/>
    </w:rPr>
  </w:style>
  <w:style w:type="paragraph" w:customStyle="1" w:styleId="BlockText1SglJHang">
    <w:name w:val="Block Text 1 Sgl J Hang"/>
    <w:basedOn w:val="BlockText1SglJ"/>
    <w:rsid w:val="002831AB"/>
    <w:pPr>
      <w:widowControl w:val="0"/>
      <w:autoSpaceDE w:val="0"/>
      <w:autoSpaceDN w:val="0"/>
      <w:adjustRightInd w:val="0"/>
      <w:ind w:left="2160" w:right="0" w:hanging="720"/>
    </w:pPr>
    <w:rPr>
      <w:szCs w:val="20"/>
      <w:lang w:eastAsia="es-ES"/>
    </w:rPr>
  </w:style>
  <w:style w:type="character" w:customStyle="1" w:styleId="Table6pt0">
    <w:name w:val="Table 6 pt"/>
    <w:rsid w:val="002831AB"/>
    <w:rPr>
      <w:rFonts w:ascii="Times New Roman" w:hAnsi="Times New Roman"/>
      <w:spacing w:val="0"/>
      <w:sz w:val="12"/>
      <w:lang w:val="en-US" w:eastAsia="x-none"/>
    </w:rPr>
  </w:style>
  <w:style w:type="paragraph" w:customStyle="1" w:styleId="IndentPara">
    <w:name w:val="Indent Para"/>
    <w:basedOn w:val="Normal"/>
    <w:rsid w:val="002831AB"/>
    <w:pPr>
      <w:widowControl w:val="0"/>
      <w:autoSpaceDE w:val="0"/>
      <w:autoSpaceDN w:val="0"/>
      <w:adjustRightInd w:val="0"/>
      <w:spacing w:after="240"/>
      <w:ind w:left="720"/>
    </w:pPr>
    <w:rPr>
      <w:rFonts w:ascii="Times New Roman" w:hAnsi="Times New Roman"/>
      <w:lang w:val="en-US" w:eastAsia="es-AR"/>
    </w:rPr>
  </w:style>
  <w:style w:type="paragraph" w:customStyle="1" w:styleId="ListiJ">
    <w:name w:val="List (i)J"/>
    <w:basedOn w:val="Normal"/>
    <w:rsid w:val="002831AB"/>
    <w:pPr>
      <w:widowControl w:val="0"/>
      <w:autoSpaceDE w:val="0"/>
      <w:autoSpaceDN w:val="0"/>
      <w:adjustRightInd w:val="0"/>
      <w:spacing w:after="240"/>
      <w:ind w:left="720"/>
    </w:pPr>
    <w:rPr>
      <w:rFonts w:ascii="Times New Roman" w:hAnsi="Times New Roman"/>
      <w:lang w:val="en-US" w:eastAsia="es-AR"/>
    </w:rPr>
  </w:style>
  <w:style w:type="character" w:customStyle="1" w:styleId="Table65">
    <w:name w:val="Table 6.5"/>
    <w:rsid w:val="002831AB"/>
    <w:rPr>
      <w:rFonts w:ascii="Times New Roman" w:hAnsi="Times New Roman"/>
      <w:spacing w:val="0"/>
      <w:sz w:val="13"/>
      <w:lang w:val="en-US" w:eastAsia="x-none"/>
    </w:rPr>
  </w:style>
  <w:style w:type="paragraph" w:customStyle="1" w:styleId="CG-DblInd1">
    <w:name w:val="CG-Dbl Ind 1"/>
    <w:aliases w:val="i5"/>
    <w:basedOn w:val="Normal"/>
    <w:rsid w:val="002831AB"/>
    <w:pPr>
      <w:widowControl w:val="0"/>
      <w:autoSpaceDE w:val="0"/>
      <w:autoSpaceDN w:val="0"/>
      <w:adjustRightInd w:val="0"/>
      <w:spacing w:after="240"/>
      <w:ind w:left="1440" w:right="1440"/>
    </w:pPr>
    <w:rPr>
      <w:rFonts w:ascii="Times New Roman" w:hAnsi="Times New Roman"/>
      <w:lang w:val="en-US" w:eastAsia="es-AR"/>
    </w:rPr>
  </w:style>
  <w:style w:type="paragraph" w:customStyle="1" w:styleId="CG-SingleSp052">
    <w:name w:val="CG-Single Sp 0.52"/>
    <w:aliases w:val="s22,!Body Text .5(J)1,!Body Text .5s2(J)1"/>
    <w:basedOn w:val="Normal"/>
    <w:rsid w:val="002831AB"/>
    <w:pPr>
      <w:widowControl w:val="0"/>
      <w:autoSpaceDE w:val="0"/>
      <w:autoSpaceDN w:val="0"/>
      <w:adjustRightInd w:val="0"/>
      <w:spacing w:after="240"/>
      <w:ind w:firstLine="720"/>
    </w:pPr>
    <w:rPr>
      <w:rFonts w:ascii="Times New Roman" w:hAnsi="Times New Roman"/>
      <w:lang w:val="en-US" w:eastAsia="es-AR"/>
    </w:rPr>
  </w:style>
  <w:style w:type="paragraph" w:customStyle="1" w:styleId="italicheading">
    <w:name w:val="italic heading"/>
    <w:basedOn w:val="CG-SingleSp052"/>
    <w:rsid w:val="002831AB"/>
    <w:pPr>
      <w:keepNext/>
      <w:ind w:left="360" w:firstLine="0"/>
    </w:pPr>
    <w:rPr>
      <w:b/>
      <w:bCs/>
      <w:i/>
      <w:iCs/>
      <w:sz w:val="22"/>
      <w:szCs w:val="22"/>
    </w:rPr>
  </w:style>
  <w:style w:type="paragraph" w:customStyle="1" w:styleId="ListBullet3SglJ0">
    <w:name w:val="List Bullet 3 Sgl J"/>
    <w:basedOn w:val="Listaconvitas3"/>
    <w:rsid w:val="002831AB"/>
  </w:style>
  <w:style w:type="paragraph" w:customStyle="1" w:styleId="ListNumbera1">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2">
    <w:name w:val="List Number (a)*******"/>
    <w:basedOn w:val="Normal"/>
    <w:rsid w:val="002831AB"/>
    <w:pPr>
      <w:widowControl w:val="0"/>
      <w:tabs>
        <w:tab w:val="left" w:pos="1800"/>
      </w:tabs>
      <w:autoSpaceDE w:val="0"/>
      <w:autoSpaceDN w:val="0"/>
      <w:adjustRightInd w:val="0"/>
      <w:spacing w:after="240"/>
      <w:ind w:left="1800"/>
    </w:pPr>
    <w:rPr>
      <w:rFonts w:ascii="Times New Roman" w:hAnsi="Times New Roman"/>
      <w:lang w:val="en-US" w:eastAsia="es-AR"/>
    </w:rPr>
  </w:style>
  <w:style w:type="paragraph" w:customStyle="1" w:styleId="ListNumbera3">
    <w:name w:val="List Number (a)********"/>
    <w:basedOn w:val="Normal"/>
    <w:rsid w:val="002831AB"/>
    <w:pPr>
      <w:widowControl w:val="0"/>
      <w:tabs>
        <w:tab w:val="left" w:pos="1800"/>
      </w:tabs>
      <w:autoSpaceDE w:val="0"/>
      <w:autoSpaceDN w:val="0"/>
      <w:adjustRightInd w:val="0"/>
      <w:spacing w:after="240"/>
      <w:ind w:left="1800"/>
    </w:pPr>
    <w:rPr>
      <w:rFonts w:ascii="Times New Roman" w:hAnsi="Times New Roman"/>
      <w:lang w:val="en-US" w:eastAsia="es-AR"/>
    </w:rPr>
  </w:style>
  <w:style w:type="paragraph" w:customStyle="1" w:styleId="Listi">
    <w:name w:val="List (i)"/>
    <w:basedOn w:val="Listaconneros5"/>
    <w:autoRedefine/>
    <w:rsid w:val="002831AB"/>
    <w:pPr>
      <w:tabs>
        <w:tab w:val="num" w:pos="1800"/>
        <w:tab w:val="left" w:pos="1980"/>
      </w:tabs>
      <w:ind w:firstLine="720"/>
      <w:jc w:val="both"/>
    </w:pPr>
    <w:rPr>
      <w:color w:val="000000"/>
    </w:rPr>
  </w:style>
  <w:style w:type="paragraph" w:customStyle="1" w:styleId="Listaconneros5">
    <w:name w:val="Lista con n伹eros 5"/>
    <w:basedOn w:val="Normal"/>
    <w:rsid w:val="002831AB"/>
    <w:pPr>
      <w:widowControl w:val="0"/>
      <w:autoSpaceDE w:val="0"/>
      <w:autoSpaceDN w:val="0"/>
      <w:adjustRightInd w:val="0"/>
      <w:spacing w:after="240"/>
      <w:ind w:left="720" w:hanging="720"/>
    </w:pPr>
    <w:rPr>
      <w:rFonts w:ascii="Times New Roman" w:hAnsi="Times New Roman"/>
      <w:lang w:val="en-US" w:eastAsia="es-AR"/>
    </w:rPr>
  </w:style>
  <w:style w:type="paragraph" w:customStyle="1" w:styleId="checkmark">
    <w:name w:val="check mark"/>
    <w:basedOn w:val="Normal"/>
    <w:rsid w:val="002831AB"/>
    <w:pPr>
      <w:widowControl w:val="0"/>
      <w:tabs>
        <w:tab w:val="num" w:pos="360"/>
      </w:tabs>
      <w:autoSpaceDE w:val="0"/>
      <w:autoSpaceDN w:val="0"/>
      <w:adjustRightInd w:val="0"/>
      <w:spacing w:after="240"/>
      <w:ind w:left="360" w:hanging="360"/>
      <w:jc w:val="both"/>
    </w:pPr>
    <w:rPr>
      <w:rFonts w:ascii="Times New Roman" w:hAnsi="Times New Roman"/>
      <w:lang w:val="en-US" w:eastAsia="es-AR"/>
    </w:rPr>
  </w:style>
  <w:style w:type="paragraph" w:customStyle="1" w:styleId="ArrowBullet0">
    <w:name w:val="Arrow Bullet"/>
    <w:basedOn w:val="Normal"/>
    <w:rsid w:val="002831AB"/>
    <w:pPr>
      <w:widowControl w:val="0"/>
      <w:tabs>
        <w:tab w:val="num" w:pos="1080"/>
      </w:tabs>
      <w:autoSpaceDE w:val="0"/>
      <w:autoSpaceDN w:val="0"/>
      <w:adjustRightInd w:val="0"/>
      <w:spacing w:after="240"/>
      <w:ind w:left="1080" w:hanging="360"/>
      <w:jc w:val="both"/>
    </w:pPr>
    <w:rPr>
      <w:rFonts w:ascii="Times New Roman" w:hAnsi="Times New Roman"/>
      <w:lang w:val="en-US" w:eastAsia="es-AR"/>
    </w:rPr>
  </w:style>
  <w:style w:type="paragraph" w:customStyle="1" w:styleId="ListBullet-">
    <w:name w:val="List Bullet-"/>
    <w:basedOn w:val="Normal"/>
    <w:rsid w:val="002831AB"/>
    <w:pPr>
      <w:widowControl w:val="0"/>
      <w:tabs>
        <w:tab w:val="num" w:pos="1080"/>
      </w:tabs>
      <w:autoSpaceDE w:val="0"/>
      <w:autoSpaceDN w:val="0"/>
      <w:adjustRightInd w:val="0"/>
      <w:ind w:left="1080" w:hanging="360"/>
    </w:pPr>
    <w:rPr>
      <w:rFonts w:ascii="Times New Roman" w:hAnsi="Times New Roman"/>
      <w:lang w:val="en-US" w:eastAsia="es-AR"/>
    </w:rPr>
  </w:style>
  <w:style w:type="paragraph" w:customStyle="1" w:styleId="TableSeparator">
    <w:name w:val="Table Separator"/>
    <w:basedOn w:val="Normal"/>
    <w:rsid w:val="002831AB"/>
    <w:pPr>
      <w:widowControl w:val="0"/>
      <w:pBdr>
        <w:bottom w:val="single" w:sz="4" w:space="1" w:color="000000"/>
      </w:pBdr>
      <w:autoSpaceDE w:val="0"/>
      <w:autoSpaceDN w:val="0"/>
      <w:adjustRightInd w:val="0"/>
      <w:spacing w:after="120"/>
      <w:ind w:left="446" w:right="7974" w:hanging="446"/>
      <w:jc w:val="both"/>
    </w:pPr>
    <w:rPr>
      <w:rFonts w:ascii="Times New Roman" w:hAnsi="Times New Roman"/>
      <w:color w:val="000000"/>
      <w:sz w:val="17"/>
      <w:szCs w:val="17"/>
      <w:lang w:val="en-US" w:eastAsia="es-AR"/>
    </w:rPr>
  </w:style>
  <w:style w:type="paragraph" w:customStyle="1" w:styleId="Level1">
    <w:name w:val="Level 1"/>
    <w:basedOn w:val="Normal"/>
    <w:next w:val="DeltaViewTableHeading"/>
    <w:rsid w:val="002831AB"/>
    <w:pPr>
      <w:keepNext/>
      <w:widowControl w:val="0"/>
      <w:autoSpaceDE w:val="0"/>
      <w:autoSpaceDN w:val="0"/>
      <w:adjustRightInd w:val="0"/>
      <w:spacing w:after="240"/>
      <w:jc w:val="center"/>
    </w:pPr>
    <w:rPr>
      <w:rFonts w:ascii="Times New Roman" w:hAnsi="Times New Roman"/>
      <w:b/>
      <w:bCs/>
      <w:caps/>
      <w:lang w:val="en-US" w:eastAsia="es-AR"/>
    </w:rPr>
  </w:style>
  <w:style w:type="paragraph" w:customStyle="1" w:styleId="Level4">
    <w:name w:val="Level 4"/>
    <w:rsid w:val="002831AB"/>
    <w:pPr>
      <w:keepNext/>
      <w:widowControl w:val="0"/>
      <w:autoSpaceDE w:val="0"/>
      <w:autoSpaceDN w:val="0"/>
      <w:adjustRightInd w:val="0"/>
      <w:spacing w:after="240"/>
      <w:ind w:firstLine="720"/>
    </w:pPr>
    <w:rPr>
      <w:rFonts w:ascii="Times New Roman" w:hAnsi="Times New Roman"/>
      <w:b/>
      <w:bCs/>
      <w:i/>
      <w:iCs/>
      <w:lang w:val="en-US"/>
    </w:rPr>
  </w:style>
  <w:style w:type="paragraph" w:customStyle="1" w:styleId="Level2">
    <w:name w:val="Level 2"/>
    <w:basedOn w:val="Normal"/>
    <w:next w:val="DeltaViewTableHeading"/>
    <w:rsid w:val="002831AB"/>
    <w:pPr>
      <w:keepNext/>
      <w:widowControl w:val="0"/>
      <w:autoSpaceDE w:val="0"/>
      <w:autoSpaceDN w:val="0"/>
      <w:adjustRightInd w:val="0"/>
      <w:spacing w:after="240"/>
      <w:ind w:firstLine="720"/>
    </w:pPr>
    <w:rPr>
      <w:rFonts w:ascii="Times New Roman" w:hAnsi="Times New Roman"/>
      <w:i/>
      <w:iCs/>
      <w:lang w:val="en-US" w:eastAsia="es-AR"/>
    </w:rPr>
  </w:style>
  <w:style w:type="paragraph" w:customStyle="1" w:styleId="NumberedList2">
    <w:name w:val="Numbered List2"/>
    <w:basedOn w:val="NumberedList1"/>
    <w:rsid w:val="002831AB"/>
    <w:pPr>
      <w:tabs>
        <w:tab w:val="num" w:pos="420"/>
      </w:tabs>
      <w:ind w:left="420" w:hanging="420"/>
    </w:pPr>
  </w:style>
  <w:style w:type="paragraph" w:customStyle="1" w:styleId="NumberedList1">
    <w:name w:val="Numbered List1"/>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BlockTextSglJ10">
    <w:name w:val="Block Text Sgl J 10"/>
    <w:basedOn w:val="BlockTextSgl"/>
    <w:rsid w:val="002831AB"/>
    <w:pPr>
      <w:widowControl w:val="0"/>
      <w:tabs>
        <w:tab w:val="right" w:pos="9360"/>
      </w:tabs>
      <w:spacing w:after="0"/>
      <w:jc w:val="both"/>
    </w:pPr>
    <w:rPr>
      <w:color w:val="000000"/>
    </w:rPr>
  </w:style>
  <w:style w:type="paragraph" w:customStyle="1" w:styleId="BodyTextContinued">
    <w:name w:val="Body Text Continued"/>
    <w:basedOn w:val="Normal"/>
    <w:rsid w:val="002831AB"/>
    <w:pPr>
      <w:widowControl w:val="0"/>
      <w:autoSpaceDE w:val="0"/>
      <w:autoSpaceDN w:val="0"/>
      <w:adjustRightInd w:val="0"/>
      <w:spacing w:after="240"/>
      <w:jc w:val="both"/>
    </w:pPr>
    <w:rPr>
      <w:rFonts w:ascii="Times New Roman" w:hAnsi="Times New Roman"/>
      <w:color w:val="000000"/>
      <w:lang w:val="en-US" w:eastAsia="es-AR"/>
    </w:rPr>
  </w:style>
  <w:style w:type="paragraph" w:customStyle="1" w:styleId="HdrRule">
    <w:name w:val="HdrRule"/>
    <w:basedOn w:val="Normal"/>
    <w:rsid w:val="002831AB"/>
    <w:pPr>
      <w:widowControl w:val="0"/>
      <w:pBdr>
        <w:bottom w:val="single" w:sz="4" w:space="1" w:color="000000"/>
      </w:pBdr>
      <w:autoSpaceDE w:val="0"/>
      <w:autoSpaceDN w:val="0"/>
      <w:adjustRightInd w:val="0"/>
      <w:jc w:val="center"/>
    </w:pPr>
    <w:rPr>
      <w:rFonts w:ascii="Times New Roman" w:hAnsi="Times New Roman"/>
      <w:b/>
      <w:bCs/>
      <w:color w:val="000000"/>
      <w:sz w:val="18"/>
      <w:szCs w:val="18"/>
      <w:lang w:val="en-US" w:eastAsia="es-AR"/>
    </w:rPr>
  </w:style>
  <w:style w:type="character" w:customStyle="1" w:styleId="TABLES8PT">
    <w:name w:val="TABLES 8PT"/>
    <w:rsid w:val="002831AB"/>
    <w:rPr>
      <w:rFonts w:ascii="Times New Roman" w:hAnsi="Times New Roman"/>
      <w:spacing w:val="0"/>
      <w:sz w:val="16"/>
      <w:lang w:val="en-US" w:eastAsia="x-none"/>
    </w:rPr>
  </w:style>
  <w:style w:type="paragraph" w:customStyle="1" w:styleId="Notes8pt">
    <w:name w:val="Notes8pt"/>
    <w:basedOn w:val="Normal"/>
    <w:rsid w:val="002831AB"/>
    <w:pPr>
      <w:widowControl w:val="0"/>
      <w:autoSpaceDE w:val="0"/>
      <w:autoSpaceDN w:val="0"/>
      <w:adjustRightInd w:val="0"/>
      <w:ind w:left="440" w:hanging="440"/>
      <w:jc w:val="both"/>
    </w:pPr>
    <w:rPr>
      <w:rFonts w:ascii="Times New Roman" w:hAnsi="Times New Roman"/>
      <w:sz w:val="16"/>
      <w:szCs w:val="16"/>
      <w:lang w:val="en-US" w:eastAsia="es-AR"/>
    </w:rPr>
  </w:style>
  <w:style w:type="paragraph" w:customStyle="1" w:styleId="TitleBC10">
    <w:name w:val="Title BC 10"/>
    <w:basedOn w:val="TitleBC"/>
    <w:rsid w:val="002831AB"/>
    <w:pPr>
      <w:widowControl w:val="0"/>
      <w:outlineLvl w:val="9"/>
    </w:pPr>
    <w:rPr>
      <w:rFonts w:ascii="Times New Roman" w:hAnsi="Times New Roman"/>
      <w:bCs/>
      <w:caps w:val="0"/>
    </w:rPr>
  </w:style>
  <w:style w:type="paragraph" w:customStyle="1" w:styleId="KPMG">
    <w:name w:val="KPMG"/>
    <w:rsid w:val="002831AB"/>
    <w:pPr>
      <w:widowControl w:val="0"/>
      <w:tabs>
        <w:tab w:val="left" w:pos="-300"/>
        <w:tab w:val="left" w:pos="420"/>
        <w:tab w:val="left" w:pos="1140"/>
        <w:tab w:val="left" w:pos="1860"/>
        <w:tab w:val="left" w:pos="2580"/>
        <w:tab w:val="left" w:pos="3300"/>
        <w:tab w:val="left" w:pos="4020"/>
        <w:tab w:val="left" w:pos="4740"/>
        <w:tab w:val="left" w:pos="5460"/>
        <w:tab w:val="left" w:pos="6180"/>
        <w:tab w:val="left" w:pos="6900"/>
        <w:tab w:val="left" w:pos="7620"/>
      </w:tabs>
      <w:suppressAutoHyphens/>
      <w:autoSpaceDE w:val="0"/>
      <w:autoSpaceDN w:val="0"/>
      <w:adjustRightInd w:val="0"/>
      <w:jc w:val="both"/>
    </w:pPr>
    <w:rPr>
      <w:rFonts w:ascii="Times New Roman" w:hAnsi="Times New Roman"/>
      <w:sz w:val="24"/>
      <w:szCs w:val="24"/>
    </w:rPr>
  </w:style>
  <w:style w:type="paragraph" w:customStyle="1" w:styleId="Centered10">
    <w:name w:val="Centered 10"/>
    <w:basedOn w:val="Normal"/>
    <w:rsid w:val="002831AB"/>
    <w:pPr>
      <w:widowControl w:val="0"/>
      <w:tabs>
        <w:tab w:val="left" w:pos="-1440"/>
      </w:tabs>
      <w:autoSpaceDE w:val="0"/>
      <w:autoSpaceDN w:val="0"/>
      <w:adjustRightInd w:val="0"/>
      <w:jc w:val="center"/>
    </w:pPr>
    <w:rPr>
      <w:rFonts w:ascii="Times New Roman" w:hAnsi="Times New Roman"/>
      <w:color w:val="000000"/>
      <w:lang w:val="en-US" w:eastAsia="es-AR"/>
    </w:rPr>
  </w:style>
  <w:style w:type="paragraph" w:customStyle="1" w:styleId="TableTitle">
    <w:name w:val="Table Title"/>
    <w:basedOn w:val="Normal"/>
    <w:rsid w:val="002831AB"/>
    <w:pPr>
      <w:widowControl w:val="0"/>
      <w:autoSpaceDE w:val="0"/>
      <w:autoSpaceDN w:val="0"/>
      <w:adjustRightInd w:val="0"/>
      <w:spacing w:after="240"/>
      <w:jc w:val="center"/>
    </w:pPr>
    <w:rPr>
      <w:rFonts w:ascii="Times New Roman" w:hAnsi="Times New Roman"/>
      <w:b/>
      <w:bCs/>
      <w:color w:val="000000"/>
      <w:lang w:val="en-US" w:eastAsia="es-AR"/>
    </w:rPr>
  </w:style>
  <w:style w:type="paragraph" w:customStyle="1" w:styleId="BlockText5Sgl10">
    <w:name w:val="Block Text .5 Sgl 10"/>
    <w:basedOn w:val="BlockText5Sgl"/>
    <w:rsid w:val="002831AB"/>
    <w:pPr>
      <w:widowControl w:val="0"/>
      <w:autoSpaceDE w:val="0"/>
      <w:autoSpaceDN w:val="0"/>
      <w:adjustRightInd w:val="0"/>
    </w:pPr>
    <w:rPr>
      <w:szCs w:val="20"/>
    </w:rPr>
  </w:style>
  <w:style w:type="paragraph" w:customStyle="1" w:styleId="Bullet10">
    <w:name w:val="Bullet 10"/>
    <w:basedOn w:val="BodyText2Sgl10"/>
    <w:rsid w:val="002831AB"/>
    <w:pPr>
      <w:widowControl w:val="0"/>
      <w:autoSpaceDE w:val="0"/>
      <w:autoSpaceDN w:val="0"/>
      <w:adjustRightInd w:val="0"/>
      <w:ind w:left="1440" w:hanging="720"/>
    </w:pPr>
    <w:rPr>
      <w:lang w:eastAsia="en-US"/>
    </w:rPr>
  </w:style>
  <w:style w:type="paragraph" w:customStyle="1" w:styleId="CG-Title-Left-Bold">
    <w:name w:val="CG-Title-Left-Bold"/>
    <w:aliases w:val="t3"/>
    <w:basedOn w:val="Normal"/>
    <w:next w:val="Normal"/>
    <w:rsid w:val="002831AB"/>
    <w:pPr>
      <w:keepNext/>
      <w:widowControl w:val="0"/>
      <w:autoSpaceDE w:val="0"/>
      <w:autoSpaceDN w:val="0"/>
      <w:adjustRightInd w:val="0"/>
      <w:spacing w:after="240"/>
    </w:pPr>
    <w:rPr>
      <w:rFonts w:ascii="Times New Roman" w:hAnsi="Times New Roman"/>
      <w:b/>
      <w:bCs/>
      <w:lang w:val="en-US" w:eastAsia="es-AR"/>
    </w:rPr>
  </w:style>
  <w:style w:type="paragraph" w:customStyle="1" w:styleId="Heading13">
    <w:name w:val="Heading 13"/>
    <w:basedOn w:val="Normal"/>
    <w:rsid w:val="002831AB"/>
    <w:pPr>
      <w:widowControl w:val="0"/>
      <w:tabs>
        <w:tab w:val="num"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firstLine="1440"/>
    </w:pPr>
    <w:rPr>
      <w:rFonts w:ascii="Times New Roman" w:hAnsi="Times New Roman"/>
      <w:lang w:val="en-US" w:eastAsia="es-AR"/>
    </w:rPr>
  </w:style>
  <w:style w:type="paragraph" w:customStyle="1" w:styleId="EXB21">
    <w:name w:val="EXB2 1"/>
    <w:basedOn w:val="Textoindependiente"/>
    <w:next w:val="Normal"/>
    <w:rsid w:val="002831AB"/>
    <w:pPr>
      <w:keepNext/>
      <w:widowControl w:val="0"/>
      <w:spacing w:after="240"/>
      <w:ind w:firstLine="1440"/>
      <w:jc w:val="center"/>
    </w:pPr>
    <w:rPr>
      <w:sz w:val="24"/>
      <w:szCs w:val="24"/>
    </w:rPr>
  </w:style>
  <w:style w:type="paragraph" w:customStyle="1" w:styleId="ListNumber6">
    <w:name w:val="List Number 6"/>
    <w:basedOn w:val="Normal"/>
    <w:next w:val="Normal"/>
    <w:rsid w:val="002831AB"/>
    <w:pPr>
      <w:widowControl w:val="0"/>
      <w:autoSpaceDE w:val="0"/>
      <w:autoSpaceDN w:val="0"/>
      <w:adjustRightInd w:val="0"/>
      <w:spacing w:after="240"/>
      <w:ind w:left="1267" w:hanging="547"/>
      <w:jc w:val="both"/>
    </w:pPr>
    <w:rPr>
      <w:rFonts w:ascii="Times New Roman" w:hAnsi="Times New Roman"/>
      <w:lang w:val="en-US" w:eastAsia="es-AR"/>
    </w:rPr>
  </w:style>
  <w:style w:type="paragraph" w:customStyle="1" w:styleId="TABLES7PT">
    <w:name w:val="TABLES 7PT"/>
    <w:basedOn w:val="Normal"/>
    <w:rsid w:val="002831AB"/>
    <w:pPr>
      <w:widowControl w:val="0"/>
      <w:autoSpaceDE w:val="0"/>
      <w:autoSpaceDN w:val="0"/>
      <w:adjustRightInd w:val="0"/>
    </w:pPr>
    <w:rPr>
      <w:rFonts w:ascii="Times New Roman" w:hAnsi="Times New Roman"/>
      <w:sz w:val="14"/>
      <w:szCs w:val="14"/>
      <w:lang w:val="en-US" w:eastAsia="es-AR"/>
    </w:rPr>
  </w:style>
  <w:style w:type="paragraph" w:customStyle="1" w:styleId="tablindent-2">
    <w:name w:val="tabl indent-2"/>
    <w:basedOn w:val="Normal"/>
    <w:rsid w:val="002831AB"/>
    <w:pPr>
      <w:widowControl w:val="0"/>
      <w:tabs>
        <w:tab w:val="left" w:leader="dot" w:pos="5760"/>
      </w:tabs>
      <w:autoSpaceDE w:val="0"/>
      <w:autoSpaceDN w:val="0"/>
      <w:adjustRightInd w:val="0"/>
      <w:ind w:left="302"/>
    </w:pPr>
    <w:rPr>
      <w:rFonts w:ascii="Times New Roman" w:hAnsi="Times New Roman"/>
      <w:lang w:val="en-US" w:eastAsia="es-AR"/>
    </w:rPr>
  </w:style>
  <w:style w:type="paragraph" w:customStyle="1" w:styleId="MainPara">
    <w:name w:val="Main Para"/>
    <w:basedOn w:val="Normal"/>
    <w:rsid w:val="002831AB"/>
    <w:pPr>
      <w:widowControl w:val="0"/>
      <w:autoSpaceDE w:val="0"/>
      <w:autoSpaceDN w:val="0"/>
      <w:adjustRightInd w:val="0"/>
      <w:ind w:firstLine="432"/>
      <w:jc w:val="both"/>
    </w:pPr>
    <w:rPr>
      <w:rFonts w:ascii="Times New Roman" w:hAnsi="Times New Roman"/>
      <w:lang w:val="en-US" w:eastAsia="es-AR"/>
    </w:rPr>
  </w:style>
  <w:style w:type="paragraph" w:customStyle="1" w:styleId="NotaN0">
    <w:name w:val="Nota Nｺ"/>
    <w:basedOn w:val="Normal"/>
    <w:rsid w:val="002831AB"/>
    <w:pPr>
      <w:widowControl w:val="0"/>
      <w:autoSpaceDE w:val="0"/>
      <w:autoSpaceDN w:val="0"/>
      <w:adjustRightInd w:val="0"/>
      <w:jc w:val="both"/>
    </w:pPr>
    <w:rPr>
      <w:rFonts w:ascii="Times New Roman" w:hAnsi="Times New Roman"/>
      <w:b/>
      <w:bCs/>
      <w:u w:val="single"/>
      <w:lang w:val="en-US" w:eastAsia="es-AR"/>
    </w:rPr>
  </w:style>
  <w:style w:type="paragraph" w:customStyle="1" w:styleId="leftmargin">
    <w:name w:val="left margin"/>
    <w:basedOn w:val="Normal"/>
    <w:rsid w:val="002831AB"/>
    <w:pPr>
      <w:widowControl w:val="0"/>
      <w:autoSpaceDE w:val="0"/>
      <w:autoSpaceDN w:val="0"/>
      <w:adjustRightInd w:val="0"/>
      <w:jc w:val="both"/>
    </w:pPr>
    <w:rPr>
      <w:rFonts w:ascii="Times New Roman" w:hAnsi="Times New Roman"/>
      <w:lang w:val="en-US" w:eastAsia="es-AR"/>
    </w:rPr>
  </w:style>
  <w:style w:type="paragraph" w:customStyle="1" w:styleId="notenopts">
    <w:name w:val="noteno.pts"/>
    <w:basedOn w:val="Normal"/>
    <w:rsid w:val="002831AB"/>
    <w:pPr>
      <w:widowControl w:val="0"/>
      <w:autoSpaceDE w:val="0"/>
      <w:autoSpaceDN w:val="0"/>
      <w:adjustRightInd w:val="0"/>
      <w:spacing w:after="144"/>
    </w:pPr>
    <w:rPr>
      <w:rFonts w:ascii="Times New Roman" w:hAnsi="Times New Roman"/>
      <w:b/>
      <w:bCs/>
      <w:lang w:val="en-US" w:eastAsia="es-AR"/>
    </w:rPr>
  </w:style>
  <w:style w:type="character" w:customStyle="1" w:styleId="Table7p">
    <w:name w:val="Table 7p"/>
    <w:rsid w:val="002831AB"/>
    <w:rPr>
      <w:rFonts w:ascii="Times New Roman" w:hAnsi="Times New Roman"/>
      <w:color w:val="000000"/>
      <w:spacing w:val="0"/>
      <w:sz w:val="14"/>
      <w:lang w:val="en-US" w:eastAsia="x-none"/>
    </w:rPr>
  </w:style>
  <w:style w:type="paragraph" w:customStyle="1" w:styleId="TABLE7PT0">
    <w:name w:val="TABLE 7PT"/>
    <w:basedOn w:val="Normal"/>
    <w:rsid w:val="002831AB"/>
    <w:pPr>
      <w:widowControl w:val="0"/>
      <w:autoSpaceDE w:val="0"/>
      <w:autoSpaceDN w:val="0"/>
      <w:adjustRightInd w:val="0"/>
      <w:spacing w:before="120"/>
    </w:pPr>
    <w:rPr>
      <w:rFonts w:ascii="Times New Roman" w:hAnsi="Times New Roman"/>
      <w:sz w:val="14"/>
      <w:szCs w:val="14"/>
      <w:lang w:val="en-US" w:eastAsia="es-AR"/>
    </w:rPr>
  </w:style>
  <w:style w:type="paragraph" w:customStyle="1" w:styleId="Tables">
    <w:name w:val="Tables"/>
    <w:basedOn w:val="Normal"/>
    <w:rsid w:val="002831AB"/>
    <w:pPr>
      <w:widowControl w:val="0"/>
      <w:autoSpaceDE w:val="0"/>
      <w:autoSpaceDN w:val="0"/>
      <w:adjustRightInd w:val="0"/>
    </w:pPr>
    <w:rPr>
      <w:rFonts w:ascii="Times New Roman" w:hAnsi="Times New Roman"/>
      <w:lang w:val="en-US" w:eastAsia="es-AR"/>
    </w:rPr>
  </w:style>
  <w:style w:type="paragraph" w:customStyle="1" w:styleId="Table7Par">
    <w:name w:val="Table7Par"/>
    <w:basedOn w:val="Normal"/>
    <w:rsid w:val="002831AB"/>
    <w:pPr>
      <w:widowControl w:val="0"/>
      <w:tabs>
        <w:tab w:val="left" w:pos="43"/>
        <w:tab w:val="decimal" w:pos="763"/>
      </w:tabs>
      <w:autoSpaceDE w:val="0"/>
      <w:autoSpaceDN w:val="0"/>
      <w:adjustRightInd w:val="0"/>
    </w:pPr>
    <w:rPr>
      <w:rFonts w:ascii="Times New Roman" w:hAnsi="Times New Roman"/>
      <w:color w:val="000000"/>
      <w:sz w:val="16"/>
      <w:szCs w:val="16"/>
      <w:lang w:val="en-US" w:eastAsia="es-AR"/>
    </w:rPr>
  </w:style>
  <w:style w:type="paragraph" w:customStyle="1" w:styleId="Level5">
    <w:name w:val="Level 5"/>
    <w:basedOn w:val="Listaconvitas"/>
    <w:rsid w:val="002831AB"/>
    <w:pPr>
      <w:tabs>
        <w:tab w:val="num" w:pos="1800"/>
      </w:tabs>
      <w:spacing w:after="240"/>
      <w:ind w:firstLine="1440"/>
      <w:jc w:val="both"/>
    </w:pPr>
    <w:rPr>
      <w:color w:val="000000"/>
    </w:rPr>
  </w:style>
  <w:style w:type="paragraph" w:customStyle="1" w:styleId="Centered10B">
    <w:name w:val="Centered 10B"/>
    <w:basedOn w:val="Centered10"/>
    <w:rsid w:val="002831AB"/>
    <w:pPr>
      <w:spacing w:after="120"/>
    </w:pPr>
    <w:rPr>
      <w:b/>
      <w:bCs/>
    </w:rPr>
  </w:style>
  <w:style w:type="paragraph" w:customStyle="1" w:styleId="SpecialPara">
    <w:name w:val="Special Para"/>
    <w:basedOn w:val="Normal"/>
    <w:rsid w:val="002831AB"/>
    <w:pPr>
      <w:widowControl w:val="0"/>
      <w:autoSpaceDE w:val="0"/>
      <w:autoSpaceDN w:val="0"/>
      <w:adjustRightInd w:val="0"/>
      <w:spacing w:after="240"/>
      <w:ind w:left="1080" w:hanging="360"/>
    </w:pPr>
    <w:rPr>
      <w:rFonts w:ascii="Times New Roman" w:hAnsi="Times New Roman"/>
      <w:lang w:val="en-US" w:eastAsia="es-AR"/>
    </w:rPr>
  </w:style>
  <w:style w:type="paragraph" w:customStyle="1" w:styleId="Table7Hang">
    <w:name w:val="Table7Hang"/>
    <w:basedOn w:val="Table7Ind"/>
    <w:rsid w:val="002831AB"/>
    <w:pPr>
      <w:tabs>
        <w:tab w:val="left" w:leader="dot" w:pos="2094"/>
      </w:tabs>
      <w:ind w:left="144"/>
    </w:pPr>
  </w:style>
  <w:style w:type="paragraph" w:customStyle="1" w:styleId="Table7Ind">
    <w:name w:val="Table 7Ind"/>
    <w:basedOn w:val="Normal"/>
    <w:rsid w:val="002831AB"/>
    <w:pPr>
      <w:widowControl w:val="0"/>
      <w:tabs>
        <w:tab w:val="left" w:pos="432"/>
        <w:tab w:val="left" w:leader="dot" w:pos="2574"/>
      </w:tabs>
      <w:autoSpaceDE w:val="0"/>
      <w:autoSpaceDN w:val="0"/>
      <w:adjustRightInd w:val="0"/>
      <w:ind w:left="302" w:hanging="144"/>
    </w:pPr>
    <w:rPr>
      <w:rFonts w:ascii="Times New Roman" w:hAnsi="Times New Roman"/>
      <w:color w:val="000000"/>
      <w:sz w:val="16"/>
      <w:szCs w:val="16"/>
      <w:lang w:val="en-US" w:eastAsia="es-AR"/>
    </w:rPr>
  </w:style>
  <w:style w:type="character" w:customStyle="1" w:styleId="Table8pnts">
    <w:name w:val="Table 8pnts"/>
    <w:rsid w:val="002831AB"/>
    <w:rPr>
      <w:rFonts w:ascii="Times New Roman" w:hAnsi="Times New Roman"/>
      <w:spacing w:val="0"/>
      <w:sz w:val="16"/>
      <w:lang w:val="en-US" w:eastAsia="x-none"/>
    </w:rPr>
  </w:style>
  <w:style w:type="paragraph" w:customStyle="1" w:styleId="ListBullet2SglJ">
    <w:name w:val="List Bullet 2 Sgl J"/>
    <w:basedOn w:val="Normal"/>
    <w:rsid w:val="002831AB"/>
    <w:pPr>
      <w:widowControl w:val="0"/>
      <w:autoSpaceDE w:val="0"/>
      <w:autoSpaceDN w:val="0"/>
      <w:adjustRightInd w:val="0"/>
      <w:spacing w:after="240"/>
    </w:pPr>
    <w:rPr>
      <w:rFonts w:ascii="Times New Roman" w:hAnsi="Times New Roman"/>
      <w:color w:val="000000"/>
      <w:lang w:val="en-US" w:eastAsia="es-AR"/>
    </w:rPr>
  </w:style>
  <w:style w:type="paragraph" w:customStyle="1" w:styleId="BlockTextSglJ95">
    <w:name w:val="Block Text Sgl J 9.5"/>
    <w:basedOn w:val="Normal"/>
    <w:rsid w:val="002831AB"/>
    <w:pPr>
      <w:widowControl w:val="0"/>
      <w:autoSpaceDE w:val="0"/>
      <w:autoSpaceDN w:val="0"/>
      <w:adjustRightInd w:val="0"/>
      <w:spacing w:after="240"/>
      <w:jc w:val="both"/>
    </w:pPr>
    <w:rPr>
      <w:rFonts w:ascii="Times New Roman" w:hAnsi="Times New Roman"/>
      <w:sz w:val="19"/>
      <w:szCs w:val="19"/>
      <w:lang w:val="en-US" w:eastAsia="es-AR"/>
    </w:rPr>
  </w:style>
  <w:style w:type="paragraph" w:customStyle="1" w:styleId="ListNumbera4">
    <w:name w:val="List Number a."/>
    <w:basedOn w:val="Normal"/>
    <w:rsid w:val="002831AB"/>
    <w:pPr>
      <w:widowControl w:val="0"/>
      <w:tabs>
        <w:tab w:val="num" w:pos="1080"/>
      </w:tabs>
      <w:autoSpaceDE w:val="0"/>
      <w:autoSpaceDN w:val="0"/>
      <w:adjustRightInd w:val="0"/>
      <w:spacing w:after="240"/>
      <w:ind w:left="1080" w:hanging="360"/>
      <w:jc w:val="both"/>
    </w:pPr>
    <w:rPr>
      <w:rFonts w:ascii="Times New Roman" w:hAnsi="Times New Roman"/>
      <w:sz w:val="19"/>
      <w:szCs w:val="19"/>
      <w:lang w:val="en-US" w:eastAsia="es-AR"/>
    </w:rPr>
  </w:style>
  <w:style w:type="paragraph" w:customStyle="1" w:styleId="ListNumber13">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Bold">
    <w:name w:val="List Number Bold"/>
    <w:basedOn w:val="Normal"/>
    <w:rsid w:val="002831AB"/>
    <w:pPr>
      <w:widowControl w:val="0"/>
      <w:autoSpaceDE w:val="0"/>
      <w:autoSpaceDN w:val="0"/>
      <w:adjustRightInd w:val="0"/>
      <w:spacing w:after="240"/>
      <w:ind w:left="1440" w:hanging="720"/>
      <w:jc w:val="both"/>
    </w:pPr>
    <w:rPr>
      <w:rFonts w:ascii="Times New Roman" w:hAnsi="Times New Roman"/>
      <w:lang w:val="en-US" w:eastAsia="es-AR"/>
    </w:rPr>
  </w:style>
  <w:style w:type="paragraph" w:customStyle="1" w:styleId="BlockTextSglBoldJ">
    <w:name w:val="Block Text Sgl Bold J"/>
    <w:basedOn w:val="Normal"/>
    <w:rsid w:val="002831AB"/>
    <w:pPr>
      <w:widowControl w:val="0"/>
      <w:autoSpaceDE w:val="0"/>
      <w:autoSpaceDN w:val="0"/>
      <w:adjustRightInd w:val="0"/>
      <w:spacing w:after="240"/>
      <w:jc w:val="both"/>
    </w:pPr>
    <w:rPr>
      <w:rFonts w:ascii="Times New Roman" w:hAnsi="Times New Roman"/>
      <w:b/>
      <w:bCs/>
      <w:lang w:val="en-US" w:eastAsia="es-AR"/>
    </w:rPr>
  </w:style>
  <w:style w:type="paragraph" w:customStyle="1" w:styleId="ListBullet4SglJ">
    <w:name w:val="List Bullet 4 Sgl J"/>
    <w:basedOn w:val="Listaconvitas4"/>
    <w:rsid w:val="002831AB"/>
    <w:rPr>
      <w:sz w:val="19"/>
      <w:szCs w:val="19"/>
    </w:rPr>
  </w:style>
  <w:style w:type="paragraph" w:customStyle="1" w:styleId="Quick">
    <w:name w:val="Quick _"/>
    <w:basedOn w:val="Normal"/>
    <w:rsid w:val="002831AB"/>
    <w:pPr>
      <w:widowControl w:val="0"/>
      <w:autoSpaceDE w:val="0"/>
      <w:autoSpaceDN w:val="0"/>
      <w:adjustRightInd w:val="0"/>
      <w:ind w:left="1442" w:hanging="721"/>
    </w:pPr>
    <w:rPr>
      <w:rFonts w:ascii="Times New Roman" w:hAnsi="Times New Roman"/>
      <w:lang w:val="en-US" w:eastAsia="es-AR"/>
    </w:rPr>
  </w:style>
  <w:style w:type="paragraph" w:customStyle="1" w:styleId="hdr">
    <w:name w:val="hdr"/>
    <w:basedOn w:val="Normal"/>
    <w:rsid w:val="002831AB"/>
    <w:pPr>
      <w:widowControl w:val="0"/>
      <w:tabs>
        <w:tab w:val="left" w:pos="-360"/>
        <w:tab w:val="left" w:pos="-216"/>
        <w:tab w:val="left" w:pos="-72"/>
        <w:tab w:val="left" w:pos="72"/>
        <w:tab w:val="left" w:pos="216"/>
        <w:tab w:val="left" w:pos="360"/>
        <w:tab w:val="left" w:pos="504"/>
      </w:tabs>
      <w:autoSpaceDE w:val="0"/>
      <w:autoSpaceDN w:val="0"/>
      <w:adjustRightInd w:val="0"/>
      <w:jc w:val="center"/>
    </w:pPr>
    <w:rPr>
      <w:rFonts w:ascii="Times New Roman" w:hAnsi="Times New Roman"/>
      <w:b/>
      <w:bCs/>
      <w:color w:val="000000"/>
      <w:sz w:val="18"/>
      <w:szCs w:val="18"/>
      <w:lang w:val="en-US" w:eastAsia="es-AR"/>
    </w:rPr>
  </w:style>
  <w:style w:type="paragraph" w:customStyle="1" w:styleId="bASIC">
    <w:name w:val="bASIC"/>
    <w:basedOn w:val="Normal"/>
    <w:rsid w:val="002831AB"/>
    <w:pPr>
      <w:widowControl w:val="0"/>
      <w:tabs>
        <w:tab w:val="left" w:pos="-1440"/>
        <w:tab w:val="left" w:pos="-720"/>
        <w:tab w:val="left" w:pos="0"/>
        <w:tab w:val="left" w:pos="721"/>
        <w:tab w:val="left" w:pos="1442"/>
        <w:tab w:val="left" w:pos="2163"/>
        <w:tab w:val="left" w:pos="2884"/>
        <w:tab w:val="left" w:pos="3606"/>
        <w:tab w:val="left" w:pos="4327"/>
        <w:tab w:val="left" w:pos="5048"/>
        <w:tab w:val="left" w:pos="5769"/>
        <w:tab w:val="left" w:pos="6490"/>
        <w:tab w:val="left" w:pos="7212"/>
        <w:tab w:val="left" w:pos="7933"/>
        <w:tab w:val="left" w:pos="8654"/>
        <w:tab w:val="left" w:pos="9375"/>
      </w:tabs>
      <w:autoSpaceDE w:val="0"/>
      <w:autoSpaceDN w:val="0"/>
      <w:adjustRightInd w:val="0"/>
      <w:ind w:firstLine="721"/>
      <w:jc w:val="both"/>
    </w:pPr>
    <w:rPr>
      <w:rFonts w:ascii="Times New Roman" w:hAnsi="Times New Roman"/>
      <w:color w:val="000000"/>
      <w:lang w:val="en-US" w:eastAsia="es-AR"/>
    </w:rPr>
  </w:style>
  <w:style w:type="paragraph" w:customStyle="1" w:styleId="x">
    <w:name w:val="x"/>
    <w:basedOn w:val="Normal"/>
    <w:rsid w:val="002831AB"/>
    <w:pPr>
      <w:widowControl w:val="0"/>
      <w:tabs>
        <w:tab w:val="decimal" w:pos="457"/>
        <w:tab w:val="left" w:pos="1734"/>
        <w:tab w:val="right" w:pos="2461"/>
        <w:tab w:val="left" w:pos="2766"/>
        <w:tab w:val="right" w:pos="3387"/>
        <w:tab w:val="left" w:pos="3788"/>
        <w:tab w:val="right" w:pos="4220"/>
        <w:tab w:val="left" w:pos="4622"/>
        <w:tab w:val="right" w:pos="5349"/>
        <w:tab w:val="left" w:pos="5703"/>
        <w:tab w:val="right" w:pos="6325"/>
        <w:tab w:val="left" w:pos="6843"/>
        <w:tab w:val="right" w:pos="7158"/>
        <w:tab w:val="left" w:pos="7623"/>
        <w:tab w:val="right" w:pos="8350"/>
        <w:tab w:val="left" w:pos="8590"/>
        <w:tab w:val="right" w:pos="9212"/>
        <w:tab w:val="left" w:pos="9538"/>
        <w:tab w:val="right" w:pos="9853"/>
      </w:tabs>
      <w:autoSpaceDE w:val="0"/>
      <w:autoSpaceDN w:val="0"/>
      <w:adjustRightInd w:val="0"/>
      <w:ind w:left="634" w:hanging="396"/>
    </w:pPr>
    <w:rPr>
      <w:rFonts w:ascii="Times New Roman" w:hAnsi="Times New Roman"/>
      <w:color w:val="000000"/>
      <w:sz w:val="14"/>
      <w:szCs w:val="14"/>
      <w:u w:val="single"/>
      <w:lang w:val="en-US" w:eastAsia="es-AR"/>
    </w:rPr>
  </w:style>
  <w:style w:type="paragraph" w:customStyle="1" w:styleId="H1">
    <w:name w:val="H1"/>
    <w:basedOn w:val="bASIC"/>
    <w:rsid w:val="002831AB"/>
    <w:pPr>
      <w:ind w:firstLine="0"/>
    </w:pPr>
    <w:rPr>
      <w:b/>
      <w:bCs/>
    </w:rPr>
  </w:style>
  <w:style w:type="paragraph" w:customStyle="1" w:styleId="BullInd">
    <w:name w:val="BullInd"/>
    <w:basedOn w:val="Normal"/>
    <w:rsid w:val="002831AB"/>
    <w:pPr>
      <w:widowControl w:val="0"/>
      <w:tabs>
        <w:tab w:val="left" w:pos="-1440"/>
      </w:tabs>
      <w:autoSpaceDE w:val="0"/>
      <w:autoSpaceDN w:val="0"/>
      <w:adjustRightInd w:val="0"/>
      <w:ind w:left="1440" w:hanging="720"/>
      <w:jc w:val="both"/>
    </w:pPr>
    <w:rPr>
      <w:rFonts w:ascii="Times New Roman" w:hAnsi="Times New Roman"/>
      <w:color w:val="000000"/>
      <w:lang w:val="en-US" w:eastAsia="es-AR"/>
    </w:rPr>
  </w:style>
  <w:style w:type="paragraph" w:customStyle="1" w:styleId="Title3">
    <w:name w:val="Title3"/>
    <w:basedOn w:val="Normal"/>
    <w:rsid w:val="002831AB"/>
    <w:pPr>
      <w:keepNext/>
      <w:widowControl w:val="0"/>
      <w:tabs>
        <w:tab w:val="left" w:pos="-1440"/>
      </w:tabs>
      <w:autoSpaceDE w:val="0"/>
      <w:autoSpaceDN w:val="0"/>
      <w:adjustRightInd w:val="0"/>
      <w:ind w:firstLine="720"/>
      <w:jc w:val="both"/>
    </w:pPr>
    <w:rPr>
      <w:rFonts w:ascii="Times New Roman" w:hAnsi="Times New Roman"/>
      <w:i/>
      <w:iCs/>
      <w:color w:val="000000"/>
      <w:lang w:val="en-US" w:eastAsia="es-AR"/>
    </w:rPr>
  </w:style>
  <w:style w:type="paragraph" w:customStyle="1" w:styleId="indeiiietc">
    <w:name w:val="inde(i)(ii)etc"/>
    <w:basedOn w:val="Normal"/>
    <w:rsid w:val="002831AB"/>
    <w:pPr>
      <w:widowControl w:val="0"/>
      <w:tabs>
        <w:tab w:val="left" w:pos="-1440"/>
        <w:tab w:val="left" w:pos="-720"/>
        <w:tab w:val="left" w:pos="0"/>
        <w:tab w:val="left" w:pos="720"/>
        <w:tab w:val="right" w:pos="1311"/>
      </w:tabs>
      <w:autoSpaceDE w:val="0"/>
      <w:autoSpaceDN w:val="0"/>
      <w:adjustRightInd w:val="0"/>
      <w:ind w:left="1425" w:hanging="720"/>
      <w:jc w:val="both"/>
    </w:pPr>
    <w:rPr>
      <w:rFonts w:ascii="Times New Roman" w:hAnsi="Times New Roman"/>
      <w:color w:val="000000"/>
      <w:lang w:val="en-US" w:eastAsia="es-AR"/>
    </w:rPr>
  </w:style>
  <w:style w:type="character" w:customStyle="1" w:styleId="NOTES2">
    <w:name w:val="NOTES2"/>
    <w:rsid w:val="002831AB"/>
    <w:rPr>
      <w:rFonts w:ascii="Times New Roman" w:hAnsi="Times New Roman"/>
      <w:spacing w:val="0"/>
      <w:sz w:val="17"/>
      <w:lang w:val="en-US" w:eastAsia="x-none"/>
    </w:rPr>
  </w:style>
  <w:style w:type="paragraph" w:customStyle="1" w:styleId="BeforeTableSeparator">
    <w:name w:val="BeforeTableSeparator"/>
    <w:basedOn w:val="Normal"/>
    <w:rsid w:val="002831AB"/>
    <w:pPr>
      <w:widowControl w:val="0"/>
      <w:tabs>
        <w:tab w:val="left" w:pos="0"/>
      </w:tabs>
      <w:autoSpaceDE w:val="0"/>
      <w:autoSpaceDN w:val="0"/>
      <w:adjustRightInd w:val="0"/>
      <w:jc w:val="both"/>
    </w:pPr>
    <w:rPr>
      <w:rFonts w:ascii="Times New Roman" w:hAnsi="Times New Roman"/>
      <w:color w:val="000000"/>
      <w:sz w:val="16"/>
      <w:szCs w:val="16"/>
      <w:lang w:val="en-US" w:eastAsia="es-AR"/>
    </w:rPr>
  </w:style>
  <w:style w:type="paragraph" w:customStyle="1" w:styleId="BodyTextItal">
    <w:name w:val="Body Text Ital"/>
    <w:basedOn w:val="DeltaViewTableHeading"/>
    <w:rsid w:val="002831AB"/>
    <w:pPr>
      <w:widowControl w:val="0"/>
      <w:spacing w:after="0" w:line="480" w:lineRule="auto"/>
      <w:ind w:firstLine="1440"/>
      <w:jc w:val="both"/>
    </w:pPr>
    <w:rPr>
      <w:rFonts w:ascii="Times New Roman" w:hAnsi="Times New Roman" w:cs="Times New Roman"/>
      <w:b w:val="0"/>
      <w:bCs w:val="0"/>
      <w:i/>
      <w:iCs/>
      <w:sz w:val="20"/>
      <w:szCs w:val="20"/>
      <w:lang w:eastAsia="en-US"/>
    </w:rPr>
  </w:style>
  <w:style w:type="paragraph" w:customStyle="1" w:styleId="BulletsFlushLeft">
    <w:name w:val="Bullets Flush Left"/>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BulletsFlushLeftHanging">
    <w:name w:val="Bullets Flush Left Hanging"/>
    <w:basedOn w:val="BulletsFlushLeft"/>
    <w:rsid w:val="002831AB"/>
    <w:pPr>
      <w:ind w:left="720" w:hanging="720"/>
    </w:pPr>
  </w:style>
  <w:style w:type="paragraph" w:customStyle="1" w:styleId="Note">
    <w:name w:val="Note"/>
    <w:basedOn w:val="Sangrdetextonormal"/>
    <w:rsid w:val="002831AB"/>
    <w:pPr>
      <w:spacing w:after="170"/>
      <w:ind w:left="360" w:hanging="360"/>
    </w:pPr>
    <w:rPr>
      <w:sz w:val="17"/>
      <w:szCs w:val="17"/>
    </w:rPr>
  </w:style>
  <w:style w:type="paragraph" w:customStyle="1" w:styleId="blocktext10">
    <w:name w:val="block text 10"/>
    <w:basedOn w:val="BodyText2Sgl10"/>
    <w:rsid w:val="002831AB"/>
    <w:pPr>
      <w:widowControl w:val="0"/>
      <w:autoSpaceDE w:val="0"/>
      <w:autoSpaceDN w:val="0"/>
      <w:adjustRightInd w:val="0"/>
    </w:pPr>
    <w:rPr>
      <w:lang w:eastAsia="en-US"/>
    </w:rPr>
  </w:style>
  <w:style w:type="paragraph" w:customStyle="1" w:styleId="Heading11">
    <w:name w:val="Heading 11"/>
    <w:basedOn w:val="Normal"/>
    <w:next w:val="Heading11Body"/>
    <w:rsid w:val="002831AB"/>
    <w:pPr>
      <w:keepNext/>
      <w:keepLines/>
      <w:widowControl w:val="0"/>
      <w:autoSpaceDE w:val="0"/>
      <w:autoSpaceDN w:val="0"/>
      <w:adjustRightInd w:val="0"/>
      <w:jc w:val="center"/>
    </w:pPr>
    <w:rPr>
      <w:rFonts w:ascii="Times New Roman" w:hAnsi="Times New Roman"/>
      <w:u w:val="single"/>
      <w:lang w:val="en-US" w:eastAsia="es-AR"/>
    </w:rPr>
  </w:style>
  <w:style w:type="paragraph" w:customStyle="1" w:styleId="Heading11Body">
    <w:name w:val="Heading 11 Body"/>
    <w:basedOn w:val="Normal"/>
    <w:next w:val="Heading11"/>
    <w:rsid w:val="002831AB"/>
    <w:pPr>
      <w:keepNext/>
      <w:keepLines/>
      <w:widowControl w:val="0"/>
      <w:autoSpaceDE w:val="0"/>
      <w:autoSpaceDN w:val="0"/>
      <w:adjustRightInd w:val="0"/>
      <w:jc w:val="center"/>
    </w:pPr>
    <w:rPr>
      <w:rFonts w:ascii="Times New Roman" w:hAnsi="Times New Roman"/>
      <w:lang w:val="en-US" w:eastAsia="es-AR"/>
    </w:rPr>
  </w:style>
  <w:style w:type="paragraph" w:customStyle="1" w:styleId="Heading12">
    <w:name w:val="Heading 12"/>
    <w:basedOn w:val="Normal"/>
    <w:next w:val="Heading12Body"/>
    <w:rsid w:val="002831AB"/>
    <w:pPr>
      <w:widowControl w:val="0"/>
      <w:tabs>
        <w:tab w:val="num" w:pos="144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left="1440" w:hanging="360"/>
    </w:pPr>
    <w:rPr>
      <w:rFonts w:ascii="Times New Roman" w:hAnsi="Times New Roman"/>
      <w:lang w:val="en-US" w:eastAsia="es-AR"/>
    </w:rPr>
  </w:style>
  <w:style w:type="paragraph" w:customStyle="1" w:styleId="Heading12Body">
    <w:name w:val="Heading 12 Body"/>
    <w:basedOn w:val="Normal"/>
    <w:next w:val="Heading12"/>
    <w:rsid w:val="002831AB"/>
    <w:pPr>
      <w:widowControl w:val="0"/>
      <w:tabs>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firstLine="1440"/>
    </w:pPr>
    <w:rPr>
      <w:rFonts w:ascii="Times New Roman" w:hAnsi="Times New Roman"/>
      <w:lang w:val="en-US" w:eastAsia="es-AR"/>
    </w:rPr>
  </w:style>
  <w:style w:type="paragraph" w:customStyle="1" w:styleId="EXB22">
    <w:name w:val="EXB2 2"/>
    <w:basedOn w:val="EXB21"/>
    <w:rsid w:val="002831AB"/>
    <w:pPr>
      <w:tabs>
        <w:tab w:val="num" w:pos="360"/>
      </w:tabs>
      <w:jc w:val="left"/>
    </w:pPr>
  </w:style>
  <w:style w:type="paragraph" w:customStyle="1" w:styleId="Style0">
    <w:name w:val="Style0"/>
    <w:rsid w:val="002831AB"/>
    <w:pPr>
      <w:widowControl w:val="0"/>
      <w:autoSpaceDE w:val="0"/>
      <w:autoSpaceDN w:val="0"/>
      <w:adjustRightInd w:val="0"/>
    </w:pPr>
    <w:rPr>
      <w:rFonts w:ascii="Times New Roman" w:hAnsi="Times New Roman"/>
      <w:lang w:val="en-US"/>
    </w:rPr>
  </w:style>
  <w:style w:type="paragraph" w:customStyle="1" w:styleId="tabledoublespace">
    <w:name w:val="table double space"/>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Tab3">
    <w:name w:val="Tab3"/>
    <w:basedOn w:val="Normal"/>
    <w:rsid w:val="002831AB"/>
    <w:pPr>
      <w:widowControl w:val="0"/>
      <w:tabs>
        <w:tab w:val="left" w:pos="288"/>
        <w:tab w:val="right" w:leader="dot" w:pos="3582"/>
      </w:tabs>
      <w:autoSpaceDE w:val="0"/>
      <w:autoSpaceDN w:val="0"/>
      <w:adjustRightInd w:val="0"/>
    </w:pPr>
    <w:rPr>
      <w:rFonts w:ascii="Times New Roman" w:hAnsi="Times New Roman"/>
      <w:lang w:val="en-US" w:eastAsia="es-AR"/>
    </w:rPr>
  </w:style>
  <w:style w:type="paragraph" w:customStyle="1" w:styleId="TableIndent">
    <w:name w:val="Table Indent"/>
    <w:basedOn w:val="Normal"/>
    <w:rsid w:val="002831AB"/>
    <w:pPr>
      <w:widowControl w:val="0"/>
      <w:tabs>
        <w:tab w:val="left" w:pos="288"/>
        <w:tab w:val="left" w:leader="dot" w:pos="3510"/>
      </w:tabs>
      <w:autoSpaceDE w:val="0"/>
      <w:autoSpaceDN w:val="0"/>
      <w:adjustRightInd w:val="0"/>
    </w:pPr>
    <w:rPr>
      <w:rFonts w:ascii="Times New Roman" w:hAnsi="Times New Roman"/>
      <w:lang w:val="en-US" w:eastAsia="es-AR"/>
    </w:rPr>
  </w:style>
  <w:style w:type="paragraph" w:customStyle="1" w:styleId="TabIndent">
    <w:name w:val="Tab Indent"/>
    <w:basedOn w:val="Normal"/>
    <w:rsid w:val="002831AB"/>
    <w:pPr>
      <w:widowControl w:val="0"/>
      <w:tabs>
        <w:tab w:val="left" w:leader="dot" w:pos="3960"/>
      </w:tabs>
      <w:autoSpaceDE w:val="0"/>
      <w:autoSpaceDN w:val="0"/>
      <w:adjustRightInd w:val="0"/>
      <w:ind w:left="180" w:hanging="180"/>
    </w:pPr>
    <w:rPr>
      <w:rFonts w:ascii="Times New Roman" w:hAnsi="Times New Roman"/>
      <w:lang w:val="en-US" w:eastAsia="es-AR"/>
    </w:rPr>
  </w:style>
  <w:style w:type="paragraph" w:customStyle="1" w:styleId="ColLeft">
    <w:name w:val="ColLeft"/>
    <w:basedOn w:val="Normal"/>
    <w:rsid w:val="002831AB"/>
    <w:pPr>
      <w:widowControl w:val="0"/>
      <w:tabs>
        <w:tab w:val="left" w:pos="144"/>
        <w:tab w:val="left" w:pos="288"/>
        <w:tab w:val="left" w:pos="432"/>
        <w:tab w:val="left" w:pos="576"/>
        <w:tab w:val="right" w:leader="dot" w:pos="2520"/>
      </w:tabs>
      <w:autoSpaceDE w:val="0"/>
      <w:autoSpaceDN w:val="0"/>
      <w:adjustRightInd w:val="0"/>
    </w:pPr>
    <w:rPr>
      <w:rFonts w:ascii="Times New Roman" w:hAnsi="Times New Roman"/>
      <w:sz w:val="18"/>
      <w:szCs w:val="18"/>
      <w:lang w:val="en-US" w:eastAsia="es-AR"/>
    </w:rPr>
  </w:style>
  <w:style w:type="character" w:customStyle="1" w:styleId="HEADING1">
    <w:name w:val="HEADING1"/>
    <w:rsid w:val="002831AB"/>
    <w:rPr>
      <w:rFonts w:ascii="Times New Roman" w:hAnsi="Times New Roman"/>
      <w:b/>
      <w:spacing w:val="0"/>
      <w:sz w:val="20"/>
      <w:lang w:val="en-US" w:eastAsia="x-none"/>
    </w:rPr>
  </w:style>
  <w:style w:type="paragraph" w:customStyle="1" w:styleId="level20">
    <w:name w:val="level2"/>
    <w:basedOn w:val="BodyText2Sgl10"/>
    <w:rsid w:val="002831AB"/>
    <w:pPr>
      <w:widowControl w:val="0"/>
      <w:autoSpaceDE w:val="0"/>
      <w:autoSpaceDN w:val="0"/>
      <w:adjustRightInd w:val="0"/>
    </w:pPr>
    <w:rPr>
      <w:lang w:eastAsia="en-US"/>
    </w:rPr>
  </w:style>
  <w:style w:type="character" w:customStyle="1" w:styleId="SmallCap">
    <w:name w:val="SmallCap"/>
    <w:rsid w:val="002831AB"/>
    <w:rPr>
      <w:rFonts w:ascii="Times New Roman" w:hAnsi="Times New Roman"/>
      <w:smallCaps/>
      <w:spacing w:val="0"/>
      <w:sz w:val="20"/>
      <w:lang w:val="en-US" w:eastAsia="x-none"/>
    </w:rPr>
  </w:style>
  <w:style w:type="paragraph" w:customStyle="1" w:styleId="BlockText75SglJ">
    <w:name w:val="Block Text .75 Sgl J"/>
    <w:basedOn w:val="Normal"/>
    <w:rsid w:val="002831AB"/>
    <w:pPr>
      <w:widowControl w:val="0"/>
      <w:autoSpaceDE w:val="0"/>
      <w:autoSpaceDN w:val="0"/>
      <w:adjustRightInd w:val="0"/>
      <w:spacing w:after="240"/>
      <w:ind w:left="1080"/>
      <w:jc w:val="both"/>
    </w:pPr>
    <w:rPr>
      <w:rFonts w:ascii="Times New Roman" w:hAnsi="Times New Roman"/>
      <w:lang w:val="en-US" w:eastAsia="es-AR"/>
    </w:rPr>
  </w:style>
  <w:style w:type="paragraph" w:customStyle="1" w:styleId="foot">
    <w:name w:val="foot"/>
    <w:basedOn w:val="Normal"/>
    <w:rsid w:val="002831AB"/>
    <w:pPr>
      <w:widowControl w:val="0"/>
      <w:autoSpaceDE w:val="0"/>
      <w:autoSpaceDN w:val="0"/>
      <w:adjustRightInd w:val="0"/>
      <w:ind w:left="-450" w:hanging="270"/>
    </w:pPr>
    <w:rPr>
      <w:rFonts w:ascii="Times New Roman" w:hAnsi="Times New Roman"/>
      <w:sz w:val="14"/>
      <w:szCs w:val="14"/>
      <w:lang w:val="en-US" w:eastAsia="es-AR"/>
    </w:rPr>
  </w:style>
  <w:style w:type="paragraph" w:customStyle="1" w:styleId="ListBullet-0">
    <w:name w:val="List Bullet-&gt;"/>
    <w:basedOn w:val="ListBullet-"/>
    <w:rsid w:val="002831AB"/>
    <w:pPr>
      <w:spacing w:after="120"/>
    </w:pPr>
  </w:style>
  <w:style w:type="paragraph" w:customStyle="1" w:styleId="hollowbullet">
    <w:name w:val="hollow bullet"/>
    <w:basedOn w:val="Normal"/>
    <w:rsid w:val="002831AB"/>
    <w:pPr>
      <w:widowControl w:val="0"/>
      <w:tabs>
        <w:tab w:val="num" w:pos="1440"/>
      </w:tabs>
      <w:autoSpaceDE w:val="0"/>
      <w:autoSpaceDN w:val="0"/>
      <w:adjustRightInd w:val="0"/>
      <w:spacing w:after="240"/>
      <w:ind w:left="1440" w:hanging="360"/>
      <w:jc w:val="both"/>
    </w:pPr>
    <w:rPr>
      <w:rFonts w:ascii="Times New Roman" w:hAnsi="Times New Roman"/>
      <w:sz w:val="19"/>
      <w:szCs w:val="19"/>
      <w:lang w:val="en-US" w:eastAsia="es-AR"/>
    </w:rPr>
  </w:style>
  <w:style w:type="paragraph" w:customStyle="1" w:styleId="Align">
    <w:name w:val="Align"/>
    <w:basedOn w:val="Normal"/>
    <w:rsid w:val="002831AB"/>
    <w:pPr>
      <w:keepNext/>
      <w:keepLines/>
      <w:widowControl w:val="0"/>
      <w:tabs>
        <w:tab w:val="left" w:pos="342"/>
        <w:tab w:val="decimal" w:pos="1287"/>
      </w:tabs>
      <w:autoSpaceDE w:val="0"/>
      <w:autoSpaceDN w:val="0"/>
      <w:adjustRightInd w:val="0"/>
    </w:pPr>
    <w:rPr>
      <w:rFonts w:ascii="Times New Roman" w:hAnsi="Times New Roman"/>
      <w:color w:val="000000"/>
      <w:sz w:val="16"/>
      <w:szCs w:val="16"/>
      <w:lang w:val="en-US" w:eastAsia="es-AR"/>
    </w:rPr>
  </w:style>
  <w:style w:type="paragraph" w:customStyle="1" w:styleId="TABLES8Ind">
    <w:name w:val="TABLES 8Ind"/>
    <w:basedOn w:val="TABLES7PT"/>
    <w:rsid w:val="002831AB"/>
    <w:pPr>
      <w:tabs>
        <w:tab w:val="right" w:leader="dot" w:pos="3816"/>
      </w:tabs>
      <w:ind w:left="144" w:hanging="144"/>
    </w:pPr>
  </w:style>
  <w:style w:type="paragraph" w:customStyle="1" w:styleId="CPNormal">
    <w:name w:val="CPNormal"/>
    <w:basedOn w:val="Normal"/>
    <w:rsid w:val="002831AB"/>
    <w:pPr>
      <w:widowControl w:val="0"/>
      <w:tabs>
        <w:tab w:val="left" w:pos="567"/>
      </w:tabs>
      <w:autoSpaceDE w:val="0"/>
      <w:autoSpaceDN w:val="0"/>
      <w:adjustRightInd w:val="0"/>
      <w:spacing w:after="240" w:line="240" w:lineRule="exact"/>
      <w:ind w:firstLine="720"/>
      <w:jc w:val="both"/>
    </w:pPr>
    <w:rPr>
      <w:rFonts w:ascii="Times New Roman" w:hAnsi="Times New Roman"/>
      <w:sz w:val="22"/>
      <w:szCs w:val="22"/>
      <w:lang w:val="en-US" w:eastAsia="es-AR"/>
    </w:rPr>
  </w:style>
  <w:style w:type="paragraph" w:customStyle="1" w:styleId="tablenotesline">
    <w:name w:val="table notes line"/>
    <w:basedOn w:val="DeltaViewTableHeading"/>
    <w:rsid w:val="002831AB"/>
    <w:pPr>
      <w:widowControl w:val="0"/>
      <w:spacing w:after="0"/>
    </w:pPr>
    <w:rPr>
      <w:rFonts w:ascii="Times New Roman" w:hAnsi="Times New Roman" w:cs="Times New Roman"/>
      <w:b w:val="0"/>
      <w:bCs w:val="0"/>
      <w:sz w:val="20"/>
      <w:szCs w:val="20"/>
      <w:lang w:eastAsia="en-US"/>
    </w:rPr>
  </w:style>
  <w:style w:type="paragraph" w:customStyle="1" w:styleId="Tnico4a">
    <w:name w:val="T馗nico 4a"/>
    <w:rsid w:val="002831AB"/>
    <w:pPr>
      <w:widowControl w:val="0"/>
      <w:tabs>
        <w:tab w:val="left" w:pos="-720"/>
      </w:tabs>
      <w:suppressAutoHyphens/>
      <w:autoSpaceDE w:val="0"/>
      <w:autoSpaceDN w:val="0"/>
      <w:adjustRightInd w:val="0"/>
    </w:pPr>
    <w:rPr>
      <w:rFonts w:ascii="Times New Roman" w:hAnsi="Times New Roman"/>
      <w:b/>
      <w:bCs/>
    </w:rPr>
  </w:style>
  <w:style w:type="paragraph" w:customStyle="1" w:styleId="titleitalic">
    <w:name w:val="title italic"/>
    <w:basedOn w:val="DeltaViewAnnounce"/>
    <w:rsid w:val="002831AB"/>
    <w:pPr>
      <w:keepNext/>
      <w:spacing w:before="0" w:after="200"/>
      <w:ind w:left="700" w:firstLine="20"/>
    </w:pPr>
    <w:rPr>
      <w:b/>
      <w:bCs/>
      <w:i/>
      <w:iCs/>
      <w:sz w:val="22"/>
      <w:szCs w:val="22"/>
      <w:lang w:val="en-US"/>
    </w:rPr>
  </w:style>
  <w:style w:type="paragraph" w:customStyle="1" w:styleId="DeltaViewAnnounce">
    <w:name w:val="DeltaView Announce"/>
    <w:rsid w:val="002831AB"/>
    <w:pPr>
      <w:widowControl w:val="0"/>
      <w:autoSpaceDE w:val="0"/>
      <w:autoSpaceDN w:val="0"/>
      <w:adjustRightInd w:val="0"/>
      <w:spacing w:before="100" w:after="100"/>
    </w:pPr>
    <w:rPr>
      <w:rFonts w:ascii="Times New Roman" w:hAnsi="Times New Roman"/>
      <w:sz w:val="24"/>
      <w:szCs w:val="24"/>
    </w:rPr>
  </w:style>
  <w:style w:type="paragraph" w:customStyle="1" w:styleId="noteno">
    <w:name w:val="noteno."/>
    <w:basedOn w:val="Normal"/>
    <w:rsid w:val="002831AB"/>
    <w:pPr>
      <w:widowControl w:val="0"/>
      <w:autoSpaceDE w:val="0"/>
      <w:autoSpaceDN w:val="0"/>
      <w:adjustRightInd w:val="0"/>
      <w:spacing w:after="144"/>
      <w:jc w:val="both"/>
    </w:pPr>
    <w:rPr>
      <w:rFonts w:ascii="Times New Roman" w:hAnsi="Times New Roman"/>
      <w:b/>
      <w:bCs/>
      <w:lang w:val="en-US" w:eastAsia="es-AR"/>
    </w:rPr>
  </w:style>
  <w:style w:type="paragraph" w:customStyle="1" w:styleId="Nocomma">
    <w:name w:val="No comma"/>
    <w:basedOn w:val="Normal"/>
    <w:rsid w:val="002831AB"/>
    <w:pPr>
      <w:widowControl w:val="0"/>
      <w:autoSpaceDE w:val="0"/>
      <w:autoSpaceDN w:val="0"/>
      <w:adjustRightInd w:val="0"/>
    </w:pPr>
    <w:rPr>
      <w:rFonts w:ascii="Times New Roman" w:hAnsi="Times New Roman"/>
      <w:lang w:val="en-US" w:eastAsia="es-AR"/>
    </w:rPr>
  </w:style>
  <w:style w:type="paragraph" w:customStyle="1" w:styleId="Numbers">
    <w:name w:val="Numbers"/>
    <w:basedOn w:val="Normal"/>
    <w:rsid w:val="002831AB"/>
    <w:pPr>
      <w:widowControl w:val="0"/>
      <w:autoSpaceDE w:val="0"/>
      <w:autoSpaceDN w:val="0"/>
      <w:adjustRightInd w:val="0"/>
    </w:pPr>
    <w:rPr>
      <w:rFonts w:ascii="Times New Roman" w:hAnsi="Times New Roman"/>
      <w:lang w:val="en-US" w:eastAsia="es-AR"/>
    </w:rPr>
  </w:style>
  <w:style w:type="paragraph" w:customStyle="1" w:styleId="ltr">
    <w:name w:val="ltr"/>
    <w:aliases w:val="indent"/>
    <w:basedOn w:val="Normal"/>
    <w:rsid w:val="002831AB"/>
    <w:pPr>
      <w:widowControl w:val="0"/>
      <w:tabs>
        <w:tab w:val="left" w:pos="270"/>
        <w:tab w:val="left" w:leader="dot" w:pos="5760"/>
      </w:tabs>
      <w:autoSpaceDE w:val="0"/>
      <w:autoSpaceDN w:val="0"/>
      <w:adjustRightInd w:val="0"/>
      <w:ind w:left="172" w:hanging="172"/>
    </w:pPr>
    <w:rPr>
      <w:rFonts w:ascii="Times New Roman" w:hAnsi="Times New Roman"/>
      <w:lang w:val="en-US" w:eastAsia="es-AR"/>
    </w:rPr>
  </w:style>
  <w:style w:type="paragraph" w:customStyle="1" w:styleId="SMDash">
    <w:name w:val="SM Dash"/>
    <w:basedOn w:val="Normal"/>
    <w:rsid w:val="002831AB"/>
    <w:pPr>
      <w:widowControl w:val="0"/>
      <w:autoSpaceDE w:val="0"/>
      <w:autoSpaceDN w:val="0"/>
      <w:adjustRightInd w:val="0"/>
      <w:jc w:val="right"/>
    </w:pPr>
    <w:rPr>
      <w:rFonts w:ascii="Times New Roman" w:hAnsi="Times New Roman"/>
      <w:lang w:val="en-US" w:eastAsia="es-AR"/>
    </w:rPr>
  </w:style>
  <w:style w:type="paragraph" w:customStyle="1" w:styleId="Table-10--2">
    <w:name w:val="Table-10--2"/>
    <w:basedOn w:val="Normal"/>
    <w:rsid w:val="002831AB"/>
    <w:pPr>
      <w:widowControl w:val="0"/>
      <w:tabs>
        <w:tab w:val="right" w:leader="dot" w:pos="6390"/>
      </w:tabs>
      <w:autoSpaceDE w:val="0"/>
      <w:autoSpaceDN w:val="0"/>
      <w:adjustRightInd w:val="0"/>
      <w:ind w:left="172"/>
    </w:pPr>
    <w:rPr>
      <w:rFonts w:ascii="Times New Roman" w:hAnsi="Times New Roman"/>
      <w:lang w:val="en-US" w:eastAsia="es-AR"/>
    </w:rPr>
  </w:style>
  <w:style w:type="paragraph" w:customStyle="1" w:styleId="table9">
    <w:name w:val="table 9"/>
    <w:basedOn w:val="Normal"/>
    <w:rsid w:val="002831AB"/>
    <w:pPr>
      <w:widowControl w:val="0"/>
      <w:tabs>
        <w:tab w:val="right" w:leader="dot" w:pos="5310"/>
      </w:tabs>
      <w:autoSpaceDE w:val="0"/>
      <w:autoSpaceDN w:val="0"/>
      <w:adjustRightInd w:val="0"/>
    </w:pPr>
    <w:rPr>
      <w:rFonts w:ascii="Times New Roman" w:hAnsi="Times New Roman"/>
      <w:sz w:val="18"/>
      <w:szCs w:val="18"/>
      <w:lang w:val="en-US" w:eastAsia="es-AR"/>
    </w:rPr>
  </w:style>
  <w:style w:type="paragraph" w:customStyle="1" w:styleId="btsingle">
    <w:name w:val="bt single"/>
    <w:basedOn w:val="Normal"/>
    <w:rsid w:val="002831AB"/>
    <w:pPr>
      <w:widowControl w:val="0"/>
      <w:autoSpaceDE w:val="0"/>
      <w:autoSpaceDN w:val="0"/>
      <w:adjustRightInd w:val="0"/>
      <w:ind w:left="504"/>
    </w:pPr>
    <w:rPr>
      <w:rFonts w:ascii="Times New Roman" w:hAnsi="Times New Roman"/>
      <w:lang w:val="en-US" w:eastAsia="es-AR"/>
    </w:rPr>
  </w:style>
  <w:style w:type="paragraph" w:customStyle="1" w:styleId="noteno0">
    <w:name w:val="noteno"/>
    <w:aliases w:val="pts"/>
    <w:basedOn w:val="Normal"/>
    <w:rsid w:val="002831AB"/>
    <w:pPr>
      <w:widowControl w:val="0"/>
      <w:autoSpaceDE w:val="0"/>
      <w:autoSpaceDN w:val="0"/>
      <w:adjustRightInd w:val="0"/>
      <w:spacing w:after="144"/>
    </w:pPr>
    <w:rPr>
      <w:rFonts w:ascii="Times New Roman" w:hAnsi="Times New Roman"/>
      <w:b/>
      <w:bCs/>
      <w:lang w:val="en-US" w:eastAsia="es-AR"/>
    </w:rPr>
  </w:style>
  <w:style w:type="paragraph" w:customStyle="1" w:styleId="DefaultText">
    <w:name w:val="Default Text"/>
    <w:basedOn w:val="Normal"/>
    <w:rsid w:val="002831AB"/>
    <w:pPr>
      <w:widowControl w:val="0"/>
      <w:autoSpaceDE w:val="0"/>
      <w:autoSpaceDN w:val="0"/>
      <w:adjustRightInd w:val="0"/>
    </w:pPr>
    <w:rPr>
      <w:rFonts w:ascii="Times New Roman" w:hAnsi="Times New Roman"/>
      <w:lang w:val="en-US" w:eastAsia="es-AR"/>
    </w:rPr>
  </w:style>
  <w:style w:type="paragraph" w:customStyle="1" w:styleId="10-6">
    <w:name w:val="10-6"/>
    <w:basedOn w:val="Normal"/>
    <w:rsid w:val="002831AB"/>
    <w:pPr>
      <w:widowControl w:val="0"/>
      <w:tabs>
        <w:tab w:val="right" w:leader="dot" w:pos="5670"/>
      </w:tabs>
      <w:autoSpaceDE w:val="0"/>
      <w:autoSpaceDN w:val="0"/>
      <w:adjustRightInd w:val="0"/>
      <w:ind w:left="676"/>
    </w:pPr>
    <w:rPr>
      <w:rFonts w:ascii="Times New Roman" w:hAnsi="Times New Roman"/>
      <w:lang w:val="en-US" w:eastAsia="es-AR"/>
    </w:rPr>
  </w:style>
  <w:style w:type="paragraph" w:customStyle="1" w:styleId="Listbulletopen">
    <w:name w:val="List bullet open"/>
    <w:basedOn w:val="Normal"/>
    <w:rsid w:val="002831AB"/>
    <w:pPr>
      <w:widowControl w:val="0"/>
      <w:tabs>
        <w:tab w:val="num" w:pos="1440"/>
      </w:tabs>
      <w:autoSpaceDE w:val="0"/>
      <w:autoSpaceDN w:val="0"/>
      <w:adjustRightInd w:val="0"/>
      <w:spacing w:after="240"/>
      <w:ind w:left="1440" w:hanging="360"/>
      <w:jc w:val="both"/>
    </w:pPr>
    <w:rPr>
      <w:rFonts w:ascii="Times New Roman" w:hAnsi="Times New Roman"/>
      <w:sz w:val="19"/>
      <w:szCs w:val="19"/>
      <w:lang w:val="en-US" w:eastAsia="es-AR"/>
    </w:rPr>
  </w:style>
  <w:style w:type="paragraph" w:customStyle="1" w:styleId="hollowbullet2">
    <w:name w:val="hollow bullet 2"/>
    <w:basedOn w:val="Normal"/>
    <w:rsid w:val="002831AB"/>
    <w:pPr>
      <w:widowControl w:val="0"/>
      <w:tabs>
        <w:tab w:val="num" w:pos="1800"/>
      </w:tabs>
      <w:autoSpaceDE w:val="0"/>
      <w:autoSpaceDN w:val="0"/>
      <w:adjustRightInd w:val="0"/>
      <w:spacing w:after="240"/>
      <w:ind w:left="1800" w:hanging="360"/>
    </w:pPr>
    <w:rPr>
      <w:rFonts w:ascii="Times New Roman" w:hAnsi="Times New Roman"/>
      <w:sz w:val="19"/>
      <w:szCs w:val="19"/>
      <w:lang w:val="en-US" w:eastAsia="es-AR"/>
    </w:rPr>
  </w:style>
  <w:style w:type="paragraph" w:customStyle="1" w:styleId="3leftindent">
    <w:name w:val=".3 left indent"/>
    <w:basedOn w:val="Normal"/>
    <w:rsid w:val="002831AB"/>
    <w:pPr>
      <w:widowControl w:val="0"/>
      <w:autoSpaceDE w:val="0"/>
      <w:autoSpaceDN w:val="0"/>
      <w:adjustRightInd w:val="0"/>
      <w:spacing w:after="240"/>
      <w:ind w:left="432" w:firstLine="720"/>
      <w:jc w:val="both"/>
    </w:pPr>
    <w:rPr>
      <w:rFonts w:ascii="Times New Roman" w:hAnsi="Times New Roman"/>
      <w:color w:val="000000"/>
      <w:sz w:val="19"/>
      <w:szCs w:val="19"/>
      <w:lang w:val="en-US" w:eastAsia="es-AR"/>
    </w:rPr>
  </w:style>
  <w:style w:type="character" w:customStyle="1" w:styleId="TABLEINDENT0">
    <w:name w:val="TABLE_INDENT"/>
    <w:rsid w:val="002831AB"/>
    <w:rPr>
      <w:rFonts w:ascii="Times New Roman" w:hAnsi="Times New Roman"/>
      <w:spacing w:val="0"/>
      <w:sz w:val="20"/>
      <w:lang w:val="en-US" w:eastAsia="x-none"/>
    </w:rPr>
  </w:style>
  <w:style w:type="character" w:customStyle="1" w:styleId="table8p">
    <w:name w:val="table8p"/>
    <w:rsid w:val="002831AB"/>
    <w:rPr>
      <w:rFonts w:ascii="Times New Roman" w:hAnsi="Times New Roman"/>
      <w:spacing w:val="0"/>
      <w:sz w:val="16"/>
      <w:lang w:val="en-US" w:eastAsia="x-none"/>
    </w:rPr>
  </w:style>
  <w:style w:type="paragraph" w:customStyle="1" w:styleId="xl48">
    <w:name w:val="xl48"/>
    <w:basedOn w:val="Normal"/>
    <w:rsid w:val="002831AB"/>
    <w:pPr>
      <w:widowControl w:val="0"/>
      <w:shd w:val="clear" w:color="auto" w:fill="FFFF00"/>
      <w:autoSpaceDE w:val="0"/>
      <w:autoSpaceDN w:val="0"/>
      <w:adjustRightInd w:val="0"/>
      <w:spacing w:before="100" w:beforeAutospacing="1" w:after="100" w:afterAutospacing="1"/>
    </w:pPr>
    <w:rPr>
      <w:rFonts w:ascii="Arial Unicode MS" w:eastAsia="Arial Unicode MS" w:hAnsi="Times New Roman" w:cs="Arial Unicode MS"/>
      <w:sz w:val="16"/>
      <w:szCs w:val="16"/>
      <w:lang w:val="en-US" w:eastAsia="es-AR"/>
    </w:rPr>
  </w:style>
  <w:style w:type="paragraph" w:customStyle="1" w:styleId="xl49">
    <w:name w:val="xl49"/>
    <w:basedOn w:val="Normal"/>
    <w:rsid w:val="002831AB"/>
    <w:pPr>
      <w:widowControl w:val="0"/>
      <w:pBdr>
        <w:top w:val="single" w:sz="4" w:space="0" w:color="000000"/>
        <w:bottom w:val="single" w:sz="4" w:space="0" w:color="000000"/>
      </w:pBdr>
      <w:autoSpaceDE w:val="0"/>
      <w:autoSpaceDN w:val="0"/>
      <w:adjustRightInd w:val="0"/>
      <w:spacing w:before="100" w:beforeAutospacing="1" w:after="100" w:afterAutospacing="1"/>
      <w:jc w:val="center"/>
    </w:pPr>
    <w:rPr>
      <w:rFonts w:ascii="Arial Unicode MS" w:eastAsia="Arial Unicode MS" w:hAnsi="Times New Roman" w:cs="Arial Unicode MS"/>
      <w:sz w:val="16"/>
      <w:szCs w:val="16"/>
      <w:lang w:val="en-US" w:eastAsia="es-AR"/>
    </w:rPr>
  </w:style>
  <w:style w:type="character" w:customStyle="1" w:styleId="table8">
    <w:name w:val="table8"/>
    <w:rsid w:val="002831AB"/>
    <w:rPr>
      <w:rFonts w:ascii="Times New Roman" w:hAnsi="Times New Roman"/>
      <w:color w:val="000000"/>
      <w:spacing w:val="0"/>
      <w:sz w:val="16"/>
      <w:u w:val="none"/>
      <w:lang w:val="en-US" w:eastAsia="x-none"/>
    </w:rPr>
  </w:style>
  <w:style w:type="paragraph" w:customStyle="1" w:styleId="FooterLandscape0">
    <w:name w:val="Footer Landscape*"/>
    <w:basedOn w:val="Normal"/>
    <w:rsid w:val="002831AB"/>
    <w:pPr>
      <w:widowControl w:val="0"/>
      <w:tabs>
        <w:tab w:val="left" w:pos="0"/>
        <w:tab w:val="center" w:pos="7389"/>
        <w:tab w:val="right" w:pos="14773"/>
      </w:tabs>
      <w:autoSpaceDE w:val="0"/>
      <w:autoSpaceDN w:val="0"/>
      <w:adjustRightInd w:val="0"/>
    </w:pPr>
    <w:rPr>
      <w:rFonts w:ascii="Times New Roman" w:hAnsi="Times New Roman"/>
      <w:sz w:val="19"/>
      <w:szCs w:val="19"/>
      <w:lang w:val="en-US" w:eastAsia="es-AR"/>
    </w:rPr>
  </w:style>
  <w:style w:type="paragraph" w:customStyle="1" w:styleId="i">
    <w:name w:val="(i)"/>
    <w:basedOn w:val="Normal"/>
    <w:rsid w:val="002831AB"/>
    <w:pPr>
      <w:widowControl w:val="0"/>
      <w:tabs>
        <w:tab w:val="num" w:pos="1429"/>
      </w:tabs>
      <w:autoSpaceDE w:val="0"/>
      <w:autoSpaceDN w:val="0"/>
      <w:adjustRightInd w:val="0"/>
      <w:ind w:left="1429" w:hanging="720"/>
      <w:jc w:val="both"/>
    </w:pPr>
    <w:rPr>
      <w:rFonts w:ascii="Times New Roman" w:hAnsi="Times New Roman"/>
      <w:color w:val="000000"/>
      <w:sz w:val="19"/>
      <w:szCs w:val="19"/>
      <w:lang w:val="en-US" w:eastAsia="es-AR"/>
    </w:rPr>
  </w:style>
  <w:style w:type="paragraph" w:customStyle="1" w:styleId="Sangrnormal">
    <w:name w:val="Sangr僘 normal"/>
    <w:basedOn w:val="Normal"/>
    <w:rsid w:val="002831AB"/>
    <w:pPr>
      <w:widowControl w:val="0"/>
      <w:autoSpaceDE w:val="0"/>
      <w:autoSpaceDN w:val="0"/>
      <w:adjustRightInd w:val="0"/>
      <w:spacing w:after="240" w:line="-240" w:lineRule="auto"/>
      <w:ind w:left="720" w:firstLine="1440"/>
    </w:pPr>
    <w:rPr>
      <w:rFonts w:ascii="Times New Roman" w:hAnsi="Times New Roman"/>
      <w:lang w:val="en-US" w:eastAsia="es-AR"/>
    </w:rPr>
  </w:style>
  <w:style w:type="paragraph" w:customStyle="1" w:styleId="Tabledot">
    <w:name w:val="Table dot"/>
    <w:basedOn w:val="Normal"/>
    <w:rsid w:val="002831AB"/>
    <w:pPr>
      <w:keepNext/>
      <w:widowControl w:val="0"/>
      <w:tabs>
        <w:tab w:val="left" w:leader="dot" w:pos="4073"/>
      </w:tabs>
      <w:autoSpaceDE w:val="0"/>
      <w:autoSpaceDN w:val="0"/>
      <w:adjustRightInd w:val="0"/>
    </w:pPr>
    <w:rPr>
      <w:rFonts w:ascii="Times New Roman" w:hAnsi="Times New Roman"/>
      <w:lang w:val="en-US" w:eastAsia="es-AR"/>
    </w:rPr>
  </w:style>
  <w:style w:type="character" w:customStyle="1" w:styleId="Table75pt">
    <w:name w:val="Table 7.5pt"/>
    <w:rsid w:val="002831AB"/>
    <w:rPr>
      <w:rFonts w:ascii="Times New Roman" w:hAnsi="Times New Roman"/>
      <w:spacing w:val="0"/>
      <w:sz w:val="15"/>
      <w:lang w:val="en-US" w:eastAsia="x-none"/>
    </w:rPr>
  </w:style>
  <w:style w:type="paragraph" w:customStyle="1" w:styleId="CG-Title-Center-Bold">
    <w:name w:val="CG-Title-Center-Bold"/>
    <w:aliases w:val="t1"/>
    <w:basedOn w:val="Normal"/>
    <w:next w:val="Normal"/>
    <w:rsid w:val="002831AB"/>
    <w:pPr>
      <w:keepNext/>
      <w:widowControl w:val="0"/>
      <w:autoSpaceDE w:val="0"/>
      <w:autoSpaceDN w:val="0"/>
      <w:adjustRightInd w:val="0"/>
      <w:spacing w:after="240"/>
      <w:jc w:val="center"/>
    </w:pPr>
    <w:rPr>
      <w:rFonts w:ascii="Times New Roman" w:hAnsi="Times New Roman"/>
      <w:b/>
      <w:bCs/>
      <w:lang w:val="en-US" w:eastAsia="es-AR"/>
    </w:rPr>
  </w:style>
  <w:style w:type="paragraph" w:customStyle="1" w:styleId="justifiedtext">
    <w:name w:val="justified text"/>
    <w:basedOn w:val="Saludo"/>
    <w:rsid w:val="002831AB"/>
    <w:pPr>
      <w:widowControl w:val="0"/>
      <w:tabs>
        <w:tab w:val="right" w:pos="10800"/>
      </w:tabs>
      <w:autoSpaceDE w:val="0"/>
      <w:autoSpaceDN w:val="0"/>
      <w:adjustRightInd w:val="0"/>
    </w:pPr>
    <w:rPr>
      <w:b/>
      <w:bCs/>
      <w:sz w:val="18"/>
      <w:szCs w:val="18"/>
    </w:rPr>
  </w:style>
  <w:style w:type="paragraph" w:customStyle="1" w:styleId="Dec4">
    <w:name w:val="Dec 4"/>
    <w:basedOn w:val="Normal"/>
    <w:rsid w:val="002831AB"/>
    <w:pPr>
      <w:widowControl w:val="0"/>
      <w:tabs>
        <w:tab w:val="right" w:leader="dot" w:pos="5310"/>
      </w:tabs>
      <w:autoSpaceDE w:val="0"/>
      <w:autoSpaceDN w:val="0"/>
      <w:adjustRightInd w:val="0"/>
    </w:pPr>
    <w:rPr>
      <w:rFonts w:ascii="Times New Roman" w:hAnsi="Times New Roman"/>
      <w:lang w:val="en-US" w:eastAsia="es-AR"/>
    </w:rPr>
  </w:style>
  <w:style w:type="character" w:customStyle="1" w:styleId="iManageFooter">
    <w:name w:val="iManage Footer"/>
    <w:rsid w:val="002831AB"/>
    <w:rPr>
      <w:rFonts w:ascii="Times New Roman" w:hAnsi="Times New Roman"/>
      <w:noProof/>
      <w:spacing w:val="0"/>
      <w:sz w:val="16"/>
    </w:rPr>
  </w:style>
  <w:style w:type="paragraph" w:customStyle="1" w:styleId="CG-Bullet">
    <w:name w:val="CG-Bullet"/>
    <w:aliases w:val="b1"/>
    <w:basedOn w:val="Normal"/>
    <w:autoRedefine/>
    <w:rsid w:val="002831AB"/>
    <w:pPr>
      <w:widowControl w:val="0"/>
      <w:autoSpaceDE w:val="0"/>
      <w:autoSpaceDN w:val="0"/>
      <w:adjustRightInd w:val="0"/>
      <w:spacing w:after="240"/>
    </w:pPr>
    <w:rPr>
      <w:rFonts w:ascii="Times New Roman" w:hAnsi="Times New Roman"/>
      <w:lang w:val="en-US" w:eastAsia="es-AR"/>
    </w:rPr>
  </w:style>
  <w:style w:type="paragraph" w:customStyle="1" w:styleId="CG-DblInd05">
    <w:name w:val="CG-Dbl Ind 0.5"/>
    <w:aliases w:val="i4"/>
    <w:basedOn w:val="Normal"/>
    <w:rsid w:val="002831AB"/>
    <w:pPr>
      <w:widowControl w:val="0"/>
      <w:autoSpaceDE w:val="0"/>
      <w:autoSpaceDN w:val="0"/>
      <w:adjustRightInd w:val="0"/>
      <w:spacing w:after="240"/>
      <w:ind w:left="720" w:right="720"/>
    </w:pPr>
    <w:rPr>
      <w:rFonts w:ascii="Times New Roman" w:hAnsi="Times New Roman"/>
      <w:lang w:val="en-US" w:eastAsia="es-AR"/>
    </w:rPr>
  </w:style>
  <w:style w:type="paragraph" w:customStyle="1" w:styleId="CG-DblSp">
    <w:name w:val="CG-Dbl Sp"/>
    <w:aliases w:val="d1"/>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CG-DblSp05">
    <w:name w:val="CG-Dbl Sp 0.5"/>
    <w:aliases w:val="d2"/>
    <w:basedOn w:val="Normal"/>
    <w:rsid w:val="002831AB"/>
    <w:pPr>
      <w:widowControl w:val="0"/>
      <w:autoSpaceDE w:val="0"/>
      <w:autoSpaceDN w:val="0"/>
      <w:adjustRightInd w:val="0"/>
      <w:spacing w:line="480" w:lineRule="auto"/>
      <w:ind w:firstLine="720"/>
    </w:pPr>
    <w:rPr>
      <w:rFonts w:ascii="Times New Roman" w:hAnsi="Times New Roman"/>
      <w:lang w:val="en-US" w:eastAsia="es-AR"/>
    </w:rPr>
  </w:style>
  <w:style w:type="paragraph" w:customStyle="1" w:styleId="CG-DblSp1">
    <w:name w:val="CG-Dbl Sp 1"/>
    <w:aliases w:val="d3"/>
    <w:basedOn w:val="Normal"/>
    <w:rsid w:val="002831AB"/>
    <w:pPr>
      <w:widowControl w:val="0"/>
      <w:autoSpaceDE w:val="0"/>
      <w:autoSpaceDN w:val="0"/>
      <w:adjustRightInd w:val="0"/>
      <w:spacing w:line="480" w:lineRule="auto"/>
      <w:ind w:firstLine="1440"/>
    </w:pPr>
    <w:rPr>
      <w:rFonts w:ascii="Times New Roman" w:hAnsi="Times New Roman"/>
      <w:lang w:val="en-US" w:eastAsia="es-AR"/>
    </w:rPr>
  </w:style>
  <w:style w:type="paragraph" w:customStyle="1" w:styleId="CG-LeftInd05FL05">
    <w:name w:val="CG-Left Ind 0.5 FL 0.5"/>
    <w:aliases w:val="i2"/>
    <w:basedOn w:val="Normal"/>
    <w:rsid w:val="002831AB"/>
    <w:pPr>
      <w:widowControl w:val="0"/>
      <w:autoSpaceDE w:val="0"/>
      <w:autoSpaceDN w:val="0"/>
      <w:adjustRightInd w:val="0"/>
      <w:spacing w:after="240"/>
      <w:ind w:left="720" w:firstLine="720"/>
    </w:pPr>
    <w:rPr>
      <w:rFonts w:ascii="Times New Roman" w:hAnsi="Times New Roman"/>
      <w:lang w:val="en-US" w:eastAsia="es-AR"/>
    </w:rPr>
  </w:style>
  <w:style w:type="paragraph" w:customStyle="1" w:styleId="CG-LeftInd1">
    <w:name w:val="CG-Left Ind 1"/>
    <w:aliases w:val="i3"/>
    <w:basedOn w:val="Normal"/>
    <w:rsid w:val="002831AB"/>
    <w:pPr>
      <w:widowControl w:val="0"/>
      <w:autoSpaceDE w:val="0"/>
      <w:autoSpaceDN w:val="0"/>
      <w:adjustRightInd w:val="0"/>
      <w:spacing w:after="240"/>
      <w:ind w:left="1440" w:hanging="720"/>
    </w:pPr>
    <w:rPr>
      <w:rFonts w:ascii="Times New Roman" w:hAnsi="Times New Roman"/>
      <w:lang w:val="en-US" w:eastAsia="es-AR"/>
    </w:rPr>
  </w:style>
  <w:style w:type="paragraph" w:customStyle="1" w:styleId="CG-NumberA">
    <w:name w:val="CG-Number A"/>
    <w:aliases w:val="n1,Num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CG-Numberl">
    <w:name w:val="CG-Number l"/>
    <w:aliases w:val="n4,Num4"/>
    <w:basedOn w:val="Normal"/>
    <w:rsid w:val="002831AB"/>
    <w:pPr>
      <w:widowControl w:val="0"/>
      <w:autoSpaceDE w:val="0"/>
      <w:autoSpaceDN w:val="0"/>
      <w:adjustRightInd w:val="0"/>
      <w:ind w:left="1440" w:hanging="720"/>
    </w:pPr>
    <w:rPr>
      <w:rFonts w:ascii="Times New Roman" w:hAnsi="Times New Roman"/>
      <w:lang w:val="en-US" w:eastAsia="es-AR"/>
    </w:rPr>
  </w:style>
  <w:style w:type="paragraph" w:customStyle="1" w:styleId="CG-NumberL0">
    <w:name w:val="CG-Number L"/>
    <w:aliases w:val="n2,Num2"/>
    <w:basedOn w:val="Normal"/>
    <w:rsid w:val="002831AB"/>
    <w:pPr>
      <w:widowControl w:val="0"/>
      <w:autoSpaceDE w:val="0"/>
      <w:autoSpaceDN w:val="0"/>
      <w:adjustRightInd w:val="0"/>
      <w:ind w:left="1440" w:hanging="720"/>
    </w:pPr>
    <w:rPr>
      <w:rFonts w:ascii="Times New Roman" w:hAnsi="Times New Roman"/>
      <w:lang w:val="en-US" w:eastAsia="es-AR"/>
    </w:rPr>
  </w:style>
  <w:style w:type="paragraph" w:customStyle="1" w:styleId="CG-Numberr">
    <w:name w:val="CG-Number r"/>
    <w:aliases w:val="n5,num5"/>
    <w:basedOn w:val="Normal"/>
    <w:rsid w:val="002831AB"/>
    <w:pPr>
      <w:widowControl w:val="0"/>
      <w:autoSpaceDE w:val="0"/>
      <w:autoSpaceDN w:val="0"/>
      <w:adjustRightInd w:val="0"/>
      <w:ind w:hanging="720"/>
    </w:pPr>
    <w:rPr>
      <w:rFonts w:ascii="Times New Roman" w:hAnsi="Times New Roman"/>
      <w:lang w:val="en-US" w:eastAsia="es-AR"/>
    </w:rPr>
  </w:style>
  <w:style w:type="paragraph" w:customStyle="1" w:styleId="CG-NumberR0">
    <w:name w:val="CG-Number R"/>
    <w:aliases w:val="n3,Num3"/>
    <w:basedOn w:val="Normal"/>
    <w:rsid w:val="002831AB"/>
    <w:pPr>
      <w:widowControl w:val="0"/>
      <w:autoSpaceDE w:val="0"/>
      <w:autoSpaceDN w:val="0"/>
      <w:adjustRightInd w:val="0"/>
      <w:ind w:left="1440"/>
    </w:pPr>
    <w:rPr>
      <w:rFonts w:ascii="Times New Roman" w:hAnsi="Times New Roman"/>
      <w:lang w:val="en-US" w:eastAsia="es-AR"/>
    </w:rPr>
  </w:style>
  <w:style w:type="paragraph" w:customStyle="1" w:styleId="CG-OneandOne-Half1">
    <w:name w:val="CG-One and One-Half 1"/>
    <w:aliases w:val="o1"/>
    <w:basedOn w:val="Normal"/>
    <w:rsid w:val="002831AB"/>
    <w:pPr>
      <w:widowControl w:val="0"/>
      <w:autoSpaceDE w:val="0"/>
      <w:autoSpaceDN w:val="0"/>
      <w:adjustRightInd w:val="0"/>
      <w:spacing w:after="120" w:line="360" w:lineRule="auto"/>
      <w:ind w:firstLine="1440"/>
    </w:pPr>
    <w:rPr>
      <w:rFonts w:ascii="Times New Roman" w:hAnsi="Times New Roman"/>
      <w:lang w:val="en-US" w:eastAsia="es-AR"/>
    </w:rPr>
  </w:style>
  <w:style w:type="paragraph" w:customStyle="1" w:styleId="CG-Sig">
    <w:name w:val="CG-Sig"/>
    <w:aliases w:val="sg1"/>
    <w:basedOn w:val="Normal"/>
    <w:rsid w:val="002831AB"/>
    <w:pPr>
      <w:keepLines/>
      <w:widowControl w:val="0"/>
      <w:tabs>
        <w:tab w:val="left" w:pos="5400"/>
        <w:tab w:val="left" w:pos="8640"/>
      </w:tabs>
      <w:autoSpaceDE w:val="0"/>
      <w:autoSpaceDN w:val="0"/>
      <w:adjustRightInd w:val="0"/>
      <w:spacing w:after="480"/>
      <w:ind w:left="5400" w:hanging="360"/>
    </w:pPr>
    <w:rPr>
      <w:rFonts w:ascii="Times New Roman" w:hAnsi="Times New Roman"/>
      <w:lang w:val="en-US" w:eastAsia="es-AR"/>
    </w:rPr>
  </w:style>
  <w:style w:type="paragraph" w:customStyle="1" w:styleId="CG-SigLeft">
    <w:name w:val="CG-Sig Left"/>
    <w:aliases w:val="sg3"/>
    <w:basedOn w:val="Normal"/>
    <w:rsid w:val="002831AB"/>
    <w:pPr>
      <w:keepLines/>
      <w:widowControl w:val="0"/>
      <w:tabs>
        <w:tab w:val="left" w:pos="360"/>
        <w:tab w:val="left" w:pos="4050"/>
      </w:tabs>
      <w:autoSpaceDE w:val="0"/>
      <w:autoSpaceDN w:val="0"/>
      <w:adjustRightInd w:val="0"/>
      <w:spacing w:after="480"/>
      <w:ind w:left="360" w:hanging="360"/>
    </w:pPr>
    <w:rPr>
      <w:rFonts w:ascii="Times New Roman" w:hAnsi="Times New Roman"/>
      <w:lang w:val="en-US" w:eastAsia="es-AR"/>
    </w:rPr>
  </w:style>
  <w:style w:type="paragraph" w:customStyle="1" w:styleId="CG-SigLtr">
    <w:name w:val="CG-Sig Ltr"/>
    <w:aliases w:val="sg2"/>
    <w:basedOn w:val="Normal"/>
    <w:rsid w:val="002831AB"/>
    <w:pPr>
      <w:keepNext/>
      <w:widowControl w:val="0"/>
      <w:autoSpaceDE w:val="0"/>
      <w:autoSpaceDN w:val="0"/>
      <w:adjustRightInd w:val="0"/>
      <w:spacing w:after="720"/>
      <w:ind w:left="5040"/>
    </w:pPr>
    <w:rPr>
      <w:rFonts w:ascii="Times New Roman" w:hAnsi="Times New Roman"/>
      <w:lang w:val="en-US" w:eastAsia="es-AR"/>
    </w:rPr>
  </w:style>
  <w:style w:type="paragraph" w:customStyle="1" w:styleId="CG-SingleSp1">
    <w:name w:val="CG-Single Sp 1"/>
    <w:aliases w:val="s3"/>
    <w:basedOn w:val="Normal"/>
    <w:rsid w:val="002831AB"/>
    <w:pPr>
      <w:widowControl w:val="0"/>
      <w:autoSpaceDE w:val="0"/>
      <w:autoSpaceDN w:val="0"/>
      <w:adjustRightInd w:val="0"/>
      <w:spacing w:after="240"/>
      <w:ind w:firstLine="1440"/>
    </w:pPr>
    <w:rPr>
      <w:rFonts w:ascii="Times New Roman" w:hAnsi="Times New Roman"/>
      <w:lang w:val="en-US" w:eastAsia="es-AR"/>
    </w:rPr>
  </w:style>
  <w:style w:type="paragraph" w:customStyle="1" w:styleId="CG-Title-Center-Underscore">
    <w:name w:val="CG-Title-Center-Underscore"/>
    <w:aliases w:val="t2"/>
    <w:basedOn w:val="Normal"/>
    <w:next w:val="CG-SingleSp1"/>
    <w:rsid w:val="002831AB"/>
    <w:pPr>
      <w:keepNext/>
      <w:widowControl w:val="0"/>
      <w:autoSpaceDE w:val="0"/>
      <w:autoSpaceDN w:val="0"/>
      <w:adjustRightInd w:val="0"/>
      <w:spacing w:after="240"/>
      <w:jc w:val="center"/>
    </w:pPr>
    <w:rPr>
      <w:rFonts w:ascii="Times New Roman" w:hAnsi="Times New Roman"/>
      <w:u w:val="single"/>
      <w:lang w:val="en-US" w:eastAsia="es-AR"/>
    </w:rPr>
  </w:style>
  <w:style w:type="paragraph" w:customStyle="1" w:styleId="CG-Title-Left-Italic">
    <w:name w:val="CG-Title-Left-Italic"/>
    <w:aliases w:val="t6,t8"/>
    <w:basedOn w:val="Normal"/>
    <w:next w:val="Normal"/>
    <w:rsid w:val="002831AB"/>
    <w:pPr>
      <w:keepNext/>
      <w:widowControl w:val="0"/>
      <w:autoSpaceDE w:val="0"/>
      <w:autoSpaceDN w:val="0"/>
      <w:adjustRightInd w:val="0"/>
      <w:spacing w:after="240"/>
      <w:ind w:left="720"/>
    </w:pPr>
    <w:rPr>
      <w:rFonts w:ascii="Times New Roman" w:hAnsi="Times New Roman"/>
      <w:i/>
      <w:iCs/>
      <w:lang w:val="en-US" w:eastAsia="es-AR"/>
    </w:rPr>
  </w:style>
  <w:style w:type="paragraph" w:customStyle="1" w:styleId="CG-Title-LeftInd-Italic">
    <w:name w:val="CG-Title-Left Ind-Italic"/>
    <w:aliases w:val="t7"/>
    <w:basedOn w:val="Normal"/>
    <w:next w:val="Normal"/>
    <w:rsid w:val="002831AB"/>
    <w:pPr>
      <w:keepNext/>
      <w:widowControl w:val="0"/>
      <w:autoSpaceDE w:val="0"/>
      <w:autoSpaceDN w:val="0"/>
      <w:adjustRightInd w:val="0"/>
      <w:spacing w:after="240"/>
      <w:ind w:firstLine="720"/>
    </w:pPr>
    <w:rPr>
      <w:rFonts w:ascii="Times New Roman" w:hAnsi="Times New Roman"/>
      <w:b/>
      <w:bCs/>
      <w:i/>
      <w:iCs/>
      <w:lang w:val="en-US" w:eastAsia="es-AR"/>
    </w:rPr>
  </w:style>
  <w:style w:type="paragraph" w:customStyle="1" w:styleId="CG-Title-Left-Underscore">
    <w:name w:val="CG-Title-Left-Underscore"/>
    <w:aliases w:val="t4"/>
    <w:basedOn w:val="Normal"/>
    <w:next w:val="CG-SingleSp1"/>
    <w:rsid w:val="002831AB"/>
    <w:pPr>
      <w:keepNext/>
      <w:widowControl w:val="0"/>
      <w:autoSpaceDE w:val="0"/>
      <w:autoSpaceDN w:val="0"/>
      <w:adjustRightInd w:val="0"/>
      <w:spacing w:after="240"/>
    </w:pPr>
    <w:rPr>
      <w:rFonts w:ascii="Times New Roman" w:hAnsi="Times New Roman"/>
      <w:u w:val="single"/>
      <w:lang w:val="en-US" w:eastAsia="es-AR"/>
    </w:rPr>
  </w:style>
  <w:style w:type="character" w:customStyle="1" w:styleId="FooterRightSideText">
    <w:name w:val="FooterRightSideText"/>
    <w:rsid w:val="002831AB"/>
    <w:rPr>
      <w:rFonts w:ascii="Times New Roman" w:hAnsi="Times New Roman"/>
      <w:spacing w:val="0"/>
      <w:sz w:val="20"/>
      <w:lang w:val="en-US" w:eastAsia="x-none"/>
    </w:rPr>
  </w:style>
  <w:style w:type="paragraph" w:customStyle="1" w:styleId="ListBulletOpenIndent">
    <w:name w:val="List Bullet Open Indent"/>
    <w:basedOn w:val="Normal"/>
    <w:rsid w:val="002831AB"/>
    <w:pPr>
      <w:widowControl w:val="0"/>
      <w:tabs>
        <w:tab w:val="num" w:pos="1080"/>
      </w:tabs>
      <w:autoSpaceDE w:val="0"/>
      <w:autoSpaceDN w:val="0"/>
      <w:adjustRightInd w:val="0"/>
      <w:spacing w:after="240"/>
      <w:ind w:left="1080" w:hanging="360"/>
      <w:jc w:val="both"/>
    </w:pPr>
    <w:rPr>
      <w:rFonts w:ascii="Times New Roman" w:hAnsi="Times New Roman"/>
      <w:lang w:val="en-US" w:eastAsia="es-AR"/>
    </w:rPr>
  </w:style>
  <w:style w:type="paragraph" w:customStyle="1" w:styleId="TableBullet1">
    <w:name w:val="Table Bullet 1"/>
    <w:basedOn w:val="Normal"/>
    <w:rsid w:val="002831AB"/>
    <w:pPr>
      <w:widowControl w:val="0"/>
      <w:autoSpaceDE w:val="0"/>
      <w:autoSpaceDN w:val="0"/>
      <w:adjustRightInd w:val="0"/>
      <w:spacing w:after="60"/>
    </w:pPr>
    <w:rPr>
      <w:rFonts w:ascii="Times New Roman" w:hAnsi="Times New Roman"/>
      <w:lang w:val="en-US" w:eastAsia="es-AR"/>
    </w:rPr>
  </w:style>
  <w:style w:type="paragraph" w:customStyle="1" w:styleId="LeftHeadItal">
    <w:name w:val="Left Head Ital"/>
    <w:rsid w:val="002831AB"/>
    <w:pPr>
      <w:keepNext/>
      <w:widowControl w:val="0"/>
      <w:autoSpaceDE w:val="0"/>
      <w:autoSpaceDN w:val="0"/>
      <w:adjustRightInd w:val="0"/>
      <w:spacing w:after="240"/>
    </w:pPr>
    <w:rPr>
      <w:rFonts w:ascii="Times New Roman" w:hAnsi="Times New Roman"/>
      <w:b/>
      <w:bCs/>
      <w:i/>
      <w:iCs/>
      <w:lang w:val="en-US"/>
    </w:rPr>
  </w:style>
  <w:style w:type="paragraph" w:customStyle="1" w:styleId="SingleSpace">
    <w:name w:val="Single Space"/>
    <w:basedOn w:val="Normal"/>
    <w:rsid w:val="002831AB"/>
    <w:pPr>
      <w:widowControl w:val="0"/>
      <w:autoSpaceDE w:val="0"/>
      <w:autoSpaceDN w:val="0"/>
      <w:adjustRightInd w:val="0"/>
      <w:spacing w:after="240"/>
      <w:ind w:firstLine="1440"/>
      <w:jc w:val="both"/>
    </w:pPr>
    <w:rPr>
      <w:rFonts w:ascii="Times New Roman" w:hAnsi="Times New Roman"/>
      <w:lang w:val="en-US" w:eastAsia="es-AR"/>
    </w:rPr>
  </w:style>
  <w:style w:type="paragraph" w:customStyle="1" w:styleId="Hanging1">
    <w:name w:val="Hanging 1"/>
    <w:basedOn w:val="CG-LeftInd1"/>
    <w:rsid w:val="002831AB"/>
    <w:pPr>
      <w:ind w:left="2160"/>
    </w:pPr>
  </w:style>
  <w:style w:type="paragraph" w:customStyle="1" w:styleId="Bullet15">
    <w:name w:val="Bullet 1.5"/>
    <w:aliases w:val="b15"/>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5bullet">
    <w:name w:val=".5&quot; bullet"/>
    <w:basedOn w:val="Normal"/>
    <w:rsid w:val="002831AB"/>
    <w:pPr>
      <w:widowControl w:val="0"/>
      <w:autoSpaceDE w:val="0"/>
      <w:autoSpaceDN w:val="0"/>
      <w:adjustRightInd w:val="0"/>
    </w:pPr>
    <w:rPr>
      <w:rFonts w:ascii="Times New Roman" w:hAnsi="Times New Roman"/>
      <w:lang w:val="en-US" w:eastAsia="es-AR"/>
    </w:rPr>
  </w:style>
  <w:style w:type="paragraph" w:customStyle="1" w:styleId="05bullet">
    <w:name w:val="0.5&quot; bullet"/>
    <w:basedOn w:val="Normal"/>
    <w:rsid w:val="002831AB"/>
    <w:pPr>
      <w:widowControl w:val="0"/>
      <w:autoSpaceDE w:val="0"/>
      <w:autoSpaceDN w:val="0"/>
      <w:adjustRightInd w:val="0"/>
    </w:pPr>
    <w:rPr>
      <w:rFonts w:ascii="Times New Roman" w:hAnsi="Times New Roman"/>
      <w:lang w:val="en-US" w:eastAsia="es-AR"/>
    </w:rPr>
  </w:style>
  <w:style w:type="paragraph" w:customStyle="1" w:styleId="STBBulletDash">
    <w:name w:val="STB Bullet Dash"/>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HeaderLandscape">
    <w:name w:val="Header Landscape*"/>
    <w:basedOn w:val="Normal"/>
    <w:rsid w:val="002831AB"/>
    <w:pPr>
      <w:widowControl w:val="0"/>
      <w:tabs>
        <w:tab w:val="left" w:pos="0"/>
        <w:tab w:val="center" w:pos="7344"/>
        <w:tab w:val="right" w:pos="14715"/>
      </w:tabs>
      <w:autoSpaceDE w:val="0"/>
      <w:autoSpaceDN w:val="0"/>
      <w:adjustRightInd w:val="0"/>
    </w:pPr>
    <w:rPr>
      <w:rFonts w:ascii="Times New Roman" w:hAnsi="Times New Roman"/>
      <w:lang w:val="en-US" w:eastAsia="es-AR"/>
    </w:rPr>
  </w:style>
  <w:style w:type="paragraph" w:customStyle="1" w:styleId="bullet50">
    <w:name w:val="bullet.5"/>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a0">
    <w:name w:val="(a)"/>
    <w:basedOn w:val="Normal"/>
    <w:rsid w:val="002831AB"/>
    <w:pPr>
      <w:widowControl w:val="0"/>
      <w:autoSpaceDE w:val="0"/>
      <w:autoSpaceDN w:val="0"/>
      <w:adjustRightInd w:val="0"/>
      <w:spacing w:after="240"/>
      <w:ind w:left="1440" w:hanging="720"/>
    </w:pPr>
    <w:rPr>
      <w:rFonts w:ascii="Times New Roman" w:hAnsi="Times New Roman"/>
      <w:i/>
      <w:iCs/>
      <w:lang w:val="en-US" w:eastAsia="es-AR"/>
    </w:rPr>
  </w:style>
  <w:style w:type="paragraph" w:customStyle="1" w:styleId="1stlineone">
    <w:name w:val="1st line one"/>
    <w:basedOn w:val="Normal"/>
    <w:rsid w:val="002831AB"/>
    <w:pPr>
      <w:widowControl w:val="0"/>
      <w:autoSpaceDE w:val="0"/>
      <w:autoSpaceDN w:val="0"/>
      <w:adjustRightInd w:val="0"/>
      <w:spacing w:after="240"/>
      <w:ind w:left="1440"/>
    </w:pPr>
    <w:rPr>
      <w:rFonts w:ascii="Times New Roman" w:hAnsi="Times New Roman"/>
      <w:u w:val="single"/>
      <w:lang w:val="en-US" w:eastAsia="es-AR"/>
    </w:rPr>
  </w:style>
  <w:style w:type="paragraph" w:customStyle="1" w:styleId="tt3">
    <w:name w:val="tt3"/>
    <w:basedOn w:val="CG-SingleSp052"/>
    <w:rsid w:val="002831AB"/>
  </w:style>
  <w:style w:type="paragraph" w:customStyle="1" w:styleId="CG-dot">
    <w:name w:val="CG-dot"/>
    <w:aliases w:val="dt"/>
    <w:basedOn w:val="Normal"/>
    <w:rsid w:val="002831AB"/>
    <w:pPr>
      <w:widowControl w:val="0"/>
      <w:autoSpaceDE w:val="0"/>
      <w:autoSpaceDN w:val="0"/>
      <w:adjustRightInd w:val="0"/>
      <w:spacing w:after="240"/>
      <w:ind w:left="1440" w:hanging="720"/>
    </w:pPr>
    <w:rPr>
      <w:rFonts w:ascii="Times New Roman" w:hAnsi="Times New Roman"/>
      <w:lang w:val="en-US" w:eastAsia="es-AR"/>
    </w:rPr>
  </w:style>
  <w:style w:type="paragraph" w:customStyle="1" w:styleId="Bullet3">
    <w:name w:val="Bullet 3"/>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Number3">
    <w:name w:val="Number 3"/>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TableHead9">
    <w:name w:val="Table Head9"/>
    <w:basedOn w:val="Normal"/>
    <w:rsid w:val="002831AB"/>
    <w:pPr>
      <w:widowControl w:val="0"/>
      <w:tabs>
        <w:tab w:val="right" w:leader="dot" w:pos="5310"/>
      </w:tabs>
      <w:autoSpaceDE w:val="0"/>
      <w:autoSpaceDN w:val="0"/>
      <w:adjustRightInd w:val="0"/>
      <w:jc w:val="center"/>
    </w:pPr>
    <w:rPr>
      <w:rFonts w:ascii="Times New Roman" w:hAnsi="Times New Roman"/>
      <w:b/>
      <w:bCs/>
      <w:sz w:val="18"/>
      <w:szCs w:val="18"/>
      <w:lang w:val="en-US" w:eastAsia="es-AR"/>
    </w:rPr>
  </w:style>
  <w:style w:type="paragraph" w:customStyle="1" w:styleId="Tablehead10">
    <w:name w:val="Table head 10"/>
    <w:basedOn w:val="Normal"/>
    <w:rsid w:val="002831AB"/>
    <w:pPr>
      <w:widowControl w:val="0"/>
      <w:tabs>
        <w:tab w:val="right" w:leader="dot" w:pos="5310"/>
      </w:tabs>
      <w:autoSpaceDE w:val="0"/>
      <w:autoSpaceDN w:val="0"/>
      <w:adjustRightInd w:val="0"/>
      <w:jc w:val="center"/>
    </w:pPr>
    <w:rPr>
      <w:rFonts w:ascii="Times New Roman" w:hAnsi="Times New Roman"/>
      <w:b/>
      <w:bCs/>
      <w:lang w:val="en-US" w:eastAsia="es-AR"/>
    </w:rPr>
  </w:style>
  <w:style w:type="paragraph" w:customStyle="1" w:styleId="Table4">
    <w:name w:val="Table 4"/>
    <w:basedOn w:val="Normal"/>
    <w:rsid w:val="002831AB"/>
    <w:pPr>
      <w:widowControl w:val="0"/>
      <w:tabs>
        <w:tab w:val="right" w:leader="dot" w:pos="5310"/>
      </w:tabs>
      <w:autoSpaceDE w:val="0"/>
      <w:autoSpaceDN w:val="0"/>
      <w:adjustRightInd w:val="0"/>
    </w:pPr>
    <w:rPr>
      <w:rFonts w:ascii="Times New Roman" w:hAnsi="Times New Roman"/>
      <w:sz w:val="8"/>
      <w:szCs w:val="8"/>
      <w:lang w:val="en-US" w:eastAsia="es-AR"/>
    </w:rPr>
  </w:style>
  <w:style w:type="paragraph" w:customStyle="1" w:styleId="lgdash-1">
    <w:name w:val="lgdash-1"/>
    <w:basedOn w:val="Normal"/>
    <w:rsid w:val="002831AB"/>
    <w:pPr>
      <w:widowControl w:val="0"/>
      <w:autoSpaceDE w:val="0"/>
      <w:autoSpaceDN w:val="0"/>
      <w:adjustRightInd w:val="0"/>
      <w:jc w:val="both"/>
    </w:pPr>
    <w:rPr>
      <w:rFonts w:ascii="Times New Roman" w:hAnsi="Times New Roman"/>
      <w:lang w:val="en-US" w:eastAsia="es-AR"/>
    </w:rPr>
  </w:style>
  <w:style w:type="paragraph" w:customStyle="1" w:styleId="Table8-8">
    <w:name w:val="Table 8-8"/>
    <w:basedOn w:val="Normal"/>
    <w:rsid w:val="002831AB"/>
    <w:pPr>
      <w:widowControl w:val="0"/>
      <w:tabs>
        <w:tab w:val="right" w:leader="dot" w:pos="5670"/>
      </w:tabs>
      <w:autoSpaceDE w:val="0"/>
      <w:autoSpaceDN w:val="0"/>
      <w:adjustRightInd w:val="0"/>
      <w:ind w:left="676"/>
    </w:pPr>
    <w:rPr>
      <w:rFonts w:ascii="Times New Roman" w:hAnsi="Times New Roman"/>
      <w:sz w:val="16"/>
      <w:szCs w:val="16"/>
      <w:lang w:val="en-US" w:eastAsia="es-AR"/>
    </w:rPr>
  </w:style>
  <w:style w:type="paragraph" w:customStyle="1" w:styleId="TextIndent2">
    <w:name w:val="Text Indent 2"/>
    <w:basedOn w:val="Normal"/>
    <w:rsid w:val="002831AB"/>
    <w:pPr>
      <w:widowControl w:val="0"/>
      <w:autoSpaceDE w:val="0"/>
      <w:autoSpaceDN w:val="0"/>
      <w:adjustRightInd w:val="0"/>
      <w:ind w:left="2088"/>
      <w:jc w:val="both"/>
    </w:pPr>
    <w:rPr>
      <w:rFonts w:ascii="Times New Roman" w:hAnsi="Times New Roman"/>
      <w:lang w:val="en-US" w:eastAsia="es-AR"/>
    </w:rPr>
  </w:style>
  <w:style w:type="paragraph" w:customStyle="1" w:styleId="lgdash2">
    <w:name w:val="lgdash2"/>
    <w:basedOn w:val="Normal"/>
    <w:rsid w:val="002831AB"/>
    <w:pPr>
      <w:widowControl w:val="0"/>
      <w:autoSpaceDE w:val="0"/>
      <w:autoSpaceDN w:val="0"/>
      <w:adjustRightInd w:val="0"/>
      <w:jc w:val="both"/>
    </w:pPr>
    <w:rPr>
      <w:rFonts w:ascii="Times New Roman" w:hAnsi="Times New Roman"/>
      <w:lang w:val="en-US" w:eastAsia="es-AR"/>
    </w:rPr>
  </w:style>
  <w:style w:type="paragraph" w:customStyle="1" w:styleId="Number2">
    <w:name w:val="Number 2"/>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dashpg8">
    <w:name w:val="dash pg8"/>
    <w:basedOn w:val="Normal"/>
    <w:rsid w:val="002831AB"/>
    <w:pPr>
      <w:widowControl w:val="0"/>
      <w:autoSpaceDE w:val="0"/>
      <w:autoSpaceDN w:val="0"/>
      <w:adjustRightInd w:val="0"/>
    </w:pPr>
    <w:rPr>
      <w:rFonts w:ascii="Times New Roman" w:hAnsi="Times New Roman"/>
      <w:lang w:val="en-US" w:eastAsia="es-AR"/>
    </w:rPr>
  </w:style>
  <w:style w:type="paragraph" w:customStyle="1" w:styleId="2ndLNp57">
    <w:name w:val="2nd LN p.57"/>
    <w:basedOn w:val="Normal"/>
    <w:rsid w:val="002831AB"/>
    <w:pPr>
      <w:widowControl w:val="0"/>
      <w:autoSpaceDE w:val="0"/>
      <w:autoSpaceDN w:val="0"/>
      <w:adjustRightInd w:val="0"/>
      <w:ind w:left="129"/>
    </w:pPr>
    <w:rPr>
      <w:rFonts w:ascii="Times New Roman" w:hAnsi="Times New Roman"/>
      <w:sz w:val="16"/>
      <w:szCs w:val="16"/>
      <w:lang w:val="en-US" w:eastAsia="es-AR"/>
    </w:rPr>
  </w:style>
  <w:style w:type="paragraph" w:customStyle="1" w:styleId="dash2ndline">
    <w:name w:val="dash 2nd line"/>
    <w:basedOn w:val="Normal"/>
    <w:rsid w:val="002831AB"/>
    <w:pPr>
      <w:widowControl w:val="0"/>
      <w:autoSpaceDE w:val="0"/>
      <w:autoSpaceDN w:val="0"/>
      <w:adjustRightInd w:val="0"/>
      <w:ind w:left="273"/>
    </w:pPr>
    <w:rPr>
      <w:rFonts w:ascii="Times New Roman" w:hAnsi="Times New Roman"/>
      <w:sz w:val="16"/>
      <w:szCs w:val="16"/>
      <w:lang w:val="en-US" w:eastAsia="es-AR"/>
    </w:rPr>
  </w:style>
  <w:style w:type="paragraph" w:customStyle="1" w:styleId="Pg57dash">
    <w:name w:val="Pg 57 dash"/>
    <w:basedOn w:val="Normal"/>
    <w:rsid w:val="002831AB"/>
    <w:pPr>
      <w:widowControl w:val="0"/>
      <w:autoSpaceDE w:val="0"/>
      <w:autoSpaceDN w:val="0"/>
      <w:adjustRightInd w:val="0"/>
    </w:pPr>
    <w:rPr>
      <w:rFonts w:ascii="Times New Roman" w:hAnsi="Times New Roman"/>
      <w:sz w:val="16"/>
      <w:szCs w:val="16"/>
      <w:lang w:val="en-US" w:eastAsia="es-AR"/>
    </w:rPr>
  </w:style>
  <w:style w:type="paragraph" w:customStyle="1" w:styleId="Page57TB9">
    <w:name w:val="Page 57 TB 9"/>
    <w:basedOn w:val="Normal"/>
    <w:rsid w:val="002831AB"/>
    <w:pPr>
      <w:widowControl w:val="0"/>
      <w:tabs>
        <w:tab w:val="right" w:leader="dot" w:pos="5310"/>
      </w:tabs>
      <w:autoSpaceDE w:val="0"/>
      <w:autoSpaceDN w:val="0"/>
      <w:adjustRightInd w:val="0"/>
    </w:pPr>
    <w:rPr>
      <w:rFonts w:ascii="Times New Roman" w:hAnsi="Times New Roman"/>
      <w:sz w:val="18"/>
      <w:szCs w:val="18"/>
      <w:lang w:val="en-US" w:eastAsia="es-AR"/>
    </w:rPr>
  </w:style>
  <w:style w:type="paragraph" w:customStyle="1" w:styleId="10-4">
    <w:name w:val="10-4"/>
    <w:basedOn w:val="Normal"/>
    <w:rsid w:val="002831AB"/>
    <w:pPr>
      <w:widowControl w:val="0"/>
      <w:tabs>
        <w:tab w:val="right" w:leader="dot" w:pos="5310"/>
      </w:tabs>
      <w:autoSpaceDE w:val="0"/>
      <w:autoSpaceDN w:val="0"/>
      <w:adjustRightInd w:val="0"/>
      <w:ind w:left="388"/>
    </w:pPr>
    <w:rPr>
      <w:rFonts w:ascii="Times New Roman" w:hAnsi="Times New Roman"/>
      <w:lang w:val="en-US" w:eastAsia="es-AR"/>
    </w:rPr>
  </w:style>
  <w:style w:type="paragraph" w:customStyle="1" w:styleId="statusline">
    <w:name w:val="status line"/>
    <w:basedOn w:val="Normal"/>
    <w:rsid w:val="002831AB"/>
    <w:pPr>
      <w:widowControl w:val="0"/>
      <w:autoSpaceDE w:val="0"/>
      <w:autoSpaceDN w:val="0"/>
      <w:adjustRightInd w:val="0"/>
    </w:pPr>
    <w:rPr>
      <w:rFonts w:ascii="Times New Roman" w:hAnsi="Times New Roman"/>
      <w:sz w:val="14"/>
      <w:szCs w:val="14"/>
      <w:lang w:val="en-US" w:eastAsia="es-AR"/>
    </w:rPr>
  </w:style>
  <w:style w:type="paragraph" w:customStyle="1" w:styleId="TextIndent">
    <w:name w:val="Text Indent"/>
    <w:basedOn w:val="Normal"/>
    <w:rsid w:val="002831AB"/>
    <w:pPr>
      <w:widowControl w:val="0"/>
      <w:autoSpaceDE w:val="0"/>
      <w:autoSpaceDN w:val="0"/>
      <w:adjustRightInd w:val="0"/>
      <w:ind w:left="432" w:firstLine="432"/>
      <w:jc w:val="both"/>
    </w:pPr>
    <w:rPr>
      <w:rFonts w:ascii="Times New Roman" w:hAnsi="Times New Roman"/>
      <w:lang w:val="en-US" w:eastAsia="es-AR"/>
    </w:rPr>
  </w:style>
  <w:style w:type="paragraph" w:customStyle="1" w:styleId="Smalldash">
    <w:name w:val="Small dash"/>
    <w:basedOn w:val="Normal"/>
    <w:rsid w:val="002831AB"/>
    <w:pPr>
      <w:widowControl w:val="0"/>
      <w:autoSpaceDE w:val="0"/>
      <w:autoSpaceDN w:val="0"/>
      <w:adjustRightInd w:val="0"/>
    </w:pPr>
    <w:rPr>
      <w:rFonts w:ascii="Times New Roman" w:hAnsi="Times New Roman"/>
      <w:lang w:val="en-US" w:eastAsia="es-AR"/>
    </w:rPr>
  </w:style>
  <w:style w:type="paragraph" w:customStyle="1" w:styleId="Table2">
    <w:name w:val="Table2"/>
    <w:basedOn w:val="Normal"/>
    <w:rsid w:val="002831AB"/>
    <w:pPr>
      <w:widowControl w:val="0"/>
      <w:tabs>
        <w:tab w:val="right" w:leader="dot" w:pos="5310"/>
      </w:tabs>
      <w:autoSpaceDE w:val="0"/>
      <w:autoSpaceDN w:val="0"/>
      <w:adjustRightInd w:val="0"/>
    </w:pPr>
    <w:rPr>
      <w:rFonts w:ascii="Times New Roman" w:hAnsi="Times New Roman"/>
      <w:lang w:val="en-US" w:eastAsia="es-AR"/>
    </w:rPr>
  </w:style>
  <w:style w:type="paragraph" w:customStyle="1" w:styleId="Bullet2">
    <w:name w:val="Bullet 2"/>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table20">
    <w:name w:val="table 2"/>
    <w:basedOn w:val="Normal"/>
    <w:rsid w:val="002831AB"/>
    <w:pPr>
      <w:widowControl w:val="0"/>
      <w:tabs>
        <w:tab w:val="right" w:leader="dot" w:pos="5310"/>
      </w:tabs>
      <w:autoSpaceDE w:val="0"/>
      <w:autoSpaceDN w:val="0"/>
      <w:adjustRightInd w:val="0"/>
      <w:ind w:left="43"/>
    </w:pPr>
    <w:rPr>
      <w:rFonts w:ascii="Times New Roman" w:hAnsi="Times New Roman"/>
      <w:lang w:val="en-US" w:eastAsia="es-AR"/>
    </w:rPr>
  </w:style>
  <w:style w:type="paragraph" w:customStyle="1" w:styleId="TableDash">
    <w:name w:val="Table Dash"/>
    <w:basedOn w:val="Normal"/>
    <w:rsid w:val="002831AB"/>
    <w:pPr>
      <w:widowControl w:val="0"/>
      <w:autoSpaceDE w:val="0"/>
      <w:autoSpaceDN w:val="0"/>
      <w:adjustRightInd w:val="0"/>
    </w:pPr>
    <w:rPr>
      <w:rFonts w:ascii="Times New Roman" w:hAnsi="Times New Roman"/>
      <w:lang w:val="en-US" w:eastAsia="es-AR"/>
    </w:rPr>
  </w:style>
  <w:style w:type="paragraph" w:customStyle="1" w:styleId="indexindent">
    <w:name w:val="index indent"/>
    <w:basedOn w:val="Normal"/>
    <w:rsid w:val="002831AB"/>
    <w:pPr>
      <w:widowControl w:val="0"/>
      <w:autoSpaceDE w:val="0"/>
      <w:autoSpaceDN w:val="0"/>
      <w:adjustRightInd w:val="0"/>
      <w:ind w:left="273"/>
    </w:pPr>
    <w:rPr>
      <w:rFonts w:ascii="Times New Roman" w:hAnsi="Times New Roman"/>
      <w:lang w:val="en-US" w:eastAsia="es-AR"/>
    </w:rPr>
  </w:style>
  <w:style w:type="paragraph" w:customStyle="1" w:styleId="tabletxt-4">
    <w:name w:val="table txt-4"/>
    <w:basedOn w:val="Normal"/>
    <w:rsid w:val="002831AB"/>
    <w:pPr>
      <w:widowControl w:val="0"/>
      <w:tabs>
        <w:tab w:val="right" w:leader="dot" w:pos="5310"/>
      </w:tabs>
      <w:autoSpaceDE w:val="0"/>
      <w:autoSpaceDN w:val="0"/>
      <w:adjustRightInd w:val="0"/>
      <w:ind w:left="273"/>
    </w:pPr>
    <w:rPr>
      <w:rFonts w:ascii="Times New Roman" w:hAnsi="Times New Roman"/>
      <w:sz w:val="16"/>
      <w:szCs w:val="16"/>
      <w:lang w:val="en-US" w:eastAsia="es-AR"/>
    </w:rPr>
  </w:style>
  <w:style w:type="paragraph" w:customStyle="1" w:styleId="tabletxt-2">
    <w:name w:val="table txt-2"/>
    <w:basedOn w:val="Normal"/>
    <w:rsid w:val="002831AB"/>
    <w:pPr>
      <w:widowControl w:val="0"/>
      <w:tabs>
        <w:tab w:val="right" w:leader="dot" w:pos="5310"/>
      </w:tabs>
      <w:autoSpaceDE w:val="0"/>
      <w:autoSpaceDN w:val="0"/>
      <w:adjustRightInd w:val="0"/>
      <w:ind w:left="172"/>
    </w:pPr>
    <w:rPr>
      <w:rFonts w:ascii="Times New Roman" w:hAnsi="Times New Roman"/>
      <w:sz w:val="16"/>
      <w:szCs w:val="16"/>
      <w:lang w:val="en-US" w:eastAsia="es-AR"/>
    </w:rPr>
  </w:style>
  <w:style w:type="paragraph" w:customStyle="1" w:styleId="noteno1">
    <w:name w:val="noteno1"/>
    <w:basedOn w:val="Normal"/>
    <w:rsid w:val="002831AB"/>
    <w:pPr>
      <w:widowControl w:val="0"/>
      <w:autoSpaceDE w:val="0"/>
      <w:autoSpaceDN w:val="0"/>
      <w:adjustRightInd w:val="0"/>
      <w:spacing w:after="144"/>
      <w:jc w:val="both"/>
    </w:pPr>
    <w:rPr>
      <w:rFonts w:ascii="Times New Roman" w:hAnsi="Times New Roman"/>
      <w:b/>
      <w:bCs/>
      <w:lang w:val="en-US" w:eastAsia="es-AR"/>
    </w:rPr>
  </w:style>
  <w:style w:type="paragraph" w:customStyle="1" w:styleId="lgdash">
    <w:name w:val="lgdash"/>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Dash">
    <w:name w:val="Dash"/>
    <w:basedOn w:val="Normal"/>
    <w:rsid w:val="002831AB"/>
    <w:pPr>
      <w:widowControl w:val="0"/>
      <w:autoSpaceDE w:val="0"/>
      <w:autoSpaceDN w:val="0"/>
      <w:adjustRightInd w:val="0"/>
    </w:pPr>
    <w:rPr>
      <w:rFonts w:ascii="Times New Roman" w:hAnsi="Times New Roman"/>
      <w:lang w:val="en-US" w:eastAsia="es-AR"/>
    </w:rPr>
  </w:style>
  <w:style w:type="paragraph" w:customStyle="1" w:styleId="Header1">
    <w:name w:val="Header1"/>
    <w:basedOn w:val="Normal"/>
    <w:rsid w:val="002831AB"/>
    <w:pPr>
      <w:widowControl w:val="0"/>
      <w:autoSpaceDE w:val="0"/>
      <w:autoSpaceDN w:val="0"/>
      <w:adjustRightInd w:val="0"/>
    </w:pPr>
    <w:rPr>
      <w:rFonts w:ascii="Times New Roman" w:hAnsi="Times New Roman"/>
      <w:lang w:val="en-US" w:eastAsia="es-AR"/>
    </w:rPr>
  </w:style>
  <w:style w:type="paragraph" w:customStyle="1" w:styleId="Subhead">
    <w:name w:val="Subhead"/>
    <w:basedOn w:val="Normal"/>
    <w:rsid w:val="002831AB"/>
    <w:pPr>
      <w:widowControl w:val="0"/>
      <w:autoSpaceDE w:val="0"/>
      <w:autoSpaceDN w:val="0"/>
      <w:adjustRightInd w:val="0"/>
      <w:spacing w:before="72" w:after="72"/>
    </w:pPr>
    <w:rPr>
      <w:rFonts w:ascii="Times New Roman" w:hAnsi="Times New Roman"/>
      <w:b/>
      <w:bCs/>
      <w:i/>
      <w:iCs/>
      <w:lang w:val="en-US" w:eastAsia="es-AR"/>
    </w:rPr>
  </w:style>
  <w:style w:type="paragraph" w:customStyle="1" w:styleId="NumberList">
    <w:name w:val="Number List"/>
    <w:basedOn w:val="Normal"/>
    <w:rsid w:val="002831AB"/>
    <w:pPr>
      <w:widowControl w:val="0"/>
      <w:autoSpaceDE w:val="0"/>
      <w:autoSpaceDN w:val="0"/>
      <w:adjustRightInd w:val="0"/>
    </w:pPr>
    <w:rPr>
      <w:rFonts w:ascii="Times New Roman" w:hAnsi="Times New Roman"/>
      <w:lang w:val="en-US" w:eastAsia="es-AR"/>
    </w:rPr>
  </w:style>
  <w:style w:type="paragraph" w:customStyle="1" w:styleId="Bullet11">
    <w:name w:val="Bullet 1"/>
    <w:basedOn w:val="Normal"/>
    <w:rsid w:val="002831AB"/>
    <w:pPr>
      <w:widowControl w:val="0"/>
      <w:autoSpaceDE w:val="0"/>
      <w:autoSpaceDN w:val="0"/>
      <w:adjustRightInd w:val="0"/>
    </w:pPr>
    <w:rPr>
      <w:rFonts w:ascii="Times New Roman" w:hAnsi="Times New Roman"/>
      <w:lang w:val="en-US" w:eastAsia="es-AR"/>
    </w:rPr>
  </w:style>
  <w:style w:type="paragraph" w:customStyle="1" w:styleId="BodySingle">
    <w:name w:val="Body Single"/>
    <w:basedOn w:val="Normal"/>
    <w:qFormat/>
    <w:rsid w:val="00B86C83"/>
    <w:pPr>
      <w:widowControl w:val="0"/>
      <w:autoSpaceDE w:val="0"/>
      <w:autoSpaceDN w:val="0"/>
      <w:adjustRightInd w:val="0"/>
    </w:pPr>
    <w:rPr>
      <w:rFonts w:ascii="Times New Roman" w:hAnsi="Times New Roman"/>
      <w:lang w:val="en-US" w:eastAsia="es-AR"/>
    </w:rPr>
  </w:style>
  <w:style w:type="paragraph" w:customStyle="1" w:styleId="Footer1">
    <w:name w:val="Footer1"/>
    <w:basedOn w:val="Normal"/>
    <w:rsid w:val="002831AB"/>
    <w:pPr>
      <w:widowControl w:val="0"/>
      <w:autoSpaceDE w:val="0"/>
      <w:autoSpaceDN w:val="0"/>
      <w:adjustRightInd w:val="0"/>
      <w:spacing w:after="216"/>
    </w:pPr>
    <w:rPr>
      <w:rFonts w:ascii="Times New Roman" w:hAnsi="Times New Roman"/>
      <w:lang w:val="en-US" w:eastAsia="es-AR"/>
    </w:rPr>
  </w:style>
  <w:style w:type="paragraph" w:customStyle="1" w:styleId="table8-6">
    <w:name w:val="table 8-6"/>
    <w:basedOn w:val="Normal"/>
    <w:rsid w:val="002831AB"/>
    <w:pPr>
      <w:widowControl w:val="0"/>
      <w:tabs>
        <w:tab w:val="right" w:leader="dot" w:pos="5670"/>
      </w:tabs>
      <w:autoSpaceDE w:val="0"/>
      <w:autoSpaceDN w:val="0"/>
      <w:adjustRightInd w:val="0"/>
      <w:ind w:left="532"/>
    </w:pPr>
    <w:rPr>
      <w:rFonts w:ascii="Times New Roman" w:hAnsi="Times New Roman"/>
      <w:sz w:val="16"/>
      <w:szCs w:val="16"/>
      <w:lang w:val="en-US" w:eastAsia="es-AR"/>
    </w:rPr>
  </w:style>
  <w:style w:type="paragraph" w:customStyle="1" w:styleId="table8-4">
    <w:name w:val="table 8-4"/>
    <w:basedOn w:val="Normal"/>
    <w:rsid w:val="002831AB"/>
    <w:pPr>
      <w:widowControl w:val="0"/>
      <w:tabs>
        <w:tab w:val="right" w:leader="dot" w:pos="5670"/>
      </w:tabs>
      <w:autoSpaceDE w:val="0"/>
      <w:autoSpaceDN w:val="0"/>
      <w:adjustRightInd w:val="0"/>
      <w:ind w:left="360"/>
    </w:pPr>
    <w:rPr>
      <w:rFonts w:ascii="Times New Roman" w:hAnsi="Times New Roman"/>
      <w:sz w:val="16"/>
      <w:szCs w:val="16"/>
      <w:lang w:val="en-US" w:eastAsia="es-AR"/>
    </w:rPr>
  </w:style>
  <w:style w:type="paragraph" w:customStyle="1" w:styleId="table8-2">
    <w:name w:val="table 8-2"/>
    <w:basedOn w:val="Normal"/>
    <w:rsid w:val="002831AB"/>
    <w:pPr>
      <w:widowControl w:val="0"/>
      <w:tabs>
        <w:tab w:val="right" w:leader="dot" w:pos="5310"/>
      </w:tabs>
      <w:autoSpaceDE w:val="0"/>
      <w:autoSpaceDN w:val="0"/>
      <w:adjustRightInd w:val="0"/>
      <w:ind w:left="172"/>
    </w:pPr>
    <w:rPr>
      <w:rFonts w:ascii="Times New Roman" w:hAnsi="Times New Roman"/>
      <w:sz w:val="16"/>
      <w:szCs w:val="16"/>
      <w:lang w:val="en-US" w:eastAsia="es-AR"/>
    </w:rPr>
  </w:style>
  <w:style w:type="paragraph" w:customStyle="1" w:styleId="tablehead8">
    <w:name w:val="table head 8"/>
    <w:basedOn w:val="Normal"/>
    <w:rsid w:val="002831AB"/>
    <w:pPr>
      <w:widowControl w:val="0"/>
      <w:tabs>
        <w:tab w:val="right" w:leader="dot" w:pos="5310"/>
      </w:tabs>
      <w:autoSpaceDE w:val="0"/>
      <w:autoSpaceDN w:val="0"/>
      <w:adjustRightInd w:val="0"/>
      <w:jc w:val="center"/>
    </w:pPr>
    <w:rPr>
      <w:rFonts w:ascii="Times New Roman" w:hAnsi="Times New Roman"/>
      <w:b/>
      <w:bCs/>
      <w:sz w:val="16"/>
      <w:szCs w:val="16"/>
      <w:lang w:val="en-US" w:eastAsia="es-AR"/>
    </w:rPr>
  </w:style>
  <w:style w:type="paragraph" w:customStyle="1" w:styleId="tab2">
    <w:name w:val="tab 2"/>
    <w:basedOn w:val="Normal"/>
    <w:rsid w:val="002831AB"/>
    <w:pPr>
      <w:widowControl w:val="0"/>
      <w:tabs>
        <w:tab w:val="right" w:leader="dot" w:pos="5310"/>
      </w:tabs>
      <w:autoSpaceDE w:val="0"/>
      <w:autoSpaceDN w:val="0"/>
      <w:adjustRightInd w:val="0"/>
      <w:ind w:left="43"/>
    </w:pPr>
    <w:rPr>
      <w:rFonts w:ascii="Times New Roman" w:hAnsi="Times New Roman"/>
      <w:sz w:val="8"/>
      <w:szCs w:val="8"/>
      <w:lang w:val="en-US" w:eastAsia="es-AR"/>
    </w:rPr>
  </w:style>
  <w:style w:type="paragraph" w:customStyle="1" w:styleId="Page57TB8">
    <w:name w:val="Page 57 TB 8"/>
    <w:basedOn w:val="Normal"/>
    <w:rsid w:val="002831AB"/>
    <w:pPr>
      <w:widowControl w:val="0"/>
      <w:autoSpaceDE w:val="0"/>
      <w:autoSpaceDN w:val="0"/>
      <w:adjustRightInd w:val="0"/>
    </w:pPr>
    <w:rPr>
      <w:rFonts w:ascii="Times New Roman" w:hAnsi="Times New Roman"/>
      <w:sz w:val="16"/>
      <w:szCs w:val="16"/>
      <w:lang w:val="en-US" w:eastAsia="es-AR"/>
    </w:rPr>
  </w:style>
  <w:style w:type="paragraph" w:customStyle="1" w:styleId="ltrindent">
    <w:name w:val="ltr.indent"/>
    <w:basedOn w:val="Normal"/>
    <w:rsid w:val="002831AB"/>
    <w:pPr>
      <w:widowControl w:val="0"/>
      <w:tabs>
        <w:tab w:val="left" w:pos="270"/>
        <w:tab w:val="left" w:leader="dot" w:pos="5760"/>
      </w:tabs>
      <w:autoSpaceDE w:val="0"/>
      <w:autoSpaceDN w:val="0"/>
      <w:adjustRightInd w:val="0"/>
      <w:ind w:left="172" w:hanging="172"/>
    </w:pPr>
    <w:rPr>
      <w:rFonts w:ascii="Times New Roman" w:hAnsi="Times New Roman"/>
      <w:lang w:val="en-US" w:eastAsia="es-AR"/>
    </w:rPr>
  </w:style>
  <w:style w:type="paragraph" w:customStyle="1" w:styleId="Dec2">
    <w:name w:val="Dec 2"/>
    <w:basedOn w:val="Normal"/>
    <w:rsid w:val="002831AB"/>
    <w:pPr>
      <w:widowControl w:val="0"/>
      <w:tabs>
        <w:tab w:val="right" w:leader="dot" w:pos="5310"/>
      </w:tabs>
      <w:autoSpaceDE w:val="0"/>
      <w:autoSpaceDN w:val="0"/>
      <w:adjustRightInd w:val="0"/>
    </w:pPr>
    <w:rPr>
      <w:rFonts w:ascii="Times New Roman" w:hAnsi="Times New Roman"/>
      <w:lang w:val="en-US" w:eastAsia="es-AR"/>
    </w:rPr>
  </w:style>
  <w:style w:type="paragraph" w:customStyle="1" w:styleId="Dec3">
    <w:name w:val="Dec 3"/>
    <w:basedOn w:val="Normal"/>
    <w:rsid w:val="002831AB"/>
    <w:pPr>
      <w:widowControl w:val="0"/>
      <w:tabs>
        <w:tab w:val="right" w:leader="dot" w:pos="5310"/>
      </w:tabs>
      <w:autoSpaceDE w:val="0"/>
      <w:autoSpaceDN w:val="0"/>
      <w:adjustRightInd w:val="0"/>
    </w:pPr>
    <w:rPr>
      <w:rFonts w:ascii="Times New Roman" w:hAnsi="Times New Roman"/>
      <w:lang w:val="en-US" w:eastAsia="es-AR"/>
    </w:rPr>
  </w:style>
  <w:style w:type="paragraph" w:customStyle="1" w:styleId="tab-10-4">
    <w:name w:val="tab-10-4"/>
    <w:basedOn w:val="Normal"/>
    <w:rsid w:val="002831AB"/>
    <w:pPr>
      <w:widowControl w:val="0"/>
      <w:tabs>
        <w:tab w:val="right" w:leader="dot" w:pos="5670"/>
      </w:tabs>
      <w:autoSpaceDE w:val="0"/>
      <w:autoSpaceDN w:val="0"/>
      <w:adjustRightInd w:val="0"/>
      <w:ind w:left="446"/>
    </w:pPr>
    <w:rPr>
      <w:rFonts w:ascii="Times New Roman" w:hAnsi="Times New Roman"/>
      <w:lang w:val="en-US" w:eastAsia="es-AR"/>
    </w:rPr>
  </w:style>
  <w:style w:type="paragraph" w:customStyle="1" w:styleId="tabletxt-6">
    <w:name w:val="table txt-6"/>
    <w:basedOn w:val="Normal"/>
    <w:rsid w:val="002831AB"/>
    <w:pPr>
      <w:widowControl w:val="0"/>
      <w:tabs>
        <w:tab w:val="right" w:leader="dot" w:pos="5310"/>
      </w:tabs>
      <w:autoSpaceDE w:val="0"/>
      <w:autoSpaceDN w:val="0"/>
      <w:adjustRightInd w:val="0"/>
      <w:ind w:left="446"/>
    </w:pPr>
    <w:rPr>
      <w:rFonts w:ascii="Times New Roman" w:hAnsi="Times New Roman"/>
      <w:sz w:val="16"/>
      <w:szCs w:val="16"/>
      <w:lang w:val="en-US" w:eastAsia="es-AR"/>
    </w:rPr>
  </w:style>
  <w:style w:type="paragraph" w:customStyle="1" w:styleId="table80">
    <w:name w:val="table 8"/>
    <w:basedOn w:val="Normal"/>
    <w:rsid w:val="002831AB"/>
    <w:pPr>
      <w:widowControl w:val="0"/>
      <w:tabs>
        <w:tab w:val="right" w:leader="dot" w:pos="5310"/>
      </w:tabs>
      <w:autoSpaceDE w:val="0"/>
      <w:autoSpaceDN w:val="0"/>
      <w:adjustRightInd w:val="0"/>
    </w:pPr>
    <w:rPr>
      <w:rFonts w:ascii="Times New Roman" w:hAnsi="Times New Roman"/>
      <w:sz w:val="16"/>
      <w:szCs w:val="16"/>
      <w:lang w:val="en-US" w:eastAsia="es-AR"/>
    </w:rPr>
  </w:style>
  <w:style w:type="paragraph" w:customStyle="1" w:styleId="tabl8">
    <w:name w:val="tabl 8"/>
    <w:basedOn w:val="Normal"/>
    <w:rsid w:val="002831AB"/>
    <w:pPr>
      <w:widowControl w:val="0"/>
      <w:tabs>
        <w:tab w:val="right" w:leader="dot" w:pos="5310"/>
      </w:tabs>
      <w:autoSpaceDE w:val="0"/>
      <w:autoSpaceDN w:val="0"/>
      <w:adjustRightInd w:val="0"/>
    </w:pPr>
    <w:rPr>
      <w:rFonts w:ascii="Times New Roman" w:hAnsi="Times New Roman"/>
      <w:sz w:val="16"/>
      <w:szCs w:val="16"/>
      <w:lang w:val="en-US" w:eastAsia="es-AR"/>
    </w:rPr>
  </w:style>
  <w:style w:type="paragraph" w:customStyle="1" w:styleId="tabletxt-8">
    <w:name w:val="table txt-8"/>
    <w:basedOn w:val="Normal"/>
    <w:rsid w:val="002831AB"/>
    <w:pPr>
      <w:widowControl w:val="0"/>
      <w:tabs>
        <w:tab w:val="right" w:leader="dot" w:pos="5310"/>
      </w:tabs>
      <w:autoSpaceDE w:val="0"/>
      <w:autoSpaceDN w:val="0"/>
      <w:adjustRightInd w:val="0"/>
    </w:pPr>
    <w:rPr>
      <w:rFonts w:ascii="Times New Roman" w:hAnsi="Times New Roman"/>
      <w:sz w:val="16"/>
      <w:szCs w:val="16"/>
      <w:lang w:val="en-US" w:eastAsia="es-AR"/>
    </w:rPr>
  </w:style>
  <w:style w:type="paragraph" w:customStyle="1" w:styleId="tblehead8">
    <w:name w:val="tble head 8"/>
    <w:basedOn w:val="Normal"/>
    <w:rsid w:val="002831AB"/>
    <w:pPr>
      <w:widowControl w:val="0"/>
      <w:tabs>
        <w:tab w:val="right" w:leader="dot" w:pos="5310"/>
      </w:tabs>
      <w:autoSpaceDE w:val="0"/>
      <w:autoSpaceDN w:val="0"/>
      <w:adjustRightInd w:val="0"/>
      <w:jc w:val="center"/>
    </w:pPr>
    <w:rPr>
      <w:rFonts w:ascii="Times New Roman" w:hAnsi="Times New Roman"/>
      <w:b/>
      <w:bCs/>
      <w:sz w:val="16"/>
      <w:szCs w:val="16"/>
      <w:lang w:val="en-US" w:eastAsia="es-AR"/>
    </w:rPr>
  </w:style>
  <w:style w:type="paragraph" w:customStyle="1" w:styleId="notenopts1">
    <w:name w:val="noteno.pts1"/>
    <w:basedOn w:val="Normal"/>
    <w:rsid w:val="002831AB"/>
    <w:pPr>
      <w:widowControl w:val="0"/>
      <w:autoSpaceDE w:val="0"/>
      <w:autoSpaceDN w:val="0"/>
      <w:adjustRightInd w:val="0"/>
      <w:spacing w:after="144"/>
    </w:pPr>
    <w:rPr>
      <w:rFonts w:ascii="Times New Roman" w:hAnsi="Times New Roman"/>
      <w:b/>
      <w:bCs/>
      <w:lang w:val="en-US" w:eastAsia="es-AR"/>
    </w:rPr>
  </w:style>
  <w:style w:type="paragraph" w:customStyle="1" w:styleId="ProfileData">
    <w:name w:val="ProfileData"/>
    <w:rsid w:val="002831AB"/>
    <w:pPr>
      <w:widowControl w:val="0"/>
      <w:autoSpaceDE w:val="0"/>
      <w:autoSpaceDN w:val="0"/>
      <w:adjustRightInd w:val="0"/>
      <w:spacing w:line="200" w:lineRule="atLeast"/>
    </w:pPr>
    <w:rPr>
      <w:rFonts w:ascii="Times New Roman" w:hAnsi="Times New Roman"/>
      <w:vanish/>
      <w:color w:val="FF0000"/>
      <w:sz w:val="16"/>
      <w:szCs w:val="16"/>
    </w:rPr>
  </w:style>
  <w:style w:type="paragraph" w:customStyle="1" w:styleId="ListNumber14">
    <w:name w:val="List Number 1.**"/>
    <w:basedOn w:val="Normal"/>
    <w:rsid w:val="002831AB"/>
    <w:pPr>
      <w:widowControl w:val="0"/>
      <w:autoSpaceDE w:val="0"/>
      <w:autoSpaceDN w:val="0"/>
      <w:adjustRightInd w:val="0"/>
      <w:spacing w:after="240"/>
      <w:jc w:val="both"/>
    </w:pPr>
    <w:rPr>
      <w:rFonts w:ascii="Times New Roman" w:hAnsi="Times New Roman"/>
      <w:b/>
      <w:bCs/>
      <w:lang w:val="en-US" w:eastAsia="es-AR"/>
    </w:rPr>
  </w:style>
  <w:style w:type="paragraph" w:customStyle="1" w:styleId="ListNumbera5">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6">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7">
    <w:name w:val="List Number a.*"/>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ListNumbera10">
    <w:name w:val="List Number a.1"/>
    <w:basedOn w:val="Normal"/>
    <w:rsid w:val="002831AB"/>
    <w:pPr>
      <w:widowControl w:val="0"/>
      <w:autoSpaceDE w:val="0"/>
      <w:autoSpaceDN w:val="0"/>
      <w:adjustRightInd w:val="0"/>
      <w:spacing w:after="240"/>
      <w:ind w:left="2160" w:hanging="720"/>
      <w:jc w:val="both"/>
    </w:pPr>
    <w:rPr>
      <w:rFonts w:ascii="Times New Roman" w:hAnsi="Times New Roman"/>
      <w:lang w:val="en-US" w:eastAsia="es-AR"/>
    </w:rPr>
  </w:style>
  <w:style w:type="paragraph" w:customStyle="1" w:styleId="TableFootnoteIndented">
    <w:name w:val="Table Footnote Indented"/>
    <w:basedOn w:val="TableFootnote"/>
    <w:rsid w:val="002831AB"/>
    <w:pPr>
      <w:widowControl w:val="0"/>
      <w:autoSpaceDE w:val="0"/>
      <w:autoSpaceDN w:val="0"/>
      <w:adjustRightInd w:val="0"/>
      <w:spacing w:after="60"/>
      <w:ind w:left="1080" w:hanging="360"/>
      <w:jc w:val="left"/>
    </w:pPr>
    <w:rPr>
      <w:szCs w:val="16"/>
    </w:rPr>
  </w:style>
  <w:style w:type="paragraph" w:customStyle="1" w:styleId="ListNumbera8">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character" w:customStyle="1" w:styleId="nfasis0">
    <w:name w:val="ﾉnfasis"/>
    <w:rsid w:val="002831AB"/>
    <w:rPr>
      <w:rFonts w:ascii="Times New Roman" w:hAnsi="Times New Roman"/>
      <w:i/>
      <w:spacing w:val="0"/>
      <w:sz w:val="20"/>
      <w:lang w:val="en-US" w:eastAsia="x-none"/>
    </w:rPr>
  </w:style>
  <w:style w:type="character" w:customStyle="1" w:styleId="DeltaViewChangeNumber">
    <w:name w:val="DeltaView Change Number"/>
    <w:rsid w:val="002831AB"/>
    <w:rPr>
      <w:color w:val="000000"/>
      <w:spacing w:val="0"/>
      <w:vertAlign w:val="superscript"/>
    </w:rPr>
  </w:style>
  <w:style w:type="character" w:customStyle="1" w:styleId="DeltaViewMovedDeletion">
    <w:name w:val="DeltaView Moved Deletion"/>
    <w:rsid w:val="002831AB"/>
    <w:rPr>
      <w:strike/>
      <w:color w:val="auto"/>
      <w:spacing w:val="0"/>
    </w:rPr>
  </w:style>
  <w:style w:type="character" w:customStyle="1" w:styleId="DeltaViewEditorComment">
    <w:name w:val="DeltaView Editor Comment"/>
    <w:rsid w:val="002831AB"/>
    <w:rPr>
      <w:rFonts w:ascii="Times New Roman" w:hAnsi="Times New Roman"/>
      <w:color w:val="0000FF"/>
      <w:spacing w:val="0"/>
      <w:sz w:val="20"/>
      <w:u w:val="double"/>
      <w:lang w:val="en-US" w:eastAsia="x-none"/>
    </w:rPr>
  </w:style>
  <w:style w:type="character" w:customStyle="1" w:styleId="DeltaViewStyleChangeText">
    <w:name w:val="DeltaView Style Change Text"/>
    <w:rsid w:val="002831AB"/>
    <w:rPr>
      <w:color w:val="000000"/>
      <w:spacing w:val="0"/>
      <w:u w:val="double"/>
    </w:rPr>
  </w:style>
  <w:style w:type="character" w:customStyle="1" w:styleId="DeltaViewStyleChangeLabel">
    <w:name w:val="DeltaView Style Change Label"/>
    <w:rsid w:val="002831AB"/>
    <w:rPr>
      <w:color w:val="000000"/>
      <w:spacing w:val="0"/>
    </w:rPr>
  </w:style>
  <w:style w:type="paragraph" w:customStyle="1" w:styleId="Textodetabla1">
    <w:name w:val="Texto de tabla:1"/>
    <w:basedOn w:val="Normal"/>
    <w:rsid w:val="002831AB"/>
    <w:pPr>
      <w:widowControl w:val="0"/>
      <w:tabs>
        <w:tab w:val="decimal" w:pos="0"/>
        <w:tab w:val="left" w:pos="360"/>
        <w:tab w:val="left" w:pos="720"/>
        <w:tab w:val="left" w:pos="1080"/>
        <w:tab w:val="left" w:pos="1440"/>
        <w:tab w:val="left" w:pos="1800"/>
        <w:tab w:val="left" w:pos="2160"/>
      </w:tabs>
      <w:autoSpaceDE w:val="0"/>
      <w:autoSpaceDN w:val="0"/>
      <w:adjustRightInd w:val="0"/>
      <w:jc w:val="both"/>
    </w:pPr>
    <w:rPr>
      <w:rFonts w:ascii="Times New Roman" w:hAnsi="Times New Roman"/>
      <w:lang w:val="en-US" w:eastAsia="es-AR"/>
    </w:rPr>
  </w:style>
  <w:style w:type="paragraph" w:customStyle="1" w:styleId="Direcciinterior">
    <w:name w:val="Direcci interior"/>
    <w:basedOn w:val="Normal"/>
    <w:rsid w:val="002831AB"/>
    <w:pPr>
      <w:widowControl w:val="0"/>
      <w:autoSpaceDE w:val="0"/>
      <w:autoSpaceDN w:val="0"/>
      <w:adjustRightInd w:val="0"/>
      <w:spacing w:line="240" w:lineRule="atLeast"/>
    </w:pPr>
    <w:rPr>
      <w:rFonts w:ascii="Times New Roman" w:hAnsi="Times New Roman"/>
      <w:kern w:val="18"/>
      <w:lang w:val="en-US" w:eastAsia="es-AR"/>
    </w:rPr>
  </w:style>
  <w:style w:type="paragraph" w:customStyle="1" w:styleId="BlockTextBld">
    <w:name w:val="Block Text Bld"/>
    <w:basedOn w:val="DeltaViewTableBody"/>
    <w:rsid w:val="002831AB"/>
    <w:pPr>
      <w:widowControl w:val="0"/>
      <w:spacing w:line="480" w:lineRule="auto"/>
    </w:pPr>
    <w:rPr>
      <w:rFonts w:ascii="Times New Roman" w:hAnsi="Times New Roman" w:cs="Times New Roman"/>
      <w:b/>
      <w:bCs/>
      <w:sz w:val="20"/>
      <w:szCs w:val="20"/>
      <w:lang w:eastAsia="es-ES"/>
    </w:rPr>
  </w:style>
  <w:style w:type="paragraph" w:customStyle="1" w:styleId="HeadingBody2">
    <w:name w:val="HeadingBody 2"/>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3">
    <w:name w:val="HeadingBody 3"/>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4">
    <w:name w:val="HeadingBody 4"/>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5">
    <w:name w:val="HeadingBody 5"/>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6">
    <w:name w:val="HeadingBody 6"/>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7">
    <w:name w:val="HeadingBody 7"/>
    <w:basedOn w:val="DeltaViewTableHeading"/>
    <w:next w:val="Normal"/>
    <w:rsid w:val="002831AB"/>
    <w:pPr>
      <w:widowControl w:val="0"/>
      <w:spacing w:after="240"/>
    </w:pPr>
    <w:rPr>
      <w:rFonts w:ascii="Times New Roman" w:hAnsi="Times New Roman" w:cs="Times New Roman"/>
      <w:b w:val="0"/>
      <w:bCs w:val="0"/>
      <w:sz w:val="20"/>
      <w:szCs w:val="20"/>
      <w:lang w:eastAsia="en-US"/>
    </w:rPr>
  </w:style>
  <w:style w:type="paragraph" w:customStyle="1" w:styleId="HeadingBody8">
    <w:name w:val="HeadingBody 8"/>
    <w:basedOn w:val="DeltaViewTableHeading"/>
    <w:next w:val="Normal"/>
    <w:rsid w:val="002831AB"/>
    <w:pPr>
      <w:widowControl w:val="0"/>
      <w:spacing w:after="240"/>
    </w:pPr>
    <w:rPr>
      <w:rFonts w:ascii="Times New Roman" w:hAnsi="Times New Roman" w:cs="Times New Roman"/>
      <w:b w:val="0"/>
      <w:bCs w:val="0"/>
      <w:sz w:val="20"/>
      <w:szCs w:val="20"/>
      <w:lang w:eastAsia="en-US"/>
    </w:rPr>
  </w:style>
  <w:style w:type="paragraph" w:customStyle="1" w:styleId="HeadingBody9">
    <w:name w:val="HeadingBody 9"/>
    <w:basedOn w:val="DeltaViewTableHeading"/>
    <w:next w:val="Normal"/>
    <w:rsid w:val="002831AB"/>
    <w:pPr>
      <w:widowControl w:val="0"/>
      <w:spacing w:after="240"/>
    </w:pPr>
    <w:rPr>
      <w:rFonts w:ascii="Times New Roman" w:hAnsi="Times New Roman" w:cs="Times New Roman"/>
      <w:b w:val="0"/>
      <w:bCs w:val="0"/>
      <w:sz w:val="20"/>
      <w:szCs w:val="20"/>
      <w:lang w:eastAsia="en-US"/>
    </w:rPr>
  </w:style>
  <w:style w:type="paragraph" w:customStyle="1" w:styleId="Dash100">
    <w:name w:val="Dash 1.00"/>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BlockPara">
    <w:name w:val="Block Para"/>
    <w:basedOn w:val="Normal"/>
    <w:rsid w:val="002831AB"/>
    <w:pPr>
      <w:widowControl w:val="0"/>
      <w:autoSpaceDE w:val="0"/>
      <w:autoSpaceDN w:val="0"/>
      <w:adjustRightInd w:val="0"/>
      <w:spacing w:after="240"/>
      <w:ind w:left="1080"/>
    </w:pPr>
    <w:rPr>
      <w:rFonts w:ascii="Times New Roman" w:hAnsi="Times New Roman"/>
      <w:lang w:val="en-US" w:eastAsia="es-AR"/>
    </w:rPr>
  </w:style>
  <w:style w:type="paragraph" w:customStyle="1" w:styleId="ListBullet3sgl0">
    <w:name w:val="List Bullet 3 sgl"/>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TitleItalics50">
    <w:name w:val="Title/Italics.50"/>
    <w:basedOn w:val="Normal"/>
    <w:rsid w:val="002831AB"/>
    <w:pPr>
      <w:keepNext/>
      <w:widowControl w:val="0"/>
      <w:autoSpaceDE w:val="0"/>
      <w:autoSpaceDN w:val="0"/>
      <w:adjustRightInd w:val="0"/>
      <w:spacing w:after="240"/>
      <w:ind w:left="720"/>
    </w:pPr>
    <w:rPr>
      <w:rFonts w:ascii="Times New Roman" w:hAnsi="Times New Roman"/>
      <w:i/>
      <w:iCs/>
      <w:lang w:val="en-US" w:eastAsia="es-AR"/>
    </w:rPr>
  </w:style>
  <w:style w:type="paragraph" w:customStyle="1" w:styleId="StyleListBullet3sgl95pt">
    <w:name w:val="Style List Bullet 3 sgl + 9.5 pt"/>
    <w:basedOn w:val="ListBullet3sgl0"/>
    <w:rsid w:val="002831AB"/>
    <w:pPr>
      <w:jc w:val="left"/>
    </w:pPr>
    <w:rPr>
      <w:sz w:val="19"/>
      <w:szCs w:val="19"/>
    </w:rPr>
  </w:style>
  <w:style w:type="paragraph" w:customStyle="1" w:styleId="Eprafe">
    <w:name w:val="Ep刕rafe"/>
    <w:basedOn w:val="Normal"/>
    <w:next w:val="Normal"/>
    <w:rsid w:val="002831AB"/>
    <w:pPr>
      <w:widowControl w:val="0"/>
      <w:autoSpaceDE w:val="0"/>
      <w:autoSpaceDN w:val="0"/>
      <w:adjustRightInd w:val="0"/>
    </w:pPr>
    <w:rPr>
      <w:rFonts w:ascii="Times New Roman" w:hAnsi="Times New Roman"/>
      <w:b/>
      <w:bCs/>
      <w:lang w:val="en-US" w:eastAsia="es-AR"/>
    </w:rPr>
  </w:style>
  <w:style w:type="character" w:customStyle="1" w:styleId="ListBullet3SglChar">
    <w:name w:val="List Bullet 3 Sgl Char"/>
    <w:rsid w:val="002831AB"/>
    <w:rPr>
      <w:rFonts w:ascii="Times New Roman" w:hAnsi="Times New Roman"/>
      <w:spacing w:val="0"/>
      <w:sz w:val="20"/>
      <w:lang w:val="en-US" w:eastAsia="en-US"/>
    </w:rPr>
  </w:style>
  <w:style w:type="paragraph" w:customStyle="1" w:styleId="TitleBIndented">
    <w:name w:val="Title B Indented"/>
    <w:basedOn w:val="Normal"/>
    <w:rsid w:val="002831AB"/>
    <w:pPr>
      <w:keepNext/>
      <w:widowControl w:val="0"/>
      <w:autoSpaceDE w:val="0"/>
      <w:autoSpaceDN w:val="0"/>
      <w:adjustRightInd w:val="0"/>
      <w:spacing w:after="240"/>
      <w:ind w:left="720"/>
    </w:pPr>
    <w:rPr>
      <w:rFonts w:ascii="Times New Roman" w:hAnsi="Times New Roman"/>
      <w:b/>
      <w:bCs/>
      <w:lang w:val="en-US" w:eastAsia="es-AR"/>
    </w:rPr>
  </w:style>
  <w:style w:type="paragraph" w:customStyle="1" w:styleId="Listaconneros">
    <w:name w:val="Lista con n伹eros"/>
    <w:basedOn w:val="Normal"/>
    <w:rsid w:val="002831AB"/>
    <w:pPr>
      <w:widowControl w:val="0"/>
      <w:autoSpaceDE w:val="0"/>
      <w:autoSpaceDN w:val="0"/>
      <w:adjustRightInd w:val="0"/>
    </w:pPr>
    <w:rPr>
      <w:rFonts w:ascii="Times New Roman" w:hAnsi="Times New Roman"/>
      <w:lang w:val="en-US" w:eastAsia="es-AR"/>
    </w:rPr>
  </w:style>
  <w:style w:type="paragraph" w:customStyle="1" w:styleId="bti">
    <w:name w:val="bti"/>
    <w:aliases w:val="BodyTextInd,bodyTextItalics"/>
    <w:basedOn w:val="Sangrdetextonormal"/>
    <w:qFormat/>
    <w:rsid w:val="00B86C83"/>
    <w:pPr>
      <w:ind w:left="0" w:firstLine="360"/>
      <w:jc w:val="both"/>
    </w:pPr>
    <w:rPr>
      <w:color w:val="000000"/>
      <w:lang w:val="pt-BR"/>
    </w:rPr>
  </w:style>
  <w:style w:type="paragraph" w:customStyle="1" w:styleId="bodytext2sglj0">
    <w:name w:val="bodytext2sglj"/>
    <w:basedOn w:val="Normal"/>
    <w:rsid w:val="002831AB"/>
    <w:pPr>
      <w:widowControl w:val="0"/>
      <w:autoSpaceDE w:val="0"/>
      <w:autoSpaceDN w:val="0"/>
      <w:adjustRightInd w:val="0"/>
      <w:spacing w:after="240"/>
      <w:ind w:firstLine="720"/>
    </w:pPr>
    <w:rPr>
      <w:rFonts w:ascii="Times New Roman" w:hAnsi="Times New Roman"/>
      <w:lang w:val="en-US" w:eastAsia="es-AR"/>
    </w:rPr>
  </w:style>
  <w:style w:type="character" w:customStyle="1" w:styleId="ListBullet3Char">
    <w:name w:val="List Bullet 3 Char"/>
    <w:rsid w:val="002831AB"/>
    <w:rPr>
      <w:rFonts w:ascii="Times New Roman" w:hAnsi="Times New Roman"/>
      <w:spacing w:val="0"/>
      <w:sz w:val="20"/>
      <w:lang w:val="en-US" w:eastAsia="x-none"/>
    </w:rPr>
  </w:style>
  <w:style w:type="paragraph" w:customStyle="1" w:styleId="xl50">
    <w:name w:val="xl50"/>
    <w:basedOn w:val="Normal"/>
    <w:rsid w:val="002831AB"/>
    <w:pPr>
      <w:widowControl w:val="0"/>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1">
    <w:name w:val="xl51"/>
    <w:basedOn w:val="Normal"/>
    <w:rsid w:val="002831AB"/>
    <w:pPr>
      <w:widowControl w:val="0"/>
      <w:pBdr>
        <w:bottom w:val="single" w:sz="4" w:space="0" w:color="000000"/>
      </w:pBdr>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2">
    <w:name w:val="xl52"/>
    <w:basedOn w:val="Normal"/>
    <w:rsid w:val="002831AB"/>
    <w:pPr>
      <w:widowControl w:val="0"/>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3">
    <w:name w:val="xl53"/>
    <w:basedOn w:val="Normal"/>
    <w:rsid w:val="002831AB"/>
    <w:pPr>
      <w:widowControl w:val="0"/>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4">
    <w:name w:val="xl54"/>
    <w:basedOn w:val="Normal"/>
    <w:rsid w:val="002831AB"/>
    <w:pPr>
      <w:widowControl w:val="0"/>
      <w:pBdr>
        <w:top w:val="single" w:sz="4" w:space="0" w:color="000000"/>
      </w:pBdr>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5">
    <w:name w:val="xl55"/>
    <w:basedOn w:val="Normal"/>
    <w:rsid w:val="002831AB"/>
    <w:pPr>
      <w:widowControl w:val="0"/>
      <w:pBdr>
        <w:top w:val="single" w:sz="4" w:space="0" w:color="000000"/>
        <w:bottom w:val="single" w:sz="4" w:space="0" w:color="000000"/>
      </w:pBdr>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6">
    <w:name w:val="xl56"/>
    <w:basedOn w:val="Normal"/>
    <w:rsid w:val="002831AB"/>
    <w:pPr>
      <w:widowControl w:val="0"/>
      <w:pBdr>
        <w:top w:val="single" w:sz="4" w:space="0" w:color="000000"/>
      </w:pBdr>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7">
    <w:name w:val="xl57"/>
    <w:basedOn w:val="Normal"/>
    <w:rsid w:val="002831AB"/>
    <w:pPr>
      <w:widowControl w:val="0"/>
      <w:pBdr>
        <w:bottom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8">
    <w:name w:val="xl58"/>
    <w:basedOn w:val="Normal"/>
    <w:rsid w:val="002831AB"/>
    <w:pPr>
      <w:widowControl w:val="0"/>
      <w:pBdr>
        <w:top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9">
    <w:name w:val="xl59"/>
    <w:basedOn w:val="Normal"/>
    <w:rsid w:val="002831AB"/>
    <w:pPr>
      <w:widowControl w:val="0"/>
      <w:pBdr>
        <w:bottom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0">
    <w:name w:val="xl60"/>
    <w:basedOn w:val="Normal"/>
    <w:rsid w:val="002831AB"/>
    <w:pPr>
      <w:widowControl w:val="0"/>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1">
    <w:name w:val="xl61"/>
    <w:basedOn w:val="Normal"/>
    <w:rsid w:val="002831AB"/>
    <w:pPr>
      <w:widowControl w:val="0"/>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2">
    <w:name w:val="xl62"/>
    <w:basedOn w:val="Normal"/>
    <w:rsid w:val="002831AB"/>
    <w:pPr>
      <w:widowControl w:val="0"/>
      <w:pBdr>
        <w:bottom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3">
    <w:name w:val="xl63"/>
    <w:basedOn w:val="Normal"/>
    <w:rsid w:val="002831AB"/>
    <w:pPr>
      <w:widowControl w:val="0"/>
      <w:pBdr>
        <w:bottom w:val="double" w:sz="6"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4">
    <w:name w:val="xl64"/>
    <w:basedOn w:val="Normal"/>
    <w:rsid w:val="002831AB"/>
    <w:pPr>
      <w:widowControl w:val="0"/>
      <w:autoSpaceDE w:val="0"/>
      <w:autoSpaceDN w:val="0"/>
      <w:adjustRightInd w:val="0"/>
      <w:spacing w:before="100" w:beforeAutospacing="1" w:after="100" w:afterAutospacing="1"/>
      <w:jc w:val="right"/>
    </w:pPr>
    <w:rPr>
      <w:rFonts w:ascii="Times New Roman" w:hAnsi="Times New Roman"/>
      <w:sz w:val="16"/>
      <w:szCs w:val="16"/>
      <w:lang w:val="en-US" w:eastAsia="es-AR"/>
    </w:rPr>
  </w:style>
  <w:style w:type="paragraph" w:customStyle="1" w:styleId="xl65">
    <w:name w:val="xl65"/>
    <w:basedOn w:val="Normal"/>
    <w:rsid w:val="002831AB"/>
    <w:pPr>
      <w:widowControl w:val="0"/>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CarCarCarCarCarCarCarCarCarCarCarCar1CarCarCar1CarCarCarCarCarCarCar">
    <w:name w:val="Car Car Car Car Car Car Car Car Car Car Car Car1 Car Car Car1 Car Car Car Car Car Car Car"/>
    <w:basedOn w:val="Normal"/>
    <w:rsid w:val="002831AB"/>
    <w:pPr>
      <w:widowControl w:val="0"/>
      <w:autoSpaceDE w:val="0"/>
      <w:autoSpaceDN w:val="0"/>
      <w:adjustRightInd w:val="0"/>
      <w:spacing w:after="160" w:line="240" w:lineRule="exact"/>
    </w:pPr>
    <w:rPr>
      <w:rFonts w:ascii="PMingLiU" w:eastAsia="PMingLiU" w:hAnsi="Times New Roman" w:cs="PMingLiU"/>
      <w:lang w:val="en-US" w:eastAsia="es-AR"/>
    </w:rPr>
  </w:style>
  <w:style w:type="paragraph" w:customStyle="1" w:styleId="BodyText2SglCar1">
    <w:name w:val="Body Text 2 Sgl Car1"/>
    <w:basedOn w:val="Normal"/>
    <w:rsid w:val="002831AB"/>
    <w:pPr>
      <w:widowControl w:val="0"/>
      <w:autoSpaceDE w:val="0"/>
      <w:autoSpaceDN w:val="0"/>
      <w:adjustRightInd w:val="0"/>
      <w:spacing w:after="240" w:line="360" w:lineRule="atLeast"/>
      <w:ind w:firstLine="720"/>
      <w:jc w:val="both"/>
    </w:pPr>
    <w:rPr>
      <w:rFonts w:ascii="Times New Roman" w:hAnsi="Times New Roman"/>
      <w:lang w:val="en-US" w:eastAsia="es-AR"/>
    </w:rPr>
  </w:style>
  <w:style w:type="paragraph" w:customStyle="1" w:styleId="textoindenpiente">
    <w:name w:val="texto indenpiente"/>
    <w:basedOn w:val="NormalWeb"/>
    <w:rsid w:val="002831AB"/>
    <w:pPr>
      <w:widowControl w:val="0"/>
      <w:autoSpaceDE w:val="0"/>
      <w:autoSpaceDN w:val="0"/>
      <w:adjustRightInd w:val="0"/>
      <w:spacing w:before="0" w:beforeAutospacing="0" w:after="240" w:afterAutospacing="0" w:line="240" w:lineRule="exact"/>
      <w:ind w:firstLine="539"/>
      <w:jc w:val="both"/>
    </w:pPr>
    <w:rPr>
      <w:rFonts w:ascii="Times New Roman" w:eastAsia="Times New Roman" w:hAnsi="Times New Roman" w:cs="Times New Roman"/>
      <w:sz w:val="21"/>
      <w:szCs w:val="21"/>
      <w:lang w:val="en-US" w:eastAsia="en-US"/>
    </w:rPr>
  </w:style>
  <w:style w:type="character" w:customStyle="1" w:styleId="BodyText2SglCarCarCarCarCarCar">
    <w:name w:val="Body Text 2 Sgl Car Car Car Car Car Car"/>
    <w:rsid w:val="002831AB"/>
    <w:rPr>
      <w:rFonts w:ascii="Times New Roman" w:hAnsi="Times New Roman"/>
      <w:spacing w:val="0"/>
      <w:sz w:val="24"/>
      <w:lang w:val="es-ES" w:eastAsia="x-none"/>
    </w:rPr>
  </w:style>
  <w:style w:type="paragraph" w:customStyle="1" w:styleId="blocktextbold0">
    <w:name w:val="block text bold"/>
    <w:basedOn w:val="DeltaViewTableBody"/>
    <w:rsid w:val="002831AB"/>
    <w:pPr>
      <w:widowControl w:val="0"/>
      <w:spacing w:after="240"/>
    </w:pPr>
    <w:rPr>
      <w:rFonts w:ascii="Times New Roman" w:hAnsi="Times New Roman" w:cs="Times New Roman"/>
      <w:b/>
      <w:bCs/>
      <w:sz w:val="22"/>
      <w:szCs w:val="22"/>
      <w:lang w:eastAsia="es-ES"/>
    </w:rPr>
  </w:style>
  <w:style w:type="paragraph" w:customStyle="1" w:styleId="5boldital">
    <w:name w:val=".5 bold/ital."/>
    <w:basedOn w:val="Normal"/>
    <w:rsid w:val="002831AB"/>
    <w:pPr>
      <w:keepNext/>
      <w:widowControl w:val="0"/>
      <w:autoSpaceDE w:val="0"/>
      <w:autoSpaceDN w:val="0"/>
      <w:adjustRightInd w:val="0"/>
      <w:spacing w:after="240"/>
      <w:ind w:firstLine="720"/>
    </w:pPr>
    <w:rPr>
      <w:rFonts w:ascii="MS Mincho" w:eastAsia="MS Mincho" w:hAnsi="Times New Roman" w:cs="MS Mincho"/>
      <w:b/>
      <w:bCs/>
      <w:i/>
      <w:iCs/>
      <w:lang w:val="en-US" w:eastAsia="es-AR"/>
    </w:rPr>
  </w:style>
  <w:style w:type="character" w:customStyle="1" w:styleId="5bolditalChar">
    <w:name w:val=".5 bold/ital. Char"/>
    <w:rsid w:val="002831AB"/>
    <w:rPr>
      <w:rFonts w:ascii="MS Mincho" w:eastAsia="MS Mincho"/>
      <w:b/>
      <w:i/>
      <w:spacing w:val="0"/>
      <w:sz w:val="20"/>
      <w:lang w:val="es-ES" w:eastAsia="x-none"/>
    </w:rPr>
  </w:style>
  <w:style w:type="character" w:customStyle="1" w:styleId="BodyText2SglChar">
    <w:name w:val="Body Text 2 Sgl Char"/>
    <w:aliases w:val="2btx Char"/>
    <w:rsid w:val="002831AB"/>
    <w:rPr>
      <w:rFonts w:ascii="Times New Roman" w:hAnsi="Times New Roman"/>
      <w:spacing w:val="0"/>
      <w:sz w:val="20"/>
      <w:lang w:val="en-US" w:eastAsia="x-none"/>
    </w:rPr>
  </w:style>
  <w:style w:type="character" w:customStyle="1" w:styleId="TitleIIndentedChar">
    <w:name w:val="Title I Indented Char"/>
    <w:rsid w:val="002831AB"/>
    <w:rPr>
      <w:rFonts w:ascii="Times New Roman" w:hAnsi="Times New Roman"/>
      <w:i/>
      <w:spacing w:val="0"/>
      <w:sz w:val="20"/>
      <w:lang w:val="en-US" w:eastAsia="x-none"/>
    </w:rPr>
  </w:style>
  <w:style w:type="character" w:customStyle="1" w:styleId="CarCar2">
    <w:name w:val="Car Car2"/>
    <w:aliases w:val="Fuente de p疵rafo predeter.1"/>
    <w:rsid w:val="002831AB"/>
    <w:rPr>
      <w:rFonts w:ascii="Times New Roman" w:hAnsi="Times New Roman"/>
      <w:spacing w:val="0"/>
      <w:sz w:val="24"/>
      <w:lang w:val="en-US" w:eastAsia="x-none"/>
    </w:rPr>
  </w:style>
  <w:style w:type="character" w:customStyle="1" w:styleId="DeltaViewComment">
    <w:name w:val="DeltaView Comment"/>
    <w:rsid w:val="002831AB"/>
    <w:rPr>
      <w:color w:val="000000"/>
      <w:spacing w:val="0"/>
    </w:rPr>
  </w:style>
  <w:style w:type="character" w:customStyle="1" w:styleId="DeltaViewInsertedComment">
    <w:name w:val="DeltaView Inserted Comment"/>
    <w:rsid w:val="002831AB"/>
    <w:rPr>
      <w:color w:val="0000FF"/>
      <w:spacing w:val="0"/>
      <w:u w:val="double"/>
    </w:rPr>
  </w:style>
  <w:style w:type="character" w:customStyle="1" w:styleId="DeltaViewDeletedComment">
    <w:name w:val="DeltaView Deleted Comment"/>
    <w:rsid w:val="002831AB"/>
    <w:rPr>
      <w:strike/>
      <w:color w:val="FF0000"/>
      <w:spacing w:val="0"/>
    </w:rPr>
  </w:style>
  <w:style w:type="paragraph" w:customStyle="1" w:styleId="CarCarCarCarCarCar1CarCarCarCarCarCarCarCarCarCarCarCarCarCarCarCar">
    <w:name w:val="Car Car Car Car Car Car1 Car Car Car Car Car Car 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1">
    <w:name w:val="Car Car Car 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xl79">
    <w:name w:val="xl79"/>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0">
    <w:name w:val="xl80"/>
    <w:basedOn w:val="Normal"/>
    <w:rsid w:val="002831AB"/>
    <w:pPr>
      <w:autoSpaceDE w:val="0"/>
      <w:autoSpaceDN w:val="0"/>
      <w:adjustRightInd w:val="0"/>
      <w:spacing w:before="100" w:beforeAutospacing="1" w:after="100" w:afterAutospacing="1"/>
    </w:pPr>
    <w:rPr>
      <w:rFonts w:ascii="Times New Roman" w:hAnsi="Times New Roman"/>
      <w:b/>
      <w:bCs/>
      <w:sz w:val="18"/>
      <w:szCs w:val="18"/>
      <w:lang w:val="en-US" w:eastAsia="es-AR"/>
    </w:rPr>
  </w:style>
  <w:style w:type="paragraph" w:customStyle="1" w:styleId="xl81">
    <w:name w:val="xl81"/>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2">
    <w:name w:val="xl82"/>
    <w:basedOn w:val="Normal"/>
    <w:rsid w:val="002831AB"/>
    <w:pP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3">
    <w:name w:val="xl83"/>
    <w:basedOn w:val="Normal"/>
    <w:rsid w:val="002831AB"/>
    <w:pPr>
      <w:pBdr>
        <w:bottom w:val="single" w:sz="4" w:space="0" w:color="000000"/>
      </w:pBdr>
      <w:autoSpaceDE w:val="0"/>
      <w:autoSpaceDN w:val="0"/>
      <w:adjustRightInd w:val="0"/>
      <w:spacing w:before="100" w:beforeAutospacing="1" w:after="100" w:afterAutospacing="1"/>
      <w:jc w:val="center"/>
    </w:pPr>
    <w:rPr>
      <w:rFonts w:ascii="Times New Roman" w:hAnsi="Times New Roman"/>
      <w:b/>
      <w:bCs/>
      <w:sz w:val="18"/>
      <w:szCs w:val="18"/>
      <w:lang w:val="en-US" w:eastAsia="es-AR"/>
    </w:rPr>
  </w:style>
  <w:style w:type="paragraph" w:customStyle="1" w:styleId="xl84">
    <w:name w:val="xl84"/>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5">
    <w:name w:val="xl85"/>
    <w:basedOn w:val="Normal"/>
    <w:rsid w:val="002831AB"/>
    <w:pP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6">
    <w:name w:val="xl86"/>
    <w:basedOn w:val="Normal"/>
    <w:rsid w:val="002831AB"/>
    <w:pP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87">
    <w:name w:val="xl87"/>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8">
    <w:name w:val="xl88"/>
    <w:basedOn w:val="Normal"/>
    <w:rsid w:val="002831AB"/>
    <w:pP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9">
    <w:name w:val="xl89"/>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0">
    <w:name w:val="xl90"/>
    <w:basedOn w:val="Normal"/>
    <w:rsid w:val="002831AB"/>
    <w:pPr>
      <w:pBdr>
        <w:bottom w:val="single" w:sz="4" w:space="0" w:color="000000"/>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91">
    <w:name w:val="xl91"/>
    <w:basedOn w:val="Normal"/>
    <w:rsid w:val="002831AB"/>
    <w:pPr>
      <w:pBdr>
        <w:top w:val="single" w:sz="4" w:space="0" w:color="000000"/>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92">
    <w:name w:val="xl92"/>
    <w:basedOn w:val="Normal"/>
    <w:rsid w:val="002831AB"/>
    <w:pP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3">
    <w:name w:val="xl93"/>
    <w:basedOn w:val="Normal"/>
    <w:rsid w:val="002831AB"/>
    <w:pP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94">
    <w:name w:val="xl94"/>
    <w:basedOn w:val="Normal"/>
    <w:rsid w:val="002831AB"/>
    <w:pPr>
      <w:pBdr>
        <w:bottom w:val="single" w:sz="4" w:space="0" w:color="000000"/>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5">
    <w:name w:val="xl95"/>
    <w:basedOn w:val="Normal"/>
    <w:rsid w:val="002831AB"/>
    <w:pPr>
      <w:pBdr>
        <w:bottom w:val="single" w:sz="4" w:space="0" w:color="auto"/>
      </w:pBd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96">
    <w:name w:val="xl96"/>
    <w:basedOn w:val="Normal"/>
    <w:rsid w:val="002831AB"/>
    <w:pPr>
      <w:pBdr>
        <w:top w:val="single" w:sz="4" w:space="0" w:color="auto"/>
      </w:pBd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97">
    <w:name w:val="xl97"/>
    <w:basedOn w:val="Normal"/>
    <w:rsid w:val="002831AB"/>
    <w:pPr>
      <w:pBdr>
        <w:top w:val="single" w:sz="4" w:space="0" w:color="auto"/>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8">
    <w:name w:val="xl98"/>
    <w:basedOn w:val="Normal"/>
    <w:rsid w:val="002831AB"/>
    <w:pPr>
      <w:pBdr>
        <w:top w:val="single" w:sz="4" w:space="0" w:color="auto"/>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9">
    <w:name w:val="xl99"/>
    <w:basedOn w:val="Normal"/>
    <w:rsid w:val="002831AB"/>
    <w:pPr>
      <w:pBdr>
        <w:bottom w:val="single" w:sz="4" w:space="0" w:color="000000"/>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0">
    <w:name w:val="xl100"/>
    <w:basedOn w:val="Normal"/>
    <w:rsid w:val="002831AB"/>
    <w:pPr>
      <w:pBdr>
        <w:top w:val="single" w:sz="4" w:space="0" w:color="000000"/>
        <w:bottom w:val="single" w:sz="4" w:space="0" w:color="auto"/>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1">
    <w:name w:val="xl101"/>
    <w:basedOn w:val="Normal"/>
    <w:rsid w:val="002831AB"/>
    <w:pPr>
      <w:pBdr>
        <w:top w:val="single" w:sz="4" w:space="0" w:color="auto"/>
        <w:bottom w:val="single" w:sz="4" w:space="0" w:color="auto"/>
      </w:pBd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102">
    <w:name w:val="xl102"/>
    <w:basedOn w:val="Normal"/>
    <w:rsid w:val="002831AB"/>
    <w:pPr>
      <w:pBdr>
        <w:bottom w:val="single" w:sz="4" w:space="0" w:color="auto"/>
      </w:pBd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103">
    <w:name w:val="xl103"/>
    <w:basedOn w:val="Normal"/>
    <w:rsid w:val="002831AB"/>
    <w:pPr>
      <w:pBdr>
        <w:top w:val="single" w:sz="4" w:space="0" w:color="auto"/>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4">
    <w:name w:val="xl104"/>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5">
    <w:name w:val="xl105"/>
    <w:basedOn w:val="Normal"/>
    <w:rsid w:val="002831AB"/>
    <w:pPr>
      <w:pBdr>
        <w:top w:val="single" w:sz="4" w:space="0" w:color="auto"/>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6">
    <w:name w:val="xl106"/>
    <w:basedOn w:val="Normal"/>
    <w:rsid w:val="002831AB"/>
    <w:pPr>
      <w:pBdr>
        <w:bottom w:val="single" w:sz="4" w:space="0" w:color="auto"/>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7">
    <w:name w:val="xl107"/>
    <w:basedOn w:val="Normal"/>
    <w:rsid w:val="002831AB"/>
    <w:pPr>
      <w:pBdr>
        <w:bottom w:val="double" w:sz="6" w:space="0" w:color="000000"/>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8">
    <w:name w:val="xl108"/>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9">
    <w:name w:val="xl109"/>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10">
    <w:name w:val="xl110"/>
    <w:basedOn w:val="Normal"/>
    <w:rsid w:val="002831AB"/>
    <w:pPr>
      <w:pBdr>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11">
    <w:name w:val="xl111"/>
    <w:basedOn w:val="Normal"/>
    <w:rsid w:val="002831AB"/>
    <w:pP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12">
    <w:name w:val="xl112"/>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3">
    <w:name w:val="xl113"/>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b/>
      <w:bCs/>
      <w:sz w:val="16"/>
      <w:szCs w:val="16"/>
      <w:lang w:val="en-US" w:eastAsia="es-AR"/>
    </w:rPr>
  </w:style>
  <w:style w:type="paragraph" w:customStyle="1" w:styleId="xl114">
    <w:name w:val="xl114"/>
    <w:basedOn w:val="Normal"/>
    <w:rsid w:val="002831AB"/>
    <w:pPr>
      <w:pBdr>
        <w:bottom w:val="single" w:sz="4" w:space="0" w:color="000000"/>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15">
    <w:name w:val="xl115"/>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6">
    <w:name w:val="xl116"/>
    <w:basedOn w:val="Normal"/>
    <w:rsid w:val="002831AB"/>
    <w:pPr>
      <w:pBdr>
        <w:top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7">
    <w:name w:val="xl117"/>
    <w:basedOn w:val="Normal"/>
    <w:rsid w:val="002831AB"/>
    <w:pPr>
      <w:pBdr>
        <w:top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8">
    <w:name w:val="xl118"/>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9">
    <w:name w:val="xl119"/>
    <w:basedOn w:val="Normal"/>
    <w:rsid w:val="002831AB"/>
    <w:pPr>
      <w:autoSpaceDE w:val="0"/>
      <w:autoSpaceDN w:val="0"/>
      <w:adjustRightInd w:val="0"/>
      <w:spacing w:before="100" w:beforeAutospacing="1" w:after="100" w:afterAutospacing="1"/>
      <w:jc w:val="right"/>
    </w:pPr>
    <w:rPr>
      <w:rFonts w:ascii="Times New Roman" w:hAnsi="Times New Roman"/>
      <w:sz w:val="16"/>
      <w:szCs w:val="16"/>
      <w:lang w:val="en-US" w:eastAsia="es-AR"/>
    </w:rPr>
  </w:style>
  <w:style w:type="paragraph" w:customStyle="1" w:styleId="xl120">
    <w:name w:val="xl120"/>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1">
    <w:name w:val="xl121"/>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2">
    <w:name w:val="xl122"/>
    <w:basedOn w:val="Normal"/>
    <w:rsid w:val="002831AB"/>
    <w:pPr>
      <w:pBdr>
        <w:top w:val="single" w:sz="4" w:space="0" w:color="000000"/>
        <w:bottom w:val="double" w:sz="6"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3">
    <w:name w:val="xl123"/>
    <w:basedOn w:val="Normal"/>
    <w:rsid w:val="002831AB"/>
    <w:pPr>
      <w:pBdr>
        <w:top w:val="single" w:sz="4" w:space="0" w:color="000000"/>
        <w:bottom w:val="double" w:sz="6"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4">
    <w:name w:val="xl124"/>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5">
    <w:name w:val="xl125"/>
    <w:basedOn w:val="Normal"/>
    <w:rsid w:val="002831AB"/>
    <w:pPr>
      <w:pBdr>
        <w:bottom w:val="single" w:sz="4" w:space="0" w:color="000000"/>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26">
    <w:name w:val="xl126"/>
    <w:basedOn w:val="Normal"/>
    <w:rsid w:val="002831AB"/>
    <w:pPr>
      <w:pBdr>
        <w:top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27">
    <w:name w:val="xl127"/>
    <w:basedOn w:val="Normal"/>
    <w:rsid w:val="002831AB"/>
    <w:pPr>
      <w:pBdr>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28">
    <w:name w:val="xl128"/>
    <w:basedOn w:val="Normal"/>
    <w:rsid w:val="002831AB"/>
    <w:pPr>
      <w:pBdr>
        <w:top w:val="single" w:sz="4" w:space="0" w:color="auto"/>
        <w:left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29">
    <w:name w:val="xl129"/>
    <w:basedOn w:val="Normal"/>
    <w:rsid w:val="002831AB"/>
    <w:pPr>
      <w:pBdr>
        <w:top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30">
    <w:name w:val="xl130"/>
    <w:basedOn w:val="Normal"/>
    <w:rsid w:val="002831AB"/>
    <w:pPr>
      <w:pBdr>
        <w:top w:val="single" w:sz="4" w:space="0" w:color="auto"/>
        <w:bottom w:val="single" w:sz="4" w:space="0" w:color="auto"/>
        <w:right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31">
    <w:name w:val="xl131"/>
    <w:basedOn w:val="Normal"/>
    <w:rsid w:val="002831AB"/>
    <w:pPr>
      <w:pBdr>
        <w:bottom w:val="single" w:sz="4" w:space="0" w:color="auto"/>
      </w:pBdr>
      <w:autoSpaceDE w:val="0"/>
      <w:autoSpaceDN w:val="0"/>
      <w:adjustRightInd w:val="0"/>
      <w:spacing w:before="100" w:beforeAutospacing="1" w:after="100" w:afterAutospacing="1"/>
      <w:jc w:val="center"/>
    </w:pPr>
    <w:rPr>
      <w:rFonts w:ascii="Times New Roman" w:hAnsi="Times New Roman"/>
      <w:b/>
      <w:bCs/>
      <w:sz w:val="16"/>
      <w:szCs w:val="16"/>
      <w:lang w:val="en-US" w:eastAsia="es-AR"/>
    </w:rPr>
  </w:style>
  <w:style w:type="paragraph" w:customStyle="1" w:styleId="xl132">
    <w:name w:val="xl132"/>
    <w:basedOn w:val="Normal"/>
    <w:rsid w:val="002831AB"/>
    <w:pPr>
      <w:pBdr>
        <w:top w:val="single" w:sz="4" w:space="0" w:color="auto"/>
        <w:left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33">
    <w:name w:val="xl133"/>
    <w:basedOn w:val="Normal"/>
    <w:rsid w:val="002831AB"/>
    <w:pPr>
      <w:pBdr>
        <w:top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34">
    <w:name w:val="xl134"/>
    <w:basedOn w:val="Normal"/>
    <w:rsid w:val="002831AB"/>
    <w:pPr>
      <w:pBdr>
        <w:top w:val="single" w:sz="4" w:space="0" w:color="auto"/>
        <w:bottom w:val="single" w:sz="4" w:space="0" w:color="auto"/>
        <w:right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35">
    <w:name w:val="xl135"/>
    <w:basedOn w:val="Normal"/>
    <w:rsid w:val="002831AB"/>
    <w:pPr>
      <w:pBdr>
        <w:top w:val="single" w:sz="4" w:space="0" w:color="auto"/>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36">
    <w:name w:val="xl136"/>
    <w:basedOn w:val="Normal"/>
    <w:rsid w:val="002831AB"/>
    <w:pPr>
      <w:pBdr>
        <w:top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37">
    <w:name w:val="xl137"/>
    <w:basedOn w:val="Normal"/>
    <w:rsid w:val="002831AB"/>
    <w:pPr>
      <w:pBdr>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38">
    <w:name w:val="xl138"/>
    <w:basedOn w:val="Normal"/>
    <w:rsid w:val="002831AB"/>
    <w:pP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39">
    <w:name w:val="xl139"/>
    <w:basedOn w:val="Normal"/>
    <w:rsid w:val="002831AB"/>
    <w:pPr>
      <w:pBdr>
        <w:left w:val="single" w:sz="4" w:space="0" w:color="auto"/>
        <w:bottom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0">
    <w:name w:val="xl140"/>
    <w:basedOn w:val="Normal"/>
    <w:rsid w:val="002831AB"/>
    <w:pPr>
      <w:pBdr>
        <w:bottom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1">
    <w:name w:val="xl141"/>
    <w:basedOn w:val="Normal"/>
    <w:rsid w:val="002831AB"/>
    <w:pPr>
      <w:pBdr>
        <w:top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2">
    <w:name w:val="xl142"/>
    <w:basedOn w:val="Normal"/>
    <w:rsid w:val="002831AB"/>
    <w:pPr>
      <w:pBdr>
        <w:bottom w:val="single" w:sz="4" w:space="0" w:color="000000"/>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3">
    <w:name w:val="xl143"/>
    <w:basedOn w:val="Normal"/>
    <w:rsid w:val="002831AB"/>
    <w:pPr>
      <w:pBdr>
        <w:top w:val="single" w:sz="4" w:space="0" w:color="auto"/>
        <w:righ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4">
    <w:name w:val="xl144"/>
    <w:basedOn w:val="Normal"/>
    <w:rsid w:val="002831AB"/>
    <w:pPr>
      <w:pBdr>
        <w:bottom w:val="single" w:sz="4" w:space="0" w:color="000000"/>
        <w:righ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5">
    <w:name w:val="xl145"/>
    <w:basedOn w:val="Normal"/>
    <w:rsid w:val="002831AB"/>
    <w:pPr>
      <w:pBdr>
        <w:top w:val="single" w:sz="4" w:space="0" w:color="auto"/>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6">
    <w:name w:val="xl146"/>
    <w:basedOn w:val="Normal"/>
    <w:rsid w:val="002831AB"/>
    <w:pPr>
      <w:pBdr>
        <w:left w:val="single" w:sz="4" w:space="0" w:color="auto"/>
        <w:bottom w:val="single" w:sz="4" w:space="0" w:color="000000"/>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7">
    <w:name w:val="xl147"/>
    <w:basedOn w:val="Normal"/>
    <w:rsid w:val="002831AB"/>
    <w:pPr>
      <w:pBdr>
        <w:bottom w:val="single" w:sz="4" w:space="0" w:color="auto"/>
      </w:pBdr>
      <w:autoSpaceDE w:val="0"/>
      <w:autoSpaceDN w:val="0"/>
      <w:adjustRightInd w:val="0"/>
      <w:spacing w:before="100" w:beforeAutospacing="1" w:after="100" w:afterAutospacing="1"/>
      <w:jc w:val="center"/>
    </w:pPr>
    <w:rPr>
      <w:rFonts w:ascii="Times New Roman" w:hAnsi="Times New Roman"/>
      <w:b/>
      <w:bCs/>
      <w:sz w:val="18"/>
      <w:szCs w:val="18"/>
      <w:lang w:val="en-US" w:eastAsia="es-AR"/>
    </w:rPr>
  </w:style>
  <w:style w:type="paragraph" w:customStyle="1" w:styleId="xl148">
    <w:name w:val="xl148"/>
    <w:basedOn w:val="Normal"/>
    <w:rsid w:val="002831AB"/>
    <w:pPr>
      <w:pBdr>
        <w:top w:val="single" w:sz="4" w:space="0" w:color="auto"/>
        <w:righ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49">
    <w:name w:val="xl149"/>
    <w:basedOn w:val="Normal"/>
    <w:rsid w:val="002831AB"/>
    <w:pPr>
      <w:pBdr>
        <w:bottom w:val="single" w:sz="4" w:space="0" w:color="000000"/>
        <w:righ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0">
    <w:name w:val="xl150"/>
    <w:basedOn w:val="Normal"/>
    <w:rsid w:val="002831AB"/>
    <w:pPr>
      <w:pBdr>
        <w:top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1">
    <w:name w:val="xl151"/>
    <w:basedOn w:val="Normal"/>
    <w:rsid w:val="002831AB"/>
    <w:pPr>
      <w:pBdr>
        <w:top w:val="single" w:sz="4" w:space="0" w:color="auto"/>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2">
    <w:name w:val="xl152"/>
    <w:basedOn w:val="Normal"/>
    <w:rsid w:val="002831AB"/>
    <w:pPr>
      <w:pBdr>
        <w:left w:val="single" w:sz="4" w:space="0" w:color="auto"/>
        <w:bottom w:val="single" w:sz="4" w:space="0" w:color="000000"/>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3">
    <w:name w:val="xl153"/>
    <w:basedOn w:val="Normal"/>
    <w:rsid w:val="002831AB"/>
    <w:pPr>
      <w:pBdr>
        <w:top w:val="single" w:sz="4" w:space="0" w:color="auto"/>
        <w:bottom w:val="single" w:sz="4" w:space="0" w:color="auto"/>
        <w:right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54">
    <w:name w:val="xl154"/>
    <w:basedOn w:val="Normal"/>
    <w:rsid w:val="002831AB"/>
    <w:pPr>
      <w:pBdr>
        <w:top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55">
    <w:name w:val="xl155"/>
    <w:basedOn w:val="Normal"/>
    <w:rsid w:val="002831AB"/>
    <w:pPr>
      <w:pBdr>
        <w:top w:val="single" w:sz="4" w:space="0" w:color="auto"/>
        <w:bottom w:val="single" w:sz="4" w:space="0" w:color="auto"/>
        <w:right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56">
    <w:name w:val="xl156"/>
    <w:basedOn w:val="Normal"/>
    <w:rsid w:val="002831AB"/>
    <w:pPr>
      <w:pBdr>
        <w:top w:val="single" w:sz="4" w:space="0" w:color="auto"/>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7">
    <w:name w:val="xl157"/>
    <w:basedOn w:val="Normal"/>
    <w:rsid w:val="002831AB"/>
    <w:pPr>
      <w:pBdr>
        <w:top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8">
    <w:name w:val="xl158"/>
    <w:basedOn w:val="Normal"/>
    <w:rsid w:val="002831AB"/>
    <w:pPr>
      <w:pBdr>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9">
    <w:name w:val="xl159"/>
    <w:basedOn w:val="Normal"/>
    <w:rsid w:val="002831AB"/>
    <w:pP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60">
    <w:name w:val="xl160"/>
    <w:basedOn w:val="Normal"/>
    <w:rsid w:val="002831AB"/>
    <w:pPr>
      <w:pBdr>
        <w:left w:val="single" w:sz="4" w:space="0" w:color="auto"/>
        <w:bottom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61">
    <w:name w:val="xl161"/>
    <w:basedOn w:val="Normal"/>
    <w:rsid w:val="002831AB"/>
    <w:pPr>
      <w:pBdr>
        <w:bottom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character" w:customStyle="1" w:styleId="BulletCar">
    <w:name w:val="Bullet Car"/>
    <w:link w:val="Bullet"/>
    <w:locked/>
    <w:rsid w:val="002831AB"/>
    <w:rPr>
      <w:rFonts w:ascii="Times New Roman" w:eastAsia="SimSun" w:hAnsi="Times New Roman"/>
      <w:sz w:val="24"/>
      <w:lang w:val="en-US" w:eastAsia="x-none"/>
    </w:rPr>
  </w:style>
  <w:style w:type="character" w:customStyle="1" w:styleId="st">
    <w:name w:val="st"/>
    <w:rsid w:val="002831AB"/>
    <w:rPr>
      <w:rFonts w:cs="Times New Roman"/>
    </w:rPr>
  </w:style>
  <w:style w:type="paragraph" w:customStyle="1" w:styleId="Textodebloque1">
    <w:name w:val="Texto de bloque1"/>
    <w:basedOn w:val="Normal"/>
    <w:rsid w:val="002831AB"/>
    <w:pPr>
      <w:ind w:left="284" w:right="284" w:firstLine="709"/>
      <w:jc w:val="both"/>
    </w:pPr>
    <w:rPr>
      <w:rFonts w:ascii="Book Antiqua" w:hAnsi="Book Antiqua"/>
      <w:kern w:val="18"/>
      <w:lang w:val="es-ES" w:eastAsia="es-ES"/>
    </w:rPr>
  </w:style>
  <w:style w:type="paragraph" w:customStyle="1" w:styleId="Sangra2detindependiente1">
    <w:name w:val="Sangría 2 de t. independiente1"/>
    <w:basedOn w:val="Normal"/>
    <w:rsid w:val="002831AB"/>
    <w:pPr>
      <w:ind w:left="284" w:firstLine="709"/>
      <w:jc w:val="both"/>
    </w:pPr>
    <w:rPr>
      <w:rFonts w:ascii="Book Antiqua" w:hAnsi="Book Antiqua"/>
      <w:kern w:val="18"/>
      <w:lang w:val="es-ES" w:eastAsia="es-ES"/>
    </w:rPr>
  </w:style>
  <w:style w:type="paragraph" w:customStyle="1" w:styleId="Saludo1">
    <w:name w:val="Saludo1"/>
    <w:basedOn w:val="Normal"/>
    <w:next w:val="Normal"/>
    <w:rsid w:val="002831AB"/>
    <w:pPr>
      <w:spacing w:before="240" w:after="240" w:line="240" w:lineRule="atLeast"/>
    </w:pPr>
    <w:rPr>
      <w:rFonts w:ascii="Garamond" w:hAnsi="Garamond"/>
      <w:kern w:val="18"/>
      <w:lang w:val="es-ES" w:eastAsia="es-ES"/>
    </w:rPr>
  </w:style>
  <w:style w:type="paragraph" w:customStyle="1" w:styleId="Fecha1">
    <w:name w:val="Fecha1"/>
    <w:basedOn w:val="Normal"/>
    <w:next w:val="Normal"/>
    <w:rsid w:val="002831AB"/>
    <w:pPr>
      <w:spacing w:after="220"/>
      <w:ind w:left="4320"/>
      <w:jc w:val="both"/>
    </w:pPr>
    <w:rPr>
      <w:rFonts w:ascii="Garamond" w:hAnsi="Garamond"/>
      <w:kern w:val="18"/>
      <w:lang w:val="es-ES" w:eastAsia="es-ES"/>
    </w:rPr>
  </w:style>
  <w:style w:type="character" w:customStyle="1" w:styleId="nfasis1">
    <w:name w:val="Énfasis1"/>
    <w:rsid w:val="002831AB"/>
    <w:rPr>
      <w:caps/>
      <w:sz w:val="18"/>
    </w:rPr>
  </w:style>
  <w:style w:type="paragraph" w:customStyle="1" w:styleId="Documentosadjuntos">
    <w:name w:val="Documentos adjuntos"/>
    <w:basedOn w:val="Normal"/>
    <w:next w:val="Normal"/>
    <w:rsid w:val="002831AB"/>
    <w:pPr>
      <w:keepNext/>
      <w:keepLines/>
      <w:spacing w:before="120" w:after="120" w:line="240" w:lineRule="atLeast"/>
      <w:jc w:val="both"/>
    </w:pPr>
    <w:rPr>
      <w:rFonts w:ascii="Garamond" w:hAnsi="Garamond"/>
      <w:kern w:val="18"/>
      <w:lang w:val="es-ES" w:eastAsia="es-ES"/>
    </w:rPr>
  </w:style>
  <w:style w:type="paragraph" w:customStyle="1" w:styleId="Lneadeatencin">
    <w:name w:val="Línea de atención"/>
    <w:basedOn w:val="Normal"/>
    <w:next w:val="Saludo1"/>
    <w:rsid w:val="002831AB"/>
    <w:pPr>
      <w:spacing w:before="220" w:line="240" w:lineRule="atLeast"/>
    </w:pPr>
    <w:rPr>
      <w:rFonts w:ascii="Garamond" w:hAnsi="Garamond"/>
      <w:kern w:val="18"/>
      <w:lang w:val="es-ES" w:eastAsia="es-ES"/>
    </w:rPr>
  </w:style>
  <w:style w:type="paragraph" w:customStyle="1" w:styleId="ListaCC">
    <w:name w:val="Lista CC"/>
    <w:basedOn w:val="Normal"/>
    <w:rsid w:val="002831AB"/>
    <w:pPr>
      <w:keepLines/>
      <w:spacing w:line="240" w:lineRule="atLeast"/>
      <w:ind w:left="360" w:hanging="360"/>
    </w:pPr>
    <w:rPr>
      <w:rFonts w:ascii="Garamond" w:hAnsi="Garamond"/>
      <w:kern w:val="18"/>
      <w:lang w:val="es-ES" w:eastAsia="es-ES"/>
    </w:rPr>
  </w:style>
  <w:style w:type="paragraph" w:customStyle="1" w:styleId="Organizacin">
    <w:name w:val="Organización"/>
    <w:basedOn w:val="Textoindependiente"/>
    <w:next w:val="Textoindependiente"/>
    <w:rsid w:val="002831AB"/>
    <w:pPr>
      <w:keepLines/>
      <w:framePr w:w="8640" w:h="1440" w:wrap="notBeside" w:vAnchor="page" w:hAnchor="margin" w:xAlign="center" w:y="889"/>
      <w:autoSpaceDE/>
      <w:autoSpaceDN/>
      <w:adjustRightInd/>
      <w:spacing w:after="40" w:line="240" w:lineRule="atLeast"/>
      <w:jc w:val="center"/>
    </w:pPr>
    <w:rPr>
      <w:rFonts w:ascii="Garamond" w:hAnsi="Garamond"/>
      <w:caps/>
      <w:spacing w:val="75"/>
      <w:kern w:val="18"/>
      <w:sz w:val="21"/>
      <w:lang w:val="es-ES" w:eastAsia="es-ES"/>
    </w:rPr>
  </w:style>
  <w:style w:type="paragraph" w:customStyle="1" w:styleId="Ttulo-base">
    <w:name w:val="Título - base"/>
    <w:basedOn w:val="Textoindependiente"/>
    <w:next w:val="Textoindependiente"/>
    <w:rsid w:val="002831AB"/>
    <w:pPr>
      <w:keepNext/>
      <w:keepLines/>
      <w:autoSpaceDE/>
      <w:autoSpaceDN/>
      <w:adjustRightInd/>
      <w:spacing w:after="0" w:line="240" w:lineRule="atLeast"/>
    </w:pPr>
    <w:rPr>
      <w:rFonts w:ascii="Garamond" w:hAnsi="Garamond"/>
      <w:kern w:val="20"/>
      <w:lang w:val="es-ES" w:eastAsia="es-ES"/>
    </w:rPr>
  </w:style>
  <w:style w:type="paragraph" w:customStyle="1" w:styleId="Direccininterior">
    <w:name w:val="Dirección interior"/>
    <w:basedOn w:val="Normal"/>
    <w:rsid w:val="002831AB"/>
    <w:pPr>
      <w:spacing w:line="240" w:lineRule="atLeast"/>
    </w:pPr>
    <w:rPr>
      <w:rFonts w:ascii="Garamond" w:hAnsi="Garamond"/>
      <w:kern w:val="18"/>
      <w:lang w:val="es-ES" w:eastAsia="es-ES"/>
    </w:rPr>
  </w:style>
  <w:style w:type="paragraph" w:customStyle="1" w:styleId="Nombredireccin">
    <w:name w:val="Nombre dirección"/>
    <w:basedOn w:val="Direccininterior"/>
    <w:next w:val="Direccininterior"/>
    <w:rsid w:val="002831AB"/>
    <w:pPr>
      <w:spacing w:before="220"/>
    </w:pPr>
  </w:style>
  <w:style w:type="paragraph" w:customStyle="1" w:styleId="Inicialesdereferencia">
    <w:name w:val="Iniciales de referencia"/>
    <w:basedOn w:val="Normal"/>
    <w:next w:val="Documentosadjuntos"/>
    <w:rsid w:val="002831AB"/>
    <w:pPr>
      <w:keepNext/>
      <w:spacing w:before="220" w:line="240" w:lineRule="atLeast"/>
    </w:pPr>
    <w:rPr>
      <w:rFonts w:ascii="Garamond" w:hAnsi="Garamond"/>
      <w:kern w:val="18"/>
      <w:lang w:val="es-ES" w:eastAsia="es-ES"/>
    </w:rPr>
  </w:style>
  <w:style w:type="paragraph" w:customStyle="1" w:styleId="Instruccionesenvocorreo">
    <w:name w:val="Instrucciones envío correo"/>
    <w:basedOn w:val="Normal"/>
    <w:next w:val="Nombredireccin"/>
    <w:rsid w:val="002831AB"/>
    <w:pPr>
      <w:keepNext/>
      <w:spacing w:after="240" w:line="240" w:lineRule="atLeast"/>
    </w:pPr>
    <w:rPr>
      <w:rFonts w:ascii="Garamond" w:hAnsi="Garamond"/>
      <w:caps/>
      <w:kern w:val="18"/>
      <w:lang w:val="es-ES" w:eastAsia="es-ES"/>
    </w:rPr>
  </w:style>
  <w:style w:type="paragraph" w:customStyle="1" w:styleId="Lneadereferencia">
    <w:name w:val="Línea de referencia"/>
    <w:basedOn w:val="Normal"/>
    <w:next w:val="Instruccionesenvocorreo"/>
    <w:rsid w:val="002831AB"/>
    <w:pPr>
      <w:keepNext/>
      <w:spacing w:after="240" w:line="240" w:lineRule="atLeast"/>
    </w:pPr>
    <w:rPr>
      <w:rFonts w:ascii="Garamond" w:hAnsi="Garamond"/>
      <w:kern w:val="18"/>
      <w:lang w:val="es-ES" w:eastAsia="es-ES"/>
    </w:rPr>
  </w:style>
  <w:style w:type="paragraph" w:customStyle="1" w:styleId="Encabezadoprimero">
    <w:name w:val="Encabezado primero"/>
    <w:basedOn w:val="Encabezado"/>
    <w:rsid w:val="002831AB"/>
    <w:pPr>
      <w:keepLines/>
      <w:tabs>
        <w:tab w:val="clear" w:pos="4680"/>
        <w:tab w:val="clear" w:pos="9360"/>
        <w:tab w:val="center" w:pos="4320"/>
        <w:tab w:val="right" w:pos="8640"/>
      </w:tabs>
      <w:autoSpaceDE/>
      <w:autoSpaceDN/>
      <w:adjustRightInd/>
      <w:spacing w:after="880" w:line="240" w:lineRule="atLeast"/>
    </w:pPr>
    <w:rPr>
      <w:rFonts w:ascii="Garamond" w:hAnsi="Garamond"/>
      <w:smallCaps/>
      <w:kern w:val="18"/>
      <w:lang w:val="es-ES"/>
    </w:rPr>
  </w:style>
  <w:style w:type="paragraph" w:customStyle="1" w:styleId="Firmaorganizacin">
    <w:name w:val="Firma organización"/>
    <w:basedOn w:val="Firma"/>
    <w:next w:val="Inicialesdereferencia"/>
    <w:rsid w:val="002831AB"/>
    <w:pPr>
      <w:keepNext/>
      <w:spacing w:line="240" w:lineRule="atLeast"/>
    </w:pPr>
    <w:rPr>
      <w:rFonts w:ascii="Garamond" w:hAnsi="Garamond"/>
      <w:kern w:val="18"/>
      <w:lang w:val="es-ES"/>
    </w:rPr>
  </w:style>
  <w:style w:type="paragraph" w:customStyle="1" w:styleId="Firmapuesto">
    <w:name w:val="Firma puesto"/>
    <w:basedOn w:val="Firma"/>
    <w:next w:val="Firmaorganizacin"/>
    <w:rsid w:val="002831AB"/>
    <w:pPr>
      <w:keepNext/>
      <w:spacing w:line="240" w:lineRule="atLeast"/>
    </w:pPr>
    <w:rPr>
      <w:rFonts w:ascii="Garamond" w:hAnsi="Garamond"/>
      <w:kern w:val="18"/>
      <w:lang w:val="es-ES"/>
    </w:rPr>
  </w:style>
  <w:style w:type="character" w:customStyle="1" w:styleId="Eslogan">
    <w:name w:val="Eslogan"/>
    <w:rsid w:val="002831AB"/>
    <w:rPr>
      <w:i/>
      <w:spacing w:val="70"/>
    </w:rPr>
  </w:style>
  <w:style w:type="paragraph" w:customStyle="1" w:styleId="Lneadeasunto">
    <w:name w:val="Línea de asunto"/>
    <w:basedOn w:val="Normal"/>
    <w:next w:val="Textoindependiente"/>
    <w:rsid w:val="002831AB"/>
    <w:pPr>
      <w:spacing w:after="180" w:line="240" w:lineRule="atLeast"/>
      <w:ind w:left="360" w:hanging="360"/>
    </w:pPr>
    <w:rPr>
      <w:rFonts w:ascii="Garamond" w:hAnsi="Garamond"/>
      <w:caps/>
      <w:kern w:val="18"/>
      <w:sz w:val="21"/>
      <w:lang w:val="es-ES" w:eastAsia="es-ES"/>
    </w:rPr>
  </w:style>
  <w:style w:type="paragraph" w:customStyle="1" w:styleId="Sangra3detindependiente1">
    <w:name w:val="Sangría 3 de t. independiente1"/>
    <w:basedOn w:val="Normal"/>
    <w:rsid w:val="002831AB"/>
    <w:pPr>
      <w:tabs>
        <w:tab w:val="left" w:pos="567"/>
      </w:tabs>
      <w:ind w:left="1134" w:hanging="567"/>
      <w:jc w:val="both"/>
    </w:pPr>
    <w:rPr>
      <w:rFonts w:ascii="Book Antiqua" w:hAnsi="Book Antiqua"/>
      <w:kern w:val="18"/>
      <w:lang w:val="es-ES" w:eastAsia="es-ES"/>
    </w:rPr>
  </w:style>
  <w:style w:type="paragraph" w:customStyle="1" w:styleId="novedad">
    <w:name w:val="novedad"/>
    <w:basedOn w:val="Normal"/>
    <w:rsid w:val="002831AB"/>
    <w:pPr>
      <w:shd w:val="clear" w:color="auto" w:fill="FFFFFF"/>
      <w:jc w:val="both"/>
    </w:pPr>
    <w:rPr>
      <w:rFonts w:ascii="Arial" w:hAnsi="Arial" w:cs="Arial"/>
      <w:color w:val="666465"/>
      <w:sz w:val="17"/>
      <w:szCs w:val="17"/>
      <w:lang w:val="es-ES" w:eastAsia="es-ES"/>
    </w:rPr>
  </w:style>
  <w:style w:type="paragraph" w:customStyle="1" w:styleId="bodytext210">
    <w:name w:val="bodytext21"/>
    <w:basedOn w:val="Normal"/>
    <w:rsid w:val="002831AB"/>
    <w:pPr>
      <w:ind w:left="284" w:firstLine="709"/>
      <w:jc w:val="both"/>
    </w:pPr>
    <w:rPr>
      <w:rFonts w:ascii="Book Antiqua" w:hAnsi="Book Antiqua"/>
      <w:lang w:val="es-ES" w:eastAsia="es-ES"/>
    </w:rPr>
  </w:style>
  <w:style w:type="paragraph" w:customStyle="1" w:styleId="s8-3675">
    <w:name w:val="s8-3675"/>
    <w:basedOn w:val="Normal"/>
    <w:rsid w:val="002831AB"/>
    <w:pPr>
      <w:ind w:firstLine="567"/>
      <w:jc w:val="both"/>
    </w:pPr>
    <w:rPr>
      <w:rFonts w:ascii="Arial" w:hAnsi="Arial" w:cs="Arial"/>
      <w:lang w:val="es-ES" w:eastAsia="es-ES"/>
    </w:rPr>
  </w:style>
  <w:style w:type="paragraph" w:customStyle="1" w:styleId="s13-3675">
    <w:name w:val="s13-3675"/>
    <w:basedOn w:val="Normal"/>
    <w:rsid w:val="002831AB"/>
    <w:pPr>
      <w:ind w:firstLine="567"/>
      <w:jc w:val="both"/>
    </w:pPr>
    <w:rPr>
      <w:rFonts w:ascii="Arial" w:hAnsi="Arial" w:cs="Arial"/>
      <w:color w:val="FF0000"/>
      <w:lang w:val="es-ES" w:eastAsia="es-ES"/>
    </w:rPr>
  </w:style>
  <w:style w:type="paragraph" w:customStyle="1" w:styleId="s30-3675">
    <w:name w:val="s30-3675"/>
    <w:basedOn w:val="Normal"/>
    <w:rsid w:val="002831AB"/>
    <w:pPr>
      <w:ind w:firstLine="567"/>
      <w:jc w:val="both"/>
    </w:pPr>
    <w:rPr>
      <w:rFonts w:ascii="Times New Roman" w:hAnsi="Times New Roman"/>
      <w:sz w:val="24"/>
      <w:szCs w:val="24"/>
      <w:lang w:val="es-ES" w:eastAsia="es-ES"/>
    </w:rPr>
  </w:style>
  <w:style w:type="character" w:customStyle="1" w:styleId="FooterChar">
    <w:name w:val="Footer Char"/>
    <w:semiHidden/>
    <w:locked/>
    <w:rsid w:val="002831AB"/>
    <w:rPr>
      <w:sz w:val="24"/>
      <w:lang w:val="es-ES" w:eastAsia="es-ES"/>
    </w:rPr>
  </w:style>
  <w:style w:type="character" w:customStyle="1" w:styleId="CarCar4">
    <w:name w:val="Car Car4"/>
    <w:rsid w:val="002831AB"/>
    <w:rPr>
      <w:rFonts w:ascii="Garamond" w:hAnsi="Garamond"/>
      <w:kern w:val="18"/>
      <w:lang w:val="es-ES" w:eastAsia="es-ES"/>
    </w:rPr>
  </w:style>
  <w:style w:type="character" w:customStyle="1" w:styleId="CarCar9">
    <w:name w:val="Car Car9"/>
    <w:rsid w:val="002831AB"/>
    <w:rPr>
      <w:rFonts w:ascii="Garamond" w:hAnsi="Garamond"/>
      <w:kern w:val="18"/>
      <w:lang w:val="es-ES" w:eastAsia="es-ES"/>
    </w:rPr>
  </w:style>
  <w:style w:type="paragraph" w:customStyle="1" w:styleId="s5">
    <w:name w:val="s5"/>
    <w:basedOn w:val="Normal"/>
    <w:rsid w:val="002831AB"/>
    <w:pPr>
      <w:jc w:val="both"/>
    </w:pPr>
    <w:rPr>
      <w:rFonts w:ascii="Arial" w:hAnsi="Arial" w:cs="Arial"/>
      <w:lang w:val="es-ES" w:eastAsia="es-ES"/>
    </w:rPr>
  </w:style>
  <w:style w:type="paragraph" w:customStyle="1" w:styleId="s16">
    <w:name w:val="s16"/>
    <w:basedOn w:val="Normal"/>
    <w:rsid w:val="002831AB"/>
    <w:pPr>
      <w:ind w:left="680" w:hanging="57"/>
      <w:jc w:val="both"/>
    </w:pPr>
    <w:rPr>
      <w:rFonts w:ascii="Arial" w:hAnsi="Arial" w:cs="Arial"/>
      <w:lang w:val="es-ES" w:eastAsia="es-ES"/>
    </w:rPr>
  </w:style>
  <w:style w:type="paragraph" w:customStyle="1" w:styleId="s2-3675">
    <w:name w:val="s2-3675"/>
    <w:basedOn w:val="Normal"/>
    <w:rsid w:val="002831AB"/>
    <w:pPr>
      <w:ind w:firstLine="284"/>
      <w:jc w:val="both"/>
    </w:pPr>
    <w:rPr>
      <w:rFonts w:ascii="Arial" w:hAnsi="Arial" w:cs="Arial"/>
      <w:lang w:val="en-US" w:eastAsia="es-AR"/>
    </w:rPr>
  </w:style>
  <w:style w:type="character" w:customStyle="1" w:styleId="CarCar11">
    <w:name w:val="Car Car11"/>
    <w:rsid w:val="002831AB"/>
    <w:rPr>
      <w:rFonts w:ascii="Garamond" w:hAnsi="Garamond"/>
      <w:caps/>
      <w:kern w:val="18"/>
      <w:sz w:val="21"/>
      <w:lang w:val="es-ES" w:eastAsia="es-ES"/>
    </w:rPr>
  </w:style>
  <w:style w:type="paragraph" w:customStyle="1" w:styleId="s14">
    <w:name w:val="s14"/>
    <w:basedOn w:val="Normal"/>
    <w:rsid w:val="002831AB"/>
    <w:rPr>
      <w:rFonts w:ascii="Times New Roman" w:hAnsi="Times New Roman"/>
      <w:color w:val="333333"/>
      <w:lang w:val="en-US" w:eastAsia="es-AR"/>
    </w:rPr>
  </w:style>
  <w:style w:type="paragraph" w:customStyle="1" w:styleId="s17">
    <w:name w:val="s17"/>
    <w:basedOn w:val="Normal"/>
    <w:rsid w:val="002831AB"/>
    <w:rPr>
      <w:rFonts w:ascii="Times New Roman" w:hAnsi="Times New Roman"/>
      <w:color w:val="333333"/>
      <w:lang w:val="en-US" w:eastAsia="es-AR"/>
    </w:rPr>
  </w:style>
  <w:style w:type="paragraph" w:customStyle="1" w:styleId="Textoindependiente24">
    <w:name w:val="Texto independiente 24"/>
    <w:basedOn w:val="Normal"/>
    <w:rsid w:val="002831AB"/>
    <w:pPr>
      <w:ind w:left="284" w:firstLine="709"/>
      <w:jc w:val="both"/>
    </w:pPr>
    <w:rPr>
      <w:rFonts w:ascii="Book Antiqua" w:hAnsi="Book Antiqua"/>
      <w:kern w:val="18"/>
      <w:lang w:val="es-ES" w:eastAsia="es-ES"/>
    </w:rPr>
  </w:style>
  <w:style w:type="paragraph" w:customStyle="1" w:styleId="Normal10">
    <w:name w:val="Normal 10"/>
    <w:rsid w:val="002831AB"/>
    <w:pPr>
      <w:spacing w:after="120"/>
      <w:jc w:val="both"/>
    </w:pPr>
    <w:rPr>
      <w:rFonts w:ascii="Times New Roman" w:eastAsia="MS Mincho" w:hAnsi="Times New Roman"/>
    </w:rPr>
  </w:style>
  <w:style w:type="paragraph" w:customStyle="1" w:styleId="CarCarCarCarCarCar1CarCarCarCarCarCarCarCarCarCarCarCarCarCarCar1Car">
    <w:name w:val="Car Car Car Car Car Car1 Car Car Car Car Car Car Car Car Car Car Car Car Car Car Car1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Bullet39Sgl">
    <w:name w:val="Bullet .39 Sgl"/>
    <w:basedOn w:val="Normal"/>
    <w:rsid w:val="002831AB"/>
    <w:pPr>
      <w:tabs>
        <w:tab w:val="num" w:pos="360"/>
        <w:tab w:val="left" w:pos="850"/>
      </w:tabs>
      <w:autoSpaceDE w:val="0"/>
      <w:autoSpaceDN w:val="0"/>
      <w:adjustRightInd w:val="0"/>
      <w:spacing w:after="240"/>
    </w:pPr>
    <w:rPr>
      <w:rFonts w:ascii="Times New Roman" w:hAnsi="Times New Roman"/>
      <w:sz w:val="22"/>
      <w:szCs w:val="22"/>
      <w:lang w:val="en-US" w:eastAsia="es-AR"/>
    </w:rPr>
  </w:style>
  <w:style w:type="paragraph" w:customStyle="1" w:styleId="Line">
    <w:name w:val="Line"/>
    <w:basedOn w:val="Normal"/>
    <w:rsid w:val="002831AB"/>
    <w:pPr>
      <w:autoSpaceDE w:val="0"/>
      <w:autoSpaceDN w:val="0"/>
      <w:adjustRightInd w:val="0"/>
      <w:ind w:left="4003" w:right="3874"/>
      <w:jc w:val="center"/>
    </w:pPr>
    <w:rPr>
      <w:rFonts w:ascii="Times New Roman" w:hAnsi="Times New Roman"/>
      <w:b/>
      <w:bCs/>
      <w:i/>
      <w:iCs/>
      <w:lang w:val="en-US" w:eastAsia="es-AR"/>
    </w:rPr>
  </w:style>
  <w:style w:type="character" w:customStyle="1" w:styleId="TABLES10PT">
    <w:name w:val="TABLES10PT"/>
    <w:rsid w:val="002831AB"/>
    <w:rPr>
      <w:rFonts w:ascii="Times New Roman" w:hAnsi="Times New Roman"/>
      <w:sz w:val="20"/>
    </w:rPr>
  </w:style>
  <w:style w:type="paragraph" w:customStyle="1" w:styleId="CPNormalLeft">
    <w:name w:val="CPNormalLeft"/>
    <w:basedOn w:val="CPNormal"/>
    <w:rsid w:val="002831AB"/>
    <w:pPr>
      <w:tabs>
        <w:tab w:val="clear" w:pos="567"/>
      </w:tabs>
      <w:spacing w:line="240" w:lineRule="auto"/>
      <w:ind w:firstLine="0"/>
      <w:jc w:val="left"/>
    </w:pPr>
    <w:rPr>
      <w:sz w:val="21"/>
      <w:szCs w:val="21"/>
    </w:rPr>
  </w:style>
  <w:style w:type="paragraph" w:customStyle="1" w:styleId="CPN-Leftbold">
    <w:name w:val="CPN-Left/bold"/>
    <w:basedOn w:val="CPNNormal"/>
    <w:rsid w:val="002831AB"/>
    <w:pPr>
      <w:keepNext/>
      <w:keepLines/>
      <w:widowControl w:val="0"/>
      <w:tabs>
        <w:tab w:val="clear" w:pos="-720"/>
        <w:tab w:val="clear" w:pos="990"/>
      </w:tabs>
      <w:spacing w:line="260" w:lineRule="exact"/>
      <w:ind w:firstLine="0"/>
    </w:pPr>
    <w:rPr>
      <w:rFonts w:ascii="Calibri" w:hAnsi="Calibri"/>
      <w:b/>
      <w:bCs/>
      <w:color w:val="000000"/>
      <w:lang w:val="es-AR"/>
    </w:rPr>
  </w:style>
  <w:style w:type="paragraph" w:customStyle="1" w:styleId="CPTableText">
    <w:name w:val="CPTableText"/>
    <w:basedOn w:val="CPNormal"/>
    <w:rsid w:val="002831AB"/>
    <w:pPr>
      <w:widowControl/>
      <w:ind w:firstLine="0"/>
    </w:pPr>
  </w:style>
  <w:style w:type="paragraph" w:customStyle="1" w:styleId="Tablealpha">
    <w:name w:val="Table alpha"/>
    <w:basedOn w:val="Normal"/>
    <w:rsid w:val="002831AB"/>
    <w:pPr>
      <w:tabs>
        <w:tab w:val="num" w:pos="567"/>
      </w:tabs>
      <w:autoSpaceDE w:val="0"/>
      <w:autoSpaceDN w:val="0"/>
      <w:adjustRightInd w:val="0"/>
      <w:spacing w:before="60" w:after="60" w:line="290" w:lineRule="auto"/>
      <w:ind w:left="567" w:hanging="567"/>
    </w:pPr>
    <w:rPr>
      <w:rFonts w:ascii="Arial" w:hAnsi="Arial" w:cs="Arial"/>
      <w:kern w:val="20"/>
      <w:lang w:val="en-GB" w:eastAsia="es-AR"/>
    </w:rPr>
  </w:style>
  <w:style w:type="paragraph" w:customStyle="1" w:styleId="ListExh">
    <w:name w:val="List Exh."/>
    <w:basedOn w:val="Normal"/>
    <w:next w:val="Normal"/>
    <w:rsid w:val="002831AB"/>
    <w:pPr>
      <w:tabs>
        <w:tab w:val="num" w:pos="360"/>
      </w:tabs>
      <w:autoSpaceDE w:val="0"/>
      <w:autoSpaceDN w:val="0"/>
      <w:adjustRightInd w:val="0"/>
      <w:spacing w:after="240"/>
    </w:pPr>
    <w:rPr>
      <w:rFonts w:ascii="Times New Roman" w:hAnsi="Times New Roman"/>
      <w:noProof/>
      <w:lang w:val="en-US" w:eastAsia="es-AR"/>
    </w:rPr>
  </w:style>
  <w:style w:type="paragraph" w:customStyle="1" w:styleId="Title10">
    <w:name w:val="Title 10"/>
    <w:basedOn w:val="Normal"/>
    <w:rsid w:val="002831AB"/>
    <w:pPr>
      <w:autoSpaceDE w:val="0"/>
      <w:autoSpaceDN w:val="0"/>
      <w:adjustRightInd w:val="0"/>
      <w:spacing w:after="60"/>
      <w:jc w:val="center"/>
    </w:pPr>
    <w:rPr>
      <w:rFonts w:ascii="Times New Roman" w:hAnsi="Times New Roman"/>
      <w:lang w:val="en-US" w:eastAsia="es-AR"/>
    </w:rPr>
  </w:style>
  <w:style w:type="paragraph" w:customStyle="1" w:styleId="TABLENOTESLEFTJ">
    <w:name w:val="TABLE NOTES LEFT J"/>
    <w:basedOn w:val="TABLENOTES2"/>
    <w:rsid w:val="002831AB"/>
    <w:rPr>
      <w:sz w:val="20"/>
      <w:szCs w:val="20"/>
    </w:rPr>
  </w:style>
  <w:style w:type="paragraph" w:customStyle="1" w:styleId="TABLENOTES2">
    <w:name w:val="TABLE NOTES"/>
    <w:basedOn w:val="Normal"/>
    <w:next w:val="Normal"/>
    <w:rsid w:val="002831AB"/>
    <w:pPr>
      <w:autoSpaceDE w:val="0"/>
      <w:autoSpaceDN w:val="0"/>
      <w:adjustRightInd w:val="0"/>
      <w:ind w:left="432" w:hanging="432"/>
    </w:pPr>
    <w:rPr>
      <w:rFonts w:ascii="Times New Roman" w:hAnsi="Times New Roman"/>
      <w:sz w:val="14"/>
      <w:szCs w:val="14"/>
      <w:lang w:val="en-US" w:eastAsia="es-AR"/>
    </w:rPr>
  </w:style>
  <w:style w:type="paragraph" w:customStyle="1" w:styleId="CPN-Ctr-bold">
    <w:name w:val="CPN-Ctr-bold"/>
    <w:basedOn w:val="Normal"/>
    <w:rsid w:val="002831AB"/>
    <w:pPr>
      <w:keepNext/>
      <w:keepLines/>
      <w:tabs>
        <w:tab w:val="left" w:pos="567"/>
      </w:tabs>
      <w:autoSpaceDE w:val="0"/>
      <w:autoSpaceDN w:val="0"/>
      <w:adjustRightInd w:val="0"/>
      <w:spacing w:after="240" w:line="230" w:lineRule="exact"/>
      <w:jc w:val="center"/>
    </w:pPr>
    <w:rPr>
      <w:rFonts w:ascii="Times New Roman" w:hAnsi="Times New Roman"/>
      <w:b/>
      <w:bCs/>
      <w:sz w:val="22"/>
      <w:szCs w:val="22"/>
      <w:lang w:val="en-US" w:eastAsia="es-AR"/>
    </w:rPr>
  </w:style>
  <w:style w:type="paragraph" w:customStyle="1" w:styleId="LISTIB">
    <w:name w:val="LISTIB"/>
    <w:basedOn w:val="Normal"/>
    <w:rsid w:val="002831AB"/>
    <w:pPr>
      <w:keepNext/>
      <w:autoSpaceDE w:val="0"/>
      <w:autoSpaceDN w:val="0"/>
      <w:adjustRightInd w:val="0"/>
      <w:spacing w:after="240"/>
      <w:ind w:left="720"/>
    </w:pPr>
    <w:rPr>
      <w:rFonts w:ascii="Times New Roman" w:hAnsi="Times New Roman"/>
      <w:b/>
      <w:bCs/>
      <w:i/>
      <w:iCs/>
      <w:sz w:val="22"/>
      <w:szCs w:val="22"/>
      <w:lang w:val="en-US" w:eastAsia="es-AR"/>
    </w:rPr>
  </w:style>
  <w:style w:type="paragraph" w:customStyle="1" w:styleId="openingparas">
    <w:name w:val="opening paras"/>
    <w:basedOn w:val="Normal"/>
    <w:rsid w:val="002831AB"/>
    <w:pPr>
      <w:autoSpaceDE w:val="0"/>
      <w:autoSpaceDN w:val="0"/>
      <w:adjustRightInd w:val="0"/>
      <w:spacing w:after="120"/>
      <w:jc w:val="both"/>
    </w:pPr>
    <w:rPr>
      <w:rFonts w:ascii="Arial" w:hAnsi="Arial" w:cs="Arial"/>
      <w:sz w:val="18"/>
      <w:szCs w:val="18"/>
      <w:lang w:val="en-US" w:eastAsia="es-AR"/>
    </w:rPr>
  </w:style>
  <w:style w:type="paragraph" w:customStyle="1" w:styleId="CPTableCol-1">
    <w:name w:val="CPTableCol-1"/>
    <w:basedOn w:val="CPTableText"/>
    <w:rsid w:val="002831AB"/>
    <w:pPr>
      <w:widowControl w:val="0"/>
      <w:tabs>
        <w:tab w:val="clear" w:pos="567"/>
        <w:tab w:val="right" w:leader="dot" w:pos="2970"/>
      </w:tabs>
      <w:spacing w:after="0" w:line="240" w:lineRule="auto"/>
      <w:jc w:val="left"/>
    </w:pPr>
    <w:rPr>
      <w:rFonts w:ascii="Courier" w:hAnsi="Courier"/>
      <w:sz w:val="20"/>
      <w:szCs w:val="20"/>
    </w:rPr>
  </w:style>
  <w:style w:type="paragraph" w:customStyle="1" w:styleId="WTable9pt">
    <w:name w:val="WTable 9pt"/>
    <w:basedOn w:val="Normal"/>
    <w:rsid w:val="002831AB"/>
    <w:pPr>
      <w:tabs>
        <w:tab w:val="left" w:pos="144"/>
      </w:tabs>
      <w:autoSpaceDE w:val="0"/>
      <w:autoSpaceDN w:val="0"/>
      <w:adjustRightInd w:val="0"/>
    </w:pPr>
    <w:rPr>
      <w:rFonts w:ascii="Times New Roman" w:hAnsi="Times New Roman"/>
      <w:sz w:val="18"/>
      <w:szCs w:val="18"/>
      <w:lang w:val="en-US" w:eastAsia="es-AR"/>
    </w:rPr>
  </w:style>
  <w:style w:type="paragraph" w:customStyle="1" w:styleId="CPN-ItalicIndentbold">
    <w:name w:val="CPN-Italic/Indent/bold"/>
    <w:basedOn w:val="Normal"/>
    <w:rsid w:val="002831AB"/>
    <w:pPr>
      <w:keepNext/>
      <w:keepLines/>
      <w:tabs>
        <w:tab w:val="left" w:pos="567"/>
      </w:tabs>
      <w:autoSpaceDE w:val="0"/>
      <w:autoSpaceDN w:val="0"/>
      <w:adjustRightInd w:val="0"/>
      <w:spacing w:after="180" w:line="240" w:lineRule="exact"/>
      <w:ind w:firstLine="540"/>
      <w:jc w:val="both"/>
    </w:pPr>
    <w:rPr>
      <w:rFonts w:ascii="Times New Roman" w:hAnsi="Times New Roman"/>
      <w:b/>
      <w:bCs/>
      <w:noProof/>
      <w:sz w:val="21"/>
      <w:szCs w:val="21"/>
      <w:lang w:val="en-US" w:eastAsia="es-AR"/>
    </w:rPr>
  </w:style>
  <w:style w:type="paragraph" w:customStyle="1" w:styleId="TableHead">
    <w:name w:val="TableHead"/>
    <w:basedOn w:val="Normal"/>
    <w:rsid w:val="002831AB"/>
    <w:pPr>
      <w:widowControl w:val="0"/>
      <w:tabs>
        <w:tab w:val="center" w:pos="2340"/>
        <w:tab w:val="center" w:pos="4050"/>
      </w:tabs>
      <w:autoSpaceDE w:val="0"/>
      <w:autoSpaceDN w:val="0"/>
      <w:adjustRightInd w:val="0"/>
    </w:pPr>
    <w:rPr>
      <w:rFonts w:ascii="Times New Roman" w:hAnsi="Times New Roman"/>
      <w:b/>
      <w:bCs/>
      <w:sz w:val="18"/>
      <w:szCs w:val="18"/>
      <w:lang w:val="en-US" w:eastAsia="es-AR"/>
    </w:rPr>
  </w:style>
  <w:style w:type="paragraph" w:customStyle="1" w:styleId="CPN-LeftItalBld">
    <w:name w:val="CPN-Left/Ital/Bld"/>
    <w:basedOn w:val="Normal"/>
    <w:rsid w:val="002831AB"/>
    <w:pPr>
      <w:keepNext/>
      <w:keepLines/>
      <w:autoSpaceDE w:val="0"/>
      <w:autoSpaceDN w:val="0"/>
      <w:adjustRightInd w:val="0"/>
      <w:spacing w:after="240"/>
      <w:jc w:val="both"/>
    </w:pPr>
    <w:rPr>
      <w:rFonts w:ascii="Times New Roman" w:hAnsi="Times New Roman"/>
      <w:b/>
      <w:bCs/>
      <w:i/>
      <w:iCs/>
      <w:noProof/>
      <w:sz w:val="21"/>
      <w:szCs w:val="21"/>
      <w:lang w:val="en-US" w:eastAsia="es-AR"/>
    </w:rPr>
  </w:style>
  <w:style w:type="paragraph" w:customStyle="1" w:styleId="CPC-Bold">
    <w:name w:val="CPC-Bold"/>
    <w:basedOn w:val="Normal"/>
    <w:rsid w:val="002831AB"/>
    <w:pPr>
      <w:overflowPunct w:val="0"/>
      <w:autoSpaceDE w:val="0"/>
      <w:autoSpaceDN w:val="0"/>
      <w:adjustRightInd w:val="0"/>
      <w:spacing w:after="480"/>
      <w:jc w:val="center"/>
      <w:textAlignment w:val="baseline"/>
    </w:pPr>
    <w:rPr>
      <w:rFonts w:ascii="Courier" w:hAnsi="Courier"/>
      <w:b/>
      <w:bCs/>
      <w:lang w:val="en-US" w:eastAsia="es-AR"/>
    </w:rPr>
  </w:style>
  <w:style w:type="paragraph" w:customStyle="1" w:styleId="Tableline0">
    <w:name w:val="Tableline"/>
    <w:basedOn w:val="Normal"/>
    <w:rsid w:val="002831AB"/>
    <w:pPr>
      <w:widowControl w:val="0"/>
      <w:pBdr>
        <w:bottom w:val="single" w:sz="4" w:space="1" w:color="auto"/>
      </w:pBdr>
      <w:autoSpaceDE w:val="0"/>
      <w:autoSpaceDN w:val="0"/>
      <w:adjustRightInd w:val="0"/>
      <w:ind w:right="7488"/>
    </w:pPr>
    <w:rPr>
      <w:rFonts w:ascii="Times New Roman" w:hAnsi="Times New Roman"/>
      <w:sz w:val="22"/>
      <w:szCs w:val="22"/>
      <w:lang w:val="en-US" w:eastAsia="es-AR"/>
    </w:rPr>
  </w:style>
  <w:style w:type="paragraph" w:customStyle="1" w:styleId="BulletBodyText">
    <w:name w:val="Bullet Body Text"/>
    <w:basedOn w:val="Sangradetextonormal"/>
    <w:rsid w:val="002831AB"/>
    <w:pPr>
      <w:autoSpaceDE w:val="0"/>
      <w:autoSpaceDN w:val="0"/>
      <w:adjustRightInd w:val="0"/>
      <w:spacing w:after="180"/>
      <w:ind w:left="0"/>
    </w:pPr>
    <w:rPr>
      <w:sz w:val="22"/>
      <w:szCs w:val="22"/>
    </w:rPr>
  </w:style>
  <w:style w:type="paragraph" w:customStyle="1" w:styleId="BulletBodyText2">
    <w:name w:val="Bullet Body Text2"/>
    <w:basedOn w:val="Normal"/>
    <w:rsid w:val="002831AB"/>
    <w:pPr>
      <w:tabs>
        <w:tab w:val="num" w:pos="720"/>
      </w:tabs>
      <w:autoSpaceDE w:val="0"/>
      <w:autoSpaceDN w:val="0"/>
      <w:adjustRightInd w:val="0"/>
      <w:ind w:left="720" w:hanging="360"/>
    </w:pPr>
    <w:rPr>
      <w:rFonts w:ascii="Times New Roman" w:hAnsi="Times New Roman"/>
      <w:lang w:val="en-US" w:eastAsia="es-AR"/>
    </w:rPr>
  </w:style>
  <w:style w:type="paragraph" w:customStyle="1" w:styleId="font7">
    <w:name w:val="font7"/>
    <w:basedOn w:val="Normal"/>
    <w:rsid w:val="002831AB"/>
    <w:pPr>
      <w:autoSpaceDE w:val="0"/>
      <w:autoSpaceDN w:val="0"/>
      <w:adjustRightInd w:val="0"/>
      <w:spacing w:before="100" w:beforeAutospacing="1" w:after="100" w:afterAutospacing="1"/>
    </w:pPr>
    <w:rPr>
      <w:rFonts w:ascii="Tahoma" w:eastAsia="Arial Unicode MS" w:hAnsi="Tahoma" w:cs="Tahoma"/>
      <w:color w:val="000000"/>
      <w:sz w:val="16"/>
      <w:szCs w:val="16"/>
      <w:lang w:val="en-US" w:eastAsia="es-AR"/>
    </w:rPr>
  </w:style>
  <w:style w:type="paragraph" w:customStyle="1" w:styleId="CPN-footnote">
    <w:name w:val="CPN-footnote"/>
    <w:basedOn w:val="Normal"/>
    <w:rsid w:val="002831AB"/>
    <w:pPr>
      <w:widowControl w:val="0"/>
      <w:autoSpaceDE w:val="0"/>
      <w:autoSpaceDN w:val="0"/>
      <w:adjustRightInd w:val="0"/>
      <w:spacing w:line="-220" w:lineRule="auto"/>
      <w:ind w:left="1080" w:hanging="446"/>
      <w:jc w:val="both"/>
    </w:pPr>
    <w:rPr>
      <w:rFonts w:ascii="Arial" w:hAnsi="Arial" w:cs="Arial"/>
      <w:lang w:val="en-US" w:eastAsia="es-AR"/>
    </w:rPr>
  </w:style>
  <w:style w:type="paragraph" w:customStyle="1" w:styleId="CPN-LeftItalics">
    <w:name w:val="CPN-Left/Italics"/>
    <w:basedOn w:val="CPN-Italic"/>
    <w:rsid w:val="002831AB"/>
    <w:pPr>
      <w:keepNext/>
      <w:keepLines/>
      <w:ind w:left="540" w:firstLine="0"/>
    </w:pPr>
  </w:style>
  <w:style w:type="paragraph" w:customStyle="1" w:styleId="CPN-Italic">
    <w:name w:val="CPN-Italic"/>
    <w:basedOn w:val="Normal"/>
    <w:rsid w:val="002831AB"/>
    <w:pPr>
      <w:autoSpaceDE w:val="0"/>
      <w:autoSpaceDN w:val="0"/>
      <w:adjustRightInd w:val="0"/>
      <w:spacing w:after="240"/>
      <w:ind w:firstLine="547"/>
      <w:jc w:val="both"/>
    </w:pPr>
    <w:rPr>
      <w:rFonts w:ascii="Times New Roman" w:hAnsi="Times New Roman"/>
      <w:i/>
      <w:iCs/>
      <w:noProof/>
      <w:sz w:val="21"/>
      <w:szCs w:val="21"/>
      <w:lang w:val="en-US" w:eastAsia="es-AR"/>
    </w:rPr>
  </w:style>
  <w:style w:type="paragraph" w:customStyle="1" w:styleId="Companies">
    <w:name w:val="Companies"/>
    <w:basedOn w:val="Normal"/>
    <w:rsid w:val="002831AB"/>
    <w:pPr>
      <w:widowControl w:val="0"/>
      <w:tabs>
        <w:tab w:val="center" w:pos="4680"/>
        <w:tab w:val="right" w:pos="9360"/>
      </w:tabs>
      <w:autoSpaceDE w:val="0"/>
      <w:autoSpaceDN w:val="0"/>
      <w:adjustRightInd w:val="0"/>
    </w:pPr>
    <w:rPr>
      <w:rFonts w:ascii="Arial" w:hAnsi="Arial" w:cs="Arial"/>
      <w:b/>
      <w:bCs/>
      <w:lang w:val="en-US" w:eastAsia="es-AR"/>
    </w:rPr>
  </w:style>
  <w:style w:type="paragraph" w:customStyle="1" w:styleId="BodyTextCenter">
    <w:name w:val="Body Text Center"/>
    <w:basedOn w:val="Normal"/>
    <w:rsid w:val="002831AB"/>
    <w:pPr>
      <w:autoSpaceDE w:val="0"/>
      <w:autoSpaceDN w:val="0"/>
      <w:adjustRightInd w:val="0"/>
      <w:spacing w:after="120"/>
      <w:jc w:val="center"/>
    </w:pPr>
    <w:rPr>
      <w:rFonts w:ascii="Times New Roman" w:hAnsi="Times New Roman"/>
      <w:sz w:val="22"/>
      <w:szCs w:val="22"/>
      <w:lang w:val="en-US" w:eastAsia="es-AR"/>
    </w:rPr>
  </w:style>
  <w:style w:type="paragraph" w:customStyle="1" w:styleId="BodyText9">
    <w:name w:val="Body Text 9"/>
    <w:basedOn w:val="Normal"/>
    <w:rsid w:val="002831AB"/>
    <w:pPr>
      <w:autoSpaceDE w:val="0"/>
      <w:autoSpaceDN w:val="0"/>
      <w:adjustRightInd w:val="0"/>
      <w:spacing w:after="120"/>
    </w:pPr>
    <w:rPr>
      <w:rFonts w:ascii="Times New Roman" w:hAnsi="Times New Roman"/>
      <w:sz w:val="22"/>
      <w:szCs w:val="22"/>
      <w:lang w:val="en-US" w:eastAsia="es-AR"/>
    </w:rPr>
  </w:style>
  <w:style w:type="paragraph" w:customStyle="1" w:styleId="tableline1">
    <w:name w:val="table line"/>
    <w:basedOn w:val="Normal"/>
    <w:rsid w:val="002831AB"/>
    <w:pPr>
      <w:pBdr>
        <w:top w:val="single" w:sz="4" w:space="1" w:color="auto"/>
      </w:pBdr>
      <w:autoSpaceDE w:val="0"/>
      <w:autoSpaceDN w:val="0"/>
      <w:adjustRightInd w:val="0"/>
      <w:spacing w:before="120" w:line="120" w:lineRule="auto"/>
      <w:ind w:right="7920"/>
    </w:pPr>
    <w:rPr>
      <w:rFonts w:ascii="Times New Roman" w:hAnsi="Times New Roman"/>
      <w:sz w:val="22"/>
      <w:szCs w:val="22"/>
      <w:lang w:val="en-US" w:eastAsia="es-AR"/>
    </w:rPr>
  </w:style>
  <w:style w:type="paragraph" w:customStyle="1" w:styleId="BlockText5CarCar">
    <w:name w:val="Block Text .5 Car Car"/>
    <w:basedOn w:val="Normal"/>
    <w:rsid w:val="002831AB"/>
    <w:pPr>
      <w:autoSpaceDE w:val="0"/>
      <w:autoSpaceDN w:val="0"/>
      <w:adjustRightInd w:val="0"/>
      <w:spacing w:line="480" w:lineRule="auto"/>
      <w:ind w:left="720" w:right="720"/>
    </w:pPr>
    <w:rPr>
      <w:rFonts w:ascii="Times New Roman" w:hAnsi="Times New Roman"/>
      <w:lang w:val="en-US" w:eastAsia="es-AR"/>
    </w:rPr>
  </w:style>
  <w:style w:type="character" w:customStyle="1" w:styleId="BlockText5CarCarCar">
    <w:name w:val="Block Text .5 Car Car Car"/>
    <w:rsid w:val="002831AB"/>
    <w:rPr>
      <w:lang w:val="en-US" w:eastAsia="en-US"/>
    </w:rPr>
  </w:style>
  <w:style w:type="paragraph" w:customStyle="1" w:styleId="BodyText11">
    <w:name w:val="Body Text 11"/>
    <w:basedOn w:val="Normal"/>
    <w:rsid w:val="002831AB"/>
    <w:pPr>
      <w:autoSpaceDE w:val="0"/>
      <w:autoSpaceDN w:val="0"/>
      <w:adjustRightInd w:val="0"/>
      <w:spacing w:after="180"/>
    </w:pPr>
    <w:rPr>
      <w:rFonts w:ascii="Times New Roman" w:hAnsi="Times New Roman"/>
      <w:sz w:val="22"/>
      <w:szCs w:val="22"/>
      <w:lang w:val="en-US" w:eastAsia="es-AR"/>
    </w:rPr>
  </w:style>
  <w:style w:type="paragraph" w:customStyle="1" w:styleId="Bullet59Sgl">
    <w:name w:val="Bullet .59 Sgl"/>
    <w:basedOn w:val="Normal"/>
    <w:rsid w:val="002831AB"/>
    <w:pPr>
      <w:widowControl w:val="0"/>
      <w:tabs>
        <w:tab w:val="left" w:pos="1123"/>
      </w:tabs>
      <w:autoSpaceDE w:val="0"/>
      <w:autoSpaceDN w:val="0"/>
      <w:adjustRightInd w:val="0"/>
      <w:spacing w:after="240"/>
    </w:pPr>
    <w:rPr>
      <w:rFonts w:ascii="Times New Roman" w:hAnsi="Times New Roman"/>
      <w:sz w:val="22"/>
      <w:szCs w:val="22"/>
      <w:lang w:val="en-US" w:eastAsia="es-AR"/>
    </w:rPr>
  </w:style>
  <w:style w:type="paragraph" w:customStyle="1" w:styleId="TitleIB25Sgl">
    <w:name w:val="Title IB .25 Sgl"/>
    <w:basedOn w:val="Normal"/>
    <w:rsid w:val="002831AB"/>
    <w:pPr>
      <w:keepNext/>
      <w:autoSpaceDE w:val="0"/>
      <w:autoSpaceDN w:val="0"/>
      <w:adjustRightInd w:val="0"/>
      <w:spacing w:after="240"/>
      <w:ind w:left="360"/>
    </w:pPr>
    <w:rPr>
      <w:rFonts w:ascii="Times New Roman" w:hAnsi="Times New Roman"/>
      <w:b/>
      <w:bCs/>
      <w:i/>
      <w:iCs/>
      <w:sz w:val="22"/>
      <w:szCs w:val="22"/>
      <w:lang w:val="en-US" w:eastAsia="es-AR"/>
    </w:rPr>
  </w:style>
  <w:style w:type="paragraph" w:customStyle="1" w:styleId="BodyText2Sgblditall">
    <w:name w:val="Body Text 2 Sg bld itall"/>
    <w:basedOn w:val="BodyText2SglCarCarCarCarCar"/>
    <w:rsid w:val="002831AB"/>
    <w:pPr>
      <w:widowControl/>
      <w:ind w:firstLine="547"/>
    </w:pPr>
    <w:rPr>
      <w:rFonts w:ascii="Times New Roman Bold" w:hAnsi="Times New Roman Bold"/>
      <w:b/>
      <w:bCs/>
      <w:i/>
      <w:iCs/>
      <w:sz w:val="21"/>
      <w:szCs w:val="21"/>
      <w:lang w:val="en-US" w:eastAsia="es-AR"/>
    </w:rPr>
  </w:style>
  <w:style w:type="paragraph" w:customStyle="1" w:styleId="TitleBIIndent">
    <w:name w:val="Title BI Indent"/>
    <w:basedOn w:val="Normal"/>
    <w:rsid w:val="002831AB"/>
    <w:pPr>
      <w:keepNext/>
      <w:keepLines/>
      <w:widowControl w:val="0"/>
      <w:autoSpaceDE w:val="0"/>
      <w:autoSpaceDN w:val="0"/>
      <w:adjustRightInd w:val="0"/>
      <w:spacing w:after="240"/>
      <w:ind w:left="720"/>
    </w:pPr>
    <w:rPr>
      <w:rFonts w:ascii="Times New Roman" w:hAnsi="Times New Roman"/>
      <w:b/>
      <w:bCs/>
      <w:i/>
      <w:iCs/>
      <w:sz w:val="22"/>
      <w:szCs w:val="22"/>
      <w:lang w:val="en-US" w:eastAsia="es-AR"/>
    </w:rPr>
  </w:style>
  <w:style w:type="paragraph" w:customStyle="1" w:styleId="BoldLftHeading">
    <w:name w:val="BoldLftHeading"/>
    <w:basedOn w:val="Normal"/>
    <w:rsid w:val="002831AB"/>
    <w:pPr>
      <w:keepNext/>
      <w:tabs>
        <w:tab w:val="left" w:pos="567"/>
      </w:tabs>
      <w:autoSpaceDE w:val="0"/>
      <w:autoSpaceDN w:val="0"/>
      <w:adjustRightInd w:val="0"/>
      <w:spacing w:before="120" w:after="240"/>
      <w:jc w:val="both"/>
    </w:pPr>
    <w:rPr>
      <w:rFonts w:ascii="Times New Roman" w:hAnsi="Times New Roman"/>
      <w:b/>
      <w:bCs/>
      <w:sz w:val="21"/>
      <w:szCs w:val="21"/>
      <w:lang w:val="en-AU" w:eastAsia="es-AR"/>
    </w:rPr>
  </w:style>
  <w:style w:type="paragraph" w:customStyle="1" w:styleId="BoldLftHead">
    <w:name w:val="BoldLftHead"/>
    <w:basedOn w:val="Normal"/>
    <w:rsid w:val="002831AB"/>
    <w:pPr>
      <w:keepNext/>
      <w:tabs>
        <w:tab w:val="left" w:pos="567"/>
      </w:tabs>
      <w:autoSpaceDE w:val="0"/>
      <w:autoSpaceDN w:val="0"/>
      <w:adjustRightInd w:val="0"/>
      <w:spacing w:before="120" w:after="120" w:line="240" w:lineRule="exact"/>
      <w:jc w:val="both"/>
    </w:pPr>
    <w:rPr>
      <w:rFonts w:ascii="Times New Roman" w:hAnsi="Times New Roman"/>
      <w:b/>
      <w:bCs/>
      <w:sz w:val="21"/>
      <w:szCs w:val="21"/>
      <w:lang w:val="en-US" w:eastAsia="es-AR"/>
    </w:rPr>
  </w:style>
  <w:style w:type="paragraph" w:customStyle="1" w:styleId="NotesLineWideTable">
    <w:name w:val="Notes Line Wide Table"/>
    <w:basedOn w:val="Normal"/>
    <w:next w:val="Normal"/>
    <w:rsid w:val="002831AB"/>
    <w:pPr>
      <w:widowControl w:val="0"/>
      <w:autoSpaceDE w:val="0"/>
      <w:autoSpaceDN w:val="0"/>
      <w:adjustRightInd w:val="0"/>
      <w:spacing w:after="60"/>
      <w:ind w:left="-936"/>
    </w:pPr>
    <w:rPr>
      <w:rFonts w:ascii="Times New Roman" w:hAnsi="Times New Roman"/>
      <w:sz w:val="22"/>
      <w:szCs w:val="22"/>
      <w:u w:val="single"/>
      <w:lang w:val="en-US" w:eastAsia="es-AR"/>
    </w:rPr>
  </w:style>
  <w:style w:type="paragraph" w:customStyle="1" w:styleId="TableFtNote">
    <w:name w:val="TableFtNote"/>
    <w:basedOn w:val="Normal"/>
    <w:rsid w:val="002831AB"/>
    <w:pPr>
      <w:tabs>
        <w:tab w:val="left" w:pos="360"/>
      </w:tabs>
      <w:autoSpaceDE w:val="0"/>
      <w:autoSpaceDN w:val="0"/>
      <w:adjustRightInd w:val="0"/>
      <w:ind w:left="360" w:hanging="360"/>
      <w:jc w:val="both"/>
    </w:pPr>
    <w:rPr>
      <w:rFonts w:ascii="CG Times (W1)" w:hAnsi="CG Times (W1)"/>
      <w:sz w:val="18"/>
      <w:szCs w:val="18"/>
      <w:lang w:val="en-US" w:eastAsia="es-AR"/>
    </w:rPr>
  </w:style>
  <w:style w:type="paragraph" w:customStyle="1" w:styleId="CPN-normal">
    <w:name w:val="CPN-normal"/>
    <w:basedOn w:val="Normal"/>
    <w:rsid w:val="002831AB"/>
    <w:pPr>
      <w:widowControl w:val="0"/>
      <w:autoSpaceDE w:val="0"/>
      <w:autoSpaceDN w:val="0"/>
      <w:adjustRightInd w:val="0"/>
      <w:spacing w:after="240" w:line="-240" w:lineRule="auto"/>
      <w:ind w:firstLine="720"/>
      <w:jc w:val="both"/>
    </w:pPr>
    <w:rPr>
      <w:rFonts w:ascii="Arial" w:hAnsi="Arial" w:cs="Arial"/>
      <w:lang w:val="en-US" w:eastAsia="es-AR"/>
    </w:rPr>
  </w:style>
  <w:style w:type="paragraph" w:customStyle="1" w:styleId="NotesWideTable">
    <w:name w:val="Notes Wide Table"/>
    <w:basedOn w:val="Normal"/>
    <w:rsid w:val="002831AB"/>
    <w:pPr>
      <w:widowControl w:val="0"/>
      <w:autoSpaceDE w:val="0"/>
      <w:autoSpaceDN w:val="0"/>
      <w:adjustRightInd w:val="0"/>
      <w:ind w:left="518" w:hanging="518"/>
    </w:pPr>
    <w:rPr>
      <w:rFonts w:ascii="Times New Roman" w:hAnsi="Times New Roman"/>
      <w:sz w:val="16"/>
      <w:szCs w:val="16"/>
      <w:lang w:val="en-US" w:eastAsia="es-AR"/>
    </w:rPr>
  </w:style>
  <w:style w:type="paragraph" w:customStyle="1" w:styleId="CPNormal8pt">
    <w:name w:val="CPNormal 8pt"/>
    <w:basedOn w:val="CPNormalLeft"/>
    <w:rsid w:val="002831AB"/>
    <w:pPr>
      <w:tabs>
        <w:tab w:val="left" w:pos="567"/>
      </w:tabs>
      <w:spacing w:after="0"/>
      <w:ind w:left="360" w:hanging="360"/>
      <w:jc w:val="both"/>
    </w:pPr>
    <w:rPr>
      <w:sz w:val="16"/>
      <w:szCs w:val="16"/>
    </w:rPr>
  </w:style>
  <w:style w:type="paragraph" w:customStyle="1" w:styleId="CPCntHdBld">
    <w:name w:val="CPCntHdBld"/>
    <w:basedOn w:val="Normal"/>
    <w:rsid w:val="002831AB"/>
    <w:pPr>
      <w:keepNext/>
      <w:keepLines/>
      <w:widowControl w:val="0"/>
      <w:tabs>
        <w:tab w:val="left" w:pos="567"/>
      </w:tabs>
      <w:autoSpaceDE w:val="0"/>
      <w:autoSpaceDN w:val="0"/>
      <w:adjustRightInd w:val="0"/>
      <w:spacing w:after="240" w:line="240" w:lineRule="exact"/>
      <w:jc w:val="center"/>
    </w:pPr>
    <w:rPr>
      <w:rFonts w:ascii="Times New Roman" w:hAnsi="Times New Roman"/>
      <w:b/>
      <w:bCs/>
      <w:color w:val="000000"/>
      <w:sz w:val="21"/>
      <w:szCs w:val="21"/>
      <w:lang w:val="en-US" w:eastAsia="es-AR"/>
    </w:rPr>
  </w:style>
  <w:style w:type="paragraph" w:customStyle="1" w:styleId="bullet0">
    <w:name w:val="bullet"/>
    <w:basedOn w:val="CPNormalLeft"/>
    <w:rsid w:val="002831AB"/>
    <w:pPr>
      <w:widowControl/>
      <w:tabs>
        <w:tab w:val="left" w:pos="567"/>
      </w:tabs>
      <w:ind w:left="360" w:hanging="360"/>
    </w:pPr>
    <w:rPr>
      <w:sz w:val="24"/>
      <w:szCs w:val="24"/>
    </w:rPr>
  </w:style>
  <w:style w:type="paragraph" w:customStyle="1" w:styleId="CPFootnoteContdNotice">
    <w:name w:val="CPFootnoteContdNotice"/>
    <w:basedOn w:val="Normal"/>
    <w:rsid w:val="002831AB"/>
    <w:pPr>
      <w:widowControl w:val="0"/>
      <w:tabs>
        <w:tab w:val="left" w:pos="567"/>
      </w:tabs>
      <w:autoSpaceDE w:val="0"/>
      <w:autoSpaceDN w:val="0"/>
      <w:adjustRightInd w:val="0"/>
      <w:spacing w:before="240" w:after="240" w:line="240" w:lineRule="exact"/>
      <w:jc w:val="right"/>
    </w:pPr>
    <w:rPr>
      <w:rFonts w:ascii="Times New Roman" w:hAnsi="Times New Roman"/>
      <w:sz w:val="21"/>
      <w:szCs w:val="21"/>
      <w:lang w:val="en-US" w:eastAsia="es-AR"/>
    </w:rPr>
  </w:style>
  <w:style w:type="paragraph" w:customStyle="1" w:styleId="CPN-BTitle">
    <w:name w:val="CPN-B/Title"/>
    <w:basedOn w:val="CPNormal"/>
    <w:rsid w:val="002831AB"/>
    <w:pPr>
      <w:keepNext/>
      <w:keepLines/>
      <w:widowControl/>
      <w:spacing w:before="120"/>
      <w:ind w:firstLine="0"/>
    </w:pPr>
    <w:rPr>
      <w:b/>
      <w:bCs/>
    </w:rPr>
  </w:style>
  <w:style w:type="paragraph" w:customStyle="1" w:styleId="CPNFtn7pt">
    <w:name w:val="CPNFtn7pt"/>
    <w:basedOn w:val="Normal"/>
    <w:rsid w:val="002831AB"/>
    <w:pPr>
      <w:tabs>
        <w:tab w:val="left" w:pos="567"/>
      </w:tabs>
      <w:autoSpaceDE w:val="0"/>
      <w:autoSpaceDN w:val="0"/>
      <w:adjustRightInd w:val="0"/>
      <w:spacing w:line="240" w:lineRule="exact"/>
      <w:ind w:left="360" w:hanging="360"/>
      <w:jc w:val="both"/>
    </w:pPr>
    <w:rPr>
      <w:rFonts w:ascii="Times New Roman" w:hAnsi="Times New Roman"/>
      <w:sz w:val="14"/>
      <w:szCs w:val="14"/>
      <w:lang w:val="en-US" w:eastAsia="es-AR"/>
    </w:rPr>
  </w:style>
  <w:style w:type="paragraph" w:customStyle="1" w:styleId="CPN-Left">
    <w:name w:val="CPN-Left"/>
    <w:basedOn w:val="CPNormal"/>
    <w:rsid w:val="002831AB"/>
    <w:pPr>
      <w:spacing w:line="240" w:lineRule="auto"/>
      <w:ind w:firstLine="0"/>
    </w:pPr>
    <w:rPr>
      <w:rFonts w:ascii="Courier New" w:hAnsi="Courier New" w:cs="Courier New"/>
      <w:sz w:val="24"/>
      <w:szCs w:val="24"/>
    </w:rPr>
  </w:style>
  <w:style w:type="paragraph" w:customStyle="1" w:styleId="CPSignature">
    <w:name w:val="CPSignature"/>
    <w:basedOn w:val="CPNormal"/>
    <w:next w:val="CPNormal"/>
    <w:rsid w:val="002831AB"/>
    <w:pPr>
      <w:spacing w:after="0" w:line="240" w:lineRule="auto"/>
      <w:ind w:firstLine="0"/>
    </w:pPr>
    <w:rPr>
      <w:sz w:val="21"/>
      <w:szCs w:val="21"/>
    </w:rPr>
  </w:style>
  <w:style w:type="paragraph" w:customStyle="1" w:styleId="FSchedule">
    <w:name w:val="FSchedule"/>
    <w:basedOn w:val="CPNormalLeft"/>
    <w:rsid w:val="002831AB"/>
    <w:pPr>
      <w:widowControl/>
      <w:tabs>
        <w:tab w:val="left" w:pos="567"/>
        <w:tab w:val="right" w:leader="dot" w:pos="8280"/>
        <w:tab w:val="right" w:pos="9180"/>
      </w:tabs>
      <w:spacing w:line="240" w:lineRule="exact"/>
      <w:ind w:left="270" w:right="1710" w:hanging="270"/>
      <w:jc w:val="both"/>
    </w:pPr>
    <w:rPr>
      <w:sz w:val="22"/>
      <w:szCs w:val="22"/>
    </w:rPr>
  </w:style>
  <w:style w:type="paragraph" w:customStyle="1" w:styleId="ListExh2">
    <w:name w:val="List Exh 2"/>
    <w:basedOn w:val="Normal"/>
    <w:rsid w:val="002831AB"/>
    <w:pPr>
      <w:tabs>
        <w:tab w:val="left" w:pos="440"/>
        <w:tab w:val="left" w:pos="567"/>
        <w:tab w:val="left" w:pos="660"/>
        <w:tab w:val="left" w:pos="918"/>
        <w:tab w:val="left" w:pos="1099"/>
        <w:tab w:val="left" w:pos="1318"/>
        <w:tab w:val="left" w:pos="1538"/>
        <w:tab w:val="left" w:pos="1758"/>
        <w:tab w:val="left" w:pos="1977"/>
        <w:tab w:val="left" w:pos="2197"/>
        <w:tab w:val="left" w:pos="2416"/>
        <w:tab w:val="left" w:pos="2636"/>
        <w:tab w:val="left" w:pos="2856"/>
        <w:tab w:val="left" w:pos="3075"/>
        <w:tab w:val="left" w:pos="3295"/>
        <w:tab w:val="left" w:pos="3514"/>
        <w:tab w:val="left" w:pos="3734"/>
        <w:tab w:val="left" w:pos="3954"/>
        <w:tab w:val="left" w:pos="4173"/>
        <w:tab w:val="left" w:pos="4393"/>
        <w:tab w:val="left" w:pos="4612"/>
        <w:tab w:val="left" w:pos="4832"/>
        <w:tab w:val="left" w:pos="5052"/>
        <w:tab w:val="left" w:pos="5271"/>
        <w:tab w:val="left" w:pos="5491"/>
        <w:tab w:val="left" w:pos="5710"/>
        <w:tab w:val="left" w:pos="5930"/>
        <w:tab w:val="left" w:pos="6150"/>
        <w:tab w:val="left" w:pos="6369"/>
        <w:tab w:val="left" w:pos="6589"/>
        <w:tab w:val="left" w:pos="6808"/>
        <w:tab w:val="left" w:pos="7028"/>
        <w:tab w:val="left" w:pos="7248"/>
        <w:tab w:val="left" w:pos="7467"/>
        <w:tab w:val="left" w:pos="7687"/>
        <w:tab w:val="left" w:pos="7906"/>
        <w:tab w:val="left" w:pos="8126"/>
        <w:tab w:val="left" w:pos="8346"/>
        <w:tab w:val="left" w:pos="8565"/>
        <w:tab w:val="left" w:pos="8785"/>
        <w:tab w:val="left" w:pos="9004"/>
      </w:tabs>
      <w:autoSpaceDE w:val="0"/>
      <w:autoSpaceDN w:val="0"/>
      <w:adjustRightInd w:val="0"/>
      <w:spacing w:after="240" w:line="240" w:lineRule="exact"/>
      <w:ind w:left="720"/>
      <w:jc w:val="both"/>
    </w:pPr>
    <w:rPr>
      <w:rFonts w:ascii="Times New Roman" w:hAnsi="Times New Roman"/>
      <w:noProof/>
      <w:sz w:val="22"/>
      <w:szCs w:val="22"/>
      <w:lang w:val="en-US" w:eastAsia="es-AR"/>
    </w:rPr>
  </w:style>
  <w:style w:type="paragraph" w:customStyle="1" w:styleId="ListI0">
    <w:name w:val="ListI"/>
    <w:basedOn w:val="Normal"/>
    <w:rsid w:val="002831AB"/>
    <w:pPr>
      <w:keepNext/>
      <w:tabs>
        <w:tab w:val="left" w:pos="567"/>
      </w:tabs>
      <w:autoSpaceDE w:val="0"/>
      <w:autoSpaceDN w:val="0"/>
      <w:adjustRightInd w:val="0"/>
      <w:spacing w:after="240" w:line="240" w:lineRule="exact"/>
      <w:ind w:left="360"/>
    </w:pPr>
    <w:rPr>
      <w:rFonts w:ascii="Times New Roman" w:hAnsi="Times New Roman"/>
      <w:i/>
      <w:iCs/>
      <w:sz w:val="22"/>
      <w:szCs w:val="22"/>
      <w:lang w:val="en-US" w:eastAsia="es-AR"/>
    </w:rPr>
  </w:style>
  <w:style w:type="paragraph" w:customStyle="1" w:styleId="PCDOCSFooter">
    <w:name w:val="PCDOCSFooter"/>
    <w:basedOn w:val="zCPMatter"/>
    <w:rsid w:val="002831AB"/>
    <w:pPr>
      <w:pBdr>
        <w:top w:val="none" w:sz="0" w:space="0" w:color="auto"/>
      </w:pBdr>
      <w:jc w:val="left"/>
    </w:pPr>
    <w:rPr>
      <w:sz w:val="14"/>
      <w:szCs w:val="14"/>
    </w:rPr>
  </w:style>
  <w:style w:type="paragraph" w:customStyle="1" w:styleId="zCPMatter">
    <w:name w:val="zCPMatter"/>
    <w:basedOn w:val="Normal"/>
    <w:rsid w:val="002831AB"/>
    <w:pPr>
      <w:pBdr>
        <w:top w:val="double" w:sz="12" w:space="1" w:color="auto"/>
      </w:pBdr>
      <w:tabs>
        <w:tab w:val="left" w:pos="567"/>
      </w:tabs>
      <w:autoSpaceDE w:val="0"/>
      <w:autoSpaceDN w:val="0"/>
      <w:adjustRightInd w:val="0"/>
      <w:spacing w:after="240" w:line="240" w:lineRule="exact"/>
      <w:jc w:val="center"/>
    </w:pPr>
    <w:rPr>
      <w:rFonts w:ascii="Times New Roman" w:hAnsi="Times New Roman"/>
      <w:b/>
      <w:bCs/>
      <w:vanish/>
      <w:sz w:val="32"/>
      <w:szCs w:val="32"/>
      <w:lang w:val="en-US" w:eastAsia="es-AR"/>
    </w:rPr>
  </w:style>
  <w:style w:type="paragraph" w:customStyle="1" w:styleId="PCDOCSFirstFooter">
    <w:name w:val="PCDOCSFirstFooter"/>
    <w:basedOn w:val="PCDOCSFooter"/>
    <w:rsid w:val="002831AB"/>
  </w:style>
  <w:style w:type="paragraph" w:customStyle="1" w:styleId="PCDOCSLastFooter">
    <w:name w:val="PCDOCSLastFooter"/>
    <w:basedOn w:val="PCDOCSFooter"/>
    <w:rsid w:val="002831AB"/>
    <w:pPr>
      <w:framePr w:w="8640" w:hSpace="180" w:vSpace="180" w:wrap="auto" w:vAnchor="page" w:hAnchor="text" w:yAlign="bottom"/>
      <w:spacing w:after="360"/>
    </w:pPr>
    <w:rPr>
      <w:color w:val="FFFFFF"/>
    </w:rPr>
  </w:style>
  <w:style w:type="paragraph" w:customStyle="1" w:styleId="FootnoteSeparator">
    <w:name w:val="Footnote Separator"/>
    <w:basedOn w:val="Normal"/>
    <w:rsid w:val="002831AB"/>
    <w:pPr>
      <w:pBdr>
        <w:top w:val="single" w:sz="4" w:space="1" w:color="auto"/>
      </w:pBdr>
      <w:autoSpaceDE w:val="0"/>
      <w:autoSpaceDN w:val="0"/>
      <w:adjustRightInd w:val="0"/>
      <w:spacing w:before="120" w:after="240"/>
      <w:ind w:right="5040"/>
    </w:pPr>
    <w:rPr>
      <w:rFonts w:ascii="Times New Roman" w:hAnsi="Times New Roman"/>
      <w:lang w:val="en-US" w:eastAsia="es-AR"/>
    </w:rPr>
  </w:style>
  <w:style w:type="paragraph" w:customStyle="1" w:styleId="FootnoteContinuationSeparator">
    <w:name w:val="Footnote Continuation Separator"/>
    <w:basedOn w:val="Normal"/>
    <w:rsid w:val="002831AB"/>
    <w:pPr>
      <w:pBdr>
        <w:top w:val="single" w:sz="4" w:space="1" w:color="auto"/>
      </w:pBdr>
      <w:autoSpaceDE w:val="0"/>
      <w:autoSpaceDN w:val="0"/>
      <w:adjustRightInd w:val="0"/>
      <w:spacing w:before="120" w:after="240"/>
      <w:ind w:right="5040"/>
    </w:pPr>
    <w:rPr>
      <w:rFonts w:ascii="Times New Roman" w:hAnsi="Times New Roman"/>
      <w:lang w:val="en-US" w:eastAsia="es-AR"/>
    </w:rPr>
  </w:style>
  <w:style w:type="paragraph" w:customStyle="1" w:styleId="FootnoteContinuationNotice">
    <w:name w:val="Footnote Continuation Notice"/>
    <w:basedOn w:val="Normal"/>
    <w:rsid w:val="002831AB"/>
    <w:pPr>
      <w:autoSpaceDE w:val="0"/>
      <w:autoSpaceDN w:val="0"/>
      <w:adjustRightInd w:val="0"/>
      <w:spacing w:before="240" w:after="240"/>
      <w:jc w:val="right"/>
    </w:pPr>
    <w:rPr>
      <w:rFonts w:ascii="Times New Roman" w:hAnsi="Times New Roman"/>
      <w:lang w:val="en-US" w:eastAsia="es-AR"/>
    </w:rPr>
  </w:style>
  <w:style w:type="paragraph" w:customStyle="1" w:styleId="CPCenterII">
    <w:name w:val="CPCenter II"/>
    <w:basedOn w:val="Normal"/>
    <w:rsid w:val="002831AB"/>
    <w:pPr>
      <w:keepNext/>
      <w:autoSpaceDE w:val="0"/>
      <w:autoSpaceDN w:val="0"/>
      <w:adjustRightInd w:val="0"/>
      <w:spacing w:before="120" w:after="240"/>
      <w:jc w:val="center"/>
    </w:pPr>
    <w:rPr>
      <w:rFonts w:ascii="Times New Roman" w:hAnsi="Times New Roman"/>
      <w:b/>
      <w:bCs/>
      <w:sz w:val="21"/>
      <w:szCs w:val="21"/>
      <w:lang w:val="en-US" w:eastAsia="es-AR"/>
    </w:rPr>
  </w:style>
  <w:style w:type="paragraph" w:customStyle="1" w:styleId="CPNormal-5ind">
    <w:name w:val="CPNormal-.5&quot;ind."/>
    <w:basedOn w:val="CPNormal"/>
    <w:rsid w:val="002831AB"/>
    <w:pPr>
      <w:tabs>
        <w:tab w:val="clear" w:pos="567"/>
      </w:tabs>
      <w:spacing w:line="240" w:lineRule="auto"/>
      <w:ind w:left="720" w:firstLine="0"/>
    </w:pPr>
  </w:style>
  <w:style w:type="paragraph" w:customStyle="1" w:styleId="Italhead">
    <w:name w:val="Italhead"/>
    <w:basedOn w:val="CPNNormal"/>
    <w:rsid w:val="002831AB"/>
    <w:pPr>
      <w:keepNext/>
      <w:overflowPunct w:val="0"/>
      <w:autoSpaceDE w:val="0"/>
      <w:autoSpaceDN w:val="0"/>
      <w:adjustRightInd w:val="0"/>
      <w:ind w:firstLine="547"/>
      <w:textAlignment w:val="baseline"/>
    </w:pPr>
    <w:rPr>
      <w:rFonts w:ascii="Calibri" w:hAnsi="Calibri"/>
      <w:i/>
      <w:iCs/>
      <w:sz w:val="21"/>
      <w:szCs w:val="21"/>
    </w:rPr>
  </w:style>
  <w:style w:type="paragraph" w:customStyle="1" w:styleId="Bullet51">
    <w:name w:val="^Bullet.5"/>
    <w:basedOn w:val="Normal"/>
    <w:rsid w:val="002831AB"/>
    <w:pPr>
      <w:widowControl w:val="0"/>
      <w:overflowPunct w:val="0"/>
      <w:autoSpaceDE w:val="0"/>
      <w:autoSpaceDN w:val="0"/>
      <w:adjustRightInd w:val="0"/>
      <w:spacing w:after="240"/>
      <w:ind w:left="1080" w:hanging="360"/>
      <w:textAlignment w:val="baseline"/>
    </w:pPr>
    <w:rPr>
      <w:rFonts w:ascii="Times New Roman" w:hAnsi="Times New Roman"/>
      <w:sz w:val="21"/>
      <w:szCs w:val="21"/>
      <w:lang w:val="en-US" w:eastAsia="es-AR"/>
    </w:rPr>
  </w:style>
  <w:style w:type="paragraph" w:customStyle="1" w:styleId="Level6">
    <w:name w:val="Level 6"/>
    <w:basedOn w:val="Normal"/>
    <w:rsid w:val="002831AB"/>
    <w:pPr>
      <w:tabs>
        <w:tab w:val="num" w:pos="360"/>
      </w:tabs>
      <w:autoSpaceDE w:val="0"/>
      <w:autoSpaceDN w:val="0"/>
      <w:adjustRightInd w:val="0"/>
      <w:spacing w:after="140" w:line="290" w:lineRule="auto"/>
      <w:ind w:left="360" w:hanging="360"/>
      <w:jc w:val="both"/>
      <w:outlineLvl w:val="5"/>
    </w:pPr>
    <w:rPr>
      <w:rFonts w:ascii="Arial" w:hAnsi="Arial" w:cs="Arial"/>
      <w:kern w:val="20"/>
      <w:lang w:val="en-GB" w:eastAsia="es-AR"/>
    </w:rPr>
  </w:style>
  <w:style w:type="paragraph" w:customStyle="1" w:styleId="TCHeading1">
    <w:name w:val="TCHeading 1"/>
    <w:basedOn w:val="Normal"/>
    <w:next w:val="TCHeading1Body"/>
    <w:rsid w:val="002831AB"/>
    <w:pPr>
      <w:tabs>
        <w:tab w:val="center" w:pos="5050"/>
        <w:tab w:val="left" w:pos="5270"/>
        <w:tab w:val="left" w:pos="5490"/>
        <w:tab w:val="left" w:pos="5709"/>
        <w:tab w:val="left" w:pos="5929"/>
        <w:tab w:val="left" w:pos="6148"/>
        <w:tab w:val="left" w:pos="6368"/>
        <w:tab w:val="left" w:pos="6588"/>
        <w:tab w:val="left" w:pos="6807"/>
        <w:tab w:val="left" w:pos="7027"/>
        <w:tab w:val="left" w:pos="7246"/>
        <w:tab w:val="left" w:pos="7466"/>
        <w:tab w:val="left" w:pos="7686"/>
        <w:tab w:val="left" w:pos="7905"/>
        <w:tab w:val="left" w:pos="8125"/>
        <w:tab w:val="left" w:pos="8344"/>
        <w:tab w:val="left" w:pos="8564"/>
      </w:tabs>
      <w:autoSpaceDE w:val="0"/>
      <w:autoSpaceDN w:val="0"/>
      <w:adjustRightInd w:val="0"/>
      <w:spacing w:after="132"/>
      <w:jc w:val="center"/>
    </w:pPr>
    <w:rPr>
      <w:rFonts w:ascii="Times New Roman" w:hAnsi="Times New Roman"/>
      <w:b/>
      <w:bCs/>
      <w:sz w:val="22"/>
      <w:szCs w:val="22"/>
      <w:lang w:val="en-US" w:eastAsia="es-AR"/>
    </w:rPr>
  </w:style>
  <w:style w:type="paragraph" w:customStyle="1" w:styleId="TCHeading1Body">
    <w:name w:val="TCHeading 1 Body"/>
    <w:basedOn w:val="Normal"/>
    <w:next w:val="TCHeading1"/>
    <w:rsid w:val="002831AB"/>
    <w:pPr>
      <w:tabs>
        <w:tab w:val="center" w:pos="5050"/>
        <w:tab w:val="left" w:pos="5270"/>
        <w:tab w:val="left" w:pos="5490"/>
        <w:tab w:val="left" w:pos="5709"/>
        <w:tab w:val="left" w:pos="5929"/>
        <w:tab w:val="left" w:pos="6148"/>
        <w:tab w:val="left" w:pos="6368"/>
        <w:tab w:val="left" w:pos="6588"/>
        <w:tab w:val="left" w:pos="6807"/>
        <w:tab w:val="left" w:pos="7027"/>
        <w:tab w:val="left" w:pos="7246"/>
        <w:tab w:val="left" w:pos="7466"/>
        <w:tab w:val="left" w:pos="7686"/>
        <w:tab w:val="left" w:pos="7905"/>
        <w:tab w:val="left" w:pos="8125"/>
        <w:tab w:val="left" w:pos="8344"/>
        <w:tab w:val="left" w:pos="8564"/>
      </w:tabs>
      <w:autoSpaceDE w:val="0"/>
      <w:autoSpaceDN w:val="0"/>
      <w:adjustRightInd w:val="0"/>
      <w:spacing w:after="132"/>
      <w:jc w:val="center"/>
    </w:pPr>
    <w:rPr>
      <w:rFonts w:ascii="Times New Roman" w:hAnsi="Times New Roman"/>
      <w:b/>
      <w:bCs/>
      <w:sz w:val="22"/>
      <w:szCs w:val="22"/>
      <w:lang w:val="en-US" w:eastAsia="es-AR"/>
    </w:rPr>
  </w:style>
  <w:style w:type="paragraph" w:customStyle="1" w:styleId="XHeading1">
    <w:name w:val="XHeading 1"/>
    <w:aliases w:val="xh1"/>
    <w:basedOn w:val="Normal"/>
    <w:next w:val="XHeading2"/>
    <w:rsid w:val="002831AB"/>
    <w:pPr>
      <w:keepNext/>
      <w:autoSpaceDE w:val="0"/>
      <w:autoSpaceDN w:val="0"/>
      <w:adjustRightInd w:val="0"/>
      <w:spacing w:after="240"/>
      <w:jc w:val="center"/>
      <w:outlineLvl w:val="0"/>
    </w:pPr>
    <w:rPr>
      <w:rFonts w:ascii="Times New Roman" w:hAnsi="Times New Roman"/>
      <w:caps/>
      <w:u w:val="single"/>
      <w:lang w:val="en-US" w:eastAsia="es-AR"/>
    </w:rPr>
  </w:style>
  <w:style w:type="paragraph" w:customStyle="1" w:styleId="XHeading2">
    <w:name w:val="XHeading 2"/>
    <w:aliases w:val="xh2"/>
    <w:basedOn w:val="Normal"/>
    <w:next w:val="Textoindependiente"/>
    <w:rsid w:val="002831AB"/>
    <w:pPr>
      <w:tabs>
        <w:tab w:val="num" w:pos="643"/>
      </w:tabs>
      <w:autoSpaceDE w:val="0"/>
      <w:autoSpaceDN w:val="0"/>
      <w:adjustRightInd w:val="0"/>
      <w:spacing w:after="240"/>
      <w:ind w:left="643" w:firstLine="720"/>
      <w:jc w:val="both"/>
      <w:outlineLvl w:val="1"/>
    </w:pPr>
    <w:rPr>
      <w:rFonts w:ascii="Times New Roman" w:hAnsi="Times New Roman"/>
      <w:lang w:val="en-US" w:eastAsia="es-AR"/>
    </w:rPr>
  </w:style>
  <w:style w:type="paragraph" w:customStyle="1" w:styleId="XHeading3">
    <w:name w:val="XHeading 3"/>
    <w:aliases w:val="xh3"/>
    <w:basedOn w:val="Normal"/>
    <w:next w:val="Textoindependiente"/>
    <w:rsid w:val="002831AB"/>
    <w:pPr>
      <w:tabs>
        <w:tab w:val="num" w:pos="643"/>
      </w:tabs>
      <w:autoSpaceDE w:val="0"/>
      <w:autoSpaceDN w:val="0"/>
      <w:adjustRightInd w:val="0"/>
      <w:spacing w:after="240"/>
      <w:ind w:left="643" w:hanging="360"/>
      <w:jc w:val="both"/>
      <w:outlineLvl w:val="2"/>
    </w:pPr>
    <w:rPr>
      <w:rFonts w:ascii="Times New Roman" w:hAnsi="Times New Roman"/>
      <w:lang w:val="en-US" w:eastAsia="es-AR"/>
    </w:rPr>
  </w:style>
  <w:style w:type="paragraph" w:customStyle="1" w:styleId="XHeading4">
    <w:name w:val="XHeading 4"/>
    <w:aliases w:val="xh4"/>
    <w:basedOn w:val="Normal"/>
    <w:next w:val="Textoindependiente"/>
    <w:rsid w:val="002831AB"/>
    <w:pPr>
      <w:tabs>
        <w:tab w:val="num" w:pos="643"/>
      </w:tabs>
      <w:autoSpaceDE w:val="0"/>
      <w:autoSpaceDN w:val="0"/>
      <w:adjustRightInd w:val="0"/>
      <w:spacing w:after="240"/>
      <w:ind w:left="643" w:hanging="360"/>
      <w:jc w:val="both"/>
      <w:outlineLvl w:val="3"/>
    </w:pPr>
    <w:rPr>
      <w:rFonts w:ascii="Times New Roman" w:hAnsi="Times New Roman"/>
      <w:lang w:val="en-US" w:eastAsia="es-AR"/>
    </w:rPr>
  </w:style>
  <w:style w:type="paragraph" w:customStyle="1" w:styleId="XHeading5">
    <w:name w:val="XHeading 5"/>
    <w:aliases w:val="xh5"/>
    <w:basedOn w:val="Normal"/>
    <w:next w:val="Textoindependiente"/>
    <w:rsid w:val="002831AB"/>
    <w:pPr>
      <w:tabs>
        <w:tab w:val="num" w:pos="643"/>
      </w:tabs>
      <w:autoSpaceDE w:val="0"/>
      <w:autoSpaceDN w:val="0"/>
      <w:adjustRightInd w:val="0"/>
      <w:spacing w:after="240"/>
      <w:ind w:left="643" w:hanging="360"/>
      <w:jc w:val="both"/>
      <w:outlineLvl w:val="4"/>
    </w:pPr>
    <w:rPr>
      <w:rFonts w:ascii="Times New Roman" w:hAnsi="Times New Roman"/>
      <w:lang w:val="en-US" w:eastAsia="es-AR"/>
    </w:rPr>
  </w:style>
  <w:style w:type="paragraph" w:customStyle="1" w:styleId="XHeading6">
    <w:name w:val="XHeading 6"/>
    <w:aliases w:val="xh6"/>
    <w:basedOn w:val="Normal"/>
    <w:next w:val="Textoindependiente"/>
    <w:rsid w:val="002831AB"/>
    <w:pPr>
      <w:tabs>
        <w:tab w:val="num" w:pos="643"/>
      </w:tabs>
      <w:autoSpaceDE w:val="0"/>
      <w:autoSpaceDN w:val="0"/>
      <w:adjustRightInd w:val="0"/>
      <w:spacing w:after="240"/>
      <w:ind w:left="643" w:hanging="360"/>
      <w:jc w:val="both"/>
      <w:outlineLvl w:val="5"/>
    </w:pPr>
    <w:rPr>
      <w:rFonts w:ascii="Times New Roman" w:hAnsi="Times New Roman"/>
      <w:lang w:val="en-US" w:eastAsia="es-AR"/>
    </w:rPr>
  </w:style>
  <w:style w:type="paragraph" w:customStyle="1" w:styleId="XHeading7">
    <w:name w:val="XHeading 7"/>
    <w:aliases w:val="xh7"/>
    <w:basedOn w:val="Normal"/>
    <w:next w:val="Textoindependiente"/>
    <w:rsid w:val="002831AB"/>
    <w:pPr>
      <w:tabs>
        <w:tab w:val="num" w:pos="643"/>
      </w:tabs>
      <w:autoSpaceDE w:val="0"/>
      <w:autoSpaceDN w:val="0"/>
      <w:adjustRightInd w:val="0"/>
      <w:spacing w:after="240"/>
      <w:ind w:left="643" w:hanging="360"/>
      <w:jc w:val="both"/>
      <w:outlineLvl w:val="6"/>
    </w:pPr>
    <w:rPr>
      <w:rFonts w:ascii="Times New Roman" w:hAnsi="Times New Roman"/>
      <w:lang w:val="en-US" w:eastAsia="es-AR"/>
    </w:rPr>
  </w:style>
  <w:style w:type="paragraph" w:customStyle="1" w:styleId="XHeading8">
    <w:name w:val="XHeading 8"/>
    <w:aliases w:val="xh8"/>
    <w:basedOn w:val="Normal"/>
    <w:next w:val="Textoindependiente"/>
    <w:rsid w:val="002831AB"/>
    <w:pPr>
      <w:tabs>
        <w:tab w:val="num" w:pos="643"/>
      </w:tabs>
      <w:autoSpaceDE w:val="0"/>
      <w:autoSpaceDN w:val="0"/>
      <w:adjustRightInd w:val="0"/>
      <w:spacing w:after="240"/>
      <w:ind w:left="643" w:hanging="360"/>
      <w:jc w:val="both"/>
      <w:outlineLvl w:val="7"/>
    </w:pPr>
    <w:rPr>
      <w:rFonts w:ascii="Times New Roman" w:hAnsi="Times New Roman"/>
      <w:lang w:val="en-US" w:eastAsia="es-AR"/>
    </w:rPr>
  </w:style>
  <w:style w:type="paragraph" w:customStyle="1" w:styleId="XHeading9">
    <w:name w:val="XHeading 9"/>
    <w:aliases w:val="xh9"/>
    <w:basedOn w:val="Normal"/>
    <w:next w:val="Textoindependiente"/>
    <w:rsid w:val="002831AB"/>
    <w:pPr>
      <w:tabs>
        <w:tab w:val="num" w:pos="643"/>
      </w:tabs>
      <w:autoSpaceDE w:val="0"/>
      <w:autoSpaceDN w:val="0"/>
      <w:adjustRightInd w:val="0"/>
      <w:spacing w:after="240"/>
      <w:ind w:left="643" w:hanging="360"/>
      <w:jc w:val="both"/>
      <w:outlineLvl w:val="8"/>
    </w:pPr>
    <w:rPr>
      <w:rFonts w:ascii="Times New Roman" w:hAnsi="Times New Roman"/>
      <w:lang w:val="en-US" w:eastAsia="es-AR"/>
    </w:rPr>
  </w:style>
  <w:style w:type="paragraph" w:customStyle="1" w:styleId="footnotefakes">
    <w:name w:val="footnote fakes"/>
    <w:aliases w:val="ff,ff Car,footnote fakes Car"/>
    <w:basedOn w:val="Normal"/>
    <w:rsid w:val="002831AB"/>
    <w:pPr>
      <w:autoSpaceDE w:val="0"/>
      <w:autoSpaceDN w:val="0"/>
      <w:adjustRightInd w:val="0"/>
      <w:ind w:left="360" w:hanging="360"/>
      <w:jc w:val="both"/>
    </w:pPr>
    <w:rPr>
      <w:rFonts w:ascii="Times New Roman" w:hAnsi="Times New Roman"/>
      <w:sz w:val="16"/>
      <w:szCs w:val="16"/>
      <w:lang w:val="en-US" w:eastAsia="es-AR"/>
    </w:rPr>
  </w:style>
  <w:style w:type="paragraph" w:customStyle="1" w:styleId="tablefootnoteseparator">
    <w:name w:val="table footnote separator"/>
    <w:aliases w:val="tfs"/>
    <w:basedOn w:val="Normal"/>
    <w:rsid w:val="002831AB"/>
    <w:pPr>
      <w:keepNext/>
      <w:pBdr>
        <w:top w:val="single" w:sz="4" w:space="1" w:color="auto"/>
      </w:pBdr>
      <w:autoSpaceDE w:val="0"/>
      <w:autoSpaceDN w:val="0"/>
      <w:adjustRightInd w:val="0"/>
      <w:spacing w:before="120" w:line="60" w:lineRule="exact"/>
      <w:ind w:right="7200"/>
    </w:pPr>
    <w:rPr>
      <w:rFonts w:ascii="Times New Roman" w:hAnsi="Times New Roman"/>
      <w:lang w:val="en-US" w:eastAsia="es-AR"/>
    </w:rPr>
  </w:style>
  <w:style w:type="paragraph" w:customStyle="1" w:styleId="TitleLeft">
    <w:name w:val="Title Left"/>
    <w:aliases w:val="TL"/>
    <w:basedOn w:val="Normal"/>
    <w:rsid w:val="002831AB"/>
    <w:pPr>
      <w:keepNext/>
      <w:autoSpaceDE w:val="0"/>
      <w:autoSpaceDN w:val="0"/>
      <w:adjustRightInd w:val="0"/>
      <w:spacing w:after="200"/>
      <w:jc w:val="both"/>
    </w:pPr>
    <w:rPr>
      <w:rFonts w:ascii="Times New Roman" w:hAnsi="Times New Roman"/>
      <w:b/>
      <w:bCs/>
      <w:color w:val="000000"/>
      <w:lang w:val="en-US" w:eastAsia="es-AR"/>
    </w:rPr>
  </w:style>
  <w:style w:type="paragraph" w:customStyle="1" w:styleId="TableNotes10">
    <w:name w:val="Table Notes 10"/>
    <w:basedOn w:val="Normal"/>
    <w:rsid w:val="002831AB"/>
    <w:pPr>
      <w:autoSpaceDE w:val="0"/>
      <w:autoSpaceDN w:val="0"/>
      <w:adjustRightInd w:val="0"/>
      <w:ind w:left="432" w:hanging="432"/>
    </w:pPr>
    <w:rPr>
      <w:rFonts w:ascii="Times New Roman" w:hAnsi="Times New Roman"/>
      <w:lang w:val="en-US" w:eastAsia="es-AR"/>
    </w:rPr>
  </w:style>
  <w:style w:type="paragraph" w:customStyle="1" w:styleId="tabla9cdec">
    <w:name w:val="tabla9c/dec"/>
    <w:basedOn w:val="Normal"/>
    <w:rsid w:val="002831AB"/>
    <w:pPr>
      <w:autoSpaceDE w:val="0"/>
      <w:autoSpaceDN w:val="0"/>
      <w:adjustRightInd w:val="0"/>
      <w:jc w:val="both"/>
    </w:pPr>
    <w:rPr>
      <w:rFonts w:ascii="Times New Roman" w:hAnsi="Times New Roman"/>
      <w:noProof/>
      <w:sz w:val="18"/>
      <w:szCs w:val="18"/>
      <w:lang w:val="en-US" w:eastAsia="es-AR"/>
    </w:rPr>
  </w:style>
  <w:style w:type="paragraph" w:customStyle="1" w:styleId="BodyTex1">
    <w:name w:val="BodyTex1"/>
    <w:basedOn w:val="Textoindependiente"/>
    <w:rsid w:val="002831AB"/>
    <w:pPr>
      <w:widowControl w:val="0"/>
      <w:tabs>
        <w:tab w:val="left" w:pos="454"/>
        <w:tab w:val="left" w:pos="907"/>
      </w:tabs>
      <w:spacing w:after="0"/>
      <w:ind w:left="851" w:hanging="851"/>
      <w:jc w:val="both"/>
    </w:pPr>
  </w:style>
  <w:style w:type="paragraph" w:customStyle="1" w:styleId="QuickSmallBullet">
    <w:name w:val="Quick Small Bullet"/>
    <w:basedOn w:val="Normal"/>
    <w:rsid w:val="002831AB"/>
    <w:pPr>
      <w:tabs>
        <w:tab w:val="left" w:pos="72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240"/>
      <w:ind w:left="283" w:hanging="283"/>
    </w:pPr>
    <w:rPr>
      <w:rFonts w:ascii="Times New Roman" w:hAnsi="Times New Roman"/>
      <w:lang w:val="en-US" w:eastAsia="es-AR"/>
    </w:rPr>
  </w:style>
  <w:style w:type="paragraph" w:customStyle="1" w:styleId="ListBullet31">
    <w:name w:val="List Bullet 3.1"/>
    <w:basedOn w:val="Normal"/>
    <w:rsid w:val="002831AB"/>
    <w:pPr>
      <w:autoSpaceDE w:val="0"/>
      <w:autoSpaceDN w:val="0"/>
      <w:adjustRightInd w:val="0"/>
      <w:spacing w:after="200"/>
      <w:ind w:left="990" w:hanging="720"/>
      <w:jc w:val="both"/>
    </w:pPr>
    <w:rPr>
      <w:rFonts w:ascii="Times New Roman" w:hAnsi="Times New Roman"/>
      <w:lang w:val="en-US" w:eastAsia="es-AR"/>
    </w:rPr>
  </w:style>
  <w:style w:type="paragraph" w:customStyle="1" w:styleId="MyBullet">
    <w:name w:val="My Bullet"/>
    <w:basedOn w:val="Normal"/>
    <w:rsid w:val="002831AB"/>
    <w:pPr>
      <w:widowControl w:val="0"/>
      <w:autoSpaceDE w:val="0"/>
      <w:autoSpaceDN w:val="0"/>
      <w:adjustRightInd w:val="0"/>
      <w:spacing w:after="240"/>
    </w:pPr>
    <w:rPr>
      <w:rFonts w:ascii="Times New Roman" w:hAnsi="Times New Roman"/>
      <w:sz w:val="22"/>
      <w:szCs w:val="22"/>
      <w:lang w:val="en-US" w:eastAsia="es-AR"/>
    </w:rPr>
  </w:style>
  <w:style w:type="paragraph" w:customStyle="1" w:styleId="Title17">
    <w:name w:val="Title 17"/>
    <w:basedOn w:val="Normal"/>
    <w:rsid w:val="002831AB"/>
    <w:pPr>
      <w:autoSpaceDE w:val="0"/>
      <w:autoSpaceDN w:val="0"/>
      <w:adjustRightInd w:val="0"/>
      <w:jc w:val="center"/>
    </w:pPr>
    <w:rPr>
      <w:rFonts w:ascii="Times New Roman" w:hAnsi="Times New Roman"/>
      <w:b/>
      <w:bCs/>
      <w:sz w:val="34"/>
      <w:szCs w:val="34"/>
      <w:lang w:val="en-US" w:eastAsia="es-AR"/>
    </w:rPr>
  </w:style>
  <w:style w:type="paragraph" w:customStyle="1" w:styleId="cpnnormal0">
    <w:name w:val="cpnnormal"/>
    <w:basedOn w:val="Normal"/>
    <w:rsid w:val="002831AB"/>
    <w:pPr>
      <w:autoSpaceDE w:val="0"/>
      <w:autoSpaceDN w:val="0"/>
      <w:adjustRightInd w:val="0"/>
      <w:spacing w:before="100" w:beforeAutospacing="1" w:after="100" w:afterAutospacing="1"/>
    </w:pPr>
    <w:rPr>
      <w:rFonts w:ascii="Arial Unicode MS" w:eastAsia="Arial Unicode MS" w:hAnsi="Arial Unicode MS" w:cs="Arial Unicode MS"/>
      <w:lang w:val="en-US" w:eastAsia="es-AR"/>
    </w:rPr>
  </w:style>
  <w:style w:type="paragraph" w:customStyle="1" w:styleId="bodytext2sgl0">
    <w:name w:val="bodytext2sgl"/>
    <w:basedOn w:val="Normal"/>
    <w:rsid w:val="002831AB"/>
    <w:pPr>
      <w:autoSpaceDE w:val="0"/>
      <w:autoSpaceDN w:val="0"/>
      <w:adjustRightInd w:val="0"/>
      <w:spacing w:before="100" w:beforeAutospacing="1" w:after="100" w:afterAutospacing="1"/>
    </w:pPr>
    <w:rPr>
      <w:rFonts w:ascii="Arial Unicode MS" w:eastAsia="Arial Unicode MS" w:hAnsi="Arial Unicode MS" w:cs="Arial Unicode MS"/>
      <w:lang w:val="en-US" w:eastAsia="es-AR"/>
    </w:rPr>
  </w:style>
  <w:style w:type="paragraph" w:customStyle="1" w:styleId="Remiteabreviado">
    <w:name w:val="Remite abreviado"/>
    <w:basedOn w:val="Normal"/>
    <w:rsid w:val="002831AB"/>
    <w:pPr>
      <w:autoSpaceDE w:val="0"/>
      <w:autoSpaceDN w:val="0"/>
      <w:adjustRightInd w:val="0"/>
    </w:pPr>
    <w:rPr>
      <w:rFonts w:ascii="Times New Roman" w:hAnsi="Times New Roman"/>
      <w:lang w:val="en-US" w:eastAsia="es-AR"/>
    </w:rPr>
  </w:style>
  <w:style w:type="paragraph" w:customStyle="1" w:styleId="CPCaption">
    <w:name w:val="CPCaption"/>
    <w:basedOn w:val="CPNormal"/>
    <w:next w:val="CPNormal"/>
    <w:rsid w:val="002831AB"/>
    <w:pPr>
      <w:widowControl/>
      <w:tabs>
        <w:tab w:val="clear" w:pos="567"/>
      </w:tabs>
      <w:overflowPunct w:val="0"/>
      <w:spacing w:after="0" w:line="240" w:lineRule="auto"/>
      <w:ind w:firstLine="0"/>
      <w:jc w:val="left"/>
      <w:textAlignment w:val="baseline"/>
    </w:pPr>
    <w:rPr>
      <w:sz w:val="21"/>
      <w:szCs w:val="21"/>
    </w:rPr>
  </w:style>
  <w:style w:type="paragraph" w:customStyle="1" w:styleId="Glossary">
    <w:name w:val="Glossary"/>
    <w:basedOn w:val="Normal"/>
    <w:rsid w:val="002831AB"/>
    <w:pPr>
      <w:tabs>
        <w:tab w:val="left" w:pos="360"/>
        <w:tab w:val="right" w:leader="dot" w:pos="4320"/>
        <w:tab w:val="left" w:pos="4536"/>
      </w:tabs>
      <w:autoSpaceDE w:val="0"/>
      <w:autoSpaceDN w:val="0"/>
      <w:adjustRightInd w:val="0"/>
      <w:spacing w:after="120"/>
      <w:ind w:left="4536" w:hanging="4536"/>
    </w:pPr>
    <w:rPr>
      <w:rFonts w:ascii="Times New Roman" w:hAnsi="Times New Roman"/>
      <w:color w:val="000000"/>
      <w:lang w:val="en-US" w:eastAsia="es-AR"/>
    </w:rPr>
  </w:style>
  <w:style w:type="paragraph" w:customStyle="1" w:styleId="Title12">
    <w:name w:val="Title 12"/>
    <w:basedOn w:val="Normal"/>
    <w:rsid w:val="002831AB"/>
    <w:pPr>
      <w:autoSpaceDE w:val="0"/>
      <w:autoSpaceDN w:val="0"/>
      <w:adjustRightInd w:val="0"/>
      <w:jc w:val="center"/>
    </w:pPr>
    <w:rPr>
      <w:rFonts w:ascii="Times New Roman" w:hAnsi="Times New Roman"/>
      <w:lang w:val="en-US" w:eastAsia="es-AR"/>
    </w:rPr>
  </w:style>
  <w:style w:type="paragraph" w:customStyle="1" w:styleId="CPMatter">
    <w:name w:val="CPMatter"/>
    <w:basedOn w:val="CPNormal"/>
    <w:rsid w:val="002831AB"/>
    <w:pPr>
      <w:tabs>
        <w:tab w:val="clear" w:pos="567"/>
      </w:tabs>
      <w:spacing w:after="0" w:line="240" w:lineRule="auto"/>
      <w:ind w:firstLine="0"/>
      <w:jc w:val="left"/>
    </w:pPr>
    <w:rPr>
      <w:sz w:val="21"/>
      <w:szCs w:val="21"/>
    </w:rPr>
  </w:style>
  <w:style w:type="paragraph" w:customStyle="1" w:styleId="Lneadeautor">
    <w:name w:val="Línea de autor"/>
    <w:basedOn w:val="Textoindependiente"/>
    <w:rsid w:val="002831AB"/>
    <w:pPr>
      <w:spacing w:after="240"/>
      <w:ind w:firstLine="525"/>
      <w:jc w:val="both"/>
    </w:pPr>
    <w:rPr>
      <w:sz w:val="21"/>
      <w:szCs w:val="21"/>
    </w:rPr>
  </w:style>
  <w:style w:type="paragraph" w:customStyle="1" w:styleId="cc">
    <w:name w:val="cc"/>
    <w:basedOn w:val="Normal"/>
    <w:rsid w:val="002831AB"/>
    <w:pPr>
      <w:autoSpaceDE w:val="0"/>
      <w:autoSpaceDN w:val="0"/>
      <w:adjustRightInd w:val="0"/>
      <w:spacing w:after="240"/>
      <w:ind w:left="720" w:hanging="720"/>
    </w:pPr>
    <w:rPr>
      <w:rFonts w:ascii="Times New Roman" w:hAnsi="Times New Roman"/>
      <w:lang w:val="en-US" w:eastAsia="es-AR"/>
    </w:rPr>
  </w:style>
  <w:style w:type="paragraph" w:customStyle="1" w:styleId="bcc">
    <w:name w:val="bcc"/>
    <w:basedOn w:val="Normal"/>
    <w:rsid w:val="002831AB"/>
    <w:pPr>
      <w:autoSpaceDE w:val="0"/>
      <w:autoSpaceDN w:val="0"/>
      <w:adjustRightInd w:val="0"/>
      <w:ind w:left="720" w:hanging="720"/>
    </w:pPr>
    <w:rPr>
      <w:rFonts w:ascii="Times New Roman" w:hAnsi="Times New Roman"/>
      <w:lang w:val="en-US" w:eastAsia="es-AR"/>
    </w:rPr>
  </w:style>
  <w:style w:type="paragraph" w:customStyle="1" w:styleId="enclosure">
    <w:name w:val="enclosure"/>
    <w:basedOn w:val="Normal"/>
    <w:next w:val="Normal"/>
    <w:rsid w:val="002831AB"/>
    <w:pPr>
      <w:autoSpaceDE w:val="0"/>
      <w:autoSpaceDN w:val="0"/>
      <w:adjustRightInd w:val="0"/>
      <w:spacing w:after="240"/>
    </w:pPr>
    <w:rPr>
      <w:rFonts w:ascii="Times New Roman" w:hAnsi="Times New Roman"/>
      <w:lang w:val="en-US" w:eastAsia="es-AR"/>
    </w:rPr>
  </w:style>
  <w:style w:type="paragraph" w:customStyle="1" w:styleId="font6">
    <w:name w:val="font6"/>
    <w:basedOn w:val="Normal"/>
    <w:rsid w:val="002831AB"/>
    <w:pPr>
      <w:autoSpaceDE w:val="0"/>
      <w:autoSpaceDN w:val="0"/>
      <w:adjustRightInd w:val="0"/>
      <w:spacing w:before="100" w:beforeAutospacing="1" w:after="100" w:afterAutospacing="1"/>
    </w:pPr>
    <w:rPr>
      <w:rFonts w:ascii="Tahoma" w:eastAsia="Arial Unicode MS" w:hAnsi="Tahoma" w:cs="Tahoma"/>
      <w:b/>
      <w:bCs/>
      <w:color w:val="000000"/>
      <w:sz w:val="16"/>
      <w:szCs w:val="16"/>
      <w:lang w:val="en-US" w:eastAsia="es-AR"/>
    </w:rPr>
  </w:style>
  <w:style w:type="paragraph" w:customStyle="1" w:styleId="xl22">
    <w:name w:val="xl22"/>
    <w:basedOn w:val="Normal"/>
    <w:rsid w:val="002831AB"/>
    <w:pPr>
      <w:autoSpaceDE w:val="0"/>
      <w:autoSpaceDN w:val="0"/>
      <w:adjustRightInd w:val="0"/>
      <w:spacing w:before="100" w:beforeAutospacing="1" w:after="100" w:afterAutospacing="1"/>
      <w:jc w:val="center"/>
    </w:pPr>
    <w:rPr>
      <w:rFonts w:ascii="Times New Roman" w:eastAsia="Arial Unicode MS" w:hAnsi="Times New Roman"/>
      <w:b/>
      <w:bCs/>
      <w:lang w:val="en-US" w:eastAsia="es-AR"/>
    </w:rPr>
  </w:style>
  <w:style w:type="paragraph" w:customStyle="1" w:styleId="xl23">
    <w:name w:val="xl23"/>
    <w:basedOn w:val="Normal"/>
    <w:rsid w:val="002831AB"/>
    <w:pPr>
      <w:autoSpaceDE w:val="0"/>
      <w:autoSpaceDN w:val="0"/>
      <w:adjustRightInd w:val="0"/>
      <w:spacing w:before="100" w:beforeAutospacing="1" w:after="100" w:afterAutospacing="1"/>
    </w:pPr>
    <w:rPr>
      <w:rFonts w:ascii="Times New Roman" w:eastAsia="Arial Unicode MS" w:hAnsi="Times New Roman"/>
      <w:b/>
      <w:bCs/>
      <w:lang w:val="en-US" w:eastAsia="es-AR"/>
    </w:rPr>
  </w:style>
  <w:style w:type="paragraph" w:customStyle="1" w:styleId="Topo1">
    <w:name w:val="Topo 1"/>
    <w:rsid w:val="002831AB"/>
    <w:pPr>
      <w:ind w:left="578"/>
    </w:pPr>
    <w:rPr>
      <w:rFonts w:ascii="Bookman Old Style" w:hAnsi="Bookman Old Style"/>
      <w:color w:val="000000"/>
      <w:sz w:val="24"/>
      <w:szCs w:val="24"/>
      <w:lang w:eastAsia="en-US"/>
    </w:rPr>
  </w:style>
  <w:style w:type="paragraph" w:customStyle="1" w:styleId="Simple">
    <w:name w:val="Simple"/>
    <w:rsid w:val="002831AB"/>
    <w:rPr>
      <w:rFonts w:ascii="Bookman Old Style" w:hAnsi="Bookman Old Style"/>
      <w:color w:val="000000"/>
      <w:sz w:val="24"/>
      <w:szCs w:val="24"/>
      <w:lang w:eastAsia="en-US"/>
    </w:rPr>
  </w:style>
  <w:style w:type="paragraph" w:customStyle="1" w:styleId="Espaol">
    <w:name w:val="Español"/>
    <w:basedOn w:val="Normal"/>
    <w:rsid w:val="002831AB"/>
    <w:pPr>
      <w:autoSpaceDE w:val="0"/>
      <w:autoSpaceDN w:val="0"/>
      <w:adjustRightInd w:val="0"/>
      <w:spacing w:line="360" w:lineRule="auto"/>
      <w:jc w:val="both"/>
    </w:pPr>
    <w:rPr>
      <w:rFonts w:ascii="Arial" w:hAnsi="Arial" w:cs="Arial"/>
      <w:lang w:val="es-ES_tradnl" w:eastAsia="es-AR"/>
    </w:rPr>
  </w:style>
  <w:style w:type="paragraph" w:customStyle="1" w:styleId="tabla10">
    <w:name w:val="tabla10"/>
    <w:rsid w:val="002831AB"/>
    <w:pPr>
      <w:jc w:val="right"/>
    </w:pPr>
    <w:rPr>
      <w:rFonts w:ascii="Arial" w:hAnsi="Arial" w:cs="Arial"/>
      <w:color w:val="000000"/>
      <w:lang w:eastAsia="en-US"/>
    </w:rPr>
  </w:style>
  <w:style w:type="paragraph" w:customStyle="1" w:styleId="Topo">
    <w:name w:val="Topo"/>
    <w:rsid w:val="002831AB"/>
    <w:pPr>
      <w:ind w:left="289"/>
    </w:pPr>
    <w:rPr>
      <w:rFonts w:ascii="Bookman Old Style" w:hAnsi="Bookman Old Style"/>
      <w:color w:val="000000"/>
      <w:sz w:val="24"/>
      <w:szCs w:val="24"/>
      <w:lang w:eastAsia="en-US"/>
    </w:rPr>
  </w:style>
  <w:style w:type="paragraph" w:customStyle="1" w:styleId="Cabecera">
    <w:name w:val="Cabecera"/>
    <w:rsid w:val="002831AB"/>
    <w:rPr>
      <w:rFonts w:ascii="Bookman Old Style" w:hAnsi="Bookman Old Style"/>
      <w:color w:val="000000"/>
      <w:sz w:val="24"/>
      <w:szCs w:val="24"/>
      <w:lang w:eastAsia="en-US"/>
    </w:rPr>
  </w:style>
  <w:style w:type="paragraph" w:customStyle="1" w:styleId="Pie">
    <w:name w:val="Pie"/>
    <w:rsid w:val="002831AB"/>
    <w:rPr>
      <w:rFonts w:ascii="Bookman Old Style" w:hAnsi="Bookman Old Style"/>
      <w:color w:val="000000"/>
      <w:sz w:val="24"/>
      <w:szCs w:val="24"/>
      <w:lang w:eastAsia="en-US"/>
    </w:rPr>
  </w:style>
  <w:style w:type="paragraph" w:customStyle="1" w:styleId="EncabezadoPagina">
    <w:name w:val="Encabezado Pagina"/>
    <w:basedOn w:val="Normal"/>
    <w:rsid w:val="002831AB"/>
    <w:pPr>
      <w:widowControl w:val="0"/>
      <w:autoSpaceDE w:val="0"/>
      <w:autoSpaceDN w:val="0"/>
      <w:adjustRightInd w:val="0"/>
      <w:spacing w:line="280" w:lineRule="exact"/>
      <w:jc w:val="center"/>
      <w:outlineLvl w:val="0"/>
    </w:pPr>
    <w:rPr>
      <w:rFonts w:ascii="Times New Roman" w:hAnsi="Times New Roman"/>
      <w:b/>
      <w:bCs/>
      <w:sz w:val="28"/>
      <w:szCs w:val="28"/>
      <w:lang w:eastAsia="es-AR"/>
    </w:rPr>
  </w:style>
  <w:style w:type="paragraph" w:customStyle="1" w:styleId="Encabezadotimesnewroman12">
    <w:name w:val="Encabezado times new roman 12"/>
    <w:rsid w:val="002831AB"/>
    <w:pPr>
      <w:spacing w:line="280" w:lineRule="exact"/>
      <w:jc w:val="center"/>
    </w:pPr>
    <w:rPr>
      <w:b/>
      <w:bCs/>
      <w:sz w:val="24"/>
      <w:szCs w:val="24"/>
      <w:lang w:val="es-AR" w:eastAsia="en-US"/>
    </w:rPr>
  </w:style>
  <w:style w:type="paragraph" w:customStyle="1" w:styleId="Ttulonota">
    <w:name w:val="Título nota"/>
    <w:basedOn w:val="Texto0"/>
    <w:rsid w:val="002831AB"/>
    <w:pPr>
      <w:autoSpaceDE w:val="0"/>
      <w:autoSpaceDN w:val="0"/>
      <w:adjustRightInd w:val="0"/>
    </w:pPr>
    <w:rPr>
      <w:b/>
      <w:sz w:val="22"/>
      <w:szCs w:val="22"/>
    </w:rPr>
  </w:style>
  <w:style w:type="paragraph" w:customStyle="1" w:styleId="Nmeros">
    <w:name w:val="Números"/>
    <w:rsid w:val="002831AB"/>
    <w:pPr>
      <w:ind w:left="714"/>
    </w:pPr>
    <w:rPr>
      <w:rFonts w:ascii="Bookman Old Style" w:hAnsi="Bookman Old Style"/>
      <w:color w:val="000000"/>
      <w:sz w:val="24"/>
      <w:szCs w:val="24"/>
    </w:rPr>
  </w:style>
  <w:style w:type="paragraph" w:customStyle="1" w:styleId="Subepgrafe">
    <w:name w:val="Subepígrafe"/>
    <w:rsid w:val="002831AB"/>
    <w:pPr>
      <w:spacing w:before="73" w:after="73"/>
    </w:pPr>
    <w:rPr>
      <w:rFonts w:ascii="Bookman Old Style" w:hAnsi="Bookman Old Style"/>
      <w:b/>
      <w:bCs/>
      <w:i/>
      <w:iCs/>
      <w:color w:val="000000"/>
      <w:sz w:val="24"/>
      <w:szCs w:val="24"/>
    </w:rPr>
  </w:style>
  <w:style w:type="paragraph" w:customStyle="1" w:styleId="tabla7">
    <w:name w:val="tabla7"/>
    <w:rsid w:val="002831AB"/>
    <w:pPr>
      <w:jc w:val="right"/>
    </w:pPr>
    <w:rPr>
      <w:rFonts w:ascii="Arial" w:hAnsi="Arial" w:cs="Arial"/>
      <w:color w:val="000000"/>
      <w:sz w:val="14"/>
      <w:szCs w:val="14"/>
    </w:rPr>
  </w:style>
  <w:style w:type="paragraph" w:customStyle="1" w:styleId="tabla6">
    <w:name w:val="tabla6"/>
    <w:rsid w:val="002831AB"/>
    <w:pPr>
      <w:jc w:val="right"/>
    </w:pPr>
    <w:rPr>
      <w:rFonts w:ascii="Arial" w:hAnsi="Arial" w:cs="Arial"/>
      <w:color w:val="000000"/>
      <w:sz w:val="12"/>
      <w:szCs w:val="12"/>
    </w:rPr>
  </w:style>
  <w:style w:type="paragraph" w:customStyle="1" w:styleId="Textopredete">
    <w:name w:val="Texto predete"/>
    <w:rsid w:val="002831AB"/>
    <w:rPr>
      <w:rFonts w:ascii="Bookman Old Style" w:hAnsi="Bookman Old Style"/>
      <w:color w:val="000000"/>
      <w:sz w:val="24"/>
      <w:szCs w:val="24"/>
    </w:rPr>
  </w:style>
  <w:style w:type="paragraph" w:customStyle="1" w:styleId="SeqLevel1">
    <w:name w:val="Seq Level 1"/>
    <w:rsid w:val="002831AB"/>
    <w:pPr>
      <w:ind w:left="360"/>
    </w:pPr>
    <w:rPr>
      <w:rFonts w:ascii="Bookman Old Style" w:hAnsi="Bookman Old Style"/>
      <w:color w:val="000000"/>
      <w:sz w:val="24"/>
      <w:szCs w:val="24"/>
    </w:rPr>
  </w:style>
  <w:style w:type="paragraph" w:customStyle="1" w:styleId="SeqLevel2">
    <w:name w:val="Seq Level 2"/>
    <w:rsid w:val="002831AB"/>
    <w:pPr>
      <w:ind w:left="720"/>
    </w:pPr>
    <w:rPr>
      <w:rFonts w:ascii="Bookman Old Style" w:hAnsi="Bookman Old Style"/>
      <w:color w:val="000000"/>
      <w:sz w:val="24"/>
      <w:szCs w:val="24"/>
    </w:rPr>
  </w:style>
  <w:style w:type="paragraph" w:customStyle="1" w:styleId="SeqLevel3">
    <w:name w:val="Seq Level 3"/>
    <w:rsid w:val="002831AB"/>
    <w:pPr>
      <w:ind w:left="1080"/>
    </w:pPr>
    <w:rPr>
      <w:rFonts w:ascii="Bookman Old Style" w:hAnsi="Bookman Old Style"/>
      <w:color w:val="000000"/>
      <w:sz w:val="24"/>
      <w:szCs w:val="24"/>
    </w:rPr>
  </w:style>
  <w:style w:type="paragraph" w:customStyle="1" w:styleId="SeqLevel4">
    <w:name w:val="Seq Level 4"/>
    <w:rsid w:val="002831AB"/>
    <w:pPr>
      <w:ind w:left="1440"/>
    </w:pPr>
    <w:rPr>
      <w:rFonts w:ascii="Bookman Old Style" w:hAnsi="Bookman Old Style"/>
      <w:color w:val="000000"/>
      <w:sz w:val="24"/>
      <w:szCs w:val="24"/>
    </w:rPr>
  </w:style>
  <w:style w:type="paragraph" w:customStyle="1" w:styleId="SeqLevel5">
    <w:name w:val="Seq Level 5"/>
    <w:rsid w:val="002831AB"/>
    <w:pPr>
      <w:ind w:left="1800"/>
    </w:pPr>
    <w:rPr>
      <w:rFonts w:ascii="Bookman Old Style" w:hAnsi="Bookman Old Style"/>
      <w:color w:val="000000"/>
      <w:sz w:val="24"/>
      <w:szCs w:val="24"/>
    </w:rPr>
  </w:style>
  <w:style w:type="paragraph" w:customStyle="1" w:styleId="SeqLevel6">
    <w:name w:val="Seq Level 6"/>
    <w:rsid w:val="002831AB"/>
    <w:pPr>
      <w:ind w:left="2160"/>
    </w:pPr>
    <w:rPr>
      <w:rFonts w:ascii="Bookman Old Style" w:hAnsi="Bookman Old Style"/>
      <w:color w:val="000000"/>
      <w:sz w:val="24"/>
      <w:szCs w:val="24"/>
    </w:rPr>
  </w:style>
  <w:style w:type="paragraph" w:customStyle="1" w:styleId="SeqLevel7">
    <w:name w:val="Seq Level 7"/>
    <w:rsid w:val="002831AB"/>
    <w:pPr>
      <w:ind w:left="2520"/>
    </w:pPr>
    <w:rPr>
      <w:rFonts w:ascii="Bookman Old Style" w:hAnsi="Bookman Old Style"/>
      <w:color w:val="000000"/>
      <w:sz w:val="24"/>
      <w:szCs w:val="24"/>
    </w:rPr>
  </w:style>
  <w:style w:type="paragraph" w:customStyle="1" w:styleId="SeqLevel8">
    <w:name w:val="Seq Level 8"/>
    <w:rsid w:val="002831AB"/>
    <w:pPr>
      <w:ind w:left="2880"/>
    </w:pPr>
    <w:rPr>
      <w:rFonts w:ascii="Bookman Old Style" w:hAnsi="Bookman Old Style"/>
      <w:color w:val="000000"/>
      <w:sz w:val="24"/>
      <w:szCs w:val="24"/>
    </w:rPr>
  </w:style>
  <w:style w:type="paragraph" w:customStyle="1" w:styleId="SeqLevel9">
    <w:name w:val="Seq Level 9"/>
    <w:rsid w:val="002831AB"/>
    <w:pPr>
      <w:ind w:left="3240"/>
    </w:pPr>
    <w:rPr>
      <w:rFonts w:ascii="Bookman Old Style" w:hAnsi="Bookman Old Style"/>
      <w:color w:val="000000"/>
      <w:sz w:val="24"/>
      <w:szCs w:val="24"/>
    </w:rPr>
  </w:style>
  <w:style w:type="paragraph" w:customStyle="1" w:styleId="Textoprincip">
    <w:name w:val="Textoprincip"/>
    <w:basedOn w:val="Normal"/>
    <w:rsid w:val="002831AB"/>
    <w:pPr>
      <w:widowControl w:val="0"/>
      <w:autoSpaceDE w:val="0"/>
      <w:autoSpaceDN w:val="0"/>
      <w:adjustRightInd w:val="0"/>
      <w:jc w:val="both"/>
    </w:pPr>
    <w:rPr>
      <w:rFonts w:ascii="Book Antiqua" w:hAnsi="Book Antiqua"/>
      <w:lang w:val="es-ES_tradnl" w:eastAsia="es-AR"/>
    </w:rPr>
  </w:style>
  <w:style w:type="paragraph" w:customStyle="1" w:styleId="Textoindependiente1">
    <w:name w:val="Texto independiente1"/>
    <w:rsid w:val="002831AB"/>
    <w:pPr>
      <w:ind w:firstLine="480"/>
    </w:pPr>
    <w:rPr>
      <w:rFonts w:ascii="ZapfHumnst BT" w:hAnsi="ZapfHumnst BT"/>
      <w:color w:val="000000"/>
      <w:sz w:val="22"/>
      <w:szCs w:val="22"/>
    </w:rPr>
  </w:style>
  <w:style w:type="paragraph" w:customStyle="1" w:styleId="Nombredearchivo">
    <w:name w:val="Nombre de archivo"/>
    <w:rsid w:val="002831AB"/>
  </w:style>
  <w:style w:type="paragraph" w:customStyle="1" w:styleId="TitulosANEXOSA">
    <w:name w:val="Titulos ANEXOS A"/>
    <w:aliases w:val="B,C..."/>
    <w:rsid w:val="002831AB"/>
    <w:pPr>
      <w:jc w:val="right"/>
    </w:pPr>
    <w:rPr>
      <w:b/>
      <w:bCs/>
      <w:noProof/>
      <w:sz w:val="24"/>
      <w:szCs w:val="24"/>
      <w:lang w:val="en-US" w:eastAsia="en-US"/>
    </w:rPr>
  </w:style>
  <w:style w:type="paragraph" w:customStyle="1" w:styleId="CPN-nleftbold">
    <w:name w:val="CPN-n/*leftbold"/>
    <w:basedOn w:val="Normal"/>
    <w:rsid w:val="002831AB"/>
    <w:pPr>
      <w:keepNext/>
      <w:keepLines/>
      <w:widowControl w:val="0"/>
      <w:autoSpaceDE w:val="0"/>
      <w:autoSpaceDN w:val="0"/>
      <w:adjustRightInd w:val="0"/>
      <w:spacing w:after="240" w:line="-240" w:lineRule="auto"/>
    </w:pPr>
    <w:rPr>
      <w:rFonts w:ascii="Arial" w:hAnsi="Arial" w:cs="Arial"/>
      <w:b/>
      <w:bCs/>
      <w:lang w:val="en-US" w:eastAsia="es-AR"/>
    </w:rPr>
  </w:style>
  <w:style w:type="paragraph" w:customStyle="1" w:styleId="tahoma">
    <w:name w:val="tahoma"/>
    <w:basedOn w:val="Normal"/>
    <w:rsid w:val="002831AB"/>
    <w:pPr>
      <w:autoSpaceDE w:val="0"/>
      <w:autoSpaceDN w:val="0"/>
      <w:adjustRightInd w:val="0"/>
      <w:spacing w:line="360" w:lineRule="auto"/>
      <w:jc w:val="both"/>
    </w:pPr>
    <w:rPr>
      <w:rFonts w:ascii="Times New Roman" w:hAnsi="Times New Roman"/>
      <w:lang w:val="en-US" w:eastAsia="es-AR"/>
    </w:rPr>
  </w:style>
  <w:style w:type="paragraph" w:customStyle="1" w:styleId="xl66">
    <w:name w:val="xl66"/>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67">
    <w:name w:val="xl67"/>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68">
    <w:name w:val="xl68"/>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69">
    <w:name w:val="xl69"/>
    <w:basedOn w:val="Normal"/>
    <w:rsid w:val="002831AB"/>
    <w:pPr>
      <w:autoSpaceDE w:val="0"/>
      <w:autoSpaceDN w:val="0"/>
      <w:adjustRightInd w:val="0"/>
      <w:spacing w:before="100" w:beforeAutospacing="1" w:after="100" w:afterAutospacing="1"/>
      <w:jc w:val="center"/>
    </w:pPr>
    <w:rPr>
      <w:rFonts w:ascii="Arial" w:eastAsia="Arial Unicode MS" w:hAnsi="Arial" w:cs="Arial"/>
      <w:b/>
      <w:bCs/>
      <w:sz w:val="14"/>
      <w:szCs w:val="14"/>
      <w:lang w:val="en-US" w:eastAsia="es-AR"/>
    </w:rPr>
  </w:style>
  <w:style w:type="paragraph" w:customStyle="1" w:styleId="xl70">
    <w:name w:val="xl70"/>
    <w:basedOn w:val="Normal"/>
    <w:rsid w:val="002831AB"/>
    <w:pPr>
      <w:autoSpaceDE w:val="0"/>
      <w:autoSpaceDN w:val="0"/>
      <w:adjustRightInd w:val="0"/>
      <w:spacing w:before="100" w:beforeAutospacing="1" w:after="100" w:afterAutospacing="1"/>
      <w:jc w:val="center"/>
    </w:pPr>
    <w:rPr>
      <w:rFonts w:ascii="Arial" w:eastAsia="Arial Unicode MS" w:hAnsi="Arial" w:cs="Arial"/>
      <w:b/>
      <w:bCs/>
      <w:color w:val="FF0000"/>
      <w:sz w:val="14"/>
      <w:szCs w:val="14"/>
      <w:lang w:val="en-US" w:eastAsia="es-AR"/>
    </w:rPr>
  </w:style>
  <w:style w:type="paragraph" w:customStyle="1" w:styleId="xl71">
    <w:name w:val="xl71"/>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2">
    <w:name w:val="xl72"/>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3">
    <w:name w:val="xl73"/>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4">
    <w:name w:val="xl74"/>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5">
    <w:name w:val="xl75"/>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6">
    <w:name w:val="xl76"/>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7">
    <w:name w:val="xl77"/>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color w:val="FF0000"/>
      <w:sz w:val="14"/>
      <w:szCs w:val="14"/>
      <w:lang w:val="en-US" w:eastAsia="es-AR"/>
    </w:rPr>
  </w:style>
  <w:style w:type="paragraph" w:customStyle="1" w:styleId="xl78">
    <w:name w:val="xl78"/>
    <w:basedOn w:val="Normal"/>
    <w:rsid w:val="002831AB"/>
    <w:pPr>
      <w:autoSpaceDE w:val="0"/>
      <w:autoSpaceDN w:val="0"/>
      <w:adjustRightInd w:val="0"/>
      <w:spacing w:before="100" w:beforeAutospacing="1" w:after="100" w:afterAutospacing="1"/>
      <w:jc w:val="center"/>
    </w:pPr>
    <w:rPr>
      <w:rFonts w:ascii="Arial" w:eastAsia="Arial Unicode MS" w:hAnsi="Arial" w:cs="Arial"/>
      <w:b/>
      <w:bCs/>
      <w:color w:val="FF0000"/>
      <w:sz w:val="14"/>
      <w:szCs w:val="14"/>
      <w:lang w:val="en-US" w:eastAsia="es-AR"/>
    </w:rPr>
  </w:style>
  <w:style w:type="paragraph" w:customStyle="1" w:styleId="Tcnico4a">
    <w:name w:val="Técnico 4a"/>
    <w:rsid w:val="002831AB"/>
    <w:pPr>
      <w:widowControl w:val="0"/>
      <w:tabs>
        <w:tab w:val="left" w:pos="-720"/>
      </w:tabs>
      <w:suppressAutoHyphens/>
    </w:pPr>
    <w:rPr>
      <w:rFonts w:ascii="CG Times" w:hAnsi="CG Times"/>
      <w:b/>
      <w:bCs/>
    </w:rPr>
  </w:style>
  <w:style w:type="paragraph" w:customStyle="1" w:styleId="CommentSubject2">
    <w:name w:val="Comment Subject2"/>
    <w:basedOn w:val="Textocomentario"/>
    <w:next w:val="Textocomentario"/>
    <w:rsid w:val="002831AB"/>
    <w:rPr>
      <w:b/>
      <w:bCs/>
    </w:rPr>
  </w:style>
  <w:style w:type="paragraph" w:customStyle="1" w:styleId="3Subttulo">
    <w:name w:val="3Subtítulo"/>
    <w:basedOn w:val="Normal"/>
    <w:rsid w:val="002831AB"/>
    <w:pPr>
      <w:autoSpaceDE w:val="0"/>
      <w:autoSpaceDN w:val="0"/>
      <w:adjustRightInd w:val="0"/>
      <w:jc w:val="center"/>
    </w:pPr>
    <w:rPr>
      <w:rFonts w:ascii="Times New Roman" w:hAnsi="Times New Roman"/>
      <w:noProof/>
      <w:lang w:val="en-US" w:eastAsia="es-AR"/>
    </w:rPr>
  </w:style>
  <w:style w:type="paragraph" w:customStyle="1" w:styleId="CG-SingleSp05s2BodyText5JBodyText5s2J">
    <w:name w:val="CG-Single Sp 0.5.s2.!Body Text .5(J).!Body Text .5s2(J)"/>
    <w:basedOn w:val="Normal"/>
    <w:rsid w:val="002831AB"/>
    <w:pPr>
      <w:autoSpaceDE w:val="0"/>
      <w:autoSpaceDN w:val="0"/>
      <w:adjustRightInd w:val="0"/>
      <w:spacing w:after="240"/>
      <w:ind w:firstLine="720"/>
    </w:pPr>
    <w:rPr>
      <w:rFonts w:ascii="Times New Roman" w:hAnsi="Times New Roman"/>
      <w:lang w:val="en-US" w:eastAsia="es-AR"/>
    </w:rPr>
  </w:style>
  <w:style w:type="paragraph" w:customStyle="1" w:styleId="-TableText9">
    <w:name w:val="-Table Text 9"/>
    <w:basedOn w:val="Normal"/>
    <w:rsid w:val="002831AB"/>
    <w:pPr>
      <w:tabs>
        <w:tab w:val="right" w:leader="dot" w:pos="5310"/>
      </w:tabs>
      <w:autoSpaceDE w:val="0"/>
      <w:autoSpaceDN w:val="0"/>
      <w:adjustRightInd w:val="0"/>
    </w:pPr>
    <w:rPr>
      <w:rFonts w:ascii="Arial" w:hAnsi="Arial" w:cs="Arial"/>
      <w:sz w:val="18"/>
      <w:szCs w:val="18"/>
      <w:lang w:val="en-US" w:eastAsia="es-AR"/>
    </w:rPr>
  </w:style>
  <w:style w:type="paragraph" w:customStyle="1" w:styleId="b6">
    <w:name w:val="b6"/>
    <w:basedOn w:val="Normal"/>
    <w:rsid w:val="002831AB"/>
    <w:pPr>
      <w:tabs>
        <w:tab w:val="right" w:leader="dot" w:pos="5310"/>
      </w:tabs>
      <w:autoSpaceDE w:val="0"/>
      <w:autoSpaceDN w:val="0"/>
      <w:adjustRightInd w:val="0"/>
    </w:pPr>
    <w:rPr>
      <w:rFonts w:ascii="Arial" w:hAnsi="Arial" w:cs="Arial"/>
      <w:sz w:val="12"/>
      <w:szCs w:val="12"/>
      <w:lang w:val="en-US" w:eastAsia="es-AR"/>
    </w:rPr>
  </w:style>
  <w:style w:type="paragraph" w:customStyle="1" w:styleId="tabla8gral">
    <w:name w:val="tabla8 gral"/>
    <w:basedOn w:val="Normal"/>
    <w:rsid w:val="002831AB"/>
    <w:pPr>
      <w:autoSpaceDE w:val="0"/>
      <w:autoSpaceDN w:val="0"/>
      <w:adjustRightInd w:val="0"/>
    </w:pPr>
    <w:rPr>
      <w:rFonts w:ascii="Arial" w:hAnsi="Arial" w:cs="Arial"/>
      <w:sz w:val="16"/>
      <w:szCs w:val="16"/>
      <w:lang w:val="en-US" w:eastAsia="es-AR"/>
    </w:rPr>
  </w:style>
  <w:style w:type="paragraph" w:customStyle="1" w:styleId="deci">
    <w:name w:val="deci"/>
    <w:basedOn w:val="Normal"/>
    <w:rsid w:val="002831AB"/>
    <w:pPr>
      <w:autoSpaceDE w:val="0"/>
      <w:autoSpaceDN w:val="0"/>
      <w:adjustRightInd w:val="0"/>
    </w:pPr>
    <w:rPr>
      <w:rFonts w:ascii="Arial" w:hAnsi="Arial" w:cs="Arial"/>
      <w:sz w:val="16"/>
      <w:szCs w:val="16"/>
      <w:lang w:val="en-US" w:eastAsia="es-AR"/>
    </w:rPr>
  </w:style>
  <w:style w:type="paragraph" w:customStyle="1" w:styleId="Tabla8s">
    <w:name w:val="Tabla8 s/"/>
    <w:basedOn w:val="Normal"/>
    <w:rsid w:val="002831AB"/>
    <w:pPr>
      <w:autoSpaceDE w:val="0"/>
      <w:autoSpaceDN w:val="0"/>
      <w:adjustRightInd w:val="0"/>
    </w:pPr>
    <w:rPr>
      <w:rFonts w:ascii="Arial" w:hAnsi="Arial" w:cs="Arial"/>
      <w:sz w:val="16"/>
      <w:szCs w:val="16"/>
      <w:lang w:val="en-US" w:eastAsia="es-AR"/>
    </w:rPr>
  </w:style>
  <w:style w:type="paragraph" w:customStyle="1" w:styleId="Tabla8">
    <w:name w:val="Tabla8"/>
    <w:basedOn w:val="Normal"/>
    <w:rsid w:val="002831AB"/>
    <w:pPr>
      <w:autoSpaceDE w:val="0"/>
      <w:autoSpaceDN w:val="0"/>
      <w:adjustRightInd w:val="0"/>
    </w:pPr>
    <w:rPr>
      <w:rFonts w:ascii="Arial" w:hAnsi="Arial" w:cs="Arial"/>
      <w:sz w:val="16"/>
      <w:szCs w:val="16"/>
      <w:lang w:val="en-US" w:eastAsia="es-AR"/>
    </w:rPr>
  </w:style>
  <w:style w:type="paragraph" w:customStyle="1" w:styleId="taba7">
    <w:name w:val="taba7"/>
    <w:basedOn w:val="Normal"/>
    <w:rsid w:val="002831AB"/>
    <w:pPr>
      <w:autoSpaceDE w:val="0"/>
      <w:autoSpaceDN w:val="0"/>
      <w:adjustRightInd w:val="0"/>
    </w:pPr>
    <w:rPr>
      <w:rFonts w:ascii="Arial" w:hAnsi="Arial" w:cs="Arial"/>
      <w:sz w:val="14"/>
      <w:szCs w:val="14"/>
      <w:lang w:val="en-US" w:eastAsia="es-AR"/>
    </w:rPr>
  </w:style>
  <w:style w:type="paragraph" w:customStyle="1" w:styleId="table6">
    <w:name w:val="table6"/>
    <w:basedOn w:val="Normal"/>
    <w:rsid w:val="002831AB"/>
    <w:pPr>
      <w:tabs>
        <w:tab w:val="right" w:leader="dot" w:pos="5310"/>
      </w:tabs>
      <w:autoSpaceDE w:val="0"/>
      <w:autoSpaceDN w:val="0"/>
      <w:adjustRightInd w:val="0"/>
    </w:pPr>
    <w:rPr>
      <w:rFonts w:ascii="Arial" w:hAnsi="Arial" w:cs="Arial"/>
      <w:sz w:val="12"/>
      <w:szCs w:val="12"/>
      <w:lang w:val="en-US" w:eastAsia="es-AR"/>
    </w:rPr>
  </w:style>
  <w:style w:type="paragraph" w:customStyle="1" w:styleId="bre">
    <w:name w:val="bre"/>
    <w:basedOn w:val="Normal"/>
    <w:rsid w:val="002831AB"/>
    <w:pPr>
      <w:tabs>
        <w:tab w:val="right" w:leader="dot" w:pos="5310"/>
      </w:tabs>
      <w:autoSpaceDE w:val="0"/>
      <w:autoSpaceDN w:val="0"/>
      <w:adjustRightInd w:val="0"/>
    </w:pPr>
    <w:rPr>
      <w:rFonts w:ascii="Arial" w:hAnsi="Arial" w:cs="Arial"/>
      <w:sz w:val="12"/>
      <w:szCs w:val="12"/>
      <w:lang w:val="en-US" w:eastAsia="es-AR"/>
    </w:rPr>
  </w:style>
  <w:style w:type="paragraph" w:customStyle="1" w:styleId="1Empresa">
    <w:name w:val="1Empresa"/>
    <w:basedOn w:val="Normal"/>
    <w:rsid w:val="002831A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autoSpaceDE w:val="0"/>
      <w:autoSpaceDN w:val="0"/>
      <w:adjustRightInd w:val="0"/>
      <w:jc w:val="center"/>
    </w:pPr>
    <w:rPr>
      <w:rFonts w:ascii="Times New Roman" w:hAnsi="Times New Roman"/>
      <w:b/>
      <w:bCs/>
      <w:sz w:val="36"/>
      <w:szCs w:val="36"/>
      <w:lang w:val="en-US" w:eastAsia="es-AR"/>
    </w:rPr>
  </w:style>
  <w:style w:type="paragraph" w:customStyle="1" w:styleId="tabla10cdec">
    <w:name w:val="tabla10 c/dec"/>
    <w:basedOn w:val="Normal"/>
    <w:rsid w:val="002831AB"/>
    <w:pPr>
      <w:autoSpaceDE w:val="0"/>
      <w:autoSpaceDN w:val="0"/>
      <w:adjustRightInd w:val="0"/>
    </w:pPr>
    <w:rPr>
      <w:rFonts w:ascii="Arial" w:hAnsi="Arial" w:cs="Arial"/>
      <w:lang w:val="en-US" w:eastAsia="es-AR"/>
    </w:rPr>
  </w:style>
  <w:style w:type="paragraph" w:customStyle="1" w:styleId="dec33">
    <w:name w:val="dec33"/>
    <w:basedOn w:val="Normal"/>
    <w:rsid w:val="002831AB"/>
    <w:pPr>
      <w:tabs>
        <w:tab w:val="right" w:leader="dot" w:pos="5310"/>
      </w:tabs>
      <w:autoSpaceDE w:val="0"/>
      <w:autoSpaceDN w:val="0"/>
      <w:adjustRightInd w:val="0"/>
    </w:pPr>
    <w:rPr>
      <w:rFonts w:ascii="Arial" w:hAnsi="Arial" w:cs="Arial"/>
      <w:lang w:val="en-US" w:eastAsia="es-AR"/>
    </w:rPr>
  </w:style>
  <w:style w:type="paragraph" w:customStyle="1" w:styleId="p1">
    <w:name w:val="p1"/>
    <w:basedOn w:val="Normal"/>
    <w:rsid w:val="002831AB"/>
    <w:pPr>
      <w:widowControl w:val="0"/>
      <w:tabs>
        <w:tab w:val="left" w:pos="204"/>
      </w:tabs>
      <w:autoSpaceDE w:val="0"/>
      <w:autoSpaceDN w:val="0"/>
      <w:adjustRightInd w:val="0"/>
      <w:spacing w:line="226" w:lineRule="atLeast"/>
    </w:pPr>
    <w:rPr>
      <w:rFonts w:ascii="Times New Roman" w:hAnsi="Times New Roman"/>
      <w:lang w:val="en-US" w:eastAsia="es-AR"/>
    </w:rPr>
  </w:style>
  <w:style w:type="paragraph" w:customStyle="1" w:styleId="p3">
    <w:name w:val="p3"/>
    <w:basedOn w:val="Normal"/>
    <w:rsid w:val="002831AB"/>
    <w:pPr>
      <w:widowControl w:val="0"/>
      <w:autoSpaceDE w:val="0"/>
      <w:autoSpaceDN w:val="0"/>
      <w:adjustRightInd w:val="0"/>
      <w:spacing w:line="240" w:lineRule="atLeast"/>
      <w:ind w:left="1066"/>
    </w:pPr>
    <w:rPr>
      <w:rFonts w:ascii="Times New Roman" w:hAnsi="Times New Roman"/>
      <w:lang w:val="en-US" w:eastAsia="es-AR"/>
    </w:rPr>
  </w:style>
  <w:style w:type="paragraph" w:customStyle="1" w:styleId="p4">
    <w:name w:val="p4"/>
    <w:basedOn w:val="Normal"/>
    <w:rsid w:val="002831AB"/>
    <w:pPr>
      <w:widowControl w:val="0"/>
      <w:tabs>
        <w:tab w:val="left" w:pos="204"/>
      </w:tabs>
      <w:autoSpaceDE w:val="0"/>
      <w:autoSpaceDN w:val="0"/>
      <w:adjustRightInd w:val="0"/>
      <w:spacing w:line="232" w:lineRule="atLeast"/>
    </w:pPr>
    <w:rPr>
      <w:rFonts w:ascii="Times New Roman" w:hAnsi="Times New Roman"/>
      <w:lang w:val="en-US" w:eastAsia="es-AR"/>
    </w:rPr>
  </w:style>
  <w:style w:type="paragraph" w:customStyle="1" w:styleId="m">
    <w:name w:val="m"/>
    <w:basedOn w:val="btsingle"/>
    <w:rsid w:val="002831AB"/>
    <w:pPr>
      <w:widowControl/>
      <w:suppressAutoHyphens/>
      <w:spacing w:line="216" w:lineRule="exact"/>
      <w:ind w:left="0"/>
      <w:jc w:val="both"/>
    </w:pPr>
    <w:rPr>
      <w:sz w:val="24"/>
      <w:szCs w:val="24"/>
    </w:rPr>
  </w:style>
  <w:style w:type="paragraph" w:customStyle="1" w:styleId="Ital">
    <w:name w:val="Ital"/>
    <w:basedOn w:val="Normal"/>
    <w:rsid w:val="002831AB"/>
    <w:pPr>
      <w:keepNext/>
      <w:autoSpaceDE w:val="0"/>
      <w:autoSpaceDN w:val="0"/>
      <w:adjustRightInd w:val="0"/>
      <w:spacing w:after="240"/>
    </w:pPr>
    <w:rPr>
      <w:rFonts w:ascii="Times New Roman" w:hAnsi="Times New Roman"/>
      <w:i/>
      <w:iCs/>
      <w:lang w:val="en-US" w:eastAsia="es-AR"/>
    </w:rPr>
  </w:style>
  <w:style w:type="paragraph" w:customStyle="1" w:styleId="TextI125">
    <w:name w:val="TextI1.25"/>
    <w:basedOn w:val="Normal"/>
    <w:rsid w:val="002831AB"/>
    <w:pPr>
      <w:autoSpaceDE w:val="0"/>
      <w:autoSpaceDN w:val="0"/>
      <w:adjustRightInd w:val="0"/>
      <w:spacing w:after="240"/>
      <w:ind w:left="1080" w:hanging="360"/>
    </w:pPr>
    <w:rPr>
      <w:rFonts w:ascii="Times New Roman" w:hAnsi="Times New Roman"/>
      <w:sz w:val="19"/>
      <w:szCs w:val="19"/>
      <w:lang w:val="en-US" w:eastAsia="es-AR"/>
    </w:rPr>
  </w:style>
  <w:style w:type="paragraph" w:customStyle="1" w:styleId="TextHSBI">
    <w:name w:val="TextHSBI"/>
    <w:basedOn w:val="Normal"/>
    <w:rsid w:val="002831AB"/>
    <w:pPr>
      <w:keepNext/>
      <w:tabs>
        <w:tab w:val="left" w:pos="500"/>
      </w:tabs>
      <w:autoSpaceDE w:val="0"/>
      <w:autoSpaceDN w:val="0"/>
      <w:adjustRightInd w:val="0"/>
      <w:spacing w:after="240"/>
    </w:pPr>
    <w:rPr>
      <w:rFonts w:ascii="Times New Roman" w:hAnsi="Times New Roman"/>
      <w:b/>
      <w:bCs/>
      <w:i/>
      <w:iCs/>
      <w:lang w:val="en-US" w:eastAsia="es-AR"/>
    </w:rPr>
  </w:style>
  <w:style w:type="paragraph" w:customStyle="1" w:styleId="WCPageNumber">
    <w:name w:val="WCPageNumber"/>
    <w:rsid w:val="002831AB"/>
    <w:rPr>
      <w:sz w:val="24"/>
      <w:szCs w:val="24"/>
      <w:lang w:val="en-US" w:eastAsia="en-US"/>
    </w:rPr>
  </w:style>
  <w:style w:type="paragraph" w:customStyle="1" w:styleId="mainpara0">
    <w:name w:val="mainpara"/>
    <w:basedOn w:val="Normal"/>
    <w:rsid w:val="002831AB"/>
    <w:pPr>
      <w:autoSpaceDE w:val="0"/>
      <w:autoSpaceDN w:val="0"/>
      <w:adjustRightInd w:val="0"/>
      <w:ind w:firstLine="432"/>
      <w:jc w:val="both"/>
    </w:pPr>
    <w:rPr>
      <w:rFonts w:ascii="Arial" w:hAnsi="Arial" w:cs="Arial"/>
      <w:lang w:val="en-US" w:eastAsia="es-AR"/>
    </w:rPr>
  </w:style>
  <w:style w:type="paragraph" w:customStyle="1" w:styleId="rrddoublerule">
    <w:name w:val="rrddoublerule"/>
    <w:basedOn w:val="Normal"/>
    <w:rsid w:val="002831AB"/>
    <w:pPr>
      <w:pBdr>
        <w:top w:val="double" w:sz="6" w:space="1" w:color="auto"/>
      </w:pBdr>
      <w:autoSpaceDE w:val="0"/>
      <w:autoSpaceDN w:val="0"/>
      <w:adjustRightInd w:val="0"/>
      <w:spacing w:before="20" w:line="20" w:lineRule="exact"/>
      <w:jc w:val="center"/>
    </w:pPr>
    <w:rPr>
      <w:rFonts w:ascii="Times New Roman" w:hAnsi="Times New Roman"/>
      <w:sz w:val="8"/>
      <w:szCs w:val="8"/>
      <w:lang w:val="en-US" w:eastAsia="es-AR"/>
    </w:rPr>
  </w:style>
  <w:style w:type="paragraph" w:customStyle="1" w:styleId="CP-Col-2">
    <w:name w:val="CP-Col-2"/>
    <w:basedOn w:val="Normal"/>
    <w:rsid w:val="002831AB"/>
    <w:pPr>
      <w:tabs>
        <w:tab w:val="left" w:leader="dot" w:pos="3690"/>
      </w:tabs>
      <w:overflowPunct w:val="0"/>
      <w:autoSpaceDE w:val="0"/>
      <w:autoSpaceDN w:val="0"/>
      <w:adjustRightInd w:val="0"/>
      <w:textAlignment w:val="baseline"/>
    </w:pPr>
    <w:rPr>
      <w:rFonts w:ascii="Times New Roman" w:hAnsi="Times New Roman"/>
      <w:color w:val="000000"/>
      <w:sz w:val="19"/>
      <w:szCs w:val="19"/>
      <w:lang w:val="en-US" w:eastAsia="es-AR"/>
    </w:rPr>
  </w:style>
  <w:style w:type="paragraph" w:customStyle="1" w:styleId="table10pt1">
    <w:name w:val="table10pt"/>
    <w:basedOn w:val="Normal"/>
    <w:rsid w:val="002831AB"/>
    <w:pPr>
      <w:keepNext/>
      <w:widowControl w:val="0"/>
      <w:tabs>
        <w:tab w:val="right" w:leader="dot" w:pos="5695"/>
      </w:tabs>
      <w:autoSpaceDE w:val="0"/>
      <w:autoSpaceDN w:val="0"/>
      <w:adjustRightInd w:val="0"/>
      <w:spacing w:after="120"/>
    </w:pPr>
    <w:rPr>
      <w:rFonts w:ascii="Times New Roman" w:hAnsi="Times New Roman"/>
      <w:color w:val="000000"/>
      <w:sz w:val="22"/>
      <w:szCs w:val="22"/>
      <w:lang w:val="fr-FR" w:eastAsia="es-AR"/>
    </w:rPr>
  </w:style>
  <w:style w:type="paragraph" w:customStyle="1" w:styleId="BodyText5J">
    <w:name w:val="Body Text .5J"/>
    <w:basedOn w:val="Normal"/>
    <w:rsid w:val="002831AB"/>
    <w:pPr>
      <w:autoSpaceDE w:val="0"/>
      <w:autoSpaceDN w:val="0"/>
      <w:adjustRightInd w:val="0"/>
      <w:spacing w:after="240"/>
      <w:ind w:firstLine="720"/>
      <w:jc w:val="both"/>
    </w:pPr>
    <w:rPr>
      <w:rFonts w:ascii="Times New Roman" w:eastAsia="PMingLiU" w:hAnsi="Times New Roman"/>
      <w:lang w:val="en-US" w:eastAsia="es-AR"/>
    </w:rPr>
  </w:style>
  <w:style w:type="paragraph" w:customStyle="1" w:styleId="rfn">
    <w:name w:val="rfn"/>
    <w:autoRedefine/>
    <w:rsid w:val="002831AB"/>
    <w:pPr>
      <w:pBdr>
        <w:bottom w:val="single" w:sz="6" w:space="1" w:color="auto"/>
      </w:pBdr>
      <w:spacing w:after="60" w:line="120" w:lineRule="exact"/>
      <w:ind w:right="7200"/>
      <w:jc w:val="both"/>
    </w:pPr>
    <w:rPr>
      <w:noProof/>
      <w:sz w:val="12"/>
      <w:szCs w:val="12"/>
      <w:lang w:val="en-US" w:eastAsia="en-US"/>
    </w:rPr>
  </w:style>
  <w:style w:type="paragraph" w:customStyle="1" w:styleId="BodyText2Sg">
    <w:name w:val="Body Text 2Sg"/>
    <w:basedOn w:val="NormalWeb"/>
    <w:rsid w:val="002831AB"/>
    <w:pPr>
      <w:autoSpaceDE w:val="0"/>
      <w:autoSpaceDN w:val="0"/>
      <w:adjustRightInd w:val="0"/>
    </w:pPr>
    <w:rPr>
      <w:rFonts w:ascii="Times New Roman" w:eastAsia="Times New Roman" w:hAnsi="Times New Roman" w:cs="Times New Roman"/>
      <w:sz w:val="20"/>
      <w:szCs w:val="20"/>
      <w:lang w:val="en-US" w:eastAsia="en-US"/>
    </w:rPr>
  </w:style>
  <w:style w:type="paragraph" w:customStyle="1" w:styleId="TitleLeftBI">
    <w:name w:val="Title Left B/I"/>
    <w:basedOn w:val="Normal"/>
    <w:rsid w:val="002831AB"/>
    <w:pPr>
      <w:keepNext/>
      <w:autoSpaceDE w:val="0"/>
      <w:autoSpaceDN w:val="0"/>
      <w:adjustRightInd w:val="0"/>
      <w:spacing w:after="240"/>
    </w:pPr>
    <w:rPr>
      <w:rFonts w:ascii="Times New Roman" w:hAnsi="Times New Roman"/>
      <w:b/>
      <w:bCs/>
      <w:i/>
      <w:iCs/>
      <w:sz w:val="22"/>
      <w:szCs w:val="22"/>
      <w:lang w:val="en-US" w:eastAsia="es-AR"/>
    </w:rPr>
  </w:style>
  <w:style w:type="paragraph" w:customStyle="1" w:styleId="Body-DTP">
    <w:name w:val="Body-DTP"/>
    <w:basedOn w:val="Normal"/>
    <w:rsid w:val="002831AB"/>
    <w:pPr>
      <w:autoSpaceDE w:val="0"/>
      <w:autoSpaceDN w:val="0"/>
      <w:adjustRightInd w:val="0"/>
      <w:spacing w:after="120" w:line="240" w:lineRule="exact"/>
      <w:ind w:firstLine="432"/>
      <w:jc w:val="both"/>
    </w:pPr>
    <w:rPr>
      <w:rFonts w:ascii="Times New Roman" w:hAnsi="Times New Roman"/>
      <w:sz w:val="21"/>
      <w:szCs w:val="21"/>
      <w:lang w:val="en-GB" w:eastAsia="es-AR"/>
    </w:rPr>
  </w:style>
  <w:style w:type="paragraph" w:customStyle="1" w:styleId="1Level1-TC">
    <w:name w:val="1Level–1.-TC"/>
    <w:basedOn w:val="Body-DTP"/>
    <w:next w:val="2Levela-TC"/>
    <w:rsid w:val="002831AB"/>
    <w:pPr>
      <w:keepNext/>
      <w:tabs>
        <w:tab w:val="num" w:pos="360"/>
        <w:tab w:val="left" w:pos="432"/>
      </w:tabs>
      <w:autoSpaceDE/>
      <w:autoSpaceDN/>
      <w:adjustRightInd/>
      <w:spacing w:before="200"/>
      <w:ind w:firstLine="0"/>
    </w:pPr>
    <w:rPr>
      <w:b/>
      <w:bCs/>
    </w:rPr>
  </w:style>
  <w:style w:type="paragraph" w:customStyle="1" w:styleId="2Levela-TC">
    <w:name w:val="2Level–(a)-TC"/>
    <w:basedOn w:val="Body-DTP"/>
    <w:rsid w:val="002831AB"/>
    <w:pPr>
      <w:tabs>
        <w:tab w:val="num" w:pos="792"/>
        <w:tab w:val="left" w:pos="864"/>
      </w:tabs>
      <w:autoSpaceDE/>
      <w:autoSpaceDN/>
      <w:adjustRightInd/>
    </w:pPr>
  </w:style>
  <w:style w:type="paragraph" w:customStyle="1" w:styleId="3Leveli-TC">
    <w:name w:val="3Level–(i)-TC"/>
    <w:basedOn w:val="Body-DTP"/>
    <w:rsid w:val="002831AB"/>
    <w:pPr>
      <w:tabs>
        <w:tab w:val="num" w:pos="1296"/>
      </w:tabs>
      <w:autoSpaceDE/>
      <w:autoSpaceDN/>
      <w:adjustRightInd/>
      <w:ind w:left="1296" w:hanging="230"/>
    </w:pPr>
  </w:style>
  <w:style w:type="paragraph" w:customStyle="1" w:styleId="4LevelA-TC">
    <w:name w:val="4Level–(A)-TC"/>
    <w:basedOn w:val="Body-DTP"/>
    <w:rsid w:val="002831AB"/>
    <w:pPr>
      <w:tabs>
        <w:tab w:val="num" w:pos="1728"/>
      </w:tabs>
      <w:autoSpaceDE/>
      <w:autoSpaceDN/>
      <w:adjustRightInd/>
      <w:ind w:left="1728" w:hanging="432"/>
    </w:pPr>
  </w:style>
  <w:style w:type="paragraph" w:customStyle="1" w:styleId="2Level-ALT-ablock-TC">
    <w:name w:val="2Level-[ALT]-(a)block-TC"/>
    <w:basedOn w:val="Body-DTP"/>
    <w:rsid w:val="002831AB"/>
    <w:pPr>
      <w:tabs>
        <w:tab w:val="num" w:pos="864"/>
      </w:tabs>
      <w:autoSpaceDE/>
      <w:autoSpaceDN/>
      <w:adjustRightInd/>
      <w:ind w:left="864" w:hanging="432"/>
    </w:pPr>
    <w:rPr>
      <w:lang w:val="en-US"/>
    </w:rPr>
  </w:style>
  <w:style w:type="paragraph" w:customStyle="1" w:styleId="2Level-ALT-1block-TC">
    <w:name w:val="2Level-[ALT]-(1)block-TC"/>
    <w:basedOn w:val="Body-DTP"/>
    <w:rsid w:val="002831AB"/>
    <w:pPr>
      <w:tabs>
        <w:tab w:val="num" w:pos="864"/>
      </w:tabs>
      <w:autoSpaceDE/>
      <w:autoSpaceDN/>
      <w:adjustRightInd/>
      <w:ind w:left="864" w:hanging="432"/>
    </w:pPr>
    <w:rPr>
      <w:lang w:val="en-US"/>
    </w:rPr>
  </w:style>
  <w:style w:type="paragraph" w:customStyle="1" w:styleId="2Level-ALT-Ablock-TC0">
    <w:name w:val="2Level-[ALT]-(A)block-TC"/>
    <w:basedOn w:val="Body-DTP"/>
    <w:rsid w:val="002831AB"/>
    <w:pPr>
      <w:tabs>
        <w:tab w:val="num" w:pos="864"/>
      </w:tabs>
      <w:autoSpaceDE/>
      <w:autoSpaceDN/>
      <w:adjustRightInd/>
      <w:ind w:left="864" w:hanging="432"/>
    </w:pPr>
    <w:rPr>
      <w:lang w:val="en-US"/>
    </w:rPr>
  </w:style>
  <w:style w:type="paragraph" w:customStyle="1" w:styleId="3Level-ALT-1block-TC">
    <w:name w:val="3Level-[ALT]-(1)block-TC"/>
    <w:basedOn w:val="Body-DTP"/>
    <w:rsid w:val="002831AB"/>
    <w:pPr>
      <w:tabs>
        <w:tab w:val="num" w:pos="1296"/>
      </w:tabs>
      <w:autoSpaceDE/>
      <w:autoSpaceDN/>
      <w:adjustRightInd/>
      <w:ind w:left="1296" w:hanging="432"/>
    </w:pPr>
    <w:rPr>
      <w:lang w:val="en-US"/>
    </w:rPr>
  </w:style>
  <w:style w:type="paragraph" w:customStyle="1" w:styleId="4Level-ALT-1block-TC">
    <w:name w:val="4Level-[ALT]-(1)block-TC"/>
    <w:basedOn w:val="Body-DTP"/>
    <w:rsid w:val="002831AB"/>
    <w:pPr>
      <w:tabs>
        <w:tab w:val="num" w:pos="1728"/>
      </w:tabs>
      <w:autoSpaceDE/>
      <w:autoSpaceDN/>
      <w:adjustRightInd/>
      <w:ind w:left="1728" w:hanging="432"/>
    </w:pPr>
    <w:rPr>
      <w:lang w:val="en-US"/>
    </w:rPr>
  </w:style>
  <w:style w:type="paragraph" w:customStyle="1" w:styleId="BodyBlock">
    <w:name w:val="BodyBlock"/>
    <w:basedOn w:val="Body-DTP"/>
    <w:rsid w:val="002831AB"/>
    <w:pPr>
      <w:tabs>
        <w:tab w:val="left" w:pos="432"/>
      </w:tabs>
      <w:autoSpaceDE/>
      <w:autoSpaceDN/>
      <w:adjustRightInd/>
      <w:ind w:firstLine="0"/>
    </w:pPr>
  </w:style>
  <w:style w:type="paragraph" w:customStyle="1" w:styleId="BodyBlock2">
    <w:name w:val="BodyBlock2"/>
    <w:basedOn w:val="Normal"/>
    <w:rsid w:val="002831AB"/>
    <w:pPr>
      <w:tabs>
        <w:tab w:val="left" w:pos="432"/>
      </w:tabs>
      <w:autoSpaceDE w:val="0"/>
      <w:autoSpaceDN w:val="0"/>
      <w:adjustRightInd w:val="0"/>
      <w:spacing w:after="120" w:line="240" w:lineRule="exact"/>
      <w:ind w:left="864"/>
      <w:jc w:val="both"/>
    </w:pPr>
    <w:rPr>
      <w:rFonts w:ascii="Times New Roman" w:hAnsi="Times New Roman"/>
      <w:sz w:val="21"/>
      <w:szCs w:val="21"/>
      <w:lang w:val="en-GB" w:eastAsia="es-AR"/>
    </w:rPr>
  </w:style>
  <w:style w:type="paragraph" w:customStyle="1" w:styleId="2Levelablock">
    <w:name w:val="2Level–(a)block"/>
    <w:basedOn w:val="Body-DTP"/>
    <w:rsid w:val="002831AB"/>
    <w:pPr>
      <w:tabs>
        <w:tab w:val="num" w:pos="864"/>
      </w:tabs>
      <w:autoSpaceDE/>
      <w:autoSpaceDN/>
      <w:adjustRightInd/>
      <w:ind w:left="864" w:hanging="432"/>
    </w:pPr>
  </w:style>
  <w:style w:type="paragraph" w:customStyle="1" w:styleId="L2Hed">
    <w:name w:val="L2Hed"/>
    <w:basedOn w:val="Normal"/>
    <w:next w:val="Normal"/>
    <w:rsid w:val="002831AB"/>
    <w:pPr>
      <w:keepNext/>
      <w:tabs>
        <w:tab w:val="left" w:pos="432"/>
      </w:tabs>
      <w:autoSpaceDE w:val="0"/>
      <w:autoSpaceDN w:val="0"/>
      <w:adjustRightInd w:val="0"/>
      <w:spacing w:before="300" w:after="60" w:line="240" w:lineRule="exact"/>
      <w:jc w:val="both"/>
    </w:pPr>
    <w:rPr>
      <w:rFonts w:ascii="Times New Roman" w:hAnsi="Times New Roman"/>
      <w:b/>
      <w:bCs/>
      <w:sz w:val="21"/>
      <w:szCs w:val="21"/>
      <w:lang w:val="en-GB" w:eastAsia="es-AR"/>
    </w:rPr>
  </w:style>
  <w:style w:type="paragraph" w:customStyle="1" w:styleId="BodyText2sg0">
    <w:name w:val="Body Text 2sg"/>
    <w:basedOn w:val="Normal"/>
    <w:rsid w:val="002831AB"/>
    <w:pPr>
      <w:autoSpaceDE w:val="0"/>
      <w:autoSpaceDN w:val="0"/>
      <w:adjustRightInd w:val="0"/>
    </w:pPr>
    <w:rPr>
      <w:rFonts w:ascii="Times New Roman" w:hAnsi="Times New Roman"/>
      <w:lang w:val="en-US" w:eastAsia="es-AR"/>
    </w:rPr>
  </w:style>
  <w:style w:type="paragraph" w:customStyle="1" w:styleId="CarCar3">
    <w:name w:val="Car Car3"/>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harCharCarCar">
    <w:name w:val="Car Char Ch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TableNotesLine0">
    <w:name w:val="Table Notes Line"/>
    <w:basedOn w:val="Normal"/>
    <w:rsid w:val="002831AB"/>
    <w:pPr>
      <w:pBdr>
        <w:bottom w:val="single" w:sz="4" w:space="1" w:color="auto"/>
      </w:pBdr>
      <w:autoSpaceDE w:val="0"/>
      <w:autoSpaceDN w:val="0"/>
      <w:adjustRightInd w:val="0"/>
      <w:spacing w:after="40"/>
      <w:ind w:right="7920"/>
    </w:pPr>
    <w:rPr>
      <w:rFonts w:ascii="Times New Roman" w:hAnsi="Times New Roman"/>
      <w:lang w:val="en-US" w:eastAsia="es-AR"/>
    </w:rPr>
  </w:style>
  <w:style w:type="paragraph" w:customStyle="1" w:styleId="Num6">
    <w:name w:val="Num6"/>
    <w:rsid w:val="002831AB"/>
    <w:pPr>
      <w:tabs>
        <w:tab w:val="num" w:pos="1440"/>
      </w:tabs>
      <w:spacing w:before="240" w:line="260" w:lineRule="atLeast"/>
      <w:ind w:firstLine="720"/>
      <w:jc w:val="both"/>
    </w:pPr>
    <w:rPr>
      <w:sz w:val="22"/>
      <w:szCs w:val="22"/>
      <w:lang w:val="en-US" w:eastAsia="en-US"/>
    </w:rPr>
  </w:style>
  <w:style w:type="paragraph" w:customStyle="1" w:styleId="TitleHead">
    <w:name w:val="TitleHead"/>
    <w:aliases w:val="TH"/>
    <w:rsid w:val="002831AB"/>
    <w:pPr>
      <w:keepNext/>
      <w:spacing w:after="240" w:line="260" w:lineRule="atLeast"/>
      <w:jc w:val="center"/>
    </w:pPr>
    <w:rPr>
      <w:b/>
      <w:bCs/>
      <w:caps/>
      <w:sz w:val="22"/>
      <w:szCs w:val="22"/>
      <w:lang w:val="en-US" w:eastAsia="en-US"/>
    </w:rPr>
  </w:style>
  <w:style w:type="paragraph" w:customStyle="1" w:styleId="Num7">
    <w:name w:val="Num7"/>
    <w:rsid w:val="002831AB"/>
    <w:pPr>
      <w:tabs>
        <w:tab w:val="num" w:pos="2160"/>
      </w:tabs>
      <w:spacing w:before="240" w:line="260" w:lineRule="atLeast"/>
      <w:ind w:left="720" w:firstLine="720"/>
      <w:jc w:val="both"/>
    </w:pPr>
    <w:rPr>
      <w:sz w:val="22"/>
      <w:szCs w:val="22"/>
      <w:lang w:val="en-US" w:eastAsia="en-US"/>
    </w:rPr>
  </w:style>
  <w:style w:type="paragraph" w:customStyle="1" w:styleId="dice2">
    <w:name w:val="蚽dice 2"/>
    <w:basedOn w:val="Normal"/>
    <w:next w:val="Normal"/>
    <w:autoRedefine/>
    <w:hidden/>
    <w:rsid w:val="002831AB"/>
    <w:pPr>
      <w:widowControl w:val="0"/>
      <w:autoSpaceDE w:val="0"/>
      <w:autoSpaceDN w:val="0"/>
      <w:adjustRightInd w:val="0"/>
      <w:ind w:left="720" w:hanging="360"/>
    </w:pPr>
    <w:rPr>
      <w:rFonts w:ascii="Times New Roman" w:hAnsi="Times New Roman"/>
      <w:lang w:val="en-US" w:eastAsia="es-AR"/>
    </w:rPr>
  </w:style>
  <w:style w:type="paragraph" w:customStyle="1" w:styleId="Textoindependienteprimerasangr0">
    <w:name w:val="Texto independiente primera sangr韆"/>
    <w:basedOn w:val="Normal"/>
    <w:rsid w:val="002831AB"/>
    <w:pPr>
      <w:widowControl w:val="0"/>
      <w:autoSpaceDE w:val="0"/>
      <w:autoSpaceDN w:val="0"/>
      <w:adjustRightInd w:val="0"/>
      <w:spacing w:after="240"/>
      <w:ind w:firstLine="720"/>
    </w:pPr>
    <w:rPr>
      <w:rFonts w:ascii="Times New Roman" w:hAnsi="Times New Roman"/>
      <w:lang w:val="en-US" w:eastAsia="es-AR"/>
    </w:rPr>
  </w:style>
  <w:style w:type="paragraph" w:customStyle="1" w:styleId="Textoconsangr0">
    <w:name w:val="Texto con sangr韆"/>
    <w:basedOn w:val="Normal"/>
    <w:next w:val="Normal"/>
    <w:hidden/>
    <w:rsid w:val="002831AB"/>
    <w:pPr>
      <w:widowControl w:val="0"/>
      <w:autoSpaceDE w:val="0"/>
      <w:autoSpaceDN w:val="0"/>
      <w:adjustRightInd w:val="0"/>
      <w:spacing w:after="240"/>
      <w:ind w:left="720" w:hanging="720"/>
    </w:pPr>
    <w:rPr>
      <w:rFonts w:ascii="Times New Roman" w:hAnsi="Times New Roman"/>
      <w:lang w:val="en-US" w:eastAsia="es-AR"/>
    </w:rPr>
  </w:style>
  <w:style w:type="character" w:customStyle="1" w:styleId="table8pt1">
    <w:name w:val="table 8 pt"/>
    <w:rsid w:val="002831AB"/>
    <w:rPr>
      <w:rFonts w:ascii="Times New Roman" w:hAnsi="Times New Roman"/>
      <w:color w:val="auto"/>
      <w:sz w:val="16"/>
      <w:vertAlign w:val="baseline"/>
    </w:rPr>
  </w:style>
  <w:style w:type="character" w:customStyle="1" w:styleId="BodyText2SglCarCar">
    <w:name w:val="Body Text 2 Sgl Car Car"/>
    <w:rsid w:val="002831AB"/>
    <w:rPr>
      <w:sz w:val="24"/>
      <w:lang w:val="en-US" w:eastAsia="es-ES"/>
    </w:rPr>
  </w:style>
  <w:style w:type="paragraph" w:customStyle="1" w:styleId="TextCarCarCarCar">
    <w:name w:val="Text Car Car Car Car"/>
    <w:basedOn w:val="Normal"/>
    <w:rsid w:val="002831AB"/>
    <w:pPr>
      <w:tabs>
        <w:tab w:val="num" w:pos="360"/>
      </w:tabs>
      <w:autoSpaceDE w:val="0"/>
      <w:autoSpaceDN w:val="0"/>
      <w:adjustRightInd w:val="0"/>
      <w:spacing w:after="240"/>
    </w:pPr>
    <w:rPr>
      <w:rFonts w:ascii="Times New Roman" w:hAnsi="Times New Roman"/>
      <w:lang w:val="en-US" w:eastAsia="es-AR"/>
    </w:rPr>
  </w:style>
  <w:style w:type="character" w:customStyle="1" w:styleId="TextCarCarCarCarCar">
    <w:name w:val="Text Car Car Car Car Car"/>
    <w:rsid w:val="002831AB"/>
    <w:rPr>
      <w:sz w:val="24"/>
      <w:lang w:val="en-US" w:eastAsia="en-US"/>
    </w:rPr>
  </w:style>
  <w:style w:type="paragraph" w:customStyle="1" w:styleId="Heading210">
    <w:name w:val="Heading 2 1"/>
    <w:basedOn w:val="Normal"/>
    <w:next w:val="Textoindependiente"/>
    <w:rsid w:val="002831AB"/>
    <w:pPr>
      <w:tabs>
        <w:tab w:val="num" w:pos="0"/>
      </w:tabs>
      <w:autoSpaceDE w:val="0"/>
      <w:autoSpaceDN w:val="0"/>
      <w:adjustRightInd w:val="0"/>
      <w:spacing w:after="120"/>
      <w:ind w:left="1440" w:hanging="504"/>
      <w:outlineLvl w:val="0"/>
    </w:pPr>
    <w:rPr>
      <w:rFonts w:ascii="Times New Roman" w:hAnsi="Times New Roman"/>
      <w:lang w:val="en-US" w:eastAsia="es-AR"/>
    </w:rPr>
  </w:style>
  <w:style w:type="paragraph" w:customStyle="1" w:styleId="Heading22">
    <w:name w:val="Heading 2 2"/>
    <w:basedOn w:val="Normal"/>
    <w:next w:val="Textoindependiente"/>
    <w:rsid w:val="002831AB"/>
    <w:pPr>
      <w:tabs>
        <w:tab w:val="num" w:pos="0"/>
      </w:tabs>
      <w:autoSpaceDE w:val="0"/>
      <w:autoSpaceDN w:val="0"/>
      <w:adjustRightInd w:val="0"/>
      <w:spacing w:after="120"/>
      <w:ind w:left="1800" w:hanging="432"/>
      <w:outlineLvl w:val="1"/>
    </w:pPr>
    <w:rPr>
      <w:rFonts w:ascii="Times New Roman" w:hAnsi="Times New Roman"/>
      <w:lang w:val="en-US" w:eastAsia="es-AR"/>
    </w:rPr>
  </w:style>
  <w:style w:type="paragraph" w:customStyle="1" w:styleId="Heading23">
    <w:name w:val="Heading 2 3"/>
    <w:basedOn w:val="Normal"/>
    <w:next w:val="Textoindependiente"/>
    <w:rsid w:val="002831AB"/>
    <w:pPr>
      <w:tabs>
        <w:tab w:val="num" w:pos="0"/>
      </w:tabs>
      <w:autoSpaceDE w:val="0"/>
      <w:autoSpaceDN w:val="0"/>
      <w:adjustRightInd w:val="0"/>
      <w:spacing w:after="120"/>
      <w:ind w:left="1440" w:hanging="432"/>
      <w:outlineLvl w:val="2"/>
    </w:pPr>
    <w:rPr>
      <w:rFonts w:ascii="Times New Roman" w:hAnsi="Times New Roman"/>
      <w:lang w:val="en-US" w:eastAsia="es-AR"/>
    </w:rPr>
  </w:style>
  <w:style w:type="paragraph" w:customStyle="1" w:styleId="Heading24">
    <w:name w:val="Heading 2 4"/>
    <w:basedOn w:val="Normal"/>
    <w:next w:val="Textoindependiente"/>
    <w:rsid w:val="002831AB"/>
    <w:pPr>
      <w:autoSpaceDE w:val="0"/>
      <w:autoSpaceDN w:val="0"/>
      <w:adjustRightInd w:val="0"/>
      <w:spacing w:after="120"/>
      <w:ind w:left="1224"/>
      <w:outlineLvl w:val="3"/>
    </w:pPr>
    <w:rPr>
      <w:rFonts w:ascii="Times New Roman" w:hAnsi="Times New Roman"/>
      <w:lang w:val="en-US" w:eastAsia="es-AR"/>
    </w:rPr>
  </w:style>
  <w:style w:type="paragraph" w:customStyle="1" w:styleId="Heading25">
    <w:name w:val="Heading 2 5"/>
    <w:basedOn w:val="Normal"/>
    <w:next w:val="Textoindependiente"/>
    <w:rsid w:val="002831AB"/>
    <w:pPr>
      <w:autoSpaceDE w:val="0"/>
      <w:autoSpaceDN w:val="0"/>
      <w:adjustRightInd w:val="0"/>
      <w:spacing w:after="120"/>
      <w:ind w:left="1224"/>
      <w:outlineLvl w:val="4"/>
    </w:pPr>
    <w:rPr>
      <w:rFonts w:ascii="Times New Roman" w:hAnsi="Times New Roman"/>
      <w:lang w:val="en-US" w:eastAsia="es-AR"/>
    </w:rPr>
  </w:style>
  <w:style w:type="paragraph" w:customStyle="1" w:styleId="Heading26">
    <w:name w:val="Heading 2 6"/>
    <w:basedOn w:val="Normal"/>
    <w:next w:val="Textoindependiente"/>
    <w:rsid w:val="002831AB"/>
    <w:pPr>
      <w:autoSpaceDE w:val="0"/>
      <w:autoSpaceDN w:val="0"/>
      <w:adjustRightInd w:val="0"/>
      <w:spacing w:after="240"/>
      <w:ind w:left="1224"/>
      <w:outlineLvl w:val="5"/>
    </w:pPr>
    <w:rPr>
      <w:rFonts w:ascii="Times New Roman" w:hAnsi="Times New Roman"/>
      <w:lang w:val="en-US" w:eastAsia="es-AR"/>
    </w:rPr>
  </w:style>
  <w:style w:type="paragraph" w:customStyle="1" w:styleId="Heading27">
    <w:name w:val="Heading 2 7"/>
    <w:basedOn w:val="Normal"/>
    <w:next w:val="Textoindependiente"/>
    <w:rsid w:val="002831AB"/>
    <w:pPr>
      <w:autoSpaceDE w:val="0"/>
      <w:autoSpaceDN w:val="0"/>
      <w:adjustRightInd w:val="0"/>
      <w:spacing w:after="240"/>
      <w:ind w:left="1224"/>
      <w:outlineLvl w:val="6"/>
    </w:pPr>
    <w:rPr>
      <w:rFonts w:ascii="Times New Roman" w:hAnsi="Times New Roman"/>
      <w:lang w:val="en-US" w:eastAsia="es-AR"/>
    </w:rPr>
  </w:style>
  <w:style w:type="paragraph" w:customStyle="1" w:styleId="Heading28">
    <w:name w:val="Heading 2 8"/>
    <w:basedOn w:val="Normal"/>
    <w:next w:val="Textoindependiente"/>
    <w:rsid w:val="002831AB"/>
    <w:pPr>
      <w:tabs>
        <w:tab w:val="num" w:pos="6469"/>
      </w:tabs>
      <w:autoSpaceDE w:val="0"/>
      <w:autoSpaceDN w:val="0"/>
      <w:adjustRightInd w:val="0"/>
      <w:spacing w:after="240"/>
      <w:ind w:left="6469" w:hanging="360"/>
      <w:outlineLvl w:val="7"/>
    </w:pPr>
    <w:rPr>
      <w:rFonts w:ascii="Times New Roman" w:hAnsi="Times New Roman"/>
      <w:lang w:val="en-US" w:eastAsia="es-AR"/>
    </w:rPr>
  </w:style>
  <w:style w:type="paragraph" w:customStyle="1" w:styleId="Heading29">
    <w:name w:val="Heading 2 9"/>
    <w:basedOn w:val="Normal"/>
    <w:next w:val="Textoindependiente"/>
    <w:rsid w:val="002831AB"/>
    <w:pPr>
      <w:tabs>
        <w:tab w:val="num" w:pos="7189"/>
      </w:tabs>
      <w:autoSpaceDE w:val="0"/>
      <w:autoSpaceDN w:val="0"/>
      <w:adjustRightInd w:val="0"/>
      <w:spacing w:after="240"/>
      <w:ind w:left="7189" w:hanging="360"/>
      <w:outlineLvl w:val="8"/>
    </w:pPr>
    <w:rPr>
      <w:rFonts w:ascii="Times New Roman" w:hAnsi="Times New Roman"/>
      <w:lang w:val="en-US" w:eastAsia="es-AR"/>
    </w:rPr>
  </w:style>
  <w:style w:type="paragraph" w:customStyle="1" w:styleId="Text15han">
    <w:name w:val="Text 1.5 han"/>
    <w:basedOn w:val="Normal"/>
    <w:rsid w:val="002831AB"/>
    <w:pPr>
      <w:autoSpaceDE w:val="0"/>
      <w:autoSpaceDN w:val="0"/>
      <w:adjustRightInd w:val="0"/>
      <w:spacing w:after="120"/>
      <w:ind w:left="1260"/>
    </w:pPr>
    <w:rPr>
      <w:rFonts w:ascii="Times New Roman" w:hAnsi="Times New Roman"/>
      <w:lang w:val="en-US" w:eastAsia="es-AR"/>
    </w:rPr>
  </w:style>
  <w:style w:type="paragraph" w:customStyle="1" w:styleId="Text1han">
    <w:name w:val="Text 1 han"/>
    <w:basedOn w:val="Normal"/>
    <w:rsid w:val="002831AB"/>
    <w:pPr>
      <w:autoSpaceDE w:val="0"/>
      <w:autoSpaceDN w:val="0"/>
      <w:adjustRightInd w:val="0"/>
      <w:spacing w:after="120"/>
      <w:ind w:left="1440"/>
    </w:pPr>
    <w:rPr>
      <w:rFonts w:ascii="Times New Roman" w:hAnsi="Times New Roman"/>
      <w:lang w:val="en-US" w:eastAsia="es-AR"/>
    </w:rPr>
  </w:style>
  <w:style w:type="paragraph" w:customStyle="1" w:styleId="Text1h">
    <w:name w:val="Text 1 h"/>
    <w:basedOn w:val="Text1han"/>
    <w:rsid w:val="002831AB"/>
    <w:pPr>
      <w:ind w:left="540"/>
    </w:pPr>
  </w:style>
  <w:style w:type="paragraph" w:customStyle="1" w:styleId="Text0Bold">
    <w:name w:val="Text 0 Bold"/>
    <w:rsid w:val="002831AB"/>
    <w:pPr>
      <w:keepNext/>
      <w:spacing w:before="240" w:after="120"/>
    </w:pPr>
    <w:rPr>
      <w:b/>
      <w:bCs/>
      <w:sz w:val="24"/>
      <w:szCs w:val="24"/>
      <w:lang w:val="en-US" w:eastAsia="en-US"/>
    </w:rPr>
  </w:style>
  <w:style w:type="paragraph" w:customStyle="1" w:styleId="TextL65">
    <w:name w:val="Text L .65"/>
    <w:rsid w:val="002831AB"/>
    <w:pPr>
      <w:keepNext/>
      <w:spacing w:before="240" w:after="120"/>
      <w:ind w:left="936"/>
    </w:pPr>
    <w:rPr>
      <w:b/>
      <w:bCs/>
      <w:sz w:val="24"/>
      <w:szCs w:val="24"/>
      <w:lang w:val="en-US" w:eastAsia="en-US"/>
    </w:rPr>
  </w:style>
  <w:style w:type="paragraph" w:customStyle="1" w:styleId="DraftLineWC">
    <w:name w:val="DraftLineW&amp;C"/>
    <w:basedOn w:val="Normal"/>
    <w:rsid w:val="002831AB"/>
    <w:pPr>
      <w:framePr w:w="5328" w:hSpace="187" w:vSpace="187" w:wrap="auto" w:vAnchor="page" w:hAnchor="page" w:x="5761" w:y="721"/>
      <w:autoSpaceDE w:val="0"/>
      <w:autoSpaceDN w:val="0"/>
      <w:adjustRightInd w:val="0"/>
      <w:jc w:val="right"/>
    </w:pPr>
    <w:rPr>
      <w:rFonts w:ascii="Times New Roman" w:hAnsi="Times New Roman"/>
      <w:lang w:val="en-US" w:eastAsia="es-AR"/>
    </w:rPr>
  </w:style>
  <w:style w:type="paragraph" w:customStyle="1" w:styleId="Text0CarCarCar">
    <w:name w:val="Text 0 Car Car Car"/>
    <w:basedOn w:val="TextCarCarCarCar"/>
    <w:rsid w:val="002831AB"/>
    <w:pPr>
      <w:spacing w:after="120"/>
    </w:pPr>
  </w:style>
  <w:style w:type="character" w:customStyle="1" w:styleId="Text0CarCarCarCar">
    <w:name w:val="Text 0 Car Car Car Car"/>
    <w:rsid w:val="002831AB"/>
    <w:rPr>
      <w:sz w:val="24"/>
      <w:lang w:val="en-US" w:eastAsia="en-US"/>
    </w:rPr>
  </w:style>
  <w:style w:type="character" w:customStyle="1" w:styleId="Text0Char">
    <w:name w:val="Text 0 Char"/>
    <w:rsid w:val="002831AB"/>
    <w:rPr>
      <w:sz w:val="24"/>
      <w:lang w:val="en-US" w:eastAsia="en-US"/>
    </w:rPr>
  </w:style>
  <w:style w:type="paragraph" w:customStyle="1" w:styleId="OutlineL1">
    <w:name w:val="Outline_L1"/>
    <w:basedOn w:val="Normal"/>
    <w:next w:val="Textoindependiente"/>
    <w:rsid w:val="002831AB"/>
    <w:pPr>
      <w:tabs>
        <w:tab w:val="num" w:pos="720"/>
      </w:tabs>
      <w:autoSpaceDE w:val="0"/>
      <w:autoSpaceDN w:val="0"/>
      <w:adjustRightInd w:val="0"/>
      <w:spacing w:after="240"/>
      <w:outlineLvl w:val="0"/>
    </w:pPr>
    <w:rPr>
      <w:rFonts w:ascii="Times New Roman" w:hAnsi="Times New Roman"/>
      <w:lang w:val="en-US" w:eastAsia="es-AR"/>
    </w:rPr>
  </w:style>
  <w:style w:type="paragraph" w:customStyle="1" w:styleId="OutlineL2">
    <w:name w:val="Outline_L2"/>
    <w:basedOn w:val="OutlineL1"/>
    <w:next w:val="Textoindependiente"/>
    <w:rsid w:val="002831AB"/>
    <w:pPr>
      <w:numPr>
        <w:ilvl w:val="1"/>
      </w:numPr>
      <w:tabs>
        <w:tab w:val="num" w:pos="720"/>
        <w:tab w:val="num" w:pos="1440"/>
      </w:tabs>
      <w:ind w:firstLine="720"/>
      <w:outlineLvl w:val="1"/>
    </w:pPr>
  </w:style>
  <w:style w:type="paragraph" w:customStyle="1" w:styleId="OutlineL3">
    <w:name w:val="Outline_L3"/>
    <w:basedOn w:val="OutlineL2"/>
    <w:rsid w:val="002831AB"/>
    <w:pPr>
      <w:numPr>
        <w:ilvl w:val="2"/>
      </w:numPr>
      <w:tabs>
        <w:tab w:val="num" w:pos="720"/>
        <w:tab w:val="num" w:pos="2160"/>
      </w:tabs>
      <w:ind w:left="720" w:firstLine="720"/>
      <w:outlineLvl w:val="2"/>
    </w:pPr>
  </w:style>
  <w:style w:type="paragraph" w:customStyle="1" w:styleId="OutlineL4">
    <w:name w:val="Outline_L4"/>
    <w:basedOn w:val="OutlineL3"/>
    <w:rsid w:val="002831AB"/>
    <w:pPr>
      <w:numPr>
        <w:ilvl w:val="3"/>
      </w:numPr>
      <w:tabs>
        <w:tab w:val="num" w:pos="720"/>
        <w:tab w:val="num" w:pos="2880"/>
      </w:tabs>
      <w:ind w:left="1440" w:firstLine="720"/>
      <w:outlineLvl w:val="3"/>
    </w:pPr>
  </w:style>
  <w:style w:type="paragraph" w:customStyle="1" w:styleId="OutlineL5">
    <w:name w:val="Outline_L5"/>
    <w:basedOn w:val="OutlineL4"/>
    <w:rsid w:val="002831AB"/>
    <w:pPr>
      <w:numPr>
        <w:ilvl w:val="4"/>
      </w:numPr>
      <w:tabs>
        <w:tab w:val="num" w:pos="720"/>
        <w:tab w:val="num" w:pos="2520"/>
      </w:tabs>
      <w:ind w:left="2520" w:hanging="360"/>
      <w:outlineLvl w:val="4"/>
    </w:pPr>
  </w:style>
  <w:style w:type="paragraph" w:customStyle="1" w:styleId="OutlineL6">
    <w:name w:val="Outline_L6"/>
    <w:basedOn w:val="OutlineL5"/>
    <w:rsid w:val="002831AB"/>
    <w:pPr>
      <w:numPr>
        <w:ilvl w:val="5"/>
      </w:numPr>
      <w:tabs>
        <w:tab w:val="num" w:pos="720"/>
      </w:tabs>
      <w:ind w:left="720" w:firstLine="720"/>
      <w:outlineLvl w:val="5"/>
    </w:pPr>
  </w:style>
  <w:style w:type="paragraph" w:customStyle="1" w:styleId="OutlineL7">
    <w:name w:val="Outline_L7"/>
    <w:basedOn w:val="OutlineL6"/>
    <w:rsid w:val="002831AB"/>
    <w:pPr>
      <w:numPr>
        <w:ilvl w:val="6"/>
      </w:numPr>
      <w:tabs>
        <w:tab w:val="num" w:pos="720"/>
      </w:tabs>
      <w:ind w:left="1440" w:firstLine="720"/>
      <w:outlineLvl w:val="6"/>
    </w:pPr>
  </w:style>
  <w:style w:type="paragraph" w:customStyle="1" w:styleId="OutlineL8">
    <w:name w:val="Outline_L8"/>
    <w:basedOn w:val="OutlineL7"/>
    <w:rsid w:val="002831AB"/>
    <w:pPr>
      <w:numPr>
        <w:ilvl w:val="7"/>
      </w:numPr>
      <w:tabs>
        <w:tab w:val="num" w:pos="720"/>
        <w:tab w:val="num" w:pos="1800"/>
      </w:tabs>
      <w:ind w:left="1800" w:hanging="720"/>
      <w:outlineLvl w:val="7"/>
    </w:pPr>
  </w:style>
  <w:style w:type="paragraph" w:customStyle="1" w:styleId="OutlineL9">
    <w:name w:val="Outline_L9"/>
    <w:basedOn w:val="OutlineL8"/>
    <w:next w:val="Textoindependiente"/>
    <w:rsid w:val="002831AB"/>
    <w:pPr>
      <w:numPr>
        <w:ilvl w:val="8"/>
      </w:numPr>
      <w:tabs>
        <w:tab w:val="num" w:pos="720"/>
        <w:tab w:val="num" w:pos="6480"/>
      </w:tabs>
      <w:ind w:left="1800" w:firstLine="5760"/>
      <w:outlineLvl w:val="8"/>
    </w:pPr>
  </w:style>
  <w:style w:type="paragraph" w:customStyle="1" w:styleId="AOHead3">
    <w:name w:val="AOHead3"/>
    <w:basedOn w:val="Normal"/>
    <w:next w:val="Normal"/>
    <w:rsid w:val="002831AB"/>
    <w:pPr>
      <w:keepNext/>
      <w:autoSpaceDE w:val="0"/>
      <w:autoSpaceDN w:val="0"/>
      <w:adjustRightInd w:val="0"/>
      <w:spacing w:before="200"/>
      <w:jc w:val="both"/>
      <w:outlineLvl w:val="2"/>
    </w:pPr>
    <w:rPr>
      <w:rFonts w:ascii="Times New Roman" w:hAnsi="Times New Roman"/>
      <w:i/>
      <w:iCs/>
      <w:lang w:val="en-US" w:eastAsia="es-AR"/>
    </w:rPr>
  </w:style>
  <w:style w:type="paragraph" w:customStyle="1" w:styleId="bullet12">
    <w:name w:val="bullet1"/>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2levelablock0">
    <w:name w:val="2levelablock"/>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body-dtp0">
    <w:name w:val="body-dtp"/>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2level-alt-1block-tc0">
    <w:name w:val="2level-alt-1block-tc"/>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CarCarCarCarCarCar1">
    <w:name w:val="Car Car Car Car Car 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
    <w:name w:val="Car Car Car Car Car Car1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2">
    <w:name w:val="2"/>
    <w:basedOn w:val="Normal"/>
    <w:next w:val="Sangradetextonormal"/>
    <w:rsid w:val="002831AB"/>
    <w:pPr>
      <w:widowControl w:val="0"/>
      <w:tabs>
        <w:tab w:val="left" w:pos="440"/>
        <w:tab w:val="left" w:pos="567"/>
        <w:tab w:val="left" w:pos="660"/>
        <w:tab w:val="left" w:pos="879"/>
        <w:tab w:val="left" w:pos="1099"/>
        <w:tab w:val="left" w:pos="1318"/>
        <w:tab w:val="left" w:pos="1538"/>
        <w:tab w:val="left" w:pos="1758"/>
        <w:tab w:val="left" w:pos="1977"/>
        <w:tab w:val="left" w:pos="2197"/>
        <w:tab w:val="left" w:pos="2416"/>
        <w:tab w:val="left" w:pos="2636"/>
        <w:tab w:val="left" w:pos="2856"/>
        <w:tab w:val="left" w:pos="3075"/>
        <w:tab w:val="left" w:pos="3295"/>
        <w:tab w:val="left" w:pos="3514"/>
        <w:tab w:val="left" w:pos="3734"/>
        <w:tab w:val="left" w:pos="3954"/>
        <w:tab w:val="left" w:pos="4173"/>
        <w:tab w:val="left" w:pos="4393"/>
        <w:tab w:val="left" w:pos="4612"/>
        <w:tab w:val="left" w:pos="4832"/>
        <w:tab w:val="left" w:pos="5052"/>
        <w:tab w:val="left" w:pos="5271"/>
        <w:tab w:val="left" w:pos="5491"/>
        <w:tab w:val="left" w:pos="5710"/>
        <w:tab w:val="left" w:pos="5930"/>
        <w:tab w:val="left" w:pos="6150"/>
        <w:tab w:val="left" w:pos="6369"/>
        <w:tab w:val="left" w:pos="6589"/>
        <w:tab w:val="left" w:pos="6808"/>
        <w:tab w:val="left" w:pos="7028"/>
        <w:tab w:val="left" w:pos="7248"/>
      </w:tabs>
      <w:autoSpaceDE w:val="0"/>
      <w:autoSpaceDN w:val="0"/>
      <w:adjustRightInd w:val="0"/>
      <w:spacing w:after="132" w:line="240" w:lineRule="exact"/>
      <w:ind w:firstLine="440"/>
      <w:jc w:val="both"/>
      <w:textAlignment w:val="baseline"/>
    </w:pPr>
    <w:rPr>
      <w:rFonts w:ascii="Times New Roman" w:hAnsi="Times New Roman"/>
      <w:color w:val="000000"/>
      <w:sz w:val="21"/>
      <w:szCs w:val="21"/>
      <w:lang w:val="en-US" w:eastAsia="es-AR"/>
    </w:rPr>
  </w:style>
  <w:style w:type="character" w:customStyle="1" w:styleId="HEADING2">
    <w:name w:val="HEADING2"/>
    <w:rsid w:val="002831AB"/>
  </w:style>
  <w:style w:type="character" w:customStyle="1" w:styleId="HEADING3">
    <w:name w:val="HEADING3"/>
    <w:rsid w:val="002831AB"/>
    <w:rPr>
      <w:rFonts w:ascii="Times New Roman" w:hAnsi="Times New Roman"/>
      <w:b/>
      <w:i/>
    </w:rPr>
  </w:style>
  <w:style w:type="character" w:customStyle="1" w:styleId="NOLEADING">
    <w:name w:val="NO LEADING"/>
    <w:rsid w:val="002831AB"/>
  </w:style>
  <w:style w:type="paragraph" w:customStyle="1" w:styleId="Titletoc">
    <w:name w:val="Title toc"/>
    <w:basedOn w:val="Normal"/>
    <w:rsid w:val="002831AB"/>
    <w:pPr>
      <w:keepNext/>
      <w:widowControl w:val="0"/>
      <w:autoSpaceDE w:val="0"/>
      <w:autoSpaceDN w:val="0"/>
      <w:adjustRightInd w:val="0"/>
      <w:spacing w:after="240" w:line="360" w:lineRule="atLeast"/>
      <w:jc w:val="both"/>
      <w:textAlignment w:val="baseline"/>
      <w:outlineLvl w:val="1"/>
    </w:pPr>
    <w:rPr>
      <w:rFonts w:ascii="Times New Roman" w:hAnsi="Times New Roman"/>
      <w:b/>
      <w:bCs/>
      <w:lang w:val="en-US" w:eastAsia="es-AR"/>
    </w:rPr>
  </w:style>
  <w:style w:type="paragraph" w:customStyle="1" w:styleId="bodytext2sgl11pt0">
    <w:name w:val="bodytext2sgl11pt"/>
    <w:basedOn w:val="Normal"/>
    <w:rsid w:val="002831AB"/>
    <w:pPr>
      <w:widowControl w:val="0"/>
      <w:autoSpaceDE w:val="0"/>
      <w:autoSpaceDN w:val="0"/>
      <w:adjustRightInd w:val="0"/>
      <w:spacing w:after="240" w:line="360" w:lineRule="atLeast"/>
      <w:ind w:firstLine="720"/>
      <w:jc w:val="both"/>
      <w:textAlignment w:val="baseline"/>
    </w:pPr>
    <w:rPr>
      <w:rFonts w:ascii="Times New Roman" w:eastAsia="Arial Unicode MS" w:hAnsi="Times New Roman"/>
      <w:sz w:val="22"/>
      <w:szCs w:val="22"/>
      <w:lang w:val="en-US" w:eastAsia="es-AR"/>
    </w:rPr>
  </w:style>
  <w:style w:type="paragraph" w:customStyle="1" w:styleId="listib0">
    <w:name w:val="listib"/>
    <w:basedOn w:val="Normal"/>
    <w:rsid w:val="002831AB"/>
    <w:pPr>
      <w:widowControl w:val="0"/>
      <w:autoSpaceDE w:val="0"/>
      <w:autoSpaceDN w:val="0"/>
      <w:adjustRightInd w:val="0"/>
      <w:spacing w:before="100" w:beforeAutospacing="1" w:after="100" w:afterAutospacing="1" w:line="360" w:lineRule="atLeast"/>
      <w:jc w:val="both"/>
      <w:textAlignment w:val="baseline"/>
    </w:pPr>
    <w:rPr>
      <w:rFonts w:ascii="Arial Unicode MS" w:eastAsia="Arial Unicode MS" w:hAnsi="Arial Unicode MS" w:cs="Arial Unicode MS"/>
      <w:sz w:val="22"/>
      <w:szCs w:val="22"/>
      <w:lang w:val="en-US" w:eastAsia="es-AR"/>
    </w:rPr>
  </w:style>
  <w:style w:type="paragraph" w:customStyle="1" w:styleId="numbers-2">
    <w:name w:val="numbers -2"/>
    <w:basedOn w:val="Textoindependiente"/>
    <w:rsid w:val="002831AB"/>
    <w:pPr>
      <w:widowControl w:val="0"/>
      <w:spacing w:after="240" w:line="360" w:lineRule="atLeast"/>
      <w:ind w:left="1440" w:hanging="720"/>
      <w:jc w:val="both"/>
      <w:textAlignment w:val="baseline"/>
    </w:pPr>
  </w:style>
  <w:style w:type="paragraph" w:customStyle="1" w:styleId="Header2">
    <w:name w:val="Header2"/>
    <w:basedOn w:val="Normal"/>
    <w:rsid w:val="002831AB"/>
    <w:pPr>
      <w:widowControl w:val="0"/>
      <w:autoSpaceDE w:val="0"/>
      <w:autoSpaceDN w:val="0"/>
      <w:adjustRightInd w:val="0"/>
      <w:spacing w:line="240" w:lineRule="atLeast"/>
      <w:jc w:val="both"/>
      <w:textAlignment w:val="baseline"/>
    </w:pPr>
    <w:rPr>
      <w:rFonts w:ascii="Times New Roman" w:hAnsi="Times New Roman"/>
      <w:b/>
      <w:bCs/>
      <w:i/>
      <w:iCs/>
      <w:sz w:val="18"/>
      <w:szCs w:val="18"/>
      <w:lang w:val="en-US" w:eastAsia="es-AR"/>
    </w:rPr>
  </w:style>
  <w:style w:type="paragraph" w:customStyle="1" w:styleId="Tab63">
    <w:name w:val="Tab63"/>
    <w:basedOn w:val="Normal"/>
    <w:rsid w:val="002831AB"/>
    <w:pPr>
      <w:widowControl w:val="0"/>
      <w:autoSpaceDE w:val="0"/>
      <w:autoSpaceDN w:val="0"/>
      <w:adjustRightInd w:val="0"/>
      <w:spacing w:line="240" w:lineRule="atLeast"/>
      <w:ind w:left="697" w:hanging="340"/>
      <w:jc w:val="both"/>
      <w:textAlignment w:val="baseline"/>
    </w:pPr>
    <w:rPr>
      <w:rFonts w:ascii="Times New Roman" w:hAnsi="Times New Roman"/>
      <w:sz w:val="16"/>
      <w:szCs w:val="16"/>
      <w:lang w:val="en-US" w:eastAsia="es-AR"/>
    </w:rPr>
  </w:style>
  <w:style w:type="paragraph" w:customStyle="1" w:styleId="tab6">
    <w:name w:val="tab6"/>
    <w:basedOn w:val="Normal"/>
    <w:rsid w:val="002831AB"/>
    <w:pPr>
      <w:widowControl w:val="0"/>
      <w:tabs>
        <w:tab w:val="left" w:pos="340"/>
      </w:tabs>
      <w:autoSpaceDE w:val="0"/>
      <w:autoSpaceDN w:val="0"/>
      <w:adjustRightInd w:val="0"/>
      <w:spacing w:line="240" w:lineRule="atLeast"/>
      <w:ind w:left="340" w:hanging="340"/>
      <w:jc w:val="both"/>
      <w:textAlignment w:val="baseline"/>
    </w:pPr>
    <w:rPr>
      <w:rFonts w:ascii="Times New Roman" w:hAnsi="Times New Roman"/>
      <w:sz w:val="16"/>
      <w:szCs w:val="16"/>
      <w:lang w:val="en-US" w:eastAsia="es-AR"/>
    </w:rPr>
  </w:style>
  <w:style w:type="paragraph" w:customStyle="1" w:styleId="Encabtabla">
    <w:name w:val="Encabtabla"/>
    <w:basedOn w:val="Ttulo7"/>
    <w:rsid w:val="002831AB"/>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tLeast"/>
      <w:jc w:val="center"/>
      <w:textAlignment w:val="baseline"/>
    </w:pPr>
    <w:rPr>
      <w:i/>
      <w:iCs/>
      <w:sz w:val="18"/>
      <w:szCs w:val="18"/>
      <w:lang w:eastAsia="en-US"/>
    </w:rPr>
  </w:style>
  <w:style w:type="paragraph" w:customStyle="1" w:styleId="tabla60">
    <w:name w:val="tabla 6"/>
    <w:rsid w:val="002831AB"/>
    <w:pPr>
      <w:widowControl w:val="0"/>
      <w:tabs>
        <w:tab w:val="left" w:pos="585"/>
        <w:tab w:val="left" w:pos="1140"/>
        <w:tab w:val="left" w:pos="1725"/>
        <w:tab w:val="left" w:pos="2265"/>
      </w:tabs>
      <w:adjustRightInd w:val="0"/>
      <w:spacing w:line="360" w:lineRule="atLeast"/>
      <w:jc w:val="both"/>
      <w:textAlignment w:val="baseline"/>
    </w:pPr>
    <w:rPr>
      <w:color w:val="000000"/>
      <w:sz w:val="12"/>
      <w:szCs w:val="12"/>
      <w:lang w:val="en-US" w:eastAsia="en-US"/>
    </w:rPr>
  </w:style>
  <w:style w:type="paragraph" w:customStyle="1" w:styleId="Estandar">
    <w:name w:val="Est&lt;/a&gt;ndar"/>
    <w:rsid w:val="002831AB"/>
    <w:pPr>
      <w:widowControl w:val="0"/>
      <w:adjustRightInd w:val="0"/>
      <w:spacing w:line="360" w:lineRule="atLeast"/>
      <w:jc w:val="both"/>
      <w:textAlignment w:val="baseline"/>
    </w:pPr>
    <w:rPr>
      <w:color w:val="000000"/>
      <w:lang w:val="en-US" w:eastAsia="en-US"/>
    </w:rPr>
  </w:style>
  <w:style w:type="paragraph" w:customStyle="1" w:styleId="Nzmeros">
    <w:name w:val="N&lt;/z&gt;meros"/>
    <w:rsid w:val="002831AB"/>
    <w:pPr>
      <w:widowControl w:val="0"/>
      <w:adjustRightInd w:val="0"/>
      <w:spacing w:line="360" w:lineRule="atLeast"/>
      <w:jc w:val="both"/>
      <w:textAlignment w:val="baseline"/>
    </w:pPr>
    <w:rPr>
      <w:color w:val="000000"/>
      <w:sz w:val="24"/>
      <w:szCs w:val="24"/>
      <w:lang w:val="en-US" w:eastAsia="en-US"/>
    </w:rPr>
  </w:style>
  <w:style w:type="paragraph" w:customStyle="1" w:styleId="Subepmgrafe">
    <w:name w:val="Subep&lt;/m&gt;grafe"/>
    <w:rsid w:val="002831AB"/>
    <w:pPr>
      <w:widowControl w:val="0"/>
      <w:adjustRightInd w:val="0"/>
      <w:spacing w:line="360" w:lineRule="atLeast"/>
      <w:jc w:val="both"/>
      <w:textAlignment w:val="baseline"/>
    </w:pPr>
    <w:rPr>
      <w:b/>
      <w:bCs/>
      <w:i/>
      <w:iCs/>
      <w:color w:val="000000"/>
      <w:sz w:val="24"/>
      <w:szCs w:val="24"/>
      <w:lang w:val="en-US" w:eastAsia="en-US"/>
    </w:rPr>
  </w:style>
  <w:style w:type="paragraph" w:customStyle="1" w:styleId="Tmtulo">
    <w:name w:val="T&lt;/m&gt;tulo"/>
    <w:rsid w:val="002831AB"/>
    <w:pPr>
      <w:widowControl w:val="0"/>
      <w:adjustRightInd w:val="0"/>
      <w:spacing w:line="360" w:lineRule="atLeast"/>
      <w:jc w:val="center"/>
      <w:textAlignment w:val="baseline"/>
    </w:pPr>
    <w:rPr>
      <w:rFonts w:ascii="Arial" w:hAnsi="Arial" w:cs="Arial"/>
      <w:b/>
      <w:bCs/>
      <w:color w:val="000000"/>
      <w:sz w:val="36"/>
      <w:szCs w:val="36"/>
      <w:lang w:val="en-US" w:eastAsia="en-US"/>
    </w:rPr>
  </w:style>
  <w:style w:type="paragraph" w:customStyle="1" w:styleId="1empresa0">
    <w:name w:val="1empresa"/>
    <w:basedOn w:val="Normal"/>
    <w:rsid w:val="002831AB"/>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autoSpaceDE w:val="0"/>
      <w:autoSpaceDN w:val="0"/>
      <w:adjustRightInd w:val="0"/>
      <w:spacing w:line="360" w:lineRule="atLeast"/>
      <w:jc w:val="center"/>
      <w:textAlignment w:val="baseline"/>
    </w:pPr>
    <w:rPr>
      <w:rFonts w:ascii="CG Times" w:hAnsi="CG Times"/>
      <w:b/>
      <w:bCs/>
      <w:sz w:val="36"/>
      <w:szCs w:val="36"/>
      <w:lang w:val="en-US" w:eastAsia="es-AR"/>
    </w:rPr>
  </w:style>
  <w:style w:type="paragraph" w:customStyle="1" w:styleId="topo0">
    <w:name w:val="topo"/>
    <w:basedOn w:val="Normal"/>
    <w:rsid w:val="002831AB"/>
    <w:pPr>
      <w:widowControl w:val="0"/>
      <w:tabs>
        <w:tab w:val="num" w:pos="360"/>
      </w:tabs>
      <w:autoSpaceDE w:val="0"/>
      <w:autoSpaceDN w:val="0"/>
      <w:adjustRightInd w:val="0"/>
      <w:spacing w:line="360" w:lineRule="atLeast"/>
      <w:ind w:left="360" w:hanging="360"/>
      <w:jc w:val="both"/>
      <w:textAlignment w:val="baseline"/>
    </w:pPr>
    <w:rPr>
      <w:rFonts w:ascii="Times New Roman" w:hAnsi="Times New Roman"/>
      <w:lang w:val="en-US" w:eastAsia="es-AR"/>
    </w:rPr>
  </w:style>
  <w:style w:type="paragraph" w:customStyle="1" w:styleId="neg">
    <w:name w:val="neg"/>
    <w:basedOn w:val="Normal"/>
    <w:rsid w:val="002831AB"/>
    <w:pPr>
      <w:widowControl w:val="0"/>
      <w:autoSpaceDE w:val="0"/>
      <w:autoSpaceDN w:val="0"/>
      <w:adjustRightInd w:val="0"/>
      <w:spacing w:line="360" w:lineRule="atLeast"/>
      <w:jc w:val="both"/>
      <w:textAlignment w:val="baseline"/>
    </w:pPr>
    <w:rPr>
      <w:rFonts w:ascii="Times New Roman" w:hAnsi="Times New Roman"/>
      <w:sz w:val="14"/>
      <w:szCs w:val="14"/>
      <w:lang w:val="en-US" w:eastAsia="es-AR"/>
    </w:rPr>
  </w:style>
  <w:style w:type="paragraph" w:customStyle="1" w:styleId="tabl">
    <w:name w:val="tabl"/>
    <w:basedOn w:val="Normal"/>
    <w:rsid w:val="002831AB"/>
    <w:pPr>
      <w:widowControl w:val="0"/>
      <w:autoSpaceDE w:val="0"/>
      <w:autoSpaceDN w:val="0"/>
      <w:adjustRightInd w:val="0"/>
      <w:spacing w:line="360" w:lineRule="atLeast"/>
      <w:jc w:val="both"/>
      <w:textAlignment w:val="baseline"/>
    </w:pPr>
    <w:rPr>
      <w:rFonts w:ascii="CG Times" w:hAnsi="CG Times"/>
      <w:sz w:val="12"/>
      <w:szCs w:val="12"/>
      <w:lang w:val="en-US" w:eastAsia="es-AR"/>
    </w:rPr>
  </w:style>
  <w:style w:type="paragraph" w:customStyle="1" w:styleId="tabl1">
    <w:name w:val="tabl1"/>
    <w:basedOn w:val="Normal"/>
    <w:rsid w:val="002831AB"/>
    <w:pPr>
      <w:widowControl w:val="0"/>
      <w:autoSpaceDE w:val="0"/>
      <w:autoSpaceDN w:val="0"/>
      <w:adjustRightInd w:val="0"/>
      <w:spacing w:line="360" w:lineRule="atLeast"/>
      <w:jc w:val="right"/>
      <w:textAlignment w:val="baseline"/>
    </w:pPr>
    <w:rPr>
      <w:rFonts w:ascii="CG Times" w:hAnsi="CG Times"/>
      <w:sz w:val="12"/>
      <w:szCs w:val="12"/>
      <w:lang w:val="en-US" w:eastAsia="es-AR"/>
    </w:rPr>
  </w:style>
  <w:style w:type="paragraph" w:customStyle="1" w:styleId="tex">
    <w:name w:val="tex"/>
    <w:basedOn w:val="Normal"/>
    <w:rsid w:val="002831AB"/>
    <w:pPr>
      <w:widowControl w:val="0"/>
      <w:autoSpaceDE w:val="0"/>
      <w:autoSpaceDN w:val="0"/>
      <w:adjustRightInd w:val="0"/>
      <w:spacing w:line="360" w:lineRule="atLeast"/>
      <w:ind w:firstLine="720"/>
      <w:jc w:val="both"/>
      <w:textAlignment w:val="baseline"/>
    </w:pPr>
    <w:rPr>
      <w:rFonts w:ascii="Times New Roman" w:hAnsi="Times New Roman"/>
      <w:lang w:val="en-US" w:eastAsia="es-AR"/>
    </w:rPr>
  </w:style>
  <w:style w:type="paragraph" w:customStyle="1" w:styleId="decimal">
    <w:name w:val="decimal"/>
    <w:basedOn w:val="Normal"/>
    <w:rsid w:val="002831AB"/>
    <w:pPr>
      <w:widowControl w:val="0"/>
      <w:autoSpaceDE w:val="0"/>
      <w:autoSpaceDN w:val="0"/>
      <w:adjustRightInd w:val="0"/>
      <w:spacing w:line="360" w:lineRule="atLeast"/>
      <w:jc w:val="both"/>
      <w:textAlignment w:val="baseline"/>
    </w:pPr>
    <w:rPr>
      <w:rFonts w:ascii="Times New Roman" w:hAnsi="Times New Roman"/>
      <w:sz w:val="16"/>
      <w:szCs w:val="16"/>
      <w:lang w:val="en-US" w:eastAsia="es-AR"/>
    </w:rPr>
  </w:style>
  <w:style w:type="paragraph" w:customStyle="1" w:styleId="-">
    <w:name w:val="-"/>
    <w:basedOn w:val="Normal"/>
    <w:rsid w:val="002831AB"/>
    <w:pPr>
      <w:widowControl w:val="0"/>
      <w:autoSpaceDE w:val="0"/>
      <w:autoSpaceDN w:val="0"/>
      <w:adjustRightInd w:val="0"/>
      <w:spacing w:line="360" w:lineRule="atLeast"/>
      <w:jc w:val="both"/>
      <w:textAlignment w:val="baseline"/>
    </w:pPr>
    <w:rPr>
      <w:rFonts w:ascii="Times New Roman" w:hAnsi="Times New Roman"/>
      <w:sz w:val="22"/>
      <w:szCs w:val="22"/>
      <w:lang w:val="en-US" w:eastAsia="es-AR"/>
    </w:rPr>
  </w:style>
  <w:style w:type="paragraph" w:customStyle="1" w:styleId="tabla4">
    <w:name w:val="tabla4"/>
    <w:basedOn w:val="Normal"/>
    <w:rsid w:val="002831AB"/>
    <w:pPr>
      <w:widowControl w:val="0"/>
      <w:autoSpaceDE w:val="0"/>
      <w:autoSpaceDN w:val="0"/>
      <w:adjustRightInd w:val="0"/>
      <w:spacing w:line="360" w:lineRule="atLeast"/>
      <w:jc w:val="both"/>
      <w:textAlignment w:val="baseline"/>
    </w:pPr>
    <w:rPr>
      <w:rFonts w:ascii="Times New Roman" w:hAnsi="Times New Roman"/>
      <w:sz w:val="8"/>
      <w:szCs w:val="8"/>
      <w:lang w:val="en-US" w:eastAsia="es-AR"/>
    </w:rPr>
  </w:style>
  <w:style w:type="paragraph" w:customStyle="1" w:styleId="tabla5">
    <w:name w:val="tabla5"/>
    <w:basedOn w:val="Normal"/>
    <w:rsid w:val="002831AB"/>
    <w:pPr>
      <w:widowControl w:val="0"/>
      <w:autoSpaceDE w:val="0"/>
      <w:autoSpaceDN w:val="0"/>
      <w:adjustRightInd w:val="0"/>
      <w:spacing w:line="360" w:lineRule="atLeast"/>
      <w:jc w:val="both"/>
      <w:textAlignment w:val="baseline"/>
    </w:pPr>
    <w:rPr>
      <w:rFonts w:ascii="Times New Roman" w:hAnsi="Times New Roman"/>
      <w:sz w:val="10"/>
      <w:szCs w:val="10"/>
      <w:lang w:val="en-US" w:eastAsia="es-AR"/>
    </w:rPr>
  </w:style>
  <w:style w:type="paragraph" w:customStyle="1" w:styleId="nmeropgina">
    <w:name w:val="número página"/>
    <w:basedOn w:val="Normal"/>
    <w:rsid w:val="002831AB"/>
    <w:pPr>
      <w:widowControl w:val="0"/>
      <w:autoSpaceDE w:val="0"/>
      <w:autoSpaceDN w:val="0"/>
      <w:adjustRightInd w:val="0"/>
      <w:spacing w:line="360" w:lineRule="atLeast"/>
      <w:jc w:val="both"/>
      <w:textAlignment w:val="baseline"/>
    </w:pPr>
    <w:rPr>
      <w:rFonts w:ascii="Times New Roman" w:hAnsi="Times New Roman"/>
      <w:lang w:val="en-US" w:eastAsia="es-AR"/>
    </w:rPr>
  </w:style>
  <w:style w:type="paragraph" w:customStyle="1" w:styleId="tabla80">
    <w:name w:val="tabla 8"/>
    <w:basedOn w:val="Normal"/>
    <w:rsid w:val="002831AB"/>
    <w:pPr>
      <w:widowControl w:val="0"/>
      <w:autoSpaceDE w:val="0"/>
      <w:autoSpaceDN w:val="0"/>
      <w:adjustRightInd w:val="0"/>
      <w:spacing w:line="360" w:lineRule="atLeast"/>
      <w:jc w:val="both"/>
      <w:textAlignment w:val="baseline"/>
    </w:pPr>
    <w:rPr>
      <w:rFonts w:ascii="Times New Roman" w:hAnsi="Times New Roman"/>
      <w:sz w:val="16"/>
      <w:szCs w:val="16"/>
      <w:lang w:val="en-US" w:eastAsia="es-AR"/>
    </w:rPr>
  </w:style>
  <w:style w:type="paragraph" w:customStyle="1" w:styleId="PUNTITO">
    <w:name w:val="PUNTITO"/>
    <w:basedOn w:val="Normal"/>
    <w:rsid w:val="002831AB"/>
    <w:pPr>
      <w:widowControl w:val="0"/>
      <w:autoSpaceDE w:val="0"/>
      <w:autoSpaceDN w:val="0"/>
      <w:adjustRightInd w:val="0"/>
      <w:spacing w:line="360" w:lineRule="atLeast"/>
      <w:jc w:val="both"/>
      <w:textAlignment w:val="baseline"/>
    </w:pPr>
    <w:rPr>
      <w:rFonts w:ascii="Courier New" w:hAnsi="Courier New" w:cs="Courier New"/>
      <w:sz w:val="22"/>
      <w:szCs w:val="22"/>
      <w:lang w:val="en-US" w:eastAsia="es-AR"/>
    </w:rPr>
  </w:style>
  <w:style w:type="paragraph" w:customStyle="1" w:styleId="TABLA100">
    <w:name w:val="TABLA10"/>
    <w:rsid w:val="002831AB"/>
    <w:pPr>
      <w:widowControl w:val="0"/>
      <w:tabs>
        <w:tab w:val="left" w:pos="330"/>
        <w:tab w:val="left" w:pos="570"/>
        <w:tab w:val="left" w:pos="780"/>
      </w:tabs>
      <w:adjustRightInd w:val="0"/>
      <w:spacing w:line="360" w:lineRule="atLeast"/>
      <w:jc w:val="both"/>
      <w:textAlignment w:val="baseline"/>
    </w:pPr>
    <w:rPr>
      <w:color w:val="000000"/>
      <w:lang w:eastAsia="en-US"/>
    </w:rPr>
  </w:style>
  <w:style w:type="paragraph" w:customStyle="1" w:styleId="Tabla101">
    <w:name w:val="Tabla10"/>
    <w:basedOn w:val="Normal"/>
    <w:rsid w:val="002831AB"/>
    <w:pPr>
      <w:widowControl w:val="0"/>
      <w:autoSpaceDE w:val="0"/>
      <w:autoSpaceDN w:val="0"/>
      <w:adjustRightInd w:val="0"/>
      <w:spacing w:line="360" w:lineRule="atLeast"/>
      <w:jc w:val="both"/>
      <w:textAlignment w:val="baseline"/>
    </w:pPr>
    <w:rPr>
      <w:rFonts w:ascii="Times New Roman" w:hAnsi="Times New Roman"/>
      <w:lang w:val="en-US" w:eastAsia="es-AR"/>
    </w:rPr>
  </w:style>
  <w:style w:type="paragraph" w:customStyle="1" w:styleId="TABLA81">
    <w:name w:val="TABLA8"/>
    <w:rsid w:val="002831AB"/>
    <w:pPr>
      <w:widowControl w:val="0"/>
      <w:adjustRightInd w:val="0"/>
      <w:spacing w:line="360" w:lineRule="atLeast"/>
      <w:jc w:val="both"/>
      <w:textAlignment w:val="baseline"/>
    </w:pPr>
    <w:rPr>
      <w:color w:val="000000"/>
      <w:sz w:val="16"/>
      <w:szCs w:val="16"/>
      <w:lang w:eastAsia="en-US"/>
    </w:rPr>
  </w:style>
  <w:style w:type="paragraph" w:customStyle="1" w:styleId="Documento1">
    <w:name w:val="Documento 1"/>
    <w:rsid w:val="002831AB"/>
    <w:pPr>
      <w:keepNext/>
      <w:keepLines/>
      <w:widowControl w:val="0"/>
      <w:tabs>
        <w:tab w:val="left" w:pos="-720"/>
      </w:tabs>
      <w:suppressAutoHyphens/>
      <w:adjustRightInd w:val="0"/>
      <w:spacing w:line="360" w:lineRule="atLeast"/>
      <w:jc w:val="both"/>
      <w:textAlignment w:val="baseline"/>
    </w:pPr>
    <w:rPr>
      <w:rFonts w:ascii="Univers" w:hAnsi="Univers"/>
      <w:sz w:val="24"/>
      <w:szCs w:val="24"/>
      <w:lang w:val="en-US" w:eastAsia="en-US"/>
    </w:rPr>
  </w:style>
  <w:style w:type="paragraph" w:customStyle="1" w:styleId="CPN-nheading">
    <w:name w:val="CPN-n/heading"/>
    <w:basedOn w:val="Normal"/>
    <w:rsid w:val="002831AB"/>
    <w:pPr>
      <w:keepNext/>
      <w:keepLines/>
      <w:widowControl w:val="0"/>
      <w:autoSpaceDE w:val="0"/>
      <w:autoSpaceDN w:val="0"/>
      <w:adjustRightInd w:val="0"/>
      <w:spacing w:before="120" w:after="240" w:line="240" w:lineRule="exact"/>
      <w:jc w:val="center"/>
      <w:textAlignment w:val="baseline"/>
    </w:pPr>
    <w:rPr>
      <w:rFonts w:ascii="Arial" w:hAnsi="Arial" w:cs="Arial"/>
      <w:b/>
      <w:bCs/>
      <w:sz w:val="22"/>
      <w:szCs w:val="22"/>
      <w:lang w:val="en-US" w:eastAsia="es-AR"/>
    </w:rPr>
  </w:style>
  <w:style w:type="paragraph" w:customStyle="1" w:styleId="tabla10a">
    <w:name w:val="tabla10a"/>
    <w:basedOn w:val="Normal"/>
    <w:rsid w:val="002831AB"/>
    <w:pPr>
      <w:widowControl w:val="0"/>
      <w:autoSpaceDE w:val="0"/>
      <w:autoSpaceDN w:val="0"/>
      <w:adjustRightInd w:val="0"/>
      <w:spacing w:line="360" w:lineRule="atLeast"/>
      <w:jc w:val="both"/>
      <w:textAlignment w:val="baseline"/>
    </w:pPr>
    <w:rPr>
      <w:rFonts w:ascii="Times New Roman" w:hAnsi="Times New Roman"/>
      <w:lang w:val="en-US" w:eastAsia="es-AR"/>
    </w:rPr>
  </w:style>
  <w:style w:type="paragraph" w:customStyle="1" w:styleId="CPN-Left-bold">
    <w:name w:val="CPN-Left-bold"/>
    <w:basedOn w:val="Normal"/>
    <w:rsid w:val="002831AB"/>
    <w:pPr>
      <w:keepNext/>
      <w:keepLines/>
      <w:widowControl w:val="0"/>
      <w:overflowPunct w:val="0"/>
      <w:autoSpaceDE w:val="0"/>
      <w:autoSpaceDN w:val="0"/>
      <w:adjustRightInd w:val="0"/>
      <w:spacing w:after="200" w:line="360" w:lineRule="atLeast"/>
      <w:jc w:val="both"/>
      <w:textAlignment w:val="baseline"/>
    </w:pPr>
    <w:rPr>
      <w:rFonts w:ascii="Times New Roman" w:hAnsi="Times New Roman"/>
      <w:b/>
      <w:bCs/>
      <w:sz w:val="22"/>
      <w:szCs w:val="22"/>
      <w:lang w:val="en-US" w:eastAsia="es-AR"/>
    </w:rPr>
  </w:style>
  <w:style w:type="paragraph" w:customStyle="1" w:styleId="Predetermin">
    <w:name w:val="Predetermin"/>
    <w:rsid w:val="002831AB"/>
    <w:pPr>
      <w:widowControl w:val="0"/>
      <w:adjustRightInd w:val="0"/>
      <w:spacing w:line="360" w:lineRule="atLeast"/>
      <w:jc w:val="both"/>
      <w:textAlignment w:val="baseline"/>
    </w:pPr>
    <w:rPr>
      <w:color w:val="000000"/>
      <w:sz w:val="16"/>
      <w:szCs w:val="16"/>
    </w:rPr>
  </w:style>
  <w:style w:type="paragraph" w:customStyle="1" w:styleId="Tabla70">
    <w:name w:val="Tabla7"/>
    <w:rsid w:val="002831AB"/>
    <w:pPr>
      <w:widowControl w:val="0"/>
      <w:adjustRightInd w:val="0"/>
      <w:spacing w:line="360" w:lineRule="atLeast"/>
      <w:jc w:val="both"/>
      <w:textAlignment w:val="baseline"/>
    </w:pPr>
    <w:rPr>
      <w:color w:val="000000"/>
      <w:sz w:val="14"/>
      <w:szCs w:val="14"/>
    </w:rPr>
  </w:style>
  <w:style w:type="paragraph" w:customStyle="1" w:styleId="Topito">
    <w:name w:val="Topito"/>
    <w:rsid w:val="002831AB"/>
    <w:pPr>
      <w:widowControl w:val="0"/>
      <w:adjustRightInd w:val="0"/>
      <w:spacing w:line="360" w:lineRule="atLeast"/>
      <w:ind w:left="1468" w:hanging="445"/>
      <w:jc w:val="both"/>
      <w:textAlignment w:val="baseline"/>
    </w:pPr>
    <w:rPr>
      <w:color w:val="000000"/>
      <w:sz w:val="24"/>
      <w:szCs w:val="24"/>
    </w:rPr>
  </w:style>
  <w:style w:type="paragraph" w:customStyle="1" w:styleId="Pelusin">
    <w:name w:val="Pelusin"/>
    <w:rsid w:val="002831AB"/>
    <w:pPr>
      <w:widowControl w:val="0"/>
      <w:adjustRightInd w:val="0"/>
      <w:spacing w:line="360" w:lineRule="atLeast"/>
      <w:ind w:left="1468"/>
      <w:jc w:val="both"/>
      <w:textAlignment w:val="baseline"/>
    </w:pPr>
    <w:rPr>
      <w:color w:val="000000"/>
      <w:sz w:val="24"/>
      <w:szCs w:val="24"/>
    </w:rPr>
  </w:style>
  <w:style w:type="paragraph" w:customStyle="1" w:styleId="table7">
    <w:name w:val="table7"/>
    <w:basedOn w:val="Normal"/>
    <w:rsid w:val="002831AB"/>
    <w:pPr>
      <w:widowControl w:val="0"/>
      <w:autoSpaceDE w:val="0"/>
      <w:autoSpaceDN w:val="0"/>
      <w:adjustRightInd w:val="0"/>
      <w:spacing w:line="360" w:lineRule="atLeast"/>
      <w:jc w:val="right"/>
      <w:textAlignment w:val="baseline"/>
    </w:pPr>
    <w:rPr>
      <w:rFonts w:ascii="Times New Roman" w:hAnsi="Times New Roman"/>
      <w:sz w:val="14"/>
      <w:szCs w:val="14"/>
      <w:lang w:val="en-GB" w:eastAsia="es-AR"/>
    </w:rPr>
  </w:style>
  <w:style w:type="paragraph" w:customStyle="1" w:styleId="n">
    <w:name w:val="n"/>
    <w:basedOn w:val="Estndar"/>
    <w:rsid w:val="002831AB"/>
    <w:pPr>
      <w:widowControl w:val="0"/>
      <w:tabs>
        <w:tab w:val="left" w:pos="-1440"/>
        <w:tab w:val="left" w:pos="-720"/>
        <w:tab w:val="left" w:pos="636"/>
      </w:tabs>
      <w:adjustRightInd w:val="0"/>
      <w:spacing w:line="240" w:lineRule="atLeast"/>
      <w:jc w:val="right"/>
      <w:textAlignment w:val="baseline"/>
    </w:pPr>
    <w:rPr>
      <w:rFonts w:eastAsia="Times New Roman"/>
      <w:color w:val="000000"/>
      <w:sz w:val="14"/>
      <w:szCs w:val="14"/>
      <w:lang w:eastAsia="en-US"/>
    </w:rPr>
  </w:style>
  <w:style w:type="paragraph" w:customStyle="1" w:styleId="cpnormal0">
    <w:name w:val="cpnormal"/>
    <w:basedOn w:val="Normal"/>
    <w:rsid w:val="002831AB"/>
    <w:pPr>
      <w:widowControl w:val="0"/>
      <w:autoSpaceDE w:val="0"/>
      <w:autoSpaceDN w:val="0"/>
      <w:adjustRightInd w:val="0"/>
      <w:spacing w:before="100" w:beforeAutospacing="1" w:after="100" w:afterAutospacing="1" w:line="360" w:lineRule="atLeast"/>
      <w:jc w:val="both"/>
      <w:textAlignment w:val="baseline"/>
    </w:pPr>
    <w:rPr>
      <w:rFonts w:ascii="Arial Unicode MS" w:eastAsia="Arial Unicode MS" w:hAnsi="Times New Roman" w:cs="Arial Unicode MS"/>
      <w:lang w:val="en-US" w:eastAsia="es-AR"/>
    </w:rPr>
  </w:style>
  <w:style w:type="paragraph" w:customStyle="1" w:styleId="parai">
    <w:name w:val="para (i)"/>
    <w:basedOn w:val="Normal"/>
    <w:rsid w:val="002831AB"/>
    <w:pPr>
      <w:widowControl w:val="0"/>
      <w:numPr>
        <w:numId w:val="34"/>
      </w:numPr>
      <w:tabs>
        <w:tab w:val="clear" w:pos="2880"/>
        <w:tab w:val="num" w:pos="2340"/>
      </w:tabs>
      <w:autoSpaceDE w:val="0"/>
      <w:autoSpaceDN w:val="0"/>
      <w:adjustRightInd w:val="0"/>
      <w:spacing w:after="240" w:line="360" w:lineRule="atLeast"/>
      <w:ind w:left="2340"/>
      <w:jc w:val="both"/>
      <w:textAlignment w:val="baseline"/>
    </w:pPr>
    <w:rPr>
      <w:rFonts w:ascii="Book Antiqua" w:hAnsi="Book Antiqua"/>
      <w:sz w:val="22"/>
      <w:szCs w:val="22"/>
      <w:lang w:val="es-CO" w:eastAsia="es-AR"/>
    </w:rPr>
  </w:style>
  <w:style w:type="paragraph" w:customStyle="1" w:styleId="paraa">
    <w:name w:val="para a)"/>
    <w:basedOn w:val="Normal"/>
    <w:rsid w:val="002831AB"/>
    <w:pPr>
      <w:widowControl w:val="0"/>
      <w:tabs>
        <w:tab w:val="num" w:pos="927"/>
      </w:tabs>
      <w:autoSpaceDE w:val="0"/>
      <w:autoSpaceDN w:val="0"/>
      <w:adjustRightInd w:val="0"/>
      <w:spacing w:after="240" w:line="360" w:lineRule="atLeast"/>
      <w:ind w:left="927" w:hanging="360"/>
      <w:jc w:val="both"/>
      <w:textAlignment w:val="baseline"/>
    </w:pPr>
    <w:rPr>
      <w:rFonts w:ascii="Times New Roman" w:hAnsi="Times New Roman"/>
      <w:sz w:val="22"/>
      <w:szCs w:val="22"/>
      <w:lang w:val="es-CO" w:eastAsia="es-AR"/>
    </w:rPr>
  </w:style>
  <w:style w:type="paragraph" w:customStyle="1" w:styleId="LeftBold">
    <w:name w:val="Left Bold"/>
    <w:basedOn w:val="Normal"/>
    <w:rsid w:val="002831AB"/>
    <w:pPr>
      <w:keepNext/>
      <w:keepLines/>
      <w:widowControl w:val="0"/>
      <w:tabs>
        <w:tab w:val="left" w:pos="0"/>
      </w:tabs>
      <w:suppressAutoHyphens/>
      <w:autoSpaceDE w:val="0"/>
      <w:autoSpaceDN w:val="0"/>
      <w:adjustRightInd w:val="0"/>
      <w:spacing w:after="200" w:line="360" w:lineRule="atLeast"/>
      <w:jc w:val="both"/>
      <w:textAlignment w:val="baseline"/>
    </w:pPr>
    <w:rPr>
      <w:rFonts w:ascii="Times New Roman Bold" w:hAnsi="Times New Roman Bold"/>
      <w:b/>
      <w:bCs/>
      <w:color w:val="000000"/>
      <w:lang w:val="en-US" w:eastAsia="es-AR"/>
    </w:rPr>
  </w:style>
  <w:style w:type="paragraph" w:customStyle="1" w:styleId="Bold5">
    <w:name w:val="Bold .5"/>
    <w:basedOn w:val="Normal"/>
    <w:rsid w:val="002831AB"/>
    <w:pPr>
      <w:keepNext/>
      <w:widowControl w:val="0"/>
      <w:autoSpaceDE w:val="0"/>
      <w:autoSpaceDN w:val="0"/>
      <w:adjustRightInd w:val="0"/>
      <w:spacing w:after="200" w:line="360" w:lineRule="atLeast"/>
      <w:ind w:left="562"/>
      <w:jc w:val="both"/>
      <w:textAlignment w:val="baseline"/>
    </w:pPr>
    <w:rPr>
      <w:rFonts w:ascii="Times New Roman Bold" w:hAnsi="Times New Roman Bold"/>
      <w:b/>
      <w:bCs/>
      <w:sz w:val="22"/>
      <w:szCs w:val="22"/>
      <w:lang w:val="en-US" w:eastAsia="es-AR"/>
    </w:rPr>
  </w:style>
  <w:style w:type="paragraph" w:customStyle="1" w:styleId="riskfacor">
    <w:name w:val="risk facor"/>
    <w:basedOn w:val="TitleBoldItal"/>
    <w:rsid w:val="002831AB"/>
    <w:pPr>
      <w:widowControl w:val="0"/>
      <w:autoSpaceDE w:val="0"/>
      <w:autoSpaceDN w:val="0"/>
      <w:adjustRightInd w:val="0"/>
      <w:spacing w:after="240" w:line="240" w:lineRule="exact"/>
      <w:ind w:left="0" w:firstLine="539"/>
      <w:jc w:val="both"/>
      <w:textAlignment w:val="baseline"/>
    </w:pPr>
    <w:rPr>
      <w:rFonts w:eastAsia="Times New Roman"/>
      <w:sz w:val="21"/>
      <w:szCs w:val="21"/>
      <w:lang w:eastAsia="es-ES"/>
    </w:rPr>
  </w:style>
  <w:style w:type="paragraph" w:customStyle="1" w:styleId="riskfactors">
    <w:name w:val="risk factors"/>
    <w:basedOn w:val="riskfacor"/>
    <w:rsid w:val="002831AB"/>
  </w:style>
  <w:style w:type="paragraph" w:customStyle="1" w:styleId="CarCar4CarCarCarCar">
    <w:name w:val="Car Car4 Car Car Car Car"/>
    <w:basedOn w:val="Normal"/>
    <w:rsid w:val="002831AB"/>
    <w:pPr>
      <w:widowControl w:val="0"/>
      <w:autoSpaceDE w:val="0"/>
      <w:autoSpaceDN w:val="0"/>
      <w:adjustRightInd w:val="0"/>
      <w:spacing w:after="160" w:line="240" w:lineRule="exact"/>
      <w:jc w:val="both"/>
      <w:textAlignment w:val="baseline"/>
    </w:pPr>
    <w:rPr>
      <w:rFonts w:ascii="Verdana" w:eastAsia="PMingLiU" w:hAnsi="Verdana"/>
      <w:lang w:val="en-US" w:eastAsia="es-AR"/>
    </w:rPr>
  </w:style>
  <w:style w:type="character" w:customStyle="1" w:styleId="BodyText2SglCarCar1">
    <w:name w:val="Body Text 2 Sgl Car Car1"/>
    <w:rsid w:val="002831AB"/>
    <w:rPr>
      <w:sz w:val="24"/>
      <w:lang w:val="en-US" w:eastAsia="en-US"/>
    </w:rPr>
  </w:style>
  <w:style w:type="character" w:customStyle="1" w:styleId="footnotefakes1">
    <w:name w:val="footnote fakes1"/>
    <w:aliases w:val="ff Car1,footnote fakes Car Car"/>
    <w:rsid w:val="002831AB"/>
    <w:rPr>
      <w:sz w:val="16"/>
      <w:lang w:val="en-US" w:eastAsia="en-US"/>
    </w:rPr>
  </w:style>
  <w:style w:type="character" w:customStyle="1" w:styleId="bluetext1">
    <w:name w:val="bluetext1"/>
    <w:rsid w:val="002831AB"/>
    <w:rPr>
      <w:rFonts w:ascii="Verdana" w:hAnsi="Verdana"/>
      <w:color w:val="auto"/>
    </w:rPr>
  </w:style>
  <w:style w:type="paragraph" w:customStyle="1" w:styleId="CarCarCarCarCarCarCar">
    <w:name w:val="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CarCarCarCar">
    <w:name w:val="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CarCarCarCarCarCar1Car">
    <w:name w:val="Car Car Car Car Car Car Car Car Car Car Car Car1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5bullet0">
    <w:name w:val=".5 bullet"/>
    <w:basedOn w:val="Normal"/>
    <w:rsid w:val="002831AB"/>
    <w:pPr>
      <w:widowControl w:val="0"/>
      <w:tabs>
        <w:tab w:val="num" w:pos="365"/>
        <w:tab w:val="left" w:pos="1500"/>
      </w:tabs>
      <w:autoSpaceDE w:val="0"/>
      <w:autoSpaceDN w:val="0"/>
      <w:adjustRightInd w:val="0"/>
      <w:spacing w:after="240"/>
      <w:ind w:left="375" w:right="15" w:hanging="15"/>
    </w:pPr>
    <w:rPr>
      <w:rFonts w:ascii="Times New Roman" w:hAnsi="Times New Roman"/>
      <w:lang w:val="en-US" w:eastAsia="es-AR"/>
    </w:rPr>
  </w:style>
  <w:style w:type="paragraph" w:customStyle="1" w:styleId="rrdsinglerule">
    <w:name w:val="rrdsinglerule"/>
    <w:basedOn w:val="Normal"/>
    <w:next w:val="Normal"/>
    <w:rsid w:val="002831AB"/>
    <w:pPr>
      <w:pBdr>
        <w:top w:val="single" w:sz="8" w:space="1" w:color="auto"/>
      </w:pBdr>
      <w:autoSpaceDE w:val="0"/>
      <w:autoSpaceDN w:val="0"/>
      <w:adjustRightInd w:val="0"/>
      <w:spacing w:before="20" w:line="20" w:lineRule="exact"/>
      <w:jc w:val="center"/>
    </w:pPr>
    <w:rPr>
      <w:rFonts w:ascii="Times New Roman" w:hAnsi="Times New Roman"/>
      <w:sz w:val="8"/>
      <w:szCs w:val="8"/>
      <w:lang w:val="en-US" w:eastAsia="es-AR"/>
    </w:rPr>
  </w:style>
  <w:style w:type="paragraph" w:customStyle="1" w:styleId="la2">
    <w:name w:val="la2"/>
    <w:basedOn w:val="Normal"/>
    <w:next w:val="Normal"/>
    <w:rsid w:val="002831AB"/>
    <w:pPr>
      <w:autoSpaceDE w:val="0"/>
      <w:autoSpaceDN w:val="0"/>
      <w:adjustRightInd w:val="0"/>
      <w:spacing w:line="40" w:lineRule="exact"/>
    </w:pPr>
    <w:rPr>
      <w:rFonts w:ascii="Times New Roman" w:hAnsi="Times New Roman"/>
      <w:noProof/>
      <w:sz w:val="8"/>
      <w:szCs w:val="8"/>
      <w:lang w:val="en-US" w:eastAsia="es-AR"/>
    </w:rPr>
  </w:style>
  <w:style w:type="character" w:customStyle="1" w:styleId="opcionesverde1">
    <w:name w:val="opcionesverde1"/>
    <w:rsid w:val="002831AB"/>
    <w:rPr>
      <w:rFonts w:ascii="Trebuchet MS" w:hAnsi="Trebuchet MS"/>
      <w:sz w:val="18"/>
      <w:u w:val="none"/>
      <w:effect w:val="none"/>
    </w:rPr>
  </w:style>
  <w:style w:type="paragraph" w:customStyle="1" w:styleId="CarCar4CarCarCarCarCarCar">
    <w:name w:val="Car Car4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5leftbold">
    <w:name w:val=".5 left bold"/>
    <w:basedOn w:val="Normal"/>
    <w:rsid w:val="002831AB"/>
    <w:pPr>
      <w:autoSpaceDE w:val="0"/>
      <w:autoSpaceDN w:val="0"/>
      <w:adjustRightInd w:val="0"/>
      <w:spacing w:after="240"/>
      <w:ind w:left="720"/>
    </w:pPr>
    <w:rPr>
      <w:rFonts w:ascii="Times New Roman" w:hAnsi="Times New Roman"/>
      <w:b/>
      <w:bCs/>
      <w:lang w:val="en-US" w:eastAsia="es-AR"/>
    </w:rPr>
  </w:style>
  <w:style w:type="paragraph" w:customStyle="1" w:styleId="CarCar4CarCarCarCarCarCarCar">
    <w:name w:val="Car Car4 Car Car Car Car Car Car Car"/>
    <w:basedOn w:val="Normal"/>
    <w:rsid w:val="002831AB"/>
    <w:pPr>
      <w:widowControl w:val="0"/>
      <w:autoSpaceDE w:val="0"/>
      <w:autoSpaceDN w:val="0"/>
      <w:adjustRightInd w:val="0"/>
      <w:spacing w:after="160" w:line="240" w:lineRule="exact"/>
      <w:jc w:val="both"/>
      <w:textAlignment w:val="baseline"/>
    </w:pPr>
    <w:rPr>
      <w:rFonts w:ascii="Verdana" w:eastAsia="PMingLiU" w:hAnsi="Verdana"/>
      <w:lang w:val="en-US" w:eastAsia="es-AR"/>
    </w:rPr>
  </w:style>
  <w:style w:type="paragraph" w:customStyle="1" w:styleId="BodyText2SglCarCar3">
    <w:name w:val="Body Text 2 Sgl Car Car3"/>
    <w:basedOn w:val="Normal"/>
    <w:rsid w:val="002831AB"/>
    <w:pPr>
      <w:autoSpaceDE w:val="0"/>
      <w:autoSpaceDN w:val="0"/>
      <w:adjustRightInd w:val="0"/>
      <w:spacing w:after="240"/>
      <w:ind w:firstLine="720"/>
    </w:pPr>
    <w:rPr>
      <w:rFonts w:ascii="Times New Roman" w:hAnsi="Times New Roman"/>
      <w:sz w:val="22"/>
      <w:szCs w:val="22"/>
      <w:lang w:val="en-US" w:eastAsia="es-AR"/>
    </w:rPr>
  </w:style>
  <w:style w:type="paragraph" w:customStyle="1" w:styleId="CarCarCarCarCarCar1CarCarCarCarCarCarCarCarCarCarCarCarCarCarCar">
    <w:name w:val="Car Car Car Car Car Car1 Car Car Car Car Car 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BlockText5CharCar">
    <w:name w:val="Block Text .5 Char Car"/>
    <w:rsid w:val="002831AB"/>
    <w:rPr>
      <w:lang w:val="en-US" w:eastAsia="en-US"/>
    </w:rPr>
  </w:style>
  <w:style w:type="paragraph" w:customStyle="1" w:styleId="BlockText5Char">
    <w:name w:val="Block Text .5 Char"/>
    <w:basedOn w:val="Normal"/>
    <w:rsid w:val="002831AB"/>
    <w:pPr>
      <w:autoSpaceDE w:val="0"/>
      <w:autoSpaceDN w:val="0"/>
      <w:adjustRightInd w:val="0"/>
      <w:spacing w:line="480" w:lineRule="auto"/>
      <w:ind w:left="720" w:right="720"/>
    </w:pPr>
    <w:rPr>
      <w:rFonts w:ascii="Times New Roman" w:hAnsi="Times New Roman"/>
      <w:lang w:val="en-US" w:eastAsia="es-AR"/>
    </w:rPr>
  </w:style>
  <w:style w:type="paragraph" w:customStyle="1" w:styleId="6">
    <w:name w:val="6"/>
    <w:basedOn w:val="Normal"/>
    <w:next w:val="Sangradetextonormal"/>
    <w:rsid w:val="002831AB"/>
    <w:pPr>
      <w:autoSpaceDE w:val="0"/>
      <w:autoSpaceDN w:val="0"/>
      <w:adjustRightInd w:val="0"/>
      <w:spacing w:after="100" w:afterAutospacing="1"/>
      <w:ind w:firstLine="709"/>
      <w:jc w:val="both"/>
    </w:pPr>
    <w:rPr>
      <w:rFonts w:ascii="Times New Roman" w:hAnsi="Times New Roman"/>
      <w:sz w:val="16"/>
      <w:szCs w:val="16"/>
      <w:lang w:val="es-ES_tradnl" w:eastAsia="es-AR"/>
    </w:rPr>
  </w:style>
  <w:style w:type="character" w:customStyle="1" w:styleId="BodyText2SglCarCarCar">
    <w:name w:val="Body Text 2 Sgl Car Car Car"/>
    <w:rsid w:val="002831AB"/>
    <w:rPr>
      <w:sz w:val="24"/>
      <w:lang w:val="en-US" w:eastAsia="es-ES"/>
    </w:rPr>
  </w:style>
  <w:style w:type="paragraph" w:customStyle="1" w:styleId="cpcentertnr10">
    <w:name w:val="cpcenter tnr10"/>
    <w:basedOn w:val="Normal"/>
    <w:rsid w:val="002831AB"/>
    <w:pPr>
      <w:keepNext/>
      <w:overflowPunct w:val="0"/>
      <w:autoSpaceDE w:val="0"/>
      <w:autoSpaceDN w:val="0"/>
      <w:adjustRightInd w:val="0"/>
      <w:spacing w:after="240"/>
      <w:jc w:val="center"/>
      <w:textAlignment w:val="baseline"/>
    </w:pPr>
    <w:rPr>
      <w:rFonts w:ascii="Times New Roman" w:hAnsi="Times New Roman"/>
      <w:sz w:val="21"/>
      <w:szCs w:val="21"/>
      <w:lang w:val="en-US" w:eastAsia="es-AR"/>
    </w:rPr>
  </w:style>
  <w:style w:type="paragraph" w:customStyle="1" w:styleId="TextCarCar">
    <w:name w:val="Text Car Car"/>
    <w:basedOn w:val="Normal"/>
    <w:rsid w:val="002831AB"/>
    <w:pPr>
      <w:tabs>
        <w:tab w:val="num" w:pos="360"/>
      </w:tabs>
      <w:autoSpaceDE w:val="0"/>
      <w:autoSpaceDN w:val="0"/>
      <w:adjustRightInd w:val="0"/>
      <w:spacing w:after="240"/>
    </w:pPr>
    <w:rPr>
      <w:rFonts w:ascii="Times New Roman" w:hAnsi="Times New Roman"/>
      <w:lang w:val="en-US" w:eastAsia="es-AR"/>
    </w:rPr>
  </w:style>
  <w:style w:type="character" w:customStyle="1" w:styleId="TextCarCarCar">
    <w:name w:val="Text Car Car Car"/>
    <w:rsid w:val="002831AB"/>
    <w:rPr>
      <w:sz w:val="24"/>
      <w:lang w:val="en-US" w:eastAsia="en-US"/>
    </w:rPr>
  </w:style>
  <w:style w:type="paragraph" w:customStyle="1" w:styleId="Text0Car">
    <w:name w:val="Text 0 Car"/>
    <w:basedOn w:val="TextCarCar"/>
    <w:rsid w:val="002831AB"/>
    <w:pPr>
      <w:spacing w:after="120"/>
    </w:pPr>
  </w:style>
  <w:style w:type="character" w:customStyle="1" w:styleId="Text0CarCar">
    <w:name w:val="Text 0 Car Car"/>
    <w:rsid w:val="002831AB"/>
    <w:rPr>
      <w:sz w:val="24"/>
      <w:lang w:val="en-US" w:eastAsia="en-US"/>
    </w:rPr>
  </w:style>
  <w:style w:type="character" w:customStyle="1" w:styleId="table9pt1">
    <w:name w:val="table 9 pt"/>
    <w:rsid w:val="002831AB"/>
    <w:rPr>
      <w:sz w:val="18"/>
    </w:rPr>
  </w:style>
  <w:style w:type="paragraph" w:customStyle="1" w:styleId="BodyText2SglCarCarCarCar">
    <w:name w:val="Body Text 2 Sgl Car Car Car Car"/>
    <w:basedOn w:val="Normal"/>
    <w:rsid w:val="002831AB"/>
    <w:pPr>
      <w:autoSpaceDE w:val="0"/>
      <w:autoSpaceDN w:val="0"/>
      <w:adjustRightInd w:val="0"/>
      <w:spacing w:after="240"/>
      <w:ind w:firstLine="562"/>
    </w:pPr>
    <w:rPr>
      <w:rFonts w:ascii="Times New Roman" w:hAnsi="Times New Roman"/>
      <w:sz w:val="22"/>
      <w:szCs w:val="22"/>
      <w:lang w:val="en-US" w:eastAsia="es-AR"/>
    </w:rPr>
  </w:style>
  <w:style w:type="paragraph" w:customStyle="1" w:styleId="BlockText5Car">
    <w:name w:val="Block Text .5 Car"/>
    <w:basedOn w:val="Normal"/>
    <w:rsid w:val="002831AB"/>
    <w:pPr>
      <w:autoSpaceDE w:val="0"/>
      <w:autoSpaceDN w:val="0"/>
      <w:adjustRightInd w:val="0"/>
      <w:spacing w:line="480" w:lineRule="auto"/>
      <w:ind w:left="720" w:right="720"/>
    </w:pPr>
    <w:rPr>
      <w:rFonts w:ascii="Times New Roman" w:hAnsi="Times New Roman"/>
      <w:lang w:val="en-US" w:eastAsia="es-AR"/>
    </w:rPr>
  </w:style>
  <w:style w:type="paragraph" w:customStyle="1" w:styleId="BodyText2SglCarCar2">
    <w:name w:val="Body Text 2 Sgl Car Car2"/>
    <w:basedOn w:val="Normal"/>
    <w:rsid w:val="002831AB"/>
    <w:pPr>
      <w:autoSpaceDE w:val="0"/>
      <w:autoSpaceDN w:val="0"/>
      <w:adjustRightInd w:val="0"/>
      <w:spacing w:after="240"/>
      <w:ind w:firstLine="720"/>
    </w:pPr>
    <w:rPr>
      <w:rFonts w:ascii="Times New Roman" w:hAnsi="Times New Roman"/>
      <w:sz w:val="22"/>
      <w:szCs w:val="22"/>
      <w:lang w:val="en-US" w:eastAsia="es-AR"/>
    </w:rPr>
  </w:style>
  <w:style w:type="paragraph" w:customStyle="1" w:styleId="4">
    <w:name w:val="4"/>
    <w:basedOn w:val="Normal"/>
    <w:next w:val="Sangradetextonormal"/>
    <w:rsid w:val="002831AB"/>
    <w:pPr>
      <w:autoSpaceDE w:val="0"/>
      <w:autoSpaceDN w:val="0"/>
      <w:adjustRightInd w:val="0"/>
      <w:spacing w:after="100" w:afterAutospacing="1"/>
      <w:ind w:firstLine="709"/>
      <w:jc w:val="both"/>
    </w:pPr>
    <w:rPr>
      <w:rFonts w:ascii="Times New Roman" w:hAnsi="Times New Roman"/>
      <w:sz w:val="16"/>
      <w:szCs w:val="16"/>
      <w:lang w:val="es-ES_tradnl" w:eastAsia="es-AR"/>
    </w:rPr>
  </w:style>
  <w:style w:type="paragraph" w:customStyle="1" w:styleId="Text0">
    <w:name w:val="Text 0"/>
    <w:rsid w:val="002831AB"/>
    <w:pPr>
      <w:tabs>
        <w:tab w:val="num" w:pos="360"/>
      </w:tabs>
      <w:autoSpaceDE w:val="0"/>
      <w:autoSpaceDN w:val="0"/>
      <w:adjustRightInd w:val="0"/>
      <w:spacing w:after="120"/>
    </w:pPr>
    <w:rPr>
      <w:rFonts w:ascii="Times New Roman" w:hAnsi="Times New Roman"/>
      <w:lang w:val="en-US" w:eastAsia="es-AR"/>
    </w:rPr>
  </w:style>
  <w:style w:type="paragraph" w:customStyle="1" w:styleId="CarCar4CarCarCarCarCarCarCarCarCharChar">
    <w:name w:val="Car Car4 Car Car Car Car Car Car Car Car Char Ch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CarCarCarCarCarCarCarCar1Char">
    <w:name w:val="Car Car Car Car Car Car1 Car Car Car Car Car Car Car Car Car Car Car Car Car Car Car1 Ch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CarCarCar">
    <w:name w:val="Car Car Car Car Car Car1 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TextChar">
    <w:name w:val="Text Char"/>
    <w:rsid w:val="002831AB"/>
    <w:rPr>
      <w:sz w:val="24"/>
      <w:lang w:val="es-ES" w:eastAsia="es-ES"/>
    </w:rPr>
  </w:style>
  <w:style w:type="paragraph" w:customStyle="1" w:styleId="carcarcar0">
    <w:name w:val="car car car"/>
    <w:basedOn w:val="Ttulo2"/>
    <w:rsid w:val="002831AB"/>
    <w:pPr>
      <w:jc w:val="center"/>
    </w:pPr>
    <w:rPr>
      <w:rFonts w:ascii="Times New Roman" w:hAnsi="Times New Roman"/>
      <w:i/>
      <w:iCs/>
      <w:sz w:val="18"/>
      <w:szCs w:val="18"/>
    </w:rPr>
  </w:style>
  <w:style w:type="paragraph" w:customStyle="1" w:styleId="CarCarCarCarCarCar1CarCarCarCarCarCarCarCarCarCarCarCarCarCarCar1CarCarCarCar">
    <w:name w:val="Car Car Car Car Car Car1 Car Car Car Car Car Car Car Car Car Car Car Car Car Car Car1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Textoindependiente31">
    <w:name w:val="Texto independiente 31"/>
    <w:basedOn w:val="Normal"/>
    <w:rsid w:val="002831AB"/>
    <w:pPr>
      <w:widowControl w:val="0"/>
      <w:autoSpaceDE w:val="0"/>
      <w:autoSpaceDN w:val="0"/>
      <w:adjustRightInd w:val="0"/>
    </w:pPr>
    <w:rPr>
      <w:rFonts w:ascii="Times New Roman" w:hAnsi="Times New Roman"/>
      <w:b/>
      <w:sz w:val="14"/>
      <w:lang w:val="es-MX" w:eastAsia="es-AR"/>
    </w:rPr>
  </w:style>
  <w:style w:type="paragraph" w:customStyle="1" w:styleId="Textodeglobo3">
    <w:name w:val="Texto de globo3"/>
    <w:basedOn w:val="Normal"/>
    <w:rsid w:val="002831AB"/>
    <w:pPr>
      <w:autoSpaceDE w:val="0"/>
      <w:autoSpaceDN w:val="0"/>
      <w:adjustRightInd w:val="0"/>
    </w:pPr>
    <w:rPr>
      <w:rFonts w:ascii="Tahoma" w:hAnsi="Tahoma" w:cs="Tahoma"/>
      <w:sz w:val="16"/>
      <w:szCs w:val="16"/>
      <w:lang w:val="en-US" w:eastAsia="es-AR"/>
    </w:rPr>
  </w:style>
  <w:style w:type="paragraph" w:customStyle="1" w:styleId="Char2">
    <w:name w:val="Char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22">
    <w:name w:val="Car Car2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32">
    <w:name w:val="Car Car3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harCharCarCar2">
    <w:name w:val="Car Char Char Car Car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3">
    <w:name w:val="Car Car Car Car Car Car3"/>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2">
    <w:name w:val="Car Car Car Car Car Car1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2">
    <w:name w:val="Car Car Car Car Car Car1 Car Car Car Car Car Car Car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notaalpie">
    <w:name w:val="nota al pie"/>
    <w:basedOn w:val="Normal"/>
    <w:rsid w:val="002831AB"/>
    <w:pPr>
      <w:autoSpaceDE w:val="0"/>
      <w:autoSpaceDN w:val="0"/>
      <w:adjustRightInd w:val="0"/>
      <w:jc w:val="both"/>
    </w:pPr>
    <w:rPr>
      <w:rFonts w:ascii="Arial" w:hAnsi="Arial"/>
      <w:lang w:val="es-ES_tradnl" w:eastAsia="es-AR"/>
    </w:rPr>
  </w:style>
  <w:style w:type="paragraph" w:customStyle="1" w:styleId="companies0">
    <w:name w:val="companies"/>
    <w:basedOn w:val="Normal"/>
    <w:rsid w:val="002831AB"/>
    <w:pPr>
      <w:autoSpaceDE w:val="0"/>
      <w:autoSpaceDN w:val="0"/>
      <w:adjustRightInd w:val="0"/>
      <w:snapToGrid w:val="0"/>
    </w:pPr>
    <w:rPr>
      <w:rFonts w:ascii="Arial" w:hAnsi="Arial" w:cs="Arial"/>
      <w:b/>
      <w:bCs/>
      <w:lang w:val="en-US" w:eastAsia="es-AR"/>
    </w:rPr>
  </w:style>
  <w:style w:type="paragraph" w:customStyle="1" w:styleId="BFboldhead">
    <w:name w:val="_BFboldhead"/>
    <w:basedOn w:val="Normal"/>
    <w:rsid w:val="002831AB"/>
    <w:pPr>
      <w:keepNext/>
      <w:autoSpaceDE w:val="0"/>
      <w:autoSpaceDN w:val="0"/>
      <w:adjustRightInd w:val="0"/>
      <w:spacing w:after="240"/>
      <w:jc w:val="both"/>
    </w:pPr>
    <w:rPr>
      <w:rFonts w:ascii="Times New Roman" w:eastAsia="MS Mincho" w:hAnsi="Times New Roman"/>
      <w:b/>
      <w:bCs/>
      <w:sz w:val="18"/>
      <w:szCs w:val="18"/>
      <w:lang w:val="en-US" w:eastAsia="es-AR"/>
    </w:rPr>
  </w:style>
  <w:style w:type="character" w:customStyle="1" w:styleId="TableNotesChar">
    <w:name w:val="Table Notes Char"/>
    <w:rsid w:val="002831AB"/>
    <w:rPr>
      <w:sz w:val="17"/>
      <w:lang w:val="en-US" w:eastAsia="en-US"/>
    </w:rPr>
  </w:style>
  <w:style w:type="paragraph" w:customStyle="1" w:styleId="CarCarCarCarCarCarCarCarCarCarCarCar1CarCarCar1CarCarCarCarCarCarCarCarCarCar">
    <w:name w:val="Car Car Car Car Car Car Car Car Car Car Car Car1 Car Car Car1 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Heading2Char">
    <w:name w:val="Heading 2 Char"/>
    <w:aliases w:val="Tight Slug Char,Major Char,OPA Char"/>
    <w:locked/>
    <w:rsid w:val="002831AB"/>
    <w:rPr>
      <w:rFonts w:ascii="Arial" w:hAnsi="Arial"/>
      <w:b/>
      <w:i/>
      <w:sz w:val="28"/>
      <w:lang w:val="es-ES" w:eastAsia="es-ES"/>
    </w:rPr>
  </w:style>
  <w:style w:type="character" w:customStyle="1" w:styleId="Heading3Char">
    <w:name w:val="Heading 3 Char"/>
    <w:aliases w:val="Note to Director Char,TITULOS negrita Char"/>
    <w:locked/>
    <w:rsid w:val="002831AB"/>
    <w:rPr>
      <w:rFonts w:ascii="Arial" w:hAnsi="Arial"/>
      <w:b/>
      <w:sz w:val="26"/>
      <w:lang w:val="es-ES" w:eastAsia="es-ES"/>
    </w:rPr>
  </w:style>
  <w:style w:type="character" w:customStyle="1" w:styleId="Heading5Char">
    <w:name w:val="Heading 5 Char"/>
    <w:locked/>
    <w:rsid w:val="002831AB"/>
    <w:rPr>
      <w:rFonts w:ascii="Times New Roman" w:hAnsi="Times New Roman"/>
      <w:b/>
      <w:sz w:val="20"/>
      <w:lang w:val="es-ES" w:eastAsia="es-ES"/>
    </w:rPr>
  </w:style>
  <w:style w:type="character" w:customStyle="1" w:styleId="Heading6Char">
    <w:name w:val="Heading 6 Char"/>
    <w:locked/>
    <w:rsid w:val="002831AB"/>
    <w:rPr>
      <w:rFonts w:ascii="Times New Roman" w:hAnsi="Times New Roman"/>
      <w:b/>
      <w:lang w:val="es-ES" w:eastAsia="es-ES"/>
    </w:rPr>
  </w:style>
  <w:style w:type="character" w:customStyle="1" w:styleId="Heading7Char">
    <w:name w:val="Heading 7 Char"/>
    <w:locked/>
    <w:rsid w:val="002831AB"/>
    <w:rPr>
      <w:rFonts w:ascii="Times New Roman" w:hAnsi="Times New Roman"/>
      <w:b/>
      <w:sz w:val="20"/>
      <w:lang w:val="x-none" w:eastAsia="es-ES"/>
    </w:rPr>
  </w:style>
  <w:style w:type="character" w:customStyle="1" w:styleId="Heading8Char">
    <w:name w:val="Heading 8 Char"/>
    <w:locked/>
    <w:rsid w:val="002831AB"/>
    <w:rPr>
      <w:rFonts w:ascii="Times New Roman" w:hAnsi="Times New Roman"/>
      <w:b/>
      <w:sz w:val="16"/>
      <w:lang w:val="es-ES" w:eastAsia="es-ES"/>
    </w:rPr>
  </w:style>
  <w:style w:type="character" w:customStyle="1" w:styleId="Heading9Char">
    <w:name w:val="Heading 9 Char"/>
    <w:locked/>
    <w:rsid w:val="002831AB"/>
    <w:rPr>
      <w:rFonts w:ascii="Arial" w:hAnsi="Arial"/>
      <w:lang w:val="es-ES" w:eastAsia="es-ES"/>
    </w:rPr>
  </w:style>
  <w:style w:type="character" w:customStyle="1" w:styleId="Heading1Char1">
    <w:name w:val="Heading 1 Char1"/>
    <w:aliases w:val="Section Char1"/>
    <w:locked/>
    <w:rsid w:val="002831AB"/>
    <w:rPr>
      <w:rFonts w:ascii="Arial" w:hAnsi="Arial"/>
      <w:b/>
      <w:kern w:val="32"/>
      <w:sz w:val="32"/>
      <w:lang w:val="es-ES" w:eastAsia="es-ES"/>
    </w:rPr>
  </w:style>
  <w:style w:type="character" w:customStyle="1" w:styleId="Heading4Char1">
    <w:name w:val="Heading 4 Char1"/>
    <w:locked/>
    <w:rsid w:val="002831AB"/>
    <w:rPr>
      <w:rFonts w:ascii="Times New Roman" w:hAnsi="Times New Roman"/>
      <w:b/>
      <w:sz w:val="32"/>
      <w:lang w:val="es-MX" w:eastAsia="es-ES"/>
    </w:rPr>
  </w:style>
  <w:style w:type="character" w:customStyle="1" w:styleId="BodyText2Char">
    <w:name w:val="Body Text 2 Char"/>
    <w:locked/>
    <w:rsid w:val="002831AB"/>
    <w:rPr>
      <w:rFonts w:ascii="Times New Roman" w:hAnsi="Times New Roman"/>
      <w:sz w:val="24"/>
      <w:lang w:val="es-ES" w:eastAsia="es-ES"/>
    </w:rPr>
  </w:style>
  <w:style w:type="character" w:customStyle="1" w:styleId="HeaderChar">
    <w:name w:val="Header Char"/>
    <w:locked/>
    <w:rsid w:val="002831AB"/>
    <w:rPr>
      <w:rFonts w:ascii="Times New Roman" w:hAnsi="Times New Roman"/>
      <w:sz w:val="24"/>
      <w:lang w:val="es-ES" w:eastAsia="es-ES"/>
    </w:rPr>
  </w:style>
  <w:style w:type="character" w:customStyle="1" w:styleId="BodyTextChar">
    <w:name w:val="Body Text Char"/>
    <w:aliases w:val="bt Char,body text Char,Borrador Char2,b Char,Body Text1 Char,Btext Char,Bodytext Char,BT Char,bt wide Char,S&amp;S-First Line-1&quot; Char,Corpo de texto2 Char,Borrador Char"/>
    <w:locked/>
    <w:rsid w:val="002831AB"/>
    <w:rPr>
      <w:rFonts w:ascii="Times New Roman" w:hAnsi="Times New Roman"/>
      <w:sz w:val="24"/>
      <w:lang w:val="es-ES" w:eastAsia="es-ES"/>
    </w:rPr>
  </w:style>
  <w:style w:type="character" w:customStyle="1" w:styleId="BodyTextIndentChar">
    <w:name w:val="Body Text Indent Char"/>
    <w:locked/>
    <w:rsid w:val="002831AB"/>
    <w:rPr>
      <w:rFonts w:ascii="Times New Roman" w:hAnsi="Times New Roman"/>
      <w:b/>
      <w:sz w:val="20"/>
      <w:lang w:val="es-ES_tradnl" w:eastAsia="es-ES"/>
    </w:rPr>
  </w:style>
  <w:style w:type="character" w:customStyle="1" w:styleId="BodyTextIndent2Char">
    <w:name w:val="Body Text Indent 2 Char"/>
    <w:locked/>
    <w:rsid w:val="002831AB"/>
    <w:rPr>
      <w:rFonts w:ascii="Times New Roman" w:hAnsi="Times New Roman"/>
      <w:sz w:val="20"/>
      <w:lang w:val="es-ES_tradnl" w:eastAsia="es-ES"/>
    </w:rPr>
  </w:style>
  <w:style w:type="character" w:customStyle="1" w:styleId="BodyTextIndent3Char">
    <w:name w:val="Body Text Indent 3 Char"/>
    <w:locked/>
    <w:rsid w:val="002831AB"/>
    <w:rPr>
      <w:rFonts w:ascii="Times New Roman" w:hAnsi="Times New Roman"/>
      <w:sz w:val="20"/>
      <w:lang w:val="es-ES_tradnl" w:eastAsia="es-ES"/>
    </w:rPr>
  </w:style>
  <w:style w:type="character" w:customStyle="1" w:styleId="NoteHeadingChar">
    <w:name w:val="Note Heading Char"/>
    <w:locked/>
    <w:rsid w:val="002831AB"/>
    <w:rPr>
      <w:rFonts w:ascii="Times New Roman" w:hAnsi="Times New Roman"/>
      <w:lang w:val="en-US" w:eastAsia="x-none"/>
    </w:rPr>
  </w:style>
  <w:style w:type="character" w:customStyle="1" w:styleId="BodyText3Char">
    <w:name w:val="Body Text 3 Char"/>
    <w:locked/>
    <w:rsid w:val="002831AB"/>
    <w:rPr>
      <w:rFonts w:ascii="Times New Roman" w:hAnsi="Times New Roman"/>
      <w:sz w:val="20"/>
      <w:lang w:val="en-US" w:eastAsia="x-none"/>
    </w:rPr>
  </w:style>
  <w:style w:type="character" w:customStyle="1" w:styleId="DateChar">
    <w:name w:val="Date Char"/>
    <w:locked/>
    <w:rsid w:val="002831AB"/>
    <w:rPr>
      <w:rFonts w:ascii="Times New Roman" w:hAnsi="Times New Roman"/>
      <w:sz w:val="20"/>
      <w:lang w:val="en-US" w:eastAsia="x-none"/>
    </w:rPr>
  </w:style>
  <w:style w:type="character" w:customStyle="1" w:styleId="SalutationChar">
    <w:name w:val="Salutation Char"/>
    <w:locked/>
    <w:rsid w:val="002831AB"/>
    <w:rPr>
      <w:rFonts w:ascii="Times New Roman" w:hAnsi="Times New Roman"/>
      <w:sz w:val="20"/>
      <w:lang w:val="en-US" w:eastAsia="x-none"/>
    </w:rPr>
  </w:style>
  <w:style w:type="character" w:customStyle="1" w:styleId="BodyTextFirstIndent2Char">
    <w:name w:val="Body Text First Indent 2 Char"/>
    <w:locked/>
    <w:rsid w:val="002831AB"/>
    <w:rPr>
      <w:rFonts w:ascii="Times New Roman" w:hAnsi="Times New Roman"/>
      <w:b/>
      <w:sz w:val="20"/>
      <w:lang w:val="en-US" w:eastAsia="es-ES"/>
    </w:rPr>
  </w:style>
  <w:style w:type="character" w:customStyle="1" w:styleId="ClosingChar">
    <w:name w:val="Closing Char"/>
    <w:locked/>
    <w:rsid w:val="002831AB"/>
    <w:rPr>
      <w:rFonts w:ascii="Times New Roman" w:hAnsi="Times New Roman"/>
      <w:sz w:val="20"/>
      <w:lang w:val="en-US" w:eastAsia="x-none"/>
    </w:rPr>
  </w:style>
  <w:style w:type="character" w:customStyle="1" w:styleId="SubtitleChar">
    <w:name w:val="Subtitle Char"/>
    <w:locked/>
    <w:rsid w:val="002831AB"/>
    <w:rPr>
      <w:rFonts w:ascii="Times New Roman" w:hAnsi="Times New Roman"/>
      <w:sz w:val="20"/>
      <w:lang w:val="en-US" w:eastAsia="x-none"/>
    </w:rPr>
  </w:style>
  <w:style w:type="paragraph" w:customStyle="1" w:styleId="TOCHeading1">
    <w:name w:val="TOC Heading1"/>
    <w:basedOn w:val="Normal"/>
    <w:rsid w:val="002831AB"/>
    <w:pPr>
      <w:tabs>
        <w:tab w:val="left" w:pos="567"/>
      </w:tabs>
      <w:autoSpaceDE w:val="0"/>
      <w:autoSpaceDN w:val="0"/>
      <w:adjustRightInd w:val="0"/>
      <w:spacing w:after="240" w:line="240" w:lineRule="exact"/>
      <w:jc w:val="center"/>
    </w:pPr>
    <w:rPr>
      <w:rFonts w:ascii="Times New Roman" w:hAnsi="Times New Roman"/>
      <w:b/>
      <w:bCs/>
      <w:lang w:val="en-US" w:eastAsia="es-AR"/>
    </w:rPr>
  </w:style>
  <w:style w:type="character" w:customStyle="1" w:styleId="HTMLPreformattedChar">
    <w:name w:val="HTML Preformatted Char"/>
    <w:locked/>
    <w:rsid w:val="002831AB"/>
    <w:rPr>
      <w:rFonts w:ascii="Courier New" w:hAnsi="Courier New"/>
      <w:sz w:val="20"/>
      <w:lang w:val="es-ES" w:eastAsia="es-ES"/>
    </w:rPr>
  </w:style>
  <w:style w:type="character" w:customStyle="1" w:styleId="HTMLAddressChar">
    <w:name w:val="HTML Address Char"/>
    <w:locked/>
    <w:rsid w:val="002831AB"/>
    <w:rPr>
      <w:rFonts w:ascii="Times New Roman" w:hAnsi="Times New Roman"/>
      <w:i/>
      <w:sz w:val="20"/>
      <w:lang w:val="en-US" w:eastAsia="es-ES"/>
    </w:rPr>
  </w:style>
  <w:style w:type="character" w:customStyle="1" w:styleId="MessageHeaderChar">
    <w:name w:val="Message Header Char"/>
    <w:locked/>
    <w:rsid w:val="002831AB"/>
    <w:rPr>
      <w:rFonts w:ascii="Arial" w:hAnsi="Arial"/>
      <w:sz w:val="24"/>
      <w:shd w:val="pct20" w:color="auto" w:fill="auto"/>
      <w:lang w:val="en-US" w:eastAsia="es-ES"/>
    </w:rPr>
  </w:style>
  <w:style w:type="character" w:customStyle="1" w:styleId="SignatureChar">
    <w:name w:val="Signature Char"/>
    <w:locked/>
    <w:rsid w:val="002831AB"/>
    <w:rPr>
      <w:rFonts w:ascii="Times New Roman" w:hAnsi="Times New Roman"/>
      <w:sz w:val="20"/>
      <w:lang w:val="en-US" w:eastAsia="es-ES"/>
    </w:rPr>
  </w:style>
  <w:style w:type="character" w:customStyle="1" w:styleId="E-mailSignatureChar">
    <w:name w:val="E-mail Signature Char"/>
    <w:locked/>
    <w:rsid w:val="002831AB"/>
    <w:rPr>
      <w:rFonts w:ascii="Times New Roman" w:hAnsi="Times New Roman"/>
      <w:sz w:val="20"/>
      <w:lang w:val="en-US" w:eastAsia="es-ES"/>
    </w:rPr>
  </w:style>
  <w:style w:type="character" w:customStyle="1" w:styleId="PlainTextChar">
    <w:name w:val="Plain Text Char"/>
    <w:locked/>
    <w:rsid w:val="002831AB"/>
    <w:rPr>
      <w:rFonts w:ascii="Courier New" w:hAnsi="Courier New"/>
      <w:sz w:val="20"/>
      <w:lang w:val="en-US" w:eastAsia="es-ES"/>
    </w:rPr>
  </w:style>
  <w:style w:type="paragraph" w:customStyle="1" w:styleId="BodyText24">
    <w:name w:val="Body Text 24"/>
    <w:basedOn w:val="Normal"/>
    <w:rsid w:val="002831AB"/>
    <w:pPr>
      <w:widowControl w:val="0"/>
      <w:tabs>
        <w:tab w:val="left" w:pos="-720"/>
      </w:tabs>
      <w:autoSpaceDE w:val="0"/>
      <w:autoSpaceDN w:val="0"/>
      <w:adjustRightInd w:val="0"/>
      <w:jc w:val="both"/>
    </w:pPr>
    <w:rPr>
      <w:rFonts w:ascii="Times New Roman" w:hAnsi="Times New Roman"/>
      <w:b/>
      <w:lang w:val="es-ES_tradnl" w:eastAsia="es-AR"/>
    </w:rPr>
  </w:style>
  <w:style w:type="paragraph" w:customStyle="1" w:styleId="BodyTextIndent32">
    <w:name w:val="Body Text Indent 32"/>
    <w:basedOn w:val="Normal"/>
    <w:rsid w:val="002831AB"/>
    <w:pPr>
      <w:widowControl w:val="0"/>
      <w:autoSpaceDE w:val="0"/>
      <w:autoSpaceDN w:val="0"/>
      <w:adjustRightInd w:val="0"/>
      <w:ind w:firstLine="709"/>
      <w:jc w:val="both"/>
    </w:pPr>
    <w:rPr>
      <w:rFonts w:ascii="Times New Roman" w:hAnsi="Times New Roman"/>
      <w:lang w:val="es-ES_tradnl" w:eastAsia="es-AR"/>
    </w:rPr>
  </w:style>
  <w:style w:type="paragraph" w:customStyle="1" w:styleId="Char1">
    <w:name w:val="Ch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21">
    <w:name w:val="Car Car2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1">
    <w:name w:val="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31">
    <w:name w:val="Car Car3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harCharCarCar1">
    <w:name w:val="Car Char Char Car 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2">
    <w:name w:val="Car Car Car Car Car Car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1">
    <w:name w:val="Car Car Car Car Car Car1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1">
    <w:name w:val="Car Car Car Car Car Car1 Car Car Car Car Car Car Car1"/>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DPWfdPFChar">
    <w:name w:val="DPW fd PF Char"/>
    <w:aliases w:val="p Char,p Char Char,p Char1,f Char"/>
    <w:locked/>
    <w:rsid w:val="002831AB"/>
    <w:rPr>
      <w:lang w:val="en-US" w:eastAsia="es-ES"/>
    </w:rPr>
  </w:style>
  <w:style w:type="paragraph" w:customStyle="1" w:styleId="s1-11143">
    <w:name w:val="s1-11143"/>
    <w:basedOn w:val="Normal"/>
    <w:rsid w:val="002831AB"/>
    <w:pPr>
      <w:autoSpaceDE w:val="0"/>
      <w:autoSpaceDN w:val="0"/>
      <w:adjustRightInd w:val="0"/>
      <w:ind w:firstLine="284"/>
      <w:jc w:val="both"/>
    </w:pPr>
    <w:rPr>
      <w:rFonts w:ascii="Arial" w:hAnsi="Arial" w:cs="Arial"/>
      <w:lang w:val="en-US" w:eastAsia="es-AR"/>
    </w:rPr>
  </w:style>
  <w:style w:type="paragraph" w:customStyle="1" w:styleId="TableBody">
    <w:name w:val="Table Body"/>
    <w:basedOn w:val="Normal"/>
    <w:rsid w:val="002831AB"/>
    <w:pPr>
      <w:tabs>
        <w:tab w:val="left" w:pos="0"/>
      </w:tabs>
      <w:autoSpaceDE w:val="0"/>
      <w:autoSpaceDN w:val="0"/>
      <w:adjustRightInd w:val="0"/>
    </w:pPr>
    <w:rPr>
      <w:rFonts w:ascii="Arial" w:eastAsia="Arial Unicode MS" w:hAnsi="Arial"/>
      <w:sz w:val="18"/>
      <w:szCs w:val="18"/>
      <w:lang w:val="en-US" w:eastAsia="es-AR"/>
    </w:rPr>
  </w:style>
  <w:style w:type="character" w:customStyle="1" w:styleId="TableBodyCar">
    <w:name w:val="Table Body Car"/>
    <w:rsid w:val="002831AB"/>
    <w:rPr>
      <w:rFonts w:ascii="Arial" w:eastAsia="Arial Unicode MS" w:hAnsi="Arial"/>
      <w:sz w:val="18"/>
      <w:lang w:val="x-none" w:eastAsia="es-ES"/>
    </w:rPr>
  </w:style>
  <w:style w:type="paragraph" w:customStyle="1" w:styleId="TableHeader">
    <w:name w:val="Table Header"/>
    <w:basedOn w:val="Normal"/>
    <w:rsid w:val="002831AB"/>
    <w:pPr>
      <w:autoSpaceDE w:val="0"/>
      <w:autoSpaceDN w:val="0"/>
      <w:adjustRightInd w:val="0"/>
    </w:pPr>
    <w:rPr>
      <w:rFonts w:ascii="Arial" w:hAnsi="Arial"/>
      <w:b/>
      <w:sz w:val="18"/>
      <w:lang w:val="en-US" w:eastAsia="es-AR"/>
    </w:rPr>
  </w:style>
  <w:style w:type="character" w:customStyle="1" w:styleId="TableHeaderCar1">
    <w:name w:val="Table Header Car1"/>
    <w:rsid w:val="002831AB"/>
    <w:rPr>
      <w:rFonts w:ascii="Arial" w:hAnsi="Arial"/>
      <w:b/>
      <w:sz w:val="18"/>
      <w:lang w:val="x-none" w:eastAsia="es-ES"/>
    </w:rPr>
  </w:style>
  <w:style w:type="paragraph" w:customStyle="1" w:styleId="TableFoot">
    <w:name w:val="Table Foot"/>
    <w:basedOn w:val="Normal"/>
    <w:rsid w:val="002831AB"/>
    <w:pPr>
      <w:tabs>
        <w:tab w:val="left" w:pos="0"/>
      </w:tabs>
      <w:autoSpaceDE w:val="0"/>
      <w:autoSpaceDN w:val="0"/>
      <w:adjustRightInd w:val="0"/>
      <w:spacing w:before="120" w:after="120"/>
      <w:jc w:val="both"/>
    </w:pPr>
    <w:rPr>
      <w:rFonts w:ascii="Arial" w:eastAsia="Arial Unicode MS" w:hAnsi="Arial"/>
      <w:sz w:val="16"/>
      <w:szCs w:val="18"/>
      <w:lang w:val="en-US" w:eastAsia="es-AR"/>
    </w:rPr>
  </w:style>
  <w:style w:type="character" w:customStyle="1" w:styleId="TableFootCar">
    <w:name w:val="Table Foot Car"/>
    <w:rsid w:val="002831AB"/>
    <w:rPr>
      <w:rFonts w:ascii="Arial" w:eastAsia="Arial Unicode MS" w:hAnsi="Arial"/>
      <w:sz w:val="18"/>
      <w:lang w:val="x-none" w:eastAsia="es-ES"/>
    </w:rPr>
  </w:style>
  <w:style w:type="paragraph" w:customStyle="1" w:styleId="EstiloTabla">
    <w:name w:val="EstiloTabla"/>
    <w:basedOn w:val="Normal"/>
    <w:rsid w:val="002831AB"/>
    <w:pPr>
      <w:autoSpaceDE w:val="0"/>
      <w:autoSpaceDN w:val="0"/>
      <w:adjustRightInd w:val="0"/>
      <w:spacing w:line="280" w:lineRule="exact"/>
      <w:ind w:left="425" w:right="284"/>
      <w:jc w:val="both"/>
    </w:pPr>
    <w:rPr>
      <w:rFonts w:ascii="Arial" w:hAnsi="Arial"/>
      <w:sz w:val="16"/>
      <w:szCs w:val="16"/>
      <w:lang w:val="en-US" w:eastAsia="es-AR"/>
    </w:rPr>
  </w:style>
  <w:style w:type="character" w:customStyle="1" w:styleId="EstiloTablaCar">
    <w:name w:val="EstiloTabla Car"/>
    <w:locked/>
    <w:rsid w:val="002831AB"/>
    <w:rPr>
      <w:rFonts w:ascii="Arial" w:hAnsi="Arial"/>
      <w:sz w:val="16"/>
      <w:lang w:val="es-ES" w:eastAsia="es-ES"/>
    </w:rPr>
  </w:style>
  <w:style w:type="paragraph" w:customStyle="1" w:styleId="BodyTextFlush">
    <w:name w:val="Body Text Flush"/>
    <w:aliases w:val="bth"/>
    <w:basedOn w:val="Normal"/>
    <w:rsid w:val="002831AB"/>
    <w:pPr>
      <w:tabs>
        <w:tab w:val="left" w:pos="720"/>
      </w:tabs>
      <w:autoSpaceDE w:val="0"/>
      <w:autoSpaceDN w:val="0"/>
      <w:adjustRightInd w:val="0"/>
      <w:spacing w:after="240"/>
    </w:pPr>
    <w:rPr>
      <w:rFonts w:ascii="Times New Roman" w:eastAsia="Batang" w:hAnsi="Times New Roman"/>
      <w:lang w:val="en-US" w:eastAsia="es-AR"/>
    </w:rPr>
  </w:style>
  <w:style w:type="character" w:customStyle="1" w:styleId="Table7points">
    <w:name w:val="Table 7 points"/>
    <w:rsid w:val="002831AB"/>
    <w:rPr>
      <w:spacing w:val="0"/>
      <w:sz w:val="14"/>
    </w:rPr>
  </w:style>
  <w:style w:type="character" w:customStyle="1" w:styleId="blocktextboldChar">
    <w:name w:val="block text bold Char"/>
    <w:rsid w:val="002831AB"/>
    <w:rPr>
      <w:b/>
      <w:sz w:val="22"/>
      <w:lang w:val="en-US" w:eastAsia="en-US"/>
    </w:rPr>
  </w:style>
  <w:style w:type="paragraph" w:customStyle="1" w:styleId="TableNotes0after">
    <w:name w:val="Table Notes 0 after"/>
    <w:basedOn w:val="Normal"/>
    <w:rsid w:val="002831AB"/>
    <w:pPr>
      <w:widowControl w:val="0"/>
      <w:tabs>
        <w:tab w:val="left" w:pos="720"/>
      </w:tabs>
      <w:autoSpaceDE w:val="0"/>
      <w:autoSpaceDN w:val="0"/>
      <w:adjustRightInd w:val="0"/>
      <w:ind w:left="360" w:hanging="360"/>
    </w:pPr>
    <w:rPr>
      <w:rFonts w:ascii="Times New Roman" w:eastAsia="Batang" w:hAnsi="Times New Roman"/>
      <w:sz w:val="17"/>
      <w:szCs w:val="17"/>
      <w:lang w:val="en-US" w:eastAsia="es-AR"/>
    </w:rPr>
  </w:style>
  <w:style w:type="character" w:customStyle="1" w:styleId="EstndarChar">
    <w:name w:val="Estándar Char"/>
    <w:rsid w:val="002831AB"/>
    <w:rPr>
      <w:color w:val="000000"/>
      <w:lang w:val="es-ES" w:eastAsia="en-US"/>
    </w:rPr>
  </w:style>
  <w:style w:type="character" w:customStyle="1" w:styleId="Table9points">
    <w:name w:val="Table 9 points"/>
    <w:rsid w:val="002831AB"/>
    <w:rPr>
      <w:rFonts w:ascii="Times New Roman" w:hAnsi="Times New Roman"/>
      <w:spacing w:val="0"/>
      <w:sz w:val="18"/>
    </w:rPr>
  </w:style>
  <w:style w:type="paragraph" w:customStyle="1" w:styleId="lINE0">
    <w:name w:val="lINE"/>
    <w:basedOn w:val="BlockTextSgl"/>
    <w:rsid w:val="002831AB"/>
    <w:pPr>
      <w:tabs>
        <w:tab w:val="left" w:pos="720"/>
      </w:tabs>
      <w:spacing w:after="200"/>
    </w:pPr>
    <w:rPr>
      <w:rFonts w:eastAsia="Batang"/>
      <w:sz w:val="22"/>
    </w:rPr>
  </w:style>
  <w:style w:type="paragraph" w:customStyle="1" w:styleId="TitleItalic0">
    <w:name w:val="Title Italic"/>
    <w:basedOn w:val="Normal"/>
    <w:rsid w:val="002831AB"/>
    <w:pPr>
      <w:keepNext/>
      <w:widowControl w:val="0"/>
      <w:tabs>
        <w:tab w:val="left" w:pos="720"/>
      </w:tabs>
      <w:autoSpaceDE w:val="0"/>
      <w:autoSpaceDN w:val="0"/>
      <w:adjustRightInd w:val="0"/>
      <w:spacing w:after="240"/>
      <w:ind w:left="720"/>
    </w:pPr>
    <w:rPr>
      <w:rFonts w:ascii="Times New Roman" w:eastAsia="Batang" w:hAnsi="Times New Roman"/>
      <w:i/>
      <w:iCs/>
      <w:sz w:val="22"/>
      <w:lang w:val="en-US" w:eastAsia="es-AR"/>
    </w:rPr>
  </w:style>
  <w:style w:type="character" w:customStyle="1" w:styleId="Table11pts">
    <w:name w:val="Table 11pts"/>
    <w:rsid w:val="002831AB"/>
    <w:rPr>
      <w:sz w:val="22"/>
    </w:rPr>
  </w:style>
  <w:style w:type="character" w:customStyle="1" w:styleId="TextonotaalfinalCar1">
    <w:name w:val="Texto nota al final Car1"/>
    <w:rsid w:val="002831AB"/>
    <w:rPr>
      <w:rFonts w:ascii="Times New Roman" w:eastAsia="Batang" w:hAnsi="Times New Roman"/>
      <w:sz w:val="20"/>
      <w:lang w:val="en-US" w:eastAsia="x-none"/>
    </w:rPr>
  </w:style>
  <w:style w:type="paragraph" w:customStyle="1" w:styleId="DPWfdHDItalBold">
    <w:name w:val="DPWfd HD Ital Bold"/>
    <w:basedOn w:val="Normal"/>
    <w:next w:val="Normal"/>
    <w:rsid w:val="002831AB"/>
    <w:pPr>
      <w:keepNext/>
      <w:tabs>
        <w:tab w:val="left" w:pos="720"/>
      </w:tabs>
      <w:autoSpaceDE w:val="0"/>
      <w:autoSpaceDN w:val="0"/>
      <w:adjustRightInd w:val="0"/>
      <w:spacing w:after="200"/>
      <w:ind w:left="187"/>
    </w:pPr>
    <w:rPr>
      <w:rFonts w:ascii="Times New Roman" w:eastAsia="Batang" w:hAnsi="Times New Roman"/>
      <w:b/>
      <w:i/>
      <w:lang w:val="en-US" w:eastAsia="es-AR"/>
    </w:rPr>
  </w:style>
  <w:style w:type="paragraph" w:customStyle="1" w:styleId="EstiloMariano">
    <w:name w:val="Estilo Mariano"/>
    <w:rsid w:val="002831AB"/>
    <w:pPr>
      <w:spacing w:after="240"/>
      <w:ind w:firstLine="567"/>
      <w:jc w:val="both"/>
    </w:pPr>
    <w:rPr>
      <w:rFonts w:eastAsia="Batang"/>
      <w:sz w:val="22"/>
      <w:lang w:val="es-ES_tradnl" w:eastAsia="en-US"/>
    </w:rPr>
  </w:style>
  <w:style w:type="paragraph" w:customStyle="1" w:styleId="notes1">
    <w:name w:val="notes"/>
    <w:basedOn w:val="Normal"/>
    <w:rsid w:val="002831AB"/>
    <w:pPr>
      <w:tabs>
        <w:tab w:val="left" w:pos="720"/>
      </w:tabs>
      <w:autoSpaceDE w:val="0"/>
      <w:autoSpaceDN w:val="0"/>
      <w:adjustRightInd w:val="0"/>
      <w:spacing w:after="120"/>
      <w:ind w:left="360" w:hanging="360"/>
    </w:pPr>
    <w:rPr>
      <w:rFonts w:ascii="Times New Roman" w:eastAsia="Batang" w:hAnsi="Times New Roman"/>
      <w:sz w:val="17"/>
      <w:lang w:val="en-US" w:eastAsia="es-AR"/>
    </w:rPr>
  </w:style>
  <w:style w:type="paragraph" w:customStyle="1" w:styleId="OldHeading2">
    <w:name w:val="Old Heading 2"/>
    <w:basedOn w:val="Normal"/>
    <w:rsid w:val="002831AB"/>
    <w:pPr>
      <w:keepNext/>
      <w:widowControl w:val="0"/>
      <w:tabs>
        <w:tab w:val="left" w:pos="720"/>
      </w:tabs>
      <w:autoSpaceDE w:val="0"/>
      <w:autoSpaceDN w:val="0"/>
      <w:adjustRightInd w:val="0"/>
      <w:spacing w:after="240"/>
      <w:outlineLvl w:val="1"/>
    </w:pPr>
    <w:rPr>
      <w:rFonts w:ascii="Times New Roman" w:eastAsia="Batang" w:hAnsi="Times New Roman"/>
      <w:b/>
      <w:bCs/>
      <w:szCs w:val="28"/>
      <w:lang w:val="en-US" w:eastAsia="es-AR"/>
    </w:rPr>
  </w:style>
  <w:style w:type="paragraph" w:customStyle="1" w:styleId="TableBullet">
    <w:name w:val="Table Bullet"/>
    <w:basedOn w:val="Normal"/>
    <w:rsid w:val="002831AB"/>
    <w:pPr>
      <w:widowControl w:val="0"/>
      <w:tabs>
        <w:tab w:val="left" w:pos="720"/>
        <w:tab w:val="num" w:pos="1080"/>
      </w:tabs>
      <w:autoSpaceDE w:val="0"/>
      <w:autoSpaceDN w:val="0"/>
      <w:adjustRightInd w:val="0"/>
      <w:spacing w:after="120"/>
      <w:ind w:left="1080" w:hanging="360"/>
    </w:pPr>
    <w:rPr>
      <w:rFonts w:ascii="Times New Roman" w:eastAsia="Batang" w:hAnsi="Times New Roman"/>
      <w:sz w:val="16"/>
      <w:lang w:val="en-US" w:eastAsia="es-AR"/>
    </w:rPr>
  </w:style>
  <w:style w:type="paragraph" w:customStyle="1" w:styleId="TableBullet2">
    <w:name w:val="Table Bullet 2"/>
    <w:basedOn w:val="Normal"/>
    <w:rsid w:val="002831AB"/>
    <w:pPr>
      <w:widowControl w:val="0"/>
      <w:tabs>
        <w:tab w:val="num" w:pos="720"/>
      </w:tabs>
      <w:autoSpaceDE w:val="0"/>
      <w:autoSpaceDN w:val="0"/>
      <w:adjustRightInd w:val="0"/>
      <w:spacing w:after="200"/>
      <w:ind w:left="360"/>
    </w:pPr>
    <w:rPr>
      <w:rFonts w:ascii="Times New Roman" w:eastAsia="Batang" w:hAnsi="Times New Roman"/>
      <w:lang w:val="en-US" w:eastAsia="es-AR"/>
    </w:rPr>
  </w:style>
  <w:style w:type="paragraph" w:customStyle="1" w:styleId="Hdg">
    <w:name w:val="Hdg"/>
    <w:basedOn w:val="Normal"/>
    <w:rsid w:val="002831AB"/>
    <w:pPr>
      <w:widowControl w:val="0"/>
      <w:tabs>
        <w:tab w:val="left" w:pos="0"/>
        <w:tab w:val="left" w:pos="720"/>
      </w:tabs>
      <w:suppressAutoHyphens/>
      <w:autoSpaceDE w:val="0"/>
      <w:autoSpaceDN w:val="0"/>
      <w:adjustRightInd w:val="0"/>
      <w:spacing w:after="240" w:line="240" w:lineRule="atLeast"/>
      <w:jc w:val="center"/>
    </w:pPr>
    <w:rPr>
      <w:rFonts w:ascii="Times New Roman" w:eastAsia="Batang" w:hAnsi="Times New Roman"/>
      <w:b/>
      <w:bCs/>
      <w:smallCaps/>
      <w:color w:val="000000"/>
      <w:lang w:val="en-US" w:eastAsia="es-AR"/>
    </w:rPr>
  </w:style>
  <w:style w:type="character" w:customStyle="1" w:styleId="Table10points">
    <w:name w:val="Table 10 points"/>
    <w:rsid w:val="002831AB"/>
    <w:rPr>
      <w:sz w:val="20"/>
    </w:rPr>
  </w:style>
  <w:style w:type="paragraph" w:customStyle="1" w:styleId="FlushRightB">
    <w:name w:val="Flush Right B"/>
    <w:basedOn w:val="Normal"/>
    <w:rsid w:val="002831AB"/>
    <w:pPr>
      <w:widowControl w:val="0"/>
      <w:tabs>
        <w:tab w:val="left" w:pos="0"/>
        <w:tab w:val="left" w:pos="720"/>
      </w:tabs>
      <w:suppressAutoHyphens/>
      <w:autoSpaceDE w:val="0"/>
      <w:autoSpaceDN w:val="0"/>
      <w:adjustRightInd w:val="0"/>
      <w:spacing w:after="159" w:line="240" w:lineRule="atLeast"/>
      <w:jc w:val="right"/>
    </w:pPr>
    <w:rPr>
      <w:rFonts w:ascii="Times New Roman" w:eastAsia="Batang" w:hAnsi="Times New Roman"/>
      <w:b/>
      <w:bCs/>
      <w:color w:val="000000"/>
      <w:lang w:val="en-US" w:eastAsia="es-AR"/>
    </w:rPr>
  </w:style>
  <w:style w:type="paragraph" w:customStyle="1" w:styleId="FlushRightB2">
    <w:name w:val="Flush Right B2"/>
    <w:basedOn w:val="Normal"/>
    <w:rsid w:val="002831AB"/>
    <w:pPr>
      <w:widowControl w:val="0"/>
      <w:tabs>
        <w:tab w:val="left" w:pos="720"/>
      </w:tabs>
      <w:suppressAutoHyphens/>
      <w:autoSpaceDE w:val="0"/>
      <w:autoSpaceDN w:val="0"/>
      <w:adjustRightInd w:val="0"/>
      <w:spacing w:line="240" w:lineRule="atLeast"/>
      <w:jc w:val="right"/>
    </w:pPr>
    <w:rPr>
      <w:rFonts w:ascii="Times New Roman" w:eastAsia="Batang" w:hAnsi="Times New Roman"/>
      <w:b/>
      <w:bCs/>
      <w:lang w:val="en-US" w:eastAsia="es-AR"/>
    </w:rPr>
  </w:style>
  <w:style w:type="paragraph" w:customStyle="1" w:styleId="CenteredB16">
    <w:name w:val="Centered B16"/>
    <w:basedOn w:val="Normal"/>
    <w:rsid w:val="002831AB"/>
    <w:pPr>
      <w:framePr w:w="9300" w:wrap="auto" w:vAnchor="text" w:hAnchor="margin" w:x="31" w:y="1"/>
      <w:widowControl w:val="0"/>
      <w:pBdr>
        <w:top w:val="double" w:sz="6" w:space="0" w:color="auto"/>
        <w:bottom w:val="single" w:sz="2" w:space="0" w:color="FFFFFF"/>
      </w:pBdr>
      <w:tabs>
        <w:tab w:val="left" w:pos="-720"/>
        <w:tab w:val="left" w:pos="720"/>
      </w:tabs>
      <w:suppressAutoHyphens/>
      <w:autoSpaceDE w:val="0"/>
      <w:autoSpaceDN w:val="0"/>
      <w:adjustRightInd w:val="0"/>
      <w:spacing w:line="240" w:lineRule="atLeast"/>
      <w:jc w:val="center"/>
    </w:pPr>
    <w:rPr>
      <w:rFonts w:ascii="Times New Roman" w:eastAsia="Batang" w:hAnsi="Times New Roman"/>
      <w:b/>
      <w:bCs/>
      <w:sz w:val="32"/>
      <w:szCs w:val="32"/>
      <w:lang w:val="en-US" w:eastAsia="es-AR"/>
    </w:rPr>
  </w:style>
  <w:style w:type="paragraph" w:customStyle="1" w:styleId="CenteredB14">
    <w:name w:val="Centered B 14"/>
    <w:basedOn w:val="Normal"/>
    <w:rsid w:val="002831AB"/>
    <w:pPr>
      <w:widowControl w:val="0"/>
      <w:tabs>
        <w:tab w:val="left" w:pos="720"/>
      </w:tabs>
      <w:suppressAutoHyphens/>
      <w:autoSpaceDE w:val="0"/>
      <w:autoSpaceDN w:val="0"/>
      <w:adjustRightInd w:val="0"/>
      <w:spacing w:after="158" w:line="240" w:lineRule="atLeast"/>
      <w:jc w:val="center"/>
    </w:pPr>
    <w:rPr>
      <w:rFonts w:ascii="Times New Roman" w:eastAsia="Batang" w:hAnsi="Times New Roman"/>
      <w:b/>
      <w:bCs/>
      <w:sz w:val="28"/>
      <w:szCs w:val="28"/>
      <w:lang w:val="en-US" w:eastAsia="es-AR"/>
    </w:rPr>
  </w:style>
  <w:style w:type="paragraph" w:customStyle="1" w:styleId="List4b">
    <w:name w:val="List 4b"/>
    <w:basedOn w:val="Lista4"/>
    <w:rsid w:val="002831AB"/>
    <w:pPr>
      <w:widowControl w:val="0"/>
      <w:tabs>
        <w:tab w:val="left" w:pos="720"/>
      </w:tabs>
      <w:autoSpaceDE w:val="0"/>
      <w:autoSpaceDN w:val="0"/>
      <w:adjustRightInd w:val="0"/>
      <w:spacing w:after="240"/>
      <w:ind w:hanging="720"/>
    </w:pPr>
    <w:rPr>
      <w:rFonts w:eastAsia="Batang"/>
      <w:szCs w:val="20"/>
    </w:rPr>
  </w:style>
  <w:style w:type="paragraph" w:customStyle="1" w:styleId="OldHeading1">
    <w:name w:val="Old Heading 1"/>
    <w:basedOn w:val="Normal"/>
    <w:rsid w:val="002831AB"/>
    <w:pPr>
      <w:keepNext/>
      <w:keepLines/>
      <w:widowControl w:val="0"/>
      <w:tabs>
        <w:tab w:val="left" w:pos="0"/>
        <w:tab w:val="left" w:pos="720"/>
      </w:tabs>
      <w:suppressAutoHyphens/>
      <w:autoSpaceDE w:val="0"/>
      <w:autoSpaceDN w:val="0"/>
      <w:adjustRightInd w:val="0"/>
      <w:spacing w:after="240" w:line="240" w:lineRule="atLeast"/>
      <w:jc w:val="center"/>
    </w:pPr>
    <w:rPr>
      <w:rFonts w:ascii="Times New Roman" w:eastAsia="Batang" w:hAnsi="Times New Roman"/>
      <w:b/>
      <w:bCs/>
      <w:color w:val="000000"/>
      <w:sz w:val="18"/>
      <w:szCs w:val="18"/>
      <w:lang w:val="en-US" w:eastAsia="es-AR"/>
    </w:rPr>
  </w:style>
  <w:style w:type="paragraph" w:customStyle="1" w:styleId="center8">
    <w:name w:val="center8"/>
    <w:basedOn w:val="Normal"/>
    <w:rsid w:val="002831AB"/>
    <w:pPr>
      <w:widowControl w:val="0"/>
      <w:tabs>
        <w:tab w:val="left" w:pos="720"/>
      </w:tabs>
      <w:suppressAutoHyphens/>
      <w:autoSpaceDE w:val="0"/>
      <w:autoSpaceDN w:val="0"/>
      <w:adjustRightInd w:val="0"/>
      <w:spacing w:after="120" w:line="240" w:lineRule="atLeast"/>
      <w:jc w:val="center"/>
    </w:pPr>
    <w:rPr>
      <w:rFonts w:ascii="Times New Roman" w:eastAsia="Batang" w:hAnsi="Times New Roman"/>
      <w:sz w:val="16"/>
      <w:szCs w:val="16"/>
      <w:lang w:val="en-US" w:eastAsia="es-AR"/>
    </w:rPr>
  </w:style>
  <w:style w:type="paragraph" w:customStyle="1" w:styleId="LeftBoldItal">
    <w:name w:val="Left Bold Ital"/>
    <w:basedOn w:val="Normal"/>
    <w:rsid w:val="002831AB"/>
    <w:pPr>
      <w:widowControl w:val="0"/>
      <w:tabs>
        <w:tab w:val="left" w:pos="720"/>
      </w:tabs>
      <w:autoSpaceDE w:val="0"/>
      <w:autoSpaceDN w:val="0"/>
      <w:adjustRightInd w:val="0"/>
      <w:spacing w:after="200"/>
    </w:pPr>
    <w:rPr>
      <w:rFonts w:ascii="Times New Roman Bold" w:eastAsia="Batang" w:hAnsi="Times New Roman Bold"/>
      <w:b/>
      <w:i/>
      <w:lang w:val="en-US" w:eastAsia="es-AR"/>
    </w:rPr>
  </w:style>
  <w:style w:type="paragraph" w:customStyle="1" w:styleId="List10">
    <w:name w:val="List (1)"/>
    <w:basedOn w:val="Normal"/>
    <w:rsid w:val="002831AB"/>
    <w:pPr>
      <w:widowControl w:val="0"/>
      <w:tabs>
        <w:tab w:val="left" w:pos="720"/>
      </w:tabs>
      <w:suppressAutoHyphens/>
      <w:autoSpaceDE w:val="0"/>
      <w:autoSpaceDN w:val="0"/>
      <w:adjustRightInd w:val="0"/>
      <w:spacing w:after="200"/>
      <w:ind w:left="720" w:firstLine="720"/>
    </w:pPr>
    <w:rPr>
      <w:rFonts w:ascii="Times New Roman" w:eastAsia="Batang" w:hAnsi="Times New Roman"/>
      <w:color w:val="000000"/>
      <w:lang w:val="en-US" w:eastAsia="es-AR"/>
    </w:rPr>
  </w:style>
  <w:style w:type="paragraph" w:customStyle="1" w:styleId="Sample">
    <w:name w:val="Sample"/>
    <w:basedOn w:val="Normal"/>
    <w:rsid w:val="002831AB"/>
    <w:pPr>
      <w:widowControl w:val="0"/>
      <w:tabs>
        <w:tab w:val="left" w:pos="720"/>
        <w:tab w:val="left" w:pos="4600"/>
      </w:tabs>
      <w:suppressAutoHyphens/>
      <w:autoSpaceDE w:val="0"/>
      <w:autoSpaceDN w:val="0"/>
      <w:adjustRightInd w:val="0"/>
      <w:spacing w:after="240" w:line="240" w:lineRule="atLeast"/>
    </w:pPr>
    <w:rPr>
      <w:rFonts w:ascii="Times New Roman" w:eastAsia="Batang" w:hAnsi="Times New Roman"/>
      <w:color w:val="000000"/>
      <w:lang w:val="en-US" w:eastAsia="es-AR"/>
    </w:rPr>
  </w:style>
  <w:style w:type="paragraph" w:customStyle="1" w:styleId="Indent4">
    <w:name w:val="Indent4"/>
    <w:basedOn w:val="Normal"/>
    <w:rsid w:val="002831AB"/>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autoSpaceDE w:val="0"/>
      <w:autoSpaceDN w:val="0"/>
      <w:adjustRightInd w:val="0"/>
      <w:spacing w:after="200"/>
      <w:ind w:left="5760"/>
    </w:pPr>
    <w:rPr>
      <w:rFonts w:ascii="Times New Roman Bold" w:eastAsia="Batang" w:hAnsi="Times New Roman Bold"/>
      <w:b/>
      <w:bCs/>
      <w:color w:val="000000"/>
      <w:lang w:val="en-US" w:eastAsia="es-AR"/>
    </w:rPr>
  </w:style>
  <w:style w:type="paragraph" w:customStyle="1" w:styleId="ListNum1">
    <w:name w:val="List Num 1."/>
    <w:basedOn w:val="Normal"/>
    <w:rsid w:val="002831AB"/>
    <w:pPr>
      <w:widowControl w:val="0"/>
      <w:tabs>
        <w:tab w:val="num" w:pos="720"/>
      </w:tabs>
      <w:suppressAutoHyphens/>
      <w:autoSpaceDE w:val="0"/>
      <w:autoSpaceDN w:val="0"/>
      <w:adjustRightInd w:val="0"/>
      <w:spacing w:after="240" w:line="240" w:lineRule="atLeast"/>
      <w:ind w:left="720" w:hanging="720"/>
    </w:pPr>
    <w:rPr>
      <w:rFonts w:ascii="Times New Roman" w:eastAsia="Batang" w:hAnsi="Times New Roman"/>
      <w:color w:val="000000"/>
      <w:lang w:val="en-US" w:eastAsia="es-AR"/>
    </w:rPr>
  </w:style>
  <w:style w:type="paragraph" w:customStyle="1" w:styleId="HangMargin">
    <w:name w:val="Hang Margin"/>
    <w:basedOn w:val="Normal"/>
    <w:rsid w:val="002831AB"/>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autoSpaceDE w:val="0"/>
      <w:autoSpaceDN w:val="0"/>
      <w:adjustRightInd w:val="0"/>
      <w:spacing w:line="240" w:lineRule="atLeast"/>
      <w:ind w:left="720" w:hanging="720"/>
    </w:pPr>
    <w:rPr>
      <w:rFonts w:ascii="Times New Roman" w:eastAsia="Batang" w:hAnsi="Times New Roman"/>
      <w:color w:val="000000"/>
      <w:lang w:val="en-US" w:eastAsia="es-AR"/>
    </w:rPr>
  </w:style>
  <w:style w:type="paragraph" w:customStyle="1" w:styleId="Indenta">
    <w:name w:val="Indent (a)"/>
    <w:basedOn w:val="Normal"/>
    <w:rsid w:val="002831AB"/>
    <w:pPr>
      <w:keepLines/>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autoSpaceDE w:val="0"/>
      <w:autoSpaceDN w:val="0"/>
      <w:adjustRightInd w:val="0"/>
      <w:spacing w:after="200"/>
      <w:ind w:left="720"/>
    </w:pPr>
    <w:rPr>
      <w:rFonts w:ascii="Times New Roman" w:eastAsia="Batang" w:hAnsi="Times New Roman"/>
      <w:color w:val="000000"/>
      <w:lang w:val="en-US" w:eastAsia="es-AR"/>
    </w:rPr>
  </w:style>
  <w:style w:type="character" w:customStyle="1" w:styleId="Table8points">
    <w:name w:val="Table 8 points"/>
    <w:rsid w:val="002831AB"/>
    <w:rPr>
      <w:rFonts w:ascii="Times New Roman" w:hAnsi="Times New Roman"/>
      <w:spacing w:val="0"/>
      <w:sz w:val="18"/>
    </w:rPr>
  </w:style>
  <w:style w:type="paragraph" w:customStyle="1" w:styleId="Page0">
    <w:name w:val="Page"/>
    <w:basedOn w:val="Normal"/>
    <w:rsid w:val="002831AB"/>
    <w:pPr>
      <w:widowControl w:val="0"/>
      <w:tabs>
        <w:tab w:val="left" w:pos="720"/>
      </w:tabs>
      <w:autoSpaceDE w:val="0"/>
      <w:autoSpaceDN w:val="0"/>
      <w:adjustRightInd w:val="0"/>
    </w:pPr>
    <w:rPr>
      <w:rFonts w:ascii="Times New Roman" w:eastAsia="Batang" w:hAnsi="Times New Roman"/>
      <w:lang w:val="en-US" w:eastAsia="es-AR"/>
    </w:rPr>
  </w:style>
  <w:style w:type="paragraph" w:customStyle="1" w:styleId="CPTablePara">
    <w:name w:val="CPTablePara"/>
    <w:basedOn w:val="CPTableText"/>
    <w:rsid w:val="002831AB"/>
    <w:pPr>
      <w:tabs>
        <w:tab w:val="clear" w:pos="567"/>
        <w:tab w:val="left" w:pos="720"/>
      </w:tabs>
      <w:spacing w:after="60" w:line="240" w:lineRule="auto"/>
      <w:ind w:firstLine="720"/>
      <w:jc w:val="left"/>
    </w:pPr>
    <w:rPr>
      <w:rFonts w:eastAsia="Batang"/>
      <w:sz w:val="16"/>
      <w:szCs w:val="20"/>
      <w:lang w:eastAsia="en-US"/>
    </w:rPr>
  </w:style>
  <w:style w:type="paragraph" w:customStyle="1" w:styleId="25hanging">
    <w:name w:val=".25 hanging"/>
    <w:basedOn w:val="Normal"/>
    <w:rsid w:val="002831AB"/>
    <w:pPr>
      <w:tabs>
        <w:tab w:val="left" w:pos="720"/>
        <w:tab w:val="num" w:pos="1440"/>
      </w:tabs>
      <w:autoSpaceDE w:val="0"/>
      <w:autoSpaceDN w:val="0"/>
      <w:adjustRightInd w:val="0"/>
      <w:spacing w:after="240"/>
      <w:ind w:left="1440" w:hanging="720"/>
    </w:pPr>
    <w:rPr>
      <w:rFonts w:ascii="Times New Roman" w:eastAsia="Batang" w:hAnsi="Times New Roman"/>
      <w:lang w:val="en-US" w:eastAsia="es-AR"/>
    </w:rPr>
  </w:style>
  <w:style w:type="paragraph" w:customStyle="1" w:styleId="SECBoldItalicTitle">
    <w:name w:val="SEC Bold Italic Title"/>
    <w:basedOn w:val="Normal"/>
    <w:next w:val="Normal"/>
    <w:rsid w:val="002831AB"/>
    <w:pPr>
      <w:keepNext/>
      <w:keepLines/>
      <w:tabs>
        <w:tab w:val="left" w:pos="720"/>
      </w:tabs>
      <w:autoSpaceDE w:val="0"/>
      <w:autoSpaceDN w:val="0"/>
      <w:adjustRightInd w:val="0"/>
      <w:spacing w:after="120" w:line="200" w:lineRule="exact"/>
    </w:pPr>
    <w:rPr>
      <w:rFonts w:ascii="Times New Roman" w:eastAsia="Batang" w:hAnsi="Times New Roman"/>
      <w:b/>
      <w:i/>
      <w:lang w:val="en-US" w:eastAsia="es-AR"/>
    </w:rPr>
  </w:style>
  <w:style w:type="paragraph" w:customStyle="1" w:styleId="SECBodyText">
    <w:name w:val="SEC Body Text"/>
    <w:basedOn w:val="Normal"/>
    <w:rsid w:val="002831AB"/>
    <w:pPr>
      <w:tabs>
        <w:tab w:val="left" w:pos="720"/>
      </w:tabs>
      <w:autoSpaceDE w:val="0"/>
      <w:autoSpaceDN w:val="0"/>
      <w:adjustRightInd w:val="0"/>
      <w:spacing w:after="200"/>
      <w:ind w:firstLine="360"/>
    </w:pPr>
    <w:rPr>
      <w:rFonts w:ascii="Times New Roman" w:eastAsia="Batang" w:hAnsi="Times New Roman"/>
      <w:lang w:val="en-US" w:eastAsia="es-AR"/>
    </w:rPr>
  </w:style>
  <w:style w:type="paragraph" w:customStyle="1" w:styleId="italbold">
    <w:name w:val="italbold"/>
    <w:basedOn w:val="Normal"/>
    <w:rsid w:val="002831AB"/>
    <w:pPr>
      <w:keepNext/>
      <w:tabs>
        <w:tab w:val="left" w:pos="720"/>
      </w:tabs>
      <w:autoSpaceDE w:val="0"/>
      <w:autoSpaceDN w:val="0"/>
      <w:adjustRightInd w:val="0"/>
      <w:spacing w:after="240"/>
    </w:pPr>
    <w:rPr>
      <w:rFonts w:ascii="Times New Roman" w:eastAsia="Batang" w:hAnsi="Times New Roman"/>
      <w:b/>
      <w:bCs/>
      <w:i/>
      <w:lang w:val="en-US" w:eastAsia="es-AR"/>
    </w:rPr>
  </w:style>
  <w:style w:type="character" w:customStyle="1" w:styleId="italboldChar">
    <w:name w:val="italbold Char"/>
    <w:rsid w:val="002831AB"/>
    <w:rPr>
      <w:b/>
      <w:i/>
      <w:lang w:val="en-US" w:eastAsia="en-US"/>
    </w:rPr>
  </w:style>
  <w:style w:type="paragraph" w:customStyle="1" w:styleId="BodyTextBold0">
    <w:name w:val="Body Text Bold"/>
    <w:basedOn w:val="Normal"/>
    <w:rsid w:val="002831AB"/>
    <w:pPr>
      <w:keepNext/>
      <w:tabs>
        <w:tab w:val="left" w:pos="720"/>
      </w:tabs>
      <w:autoSpaceDE w:val="0"/>
      <w:autoSpaceDN w:val="0"/>
      <w:adjustRightInd w:val="0"/>
      <w:spacing w:after="160"/>
    </w:pPr>
    <w:rPr>
      <w:rFonts w:ascii="Frutiger LT 45 Light" w:eastAsia="Batang" w:hAnsi="Frutiger LT 45 Light"/>
      <w:b/>
      <w:lang w:val="en-US" w:eastAsia="es-AR"/>
    </w:rPr>
  </w:style>
  <w:style w:type="paragraph" w:customStyle="1" w:styleId="TABLE8PT2">
    <w:name w:val="TABLE8PT"/>
    <w:basedOn w:val="Normal"/>
    <w:rsid w:val="002831AB"/>
    <w:pPr>
      <w:tabs>
        <w:tab w:val="left" w:pos="720"/>
      </w:tabs>
      <w:autoSpaceDE w:val="0"/>
      <w:autoSpaceDN w:val="0"/>
      <w:adjustRightInd w:val="0"/>
    </w:pPr>
    <w:rPr>
      <w:rFonts w:ascii="Times New Roman" w:eastAsia="Batang" w:hAnsi="Times New Roman"/>
      <w:sz w:val="16"/>
      <w:lang w:val="en-US" w:eastAsia="es-AR"/>
    </w:rPr>
  </w:style>
  <w:style w:type="character" w:customStyle="1" w:styleId="Body25indentChar">
    <w:name w:val="Body .25 indent Char"/>
    <w:rsid w:val="002831AB"/>
    <w:rPr>
      <w:rFonts w:eastAsia="SimSun"/>
      <w:sz w:val="24"/>
      <w:lang w:val="en-US" w:eastAsia="zh-CN"/>
    </w:rPr>
  </w:style>
  <w:style w:type="paragraph" w:customStyle="1" w:styleId="Body25indent">
    <w:name w:val="Body .25 indent"/>
    <w:basedOn w:val="Normal"/>
    <w:rsid w:val="002831AB"/>
    <w:pPr>
      <w:tabs>
        <w:tab w:val="left" w:pos="720"/>
      </w:tabs>
      <w:autoSpaceDE w:val="0"/>
      <w:autoSpaceDN w:val="0"/>
      <w:adjustRightInd w:val="0"/>
      <w:spacing w:after="240"/>
      <w:ind w:firstLine="360"/>
    </w:pPr>
    <w:rPr>
      <w:rFonts w:ascii="Times New Roman" w:eastAsia="SimSun" w:hAnsi="Times New Roman"/>
      <w:lang w:val="en-US" w:eastAsia="zh-CN" w:bidi="he-IL"/>
    </w:rPr>
  </w:style>
  <w:style w:type="paragraph" w:customStyle="1" w:styleId="CarCar4CharCharCarCar1">
    <w:name w:val="Car Car4 Char Char Car Car1"/>
    <w:basedOn w:val="Normal"/>
    <w:rsid w:val="002831AB"/>
    <w:pPr>
      <w:tabs>
        <w:tab w:val="left" w:pos="720"/>
      </w:tabs>
      <w:autoSpaceDE w:val="0"/>
      <w:autoSpaceDN w:val="0"/>
      <w:adjustRightInd w:val="0"/>
      <w:spacing w:after="160" w:line="240" w:lineRule="exact"/>
    </w:pPr>
    <w:rPr>
      <w:rFonts w:ascii="Verdana" w:eastAsia="Batang" w:hAnsi="Verdana"/>
      <w:lang w:val="en-US" w:eastAsia="es-AR"/>
    </w:rPr>
  </w:style>
  <w:style w:type="paragraph" w:customStyle="1" w:styleId="titleboldital0">
    <w:name w:val="titleboldital"/>
    <w:basedOn w:val="Normal"/>
    <w:rsid w:val="002831AB"/>
    <w:pPr>
      <w:keepNext/>
      <w:tabs>
        <w:tab w:val="left" w:pos="720"/>
      </w:tabs>
      <w:autoSpaceDE w:val="0"/>
      <w:autoSpaceDN w:val="0"/>
      <w:adjustRightInd w:val="0"/>
      <w:spacing w:after="200"/>
      <w:ind w:firstLine="720"/>
    </w:pPr>
    <w:rPr>
      <w:rFonts w:ascii="Times New Roman Bold" w:eastAsia="Batang" w:hAnsi="Times New Roman Bold"/>
      <w:b/>
      <w:bCs/>
      <w:i/>
      <w:iCs/>
      <w:lang w:val="en-US" w:eastAsia="es-AR"/>
    </w:rPr>
  </w:style>
  <w:style w:type="paragraph" w:customStyle="1" w:styleId="16pts">
    <w:name w:val="16pts"/>
    <w:basedOn w:val="Normal"/>
    <w:rsid w:val="002831AB"/>
    <w:pPr>
      <w:tabs>
        <w:tab w:val="left" w:pos="720"/>
      </w:tabs>
      <w:autoSpaceDE w:val="0"/>
      <w:autoSpaceDN w:val="0"/>
      <w:adjustRightInd w:val="0"/>
      <w:spacing w:line="384" w:lineRule="exact"/>
      <w:jc w:val="center"/>
    </w:pPr>
    <w:rPr>
      <w:rFonts w:ascii="Times New Roman" w:eastAsia="Batang" w:hAnsi="Times New Roman"/>
      <w:b/>
      <w:bCs/>
      <w:sz w:val="32"/>
      <w:szCs w:val="32"/>
      <w:lang w:val="en-US" w:eastAsia="es-AR"/>
    </w:rPr>
  </w:style>
  <w:style w:type="paragraph" w:customStyle="1" w:styleId="ctrnospace">
    <w:name w:val="ctr no space"/>
    <w:basedOn w:val="Normal"/>
    <w:rsid w:val="002831AB"/>
    <w:pPr>
      <w:tabs>
        <w:tab w:val="left" w:pos="720"/>
      </w:tabs>
      <w:autoSpaceDE w:val="0"/>
      <w:autoSpaceDN w:val="0"/>
      <w:adjustRightInd w:val="0"/>
      <w:jc w:val="center"/>
    </w:pPr>
    <w:rPr>
      <w:rFonts w:ascii="Times New Roman" w:eastAsia="Batang" w:hAnsi="Times New Roman"/>
      <w:sz w:val="22"/>
      <w:lang w:val="en-US" w:eastAsia="es-AR"/>
    </w:rPr>
  </w:style>
  <w:style w:type="character" w:customStyle="1" w:styleId="8PTS">
    <w:name w:val="8PTS"/>
    <w:rsid w:val="002831AB"/>
    <w:rPr>
      <w:rFonts w:ascii="Times New Roman" w:hAnsi="Times New Roman"/>
      <w:sz w:val="16"/>
    </w:rPr>
  </w:style>
  <w:style w:type="paragraph" w:customStyle="1" w:styleId="block">
    <w:name w:val="block"/>
    <w:basedOn w:val="Normal"/>
    <w:rsid w:val="002831AB"/>
    <w:pPr>
      <w:tabs>
        <w:tab w:val="left" w:pos="720"/>
      </w:tabs>
      <w:autoSpaceDE w:val="0"/>
      <w:autoSpaceDN w:val="0"/>
      <w:adjustRightInd w:val="0"/>
      <w:ind w:left="600" w:hanging="600"/>
    </w:pPr>
    <w:rPr>
      <w:rFonts w:ascii="Times New Roman" w:eastAsia="Batang" w:hAnsi="Times New Roman"/>
      <w:lang w:val="en-US" w:eastAsia="es-AR"/>
    </w:rPr>
  </w:style>
  <w:style w:type="character" w:customStyle="1" w:styleId="Table10pt2">
    <w:name w:val="Table10pt"/>
    <w:rsid w:val="002831AB"/>
    <w:rPr>
      <w:rFonts w:ascii="Times New Roman" w:hAnsi="Times New Roman"/>
      <w:sz w:val="20"/>
    </w:rPr>
  </w:style>
  <w:style w:type="paragraph" w:customStyle="1" w:styleId="rightalign0">
    <w:name w:val="right align"/>
    <w:basedOn w:val="Normal"/>
    <w:rsid w:val="002831AB"/>
    <w:pPr>
      <w:tabs>
        <w:tab w:val="left" w:pos="720"/>
      </w:tabs>
      <w:autoSpaceDE w:val="0"/>
      <w:autoSpaceDN w:val="0"/>
      <w:adjustRightInd w:val="0"/>
    </w:pPr>
    <w:rPr>
      <w:rFonts w:ascii="Times New Roman" w:eastAsia="Batang" w:hAnsi="Times New Roman"/>
      <w:b/>
      <w:bCs/>
      <w:sz w:val="22"/>
      <w:szCs w:val="22"/>
      <w:lang w:val="en-US" w:eastAsia="es-AR"/>
    </w:rPr>
  </w:style>
  <w:style w:type="paragraph" w:customStyle="1" w:styleId="14PTS">
    <w:name w:val="14PTS"/>
    <w:basedOn w:val="Normal"/>
    <w:rsid w:val="002831AB"/>
    <w:pPr>
      <w:tabs>
        <w:tab w:val="left" w:pos="720"/>
      </w:tabs>
      <w:autoSpaceDE w:val="0"/>
      <w:autoSpaceDN w:val="0"/>
      <w:adjustRightInd w:val="0"/>
      <w:jc w:val="center"/>
    </w:pPr>
    <w:rPr>
      <w:rFonts w:ascii="Times New Roman" w:eastAsia="Batang" w:hAnsi="Times New Roman"/>
      <w:sz w:val="28"/>
      <w:szCs w:val="28"/>
      <w:lang w:val="en-US" w:eastAsia="es-AR"/>
    </w:rPr>
  </w:style>
  <w:style w:type="paragraph" w:customStyle="1" w:styleId="coverpara">
    <w:name w:val="cover para"/>
    <w:basedOn w:val="Normal"/>
    <w:rsid w:val="002831AB"/>
    <w:pPr>
      <w:tabs>
        <w:tab w:val="left" w:pos="720"/>
      </w:tabs>
      <w:autoSpaceDE w:val="0"/>
      <w:autoSpaceDN w:val="0"/>
      <w:adjustRightInd w:val="0"/>
      <w:ind w:firstLine="360"/>
    </w:pPr>
    <w:rPr>
      <w:rFonts w:ascii="Times New Roman" w:eastAsia="Batang" w:hAnsi="Times New Roman"/>
      <w:sz w:val="18"/>
      <w:szCs w:val="18"/>
      <w:lang w:val="en-US" w:eastAsia="es-AR"/>
    </w:rPr>
  </w:style>
  <w:style w:type="paragraph" w:customStyle="1" w:styleId="ctr10">
    <w:name w:val="ctr 10"/>
    <w:basedOn w:val="Normal"/>
    <w:rsid w:val="002831AB"/>
    <w:pPr>
      <w:tabs>
        <w:tab w:val="left" w:pos="720"/>
      </w:tabs>
      <w:autoSpaceDE w:val="0"/>
      <w:autoSpaceDN w:val="0"/>
      <w:adjustRightInd w:val="0"/>
      <w:jc w:val="center"/>
    </w:pPr>
    <w:rPr>
      <w:rFonts w:ascii="Times New Roman" w:eastAsia="Batang" w:hAnsi="Times New Roman"/>
      <w:lang w:val="en-US" w:eastAsia="es-AR"/>
    </w:rPr>
  </w:style>
  <w:style w:type="paragraph" w:customStyle="1" w:styleId="boldmargin">
    <w:name w:val="bold margin"/>
    <w:basedOn w:val="Normal"/>
    <w:rsid w:val="002831AB"/>
    <w:pPr>
      <w:tabs>
        <w:tab w:val="left" w:pos="720"/>
      </w:tabs>
      <w:autoSpaceDE w:val="0"/>
      <w:autoSpaceDN w:val="0"/>
      <w:adjustRightInd w:val="0"/>
      <w:spacing w:after="180"/>
      <w:jc w:val="both"/>
    </w:pPr>
    <w:rPr>
      <w:rFonts w:ascii="Times New Roman" w:eastAsia="Batang" w:hAnsi="Times New Roman"/>
      <w:b/>
      <w:bCs/>
      <w:lang w:val="en-US" w:eastAsia="es-AR"/>
    </w:rPr>
  </w:style>
  <w:style w:type="paragraph" w:customStyle="1" w:styleId="part2">
    <w:name w:val="part2"/>
    <w:basedOn w:val="Normal"/>
    <w:rsid w:val="002831AB"/>
    <w:pPr>
      <w:tabs>
        <w:tab w:val="left" w:pos="720"/>
      </w:tabs>
      <w:autoSpaceDE w:val="0"/>
      <w:autoSpaceDN w:val="0"/>
      <w:adjustRightInd w:val="0"/>
      <w:spacing w:after="180"/>
      <w:ind w:left="1080" w:hanging="634"/>
    </w:pPr>
    <w:rPr>
      <w:rFonts w:ascii="Times New Roman" w:eastAsia="Batang" w:hAnsi="Times New Roman"/>
      <w:color w:val="000000"/>
      <w:lang w:val="en-US" w:eastAsia="es-AR"/>
    </w:rPr>
  </w:style>
  <w:style w:type="paragraph" w:customStyle="1" w:styleId="Table8pt3">
    <w:name w:val="Table8pt"/>
    <w:basedOn w:val="Normal"/>
    <w:rsid w:val="002831AB"/>
    <w:pPr>
      <w:tabs>
        <w:tab w:val="left" w:pos="720"/>
      </w:tabs>
      <w:autoSpaceDE w:val="0"/>
      <w:autoSpaceDN w:val="0"/>
      <w:adjustRightInd w:val="0"/>
    </w:pPr>
    <w:rPr>
      <w:rFonts w:ascii="Times New Roman" w:eastAsia="Batang" w:hAnsi="Times New Roman"/>
      <w:sz w:val="16"/>
      <w:szCs w:val="16"/>
      <w:lang w:val="en-US" w:eastAsia="es-AR"/>
    </w:rPr>
  </w:style>
  <w:style w:type="paragraph" w:customStyle="1" w:styleId="Tableline2">
    <w:name w:val="Table line"/>
    <w:basedOn w:val="Normal"/>
    <w:rsid w:val="002831AB"/>
    <w:pPr>
      <w:pBdr>
        <w:bottom w:val="single" w:sz="4" w:space="1" w:color="auto"/>
      </w:pBdr>
      <w:tabs>
        <w:tab w:val="left" w:pos="720"/>
      </w:tabs>
      <w:autoSpaceDE w:val="0"/>
      <w:autoSpaceDN w:val="0"/>
      <w:adjustRightInd w:val="0"/>
      <w:spacing w:after="120"/>
      <w:ind w:right="8640"/>
    </w:pPr>
    <w:rPr>
      <w:rFonts w:ascii="Times New Roman" w:eastAsia="Batang" w:hAnsi="Times New Roman"/>
      <w:sz w:val="16"/>
      <w:szCs w:val="16"/>
      <w:lang w:val="en-US" w:eastAsia="es-AR"/>
    </w:rPr>
  </w:style>
  <w:style w:type="paragraph" w:customStyle="1" w:styleId="BodyText8">
    <w:name w:val="Body Text 8"/>
    <w:basedOn w:val="Normal"/>
    <w:rsid w:val="002831AB"/>
    <w:pPr>
      <w:tabs>
        <w:tab w:val="left" w:pos="720"/>
      </w:tabs>
      <w:autoSpaceDE w:val="0"/>
      <w:autoSpaceDN w:val="0"/>
      <w:adjustRightInd w:val="0"/>
      <w:spacing w:after="60"/>
    </w:pPr>
    <w:rPr>
      <w:rFonts w:ascii="Times New Roman" w:eastAsia="Batang" w:hAnsi="Times New Roman"/>
      <w:bCs/>
      <w:sz w:val="16"/>
      <w:lang w:val="en-US" w:eastAsia="es-AR"/>
    </w:rPr>
  </w:style>
  <w:style w:type="character" w:customStyle="1" w:styleId="texto-nota-ampliada1">
    <w:name w:val="texto-nota-ampliada1"/>
    <w:rsid w:val="002831AB"/>
    <w:rPr>
      <w:rFonts w:ascii="Arial" w:hAnsi="Arial"/>
      <w:color w:val="000000"/>
      <w:sz w:val="18"/>
      <w:u w:val="none"/>
      <w:effect w:val="none"/>
    </w:rPr>
  </w:style>
  <w:style w:type="paragraph" w:customStyle="1" w:styleId="BlockText75">
    <w:name w:val="Block Text .75"/>
    <w:basedOn w:val="Listaconnmeros3"/>
    <w:rsid w:val="002831AB"/>
    <w:pPr>
      <w:numPr>
        <w:numId w:val="0"/>
      </w:numPr>
      <w:autoSpaceDE w:val="0"/>
      <w:autoSpaceDN w:val="0"/>
      <w:adjustRightInd w:val="0"/>
      <w:spacing w:after="240"/>
      <w:ind w:left="1080"/>
    </w:pPr>
    <w:rPr>
      <w:rFonts w:eastAsia="Batang"/>
      <w:sz w:val="22"/>
      <w:szCs w:val="20"/>
    </w:rPr>
  </w:style>
  <w:style w:type="paragraph" w:customStyle="1" w:styleId="arrowindent">
    <w:name w:val="arrow indent"/>
    <w:basedOn w:val="Normal"/>
    <w:rsid w:val="002831AB"/>
    <w:pPr>
      <w:tabs>
        <w:tab w:val="left" w:pos="720"/>
        <w:tab w:val="num" w:pos="1440"/>
      </w:tabs>
      <w:autoSpaceDE w:val="0"/>
      <w:autoSpaceDN w:val="0"/>
      <w:adjustRightInd w:val="0"/>
      <w:spacing w:after="240"/>
      <w:ind w:left="1440" w:hanging="360"/>
    </w:pPr>
    <w:rPr>
      <w:rFonts w:ascii="Times New Roman" w:eastAsia="Batang" w:hAnsi="Times New Roman"/>
      <w:sz w:val="22"/>
      <w:szCs w:val="22"/>
      <w:lang w:val="en-US" w:eastAsia="es-AR"/>
    </w:rPr>
  </w:style>
  <w:style w:type="paragraph" w:customStyle="1" w:styleId="Italicsleft">
    <w:name w:val="Italics left"/>
    <w:basedOn w:val="Normal"/>
    <w:rsid w:val="002831AB"/>
    <w:pPr>
      <w:tabs>
        <w:tab w:val="left" w:pos="720"/>
      </w:tabs>
      <w:autoSpaceDE w:val="0"/>
      <w:autoSpaceDN w:val="0"/>
      <w:adjustRightInd w:val="0"/>
      <w:spacing w:after="240"/>
    </w:pPr>
    <w:rPr>
      <w:rFonts w:ascii="Times New Roman" w:eastAsia="Batang" w:hAnsi="Times New Roman"/>
      <w:i/>
      <w:sz w:val="22"/>
      <w:szCs w:val="22"/>
      <w:lang w:val="en-US" w:eastAsia="es-AR"/>
    </w:rPr>
  </w:style>
  <w:style w:type="paragraph" w:customStyle="1" w:styleId="Title5bold">
    <w:name w:val="Title .5 bold"/>
    <w:basedOn w:val="Normal"/>
    <w:rsid w:val="002831AB"/>
    <w:pPr>
      <w:tabs>
        <w:tab w:val="left" w:pos="720"/>
      </w:tabs>
      <w:autoSpaceDE w:val="0"/>
      <w:autoSpaceDN w:val="0"/>
      <w:adjustRightInd w:val="0"/>
      <w:spacing w:after="240"/>
      <w:ind w:left="720"/>
    </w:pPr>
    <w:rPr>
      <w:rFonts w:ascii="Times New Roman" w:eastAsia="Batang" w:hAnsi="Times New Roman"/>
      <w:b/>
      <w:sz w:val="22"/>
      <w:lang w:val="en-US" w:eastAsia="es-AR"/>
    </w:rPr>
  </w:style>
  <w:style w:type="paragraph" w:customStyle="1" w:styleId="left5hanging">
    <w:name w:val="left .5 hanging"/>
    <w:basedOn w:val="Normal"/>
    <w:rsid w:val="002831AB"/>
    <w:pPr>
      <w:tabs>
        <w:tab w:val="left" w:pos="720"/>
      </w:tabs>
      <w:autoSpaceDE w:val="0"/>
      <w:autoSpaceDN w:val="0"/>
      <w:adjustRightInd w:val="0"/>
      <w:spacing w:after="240"/>
      <w:ind w:left="720" w:hanging="720"/>
    </w:pPr>
    <w:rPr>
      <w:rFonts w:ascii="Times New Roman" w:eastAsia="Batang" w:hAnsi="Times New Roman"/>
      <w:sz w:val="22"/>
      <w:lang w:val="en-US" w:eastAsia="es-AR"/>
    </w:rPr>
  </w:style>
  <w:style w:type="paragraph" w:customStyle="1" w:styleId="5Italics">
    <w:name w:val=".5 Italics"/>
    <w:basedOn w:val="Normal"/>
    <w:rsid w:val="002831AB"/>
    <w:pPr>
      <w:tabs>
        <w:tab w:val="left" w:pos="720"/>
      </w:tabs>
      <w:autoSpaceDE w:val="0"/>
      <w:autoSpaceDN w:val="0"/>
      <w:adjustRightInd w:val="0"/>
      <w:spacing w:after="240"/>
      <w:ind w:left="720"/>
    </w:pPr>
    <w:rPr>
      <w:rFonts w:ascii="Times New Roman" w:eastAsia="Batang" w:hAnsi="Times New Roman"/>
      <w:i/>
      <w:sz w:val="22"/>
      <w:lang w:val="en-US" w:eastAsia="es-AR"/>
    </w:rPr>
  </w:style>
  <w:style w:type="character" w:customStyle="1" w:styleId="Table11pt">
    <w:name w:val="Table 11pt"/>
    <w:rsid w:val="002831AB"/>
    <w:rPr>
      <w:sz w:val="22"/>
    </w:rPr>
  </w:style>
  <w:style w:type="paragraph" w:customStyle="1" w:styleId="tablita1">
    <w:name w:val="tablita1"/>
    <w:rsid w:val="002831AB"/>
    <w:pPr>
      <w:widowControl w:val="0"/>
    </w:pPr>
    <w:rPr>
      <w:rFonts w:eastAsia="Batang"/>
      <w:color w:val="000000"/>
      <w:sz w:val="16"/>
      <w:lang w:eastAsia="en-US"/>
    </w:rPr>
  </w:style>
  <w:style w:type="paragraph" w:customStyle="1" w:styleId="Tabla61">
    <w:name w:val="Tabla6"/>
    <w:rsid w:val="002831AB"/>
    <w:pPr>
      <w:widowControl w:val="0"/>
    </w:pPr>
    <w:rPr>
      <w:rFonts w:eastAsia="Batang"/>
      <w:color w:val="000000"/>
      <w:sz w:val="12"/>
      <w:lang w:eastAsia="en-US"/>
    </w:rPr>
  </w:style>
  <w:style w:type="paragraph" w:customStyle="1" w:styleId="Tabla8cdec">
    <w:name w:val="Tabla8c/dec"/>
    <w:rsid w:val="002831AB"/>
    <w:pPr>
      <w:widowControl w:val="0"/>
    </w:pPr>
    <w:rPr>
      <w:rFonts w:eastAsia="Batang"/>
      <w:color w:val="000000"/>
      <w:sz w:val="16"/>
      <w:lang w:eastAsia="en-US"/>
    </w:rPr>
  </w:style>
  <w:style w:type="paragraph" w:customStyle="1" w:styleId="TABLA71">
    <w:name w:val="TABLA7"/>
    <w:rsid w:val="002831AB"/>
    <w:pPr>
      <w:widowControl w:val="0"/>
    </w:pPr>
    <w:rPr>
      <w:rFonts w:eastAsia="Batang"/>
      <w:color w:val="000000"/>
      <w:sz w:val="14"/>
      <w:lang w:eastAsia="en-US"/>
    </w:rPr>
  </w:style>
  <w:style w:type="paragraph" w:customStyle="1" w:styleId="Encabezado2">
    <w:name w:val="Encabezado 2"/>
    <w:basedOn w:val="Encabezado"/>
    <w:rsid w:val="002831AB"/>
    <w:pPr>
      <w:tabs>
        <w:tab w:val="clear" w:pos="4680"/>
        <w:tab w:val="clear" w:pos="9360"/>
        <w:tab w:val="center" w:pos="4252"/>
        <w:tab w:val="right" w:pos="8504"/>
      </w:tabs>
      <w:jc w:val="center"/>
    </w:pPr>
    <w:rPr>
      <w:rFonts w:eastAsia="Batang" w:cs="Arial"/>
      <w:b/>
      <w:lang w:val="es-ES_tradnl" w:eastAsia="es-AR"/>
    </w:rPr>
  </w:style>
  <w:style w:type="paragraph" w:customStyle="1" w:styleId="tabla82">
    <w:name w:val="tabla8"/>
    <w:aliases w:val="xx"/>
    <w:basedOn w:val="Normal"/>
    <w:rsid w:val="002831AB"/>
    <w:pPr>
      <w:autoSpaceDE w:val="0"/>
      <w:autoSpaceDN w:val="0"/>
      <w:adjustRightInd w:val="0"/>
    </w:pPr>
    <w:rPr>
      <w:rFonts w:ascii="Times New Roman" w:eastAsia="Batang" w:hAnsi="Times New Roman"/>
      <w:sz w:val="16"/>
      <w:lang w:val="en-US" w:eastAsia="es-AR"/>
    </w:rPr>
  </w:style>
  <w:style w:type="paragraph" w:customStyle="1" w:styleId="tabla72">
    <w:name w:val="tabla 7"/>
    <w:basedOn w:val="Normal"/>
    <w:rsid w:val="002831AB"/>
    <w:pPr>
      <w:autoSpaceDE w:val="0"/>
      <w:autoSpaceDN w:val="0"/>
      <w:adjustRightInd w:val="0"/>
    </w:pPr>
    <w:rPr>
      <w:rFonts w:ascii="Times New Roman" w:eastAsia="Batang" w:hAnsi="Times New Roman"/>
      <w:sz w:val="14"/>
      <w:lang w:val="en-US" w:eastAsia="es-AR"/>
    </w:rPr>
  </w:style>
  <w:style w:type="paragraph" w:customStyle="1" w:styleId="tabli">
    <w:name w:val="tabli"/>
    <w:basedOn w:val="Normal"/>
    <w:rsid w:val="002831AB"/>
    <w:pPr>
      <w:autoSpaceDE w:val="0"/>
      <w:autoSpaceDN w:val="0"/>
      <w:adjustRightInd w:val="0"/>
    </w:pPr>
    <w:rPr>
      <w:rFonts w:ascii="Times New Roman" w:eastAsia="Batang" w:hAnsi="Times New Roman"/>
      <w:lang w:val="en-US" w:eastAsia="es-AR"/>
    </w:rPr>
  </w:style>
  <w:style w:type="paragraph" w:customStyle="1" w:styleId="Table60">
    <w:name w:val="Table 6"/>
    <w:basedOn w:val="Normal"/>
    <w:rsid w:val="002831AB"/>
    <w:pPr>
      <w:autoSpaceDE w:val="0"/>
      <w:autoSpaceDN w:val="0"/>
      <w:adjustRightInd w:val="0"/>
    </w:pPr>
    <w:rPr>
      <w:rFonts w:ascii="Times New Roman" w:eastAsia="Batang" w:hAnsi="Times New Roman"/>
      <w:sz w:val="12"/>
      <w:lang w:val="en-US" w:eastAsia="es-AR"/>
    </w:rPr>
  </w:style>
  <w:style w:type="paragraph" w:customStyle="1" w:styleId="Block4hanging">
    <w:name w:val="Block .4 hanging"/>
    <w:basedOn w:val="Normal"/>
    <w:rsid w:val="002831AB"/>
    <w:pPr>
      <w:tabs>
        <w:tab w:val="left" w:pos="720"/>
      </w:tabs>
      <w:autoSpaceDE w:val="0"/>
      <w:autoSpaceDN w:val="0"/>
      <w:adjustRightInd w:val="0"/>
      <w:spacing w:after="240"/>
      <w:ind w:left="576" w:hanging="576"/>
    </w:pPr>
    <w:rPr>
      <w:rFonts w:ascii="Times New Roman" w:eastAsia="Batang" w:hAnsi="Times New Roman"/>
      <w:sz w:val="22"/>
      <w:lang w:val="en-US" w:eastAsia="es-AR"/>
    </w:rPr>
  </w:style>
  <w:style w:type="paragraph" w:customStyle="1" w:styleId="5underline">
    <w:name w:val=".5 underline"/>
    <w:basedOn w:val="Normal"/>
    <w:rsid w:val="002831AB"/>
    <w:pPr>
      <w:tabs>
        <w:tab w:val="left" w:pos="720"/>
      </w:tabs>
      <w:autoSpaceDE w:val="0"/>
      <w:autoSpaceDN w:val="0"/>
      <w:adjustRightInd w:val="0"/>
      <w:spacing w:after="240"/>
      <w:ind w:left="720"/>
      <w:outlineLvl w:val="0"/>
    </w:pPr>
    <w:rPr>
      <w:rFonts w:ascii="Times New Roman" w:eastAsia="Batang" w:hAnsi="Times New Roman"/>
      <w:sz w:val="22"/>
      <w:u w:val="single"/>
      <w:lang w:val="en-US" w:eastAsia="es-AR"/>
    </w:rPr>
  </w:style>
  <w:style w:type="paragraph" w:customStyle="1" w:styleId="bodytextj0">
    <w:name w:val="body text j"/>
    <w:basedOn w:val="Normal"/>
    <w:rsid w:val="002831AB"/>
    <w:pPr>
      <w:autoSpaceDE w:val="0"/>
      <w:autoSpaceDN w:val="0"/>
      <w:adjustRightInd w:val="0"/>
      <w:jc w:val="both"/>
    </w:pPr>
    <w:rPr>
      <w:rFonts w:ascii="Times New Roman" w:eastAsia="Batang" w:hAnsi="Times New Roman"/>
      <w:lang w:val="en-US" w:eastAsia="es-AR"/>
    </w:rPr>
  </w:style>
  <w:style w:type="paragraph" w:customStyle="1" w:styleId="1hanging">
    <w:name w:val="1&quot; hanging"/>
    <w:basedOn w:val="Normal"/>
    <w:rsid w:val="002831AB"/>
    <w:pPr>
      <w:tabs>
        <w:tab w:val="left" w:pos="720"/>
      </w:tabs>
      <w:autoSpaceDE w:val="0"/>
      <w:autoSpaceDN w:val="0"/>
      <w:adjustRightInd w:val="0"/>
      <w:spacing w:after="240"/>
      <w:ind w:left="1800" w:hanging="360"/>
    </w:pPr>
    <w:rPr>
      <w:rFonts w:ascii="Times New Roman" w:eastAsia="Batang" w:hAnsi="Times New Roman"/>
      <w:sz w:val="22"/>
      <w:lang w:val="en-US" w:eastAsia="es-AR"/>
    </w:rPr>
  </w:style>
  <w:style w:type="paragraph" w:customStyle="1" w:styleId="textopredeterminado0">
    <w:name w:val="textopredeterminado"/>
    <w:basedOn w:val="Normal"/>
    <w:rsid w:val="002831AB"/>
    <w:pPr>
      <w:autoSpaceDE w:val="0"/>
      <w:autoSpaceDN w:val="0"/>
      <w:adjustRightInd w:val="0"/>
      <w:snapToGrid w:val="0"/>
      <w:jc w:val="both"/>
    </w:pPr>
    <w:rPr>
      <w:rFonts w:ascii="Arial" w:eastAsia="Batang" w:hAnsi="Arial" w:cs="Arial"/>
      <w:lang w:val="en-US" w:eastAsia="es-AR"/>
    </w:rPr>
  </w:style>
  <w:style w:type="paragraph" w:customStyle="1" w:styleId="Bren7">
    <w:name w:val="Bren7"/>
    <w:basedOn w:val="Normal"/>
    <w:rsid w:val="002831AB"/>
    <w:pPr>
      <w:autoSpaceDE w:val="0"/>
      <w:autoSpaceDN w:val="0"/>
      <w:adjustRightInd w:val="0"/>
    </w:pPr>
    <w:rPr>
      <w:rFonts w:ascii="Times New Roman" w:eastAsia="Batang" w:hAnsi="Times New Roman"/>
      <w:sz w:val="14"/>
      <w:lang w:val="en-US" w:eastAsia="es-AR"/>
    </w:rPr>
  </w:style>
  <w:style w:type="paragraph" w:customStyle="1" w:styleId="tabla9">
    <w:name w:val="tabla9"/>
    <w:basedOn w:val="Normal"/>
    <w:rsid w:val="002831AB"/>
    <w:pPr>
      <w:autoSpaceDE w:val="0"/>
      <w:autoSpaceDN w:val="0"/>
      <w:adjustRightInd w:val="0"/>
    </w:pPr>
    <w:rPr>
      <w:rFonts w:ascii="Times New Roman" w:eastAsia="Batang" w:hAnsi="Times New Roman"/>
      <w:sz w:val="18"/>
      <w:lang w:val="en-GB" w:eastAsia="es-AR"/>
    </w:rPr>
  </w:style>
  <w:style w:type="paragraph" w:customStyle="1" w:styleId="tablita">
    <w:name w:val="tablita"/>
    <w:basedOn w:val="Normal"/>
    <w:rsid w:val="002831AB"/>
    <w:pPr>
      <w:autoSpaceDE w:val="0"/>
      <w:autoSpaceDN w:val="0"/>
      <w:adjustRightInd w:val="0"/>
      <w:jc w:val="right"/>
    </w:pPr>
    <w:rPr>
      <w:rFonts w:ascii="Times New Roman" w:eastAsia="Batang" w:hAnsi="Times New Roman"/>
      <w:sz w:val="16"/>
      <w:lang w:val="en-GB" w:eastAsia="es-AR"/>
    </w:rPr>
  </w:style>
  <w:style w:type="paragraph" w:customStyle="1" w:styleId="tabla7cdec">
    <w:name w:val="tabla7 c/dec"/>
    <w:basedOn w:val="Normal"/>
    <w:rsid w:val="002831AB"/>
    <w:pPr>
      <w:autoSpaceDE w:val="0"/>
      <w:autoSpaceDN w:val="0"/>
      <w:adjustRightInd w:val="0"/>
      <w:jc w:val="right"/>
    </w:pPr>
    <w:rPr>
      <w:rFonts w:ascii="Times New Roman" w:eastAsia="Batang" w:hAnsi="Times New Roman"/>
      <w:sz w:val="14"/>
      <w:lang w:val="en-GB" w:eastAsia="es-AR"/>
    </w:rPr>
  </w:style>
  <w:style w:type="paragraph" w:customStyle="1" w:styleId="tabletxt2">
    <w:name w:val="table txt 2"/>
    <w:basedOn w:val="Normal"/>
    <w:rsid w:val="002831AB"/>
    <w:pPr>
      <w:autoSpaceDE w:val="0"/>
      <w:autoSpaceDN w:val="0"/>
      <w:adjustRightInd w:val="0"/>
    </w:pPr>
    <w:rPr>
      <w:rFonts w:ascii="Times New Roman" w:eastAsia="Batang" w:hAnsi="Times New Roman"/>
      <w:lang w:val="en-GB" w:eastAsia="es-AR"/>
    </w:rPr>
  </w:style>
  <w:style w:type="paragraph" w:customStyle="1" w:styleId="es8">
    <w:name w:val="es8"/>
    <w:basedOn w:val="Normal"/>
    <w:rsid w:val="002831AB"/>
    <w:pPr>
      <w:autoSpaceDE w:val="0"/>
      <w:autoSpaceDN w:val="0"/>
      <w:adjustRightInd w:val="0"/>
    </w:pPr>
    <w:rPr>
      <w:rFonts w:ascii="Times New Roman" w:eastAsia="Batang" w:hAnsi="Times New Roman"/>
      <w:sz w:val="16"/>
      <w:lang w:val="en-GB" w:eastAsia="es-AR"/>
    </w:rPr>
  </w:style>
  <w:style w:type="paragraph" w:customStyle="1" w:styleId="ta6">
    <w:name w:val="ta6"/>
    <w:basedOn w:val="Normal"/>
    <w:rsid w:val="002831AB"/>
    <w:pPr>
      <w:autoSpaceDE w:val="0"/>
      <w:autoSpaceDN w:val="0"/>
      <w:adjustRightInd w:val="0"/>
      <w:jc w:val="right"/>
    </w:pPr>
    <w:rPr>
      <w:rFonts w:ascii="Times New Roman" w:eastAsia="Batang" w:hAnsi="Times New Roman"/>
      <w:sz w:val="12"/>
      <w:lang w:val="en-GB" w:eastAsia="es-AR"/>
    </w:rPr>
  </w:style>
  <w:style w:type="character" w:customStyle="1" w:styleId="Table7pt1">
    <w:name w:val="Table7pt"/>
    <w:rsid w:val="002831AB"/>
    <w:rPr>
      <w:rFonts w:ascii="Times New Roman" w:hAnsi="Times New Roman"/>
      <w:sz w:val="16"/>
      <w:vertAlign w:val="baseline"/>
    </w:rPr>
  </w:style>
  <w:style w:type="paragraph" w:customStyle="1" w:styleId="05">
    <w:name w:val="0.5"/>
    <w:basedOn w:val="BodyText2Sgl"/>
    <w:rsid w:val="002831AB"/>
    <w:pPr>
      <w:autoSpaceDE/>
      <w:autoSpaceDN/>
      <w:adjustRightInd/>
    </w:pPr>
    <w:rPr>
      <w:rFonts w:eastAsia="Batang"/>
      <w:sz w:val="22"/>
      <w:lang w:eastAsia="es-AR"/>
    </w:rPr>
  </w:style>
  <w:style w:type="paragraph" w:customStyle="1" w:styleId="Tiltel">
    <w:name w:val="Tilte l"/>
    <w:basedOn w:val="BodyText2Sgl"/>
    <w:rsid w:val="002831AB"/>
    <w:pPr>
      <w:autoSpaceDE/>
      <w:autoSpaceDN/>
      <w:adjustRightInd/>
    </w:pPr>
    <w:rPr>
      <w:rFonts w:eastAsia="Batang"/>
      <w:sz w:val="22"/>
      <w:lang w:eastAsia="es-AR"/>
    </w:rPr>
  </w:style>
  <w:style w:type="paragraph" w:customStyle="1" w:styleId="bnormal">
    <w:name w:val="bnormal"/>
    <w:basedOn w:val="BodyText2Sgl"/>
    <w:rsid w:val="002831AB"/>
    <w:pPr>
      <w:autoSpaceDE/>
      <w:autoSpaceDN/>
      <w:adjustRightInd/>
    </w:pPr>
    <w:rPr>
      <w:rFonts w:eastAsia="Batang"/>
      <w:sz w:val="22"/>
      <w:lang w:eastAsia="es-AR"/>
    </w:rPr>
  </w:style>
  <w:style w:type="character" w:customStyle="1" w:styleId="NormalWebCar">
    <w:name w:val="Normal (Web) Car"/>
    <w:rsid w:val="002831AB"/>
    <w:rPr>
      <w:rFonts w:ascii="Arial Unicode MS" w:eastAsia="Arial Unicode MS" w:hAnsi="Arial Unicode MS"/>
      <w:sz w:val="24"/>
      <w:lang w:val="en-US" w:eastAsia="es-ES"/>
    </w:rPr>
  </w:style>
  <w:style w:type="paragraph" w:customStyle="1" w:styleId="Noral">
    <w:name w:val="Noral"/>
    <w:basedOn w:val="BodyText2Sgl"/>
    <w:rsid w:val="002831AB"/>
    <w:pPr>
      <w:autoSpaceDE/>
      <w:autoSpaceDN/>
      <w:adjustRightInd/>
    </w:pPr>
    <w:rPr>
      <w:rFonts w:eastAsia="Batang"/>
      <w:sz w:val="22"/>
      <w:lang w:eastAsia="es-AR"/>
    </w:rPr>
  </w:style>
  <w:style w:type="paragraph" w:customStyle="1" w:styleId="Title2">
    <w:name w:val="Title 2"/>
    <w:basedOn w:val="TitleL"/>
    <w:rsid w:val="002831AB"/>
    <w:pPr>
      <w:keepNext/>
      <w:keepLines/>
      <w:spacing w:after="240"/>
    </w:pPr>
    <w:rPr>
      <w:rFonts w:ascii="Times New Roman Bold" w:eastAsia="Batang" w:hAnsi="Times New Roman Bold"/>
      <w:bCs/>
      <w:spacing w:val="0"/>
      <w:sz w:val="22"/>
      <w:lang w:eastAsia="es-ES"/>
    </w:rPr>
  </w:style>
  <w:style w:type="character" w:customStyle="1" w:styleId="NotesChar">
    <w:name w:val="Notes Char"/>
    <w:rsid w:val="002831AB"/>
    <w:rPr>
      <w:rFonts w:eastAsia="Batang"/>
      <w:sz w:val="16"/>
      <w:lang w:val="en-US" w:eastAsia="en-US"/>
    </w:rPr>
  </w:style>
  <w:style w:type="character" w:customStyle="1" w:styleId="NotesLineChar">
    <w:name w:val="Notes Line Char"/>
    <w:rsid w:val="002831AB"/>
    <w:rPr>
      <w:rFonts w:eastAsia="Batang"/>
      <w:sz w:val="22"/>
      <w:lang w:val="en-US" w:eastAsia="en-US"/>
    </w:rPr>
  </w:style>
  <w:style w:type="paragraph" w:customStyle="1" w:styleId="TableNotex">
    <w:name w:val="Table Notex"/>
    <w:basedOn w:val="Normal"/>
    <w:rsid w:val="002831AB"/>
    <w:pPr>
      <w:tabs>
        <w:tab w:val="left" w:pos="720"/>
      </w:tabs>
      <w:autoSpaceDE w:val="0"/>
      <w:autoSpaceDN w:val="0"/>
      <w:adjustRightInd w:val="0"/>
      <w:ind w:left="360" w:hanging="360"/>
    </w:pPr>
    <w:rPr>
      <w:rFonts w:ascii="Times New Roman" w:eastAsia="Batang" w:hAnsi="Times New Roman"/>
      <w:sz w:val="22"/>
      <w:lang w:val="en-US" w:eastAsia="es-AR"/>
    </w:rPr>
  </w:style>
  <w:style w:type="paragraph" w:customStyle="1" w:styleId="NoteLine">
    <w:name w:val="Note Line"/>
    <w:basedOn w:val="Normal"/>
    <w:rsid w:val="002831AB"/>
    <w:pPr>
      <w:pBdr>
        <w:bottom w:val="single" w:sz="4" w:space="1" w:color="auto"/>
      </w:pBdr>
      <w:autoSpaceDE w:val="0"/>
      <w:autoSpaceDN w:val="0"/>
      <w:adjustRightInd w:val="0"/>
      <w:spacing w:after="60"/>
      <w:ind w:right="8309"/>
    </w:pPr>
    <w:rPr>
      <w:rFonts w:ascii="Times New Roman" w:eastAsia="Batang" w:hAnsi="Times New Roman"/>
      <w:sz w:val="22"/>
      <w:lang w:val="en-US" w:eastAsia="es-AR"/>
    </w:rPr>
  </w:style>
  <w:style w:type="character" w:customStyle="1" w:styleId="TiltelChar">
    <w:name w:val="Tilte l Char"/>
    <w:rsid w:val="002831AB"/>
    <w:rPr>
      <w:rFonts w:eastAsia="Batang"/>
      <w:spacing w:val="0"/>
      <w:sz w:val="22"/>
      <w:lang w:val="en-US" w:eastAsia="es-ES"/>
    </w:rPr>
  </w:style>
  <w:style w:type="paragraph" w:customStyle="1" w:styleId="Indent">
    <w:name w:val="Indent"/>
    <w:basedOn w:val="Listaconvietas3"/>
    <w:rsid w:val="002831AB"/>
    <w:pPr>
      <w:numPr>
        <w:numId w:val="0"/>
      </w:numPr>
      <w:tabs>
        <w:tab w:val="num" w:pos="1080"/>
      </w:tabs>
      <w:autoSpaceDE w:val="0"/>
      <w:autoSpaceDN w:val="0"/>
      <w:adjustRightInd w:val="0"/>
      <w:ind w:left="1080" w:hanging="360"/>
    </w:pPr>
    <w:rPr>
      <w:rFonts w:eastAsia="Batang"/>
      <w:color w:val="000000"/>
      <w:w w:val="0"/>
      <w:sz w:val="22"/>
      <w:szCs w:val="22"/>
    </w:rPr>
  </w:style>
  <w:style w:type="paragraph" w:customStyle="1" w:styleId="right">
    <w:name w:val="right"/>
    <w:basedOn w:val="Normal"/>
    <w:rsid w:val="002831AB"/>
    <w:pPr>
      <w:tabs>
        <w:tab w:val="num" w:pos="360"/>
        <w:tab w:val="left" w:pos="720"/>
      </w:tabs>
      <w:autoSpaceDE w:val="0"/>
      <w:autoSpaceDN w:val="0"/>
      <w:adjustRightInd w:val="0"/>
      <w:spacing w:after="240"/>
      <w:ind w:left="360" w:hanging="360"/>
    </w:pPr>
    <w:rPr>
      <w:rFonts w:ascii="Times New Roman" w:eastAsia="Batang" w:hAnsi="Times New Roman"/>
      <w:sz w:val="22"/>
      <w:lang w:val="en-US" w:eastAsia="es-AR"/>
    </w:rPr>
  </w:style>
  <w:style w:type="paragraph" w:customStyle="1" w:styleId="prrafodelista">
    <w:name w:val="prrafodelista"/>
    <w:basedOn w:val="Normal"/>
    <w:rsid w:val="002831AB"/>
    <w:pPr>
      <w:autoSpaceDE w:val="0"/>
      <w:autoSpaceDN w:val="0"/>
      <w:adjustRightInd w:val="0"/>
      <w:spacing w:after="200" w:line="276" w:lineRule="auto"/>
      <w:ind w:left="720"/>
    </w:pPr>
    <w:rPr>
      <w:rFonts w:ascii="Arial" w:hAnsi="Arial" w:cs="Arial"/>
      <w:lang w:val="en-US" w:eastAsia="es-AR"/>
    </w:rPr>
  </w:style>
  <w:style w:type="paragraph" w:customStyle="1" w:styleId="CarCar1CharCharCarCar">
    <w:name w:val="Car Car1 Char Char Car Car"/>
    <w:basedOn w:val="Normal"/>
    <w:rsid w:val="002831AB"/>
    <w:pPr>
      <w:autoSpaceDE w:val="0"/>
      <w:autoSpaceDN w:val="0"/>
      <w:adjustRightInd w:val="0"/>
      <w:spacing w:after="160" w:line="240" w:lineRule="exact"/>
    </w:pPr>
    <w:rPr>
      <w:rFonts w:ascii="Verdana" w:hAnsi="Verdana"/>
      <w:lang w:val="en-US" w:eastAsia="es-AR"/>
    </w:rPr>
  </w:style>
  <w:style w:type="paragraph" w:customStyle="1" w:styleId="CarCarCarCarCarCarCarCar">
    <w:name w:val="Car Car Car Car Car Car Car Car"/>
    <w:basedOn w:val="Normal"/>
    <w:rsid w:val="002831AB"/>
    <w:pPr>
      <w:tabs>
        <w:tab w:val="left" w:pos="720"/>
      </w:tabs>
      <w:autoSpaceDE w:val="0"/>
      <w:autoSpaceDN w:val="0"/>
      <w:adjustRightInd w:val="0"/>
      <w:spacing w:after="160" w:line="240" w:lineRule="exact"/>
    </w:pPr>
    <w:rPr>
      <w:rFonts w:ascii="Verdana" w:eastAsia="Batang" w:hAnsi="Verdana"/>
      <w:lang w:val="en-US" w:eastAsia="es-AR"/>
    </w:rPr>
  </w:style>
  <w:style w:type="character" w:customStyle="1" w:styleId="longtext1">
    <w:name w:val="long_text1"/>
    <w:rsid w:val="002831AB"/>
    <w:rPr>
      <w:sz w:val="20"/>
    </w:rPr>
  </w:style>
  <w:style w:type="character" w:customStyle="1" w:styleId="CommentTextChar">
    <w:name w:val="Comment Text Char"/>
    <w:rsid w:val="002831AB"/>
    <w:rPr>
      <w:rFonts w:ascii="Times New Roman" w:eastAsia="Batang" w:hAnsi="Times New Roman"/>
      <w:sz w:val="20"/>
      <w:lang w:val="en-US" w:eastAsia="es-ES"/>
    </w:rPr>
  </w:style>
  <w:style w:type="character" w:customStyle="1" w:styleId="FootnoteTextChar">
    <w:name w:val="Footnote Text Char"/>
    <w:rsid w:val="002831AB"/>
    <w:rPr>
      <w:rFonts w:ascii="Times New Roman" w:eastAsia="Batang" w:hAnsi="Times New Roman"/>
      <w:sz w:val="20"/>
      <w:lang w:val="en-US" w:eastAsia="es-ES"/>
    </w:rPr>
  </w:style>
  <w:style w:type="character" w:customStyle="1" w:styleId="EndnoteTextChar">
    <w:name w:val="Endnote Text Char"/>
    <w:rsid w:val="002831AB"/>
    <w:rPr>
      <w:rFonts w:ascii="Times New Roman" w:eastAsia="Batang" w:hAnsi="Times New Roman"/>
      <w:sz w:val="20"/>
      <w:lang w:val="en-US" w:eastAsia="x-none"/>
    </w:rPr>
  </w:style>
  <w:style w:type="character" w:customStyle="1" w:styleId="BalloonTextChar">
    <w:name w:val="Balloon Text Char"/>
    <w:rsid w:val="002831AB"/>
    <w:rPr>
      <w:rFonts w:ascii="Tahoma" w:eastAsia="Batang" w:hAnsi="Tahoma"/>
      <w:sz w:val="16"/>
      <w:lang w:val="en-US" w:eastAsia="es-ES"/>
    </w:rPr>
  </w:style>
  <w:style w:type="character" w:customStyle="1" w:styleId="MacroTextChar">
    <w:name w:val="Macro Text Char"/>
    <w:rsid w:val="002831AB"/>
    <w:rPr>
      <w:rFonts w:ascii="Courier New" w:eastAsia="Batang" w:hAnsi="Courier New"/>
      <w:lang w:val="es-ES" w:eastAsia="es-ES"/>
    </w:rPr>
  </w:style>
  <w:style w:type="character" w:customStyle="1" w:styleId="CommentSubjectChar">
    <w:name w:val="Comment Subject Char"/>
    <w:rsid w:val="002831AB"/>
    <w:rPr>
      <w:rFonts w:ascii="Times New Roman" w:eastAsia="Batang" w:hAnsi="Times New Roman"/>
      <w:b/>
      <w:sz w:val="20"/>
      <w:lang w:val="es-ES" w:eastAsia="es-ES"/>
    </w:rPr>
  </w:style>
  <w:style w:type="character" w:customStyle="1" w:styleId="DocumentMapChar">
    <w:name w:val="Document Map Char"/>
    <w:rsid w:val="002831AB"/>
    <w:rPr>
      <w:rFonts w:ascii="Tahoma" w:eastAsia="Batang" w:hAnsi="Tahoma"/>
      <w:sz w:val="20"/>
      <w:shd w:val="clear" w:color="auto" w:fill="000080"/>
      <w:lang w:val="en-US" w:eastAsia="x-none"/>
    </w:rPr>
  </w:style>
  <w:style w:type="paragraph" w:customStyle="1" w:styleId="centeredb0">
    <w:name w:val="centeredb"/>
    <w:basedOn w:val="Normal"/>
    <w:rsid w:val="002831AB"/>
    <w:pPr>
      <w:autoSpaceDE w:val="0"/>
      <w:autoSpaceDN w:val="0"/>
      <w:adjustRightInd w:val="0"/>
      <w:spacing w:after="240"/>
      <w:jc w:val="center"/>
    </w:pPr>
    <w:rPr>
      <w:rFonts w:ascii="Times New Roman Bold" w:hAnsi="Times New Roman Bold"/>
      <w:b/>
      <w:bCs/>
      <w:sz w:val="22"/>
      <w:szCs w:val="22"/>
      <w:lang w:val="en-US" w:eastAsia="es-AR"/>
    </w:rPr>
  </w:style>
  <w:style w:type="paragraph" w:customStyle="1" w:styleId="ecmsonormal">
    <w:name w:val="ec_msonormal"/>
    <w:basedOn w:val="Normal"/>
    <w:rsid w:val="002831AB"/>
    <w:pPr>
      <w:autoSpaceDE w:val="0"/>
      <w:autoSpaceDN w:val="0"/>
      <w:adjustRightInd w:val="0"/>
      <w:spacing w:after="324"/>
    </w:pPr>
    <w:rPr>
      <w:rFonts w:ascii="Times New Roman" w:hAnsi="Times New Roman"/>
      <w:lang w:val="en-US" w:eastAsia="es-AR"/>
    </w:rPr>
  </w:style>
  <w:style w:type="paragraph" w:customStyle="1" w:styleId="Infodocumentosadjuntos">
    <w:name w:val="Info documentos adjuntos"/>
    <w:basedOn w:val="Normal"/>
    <w:rsid w:val="002831AB"/>
    <w:pPr>
      <w:autoSpaceDE w:val="0"/>
      <w:autoSpaceDN w:val="0"/>
      <w:adjustRightInd w:val="0"/>
    </w:pPr>
    <w:rPr>
      <w:rFonts w:ascii="Times New Roman" w:hAnsi="Times New Roman"/>
      <w:lang w:val="en-US" w:eastAsia="es-AR"/>
    </w:rPr>
  </w:style>
  <w:style w:type="character" w:customStyle="1" w:styleId="SinespaciadoCar">
    <w:name w:val="Sin espaciado Car"/>
    <w:rsid w:val="002831AB"/>
    <w:rPr>
      <w:rFonts w:ascii="Times New Roman" w:hAnsi="Times New Roman"/>
      <w:lang w:val="en-US" w:eastAsia="x-none"/>
    </w:rPr>
  </w:style>
  <w:style w:type="character" w:customStyle="1" w:styleId="TableHeaderCar">
    <w:name w:val="Table Header Car"/>
    <w:rsid w:val="002831AB"/>
    <w:rPr>
      <w:rFonts w:ascii="Arial" w:hAnsi="Arial"/>
      <w:b/>
      <w:sz w:val="18"/>
      <w:lang w:val="en-US" w:eastAsia="es-ES"/>
    </w:rPr>
  </w:style>
  <w:style w:type="character" w:customStyle="1" w:styleId="Heading2Char1">
    <w:name w:val="Heading 2 Char1"/>
    <w:aliases w:val="Tight Slug Char1,Major Char1"/>
    <w:rsid w:val="002831AB"/>
    <w:rPr>
      <w:rFonts w:ascii="Times New Roman" w:eastAsia="Batang" w:hAnsi="Times New Roman"/>
      <w:b/>
      <w:sz w:val="20"/>
      <w:lang w:val="en-GB" w:eastAsia="x-none"/>
    </w:rPr>
  </w:style>
  <w:style w:type="character" w:customStyle="1" w:styleId="Heading3Char1">
    <w:name w:val="Heading 3 Char1"/>
    <w:aliases w:val="Note to Director Char1"/>
    <w:rsid w:val="002831AB"/>
    <w:rPr>
      <w:rFonts w:ascii="Times New Roman" w:eastAsia="Batang" w:hAnsi="Times New Roman"/>
      <w:b/>
      <w:caps/>
      <w:sz w:val="20"/>
      <w:lang w:val="en-GB" w:eastAsia="x-none"/>
    </w:rPr>
  </w:style>
  <w:style w:type="character" w:customStyle="1" w:styleId="Heading5Char1">
    <w:name w:val="Heading 5 Char1"/>
    <w:rsid w:val="002831AB"/>
    <w:rPr>
      <w:rFonts w:ascii="Times New Roman" w:eastAsia="Batang" w:hAnsi="Times New Roman"/>
      <w:b/>
      <w:i/>
      <w:sz w:val="20"/>
      <w:lang w:val="en-US" w:eastAsia="x-none"/>
    </w:rPr>
  </w:style>
  <w:style w:type="character" w:customStyle="1" w:styleId="Heading6Char1">
    <w:name w:val="Heading 6 Char1"/>
    <w:rsid w:val="002831AB"/>
    <w:rPr>
      <w:rFonts w:ascii="Times New Roman" w:eastAsia="Batang" w:hAnsi="Times New Roman"/>
      <w:b/>
      <w:sz w:val="20"/>
      <w:lang w:val="en-US" w:eastAsia="x-none"/>
    </w:rPr>
  </w:style>
  <w:style w:type="character" w:customStyle="1" w:styleId="Heading7Char1">
    <w:name w:val="Heading 7 Char1"/>
    <w:rsid w:val="002831AB"/>
    <w:rPr>
      <w:rFonts w:ascii="Times New Roman" w:eastAsia="Batang" w:hAnsi="Times New Roman"/>
      <w:sz w:val="24"/>
      <w:lang w:val="en-US" w:eastAsia="x-none"/>
    </w:rPr>
  </w:style>
  <w:style w:type="character" w:customStyle="1" w:styleId="Heading8Char1">
    <w:name w:val="Heading 8 Char1"/>
    <w:rsid w:val="002831AB"/>
    <w:rPr>
      <w:rFonts w:ascii="Times New Roman" w:eastAsia="Batang" w:hAnsi="Times New Roman"/>
      <w:i/>
      <w:sz w:val="24"/>
      <w:lang w:val="en-US" w:eastAsia="x-none"/>
    </w:rPr>
  </w:style>
  <w:style w:type="character" w:customStyle="1" w:styleId="Heading9Char1">
    <w:name w:val="Heading 9 Char1"/>
    <w:rsid w:val="002831AB"/>
    <w:rPr>
      <w:rFonts w:ascii="Arial" w:eastAsia="Batang" w:hAnsi="Arial"/>
      <w:lang w:val="en-US" w:eastAsia="x-none"/>
    </w:rPr>
  </w:style>
  <w:style w:type="character" w:customStyle="1" w:styleId="BodyTextChar1">
    <w:name w:val="Body Text Char1"/>
    <w:aliases w:val="bt Char1,body text Char1,Borrador Char1,b Char1,Body Text1 Char1,Btext Char1,Bodytext Char1,BT Char1,bt wide Char1,S&amp;S-First Line-1&quot; Char1,Corpo de texto2 Char1"/>
    <w:rsid w:val="002831AB"/>
    <w:rPr>
      <w:rFonts w:ascii="Times New Roman" w:eastAsia="Batang" w:hAnsi="Times New Roman"/>
      <w:sz w:val="24"/>
      <w:lang w:val="en-US" w:eastAsia="es-ES"/>
    </w:rPr>
  </w:style>
  <w:style w:type="character" w:customStyle="1" w:styleId="FooterChar1">
    <w:name w:val="Footer Char1"/>
    <w:rsid w:val="002831AB"/>
    <w:rPr>
      <w:rFonts w:ascii="Times New Roman" w:eastAsia="Batang" w:hAnsi="Times New Roman"/>
      <w:sz w:val="24"/>
      <w:lang w:val="en-US" w:eastAsia="es-ES"/>
    </w:rPr>
  </w:style>
  <w:style w:type="character" w:customStyle="1" w:styleId="TitleChar1">
    <w:name w:val="Title Char1"/>
    <w:rsid w:val="002831AB"/>
    <w:rPr>
      <w:rFonts w:ascii="Times New Roman Bold" w:eastAsia="Batang" w:hAnsi="Times New Roman Bold"/>
      <w:b/>
      <w:kern w:val="28"/>
      <w:sz w:val="32"/>
      <w:lang w:val="en-US" w:eastAsia="x-none"/>
    </w:rPr>
  </w:style>
  <w:style w:type="character" w:customStyle="1" w:styleId="BodyTextFirstIndentChar1">
    <w:name w:val="Body Text First Indent Char1"/>
    <w:rsid w:val="002831AB"/>
    <w:rPr>
      <w:rFonts w:ascii="Times New Roman" w:eastAsia="Batang" w:hAnsi="Times New Roman"/>
      <w:sz w:val="20"/>
      <w:lang w:val="en-US" w:eastAsia="es-ES"/>
    </w:rPr>
  </w:style>
  <w:style w:type="character" w:customStyle="1" w:styleId="BodyTextIndent3Char1">
    <w:name w:val="Body Text Indent 3 Char1"/>
    <w:rsid w:val="002831AB"/>
    <w:rPr>
      <w:rFonts w:ascii="Times New Roman" w:eastAsia="Batang" w:hAnsi="Times New Roman"/>
      <w:sz w:val="24"/>
      <w:lang w:val="en-US" w:eastAsia="es-ES"/>
    </w:rPr>
  </w:style>
  <w:style w:type="character" w:customStyle="1" w:styleId="BodyText2Char1">
    <w:name w:val="Body Text 2 Char1"/>
    <w:rsid w:val="002831AB"/>
    <w:rPr>
      <w:rFonts w:ascii="Times New Roman" w:eastAsia="Batang" w:hAnsi="Times New Roman"/>
      <w:color w:val="000000"/>
      <w:sz w:val="24"/>
      <w:lang w:val="en-GB" w:eastAsia="es-ES"/>
    </w:rPr>
  </w:style>
  <w:style w:type="character" w:customStyle="1" w:styleId="BodyTextIndentChar1">
    <w:name w:val="Body Text Indent Char1"/>
    <w:rsid w:val="002831AB"/>
    <w:rPr>
      <w:rFonts w:ascii="Times New Roman" w:eastAsia="Batang" w:hAnsi="Times New Roman"/>
      <w:color w:val="000000"/>
      <w:sz w:val="24"/>
      <w:lang w:val="en-US" w:eastAsia="es-ES"/>
    </w:rPr>
  </w:style>
  <w:style w:type="character" w:customStyle="1" w:styleId="CommentTextChar1">
    <w:name w:val="Comment Text Char1"/>
    <w:rsid w:val="002831AB"/>
    <w:rPr>
      <w:rFonts w:ascii="Times New Roman" w:eastAsia="Batang" w:hAnsi="Times New Roman"/>
      <w:sz w:val="20"/>
      <w:lang w:val="en-US" w:eastAsia="es-ES"/>
    </w:rPr>
  </w:style>
  <w:style w:type="character" w:customStyle="1" w:styleId="BodyTextIndent2Char1">
    <w:name w:val="Body Text Indent 2 Char1"/>
    <w:rsid w:val="002831AB"/>
    <w:rPr>
      <w:rFonts w:ascii="Times New Roman" w:eastAsia="Batang" w:hAnsi="Times New Roman"/>
      <w:sz w:val="20"/>
      <w:lang w:val="en-US" w:eastAsia="es-ES"/>
    </w:rPr>
  </w:style>
  <w:style w:type="character" w:customStyle="1" w:styleId="HeaderChar1">
    <w:name w:val="Header Char1"/>
    <w:rsid w:val="002831AB"/>
    <w:rPr>
      <w:rFonts w:ascii="Times New Roman" w:eastAsia="Batang" w:hAnsi="Times New Roman"/>
      <w:sz w:val="20"/>
      <w:lang w:val="en-US" w:eastAsia="es-ES"/>
    </w:rPr>
  </w:style>
  <w:style w:type="character" w:customStyle="1" w:styleId="FootnoteTextChar1">
    <w:name w:val="Footnote Text Char1"/>
    <w:rsid w:val="002831AB"/>
    <w:rPr>
      <w:rFonts w:ascii="Times New Roman" w:eastAsia="Batang" w:hAnsi="Times New Roman"/>
      <w:sz w:val="20"/>
      <w:lang w:val="en-US" w:eastAsia="es-ES"/>
    </w:rPr>
  </w:style>
  <w:style w:type="character" w:customStyle="1" w:styleId="HTMLPreformattedChar1">
    <w:name w:val="HTML Preformatted Char1"/>
    <w:rsid w:val="002831AB"/>
    <w:rPr>
      <w:rFonts w:ascii="Courier New" w:eastAsia="Batang" w:hAnsi="Courier New"/>
      <w:sz w:val="20"/>
      <w:lang w:val="en-US" w:eastAsia="es-ES"/>
    </w:rPr>
  </w:style>
  <w:style w:type="character" w:customStyle="1" w:styleId="EndnoteTextChar1">
    <w:name w:val="Endnote Text Char1"/>
    <w:rsid w:val="002831AB"/>
    <w:rPr>
      <w:rFonts w:ascii="Times New Roman" w:eastAsia="Batang" w:hAnsi="Times New Roman"/>
      <w:sz w:val="20"/>
      <w:lang w:val="en-US" w:eastAsia="x-none"/>
    </w:rPr>
  </w:style>
  <w:style w:type="character" w:customStyle="1" w:styleId="BalloonTextChar1">
    <w:name w:val="Balloon Text Char1"/>
    <w:rsid w:val="002831AB"/>
    <w:rPr>
      <w:rFonts w:ascii="Tahoma" w:eastAsia="Batang" w:hAnsi="Tahoma"/>
      <w:sz w:val="16"/>
      <w:lang w:val="en-US" w:eastAsia="es-ES"/>
    </w:rPr>
  </w:style>
  <w:style w:type="character" w:customStyle="1" w:styleId="MacroTextChar1">
    <w:name w:val="Macro Text Char1"/>
    <w:rsid w:val="002831AB"/>
    <w:rPr>
      <w:rFonts w:ascii="Courier New" w:eastAsia="Batang" w:hAnsi="Courier New"/>
      <w:lang w:val="es-ES" w:eastAsia="es-ES"/>
    </w:rPr>
  </w:style>
  <w:style w:type="character" w:customStyle="1" w:styleId="CommentSubjectChar1">
    <w:name w:val="Comment Subject Char1"/>
    <w:rsid w:val="002831AB"/>
    <w:rPr>
      <w:rFonts w:ascii="Times New Roman" w:eastAsia="Batang" w:hAnsi="Times New Roman"/>
      <w:b/>
      <w:sz w:val="20"/>
      <w:lang w:val="es-ES" w:eastAsia="es-ES"/>
    </w:rPr>
  </w:style>
  <w:style w:type="character" w:customStyle="1" w:styleId="DateChar1">
    <w:name w:val="Date Char1"/>
    <w:rsid w:val="002831AB"/>
    <w:rPr>
      <w:rFonts w:ascii="Times New Roman" w:eastAsia="Batang" w:hAnsi="Times New Roman"/>
      <w:sz w:val="20"/>
      <w:lang w:val="en-US" w:eastAsia="es-ES"/>
    </w:rPr>
  </w:style>
  <w:style w:type="character" w:customStyle="1" w:styleId="BodyTextFirstIndent2Char1">
    <w:name w:val="Body Text First Indent 2 Char1"/>
    <w:rsid w:val="002831AB"/>
    <w:rPr>
      <w:rFonts w:ascii="Times New Roman" w:eastAsia="Batang" w:hAnsi="Times New Roman"/>
      <w:color w:val="000000"/>
      <w:sz w:val="24"/>
      <w:lang w:val="en-US" w:eastAsia="es-ES"/>
    </w:rPr>
  </w:style>
  <w:style w:type="character" w:customStyle="1" w:styleId="DocumentMapChar1">
    <w:name w:val="Document Map Char1"/>
    <w:rsid w:val="002831AB"/>
    <w:rPr>
      <w:rFonts w:ascii="Tahoma" w:eastAsia="Batang" w:hAnsi="Tahoma"/>
      <w:sz w:val="20"/>
      <w:shd w:val="clear" w:color="auto" w:fill="000080"/>
      <w:lang w:val="en-US" w:eastAsia="x-none"/>
    </w:rPr>
  </w:style>
  <w:style w:type="character" w:customStyle="1" w:styleId="SignatureChar1">
    <w:name w:val="Signature Char1"/>
    <w:rsid w:val="002831AB"/>
    <w:rPr>
      <w:rFonts w:ascii="Times New Roman" w:eastAsia="Batang" w:hAnsi="Times New Roman"/>
      <w:sz w:val="20"/>
      <w:lang w:val="en-US" w:eastAsia="x-none"/>
    </w:rPr>
  </w:style>
  <w:style w:type="character" w:customStyle="1" w:styleId="ClosingChar1">
    <w:name w:val="Closing Char1"/>
    <w:rsid w:val="002831AB"/>
    <w:rPr>
      <w:rFonts w:ascii="Times New Roman" w:eastAsia="Batang" w:hAnsi="Times New Roman"/>
      <w:sz w:val="20"/>
      <w:lang w:val="en-US" w:eastAsia="x-none"/>
    </w:rPr>
  </w:style>
  <w:style w:type="character" w:customStyle="1" w:styleId="SalutationChar1">
    <w:name w:val="Salutation Char1"/>
    <w:rsid w:val="002831AB"/>
    <w:rPr>
      <w:rFonts w:ascii="Times New Roman" w:eastAsia="Batang" w:hAnsi="Times New Roman"/>
      <w:sz w:val="24"/>
      <w:lang w:val="en-US" w:eastAsia="es-ES"/>
    </w:rPr>
  </w:style>
  <w:style w:type="character" w:customStyle="1" w:styleId="SubtitleChar1">
    <w:name w:val="Subtitle Char1"/>
    <w:rsid w:val="002831AB"/>
    <w:rPr>
      <w:rFonts w:ascii="Times New Roman" w:eastAsia="Batang" w:hAnsi="Times New Roman"/>
      <w:sz w:val="24"/>
      <w:lang w:val="en-US" w:eastAsia="es-ES"/>
    </w:rPr>
  </w:style>
  <w:style w:type="character" w:customStyle="1" w:styleId="HTMLAddressChar1">
    <w:name w:val="HTML Address Char1"/>
    <w:rsid w:val="002831AB"/>
    <w:rPr>
      <w:rFonts w:ascii="Times New Roman" w:eastAsia="Batang" w:hAnsi="Times New Roman"/>
      <w:i/>
      <w:sz w:val="20"/>
      <w:lang w:val="en-US" w:eastAsia="es-ES"/>
    </w:rPr>
  </w:style>
  <w:style w:type="character" w:customStyle="1" w:styleId="MessageHeaderChar1">
    <w:name w:val="Message Header Char1"/>
    <w:rsid w:val="002831AB"/>
    <w:rPr>
      <w:rFonts w:ascii="Arial" w:eastAsia="Batang" w:hAnsi="Arial"/>
      <w:sz w:val="24"/>
      <w:shd w:val="pct20" w:color="auto" w:fill="auto"/>
      <w:lang w:val="en-US" w:eastAsia="es-ES"/>
    </w:rPr>
  </w:style>
  <w:style w:type="character" w:customStyle="1" w:styleId="NoteHeadingChar1">
    <w:name w:val="Note Heading Char1"/>
    <w:rsid w:val="002831AB"/>
    <w:rPr>
      <w:rFonts w:ascii="Times New Roman" w:eastAsia="Batang" w:hAnsi="Times New Roman"/>
      <w:sz w:val="20"/>
      <w:lang w:val="en-US" w:eastAsia="es-ES"/>
    </w:rPr>
  </w:style>
  <w:style w:type="character" w:customStyle="1" w:styleId="E-mailSignatureChar1">
    <w:name w:val="E-mail Signature Char1"/>
    <w:rsid w:val="002831AB"/>
    <w:rPr>
      <w:rFonts w:ascii="Times New Roman" w:eastAsia="Batang" w:hAnsi="Times New Roman"/>
      <w:sz w:val="20"/>
      <w:lang w:val="en-US" w:eastAsia="es-ES"/>
    </w:rPr>
  </w:style>
  <w:style w:type="character" w:customStyle="1" w:styleId="PlainTextChar1">
    <w:name w:val="Plain Text Char1"/>
    <w:rsid w:val="002831AB"/>
    <w:rPr>
      <w:rFonts w:ascii="Courier New" w:eastAsia="Batang" w:hAnsi="Courier New"/>
      <w:sz w:val="20"/>
      <w:lang w:val="en-US" w:eastAsia="es-ES"/>
    </w:rPr>
  </w:style>
  <w:style w:type="character" w:customStyle="1" w:styleId="BodyText3Char1">
    <w:name w:val="Body Text 3 Char1"/>
    <w:rsid w:val="002831AB"/>
    <w:rPr>
      <w:rFonts w:ascii="Tms Rmn" w:eastAsia="Batang" w:hAnsi="Tms Rmn"/>
      <w:color w:val="FF0000"/>
      <w:sz w:val="20"/>
      <w:lang w:val="en-US" w:eastAsia="x-none"/>
    </w:rPr>
  </w:style>
  <w:style w:type="paragraph" w:customStyle="1" w:styleId="BalloonText2">
    <w:name w:val="Balloon Text2"/>
    <w:basedOn w:val="Normal"/>
    <w:rsid w:val="002831AB"/>
    <w:pPr>
      <w:tabs>
        <w:tab w:val="left" w:pos="720"/>
      </w:tabs>
      <w:autoSpaceDE w:val="0"/>
      <w:autoSpaceDN w:val="0"/>
      <w:adjustRightInd w:val="0"/>
    </w:pPr>
    <w:rPr>
      <w:rFonts w:ascii="Tahoma" w:eastAsia="Batang" w:hAnsi="Tahoma" w:cs="Tahoma"/>
      <w:sz w:val="16"/>
      <w:szCs w:val="16"/>
      <w:lang w:val="en-US" w:eastAsia="es-AR"/>
    </w:rPr>
  </w:style>
  <w:style w:type="paragraph" w:customStyle="1" w:styleId="Revisin10">
    <w:name w:val="Revisión1"/>
    <w:hidden/>
    <w:rsid w:val="00661E40"/>
    <w:rPr>
      <w:rFonts w:ascii="Batang" w:eastAsia="Batang"/>
      <w:lang w:val="en-US"/>
    </w:rPr>
  </w:style>
  <w:style w:type="paragraph" w:customStyle="1" w:styleId="Sinespaciado10">
    <w:name w:val="Sin espaciado1"/>
    <w:next w:val="TableBody"/>
    <w:qFormat/>
    <w:rsid w:val="00661E40"/>
    <w:rPr>
      <w:rFonts w:ascii="Arial" w:eastAsia="Batang" w:hAnsi="Arial" w:cs="Arial"/>
      <w:b/>
      <w:bCs/>
      <w:sz w:val="18"/>
      <w:szCs w:val="18"/>
      <w:lang w:val="en-US"/>
    </w:rPr>
  </w:style>
  <w:style w:type="character" w:customStyle="1" w:styleId="NoSpacingChar">
    <w:name w:val="No Spacing Char"/>
    <w:rsid w:val="002831AB"/>
    <w:rPr>
      <w:rFonts w:ascii="Arial" w:hAnsi="Arial"/>
      <w:b/>
      <w:sz w:val="18"/>
      <w:lang w:val="en-US" w:eastAsia="es-ES"/>
    </w:rPr>
  </w:style>
  <w:style w:type="paragraph" w:customStyle="1" w:styleId="Outline1L1">
    <w:name w:val="Outline1_L1"/>
    <w:basedOn w:val="Normal"/>
    <w:next w:val="Normal"/>
    <w:rsid w:val="002831AB"/>
    <w:pPr>
      <w:keepNext/>
      <w:numPr>
        <w:numId w:val="35"/>
      </w:numPr>
      <w:autoSpaceDE w:val="0"/>
      <w:autoSpaceDN w:val="0"/>
      <w:adjustRightInd w:val="0"/>
      <w:spacing w:after="240"/>
      <w:jc w:val="center"/>
      <w:outlineLvl w:val="0"/>
    </w:pPr>
    <w:rPr>
      <w:rFonts w:ascii="Times New Roman" w:eastAsia="PMingLiU" w:hAnsi="Times New Roman"/>
      <w:b/>
      <w:caps/>
      <w:lang w:val="en-US" w:eastAsia="es-AR"/>
    </w:rPr>
  </w:style>
  <w:style w:type="paragraph" w:customStyle="1" w:styleId="Outline1L2">
    <w:name w:val="Outline1_L2"/>
    <w:basedOn w:val="Outline1L1"/>
    <w:next w:val="Normal"/>
    <w:rsid w:val="002831AB"/>
    <w:pPr>
      <w:numPr>
        <w:ilvl w:val="1"/>
      </w:numPr>
      <w:tabs>
        <w:tab w:val="num" w:pos="1440"/>
      </w:tabs>
      <w:spacing w:before="600"/>
      <w:ind w:left="1440" w:hanging="360"/>
      <w:outlineLvl w:val="1"/>
    </w:pPr>
    <w:rPr>
      <w:rFonts w:ascii="Times New Roman Bold" w:hAnsi="Times New Roman Bold"/>
    </w:rPr>
  </w:style>
  <w:style w:type="paragraph" w:customStyle="1" w:styleId="Outline1L3">
    <w:name w:val="Outline1_L3"/>
    <w:basedOn w:val="Outline1L2"/>
    <w:next w:val="Normal"/>
    <w:rsid w:val="002831AB"/>
    <w:pPr>
      <w:numPr>
        <w:ilvl w:val="2"/>
      </w:numPr>
      <w:tabs>
        <w:tab w:val="num" w:pos="2160"/>
      </w:tabs>
      <w:spacing w:before="0"/>
      <w:ind w:left="2160" w:hanging="180"/>
      <w:jc w:val="left"/>
      <w:outlineLvl w:val="2"/>
    </w:pPr>
    <w:rPr>
      <w:smallCaps/>
    </w:rPr>
  </w:style>
  <w:style w:type="paragraph" w:customStyle="1" w:styleId="Outline1L4">
    <w:name w:val="Outline1_L4"/>
    <w:basedOn w:val="Outline1L3"/>
    <w:next w:val="Normal"/>
    <w:rsid w:val="002831AB"/>
    <w:pPr>
      <w:numPr>
        <w:ilvl w:val="3"/>
      </w:numPr>
      <w:tabs>
        <w:tab w:val="num" w:pos="2880"/>
      </w:tabs>
      <w:ind w:left="2880" w:hanging="360"/>
      <w:outlineLvl w:val="3"/>
    </w:pPr>
    <w:rPr>
      <w:smallCaps w:val="0"/>
    </w:rPr>
  </w:style>
  <w:style w:type="paragraph" w:customStyle="1" w:styleId="Outline1L5">
    <w:name w:val="Outline1_L5"/>
    <w:basedOn w:val="Outline1L4"/>
    <w:next w:val="Normal"/>
    <w:rsid w:val="002831AB"/>
    <w:pPr>
      <w:keepNext w:val="0"/>
      <w:numPr>
        <w:ilvl w:val="4"/>
      </w:numPr>
      <w:tabs>
        <w:tab w:val="clear" w:pos="2340"/>
        <w:tab w:val="num" w:pos="3600"/>
      </w:tabs>
      <w:ind w:left="3600" w:hanging="360"/>
      <w:outlineLvl w:val="4"/>
    </w:pPr>
    <w:rPr>
      <w:rFonts w:ascii="Times New Roman" w:hAnsi="Times New Roman"/>
      <w:b w:val="0"/>
    </w:rPr>
  </w:style>
  <w:style w:type="paragraph" w:customStyle="1" w:styleId="Outline1L6">
    <w:name w:val="Outline1_L6"/>
    <w:basedOn w:val="Outline1L5"/>
    <w:next w:val="Normal"/>
    <w:rsid w:val="002831AB"/>
    <w:pPr>
      <w:numPr>
        <w:ilvl w:val="5"/>
      </w:numPr>
      <w:tabs>
        <w:tab w:val="clear" w:pos="3060"/>
        <w:tab w:val="num" w:pos="4320"/>
      </w:tabs>
      <w:ind w:left="4320" w:hanging="180"/>
      <w:outlineLvl w:val="5"/>
    </w:pPr>
  </w:style>
  <w:style w:type="paragraph" w:customStyle="1" w:styleId="Outline1L7">
    <w:name w:val="Outline1_L7"/>
    <w:basedOn w:val="Outline1L6"/>
    <w:next w:val="Normal"/>
    <w:rsid w:val="002831AB"/>
    <w:pPr>
      <w:numPr>
        <w:ilvl w:val="6"/>
      </w:numPr>
      <w:tabs>
        <w:tab w:val="clear" w:pos="180"/>
        <w:tab w:val="num" w:pos="5040"/>
      </w:tabs>
      <w:ind w:left="5040" w:hanging="360"/>
      <w:outlineLvl w:val="6"/>
    </w:pPr>
  </w:style>
  <w:style w:type="character" w:customStyle="1" w:styleId="z-PrincipiodelformularioCar">
    <w:name w:val="z-Principio del formulario Car"/>
    <w:rsid w:val="002831AB"/>
    <w:rPr>
      <w:rFonts w:ascii="Arial" w:hAnsi="Arial"/>
      <w:vanish/>
      <w:sz w:val="16"/>
      <w:lang w:val="es-ES" w:eastAsia="es-ES"/>
    </w:rPr>
  </w:style>
  <w:style w:type="character" w:customStyle="1" w:styleId="acta">
    <w:name w:val="acta"/>
    <w:rsid w:val="002831AB"/>
    <w:rPr>
      <w:rFonts w:ascii="Courier" w:hAnsi="Courier"/>
    </w:rPr>
  </w:style>
  <w:style w:type="character" w:customStyle="1" w:styleId="atn">
    <w:name w:val="atn"/>
    <w:rsid w:val="002831AB"/>
  </w:style>
  <w:style w:type="paragraph" w:customStyle="1" w:styleId="TSHParagraph">
    <w:name w:val="TSH Paragraph"/>
    <w:basedOn w:val="Normal"/>
    <w:rsid w:val="002831AB"/>
    <w:pPr>
      <w:tabs>
        <w:tab w:val="left" w:leader="dot" w:pos="3600"/>
      </w:tabs>
      <w:autoSpaceDE w:val="0"/>
      <w:autoSpaceDN w:val="0"/>
      <w:adjustRightInd w:val="0"/>
      <w:spacing w:after="240"/>
      <w:ind w:left="3600" w:hanging="3600"/>
      <w:jc w:val="both"/>
    </w:pPr>
    <w:rPr>
      <w:rFonts w:ascii="Times New Roman" w:hAnsi="Times New Roman"/>
      <w:sz w:val="22"/>
      <w:lang w:val="en-US" w:eastAsia="es-AR"/>
    </w:rPr>
  </w:style>
  <w:style w:type="paragraph" w:customStyle="1" w:styleId="TSHParaLine1">
    <w:name w:val="TSH Para Line 1"/>
    <w:basedOn w:val="TSHParagraph"/>
    <w:rsid w:val="002831AB"/>
    <w:pPr>
      <w:spacing w:after="0"/>
      <w:ind w:left="0" w:firstLine="0"/>
    </w:pPr>
  </w:style>
  <w:style w:type="paragraph" w:customStyle="1" w:styleId="titulonota">
    <w:name w:val="titulo_nota"/>
    <w:basedOn w:val="Normal"/>
    <w:rsid w:val="002831AB"/>
    <w:pPr>
      <w:autoSpaceDE w:val="0"/>
      <w:autoSpaceDN w:val="0"/>
      <w:adjustRightInd w:val="0"/>
      <w:spacing w:before="100" w:beforeAutospacing="1" w:after="100" w:afterAutospacing="1" w:line="280" w:lineRule="atLeast"/>
    </w:pPr>
    <w:rPr>
      <w:rFonts w:ascii="Arial" w:hAnsi="Arial" w:cs="Arial"/>
      <w:b/>
      <w:bCs/>
      <w:color w:val="222262"/>
      <w:sz w:val="26"/>
      <w:szCs w:val="26"/>
      <w:lang w:val="en-US" w:eastAsia="es-AR"/>
    </w:rPr>
  </w:style>
  <w:style w:type="paragraph" w:customStyle="1" w:styleId="textonota7">
    <w:name w:val="texto_nota"/>
    <w:basedOn w:val="Normal"/>
    <w:rsid w:val="002831AB"/>
    <w:pPr>
      <w:autoSpaceDE w:val="0"/>
      <w:autoSpaceDN w:val="0"/>
      <w:adjustRightInd w:val="0"/>
      <w:spacing w:before="100" w:beforeAutospacing="1" w:after="100" w:afterAutospacing="1"/>
    </w:pPr>
    <w:rPr>
      <w:rFonts w:ascii="Arial" w:hAnsi="Arial" w:cs="Arial"/>
      <w:sz w:val="18"/>
      <w:szCs w:val="18"/>
      <w:lang w:val="en-US" w:eastAsia="es-AR"/>
    </w:rPr>
  </w:style>
  <w:style w:type="paragraph" w:customStyle="1" w:styleId="P10">
    <w:name w:val="P1"/>
    <w:rsid w:val="002831AB"/>
    <w:pPr>
      <w:widowControl w:val="0"/>
      <w:autoSpaceDE w:val="0"/>
      <w:autoSpaceDN w:val="0"/>
      <w:adjustRightInd w:val="0"/>
      <w:spacing w:line="240" w:lineRule="exact"/>
    </w:pPr>
    <w:rPr>
      <w:lang w:val="en-US"/>
    </w:rPr>
  </w:style>
  <w:style w:type="character" w:customStyle="1" w:styleId="Textoindependiente2Car1">
    <w:name w:val="Texto independiente 2 Car1"/>
    <w:aliases w:val="b2 Car1"/>
    <w:locked/>
    <w:rsid w:val="002831AB"/>
    <w:rPr>
      <w:sz w:val="20"/>
      <w:lang w:val="en-US" w:eastAsia="x-none"/>
    </w:rPr>
  </w:style>
  <w:style w:type="character" w:customStyle="1" w:styleId="Ttulo5Car2">
    <w:name w:val="Título 5 Car2"/>
    <w:semiHidden/>
    <w:locked/>
    <w:rsid w:val="002831AB"/>
    <w:rPr>
      <w:rFonts w:ascii="Calibri" w:hAnsi="Calibri"/>
      <w:b/>
      <w:i/>
      <w:sz w:val="26"/>
      <w:lang w:val="es-ES" w:eastAsia="es-ES"/>
    </w:rPr>
  </w:style>
  <w:style w:type="paragraph" w:customStyle="1" w:styleId="CarCarCarCarCarCarCarCar3CarCarCarCarCarCarCarCarCar1CarCarCar">
    <w:name w:val="Car Car Car Car Car Car Car Car3 Car Car Car Car Car Car Car Car Car1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CarCar3CarCarCarCarCarCarCarCarCar1Car">
    <w:name w:val="Car Car Car Car Car Car Car Car3 Car Car Car Car Car Car Car Car Car1 Car"/>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Ttulo2Car1">
    <w:name w:val="Título 2 Car1"/>
    <w:aliases w:val="Tight Slug Car1,Major Car1,T咜ulo 2 Car1,título 2 Car1,h2 Car1,H2 Car1,OPA Car1"/>
    <w:locked/>
    <w:rsid w:val="002831AB"/>
    <w:rPr>
      <w:rFonts w:ascii="Arial" w:hAnsi="Arial"/>
      <w:b/>
      <w:i/>
      <w:sz w:val="28"/>
      <w:lang w:val="en-US" w:eastAsia="x-none"/>
    </w:rPr>
  </w:style>
  <w:style w:type="character" w:customStyle="1" w:styleId="Ttulo3Car1">
    <w:name w:val="Título 3 Car1"/>
    <w:aliases w:val="Note to Director Car1,título 3 Car1,h3 Car1,H3 Car1,3 Car1,TITULOS negrita Car1"/>
    <w:locked/>
    <w:rsid w:val="002831AB"/>
    <w:rPr>
      <w:rFonts w:ascii="Arial" w:hAnsi="Arial"/>
      <w:b/>
      <w:sz w:val="26"/>
      <w:lang w:val="es-ES" w:eastAsia="es-ES"/>
    </w:rPr>
  </w:style>
  <w:style w:type="character" w:customStyle="1" w:styleId="EstiloCorreo1301">
    <w:name w:val="EstiloCorreo1301"/>
    <w:semiHidden/>
    <w:rsid w:val="002831AB"/>
    <w:rPr>
      <w:rFonts w:ascii="Arial" w:hAnsi="Arial"/>
      <w:color w:val="auto"/>
      <w:sz w:val="20"/>
    </w:rPr>
  </w:style>
  <w:style w:type="character" w:customStyle="1" w:styleId="EstiloCorreo1461">
    <w:name w:val="EstiloCorreo1461"/>
    <w:semiHidden/>
    <w:rsid w:val="002831AB"/>
    <w:rPr>
      <w:rFonts w:ascii="Arial" w:hAnsi="Arial"/>
      <w:color w:val="auto"/>
      <w:sz w:val="20"/>
    </w:rPr>
  </w:style>
  <w:style w:type="character" w:customStyle="1" w:styleId="EstiloCorreo1471">
    <w:name w:val="EstiloCorreo1471"/>
    <w:semiHidden/>
    <w:rsid w:val="002831AB"/>
    <w:rPr>
      <w:rFonts w:ascii="Arial" w:hAnsi="Arial"/>
      <w:color w:val="auto"/>
      <w:sz w:val="20"/>
    </w:rPr>
  </w:style>
  <w:style w:type="character" w:customStyle="1" w:styleId="EstiloCorreo1651">
    <w:name w:val="EstiloCorreo1651"/>
    <w:semiHidden/>
    <w:rsid w:val="002831AB"/>
    <w:rPr>
      <w:rFonts w:ascii="Arial" w:hAnsi="Arial"/>
      <w:color w:val="auto"/>
      <w:sz w:val="20"/>
    </w:rPr>
  </w:style>
  <w:style w:type="character" w:customStyle="1" w:styleId="EstiloCorreo1661">
    <w:name w:val="EstiloCorreo1661"/>
    <w:semiHidden/>
    <w:rsid w:val="002831AB"/>
    <w:rPr>
      <w:rFonts w:ascii="Arial" w:hAnsi="Arial"/>
      <w:color w:val="auto"/>
      <w:sz w:val="20"/>
    </w:rPr>
  </w:style>
  <w:style w:type="character" w:customStyle="1" w:styleId="EstiloCorreo1671">
    <w:name w:val="EstiloCorreo1671"/>
    <w:semiHidden/>
    <w:rsid w:val="002831AB"/>
    <w:rPr>
      <w:rFonts w:ascii="Arial" w:hAnsi="Arial"/>
      <w:color w:val="auto"/>
      <w:sz w:val="20"/>
    </w:rPr>
  </w:style>
  <w:style w:type="character" w:customStyle="1" w:styleId="BodySingleChar">
    <w:name w:val="Body Single Char"/>
    <w:rsid w:val="002831AB"/>
    <w:rPr>
      <w:sz w:val="24"/>
      <w:lang w:val="en-US" w:eastAsia="es-ES"/>
    </w:rPr>
  </w:style>
  <w:style w:type="paragraph" w:customStyle="1" w:styleId="Textonota21">
    <w:name w:val="Texto nota 2"/>
    <w:basedOn w:val="Normal"/>
    <w:rsid w:val="002831AB"/>
    <w:pPr>
      <w:autoSpaceDE w:val="0"/>
      <w:autoSpaceDN w:val="0"/>
      <w:adjustRightInd w:val="0"/>
      <w:ind w:left="1152"/>
    </w:pPr>
    <w:rPr>
      <w:rFonts w:ascii="Arial" w:hAnsi="Arial"/>
      <w:sz w:val="19"/>
      <w:lang w:val="en-US" w:eastAsia="es-AR"/>
    </w:rPr>
  </w:style>
  <w:style w:type="paragraph" w:customStyle="1" w:styleId="carol1">
    <w:name w:val="carol1"/>
    <w:basedOn w:val="Normal"/>
    <w:rsid w:val="002831AB"/>
    <w:pPr>
      <w:autoSpaceDE w:val="0"/>
      <w:autoSpaceDN w:val="0"/>
      <w:adjustRightInd w:val="0"/>
      <w:spacing w:line="240" w:lineRule="atLeast"/>
    </w:pPr>
    <w:rPr>
      <w:rFonts w:ascii="Times New Roman" w:hAnsi="Times New Roman"/>
      <w:sz w:val="22"/>
      <w:lang w:val="en-GB" w:eastAsia="es-AR"/>
    </w:rPr>
  </w:style>
  <w:style w:type="paragraph" w:customStyle="1" w:styleId="Textospie8">
    <w:name w:val="Textos pie ( 8 )"/>
    <w:basedOn w:val="Normal"/>
    <w:rsid w:val="002831AB"/>
    <w:pPr>
      <w:numPr>
        <w:numId w:val="36"/>
      </w:numPr>
      <w:tabs>
        <w:tab w:val="clear" w:pos="720"/>
      </w:tabs>
      <w:autoSpaceDE w:val="0"/>
      <w:autoSpaceDN w:val="0"/>
      <w:adjustRightInd w:val="0"/>
      <w:ind w:left="0" w:firstLine="0"/>
      <w:jc w:val="both"/>
    </w:pPr>
    <w:rPr>
      <w:rFonts w:ascii="Arial" w:hAnsi="Arial"/>
      <w:sz w:val="16"/>
      <w:lang w:val="en-US" w:eastAsia="es-AR"/>
    </w:rPr>
  </w:style>
  <w:style w:type="paragraph" w:customStyle="1" w:styleId="Style10">
    <w:name w:val="Style 1"/>
    <w:basedOn w:val="Normal"/>
    <w:rsid w:val="002831AB"/>
    <w:pPr>
      <w:widowControl w:val="0"/>
      <w:autoSpaceDE w:val="0"/>
      <w:autoSpaceDN w:val="0"/>
      <w:adjustRightInd w:val="0"/>
    </w:pPr>
    <w:rPr>
      <w:rFonts w:ascii="Times New Roman" w:hAnsi="Times New Roman"/>
      <w:lang w:val="en-US" w:eastAsia="es-AR"/>
    </w:rPr>
  </w:style>
  <w:style w:type="paragraph" w:customStyle="1" w:styleId="2titulo">
    <w:name w:val="2titulo"/>
    <w:basedOn w:val="Normal"/>
    <w:rsid w:val="002831AB"/>
    <w:pPr>
      <w:autoSpaceDE w:val="0"/>
      <w:autoSpaceDN w:val="0"/>
      <w:adjustRightInd w:val="0"/>
    </w:pPr>
    <w:rPr>
      <w:rFonts w:ascii="Times New Roman" w:hAnsi="Times New Roman"/>
      <w:lang w:val="en-US" w:eastAsia="es-AR"/>
    </w:rPr>
  </w:style>
  <w:style w:type="paragraph" w:customStyle="1" w:styleId="CharCharCharCharCharCharCharChar">
    <w:name w:val="Char Char Char Char Char Char Char Char"/>
    <w:basedOn w:val="Normal"/>
    <w:rsid w:val="002831AB"/>
    <w:pPr>
      <w:tabs>
        <w:tab w:val="left" w:pos="720"/>
      </w:tabs>
      <w:autoSpaceDE w:val="0"/>
      <w:autoSpaceDN w:val="0"/>
      <w:adjustRightInd w:val="0"/>
      <w:spacing w:after="160" w:line="240" w:lineRule="exact"/>
    </w:pPr>
    <w:rPr>
      <w:rFonts w:ascii="Verdana" w:eastAsia="Batang" w:hAnsi="Verdana"/>
      <w:lang w:val="en-US" w:eastAsia="es-AR"/>
    </w:rPr>
  </w:style>
  <w:style w:type="paragraph" w:customStyle="1" w:styleId="titlet">
    <w:name w:val="title t"/>
    <w:basedOn w:val="Subttulo"/>
    <w:rsid w:val="002831AB"/>
    <w:pPr>
      <w:ind w:left="700" w:hanging="700"/>
      <w:jc w:val="left"/>
      <w:outlineLvl w:val="9"/>
    </w:pPr>
    <w:rPr>
      <w:rFonts w:eastAsia="MS Mincho"/>
      <w:b/>
      <w:bCs/>
    </w:rPr>
  </w:style>
  <w:style w:type="paragraph" w:customStyle="1" w:styleId="Timesnewroman">
    <w:name w:val="Times new roman"/>
    <w:basedOn w:val="Normal"/>
    <w:rsid w:val="002831AB"/>
    <w:pPr>
      <w:autoSpaceDE w:val="0"/>
      <w:autoSpaceDN w:val="0"/>
      <w:adjustRightInd w:val="0"/>
    </w:pPr>
    <w:rPr>
      <w:rFonts w:ascii="Arial" w:hAnsi="Arial" w:cs="Arial"/>
      <w:sz w:val="18"/>
      <w:szCs w:val="18"/>
      <w:lang w:val="en-US" w:eastAsia="es-AR"/>
    </w:rPr>
  </w:style>
  <w:style w:type="paragraph" w:customStyle="1" w:styleId="CharCharCharCharChar">
    <w:name w:val="Char Char Char Char Char"/>
    <w:basedOn w:val="Normal"/>
    <w:rsid w:val="002831AB"/>
    <w:pPr>
      <w:tabs>
        <w:tab w:val="left" w:pos="720"/>
      </w:tabs>
      <w:autoSpaceDE w:val="0"/>
      <w:autoSpaceDN w:val="0"/>
      <w:adjustRightInd w:val="0"/>
      <w:spacing w:after="160" w:line="240" w:lineRule="exact"/>
    </w:pPr>
    <w:rPr>
      <w:rFonts w:ascii="Verdana" w:eastAsia="Batang" w:hAnsi="Verdana"/>
      <w:lang w:val="en-US" w:eastAsia="es-AR"/>
    </w:rPr>
  </w:style>
  <w:style w:type="paragraph" w:customStyle="1" w:styleId="btext">
    <w:name w:val="btext"/>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Memo">
    <w:name w:val="Memo"/>
    <w:basedOn w:val="Normal"/>
    <w:rsid w:val="002831AB"/>
    <w:pPr>
      <w:autoSpaceDE w:val="0"/>
      <w:autoSpaceDN w:val="0"/>
      <w:adjustRightInd w:val="0"/>
      <w:spacing w:before="120" w:line="240" w:lineRule="atLeast"/>
      <w:jc w:val="both"/>
    </w:pPr>
    <w:rPr>
      <w:rFonts w:ascii="Arial" w:hAnsi="Arial"/>
      <w:color w:val="000000"/>
      <w:lang w:val="en-US" w:eastAsia="es-AR"/>
    </w:rPr>
  </w:style>
  <w:style w:type="character" w:customStyle="1" w:styleId="MemoChar">
    <w:name w:val="Memo Char"/>
    <w:rsid w:val="002831AB"/>
    <w:rPr>
      <w:rFonts w:ascii="Arial" w:hAnsi="Arial"/>
      <w:color w:val="000000"/>
      <w:sz w:val="24"/>
      <w:lang w:val="en-US" w:eastAsia="x-none"/>
    </w:rPr>
  </w:style>
  <w:style w:type="paragraph" w:customStyle="1" w:styleId="Pa7">
    <w:name w:val="Pa7"/>
    <w:basedOn w:val="Normal"/>
    <w:next w:val="Normal"/>
    <w:rsid w:val="002831AB"/>
    <w:pPr>
      <w:autoSpaceDE w:val="0"/>
      <w:autoSpaceDN w:val="0"/>
      <w:adjustRightInd w:val="0"/>
      <w:spacing w:after="140" w:line="156" w:lineRule="atLeast"/>
    </w:pPr>
    <w:rPr>
      <w:rFonts w:ascii="HelveticaNeueLT Std" w:hAnsi="HelveticaNeueLT Std"/>
      <w:lang w:eastAsia="es-AR"/>
    </w:rPr>
  </w:style>
  <w:style w:type="character" w:customStyle="1" w:styleId="A6">
    <w:name w:val="A6"/>
    <w:rsid w:val="002831AB"/>
    <w:rPr>
      <w:rFonts w:ascii="HelveticaNeueLT Std Cn" w:hAnsi="HelveticaNeueLT Std Cn"/>
      <w:b/>
      <w:color w:val="000000"/>
      <w:sz w:val="13"/>
    </w:rPr>
  </w:style>
  <w:style w:type="paragraph" w:customStyle="1" w:styleId="Pa23">
    <w:name w:val="Pa23"/>
    <w:basedOn w:val="Normal"/>
    <w:next w:val="Normal"/>
    <w:rsid w:val="002831AB"/>
    <w:pPr>
      <w:autoSpaceDE w:val="0"/>
      <w:autoSpaceDN w:val="0"/>
      <w:adjustRightInd w:val="0"/>
      <w:spacing w:line="156" w:lineRule="atLeast"/>
    </w:pPr>
    <w:rPr>
      <w:rFonts w:ascii="HelveticaNeueLT Std" w:hAnsi="HelveticaNeueLT Std"/>
      <w:lang w:eastAsia="es-AR"/>
    </w:rPr>
  </w:style>
  <w:style w:type="paragraph" w:customStyle="1" w:styleId="Pa27">
    <w:name w:val="Pa27"/>
    <w:basedOn w:val="Normal"/>
    <w:next w:val="Normal"/>
    <w:rsid w:val="002831AB"/>
    <w:pPr>
      <w:autoSpaceDE w:val="0"/>
      <w:autoSpaceDN w:val="0"/>
      <w:adjustRightInd w:val="0"/>
      <w:spacing w:after="140" w:line="156" w:lineRule="atLeast"/>
    </w:pPr>
    <w:rPr>
      <w:rFonts w:ascii="HelveticaNeueLT Std" w:hAnsi="HelveticaNeueLT Std"/>
      <w:lang w:eastAsia="es-AR"/>
    </w:rPr>
  </w:style>
  <w:style w:type="character" w:customStyle="1" w:styleId="A11">
    <w:name w:val="A11"/>
    <w:rsid w:val="002831AB"/>
    <w:rPr>
      <w:color w:val="000000"/>
      <w:sz w:val="15"/>
    </w:rPr>
  </w:style>
  <w:style w:type="character" w:customStyle="1" w:styleId="A10">
    <w:name w:val="A10"/>
    <w:rsid w:val="002831AB"/>
    <w:rPr>
      <w:b/>
      <w:color w:val="000000"/>
      <w:sz w:val="9"/>
    </w:rPr>
  </w:style>
  <w:style w:type="character" w:customStyle="1" w:styleId="nfasisintenso1">
    <w:name w:val="Énfasis intenso1"/>
    <w:rsid w:val="002831AB"/>
    <w:rPr>
      <w:b/>
      <w:i/>
      <w:color w:val="4F81BD"/>
    </w:rPr>
  </w:style>
  <w:style w:type="paragraph" w:customStyle="1" w:styleId="Citadestacada1">
    <w:name w:val="Cita destacada1"/>
    <w:basedOn w:val="Normal"/>
    <w:next w:val="Normal"/>
    <w:link w:val="IntenseQuoteChar"/>
    <w:rsid w:val="002831AB"/>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IntenseQuoteChar">
    <w:name w:val="Intense Quote Char"/>
    <w:link w:val="Citadestacada1"/>
    <w:locked/>
    <w:rsid w:val="002831AB"/>
    <w:rPr>
      <w:rFonts w:ascii="Times New Roman" w:eastAsia="Times New Roman" w:hAnsi="Times New Roman"/>
      <w:b/>
      <w:i/>
      <w:color w:val="4F81BD"/>
      <w:lang w:val="en-US" w:eastAsia="es-AR"/>
    </w:rPr>
  </w:style>
  <w:style w:type="character" w:customStyle="1" w:styleId="Referenciaintensa1">
    <w:name w:val="Referencia intensa1"/>
    <w:rsid w:val="002831AB"/>
    <w:rPr>
      <w:b/>
      <w:smallCaps/>
      <w:color w:val="C0504D"/>
      <w:spacing w:val="5"/>
      <w:u w:val="single"/>
    </w:rPr>
  </w:style>
  <w:style w:type="character" w:customStyle="1" w:styleId="nfasissutil1">
    <w:name w:val="Énfasis sutil1"/>
    <w:rsid w:val="002831AB"/>
    <w:rPr>
      <w:i/>
      <w:color w:val="808080"/>
    </w:rPr>
  </w:style>
  <w:style w:type="character" w:customStyle="1" w:styleId="Referenciasutil1">
    <w:name w:val="Referencia sutil1"/>
    <w:rsid w:val="002831AB"/>
    <w:rPr>
      <w:smallCaps/>
      <w:color w:val="C0504D"/>
      <w:u w:val="single"/>
    </w:rPr>
  </w:style>
  <w:style w:type="paragraph" w:customStyle="1" w:styleId="SectionHeading">
    <w:name w:val="Section Heading"/>
    <w:basedOn w:val="Ttulo1"/>
    <w:next w:val="Textoindependiente"/>
    <w:qFormat/>
    <w:rsid w:val="00B86C83"/>
    <w:pPr>
      <w:pageBreakBefore/>
      <w:framePr w:w="10478" w:wrap="notBeside" w:vAnchor="page" w:hAnchor="margin" w:y="1135"/>
      <w:autoSpaceDE w:val="0"/>
      <w:autoSpaceDN w:val="0"/>
      <w:adjustRightInd w:val="0"/>
      <w:spacing w:before="0" w:after="120" w:line="720" w:lineRule="exact"/>
    </w:pPr>
    <w:rPr>
      <w:rFonts w:ascii="Georgia" w:hAnsi="Georgia"/>
      <w:b w:val="0"/>
      <w:color w:val="968C6D"/>
      <w:sz w:val="72"/>
    </w:rPr>
  </w:style>
  <w:style w:type="paragraph" w:customStyle="1" w:styleId="Logo">
    <w:name w:val="Logo"/>
    <w:basedOn w:val="Normal"/>
    <w:next w:val="Textoindependiente"/>
    <w:qFormat/>
    <w:rsid w:val="00B86C83"/>
    <w:pPr>
      <w:autoSpaceDE w:val="0"/>
      <w:autoSpaceDN w:val="0"/>
      <w:adjustRightInd w:val="0"/>
      <w:spacing w:line="204" w:lineRule="auto"/>
      <w:jc w:val="right"/>
    </w:pPr>
    <w:rPr>
      <w:rFonts w:ascii="PwC_Logo" w:hAnsi="PwC_Logo"/>
      <w:color w:val="968C6D"/>
      <w:sz w:val="48"/>
      <w:szCs w:val="48"/>
      <w:lang w:val="en-US" w:eastAsia="es-AR"/>
    </w:rPr>
  </w:style>
  <w:style w:type="paragraph" w:customStyle="1" w:styleId="TextePrinc">
    <w:name w:val="TextePrinc"/>
    <w:basedOn w:val="Normal"/>
    <w:rsid w:val="002831AB"/>
    <w:pPr>
      <w:tabs>
        <w:tab w:val="left" w:pos="1413"/>
        <w:tab w:val="left" w:pos="2122"/>
        <w:tab w:val="left" w:pos="2832"/>
        <w:tab w:val="left" w:pos="3538"/>
        <w:tab w:val="left" w:pos="4248"/>
        <w:tab w:val="left" w:pos="4957"/>
        <w:tab w:val="left" w:pos="5661"/>
        <w:tab w:val="left" w:pos="6368"/>
        <w:tab w:val="left" w:pos="7077"/>
        <w:tab w:val="left" w:pos="7787"/>
        <w:tab w:val="left" w:pos="8496"/>
      </w:tabs>
      <w:overflowPunct w:val="0"/>
      <w:autoSpaceDE w:val="0"/>
      <w:autoSpaceDN w:val="0"/>
      <w:adjustRightInd w:val="0"/>
      <w:textAlignment w:val="baseline"/>
    </w:pPr>
    <w:rPr>
      <w:rFonts w:ascii="Arial" w:hAnsi="Arial"/>
      <w:noProof/>
      <w:color w:val="000000"/>
      <w:sz w:val="18"/>
      <w:lang w:val="en-US" w:eastAsia="es-AR"/>
    </w:rPr>
  </w:style>
  <w:style w:type="paragraph" w:customStyle="1" w:styleId="TextoindependientebtbbodytextCG-SingleSp05s2BodyText5JBodyText5s2JSecondHeading2SecondHeadingCG-SingleSp0BodyText5J5s2Js9SecondHeading9CG-SingleSp051s21MBPBdSinglet65LMBPBdSingleSp5LBT5">
    <w:name w:val="Texto independiente.bt.b.body text.CG-Single Sp 0.5.s2.!Body Text .5(J).!Body Text .5s2(J).Second Heading 2.Second Heading.CG-Single Sp 0.!Body Text.5(J).5s2(J).s9.Second Heading 9.CG-Single Sp 0.51.s21.MBP_Bd Single t6 .5 L.MBP_Bd Single Sp .5 L.BT.5"/>
    <w:basedOn w:val="Normal"/>
    <w:rsid w:val="002831AB"/>
    <w:pPr>
      <w:autoSpaceDE w:val="0"/>
      <w:autoSpaceDN w:val="0"/>
      <w:adjustRightInd w:val="0"/>
      <w:jc w:val="both"/>
    </w:pPr>
    <w:rPr>
      <w:rFonts w:ascii="Times New Roman" w:hAnsi="Times New Roman"/>
      <w:lang w:val="en-US" w:eastAsia="es-AR"/>
    </w:rPr>
  </w:style>
  <w:style w:type="character" w:customStyle="1" w:styleId="EncabezadoCar1">
    <w:name w:val="Encabezado Car1"/>
    <w:aliases w:val="encabezado Car1,Guideline Car1"/>
    <w:rsid w:val="002831AB"/>
    <w:rPr>
      <w:rFonts w:ascii="Univers" w:hAnsi="Univers"/>
      <w:sz w:val="20"/>
      <w:lang w:val="es-ES_tradnl" w:eastAsia="es-ES"/>
    </w:rPr>
  </w:style>
  <w:style w:type="character" w:customStyle="1" w:styleId="PiedepginaCar1">
    <w:name w:val="Pie de página Car1"/>
    <w:rsid w:val="002831AB"/>
    <w:rPr>
      <w:rFonts w:ascii="Univers" w:hAnsi="Univers"/>
      <w:sz w:val="20"/>
      <w:lang w:val="es-ES_tradnl" w:eastAsia="es-ES"/>
    </w:rPr>
  </w:style>
  <w:style w:type="paragraph" w:customStyle="1" w:styleId="ecxmsonormal">
    <w:name w:val="ecxmsonormal"/>
    <w:basedOn w:val="Normal"/>
    <w:rsid w:val="002831AB"/>
    <w:pPr>
      <w:autoSpaceDE w:val="0"/>
      <w:autoSpaceDN w:val="0"/>
      <w:adjustRightInd w:val="0"/>
      <w:spacing w:before="100" w:beforeAutospacing="1" w:after="100" w:afterAutospacing="1"/>
    </w:pPr>
    <w:rPr>
      <w:rFonts w:ascii="Times New Roman" w:hAnsi="Times New Roman"/>
      <w:lang w:eastAsia="es-AR"/>
    </w:rPr>
  </w:style>
  <w:style w:type="paragraph" w:customStyle="1" w:styleId="ecxmsolistparagraph">
    <w:name w:val="ecxmsolistparagraph"/>
    <w:basedOn w:val="Normal"/>
    <w:rsid w:val="002831AB"/>
    <w:pPr>
      <w:autoSpaceDE w:val="0"/>
      <w:autoSpaceDN w:val="0"/>
      <w:adjustRightInd w:val="0"/>
      <w:spacing w:before="100" w:beforeAutospacing="1" w:after="100" w:afterAutospacing="1"/>
    </w:pPr>
    <w:rPr>
      <w:rFonts w:ascii="Times New Roman" w:hAnsi="Times New Roman"/>
      <w:lang w:eastAsia="es-AR"/>
    </w:rPr>
  </w:style>
  <w:style w:type="paragraph" w:customStyle="1" w:styleId="ecxtabla10">
    <w:name w:val="ecxtabla10"/>
    <w:basedOn w:val="Normal"/>
    <w:rsid w:val="002831AB"/>
    <w:pPr>
      <w:autoSpaceDE w:val="0"/>
      <w:autoSpaceDN w:val="0"/>
      <w:adjustRightInd w:val="0"/>
      <w:spacing w:before="100" w:beforeAutospacing="1" w:after="100" w:afterAutospacing="1"/>
    </w:pPr>
    <w:rPr>
      <w:rFonts w:ascii="Times New Roman" w:hAnsi="Times New Roman"/>
      <w:lang w:eastAsia="es-AR"/>
    </w:rPr>
  </w:style>
  <w:style w:type="paragraph" w:customStyle="1" w:styleId="ecxtextopredeterminado">
    <w:name w:val="ecxtextopredeterminado"/>
    <w:basedOn w:val="Normal"/>
    <w:rsid w:val="002831AB"/>
    <w:pPr>
      <w:autoSpaceDE w:val="0"/>
      <w:autoSpaceDN w:val="0"/>
      <w:adjustRightInd w:val="0"/>
      <w:spacing w:before="100" w:beforeAutospacing="1" w:after="100" w:afterAutospacing="1"/>
    </w:pPr>
    <w:rPr>
      <w:rFonts w:ascii="Times New Roman" w:hAnsi="Times New Roman"/>
      <w:lang w:eastAsia="es-AR"/>
    </w:rPr>
  </w:style>
  <w:style w:type="paragraph" w:customStyle="1" w:styleId="TablaFinanzas">
    <w:name w:val="Tabla Finanzas"/>
    <w:basedOn w:val="Normal"/>
    <w:rsid w:val="002831AB"/>
    <w:pPr>
      <w:autoSpaceDE w:val="0"/>
      <w:autoSpaceDN w:val="0"/>
      <w:adjustRightInd w:val="0"/>
      <w:jc w:val="center"/>
    </w:pPr>
    <w:rPr>
      <w:rFonts w:ascii="Tahoma" w:hAnsi="Tahoma" w:cs="Tahoma"/>
      <w:bCs/>
      <w:color w:val="FFFFFF"/>
      <w:sz w:val="16"/>
      <w:szCs w:val="14"/>
      <w:lang w:eastAsia="es-AR"/>
    </w:rPr>
  </w:style>
  <w:style w:type="character" w:customStyle="1" w:styleId="TablaFinanzasCar">
    <w:name w:val="Tabla Finanzas Car"/>
    <w:rsid w:val="002831AB"/>
    <w:rPr>
      <w:rFonts w:ascii="Tahoma" w:hAnsi="Tahoma"/>
      <w:color w:val="FFFFFF"/>
      <w:sz w:val="14"/>
      <w:lang w:val="x-none" w:eastAsia="en-US"/>
    </w:rPr>
  </w:style>
  <w:style w:type="paragraph" w:customStyle="1" w:styleId="s3-8510">
    <w:name w:val="s3-8510"/>
    <w:basedOn w:val="Normal"/>
    <w:rsid w:val="002831AB"/>
    <w:pPr>
      <w:widowControl w:val="0"/>
      <w:autoSpaceDE w:val="0"/>
      <w:autoSpaceDN w:val="0"/>
      <w:adjustRightInd w:val="0"/>
      <w:spacing w:before="100" w:beforeAutospacing="1" w:after="100" w:afterAutospacing="1"/>
    </w:pPr>
    <w:rPr>
      <w:rFonts w:ascii="Times New Roman" w:hAnsi="Times New Roman"/>
      <w:sz w:val="24"/>
      <w:szCs w:val="24"/>
      <w:lang w:eastAsia="es-ES"/>
    </w:rPr>
  </w:style>
  <w:style w:type="character" w:customStyle="1" w:styleId="TitleBCCar">
    <w:name w:val="Title BC Car"/>
    <w:rsid w:val="002831AB"/>
    <w:rPr>
      <w:rFonts w:ascii="Times New Roman Bold" w:hAnsi="Times New Roman Bold"/>
      <w:b/>
      <w:caps/>
      <w:lang w:val="en-US" w:eastAsia="en-US"/>
    </w:rPr>
  </w:style>
  <w:style w:type="paragraph" w:customStyle="1" w:styleId="TitleBI5">
    <w:name w:val="Title BI .5"/>
    <w:basedOn w:val="Normal"/>
    <w:next w:val="Textoindependiente"/>
    <w:qFormat/>
    <w:rsid w:val="002831AB"/>
    <w:pPr>
      <w:keepNext/>
      <w:spacing w:after="240"/>
      <w:ind w:firstLine="720"/>
    </w:pPr>
    <w:rPr>
      <w:rFonts w:ascii="Times New Roman" w:hAnsi="Times New Roman"/>
      <w:b/>
      <w:bCs/>
      <w:i/>
      <w:iCs/>
      <w:lang w:val="en-US" w:eastAsia="es-AR"/>
    </w:rPr>
  </w:style>
  <w:style w:type="character" w:customStyle="1" w:styleId="TitleBCar">
    <w:name w:val="Title B Car"/>
    <w:aliases w:val="tb Car"/>
    <w:rsid w:val="002831AB"/>
    <w:rPr>
      <w:rFonts w:ascii="Times New Roman" w:hAnsi="Times New Roman"/>
      <w:b/>
      <w:lang w:val="en-US" w:eastAsia="en-US"/>
    </w:rPr>
  </w:style>
  <w:style w:type="paragraph" w:customStyle="1" w:styleId="Titulo1TS">
    <w:name w:val="Titulo 1 TS"/>
    <w:basedOn w:val="Normal"/>
    <w:link w:val="Titulo1TSCar"/>
    <w:rsid w:val="002831AB"/>
    <w:pPr>
      <w:autoSpaceDE w:val="0"/>
      <w:autoSpaceDN w:val="0"/>
      <w:adjustRightInd w:val="0"/>
    </w:pPr>
    <w:rPr>
      <w:rFonts w:ascii="Times New Roman" w:hAnsi="Times New Roman"/>
      <w:b/>
      <w:lang w:val="en-US" w:eastAsia="es-AR"/>
    </w:rPr>
  </w:style>
  <w:style w:type="character" w:customStyle="1" w:styleId="Titulo1TSCar">
    <w:name w:val="Titulo 1 TS Car"/>
    <w:link w:val="Titulo1TS"/>
    <w:locked/>
    <w:rsid w:val="002831AB"/>
    <w:rPr>
      <w:rFonts w:ascii="Times New Roman" w:eastAsia="Times New Roman" w:hAnsi="Times New Roman"/>
      <w:b/>
      <w:lang w:val="en-US" w:eastAsia="es-AR"/>
    </w:rPr>
  </w:style>
  <w:style w:type="paragraph" w:customStyle="1" w:styleId="Titulo2TS">
    <w:name w:val="Titulo 2 TS"/>
    <w:basedOn w:val="Textoindependiente"/>
    <w:link w:val="Titulo2TSCar"/>
    <w:rsid w:val="002831AB"/>
    <w:pPr>
      <w:spacing w:before="240" w:after="360"/>
      <w:jc w:val="center"/>
    </w:pPr>
    <w:rPr>
      <w:b/>
      <w:sz w:val="22"/>
      <w:u w:val="single"/>
      <w:lang w:val="x-none" w:eastAsia="x-none"/>
    </w:rPr>
  </w:style>
  <w:style w:type="character" w:customStyle="1" w:styleId="Titulo2TSCar">
    <w:name w:val="Titulo 2 TS Car"/>
    <w:link w:val="Titulo2TS"/>
    <w:locked/>
    <w:rsid w:val="002831AB"/>
    <w:rPr>
      <w:rFonts w:ascii="Times New Roman" w:eastAsia="Times New Roman" w:hAnsi="Times New Roman"/>
      <w:b/>
      <w:sz w:val="22"/>
      <w:u w:val="single"/>
    </w:rPr>
  </w:style>
  <w:style w:type="paragraph" w:customStyle="1" w:styleId="Ttulo2abcTS">
    <w:name w:val="Título 2 a) b) c) TS"/>
    <w:basedOn w:val="Subttulo"/>
    <w:link w:val="Ttulo2abcTSCar"/>
    <w:rsid w:val="002831AB"/>
    <w:pPr>
      <w:spacing w:after="240"/>
      <w:jc w:val="left"/>
      <w:outlineLvl w:val="9"/>
    </w:pPr>
    <w:rPr>
      <w:rFonts w:ascii="Times New Roman" w:hAnsi="Times New Roman"/>
      <w:b/>
      <w:u w:val="single"/>
      <w:lang w:val="x-none"/>
    </w:rPr>
  </w:style>
  <w:style w:type="character" w:customStyle="1" w:styleId="Ttulo2abcTSCar">
    <w:name w:val="Título 2 a) b) c) TS Car"/>
    <w:link w:val="Ttulo2abcTS"/>
    <w:locked/>
    <w:rsid w:val="002831AB"/>
    <w:rPr>
      <w:rFonts w:ascii="Times New Roman" w:hAnsi="Times New Roman"/>
      <w:b/>
      <w:sz w:val="24"/>
      <w:u w:val="single"/>
      <w:lang w:val="x-none" w:eastAsia="es-AR"/>
    </w:rPr>
  </w:style>
  <w:style w:type="paragraph" w:customStyle="1" w:styleId="TitleBitalics5">
    <w:name w:val="Title B italics .5"/>
    <w:basedOn w:val="Normal"/>
    <w:rsid w:val="002831AB"/>
    <w:pPr>
      <w:keepNext/>
      <w:autoSpaceDE w:val="0"/>
      <w:autoSpaceDN w:val="0"/>
      <w:adjustRightInd w:val="0"/>
      <w:spacing w:after="240"/>
      <w:ind w:left="720"/>
      <w:contextualSpacing/>
    </w:pPr>
    <w:rPr>
      <w:rFonts w:ascii="Times New Roman" w:eastAsia="MS Mincho" w:hAnsi="Times New Roman"/>
      <w:b/>
      <w:i/>
      <w:szCs w:val="24"/>
      <w:lang w:val="en-US"/>
    </w:rPr>
  </w:style>
  <w:style w:type="paragraph" w:customStyle="1" w:styleId="Tablenotes3">
    <w:name w:val="Table notes"/>
    <w:basedOn w:val="Normal"/>
    <w:qFormat/>
    <w:rsid w:val="002831AB"/>
    <w:pPr>
      <w:autoSpaceDE w:val="0"/>
      <w:autoSpaceDN w:val="0"/>
      <w:adjustRightInd w:val="0"/>
      <w:spacing w:after="120"/>
      <w:ind w:left="360" w:hanging="360"/>
    </w:pPr>
    <w:rPr>
      <w:rFonts w:ascii="Times New Roman" w:eastAsia="MS Mincho" w:hAnsi="Times New Roman"/>
      <w:sz w:val="16"/>
      <w:szCs w:val="16"/>
      <w:lang w:val="en-US"/>
    </w:rPr>
  </w:style>
  <w:style w:type="table" w:customStyle="1" w:styleId="Tablaconcuadrcula2">
    <w:name w:val="Tabla con cuadrícula2"/>
    <w:rsid w:val="002831AB"/>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
    <w:name w:val="Tabla con cuadrícula11"/>
    <w:uiPriority w:val="99"/>
    <w:rsid w:val="002831AB"/>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oindependiente241">
    <w:name w:val="Texto independiente 241"/>
    <w:basedOn w:val="Normal"/>
    <w:rsid w:val="002831AB"/>
    <w:pPr>
      <w:ind w:left="284" w:firstLine="709"/>
      <w:jc w:val="both"/>
    </w:pPr>
    <w:rPr>
      <w:rFonts w:ascii="Book Antiqua" w:hAnsi="Book Antiqua"/>
      <w:kern w:val="18"/>
      <w:lang w:val="es-ES" w:eastAsia="es-ES"/>
    </w:rPr>
  </w:style>
  <w:style w:type="paragraph" w:customStyle="1" w:styleId="Textoindependiente25">
    <w:name w:val="Texto independiente 25"/>
    <w:basedOn w:val="Normal"/>
    <w:rsid w:val="002831AB"/>
    <w:pPr>
      <w:ind w:left="284" w:firstLine="709"/>
      <w:jc w:val="both"/>
    </w:pPr>
    <w:rPr>
      <w:rFonts w:ascii="Book Antiqua" w:hAnsi="Book Antiqua"/>
      <w:kern w:val="18"/>
      <w:lang w:val="es-ES" w:eastAsia="es-ES"/>
    </w:rPr>
  </w:style>
  <w:style w:type="table" w:customStyle="1" w:styleId="Tablaconcuadrcula3">
    <w:name w:val="Tabla con cuadrícula3"/>
    <w:rsid w:val="00172B63"/>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
    <w:name w:val="Tabla con cuadrícula12"/>
    <w:uiPriority w:val="99"/>
    <w:rsid w:val="00172B63"/>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
    <w:name w:val="Tabla con cuadrícula21"/>
    <w:rsid w:val="00172B63"/>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
    <w:name w:val="Tabla con cuadrícula111"/>
    <w:uiPriority w:val="99"/>
    <w:rsid w:val="00172B63"/>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horttext">
    <w:name w:val="short_text"/>
    <w:rsid w:val="003C2969"/>
  </w:style>
  <w:style w:type="table" w:customStyle="1" w:styleId="Tablaconcuadrcula4">
    <w:name w:val="Tabla con cuadrícula4"/>
    <w:rsid w:val="00CE4061"/>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3">
    <w:name w:val="Tabla con cuadrícula13"/>
    <w:uiPriority w:val="99"/>
    <w:rsid w:val="00CE4061"/>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rsid w:val="00CE4061"/>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2">
    <w:name w:val="Tabla con cuadrícula112"/>
    <w:uiPriority w:val="99"/>
    <w:rsid w:val="00CE4061"/>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
    <w:name w:val="Tabla con cuadrícula31"/>
    <w:rsid w:val="00CE4061"/>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1">
    <w:name w:val="Tabla con cuadrícula121"/>
    <w:uiPriority w:val="99"/>
    <w:rsid w:val="00CE4061"/>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
    <w:name w:val="Tabla con cuadrícula211"/>
    <w:rsid w:val="00CE4061"/>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1">
    <w:name w:val="Tabla con cuadrícula1111"/>
    <w:uiPriority w:val="99"/>
    <w:rsid w:val="00CE4061"/>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
    <w:name w:val="Tabla con cuadrícula5"/>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4">
    <w:name w:val="Tabla con cuadrícula14"/>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3">
    <w:name w:val="Tabla con cuadrícula113"/>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
    <w:name w:val="Tabla con cuadrícula32"/>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2">
    <w:name w:val="Tabla con cuadrícula122"/>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2">
    <w:name w:val="Tabla con cuadrícula212"/>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2">
    <w:name w:val="Tabla con cuadrícula1112"/>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
    <w:name w:val="Tabla con cuadrícula6"/>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5">
    <w:name w:val="Tabla con cuadrícula15"/>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4">
    <w:name w:val="Tabla con cuadrícula24"/>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4">
    <w:name w:val="Tabla con cuadrícula114"/>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3">
    <w:name w:val="Tabla con cuadrícula33"/>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3">
    <w:name w:val="Tabla con cuadrícula123"/>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3">
    <w:name w:val="Tabla con cuadrícula213"/>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3">
    <w:name w:val="Tabla con cuadrícula1113"/>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
    <w:name w:val="Tabla con cuadrícula7"/>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6">
    <w:name w:val="Tabla con cuadrícula16"/>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5">
    <w:name w:val="Tabla con cuadrícula25"/>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5">
    <w:name w:val="Tabla con cuadrícula115"/>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4">
    <w:name w:val="Tabla con cuadrícula34"/>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4">
    <w:name w:val="Tabla con cuadrícula124"/>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4">
    <w:name w:val="Tabla con cuadrícula214"/>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4">
    <w:name w:val="Tabla con cuadrícula1114"/>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
    <w:name w:val="Tabla con cuadrícula8"/>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7">
    <w:name w:val="Tabla con cuadrícula17"/>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6">
    <w:name w:val="Tabla con cuadrícula26"/>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6">
    <w:name w:val="Tabla con cuadrícula116"/>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5">
    <w:name w:val="Tabla con cuadrícula35"/>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5">
    <w:name w:val="Tabla con cuadrícula125"/>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5">
    <w:name w:val="Tabla con cuadrícula215"/>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5">
    <w:name w:val="Tabla con cuadrícula1115"/>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35">
    <w:name w:val="s35"/>
    <w:basedOn w:val="Normal"/>
    <w:rsid w:val="00993F3A"/>
    <w:pPr>
      <w:spacing w:before="100" w:beforeAutospacing="1" w:after="100" w:afterAutospacing="1"/>
    </w:pPr>
    <w:rPr>
      <w:rFonts w:ascii="Times New Roman" w:hAnsi="Times New Roman"/>
      <w:sz w:val="24"/>
      <w:szCs w:val="24"/>
      <w:lang w:eastAsia="es-AR"/>
    </w:rPr>
  </w:style>
  <w:style w:type="paragraph" w:customStyle="1" w:styleId="s42">
    <w:name w:val="s42"/>
    <w:basedOn w:val="Normal"/>
    <w:rsid w:val="00993F3A"/>
    <w:pPr>
      <w:spacing w:before="100" w:beforeAutospacing="1" w:after="100" w:afterAutospacing="1"/>
    </w:pPr>
    <w:rPr>
      <w:rFonts w:ascii="Times New Roman" w:hAnsi="Times New Roman"/>
      <w:sz w:val="24"/>
      <w:szCs w:val="24"/>
      <w:lang w:eastAsia="es-AR"/>
    </w:rPr>
  </w:style>
  <w:style w:type="paragraph" w:customStyle="1" w:styleId="s44">
    <w:name w:val="s44"/>
    <w:basedOn w:val="Normal"/>
    <w:rsid w:val="00993F3A"/>
    <w:pPr>
      <w:spacing w:before="100" w:beforeAutospacing="1" w:after="100" w:afterAutospacing="1"/>
    </w:pPr>
    <w:rPr>
      <w:rFonts w:ascii="Times New Roman" w:hAnsi="Times New Roman"/>
      <w:sz w:val="24"/>
      <w:szCs w:val="24"/>
      <w:lang w:eastAsia="es-AR"/>
    </w:rPr>
  </w:style>
  <w:style w:type="paragraph" w:customStyle="1" w:styleId="s41">
    <w:name w:val="s41"/>
    <w:basedOn w:val="Normal"/>
    <w:rsid w:val="00993F3A"/>
    <w:pPr>
      <w:spacing w:before="100" w:beforeAutospacing="1" w:after="100" w:afterAutospacing="1"/>
    </w:pPr>
    <w:rPr>
      <w:rFonts w:ascii="Times New Roman" w:hAnsi="Times New Roman"/>
      <w:sz w:val="24"/>
      <w:szCs w:val="24"/>
      <w:lang w:eastAsia="es-AR"/>
    </w:rPr>
  </w:style>
  <w:style w:type="paragraph" w:customStyle="1" w:styleId="s45">
    <w:name w:val="s45"/>
    <w:basedOn w:val="Normal"/>
    <w:rsid w:val="00993F3A"/>
    <w:pPr>
      <w:spacing w:before="100" w:beforeAutospacing="1" w:after="100" w:afterAutospacing="1"/>
    </w:pPr>
    <w:rPr>
      <w:rFonts w:ascii="Times New Roman" w:hAnsi="Times New Roman"/>
      <w:sz w:val="24"/>
      <w:szCs w:val="24"/>
      <w:lang w:eastAsia="es-AR"/>
    </w:rPr>
  </w:style>
  <w:style w:type="paragraph" w:customStyle="1" w:styleId="s187">
    <w:name w:val="s187"/>
    <w:basedOn w:val="Normal"/>
    <w:rsid w:val="00993F3A"/>
    <w:pPr>
      <w:spacing w:before="100" w:beforeAutospacing="1" w:after="100" w:afterAutospacing="1"/>
    </w:pPr>
    <w:rPr>
      <w:rFonts w:ascii="Times New Roman" w:hAnsi="Times New Roman"/>
      <w:sz w:val="24"/>
      <w:szCs w:val="24"/>
      <w:lang w:eastAsia="es-AR"/>
    </w:rPr>
  </w:style>
  <w:style w:type="paragraph" w:customStyle="1" w:styleId="s46">
    <w:name w:val="s46"/>
    <w:basedOn w:val="Normal"/>
    <w:rsid w:val="00993F3A"/>
    <w:pPr>
      <w:spacing w:before="100" w:beforeAutospacing="1" w:after="100" w:afterAutospacing="1"/>
    </w:pPr>
    <w:rPr>
      <w:rFonts w:ascii="Times New Roman" w:hAnsi="Times New Roman"/>
      <w:sz w:val="24"/>
      <w:szCs w:val="24"/>
      <w:lang w:eastAsia="es-AR"/>
    </w:rPr>
  </w:style>
  <w:style w:type="paragraph" w:customStyle="1" w:styleId="s185">
    <w:name w:val="s185"/>
    <w:basedOn w:val="Normal"/>
    <w:rsid w:val="00993F3A"/>
    <w:pPr>
      <w:spacing w:before="100" w:beforeAutospacing="1" w:after="100" w:afterAutospacing="1"/>
    </w:pPr>
    <w:rPr>
      <w:rFonts w:ascii="Times New Roman" w:hAnsi="Times New Roman"/>
      <w:sz w:val="24"/>
      <w:szCs w:val="24"/>
      <w:lang w:eastAsia="es-AR"/>
    </w:rPr>
  </w:style>
  <w:style w:type="paragraph" w:customStyle="1" w:styleId="s186">
    <w:name w:val="s186"/>
    <w:basedOn w:val="Normal"/>
    <w:rsid w:val="00993F3A"/>
    <w:pPr>
      <w:spacing w:before="100" w:beforeAutospacing="1" w:after="100" w:afterAutospacing="1"/>
    </w:pPr>
    <w:rPr>
      <w:rFonts w:ascii="Times New Roman" w:hAnsi="Times New Roman"/>
      <w:sz w:val="24"/>
      <w:szCs w:val="24"/>
      <w:lang w:eastAsia="es-AR"/>
    </w:rPr>
  </w:style>
  <w:style w:type="paragraph" w:customStyle="1" w:styleId="s5-6349">
    <w:name w:val="s5-6349"/>
    <w:basedOn w:val="Normal"/>
    <w:rsid w:val="00B02C19"/>
    <w:pPr>
      <w:spacing w:before="100" w:beforeAutospacing="1" w:after="100" w:afterAutospacing="1"/>
    </w:pPr>
    <w:rPr>
      <w:rFonts w:ascii="Times New Roman" w:hAnsi="Times New Roman"/>
      <w:sz w:val="24"/>
      <w:szCs w:val="24"/>
      <w:lang w:eastAsia="es-AR"/>
    </w:rPr>
  </w:style>
  <w:style w:type="paragraph" w:customStyle="1" w:styleId="s6-6349">
    <w:name w:val="s6-6349"/>
    <w:basedOn w:val="Normal"/>
    <w:rsid w:val="00B02C19"/>
    <w:pPr>
      <w:spacing w:before="100" w:beforeAutospacing="1" w:after="100" w:afterAutospacing="1"/>
    </w:pPr>
    <w:rPr>
      <w:rFonts w:ascii="Times New Roman" w:hAnsi="Times New Roman"/>
      <w:sz w:val="24"/>
      <w:szCs w:val="24"/>
      <w:lang w:eastAsia="es-AR"/>
    </w:rPr>
  </w:style>
  <w:style w:type="paragraph" w:customStyle="1" w:styleId="s2-105778">
    <w:name w:val="s2-105778"/>
    <w:basedOn w:val="Normal"/>
    <w:rsid w:val="00182D11"/>
    <w:pPr>
      <w:spacing w:before="100" w:beforeAutospacing="1" w:after="100" w:afterAutospacing="1"/>
    </w:pPr>
    <w:rPr>
      <w:rFonts w:ascii="Times New Roman" w:hAnsi="Times New Roman"/>
      <w:sz w:val="24"/>
      <w:szCs w:val="24"/>
      <w:lang w:eastAsia="es-AR"/>
    </w:rPr>
  </w:style>
  <w:style w:type="paragraph" w:customStyle="1" w:styleId="s2-105241">
    <w:name w:val="s2-105241"/>
    <w:basedOn w:val="Normal"/>
    <w:rsid w:val="002063E5"/>
    <w:pPr>
      <w:spacing w:before="100" w:beforeAutospacing="1" w:after="100" w:afterAutospacing="1"/>
    </w:pPr>
    <w:rPr>
      <w:rFonts w:ascii="Times New Roman" w:hAnsi="Times New Roman"/>
      <w:sz w:val="24"/>
      <w:szCs w:val="24"/>
      <w:lang w:val="en-US"/>
    </w:rPr>
  </w:style>
  <w:style w:type="paragraph" w:customStyle="1" w:styleId="s4-105241">
    <w:name w:val="s4-105241"/>
    <w:basedOn w:val="Normal"/>
    <w:rsid w:val="002063E5"/>
    <w:pPr>
      <w:spacing w:before="100" w:beforeAutospacing="1" w:after="100" w:afterAutospacing="1"/>
    </w:pPr>
    <w:rPr>
      <w:rFonts w:ascii="Times New Roman" w:hAnsi="Times New Roman"/>
      <w:sz w:val="24"/>
      <w:szCs w:val="24"/>
      <w:lang w:val="en-US"/>
    </w:rPr>
  </w:style>
  <w:style w:type="paragraph" w:customStyle="1" w:styleId="s3-105241">
    <w:name w:val="s3-105241"/>
    <w:basedOn w:val="Normal"/>
    <w:rsid w:val="002063E5"/>
    <w:pPr>
      <w:spacing w:before="100" w:beforeAutospacing="1" w:after="100" w:afterAutospacing="1"/>
    </w:pPr>
    <w:rPr>
      <w:rFonts w:ascii="Times New Roman" w:hAnsi="Times New Roman"/>
      <w:sz w:val="24"/>
      <w:szCs w:val="24"/>
      <w:lang w:val="en-US"/>
    </w:rPr>
  </w:style>
  <w:style w:type="paragraph" w:customStyle="1" w:styleId="primero">
    <w:name w:val="primero"/>
    <w:basedOn w:val="Normal"/>
    <w:uiPriority w:val="99"/>
    <w:rsid w:val="000421B9"/>
    <w:pPr>
      <w:spacing w:before="100" w:beforeAutospacing="1" w:after="100" w:afterAutospacing="1"/>
    </w:pPr>
    <w:rPr>
      <w:rFonts w:ascii="Times New Roman" w:hAnsi="Times New Roman"/>
      <w:sz w:val="24"/>
      <w:szCs w:val="24"/>
      <w:lang w:val="es-ES" w:eastAsia="es-ES"/>
    </w:rPr>
  </w:style>
  <w:style w:type="paragraph" w:customStyle="1" w:styleId="estndar0">
    <w:name w:val="estndar"/>
    <w:basedOn w:val="Normal"/>
    <w:rsid w:val="007A6D97"/>
    <w:rPr>
      <w:rFonts w:ascii="Times New Roman" w:hAnsi="Times New Roman"/>
      <w:sz w:val="24"/>
      <w:szCs w:val="24"/>
      <w:lang w:val="es-ES" w:eastAsia="es-ES"/>
    </w:rPr>
  </w:style>
  <w:style w:type="paragraph" w:customStyle="1" w:styleId="element">
    <w:name w:val="element"/>
    <w:basedOn w:val="Normal"/>
    <w:rsid w:val="00E6121A"/>
    <w:pPr>
      <w:spacing w:before="100" w:beforeAutospacing="1" w:after="100" w:afterAutospacing="1"/>
    </w:pPr>
    <w:rPr>
      <w:rFonts w:ascii="Times New Roman" w:hAnsi="Times New Roman"/>
      <w:sz w:val="24"/>
      <w:szCs w:val="24"/>
      <w:lang w:val="es-ES" w:eastAsia="es-ES"/>
    </w:rPr>
  </w:style>
  <w:style w:type="paragraph" w:customStyle="1" w:styleId="first-paragraph">
    <w:name w:val="first-paragraph"/>
    <w:basedOn w:val="Normal"/>
    <w:rsid w:val="00ED2C6E"/>
    <w:pPr>
      <w:spacing w:before="100" w:beforeAutospacing="1" w:after="100" w:afterAutospacing="1"/>
    </w:pPr>
    <w:rPr>
      <w:rFonts w:ascii="Times New Roman" w:hAnsi="Times New Roman"/>
      <w:sz w:val="24"/>
      <w:szCs w:val="24"/>
      <w:lang w:val="es-ES" w:eastAsia="es-ES"/>
    </w:rPr>
  </w:style>
  <w:style w:type="paragraph" w:styleId="TtulodeTDC">
    <w:name w:val="TOC Heading"/>
    <w:basedOn w:val="Ttulo1"/>
    <w:next w:val="Normal"/>
    <w:uiPriority w:val="39"/>
    <w:semiHidden/>
    <w:unhideWhenUsed/>
    <w:qFormat/>
    <w:rsid w:val="006A6FC8"/>
    <w:pPr>
      <w:spacing w:line="276" w:lineRule="auto"/>
      <w:outlineLvl w:val="9"/>
    </w:pPr>
    <w:rPr>
      <w:bCs/>
      <w:szCs w:val="28"/>
      <w:lang w:val="es-AR" w:eastAsia="es-AR"/>
    </w:rPr>
  </w:style>
  <w:style w:type="numbering" w:customStyle="1" w:styleId="Sinlista1">
    <w:name w:val="Sin lista1"/>
    <w:next w:val="Sinlista"/>
    <w:uiPriority w:val="99"/>
    <w:semiHidden/>
    <w:unhideWhenUsed/>
    <w:rsid w:val="006A6FC8"/>
  </w:style>
  <w:style w:type="paragraph" w:styleId="Prrafodelista0">
    <w:name w:val="List Paragraph"/>
    <w:basedOn w:val="Normal"/>
    <w:uiPriority w:val="34"/>
    <w:qFormat/>
    <w:rsid w:val="006A6FC8"/>
    <w:pPr>
      <w:autoSpaceDE w:val="0"/>
      <w:autoSpaceDN w:val="0"/>
      <w:adjustRightInd w:val="0"/>
      <w:ind w:left="708"/>
    </w:pPr>
    <w:rPr>
      <w:rFonts w:ascii="Times New Roman" w:eastAsia="Calibri" w:hAnsi="Times New Roman"/>
      <w:lang w:val="en-US" w:eastAsia="es-AR"/>
    </w:rPr>
  </w:style>
  <w:style w:type="paragraph" w:styleId="Revisin">
    <w:name w:val="Revision"/>
    <w:hidden/>
    <w:uiPriority w:val="99"/>
    <w:rsid w:val="00B86C83"/>
    <w:rPr>
      <w:rFonts w:ascii="Times New Roman" w:hAnsi="Times New Roman"/>
      <w:lang w:val="en-US" w:eastAsia="en-US"/>
    </w:rPr>
  </w:style>
  <w:style w:type="numbering" w:customStyle="1" w:styleId="Sinlista11">
    <w:name w:val="Sin lista11"/>
    <w:next w:val="Sinlista"/>
    <w:uiPriority w:val="99"/>
    <w:semiHidden/>
    <w:unhideWhenUsed/>
    <w:rsid w:val="006A6FC8"/>
  </w:style>
  <w:style w:type="paragraph" w:styleId="Sinespaciado">
    <w:name w:val="No Spacing"/>
    <w:uiPriority w:val="99"/>
    <w:qFormat/>
    <w:rsid w:val="006A6FC8"/>
    <w:pPr>
      <w:autoSpaceDE w:val="0"/>
      <w:autoSpaceDN w:val="0"/>
      <w:adjustRightInd w:val="0"/>
    </w:pPr>
    <w:rPr>
      <w:rFonts w:ascii="Times New Roman" w:eastAsia="Calibri" w:hAnsi="Times New Roman"/>
      <w:lang w:val="en-US" w:eastAsia="es-AR"/>
    </w:rPr>
  </w:style>
  <w:style w:type="paragraph" w:customStyle="1" w:styleId="CommentSubject3">
    <w:name w:val="Comment Subject3"/>
    <w:basedOn w:val="Textocomentario"/>
    <w:next w:val="Textocomentario"/>
    <w:rsid w:val="006A6FC8"/>
    <w:rPr>
      <w:rFonts w:eastAsia="Calibri"/>
      <w:b/>
      <w:bCs/>
      <w:lang w:eastAsia="en-US"/>
    </w:rPr>
  </w:style>
  <w:style w:type="character" w:styleId="nfasisintenso">
    <w:name w:val="Intense Emphasis"/>
    <w:uiPriority w:val="21"/>
    <w:qFormat/>
    <w:rsid w:val="006A6FC8"/>
    <w:rPr>
      <w:b/>
      <w:bCs/>
      <w:i/>
      <w:iCs/>
      <w:color w:val="4F81BD"/>
    </w:rPr>
  </w:style>
  <w:style w:type="paragraph" w:styleId="Citadestacada">
    <w:name w:val="Intense Quote"/>
    <w:basedOn w:val="Normal"/>
    <w:next w:val="Normal"/>
    <w:link w:val="CitadestacadaCar"/>
    <w:uiPriority w:val="30"/>
    <w:qFormat/>
    <w:rsid w:val="006A6FC8"/>
    <w:pPr>
      <w:pBdr>
        <w:bottom w:val="single" w:sz="4" w:space="4" w:color="4F81BD"/>
      </w:pBdr>
      <w:autoSpaceDE w:val="0"/>
      <w:autoSpaceDN w:val="0"/>
      <w:adjustRightInd w:val="0"/>
      <w:spacing w:before="200" w:after="280"/>
      <w:ind w:left="936" w:right="936"/>
    </w:pPr>
    <w:rPr>
      <w:rFonts w:ascii="Times New Roman" w:eastAsia="Calibri" w:hAnsi="Times New Roman"/>
      <w:b/>
      <w:bCs/>
      <w:i/>
      <w:iCs/>
      <w:color w:val="4F81BD"/>
      <w:lang w:val="x-none" w:eastAsia="es-AR"/>
    </w:rPr>
  </w:style>
  <w:style w:type="character" w:customStyle="1" w:styleId="CitadestacadaCar">
    <w:name w:val="Cita destacada Car"/>
    <w:link w:val="Citadestacada"/>
    <w:uiPriority w:val="30"/>
    <w:rsid w:val="006A6FC8"/>
    <w:rPr>
      <w:rFonts w:ascii="Times New Roman" w:eastAsia="Calibri" w:hAnsi="Times New Roman"/>
      <w:b/>
      <w:bCs/>
      <w:i/>
      <w:iCs/>
      <w:color w:val="4F81BD"/>
      <w:lang w:eastAsia="es-AR"/>
    </w:rPr>
  </w:style>
  <w:style w:type="character" w:styleId="Referenciaintensa">
    <w:name w:val="Intense Reference"/>
    <w:uiPriority w:val="32"/>
    <w:qFormat/>
    <w:rsid w:val="006A6FC8"/>
    <w:rPr>
      <w:b/>
      <w:bCs/>
      <w:smallCaps/>
      <w:color w:val="C0504D"/>
      <w:spacing w:val="5"/>
      <w:u w:val="single"/>
    </w:rPr>
  </w:style>
  <w:style w:type="character" w:styleId="nfasissutil">
    <w:name w:val="Subtle Emphasis"/>
    <w:uiPriority w:val="19"/>
    <w:qFormat/>
    <w:rsid w:val="006A6FC8"/>
    <w:rPr>
      <w:i/>
      <w:iCs/>
      <w:color w:val="808080"/>
    </w:rPr>
  </w:style>
  <w:style w:type="character" w:styleId="Referenciasutil">
    <w:name w:val="Subtle Reference"/>
    <w:uiPriority w:val="31"/>
    <w:qFormat/>
    <w:rsid w:val="006A6FC8"/>
    <w:rPr>
      <w:smallCaps/>
      <w:color w:val="C0504D"/>
      <w:u w:val="single"/>
    </w:rPr>
  </w:style>
  <w:style w:type="numbering" w:customStyle="1" w:styleId="Sinlista2">
    <w:name w:val="Sin lista2"/>
    <w:next w:val="Sinlista"/>
    <w:uiPriority w:val="99"/>
    <w:semiHidden/>
    <w:unhideWhenUsed/>
    <w:rsid w:val="006A6FC8"/>
  </w:style>
  <w:style w:type="numbering" w:customStyle="1" w:styleId="Sinlista111">
    <w:name w:val="Sin lista111"/>
    <w:next w:val="Sinlista"/>
    <w:uiPriority w:val="99"/>
    <w:semiHidden/>
    <w:unhideWhenUsed/>
    <w:rsid w:val="006A6FC8"/>
  </w:style>
  <w:style w:type="numbering" w:customStyle="1" w:styleId="Sinlista1111">
    <w:name w:val="Sin lista1111"/>
    <w:next w:val="Sinlista"/>
    <w:uiPriority w:val="99"/>
    <w:semiHidden/>
    <w:unhideWhenUsed/>
    <w:rsid w:val="006A6FC8"/>
  </w:style>
  <w:style w:type="numbering" w:customStyle="1" w:styleId="Sinlista21">
    <w:name w:val="Sin lista21"/>
    <w:next w:val="Sinlista"/>
    <w:uiPriority w:val="99"/>
    <w:semiHidden/>
    <w:unhideWhenUsed/>
    <w:rsid w:val="006A6FC8"/>
  </w:style>
  <w:style w:type="numbering" w:customStyle="1" w:styleId="Sinlista12">
    <w:name w:val="Sin lista12"/>
    <w:next w:val="Sinlista"/>
    <w:uiPriority w:val="99"/>
    <w:semiHidden/>
    <w:unhideWhenUsed/>
    <w:rsid w:val="006A6FC8"/>
  </w:style>
  <w:style w:type="numbering" w:customStyle="1" w:styleId="Sinlista3">
    <w:name w:val="Sin lista3"/>
    <w:next w:val="Sinlista"/>
    <w:uiPriority w:val="99"/>
    <w:semiHidden/>
    <w:unhideWhenUsed/>
    <w:rsid w:val="006A6FC8"/>
  </w:style>
  <w:style w:type="numbering" w:customStyle="1" w:styleId="Sinlista13">
    <w:name w:val="Sin lista13"/>
    <w:next w:val="Sinlista"/>
    <w:uiPriority w:val="99"/>
    <w:semiHidden/>
    <w:unhideWhenUsed/>
    <w:rsid w:val="006A6FC8"/>
  </w:style>
  <w:style w:type="numbering" w:customStyle="1" w:styleId="Sinlista112">
    <w:name w:val="Sin lista112"/>
    <w:next w:val="Sinlista"/>
    <w:uiPriority w:val="99"/>
    <w:semiHidden/>
    <w:unhideWhenUsed/>
    <w:rsid w:val="006A6FC8"/>
  </w:style>
  <w:style w:type="numbering" w:customStyle="1" w:styleId="Sinlista22">
    <w:name w:val="Sin lista22"/>
    <w:next w:val="Sinlista"/>
    <w:uiPriority w:val="99"/>
    <w:semiHidden/>
    <w:unhideWhenUsed/>
    <w:rsid w:val="006A6FC8"/>
  </w:style>
  <w:style w:type="numbering" w:customStyle="1" w:styleId="Sinlista1112">
    <w:name w:val="Sin lista1112"/>
    <w:next w:val="Sinlista"/>
    <w:uiPriority w:val="99"/>
    <w:semiHidden/>
    <w:unhideWhenUsed/>
    <w:rsid w:val="006A6FC8"/>
  </w:style>
  <w:style w:type="numbering" w:customStyle="1" w:styleId="Sinlista11111">
    <w:name w:val="Sin lista11111"/>
    <w:next w:val="Sinlista"/>
    <w:uiPriority w:val="99"/>
    <w:semiHidden/>
    <w:unhideWhenUsed/>
    <w:rsid w:val="006A6FC8"/>
  </w:style>
  <w:style w:type="numbering" w:customStyle="1" w:styleId="Sinlista211">
    <w:name w:val="Sin lista211"/>
    <w:next w:val="Sinlista"/>
    <w:uiPriority w:val="99"/>
    <w:semiHidden/>
    <w:unhideWhenUsed/>
    <w:rsid w:val="006A6FC8"/>
  </w:style>
  <w:style w:type="numbering" w:customStyle="1" w:styleId="Sinlista121">
    <w:name w:val="Sin lista121"/>
    <w:next w:val="Sinlista"/>
    <w:uiPriority w:val="99"/>
    <w:semiHidden/>
    <w:unhideWhenUsed/>
    <w:rsid w:val="006A6FC8"/>
  </w:style>
  <w:style w:type="numbering" w:customStyle="1" w:styleId="Sinlista4">
    <w:name w:val="Sin lista4"/>
    <w:next w:val="Sinlista"/>
    <w:uiPriority w:val="99"/>
    <w:semiHidden/>
    <w:unhideWhenUsed/>
    <w:rsid w:val="006A6FC8"/>
  </w:style>
  <w:style w:type="numbering" w:customStyle="1" w:styleId="Sinlista14">
    <w:name w:val="Sin lista14"/>
    <w:next w:val="Sinlista"/>
    <w:uiPriority w:val="99"/>
    <w:semiHidden/>
    <w:unhideWhenUsed/>
    <w:rsid w:val="006A6FC8"/>
  </w:style>
  <w:style w:type="numbering" w:customStyle="1" w:styleId="Sinlista113">
    <w:name w:val="Sin lista113"/>
    <w:next w:val="Sinlista"/>
    <w:uiPriority w:val="99"/>
    <w:semiHidden/>
    <w:unhideWhenUsed/>
    <w:rsid w:val="006A6FC8"/>
  </w:style>
  <w:style w:type="numbering" w:customStyle="1" w:styleId="Sinlista23">
    <w:name w:val="Sin lista23"/>
    <w:next w:val="Sinlista"/>
    <w:uiPriority w:val="99"/>
    <w:semiHidden/>
    <w:unhideWhenUsed/>
    <w:rsid w:val="006A6FC8"/>
  </w:style>
  <w:style w:type="numbering" w:customStyle="1" w:styleId="Sinlista1113">
    <w:name w:val="Sin lista1113"/>
    <w:next w:val="Sinlista"/>
    <w:uiPriority w:val="99"/>
    <w:semiHidden/>
    <w:unhideWhenUsed/>
    <w:rsid w:val="006A6FC8"/>
  </w:style>
  <w:style w:type="numbering" w:customStyle="1" w:styleId="Sinlista11112">
    <w:name w:val="Sin lista11112"/>
    <w:next w:val="Sinlista"/>
    <w:uiPriority w:val="99"/>
    <w:semiHidden/>
    <w:unhideWhenUsed/>
    <w:rsid w:val="006A6FC8"/>
  </w:style>
  <w:style w:type="numbering" w:customStyle="1" w:styleId="Sinlista212">
    <w:name w:val="Sin lista212"/>
    <w:next w:val="Sinlista"/>
    <w:uiPriority w:val="99"/>
    <w:semiHidden/>
    <w:unhideWhenUsed/>
    <w:rsid w:val="006A6FC8"/>
  </w:style>
  <w:style w:type="numbering" w:customStyle="1" w:styleId="Sinlista122">
    <w:name w:val="Sin lista122"/>
    <w:next w:val="Sinlista"/>
    <w:uiPriority w:val="99"/>
    <w:semiHidden/>
    <w:unhideWhenUsed/>
    <w:rsid w:val="006A6FC8"/>
  </w:style>
  <w:style w:type="numbering" w:customStyle="1" w:styleId="Sinlista31">
    <w:name w:val="Sin lista31"/>
    <w:next w:val="Sinlista"/>
    <w:uiPriority w:val="99"/>
    <w:semiHidden/>
    <w:unhideWhenUsed/>
    <w:rsid w:val="006A6FC8"/>
  </w:style>
  <w:style w:type="numbering" w:customStyle="1" w:styleId="Sinlista131">
    <w:name w:val="Sin lista131"/>
    <w:next w:val="Sinlista"/>
    <w:uiPriority w:val="99"/>
    <w:semiHidden/>
    <w:unhideWhenUsed/>
    <w:rsid w:val="006A6FC8"/>
  </w:style>
  <w:style w:type="numbering" w:customStyle="1" w:styleId="Sinlista1121">
    <w:name w:val="Sin lista1121"/>
    <w:next w:val="Sinlista"/>
    <w:uiPriority w:val="99"/>
    <w:semiHidden/>
    <w:unhideWhenUsed/>
    <w:rsid w:val="006A6FC8"/>
  </w:style>
  <w:style w:type="numbering" w:customStyle="1" w:styleId="Sinlista221">
    <w:name w:val="Sin lista221"/>
    <w:next w:val="Sinlista"/>
    <w:uiPriority w:val="99"/>
    <w:semiHidden/>
    <w:unhideWhenUsed/>
    <w:rsid w:val="006A6FC8"/>
  </w:style>
  <w:style w:type="numbering" w:customStyle="1" w:styleId="Sinlista11121">
    <w:name w:val="Sin lista11121"/>
    <w:next w:val="Sinlista"/>
    <w:uiPriority w:val="99"/>
    <w:semiHidden/>
    <w:unhideWhenUsed/>
    <w:rsid w:val="006A6FC8"/>
  </w:style>
  <w:style w:type="numbering" w:customStyle="1" w:styleId="Sinlista111111">
    <w:name w:val="Sin lista111111"/>
    <w:next w:val="Sinlista"/>
    <w:uiPriority w:val="99"/>
    <w:semiHidden/>
    <w:unhideWhenUsed/>
    <w:rsid w:val="006A6FC8"/>
  </w:style>
  <w:style w:type="numbering" w:customStyle="1" w:styleId="Sinlista2111">
    <w:name w:val="Sin lista2111"/>
    <w:next w:val="Sinlista"/>
    <w:uiPriority w:val="99"/>
    <w:semiHidden/>
    <w:unhideWhenUsed/>
    <w:rsid w:val="006A6FC8"/>
  </w:style>
  <w:style w:type="numbering" w:customStyle="1" w:styleId="Sinlista1211">
    <w:name w:val="Sin lista1211"/>
    <w:next w:val="Sinlista"/>
    <w:uiPriority w:val="99"/>
    <w:semiHidden/>
    <w:unhideWhenUsed/>
    <w:rsid w:val="006A6FC8"/>
  </w:style>
  <w:style w:type="numbering" w:customStyle="1" w:styleId="Sinlista5">
    <w:name w:val="Sin lista5"/>
    <w:next w:val="Sinlista"/>
    <w:uiPriority w:val="99"/>
    <w:semiHidden/>
    <w:unhideWhenUsed/>
    <w:rsid w:val="006A6FC8"/>
  </w:style>
  <w:style w:type="numbering" w:customStyle="1" w:styleId="Sinlista15">
    <w:name w:val="Sin lista15"/>
    <w:next w:val="Sinlista"/>
    <w:uiPriority w:val="99"/>
    <w:semiHidden/>
    <w:unhideWhenUsed/>
    <w:rsid w:val="006A6FC8"/>
  </w:style>
  <w:style w:type="numbering" w:customStyle="1" w:styleId="Sinlista114">
    <w:name w:val="Sin lista114"/>
    <w:next w:val="Sinlista"/>
    <w:uiPriority w:val="99"/>
    <w:semiHidden/>
    <w:unhideWhenUsed/>
    <w:rsid w:val="006A6FC8"/>
  </w:style>
  <w:style w:type="numbering" w:customStyle="1" w:styleId="Sinlista24">
    <w:name w:val="Sin lista24"/>
    <w:next w:val="Sinlista"/>
    <w:uiPriority w:val="99"/>
    <w:semiHidden/>
    <w:unhideWhenUsed/>
    <w:rsid w:val="006A6FC8"/>
  </w:style>
  <w:style w:type="numbering" w:customStyle="1" w:styleId="Sinlista1114">
    <w:name w:val="Sin lista1114"/>
    <w:next w:val="Sinlista"/>
    <w:uiPriority w:val="99"/>
    <w:semiHidden/>
    <w:unhideWhenUsed/>
    <w:rsid w:val="006A6FC8"/>
  </w:style>
  <w:style w:type="numbering" w:customStyle="1" w:styleId="Sinlista11113">
    <w:name w:val="Sin lista11113"/>
    <w:next w:val="Sinlista"/>
    <w:uiPriority w:val="99"/>
    <w:semiHidden/>
    <w:unhideWhenUsed/>
    <w:rsid w:val="006A6FC8"/>
  </w:style>
  <w:style w:type="numbering" w:customStyle="1" w:styleId="Sinlista213">
    <w:name w:val="Sin lista213"/>
    <w:next w:val="Sinlista"/>
    <w:uiPriority w:val="99"/>
    <w:semiHidden/>
    <w:unhideWhenUsed/>
    <w:rsid w:val="006A6FC8"/>
  </w:style>
  <w:style w:type="numbering" w:customStyle="1" w:styleId="Sinlista123">
    <w:name w:val="Sin lista123"/>
    <w:next w:val="Sinlista"/>
    <w:uiPriority w:val="99"/>
    <w:semiHidden/>
    <w:unhideWhenUsed/>
    <w:rsid w:val="006A6FC8"/>
  </w:style>
  <w:style w:type="numbering" w:customStyle="1" w:styleId="Sinlista32">
    <w:name w:val="Sin lista32"/>
    <w:next w:val="Sinlista"/>
    <w:uiPriority w:val="99"/>
    <w:semiHidden/>
    <w:unhideWhenUsed/>
    <w:rsid w:val="006A6FC8"/>
  </w:style>
  <w:style w:type="numbering" w:customStyle="1" w:styleId="Sinlista132">
    <w:name w:val="Sin lista132"/>
    <w:next w:val="Sinlista"/>
    <w:uiPriority w:val="99"/>
    <w:semiHidden/>
    <w:unhideWhenUsed/>
    <w:rsid w:val="006A6FC8"/>
  </w:style>
  <w:style w:type="numbering" w:customStyle="1" w:styleId="Sinlista1122">
    <w:name w:val="Sin lista1122"/>
    <w:next w:val="Sinlista"/>
    <w:uiPriority w:val="99"/>
    <w:semiHidden/>
    <w:unhideWhenUsed/>
    <w:rsid w:val="006A6FC8"/>
  </w:style>
  <w:style w:type="numbering" w:customStyle="1" w:styleId="Sinlista222">
    <w:name w:val="Sin lista222"/>
    <w:next w:val="Sinlista"/>
    <w:uiPriority w:val="99"/>
    <w:semiHidden/>
    <w:unhideWhenUsed/>
    <w:rsid w:val="006A6FC8"/>
  </w:style>
  <w:style w:type="numbering" w:customStyle="1" w:styleId="Sinlista11122">
    <w:name w:val="Sin lista11122"/>
    <w:next w:val="Sinlista"/>
    <w:uiPriority w:val="99"/>
    <w:semiHidden/>
    <w:unhideWhenUsed/>
    <w:rsid w:val="006A6FC8"/>
  </w:style>
  <w:style w:type="numbering" w:customStyle="1" w:styleId="Sinlista111112">
    <w:name w:val="Sin lista111112"/>
    <w:next w:val="Sinlista"/>
    <w:uiPriority w:val="99"/>
    <w:semiHidden/>
    <w:unhideWhenUsed/>
    <w:rsid w:val="006A6FC8"/>
  </w:style>
  <w:style w:type="numbering" w:customStyle="1" w:styleId="Sinlista2112">
    <w:name w:val="Sin lista2112"/>
    <w:next w:val="Sinlista"/>
    <w:uiPriority w:val="99"/>
    <w:semiHidden/>
    <w:unhideWhenUsed/>
    <w:rsid w:val="006A6FC8"/>
  </w:style>
  <w:style w:type="numbering" w:customStyle="1" w:styleId="Sinlista1212">
    <w:name w:val="Sin lista1212"/>
    <w:next w:val="Sinlista"/>
    <w:uiPriority w:val="99"/>
    <w:semiHidden/>
    <w:unhideWhenUsed/>
    <w:rsid w:val="006A6FC8"/>
  </w:style>
  <w:style w:type="numbering" w:customStyle="1" w:styleId="Sinlista6">
    <w:name w:val="Sin lista6"/>
    <w:next w:val="Sinlista"/>
    <w:uiPriority w:val="99"/>
    <w:semiHidden/>
    <w:unhideWhenUsed/>
    <w:rsid w:val="006A6FC8"/>
  </w:style>
  <w:style w:type="numbering" w:customStyle="1" w:styleId="Sinlista16">
    <w:name w:val="Sin lista16"/>
    <w:next w:val="Sinlista"/>
    <w:uiPriority w:val="99"/>
    <w:semiHidden/>
    <w:unhideWhenUsed/>
    <w:rsid w:val="006A6FC8"/>
  </w:style>
  <w:style w:type="numbering" w:customStyle="1" w:styleId="Sinlista115">
    <w:name w:val="Sin lista115"/>
    <w:next w:val="Sinlista"/>
    <w:uiPriority w:val="99"/>
    <w:semiHidden/>
    <w:unhideWhenUsed/>
    <w:rsid w:val="006A6FC8"/>
  </w:style>
  <w:style w:type="numbering" w:customStyle="1" w:styleId="Sinlista25">
    <w:name w:val="Sin lista25"/>
    <w:next w:val="Sinlista"/>
    <w:uiPriority w:val="99"/>
    <w:semiHidden/>
    <w:unhideWhenUsed/>
    <w:rsid w:val="006A6FC8"/>
  </w:style>
  <w:style w:type="numbering" w:customStyle="1" w:styleId="Sinlista1115">
    <w:name w:val="Sin lista1115"/>
    <w:next w:val="Sinlista"/>
    <w:uiPriority w:val="99"/>
    <w:semiHidden/>
    <w:unhideWhenUsed/>
    <w:rsid w:val="006A6FC8"/>
  </w:style>
  <w:style w:type="numbering" w:customStyle="1" w:styleId="Sinlista11114">
    <w:name w:val="Sin lista11114"/>
    <w:next w:val="Sinlista"/>
    <w:uiPriority w:val="99"/>
    <w:semiHidden/>
    <w:unhideWhenUsed/>
    <w:rsid w:val="006A6FC8"/>
  </w:style>
  <w:style w:type="numbering" w:customStyle="1" w:styleId="Sinlista214">
    <w:name w:val="Sin lista214"/>
    <w:next w:val="Sinlista"/>
    <w:uiPriority w:val="99"/>
    <w:semiHidden/>
    <w:unhideWhenUsed/>
    <w:rsid w:val="006A6FC8"/>
  </w:style>
  <w:style w:type="numbering" w:customStyle="1" w:styleId="Sinlista124">
    <w:name w:val="Sin lista124"/>
    <w:next w:val="Sinlista"/>
    <w:uiPriority w:val="99"/>
    <w:semiHidden/>
    <w:unhideWhenUsed/>
    <w:rsid w:val="006A6FC8"/>
  </w:style>
  <w:style w:type="numbering" w:customStyle="1" w:styleId="Sinlista33">
    <w:name w:val="Sin lista33"/>
    <w:next w:val="Sinlista"/>
    <w:uiPriority w:val="99"/>
    <w:semiHidden/>
    <w:unhideWhenUsed/>
    <w:rsid w:val="006A6FC8"/>
  </w:style>
  <w:style w:type="numbering" w:customStyle="1" w:styleId="Sinlista133">
    <w:name w:val="Sin lista133"/>
    <w:next w:val="Sinlista"/>
    <w:uiPriority w:val="99"/>
    <w:semiHidden/>
    <w:unhideWhenUsed/>
    <w:rsid w:val="006A6FC8"/>
  </w:style>
  <w:style w:type="numbering" w:customStyle="1" w:styleId="Sinlista1123">
    <w:name w:val="Sin lista1123"/>
    <w:next w:val="Sinlista"/>
    <w:uiPriority w:val="99"/>
    <w:semiHidden/>
    <w:unhideWhenUsed/>
    <w:rsid w:val="006A6FC8"/>
  </w:style>
  <w:style w:type="numbering" w:customStyle="1" w:styleId="Sinlista223">
    <w:name w:val="Sin lista223"/>
    <w:next w:val="Sinlista"/>
    <w:uiPriority w:val="99"/>
    <w:semiHidden/>
    <w:unhideWhenUsed/>
    <w:rsid w:val="006A6FC8"/>
  </w:style>
  <w:style w:type="numbering" w:customStyle="1" w:styleId="Sinlista11123">
    <w:name w:val="Sin lista11123"/>
    <w:next w:val="Sinlista"/>
    <w:uiPriority w:val="99"/>
    <w:semiHidden/>
    <w:unhideWhenUsed/>
    <w:rsid w:val="006A6FC8"/>
  </w:style>
  <w:style w:type="numbering" w:customStyle="1" w:styleId="Sinlista111113">
    <w:name w:val="Sin lista111113"/>
    <w:next w:val="Sinlista"/>
    <w:uiPriority w:val="99"/>
    <w:semiHidden/>
    <w:unhideWhenUsed/>
    <w:rsid w:val="006A6FC8"/>
  </w:style>
  <w:style w:type="numbering" w:customStyle="1" w:styleId="Sinlista2113">
    <w:name w:val="Sin lista2113"/>
    <w:next w:val="Sinlista"/>
    <w:uiPriority w:val="99"/>
    <w:semiHidden/>
    <w:unhideWhenUsed/>
    <w:rsid w:val="006A6FC8"/>
  </w:style>
  <w:style w:type="numbering" w:customStyle="1" w:styleId="Sinlista1213">
    <w:name w:val="Sin lista1213"/>
    <w:next w:val="Sinlista"/>
    <w:uiPriority w:val="99"/>
    <w:semiHidden/>
    <w:unhideWhenUsed/>
    <w:rsid w:val="006A6FC8"/>
  </w:style>
  <w:style w:type="numbering" w:customStyle="1" w:styleId="Sinlista7">
    <w:name w:val="Sin lista7"/>
    <w:next w:val="Sinlista"/>
    <w:uiPriority w:val="99"/>
    <w:semiHidden/>
    <w:unhideWhenUsed/>
    <w:rsid w:val="006A6FC8"/>
  </w:style>
  <w:style w:type="numbering" w:customStyle="1" w:styleId="Sinlista17">
    <w:name w:val="Sin lista17"/>
    <w:next w:val="Sinlista"/>
    <w:uiPriority w:val="99"/>
    <w:semiHidden/>
    <w:unhideWhenUsed/>
    <w:rsid w:val="006A6FC8"/>
  </w:style>
  <w:style w:type="numbering" w:customStyle="1" w:styleId="Sinlista116">
    <w:name w:val="Sin lista116"/>
    <w:next w:val="Sinlista"/>
    <w:uiPriority w:val="99"/>
    <w:semiHidden/>
    <w:unhideWhenUsed/>
    <w:rsid w:val="006A6FC8"/>
  </w:style>
  <w:style w:type="numbering" w:customStyle="1" w:styleId="Sinlista26">
    <w:name w:val="Sin lista26"/>
    <w:next w:val="Sinlista"/>
    <w:uiPriority w:val="99"/>
    <w:semiHidden/>
    <w:unhideWhenUsed/>
    <w:rsid w:val="006A6FC8"/>
  </w:style>
  <w:style w:type="numbering" w:customStyle="1" w:styleId="Sinlista1116">
    <w:name w:val="Sin lista1116"/>
    <w:next w:val="Sinlista"/>
    <w:uiPriority w:val="99"/>
    <w:semiHidden/>
    <w:unhideWhenUsed/>
    <w:rsid w:val="006A6FC8"/>
  </w:style>
  <w:style w:type="numbering" w:customStyle="1" w:styleId="Sinlista11115">
    <w:name w:val="Sin lista11115"/>
    <w:next w:val="Sinlista"/>
    <w:uiPriority w:val="99"/>
    <w:semiHidden/>
    <w:unhideWhenUsed/>
    <w:rsid w:val="006A6FC8"/>
  </w:style>
  <w:style w:type="numbering" w:customStyle="1" w:styleId="Sinlista215">
    <w:name w:val="Sin lista215"/>
    <w:next w:val="Sinlista"/>
    <w:uiPriority w:val="99"/>
    <w:semiHidden/>
    <w:unhideWhenUsed/>
    <w:rsid w:val="006A6FC8"/>
  </w:style>
  <w:style w:type="numbering" w:customStyle="1" w:styleId="Sinlista125">
    <w:name w:val="Sin lista125"/>
    <w:next w:val="Sinlista"/>
    <w:uiPriority w:val="99"/>
    <w:semiHidden/>
    <w:unhideWhenUsed/>
    <w:rsid w:val="006A6FC8"/>
  </w:style>
  <w:style w:type="numbering" w:customStyle="1" w:styleId="Sinlista34">
    <w:name w:val="Sin lista34"/>
    <w:next w:val="Sinlista"/>
    <w:uiPriority w:val="99"/>
    <w:semiHidden/>
    <w:unhideWhenUsed/>
    <w:rsid w:val="006A6FC8"/>
  </w:style>
  <w:style w:type="numbering" w:customStyle="1" w:styleId="Sinlista134">
    <w:name w:val="Sin lista134"/>
    <w:next w:val="Sinlista"/>
    <w:uiPriority w:val="99"/>
    <w:semiHidden/>
    <w:unhideWhenUsed/>
    <w:rsid w:val="006A6FC8"/>
  </w:style>
  <w:style w:type="numbering" w:customStyle="1" w:styleId="Sinlista1124">
    <w:name w:val="Sin lista1124"/>
    <w:next w:val="Sinlista"/>
    <w:uiPriority w:val="99"/>
    <w:semiHidden/>
    <w:unhideWhenUsed/>
    <w:rsid w:val="006A6FC8"/>
  </w:style>
  <w:style w:type="numbering" w:customStyle="1" w:styleId="Sinlista224">
    <w:name w:val="Sin lista224"/>
    <w:next w:val="Sinlista"/>
    <w:uiPriority w:val="99"/>
    <w:semiHidden/>
    <w:unhideWhenUsed/>
    <w:rsid w:val="006A6FC8"/>
  </w:style>
  <w:style w:type="numbering" w:customStyle="1" w:styleId="Sinlista11124">
    <w:name w:val="Sin lista11124"/>
    <w:next w:val="Sinlista"/>
    <w:uiPriority w:val="99"/>
    <w:semiHidden/>
    <w:unhideWhenUsed/>
    <w:rsid w:val="006A6FC8"/>
  </w:style>
  <w:style w:type="numbering" w:customStyle="1" w:styleId="Sinlista111114">
    <w:name w:val="Sin lista111114"/>
    <w:next w:val="Sinlista"/>
    <w:uiPriority w:val="99"/>
    <w:semiHidden/>
    <w:unhideWhenUsed/>
    <w:rsid w:val="006A6FC8"/>
  </w:style>
  <w:style w:type="numbering" w:customStyle="1" w:styleId="Sinlista2114">
    <w:name w:val="Sin lista2114"/>
    <w:next w:val="Sinlista"/>
    <w:uiPriority w:val="99"/>
    <w:semiHidden/>
    <w:unhideWhenUsed/>
    <w:rsid w:val="006A6FC8"/>
  </w:style>
  <w:style w:type="numbering" w:customStyle="1" w:styleId="Sinlista1214">
    <w:name w:val="Sin lista1214"/>
    <w:next w:val="Sinlista"/>
    <w:uiPriority w:val="99"/>
    <w:semiHidden/>
    <w:unhideWhenUsed/>
    <w:rsid w:val="006A6FC8"/>
  </w:style>
  <w:style w:type="numbering" w:customStyle="1" w:styleId="Sinlista8">
    <w:name w:val="Sin lista8"/>
    <w:next w:val="Sinlista"/>
    <w:uiPriority w:val="99"/>
    <w:semiHidden/>
    <w:unhideWhenUsed/>
    <w:rsid w:val="006A6FC8"/>
  </w:style>
  <w:style w:type="numbering" w:customStyle="1" w:styleId="Sinlista18">
    <w:name w:val="Sin lista18"/>
    <w:next w:val="Sinlista"/>
    <w:uiPriority w:val="99"/>
    <w:semiHidden/>
    <w:unhideWhenUsed/>
    <w:rsid w:val="006A6FC8"/>
  </w:style>
  <w:style w:type="numbering" w:customStyle="1" w:styleId="Sinlista117">
    <w:name w:val="Sin lista117"/>
    <w:next w:val="Sinlista"/>
    <w:uiPriority w:val="99"/>
    <w:semiHidden/>
    <w:unhideWhenUsed/>
    <w:rsid w:val="006A6FC8"/>
  </w:style>
  <w:style w:type="numbering" w:customStyle="1" w:styleId="Sinlista27">
    <w:name w:val="Sin lista27"/>
    <w:next w:val="Sinlista"/>
    <w:uiPriority w:val="99"/>
    <w:semiHidden/>
    <w:unhideWhenUsed/>
    <w:rsid w:val="006A6FC8"/>
  </w:style>
  <w:style w:type="numbering" w:customStyle="1" w:styleId="Sinlista1117">
    <w:name w:val="Sin lista1117"/>
    <w:next w:val="Sinlista"/>
    <w:uiPriority w:val="99"/>
    <w:semiHidden/>
    <w:unhideWhenUsed/>
    <w:rsid w:val="006A6FC8"/>
  </w:style>
  <w:style w:type="numbering" w:customStyle="1" w:styleId="Sinlista11116">
    <w:name w:val="Sin lista11116"/>
    <w:next w:val="Sinlista"/>
    <w:uiPriority w:val="99"/>
    <w:semiHidden/>
    <w:unhideWhenUsed/>
    <w:rsid w:val="006A6FC8"/>
  </w:style>
  <w:style w:type="numbering" w:customStyle="1" w:styleId="Sinlista216">
    <w:name w:val="Sin lista216"/>
    <w:next w:val="Sinlista"/>
    <w:uiPriority w:val="99"/>
    <w:semiHidden/>
    <w:unhideWhenUsed/>
    <w:rsid w:val="006A6FC8"/>
  </w:style>
  <w:style w:type="numbering" w:customStyle="1" w:styleId="Sinlista126">
    <w:name w:val="Sin lista126"/>
    <w:next w:val="Sinlista"/>
    <w:uiPriority w:val="99"/>
    <w:semiHidden/>
    <w:unhideWhenUsed/>
    <w:rsid w:val="006A6FC8"/>
  </w:style>
  <w:style w:type="numbering" w:customStyle="1" w:styleId="Sinlista35">
    <w:name w:val="Sin lista35"/>
    <w:next w:val="Sinlista"/>
    <w:uiPriority w:val="99"/>
    <w:semiHidden/>
    <w:unhideWhenUsed/>
    <w:rsid w:val="006A6FC8"/>
  </w:style>
  <w:style w:type="numbering" w:customStyle="1" w:styleId="Sinlista135">
    <w:name w:val="Sin lista135"/>
    <w:next w:val="Sinlista"/>
    <w:uiPriority w:val="99"/>
    <w:semiHidden/>
    <w:unhideWhenUsed/>
    <w:rsid w:val="006A6FC8"/>
  </w:style>
  <w:style w:type="numbering" w:customStyle="1" w:styleId="Sinlista1125">
    <w:name w:val="Sin lista1125"/>
    <w:next w:val="Sinlista"/>
    <w:uiPriority w:val="99"/>
    <w:semiHidden/>
    <w:unhideWhenUsed/>
    <w:rsid w:val="006A6FC8"/>
  </w:style>
  <w:style w:type="numbering" w:customStyle="1" w:styleId="Sinlista225">
    <w:name w:val="Sin lista225"/>
    <w:next w:val="Sinlista"/>
    <w:uiPriority w:val="99"/>
    <w:semiHidden/>
    <w:unhideWhenUsed/>
    <w:rsid w:val="006A6FC8"/>
  </w:style>
  <w:style w:type="numbering" w:customStyle="1" w:styleId="Sinlista11125">
    <w:name w:val="Sin lista11125"/>
    <w:next w:val="Sinlista"/>
    <w:uiPriority w:val="99"/>
    <w:semiHidden/>
    <w:unhideWhenUsed/>
    <w:rsid w:val="006A6FC8"/>
  </w:style>
  <w:style w:type="numbering" w:customStyle="1" w:styleId="Sinlista111115">
    <w:name w:val="Sin lista111115"/>
    <w:next w:val="Sinlista"/>
    <w:uiPriority w:val="99"/>
    <w:semiHidden/>
    <w:unhideWhenUsed/>
    <w:rsid w:val="006A6FC8"/>
  </w:style>
  <w:style w:type="numbering" w:customStyle="1" w:styleId="Sinlista2115">
    <w:name w:val="Sin lista2115"/>
    <w:next w:val="Sinlista"/>
    <w:uiPriority w:val="99"/>
    <w:semiHidden/>
    <w:unhideWhenUsed/>
    <w:rsid w:val="006A6FC8"/>
  </w:style>
  <w:style w:type="numbering" w:customStyle="1" w:styleId="Sinlista1215">
    <w:name w:val="Sin lista1215"/>
    <w:next w:val="Sinlista"/>
    <w:uiPriority w:val="99"/>
    <w:semiHidden/>
    <w:unhideWhenUsed/>
    <w:rsid w:val="006A6FC8"/>
  </w:style>
  <w:style w:type="numbering" w:customStyle="1" w:styleId="Sinlista9">
    <w:name w:val="Sin lista9"/>
    <w:next w:val="Sinlista"/>
    <w:uiPriority w:val="99"/>
    <w:semiHidden/>
    <w:unhideWhenUsed/>
    <w:rsid w:val="006A6FC8"/>
  </w:style>
  <w:style w:type="paragraph" w:customStyle="1" w:styleId="BULLETS5">
    <w:name w:val="BULLETS.5"/>
    <w:basedOn w:val="Normal"/>
    <w:rsid w:val="002E07D5"/>
    <w:pPr>
      <w:numPr>
        <w:numId w:val="58"/>
      </w:numPr>
      <w:autoSpaceDE w:val="0"/>
      <w:autoSpaceDN w:val="0"/>
      <w:adjustRightInd w:val="0"/>
      <w:spacing w:after="240"/>
      <w:ind w:left="1080"/>
    </w:pPr>
    <w:rPr>
      <w:rFonts w:ascii="Times New Roman" w:hAnsi="Times New Roman"/>
      <w:szCs w:val="24"/>
      <w:lang w:val="en-US"/>
    </w:rPr>
  </w:style>
  <w:style w:type="paragraph" w:customStyle="1" w:styleId="CoverBodyText">
    <w:name w:val="CoverBodyText"/>
    <w:aliases w:val="cbt"/>
    <w:basedOn w:val="Normal"/>
    <w:qFormat/>
    <w:rsid w:val="002E07D5"/>
    <w:pPr>
      <w:spacing w:after="240"/>
    </w:pPr>
    <w:rPr>
      <w:rFonts w:ascii="Times New Roman" w:hAnsi="Times New Roman"/>
      <w:sz w:val="17"/>
      <w:szCs w:val="17"/>
      <w:lang w:val="en-US"/>
    </w:rPr>
  </w:style>
  <w:style w:type="paragraph" w:customStyle="1" w:styleId="Boldmargin0">
    <w:name w:val="Bold margin"/>
    <w:basedOn w:val="Normal"/>
    <w:link w:val="BoldmarginChar"/>
    <w:qFormat/>
    <w:rsid w:val="002E07D5"/>
    <w:pPr>
      <w:widowControl w:val="0"/>
      <w:kinsoku w:val="0"/>
      <w:spacing w:after="240"/>
    </w:pPr>
    <w:rPr>
      <w:rFonts w:ascii="Times New Roman Bold" w:hAnsi="Times New Roman Bold"/>
      <w:b/>
      <w:sz w:val="24"/>
      <w:szCs w:val="24"/>
      <w:lang w:val="en-US"/>
    </w:rPr>
  </w:style>
  <w:style w:type="character" w:customStyle="1" w:styleId="BoldmarginChar">
    <w:name w:val="Bold margin Char"/>
    <w:link w:val="Boldmargin0"/>
    <w:locked/>
    <w:rsid w:val="002E07D5"/>
    <w:rPr>
      <w:rFonts w:ascii="Times New Roman Bold" w:hAnsi="Times New Roman Bold"/>
      <w:b/>
      <w:sz w:val="24"/>
      <w:szCs w:val="24"/>
      <w:lang w:val="en-US" w:eastAsia="en-US"/>
    </w:rPr>
  </w:style>
  <w:style w:type="character" w:customStyle="1" w:styleId="BodyChar">
    <w:name w:val="Body Char"/>
    <w:link w:val="Body"/>
    <w:rsid w:val="002E07D5"/>
    <w:rPr>
      <w:rFonts w:ascii="Times New Roman" w:eastAsia="SimSun" w:hAnsi="Times New Roman"/>
      <w:lang w:val="en-US" w:eastAsia="x-none"/>
    </w:rPr>
  </w:style>
  <w:style w:type="paragraph" w:customStyle="1" w:styleId="Tablefootnnote">
    <w:name w:val="Table footnnote"/>
    <w:aliases w:val="tfn"/>
    <w:basedOn w:val="Tablefootnote0"/>
    <w:rsid w:val="002E07D5"/>
    <w:rPr>
      <w:rFonts w:eastAsia="Times New Roman"/>
      <w:lang w:val="x-none" w:eastAsia="x-none"/>
    </w:rPr>
  </w:style>
  <w:style w:type="paragraph" w:customStyle="1" w:styleId="FNText">
    <w:name w:val="FN Text"/>
    <w:basedOn w:val="Normal"/>
    <w:rsid w:val="002E07D5"/>
    <w:pPr>
      <w:spacing w:after="240"/>
      <w:ind w:left="432" w:hanging="432"/>
    </w:pPr>
    <w:rPr>
      <w:rFonts w:ascii="Times New Roman" w:hAnsi="Times New Roman"/>
      <w:sz w:val="18"/>
      <w:szCs w:val="18"/>
      <w:lang w:val="en-US"/>
    </w:rPr>
  </w:style>
  <w:style w:type="paragraph" w:styleId="Cita">
    <w:name w:val="Quote"/>
    <w:basedOn w:val="Normal"/>
    <w:next w:val="Textoindependiente"/>
    <w:link w:val="CitaCar"/>
    <w:qFormat/>
    <w:rsid w:val="002E07D5"/>
    <w:pPr>
      <w:spacing w:after="240"/>
      <w:ind w:left="1440" w:right="1440"/>
    </w:pPr>
    <w:rPr>
      <w:rFonts w:ascii="Times New Roman" w:hAnsi="Times New Roman"/>
      <w:iCs/>
      <w:lang w:val="x-none" w:eastAsia="x-none"/>
    </w:rPr>
  </w:style>
  <w:style w:type="character" w:customStyle="1" w:styleId="CitaCar">
    <w:name w:val="Cita Car"/>
    <w:link w:val="Cita"/>
    <w:rsid w:val="002E07D5"/>
    <w:rPr>
      <w:rFonts w:ascii="Times New Roman" w:hAnsi="Times New Roman"/>
      <w:iCs/>
      <w:lang w:val="x-none" w:eastAsia="x-none"/>
    </w:rPr>
  </w:style>
  <w:style w:type="paragraph" w:customStyle="1" w:styleId="BoldItalicIndent">
    <w:name w:val="Bold Italic Indent"/>
    <w:basedOn w:val="Normal"/>
    <w:rsid w:val="002E07D5"/>
    <w:pPr>
      <w:keepNext/>
      <w:widowControl w:val="0"/>
      <w:kinsoku w:val="0"/>
      <w:spacing w:after="240"/>
      <w:ind w:left="720"/>
    </w:pPr>
    <w:rPr>
      <w:rFonts w:ascii="Times New Roman" w:hAnsi="Times New Roman"/>
      <w:b/>
      <w:i/>
      <w:lang w:val="en-US"/>
    </w:rPr>
  </w:style>
  <w:style w:type="paragraph" w:customStyle="1" w:styleId="Centeredbold">
    <w:name w:val="Centered bold"/>
    <w:basedOn w:val="Normal"/>
    <w:rsid w:val="002E07D5"/>
    <w:pPr>
      <w:widowControl w:val="0"/>
      <w:kinsoku w:val="0"/>
      <w:spacing w:after="240" w:line="204" w:lineRule="auto"/>
      <w:jc w:val="center"/>
    </w:pPr>
    <w:rPr>
      <w:rFonts w:ascii="Times New Roman" w:hAnsi="Times New Roman"/>
      <w:b/>
      <w:lang w:val="en-US"/>
    </w:rPr>
  </w:style>
  <w:style w:type="paragraph" w:customStyle="1" w:styleId="MacPacTrailer">
    <w:name w:val="MacPac Trailer"/>
    <w:rsid w:val="002E07D5"/>
    <w:pPr>
      <w:widowControl w:val="0"/>
      <w:spacing w:line="200" w:lineRule="exact"/>
    </w:pPr>
    <w:rPr>
      <w:rFonts w:ascii="Times New Roman" w:hAnsi="Times New Roman"/>
      <w:sz w:val="16"/>
      <w:szCs w:val="22"/>
      <w:lang w:val="en-US" w:eastAsia="en-US"/>
    </w:rPr>
  </w:style>
  <w:style w:type="paragraph" w:customStyle="1" w:styleId="bold50">
    <w:name w:val="bold.5"/>
    <w:basedOn w:val="Textoindependienteprimerasangra"/>
    <w:rsid w:val="002E07D5"/>
    <w:pPr>
      <w:autoSpaceDE/>
      <w:autoSpaceDN/>
      <w:adjustRightInd/>
    </w:pPr>
    <w:rPr>
      <w:b/>
      <w:szCs w:val="24"/>
      <w:lang w:val="x-none"/>
    </w:rPr>
  </w:style>
  <w:style w:type="paragraph" w:customStyle="1" w:styleId="Subtitleital">
    <w:name w:val="Subtitleital"/>
    <w:basedOn w:val="Subttulo"/>
    <w:rsid w:val="002E07D5"/>
    <w:pPr>
      <w:numPr>
        <w:ilvl w:val="1"/>
      </w:numPr>
      <w:autoSpaceDE/>
      <w:autoSpaceDN/>
      <w:adjustRightInd/>
      <w:spacing w:after="240"/>
      <w:jc w:val="left"/>
      <w:outlineLvl w:val="9"/>
    </w:pPr>
    <w:rPr>
      <w:rFonts w:ascii="Times New Roman Bold" w:hAnsi="Times New Roman Bold"/>
      <w:b/>
      <w:bCs/>
      <w:i/>
      <w:iCs/>
      <w:sz w:val="20"/>
      <w:szCs w:val="24"/>
      <w:lang w:val="x-none" w:eastAsia="x-none"/>
    </w:rPr>
  </w:style>
  <w:style w:type="paragraph" w:customStyle="1" w:styleId="ItalsIndent">
    <w:name w:val="Itals Indent"/>
    <w:basedOn w:val="Normal"/>
    <w:rsid w:val="002E07D5"/>
    <w:pPr>
      <w:spacing w:after="240"/>
      <w:ind w:left="720"/>
    </w:pPr>
    <w:rPr>
      <w:rFonts w:ascii="Times New Roman" w:hAnsi="Times New Roman"/>
      <w:i/>
      <w:lang w:val="en-US"/>
    </w:rPr>
  </w:style>
  <w:style w:type="paragraph" w:customStyle="1" w:styleId="1hanging0">
    <w:name w:val="(1)hanging"/>
    <w:basedOn w:val="Normal"/>
    <w:rsid w:val="002E07D5"/>
    <w:pPr>
      <w:spacing w:after="240"/>
      <w:ind w:left="1440" w:hanging="720"/>
    </w:pPr>
    <w:rPr>
      <w:rFonts w:ascii="Times New Roman" w:hAnsi="Times New Roman"/>
      <w:lang w:val="en-US"/>
    </w:rPr>
  </w:style>
  <w:style w:type="paragraph" w:customStyle="1" w:styleId="3hanging">
    <w:name w:val="(3)hanging"/>
    <w:basedOn w:val="2hanging"/>
    <w:rsid w:val="002E07D5"/>
    <w:pPr>
      <w:ind w:left="2880"/>
    </w:pPr>
    <w:rPr>
      <w:rFonts w:eastAsia="Times New Roman"/>
      <w:lang w:eastAsia="en-US"/>
    </w:rPr>
  </w:style>
  <w:style w:type="paragraph" w:customStyle="1" w:styleId="ItalsMargin">
    <w:name w:val="Itals Margin"/>
    <w:basedOn w:val="BoldItalicsMargin"/>
    <w:rsid w:val="002E07D5"/>
    <w:rPr>
      <w:rFonts w:eastAsia="Times New Roman"/>
      <w:b w:val="0"/>
      <w:lang w:eastAsia="en-US"/>
    </w:rPr>
  </w:style>
  <w:style w:type="paragraph" w:customStyle="1" w:styleId="ITALFIRSTINDENT">
    <w:name w:val="ITAL FIRST INDENT"/>
    <w:basedOn w:val="Normal"/>
    <w:rsid w:val="002E07D5"/>
    <w:pPr>
      <w:spacing w:after="240"/>
      <w:ind w:right="144" w:firstLine="720"/>
      <w:jc w:val="both"/>
    </w:pPr>
    <w:rPr>
      <w:rFonts w:ascii="Times New Roman" w:hAnsi="Times New Roman"/>
      <w:i/>
      <w:color w:val="000000"/>
      <w:spacing w:val="-4"/>
      <w:w w:val="105"/>
      <w:szCs w:val="22"/>
      <w:lang w:val="en-US"/>
    </w:rPr>
  </w:style>
  <w:style w:type="paragraph" w:customStyle="1" w:styleId="Indentpara0">
    <w:name w:val="Indent para"/>
    <w:basedOn w:val="Normal"/>
    <w:rsid w:val="002E07D5"/>
    <w:pPr>
      <w:spacing w:after="240"/>
      <w:ind w:right="144" w:firstLine="720"/>
    </w:pPr>
    <w:rPr>
      <w:rFonts w:ascii="Times New Roman" w:hAnsi="Times New Roman"/>
      <w:color w:val="000000"/>
      <w:spacing w:val="-3"/>
      <w:w w:val="105"/>
      <w:lang w:val="en-US"/>
    </w:rPr>
  </w:style>
  <w:style w:type="paragraph" w:customStyle="1" w:styleId="Leftitaltitle">
    <w:name w:val="Leftitaltitle"/>
    <w:basedOn w:val="Normal"/>
    <w:rsid w:val="002E07D5"/>
    <w:pPr>
      <w:spacing w:after="240"/>
    </w:pPr>
    <w:rPr>
      <w:rFonts w:ascii="Times New Roman" w:hAnsi="Times New Roman"/>
      <w:i/>
      <w:lang w:val="en-US"/>
    </w:rPr>
  </w:style>
  <w:style w:type="paragraph" w:customStyle="1" w:styleId="Bolditaltitle">
    <w:name w:val="Bold ital title"/>
    <w:basedOn w:val="Normal"/>
    <w:rsid w:val="002E07D5"/>
    <w:pPr>
      <w:spacing w:after="240"/>
      <w:ind w:left="720"/>
    </w:pPr>
    <w:rPr>
      <w:rFonts w:ascii="Times New Roman" w:hAnsi="Times New Roman"/>
      <w:b/>
      <w:i/>
      <w:color w:val="000000"/>
      <w:spacing w:val="-8"/>
      <w:w w:val="110"/>
      <w:szCs w:val="22"/>
      <w:lang w:val="en-US"/>
    </w:rPr>
  </w:style>
  <w:style w:type="paragraph" w:customStyle="1" w:styleId="Bullet2L1">
    <w:name w:val="Bullet2_L1"/>
    <w:basedOn w:val="Normal"/>
    <w:rsid w:val="002E07D5"/>
    <w:pPr>
      <w:numPr>
        <w:numId w:val="59"/>
      </w:numPr>
      <w:spacing w:after="240"/>
      <w:outlineLvl w:val="0"/>
    </w:pPr>
    <w:rPr>
      <w:rFonts w:ascii="Times New Roman" w:eastAsia="SimSun" w:hAnsi="Times New Roman"/>
      <w:lang w:val="en-US"/>
    </w:rPr>
  </w:style>
  <w:style w:type="paragraph" w:customStyle="1" w:styleId="Bullet2L2">
    <w:name w:val="Bullet2_L2"/>
    <w:basedOn w:val="Normal"/>
    <w:link w:val="Bullet2L2Char"/>
    <w:rsid w:val="002E07D5"/>
    <w:pPr>
      <w:numPr>
        <w:ilvl w:val="1"/>
        <w:numId w:val="59"/>
      </w:numPr>
      <w:spacing w:after="240"/>
      <w:outlineLvl w:val="1"/>
    </w:pPr>
    <w:rPr>
      <w:rFonts w:ascii="Times New Roman" w:eastAsia="SimSun" w:hAnsi="Times New Roman"/>
      <w:lang w:val="x-none" w:eastAsia="x-none"/>
    </w:rPr>
  </w:style>
  <w:style w:type="paragraph" w:customStyle="1" w:styleId="Bullet2L3">
    <w:name w:val="Bullet2_L3"/>
    <w:basedOn w:val="Normal"/>
    <w:rsid w:val="002E07D5"/>
    <w:pPr>
      <w:numPr>
        <w:ilvl w:val="2"/>
        <w:numId w:val="59"/>
      </w:numPr>
      <w:tabs>
        <w:tab w:val="clear" w:pos="1800"/>
        <w:tab w:val="num" w:pos="810"/>
      </w:tabs>
      <w:spacing w:after="240"/>
      <w:ind w:left="810"/>
      <w:outlineLvl w:val="2"/>
    </w:pPr>
    <w:rPr>
      <w:rFonts w:ascii="Times New Roman" w:eastAsia="SimSun" w:hAnsi="Times New Roman"/>
      <w:lang w:val="en-US"/>
    </w:rPr>
  </w:style>
  <w:style w:type="paragraph" w:customStyle="1" w:styleId="Bullet2L4">
    <w:name w:val="Bullet2_L4"/>
    <w:basedOn w:val="Normal"/>
    <w:rsid w:val="002E07D5"/>
    <w:pPr>
      <w:numPr>
        <w:ilvl w:val="3"/>
        <w:numId w:val="59"/>
      </w:numPr>
      <w:spacing w:after="240"/>
      <w:outlineLvl w:val="3"/>
    </w:pPr>
    <w:rPr>
      <w:rFonts w:ascii="Times New Roman" w:eastAsia="SimSun" w:hAnsi="Times New Roman"/>
      <w:lang w:val="en-US"/>
    </w:rPr>
  </w:style>
  <w:style w:type="paragraph" w:customStyle="1" w:styleId="Bullet2L5">
    <w:name w:val="Bullet2_L5"/>
    <w:basedOn w:val="Normal"/>
    <w:rsid w:val="002E07D5"/>
    <w:pPr>
      <w:numPr>
        <w:ilvl w:val="4"/>
        <w:numId w:val="59"/>
      </w:numPr>
      <w:spacing w:after="240"/>
      <w:outlineLvl w:val="4"/>
    </w:pPr>
    <w:rPr>
      <w:rFonts w:ascii="Times New Roman" w:eastAsia="SimSun" w:hAnsi="Times New Roman"/>
      <w:lang w:val="en-US"/>
    </w:rPr>
  </w:style>
  <w:style w:type="paragraph" w:customStyle="1" w:styleId="Bullet2L6">
    <w:name w:val="Bullet2_L6"/>
    <w:basedOn w:val="Normal"/>
    <w:rsid w:val="002E07D5"/>
    <w:pPr>
      <w:numPr>
        <w:ilvl w:val="5"/>
        <w:numId w:val="59"/>
      </w:numPr>
      <w:spacing w:after="240"/>
      <w:outlineLvl w:val="5"/>
    </w:pPr>
    <w:rPr>
      <w:rFonts w:ascii="Times New Roman" w:eastAsia="SimSun" w:hAnsi="Times New Roman"/>
      <w:lang w:val="en-US"/>
    </w:rPr>
  </w:style>
  <w:style w:type="paragraph" w:customStyle="1" w:styleId="Bullet2L7">
    <w:name w:val="Bullet2_L7"/>
    <w:basedOn w:val="Normal"/>
    <w:rsid w:val="002E07D5"/>
    <w:pPr>
      <w:numPr>
        <w:ilvl w:val="6"/>
        <w:numId w:val="59"/>
      </w:numPr>
      <w:spacing w:after="240"/>
      <w:outlineLvl w:val="6"/>
    </w:pPr>
    <w:rPr>
      <w:rFonts w:ascii="Times New Roman" w:eastAsia="SimSun" w:hAnsi="Times New Roman"/>
      <w:lang w:val="en-US"/>
    </w:rPr>
  </w:style>
  <w:style w:type="paragraph" w:customStyle="1" w:styleId="Bullet2L8">
    <w:name w:val="Bullet2_L8"/>
    <w:basedOn w:val="Bullet2L7"/>
    <w:rsid w:val="002E07D5"/>
    <w:pPr>
      <w:numPr>
        <w:ilvl w:val="7"/>
      </w:numPr>
      <w:outlineLvl w:val="7"/>
    </w:pPr>
  </w:style>
  <w:style w:type="paragraph" w:customStyle="1" w:styleId="Bullet2L9">
    <w:name w:val="Bullet2_L9"/>
    <w:basedOn w:val="Bullet2L8"/>
    <w:rsid w:val="002E07D5"/>
    <w:pPr>
      <w:numPr>
        <w:ilvl w:val="8"/>
      </w:numPr>
      <w:outlineLvl w:val="8"/>
    </w:pPr>
  </w:style>
  <w:style w:type="paragraph" w:customStyle="1" w:styleId="DPWNormal">
    <w:name w:val="DPW Normal"/>
    <w:basedOn w:val="Normal"/>
    <w:rsid w:val="002E07D5"/>
    <w:rPr>
      <w:rFonts w:ascii="Times New Roman" w:eastAsia="SimSun" w:hAnsi="Times New Roman"/>
      <w:sz w:val="24"/>
      <w:szCs w:val="24"/>
      <w:lang w:val="en-US" w:eastAsia="zh-CN"/>
    </w:rPr>
  </w:style>
  <w:style w:type="paragraph" w:customStyle="1" w:styleId="ObjectFootnote">
    <w:name w:val="Object Footnote"/>
    <w:basedOn w:val="Textoindependiente"/>
    <w:rsid w:val="002E07D5"/>
    <w:pPr>
      <w:tabs>
        <w:tab w:val="left" w:pos="624"/>
      </w:tabs>
      <w:autoSpaceDE/>
      <w:autoSpaceDN/>
      <w:adjustRightInd/>
      <w:spacing w:after="0" w:line="160" w:lineRule="atLeast"/>
      <w:ind w:left="624" w:hanging="624"/>
    </w:pPr>
    <w:rPr>
      <w:rFonts w:ascii="Credit Suisse Type Roman" w:eastAsia="PMingLiU" w:hAnsi="Credit Suisse Type Roman"/>
      <w:sz w:val="14"/>
      <w:szCs w:val="24"/>
      <w:lang w:val="en-GB" w:eastAsia="zh-TW"/>
    </w:rPr>
  </w:style>
  <w:style w:type="paragraph" w:customStyle="1" w:styleId="LeftBoldItalics">
    <w:name w:val="LeftBoldItalics"/>
    <w:basedOn w:val="Normal"/>
    <w:rsid w:val="002E07D5"/>
    <w:pPr>
      <w:keepNext/>
      <w:spacing w:after="240"/>
      <w:jc w:val="both"/>
    </w:pPr>
    <w:rPr>
      <w:rFonts w:ascii="Times New Roman" w:eastAsia="MS Mincho" w:hAnsi="Times New Roman"/>
      <w:b/>
      <w:bCs/>
      <w:i/>
      <w:lang w:val="en-US"/>
    </w:rPr>
  </w:style>
  <w:style w:type="paragraph" w:customStyle="1" w:styleId="tablefootnotetext">
    <w:name w:val="tablefootnotetext"/>
    <w:aliases w:val="tft"/>
    <w:basedOn w:val="Normal"/>
    <w:rsid w:val="002E07D5"/>
    <w:pPr>
      <w:suppressAutoHyphens/>
      <w:ind w:left="360" w:hanging="360"/>
    </w:pPr>
    <w:rPr>
      <w:rFonts w:ascii="Times New Roman" w:eastAsia="SimSun" w:hAnsi="Times New Roman"/>
      <w:sz w:val="16"/>
      <w:szCs w:val="16"/>
      <w:lang w:val="en-US"/>
    </w:rPr>
  </w:style>
  <w:style w:type="paragraph" w:customStyle="1" w:styleId="LeftIndent">
    <w:name w:val="LeftIndent"/>
    <w:aliases w:val="li"/>
    <w:basedOn w:val="Normal"/>
    <w:qFormat/>
    <w:rsid w:val="002E07D5"/>
    <w:pPr>
      <w:tabs>
        <w:tab w:val="left" w:pos="360"/>
      </w:tabs>
      <w:spacing w:after="240"/>
      <w:ind w:left="360" w:hanging="360"/>
    </w:pPr>
    <w:rPr>
      <w:rFonts w:ascii="Times New Roman" w:hAnsi="Times New Roman"/>
      <w:lang w:val="en-US"/>
    </w:rPr>
  </w:style>
  <w:style w:type="paragraph" w:customStyle="1" w:styleId="TabIndent0">
    <w:name w:val="TabIndent"/>
    <w:aliases w:val="ti"/>
    <w:basedOn w:val="Normal"/>
    <w:qFormat/>
    <w:rsid w:val="002E07D5"/>
    <w:pPr>
      <w:spacing w:after="240"/>
      <w:ind w:left="720" w:hanging="360"/>
    </w:pPr>
    <w:rPr>
      <w:rFonts w:ascii="Times New Roman" w:hAnsi="Times New Roman"/>
      <w:lang w:val="en-US"/>
    </w:rPr>
  </w:style>
  <w:style w:type="character" w:customStyle="1" w:styleId="Ttulo6Car1">
    <w:name w:val="Título 6 Car1"/>
    <w:aliases w:val="Título 6 Car Car Car1"/>
    <w:rsid w:val="002E07D5"/>
    <w:rPr>
      <w:rFonts w:ascii="Calibri" w:eastAsia="Times New Roman" w:hAnsi="Calibri" w:cs="Times New Roman"/>
      <w:b/>
      <w:bCs/>
      <w:lang w:val="en-US"/>
    </w:rPr>
  </w:style>
  <w:style w:type="character" w:styleId="Ttulodellibro">
    <w:name w:val="Book Title"/>
    <w:uiPriority w:val="33"/>
    <w:qFormat/>
    <w:rsid w:val="002E07D5"/>
    <w:rPr>
      <w:b/>
      <w:bCs/>
      <w:smallCaps/>
      <w:spacing w:val="5"/>
    </w:rPr>
  </w:style>
  <w:style w:type="character" w:customStyle="1" w:styleId="CitadestacadaCar1">
    <w:name w:val="Cita destacada Car1"/>
    <w:uiPriority w:val="30"/>
    <w:rsid w:val="002E07D5"/>
    <w:rPr>
      <w:rFonts w:ascii="Times New Roman" w:eastAsia="Times New Roman" w:hAnsi="Times New Roman" w:cs="Times New Roman"/>
      <w:b/>
      <w:bCs/>
      <w:i/>
      <w:iCs/>
      <w:color w:val="4F81BD"/>
      <w:sz w:val="24"/>
      <w:lang w:val="x-none" w:eastAsia="x-none"/>
    </w:rPr>
  </w:style>
  <w:style w:type="paragraph" w:customStyle="1" w:styleId="TableFootnote2">
    <w:name w:val="TableFootnote"/>
    <w:basedOn w:val="Normal"/>
    <w:uiPriority w:val="99"/>
    <w:rsid w:val="002E07D5"/>
    <w:pPr>
      <w:ind w:left="360" w:hanging="360"/>
    </w:pPr>
    <w:rPr>
      <w:rFonts w:ascii="Times New Roman" w:hAnsi="Times New Roman"/>
      <w:sz w:val="16"/>
      <w:szCs w:val="16"/>
      <w:lang w:val="en-US"/>
    </w:rPr>
  </w:style>
  <w:style w:type="paragraph" w:customStyle="1" w:styleId="FNLine">
    <w:name w:val="FN Line"/>
    <w:basedOn w:val="Normal"/>
    <w:rsid w:val="002E07D5"/>
    <w:pPr>
      <w:pBdr>
        <w:bottom w:val="single" w:sz="4" w:space="1" w:color="auto"/>
      </w:pBdr>
      <w:spacing w:before="60" w:after="60"/>
      <w:ind w:right="7920"/>
    </w:pPr>
    <w:rPr>
      <w:rFonts w:ascii="Times New Roman" w:hAnsi="Times New Roman"/>
      <w:sz w:val="12"/>
      <w:szCs w:val="12"/>
      <w:lang w:val="en-US"/>
    </w:rPr>
  </w:style>
  <w:style w:type="paragraph" w:customStyle="1" w:styleId="FNTextLast">
    <w:name w:val="FN Text Last"/>
    <w:basedOn w:val="Normal"/>
    <w:rsid w:val="002E07D5"/>
    <w:pPr>
      <w:spacing w:after="240"/>
      <w:ind w:left="432" w:hanging="432"/>
    </w:pPr>
    <w:rPr>
      <w:rFonts w:ascii="Times New Roman" w:hAnsi="Times New Roman"/>
      <w:sz w:val="18"/>
      <w:szCs w:val="18"/>
      <w:lang w:val="en-US"/>
    </w:rPr>
  </w:style>
  <w:style w:type="paragraph" w:customStyle="1" w:styleId="Bullet2Cont1">
    <w:name w:val="Bullet2 Cont 1"/>
    <w:basedOn w:val="Normal"/>
    <w:link w:val="Bullet2Cont1Char"/>
    <w:rsid w:val="002E07D5"/>
    <w:pPr>
      <w:spacing w:after="240"/>
      <w:ind w:left="1080"/>
    </w:pPr>
    <w:rPr>
      <w:rFonts w:ascii="Times New Roman" w:eastAsia="SimSun" w:hAnsi="Times New Roman"/>
      <w:lang w:val="en-US" w:eastAsia="x-none"/>
    </w:rPr>
  </w:style>
  <w:style w:type="character" w:customStyle="1" w:styleId="Bullet2L2Char">
    <w:name w:val="Bullet2_L2 Char"/>
    <w:link w:val="Bullet2L2"/>
    <w:rsid w:val="002E07D5"/>
    <w:rPr>
      <w:rFonts w:ascii="Times New Roman" w:eastAsia="SimSun" w:hAnsi="Times New Roman"/>
      <w:lang w:val="x-none" w:eastAsia="x-none"/>
    </w:rPr>
  </w:style>
  <w:style w:type="character" w:customStyle="1" w:styleId="Bullet2Cont1Char">
    <w:name w:val="Bullet2 Cont 1 Char"/>
    <w:link w:val="Bullet2Cont1"/>
    <w:rsid w:val="002E07D5"/>
    <w:rPr>
      <w:rFonts w:ascii="Times New Roman" w:eastAsia="SimSun" w:hAnsi="Times New Roman"/>
      <w:lang w:val="en-US" w:eastAsia="x-none"/>
    </w:rPr>
  </w:style>
  <w:style w:type="paragraph" w:customStyle="1" w:styleId="Bullet2Cont2">
    <w:name w:val="Bullet2 Cont 2"/>
    <w:basedOn w:val="Bullet2Cont1"/>
    <w:link w:val="Bullet2Cont2Char"/>
    <w:rsid w:val="002E07D5"/>
    <w:pPr>
      <w:ind w:left="1440"/>
    </w:pPr>
  </w:style>
  <w:style w:type="character" w:customStyle="1" w:styleId="Bullet2Cont2Char">
    <w:name w:val="Bullet2 Cont 2 Char"/>
    <w:link w:val="Bullet2Cont2"/>
    <w:rsid w:val="002E07D5"/>
    <w:rPr>
      <w:rFonts w:ascii="Times New Roman" w:eastAsia="SimSun" w:hAnsi="Times New Roman"/>
      <w:lang w:val="en-US" w:eastAsia="x-none"/>
    </w:rPr>
  </w:style>
  <w:style w:type="paragraph" w:customStyle="1" w:styleId="Bullet2Cont3">
    <w:name w:val="Bullet2 Cont 3"/>
    <w:basedOn w:val="Bullet2Cont2"/>
    <w:link w:val="Bullet2Cont3Char"/>
    <w:rsid w:val="002E07D5"/>
    <w:pPr>
      <w:ind w:firstLine="360"/>
    </w:pPr>
  </w:style>
  <w:style w:type="character" w:customStyle="1" w:styleId="Bullet2Cont3Char">
    <w:name w:val="Bullet2 Cont 3 Char"/>
    <w:link w:val="Bullet2Cont3"/>
    <w:rsid w:val="002E07D5"/>
    <w:rPr>
      <w:rFonts w:ascii="Times New Roman" w:eastAsia="SimSun" w:hAnsi="Times New Roman"/>
      <w:lang w:val="en-US" w:eastAsia="x-none"/>
    </w:rPr>
  </w:style>
  <w:style w:type="paragraph" w:customStyle="1" w:styleId="Bullet2Cont4">
    <w:name w:val="Bullet2 Cont 4"/>
    <w:basedOn w:val="Bullet2Cont3"/>
    <w:link w:val="Bullet2Cont4Char"/>
    <w:rsid w:val="002E07D5"/>
    <w:pPr>
      <w:ind w:left="2880" w:firstLine="0"/>
    </w:pPr>
  </w:style>
  <w:style w:type="character" w:customStyle="1" w:styleId="Bullet2Cont4Char">
    <w:name w:val="Bullet2 Cont 4 Char"/>
    <w:link w:val="Bullet2Cont4"/>
    <w:rsid w:val="002E07D5"/>
    <w:rPr>
      <w:rFonts w:ascii="Times New Roman" w:eastAsia="SimSun" w:hAnsi="Times New Roman"/>
      <w:lang w:val="en-US" w:eastAsia="x-none"/>
    </w:rPr>
  </w:style>
  <w:style w:type="paragraph" w:customStyle="1" w:styleId="Bullet2Cont5">
    <w:name w:val="Bullet2 Cont 5"/>
    <w:basedOn w:val="Bullet2Cont4"/>
    <w:link w:val="Bullet2Cont5Char"/>
    <w:rsid w:val="002E07D5"/>
    <w:pPr>
      <w:ind w:left="720"/>
    </w:pPr>
  </w:style>
  <w:style w:type="character" w:customStyle="1" w:styleId="Bullet2Cont5Char">
    <w:name w:val="Bullet2 Cont 5 Char"/>
    <w:link w:val="Bullet2Cont5"/>
    <w:rsid w:val="002E07D5"/>
    <w:rPr>
      <w:rFonts w:ascii="Times New Roman" w:eastAsia="SimSun" w:hAnsi="Times New Roman"/>
      <w:lang w:val="en-US" w:eastAsia="x-none"/>
    </w:rPr>
  </w:style>
  <w:style w:type="paragraph" w:customStyle="1" w:styleId="Bullet2Cont6">
    <w:name w:val="Bullet2 Cont 6"/>
    <w:basedOn w:val="Bullet2Cont5"/>
    <w:link w:val="Bullet2Cont6Char"/>
    <w:rsid w:val="002E07D5"/>
    <w:pPr>
      <w:ind w:left="1440"/>
    </w:pPr>
  </w:style>
  <w:style w:type="character" w:customStyle="1" w:styleId="Bullet2Cont6Char">
    <w:name w:val="Bullet2 Cont 6 Char"/>
    <w:link w:val="Bullet2Cont6"/>
    <w:rsid w:val="002E07D5"/>
    <w:rPr>
      <w:rFonts w:ascii="Times New Roman" w:eastAsia="SimSun" w:hAnsi="Times New Roman"/>
      <w:lang w:val="en-US" w:eastAsia="x-none"/>
    </w:rPr>
  </w:style>
  <w:style w:type="paragraph" w:customStyle="1" w:styleId="Bullet2Cont7">
    <w:name w:val="Bullet2 Cont 7"/>
    <w:basedOn w:val="Bullet2Cont6"/>
    <w:link w:val="Bullet2Cont7Char"/>
    <w:rsid w:val="002E07D5"/>
    <w:pPr>
      <w:ind w:left="2160"/>
    </w:pPr>
  </w:style>
  <w:style w:type="character" w:customStyle="1" w:styleId="Bullet2Cont7Char">
    <w:name w:val="Bullet2 Cont 7 Char"/>
    <w:link w:val="Bullet2Cont7"/>
    <w:rsid w:val="002E07D5"/>
    <w:rPr>
      <w:rFonts w:ascii="Times New Roman" w:eastAsia="SimSun" w:hAnsi="Times New Roman"/>
      <w:lang w:val="en-US" w:eastAsia="x-none"/>
    </w:rPr>
  </w:style>
  <w:style w:type="paragraph" w:customStyle="1" w:styleId="Bullet2Cont8">
    <w:name w:val="Bullet2 Cont 8"/>
    <w:basedOn w:val="Bullet2Cont7"/>
    <w:link w:val="Bullet2Cont8Char"/>
    <w:rsid w:val="002E07D5"/>
    <w:pPr>
      <w:ind w:left="2880"/>
    </w:pPr>
  </w:style>
  <w:style w:type="character" w:customStyle="1" w:styleId="Bullet2Cont8Char">
    <w:name w:val="Bullet2 Cont 8 Char"/>
    <w:link w:val="Bullet2Cont8"/>
    <w:rsid w:val="002E07D5"/>
    <w:rPr>
      <w:rFonts w:ascii="Times New Roman" w:eastAsia="SimSun" w:hAnsi="Times New Roman"/>
      <w:lang w:val="en-US" w:eastAsia="x-none"/>
    </w:rPr>
  </w:style>
  <w:style w:type="paragraph" w:customStyle="1" w:styleId="Bullet2Cont9">
    <w:name w:val="Bullet2 Cont 9"/>
    <w:basedOn w:val="Bullet2Cont8"/>
    <w:link w:val="Bullet2Cont9Char"/>
    <w:rsid w:val="002E07D5"/>
    <w:pPr>
      <w:ind w:left="3600"/>
    </w:pPr>
  </w:style>
  <w:style w:type="character" w:customStyle="1" w:styleId="Bullet2Cont9Char">
    <w:name w:val="Bullet2 Cont 9 Char"/>
    <w:link w:val="Bullet2Cont9"/>
    <w:rsid w:val="002E07D5"/>
    <w:rPr>
      <w:rFonts w:ascii="Times New Roman" w:eastAsia="SimSun" w:hAnsi="Times New Roman"/>
      <w:lang w:val="en-US" w:eastAsia="x-none"/>
    </w:rPr>
  </w:style>
  <w:style w:type="paragraph" w:customStyle="1" w:styleId="Prrafodelista4">
    <w:name w:val="Párrafo de lista4"/>
    <w:basedOn w:val="Normal"/>
    <w:qFormat/>
    <w:rsid w:val="002E07D5"/>
    <w:pPr>
      <w:overflowPunct w:val="0"/>
      <w:autoSpaceDE w:val="0"/>
      <w:autoSpaceDN w:val="0"/>
      <w:adjustRightInd w:val="0"/>
      <w:ind w:left="720"/>
      <w:contextualSpacing/>
      <w:textAlignment w:val="baseline"/>
    </w:pPr>
    <w:rPr>
      <w:rFonts w:ascii="Times New Roman" w:hAnsi="Times New Roman"/>
      <w:lang w:val="en-US" w:eastAsia="es-AR"/>
    </w:rPr>
  </w:style>
  <w:style w:type="character" w:customStyle="1" w:styleId="longtext">
    <w:name w:val="long_text"/>
    <w:rsid w:val="002E07D5"/>
  </w:style>
  <w:style w:type="character" w:customStyle="1" w:styleId="hpsatn">
    <w:name w:val="hps atn"/>
    <w:rsid w:val="002E07D5"/>
  </w:style>
  <w:style w:type="paragraph" w:customStyle="1" w:styleId="Style">
    <w:name w:val="Style"/>
    <w:basedOn w:val="Normal"/>
    <w:rsid w:val="002E07D5"/>
    <w:pPr>
      <w:spacing w:after="240"/>
      <w:ind w:left="720" w:hanging="720"/>
      <w:jc w:val="both"/>
    </w:pPr>
    <w:rPr>
      <w:rFonts w:ascii="Times New Roman" w:hAnsi="Times New Roman"/>
      <w:sz w:val="24"/>
      <w:lang w:val="en-US"/>
    </w:rPr>
  </w:style>
  <w:style w:type="paragraph" w:customStyle="1" w:styleId="a">
    <w:name w:val="_"/>
    <w:basedOn w:val="Normal"/>
    <w:rsid w:val="002E07D5"/>
    <w:pPr>
      <w:numPr>
        <w:numId w:val="60"/>
      </w:numPr>
      <w:spacing w:after="240"/>
      <w:jc w:val="both"/>
    </w:pPr>
    <w:rPr>
      <w:rFonts w:ascii="Times New Roman" w:hAnsi="Times New Roman"/>
      <w:sz w:val="24"/>
      <w:lang w:val="en-US"/>
    </w:rPr>
  </w:style>
  <w:style w:type="paragraph" w:customStyle="1" w:styleId="ObjectSpacer">
    <w:name w:val="Object Spacer"/>
    <w:basedOn w:val="Textoindependiente"/>
    <w:next w:val="Textoindependiente"/>
    <w:rsid w:val="002E07D5"/>
    <w:pPr>
      <w:keepNext/>
      <w:keepLines/>
      <w:autoSpaceDE/>
      <w:autoSpaceDN/>
      <w:adjustRightInd/>
      <w:spacing w:after="0"/>
      <w:ind w:right="-452"/>
    </w:pPr>
    <w:rPr>
      <w:rFonts w:ascii="Credit Suisse Type Roman" w:eastAsia="PMingLiU" w:hAnsi="Credit Suisse Type Roman"/>
      <w:sz w:val="10"/>
      <w:szCs w:val="24"/>
      <w:lang w:val="en-GB" w:eastAsia="zh-TW"/>
    </w:rPr>
  </w:style>
  <w:style w:type="paragraph" w:customStyle="1" w:styleId="TtulodeTDC2">
    <w:name w:val="Título de TDC2"/>
    <w:basedOn w:val="Ttulo1"/>
    <w:next w:val="Textoindependiente"/>
    <w:qFormat/>
    <w:rsid w:val="002E07D5"/>
    <w:pPr>
      <w:overflowPunct w:val="0"/>
      <w:autoSpaceDE w:val="0"/>
      <w:autoSpaceDN w:val="0"/>
      <w:adjustRightInd w:val="0"/>
      <w:spacing w:line="276" w:lineRule="auto"/>
      <w:textAlignment w:val="baseline"/>
      <w:outlineLvl w:val="9"/>
    </w:pPr>
    <w:rPr>
      <w:rFonts w:ascii="Arial" w:hAnsi="Arial"/>
      <w:b w:val="0"/>
      <w:bCs/>
      <w:color w:val="00011F"/>
      <w:sz w:val="40"/>
      <w:szCs w:val="28"/>
      <w:lang w:eastAsia="es-AR"/>
    </w:rPr>
  </w:style>
  <w:style w:type="character" w:customStyle="1" w:styleId="nfasisintenso2">
    <w:name w:val="Énfasis intenso2"/>
    <w:qFormat/>
    <w:rsid w:val="002E07D5"/>
    <w:rPr>
      <w:b/>
      <w:bCs/>
      <w:i/>
      <w:iCs/>
      <w:color w:val="auto"/>
      <w:u w:val="none"/>
    </w:rPr>
  </w:style>
  <w:style w:type="paragraph" w:customStyle="1" w:styleId="Citadestacada2">
    <w:name w:val="Cita destacada2"/>
    <w:basedOn w:val="Normal"/>
    <w:next w:val="Normal"/>
    <w:qFormat/>
    <w:rsid w:val="002E07D5"/>
    <w:pPr>
      <w:pBdr>
        <w:bottom w:val="single" w:sz="4" w:space="4" w:color="auto"/>
      </w:pBdr>
      <w:overflowPunct w:val="0"/>
      <w:autoSpaceDE w:val="0"/>
      <w:autoSpaceDN w:val="0"/>
      <w:adjustRightInd w:val="0"/>
      <w:ind w:left="936" w:right="936"/>
      <w:textAlignment w:val="baseline"/>
    </w:pPr>
    <w:rPr>
      <w:rFonts w:eastAsia="Calibri"/>
      <w:b/>
      <w:bCs/>
      <w:i/>
      <w:iCs/>
      <w:color w:val="4F81BD"/>
      <w:sz w:val="22"/>
      <w:szCs w:val="22"/>
    </w:rPr>
  </w:style>
  <w:style w:type="character" w:customStyle="1" w:styleId="Referenciaintensa2">
    <w:name w:val="Referencia intensa2"/>
    <w:qFormat/>
    <w:rsid w:val="002E07D5"/>
    <w:rPr>
      <w:b/>
      <w:bCs/>
      <w:i w:val="0"/>
      <w:smallCaps/>
      <w:color w:val="auto"/>
      <w:spacing w:val="5"/>
      <w:u w:val="none"/>
    </w:rPr>
  </w:style>
  <w:style w:type="character" w:customStyle="1" w:styleId="nfasissutil2">
    <w:name w:val="Énfasis sutil2"/>
    <w:qFormat/>
    <w:rsid w:val="002E07D5"/>
    <w:rPr>
      <w:b w:val="0"/>
      <w:i/>
      <w:iCs/>
      <w:color w:val="auto"/>
      <w:u w:val="none"/>
    </w:rPr>
  </w:style>
  <w:style w:type="character" w:customStyle="1" w:styleId="Referenciasutil2">
    <w:name w:val="Referencia sutil2"/>
    <w:qFormat/>
    <w:rsid w:val="002E07D5"/>
    <w:rPr>
      <w:b w:val="0"/>
      <w:i w:val="0"/>
      <w:smallCaps/>
      <w:color w:val="auto"/>
      <w:u w:val="single"/>
    </w:rPr>
  </w:style>
  <w:style w:type="table" w:customStyle="1" w:styleId="Sombreadoclaro-nfasis22">
    <w:name w:val="Sombreado claro - Énfasis 22"/>
    <w:basedOn w:val="Tablanormal"/>
    <w:rsid w:val="002E07D5"/>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2">
    <w:name w:val="Sombreado medio 1 - Énfasis 42"/>
    <w:basedOn w:val="Tablanormal"/>
    <w:rsid w:val="002E07D5"/>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table" w:customStyle="1" w:styleId="MediumShading11">
    <w:name w:val="Medium Shading 11"/>
    <w:basedOn w:val="Tablanormal"/>
    <w:rsid w:val="002E07D5"/>
    <w:rPr>
      <w:rFonts w:ascii="Arial" w:eastAsia="Arial" w:hAnsi="Arial"/>
      <w:sz w:val="16"/>
      <w:lang w:val="es-AR" w:eastAsia="es-AR"/>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
    <w:name w:val="Medium Shading 1 - Accent 11"/>
    <w:basedOn w:val="Tablanormal"/>
    <w:rsid w:val="002E07D5"/>
    <w:rPr>
      <w:rFonts w:ascii="Arial" w:eastAsia="Arial" w:hAnsi="Arial"/>
      <w:lang w:val="es-AR" w:eastAsia="es-AR"/>
    </w:rPr>
    <w:tblPr>
      <w:tblStyleRowBandSize w:val="1"/>
      <w:tblStyleColBandSize w:val="1"/>
      <w:tblBorders>
        <w:top w:val="single" w:sz="8" w:space="0" w:color="B9B1A7"/>
        <w:left w:val="single" w:sz="8" w:space="0" w:color="B9B1A7"/>
        <w:bottom w:val="single" w:sz="8" w:space="0" w:color="B9B1A7"/>
        <w:right w:val="single" w:sz="8" w:space="0" w:color="B9B1A7"/>
        <w:insideH w:val="single" w:sz="8" w:space="0" w:color="B9B1A7"/>
      </w:tblBorders>
    </w:tblPr>
    <w:tblStylePr w:type="firstRow">
      <w:pPr>
        <w:spacing w:before="0" w:after="0" w:line="240" w:lineRule="auto"/>
      </w:pPr>
      <w:rPr>
        <w:b/>
        <w:bCs/>
        <w:color w:val="FFFFFF"/>
      </w:rPr>
      <w:tblPr/>
      <w:tcPr>
        <w:tcBorders>
          <w:top w:val="single" w:sz="8" w:space="0" w:color="B9B1A7"/>
          <w:left w:val="single" w:sz="8" w:space="0" w:color="B9B1A7"/>
          <w:bottom w:val="single" w:sz="8" w:space="0" w:color="B9B1A7"/>
          <w:right w:val="single" w:sz="8" w:space="0" w:color="B9B1A7"/>
          <w:insideH w:val="nil"/>
          <w:insideV w:val="nil"/>
        </w:tcBorders>
        <w:shd w:val="clear" w:color="auto" w:fill="A2978A"/>
      </w:tcPr>
    </w:tblStylePr>
    <w:tblStylePr w:type="lastRow">
      <w:pPr>
        <w:spacing w:before="0" w:after="0" w:line="240" w:lineRule="auto"/>
      </w:pPr>
      <w:rPr>
        <w:b/>
        <w:bCs/>
      </w:rPr>
      <w:tblPr/>
      <w:tcPr>
        <w:tcBorders>
          <w:top w:val="double" w:sz="6" w:space="0" w:color="B9B1A7"/>
          <w:left w:val="single" w:sz="8" w:space="0" w:color="B9B1A7"/>
          <w:bottom w:val="single" w:sz="8" w:space="0" w:color="B9B1A7"/>
          <w:right w:val="single" w:sz="8" w:space="0" w:color="B9B1A7"/>
          <w:insideH w:val="nil"/>
          <w:insideV w:val="nil"/>
        </w:tcBorders>
      </w:tcPr>
    </w:tblStylePr>
    <w:tblStylePr w:type="firstCol">
      <w:rPr>
        <w:b/>
        <w:bCs/>
      </w:rPr>
    </w:tblStylePr>
    <w:tblStylePr w:type="lastCol">
      <w:rPr>
        <w:b/>
        <w:bCs/>
      </w:rPr>
    </w:tblStylePr>
    <w:tblStylePr w:type="band1Vert">
      <w:tblPr/>
      <w:tcPr>
        <w:shd w:val="clear" w:color="auto" w:fill="E8E5E2"/>
      </w:tcPr>
    </w:tblStylePr>
    <w:tblStylePr w:type="band1Horz">
      <w:tblPr/>
      <w:tcPr>
        <w:tcBorders>
          <w:insideH w:val="nil"/>
          <w:insideV w:val="nil"/>
        </w:tcBorders>
        <w:shd w:val="clear" w:color="auto" w:fill="E8E5E2"/>
      </w:tcPr>
    </w:tblStylePr>
    <w:tblStylePr w:type="band2Horz">
      <w:tblPr/>
      <w:tcPr>
        <w:tcBorders>
          <w:insideH w:val="nil"/>
          <w:insideV w:val="nil"/>
        </w:tcBorders>
      </w:tcPr>
    </w:tblStylePr>
  </w:style>
  <w:style w:type="table" w:customStyle="1" w:styleId="LightList1">
    <w:name w:val="Light List1"/>
    <w:basedOn w:val="Tablanormal"/>
    <w:rsid w:val="002E07D5"/>
    <w:rPr>
      <w:rFonts w:ascii="Arial" w:eastAsia="Arial" w:hAnsi="Arial"/>
      <w:lang w:val="es-AR" w:eastAsia="es-AR"/>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
    <w:name w:val="Light List - Accent 11"/>
    <w:basedOn w:val="Tablanormal"/>
    <w:rsid w:val="002E07D5"/>
    <w:rPr>
      <w:rFonts w:ascii="Arial" w:eastAsia="Arial" w:hAnsi="Arial"/>
      <w:lang w:val="es-AR" w:eastAsia="es-AR"/>
    </w:rPr>
    <w:tblPr>
      <w:tblStyleRowBandSize w:val="1"/>
      <w:tblStyleColBandSize w:val="1"/>
      <w:tblBorders>
        <w:top w:val="single" w:sz="8" w:space="0" w:color="A2978A"/>
        <w:left w:val="single" w:sz="8" w:space="0" w:color="A2978A"/>
        <w:bottom w:val="single" w:sz="8" w:space="0" w:color="A2978A"/>
        <w:right w:val="single" w:sz="8" w:space="0" w:color="A2978A"/>
      </w:tblBorders>
    </w:tblPr>
    <w:tblStylePr w:type="firstRow">
      <w:pPr>
        <w:spacing w:before="0" w:after="0" w:line="240" w:lineRule="auto"/>
      </w:pPr>
      <w:rPr>
        <w:b/>
        <w:bCs/>
        <w:color w:val="FFFFFF"/>
      </w:rPr>
      <w:tblPr/>
      <w:tcPr>
        <w:shd w:val="clear" w:color="auto" w:fill="A2978A"/>
      </w:tcPr>
    </w:tblStylePr>
    <w:tblStylePr w:type="lastRow">
      <w:pPr>
        <w:spacing w:before="0" w:after="0" w:line="240" w:lineRule="auto"/>
      </w:pPr>
      <w:rPr>
        <w:b/>
        <w:bCs/>
      </w:rPr>
      <w:tblPr/>
      <w:tcPr>
        <w:tcBorders>
          <w:top w:val="double" w:sz="6" w:space="0" w:color="A2978A"/>
          <w:left w:val="single" w:sz="8" w:space="0" w:color="A2978A"/>
          <w:bottom w:val="single" w:sz="8" w:space="0" w:color="A2978A"/>
          <w:right w:val="single" w:sz="8" w:space="0" w:color="A2978A"/>
        </w:tcBorders>
      </w:tcPr>
    </w:tblStylePr>
    <w:tblStylePr w:type="firstCol">
      <w:rPr>
        <w:b/>
        <w:bCs/>
      </w:rPr>
    </w:tblStylePr>
    <w:tblStylePr w:type="lastCol">
      <w:rPr>
        <w:b/>
        <w:bCs/>
      </w:rPr>
    </w:tblStylePr>
    <w:tblStylePr w:type="band1Vert">
      <w:tblPr/>
      <w:tcPr>
        <w:tcBorders>
          <w:top w:val="single" w:sz="8" w:space="0" w:color="A2978A"/>
          <w:left w:val="single" w:sz="8" w:space="0" w:color="A2978A"/>
          <w:bottom w:val="single" w:sz="8" w:space="0" w:color="A2978A"/>
          <w:right w:val="single" w:sz="8" w:space="0" w:color="A2978A"/>
        </w:tcBorders>
      </w:tcPr>
    </w:tblStylePr>
    <w:tblStylePr w:type="band1Horz">
      <w:tblPr/>
      <w:tcPr>
        <w:tcBorders>
          <w:top w:val="single" w:sz="8" w:space="0" w:color="A2978A"/>
          <w:left w:val="single" w:sz="8" w:space="0" w:color="A2978A"/>
          <w:bottom w:val="single" w:sz="8" w:space="0" w:color="A2978A"/>
          <w:right w:val="single" w:sz="8" w:space="0" w:color="A2978A"/>
        </w:tcBorders>
      </w:tcPr>
    </w:tblStylePr>
  </w:style>
  <w:style w:type="table" w:customStyle="1" w:styleId="PwCTable1">
    <w:name w:val="PwC Table 1"/>
    <w:basedOn w:val="Tablanormal"/>
    <w:qFormat/>
    <w:rsid w:val="002E07D5"/>
    <w:rPr>
      <w:rFonts w:ascii="Arial" w:eastAsia="Arial" w:hAnsi="Arial"/>
      <w:sz w:val="18"/>
      <w:lang w:val="es-AR" w:eastAsia="es-AR"/>
    </w:rPr>
    <w:tblPr>
      <w:tblStyleRowBandSize w:val="1"/>
      <w:tblBorders>
        <w:bottom w:val="single" w:sz="4" w:space="0" w:color="A2978A"/>
        <w:insideH w:val="single" w:sz="4" w:space="0" w:color="A2978A"/>
      </w:tblBorders>
      <w:tblCellMar>
        <w:top w:w="57" w:type="dxa"/>
        <w:left w:w="0" w:type="dxa"/>
        <w:bottom w:w="57" w:type="dxa"/>
        <w:right w:w="0" w:type="dxa"/>
      </w:tblCellMar>
    </w:tblPr>
    <w:tblStylePr w:type="firstRow">
      <w:pPr>
        <w:wordWrap/>
        <w:spacing w:beforeLines="0" w:beforeAutospacing="0" w:afterLines="0" w:afterAutospacing="0" w:line="210" w:lineRule="atLeast"/>
        <w:contextualSpacing w:val="0"/>
      </w:pPr>
      <w:rPr>
        <w:rFonts w:ascii="Arial" w:hAnsi="Arial"/>
        <w:b/>
        <w:color w:val="A2978A"/>
        <w:sz w:val="18"/>
      </w:rPr>
      <w:tblPr/>
      <w:tcPr>
        <w:tcBorders>
          <w:top w:val="nil"/>
          <w:left w:val="nil"/>
          <w:bottom w:val="single" w:sz="8" w:space="0" w:color="00011F"/>
          <w:right w:val="nil"/>
          <w:insideH w:val="nil"/>
          <w:insideV w:val="nil"/>
          <w:tl2br w:val="nil"/>
          <w:tr2bl w:val="nil"/>
        </w:tcBorders>
      </w:tcPr>
    </w:tblStylePr>
    <w:tblStylePr w:type="lastRow">
      <w:tblPr/>
      <w:tcPr>
        <w:tcBorders>
          <w:top w:val="nil"/>
          <w:left w:val="nil"/>
          <w:bottom w:val="single" w:sz="4" w:space="0" w:color="A2978A"/>
          <w:right w:val="nil"/>
          <w:insideH w:val="nil"/>
          <w:insideV w:val="nil"/>
          <w:tl2br w:val="nil"/>
          <w:tr2bl w:val="nil"/>
        </w:tcBorders>
      </w:tcPr>
    </w:tblStylePr>
    <w:tblStylePr w:type="band1Horz">
      <w:pPr>
        <w:wordWrap/>
        <w:spacing w:beforeLines="0" w:beforeAutospacing="0" w:afterLines="0" w:afterAutospacing="0" w:line="210" w:lineRule="atLeast"/>
      </w:pPr>
    </w:tblStylePr>
    <w:tblStylePr w:type="band2Horz">
      <w:pPr>
        <w:wordWrap/>
        <w:spacing w:beforeLines="0" w:beforeAutospacing="0" w:afterLines="0" w:afterAutospacing="0" w:line="210" w:lineRule="atLeast"/>
      </w:pPr>
    </w:tblStylePr>
  </w:style>
  <w:style w:type="numbering" w:customStyle="1" w:styleId="PwCListBullets1">
    <w:name w:val="PwC List Bullets 1"/>
    <w:rsid w:val="002E07D5"/>
    <w:pPr>
      <w:numPr>
        <w:numId w:val="61"/>
      </w:numPr>
    </w:pPr>
  </w:style>
  <w:style w:type="numbering" w:customStyle="1" w:styleId="PwCListNumbers1">
    <w:name w:val="PwC List Numbers 1"/>
    <w:rsid w:val="002E07D5"/>
    <w:pPr>
      <w:numPr>
        <w:numId w:val="62"/>
      </w:numPr>
    </w:pPr>
  </w:style>
  <w:style w:type="paragraph" w:customStyle="1" w:styleId="Text1">
    <w:name w:val="Text1"/>
    <w:basedOn w:val="Normal"/>
    <w:rsid w:val="002E07D5"/>
    <w:pPr>
      <w:tabs>
        <w:tab w:val="left" w:pos="720"/>
      </w:tabs>
      <w:overflowPunct w:val="0"/>
      <w:autoSpaceDE w:val="0"/>
      <w:autoSpaceDN w:val="0"/>
      <w:adjustRightInd w:val="0"/>
      <w:spacing w:after="240"/>
      <w:ind w:left="720" w:hanging="360"/>
      <w:textAlignment w:val="baseline"/>
    </w:pPr>
    <w:rPr>
      <w:rFonts w:ascii="Times New Roman" w:hAnsi="Times New Roman"/>
      <w:lang w:val="en-US" w:eastAsia="es-AR"/>
    </w:rPr>
  </w:style>
  <w:style w:type="paragraph" w:customStyle="1" w:styleId="Notacuerpo1">
    <w:name w:val="Nota cuerpo:1"/>
    <w:basedOn w:val="Normal"/>
    <w:rsid w:val="002E07D5"/>
    <w:pPr>
      <w:overflowPunct w:val="0"/>
      <w:autoSpaceDE w:val="0"/>
      <w:autoSpaceDN w:val="0"/>
      <w:adjustRightInd w:val="0"/>
      <w:ind w:left="1440"/>
      <w:jc w:val="both"/>
      <w:textAlignment w:val="baseline"/>
    </w:pPr>
    <w:rPr>
      <w:rFonts w:ascii="Arial" w:hAnsi="Arial"/>
      <w:noProof/>
      <w:sz w:val="24"/>
      <w:lang w:val="en-US" w:eastAsia="es-AR"/>
    </w:rPr>
  </w:style>
  <w:style w:type="character" w:customStyle="1" w:styleId="tw4winMark">
    <w:name w:val="tw4winMark"/>
    <w:rsid w:val="002E07D5"/>
    <w:rPr>
      <w:rFonts w:ascii="Courier New" w:hAnsi="Courier New"/>
      <w:vanish/>
      <w:color w:val="800080"/>
      <w:sz w:val="24"/>
      <w:vertAlign w:val="subscript"/>
    </w:rPr>
  </w:style>
  <w:style w:type="character" w:customStyle="1" w:styleId="tw4winTerm">
    <w:name w:val="tw4winTerm"/>
    <w:rsid w:val="002E07D5"/>
    <w:rPr>
      <w:color w:val="0000FF"/>
    </w:rPr>
  </w:style>
  <w:style w:type="character" w:customStyle="1" w:styleId="tw4winJump">
    <w:name w:val="tw4winJump"/>
    <w:rsid w:val="002E07D5"/>
    <w:rPr>
      <w:rFonts w:ascii="Courier New" w:hAnsi="Courier New"/>
      <w:noProof/>
      <w:color w:val="008080"/>
    </w:rPr>
  </w:style>
  <w:style w:type="paragraph" w:customStyle="1" w:styleId="2Ttulo">
    <w:name w:val="2Título"/>
    <w:basedOn w:val="Normal"/>
    <w:rsid w:val="002E07D5"/>
    <w:pPr>
      <w:overflowPunct w:val="0"/>
      <w:autoSpaceDE w:val="0"/>
      <w:autoSpaceDN w:val="0"/>
      <w:adjustRightInd w:val="0"/>
      <w:jc w:val="center"/>
      <w:textAlignment w:val="baseline"/>
    </w:pPr>
    <w:rPr>
      <w:rFonts w:ascii="Times New Roman" w:hAnsi="Times New Roman"/>
      <w:b/>
      <w:sz w:val="24"/>
      <w:lang w:val="es-ES" w:eastAsia="es-AR"/>
    </w:rPr>
  </w:style>
  <w:style w:type="paragraph" w:customStyle="1" w:styleId="1Texto">
    <w:name w:val="1. Texto"/>
    <w:basedOn w:val="Normal"/>
    <w:rsid w:val="002E07D5"/>
    <w:pPr>
      <w:widowControl w:val="0"/>
      <w:jc w:val="both"/>
    </w:pPr>
    <w:rPr>
      <w:rFonts w:ascii="Times New Roman" w:hAnsi="Times New Roman"/>
      <w:lang w:val="en-US"/>
    </w:rPr>
  </w:style>
  <w:style w:type="paragraph" w:customStyle="1" w:styleId="CharCharCharCharChar1">
    <w:name w:val="Char Char Char Char Char1"/>
    <w:basedOn w:val="Textoindependiente"/>
    <w:rsid w:val="002E07D5"/>
    <w:pPr>
      <w:tabs>
        <w:tab w:val="left" w:pos="6660"/>
        <w:tab w:val="decimal" w:pos="7740"/>
        <w:tab w:val="left" w:pos="8100"/>
        <w:tab w:val="decimal" w:pos="9270"/>
      </w:tabs>
      <w:overflowPunct w:val="0"/>
      <w:spacing w:after="0"/>
      <w:ind w:left="720"/>
      <w:textAlignment w:val="baseline"/>
    </w:pPr>
    <w:rPr>
      <w:rFonts w:ascii="Arial" w:eastAsia="Batang" w:hAnsi="Arial"/>
      <w:b/>
    </w:rPr>
  </w:style>
  <w:style w:type="character" w:customStyle="1" w:styleId="tw4winPopup">
    <w:name w:val="tw4winPopup"/>
    <w:rsid w:val="002E07D5"/>
    <w:rPr>
      <w:rFonts w:ascii="Courier New" w:hAnsi="Courier New"/>
      <w:noProof/>
      <w:color w:val="008000"/>
    </w:rPr>
  </w:style>
  <w:style w:type="paragraph" w:customStyle="1" w:styleId="CharCharCharCharChar2">
    <w:name w:val="Char Char Char Char Char2"/>
    <w:basedOn w:val="Textoindependiente"/>
    <w:rsid w:val="002E07D5"/>
    <w:pPr>
      <w:tabs>
        <w:tab w:val="left" w:pos="6660"/>
        <w:tab w:val="decimal" w:pos="7740"/>
        <w:tab w:val="left" w:pos="8100"/>
        <w:tab w:val="decimal" w:pos="9270"/>
      </w:tabs>
      <w:overflowPunct w:val="0"/>
      <w:spacing w:after="0"/>
      <w:ind w:left="720"/>
      <w:textAlignment w:val="baseline"/>
    </w:pPr>
    <w:rPr>
      <w:rFonts w:ascii="Arial" w:eastAsia="Batang" w:hAnsi="Arial"/>
      <w:b/>
    </w:rPr>
  </w:style>
  <w:style w:type="paragraph" w:customStyle="1" w:styleId="Sinespaciado2">
    <w:name w:val="Sin espaciado2"/>
    <w:qFormat/>
    <w:rsid w:val="002E07D5"/>
    <w:pPr>
      <w:jc w:val="both"/>
    </w:pPr>
    <w:rPr>
      <w:rFonts w:ascii="Univers" w:hAnsi="Univers"/>
      <w:snapToGrid w:val="0"/>
      <w:sz w:val="18"/>
      <w:szCs w:val="22"/>
      <w:lang w:val="es-AR" w:eastAsia="es-AR"/>
    </w:rPr>
  </w:style>
  <w:style w:type="character" w:customStyle="1" w:styleId="gt-icon-text1">
    <w:name w:val="gt-icon-text1"/>
    <w:rsid w:val="002E07D5"/>
  </w:style>
  <w:style w:type="paragraph" w:customStyle="1" w:styleId="AINDENTEDPARA">
    <w:name w:val="A INDENTED PARA"/>
    <w:basedOn w:val="Normal"/>
    <w:rsid w:val="002E07D5"/>
    <w:pPr>
      <w:ind w:left="360"/>
      <w:jc w:val="both"/>
    </w:pPr>
    <w:rPr>
      <w:rFonts w:ascii="Book Antiqua" w:hAnsi="Book Antiqua"/>
      <w:sz w:val="22"/>
      <w:lang w:val="es-ES"/>
    </w:rPr>
  </w:style>
  <w:style w:type="paragraph" w:customStyle="1" w:styleId="Textoinfaud">
    <w:name w:val="Texto inf. aud."/>
    <w:basedOn w:val="Normal"/>
    <w:rsid w:val="002E07D5"/>
    <w:pPr>
      <w:tabs>
        <w:tab w:val="left" w:pos="720"/>
      </w:tabs>
      <w:spacing w:line="360" w:lineRule="atLeast"/>
      <w:jc w:val="both"/>
    </w:pPr>
    <w:rPr>
      <w:rFonts w:ascii="Book Antiqua" w:hAnsi="Book Antiqua" w:cs="Book Antiqua"/>
      <w:lang w:val="es-ES_tradnl"/>
    </w:rPr>
  </w:style>
  <w:style w:type="paragraph" w:customStyle="1" w:styleId="text">
    <w:name w:val="text"/>
    <w:basedOn w:val="Normal"/>
    <w:rsid w:val="002E07D5"/>
    <w:pPr>
      <w:spacing w:after="120"/>
      <w:ind w:left="144" w:firstLine="216"/>
      <w:jc w:val="both"/>
    </w:pPr>
    <w:rPr>
      <w:rFonts w:ascii="Times New Roman" w:hAnsi="Times New Roman"/>
      <w:lang w:val="en-US"/>
    </w:rPr>
  </w:style>
  <w:style w:type="paragraph" w:customStyle="1" w:styleId="textital">
    <w:name w:val="text ital"/>
    <w:basedOn w:val="text"/>
    <w:rsid w:val="002E07D5"/>
    <w:rPr>
      <w:i/>
    </w:rPr>
  </w:style>
  <w:style w:type="paragraph" w:customStyle="1" w:styleId="CM18">
    <w:name w:val="CM18"/>
    <w:basedOn w:val="Default"/>
    <w:next w:val="Default"/>
    <w:rsid w:val="002E07D5"/>
    <w:pPr>
      <w:widowControl w:val="0"/>
    </w:pPr>
    <w:rPr>
      <w:rFonts w:ascii="Verdana" w:hAnsi="Verdana"/>
      <w:color w:val="auto"/>
      <w:lang w:val="en-GB" w:eastAsia="en-GB"/>
    </w:rPr>
  </w:style>
  <w:style w:type="paragraph" w:customStyle="1" w:styleId="xmsonormal">
    <w:name w:val="x_msonormal"/>
    <w:basedOn w:val="Normal"/>
    <w:rsid w:val="002E07D5"/>
    <w:pPr>
      <w:spacing w:before="100" w:beforeAutospacing="1" w:after="100" w:afterAutospacing="1"/>
    </w:pPr>
    <w:rPr>
      <w:rFonts w:ascii="Times New Roman" w:hAnsi="Times New Roman"/>
      <w:sz w:val="24"/>
      <w:szCs w:val="24"/>
      <w:lang w:val="en-US"/>
    </w:rPr>
  </w:style>
  <w:style w:type="paragraph" w:customStyle="1" w:styleId="xs7-502">
    <w:name w:val="x_s7-502"/>
    <w:basedOn w:val="Normal"/>
    <w:rsid w:val="002E07D5"/>
    <w:pPr>
      <w:spacing w:before="100" w:beforeAutospacing="1" w:after="100" w:afterAutospacing="1"/>
    </w:pPr>
    <w:rPr>
      <w:rFonts w:ascii="Times New Roman" w:hAnsi="Times New Roman"/>
      <w:sz w:val="24"/>
      <w:szCs w:val="24"/>
      <w:lang w:val="en-US"/>
    </w:rPr>
  </w:style>
  <w:style w:type="paragraph" w:customStyle="1" w:styleId="xs1-502">
    <w:name w:val="x_s1-502"/>
    <w:basedOn w:val="Normal"/>
    <w:rsid w:val="002E07D5"/>
    <w:pPr>
      <w:spacing w:before="100" w:beforeAutospacing="1" w:after="100" w:afterAutospacing="1"/>
    </w:pPr>
    <w:rPr>
      <w:rFonts w:ascii="Times New Roman" w:hAnsi="Times New Roman"/>
      <w:sz w:val="24"/>
      <w:szCs w:val="24"/>
      <w:lang w:val="en-US"/>
    </w:rPr>
  </w:style>
  <w:style w:type="paragraph" w:customStyle="1" w:styleId="trn">
    <w:name w:val="trn"/>
    <w:basedOn w:val="Normal"/>
    <w:rsid w:val="002E07D5"/>
    <w:rPr>
      <w:rFonts w:ascii="Times New Roman" w:hAnsi="Times New Roman"/>
      <w:sz w:val="16"/>
      <w:szCs w:val="16"/>
      <w:lang w:val="en-US"/>
    </w:rPr>
  </w:style>
  <w:style w:type="paragraph" w:customStyle="1" w:styleId="Ftn">
    <w:name w:val="Ftn"/>
    <w:basedOn w:val="Textoindependiente"/>
    <w:rsid w:val="002E07D5"/>
    <w:pPr>
      <w:autoSpaceDE/>
      <w:autoSpaceDN/>
      <w:adjustRightInd/>
      <w:spacing w:after="0"/>
    </w:pPr>
    <w:rPr>
      <w:sz w:val="16"/>
      <w:szCs w:val="16"/>
      <w:lang w:eastAsia="en-US"/>
    </w:rPr>
  </w:style>
  <w:style w:type="paragraph" w:customStyle="1" w:styleId="DocId0">
    <w:name w:val="DocId"/>
    <w:basedOn w:val="Piedepgina"/>
    <w:rsid w:val="002E07D5"/>
    <w:pPr>
      <w:autoSpaceDE/>
      <w:autoSpaceDN/>
      <w:adjustRightInd/>
    </w:pPr>
    <w:rPr>
      <w:rFonts w:eastAsia="SimSun" w:cs="Arial"/>
      <w:sz w:val="16"/>
      <w:szCs w:val="16"/>
      <w:lang w:eastAsia="en-US"/>
    </w:rPr>
  </w:style>
  <w:style w:type="paragraph" w:customStyle="1" w:styleId="Wehavemadecertainimprovementstoourautomationservicesincluding">
    <w:name w:val="We have made certain improvements to our automation services including:"/>
    <w:basedOn w:val="Listaconvietas3"/>
    <w:rsid w:val="002E07D5"/>
    <w:pPr>
      <w:numPr>
        <w:numId w:val="0"/>
      </w:numPr>
      <w:kinsoku w:val="0"/>
      <w:ind w:left="1080" w:hanging="360"/>
    </w:pPr>
    <w:rPr>
      <w:lang w:eastAsia="en-US"/>
    </w:rPr>
  </w:style>
  <w:style w:type="paragraph" w:customStyle="1" w:styleId="Prrafodelista3">
    <w:name w:val="Párrafo de lista3"/>
    <w:basedOn w:val="Normal"/>
    <w:qFormat/>
    <w:rsid w:val="002E07D5"/>
    <w:pPr>
      <w:overflowPunct w:val="0"/>
      <w:autoSpaceDE w:val="0"/>
      <w:autoSpaceDN w:val="0"/>
      <w:adjustRightInd w:val="0"/>
      <w:ind w:left="720"/>
      <w:contextualSpacing/>
      <w:textAlignment w:val="baseline"/>
    </w:pPr>
    <w:rPr>
      <w:rFonts w:ascii="Times New Roman" w:hAnsi="Times New Roman"/>
      <w:lang w:val="en-US" w:eastAsia="es-AR"/>
    </w:rPr>
  </w:style>
  <w:style w:type="character" w:customStyle="1" w:styleId="nfasisintenso10">
    <w:name w:val="Énfasis intenso1"/>
    <w:qFormat/>
    <w:rsid w:val="00661E40"/>
    <w:rPr>
      <w:b/>
      <w:bCs/>
      <w:i/>
      <w:iCs/>
      <w:color w:val="auto"/>
      <w:u w:val="none"/>
    </w:rPr>
  </w:style>
  <w:style w:type="paragraph" w:customStyle="1" w:styleId="Citadestacada10">
    <w:name w:val="Cita destacada1"/>
    <w:basedOn w:val="Normal"/>
    <w:next w:val="Normal"/>
    <w:qFormat/>
    <w:rsid w:val="00661E40"/>
    <w:pPr>
      <w:pBdr>
        <w:bottom w:val="single" w:sz="4" w:space="4" w:color="auto"/>
      </w:pBdr>
      <w:overflowPunct w:val="0"/>
      <w:autoSpaceDE w:val="0"/>
      <w:autoSpaceDN w:val="0"/>
      <w:adjustRightInd w:val="0"/>
      <w:ind w:left="936" w:right="936"/>
      <w:textAlignment w:val="baseline"/>
    </w:pPr>
    <w:rPr>
      <w:rFonts w:ascii="Times New Roman" w:hAnsi="Times New Roman"/>
      <w:b/>
      <w:bCs/>
      <w:i/>
      <w:iCs/>
      <w:sz w:val="22"/>
      <w:szCs w:val="22"/>
      <w:lang w:val="x-none" w:eastAsia="es-AR"/>
    </w:rPr>
  </w:style>
  <w:style w:type="character" w:customStyle="1" w:styleId="Referenciaintensa10">
    <w:name w:val="Referencia intensa1"/>
    <w:qFormat/>
    <w:rsid w:val="00661E40"/>
    <w:rPr>
      <w:b/>
      <w:bCs/>
      <w:i w:val="0"/>
      <w:smallCaps/>
      <w:color w:val="auto"/>
      <w:spacing w:val="5"/>
      <w:u w:val="none"/>
    </w:rPr>
  </w:style>
  <w:style w:type="character" w:customStyle="1" w:styleId="nfasissutil10">
    <w:name w:val="Énfasis sutil1"/>
    <w:qFormat/>
    <w:rsid w:val="00661E40"/>
    <w:rPr>
      <w:b w:val="0"/>
      <w:i/>
      <w:iCs/>
      <w:color w:val="auto"/>
      <w:u w:val="none"/>
    </w:rPr>
  </w:style>
  <w:style w:type="character" w:customStyle="1" w:styleId="Referenciasutil10">
    <w:name w:val="Referencia sutil1"/>
    <w:qFormat/>
    <w:rsid w:val="00661E40"/>
    <w:rPr>
      <w:b w:val="0"/>
      <w:i w:val="0"/>
      <w:smallCaps/>
      <w:color w:val="auto"/>
      <w:u w:val="single"/>
    </w:rPr>
  </w:style>
  <w:style w:type="table" w:customStyle="1" w:styleId="Sombreadoclaro-nfasis21">
    <w:name w:val="Sombreado claro - Énfasis 21"/>
    <w:basedOn w:val="Tablanormal"/>
    <w:rsid w:val="002E07D5"/>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1">
    <w:name w:val="Sombreado medio 1 - Énfasis 41"/>
    <w:basedOn w:val="Tablanormal"/>
    <w:rsid w:val="002E07D5"/>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paragraph" w:customStyle="1" w:styleId="BodyA">
    <w:name w:val="Body A"/>
    <w:rsid w:val="002E07D5"/>
    <w:pPr>
      <w:pBdr>
        <w:top w:val="nil"/>
        <w:left w:val="nil"/>
        <w:bottom w:val="nil"/>
        <w:right w:val="nil"/>
        <w:between w:val="nil"/>
        <w:bar w:val="nil"/>
      </w:pBdr>
      <w:spacing w:after="240"/>
    </w:pPr>
    <w:rPr>
      <w:rFonts w:ascii="Times New Roman" w:eastAsia="Arial Unicode MS" w:hAnsi="Arial Unicode MS" w:cs="Arial Unicode MS"/>
      <w:color w:val="000000"/>
      <w:u w:color="000000"/>
      <w:bdr w:val="nil"/>
      <w:lang w:val="en-US" w:eastAsia="es-AR"/>
    </w:rPr>
  </w:style>
  <w:style w:type="numbering" w:customStyle="1" w:styleId="ImportedStyle2">
    <w:name w:val="Imported Style 2"/>
    <w:rsid w:val="002E07D5"/>
    <w:pPr>
      <w:numPr>
        <w:numId w:val="65"/>
      </w:numPr>
    </w:pPr>
  </w:style>
  <w:style w:type="numbering" w:customStyle="1" w:styleId="List0">
    <w:name w:val="List 0"/>
    <w:basedOn w:val="Sinlista"/>
    <w:rsid w:val="002E07D5"/>
    <w:pPr>
      <w:numPr>
        <w:numId w:val="63"/>
      </w:numPr>
    </w:pPr>
  </w:style>
  <w:style w:type="paragraph" w:customStyle="1" w:styleId="BulletA">
    <w:name w:val="Bullet A"/>
    <w:rsid w:val="002E07D5"/>
    <w:pPr>
      <w:pBdr>
        <w:top w:val="nil"/>
        <w:left w:val="nil"/>
        <w:bottom w:val="nil"/>
        <w:right w:val="nil"/>
        <w:between w:val="nil"/>
        <w:bar w:val="nil"/>
      </w:pBdr>
      <w:spacing w:after="240"/>
      <w:ind w:left="2160" w:hanging="360"/>
    </w:pPr>
    <w:rPr>
      <w:rFonts w:ascii="Times New Roman" w:eastAsia="Arial Unicode MS" w:hAnsi="Arial Unicode MS" w:cs="Arial Unicode MS"/>
      <w:color w:val="000000"/>
      <w:sz w:val="24"/>
      <w:szCs w:val="24"/>
      <w:u w:color="000000"/>
      <w:bdr w:val="nil"/>
      <w:lang w:val="en-US" w:eastAsia="es-AR"/>
    </w:rPr>
  </w:style>
  <w:style w:type="numbering" w:customStyle="1" w:styleId="List1">
    <w:name w:val="List 1"/>
    <w:basedOn w:val="Sinlista"/>
    <w:rsid w:val="002E07D5"/>
    <w:pPr>
      <w:numPr>
        <w:numId w:val="64"/>
      </w:numPr>
    </w:pPr>
  </w:style>
  <w:style w:type="character" w:customStyle="1" w:styleId="il">
    <w:name w:val="il"/>
    <w:rsid w:val="002E07D5"/>
  </w:style>
  <w:style w:type="paragraph" w:customStyle="1" w:styleId="Prrafodelista5">
    <w:name w:val="Párrafo de lista5"/>
    <w:basedOn w:val="Normal"/>
    <w:qFormat/>
    <w:rsid w:val="002E07D5"/>
    <w:pPr>
      <w:autoSpaceDE w:val="0"/>
      <w:autoSpaceDN w:val="0"/>
      <w:adjustRightInd w:val="0"/>
      <w:ind w:left="720"/>
      <w:contextualSpacing/>
    </w:pPr>
    <w:rPr>
      <w:rFonts w:ascii="Times New Roman" w:hAnsi="Times New Roman"/>
      <w:lang w:val="en-US"/>
    </w:rPr>
  </w:style>
  <w:style w:type="paragraph" w:customStyle="1" w:styleId="OmniPage770">
    <w:name w:val="OmniPage #770"/>
    <w:rsid w:val="002E07D5"/>
    <w:pPr>
      <w:tabs>
        <w:tab w:val="left" w:pos="162"/>
        <w:tab w:val="right" w:pos="10668"/>
      </w:tabs>
      <w:jc w:val="both"/>
    </w:pPr>
    <w:rPr>
      <w:rFonts w:ascii="Times New Roman" w:hAnsi="Times New Roman"/>
      <w:sz w:val="18"/>
      <w:lang w:val="en-US"/>
    </w:rPr>
  </w:style>
  <w:style w:type="character" w:customStyle="1" w:styleId="normalchar1">
    <w:name w:val="normal__char1"/>
    <w:rsid w:val="002E07D5"/>
    <w:rPr>
      <w:rFonts w:ascii="Garamond" w:hAnsi="Garamond" w:cs="Garamond"/>
      <w:spacing w:val="0"/>
      <w:sz w:val="24"/>
      <w:szCs w:val="24"/>
      <w:u w:val="none"/>
      <w:effect w:val="none"/>
    </w:rPr>
  </w:style>
  <w:style w:type="paragraph" w:customStyle="1" w:styleId="Ttuloprincipal0">
    <w:name w:val="Título principal"/>
    <w:basedOn w:val="Normal"/>
    <w:uiPriority w:val="99"/>
    <w:rsid w:val="002E07D5"/>
    <w:pPr>
      <w:jc w:val="center"/>
    </w:pPr>
    <w:rPr>
      <w:rFonts w:ascii="Book Antiqua" w:hAnsi="Book Antiqua" w:cs="Book Antiqua"/>
      <w:b/>
      <w:bCs/>
      <w:sz w:val="24"/>
      <w:szCs w:val="24"/>
      <w:lang w:val="es-ES_tradnl"/>
    </w:rPr>
  </w:style>
  <w:style w:type="paragraph" w:customStyle="1" w:styleId="TtulodeTDC3">
    <w:name w:val="Título de TDC3"/>
    <w:basedOn w:val="Ttulo1"/>
    <w:next w:val="Textoindependiente"/>
    <w:qFormat/>
    <w:rsid w:val="002E07D5"/>
    <w:pPr>
      <w:overflowPunct w:val="0"/>
      <w:autoSpaceDE w:val="0"/>
      <w:autoSpaceDN w:val="0"/>
      <w:adjustRightInd w:val="0"/>
      <w:spacing w:line="276" w:lineRule="auto"/>
      <w:textAlignment w:val="baseline"/>
      <w:outlineLvl w:val="9"/>
    </w:pPr>
    <w:rPr>
      <w:rFonts w:ascii="Arial" w:hAnsi="Arial"/>
      <w:b w:val="0"/>
      <w:bCs/>
      <w:color w:val="00011F"/>
      <w:sz w:val="40"/>
      <w:szCs w:val="28"/>
      <w:lang w:eastAsia="es-AR"/>
    </w:rPr>
  </w:style>
  <w:style w:type="character" w:customStyle="1" w:styleId="nfasisintenso3">
    <w:name w:val="Énfasis intenso3"/>
    <w:qFormat/>
    <w:rsid w:val="002E07D5"/>
    <w:rPr>
      <w:b/>
      <w:bCs/>
      <w:i/>
      <w:iCs/>
      <w:color w:val="auto"/>
      <w:u w:val="none"/>
    </w:rPr>
  </w:style>
  <w:style w:type="paragraph" w:customStyle="1" w:styleId="Citadestacada3">
    <w:name w:val="Cita destacada3"/>
    <w:basedOn w:val="Normal"/>
    <w:next w:val="Normal"/>
    <w:qFormat/>
    <w:rsid w:val="002E07D5"/>
    <w:pPr>
      <w:pBdr>
        <w:bottom w:val="single" w:sz="4" w:space="4" w:color="auto"/>
      </w:pBdr>
      <w:overflowPunct w:val="0"/>
      <w:autoSpaceDE w:val="0"/>
      <w:autoSpaceDN w:val="0"/>
      <w:adjustRightInd w:val="0"/>
      <w:ind w:left="936" w:right="936"/>
      <w:textAlignment w:val="baseline"/>
    </w:pPr>
    <w:rPr>
      <w:rFonts w:ascii="Times New Roman" w:hAnsi="Times New Roman"/>
      <w:b/>
      <w:bCs/>
      <w:i/>
      <w:iCs/>
      <w:sz w:val="22"/>
      <w:szCs w:val="22"/>
      <w:lang w:val="x-none" w:eastAsia="es-AR"/>
    </w:rPr>
  </w:style>
  <w:style w:type="character" w:customStyle="1" w:styleId="Referenciaintensa3">
    <w:name w:val="Referencia intensa3"/>
    <w:qFormat/>
    <w:rsid w:val="002E07D5"/>
    <w:rPr>
      <w:b/>
      <w:bCs/>
      <w:i w:val="0"/>
      <w:smallCaps/>
      <w:color w:val="auto"/>
      <w:spacing w:val="5"/>
      <w:u w:val="none"/>
    </w:rPr>
  </w:style>
  <w:style w:type="character" w:customStyle="1" w:styleId="nfasissutil3">
    <w:name w:val="Énfasis sutil3"/>
    <w:qFormat/>
    <w:rsid w:val="002E07D5"/>
    <w:rPr>
      <w:b w:val="0"/>
      <w:i/>
      <w:iCs/>
      <w:color w:val="auto"/>
      <w:u w:val="none"/>
    </w:rPr>
  </w:style>
  <w:style w:type="character" w:customStyle="1" w:styleId="Referenciasutil3">
    <w:name w:val="Referencia sutil3"/>
    <w:qFormat/>
    <w:rsid w:val="002E07D5"/>
    <w:rPr>
      <w:b w:val="0"/>
      <w:i w:val="0"/>
      <w:smallCaps/>
      <w:color w:val="auto"/>
      <w:u w:val="single"/>
    </w:rPr>
  </w:style>
  <w:style w:type="table" w:customStyle="1" w:styleId="Sombreadoclaro-nfasis23">
    <w:name w:val="Sombreado claro - Énfasis 23"/>
    <w:basedOn w:val="Tablanormal"/>
    <w:rsid w:val="002E07D5"/>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3">
    <w:name w:val="Sombreado medio 1 - Énfasis 43"/>
    <w:basedOn w:val="Tablanormal"/>
    <w:rsid w:val="002E07D5"/>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paragraph" w:customStyle="1" w:styleId="fdBodyTextNoIndent">
    <w:name w:val="fd Body Text No Indent"/>
    <w:basedOn w:val="Normal"/>
    <w:uiPriority w:val="9"/>
    <w:qFormat/>
    <w:rsid w:val="002E07D5"/>
    <w:pPr>
      <w:spacing w:after="200"/>
    </w:pPr>
    <w:rPr>
      <w:rFonts w:ascii="Times New Roman" w:eastAsia="Calibri" w:hAnsi="Times New Roman" w:cs="Arial"/>
      <w:szCs w:val="24"/>
      <w:lang w:val="en-US" w:bidi="he-IL"/>
    </w:rPr>
  </w:style>
  <w:style w:type="paragraph" w:customStyle="1" w:styleId="fdBodyText">
    <w:name w:val="fd Body Text"/>
    <w:basedOn w:val="Normal"/>
    <w:uiPriority w:val="9"/>
    <w:rsid w:val="002E07D5"/>
    <w:pPr>
      <w:spacing w:after="200"/>
      <w:ind w:firstLine="360"/>
    </w:pPr>
    <w:rPr>
      <w:rFonts w:ascii="Times New Roman" w:hAnsi="Times New Roman"/>
      <w:szCs w:val="24"/>
      <w:lang w:val="en-US"/>
    </w:rPr>
  </w:style>
  <w:style w:type="paragraph" w:customStyle="1" w:styleId="ListBuller3">
    <w:name w:val="List Buller 3"/>
    <w:basedOn w:val="Prrafodelista0"/>
    <w:rsid w:val="002E07D5"/>
    <w:pPr>
      <w:numPr>
        <w:numId w:val="66"/>
      </w:numPr>
      <w:autoSpaceDE/>
      <w:autoSpaceDN/>
      <w:adjustRightInd/>
      <w:spacing w:after="240"/>
      <w:ind w:left="648" w:hanging="288"/>
      <w:contextualSpacing/>
    </w:pPr>
    <w:rPr>
      <w:rFonts w:eastAsia="Times New Roman"/>
      <w:lang w:eastAsia="en-US"/>
    </w:rPr>
  </w:style>
  <w:style w:type="numbering" w:customStyle="1" w:styleId="Lista51">
    <w:name w:val="Lista 51"/>
    <w:basedOn w:val="Sinlista"/>
    <w:rsid w:val="002E07D5"/>
    <w:pPr>
      <w:numPr>
        <w:numId w:val="67"/>
      </w:numPr>
    </w:pPr>
  </w:style>
  <w:style w:type="paragraph" w:customStyle="1" w:styleId="Cuerpo">
    <w:name w:val="Cuerpo"/>
    <w:rsid w:val="002E07D5"/>
    <w:pPr>
      <w:pBdr>
        <w:top w:val="nil"/>
        <w:left w:val="nil"/>
        <w:bottom w:val="nil"/>
        <w:right w:val="nil"/>
        <w:between w:val="nil"/>
        <w:bar w:val="nil"/>
      </w:pBdr>
    </w:pPr>
    <w:rPr>
      <w:rFonts w:ascii="Times New Roman" w:hAnsi="Times New Roman"/>
      <w:color w:val="000000"/>
      <w:sz w:val="24"/>
      <w:szCs w:val="24"/>
      <w:u w:color="000000"/>
      <w:bdr w:val="nil"/>
      <w:lang w:val="es-AR" w:eastAsia="es-AR"/>
    </w:rPr>
  </w:style>
  <w:style w:type="numbering" w:customStyle="1" w:styleId="Lista41">
    <w:name w:val="Lista 41"/>
    <w:basedOn w:val="Sinlista"/>
    <w:rsid w:val="002E07D5"/>
    <w:pPr>
      <w:numPr>
        <w:numId w:val="68"/>
      </w:numPr>
    </w:pPr>
  </w:style>
  <w:style w:type="numbering" w:customStyle="1" w:styleId="List11">
    <w:name w:val="List 11"/>
    <w:basedOn w:val="Sinlista"/>
    <w:rsid w:val="002E07D5"/>
    <w:pPr>
      <w:numPr>
        <w:numId w:val="15"/>
      </w:numPr>
    </w:pPr>
  </w:style>
  <w:style w:type="table" w:customStyle="1" w:styleId="TableGrid1">
    <w:name w:val="Table Grid1"/>
    <w:basedOn w:val="Tablanormal"/>
    <w:next w:val="Tablaconcuadrcula"/>
    <w:rsid w:val="002E07D5"/>
    <w:rPr>
      <w:rFonts w:ascii="Times New Roman" w:eastAsia="SimSun" w:hAnsi="Times New Roman"/>
      <w:lang w:val="es-AR" w:eastAsia="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footnoteChar">
    <w:name w:val="table footnote Char"/>
    <w:link w:val="tablefootnote1"/>
    <w:rsid w:val="002E07D5"/>
    <w:rPr>
      <w:rFonts w:ascii="Times New Roman" w:eastAsia="SimSun" w:hAnsi="Times New Roman"/>
      <w:lang w:val="en-US" w:eastAsia="es-AR"/>
    </w:rPr>
  </w:style>
  <w:style w:type="table" w:customStyle="1" w:styleId="TableGrid2">
    <w:name w:val="Table Grid2"/>
    <w:basedOn w:val="Tablanormal"/>
    <w:next w:val="Tablaconcuadrcula"/>
    <w:uiPriority w:val="59"/>
    <w:rsid w:val="002E07D5"/>
    <w:rPr>
      <w:rFonts w:ascii="Times New Roman" w:eastAsia="PMingLiU" w:hAnsi="Times New Roman"/>
      <w:sz w:val="22"/>
      <w:szCs w:val="22"/>
      <w:lang w:val="es-A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ad">
    <w:name w:val="il_ad"/>
    <w:rsid w:val="002E07D5"/>
  </w:style>
  <w:style w:type="paragraph" w:customStyle="1" w:styleId="post-pagina-interior">
    <w:name w:val="post-pagina-interior"/>
    <w:basedOn w:val="Normal"/>
    <w:rsid w:val="002E07D5"/>
    <w:pPr>
      <w:spacing w:before="100" w:beforeAutospacing="1" w:after="100" w:afterAutospacing="1"/>
    </w:pPr>
    <w:rPr>
      <w:rFonts w:ascii="Times New Roman" w:hAnsi="Times New Roman"/>
      <w:sz w:val="24"/>
      <w:szCs w:val="24"/>
      <w:lang w:val="es-ES" w:eastAsia="es-ES"/>
    </w:rPr>
  </w:style>
  <w:style w:type="paragraph" w:customStyle="1" w:styleId="TtulodeTDC4">
    <w:name w:val="Título de TDC4"/>
    <w:basedOn w:val="Ttulo1"/>
    <w:next w:val="Normal"/>
    <w:semiHidden/>
    <w:rsid w:val="00AF780B"/>
    <w:pPr>
      <w:spacing w:line="276" w:lineRule="auto"/>
      <w:outlineLvl w:val="9"/>
    </w:pPr>
    <w:rPr>
      <w:lang w:eastAsia="es-AR"/>
    </w:rPr>
  </w:style>
  <w:style w:type="paragraph" w:customStyle="1" w:styleId="Prrafodelista6">
    <w:name w:val="Párrafo de lista6"/>
    <w:basedOn w:val="Normal"/>
    <w:rsid w:val="00AF780B"/>
    <w:pPr>
      <w:autoSpaceDE w:val="0"/>
      <w:autoSpaceDN w:val="0"/>
      <w:adjustRightInd w:val="0"/>
      <w:ind w:left="708"/>
    </w:pPr>
    <w:rPr>
      <w:rFonts w:ascii="Times New Roman" w:hAnsi="Times New Roman"/>
      <w:lang w:val="en-US" w:eastAsia="es-AR"/>
    </w:rPr>
  </w:style>
  <w:style w:type="paragraph" w:customStyle="1" w:styleId="Revisin2">
    <w:name w:val="Revisión2"/>
    <w:hidden/>
    <w:semiHidden/>
    <w:rsid w:val="00AF780B"/>
    <w:rPr>
      <w:rFonts w:ascii="Times New Roman" w:hAnsi="Times New Roman"/>
      <w:lang w:val="en-US" w:eastAsia="en-US"/>
    </w:rPr>
  </w:style>
  <w:style w:type="paragraph" w:customStyle="1" w:styleId="Sinespaciado3">
    <w:name w:val="Sin espaciado3"/>
    <w:rsid w:val="00AF780B"/>
    <w:pPr>
      <w:autoSpaceDE w:val="0"/>
      <w:autoSpaceDN w:val="0"/>
      <w:adjustRightInd w:val="0"/>
    </w:pPr>
    <w:rPr>
      <w:rFonts w:ascii="Times New Roman" w:hAnsi="Times New Roman"/>
      <w:lang w:val="en-US" w:eastAsia="es-AR"/>
    </w:rPr>
  </w:style>
  <w:style w:type="character" w:customStyle="1" w:styleId="nfasisintenso4">
    <w:name w:val="Énfasis intenso4"/>
    <w:rsid w:val="00AF780B"/>
    <w:rPr>
      <w:b/>
      <w:i/>
      <w:color w:val="4F81BD"/>
    </w:rPr>
  </w:style>
  <w:style w:type="paragraph" w:customStyle="1" w:styleId="Citadestacada4">
    <w:name w:val="Cita destacada4"/>
    <w:basedOn w:val="Normal"/>
    <w:next w:val="Normal"/>
    <w:rsid w:val="00AF780B"/>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Referenciaintensa4">
    <w:name w:val="Referencia intensa4"/>
    <w:rsid w:val="00AF780B"/>
    <w:rPr>
      <w:b/>
      <w:smallCaps/>
      <w:color w:val="C0504D"/>
      <w:spacing w:val="5"/>
      <w:u w:val="single"/>
    </w:rPr>
  </w:style>
  <w:style w:type="character" w:customStyle="1" w:styleId="nfasissutil4">
    <w:name w:val="Énfasis sutil4"/>
    <w:rsid w:val="00AF780B"/>
    <w:rPr>
      <w:i/>
      <w:color w:val="808080"/>
    </w:rPr>
  </w:style>
  <w:style w:type="character" w:customStyle="1" w:styleId="Referenciasutil4">
    <w:name w:val="Referencia sutil4"/>
    <w:rsid w:val="00AF780B"/>
    <w:rPr>
      <w:smallCaps/>
      <w:color w:val="C0504D"/>
      <w:u w:val="single"/>
    </w:rPr>
  </w:style>
  <w:style w:type="numbering" w:customStyle="1" w:styleId="Sinlista10">
    <w:name w:val="Sin lista10"/>
    <w:next w:val="Sinlista"/>
    <w:uiPriority w:val="99"/>
    <w:semiHidden/>
    <w:unhideWhenUsed/>
    <w:rsid w:val="00E90931"/>
  </w:style>
  <w:style w:type="character" w:customStyle="1" w:styleId="Ttulo1Car1">
    <w:name w:val="Título 1 Car1"/>
    <w:aliases w:val="título 1 Car1,1 Car1,Section Car1,GFGSA Car1"/>
    <w:basedOn w:val="Fuentedeprrafopredeter"/>
    <w:rsid w:val="00E90931"/>
    <w:rPr>
      <w:rFonts w:asciiTheme="majorHAnsi" w:eastAsiaTheme="majorEastAsia" w:hAnsiTheme="majorHAnsi" w:cstheme="majorBidi"/>
      <w:b/>
      <w:bCs/>
      <w:color w:val="365F91" w:themeColor="accent1" w:themeShade="BF"/>
      <w:sz w:val="28"/>
      <w:szCs w:val="28"/>
      <w:lang w:val="es-AR" w:eastAsia="en-US"/>
    </w:rPr>
  </w:style>
  <w:style w:type="character" w:customStyle="1" w:styleId="TtuloCar1">
    <w:name w:val="Título Car1"/>
    <w:aliases w:val="t Car1,TitleCtr Car1,Text Car1"/>
    <w:basedOn w:val="Fuentedeprrafopredeter"/>
    <w:rsid w:val="00E90931"/>
    <w:rPr>
      <w:rFonts w:asciiTheme="majorHAnsi" w:eastAsiaTheme="majorEastAsia" w:hAnsiTheme="majorHAnsi" w:cstheme="majorBidi"/>
      <w:color w:val="17365D" w:themeColor="text2" w:themeShade="BF"/>
      <w:spacing w:val="5"/>
      <w:kern w:val="28"/>
      <w:sz w:val="52"/>
      <w:szCs w:val="52"/>
      <w:lang w:val="es-AR" w:eastAsia="en-US"/>
    </w:rPr>
  </w:style>
  <w:style w:type="character" w:customStyle="1" w:styleId="SangradetextonormalCar1">
    <w:name w:val="Sangría de texto normal Car1"/>
    <w:aliases w:val="Sangría de t. independiente Car1"/>
    <w:basedOn w:val="Fuentedeprrafopredeter"/>
    <w:semiHidden/>
    <w:rsid w:val="00E90931"/>
    <w:rPr>
      <w:lang w:val="es-AR" w:eastAsia="en-US"/>
    </w:rPr>
  </w:style>
  <w:style w:type="paragraph" w:customStyle="1" w:styleId="TtulodeTDC5">
    <w:name w:val="Título de TDC5"/>
    <w:basedOn w:val="Ttulo1"/>
    <w:next w:val="Normal"/>
    <w:semiHidden/>
    <w:rsid w:val="00E90931"/>
    <w:pPr>
      <w:spacing w:line="276" w:lineRule="auto"/>
      <w:outlineLvl w:val="9"/>
    </w:pPr>
    <w:rPr>
      <w:lang w:eastAsia="es-AR"/>
    </w:rPr>
  </w:style>
  <w:style w:type="paragraph" w:customStyle="1" w:styleId="Prrafodelista7">
    <w:name w:val="Párrafo de lista7"/>
    <w:basedOn w:val="Normal"/>
    <w:rsid w:val="00E90931"/>
    <w:pPr>
      <w:autoSpaceDE w:val="0"/>
      <w:autoSpaceDN w:val="0"/>
      <w:adjustRightInd w:val="0"/>
      <w:ind w:left="708"/>
    </w:pPr>
    <w:rPr>
      <w:rFonts w:ascii="Times New Roman" w:hAnsi="Times New Roman"/>
      <w:lang w:val="en-US" w:eastAsia="es-AR"/>
    </w:rPr>
  </w:style>
  <w:style w:type="paragraph" w:customStyle="1" w:styleId="Revisin3">
    <w:name w:val="Revisión3"/>
    <w:semiHidden/>
    <w:rsid w:val="00E90931"/>
    <w:rPr>
      <w:rFonts w:ascii="Times New Roman" w:hAnsi="Times New Roman"/>
      <w:lang w:val="en-US" w:eastAsia="en-US"/>
    </w:rPr>
  </w:style>
  <w:style w:type="paragraph" w:customStyle="1" w:styleId="Sinespaciado4">
    <w:name w:val="Sin espaciado4"/>
    <w:rsid w:val="00E90931"/>
    <w:pPr>
      <w:autoSpaceDE w:val="0"/>
      <w:autoSpaceDN w:val="0"/>
      <w:adjustRightInd w:val="0"/>
    </w:pPr>
    <w:rPr>
      <w:rFonts w:ascii="Times New Roman" w:hAnsi="Times New Roman"/>
      <w:lang w:val="en-US" w:eastAsia="es-AR"/>
    </w:rPr>
  </w:style>
  <w:style w:type="paragraph" w:customStyle="1" w:styleId="Citadestacada5">
    <w:name w:val="Cita destacada5"/>
    <w:basedOn w:val="Normal"/>
    <w:next w:val="Normal"/>
    <w:rsid w:val="00E90931"/>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nfasisintenso5">
    <w:name w:val="Énfasis intenso5"/>
    <w:rsid w:val="00E90931"/>
    <w:rPr>
      <w:b/>
      <w:bCs w:val="0"/>
      <w:i/>
      <w:iCs w:val="0"/>
      <w:color w:val="4F81BD"/>
    </w:rPr>
  </w:style>
  <w:style w:type="character" w:customStyle="1" w:styleId="Referenciaintensa5">
    <w:name w:val="Referencia intensa5"/>
    <w:rsid w:val="00E90931"/>
    <w:rPr>
      <w:b/>
      <w:bCs w:val="0"/>
      <w:smallCaps/>
      <w:color w:val="C0504D"/>
      <w:spacing w:val="5"/>
      <w:u w:val="single"/>
    </w:rPr>
  </w:style>
  <w:style w:type="character" w:customStyle="1" w:styleId="nfasissutil5">
    <w:name w:val="Énfasis sutil5"/>
    <w:rsid w:val="00E90931"/>
    <w:rPr>
      <w:i/>
      <w:iCs w:val="0"/>
      <w:color w:val="808080"/>
    </w:rPr>
  </w:style>
  <w:style w:type="character" w:customStyle="1" w:styleId="Referenciasutil5">
    <w:name w:val="Referencia sutil5"/>
    <w:rsid w:val="00E90931"/>
    <w:rPr>
      <w:smallCaps/>
      <w:color w:val="C0504D"/>
      <w:u w:val="single"/>
    </w:rPr>
  </w:style>
  <w:style w:type="table" w:customStyle="1" w:styleId="Tablaconcuadrcula9">
    <w:name w:val="Tabla con cuadrícula9"/>
    <w:basedOn w:val="Tablanormal"/>
    <w:next w:val="Tablaconcuadrcula"/>
    <w:rsid w:val="00E90931"/>
    <w:rPr>
      <w:rFonts w:ascii="Times New Roman" w:hAnsi="Times New Roman"/>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
    <w:name w:val="Tabla con cuadrícula18"/>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7">
    <w:name w:val="Tabla con cuadrícula27"/>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7">
    <w:name w:val="Tabla con cuadrícula117"/>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6">
    <w:name w:val="Tabla con cuadrícula36"/>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6">
    <w:name w:val="Tabla con cuadrícula126"/>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6">
    <w:name w:val="Tabla con cuadrícula216"/>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6">
    <w:name w:val="Tabla con cuadrícula1116"/>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1">
    <w:name w:val="Tabla con cuadrícula4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31">
    <w:name w:val="Tabla con cuadrícula13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1">
    <w:name w:val="Tabla con cuadrícula22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21">
    <w:name w:val="Tabla con cuadrícula112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1">
    <w:name w:val="Tabla con cuadrícula31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11">
    <w:name w:val="Tabla con cuadrícula121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1">
    <w:name w:val="Tabla con cuadrícula211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11">
    <w:name w:val="Tabla con cuadrícula1111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1">
    <w:name w:val="Tabla con cuadrícula5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41">
    <w:name w:val="Tabla con cuadrícula14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1">
    <w:name w:val="Tabla con cuadrícula23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31">
    <w:name w:val="Tabla con cuadrícula113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1">
    <w:name w:val="Tabla con cuadrícula32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21">
    <w:name w:val="Tabla con cuadrícula122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21">
    <w:name w:val="Tabla con cuadrícula212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21">
    <w:name w:val="Tabla con cuadrícula1112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1">
    <w:name w:val="Tabla con cuadrícula6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51">
    <w:name w:val="Tabla con cuadrícula15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41">
    <w:name w:val="Tabla con cuadrícula24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41">
    <w:name w:val="Tabla con cuadrícula114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31">
    <w:name w:val="Tabla con cuadrícula33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31">
    <w:name w:val="Tabla con cuadrícula123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31">
    <w:name w:val="Tabla con cuadrícula213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31">
    <w:name w:val="Tabla con cuadrícula1113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1">
    <w:name w:val="Tabla con cuadrícula7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61">
    <w:name w:val="Tabla con cuadrícula16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51">
    <w:name w:val="Tabla con cuadrícula25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51">
    <w:name w:val="Tabla con cuadrícula115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41">
    <w:name w:val="Tabla con cuadrícula34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41">
    <w:name w:val="Tabla con cuadrícula124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41">
    <w:name w:val="Tabla con cuadrícula214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41">
    <w:name w:val="Tabla con cuadrícula1114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1">
    <w:name w:val="Tabla con cuadrícula8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71">
    <w:name w:val="Tabla con cuadrícula17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61">
    <w:name w:val="Tabla con cuadrícula26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61">
    <w:name w:val="Tabla con cuadrícula116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51">
    <w:name w:val="Tabla con cuadrícula35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51">
    <w:name w:val="Tabla con cuadrícula125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51">
    <w:name w:val="Tabla con cuadrícula215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51">
    <w:name w:val="Tabla con cuadrícula1115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ulodeTDC6">
    <w:name w:val="Título de TDC6"/>
    <w:basedOn w:val="Ttulo1"/>
    <w:next w:val="Normal"/>
    <w:semiHidden/>
    <w:rsid w:val="003863FC"/>
    <w:pPr>
      <w:spacing w:line="276" w:lineRule="auto"/>
      <w:outlineLvl w:val="9"/>
    </w:pPr>
    <w:rPr>
      <w:lang w:eastAsia="es-AR"/>
    </w:rPr>
  </w:style>
  <w:style w:type="paragraph" w:customStyle="1" w:styleId="Prrafodelista8">
    <w:name w:val="Párrafo de lista8"/>
    <w:basedOn w:val="Normal"/>
    <w:rsid w:val="003863FC"/>
    <w:pPr>
      <w:autoSpaceDE w:val="0"/>
      <w:autoSpaceDN w:val="0"/>
      <w:adjustRightInd w:val="0"/>
      <w:ind w:left="708"/>
    </w:pPr>
    <w:rPr>
      <w:rFonts w:ascii="Times New Roman" w:hAnsi="Times New Roman"/>
      <w:lang w:val="en-US" w:eastAsia="es-AR"/>
    </w:rPr>
  </w:style>
  <w:style w:type="paragraph" w:customStyle="1" w:styleId="Revisin4">
    <w:name w:val="Revisión4"/>
    <w:hidden/>
    <w:semiHidden/>
    <w:rsid w:val="003863FC"/>
    <w:rPr>
      <w:rFonts w:ascii="Times New Roman" w:hAnsi="Times New Roman"/>
      <w:lang w:val="en-US" w:eastAsia="en-US"/>
    </w:rPr>
  </w:style>
  <w:style w:type="paragraph" w:customStyle="1" w:styleId="Sinespaciado5">
    <w:name w:val="Sin espaciado5"/>
    <w:rsid w:val="003863FC"/>
    <w:pPr>
      <w:autoSpaceDE w:val="0"/>
      <w:autoSpaceDN w:val="0"/>
      <w:adjustRightInd w:val="0"/>
    </w:pPr>
    <w:rPr>
      <w:rFonts w:ascii="Times New Roman" w:hAnsi="Times New Roman"/>
      <w:lang w:val="en-US" w:eastAsia="es-AR"/>
    </w:rPr>
  </w:style>
  <w:style w:type="character" w:customStyle="1" w:styleId="nfasisintenso6">
    <w:name w:val="Énfasis intenso6"/>
    <w:rsid w:val="003863FC"/>
    <w:rPr>
      <w:b/>
      <w:i/>
      <w:color w:val="4F81BD"/>
    </w:rPr>
  </w:style>
  <w:style w:type="paragraph" w:customStyle="1" w:styleId="Citadestacada6">
    <w:name w:val="Cita destacada6"/>
    <w:basedOn w:val="Normal"/>
    <w:next w:val="Normal"/>
    <w:rsid w:val="003863FC"/>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Referenciaintensa6">
    <w:name w:val="Referencia intensa6"/>
    <w:rsid w:val="003863FC"/>
    <w:rPr>
      <w:b/>
      <w:smallCaps/>
      <w:color w:val="C0504D"/>
      <w:spacing w:val="5"/>
      <w:u w:val="single"/>
    </w:rPr>
  </w:style>
  <w:style w:type="character" w:customStyle="1" w:styleId="nfasissutil6">
    <w:name w:val="Énfasis sutil6"/>
    <w:rsid w:val="003863FC"/>
    <w:rPr>
      <w:i/>
      <w:color w:val="808080"/>
    </w:rPr>
  </w:style>
  <w:style w:type="character" w:customStyle="1" w:styleId="Referenciasutil6">
    <w:name w:val="Referencia sutil6"/>
    <w:rsid w:val="003863FC"/>
    <w:rPr>
      <w:smallCaps/>
      <w:color w:val="C0504D"/>
      <w:u w:val="single"/>
    </w:rPr>
  </w:style>
  <w:style w:type="paragraph" w:customStyle="1" w:styleId="TtulodeTDC7">
    <w:name w:val="Título de TDC7"/>
    <w:basedOn w:val="Ttulo1"/>
    <w:next w:val="Normal"/>
    <w:semiHidden/>
    <w:rsid w:val="00EF2D26"/>
    <w:pPr>
      <w:spacing w:line="276" w:lineRule="auto"/>
      <w:outlineLvl w:val="9"/>
    </w:pPr>
    <w:rPr>
      <w:lang w:eastAsia="es-AR"/>
    </w:rPr>
  </w:style>
  <w:style w:type="paragraph" w:customStyle="1" w:styleId="Prrafodelista9">
    <w:name w:val="Párrafo de lista9"/>
    <w:basedOn w:val="Normal"/>
    <w:rsid w:val="00EF2D26"/>
    <w:pPr>
      <w:autoSpaceDE w:val="0"/>
      <w:autoSpaceDN w:val="0"/>
      <w:adjustRightInd w:val="0"/>
      <w:ind w:left="708"/>
    </w:pPr>
    <w:rPr>
      <w:rFonts w:ascii="Times New Roman" w:hAnsi="Times New Roman"/>
      <w:lang w:val="en-US" w:eastAsia="es-AR"/>
    </w:rPr>
  </w:style>
  <w:style w:type="paragraph" w:customStyle="1" w:styleId="Revisin5">
    <w:name w:val="Revisión5"/>
    <w:hidden/>
    <w:semiHidden/>
    <w:rsid w:val="00EF2D26"/>
    <w:rPr>
      <w:rFonts w:ascii="Times New Roman" w:hAnsi="Times New Roman"/>
      <w:lang w:val="en-US" w:eastAsia="en-US"/>
    </w:rPr>
  </w:style>
  <w:style w:type="paragraph" w:customStyle="1" w:styleId="Sinespaciado6">
    <w:name w:val="Sin espaciado6"/>
    <w:rsid w:val="00EF2D26"/>
    <w:pPr>
      <w:autoSpaceDE w:val="0"/>
      <w:autoSpaceDN w:val="0"/>
      <w:adjustRightInd w:val="0"/>
    </w:pPr>
    <w:rPr>
      <w:rFonts w:ascii="Times New Roman" w:hAnsi="Times New Roman"/>
      <w:lang w:val="en-US" w:eastAsia="es-AR"/>
    </w:rPr>
  </w:style>
  <w:style w:type="character" w:customStyle="1" w:styleId="nfasisintenso7">
    <w:name w:val="Énfasis intenso7"/>
    <w:rsid w:val="00EF2D26"/>
    <w:rPr>
      <w:b/>
      <w:i/>
      <w:color w:val="4F81BD"/>
    </w:rPr>
  </w:style>
  <w:style w:type="paragraph" w:customStyle="1" w:styleId="Citadestacada7">
    <w:name w:val="Cita destacada7"/>
    <w:basedOn w:val="Normal"/>
    <w:next w:val="Normal"/>
    <w:rsid w:val="00EF2D26"/>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Referenciaintensa7">
    <w:name w:val="Referencia intensa7"/>
    <w:rsid w:val="00EF2D26"/>
    <w:rPr>
      <w:b/>
      <w:smallCaps/>
      <w:color w:val="C0504D"/>
      <w:spacing w:val="5"/>
      <w:u w:val="single"/>
    </w:rPr>
  </w:style>
  <w:style w:type="character" w:customStyle="1" w:styleId="nfasissutil7">
    <w:name w:val="Énfasis sutil7"/>
    <w:rsid w:val="00EF2D26"/>
    <w:rPr>
      <w:i/>
      <w:color w:val="808080"/>
    </w:rPr>
  </w:style>
  <w:style w:type="character" w:customStyle="1" w:styleId="Referenciasutil7">
    <w:name w:val="Referencia sutil7"/>
    <w:rsid w:val="00EF2D26"/>
    <w:rPr>
      <w:smallCaps/>
      <w:color w:val="C0504D"/>
      <w:u w:val="single"/>
    </w:rPr>
  </w:style>
  <w:style w:type="paragraph" w:customStyle="1" w:styleId="TtulodeTDC8">
    <w:name w:val="Título de TDC8"/>
    <w:basedOn w:val="Ttulo1"/>
    <w:next w:val="Normal"/>
    <w:semiHidden/>
    <w:rsid w:val="008C50B4"/>
    <w:pPr>
      <w:spacing w:line="276" w:lineRule="auto"/>
      <w:outlineLvl w:val="9"/>
    </w:pPr>
    <w:rPr>
      <w:bCs/>
      <w:szCs w:val="28"/>
      <w:lang w:val="en-US" w:eastAsia="es-AR"/>
    </w:rPr>
  </w:style>
  <w:style w:type="paragraph" w:customStyle="1" w:styleId="Prrafodelista100">
    <w:name w:val="Párrafo de lista10"/>
    <w:basedOn w:val="Normal"/>
    <w:rsid w:val="008C50B4"/>
    <w:pPr>
      <w:autoSpaceDE w:val="0"/>
      <w:autoSpaceDN w:val="0"/>
      <w:adjustRightInd w:val="0"/>
      <w:ind w:left="708"/>
    </w:pPr>
    <w:rPr>
      <w:rFonts w:ascii="Times New Roman" w:hAnsi="Times New Roman"/>
      <w:lang w:val="en-US" w:eastAsia="es-AR"/>
    </w:rPr>
  </w:style>
  <w:style w:type="paragraph" w:customStyle="1" w:styleId="Revisin6">
    <w:name w:val="Revisión6"/>
    <w:semiHidden/>
    <w:rsid w:val="008C50B4"/>
    <w:rPr>
      <w:rFonts w:ascii="Times New Roman" w:hAnsi="Times New Roman"/>
      <w:lang w:val="en-US" w:eastAsia="en-US"/>
    </w:rPr>
  </w:style>
  <w:style w:type="paragraph" w:customStyle="1" w:styleId="Sinespaciado7">
    <w:name w:val="Sin espaciado7"/>
    <w:rsid w:val="008C50B4"/>
    <w:pPr>
      <w:autoSpaceDE w:val="0"/>
      <w:autoSpaceDN w:val="0"/>
      <w:adjustRightInd w:val="0"/>
    </w:pPr>
    <w:rPr>
      <w:rFonts w:ascii="Times New Roman" w:hAnsi="Times New Roman"/>
      <w:lang w:val="en-US" w:eastAsia="es-AR"/>
    </w:rPr>
  </w:style>
  <w:style w:type="paragraph" w:customStyle="1" w:styleId="Citadestacada8">
    <w:name w:val="Cita destacada8"/>
    <w:basedOn w:val="Normal"/>
    <w:next w:val="Normal"/>
    <w:rsid w:val="008C50B4"/>
    <w:pPr>
      <w:pBdr>
        <w:bottom w:val="single" w:sz="4" w:space="4" w:color="4F81BD"/>
      </w:pBdr>
      <w:autoSpaceDE w:val="0"/>
      <w:autoSpaceDN w:val="0"/>
      <w:adjustRightInd w:val="0"/>
      <w:spacing w:before="200" w:after="280"/>
      <w:ind w:left="936" w:right="936"/>
    </w:pPr>
    <w:rPr>
      <w:rFonts w:ascii="Times New Roman" w:hAnsi="Times New Roman"/>
      <w:b/>
      <w:bCs/>
      <w:i/>
      <w:iCs/>
      <w:color w:val="4F81BD"/>
      <w:lang w:val="en-US" w:eastAsia="es-AR"/>
    </w:rPr>
  </w:style>
  <w:style w:type="character" w:customStyle="1" w:styleId="nfasisintenso8">
    <w:name w:val="Énfasis intenso8"/>
    <w:rsid w:val="008C50B4"/>
    <w:rPr>
      <w:b/>
      <w:bCs w:val="0"/>
      <w:i/>
      <w:iCs w:val="0"/>
      <w:color w:val="4F81BD"/>
    </w:rPr>
  </w:style>
  <w:style w:type="character" w:customStyle="1" w:styleId="Referenciaintensa8">
    <w:name w:val="Referencia intensa8"/>
    <w:rsid w:val="008C50B4"/>
    <w:rPr>
      <w:b/>
      <w:bCs w:val="0"/>
      <w:smallCaps/>
      <w:color w:val="C0504D"/>
      <w:spacing w:val="5"/>
      <w:u w:val="single"/>
    </w:rPr>
  </w:style>
  <w:style w:type="character" w:customStyle="1" w:styleId="nfasissutil8">
    <w:name w:val="Énfasis sutil8"/>
    <w:rsid w:val="008C50B4"/>
    <w:rPr>
      <w:i/>
      <w:iCs w:val="0"/>
      <w:color w:val="808080"/>
    </w:rPr>
  </w:style>
  <w:style w:type="character" w:customStyle="1" w:styleId="Referenciasutil8">
    <w:name w:val="Referencia sutil8"/>
    <w:rsid w:val="008C50B4"/>
    <w:rPr>
      <w:smallCaps/>
      <w:color w:val="C0504D"/>
      <w:u w:val="single"/>
    </w:rPr>
  </w:style>
  <w:style w:type="character" w:customStyle="1" w:styleId="Ttulo4Car1">
    <w:name w:val="Título 4 Car1"/>
    <w:aliases w:val="Título sin negrita Car1"/>
    <w:basedOn w:val="Fuentedeprrafopredeter"/>
    <w:semiHidden/>
    <w:rsid w:val="008C50B4"/>
    <w:rPr>
      <w:rFonts w:asciiTheme="majorHAnsi" w:eastAsiaTheme="majorEastAsia" w:hAnsiTheme="majorHAnsi" w:cstheme="majorBidi"/>
      <w:b/>
      <w:bCs/>
      <w:i/>
      <w:iCs/>
      <w:color w:val="4F81BD" w:themeColor="accent1"/>
      <w:sz w:val="22"/>
      <w:szCs w:val="22"/>
    </w:rPr>
  </w:style>
  <w:style w:type="character" w:customStyle="1" w:styleId="TextoindependienteprimerasangraCar1">
    <w:name w:val="Texto independiente primera sangría Car1"/>
    <w:aliases w:val="f1 Car1,i Car1,btfi Car1"/>
    <w:basedOn w:val="TextoindependienteCar"/>
    <w:semiHidden/>
    <w:rsid w:val="008C50B4"/>
    <w:rPr>
      <w:rFonts w:ascii="Times New Roman" w:hAnsi="Times New Roman"/>
      <w:lang w:val="en-US" w:eastAsia="es-AR"/>
    </w:rPr>
  </w:style>
  <w:style w:type="paragraph" w:customStyle="1" w:styleId="TtulodeTDC9">
    <w:name w:val="Título de TDC9"/>
    <w:basedOn w:val="Ttulo1"/>
    <w:next w:val="Normal"/>
    <w:semiHidden/>
    <w:rsid w:val="00B86C83"/>
    <w:pPr>
      <w:spacing w:line="276" w:lineRule="auto"/>
      <w:outlineLvl w:val="9"/>
    </w:pPr>
    <w:rPr>
      <w:lang w:eastAsia="es-AR"/>
    </w:rPr>
  </w:style>
  <w:style w:type="paragraph" w:customStyle="1" w:styleId="Prrafodelista12">
    <w:name w:val="Párrafo de lista12"/>
    <w:basedOn w:val="Normal"/>
    <w:rsid w:val="00B86C83"/>
    <w:pPr>
      <w:autoSpaceDE w:val="0"/>
      <w:autoSpaceDN w:val="0"/>
      <w:adjustRightInd w:val="0"/>
      <w:ind w:left="708"/>
    </w:pPr>
    <w:rPr>
      <w:rFonts w:ascii="Times New Roman" w:hAnsi="Times New Roman"/>
      <w:lang w:val="en-US" w:eastAsia="es-AR"/>
    </w:rPr>
  </w:style>
  <w:style w:type="paragraph" w:customStyle="1" w:styleId="Revisin7">
    <w:name w:val="Revisión7"/>
    <w:hidden/>
    <w:semiHidden/>
    <w:rsid w:val="00B86C83"/>
    <w:rPr>
      <w:rFonts w:ascii="Times New Roman" w:hAnsi="Times New Roman"/>
      <w:lang w:val="en-US" w:eastAsia="en-US"/>
    </w:rPr>
  </w:style>
  <w:style w:type="paragraph" w:customStyle="1" w:styleId="Sinespaciado8">
    <w:name w:val="Sin espaciado8"/>
    <w:rsid w:val="00B86C83"/>
    <w:pPr>
      <w:autoSpaceDE w:val="0"/>
      <w:autoSpaceDN w:val="0"/>
      <w:adjustRightInd w:val="0"/>
    </w:pPr>
    <w:rPr>
      <w:rFonts w:ascii="Times New Roman" w:hAnsi="Times New Roman"/>
      <w:lang w:val="en-US" w:eastAsia="es-AR"/>
    </w:rPr>
  </w:style>
  <w:style w:type="character" w:customStyle="1" w:styleId="nfasisintenso9">
    <w:name w:val="Énfasis intenso9"/>
    <w:rsid w:val="00B86C83"/>
    <w:rPr>
      <w:b/>
      <w:i/>
      <w:color w:val="4F81BD"/>
    </w:rPr>
  </w:style>
  <w:style w:type="paragraph" w:customStyle="1" w:styleId="Citadestacada9">
    <w:name w:val="Cita destacada9"/>
    <w:basedOn w:val="Normal"/>
    <w:next w:val="Normal"/>
    <w:rsid w:val="00B86C83"/>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Referenciaintensa9">
    <w:name w:val="Referencia intensa9"/>
    <w:rsid w:val="00B86C83"/>
    <w:rPr>
      <w:b/>
      <w:smallCaps/>
      <w:color w:val="C0504D"/>
      <w:spacing w:val="5"/>
      <w:u w:val="single"/>
    </w:rPr>
  </w:style>
  <w:style w:type="character" w:customStyle="1" w:styleId="nfasissutil9">
    <w:name w:val="Énfasis sutil9"/>
    <w:rsid w:val="00B86C83"/>
    <w:rPr>
      <w:i/>
      <w:color w:val="808080"/>
    </w:rPr>
  </w:style>
  <w:style w:type="character" w:customStyle="1" w:styleId="Referenciasutil9">
    <w:name w:val="Referencia sutil9"/>
    <w:rsid w:val="00B86C83"/>
    <w:rPr>
      <w:smallCaps/>
      <w:color w:val="C0504D"/>
      <w:u w:val="single"/>
    </w:rPr>
  </w:style>
  <w:style w:type="numbering" w:customStyle="1" w:styleId="Sinlista19">
    <w:name w:val="Sin lista19"/>
    <w:next w:val="Sinlista"/>
    <w:uiPriority w:val="99"/>
    <w:semiHidden/>
    <w:unhideWhenUsed/>
    <w:rsid w:val="009A6126"/>
  </w:style>
  <w:style w:type="table" w:customStyle="1" w:styleId="Tablaconcuadrcula10">
    <w:name w:val="Tabla con cuadrícula10"/>
    <w:basedOn w:val="Tablanormal"/>
    <w:next w:val="Tablaconcuadrcula"/>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
    <w:name w:val="Tabla con cuadrícula19"/>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8">
    <w:name w:val="Tabla con cuadrícula28"/>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8">
    <w:name w:val="Tabla con cuadrícula118"/>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7">
    <w:name w:val="Tabla con cuadrícula37"/>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7">
    <w:name w:val="Tabla con cuadrícula127"/>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7">
    <w:name w:val="Tabla con cuadrícula217"/>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7">
    <w:name w:val="Tabla con cuadrícula1117"/>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2">
    <w:name w:val="Tabla con cuadrícula4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32">
    <w:name w:val="Tabla con cuadrícula13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2">
    <w:name w:val="Tabla con cuadrícula22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22">
    <w:name w:val="Tabla con cuadrícula112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2">
    <w:name w:val="Tabla con cuadrícula31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12">
    <w:name w:val="Tabla con cuadrícula121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2">
    <w:name w:val="Tabla con cuadrícula211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12">
    <w:name w:val="Tabla con cuadrícula1111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2">
    <w:name w:val="Tabla con cuadrícula5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42">
    <w:name w:val="Tabla con cuadrícula14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2">
    <w:name w:val="Tabla con cuadrícula23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32">
    <w:name w:val="Tabla con cuadrícula113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2">
    <w:name w:val="Tabla con cuadrícula32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22">
    <w:name w:val="Tabla con cuadrícula122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22">
    <w:name w:val="Tabla con cuadrícula212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22">
    <w:name w:val="Tabla con cuadrícula1112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2">
    <w:name w:val="Tabla con cuadrícula6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52">
    <w:name w:val="Tabla con cuadrícula15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42">
    <w:name w:val="Tabla con cuadrícula24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42">
    <w:name w:val="Tabla con cuadrícula114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32">
    <w:name w:val="Tabla con cuadrícula33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32">
    <w:name w:val="Tabla con cuadrícula123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32">
    <w:name w:val="Tabla con cuadrícula213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32">
    <w:name w:val="Tabla con cuadrícula1113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2">
    <w:name w:val="Tabla con cuadrícula7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62">
    <w:name w:val="Tabla con cuadrícula16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52">
    <w:name w:val="Tabla con cuadrícula25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52">
    <w:name w:val="Tabla con cuadrícula115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42">
    <w:name w:val="Tabla con cuadrícula34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42">
    <w:name w:val="Tabla con cuadrícula124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42">
    <w:name w:val="Tabla con cuadrícula214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42">
    <w:name w:val="Tabla con cuadrícula1114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2">
    <w:name w:val="Tabla con cuadrícula8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72">
    <w:name w:val="Tabla con cuadrícula17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62">
    <w:name w:val="Tabla con cuadrícula26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62">
    <w:name w:val="Tabla con cuadrícula116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52">
    <w:name w:val="Tabla con cuadrícula35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52">
    <w:name w:val="Tabla con cuadrícula125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52">
    <w:name w:val="Tabla con cuadrícula215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52">
    <w:name w:val="Tabla con cuadrícula1115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10">
    <w:name w:val="Sin lista110"/>
    <w:next w:val="Sinlista"/>
    <w:uiPriority w:val="99"/>
    <w:semiHidden/>
    <w:unhideWhenUsed/>
    <w:rsid w:val="009A6126"/>
  </w:style>
  <w:style w:type="numbering" w:customStyle="1" w:styleId="Sinlista118">
    <w:name w:val="Sin lista118"/>
    <w:next w:val="Sinlista"/>
    <w:uiPriority w:val="99"/>
    <w:semiHidden/>
    <w:unhideWhenUsed/>
    <w:rsid w:val="009A6126"/>
  </w:style>
  <w:style w:type="numbering" w:customStyle="1" w:styleId="Sinlista28">
    <w:name w:val="Sin lista28"/>
    <w:next w:val="Sinlista"/>
    <w:uiPriority w:val="99"/>
    <w:semiHidden/>
    <w:unhideWhenUsed/>
    <w:rsid w:val="009A6126"/>
  </w:style>
  <w:style w:type="numbering" w:customStyle="1" w:styleId="Sinlista1118">
    <w:name w:val="Sin lista1118"/>
    <w:next w:val="Sinlista"/>
    <w:uiPriority w:val="99"/>
    <w:semiHidden/>
    <w:unhideWhenUsed/>
    <w:rsid w:val="009A6126"/>
  </w:style>
  <w:style w:type="numbering" w:customStyle="1" w:styleId="Sinlista11117">
    <w:name w:val="Sin lista11117"/>
    <w:next w:val="Sinlista"/>
    <w:uiPriority w:val="99"/>
    <w:semiHidden/>
    <w:unhideWhenUsed/>
    <w:rsid w:val="009A6126"/>
  </w:style>
  <w:style w:type="numbering" w:customStyle="1" w:styleId="Sinlista217">
    <w:name w:val="Sin lista217"/>
    <w:next w:val="Sinlista"/>
    <w:uiPriority w:val="99"/>
    <w:semiHidden/>
    <w:unhideWhenUsed/>
    <w:rsid w:val="009A6126"/>
  </w:style>
  <w:style w:type="numbering" w:customStyle="1" w:styleId="Sinlista127">
    <w:name w:val="Sin lista127"/>
    <w:next w:val="Sinlista"/>
    <w:uiPriority w:val="99"/>
    <w:semiHidden/>
    <w:unhideWhenUsed/>
    <w:rsid w:val="009A6126"/>
  </w:style>
  <w:style w:type="numbering" w:customStyle="1" w:styleId="Sinlista36">
    <w:name w:val="Sin lista36"/>
    <w:next w:val="Sinlista"/>
    <w:uiPriority w:val="99"/>
    <w:semiHidden/>
    <w:unhideWhenUsed/>
    <w:rsid w:val="009A6126"/>
  </w:style>
  <w:style w:type="numbering" w:customStyle="1" w:styleId="Sinlista136">
    <w:name w:val="Sin lista136"/>
    <w:next w:val="Sinlista"/>
    <w:uiPriority w:val="99"/>
    <w:semiHidden/>
    <w:unhideWhenUsed/>
    <w:rsid w:val="009A6126"/>
  </w:style>
  <w:style w:type="numbering" w:customStyle="1" w:styleId="Sinlista1126">
    <w:name w:val="Sin lista1126"/>
    <w:next w:val="Sinlista"/>
    <w:uiPriority w:val="99"/>
    <w:semiHidden/>
    <w:unhideWhenUsed/>
    <w:rsid w:val="009A6126"/>
  </w:style>
  <w:style w:type="numbering" w:customStyle="1" w:styleId="Sinlista226">
    <w:name w:val="Sin lista226"/>
    <w:next w:val="Sinlista"/>
    <w:uiPriority w:val="99"/>
    <w:semiHidden/>
    <w:unhideWhenUsed/>
    <w:rsid w:val="009A6126"/>
  </w:style>
  <w:style w:type="numbering" w:customStyle="1" w:styleId="Sinlista11126">
    <w:name w:val="Sin lista11126"/>
    <w:next w:val="Sinlista"/>
    <w:uiPriority w:val="99"/>
    <w:semiHidden/>
    <w:unhideWhenUsed/>
    <w:rsid w:val="009A6126"/>
  </w:style>
  <w:style w:type="numbering" w:customStyle="1" w:styleId="Sinlista111116">
    <w:name w:val="Sin lista111116"/>
    <w:next w:val="Sinlista"/>
    <w:uiPriority w:val="99"/>
    <w:semiHidden/>
    <w:unhideWhenUsed/>
    <w:rsid w:val="009A6126"/>
  </w:style>
  <w:style w:type="numbering" w:customStyle="1" w:styleId="Sinlista2116">
    <w:name w:val="Sin lista2116"/>
    <w:next w:val="Sinlista"/>
    <w:uiPriority w:val="99"/>
    <w:semiHidden/>
    <w:unhideWhenUsed/>
    <w:rsid w:val="009A6126"/>
  </w:style>
  <w:style w:type="numbering" w:customStyle="1" w:styleId="Sinlista1216">
    <w:name w:val="Sin lista1216"/>
    <w:next w:val="Sinlista"/>
    <w:uiPriority w:val="99"/>
    <w:semiHidden/>
    <w:unhideWhenUsed/>
    <w:rsid w:val="009A6126"/>
  </w:style>
  <w:style w:type="numbering" w:customStyle="1" w:styleId="Sinlista41">
    <w:name w:val="Sin lista41"/>
    <w:next w:val="Sinlista"/>
    <w:uiPriority w:val="99"/>
    <w:semiHidden/>
    <w:unhideWhenUsed/>
    <w:rsid w:val="009A6126"/>
  </w:style>
  <w:style w:type="numbering" w:customStyle="1" w:styleId="Sinlista141">
    <w:name w:val="Sin lista141"/>
    <w:next w:val="Sinlista"/>
    <w:uiPriority w:val="99"/>
    <w:semiHidden/>
    <w:unhideWhenUsed/>
    <w:rsid w:val="009A6126"/>
  </w:style>
  <w:style w:type="numbering" w:customStyle="1" w:styleId="Sinlista1131">
    <w:name w:val="Sin lista1131"/>
    <w:next w:val="Sinlista"/>
    <w:uiPriority w:val="99"/>
    <w:semiHidden/>
    <w:unhideWhenUsed/>
    <w:rsid w:val="009A6126"/>
  </w:style>
  <w:style w:type="numbering" w:customStyle="1" w:styleId="Sinlista231">
    <w:name w:val="Sin lista231"/>
    <w:next w:val="Sinlista"/>
    <w:uiPriority w:val="99"/>
    <w:semiHidden/>
    <w:unhideWhenUsed/>
    <w:rsid w:val="009A6126"/>
  </w:style>
  <w:style w:type="numbering" w:customStyle="1" w:styleId="Sinlista11131">
    <w:name w:val="Sin lista11131"/>
    <w:next w:val="Sinlista"/>
    <w:uiPriority w:val="99"/>
    <w:semiHidden/>
    <w:unhideWhenUsed/>
    <w:rsid w:val="009A6126"/>
  </w:style>
  <w:style w:type="numbering" w:customStyle="1" w:styleId="Sinlista111121">
    <w:name w:val="Sin lista111121"/>
    <w:next w:val="Sinlista"/>
    <w:uiPriority w:val="99"/>
    <w:semiHidden/>
    <w:unhideWhenUsed/>
    <w:rsid w:val="009A6126"/>
  </w:style>
  <w:style w:type="numbering" w:customStyle="1" w:styleId="Sinlista2121">
    <w:name w:val="Sin lista2121"/>
    <w:next w:val="Sinlista"/>
    <w:uiPriority w:val="99"/>
    <w:semiHidden/>
    <w:unhideWhenUsed/>
    <w:rsid w:val="009A6126"/>
  </w:style>
  <w:style w:type="numbering" w:customStyle="1" w:styleId="Sinlista1221">
    <w:name w:val="Sin lista1221"/>
    <w:next w:val="Sinlista"/>
    <w:uiPriority w:val="99"/>
    <w:semiHidden/>
    <w:unhideWhenUsed/>
    <w:rsid w:val="009A6126"/>
  </w:style>
  <w:style w:type="numbering" w:customStyle="1" w:styleId="Sinlista311">
    <w:name w:val="Sin lista311"/>
    <w:next w:val="Sinlista"/>
    <w:uiPriority w:val="99"/>
    <w:semiHidden/>
    <w:unhideWhenUsed/>
    <w:rsid w:val="009A6126"/>
  </w:style>
  <w:style w:type="numbering" w:customStyle="1" w:styleId="Sinlista1311">
    <w:name w:val="Sin lista1311"/>
    <w:next w:val="Sinlista"/>
    <w:uiPriority w:val="99"/>
    <w:semiHidden/>
    <w:unhideWhenUsed/>
    <w:rsid w:val="009A6126"/>
  </w:style>
  <w:style w:type="numbering" w:customStyle="1" w:styleId="Sinlista11211">
    <w:name w:val="Sin lista11211"/>
    <w:next w:val="Sinlista"/>
    <w:uiPriority w:val="99"/>
    <w:semiHidden/>
    <w:unhideWhenUsed/>
    <w:rsid w:val="009A6126"/>
  </w:style>
  <w:style w:type="numbering" w:customStyle="1" w:styleId="Sinlista2211">
    <w:name w:val="Sin lista2211"/>
    <w:next w:val="Sinlista"/>
    <w:uiPriority w:val="99"/>
    <w:semiHidden/>
    <w:unhideWhenUsed/>
    <w:rsid w:val="009A6126"/>
  </w:style>
  <w:style w:type="numbering" w:customStyle="1" w:styleId="Sinlista111211">
    <w:name w:val="Sin lista111211"/>
    <w:next w:val="Sinlista"/>
    <w:uiPriority w:val="99"/>
    <w:semiHidden/>
    <w:unhideWhenUsed/>
    <w:rsid w:val="009A6126"/>
  </w:style>
  <w:style w:type="numbering" w:customStyle="1" w:styleId="Sinlista1111111">
    <w:name w:val="Sin lista1111111"/>
    <w:next w:val="Sinlista"/>
    <w:uiPriority w:val="99"/>
    <w:semiHidden/>
    <w:unhideWhenUsed/>
    <w:rsid w:val="009A6126"/>
  </w:style>
  <w:style w:type="numbering" w:customStyle="1" w:styleId="Sinlista21111">
    <w:name w:val="Sin lista21111"/>
    <w:next w:val="Sinlista"/>
    <w:uiPriority w:val="99"/>
    <w:semiHidden/>
    <w:unhideWhenUsed/>
    <w:rsid w:val="009A6126"/>
  </w:style>
  <w:style w:type="numbering" w:customStyle="1" w:styleId="Sinlista12111">
    <w:name w:val="Sin lista12111"/>
    <w:next w:val="Sinlista"/>
    <w:uiPriority w:val="99"/>
    <w:semiHidden/>
    <w:unhideWhenUsed/>
    <w:rsid w:val="009A6126"/>
  </w:style>
  <w:style w:type="numbering" w:customStyle="1" w:styleId="Sinlista51">
    <w:name w:val="Sin lista51"/>
    <w:next w:val="Sinlista"/>
    <w:uiPriority w:val="99"/>
    <w:semiHidden/>
    <w:unhideWhenUsed/>
    <w:rsid w:val="009A6126"/>
  </w:style>
  <w:style w:type="numbering" w:customStyle="1" w:styleId="Sinlista151">
    <w:name w:val="Sin lista151"/>
    <w:next w:val="Sinlista"/>
    <w:uiPriority w:val="99"/>
    <w:semiHidden/>
    <w:unhideWhenUsed/>
    <w:rsid w:val="009A6126"/>
  </w:style>
  <w:style w:type="numbering" w:customStyle="1" w:styleId="Sinlista1141">
    <w:name w:val="Sin lista1141"/>
    <w:next w:val="Sinlista"/>
    <w:uiPriority w:val="99"/>
    <w:semiHidden/>
    <w:unhideWhenUsed/>
    <w:rsid w:val="009A6126"/>
  </w:style>
  <w:style w:type="numbering" w:customStyle="1" w:styleId="Sinlista241">
    <w:name w:val="Sin lista241"/>
    <w:next w:val="Sinlista"/>
    <w:uiPriority w:val="99"/>
    <w:semiHidden/>
    <w:unhideWhenUsed/>
    <w:rsid w:val="009A6126"/>
  </w:style>
  <w:style w:type="numbering" w:customStyle="1" w:styleId="Sinlista11141">
    <w:name w:val="Sin lista11141"/>
    <w:next w:val="Sinlista"/>
    <w:uiPriority w:val="99"/>
    <w:semiHidden/>
    <w:unhideWhenUsed/>
    <w:rsid w:val="009A6126"/>
  </w:style>
  <w:style w:type="numbering" w:customStyle="1" w:styleId="Sinlista111131">
    <w:name w:val="Sin lista111131"/>
    <w:next w:val="Sinlista"/>
    <w:uiPriority w:val="99"/>
    <w:semiHidden/>
    <w:unhideWhenUsed/>
    <w:rsid w:val="009A6126"/>
  </w:style>
  <w:style w:type="numbering" w:customStyle="1" w:styleId="Sinlista2131">
    <w:name w:val="Sin lista2131"/>
    <w:next w:val="Sinlista"/>
    <w:uiPriority w:val="99"/>
    <w:semiHidden/>
    <w:unhideWhenUsed/>
    <w:rsid w:val="009A6126"/>
  </w:style>
  <w:style w:type="numbering" w:customStyle="1" w:styleId="Sinlista1231">
    <w:name w:val="Sin lista1231"/>
    <w:next w:val="Sinlista"/>
    <w:uiPriority w:val="99"/>
    <w:semiHidden/>
    <w:unhideWhenUsed/>
    <w:rsid w:val="009A6126"/>
  </w:style>
  <w:style w:type="numbering" w:customStyle="1" w:styleId="Sinlista321">
    <w:name w:val="Sin lista321"/>
    <w:next w:val="Sinlista"/>
    <w:uiPriority w:val="99"/>
    <w:semiHidden/>
    <w:unhideWhenUsed/>
    <w:rsid w:val="009A6126"/>
  </w:style>
  <w:style w:type="numbering" w:customStyle="1" w:styleId="Sinlista1321">
    <w:name w:val="Sin lista1321"/>
    <w:next w:val="Sinlista"/>
    <w:uiPriority w:val="99"/>
    <w:semiHidden/>
    <w:unhideWhenUsed/>
    <w:rsid w:val="009A6126"/>
  </w:style>
  <w:style w:type="numbering" w:customStyle="1" w:styleId="Sinlista11221">
    <w:name w:val="Sin lista11221"/>
    <w:next w:val="Sinlista"/>
    <w:uiPriority w:val="99"/>
    <w:semiHidden/>
    <w:unhideWhenUsed/>
    <w:rsid w:val="009A6126"/>
  </w:style>
  <w:style w:type="numbering" w:customStyle="1" w:styleId="Sinlista2221">
    <w:name w:val="Sin lista2221"/>
    <w:next w:val="Sinlista"/>
    <w:uiPriority w:val="99"/>
    <w:semiHidden/>
    <w:unhideWhenUsed/>
    <w:rsid w:val="009A6126"/>
  </w:style>
  <w:style w:type="numbering" w:customStyle="1" w:styleId="Sinlista111221">
    <w:name w:val="Sin lista111221"/>
    <w:next w:val="Sinlista"/>
    <w:uiPriority w:val="99"/>
    <w:semiHidden/>
    <w:unhideWhenUsed/>
    <w:rsid w:val="009A6126"/>
  </w:style>
  <w:style w:type="numbering" w:customStyle="1" w:styleId="Sinlista1111121">
    <w:name w:val="Sin lista1111121"/>
    <w:next w:val="Sinlista"/>
    <w:uiPriority w:val="99"/>
    <w:semiHidden/>
    <w:unhideWhenUsed/>
    <w:rsid w:val="009A6126"/>
  </w:style>
  <w:style w:type="numbering" w:customStyle="1" w:styleId="Sinlista21121">
    <w:name w:val="Sin lista21121"/>
    <w:next w:val="Sinlista"/>
    <w:uiPriority w:val="99"/>
    <w:semiHidden/>
    <w:unhideWhenUsed/>
    <w:rsid w:val="009A6126"/>
  </w:style>
  <w:style w:type="numbering" w:customStyle="1" w:styleId="Sinlista12121">
    <w:name w:val="Sin lista12121"/>
    <w:next w:val="Sinlista"/>
    <w:uiPriority w:val="99"/>
    <w:semiHidden/>
    <w:unhideWhenUsed/>
    <w:rsid w:val="009A6126"/>
  </w:style>
  <w:style w:type="numbering" w:customStyle="1" w:styleId="Sinlista61">
    <w:name w:val="Sin lista61"/>
    <w:next w:val="Sinlista"/>
    <w:uiPriority w:val="99"/>
    <w:semiHidden/>
    <w:unhideWhenUsed/>
    <w:rsid w:val="009A6126"/>
  </w:style>
  <w:style w:type="numbering" w:customStyle="1" w:styleId="Sinlista161">
    <w:name w:val="Sin lista161"/>
    <w:next w:val="Sinlista"/>
    <w:uiPriority w:val="99"/>
    <w:semiHidden/>
    <w:unhideWhenUsed/>
    <w:rsid w:val="009A6126"/>
  </w:style>
  <w:style w:type="numbering" w:customStyle="1" w:styleId="Sinlista1151">
    <w:name w:val="Sin lista1151"/>
    <w:next w:val="Sinlista"/>
    <w:uiPriority w:val="99"/>
    <w:semiHidden/>
    <w:unhideWhenUsed/>
    <w:rsid w:val="009A6126"/>
  </w:style>
  <w:style w:type="numbering" w:customStyle="1" w:styleId="Sinlista251">
    <w:name w:val="Sin lista251"/>
    <w:next w:val="Sinlista"/>
    <w:uiPriority w:val="99"/>
    <w:semiHidden/>
    <w:unhideWhenUsed/>
    <w:rsid w:val="009A6126"/>
  </w:style>
  <w:style w:type="numbering" w:customStyle="1" w:styleId="Sinlista11151">
    <w:name w:val="Sin lista11151"/>
    <w:next w:val="Sinlista"/>
    <w:uiPriority w:val="99"/>
    <w:semiHidden/>
    <w:unhideWhenUsed/>
    <w:rsid w:val="009A6126"/>
  </w:style>
  <w:style w:type="numbering" w:customStyle="1" w:styleId="Sinlista111141">
    <w:name w:val="Sin lista111141"/>
    <w:next w:val="Sinlista"/>
    <w:uiPriority w:val="99"/>
    <w:semiHidden/>
    <w:unhideWhenUsed/>
    <w:rsid w:val="009A6126"/>
  </w:style>
  <w:style w:type="numbering" w:customStyle="1" w:styleId="Sinlista2141">
    <w:name w:val="Sin lista2141"/>
    <w:next w:val="Sinlista"/>
    <w:uiPriority w:val="99"/>
    <w:semiHidden/>
    <w:unhideWhenUsed/>
    <w:rsid w:val="009A6126"/>
  </w:style>
  <w:style w:type="numbering" w:customStyle="1" w:styleId="Sinlista1241">
    <w:name w:val="Sin lista1241"/>
    <w:next w:val="Sinlista"/>
    <w:uiPriority w:val="99"/>
    <w:semiHidden/>
    <w:unhideWhenUsed/>
    <w:rsid w:val="009A6126"/>
  </w:style>
  <w:style w:type="numbering" w:customStyle="1" w:styleId="Sinlista331">
    <w:name w:val="Sin lista331"/>
    <w:next w:val="Sinlista"/>
    <w:uiPriority w:val="99"/>
    <w:semiHidden/>
    <w:unhideWhenUsed/>
    <w:rsid w:val="009A6126"/>
  </w:style>
  <w:style w:type="numbering" w:customStyle="1" w:styleId="Sinlista1331">
    <w:name w:val="Sin lista1331"/>
    <w:next w:val="Sinlista"/>
    <w:uiPriority w:val="99"/>
    <w:semiHidden/>
    <w:unhideWhenUsed/>
    <w:rsid w:val="009A6126"/>
  </w:style>
  <w:style w:type="numbering" w:customStyle="1" w:styleId="Sinlista11231">
    <w:name w:val="Sin lista11231"/>
    <w:next w:val="Sinlista"/>
    <w:uiPriority w:val="99"/>
    <w:semiHidden/>
    <w:unhideWhenUsed/>
    <w:rsid w:val="009A6126"/>
  </w:style>
  <w:style w:type="numbering" w:customStyle="1" w:styleId="Sinlista2231">
    <w:name w:val="Sin lista2231"/>
    <w:next w:val="Sinlista"/>
    <w:uiPriority w:val="99"/>
    <w:semiHidden/>
    <w:unhideWhenUsed/>
    <w:rsid w:val="009A6126"/>
  </w:style>
  <w:style w:type="numbering" w:customStyle="1" w:styleId="Sinlista111231">
    <w:name w:val="Sin lista111231"/>
    <w:next w:val="Sinlista"/>
    <w:uiPriority w:val="99"/>
    <w:semiHidden/>
    <w:unhideWhenUsed/>
    <w:rsid w:val="009A6126"/>
  </w:style>
  <w:style w:type="numbering" w:customStyle="1" w:styleId="Sinlista1111131">
    <w:name w:val="Sin lista1111131"/>
    <w:next w:val="Sinlista"/>
    <w:uiPriority w:val="99"/>
    <w:semiHidden/>
    <w:unhideWhenUsed/>
    <w:rsid w:val="009A6126"/>
  </w:style>
  <w:style w:type="numbering" w:customStyle="1" w:styleId="Sinlista21131">
    <w:name w:val="Sin lista21131"/>
    <w:next w:val="Sinlista"/>
    <w:uiPriority w:val="99"/>
    <w:semiHidden/>
    <w:unhideWhenUsed/>
    <w:rsid w:val="009A6126"/>
  </w:style>
  <w:style w:type="numbering" w:customStyle="1" w:styleId="Sinlista12131">
    <w:name w:val="Sin lista12131"/>
    <w:next w:val="Sinlista"/>
    <w:uiPriority w:val="99"/>
    <w:semiHidden/>
    <w:unhideWhenUsed/>
    <w:rsid w:val="009A6126"/>
  </w:style>
  <w:style w:type="numbering" w:customStyle="1" w:styleId="Sinlista71">
    <w:name w:val="Sin lista71"/>
    <w:next w:val="Sinlista"/>
    <w:uiPriority w:val="99"/>
    <w:semiHidden/>
    <w:unhideWhenUsed/>
    <w:rsid w:val="009A6126"/>
  </w:style>
  <w:style w:type="numbering" w:customStyle="1" w:styleId="Sinlista171">
    <w:name w:val="Sin lista171"/>
    <w:next w:val="Sinlista"/>
    <w:uiPriority w:val="99"/>
    <w:semiHidden/>
    <w:unhideWhenUsed/>
    <w:rsid w:val="009A6126"/>
  </w:style>
  <w:style w:type="numbering" w:customStyle="1" w:styleId="Sinlista1161">
    <w:name w:val="Sin lista1161"/>
    <w:next w:val="Sinlista"/>
    <w:uiPriority w:val="99"/>
    <w:semiHidden/>
    <w:unhideWhenUsed/>
    <w:rsid w:val="009A6126"/>
  </w:style>
  <w:style w:type="numbering" w:customStyle="1" w:styleId="Sinlista261">
    <w:name w:val="Sin lista261"/>
    <w:next w:val="Sinlista"/>
    <w:uiPriority w:val="99"/>
    <w:semiHidden/>
    <w:unhideWhenUsed/>
    <w:rsid w:val="009A6126"/>
  </w:style>
  <w:style w:type="numbering" w:customStyle="1" w:styleId="Sinlista11161">
    <w:name w:val="Sin lista11161"/>
    <w:next w:val="Sinlista"/>
    <w:uiPriority w:val="99"/>
    <w:semiHidden/>
    <w:unhideWhenUsed/>
    <w:rsid w:val="009A6126"/>
  </w:style>
  <w:style w:type="numbering" w:customStyle="1" w:styleId="Sinlista111151">
    <w:name w:val="Sin lista111151"/>
    <w:next w:val="Sinlista"/>
    <w:uiPriority w:val="99"/>
    <w:semiHidden/>
    <w:unhideWhenUsed/>
    <w:rsid w:val="009A6126"/>
  </w:style>
  <w:style w:type="numbering" w:customStyle="1" w:styleId="Sinlista2151">
    <w:name w:val="Sin lista2151"/>
    <w:next w:val="Sinlista"/>
    <w:uiPriority w:val="99"/>
    <w:semiHidden/>
    <w:unhideWhenUsed/>
    <w:rsid w:val="009A6126"/>
  </w:style>
  <w:style w:type="numbering" w:customStyle="1" w:styleId="Sinlista1251">
    <w:name w:val="Sin lista1251"/>
    <w:next w:val="Sinlista"/>
    <w:uiPriority w:val="99"/>
    <w:semiHidden/>
    <w:unhideWhenUsed/>
    <w:rsid w:val="009A6126"/>
  </w:style>
  <w:style w:type="numbering" w:customStyle="1" w:styleId="Sinlista341">
    <w:name w:val="Sin lista341"/>
    <w:next w:val="Sinlista"/>
    <w:uiPriority w:val="99"/>
    <w:semiHidden/>
    <w:unhideWhenUsed/>
    <w:rsid w:val="009A6126"/>
  </w:style>
  <w:style w:type="numbering" w:customStyle="1" w:styleId="Sinlista1341">
    <w:name w:val="Sin lista1341"/>
    <w:next w:val="Sinlista"/>
    <w:uiPriority w:val="99"/>
    <w:semiHidden/>
    <w:unhideWhenUsed/>
    <w:rsid w:val="009A6126"/>
  </w:style>
  <w:style w:type="numbering" w:customStyle="1" w:styleId="Sinlista11241">
    <w:name w:val="Sin lista11241"/>
    <w:next w:val="Sinlista"/>
    <w:uiPriority w:val="99"/>
    <w:semiHidden/>
    <w:unhideWhenUsed/>
    <w:rsid w:val="009A6126"/>
  </w:style>
  <w:style w:type="numbering" w:customStyle="1" w:styleId="Sinlista2241">
    <w:name w:val="Sin lista2241"/>
    <w:next w:val="Sinlista"/>
    <w:uiPriority w:val="99"/>
    <w:semiHidden/>
    <w:unhideWhenUsed/>
    <w:rsid w:val="009A6126"/>
  </w:style>
  <w:style w:type="numbering" w:customStyle="1" w:styleId="Sinlista111241">
    <w:name w:val="Sin lista111241"/>
    <w:next w:val="Sinlista"/>
    <w:uiPriority w:val="99"/>
    <w:semiHidden/>
    <w:unhideWhenUsed/>
    <w:rsid w:val="009A6126"/>
  </w:style>
  <w:style w:type="numbering" w:customStyle="1" w:styleId="Sinlista1111141">
    <w:name w:val="Sin lista1111141"/>
    <w:next w:val="Sinlista"/>
    <w:uiPriority w:val="99"/>
    <w:semiHidden/>
    <w:unhideWhenUsed/>
    <w:rsid w:val="009A6126"/>
  </w:style>
  <w:style w:type="numbering" w:customStyle="1" w:styleId="Sinlista21141">
    <w:name w:val="Sin lista21141"/>
    <w:next w:val="Sinlista"/>
    <w:uiPriority w:val="99"/>
    <w:semiHidden/>
    <w:unhideWhenUsed/>
    <w:rsid w:val="009A6126"/>
  </w:style>
  <w:style w:type="numbering" w:customStyle="1" w:styleId="Sinlista12141">
    <w:name w:val="Sin lista12141"/>
    <w:next w:val="Sinlista"/>
    <w:uiPriority w:val="99"/>
    <w:semiHidden/>
    <w:unhideWhenUsed/>
    <w:rsid w:val="009A6126"/>
  </w:style>
  <w:style w:type="numbering" w:customStyle="1" w:styleId="Sinlista81">
    <w:name w:val="Sin lista81"/>
    <w:next w:val="Sinlista"/>
    <w:uiPriority w:val="99"/>
    <w:semiHidden/>
    <w:unhideWhenUsed/>
    <w:rsid w:val="009A6126"/>
  </w:style>
  <w:style w:type="numbering" w:customStyle="1" w:styleId="Sinlista181">
    <w:name w:val="Sin lista181"/>
    <w:next w:val="Sinlista"/>
    <w:uiPriority w:val="99"/>
    <w:semiHidden/>
    <w:unhideWhenUsed/>
    <w:rsid w:val="009A6126"/>
  </w:style>
  <w:style w:type="numbering" w:customStyle="1" w:styleId="Sinlista1171">
    <w:name w:val="Sin lista1171"/>
    <w:next w:val="Sinlista"/>
    <w:uiPriority w:val="99"/>
    <w:semiHidden/>
    <w:unhideWhenUsed/>
    <w:rsid w:val="009A6126"/>
  </w:style>
  <w:style w:type="numbering" w:customStyle="1" w:styleId="Sinlista271">
    <w:name w:val="Sin lista271"/>
    <w:next w:val="Sinlista"/>
    <w:uiPriority w:val="99"/>
    <w:semiHidden/>
    <w:unhideWhenUsed/>
    <w:rsid w:val="009A6126"/>
  </w:style>
  <w:style w:type="numbering" w:customStyle="1" w:styleId="Sinlista11171">
    <w:name w:val="Sin lista11171"/>
    <w:next w:val="Sinlista"/>
    <w:uiPriority w:val="99"/>
    <w:semiHidden/>
    <w:unhideWhenUsed/>
    <w:rsid w:val="009A6126"/>
  </w:style>
  <w:style w:type="numbering" w:customStyle="1" w:styleId="Sinlista111161">
    <w:name w:val="Sin lista111161"/>
    <w:next w:val="Sinlista"/>
    <w:uiPriority w:val="99"/>
    <w:semiHidden/>
    <w:unhideWhenUsed/>
    <w:rsid w:val="009A6126"/>
  </w:style>
  <w:style w:type="numbering" w:customStyle="1" w:styleId="Sinlista2161">
    <w:name w:val="Sin lista2161"/>
    <w:next w:val="Sinlista"/>
    <w:uiPriority w:val="99"/>
    <w:semiHidden/>
    <w:unhideWhenUsed/>
    <w:rsid w:val="009A6126"/>
  </w:style>
  <w:style w:type="numbering" w:customStyle="1" w:styleId="Sinlista1261">
    <w:name w:val="Sin lista1261"/>
    <w:next w:val="Sinlista"/>
    <w:uiPriority w:val="99"/>
    <w:semiHidden/>
    <w:unhideWhenUsed/>
    <w:rsid w:val="009A6126"/>
  </w:style>
  <w:style w:type="numbering" w:customStyle="1" w:styleId="Sinlista351">
    <w:name w:val="Sin lista351"/>
    <w:next w:val="Sinlista"/>
    <w:uiPriority w:val="99"/>
    <w:semiHidden/>
    <w:unhideWhenUsed/>
    <w:rsid w:val="009A6126"/>
  </w:style>
  <w:style w:type="numbering" w:customStyle="1" w:styleId="Sinlista1351">
    <w:name w:val="Sin lista1351"/>
    <w:next w:val="Sinlista"/>
    <w:uiPriority w:val="99"/>
    <w:semiHidden/>
    <w:unhideWhenUsed/>
    <w:rsid w:val="009A6126"/>
  </w:style>
  <w:style w:type="numbering" w:customStyle="1" w:styleId="Sinlista11251">
    <w:name w:val="Sin lista11251"/>
    <w:next w:val="Sinlista"/>
    <w:uiPriority w:val="99"/>
    <w:semiHidden/>
    <w:unhideWhenUsed/>
    <w:rsid w:val="009A6126"/>
  </w:style>
  <w:style w:type="numbering" w:customStyle="1" w:styleId="Sinlista2251">
    <w:name w:val="Sin lista2251"/>
    <w:next w:val="Sinlista"/>
    <w:uiPriority w:val="99"/>
    <w:semiHidden/>
    <w:unhideWhenUsed/>
    <w:rsid w:val="009A6126"/>
  </w:style>
  <w:style w:type="numbering" w:customStyle="1" w:styleId="Sinlista111251">
    <w:name w:val="Sin lista111251"/>
    <w:next w:val="Sinlista"/>
    <w:uiPriority w:val="99"/>
    <w:semiHidden/>
    <w:unhideWhenUsed/>
    <w:rsid w:val="009A6126"/>
  </w:style>
  <w:style w:type="numbering" w:customStyle="1" w:styleId="Sinlista1111151">
    <w:name w:val="Sin lista1111151"/>
    <w:next w:val="Sinlista"/>
    <w:uiPriority w:val="99"/>
    <w:semiHidden/>
    <w:unhideWhenUsed/>
    <w:rsid w:val="009A6126"/>
  </w:style>
  <w:style w:type="numbering" w:customStyle="1" w:styleId="Sinlista21151">
    <w:name w:val="Sin lista21151"/>
    <w:next w:val="Sinlista"/>
    <w:uiPriority w:val="99"/>
    <w:semiHidden/>
    <w:unhideWhenUsed/>
    <w:rsid w:val="009A6126"/>
  </w:style>
  <w:style w:type="numbering" w:customStyle="1" w:styleId="Sinlista12151">
    <w:name w:val="Sin lista12151"/>
    <w:next w:val="Sinlista"/>
    <w:uiPriority w:val="99"/>
    <w:semiHidden/>
    <w:unhideWhenUsed/>
    <w:rsid w:val="009A6126"/>
  </w:style>
  <w:style w:type="numbering" w:customStyle="1" w:styleId="Sinlista91">
    <w:name w:val="Sin lista91"/>
    <w:next w:val="Sinlista"/>
    <w:uiPriority w:val="99"/>
    <w:semiHidden/>
    <w:unhideWhenUsed/>
    <w:rsid w:val="009A6126"/>
  </w:style>
  <w:style w:type="table" w:customStyle="1" w:styleId="Sombreadoclaro-nfasis221">
    <w:name w:val="Sombreado claro - Énfasis 221"/>
    <w:basedOn w:val="Tablanormal"/>
    <w:rsid w:val="009A6126"/>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21">
    <w:name w:val="Sombreado medio 1 - Énfasis 421"/>
    <w:basedOn w:val="Tablanormal"/>
    <w:rsid w:val="009A6126"/>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table" w:customStyle="1" w:styleId="MediumShading111">
    <w:name w:val="Medium Shading 111"/>
    <w:basedOn w:val="Tablanormal"/>
    <w:rsid w:val="009A6126"/>
    <w:rPr>
      <w:rFonts w:ascii="Arial" w:eastAsia="Arial" w:hAnsi="Arial"/>
      <w:sz w:val="16"/>
      <w:lang w:val="es-AR" w:eastAsia="es-AR"/>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
    <w:name w:val="Medium Shading 1 - Accent 111"/>
    <w:basedOn w:val="Tablanormal"/>
    <w:rsid w:val="009A6126"/>
    <w:rPr>
      <w:rFonts w:ascii="Arial" w:eastAsia="Arial" w:hAnsi="Arial"/>
      <w:lang w:val="es-AR" w:eastAsia="es-AR"/>
    </w:rPr>
    <w:tblPr>
      <w:tblStyleRowBandSize w:val="1"/>
      <w:tblStyleColBandSize w:val="1"/>
      <w:tblBorders>
        <w:top w:val="single" w:sz="8" w:space="0" w:color="B9B1A7"/>
        <w:left w:val="single" w:sz="8" w:space="0" w:color="B9B1A7"/>
        <w:bottom w:val="single" w:sz="8" w:space="0" w:color="B9B1A7"/>
        <w:right w:val="single" w:sz="8" w:space="0" w:color="B9B1A7"/>
        <w:insideH w:val="single" w:sz="8" w:space="0" w:color="B9B1A7"/>
      </w:tblBorders>
    </w:tblPr>
    <w:tblStylePr w:type="firstRow">
      <w:pPr>
        <w:spacing w:before="0" w:after="0" w:line="240" w:lineRule="auto"/>
      </w:pPr>
      <w:rPr>
        <w:b/>
        <w:bCs/>
        <w:color w:val="FFFFFF"/>
      </w:rPr>
      <w:tblPr/>
      <w:tcPr>
        <w:tcBorders>
          <w:top w:val="single" w:sz="8" w:space="0" w:color="B9B1A7"/>
          <w:left w:val="single" w:sz="8" w:space="0" w:color="B9B1A7"/>
          <w:bottom w:val="single" w:sz="8" w:space="0" w:color="B9B1A7"/>
          <w:right w:val="single" w:sz="8" w:space="0" w:color="B9B1A7"/>
          <w:insideH w:val="nil"/>
          <w:insideV w:val="nil"/>
        </w:tcBorders>
        <w:shd w:val="clear" w:color="auto" w:fill="A2978A"/>
      </w:tcPr>
    </w:tblStylePr>
    <w:tblStylePr w:type="lastRow">
      <w:pPr>
        <w:spacing w:before="0" w:after="0" w:line="240" w:lineRule="auto"/>
      </w:pPr>
      <w:rPr>
        <w:b/>
        <w:bCs/>
      </w:rPr>
      <w:tblPr/>
      <w:tcPr>
        <w:tcBorders>
          <w:top w:val="double" w:sz="6" w:space="0" w:color="B9B1A7"/>
          <w:left w:val="single" w:sz="8" w:space="0" w:color="B9B1A7"/>
          <w:bottom w:val="single" w:sz="8" w:space="0" w:color="B9B1A7"/>
          <w:right w:val="single" w:sz="8" w:space="0" w:color="B9B1A7"/>
          <w:insideH w:val="nil"/>
          <w:insideV w:val="nil"/>
        </w:tcBorders>
      </w:tcPr>
    </w:tblStylePr>
    <w:tblStylePr w:type="firstCol">
      <w:rPr>
        <w:b/>
        <w:bCs/>
      </w:rPr>
    </w:tblStylePr>
    <w:tblStylePr w:type="lastCol">
      <w:rPr>
        <w:b/>
        <w:bCs/>
      </w:rPr>
    </w:tblStylePr>
    <w:tblStylePr w:type="band1Vert">
      <w:tblPr/>
      <w:tcPr>
        <w:shd w:val="clear" w:color="auto" w:fill="E8E5E2"/>
      </w:tcPr>
    </w:tblStylePr>
    <w:tblStylePr w:type="band1Horz">
      <w:tblPr/>
      <w:tcPr>
        <w:tcBorders>
          <w:insideH w:val="nil"/>
          <w:insideV w:val="nil"/>
        </w:tcBorders>
        <w:shd w:val="clear" w:color="auto" w:fill="E8E5E2"/>
      </w:tcPr>
    </w:tblStylePr>
    <w:tblStylePr w:type="band2Horz">
      <w:tblPr/>
      <w:tcPr>
        <w:tcBorders>
          <w:insideH w:val="nil"/>
          <w:insideV w:val="nil"/>
        </w:tcBorders>
      </w:tcPr>
    </w:tblStylePr>
  </w:style>
  <w:style w:type="table" w:customStyle="1" w:styleId="LightList11">
    <w:name w:val="Light List11"/>
    <w:basedOn w:val="Tablanormal"/>
    <w:rsid w:val="009A6126"/>
    <w:rPr>
      <w:rFonts w:ascii="Arial" w:eastAsia="Arial" w:hAnsi="Arial"/>
      <w:lang w:val="es-AR" w:eastAsia="es-AR"/>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
    <w:name w:val="Light List - Accent 111"/>
    <w:basedOn w:val="Tablanormal"/>
    <w:rsid w:val="009A6126"/>
    <w:rPr>
      <w:rFonts w:ascii="Arial" w:eastAsia="Arial" w:hAnsi="Arial"/>
      <w:lang w:val="es-AR" w:eastAsia="es-AR"/>
    </w:rPr>
    <w:tblPr>
      <w:tblStyleRowBandSize w:val="1"/>
      <w:tblStyleColBandSize w:val="1"/>
      <w:tblBorders>
        <w:top w:val="single" w:sz="8" w:space="0" w:color="A2978A"/>
        <w:left w:val="single" w:sz="8" w:space="0" w:color="A2978A"/>
        <w:bottom w:val="single" w:sz="8" w:space="0" w:color="A2978A"/>
        <w:right w:val="single" w:sz="8" w:space="0" w:color="A2978A"/>
      </w:tblBorders>
    </w:tblPr>
    <w:tblStylePr w:type="firstRow">
      <w:pPr>
        <w:spacing w:before="0" w:after="0" w:line="240" w:lineRule="auto"/>
      </w:pPr>
      <w:rPr>
        <w:b/>
        <w:bCs/>
        <w:color w:val="FFFFFF"/>
      </w:rPr>
      <w:tblPr/>
      <w:tcPr>
        <w:shd w:val="clear" w:color="auto" w:fill="A2978A"/>
      </w:tcPr>
    </w:tblStylePr>
    <w:tblStylePr w:type="lastRow">
      <w:pPr>
        <w:spacing w:before="0" w:after="0" w:line="240" w:lineRule="auto"/>
      </w:pPr>
      <w:rPr>
        <w:b/>
        <w:bCs/>
      </w:rPr>
      <w:tblPr/>
      <w:tcPr>
        <w:tcBorders>
          <w:top w:val="double" w:sz="6" w:space="0" w:color="A2978A"/>
          <w:left w:val="single" w:sz="8" w:space="0" w:color="A2978A"/>
          <w:bottom w:val="single" w:sz="8" w:space="0" w:color="A2978A"/>
          <w:right w:val="single" w:sz="8" w:space="0" w:color="A2978A"/>
        </w:tcBorders>
      </w:tcPr>
    </w:tblStylePr>
    <w:tblStylePr w:type="firstCol">
      <w:rPr>
        <w:b/>
        <w:bCs/>
      </w:rPr>
    </w:tblStylePr>
    <w:tblStylePr w:type="lastCol">
      <w:rPr>
        <w:b/>
        <w:bCs/>
      </w:rPr>
    </w:tblStylePr>
    <w:tblStylePr w:type="band1Vert">
      <w:tblPr/>
      <w:tcPr>
        <w:tcBorders>
          <w:top w:val="single" w:sz="8" w:space="0" w:color="A2978A"/>
          <w:left w:val="single" w:sz="8" w:space="0" w:color="A2978A"/>
          <w:bottom w:val="single" w:sz="8" w:space="0" w:color="A2978A"/>
          <w:right w:val="single" w:sz="8" w:space="0" w:color="A2978A"/>
        </w:tcBorders>
      </w:tcPr>
    </w:tblStylePr>
    <w:tblStylePr w:type="band1Horz">
      <w:tblPr/>
      <w:tcPr>
        <w:tcBorders>
          <w:top w:val="single" w:sz="8" w:space="0" w:color="A2978A"/>
          <w:left w:val="single" w:sz="8" w:space="0" w:color="A2978A"/>
          <w:bottom w:val="single" w:sz="8" w:space="0" w:color="A2978A"/>
          <w:right w:val="single" w:sz="8" w:space="0" w:color="A2978A"/>
        </w:tcBorders>
      </w:tcPr>
    </w:tblStylePr>
  </w:style>
  <w:style w:type="table" w:customStyle="1" w:styleId="PwCTable11">
    <w:name w:val="PwC Table 11"/>
    <w:basedOn w:val="Tablanormal"/>
    <w:qFormat/>
    <w:rsid w:val="009A6126"/>
    <w:rPr>
      <w:rFonts w:ascii="Arial" w:eastAsia="Arial" w:hAnsi="Arial"/>
      <w:sz w:val="18"/>
      <w:lang w:val="es-AR" w:eastAsia="es-AR"/>
    </w:rPr>
    <w:tblPr>
      <w:tblStyleRowBandSize w:val="1"/>
      <w:tblBorders>
        <w:bottom w:val="single" w:sz="4" w:space="0" w:color="A2978A"/>
        <w:insideH w:val="single" w:sz="4" w:space="0" w:color="A2978A"/>
      </w:tblBorders>
      <w:tblCellMar>
        <w:top w:w="57" w:type="dxa"/>
        <w:left w:w="0" w:type="dxa"/>
        <w:bottom w:w="57" w:type="dxa"/>
        <w:right w:w="0" w:type="dxa"/>
      </w:tblCellMar>
    </w:tblPr>
    <w:tblStylePr w:type="firstRow">
      <w:pPr>
        <w:wordWrap/>
        <w:spacing w:beforeLines="0" w:beforeAutospacing="0" w:afterLines="0" w:afterAutospacing="0" w:line="210" w:lineRule="atLeast"/>
        <w:contextualSpacing w:val="0"/>
      </w:pPr>
      <w:rPr>
        <w:rFonts w:ascii="Arial" w:hAnsi="Arial"/>
        <w:b/>
        <w:color w:val="A2978A"/>
        <w:sz w:val="18"/>
      </w:rPr>
      <w:tblPr/>
      <w:tcPr>
        <w:tcBorders>
          <w:top w:val="nil"/>
          <w:left w:val="nil"/>
          <w:bottom w:val="single" w:sz="8" w:space="0" w:color="00011F"/>
          <w:right w:val="nil"/>
          <w:insideH w:val="nil"/>
          <w:insideV w:val="nil"/>
          <w:tl2br w:val="nil"/>
          <w:tr2bl w:val="nil"/>
        </w:tcBorders>
      </w:tcPr>
    </w:tblStylePr>
    <w:tblStylePr w:type="lastRow">
      <w:tblPr/>
      <w:tcPr>
        <w:tcBorders>
          <w:top w:val="nil"/>
          <w:left w:val="nil"/>
          <w:bottom w:val="single" w:sz="4" w:space="0" w:color="A2978A"/>
          <w:right w:val="nil"/>
          <w:insideH w:val="nil"/>
          <w:insideV w:val="nil"/>
          <w:tl2br w:val="nil"/>
          <w:tr2bl w:val="nil"/>
        </w:tcBorders>
      </w:tcPr>
    </w:tblStylePr>
    <w:tblStylePr w:type="band1Horz">
      <w:pPr>
        <w:wordWrap/>
        <w:spacing w:beforeLines="0" w:beforeAutospacing="0" w:afterLines="0" w:afterAutospacing="0" w:line="210" w:lineRule="atLeast"/>
      </w:pPr>
    </w:tblStylePr>
    <w:tblStylePr w:type="band2Horz">
      <w:pPr>
        <w:wordWrap/>
        <w:spacing w:beforeLines="0" w:beforeAutospacing="0" w:afterLines="0" w:afterAutospacing="0" w:line="210" w:lineRule="atLeast"/>
      </w:pPr>
    </w:tblStylePr>
  </w:style>
  <w:style w:type="table" w:customStyle="1" w:styleId="Sombreadoclaro-nfasis211">
    <w:name w:val="Sombreado claro - Énfasis 211"/>
    <w:basedOn w:val="Tablanormal"/>
    <w:rsid w:val="009A6126"/>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11">
    <w:name w:val="Sombreado medio 1 - Énfasis 411"/>
    <w:basedOn w:val="Tablanormal"/>
    <w:rsid w:val="009A6126"/>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table" w:customStyle="1" w:styleId="Sombreadoclaro-nfasis231">
    <w:name w:val="Sombreado claro - Énfasis 231"/>
    <w:basedOn w:val="Tablanormal"/>
    <w:rsid w:val="009A6126"/>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31">
    <w:name w:val="Sombreado medio 1 - Énfasis 431"/>
    <w:basedOn w:val="Tablanormal"/>
    <w:rsid w:val="009A6126"/>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table" w:customStyle="1" w:styleId="TableGrid11">
    <w:name w:val="Table Grid11"/>
    <w:basedOn w:val="Tablanormal"/>
    <w:next w:val="Tablaconcuadrcula"/>
    <w:rsid w:val="009A6126"/>
    <w:rPr>
      <w:rFonts w:ascii="Times New Roman" w:eastAsia="SimSun" w:hAnsi="Times New Roman"/>
      <w:lang w:val="es-AR" w:eastAsia="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anormal"/>
    <w:next w:val="Tablaconcuadrcula"/>
    <w:uiPriority w:val="59"/>
    <w:rsid w:val="009A6126"/>
    <w:rPr>
      <w:rFonts w:ascii="Times New Roman" w:eastAsia="PMingLiU" w:hAnsi="Times New Roman"/>
      <w:sz w:val="22"/>
      <w:szCs w:val="22"/>
      <w:lang w:val="es-A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1">
    <w:name w:val="Sin lista101"/>
    <w:next w:val="Sinlista"/>
    <w:uiPriority w:val="99"/>
    <w:semiHidden/>
    <w:unhideWhenUsed/>
    <w:rsid w:val="009A6126"/>
  </w:style>
  <w:style w:type="table" w:customStyle="1" w:styleId="Tablaconcuadrcula91">
    <w:name w:val="Tabla con cuadrícula91"/>
    <w:basedOn w:val="Tablanormal"/>
    <w:next w:val="Tablaconcuadrcula"/>
    <w:rsid w:val="009A6126"/>
    <w:rPr>
      <w:rFonts w:ascii="Times New Roman" w:hAnsi="Times New Roman"/>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1">
    <w:name w:val="Tabla con cuadrícula18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71">
    <w:name w:val="Tabla con cuadrícula27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71">
    <w:name w:val="Tabla con cuadrícula117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61">
    <w:name w:val="Tabla con cuadrícula36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61">
    <w:name w:val="Tabla con cuadrícula126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61">
    <w:name w:val="Tabla con cuadrícula216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61">
    <w:name w:val="Tabla con cuadrícula1116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11">
    <w:name w:val="Tabla con cuadrícula4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311">
    <w:name w:val="Tabla con cuadrícula13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11">
    <w:name w:val="Tabla con cuadrícula22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211">
    <w:name w:val="Tabla con cuadrícula112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11">
    <w:name w:val="Tabla con cuadrícula31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111">
    <w:name w:val="Tabla con cuadrícula121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11">
    <w:name w:val="Tabla con cuadrícula211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111">
    <w:name w:val="Tabla con cuadrícula1111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11">
    <w:name w:val="Tabla con cuadrícula5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411">
    <w:name w:val="Tabla con cuadrícula14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11">
    <w:name w:val="Tabla con cuadrícula23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311">
    <w:name w:val="Tabla con cuadrícula113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11">
    <w:name w:val="Tabla con cuadrícula32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211">
    <w:name w:val="Tabla con cuadrícula122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211">
    <w:name w:val="Tabla con cuadrícula212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211">
    <w:name w:val="Tabla con cuadrícula1112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11">
    <w:name w:val="Tabla con cuadrícula6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511">
    <w:name w:val="Tabla con cuadrícula15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411">
    <w:name w:val="Tabla con cuadrícula24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411">
    <w:name w:val="Tabla con cuadrícula114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311">
    <w:name w:val="Tabla con cuadrícula33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311">
    <w:name w:val="Tabla con cuadrícula123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311">
    <w:name w:val="Tabla con cuadrícula213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311">
    <w:name w:val="Tabla con cuadrícula1113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11">
    <w:name w:val="Tabla con cuadrícula7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611">
    <w:name w:val="Tabla con cuadrícula16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511">
    <w:name w:val="Tabla con cuadrícula25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511">
    <w:name w:val="Tabla con cuadrícula115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411">
    <w:name w:val="Tabla con cuadrícula34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411">
    <w:name w:val="Tabla con cuadrícula124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411">
    <w:name w:val="Tabla con cuadrícula214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411">
    <w:name w:val="Tabla con cuadrícula1114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11">
    <w:name w:val="Tabla con cuadrícula8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711">
    <w:name w:val="Tabla con cuadrícula17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611">
    <w:name w:val="Tabla con cuadrícula26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611">
    <w:name w:val="Tabla con cuadrícula116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511">
    <w:name w:val="Tabla con cuadrícula35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511">
    <w:name w:val="Tabla con cuadrícula125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511">
    <w:name w:val="Tabla con cuadrícula215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511">
    <w:name w:val="Tabla con cuadrícula1115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sProspecto26">
    <w:name w:val="Tablas Prospecto26"/>
    <w:basedOn w:val="Tablanormal"/>
    <w:uiPriority w:val="99"/>
    <w:rsid w:val="0007574B"/>
    <w:rPr>
      <w:rFonts w:ascii="Times New Roman" w:eastAsia="Calibri" w:hAnsi="Times New Roman"/>
      <w:sz w:val="16"/>
      <w:szCs w:val="22"/>
      <w:lang w:eastAsia="en-US"/>
    </w:rPr>
    <w:tblPr>
      <w:tblStyleRowBandSize w:val="1"/>
    </w:tblPr>
    <w:tblStylePr w:type="firstRow">
      <w:pPr>
        <w:wordWrap/>
        <w:jc w:val="center"/>
      </w:pPr>
      <w:rPr>
        <w:rFonts w:ascii="Times New Roman" w:hAnsi="Times New Roman"/>
        <w:b/>
        <w:i w:val="0"/>
        <w:sz w:val="16"/>
      </w:rPr>
      <w:tblPr/>
      <w:tcPr>
        <w:tcBorders>
          <w:top w:val="nil"/>
          <w:left w:val="nil"/>
          <w:bottom w:val="single" w:sz="8" w:space="0" w:color="auto"/>
          <w:right w:val="nil"/>
          <w:insideH w:val="nil"/>
          <w:insideV w:val="nil"/>
        </w:tcBorders>
        <w:vAlign w:val="bottom"/>
      </w:tcPr>
    </w:tblStylePr>
    <w:tblStylePr w:type="firstCol">
      <w:tblPr/>
      <w:tcPr>
        <w:tcBorders>
          <w:right w:val="nil"/>
        </w:tcBorders>
      </w:tcPr>
    </w:tblStylePr>
    <w:tblStylePr w:type="band2Horz">
      <w:tblPr/>
      <w:tcPr>
        <w:tcBorders>
          <w:top w:val="nil"/>
          <w:left w:val="nil"/>
          <w:bottom w:val="nil"/>
          <w:right w:val="nil"/>
          <w:insideH w:val="nil"/>
          <w:insideV w:val="nil"/>
          <w:tl2br w:val="nil"/>
          <w:tr2bl w:val="nil"/>
        </w:tcBorders>
        <w:shd w:val="clear" w:color="auto" w:fill="F2F2F2"/>
      </w:tcPr>
    </w:tblStylePr>
  </w:style>
  <w:style w:type="character" w:customStyle="1" w:styleId="UnresolvedMention1">
    <w:name w:val="Unresolved Mention1"/>
    <w:basedOn w:val="Fuentedeprrafopredeter"/>
    <w:uiPriority w:val="99"/>
    <w:semiHidden/>
    <w:unhideWhenUsed/>
    <w:rsid w:val="00B200E8"/>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s-ES" w:eastAsia="es-ES" w:bidi="ar-SA"/>
      </w:rPr>
    </w:rPrDefault>
    <w:pPrDefault/>
  </w:docDefaults>
  <w:latentStyles w:defLockedState="0" w:defUIPriority="0" w:defSemiHidden="1" w:defUnhideWhenUsed="1" w:defQFormat="0" w:count="267">
    <w:lsdException w:name="Normal" w:locked="1" w:semiHidden="0" w:unhideWhenUsed="0" w:qFormat="1"/>
    <w:lsdException w:name="heading 1" w:locked="1" w:semiHidden="0" w:uiPriority="9" w:unhideWhenUsed="0" w:qFormat="1"/>
    <w:lsdException w:name="heading 2" w:locked="1" w:semiHidden="0" w:uiPriority="9" w:unhideWhenUsed="0"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note text" w:locked="1"/>
    <w:lsdException w:name="annotation text" w:locked="1"/>
    <w:lsdException w:name="header" w:locked="1"/>
    <w:lsdException w:name="footer" w:uiPriority="99"/>
    <w:lsdException w:name="index heading" w:locked="1"/>
    <w:lsdException w:name="caption" w:locked="1" w:uiPriority="35" w:qFormat="1"/>
    <w:lsdException w:name="table of figures" w:locked="1"/>
    <w:lsdException w:name="envelope address" w:uiPriority="99"/>
    <w:lsdException w:name="envelope return" w:locked="1"/>
    <w:lsdException w:name="footnote reference" w:uiPriority="99"/>
    <w:lsdException w:name="annotation reference" w:locked="1"/>
    <w:lsdException w:name="line number" w:uiPriority="99"/>
    <w:lsdException w:name="page number" w:locked="1"/>
    <w:lsdException w:name="endnote reference" w:uiPriority="99"/>
    <w:lsdException w:name="endnote text" w:uiPriority="99"/>
    <w:lsdException w:name="table of authorities" w:locked="1"/>
    <w:lsdException w:name="macro" w:locked="1" w:semiHidden="0" w:unhideWhenUsed="0"/>
    <w:lsdException w:name="toa heading" w:locked="1"/>
    <w:lsdException w:name="List" w:uiPriority="99" w:qFormat="1"/>
    <w:lsdException w:name="List Bullet" w:semiHidden="0" w:uiPriority="99" w:unhideWhenUsed="0" w:qFormat="1"/>
    <w:lsdException w:name="List Number" w:semiHidden="0" w:uiPriority="99" w:unhideWhenUsed="0" w:qFormat="1"/>
    <w:lsdException w:name="List 2" w:uiPriority="99"/>
    <w:lsdException w:name="List 3" w:uiPriority="99"/>
    <w:lsdException w:name="List 4" w:uiPriority="99"/>
    <w:lsdException w:name="List 5" w:uiPriority="99"/>
    <w:lsdException w:name="List Bullet 2" w:locked="1"/>
    <w:lsdException w:name="List Bullet 3" w:locked="1"/>
    <w:lsdException w:name="List Bullet 4" w:locked="1"/>
    <w:lsdException w:name="List Bullet 5" w:uiPriority="99"/>
    <w:lsdException w:name="List Number 2" w:uiPriority="99"/>
    <w:lsdException w:name="List Number 3" w:uiPriority="99"/>
    <w:lsdException w:name="List Number 4" w:uiPriority="99"/>
    <w:lsdException w:name="List Number 5" w:uiPriority="99"/>
    <w:lsdException w:name="Title" w:locked="1" w:semiHidden="0" w:unhideWhenUsed="0" w:qFormat="1"/>
    <w:lsdException w:name="Closing" w:locked="1" w:qFormat="1"/>
    <w:lsdException w:name="Signature" w:locked="1"/>
    <w:lsdException w:name="Default Paragraph Font" w:locked="1" w:uiPriority="1"/>
    <w:lsdException w:name="Body Text" w:locked="1" w:qFormat="1"/>
    <w:lsdException w:name="Body Text Indent" w:locked="1" w:qFormat="1"/>
    <w:lsdException w:name="List Continue" w:locked="1"/>
    <w:lsdException w:name="List Continue 2" w:locked="1"/>
    <w:lsdException w:name="List Continue 3" w:locked="1" w:semiHidden="0" w:unhideWhenUsed="0"/>
    <w:lsdException w:name="List Continue 4" w:locked="1" w:semiHidden="0" w:unhideWhenUsed="0"/>
    <w:lsdException w:name="List Continue 5" w:locked="1" w:semiHidden="0" w:unhideWhenUsed="0"/>
    <w:lsdException w:name="Message Header" w:semiHidden="0" w:uiPriority="99" w:unhideWhenUsed="0"/>
    <w:lsdException w:name="Subtitle" w:locked="1" w:semiHidden="0" w:uiPriority="11" w:unhideWhenUsed="0" w:qFormat="1"/>
    <w:lsdException w:name="Salutation" w:locked="1"/>
    <w:lsdException w:name="Date" w:locked="1"/>
    <w:lsdException w:name="Body Text First Indent" w:uiPriority="99" w:qFormat="1"/>
    <w:lsdException w:name="Body Text First Indent 2" w:uiPriority="99"/>
    <w:lsdException w:name="Note Heading" w:locked="1"/>
    <w:lsdException w:name="Body Text 2" w:uiPriority="99"/>
    <w:lsdException w:name="Body Text 3" w:locked="1"/>
    <w:lsdException w:name="Body Text Indent 2" w:locked="1"/>
    <w:lsdException w:name="Body Text Indent 3" w:locked="1"/>
    <w:lsdException w:name="Block Text" w:locked="1"/>
    <w:lsdException w:name="Hyperlink" w:uiPriority="99"/>
    <w:lsdException w:name="FollowedHyperlink" w:uiPriority="99"/>
    <w:lsdException w:name="Strong" w:locked="1" w:semiHidden="0" w:uiPriority="22" w:unhideWhenUsed="0" w:qFormat="1"/>
    <w:lsdException w:name="Emphasis" w:locked="1" w:semiHidden="0" w:uiPriority="20" w:unhideWhenUsed="0" w:qFormat="1"/>
    <w:lsdException w:name="Document Map" w:locked="1"/>
    <w:lsdException w:name="Plain Text" w:locked="1"/>
    <w:lsdException w:name="E-mail Signature"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annotation subject" w:locked="1"/>
    <w:lsdException w:name="No List" w:uiPriority="99"/>
    <w:lsdException w:name="Balloon Text" w:semiHidden="0" w:uiPriority="99" w:unhideWhenUsed="0"/>
    <w:lsdException w:name="Table Grid" w:locked="1"/>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6703"/>
    <w:rPr>
      <w:lang w:val="es-AR" w:eastAsia="en-US"/>
    </w:rPr>
  </w:style>
  <w:style w:type="paragraph" w:styleId="Ttulo1">
    <w:name w:val="heading 1"/>
    <w:aliases w:val="título 1,1,Section,GFGSA"/>
    <w:basedOn w:val="Normal"/>
    <w:next w:val="Normal"/>
    <w:link w:val="Ttulo1Car"/>
    <w:uiPriority w:val="9"/>
    <w:qFormat/>
    <w:rsid w:val="00CB0E4F"/>
    <w:pPr>
      <w:keepNext/>
      <w:keepLines/>
      <w:spacing w:before="480"/>
      <w:outlineLvl w:val="0"/>
    </w:pPr>
    <w:rPr>
      <w:rFonts w:ascii="Cambria" w:hAnsi="Cambria"/>
      <w:b/>
      <w:color w:val="365F91"/>
      <w:sz w:val="28"/>
      <w:lang w:val="x-none" w:eastAsia="x-none"/>
    </w:rPr>
  </w:style>
  <w:style w:type="paragraph" w:styleId="Ttulo2">
    <w:name w:val="heading 2"/>
    <w:aliases w:val="título 2,h2,H2,Tight Slug,Major,OPA"/>
    <w:basedOn w:val="Normal"/>
    <w:next w:val="Textoindependiente"/>
    <w:link w:val="Ttulo2Car"/>
    <w:uiPriority w:val="9"/>
    <w:qFormat/>
    <w:rsid w:val="002831AB"/>
    <w:pPr>
      <w:keepNext/>
      <w:keepLines/>
      <w:autoSpaceDE w:val="0"/>
      <w:autoSpaceDN w:val="0"/>
      <w:adjustRightInd w:val="0"/>
      <w:spacing w:before="200"/>
      <w:outlineLvl w:val="1"/>
    </w:pPr>
    <w:rPr>
      <w:rFonts w:ascii="Cambria" w:hAnsi="Cambria"/>
      <w:b/>
      <w:color w:val="4F81BD"/>
      <w:sz w:val="26"/>
      <w:lang w:val="en-US" w:eastAsia="es-AR"/>
    </w:rPr>
  </w:style>
  <w:style w:type="paragraph" w:styleId="Ttulo3">
    <w:name w:val="heading 3"/>
    <w:aliases w:val="título 3,h3,H3,3,Note to Director,TITULOS negrita"/>
    <w:basedOn w:val="Normal"/>
    <w:next w:val="Normal"/>
    <w:link w:val="Ttulo3Car"/>
    <w:uiPriority w:val="9"/>
    <w:qFormat/>
    <w:rsid w:val="002831AB"/>
    <w:pPr>
      <w:keepNext/>
      <w:autoSpaceDE w:val="0"/>
      <w:autoSpaceDN w:val="0"/>
      <w:adjustRightInd w:val="0"/>
      <w:spacing w:before="240" w:after="60"/>
      <w:outlineLvl w:val="2"/>
    </w:pPr>
    <w:rPr>
      <w:rFonts w:ascii="Cambria" w:hAnsi="Cambria"/>
      <w:b/>
      <w:sz w:val="26"/>
      <w:lang w:val="en-US" w:eastAsia="es-AR"/>
    </w:rPr>
  </w:style>
  <w:style w:type="paragraph" w:styleId="Ttulo4">
    <w:name w:val="heading 4"/>
    <w:aliases w:val="Título sin negrita"/>
    <w:basedOn w:val="Normal"/>
    <w:next w:val="Normal"/>
    <w:link w:val="Ttulo4Car"/>
    <w:uiPriority w:val="9"/>
    <w:qFormat/>
    <w:rsid w:val="00CB0E4F"/>
    <w:pPr>
      <w:keepNext/>
      <w:keepLines/>
      <w:spacing w:before="200"/>
      <w:outlineLvl w:val="3"/>
    </w:pPr>
    <w:rPr>
      <w:rFonts w:ascii="Cambria" w:hAnsi="Cambria"/>
      <w:b/>
      <w:i/>
      <w:color w:val="4F81BD"/>
      <w:lang w:val="x-none" w:eastAsia="x-none"/>
    </w:rPr>
  </w:style>
  <w:style w:type="paragraph" w:styleId="Ttulo5">
    <w:name w:val="heading 5"/>
    <w:basedOn w:val="Normal"/>
    <w:next w:val="Normal"/>
    <w:link w:val="Ttulo5Car"/>
    <w:uiPriority w:val="9"/>
    <w:qFormat/>
    <w:rsid w:val="00CB0E4F"/>
    <w:pPr>
      <w:keepNext/>
      <w:keepLines/>
      <w:spacing w:before="200"/>
      <w:outlineLvl w:val="4"/>
    </w:pPr>
    <w:rPr>
      <w:rFonts w:ascii="Cambria" w:hAnsi="Cambria"/>
      <w:color w:val="243F60"/>
      <w:lang w:val="x-none" w:eastAsia="x-none"/>
    </w:rPr>
  </w:style>
  <w:style w:type="paragraph" w:styleId="Ttulo6">
    <w:name w:val="heading 6"/>
    <w:aliases w:val="Título 6 Car Car"/>
    <w:basedOn w:val="Normal"/>
    <w:next w:val="Normal"/>
    <w:link w:val="Ttulo6Car"/>
    <w:uiPriority w:val="9"/>
    <w:qFormat/>
    <w:rsid w:val="002831AB"/>
    <w:pPr>
      <w:autoSpaceDE w:val="0"/>
      <w:autoSpaceDN w:val="0"/>
      <w:adjustRightInd w:val="0"/>
      <w:spacing w:before="240" w:after="60"/>
      <w:outlineLvl w:val="5"/>
    </w:pPr>
    <w:rPr>
      <w:b/>
      <w:sz w:val="22"/>
      <w:lang w:val="en-US" w:eastAsia="es-AR"/>
    </w:rPr>
  </w:style>
  <w:style w:type="paragraph" w:styleId="Ttulo7">
    <w:name w:val="heading 7"/>
    <w:basedOn w:val="Normal"/>
    <w:next w:val="Normal"/>
    <w:link w:val="Ttulo7Car"/>
    <w:uiPriority w:val="9"/>
    <w:qFormat/>
    <w:rsid w:val="002831AB"/>
    <w:pPr>
      <w:autoSpaceDE w:val="0"/>
      <w:autoSpaceDN w:val="0"/>
      <w:adjustRightInd w:val="0"/>
      <w:spacing w:before="240" w:after="60"/>
      <w:outlineLvl w:val="6"/>
    </w:pPr>
    <w:rPr>
      <w:sz w:val="24"/>
      <w:lang w:val="en-US" w:eastAsia="es-AR"/>
    </w:rPr>
  </w:style>
  <w:style w:type="paragraph" w:styleId="Ttulo8">
    <w:name w:val="heading 8"/>
    <w:basedOn w:val="Normal"/>
    <w:next w:val="Normal"/>
    <w:link w:val="Ttulo8Car"/>
    <w:uiPriority w:val="9"/>
    <w:qFormat/>
    <w:rsid w:val="002831AB"/>
    <w:pPr>
      <w:autoSpaceDE w:val="0"/>
      <w:autoSpaceDN w:val="0"/>
      <w:adjustRightInd w:val="0"/>
      <w:spacing w:before="240" w:after="60"/>
      <w:outlineLvl w:val="7"/>
    </w:pPr>
    <w:rPr>
      <w:i/>
      <w:sz w:val="24"/>
      <w:lang w:val="en-US" w:eastAsia="es-AR"/>
    </w:rPr>
  </w:style>
  <w:style w:type="paragraph" w:styleId="Ttulo9">
    <w:name w:val="heading 9"/>
    <w:basedOn w:val="Normal"/>
    <w:next w:val="Normal"/>
    <w:link w:val="Ttulo9Car"/>
    <w:uiPriority w:val="9"/>
    <w:qFormat/>
    <w:rsid w:val="002831AB"/>
    <w:pPr>
      <w:autoSpaceDE w:val="0"/>
      <w:autoSpaceDN w:val="0"/>
      <w:adjustRightInd w:val="0"/>
      <w:spacing w:before="240" w:after="60"/>
      <w:outlineLvl w:val="8"/>
    </w:pPr>
    <w:rPr>
      <w:rFonts w:ascii="Cambria" w:hAnsi="Cambria"/>
      <w:sz w:val="22"/>
      <w:lang w:val="en-US" w:eastAsia="es-A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ZBV1Centro">
    <w:name w:val="ZBV 1 Centro"/>
    <w:basedOn w:val="Normal"/>
    <w:link w:val="ZBV1CentroCar"/>
    <w:qFormat/>
    <w:rsid w:val="00CB0E4F"/>
    <w:pPr>
      <w:keepNext/>
      <w:autoSpaceDE w:val="0"/>
      <w:autoSpaceDN w:val="0"/>
      <w:adjustRightInd w:val="0"/>
      <w:spacing w:before="240" w:after="240"/>
      <w:jc w:val="center"/>
      <w:outlineLvl w:val="0"/>
    </w:pPr>
    <w:rPr>
      <w:rFonts w:ascii="Times New Roman" w:hAnsi="Times New Roman"/>
      <w:b/>
      <w:lang w:val="en-US" w:eastAsia="x-none"/>
    </w:rPr>
  </w:style>
  <w:style w:type="character" w:customStyle="1" w:styleId="ZBV1CentroCar">
    <w:name w:val="ZBV 1 Centro Car"/>
    <w:link w:val="ZBV1Centro"/>
    <w:locked/>
    <w:rsid w:val="00CB0E4F"/>
    <w:rPr>
      <w:rFonts w:ascii="Times New Roman" w:eastAsia="Times New Roman" w:hAnsi="Times New Roman"/>
      <w:b/>
      <w:lang w:val="en-US" w:eastAsia="x-none"/>
    </w:rPr>
  </w:style>
  <w:style w:type="paragraph" w:customStyle="1" w:styleId="ZBV2Izquierda">
    <w:name w:val="ZBV 2 Izquierda"/>
    <w:basedOn w:val="ZBV1Centro"/>
    <w:link w:val="ZBV2IzquierdaCar"/>
    <w:qFormat/>
    <w:rsid w:val="00CB0E4F"/>
  </w:style>
  <w:style w:type="character" w:customStyle="1" w:styleId="ZBV2IzquierdaCar">
    <w:name w:val="ZBV 2 Izquierda Car"/>
    <w:link w:val="ZBV2Izquierda"/>
    <w:locked/>
    <w:rsid w:val="00CB0E4F"/>
    <w:rPr>
      <w:rFonts w:ascii="Times New Roman" w:eastAsia="Times New Roman" w:hAnsi="Times New Roman"/>
      <w:b/>
      <w:lang w:val="en-US" w:eastAsia="x-none"/>
    </w:rPr>
  </w:style>
  <w:style w:type="paragraph" w:customStyle="1" w:styleId="ZBV3Cursiva">
    <w:name w:val="ZBV 3 Cursiva"/>
    <w:basedOn w:val="ZBV1Centro"/>
    <w:link w:val="ZBV3CursivaCar"/>
    <w:qFormat/>
    <w:rsid w:val="00CB0E4F"/>
    <w:pPr>
      <w:jc w:val="left"/>
      <w:outlineLvl w:val="2"/>
    </w:pPr>
    <w:rPr>
      <w:i/>
    </w:rPr>
  </w:style>
  <w:style w:type="character" w:customStyle="1" w:styleId="ZBV3CursivaCar">
    <w:name w:val="ZBV 3 Cursiva Car"/>
    <w:link w:val="ZBV3Cursiva"/>
    <w:locked/>
    <w:rsid w:val="00CB0E4F"/>
    <w:rPr>
      <w:rFonts w:ascii="Times New Roman" w:eastAsia="Times New Roman" w:hAnsi="Times New Roman"/>
      <w:b/>
      <w:i/>
      <w:lang w:val="en-US" w:eastAsia="x-none"/>
    </w:rPr>
  </w:style>
  <w:style w:type="paragraph" w:customStyle="1" w:styleId="ZBV4Cursiva">
    <w:name w:val="ZBV 4 Cursiva"/>
    <w:basedOn w:val="Ttulo4"/>
    <w:link w:val="ZBV4CursivaCar"/>
    <w:qFormat/>
    <w:rsid w:val="00CB0E4F"/>
    <w:pPr>
      <w:keepLines w:val="0"/>
      <w:spacing w:before="240" w:after="60" w:line="276" w:lineRule="auto"/>
    </w:pPr>
    <w:rPr>
      <w:rFonts w:ascii="Times New Roman" w:hAnsi="Times New Roman"/>
      <w:sz w:val="28"/>
      <w:lang w:eastAsia="es-AR"/>
    </w:rPr>
  </w:style>
  <w:style w:type="character" w:customStyle="1" w:styleId="ZBV4CursivaCar">
    <w:name w:val="ZBV 4 Cursiva Car"/>
    <w:link w:val="ZBV4Cursiva"/>
    <w:locked/>
    <w:rsid w:val="00CB0E4F"/>
    <w:rPr>
      <w:rFonts w:ascii="Times New Roman" w:hAnsi="Times New Roman"/>
      <w:b/>
      <w:i/>
      <w:color w:val="4F81BD"/>
      <w:sz w:val="28"/>
      <w:lang w:val="x-none" w:eastAsia="es-AR"/>
    </w:rPr>
  </w:style>
  <w:style w:type="character" w:customStyle="1" w:styleId="Ttulo4Car">
    <w:name w:val="Título 4 Car"/>
    <w:aliases w:val="Título sin negrita Car"/>
    <w:link w:val="Ttulo4"/>
    <w:uiPriority w:val="9"/>
    <w:locked/>
    <w:rsid w:val="00CB0E4F"/>
    <w:rPr>
      <w:rFonts w:ascii="Cambria" w:hAnsi="Cambria"/>
      <w:b/>
      <w:i/>
      <w:color w:val="4F81BD"/>
    </w:rPr>
  </w:style>
  <w:style w:type="paragraph" w:customStyle="1" w:styleId="ZBV5Normal">
    <w:name w:val="ZBV 5 Normal"/>
    <w:basedOn w:val="Ttulo5"/>
    <w:link w:val="ZBV5NormalCar"/>
    <w:qFormat/>
    <w:rsid w:val="00CB0E4F"/>
    <w:pPr>
      <w:spacing w:line="276" w:lineRule="auto"/>
    </w:pPr>
    <w:rPr>
      <w:rFonts w:ascii="Times New Roman" w:hAnsi="Times New Roman"/>
      <w:sz w:val="22"/>
      <w:lang w:eastAsia="es-AR"/>
    </w:rPr>
  </w:style>
  <w:style w:type="character" w:customStyle="1" w:styleId="ZBV5NormalCar">
    <w:name w:val="ZBV 5 Normal Car"/>
    <w:link w:val="ZBV5Normal"/>
    <w:locked/>
    <w:rsid w:val="00CB0E4F"/>
    <w:rPr>
      <w:rFonts w:ascii="Times New Roman" w:hAnsi="Times New Roman"/>
      <w:color w:val="243F60"/>
      <w:sz w:val="22"/>
      <w:lang w:val="x-none" w:eastAsia="es-AR"/>
    </w:rPr>
  </w:style>
  <w:style w:type="character" w:customStyle="1" w:styleId="Ttulo5Car">
    <w:name w:val="Título 5 Car"/>
    <w:link w:val="Ttulo5"/>
    <w:uiPriority w:val="9"/>
    <w:locked/>
    <w:rsid w:val="00CB0E4F"/>
    <w:rPr>
      <w:rFonts w:ascii="Cambria" w:hAnsi="Cambria"/>
      <w:color w:val="243F60"/>
    </w:rPr>
  </w:style>
  <w:style w:type="paragraph" w:customStyle="1" w:styleId="ZBVTexto">
    <w:name w:val="ZBV Texto"/>
    <w:basedOn w:val="Normal"/>
    <w:link w:val="ZBVTextoCar"/>
    <w:qFormat/>
    <w:rsid w:val="00CB0E4F"/>
    <w:pPr>
      <w:autoSpaceDE w:val="0"/>
      <w:autoSpaceDN w:val="0"/>
      <w:adjustRightInd w:val="0"/>
      <w:spacing w:before="120" w:after="120"/>
      <w:jc w:val="both"/>
    </w:pPr>
    <w:rPr>
      <w:rFonts w:ascii="Times New Roman" w:hAnsi="Times New Roman"/>
      <w:lang w:val="en-US" w:eastAsia="x-none"/>
    </w:rPr>
  </w:style>
  <w:style w:type="character" w:customStyle="1" w:styleId="ZBVTextoCar">
    <w:name w:val="ZBV Texto Car"/>
    <w:link w:val="ZBVTexto"/>
    <w:locked/>
    <w:rsid w:val="00CB0E4F"/>
    <w:rPr>
      <w:rFonts w:ascii="Times New Roman" w:eastAsia="Times New Roman" w:hAnsi="Times New Roman"/>
      <w:lang w:val="en-US" w:eastAsia="x-none"/>
    </w:rPr>
  </w:style>
  <w:style w:type="paragraph" w:customStyle="1" w:styleId="ZBVBullet1">
    <w:name w:val="ZBV Bullet 1"/>
    <w:basedOn w:val="Normal"/>
    <w:link w:val="ZBVBullet1Car"/>
    <w:qFormat/>
    <w:rsid w:val="00CB0E4F"/>
    <w:pPr>
      <w:numPr>
        <w:numId w:val="1"/>
      </w:numPr>
      <w:tabs>
        <w:tab w:val="num" w:pos="1418"/>
      </w:tabs>
      <w:autoSpaceDE w:val="0"/>
      <w:autoSpaceDN w:val="0"/>
      <w:adjustRightInd w:val="0"/>
      <w:spacing w:before="120" w:after="120"/>
      <w:ind w:left="1418" w:hanging="425"/>
      <w:jc w:val="both"/>
    </w:pPr>
    <w:rPr>
      <w:lang w:val="en-US" w:eastAsia="es-ES"/>
    </w:rPr>
  </w:style>
  <w:style w:type="character" w:customStyle="1" w:styleId="ZBVBullet1Car">
    <w:name w:val="ZBV Bullet 1 Car"/>
    <w:link w:val="ZBVBullet1"/>
    <w:locked/>
    <w:rsid w:val="00CB0E4F"/>
    <w:rPr>
      <w:lang w:val="en-US"/>
    </w:rPr>
  </w:style>
  <w:style w:type="paragraph" w:customStyle="1" w:styleId="ZBVBullet2">
    <w:name w:val="ZBV Bullet 2"/>
    <w:basedOn w:val="ZBVBullet1"/>
    <w:link w:val="ZBVBullet2Car"/>
    <w:qFormat/>
    <w:rsid w:val="00CB0E4F"/>
    <w:pPr>
      <w:numPr>
        <w:numId w:val="2"/>
      </w:numPr>
      <w:tabs>
        <w:tab w:val="clear" w:pos="3141"/>
        <w:tab w:val="num" w:pos="1418"/>
      </w:tabs>
      <w:ind w:left="1418" w:hanging="425"/>
    </w:pPr>
  </w:style>
  <w:style w:type="character" w:customStyle="1" w:styleId="ZBVBullet2Car">
    <w:name w:val="ZBV Bullet 2 Car"/>
    <w:link w:val="ZBVBullet2"/>
    <w:locked/>
    <w:rsid w:val="00CB0E4F"/>
    <w:rPr>
      <w:lang w:val="en-US"/>
    </w:rPr>
  </w:style>
  <w:style w:type="paragraph" w:customStyle="1" w:styleId="ZBVBullet3">
    <w:name w:val="ZBV Bullet 3"/>
    <w:basedOn w:val="ZBVBullet2"/>
    <w:link w:val="ZBVBullet3Car"/>
    <w:qFormat/>
    <w:rsid w:val="00CB0E4F"/>
    <w:pPr>
      <w:numPr>
        <w:numId w:val="0"/>
      </w:numPr>
      <w:tabs>
        <w:tab w:val="num" w:pos="1418"/>
      </w:tabs>
      <w:ind w:left="1418" w:hanging="425"/>
    </w:pPr>
    <w:rPr>
      <w:rFonts w:ascii="Times New Roman" w:hAnsi="Times New Roman"/>
      <w:lang w:eastAsia="x-none"/>
    </w:rPr>
  </w:style>
  <w:style w:type="character" w:customStyle="1" w:styleId="ZBVBullet3Car">
    <w:name w:val="ZBV Bullet 3 Car"/>
    <w:link w:val="ZBVBullet3"/>
    <w:locked/>
    <w:rsid w:val="00CB0E4F"/>
    <w:rPr>
      <w:rFonts w:ascii="Times New Roman" w:eastAsia="Times New Roman" w:hAnsi="Times New Roman"/>
      <w:lang w:val="en-US" w:eastAsia="x-none"/>
    </w:rPr>
  </w:style>
  <w:style w:type="character" w:customStyle="1" w:styleId="Ttulo1Car">
    <w:name w:val="Título 1 Car"/>
    <w:aliases w:val="título 1 Car,1 Car,Section Car,GFGSA Car"/>
    <w:link w:val="Ttulo1"/>
    <w:uiPriority w:val="9"/>
    <w:locked/>
    <w:rsid w:val="00CB0E4F"/>
    <w:rPr>
      <w:rFonts w:ascii="Cambria" w:hAnsi="Cambria"/>
      <w:b/>
      <w:color w:val="365F91"/>
      <w:sz w:val="28"/>
    </w:rPr>
  </w:style>
  <w:style w:type="paragraph" w:customStyle="1" w:styleId="TtulodeTDC1">
    <w:name w:val="Título de TDC1"/>
    <w:basedOn w:val="Ttulo1"/>
    <w:next w:val="Normal"/>
    <w:semiHidden/>
    <w:rsid w:val="00CB0E4F"/>
    <w:pPr>
      <w:spacing w:line="276" w:lineRule="auto"/>
      <w:outlineLvl w:val="9"/>
    </w:pPr>
    <w:rPr>
      <w:lang w:eastAsia="es-AR"/>
    </w:rPr>
  </w:style>
  <w:style w:type="character" w:customStyle="1" w:styleId="Ttulo2Car">
    <w:name w:val="Título 2 Car"/>
    <w:aliases w:val="título 2 Car,h2 Car,H2 Car,Tight Slug Car,Major Car,OPA Car"/>
    <w:link w:val="Ttulo2"/>
    <w:uiPriority w:val="9"/>
    <w:locked/>
    <w:rsid w:val="002831AB"/>
    <w:rPr>
      <w:rFonts w:ascii="Cambria" w:eastAsia="Times New Roman" w:hAnsi="Cambria"/>
      <w:b/>
      <w:color w:val="4F81BD"/>
      <w:sz w:val="26"/>
      <w:lang w:val="en-US" w:eastAsia="es-AR"/>
    </w:rPr>
  </w:style>
  <w:style w:type="character" w:customStyle="1" w:styleId="Ttulo3Car">
    <w:name w:val="Título 3 Car"/>
    <w:aliases w:val="título 3 Car,h3 Car,H3 Car,3 Car,Note to Director Car,TITULOS negrita Car"/>
    <w:link w:val="Ttulo3"/>
    <w:uiPriority w:val="9"/>
    <w:locked/>
    <w:rsid w:val="002831AB"/>
    <w:rPr>
      <w:rFonts w:ascii="Cambria" w:hAnsi="Cambria"/>
      <w:b/>
      <w:sz w:val="26"/>
      <w:lang w:val="en-US" w:eastAsia="es-AR"/>
    </w:rPr>
  </w:style>
  <w:style w:type="character" w:customStyle="1" w:styleId="Ttulo6Car">
    <w:name w:val="Título 6 Car"/>
    <w:aliases w:val="Título 6 Car Car Car"/>
    <w:link w:val="Ttulo6"/>
    <w:uiPriority w:val="9"/>
    <w:locked/>
    <w:rsid w:val="002831AB"/>
    <w:rPr>
      <w:b/>
      <w:sz w:val="22"/>
      <w:lang w:val="en-US" w:eastAsia="es-AR"/>
    </w:rPr>
  </w:style>
  <w:style w:type="character" w:customStyle="1" w:styleId="Ttulo7Car">
    <w:name w:val="Título 7 Car"/>
    <w:link w:val="Ttulo7"/>
    <w:uiPriority w:val="9"/>
    <w:locked/>
    <w:rsid w:val="002831AB"/>
    <w:rPr>
      <w:sz w:val="24"/>
      <w:lang w:val="en-US" w:eastAsia="es-AR"/>
    </w:rPr>
  </w:style>
  <w:style w:type="character" w:customStyle="1" w:styleId="Ttulo8Car">
    <w:name w:val="Título 8 Car"/>
    <w:link w:val="Ttulo8"/>
    <w:uiPriority w:val="9"/>
    <w:locked/>
    <w:rsid w:val="002831AB"/>
    <w:rPr>
      <w:i/>
      <w:sz w:val="24"/>
      <w:lang w:val="en-US" w:eastAsia="es-AR"/>
    </w:rPr>
  </w:style>
  <w:style w:type="character" w:customStyle="1" w:styleId="Ttulo9Car">
    <w:name w:val="Título 9 Car"/>
    <w:link w:val="Ttulo9"/>
    <w:uiPriority w:val="9"/>
    <w:locked/>
    <w:rsid w:val="002831AB"/>
    <w:rPr>
      <w:rFonts w:ascii="Cambria" w:hAnsi="Cambria"/>
      <w:sz w:val="22"/>
      <w:lang w:val="en-US" w:eastAsia="es-AR"/>
    </w:rPr>
  </w:style>
  <w:style w:type="paragraph" w:customStyle="1" w:styleId="BodyText2Sgl">
    <w:name w:val="Body Text 2 Sgl"/>
    <w:aliases w:val="bt2s,2btx"/>
    <w:basedOn w:val="Normal"/>
    <w:link w:val="BodyText2SglCar"/>
    <w:qFormat/>
    <w:rsid w:val="002831AB"/>
    <w:pPr>
      <w:autoSpaceDE w:val="0"/>
      <w:autoSpaceDN w:val="0"/>
      <w:adjustRightInd w:val="0"/>
      <w:spacing w:after="240"/>
      <w:ind w:firstLine="720"/>
    </w:pPr>
    <w:rPr>
      <w:rFonts w:ascii="Times New Roman" w:hAnsi="Times New Roman"/>
      <w:sz w:val="24"/>
      <w:lang w:val="en-US" w:eastAsia="x-none"/>
    </w:rPr>
  </w:style>
  <w:style w:type="character" w:customStyle="1" w:styleId="BodyText2SglCar">
    <w:name w:val="Body Text 2 Sgl Car"/>
    <w:aliases w:val="bt2s Car,2btx Car"/>
    <w:link w:val="BodyText2Sgl"/>
    <w:locked/>
    <w:rsid w:val="002831AB"/>
    <w:rPr>
      <w:rFonts w:ascii="Times New Roman" w:eastAsia="Times New Roman" w:hAnsi="Times New Roman"/>
      <w:sz w:val="24"/>
      <w:lang w:val="en-US" w:eastAsia="x-none"/>
    </w:rPr>
  </w:style>
  <w:style w:type="paragraph" w:customStyle="1" w:styleId="CenteredB">
    <w:name w:val="Centered B"/>
    <w:basedOn w:val="Normal"/>
    <w:qFormat/>
    <w:rsid w:val="002831AB"/>
    <w:pPr>
      <w:autoSpaceDE w:val="0"/>
      <w:autoSpaceDN w:val="0"/>
      <w:adjustRightInd w:val="0"/>
      <w:spacing w:after="240"/>
      <w:jc w:val="center"/>
    </w:pPr>
    <w:rPr>
      <w:rFonts w:ascii="Times New Roman" w:hAnsi="Times New Roman"/>
      <w:b/>
      <w:lang w:val="en-US" w:eastAsia="es-AR"/>
    </w:rPr>
  </w:style>
  <w:style w:type="paragraph" w:customStyle="1" w:styleId="CenteredText">
    <w:name w:val="Centered Text"/>
    <w:basedOn w:val="Normal"/>
    <w:qFormat/>
    <w:rsid w:val="002831AB"/>
    <w:pPr>
      <w:autoSpaceDE w:val="0"/>
      <w:autoSpaceDN w:val="0"/>
      <w:adjustRightInd w:val="0"/>
      <w:spacing w:after="240"/>
      <w:jc w:val="center"/>
    </w:pPr>
    <w:rPr>
      <w:rFonts w:ascii="Times New Roman" w:hAnsi="Times New Roman"/>
      <w:lang w:val="en-US" w:eastAsia="es-AR"/>
    </w:rPr>
  </w:style>
  <w:style w:type="paragraph" w:customStyle="1" w:styleId="STBBullet1">
    <w:name w:val="STB Bullet 1"/>
    <w:basedOn w:val="Normal"/>
    <w:qFormat/>
    <w:rsid w:val="002831AB"/>
    <w:pPr>
      <w:numPr>
        <w:numId w:val="3"/>
      </w:numPr>
      <w:tabs>
        <w:tab w:val="left" w:pos="1080"/>
      </w:tabs>
      <w:autoSpaceDE w:val="0"/>
      <w:autoSpaceDN w:val="0"/>
      <w:adjustRightInd w:val="0"/>
      <w:spacing w:after="240"/>
    </w:pPr>
    <w:rPr>
      <w:rFonts w:ascii="Times New Roman" w:hAnsi="Times New Roman"/>
      <w:lang w:val="en-US" w:eastAsia="es-AR"/>
    </w:rPr>
  </w:style>
  <w:style w:type="paragraph" w:customStyle="1" w:styleId="TitleB">
    <w:name w:val="Title B"/>
    <w:aliases w:val="tb,Title B1"/>
    <w:basedOn w:val="Normal"/>
    <w:next w:val="Textoindependiente"/>
    <w:qFormat/>
    <w:rsid w:val="002831AB"/>
    <w:pPr>
      <w:keepNext/>
      <w:autoSpaceDE w:val="0"/>
      <w:autoSpaceDN w:val="0"/>
      <w:adjustRightInd w:val="0"/>
      <w:spacing w:after="240"/>
    </w:pPr>
    <w:rPr>
      <w:rFonts w:ascii="Times New Roman" w:hAnsi="Times New Roman"/>
      <w:b/>
      <w:lang w:val="en-US" w:eastAsia="es-AR"/>
    </w:rPr>
  </w:style>
  <w:style w:type="paragraph" w:styleId="Textoindependiente">
    <w:name w:val="Body Text"/>
    <w:aliases w:val="b,body text,ts,Body Text cont,Ctrl+1,Body Text Proposal2,a,Body Text CIM,bt wide,BT,5,.BT,bd,Bodytext,S&amp;S-First Line-1&quot;,Corpo de texto2,Borrador,Body Text1,bt,Btext,Texto independienteR,body text1,bt1,Texto independienteR1"/>
    <w:basedOn w:val="Normal"/>
    <w:link w:val="TextoindependienteCar"/>
    <w:qFormat/>
    <w:rsid w:val="00B86C83"/>
    <w:pPr>
      <w:autoSpaceDE w:val="0"/>
      <w:autoSpaceDN w:val="0"/>
      <w:adjustRightInd w:val="0"/>
      <w:spacing w:after="120"/>
    </w:pPr>
    <w:rPr>
      <w:rFonts w:ascii="Times New Roman" w:hAnsi="Times New Roman"/>
      <w:lang w:val="en-US" w:eastAsia="es-AR"/>
    </w:rPr>
  </w:style>
  <w:style w:type="character" w:customStyle="1" w:styleId="TextoindependienteCar">
    <w:name w:val="Texto independiente Car"/>
    <w:aliases w:val="b Car,body text Car,ts Car,Body Text cont Car,Ctrl+1 Car,Body Text Proposal2 Car,a Car,Body Text CIM Car,bt wide Car,BT Car,5 Car,.BT Car,bd Car,Bodytext Car,S&amp;S-First Line-1&quot; Car,Corpo de texto2 Car,Borrador Car,Body Text1 Car"/>
    <w:link w:val="Textoindependiente"/>
    <w:locked/>
    <w:rsid w:val="002831AB"/>
    <w:rPr>
      <w:rFonts w:ascii="Times New Roman" w:hAnsi="Times New Roman"/>
      <w:lang w:val="en-US" w:eastAsia="es-AR"/>
    </w:rPr>
  </w:style>
  <w:style w:type="paragraph" w:customStyle="1" w:styleId="TitleBC">
    <w:name w:val="Title BC"/>
    <w:basedOn w:val="Normal"/>
    <w:qFormat/>
    <w:rsid w:val="002831AB"/>
    <w:pPr>
      <w:autoSpaceDE w:val="0"/>
      <w:autoSpaceDN w:val="0"/>
      <w:adjustRightInd w:val="0"/>
      <w:spacing w:after="240"/>
      <w:jc w:val="center"/>
      <w:outlineLvl w:val="0"/>
    </w:pPr>
    <w:rPr>
      <w:rFonts w:ascii="Times New Roman Bold" w:hAnsi="Times New Roman Bold"/>
      <w:b/>
      <w:caps/>
      <w:lang w:val="en-US" w:eastAsia="es-AR"/>
    </w:rPr>
  </w:style>
  <w:style w:type="paragraph" w:customStyle="1" w:styleId="Bodytext9pt">
    <w:name w:val="Body text 9 pt"/>
    <w:basedOn w:val="Normal"/>
    <w:qFormat/>
    <w:rsid w:val="002831AB"/>
    <w:pPr>
      <w:autoSpaceDE w:val="0"/>
      <w:autoSpaceDN w:val="0"/>
      <w:adjustRightInd w:val="0"/>
      <w:spacing w:after="240"/>
      <w:ind w:firstLine="720"/>
    </w:pPr>
    <w:rPr>
      <w:rFonts w:ascii="Times New Roman" w:hAnsi="Times New Roman"/>
      <w:sz w:val="18"/>
      <w:lang w:val="en-US" w:eastAsia="es-AR"/>
    </w:rPr>
  </w:style>
  <w:style w:type="paragraph" w:customStyle="1" w:styleId="Bodytextbold">
    <w:name w:val="Body text bold"/>
    <w:basedOn w:val="Normal"/>
    <w:qFormat/>
    <w:rsid w:val="002831AB"/>
    <w:pPr>
      <w:autoSpaceDE w:val="0"/>
      <w:autoSpaceDN w:val="0"/>
      <w:adjustRightInd w:val="0"/>
      <w:spacing w:after="240"/>
      <w:ind w:firstLine="720"/>
    </w:pPr>
    <w:rPr>
      <w:rFonts w:ascii="Times New Roman" w:hAnsi="Times New Roman"/>
      <w:b/>
      <w:lang w:val="en-US" w:eastAsia="es-AR"/>
    </w:rPr>
  </w:style>
  <w:style w:type="paragraph" w:customStyle="1" w:styleId="Bodytextitalic">
    <w:name w:val="Body text italic"/>
    <w:basedOn w:val="Normal"/>
    <w:qFormat/>
    <w:rsid w:val="002831AB"/>
    <w:pPr>
      <w:autoSpaceDE w:val="0"/>
      <w:autoSpaceDN w:val="0"/>
      <w:adjustRightInd w:val="0"/>
      <w:spacing w:after="240"/>
      <w:ind w:firstLine="720"/>
    </w:pPr>
    <w:rPr>
      <w:rFonts w:ascii="Times New Roman" w:hAnsi="Times New Roman"/>
      <w:i/>
      <w:lang w:val="en-US" w:eastAsia="es-AR"/>
    </w:rPr>
  </w:style>
  <w:style w:type="paragraph" w:customStyle="1" w:styleId="Titlebolditalic5">
    <w:name w:val="Title bold italic .5"/>
    <w:basedOn w:val="Normal"/>
    <w:qFormat/>
    <w:rsid w:val="002831AB"/>
    <w:pPr>
      <w:keepNext/>
      <w:autoSpaceDE w:val="0"/>
      <w:autoSpaceDN w:val="0"/>
      <w:adjustRightInd w:val="0"/>
      <w:spacing w:after="240"/>
      <w:ind w:left="720"/>
    </w:pPr>
    <w:rPr>
      <w:rFonts w:ascii="Times New Roman" w:hAnsi="Times New Roman"/>
      <w:b/>
      <w:i/>
      <w:lang w:val="en-US" w:eastAsia="es-AR"/>
    </w:rPr>
  </w:style>
  <w:style w:type="paragraph" w:styleId="Encabezado">
    <w:name w:val="header"/>
    <w:aliases w:val="encabezado,Guideline"/>
    <w:basedOn w:val="Normal"/>
    <w:link w:val="EncabezadoCar"/>
    <w:rsid w:val="002831AB"/>
    <w:pPr>
      <w:tabs>
        <w:tab w:val="center" w:pos="4680"/>
        <w:tab w:val="right" w:pos="9360"/>
      </w:tabs>
      <w:autoSpaceDE w:val="0"/>
      <w:autoSpaceDN w:val="0"/>
      <w:adjustRightInd w:val="0"/>
    </w:pPr>
    <w:rPr>
      <w:rFonts w:ascii="Times New Roman" w:hAnsi="Times New Roman"/>
      <w:lang w:val="en-US" w:eastAsia="x-none"/>
    </w:rPr>
  </w:style>
  <w:style w:type="character" w:customStyle="1" w:styleId="EncabezadoCar">
    <w:name w:val="Encabezado Car"/>
    <w:aliases w:val="encabezado Car,Guideline Car"/>
    <w:link w:val="Encabezado"/>
    <w:locked/>
    <w:rsid w:val="002831AB"/>
    <w:rPr>
      <w:rFonts w:ascii="Times New Roman" w:eastAsia="Times New Roman" w:hAnsi="Times New Roman"/>
      <w:lang w:val="en-US" w:eastAsia="x-none"/>
    </w:rPr>
  </w:style>
  <w:style w:type="paragraph" w:styleId="Piedepgina">
    <w:name w:val="footer"/>
    <w:basedOn w:val="Normal"/>
    <w:link w:val="PiedepginaCar"/>
    <w:uiPriority w:val="99"/>
    <w:rsid w:val="002831AB"/>
    <w:pPr>
      <w:tabs>
        <w:tab w:val="center" w:pos="4680"/>
        <w:tab w:val="right" w:pos="9360"/>
      </w:tabs>
      <w:autoSpaceDE w:val="0"/>
      <w:autoSpaceDN w:val="0"/>
      <w:adjustRightInd w:val="0"/>
    </w:pPr>
    <w:rPr>
      <w:rFonts w:ascii="Times New Roman" w:hAnsi="Times New Roman"/>
      <w:lang w:val="en-US" w:eastAsia="x-none"/>
    </w:rPr>
  </w:style>
  <w:style w:type="character" w:customStyle="1" w:styleId="PiedepginaCar">
    <w:name w:val="Pie de página Car"/>
    <w:link w:val="Piedepgina"/>
    <w:uiPriority w:val="99"/>
    <w:locked/>
    <w:rsid w:val="002831AB"/>
    <w:rPr>
      <w:rFonts w:ascii="Times New Roman" w:eastAsia="Times New Roman" w:hAnsi="Times New Roman"/>
      <w:lang w:val="en-US" w:eastAsia="x-none"/>
    </w:rPr>
  </w:style>
  <w:style w:type="character" w:customStyle="1" w:styleId="DocID">
    <w:name w:val="DocID"/>
    <w:rsid w:val="002831AB"/>
    <w:rPr>
      <w:noProof/>
      <w:spacing w:val="0"/>
      <w:sz w:val="14"/>
    </w:rPr>
  </w:style>
  <w:style w:type="character" w:styleId="Hipervnculo">
    <w:name w:val="Hyperlink"/>
    <w:uiPriority w:val="99"/>
    <w:rsid w:val="002831AB"/>
    <w:rPr>
      <w:color w:val="0000FF"/>
      <w:spacing w:val="0"/>
      <w:u w:val="single"/>
    </w:rPr>
  </w:style>
  <w:style w:type="character" w:styleId="Nmerodepgina">
    <w:name w:val="page number"/>
    <w:basedOn w:val="Fuentedeprrafopredeter"/>
    <w:rsid w:val="002831AB"/>
  </w:style>
  <w:style w:type="paragraph" w:customStyle="1" w:styleId="BodyTextIndent1">
    <w:name w:val="Body Text Indent1"/>
    <w:basedOn w:val="Normal"/>
    <w:uiPriority w:val="99"/>
    <w:rsid w:val="002831AB"/>
    <w:pPr>
      <w:spacing w:after="100" w:afterAutospacing="1"/>
      <w:ind w:firstLine="709"/>
      <w:jc w:val="both"/>
    </w:pPr>
    <w:rPr>
      <w:rFonts w:ascii="Times New Roman" w:hAnsi="Times New Roman"/>
      <w:sz w:val="16"/>
      <w:szCs w:val="16"/>
      <w:lang w:val="es-ES_tradnl" w:eastAsia="es-ES"/>
    </w:rPr>
  </w:style>
  <w:style w:type="paragraph" w:customStyle="1" w:styleId="BlockTextSgl">
    <w:name w:val="Block Text Sgl"/>
    <w:basedOn w:val="Normal"/>
    <w:qFormat/>
    <w:rsid w:val="002831AB"/>
    <w:pPr>
      <w:autoSpaceDE w:val="0"/>
      <w:autoSpaceDN w:val="0"/>
      <w:adjustRightInd w:val="0"/>
      <w:spacing w:after="240"/>
    </w:pPr>
    <w:rPr>
      <w:rFonts w:ascii="Times New Roman" w:hAnsi="Times New Roman"/>
      <w:lang w:val="en-US" w:eastAsia="es-AR"/>
    </w:rPr>
  </w:style>
  <w:style w:type="paragraph" w:customStyle="1" w:styleId="BodyText2Sgl10">
    <w:name w:val="Body Text 2 Sgl 10"/>
    <w:basedOn w:val="Normal"/>
    <w:rsid w:val="002831AB"/>
    <w:pPr>
      <w:spacing w:after="240"/>
      <w:ind w:firstLine="720"/>
    </w:pPr>
    <w:rPr>
      <w:rFonts w:ascii="Times New Roman" w:hAnsi="Times New Roman"/>
      <w:color w:val="000000"/>
      <w:lang w:val="en-US" w:eastAsia="es-ES"/>
    </w:rPr>
  </w:style>
  <w:style w:type="paragraph" w:customStyle="1" w:styleId="BHTexto">
    <w:name w:val="BH Texto"/>
    <w:basedOn w:val="Normal"/>
    <w:link w:val="BHTextoCar"/>
    <w:qFormat/>
    <w:rsid w:val="00A40431"/>
    <w:pPr>
      <w:autoSpaceDE w:val="0"/>
      <w:autoSpaceDN w:val="0"/>
      <w:adjustRightInd w:val="0"/>
      <w:spacing w:before="120" w:after="120"/>
      <w:jc w:val="both"/>
    </w:pPr>
    <w:rPr>
      <w:rFonts w:ascii="Times New Roman" w:hAnsi="Times New Roman"/>
      <w:lang w:val="x-none" w:eastAsia="x-none"/>
    </w:rPr>
  </w:style>
  <w:style w:type="paragraph" w:customStyle="1" w:styleId="BHVietaTxt">
    <w:name w:val="BH Viñeta Txt"/>
    <w:basedOn w:val="BHTexto"/>
    <w:link w:val="BHVietaTxtCar"/>
    <w:qFormat/>
    <w:rsid w:val="00425168"/>
    <w:pPr>
      <w:numPr>
        <w:numId w:val="46"/>
      </w:numPr>
      <w:tabs>
        <w:tab w:val="left" w:pos="1418"/>
      </w:tabs>
    </w:pPr>
    <w:rPr>
      <w:rFonts w:ascii="Calibri" w:hAnsi="Calibri"/>
      <w:lang w:val="en-US" w:eastAsia="es-ES"/>
    </w:rPr>
  </w:style>
  <w:style w:type="character" w:customStyle="1" w:styleId="BHTextoCar">
    <w:name w:val="BH Texto Car"/>
    <w:link w:val="BHTexto"/>
    <w:locked/>
    <w:rsid w:val="00A40431"/>
    <w:rPr>
      <w:rFonts w:ascii="Times New Roman" w:eastAsia="Times New Roman" w:hAnsi="Times New Roman"/>
    </w:rPr>
  </w:style>
  <w:style w:type="character" w:customStyle="1" w:styleId="BHVietaTxtCar">
    <w:name w:val="BH Viñeta Txt Car"/>
    <w:link w:val="BHVietaTxt"/>
    <w:locked/>
    <w:rsid w:val="00425168"/>
    <w:rPr>
      <w:lang w:val="en-US"/>
    </w:rPr>
  </w:style>
  <w:style w:type="paragraph" w:customStyle="1" w:styleId="BH1Centro">
    <w:name w:val="BH1 Centro"/>
    <w:basedOn w:val="Normal"/>
    <w:link w:val="BH1CentroCar"/>
    <w:qFormat/>
    <w:rsid w:val="002831AB"/>
    <w:pPr>
      <w:autoSpaceDE w:val="0"/>
      <w:autoSpaceDN w:val="0"/>
      <w:adjustRightInd w:val="0"/>
      <w:spacing w:before="240" w:after="240"/>
      <w:jc w:val="center"/>
      <w:outlineLvl w:val="0"/>
    </w:pPr>
    <w:rPr>
      <w:rFonts w:ascii="Times New Roman Bold" w:hAnsi="Times New Roman Bold"/>
      <w:b/>
      <w:caps/>
      <w:lang w:val="en-US" w:eastAsia="es-AR"/>
    </w:rPr>
  </w:style>
  <w:style w:type="character" w:customStyle="1" w:styleId="BH1CentroCar">
    <w:name w:val="BH1 Centro Car"/>
    <w:link w:val="BH1Centro"/>
    <w:locked/>
    <w:rsid w:val="002831AB"/>
    <w:rPr>
      <w:rFonts w:ascii="Times New Roman Bold" w:eastAsia="Times New Roman" w:hAnsi="Times New Roman Bold"/>
      <w:b/>
      <w:caps/>
      <w:lang w:val="en-US" w:eastAsia="es-AR"/>
    </w:rPr>
  </w:style>
  <w:style w:type="paragraph" w:customStyle="1" w:styleId="BH1Izquierda">
    <w:name w:val="BH1 Izquierda"/>
    <w:basedOn w:val="Normal"/>
    <w:link w:val="BH1IzquierdaCar"/>
    <w:qFormat/>
    <w:rsid w:val="002831AB"/>
    <w:pPr>
      <w:autoSpaceDE w:val="0"/>
      <w:autoSpaceDN w:val="0"/>
      <w:adjustRightInd w:val="0"/>
      <w:outlineLvl w:val="0"/>
    </w:pPr>
    <w:rPr>
      <w:rFonts w:ascii="Times New Roman" w:hAnsi="Times New Roman"/>
      <w:b/>
      <w:sz w:val="31"/>
      <w:lang w:val="x-none" w:eastAsia="es-AR"/>
    </w:rPr>
  </w:style>
  <w:style w:type="character" w:customStyle="1" w:styleId="BH1IzquierdaCar">
    <w:name w:val="BH1 Izquierda Car"/>
    <w:link w:val="BH1Izquierda"/>
    <w:locked/>
    <w:rsid w:val="002831AB"/>
    <w:rPr>
      <w:rFonts w:ascii="Times New Roman" w:eastAsia="Times New Roman" w:hAnsi="Times New Roman"/>
      <w:b/>
      <w:sz w:val="31"/>
      <w:lang w:val="x-none" w:eastAsia="es-AR"/>
    </w:rPr>
  </w:style>
  <w:style w:type="paragraph" w:customStyle="1" w:styleId="BH2Izquierda">
    <w:name w:val="BH2 Izquierda"/>
    <w:basedOn w:val="Normal"/>
    <w:link w:val="BH2IzquierdaCar"/>
    <w:qFormat/>
    <w:rsid w:val="002831AB"/>
    <w:pPr>
      <w:keepNext/>
      <w:autoSpaceDE w:val="0"/>
      <w:autoSpaceDN w:val="0"/>
      <w:adjustRightInd w:val="0"/>
      <w:spacing w:before="240" w:after="240"/>
      <w:outlineLvl w:val="1"/>
    </w:pPr>
    <w:rPr>
      <w:rFonts w:ascii="Times New Roman" w:hAnsi="Times New Roman"/>
      <w:b/>
      <w:lang w:val="en-US" w:eastAsia="es-AR"/>
    </w:rPr>
  </w:style>
  <w:style w:type="character" w:customStyle="1" w:styleId="BH2IzquierdaCar">
    <w:name w:val="BH2 Izquierda Car"/>
    <w:link w:val="BH2Izquierda"/>
    <w:locked/>
    <w:rsid w:val="002831AB"/>
    <w:rPr>
      <w:rFonts w:ascii="Times New Roman" w:eastAsia="Times New Roman" w:hAnsi="Times New Roman"/>
      <w:b/>
      <w:lang w:val="en-US" w:eastAsia="es-AR"/>
    </w:rPr>
  </w:style>
  <w:style w:type="paragraph" w:styleId="Textodeglobo">
    <w:name w:val="Balloon Text"/>
    <w:basedOn w:val="Normal"/>
    <w:link w:val="TextodegloboCar"/>
    <w:uiPriority w:val="99"/>
    <w:rsid w:val="00B86C83"/>
    <w:pPr>
      <w:autoSpaceDE w:val="0"/>
      <w:autoSpaceDN w:val="0"/>
      <w:adjustRightInd w:val="0"/>
    </w:pPr>
    <w:rPr>
      <w:rFonts w:ascii="Tahoma" w:hAnsi="Tahoma"/>
      <w:sz w:val="16"/>
      <w:lang w:val="en-US" w:eastAsia="x-none"/>
    </w:rPr>
  </w:style>
  <w:style w:type="character" w:customStyle="1" w:styleId="TextodegloboCar">
    <w:name w:val="Texto de globo Car"/>
    <w:link w:val="Textodeglobo"/>
    <w:uiPriority w:val="99"/>
    <w:locked/>
    <w:rsid w:val="002831AB"/>
    <w:rPr>
      <w:rFonts w:ascii="Tahoma" w:hAnsi="Tahoma"/>
      <w:sz w:val="16"/>
      <w:lang w:val="en-US" w:eastAsia="x-none"/>
    </w:rPr>
  </w:style>
  <w:style w:type="paragraph" w:customStyle="1" w:styleId="BLOCKINDENT250">
    <w:name w:val="BLOCK INDENT 2.50"/>
    <w:basedOn w:val="Normal"/>
    <w:rsid w:val="002831AB"/>
    <w:pPr>
      <w:tabs>
        <w:tab w:val="left" w:pos="3600"/>
      </w:tabs>
      <w:spacing w:after="240"/>
      <w:ind w:left="3600" w:hanging="3600"/>
    </w:pPr>
    <w:rPr>
      <w:rFonts w:ascii="Times New Roman" w:hAnsi="Times New Roman"/>
      <w:szCs w:val="24"/>
      <w:lang w:val="en-US" w:eastAsia="es-AR"/>
    </w:rPr>
  </w:style>
  <w:style w:type="character" w:customStyle="1" w:styleId="hps">
    <w:name w:val="hps"/>
    <w:rsid w:val="002831AB"/>
    <w:rPr>
      <w:rFonts w:cs="Times New Roman"/>
    </w:rPr>
  </w:style>
  <w:style w:type="character" w:customStyle="1" w:styleId="DeltaViewInsertion">
    <w:name w:val="DeltaView Insertion"/>
    <w:uiPriority w:val="99"/>
    <w:rsid w:val="002831AB"/>
    <w:rPr>
      <w:color w:val="0000FF"/>
      <w:spacing w:val="0"/>
      <w:u w:val="double"/>
    </w:rPr>
  </w:style>
  <w:style w:type="character" w:customStyle="1" w:styleId="a1">
    <w:name w:val="a1"/>
    <w:uiPriority w:val="99"/>
    <w:rsid w:val="002831AB"/>
  </w:style>
  <w:style w:type="paragraph" w:customStyle="1" w:styleId="BHVieta2">
    <w:name w:val="BH Viñeta 2"/>
    <w:basedOn w:val="Normal"/>
    <w:link w:val="BHVieta2Car"/>
    <w:qFormat/>
    <w:rsid w:val="00A40431"/>
    <w:pPr>
      <w:tabs>
        <w:tab w:val="left" w:pos="1418"/>
      </w:tabs>
      <w:autoSpaceDE w:val="0"/>
      <w:autoSpaceDN w:val="0"/>
      <w:adjustRightInd w:val="0"/>
      <w:spacing w:before="120" w:after="120"/>
      <w:ind w:left="1417" w:hanging="357"/>
      <w:jc w:val="both"/>
    </w:pPr>
    <w:rPr>
      <w:rFonts w:ascii="Times New Roman" w:hAnsi="Times New Roman"/>
      <w:lang w:val="x-none" w:eastAsia="x-none"/>
    </w:rPr>
  </w:style>
  <w:style w:type="character" w:customStyle="1" w:styleId="BHVieta2Car">
    <w:name w:val="BH Viñeta 2 Car"/>
    <w:link w:val="BHVieta2"/>
    <w:locked/>
    <w:rsid w:val="00A40431"/>
    <w:rPr>
      <w:rFonts w:ascii="Times New Roman" w:eastAsia="Times New Roman" w:hAnsi="Times New Roman"/>
    </w:rPr>
  </w:style>
  <w:style w:type="paragraph" w:customStyle="1" w:styleId="BH3Izquierda">
    <w:name w:val="BH3 Izquierda"/>
    <w:basedOn w:val="BH2Izquierda"/>
    <w:link w:val="BH3IzquierdaCar"/>
    <w:qFormat/>
    <w:rsid w:val="002831AB"/>
    <w:pPr>
      <w:outlineLvl w:val="2"/>
    </w:pPr>
  </w:style>
  <w:style w:type="character" w:customStyle="1" w:styleId="BH3IzquierdaCar">
    <w:name w:val="BH3 Izquierda Car"/>
    <w:link w:val="BH3Izquierda"/>
    <w:locked/>
    <w:rsid w:val="002831AB"/>
    <w:rPr>
      <w:rFonts w:ascii="Times New Roman" w:eastAsia="Times New Roman" w:hAnsi="Times New Roman"/>
      <w:b/>
      <w:lang w:val="en-US" w:eastAsia="es-AR"/>
    </w:rPr>
  </w:style>
  <w:style w:type="character" w:styleId="Refdenotaalpie">
    <w:name w:val="footnote reference"/>
    <w:uiPriority w:val="99"/>
    <w:rsid w:val="002831AB"/>
    <w:rPr>
      <w:vertAlign w:val="superscript"/>
    </w:rPr>
  </w:style>
  <w:style w:type="paragraph" w:customStyle="1" w:styleId="BH4Cursiva">
    <w:name w:val="BH4 Cursiva"/>
    <w:basedOn w:val="BH3Izquierda"/>
    <w:link w:val="BH4CursivaCar"/>
    <w:qFormat/>
    <w:rsid w:val="000E1220"/>
    <w:pPr>
      <w:spacing w:before="120" w:after="120"/>
      <w:jc w:val="both"/>
      <w:outlineLvl w:val="3"/>
    </w:pPr>
    <w:rPr>
      <w:i/>
      <w:lang w:val="x-none" w:eastAsia="x-none"/>
    </w:rPr>
  </w:style>
  <w:style w:type="character" w:customStyle="1" w:styleId="BH4CursivaCar">
    <w:name w:val="BH4 Cursiva Car"/>
    <w:link w:val="BH4Cursiva"/>
    <w:locked/>
    <w:rsid w:val="000E1220"/>
    <w:rPr>
      <w:rFonts w:ascii="Times New Roman" w:hAnsi="Times New Roman"/>
      <w:b/>
      <w:i/>
      <w:lang w:val="x-none" w:eastAsia="x-none"/>
    </w:rPr>
  </w:style>
  <w:style w:type="paragraph" w:styleId="Textonotapie">
    <w:name w:val="footnote text"/>
    <w:basedOn w:val="Normal"/>
    <w:next w:val="Normal"/>
    <w:link w:val="TextonotapieCar"/>
    <w:rsid w:val="002831AB"/>
    <w:pPr>
      <w:autoSpaceDE w:val="0"/>
      <w:autoSpaceDN w:val="0"/>
      <w:adjustRightInd w:val="0"/>
      <w:spacing w:after="240"/>
      <w:ind w:left="720" w:hanging="720"/>
    </w:pPr>
    <w:rPr>
      <w:rFonts w:ascii="Times New Roman" w:hAnsi="Times New Roman"/>
      <w:lang w:val="en-US" w:eastAsia="x-none"/>
    </w:rPr>
  </w:style>
  <w:style w:type="character" w:customStyle="1" w:styleId="TextonotapieCar">
    <w:name w:val="Texto nota pie Car"/>
    <w:link w:val="Textonotapie"/>
    <w:locked/>
    <w:rsid w:val="002831AB"/>
    <w:rPr>
      <w:rFonts w:ascii="Times New Roman" w:eastAsia="Times New Roman" w:hAnsi="Times New Roman"/>
      <w:lang w:val="en-US" w:eastAsia="x-none"/>
    </w:rPr>
  </w:style>
  <w:style w:type="paragraph" w:customStyle="1" w:styleId="BH5Cursiva">
    <w:name w:val="BH5 Cursiva"/>
    <w:basedOn w:val="BH4Cursiva"/>
    <w:link w:val="BH5CursivaCar"/>
    <w:qFormat/>
    <w:rsid w:val="002831AB"/>
    <w:pPr>
      <w:outlineLvl w:val="4"/>
    </w:pPr>
    <w:rPr>
      <w:i w:val="0"/>
      <w:lang w:val="en-US" w:eastAsia="es-AR"/>
    </w:rPr>
  </w:style>
  <w:style w:type="character" w:customStyle="1" w:styleId="BH5CursivaCar">
    <w:name w:val="BH5 Cursiva Car"/>
    <w:link w:val="BH5Cursiva"/>
    <w:locked/>
    <w:rsid w:val="002831AB"/>
    <w:rPr>
      <w:rFonts w:ascii="Times New Roman" w:eastAsia="Times New Roman" w:hAnsi="Times New Roman"/>
      <w:b/>
      <w:lang w:val="en-US" w:eastAsia="es-AR"/>
    </w:rPr>
  </w:style>
  <w:style w:type="paragraph" w:styleId="Sangra3detindependiente">
    <w:name w:val="Body Text Indent 3"/>
    <w:basedOn w:val="Normal"/>
    <w:link w:val="Sangra3detindependienteCar"/>
    <w:rsid w:val="002831AB"/>
    <w:pPr>
      <w:autoSpaceDE w:val="0"/>
      <w:autoSpaceDN w:val="0"/>
      <w:adjustRightInd w:val="0"/>
      <w:spacing w:after="120"/>
      <w:ind w:left="283"/>
    </w:pPr>
    <w:rPr>
      <w:rFonts w:ascii="Times New Roman" w:hAnsi="Times New Roman"/>
      <w:sz w:val="16"/>
      <w:lang w:val="en-US" w:eastAsia="x-none"/>
    </w:rPr>
  </w:style>
  <w:style w:type="character" w:customStyle="1" w:styleId="Sangra3detindependienteCar">
    <w:name w:val="Sangría 3 de t. independiente Car"/>
    <w:link w:val="Sangra3detindependiente"/>
    <w:locked/>
    <w:rsid w:val="002831AB"/>
    <w:rPr>
      <w:rFonts w:ascii="Times New Roman" w:eastAsia="Times New Roman" w:hAnsi="Times New Roman"/>
      <w:sz w:val="16"/>
      <w:lang w:val="en-US" w:eastAsia="x-none"/>
    </w:rPr>
  </w:style>
  <w:style w:type="paragraph" w:customStyle="1" w:styleId="BodyTextSgl">
    <w:name w:val="Body Text Sgl"/>
    <w:basedOn w:val="Normal"/>
    <w:rsid w:val="002831AB"/>
    <w:pPr>
      <w:autoSpaceDE w:val="0"/>
      <w:autoSpaceDN w:val="0"/>
      <w:adjustRightInd w:val="0"/>
      <w:spacing w:after="240"/>
      <w:ind w:firstLine="1440"/>
    </w:pPr>
    <w:rPr>
      <w:rFonts w:ascii="Times New Roman" w:hAnsi="Times New Roman"/>
      <w:lang w:val="en-US" w:eastAsia="es-AR"/>
    </w:rPr>
  </w:style>
  <w:style w:type="paragraph" w:styleId="TDC1">
    <w:name w:val="toc 1"/>
    <w:aliases w:val="Perfil Societario"/>
    <w:basedOn w:val="Normal"/>
    <w:next w:val="Normal"/>
    <w:autoRedefine/>
    <w:uiPriority w:val="39"/>
    <w:rsid w:val="00643F4F"/>
    <w:pPr>
      <w:tabs>
        <w:tab w:val="right" w:leader="dot" w:pos="8931"/>
      </w:tabs>
      <w:autoSpaceDE w:val="0"/>
      <w:autoSpaceDN w:val="0"/>
      <w:adjustRightInd w:val="0"/>
      <w:spacing w:before="120" w:after="120"/>
      <w:ind w:right="709"/>
    </w:pPr>
    <w:rPr>
      <w:rFonts w:ascii="Times New Roman Bold" w:hAnsi="Times New Roman Bold"/>
      <w:b/>
      <w:bCs/>
      <w:caps/>
      <w:noProof/>
      <w:lang w:val="es-ES" w:eastAsia="es-AR"/>
    </w:rPr>
  </w:style>
  <w:style w:type="paragraph" w:styleId="Textodebloque">
    <w:name w:val="Block Text"/>
    <w:aliases w:val="blk,MBP_Bd Single t6 .5 L,MBP_Bd Single Sp .5 L,CG-Single Sp 0,CG-Single Sp 0.51,s21,!Body Text,5(J),5s2(J),s9,Second Heading 9,75 Sgl J,CG-Single Sp 0.5,s2,!Body Text .5(J),!Body Text .5s2(J),Second Heading 2,Second Heading,5 Sgl J,S2"/>
    <w:basedOn w:val="Normal"/>
    <w:rsid w:val="002831AB"/>
    <w:pPr>
      <w:autoSpaceDE w:val="0"/>
      <w:autoSpaceDN w:val="0"/>
      <w:adjustRightInd w:val="0"/>
      <w:spacing w:line="480" w:lineRule="auto"/>
    </w:pPr>
    <w:rPr>
      <w:rFonts w:ascii="Times New Roman" w:hAnsi="Times New Roman"/>
      <w:lang w:val="en-US" w:eastAsia="es-AR"/>
    </w:rPr>
  </w:style>
  <w:style w:type="paragraph" w:customStyle="1" w:styleId="BlockTextSglJ">
    <w:name w:val="Block Text Sgl J"/>
    <w:basedOn w:val="Normal"/>
    <w:rsid w:val="002831AB"/>
    <w:pPr>
      <w:autoSpaceDE w:val="0"/>
      <w:autoSpaceDN w:val="0"/>
      <w:adjustRightInd w:val="0"/>
      <w:spacing w:after="240"/>
      <w:jc w:val="both"/>
    </w:pPr>
    <w:rPr>
      <w:rFonts w:ascii="Times New Roman" w:hAnsi="Times New Roman"/>
      <w:lang w:val="en-US" w:eastAsia="es-AR"/>
    </w:rPr>
  </w:style>
  <w:style w:type="paragraph" w:customStyle="1" w:styleId="FootnoteTextMore">
    <w:name w:val="Footnote TextMore"/>
    <w:basedOn w:val="Textonotapie"/>
    <w:rsid w:val="002831AB"/>
    <w:pPr>
      <w:ind w:firstLine="0"/>
    </w:pPr>
  </w:style>
  <w:style w:type="paragraph" w:customStyle="1" w:styleId="BlockText1">
    <w:name w:val="Block Text 1"/>
    <w:basedOn w:val="Normal"/>
    <w:rsid w:val="002831AB"/>
    <w:pPr>
      <w:autoSpaceDE w:val="0"/>
      <w:autoSpaceDN w:val="0"/>
      <w:adjustRightInd w:val="0"/>
      <w:spacing w:line="480" w:lineRule="auto"/>
      <w:ind w:left="1440" w:right="1440"/>
    </w:pPr>
    <w:rPr>
      <w:rFonts w:ascii="Times New Roman" w:hAnsi="Times New Roman"/>
      <w:lang w:val="en-US" w:eastAsia="es-AR"/>
    </w:rPr>
  </w:style>
  <w:style w:type="paragraph" w:customStyle="1" w:styleId="BlockTextJ">
    <w:name w:val="Block Text J"/>
    <w:basedOn w:val="Textodebloque"/>
    <w:rsid w:val="002831AB"/>
    <w:pPr>
      <w:jc w:val="both"/>
    </w:pPr>
  </w:style>
  <w:style w:type="paragraph" w:styleId="Textoindependienteprimerasangra">
    <w:name w:val="Body Text First Indent"/>
    <w:aliases w:val="f1,i,btfi"/>
    <w:basedOn w:val="Textoindependiente"/>
    <w:link w:val="TextoindependienteprimerasangraCar"/>
    <w:uiPriority w:val="99"/>
    <w:qFormat/>
    <w:rsid w:val="00B86C83"/>
    <w:pPr>
      <w:spacing w:after="240"/>
      <w:ind w:firstLine="720"/>
    </w:pPr>
    <w:rPr>
      <w:lang w:eastAsia="x-none"/>
    </w:rPr>
  </w:style>
  <w:style w:type="character" w:customStyle="1" w:styleId="TextoindependienteprimerasangraCar">
    <w:name w:val="Texto independiente primera sangría Car"/>
    <w:aliases w:val="f1 Car,i Car,btfi Car"/>
    <w:link w:val="Textoindependienteprimerasangra"/>
    <w:uiPriority w:val="99"/>
    <w:locked/>
    <w:rsid w:val="002831AB"/>
    <w:rPr>
      <w:rFonts w:ascii="Times New Roman" w:hAnsi="Times New Roman"/>
      <w:lang w:val="en-US" w:eastAsia="x-none"/>
    </w:rPr>
  </w:style>
  <w:style w:type="paragraph" w:customStyle="1" w:styleId="TitleL">
    <w:name w:val="Title L"/>
    <w:basedOn w:val="Ttulo"/>
    <w:rsid w:val="002831AB"/>
  </w:style>
  <w:style w:type="paragraph" w:styleId="Ttulo">
    <w:name w:val="Title"/>
    <w:aliases w:val="t,TitleCtr,Text"/>
    <w:basedOn w:val="Normal"/>
    <w:next w:val="Normal"/>
    <w:link w:val="TtuloCar"/>
    <w:qFormat/>
    <w:rsid w:val="002831AB"/>
    <w:pPr>
      <w:pBdr>
        <w:bottom w:val="single" w:sz="8" w:space="4" w:color="4F81BD"/>
      </w:pBdr>
      <w:autoSpaceDE w:val="0"/>
      <w:autoSpaceDN w:val="0"/>
      <w:adjustRightInd w:val="0"/>
      <w:spacing w:after="300"/>
      <w:contextualSpacing/>
    </w:pPr>
    <w:rPr>
      <w:rFonts w:ascii="Cambria" w:hAnsi="Cambria"/>
      <w:color w:val="17365D"/>
      <w:spacing w:val="5"/>
      <w:kern w:val="28"/>
      <w:sz w:val="52"/>
      <w:lang w:val="en-US" w:eastAsia="es-AR"/>
    </w:rPr>
  </w:style>
  <w:style w:type="character" w:customStyle="1" w:styleId="TtuloCar">
    <w:name w:val="Título Car"/>
    <w:aliases w:val="t Car,TitleCtr Car,Text Car"/>
    <w:link w:val="Ttulo"/>
    <w:locked/>
    <w:rsid w:val="002831AB"/>
    <w:rPr>
      <w:rFonts w:ascii="Cambria" w:eastAsia="Times New Roman" w:hAnsi="Cambria"/>
      <w:color w:val="17365D"/>
      <w:spacing w:val="5"/>
      <w:kern w:val="28"/>
      <w:sz w:val="52"/>
      <w:lang w:val="en-US" w:eastAsia="es-AR"/>
    </w:rPr>
  </w:style>
  <w:style w:type="paragraph" w:styleId="Listaconvietas">
    <w:name w:val="List Bullet"/>
    <w:basedOn w:val="Normal"/>
    <w:autoRedefine/>
    <w:uiPriority w:val="99"/>
    <w:qFormat/>
    <w:rsid w:val="00B86C83"/>
    <w:pPr>
      <w:numPr>
        <w:numId w:val="4"/>
      </w:numPr>
      <w:tabs>
        <w:tab w:val="clear" w:pos="360"/>
        <w:tab w:val="num" w:pos="1080"/>
      </w:tabs>
      <w:autoSpaceDE w:val="0"/>
      <w:autoSpaceDN w:val="0"/>
      <w:adjustRightInd w:val="0"/>
      <w:spacing w:after="240"/>
      <w:ind w:left="1080"/>
    </w:pPr>
    <w:rPr>
      <w:rFonts w:ascii="Times New Roman" w:hAnsi="Times New Roman"/>
      <w:lang w:val="en-US" w:eastAsia="es-AR"/>
    </w:rPr>
  </w:style>
  <w:style w:type="paragraph" w:customStyle="1" w:styleId="TitleC">
    <w:name w:val="Title C"/>
    <w:basedOn w:val="Normal"/>
    <w:next w:val="Normal"/>
    <w:rsid w:val="002831AB"/>
    <w:pPr>
      <w:autoSpaceDE w:val="0"/>
      <w:autoSpaceDN w:val="0"/>
      <w:adjustRightInd w:val="0"/>
      <w:spacing w:after="240"/>
      <w:jc w:val="center"/>
    </w:pPr>
    <w:rPr>
      <w:rFonts w:ascii="Times New Roman" w:hAnsi="Times New Roman"/>
      <w:lang w:val="en-US" w:eastAsia="es-AR"/>
    </w:rPr>
  </w:style>
  <w:style w:type="paragraph" w:customStyle="1" w:styleId="BodyText2SglJ">
    <w:name w:val="Body Text 2 Sgl J"/>
    <w:aliases w:val="CG-Bullet2"/>
    <w:basedOn w:val="BodyText2Sgl"/>
    <w:rsid w:val="002831AB"/>
    <w:pPr>
      <w:jc w:val="both"/>
    </w:pPr>
  </w:style>
  <w:style w:type="paragraph" w:styleId="Listaconvietas2">
    <w:name w:val="List Bullet 2"/>
    <w:aliases w:val="lb2"/>
    <w:basedOn w:val="Normal"/>
    <w:autoRedefine/>
    <w:rsid w:val="002831AB"/>
    <w:pPr>
      <w:numPr>
        <w:numId w:val="32"/>
      </w:numPr>
      <w:jc w:val="both"/>
    </w:pPr>
    <w:rPr>
      <w:rFonts w:ascii="Times New Roman" w:hAnsi="Times New Roman"/>
      <w:lang w:val="en-US" w:eastAsia="es-AR"/>
    </w:rPr>
  </w:style>
  <w:style w:type="paragraph" w:styleId="Listaconvietas3">
    <w:name w:val="List Bullet 3"/>
    <w:basedOn w:val="Normal"/>
    <w:autoRedefine/>
    <w:rsid w:val="002831AB"/>
    <w:pPr>
      <w:numPr>
        <w:numId w:val="5"/>
      </w:numPr>
      <w:spacing w:after="240"/>
    </w:pPr>
    <w:rPr>
      <w:rFonts w:ascii="Times New Roman" w:hAnsi="Times New Roman"/>
      <w:lang w:val="en-US" w:eastAsia="es-AR"/>
    </w:rPr>
  </w:style>
  <w:style w:type="paragraph" w:styleId="Listaconvietas4">
    <w:name w:val="List Bullet 4"/>
    <w:basedOn w:val="Normal"/>
    <w:autoRedefine/>
    <w:rsid w:val="002831AB"/>
    <w:pPr>
      <w:numPr>
        <w:numId w:val="6"/>
      </w:numPr>
      <w:spacing w:after="240"/>
    </w:pPr>
    <w:rPr>
      <w:rFonts w:ascii="Times New Roman" w:hAnsi="Times New Roman"/>
      <w:lang w:val="en-US" w:eastAsia="es-AR"/>
    </w:rPr>
  </w:style>
  <w:style w:type="paragraph" w:styleId="Listaconvietas5">
    <w:name w:val="List Bullet 5"/>
    <w:basedOn w:val="Normal"/>
    <w:autoRedefine/>
    <w:uiPriority w:val="99"/>
    <w:rsid w:val="002831AB"/>
    <w:pPr>
      <w:numPr>
        <w:numId w:val="7"/>
      </w:numPr>
      <w:autoSpaceDE w:val="0"/>
      <w:autoSpaceDN w:val="0"/>
      <w:adjustRightInd w:val="0"/>
    </w:pPr>
    <w:rPr>
      <w:rFonts w:ascii="Times New Roman" w:hAnsi="Times New Roman"/>
      <w:lang w:val="en-US" w:eastAsia="es-AR"/>
    </w:rPr>
  </w:style>
  <w:style w:type="paragraph" w:customStyle="1" w:styleId="Table9pt">
    <w:name w:val="Table 9pt"/>
    <w:basedOn w:val="Normal"/>
    <w:rsid w:val="002831AB"/>
    <w:pPr>
      <w:autoSpaceDE w:val="0"/>
      <w:autoSpaceDN w:val="0"/>
      <w:adjustRightInd w:val="0"/>
    </w:pPr>
    <w:rPr>
      <w:rFonts w:ascii="Times New Roman" w:hAnsi="Times New Roman"/>
      <w:sz w:val="18"/>
      <w:szCs w:val="18"/>
      <w:lang w:val="en-US" w:eastAsia="es-AR"/>
    </w:rPr>
  </w:style>
  <w:style w:type="paragraph" w:customStyle="1" w:styleId="Table">
    <w:name w:val="Table"/>
    <w:basedOn w:val="Normal"/>
    <w:rsid w:val="002831AB"/>
    <w:pPr>
      <w:autoSpaceDE w:val="0"/>
      <w:autoSpaceDN w:val="0"/>
      <w:adjustRightInd w:val="0"/>
    </w:pPr>
    <w:rPr>
      <w:rFonts w:ascii="Times New Roman" w:hAnsi="Times New Roman"/>
      <w:lang w:val="en-US" w:eastAsia="es-AR"/>
    </w:rPr>
  </w:style>
  <w:style w:type="character" w:customStyle="1" w:styleId="TableText10pt">
    <w:name w:val="Table Text 10pt"/>
    <w:rsid w:val="002831AB"/>
    <w:rPr>
      <w:rFonts w:ascii="Times New Roman" w:hAnsi="Times New Roman"/>
      <w:spacing w:val="0"/>
      <w:sz w:val="20"/>
    </w:rPr>
  </w:style>
  <w:style w:type="paragraph" w:customStyle="1" w:styleId="SmallCircle">
    <w:name w:val="Small Circle"/>
    <w:basedOn w:val="Normal"/>
    <w:rsid w:val="002831AB"/>
    <w:pPr>
      <w:widowControl w:val="0"/>
      <w:autoSpaceDE w:val="0"/>
      <w:autoSpaceDN w:val="0"/>
      <w:adjustRightInd w:val="0"/>
      <w:ind w:left="1440" w:hanging="720"/>
    </w:pPr>
    <w:rPr>
      <w:rFonts w:ascii="Times New Roman" w:hAnsi="Times New Roman"/>
      <w:sz w:val="24"/>
      <w:szCs w:val="24"/>
      <w:lang w:val="en-US" w:eastAsia="es-AR"/>
    </w:rPr>
  </w:style>
  <w:style w:type="paragraph" w:customStyle="1" w:styleId="CG-SingleSp">
    <w:name w:val="CG-Single Sp"/>
    <w:aliases w:val="s1,0.5 s2,0.,DPWfd tbl stub10,0,s1s2,Second Heading 1,dx-Bd Single Sp"/>
    <w:basedOn w:val="Normal"/>
    <w:rsid w:val="002831AB"/>
    <w:pPr>
      <w:autoSpaceDE w:val="0"/>
      <w:autoSpaceDN w:val="0"/>
      <w:adjustRightInd w:val="0"/>
      <w:spacing w:after="240"/>
    </w:pPr>
    <w:rPr>
      <w:rFonts w:ascii="Times New Roman" w:hAnsi="Times New Roman"/>
      <w:lang w:val="en-US" w:eastAsia="es-AR"/>
    </w:rPr>
  </w:style>
  <w:style w:type="paragraph" w:customStyle="1" w:styleId="TitleBIIndented">
    <w:name w:val="Title BI Indented"/>
    <w:basedOn w:val="TitleB"/>
    <w:rsid w:val="002831AB"/>
  </w:style>
  <w:style w:type="character" w:customStyle="1" w:styleId="Table10pt">
    <w:name w:val="Table 10 pt"/>
    <w:rsid w:val="002831AB"/>
    <w:rPr>
      <w:rFonts w:ascii="Arial" w:hAnsi="Arial"/>
      <w:color w:val="auto"/>
      <w:spacing w:val="0"/>
      <w:sz w:val="20"/>
      <w:u w:val="none"/>
      <w:vertAlign w:val="baseline"/>
    </w:rPr>
  </w:style>
  <w:style w:type="paragraph" w:customStyle="1" w:styleId="STBBullet4DBL">
    <w:name w:val="STB Bullet 4 DBL"/>
    <w:basedOn w:val="Normal"/>
    <w:rsid w:val="002831AB"/>
    <w:pPr>
      <w:tabs>
        <w:tab w:val="num" w:pos="1800"/>
      </w:tabs>
      <w:autoSpaceDE w:val="0"/>
      <w:autoSpaceDN w:val="0"/>
      <w:adjustRightInd w:val="0"/>
      <w:spacing w:line="480" w:lineRule="auto"/>
      <w:ind w:firstLine="1440"/>
    </w:pPr>
    <w:rPr>
      <w:rFonts w:ascii="Times New Roman" w:hAnsi="Times New Roman"/>
      <w:sz w:val="24"/>
      <w:szCs w:val="24"/>
      <w:lang w:val="en-US" w:eastAsia="es-AR"/>
    </w:rPr>
  </w:style>
  <w:style w:type="paragraph" w:customStyle="1" w:styleId="blockTBI">
    <w:name w:val="block TBI"/>
    <w:basedOn w:val="Normal"/>
    <w:rsid w:val="002831AB"/>
    <w:pPr>
      <w:autoSpaceDE w:val="0"/>
      <w:autoSpaceDN w:val="0"/>
      <w:adjustRightInd w:val="0"/>
      <w:spacing w:after="240"/>
    </w:pPr>
    <w:rPr>
      <w:rFonts w:ascii="Times New Roman" w:hAnsi="Times New Roman"/>
      <w:b/>
      <w:bCs/>
      <w:i/>
      <w:iCs/>
      <w:lang w:val="en-US" w:eastAsia="es-AR"/>
    </w:rPr>
  </w:style>
  <w:style w:type="character" w:customStyle="1" w:styleId="Table7pt">
    <w:name w:val="Table 7pt"/>
    <w:qFormat/>
    <w:rsid w:val="003B5193"/>
    <w:rPr>
      <w:spacing w:val="0"/>
      <w:sz w:val="14"/>
    </w:rPr>
  </w:style>
  <w:style w:type="character" w:customStyle="1" w:styleId="DeltaViewDeletion">
    <w:name w:val="DeltaView Deletion"/>
    <w:rsid w:val="002831AB"/>
    <w:rPr>
      <w:strike/>
      <w:color w:val="FF0000"/>
      <w:spacing w:val="0"/>
    </w:rPr>
  </w:style>
  <w:style w:type="paragraph" w:styleId="Textocomentario">
    <w:name w:val="annotation text"/>
    <w:basedOn w:val="Normal"/>
    <w:link w:val="TextocomentarioCar"/>
    <w:rsid w:val="002831AB"/>
    <w:pPr>
      <w:autoSpaceDE w:val="0"/>
      <w:autoSpaceDN w:val="0"/>
      <w:adjustRightInd w:val="0"/>
    </w:pPr>
    <w:rPr>
      <w:rFonts w:ascii="Times New Roman" w:hAnsi="Times New Roman"/>
      <w:lang w:val="en-US" w:eastAsia="x-none"/>
    </w:rPr>
  </w:style>
  <w:style w:type="character" w:customStyle="1" w:styleId="TextocomentarioCar">
    <w:name w:val="Texto comentario Car"/>
    <w:link w:val="Textocomentario"/>
    <w:locked/>
    <w:rsid w:val="002831AB"/>
    <w:rPr>
      <w:rFonts w:ascii="Times New Roman" w:eastAsia="Times New Roman" w:hAnsi="Times New Roman"/>
      <w:lang w:val="en-US" w:eastAsia="x-none"/>
    </w:rPr>
  </w:style>
  <w:style w:type="paragraph" w:styleId="Textoindependiente2">
    <w:name w:val="Body Text 2"/>
    <w:aliases w:val="b2"/>
    <w:basedOn w:val="Normal"/>
    <w:link w:val="Textoindependiente2Car"/>
    <w:uiPriority w:val="99"/>
    <w:rsid w:val="002831AB"/>
    <w:pPr>
      <w:spacing w:line="480" w:lineRule="auto"/>
      <w:ind w:firstLine="720"/>
    </w:pPr>
    <w:rPr>
      <w:rFonts w:ascii="Times New Roman" w:hAnsi="Times New Roman"/>
      <w:sz w:val="24"/>
      <w:lang w:val="en-US" w:eastAsia="x-none"/>
    </w:rPr>
  </w:style>
  <w:style w:type="character" w:customStyle="1" w:styleId="Textoindependiente2Car">
    <w:name w:val="Texto independiente 2 Car"/>
    <w:aliases w:val="b2 Car"/>
    <w:link w:val="Textoindependiente2"/>
    <w:uiPriority w:val="99"/>
    <w:locked/>
    <w:rsid w:val="002831AB"/>
    <w:rPr>
      <w:rFonts w:ascii="Times New Roman" w:eastAsia="Times New Roman" w:hAnsi="Times New Roman"/>
      <w:sz w:val="24"/>
      <w:lang w:val="en-US" w:eastAsia="x-none"/>
    </w:rPr>
  </w:style>
  <w:style w:type="paragraph" w:customStyle="1" w:styleId="HdgBodyText">
    <w:name w:val="Hdg Body Text"/>
    <w:basedOn w:val="Textoindependiente"/>
    <w:next w:val="Textoindependiente"/>
    <w:rsid w:val="002831AB"/>
    <w:pPr>
      <w:autoSpaceDE/>
      <w:autoSpaceDN/>
      <w:adjustRightInd/>
      <w:spacing w:after="0"/>
    </w:pPr>
    <w:rPr>
      <w:sz w:val="18"/>
      <w:szCs w:val="18"/>
    </w:rPr>
  </w:style>
  <w:style w:type="paragraph" w:customStyle="1" w:styleId="Item">
    <w:name w:val="Item"/>
    <w:basedOn w:val="Normal"/>
    <w:rsid w:val="002831AB"/>
    <w:pPr>
      <w:autoSpaceDE w:val="0"/>
      <w:autoSpaceDN w:val="0"/>
      <w:adjustRightInd w:val="0"/>
      <w:spacing w:after="240"/>
      <w:ind w:left="1080" w:hanging="360"/>
    </w:pPr>
    <w:rPr>
      <w:rFonts w:ascii="Times New Roman" w:hAnsi="Times New Roman"/>
      <w:lang w:val="en-US" w:eastAsia="es-AR"/>
    </w:rPr>
  </w:style>
  <w:style w:type="paragraph" w:customStyle="1" w:styleId="Asuntodelcomentario1">
    <w:name w:val="Asunto del comentario1"/>
    <w:basedOn w:val="Textocomentario"/>
    <w:next w:val="Textocomentario"/>
    <w:rsid w:val="002831AB"/>
    <w:rPr>
      <w:b/>
      <w:bCs/>
    </w:rPr>
  </w:style>
  <w:style w:type="paragraph" w:customStyle="1" w:styleId="TableFootnote">
    <w:name w:val="Table Footnote"/>
    <w:basedOn w:val="Normal"/>
    <w:rsid w:val="002831AB"/>
    <w:pPr>
      <w:ind w:left="720" w:hanging="720"/>
      <w:jc w:val="both"/>
    </w:pPr>
    <w:rPr>
      <w:rFonts w:ascii="Times New Roman" w:hAnsi="Times New Roman"/>
      <w:sz w:val="16"/>
      <w:lang w:val="en-US" w:eastAsia="es-AR"/>
    </w:rPr>
  </w:style>
  <w:style w:type="paragraph" w:customStyle="1" w:styleId="TableNote">
    <w:name w:val="Table Note"/>
    <w:basedOn w:val="Normal"/>
    <w:uiPriority w:val="99"/>
    <w:rsid w:val="002831AB"/>
    <w:pPr>
      <w:keepNext/>
      <w:ind w:left="360" w:hanging="360"/>
    </w:pPr>
    <w:rPr>
      <w:rFonts w:ascii="Times New Roman" w:hAnsi="Times New Roman"/>
      <w:i/>
      <w:lang w:val="en-US" w:eastAsia="es-ES"/>
    </w:rPr>
  </w:style>
  <w:style w:type="paragraph" w:styleId="Listaconnmeros2">
    <w:name w:val="List Number 2"/>
    <w:basedOn w:val="Normal"/>
    <w:uiPriority w:val="99"/>
    <w:rsid w:val="002831AB"/>
    <w:pPr>
      <w:numPr>
        <w:numId w:val="8"/>
      </w:numPr>
      <w:adjustRightInd w:val="0"/>
      <w:snapToGrid w:val="0"/>
      <w:spacing w:after="240"/>
    </w:pPr>
    <w:rPr>
      <w:rFonts w:ascii="Times New Roman" w:hAnsi="Times New Roman"/>
      <w:lang w:val="en-US" w:eastAsia="es-ES"/>
    </w:rPr>
  </w:style>
  <w:style w:type="paragraph" w:styleId="Listaconnmeros">
    <w:name w:val="List Number"/>
    <w:basedOn w:val="Normal"/>
    <w:uiPriority w:val="99"/>
    <w:qFormat/>
    <w:rsid w:val="00B86C83"/>
    <w:pPr>
      <w:numPr>
        <w:numId w:val="9"/>
      </w:numPr>
      <w:autoSpaceDE w:val="0"/>
      <w:autoSpaceDN w:val="0"/>
      <w:adjustRightInd w:val="0"/>
    </w:pPr>
    <w:rPr>
      <w:rFonts w:ascii="Times New Roman" w:hAnsi="Times New Roman"/>
      <w:lang w:val="en-US" w:eastAsia="es-AR"/>
    </w:rPr>
  </w:style>
  <w:style w:type="paragraph" w:customStyle="1" w:styleId="BulletedDagger">
    <w:name w:val="Bulleted Dagger"/>
    <w:basedOn w:val="Normal"/>
    <w:rsid w:val="002831AB"/>
    <w:pPr>
      <w:tabs>
        <w:tab w:val="num" w:pos="1080"/>
        <w:tab w:val="left" w:pos="1440"/>
      </w:tabs>
      <w:spacing w:after="240"/>
      <w:ind w:left="1080" w:hanging="360"/>
    </w:pPr>
    <w:rPr>
      <w:rFonts w:ascii="Times New Roman" w:hAnsi="Times New Roman"/>
      <w:lang w:val="en-US" w:eastAsia="es-AR"/>
    </w:rPr>
  </w:style>
  <w:style w:type="paragraph" w:styleId="NormalWeb">
    <w:name w:val="Normal (Web)"/>
    <w:basedOn w:val="Normal"/>
    <w:uiPriority w:val="99"/>
    <w:rsid w:val="002831AB"/>
    <w:pPr>
      <w:spacing w:before="100" w:beforeAutospacing="1" w:after="100" w:afterAutospacing="1"/>
    </w:pPr>
    <w:rPr>
      <w:rFonts w:ascii="Arial Unicode MS" w:eastAsia="Arial Unicode MS" w:hAnsi="Arial Unicode MS" w:cs="Arial Unicode MS"/>
      <w:sz w:val="24"/>
      <w:szCs w:val="24"/>
      <w:lang w:val="es-ES" w:eastAsia="es-ES"/>
    </w:rPr>
  </w:style>
  <w:style w:type="paragraph" w:customStyle="1" w:styleId="CoverTitle6">
    <w:name w:val="Cover Title 6"/>
    <w:basedOn w:val="Normal"/>
    <w:rsid w:val="002831AB"/>
    <w:pPr>
      <w:spacing w:after="60"/>
      <w:jc w:val="center"/>
    </w:pPr>
    <w:rPr>
      <w:rFonts w:ascii="Times New Roman" w:eastAsia="MS Mincho" w:hAnsi="Times New Roman"/>
      <w:lang w:val="en-US" w:eastAsia="es-AR"/>
    </w:rPr>
  </w:style>
  <w:style w:type="paragraph" w:customStyle="1" w:styleId="CoverTitle1">
    <w:name w:val="Cover Title 1"/>
    <w:basedOn w:val="Normal"/>
    <w:rsid w:val="002831AB"/>
    <w:pPr>
      <w:jc w:val="center"/>
    </w:pPr>
    <w:rPr>
      <w:rFonts w:ascii="Times New Roman" w:eastAsia="MS Mincho" w:hAnsi="Times New Roman"/>
      <w:b/>
      <w:bCs/>
      <w:caps/>
      <w:sz w:val="40"/>
      <w:lang w:val="en-US" w:eastAsia="es-AR"/>
    </w:rPr>
  </w:style>
  <w:style w:type="paragraph" w:customStyle="1" w:styleId="TitleLItal">
    <w:name w:val="Title L Ital"/>
    <w:basedOn w:val="Normal"/>
    <w:rsid w:val="002831AB"/>
    <w:pPr>
      <w:keepNext/>
      <w:spacing w:after="240"/>
      <w:jc w:val="both"/>
    </w:pPr>
    <w:rPr>
      <w:rFonts w:ascii="Times New Roman" w:hAnsi="Times New Roman"/>
      <w:i/>
      <w:iCs/>
      <w:lang w:val="en-US" w:eastAsia="es-AR"/>
    </w:rPr>
  </w:style>
  <w:style w:type="paragraph" w:customStyle="1" w:styleId="Centered">
    <w:name w:val="Centered"/>
    <w:basedOn w:val="Normal"/>
    <w:next w:val="Textoindependiente"/>
    <w:rsid w:val="002831AB"/>
    <w:pPr>
      <w:keepNext/>
      <w:spacing w:after="240"/>
      <w:jc w:val="center"/>
    </w:pPr>
    <w:rPr>
      <w:rFonts w:ascii="Times New Roman" w:hAnsi="Times New Roman"/>
      <w:b/>
      <w:bCs/>
      <w:sz w:val="22"/>
      <w:szCs w:val="22"/>
      <w:lang w:val="en-US" w:eastAsia="es-AR"/>
    </w:rPr>
  </w:style>
  <w:style w:type="paragraph" w:customStyle="1" w:styleId="BoldHeading">
    <w:name w:val="Bold Heading"/>
    <w:basedOn w:val="Normal"/>
    <w:uiPriority w:val="99"/>
    <w:rsid w:val="002831AB"/>
    <w:pPr>
      <w:keepNext/>
      <w:spacing w:after="240"/>
      <w:jc w:val="both"/>
    </w:pPr>
    <w:rPr>
      <w:rFonts w:ascii="Times New Roman" w:eastAsia="SimSun" w:hAnsi="Times New Roman"/>
      <w:b/>
      <w:lang w:val="en-US" w:eastAsia="es-AR"/>
    </w:rPr>
  </w:style>
  <w:style w:type="paragraph" w:customStyle="1" w:styleId="BoldItal">
    <w:name w:val="BoldItal"/>
    <w:basedOn w:val="Normal"/>
    <w:rsid w:val="002831AB"/>
    <w:pPr>
      <w:keepNext/>
      <w:spacing w:after="240"/>
      <w:jc w:val="both"/>
      <w:outlineLvl w:val="0"/>
    </w:pPr>
    <w:rPr>
      <w:rFonts w:ascii="Times New Roman" w:eastAsia="SimSun" w:hAnsi="Times New Roman"/>
      <w:b/>
      <w:i/>
      <w:lang w:val="en-US" w:eastAsia="es-AR"/>
    </w:rPr>
  </w:style>
  <w:style w:type="paragraph" w:customStyle="1" w:styleId="BlockTextBoldSgl">
    <w:name w:val="Block Text Bold Sgl"/>
    <w:basedOn w:val="Normal"/>
    <w:rsid w:val="002831AB"/>
    <w:pPr>
      <w:keepNext/>
      <w:keepLines/>
      <w:spacing w:after="240"/>
    </w:pPr>
    <w:rPr>
      <w:rFonts w:ascii="Times New Roman" w:hAnsi="Times New Roman"/>
      <w:b/>
      <w:szCs w:val="24"/>
      <w:lang w:val="en-US" w:eastAsia="es-AR"/>
    </w:rPr>
  </w:style>
  <w:style w:type="paragraph" w:customStyle="1" w:styleId="ListBullet1">
    <w:name w:val="List Bullet 1"/>
    <w:basedOn w:val="Normal"/>
    <w:rsid w:val="002831AB"/>
    <w:pPr>
      <w:tabs>
        <w:tab w:val="num" w:pos="360"/>
      </w:tabs>
      <w:spacing w:after="240"/>
      <w:ind w:left="360" w:hanging="360"/>
      <w:jc w:val="both"/>
    </w:pPr>
    <w:rPr>
      <w:rFonts w:ascii="Times New Roman" w:hAnsi="Times New Roman"/>
      <w:szCs w:val="24"/>
      <w:lang w:val="en-US" w:eastAsia="es-AR"/>
    </w:rPr>
  </w:style>
  <w:style w:type="paragraph" w:customStyle="1" w:styleId="BodyTextFirstIndent2J">
    <w:name w:val="Body Text First Indent 2J"/>
    <w:basedOn w:val="Normal"/>
    <w:rsid w:val="002831AB"/>
    <w:pPr>
      <w:spacing w:after="240"/>
      <w:ind w:left="720" w:firstLine="720"/>
      <w:jc w:val="both"/>
    </w:pPr>
    <w:rPr>
      <w:rFonts w:ascii="Times New Roman" w:hAnsi="Times New Roman"/>
      <w:szCs w:val="24"/>
      <w:lang w:val="en-US" w:eastAsia="es-AR"/>
    </w:rPr>
  </w:style>
  <w:style w:type="paragraph" w:customStyle="1" w:styleId="CG-Title-Center">
    <w:name w:val="CG-Title-Center"/>
    <w:aliases w:val="t5"/>
    <w:basedOn w:val="Normal"/>
    <w:next w:val="Normal"/>
    <w:rsid w:val="002831AB"/>
    <w:pPr>
      <w:keepNext/>
      <w:spacing w:after="240"/>
      <w:jc w:val="center"/>
    </w:pPr>
    <w:rPr>
      <w:rFonts w:ascii="Times New Roman" w:hAnsi="Times New Roman"/>
      <w:lang w:val="en-US" w:eastAsia="es-AR"/>
    </w:rPr>
  </w:style>
  <w:style w:type="character" w:customStyle="1" w:styleId="Table10pt0">
    <w:name w:val="Table 10pt"/>
    <w:qFormat/>
    <w:rsid w:val="002831AB"/>
    <w:rPr>
      <w:sz w:val="20"/>
    </w:rPr>
  </w:style>
  <w:style w:type="paragraph" w:customStyle="1" w:styleId="BulletDagger2">
    <w:name w:val="Bullet Dagger2"/>
    <w:basedOn w:val="Normal"/>
    <w:rsid w:val="002831AB"/>
    <w:pPr>
      <w:numPr>
        <w:numId w:val="10"/>
      </w:numPr>
      <w:autoSpaceDE w:val="0"/>
      <w:autoSpaceDN w:val="0"/>
      <w:adjustRightInd w:val="0"/>
      <w:spacing w:after="240"/>
    </w:pPr>
    <w:rPr>
      <w:rFonts w:ascii="Times New Roman" w:hAnsi="Times New Roman"/>
      <w:lang w:val="en-US" w:eastAsia="es-AR"/>
    </w:rPr>
  </w:style>
  <w:style w:type="paragraph" w:styleId="Lista">
    <w:name w:val="List"/>
    <w:basedOn w:val="Normal"/>
    <w:uiPriority w:val="99"/>
    <w:qFormat/>
    <w:rsid w:val="00B86C83"/>
    <w:pPr>
      <w:numPr>
        <w:numId w:val="11"/>
      </w:numPr>
      <w:autoSpaceDE w:val="0"/>
      <w:autoSpaceDN w:val="0"/>
      <w:adjustRightInd w:val="0"/>
      <w:spacing w:after="240"/>
    </w:pPr>
    <w:rPr>
      <w:rFonts w:ascii="Times New Roman" w:hAnsi="Times New Roman"/>
      <w:lang w:val="en-US" w:eastAsia="es-AR"/>
    </w:rPr>
  </w:style>
  <w:style w:type="paragraph" w:customStyle="1" w:styleId="TableNotes">
    <w:name w:val="Table Notes"/>
    <w:basedOn w:val="Normal"/>
    <w:qFormat/>
    <w:rsid w:val="00B86C83"/>
    <w:pPr>
      <w:keepNext/>
      <w:autoSpaceDE w:val="0"/>
      <w:autoSpaceDN w:val="0"/>
      <w:adjustRightInd w:val="0"/>
      <w:spacing w:after="60"/>
      <w:ind w:left="706" w:hanging="605"/>
    </w:pPr>
    <w:rPr>
      <w:rFonts w:ascii="Times New Roman" w:hAnsi="Times New Roman"/>
      <w:bCs/>
      <w:kern w:val="28"/>
      <w:lang w:val="en-US" w:eastAsia="es-AR"/>
    </w:rPr>
  </w:style>
  <w:style w:type="paragraph" w:customStyle="1" w:styleId="TableText">
    <w:name w:val="Table Text"/>
    <w:basedOn w:val="Textodebloque"/>
    <w:rsid w:val="002831AB"/>
    <w:pPr>
      <w:autoSpaceDE/>
      <w:autoSpaceDN/>
      <w:adjustRightInd/>
    </w:pPr>
    <w:rPr>
      <w:sz w:val="16"/>
      <w:szCs w:val="24"/>
      <w:lang w:eastAsia="es-ES"/>
    </w:rPr>
  </w:style>
  <w:style w:type="paragraph" w:customStyle="1" w:styleId="TitleBoldItalic">
    <w:name w:val="Title Bold/Italic"/>
    <w:basedOn w:val="Normal"/>
    <w:rsid w:val="002831AB"/>
    <w:pPr>
      <w:keepNext/>
      <w:spacing w:after="240"/>
      <w:jc w:val="both"/>
    </w:pPr>
    <w:rPr>
      <w:rFonts w:ascii="Times New Roman Bold" w:hAnsi="Times New Roman Bold"/>
      <w:b/>
      <w:bCs/>
      <w:i/>
      <w:iCs/>
      <w:szCs w:val="24"/>
      <w:lang w:val="en-US" w:eastAsia="es-AR"/>
    </w:rPr>
  </w:style>
  <w:style w:type="paragraph" w:customStyle="1" w:styleId="TableNoteLine">
    <w:name w:val="Table Note Line"/>
    <w:basedOn w:val="Normal"/>
    <w:uiPriority w:val="99"/>
    <w:rsid w:val="002831AB"/>
    <w:pPr>
      <w:pBdr>
        <w:bottom w:val="single" w:sz="4" w:space="1" w:color="auto"/>
      </w:pBdr>
      <w:spacing w:after="120"/>
      <w:ind w:right="7200"/>
    </w:pPr>
    <w:rPr>
      <w:rFonts w:ascii="Times New Roman" w:hAnsi="Times New Roman"/>
      <w:szCs w:val="24"/>
      <w:lang w:val="en-US" w:eastAsia="es-AR"/>
    </w:rPr>
  </w:style>
  <w:style w:type="paragraph" w:customStyle="1" w:styleId="Table8pt">
    <w:name w:val="Table 8pt"/>
    <w:basedOn w:val="Normal"/>
    <w:rsid w:val="002831AB"/>
    <w:rPr>
      <w:rFonts w:ascii="Times New Roman" w:hAnsi="Times New Roman"/>
      <w:sz w:val="16"/>
      <w:szCs w:val="16"/>
      <w:lang w:val="en-US" w:eastAsia="es-AR"/>
    </w:rPr>
  </w:style>
  <w:style w:type="paragraph" w:customStyle="1" w:styleId="TitleBoldItal">
    <w:name w:val="Title Bold Ital"/>
    <w:basedOn w:val="Normal"/>
    <w:rsid w:val="002831AB"/>
    <w:pPr>
      <w:keepNext/>
      <w:spacing w:after="200"/>
      <w:ind w:left="720"/>
    </w:pPr>
    <w:rPr>
      <w:rFonts w:ascii="Times New Roman" w:eastAsia="Batang" w:hAnsi="Times New Roman"/>
      <w:b/>
      <w:bCs/>
      <w:i/>
      <w:iCs/>
      <w:lang w:val="en-US" w:eastAsia="es-AR"/>
    </w:rPr>
  </w:style>
  <w:style w:type="paragraph" w:customStyle="1" w:styleId="TableLine">
    <w:name w:val="Table Line"/>
    <w:basedOn w:val="Normal"/>
    <w:rsid w:val="002831AB"/>
    <w:pPr>
      <w:pBdr>
        <w:bottom w:val="single" w:sz="4" w:space="1" w:color="auto"/>
      </w:pBdr>
      <w:spacing w:after="60"/>
      <w:ind w:right="7200"/>
    </w:pPr>
    <w:rPr>
      <w:rFonts w:ascii="Times New Roman" w:hAnsi="Times New Roman"/>
      <w:szCs w:val="24"/>
      <w:lang w:val="en-US" w:eastAsia="es-AR"/>
    </w:rPr>
  </w:style>
  <w:style w:type="paragraph" w:customStyle="1" w:styleId="TableNote85">
    <w:name w:val="Table Note 8.5"/>
    <w:basedOn w:val="Normal"/>
    <w:rsid w:val="002831AB"/>
    <w:pPr>
      <w:spacing w:after="120"/>
      <w:ind w:left="360" w:hanging="360"/>
    </w:pPr>
    <w:rPr>
      <w:rFonts w:ascii="Times New Roman" w:hAnsi="Times New Roman"/>
      <w:sz w:val="17"/>
      <w:szCs w:val="17"/>
      <w:lang w:val="en-US" w:eastAsia="es-AR"/>
    </w:rPr>
  </w:style>
  <w:style w:type="character" w:customStyle="1" w:styleId="Table10">
    <w:name w:val="Table 10"/>
    <w:rsid w:val="002831AB"/>
    <w:rPr>
      <w:sz w:val="20"/>
    </w:rPr>
  </w:style>
  <w:style w:type="paragraph" w:styleId="Textosinformato">
    <w:name w:val="Plain Text"/>
    <w:basedOn w:val="Normal"/>
    <w:link w:val="TextosinformatoCar"/>
    <w:rsid w:val="002831AB"/>
    <w:rPr>
      <w:rFonts w:ascii="Courier New" w:hAnsi="Courier New"/>
      <w:lang w:val="en-US" w:eastAsia="x-none"/>
    </w:rPr>
  </w:style>
  <w:style w:type="character" w:customStyle="1" w:styleId="TextosinformatoCar">
    <w:name w:val="Texto sin formato Car"/>
    <w:link w:val="Textosinformato"/>
    <w:locked/>
    <w:rsid w:val="002831AB"/>
    <w:rPr>
      <w:rFonts w:ascii="Courier New" w:eastAsia="Times New Roman" w:hAnsi="Courier New"/>
      <w:lang w:val="en-US" w:eastAsia="x-none"/>
    </w:rPr>
  </w:style>
  <w:style w:type="character" w:customStyle="1" w:styleId="Table6pt">
    <w:name w:val="Table 6pt"/>
    <w:rsid w:val="002831AB"/>
    <w:rPr>
      <w:rFonts w:ascii="Times New Roman" w:hAnsi="Times New Roman"/>
      <w:spacing w:val="0"/>
      <w:sz w:val="14"/>
    </w:rPr>
  </w:style>
  <w:style w:type="paragraph" w:customStyle="1" w:styleId="BlockTextBullet">
    <w:name w:val="Block Text Bullet"/>
    <w:basedOn w:val="Normal"/>
    <w:rsid w:val="002831AB"/>
    <w:pPr>
      <w:spacing w:after="240"/>
      <w:ind w:left="360" w:hanging="360"/>
      <w:jc w:val="both"/>
    </w:pPr>
    <w:rPr>
      <w:rFonts w:ascii="Times New Roman" w:hAnsi="Times New Roman"/>
      <w:lang w:val="en-US" w:eastAsia="es-AR"/>
    </w:rPr>
  </w:style>
  <w:style w:type="paragraph" w:customStyle="1" w:styleId="BLOCKBOLDSGL">
    <w:name w:val="BLOCK BOLD SGL"/>
    <w:aliases w:val="bbs"/>
    <w:basedOn w:val="Normal"/>
    <w:uiPriority w:val="99"/>
    <w:rsid w:val="002831AB"/>
    <w:pPr>
      <w:keepNext/>
      <w:spacing w:after="240"/>
    </w:pPr>
    <w:rPr>
      <w:rFonts w:ascii="Times New Roman" w:hAnsi="Times New Roman"/>
      <w:b/>
      <w:szCs w:val="24"/>
      <w:lang w:val="en-US" w:eastAsia="es-AR"/>
    </w:rPr>
  </w:style>
  <w:style w:type="paragraph" w:customStyle="1" w:styleId="ItalicsBold">
    <w:name w:val="Italics/Bold"/>
    <w:basedOn w:val="Normal"/>
    <w:uiPriority w:val="99"/>
    <w:rsid w:val="002831AB"/>
    <w:pPr>
      <w:keepNext/>
      <w:spacing w:after="240"/>
    </w:pPr>
    <w:rPr>
      <w:rFonts w:ascii="Times New Roman" w:hAnsi="Times New Roman"/>
      <w:b/>
      <w:i/>
      <w:szCs w:val="24"/>
      <w:lang w:val="en-US" w:eastAsia="es-AR"/>
    </w:rPr>
  </w:style>
  <w:style w:type="paragraph" w:customStyle="1" w:styleId="ItalicsBold50Indent">
    <w:name w:val="Italics/Bold .50 Indent"/>
    <w:basedOn w:val="Normal"/>
    <w:rsid w:val="002831AB"/>
    <w:pPr>
      <w:keepNext/>
      <w:spacing w:after="240"/>
      <w:ind w:firstLine="720"/>
    </w:pPr>
    <w:rPr>
      <w:rFonts w:ascii="Times New Roman" w:hAnsi="Times New Roman"/>
      <w:b/>
      <w:i/>
      <w:szCs w:val="24"/>
      <w:lang w:val="en-US" w:eastAsia="es-AR"/>
    </w:rPr>
  </w:style>
  <w:style w:type="paragraph" w:customStyle="1" w:styleId="Italics5Indent">
    <w:name w:val="Italics/.5 Indent"/>
    <w:basedOn w:val="Normal"/>
    <w:rsid w:val="002831AB"/>
    <w:pPr>
      <w:keepNext/>
      <w:spacing w:after="240"/>
      <w:ind w:firstLine="720"/>
    </w:pPr>
    <w:rPr>
      <w:rFonts w:ascii="Times New Roman" w:hAnsi="Times New Roman"/>
      <w:i/>
      <w:szCs w:val="24"/>
      <w:lang w:val="en-US" w:eastAsia="es-AR"/>
    </w:rPr>
  </w:style>
  <w:style w:type="paragraph" w:customStyle="1" w:styleId="Arrowbullet">
    <w:name w:val="Arrow bullet"/>
    <w:basedOn w:val="Normal"/>
    <w:rsid w:val="002831AB"/>
    <w:pPr>
      <w:numPr>
        <w:numId w:val="12"/>
      </w:numPr>
      <w:spacing w:after="240"/>
    </w:pPr>
    <w:rPr>
      <w:rFonts w:ascii="Times New Roman" w:hAnsi="Times New Roman"/>
      <w:szCs w:val="24"/>
      <w:lang w:val="en-US" w:eastAsia="es-AR"/>
    </w:rPr>
  </w:style>
  <w:style w:type="paragraph" w:customStyle="1" w:styleId="ItalicsBlock">
    <w:name w:val="Italics/Block"/>
    <w:basedOn w:val="Normal"/>
    <w:rsid w:val="002831AB"/>
    <w:pPr>
      <w:spacing w:after="240"/>
    </w:pPr>
    <w:rPr>
      <w:rFonts w:ascii="Times New Roman" w:hAnsi="Times New Roman"/>
      <w:i/>
      <w:szCs w:val="24"/>
      <w:lang w:val="en-US" w:eastAsia="es-AR"/>
    </w:rPr>
  </w:style>
  <w:style w:type="paragraph" w:customStyle="1" w:styleId="AOHeadings">
    <w:name w:val="AOHeadings"/>
    <w:basedOn w:val="Normal"/>
    <w:next w:val="Normal"/>
    <w:rsid w:val="002831AB"/>
    <w:pPr>
      <w:spacing w:before="200"/>
      <w:jc w:val="both"/>
    </w:pPr>
    <w:rPr>
      <w:rFonts w:ascii="Times New Roman" w:hAnsi="Times New Roman"/>
      <w:lang w:val="en-US" w:eastAsia="es-AR"/>
    </w:rPr>
  </w:style>
  <w:style w:type="paragraph" w:customStyle="1" w:styleId="Body05Justified">
    <w:name w:val="Body 0.5 Justified"/>
    <w:basedOn w:val="Normal"/>
    <w:uiPriority w:val="99"/>
    <w:rsid w:val="002831AB"/>
    <w:pPr>
      <w:spacing w:after="240"/>
      <w:ind w:firstLine="720"/>
    </w:pPr>
    <w:rPr>
      <w:rFonts w:ascii="Times New Roman" w:hAnsi="Times New Roman"/>
      <w:lang w:val="en-US" w:eastAsia="es-AR"/>
    </w:rPr>
  </w:style>
  <w:style w:type="paragraph" w:customStyle="1" w:styleId="BodyBullet">
    <w:name w:val="Body Bullet"/>
    <w:aliases w:val="bb"/>
    <w:basedOn w:val="Textoindependiente"/>
    <w:rsid w:val="002831AB"/>
    <w:pPr>
      <w:autoSpaceDE/>
      <w:autoSpaceDN/>
      <w:adjustRightInd/>
      <w:spacing w:after="240"/>
    </w:pPr>
    <w:rPr>
      <w:lang w:eastAsia="es-ES"/>
    </w:rPr>
  </w:style>
  <w:style w:type="paragraph" w:customStyle="1" w:styleId="Char">
    <w:name w:val="Char"/>
    <w:basedOn w:val="Normal"/>
    <w:rsid w:val="002831AB"/>
    <w:pPr>
      <w:spacing w:after="160" w:line="240" w:lineRule="exact"/>
    </w:pPr>
    <w:rPr>
      <w:rFonts w:ascii="Verdana" w:eastAsia="PMingLiU" w:hAnsi="Verdana"/>
      <w:lang w:val="en-US" w:eastAsia="es-AR"/>
    </w:rPr>
  </w:style>
  <w:style w:type="paragraph" w:customStyle="1" w:styleId="75indent">
    <w:name w:val=".75 indent"/>
    <w:basedOn w:val="Normal"/>
    <w:rsid w:val="002831AB"/>
    <w:pPr>
      <w:tabs>
        <w:tab w:val="left" w:pos="1440"/>
      </w:tabs>
      <w:spacing w:after="240"/>
      <w:ind w:left="1440" w:hanging="360"/>
    </w:pPr>
    <w:rPr>
      <w:rFonts w:ascii="Times New Roman" w:hAnsi="Times New Roman"/>
      <w:szCs w:val="24"/>
      <w:lang w:val="en-US" w:eastAsia="es-AR"/>
    </w:rPr>
  </w:style>
  <w:style w:type="paragraph" w:customStyle="1" w:styleId="Tabulacin">
    <w:name w:val="Tabulación"/>
    <w:basedOn w:val="Normal"/>
    <w:semiHidden/>
    <w:rsid w:val="002831AB"/>
    <w:pPr>
      <w:widowControl w:val="0"/>
      <w:numPr>
        <w:numId w:val="13"/>
      </w:numPr>
      <w:tabs>
        <w:tab w:val="clear" w:pos="1440"/>
      </w:tabs>
      <w:ind w:left="709" w:hanging="425"/>
      <w:jc w:val="both"/>
    </w:pPr>
    <w:rPr>
      <w:rFonts w:ascii="Garamond" w:hAnsi="Garamond"/>
      <w:w w:val="0"/>
      <w:lang w:val="es-ES" w:eastAsia="es-AR"/>
    </w:rPr>
  </w:style>
  <w:style w:type="paragraph" w:customStyle="1" w:styleId="Body05">
    <w:name w:val="Body 0.5"/>
    <w:basedOn w:val="Textoindependiente"/>
    <w:rsid w:val="002831AB"/>
    <w:pPr>
      <w:autoSpaceDE/>
      <w:autoSpaceDN/>
      <w:adjustRightInd/>
      <w:spacing w:after="240"/>
      <w:ind w:firstLine="720"/>
      <w:jc w:val="both"/>
    </w:pPr>
  </w:style>
  <w:style w:type="paragraph" w:customStyle="1" w:styleId="A4">
    <w:name w:val="A4"/>
    <w:rsid w:val="002831AB"/>
    <w:pPr>
      <w:tabs>
        <w:tab w:val="left" w:pos="-720"/>
      </w:tabs>
      <w:spacing w:line="360" w:lineRule="atLeast"/>
    </w:pPr>
    <w:rPr>
      <w:rFonts w:ascii="Courier" w:hAnsi="Courier"/>
      <w:sz w:val="24"/>
      <w:lang w:val="en-US"/>
    </w:rPr>
  </w:style>
  <w:style w:type="paragraph" w:customStyle="1" w:styleId="TitleItalicIndent05">
    <w:name w:val="Title Italic Indent 0.5&quot;"/>
    <w:basedOn w:val="Normal"/>
    <w:uiPriority w:val="99"/>
    <w:rsid w:val="002831AB"/>
    <w:pPr>
      <w:keepNext/>
      <w:spacing w:after="240"/>
      <w:ind w:left="720"/>
    </w:pPr>
    <w:rPr>
      <w:rFonts w:ascii="Times" w:hAnsi="Times" w:cs="Times"/>
      <w:i/>
      <w:lang w:val="en-US" w:eastAsia="es-ES"/>
    </w:rPr>
  </w:style>
  <w:style w:type="paragraph" w:customStyle="1" w:styleId="BodyText31">
    <w:name w:val="Body Text 31"/>
    <w:basedOn w:val="Normal"/>
    <w:uiPriority w:val="99"/>
    <w:rsid w:val="002831AB"/>
    <w:rPr>
      <w:rFonts w:ascii="Times New Roman" w:hAnsi="Times New Roman"/>
      <w:lang w:eastAsia="es-ES"/>
    </w:rPr>
  </w:style>
  <w:style w:type="character" w:customStyle="1" w:styleId="TitleBCChar">
    <w:name w:val="Title BC Char"/>
    <w:rsid w:val="002831AB"/>
    <w:rPr>
      <w:rFonts w:ascii="Times New Roman Bold" w:hAnsi="Times New Roman Bold"/>
      <w:b/>
      <w:caps/>
      <w:spacing w:val="0"/>
      <w:sz w:val="24"/>
      <w:lang w:val="en-US" w:eastAsia="x-none"/>
    </w:rPr>
  </w:style>
  <w:style w:type="paragraph" w:customStyle="1" w:styleId="BodyText2J">
    <w:name w:val="Body Text 2 J"/>
    <w:basedOn w:val="Textoindependiente2"/>
    <w:rsid w:val="002831AB"/>
    <w:pPr>
      <w:jc w:val="both"/>
    </w:pPr>
  </w:style>
  <w:style w:type="paragraph" w:customStyle="1" w:styleId="Textodeglobo1">
    <w:name w:val="Texto de globo1"/>
    <w:basedOn w:val="Normal"/>
    <w:rsid w:val="002831AB"/>
    <w:pPr>
      <w:autoSpaceDE w:val="0"/>
      <w:autoSpaceDN w:val="0"/>
      <w:adjustRightInd w:val="0"/>
    </w:pPr>
    <w:rPr>
      <w:rFonts w:ascii="Tahoma" w:hAnsi="Tahoma" w:cs="Tahoma"/>
      <w:sz w:val="16"/>
      <w:szCs w:val="16"/>
      <w:lang w:val="en-US" w:eastAsia="es-AR"/>
    </w:rPr>
  </w:style>
  <w:style w:type="paragraph" w:styleId="Sangra2detindependiente">
    <w:name w:val="Body Text Indent 2"/>
    <w:basedOn w:val="Normal"/>
    <w:link w:val="Sangra2detindependienteCar"/>
    <w:rsid w:val="002831AB"/>
    <w:pPr>
      <w:autoSpaceDE w:val="0"/>
      <w:autoSpaceDN w:val="0"/>
      <w:adjustRightInd w:val="0"/>
      <w:spacing w:after="120" w:line="480" w:lineRule="auto"/>
      <w:ind w:left="283"/>
    </w:pPr>
    <w:rPr>
      <w:rFonts w:ascii="Times New Roman" w:hAnsi="Times New Roman"/>
      <w:lang w:val="en-US" w:eastAsia="x-none"/>
    </w:rPr>
  </w:style>
  <w:style w:type="character" w:customStyle="1" w:styleId="Sangra2detindependienteCar">
    <w:name w:val="Sangría 2 de t. independiente Car"/>
    <w:link w:val="Sangra2detindependiente"/>
    <w:locked/>
    <w:rsid w:val="002831AB"/>
    <w:rPr>
      <w:rFonts w:ascii="Times New Roman" w:eastAsia="Times New Roman" w:hAnsi="Times New Roman"/>
      <w:lang w:val="en-US" w:eastAsia="x-none"/>
    </w:rPr>
  </w:style>
  <w:style w:type="character" w:customStyle="1" w:styleId="CarCar1">
    <w:name w:val="Car Car1"/>
    <w:rsid w:val="002831AB"/>
    <w:rPr>
      <w:sz w:val="18"/>
      <w:lang w:val="en-US" w:eastAsia="en-US"/>
    </w:rPr>
  </w:style>
  <w:style w:type="character" w:customStyle="1" w:styleId="CarCar">
    <w:name w:val="Car Car"/>
    <w:rsid w:val="002831AB"/>
    <w:rPr>
      <w:sz w:val="18"/>
      <w:lang w:val="en-US" w:eastAsia="en-US"/>
    </w:rPr>
  </w:style>
  <w:style w:type="paragraph" w:customStyle="1" w:styleId="CarCarCarCar">
    <w:name w:val="Car Car Car Car"/>
    <w:basedOn w:val="Normal"/>
    <w:rsid w:val="002831AB"/>
    <w:pPr>
      <w:spacing w:after="160" w:line="240" w:lineRule="exact"/>
    </w:pPr>
    <w:rPr>
      <w:rFonts w:ascii="Verdana" w:eastAsia="PMingLiU" w:hAnsi="Verdana"/>
      <w:lang w:val="en-US" w:eastAsia="es-AR"/>
    </w:rPr>
  </w:style>
  <w:style w:type="paragraph" w:styleId="TDC2">
    <w:name w:val="toc 2"/>
    <w:basedOn w:val="Normal"/>
    <w:next w:val="Normal"/>
    <w:autoRedefine/>
    <w:uiPriority w:val="39"/>
    <w:rsid w:val="0088297A"/>
    <w:pPr>
      <w:tabs>
        <w:tab w:val="right" w:leader="dot" w:pos="8505"/>
      </w:tabs>
      <w:spacing w:before="100" w:after="100"/>
      <w:ind w:left="567" w:right="709"/>
    </w:pPr>
    <w:rPr>
      <w:rFonts w:ascii="Times New Roman" w:hAnsi="Times New Roman"/>
      <w:noProof/>
      <w:lang w:val="es-ES" w:eastAsia="es-AR"/>
    </w:rPr>
  </w:style>
  <w:style w:type="paragraph" w:styleId="TDC3">
    <w:name w:val="toc 3"/>
    <w:basedOn w:val="Normal"/>
    <w:next w:val="Normal"/>
    <w:autoRedefine/>
    <w:uiPriority w:val="39"/>
    <w:rsid w:val="00AE1DFE"/>
    <w:pPr>
      <w:tabs>
        <w:tab w:val="right" w:leader="dot" w:pos="8931"/>
        <w:tab w:val="right" w:leader="dot" w:pos="9344"/>
      </w:tabs>
      <w:spacing w:before="120" w:after="120"/>
      <w:ind w:left="1560" w:right="284"/>
    </w:pPr>
    <w:rPr>
      <w:rFonts w:ascii="Times New Roman" w:hAnsi="Times New Roman"/>
      <w:noProof/>
      <w:szCs w:val="24"/>
      <w:lang w:eastAsia="es-AR"/>
    </w:rPr>
  </w:style>
  <w:style w:type="paragraph" w:styleId="TDC4">
    <w:name w:val="toc 4"/>
    <w:basedOn w:val="Normal"/>
    <w:next w:val="Normal"/>
    <w:autoRedefine/>
    <w:uiPriority w:val="39"/>
    <w:rsid w:val="002831AB"/>
    <w:pPr>
      <w:tabs>
        <w:tab w:val="right" w:leader="dot" w:pos="9360"/>
      </w:tabs>
      <w:spacing w:after="240"/>
      <w:ind w:left="2880" w:hanging="2880"/>
    </w:pPr>
    <w:rPr>
      <w:rFonts w:ascii="Times New Roman" w:hAnsi="Times New Roman"/>
      <w:noProof/>
      <w:sz w:val="16"/>
      <w:szCs w:val="16"/>
      <w:lang w:val="es-ES" w:eastAsia="es-AR"/>
    </w:rPr>
  </w:style>
  <w:style w:type="paragraph" w:styleId="TDC5">
    <w:name w:val="toc 5"/>
    <w:basedOn w:val="Normal"/>
    <w:next w:val="Normal"/>
    <w:autoRedefine/>
    <w:uiPriority w:val="39"/>
    <w:rsid w:val="002831AB"/>
    <w:pPr>
      <w:tabs>
        <w:tab w:val="right" w:leader="dot" w:pos="9360"/>
      </w:tabs>
      <w:spacing w:after="240"/>
      <w:ind w:left="3600" w:hanging="720"/>
    </w:pPr>
    <w:rPr>
      <w:rFonts w:ascii="Times New Roman" w:hAnsi="Times New Roman"/>
      <w:noProof/>
      <w:szCs w:val="24"/>
      <w:lang w:val="en-US" w:eastAsia="es-AR"/>
    </w:rPr>
  </w:style>
  <w:style w:type="paragraph" w:styleId="TDC6">
    <w:name w:val="toc 6"/>
    <w:basedOn w:val="Normal"/>
    <w:next w:val="Normal"/>
    <w:autoRedefine/>
    <w:uiPriority w:val="39"/>
    <w:rsid w:val="002831AB"/>
    <w:pPr>
      <w:tabs>
        <w:tab w:val="right" w:leader="dot" w:pos="9360"/>
      </w:tabs>
      <w:spacing w:after="240"/>
      <w:ind w:left="4320" w:hanging="720"/>
    </w:pPr>
    <w:rPr>
      <w:rFonts w:ascii="Times New Roman" w:hAnsi="Times New Roman"/>
      <w:noProof/>
      <w:szCs w:val="24"/>
      <w:lang w:val="en-US" w:eastAsia="es-AR"/>
    </w:rPr>
  </w:style>
  <w:style w:type="paragraph" w:styleId="TDC7">
    <w:name w:val="toc 7"/>
    <w:basedOn w:val="Normal"/>
    <w:next w:val="Normal"/>
    <w:autoRedefine/>
    <w:uiPriority w:val="39"/>
    <w:rsid w:val="002831AB"/>
    <w:pPr>
      <w:tabs>
        <w:tab w:val="right" w:leader="dot" w:pos="2297"/>
        <w:tab w:val="left" w:leader="dot" w:pos="2880"/>
        <w:tab w:val="left" w:leader="dot" w:pos="9360"/>
      </w:tabs>
    </w:pPr>
    <w:rPr>
      <w:rFonts w:ascii="Times New Roman" w:hAnsi="Times New Roman"/>
      <w:noProof/>
      <w:szCs w:val="24"/>
      <w:lang w:val="en-US" w:eastAsia="es-AR"/>
    </w:rPr>
  </w:style>
  <w:style w:type="paragraph" w:styleId="TDC8">
    <w:name w:val="toc 8"/>
    <w:basedOn w:val="Normal"/>
    <w:next w:val="Normal"/>
    <w:autoRedefine/>
    <w:uiPriority w:val="39"/>
    <w:rsid w:val="002831AB"/>
    <w:pPr>
      <w:tabs>
        <w:tab w:val="right" w:leader="dot" w:pos="9360"/>
      </w:tabs>
      <w:spacing w:after="240"/>
      <w:ind w:left="5760" w:hanging="720"/>
    </w:pPr>
    <w:rPr>
      <w:rFonts w:ascii="Times New Roman" w:hAnsi="Times New Roman"/>
      <w:noProof/>
      <w:szCs w:val="24"/>
      <w:lang w:val="en-US" w:eastAsia="es-AR"/>
    </w:rPr>
  </w:style>
  <w:style w:type="paragraph" w:styleId="TDC9">
    <w:name w:val="toc 9"/>
    <w:basedOn w:val="Normal"/>
    <w:next w:val="Normal"/>
    <w:autoRedefine/>
    <w:uiPriority w:val="39"/>
    <w:rsid w:val="002831AB"/>
    <w:pPr>
      <w:tabs>
        <w:tab w:val="right" w:leader="dot" w:pos="9360"/>
      </w:tabs>
      <w:spacing w:after="240"/>
      <w:ind w:left="6480" w:hanging="720"/>
    </w:pPr>
    <w:rPr>
      <w:rFonts w:ascii="Times New Roman" w:hAnsi="Times New Roman"/>
      <w:noProof/>
      <w:szCs w:val="24"/>
      <w:lang w:val="en-US" w:eastAsia="es-AR"/>
    </w:rPr>
  </w:style>
  <w:style w:type="paragraph" w:customStyle="1" w:styleId="5hanging">
    <w:name w:val=".5 hanging"/>
    <w:basedOn w:val="Normal"/>
    <w:rsid w:val="002831AB"/>
    <w:pPr>
      <w:spacing w:after="240"/>
      <w:ind w:left="720" w:firstLine="720"/>
    </w:pPr>
    <w:rPr>
      <w:rFonts w:ascii="Times New Roman" w:hAnsi="Times New Roman"/>
      <w:szCs w:val="24"/>
      <w:lang w:val="en-US" w:eastAsia="es-AR"/>
    </w:rPr>
  </w:style>
  <w:style w:type="paragraph" w:customStyle="1" w:styleId="BodyTextNumbered">
    <w:name w:val="Body Text Numbered"/>
    <w:basedOn w:val="Textoindependiente"/>
    <w:rsid w:val="002831AB"/>
    <w:pPr>
      <w:numPr>
        <w:numId w:val="14"/>
      </w:numPr>
      <w:autoSpaceDE/>
      <w:autoSpaceDN/>
      <w:adjustRightInd/>
      <w:spacing w:after="0" w:line="480" w:lineRule="auto"/>
    </w:pPr>
    <w:rPr>
      <w:sz w:val="24"/>
      <w:szCs w:val="24"/>
    </w:rPr>
  </w:style>
  <w:style w:type="paragraph" w:customStyle="1" w:styleId="BlockText1Sgl">
    <w:name w:val="Block Text 1 Sgl"/>
    <w:basedOn w:val="Normal"/>
    <w:rsid w:val="002831AB"/>
    <w:pPr>
      <w:spacing w:after="240"/>
      <w:ind w:left="1440" w:right="1440"/>
    </w:pPr>
    <w:rPr>
      <w:rFonts w:ascii="Times New Roman" w:hAnsi="Times New Roman"/>
      <w:szCs w:val="24"/>
      <w:lang w:val="en-US" w:eastAsia="es-AR"/>
    </w:rPr>
  </w:style>
  <w:style w:type="paragraph" w:customStyle="1" w:styleId="TitleUC">
    <w:name w:val="Title UC"/>
    <w:basedOn w:val="Normal"/>
    <w:next w:val="Normal"/>
    <w:rsid w:val="002831AB"/>
    <w:pPr>
      <w:spacing w:after="240"/>
      <w:jc w:val="center"/>
      <w:outlineLvl w:val="0"/>
    </w:pPr>
    <w:rPr>
      <w:rFonts w:ascii="Times New Roman" w:hAnsi="Times New Roman"/>
      <w:szCs w:val="24"/>
      <w:u w:val="single"/>
      <w:lang w:val="en-US" w:eastAsia="es-AR"/>
    </w:rPr>
  </w:style>
  <w:style w:type="paragraph" w:customStyle="1" w:styleId="EndnoteTextMore">
    <w:name w:val="Endnote TextMore"/>
    <w:basedOn w:val="Textonotaalfinal"/>
    <w:rsid w:val="002831AB"/>
    <w:pPr>
      <w:ind w:firstLine="0"/>
    </w:pPr>
  </w:style>
  <w:style w:type="paragraph" w:styleId="Textonotaalfinal">
    <w:name w:val="endnote text"/>
    <w:basedOn w:val="Normal"/>
    <w:next w:val="EndnoteTextMore"/>
    <w:link w:val="TextonotaalfinalCar"/>
    <w:uiPriority w:val="99"/>
    <w:rsid w:val="00B86C83"/>
    <w:pPr>
      <w:spacing w:after="240"/>
      <w:ind w:left="720" w:hanging="720"/>
    </w:pPr>
    <w:rPr>
      <w:rFonts w:ascii="Times New Roman" w:hAnsi="Times New Roman"/>
      <w:sz w:val="24"/>
      <w:lang w:val="en-US" w:eastAsia="x-none"/>
    </w:rPr>
  </w:style>
  <w:style w:type="character" w:customStyle="1" w:styleId="TextonotaalfinalCar">
    <w:name w:val="Texto nota al final Car"/>
    <w:link w:val="Textonotaalfinal"/>
    <w:uiPriority w:val="99"/>
    <w:locked/>
    <w:rsid w:val="002831AB"/>
    <w:rPr>
      <w:rFonts w:ascii="Times New Roman" w:hAnsi="Times New Roman"/>
      <w:sz w:val="24"/>
      <w:lang w:val="en-US" w:eastAsia="x-none"/>
    </w:rPr>
  </w:style>
  <w:style w:type="paragraph" w:customStyle="1" w:styleId="BlockText5">
    <w:name w:val="Block Text .5"/>
    <w:basedOn w:val="Normal"/>
    <w:rsid w:val="002831AB"/>
    <w:pPr>
      <w:spacing w:line="480" w:lineRule="auto"/>
      <w:ind w:left="720" w:right="720"/>
    </w:pPr>
    <w:rPr>
      <w:rFonts w:ascii="Times New Roman" w:hAnsi="Times New Roman"/>
      <w:szCs w:val="24"/>
      <w:lang w:val="en-US" w:eastAsia="es-AR"/>
    </w:rPr>
  </w:style>
  <w:style w:type="paragraph" w:styleId="Sangradetextonormal">
    <w:name w:val="Body Text Indent"/>
    <w:aliases w:val="Sangría de t. independiente"/>
    <w:basedOn w:val="Normal"/>
    <w:link w:val="SangradetextonormalCar"/>
    <w:qFormat/>
    <w:rsid w:val="00B86C83"/>
    <w:pPr>
      <w:spacing w:after="240"/>
      <w:ind w:left="720"/>
    </w:pPr>
    <w:rPr>
      <w:rFonts w:ascii="Times New Roman" w:hAnsi="Times New Roman"/>
      <w:sz w:val="24"/>
      <w:lang w:val="en-US" w:eastAsia="x-none"/>
    </w:rPr>
  </w:style>
  <w:style w:type="character" w:customStyle="1" w:styleId="SangradetextonormalCar">
    <w:name w:val="Sangría de texto normal Car"/>
    <w:aliases w:val="Sangría de t. independiente Car"/>
    <w:link w:val="Sangradetextonormal"/>
    <w:locked/>
    <w:rsid w:val="002831AB"/>
    <w:rPr>
      <w:rFonts w:ascii="Times New Roman" w:hAnsi="Times New Roman"/>
      <w:sz w:val="24"/>
      <w:lang w:val="en-US" w:eastAsia="x-none"/>
    </w:rPr>
  </w:style>
  <w:style w:type="paragraph" w:customStyle="1" w:styleId="BodyText3J">
    <w:name w:val="Body Text 3 J"/>
    <w:basedOn w:val="Textoindependiente3"/>
    <w:rsid w:val="002831AB"/>
    <w:pPr>
      <w:jc w:val="both"/>
    </w:pPr>
  </w:style>
  <w:style w:type="paragraph" w:styleId="Textoindependiente3">
    <w:name w:val="Body Text 3"/>
    <w:basedOn w:val="Normal"/>
    <w:link w:val="Textoindependiente3Car"/>
    <w:rsid w:val="002831AB"/>
    <w:pPr>
      <w:spacing w:line="360" w:lineRule="auto"/>
      <w:ind w:firstLine="1440"/>
    </w:pPr>
    <w:rPr>
      <w:rFonts w:ascii="Times New Roman" w:hAnsi="Times New Roman"/>
      <w:sz w:val="24"/>
      <w:lang w:val="en-US" w:eastAsia="x-none"/>
    </w:rPr>
  </w:style>
  <w:style w:type="character" w:customStyle="1" w:styleId="Textoindependiente3Car">
    <w:name w:val="Texto independiente 3 Car"/>
    <w:link w:val="Textoindependiente3"/>
    <w:locked/>
    <w:rsid w:val="002831AB"/>
    <w:rPr>
      <w:rFonts w:ascii="Times New Roman" w:eastAsia="Times New Roman" w:hAnsi="Times New Roman"/>
      <w:sz w:val="24"/>
      <w:lang w:val="en-US" w:eastAsia="x-none"/>
    </w:rPr>
  </w:style>
  <w:style w:type="paragraph" w:customStyle="1" w:styleId="BodyTextJ">
    <w:name w:val="Body Text J"/>
    <w:basedOn w:val="Textoindependiente"/>
    <w:rsid w:val="002831AB"/>
    <w:pPr>
      <w:autoSpaceDE/>
      <w:autoSpaceDN/>
      <w:adjustRightInd/>
      <w:spacing w:after="0" w:line="480" w:lineRule="auto"/>
      <w:ind w:firstLine="1440"/>
      <w:jc w:val="both"/>
    </w:pPr>
    <w:rPr>
      <w:sz w:val="24"/>
      <w:szCs w:val="24"/>
    </w:rPr>
  </w:style>
  <w:style w:type="paragraph" w:styleId="Fecha">
    <w:name w:val="Date"/>
    <w:basedOn w:val="Normal"/>
    <w:next w:val="Normal"/>
    <w:link w:val="FechaCar"/>
    <w:rsid w:val="002831AB"/>
    <w:pPr>
      <w:spacing w:after="240"/>
    </w:pPr>
    <w:rPr>
      <w:rFonts w:ascii="Times New Roman" w:hAnsi="Times New Roman"/>
      <w:sz w:val="24"/>
      <w:lang w:val="en-US" w:eastAsia="x-none"/>
    </w:rPr>
  </w:style>
  <w:style w:type="character" w:customStyle="1" w:styleId="FechaCar">
    <w:name w:val="Fecha Car"/>
    <w:link w:val="Fecha"/>
    <w:locked/>
    <w:rsid w:val="002831AB"/>
    <w:rPr>
      <w:rFonts w:ascii="Times New Roman" w:eastAsia="Times New Roman" w:hAnsi="Times New Roman"/>
      <w:sz w:val="24"/>
      <w:lang w:val="en-US" w:eastAsia="x-none"/>
    </w:rPr>
  </w:style>
  <w:style w:type="paragraph" w:styleId="Textoindependienteprimerasangra2">
    <w:name w:val="Body Text First Indent 2"/>
    <w:basedOn w:val="Sangradetextonormal"/>
    <w:link w:val="Textoindependienteprimerasangra2Car"/>
    <w:uiPriority w:val="99"/>
    <w:rsid w:val="002831AB"/>
    <w:pPr>
      <w:ind w:firstLine="720"/>
    </w:pPr>
  </w:style>
  <w:style w:type="character" w:customStyle="1" w:styleId="Textoindependienteprimerasangra2Car">
    <w:name w:val="Texto independiente primera sangría 2 Car"/>
    <w:link w:val="Textoindependienteprimerasangra2"/>
    <w:uiPriority w:val="99"/>
    <w:locked/>
    <w:rsid w:val="002831AB"/>
    <w:rPr>
      <w:rFonts w:ascii="Times New Roman" w:eastAsia="Times New Roman" w:hAnsi="Times New Roman"/>
      <w:sz w:val="24"/>
      <w:lang w:val="en-US" w:eastAsia="x-none"/>
    </w:rPr>
  </w:style>
  <w:style w:type="paragraph" w:styleId="Saludo">
    <w:name w:val="Salutation"/>
    <w:basedOn w:val="Normal"/>
    <w:next w:val="Normal"/>
    <w:link w:val="SaludoCar"/>
    <w:rsid w:val="002831AB"/>
    <w:rPr>
      <w:rFonts w:ascii="Times New Roman" w:hAnsi="Times New Roman"/>
      <w:sz w:val="24"/>
      <w:lang w:val="en-US" w:eastAsia="x-none"/>
    </w:rPr>
  </w:style>
  <w:style w:type="character" w:customStyle="1" w:styleId="SaludoCar">
    <w:name w:val="Saludo Car"/>
    <w:link w:val="Saludo"/>
    <w:locked/>
    <w:rsid w:val="002831AB"/>
    <w:rPr>
      <w:rFonts w:ascii="Times New Roman" w:eastAsia="Times New Roman" w:hAnsi="Times New Roman"/>
      <w:sz w:val="24"/>
      <w:lang w:val="en-US" w:eastAsia="x-none"/>
    </w:rPr>
  </w:style>
  <w:style w:type="paragraph" w:styleId="Cierre">
    <w:name w:val="Closing"/>
    <w:basedOn w:val="Normal"/>
    <w:link w:val="CierreCar"/>
    <w:qFormat/>
    <w:rsid w:val="002831AB"/>
    <w:pPr>
      <w:spacing w:after="600"/>
      <w:ind w:left="4320"/>
    </w:pPr>
    <w:rPr>
      <w:rFonts w:ascii="Times New Roman" w:hAnsi="Times New Roman"/>
      <w:sz w:val="24"/>
      <w:lang w:val="en-US" w:eastAsia="x-none"/>
    </w:rPr>
  </w:style>
  <w:style w:type="character" w:customStyle="1" w:styleId="CierreCar">
    <w:name w:val="Cierre Car"/>
    <w:link w:val="Cierre"/>
    <w:locked/>
    <w:rsid w:val="002831AB"/>
    <w:rPr>
      <w:rFonts w:ascii="Times New Roman" w:eastAsia="Times New Roman" w:hAnsi="Times New Roman"/>
      <w:sz w:val="24"/>
      <w:lang w:val="en-US" w:eastAsia="x-none"/>
    </w:rPr>
  </w:style>
  <w:style w:type="paragraph" w:styleId="Direccinsobre">
    <w:name w:val="envelope address"/>
    <w:basedOn w:val="Normal"/>
    <w:uiPriority w:val="99"/>
    <w:rsid w:val="002831AB"/>
    <w:pPr>
      <w:framePr w:w="7920" w:h="1980" w:hRule="exact" w:hSpace="180" w:wrap="auto" w:hAnchor="page" w:xAlign="center" w:yAlign="bottom"/>
      <w:ind w:left="2880"/>
    </w:pPr>
    <w:rPr>
      <w:rFonts w:ascii="Times New Roman" w:hAnsi="Times New Roman"/>
      <w:szCs w:val="24"/>
      <w:lang w:val="en-US" w:eastAsia="es-AR"/>
    </w:rPr>
  </w:style>
  <w:style w:type="paragraph" w:styleId="ndice1">
    <w:name w:val="index 1"/>
    <w:basedOn w:val="Normal"/>
    <w:next w:val="Normal"/>
    <w:autoRedefine/>
    <w:semiHidden/>
    <w:rsid w:val="002831AB"/>
    <w:pPr>
      <w:ind w:left="360" w:hanging="360"/>
    </w:pPr>
    <w:rPr>
      <w:rFonts w:ascii="Times New Roman" w:hAnsi="Times New Roman"/>
      <w:szCs w:val="24"/>
      <w:lang w:val="en-US" w:eastAsia="es-AR"/>
    </w:rPr>
  </w:style>
  <w:style w:type="paragraph" w:styleId="ndice2">
    <w:name w:val="index 2"/>
    <w:basedOn w:val="Normal"/>
    <w:next w:val="Normal"/>
    <w:autoRedefine/>
    <w:semiHidden/>
    <w:rsid w:val="002831AB"/>
    <w:pPr>
      <w:numPr>
        <w:numId w:val="33"/>
      </w:numPr>
      <w:autoSpaceDE w:val="0"/>
      <w:autoSpaceDN w:val="0"/>
      <w:adjustRightInd w:val="0"/>
      <w:jc w:val="both"/>
    </w:pPr>
    <w:rPr>
      <w:rFonts w:ascii="Times New Roman" w:hAnsi="Times New Roman"/>
      <w:lang w:val="en-US" w:eastAsia="es-AR"/>
    </w:rPr>
  </w:style>
  <w:style w:type="paragraph" w:styleId="ndice3">
    <w:name w:val="index 3"/>
    <w:basedOn w:val="Normal"/>
    <w:next w:val="Normal"/>
    <w:autoRedefine/>
    <w:semiHidden/>
    <w:rsid w:val="002831AB"/>
    <w:pPr>
      <w:ind w:left="1080" w:hanging="360"/>
    </w:pPr>
    <w:rPr>
      <w:rFonts w:ascii="Times New Roman" w:hAnsi="Times New Roman"/>
      <w:szCs w:val="24"/>
      <w:lang w:val="en-US" w:eastAsia="es-AR"/>
    </w:rPr>
  </w:style>
  <w:style w:type="paragraph" w:styleId="ndice4">
    <w:name w:val="index 4"/>
    <w:basedOn w:val="Normal"/>
    <w:next w:val="Normal"/>
    <w:autoRedefine/>
    <w:semiHidden/>
    <w:rsid w:val="002831AB"/>
    <w:pPr>
      <w:ind w:left="1440" w:hanging="360"/>
    </w:pPr>
    <w:rPr>
      <w:rFonts w:ascii="Times New Roman" w:hAnsi="Times New Roman"/>
      <w:szCs w:val="24"/>
      <w:lang w:val="en-US" w:eastAsia="es-AR"/>
    </w:rPr>
  </w:style>
  <w:style w:type="paragraph" w:styleId="ndice5">
    <w:name w:val="index 5"/>
    <w:basedOn w:val="Normal"/>
    <w:next w:val="Normal"/>
    <w:autoRedefine/>
    <w:semiHidden/>
    <w:rsid w:val="002831AB"/>
    <w:pPr>
      <w:ind w:left="1800" w:hanging="360"/>
    </w:pPr>
    <w:rPr>
      <w:rFonts w:ascii="Times New Roman" w:hAnsi="Times New Roman"/>
      <w:szCs w:val="24"/>
      <w:lang w:val="en-US" w:eastAsia="es-AR"/>
    </w:rPr>
  </w:style>
  <w:style w:type="paragraph" w:styleId="ndice6">
    <w:name w:val="index 6"/>
    <w:basedOn w:val="Normal"/>
    <w:next w:val="Normal"/>
    <w:autoRedefine/>
    <w:semiHidden/>
    <w:rsid w:val="002831AB"/>
    <w:pPr>
      <w:ind w:left="2160" w:hanging="360"/>
    </w:pPr>
    <w:rPr>
      <w:rFonts w:ascii="Times New Roman" w:hAnsi="Times New Roman"/>
      <w:szCs w:val="24"/>
      <w:lang w:val="en-US" w:eastAsia="es-AR"/>
    </w:rPr>
  </w:style>
  <w:style w:type="paragraph" w:styleId="ndice7">
    <w:name w:val="index 7"/>
    <w:basedOn w:val="Normal"/>
    <w:next w:val="Normal"/>
    <w:autoRedefine/>
    <w:semiHidden/>
    <w:rsid w:val="002831AB"/>
    <w:pPr>
      <w:ind w:left="2520" w:hanging="360"/>
    </w:pPr>
    <w:rPr>
      <w:rFonts w:ascii="Times New Roman" w:hAnsi="Times New Roman"/>
      <w:szCs w:val="24"/>
      <w:lang w:val="en-US" w:eastAsia="es-AR"/>
    </w:rPr>
  </w:style>
  <w:style w:type="paragraph" w:styleId="ndice8">
    <w:name w:val="index 8"/>
    <w:basedOn w:val="Normal"/>
    <w:next w:val="Normal"/>
    <w:autoRedefine/>
    <w:semiHidden/>
    <w:rsid w:val="002831AB"/>
    <w:pPr>
      <w:ind w:left="2880" w:hanging="360"/>
    </w:pPr>
    <w:rPr>
      <w:rFonts w:ascii="Times New Roman" w:hAnsi="Times New Roman"/>
      <w:szCs w:val="24"/>
      <w:lang w:val="en-US" w:eastAsia="es-AR"/>
    </w:rPr>
  </w:style>
  <w:style w:type="paragraph" w:styleId="ndice9">
    <w:name w:val="index 9"/>
    <w:basedOn w:val="Normal"/>
    <w:next w:val="Normal"/>
    <w:autoRedefine/>
    <w:semiHidden/>
    <w:rsid w:val="002831AB"/>
    <w:pPr>
      <w:ind w:left="3240" w:hanging="360"/>
    </w:pPr>
    <w:rPr>
      <w:rFonts w:ascii="Times New Roman" w:hAnsi="Times New Roman"/>
      <w:szCs w:val="24"/>
      <w:lang w:val="en-US" w:eastAsia="es-AR"/>
    </w:rPr>
  </w:style>
  <w:style w:type="paragraph" w:styleId="Ttulodendice">
    <w:name w:val="index heading"/>
    <w:basedOn w:val="Normal"/>
    <w:next w:val="ndice1"/>
    <w:semiHidden/>
    <w:rsid w:val="002831AB"/>
    <w:pPr>
      <w:keepNext/>
      <w:spacing w:after="240"/>
      <w:jc w:val="center"/>
    </w:pPr>
    <w:rPr>
      <w:rFonts w:ascii="Times New Roman" w:hAnsi="Times New Roman"/>
      <w:b/>
      <w:bCs/>
      <w:szCs w:val="24"/>
      <w:lang w:val="en-US" w:eastAsia="es-AR"/>
    </w:rPr>
  </w:style>
  <w:style w:type="paragraph" w:styleId="Continuarlista">
    <w:name w:val="List Continue"/>
    <w:basedOn w:val="Normal"/>
    <w:rsid w:val="002831AB"/>
    <w:pPr>
      <w:spacing w:after="240"/>
      <w:ind w:left="360"/>
    </w:pPr>
    <w:rPr>
      <w:rFonts w:ascii="Times New Roman" w:hAnsi="Times New Roman"/>
      <w:szCs w:val="24"/>
      <w:lang w:val="en-US" w:eastAsia="es-AR"/>
    </w:rPr>
  </w:style>
  <w:style w:type="paragraph" w:styleId="Continuarlista2">
    <w:name w:val="List Continue 2"/>
    <w:basedOn w:val="Normal"/>
    <w:rsid w:val="002831AB"/>
    <w:pPr>
      <w:spacing w:after="240"/>
      <w:ind w:left="720"/>
    </w:pPr>
    <w:rPr>
      <w:rFonts w:ascii="Times New Roman" w:hAnsi="Times New Roman"/>
      <w:szCs w:val="24"/>
      <w:lang w:val="en-US" w:eastAsia="es-AR"/>
    </w:rPr>
  </w:style>
  <w:style w:type="paragraph" w:styleId="Continuarlista3">
    <w:name w:val="List Continue 3"/>
    <w:basedOn w:val="Normal"/>
    <w:rsid w:val="002831AB"/>
    <w:pPr>
      <w:spacing w:after="240"/>
      <w:ind w:left="1080"/>
    </w:pPr>
    <w:rPr>
      <w:rFonts w:ascii="Times New Roman" w:hAnsi="Times New Roman"/>
      <w:szCs w:val="24"/>
      <w:lang w:val="en-US" w:eastAsia="es-AR"/>
    </w:rPr>
  </w:style>
  <w:style w:type="paragraph" w:styleId="Continuarlista4">
    <w:name w:val="List Continue 4"/>
    <w:basedOn w:val="Normal"/>
    <w:rsid w:val="002831AB"/>
    <w:pPr>
      <w:spacing w:after="240"/>
      <w:ind w:left="1440"/>
    </w:pPr>
    <w:rPr>
      <w:rFonts w:ascii="Times New Roman" w:hAnsi="Times New Roman"/>
      <w:szCs w:val="24"/>
      <w:lang w:val="en-US" w:eastAsia="es-AR"/>
    </w:rPr>
  </w:style>
  <w:style w:type="paragraph" w:styleId="Continuarlista5">
    <w:name w:val="List Continue 5"/>
    <w:basedOn w:val="Normal"/>
    <w:rsid w:val="002831AB"/>
    <w:pPr>
      <w:spacing w:after="240"/>
      <w:ind w:left="1800"/>
    </w:pPr>
    <w:rPr>
      <w:rFonts w:ascii="Times New Roman" w:hAnsi="Times New Roman"/>
      <w:szCs w:val="24"/>
      <w:lang w:val="en-US" w:eastAsia="es-AR"/>
    </w:rPr>
  </w:style>
  <w:style w:type="paragraph" w:styleId="Subttulo">
    <w:name w:val="Subtitle"/>
    <w:basedOn w:val="Normal"/>
    <w:link w:val="SubttuloCar"/>
    <w:uiPriority w:val="11"/>
    <w:qFormat/>
    <w:rsid w:val="002831AB"/>
    <w:pPr>
      <w:autoSpaceDE w:val="0"/>
      <w:autoSpaceDN w:val="0"/>
      <w:adjustRightInd w:val="0"/>
      <w:spacing w:after="60"/>
      <w:jc w:val="center"/>
      <w:outlineLvl w:val="1"/>
    </w:pPr>
    <w:rPr>
      <w:rFonts w:ascii="Cambria" w:hAnsi="Cambria"/>
      <w:sz w:val="24"/>
      <w:lang w:val="en-US" w:eastAsia="es-AR"/>
    </w:rPr>
  </w:style>
  <w:style w:type="character" w:customStyle="1" w:styleId="SubttuloCar">
    <w:name w:val="Subtítulo Car"/>
    <w:link w:val="Subttulo"/>
    <w:uiPriority w:val="11"/>
    <w:locked/>
    <w:rsid w:val="002831AB"/>
    <w:rPr>
      <w:rFonts w:ascii="Cambria" w:hAnsi="Cambria"/>
      <w:sz w:val="24"/>
      <w:lang w:val="en-US" w:eastAsia="es-AR"/>
    </w:rPr>
  </w:style>
  <w:style w:type="paragraph" w:styleId="Textoconsangra">
    <w:name w:val="table of authorities"/>
    <w:basedOn w:val="Normal"/>
    <w:next w:val="Normal"/>
    <w:semiHidden/>
    <w:rsid w:val="002831AB"/>
    <w:pPr>
      <w:spacing w:after="240"/>
      <w:ind w:left="720" w:hanging="720"/>
    </w:pPr>
    <w:rPr>
      <w:rFonts w:ascii="Times New Roman" w:hAnsi="Times New Roman"/>
      <w:szCs w:val="24"/>
      <w:lang w:val="en-US" w:eastAsia="es-AR"/>
    </w:rPr>
  </w:style>
  <w:style w:type="paragraph" w:styleId="Tabladeilustraciones">
    <w:name w:val="table of figures"/>
    <w:basedOn w:val="Normal"/>
    <w:next w:val="Normal"/>
    <w:semiHidden/>
    <w:rsid w:val="002831AB"/>
    <w:pPr>
      <w:spacing w:after="240"/>
      <w:ind w:left="720" w:hanging="720"/>
    </w:pPr>
    <w:rPr>
      <w:rFonts w:ascii="Times New Roman" w:hAnsi="Times New Roman"/>
      <w:szCs w:val="24"/>
      <w:lang w:val="en-US" w:eastAsia="es-AR"/>
    </w:rPr>
  </w:style>
  <w:style w:type="paragraph" w:customStyle="1" w:styleId="TitleBU">
    <w:name w:val="Title BU"/>
    <w:basedOn w:val="Normal"/>
    <w:next w:val="Textoindependiente"/>
    <w:rsid w:val="002831AB"/>
    <w:pPr>
      <w:spacing w:after="240"/>
      <w:outlineLvl w:val="0"/>
    </w:pPr>
    <w:rPr>
      <w:rFonts w:ascii="Times New Roman" w:hAnsi="Times New Roman"/>
      <w:b/>
      <w:bCs/>
      <w:szCs w:val="24"/>
      <w:u w:val="single"/>
      <w:lang w:val="en-US" w:eastAsia="es-AR"/>
    </w:rPr>
  </w:style>
  <w:style w:type="paragraph" w:customStyle="1" w:styleId="TitleBUC">
    <w:name w:val="Title BUC"/>
    <w:basedOn w:val="Normal"/>
    <w:next w:val="Textoindependiente"/>
    <w:rsid w:val="002831AB"/>
    <w:pPr>
      <w:spacing w:after="240"/>
      <w:jc w:val="center"/>
      <w:outlineLvl w:val="0"/>
    </w:pPr>
    <w:rPr>
      <w:rFonts w:ascii="Times New Roman" w:hAnsi="Times New Roman"/>
      <w:b/>
      <w:bCs/>
      <w:szCs w:val="24"/>
      <w:u w:val="single"/>
      <w:lang w:val="en-US" w:eastAsia="es-AR"/>
    </w:rPr>
  </w:style>
  <w:style w:type="paragraph" w:styleId="Encabezadodelista">
    <w:name w:val="toa heading"/>
    <w:basedOn w:val="Normal"/>
    <w:next w:val="Normal"/>
    <w:semiHidden/>
    <w:rsid w:val="002831AB"/>
    <w:pPr>
      <w:spacing w:after="240"/>
      <w:jc w:val="center"/>
    </w:pPr>
    <w:rPr>
      <w:rFonts w:ascii="Times New Roman" w:hAnsi="Times New Roman"/>
      <w:b/>
      <w:bCs/>
      <w:szCs w:val="24"/>
      <w:lang w:val="en-US" w:eastAsia="es-AR"/>
    </w:rPr>
  </w:style>
  <w:style w:type="paragraph" w:customStyle="1" w:styleId="CenteredU">
    <w:name w:val="Centered U"/>
    <w:basedOn w:val="Normal"/>
    <w:rsid w:val="002831AB"/>
    <w:pPr>
      <w:spacing w:after="240"/>
      <w:jc w:val="center"/>
    </w:pPr>
    <w:rPr>
      <w:rFonts w:ascii="Times New Roman" w:hAnsi="Times New Roman"/>
      <w:szCs w:val="24"/>
      <w:u w:val="single"/>
      <w:lang w:val="en-US" w:eastAsia="es-AR"/>
    </w:rPr>
  </w:style>
  <w:style w:type="paragraph" w:customStyle="1" w:styleId="CenteredBU">
    <w:name w:val="Centered BU"/>
    <w:basedOn w:val="Normal"/>
    <w:rsid w:val="002831AB"/>
    <w:pPr>
      <w:spacing w:after="240"/>
      <w:jc w:val="center"/>
    </w:pPr>
    <w:rPr>
      <w:rFonts w:ascii="Times New Roman" w:hAnsi="Times New Roman"/>
      <w:b/>
      <w:bCs/>
      <w:szCs w:val="24"/>
      <w:u w:val="single"/>
      <w:lang w:val="en-US" w:eastAsia="es-AR"/>
    </w:rPr>
  </w:style>
  <w:style w:type="paragraph" w:customStyle="1" w:styleId="BodyTextIndentInch">
    <w:name w:val="Body Text Indent Inch"/>
    <w:basedOn w:val="Normal"/>
    <w:rsid w:val="002831AB"/>
    <w:pPr>
      <w:spacing w:line="480" w:lineRule="auto"/>
      <w:ind w:left="1440"/>
    </w:pPr>
    <w:rPr>
      <w:rFonts w:ascii="Times New Roman" w:hAnsi="Times New Roman"/>
      <w:szCs w:val="24"/>
      <w:lang w:val="en-US" w:eastAsia="es-AR"/>
    </w:rPr>
  </w:style>
  <w:style w:type="paragraph" w:customStyle="1" w:styleId="BodyTextIndentInchSgl">
    <w:name w:val="Body Text Indent Inch Sgl"/>
    <w:basedOn w:val="Normal"/>
    <w:rsid w:val="002831AB"/>
    <w:pPr>
      <w:spacing w:after="240"/>
      <w:ind w:left="1440"/>
    </w:pPr>
    <w:rPr>
      <w:rFonts w:ascii="Times New Roman" w:hAnsi="Times New Roman"/>
      <w:szCs w:val="24"/>
      <w:lang w:val="en-US" w:eastAsia="es-AR"/>
    </w:rPr>
  </w:style>
  <w:style w:type="paragraph" w:customStyle="1" w:styleId="BodyTextIndentInchJ">
    <w:name w:val="Body Text Indent Inch J"/>
    <w:basedOn w:val="Normal"/>
    <w:rsid w:val="002831AB"/>
    <w:pPr>
      <w:spacing w:line="480" w:lineRule="auto"/>
      <w:ind w:left="1440"/>
      <w:jc w:val="both"/>
    </w:pPr>
    <w:rPr>
      <w:rFonts w:ascii="Times New Roman" w:hAnsi="Times New Roman"/>
      <w:szCs w:val="24"/>
      <w:lang w:val="en-US" w:eastAsia="es-AR"/>
    </w:rPr>
  </w:style>
  <w:style w:type="paragraph" w:customStyle="1" w:styleId="BodyTextIndentInchSglJ">
    <w:name w:val="Body Text Indent Inch Sgl J"/>
    <w:basedOn w:val="Normal"/>
    <w:rsid w:val="002831AB"/>
    <w:pPr>
      <w:spacing w:after="240"/>
      <w:ind w:left="1440"/>
      <w:jc w:val="both"/>
    </w:pPr>
    <w:rPr>
      <w:rFonts w:ascii="Times New Roman" w:hAnsi="Times New Roman"/>
      <w:szCs w:val="24"/>
      <w:lang w:val="en-US" w:eastAsia="es-AR"/>
    </w:rPr>
  </w:style>
  <w:style w:type="paragraph" w:customStyle="1" w:styleId="BlockText5J">
    <w:name w:val="Block Text .5 J"/>
    <w:basedOn w:val="BlockText5"/>
    <w:rsid w:val="002831AB"/>
    <w:pPr>
      <w:jc w:val="both"/>
    </w:pPr>
  </w:style>
  <w:style w:type="paragraph" w:customStyle="1" w:styleId="BlockText5Sgl">
    <w:name w:val="Block Text .5 Sgl"/>
    <w:basedOn w:val="Normal"/>
    <w:rsid w:val="002831AB"/>
    <w:pPr>
      <w:spacing w:after="240"/>
      <w:ind w:left="720"/>
    </w:pPr>
    <w:rPr>
      <w:rFonts w:ascii="Times New Roman" w:hAnsi="Times New Roman"/>
      <w:szCs w:val="24"/>
      <w:lang w:val="en-US" w:eastAsia="es-AR"/>
    </w:rPr>
  </w:style>
  <w:style w:type="paragraph" w:customStyle="1" w:styleId="BlockText1J">
    <w:name w:val="Block Text 1 J"/>
    <w:basedOn w:val="Normal"/>
    <w:rsid w:val="002831AB"/>
    <w:pPr>
      <w:spacing w:line="480" w:lineRule="auto"/>
      <w:ind w:left="1440" w:right="1440"/>
      <w:jc w:val="both"/>
    </w:pPr>
    <w:rPr>
      <w:rFonts w:ascii="Times New Roman" w:hAnsi="Times New Roman"/>
      <w:szCs w:val="24"/>
      <w:lang w:val="en-US" w:eastAsia="es-AR"/>
    </w:rPr>
  </w:style>
  <w:style w:type="paragraph" w:customStyle="1" w:styleId="BlockText1SglJ">
    <w:name w:val="Block Text 1 Sgl J"/>
    <w:basedOn w:val="Normal"/>
    <w:rsid w:val="002831AB"/>
    <w:pPr>
      <w:spacing w:after="240"/>
      <w:ind w:left="1440" w:right="1440"/>
      <w:jc w:val="both"/>
    </w:pPr>
    <w:rPr>
      <w:rFonts w:ascii="Times New Roman" w:hAnsi="Times New Roman"/>
      <w:szCs w:val="24"/>
      <w:lang w:val="en-US" w:eastAsia="es-AR"/>
    </w:rPr>
  </w:style>
  <w:style w:type="paragraph" w:customStyle="1" w:styleId="BodyTextSglJ">
    <w:name w:val="Body Text Sgl J"/>
    <w:basedOn w:val="Normal"/>
    <w:rsid w:val="002831AB"/>
    <w:pPr>
      <w:spacing w:after="240"/>
      <w:ind w:firstLine="1440"/>
      <w:jc w:val="both"/>
    </w:pPr>
    <w:rPr>
      <w:rFonts w:ascii="Times New Roman" w:hAnsi="Times New Roman"/>
      <w:szCs w:val="24"/>
      <w:lang w:val="en-US" w:eastAsia="es-AR"/>
    </w:rPr>
  </w:style>
  <w:style w:type="paragraph" w:customStyle="1" w:styleId="BodyTextIndentSgl">
    <w:name w:val="Body Text Indent Sgl"/>
    <w:basedOn w:val="Normal"/>
    <w:rsid w:val="002831AB"/>
    <w:pPr>
      <w:spacing w:after="240"/>
      <w:ind w:left="720"/>
    </w:pPr>
    <w:rPr>
      <w:rFonts w:ascii="Times New Roman" w:hAnsi="Times New Roman"/>
      <w:szCs w:val="24"/>
      <w:lang w:val="en-US" w:eastAsia="es-AR"/>
    </w:rPr>
  </w:style>
  <w:style w:type="paragraph" w:customStyle="1" w:styleId="BodyTextIndentJ">
    <w:name w:val="Body Text Indent J"/>
    <w:basedOn w:val="Normal"/>
    <w:rsid w:val="002831AB"/>
    <w:pPr>
      <w:spacing w:line="480" w:lineRule="auto"/>
      <w:ind w:left="720"/>
      <w:jc w:val="both"/>
    </w:pPr>
    <w:rPr>
      <w:rFonts w:ascii="Times New Roman" w:hAnsi="Times New Roman"/>
      <w:szCs w:val="24"/>
      <w:lang w:val="en-US" w:eastAsia="es-AR"/>
    </w:rPr>
  </w:style>
  <w:style w:type="paragraph" w:customStyle="1" w:styleId="BodyTextIndentSglJ">
    <w:name w:val="Body Text Indent Sgl J"/>
    <w:basedOn w:val="Normal"/>
    <w:rsid w:val="002831AB"/>
    <w:pPr>
      <w:spacing w:after="240"/>
      <w:ind w:left="720"/>
      <w:jc w:val="both"/>
    </w:pPr>
    <w:rPr>
      <w:rFonts w:ascii="Times New Roman" w:hAnsi="Times New Roman"/>
      <w:szCs w:val="24"/>
      <w:lang w:val="en-US" w:eastAsia="es-AR"/>
    </w:rPr>
  </w:style>
  <w:style w:type="paragraph" w:customStyle="1" w:styleId="RightAlign">
    <w:name w:val="Right Align"/>
    <w:basedOn w:val="CenteredB"/>
    <w:rsid w:val="002831AB"/>
  </w:style>
  <w:style w:type="paragraph" w:customStyle="1" w:styleId="TableFootnotes">
    <w:name w:val="Table Footnotes"/>
    <w:basedOn w:val="Normal"/>
    <w:rsid w:val="002831AB"/>
    <w:pPr>
      <w:spacing w:after="60"/>
      <w:ind w:left="360" w:hanging="360"/>
    </w:pPr>
    <w:rPr>
      <w:rFonts w:ascii="Times New Roman" w:hAnsi="Times New Roman"/>
      <w:color w:val="000000"/>
      <w:szCs w:val="24"/>
      <w:lang w:val="en-US" w:eastAsia="es-AR"/>
    </w:rPr>
  </w:style>
  <w:style w:type="paragraph" w:styleId="Mapadeldocumento">
    <w:name w:val="Document Map"/>
    <w:basedOn w:val="Normal"/>
    <w:link w:val="MapadeldocumentoCar"/>
    <w:rsid w:val="00B86C83"/>
    <w:pPr>
      <w:shd w:val="clear" w:color="auto" w:fill="000080"/>
    </w:pPr>
    <w:rPr>
      <w:rFonts w:ascii="Tahoma" w:hAnsi="Tahoma"/>
      <w:sz w:val="24"/>
      <w:lang w:val="en-US" w:eastAsia="x-none"/>
    </w:rPr>
  </w:style>
  <w:style w:type="character" w:customStyle="1" w:styleId="MapadeldocumentoCar">
    <w:name w:val="Mapa del documento Car"/>
    <w:link w:val="Mapadeldocumento"/>
    <w:locked/>
    <w:rsid w:val="002831AB"/>
    <w:rPr>
      <w:rFonts w:ascii="Tahoma" w:hAnsi="Tahoma"/>
      <w:sz w:val="24"/>
      <w:shd w:val="clear" w:color="auto" w:fill="000080"/>
      <w:lang w:val="en-US" w:eastAsia="x-none"/>
    </w:rPr>
  </w:style>
  <w:style w:type="character" w:customStyle="1" w:styleId="TableText9pt">
    <w:name w:val="Table Text 9pt"/>
    <w:rsid w:val="002831AB"/>
    <w:rPr>
      <w:rFonts w:ascii="Times New Roman" w:hAnsi="Times New Roman"/>
      <w:spacing w:val="0"/>
      <w:sz w:val="18"/>
    </w:rPr>
  </w:style>
  <w:style w:type="character" w:customStyle="1" w:styleId="TableText8pt">
    <w:name w:val="Table Text 8pt"/>
    <w:rsid w:val="002831AB"/>
    <w:rPr>
      <w:rFonts w:ascii="Arial" w:hAnsi="Arial"/>
      <w:spacing w:val="0"/>
      <w:sz w:val="16"/>
    </w:rPr>
  </w:style>
  <w:style w:type="character" w:customStyle="1" w:styleId="TableText7pt">
    <w:name w:val="Table Text 7pt"/>
    <w:rsid w:val="002831AB"/>
    <w:rPr>
      <w:rFonts w:ascii="Times New Roman" w:hAnsi="Times New Roman"/>
      <w:spacing w:val="0"/>
      <w:sz w:val="14"/>
    </w:rPr>
  </w:style>
  <w:style w:type="character" w:customStyle="1" w:styleId="TableText6pt">
    <w:name w:val="Table Text 6pt"/>
    <w:rsid w:val="002831AB"/>
    <w:rPr>
      <w:rFonts w:ascii="Times New Roman" w:hAnsi="Times New Roman"/>
      <w:spacing w:val="0"/>
      <w:sz w:val="12"/>
    </w:rPr>
  </w:style>
  <w:style w:type="paragraph" w:customStyle="1" w:styleId="TableFootnotes8pt">
    <w:name w:val="Table Footnotes 8pt"/>
    <w:basedOn w:val="Normal"/>
    <w:rsid w:val="002831AB"/>
    <w:pPr>
      <w:ind w:left="360" w:hanging="360"/>
    </w:pPr>
    <w:rPr>
      <w:rFonts w:ascii="Times New Roman" w:hAnsi="Times New Roman"/>
      <w:sz w:val="16"/>
      <w:szCs w:val="16"/>
      <w:lang w:val="en-US" w:eastAsia="es-AR"/>
    </w:rPr>
  </w:style>
  <w:style w:type="paragraph" w:customStyle="1" w:styleId="Heading5BoldItalic">
    <w:name w:val="Heading .5 Bold Italic"/>
    <w:basedOn w:val="Normal"/>
    <w:next w:val="Normal"/>
    <w:rsid w:val="002831AB"/>
    <w:pPr>
      <w:keepNext/>
      <w:spacing w:after="240"/>
      <w:ind w:left="720"/>
    </w:pPr>
    <w:rPr>
      <w:rFonts w:ascii="Times New Roman" w:hAnsi="Times New Roman"/>
      <w:b/>
      <w:bCs/>
      <w:i/>
      <w:iCs/>
      <w:szCs w:val="24"/>
      <w:lang w:val="en-US" w:eastAsia="es-AR"/>
    </w:rPr>
  </w:style>
  <w:style w:type="paragraph" w:customStyle="1" w:styleId="HeadingLeftBold">
    <w:name w:val="Heading Left Bold"/>
    <w:basedOn w:val="Normal"/>
    <w:next w:val="Normal"/>
    <w:rsid w:val="002831AB"/>
    <w:pPr>
      <w:keepNext/>
      <w:spacing w:after="240"/>
    </w:pPr>
    <w:rPr>
      <w:rFonts w:ascii="Times New Roman" w:hAnsi="Times New Roman"/>
      <w:b/>
      <w:bCs/>
      <w:szCs w:val="24"/>
      <w:lang w:val="en-US" w:eastAsia="es-AR"/>
    </w:rPr>
  </w:style>
  <w:style w:type="paragraph" w:customStyle="1" w:styleId="Heading5Bold">
    <w:name w:val="Heading .5 Bold"/>
    <w:basedOn w:val="Normal"/>
    <w:next w:val="Normal"/>
    <w:rsid w:val="002831AB"/>
    <w:pPr>
      <w:keepNext/>
      <w:spacing w:after="240"/>
      <w:ind w:left="720"/>
    </w:pPr>
    <w:rPr>
      <w:rFonts w:ascii="Times New Roman" w:hAnsi="Times New Roman"/>
      <w:b/>
      <w:bCs/>
      <w:szCs w:val="24"/>
      <w:lang w:val="en-US" w:eastAsia="es-AR"/>
    </w:rPr>
  </w:style>
  <w:style w:type="paragraph" w:styleId="Lista5">
    <w:name w:val="List 5"/>
    <w:basedOn w:val="Normal"/>
    <w:uiPriority w:val="99"/>
    <w:rsid w:val="002831AB"/>
    <w:pPr>
      <w:ind w:left="1800" w:hanging="360"/>
    </w:pPr>
    <w:rPr>
      <w:rFonts w:ascii="Times New Roman" w:hAnsi="Times New Roman"/>
      <w:sz w:val="24"/>
      <w:szCs w:val="24"/>
      <w:lang w:val="en-US" w:eastAsia="es-AR"/>
    </w:rPr>
  </w:style>
  <w:style w:type="paragraph" w:customStyle="1" w:styleId="Heading5Italic">
    <w:name w:val="Heading .5 Italic"/>
    <w:basedOn w:val="Normal"/>
    <w:next w:val="Normal"/>
    <w:rsid w:val="002831AB"/>
    <w:pPr>
      <w:keepNext/>
      <w:spacing w:after="240"/>
      <w:ind w:left="720"/>
    </w:pPr>
    <w:rPr>
      <w:rFonts w:ascii="Times New Roman" w:hAnsi="Times New Roman"/>
      <w:i/>
      <w:iCs/>
      <w:szCs w:val="24"/>
      <w:lang w:val="en-US" w:eastAsia="es-AR"/>
    </w:rPr>
  </w:style>
  <w:style w:type="paragraph" w:customStyle="1" w:styleId="TitleBCPart2">
    <w:name w:val="Title BC Part 2"/>
    <w:basedOn w:val="Normal"/>
    <w:rsid w:val="002831AB"/>
    <w:pPr>
      <w:keepNext/>
      <w:spacing w:after="240"/>
      <w:jc w:val="center"/>
      <w:outlineLvl w:val="1"/>
    </w:pPr>
    <w:rPr>
      <w:rFonts w:ascii="Times New Roman" w:hAnsi="Times New Roman"/>
      <w:b/>
      <w:bCs/>
      <w:caps/>
      <w:szCs w:val="24"/>
      <w:lang w:val="en-US" w:eastAsia="es-AR"/>
    </w:rPr>
  </w:style>
  <w:style w:type="paragraph" w:customStyle="1" w:styleId="TOCManualEntry">
    <w:name w:val="TOC Manual Entry"/>
    <w:basedOn w:val="Normal"/>
    <w:rsid w:val="002831AB"/>
    <w:pPr>
      <w:tabs>
        <w:tab w:val="right" w:leader="dot" w:pos="9360"/>
      </w:tabs>
      <w:ind w:left="360" w:hanging="360"/>
    </w:pPr>
    <w:rPr>
      <w:rFonts w:ascii="Times New Roman" w:hAnsi="Times New Roman"/>
      <w:szCs w:val="24"/>
      <w:lang w:val="en-US" w:eastAsia="es-AR"/>
    </w:rPr>
  </w:style>
  <w:style w:type="paragraph" w:customStyle="1" w:styleId="CG-LeftInd05">
    <w:name w:val="CG-Left Ind 0.5"/>
    <w:aliases w:val="i1"/>
    <w:basedOn w:val="Normal"/>
    <w:rsid w:val="002831AB"/>
    <w:pPr>
      <w:autoSpaceDE w:val="0"/>
      <w:autoSpaceDN w:val="0"/>
      <w:adjustRightInd w:val="0"/>
      <w:spacing w:after="220"/>
      <w:ind w:left="720"/>
    </w:pPr>
    <w:rPr>
      <w:rFonts w:ascii="Times New Roman" w:eastAsia="MS Mincho" w:hAnsi="Times New Roman"/>
      <w:sz w:val="22"/>
      <w:szCs w:val="22"/>
      <w:lang w:val="en-US" w:eastAsia="es-AR"/>
    </w:rPr>
  </w:style>
  <w:style w:type="paragraph" w:customStyle="1" w:styleId="CarCarCarCarCarCar1Car">
    <w:name w:val="Car Car Car Car Car Car1 Car"/>
    <w:basedOn w:val="Normal"/>
    <w:rsid w:val="002831AB"/>
    <w:pPr>
      <w:spacing w:after="160" w:line="240" w:lineRule="exact"/>
    </w:pPr>
    <w:rPr>
      <w:rFonts w:ascii="Verdana" w:eastAsia="PMingLiU" w:hAnsi="Verdana"/>
      <w:lang w:val="en-US" w:eastAsia="es-AR"/>
    </w:rPr>
  </w:style>
  <w:style w:type="paragraph" w:customStyle="1" w:styleId="Notes">
    <w:name w:val="Notes"/>
    <w:basedOn w:val="Normal"/>
    <w:uiPriority w:val="99"/>
    <w:rsid w:val="002831AB"/>
    <w:pPr>
      <w:tabs>
        <w:tab w:val="left" w:pos="360"/>
      </w:tabs>
      <w:ind w:left="360" w:hanging="360"/>
      <w:jc w:val="both"/>
    </w:pPr>
    <w:rPr>
      <w:rFonts w:ascii="Times New Roman" w:hAnsi="Times New Roman"/>
      <w:szCs w:val="24"/>
      <w:lang w:val="en-US" w:eastAsia="es-AR"/>
    </w:rPr>
  </w:style>
  <w:style w:type="character" w:customStyle="1" w:styleId="BlockTextSglChar">
    <w:name w:val="Block Text Sgl Char"/>
    <w:rsid w:val="002831AB"/>
    <w:rPr>
      <w:lang w:val="en-US" w:eastAsia="en-US"/>
    </w:rPr>
  </w:style>
  <w:style w:type="character" w:customStyle="1" w:styleId="CharChar2">
    <w:name w:val="Char Char2"/>
    <w:rsid w:val="002831AB"/>
    <w:rPr>
      <w:spacing w:val="0"/>
      <w:sz w:val="24"/>
      <w:lang w:val="en-US" w:eastAsia="x-none"/>
    </w:rPr>
  </w:style>
  <w:style w:type="character" w:customStyle="1" w:styleId="CharChar">
    <w:name w:val="Char Char"/>
    <w:rsid w:val="002831AB"/>
    <w:rPr>
      <w:sz w:val="24"/>
      <w:lang w:val="en-US" w:eastAsia="en-US"/>
    </w:rPr>
  </w:style>
  <w:style w:type="paragraph" w:customStyle="1" w:styleId="Car">
    <w:name w:val="Car"/>
    <w:basedOn w:val="Normal"/>
    <w:rsid w:val="002831AB"/>
    <w:pPr>
      <w:spacing w:after="160" w:line="240" w:lineRule="exact"/>
    </w:pPr>
    <w:rPr>
      <w:rFonts w:ascii="Verdana" w:eastAsia="PMingLiU" w:hAnsi="Verdana"/>
      <w:lang w:val="en-US" w:eastAsia="es-AR"/>
    </w:rPr>
  </w:style>
  <w:style w:type="character" w:styleId="nfasis">
    <w:name w:val="Emphasis"/>
    <w:uiPriority w:val="20"/>
    <w:qFormat/>
    <w:rsid w:val="002831AB"/>
    <w:rPr>
      <w:i/>
    </w:rPr>
  </w:style>
  <w:style w:type="character" w:styleId="Textoennegrita">
    <w:name w:val="Strong"/>
    <w:uiPriority w:val="22"/>
    <w:qFormat/>
    <w:rsid w:val="002831AB"/>
    <w:rPr>
      <w:b/>
    </w:rPr>
  </w:style>
  <w:style w:type="paragraph" w:customStyle="1" w:styleId="TitleBI">
    <w:name w:val="Title BI"/>
    <w:basedOn w:val="TitleL"/>
    <w:rsid w:val="002831AB"/>
    <w:pPr>
      <w:autoSpaceDE/>
      <w:autoSpaceDN/>
      <w:adjustRightInd/>
      <w:ind w:left="720"/>
    </w:pPr>
    <w:rPr>
      <w:rFonts w:cs="Arial"/>
      <w:i/>
      <w:iCs/>
      <w:sz w:val="24"/>
      <w:szCs w:val="24"/>
    </w:rPr>
  </w:style>
  <w:style w:type="paragraph" w:customStyle="1" w:styleId="STBBullet2">
    <w:name w:val="STB Bullet 2"/>
    <w:basedOn w:val="Normal"/>
    <w:rsid w:val="002831AB"/>
    <w:pPr>
      <w:numPr>
        <w:numId w:val="19"/>
      </w:numPr>
      <w:spacing w:after="240"/>
    </w:pPr>
    <w:rPr>
      <w:rFonts w:ascii="Times New Roman" w:hAnsi="Times New Roman"/>
      <w:szCs w:val="24"/>
      <w:lang w:val="en-US" w:eastAsia="es-AR"/>
    </w:rPr>
  </w:style>
  <w:style w:type="paragraph" w:customStyle="1" w:styleId="STBListNumber1">
    <w:name w:val="STB List Number 1"/>
    <w:basedOn w:val="Normal"/>
    <w:rsid w:val="002831AB"/>
    <w:pPr>
      <w:numPr>
        <w:numId w:val="24"/>
      </w:numPr>
      <w:spacing w:after="240"/>
    </w:pPr>
    <w:rPr>
      <w:rFonts w:ascii="Times New Roman" w:hAnsi="Times New Roman"/>
      <w:szCs w:val="24"/>
      <w:lang w:val="en-US" w:eastAsia="es-AR"/>
    </w:rPr>
  </w:style>
  <w:style w:type="paragraph" w:customStyle="1" w:styleId="STBListNumber2">
    <w:name w:val="STB List Number 2"/>
    <w:basedOn w:val="Normal"/>
    <w:rsid w:val="002831AB"/>
    <w:pPr>
      <w:numPr>
        <w:numId w:val="26"/>
      </w:numPr>
      <w:spacing w:after="240"/>
    </w:pPr>
    <w:rPr>
      <w:rFonts w:ascii="Times New Roman" w:hAnsi="Times New Roman"/>
      <w:szCs w:val="24"/>
      <w:lang w:val="en-US" w:eastAsia="es-AR"/>
    </w:rPr>
  </w:style>
  <w:style w:type="paragraph" w:styleId="Lista4">
    <w:name w:val="List 4"/>
    <w:basedOn w:val="Normal"/>
    <w:uiPriority w:val="99"/>
    <w:rsid w:val="002831AB"/>
    <w:pPr>
      <w:ind w:left="1440" w:hanging="360"/>
    </w:pPr>
    <w:rPr>
      <w:rFonts w:ascii="Times New Roman" w:hAnsi="Times New Roman"/>
      <w:szCs w:val="24"/>
      <w:lang w:val="en-US" w:eastAsia="es-AR"/>
    </w:rPr>
  </w:style>
  <w:style w:type="paragraph" w:customStyle="1" w:styleId="TableText0">
    <w:name w:val="Table Text*"/>
    <w:basedOn w:val="Normal"/>
    <w:rsid w:val="002831AB"/>
    <w:pPr>
      <w:spacing w:after="240"/>
    </w:pPr>
    <w:rPr>
      <w:rFonts w:ascii="Times New Roman" w:hAnsi="Times New Roman"/>
      <w:szCs w:val="24"/>
      <w:lang w:val="en-US" w:eastAsia="es-AR"/>
    </w:rPr>
  </w:style>
  <w:style w:type="paragraph" w:customStyle="1" w:styleId="STBBullet1DBL">
    <w:name w:val="STB Bullet 1 DBL"/>
    <w:basedOn w:val="Normal"/>
    <w:rsid w:val="002831AB"/>
    <w:pPr>
      <w:numPr>
        <w:numId w:val="18"/>
      </w:numPr>
      <w:spacing w:line="480" w:lineRule="auto"/>
    </w:pPr>
    <w:rPr>
      <w:rFonts w:ascii="Times New Roman" w:hAnsi="Times New Roman"/>
      <w:szCs w:val="24"/>
      <w:lang w:val="en-US" w:eastAsia="es-AR"/>
    </w:rPr>
  </w:style>
  <w:style w:type="paragraph" w:customStyle="1" w:styleId="STBBullet2DBL">
    <w:name w:val="STB Bullet 2 DBL"/>
    <w:basedOn w:val="Normal"/>
    <w:rsid w:val="002831AB"/>
    <w:pPr>
      <w:numPr>
        <w:numId w:val="20"/>
      </w:numPr>
      <w:spacing w:line="480" w:lineRule="auto"/>
    </w:pPr>
    <w:rPr>
      <w:rFonts w:ascii="Times New Roman" w:hAnsi="Times New Roman"/>
      <w:szCs w:val="24"/>
      <w:lang w:val="en-US" w:eastAsia="es-AR"/>
    </w:rPr>
  </w:style>
  <w:style w:type="paragraph" w:customStyle="1" w:styleId="STBBullet3">
    <w:name w:val="STB Bullet 3"/>
    <w:basedOn w:val="Normal"/>
    <w:rsid w:val="002831AB"/>
    <w:pPr>
      <w:numPr>
        <w:numId w:val="21"/>
      </w:numPr>
      <w:spacing w:after="240"/>
    </w:pPr>
    <w:rPr>
      <w:rFonts w:ascii="Times New Roman" w:hAnsi="Times New Roman"/>
      <w:szCs w:val="24"/>
      <w:lang w:val="en-US" w:eastAsia="es-AR"/>
    </w:rPr>
  </w:style>
  <w:style w:type="paragraph" w:customStyle="1" w:styleId="STBBullet3DBL">
    <w:name w:val="STB Bullet 3 DBL"/>
    <w:basedOn w:val="Normal"/>
    <w:rsid w:val="002831AB"/>
    <w:pPr>
      <w:numPr>
        <w:numId w:val="22"/>
      </w:numPr>
      <w:spacing w:line="480" w:lineRule="auto"/>
    </w:pPr>
    <w:rPr>
      <w:rFonts w:ascii="Times New Roman" w:hAnsi="Times New Roman"/>
      <w:szCs w:val="24"/>
      <w:lang w:val="en-US" w:eastAsia="es-AR"/>
    </w:rPr>
  </w:style>
  <w:style w:type="paragraph" w:customStyle="1" w:styleId="STBBullet4">
    <w:name w:val="STB Bullet 4"/>
    <w:basedOn w:val="Normal"/>
    <w:rsid w:val="002831AB"/>
    <w:pPr>
      <w:numPr>
        <w:numId w:val="23"/>
      </w:numPr>
      <w:spacing w:after="240"/>
    </w:pPr>
    <w:rPr>
      <w:rFonts w:ascii="Times New Roman" w:hAnsi="Times New Roman"/>
      <w:szCs w:val="24"/>
      <w:lang w:val="en-US" w:eastAsia="es-AR"/>
    </w:rPr>
  </w:style>
  <w:style w:type="paragraph" w:customStyle="1" w:styleId="STBListNumber1DBL">
    <w:name w:val="STB List Number 1 DBL"/>
    <w:basedOn w:val="Normal"/>
    <w:rsid w:val="002831AB"/>
    <w:pPr>
      <w:numPr>
        <w:numId w:val="25"/>
      </w:numPr>
      <w:spacing w:line="480" w:lineRule="auto"/>
    </w:pPr>
    <w:rPr>
      <w:rFonts w:ascii="Times New Roman" w:hAnsi="Times New Roman"/>
      <w:szCs w:val="24"/>
      <w:lang w:val="en-US" w:eastAsia="es-AR"/>
    </w:rPr>
  </w:style>
  <w:style w:type="paragraph" w:customStyle="1" w:styleId="STBListNumber2DBL">
    <w:name w:val="STB List Number 2 DBL"/>
    <w:basedOn w:val="Normal"/>
    <w:rsid w:val="002831AB"/>
    <w:pPr>
      <w:numPr>
        <w:numId w:val="27"/>
      </w:numPr>
      <w:spacing w:line="480" w:lineRule="auto"/>
    </w:pPr>
    <w:rPr>
      <w:rFonts w:ascii="Times New Roman" w:hAnsi="Times New Roman"/>
      <w:szCs w:val="24"/>
      <w:lang w:val="en-US" w:eastAsia="es-AR"/>
    </w:rPr>
  </w:style>
  <w:style w:type="paragraph" w:customStyle="1" w:styleId="STBListNumber3">
    <w:name w:val="STB List Number 3"/>
    <w:basedOn w:val="Normal"/>
    <w:rsid w:val="002831AB"/>
    <w:pPr>
      <w:numPr>
        <w:numId w:val="28"/>
      </w:numPr>
      <w:spacing w:after="240"/>
    </w:pPr>
    <w:rPr>
      <w:rFonts w:ascii="Times New Roman" w:hAnsi="Times New Roman"/>
      <w:szCs w:val="24"/>
      <w:lang w:val="en-US" w:eastAsia="es-AR"/>
    </w:rPr>
  </w:style>
  <w:style w:type="paragraph" w:customStyle="1" w:styleId="STBListNumber3DBL">
    <w:name w:val="STB List Number 3 DBL"/>
    <w:basedOn w:val="Normal"/>
    <w:rsid w:val="002831AB"/>
    <w:pPr>
      <w:numPr>
        <w:numId w:val="29"/>
      </w:numPr>
      <w:spacing w:line="480" w:lineRule="auto"/>
    </w:pPr>
    <w:rPr>
      <w:rFonts w:ascii="Times New Roman" w:hAnsi="Times New Roman"/>
      <w:szCs w:val="24"/>
      <w:lang w:val="en-US" w:eastAsia="es-AR"/>
    </w:rPr>
  </w:style>
  <w:style w:type="paragraph" w:customStyle="1" w:styleId="STBListNumber4">
    <w:name w:val="STB List Number 4"/>
    <w:basedOn w:val="Normal"/>
    <w:rsid w:val="002831AB"/>
    <w:pPr>
      <w:numPr>
        <w:numId w:val="30"/>
      </w:numPr>
      <w:spacing w:after="240"/>
    </w:pPr>
    <w:rPr>
      <w:rFonts w:ascii="Times New Roman" w:hAnsi="Times New Roman"/>
      <w:szCs w:val="24"/>
      <w:lang w:val="en-US" w:eastAsia="es-AR"/>
    </w:rPr>
  </w:style>
  <w:style w:type="paragraph" w:customStyle="1" w:styleId="STBListNumber4DBL">
    <w:name w:val="STB List Number 4 DBL"/>
    <w:basedOn w:val="Normal"/>
    <w:rsid w:val="002831AB"/>
    <w:pPr>
      <w:numPr>
        <w:numId w:val="31"/>
      </w:numPr>
      <w:spacing w:line="480" w:lineRule="auto"/>
    </w:pPr>
    <w:rPr>
      <w:rFonts w:ascii="Times New Roman" w:hAnsi="Times New Roman"/>
      <w:szCs w:val="24"/>
      <w:lang w:val="en-US" w:eastAsia="es-AR"/>
    </w:rPr>
  </w:style>
  <w:style w:type="paragraph" w:customStyle="1" w:styleId="ItalBodyText">
    <w:name w:val="Ital Body Text"/>
    <w:basedOn w:val="Textoindependiente"/>
    <w:rsid w:val="002831AB"/>
    <w:pPr>
      <w:autoSpaceDE/>
      <w:autoSpaceDN/>
      <w:adjustRightInd/>
      <w:spacing w:after="240" w:line="480" w:lineRule="auto"/>
      <w:ind w:firstLine="1440"/>
    </w:pPr>
    <w:rPr>
      <w:i/>
      <w:iCs/>
    </w:rPr>
  </w:style>
  <w:style w:type="character" w:styleId="Refdecomentario">
    <w:name w:val="annotation reference"/>
    <w:rsid w:val="002831AB"/>
    <w:rPr>
      <w:sz w:val="16"/>
    </w:rPr>
  </w:style>
  <w:style w:type="paragraph" w:customStyle="1" w:styleId="titleblockBI">
    <w:name w:val="title block BI"/>
    <w:basedOn w:val="Normal"/>
    <w:next w:val="Normal"/>
    <w:rsid w:val="002831AB"/>
    <w:pPr>
      <w:keepNext/>
      <w:spacing w:after="240"/>
    </w:pPr>
    <w:rPr>
      <w:rFonts w:ascii="Times New Roman Bold" w:hAnsi="Times New Roman Bold"/>
      <w:b/>
      <w:bCs/>
      <w:i/>
      <w:iCs/>
      <w:szCs w:val="24"/>
      <w:lang w:val="en-US" w:eastAsia="es-AR"/>
    </w:rPr>
  </w:style>
  <w:style w:type="paragraph" w:customStyle="1" w:styleId="title5BI">
    <w:name w:val="title .5 BI"/>
    <w:basedOn w:val="Normal"/>
    <w:next w:val="Normal"/>
    <w:rsid w:val="002831AB"/>
    <w:pPr>
      <w:spacing w:after="240"/>
      <w:ind w:left="720" w:right="144"/>
    </w:pPr>
    <w:rPr>
      <w:rFonts w:ascii="Times New Roman Bold" w:hAnsi="Times New Roman Bold"/>
      <w:b/>
      <w:bCs/>
      <w:i/>
      <w:iCs/>
      <w:sz w:val="19"/>
      <w:szCs w:val="19"/>
      <w:lang w:val="en-US" w:eastAsia="es-AR"/>
    </w:rPr>
  </w:style>
  <w:style w:type="paragraph" w:customStyle="1" w:styleId="Direct">
    <w:name w:val="Direct"/>
    <w:basedOn w:val="BodyTextIndentSgl"/>
    <w:rsid w:val="002831AB"/>
    <w:pPr>
      <w:ind w:left="1495" w:hanging="415"/>
    </w:pPr>
    <w:rPr>
      <w:sz w:val="19"/>
      <w:szCs w:val="19"/>
    </w:rPr>
  </w:style>
  <w:style w:type="character" w:customStyle="1" w:styleId="DeltaViewFormatChange">
    <w:name w:val="DeltaView Format Change"/>
    <w:rsid w:val="002831AB"/>
    <w:rPr>
      <w:color w:val="000000"/>
      <w:spacing w:val="0"/>
    </w:rPr>
  </w:style>
  <w:style w:type="paragraph" w:customStyle="1" w:styleId="IndentItalics">
    <w:name w:val="Indent/Italics"/>
    <w:basedOn w:val="Normal"/>
    <w:rsid w:val="002831AB"/>
    <w:pPr>
      <w:spacing w:after="240"/>
      <w:ind w:firstLine="720"/>
    </w:pPr>
    <w:rPr>
      <w:rFonts w:ascii="Times New Roman" w:hAnsi="Times New Roman"/>
      <w:i/>
      <w:szCs w:val="24"/>
      <w:lang w:val="en-US" w:eastAsia="es-AR"/>
    </w:rPr>
  </w:style>
  <w:style w:type="paragraph" w:customStyle="1" w:styleId="BLOCK250">
    <w:name w:val="BLOCK 2.50"/>
    <w:basedOn w:val="BLOCKINDENT250"/>
    <w:rsid w:val="002831AB"/>
    <w:pPr>
      <w:tabs>
        <w:tab w:val="left" w:leader="dot" w:pos="3600"/>
      </w:tabs>
      <w:ind w:firstLine="0"/>
    </w:pPr>
  </w:style>
  <w:style w:type="paragraph" w:customStyle="1" w:styleId="BOLDITALICS5INDENT">
    <w:name w:val="BOLD ITALICS/.5 INDENT"/>
    <w:basedOn w:val="Normal"/>
    <w:rsid w:val="002831AB"/>
    <w:pPr>
      <w:spacing w:after="240"/>
      <w:ind w:firstLine="720"/>
    </w:pPr>
    <w:rPr>
      <w:rFonts w:ascii="Times New Roman Bold" w:hAnsi="Times New Roman Bold"/>
      <w:b/>
      <w:i/>
      <w:szCs w:val="24"/>
      <w:lang w:val="en-US" w:eastAsia="es-AR"/>
    </w:rPr>
  </w:style>
  <w:style w:type="paragraph" w:customStyle="1" w:styleId="HeadingLeftBI">
    <w:name w:val="Heading Left B I"/>
    <w:basedOn w:val="Normal"/>
    <w:rsid w:val="002831AB"/>
    <w:pPr>
      <w:keepNext/>
      <w:spacing w:after="240"/>
    </w:pPr>
    <w:rPr>
      <w:rFonts w:ascii="Times New Roman" w:hAnsi="Times New Roman"/>
      <w:b/>
      <w:bCs/>
      <w:i/>
      <w:iCs/>
      <w:szCs w:val="24"/>
      <w:lang w:val="en-US" w:eastAsia="es-AR"/>
    </w:rPr>
  </w:style>
  <w:style w:type="paragraph" w:customStyle="1" w:styleId="Bullet5">
    <w:name w:val="Bullet .5"/>
    <w:basedOn w:val="Normal"/>
    <w:rsid w:val="002831AB"/>
    <w:pPr>
      <w:tabs>
        <w:tab w:val="num" w:pos="1080"/>
      </w:tabs>
      <w:spacing w:after="240"/>
      <w:ind w:left="1080" w:hanging="360"/>
    </w:pPr>
    <w:rPr>
      <w:rFonts w:ascii="Times New Roman" w:hAnsi="Times New Roman"/>
      <w:szCs w:val="24"/>
      <w:lang w:val="en-US" w:eastAsia="es-AR"/>
    </w:rPr>
  </w:style>
  <w:style w:type="paragraph" w:customStyle="1" w:styleId="Block25">
    <w:name w:val="Block .25"/>
    <w:basedOn w:val="Normal"/>
    <w:rsid w:val="002831AB"/>
    <w:pPr>
      <w:spacing w:after="240"/>
      <w:ind w:left="360"/>
    </w:pPr>
    <w:rPr>
      <w:rFonts w:ascii="Times New Roman" w:hAnsi="Times New Roman"/>
      <w:szCs w:val="24"/>
      <w:lang w:val="en-US" w:eastAsia="es-AR"/>
    </w:rPr>
  </w:style>
  <w:style w:type="paragraph" w:customStyle="1" w:styleId="TitleLI">
    <w:name w:val="Title L I"/>
    <w:basedOn w:val="TitleL"/>
    <w:rsid w:val="002831AB"/>
    <w:pPr>
      <w:keepNext/>
      <w:keepLines/>
      <w:autoSpaceDE/>
      <w:autoSpaceDN/>
      <w:adjustRightInd/>
    </w:pPr>
    <w:rPr>
      <w:rFonts w:cs="Arial"/>
      <w:i/>
      <w:sz w:val="24"/>
      <w:szCs w:val="32"/>
    </w:rPr>
  </w:style>
  <w:style w:type="paragraph" w:customStyle="1" w:styleId="TableText1">
    <w:name w:val="TableText"/>
    <w:aliases w:val="tt,Table text"/>
    <w:basedOn w:val="Normal"/>
    <w:rsid w:val="002831AB"/>
    <w:pPr>
      <w:tabs>
        <w:tab w:val="right" w:leader="dot" w:pos="4709"/>
      </w:tabs>
    </w:pPr>
    <w:rPr>
      <w:rFonts w:ascii="Times New Roman" w:hAnsi="Times New Roman"/>
      <w:sz w:val="16"/>
      <w:szCs w:val="24"/>
      <w:lang w:val="en-US" w:eastAsia="es-AR"/>
    </w:rPr>
  </w:style>
  <w:style w:type="paragraph" w:customStyle="1" w:styleId="NotesLine">
    <w:name w:val="Notes Line"/>
    <w:basedOn w:val="Normal"/>
    <w:rsid w:val="002831AB"/>
    <w:pPr>
      <w:pBdr>
        <w:bottom w:val="single" w:sz="4" w:space="1" w:color="auto"/>
      </w:pBdr>
      <w:ind w:right="7920"/>
    </w:pPr>
    <w:rPr>
      <w:rFonts w:ascii="Times New Roman" w:hAnsi="Times New Roman"/>
      <w:szCs w:val="24"/>
      <w:lang w:val="en-US" w:eastAsia="es-AR"/>
    </w:rPr>
  </w:style>
  <w:style w:type="paragraph" w:customStyle="1" w:styleId="TableRule">
    <w:name w:val="Table Rule"/>
    <w:basedOn w:val="Normal"/>
    <w:rsid w:val="002831AB"/>
    <w:pPr>
      <w:keepNext/>
      <w:spacing w:after="60"/>
    </w:pPr>
    <w:rPr>
      <w:rFonts w:ascii="Times New Roman" w:hAnsi="Times New Roman"/>
      <w:szCs w:val="24"/>
      <w:u w:val="single"/>
      <w:lang w:val="en-US" w:eastAsia="es-ES"/>
    </w:rPr>
  </w:style>
  <w:style w:type="paragraph" w:customStyle="1" w:styleId="textonota6">
    <w:name w:val="texto nota 6"/>
    <w:basedOn w:val="Normal"/>
    <w:rsid w:val="002831AB"/>
    <w:pPr>
      <w:ind w:left="2160"/>
      <w:jc w:val="both"/>
    </w:pPr>
    <w:rPr>
      <w:rFonts w:ascii="Times New Roman" w:hAnsi="Times New Roman" w:cs="Arial"/>
      <w:bCs/>
      <w:szCs w:val="24"/>
      <w:lang w:val="en-US" w:eastAsia="es-AR"/>
    </w:rPr>
  </w:style>
  <w:style w:type="character" w:customStyle="1" w:styleId="ListBulletChar">
    <w:name w:val="List Bullet Char"/>
    <w:rsid w:val="002831AB"/>
    <w:rPr>
      <w:lang w:val="en-US" w:eastAsia="en-US"/>
    </w:rPr>
  </w:style>
  <w:style w:type="character" w:customStyle="1" w:styleId="TitleChar">
    <w:name w:val="Title Char"/>
    <w:rsid w:val="002831AB"/>
    <w:rPr>
      <w:b/>
      <w:kern w:val="28"/>
      <w:lang w:val="en-US" w:eastAsia="en-US"/>
    </w:rPr>
  </w:style>
  <w:style w:type="character" w:customStyle="1" w:styleId="TitleLChar">
    <w:name w:val="Title L Char"/>
    <w:rsid w:val="002831AB"/>
    <w:rPr>
      <w:b/>
      <w:kern w:val="28"/>
      <w:lang w:val="en-US" w:eastAsia="en-US"/>
    </w:rPr>
  </w:style>
  <w:style w:type="paragraph" w:customStyle="1" w:styleId="TitleLBoldItalic">
    <w:name w:val="Title L Bold Italic"/>
    <w:basedOn w:val="Normal"/>
    <w:rsid w:val="002831AB"/>
    <w:pPr>
      <w:spacing w:after="240"/>
    </w:pPr>
    <w:rPr>
      <w:rFonts w:ascii="Times New Roman" w:hAnsi="Times New Roman"/>
      <w:b/>
      <w:i/>
      <w:szCs w:val="24"/>
      <w:lang w:val="en-US" w:eastAsia="es-AR"/>
    </w:rPr>
  </w:style>
  <w:style w:type="paragraph" w:customStyle="1" w:styleId="TitleL5">
    <w:name w:val="Title L .5"/>
    <w:basedOn w:val="Normal"/>
    <w:rsid w:val="002831AB"/>
    <w:pPr>
      <w:keepNext/>
      <w:spacing w:after="240"/>
      <w:ind w:left="720"/>
    </w:pPr>
    <w:rPr>
      <w:rFonts w:ascii="Times New Roman" w:hAnsi="Times New Roman"/>
      <w:b/>
      <w:i/>
      <w:iCs/>
      <w:szCs w:val="24"/>
      <w:lang w:val="en-US" w:eastAsia="es-AR"/>
    </w:rPr>
  </w:style>
  <w:style w:type="paragraph" w:customStyle="1" w:styleId="CoverTitle3">
    <w:name w:val="Cover Title 3"/>
    <w:basedOn w:val="Normal"/>
    <w:rsid w:val="002831AB"/>
    <w:pPr>
      <w:jc w:val="center"/>
    </w:pPr>
    <w:rPr>
      <w:rFonts w:ascii="Times New Roman" w:hAnsi="Times New Roman"/>
      <w:b/>
      <w:sz w:val="32"/>
      <w:szCs w:val="24"/>
      <w:lang w:val="en-US" w:eastAsia="es-AR"/>
    </w:rPr>
  </w:style>
  <w:style w:type="paragraph" w:customStyle="1" w:styleId="CoverTitle8">
    <w:name w:val="Cover Title 8"/>
    <w:basedOn w:val="Normal"/>
    <w:rsid w:val="002831AB"/>
    <w:pPr>
      <w:spacing w:after="120"/>
      <w:jc w:val="center"/>
    </w:pPr>
    <w:rPr>
      <w:rFonts w:ascii="Times New Roman" w:eastAsia="MS Mincho" w:hAnsi="Times New Roman"/>
      <w:sz w:val="18"/>
      <w:szCs w:val="24"/>
      <w:lang w:val="en-US" w:eastAsia="es-AR"/>
    </w:rPr>
  </w:style>
  <w:style w:type="paragraph" w:customStyle="1" w:styleId="CoverText">
    <w:name w:val="Cover Text"/>
    <w:basedOn w:val="Normal"/>
    <w:rsid w:val="002831AB"/>
    <w:pPr>
      <w:spacing w:line="216" w:lineRule="auto"/>
      <w:jc w:val="both"/>
    </w:pPr>
    <w:rPr>
      <w:rFonts w:ascii="Times New Roman" w:eastAsia="MS Mincho" w:hAnsi="Times New Roman"/>
      <w:sz w:val="18"/>
      <w:szCs w:val="24"/>
      <w:lang w:val="en-US" w:eastAsia="es-AR"/>
    </w:rPr>
  </w:style>
  <w:style w:type="paragraph" w:customStyle="1" w:styleId="CoverTitle4">
    <w:name w:val="Cover Title 4"/>
    <w:basedOn w:val="Normal"/>
    <w:rsid w:val="002831AB"/>
    <w:pPr>
      <w:jc w:val="center"/>
    </w:pPr>
    <w:rPr>
      <w:rFonts w:ascii="Times New Roman" w:hAnsi="Times New Roman"/>
      <w:b/>
      <w:sz w:val="28"/>
      <w:szCs w:val="24"/>
      <w:lang w:val="en-US" w:eastAsia="es-AR"/>
    </w:rPr>
  </w:style>
  <w:style w:type="paragraph" w:customStyle="1" w:styleId="CoverText3">
    <w:name w:val="Cover Text 3"/>
    <w:basedOn w:val="Normal"/>
    <w:rsid w:val="002831AB"/>
    <w:pPr>
      <w:spacing w:after="60"/>
      <w:ind w:left="706"/>
    </w:pPr>
    <w:rPr>
      <w:rFonts w:ascii="Times New Roman" w:eastAsia="MS Mincho" w:hAnsi="Times New Roman"/>
      <w:b/>
      <w:szCs w:val="24"/>
      <w:lang w:val="en-US" w:eastAsia="es-AR"/>
    </w:rPr>
  </w:style>
  <w:style w:type="paragraph" w:customStyle="1" w:styleId="CoverText2">
    <w:name w:val="Cover Text 2"/>
    <w:basedOn w:val="Normal"/>
    <w:rsid w:val="002831AB"/>
    <w:pPr>
      <w:spacing w:after="60" w:line="216" w:lineRule="auto"/>
      <w:ind w:left="706" w:firstLine="14"/>
      <w:jc w:val="both"/>
    </w:pPr>
    <w:rPr>
      <w:rFonts w:ascii="Times New Roman" w:eastAsia="MS Mincho" w:hAnsi="Times New Roman"/>
      <w:bCs/>
      <w:sz w:val="18"/>
      <w:szCs w:val="24"/>
      <w:lang w:val="en-US" w:eastAsia="es-AR"/>
    </w:rPr>
  </w:style>
  <w:style w:type="paragraph" w:customStyle="1" w:styleId="Footnote">
    <w:name w:val="Footnote"/>
    <w:basedOn w:val="Normal"/>
    <w:rsid w:val="002831AB"/>
    <w:pPr>
      <w:spacing w:before="120" w:line="240" w:lineRule="atLeast"/>
      <w:ind w:left="360" w:hanging="360"/>
      <w:jc w:val="both"/>
    </w:pPr>
    <w:rPr>
      <w:rFonts w:ascii="Times New Roman" w:hAnsi="Times New Roman"/>
      <w:szCs w:val="24"/>
      <w:lang w:val="en-US" w:eastAsia="es-AR"/>
    </w:rPr>
  </w:style>
  <w:style w:type="paragraph" w:customStyle="1" w:styleId="SigBlock">
    <w:name w:val="SigBlock"/>
    <w:basedOn w:val="Footnote"/>
    <w:rsid w:val="002831AB"/>
    <w:pPr>
      <w:keepLines/>
      <w:tabs>
        <w:tab w:val="left" w:pos="5400"/>
        <w:tab w:val="left" w:pos="5760"/>
        <w:tab w:val="center" w:pos="8280"/>
        <w:tab w:val="right" w:pos="10800"/>
      </w:tabs>
      <w:spacing w:before="0"/>
      <w:ind w:left="0" w:firstLine="0"/>
    </w:pPr>
  </w:style>
  <w:style w:type="paragraph" w:customStyle="1" w:styleId="NewFootnote">
    <w:name w:val="New Footnote"/>
    <w:basedOn w:val="Normal"/>
    <w:rsid w:val="002831AB"/>
    <w:pPr>
      <w:spacing w:before="60"/>
      <w:ind w:left="360" w:hanging="360"/>
    </w:pPr>
    <w:rPr>
      <w:rFonts w:ascii="Times New Roman" w:hAnsi="Times New Roman"/>
      <w:sz w:val="16"/>
      <w:szCs w:val="16"/>
      <w:lang w:val="en-US" w:eastAsia="es-AR"/>
    </w:rPr>
  </w:style>
  <w:style w:type="paragraph" w:customStyle="1" w:styleId="Bullet-1">
    <w:name w:val="Bullet-1"/>
    <w:basedOn w:val="Normal"/>
    <w:rsid w:val="002831AB"/>
    <w:pPr>
      <w:ind w:left="576" w:hanging="288"/>
    </w:pPr>
    <w:rPr>
      <w:rFonts w:ascii="Times New Roman" w:hAnsi="Times New Roman"/>
      <w:szCs w:val="24"/>
      <w:lang w:val="en-US" w:eastAsia="es-AR"/>
    </w:rPr>
  </w:style>
  <w:style w:type="paragraph" w:customStyle="1" w:styleId="Bullet">
    <w:name w:val="Bullet"/>
    <w:basedOn w:val="Normal"/>
    <w:link w:val="BulletCar"/>
    <w:qFormat/>
    <w:rsid w:val="002831AB"/>
    <w:pPr>
      <w:tabs>
        <w:tab w:val="num" w:pos="360"/>
      </w:tabs>
      <w:spacing w:after="240"/>
      <w:ind w:left="360" w:hanging="360"/>
    </w:pPr>
    <w:rPr>
      <w:rFonts w:ascii="Times New Roman" w:eastAsia="SimSun" w:hAnsi="Times New Roman"/>
      <w:sz w:val="24"/>
      <w:lang w:val="en-US" w:eastAsia="x-none"/>
    </w:rPr>
  </w:style>
  <w:style w:type="paragraph" w:customStyle="1" w:styleId="ListBullet6">
    <w:name w:val="List Bullet 6"/>
    <w:basedOn w:val="Listaconvietas2"/>
    <w:rsid w:val="002831AB"/>
    <w:pPr>
      <w:numPr>
        <w:numId w:val="0"/>
      </w:numPr>
      <w:tabs>
        <w:tab w:val="num" w:pos="2160"/>
      </w:tabs>
      <w:ind w:left="2160" w:hanging="360"/>
    </w:pPr>
    <w:rPr>
      <w:rFonts w:eastAsia="SimSun"/>
      <w:szCs w:val="24"/>
      <w:lang w:val="es-AR"/>
    </w:rPr>
  </w:style>
  <w:style w:type="paragraph" w:customStyle="1" w:styleId="Indentblocktext">
    <w:name w:val="Indent block text"/>
    <w:basedOn w:val="Normal"/>
    <w:rsid w:val="002831AB"/>
    <w:pPr>
      <w:spacing w:after="180"/>
      <w:ind w:firstLine="720"/>
      <w:jc w:val="both"/>
    </w:pPr>
    <w:rPr>
      <w:rFonts w:ascii="Tms Rmn" w:hAnsi="Tms Rmn"/>
      <w:szCs w:val="24"/>
      <w:lang w:val="en-US" w:eastAsia="es-AR"/>
    </w:rPr>
  </w:style>
  <w:style w:type="paragraph" w:customStyle="1" w:styleId="texto">
    <w:name w:val="texto"/>
    <w:basedOn w:val="Normal"/>
    <w:rsid w:val="002831AB"/>
    <w:pPr>
      <w:ind w:left="426"/>
      <w:jc w:val="both"/>
    </w:pPr>
    <w:rPr>
      <w:rFonts w:ascii="Times New Roman" w:hAnsi="Times New Roman" w:cs="Arial"/>
      <w:bCs/>
      <w:szCs w:val="24"/>
      <w:lang w:val="en-US" w:eastAsia="es-AR"/>
    </w:rPr>
  </w:style>
  <w:style w:type="paragraph" w:customStyle="1" w:styleId="Textoinformeauditor">
    <w:name w:val="Texto informe auditor"/>
    <w:basedOn w:val="Normal"/>
    <w:rsid w:val="002831AB"/>
    <w:pPr>
      <w:spacing w:line="360" w:lineRule="auto"/>
      <w:ind w:left="426"/>
      <w:jc w:val="both"/>
    </w:pPr>
    <w:rPr>
      <w:rFonts w:ascii="Times New Roman" w:hAnsi="Times New Roman" w:cs="Arial"/>
      <w:bCs/>
      <w:szCs w:val="24"/>
      <w:lang w:val="en-US" w:eastAsia="es-AR"/>
    </w:rPr>
  </w:style>
  <w:style w:type="paragraph" w:customStyle="1" w:styleId="textonota1">
    <w:name w:val="texto nota 1"/>
    <w:basedOn w:val="texto"/>
    <w:rsid w:val="002831AB"/>
    <w:pPr>
      <w:ind w:left="432"/>
    </w:pPr>
  </w:style>
  <w:style w:type="paragraph" w:customStyle="1" w:styleId="textonota2">
    <w:name w:val="texto nota 2"/>
    <w:basedOn w:val="textonota1"/>
    <w:rsid w:val="002831AB"/>
    <w:pPr>
      <w:ind w:left="792"/>
    </w:pPr>
    <w:rPr>
      <w:sz w:val="18"/>
    </w:rPr>
  </w:style>
  <w:style w:type="paragraph" w:customStyle="1" w:styleId="texto2">
    <w:name w:val="texto 2"/>
    <w:basedOn w:val="textonota2"/>
    <w:rsid w:val="002831AB"/>
    <w:pPr>
      <w:ind w:left="576"/>
    </w:pPr>
  </w:style>
  <w:style w:type="paragraph" w:customStyle="1" w:styleId="textonota3">
    <w:name w:val="texto nota 3"/>
    <w:basedOn w:val="texto2"/>
    <w:rsid w:val="002831AB"/>
    <w:pPr>
      <w:ind w:left="990"/>
    </w:pPr>
    <w:rPr>
      <w:sz w:val="20"/>
    </w:rPr>
  </w:style>
  <w:style w:type="paragraph" w:customStyle="1" w:styleId="textonota4">
    <w:name w:val="texto nota 4"/>
    <w:basedOn w:val="textonota3"/>
    <w:rsid w:val="002831AB"/>
    <w:pPr>
      <w:ind w:left="1368"/>
    </w:pPr>
  </w:style>
  <w:style w:type="paragraph" w:customStyle="1" w:styleId="textonota5">
    <w:name w:val="texto nota 5"/>
    <w:basedOn w:val="textonota4"/>
    <w:rsid w:val="002831AB"/>
    <w:pPr>
      <w:ind w:left="1728"/>
    </w:pPr>
  </w:style>
  <w:style w:type="paragraph" w:customStyle="1" w:styleId="texto6">
    <w:name w:val="texto 6"/>
    <w:basedOn w:val="textonota5"/>
    <w:rsid w:val="002831AB"/>
    <w:pPr>
      <w:ind w:left="1890"/>
    </w:pPr>
  </w:style>
  <w:style w:type="paragraph" w:customStyle="1" w:styleId="Textonota30">
    <w:name w:val="Texto nota 3"/>
    <w:basedOn w:val="Normal"/>
    <w:rsid w:val="002831AB"/>
    <w:pPr>
      <w:ind w:left="1512"/>
    </w:pPr>
    <w:rPr>
      <w:rFonts w:ascii="Times New Roman" w:hAnsi="Times New Roman" w:cs="Arial"/>
      <w:bCs/>
      <w:sz w:val="19"/>
      <w:szCs w:val="24"/>
      <w:lang w:val="en-US" w:eastAsia="es-AR"/>
    </w:rPr>
  </w:style>
  <w:style w:type="character" w:customStyle="1" w:styleId="Style10pt">
    <w:name w:val="Style 10 pt"/>
    <w:rsid w:val="002831AB"/>
    <w:rPr>
      <w:rFonts w:ascii="Arial" w:hAnsi="Arial"/>
      <w:sz w:val="20"/>
    </w:rPr>
  </w:style>
  <w:style w:type="paragraph" w:customStyle="1" w:styleId="TextoNota">
    <w:name w:val="Texto Nota"/>
    <w:basedOn w:val="Normal"/>
    <w:rsid w:val="002831AB"/>
    <w:pPr>
      <w:ind w:left="450"/>
      <w:jc w:val="both"/>
    </w:pPr>
    <w:rPr>
      <w:rFonts w:ascii="Times New Roman" w:hAnsi="Times New Roman" w:cs="Arial"/>
      <w:bCs/>
      <w:szCs w:val="24"/>
      <w:lang w:eastAsia="es-AR"/>
    </w:rPr>
  </w:style>
  <w:style w:type="paragraph" w:customStyle="1" w:styleId="Textonota0">
    <w:name w:val="Texto nota"/>
    <w:basedOn w:val="Normal"/>
    <w:rsid w:val="002831AB"/>
    <w:pPr>
      <w:ind w:left="446"/>
      <w:jc w:val="both"/>
    </w:pPr>
    <w:rPr>
      <w:rFonts w:ascii="Book Antiqua" w:hAnsi="Book Antiqua" w:cs="Arial"/>
      <w:bCs/>
      <w:szCs w:val="24"/>
      <w:lang w:val="en-US" w:eastAsia="es-AR"/>
    </w:rPr>
  </w:style>
  <w:style w:type="paragraph" w:customStyle="1" w:styleId="Texto0">
    <w:name w:val="Texto"/>
    <w:basedOn w:val="Normal"/>
    <w:uiPriority w:val="99"/>
    <w:rsid w:val="002831AB"/>
    <w:pPr>
      <w:widowControl w:val="0"/>
      <w:jc w:val="both"/>
    </w:pPr>
    <w:rPr>
      <w:rFonts w:ascii="Book Antiqua" w:hAnsi="Book Antiqua"/>
      <w:bCs/>
      <w:szCs w:val="24"/>
      <w:lang w:val="es-ES_tradnl" w:eastAsia="es-AR"/>
    </w:rPr>
  </w:style>
  <w:style w:type="paragraph" w:customStyle="1" w:styleId="TextoNota20">
    <w:name w:val="Texto Nota2"/>
    <w:basedOn w:val="Normal"/>
    <w:rsid w:val="002831AB"/>
    <w:pPr>
      <w:ind w:left="1170"/>
      <w:jc w:val="both"/>
    </w:pPr>
    <w:rPr>
      <w:rFonts w:ascii="Times New Roman" w:hAnsi="Times New Roman" w:cs="Arial"/>
      <w:bCs/>
      <w:sz w:val="14"/>
      <w:szCs w:val="14"/>
      <w:lang w:val="en-US" w:eastAsia="es-AR"/>
    </w:rPr>
  </w:style>
  <w:style w:type="paragraph" w:customStyle="1" w:styleId="Texto1">
    <w:name w:val="Texto 1"/>
    <w:basedOn w:val="Texto0"/>
    <w:rsid w:val="002831AB"/>
    <w:pPr>
      <w:widowControl/>
      <w:ind w:left="360"/>
      <w:jc w:val="left"/>
    </w:pPr>
    <w:rPr>
      <w:rFonts w:ascii="Arial" w:hAnsi="Arial"/>
      <w:bCs w:val="0"/>
      <w:sz w:val="19"/>
      <w:lang w:val="en-US"/>
    </w:rPr>
  </w:style>
  <w:style w:type="paragraph" w:customStyle="1" w:styleId="Texto20">
    <w:name w:val="Texto 2"/>
    <w:basedOn w:val="Texto1"/>
    <w:rsid w:val="002831AB"/>
    <w:pPr>
      <w:ind w:left="720"/>
    </w:pPr>
  </w:style>
  <w:style w:type="paragraph" w:customStyle="1" w:styleId="Textonota10">
    <w:name w:val="Texto nota 1"/>
    <w:basedOn w:val="Normal"/>
    <w:rsid w:val="002831AB"/>
    <w:pPr>
      <w:ind w:left="792"/>
    </w:pPr>
    <w:rPr>
      <w:rFonts w:ascii="Times New Roman" w:hAnsi="Times New Roman"/>
      <w:sz w:val="19"/>
      <w:szCs w:val="24"/>
      <w:lang w:val="en-US" w:eastAsia="es-AR"/>
    </w:rPr>
  </w:style>
  <w:style w:type="paragraph" w:customStyle="1" w:styleId="BlockTextSglBold">
    <w:name w:val="Block Text Sgl Bold"/>
    <w:basedOn w:val="Normal"/>
    <w:rsid w:val="002831AB"/>
    <w:pPr>
      <w:keepNext/>
      <w:keepLines/>
      <w:spacing w:after="240"/>
    </w:pPr>
    <w:rPr>
      <w:rFonts w:ascii="Times New Roman Bold" w:hAnsi="Times New Roman Bold"/>
      <w:b/>
      <w:szCs w:val="24"/>
      <w:lang w:val="en-US" w:eastAsia="es-AR"/>
    </w:rPr>
  </w:style>
  <w:style w:type="paragraph" w:customStyle="1" w:styleId="TitleIIndented">
    <w:name w:val="Title I Indented"/>
    <w:basedOn w:val="TitleBIIndented"/>
    <w:rsid w:val="002831AB"/>
    <w:pPr>
      <w:autoSpaceDE/>
      <w:autoSpaceDN/>
      <w:adjustRightInd/>
      <w:ind w:left="720"/>
    </w:pPr>
    <w:rPr>
      <w:b w:val="0"/>
      <w:bCs/>
      <w:i/>
      <w:iCs/>
      <w:szCs w:val="24"/>
    </w:rPr>
  </w:style>
  <w:style w:type="paragraph" w:customStyle="1" w:styleId="List1inchJ">
    <w:name w:val="List 1 inch J"/>
    <w:basedOn w:val="Normal"/>
    <w:rsid w:val="002831AB"/>
    <w:pPr>
      <w:spacing w:after="240"/>
      <w:ind w:left="2160" w:hanging="720"/>
    </w:pPr>
    <w:rPr>
      <w:rFonts w:ascii="Times New Roman" w:hAnsi="Times New Roman"/>
      <w:szCs w:val="24"/>
      <w:lang w:val="en-US" w:eastAsia="es-AR"/>
    </w:rPr>
  </w:style>
  <w:style w:type="character" w:customStyle="1" w:styleId="BodyText2SglChar1">
    <w:name w:val="Body Text 2 Sgl Char1"/>
    <w:rsid w:val="002831AB"/>
    <w:rPr>
      <w:sz w:val="24"/>
      <w:lang w:val="en-US" w:eastAsia="en-US"/>
    </w:rPr>
  </w:style>
  <w:style w:type="paragraph" w:customStyle="1" w:styleId="TitleI">
    <w:name w:val="Title I"/>
    <w:basedOn w:val="Normal"/>
    <w:rsid w:val="002831AB"/>
    <w:pPr>
      <w:spacing w:after="240"/>
    </w:pPr>
    <w:rPr>
      <w:rFonts w:ascii="Times New Roman" w:hAnsi="Times New Roman"/>
      <w:i/>
      <w:sz w:val="24"/>
      <w:szCs w:val="24"/>
      <w:lang w:val="en-US" w:eastAsia="es-AR"/>
    </w:rPr>
  </w:style>
  <w:style w:type="paragraph" w:customStyle="1" w:styleId="TitleB2">
    <w:name w:val="Title B2"/>
    <w:basedOn w:val="TitleB"/>
    <w:rsid w:val="002831AB"/>
  </w:style>
  <w:style w:type="paragraph" w:customStyle="1" w:styleId="HangingIndent">
    <w:name w:val="Hanging Indent"/>
    <w:basedOn w:val="Normal"/>
    <w:uiPriority w:val="99"/>
    <w:rsid w:val="002831AB"/>
    <w:pPr>
      <w:spacing w:after="240"/>
      <w:ind w:left="1440" w:hanging="720"/>
    </w:pPr>
    <w:rPr>
      <w:rFonts w:ascii="Times New Roman" w:hAnsi="Times New Roman"/>
      <w:szCs w:val="24"/>
      <w:lang w:val="en-US" w:eastAsia="es-AR"/>
    </w:rPr>
  </w:style>
  <w:style w:type="paragraph" w:customStyle="1" w:styleId="Bullet1">
    <w:name w:val="Bullet1"/>
    <w:basedOn w:val="Normal"/>
    <w:rsid w:val="002831AB"/>
    <w:pPr>
      <w:widowControl w:val="0"/>
      <w:spacing w:after="240"/>
      <w:ind w:left="720" w:hanging="720"/>
      <w:jc w:val="both"/>
    </w:pPr>
    <w:rPr>
      <w:rFonts w:ascii="MS Mincho" w:eastAsia="MS Mincho" w:hAnsi="Times New Roman"/>
      <w:szCs w:val="24"/>
      <w:lang w:val="es-ES" w:eastAsia="es-ES"/>
    </w:rPr>
  </w:style>
  <w:style w:type="paragraph" w:customStyle="1" w:styleId="BulletedList">
    <w:name w:val="Bulleted List"/>
    <w:basedOn w:val="Normal"/>
    <w:rsid w:val="002831AB"/>
    <w:pPr>
      <w:tabs>
        <w:tab w:val="left" w:pos="1440"/>
      </w:tabs>
      <w:spacing w:after="240"/>
      <w:ind w:left="1440" w:hanging="720"/>
      <w:contextualSpacing/>
    </w:pPr>
    <w:rPr>
      <w:rFonts w:ascii="Times New Roman" w:hAnsi="Times New Roman"/>
      <w:szCs w:val="24"/>
      <w:lang w:val="en-US" w:eastAsia="es-AR"/>
    </w:rPr>
  </w:style>
  <w:style w:type="paragraph" w:customStyle="1" w:styleId="BlockText5BoldItal">
    <w:name w:val="Block Text .5 Bold Ital"/>
    <w:basedOn w:val="Normal"/>
    <w:rsid w:val="002831AB"/>
    <w:pPr>
      <w:keepNext/>
      <w:spacing w:after="240"/>
      <w:ind w:left="720"/>
    </w:pPr>
    <w:rPr>
      <w:rFonts w:ascii="Times New Roman" w:hAnsi="Times New Roman"/>
      <w:b/>
      <w:i/>
      <w:szCs w:val="24"/>
      <w:lang w:val="en-US" w:eastAsia="es-AR"/>
    </w:rPr>
  </w:style>
  <w:style w:type="paragraph" w:styleId="Firmadecorreoelectrnico">
    <w:name w:val="E-mail Signature"/>
    <w:basedOn w:val="Normal"/>
    <w:link w:val="FirmadecorreoelectrnicoCar"/>
    <w:uiPriority w:val="99"/>
    <w:rsid w:val="002831AB"/>
    <w:rPr>
      <w:rFonts w:ascii="Times New Roman" w:hAnsi="Times New Roman"/>
      <w:sz w:val="24"/>
      <w:lang w:val="en-US" w:eastAsia="x-none"/>
    </w:rPr>
  </w:style>
  <w:style w:type="character" w:customStyle="1" w:styleId="FirmadecorreoelectrnicoCar">
    <w:name w:val="Firma de correo electrónico Car"/>
    <w:link w:val="Firmadecorreoelectrnico"/>
    <w:uiPriority w:val="99"/>
    <w:locked/>
    <w:rsid w:val="002831AB"/>
    <w:rPr>
      <w:rFonts w:ascii="Times New Roman" w:eastAsia="Times New Roman" w:hAnsi="Times New Roman"/>
      <w:sz w:val="24"/>
      <w:lang w:val="en-US" w:eastAsia="x-none"/>
    </w:rPr>
  </w:style>
  <w:style w:type="character" w:styleId="Nmerodelnea">
    <w:name w:val="line number"/>
    <w:uiPriority w:val="99"/>
    <w:rsid w:val="002831AB"/>
    <w:rPr>
      <w:rFonts w:cs="Times New Roman"/>
    </w:rPr>
  </w:style>
  <w:style w:type="paragraph" w:styleId="Lista2">
    <w:name w:val="List 2"/>
    <w:basedOn w:val="Normal"/>
    <w:uiPriority w:val="99"/>
    <w:rsid w:val="002831AB"/>
    <w:pPr>
      <w:ind w:left="720" w:hanging="360"/>
    </w:pPr>
    <w:rPr>
      <w:rFonts w:ascii="Times New Roman" w:hAnsi="Times New Roman"/>
      <w:sz w:val="24"/>
      <w:szCs w:val="24"/>
      <w:lang w:val="en-US" w:eastAsia="es-AR"/>
    </w:rPr>
  </w:style>
  <w:style w:type="paragraph" w:styleId="Lista3">
    <w:name w:val="List 3"/>
    <w:basedOn w:val="Normal"/>
    <w:uiPriority w:val="99"/>
    <w:rsid w:val="002831AB"/>
    <w:pPr>
      <w:ind w:left="1080" w:hanging="360"/>
    </w:pPr>
    <w:rPr>
      <w:rFonts w:ascii="Times New Roman" w:hAnsi="Times New Roman"/>
      <w:sz w:val="24"/>
      <w:szCs w:val="24"/>
      <w:lang w:val="en-US" w:eastAsia="es-AR"/>
    </w:rPr>
  </w:style>
  <w:style w:type="paragraph" w:styleId="Listaconnmeros3">
    <w:name w:val="List Number 3"/>
    <w:basedOn w:val="Normal"/>
    <w:uiPriority w:val="99"/>
    <w:rsid w:val="002831AB"/>
    <w:pPr>
      <w:numPr>
        <w:numId w:val="15"/>
      </w:numPr>
    </w:pPr>
    <w:rPr>
      <w:rFonts w:ascii="Times New Roman" w:hAnsi="Times New Roman"/>
      <w:sz w:val="24"/>
      <w:szCs w:val="24"/>
      <w:lang w:val="en-US" w:eastAsia="es-AR"/>
    </w:rPr>
  </w:style>
  <w:style w:type="paragraph" w:styleId="Listaconnmeros4">
    <w:name w:val="List Number 4"/>
    <w:basedOn w:val="Normal"/>
    <w:uiPriority w:val="99"/>
    <w:rsid w:val="002831AB"/>
    <w:pPr>
      <w:numPr>
        <w:numId w:val="16"/>
      </w:numPr>
    </w:pPr>
    <w:rPr>
      <w:rFonts w:ascii="Times New Roman" w:hAnsi="Times New Roman"/>
      <w:sz w:val="24"/>
      <w:szCs w:val="24"/>
      <w:lang w:val="en-US" w:eastAsia="es-AR"/>
    </w:rPr>
  </w:style>
  <w:style w:type="paragraph" w:styleId="Listaconnmeros5">
    <w:name w:val="List Number 5"/>
    <w:basedOn w:val="Normal"/>
    <w:uiPriority w:val="99"/>
    <w:rsid w:val="002831AB"/>
    <w:pPr>
      <w:numPr>
        <w:numId w:val="17"/>
      </w:numPr>
    </w:pPr>
    <w:rPr>
      <w:rFonts w:ascii="Times New Roman" w:hAnsi="Times New Roman"/>
      <w:sz w:val="24"/>
      <w:szCs w:val="24"/>
      <w:lang w:val="en-US" w:eastAsia="es-AR"/>
    </w:rPr>
  </w:style>
  <w:style w:type="paragraph" w:styleId="Sangranormal">
    <w:name w:val="Normal Indent"/>
    <w:basedOn w:val="Normal"/>
    <w:uiPriority w:val="99"/>
    <w:rsid w:val="002831AB"/>
    <w:pPr>
      <w:ind w:left="720"/>
    </w:pPr>
    <w:rPr>
      <w:rFonts w:ascii="Times New Roman" w:hAnsi="Times New Roman"/>
      <w:szCs w:val="24"/>
      <w:lang w:val="en-US" w:eastAsia="es-AR"/>
    </w:rPr>
  </w:style>
  <w:style w:type="paragraph" w:styleId="Encabezadodenota">
    <w:name w:val="Note Heading"/>
    <w:basedOn w:val="Normal"/>
    <w:next w:val="Normal"/>
    <w:link w:val="EncabezadodenotaCar"/>
    <w:rsid w:val="002831AB"/>
    <w:rPr>
      <w:rFonts w:ascii="Times New Roman" w:hAnsi="Times New Roman"/>
      <w:sz w:val="24"/>
      <w:lang w:val="en-US" w:eastAsia="x-none"/>
    </w:rPr>
  </w:style>
  <w:style w:type="character" w:customStyle="1" w:styleId="EncabezadodenotaCar">
    <w:name w:val="Encabezado de nota Car"/>
    <w:link w:val="Encabezadodenota"/>
    <w:locked/>
    <w:rsid w:val="002831AB"/>
    <w:rPr>
      <w:rFonts w:ascii="Times New Roman" w:eastAsia="Times New Roman" w:hAnsi="Times New Roman"/>
      <w:sz w:val="24"/>
      <w:lang w:val="en-US" w:eastAsia="x-none"/>
    </w:rPr>
  </w:style>
  <w:style w:type="paragraph" w:styleId="Firma">
    <w:name w:val="Signature"/>
    <w:basedOn w:val="Normal"/>
    <w:link w:val="FirmaCar"/>
    <w:rsid w:val="002831AB"/>
    <w:pPr>
      <w:ind w:left="4320"/>
    </w:pPr>
    <w:rPr>
      <w:rFonts w:ascii="Times New Roman" w:hAnsi="Times New Roman"/>
      <w:sz w:val="24"/>
      <w:lang w:val="en-US" w:eastAsia="x-none"/>
    </w:rPr>
  </w:style>
  <w:style w:type="character" w:customStyle="1" w:styleId="FirmaCar">
    <w:name w:val="Firma Car"/>
    <w:link w:val="Firma"/>
    <w:locked/>
    <w:rsid w:val="002831AB"/>
    <w:rPr>
      <w:rFonts w:ascii="Times New Roman" w:eastAsia="Times New Roman" w:hAnsi="Times New Roman"/>
      <w:sz w:val="24"/>
      <w:lang w:val="en-US" w:eastAsia="x-none"/>
    </w:rPr>
  </w:style>
  <w:style w:type="paragraph" w:styleId="Epgrafe">
    <w:name w:val="caption"/>
    <w:basedOn w:val="Normal"/>
    <w:next w:val="Normal"/>
    <w:uiPriority w:val="35"/>
    <w:qFormat/>
    <w:rsid w:val="002831AB"/>
    <w:pPr>
      <w:autoSpaceDE w:val="0"/>
      <w:autoSpaceDN w:val="0"/>
      <w:adjustRightInd w:val="0"/>
    </w:pPr>
    <w:rPr>
      <w:rFonts w:ascii="Times New Roman" w:hAnsi="Times New Roman"/>
      <w:b/>
      <w:bCs/>
      <w:lang w:val="en-US" w:eastAsia="es-AR"/>
    </w:rPr>
  </w:style>
  <w:style w:type="character" w:styleId="Refdenotaalfinal">
    <w:name w:val="endnote reference"/>
    <w:uiPriority w:val="99"/>
    <w:rsid w:val="00B86C83"/>
    <w:rPr>
      <w:vertAlign w:val="superscript"/>
    </w:rPr>
  </w:style>
  <w:style w:type="paragraph" w:styleId="Textomacro">
    <w:name w:val="macro"/>
    <w:link w:val="TextomacroCar"/>
    <w:semiHidden/>
    <w:rsid w:val="002831AB"/>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val="en-US" w:eastAsia="es-AR"/>
    </w:rPr>
  </w:style>
  <w:style w:type="character" w:customStyle="1" w:styleId="TextomacroCar">
    <w:name w:val="Texto macro Car"/>
    <w:link w:val="Textomacro"/>
    <w:semiHidden/>
    <w:locked/>
    <w:rsid w:val="002831AB"/>
    <w:rPr>
      <w:rFonts w:ascii="Courier New" w:hAnsi="Courier New"/>
      <w:lang w:val="en-US" w:eastAsia="es-AR" w:bidi="ar-SA"/>
    </w:rPr>
  </w:style>
  <w:style w:type="paragraph" w:customStyle="1" w:styleId="CarCarCarCarCarCar1Car1">
    <w:name w:val="Car Car Car Car Car Car1 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Tablenotes6pt">
    <w:name w:val="Table notes 6pt"/>
    <w:basedOn w:val="Normal"/>
    <w:rsid w:val="002831AB"/>
    <w:pPr>
      <w:ind w:left="319" w:hanging="319"/>
    </w:pPr>
    <w:rPr>
      <w:rFonts w:ascii="Times New Roman" w:hAnsi="Times New Roman"/>
      <w:i/>
      <w:iCs/>
      <w:sz w:val="12"/>
      <w:szCs w:val="24"/>
      <w:lang w:val="en-US" w:eastAsia="es-AR"/>
    </w:rPr>
  </w:style>
  <w:style w:type="paragraph" w:customStyle="1" w:styleId="Tablenotes8pt">
    <w:name w:val="Table notes 8pt"/>
    <w:basedOn w:val="Normal"/>
    <w:rsid w:val="002831AB"/>
    <w:pPr>
      <w:ind w:left="360" w:hanging="360"/>
    </w:pPr>
    <w:rPr>
      <w:rFonts w:ascii="Times New Roman" w:hAnsi="Times New Roman"/>
      <w:i/>
      <w:iCs/>
      <w:sz w:val="16"/>
      <w:szCs w:val="24"/>
      <w:lang w:val="en-US" w:eastAsia="es-AR"/>
    </w:rPr>
  </w:style>
  <w:style w:type="character" w:customStyle="1" w:styleId="BodyTextFirstIndentChar">
    <w:name w:val="Body Text First Indent Char"/>
    <w:rsid w:val="002831AB"/>
    <w:rPr>
      <w:spacing w:val="0"/>
      <w:sz w:val="24"/>
      <w:lang w:val="en-US" w:eastAsia="x-none"/>
    </w:rPr>
  </w:style>
  <w:style w:type="character" w:customStyle="1" w:styleId="bCar1">
    <w:name w:val="b Car1"/>
    <w:aliases w:val="body text Car1,ts Car1,Body Text cont Car1,Ctrl+1 Car1,Body Text Proposal2 Car1,a Car1,Body Text CIM Car1,bt wide Car1,BT Car1,5 Car1,.BT Car1,bd Car Car1,Texto independiente Car1,bt Car1,Borrador Car1,Body Text1 Car1,Bodytext Car1,bt Car"/>
    <w:rsid w:val="002831AB"/>
    <w:rPr>
      <w:sz w:val="18"/>
      <w:lang w:val="en-US" w:eastAsia="en-US"/>
    </w:rPr>
  </w:style>
  <w:style w:type="paragraph" w:customStyle="1" w:styleId="Car2">
    <w:name w:val="Car2"/>
    <w:basedOn w:val="Normal"/>
    <w:rsid w:val="002831AB"/>
    <w:pPr>
      <w:spacing w:after="160" w:line="240" w:lineRule="exact"/>
    </w:pPr>
    <w:rPr>
      <w:rFonts w:ascii="Verdana" w:eastAsia="PMingLiU" w:hAnsi="Verdana"/>
      <w:lang w:val="en-US" w:eastAsia="es-AR"/>
    </w:rPr>
  </w:style>
  <w:style w:type="character" w:styleId="Hipervnculovisitado">
    <w:name w:val="FollowedHyperlink"/>
    <w:uiPriority w:val="99"/>
    <w:rsid w:val="002831AB"/>
    <w:rPr>
      <w:color w:val="800080"/>
      <w:u w:val="single"/>
    </w:rPr>
  </w:style>
  <w:style w:type="paragraph" w:customStyle="1" w:styleId="Tax">
    <w:name w:val="Tax"/>
    <w:basedOn w:val="Normal"/>
    <w:uiPriority w:val="99"/>
    <w:rsid w:val="002831AB"/>
    <w:pPr>
      <w:autoSpaceDE w:val="0"/>
      <w:autoSpaceDN w:val="0"/>
      <w:adjustRightInd w:val="0"/>
    </w:pPr>
    <w:rPr>
      <w:rFonts w:ascii="Times New Roman" w:hAnsi="Times New Roman"/>
      <w:sz w:val="24"/>
      <w:szCs w:val="24"/>
      <w:lang w:val="en-US" w:eastAsia="es-AR"/>
    </w:rPr>
  </w:style>
  <w:style w:type="paragraph" w:customStyle="1" w:styleId="Asuntodelcomentario2">
    <w:name w:val="Asunto del comentario2"/>
    <w:basedOn w:val="Textocomentario"/>
    <w:next w:val="Textocomentario"/>
    <w:semiHidden/>
    <w:rsid w:val="002831AB"/>
    <w:rPr>
      <w:b/>
      <w:bCs/>
    </w:rPr>
  </w:style>
  <w:style w:type="paragraph" w:customStyle="1" w:styleId="Textodeglobo2">
    <w:name w:val="Texto de globo2"/>
    <w:basedOn w:val="Normal"/>
    <w:rsid w:val="002831AB"/>
    <w:pPr>
      <w:autoSpaceDE w:val="0"/>
      <w:autoSpaceDN w:val="0"/>
      <w:adjustRightInd w:val="0"/>
    </w:pPr>
    <w:rPr>
      <w:rFonts w:ascii="Tahoma" w:hAnsi="Tahoma" w:cs="Tahoma"/>
      <w:sz w:val="16"/>
      <w:szCs w:val="16"/>
      <w:lang w:val="en-US" w:eastAsia="es-AR"/>
    </w:rPr>
  </w:style>
  <w:style w:type="paragraph" w:customStyle="1" w:styleId="CarCarCar1">
    <w:name w:val="Car Car Car1"/>
    <w:basedOn w:val="Normal"/>
    <w:rsid w:val="002831AB"/>
    <w:pPr>
      <w:spacing w:after="160" w:line="240" w:lineRule="exact"/>
    </w:pPr>
    <w:rPr>
      <w:rFonts w:ascii="Verdana" w:eastAsia="PMingLiU" w:hAnsi="Verdana"/>
      <w:lang w:val="en-US" w:eastAsia="es-AR"/>
    </w:rPr>
  </w:style>
  <w:style w:type="paragraph" w:customStyle="1" w:styleId="CarCarCar1CarCarCarCarCarCarCarCarCar">
    <w:name w:val="Car Car Car1 Car Car Car Car Car Car Car Car Car"/>
    <w:basedOn w:val="Normal"/>
    <w:rsid w:val="002831AB"/>
    <w:pPr>
      <w:spacing w:after="160" w:line="240" w:lineRule="exact"/>
    </w:pPr>
    <w:rPr>
      <w:rFonts w:ascii="Verdana" w:eastAsia="PMingLiU" w:hAnsi="Verdana"/>
      <w:lang w:val="en-US" w:eastAsia="es-AR"/>
    </w:rPr>
  </w:style>
  <w:style w:type="paragraph" w:customStyle="1" w:styleId="CarCarCar1Car">
    <w:name w:val="Car Car Car1 Car"/>
    <w:basedOn w:val="Normal"/>
    <w:rsid w:val="002831AB"/>
    <w:pPr>
      <w:spacing w:after="160" w:line="240" w:lineRule="exact"/>
    </w:pPr>
    <w:rPr>
      <w:rFonts w:ascii="Verdana" w:eastAsia="PMingLiU" w:hAnsi="Verdana"/>
      <w:lang w:val="en-US" w:eastAsia="es-AR"/>
    </w:rPr>
  </w:style>
  <w:style w:type="paragraph" w:customStyle="1" w:styleId="CarCarCar">
    <w:name w:val="Car Car Car"/>
    <w:basedOn w:val="Normal"/>
    <w:rsid w:val="002831AB"/>
    <w:pPr>
      <w:spacing w:after="160" w:line="240" w:lineRule="exact"/>
    </w:pPr>
    <w:rPr>
      <w:rFonts w:ascii="Verdana" w:eastAsia="PMingLiU" w:hAnsi="Verdana"/>
      <w:lang w:val="en-US" w:eastAsia="es-AR"/>
    </w:rPr>
  </w:style>
  <w:style w:type="paragraph" w:customStyle="1" w:styleId="CarCarCarCarCarCar">
    <w:name w:val="Car Car Car Car Car Car"/>
    <w:basedOn w:val="Normal"/>
    <w:rsid w:val="002831AB"/>
    <w:pPr>
      <w:spacing w:after="160" w:line="240" w:lineRule="exact"/>
    </w:pPr>
    <w:rPr>
      <w:rFonts w:ascii="Verdana" w:eastAsia="PMingLiU" w:hAnsi="Verdana"/>
      <w:lang w:val="en-US" w:eastAsia="es-AR"/>
    </w:rPr>
  </w:style>
  <w:style w:type="paragraph" w:customStyle="1" w:styleId="table0">
    <w:name w:val="table"/>
    <w:basedOn w:val="Normal"/>
    <w:rsid w:val="002831AB"/>
    <w:pPr>
      <w:autoSpaceDE w:val="0"/>
      <w:autoSpaceDN w:val="0"/>
    </w:pPr>
    <w:rPr>
      <w:rFonts w:ascii="Times New Roman" w:hAnsi="Times New Roman"/>
      <w:lang w:val="es-ES" w:eastAsia="es-ES"/>
    </w:rPr>
  </w:style>
  <w:style w:type="paragraph" w:customStyle="1" w:styleId="CarCarCarCarCarCarCarCarCar">
    <w:name w:val="Car Car Car Car Car Car Car Car Car"/>
    <w:basedOn w:val="Normal"/>
    <w:rsid w:val="002831AB"/>
    <w:pPr>
      <w:spacing w:after="160" w:line="240" w:lineRule="exact"/>
    </w:pPr>
    <w:rPr>
      <w:rFonts w:ascii="Verdana" w:eastAsia="PMingLiU" w:hAnsi="Verdana"/>
      <w:lang w:val="en-US" w:eastAsia="es-AR"/>
    </w:rPr>
  </w:style>
  <w:style w:type="paragraph" w:customStyle="1" w:styleId="CarCarCar1CarCarCarCarCarCarCarCarCarCarCarCarCarCarCarCarCarCarCar">
    <w:name w:val="Car Car Car1 Car Car Car Car Car Car Car Car Car Car Car Car Car Car Car Car Car Car Car"/>
    <w:basedOn w:val="Normal"/>
    <w:rsid w:val="002831AB"/>
    <w:pPr>
      <w:spacing w:after="160" w:line="240" w:lineRule="exact"/>
    </w:pPr>
    <w:rPr>
      <w:rFonts w:ascii="Verdana" w:eastAsia="PMingLiU" w:hAnsi="Verdana"/>
      <w:lang w:val="en-US" w:eastAsia="es-AR"/>
    </w:rPr>
  </w:style>
  <w:style w:type="paragraph" w:customStyle="1" w:styleId="Normal1">
    <w:name w:val="Normal1"/>
    <w:basedOn w:val="Normal"/>
    <w:rsid w:val="002831AB"/>
    <w:pPr>
      <w:autoSpaceDE w:val="0"/>
      <w:autoSpaceDN w:val="0"/>
      <w:adjustRightInd w:val="0"/>
    </w:pPr>
    <w:rPr>
      <w:rFonts w:ascii="Garamond" w:eastAsia="SimSun" w:hAnsi="Garamond"/>
      <w:sz w:val="24"/>
      <w:szCs w:val="24"/>
      <w:lang w:eastAsia="es-AR"/>
    </w:rPr>
  </w:style>
  <w:style w:type="paragraph" w:customStyle="1" w:styleId="s2-90369">
    <w:name w:val="s2-90369"/>
    <w:basedOn w:val="Normal"/>
    <w:rsid w:val="002831AB"/>
    <w:pPr>
      <w:autoSpaceDE w:val="0"/>
      <w:autoSpaceDN w:val="0"/>
      <w:adjustRightInd w:val="0"/>
      <w:ind w:firstLine="737"/>
      <w:jc w:val="both"/>
    </w:pPr>
    <w:rPr>
      <w:rFonts w:ascii="Arial" w:hAnsi="Arial" w:cs="Arial"/>
      <w:lang w:val="es-ES" w:eastAsia="es-ES"/>
    </w:rPr>
  </w:style>
  <w:style w:type="character" w:customStyle="1" w:styleId="CharChar3">
    <w:name w:val="Char Char3"/>
    <w:rsid w:val="002831AB"/>
    <w:rPr>
      <w:sz w:val="24"/>
      <w:lang w:val="en-US" w:eastAsia="en-US"/>
    </w:rPr>
  </w:style>
  <w:style w:type="paragraph" w:customStyle="1" w:styleId="FooterLandscape">
    <w:name w:val="Footer Landscape"/>
    <w:basedOn w:val="Normal"/>
    <w:rsid w:val="002831AB"/>
    <w:pPr>
      <w:tabs>
        <w:tab w:val="center" w:pos="7200"/>
        <w:tab w:val="right" w:pos="14400"/>
      </w:tabs>
    </w:pPr>
    <w:rPr>
      <w:rFonts w:ascii="Arial" w:hAnsi="Arial"/>
      <w:szCs w:val="24"/>
      <w:lang w:val="en-US" w:eastAsia="es-AR"/>
    </w:rPr>
  </w:style>
  <w:style w:type="paragraph" w:customStyle="1" w:styleId="BlockText5SglJ">
    <w:name w:val="Block Text .5 Sgl J"/>
    <w:basedOn w:val="Normal"/>
    <w:rsid w:val="002831AB"/>
    <w:pPr>
      <w:spacing w:after="240"/>
      <w:ind w:left="720" w:right="720"/>
      <w:jc w:val="both"/>
    </w:pPr>
    <w:rPr>
      <w:rFonts w:ascii="Times New Roman" w:hAnsi="Times New Roman"/>
      <w:szCs w:val="24"/>
      <w:lang w:val="en-US" w:eastAsia="es-AR"/>
    </w:rPr>
  </w:style>
  <w:style w:type="character" w:customStyle="1" w:styleId="CharChar1">
    <w:name w:val="Char Char1"/>
    <w:rsid w:val="002831AB"/>
    <w:rPr>
      <w:sz w:val="24"/>
      <w:lang w:val="en-US" w:eastAsia="en-US"/>
    </w:rPr>
  </w:style>
  <w:style w:type="paragraph" w:customStyle="1" w:styleId="C10">
    <w:name w:val="C10"/>
    <w:rsid w:val="002831AB"/>
    <w:pPr>
      <w:spacing w:line="240" w:lineRule="exact"/>
      <w:jc w:val="right"/>
    </w:pPr>
    <w:rPr>
      <w:rFonts w:ascii="Times New Roman" w:hAnsi="Times New Roman"/>
      <w:noProof/>
      <w:lang w:val="en-US" w:eastAsia="en-US"/>
    </w:rPr>
  </w:style>
  <w:style w:type="paragraph" w:customStyle="1" w:styleId="CPNNormal">
    <w:name w:val="CPNNormal"/>
    <w:uiPriority w:val="99"/>
    <w:rsid w:val="002831AB"/>
    <w:pPr>
      <w:tabs>
        <w:tab w:val="left" w:pos="-720"/>
        <w:tab w:val="left" w:pos="990"/>
      </w:tabs>
      <w:spacing w:after="240"/>
      <w:ind w:firstLine="544"/>
      <w:jc w:val="both"/>
    </w:pPr>
    <w:rPr>
      <w:rFonts w:ascii="Times New Roman" w:hAnsi="Times New Roman"/>
      <w:lang w:val="en-US"/>
    </w:rPr>
  </w:style>
  <w:style w:type="paragraph" w:customStyle="1" w:styleId="DeltaViewTableBody">
    <w:name w:val="DeltaView Table Body"/>
    <w:basedOn w:val="Normal"/>
    <w:rsid w:val="002831AB"/>
    <w:pPr>
      <w:autoSpaceDE w:val="0"/>
      <w:autoSpaceDN w:val="0"/>
      <w:adjustRightInd w:val="0"/>
    </w:pPr>
    <w:rPr>
      <w:rFonts w:ascii="Arial" w:hAnsi="Arial" w:cs="Arial"/>
      <w:sz w:val="24"/>
      <w:szCs w:val="24"/>
      <w:lang w:val="en-US" w:eastAsia="es-AR"/>
    </w:rPr>
  </w:style>
  <w:style w:type="character" w:customStyle="1" w:styleId="DeltaViewMoveDestination">
    <w:name w:val="DeltaView Move Destination"/>
    <w:rsid w:val="002831AB"/>
    <w:rPr>
      <w:color w:val="00C000"/>
      <w:spacing w:val="0"/>
      <w:u w:val="double"/>
    </w:rPr>
  </w:style>
  <w:style w:type="character" w:customStyle="1" w:styleId="TextodegloboCar1">
    <w:name w:val="Texto de globo Car1"/>
    <w:uiPriority w:val="99"/>
    <w:semiHidden/>
    <w:rsid w:val="002831AB"/>
    <w:rPr>
      <w:rFonts w:ascii="Tahoma" w:hAnsi="Tahoma"/>
      <w:sz w:val="16"/>
      <w:lang w:val="en-US" w:eastAsia="x-none"/>
    </w:rPr>
  </w:style>
  <w:style w:type="paragraph" w:customStyle="1" w:styleId="taba9">
    <w:name w:val="taba9"/>
    <w:basedOn w:val="Normal"/>
    <w:rsid w:val="002831AB"/>
    <w:pPr>
      <w:tabs>
        <w:tab w:val="right" w:leader="dot" w:pos="5310"/>
      </w:tabs>
    </w:pPr>
    <w:rPr>
      <w:rFonts w:ascii="Arial" w:hAnsi="Arial" w:cs="Arial"/>
      <w:sz w:val="18"/>
      <w:szCs w:val="18"/>
      <w:lang w:val="en-US" w:eastAsia="es-ES"/>
    </w:rPr>
  </w:style>
  <w:style w:type="paragraph" w:customStyle="1" w:styleId="p2">
    <w:name w:val="p2"/>
    <w:basedOn w:val="Normal"/>
    <w:uiPriority w:val="99"/>
    <w:rsid w:val="002831AB"/>
    <w:pPr>
      <w:widowControl w:val="0"/>
      <w:tabs>
        <w:tab w:val="left" w:pos="374"/>
      </w:tabs>
      <w:autoSpaceDE w:val="0"/>
      <w:autoSpaceDN w:val="0"/>
      <w:adjustRightInd w:val="0"/>
      <w:spacing w:line="226" w:lineRule="atLeast"/>
      <w:ind w:left="1066" w:hanging="374"/>
    </w:pPr>
    <w:rPr>
      <w:rFonts w:ascii="Times New Roman" w:hAnsi="Times New Roman"/>
      <w:sz w:val="24"/>
      <w:szCs w:val="24"/>
      <w:lang w:val="en-US" w:eastAsia="es-ES"/>
    </w:rPr>
  </w:style>
  <w:style w:type="paragraph" w:customStyle="1" w:styleId="OmniPage1">
    <w:name w:val="OmniPage #1"/>
    <w:basedOn w:val="Normal"/>
    <w:rsid w:val="002831AB"/>
    <w:pPr>
      <w:spacing w:line="220" w:lineRule="exact"/>
    </w:pPr>
    <w:rPr>
      <w:rFonts w:ascii="Times New Roman" w:hAnsi="Times New Roman"/>
      <w:lang w:val="en-US" w:eastAsia="es-ES"/>
    </w:rPr>
  </w:style>
  <w:style w:type="character" w:customStyle="1" w:styleId="pp-place-title">
    <w:name w:val="pp-place-title"/>
    <w:rsid w:val="002831AB"/>
    <w:rPr>
      <w:rFonts w:cs="Times New Roman"/>
    </w:rPr>
  </w:style>
  <w:style w:type="character" w:customStyle="1" w:styleId="pp-headline-itempp-headline-address">
    <w:name w:val="pp-headline-item pp-headline-address"/>
    <w:rsid w:val="002831AB"/>
    <w:rPr>
      <w:rFonts w:cs="Times New Roman"/>
    </w:rPr>
  </w:style>
  <w:style w:type="paragraph" w:customStyle="1" w:styleId="CenteredB16pt">
    <w:name w:val="Centered B 16 pt"/>
    <w:basedOn w:val="Normal"/>
    <w:rsid w:val="002831AB"/>
    <w:pPr>
      <w:widowControl w:val="0"/>
      <w:tabs>
        <w:tab w:val="left" w:pos="0"/>
        <w:tab w:val="left" w:pos="720"/>
      </w:tabs>
      <w:suppressAutoHyphens/>
      <w:autoSpaceDE w:val="0"/>
      <w:autoSpaceDN w:val="0"/>
      <w:adjustRightInd w:val="0"/>
      <w:jc w:val="center"/>
    </w:pPr>
    <w:rPr>
      <w:rFonts w:ascii="Times New Roman Bold" w:hAnsi="Times New Roman Bold"/>
      <w:smallCaps/>
      <w:sz w:val="32"/>
      <w:szCs w:val="32"/>
      <w:lang w:val="en-US" w:eastAsia="es-AR"/>
    </w:rPr>
  </w:style>
  <w:style w:type="table" w:styleId="Tablaconcuadrcula">
    <w:name w:val="Table Grid"/>
    <w:basedOn w:val="Tablanormal"/>
    <w:rsid w:val="002831AB"/>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arCarCarCharChar">
    <w:name w:val="Car Car Car Char Char"/>
    <w:basedOn w:val="Normal"/>
    <w:rsid w:val="002831AB"/>
    <w:pPr>
      <w:spacing w:after="160" w:line="240" w:lineRule="exact"/>
    </w:pPr>
    <w:rPr>
      <w:rFonts w:ascii="Verdana" w:eastAsia="PMingLiU" w:hAnsi="Verdana"/>
      <w:lang w:val="en-US" w:eastAsia="es-AR"/>
    </w:rPr>
  </w:style>
  <w:style w:type="paragraph" w:customStyle="1" w:styleId="Prrafodelista1">
    <w:name w:val="Párrafo de lista1"/>
    <w:basedOn w:val="Normal"/>
    <w:rsid w:val="002831AB"/>
    <w:pPr>
      <w:autoSpaceDE w:val="0"/>
      <w:autoSpaceDN w:val="0"/>
      <w:adjustRightInd w:val="0"/>
      <w:ind w:left="708"/>
    </w:pPr>
    <w:rPr>
      <w:rFonts w:ascii="Times New Roman" w:hAnsi="Times New Roman"/>
      <w:lang w:val="en-US" w:eastAsia="es-AR"/>
    </w:rPr>
  </w:style>
  <w:style w:type="paragraph" w:customStyle="1" w:styleId="CM56">
    <w:name w:val="CM56"/>
    <w:basedOn w:val="Normal"/>
    <w:next w:val="Normal"/>
    <w:uiPriority w:val="99"/>
    <w:rsid w:val="002831AB"/>
    <w:pPr>
      <w:widowControl w:val="0"/>
      <w:autoSpaceDE w:val="0"/>
      <w:autoSpaceDN w:val="0"/>
      <w:adjustRightInd w:val="0"/>
      <w:spacing w:after="255"/>
    </w:pPr>
    <w:rPr>
      <w:rFonts w:ascii="Times New Roman" w:eastAsia="MS Mincho" w:hAnsi="Times New Roman"/>
      <w:sz w:val="24"/>
      <w:szCs w:val="24"/>
      <w:lang w:val="es-ES" w:eastAsia="es-ES"/>
    </w:rPr>
  </w:style>
  <w:style w:type="paragraph" w:customStyle="1" w:styleId="DPWfdtblbody9">
    <w:name w:val="DPWfd tbl body9"/>
    <w:aliases w:val="y9"/>
    <w:basedOn w:val="Normal"/>
    <w:rsid w:val="002831AB"/>
    <w:pPr>
      <w:spacing w:line="180" w:lineRule="exact"/>
      <w:jc w:val="both"/>
    </w:pPr>
    <w:rPr>
      <w:rFonts w:ascii="Times New Roman" w:hAnsi="Times New Roman"/>
      <w:sz w:val="18"/>
      <w:szCs w:val="18"/>
      <w:lang w:val="en-US" w:eastAsia="es-ES"/>
    </w:rPr>
  </w:style>
  <w:style w:type="paragraph" w:customStyle="1" w:styleId="BodyText2SglCarCarCarCarCar">
    <w:name w:val="Body Text 2 Sgl Car Car Car Car Car"/>
    <w:basedOn w:val="Normal"/>
    <w:rsid w:val="002831AB"/>
    <w:pPr>
      <w:widowControl w:val="0"/>
      <w:autoSpaceDE w:val="0"/>
      <w:autoSpaceDN w:val="0"/>
      <w:adjustRightInd w:val="0"/>
      <w:spacing w:after="240"/>
      <w:ind w:firstLine="720"/>
    </w:pPr>
    <w:rPr>
      <w:rFonts w:ascii="Times New Roman" w:hAnsi="Times New Roman"/>
      <w:sz w:val="24"/>
      <w:szCs w:val="24"/>
      <w:lang w:val="es-ES" w:eastAsia="es-ES"/>
    </w:rPr>
  </w:style>
  <w:style w:type="character" w:customStyle="1" w:styleId="apple-style-span">
    <w:name w:val="apple-style-span"/>
    <w:rsid w:val="002831AB"/>
    <w:rPr>
      <w:rFonts w:cs="Times New Roman"/>
    </w:rPr>
  </w:style>
  <w:style w:type="character" w:customStyle="1" w:styleId="apple-converted-space">
    <w:name w:val="apple-converted-space"/>
    <w:rsid w:val="002831AB"/>
    <w:rPr>
      <w:rFonts w:cs="Times New Roman"/>
    </w:rPr>
  </w:style>
  <w:style w:type="paragraph" w:customStyle="1" w:styleId="bodytext2">
    <w:name w:val="bodytext2"/>
    <w:basedOn w:val="Normal"/>
    <w:uiPriority w:val="99"/>
    <w:rsid w:val="002831AB"/>
    <w:pPr>
      <w:ind w:left="284" w:firstLine="709"/>
      <w:jc w:val="both"/>
    </w:pPr>
    <w:rPr>
      <w:rFonts w:ascii="Book Antiqua" w:hAnsi="Book Antiqua"/>
      <w:lang w:val="es-ES" w:eastAsia="es-ES"/>
    </w:rPr>
  </w:style>
  <w:style w:type="character" w:customStyle="1" w:styleId="deltaviewinsertion0">
    <w:name w:val="deltaviewinsertion"/>
    <w:uiPriority w:val="99"/>
    <w:rsid w:val="002831AB"/>
    <w:rPr>
      <w:color w:val="0000FF"/>
      <w:spacing w:val="0"/>
      <w:u w:val="single"/>
    </w:rPr>
  </w:style>
  <w:style w:type="paragraph" w:customStyle="1" w:styleId="NormaProspecto">
    <w:name w:val="Norma Prospecto"/>
    <w:basedOn w:val="Normal"/>
    <w:uiPriority w:val="99"/>
    <w:rsid w:val="002831AB"/>
    <w:pPr>
      <w:widowControl w:val="0"/>
      <w:autoSpaceDE w:val="0"/>
      <w:autoSpaceDN w:val="0"/>
      <w:adjustRightInd w:val="0"/>
      <w:spacing w:after="120"/>
      <w:jc w:val="both"/>
    </w:pPr>
    <w:rPr>
      <w:rFonts w:ascii="Times New Roman" w:hAnsi="Times New Roman"/>
      <w:lang w:eastAsia="es-ES"/>
    </w:rPr>
  </w:style>
  <w:style w:type="paragraph" w:customStyle="1" w:styleId="Default">
    <w:name w:val="Default"/>
    <w:rsid w:val="002831AB"/>
    <w:pPr>
      <w:autoSpaceDE w:val="0"/>
      <w:autoSpaceDN w:val="0"/>
      <w:adjustRightInd w:val="0"/>
    </w:pPr>
    <w:rPr>
      <w:rFonts w:ascii="Times New Roman" w:hAnsi="Times New Roman"/>
      <w:color w:val="000000"/>
      <w:sz w:val="24"/>
      <w:szCs w:val="24"/>
    </w:rPr>
  </w:style>
  <w:style w:type="paragraph" w:customStyle="1" w:styleId="s4">
    <w:name w:val="s4"/>
    <w:basedOn w:val="Normal"/>
    <w:uiPriority w:val="99"/>
    <w:rsid w:val="002831AB"/>
    <w:pPr>
      <w:spacing w:before="100" w:beforeAutospacing="1" w:after="100" w:afterAutospacing="1"/>
    </w:pPr>
    <w:rPr>
      <w:rFonts w:ascii="Times New Roman" w:hAnsi="Times New Roman"/>
      <w:sz w:val="24"/>
      <w:szCs w:val="24"/>
      <w:lang w:val="es-ES" w:eastAsia="es-ES"/>
    </w:rPr>
  </w:style>
  <w:style w:type="paragraph" w:customStyle="1" w:styleId="Revisin1">
    <w:name w:val="Revisión1"/>
    <w:hidden/>
    <w:semiHidden/>
    <w:rsid w:val="002831AB"/>
    <w:rPr>
      <w:rFonts w:ascii="Times New Roman" w:hAnsi="Times New Roman"/>
      <w:lang w:val="en-US" w:eastAsia="en-US"/>
    </w:rPr>
  </w:style>
  <w:style w:type="character" w:customStyle="1" w:styleId="TABLES9PT">
    <w:name w:val="TABLES 9PT"/>
    <w:rsid w:val="002831AB"/>
    <w:rPr>
      <w:spacing w:val="0"/>
      <w:sz w:val="18"/>
    </w:rPr>
  </w:style>
  <w:style w:type="paragraph" w:customStyle="1" w:styleId="Col1">
    <w:name w:val="Col1"/>
    <w:basedOn w:val="Normal"/>
    <w:rsid w:val="002831AB"/>
    <w:pPr>
      <w:tabs>
        <w:tab w:val="decimal" w:pos="101"/>
        <w:tab w:val="decimal" w:pos="1008"/>
      </w:tabs>
    </w:pPr>
    <w:rPr>
      <w:rFonts w:ascii="Times New Roman" w:hAnsi="Times New Roman"/>
      <w:sz w:val="18"/>
      <w:szCs w:val="24"/>
      <w:lang w:val="en-US" w:eastAsia="es-AR"/>
    </w:rPr>
  </w:style>
  <w:style w:type="paragraph" w:customStyle="1" w:styleId="BodyTextIndent22">
    <w:name w:val="Body Text Indent 22"/>
    <w:basedOn w:val="Normal"/>
    <w:rsid w:val="002831AB"/>
    <w:pPr>
      <w:ind w:left="284" w:firstLine="709"/>
      <w:jc w:val="both"/>
    </w:pPr>
    <w:rPr>
      <w:rFonts w:ascii="Book Antiqua" w:hAnsi="Book Antiqua"/>
      <w:kern w:val="18"/>
      <w:lang w:val="es-ES" w:eastAsia="es-ES"/>
    </w:rPr>
  </w:style>
  <w:style w:type="paragraph" w:customStyle="1" w:styleId="BodyTextIndent21">
    <w:name w:val="Body Text Indent 21"/>
    <w:basedOn w:val="Normal"/>
    <w:rsid w:val="002831AB"/>
    <w:pPr>
      <w:ind w:left="284" w:firstLine="709"/>
      <w:jc w:val="both"/>
    </w:pPr>
    <w:rPr>
      <w:rFonts w:ascii="Book Antiqua" w:hAnsi="Book Antiqua"/>
      <w:kern w:val="18"/>
      <w:lang w:val="es-ES" w:eastAsia="es-ES"/>
    </w:rPr>
  </w:style>
  <w:style w:type="paragraph" w:styleId="Asuntodelcomentario">
    <w:name w:val="annotation subject"/>
    <w:basedOn w:val="Textocomentario"/>
    <w:next w:val="Textocomentario"/>
    <w:link w:val="AsuntodelcomentarioCar"/>
    <w:rsid w:val="002831AB"/>
    <w:rPr>
      <w:b/>
    </w:rPr>
  </w:style>
  <w:style w:type="character" w:customStyle="1" w:styleId="AsuntodelcomentarioCar">
    <w:name w:val="Asunto del comentario Car"/>
    <w:link w:val="Asuntodelcomentario"/>
    <w:locked/>
    <w:rsid w:val="002831AB"/>
    <w:rPr>
      <w:rFonts w:ascii="Times New Roman" w:eastAsia="Times New Roman" w:hAnsi="Times New Roman"/>
      <w:b/>
      <w:lang w:val="en-US" w:eastAsia="x-none"/>
    </w:rPr>
  </w:style>
  <w:style w:type="paragraph" w:customStyle="1" w:styleId="Sangr3detindependiente">
    <w:name w:val="Sangr僘 3 de t. independiente"/>
    <w:basedOn w:val="Normal"/>
    <w:next w:val="BodyText2Sgl"/>
    <w:rsid w:val="002831AB"/>
    <w:pPr>
      <w:widowControl w:val="0"/>
      <w:autoSpaceDE w:val="0"/>
      <w:autoSpaceDN w:val="0"/>
      <w:adjustRightInd w:val="0"/>
      <w:spacing w:after="240"/>
      <w:ind w:left="720"/>
    </w:pPr>
    <w:rPr>
      <w:rFonts w:ascii="Times New Roman" w:hAnsi="Times New Roman"/>
      <w:lang w:val="en-US" w:eastAsia="es-ES"/>
    </w:rPr>
  </w:style>
  <w:style w:type="paragraph" w:customStyle="1" w:styleId="DeltaViewTableHeading">
    <w:name w:val="DeltaView Table Heading"/>
    <w:basedOn w:val="Normal"/>
    <w:rsid w:val="002831AB"/>
    <w:pPr>
      <w:autoSpaceDE w:val="0"/>
      <w:autoSpaceDN w:val="0"/>
      <w:adjustRightInd w:val="0"/>
      <w:spacing w:after="120"/>
    </w:pPr>
    <w:rPr>
      <w:rFonts w:ascii="Arial" w:hAnsi="Arial" w:cs="Arial"/>
      <w:b/>
      <w:bCs/>
      <w:sz w:val="24"/>
      <w:szCs w:val="24"/>
      <w:lang w:val="en-US" w:eastAsia="es-ES"/>
    </w:rPr>
  </w:style>
  <w:style w:type="paragraph" w:customStyle="1" w:styleId="s7-94468">
    <w:name w:val="s7-94468"/>
    <w:basedOn w:val="Normal"/>
    <w:next w:val="Normal"/>
    <w:uiPriority w:val="99"/>
    <w:rsid w:val="002831AB"/>
    <w:pPr>
      <w:widowControl w:val="0"/>
      <w:autoSpaceDE w:val="0"/>
      <w:autoSpaceDN w:val="0"/>
      <w:adjustRightInd w:val="0"/>
      <w:spacing w:before="100" w:beforeAutospacing="1" w:after="100" w:afterAutospacing="1"/>
    </w:pPr>
    <w:rPr>
      <w:rFonts w:ascii="Times New Roman" w:hAnsi="Times New Roman"/>
      <w:sz w:val="24"/>
      <w:szCs w:val="24"/>
      <w:lang w:val="es-ES" w:eastAsia="es-ES"/>
    </w:rPr>
  </w:style>
  <w:style w:type="paragraph" w:customStyle="1" w:styleId="RiskFactor">
    <w:name w:val="Risk Factor"/>
    <w:basedOn w:val="Normal"/>
    <w:rsid w:val="002831AB"/>
    <w:pPr>
      <w:keepNext/>
      <w:spacing w:after="240"/>
      <w:ind w:firstLine="720"/>
      <w:jc w:val="both"/>
    </w:pPr>
    <w:rPr>
      <w:rFonts w:ascii="Times New Roman" w:hAnsi="Times New Roman"/>
      <w:b/>
      <w:bCs/>
      <w:i/>
      <w:iCs/>
      <w:w w:val="0"/>
      <w:lang w:val="en-US" w:eastAsia="es-AR"/>
    </w:rPr>
  </w:style>
  <w:style w:type="paragraph" w:customStyle="1" w:styleId="BodyText2Sgl11pt">
    <w:name w:val="Body Text 2 Sgl 11pt"/>
    <w:basedOn w:val="Normal"/>
    <w:rsid w:val="002831AB"/>
    <w:pPr>
      <w:tabs>
        <w:tab w:val="left" w:pos="567"/>
      </w:tabs>
      <w:spacing w:after="240" w:line="240" w:lineRule="exact"/>
      <w:ind w:firstLine="720"/>
    </w:pPr>
    <w:rPr>
      <w:rFonts w:ascii="Times New Roman" w:hAnsi="Times New Roman"/>
      <w:sz w:val="22"/>
      <w:szCs w:val="22"/>
      <w:lang w:val="en-US" w:eastAsia="es-ES"/>
    </w:rPr>
  </w:style>
  <w:style w:type="paragraph" w:customStyle="1" w:styleId="ListB">
    <w:name w:val="ListB"/>
    <w:basedOn w:val="Normal"/>
    <w:uiPriority w:val="99"/>
    <w:rsid w:val="002831AB"/>
    <w:pPr>
      <w:keepNext/>
      <w:tabs>
        <w:tab w:val="left" w:pos="567"/>
      </w:tabs>
      <w:spacing w:after="240" w:line="240" w:lineRule="exact"/>
    </w:pPr>
    <w:rPr>
      <w:rFonts w:ascii="Times New Roman" w:hAnsi="Times New Roman"/>
      <w:b/>
      <w:bCs/>
      <w:sz w:val="22"/>
      <w:szCs w:val="22"/>
      <w:lang w:val="es-ES" w:eastAsia="es-ES"/>
    </w:rPr>
  </w:style>
  <w:style w:type="paragraph" w:customStyle="1" w:styleId="s38">
    <w:name w:val="s38"/>
    <w:basedOn w:val="Normal"/>
    <w:uiPriority w:val="99"/>
    <w:rsid w:val="002831AB"/>
    <w:pPr>
      <w:ind w:left="964" w:hanging="397"/>
      <w:jc w:val="both"/>
    </w:pPr>
    <w:rPr>
      <w:rFonts w:ascii="Arial" w:hAnsi="Arial" w:cs="Arial"/>
      <w:lang w:val="es-ES" w:eastAsia="es-ES"/>
    </w:rPr>
  </w:style>
  <w:style w:type="paragraph" w:customStyle="1" w:styleId="Tablefootnote0">
    <w:name w:val="Table footnote"/>
    <w:basedOn w:val="Normal"/>
    <w:rsid w:val="002831AB"/>
    <w:pPr>
      <w:ind w:left="360" w:hanging="360"/>
    </w:pPr>
    <w:rPr>
      <w:rFonts w:ascii="Times New Roman" w:eastAsia="Batang" w:hAnsi="Times New Roman"/>
      <w:sz w:val="16"/>
      <w:szCs w:val="16"/>
      <w:lang w:val="en-US" w:eastAsia="es-AR"/>
    </w:rPr>
  </w:style>
  <w:style w:type="paragraph" w:customStyle="1" w:styleId="NormalTimesNewRoman">
    <w:name w:val="Normal + Times New Roman"/>
    <w:aliases w:val="10 pt,Negro,Justificado,Comprimido  0,1 pto"/>
    <w:basedOn w:val="Normal"/>
    <w:semiHidden/>
    <w:rsid w:val="002831AB"/>
    <w:pPr>
      <w:tabs>
        <w:tab w:val="left" w:pos="-720"/>
        <w:tab w:val="left" w:pos="284"/>
      </w:tabs>
      <w:suppressAutoHyphens/>
      <w:jc w:val="both"/>
    </w:pPr>
    <w:rPr>
      <w:rFonts w:ascii="Times New Roman" w:eastAsia="SimSun" w:hAnsi="Times New Roman"/>
      <w:color w:val="000000"/>
      <w:spacing w:val="-2"/>
      <w:lang w:eastAsia="es-AR"/>
    </w:rPr>
  </w:style>
  <w:style w:type="paragraph" w:customStyle="1" w:styleId="PrrafoFecha">
    <w:name w:val="Párrafo Fecha"/>
    <w:basedOn w:val="Normal"/>
    <w:next w:val="Normal"/>
    <w:uiPriority w:val="99"/>
    <w:semiHidden/>
    <w:rsid w:val="002831AB"/>
    <w:pPr>
      <w:spacing w:after="720"/>
      <w:jc w:val="right"/>
    </w:pPr>
    <w:rPr>
      <w:rFonts w:ascii="Courier New" w:eastAsia="SimSun" w:hAnsi="Courier New"/>
      <w:sz w:val="24"/>
      <w:lang w:val="es-ES_tradnl" w:eastAsia="es-ES"/>
    </w:rPr>
  </w:style>
  <w:style w:type="paragraph" w:customStyle="1" w:styleId="Prrafo1lnea">
    <w:name w:val="Párrafo 1 línea"/>
    <w:basedOn w:val="Normal"/>
    <w:uiPriority w:val="99"/>
    <w:semiHidden/>
    <w:rsid w:val="002831AB"/>
    <w:pPr>
      <w:jc w:val="both"/>
    </w:pPr>
    <w:rPr>
      <w:rFonts w:ascii="Courier New" w:eastAsia="SimSun" w:hAnsi="Courier New"/>
      <w:sz w:val="24"/>
      <w:lang w:val="es-ES_tradnl" w:eastAsia="es-ES"/>
    </w:rPr>
  </w:style>
  <w:style w:type="paragraph" w:customStyle="1" w:styleId="Sangradetextonormal1">
    <w:name w:val="Sangría de texto normal1"/>
    <w:basedOn w:val="Normal"/>
    <w:rsid w:val="002831AB"/>
    <w:pPr>
      <w:spacing w:after="120"/>
      <w:ind w:left="283"/>
    </w:pPr>
    <w:rPr>
      <w:rFonts w:ascii="Times New Roman" w:eastAsia="SimSun" w:hAnsi="Times New Roman"/>
      <w:sz w:val="24"/>
      <w:lang w:eastAsia="es-ES"/>
    </w:rPr>
  </w:style>
  <w:style w:type="paragraph" w:customStyle="1" w:styleId="PrrafoDireccion">
    <w:name w:val="Párrafo Direccion"/>
    <w:basedOn w:val="Normal"/>
    <w:uiPriority w:val="99"/>
    <w:semiHidden/>
    <w:rsid w:val="002831AB"/>
    <w:rPr>
      <w:rFonts w:ascii="Courier New" w:eastAsia="SimSun" w:hAnsi="Courier New"/>
      <w:sz w:val="24"/>
      <w:lang w:val="es-ES_tradnl" w:eastAsia="es-ES"/>
    </w:rPr>
  </w:style>
  <w:style w:type="paragraph" w:customStyle="1" w:styleId="PrrafoIndentado">
    <w:name w:val="Párrafo Indentado"/>
    <w:basedOn w:val="PrrafoFecha"/>
    <w:uiPriority w:val="99"/>
    <w:semiHidden/>
    <w:rsid w:val="002831AB"/>
    <w:pPr>
      <w:spacing w:before="240" w:after="0"/>
      <w:ind w:left="851"/>
      <w:jc w:val="both"/>
    </w:pPr>
  </w:style>
  <w:style w:type="paragraph" w:customStyle="1" w:styleId="PrrafoNormal">
    <w:name w:val="Párrafo Normal"/>
    <w:basedOn w:val="PrrafoFecha"/>
    <w:uiPriority w:val="99"/>
    <w:semiHidden/>
    <w:rsid w:val="002831AB"/>
    <w:pPr>
      <w:spacing w:after="240" w:line="360" w:lineRule="exact"/>
      <w:jc w:val="both"/>
    </w:pPr>
  </w:style>
  <w:style w:type="paragraph" w:customStyle="1" w:styleId="PrrafoRoman">
    <w:name w:val="Párrafo Romaní"/>
    <w:basedOn w:val="PrrafoFecha"/>
    <w:uiPriority w:val="99"/>
    <w:semiHidden/>
    <w:rsid w:val="002831AB"/>
    <w:pPr>
      <w:spacing w:after="0" w:line="480" w:lineRule="exact"/>
      <w:ind w:left="1418"/>
      <w:jc w:val="both"/>
    </w:pPr>
  </w:style>
  <w:style w:type="paragraph" w:customStyle="1" w:styleId="TtuloPrincipal">
    <w:name w:val="Título Principal"/>
    <w:basedOn w:val="PrrafoFecha"/>
    <w:next w:val="Normal"/>
    <w:uiPriority w:val="99"/>
    <w:semiHidden/>
    <w:rsid w:val="002831AB"/>
    <w:pPr>
      <w:spacing w:after="360"/>
      <w:jc w:val="center"/>
    </w:pPr>
    <w:rPr>
      <w:rFonts w:ascii="Garamond" w:hAnsi="Garamond"/>
      <w:b/>
      <w:u w:val="single"/>
    </w:rPr>
  </w:style>
  <w:style w:type="paragraph" w:customStyle="1" w:styleId="TtuloSecundario">
    <w:name w:val="Título Secundario"/>
    <w:basedOn w:val="Normal"/>
    <w:uiPriority w:val="99"/>
    <w:semiHidden/>
    <w:rsid w:val="002831AB"/>
    <w:pPr>
      <w:jc w:val="center"/>
    </w:pPr>
    <w:rPr>
      <w:rFonts w:ascii="Courier New" w:eastAsia="SimSun" w:hAnsi="Courier New"/>
      <w:sz w:val="24"/>
      <w:u w:val="single"/>
      <w:lang w:val="es-ES_tradnl" w:eastAsia="es-ES"/>
    </w:rPr>
  </w:style>
  <w:style w:type="paragraph" w:customStyle="1" w:styleId="Fax">
    <w:name w:val="Fax"/>
    <w:basedOn w:val="Normal"/>
    <w:uiPriority w:val="99"/>
    <w:semiHidden/>
    <w:rsid w:val="002831AB"/>
    <w:pPr>
      <w:spacing w:after="120"/>
    </w:pPr>
    <w:rPr>
      <w:rFonts w:ascii="Times New Roman" w:eastAsia="SimSun" w:hAnsi="Times New Roman"/>
      <w:sz w:val="24"/>
      <w:lang w:val="en-US" w:eastAsia="es-ES"/>
    </w:rPr>
  </w:style>
  <w:style w:type="paragraph" w:customStyle="1" w:styleId="To">
    <w:name w:val="To"/>
    <w:basedOn w:val="Normal"/>
    <w:uiPriority w:val="99"/>
    <w:semiHidden/>
    <w:rsid w:val="002831AB"/>
    <w:pPr>
      <w:spacing w:after="120"/>
    </w:pPr>
    <w:rPr>
      <w:rFonts w:ascii="Times New Roman" w:eastAsia="SimSun" w:hAnsi="Times New Roman"/>
      <w:sz w:val="24"/>
      <w:lang w:val="en-US" w:eastAsia="es-ES"/>
    </w:rPr>
  </w:style>
  <w:style w:type="paragraph" w:customStyle="1" w:styleId="Textodenotaalfinal">
    <w:name w:val="Texto de nota al final"/>
    <w:basedOn w:val="Normal"/>
    <w:uiPriority w:val="99"/>
    <w:semiHidden/>
    <w:rsid w:val="002831AB"/>
    <w:pPr>
      <w:widowControl w:val="0"/>
      <w:autoSpaceDE w:val="0"/>
      <w:autoSpaceDN w:val="0"/>
      <w:adjustRightInd w:val="0"/>
    </w:pPr>
    <w:rPr>
      <w:rFonts w:ascii="Courier" w:eastAsia="SimSun" w:hAnsi="Courier"/>
      <w:szCs w:val="24"/>
      <w:lang w:val="es-ES" w:eastAsia="es-ES"/>
    </w:rPr>
  </w:style>
  <w:style w:type="paragraph" w:customStyle="1" w:styleId="Textodenotaalpie">
    <w:name w:val="Texto de nota al pie"/>
    <w:basedOn w:val="Normal"/>
    <w:uiPriority w:val="99"/>
    <w:semiHidden/>
    <w:rsid w:val="002831AB"/>
    <w:pPr>
      <w:widowControl w:val="0"/>
      <w:autoSpaceDE w:val="0"/>
      <w:autoSpaceDN w:val="0"/>
      <w:adjustRightInd w:val="0"/>
    </w:pPr>
    <w:rPr>
      <w:rFonts w:ascii="Courier" w:eastAsia="SimSun" w:hAnsi="Courier"/>
      <w:szCs w:val="24"/>
      <w:lang w:val="es-ES" w:eastAsia="es-ES"/>
    </w:rPr>
  </w:style>
  <w:style w:type="paragraph" w:customStyle="1" w:styleId="Document1">
    <w:name w:val="Document 1"/>
    <w:uiPriority w:val="99"/>
    <w:semiHidden/>
    <w:rsid w:val="002831AB"/>
    <w:pPr>
      <w:keepNext/>
      <w:keepLines/>
      <w:widowControl w:val="0"/>
      <w:tabs>
        <w:tab w:val="left" w:pos="-720"/>
      </w:tabs>
      <w:suppressAutoHyphens/>
      <w:autoSpaceDE w:val="0"/>
      <w:autoSpaceDN w:val="0"/>
      <w:adjustRightInd w:val="0"/>
      <w:spacing w:line="240" w:lineRule="atLeast"/>
    </w:pPr>
    <w:rPr>
      <w:rFonts w:ascii="Courier" w:eastAsia="SimSun" w:hAnsi="Courier"/>
      <w:sz w:val="24"/>
      <w:szCs w:val="24"/>
      <w:lang w:val="en-US"/>
    </w:rPr>
  </w:style>
  <w:style w:type="paragraph" w:customStyle="1" w:styleId="Tdc10">
    <w:name w:val="Tdc 1"/>
    <w:basedOn w:val="Normal"/>
    <w:uiPriority w:val="99"/>
    <w:semiHidden/>
    <w:rsid w:val="002831AB"/>
    <w:pPr>
      <w:widowControl w:val="0"/>
      <w:tabs>
        <w:tab w:val="right" w:leader="dot" w:pos="9360"/>
      </w:tabs>
      <w:suppressAutoHyphens/>
      <w:autoSpaceDE w:val="0"/>
      <w:autoSpaceDN w:val="0"/>
      <w:adjustRightInd w:val="0"/>
      <w:spacing w:before="480" w:line="240" w:lineRule="atLeast"/>
      <w:ind w:left="720" w:right="720" w:hanging="720"/>
    </w:pPr>
    <w:rPr>
      <w:rFonts w:ascii="Courier" w:eastAsia="SimSun" w:hAnsi="Courier"/>
      <w:sz w:val="24"/>
      <w:szCs w:val="24"/>
      <w:lang w:val="en-US" w:eastAsia="es-ES"/>
    </w:rPr>
  </w:style>
  <w:style w:type="paragraph" w:customStyle="1" w:styleId="Tdc20">
    <w:name w:val="Tdc 2"/>
    <w:basedOn w:val="Normal"/>
    <w:uiPriority w:val="99"/>
    <w:semiHidden/>
    <w:rsid w:val="002831AB"/>
    <w:pPr>
      <w:widowControl w:val="0"/>
      <w:tabs>
        <w:tab w:val="right" w:leader="dot" w:pos="9360"/>
      </w:tabs>
      <w:suppressAutoHyphens/>
      <w:autoSpaceDE w:val="0"/>
      <w:autoSpaceDN w:val="0"/>
      <w:adjustRightInd w:val="0"/>
      <w:spacing w:line="240" w:lineRule="atLeast"/>
      <w:ind w:left="1440" w:right="720" w:hanging="720"/>
    </w:pPr>
    <w:rPr>
      <w:rFonts w:ascii="Courier" w:eastAsia="SimSun" w:hAnsi="Courier"/>
      <w:sz w:val="24"/>
      <w:szCs w:val="24"/>
      <w:lang w:val="en-US" w:eastAsia="es-ES"/>
    </w:rPr>
  </w:style>
  <w:style w:type="paragraph" w:customStyle="1" w:styleId="Tdc30">
    <w:name w:val="Tdc 3"/>
    <w:basedOn w:val="Normal"/>
    <w:uiPriority w:val="99"/>
    <w:semiHidden/>
    <w:rsid w:val="002831AB"/>
    <w:pPr>
      <w:widowControl w:val="0"/>
      <w:tabs>
        <w:tab w:val="right" w:leader="dot" w:pos="9360"/>
      </w:tabs>
      <w:suppressAutoHyphens/>
      <w:autoSpaceDE w:val="0"/>
      <w:autoSpaceDN w:val="0"/>
      <w:adjustRightInd w:val="0"/>
      <w:spacing w:line="240" w:lineRule="atLeast"/>
      <w:ind w:left="2160" w:right="720" w:hanging="720"/>
    </w:pPr>
    <w:rPr>
      <w:rFonts w:ascii="Courier" w:eastAsia="SimSun" w:hAnsi="Courier"/>
      <w:sz w:val="24"/>
      <w:szCs w:val="24"/>
      <w:lang w:val="en-US" w:eastAsia="es-ES"/>
    </w:rPr>
  </w:style>
  <w:style w:type="paragraph" w:customStyle="1" w:styleId="Tdc40">
    <w:name w:val="Tdc 4"/>
    <w:basedOn w:val="Normal"/>
    <w:uiPriority w:val="99"/>
    <w:semiHidden/>
    <w:rsid w:val="002831AB"/>
    <w:pPr>
      <w:widowControl w:val="0"/>
      <w:tabs>
        <w:tab w:val="right" w:leader="dot" w:pos="9360"/>
      </w:tabs>
      <w:suppressAutoHyphens/>
      <w:autoSpaceDE w:val="0"/>
      <w:autoSpaceDN w:val="0"/>
      <w:adjustRightInd w:val="0"/>
      <w:spacing w:line="240" w:lineRule="atLeast"/>
      <w:ind w:left="2880" w:right="720" w:hanging="720"/>
    </w:pPr>
    <w:rPr>
      <w:rFonts w:ascii="Courier" w:eastAsia="SimSun" w:hAnsi="Courier"/>
      <w:sz w:val="24"/>
      <w:szCs w:val="24"/>
      <w:lang w:val="en-US" w:eastAsia="es-ES"/>
    </w:rPr>
  </w:style>
  <w:style w:type="paragraph" w:customStyle="1" w:styleId="Tdc50">
    <w:name w:val="Tdc 5"/>
    <w:basedOn w:val="Normal"/>
    <w:uiPriority w:val="99"/>
    <w:semiHidden/>
    <w:rsid w:val="002831AB"/>
    <w:pPr>
      <w:widowControl w:val="0"/>
      <w:tabs>
        <w:tab w:val="right" w:leader="dot" w:pos="9360"/>
      </w:tabs>
      <w:suppressAutoHyphens/>
      <w:autoSpaceDE w:val="0"/>
      <w:autoSpaceDN w:val="0"/>
      <w:adjustRightInd w:val="0"/>
      <w:spacing w:line="240" w:lineRule="atLeast"/>
      <w:ind w:left="3600" w:right="720" w:hanging="720"/>
    </w:pPr>
    <w:rPr>
      <w:rFonts w:ascii="Courier" w:eastAsia="SimSun" w:hAnsi="Courier"/>
      <w:sz w:val="24"/>
      <w:szCs w:val="24"/>
      <w:lang w:val="en-US" w:eastAsia="es-ES"/>
    </w:rPr>
  </w:style>
  <w:style w:type="paragraph" w:customStyle="1" w:styleId="Tdc60">
    <w:name w:val="Tdc 6"/>
    <w:basedOn w:val="Normal"/>
    <w:uiPriority w:val="99"/>
    <w:semiHidden/>
    <w:rsid w:val="002831AB"/>
    <w:pPr>
      <w:widowControl w:val="0"/>
      <w:tabs>
        <w:tab w:val="right" w:pos="9360"/>
      </w:tabs>
      <w:suppressAutoHyphens/>
      <w:autoSpaceDE w:val="0"/>
      <w:autoSpaceDN w:val="0"/>
      <w:adjustRightInd w:val="0"/>
      <w:spacing w:line="240" w:lineRule="atLeast"/>
      <w:ind w:left="720" w:hanging="720"/>
    </w:pPr>
    <w:rPr>
      <w:rFonts w:ascii="Courier" w:eastAsia="SimSun" w:hAnsi="Courier"/>
      <w:sz w:val="24"/>
      <w:szCs w:val="24"/>
      <w:lang w:val="en-US" w:eastAsia="es-ES"/>
    </w:rPr>
  </w:style>
  <w:style w:type="paragraph" w:customStyle="1" w:styleId="Tdc70">
    <w:name w:val="Tdc 7"/>
    <w:basedOn w:val="Normal"/>
    <w:uiPriority w:val="99"/>
    <w:semiHidden/>
    <w:rsid w:val="002831AB"/>
    <w:pPr>
      <w:widowControl w:val="0"/>
      <w:suppressAutoHyphens/>
      <w:autoSpaceDE w:val="0"/>
      <w:autoSpaceDN w:val="0"/>
      <w:adjustRightInd w:val="0"/>
      <w:spacing w:line="240" w:lineRule="atLeast"/>
      <w:ind w:left="720" w:hanging="720"/>
    </w:pPr>
    <w:rPr>
      <w:rFonts w:ascii="Courier" w:eastAsia="SimSun" w:hAnsi="Courier"/>
      <w:sz w:val="24"/>
      <w:szCs w:val="24"/>
      <w:lang w:val="en-US" w:eastAsia="es-ES"/>
    </w:rPr>
  </w:style>
  <w:style w:type="paragraph" w:customStyle="1" w:styleId="Tdc80">
    <w:name w:val="Tdc 8"/>
    <w:basedOn w:val="Normal"/>
    <w:uiPriority w:val="99"/>
    <w:semiHidden/>
    <w:rsid w:val="002831AB"/>
    <w:pPr>
      <w:widowControl w:val="0"/>
      <w:tabs>
        <w:tab w:val="right" w:pos="9360"/>
      </w:tabs>
      <w:suppressAutoHyphens/>
      <w:autoSpaceDE w:val="0"/>
      <w:autoSpaceDN w:val="0"/>
      <w:adjustRightInd w:val="0"/>
      <w:spacing w:line="240" w:lineRule="atLeast"/>
      <w:ind w:left="720" w:hanging="720"/>
    </w:pPr>
    <w:rPr>
      <w:rFonts w:ascii="Courier" w:eastAsia="SimSun" w:hAnsi="Courier"/>
      <w:sz w:val="24"/>
      <w:szCs w:val="24"/>
      <w:lang w:val="en-US" w:eastAsia="es-ES"/>
    </w:rPr>
  </w:style>
  <w:style w:type="paragraph" w:customStyle="1" w:styleId="Tdc90">
    <w:name w:val="Tdc 9"/>
    <w:basedOn w:val="Normal"/>
    <w:uiPriority w:val="99"/>
    <w:semiHidden/>
    <w:rsid w:val="002831AB"/>
    <w:pPr>
      <w:widowControl w:val="0"/>
      <w:tabs>
        <w:tab w:val="right" w:leader="dot" w:pos="9360"/>
      </w:tabs>
      <w:suppressAutoHyphens/>
      <w:autoSpaceDE w:val="0"/>
      <w:autoSpaceDN w:val="0"/>
      <w:adjustRightInd w:val="0"/>
      <w:spacing w:line="240" w:lineRule="atLeast"/>
      <w:ind w:left="720" w:hanging="720"/>
    </w:pPr>
    <w:rPr>
      <w:rFonts w:ascii="Courier" w:eastAsia="SimSun" w:hAnsi="Courier"/>
      <w:sz w:val="24"/>
      <w:szCs w:val="24"/>
      <w:lang w:val="en-US" w:eastAsia="es-ES"/>
    </w:rPr>
  </w:style>
  <w:style w:type="paragraph" w:customStyle="1" w:styleId="Encabezadodetda">
    <w:name w:val="Encabezado de tda"/>
    <w:basedOn w:val="Normal"/>
    <w:uiPriority w:val="99"/>
    <w:semiHidden/>
    <w:rsid w:val="002831AB"/>
    <w:pPr>
      <w:widowControl w:val="0"/>
      <w:tabs>
        <w:tab w:val="right" w:pos="9360"/>
      </w:tabs>
      <w:suppressAutoHyphens/>
      <w:autoSpaceDE w:val="0"/>
      <w:autoSpaceDN w:val="0"/>
      <w:adjustRightInd w:val="0"/>
      <w:spacing w:line="240" w:lineRule="atLeast"/>
    </w:pPr>
    <w:rPr>
      <w:rFonts w:ascii="Courier" w:eastAsia="SimSun" w:hAnsi="Courier"/>
      <w:sz w:val="24"/>
      <w:szCs w:val="24"/>
      <w:lang w:val="en-US" w:eastAsia="es-ES"/>
    </w:rPr>
  </w:style>
  <w:style w:type="paragraph" w:customStyle="1" w:styleId="BalloonText1">
    <w:name w:val="Balloon Text1"/>
    <w:basedOn w:val="Normal"/>
    <w:rsid w:val="002831AB"/>
    <w:rPr>
      <w:rFonts w:ascii="Tahoma" w:eastAsia="SimSun" w:hAnsi="Tahoma" w:cs="Book Antiqua"/>
      <w:sz w:val="16"/>
      <w:szCs w:val="16"/>
      <w:lang w:eastAsia="es-AR"/>
    </w:rPr>
  </w:style>
  <w:style w:type="paragraph" w:customStyle="1" w:styleId="BodyText23">
    <w:name w:val="Body Text 23"/>
    <w:basedOn w:val="Normal"/>
    <w:uiPriority w:val="99"/>
    <w:semiHidden/>
    <w:rsid w:val="002831AB"/>
    <w:pPr>
      <w:overflowPunct w:val="0"/>
      <w:autoSpaceDE w:val="0"/>
      <w:autoSpaceDN w:val="0"/>
      <w:adjustRightInd w:val="0"/>
      <w:spacing w:after="360"/>
      <w:ind w:firstLine="2835"/>
      <w:jc w:val="both"/>
      <w:textAlignment w:val="baseline"/>
    </w:pPr>
    <w:rPr>
      <w:rFonts w:ascii="Arial" w:eastAsia="SimSun" w:hAnsi="Arial"/>
      <w:b/>
      <w:sz w:val="24"/>
      <w:lang w:val="es-ES_tradnl" w:eastAsia="es-ES"/>
    </w:rPr>
  </w:style>
  <w:style w:type="paragraph" w:customStyle="1" w:styleId="CommentSubject1">
    <w:name w:val="Comment Subject1"/>
    <w:basedOn w:val="Textocomentario"/>
    <w:next w:val="Textocomentario"/>
    <w:rsid w:val="002831AB"/>
    <w:pPr>
      <w:autoSpaceDE/>
      <w:autoSpaceDN/>
      <w:adjustRightInd/>
    </w:pPr>
    <w:rPr>
      <w:rFonts w:eastAsia="SimSun"/>
      <w:b/>
      <w:bCs/>
      <w:lang w:val="es-ES" w:eastAsia="es-AR"/>
    </w:rPr>
  </w:style>
  <w:style w:type="paragraph" w:customStyle="1" w:styleId="p0">
    <w:name w:val="p0"/>
    <w:basedOn w:val="Normal"/>
    <w:uiPriority w:val="99"/>
    <w:semiHidden/>
    <w:rsid w:val="002831AB"/>
    <w:pPr>
      <w:widowControl w:val="0"/>
      <w:tabs>
        <w:tab w:val="left" w:pos="720"/>
      </w:tabs>
      <w:spacing w:line="240" w:lineRule="atLeast"/>
      <w:jc w:val="both"/>
    </w:pPr>
    <w:rPr>
      <w:rFonts w:ascii="Times New Roman" w:eastAsia="SimSun" w:hAnsi="Times New Roman"/>
      <w:sz w:val="24"/>
      <w:lang w:val="es-ES" w:eastAsia="es-ES"/>
    </w:rPr>
  </w:style>
  <w:style w:type="paragraph" w:customStyle="1" w:styleId="AODocTxt">
    <w:name w:val="AODocTxt"/>
    <w:basedOn w:val="Normal"/>
    <w:rsid w:val="002831AB"/>
    <w:pPr>
      <w:spacing w:before="200"/>
      <w:jc w:val="both"/>
    </w:pPr>
    <w:rPr>
      <w:rFonts w:ascii="Times New Roman" w:eastAsia="SimSun" w:hAnsi="Times New Roman"/>
      <w:lang w:val="en-US" w:eastAsia="es-AR"/>
    </w:rPr>
  </w:style>
  <w:style w:type="paragraph" w:customStyle="1" w:styleId="AODocTxtL1">
    <w:name w:val="AODocTxtL1"/>
    <w:basedOn w:val="AODocTxt"/>
    <w:rsid w:val="002831AB"/>
    <w:pPr>
      <w:tabs>
        <w:tab w:val="num" w:pos="360"/>
        <w:tab w:val="num" w:pos="1440"/>
      </w:tabs>
      <w:ind w:left="1440" w:hanging="360"/>
    </w:pPr>
  </w:style>
  <w:style w:type="paragraph" w:customStyle="1" w:styleId="AODocTxtL2">
    <w:name w:val="AODocTxtL2"/>
    <w:basedOn w:val="AODocTxt"/>
    <w:rsid w:val="002831AB"/>
    <w:pPr>
      <w:tabs>
        <w:tab w:val="num" w:pos="360"/>
        <w:tab w:val="num" w:pos="2160"/>
      </w:tabs>
      <w:ind w:left="2160" w:hanging="180"/>
    </w:pPr>
  </w:style>
  <w:style w:type="paragraph" w:customStyle="1" w:styleId="AODocTxtL3">
    <w:name w:val="AODocTxtL3"/>
    <w:basedOn w:val="AODocTxt"/>
    <w:rsid w:val="002831AB"/>
    <w:pPr>
      <w:tabs>
        <w:tab w:val="num" w:pos="360"/>
        <w:tab w:val="num" w:pos="2880"/>
      </w:tabs>
      <w:ind w:left="2880" w:hanging="360"/>
    </w:pPr>
  </w:style>
  <w:style w:type="paragraph" w:customStyle="1" w:styleId="AODocTxtL4">
    <w:name w:val="AODocTxtL4"/>
    <w:basedOn w:val="AODocTxt"/>
    <w:rsid w:val="002831AB"/>
    <w:pPr>
      <w:tabs>
        <w:tab w:val="num" w:pos="360"/>
        <w:tab w:val="num" w:pos="3600"/>
      </w:tabs>
      <w:ind w:left="3600" w:hanging="360"/>
    </w:pPr>
  </w:style>
  <w:style w:type="paragraph" w:customStyle="1" w:styleId="AODocTxtL5">
    <w:name w:val="AODocTxtL5"/>
    <w:basedOn w:val="AODocTxt"/>
    <w:rsid w:val="002831AB"/>
    <w:pPr>
      <w:tabs>
        <w:tab w:val="num" w:pos="360"/>
        <w:tab w:val="num" w:pos="4320"/>
      </w:tabs>
      <w:ind w:left="4320" w:hanging="180"/>
    </w:pPr>
  </w:style>
  <w:style w:type="paragraph" w:customStyle="1" w:styleId="AODocTxtL6">
    <w:name w:val="AODocTxtL6"/>
    <w:basedOn w:val="AODocTxt"/>
    <w:rsid w:val="002831AB"/>
    <w:pPr>
      <w:tabs>
        <w:tab w:val="num" w:pos="360"/>
        <w:tab w:val="num" w:pos="5040"/>
      </w:tabs>
      <w:ind w:left="5040" w:hanging="360"/>
    </w:pPr>
  </w:style>
  <w:style w:type="paragraph" w:customStyle="1" w:styleId="AODocTxtL7">
    <w:name w:val="AODocTxtL7"/>
    <w:basedOn w:val="AODocTxt"/>
    <w:rsid w:val="002831AB"/>
    <w:pPr>
      <w:tabs>
        <w:tab w:val="num" w:pos="360"/>
        <w:tab w:val="num" w:pos="5760"/>
      </w:tabs>
      <w:ind w:left="5760" w:hanging="360"/>
    </w:pPr>
  </w:style>
  <w:style w:type="paragraph" w:customStyle="1" w:styleId="AODocTxtL8">
    <w:name w:val="AODocTxtL8"/>
    <w:basedOn w:val="AODocTxt"/>
    <w:rsid w:val="002831AB"/>
    <w:pPr>
      <w:tabs>
        <w:tab w:val="num" w:pos="360"/>
        <w:tab w:val="num" w:pos="6480"/>
      </w:tabs>
      <w:ind w:left="6480" w:hanging="180"/>
    </w:pPr>
  </w:style>
  <w:style w:type="paragraph" w:customStyle="1" w:styleId="AOGenNum1List">
    <w:name w:val="AOGenNum1List"/>
    <w:basedOn w:val="Normal"/>
    <w:uiPriority w:val="99"/>
    <w:semiHidden/>
    <w:rsid w:val="002831AB"/>
    <w:pPr>
      <w:tabs>
        <w:tab w:val="num" w:pos="2160"/>
      </w:tabs>
      <w:spacing w:before="200"/>
      <w:ind w:left="2160" w:hanging="180"/>
      <w:jc w:val="both"/>
    </w:pPr>
    <w:rPr>
      <w:rFonts w:ascii="Times New Roman" w:eastAsia="SimSun" w:hAnsi="Times New Roman"/>
      <w:lang w:val="en-US" w:eastAsia="es-AR"/>
    </w:rPr>
  </w:style>
  <w:style w:type="paragraph" w:customStyle="1" w:styleId="BodyText21">
    <w:name w:val="Body Text 21"/>
    <w:basedOn w:val="Normal"/>
    <w:rsid w:val="002831AB"/>
    <w:pPr>
      <w:jc w:val="both"/>
    </w:pPr>
    <w:rPr>
      <w:rFonts w:ascii="Times New Roman" w:eastAsia="SimSun" w:hAnsi="Times New Roman"/>
      <w:lang w:val="es-ES_tradnl" w:eastAsia="es-ES"/>
    </w:rPr>
  </w:style>
  <w:style w:type="character" w:customStyle="1" w:styleId="msoins0">
    <w:name w:val="msoins"/>
    <w:uiPriority w:val="99"/>
    <w:semiHidden/>
    <w:rsid w:val="002831AB"/>
  </w:style>
  <w:style w:type="paragraph" w:customStyle="1" w:styleId="Tabla">
    <w:name w:val="Tabla"/>
    <w:basedOn w:val="Normal"/>
    <w:rsid w:val="002831AB"/>
    <w:pPr>
      <w:widowControl w:val="0"/>
      <w:tabs>
        <w:tab w:val="left" w:pos="664"/>
      </w:tabs>
      <w:spacing w:before="120" w:after="60"/>
      <w:ind w:right="357"/>
      <w:jc w:val="both"/>
    </w:pPr>
    <w:rPr>
      <w:rFonts w:ascii="CG Times (W1)" w:eastAsia="SimSun" w:hAnsi="CG Times (W1)"/>
      <w:noProof/>
      <w:sz w:val="24"/>
      <w:lang w:eastAsia="es-AR"/>
    </w:rPr>
  </w:style>
  <w:style w:type="paragraph" w:customStyle="1" w:styleId="ROMANI">
    <w:name w:val="ROMANI"/>
    <w:uiPriority w:val="99"/>
    <w:semiHidden/>
    <w:rsid w:val="002831AB"/>
    <w:pPr>
      <w:widowControl w:val="0"/>
      <w:tabs>
        <w:tab w:val="left" w:pos="-720"/>
      </w:tabs>
      <w:suppressAutoHyphens/>
      <w:jc w:val="both"/>
    </w:pPr>
    <w:rPr>
      <w:rFonts w:ascii="Courier New" w:eastAsia="SimSun" w:hAnsi="Courier New" w:cs="Courier New"/>
      <w:spacing w:val="-3"/>
      <w:sz w:val="24"/>
      <w:szCs w:val="24"/>
      <w:lang w:val="en-US" w:eastAsia="en-US"/>
    </w:rPr>
  </w:style>
  <w:style w:type="paragraph" w:customStyle="1" w:styleId="Parrafo">
    <w:name w:val="Parrafo"/>
    <w:basedOn w:val="Normal"/>
    <w:uiPriority w:val="99"/>
    <w:semiHidden/>
    <w:rsid w:val="002831AB"/>
    <w:pPr>
      <w:spacing w:before="120"/>
      <w:jc w:val="both"/>
    </w:pPr>
    <w:rPr>
      <w:rFonts w:ascii="Times New Roman" w:eastAsia="SimSun" w:hAnsi="Times New Roman"/>
      <w:lang w:eastAsia="es-AR"/>
    </w:rPr>
  </w:style>
  <w:style w:type="paragraph" w:customStyle="1" w:styleId="5italbold">
    <w:name w:val=".5 italbold"/>
    <w:basedOn w:val="TitleL"/>
    <w:uiPriority w:val="99"/>
    <w:semiHidden/>
    <w:rsid w:val="002831AB"/>
    <w:pPr>
      <w:keepNext/>
      <w:autoSpaceDE/>
      <w:autoSpaceDN/>
      <w:adjustRightInd/>
      <w:ind w:firstLine="720"/>
    </w:pPr>
    <w:rPr>
      <w:rFonts w:ascii="Times New Roman Bold" w:eastAsia="SimSun" w:hAnsi="Times New Roman Bold"/>
      <w:lang w:eastAsia="es-ES"/>
    </w:rPr>
  </w:style>
  <w:style w:type="paragraph" w:customStyle="1" w:styleId="Title5BoldItal">
    <w:name w:val="Title .5 Bold &amp; Ital"/>
    <w:basedOn w:val="Normal"/>
    <w:uiPriority w:val="99"/>
    <w:semiHidden/>
    <w:rsid w:val="002831AB"/>
    <w:pPr>
      <w:keepNext/>
      <w:spacing w:after="240"/>
      <w:ind w:firstLine="720"/>
      <w:jc w:val="both"/>
    </w:pPr>
    <w:rPr>
      <w:rFonts w:ascii="Times New Roman" w:eastAsia="SimSun" w:hAnsi="Times New Roman"/>
      <w:b/>
      <w:bCs/>
      <w:i/>
      <w:iCs/>
      <w:lang w:val="en-US" w:eastAsia="es-AR"/>
    </w:rPr>
  </w:style>
  <w:style w:type="paragraph" w:customStyle="1" w:styleId="TitleL5BoldItal">
    <w:name w:val="Title L .5 Bold &amp; Ital"/>
    <w:basedOn w:val="Normal"/>
    <w:uiPriority w:val="99"/>
    <w:semiHidden/>
    <w:rsid w:val="002831AB"/>
    <w:pPr>
      <w:keepNext/>
      <w:suppressAutoHyphens/>
      <w:spacing w:after="240"/>
      <w:ind w:firstLine="720"/>
      <w:jc w:val="both"/>
    </w:pPr>
    <w:rPr>
      <w:rFonts w:ascii="Times New Roman" w:eastAsia="SimSun" w:hAnsi="Times New Roman"/>
      <w:b/>
      <w:bCs/>
      <w:i/>
      <w:iCs/>
      <w:lang w:val="en-US" w:eastAsia="es-AR"/>
    </w:rPr>
  </w:style>
  <w:style w:type="paragraph" w:customStyle="1" w:styleId="Piedepgin">
    <w:name w:val="Pie de págin"/>
    <w:uiPriority w:val="99"/>
    <w:semiHidden/>
    <w:rsid w:val="002831AB"/>
    <w:pPr>
      <w:tabs>
        <w:tab w:val="center" w:pos="4418"/>
        <w:tab w:val="right" w:pos="8838"/>
        <w:tab w:val="left" w:pos="9360"/>
      </w:tabs>
      <w:spacing w:line="240" w:lineRule="atLeast"/>
    </w:pPr>
    <w:rPr>
      <w:rFonts w:ascii="Times New Roman" w:eastAsia="SimSun" w:hAnsi="Times New Roman"/>
      <w:color w:val="000000"/>
      <w:lang w:val="en-US" w:eastAsia="en-US"/>
    </w:rPr>
  </w:style>
  <w:style w:type="paragraph" w:customStyle="1" w:styleId="Table8pt0">
    <w:name w:val="Table 8 pt."/>
    <w:basedOn w:val="Normal"/>
    <w:uiPriority w:val="99"/>
    <w:semiHidden/>
    <w:rsid w:val="002831AB"/>
    <w:pPr>
      <w:tabs>
        <w:tab w:val="left" w:pos="2160"/>
        <w:tab w:val="left" w:pos="4320"/>
        <w:tab w:val="left" w:pos="5400"/>
        <w:tab w:val="left" w:pos="6120"/>
        <w:tab w:val="left" w:pos="7013"/>
        <w:tab w:val="left" w:pos="8093"/>
        <w:tab w:val="left" w:pos="9000"/>
      </w:tabs>
      <w:suppressAutoHyphens/>
      <w:spacing w:after="240"/>
      <w:jc w:val="both"/>
    </w:pPr>
    <w:rPr>
      <w:rFonts w:ascii="Times New Roman" w:eastAsia="SimSun" w:hAnsi="Times New Roman"/>
      <w:sz w:val="16"/>
      <w:szCs w:val="16"/>
      <w:lang w:val="en-US" w:eastAsia="es-AR"/>
    </w:rPr>
  </w:style>
  <w:style w:type="paragraph" w:customStyle="1" w:styleId="BodyText22">
    <w:name w:val="Body Text 22"/>
    <w:basedOn w:val="Normal"/>
    <w:uiPriority w:val="99"/>
    <w:rsid w:val="002831AB"/>
    <w:pPr>
      <w:widowControl w:val="0"/>
      <w:jc w:val="both"/>
    </w:pPr>
    <w:rPr>
      <w:rFonts w:ascii="Times New Roman" w:eastAsia="SimSun" w:hAnsi="Times New Roman"/>
      <w:lang w:eastAsia="es-ES"/>
    </w:rPr>
  </w:style>
  <w:style w:type="paragraph" w:customStyle="1" w:styleId="Sangradetextonormal2">
    <w:name w:val="Sangría de texto normal2"/>
    <w:basedOn w:val="Normal"/>
    <w:uiPriority w:val="99"/>
    <w:rsid w:val="002831AB"/>
    <w:pPr>
      <w:widowControl w:val="0"/>
      <w:overflowPunct w:val="0"/>
      <w:autoSpaceDE w:val="0"/>
      <w:autoSpaceDN w:val="0"/>
      <w:adjustRightInd w:val="0"/>
      <w:jc w:val="both"/>
      <w:textAlignment w:val="baseline"/>
    </w:pPr>
    <w:rPr>
      <w:rFonts w:ascii="Times New Roman" w:eastAsia="MS Mincho" w:hAnsi="Times New Roman"/>
      <w:sz w:val="24"/>
      <w:szCs w:val="24"/>
      <w:lang w:val="es-ES_tradnl" w:eastAsia="es-ES"/>
    </w:rPr>
  </w:style>
  <w:style w:type="paragraph" w:customStyle="1" w:styleId="Body-DTPJPMCo">
    <w:name w:val="Body-DTP_JPMCo"/>
    <w:basedOn w:val="Normal"/>
    <w:uiPriority w:val="99"/>
    <w:semiHidden/>
    <w:rsid w:val="002831AB"/>
    <w:pPr>
      <w:ind w:firstLine="720"/>
    </w:pPr>
    <w:rPr>
      <w:rFonts w:ascii="Times New Roman" w:eastAsia="SimSun" w:hAnsi="Times New Roman"/>
      <w:sz w:val="24"/>
      <w:szCs w:val="24"/>
      <w:lang w:eastAsia="es-ES"/>
    </w:rPr>
  </w:style>
  <w:style w:type="paragraph" w:customStyle="1" w:styleId="BodyTextJ5">
    <w:name w:val="Body Text J .5"/>
    <w:basedOn w:val="Normal"/>
    <w:uiPriority w:val="99"/>
    <w:semiHidden/>
    <w:rsid w:val="002831AB"/>
    <w:pPr>
      <w:suppressAutoHyphens/>
      <w:spacing w:after="240"/>
      <w:ind w:left="720" w:firstLine="360"/>
      <w:jc w:val="both"/>
    </w:pPr>
    <w:rPr>
      <w:rFonts w:ascii="Times New Roman" w:eastAsia="SimSun" w:hAnsi="Times New Roman"/>
      <w:lang w:val="en-US" w:eastAsia="es-AR"/>
    </w:rPr>
  </w:style>
  <w:style w:type="paragraph" w:customStyle="1" w:styleId="TitleL5Italic">
    <w:name w:val="Title L .5 Italic"/>
    <w:basedOn w:val="Normal"/>
    <w:uiPriority w:val="99"/>
    <w:semiHidden/>
    <w:rsid w:val="002831AB"/>
    <w:pPr>
      <w:keepNext/>
      <w:suppressAutoHyphens/>
      <w:spacing w:after="240"/>
      <w:ind w:firstLine="720"/>
      <w:jc w:val="both"/>
    </w:pPr>
    <w:rPr>
      <w:rFonts w:ascii="Times New Roman" w:eastAsia="SimSun" w:hAnsi="Times New Roman"/>
      <w:i/>
      <w:iCs/>
      <w:lang w:val="en-US" w:eastAsia="es-AR"/>
    </w:rPr>
  </w:style>
  <w:style w:type="paragraph" w:customStyle="1" w:styleId="Style1">
    <w:name w:val="Style1"/>
    <w:basedOn w:val="Ttulo1"/>
    <w:uiPriority w:val="99"/>
    <w:semiHidden/>
    <w:rsid w:val="002831AB"/>
    <w:pPr>
      <w:keepLines w:val="0"/>
      <w:tabs>
        <w:tab w:val="decimal" w:pos="3150"/>
        <w:tab w:val="decimal" w:pos="4500"/>
        <w:tab w:val="decimal" w:pos="5760"/>
        <w:tab w:val="decimal" w:pos="7020"/>
        <w:tab w:val="decimal" w:pos="8190"/>
        <w:tab w:val="decimal" w:pos="9630"/>
        <w:tab w:val="decimal" w:pos="10890"/>
        <w:tab w:val="decimal" w:pos="12600"/>
        <w:tab w:val="decimal" w:pos="13860"/>
        <w:tab w:val="decimal" w:pos="15480"/>
      </w:tabs>
      <w:spacing w:before="240"/>
      <w:outlineLvl w:val="9"/>
    </w:pPr>
    <w:rPr>
      <w:rFonts w:eastAsia="SimSun"/>
      <w:b w:val="0"/>
      <w:bCs/>
      <w:i/>
      <w:iCs/>
      <w:color w:val="auto"/>
      <w:kern w:val="32"/>
      <w:sz w:val="16"/>
      <w:szCs w:val="16"/>
      <w:lang w:eastAsia="es-AR"/>
    </w:rPr>
  </w:style>
  <w:style w:type="paragraph" w:customStyle="1" w:styleId="TitleL25Italic">
    <w:name w:val="Title L .25 Italic"/>
    <w:basedOn w:val="Normal"/>
    <w:uiPriority w:val="99"/>
    <w:semiHidden/>
    <w:rsid w:val="002831AB"/>
    <w:pPr>
      <w:keepNext/>
      <w:suppressAutoHyphens/>
      <w:spacing w:after="240"/>
      <w:ind w:left="360"/>
      <w:jc w:val="both"/>
    </w:pPr>
    <w:rPr>
      <w:rFonts w:ascii="Times New Roman" w:eastAsia="SimSun" w:hAnsi="Times New Roman"/>
      <w:i/>
      <w:iCs/>
      <w:lang w:val="en-US" w:eastAsia="es-AR"/>
    </w:rPr>
  </w:style>
  <w:style w:type="paragraph" w:customStyle="1" w:styleId="CPN-bullet">
    <w:name w:val="CPN-bullet"/>
    <w:basedOn w:val="Normal"/>
    <w:uiPriority w:val="99"/>
    <w:semiHidden/>
    <w:rsid w:val="002831AB"/>
    <w:pPr>
      <w:tabs>
        <w:tab w:val="left" w:pos="990"/>
      </w:tabs>
      <w:overflowPunct w:val="0"/>
      <w:autoSpaceDE w:val="0"/>
      <w:autoSpaceDN w:val="0"/>
      <w:adjustRightInd w:val="0"/>
      <w:spacing w:after="210"/>
      <w:ind w:left="907" w:hanging="360"/>
      <w:textAlignment w:val="baseline"/>
    </w:pPr>
    <w:rPr>
      <w:rFonts w:ascii="Times New Roman" w:eastAsia="SimSun" w:hAnsi="Times New Roman"/>
      <w:sz w:val="21"/>
      <w:szCs w:val="21"/>
      <w:lang w:val="en-AU" w:eastAsia="es-AR"/>
    </w:rPr>
  </w:style>
  <w:style w:type="paragraph" w:customStyle="1" w:styleId="TitleL5Bold">
    <w:name w:val="Title L .5 Bold"/>
    <w:basedOn w:val="Normal"/>
    <w:uiPriority w:val="99"/>
    <w:semiHidden/>
    <w:rsid w:val="002831AB"/>
    <w:pPr>
      <w:keepNext/>
      <w:suppressAutoHyphens/>
      <w:spacing w:after="240"/>
      <w:ind w:firstLine="720"/>
      <w:jc w:val="both"/>
    </w:pPr>
    <w:rPr>
      <w:rFonts w:ascii="Times New Roman" w:eastAsia="SimSun" w:hAnsi="Times New Roman"/>
      <w:b/>
      <w:bCs/>
      <w:lang w:val="en-US" w:eastAsia="es-AR"/>
    </w:rPr>
  </w:style>
  <w:style w:type="paragraph" w:customStyle="1" w:styleId="16pttitle">
    <w:name w:val="16 pt title"/>
    <w:basedOn w:val="Normal"/>
    <w:uiPriority w:val="99"/>
    <w:semiHidden/>
    <w:rsid w:val="002831AB"/>
    <w:pPr>
      <w:suppressAutoHyphens/>
      <w:spacing w:after="120"/>
      <w:jc w:val="center"/>
    </w:pPr>
    <w:rPr>
      <w:rFonts w:ascii="Times New Roman" w:eastAsia="SimSun" w:hAnsi="Times New Roman"/>
      <w:b/>
      <w:bCs/>
      <w:sz w:val="32"/>
      <w:szCs w:val="32"/>
      <w:lang w:val="es-MX" w:eastAsia="es-AR"/>
    </w:rPr>
  </w:style>
  <w:style w:type="paragraph" w:customStyle="1" w:styleId="12pttitle">
    <w:name w:val="12 pt title"/>
    <w:basedOn w:val="Normal"/>
    <w:uiPriority w:val="99"/>
    <w:semiHidden/>
    <w:rsid w:val="002831AB"/>
    <w:pPr>
      <w:suppressAutoHyphens/>
      <w:spacing w:after="120"/>
      <w:jc w:val="center"/>
    </w:pPr>
    <w:rPr>
      <w:rFonts w:ascii="Times New Roman" w:eastAsia="SimSun" w:hAnsi="Times New Roman"/>
      <w:b/>
      <w:bCs/>
      <w:sz w:val="24"/>
      <w:szCs w:val="24"/>
      <w:lang w:val="en-US" w:eastAsia="es-AR"/>
    </w:rPr>
  </w:style>
  <w:style w:type="paragraph" w:customStyle="1" w:styleId="9ptjust">
    <w:name w:val="9 pt just"/>
    <w:basedOn w:val="Normal"/>
    <w:uiPriority w:val="99"/>
    <w:semiHidden/>
    <w:rsid w:val="002831AB"/>
    <w:pPr>
      <w:suppressAutoHyphens/>
      <w:spacing w:after="120"/>
      <w:jc w:val="both"/>
    </w:pPr>
    <w:rPr>
      <w:rFonts w:ascii="Times New Roman" w:eastAsia="SimSun" w:hAnsi="Times New Roman"/>
      <w:sz w:val="18"/>
      <w:szCs w:val="18"/>
      <w:lang w:val="en-US" w:eastAsia="es-AR"/>
    </w:rPr>
  </w:style>
  <w:style w:type="paragraph" w:customStyle="1" w:styleId="9ptbt">
    <w:name w:val="9 pt bt"/>
    <w:basedOn w:val="Normal"/>
    <w:uiPriority w:val="99"/>
    <w:semiHidden/>
    <w:rsid w:val="002831AB"/>
    <w:pPr>
      <w:suppressAutoHyphens/>
      <w:spacing w:after="120"/>
      <w:ind w:firstLine="720"/>
      <w:jc w:val="both"/>
    </w:pPr>
    <w:rPr>
      <w:rFonts w:ascii="Times New Roman" w:eastAsia="SimSun" w:hAnsi="Times New Roman"/>
      <w:sz w:val="18"/>
      <w:szCs w:val="18"/>
      <w:lang w:val="en-US" w:eastAsia="es-AR"/>
    </w:rPr>
  </w:style>
  <w:style w:type="paragraph" w:customStyle="1" w:styleId="9ptcenter">
    <w:name w:val="9 pt center"/>
    <w:basedOn w:val="Normal"/>
    <w:uiPriority w:val="99"/>
    <w:semiHidden/>
    <w:rsid w:val="002831AB"/>
    <w:pPr>
      <w:suppressAutoHyphens/>
      <w:spacing w:after="120"/>
      <w:jc w:val="center"/>
    </w:pPr>
    <w:rPr>
      <w:rFonts w:ascii="Times New Roman" w:eastAsia="SimSun" w:hAnsi="Times New Roman"/>
      <w:sz w:val="18"/>
      <w:szCs w:val="18"/>
      <w:lang w:val="en-US" w:eastAsia="es-AR"/>
    </w:rPr>
  </w:style>
  <w:style w:type="paragraph" w:customStyle="1" w:styleId="TitleLBold">
    <w:name w:val="Title L Bold"/>
    <w:aliases w:val="Italic"/>
    <w:basedOn w:val="TitleL"/>
    <w:uiPriority w:val="99"/>
    <w:semiHidden/>
    <w:rsid w:val="002831AB"/>
    <w:pPr>
      <w:keepNext/>
      <w:autoSpaceDE/>
      <w:autoSpaceDN/>
      <w:adjustRightInd/>
      <w:jc w:val="both"/>
    </w:pPr>
    <w:rPr>
      <w:rFonts w:eastAsia="SimSun"/>
      <w:i/>
      <w:iCs/>
    </w:rPr>
  </w:style>
  <w:style w:type="paragraph" w:customStyle="1" w:styleId="OutlineBodyText">
    <w:name w:val="Outline Body Text"/>
    <w:aliases w:val="obt Car Car"/>
    <w:basedOn w:val="Normal"/>
    <w:link w:val="obtCarCarCar"/>
    <w:uiPriority w:val="99"/>
    <w:semiHidden/>
    <w:rsid w:val="002831AB"/>
    <w:pPr>
      <w:spacing w:after="240"/>
      <w:ind w:firstLine="720"/>
    </w:pPr>
    <w:rPr>
      <w:rFonts w:ascii="Times New Roman" w:eastAsia="SimSun" w:hAnsi="Times New Roman"/>
      <w:kern w:val="28"/>
      <w:lang w:val="en-US" w:eastAsia="x-none"/>
    </w:rPr>
  </w:style>
  <w:style w:type="character" w:customStyle="1" w:styleId="obtCarCarCar">
    <w:name w:val="obt Car Car Car"/>
    <w:link w:val="OutlineBodyText"/>
    <w:uiPriority w:val="99"/>
    <w:semiHidden/>
    <w:locked/>
    <w:rsid w:val="002831AB"/>
    <w:rPr>
      <w:rFonts w:ascii="Times New Roman" w:eastAsia="SimSun" w:hAnsi="Times New Roman"/>
      <w:kern w:val="28"/>
      <w:lang w:val="en-US" w:eastAsia="x-none"/>
    </w:rPr>
  </w:style>
  <w:style w:type="paragraph" w:customStyle="1" w:styleId="Subtitle6">
    <w:name w:val="Subtitle6"/>
    <w:basedOn w:val="Normal"/>
    <w:next w:val="OutlineBodyText"/>
    <w:uiPriority w:val="99"/>
    <w:semiHidden/>
    <w:rsid w:val="002831AB"/>
    <w:pPr>
      <w:keepNext/>
      <w:widowControl w:val="0"/>
      <w:tabs>
        <w:tab w:val="left" w:pos="720"/>
      </w:tabs>
      <w:spacing w:after="240"/>
    </w:pPr>
    <w:rPr>
      <w:rFonts w:ascii="Times New Roman" w:eastAsia="SimSun" w:hAnsi="Times New Roman"/>
      <w:i/>
      <w:iCs/>
      <w:kern w:val="28"/>
      <w:lang w:val="en-US" w:eastAsia="es-AR"/>
    </w:rPr>
  </w:style>
  <w:style w:type="paragraph" w:customStyle="1" w:styleId="tablefootnote1">
    <w:name w:val="table footnote"/>
    <w:basedOn w:val="BodyTextJ"/>
    <w:link w:val="tablefootnoteChar"/>
    <w:uiPriority w:val="99"/>
    <w:qFormat/>
    <w:rsid w:val="00B86C83"/>
    <w:pPr>
      <w:spacing w:after="240" w:line="240" w:lineRule="auto"/>
      <w:ind w:left="360" w:hanging="360"/>
    </w:pPr>
    <w:rPr>
      <w:rFonts w:eastAsia="SimSun"/>
      <w:sz w:val="20"/>
      <w:szCs w:val="20"/>
    </w:rPr>
  </w:style>
  <w:style w:type="paragraph" w:customStyle="1" w:styleId="Textodetabla">
    <w:name w:val="Texto de tabla"/>
    <w:basedOn w:val="Normal"/>
    <w:uiPriority w:val="99"/>
    <w:rsid w:val="002831AB"/>
    <w:pPr>
      <w:tabs>
        <w:tab w:val="decimal" w:pos="0"/>
      </w:tabs>
      <w:jc w:val="both"/>
    </w:pPr>
    <w:rPr>
      <w:rFonts w:ascii="Times New Roman" w:eastAsia="SimSun" w:hAnsi="Times New Roman"/>
      <w:sz w:val="24"/>
      <w:lang w:eastAsia="es-ES"/>
    </w:rPr>
  </w:style>
  <w:style w:type="paragraph" w:customStyle="1" w:styleId="Textopredeterminado">
    <w:name w:val="Texto predeterminado"/>
    <w:basedOn w:val="Normal"/>
    <w:rsid w:val="002831AB"/>
    <w:rPr>
      <w:rFonts w:ascii="Arial" w:eastAsia="SimSun" w:hAnsi="Arial"/>
      <w:sz w:val="24"/>
      <w:lang w:eastAsia="es-ES"/>
    </w:rPr>
  </w:style>
  <w:style w:type="paragraph" w:customStyle="1" w:styleId="xl24">
    <w:name w:val="xl24"/>
    <w:basedOn w:val="Normal"/>
    <w:rsid w:val="002831AB"/>
    <w:pPr>
      <w:spacing w:before="100" w:beforeAutospacing="1" w:after="100" w:afterAutospacing="1"/>
    </w:pPr>
    <w:rPr>
      <w:rFonts w:ascii="CG Omega" w:eastAsia="SimSun" w:hAnsi="CG Omega" w:cs="Arial Unicode MS"/>
      <w:sz w:val="24"/>
      <w:szCs w:val="24"/>
      <w:lang w:val="es-ES" w:eastAsia="es-ES"/>
    </w:rPr>
  </w:style>
  <w:style w:type="paragraph" w:customStyle="1" w:styleId="xl25">
    <w:name w:val="xl25"/>
    <w:basedOn w:val="Normal"/>
    <w:rsid w:val="002831AB"/>
    <w:pPr>
      <w:shd w:val="clear" w:color="000000" w:fill="auto"/>
      <w:spacing w:before="100" w:beforeAutospacing="1" w:after="100" w:afterAutospacing="1"/>
      <w:jc w:val="center"/>
    </w:pPr>
    <w:rPr>
      <w:rFonts w:ascii="CG Omega" w:eastAsia="SimSun" w:hAnsi="CG Omega" w:cs="Arial Unicode MS"/>
      <w:b/>
      <w:bCs/>
      <w:color w:val="FFFFFF"/>
      <w:sz w:val="24"/>
      <w:szCs w:val="24"/>
      <w:lang w:val="es-ES" w:eastAsia="es-ES"/>
    </w:rPr>
  </w:style>
  <w:style w:type="paragraph" w:customStyle="1" w:styleId="xl26">
    <w:name w:val="xl26"/>
    <w:basedOn w:val="Normal"/>
    <w:rsid w:val="002831A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textAlignment w:val="center"/>
    </w:pPr>
    <w:rPr>
      <w:rFonts w:ascii="CG Omega" w:eastAsia="SimSun" w:hAnsi="CG Omega" w:cs="Arial Unicode MS"/>
      <w:b/>
      <w:bCs/>
      <w:sz w:val="24"/>
      <w:szCs w:val="24"/>
      <w:lang w:val="es-ES" w:eastAsia="es-ES"/>
    </w:rPr>
  </w:style>
  <w:style w:type="paragraph" w:customStyle="1" w:styleId="xl27">
    <w:name w:val="xl27"/>
    <w:basedOn w:val="Normal"/>
    <w:rsid w:val="002831A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textAlignment w:val="center"/>
    </w:pPr>
    <w:rPr>
      <w:rFonts w:ascii="CG Omega" w:eastAsia="SimSun" w:hAnsi="CG Omega" w:cs="Arial Unicode MS"/>
      <w:b/>
      <w:bCs/>
      <w:sz w:val="24"/>
      <w:szCs w:val="24"/>
      <w:lang w:val="es-ES" w:eastAsia="es-ES"/>
    </w:rPr>
  </w:style>
  <w:style w:type="paragraph" w:customStyle="1" w:styleId="xl28">
    <w:name w:val="xl28"/>
    <w:basedOn w:val="Normal"/>
    <w:rsid w:val="002831AB"/>
    <w:pPr>
      <w:spacing w:before="100" w:beforeAutospacing="1" w:after="100" w:afterAutospacing="1"/>
      <w:jc w:val="center"/>
    </w:pPr>
    <w:rPr>
      <w:rFonts w:ascii="CG Omega" w:eastAsia="SimSun" w:hAnsi="CG Omega" w:cs="Arial Unicode MS"/>
      <w:b/>
      <w:bCs/>
      <w:color w:val="FFFFFF"/>
      <w:sz w:val="24"/>
      <w:szCs w:val="24"/>
      <w:lang w:val="es-ES" w:eastAsia="es-ES"/>
    </w:rPr>
  </w:style>
  <w:style w:type="paragraph" w:customStyle="1" w:styleId="xl29">
    <w:name w:val="xl29"/>
    <w:basedOn w:val="Normal"/>
    <w:rsid w:val="002831AB"/>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jc w:val="center"/>
      <w:textAlignment w:val="center"/>
    </w:pPr>
    <w:rPr>
      <w:rFonts w:ascii="CG Omega" w:eastAsia="SimSun" w:hAnsi="CG Omega" w:cs="Arial Unicode MS"/>
      <w:b/>
      <w:bCs/>
      <w:sz w:val="24"/>
      <w:szCs w:val="24"/>
      <w:lang w:val="es-ES" w:eastAsia="es-ES"/>
    </w:rPr>
  </w:style>
  <w:style w:type="paragraph" w:customStyle="1" w:styleId="xl30">
    <w:name w:val="xl30"/>
    <w:basedOn w:val="Normal"/>
    <w:rsid w:val="002831AB"/>
    <w:pPr>
      <w:pBdr>
        <w:top w:val="single" w:sz="4" w:space="0" w:color="auto"/>
        <w:left w:val="single" w:sz="4" w:space="0" w:color="auto"/>
        <w:bottom w:val="single" w:sz="4" w:space="0" w:color="auto"/>
      </w:pBdr>
      <w:shd w:val="clear" w:color="auto" w:fill="99CCFF"/>
      <w:spacing w:before="100" w:beforeAutospacing="1" w:after="100" w:afterAutospacing="1"/>
      <w:jc w:val="center"/>
      <w:textAlignment w:val="center"/>
    </w:pPr>
    <w:rPr>
      <w:rFonts w:ascii="CG Omega" w:eastAsia="SimSun" w:hAnsi="CG Omega" w:cs="Arial Unicode MS"/>
      <w:b/>
      <w:bCs/>
      <w:sz w:val="24"/>
      <w:szCs w:val="24"/>
      <w:lang w:val="es-ES" w:eastAsia="es-ES"/>
    </w:rPr>
  </w:style>
  <w:style w:type="paragraph" w:customStyle="1" w:styleId="xl31">
    <w:name w:val="xl31"/>
    <w:basedOn w:val="Normal"/>
    <w:rsid w:val="002831AB"/>
    <w:pPr>
      <w:spacing w:before="100" w:beforeAutospacing="1" w:after="100" w:afterAutospacing="1"/>
    </w:pPr>
    <w:rPr>
      <w:rFonts w:ascii="CG Omega" w:eastAsia="SimSun" w:hAnsi="CG Omega" w:cs="Arial Unicode MS"/>
      <w:sz w:val="24"/>
      <w:szCs w:val="24"/>
      <w:lang w:val="es-ES" w:eastAsia="es-ES"/>
    </w:rPr>
  </w:style>
  <w:style w:type="paragraph" w:customStyle="1" w:styleId="xl32">
    <w:name w:val="xl32"/>
    <w:basedOn w:val="Normal"/>
    <w:rsid w:val="002831AB"/>
    <w:pPr>
      <w:pBdr>
        <w:left w:val="single" w:sz="4" w:space="0" w:color="auto"/>
        <w:right w:val="single" w:sz="4" w:space="0" w:color="auto"/>
      </w:pBdr>
      <w:shd w:val="clear" w:color="auto" w:fill="CCFFFF"/>
      <w:spacing w:before="100" w:beforeAutospacing="1" w:after="100" w:afterAutospacing="1"/>
      <w:textAlignment w:val="center"/>
    </w:pPr>
    <w:rPr>
      <w:rFonts w:ascii="CG Omega" w:eastAsia="SimSun" w:hAnsi="CG Omega" w:cs="Arial Unicode MS"/>
      <w:b/>
      <w:bCs/>
      <w:lang w:val="es-ES" w:eastAsia="es-ES"/>
    </w:rPr>
  </w:style>
  <w:style w:type="paragraph" w:customStyle="1" w:styleId="xl33">
    <w:name w:val="xl33"/>
    <w:basedOn w:val="Normal"/>
    <w:rsid w:val="002831AB"/>
    <w:pPr>
      <w:pBdr>
        <w:left w:val="single" w:sz="4" w:space="0" w:color="auto"/>
        <w:right w:val="single" w:sz="4" w:space="0" w:color="auto"/>
      </w:pBdr>
      <w:shd w:val="clear" w:color="auto" w:fill="CCFFFF"/>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34">
    <w:name w:val="xl34"/>
    <w:basedOn w:val="Normal"/>
    <w:rsid w:val="002831AB"/>
    <w:pPr>
      <w:pBdr>
        <w:left w:val="single" w:sz="4" w:space="0" w:color="auto"/>
        <w:right w:val="single" w:sz="4" w:space="0" w:color="auto"/>
      </w:pBdr>
      <w:shd w:val="clear" w:color="auto" w:fill="CCFFFF"/>
      <w:spacing w:before="100" w:beforeAutospacing="1" w:after="100" w:afterAutospacing="1"/>
      <w:jc w:val="center"/>
      <w:textAlignment w:val="center"/>
    </w:pPr>
    <w:rPr>
      <w:rFonts w:ascii="CG Omega" w:eastAsia="SimSun" w:hAnsi="CG Omega" w:cs="Arial Unicode MS"/>
      <w:lang w:val="es-ES" w:eastAsia="es-ES"/>
    </w:rPr>
  </w:style>
  <w:style w:type="paragraph" w:customStyle="1" w:styleId="xl35">
    <w:name w:val="xl35"/>
    <w:basedOn w:val="Normal"/>
    <w:rsid w:val="002831AB"/>
    <w:pPr>
      <w:pBdr>
        <w:left w:val="single" w:sz="4" w:space="0" w:color="auto"/>
        <w:right w:val="single" w:sz="4" w:space="0" w:color="auto"/>
      </w:pBdr>
      <w:shd w:val="clear" w:color="auto" w:fill="CCFFFF"/>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36">
    <w:name w:val="xl36"/>
    <w:basedOn w:val="Normal"/>
    <w:rsid w:val="002831AB"/>
    <w:pPr>
      <w:pBdr>
        <w:left w:val="single" w:sz="4" w:space="0" w:color="auto"/>
        <w:right w:val="single" w:sz="4" w:space="0" w:color="auto"/>
      </w:pBdr>
      <w:shd w:val="clear" w:color="auto" w:fill="CCFFFF"/>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37">
    <w:name w:val="xl37"/>
    <w:basedOn w:val="Normal"/>
    <w:rsid w:val="002831AB"/>
    <w:pPr>
      <w:spacing w:before="100" w:beforeAutospacing="1" w:after="100" w:afterAutospacing="1"/>
      <w:jc w:val="center"/>
      <w:textAlignment w:val="center"/>
    </w:pPr>
    <w:rPr>
      <w:rFonts w:ascii="CG Omega" w:eastAsia="SimSun" w:hAnsi="CG Omega" w:cs="Arial Unicode MS"/>
      <w:lang w:val="es-ES" w:eastAsia="es-ES"/>
    </w:rPr>
  </w:style>
  <w:style w:type="paragraph" w:customStyle="1" w:styleId="xl38">
    <w:name w:val="xl38"/>
    <w:basedOn w:val="Normal"/>
    <w:rsid w:val="002831AB"/>
    <w:pPr>
      <w:pBdr>
        <w:left w:val="single" w:sz="4" w:space="0" w:color="auto"/>
        <w:right w:val="single" w:sz="4" w:space="0" w:color="auto"/>
      </w:pBdr>
      <w:spacing w:before="100" w:beforeAutospacing="1" w:after="100" w:afterAutospacing="1"/>
      <w:textAlignment w:val="center"/>
    </w:pPr>
    <w:rPr>
      <w:rFonts w:ascii="CG Omega" w:eastAsia="SimSun" w:hAnsi="CG Omega" w:cs="Arial Unicode MS"/>
      <w:b/>
      <w:bCs/>
      <w:lang w:val="es-ES" w:eastAsia="es-ES"/>
    </w:rPr>
  </w:style>
  <w:style w:type="paragraph" w:customStyle="1" w:styleId="xl39">
    <w:name w:val="xl39"/>
    <w:basedOn w:val="Normal"/>
    <w:rsid w:val="002831AB"/>
    <w:pPr>
      <w:pBdr>
        <w:left w:val="single" w:sz="4" w:space="0" w:color="auto"/>
        <w:right w:val="single" w:sz="4" w:space="0" w:color="auto"/>
      </w:pBdr>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40">
    <w:name w:val="xl40"/>
    <w:basedOn w:val="Normal"/>
    <w:rsid w:val="002831AB"/>
    <w:pPr>
      <w:pBdr>
        <w:left w:val="single" w:sz="4" w:space="0" w:color="auto"/>
        <w:right w:val="single" w:sz="4" w:space="0" w:color="auto"/>
      </w:pBdr>
      <w:spacing w:before="100" w:beforeAutospacing="1" w:after="100" w:afterAutospacing="1"/>
      <w:jc w:val="center"/>
      <w:textAlignment w:val="center"/>
    </w:pPr>
    <w:rPr>
      <w:rFonts w:ascii="CG Omega" w:eastAsia="SimSun" w:hAnsi="CG Omega" w:cs="Arial Unicode MS"/>
      <w:lang w:val="es-ES" w:eastAsia="es-ES"/>
    </w:rPr>
  </w:style>
  <w:style w:type="paragraph" w:customStyle="1" w:styleId="xl41">
    <w:name w:val="xl41"/>
    <w:basedOn w:val="Normal"/>
    <w:rsid w:val="002831AB"/>
    <w:pPr>
      <w:pBdr>
        <w:left w:val="single" w:sz="4" w:space="0" w:color="auto"/>
        <w:right w:val="single" w:sz="4" w:space="0" w:color="auto"/>
      </w:pBdr>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xl42">
    <w:name w:val="xl42"/>
    <w:basedOn w:val="Normal"/>
    <w:rsid w:val="002831AB"/>
    <w:pPr>
      <w:pBdr>
        <w:left w:val="single" w:sz="4" w:space="0" w:color="auto"/>
        <w:right w:val="single" w:sz="4" w:space="0" w:color="auto"/>
      </w:pBdr>
      <w:spacing w:before="100" w:beforeAutospacing="1" w:after="100" w:afterAutospacing="1"/>
      <w:jc w:val="center"/>
      <w:textAlignment w:val="center"/>
    </w:pPr>
    <w:rPr>
      <w:rFonts w:ascii="CG Omega" w:eastAsia="SimSun" w:hAnsi="CG Omega" w:cs="Arial Unicode MS"/>
      <w:b/>
      <w:bCs/>
      <w:lang w:val="es-ES" w:eastAsia="es-ES"/>
    </w:rPr>
  </w:style>
  <w:style w:type="paragraph" w:customStyle="1" w:styleId="Notacuerpo">
    <w:name w:val="Nota cuerpo"/>
    <w:basedOn w:val="Normal"/>
    <w:rsid w:val="002831AB"/>
    <w:pPr>
      <w:ind w:left="1440"/>
      <w:jc w:val="both"/>
    </w:pPr>
    <w:rPr>
      <w:rFonts w:ascii="Arial" w:eastAsia="SimSun" w:hAnsi="Arial"/>
      <w:sz w:val="24"/>
      <w:lang w:eastAsia="es-ES"/>
    </w:rPr>
  </w:style>
  <w:style w:type="paragraph" w:customStyle="1" w:styleId="BodyTextIndent31">
    <w:name w:val="Body Text Indent 31"/>
    <w:basedOn w:val="Normal"/>
    <w:uiPriority w:val="99"/>
    <w:semiHidden/>
    <w:rsid w:val="002831AB"/>
    <w:pPr>
      <w:tabs>
        <w:tab w:val="left" w:pos="6237"/>
      </w:tabs>
      <w:ind w:firstLine="284"/>
      <w:jc w:val="both"/>
    </w:pPr>
    <w:rPr>
      <w:rFonts w:ascii="Garamond" w:eastAsia="SimSun" w:hAnsi="Garamond"/>
      <w:lang w:eastAsia="es-ES"/>
    </w:rPr>
  </w:style>
  <w:style w:type="paragraph" w:customStyle="1" w:styleId="NotaN">
    <w:name w:val="Nota Nº"/>
    <w:basedOn w:val="Normal"/>
    <w:uiPriority w:val="99"/>
    <w:rsid w:val="00B86C83"/>
    <w:pPr>
      <w:jc w:val="both"/>
    </w:pPr>
    <w:rPr>
      <w:rFonts w:ascii="Arial" w:eastAsia="SimSun" w:hAnsi="Arial"/>
      <w:b/>
      <w:sz w:val="24"/>
      <w:szCs w:val="24"/>
      <w:u w:val="single"/>
      <w:lang w:eastAsia="es-ES"/>
    </w:rPr>
  </w:style>
  <w:style w:type="paragraph" w:customStyle="1" w:styleId="ListArabic1">
    <w:name w:val="List Arabic 1"/>
    <w:basedOn w:val="Normal"/>
    <w:next w:val="Textoindependiente"/>
    <w:uiPriority w:val="99"/>
    <w:semiHidden/>
    <w:rsid w:val="002831AB"/>
    <w:pPr>
      <w:tabs>
        <w:tab w:val="left" w:pos="22"/>
        <w:tab w:val="num" w:pos="624"/>
      </w:tabs>
      <w:spacing w:after="200" w:line="288" w:lineRule="auto"/>
      <w:ind w:left="624" w:hanging="624"/>
      <w:jc w:val="both"/>
    </w:pPr>
    <w:rPr>
      <w:rFonts w:ascii="CG Times" w:eastAsia="SimSun" w:hAnsi="CG Times"/>
      <w:sz w:val="22"/>
      <w:lang w:val="en-GB" w:eastAsia="es-AR"/>
    </w:rPr>
  </w:style>
  <w:style w:type="paragraph" w:customStyle="1" w:styleId="ListArabic2">
    <w:name w:val="List Arabic 2"/>
    <w:basedOn w:val="Normal"/>
    <w:next w:val="Textoindependiente2"/>
    <w:uiPriority w:val="99"/>
    <w:semiHidden/>
    <w:rsid w:val="002831AB"/>
    <w:pPr>
      <w:tabs>
        <w:tab w:val="left" w:pos="50"/>
        <w:tab w:val="num" w:pos="1417"/>
      </w:tabs>
      <w:spacing w:after="200" w:line="288" w:lineRule="auto"/>
      <w:ind w:left="1417" w:hanging="793"/>
      <w:jc w:val="both"/>
    </w:pPr>
    <w:rPr>
      <w:rFonts w:ascii="CG Times" w:eastAsia="SimSun" w:hAnsi="CG Times"/>
      <w:sz w:val="22"/>
      <w:lang w:val="en-GB" w:eastAsia="es-AR"/>
    </w:rPr>
  </w:style>
  <w:style w:type="paragraph" w:customStyle="1" w:styleId="ListArabic3">
    <w:name w:val="List Arabic 3"/>
    <w:basedOn w:val="Normal"/>
    <w:next w:val="Textoindependiente3"/>
    <w:uiPriority w:val="99"/>
    <w:semiHidden/>
    <w:rsid w:val="002831AB"/>
    <w:pPr>
      <w:tabs>
        <w:tab w:val="left" w:pos="68"/>
        <w:tab w:val="num" w:pos="1928"/>
      </w:tabs>
      <w:spacing w:after="200" w:line="288" w:lineRule="auto"/>
      <w:ind w:left="1928" w:hanging="511"/>
      <w:jc w:val="both"/>
    </w:pPr>
    <w:rPr>
      <w:rFonts w:ascii="CG Times" w:eastAsia="SimSun" w:hAnsi="CG Times"/>
      <w:sz w:val="22"/>
      <w:lang w:val="en-GB" w:eastAsia="es-AR"/>
    </w:rPr>
  </w:style>
  <w:style w:type="paragraph" w:customStyle="1" w:styleId="NotesAlpha">
    <w:name w:val="Notes Alpha"/>
    <w:basedOn w:val="Normal"/>
    <w:uiPriority w:val="99"/>
    <w:semiHidden/>
    <w:rsid w:val="002831AB"/>
    <w:pPr>
      <w:tabs>
        <w:tab w:val="num" w:pos="624"/>
      </w:tabs>
      <w:spacing w:after="100" w:line="288" w:lineRule="auto"/>
      <w:ind w:left="624" w:hanging="624"/>
      <w:jc w:val="both"/>
    </w:pPr>
    <w:rPr>
      <w:rFonts w:ascii="CG Times" w:eastAsia="SimSun" w:hAnsi="CG Times"/>
      <w:sz w:val="22"/>
      <w:lang w:val="en-GB" w:eastAsia="es-AR"/>
    </w:rPr>
  </w:style>
  <w:style w:type="paragraph" w:customStyle="1" w:styleId="NotesArabic">
    <w:name w:val="Notes Arabic"/>
    <w:basedOn w:val="Normal"/>
    <w:uiPriority w:val="99"/>
    <w:semiHidden/>
    <w:rsid w:val="002831AB"/>
    <w:pPr>
      <w:tabs>
        <w:tab w:val="num" w:pos="624"/>
      </w:tabs>
      <w:spacing w:after="100" w:line="288" w:lineRule="auto"/>
      <w:ind w:left="624" w:hanging="624"/>
      <w:jc w:val="both"/>
    </w:pPr>
    <w:rPr>
      <w:rFonts w:ascii="CG Times" w:eastAsia="SimSun" w:hAnsi="CG Times"/>
      <w:sz w:val="22"/>
      <w:lang w:val="en-GB" w:eastAsia="es-AR"/>
    </w:rPr>
  </w:style>
  <w:style w:type="paragraph" w:customStyle="1" w:styleId="NotesRoman">
    <w:name w:val="Notes Roman"/>
    <w:basedOn w:val="Normal"/>
    <w:uiPriority w:val="99"/>
    <w:semiHidden/>
    <w:rsid w:val="002831AB"/>
    <w:pPr>
      <w:tabs>
        <w:tab w:val="left" w:pos="624"/>
      </w:tabs>
      <w:spacing w:after="100" w:line="288" w:lineRule="auto"/>
      <w:ind w:left="624" w:hanging="624"/>
      <w:jc w:val="both"/>
    </w:pPr>
    <w:rPr>
      <w:rFonts w:ascii="CG Times" w:eastAsia="SimSun" w:hAnsi="CG Times"/>
      <w:sz w:val="22"/>
      <w:lang w:val="en-GB" w:eastAsia="es-AR"/>
    </w:rPr>
  </w:style>
  <w:style w:type="paragraph" w:customStyle="1" w:styleId="PartHeadings">
    <w:name w:val="Part Headings"/>
    <w:basedOn w:val="Normal"/>
    <w:next w:val="Normal"/>
    <w:uiPriority w:val="99"/>
    <w:semiHidden/>
    <w:rsid w:val="002831AB"/>
    <w:pPr>
      <w:tabs>
        <w:tab w:val="num" w:pos="360"/>
      </w:tabs>
      <w:suppressAutoHyphens/>
      <w:spacing w:after="300" w:line="312" w:lineRule="auto"/>
      <w:jc w:val="center"/>
      <w:outlineLvl w:val="2"/>
    </w:pPr>
    <w:rPr>
      <w:rFonts w:ascii="CG Times" w:eastAsia="SimSun" w:hAnsi="CG Times"/>
      <w:b/>
      <w:sz w:val="21"/>
      <w:lang w:val="en-GB" w:eastAsia="es-AR"/>
    </w:rPr>
  </w:style>
  <w:style w:type="paragraph" w:customStyle="1" w:styleId="ListRoman1">
    <w:name w:val="List Roman 1"/>
    <w:basedOn w:val="Normal"/>
    <w:next w:val="Textoindependiente"/>
    <w:uiPriority w:val="99"/>
    <w:semiHidden/>
    <w:rsid w:val="002831AB"/>
    <w:pPr>
      <w:tabs>
        <w:tab w:val="left" w:pos="22"/>
        <w:tab w:val="num" w:pos="360"/>
      </w:tabs>
      <w:spacing w:after="200" w:line="288" w:lineRule="auto"/>
      <w:ind w:left="360" w:hanging="360"/>
      <w:jc w:val="both"/>
    </w:pPr>
    <w:rPr>
      <w:rFonts w:ascii="CG Times" w:eastAsia="SimSun" w:hAnsi="CG Times"/>
      <w:sz w:val="22"/>
      <w:lang w:val="en-GB" w:eastAsia="es-AR"/>
    </w:rPr>
  </w:style>
  <w:style w:type="paragraph" w:customStyle="1" w:styleId="ListLegal1">
    <w:name w:val="List Legal 1"/>
    <w:basedOn w:val="Normal"/>
    <w:next w:val="Textoindependiente"/>
    <w:uiPriority w:val="99"/>
    <w:semiHidden/>
    <w:rsid w:val="002831AB"/>
    <w:pPr>
      <w:tabs>
        <w:tab w:val="left" w:pos="22"/>
        <w:tab w:val="num" w:pos="360"/>
      </w:tabs>
      <w:spacing w:after="200" w:line="288" w:lineRule="auto"/>
      <w:ind w:left="360" w:hanging="360"/>
      <w:jc w:val="both"/>
    </w:pPr>
    <w:rPr>
      <w:rFonts w:ascii="CG Times" w:eastAsia="SimSun" w:hAnsi="CG Times"/>
      <w:sz w:val="22"/>
      <w:lang w:val="en-GB" w:eastAsia="es-AR"/>
    </w:rPr>
  </w:style>
  <w:style w:type="paragraph" w:customStyle="1" w:styleId="ListAlpha1">
    <w:name w:val="List Alpha 1"/>
    <w:basedOn w:val="Normal"/>
    <w:next w:val="Textoindependiente"/>
    <w:uiPriority w:val="99"/>
    <w:semiHidden/>
    <w:rsid w:val="002831AB"/>
    <w:pPr>
      <w:tabs>
        <w:tab w:val="left" w:pos="22"/>
        <w:tab w:val="num" w:pos="720"/>
      </w:tabs>
      <w:spacing w:after="200" w:line="288" w:lineRule="auto"/>
      <w:ind w:left="624" w:hanging="624"/>
      <w:jc w:val="both"/>
    </w:pPr>
    <w:rPr>
      <w:rFonts w:ascii="CG Times" w:eastAsia="SimSun" w:hAnsi="CG Times"/>
      <w:sz w:val="22"/>
      <w:lang w:val="en-GB" w:eastAsia="es-AR"/>
    </w:rPr>
  </w:style>
  <w:style w:type="paragraph" w:customStyle="1" w:styleId="ListRoman2">
    <w:name w:val="List Roman 2"/>
    <w:basedOn w:val="Normal"/>
    <w:next w:val="Textoindependiente2"/>
    <w:uiPriority w:val="99"/>
    <w:semiHidden/>
    <w:rsid w:val="002831AB"/>
    <w:pPr>
      <w:tabs>
        <w:tab w:val="left" w:pos="50"/>
        <w:tab w:val="num" w:pos="360"/>
      </w:tabs>
      <w:spacing w:after="200" w:line="288" w:lineRule="auto"/>
      <w:ind w:left="360" w:hanging="360"/>
      <w:jc w:val="both"/>
    </w:pPr>
    <w:rPr>
      <w:rFonts w:ascii="CG Times" w:eastAsia="SimSun" w:hAnsi="CG Times"/>
      <w:sz w:val="22"/>
      <w:lang w:val="en-GB" w:eastAsia="es-AR"/>
    </w:rPr>
  </w:style>
  <w:style w:type="paragraph" w:customStyle="1" w:styleId="LISTALPHACAPS3">
    <w:name w:val="LIST ALPHA CAPS 3"/>
    <w:basedOn w:val="Normal"/>
    <w:next w:val="Textoindependiente3"/>
    <w:uiPriority w:val="99"/>
    <w:semiHidden/>
    <w:rsid w:val="002831AB"/>
    <w:pPr>
      <w:tabs>
        <w:tab w:val="left" w:pos="68"/>
        <w:tab w:val="num" w:pos="360"/>
      </w:tabs>
      <w:spacing w:after="200" w:line="288" w:lineRule="auto"/>
      <w:jc w:val="both"/>
    </w:pPr>
    <w:rPr>
      <w:rFonts w:ascii="CG Times" w:eastAsia="SimSun" w:hAnsi="CG Times"/>
      <w:sz w:val="22"/>
      <w:lang w:val="en-GB" w:eastAsia="es-AR"/>
    </w:rPr>
  </w:style>
  <w:style w:type="paragraph" w:customStyle="1" w:styleId="ListAlpha3">
    <w:name w:val="List Alpha 3"/>
    <w:basedOn w:val="Normal"/>
    <w:next w:val="Textoindependiente3"/>
    <w:uiPriority w:val="99"/>
    <w:semiHidden/>
    <w:rsid w:val="002831AB"/>
    <w:pPr>
      <w:tabs>
        <w:tab w:val="left" w:pos="68"/>
        <w:tab w:val="num" w:pos="1928"/>
      </w:tabs>
      <w:spacing w:after="200" w:line="288" w:lineRule="auto"/>
      <w:ind w:left="1928" w:hanging="511"/>
      <w:jc w:val="both"/>
    </w:pPr>
    <w:rPr>
      <w:rFonts w:ascii="CG Times" w:eastAsia="SimSun" w:hAnsi="CG Times"/>
      <w:sz w:val="22"/>
      <w:lang w:val="en-GB" w:eastAsia="es-AR"/>
    </w:rPr>
  </w:style>
  <w:style w:type="paragraph" w:customStyle="1" w:styleId="ListArabic4">
    <w:name w:val="List Arabic 4"/>
    <w:basedOn w:val="Normal"/>
    <w:next w:val="BodyText4"/>
    <w:uiPriority w:val="99"/>
    <w:semiHidden/>
    <w:rsid w:val="002831AB"/>
    <w:pPr>
      <w:tabs>
        <w:tab w:val="left" w:pos="86"/>
        <w:tab w:val="num" w:pos="360"/>
      </w:tabs>
      <w:spacing w:after="200" w:line="288" w:lineRule="auto"/>
      <w:ind w:left="360" w:hanging="360"/>
      <w:jc w:val="both"/>
    </w:pPr>
    <w:rPr>
      <w:rFonts w:ascii="CG Times" w:eastAsia="SimSun" w:hAnsi="CG Times"/>
      <w:sz w:val="22"/>
      <w:lang w:val="en-GB" w:eastAsia="es-AR"/>
    </w:rPr>
  </w:style>
  <w:style w:type="paragraph" w:customStyle="1" w:styleId="BodyText4">
    <w:name w:val="Body Text 4"/>
    <w:basedOn w:val="Normal"/>
    <w:uiPriority w:val="99"/>
    <w:semiHidden/>
    <w:rsid w:val="002831AB"/>
    <w:pPr>
      <w:spacing w:after="200" w:line="288" w:lineRule="auto"/>
      <w:ind w:left="2438"/>
      <w:jc w:val="both"/>
    </w:pPr>
    <w:rPr>
      <w:rFonts w:ascii="CG Times" w:eastAsia="SimSun" w:hAnsi="CG Times"/>
      <w:sz w:val="22"/>
      <w:lang w:val="en-GB" w:eastAsia="es-AR"/>
    </w:rPr>
  </w:style>
  <w:style w:type="paragraph" w:customStyle="1" w:styleId="ListAlpha2">
    <w:name w:val="List Alpha 2"/>
    <w:basedOn w:val="Normal"/>
    <w:next w:val="Textoindependiente2"/>
    <w:uiPriority w:val="99"/>
    <w:semiHidden/>
    <w:rsid w:val="002831AB"/>
    <w:pPr>
      <w:tabs>
        <w:tab w:val="left" w:pos="50"/>
        <w:tab w:val="num" w:pos="1417"/>
      </w:tabs>
      <w:spacing w:after="200" w:line="288" w:lineRule="auto"/>
      <w:ind w:left="1417" w:hanging="793"/>
      <w:jc w:val="both"/>
    </w:pPr>
    <w:rPr>
      <w:rFonts w:ascii="CG Times" w:eastAsia="SimSun" w:hAnsi="CG Times"/>
      <w:sz w:val="22"/>
      <w:lang w:val="en-GB" w:eastAsia="es-AR"/>
    </w:rPr>
  </w:style>
  <w:style w:type="paragraph" w:customStyle="1" w:styleId="ListRoman3">
    <w:name w:val="List Roman 3"/>
    <w:basedOn w:val="Normal"/>
    <w:next w:val="Textoindependiente3"/>
    <w:uiPriority w:val="99"/>
    <w:semiHidden/>
    <w:rsid w:val="002831AB"/>
    <w:pPr>
      <w:tabs>
        <w:tab w:val="left" w:pos="68"/>
        <w:tab w:val="num" w:pos="360"/>
      </w:tabs>
      <w:spacing w:after="200" w:line="288" w:lineRule="auto"/>
      <w:ind w:left="360" w:hanging="360"/>
      <w:jc w:val="both"/>
    </w:pPr>
    <w:rPr>
      <w:rFonts w:ascii="CG Times" w:eastAsia="SimSun" w:hAnsi="CG Times"/>
      <w:sz w:val="22"/>
      <w:lang w:val="en-GB" w:eastAsia="es-AR"/>
    </w:rPr>
  </w:style>
  <w:style w:type="paragraph" w:customStyle="1" w:styleId="Sangradetindependiente1">
    <w:name w:val="Sangría de t. independiente1"/>
    <w:basedOn w:val="Normal"/>
    <w:uiPriority w:val="99"/>
    <w:semiHidden/>
    <w:rsid w:val="002831AB"/>
    <w:pPr>
      <w:widowControl w:val="0"/>
      <w:autoSpaceDE w:val="0"/>
      <w:autoSpaceDN w:val="0"/>
      <w:adjustRightInd w:val="0"/>
      <w:jc w:val="both"/>
    </w:pPr>
    <w:rPr>
      <w:rFonts w:ascii="Times New Roman" w:eastAsia="SimSun" w:hAnsi="Times New Roman"/>
      <w:sz w:val="24"/>
      <w:szCs w:val="24"/>
      <w:lang w:val="es-ES" w:eastAsia="es-ES"/>
    </w:rPr>
  </w:style>
  <w:style w:type="paragraph" w:customStyle="1" w:styleId="xl46">
    <w:name w:val="xl46"/>
    <w:basedOn w:val="Normal"/>
    <w:rsid w:val="002831AB"/>
    <w:pPr>
      <w:pBdr>
        <w:left w:val="single" w:sz="4" w:space="0" w:color="auto"/>
      </w:pBdr>
      <w:spacing w:before="100" w:beforeAutospacing="1" w:after="100" w:afterAutospacing="1"/>
    </w:pPr>
    <w:rPr>
      <w:rFonts w:ascii="CG Omega" w:eastAsia="SimSun" w:hAnsi="CG Omega" w:cs="Arial Unicode MS"/>
      <w:b/>
      <w:bCs/>
      <w:sz w:val="16"/>
      <w:szCs w:val="16"/>
      <w:lang w:val="es-ES" w:eastAsia="es-ES"/>
    </w:rPr>
  </w:style>
  <w:style w:type="paragraph" w:customStyle="1" w:styleId="ListLegal2">
    <w:name w:val="List Legal 2"/>
    <w:basedOn w:val="Normal"/>
    <w:next w:val="Textoindependiente"/>
    <w:uiPriority w:val="99"/>
    <w:semiHidden/>
    <w:rsid w:val="002831AB"/>
    <w:pPr>
      <w:tabs>
        <w:tab w:val="left" w:pos="22"/>
        <w:tab w:val="num" w:pos="624"/>
      </w:tabs>
      <w:spacing w:after="200" w:line="288" w:lineRule="auto"/>
      <w:ind w:left="624" w:hanging="624"/>
      <w:jc w:val="both"/>
    </w:pPr>
    <w:rPr>
      <w:rFonts w:ascii="CG Times" w:eastAsia="SimSun" w:hAnsi="CG Times"/>
      <w:sz w:val="22"/>
      <w:lang w:val="en-GB" w:eastAsia="es-AR"/>
    </w:rPr>
  </w:style>
  <w:style w:type="paragraph" w:customStyle="1" w:styleId="ListLegal3">
    <w:name w:val="List Legal 3"/>
    <w:basedOn w:val="Normal"/>
    <w:next w:val="Textoindependiente2"/>
    <w:uiPriority w:val="99"/>
    <w:semiHidden/>
    <w:rsid w:val="002831AB"/>
    <w:pPr>
      <w:tabs>
        <w:tab w:val="left" w:pos="50"/>
        <w:tab w:val="num" w:pos="1417"/>
      </w:tabs>
      <w:spacing w:after="200" w:line="288" w:lineRule="auto"/>
      <w:ind w:left="1417" w:hanging="793"/>
      <w:jc w:val="both"/>
    </w:pPr>
    <w:rPr>
      <w:rFonts w:ascii="CG Times" w:eastAsia="SimSun" w:hAnsi="CG Times"/>
      <w:sz w:val="22"/>
      <w:lang w:val="en-GB" w:eastAsia="es-AR"/>
    </w:rPr>
  </w:style>
  <w:style w:type="paragraph" w:customStyle="1" w:styleId="ListALPHACAPS1">
    <w:name w:val="List ALPHA CAPS 1"/>
    <w:basedOn w:val="Normal"/>
    <w:next w:val="Textoindependiente"/>
    <w:uiPriority w:val="99"/>
    <w:semiHidden/>
    <w:rsid w:val="002831AB"/>
    <w:pPr>
      <w:tabs>
        <w:tab w:val="left" w:pos="22"/>
        <w:tab w:val="num" w:pos="624"/>
      </w:tabs>
      <w:spacing w:after="200" w:line="288" w:lineRule="auto"/>
      <w:ind w:left="624" w:hanging="624"/>
      <w:jc w:val="both"/>
    </w:pPr>
    <w:rPr>
      <w:rFonts w:ascii="CG Times" w:eastAsia="SimSun" w:hAnsi="CG Times"/>
      <w:sz w:val="22"/>
      <w:lang w:val="en-GB" w:eastAsia="es-AR"/>
    </w:rPr>
  </w:style>
  <w:style w:type="paragraph" w:customStyle="1" w:styleId="LISTALPHACAPS2">
    <w:name w:val="LIST ALPHA CAPS 2"/>
    <w:basedOn w:val="Normal"/>
    <w:next w:val="Textoindependiente2"/>
    <w:uiPriority w:val="99"/>
    <w:semiHidden/>
    <w:rsid w:val="002831AB"/>
    <w:pPr>
      <w:tabs>
        <w:tab w:val="left" w:pos="50"/>
        <w:tab w:val="num" w:pos="1080"/>
        <w:tab w:val="num" w:pos="1417"/>
      </w:tabs>
      <w:spacing w:after="200" w:line="288" w:lineRule="auto"/>
      <w:ind w:left="1417" w:hanging="793"/>
      <w:jc w:val="both"/>
    </w:pPr>
    <w:rPr>
      <w:rFonts w:ascii="CG Times" w:eastAsia="SimSun" w:hAnsi="CG Times"/>
      <w:sz w:val="22"/>
      <w:lang w:val="en-GB" w:eastAsia="es-AR"/>
    </w:rPr>
  </w:style>
  <w:style w:type="paragraph" w:customStyle="1" w:styleId="Textoindependiente21">
    <w:name w:val="Texto independiente 21"/>
    <w:basedOn w:val="Normal"/>
    <w:uiPriority w:val="99"/>
    <w:rsid w:val="002831AB"/>
    <w:pPr>
      <w:widowControl w:val="0"/>
      <w:jc w:val="both"/>
    </w:pPr>
    <w:rPr>
      <w:rFonts w:ascii="Times New Roman" w:eastAsia="SimSun" w:hAnsi="Times New Roman"/>
      <w:sz w:val="24"/>
      <w:lang w:val="es-ES" w:eastAsia="es-ES"/>
    </w:rPr>
  </w:style>
  <w:style w:type="paragraph" w:customStyle="1" w:styleId="Estndar">
    <w:name w:val="Estándar"/>
    <w:basedOn w:val="Normal"/>
    <w:uiPriority w:val="99"/>
    <w:rsid w:val="002831AB"/>
    <w:rPr>
      <w:rFonts w:ascii="Times New Roman" w:eastAsia="SimSun" w:hAnsi="Times New Roman"/>
      <w:sz w:val="24"/>
      <w:lang w:val="en-US" w:eastAsia="es-ES"/>
    </w:rPr>
  </w:style>
  <w:style w:type="paragraph" w:customStyle="1" w:styleId="FIGURA">
    <w:name w:val="FIGURA"/>
    <w:basedOn w:val="Normal"/>
    <w:next w:val="Normal"/>
    <w:uiPriority w:val="99"/>
    <w:semiHidden/>
    <w:rsid w:val="002831AB"/>
    <w:pPr>
      <w:jc w:val="both"/>
    </w:pPr>
    <w:rPr>
      <w:rFonts w:ascii="Arial Narrow" w:eastAsia="SimSun" w:hAnsi="Arial Narrow"/>
      <w:b/>
      <w:lang w:eastAsia="es-ES"/>
    </w:rPr>
  </w:style>
  <w:style w:type="paragraph" w:customStyle="1" w:styleId="Sangradetindependiente10">
    <w:name w:val="Sangría de t.independiente1"/>
    <w:basedOn w:val="Normal"/>
    <w:uiPriority w:val="99"/>
    <w:semiHidden/>
    <w:rsid w:val="002831AB"/>
    <w:pPr>
      <w:ind w:firstLine="708"/>
      <w:jc w:val="both"/>
    </w:pPr>
    <w:rPr>
      <w:rFonts w:ascii="Book Antiqua" w:eastAsia="SimSun" w:hAnsi="Book Antiqua"/>
      <w:lang w:eastAsia="es-ES"/>
    </w:rPr>
  </w:style>
  <w:style w:type="paragraph" w:customStyle="1" w:styleId="BodyFinancial">
    <w:name w:val="Body Financial"/>
    <w:basedOn w:val="Normal"/>
    <w:uiPriority w:val="99"/>
    <w:semiHidden/>
    <w:rsid w:val="002831AB"/>
    <w:pPr>
      <w:spacing w:after="240"/>
      <w:ind w:firstLine="720"/>
      <w:jc w:val="both"/>
    </w:pPr>
    <w:rPr>
      <w:rFonts w:ascii="Times New Roman" w:eastAsia="SimSun" w:hAnsi="Times New Roman"/>
      <w:lang w:val="en-US" w:eastAsia="es-ES"/>
    </w:rPr>
  </w:style>
  <w:style w:type="paragraph" w:customStyle="1" w:styleId="ListBullet3">
    <w:name w:val="List Bullet3"/>
    <w:basedOn w:val="Textodebloque"/>
    <w:uiPriority w:val="99"/>
    <w:semiHidden/>
    <w:rsid w:val="002831AB"/>
    <w:pPr>
      <w:tabs>
        <w:tab w:val="num" w:pos="2520"/>
      </w:tabs>
      <w:autoSpaceDE/>
      <w:autoSpaceDN/>
      <w:adjustRightInd/>
      <w:spacing w:after="240" w:line="240" w:lineRule="auto"/>
      <w:ind w:left="2520" w:hanging="360"/>
      <w:jc w:val="both"/>
    </w:pPr>
    <w:rPr>
      <w:rFonts w:eastAsia="SimSun"/>
      <w:lang w:eastAsia="es-ES"/>
    </w:rPr>
  </w:style>
  <w:style w:type="paragraph" w:customStyle="1" w:styleId="List2">
    <w:name w:val="List2"/>
    <w:basedOn w:val="Textoindependiente"/>
    <w:uiPriority w:val="99"/>
    <w:semiHidden/>
    <w:rsid w:val="002831AB"/>
    <w:pPr>
      <w:tabs>
        <w:tab w:val="num" w:pos="1209"/>
      </w:tabs>
      <w:autoSpaceDE/>
      <w:autoSpaceDN/>
      <w:adjustRightInd/>
      <w:spacing w:after="240"/>
      <w:ind w:left="1209" w:hanging="360"/>
      <w:jc w:val="both"/>
    </w:pPr>
    <w:rPr>
      <w:rFonts w:eastAsia="SimSun"/>
      <w:lang w:eastAsia="es-ES"/>
    </w:rPr>
  </w:style>
  <w:style w:type="paragraph" w:customStyle="1" w:styleId="ListBullet5">
    <w:name w:val="List Bullet5"/>
    <w:basedOn w:val="BlockText1"/>
    <w:uiPriority w:val="99"/>
    <w:semiHidden/>
    <w:rsid w:val="002831AB"/>
    <w:pPr>
      <w:tabs>
        <w:tab w:val="num" w:pos="360"/>
      </w:tabs>
      <w:autoSpaceDE/>
      <w:autoSpaceDN/>
      <w:adjustRightInd/>
      <w:spacing w:line="240" w:lineRule="auto"/>
      <w:ind w:left="360" w:right="0" w:hanging="360"/>
      <w:jc w:val="both"/>
    </w:pPr>
    <w:rPr>
      <w:rFonts w:eastAsia="SimSun"/>
      <w:lang w:eastAsia="es-ES"/>
    </w:rPr>
  </w:style>
  <w:style w:type="paragraph" w:customStyle="1" w:styleId="font5">
    <w:name w:val="font5"/>
    <w:basedOn w:val="Normal"/>
    <w:rsid w:val="002831AB"/>
    <w:pPr>
      <w:spacing w:before="100" w:beforeAutospacing="1" w:after="100" w:afterAutospacing="1"/>
    </w:pPr>
    <w:rPr>
      <w:rFonts w:ascii="Arial" w:eastAsia="SimSun" w:hAnsi="Arial" w:cs="Arial"/>
      <w:sz w:val="16"/>
      <w:szCs w:val="16"/>
      <w:lang w:val="es-ES" w:eastAsia="es-ES"/>
    </w:rPr>
  </w:style>
  <w:style w:type="paragraph" w:customStyle="1" w:styleId="Firstpara">
    <w:name w:val="Firstpara"/>
    <w:basedOn w:val="Normal"/>
    <w:next w:val="Textoindependiente"/>
    <w:uiPriority w:val="99"/>
    <w:semiHidden/>
    <w:rsid w:val="002831AB"/>
    <w:pPr>
      <w:spacing w:before="120"/>
      <w:jc w:val="both"/>
    </w:pPr>
    <w:rPr>
      <w:rFonts w:ascii="Times New Roman" w:eastAsia="SimSun" w:hAnsi="Times New Roman"/>
      <w:lang w:val="en-US" w:eastAsia="es-ES"/>
    </w:rPr>
  </w:style>
  <w:style w:type="character" w:customStyle="1" w:styleId="sintesistexto">
    <w:name w:val="sintesistexto"/>
    <w:uiPriority w:val="99"/>
    <w:semiHidden/>
    <w:rsid w:val="002831AB"/>
  </w:style>
  <w:style w:type="paragraph" w:customStyle="1" w:styleId="bullettext">
    <w:name w:val="bullettext"/>
    <w:basedOn w:val="Normal"/>
    <w:autoRedefine/>
    <w:uiPriority w:val="99"/>
    <w:semiHidden/>
    <w:rsid w:val="002831AB"/>
    <w:pPr>
      <w:tabs>
        <w:tab w:val="num" w:pos="720"/>
      </w:tabs>
      <w:autoSpaceDE w:val="0"/>
      <w:autoSpaceDN w:val="0"/>
      <w:adjustRightInd w:val="0"/>
      <w:ind w:left="720" w:hanging="360"/>
      <w:jc w:val="both"/>
    </w:pPr>
    <w:rPr>
      <w:rFonts w:ascii="Times New Roman" w:eastAsia="SimSun" w:hAnsi="Times New Roman"/>
      <w:lang w:val="es-ES" w:eastAsia="es-ES"/>
    </w:rPr>
  </w:style>
  <w:style w:type="paragraph" w:customStyle="1" w:styleId="StyleTtuloPrincipalNounderline">
    <w:name w:val="Style Título Principal + No underline"/>
    <w:basedOn w:val="TtuloPrincipal"/>
    <w:uiPriority w:val="99"/>
    <w:semiHidden/>
    <w:rsid w:val="002831AB"/>
    <w:rPr>
      <w:bCs/>
      <w:caps/>
      <w:u w:val="none"/>
    </w:rPr>
  </w:style>
  <w:style w:type="paragraph" w:customStyle="1" w:styleId="StyleTtuloPrincipalNounderline1">
    <w:name w:val="Style Título Principal + No underline1"/>
    <w:basedOn w:val="TtuloPrincipal"/>
    <w:uiPriority w:val="99"/>
    <w:semiHidden/>
    <w:rsid w:val="002831AB"/>
    <w:rPr>
      <w:bCs/>
      <w:caps/>
      <w:u w:val="none"/>
    </w:rPr>
  </w:style>
  <w:style w:type="paragraph" w:styleId="Remitedesobre">
    <w:name w:val="envelope return"/>
    <w:basedOn w:val="Normal"/>
    <w:rsid w:val="002831AB"/>
    <w:rPr>
      <w:rFonts w:ascii="Arial" w:eastAsia="SimSun" w:hAnsi="Arial" w:cs="Arial"/>
      <w:lang w:eastAsia="es-ES"/>
    </w:rPr>
  </w:style>
  <w:style w:type="character" w:styleId="AcrnimoHTML">
    <w:name w:val="HTML Acronym"/>
    <w:basedOn w:val="Fuentedeprrafopredeter"/>
    <w:uiPriority w:val="99"/>
    <w:rsid w:val="002831AB"/>
  </w:style>
  <w:style w:type="paragraph" w:styleId="DireccinHTML">
    <w:name w:val="HTML Address"/>
    <w:basedOn w:val="Normal"/>
    <w:link w:val="DireccinHTMLCar"/>
    <w:uiPriority w:val="99"/>
    <w:rsid w:val="002831AB"/>
    <w:rPr>
      <w:rFonts w:ascii="Times New Roman" w:eastAsia="SimSun" w:hAnsi="Times New Roman"/>
      <w:i/>
      <w:sz w:val="24"/>
      <w:lang w:val="x-none" w:eastAsia="x-none"/>
    </w:rPr>
  </w:style>
  <w:style w:type="character" w:customStyle="1" w:styleId="DireccinHTMLCar">
    <w:name w:val="Dirección HTML Car"/>
    <w:link w:val="DireccinHTML"/>
    <w:uiPriority w:val="99"/>
    <w:locked/>
    <w:rsid w:val="002831AB"/>
    <w:rPr>
      <w:rFonts w:ascii="Times New Roman" w:eastAsia="SimSun" w:hAnsi="Times New Roman"/>
      <w:i/>
      <w:sz w:val="24"/>
    </w:rPr>
  </w:style>
  <w:style w:type="character" w:styleId="CitaHTML">
    <w:name w:val="HTML Cite"/>
    <w:uiPriority w:val="99"/>
    <w:rsid w:val="002831AB"/>
    <w:rPr>
      <w:i/>
    </w:rPr>
  </w:style>
  <w:style w:type="character" w:styleId="CdigoHTML">
    <w:name w:val="HTML Code"/>
    <w:uiPriority w:val="99"/>
    <w:rsid w:val="002831AB"/>
    <w:rPr>
      <w:rFonts w:ascii="Courier New" w:hAnsi="Courier New"/>
      <w:sz w:val="20"/>
    </w:rPr>
  </w:style>
  <w:style w:type="character" w:styleId="DefinicinHTML">
    <w:name w:val="HTML Definition"/>
    <w:uiPriority w:val="99"/>
    <w:rsid w:val="002831AB"/>
    <w:rPr>
      <w:i/>
    </w:rPr>
  </w:style>
  <w:style w:type="character" w:styleId="TecladoHTML">
    <w:name w:val="HTML Keyboard"/>
    <w:uiPriority w:val="99"/>
    <w:rsid w:val="002831AB"/>
    <w:rPr>
      <w:rFonts w:ascii="Courier New" w:hAnsi="Courier New"/>
      <w:sz w:val="20"/>
    </w:rPr>
  </w:style>
  <w:style w:type="paragraph" w:styleId="HTMLconformatoprevio">
    <w:name w:val="HTML Preformatted"/>
    <w:basedOn w:val="Normal"/>
    <w:link w:val="HTMLconformatoprevioCar"/>
    <w:uiPriority w:val="99"/>
    <w:rsid w:val="002831AB"/>
    <w:rPr>
      <w:rFonts w:ascii="Courier New" w:eastAsia="SimSun" w:hAnsi="Courier New"/>
      <w:lang w:val="x-none" w:eastAsia="x-none"/>
    </w:rPr>
  </w:style>
  <w:style w:type="character" w:customStyle="1" w:styleId="HTMLconformatoprevioCar">
    <w:name w:val="HTML con formato previo Car"/>
    <w:link w:val="HTMLconformatoprevio"/>
    <w:uiPriority w:val="99"/>
    <w:locked/>
    <w:rsid w:val="002831AB"/>
    <w:rPr>
      <w:rFonts w:ascii="Courier New" w:eastAsia="SimSun" w:hAnsi="Courier New"/>
    </w:rPr>
  </w:style>
  <w:style w:type="character" w:styleId="EjemplodeHTML">
    <w:name w:val="HTML Sample"/>
    <w:uiPriority w:val="99"/>
    <w:rsid w:val="002831AB"/>
    <w:rPr>
      <w:rFonts w:ascii="Courier New" w:hAnsi="Courier New"/>
    </w:rPr>
  </w:style>
  <w:style w:type="character" w:styleId="MquinadeescribirHTML">
    <w:name w:val="HTML Typewriter"/>
    <w:uiPriority w:val="99"/>
    <w:rsid w:val="002831AB"/>
    <w:rPr>
      <w:rFonts w:ascii="Courier New" w:hAnsi="Courier New"/>
      <w:sz w:val="20"/>
    </w:rPr>
  </w:style>
  <w:style w:type="character" w:styleId="VariableHTML">
    <w:name w:val="HTML Variable"/>
    <w:uiPriority w:val="99"/>
    <w:rsid w:val="002831AB"/>
    <w:rPr>
      <w:i/>
    </w:rPr>
  </w:style>
  <w:style w:type="paragraph" w:styleId="Encabezadodemensaje">
    <w:name w:val="Message Header"/>
    <w:basedOn w:val="Normal"/>
    <w:link w:val="EncabezadodemensajeCar"/>
    <w:uiPriority w:val="99"/>
    <w:rsid w:val="002831A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SimSun" w:hAnsi="Arial"/>
      <w:sz w:val="24"/>
      <w:lang w:val="x-none" w:eastAsia="x-none"/>
    </w:rPr>
  </w:style>
  <w:style w:type="character" w:customStyle="1" w:styleId="EncabezadodemensajeCar">
    <w:name w:val="Encabezado de mensaje Car"/>
    <w:link w:val="Encabezadodemensaje"/>
    <w:uiPriority w:val="99"/>
    <w:locked/>
    <w:rsid w:val="002831AB"/>
    <w:rPr>
      <w:rFonts w:ascii="Arial" w:eastAsia="SimSun" w:hAnsi="Arial"/>
      <w:sz w:val="24"/>
      <w:shd w:val="pct20" w:color="auto" w:fill="auto"/>
    </w:rPr>
  </w:style>
  <w:style w:type="character" w:customStyle="1" w:styleId="Cuerpodeltexto3">
    <w:name w:val="Cuerpo del texto (3)_"/>
    <w:uiPriority w:val="99"/>
    <w:rsid w:val="002831AB"/>
    <w:rPr>
      <w:b/>
      <w:sz w:val="17"/>
    </w:rPr>
  </w:style>
  <w:style w:type="character" w:customStyle="1" w:styleId="Cuerpodeltexto">
    <w:name w:val="Cuerpo del texto_"/>
    <w:uiPriority w:val="99"/>
    <w:rsid w:val="002831AB"/>
    <w:rPr>
      <w:sz w:val="15"/>
    </w:rPr>
  </w:style>
  <w:style w:type="character" w:customStyle="1" w:styleId="Cuerpodeltexto4">
    <w:name w:val="Cuerpo del texto (4)_"/>
    <w:uiPriority w:val="99"/>
    <w:rsid w:val="002831AB"/>
    <w:rPr>
      <w:rFonts w:ascii="Consolas" w:hAnsi="Consolas"/>
      <w:i/>
      <w:spacing w:val="-10"/>
      <w:sz w:val="14"/>
    </w:rPr>
  </w:style>
  <w:style w:type="paragraph" w:customStyle="1" w:styleId="Cuerpodeltexto30">
    <w:name w:val="Cuerpo del texto (3)"/>
    <w:basedOn w:val="Normal"/>
    <w:uiPriority w:val="99"/>
    <w:rsid w:val="002831AB"/>
    <w:pPr>
      <w:shd w:val="clear" w:color="auto" w:fill="FFFFFF"/>
      <w:spacing w:line="240" w:lineRule="atLeast"/>
    </w:pPr>
    <w:rPr>
      <w:rFonts w:ascii="Times New Roman" w:eastAsia="SimSun" w:hAnsi="Times New Roman"/>
      <w:b/>
      <w:bCs/>
      <w:sz w:val="17"/>
      <w:szCs w:val="17"/>
      <w:lang w:eastAsia="es-AR"/>
    </w:rPr>
  </w:style>
  <w:style w:type="paragraph" w:customStyle="1" w:styleId="Cuerpodeltexto0">
    <w:name w:val="Cuerpo del texto"/>
    <w:basedOn w:val="Normal"/>
    <w:uiPriority w:val="99"/>
    <w:rsid w:val="002831AB"/>
    <w:pPr>
      <w:shd w:val="clear" w:color="auto" w:fill="FFFFFF"/>
      <w:spacing w:line="240" w:lineRule="atLeast"/>
    </w:pPr>
    <w:rPr>
      <w:rFonts w:ascii="Times New Roman" w:eastAsia="SimSun" w:hAnsi="Times New Roman"/>
      <w:sz w:val="15"/>
      <w:szCs w:val="15"/>
      <w:lang w:eastAsia="es-AR"/>
    </w:rPr>
  </w:style>
  <w:style w:type="paragraph" w:customStyle="1" w:styleId="Cuerpodeltexto40">
    <w:name w:val="Cuerpo del texto (4)"/>
    <w:basedOn w:val="Normal"/>
    <w:uiPriority w:val="99"/>
    <w:rsid w:val="002831AB"/>
    <w:pPr>
      <w:shd w:val="clear" w:color="auto" w:fill="FFFFFF"/>
      <w:spacing w:line="240" w:lineRule="atLeast"/>
    </w:pPr>
    <w:rPr>
      <w:rFonts w:ascii="Consolas" w:eastAsia="SimSun" w:hAnsi="Consolas"/>
      <w:i/>
      <w:iCs/>
      <w:spacing w:val="-10"/>
      <w:sz w:val="14"/>
      <w:szCs w:val="14"/>
      <w:lang w:eastAsia="es-AR"/>
    </w:rPr>
  </w:style>
  <w:style w:type="character" w:customStyle="1" w:styleId="Leyendadelatabla">
    <w:name w:val="Leyenda de la tabla_"/>
    <w:uiPriority w:val="99"/>
    <w:rsid w:val="002831AB"/>
    <w:rPr>
      <w:sz w:val="15"/>
    </w:rPr>
  </w:style>
  <w:style w:type="paragraph" w:customStyle="1" w:styleId="Leyendadelatabla0">
    <w:name w:val="Leyenda de la tabla"/>
    <w:basedOn w:val="Normal"/>
    <w:uiPriority w:val="99"/>
    <w:rsid w:val="002831AB"/>
    <w:pPr>
      <w:shd w:val="clear" w:color="auto" w:fill="FFFFFF"/>
      <w:spacing w:line="240" w:lineRule="atLeast"/>
    </w:pPr>
    <w:rPr>
      <w:rFonts w:ascii="Times New Roman" w:eastAsia="SimSun" w:hAnsi="Times New Roman"/>
      <w:sz w:val="15"/>
      <w:szCs w:val="15"/>
      <w:lang w:eastAsia="es-AR"/>
    </w:rPr>
  </w:style>
  <w:style w:type="paragraph" w:customStyle="1" w:styleId="CharCharCarCarCharCharCarCarCharCharCarCarCharChar">
    <w:name w:val="Char Char Car Car Char Char Car Car Char Char Car Car Char Char"/>
    <w:basedOn w:val="Normal"/>
    <w:uiPriority w:val="99"/>
    <w:rsid w:val="002831AB"/>
    <w:pPr>
      <w:spacing w:after="160" w:line="240" w:lineRule="exact"/>
    </w:pPr>
    <w:rPr>
      <w:rFonts w:ascii="Verdana" w:eastAsia="PMingLiU" w:hAnsi="Verdana"/>
      <w:lang w:val="en-US" w:eastAsia="es-AR"/>
    </w:rPr>
  </w:style>
  <w:style w:type="paragraph" w:customStyle="1" w:styleId="bodytext5">
    <w:name w:val="bodytext5"/>
    <w:basedOn w:val="Normal"/>
    <w:uiPriority w:val="99"/>
    <w:rsid w:val="002831AB"/>
    <w:pPr>
      <w:spacing w:before="100" w:beforeAutospacing="1" w:after="100" w:afterAutospacing="1"/>
    </w:pPr>
    <w:rPr>
      <w:rFonts w:ascii="Times New Roman" w:eastAsia="SimSun" w:hAnsi="Times New Roman"/>
      <w:sz w:val="24"/>
      <w:szCs w:val="24"/>
      <w:lang w:eastAsia="es-ES"/>
    </w:rPr>
  </w:style>
  <w:style w:type="table" w:customStyle="1" w:styleId="Tablaconcuadrcula1">
    <w:name w:val="Tabla con cuadrícula1"/>
    <w:uiPriority w:val="99"/>
    <w:rsid w:val="002831AB"/>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50">
    <w:name w:val="Body Text .5"/>
    <w:basedOn w:val="Normal"/>
    <w:uiPriority w:val="99"/>
    <w:rsid w:val="002831AB"/>
    <w:pPr>
      <w:tabs>
        <w:tab w:val="left" w:pos="-720"/>
      </w:tabs>
      <w:suppressAutoHyphens/>
      <w:spacing w:after="240"/>
      <w:ind w:firstLine="720"/>
    </w:pPr>
    <w:rPr>
      <w:rFonts w:ascii="Times New Roman" w:eastAsia="SimSun" w:hAnsi="Times New Roman"/>
      <w:lang w:val="en-US" w:eastAsia="es-AR"/>
    </w:rPr>
  </w:style>
  <w:style w:type="paragraph" w:customStyle="1" w:styleId="s15">
    <w:name w:val="s15"/>
    <w:basedOn w:val="Normal"/>
    <w:uiPriority w:val="99"/>
    <w:rsid w:val="002831AB"/>
    <w:pPr>
      <w:jc w:val="both"/>
    </w:pPr>
    <w:rPr>
      <w:rFonts w:ascii="Arial" w:eastAsia="SimSun" w:hAnsi="Arial" w:cs="Arial"/>
      <w:lang w:val="en-US" w:eastAsia="es-AR"/>
    </w:rPr>
  </w:style>
  <w:style w:type="paragraph" w:customStyle="1" w:styleId="s31">
    <w:name w:val="s31"/>
    <w:basedOn w:val="Normal"/>
    <w:uiPriority w:val="99"/>
    <w:rsid w:val="002831AB"/>
    <w:pPr>
      <w:ind w:left="1191"/>
      <w:jc w:val="both"/>
    </w:pPr>
    <w:rPr>
      <w:rFonts w:ascii="Arial" w:eastAsia="SimSun" w:hAnsi="Arial" w:cs="Arial"/>
      <w:lang w:val="en-US" w:eastAsia="es-AR"/>
    </w:rPr>
  </w:style>
  <w:style w:type="paragraph" w:customStyle="1" w:styleId="DPWfdPF">
    <w:name w:val="DPW fd PF"/>
    <w:aliases w:val="p,f,D,DPW fd PF Char1 Char Char,DPW fd PF Char1 Char Char1,DPW fd PF Char1 Char Char Char Char Char Char,DPW fd PF Char1 Char Char Char Char Char Char Char Char,pf,DPW PF,f Car"/>
    <w:basedOn w:val="Normal"/>
    <w:uiPriority w:val="99"/>
    <w:rsid w:val="002831AB"/>
    <w:pPr>
      <w:spacing w:after="200"/>
      <w:ind w:firstLine="360"/>
    </w:pPr>
    <w:rPr>
      <w:rFonts w:ascii="Times New Roman" w:eastAsia="SimSun" w:hAnsi="Times New Roman"/>
      <w:lang w:eastAsia="es-AR"/>
    </w:rPr>
  </w:style>
  <w:style w:type="paragraph" w:customStyle="1" w:styleId="2hanging">
    <w:name w:val="(2)hanging"/>
    <w:basedOn w:val="Normal"/>
    <w:uiPriority w:val="99"/>
    <w:rsid w:val="002831AB"/>
    <w:pPr>
      <w:spacing w:after="240"/>
      <w:ind w:left="2160" w:hanging="720"/>
    </w:pPr>
    <w:rPr>
      <w:rFonts w:ascii="Times New Roman" w:eastAsia="SimSun" w:hAnsi="Times New Roman"/>
      <w:lang w:val="en-US" w:eastAsia="es-AR"/>
    </w:rPr>
  </w:style>
  <w:style w:type="paragraph" w:customStyle="1" w:styleId="Sangradetindependiente">
    <w:name w:val="Sangría de t.independiente"/>
    <w:basedOn w:val="Normal"/>
    <w:rsid w:val="002831AB"/>
    <w:pPr>
      <w:widowControl w:val="0"/>
      <w:jc w:val="both"/>
    </w:pPr>
    <w:rPr>
      <w:rFonts w:ascii="Times New Roman" w:eastAsia="SimSun" w:hAnsi="Times New Roman"/>
      <w:lang w:val="es-ES_tradnl" w:eastAsia="es-ES"/>
    </w:rPr>
  </w:style>
  <w:style w:type="paragraph" w:customStyle="1" w:styleId="s9-95267">
    <w:name w:val="s9-95267"/>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9-95271">
    <w:name w:val="s9-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1-95271">
    <w:name w:val="s1-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2-95271">
    <w:name w:val="s2-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3-95271">
    <w:name w:val="s3-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4-95271">
    <w:name w:val="s4-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5-95271">
    <w:name w:val="s5-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6-95271">
    <w:name w:val="s6-95271"/>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5-95269">
    <w:name w:val="s5-95269"/>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1-95269">
    <w:name w:val="s1-95269"/>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2-95269">
    <w:name w:val="s2-95269"/>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s6-95269">
    <w:name w:val="s6-95269"/>
    <w:basedOn w:val="Normal"/>
    <w:uiPriority w:val="99"/>
    <w:rsid w:val="002831AB"/>
    <w:pPr>
      <w:spacing w:before="100" w:beforeAutospacing="1" w:after="100" w:afterAutospacing="1"/>
    </w:pPr>
    <w:rPr>
      <w:rFonts w:ascii="Times New Roman" w:eastAsia="SimSun" w:hAnsi="Times New Roman"/>
      <w:sz w:val="24"/>
      <w:szCs w:val="24"/>
      <w:lang w:val="es-ES" w:eastAsia="es-ES"/>
    </w:rPr>
  </w:style>
  <w:style w:type="paragraph" w:customStyle="1" w:styleId="Prrafodelista10">
    <w:name w:val="Párrafo de lista1"/>
    <w:basedOn w:val="Normal"/>
    <w:rsid w:val="00661E40"/>
    <w:pPr>
      <w:ind w:left="708"/>
    </w:pPr>
    <w:rPr>
      <w:rFonts w:ascii="Times New Roman" w:eastAsia="SimSun" w:hAnsi="Times New Roman"/>
      <w:lang w:val="es-ES" w:eastAsia="es-AR"/>
    </w:rPr>
  </w:style>
  <w:style w:type="paragraph" w:customStyle="1" w:styleId="BoldItalicsMargin">
    <w:name w:val="Bold Italics Margin"/>
    <w:basedOn w:val="Normal"/>
    <w:uiPriority w:val="99"/>
    <w:rsid w:val="002831AB"/>
    <w:pPr>
      <w:kinsoku w:val="0"/>
      <w:spacing w:after="240"/>
    </w:pPr>
    <w:rPr>
      <w:rFonts w:ascii="Times New Roman" w:eastAsia="SimSun" w:hAnsi="Times New Roman"/>
      <w:b/>
      <w:i/>
      <w:lang w:val="en-US" w:eastAsia="es-AR"/>
    </w:rPr>
  </w:style>
  <w:style w:type="paragraph" w:customStyle="1" w:styleId="0-Texto">
    <w:name w:val="0 - Texto"/>
    <w:uiPriority w:val="99"/>
    <w:rsid w:val="002831AB"/>
    <w:pPr>
      <w:tabs>
        <w:tab w:val="left" w:pos="708"/>
        <w:tab w:val="left" w:pos="1416"/>
        <w:tab w:val="left" w:pos="2124"/>
        <w:tab w:val="left" w:pos="2832"/>
        <w:tab w:val="left" w:pos="3540"/>
        <w:tab w:val="left" w:pos="4248"/>
        <w:tab w:val="left" w:pos="4956"/>
        <w:tab w:val="left" w:pos="6564"/>
      </w:tabs>
      <w:autoSpaceDE w:val="0"/>
      <w:autoSpaceDN w:val="0"/>
      <w:adjustRightInd w:val="0"/>
      <w:jc w:val="both"/>
    </w:pPr>
    <w:rPr>
      <w:rFonts w:ascii="Arial" w:eastAsia="SimSun" w:hAnsi="Arial" w:cs="Courier New"/>
      <w:bCs/>
      <w:lang w:val="es-AR" w:eastAsia="es-AR"/>
    </w:rPr>
  </w:style>
  <w:style w:type="character" w:customStyle="1" w:styleId="8-Articulo">
    <w:name w:val="8 - Articulo"/>
    <w:uiPriority w:val="99"/>
    <w:rsid w:val="002831AB"/>
    <w:rPr>
      <w:rFonts w:ascii="Arial" w:hAnsi="Arial"/>
      <w:b/>
      <w:i/>
      <w:caps/>
      <w:color w:val="026BDD"/>
      <w:sz w:val="22"/>
      <w:lang w:val="es-AR" w:eastAsia="es-AR"/>
    </w:rPr>
  </w:style>
  <w:style w:type="paragraph" w:customStyle="1" w:styleId="Body">
    <w:name w:val="Body"/>
    <w:basedOn w:val="Textoindependienteprimerasangra"/>
    <w:link w:val="BodyChar"/>
    <w:qFormat/>
    <w:rsid w:val="00B86C83"/>
    <w:pPr>
      <w:autoSpaceDE/>
      <w:autoSpaceDN/>
      <w:adjustRightInd/>
      <w:ind w:firstLine="0"/>
    </w:pPr>
    <w:rPr>
      <w:rFonts w:eastAsia="SimSun"/>
    </w:rPr>
  </w:style>
  <w:style w:type="paragraph" w:customStyle="1" w:styleId="CharCharCarCarCharCharCarCarCharCharCarCarCharChar1">
    <w:name w:val="Char Char Car Car Char Char Car Car Char Char Car Car Char Char1"/>
    <w:basedOn w:val="Normal"/>
    <w:uiPriority w:val="99"/>
    <w:rsid w:val="002831AB"/>
    <w:pPr>
      <w:spacing w:after="160" w:line="240" w:lineRule="exact"/>
    </w:pPr>
    <w:rPr>
      <w:rFonts w:ascii="Verdana" w:eastAsia="PMingLiU" w:hAnsi="Verdana"/>
      <w:lang w:val="en-US" w:eastAsia="es-AR"/>
    </w:rPr>
  </w:style>
  <w:style w:type="paragraph" w:customStyle="1" w:styleId="Prrafodelista11">
    <w:name w:val="Párrafo de lista11"/>
    <w:basedOn w:val="Normal"/>
    <w:uiPriority w:val="99"/>
    <w:rsid w:val="002831AB"/>
    <w:pPr>
      <w:ind w:left="708"/>
    </w:pPr>
    <w:rPr>
      <w:rFonts w:ascii="Times New Roman" w:eastAsia="SimSun" w:hAnsi="Times New Roman"/>
      <w:lang w:val="es-ES" w:eastAsia="es-AR"/>
    </w:rPr>
  </w:style>
  <w:style w:type="paragraph" w:customStyle="1" w:styleId="Prrafodelista2">
    <w:name w:val="Párrafo de lista2"/>
    <w:basedOn w:val="Normal"/>
    <w:uiPriority w:val="99"/>
    <w:rsid w:val="002831AB"/>
    <w:pPr>
      <w:ind w:left="708"/>
    </w:pPr>
    <w:rPr>
      <w:rFonts w:ascii="Times New Roman" w:eastAsia="SimSun" w:hAnsi="Times New Roman"/>
      <w:sz w:val="24"/>
      <w:szCs w:val="24"/>
      <w:lang w:eastAsia="es-ES"/>
    </w:rPr>
  </w:style>
  <w:style w:type="paragraph" w:customStyle="1" w:styleId="Textoindependiente22">
    <w:name w:val="Texto independiente 22"/>
    <w:basedOn w:val="Normal"/>
    <w:uiPriority w:val="99"/>
    <w:rsid w:val="002831AB"/>
    <w:pPr>
      <w:ind w:left="284" w:firstLine="709"/>
      <w:jc w:val="both"/>
    </w:pPr>
    <w:rPr>
      <w:rFonts w:ascii="Book Antiqua" w:eastAsia="SimSun" w:hAnsi="Book Antiqua"/>
      <w:kern w:val="18"/>
      <w:lang w:val="es-ES" w:eastAsia="es-ES"/>
    </w:rPr>
  </w:style>
  <w:style w:type="paragraph" w:customStyle="1" w:styleId="s1-1616">
    <w:name w:val="s1-1616"/>
    <w:basedOn w:val="Normal"/>
    <w:uiPriority w:val="99"/>
    <w:rsid w:val="002831AB"/>
    <w:pPr>
      <w:jc w:val="both"/>
    </w:pPr>
    <w:rPr>
      <w:rFonts w:ascii="Arial" w:eastAsia="SimSun" w:hAnsi="Arial" w:cs="Arial"/>
      <w:lang w:eastAsia="es-AR"/>
    </w:rPr>
  </w:style>
  <w:style w:type="paragraph" w:customStyle="1" w:styleId="s3-1616">
    <w:name w:val="s3-1616"/>
    <w:basedOn w:val="Normal"/>
    <w:uiPriority w:val="99"/>
    <w:rsid w:val="002831AB"/>
    <w:pPr>
      <w:jc w:val="both"/>
    </w:pPr>
    <w:rPr>
      <w:rFonts w:ascii="Times New Roman" w:eastAsia="SimSun" w:hAnsi="Times New Roman"/>
      <w:sz w:val="24"/>
      <w:szCs w:val="24"/>
      <w:lang w:eastAsia="es-AR"/>
    </w:rPr>
  </w:style>
  <w:style w:type="character" w:customStyle="1" w:styleId="DeltaViewMoveSource">
    <w:name w:val="DeltaView Move Source"/>
    <w:rsid w:val="002831AB"/>
    <w:rPr>
      <w:strike/>
      <w:color w:val="00C000"/>
    </w:rPr>
  </w:style>
  <w:style w:type="paragraph" w:customStyle="1" w:styleId="Textoindependiente23">
    <w:name w:val="Texto independiente 23"/>
    <w:basedOn w:val="Normal"/>
    <w:rsid w:val="002831AB"/>
    <w:pPr>
      <w:ind w:left="284" w:firstLine="709"/>
      <w:jc w:val="both"/>
    </w:pPr>
    <w:rPr>
      <w:rFonts w:ascii="Book Antiqua" w:hAnsi="Book Antiqua"/>
      <w:kern w:val="18"/>
      <w:lang w:val="es-ES" w:eastAsia="es-ES"/>
    </w:rPr>
  </w:style>
  <w:style w:type="paragraph" w:customStyle="1" w:styleId="TextoTS">
    <w:name w:val="Texto TS"/>
    <w:basedOn w:val="Normal"/>
    <w:link w:val="TextoTSCar"/>
    <w:qFormat/>
    <w:rsid w:val="002831AB"/>
    <w:pPr>
      <w:spacing w:before="120" w:after="200"/>
      <w:jc w:val="both"/>
    </w:pPr>
    <w:rPr>
      <w:rFonts w:ascii="Times New Roman" w:hAnsi="Times New Roman"/>
      <w:lang w:val="x-none" w:eastAsia="x-none"/>
    </w:rPr>
  </w:style>
  <w:style w:type="character" w:customStyle="1" w:styleId="TextoTSCar">
    <w:name w:val="Texto TS Car"/>
    <w:link w:val="TextoTS"/>
    <w:locked/>
    <w:rsid w:val="002831AB"/>
    <w:rPr>
      <w:rFonts w:ascii="Times New Roman" w:eastAsia="Times New Roman" w:hAnsi="Times New Roman"/>
    </w:rPr>
  </w:style>
  <w:style w:type="paragraph" w:customStyle="1" w:styleId="Ttulo4TS">
    <w:name w:val="Título 4 TS"/>
    <w:basedOn w:val="Normal"/>
    <w:link w:val="Ttulo4TSCar"/>
    <w:qFormat/>
    <w:rsid w:val="002831AB"/>
    <w:pPr>
      <w:autoSpaceDE w:val="0"/>
      <w:autoSpaceDN w:val="0"/>
      <w:adjustRightInd w:val="0"/>
      <w:spacing w:after="200"/>
      <w:jc w:val="both"/>
    </w:pPr>
    <w:rPr>
      <w:rFonts w:ascii="Times New Roman" w:hAnsi="Times New Roman"/>
      <w:b/>
      <w:i/>
      <w:color w:val="000000"/>
      <w:sz w:val="24"/>
      <w:lang w:val="es-ES" w:eastAsia="x-none"/>
    </w:rPr>
  </w:style>
  <w:style w:type="character" w:customStyle="1" w:styleId="Ttulo4TSCar">
    <w:name w:val="Título 4 TS Car"/>
    <w:link w:val="Ttulo4TS"/>
    <w:locked/>
    <w:rsid w:val="002831AB"/>
    <w:rPr>
      <w:rFonts w:ascii="Times New Roman" w:eastAsia="Times New Roman" w:hAnsi="Times New Roman"/>
      <w:b/>
      <w:i/>
      <w:color w:val="000000"/>
      <w:sz w:val="24"/>
      <w:lang w:val="es-ES" w:eastAsia="x-none"/>
    </w:rPr>
  </w:style>
  <w:style w:type="paragraph" w:customStyle="1" w:styleId="s8-3255">
    <w:name w:val="s8-3255"/>
    <w:basedOn w:val="Normal"/>
    <w:uiPriority w:val="99"/>
    <w:rsid w:val="002831AB"/>
    <w:pPr>
      <w:ind w:firstLine="1077"/>
    </w:pPr>
    <w:rPr>
      <w:rFonts w:ascii="Arial" w:eastAsia="SimSun" w:hAnsi="Arial" w:cs="Arial"/>
      <w:lang w:eastAsia="es-AR"/>
    </w:rPr>
  </w:style>
  <w:style w:type="paragraph" w:customStyle="1" w:styleId="s36-3255">
    <w:name w:val="s36-3255"/>
    <w:basedOn w:val="Normal"/>
    <w:uiPriority w:val="99"/>
    <w:rsid w:val="002831AB"/>
    <w:pPr>
      <w:ind w:firstLine="1077"/>
    </w:pPr>
    <w:rPr>
      <w:rFonts w:ascii="Times New Roman" w:eastAsia="SimSun" w:hAnsi="Times New Roman"/>
      <w:sz w:val="24"/>
      <w:szCs w:val="24"/>
      <w:lang w:eastAsia="es-AR"/>
    </w:rPr>
  </w:style>
  <w:style w:type="paragraph" w:customStyle="1" w:styleId="s41-3255">
    <w:name w:val="s41-3255"/>
    <w:basedOn w:val="Normal"/>
    <w:uiPriority w:val="99"/>
    <w:rsid w:val="002831AB"/>
    <w:pPr>
      <w:ind w:firstLine="1077"/>
      <w:jc w:val="both"/>
    </w:pPr>
    <w:rPr>
      <w:rFonts w:ascii="Times New Roman" w:eastAsia="SimSun" w:hAnsi="Times New Roman"/>
      <w:sz w:val="24"/>
      <w:szCs w:val="24"/>
      <w:lang w:eastAsia="es-AR"/>
    </w:rPr>
  </w:style>
  <w:style w:type="paragraph" w:customStyle="1" w:styleId="Sinespaciado1">
    <w:name w:val="Sin espaciado1"/>
    <w:rsid w:val="002831AB"/>
    <w:pPr>
      <w:autoSpaceDE w:val="0"/>
      <w:autoSpaceDN w:val="0"/>
      <w:adjustRightInd w:val="0"/>
    </w:pPr>
    <w:rPr>
      <w:rFonts w:ascii="Times New Roman" w:hAnsi="Times New Roman"/>
      <w:lang w:val="en-US" w:eastAsia="es-AR"/>
    </w:rPr>
  </w:style>
  <w:style w:type="paragraph" w:customStyle="1" w:styleId="Ttulo3TS">
    <w:name w:val="Título 3 TS"/>
    <w:basedOn w:val="Normal"/>
    <w:link w:val="Ttulo3TSCar"/>
    <w:autoRedefine/>
    <w:qFormat/>
    <w:rsid w:val="002831AB"/>
    <w:pPr>
      <w:widowControl w:val="0"/>
      <w:autoSpaceDE w:val="0"/>
      <w:autoSpaceDN w:val="0"/>
      <w:adjustRightInd w:val="0"/>
      <w:spacing w:after="200"/>
      <w:ind w:right="-11"/>
      <w:outlineLvl w:val="3"/>
    </w:pPr>
    <w:rPr>
      <w:rFonts w:ascii="Times New Roman" w:hAnsi="Times New Roman"/>
      <w:b/>
      <w:lang w:val="x-none" w:eastAsia="x-none"/>
    </w:rPr>
  </w:style>
  <w:style w:type="character" w:customStyle="1" w:styleId="Ttulo3TSCar">
    <w:name w:val="Título 3 TS Car"/>
    <w:link w:val="Ttulo3TS"/>
    <w:locked/>
    <w:rsid w:val="002831AB"/>
    <w:rPr>
      <w:rFonts w:ascii="Times New Roman" w:hAnsi="Times New Roman"/>
      <w:b/>
    </w:rPr>
  </w:style>
  <w:style w:type="paragraph" w:customStyle="1" w:styleId="s6-3556">
    <w:name w:val="s6-3556"/>
    <w:basedOn w:val="Normal"/>
    <w:rsid w:val="002831AB"/>
    <w:pPr>
      <w:spacing w:before="100" w:beforeAutospacing="1" w:after="100" w:afterAutospacing="1"/>
    </w:pPr>
    <w:rPr>
      <w:rFonts w:ascii="Times New Roman" w:hAnsi="Times New Roman"/>
      <w:sz w:val="24"/>
      <w:szCs w:val="24"/>
      <w:lang w:eastAsia="es-AR"/>
    </w:rPr>
  </w:style>
  <w:style w:type="paragraph" w:customStyle="1" w:styleId="s1-3556">
    <w:name w:val="s1-3556"/>
    <w:basedOn w:val="Normal"/>
    <w:rsid w:val="002831AB"/>
    <w:pPr>
      <w:spacing w:before="100" w:beforeAutospacing="1" w:after="100" w:afterAutospacing="1"/>
    </w:pPr>
    <w:rPr>
      <w:rFonts w:ascii="Times New Roman" w:hAnsi="Times New Roman"/>
      <w:sz w:val="24"/>
      <w:szCs w:val="24"/>
      <w:lang w:eastAsia="es-AR"/>
    </w:rPr>
  </w:style>
  <w:style w:type="paragraph" w:customStyle="1" w:styleId="s2-3556">
    <w:name w:val="s2-3556"/>
    <w:basedOn w:val="Normal"/>
    <w:rsid w:val="002831AB"/>
    <w:pPr>
      <w:spacing w:before="100" w:beforeAutospacing="1" w:after="100" w:afterAutospacing="1"/>
    </w:pPr>
    <w:rPr>
      <w:rFonts w:ascii="Times New Roman" w:hAnsi="Times New Roman"/>
      <w:sz w:val="24"/>
      <w:szCs w:val="24"/>
      <w:lang w:eastAsia="es-AR"/>
    </w:rPr>
  </w:style>
  <w:style w:type="paragraph" w:customStyle="1" w:styleId="Ttulo5TS">
    <w:name w:val="Título 5 TS"/>
    <w:basedOn w:val="Textoindependiente3"/>
    <w:link w:val="Ttulo5TSCar"/>
    <w:rsid w:val="002831AB"/>
    <w:pPr>
      <w:widowControl w:val="0"/>
      <w:autoSpaceDE w:val="0"/>
      <w:autoSpaceDN w:val="0"/>
      <w:adjustRightInd w:val="0"/>
      <w:spacing w:after="120" w:line="240" w:lineRule="auto"/>
      <w:ind w:firstLine="0"/>
      <w:jc w:val="both"/>
    </w:pPr>
    <w:rPr>
      <w:i/>
      <w:sz w:val="20"/>
      <w:lang w:val="x-none"/>
    </w:rPr>
  </w:style>
  <w:style w:type="character" w:customStyle="1" w:styleId="Ttulo5TSCar">
    <w:name w:val="Título 5 TS Car"/>
    <w:link w:val="Ttulo5TS"/>
    <w:locked/>
    <w:rsid w:val="002831AB"/>
    <w:rPr>
      <w:rFonts w:ascii="Times New Roman" w:eastAsia="Times New Roman" w:hAnsi="Times New Roman"/>
      <w:i/>
    </w:rPr>
  </w:style>
  <w:style w:type="paragraph" w:customStyle="1" w:styleId="OmniPage2">
    <w:name w:val="OmniPage #2"/>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3">
    <w:name w:val="OmniPage #3"/>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4">
    <w:name w:val="OmniPage #4"/>
    <w:basedOn w:val="Normal"/>
    <w:rsid w:val="002831AB"/>
    <w:pPr>
      <w:autoSpaceDE w:val="0"/>
      <w:autoSpaceDN w:val="0"/>
      <w:adjustRightInd w:val="0"/>
      <w:spacing w:line="220" w:lineRule="exact"/>
    </w:pPr>
    <w:rPr>
      <w:rFonts w:ascii="Times New Roman" w:hAnsi="Times New Roman"/>
      <w:lang w:val="en-US" w:eastAsia="es-AR"/>
    </w:rPr>
  </w:style>
  <w:style w:type="paragraph" w:customStyle="1" w:styleId="OmniPage6">
    <w:name w:val="OmniPage #6"/>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5">
    <w:name w:val="OmniPage #5"/>
    <w:basedOn w:val="Normal"/>
    <w:rsid w:val="002831AB"/>
    <w:pPr>
      <w:autoSpaceDE w:val="0"/>
      <w:autoSpaceDN w:val="0"/>
      <w:adjustRightInd w:val="0"/>
      <w:spacing w:line="220" w:lineRule="exact"/>
    </w:pPr>
    <w:rPr>
      <w:rFonts w:ascii="Times New Roman" w:hAnsi="Times New Roman"/>
      <w:lang w:val="en-US" w:eastAsia="es-AR"/>
    </w:rPr>
  </w:style>
  <w:style w:type="paragraph" w:customStyle="1" w:styleId="OmniPage7">
    <w:name w:val="OmniPage #7"/>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8">
    <w:name w:val="OmniPage #8"/>
    <w:basedOn w:val="Normal"/>
    <w:rsid w:val="002831AB"/>
    <w:pPr>
      <w:autoSpaceDE w:val="0"/>
      <w:autoSpaceDN w:val="0"/>
      <w:adjustRightInd w:val="0"/>
      <w:spacing w:line="180" w:lineRule="exact"/>
    </w:pPr>
    <w:rPr>
      <w:rFonts w:ascii="Times New Roman" w:hAnsi="Times New Roman"/>
      <w:lang w:val="en-US" w:eastAsia="es-AR"/>
    </w:rPr>
  </w:style>
  <w:style w:type="paragraph" w:customStyle="1" w:styleId="OmniPage9">
    <w:name w:val="OmniPage #9"/>
    <w:basedOn w:val="Normal"/>
    <w:rsid w:val="002831AB"/>
    <w:pPr>
      <w:autoSpaceDE w:val="0"/>
      <w:autoSpaceDN w:val="0"/>
      <w:adjustRightInd w:val="0"/>
      <w:spacing w:line="360" w:lineRule="exact"/>
    </w:pPr>
    <w:rPr>
      <w:rFonts w:ascii="Times New Roman" w:hAnsi="Times New Roman"/>
      <w:lang w:val="en-US" w:eastAsia="es-AR"/>
    </w:rPr>
  </w:style>
  <w:style w:type="paragraph" w:customStyle="1" w:styleId="OmniPage10">
    <w:name w:val="OmniPage #10"/>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11">
    <w:name w:val="OmniPage #11"/>
    <w:basedOn w:val="Normal"/>
    <w:rsid w:val="002831AB"/>
    <w:pPr>
      <w:autoSpaceDE w:val="0"/>
      <w:autoSpaceDN w:val="0"/>
      <w:adjustRightInd w:val="0"/>
      <w:spacing w:line="200" w:lineRule="exact"/>
    </w:pPr>
    <w:rPr>
      <w:rFonts w:ascii="Times New Roman" w:hAnsi="Times New Roman"/>
      <w:lang w:val="en-US" w:eastAsia="es-AR"/>
    </w:rPr>
  </w:style>
  <w:style w:type="paragraph" w:customStyle="1" w:styleId="OmniPage16">
    <w:name w:val="OmniPage #16"/>
    <w:basedOn w:val="Normal"/>
    <w:rsid w:val="002831AB"/>
    <w:pPr>
      <w:autoSpaceDE w:val="0"/>
      <w:autoSpaceDN w:val="0"/>
      <w:adjustRightInd w:val="0"/>
      <w:spacing w:line="300" w:lineRule="exact"/>
    </w:pPr>
    <w:rPr>
      <w:rFonts w:ascii="Times New Roman" w:hAnsi="Times New Roman"/>
      <w:lang w:val="en-US" w:eastAsia="es-AR"/>
    </w:rPr>
  </w:style>
  <w:style w:type="paragraph" w:customStyle="1" w:styleId="OmniPage17">
    <w:name w:val="OmniPage #17"/>
    <w:basedOn w:val="Normal"/>
    <w:rsid w:val="002831AB"/>
    <w:pPr>
      <w:autoSpaceDE w:val="0"/>
      <w:autoSpaceDN w:val="0"/>
      <w:adjustRightInd w:val="0"/>
      <w:spacing w:line="180" w:lineRule="exact"/>
    </w:pPr>
    <w:rPr>
      <w:rFonts w:ascii="Times New Roman" w:hAnsi="Times New Roman"/>
      <w:lang w:val="en-US" w:eastAsia="es-AR"/>
    </w:rPr>
  </w:style>
  <w:style w:type="paragraph" w:customStyle="1" w:styleId="OmniPage22">
    <w:name w:val="OmniPage #22"/>
    <w:basedOn w:val="Normal"/>
    <w:rsid w:val="002831AB"/>
    <w:pPr>
      <w:autoSpaceDE w:val="0"/>
      <w:autoSpaceDN w:val="0"/>
      <w:adjustRightInd w:val="0"/>
      <w:spacing w:line="220" w:lineRule="exact"/>
    </w:pPr>
    <w:rPr>
      <w:rFonts w:ascii="Times New Roman" w:hAnsi="Times New Roman"/>
      <w:lang w:val="en-US" w:eastAsia="es-AR"/>
    </w:rPr>
  </w:style>
  <w:style w:type="paragraph" w:customStyle="1" w:styleId="OmniPage23">
    <w:name w:val="OmniPage #23"/>
    <w:basedOn w:val="Normal"/>
    <w:rsid w:val="002831AB"/>
    <w:pPr>
      <w:autoSpaceDE w:val="0"/>
      <w:autoSpaceDN w:val="0"/>
      <w:adjustRightInd w:val="0"/>
      <w:spacing w:line="220" w:lineRule="exact"/>
    </w:pPr>
    <w:rPr>
      <w:rFonts w:ascii="Times New Roman" w:hAnsi="Times New Roman"/>
      <w:lang w:val="en-US" w:eastAsia="es-AR"/>
    </w:rPr>
  </w:style>
  <w:style w:type="paragraph" w:customStyle="1" w:styleId="OmniPage24">
    <w:name w:val="OmniPage #24"/>
    <w:basedOn w:val="Normal"/>
    <w:rsid w:val="002831AB"/>
    <w:pPr>
      <w:autoSpaceDE w:val="0"/>
      <w:autoSpaceDN w:val="0"/>
      <w:adjustRightInd w:val="0"/>
      <w:spacing w:line="340" w:lineRule="exact"/>
    </w:pPr>
    <w:rPr>
      <w:rFonts w:ascii="Times New Roman" w:hAnsi="Times New Roman"/>
      <w:lang w:val="en-US" w:eastAsia="es-AR"/>
    </w:rPr>
  </w:style>
  <w:style w:type="paragraph" w:customStyle="1" w:styleId="OmniPage25">
    <w:name w:val="OmniPage #25"/>
    <w:basedOn w:val="Normal"/>
    <w:rsid w:val="002831AB"/>
    <w:pPr>
      <w:autoSpaceDE w:val="0"/>
      <w:autoSpaceDN w:val="0"/>
      <w:adjustRightInd w:val="0"/>
      <w:spacing w:line="700" w:lineRule="exact"/>
    </w:pPr>
    <w:rPr>
      <w:rFonts w:ascii="Times New Roman" w:hAnsi="Times New Roman"/>
      <w:lang w:val="en-US" w:eastAsia="es-AR"/>
    </w:rPr>
  </w:style>
  <w:style w:type="paragraph" w:customStyle="1" w:styleId="OmniPage12">
    <w:name w:val="OmniPage #12"/>
    <w:basedOn w:val="Normal"/>
    <w:rsid w:val="002831AB"/>
    <w:pPr>
      <w:autoSpaceDE w:val="0"/>
      <w:autoSpaceDN w:val="0"/>
      <w:adjustRightInd w:val="0"/>
      <w:spacing w:line="300" w:lineRule="exact"/>
    </w:pPr>
    <w:rPr>
      <w:rFonts w:ascii="Times New Roman" w:hAnsi="Times New Roman"/>
      <w:lang w:val="en-US" w:eastAsia="es-AR"/>
    </w:rPr>
  </w:style>
  <w:style w:type="paragraph" w:customStyle="1" w:styleId="OmniPage13">
    <w:name w:val="OmniPage #13"/>
    <w:basedOn w:val="Normal"/>
    <w:rsid w:val="002831AB"/>
    <w:pPr>
      <w:autoSpaceDE w:val="0"/>
      <w:autoSpaceDN w:val="0"/>
      <w:adjustRightInd w:val="0"/>
      <w:spacing w:line="420" w:lineRule="exact"/>
    </w:pPr>
    <w:rPr>
      <w:rFonts w:ascii="Times New Roman" w:hAnsi="Times New Roman"/>
      <w:lang w:val="en-US" w:eastAsia="es-AR"/>
    </w:rPr>
  </w:style>
  <w:style w:type="paragraph" w:customStyle="1" w:styleId="OmniPage14">
    <w:name w:val="OmniPage #14"/>
    <w:basedOn w:val="Normal"/>
    <w:rsid w:val="002831AB"/>
    <w:pPr>
      <w:autoSpaceDE w:val="0"/>
      <w:autoSpaceDN w:val="0"/>
      <w:adjustRightInd w:val="0"/>
      <w:spacing w:line="360" w:lineRule="exact"/>
    </w:pPr>
    <w:rPr>
      <w:rFonts w:ascii="Times New Roman" w:hAnsi="Times New Roman"/>
      <w:lang w:val="en-US" w:eastAsia="es-AR"/>
    </w:rPr>
  </w:style>
  <w:style w:type="paragraph" w:customStyle="1" w:styleId="OmniPage15">
    <w:name w:val="OmniPage #15"/>
    <w:basedOn w:val="Normal"/>
    <w:rsid w:val="002831AB"/>
    <w:pPr>
      <w:autoSpaceDE w:val="0"/>
      <w:autoSpaceDN w:val="0"/>
      <w:adjustRightInd w:val="0"/>
      <w:spacing w:line="220" w:lineRule="exact"/>
    </w:pPr>
    <w:rPr>
      <w:rFonts w:ascii="Times New Roman" w:hAnsi="Times New Roman"/>
      <w:lang w:val="en-US" w:eastAsia="es-AR"/>
    </w:rPr>
  </w:style>
  <w:style w:type="character" w:customStyle="1" w:styleId="Heading1Char">
    <w:name w:val="Heading 1 Char"/>
    <w:aliases w:val="Section Char"/>
    <w:rsid w:val="002831AB"/>
    <w:rPr>
      <w:rFonts w:ascii="Arial" w:hAnsi="Arial"/>
      <w:b/>
      <w:kern w:val="32"/>
      <w:sz w:val="32"/>
      <w:lang w:val="es-ES" w:eastAsia="es-ES"/>
    </w:rPr>
  </w:style>
  <w:style w:type="character" w:customStyle="1" w:styleId="Heading4Char">
    <w:name w:val="Heading 4 Char"/>
    <w:rsid w:val="002831AB"/>
    <w:rPr>
      <w:b/>
      <w:sz w:val="24"/>
      <w:lang w:val="es-AR" w:eastAsia="es-ES"/>
    </w:rPr>
  </w:style>
  <w:style w:type="paragraph" w:customStyle="1" w:styleId="Estilo1">
    <w:name w:val="Estilo1"/>
    <w:basedOn w:val="Sangradetextonormal1"/>
    <w:rsid w:val="002831AB"/>
    <w:pPr>
      <w:autoSpaceDE w:val="0"/>
      <w:autoSpaceDN w:val="0"/>
      <w:adjustRightInd w:val="0"/>
      <w:ind w:left="0"/>
    </w:pPr>
    <w:rPr>
      <w:rFonts w:eastAsia="Times New Roman"/>
      <w:b/>
      <w:bCs/>
      <w:caps/>
      <w:sz w:val="22"/>
      <w:szCs w:val="22"/>
      <w:lang w:val="es-ES_tradnl" w:eastAsia="en-US"/>
    </w:rPr>
  </w:style>
  <w:style w:type="paragraph" w:customStyle="1" w:styleId="Estilo2">
    <w:name w:val="Estilo2"/>
    <w:basedOn w:val="Ttulo3"/>
    <w:rsid w:val="002831AB"/>
    <w:rPr>
      <w:i/>
      <w:iCs/>
    </w:rPr>
  </w:style>
  <w:style w:type="paragraph" w:customStyle="1" w:styleId="xl43">
    <w:name w:val="xl43"/>
    <w:basedOn w:val="Normal"/>
    <w:rsid w:val="002831AB"/>
    <w:pPr>
      <w:pBdr>
        <w:bottom w:val="single" w:sz="4" w:space="0" w:color="auto"/>
      </w:pBdr>
      <w:autoSpaceDE w:val="0"/>
      <w:autoSpaceDN w:val="0"/>
      <w:adjustRightInd w:val="0"/>
      <w:spacing w:before="100" w:beforeAutospacing="1" w:after="100" w:afterAutospacing="1"/>
      <w:jc w:val="right"/>
    </w:pPr>
    <w:rPr>
      <w:rFonts w:ascii="Arial Unicode MS" w:eastAsia="Arial Unicode MS" w:hAnsi="Arial Unicode MS" w:cs="Arial Unicode MS"/>
      <w:sz w:val="16"/>
      <w:szCs w:val="16"/>
      <w:lang w:val="en-US" w:eastAsia="es-AR"/>
    </w:rPr>
  </w:style>
  <w:style w:type="paragraph" w:customStyle="1" w:styleId="xl44">
    <w:name w:val="xl44"/>
    <w:basedOn w:val="Normal"/>
    <w:rsid w:val="002831AB"/>
    <w:pPr>
      <w:autoSpaceDE w:val="0"/>
      <w:autoSpaceDN w:val="0"/>
      <w:adjustRightInd w:val="0"/>
      <w:spacing w:before="100" w:beforeAutospacing="1" w:after="100" w:afterAutospacing="1"/>
      <w:jc w:val="right"/>
    </w:pPr>
    <w:rPr>
      <w:rFonts w:ascii="Arial Unicode MS" w:eastAsia="Arial Unicode MS" w:hAnsi="Arial Unicode MS" w:cs="Arial Unicode MS"/>
      <w:sz w:val="16"/>
      <w:szCs w:val="16"/>
      <w:lang w:val="en-US" w:eastAsia="es-AR"/>
    </w:rPr>
  </w:style>
  <w:style w:type="paragraph" w:customStyle="1" w:styleId="xl45">
    <w:name w:val="xl45"/>
    <w:basedOn w:val="Normal"/>
    <w:rsid w:val="002831AB"/>
    <w:pPr>
      <w:pBdr>
        <w:top w:val="single" w:sz="4" w:space="0" w:color="auto"/>
      </w:pBdr>
      <w:autoSpaceDE w:val="0"/>
      <w:autoSpaceDN w:val="0"/>
      <w:adjustRightInd w:val="0"/>
      <w:spacing w:before="100" w:beforeAutospacing="1" w:after="100" w:afterAutospacing="1"/>
      <w:jc w:val="right"/>
    </w:pPr>
    <w:rPr>
      <w:rFonts w:ascii="Arial Unicode MS" w:eastAsia="Arial Unicode MS" w:hAnsi="Arial Unicode MS" w:cs="Arial Unicode MS"/>
      <w:sz w:val="16"/>
      <w:szCs w:val="16"/>
      <w:lang w:val="en-US" w:eastAsia="es-AR"/>
    </w:rPr>
  </w:style>
  <w:style w:type="paragraph" w:customStyle="1" w:styleId="xl47">
    <w:name w:val="xl47"/>
    <w:basedOn w:val="Normal"/>
    <w:rsid w:val="002831AB"/>
    <w:pPr>
      <w:pBdr>
        <w:top w:val="single" w:sz="4" w:space="0" w:color="auto"/>
      </w:pBdr>
      <w:autoSpaceDE w:val="0"/>
      <w:autoSpaceDN w:val="0"/>
      <w:adjustRightInd w:val="0"/>
      <w:spacing w:before="100" w:beforeAutospacing="1" w:after="100" w:afterAutospacing="1"/>
      <w:jc w:val="right"/>
    </w:pPr>
    <w:rPr>
      <w:rFonts w:ascii="Arial Unicode MS" w:eastAsia="Arial Unicode MS" w:hAnsi="Arial Unicode MS" w:cs="Arial Unicode MS"/>
      <w:b/>
      <w:bCs/>
      <w:sz w:val="16"/>
      <w:szCs w:val="16"/>
      <w:lang w:val="en-US" w:eastAsia="es-AR"/>
    </w:rPr>
  </w:style>
  <w:style w:type="paragraph" w:customStyle="1" w:styleId="ListBullet3Sgl">
    <w:name w:val="List Bullet 3 Sgl"/>
    <w:basedOn w:val="Listaconvietas3"/>
    <w:rsid w:val="002831AB"/>
    <w:pPr>
      <w:numPr>
        <w:numId w:val="0"/>
      </w:numPr>
      <w:tabs>
        <w:tab w:val="num" w:pos="1080"/>
        <w:tab w:val="num" w:pos="1440"/>
      </w:tabs>
      <w:autoSpaceDE w:val="0"/>
      <w:autoSpaceDN w:val="0"/>
      <w:adjustRightInd w:val="0"/>
      <w:ind w:left="1080" w:hanging="360"/>
      <w:jc w:val="both"/>
    </w:pPr>
    <w:rPr>
      <w:b/>
      <w:bCs/>
      <w:i/>
      <w:iCs/>
      <w:w w:val="0"/>
      <w:sz w:val="19"/>
      <w:szCs w:val="19"/>
    </w:rPr>
  </w:style>
  <w:style w:type="paragraph" w:customStyle="1" w:styleId="ListBullet3SglJ">
    <w:name w:val="List Bullet 3 Sgl/J"/>
    <w:basedOn w:val="ListBullet3Sgl"/>
    <w:rsid w:val="002831AB"/>
  </w:style>
  <w:style w:type="paragraph" w:customStyle="1" w:styleId="footnumbers">
    <w:name w:val="footnumbers"/>
    <w:basedOn w:val="Normal"/>
    <w:rsid w:val="002831AB"/>
    <w:pPr>
      <w:tabs>
        <w:tab w:val="num" w:pos="425"/>
        <w:tab w:val="num" w:pos="2160"/>
      </w:tabs>
      <w:autoSpaceDE w:val="0"/>
      <w:autoSpaceDN w:val="0"/>
      <w:adjustRightInd w:val="0"/>
      <w:spacing w:after="240"/>
      <w:ind w:left="432" w:hanging="432"/>
    </w:pPr>
    <w:rPr>
      <w:rFonts w:ascii="Times New Roman" w:hAnsi="Times New Roman"/>
      <w:lang w:val="en-US" w:eastAsia="es-AR"/>
    </w:rPr>
  </w:style>
  <w:style w:type="paragraph" w:customStyle="1" w:styleId="HeadingBody1">
    <w:name w:val="HeadingBody 1"/>
    <w:basedOn w:val="Textoindependiente"/>
    <w:next w:val="Textoindependiente"/>
    <w:rsid w:val="002831AB"/>
    <w:pPr>
      <w:spacing w:after="240"/>
      <w:jc w:val="center"/>
    </w:pPr>
  </w:style>
  <w:style w:type="character" w:customStyle="1" w:styleId="Table9pt0">
    <w:name w:val="Table 9 pt"/>
    <w:rsid w:val="002831AB"/>
    <w:rPr>
      <w:spacing w:val="0"/>
      <w:sz w:val="18"/>
    </w:rPr>
  </w:style>
  <w:style w:type="paragraph" w:customStyle="1" w:styleId="Level3">
    <w:name w:val="Level 3"/>
    <w:basedOn w:val="Normal"/>
    <w:rsid w:val="002831AB"/>
    <w:pPr>
      <w:keepNext/>
      <w:autoSpaceDE w:val="0"/>
      <w:autoSpaceDN w:val="0"/>
      <w:adjustRightInd w:val="0"/>
      <w:spacing w:after="240"/>
      <w:jc w:val="both"/>
    </w:pPr>
    <w:rPr>
      <w:rFonts w:ascii="Times New Roman" w:hAnsi="Times New Roman"/>
      <w:b/>
      <w:bCs/>
      <w:lang w:val="en-US" w:eastAsia="es-AR"/>
    </w:rPr>
  </w:style>
  <w:style w:type="paragraph" w:customStyle="1" w:styleId="TableNotes0">
    <w:name w:val="Table Note(s)"/>
    <w:basedOn w:val="Normal"/>
    <w:rsid w:val="002831AB"/>
    <w:pPr>
      <w:autoSpaceDE w:val="0"/>
      <w:autoSpaceDN w:val="0"/>
      <w:adjustRightInd w:val="0"/>
      <w:spacing w:after="120"/>
      <w:ind w:left="360" w:hanging="360"/>
      <w:jc w:val="both"/>
    </w:pPr>
    <w:rPr>
      <w:rFonts w:ascii="Times New Roman" w:hAnsi="Times New Roman"/>
      <w:lang w:val="en-US" w:eastAsia="es-AR"/>
    </w:rPr>
  </w:style>
  <w:style w:type="paragraph" w:customStyle="1" w:styleId="tablenotes1">
    <w:name w:val="table notes"/>
    <w:basedOn w:val="Textoindependiente"/>
    <w:rsid w:val="002831AB"/>
    <w:pPr>
      <w:spacing w:after="0"/>
      <w:ind w:left="360" w:hanging="360"/>
      <w:jc w:val="both"/>
    </w:pPr>
    <w:rPr>
      <w:sz w:val="16"/>
      <w:szCs w:val="16"/>
    </w:rPr>
  </w:style>
  <w:style w:type="paragraph" w:customStyle="1" w:styleId="Notes8">
    <w:name w:val="Notes8"/>
    <w:basedOn w:val="Normal"/>
    <w:next w:val="Normal"/>
    <w:rsid w:val="002831AB"/>
    <w:pPr>
      <w:tabs>
        <w:tab w:val="left" w:pos="440"/>
        <w:tab w:val="left" w:pos="660"/>
        <w:tab w:val="left" w:pos="879"/>
        <w:tab w:val="left" w:pos="1099"/>
        <w:tab w:val="left" w:pos="1318"/>
        <w:tab w:val="left" w:pos="1538"/>
        <w:tab w:val="left" w:pos="1758"/>
        <w:tab w:val="left" w:pos="1977"/>
        <w:tab w:val="left" w:pos="2197"/>
        <w:tab w:val="left" w:pos="2416"/>
        <w:tab w:val="left" w:pos="2636"/>
        <w:tab w:val="left" w:pos="2856"/>
        <w:tab w:val="left" w:pos="3075"/>
        <w:tab w:val="left" w:pos="3295"/>
        <w:tab w:val="left" w:pos="3514"/>
        <w:tab w:val="left" w:pos="3734"/>
        <w:tab w:val="left" w:pos="3954"/>
        <w:tab w:val="left" w:pos="4173"/>
        <w:tab w:val="left" w:pos="4393"/>
        <w:tab w:val="left" w:pos="4612"/>
        <w:tab w:val="left" w:pos="4832"/>
        <w:tab w:val="left" w:pos="5052"/>
        <w:tab w:val="left" w:pos="5271"/>
        <w:tab w:val="left" w:pos="5491"/>
        <w:tab w:val="left" w:pos="5710"/>
        <w:tab w:val="left" w:pos="5930"/>
        <w:tab w:val="left" w:pos="6150"/>
        <w:tab w:val="left" w:pos="6369"/>
        <w:tab w:val="left" w:pos="6589"/>
        <w:tab w:val="left" w:pos="6808"/>
        <w:tab w:val="left" w:pos="7028"/>
        <w:tab w:val="left" w:pos="7248"/>
        <w:tab w:val="left" w:pos="7467"/>
        <w:tab w:val="left" w:pos="7687"/>
        <w:tab w:val="left" w:pos="7906"/>
        <w:tab w:val="left" w:pos="8126"/>
        <w:tab w:val="left" w:pos="8346"/>
        <w:tab w:val="left" w:pos="8565"/>
        <w:tab w:val="left" w:pos="8785"/>
        <w:tab w:val="left" w:pos="9004"/>
      </w:tabs>
      <w:autoSpaceDE w:val="0"/>
      <w:autoSpaceDN w:val="0"/>
      <w:adjustRightInd w:val="0"/>
      <w:ind w:left="440" w:hanging="440"/>
      <w:jc w:val="both"/>
    </w:pPr>
    <w:rPr>
      <w:rFonts w:ascii="Times New Roman" w:hAnsi="Times New Roman"/>
      <w:color w:val="000000"/>
      <w:sz w:val="16"/>
      <w:szCs w:val="16"/>
      <w:lang w:val="en-US" w:eastAsia="es-AR"/>
    </w:rPr>
  </w:style>
  <w:style w:type="paragraph" w:customStyle="1" w:styleId="text-1ind">
    <w:name w:val="text-1ind"/>
    <w:basedOn w:val="Normal"/>
    <w:next w:val="Normal"/>
    <w:rsid w:val="002831AB"/>
    <w:pPr>
      <w:tabs>
        <w:tab w:val="left" w:pos="-1440"/>
      </w:tabs>
      <w:autoSpaceDE w:val="0"/>
      <w:autoSpaceDN w:val="0"/>
      <w:adjustRightInd w:val="0"/>
      <w:ind w:firstLine="720"/>
      <w:jc w:val="both"/>
    </w:pPr>
    <w:rPr>
      <w:rFonts w:ascii="Times New Roman" w:hAnsi="Times New Roman"/>
      <w:color w:val="000000"/>
      <w:lang w:val="en-US" w:eastAsia="es-AR"/>
    </w:rPr>
  </w:style>
  <w:style w:type="paragraph" w:customStyle="1" w:styleId="Heading21">
    <w:name w:val="Heading 21"/>
    <w:basedOn w:val="Normal"/>
    <w:next w:val="Normal"/>
    <w:rsid w:val="002831AB"/>
    <w:pPr>
      <w:keepNext/>
      <w:widowControl w:val="0"/>
      <w:autoSpaceDE w:val="0"/>
      <w:autoSpaceDN w:val="0"/>
      <w:adjustRightInd w:val="0"/>
      <w:ind w:firstLine="723"/>
      <w:jc w:val="both"/>
    </w:pPr>
    <w:rPr>
      <w:rFonts w:ascii="Times New Roman" w:hAnsi="Times New Roman"/>
      <w:b/>
      <w:bCs/>
      <w:i/>
      <w:iCs/>
      <w:color w:val="000000"/>
      <w:lang w:val="en-US" w:eastAsia="es-AR"/>
    </w:rPr>
  </w:style>
  <w:style w:type="character" w:customStyle="1" w:styleId="Table12pt">
    <w:name w:val="Table 12pt"/>
    <w:rsid w:val="002831AB"/>
    <w:rPr>
      <w:spacing w:val="0"/>
      <w:sz w:val="24"/>
    </w:rPr>
  </w:style>
  <w:style w:type="paragraph" w:customStyle="1" w:styleId="Heading14">
    <w:name w:val="Heading 14"/>
    <w:basedOn w:val="Normal"/>
    <w:rsid w:val="002831AB"/>
    <w:pPr>
      <w:tabs>
        <w:tab w:val="num"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left="2880" w:hanging="360"/>
    </w:pPr>
    <w:rPr>
      <w:rFonts w:ascii="Times New Roman" w:hAnsi="Times New Roman"/>
      <w:lang w:val="en-US" w:eastAsia="es-AR"/>
    </w:rPr>
  </w:style>
  <w:style w:type="paragraph" w:customStyle="1" w:styleId="BlockText5Ital">
    <w:name w:val="Block Text .5 Ital"/>
    <w:basedOn w:val="Normal"/>
    <w:rsid w:val="002831AB"/>
    <w:pPr>
      <w:keepNext/>
      <w:autoSpaceDE w:val="0"/>
      <w:autoSpaceDN w:val="0"/>
      <w:adjustRightInd w:val="0"/>
      <w:spacing w:after="240"/>
      <w:ind w:left="720"/>
    </w:pPr>
    <w:rPr>
      <w:rFonts w:ascii="Times New Roman" w:hAnsi="Times New Roman"/>
      <w:i/>
      <w:iCs/>
      <w:lang w:val="en-US" w:eastAsia="es-AR"/>
    </w:rPr>
  </w:style>
  <w:style w:type="character" w:customStyle="1" w:styleId="DeltaViewDelimiter">
    <w:name w:val="DeltaView Delimiter"/>
    <w:rsid w:val="002831AB"/>
    <w:rPr>
      <w:spacing w:val="0"/>
    </w:rPr>
  </w:style>
  <w:style w:type="paragraph" w:customStyle="1" w:styleId="TableTab">
    <w:name w:val="Table*Tab"/>
    <w:basedOn w:val="Normal"/>
    <w:rsid w:val="002831AB"/>
    <w:pPr>
      <w:tabs>
        <w:tab w:val="right" w:leader="dot" w:pos="4752"/>
      </w:tabs>
      <w:autoSpaceDE w:val="0"/>
      <w:autoSpaceDN w:val="0"/>
      <w:adjustRightInd w:val="0"/>
      <w:spacing w:before="60" w:after="60"/>
      <w:ind w:left="360" w:hanging="360"/>
    </w:pPr>
    <w:rPr>
      <w:rFonts w:ascii="Times New Roman" w:hAnsi="Times New Roman"/>
      <w:lang w:val="en-US" w:eastAsia="es-AR"/>
    </w:rPr>
  </w:style>
  <w:style w:type="paragraph" w:customStyle="1" w:styleId="Salutation1">
    <w:name w:val="Salutation1"/>
    <w:basedOn w:val="Normal"/>
    <w:next w:val="Normal"/>
    <w:rsid w:val="002831AB"/>
    <w:pPr>
      <w:autoSpaceDE w:val="0"/>
      <w:autoSpaceDN w:val="0"/>
      <w:adjustRightInd w:val="0"/>
      <w:spacing w:before="240" w:after="240" w:line="240" w:lineRule="atLeast"/>
    </w:pPr>
    <w:rPr>
      <w:rFonts w:ascii="Garamond" w:hAnsi="Garamond"/>
      <w:kern w:val="18"/>
      <w:lang w:val="en-US" w:eastAsia="es-AR"/>
    </w:rPr>
  </w:style>
  <w:style w:type="paragraph" w:customStyle="1" w:styleId="BlockTextj0">
    <w:name w:val="Block Text j"/>
    <w:basedOn w:val="Textodebloque"/>
    <w:rsid w:val="002831AB"/>
    <w:pPr>
      <w:spacing w:after="200" w:line="240" w:lineRule="auto"/>
      <w:jc w:val="both"/>
    </w:pPr>
    <w:rPr>
      <w:rFonts w:ascii="Arial" w:hAnsi="Arial" w:cs="Arial"/>
    </w:rPr>
  </w:style>
  <w:style w:type="paragraph" w:customStyle="1" w:styleId="ListBullet4b">
    <w:name w:val="List Bullet 4b"/>
    <w:basedOn w:val="Normal"/>
    <w:rsid w:val="002831AB"/>
    <w:pPr>
      <w:tabs>
        <w:tab w:val="left" w:pos="567"/>
      </w:tabs>
      <w:autoSpaceDE w:val="0"/>
      <w:autoSpaceDN w:val="0"/>
      <w:adjustRightInd w:val="0"/>
      <w:spacing w:after="240"/>
      <w:ind w:left="1440" w:hanging="360"/>
    </w:pPr>
    <w:rPr>
      <w:rFonts w:ascii="Times New Roman" w:eastAsia="Arial Unicode MS" w:hAnsi="Times New Roman"/>
      <w:b/>
      <w:bCs/>
      <w:w w:val="0"/>
      <w:sz w:val="19"/>
      <w:szCs w:val="19"/>
      <w:lang w:val="en-US" w:eastAsia="es-AR"/>
    </w:rPr>
  </w:style>
  <w:style w:type="paragraph" w:customStyle="1" w:styleId="Textopredeterminado1">
    <w:name w:val="Texto predeterminado:1"/>
    <w:basedOn w:val="Normal"/>
    <w:rsid w:val="002831AB"/>
    <w:pPr>
      <w:tabs>
        <w:tab w:val="left" w:pos="567"/>
      </w:tabs>
      <w:autoSpaceDE w:val="0"/>
      <w:autoSpaceDN w:val="0"/>
      <w:adjustRightInd w:val="0"/>
      <w:ind w:left="567"/>
      <w:jc w:val="both"/>
    </w:pPr>
    <w:rPr>
      <w:rFonts w:ascii="Arial" w:eastAsia="Arial Unicode MS" w:hAnsi="Arial" w:cs="Arial"/>
      <w:b/>
      <w:bCs/>
      <w:noProof/>
      <w:w w:val="0"/>
      <w:lang w:val="en-US" w:eastAsia="es-AR"/>
    </w:rPr>
  </w:style>
  <w:style w:type="paragraph" w:customStyle="1" w:styleId="Listaconvitas5">
    <w:name w:val="Lista con vitas 5"/>
    <w:basedOn w:val="Normal"/>
    <w:autoRedefine/>
    <w:rsid w:val="002831AB"/>
    <w:pPr>
      <w:autoSpaceDE w:val="0"/>
      <w:autoSpaceDN w:val="0"/>
      <w:adjustRightInd w:val="0"/>
      <w:spacing w:before="100" w:beforeAutospacing="1" w:after="100" w:afterAutospacing="1"/>
      <w:jc w:val="right"/>
    </w:pPr>
    <w:rPr>
      <w:rFonts w:ascii="Times New Roman" w:hAnsi="Times New Roman"/>
      <w:color w:val="000000"/>
      <w:lang w:val="en-US" w:eastAsia="es-AR"/>
    </w:rPr>
  </w:style>
  <w:style w:type="paragraph" w:customStyle="1" w:styleId="TitleADDRESS">
    <w:name w:val="TitleADDRESS"/>
    <w:basedOn w:val="Normal"/>
    <w:rsid w:val="002831AB"/>
    <w:pPr>
      <w:widowControl w:val="0"/>
      <w:autoSpaceDE w:val="0"/>
      <w:autoSpaceDN w:val="0"/>
      <w:adjustRightInd w:val="0"/>
      <w:spacing w:after="360"/>
      <w:jc w:val="center"/>
    </w:pPr>
    <w:rPr>
      <w:rFonts w:ascii="Times New Roman" w:hAnsi="Times New Roman"/>
      <w:b/>
      <w:bCs/>
      <w:lang w:val="en-US" w:eastAsia="es-AR"/>
    </w:rPr>
  </w:style>
  <w:style w:type="paragraph" w:customStyle="1" w:styleId="CENTERCAPS">
    <w:name w:val="CENTERCAPS"/>
    <w:basedOn w:val="Normal"/>
    <w:next w:val="Normal"/>
    <w:rsid w:val="002831AB"/>
    <w:pPr>
      <w:keepNext/>
      <w:widowControl w:val="0"/>
      <w:autoSpaceDE w:val="0"/>
      <w:autoSpaceDN w:val="0"/>
      <w:adjustRightInd w:val="0"/>
      <w:spacing w:before="240" w:line="480" w:lineRule="auto"/>
      <w:jc w:val="center"/>
    </w:pPr>
    <w:rPr>
      <w:rFonts w:ascii="Times New Roman" w:hAnsi="Times New Roman"/>
      <w:caps/>
      <w:lang w:val="en-US" w:eastAsia="es-AR"/>
    </w:rPr>
  </w:style>
  <w:style w:type="paragraph" w:customStyle="1" w:styleId="OR">
    <w:name w:val="OR"/>
    <w:basedOn w:val="CENTERCAPS"/>
    <w:rsid w:val="002831AB"/>
    <w:rPr>
      <w:caps w:val="0"/>
    </w:rPr>
  </w:style>
  <w:style w:type="paragraph" w:customStyle="1" w:styleId="NOTES0">
    <w:name w:val="NOTES"/>
    <w:basedOn w:val="Normal"/>
    <w:rsid w:val="002831AB"/>
    <w:pPr>
      <w:widowControl w:val="0"/>
      <w:tabs>
        <w:tab w:val="left" w:pos="2520"/>
      </w:tabs>
      <w:autoSpaceDE w:val="0"/>
      <w:autoSpaceDN w:val="0"/>
      <w:adjustRightInd w:val="0"/>
      <w:spacing w:after="240"/>
      <w:ind w:left="2520" w:hanging="1080"/>
    </w:pPr>
    <w:rPr>
      <w:rFonts w:ascii="Times New Roman" w:hAnsi="Times New Roman"/>
      <w:b/>
      <w:bCs/>
      <w:lang w:val="en-US" w:eastAsia="es-AR"/>
    </w:rPr>
  </w:style>
  <w:style w:type="paragraph" w:customStyle="1" w:styleId="TitlePgBLANKLINE">
    <w:name w:val="TitlePgBLANKLINE"/>
    <w:basedOn w:val="Normal"/>
    <w:rsid w:val="002831AB"/>
    <w:pPr>
      <w:widowControl w:val="0"/>
      <w:autoSpaceDE w:val="0"/>
      <w:autoSpaceDN w:val="0"/>
      <w:adjustRightInd w:val="0"/>
      <w:spacing w:after="360"/>
      <w:jc w:val="center"/>
    </w:pPr>
    <w:rPr>
      <w:rFonts w:ascii="Times New Roman" w:hAnsi="Times New Roman"/>
      <w:lang w:val="en-US" w:eastAsia="es-AR"/>
    </w:rPr>
  </w:style>
  <w:style w:type="paragraph" w:customStyle="1" w:styleId="Tulo1">
    <w:name w:val="T咜ulo 1"/>
    <w:basedOn w:val="Normal"/>
    <w:next w:val="DeltaViewTableHeading"/>
    <w:rsid w:val="002831AB"/>
    <w:pPr>
      <w:keepNext/>
      <w:widowControl w:val="0"/>
      <w:autoSpaceDE w:val="0"/>
      <w:autoSpaceDN w:val="0"/>
      <w:adjustRightInd w:val="0"/>
      <w:spacing w:after="240"/>
      <w:jc w:val="center"/>
    </w:pPr>
    <w:rPr>
      <w:rFonts w:ascii="Times New Roman" w:hAnsi="Times New Roman"/>
      <w:b/>
      <w:bCs/>
      <w:caps/>
      <w:lang w:val="en-US" w:eastAsia="es-AR"/>
    </w:rPr>
  </w:style>
  <w:style w:type="paragraph" w:customStyle="1" w:styleId="Tulo2">
    <w:name w:val="T咜ulo 2"/>
    <w:basedOn w:val="Normal"/>
    <w:next w:val="DeltaViewTableHeading"/>
    <w:rsid w:val="002831AB"/>
    <w:pPr>
      <w:keepNext/>
      <w:keepLines/>
      <w:widowControl w:val="0"/>
      <w:autoSpaceDE w:val="0"/>
      <w:autoSpaceDN w:val="0"/>
      <w:adjustRightInd w:val="0"/>
      <w:spacing w:after="240"/>
    </w:pPr>
    <w:rPr>
      <w:rFonts w:ascii="Times New Roman" w:hAnsi="Times New Roman"/>
      <w:b/>
      <w:bCs/>
      <w:lang w:val="en-US" w:eastAsia="es-AR"/>
    </w:rPr>
  </w:style>
  <w:style w:type="paragraph" w:customStyle="1" w:styleId="Tulo3">
    <w:name w:val="T咜ulo 3"/>
    <w:basedOn w:val="Normal"/>
    <w:next w:val="DeltaViewTableHeading"/>
    <w:rsid w:val="002831AB"/>
    <w:pPr>
      <w:keepNext/>
      <w:widowControl w:val="0"/>
      <w:autoSpaceDE w:val="0"/>
      <w:autoSpaceDN w:val="0"/>
      <w:adjustRightInd w:val="0"/>
      <w:spacing w:after="240"/>
    </w:pPr>
    <w:rPr>
      <w:rFonts w:ascii="Times New Roman" w:hAnsi="Times New Roman"/>
      <w:lang w:val="en-US" w:eastAsia="es-AR"/>
    </w:rPr>
  </w:style>
  <w:style w:type="paragraph" w:customStyle="1" w:styleId="Tulo4">
    <w:name w:val="T咜ulo 4"/>
    <w:basedOn w:val="Normal"/>
    <w:next w:val="DeltaViewTableHeading"/>
    <w:rsid w:val="002831AB"/>
    <w:pPr>
      <w:widowControl w:val="0"/>
      <w:autoSpaceDE w:val="0"/>
      <w:autoSpaceDN w:val="0"/>
      <w:adjustRightInd w:val="0"/>
      <w:spacing w:after="240"/>
    </w:pPr>
    <w:rPr>
      <w:rFonts w:ascii="Times New Roman" w:hAnsi="Times New Roman"/>
      <w:lang w:val="en-US" w:eastAsia="es-AR"/>
    </w:rPr>
  </w:style>
  <w:style w:type="paragraph" w:customStyle="1" w:styleId="Tulo5">
    <w:name w:val="T咜ulo 5"/>
    <w:basedOn w:val="Normal"/>
    <w:next w:val="DeltaViewTableHeading"/>
    <w:rsid w:val="002831AB"/>
    <w:pPr>
      <w:widowControl w:val="0"/>
      <w:autoSpaceDE w:val="0"/>
      <w:autoSpaceDN w:val="0"/>
      <w:adjustRightInd w:val="0"/>
      <w:spacing w:after="240"/>
    </w:pPr>
    <w:rPr>
      <w:rFonts w:ascii="Times New Roman" w:hAnsi="Times New Roman"/>
      <w:lang w:val="en-US" w:eastAsia="es-AR"/>
    </w:rPr>
  </w:style>
  <w:style w:type="paragraph" w:customStyle="1" w:styleId="Tulo6">
    <w:name w:val="T咜ulo 6"/>
    <w:basedOn w:val="Normal"/>
    <w:next w:val="DeltaViewTableHeading"/>
    <w:rsid w:val="002831AB"/>
    <w:pPr>
      <w:widowControl w:val="0"/>
      <w:autoSpaceDE w:val="0"/>
      <w:autoSpaceDN w:val="0"/>
      <w:adjustRightInd w:val="0"/>
      <w:spacing w:after="240"/>
    </w:pPr>
    <w:rPr>
      <w:rFonts w:ascii="Times New Roman" w:hAnsi="Times New Roman"/>
      <w:lang w:val="en-US" w:eastAsia="es-AR"/>
    </w:rPr>
  </w:style>
  <w:style w:type="paragraph" w:customStyle="1" w:styleId="Tulo7">
    <w:name w:val="T咜ulo 7"/>
    <w:basedOn w:val="Normal"/>
    <w:next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Tulo8">
    <w:name w:val="T咜ulo 8"/>
    <w:basedOn w:val="Normal"/>
    <w:next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Tulo9">
    <w:name w:val="T咜ulo 9"/>
    <w:basedOn w:val="Normal"/>
    <w:next w:val="Normal"/>
    <w:rsid w:val="002831AB"/>
    <w:pPr>
      <w:widowControl w:val="0"/>
      <w:autoSpaceDE w:val="0"/>
      <w:autoSpaceDN w:val="0"/>
      <w:adjustRightInd w:val="0"/>
      <w:spacing w:after="240"/>
    </w:pPr>
    <w:rPr>
      <w:rFonts w:ascii="Times New Roman" w:hAnsi="Times New Roman"/>
      <w:lang w:val="en-US" w:eastAsia="es-AR"/>
    </w:rPr>
  </w:style>
  <w:style w:type="character" w:customStyle="1" w:styleId="Fuentedeprafopredeter">
    <w:name w:val="Fuente de p疵rafo predeter."/>
    <w:rsid w:val="002831AB"/>
    <w:rPr>
      <w:rFonts w:ascii="Times New Roman" w:hAnsi="Times New Roman"/>
      <w:spacing w:val="0"/>
      <w:sz w:val="20"/>
      <w:lang w:val="en-US" w:eastAsia="x-none"/>
    </w:rPr>
  </w:style>
  <w:style w:type="character" w:customStyle="1" w:styleId="Nerodepina">
    <w:name w:val="N伹ero de p疊ina"/>
    <w:rsid w:val="002831AB"/>
    <w:rPr>
      <w:rFonts w:ascii="Times New Roman" w:hAnsi="Times New Roman"/>
      <w:spacing w:val="0"/>
      <w:sz w:val="20"/>
      <w:lang w:val="en-US" w:eastAsia="x-none"/>
    </w:rPr>
  </w:style>
  <w:style w:type="paragraph" w:customStyle="1" w:styleId="Piedepina">
    <w:name w:val="Pie de p疊ina"/>
    <w:basedOn w:val="Normal"/>
    <w:rsid w:val="002831AB"/>
    <w:pPr>
      <w:widowControl w:val="0"/>
      <w:tabs>
        <w:tab w:val="left" w:pos="0"/>
        <w:tab w:val="center" w:pos="4680"/>
        <w:tab w:val="right" w:pos="9350"/>
      </w:tabs>
      <w:autoSpaceDE w:val="0"/>
      <w:autoSpaceDN w:val="0"/>
      <w:adjustRightInd w:val="0"/>
    </w:pPr>
    <w:rPr>
      <w:rFonts w:ascii="Times New Roman" w:hAnsi="Times New Roman"/>
      <w:sz w:val="19"/>
      <w:szCs w:val="19"/>
      <w:lang w:val="en-US" w:eastAsia="es-AR"/>
    </w:rPr>
  </w:style>
  <w:style w:type="character" w:customStyle="1" w:styleId="Hipervculo">
    <w:name w:val="Hiperv匤culo"/>
    <w:rsid w:val="002831AB"/>
    <w:rPr>
      <w:rFonts w:ascii="Times New Roman" w:hAnsi="Times New Roman"/>
      <w:color w:val="0000FF"/>
      <w:spacing w:val="0"/>
      <w:sz w:val="20"/>
      <w:u w:val="single"/>
      <w:lang w:val="en-US" w:eastAsia="x-none"/>
    </w:rPr>
  </w:style>
  <w:style w:type="paragraph" w:customStyle="1" w:styleId="Tulo">
    <w:name w:val="T咜ulo"/>
    <w:basedOn w:val="Normal"/>
    <w:next w:val="DeltaViewTableHeading"/>
    <w:rsid w:val="002831AB"/>
    <w:pPr>
      <w:keepNext/>
      <w:widowControl w:val="0"/>
      <w:autoSpaceDE w:val="0"/>
      <w:autoSpaceDN w:val="0"/>
      <w:adjustRightInd w:val="0"/>
      <w:spacing w:after="240"/>
      <w:jc w:val="center"/>
    </w:pPr>
    <w:rPr>
      <w:rFonts w:ascii="Times New Roman" w:hAnsi="Times New Roman"/>
      <w:b/>
      <w:bCs/>
      <w:caps/>
      <w:lang w:val="en-US" w:eastAsia="es-AR"/>
    </w:rPr>
  </w:style>
  <w:style w:type="paragraph" w:customStyle="1" w:styleId="Textoindependienteprimerasangr">
    <w:name w:val="Texto independiente primera sangr僘"/>
    <w:basedOn w:val="DeltaViewTableHeading"/>
    <w:rsid w:val="002831AB"/>
    <w:pPr>
      <w:widowControl w:val="0"/>
      <w:spacing w:after="240"/>
      <w:ind w:firstLine="720"/>
    </w:pPr>
    <w:rPr>
      <w:rFonts w:ascii="Times New Roman" w:hAnsi="Times New Roman" w:cs="Times New Roman"/>
      <w:b w:val="0"/>
      <w:bCs w:val="0"/>
      <w:sz w:val="20"/>
      <w:szCs w:val="20"/>
      <w:lang w:eastAsia="en-US"/>
    </w:rPr>
  </w:style>
  <w:style w:type="paragraph" w:customStyle="1" w:styleId="Sangrdetextonormal">
    <w:name w:val="Sangr僘 de texto normal"/>
    <w:basedOn w:val="Normal"/>
    <w:rsid w:val="002831AB"/>
    <w:pPr>
      <w:widowControl w:val="0"/>
      <w:autoSpaceDE w:val="0"/>
      <w:autoSpaceDN w:val="0"/>
      <w:adjustRightInd w:val="0"/>
      <w:spacing w:after="240"/>
      <w:ind w:left="720"/>
    </w:pPr>
    <w:rPr>
      <w:rFonts w:ascii="Times New Roman" w:hAnsi="Times New Roman"/>
      <w:lang w:val="en-US" w:eastAsia="es-AR"/>
    </w:rPr>
  </w:style>
  <w:style w:type="paragraph" w:customStyle="1" w:styleId="Textoindependienteprimerasangr2">
    <w:name w:val="Texto independiente primera sangr僘 2"/>
    <w:basedOn w:val="Sangrdetextonormal"/>
    <w:rsid w:val="002831AB"/>
    <w:pPr>
      <w:ind w:firstLine="720"/>
    </w:pPr>
  </w:style>
  <w:style w:type="paragraph" w:customStyle="1" w:styleId="Sangr2detindependiente">
    <w:name w:val="Sangr僘 2 de t. independiente"/>
    <w:basedOn w:val="Normal"/>
    <w:rsid w:val="002831AB"/>
    <w:pPr>
      <w:widowControl w:val="0"/>
      <w:autoSpaceDE w:val="0"/>
      <w:autoSpaceDN w:val="0"/>
      <w:adjustRightInd w:val="0"/>
      <w:spacing w:line="480" w:lineRule="auto"/>
      <w:ind w:left="720"/>
    </w:pPr>
    <w:rPr>
      <w:rFonts w:ascii="Times New Roman" w:hAnsi="Times New Roman"/>
      <w:lang w:val="en-US" w:eastAsia="es-AR"/>
    </w:rPr>
  </w:style>
  <w:style w:type="paragraph" w:customStyle="1" w:styleId="Direccisobre">
    <w:name w:val="Direcci sobre"/>
    <w:basedOn w:val="Normal"/>
    <w:rsid w:val="002831AB"/>
    <w:pPr>
      <w:framePr w:w="7920" w:h="1980" w:hRule="exact" w:hSpace="180" w:wrap="auto" w:hAnchor="page" w:xAlign="center" w:yAlign="bottom"/>
      <w:widowControl w:val="0"/>
      <w:autoSpaceDE w:val="0"/>
      <w:autoSpaceDN w:val="0"/>
      <w:adjustRightInd w:val="0"/>
      <w:ind w:left="2880"/>
    </w:pPr>
    <w:rPr>
      <w:rFonts w:ascii="Times New Roman" w:hAnsi="Times New Roman"/>
      <w:lang w:val="en-US" w:eastAsia="es-AR"/>
    </w:rPr>
  </w:style>
  <w:style w:type="character" w:customStyle="1" w:styleId="Hipervculovisitado">
    <w:name w:val="Hiperv匤culo visitado"/>
    <w:rsid w:val="002831AB"/>
    <w:rPr>
      <w:rFonts w:ascii="Times New Roman" w:hAnsi="Times New Roman"/>
      <w:color w:val="800080"/>
      <w:spacing w:val="0"/>
      <w:sz w:val="20"/>
      <w:u w:val="single"/>
      <w:lang w:val="en-US" w:eastAsia="x-none"/>
    </w:rPr>
  </w:style>
  <w:style w:type="paragraph" w:customStyle="1" w:styleId="ndice10">
    <w:name w:val="ﾍndice 1"/>
    <w:basedOn w:val="Normal"/>
    <w:next w:val="Normal"/>
    <w:rsid w:val="002831AB"/>
    <w:pPr>
      <w:widowControl w:val="0"/>
      <w:tabs>
        <w:tab w:val="right" w:leader="dot" w:pos="9360"/>
      </w:tabs>
      <w:autoSpaceDE w:val="0"/>
      <w:autoSpaceDN w:val="0"/>
      <w:adjustRightInd w:val="0"/>
    </w:pPr>
    <w:rPr>
      <w:rFonts w:ascii="Times New Roman" w:hAnsi="Times New Roman"/>
      <w:noProof/>
      <w:color w:val="000000"/>
      <w:sz w:val="17"/>
      <w:szCs w:val="17"/>
      <w:lang w:val="en-US" w:eastAsia="es-AR"/>
    </w:rPr>
  </w:style>
  <w:style w:type="paragraph" w:customStyle="1" w:styleId="ndice20">
    <w:name w:val="ﾍndice 2"/>
    <w:basedOn w:val="Normal"/>
    <w:next w:val="Normal"/>
    <w:autoRedefine/>
    <w:rsid w:val="002831AB"/>
    <w:pPr>
      <w:widowControl w:val="0"/>
      <w:autoSpaceDE w:val="0"/>
      <w:autoSpaceDN w:val="0"/>
      <w:adjustRightInd w:val="0"/>
      <w:ind w:left="720" w:hanging="360"/>
    </w:pPr>
    <w:rPr>
      <w:rFonts w:ascii="Times New Roman" w:hAnsi="Times New Roman"/>
      <w:lang w:val="en-US" w:eastAsia="es-AR"/>
    </w:rPr>
  </w:style>
  <w:style w:type="paragraph" w:customStyle="1" w:styleId="ndice30">
    <w:name w:val="ﾍndice 3"/>
    <w:basedOn w:val="Normal"/>
    <w:next w:val="Normal"/>
    <w:autoRedefine/>
    <w:rsid w:val="002831AB"/>
    <w:pPr>
      <w:widowControl w:val="0"/>
      <w:autoSpaceDE w:val="0"/>
      <w:autoSpaceDN w:val="0"/>
      <w:adjustRightInd w:val="0"/>
      <w:ind w:left="1080" w:hanging="360"/>
    </w:pPr>
    <w:rPr>
      <w:rFonts w:ascii="Times New Roman" w:hAnsi="Times New Roman"/>
      <w:lang w:val="en-US" w:eastAsia="es-AR"/>
    </w:rPr>
  </w:style>
  <w:style w:type="paragraph" w:customStyle="1" w:styleId="ndice40">
    <w:name w:val="ﾍndice 4"/>
    <w:basedOn w:val="Normal"/>
    <w:next w:val="Normal"/>
    <w:autoRedefine/>
    <w:rsid w:val="002831AB"/>
    <w:pPr>
      <w:widowControl w:val="0"/>
      <w:autoSpaceDE w:val="0"/>
      <w:autoSpaceDN w:val="0"/>
      <w:adjustRightInd w:val="0"/>
      <w:ind w:left="1440" w:hanging="360"/>
    </w:pPr>
    <w:rPr>
      <w:rFonts w:ascii="Times New Roman" w:hAnsi="Times New Roman"/>
      <w:lang w:val="en-US" w:eastAsia="es-AR"/>
    </w:rPr>
  </w:style>
  <w:style w:type="paragraph" w:customStyle="1" w:styleId="ndice50">
    <w:name w:val="ﾍndice 5"/>
    <w:basedOn w:val="Normal"/>
    <w:next w:val="Normal"/>
    <w:autoRedefine/>
    <w:rsid w:val="002831AB"/>
    <w:pPr>
      <w:widowControl w:val="0"/>
      <w:autoSpaceDE w:val="0"/>
      <w:autoSpaceDN w:val="0"/>
      <w:adjustRightInd w:val="0"/>
      <w:ind w:left="1800" w:hanging="360"/>
    </w:pPr>
    <w:rPr>
      <w:rFonts w:ascii="Times New Roman" w:hAnsi="Times New Roman"/>
      <w:lang w:val="en-US" w:eastAsia="es-AR"/>
    </w:rPr>
  </w:style>
  <w:style w:type="paragraph" w:customStyle="1" w:styleId="ndice60">
    <w:name w:val="ﾍndice 6"/>
    <w:basedOn w:val="Normal"/>
    <w:next w:val="Normal"/>
    <w:autoRedefine/>
    <w:rsid w:val="002831AB"/>
    <w:pPr>
      <w:widowControl w:val="0"/>
      <w:autoSpaceDE w:val="0"/>
      <w:autoSpaceDN w:val="0"/>
      <w:adjustRightInd w:val="0"/>
      <w:ind w:left="2160" w:hanging="360"/>
    </w:pPr>
    <w:rPr>
      <w:rFonts w:ascii="Times New Roman" w:hAnsi="Times New Roman"/>
      <w:lang w:val="en-US" w:eastAsia="es-AR"/>
    </w:rPr>
  </w:style>
  <w:style w:type="paragraph" w:customStyle="1" w:styleId="ndice70">
    <w:name w:val="ﾍndice 7"/>
    <w:basedOn w:val="Normal"/>
    <w:next w:val="Normal"/>
    <w:autoRedefine/>
    <w:rsid w:val="002831AB"/>
    <w:pPr>
      <w:widowControl w:val="0"/>
      <w:autoSpaceDE w:val="0"/>
      <w:autoSpaceDN w:val="0"/>
      <w:adjustRightInd w:val="0"/>
      <w:ind w:left="2520" w:hanging="360"/>
    </w:pPr>
    <w:rPr>
      <w:rFonts w:ascii="Times New Roman" w:hAnsi="Times New Roman"/>
      <w:lang w:val="en-US" w:eastAsia="es-AR"/>
    </w:rPr>
  </w:style>
  <w:style w:type="paragraph" w:customStyle="1" w:styleId="ndice80">
    <w:name w:val="ﾍndice 8"/>
    <w:basedOn w:val="Normal"/>
    <w:next w:val="Normal"/>
    <w:autoRedefine/>
    <w:rsid w:val="002831AB"/>
    <w:pPr>
      <w:widowControl w:val="0"/>
      <w:autoSpaceDE w:val="0"/>
      <w:autoSpaceDN w:val="0"/>
      <w:adjustRightInd w:val="0"/>
      <w:ind w:left="2880" w:hanging="360"/>
    </w:pPr>
    <w:rPr>
      <w:rFonts w:ascii="Times New Roman" w:hAnsi="Times New Roman"/>
      <w:lang w:val="en-US" w:eastAsia="es-AR"/>
    </w:rPr>
  </w:style>
  <w:style w:type="paragraph" w:customStyle="1" w:styleId="ndice90">
    <w:name w:val="ﾍndice 9"/>
    <w:basedOn w:val="Normal"/>
    <w:next w:val="Normal"/>
    <w:autoRedefine/>
    <w:rsid w:val="002831AB"/>
    <w:pPr>
      <w:widowControl w:val="0"/>
      <w:autoSpaceDE w:val="0"/>
      <w:autoSpaceDN w:val="0"/>
      <w:adjustRightInd w:val="0"/>
      <w:ind w:left="3240" w:hanging="360"/>
    </w:pPr>
    <w:rPr>
      <w:rFonts w:ascii="Times New Roman" w:hAnsi="Times New Roman"/>
      <w:lang w:val="en-US" w:eastAsia="es-AR"/>
    </w:rPr>
  </w:style>
  <w:style w:type="paragraph" w:customStyle="1" w:styleId="Tulodedice">
    <w:name w:val="T咜ulo de 匤dice"/>
    <w:basedOn w:val="Normal"/>
    <w:next w:val="ndice10"/>
    <w:rsid w:val="002831AB"/>
    <w:pPr>
      <w:keepNext/>
      <w:widowControl w:val="0"/>
      <w:autoSpaceDE w:val="0"/>
      <w:autoSpaceDN w:val="0"/>
      <w:adjustRightInd w:val="0"/>
      <w:spacing w:after="240"/>
      <w:jc w:val="center"/>
    </w:pPr>
    <w:rPr>
      <w:rFonts w:ascii="Times New Roman" w:hAnsi="Times New Roman"/>
      <w:b/>
      <w:bCs/>
      <w:lang w:val="en-US" w:eastAsia="es-AR"/>
    </w:rPr>
  </w:style>
  <w:style w:type="paragraph" w:customStyle="1" w:styleId="Subtulo">
    <w:name w:val="Subt咜ulo"/>
    <w:basedOn w:val="Normal"/>
    <w:rsid w:val="002831AB"/>
    <w:pPr>
      <w:widowControl w:val="0"/>
      <w:autoSpaceDE w:val="0"/>
      <w:autoSpaceDN w:val="0"/>
      <w:adjustRightInd w:val="0"/>
      <w:spacing w:after="240"/>
      <w:jc w:val="center"/>
    </w:pPr>
    <w:rPr>
      <w:rFonts w:ascii="Times New Roman" w:hAnsi="Times New Roman"/>
      <w:lang w:val="en-US" w:eastAsia="es-AR"/>
    </w:rPr>
  </w:style>
  <w:style w:type="paragraph" w:customStyle="1" w:styleId="Textoconsangr">
    <w:name w:val="Texto con sangr僘"/>
    <w:basedOn w:val="Normal"/>
    <w:next w:val="Normal"/>
    <w:rsid w:val="002831AB"/>
    <w:pPr>
      <w:widowControl w:val="0"/>
      <w:autoSpaceDE w:val="0"/>
      <w:autoSpaceDN w:val="0"/>
      <w:adjustRightInd w:val="0"/>
      <w:spacing w:after="240"/>
      <w:ind w:left="720" w:hanging="720"/>
    </w:pPr>
    <w:rPr>
      <w:rFonts w:ascii="Times New Roman" w:hAnsi="Times New Roman"/>
      <w:lang w:val="en-US" w:eastAsia="es-AR"/>
    </w:rPr>
  </w:style>
  <w:style w:type="paragraph" w:customStyle="1" w:styleId="Listaconvitas">
    <w:name w:val="Lista con vitas"/>
    <w:basedOn w:val="Normal"/>
    <w:rsid w:val="002831AB"/>
    <w:pPr>
      <w:widowControl w:val="0"/>
      <w:autoSpaceDE w:val="0"/>
      <w:autoSpaceDN w:val="0"/>
      <w:adjustRightInd w:val="0"/>
    </w:pPr>
    <w:rPr>
      <w:rFonts w:ascii="Times New Roman" w:hAnsi="Times New Roman"/>
      <w:lang w:val="en-US" w:eastAsia="es-AR"/>
    </w:rPr>
  </w:style>
  <w:style w:type="paragraph" w:customStyle="1" w:styleId="Listaconvitas2">
    <w:name w:val="Lista con vitas 2"/>
    <w:basedOn w:val="Normal"/>
    <w:rsid w:val="002831AB"/>
    <w:pPr>
      <w:widowControl w:val="0"/>
      <w:autoSpaceDE w:val="0"/>
      <w:autoSpaceDN w:val="0"/>
      <w:adjustRightInd w:val="0"/>
      <w:spacing w:after="120"/>
    </w:pPr>
    <w:rPr>
      <w:rFonts w:ascii="Times New Roman" w:hAnsi="Times New Roman"/>
      <w:lang w:val="en-US" w:eastAsia="es-AR"/>
    </w:rPr>
  </w:style>
  <w:style w:type="paragraph" w:customStyle="1" w:styleId="Listaconvitas3">
    <w:name w:val="Lista con vitas 3"/>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aconvitas4">
    <w:name w:val="Lista con vitas 4"/>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FlushLeft">
    <w:name w:val="FlushLeft"/>
    <w:basedOn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Table1">
    <w:name w:val="Table*"/>
    <w:basedOn w:val="Normal"/>
    <w:rsid w:val="002831AB"/>
    <w:pPr>
      <w:widowControl w:val="0"/>
      <w:autoSpaceDE w:val="0"/>
      <w:autoSpaceDN w:val="0"/>
      <w:adjustRightInd w:val="0"/>
      <w:spacing w:before="60" w:after="60"/>
    </w:pPr>
    <w:rPr>
      <w:rFonts w:ascii="Times New Roman" w:hAnsi="Times New Roman"/>
      <w:lang w:val="en-US" w:eastAsia="es-AR"/>
    </w:rPr>
  </w:style>
  <w:style w:type="paragraph" w:customStyle="1" w:styleId="LeftFlush">
    <w:name w:val="Left Flush"/>
    <w:basedOn w:val="Textoindependienteprimerasangr"/>
    <w:rsid w:val="002831AB"/>
    <w:pPr>
      <w:ind w:firstLine="0"/>
      <w:jc w:val="right"/>
    </w:pPr>
  </w:style>
  <w:style w:type="paragraph" w:customStyle="1" w:styleId="BlockTextBold">
    <w:name w:val="Block Text Bold"/>
    <w:basedOn w:val="DeltaViewTableBody"/>
    <w:rsid w:val="002831AB"/>
    <w:pPr>
      <w:keepNext/>
      <w:widowControl w:val="0"/>
      <w:spacing w:after="240"/>
      <w:jc w:val="both"/>
    </w:pPr>
    <w:rPr>
      <w:rFonts w:ascii="Times New Roman" w:hAnsi="Times New Roman" w:cs="Times New Roman"/>
      <w:b/>
      <w:bCs/>
      <w:sz w:val="20"/>
      <w:szCs w:val="20"/>
      <w:lang w:eastAsia="es-ES"/>
    </w:rPr>
  </w:style>
  <w:style w:type="paragraph" w:customStyle="1" w:styleId="RightJustified">
    <w:name w:val="Right Justified"/>
    <w:basedOn w:val="Normal"/>
    <w:rsid w:val="002831AB"/>
    <w:pPr>
      <w:widowControl w:val="0"/>
      <w:autoSpaceDE w:val="0"/>
      <w:autoSpaceDN w:val="0"/>
      <w:adjustRightInd w:val="0"/>
      <w:spacing w:after="240"/>
      <w:jc w:val="right"/>
    </w:pPr>
    <w:rPr>
      <w:rFonts w:ascii="Times New Roman" w:hAnsi="Times New Roman"/>
      <w:lang w:val="en-US" w:eastAsia="es-AR"/>
    </w:rPr>
  </w:style>
  <w:style w:type="paragraph" w:customStyle="1" w:styleId="TtulodeTDC10">
    <w:name w:val="Título de TDC1"/>
    <w:basedOn w:val="Normal"/>
    <w:qFormat/>
    <w:rsid w:val="00661E40"/>
    <w:pPr>
      <w:widowControl w:val="0"/>
      <w:autoSpaceDE w:val="0"/>
      <w:autoSpaceDN w:val="0"/>
      <w:adjustRightInd w:val="0"/>
      <w:spacing w:after="240"/>
      <w:jc w:val="center"/>
    </w:pPr>
    <w:rPr>
      <w:rFonts w:ascii="Times New Roman" w:hAnsi="Times New Roman"/>
      <w:b/>
      <w:bCs/>
      <w:lang w:val="en-US" w:eastAsia="es-AR"/>
    </w:rPr>
  </w:style>
  <w:style w:type="paragraph" w:customStyle="1" w:styleId="TOCPage">
    <w:name w:val="TOC Page"/>
    <w:basedOn w:val="Normal"/>
    <w:rsid w:val="002831AB"/>
    <w:pPr>
      <w:widowControl w:val="0"/>
      <w:tabs>
        <w:tab w:val="right" w:pos="4698"/>
        <w:tab w:val="right" w:pos="10080"/>
      </w:tabs>
      <w:autoSpaceDE w:val="0"/>
      <w:autoSpaceDN w:val="0"/>
      <w:adjustRightInd w:val="0"/>
      <w:spacing w:after="240"/>
    </w:pPr>
    <w:rPr>
      <w:rFonts w:ascii="Times New Roman" w:hAnsi="Times New Roman"/>
      <w:b/>
      <w:bCs/>
      <w:lang w:val="en-US" w:eastAsia="es-AR"/>
    </w:rPr>
  </w:style>
  <w:style w:type="paragraph" w:customStyle="1" w:styleId="BlockTextBoldItalicSgl">
    <w:name w:val="Block Text Bold Italic Sgl"/>
    <w:basedOn w:val="BlockTextBoldSgl"/>
    <w:rsid w:val="002831AB"/>
    <w:pPr>
      <w:widowControl w:val="0"/>
      <w:autoSpaceDE w:val="0"/>
      <w:autoSpaceDN w:val="0"/>
      <w:adjustRightInd w:val="0"/>
    </w:pPr>
    <w:rPr>
      <w:bCs/>
      <w:i/>
      <w:iCs/>
      <w:szCs w:val="20"/>
    </w:rPr>
  </w:style>
  <w:style w:type="paragraph" w:customStyle="1" w:styleId="TableTab5Sgl">
    <w:name w:val="Table*Tab .5 Sgl"/>
    <w:basedOn w:val="TableTab"/>
    <w:rsid w:val="002831AB"/>
    <w:pPr>
      <w:widowControl w:val="0"/>
      <w:ind w:left="720"/>
    </w:pPr>
    <w:rPr>
      <w:lang w:eastAsia="es-ES"/>
    </w:rPr>
  </w:style>
  <w:style w:type="paragraph" w:customStyle="1" w:styleId="ListNumber1">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10">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11">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12">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0">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TitlePgCntrCAPS">
    <w:name w:val="TitlePgCntrCAPS"/>
    <w:basedOn w:val="Normal"/>
    <w:rsid w:val="002831AB"/>
    <w:pPr>
      <w:widowControl w:val="0"/>
      <w:autoSpaceDE w:val="0"/>
      <w:autoSpaceDN w:val="0"/>
      <w:adjustRightInd w:val="0"/>
      <w:spacing w:before="480" w:after="360"/>
      <w:jc w:val="center"/>
    </w:pPr>
    <w:rPr>
      <w:rFonts w:ascii="Times New Roman" w:hAnsi="Times New Roman"/>
      <w:lang w:val="en-US" w:eastAsia="es-AR"/>
    </w:rPr>
  </w:style>
  <w:style w:type="paragraph" w:customStyle="1" w:styleId="TitlePgCNTRSMALL">
    <w:name w:val="TitlePgCNTRSMALL"/>
    <w:basedOn w:val="Normal"/>
    <w:rsid w:val="002831AB"/>
    <w:pPr>
      <w:widowControl w:val="0"/>
      <w:autoSpaceDE w:val="0"/>
      <w:autoSpaceDN w:val="0"/>
      <w:adjustRightInd w:val="0"/>
      <w:spacing w:after="240"/>
      <w:jc w:val="center"/>
    </w:pPr>
    <w:rPr>
      <w:rFonts w:ascii="Times New Roman" w:hAnsi="Times New Roman"/>
      <w:lang w:val="en-US" w:eastAsia="es-AR"/>
    </w:rPr>
  </w:style>
  <w:style w:type="paragraph" w:customStyle="1" w:styleId="TitlePgDONOR">
    <w:name w:val="TitlePgDONOR"/>
    <w:basedOn w:val="Normal"/>
    <w:rsid w:val="002831AB"/>
    <w:pPr>
      <w:widowControl w:val="0"/>
      <w:autoSpaceDE w:val="0"/>
      <w:autoSpaceDN w:val="0"/>
      <w:adjustRightInd w:val="0"/>
      <w:spacing w:after="360"/>
      <w:ind w:left="5760"/>
    </w:pPr>
    <w:rPr>
      <w:rFonts w:ascii="Times New Roman" w:hAnsi="Times New Roman"/>
      <w:lang w:val="en-US" w:eastAsia="es-AR"/>
    </w:rPr>
  </w:style>
  <w:style w:type="paragraph" w:customStyle="1" w:styleId="TitlePgTRUSTEE">
    <w:name w:val="TitlePgTRUSTEE"/>
    <w:basedOn w:val="Normal"/>
    <w:rsid w:val="002831AB"/>
    <w:pPr>
      <w:widowControl w:val="0"/>
      <w:autoSpaceDE w:val="0"/>
      <w:autoSpaceDN w:val="0"/>
      <w:adjustRightInd w:val="0"/>
      <w:spacing w:after="360"/>
      <w:ind w:left="5760"/>
    </w:pPr>
    <w:rPr>
      <w:rFonts w:ascii="Times New Roman" w:hAnsi="Times New Roman"/>
      <w:lang w:val="en-US" w:eastAsia="es-AR"/>
    </w:rPr>
  </w:style>
  <w:style w:type="paragraph" w:customStyle="1" w:styleId="TitleBORDER">
    <w:name w:val="TitleBORDER"/>
    <w:basedOn w:val="Normal"/>
    <w:rsid w:val="002831AB"/>
    <w:pPr>
      <w:widowControl w:val="0"/>
      <w:pBdr>
        <w:top w:val="single" w:sz="4" w:space="1" w:color="000000"/>
        <w:bottom w:val="single" w:sz="4" w:space="1" w:color="000000"/>
      </w:pBdr>
      <w:autoSpaceDE w:val="0"/>
      <w:autoSpaceDN w:val="0"/>
      <w:adjustRightInd w:val="0"/>
      <w:spacing w:before="720" w:after="720"/>
      <w:jc w:val="center"/>
    </w:pPr>
    <w:rPr>
      <w:rFonts w:ascii="Times New Roman" w:hAnsi="Times New Roman"/>
      <w:lang w:val="en-US" w:eastAsia="es-AR"/>
    </w:rPr>
  </w:style>
  <w:style w:type="paragraph" w:customStyle="1" w:styleId="TitlePgDATE">
    <w:name w:val="TitlePgDATE"/>
    <w:basedOn w:val="Normal"/>
    <w:rsid w:val="002831AB"/>
    <w:pPr>
      <w:widowControl w:val="0"/>
      <w:autoSpaceDE w:val="0"/>
      <w:autoSpaceDN w:val="0"/>
      <w:adjustRightInd w:val="0"/>
      <w:spacing w:after="360"/>
      <w:jc w:val="center"/>
    </w:pPr>
    <w:rPr>
      <w:rFonts w:ascii="Times New Roman" w:hAnsi="Times New Roman"/>
      <w:lang w:val="en-US" w:eastAsia="es-AR"/>
    </w:rPr>
  </w:style>
  <w:style w:type="paragraph" w:customStyle="1" w:styleId="NotesNUM">
    <w:name w:val="NotesNUM"/>
    <w:basedOn w:val="NOTES0"/>
    <w:rsid w:val="002831AB"/>
    <w:pPr>
      <w:spacing w:after="0"/>
      <w:ind w:left="2880" w:hanging="360"/>
    </w:pPr>
  </w:style>
  <w:style w:type="paragraph" w:customStyle="1" w:styleId="NotesINDENT">
    <w:name w:val="NotesINDENT"/>
    <w:basedOn w:val="NOTES0"/>
    <w:rsid w:val="002831AB"/>
    <w:pPr>
      <w:ind w:firstLine="0"/>
    </w:pPr>
  </w:style>
  <w:style w:type="paragraph" w:customStyle="1" w:styleId="LISTNUM2">
    <w:name w:val="LIST NUM 2"/>
    <w:basedOn w:val="Normal"/>
    <w:rsid w:val="002831AB"/>
    <w:pPr>
      <w:keepNext/>
      <w:widowControl w:val="0"/>
      <w:autoSpaceDE w:val="0"/>
      <w:autoSpaceDN w:val="0"/>
      <w:adjustRightInd w:val="0"/>
      <w:spacing w:after="240"/>
    </w:pPr>
    <w:rPr>
      <w:rFonts w:ascii="Times New Roman" w:hAnsi="Times New Roman"/>
      <w:b/>
      <w:bCs/>
      <w:lang w:val="en-US" w:eastAsia="es-AR"/>
    </w:rPr>
  </w:style>
  <w:style w:type="paragraph" w:customStyle="1" w:styleId="LISTNUM3">
    <w:name w:val="LIST NUM 3"/>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LISTNUM4">
    <w:name w:val="LIST NUM 4"/>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LISTNUM5">
    <w:name w:val="LIST NUM 5"/>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LISTNUM6">
    <w:name w:val="LIST NUM 6"/>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LISTNUM7">
    <w:name w:val="LIST NUM 7"/>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BodyTextNOINDENT">
    <w:name w:val="Body Text NO INDENT"/>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SEAL">
    <w:name w:val="SEAL"/>
    <w:basedOn w:val="Normal"/>
    <w:rsid w:val="002831AB"/>
    <w:pPr>
      <w:widowControl w:val="0"/>
      <w:autoSpaceDE w:val="0"/>
      <w:autoSpaceDN w:val="0"/>
      <w:adjustRightInd w:val="0"/>
    </w:pPr>
    <w:rPr>
      <w:rFonts w:ascii="Times New Roman" w:hAnsi="Times New Roman"/>
      <w:lang w:val="en-US" w:eastAsia="es-AR"/>
    </w:rPr>
  </w:style>
  <w:style w:type="paragraph" w:customStyle="1" w:styleId="SIGLine">
    <w:name w:val="SIGLine"/>
    <w:basedOn w:val="DeltaViewTableHeading"/>
    <w:rsid w:val="002831AB"/>
    <w:pPr>
      <w:widowControl w:val="0"/>
      <w:tabs>
        <w:tab w:val="right" w:pos="9177"/>
      </w:tabs>
      <w:spacing w:after="0"/>
      <w:ind w:left="5016"/>
    </w:pPr>
    <w:rPr>
      <w:rFonts w:ascii="Times New Roman" w:hAnsi="Times New Roman" w:cs="Times New Roman"/>
      <w:b w:val="0"/>
      <w:bCs w:val="0"/>
      <w:sz w:val="20"/>
      <w:szCs w:val="20"/>
      <w:u w:val="single"/>
      <w:lang w:eastAsia="en-US"/>
    </w:rPr>
  </w:style>
  <w:style w:type="paragraph" w:customStyle="1" w:styleId="SIGName">
    <w:name w:val="SIGName"/>
    <w:basedOn w:val="Firma"/>
    <w:rsid w:val="002831AB"/>
    <w:pPr>
      <w:widowControl w:val="0"/>
      <w:autoSpaceDE w:val="0"/>
      <w:autoSpaceDN w:val="0"/>
      <w:adjustRightInd w:val="0"/>
      <w:ind w:left="5040" w:firstLine="720"/>
    </w:pPr>
  </w:style>
  <w:style w:type="paragraph" w:customStyle="1" w:styleId="CaptionSTB">
    <w:name w:val="CaptionSTB"/>
    <w:basedOn w:val="Normal"/>
    <w:rsid w:val="002831AB"/>
    <w:pPr>
      <w:widowControl w:val="0"/>
      <w:autoSpaceDE w:val="0"/>
      <w:autoSpaceDN w:val="0"/>
      <w:adjustRightInd w:val="0"/>
      <w:spacing w:after="360"/>
    </w:pPr>
    <w:rPr>
      <w:rFonts w:ascii="Times New Roman" w:hAnsi="Times New Roman"/>
      <w:lang w:val="en-US" w:eastAsia="es-AR"/>
    </w:rPr>
  </w:style>
  <w:style w:type="paragraph" w:customStyle="1" w:styleId="WITSig">
    <w:name w:val="WITSig"/>
    <w:basedOn w:val="Normal"/>
    <w:rsid w:val="002831AB"/>
    <w:pPr>
      <w:widowControl w:val="0"/>
      <w:tabs>
        <w:tab w:val="right" w:pos="3591"/>
      </w:tabs>
      <w:autoSpaceDE w:val="0"/>
      <w:autoSpaceDN w:val="0"/>
      <w:adjustRightInd w:val="0"/>
      <w:spacing w:after="240"/>
    </w:pPr>
    <w:rPr>
      <w:rFonts w:ascii="Times New Roman" w:hAnsi="Times New Roman"/>
      <w:u w:val="single"/>
      <w:lang w:val="en-US" w:eastAsia="es-AR"/>
    </w:rPr>
  </w:style>
  <w:style w:type="paragraph" w:customStyle="1" w:styleId="WITTitle">
    <w:name w:val="WIT Title"/>
    <w:basedOn w:val="Normal"/>
    <w:rsid w:val="002831AB"/>
    <w:pPr>
      <w:widowControl w:val="0"/>
      <w:autoSpaceDE w:val="0"/>
      <w:autoSpaceDN w:val="0"/>
      <w:adjustRightInd w:val="0"/>
      <w:spacing w:after="360"/>
    </w:pPr>
    <w:rPr>
      <w:rFonts w:ascii="Times New Roman" w:hAnsi="Times New Roman"/>
      <w:lang w:val="en-US" w:eastAsia="es-AR"/>
    </w:rPr>
  </w:style>
  <w:style w:type="paragraph" w:customStyle="1" w:styleId="SIGNameRight">
    <w:name w:val="SIGNameRight"/>
    <w:basedOn w:val="Normal"/>
    <w:rsid w:val="002831AB"/>
    <w:pPr>
      <w:widowControl w:val="0"/>
      <w:tabs>
        <w:tab w:val="right" w:pos="9177"/>
      </w:tabs>
      <w:autoSpaceDE w:val="0"/>
      <w:autoSpaceDN w:val="0"/>
      <w:adjustRightInd w:val="0"/>
      <w:spacing w:after="240"/>
      <w:ind w:left="4334" w:firstLine="1440"/>
    </w:pPr>
    <w:rPr>
      <w:rFonts w:ascii="Times New Roman" w:hAnsi="Times New Roman"/>
      <w:lang w:val="en-US" w:eastAsia="es-AR"/>
    </w:rPr>
  </w:style>
  <w:style w:type="paragraph" w:customStyle="1" w:styleId="HANGBULLET">
    <w:name w:val="HANGBULLET"/>
    <w:basedOn w:val="Normal"/>
    <w:rsid w:val="002831AB"/>
    <w:pPr>
      <w:widowControl w:val="0"/>
      <w:autoSpaceDE w:val="0"/>
      <w:autoSpaceDN w:val="0"/>
      <w:adjustRightInd w:val="0"/>
      <w:spacing w:line="480" w:lineRule="auto"/>
      <w:ind w:left="1440" w:hanging="720"/>
    </w:pPr>
    <w:rPr>
      <w:rFonts w:ascii="Times New Roman" w:hAnsi="Times New Roman"/>
      <w:lang w:val="en-US" w:eastAsia="es-AR"/>
    </w:rPr>
  </w:style>
  <w:style w:type="paragraph" w:customStyle="1" w:styleId="NUMINDENT">
    <w:name w:val="NUM INDENT"/>
    <w:basedOn w:val="Normal"/>
    <w:rsid w:val="002831AB"/>
    <w:pPr>
      <w:widowControl w:val="0"/>
      <w:tabs>
        <w:tab w:val="num" w:pos="1995"/>
      </w:tabs>
      <w:autoSpaceDE w:val="0"/>
      <w:autoSpaceDN w:val="0"/>
      <w:adjustRightInd w:val="0"/>
      <w:spacing w:after="240"/>
      <w:ind w:left="1995" w:hanging="555"/>
    </w:pPr>
    <w:rPr>
      <w:rFonts w:ascii="Times New Roman" w:hAnsi="Times New Roman"/>
      <w:lang w:val="en-US" w:eastAsia="es-AR"/>
    </w:rPr>
  </w:style>
  <w:style w:type="paragraph" w:customStyle="1" w:styleId="BlockTextSglwtab">
    <w:name w:val="Block Text Sgl w/tab"/>
    <w:basedOn w:val="BlockTextSgl"/>
    <w:rsid w:val="002831AB"/>
    <w:pPr>
      <w:widowControl w:val="0"/>
      <w:tabs>
        <w:tab w:val="right" w:pos="10080"/>
      </w:tabs>
    </w:pPr>
  </w:style>
  <w:style w:type="paragraph" w:customStyle="1" w:styleId="Page">
    <w:name w:val="Page*"/>
    <w:basedOn w:val="Normal"/>
    <w:rsid w:val="002831AB"/>
    <w:pPr>
      <w:widowControl w:val="0"/>
      <w:autoSpaceDE w:val="0"/>
      <w:autoSpaceDN w:val="0"/>
      <w:adjustRightInd w:val="0"/>
      <w:spacing w:after="240"/>
      <w:jc w:val="right"/>
    </w:pPr>
    <w:rPr>
      <w:rFonts w:ascii="Times New Roman" w:hAnsi="Times New Roman"/>
      <w:b/>
      <w:bCs/>
      <w:u w:val="single"/>
      <w:lang w:val="en-US" w:eastAsia="es-AR"/>
    </w:rPr>
  </w:style>
  <w:style w:type="paragraph" w:customStyle="1" w:styleId="BlockText5JHang">
    <w:name w:val="Block Text .5J Hang"/>
    <w:basedOn w:val="BlockText5J"/>
    <w:rsid w:val="002831AB"/>
    <w:pPr>
      <w:widowControl w:val="0"/>
      <w:autoSpaceDE w:val="0"/>
      <w:autoSpaceDN w:val="0"/>
      <w:adjustRightInd w:val="0"/>
      <w:spacing w:after="240" w:line="240" w:lineRule="auto"/>
      <w:ind w:left="1080" w:right="0" w:hanging="360"/>
      <w:jc w:val="left"/>
    </w:pPr>
    <w:rPr>
      <w:szCs w:val="20"/>
    </w:rPr>
  </w:style>
  <w:style w:type="paragraph" w:customStyle="1" w:styleId="Listaconneros3">
    <w:name w:val="Lista con n伹eros 3"/>
    <w:basedOn w:val="Normal"/>
    <w:rsid w:val="002831AB"/>
    <w:pPr>
      <w:widowControl w:val="0"/>
      <w:tabs>
        <w:tab w:val="num" w:pos="1080"/>
      </w:tabs>
      <w:autoSpaceDE w:val="0"/>
      <w:autoSpaceDN w:val="0"/>
      <w:adjustRightInd w:val="0"/>
      <w:ind w:left="1080" w:hanging="360"/>
    </w:pPr>
    <w:rPr>
      <w:rFonts w:ascii="Times New Roman" w:hAnsi="Times New Roman"/>
      <w:lang w:val="en-US" w:eastAsia="es-AR"/>
    </w:rPr>
  </w:style>
  <w:style w:type="paragraph" w:customStyle="1" w:styleId="Listaconneros4">
    <w:name w:val="Lista con n伹eros 4"/>
    <w:basedOn w:val="Normal"/>
    <w:rsid w:val="002831AB"/>
    <w:pPr>
      <w:widowControl w:val="0"/>
      <w:autoSpaceDE w:val="0"/>
      <w:autoSpaceDN w:val="0"/>
      <w:adjustRightInd w:val="0"/>
    </w:pPr>
    <w:rPr>
      <w:rFonts w:ascii="Times New Roman" w:hAnsi="Times New Roman"/>
      <w:lang w:val="en-US" w:eastAsia="es-AR"/>
    </w:rPr>
  </w:style>
  <w:style w:type="paragraph" w:customStyle="1" w:styleId="Financial3">
    <w:name w:val="Financial3"/>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Financial1">
    <w:name w:val="Financial1"/>
    <w:basedOn w:val="Normal"/>
    <w:rsid w:val="002831AB"/>
    <w:pPr>
      <w:keepNext/>
      <w:widowControl w:val="0"/>
      <w:autoSpaceDE w:val="0"/>
      <w:autoSpaceDN w:val="0"/>
      <w:adjustRightInd w:val="0"/>
      <w:spacing w:after="240"/>
    </w:pPr>
    <w:rPr>
      <w:rFonts w:ascii="Times New Roman" w:hAnsi="Times New Roman"/>
      <w:b/>
      <w:bCs/>
      <w:lang w:val="en-US" w:eastAsia="es-AR"/>
    </w:rPr>
  </w:style>
  <w:style w:type="paragraph" w:customStyle="1" w:styleId="Financial2">
    <w:name w:val="Financial2"/>
    <w:basedOn w:val="Normal"/>
    <w:rsid w:val="002831AB"/>
    <w:pPr>
      <w:widowControl w:val="0"/>
      <w:autoSpaceDE w:val="0"/>
      <w:autoSpaceDN w:val="0"/>
      <w:adjustRightInd w:val="0"/>
      <w:spacing w:after="240"/>
    </w:pPr>
    <w:rPr>
      <w:rFonts w:ascii="Times New Roman" w:hAnsi="Times New Roman"/>
      <w:b/>
      <w:bCs/>
      <w:lang w:val="en-US" w:eastAsia="es-AR"/>
    </w:rPr>
  </w:style>
  <w:style w:type="paragraph" w:customStyle="1" w:styleId="Financial4">
    <w:name w:val="Financial4"/>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Financial5">
    <w:name w:val="Financial5"/>
    <w:basedOn w:val="Normal"/>
    <w:rsid w:val="002831AB"/>
    <w:pPr>
      <w:widowControl w:val="0"/>
      <w:autoSpaceDE w:val="0"/>
      <w:autoSpaceDN w:val="0"/>
      <w:adjustRightInd w:val="0"/>
      <w:spacing w:after="240"/>
    </w:pPr>
    <w:rPr>
      <w:rFonts w:ascii="Times New Roman" w:hAnsi="Times New Roman"/>
      <w:b/>
      <w:bCs/>
      <w:lang w:val="en-US" w:eastAsia="es-AR"/>
    </w:rPr>
  </w:style>
  <w:style w:type="paragraph" w:customStyle="1" w:styleId="FinancialBullet">
    <w:name w:val="Financial Bullet"/>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FinancialBullet2">
    <w:name w:val="Financial Bullet2"/>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FinancialBulletHypen">
    <w:name w:val="Financial Bullet Hypen"/>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Financial">
    <w:name w:val="Financial"/>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List5J">
    <w:name w:val="List .5 J"/>
    <w:basedOn w:val="Normal"/>
    <w:rsid w:val="002831AB"/>
    <w:pPr>
      <w:widowControl w:val="0"/>
      <w:autoSpaceDE w:val="0"/>
      <w:autoSpaceDN w:val="0"/>
      <w:adjustRightInd w:val="0"/>
      <w:spacing w:after="240"/>
      <w:ind w:left="1440" w:hanging="720"/>
      <w:jc w:val="both"/>
    </w:pPr>
    <w:rPr>
      <w:rFonts w:ascii="Times New Roman" w:hAnsi="Times New Roman"/>
      <w:lang w:val="en-US" w:eastAsia="es-AR"/>
    </w:rPr>
  </w:style>
  <w:style w:type="paragraph" w:customStyle="1" w:styleId="TitleFinancialBU">
    <w:name w:val="Title Financial BU"/>
    <w:basedOn w:val="Normal"/>
    <w:rsid w:val="002831AB"/>
    <w:pPr>
      <w:widowControl w:val="0"/>
      <w:autoSpaceDE w:val="0"/>
      <w:autoSpaceDN w:val="0"/>
      <w:adjustRightInd w:val="0"/>
      <w:spacing w:after="240"/>
    </w:pPr>
    <w:rPr>
      <w:rFonts w:ascii="Times New Roman" w:hAnsi="Times New Roman"/>
      <w:b/>
      <w:bCs/>
      <w:u w:val="single"/>
      <w:lang w:val="en-US" w:eastAsia="es-AR"/>
    </w:rPr>
  </w:style>
  <w:style w:type="paragraph" w:customStyle="1" w:styleId="FlushRight">
    <w:name w:val="Flush Right"/>
    <w:basedOn w:val="Normal"/>
    <w:rsid w:val="002831AB"/>
    <w:pPr>
      <w:widowControl w:val="0"/>
      <w:autoSpaceDE w:val="0"/>
      <w:autoSpaceDN w:val="0"/>
      <w:adjustRightInd w:val="0"/>
      <w:spacing w:after="240"/>
      <w:jc w:val="right"/>
    </w:pPr>
    <w:rPr>
      <w:rFonts w:ascii="Times New Roman" w:hAnsi="Times New Roman"/>
      <w:lang w:val="en-US" w:eastAsia="es-AR"/>
    </w:rPr>
  </w:style>
  <w:style w:type="paragraph" w:customStyle="1" w:styleId="CenterFinancialB">
    <w:name w:val="Center Financial B"/>
    <w:basedOn w:val="Normal"/>
    <w:rsid w:val="002831AB"/>
    <w:pPr>
      <w:widowControl w:val="0"/>
      <w:autoSpaceDE w:val="0"/>
      <w:autoSpaceDN w:val="0"/>
      <w:adjustRightInd w:val="0"/>
      <w:spacing w:after="240"/>
      <w:jc w:val="center"/>
    </w:pPr>
    <w:rPr>
      <w:rFonts w:ascii="Times New Roman" w:hAnsi="Times New Roman"/>
      <w:b/>
      <w:bCs/>
      <w:lang w:val="en-US" w:eastAsia="es-AR"/>
    </w:rPr>
  </w:style>
  <w:style w:type="paragraph" w:customStyle="1" w:styleId="TitleFinancialCB">
    <w:name w:val="Title Financial CB"/>
    <w:basedOn w:val="Normal"/>
    <w:rsid w:val="002831AB"/>
    <w:pPr>
      <w:widowControl w:val="0"/>
      <w:autoSpaceDE w:val="0"/>
      <w:autoSpaceDN w:val="0"/>
      <w:adjustRightInd w:val="0"/>
      <w:spacing w:after="240"/>
      <w:jc w:val="center"/>
    </w:pPr>
    <w:rPr>
      <w:rFonts w:ascii="Times New Roman" w:hAnsi="Times New Roman"/>
      <w:b/>
      <w:bCs/>
      <w:lang w:val="en-US" w:eastAsia="es-AR"/>
    </w:rPr>
  </w:style>
  <w:style w:type="paragraph" w:customStyle="1" w:styleId="TitleFinancialI">
    <w:name w:val="Title Financial I"/>
    <w:basedOn w:val="Normal"/>
    <w:rsid w:val="002831AB"/>
    <w:pPr>
      <w:widowControl w:val="0"/>
      <w:autoSpaceDE w:val="0"/>
      <w:autoSpaceDN w:val="0"/>
      <w:adjustRightInd w:val="0"/>
      <w:spacing w:after="240"/>
    </w:pPr>
    <w:rPr>
      <w:rFonts w:ascii="Times New Roman" w:hAnsi="Times New Roman"/>
      <w:i/>
      <w:iCs/>
      <w:lang w:val="en-US" w:eastAsia="es-AR"/>
    </w:rPr>
  </w:style>
  <w:style w:type="paragraph" w:customStyle="1" w:styleId="BlockTextHang">
    <w:name w:val="Block Text Hang"/>
    <w:basedOn w:val="DeltaViewTableBody"/>
    <w:rsid w:val="002831AB"/>
    <w:pPr>
      <w:widowControl w:val="0"/>
      <w:spacing w:after="240"/>
      <w:ind w:left="720" w:hanging="720"/>
      <w:jc w:val="both"/>
    </w:pPr>
    <w:rPr>
      <w:rFonts w:ascii="Times New Roman" w:hAnsi="Times New Roman" w:cs="Times New Roman"/>
      <w:sz w:val="20"/>
      <w:szCs w:val="20"/>
      <w:lang w:eastAsia="es-ES"/>
    </w:rPr>
  </w:style>
  <w:style w:type="paragraph" w:customStyle="1" w:styleId="BlockText3SglJ">
    <w:name w:val="Block Text .3 Sgl J"/>
    <w:basedOn w:val="BlockText5SglJ"/>
    <w:rsid w:val="002831AB"/>
    <w:pPr>
      <w:widowControl w:val="0"/>
      <w:autoSpaceDE w:val="0"/>
      <w:autoSpaceDN w:val="0"/>
      <w:adjustRightInd w:val="0"/>
      <w:ind w:left="432" w:right="0"/>
    </w:pPr>
    <w:rPr>
      <w:szCs w:val="20"/>
    </w:rPr>
  </w:style>
  <w:style w:type="paragraph" w:customStyle="1" w:styleId="BlockText1SglJHang">
    <w:name w:val="Block Text 1 Sgl J Hang"/>
    <w:basedOn w:val="BlockText1SglJ"/>
    <w:rsid w:val="002831AB"/>
    <w:pPr>
      <w:widowControl w:val="0"/>
      <w:autoSpaceDE w:val="0"/>
      <w:autoSpaceDN w:val="0"/>
      <w:adjustRightInd w:val="0"/>
      <w:ind w:left="2160" w:right="0" w:hanging="720"/>
    </w:pPr>
    <w:rPr>
      <w:szCs w:val="20"/>
      <w:lang w:eastAsia="es-ES"/>
    </w:rPr>
  </w:style>
  <w:style w:type="character" w:customStyle="1" w:styleId="Table6pt0">
    <w:name w:val="Table 6 pt"/>
    <w:rsid w:val="002831AB"/>
    <w:rPr>
      <w:rFonts w:ascii="Times New Roman" w:hAnsi="Times New Roman"/>
      <w:spacing w:val="0"/>
      <w:sz w:val="12"/>
      <w:lang w:val="en-US" w:eastAsia="x-none"/>
    </w:rPr>
  </w:style>
  <w:style w:type="paragraph" w:customStyle="1" w:styleId="IndentPara">
    <w:name w:val="Indent Para"/>
    <w:basedOn w:val="Normal"/>
    <w:rsid w:val="002831AB"/>
    <w:pPr>
      <w:widowControl w:val="0"/>
      <w:autoSpaceDE w:val="0"/>
      <w:autoSpaceDN w:val="0"/>
      <w:adjustRightInd w:val="0"/>
      <w:spacing w:after="240"/>
      <w:ind w:left="720"/>
    </w:pPr>
    <w:rPr>
      <w:rFonts w:ascii="Times New Roman" w:hAnsi="Times New Roman"/>
      <w:lang w:val="en-US" w:eastAsia="es-AR"/>
    </w:rPr>
  </w:style>
  <w:style w:type="paragraph" w:customStyle="1" w:styleId="ListiJ">
    <w:name w:val="List (i)J"/>
    <w:basedOn w:val="Normal"/>
    <w:rsid w:val="002831AB"/>
    <w:pPr>
      <w:widowControl w:val="0"/>
      <w:autoSpaceDE w:val="0"/>
      <w:autoSpaceDN w:val="0"/>
      <w:adjustRightInd w:val="0"/>
      <w:spacing w:after="240"/>
      <w:ind w:left="720"/>
    </w:pPr>
    <w:rPr>
      <w:rFonts w:ascii="Times New Roman" w:hAnsi="Times New Roman"/>
      <w:lang w:val="en-US" w:eastAsia="es-AR"/>
    </w:rPr>
  </w:style>
  <w:style w:type="character" w:customStyle="1" w:styleId="Table65">
    <w:name w:val="Table 6.5"/>
    <w:rsid w:val="002831AB"/>
    <w:rPr>
      <w:rFonts w:ascii="Times New Roman" w:hAnsi="Times New Roman"/>
      <w:spacing w:val="0"/>
      <w:sz w:val="13"/>
      <w:lang w:val="en-US" w:eastAsia="x-none"/>
    </w:rPr>
  </w:style>
  <w:style w:type="paragraph" w:customStyle="1" w:styleId="CG-DblInd1">
    <w:name w:val="CG-Dbl Ind 1"/>
    <w:aliases w:val="i5"/>
    <w:basedOn w:val="Normal"/>
    <w:rsid w:val="002831AB"/>
    <w:pPr>
      <w:widowControl w:val="0"/>
      <w:autoSpaceDE w:val="0"/>
      <w:autoSpaceDN w:val="0"/>
      <w:adjustRightInd w:val="0"/>
      <w:spacing w:after="240"/>
      <w:ind w:left="1440" w:right="1440"/>
    </w:pPr>
    <w:rPr>
      <w:rFonts w:ascii="Times New Roman" w:hAnsi="Times New Roman"/>
      <w:lang w:val="en-US" w:eastAsia="es-AR"/>
    </w:rPr>
  </w:style>
  <w:style w:type="paragraph" w:customStyle="1" w:styleId="CG-SingleSp052">
    <w:name w:val="CG-Single Sp 0.52"/>
    <w:aliases w:val="s22,!Body Text .5(J)1,!Body Text .5s2(J)1"/>
    <w:basedOn w:val="Normal"/>
    <w:rsid w:val="002831AB"/>
    <w:pPr>
      <w:widowControl w:val="0"/>
      <w:autoSpaceDE w:val="0"/>
      <w:autoSpaceDN w:val="0"/>
      <w:adjustRightInd w:val="0"/>
      <w:spacing w:after="240"/>
      <w:ind w:firstLine="720"/>
    </w:pPr>
    <w:rPr>
      <w:rFonts w:ascii="Times New Roman" w:hAnsi="Times New Roman"/>
      <w:lang w:val="en-US" w:eastAsia="es-AR"/>
    </w:rPr>
  </w:style>
  <w:style w:type="paragraph" w:customStyle="1" w:styleId="italicheading">
    <w:name w:val="italic heading"/>
    <w:basedOn w:val="CG-SingleSp052"/>
    <w:rsid w:val="002831AB"/>
    <w:pPr>
      <w:keepNext/>
      <w:ind w:left="360" w:firstLine="0"/>
    </w:pPr>
    <w:rPr>
      <w:b/>
      <w:bCs/>
      <w:i/>
      <w:iCs/>
      <w:sz w:val="22"/>
      <w:szCs w:val="22"/>
    </w:rPr>
  </w:style>
  <w:style w:type="paragraph" w:customStyle="1" w:styleId="ListBullet3SglJ0">
    <w:name w:val="List Bullet 3 Sgl J"/>
    <w:basedOn w:val="Listaconvitas3"/>
    <w:rsid w:val="002831AB"/>
  </w:style>
  <w:style w:type="paragraph" w:customStyle="1" w:styleId="ListNumbera1">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2">
    <w:name w:val="List Number (a)*******"/>
    <w:basedOn w:val="Normal"/>
    <w:rsid w:val="002831AB"/>
    <w:pPr>
      <w:widowControl w:val="0"/>
      <w:tabs>
        <w:tab w:val="left" w:pos="1800"/>
      </w:tabs>
      <w:autoSpaceDE w:val="0"/>
      <w:autoSpaceDN w:val="0"/>
      <w:adjustRightInd w:val="0"/>
      <w:spacing w:after="240"/>
      <w:ind w:left="1800"/>
    </w:pPr>
    <w:rPr>
      <w:rFonts w:ascii="Times New Roman" w:hAnsi="Times New Roman"/>
      <w:lang w:val="en-US" w:eastAsia="es-AR"/>
    </w:rPr>
  </w:style>
  <w:style w:type="paragraph" w:customStyle="1" w:styleId="ListNumbera3">
    <w:name w:val="List Number (a)********"/>
    <w:basedOn w:val="Normal"/>
    <w:rsid w:val="002831AB"/>
    <w:pPr>
      <w:widowControl w:val="0"/>
      <w:tabs>
        <w:tab w:val="left" w:pos="1800"/>
      </w:tabs>
      <w:autoSpaceDE w:val="0"/>
      <w:autoSpaceDN w:val="0"/>
      <w:adjustRightInd w:val="0"/>
      <w:spacing w:after="240"/>
      <w:ind w:left="1800"/>
    </w:pPr>
    <w:rPr>
      <w:rFonts w:ascii="Times New Roman" w:hAnsi="Times New Roman"/>
      <w:lang w:val="en-US" w:eastAsia="es-AR"/>
    </w:rPr>
  </w:style>
  <w:style w:type="paragraph" w:customStyle="1" w:styleId="Listi">
    <w:name w:val="List (i)"/>
    <w:basedOn w:val="Listaconneros5"/>
    <w:autoRedefine/>
    <w:rsid w:val="002831AB"/>
    <w:pPr>
      <w:tabs>
        <w:tab w:val="num" w:pos="1800"/>
        <w:tab w:val="left" w:pos="1980"/>
      </w:tabs>
      <w:ind w:firstLine="720"/>
      <w:jc w:val="both"/>
    </w:pPr>
    <w:rPr>
      <w:color w:val="000000"/>
    </w:rPr>
  </w:style>
  <w:style w:type="paragraph" w:customStyle="1" w:styleId="Listaconneros5">
    <w:name w:val="Lista con n伹eros 5"/>
    <w:basedOn w:val="Normal"/>
    <w:rsid w:val="002831AB"/>
    <w:pPr>
      <w:widowControl w:val="0"/>
      <w:autoSpaceDE w:val="0"/>
      <w:autoSpaceDN w:val="0"/>
      <w:adjustRightInd w:val="0"/>
      <w:spacing w:after="240"/>
      <w:ind w:left="720" w:hanging="720"/>
    </w:pPr>
    <w:rPr>
      <w:rFonts w:ascii="Times New Roman" w:hAnsi="Times New Roman"/>
      <w:lang w:val="en-US" w:eastAsia="es-AR"/>
    </w:rPr>
  </w:style>
  <w:style w:type="paragraph" w:customStyle="1" w:styleId="checkmark">
    <w:name w:val="check mark"/>
    <w:basedOn w:val="Normal"/>
    <w:rsid w:val="002831AB"/>
    <w:pPr>
      <w:widowControl w:val="0"/>
      <w:tabs>
        <w:tab w:val="num" w:pos="360"/>
      </w:tabs>
      <w:autoSpaceDE w:val="0"/>
      <w:autoSpaceDN w:val="0"/>
      <w:adjustRightInd w:val="0"/>
      <w:spacing w:after="240"/>
      <w:ind w:left="360" w:hanging="360"/>
      <w:jc w:val="both"/>
    </w:pPr>
    <w:rPr>
      <w:rFonts w:ascii="Times New Roman" w:hAnsi="Times New Roman"/>
      <w:lang w:val="en-US" w:eastAsia="es-AR"/>
    </w:rPr>
  </w:style>
  <w:style w:type="paragraph" w:customStyle="1" w:styleId="ArrowBullet0">
    <w:name w:val="Arrow Bullet"/>
    <w:basedOn w:val="Normal"/>
    <w:rsid w:val="002831AB"/>
    <w:pPr>
      <w:widowControl w:val="0"/>
      <w:tabs>
        <w:tab w:val="num" w:pos="1080"/>
      </w:tabs>
      <w:autoSpaceDE w:val="0"/>
      <w:autoSpaceDN w:val="0"/>
      <w:adjustRightInd w:val="0"/>
      <w:spacing w:after="240"/>
      <w:ind w:left="1080" w:hanging="360"/>
      <w:jc w:val="both"/>
    </w:pPr>
    <w:rPr>
      <w:rFonts w:ascii="Times New Roman" w:hAnsi="Times New Roman"/>
      <w:lang w:val="en-US" w:eastAsia="es-AR"/>
    </w:rPr>
  </w:style>
  <w:style w:type="paragraph" w:customStyle="1" w:styleId="ListBullet-">
    <w:name w:val="List Bullet-"/>
    <w:basedOn w:val="Normal"/>
    <w:rsid w:val="002831AB"/>
    <w:pPr>
      <w:widowControl w:val="0"/>
      <w:tabs>
        <w:tab w:val="num" w:pos="1080"/>
      </w:tabs>
      <w:autoSpaceDE w:val="0"/>
      <w:autoSpaceDN w:val="0"/>
      <w:adjustRightInd w:val="0"/>
      <w:ind w:left="1080" w:hanging="360"/>
    </w:pPr>
    <w:rPr>
      <w:rFonts w:ascii="Times New Roman" w:hAnsi="Times New Roman"/>
      <w:lang w:val="en-US" w:eastAsia="es-AR"/>
    </w:rPr>
  </w:style>
  <w:style w:type="paragraph" w:customStyle="1" w:styleId="TableSeparator">
    <w:name w:val="Table Separator"/>
    <w:basedOn w:val="Normal"/>
    <w:rsid w:val="002831AB"/>
    <w:pPr>
      <w:widowControl w:val="0"/>
      <w:pBdr>
        <w:bottom w:val="single" w:sz="4" w:space="1" w:color="000000"/>
      </w:pBdr>
      <w:autoSpaceDE w:val="0"/>
      <w:autoSpaceDN w:val="0"/>
      <w:adjustRightInd w:val="0"/>
      <w:spacing w:after="120"/>
      <w:ind w:left="446" w:right="7974" w:hanging="446"/>
      <w:jc w:val="both"/>
    </w:pPr>
    <w:rPr>
      <w:rFonts w:ascii="Times New Roman" w:hAnsi="Times New Roman"/>
      <w:color w:val="000000"/>
      <w:sz w:val="17"/>
      <w:szCs w:val="17"/>
      <w:lang w:val="en-US" w:eastAsia="es-AR"/>
    </w:rPr>
  </w:style>
  <w:style w:type="paragraph" w:customStyle="1" w:styleId="Level1">
    <w:name w:val="Level 1"/>
    <w:basedOn w:val="Normal"/>
    <w:next w:val="DeltaViewTableHeading"/>
    <w:rsid w:val="002831AB"/>
    <w:pPr>
      <w:keepNext/>
      <w:widowControl w:val="0"/>
      <w:autoSpaceDE w:val="0"/>
      <w:autoSpaceDN w:val="0"/>
      <w:adjustRightInd w:val="0"/>
      <w:spacing w:after="240"/>
      <w:jc w:val="center"/>
    </w:pPr>
    <w:rPr>
      <w:rFonts w:ascii="Times New Roman" w:hAnsi="Times New Roman"/>
      <w:b/>
      <w:bCs/>
      <w:caps/>
      <w:lang w:val="en-US" w:eastAsia="es-AR"/>
    </w:rPr>
  </w:style>
  <w:style w:type="paragraph" w:customStyle="1" w:styleId="Level4">
    <w:name w:val="Level 4"/>
    <w:rsid w:val="002831AB"/>
    <w:pPr>
      <w:keepNext/>
      <w:widowControl w:val="0"/>
      <w:autoSpaceDE w:val="0"/>
      <w:autoSpaceDN w:val="0"/>
      <w:adjustRightInd w:val="0"/>
      <w:spacing w:after="240"/>
      <w:ind w:firstLine="720"/>
    </w:pPr>
    <w:rPr>
      <w:rFonts w:ascii="Times New Roman" w:hAnsi="Times New Roman"/>
      <w:b/>
      <w:bCs/>
      <w:i/>
      <w:iCs/>
      <w:lang w:val="en-US"/>
    </w:rPr>
  </w:style>
  <w:style w:type="paragraph" w:customStyle="1" w:styleId="Level2">
    <w:name w:val="Level 2"/>
    <w:basedOn w:val="Normal"/>
    <w:next w:val="DeltaViewTableHeading"/>
    <w:rsid w:val="002831AB"/>
    <w:pPr>
      <w:keepNext/>
      <w:widowControl w:val="0"/>
      <w:autoSpaceDE w:val="0"/>
      <w:autoSpaceDN w:val="0"/>
      <w:adjustRightInd w:val="0"/>
      <w:spacing w:after="240"/>
      <w:ind w:firstLine="720"/>
    </w:pPr>
    <w:rPr>
      <w:rFonts w:ascii="Times New Roman" w:hAnsi="Times New Roman"/>
      <w:i/>
      <w:iCs/>
      <w:lang w:val="en-US" w:eastAsia="es-AR"/>
    </w:rPr>
  </w:style>
  <w:style w:type="paragraph" w:customStyle="1" w:styleId="NumberedList2">
    <w:name w:val="Numbered List2"/>
    <w:basedOn w:val="NumberedList1"/>
    <w:rsid w:val="002831AB"/>
    <w:pPr>
      <w:tabs>
        <w:tab w:val="num" w:pos="420"/>
      </w:tabs>
      <w:ind w:left="420" w:hanging="420"/>
    </w:pPr>
  </w:style>
  <w:style w:type="paragraph" w:customStyle="1" w:styleId="NumberedList1">
    <w:name w:val="Numbered List1"/>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BlockTextSglJ10">
    <w:name w:val="Block Text Sgl J 10"/>
    <w:basedOn w:val="BlockTextSgl"/>
    <w:rsid w:val="002831AB"/>
    <w:pPr>
      <w:widowControl w:val="0"/>
      <w:tabs>
        <w:tab w:val="right" w:pos="9360"/>
      </w:tabs>
      <w:spacing w:after="0"/>
      <w:jc w:val="both"/>
    </w:pPr>
    <w:rPr>
      <w:color w:val="000000"/>
    </w:rPr>
  </w:style>
  <w:style w:type="paragraph" w:customStyle="1" w:styleId="BodyTextContinued">
    <w:name w:val="Body Text Continued"/>
    <w:basedOn w:val="Normal"/>
    <w:rsid w:val="002831AB"/>
    <w:pPr>
      <w:widowControl w:val="0"/>
      <w:autoSpaceDE w:val="0"/>
      <w:autoSpaceDN w:val="0"/>
      <w:adjustRightInd w:val="0"/>
      <w:spacing w:after="240"/>
      <w:jc w:val="both"/>
    </w:pPr>
    <w:rPr>
      <w:rFonts w:ascii="Times New Roman" w:hAnsi="Times New Roman"/>
      <w:color w:val="000000"/>
      <w:lang w:val="en-US" w:eastAsia="es-AR"/>
    </w:rPr>
  </w:style>
  <w:style w:type="paragraph" w:customStyle="1" w:styleId="HdrRule">
    <w:name w:val="HdrRule"/>
    <w:basedOn w:val="Normal"/>
    <w:rsid w:val="002831AB"/>
    <w:pPr>
      <w:widowControl w:val="0"/>
      <w:pBdr>
        <w:bottom w:val="single" w:sz="4" w:space="1" w:color="000000"/>
      </w:pBdr>
      <w:autoSpaceDE w:val="0"/>
      <w:autoSpaceDN w:val="0"/>
      <w:adjustRightInd w:val="0"/>
      <w:jc w:val="center"/>
    </w:pPr>
    <w:rPr>
      <w:rFonts w:ascii="Times New Roman" w:hAnsi="Times New Roman"/>
      <w:b/>
      <w:bCs/>
      <w:color w:val="000000"/>
      <w:sz w:val="18"/>
      <w:szCs w:val="18"/>
      <w:lang w:val="en-US" w:eastAsia="es-AR"/>
    </w:rPr>
  </w:style>
  <w:style w:type="character" w:customStyle="1" w:styleId="TABLES8PT">
    <w:name w:val="TABLES 8PT"/>
    <w:rsid w:val="002831AB"/>
    <w:rPr>
      <w:rFonts w:ascii="Times New Roman" w:hAnsi="Times New Roman"/>
      <w:spacing w:val="0"/>
      <w:sz w:val="16"/>
      <w:lang w:val="en-US" w:eastAsia="x-none"/>
    </w:rPr>
  </w:style>
  <w:style w:type="paragraph" w:customStyle="1" w:styleId="Notes8pt">
    <w:name w:val="Notes8pt"/>
    <w:basedOn w:val="Normal"/>
    <w:rsid w:val="002831AB"/>
    <w:pPr>
      <w:widowControl w:val="0"/>
      <w:autoSpaceDE w:val="0"/>
      <w:autoSpaceDN w:val="0"/>
      <w:adjustRightInd w:val="0"/>
      <w:ind w:left="440" w:hanging="440"/>
      <w:jc w:val="both"/>
    </w:pPr>
    <w:rPr>
      <w:rFonts w:ascii="Times New Roman" w:hAnsi="Times New Roman"/>
      <w:sz w:val="16"/>
      <w:szCs w:val="16"/>
      <w:lang w:val="en-US" w:eastAsia="es-AR"/>
    </w:rPr>
  </w:style>
  <w:style w:type="paragraph" w:customStyle="1" w:styleId="TitleBC10">
    <w:name w:val="Title BC 10"/>
    <w:basedOn w:val="TitleBC"/>
    <w:rsid w:val="002831AB"/>
    <w:pPr>
      <w:widowControl w:val="0"/>
      <w:outlineLvl w:val="9"/>
    </w:pPr>
    <w:rPr>
      <w:rFonts w:ascii="Times New Roman" w:hAnsi="Times New Roman"/>
      <w:bCs/>
      <w:caps w:val="0"/>
    </w:rPr>
  </w:style>
  <w:style w:type="paragraph" w:customStyle="1" w:styleId="KPMG">
    <w:name w:val="KPMG"/>
    <w:rsid w:val="002831AB"/>
    <w:pPr>
      <w:widowControl w:val="0"/>
      <w:tabs>
        <w:tab w:val="left" w:pos="-300"/>
        <w:tab w:val="left" w:pos="420"/>
        <w:tab w:val="left" w:pos="1140"/>
        <w:tab w:val="left" w:pos="1860"/>
        <w:tab w:val="left" w:pos="2580"/>
        <w:tab w:val="left" w:pos="3300"/>
        <w:tab w:val="left" w:pos="4020"/>
        <w:tab w:val="left" w:pos="4740"/>
        <w:tab w:val="left" w:pos="5460"/>
        <w:tab w:val="left" w:pos="6180"/>
        <w:tab w:val="left" w:pos="6900"/>
        <w:tab w:val="left" w:pos="7620"/>
      </w:tabs>
      <w:suppressAutoHyphens/>
      <w:autoSpaceDE w:val="0"/>
      <w:autoSpaceDN w:val="0"/>
      <w:adjustRightInd w:val="0"/>
      <w:jc w:val="both"/>
    </w:pPr>
    <w:rPr>
      <w:rFonts w:ascii="Times New Roman" w:hAnsi="Times New Roman"/>
      <w:sz w:val="24"/>
      <w:szCs w:val="24"/>
    </w:rPr>
  </w:style>
  <w:style w:type="paragraph" w:customStyle="1" w:styleId="Centered10">
    <w:name w:val="Centered 10"/>
    <w:basedOn w:val="Normal"/>
    <w:rsid w:val="002831AB"/>
    <w:pPr>
      <w:widowControl w:val="0"/>
      <w:tabs>
        <w:tab w:val="left" w:pos="-1440"/>
      </w:tabs>
      <w:autoSpaceDE w:val="0"/>
      <w:autoSpaceDN w:val="0"/>
      <w:adjustRightInd w:val="0"/>
      <w:jc w:val="center"/>
    </w:pPr>
    <w:rPr>
      <w:rFonts w:ascii="Times New Roman" w:hAnsi="Times New Roman"/>
      <w:color w:val="000000"/>
      <w:lang w:val="en-US" w:eastAsia="es-AR"/>
    </w:rPr>
  </w:style>
  <w:style w:type="paragraph" w:customStyle="1" w:styleId="TableTitle">
    <w:name w:val="Table Title"/>
    <w:basedOn w:val="Normal"/>
    <w:rsid w:val="002831AB"/>
    <w:pPr>
      <w:widowControl w:val="0"/>
      <w:autoSpaceDE w:val="0"/>
      <w:autoSpaceDN w:val="0"/>
      <w:adjustRightInd w:val="0"/>
      <w:spacing w:after="240"/>
      <w:jc w:val="center"/>
    </w:pPr>
    <w:rPr>
      <w:rFonts w:ascii="Times New Roman" w:hAnsi="Times New Roman"/>
      <w:b/>
      <w:bCs/>
      <w:color w:val="000000"/>
      <w:lang w:val="en-US" w:eastAsia="es-AR"/>
    </w:rPr>
  </w:style>
  <w:style w:type="paragraph" w:customStyle="1" w:styleId="BlockText5Sgl10">
    <w:name w:val="Block Text .5 Sgl 10"/>
    <w:basedOn w:val="BlockText5Sgl"/>
    <w:rsid w:val="002831AB"/>
    <w:pPr>
      <w:widowControl w:val="0"/>
      <w:autoSpaceDE w:val="0"/>
      <w:autoSpaceDN w:val="0"/>
      <w:adjustRightInd w:val="0"/>
    </w:pPr>
    <w:rPr>
      <w:szCs w:val="20"/>
    </w:rPr>
  </w:style>
  <w:style w:type="paragraph" w:customStyle="1" w:styleId="Bullet10">
    <w:name w:val="Bullet 10"/>
    <w:basedOn w:val="BodyText2Sgl10"/>
    <w:rsid w:val="002831AB"/>
    <w:pPr>
      <w:widowControl w:val="0"/>
      <w:autoSpaceDE w:val="0"/>
      <w:autoSpaceDN w:val="0"/>
      <w:adjustRightInd w:val="0"/>
      <w:ind w:left="1440" w:hanging="720"/>
    </w:pPr>
    <w:rPr>
      <w:lang w:eastAsia="en-US"/>
    </w:rPr>
  </w:style>
  <w:style w:type="paragraph" w:customStyle="1" w:styleId="CG-Title-Left-Bold">
    <w:name w:val="CG-Title-Left-Bold"/>
    <w:aliases w:val="t3"/>
    <w:basedOn w:val="Normal"/>
    <w:next w:val="Normal"/>
    <w:rsid w:val="002831AB"/>
    <w:pPr>
      <w:keepNext/>
      <w:widowControl w:val="0"/>
      <w:autoSpaceDE w:val="0"/>
      <w:autoSpaceDN w:val="0"/>
      <w:adjustRightInd w:val="0"/>
      <w:spacing w:after="240"/>
    </w:pPr>
    <w:rPr>
      <w:rFonts w:ascii="Times New Roman" w:hAnsi="Times New Roman"/>
      <w:b/>
      <w:bCs/>
      <w:lang w:val="en-US" w:eastAsia="es-AR"/>
    </w:rPr>
  </w:style>
  <w:style w:type="paragraph" w:customStyle="1" w:styleId="Heading13">
    <w:name w:val="Heading 13"/>
    <w:basedOn w:val="Normal"/>
    <w:rsid w:val="002831AB"/>
    <w:pPr>
      <w:widowControl w:val="0"/>
      <w:tabs>
        <w:tab w:val="num"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firstLine="1440"/>
    </w:pPr>
    <w:rPr>
      <w:rFonts w:ascii="Times New Roman" w:hAnsi="Times New Roman"/>
      <w:lang w:val="en-US" w:eastAsia="es-AR"/>
    </w:rPr>
  </w:style>
  <w:style w:type="paragraph" w:customStyle="1" w:styleId="EXB21">
    <w:name w:val="EXB2 1"/>
    <w:basedOn w:val="Textoindependiente"/>
    <w:next w:val="Normal"/>
    <w:rsid w:val="002831AB"/>
    <w:pPr>
      <w:keepNext/>
      <w:widowControl w:val="0"/>
      <w:spacing w:after="240"/>
      <w:ind w:firstLine="1440"/>
      <w:jc w:val="center"/>
    </w:pPr>
    <w:rPr>
      <w:sz w:val="24"/>
      <w:szCs w:val="24"/>
    </w:rPr>
  </w:style>
  <w:style w:type="paragraph" w:customStyle="1" w:styleId="ListNumber6">
    <w:name w:val="List Number 6"/>
    <w:basedOn w:val="Normal"/>
    <w:next w:val="Normal"/>
    <w:rsid w:val="002831AB"/>
    <w:pPr>
      <w:widowControl w:val="0"/>
      <w:autoSpaceDE w:val="0"/>
      <w:autoSpaceDN w:val="0"/>
      <w:adjustRightInd w:val="0"/>
      <w:spacing w:after="240"/>
      <w:ind w:left="1267" w:hanging="547"/>
      <w:jc w:val="both"/>
    </w:pPr>
    <w:rPr>
      <w:rFonts w:ascii="Times New Roman" w:hAnsi="Times New Roman"/>
      <w:lang w:val="en-US" w:eastAsia="es-AR"/>
    </w:rPr>
  </w:style>
  <w:style w:type="paragraph" w:customStyle="1" w:styleId="TABLES7PT">
    <w:name w:val="TABLES 7PT"/>
    <w:basedOn w:val="Normal"/>
    <w:rsid w:val="002831AB"/>
    <w:pPr>
      <w:widowControl w:val="0"/>
      <w:autoSpaceDE w:val="0"/>
      <w:autoSpaceDN w:val="0"/>
      <w:adjustRightInd w:val="0"/>
    </w:pPr>
    <w:rPr>
      <w:rFonts w:ascii="Times New Roman" w:hAnsi="Times New Roman"/>
      <w:sz w:val="14"/>
      <w:szCs w:val="14"/>
      <w:lang w:val="en-US" w:eastAsia="es-AR"/>
    </w:rPr>
  </w:style>
  <w:style w:type="paragraph" w:customStyle="1" w:styleId="tablindent-2">
    <w:name w:val="tabl indent-2"/>
    <w:basedOn w:val="Normal"/>
    <w:rsid w:val="002831AB"/>
    <w:pPr>
      <w:widowControl w:val="0"/>
      <w:tabs>
        <w:tab w:val="left" w:leader="dot" w:pos="5760"/>
      </w:tabs>
      <w:autoSpaceDE w:val="0"/>
      <w:autoSpaceDN w:val="0"/>
      <w:adjustRightInd w:val="0"/>
      <w:ind w:left="302"/>
    </w:pPr>
    <w:rPr>
      <w:rFonts w:ascii="Times New Roman" w:hAnsi="Times New Roman"/>
      <w:lang w:val="en-US" w:eastAsia="es-AR"/>
    </w:rPr>
  </w:style>
  <w:style w:type="paragraph" w:customStyle="1" w:styleId="MainPara">
    <w:name w:val="Main Para"/>
    <w:basedOn w:val="Normal"/>
    <w:rsid w:val="002831AB"/>
    <w:pPr>
      <w:widowControl w:val="0"/>
      <w:autoSpaceDE w:val="0"/>
      <w:autoSpaceDN w:val="0"/>
      <w:adjustRightInd w:val="0"/>
      <w:ind w:firstLine="432"/>
      <w:jc w:val="both"/>
    </w:pPr>
    <w:rPr>
      <w:rFonts w:ascii="Times New Roman" w:hAnsi="Times New Roman"/>
      <w:lang w:val="en-US" w:eastAsia="es-AR"/>
    </w:rPr>
  </w:style>
  <w:style w:type="paragraph" w:customStyle="1" w:styleId="NotaN0">
    <w:name w:val="Nota Nｺ"/>
    <w:basedOn w:val="Normal"/>
    <w:rsid w:val="002831AB"/>
    <w:pPr>
      <w:widowControl w:val="0"/>
      <w:autoSpaceDE w:val="0"/>
      <w:autoSpaceDN w:val="0"/>
      <w:adjustRightInd w:val="0"/>
      <w:jc w:val="both"/>
    </w:pPr>
    <w:rPr>
      <w:rFonts w:ascii="Times New Roman" w:hAnsi="Times New Roman"/>
      <w:b/>
      <w:bCs/>
      <w:u w:val="single"/>
      <w:lang w:val="en-US" w:eastAsia="es-AR"/>
    </w:rPr>
  </w:style>
  <w:style w:type="paragraph" w:customStyle="1" w:styleId="leftmargin">
    <w:name w:val="left margin"/>
    <w:basedOn w:val="Normal"/>
    <w:rsid w:val="002831AB"/>
    <w:pPr>
      <w:widowControl w:val="0"/>
      <w:autoSpaceDE w:val="0"/>
      <w:autoSpaceDN w:val="0"/>
      <w:adjustRightInd w:val="0"/>
      <w:jc w:val="both"/>
    </w:pPr>
    <w:rPr>
      <w:rFonts w:ascii="Times New Roman" w:hAnsi="Times New Roman"/>
      <w:lang w:val="en-US" w:eastAsia="es-AR"/>
    </w:rPr>
  </w:style>
  <w:style w:type="paragraph" w:customStyle="1" w:styleId="notenopts">
    <w:name w:val="noteno.pts"/>
    <w:basedOn w:val="Normal"/>
    <w:rsid w:val="002831AB"/>
    <w:pPr>
      <w:widowControl w:val="0"/>
      <w:autoSpaceDE w:val="0"/>
      <w:autoSpaceDN w:val="0"/>
      <w:adjustRightInd w:val="0"/>
      <w:spacing w:after="144"/>
    </w:pPr>
    <w:rPr>
      <w:rFonts w:ascii="Times New Roman" w:hAnsi="Times New Roman"/>
      <w:b/>
      <w:bCs/>
      <w:lang w:val="en-US" w:eastAsia="es-AR"/>
    </w:rPr>
  </w:style>
  <w:style w:type="character" w:customStyle="1" w:styleId="Table7p">
    <w:name w:val="Table 7p"/>
    <w:rsid w:val="002831AB"/>
    <w:rPr>
      <w:rFonts w:ascii="Times New Roman" w:hAnsi="Times New Roman"/>
      <w:color w:val="000000"/>
      <w:spacing w:val="0"/>
      <w:sz w:val="14"/>
      <w:lang w:val="en-US" w:eastAsia="x-none"/>
    </w:rPr>
  </w:style>
  <w:style w:type="paragraph" w:customStyle="1" w:styleId="TABLE7PT0">
    <w:name w:val="TABLE 7PT"/>
    <w:basedOn w:val="Normal"/>
    <w:rsid w:val="002831AB"/>
    <w:pPr>
      <w:widowControl w:val="0"/>
      <w:autoSpaceDE w:val="0"/>
      <w:autoSpaceDN w:val="0"/>
      <w:adjustRightInd w:val="0"/>
      <w:spacing w:before="120"/>
    </w:pPr>
    <w:rPr>
      <w:rFonts w:ascii="Times New Roman" w:hAnsi="Times New Roman"/>
      <w:sz w:val="14"/>
      <w:szCs w:val="14"/>
      <w:lang w:val="en-US" w:eastAsia="es-AR"/>
    </w:rPr>
  </w:style>
  <w:style w:type="paragraph" w:customStyle="1" w:styleId="Tables">
    <w:name w:val="Tables"/>
    <w:basedOn w:val="Normal"/>
    <w:rsid w:val="002831AB"/>
    <w:pPr>
      <w:widowControl w:val="0"/>
      <w:autoSpaceDE w:val="0"/>
      <w:autoSpaceDN w:val="0"/>
      <w:adjustRightInd w:val="0"/>
    </w:pPr>
    <w:rPr>
      <w:rFonts w:ascii="Times New Roman" w:hAnsi="Times New Roman"/>
      <w:lang w:val="en-US" w:eastAsia="es-AR"/>
    </w:rPr>
  </w:style>
  <w:style w:type="paragraph" w:customStyle="1" w:styleId="Table7Par">
    <w:name w:val="Table7Par"/>
    <w:basedOn w:val="Normal"/>
    <w:rsid w:val="002831AB"/>
    <w:pPr>
      <w:widowControl w:val="0"/>
      <w:tabs>
        <w:tab w:val="left" w:pos="43"/>
        <w:tab w:val="decimal" w:pos="763"/>
      </w:tabs>
      <w:autoSpaceDE w:val="0"/>
      <w:autoSpaceDN w:val="0"/>
      <w:adjustRightInd w:val="0"/>
    </w:pPr>
    <w:rPr>
      <w:rFonts w:ascii="Times New Roman" w:hAnsi="Times New Roman"/>
      <w:color w:val="000000"/>
      <w:sz w:val="16"/>
      <w:szCs w:val="16"/>
      <w:lang w:val="en-US" w:eastAsia="es-AR"/>
    </w:rPr>
  </w:style>
  <w:style w:type="paragraph" w:customStyle="1" w:styleId="Level5">
    <w:name w:val="Level 5"/>
    <w:basedOn w:val="Listaconvitas"/>
    <w:rsid w:val="002831AB"/>
    <w:pPr>
      <w:tabs>
        <w:tab w:val="num" w:pos="1800"/>
      </w:tabs>
      <w:spacing w:after="240"/>
      <w:ind w:firstLine="1440"/>
      <w:jc w:val="both"/>
    </w:pPr>
    <w:rPr>
      <w:color w:val="000000"/>
    </w:rPr>
  </w:style>
  <w:style w:type="paragraph" w:customStyle="1" w:styleId="Centered10B">
    <w:name w:val="Centered 10B"/>
    <w:basedOn w:val="Centered10"/>
    <w:rsid w:val="002831AB"/>
    <w:pPr>
      <w:spacing w:after="120"/>
    </w:pPr>
    <w:rPr>
      <w:b/>
      <w:bCs/>
    </w:rPr>
  </w:style>
  <w:style w:type="paragraph" w:customStyle="1" w:styleId="SpecialPara">
    <w:name w:val="Special Para"/>
    <w:basedOn w:val="Normal"/>
    <w:rsid w:val="002831AB"/>
    <w:pPr>
      <w:widowControl w:val="0"/>
      <w:autoSpaceDE w:val="0"/>
      <w:autoSpaceDN w:val="0"/>
      <w:adjustRightInd w:val="0"/>
      <w:spacing w:after="240"/>
      <w:ind w:left="1080" w:hanging="360"/>
    </w:pPr>
    <w:rPr>
      <w:rFonts w:ascii="Times New Roman" w:hAnsi="Times New Roman"/>
      <w:lang w:val="en-US" w:eastAsia="es-AR"/>
    </w:rPr>
  </w:style>
  <w:style w:type="paragraph" w:customStyle="1" w:styleId="Table7Hang">
    <w:name w:val="Table7Hang"/>
    <w:basedOn w:val="Table7Ind"/>
    <w:rsid w:val="002831AB"/>
    <w:pPr>
      <w:tabs>
        <w:tab w:val="left" w:leader="dot" w:pos="2094"/>
      </w:tabs>
      <w:ind w:left="144"/>
    </w:pPr>
  </w:style>
  <w:style w:type="paragraph" w:customStyle="1" w:styleId="Table7Ind">
    <w:name w:val="Table 7Ind"/>
    <w:basedOn w:val="Normal"/>
    <w:rsid w:val="002831AB"/>
    <w:pPr>
      <w:widowControl w:val="0"/>
      <w:tabs>
        <w:tab w:val="left" w:pos="432"/>
        <w:tab w:val="left" w:leader="dot" w:pos="2574"/>
      </w:tabs>
      <w:autoSpaceDE w:val="0"/>
      <w:autoSpaceDN w:val="0"/>
      <w:adjustRightInd w:val="0"/>
      <w:ind w:left="302" w:hanging="144"/>
    </w:pPr>
    <w:rPr>
      <w:rFonts w:ascii="Times New Roman" w:hAnsi="Times New Roman"/>
      <w:color w:val="000000"/>
      <w:sz w:val="16"/>
      <w:szCs w:val="16"/>
      <w:lang w:val="en-US" w:eastAsia="es-AR"/>
    </w:rPr>
  </w:style>
  <w:style w:type="character" w:customStyle="1" w:styleId="Table8pnts">
    <w:name w:val="Table 8pnts"/>
    <w:rsid w:val="002831AB"/>
    <w:rPr>
      <w:rFonts w:ascii="Times New Roman" w:hAnsi="Times New Roman"/>
      <w:spacing w:val="0"/>
      <w:sz w:val="16"/>
      <w:lang w:val="en-US" w:eastAsia="x-none"/>
    </w:rPr>
  </w:style>
  <w:style w:type="paragraph" w:customStyle="1" w:styleId="ListBullet2SglJ">
    <w:name w:val="List Bullet 2 Sgl J"/>
    <w:basedOn w:val="Normal"/>
    <w:rsid w:val="002831AB"/>
    <w:pPr>
      <w:widowControl w:val="0"/>
      <w:autoSpaceDE w:val="0"/>
      <w:autoSpaceDN w:val="0"/>
      <w:adjustRightInd w:val="0"/>
      <w:spacing w:after="240"/>
    </w:pPr>
    <w:rPr>
      <w:rFonts w:ascii="Times New Roman" w:hAnsi="Times New Roman"/>
      <w:color w:val="000000"/>
      <w:lang w:val="en-US" w:eastAsia="es-AR"/>
    </w:rPr>
  </w:style>
  <w:style w:type="paragraph" w:customStyle="1" w:styleId="BlockTextSglJ95">
    <w:name w:val="Block Text Sgl J 9.5"/>
    <w:basedOn w:val="Normal"/>
    <w:rsid w:val="002831AB"/>
    <w:pPr>
      <w:widowControl w:val="0"/>
      <w:autoSpaceDE w:val="0"/>
      <w:autoSpaceDN w:val="0"/>
      <w:adjustRightInd w:val="0"/>
      <w:spacing w:after="240"/>
      <w:jc w:val="both"/>
    </w:pPr>
    <w:rPr>
      <w:rFonts w:ascii="Times New Roman" w:hAnsi="Times New Roman"/>
      <w:sz w:val="19"/>
      <w:szCs w:val="19"/>
      <w:lang w:val="en-US" w:eastAsia="es-AR"/>
    </w:rPr>
  </w:style>
  <w:style w:type="paragraph" w:customStyle="1" w:styleId="ListNumbera4">
    <w:name w:val="List Number a."/>
    <w:basedOn w:val="Normal"/>
    <w:rsid w:val="002831AB"/>
    <w:pPr>
      <w:widowControl w:val="0"/>
      <w:tabs>
        <w:tab w:val="num" w:pos="1080"/>
      </w:tabs>
      <w:autoSpaceDE w:val="0"/>
      <w:autoSpaceDN w:val="0"/>
      <w:adjustRightInd w:val="0"/>
      <w:spacing w:after="240"/>
      <w:ind w:left="1080" w:hanging="360"/>
      <w:jc w:val="both"/>
    </w:pPr>
    <w:rPr>
      <w:rFonts w:ascii="Times New Roman" w:hAnsi="Times New Roman"/>
      <w:sz w:val="19"/>
      <w:szCs w:val="19"/>
      <w:lang w:val="en-US" w:eastAsia="es-AR"/>
    </w:rPr>
  </w:style>
  <w:style w:type="paragraph" w:customStyle="1" w:styleId="ListNumber13">
    <w:name w:val="List Number 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Bold">
    <w:name w:val="List Number Bold"/>
    <w:basedOn w:val="Normal"/>
    <w:rsid w:val="002831AB"/>
    <w:pPr>
      <w:widowControl w:val="0"/>
      <w:autoSpaceDE w:val="0"/>
      <w:autoSpaceDN w:val="0"/>
      <w:adjustRightInd w:val="0"/>
      <w:spacing w:after="240"/>
      <w:ind w:left="1440" w:hanging="720"/>
      <w:jc w:val="both"/>
    </w:pPr>
    <w:rPr>
      <w:rFonts w:ascii="Times New Roman" w:hAnsi="Times New Roman"/>
      <w:lang w:val="en-US" w:eastAsia="es-AR"/>
    </w:rPr>
  </w:style>
  <w:style w:type="paragraph" w:customStyle="1" w:styleId="BlockTextSglBoldJ">
    <w:name w:val="Block Text Sgl Bold J"/>
    <w:basedOn w:val="Normal"/>
    <w:rsid w:val="002831AB"/>
    <w:pPr>
      <w:widowControl w:val="0"/>
      <w:autoSpaceDE w:val="0"/>
      <w:autoSpaceDN w:val="0"/>
      <w:adjustRightInd w:val="0"/>
      <w:spacing w:after="240"/>
      <w:jc w:val="both"/>
    </w:pPr>
    <w:rPr>
      <w:rFonts w:ascii="Times New Roman" w:hAnsi="Times New Roman"/>
      <w:b/>
      <w:bCs/>
      <w:lang w:val="en-US" w:eastAsia="es-AR"/>
    </w:rPr>
  </w:style>
  <w:style w:type="paragraph" w:customStyle="1" w:styleId="ListBullet4SglJ">
    <w:name w:val="List Bullet 4 Sgl J"/>
    <w:basedOn w:val="Listaconvitas4"/>
    <w:rsid w:val="002831AB"/>
    <w:rPr>
      <w:sz w:val="19"/>
      <w:szCs w:val="19"/>
    </w:rPr>
  </w:style>
  <w:style w:type="paragraph" w:customStyle="1" w:styleId="Quick">
    <w:name w:val="Quick _"/>
    <w:basedOn w:val="Normal"/>
    <w:rsid w:val="002831AB"/>
    <w:pPr>
      <w:widowControl w:val="0"/>
      <w:autoSpaceDE w:val="0"/>
      <w:autoSpaceDN w:val="0"/>
      <w:adjustRightInd w:val="0"/>
      <w:ind w:left="1442" w:hanging="721"/>
    </w:pPr>
    <w:rPr>
      <w:rFonts w:ascii="Times New Roman" w:hAnsi="Times New Roman"/>
      <w:lang w:val="en-US" w:eastAsia="es-AR"/>
    </w:rPr>
  </w:style>
  <w:style w:type="paragraph" w:customStyle="1" w:styleId="hdr">
    <w:name w:val="hdr"/>
    <w:basedOn w:val="Normal"/>
    <w:rsid w:val="002831AB"/>
    <w:pPr>
      <w:widowControl w:val="0"/>
      <w:tabs>
        <w:tab w:val="left" w:pos="-360"/>
        <w:tab w:val="left" w:pos="-216"/>
        <w:tab w:val="left" w:pos="-72"/>
        <w:tab w:val="left" w:pos="72"/>
        <w:tab w:val="left" w:pos="216"/>
        <w:tab w:val="left" w:pos="360"/>
        <w:tab w:val="left" w:pos="504"/>
      </w:tabs>
      <w:autoSpaceDE w:val="0"/>
      <w:autoSpaceDN w:val="0"/>
      <w:adjustRightInd w:val="0"/>
      <w:jc w:val="center"/>
    </w:pPr>
    <w:rPr>
      <w:rFonts w:ascii="Times New Roman" w:hAnsi="Times New Roman"/>
      <w:b/>
      <w:bCs/>
      <w:color w:val="000000"/>
      <w:sz w:val="18"/>
      <w:szCs w:val="18"/>
      <w:lang w:val="en-US" w:eastAsia="es-AR"/>
    </w:rPr>
  </w:style>
  <w:style w:type="paragraph" w:customStyle="1" w:styleId="bASIC">
    <w:name w:val="bASIC"/>
    <w:basedOn w:val="Normal"/>
    <w:rsid w:val="002831AB"/>
    <w:pPr>
      <w:widowControl w:val="0"/>
      <w:tabs>
        <w:tab w:val="left" w:pos="-1440"/>
        <w:tab w:val="left" w:pos="-720"/>
        <w:tab w:val="left" w:pos="0"/>
        <w:tab w:val="left" w:pos="721"/>
        <w:tab w:val="left" w:pos="1442"/>
        <w:tab w:val="left" w:pos="2163"/>
        <w:tab w:val="left" w:pos="2884"/>
        <w:tab w:val="left" w:pos="3606"/>
        <w:tab w:val="left" w:pos="4327"/>
        <w:tab w:val="left" w:pos="5048"/>
        <w:tab w:val="left" w:pos="5769"/>
        <w:tab w:val="left" w:pos="6490"/>
        <w:tab w:val="left" w:pos="7212"/>
        <w:tab w:val="left" w:pos="7933"/>
        <w:tab w:val="left" w:pos="8654"/>
        <w:tab w:val="left" w:pos="9375"/>
      </w:tabs>
      <w:autoSpaceDE w:val="0"/>
      <w:autoSpaceDN w:val="0"/>
      <w:adjustRightInd w:val="0"/>
      <w:ind w:firstLine="721"/>
      <w:jc w:val="both"/>
    </w:pPr>
    <w:rPr>
      <w:rFonts w:ascii="Times New Roman" w:hAnsi="Times New Roman"/>
      <w:color w:val="000000"/>
      <w:lang w:val="en-US" w:eastAsia="es-AR"/>
    </w:rPr>
  </w:style>
  <w:style w:type="paragraph" w:customStyle="1" w:styleId="x">
    <w:name w:val="x"/>
    <w:basedOn w:val="Normal"/>
    <w:rsid w:val="002831AB"/>
    <w:pPr>
      <w:widowControl w:val="0"/>
      <w:tabs>
        <w:tab w:val="decimal" w:pos="457"/>
        <w:tab w:val="left" w:pos="1734"/>
        <w:tab w:val="right" w:pos="2461"/>
        <w:tab w:val="left" w:pos="2766"/>
        <w:tab w:val="right" w:pos="3387"/>
        <w:tab w:val="left" w:pos="3788"/>
        <w:tab w:val="right" w:pos="4220"/>
        <w:tab w:val="left" w:pos="4622"/>
        <w:tab w:val="right" w:pos="5349"/>
        <w:tab w:val="left" w:pos="5703"/>
        <w:tab w:val="right" w:pos="6325"/>
        <w:tab w:val="left" w:pos="6843"/>
        <w:tab w:val="right" w:pos="7158"/>
        <w:tab w:val="left" w:pos="7623"/>
        <w:tab w:val="right" w:pos="8350"/>
        <w:tab w:val="left" w:pos="8590"/>
        <w:tab w:val="right" w:pos="9212"/>
        <w:tab w:val="left" w:pos="9538"/>
        <w:tab w:val="right" w:pos="9853"/>
      </w:tabs>
      <w:autoSpaceDE w:val="0"/>
      <w:autoSpaceDN w:val="0"/>
      <w:adjustRightInd w:val="0"/>
      <w:ind w:left="634" w:hanging="396"/>
    </w:pPr>
    <w:rPr>
      <w:rFonts w:ascii="Times New Roman" w:hAnsi="Times New Roman"/>
      <w:color w:val="000000"/>
      <w:sz w:val="14"/>
      <w:szCs w:val="14"/>
      <w:u w:val="single"/>
      <w:lang w:val="en-US" w:eastAsia="es-AR"/>
    </w:rPr>
  </w:style>
  <w:style w:type="paragraph" w:customStyle="1" w:styleId="H1">
    <w:name w:val="H1"/>
    <w:basedOn w:val="bASIC"/>
    <w:rsid w:val="002831AB"/>
    <w:pPr>
      <w:ind w:firstLine="0"/>
    </w:pPr>
    <w:rPr>
      <w:b/>
      <w:bCs/>
    </w:rPr>
  </w:style>
  <w:style w:type="paragraph" w:customStyle="1" w:styleId="BullInd">
    <w:name w:val="BullInd"/>
    <w:basedOn w:val="Normal"/>
    <w:rsid w:val="002831AB"/>
    <w:pPr>
      <w:widowControl w:val="0"/>
      <w:tabs>
        <w:tab w:val="left" w:pos="-1440"/>
      </w:tabs>
      <w:autoSpaceDE w:val="0"/>
      <w:autoSpaceDN w:val="0"/>
      <w:adjustRightInd w:val="0"/>
      <w:ind w:left="1440" w:hanging="720"/>
      <w:jc w:val="both"/>
    </w:pPr>
    <w:rPr>
      <w:rFonts w:ascii="Times New Roman" w:hAnsi="Times New Roman"/>
      <w:color w:val="000000"/>
      <w:lang w:val="en-US" w:eastAsia="es-AR"/>
    </w:rPr>
  </w:style>
  <w:style w:type="paragraph" w:customStyle="1" w:styleId="Title3">
    <w:name w:val="Title3"/>
    <w:basedOn w:val="Normal"/>
    <w:rsid w:val="002831AB"/>
    <w:pPr>
      <w:keepNext/>
      <w:widowControl w:val="0"/>
      <w:tabs>
        <w:tab w:val="left" w:pos="-1440"/>
      </w:tabs>
      <w:autoSpaceDE w:val="0"/>
      <w:autoSpaceDN w:val="0"/>
      <w:adjustRightInd w:val="0"/>
      <w:ind w:firstLine="720"/>
      <w:jc w:val="both"/>
    </w:pPr>
    <w:rPr>
      <w:rFonts w:ascii="Times New Roman" w:hAnsi="Times New Roman"/>
      <w:i/>
      <w:iCs/>
      <w:color w:val="000000"/>
      <w:lang w:val="en-US" w:eastAsia="es-AR"/>
    </w:rPr>
  </w:style>
  <w:style w:type="paragraph" w:customStyle="1" w:styleId="indeiiietc">
    <w:name w:val="inde(i)(ii)etc"/>
    <w:basedOn w:val="Normal"/>
    <w:rsid w:val="002831AB"/>
    <w:pPr>
      <w:widowControl w:val="0"/>
      <w:tabs>
        <w:tab w:val="left" w:pos="-1440"/>
        <w:tab w:val="left" w:pos="-720"/>
        <w:tab w:val="left" w:pos="0"/>
        <w:tab w:val="left" w:pos="720"/>
        <w:tab w:val="right" w:pos="1311"/>
      </w:tabs>
      <w:autoSpaceDE w:val="0"/>
      <w:autoSpaceDN w:val="0"/>
      <w:adjustRightInd w:val="0"/>
      <w:ind w:left="1425" w:hanging="720"/>
      <w:jc w:val="both"/>
    </w:pPr>
    <w:rPr>
      <w:rFonts w:ascii="Times New Roman" w:hAnsi="Times New Roman"/>
      <w:color w:val="000000"/>
      <w:lang w:val="en-US" w:eastAsia="es-AR"/>
    </w:rPr>
  </w:style>
  <w:style w:type="character" w:customStyle="1" w:styleId="NOTES2">
    <w:name w:val="NOTES2"/>
    <w:rsid w:val="002831AB"/>
    <w:rPr>
      <w:rFonts w:ascii="Times New Roman" w:hAnsi="Times New Roman"/>
      <w:spacing w:val="0"/>
      <w:sz w:val="17"/>
      <w:lang w:val="en-US" w:eastAsia="x-none"/>
    </w:rPr>
  </w:style>
  <w:style w:type="paragraph" w:customStyle="1" w:styleId="BeforeTableSeparator">
    <w:name w:val="BeforeTableSeparator"/>
    <w:basedOn w:val="Normal"/>
    <w:rsid w:val="002831AB"/>
    <w:pPr>
      <w:widowControl w:val="0"/>
      <w:tabs>
        <w:tab w:val="left" w:pos="0"/>
      </w:tabs>
      <w:autoSpaceDE w:val="0"/>
      <w:autoSpaceDN w:val="0"/>
      <w:adjustRightInd w:val="0"/>
      <w:jc w:val="both"/>
    </w:pPr>
    <w:rPr>
      <w:rFonts w:ascii="Times New Roman" w:hAnsi="Times New Roman"/>
      <w:color w:val="000000"/>
      <w:sz w:val="16"/>
      <w:szCs w:val="16"/>
      <w:lang w:val="en-US" w:eastAsia="es-AR"/>
    </w:rPr>
  </w:style>
  <w:style w:type="paragraph" w:customStyle="1" w:styleId="BodyTextItal">
    <w:name w:val="Body Text Ital"/>
    <w:basedOn w:val="DeltaViewTableHeading"/>
    <w:rsid w:val="002831AB"/>
    <w:pPr>
      <w:widowControl w:val="0"/>
      <w:spacing w:after="0" w:line="480" w:lineRule="auto"/>
      <w:ind w:firstLine="1440"/>
      <w:jc w:val="both"/>
    </w:pPr>
    <w:rPr>
      <w:rFonts w:ascii="Times New Roman" w:hAnsi="Times New Roman" w:cs="Times New Roman"/>
      <w:b w:val="0"/>
      <w:bCs w:val="0"/>
      <w:i/>
      <w:iCs/>
      <w:sz w:val="20"/>
      <w:szCs w:val="20"/>
      <w:lang w:eastAsia="en-US"/>
    </w:rPr>
  </w:style>
  <w:style w:type="paragraph" w:customStyle="1" w:styleId="BulletsFlushLeft">
    <w:name w:val="Bullets Flush Left"/>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BulletsFlushLeftHanging">
    <w:name w:val="Bullets Flush Left Hanging"/>
    <w:basedOn w:val="BulletsFlushLeft"/>
    <w:rsid w:val="002831AB"/>
    <w:pPr>
      <w:ind w:left="720" w:hanging="720"/>
    </w:pPr>
  </w:style>
  <w:style w:type="paragraph" w:customStyle="1" w:styleId="Note">
    <w:name w:val="Note"/>
    <w:basedOn w:val="Sangrdetextonormal"/>
    <w:rsid w:val="002831AB"/>
    <w:pPr>
      <w:spacing w:after="170"/>
      <w:ind w:left="360" w:hanging="360"/>
    </w:pPr>
    <w:rPr>
      <w:sz w:val="17"/>
      <w:szCs w:val="17"/>
    </w:rPr>
  </w:style>
  <w:style w:type="paragraph" w:customStyle="1" w:styleId="blocktext10">
    <w:name w:val="block text 10"/>
    <w:basedOn w:val="BodyText2Sgl10"/>
    <w:rsid w:val="002831AB"/>
    <w:pPr>
      <w:widowControl w:val="0"/>
      <w:autoSpaceDE w:val="0"/>
      <w:autoSpaceDN w:val="0"/>
      <w:adjustRightInd w:val="0"/>
    </w:pPr>
    <w:rPr>
      <w:lang w:eastAsia="en-US"/>
    </w:rPr>
  </w:style>
  <w:style w:type="paragraph" w:customStyle="1" w:styleId="Heading11">
    <w:name w:val="Heading 11"/>
    <w:basedOn w:val="Normal"/>
    <w:next w:val="Heading11Body"/>
    <w:rsid w:val="002831AB"/>
    <w:pPr>
      <w:keepNext/>
      <w:keepLines/>
      <w:widowControl w:val="0"/>
      <w:autoSpaceDE w:val="0"/>
      <w:autoSpaceDN w:val="0"/>
      <w:adjustRightInd w:val="0"/>
      <w:jc w:val="center"/>
    </w:pPr>
    <w:rPr>
      <w:rFonts w:ascii="Times New Roman" w:hAnsi="Times New Roman"/>
      <w:u w:val="single"/>
      <w:lang w:val="en-US" w:eastAsia="es-AR"/>
    </w:rPr>
  </w:style>
  <w:style w:type="paragraph" w:customStyle="1" w:styleId="Heading11Body">
    <w:name w:val="Heading 11 Body"/>
    <w:basedOn w:val="Normal"/>
    <w:next w:val="Heading11"/>
    <w:rsid w:val="002831AB"/>
    <w:pPr>
      <w:keepNext/>
      <w:keepLines/>
      <w:widowControl w:val="0"/>
      <w:autoSpaceDE w:val="0"/>
      <w:autoSpaceDN w:val="0"/>
      <w:adjustRightInd w:val="0"/>
      <w:jc w:val="center"/>
    </w:pPr>
    <w:rPr>
      <w:rFonts w:ascii="Times New Roman" w:hAnsi="Times New Roman"/>
      <w:lang w:val="en-US" w:eastAsia="es-AR"/>
    </w:rPr>
  </w:style>
  <w:style w:type="paragraph" w:customStyle="1" w:styleId="Heading12">
    <w:name w:val="Heading 12"/>
    <w:basedOn w:val="Normal"/>
    <w:next w:val="Heading12Body"/>
    <w:rsid w:val="002831AB"/>
    <w:pPr>
      <w:widowControl w:val="0"/>
      <w:tabs>
        <w:tab w:val="num" w:pos="144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left="1440" w:hanging="360"/>
    </w:pPr>
    <w:rPr>
      <w:rFonts w:ascii="Times New Roman" w:hAnsi="Times New Roman"/>
      <w:lang w:val="en-US" w:eastAsia="es-AR"/>
    </w:rPr>
  </w:style>
  <w:style w:type="paragraph" w:customStyle="1" w:styleId="Heading12Body">
    <w:name w:val="Heading 12 Body"/>
    <w:basedOn w:val="Normal"/>
    <w:next w:val="Heading12"/>
    <w:rsid w:val="002831AB"/>
    <w:pPr>
      <w:widowControl w:val="0"/>
      <w:tabs>
        <w:tab w:val="left" w:pos="216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ind w:firstLine="1440"/>
    </w:pPr>
    <w:rPr>
      <w:rFonts w:ascii="Times New Roman" w:hAnsi="Times New Roman"/>
      <w:lang w:val="en-US" w:eastAsia="es-AR"/>
    </w:rPr>
  </w:style>
  <w:style w:type="paragraph" w:customStyle="1" w:styleId="EXB22">
    <w:name w:val="EXB2 2"/>
    <w:basedOn w:val="EXB21"/>
    <w:rsid w:val="002831AB"/>
    <w:pPr>
      <w:tabs>
        <w:tab w:val="num" w:pos="360"/>
      </w:tabs>
      <w:jc w:val="left"/>
    </w:pPr>
  </w:style>
  <w:style w:type="paragraph" w:customStyle="1" w:styleId="Style0">
    <w:name w:val="Style0"/>
    <w:rsid w:val="002831AB"/>
    <w:pPr>
      <w:widowControl w:val="0"/>
      <w:autoSpaceDE w:val="0"/>
      <w:autoSpaceDN w:val="0"/>
      <w:adjustRightInd w:val="0"/>
    </w:pPr>
    <w:rPr>
      <w:rFonts w:ascii="Times New Roman" w:hAnsi="Times New Roman"/>
      <w:lang w:val="en-US"/>
    </w:rPr>
  </w:style>
  <w:style w:type="paragraph" w:customStyle="1" w:styleId="tabledoublespace">
    <w:name w:val="table double space"/>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Tab3">
    <w:name w:val="Tab3"/>
    <w:basedOn w:val="Normal"/>
    <w:rsid w:val="002831AB"/>
    <w:pPr>
      <w:widowControl w:val="0"/>
      <w:tabs>
        <w:tab w:val="left" w:pos="288"/>
        <w:tab w:val="right" w:leader="dot" w:pos="3582"/>
      </w:tabs>
      <w:autoSpaceDE w:val="0"/>
      <w:autoSpaceDN w:val="0"/>
      <w:adjustRightInd w:val="0"/>
    </w:pPr>
    <w:rPr>
      <w:rFonts w:ascii="Times New Roman" w:hAnsi="Times New Roman"/>
      <w:lang w:val="en-US" w:eastAsia="es-AR"/>
    </w:rPr>
  </w:style>
  <w:style w:type="paragraph" w:customStyle="1" w:styleId="TableIndent">
    <w:name w:val="Table Indent"/>
    <w:basedOn w:val="Normal"/>
    <w:rsid w:val="002831AB"/>
    <w:pPr>
      <w:widowControl w:val="0"/>
      <w:tabs>
        <w:tab w:val="left" w:pos="288"/>
        <w:tab w:val="left" w:leader="dot" w:pos="3510"/>
      </w:tabs>
      <w:autoSpaceDE w:val="0"/>
      <w:autoSpaceDN w:val="0"/>
      <w:adjustRightInd w:val="0"/>
    </w:pPr>
    <w:rPr>
      <w:rFonts w:ascii="Times New Roman" w:hAnsi="Times New Roman"/>
      <w:lang w:val="en-US" w:eastAsia="es-AR"/>
    </w:rPr>
  </w:style>
  <w:style w:type="paragraph" w:customStyle="1" w:styleId="TabIndent">
    <w:name w:val="Tab Indent"/>
    <w:basedOn w:val="Normal"/>
    <w:rsid w:val="002831AB"/>
    <w:pPr>
      <w:widowControl w:val="0"/>
      <w:tabs>
        <w:tab w:val="left" w:leader="dot" w:pos="3960"/>
      </w:tabs>
      <w:autoSpaceDE w:val="0"/>
      <w:autoSpaceDN w:val="0"/>
      <w:adjustRightInd w:val="0"/>
      <w:ind w:left="180" w:hanging="180"/>
    </w:pPr>
    <w:rPr>
      <w:rFonts w:ascii="Times New Roman" w:hAnsi="Times New Roman"/>
      <w:lang w:val="en-US" w:eastAsia="es-AR"/>
    </w:rPr>
  </w:style>
  <w:style w:type="paragraph" w:customStyle="1" w:styleId="ColLeft">
    <w:name w:val="ColLeft"/>
    <w:basedOn w:val="Normal"/>
    <w:rsid w:val="002831AB"/>
    <w:pPr>
      <w:widowControl w:val="0"/>
      <w:tabs>
        <w:tab w:val="left" w:pos="144"/>
        <w:tab w:val="left" w:pos="288"/>
        <w:tab w:val="left" w:pos="432"/>
        <w:tab w:val="left" w:pos="576"/>
        <w:tab w:val="right" w:leader="dot" w:pos="2520"/>
      </w:tabs>
      <w:autoSpaceDE w:val="0"/>
      <w:autoSpaceDN w:val="0"/>
      <w:adjustRightInd w:val="0"/>
    </w:pPr>
    <w:rPr>
      <w:rFonts w:ascii="Times New Roman" w:hAnsi="Times New Roman"/>
      <w:sz w:val="18"/>
      <w:szCs w:val="18"/>
      <w:lang w:val="en-US" w:eastAsia="es-AR"/>
    </w:rPr>
  </w:style>
  <w:style w:type="character" w:customStyle="1" w:styleId="HEADING1">
    <w:name w:val="HEADING1"/>
    <w:rsid w:val="002831AB"/>
    <w:rPr>
      <w:rFonts w:ascii="Times New Roman" w:hAnsi="Times New Roman"/>
      <w:b/>
      <w:spacing w:val="0"/>
      <w:sz w:val="20"/>
      <w:lang w:val="en-US" w:eastAsia="x-none"/>
    </w:rPr>
  </w:style>
  <w:style w:type="paragraph" w:customStyle="1" w:styleId="level20">
    <w:name w:val="level2"/>
    <w:basedOn w:val="BodyText2Sgl10"/>
    <w:rsid w:val="002831AB"/>
    <w:pPr>
      <w:widowControl w:val="0"/>
      <w:autoSpaceDE w:val="0"/>
      <w:autoSpaceDN w:val="0"/>
      <w:adjustRightInd w:val="0"/>
    </w:pPr>
    <w:rPr>
      <w:lang w:eastAsia="en-US"/>
    </w:rPr>
  </w:style>
  <w:style w:type="character" w:customStyle="1" w:styleId="SmallCap">
    <w:name w:val="SmallCap"/>
    <w:rsid w:val="002831AB"/>
    <w:rPr>
      <w:rFonts w:ascii="Times New Roman" w:hAnsi="Times New Roman"/>
      <w:smallCaps/>
      <w:spacing w:val="0"/>
      <w:sz w:val="20"/>
      <w:lang w:val="en-US" w:eastAsia="x-none"/>
    </w:rPr>
  </w:style>
  <w:style w:type="paragraph" w:customStyle="1" w:styleId="BlockText75SglJ">
    <w:name w:val="Block Text .75 Sgl J"/>
    <w:basedOn w:val="Normal"/>
    <w:rsid w:val="002831AB"/>
    <w:pPr>
      <w:widowControl w:val="0"/>
      <w:autoSpaceDE w:val="0"/>
      <w:autoSpaceDN w:val="0"/>
      <w:adjustRightInd w:val="0"/>
      <w:spacing w:after="240"/>
      <w:ind w:left="1080"/>
      <w:jc w:val="both"/>
    </w:pPr>
    <w:rPr>
      <w:rFonts w:ascii="Times New Roman" w:hAnsi="Times New Roman"/>
      <w:lang w:val="en-US" w:eastAsia="es-AR"/>
    </w:rPr>
  </w:style>
  <w:style w:type="paragraph" w:customStyle="1" w:styleId="foot">
    <w:name w:val="foot"/>
    <w:basedOn w:val="Normal"/>
    <w:rsid w:val="002831AB"/>
    <w:pPr>
      <w:widowControl w:val="0"/>
      <w:autoSpaceDE w:val="0"/>
      <w:autoSpaceDN w:val="0"/>
      <w:adjustRightInd w:val="0"/>
      <w:ind w:left="-450" w:hanging="270"/>
    </w:pPr>
    <w:rPr>
      <w:rFonts w:ascii="Times New Roman" w:hAnsi="Times New Roman"/>
      <w:sz w:val="14"/>
      <w:szCs w:val="14"/>
      <w:lang w:val="en-US" w:eastAsia="es-AR"/>
    </w:rPr>
  </w:style>
  <w:style w:type="paragraph" w:customStyle="1" w:styleId="ListBullet-0">
    <w:name w:val="List Bullet-&gt;"/>
    <w:basedOn w:val="ListBullet-"/>
    <w:rsid w:val="002831AB"/>
    <w:pPr>
      <w:spacing w:after="120"/>
    </w:pPr>
  </w:style>
  <w:style w:type="paragraph" w:customStyle="1" w:styleId="hollowbullet">
    <w:name w:val="hollow bullet"/>
    <w:basedOn w:val="Normal"/>
    <w:rsid w:val="002831AB"/>
    <w:pPr>
      <w:widowControl w:val="0"/>
      <w:tabs>
        <w:tab w:val="num" w:pos="1440"/>
      </w:tabs>
      <w:autoSpaceDE w:val="0"/>
      <w:autoSpaceDN w:val="0"/>
      <w:adjustRightInd w:val="0"/>
      <w:spacing w:after="240"/>
      <w:ind w:left="1440" w:hanging="360"/>
      <w:jc w:val="both"/>
    </w:pPr>
    <w:rPr>
      <w:rFonts w:ascii="Times New Roman" w:hAnsi="Times New Roman"/>
      <w:sz w:val="19"/>
      <w:szCs w:val="19"/>
      <w:lang w:val="en-US" w:eastAsia="es-AR"/>
    </w:rPr>
  </w:style>
  <w:style w:type="paragraph" w:customStyle="1" w:styleId="Align">
    <w:name w:val="Align"/>
    <w:basedOn w:val="Normal"/>
    <w:rsid w:val="002831AB"/>
    <w:pPr>
      <w:keepNext/>
      <w:keepLines/>
      <w:widowControl w:val="0"/>
      <w:tabs>
        <w:tab w:val="left" w:pos="342"/>
        <w:tab w:val="decimal" w:pos="1287"/>
      </w:tabs>
      <w:autoSpaceDE w:val="0"/>
      <w:autoSpaceDN w:val="0"/>
      <w:adjustRightInd w:val="0"/>
    </w:pPr>
    <w:rPr>
      <w:rFonts w:ascii="Times New Roman" w:hAnsi="Times New Roman"/>
      <w:color w:val="000000"/>
      <w:sz w:val="16"/>
      <w:szCs w:val="16"/>
      <w:lang w:val="en-US" w:eastAsia="es-AR"/>
    </w:rPr>
  </w:style>
  <w:style w:type="paragraph" w:customStyle="1" w:styleId="TABLES8Ind">
    <w:name w:val="TABLES 8Ind"/>
    <w:basedOn w:val="TABLES7PT"/>
    <w:rsid w:val="002831AB"/>
    <w:pPr>
      <w:tabs>
        <w:tab w:val="right" w:leader="dot" w:pos="3816"/>
      </w:tabs>
      <w:ind w:left="144" w:hanging="144"/>
    </w:pPr>
  </w:style>
  <w:style w:type="paragraph" w:customStyle="1" w:styleId="CPNormal">
    <w:name w:val="CPNormal"/>
    <w:basedOn w:val="Normal"/>
    <w:rsid w:val="002831AB"/>
    <w:pPr>
      <w:widowControl w:val="0"/>
      <w:tabs>
        <w:tab w:val="left" w:pos="567"/>
      </w:tabs>
      <w:autoSpaceDE w:val="0"/>
      <w:autoSpaceDN w:val="0"/>
      <w:adjustRightInd w:val="0"/>
      <w:spacing w:after="240" w:line="240" w:lineRule="exact"/>
      <w:ind w:firstLine="720"/>
      <w:jc w:val="both"/>
    </w:pPr>
    <w:rPr>
      <w:rFonts w:ascii="Times New Roman" w:hAnsi="Times New Roman"/>
      <w:sz w:val="22"/>
      <w:szCs w:val="22"/>
      <w:lang w:val="en-US" w:eastAsia="es-AR"/>
    </w:rPr>
  </w:style>
  <w:style w:type="paragraph" w:customStyle="1" w:styleId="tablenotesline">
    <w:name w:val="table notes line"/>
    <w:basedOn w:val="DeltaViewTableHeading"/>
    <w:rsid w:val="002831AB"/>
    <w:pPr>
      <w:widowControl w:val="0"/>
      <w:spacing w:after="0"/>
    </w:pPr>
    <w:rPr>
      <w:rFonts w:ascii="Times New Roman" w:hAnsi="Times New Roman" w:cs="Times New Roman"/>
      <w:b w:val="0"/>
      <w:bCs w:val="0"/>
      <w:sz w:val="20"/>
      <w:szCs w:val="20"/>
      <w:lang w:eastAsia="en-US"/>
    </w:rPr>
  </w:style>
  <w:style w:type="paragraph" w:customStyle="1" w:styleId="Tnico4a">
    <w:name w:val="T馗nico 4a"/>
    <w:rsid w:val="002831AB"/>
    <w:pPr>
      <w:widowControl w:val="0"/>
      <w:tabs>
        <w:tab w:val="left" w:pos="-720"/>
      </w:tabs>
      <w:suppressAutoHyphens/>
      <w:autoSpaceDE w:val="0"/>
      <w:autoSpaceDN w:val="0"/>
      <w:adjustRightInd w:val="0"/>
    </w:pPr>
    <w:rPr>
      <w:rFonts w:ascii="Times New Roman" w:hAnsi="Times New Roman"/>
      <w:b/>
      <w:bCs/>
    </w:rPr>
  </w:style>
  <w:style w:type="paragraph" w:customStyle="1" w:styleId="titleitalic">
    <w:name w:val="title italic"/>
    <w:basedOn w:val="DeltaViewAnnounce"/>
    <w:rsid w:val="002831AB"/>
    <w:pPr>
      <w:keepNext/>
      <w:spacing w:before="0" w:after="200"/>
      <w:ind w:left="700" w:firstLine="20"/>
    </w:pPr>
    <w:rPr>
      <w:b/>
      <w:bCs/>
      <w:i/>
      <w:iCs/>
      <w:sz w:val="22"/>
      <w:szCs w:val="22"/>
      <w:lang w:val="en-US"/>
    </w:rPr>
  </w:style>
  <w:style w:type="paragraph" w:customStyle="1" w:styleId="DeltaViewAnnounce">
    <w:name w:val="DeltaView Announce"/>
    <w:rsid w:val="002831AB"/>
    <w:pPr>
      <w:widowControl w:val="0"/>
      <w:autoSpaceDE w:val="0"/>
      <w:autoSpaceDN w:val="0"/>
      <w:adjustRightInd w:val="0"/>
      <w:spacing w:before="100" w:after="100"/>
    </w:pPr>
    <w:rPr>
      <w:rFonts w:ascii="Times New Roman" w:hAnsi="Times New Roman"/>
      <w:sz w:val="24"/>
      <w:szCs w:val="24"/>
    </w:rPr>
  </w:style>
  <w:style w:type="paragraph" w:customStyle="1" w:styleId="noteno">
    <w:name w:val="noteno."/>
    <w:basedOn w:val="Normal"/>
    <w:rsid w:val="002831AB"/>
    <w:pPr>
      <w:widowControl w:val="0"/>
      <w:autoSpaceDE w:val="0"/>
      <w:autoSpaceDN w:val="0"/>
      <w:adjustRightInd w:val="0"/>
      <w:spacing w:after="144"/>
      <w:jc w:val="both"/>
    </w:pPr>
    <w:rPr>
      <w:rFonts w:ascii="Times New Roman" w:hAnsi="Times New Roman"/>
      <w:b/>
      <w:bCs/>
      <w:lang w:val="en-US" w:eastAsia="es-AR"/>
    </w:rPr>
  </w:style>
  <w:style w:type="paragraph" w:customStyle="1" w:styleId="Nocomma">
    <w:name w:val="No comma"/>
    <w:basedOn w:val="Normal"/>
    <w:rsid w:val="002831AB"/>
    <w:pPr>
      <w:widowControl w:val="0"/>
      <w:autoSpaceDE w:val="0"/>
      <w:autoSpaceDN w:val="0"/>
      <w:adjustRightInd w:val="0"/>
    </w:pPr>
    <w:rPr>
      <w:rFonts w:ascii="Times New Roman" w:hAnsi="Times New Roman"/>
      <w:lang w:val="en-US" w:eastAsia="es-AR"/>
    </w:rPr>
  </w:style>
  <w:style w:type="paragraph" w:customStyle="1" w:styleId="Numbers">
    <w:name w:val="Numbers"/>
    <w:basedOn w:val="Normal"/>
    <w:rsid w:val="002831AB"/>
    <w:pPr>
      <w:widowControl w:val="0"/>
      <w:autoSpaceDE w:val="0"/>
      <w:autoSpaceDN w:val="0"/>
      <w:adjustRightInd w:val="0"/>
    </w:pPr>
    <w:rPr>
      <w:rFonts w:ascii="Times New Roman" w:hAnsi="Times New Roman"/>
      <w:lang w:val="en-US" w:eastAsia="es-AR"/>
    </w:rPr>
  </w:style>
  <w:style w:type="paragraph" w:customStyle="1" w:styleId="ltr">
    <w:name w:val="ltr"/>
    <w:aliases w:val="indent"/>
    <w:basedOn w:val="Normal"/>
    <w:rsid w:val="002831AB"/>
    <w:pPr>
      <w:widowControl w:val="0"/>
      <w:tabs>
        <w:tab w:val="left" w:pos="270"/>
        <w:tab w:val="left" w:leader="dot" w:pos="5760"/>
      </w:tabs>
      <w:autoSpaceDE w:val="0"/>
      <w:autoSpaceDN w:val="0"/>
      <w:adjustRightInd w:val="0"/>
      <w:ind w:left="172" w:hanging="172"/>
    </w:pPr>
    <w:rPr>
      <w:rFonts w:ascii="Times New Roman" w:hAnsi="Times New Roman"/>
      <w:lang w:val="en-US" w:eastAsia="es-AR"/>
    </w:rPr>
  </w:style>
  <w:style w:type="paragraph" w:customStyle="1" w:styleId="SMDash">
    <w:name w:val="SM Dash"/>
    <w:basedOn w:val="Normal"/>
    <w:rsid w:val="002831AB"/>
    <w:pPr>
      <w:widowControl w:val="0"/>
      <w:autoSpaceDE w:val="0"/>
      <w:autoSpaceDN w:val="0"/>
      <w:adjustRightInd w:val="0"/>
      <w:jc w:val="right"/>
    </w:pPr>
    <w:rPr>
      <w:rFonts w:ascii="Times New Roman" w:hAnsi="Times New Roman"/>
      <w:lang w:val="en-US" w:eastAsia="es-AR"/>
    </w:rPr>
  </w:style>
  <w:style w:type="paragraph" w:customStyle="1" w:styleId="Table-10--2">
    <w:name w:val="Table-10--2"/>
    <w:basedOn w:val="Normal"/>
    <w:rsid w:val="002831AB"/>
    <w:pPr>
      <w:widowControl w:val="0"/>
      <w:tabs>
        <w:tab w:val="right" w:leader="dot" w:pos="6390"/>
      </w:tabs>
      <w:autoSpaceDE w:val="0"/>
      <w:autoSpaceDN w:val="0"/>
      <w:adjustRightInd w:val="0"/>
      <w:ind w:left="172"/>
    </w:pPr>
    <w:rPr>
      <w:rFonts w:ascii="Times New Roman" w:hAnsi="Times New Roman"/>
      <w:lang w:val="en-US" w:eastAsia="es-AR"/>
    </w:rPr>
  </w:style>
  <w:style w:type="paragraph" w:customStyle="1" w:styleId="table9">
    <w:name w:val="table 9"/>
    <w:basedOn w:val="Normal"/>
    <w:rsid w:val="002831AB"/>
    <w:pPr>
      <w:widowControl w:val="0"/>
      <w:tabs>
        <w:tab w:val="right" w:leader="dot" w:pos="5310"/>
      </w:tabs>
      <w:autoSpaceDE w:val="0"/>
      <w:autoSpaceDN w:val="0"/>
      <w:adjustRightInd w:val="0"/>
    </w:pPr>
    <w:rPr>
      <w:rFonts w:ascii="Times New Roman" w:hAnsi="Times New Roman"/>
      <w:sz w:val="18"/>
      <w:szCs w:val="18"/>
      <w:lang w:val="en-US" w:eastAsia="es-AR"/>
    </w:rPr>
  </w:style>
  <w:style w:type="paragraph" w:customStyle="1" w:styleId="btsingle">
    <w:name w:val="bt single"/>
    <w:basedOn w:val="Normal"/>
    <w:rsid w:val="002831AB"/>
    <w:pPr>
      <w:widowControl w:val="0"/>
      <w:autoSpaceDE w:val="0"/>
      <w:autoSpaceDN w:val="0"/>
      <w:adjustRightInd w:val="0"/>
      <w:ind w:left="504"/>
    </w:pPr>
    <w:rPr>
      <w:rFonts w:ascii="Times New Roman" w:hAnsi="Times New Roman"/>
      <w:lang w:val="en-US" w:eastAsia="es-AR"/>
    </w:rPr>
  </w:style>
  <w:style w:type="paragraph" w:customStyle="1" w:styleId="noteno0">
    <w:name w:val="noteno"/>
    <w:aliases w:val="pts"/>
    <w:basedOn w:val="Normal"/>
    <w:rsid w:val="002831AB"/>
    <w:pPr>
      <w:widowControl w:val="0"/>
      <w:autoSpaceDE w:val="0"/>
      <w:autoSpaceDN w:val="0"/>
      <w:adjustRightInd w:val="0"/>
      <w:spacing w:after="144"/>
    </w:pPr>
    <w:rPr>
      <w:rFonts w:ascii="Times New Roman" w:hAnsi="Times New Roman"/>
      <w:b/>
      <w:bCs/>
      <w:lang w:val="en-US" w:eastAsia="es-AR"/>
    </w:rPr>
  </w:style>
  <w:style w:type="paragraph" w:customStyle="1" w:styleId="DefaultText">
    <w:name w:val="Default Text"/>
    <w:basedOn w:val="Normal"/>
    <w:rsid w:val="002831AB"/>
    <w:pPr>
      <w:widowControl w:val="0"/>
      <w:autoSpaceDE w:val="0"/>
      <w:autoSpaceDN w:val="0"/>
      <w:adjustRightInd w:val="0"/>
    </w:pPr>
    <w:rPr>
      <w:rFonts w:ascii="Times New Roman" w:hAnsi="Times New Roman"/>
      <w:lang w:val="en-US" w:eastAsia="es-AR"/>
    </w:rPr>
  </w:style>
  <w:style w:type="paragraph" w:customStyle="1" w:styleId="10-6">
    <w:name w:val="10-6"/>
    <w:basedOn w:val="Normal"/>
    <w:rsid w:val="002831AB"/>
    <w:pPr>
      <w:widowControl w:val="0"/>
      <w:tabs>
        <w:tab w:val="right" w:leader="dot" w:pos="5670"/>
      </w:tabs>
      <w:autoSpaceDE w:val="0"/>
      <w:autoSpaceDN w:val="0"/>
      <w:adjustRightInd w:val="0"/>
      <w:ind w:left="676"/>
    </w:pPr>
    <w:rPr>
      <w:rFonts w:ascii="Times New Roman" w:hAnsi="Times New Roman"/>
      <w:lang w:val="en-US" w:eastAsia="es-AR"/>
    </w:rPr>
  </w:style>
  <w:style w:type="paragraph" w:customStyle="1" w:styleId="Listbulletopen">
    <w:name w:val="List bullet open"/>
    <w:basedOn w:val="Normal"/>
    <w:rsid w:val="002831AB"/>
    <w:pPr>
      <w:widowControl w:val="0"/>
      <w:tabs>
        <w:tab w:val="num" w:pos="1440"/>
      </w:tabs>
      <w:autoSpaceDE w:val="0"/>
      <w:autoSpaceDN w:val="0"/>
      <w:adjustRightInd w:val="0"/>
      <w:spacing w:after="240"/>
      <w:ind w:left="1440" w:hanging="360"/>
      <w:jc w:val="both"/>
    </w:pPr>
    <w:rPr>
      <w:rFonts w:ascii="Times New Roman" w:hAnsi="Times New Roman"/>
      <w:sz w:val="19"/>
      <w:szCs w:val="19"/>
      <w:lang w:val="en-US" w:eastAsia="es-AR"/>
    </w:rPr>
  </w:style>
  <w:style w:type="paragraph" w:customStyle="1" w:styleId="hollowbullet2">
    <w:name w:val="hollow bullet 2"/>
    <w:basedOn w:val="Normal"/>
    <w:rsid w:val="002831AB"/>
    <w:pPr>
      <w:widowControl w:val="0"/>
      <w:tabs>
        <w:tab w:val="num" w:pos="1800"/>
      </w:tabs>
      <w:autoSpaceDE w:val="0"/>
      <w:autoSpaceDN w:val="0"/>
      <w:adjustRightInd w:val="0"/>
      <w:spacing w:after="240"/>
      <w:ind w:left="1800" w:hanging="360"/>
    </w:pPr>
    <w:rPr>
      <w:rFonts w:ascii="Times New Roman" w:hAnsi="Times New Roman"/>
      <w:sz w:val="19"/>
      <w:szCs w:val="19"/>
      <w:lang w:val="en-US" w:eastAsia="es-AR"/>
    </w:rPr>
  </w:style>
  <w:style w:type="paragraph" w:customStyle="1" w:styleId="3leftindent">
    <w:name w:val=".3 left indent"/>
    <w:basedOn w:val="Normal"/>
    <w:rsid w:val="002831AB"/>
    <w:pPr>
      <w:widowControl w:val="0"/>
      <w:autoSpaceDE w:val="0"/>
      <w:autoSpaceDN w:val="0"/>
      <w:adjustRightInd w:val="0"/>
      <w:spacing w:after="240"/>
      <w:ind w:left="432" w:firstLine="720"/>
      <w:jc w:val="both"/>
    </w:pPr>
    <w:rPr>
      <w:rFonts w:ascii="Times New Roman" w:hAnsi="Times New Roman"/>
      <w:color w:val="000000"/>
      <w:sz w:val="19"/>
      <w:szCs w:val="19"/>
      <w:lang w:val="en-US" w:eastAsia="es-AR"/>
    </w:rPr>
  </w:style>
  <w:style w:type="character" w:customStyle="1" w:styleId="TABLEINDENT0">
    <w:name w:val="TABLE_INDENT"/>
    <w:rsid w:val="002831AB"/>
    <w:rPr>
      <w:rFonts w:ascii="Times New Roman" w:hAnsi="Times New Roman"/>
      <w:spacing w:val="0"/>
      <w:sz w:val="20"/>
      <w:lang w:val="en-US" w:eastAsia="x-none"/>
    </w:rPr>
  </w:style>
  <w:style w:type="character" w:customStyle="1" w:styleId="table8p">
    <w:name w:val="table8p"/>
    <w:rsid w:val="002831AB"/>
    <w:rPr>
      <w:rFonts w:ascii="Times New Roman" w:hAnsi="Times New Roman"/>
      <w:spacing w:val="0"/>
      <w:sz w:val="16"/>
      <w:lang w:val="en-US" w:eastAsia="x-none"/>
    </w:rPr>
  </w:style>
  <w:style w:type="paragraph" w:customStyle="1" w:styleId="xl48">
    <w:name w:val="xl48"/>
    <w:basedOn w:val="Normal"/>
    <w:rsid w:val="002831AB"/>
    <w:pPr>
      <w:widowControl w:val="0"/>
      <w:shd w:val="clear" w:color="auto" w:fill="FFFF00"/>
      <w:autoSpaceDE w:val="0"/>
      <w:autoSpaceDN w:val="0"/>
      <w:adjustRightInd w:val="0"/>
      <w:spacing w:before="100" w:beforeAutospacing="1" w:after="100" w:afterAutospacing="1"/>
    </w:pPr>
    <w:rPr>
      <w:rFonts w:ascii="Arial Unicode MS" w:eastAsia="Arial Unicode MS" w:hAnsi="Times New Roman" w:cs="Arial Unicode MS"/>
      <w:sz w:val="16"/>
      <w:szCs w:val="16"/>
      <w:lang w:val="en-US" w:eastAsia="es-AR"/>
    </w:rPr>
  </w:style>
  <w:style w:type="paragraph" w:customStyle="1" w:styleId="xl49">
    <w:name w:val="xl49"/>
    <w:basedOn w:val="Normal"/>
    <w:rsid w:val="002831AB"/>
    <w:pPr>
      <w:widowControl w:val="0"/>
      <w:pBdr>
        <w:top w:val="single" w:sz="4" w:space="0" w:color="000000"/>
        <w:bottom w:val="single" w:sz="4" w:space="0" w:color="000000"/>
      </w:pBdr>
      <w:autoSpaceDE w:val="0"/>
      <w:autoSpaceDN w:val="0"/>
      <w:adjustRightInd w:val="0"/>
      <w:spacing w:before="100" w:beforeAutospacing="1" w:after="100" w:afterAutospacing="1"/>
      <w:jc w:val="center"/>
    </w:pPr>
    <w:rPr>
      <w:rFonts w:ascii="Arial Unicode MS" w:eastAsia="Arial Unicode MS" w:hAnsi="Times New Roman" w:cs="Arial Unicode MS"/>
      <w:sz w:val="16"/>
      <w:szCs w:val="16"/>
      <w:lang w:val="en-US" w:eastAsia="es-AR"/>
    </w:rPr>
  </w:style>
  <w:style w:type="character" w:customStyle="1" w:styleId="table8">
    <w:name w:val="table8"/>
    <w:rsid w:val="002831AB"/>
    <w:rPr>
      <w:rFonts w:ascii="Times New Roman" w:hAnsi="Times New Roman"/>
      <w:color w:val="000000"/>
      <w:spacing w:val="0"/>
      <w:sz w:val="16"/>
      <w:u w:val="none"/>
      <w:lang w:val="en-US" w:eastAsia="x-none"/>
    </w:rPr>
  </w:style>
  <w:style w:type="paragraph" w:customStyle="1" w:styleId="FooterLandscape0">
    <w:name w:val="Footer Landscape*"/>
    <w:basedOn w:val="Normal"/>
    <w:rsid w:val="002831AB"/>
    <w:pPr>
      <w:widowControl w:val="0"/>
      <w:tabs>
        <w:tab w:val="left" w:pos="0"/>
        <w:tab w:val="center" w:pos="7389"/>
        <w:tab w:val="right" w:pos="14773"/>
      </w:tabs>
      <w:autoSpaceDE w:val="0"/>
      <w:autoSpaceDN w:val="0"/>
      <w:adjustRightInd w:val="0"/>
    </w:pPr>
    <w:rPr>
      <w:rFonts w:ascii="Times New Roman" w:hAnsi="Times New Roman"/>
      <w:sz w:val="19"/>
      <w:szCs w:val="19"/>
      <w:lang w:val="en-US" w:eastAsia="es-AR"/>
    </w:rPr>
  </w:style>
  <w:style w:type="paragraph" w:customStyle="1" w:styleId="i">
    <w:name w:val="(i)"/>
    <w:basedOn w:val="Normal"/>
    <w:rsid w:val="002831AB"/>
    <w:pPr>
      <w:widowControl w:val="0"/>
      <w:tabs>
        <w:tab w:val="num" w:pos="1429"/>
      </w:tabs>
      <w:autoSpaceDE w:val="0"/>
      <w:autoSpaceDN w:val="0"/>
      <w:adjustRightInd w:val="0"/>
      <w:ind w:left="1429" w:hanging="720"/>
      <w:jc w:val="both"/>
    </w:pPr>
    <w:rPr>
      <w:rFonts w:ascii="Times New Roman" w:hAnsi="Times New Roman"/>
      <w:color w:val="000000"/>
      <w:sz w:val="19"/>
      <w:szCs w:val="19"/>
      <w:lang w:val="en-US" w:eastAsia="es-AR"/>
    </w:rPr>
  </w:style>
  <w:style w:type="paragraph" w:customStyle="1" w:styleId="Sangrnormal">
    <w:name w:val="Sangr僘 normal"/>
    <w:basedOn w:val="Normal"/>
    <w:rsid w:val="002831AB"/>
    <w:pPr>
      <w:widowControl w:val="0"/>
      <w:autoSpaceDE w:val="0"/>
      <w:autoSpaceDN w:val="0"/>
      <w:adjustRightInd w:val="0"/>
      <w:spacing w:after="240" w:line="-240" w:lineRule="auto"/>
      <w:ind w:left="720" w:firstLine="1440"/>
    </w:pPr>
    <w:rPr>
      <w:rFonts w:ascii="Times New Roman" w:hAnsi="Times New Roman"/>
      <w:lang w:val="en-US" w:eastAsia="es-AR"/>
    </w:rPr>
  </w:style>
  <w:style w:type="paragraph" w:customStyle="1" w:styleId="Tabledot">
    <w:name w:val="Table dot"/>
    <w:basedOn w:val="Normal"/>
    <w:rsid w:val="002831AB"/>
    <w:pPr>
      <w:keepNext/>
      <w:widowControl w:val="0"/>
      <w:tabs>
        <w:tab w:val="left" w:leader="dot" w:pos="4073"/>
      </w:tabs>
      <w:autoSpaceDE w:val="0"/>
      <w:autoSpaceDN w:val="0"/>
      <w:adjustRightInd w:val="0"/>
    </w:pPr>
    <w:rPr>
      <w:rFonts w:ascii="Times New Roman" w:hAnsi="Times New Roman"/>
      <w:lang w:val="en-US" w:eastAsia="es-AR"/>
    </w:rPr>
  </w:style>
  <w:style w:type="character" w:customStyle="1" w:styleId="Table75pt">
    <w:name w:val="Table 7.5pt"/>
    <w:rsid w:val="002831AB"/>
    <w:rPr>
      <w:rFonts w:ascii="Times New Roman" w:hAnsi="Times New Roman"/>
      <w:spacing w:val="0"/>
      <w:sz w:val="15"/>
      <w:lang w:val="en-US" w:eastAsia="x-none"/>
    </w:rPr>
  </w:style>
  <w:style w:type="paragraph" w:customStyle="1" w:styleId="CG-Title-Center-Bold">
    <w:name w:val="CG-Title-Center-Bold"/>
    <w:aliases w:val="t1"/>
    <w:basedOn w:val="Normal"/>
    <w:next w:val="Normal"/>
    <w:rsid w:val="002831AB"/>
    <w:pPr>
      <w:keepNext/>
      <w:widowControl w:val="0"/>
      <w:autoSpaceDE w:val="0"/>
      <w:autoSpaceDN w:val="0"/>
      <w:adjustRightInd w:val="0"/>
      <w:spacing w:after="240"/>
      <w:jc w:val="center"/>
    </w:pPr>
    <w:rPr>
      <w:rFonts w:ascii="Times New Roman" w:hAnsi="Times New Roman"/>
      <w:b/>
      <w:bCs/>
      <w:lang w:val="en-US" w:eastAsia="es-AR"/>
    </w:rPr>
  </w:style>
  <w:style w:type="paragraph" w:customStyle="1" w:styleId="justifiedtext">
    <w:name w:val="justified text"/>
    <w:basedOn w:val="Saludo"/>
    <w:rsid w:val="002831AB"/>
    <w:pPr>
      <w:widowControl w:val="0"/>
      <w:tabs>
        <w:tab w:val="right" w:pos="10800"/>
      </w:tabs>
      <w:autoSpaceDE w:val="0"/>
      <w:autoSpaceDN w:val="0"/>
      <w:adjustRightInd w:val="0"/>
    </w:pPr>
    <w:rPr>
      <w:b/>
      <w:bCs/>
      <w:sz w:val="18"/>
      <w:szCs w:val="18"/>
    </w:rPr>
  </w:style>
  <w:style w:type="paragraph" w:customStyle="1" w:styleId="Dec4">
    <w:name w:val="Dec 4"/>
    <w:basedOn w:val="Normal"/>
    <w:rsid w:val="002831AB"/>
    <w:pPr>
      <w:widowControl w:val="0"/>
      <w:tabs>
        <w:tab w:val="right" w:leader="dot" w:pos="5310"/>
      </w:tabs>
      <w:autoSpaceDE w:val="0"/>
      <w:autoSpaceDN w:val="0"/>
      <w:adjustRightInd w:val="0"/>
    </w:pPr>
    <w:rPr>
      <w:rFonts w:ascii="Times New Roman" w:hAnsi="Times New Roman"/>
      <w:lang w:val="en-US" w:eastAsia="es-AR"/>
    </w:rPr>
  </w:style>
  <w:style w:type="character" w:customStyle="1" w:styleId="iManageFooter">
    <w:name w:val="iManage Footer"/>
    <w:rsid w:val="002831AB"/>
    <w:rPr>
      <w:rFonts w:ascii="Times New Roman" w:hAnsi="Times New Roman"/>
      <w:noProof/>
      <w:spacing w:val="0"/>
      <w:sz w:val="16"/>
    </w:rPr>
  </w:style>
  <w:style w:type="paragraph" w:customStyle="1" w:styleId="CG-Bullet">
    <w:name w:val="CG-Bullet"/>
    <w:aliases w:val="b1"/>
    <w:basedOn w:val="Normal"/>
    <w:autoRedefine/>
    <w:rsid w:val="002831AB"/>
    <w:pPr>
      <w:widowControl w:val="0"/>
      <w:autoSpaceDE w:val="0"/>
      <w:autoSpaceDN w:val="0"/>
      <w:adjustRightInd w:val="0"/>
      <w:spacing w:after="240"/>
    </w:pPr>
    <w:rPr>
      <w:rFonts w:ascii="Times New Roman" w:hAnsi="Times New Roman"/>
      <w:lang w:val="en-US" w:eastAsia="es-AR"/>
    </w:rPr>
  </w:style>
  <w:style w:type="paragraph" w:customStyle="1" w:styleId="CG-DblInd05">
    <w:name w:val="CG-Dbl Ind 0.5"/>
    <w:aliases w:val="i4"/>
    <w:basedOn w:val="Normal"/>
    <w:rsid w:val="002831AB"/>
    <w:pPr>
      <w:widowControl w:val="0"/>
      <w:autoSpaceDE w:val="0"/>
      <w:autoSpaceDN w:val="0"/>
      <w:adjustRightInd w:val="0"/>
      <w:spacing w:after="240"/>
      <w:ind w:left="720" w:right="720"/>
    </w:pPr>
    <w:rPr>
      <w:rFonts w:ascii="Times New Roman" w:hAnsi="Times New Roman"/>
      <w:lang w:val="en-US" w:eastAsia="es-AR"/>
    </w:rPr>
  </w:style>
  <w:style w:type="paragraph" w:customStyle="1" w:styleId="CG-DblSp">
    <w:name w:val="CG-Dbl Sp"/>
    <w:aliases w:val="d1"/>
    <w:basedOn w:val="Normal"/>
    <w:rsid w:val="002831AB"/>
    <w:pPr>
      <w:widowControl w:val="0"/>
      <w:autoSpaceDE w:val="0"/>
      <w:autoSpaceDN w:val="0"/>
      <w:adjustRightInd w:val="0"/>
      <w:spacing w:line="480" w:lineRule="auto"/>
    </w:pPr>
    <w:rPr>
      <w:rFonts w:ascii="Times New Roman" w:hAnsi="Times New Roman"/>
      <w:lang w:val="en-US" w:eastAsia="es-AR"/>
    </w:rPr>
  </w:style>
  <w:style w:type="paragraph" w:customStyle="1" w:styleId="CG-DblSp05">
    <w:name w:val="CG-Dbl Sp 0.5"/>
    <w:aliases w:val="d2"/>
    <w:basedOn w:val="Normal"/>
    <w:rsid w:val="002831AB"/>
    <w:pPr>
      <w:widowControl w:val="0"/>
      <w:autoSpaceDE w:val="0"/>
      <w:autoSpaceDN w:val="0"/>
      <w:adjustRightInd w:val="0"/>
      <w:spacing w:line="480" w:lineRule="auto"/>
      <w:ind w:firstLine="720"/>
    </w:pPr>
    <w:rPr>
      <w:rFonts w:ascii="Times New Roman" w:hAnsi="Times New Roman"/>
      <w:lang w:val="en-US" w:eastAsia="es-AR"/>
    </w:rPr>
  </w:style>
  <w:style w:type="paragraph" w:customStyle="1" w:styleId="CG-DblSp1">
    <w:name w:val="CG-Dbl Sp 1"/>
    <w:aliases w:val="d3"/>
    <w:basedOn w:val="Normal"/>
    <w:rsid w:val="002831AB"/>
    <w:pPr>
      <w:widowControl w:val="0"/>
      <w:autoSpaceDE w:val="0"/>
      <w:autoSpaceDN w:val="0"/>
      <w:adjustRightInd w:val="0"/>
      <w:spacing w:line="480" w:lineRule="auto"/>
      <w:ind w:firstLine="1440"/>
    </w:pPr>
    <w:rPr>
      <w:rFonts w:ascii="Times New Roman" w:hAnsi="Times New Roman"/>
      <w:lang w:val="en-US" w:eastAsia="es-AR"/>
    </w:rPr>
  </w:style>
  <w:style w:type="paragraph" w:customStyle="1" w:styleId="CG-LeftInd05FL05">
    <w:name w:val="CG-Left Ind 0.5 FL 0.5"/>
    <w:aliases w:val="i2"/>
    <w:basedOn w:val="Normal"/>
    <w:rsid w:val="002831AB"/>
    <w:pPr>
      <w:widowControl w:val="0"/>
      <w:autoSpaceDE w:val="0"/>
      <w:autoSpaceDN w:val="0"/>
      <w:adjustRightInd w:val="0"/>
      <w:spacing w:after="240"/>
      <w:ind w:left="720" w:firstLine="720"/>
    </w:pPr>
    <w:rPr>
      <w:rFonts w:ascii="Times New Roman" w:hAnsi="Times New Roman"/>
      <w:lang w:val="en-US" w:eastAsia="es-AR"/>
    </w:rPr>
  </w:style>
  <w:style w:type="paragraph" w:customStyle="1" w:styleId="CG-LeftInd1">
    <w:name w:val="CG-Left Ind 1"/>
    <w:aliases w:val="i3"/>
    <w:basedOn w:val="Normal"/>
    <w:rsid w:val="002831AB"/>
    <w:pPr>
      <w:widowControl w:val="0"/>
      <w:autoSpaceDE w:val="0"/>
      <w:autoSpaceDN w:val="0"/>
      <w:adjustRightInd w:val="0"/>
      <w:spacing w:after="240"/>
      <w:ind w:left="1440" w:hanging="720"/>
    </w:pPr>
    <w:rPr>
      <w:rFonts w:ascii="Times New Roman" w:hAnsi="Times New Roman"/>
      <w:lang w:val="en-US" w:eastAsia="es-AR"/>
    </w:rPr>
  </w:style>
  <w:style w:type="paragraph" w:customStyle="1" w:styleId="CG-NumberA">
    <w:name w:val="CG-Number A"/>
    <w:aliases w:val="n1,Num1"/>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CG-Numberl">
    <w:name w:val="CG-Number l"/>
    <w:aliases w:val="n4,Num4"/>
    <w:basedOn w:val="Normal"/>
    <w:rsid w:val="002831AB"/>
    <w:pPr>
      <w:widowControl w:val="0"/>
      <w:autoSpaceDE w:val="0"/>
      <w:autoSpaceDN w:val="0"/>
      <w:adjustRightInd w:val="0"/>
      <w:ind w:left="1440" w:hanging="720"/>
    </w:pPr>
    <w:rPr>
      <w:rFonts w:ascii="Times New Roman" w:hAnsi="Times New Roman"/>
      <w:lang w:val="en-US" w:eastAsia="es-AR"/>
    </w:rPr>
  </w:style>
  <w:style w:type="paragraph" w:customStyle="1" w:styleId="CG-NumberL0">
    <w:name w:val="CG-Number L"/>
    <w:aliases w:val="n2,Num2"/>
    <w:basedOn w:val="Normal"/>
    <w:rsid w:val="002831AB"/>
    <w:pPr>
      <w:widowControl w:val="0"/>
      <w:autoSpaceDE w:val="0"/>
      <w:autoSpaceDN w:val="0"/>
      <w:adjustRightInd w:val="0"/>
      <w:ind w:left="1440" w:hanging="720"/>
    </w:pPr>
    <w:rPr>
      <w:rFonts w:ascii="Times New Roman" w:hAnsi="Times New Roman"/>
      <w:lang w:val="en-US" w:eastAsia="es-AR"/>
    </w:rPr>
  </w:style>
  <w:style w:type="paragraph" w:customStyle="1" w:styleId="CG-Numberr">
    <w:name w:val="CG-Number r"/>
    <w:aliases w:val="n5,num5"/>
    <w:basedOn w:val="Normal"/>
    <w:rsid w:val="002831AB"/>
    <w:pPr>
      <w:widowControl w:val="0"/>
      <w:autoSpaceDE w:val="0"/>
      <w:autoSpaceDN w:val="0"/>
      <w:adjustRightInd w:val="0"/>
      <w:ind w:hanging="720"/>
    </w:pPr>
    <w:rPr>
      <w:rFonts w:ascii="Times New Roman" w:hAnsi="Times New Roman"/>
      <w:lang w:val="en-US" w:eastAsia="es-AR"/>
    </w:rPr>
  </w:style>
  <w:style w:type="paragraph" w:customStyle="1" w:styleId="CG-NumberR0">
    <w:name w:val="CG-Number R"/>
    <w:aliases w:val="n3,Num3"/>
    <w:basedOn w:val="Normal"/>
    <w:rsid w:val="002831AB"/>
    <w:pPr>
      <w:widowControl w:val="0"/>
      <w:autoSpaceDE w:val="0"/>
      <w:autoSpaceDN w:val="0"/>
      <w:adjustRightInd w:val="0"/>
      <w:ind w:left="1440"/>
    </w:pPr>
    <w:rPr>
      <w:rFonts w:ascii="Times New Roman" w:hAnsi="Times New Roman"/>
      <w:lang w:val="en-US" w:eastAsia="es-AR"/>
    </w:rPr>
  </w:style>
  <w:style w:type="paragraph" w:customStyle="1" w:styleId="CG-OneandOne-Half1">
    <w:name w:val="CG-One and One-Half 1"/>
    <w:aliases w:val="o1"/>
    <w:basedOn w:val="Normal"/>
    <w:rsid w:val="002831AB"/>
    <w:pPr>
      <w:widowControl w:val="0"/>
      <w:autoSpaceDE w:val="0"/>
      <w:autoSpaceDN w:val="0"/>
      <w:adjustRightInd w:val="0"/>
      <w:spacing w:after="120" w:line="360" w:lineRule="auto"/>
      <w:ind w:firstLine="1440"/>
    </w:pPr>
    <w:rPr>
      <w:rFonts w:ascii="Times New Roman" w:hAnsi="Times New Roman"/>
      <w:lang w:val="en-US" w:eastAsia="es-AR"/>
    </w:rPr>
  </w:style>
  <w:style w:type="paragraph" w:customStyle="1" w:styleId="CG-Sig">
    <w:name w:val="CG-Sig"/>
    <w:aliases w:val="sg1"/>
    <w:basedOn w:val="Normal"/>
    <w:rsid w:val="002831AB"/>
    <w:pPr>
      <w:keepLines/>
      <w:widowControl w:val="0"/>
      <w:tabs>
        <w:tab w:val="left" w:pos="5400"/>
        <w:tab w:val="left" w:pos="8640"/>
      </w:tabs>
      <w:autoSpaceDE w:val="0"/>
      <w:autoSpaceDN w:val="0"/>
      <w:adjustRightInd w:val="0"/>
      <w:spacing w:after="480"/>
      <w:ind w:left="5400" w:hanging="360"/>
    </w:pPr>
    <w:rPr>
      <w:rFonts w:ascii="Times New Roman" w:hAnsi="Times New Roman"/>
      <w:lang w:val="en-US" w:eastAsia="es-AR"/>
    </w:rPr>
  </w:style>
  <w:style w:type="paragraph" w:customStyle="1" w:styleId="CG-SigLeft">
    <w:name w:val="CG-Sig Left"/>
    <w:aliases w:val="sg3"/>
    <w:basedOn w:val="Normal"/>
    <w:rsid w:val="002831AB"/>
    <w:pPr>
      <w:keepLines/>
      <w:widowControl w:val="0"/>
      <w:tabs>
        <w:tab w:val="left" w:pos="360"/>
        <w:tab w:val="left" w:pos="4050"/>
      </w:tabs>
      <w:autoSpaceDE w:val="0"/>
      <w:autoSpaceDN w:val="0"/>
      <w:adjustRightInd w:val="0"/>
      <w:spacing w:after="480"/>
      <w:ind w:left="360" w:hanging="360"/>
    </w:pPr>
    <w:rPr>
      <w:rFonts w:ascii="Times New Roman" w:hAnsi="Times New Roman"/>
      <w:lang w:val="en-US" w:eastAsia="es-AR"/>
    </w:rPr>
  </w:style>
  <w:style w:type="paragraph" w:customStyle="1" w:styleId="CG-SigLtr">
    <w:name w:val="CG-Sig Ltr"/>
    <w:aliases w:val="sg2"/>
    <w:basedOn w:val="Normal"/>
    <w:rsid w:val="002831AB"/>
    <w:pPr>
      <w:keepNext/>
      <w:widowControl w:val="0"/>
      <w:autoSpaceDE w:val="0"/>
      <w:autoSpaceDN w:val="0"/>
      <w:adjustRightInd w:val="0"/>
      <w:spacing w:after="720"/>
      <w:ind w:left="5040"/>
    </w:pPr>
    <w:rPr>
      <w:rFonts w:ascii="Times New Roman" w:hAnsi="Times New Roman"/>
      <w:lang w:val="en-US" w:eastAsia="es-AR"/>
    </w:rPr>
  </w:style>
  <w:style w:type="paragraph" w:customStyle="1" w:styleId="CG-SingleSp1">
    <w:name w:val="CG-Single Sp 1"/>
    <w:aliases w:val="s3"/>
    <w:basedOn w:val="Normal"/>
    <w:rsid w:val="002831AB"/>
    <w:pPr>
      <w:widowControl w:val="0"/>
      <w:autoSpaceDE w:val="0"/>
      <w:autoSpaceDN w:val="0"/>
      <w:adjustRightInd w:val="0"/>
      <w:spacing w:after="240"/>
      <w:ind w:firstLine="1440"/>
    </w:pPr>
    <w:rPr>
      <w:rFonts w:ascii="Times New Roman" w:hAnsi="Times New Roman"/>
      <w:lang w:val="en-US" w:eastAsia="es-AR"/>
    </w:rPr>
  </w:style>
  <w:style w:type="paragraph" w:customStyle="1" w:styleId="CG-Title-Center-Underscore">
    <w:name w:val="CG-Title-Center-Underscore"/>
    <w:aliases w:val="t2"/>
    <w:basedOn w:val="Normal"/>
    <w:next w:val="CG-SingleSp1"/>
    <w:rsid w:val="002831AB"/>
    <w:pPr>
      <w:keepNext/>
      <w:widowControl w:val="0"/>
      <w:autoSpaceDE w:val="0"/>
      <w:autoSpaceDN w:val="0"/>
      <w:adjustRightInd w:val="0"/>
      <w:spacing w:after="240"/>
      <w:jc w:val="center"/>
    </w:pPr>
    <w:rPr>
      <w:rFonts w:ascii="Times New Roman" w:hAnsi="Times New Roman"/>
      <w:u w:val="single"/>
      <w:lang w:val="en-US" w:eastAsia="es-AR"/>
    </w:rPr>
  </w:style>
  <w:style w:type="paragraph" w:customStyle="1" w:styleId="CG-Title-Left-Italic">
    <w:name w:val="CG-Title-Left-Italic"/>
    <w:aliases w:val="t6,t8"/>
    <w:basedOn w:val="Normal"/>
    <w:next w:val="Normal"/>
    <w:rsid w:val="002831AB"/>
    <w:pPr>
      <w:keepNext/>
      <w:widowControl w:val="0"/>
      <w:autoSpaceDE w:val="0"/>
      <w:autoSpaceDN w:val="0"/>
      <w:adjustRightInd w:val="0"/>
      <w:spacing w:after="240"/>
      <w:ind w:left="720"/>
    </w:pPr>
    <w:rPr>
      <w:rFonts w:ascii="Times New Roman" w:hAnsi="Times New Roman"/>
      <w:i/>
      <w:iCs/>
      <w:lang w:val="en-US" w:eastAsia="es-AR"/>
    </w:rPr>
  </w:style>
  <w:style w:type="paragraph" w:customStyle="1" w:styleId="CG-Title-LeftInd-Italic">
    <w:name w:val="CG-Title-Left Ind-Italic"/>
    <w:aliases w:val="t7"/>
    <w:basedOn w:val="Normal"/>
    <w:next w:val="Normal"/>
    <w:rsid w:val="002831AB"/>
    <w:pPr>
      <w:keepNext/>
      <w:widowControl w:val="0"/>
      <w:autoSpaceDE w:val="0"/>
      <w:autoSpaceDN w:val="0"/>
      <w:adjustRightInd w:val="0"/>
      <w:spacing w:after="240"/>
      <w:ind w:firstLine="720"/>
    </w:pPr>
    <w:rPr>
      <w:rFonts w:ascii="Times New Roman" w:hAnsi="Times New Roman"/>
      <w:b/>
      <w:bCs/>
      <w:i/>
      <w:iCs/>
      <w:lang w:val="en-US" w:eastAsia="es-AR"/>
    </w:rPr>
  </w:style>
  <w:style w:type="paragraph" w:customStyle="1" w:styleId="CG-Title-Left-Underscore">
    <w:name w:val="CG-Title-Left-Underscore"/>
    <w:aliases w:val="t4"/>
    <w:basedOn w:val="Normal"/>
    <w:next w:val="CG-SingleSp1"/>
    <w:rsid w:val="002831AB"/>
    <w:pPr>
      <w:keepNext/>
      <w:widowControl w:val="0"/>
      <w:autoSpaceDE w:val="0"/>
      <w:autoSpaceDN w:val="0"/>
      <w:adjustRightInd w:val="0"/>
      <w:spacing w:after="240"/>
    </w:pPr>
    <w:rPr>
      <w:rFonts w:ascii="Times New Roman" w:hAnsi="Times New Roman"/>
      <w:u w:val="single"/>
      <w:lang w:val="en-US" w:eastAsia="es-AR"/>
    </w:rPr>
  </w:style>
  <w:style w:type="character" w:customStyle="1" w:styleId="FooterRightSideText">
    <w:name w:val="FooterRightSideText"/>
    <w:rsid w:val="002831AB"/>
    <w:rPr>
      <w:rFonts w:ascii="Times New Roman" w:hAnsi="Times New Roman"/>
      <w:spacing w:val="0"/>
      <w:sz w:val="20"/>
      <w:lang w:val="en-US" w:eastAsia="x-none"/>
    </w:rPr>
  </w:style>
  <w:style w:type="paragraph" w:customStyle="1" w:styleId="ListBulletOpenIndent">
    <w:name w:val="List Bullet Open Indent"/>
    <w:basedOn w:val="Normal"/>
    <w:rsid w:val="002831AB"/>
    <w:pPr>
      <w:widowControl w:val="0"/>
      <w:tabs>
        <w:tab w:val="num" w:pos="1080"/>
      </w:tabs>
      <w:autoSpaceDE w:val="0"/>
      <w:autoSpaceDN w:val="0"/>
      <w:adjustRightInd w:val="0"/>
      <w:spacing w:after="240"/>
      <w:ind w:left="1080" w:hanging="360"/>
      <w:jc w:val="both"/>
    </w:pPr>
    <w:rPr>
      <w:rFonts w:ascii="Times New Roman" w:hAnsi="Times New Roman"/>
      <w:lang w:val="en-US" w:eastAsia="es-AR"/>
    </w:rPr>
  </w:style>
  <w:style w:type="paragraph" w:customStyle="1" w:styleId="TableBullet1">
    <w:name w:val="Table Bullet 1"/>
    <w:basedOn w:val="Normal"/>
    <w:rsid w:val="002831AB"/>
    <w:pPr>
      <w:widowControl w:val="0"/>
      <w:autoSpaceDE w:val="0"/>
      <w:autoSpaceDN w:val="0"/>
      <w:adjustRightInd w:val="0"/>
      <w:spacing w:after="60"/>
    </w:pPr>
    <w:rPr>
      <w:rFonts w:ascii="Times New Roman" w:hAnsi="Times New Roman"/>
      <w:lang w:val="en-US" w:eastAsia="es-AR"/>
    </w:rPr>
  </w:style>
  <w:style w:type="paragraph" w:customStyle="1" w:styleId="LeftHeadItal">
    <w:name w:val="Left Head Ital"/>
    <w:rsid w:val="002831AB"/>
    <w:pPr>
      <w:keepNext/>
      <w:widowControl w:val="0"/>
      <w:autoSpaceDE w:val="0"/>
      <w:autoSpaceDN w:val="0"/>
      <w:adjustRightInd w:val="0"/>
      <w:spacing w:after="240"/>
    </w:pPr>
    <w:rPr>
      <w:rFonts w:ascii="Times New Roman" w:hAnsi="Times New Roman"/>
      <w:b/>
      <w:bCs/>
      <w:i/>
      <w:iCs/>
      <w:lang w:val="en-US"/>
    </w:rPr>
  </w:style>
  <w:style w:type="paragraph" w:customStyle="1" w:styleId="SingleSpace">
    <w:name w:val="Single Space"/>
    <w:basedOn w:val="Normal"/>
    <w:rsid w:val="002831AB"/>
    <w:pPr>
      <w:widowControl w:val="0"/>
      <w:autoSpaceDE w:val="0"/>
      <w:autoSpaceDN w:val="0"/>
      <w:adjustRightInd w:val="0"/>
      <w:spacing w:after="240"/>
      <w:ind w:firstLine="1440"/>
      <w:jc w:val="both"/>
    </w:pPr>
    <w:rPr>
      <w:rFonts w:ascii="Times New Roman" w:hAnsi="Times New Roman"/>
      <w:lang w:val="en-US" w:eastAsia="es-AR"/>
    </w:rPr>
  </w:style>
  <w:style w:type="paragraph" w:customStyle="1" w:styleId="Hanging1">
    <w:name w:val="Hanging 1"/>
    <w:basedOn w:val="CG-LeftInd1"/>
    <w:rsid w:val="002831AB"/>
    <w:pPr>
      <w:ind w:left="2160"/>
    </w:pPr>
  </w:style>
  <w:style w:type="paragraph" w:customStyle="1" w:styleId="Bullet15">
    <w:name w:val="Bullet 1.5"/>
    <w:aliases w:val="b15"/>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5bullet">
    <w:name w:val=".5&quot; bullet"/>
    <w:basedOn w:val="Normal"/>
    <w:rsid w:val="002831AB"/>
    <w:pPr>
      <w:widowControl w:val="0"/>
      <w:autoSpaceDE w:val="0"/>
      <w:autoSpaceDN w:val="0"/>
      <w:adjustRightInd w:val="0"/>
    </w:pPr>
    <w:rPr>
      <w:rFonts w:ascii="Times New Roman" w:hAnsi="Times New Roman"/>
      <w:lang w:val="en-US" w:eastAsia="es-AR"/>
    </w:rPr>
  </w:style>
  <w:style w:type="paragraph" w:customStyle="1" w:styleId="05bullet">
    <w:name w:val="0.5&quot; bullet"/>
    <w:basedOn w:val="Normal"/>
    <w:rsid w:val="002831AB"/>
    <w:pPr>
      <w:widowControl w:val="0"/>
      <w:autoSpaceDE w:val="0"/>
      <w:autoSpaceDN w:val="0"/>
      <w:adjustRightInd w:val="0"/>
    </w:pPr>
    <w:rPr>
      <w:rFonts w:ascii="Times New Roman" w:hAnsi="Times New Roman"/>
      <w:lang w:val="en-US" w:eastAsia="es-AR"/>
    </w:rPr>
  </w:style>
  <w:style w:type="paragraph" w:customStyle="1" w:styleId="STBBulletDash">
    <w:name w:val="STB Bullet Dash"/>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HeaderLandscape">
    <w:name w:val="Header Landscape*"/>
    <w:basedOn w:val="Normal"/>
    <w:rsid w:val="002831AB"/>
    <w:pPr>
      <w:widowControl w:val="0"/>
      <w:tabs>
        <w:tab w:val="left" w:pos="0"/>
        <w:tab w:val="center" w:pos="7344"/>
        <w:tab w:val="right" w:pos="14715"/>
      </w:tabs>
      <w:autoSpaceDE w:val="0"/>
      <w:autoSpaceDN w:val="0"/>
      <w:adjustRightInd w:val="0"/>
    </w:pPr>
    <w:rPr>
      <w:rFonts w:ascii="Times New Roman" w:hAnsi="Times New Roman"/>
      <w:lang w:val="en-US" w:eastAsia="es-AR"/>
    </w:rPr>
  </w:style>
  <w:style w:type="paragraph" w:customStyle="1" w:styleId="bullet50">
    <w:name w:val="bullet.5"/>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a0">
    <w:name w:val="(a)"/>
    <w:basedOn w:val="Normal"/>
    <w:rsid w:val="002831AB"/>
    <w:pPr>
      <w:widowControl w:val="0"/>
      <w:autoSpaceDE w:val="0"/>
      <w:autoSpaceDN w:val="0"/>
      <w:adjustRightInd w:val="0"/>
      <w:spacing w:after="240"/>
      <w:ind w:left="1440" w:hanging="720"/>
    </w:pPr>
    <w:rPr>
      <w:rFonts w:ascii="Times New Roman" w:hAnsi="Times New Roman"/>
      <w:i/>
      <w:iCs/>
      <w:lang w:val="en-US" w:eastAsia="es-AR"/>
    </w:rPr>
  </w:style>
  <w:style w:type="paragraph" w:customStyle="1" w:styleId="1stlineone">
    <w:name w:val="1st line one"/>
    <w:basedOn w:val="Normal"/>
    <w:rsid w:val="002831AB"/>
    <w:pPr>
      <w:widowControl w:val="0"/>
      <w:autoSpaceDE w:val="0"/>
      <w:autoSpaceDN w:val="0"/>
      <w:adjustRightInd w:val="0"/>
      <w:spacing w:after="240"/>
      <w:ind w:left="1440"/>
    </w:pPr>
    <w:rPr>
      <w:rFonts w:ascii="Times New Roman" w:hAnsi="Times New Roman"/>
      <w:u w:val="single"/>
      <w:lang w:val="en-US" w:eastAsia="es-AR"/>
    </w:rPr>
  </w:style>
  <w:style w:type="paragraph" w:customStyle="1" w:styleId="tt3">
    <w:name w:val="tt3"/>
    <w:basedOn w:val="CG-SingleSp052"/>
    <w:rsid w:val="002831AB"/>
  </w:style>
  <w:style w:type="paragraph" w:customStyle="1" w:styleId="CG-dot">
    <w:name w:val="CG-dot"/>
    <w:aliases w:val="dt"/>
    <w:basedOn w:val="Normal"/>
    <w:rsid w:val="002831AB"/>
    <w:pPr>
      <w:widowControl w:val="0"/>
      <w:autoSpaceDE w:val="0"/>
      <w:autoSpaceDN w:val="0"/>
      <w:adjustRightInd w:val="0"/>
      <w:spacing w:after="240"/>
      <w:ind w:left="1440" w:hanging="720"/>
    </w:pPr>
    <w:rPr>
      <w:rFonts w:ascii="Times New Roman" w:hAnsi="Times New Roman"/>
      <w:lang w:val="en-US" w:eastAsia="es-AR"/>
    </w:rPr>
  </w:style>
  <w:style w:type="paragraph" w:customStyle="1" w:styleId="Bullet3">
    <w:name w:val="Bullet 3"/>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Number3">
    <w:name w:val="Number 3"/>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TableHead9">
    <w:name w:val="Table Head9"/>
    <w:basedOn w:val="Normal"/>
    <w:rsid w:val="002831AB"/>
    <w:pPr>
      <w:widowControl w:val="0"/>
      <w:tabs>
        <w:tab w:val="right" w:leader="dot" w:pos="5310"/>
      </w:tabs>
      <w:autoSpaceDE w:val="0"/>
      <w:autoSpaceDN w:val="0"/>
      <w:adjustRightInd w:val="0"/>
      <w:jc w:val="center"/>
    </w:pPr>
    <w:rPr>
      <w:rFonts w:ascii="Times New Roman" w:hAnsi="Times New Roman"/>
      <w:b/>
      <w:bCs/>
      <w:sz w:val="18"/>
      <w:szCs w:val="18"/>
      <w:lang w:val="en-US" w:eastAsia="es-AR"/>
    </w:rPr>
  </w:style>
  <w:style w:type="paragraph" w:customStyle="1" w:styleId="Tablehead10">
    <w:name w:val="Table head 10"/>
    <w:basedOn w:val="Normal"/>
    <w:rsid w:val="002831AB"/>
    <w:pPr>
      <w:widowControl w:val="0"/>
      <w:tabs>
        <w:tab w:val="right" w:leader="dot" w:pos="5310"/>
      </w:tabs>
      <w:autoSpaceDE w:val="0"/>
      <w:autoSpaceDN w:val="0"/>
      <w:adjustRightInd w:val="0"/>
      <w:jc w:val="center"/>
    </w:pPr>
    <w:rPr>
      <w:rFonts w:ascii="Times New Roman" w:hAnsi="Times New Roman"/>
      <w:b/>
      <w:bCs/>
      <w:lang w:val="en-US" w:eastAsia="es-AR"/>
    </w:rPr>
  </w:style>
  <w:style w:type="paragraph" w:customStyle="1" w:styleId="Table4">
    <w:name w:val="Table 4"/>
    <w:basedOn w:val="Normal"/>
    <w:rsid w:val="002831AB"/>
    <w:pPr>
      <w:widowControl w:val="0"/>
      <w:tabs>
        <w:tab w:val="right" w:leader="dot" w:pos="5310"/>
      </w:tabs>
      <w:autoSpaceDE w:val="0"/>
      <w:autoSpaceDN w:val="0"/>
      <w:adjustRightInd w:val="0"/>
    </w:pPr>
    <w:rPr>
      <w:rFonts w:ascii="Times New Roman" w:hAnsi="Times New Roman"/>
      <w:sz w:val="8"/>
      <w:szCs w:val="8"/>
      <w:lang w:val="en-US" w:eastAsia="es-AR"/>
    </w:rPr>
  </w:style>
  <w:style w:type="paragraph" w:customStyle="1" w:styleId="lgdash-1">
    <w:name w:val="lgdash-1"/>
    <w:basedOn w:val="Normal"/>
    <w:rsid w:val="002831AB"/>
    <w:pPr>
      <w:widowControl w:val="0"/>
      <w:autoSpaceDE w:val="0"/>
      <w:autoSpaceDN w:val="0"/>
      <w:adjustRightInd w:val="0"/>
      <w:jc w:val="both"/>
    </w:pPr>
    <w:rPr>
      <w:rFonts w:ascii="Times New Roman" w:hAnsi="Times New Roman"/>
      <w:lang w:val="en-US" w:eastAsia="es-AR"/>
    </w:rPr>
  </w:style>
  <w:style w:type="paragraph" w:customStyle="1" w:styleId="Table8-8">
    <w:name w:val="Table 8-8"/>
    <w:basedOn w:val="Normal"/>
    <w:rsid w:val="002831AB"/>
    <w:pPr>
      <w:widowControl w:val="0"/>
      <w:tabs>
        <w:tab w:val="right" w:leader="dot" w:pos="5670"/>
      </w:tabs>
      <w:autoSpaceDE w:val="0"/>
      <w:autoSpaceDN w:val="0"/>
      <w:adjustRightInd w:val="0"/>
      <w:ind w:left="676"/>
    </w:pPr>
    <w:rPr>
      <w:rFonts w:ascii="Times New Roman" w:hAnsi="Times New Roman"/>
      <w:sz w:val="16"/>
      <w:szCs w:val="16"/>
      <w:lang w:val="en-US" w:eastAsia="es-AR"/>
    </w:rPr>
  </w:style>
  <w:style w:type="paragraph" w:customStyle="1" w:styleId="TextIndent2">
    <w:name w:val="Text Indent 2"/>
    <w:basedOn w:val="Normal"/>
    <w:rsid w:val="002831AB"/>
    <w:pPr>
      <w:widowControl w:val="0"/>
      <w:autoSpaceDE w:val="0"/>
      <w:autoSpaceDN w:val="0"/>
      <w:adjustRightInd w:val="0"/>
      <w:ind w:left="2088"/>
      <w:jc w:val="both"/>
    </w:pPr>
    <w:rPr>
      <w:rFonts w:ascii="Times New Roman" w:hAnsi="Times New Roman"/>
      <w:lang w:val="en-US" w:eastAsia="es-AR"/>
    </w:rPr>
  </w:style>
  <w:style w:type="paragraph" w:customStyle="1" w:styleId="lgdash2">
    <w:name w:val="lgdash2"/>
    <w:basedOn w:val="Normal"/>
    <w:rsid w:val="002831AB"/>
    <w:pPr>
      <w:widowControl w:val="0"/>
      <w:autoSpaceDE w:val="0"/>
      <w:autoSpaceDN w:val="0"/>
      <w:adjustRightInd w:val="0"/>
      <w:jc w:val="both"/>
    </w:pPr>
    <w:rPr>
      <w:rFonts w:ascii="Times New Roman" w:hAnsi="Times New Roman"/>
      <w:lang w:val="en-US" w:eastAsia="es-AR"/>
    </w:rPr>
  </w:style>
  <w:style w:type="paragraph" w:customStyle="1" w:styleId="Number2">
    <w:name w:val="Number 2"/>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dashpg8">
    <w:name w:val="dash pg8"/>
    <w:basedOn w:val="Normal"/>
    <w:rsid w:val="002831AB"/>
    <w:pPr>
      <w:widowControl w:val="0"/>
      <w:autoSpaceDE w:val="0"/>
      <w:autoSpaceDN w:val="0"/>
      <w:adjustRightInd w:val="0"/>
    </w:pPr>
    <w:rPr>
      <w:rFonts w:ascii="Times New Roman" w:hAnsi="Times New Roman"/>
      <w:lang w:val="en-US" w:eastAsia="es-AR"/>
    </w:rPr>
  </w:style>
  <w:style w:type="paragraph" w:customStyle="1" w:styleId="2ndLNp57">
    <w:name w:val="2nd LN p.57"/>
    <w:basedOn w:val="Normal"/>
    <w:rsid w:val="002831AB"/>
    <w:pPr>
      <w:widowControl w:val="0"/>
      <w:autoSpaceDE w:val="0"/>
      <w:autoSpaceDN w:val="0"/>
      <w:adjustRightInd w:val="0"/>
      <w:ind w:left="129"/>
    </w:pPr>
    <w:rPr>
      <w:rFonts w:ascii="Times New Roman" w:hAnsi="Times New Roman"/>
      <w:sz w:val="16"/>
      <w:szCs w:val="16"/>
      <w:lang w:val="en-US" w:eastAsia="es-AR"/>
    </w:rPr>
  </w:style>
  <w:style w:type="paragraph" w:customStyle="1" w:styleId="dash2ndline">
    <w:name w:val="dash 2nd line"/>
    <w:basedOn w:val="Normal"/>
    <w:rsid w:val="002831AB"/>
    <w:pPr>
      <w:widowControl w:val="0"/>
      <w:autoSpaceDE w:val="0"/>
      <w:autoSpaceDN w:val="0"/>
      <w:adjustRightInd w:val="0"/>
      <w:ind w:left="273"/>
    </w:pPr>
    <w:rPr>
      <w:rFonts w:ascii="Times New Roman" w:hAnsi="Times New Roman"/>
      <w:sz w:val="16"/>
      <w:szCs w:val="16"/>
      <w:lang w:val="en-US" w:eastAsia="es-AR"/>
    </w:rPr>
  </w:style>
  <w:style w:type="paragraph" w:customStyle="1" w:styleId="Pg57dash">
    <w:name w:val="Pg 57 dash"/>
    <w:basedOn w:val="Normal"/>
    <w:rsid w:val="002831AB"/>
    <w:pPr>
      <w:widowControl w:val="0"/>
      <w:autoSpaceDE w:val="0"/>
      <w:autoSpaceDN w:val="0"/>
      <w:adjustRightInd w:val="0"/>
    </w:pPr>
    <w:rPr>
      <w:rFonts w:ascii="Times New Roman" w:hAnsi="Times New Roman"/>
      <w:sz w:val="16"/>
      <w:szCs w:val="16"/>
      <w:lang w:val="en-US" w:eastAsia="es-AR"/>
    </w:rPr>
  </w:style>
  <w:style w:type="paragraph" w:customStyle="1" w:styleId="Page57TB9">
    <w:name w:val="Page 57 TB 9"/>
    <w:basedOn w:val="Normal"/>
    <w:rsid w:val="002831AB"/>
    <w:pPr>
      <w:widowControl w:val="0"/>
      <w:tabs>
        <w:tab w:val="right" w:leader="dot" w:pos="5310"/>
      </w:tabs>
      <w:autoSpaceDE w:val="0"/>
      <w:autoSpaceDN w:val="0"/>
      <w:adjustRightInd w:val="0"/>
    </w:pPr>
    <w:rPr>
      <w:rFonts w:ascii="Times New Roman" w:hAnsi="Times New Roman"/>
      <w:sz w:val="18"/>
      <w:szCs w:val="18"/>
      <w:lang w:val="en-US" w:eastAsia="es-AR"/>
    </w:rPr>
  </w:style>
  <w:style w:type="paragraph" w:customStyle="1" w:styleId="10-4">
    <w:name w:val="10-4"/>
    <w:basedOn w:val="Normal"/>
    <w:rsid w:val="002831AB"/>
    <w:pPr>
      <w:widowControl w:val="0"/>
      <w:tabs>
        <w:tab w:val="right" w:leader="dot" w:pos="5310"/>
      </w:tabs>
      <w:autoSpaceDE w:val="0"/>
      <w:autoSpaceDN w:val="0"/>
      <w:adjustRightInd w:val="0"/>
      <w:ind w:left="388"/>
    </w:pPr>
    <w:rPr>
      <w:rFonts w:ascii="Times New Roman" w:hAnsi="Times New Roman"/>
      <w:lang w:val="en-US" w:eastAsia="es-AR"/>
    </w:rPr>
  </w:style>
  <w:style w:type="paragraph" w:customStyle="1" w:styleId="statusline">
    <w:name w:val="status line"/>
    <w:basedOn w:val="Normal"/>
    <w:rsid w:val="002831AB"/>
    <w:pPr>
      <w:widowControl w:val="0"/>
      <w:autoSpaceDE w:val="0"/>
      <w:autoSpaceDN w:val="0"/>
      <w:adjustRightInd w:val="0"/>
    </w:pPr>
    <w:rPr>
      <w:rFonts w:ascii="Times New Roman" w:hAnsi="Times New Roman"/>
      <w:sz w:val="14"/>
      <w:szCs w:val="14"/>
      <w:lang w:val="en-US" w:eastAsia="es-AR"/>
    </w:rPr>
  </w:style>
  <w:style w:type="paragraph" w:customStyle="1" w:styleId="TextIndent">
    <w:name w:val="Text Indent"/>
    <w:basedOn w:val="Normal"/>
    <w:rsid w:val="002831AB"/>
    <w:pPr>
      <w:widowControl w:val="0"/>
      <w:autoSpaceDE w:val="0"/>
      <w:autoSpaceDN w:val="0"/>
      <w:adjustRightInd w:val="0"/>
      <w:ind w:left="432" w:firstLine="432"/>
      <w:jc w:val="both"/>
    </w:pPr>
    <w:rPr>
      <w:rFonts w:ascii="Times New Roman" w:hAnsi="Times New Roman"/>
      <w:lang w:val="en-US" w:eastAsia="es-AR"/>
    </w:rPr>
  </w:style>
  <w:style w:type="paragraph" w:customStyle="1" w:styleId="Smalldash">
    <w:name w:val="Small dash"/>
    <w:basedOn w:val="Normal"/>
    <w:rsid w:val="002831AB"/>
    <w:pPr>
      <w:widowControl w:val="0"/>
      <w:autoSpaceDE w:val="0"/>
      <w:autoSpaceDN w:val="0"/>
      <w:adjustRightInd w:val="0"/>
    </w:pPr>
    <w:rPr>
      <w:rFonts w:ascii="Times New Roman" w:hAnsi="Times New Roman"/>
      <w:lang w:val="en-US" w:eastAsia="es-AR"/>
    </w:rPr>
  </w:style>
  <w:style w:type="paragraph" w:customStyle="1" w:styleId="Table2">
    <w:name w:val="Table2"/>
    <w:basedOn w:val="Normal"/>
    <w:rsid w:val="002831AB"/>
    <w:pPr>
      <w:widowControl w:val="0"/>
      <w:tabs>
        <w:tab w:val="right" w:leader="dot" w:pos="5310"/>
      </w:tabs>
      <w:autoSpaceDE w:val="0"/>
      <w:autoSpaceDN w:val="0"/>
      <w:adjustRightInd w:val="0"/>
    </w:pPr>
    <w:rPr>
      <w:rFonts w:ascii="Times New Roman" w:hAnsi="Times New Roman"/>
      <w:lang w:val="en-US" w:eastAsia="es-AR"/>
    </w:rPr>
  </w:style>
  <w:style w:type="paragraph" w:customStyle="1" w:styleId="Bullet2">
    <w:name w:val="Bullet 2"/>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table20">
    <w:name w:val="table 2"/>
    <w:basedOn w:val="Normal"/>
    <w:rsid w:val="002831AB"/>
    <w:pPr>
      <w:widowControl w:val="0"/>
      <w:tabs>
        <w:tab w:val="right" w:leader="dot" w:pos="5310"/>
      </w:tabs>
      <w:autoSpaceDE w:val="0"/>
      <w:autoSpaceDN w:val="0"/>
      <w:adjustRightInd w:val="0"/>
      <w:ind w:left="43"/>
    </w:pPr>
    <w:rPr>
      <w:rFonts w:ascii="Times New Roman" w:hAnsi="Times New Roman"/>
      <w:lang w:val="en-US" w:eastAsia="es-AR"/>
    </w:rPr>
  </w:style>
  <w:style w:type="paragraph" w:customStyle="1" w:styleId="TableDash">
    <w:name w:val="Table Dash"/>
    <w:basedOn w:val="Normal"/>
    <w:rsid w:val="002831AB"/>
    <w:pPr>
      <w:widowControl w:val="0"/>
      <w:autoSpaceDE w:val="0"/>
      <w:autoSpaceDN w:val="0"/>
      <w:adjustRightInd w:val="0"/>
    </w:pPr>
    <w:rPr>
      <w:rFonts w:ascii="Times New Roman" w:hAnsi="Times New Roman"/>
      <w:lang w:val="en-US" w:eastAsia="es-AR"/>
    </w:rPr>
  </w:style>
  <w:style w:type="paragraph" w:customStyle="1" w:styleId="indexindent">
    <w:name w:val="index indent"/>
    <w:basedOn w:val="Normal"/>
    <w:rsid w:val="002831AB"/>
    <w:pPr>
      <w:widowControl w:val="0"/>
      <w:autoSpaceDE w:val="0"/>
      <w:autoSpaceDN w:val="0"/>
      <w:adjustRightInd w:val="0"/>
      <w:ind w:left="273"/>
    </w:pPr>
    <w:rPr>
      <w:rFonts w:ascii="Times New Roman" w:hAnsi="Times New Roman"/>
      <w:lang w:val="en-US" w:eastAsia="es-AR"/>
    </w:rPr>
  </w:style>
  <w:style w:type="paragraph" w:customStyle="1" w:styleId="tabletxt-4">
    <w:name w:val="table txt-4"/>
    <w:basedOn w:val="Normal"/>
    <w:rsid w:val="002831AB"/>
    <w:pPr>
      <w:widowControl w:val="0"/>
      <w:tabs>
        <w:tab w:val="right" w:leader="dot" w:pos="5310"/>
      </w:tabs>
      <w:autoSpaceDE w:val="0"/>
      <w:autoSpaceDN w:val="0"/>
      <w:adjustRightInd w:val="0"/>
      <w:ind w:left="273"/>
    </w:pPr>
    <w:rPr>
      <w:rFonts w:ascii="Times New Roman" w:hAnsi="Times New Roman"/>
      <w:sz w:val="16"/>
      <w:szCs w:val="16"/>
      <w:lang w:val="en-US" w:eastAsia="es-AR"/>
    </w:rPr>
  </w:style>
  <w:style w:type="paragraph" w:customStyle="1" w:styleId="tabletxt-2">
    <w:name w:val="table txt-2"/>
    <w:basedOn w:val="Normal"/>
    <w:rsid w:val="002831AB"/>
    <w:pPr>
      <w:widowControl w:val="0"/>
      <w:tabs>
        <w:tab w:val="right" w:leader="dot" w:pos="5310"/>
      </w:tabs>
      <w:autoSpaceDE w:val="0"/>
      <w:autoSpaceDN w:val="0"/>
      <w:adjustRightInd w:val="0"/>
      <w:ind w:left="172"/>
    </w:pPr>
    <w:rPr>
      <w:rFonts w:ascii="Times New Roman" w:hAnsi="Times New Roman"/>
      <w:sz w:val="16"/>
      <w:szCs w:val="16"/>
      <w:lang w:val="en-US" w:eastAsia="es-AR"/>
    </w:rPr>
  </w:style>
  <w:style w:type="paragraph" w:customStyle="1" w:styleId="noteno1">
    <w:name w:val="noteno1"/>
    <w:basedOn w:val="Normal"/>
    <w:rsid w:val="002831AB"/>
    <w:pPr>
      <w:widowControl w:val="0"/>
      <w:autoSpaceDE w:val="0"/>
      <w:autoSpaceDN w:val="0"/>
      <w:adjustRightInd w:val="0"/>
      <w:spacing w:after="144"/>
      <w:jc w:val="both"/>
    </w:pPr>
    <w:rPr>
      <w:rFonts w:ascii="Times New Roman" w:hAnsi="Times New Roman"/>
      <w:b/>
      <w:bCs/>
      <w:lang w:val="en-US" w:eastAsia="es-AR"/>
    </w:rPr>
  </w:style>
  <w:style w:type="paragraph" w:customStyle="1" w:styleId="lgdash">
    <w:name w:val="lgdash"/>
    <w:basedOn w:val="Normal"/>
    <w:rsid w:val="002831AB"/>
    <w:pPr>
      <w:widowControl w:val="0"/>
      <w:autoSpaceDE w:val="0"/>
      <w:autoSpaceDN w:val="0"/>
      <w:adjustRightInd w:val="0"/>
      <w:spacing w:after="144"/>
      <w:jc w:val="both"/>
    </w:pPr>
    <w:rPr>
      <w:rFonts w:ascii="Times New Roman" w:hAnsi="Times New Roman"/>
      <w:lang w:val="en-US" w:eastAsia="es-AR"/>
    </w:rPr>
  </w:style>
  <w:style w:type="paragraph" w:customStyle="1" w:styleId="Dash">
    <w:name w:val="Dash"/>
    <w:basedOn w:val="Normal"/>
    <w:rsid w:val="002831AB"/>
    <w:pPr>
      <w:widowControl w:val="0"/>
      <w:autoSpaceDE w:val="0"/>
      <w:autoSpaceDN w:val="0"/>
      <w:adjustRightInd w:val="0"/>
    </w:pPr>
    <w:rPr>
      <w:rFonts w:ascii="Times New Roman" w:hAnsi="Times New Roman"/>
      <w:lang w:val="en-US" w:eastAsia="es-AR"/>
    </w:rPr>
  </w:style>
  <w:style w:type="paragraph" w:customStyle="1" w:styleId="Header1">
    <w:name w:val="Header1"/>
    <w:basedOn w:val="Normal"/>
    <w:rsid w:val="002831AB"/>
    <w:pPr>
      <w:widowControl w:val="0"/>
      <w:autoSpaceDE w:val="0"/>
      <w:autoSpaceDN w:val="0"/>
      <w:adjustRightInd w:val="0"/>
    </w:pPr>
    <w:rPr>
      <w:rFonts w:ascii="Times New Roman" w:hAnsi="Times New Roman"/>
      <w:lang w:val="en-US" w:eastAsia="es-AR"/>
    </w:rPr>
  </w:style>
  <w:style w:type="paragraph" w:customStyle="1" w:styleId="Subhead">
    <w:name w:val="Subhead"/>
    <w:basedOn w:val="Normal"/>
    <w:rsid w:val="002831AB"/>
    <w:pPr>
      <w:widowControl w:val="0"/>
      <w:autoSpaceDE w:val="0"/>
      <w:autoSpaceDN w:val="0"/>
      <w:adjustRightInd w:val="0"/>
      <w:spacing w:before="72" w:after="72"/>
    </w:pPr>
    <w:rPr>
      <w:rFonts w:ascii="Times New Roman" w:hAnsi="Times New Roman"/>
      <w:b/>
      <w:bCs/>
      <w:i/>
      <w:iCs/>
      <w:lang w:val="en-US" w:eastAsia="es-AR"/>
    </w:rPr>
  </w:style>
  <w:style w:type="paragraph" w:customStyle="1" w:styleId="NumberList">
    <w:name w:val="Number List"/>
    <w:basedOn w:val="Normal"/>
    <w:rsid w:val="002831AB"/>
    <w:pPr>
      <w:widowControl w:val="0"/>
      <w:autoSpaceDE w:val="0"/>
      <w:autoSpaceDN w:val="0"/>
      <w:adjustRightInd w:val="0"/>
    </w:pPr>
    <w:rPr>
      <w:rFonts w:ascii="Times New Roman" w:hAnsi="Times New Roman"/>
      <w:lang w:val="en-US" w:eastAsia="es-AR"/>
    </w:rPr>
  </w:style>
  <w:style w:type="paragraph" w:customStyle="1" w:styleId="Bullet11">
    <w:name w:val="Bullet 1"/>
    <w:basedOn w:val="Normal"/>
    <w:rsid w:val="002831AB"/>
    <w:pPr>
      <w:widowControl w:val="0"/>
      <w:autoSpaceDE w:val="0"/>
      <w:autoSpaceDN w:val="0"/>
      <w:adjustRightInd w:val="0"/>
    </w:pPr>
    <w:rPr>
      <w:rFonts w:ascii="Times New Roman" w:hAnsi="Times New Roman"/>
      <w:lang w:val="en-US" w:eastAsia="es-AR"/>
    </w:rPr>
  </w:style>
  <w:style w:type="paragraph" w:customStyle="1" w:styleId="BodySingle">
    <w:name w:val="Body Single"/>
    <w:basedOn w:val="Normal"/>
    <w:qFormat/>
    <w:rsid w:val="00B86C83"/>
    <w:pPr>
      <w:widowControl w:val="0"/>
      <w:autoSpaceDE w:val="0"/>
      <w:autoSpaceDN w:val="0"/>
      <w:adjustRightInd w:val="0"/>
    </w:pPr>
    <w:rPr>
      <w:rFonts w:ascii="Times New Roman" w:hAnsi="Times New Roman"/>
      <w:lang w:val="en-US" w:eastAsia="es-AR"/>
    </w:rPr>
  </w:style>
  <w:style w:type="paragraph" w:customStyle="1" w:styleId="Footer1">
    <w:name w:val="Footer1"/>
    <w:basedOn w:val="Normal"/>
    <w:rsid w:val="002831AB"/>
    <w:pPr>
      <w:widowControl w:val="0"/>
      <w:autoSpaceDE w:val="0"/>
      <w:autoSpaceDN w:val="0"/>
      <w:adjustRightInd w:val="0"/>
      <w:spacing w:after="216"/>
    </w:pPr>
    <w:rPr>
      <w:rFonts w:ascii="Times New Roman" w:hAnsi="Times New Roman"/>
      <w:lang w:val="en-US" w:eastAsia="es-AR"/>
    </w:rPr>
  </w:style>
  <w:style w:type="paragraph" w:customStyle="1" w:styleId="table8-6">
    <w:name w:val="table 8-6"/>
    <w:basedOn w:val="Normal"/>
    <w:rsid w:val="002831AB"/>
    <w:pPr>
      <w:widowControl w:val="0"/>
      <w:tabs>
        <w:tab w:val="right" w:leader="dot" w:pos="5670"/>
      </w:tabs>
      <w:autoSpaceDE w:val="0"/>
      <w:autoSpaceDN w:val="0"/>
      <w:adjustRightInd w:val="0"/>
      <w:ind w:left="532"/>
    </w:pPr>
    <w:rPr>
      <w:rFonts w:ascii="Times New Roman" w:hAnsi="Times New Roman"/>
      <w:sz w:val="16"/>
      <w:szCs w:val="16"/>
      <w:lang w:val="en-US" w:eastAsia="es-AR"/>
    </w:rPr>
  </w:style>
  <w:style w:type="paragraph" w:customStyle="1" w:styleId="table8-4">
    <w:name w:val="table 8-4"/>
    <w:basedOn w:val="Normal"/>
    <w:rsid w:val="002831AB"/>
    <w:pPr>
      <w:widowControl w:val="0"/>
      <w:tabs>
        <w:tab w:val="right" w:leader="dot" w:pos="5670"/>
      </w:tabs>
      <w:autoSpaceDE w:val="0"/>
      <w:autoSpaceDN w:val="0"/>
      <w:adjustRightInd w:val="0"/>
      <w:ind w:left="360"/>
    </w:pPr>
    <w:rPr>
      <w:rFonts w:ascii="Times New Roman" w:hAnsi="Times New Roman"/>
      <w:sz w:val="16"/>
      <w:szCs w:val="16"/>
      <w:lang w:val="en-US" w:eastAsia="es-AR"/>
    </w:rPr>
  </w:style>
  <w:style w:type="paragraph" w:customStyle="1" w:styleId="table8-2">
    <w:name w:val="table 8-2"/>
    <w:basedOn w:val="Normal"/>
    <w:rsid w:val="002831AB"/>
    <w:pPr>
      <w:widowControl w:val="0"/>
      <w:tabs>
        <w:tab w:val="right" w:leader="dot" w:pos="5310"/>
      </w:tabs>
      <w:autoSpaceDE w:val="0"/>
      <w:autoSpaceDN w:val="0"/>
      <w:adjustRightInd w:val="0"/>
      <w:ind w:left="172"/>
    </w:pPr>
    <w:rPr>
      <w:rFonts w:ascii="Times New Roman" w:hAnsi="Times New Roman"/>
      <w:sz w:val="16"/>
      <w:szCs w:val="16"/>
      <w:lang w:val="en-US" w:eastAsia="es-AR"/>
    </w:rPr>
  </w:style>
  <w:style w:type="paragraph" w:customStyle="1" w:styleId="tablehead8">
    <w:name w:val="table head 8"/>
    <w:basedOn w:val="Normal"/>
    <w:rsid w:val="002831AB"/>
    <w:pPr>
      <w:widowControl w:val="0"/>
      <w:tabs>
        <w:tab w:val="right" w:leader="dot" w:pos="5310"/>
      </w:tabs>
      <w:autoSpaceDE w:val="0"/>
      <w:autoSpaceDN w:val="0"/>
      <w:adjustRightInd w:val="0"/>
      <w:jc w:val="center"/>
    </w:pPr>
    <w:rPr>
      <w:rFonts w:ascii="Times New Roman" w:hAnsi="Times New Roman"/>
      <w:b/>
      <w:bCs/>
      <w:sz w:val="16"/>
      <w:szCs w:val="16"/>
      <w:lang w:val="en-US" w:eastAsia="es-AR"/>
    </w:rPr>
  </w:style>
  <w:style w:type="paragraph" w:customStyle="1" w:styleId="tab2">
    <w:name w:val="tab 2"/>
    <w:basedOn w:val="Normal"/>
    <w:rsid w:val="002831AB"/>
    <w:pPr>
      <w:widowControl w:val="0"/>
      <w:tabs>
        <w:tab w:val="right" w:leader="dot" w:pos="5310"/>
      </w:tabs>
      <w:autoSpaceDE w:val="0"/>
      <w:autoSpaceDN w:val="0"/>
      <w:adjustRightInd w:val="0"/>
      <w:ind w:left="43"/>
    </w:pPr>
    <w:rPr>
      <w:rFonts w:ascii="Times New Roman" w:hAnsi="Times New Roman"/>
      <w:sz w:val="8"/>
      <w:szCs w:val="8"/>
      <w:lang w:val="en-US" w:eastAsia="es-AR"/>
    </w:rPr>
  </w:style>
  <w:style w:type="paragraph" w:customStyle="1" w:styleId="Page57TB8">
    <w:name w:val="Page 57 TB 8"/>
    <w:basedOn w:val="Normal"/>
    <w:rsid w:val="002831AB"/>
    <w:pPr>
      <w:widowControl w:val="0"/>
      <w:autoSpaceDE w:val="0"/>
      <w:autoSpaceDN w:val="0"/>
      <w:adjustRightInd w:val="0"/>
    </w:pPr>
    <w:rPr>
      <w:rFonts w:ascii="Times New Roman" w:hAnsi="Times New Roman"/>
      <w:sz w:val="16"/>
      <w:szCs w:val="16"/>
      <w:lang w:val="en-US" w:eastAsia="es-AR"/>
    </w:rPr>
  </w:style>
  <w:style w:type="paragraph" w:customStyle="1" w:styleId="ltrindent">
    <w:name w:val="ltr.indent"/>
    <w:basedOn w:val="Normal"/>
    <w:rsid w:val="002831AB"/>
    <w:pPr>
      <w:widowControl w:val="0"/>
      <w:tabs>
        <w:tab w:val="left" w:pos="270"/>
        <w:tab w:val="left" w:leader="dot" w:pos="5760"/>
      </w:tabs>
      <w:autoSpaceDE w:val="0"/>
      <w:autoSpaceDN w:val="0"/>
      <w:adjustRightInd w:val="0"/>
      <w:ind w:left="172" w:hanging="172"/>
    </w:pPr>
    <w:rPr>
      <w:rFonts w:ascii="Times New Roman" w:hAnsi="Times New Roman"/>
      <w:lang w:val="en-US" w:eastAsia="es-AR"/>
    </w:rPr>
  </w:style>
  <w:style w:type="paragraph" w:customStyle="1" w:styleId="Dec2">
    <w:name w:val="Dec 2"/>
    <w:basedOn w:val="Normal"/>
    <w:rsid w:val="002831AB"/>
    <w:pPr>
      <w:widowControl w:val="0"/>
      <w:tabs>
        <w:tab w:val="right" w:leader="dot" w:pos="5310"/>
      </w:tabs>
      <w:autoSpaceDE w:val="0"/>
      <w:autoSpaceDN w:val="0"/>
      <w:adjustRightInd w:val="0"/>
    </w:pPr>
    <w:rPr>
      <w:rFonts w:ascii="Times New Roman" w:hAnsi="Times New Roman"/>
      <w:lang w:val="en-US" w:eastAsia="es-AR"/>
    </w:rPr>
  </w:style>
  <w:style w:type="paragraph" w:customStyle="1" w:styleId="Dec3">
    <w:name w:val="Dec 3"/>
    <w:basedOn w:val="Normal"/>
    <w:rsid w:val="002831AB"/>
    <w:pPr>
      <w:widowControl w:val="0"/>
      <w:tabs>
        <w:tab w:val="right" w:leader="dot" w:pos="5310"/>
      </w:tabs>
      <w:autoSpaceDE w:val="0"/>
      <w:autoSpaceDN w:val="0"/>
      <w:adjustRightInd w:val="0"/>
    </w:pPr>
    <w:rPr>
      <w:rFonts w:ascii="Times New Roman" w:hAnsi="Times New Roman"/>
      <w:lang w:val="en-US" w:eastAsia="es-AR"/>
    </w:rPr>
  </w:style>
  <w:style w:type="paragraph" w:customStyle="1" w:styleId="tab-10-4">
    <w:name w:val="tab-10-4"/>
    <w:basedOn w:val="Normal"/>
    <w:rsid w:val="002831AB"/>
    <w:pPr>
      <w:widowControl w:val="0"/>
      <w:tabs>
        <w:tab w:val="right" w:leader="dot" w:pos="5670"/>
      </w:tabs>
      <w:autoSpaceDE w:val="0"/>
      <w:autoSpaceDN w:val="0"/>
      <w:adjustRightInd w:val="0"/>
      <w:ind w:left="446"/>
    </w:pPr>
    <w:rPr>
      <w:rFonts w:ascii="Times New Roman" w:hAnsi="Times New Roman"/>
      <w:lang w:val="en-US" w:eastAsia="es-AR"/>
    </w:rPr>
  </w:style>
  <w:style w:type="paragraph" w:customStyle="1" w:styleId="tabletxt-6">
    <w:name w:val="table txt-6"/>
    <w:basedOn w:val="Normal"/>
    <w:rsid w:val="002831AB"/>
    <w:pPr>
      <w:widowControl w:val="0"/>
      <w:tabs>
        <w:tab w:val="right" w:leader="dot" w:pos="5310"/>
      </w:tabs>
      <w:autoSpaceDE w:val="0"/>
      <w:autoSpaceDN w:val="0"/>
      <w:adjustRightInd w:val="0"/>
      <w:ind w:left="446"/>
    </w:pPr>
    <w:rPr>
      <w:rFonts w:ascii="Times New Roman" w:hAnsi="Times New Roman"/>
      <w:sz w:val="16"/>
      <w:szCs w:val="16"/>
      <w:lang w:val="en-US" w:eastAsia="es-AR"/>
    </w:rPr>
  </w:style>
  <w:style w:type="paragraph" w:customStyle="1" w:styleId="table80">
    <w:name w:val="table 8"/>
    <w:basedOn w:val="Normal"/>
    <w:rsid w:val="002831AB"/>
    <w:pPr>
      <w:widowControl w:val="0"/>
      <w:tabs>
        <w:tab w:val="right" w:leader="dot" w:pos="5310"/>
      </w:tabs>
      <w:autoSpaceDE w:val="0"/>
      <w:autoSpaceDN w:val="0"/>
      <w:adjustRightInd w:val="0"/>
    </w:pPr>
    <w:rPr>
      <w:rFonts w:ascii="Times New Roman" w:hAnsi="Times New Roman"/>
      <w:sz w:val="16"/>
      <w:szCs w:val="16"/>
      <w:lang w:val="en-US" w:eastAsia="es-AR"/>
    </w:rPr>
  </w:style>
  <w:style w:type="paragraph" w:customStyle="1" w:styleId="tabl8">
    <w:name w:val="tabl 8"/>
    <w:basedOn w:val="Normal"/>
    <w:rsid w:val="002831AB"/>
    <w:pPr>
      <w:widowControl w:val="0"/>
      <w:tabs>
        <w:tab w:val="right" w:leader="dot" w:pos="5310"/>
      </w:tabs>
      <w:autoSpaceDE w:val="0"/>
      <w:autoSpaceDN w:val="0"/>
      <w:adjustRightInd w:val="0"/>
    </w:pPr>
    <w:rPr>
      <w:rFonts w:ascii="Times New Roman" w:hAnsi="Times New Roman"/>
      <w:sz w:val="16"/>
      <w:szCs w:val="16"/>
      <w:lang w:val="en-US" w:eastAsia="es-AR"/>
    </w:rPr>
  </w:style>
  <w:style w:type="paragraph" w:customStyle="1" w:styleId="tabletxt-8">
    <w:name w:val="table txt-8"/>
    <w:basedOn w:val="Normal"/>
    <w:rsid w:val="002831AB"/>
    <w:pPr>
      <w:widowControl w:val="0"/>
      <w:tabs>
        <w:tab w:val="right" w:leader="dot" w:pos="5310"/>
      </w:tabs>
      <w:autoSpaceDE w:val="0"/>
      <w:autoSpaceDN w:val="0"/>
      <w:adjustRightInd w:val="0"/>
    </w:pPr>
    <w:rPr>
      <w:rFonts w:ascii="Times New Roman" w:hAnsi="Times New Roman"/>
      <w:sz w:val="16"/>
      <w:szCs w:val="16"/>
      <w:lang w:val="en-US" w:eastAsia="es-AR"/>
    </w:rPr>
  </w:style>
  <w:style w:type="paragraph" w:customStyle="1" w:styleId="tblehead8">
    <w:name w:val="tble head 8"/>
    <w:basedOn w:val="Normal"/>
    <w:rsid w:val="002831AB"/>
    <w:pPr>
      <w:widowControl w:val="0"/>
      <w:tabs>
        <w:tab w:val="right" w:leader="dot" w:pos="5310"/>
      </w:tabs>
      <w:autoSpaceDE w:val="0"/>
      <w:autoSpaceDN w:val="0"/>
      <w:adjustRightInd w:val="0"/>
      <w:jc w:val="center"/>
    </w:pPr>
    <w:rPr>
      <w:rFonts w:ascii="Times New Roman" w:hAnsi="Times New Roman"/>
      <w:b/>
      <w:bCs/>
      <w:sz w:val="16"/>
      <w:szCs w:val="16"/>
      <w:lang w:val="en-US" w:eastAsia="es-AR"/>
    </w:rPr>
  </w:style>
  <w:style w:type="paragraph" w:customStyle="1" w:styleId="notenopts1">
    <w:name w:val="noteno.pts1"/>
    <w:basedOn w:val="Normal"/>
    <w:rsid w:val="002831AB"/>
    <w:pPr>
      <w:widowControl w:val="0"/>
      <w:autoSpaceDE w:val="0"/>
      <w:autoSpaceDN w:val="0"/>
      <w:adjustRightInd w:val="0"/>
      <w:spacing w:after="144"/>
    </w:pPr>
    <w:rPr>
      <w:rFonts w:ascii="Times New Roman" w:hAnsi="Times New Roman"/>
      <w:b/>
      <w:bCs/>
      <w:lang w:val="en-US" w:eastAsia="es-AR"/>
    </w:rPr>
  </w:style>
  <w:style w:type="paragraph" w:customStyle="1" w:styleId="ProfileData">
    <w:name w:val="ProfileData"/>
    <w:rsid w:val="002831AB"/>
    <w:pPr>
      <w:widowControl w:val="0"/>
      <w:autoSpaceDE w:val="0"/>
      <w:autoSpaceDN w:val="0"/>
      <w:adjustRightInd w:val="0"/>
      <w:spacing w:line="200" w:lineRule="atLeast"/>
    </w:pPr>
    <w:rPr>
      <w:rFonts w:ascii="Times New Roman" w:hAnsi="Times New Roman"/>
      <w:vanish/>
      <w:color w:val="FF0000"/>
      <w:sz w:val="16"/>
      <w:szCs w:val="16"/>
    </w:rPr>
  </w:style>
  <w:style w:type="paragraph" w:customStyle="1" w:styleId="ListNumber14">
    <w:name w:val="List Number 1.**"/>
    <w:basedOn w:val="Normal"/>
    <w:rsid w:val="002831AB"/>
    <w:pPr>
      <w:widowControl w:val="0"/>
      <w:autoSpaceDE w:val="0"/>
      <w:autoSpaceDN w:val="0"/>
      <w:adjustRightInd w:val="0"/>
      <w:spacing w:after="240"/>
      <w:jc w:val="both"/>
    </w:pPr>
    <w:rPr>
      <w:rFonts w:ascii="Times New Roman" w:hAnsi="Times New Roman"/>
      <w:b/>
      <w:bCs/>
      <w:lang w:val="en-US" w:eastAsia="es-AR"/>
    </w:rPr>
  </w:style>
  <w:style w:type="paragraph" w:customStyle="1" w:styleId="ListNumbera5">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6">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ListNumbera7">
    <w:name w:val="List Number a.*"/>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ListNumbera10">
    <w:name w:val="List Number a.1"/>
    <w:basedOn w:val="Normal"/>
    <w:rsid w:val="002831AB"/>
    <w:pPr>
      <w:widowControl w:val="0"/>
      <w:autoSpaceDE w:val="0"/>
      <w:autoSpaceDN w:val="0"/>
      <w:adjustRightInd w:val="0"/>
      <w:spacing w:after="240"/>
      <w:ind w:left="2160" w:hanging="720"/>
      <w:jc w:val="both"/>
    </w:pPr>
    <w:rPr>
      <w:rFonts w:ascii="Times New Roman" w:hAnsi="Times New Roman"/>
      <w:lang w:val="en-US" w:eastAsia="es-AR"/>
    </w:rPr>
  </w:style>
  <w:style w:type="paragraph" w:customStyle="1" w:styleId="TableFootnoteIndented">
    <w:name w:val="Table Footnote Indented"/>
    <w:basedOn w:val="TableFootnote"/>
    <w:rsid w:val="002831AB"/>
    <w:pPr>
      <w:widowControl w:val="0"/>
      <w:autoSpaceDE w:val="0"/>
      <w:autoSpaceDN w:val="0"/>
      <w:adjustRightInd w:val="0"/>
      <w:spacing w:after="60"/>
      <w:ind w:left="1080" w:hanging="360"/>
      <w:jc w:val="left"/>
    </w:pPr>
    <w:rPr>
      <w:szCs w:val="16"/>
    </w:rPr>
  </w:style>
  <w:style w:type="paragraph" w:customStyle="1" w:styleId="ListNumbera8">
    <w:name w:val="List Number a)**"/>
    <w:basedOn w:val="Normal"/>
    <w:rsid w:val="002831AB"/>
    <w:pPr>
      <w:widowControl w:val="0"/>
      <w:autoSpaceDE w:val="0"/>
      <w:autoSpaceDN w:val="0"/>
      <w:adjustRightInd w:val="0"/>
      <w:spacing w:after="240"/>
    </w:pPr>
    <w:rPr>
      <w:rFonts w:ascii="Times New Roman" w:hAnsi="Times New Roman"/>
      <w:lang w:val="en-US" w:eastAsia="es-AR"/>
    </w:rPr>
  </w:style>
  <w:style w:type="character" w:customStyle="1" w:styleId="nfasis0">
    <w:name w:val="ﾉnfasis"/>
    <w:rsid w:val="002831AB"/>
    <w:rPr>
      <w:rFonts w:ascii="Times New Roman" w:hAnsi="Times New Roman"/>
      <w:i/>
      <w:spacing w:val="0"/>
      <w:sz w:val="20"/>
      <w:lang w:val="en-US" w:eastAsia="x-none"/>
    </w:rPr>
  </w:style>
  <w:style w:type="character" w:customStyle="1" w:styleId="DeltaViewChangeNumber">
    <w:name w:val="DeltaView Change Number"/>
    <w:rsid w:val="002831AB"/>
    <w:rPr>
      <w:color w:val="000000"/>
      <w:spacing w:val="0"/>
      <w:vertAlign w:val="superscript"/>
    </w:rPr>
  </w:style>
  <w:style w:type="character" w:customStyle="1" w:styleId="DeltaViewMovedDeletion">
    <w:name w:val="DeltaView Moved Deletion"/>
    <w:rsid w:val="002831AB"/>
    <w:rPr>
      <w:strike/>
      <w:color w:val="auto"/>
      <w:spacing w:val="0"/>
    </w:rPr>
  </w:style>
  <w:style w:type="character" w:customStyle="1" w:styleId="DeltaViewEditorComment">
    <w:name w:val="DeltaView Editor Comment"/>
    <w:rsid w:val="002831AB"/>
    <w:rPr>
      <w:rFonts w:ascii="Times New Roman" w:hAnsi="Times New Roman"/>
      <w:color w:val="0000FF"/>
      <w:spacing w:val="0"/>
      <w:sz w:val="20"/>
      <w:u w:val="double"/>
      <w:lang w:val="en-US" w:eastAsia="x-none"/>
    </w:rPr>
  </w:style>
  <w:style w:type="character" w:customStyle="1" w:styleId="DeltaViewStyleChangeText">
    <w:name w:val="DeltaView Style Change Text"/>
    <w:rsid w:val="002831AB"/>
    <w:rPr>
      <w:color w:val="000000"/>
      <w:spacing w:val="0"/>
      <w:u w:val="double"/>
    </w:rPr>
  </w:style>
  <w:style w:type="character" w:customStyle="1" w:styleId="DeltaViewStyleChangeLabel">
    <w:name w:val="DeltaView Style Change Label"/>
    <w:rsid w:val="002831AB"/>
    <w:rPr>
      <w:color w:val="000000"/>
      <w:spacing w:val="0"/>
    </w:rPr>
  </w:style>
  <w:style w:type="paragraph" w:customStyle="1" w:styleId="Textodetabla1">
    <w:name w:val="Texto de tabla:1"/>
    <w:basedOn w:val="Normal"/>
    <w:rsid w:val="002831AB"/>
    <w:pPr>
      <w:widowControl w:val="0"/>
      <w:tabs>
        <w:tab w:val="decimal" w:pos="0"/>
        <w:tab w:val="left" w:pos="360"/>
        <w:tab w:val="left" w:pos="720"/>
        <w:tab w:val="left" w:pos="1080"/>
        <w:tab w:val="left" w:pos="1440"/>
        <w:tab w:val="left" w:pos="1800"/>
        <w:tab w:val="left" w:pos="2160"/>
      </w:tabs>
      <w:autoSpaceDE w:val="0"/>
      <w:autoSpaceDN w:val="0"/>
      <w:adjustRightInd w:val="0"/>
      <w:jc w:val="both"/>
    </w:pPr>
    <w:rPr>
      <w:rFonts w:ascii="Times New Roman" w:hAnsi="Times New Roman"/>
      <w:lang w:val="en-US" w:eastAsia="es-AR"/>
    </w:rPr>
  </w:style>
  <w:style w:type="paragraph" w:customStyle="1" w:styleId="Direcciinterior">
    <w:name w:val="Direcci interior"/>
    <w:basedOn w:val="Normal"/>
    <w:rsid w:val="002831AB"/>
    <w:pPr>
      <w:widowControl w:val="0"/>
      <w:autoSpaceDE w:val="0"/>
      <w:autoSpaceDN w:val="0"/>
      <w:adjustRightInd w:val="0"/>
      <w:spacing w:line="240" w:lineRule="atLeast"/>
    </w:pPr>
    <w:rPr>
      <w:rFonts w:ascii="Times New Roman" w:hAnsi="Times New Roman"/>
      <w:kern w:val="18"/>
      <w:lang w:val="en-US" w:eastAsia="es-AR"/>
    </w:rPr>
  </w:style>
  <w:style w:type="paragraph" w:customStyle="1" w:styleId="BlockTextBld">
    <w:name w:val="Block Text Bld"/>
    <w:basedOn w:val="DeltaViewTableBody"/>
    <w:rsid w:val="002831AB"/>
    <w:pPr>
      <w:widowControl w:val="0"/>
      <w:spacing w:line="480" w:lineRule="auto"/>
    </w:pPr>
    <w:rPr>
      <w:rFonts w:ascii="Times New Roman" w:hAnsi="Times New Roman" w:cs="Times New Roman"/>
      <w:b/>
      <w:bCs/>
      <w:sz w:val="20"/>
      <w:szCs w:val="20"/>
      <w:lang w:eastAsia="es-ES"/>
    </w:rPr>
  </w:style>
  <w:style w:type="paragraph" w:customStyle="1" w:styleId="HeadingBody2">
    <w:name w:val="HeadingBody 2"/>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3">
    <w:name w:val="HeadingBody 3"/>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4">
    <w:name w:val="HeadingBody 4"/>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5">
    <w:name w:val="HeadingBody 5"/>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6">
    <w:name w:val="HeadingBody 6"/>
    <w:basedOn w:val="DeltaViewTableHeading"/>
    <w:next w:val="DeltaViewTableHeading"/>
    <w:rsid w:val="002831AB"/>
    <w:pPr>
      <w:widowControl w:val="0"/>
      <w:spacing w:after="240"/>
    </w:pPr>
    <w:rPr>
      <w:rFonts w:ascii="Times New Roman" w:hAnsi="Times New Roman" w:cs="Times New Roman"/>
      <w:b w:val="0"/>
      <w:bCs w:val="0"/>
      <w:sz w:val="20"/>
      <w:szCs w:val="20"/>
      <w:lang w:eastAsia="en-US"/>
    </w:rPr>
  </w:style>
  <w:style w:type="paragraph" w:customStyle="1" w:styleId="HeadingBody7">
    <w:name w:val="HeadingBody 7"/>
    <w:basedOn w:val="DeltaViewTableHeading"/>
    <w:next w:val="Normal"/>
    <w:rsid w:val="002831AB"/>
    <w:pPr>
      <w:widowControl w:val="0"/>
      <w:spacing w:after="240"/>
    </w:pPr>
    <w:rPr>
      <w:rFonts w:ascii="Times New Roman" w:hAnsi="Times New Roman" w:cs="Times New Roman"/>
      <w:b w:val="0"/>
      <w:bCs w:val="0"/>
      <w:sz w:val="20"/>
      <w:szCs w:val="20"/>
      <w:lang w:eastAsia="en-US"/>
    </w:rPr>
  </w:style>
  <w:style w:type="paragraph" w:customStyle="1" w:styleId="HeadingBody8">
    <w:name w:val="HeadingBody 8"/>
    <w:basedOn w:val="DeltaViewTableHeading"/>
    <w:next w:val="Normal"/>
    <w:rsid w:val="002831AB"/>
    <w:pPr>
      <w:widowControl w:val="0"/>
      <w:spacing w:after="240"/>
    </w:pPr>
    <w:rPr>
      <w:rFonts w:ascii="Times New Roman" w:hAnsi="Times New Roman" w:cs="Times New Roman"/>
      <w:b w:val="0"/>
      <w:bCs w:val="0"/>
      <w:sz w:val="20"/>
      <w:szCs w:val="20"/>
      <w:lang w:eastAsia="en-US"/>
    </w:rPr>
  </w:style>
  <w:style w:type="paragraph" w:customStyle="1" w:styleId="HeadingBody9">
    <w:name w:val="HeadingBody 9"/>
    <w:basedOn w:val="DeltaViewTableHeading"/>
    <w:next w:val="Normal"/>
    <w:rsid w:val="002831AB"/>
    <w:pPr>
      <w:widowControl w:val="0"/>
      <w:spacing w:after="240"/>
    </w:pPr>
    <w:rPr>
      <w:rFonts w:ascii="Times New Roman" w:hAnsi="Times New Roman" w:cs="Times New Roman"/>
      <w:b w:val="0"/>
      <w:bCs w:val="0"/>
      <w:sz w:val="20"/>
      <w:szCs w:val="20"/>
      <w:lang w:eastAsia="en-US"/>
    </w:rPr>
  </w:style>
  <w:style w:type="paragraph" w:customStyle="1" w:styleId="Dash100">
    <w:name w:val="Dash 1.00"/>
    <w:basedOn w:val="Normal"/>
    <w:rsid w:val="002831AB"/>
    <w:pPr>
      <w:widowControl w:val="0"/>
      <w:autoSpaceDE w:val="0"/>
      <w:autoSpaceDN w:val="0"/>
      <w:adjustRightInd w:val="0"/>
      <w:spacing w:after="240"/>
    </w:pPr>
    <w:rPr>
      <w:rFonts w:ascii="Times New Roman" w:hAnsi="Times New Roman"/>
      <w:lang w:val="en-US" w:eastAsia="es-AR"/>
    </w:rPr>
  </w:style>
  <w:style w:type="paragraph" w:customStyle="1" w:styleId="BlockPara">
    <w:name w:val="Block Para"/>
    <w:basedOn w:val="Normal"/>
    <w:rsid w:val="002831AB"/>
    <w:pPr>
      <w:widowControl w:val="0"/>
      <w:autoSpaceDE w:val="0"/>
      <w:autoSpaceDN w:val="0"/>
      <w:adjustRightInd w:val="0"/>
      <w:spacing w:after="240"/>
      <w:ind w:left="1080"/>
    </w:pPr>
    <w:rPr>
      <w:rFonts w:ascii="Times New Roman" w:hAnsi="Times New Roman"/>
      <w:lang w:val="en-US" w:eastAsia="es-AR"/>
    </w:rPr>
  </w:style>
  <w:style w:type="paragraph" w:customStyle="1" w:styleId="ListBullet3sgl0">
    <w:name w:val="List Bullet 3 sgl"/>
    <w:basedOn w:val="Normal"/>
    <w:rsid w:val="002831AB"/>
    <w:pPr>
      <w:widowControl w:val="0"/>
      <w:autoSpaceDE w:val="0"/>
      <w:autoSpaceDN w:val="0"/>
      <w:adjustRightInd w:val="0"/>
      <w:spacing w:after="240"/>
      <w:jc w:val="both"/>
    </w:pPr>
    <w:rPr>
      <w:rFonts w:ascii="Times New Roman" w:hAnsi="Times New Roman"/>
      <w:lang w:val="en-US" w:eastAsia="es-AR"/>
    </w:rPr>
  </w:style>
  <w:style w:type="paragraph" w:customStyle="1" w:styleId="TitleItalics50">
    <w:name w:val="Title/Italics.50"/>
    <w:basedOn w:val="Normal"/>
    <w:rsid w:val="002831AB"/>
    <w:pPr>
      <w:keepNext/>
      <w:widowControl w:val="0"/>
      <w:autoSpaceDE w:val="0"/>
      <w:autoSpaceDN w:val="0"/>
      <w:adjustRightInd w:val="0"/>
      <w:spacing w:after="240"/>
      <w:ind w:left="720"/>
    </w:pPr>
    <w:rPr>
      <w:rFonts w:ascii="Times New Roman" w:hAnsi="Times New Roman"/>
      <w:i/>
      <w:iCs/>
      <w:lang w:val="en-US" w:eastAsia="es-AR"/>
    </w:rPr>
  </w:style>
  <w:style w:type="paragraph" w:customStyle="1" w:styleId="StyleListBullet3sgl95pt">
    <w:name w:val="Style List Bullet 3 sgl + 9.5 pt"/>
    <w:basedOn w:val="ListBullet3sgl0"/>
    <w:rsid w:val="002831AB"/>
    <w:pPr>
      <w:jc w:val="left"/>
    </w:pPr>
    <w:rPr>
      <w:sz w:val="19"/>
      <w:szCs w:val="19"/>
    </w:rPr>
  </w:style>
  <w:style w:type="paragraph" w:customStyle="1" w:styleId="Eprafe">
    <w:name w:val="Ep刕rafe"/>
    <w:basedOn w:val="Normal"/>
    <w:next w:val="Normal"/>
    <w:rsid w:val="002831AB"/>
    <w:pPr>
      <w:widowControl w:val="0"/>
      <w:autoSpaceDE w:val="0"/>
      <w:autoSpaceDN w:val="0"/>
      <w:adjustRightInd w:val="0"/>
    </w:pPr>
    <w:rPr>
      <w:rFonts w:ascii="Times New Roman" w:hAnsi="Times New Roman"/>
      <w:b/>
      <w:bCs/>
      <w:lang w:val="en-US" w:eastAsia="es-AR"/>
    </w:rPr>
  </w:style>
  <w:style w:type="character" w:customStyle="1" w:styleId="ListBullet3SglChar">
    <w:name w:val="List Bullet 3 Sgl Char"/>
    <w:rsid w:val="002831AB"/>
    <w:rPr>
      <w:rFonts w:ascii="Times New Roman" w:hAnsi="Times New Roman"/>
      <w:spacing w:val="0"/>
      <w:sz w:val="20"/>
      <w:lang w:val="en-US" w:eastAsia="en-US"/>
    </w:rPr>
  </w:style>
  <w:style w:type="paragraph" w:customStyle="1" w:styleId="TitleBIndented">
    <w:name w:val="Title B Indented"/>
    <w:basedOn w:val="Normal"/>
    <w:rsid w:val="002831AB"/>
    <w:pPr>
      <w:keepNext/>
      <w:widowControl w:val="0"/>
      <w:autoSpaceDE w:val="0"/>
      <w:autoSpaceDN w:val="0"/>
      <w:adjustRightInd w:val="0"/>
      <w:spacing w:after="240"/>
      <w:ind w:left="720"/>
    </w:pPr>
    <w:rPr>
      <w:rFonts w:ascii="Times New Roman" w:hAnsi="Times New Roman"/>
      <w:b/>
      <w:bCs/>
      <w:lang w:val="en-US" w:eastAsia="es-AR"/>
    </w:rPr>
  </w:style>
  <w:style w:type="paragraph" w:customStyle="1" w:styleId="Listaconneros">
    <w:name w:val="Lista con n伹eros"/>
    <w:basedOn w:val="Normal"/>
    <w:rsid w:val="002831AB"/>
    <w:pPr>
      <w:widowControl w:val="0"/>
      <w:autoSpaceDE w:val="0"/>
      <w:autoSpaceDN w:val="0"/>
      <w:adjustRightInd w:val="0"/>
    </w:pPr>
    <w:rPr>
      <w:rFonts w:ascii="Times New Roman" w:hAnsi="Times New Roman"/>
      <w:lang w:val="en-US" w:eastAsia="es-AR"/>
    </w:rPr>
  </w:style>
  <w:style w:type="paragraph" w:customStyle="1" w:styleId="bti">
    <w:name w:val="bti"/>
    <w:aliases w:val="BodyTextInd,bodyTextItalics"/>
    <w:basedOn w:val="Sangrdetextonormal"/>
    <w:qFormat/>
    <w:rsid w:val="00B86C83"/>
    <w:pPr>
      <w:ind w:left="0" w:firstLine="360"/>
      <w:jc w:val="both"/>
    </w:pPr>
    <w:rPr>
      <w:color w:val="000000"/>
      <w:lang w:val="pt-BR"/>
    </w:rPr>
  </w:style>
  <w:style w:type="paragraph" w:customStyle="1" w:styleId="bodytext2sglj0">
    <w:name w:val="bodytext2sglj"/>
    <w:basedOn w:val="Normal"/>
    <w:rsid w:val="002831AB"/>
    <w:pPr>
      <w:widowControl w:val="0"/>
      <w:autoSpaceDE w:val="0"/>
      <w:autoSpaceDN w:val="0"/>
      <w:adjustRightInd w:val="0"/>
      <w:spacing w:after="240"/>
      <w:ind w:firstLine="720"/>
    </w:pPr>
    <w:rPr>
      <w:rFonts w:ascii="Times New Roman" w:hAnsi="Times New Roman"/>
      <w:lang w:val="en-US" w:eastAsia="es-AR"/>
    </w:rPr>
  </w:style>
  <w:style w:type="character" w:customStyle="1" w:styleId="ListBullet3Char">
    <w:name w:val="List Bullet 3 Char"/>
    <w:rsid w:val="002831AB"/>
    <w:rPr>
      <w:rFonts w:ascii="Times New Roman" w:hAnsi="Times New Roman"/>
      <w:spacing w:val="0"/>
      <w:sz w:val="20"/>
      <w:lang w:val="en-US" w:eastAsia="x-none"/>
    </w:rPr>
  </w:style>
  <w:style w:type="paragraph" w:customStyle="1" w:styleId="xl50">
    <w:name w:val="xl50"/>
    <w:basedOn w:val="Normal"/>
    <w:rsid w:val="002831AB"/>
    <w:pPr>
      <w:widowControl w:val="0"/>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1">
    <w:name w:val="xl51"/>
    <w:basedOn w:val="Normal"/>
    <w:rsid w:val="002831AB"/>
    <w:pPr>
      <w:widowControl w:val="0"/>
      <w:pBdr>
        <w:bottom w:val="single" w:sz="4" w:space="0" w:color="000000"/>
      </w:pBdr>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2">
    <w:name w:val="xl52"/>
    <w:basedOn w:val="Normal"/>
    <w:rsid w:val="002831AB"/>
    <w:pPr>
      <w:widowControl w:val="0"/>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3">
    <w:name w:val="xl53"/>
    <w:basedOn w:val="Normal"/>
    <w:rsid w:val="002831AB"/>
    <w:pPr>
      <w:widowControl w:val="0"/>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4">
    <w:name w:val="xl54"/>
    <w:basedOn w:val="Normal"/>
    <w:rsid w:val="002831AB"/>
    <w:pPr>
      <w:widowControl w:val="0"/>
      <w:pBdr>
        <w:top w:val="single" w:sz="4" w:space="0" w:color="000000"/>
      </w:pBdr>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5">
    <w:name w:val="xl55"/>
    <w:basedOn w:val="Normal"/>
    <w:rsid w:val="002831AB"/>
    <w:pPr>
      <w:widowControl w:val="0"/>
      <w:pBdr>
        <w:top w:val="single" w:sz="4" w:space="0" w:color="000000"/>
        <w:bottom w:val="single" w:sz="4" w:space="0" w:color="000000"/>
      </w:pBdr>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6">
    <w:name w:val="xl56"/>
    <w:basedOn w:val="Normal"/>
    <w:rsid w:val="002831AB"/>
    <w:pPr>
      <w:widowControl w:val="0"/>
      <w:pBdr>
        <w:top w:val="single" w:sz="4" w:space="0" w:color="000000"/>
      </w:pBdr>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7">
    <w:name w:val="xl57"/>
    <w:basedOn w:val="Normal"/>
    <w:rsid w:val="002831AB"/>
    <w:pPr>
      <w:widowControl w:val="0"/>
      <w:pBdr>
        <w:bottom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8">
    <w:name w:val="xl58"/>
    <w:basedOn w:val="Normal"/>
    <w:rsid w:val="002831AB"/>
    <w:pPr>
      <w:widowControl w:val="0"/>
      <w:pBdr>
        <w:top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59">
    <w:name w:val="xl59"/>
    <w:basedOn w:val="Normal"/>
    <w:rsid w:val="002831AB"/>
    <w:pPr>
      <w:widowControl w:val="0"/>
      <w:pBdr>
        <w:bottom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0">
    <w:name w:val="xl60"/>
    <w:basedOn w:val="Normal"/>
    <w:rsid w:val="002831AB"/>
    <w:pPr>
      <w:widowControl w:val="0"/>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1">
    <w:name w:val="xl61"/>
    <w:basedOn w:val="Normal"/>
    <w:rsid w:val="002831AB"/>
    <w:pPr>
      <w:widowControl w:val="0"/>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2">
    <w:name w:val="xl62"/>
    <w:basedOn w:val="Normal"/>
    <w:rsid w:val="002831AB"/>
    <w:pPr>
      <w:widowControl w:val="0"/>
      <w:pBdr>
        <w:bottom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3">
    <w:name w:val="xl63"/>
    <w:basedOn w:val="Normal"/>
    <w:rsid w:val="002831AB"/>
    <w:pPr>
      <w:widowControl w:val="0"/>
      <w:pBdr>
        <w:bottom w:val="double" w:sz="6"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64">
    <w:name w:val="xl64"/>
    <w:basedOn w:val="Normal"/>
    <w:rsid w:val="002831AB"/>
    <w:pPr>
      <w:widowControl w:val="0"/>
      <w:autoSpaceDE w:val="0"/>
      <w:autoSpaceDN w:val="0"/>
      <w:adjustRightInd w:val="0"/>
      <w:spacing w:before="100" w:beforeAutospacing="1" w:after="100" w:afterAutospacing="1"/>
      <w:jc w:val="right"/>
    </w:pPr>
    <w:rPr>
      <w:rFonts w:ascii="Times New Roman" w:hAnsi="Times New Roman"/>
      <w:sz w:val="16"/>
      <w:szCs w:val="16"/>
      <w:lang w:val="en-US" w:eastAsia="es-AR"/>
    </w:rPr>
  </w:style>
  <w:style w:type="paragraph" w:customStyle="1" w:styleId="xl65">
    <w:name w:val="xl65"/>
    <w:basedOn w:val="Normal"/>
    <w:rsid w:val="002831AB"/>
    <w:pPr>
      <w:widowControl w:val="0"/>
      <w:shd w:val="clear" w:color="auto" w:fill="FFFFFF"/>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CarCarCarCarCarCarCarCarCarCarCarCar1CarCarCar1CarCarCarCarCarCarCar">
    <w:name w:val="Car Car Car Car Car Car Car Car Car Car Car Car1 Car Car Car1 Car Car Car Car Car Car Car"/>
    <w:basedOn w:val="Normal"/>
    <w:rsid w:val="002831AB"/>
    <w:pPr>
      <w:widowControl w:val="0"/>
      <w:autoSpaceDE w:val="0"/>
      <w:autoSpaceDN w:val="0"/>
      <w:adjustRightInd w:val="0"/>
      <w:spacing w:after="160" w:line="240" w:lineRule="exact"/>
    </w:pPr>
    <w:rPr>
      <w:rFonts w:ascii="PMingLiU" w:eastAsia="PMingLiU" w:hAnsi="Times New Roman" w:cs="PMingLiU"/>
      <w:lang w:val="en-US" w:eastAsia="es-AR"/>
    </w:rPr>
  </w:style>
  <w:style w:type="paragraph" w:customStyle="1" w:styleId="BodyText2SglCar1">
    <w:name w:val="Body Text 2 Sgl Car1"/>
    <w:basedOn w:val="Normal"/>
    <w:rsid w:val="002831AB"/>
    <w:pPr>
      <w:widowControl w:val="0"/>
      <w:autoSpaceDE w:val="0"/>
      <w:autoSpaceDN w:val="0"/>
      <w:adjustRightInd w:val="0"/>
      <w:spacing w:after="240" w:line="360" w:lineRule="atLeast"/>
      <w:ind w:firstLine="720"/>
      <w:jc w:val="both"/>
    </w:pPr>
    <w:rPr>
      <w:rFonts w:ascii="Times New Roman" w:hAnsi="Times New Roman"/>
      <w:lang w:val="en-US" w:eastAsia="es-AR"/>
    </w:rPr>
  </w:style>
  <w:style w:type="paragraph" w:customStyle="1" w:styleId="textoindenpiente">
    <w:name w:val="texto indenpiente"/>
    <w:basedOn w:val="NormalWeb"/>
    <w:rsid w:val="002831AB"/>
    <w:pPr>
      <w:widowControl w:val="0"/>
      <w:autoSpaceDE w:val="0"/>
      <w:autoSpaceDN w:val="0"/>
      <w:adjustRightInd w:val="0"/>
      <w:spacing w:before="0" w:beforeAutospacing="0" w:after="240" w:afterAutospacing="0" w:line="240" w:lineRule="exact"/>
      <w:ind w:firstLine="539"/>
      <w:jc w:val="both"/>
    </w:pPr>
    <w:rPr>
      <w:rFonts w:ascii="Times New Roman" w:eastAsia="Times New Roman" w:hAnsi="Times New Roman" w:cs="Times New Roman"/>
      <w:sz w:val="21"/>
      <w:szCs w:val="21"/>
      <w:lang w:val="en-US" w:eastAsia="en-US"/>
    </w:rPr>
  </w:style>
  <w:style w:type="character" w:customStyle="1" w:styleId="BodyText2SglCarCarCarCarCarCar">
    <w:name w:val="Body Text 2 Sgl Car Car Car Car Car Car"/>
    <w:rsid w:val="002831AB"/>
    <w:rPr>
      <w:rFonts w:ascii="Times New Roman" w:hAnsi="Times New Roman"/>
      <w:spacing w:val="0"/>
      <w:sz w:val="24"/>
      <w:lang w:val="es-ES" w:eastAsia="x-none"/>
    </w:rPr>
  </w:style>
  <w:style w:type="paragraph" w:customStyle="1" w:styleId="blocktextbold0">
    <w:name w:val="block text bold"/>
    <w:basedOn w:val="DeltaViewTableBody"/>
    <w:rsid w:val="002831AB"/>
    <w:pPr>
      <w:widowControl w:val="0"/>
      <w:spacing w:after="240"/>
    </w:pPr>
    <w:rPr>
      <w:rFonts w:ascii="Times New Roman" w:hAnsi="Times New Roman" w:cs="Times New Roman"/>
      <w:b/>
      <w:bCs/>
      <w:sz w:val="22"/>
      <w:szCs w:val="22"/>
      <w:lang w:eastAsia="es-ES"/>
    </w:rPr>
  </w:style>
  <w:style w:type="paragraph" w:customStyle="1" w:styleId="5boldital">
    <w:name w:val=".5 bold/ital."/>
    <w:basedOn w:val="Normal"/>
    <w:rsid w:val="002831AB"/>
    <w:pPr>
      <w:keepNext/>
      <w:widowControl w:val="0"/>
      <w:autoSpaceDE w:val="0"/>
      <w:autoSpaceDN w:val="0"/>
      <w:adjustRightInd w:val="0"/>
      <w:spacing w:after="240"/>
      <w:ind w:firstLine="720"/>
    </w:pPr>
    <w:rPr>
      <w:rFonts w:ascii="MS Mincho" w:eastAsia="MS Mincho" w:hAnsi="Times New Roman" w:cs="MS Mincho"/>
      <w:b/>
      <w:bCs/>
      <w:i/>
      <w:iCs/>
      <w:lang w:val="en-US" w:eastAsia="es-AR"/>
    </w:rPr>
  </w:style>
  <w:style w:type="character" w:customStyle="1" w:styleId="5bolditalChar">
    <w:name w:val=".5 bold/ital. Char"/>
    <w:rsid w:val="002831AB"/>
    <w:rPr>
      <w:rFonts w:ascii="MS Mincho" w:eastAsia="MS Mincho"/>
      <w:b/>
      <w:i/>
      <w:spacing w:val="0"/>
      <w:sz w:val="20"/>
      <w:lang w:val="es-ES" w:eastAsia="x-none"/>
    </w:rPr>
  </w:style>
  <w:style w:type="character" w:customStyle="1" w:styleId="BodyText2SglChar">
    <w:name w:val="Body Text 2 Sgl Char"/>
    <w:aliases w:val="2btx Char"/>
    <w:rsid w:val="002831AB"/>
    <w:rPr>
      <w:rFonts w:ascii="Times New Roman" w:hAnsi="Times New Roman"/>
      <w:spacing w:val="0"/>
      <w:sz w:val="20"/>
      <w:lang w:val="en-US" w:eastAsia="x-none"/>
    </w:rPr>
  </w:style>
  <w:style w:type="character" w:customStyle="1" w:styleId="TitleIIndentedChar">
    <w:name w:val="Title I Indented Char"/>
    <w:rsid w:val="002831AB"/>
    <w:rPr>
      <w:rFonts w:ascii="Times New Roman" w:hAnsi="Times New Roman"/>
      <w:i/>
      <w:spacing w:val="0"/>
      <w:sz w:val="20"/>
      <w:lang w:val="en-US" w:eastAsia="x-none"/>
    </w:rPr>
  </w:style>
  <w:style w:type="character" w:customStyle="1" w:styleId="CarCar2">
    <w:name w:val="Car Car2"/>
    <w:aliases w:val="Fuente de p疵rafo predeter.1"/>
    <w:rsid w:val="002831AB"/>
    <w:rPr>
      <w:rFonts w:ascii="Times New Roman" w:hAnsi="Times New Roman"/>
      <w:spacing w:val="0"/>
      <w:sz w:val="24"/>
      <w:lang w:val="en-US" w:eastAsia="x-none"/>
    </w:rPr>
  </w:style>
  <w:style w:type="character" w:customStyle="1" w:styleId="DeltaViewComment">
    <w:name w:val="DeltaView Comment"/>
    <w:rsid w:val="002831AB"/>
    <w:rPr>
      <w:color w:val="000000"/>
      <w:spacing w:val="0"/>
    </w:rPr>
  </w:style>
  <w:style w:type="character" w:customStyle="1" w:styleId="DeltaViewInsertedComment">
    <w:name w:val="DeltaView Inserted Comment"/>
    <w:rsid w:val="002831AB"/>
    <w:rPr>
      <w:color w:val="0000FF"/>
      <w:spacing w:val="0"/>
      <w:u w:val="double"/>
    </w:rPr>
  </w:style>
  <w:style w:type="character" w:customStyle="1" w:styleId="DeltaViewDeletedComment">
    <w:name w:val="DeltaView Deleted Comment"/>
    <w:rsid w:val="002831AB"/>
    <w:rPr>
      <w:strike/>
      <w:color w:val="FF0000"/>
      <w:spacing w:val="0"/>
    </w:rPr>
  </w:style>
  <w:style w:type="paragraph" w:customStyle="1" w:styleId="CarCarCarCarCarCar1CarCarCarCarCarCarCarCarCarCarCarCarCarCarCarCar">
    <w:name w:val="Car Car Car Car Car Car1 Car Car Car Car Car Car 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1">
    <w:name w:val="Car Car Car 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xl79">
    <w:name w:val="xl79"/>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0">
    <w:name w:val="xl80"/>
    <w:basedOn w:val="Normal"/>
    <w:rsid w:val="002831AB"/>
    <w:pPr>
      <w:autoSpaceDE w:val="0"/>
      <w:autoSpaceDN w:val="0"/>
      <w:adjustRightInd w:val="0"/>
      <w:spacing w:before="100" w:beforeAutospacing="1" w:after="100" w:afterAutospacing="1"/>
    </w:pPr>
    <w:rPr>
      <w:rFonts w:ascii="Times New Roman" w:hAnsi="Times New Roman"/>
      <w:b/>
      <w:bCs/>
      <w:sz w:val="18"/>
      <w:szCs w:val="18"/>
      <w:lang w:val="en-US" w:eastAsia="es-AR"/>
    </w:rPr>
  </w:style>
  <w:style w:type="paragraph" w:customStyle="1" w:styleId="xl81">
    <w:name w:val="xl81"/>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2">
    <w:name w:val="xl82"/>
    <w:basedOn w:val="Normal"/>
    <w:rsid w:val="002831AB"/>
    <w:pP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3">
    <w:name w:val="xl83"/>
    <w:basedOn w:val="Normal"/>
    <w:rsid w:val="002831AB"/>
    <w:pPr>
      <w:pBdr>
        <w:bottom w:val="single" w:sz="4" w:space="0" w:color="000000"/>
      </w:pBdr>
      <w:autoSpaceDE w:val="0"/>
      <w:autoSpaceDN w:val="0"/>
      <w:adjustRightInd w:val="0"/>
      <w:spacing w:before="100" w:beforeAutospacing="1" w:after="100" w:afterAutospacing="1"/>
      <w:jc w:val="center"/>
    </w:pPr>
    <w:rPr>
      <w:rFonts w:ascii="Times New Roman" w:hAnsi="Times New Roman"/>
      <w:b/>
      <w:bCs/>
      <w:sz w:val="18"/>
      <w:szCs w:val="18"/>
      <w:lang w:val="en-US" w:eastAsia="es-AR"/>
    </w:rPr>
  </w:style>
  <w:style w:type="paragraph" w:customStyle="1" w:styleId="xl84">
    <w:name w:val="xl84"/>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5">
    <w:name w:val="xl85"/>
    <w:basedOn w:val="Normal"/>
    <w:rsid w:val="002831AB"/>
    <w:pP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6">
    <w:name w:val="xl86"/>
    <w:basedOn w:val="Normal"/>
    <w:rsid w:val="002831AB"/>
    <w:pP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87">
    <w:name w:val="xl87"/>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8">
    <w:name w:val="xl88"/>
    <w:basedOn w:val="Normal"/>
    <w:rsid w:val="002831AB"/>
    <w:pP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89">
    <w:name w:val="xl89"/>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0">
    <w:name w:val="xl90"/>
    <w:basedOn w:val="Normal"/>
    <w:rsid w:val="002831AB"/>
    <w:pPr>
      <w:pBdr>
        <w:bottom w:val="single" w:sz="4" w:space="0" w:color="000000"/>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91">
    <w:name w:val="xl91"/>
    <w:basedOn w:val="Normal"/>
    <w:rsid w:val="002831AB"/>
    <w:pPr>
      <w:pBdr>
        <w:top w:val="single" w:sz="4" w:space="0" w:color="000000"/>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92">
    <w:name w:val="xl92"/>
    <w:basedOn w:val="Normal"/>
    <w:rsid w:val="002831AB"/>
    <w:pP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3">
    <w:name w:val="xl93"/>
    <w:basedOn w:val="Normal"/>
    <w:rsid w:val="002831AB"/>
    <w:pP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94">
    <w:name w:val="xl94"/>
    <w:basedOn w:val="Normal"/>
    <w:rsid w:val="002831AB"/>
    <w:pPr>
      <w:pBdr>
        <w:bottom w:val="single" w:sz="4" w:space="0" w:color="000000"/>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5">
    <w:name w:val="xl95"/>
    <w:basedOn w:val="Normal"/>
    <w:rsid w:val="002831AB"/>
    <w:pPr>
      <w:pBdr>
        <w:bottom w:val="single" w:sz="4" w:space="0" w:color="auto"/>
      </w:pBd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96">
    <w:name w:val="xl96"/>
    <w:basedOn w:val="Normal"/>
    <w:rsid w:val="002831AB"/>
    <w:pPr>
      <w:pBdr>
        <w:top w:val="single" w:sz="4" w:space="0" w:color="auto"/>
      </w:pBd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97">
    <w:name w:val="xl97"/>
    <w:basedOn w:val="Normal"/>
    <w:rsid w:val="002831AB"/>
    <w:pPr>
      <w:pBdr>
        <w:top w:val="single" w:sz="4" w:space="0" w:color="auto"/>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8">
    <w:name w:val="xl98"/>
    <w:basedOn w:val="Normal"/>
    <w:rsid w:val="002831AB"/>
    <w:pPr>
      <w:pBdr>
        <w:top w:val="single" w:sz="4" w:space="0" w:color="auto"/>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99">
    <w:name w:val="xl99"/>
    <w:basedOn w:val="Normal"/>
    <w:rsid w:val="002831AB"/>
    <w:pPr>
      <w:pBdr>
        <w:bottom w:val="single" w:sz="4" w:space="0" w:color="000000"/>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0">
    <w:name w:val="xl100"/>
    <w:basedOn w:val="Normal"/>
    <w:rsid w:val="002831AB"/>
    <w:pPr>
      <w:pBdr>
        <w:top w:val="single" w:sz="4" w:space="0" w:color="000000"/>
        <w:bottom w:val="single" w:sz="4" w:space="0" w:color="auto"/>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1">
    <w:name w:val="xl101"/>
    <w:basedOn w:val="Normal"/>
    <w:rsid w:val="002831AB"/>
    <w:pPr>
      <w:pBdr>
        <w:top w:val="single" w:sz="4" w:space="0" w:color="auto"/>
        <w:bottom w:val="single" w:sz="4" w:space="0" w:color="auto"/>
      </w:pBd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102">
    <w:name w:val="xl102"/>
    <w:basedOn w:val="Normal"/>
    <w:rsid w:val="002831AB"/>
    <w:pPr>
      <w:pBdr>
        <w:bottom w:val="single" w:sz="4" w:space="0" w:color="auto"/>
      </w:pBdr>
      <w:autoSpaceDE w:val="0"/>
      <w:autoSpaceDN w:val="0"/>
      <w:adjustRightInd w:val="0"/>
      <w:spacing w:before="100" w:beforeAutospacing="1" w:after="100" w:afterAutospacing="1"/>
      <w:jc w:val="right"/>
    </w:pPr>
    <w:rPr>
      <w:rFonts w:ascii="Times New Roman" w:hAnsi="Times New Roman"/>
      <w:sz w:val="18"/>
      <w:szCs w:val="18"/>
      <w:lang w:val="en-US" w:eastAsia="es-AR"/>
    </w:rPr>
  </w:style>
  <w:style w:type="paragraph" w:customStyle="1" w:styleId="xl103">
    <w:name w:val="xl103"/>
    <w:basedOn w:val="Normal"/>
    <w:rsid w:val="002831AB"/>
    <w:pPr>
      <w:pBdr>
        <w:top w:val="single" w:sz="4" w:space="0" w:color="auto"/>
      </w:pBdr>
      <w:shd w:val="clear" w:color="000000" w:fill="FFFFFF"/>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4">
    <w:name w:val="xl104"/>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5">
    <w:name w:val="xl105"/>
    <w:basedOn w:val="Normal"/>
    <w:rsid w:val="002831AB"/>
    <w:pPr>
      <w:pBdr>
        <w:top w:val="single" w:sz="4" w:space="0" w:color="auto"/>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6">
    <w:name w:val="xl106"/>
    <w:basedOn w:val="Normal"/>
    <w:rsid w:val="002831AB"/>
    <w:pPr>
      <w:pBdr>
        <w:bottom w:val="single" w:sz="4" w:space="0" w:color="auto"/>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7">
    <w:name w:val="xl107"/>
    <w:basedOn w:val="Normal"/>
    <w:rsid w:val="002831AB"/>
    <w:pPr>
      <w:pBdr>
        <w:bottom w:val="double" w:sz="6" w:space="0" w:color="000000"/>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8">
    <w:name w:val="xl108"/>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09">
    <w:name w:val="xl109"/>
    <w:basedOn w:val="Normal"/>
    <w:rsid w:val="002831AB"/>
    <w:pPr>
      <w:autoSpaceDE w:val="0"/>
      <w:autoSpaceDN w:val="0"/>
      <w:adjustRightInd w:val="0"/>
      <w:spacing w:before="100" w:beforeAutospacing="1" w:after="100" w:afterAutospacing="1"/>
    </w:pPr>
    <w:rPr>
      <w:rFonts w:ascii="Times New Roman" w:hAnsi="Times New Roman"/>
      <w:sz w:val="18"/>
      <w:szCs w:val="18"/>
      <w:lang w:val="en-US" w:eastAsia="es-AR"/>
    </w:rPr>
  </w:style>
  <w:style w:type="paragraph" w:customStyle="1" w:styleId="xl110">
    <w:name w:val="xl110"/>
    <w:basedOn w:val="Normal"/>
    <w:rsid w:val="002831AB"/>
    <w:pPr>
      <w:pBdr>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11">
    <w:name w:val="xl111"/>
    <w:basedOn w:val="Normal"/>
    <w:rsid w:val="002831AB"/>
    <w:pP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12">
    <w:name w:val="xl112"/>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3">
    <w:name w:val="xl113"/>
    <w:basedOn w:val="Normal"/>
    <w:rsid w:val="002831AB"/>
    <w:pPr>
      <w:pBdr>
        <w:bottom w:val="single" w:sz="4" w:space="0" w:color="000000"/>
      </w:pBdr>
      <w:autoSpaceDE w:val="0"/>
      <w:autoSpaceDN w:val="0"/>
      <w:adjustRightInd w:val="0"/>
      <w:spacing w:before="100" w:beforeAutospacing="1" w:after="100" w:afterAutospacing="1"/>
    </w:pPr>
    <w:rPr>
      <w:rFonts w:ascii="Times New Roman" w:hAnsi="Times New Roman"/>
      <w:b/>
      <w:bCs/>
      <w:sz w:val="16"/>
      <w:szCs w:val="16"/>
      <w:lang w:val="en-US" w:eastAsia="es-AR"/>
    </w:rPr>
  </w:style>
  <w:style w:type="paragraph" w:customStyle="1" w:styleId="xl114">
    <w:name w:val="xl114"/>
    <w:basedOn w:val="Normal"/>
    <w:rsid w:val="002831AB"/>
    <w:pPr>
      <w:pBdr>
        <w:bottom w:val="single" w:sz="4" w:space="0" w:color="000000"/>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15">
    <w:name w:val="xl115"/>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6">
    <w:name w:val="xl116"/>
    <w:basedOn w:val="Normal"/>
    <w:rsid w:val="002831AB"/>
    <w:pPr>
      <w:pBdr>
        <w:top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7">
    <w:name w:val="xl117"/>
    <w:basedOn w:val="Normal"/>
    <w:rsid w:val="002831AB"/>
    <w:pPr>
      <w:pBdr>
        <w:top w:val="single" w:sz="4"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8">
    <w:name w:val="xl118"/>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19">
    <w:name w:val="xl119"/>
    <w:basedOn w:val="Normal"/>
    <w:rsid w:val="002831AB"/>
    <w:pPr>
      <w:autoSpaceDE w:val="0"/>
      <w:autoSpaceDN w:val="0"/>
      <w:adjustRightInd w:val="0"/>
      <w:spacing w:before="100" w:beforeAutospacing="1" w:after="100" w:afterAutospacing="1"/>
      <w:jc w:val="right"/>
    </w:pPr>
    <w:rPr>
      <w:rFonts w:ascii="Times New Roman" w:hAnsi="Times New Roman"/>
      <w:sz w:val="16"/>
      <w:szCs w:val="16"/>
      <w:lang w:val="en-US" w:eastAsia="es-AR"/>
    </w:rPr>
  </w:style>
  <w:style w:type="paragraph" w:customStyle="1" w:styleId="xl120">
    <w:name w:val="xl120"/>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1">
    <w:name w:val="xl121"/>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2">
    <w:name w:val="xl122"/>
    <w:basedOn w:val="Normal"/>
    <w:rsid w:val="002831AB"/>
    <w:pPr>
      <w:pBdr>
        <w:top w:val="single" w:sz="4" w:space="0" w:color="000000"/>
        <w:bottom w:val="double" w:sz="6"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3">
    <w:name w:val="xl123"/>
    <w:basedOn w:val="Normal"/>
    <w:rsid w:val="002831AB"/>
    <w:pPr>
      <w:pBdr>
        <w:top w:val="single" w:sz="4" w:space="0" w:color="000000"/>
        <w:bottom w:val="double" w:sz="6" w:space="0" w:color="000000"/>
      </w:pBd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4">
    <w:name w:val="xl124"/>
    <w:basedOn w:val="Normal"/>
    <w:rsid w:val="002831AB"/>
    <w:pPr>
      <w:autoSpaceDE w:val="0"/>
      <w:autoSpaceDN w:val="0"/>
      <w:adjustRightInd w:val="0"/>
      <w:spacing w:before="100" w:beforeAutospacing="1" w:after="100" w:afterAutospacing="1"/>
    </w:pPr>
    <w:rPr>
      <w:rFonts w:ascii="Times New Roman" w:hAnsi="Times New Roman"/>
      <w:sz w:val="16"/>
      <w:szCs w:val="16"/>
      <w:lang w:val="en-US" w:eastAsia="es-AR"/>
    </w:rPr>
  </w:style>
  <w:style w:type="paragraph" w:customStyle="1" w:styleId="xl125">
    <w:name w:val="xl125"/>
    <w:basedOn w:val="Normal"/>
    <w:rsid w:val="002831AB"/>
    <w:pPr>
      <w:pBdr>
        <w:bottom w:val="single" w:sz="4" w:space="0" w:color="000000"/>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26">
    <w:name w:val="xl126"/>
    <w:basedOn w:val="Normal"/>
    <w:rsid w:val="002831AB"/>
    <w:pPr>
      <w:pBdr>
        <w:top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27">
    <w:name w:val="xl127"/>
    <w:basedOn w:val="Normal"/>
    <w:rsid w:val="002831AB"/>
    <w:pPr>
      <w:pBdr>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28">
    <w:name w:val="xl128"/>
    <w:basedOn w:val="Normal"/>
    <w:rsid w:val="002831AB"/>
    <w:pPr>
      <w:pBdr>
        <w:top w:val="single" w:sz="4" w:space="0" w:color="auto"/>
        <w:left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29">
    <w:name w:val="xl129"/>
    <w:basedOn w:val="Normal"/>
    <w:rsid w:val="002831AB"/>
    <w:pPr>
      <w:pBdr>
        <w:top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30">
    <w:name w:val="xl130"/>
    <w:basedOn w:val="Normal"/>
    <w:rsid w:val="002831AB"/>
    <w:pPr>
      <w:pBdr>
        <w:top w:val="single" w:sz="4" w:space="0" w:color="auto"/>
        <w:bottom w:val="single" w:sz="4" w:space="0" w:color="auto"/>
        <w:right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31">
    <w:name w:val="xl131"/>
    <w:basedOn w:val="Normal"/>
    <w:rsid w:val="002831AB"/>
    <w:pPr>
      <w:pBdr>
        <w:bottom w:val="single" w:sz="4" w:space="0" w:color="auto"/>
      </w:pBdr>
      <w:autoSpaceDE w:val="0"/>
      <w:autoSpaceDN w:val="0"/>
      <w:adjustRightInd w:val="0"/>
      <w:spacing w:before="100" w:beforeAutospacing="1" w:after="100" w:afterAutospacing="1"/>
      <w:jc w:val="center"/>
    </w:pPr>
    <w:rPr>
      <w:rFonts w:ascii="Times New Roman" w:hAnsi="Times New Roman"/>
      <w:b/>
      <w:bCs/>
      <w:sz w:val="16"/>
      <w:szCs w:val="16"/>
      <w:lang w:val="en-US" w:eastAsia="es-AR"/>
    </w:rPr>
  </w:style>
  <w:style w:type="paragraph" w:customStyle="1" w:styleId="xl132">
    <w:name w:val="xl132"/>
    <w:basedOn w:val="Normal"/>
    <w:rsid w:val="002831AB"/>
    <w:pPr>
      <w:pBdr>
        <w:top w:val="single" w:sz="4" w:space="0" w:color="auto"/>
        <w:left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33">
    <w:name w:val="xl133"/>
    <w:basedOn w:val="Normal"/>
    <w:rsid w:val="002831AB"/>
    <w:pPr>
      <w:pBdr>
        <w:top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34">
    <w:name w:val="xl134"/>
    <w:basedOn w:val="Normal"/>
    <w:rsid w:val="002831AB"/>
    <w:pPr>
      <w:pBdr>
        <w:top w:val="single" w:sz="4" w:space="0" w:color="auto"/>
        <w:bottom w:val="single" w:sz="4" w:space="0" w:color="auto"/>
        <w:right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35">
    <w:name w:val="xl135"/>
    <w:basedOn w:val="Normal"/>
    <w:rsid w:val="002831AB"/>
    <w:pPr>
      <w:pBdr>
        <w:top w:val="single" w:sz="4" w:space="0" w:color="auto"/>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36">
    <w:name w:val="xl136"/>
    <w:basedOn w:val="Normal"/>
    <w:rsid w:val="002831AB"/>
    <w:pPr>
      <w:pBdr>
        <w:top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37">
    <w:name w:val="xl137"/>
    <w:basedOn w:val="Normal"/>
    <w:rsid w:val="002831AB"/>
    <w:pPr>
      <w:pBdr>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38">
    <w:name w:val="xl138"/>
    <w:basedOn w:val="Normal"/>
    <w:rsid w:val="002831AB"/>
    <w:pP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39">
    <w:name w:val="xl139"/>
    <w:basedOn w:val="Normal"/>
    <w:rsid w:val="002831AB"/>
    <w:pPr>
      <w:pBdr>
        <w:left w:val="single" w:sz="4" w:space="0" w:color="auto"/>
        <w:bottom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0">
    <w:name w:val="xl140"/>
    <w:basedOn w:val="Normal"/>
    <w:rsid w:val="002831AB"/>
    <w:pPr>
      <w:pBdr>
        <w:bottom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1">
    <w:name w:val="xl141"/>
    <w:basedOn w:val="Normal"/>
    <w:rsid w:val="002831AB"/>
    <w:pPr>
      <w:pBdr>
        <w:top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2">
    <w:name w:val="xl142"/>
    <w:basedOn w:val="Normal"/>
    <w:rsid w:val="002831AB"/>
    <w:pPr>
      <w:pBdr>
        <w:bottom w:val="single" w:sz="4" w:space="0" w:color="000000"/>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3">
    <w:name w:val="xl143"/>
    <w:basedOn w:val="Normal"/>
    <w:rsid w:val="002831AB"/>
    <w:pPr>
      <w:pBdr>
        <w:top w:val="single" w:sz="4" w:space="0" w:color="auto"/>
        <w:righ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4">
    <w:name w:val="xl144"/>
    <w:basedOn w:val="Normal"/>
    <w:rsid w:val="002831AB"/>
    <w:pPr>
      <w:pBdr>
        <w:bottom w:val="single" w:sz="4" w:space="0" w:color="000000"/>
        <w:righ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5">
    <w:name w:val="xl145"/>
    <w:basedOn w:val="Normal"/>
    <w:rsid w:val="002831AB"/>
    <w:pPr>
      <w:pBdr>
        <w:top w:val="single" w:sz="4" w:space="0" w:color="auto"/>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6">
    <w:name w:val="xl146"/>
    <w:basedOn w:val="Normal"/>
    <w:rsid w:val="002831AB"/>
    <w:pPr>
      <w:pBdr>
        <w:left w:val="single" w:sz="4" w:space="0" w:color="auto"/>
        <w:bottom w:val="single" w:sz="4" w:space="0" w:color="000000"/>
      </w:pBdr>
      <w:autoSpaceDE w:val="0"/>
      <w:autoSpaceDN w:val="0"/>
      <w:adjustRightInd w:val="0"/>
      <w:spacing w:before="100" w:beforeAutospacing="1" w:after="100" w:afterAutospacing="1"/>
      <w:jc w:val="center"/>
      <w:textAlignment w:val="center"/>
    </w:pPr>
    <w:rPr>
      <w:rFonts w:ascii="Times New Roman" w:hAnsi="Times New Roman"/>
      <w:sz w:val="16"/>
      <w:szCs w:val="16"/>
      <w:lang w:val="en-US" w:eastAsia="es-AR"/>
    </w:rPr>
  </w:style>
  <w:style w:type="paragraph" w:customStyle="1" w:styleId="xl147">
    <w:name w:val="xl147"/>
    <w:basedOn w:val="Normal"/>
    <w:rsid w:val="002831AB"/>
    <w:pPr>
      <w:pBdr>
        <w:bottom w:val="single" w:sz="4" w:space="0" w:color="auto"/>
      </w:pBdr>
      <w:autoSpaceDE w:val="0"/>
      <w:autoSpaceDN w:val="0"/>
      <w:adjustRightInd w:val="0"/>
      <w:spacing w:before="100" w:beforeAutospacing="1" w:after="100" w:afterAutospacing="1"/>
      <w:jc w:val="center"/>
    </w:pPr>
    <w:rPr>
      <w:rFonts w:ascii="Times New Roman" w:hAnsi="Times New Roman"/>
      <w:b/>
      <w:bCs/>
      <w:sz w:val="18"/>
      <w:szCs w:val="18"/>
      <w:lang w:val="en-US" w:eastAsia="es-AR"/>
    </w:rPr>
  </w:style>
  <w:style w:type="paragraph" w:customStyle="1" w:styleId="xl148">
    <w:name w:val="xl148"/>
    <w:basedOn w:val="Normal"/>
    <w:rsid w:val="002831AB"/>
    <w:pPr>
      <w:pBdr>
        <w:top w:val="single" w:sz="4" w:space="0" w:color="auto"/>
        <w:righ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49">
    <w:name w:val="xl149"/>
    <w:basedOn w:val="Normal"/>
    <w:rsid w:val="002831AB"/>
    <w:pPr>
      <w:pBdr>
        <w:bottom w:val="single" w:sz="4" w:space="0" w:color="000000"/>
        <w:righ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0">
    <w:name w:val="xl150"/>
    <w:basedOn w:val="Normal"/>
    <w:rsid w:val="002831AB"/>
    <w:pPr>
      <w:pBdr>
        <w:top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1">
    <w:name w:val="xl151"/>
    <w:basedOn w:val="Normal"/>
    <w:rsid w:val="002831AB"/>
    <w:pPr>
      <w:pBdr>
        <w:top w:val="single" w:sz="4" w:space="0" w:color="auto"/>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2">
    <w:name w:val="xl152"/>
    <w:basedOn w:val="Normal"/>
    <w:rsid w:val="002831AB"/>
    <w:pPr>
      <w:pBdr>
        <w:left w:val="single" w:sz="4" w:space="0" w:color="auto"/>
        <w:bottom w:val="single" w:sz="4" w:space="0" w:color="000000"/>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3">
    <w:name w:val="xl153"/>
    <w:basedOn w:val="Normal"/>
    <w:rsid w:val="002831AB"/>
    <w:pPr>
      <w:pBdr>
        <w:top w:val="single" w:sz="4" w:space="0" w:color="auto"/>
        <w:bottom w:val="single" w:sz="4" w:space="0" w:color="auto"/>
        <w:right w:val="single" w:sz="4" w:space="0" w:color="auto"/>
      </w:pBdr>
      <w:autoSpaceDE w:val="0"/>
      <w:autoSpaceDN w:val="0"/>
      <w:adjustRightInd w:val="0"/>
      <w:spacing w:before="100" w:beforeAutospacing="1" w:after="100" w:afterAutospacing="1"/>
      <w:jc w:val="center"/>
    </w:pPr>
    <w:rPr>
      <w:rFonts w:ascii="Times New Roman" w:hAnsi="Times New Roman"/>
      <w:sz w:val="18"/>
      <w:szCs w:val="18"/>
      <w:lang w:val="en-US" w:eastAsia="es-AR"/>
    </w:rPr>
  </w:style>
  <w:style w:type="paragraph" w:customStyle="1" w:styleId="xl154">
    <w:name w:val="xl154"/>
    <w:basedOn w:val="Normal"/>
    <w:rsid w:val="002831AB"/>
    <w:pPr>
      <w:pBdr>
        <w:top w:val="single" w:sz="4" w:space="0" w:color="auto"/>
        <w:bottom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55">
    <w:name w:val="xl155"/>
    <w:basedOn w:val="Normal"/>
    <w:rsid w:val="002831AB"/>
    <w:pPr>
      <w:pBdr>
        <w:top w:val="single" w:sz="4" w:space="0" w:color="auto"/>
        <w:bottom w:val="single" w:sz="4" w:space="0" w:color="auto"/>
        <w:right w:val="single" w:sz="4" w:space="0" w:color="auto"/>
      </w:pBdr>
      <w:autoSpaceDE w:val="0"/>
      <w:autoSpaceDN w:val="0"/>
      <w:adjustRightInd w:val="0"/>
      <w:spacing w:before="100" w:beforeAutospacing="1" w:after="100" w:afterAutospacing="1"/>
      <w:jc w:val="center"/>
    </w:pPr>
    <w:rPr>
      <w:rFonts w:ascii="Times New Roman" w:hAnsi="Times New Roman"/>
      <w:sz w:val="16"/>
      <w:szCs w:val="16"/>
      <w:lang w:val="en-US" w:eastAsia="es-AR"/>
    </w:rPr>
  </w:style>
  <w:style w:type="paragraph" w:customStyle="1" w:styleId="xl156">
    <w:name w:val="xl156"/>
    <w:basedOn w:val="Normal"/>
    <w:rsid w:val="002831AB"/>
    <w:pPr>
      <w:pBdr>
        <w:top w:val="single" w:sz="4" w:space="0" w:color="auto"/>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7">
    <w:name w:val="xl157"/>
    <w:basedOn w:val="Normal"/>
    <w:rsid w:val="002831AB"/>
    <w:pPr>
      <w:pBdr>
        <w:top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8">
    <w:name w:val="xl158"/>
    <w:basedOn w:val="Normal"/>
    <w:rsid w:val="002831AB"/>
    <w:pPr>
      <w:pBdr>
        <w:left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59">
    <w:name w:val="xl159"/>
    <w:basedOn w:val="Normal"/>
    <w:rsid w:val="002831AB"/>
    <w:pP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60">
    <w:name w:val="xl160"/>
    <w:basedOn w:val="Normal"/>
    <w:rsid w:val="002831AB"/>
    <w:pPr>
      <w:pBdr>
        <w:left w:val="single" w:sz="4" w:space="0" w:color="auto"/>
        <w:bottom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paragraph" w:customStyle="1" w:styleId="xl161">
    <w:name w:val="xl161"/>
    <w:basedOn w:val="Normal"/>
    <w:rsid w:val="002831AB"/>
    <w:pPr>
      <w:pBdr>
        <w:bottom w:val="single" w:sz="4" w:space="0" w:color="auto"/>
      </w:pBdr>
      <w:autoSpaceDE w:val="0"/>
      <w:autoSpaceDN w:val="0"/>
      <w:adjustRightInd w:val="0"/>
      <w:spacing w:before="100" w:beforeAutospacing="1" w:after="100" w:afterAutospacing="1"/>
      <w:jc w:val="center"/>
      <w:textAlignment w:val="center"/>
    </w:pPr>
    <w:rPr>
      <w:rFonts w:ascii="Times New Roman" w:hAnsi="Times New Roman"/>
      <w:sz w:val="18"/>
      <w:szCs w:val="18"/>
      <w:lang w:val="en-US" w:eastAsia="es-AR"/>
    </w:rPr>
  </w:style>
  <w:style w:type="character" w:customStyle="1" w:styleId="BulletCar">
    <w:name w:val="Bullet Car"/>
    <w:link w:val="Bullet"/>
    <w:locked/>
    <w:rsid w:val="002831AB"/>
    <w:rPr>
      <w:rFonts w:ascii="Times New Roman" w:eastAsia="SimSun" w:hAnsi="Times New Roman"/>
      <w:sz w:val="24"/>
      <w:lang w:val="en-US" w:eastAsia="x-none"/>
    </w:rPr>
  </w:style>
  <w:style w:type="character" w:customStyle="1" w:styleId="st">
    <w:name w:val="st"/>
    <w:rsid w:val="002831AB"/>
    <w:rPr>
      <w:rFonts w:cs="Times New Roman"/>
    </w:rPr>
  </w:style>
  <w:style w:type="paragraph" w:customStyle="1" w:styleId="Textodebloque1">
    <w:name w:val="Texto de bloque1"/>
    <w:basedOn w:val="Normal"/>
    <w:rsid w:val="002831AB"/>
    <w:pPr>
      <w:ind w:left="284" w:right="284" w:firstLine="709"/>
      <w:jc w:val="both"/>
    </w:pPr>
    <w:rPr>
      <w:rFonts w:ascii="Book Antiqua" w:hAnsi="Book Antiqua"/>
      <w:kern w:val="18"/>
      <w:lang w:val="es-ES" w:eastAsia="es-ES"/>
    </w:rPr>
  </w:style>
  <w:style w:type="paragraph" w:customStyle="1" w:styleId="Sangra2detindependiente1">
    <w:name w:val="Sangría 2 de t. independiente1"/>
    <w:basedOn w:val="Normal"/>
    <w:rsid w:val="002831AB"/>
    <w:pPr>
      <w:ind w:left="284" w:firstLine="709"/>
      <w:jc w:val="both"/>
    </w:pPr>
    <w:rPr>
      <w:rFonts w:ascii="Book Antiqua" w:hAnsi="Book Antiqua"/>
      <w:kern w:val="18"/>
      <w:lang w:val="es-ES" w:eastAsia="es-ES"/>
    </w:rPr>
  </w:style>
  <w:style w:type="paragraph" w:customStyle="1" w:styleId="Saludo1">
    <w:name w:val="Saludo1"/>
    <w:basedOn w:val="Normal"/>
    <w:next w:val="Normal"/>
    <w:rsid w:val="002831AB"/>
    <w:pPr>
      <w:spacing w:before="240" w:after="240" w:line="240" w:lineRule="atLeast"/>
    </w:pPr>
    <w:rPr>
      <w:rFonts w:ascii="Garamond" w:hAnsi="Garamond"/>
      <w:kern w:val="18"/>
      <w:lang w:val="es-ES" w:eastAsia="es-ES"/>
    </w:rPr>
  </w:style>
  <w:style w:type="paragraph" w:customStyle="1" w:styleId="Fecha1">
    <w:name w:val="Fecha1"/>
    <w:basedOn w:val="Normal"/>
    <w:next w:val="Normal"/>
    <w:rsid w:val="002831AB"/>
    <w:pPr>
      <w:spacing w:after="220"/>
      <w:ind w:left="4320"/>
      <w:jc w:val="both"/>
    </w:pPr>
    <w:rPr>
      <w:rFonts w:ascii="Garamond" w:hAnsi="Garamond"/>
      <w:kern w:val="18"/>
      <w:lang w:val="es-ES" w:eastAsia="es-ES"/>
    </w:rPr>
  </w:style>
  <w:style w:type="character" w:customStyle="1" w:styleId="nfasis1">
    <w:name w:val="Énfasis1"/>
    <w:rsid w:val="002831AB"/>
    <w:rPr>
      <w:caps/>
      <w:sz w:val="18"/>
    </w:rPr>
  </w:style>
  <w:style w:type="paragraph" w:customStyle="1" w:styleId="Documentosadjuntos">
    <w:name w:val="Documentos adjuntos"/>
    <w:basedOn w:val="Normal"/>
    <w:next w:val="Normal"/>
    <w:rsid w:val="002831AB"/>
    <w:pPr>
      <w:keepNext/>
      <w:keepLines/>
      <w:spacing w:before="120" w:after="120" w:line="240" w:lineRule="atLeast"/>
      <w:jc w:val="both"/>
    </w:pPr>
    <w:rPr>
      <w:rFonts w:ascii="Garamond" w:hAnsi="Garamond"/>
      <w:kern w:val="18"/>
      <w:lang w:val="es-ES" w:eastAsia="es-ES"/>
    </w:rPr>
  </w:style>
  <w:style w:type="paragraph" w:customStyle="1" w:styleId="Lneadeatencin">
    <w:name w:val="Línea de atención"/>
    <w:basedOn w:val="Normal"/>
    <w:next w:val="Saludo1"/>
    <w:rsid w:val="002831AB"/>
    <w:pPr>
      <w:spacing w:before="220" w:line="240" w:lineRule="atLeast"/>
    </w:pPr>
    <w:rPr>
      <w:rFonts w:ascii="Garamond" w:hAnsi="Garamond"/>
      <w:kern w:val="18"/>
      <w:lang w:val="es-ES" w:eastAsia="es-ES"/>
    </w:rPr>
  </w:style>
  <w:style w:type="paragraph" w:customStyle="1" w:styleId="ListaCC">
    <w:name w:val="Lista CC"/>
    <w:basedOn w:val="Normal"/>
    <w:rsid w:val="002831AB"/>
    <w:pPr>
      <w:keepLines/>
      <w:spacing w:line="240" w:lineRule="atLeast"/>
      <w:ind w:left="360" w:hanging="360"/>
    </w:pPr>
    <w:rPr>
      <w:rFonts w:ascii="Garamond" w:hAnsi="Garamond"/>
      <w:kern w:val="18"/>
      <w:lang w:val="es-ES" w:eastAsia="es-ES"/>
    </w:rPr>
  </w:style>
  <w:style w:type="paragraph" w:customStyle="1" w:styleId="Organizacin">
    <w:name w:val="Organización"/>
    <w:basedOn w:val="Textoindependiente"/>
    <w:next w:val="Textoindependiente"/>
    <w:rsid w:val="002831AB"/>
    <w:pPr>
      <w:keepLines/>
      <w:framePr w:w="8640" w:h="1440" w:wrap="notBeside" w:vAnchor="page" w:hAnchor="margin" w:xAlign="center" w:y="889"/>
      <w:autoSpaceDE/>
      <w:autoSpaceDN/>
      <w:adjustRightInd/>
      <w:spacing w:after="40" w:line="240" w:lineRule="atLeast"/>
      <w:jc w:val="center"/>
    </w:pPr>
    <w:rPr>
      <w:rFonts w:ascii="Garamond" w:hAnsi="Garamond"/>
      <w:caps/>
      <w:spacing w:val="75"/>
      <w:kern w:val="18"/>
      <w:sz w:val="21"/>
      <w:lang w:val="es-ES" w:eastAsia="es-ES"/>
    </w:rPr>
  </w:style>
  <w:style w:type="paragraph" w:customStyle="1" w:styleId="Ttulo-base">
    <w:name w:val="Título - base"/>
    <w:basedOn w:val="Textoindependiente"/>
    <w:next w:val="Textoindependiente"/>
    <w:rsid w:val="002831AB"/>
    <w:pPr>
      <w:keepNext/>
      <w:keepLines/>
      <w:autoSpaceDE/>
      <w:autoSpaceDN/>
      <w:adjustRightInd/>
      <w:spacing w:after="0" w:line="240" w:lineRule="atLeast"/>
    </w:pPr>
    <w:rPr>
      <w:rFonts w:ascii="Garamond" w:hAnsi="Garamond"/>
      <w:kern w:val="20"/>
      <w:lang w:val="es-ES" w:eastAsia="es-ES"/>
    </w:rPr>
  </w:style>
  <w:style w:type="paragraph" w:customStyle="1" w:styleId="Direccininterior">
    <w:name w:val="Dirección interior"/>
    <w:basedOn w:val="Normal"/>
    <w:rsid w:val="002831AB"/>
    <w:pPr>
      <w:spacing w:line="240" w:lineRule="atLeast"/>
    </w:pPr>
    <w:rPr>
      <w:rFonts w:ascii="Garamond" w:hAnsi="Garamond"/>
      <w:kern w:val="18"/>
      <w:lang w:val="es-ES" w:eastAsia="es-ES"/>
    </w:rPr>
  </w:style>
  <w:style w:type="paragraph" w:customStyle="1" w:styleId="Nombredireccin">
    <w:name w:val="Nombre dirección"/>
    <w:basedOn w:val="Direccininterior"/>
    <w:next w:val="Direccininterior"/>
    <w:rsid w:val="002831AB"/>
    <w:pPr>
      <w:spacing w:before="220"/>
    </w:pPr>
  </w:style>
  <w:style w:type="paragraph" w:customStyle="1" w:styleId="Inicialesdereferencia">
    <w:name w:val="Iniciales de referencia"/>
    <w:basedOn w:val="Normal"/>
    <w:next w:val="Documentosadjuntos"/>
    <w:rsid w:val="002831AB"/>
    <w:pPr>
      <w:keepNext/>
      <w:spacing w:before="220" w:line="240" w:lineRule="atLeast"/>
    </w:pPr>
    <w:rPr>
      <w:rFonts w:ascii="Garamond" w:hAnsi="Garamond"/>
      <w:kern w:val="18"/>
      <w:lang w:val="es-ES" w:eastAsia="es-ES"/>
    </w:rPr>
  </w:style>
  <w:style w:type="paragraph" w:customStyle="1" w:styleId="Instruccionesenvocorreo">
    <w:name w:val="Instrucciones envío correo"/>
    <w:basedOn w:val="Normal"/>
    <w:next w:val="Nombredireccin"/>
    <w:rsid w:val="002831AB"/>
    <w:pPr>
      <w:keepNext/>
      <w:spacing w:after="240" w:line="240" w:lineRule="atLeast"/>
    </w:pPr>
    <w:rPr>
      <w:rFonts w:ascii="Garamond" w:hAnsi="Garamond"/>
      <w:caps/>
      <w:kern w:val="18"/>
      <w:lang w:val="es-ES" w:eastAsia="es-ES"/>
    </w:rPr>
  </w:style>
  <w:style w:type="paragraph" w:customStyle="1" w:styleId="Lneadereferencia">
    <w:name w:val="Línea de referencia"/>
    <w:basedOn w:val="Normal"/>
    <w:next w:val="Instruccionesenvocorreo"/>
    <w:rsid w:val="002831AB"/>
    <w:pPr>
      <w:keepNext/>
      <w:spacing w:after="240" w:line="240" w:lineRule="atLeast"/>
    </w:pPr>
    <w:rPr>
      <w:rFonts w:ascii="Garamond" w:hAnsi="Garamond"/>
      <w:kern w:val="18"/>
      <w:lang w:val="es-ES" w:eastAsia="es-ES"/>
    </w:rPr>
  </w:style>
  <w:style w:type="paragraph" w:customStyle="1" w:styleId="Encabezadoprimero">
    <w:name w:val="Encabezado primero"/>
    <w:basedOn w:val="Encabezado"/>
    <w:rsid w:val="002831AB"/>
    <w:pPr>
      <w:keepLines/>
      <w:tabs>
        <w:tab w:val="clear" w:pos="4680"/>
        <w:tab w:val="clear" w:pos="9360"/>
        <w:tab w:val="center" w:pos="4320"/>
        <w:tab w:val="right" w:pos="8640"/>
      </w:tabs>
      <w:autoSpaceDE/>
      <w:autoSpaceDN/>
      <w:adjustRightInd/>
      <w:spacing w:after="880" w:line="240" w:lineRule="atLeast"/>
    </w:pPr>
    <w:rPr>
      <w:rFonts w:ascii="Garamond" w:hAnsi="Garamond"/>
      <w:smallCaps/>
      <w:kern w:val="18"/>
      <w:lang w:val="es-ES"/>
    </w:rPr>
  </w:style>
  <w:style w:type="paragraph" w:customStyle="1" w:styleId="Firmaorganizacin">
    <w:name w:val="Firma organización"/>
    <w:basedOn w:val="Firma"/>
    <w:next w:val="Inicialesdereferencia"/>
    <w:rsid w:val="002831AB"/>
    <w:pPr>
      <w:keepNext/>
      <w:spacing w:line="240" w:lineRule="atLeast"/>
    </w:pPr>
    <w:rPr>
      <w:rFonts w:ascii="Garamond" w:hAnsi="Garamond"/>
      <w:kern w:val="18"/>
      <w:lang w:val="es-ES"/>
    </w:rPr>
  </w:style>
  <w:style w:type="paragraph" w:customStyle="1" w:styleId="Firmapuesto">
    <w:name w:val="Firma puesto"/>
    <w:basedOn w:val="Firma"/>
    <w:next w:val="Firmaorganizacin"/>
    <w:rsid w:val="002831AB"/>
    <w:pPr>
      <w:keepNext/>
      <w:spacing w:line="240" w:lineRule="atLeast"/>
    </w:pPr>
    <w:rPr>
      <w:rFonts w:ascii="Garamond" w:hAnsi="Garamond"/>
      <w:kern w:val="18"/>
      <w:lang w:val="es-ES"/>
    </w:rPr>
  </w:style>
  <w:style w:type="character" w:customStyle="1" w:styleId="Eslogan">
    <w:name w:val="Eslogan"/>
    <w:rsid w:val="002831AB"/>
    <w:rPr>
      <w:i/>
      <w:spacing w:val="70"/>
    </w:rPr>
  </w:style>
  <w:style w:type="paragraph" w:customStyle="1" w:styleId="Lneadeasunto">
    <w:name w:val="Línea de asunto"/>
    <w:basedOn w:val="Normal"/>
    <w:next w:val="Textoindependiente"/>
    <w:rsid w:val="002831AB"/>
    <w:pPr>
      <w:spacing w:after="180" w:line="240" w:lineRule="atLeast"/>
      <w:ind w:left="360" w:hanging="360"/>
    </w:pPr>
    <w:rPr>
      <w:rFonts w:ascii="Garamond" w:hAnsi="Garamond"/>
      <w:caps/>
      <w:kern w:val="18"/>
      <w:sz w:val="21"/>
      <w:lang w:val="es-ES" w:eastAsia="es-ES"/>
    </w:rPr>
  </w:style>
  <w:style w:type="paragraph" w:customStyle="1" w:styleId="Sangra3detindependiente1">
    <w:name w:val="Sangría 3 de t. independiente1"/>
    <w:basedOn w:val="Normal"/>
    <w:rsid w:val="002831AB"/>
    <w:pPr>
      <w:tabs>
        <w:tab w:val="left" w:pos="567"/>
      </w:tabs>
      <w:ind w:left="1134" w:hanging="567"/>
      <w:jc w:val="both"/>
    </w:pPr>
    <w:rPr>
      <w:rFonts w:ascii="Book Antiqua" w:hAnsi="Book Antiqua"/>
      <w:kern w:val="18"/>
      <w:lang w:val="es-ES" w:eastAsia="es-ES"/>
    </w:rPr>
  </w:style>
  <w:style w:type="paragraph" w:customStyle="1" w:styleId="novedad">
    <w:name w:val="novedad"/>
    <w:basedOn w:val="Normal"/>
    <w:rsid w:val="002831AB"/>
    <w:pPr>
      <w:shd w:val="clear" w:color="auto" w:fill="FFFFFF"/>
      <w:jc w:val="both"/>
    </w:pPr>
    <w:rPr>
      <w:rFonts w:ascii="Arial" w:hAnsi="Arial" w:cs="Arial"/>
      <w:color w:val="666465"/>
      <w:sz w:val="17"/>
      <w:szCs w:val="17"/>
      <w:lang w:val="es-ES" w:eastAsia="es-ES"/>
    </w:rPr>
  </w:style>
  <w:style w:type="paragraph" w:customStyle="1" w:styleId="bodytext210">
    <w:name w:val="bodytext21"/>
    <w:basedOn w:val="Normal"/>
    <w:rsid w:val="002831AB"/>
    <w:pPr>
      <w:ind w:left="284" w:firstLine="709"/>
      <w:jc w:val="both"/>
    </w:pPr>
    <w:rPr>
      <w:rFonts w:ascii="Book Antiqua" w:hAnsi="Book Antiqua"/>
      <w:lang w:val="es-ES" w:eastAsia="es-ES"/>
    </w:rPr>
  </w:style>
  <w:style w:type="paragraph" w:customStyle="1" w:styleId="s8-3675">
    <w:name w:val="s8-3675"/>
    <w:basedOn w:val="Normal"/>
    <w:rsid w:val="002831AB"/>
    <w:pPr>
      <w:ind w:firstLine="567"/>
      <w:jc w:val="both"/>
    </w:pPr>
    <w:rPr>
      <w:rFonts w:ascii="Arial" w:hAnsi="Arial" w:cs="Arial"/>
      <w:lang w:val="es-ES" w:eastAsia="es-ES"/>
    </w:rPr>
  </w:style>
  <w:style w:type="paragraph" w:customStyle="1" w:styleId="s13-3675">
    <w:name w:val="s13-3675"/>
    <w:basedOn w:val="Normal"/>
    <w:rsid w:val="002831AB"/>
    <w:pPr>
      <w:ind w:firstLine="567"/>
      <w:jc w:val="both"/>
    </w:pPr>
    <w:rPr>
      <w:rFonts w:ascii="Arial" w:hAnsi="Arial" w:cs="Arial"/>
      <w:color w:val="FF0000"/>
      <w:lang w:val="es-ES" w:eastAsia="es-ES"/>
    </w:rPr>
  </w:style>
  <w:style w:type="paragraph" w:customStyle="1" w:styleId="s30-3675">
    <w:name w:val="s30-3675"/>
    <w:basedOn w:val="Normal"/>
    <w:rsid w:val="002831AB"/>
    <w:pPr>
      <w:ind w:firstLine="567"/>
      <w:jc w:val="both"/>
    </w:pPr>
    <w:rPr>
      <w:rFonts w:ascii="Times New Roman" w:hAnsi="Times New Roman"/>
      <w:sz w:val="24"/>
      <w:szCs w:val="24"/>
      <w:lang w:val="es-ES" w:eastAsia="es-ES"/>
    </w:rPr>
  </w:style>
  <w:style w:type="character" w:customStyle="1" w:styleId="FooterChar">
    <w:name w:val="Footer Char"/>
    <w:semiHidden/>
    <w:locked/>
    <w:rsid w:val="002831AB"/>
    <w:rPr>
      <w:sz w:val="24"/>
      <w:lang w:val="es-ES" w:eastAsia="es-ES"/>
    </w:rPr>
  </w:style>
  <w:style w:type="character" w:customStyle="1" w:styleId="CarCar4">
    <w:name w:val="Car Car4"/>
    <w:rsid w:val="002831AB"/>
    <w:rPr>
      <w:rFonts w:ascii="Garamond" w:hAnsi="Garamond"/>
      <w:kern w:val="18"/>
      <w:lang w:val="es-ES" w:eastAsia="es-ES"/>
    </w:rPr>
  </w:style>
  <w:style w:type="character" w:customStyle="1" w:styleId="CarCar9">
    <w:name w:val="Car Car9"/>
    <w:rsid w:val="002831AB"/>
    <w:rPr>
      <w:rFonts w:ascii="Garamond" w:hAnsi="Garamond"/>
      <w:kern w:val="18"/>
      <w:lang w:val="es-ES" w:eastAsia="es-ES"/>
    </w:rPr>
  </w:style>
  <w:style w:type="paragraph" w:customStyle="1" w:styleId="s5">
    <w:name w:val="s5"/>
    <w:basedOn w:val="Normal"/>
    <w:rsid w:val="002831AB"/>
    <w:pPr>
      <w:jc w:val="both"/>
    </w:pPr>
    <w:rPr>
      <w:rFonts w:ascii="Arial" w:hAnsi="Arial" w:cs="Arial"/>
      <w:lang w:val="es-ES" w:eastAsia="es-ES"/>
    </w:rPr>
  </w:style>
  <w:style w:type="paragraph" w:customStyle="1" w:styleId="s16">
    <w:name w:val="s16"/>
    <w:basedOn w:val="Normal"/>
    <w:rsid w:val="002831AB"/>
    <w:pPr>
      <w:ind w:left="680" w:hanging="57"/>
      <w:jc w:val="both"/>
    </w:pPr>
    <w:rPr>
      <w:rFonts w:ascii="Arial" w:hAnsi="Arial" w:cs="Arial"/>
      <w:lang w:val="es-ES" w:eastAsia="es-ES"/>
    </w:rPr>
  </w:style>
  <w:style w:type="paragraph" w:customStyle="1" w:styleId="s2-3675">
    <w:name w:val="s2-3675"/>
    <w:basedOn w:val="Normal"/>
    <w:rsid w:val="002831AB"/>
    <w:pPr>
      <w:ind w:firstLine="284"/>
      <w:jc w:val="both"/>
    </w:pPr>
    <w:rPr>
      <w:rFonts w:ascii="Arial" w:hAnsi="Arial" w:cs="Arial"/>
      <w:lang w:val="en-US" w:eastAsia="es-AR"/>
    </w:rPr>
  </w:style>
  <w:style w:type="character" w:customStyle="1" w:styleId="CarCar11">
    <w:name w:val="Car Car11"/>
    <w:rsid w:val="002831AB"/>
    <w:rPr>
      <w:rFonts w:ascii="Garamond" w:hAnsi="Garamond"/>
      <w:caps/>
      <w:kern w:val="18"/>
      <w:sz w:val="21"/>
      <w:lang w:val="es-ES" w:eastAsia="es-ES"/>
    </w:rPr>
  </w:style>
  <w:style w:type="paragraph" w:customStyle="1" w:styleId="s14">
    <w:name w:val="s14"/>
    <w:basedOn w:val="Normal"/>
    <w:rsid w:val="002831AB"/>
    <w:rPr>
      <w:rFonts w:ascii="Times New Roman" w:hAnsi="Times New Roman"/>
      <w:color w:val="333333"/>
      <w:lang w:val="en-US" w:eastAsia="es-AR"/>
    </w:rPr>
  </w:style>
  <w:style w:type="paragraph" w:customStyle="1" w:styleId="s17">
    <w:name w:val="s17"/>
    <w:basedOn w:val="Normal"/>
    <w:rsid w:val="002831AB"/>
    <w:rPr>
      <w:rFonts w:ascii="Times New Roman" w:hAnsi="Times New Roman"/>
      <w:color w:val="333333"/>
      <w:lang w:val="en-US" w:eastAsia="es-AR"/>
    </w:rPr>
  </w:style>
  <w:style w:type="paragraph" w:customStyle="1" w:styleId="Textoindependiente24">
    <w:name w:val="Texto independiente 24"/>
    <w:basedOn w:val="Normal"/>
    <w:rsid w:val="002831AB"/>
    <w:pPr>
      <w:ind w:left="284" w:firstLine="709"/>
      <w:jc w:val="both"/>
    </w:pPr>
    <w:rPr>
      <w:rFonts w:ascii="Book Antiqua" w:hAnsi="Book Antiqua"/>
      <w:kern w:val="18"/>
      <w:lang w:val="es-ES" w:eastAsia="es-ES"/>
    </w:rPr>
  </w:style>
  <w:style w:type="paragraph" w:customStyle="1" w:styleId="Normal10">
    <w:name w:val="Normal 10"/>
    <w:rsid w:val="002831AB"/>
    <w:pPr>
      <w:spacing w:after="120"/>
      <w:jc w:val="both"/>
    </w:pPr>
    <w:rPr>
      <w:rFonts w:ascii="Times New Roman" w:eastAsia="MS Mincho" w:hAnsi="Times New Roman"/>
    </w:rPr>
  </w:style>
  <w:style w:type="paragraph" w:customStyle="1" w:styleId="CarCarCarCarCarCar1CarCarCarCarCarCarCarCarCarCarCarCarCarCarCar1Car">
    <w:name w:val="Car Car Car Car Car Car1 Car Car Car Car Car Car Car Car Car Car Car Car Car Car Car1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Bullet39Sgl">
    <w:name w:val="Bullet .39 Sgl"/>
    <w:basedOn w:val="Normal"/>
    <w:rsid w:val="002831AB"/>
    <w:pPr>
      <w:tabs>
        <w:tab w:val="num" w:pos="360"/>
        <w:tab w:val="left" w:pos="850"/>
      </w:tabs>
      <w:autoSpaceDE w:val="0"/>
      <w:autoSpaceDN w:val="0"/>
      <w:adjustRightInd w:val="0"/>
      <w:spacing w:after="240"/>
    </w:pPr>
    <w:rPr>
      <w:rFonts w:ascii="Times New Roman" w:hAnsi="Times New Roman"/>
      <w:sz w:val="22"/>
      <w:szCs w:val="22"/>
      <w:lang w:val="en-US" w:eastAsia="es-AR"/>
    </w:rPr>
  </w:style>
  <w:style w:type="paragraph" w:customStyle="1" w:styleId="Line">
    <w:name w:val="Line"/>
    <w:basedOn w:val="Normal"/>
    <w:rsid w:val="002831AB"/>
    <w:pPr>
      <w:autoSpaceDE w:val="0"/>
      <w:autoSpaceDN w:val="0"/>
      <w:adjustRightInd w:val="0"/>
      <w:ind w:left="4003" w:right="3874"/>
      <w:jc w:val="center"/>
    </w:pPr>
    <w:rPr>
      <w:rFonts w:ascii="Times New Roman" w:hAnsi="Times New Roman"/>
      <w:b/>
      <w:bCs/>
      <w:i/>
      <w:iCs/>
      <w:lang w:val="en-US" w:eastAsia="es-AR"/>
    </w:rPr>
  </w:style>
  <w:style w:type="character" w:customStyle="1" w:styleId="TABLES10PT">
    <w:name w:val="TABLES10PT"/>
    <w:rsid w:val="002831AB"/>
    <w:rPr>
      <w:rFonts w:ascii="Times New Roman" w:hAnsi="Times New Roman"/>
      <w:sz w:val="20"/>
    </w:rPr>
  </w:style>
  <w:style w:type="paragraph" w:customStyle="1" w:styleId="CPNormalLeft">
    <w:name w:val="CPNormalLeft"/>
    <w:basedOn w:val="CPNormal"/>
    <w:rsid w:val="002831AB"/>
    <w:pPr>
      <w:tabs>
        <w:tab w:val="clear" w:pos="567"/>
      </w:tabs>
      <w:spacing w:line="240" w:lineRule="auto"/>
      <w:ind w:firstLine="0"/>
      <w:jc w:val="left"/>
    </w:pPr>
    <w:rPr>
      <w:sz w:val="21"/>
      <w:szCs w:val="21"/>
    </w:rPr>
  </w:style>
  <w:style w:type="paragraph" w:customStyle="1" w:styleId="CPN-Leftbold">
    <w:name w:val="CPN-Left/bold"/>
    <w:basedOn w:val="CPNNormal"/>
    <w:rsid w:val="002831AB"/>
    <w:pPr>
      <w:keepNext/>
      <w:keepLines/>
      <w:widowControl w:val="0"/>
      <w:tabs>
        <w:tab w:val="clear" w:pos="-720"/>
        <w:tab w:val="clear" w:pos="990"/>
      </w:tabs>
      <w:spacing w:line="260" w:lineRule="exact"/>
      <w:ind w:firstLine="0"/>
    </w:pPr>
    <w:rPr>
      <w:rFonts w:ascii="Calibri" w:hAnsi="Calibri"/>
      <w:b/>
      <w:bCs/>
      <w:color w:val="000000"/>
      <w:lang w:val="es-AR"/>
    </w:rPr>
  </w:style>
  <w:style w:type="paragraph" w:customStyle="1" w:styleId="CPTableText">
    <w:name w:val="CPTableText"/>
    <w:basedOn w:val="CPNormal"/>
    <w:rsid w:val="002831AB"/>
    <w:pPr>
      <w:widowControl/>
      <w:ind w:firstLine="0"/>
    </w:pPr>
  </w:style>
  <w:style w:type="paragraph" w:customStyle="1" w:styleId="Tablealpha">
    <w:name w:val="Table alpha"/>
    <w:basedOn w:val="Normal"/>
    <w:rsid w:val="002831AB"/>
    <w:pPr>
      <w:tabs>
        <w:tab w:val="num" w:pos="567"/>
      </w:tabs>
      <w:autoSpaceDE w:val="0"/>
      <w:autoSpaceDN w:val="0"/>
      <w:adjustRightInd w:val="0"/>
      <w:spacing w:before="60" w:after="60" w:line="290" w:lineRule="auto"/>
      <w:ind w:left="567" w:hanging="567"/>
    </w:pPr>
    <w:rPr>
      <w:rFonts w:ascii="Arial" w:hAnsi="Arial" w:cs="Arial"/>
      <w:kern w:val="20"/>
      <w:lang w:val="en-GB" w:eastAsia="es-AR"/>
    </w:rPr>
  </w:style>
  <w:style w:type="paragraph" w:customStyle="1" w:styleId="ListExh">
    <w:name w:val="List Exh."/>
    <w:basedOn w:val="Normal"/>
    <w:next w:val="Normal"/>
    <w:rsid w:val="002831AB"/>
    <w:pPr>
      <w:tabs>
        <w:tab w:val="num" w:pos="360"/>
      </w:tabs>
      <w:autoSpaceDE w:val="0"/>
      <w:autoSpaceDN w:val="0"/>
      <w:adjustRightInd w:val="0"/>
      <w:spacing w:after="240"/>
    </w:pPr>
    <w:rPr>
      <w:rFonts w:ascii="Times New Roman" w:hAnsi="Times New Roman"/>
      <w:noProof/>
      <w:lang w:val="en-US" w:eastAsia="es-AR"/>
    </w:rPr>
  </w:style>
  <w:style w:type="paragraph" w:customStyle="1" w:styleId="Title10">
    <w:name w:val="Title 10"/>
    <w:basedOn w:val="Normal"/>
    <w:rsid w:val="002831AB"/>
    <w:pPr>
      <w:autoSpaceDE w:val="0"/>
      <w:autoSpaceDN w:val="0"/>
      <w:adjustRightInd w:val="0"/>
      <w:spacing w:after="60"/>
      <w:jc w:val="center"/>
    </w:pPr>
    <w:rPr>
      <w:rFonts w:ascii="Times New Roman" w:hAnsi="Times New Roman"/>
      <w:lang w:val="en-US" w:eastAsia="es-AR"/>
    </w:rPr>
  </w:style>
  <w:style w:type="paragraph" w:customStyle="1" w:styleId="TABLENOTESLEFTJ">
    <w:name w:val="TABLE NOTES LEFT J"/>
    <w:basedOn w:val="TABLENOTES2"/>
    <w:rsid w:val="002831AB"/>
    <w:rPr>
      <w:sz w:val="20"/>
      <w:szCs w:val="20"/>
    </w:rPr>
  </w:style>
  <w:style w:type="paragraph" w:customStyle="1" w:styleId="TABLENOTES2">
    <w:name w:val="TABLE NOTES"/>
    <w:basedOn w:val="Normal"/>
    <w:next w:val="Normal"/>
    <w:rsid w:val="002831AB"/>
    <w:pPr>
      <w:autoSpaceDE w:val="0"/>
      <w:autoSpaceDN w:val="0"/>
      <w:adjustRightInd w:val="0"/>
      <w:ind w:left="432" w:hanging="432"/>
    </w:pPr>
    <w:rPr>
      <w:rFonts w:ascii="Times New Roman" w:hAnsi="Times New Roman"/>
      <w:sz w:val="14"/>
      <w:szCs w:val="14"/>
      <w:lang w:val="en-US" w:eastAsia="es-AR"/>
    </w:rPr>
  </w:style>
  <w:style w:type="paragraph" w:customStyle="1" w:styleId="CPN-Ctr-bold">
    <w:name w:val="CPN-Ctr-bold"/>
    <w:basedOn w:val="Normal"/>
    <w:rsid w:val="002831AB"/>
    <w:pPr>
      <w:keepNext/>
      <w:keepLines/>
      <w:tabs>
        <w:tab w:val="left" w:pos="567"/>
      </w:tabs>
      <w:autoSpaceDE w:val="0"/>
      <w:autoSpaceDN w:val="0"/>
      <w:adjustRightInd w:val="0"/>
      <w:spacing w:after="240" w:line="230" w:lineRule="exact"/>
      <w:jc w:val="center"/>
    </w:pPr>
    <w:rPr>
      <w:rFonts w:ascii="Times New Roman" w:hAnsi="Times New Roman"/>
      <w:b/>
      <w:bCs/>
      <w:sz w:val="22"/>
      <w:szCs w:val="22"/>
      <w:lang w:val="en-US" w:eastAsia="es-AR"/>
    </w:rPr>
  </w:style>
  <w:style w:type="paragraph" w:customStyle="1" w:styleId="LISTIB">
    <w:name w:val="LISTIB"/>
    <w:basedOn w:val="Normal"/>
    <w:rsid w:val="002831AB"/>
    <w:pPr>
      <w:keepNext/>
      <w:autoSpaceDE w:val="0"/>
      <w:autoSpaceDN w:val="0"/>
      <w:adjustRightInd w:val="0"/>
      <w:spacing w:after="240"/>
      <w:ind w:left="720"/>
    </w:pPr>
    <w:rPr>
      <w:rFonts w:ascii="Times New Roman" w:hAnsi="Times New Roman"/>
      <w:b/>
      <w:bCs/>
      <w:i/>
      <w:iCs/>
      <w:sz w:val="22"/>
      <w:szCs w:val="22"/>
      <w:lang w:val="en-US" w:eastAsia="es-AR"/>
    </w:rPr>
  </w:style>
  <w:style w:type="paragraph" w:customStyle="1" w:styleId="openingparas">
    <w:name w:val="opening paras"/>
    <w:basedOn w:val="Normal"/>
    <w:rsid w:val="002831AB"/>
    <w:pPr>
      <w:autoSpaceDE w:val="0"/>
      <w:autoSpaceDN w:val="0"/>
      <w:adjustRightInd w:val="0"/>
      <w:spacing w:after="120"/>
      <w:jc w:val="both"/>
    </w:pPr>
    <w:rPr>
      <w:rFonts w:ascii="Arial" w:hAnsi="Arial" w:cs="Arial"/>
      <w:sz w:val="18"/>
      <w:szCs w:val="18"/>
      <w:lang w:val="en-US" w:eastAsia="es-AR"/>
    </w:rPr>
  </w:style>
  <w:style w:type="paragraph" w:customStyle="1" w:styleId="CPTableCol-1">
    <w:name w:val="CPTableCol-1"/>
    <w:basedOn w:val="CPTableText"/>
    <w:rsid w:val="002831AB"/>
    <w:pPr>
      <w:widowControl w:val="0"/>
      <w:tabs>
        <w:tab w:val="clear" w:pos="567"/>
        <w:tab w:val="right" w:leader="dot" w:pos="2970"/>
      </w:tabs>
      <w:spacing w:after="0" w:line="240" w:lineRule="auto"/>
      <w:jc w:val="left"/>
    </w:pPr>
    <w:rPr>
      <w:rFonts w:ascii="Courier" w:hAnsi="Courier"/>
      <w:sz w:val="20"/>
      <w:szCs w:val="20"/>
    </w:rPr>
  </w:style>
  <w:style w:type="paragraph" w:customStyle="1" w:styleId="WTable9pt">
    <w:name w:val="WTable 9pt"/>
    <w:basedOn w:val="Normal"/>
    <w:rsid w:val="002831AB"/>
    <w:pPr>
      <w:tabs>
        <w:tab w:val="left" w:pos="144"/>
      </w:tabs>
      <w:autoSpaceDE w:val="0"/>
      <w:autoSpaceDN w:val="0"/>
      <w:adjustRightInd w:val="0"/>
    </w:pPr>
    <w:rPr>
      <w:rFonts w:ascii="Times New Roman" w:hAnsi="Times New Roman"/>
      <w:sz w:val="18"/>
      <w:szCs w:val="18"/>
      <w:lang w:val="en-US" w:eastAsia="es-AR"/>
    </w:rPr>
  </w:style>
  <w:style w:type="paragraph" w:customStyle="1" w:styleId="CPN-ItalicIndentbold">
    <w:name w:val="CPN-Italic/Indent/bold"/>
    <w:basedOn w:val="Normal"/>
    <w:rsid w:val="002831AB"/>
    <w:pPr>
      <w:keepNext/>
      <w:keepLines/>
      <w:tabs>
        <w:tab w:val="left" w:pos="567"/>
      </w:tabs>
      <w:autoSpaceDE w:val="0"/>
      <w:autoSpaceDN w:val="0"/>
      <w:adjustRightInd w:val="0"/>
      <w:spacing w:after="180" w:line="240" w:lineRule="exact"/>
      <w:ind w:firstLine="540"/>
      <w:jc w:val="both"/>
    </w:pPr>
    <w:rPr>
      <w:rFonts w:ascii="Times New Roman" w:hAnsi="Times New Roman"/>
      <w:b/>
      <w:bCs/>
      <w:noProof/>
      <w:sz w:val="21"/>
      <w:szCs w:val="21"/>
      <w:lang w:val="en-US" w:eastAsia="es-AR"/>
    </w:rPr>
  </w:style>
  <w:style w:type="paragraph" w:customStyle="1" w:styleId="TableHead">
    <w:name w:val="TableHead"/>
    <w:basedOn w:val="Normal"/>
    <w:rsid w:val="002831AB"/>
    <w:pPr>
      <w:widowControl w:val="0"/>
      <w:tabs>
        <w:tab w:val="center" w:pos="2340"/>
        <w:tab w:val="center" w:pos="4050"/>
      </w:tabs>
      <w:autoSpaceDE w:val="0"/>
      <w:autoSpaceDN w:val="0"/>
      <w:adjustRightInd w:val="0"/>
    </w:pPr>
    <w:rPr>
      <w:rFonts w:ascii="Times New Roman" w:hAnsi="Times New Roman"/>
      <w:b/>
      <w:bCs/>
      <w:sz w:val="18"/>
      <w:szCs w:val="18"/>
      <w:lang w:val="en-US" w:eastAsia="es-AR"/>
    </w:rPr>
  </w:style>
  <w:style w:type="paragraph" w:customStyle="1" w:styleId="CPN-LeftItalBld">
    <w:name w:val="CPN-Left/Ital/Bld"/>
    <w:basedOn w:val="Normal"/>
    <w:rsid w:val="002831AB"/>
    <w:pPr>
      <w:keepNext/>
      <w:keepLines/>
      <w:autoSpaceDE w:val="0"/>
      <w:autoSpaceDN w:val="0"/>
      <w:adjustRightInd w:val="0"/>
      <w:spacing w:after="240"/>
      <w:jc w:val="both"/>
    </w:pPr>
    <w:rPr>
      <w:rFonts w:ascii="Times New Roman" w:hAnsi="Times New Roman"/>
      <w:b/>
      <w:bCs/>
      <w:i/>
      <w:iCs/>
      <w:noProof/>
      <w:sz w:val="21"/>
      <w:szCs w:val="21"/>
      <w:lang w:val="en-US" w:eastAsia="es-AR"/>
    </w:rPr>
  </w:style>
  <w:style w:type="paragraph" w:customStyle="1" w:styleId="CPC-Bold">
    <w:name w:val="CPC-Bold"/>
    <w:basedOn w:val="Normal"/>
    <w:rsid w:val="002831AB"/>
    <w:pPr>
      <w:overflowPunct w:val="0"/>
      <w:autoSpaceDE w:val="0"/>
      <w:autoSpaceDN w:val="0"/>
      <w:adjustRightInd w:val="0"/>
      <w:spacing w:after="480"/>
      <w:jc w:val="center"/>
      <w:textAlignment w:val="baseline"/>
    </w:pPr>
    <w:rPr>
      <w:rFonts w:ascii="Courier" w:hAnsi="Courier"/>
      <w:b/>
      <w:bCs/>
      <w:lang w:val="en-US" w:eastAsia="es-AR"/>
    </w:rPr>
  </w:style>
  <w:style w:type="paragraph" w:customStyle="1" w:styleId="Tableline0">
    <w:name w:val="Tableline"/>
    <w:basedOn w:val="Normal"/>
    <w:rsid w:val="002831AB"/>
    <w:pPr>
      <w:widowControl w:val="0"/>
      <w:pBdr>
        <w:bottom w:val="single" w:sz="4" w:space="1" w:color="auto"/>
      </w:pBdr>
      <w:autoSpaceDE w:val="0"/>
      <w:autoSpaceDN w:val="0"/>
      <w:adjustRightInd w:val="0"/>
      <w:ind w:right="7488"/>
    </w:pPr>
    <w:rPr>
      <w:rFonts w:ascii="Times New Roman" w:hAnsi="Times New Roman"/>
      <w:sz w:val="22"/>
      <w:szCs w:val="22"/>
      <w:lang w:val="en-US" w:eastAsia="es-AR"/>
    </w:rPr>
  </w:style>
  <w:style w:type="paragraph" w:customStyle="1" w:styleId="BulletBodyText">
    <w:name w:val="Bullet Body Text"/>
    <w:basedOn w:val="Sangradetextonormal"/>
    <w:rsid w:val="002831AB"/>
    <w:pPr>
      <w:autoSpaceDE w:val="0"/>
      <w:autoSpaceDN w:val="0"/>
      <w:adjustRightInd w:val="0"/>
      <w:spacing w:after="180"/>
      <w:ind w:left="0"/>
    </w:pPr>
    <w:rPr>
      <w:sz w:val="22"/>
      <w:szCs w:val="22"/>
    </w:rPr>
  </w:style>
  <w:style w:type="paragraph" w:customStyle="1" w:styleId="BulletBodyText2">
    <w:name w:val="Bullet Body Text2"/>
    <w:basedOn w:val="Normal"/>
    <w:rsid w:val="002831AB"/>
    <w:pPr>
      <w:tabs>
        <w:tab w:val="num" w:pos="720"/>
      </w:tabs>
      <w:autoSpaceDE w:val="0"/>
      <w:autoSpaceDN w:val="0"/>
      <w:adjustRightInd w:val="0"/>
      <w:ind w:left="720" w:hanging="360"/>
    </w:pPr>
    <w:rPr>
      <w:rFonts w:ascii="Times New Roman" w:hAnsi="Times New Roman"/>
      <w:lang w:val="en-US" w:eastAsia="es-AR"/>
    </w:rPr>
  </w:style>
  <w:style w:type="paragraph" w:customStyle="1" w:styleId="font7">
    <w:name w:val="font7"/>
    <w:basedOn w:val="Normal"/>
    <w:rsid w:val="002831AB"/>
    <w:pPr>
      <w:autoSpaceDE w:val="0"/>
      <w:autoSpaceDN w:val="0"/>
      <w:adjustRightInd w:val="0"/>
      <w:spacing w:before="100" w:beforeAutospacing="1" w:after="100" w:afterAutospacing="1"/>
    </w:pPr>
    <w:rPr>
      <w:rFonts w:ascii="Tahoma" w:eastAsia="Arial Unicode MS" w:hAnsi="Tahoma" w:cs="Tahoma"/>
      <w:color w:val="000000"/>
      <w:sz w:val="16"/>
      <w:szCs w:val="16"/>
      <w:lang w:val="en-US" w:eastAsia="es-AR"/>
    </w:rPr>
  </w:style>
  <w:style w:type="paragraph" w:customStyle="1" w:styleId="CPN-footnote">
    <w:name w:val="CPN-footnote"/>
    <w:basedOn w:val="Normal"/>
    <w:rsid w:val="002831AB"/>
    <w:pPr>
      <w:widowControl w:val="0"/>
      <w:autoSpaceDE w:val="0"/>
      <w:autoSpaceDN w:val="0"/>
      <w:adjustRightInd w:val="0"/>
      <w:spacing w:line="-220" w:lineRule="auto"/>
      <w:ind w:left="1080" w:hanging="446"/>
      <w:jc w:val="both"/>
    </w:pPr>
    <w:rPr>
      <w:rFonts w:ascii="Arial" w:hAnsi="Arial" w:cs="Arial"/>
      <w:lang w:val="en-US" w:eastAsia="es-AR"/>
    </w:rPr>
  </w:style>
  <w:style w:type="paragraph" w:customStyle="1" w:styleId="CPN-LeftItalics">
    <w:name w:val="CPN-Left/Italics"/>
    <w:basedOn w:val="CPN-Italic"/>
    <w:rsid w:val="002831AB"/>
    <w:pPr>
      <w:keepNext/>
      <w:keepLines/>
      <w:ind w:left="540" w:firstLine="0"/>
    </w:pPr>
  </w:style>
  <w:style w:type="paragraph" w:customStyle="1" w:styleId="CPN-Italic">
    <w:name w:val="CPN-Italic"/>
    <w:basedOn w:val="Normal"/>
    <w:rsid w:val="002831AB"/>
    <w:pPr>
      <w:autoSpaceDE w:val="0"/>
      <w:autoSpaceDN w:val="0"/>
      <w:adjustRightInd w:val="0"/>
      <w:spacing w:after="240"/>
      <w:ind w:firstLine="547"/>
      <w:jc w:val="both"/>
    </w:pPr>
    <w:rPr>
      <w:rFonts w:ascii="Times New Roman" w:hAnsi="Times New Roman"/>
      <w:i/>
      <w:iCs/>
      <w:noProof/>
      <w:sz w:val="21"/>
      <w:szCs w:val="21"/>
      <w:lang w:val="en-US" w:eastAsia="es-AR"/>
    </w:rPr>
  </w:style>
  <w:style w:type="paragraph" w:customStyle="1" w:styleId="Companies">
    <w:name w:val="Companies"/>
    <w:basedOn w:val="Normal"/>
    <w:rsid w:val="002831AB"/>
    <w:pPr>
      <w:widowControl w:val="0"/>
      <w:tabs>
        <w:tab w:val="center" w:pos="4680"/>
        <w:tab w:val="right" w:pos="9360"/>
      </w:tabs>
      <w:autoSpaceDE w:val="0"/>
      <w:autoSpaceDN w:val="0"/>
      <w:adjustRightInd w:val="0"/>
    </w:pPr>
    <w:rPr>
      <w:rFonts w:ascii="Arial" w:hAnsi="Arial" w:cs="Arial"/>
      <w:b/>
      <w:bCs/>
      <w:lang w:val="en-US" w:eastAsia="es-AR"/>
    </w:rPr>
  </w:style>
  <w:style w:type="paragraph" w:customStyle="1" w:styleId="BodyTextCenter">
    <w:name w:val="Body Text Center"/>
    <w:basedOn w:val="Normal"/>
    <w:rsid w:val="002831AB"/>
    <w:pPr>
      <w:autoSpaceDE w:val="0"/>
      <w:autoSpaceDN w:val="0"/>
      <w:adjustRightInd w:val="0"/>
      <w:spacing w:after="120"/>
      <w:jc w:val="center"/>
    </w:pPr>
    <w:rPr>
      <w:rFonts w:ascii="Times New Roman" w:hAnsi="Times New Roman"/>
      <w:sz w:val="22"/>
      <w:szCs w:val="22"/>
      <w:lang w:val="en-US" w:eastAsia="es-AR"/>
    </w:rPr>
  </w:style>
  <w:style w:type="paragraph" w:customStyle="1" w:styleId="BodyText9">
    <w:name w:val="Body Text 9"/>
    <w:basedOn w:val="Normal"/>
    <w:rsid w:val="002831AB"/>
    <w:pPr>
      <w:autoSpaceDE w:val="0"/>
      <w:autoSpaceDN w:val="0"/>
      <w:adjustRightInd w:val="0"/>
      <w:spacing w:after="120"/>
    </w:pPr>
    <w:rPr>
      <w:rFonts w:ascii="Times New Roman" w:hAnsi="Times New Roman"/>
      <w:sz w:val="22"/>
      <w:szCs w:val="22"/>
      <w:lang w:val="en-US" w:eastAsia="es-AR"/>
    </w:rPr>
  </w:style>
  <w:style w:type="paragraph" w:customStyle="1" w:styleId="tableline1">
    <w:name w:val="table line"/>
    <w:basedOn w:val="Normal"/>
    <w:rsid w:val="002831AB"/>
    <w:pPr>
      <w:pBdr>
        <w:top w:val="single" w:sz="4" w:space="1" w:color="auto"/>
      </w:pBdr>
      <w:autoSpaceDE w:val="0"/>
      <w:autoSpaceDN w:val="0"/>
      <w:adjustRightInd w:val="0"/>
      <w:spacing w:before="120" w:line="120" w:lineRule="auto"/>
      <w:ind w:right="7920"/>
    </w:pPr>
    <w:rPr>
      <w:rFonts w:ascii="Times New Roman" w:hAnsi="Times New Roman"/>
      <w:sz w:val="22"/>
      <w:szCs w:val="22"/>
      <w:lang w:val="en-US" w:eastAsia="es-AR"/>
    </w:rPr>
  </w:style>
  <w:style w:type="paragraph" w:customStyle="1" w:styleId="BlockText5CarCar">
    <w:name w:val="Block Text .5 Car Car"/>
    <w:basedOn w:val="Normal"/>
    <w:rsid w:val="002831AB"/>
    <w:pPr>
      <w:autoSpaceDE w:val="0"/>
      <w:autoSpaceDN w:val="0"/>
      <w:adjustRightInd w:val="0"/>
      <w:spacing w:line="480" w:lineRule="auto"/>
      <w:ind w:left="720" w:right="720"/>
    </w:pPr>
    <w:rPr>
      <w:rFonts w:ascii="Times New Roman" w:hAnsi="Times New Roman"/>
      <w:lang w:val="en-US" w:eastAsia="es-AR"/>
    </w:rPr>
  </w:style>
  <w:style w:type="character" w:customStyle="1" w:styleId="BlockText5CarCarCar">
    <w:name w:val="Block Text .5 Car Car Car"/>
    <w:rsid w:val="002831AB"/>
    <w:rPr>
      <w:lang w:val="en-US" w:eastAsia="en-US"/>
    </w:rPr>
  </w:style>
  <w:style w:type="paragraph" w:customStyle="1" w:styleId="BodyText11">
    <w:name w:val="Body Text 11"/>
    <w:basedOn w:val="Normal"/>
    <w:rsid w:val="002831AB"/>
    <w:pPr>
      <w:autoSpaceDE w:val="0"/>
      <w:autoSpaceDN w:val="0"/>
      <w:adjustRightInd w:val="0"/>
      <w:spacing w:after="180"/>
    </w:pPr>
    <w:rPr>
      <w:rFonts w:ascii="Times New Roman" w:hAnsi="Times New Roman"/>
      <w:sz w:val="22"/>
      <w:szCs w:val="22"/>
      <w:lang w:val="en-US" w:eastAsia="es-AR"/>
    </w:rPr>
  </w:style>
  <w:style w:type="paragraph" w:customStyle="1" w:styleId="Bullet59Sgl">
    <w:name w:val="Bullet .59 Sgl"/>
    <w:basedOn w:val="Normal"/>
    <w:rsid w:val="002831AB"/>
    <w:pPr>
      <w:widowControl w:val="0"/>
      <w:tabs>
        <w:tab w:val="left" w:pos="1123"/>
      </w:tabs>
      <w:autoSpaceDE w:val="0"/>
      <w:autoSpaceDN w:val="0"/>
      <w:adjustRightInd w:val="0"/>
      <w:spacing w:after="240"/>
    </w:pPr>
    <w:rPr>
      <w:rFonts w:ascii="Times New Roman" w:hAnsi="Times New Roman"/>
      <w:sz w:val="22"/>
      <w:szCs w:val="22"/>
      <w:lang w:val="en-US" w:eastAsia="es-AR"/>
    </w:rPr>
  </w:style>
  <w:style w:type="paragraph" w:customStyle="1" w:styleId="TitleIB25Sgl">
    <w:name w:val="Title IB .25 Sgl"/>
    <w:basedOn w:val="Normal"/>
    <w:rsid w:val="002831AB"/>
    <w:pPr>
      <w:keepNext/>
      <w:autoSpaceDE w:val="0"/>
      <w:autoSpaceDN w:val="0"/>
      <w:adjustRightInd w:val="0"/>
      <w:spacing w:after="240"/>
      <w:ind w:left="360"/>
    </w:pPr>
    <w:rPr>
      <w:rFonts w:ascii="Times New Roman" w:hAnsi="Times New Roman"/>
      <w:b/>
      <w:bCs/>
      <w:i/>
      <w:iCs/>
      <w:sz w:val="22"/>
      <w:szCs w:val="22"/>
      <w:lang w:val="en-US" w:eastAsia="es-AR"/>
    </w:rPr>
  </w:style>
  <w:style w:type="paragraph" w:customStyle="1" w:styleId="BodyText2Sgblditall">
    <w:name w:val="Body Text 2 Sg bld itall"/>
    <w:basedOn w:val="BodyText2SglCarCarCarCarCar"/>
    <w:rsid w:val="002831AB"/>
    <w:pPr>
      <w:widowControl/>
      <w:ind w:firstLine="547"/>
    </w:pPr>
    <w:rPr>
      <w:rFonts w:ascii="Times New Roman Bold" w:hAnsi="Times New Roman Bold"/>
      <w:b/>
      <w:bCs/>
      <w:i/>
      <w:iCs/>
      <w:sz w:val="21"/>
      <w:szCs w:val="21"/>
      <w:lang w:val="en-US" w:eastAsia="es-AR"/>
    </w:rPr>
  </w:style>
  <w:style w:type="paragraph" w:customStyle="1" w:styleId="TitleBIIndent">
    <w:name w:val="Title BI Indent"/>
    <w:basedOn w:val="Normal"/>
    <w:rsid w:val="002831AB"/>
    <w:pPr>
      <w:keepNext/>
      <w:keepLines/>
      <w:widowControl w:val="0"/>
      <w:autoSpaceDE w:val="0"/>
      <w:autoSpaceDN w:val="0"/>
      <w:adjustRightInd w:val="0"/>
      <w:spacing w:after="240"/>
      <w:ind w:left="720"/>
    </w:pPr>
    <w:rPr>
      <w:rFonts w:ascii="Times New Roman" w:hAnsi="Times New Roman"/>
      <w:b/>
      <w:bCs/>
      <w:i/>
      <w:iCs/>
      <w:sz w:val="22"/>
      <w:szCs w:val="22"/>
      <w:lang w:val="en-US" w:eastAsia="es-AR"/>
    </w:rPr>
  </w:style>
  <w:style w:type="paragraph" w:customStyle="1" w:styleId="BoldLftHeading">
    <w:name w:val="BoldLftHeading"/>
    <w:basedOn w:val="Normal"/>
    <w:rsid w:val="002831AB"/>
    <w:pPr>
      <w:keepNext/>
      <w:tabs>
        <w:tab w:val="left" w:pos="567"/>
      </w:tabs>
      <w:autoSpaceDE w:val="0"/>
      <w:autoSpaceDN w:val="0"/>
      <w:adjustRightInd w:val="0"/>
      <w:spacing w:before="120" w:after="240"/>
      <w:jc w:val="both"/>
    </w:pPr>
    <w:rPr>
      <w:rFonts w:ascii="Times New Roman" w:hAnsi="Times New Roman"/>
      <w:b/>
      <w:bCs/>
      <w:sz w:val="21"/>
      <w:szCs w:val="21"/>
      <w:lang w:val="en-AU" w:eastAsia="es-AR"/>
    </w:rPr>
  </w:style>
  <w:style w:type="paragraph" w:customStyle="1" w:styleId="BoldLftHead">
    <w:name w:val="BoldLftHead"/>
    <w:basedOn w:val="Normal"/>
    <w:rsid w:val="002831AB"/>
    <w:pPr>
      <w:keepNext/>
      <w:tabs>
        <w:tab w:val="left" w:pos="567"/>
      </w:tabs>
      <w:autoSpaceDE w:val="0"/>
      <w:autoSpaceDN w:val="0"/>
      <w:adjustRightInd w:val="0"/>
      <w:spacing w:before="120" w:after="120" w:line="240" w:lineRule="exact"/>
      <w:jc w:val="both"/>
    </w:pPr>
    <w:rPr>
      <w:rFonts w:ascii="Times New Roman" w:hAnsi="Times New Roman"/>
      <w:b/>
      <w:bCs/>
      <w:sz w:val="21"/>
      <w:szCs w:val="21"/>
      <w:lang w:val="en-US" w:eastAsia="es-AR"/>
    </w:rPr>
  </w:style>
  <w:style w:type="paragraph" w:customStyle="1" w:styleId="NotesLineWideTable">
    <w:name w:val="Notes Line Wide Table"/>
    <w:basedOn w:val="Normal"/>
    <w:next w:val="Normal"/>
    <w:rsid w:val="002831AB"/>
    <w:pPr>
      <w:widowControl w:val="0"/>
      <w:autoSpaceDE w:val="0"/>
      <w:autoSpaceDN w:val="0"/>
      <w:adjustRightInd w:val="0"/>
      <w:spacing w:after="60"/>
      <w:ind w:left="-936"/>
    </w:pPr>
    <w:rPr>
      <w:rFonts w:ascii="Times New Roman" w:hAnsi="Times New Roman"/>
      <w:sz w:val="22"/>
      <w:szCs w:val="22"/>
      <w:u w:val="single"/>
      <w:lang w:val="en-US" w:eastAsia="es-AR"/>
    </w:rPr>
  </w:style>
  <w:style w:type="paragraph" w:customStyle="1" w:styleId="TableFtNote">
    <w:name w:val="TableFtNote"/>
    <w:basedOn w:val="Normal"/>
    <w:rsid w:val="002831AB"/>
    <w:pPr>
      <w:tabs>
        <w:tab w:val="left" w:pos="360"/>
      </w:tabs>
      <w:autoSpaceDE w:val="0"/>
      <w:autoSpaceDN w:val="0"/>
      <w:adjustRightInd w:val="0"/>
      <w:ind w:left="360" w:hanging="360"/>
      <w:jc w:val="both"/>
    </w:pPr>
    <w:rPr>
      <w:rFonts w:ascii="CG Times (W1)" w:hAnsi="CG Times (W1)"/>
      <w:sz w:val="18"/>
      <w:szCs w:val="18"/>
      <w:lang w:val="en-US" w:eastAsia="es-AR"/>
    </w:rPr>
  </w:style>
  <w:style w:type="paragraph" w:customStyle="1" w:styleId="CPN-normal">
    <w:name w:val="CPN-normal"/>
    <w:basedOn w:val="Normal"/>
    <w:rsid w:val="002831AB"/>
    <w:pPr>
      <w:widowControl w:val="0"/>
      <w:autoSpaceDE w:val="0"/>
      <w:autoSpaceDN w:val="0"/>
      <w:adjustRightInd w:val="0"/>
      <w:spacing w:after="240" w:line="-240" w:lineRule="auto"/>
      <w:ind w:firstLine="720"/>
      <w:jc w:val="both"/>
    </w:pPr>
    <w:rPr>
      <w:rFonts w:ascii="Arial" w:hAnsi="Arial" w:cs="Arial"/>
      <w:lang w:val="en-US" w:eastAsia="es-AR"/>
    </w:rPr>
  </w:style>
  <w:style w:type="paragraph" w:customStyle="1" w:styleId="NotesWideTable">
    <w:name w:val="Notes Wide Table"/>
    <w:basedOn w:val="Normal"/>
    <w:rsid w:val="002831AB"/>
    <w:pPr>
      <w:widowControl w:val="0"/>
      <w:autoSpaceDE w:val="0"/>
      <w:autoSpaceDN w:val="0"/>
      <w:adjustRightInd w:val="0"/>
      <w:ind w:left="518" w:hanging="518"/>
    </w:pPr>
    <w:rPr>
      <w:rFonts w:ascii="Times New Roman" w:hAnsi="Times New Roman"/>
      <w:sz w:val="16"/>
      <w:szCs w:val="16"/>
      <w:lang w:val="en-US" w:eastAsia="es-AR"/>
    </w:rPr>
  </w:style>
  <w:style w:type="paragraph" w:customStyle="1" w:styleId="CPNormal8pt">
    <w:name w:val="CPNormal 8pt"/>
    <w:basedOn w:val="CPNormalLeft"/>
    <w:rsid w:val="002831AB"/>
    <w:pPr>
      <w:tabs>
        <w:tab w:val="left" w:pos="567"/>
      </w:tabs>
      <w:spacing w:after="0"/>
      <w:ind w:left="360" w:hanging="360"/>
      <w:jc w:val="both"/>
    </w:pPr>
    <w:rPr>
      <w:sz w:val="16"/>
      <w:szCs w:val="16"/>
    </w:rPr>
  </w:style>
  <w:style w:type="paragraph" w:customStyle="1" w:styleId="CPCntHdBld">
    <w:name w:val="CPCntHdBld"/>
    <w:basedOn w:val="Normal"/>
    <w:rsid w:val="002831AB"/>
    <w:pPr>
      <w:keepNext/>
      <w:keepLines/>
      <w:widowControl w:val="0"/>
      <w:tabs>
        <w:tab w:val="left" w:pos="567"/>
      </w:tabs>
      <w:autoSpaceDE w:val="0"/>
      <w:autoSpaceDN w:val="0"/>
      <w:adjustRightInd w:val="0"/>
      <w:spacing w:after="240" w:line="240" w:lineRule="exact"/>
      <w:jc w:val="center"/>
    </w:pPr>
    <w:rPr>
      <w:rFonts w:ascii="Times New Roman" w:hAnsi="Times New Roman"/>
      <w:b/>
      <w:bCs/>
      <w:color w:val="000000"/>
      <w:sz w:val="21"/>
      <w:szCs w:val="21"/>
      <w:lang w:val="en-US" w:eastAsia="es-AR"/>
    </w:rPr>
  </w:style>
  <w:style w:type="paragraph" w:customStyle="1" w:styleId="bullet0">
    <w:name w:val="bullet"/>
    <w:basedOn w:val="CPNormalLeft"/>
    <w:rsid w:val="002831AB"/>
    <w:pPr>
      <w:widowControl/>
      <w:tabs>
        <w:tab w:val="left" w:pos="567"/>
      </w:tabs>
      <w:ind w:left="360" w:hanging="360"/>
    </w:pPr>
    <w:rPr>
      <w:sz w:val="24"/>
      <w:szCs w:val="24"/>
    </w:rPr>
  </w:style>
  <w:style w:type="paragraph" w:customStyle="1" w:styleId="CPFootnoteContdNotice">
    <w:name w:val="CPFootnoteContdNotice"/>
    <w:basedOn w:val="Normal"/>
    <w:rsid w:val="002831AB"/>
    <w:pPr>
      <w:widowControl w:val="0"/>
      <w:tabs>
        <w:tab w:val="left" w:pos="567"/>
      </w:tabs>
      <w:autoSpaceDE w:val="0"/>
      <w:autoSpaceDN w:val="0"/>
      <w:adjustRightInd w:val="0"/>
      <w:spacing w:before="240" w:after="240" w:line="240" w:lineRule="exact"/>
      <w:jc w:val="right"/>
    </w:pPr>
    <w:rPr>
      <w:rFonts w:ascii="Times New Roman" w:hAnsi="Times New Roman"/>
      <w:sz w:val="21"/>
      <w:szCs w:val="21"/>
      <w:lang w:val="en-US" w:eastAsia="es-AR"/>
    </w:rPr>
  </w:style>
  <w:style w:type="paragraph" w:customStyle="1" w:styleId="CPN-BTitle">
    <w:name w:val="CPN-B/Title"/>
    <w:basedOn w:val="CPNormal"/>
    <w:rsid w:val="002831AB"/>
    <w:pPr>
      <w:keepNext/>
      <w:keepLines/>
      <w:widowControl/>
      <w:spacing w:before="120"/>
      <w:ind w:firstLine="0"/>
    </w:pPr>
    <w:rPr>
      <w:b/>
      <w:bCs/>
    </w:rPr>
  </w:style>
  <w:style w:type="paragraph" w:customStyle="1" w:styleId="CPNFtn7pt">
    <w:name w:val="CPNFtn7pt"/>
    <w:basedOn w:val="Normal"/>
    <w:rsid w:val="002831AB"/>
    <w:pPr>
      <w:tabs>
        <w:tab w:val="left" w:pos="567"/>
      </w:tabs>
      <w:autoSpaceDE w:val="0"/>
      <w:autoSpaceDN w:val="0"/>
      <w:adjustRightInd w:val="0"/>
      <w:spacing w:line="240" w:lineRule="exact"/>
      <w:ind w:left="360" w:hanging="360"/>
      <w:jc w:val="both"/>
    </w:pPr>
    <w:rPr>
      <w:rFonts w:ascii="Times New Roman" w:hAnsi="Times New Roman"/>
      <w:sz w:val="14"/>
      <w:szCs w:val="14"/>
      <w:lang w:val="en-US" w:eastAsia="es-AR"/>
    </w:rPr>
  </w:style>
  <w:style w:type="paragraph" w:customStyle="1" w:styleId="CPN-Left">
    <w:name w:val="CPN-Left"/>
    <w:basedOn w:val="CPNormal"/>
    <w:rsid w:val="002831AB"/>
    <w:pPr>
      <w:spacing w:line="240" w:lineRule="auto"/>
      <w:ind w:firstLine="0"/>
    </w:pPr>
    <w:rPr>
      <w:rFonts w:ascii="Courier New" w:hAnsi="Courier New" w:cs="Courier New"/>
      <w:sz w:val="24"/>
      <w:szCs w:val="24"/>
    </w:rPr>
  </w:style>
  <w:style w:type="paragraph" w:customStyle="1" w:styleId="CPSignature">
    <w:name w:val="CPSignature"/>
    <w:basedOn w:val="CPNormal"/>
    <w:next w:val="CPNormal"/>
    <w:rsid w:val="002831AB"/>
    <w:pPr>
      <w:spacing w:after="0" w:line="240" w:lineRule="auto"/>
      <w:ind w:firstLine="0"/>
    </w:pPr>
    <w:rPr>
      <w:sz w:val="21"/>
      <w:szCs w:val="21"/>
    </w:rPr>
  </w:style>
  <w:style w:type="paragraph" w:customStyle="1" w:styleId="FSchedule">
    <w:name w:val="FSchedule"/>
    <w:basedOn w:val="CPNormalLeft"/>
    <w:rsid w:val="002831AB"/>
    <w:pPr>
      <w:widowControl/>
      <w:tabs>
        <w:tab w:val="left" w:pos="567"/>
        <w:tab w:val="right" w:leader="dot" w:pos="8280"/>
        <w:tab w:val="right" w:pos="9180"/>
      </w:tabs>
      <w:spacing w:line="240" w:lineRule="exact"/>
      <w:ind w:left="270" w:right="1710" w:hanging="270"/>
      <w:jc w:val="both"/>
    </w:pPr>
    <w:rPr>
      <w:sz w:val="22"/>
      <w:szCs w:val="22"/>
    </w:rPr>
  </w:style>
  <w:style w:type="paragraph" w:customStyle="1" w:styleId="ListExh2">
    <w:name w:val="List Exh 2"/>
    <w:basedOn w:val="Normal"/>
    <w:rsid w:val="002831AB"/>
    <w:pPr>
      <w:tabs>
        <w:tab w:val="left" w:pos="440"/>
        <w:tab w:val="left" w:pos="567"/>
        <w:tab w:val="left" w:pos="660"/>
        <w:tab w:val="left" w:pos="918"/>
        <w:tab w:val="left" w:pos="1099"/>
        <w:tab w:val="left" w:pos="1318"/>
        <w:tab w:val="left" w:pos="1538"/>
        <w:tab w:val="left" w:pos="1758"/>
        <w:tab w:val="left" w:pos="1977"/>
        <w:tab w:val="left" w:pos="2197"/>
        <w:tab w:val="left" w:pos="2416"/>
        <w:tab w:val="left" w:pos="2636"/>
        <w:tab w:val="left" w:pos="2856"/>
        <w:tab w:val="left" w:pos="3075"/>
        <w:tab w:val="left" w:pos="3295"/>
        <w:tab w:val="left" w:pos="3514"/>
        <w:tab w:val="left" w:pos="3734"/>
        <w:tab w:val="left" w:pos="3954"/>
        <w:tab w:val="left" w:pos="4173"/>
        <w:tab w:val="left" w:pos="4393"/>
        <w:tab w:val="left" w:pos="4612"/>
        <w:tab w:val="left" w:pos="4832"/>
        <w:tab w:val="left" w:pos="5052"/>
        <w:tab w:val="left" w:pos="5271"/>
        <w:tab w:val="left" w:pos="5491"/>
        <w:tab w:val="left" w:pos="5710"/>
        <w:tab w:val="left" w:pos="5930"/>
        <w:tab w:val="left" w:pos="6150"/>
        <w:tab w:val="left" w:pos="6369"/>
        <w:tab w:val="left" w:pos="6589"/>
        <w:tab w:val="left" w:pos="6808"/>
        <w:tab w:val="left" w:pos="7028"/>
        <w:tab w:val="left" w:pos="7248"/>
        <w:tab w:val="left" w:pos="7467"/>
        <w:tab w:val="left" w:pos="7687"/>
        <w:tab w:val="left" w:pos="7906"/>
        <w:tab w:val="left" w:pos="8126"/>
        <w:tab w:val="left" w:pos="8346"/>
        <w:tab w:val="left" w:pos="8565"/>
        <w:tab w:val="left" w:pos="8785"/>
        <w:tab w:val="left" w:pos="9004"/>
      </w:tabs>
      <w:autoSpaceDE w:val="0"/>
      <w:autoSpaceDN w:val="0"/>
      <w:adjustRightInd w:val="0"/>
      <w:spacing w:after="240" w:line="240" w:lineRule="exact"/>
      <w:ind w:left="720"/>
      <w:jc w:val="both"/>
    </w:pPr>
    <w:rPr>
      <w:rFonts w:ascii="Times New Roman" w:hAnsi="Times New Roman"/>
      <w:noProof/>
      <w:sz w:val="22"/>
      <w:szCs w:val="22"/>
      <w:lang w:val="en-US" w:eastAsia="es-AR"/>
    </w:rPr>
  </w:style>
  <w:style w:type="paragraph" w:customStyle="1" w:styleId="ListI0">
    <w:name w:val="ListI"/>
    <w:basedOn w:val="Normal"/>
    <w:rsid w:val="002831AB"/>
    <w:pPr>
      <w:keepNext/>
      <w:tabs>
        <w:tab w:val="left" w:pos="567"/>
      </w:tabs>
      <w:autoSpaceDE w:val="0"/>
      <w:autoSpaceDN w:val="0"/>
      <w:adjustRightInd w:val="0"/>
      <w:spacing w:after="240" w:line="240" w:lineRule="exact"/>
      <w:ind w:left="360"/>
    </w:pPr>
    <w:rPr>
      <w:rFonts w:ascii="Times New Roman" w:hAnsi="Times New Roman"/>
      <w:i/>
      <w:iCs/>
      <w:sz w:val="22"/>
      <w:szCs w:val="22"/>
      <w:lang w:val="en-US" w:eastAsia="es-AR"/>
    </w:rPr>
  </w:style>
  <w:style w:type="paragraph" w:customStyle="1" w:styleId="PCDOCSFooter">
    <w:name w:val="PCDOCSFooter"/>
    <w:basedOn w:val="zCPMatter"/>
    <w:rsid w:val="002831AB"/>
    <w:pPr>
      <w:pBdr>
        <w:top w:val="none" w:sz="0" w:space="0" w:color="auto"/>
      </w:pBdr>
      <w:jc w:val="left"/>
    </w:pPr>
    <w:rPr>
      <w:sz w:val="14"/>
      <w:szCs w:val="14"/>
    </w:rPr>
  </w:style>
  <w:style w:type="paragraph" w:customStyle="1" w:styleId="zCPMatter">
    <w:name w:val="zCPMatter"/>
    <w:basedOn w:val="Normal"/>
    <w:rsid w:val="002831AB"/>
    <w:pPr>
      <w:pBdr>
        <w:top w:val="double" w:sz="12" w:space="1" w:color="auto"/>
      </w:pBdr>
      <w:tabs>
        <w:tab w:val="left" w:pos="567"/>
      </w:tabs>
      <w:autoSpaceDE w:val="0"/>
      <w:autoSpaceDN w:val="0"/>
      <w:adjustRightInd w:val="0"/>
      <w:spacing w:after="240" w:line="240" w:lineRule="exact"/>
      <w:jc w:val="center"/>
    </w:pPr>
    <w:rPr>
      <w:rFonts w:ascii="Times New Roman" w:hAnsi="Times New Roman"/>
      <w:b/>
      <w:bCs/>
      <w:vanish/>
      <w:sz w:val="32"/>
      <w:szCs w:val="32"/>
      <w:lang w:val="en-US" w:eastAsia="es-AR"/>
    </w:rPr>
  </w:style>
  <w:style w:type="paragraph" w:customStyle="1" w:styleId="PCDOCSFirstFooter">
    <w:name w:val="PCDOCSFirstFooter"/>
    <w:basedOn w:val="PCDOCSFooter"/>
    <w:rsid w:val="002831AB"/>
  </w:style>
  <w:style w:type="paragraph" w:customStyle="1" w:styleId="PCDOCSLastFooter">
    <w:name w:val="PCDOCSLastFooter"/>
    <w:basedOn w:val="PCDOCSFooter"/>
    <w:rsid w:val="002831AB"/>
    <w:pPr>
      <w:framePr w:w="8640" w:hSpace="180" w:vSpace="180" w:wrap="auto" w:vAnchor="page" w:hAnchor="text" w:yAlign="bottom"/>
      <w:spacing w:after="360"/>
    </w:pPr>
    <w:rPr>
      <w:color w:val="FFFFFF"/>
    </w:rPr>
  </w:style>
  <w:style w:type="paragraph" w:customStyle="1" w:styleId="FootnoteSeparator">
    <w:name w:val="Footnote Separator"/>
    <w:basedOn w:val="Normal"/>
    <w:rsid w:val="002831AB"/>
    <w:pPr>
      <w:pBdr>
        <w:top w:val="single" w:sz="4" w:space="1" w:color="auto"/>
      </w:pBdr>
      <w:autoSpaceDE w:val="0"/>
      <w:autoSpaceDN w:val="0"/>
      <w:adjustRightInd w:val="0"/>
      <w:spacing w:before="120" w:after="240"/>
      <w:ind w:right="5040"/>
    </w:pPr>
    <w:rPr>
      <w:rFonts w:ascii="Times New Roman" w:hAnsi="Times New Roman"/>
      <w:lang w:val="en-US" w:eastAsia="es-AR"/>
    </w:rPr>
  </w:style>
  <w:style w:type="paragraph" w:customStyle="1" w:styleId="FootnoteContinuationSeparator">
    <w:name w:val="Footnote Continuation Separator"/>
    <w:basedOn w:val="Normal"/>
    <w:rsid w:val="002831AB"/>
    <w:pPr>
      <w:pBdr>
        <w:top w:val="single" w:sz="4" w:space="1" w:color="auto"/>
      </w:pBdr>
      <w:autoSpaceDE w:val="0"/>
      <w:autoSpaceDN w:val="0"/>
      <w:adjustRightInd w:val="0"/>
      <w:spacing w:before="120" w:after="240"/>
      <w:ind w:right="5040"/>
    </w:pPr>
    <w:rPr>
      <w:rFonts w:ascii="Times New Roman" w:hAnsi="Times New Roman"/>
      <w:lang w:val="en-US" w:eastAsia="es-AR"/>
    </w:rPr>
  </w:style>
  <w:style w:type="paragraph" w:customStyle="1" w:styleId="FootnoteContinuationNotice">
    <w:name w:val="Footnote Continuation Notice"/>
    <w:basedOn w:val="Normal"/>
    <w:rsid w:val="002831AB"/>
    <w:pPr>
      <w:autoSpaceDE w:val="0"/>
      <w:autoSpaceDN w:val="0"/>
      <w:adjustRightInd w:val="0"/>
      <w:spacing w:before="240" w:after="240"/>
      <w:jc w:val="right"/>
    </w:pPr>
    <w:rPr>
      <w:rFonts w:ascii="Times New Roman" w:hAnsi="Times New Roman"/>
      <w:lang w:val="en-US" w:eastAsia="es-AR"/>
    </w:rPr>
  </w:style>
  <w:style w:type="paragraph" w:customStyle="1" w:styleId="CPCenterII">
    <w:name w:val="CPCenter II"/>
    <w:basedOn w:val="Normal"/>
    <w:rsid w:val="002831AB"/>
    <w:pPr>
      <w:keepNext/>
      <w:autoSpaceDE w:val="0"/>
      <w:autoSpaceDN w:val="0"/>
      <w:adjustRightInd w:val="0"/>
      <w:spacing w:before="120" w:after="240"/>
      <w:jc w:val="center"/>
    </w:pPr>
    <w:rPr>
      <w:rFonts w:ascii="Times New Roman" w:hAnsi="Times New Roman"/>
      <w:b/>
      <w:bCs/>
      <w:sz w:val="21"/>
      <w:szCs w:val="21"/>
      <w:lang w:val="en-US" w:eastAsia="es-AR"/>
    </w:rPr>
  </w:style>
  <w:style w:type="paragraph" w:customStyle="1" w:styleId="CPNormal-5ind">
    <w:name w:val="CPNormal-.5&quot;ind."/>
    <w:basedOn w:val="CPNormal"/>
    <w:rsid w:val="002831AB"/>
    <w:pPr>
      <w:tabs>
        <w:tab w:val="clear" w:pos="567"/>
      </w:tabs>
      <w:spacing w:line="240" w:lineRule="auto"/>
      <w:ind w:left="720" w:firstLine="0"/>
    </w:pPr>
  </w:style>
  <w:style w:type="paragraph" w:customStyle="1" w:styleId="Italhead">
    <w:name w:val="Italhead"/>
    <w:basedOn w:val="CPNNormal"/>
    <w:rsid w:val="002831AB"/>
    <w:pPr>
      <w:keepNext/>
      <w:overflowPunct w:val="0"/>
      <w:autoSpaceDE w:val="0"/>
      <w:autoSpaceDN w:val="0"/>
      <w:adjustRightInd w:val="0"/>
      <w:ind w:firstLine="547"/>
      <w:textAlignment w:val="baseline"/>
    </w:pPr>
    <w:rPr>
      <w:rFonts w:ascii="Calibri" w:hAnsi="Calibri"/>
      <w:i/>
      <w:iCs/>
      <w:sz w:val="21"/>
      <w:szCs w:val="21"/>
    </w:rPr>
  </w:style>
  <w:style w:type="paragraph" w:customStyle="1" w:styleId="Bullet51">
    <w:name w:val="^Bullet.5"/>
    <w:basedOn w:val="Normal"/>
    <w:rsid w:val="002831AB"/>
    <w:pPr>
      <w:widowControl w:val="0"/>
      <w:overflowPunct w:val="0"/>
      <w:autoSpaceDE w:val="0"/>
      <w:autoSpaceDN w:val="0"/>
      <w:adjustRightInd w:val="0"/>
      <w:spacing w:after="240"/>
      <w:ind w:left="1080" w:hanging="360"/>
      <w:textAlignment w:val="baseline"/>
    </w:pPr>
    <w:rPr>
      <w:rFonts w:ascii="Times New Roman" w:hAnsi="Times New Roman"/>
      <w:sz w:val="21"/>
      <w:szCs w:val="21"/>
      <w:lang w:val="en-US" w:eastAsia="es-AR"/>
    </w:rPr>
  </w:style>
  <w:style w:type="paragraph" w:customStyle="1" w:styleId="Level6">
    <w:name w:val="Level 6"/>
    <w:basedOn w:val="Normal"/>
    <w:rsid w:val="002831AB"/>
    <w:pPr>
      <w:tabs>
        <w:tab w:val="num" w:pos="360"/>
      </w:tabs>
      <w:autoSpaceDE w:val="0"/>
      <w:autoSpaceDN w:val="0"/>
      <w:adjustRightInd w:val="0"/>
      <w:spacing w:after="140" w:line="290" w:lineRule="auto"/>
      <w:ind w:left="360" w:hanging="360"/>
      <w:jc w:val="both"/>
      <w:outlineLvl w:val="5"/>
    </w:pPr>
    <w:rPr>
      <w:rFonts w:ascii="Arial" w:hAnsi="Arial" w:cs="Arial"/>
      <w:kern w:val="20"/>
      <w:lang w:val="en-GB" w:eastAsia="es-AR"/>
    </w:rPr>
  </w:style>
  <w:style w:type="paragraph" w:customStyle="1" w:styleId="TCHeading1">
    <w:name w:val="TCHeading 1"/>
    <w:basedOn w:val="Normal"/>
    <w:next w:val="TCHeading1Body"/>
    <w:rsid w:val="002831AB"/>
    <w:pPr>
      <w:tabs>
        <w:tab w:val="center" w:pos="5050"/>
        <w:tab w:val="left" w:pos="5270"/>
        <w:tab w:val="left" w:pos="5490"/>
        <w:tab w:val="left" w:pos="5709"/>
        <w:tab w:val="left" w:pos="5929"/>
        <w:tab w:val="left" w:pos="6148"/>
        <w:tab w:val="left" w:pos="6368"/>
        <w:tab w:val="left" w:pos="6588"/>
        <w:tab w:val="left" w:pos="6807"/>
        <w:tab w:val="left" w:pos="7027"/>
        <w:tab w:val="left" w:pos="7246"/>
        <w:tab w:val="left" w:pos="7466"/>
        <w:tab w:val="left" w:pos="7686"/>
        <w:tab w:val="left" w:pos="7905"/>
        <w:tab w:val="left" w:pos="8125"/>
        <w:tab w:val="left" w:pos="8344"/>
        <w:tab w:val="left" w:pos="8564"/>
      </w:tabs>
      <w:autoSpaceDE w:val="0"/>
      <w:autoSpaceDN w:val="0"/>
      <w:adjustRightInd w:val="0"/>
      <w:spacing w:after="132"/>
      <w:jc w:val="center"/>
    </w:pPr>
    <w:rPr>
      <w:rFonts w:ascii="Times New Roman" w:hAnsi="Times New Roman"/>
      <w:b/>
      <w:bCs/>
      <w:sz w:val="22"/>
      <w:szCs w:val="22"/>
      <w:lang w:val="en-US" w:eastAsia="es-AR"/>
    </w:rPr>
  </w:style>
  <w:style w:type="paragraph" w:customStyle="1" w:styleId="TCHeading1Body">
    <w:name w:val="TCHeading 1 Body"/>
    <w:basedOn w:val="Normal"/>
    <w:next w:val="TCHeading1"/>
    <w:rsid w:val="002831AB"/>
    <w:pPr>
      <w:tabs>
        <w:tab w:val="center" w:pos="5050"/>
        <w:tab w:val="left" w:pos="5270"/>
        <w:tab w:val="left" w:pos="5490"/>
        <w:tab w:val="left" w:pos="5709"/>
        <w:tab w:val="left" w:pos="5929"/>
        <w:tab w:val="left" w:pos="6148"/>
        <w:tab w:val="left" w:pos="6368"/>
        <w:tab w:val="left" w:pos="6588"/>
        <w:tab w:val="left" w:pos="6807"/>
        <w:tab w:val="left" w:pos="7027"/>
        <w:tab w:val="left" w:pos="7246"/>
        <w:tab w:val="left" w:pos="7466"/>
        <w:tab w:val="left" w:pos="7686"/>
        <w:tab w:val="left" w:pos="7905"/>
        <w:tab w:val="left" w:pos="8125"/>
        <w:tab w:val="left" w:pos="8344"/>
        <w:tab w:val="left" w:pos="8564"/>
      </w:tabs>
      <w:autoSpaceDE w:val="0"/>
      <w:autoSpaceDN w:val="0"/>
      <w:adjustRightInd w:val="0"/>
      <w:spacing w:after="132"/>
      <w:jc w:val="center"/>
    </w:pPr>
    <w:rPr>
      <w:rFonts w:ascii="Times New Roman" w:hAnsi="Times New Roman"/>
      <w:b/>
      <w:bCs/>
      <w:sz w:val="22"/>
      <w:szCs w:val="22"/>
      <w:lang w:val="en-US" w:eastAsia="es-AR"/>
    </w:rPr>
  </w:style>
  <w:style w:type="paragraph" w:customStyle="1" w:styleId="XHeading1">
    <w:name w:val="XHeading 1"/>
    <w:aliases w:val="xh1"/>
    <w:basedOn w:val="Normal"/>
    <w:next w:val="XHeading2"/>
    <w:rsid w:val="002831AB"/>
    <w:pPr>
      <w:keepNext/>
      <w:autoSpaceDE w:val="0"/>
      <w:autoSpaceDN w:val="0"/>
      <w:adjustRightInd w:val="0"/>
      <w:spacing w:after="240"/>
      <w:jc w:val="center"/>
      <w:outlineLvl w:val="0"/>
    </w:pPr>
    <w:rPr>
      <w:rFonts w:ascii="Times New Roman" w:hAnsi="Times New Roman"/>
      <w:caps/>
      <w:u w:val="single"/>
      <w:lang w:val="en-US" w:eastAsia="es-AR"/>
    </w:rPr>
  </w:style>
  <w:style w:type="paragraph" w:customStyle="1" w:styleId="XHeading2">
    <w:name w:val="XHeading 2"/>
    <w:aliases w:val="xh2"/>
    <w:basedOn w:val="Normal"/>
    <w:next w:val="Textoindependiente"/>
    <w:rsid w:val="002831AB"/>
    <w:pPr>
      <w:tabs>
        <w:tab w:val="num" w:pos="643"/>
      </w:tabs>
      <w:autoSpaceDE w:val="0"/>
      <w:autoSpaceDN w:val="0"/>
      <w:adjustRightInd w:val="0"/>
      <w:spacing w:after="240"/>
      <w:ind w:left="643" w:firstLine="720"/>
      <w:jc w:val="both"/>
      <w:outlineLvl w:val="1"/>
    </w:pPr>
    <w:rPr>
      <w:rFonts w:ascii="Times New Roman" w:hAnsi="Times New Roman"/>
      <w:lang w:val="en-US" w:eastAsia="es-AR"/>
    </w:rPr>
  </w:style>
  <w:style w:type="paragraph" w:customStyle="1" w:styleId="XHeading3">
    <w:name w:val="XHeading 3"/>
    <w:aliases w:val="xh3"/>
    <w:basedOn w:val="Normal"/>
    <w:next w:val="Textoindependiente"/>
    <w:rsid w:val="002831AB"/>
    <w:pPr>
      <w:tabs>
        <w:tab w:val="num" w:pos="643"/>
      </w:tabs>
      <w:autoSpaceDE w:val="0"/>
      <w:autoSpaceDN w:val="0"/>
      <w:adjustRightInd w:val="0"/>
      <w:spacing w:after="240"/>
      <w:ind w:left="643" w:hanging="360"/>
      <w:jc w:val="both"/>
      <w:outlineLvl w:val="2"/>
    </w:pPr>
    <w:rPr>
      <w:rFonts w:ascii="Times New Roman" w:hAnsi="Times New Roman"/>
      <w:lang w:val="en-US" w:eastAsia="es-AR"/>
    </w:rPr>
  </w:style>
  <w:style w:type="paragraph" w:customStyle="1" w:styleId="XHeading4">
    <w:name w:val="XHeading 4"/>
    <w:aliases w:val="xh4"/>
    <w:basedOn w:val="Normal"/>
    <w:next w:val="Textoindependiente"/>
    <w:rsid w:val="002831AB"/>
    <w:pPr>
      <w:tabs>
        <w:tab w:val="num" w:pos="643"/>
      </w:tabs>
      <w:autoSpaceDE w:val="0"/>
      <w:autoSpaceDN w:val="0"/>
      <w:adjustRightInd w:val="0"/>
      <w:spacing w:after="240"/>
      <w:ind w:left="643" w:hanging="360"/>
      <w:jc w:val="both"/>
      <w:outlineLvl w:val="3"/>
    </w:pPr>
    <w:rPr>
      <w:rFonts w:ascii="Times New Roman" w:hAnsi="Times New Roman"/>
      <w:lang w:val="en-US" w:eastAsia="es-AR"/>
    </w:rPr>
  </w:style>
  <w:style w:type="paragraph" w:customStyle="1" w:styleId="XHeading5">
    <w:name w:val="XHeading 5"/>
    <w:aliases w:val="xh5"/>
    <w:basedOn w:val="Normal"/>
    <w:next w:val="Textoindependiente"/>
    <w:rsid w:val="002831AB"/>
    <w:pPr>
      <w:tabs>
        <w:tab w:val="num" w:pos="643"/>
      </w:tabs>
      <w:autoSpaceDE w:val="0"/>
      <w:autoSpaceDN w:val="0"/>
      <w:adjustRightInd w:val="0"/>
      <w:spacing w:after="240"/>
      <w:ind w:left="643" w:hanging="360"/>
      <w:jc w:val="both"/>
      <w:outlineLvl w:val="4"/>
    </w:pPr>
    <w:rPr>
      <w:rFonts w:ascii="Times New Roman" w:hAnsi="Times New Roman"/>
      <w:lang w:val="en-US" w:eastAsia="es-AR"/>
    </w:rPr>
  </w:style>
  <w:style w:type="paragraph" w:customStyle="1" w:styleId="XHeading6">
    <w:name w:val="XHeading 6"/>
    <w:aliases w:val="xh6"/>
    <w:basedOn w:val="Normal"/>
    <w:next w:val="Textoindependiente"/>
    <w:rsid w:val="002831AB"/>
    <w:pPr>
      <w:tabs>
        <w:tab w:val="num" w:pos="643"/>
      </w:tabs>
      <w:autoSpaceDE w:val="0"/>
      <w:autoSpaceDN w:val="0"/>
      <w:adjustRightInd w:val="0"/>
      <w:spacing w:after="240"/>
      <w:ind w:left="643" w:hanging="360"/>
      <w:jc w:val="both"/>
      <w:outlineLvl w:val="5"/>
    </w:pPr>
    <w:rPr>
      <w:rFonts w:ascii="Times New Roman" w:hAnsi="Times New Roman"/>
      <w:lang w:val="en-US" w:eastAsia="es-AR"/>
    </w:rPr>
  </w:style>
  <w:style w:type="paragraph" w:customStyle="1" w:styleId="XHeading7">
    <w:name w:val="XHeading 7"/>
    <w:aliases w:val="xh7"/>
    <w:basedOn w:val="Normal"/>
    <w:next w:val="Textoindependiente"/>
    <w:rsid w:val="002831AB"/>
    <w:pPr>
      <w:tabs>
        <w:tab w:val="num" w:pos="643"/>
      </w:tabs>
      <w:autoSpaceDE w:val="0"/>
      <w:autoSpaceDN w:val="0"/>
      <w:adjustRightInd w:val="0"/>
      <w:spacing w:after="240"/>
      <w:ind w:left="643" w:hanging="360"/>
      <w:jc w:val="both"/>
      <w:outlineLvl w:val="6"/>
    </w:pPr>
    <w:rPr>
      <w:rFonts w:ascii="Times New Roman" w:hAnsi="Times New Roman"/>
      <w:lang w:val="en-US" w:eastAsia="es-AR"/>
    </w:rPr>
  </w:style>
  <w:style w:type="paragraph" w:customStyle="1" w:styleId="XHeading8">
    <w:name w:val="XHeading 8"/>
    <w:aliases w:val="xh8"/>
    <w:basedOn w:val="Normal"/>
    <w:next w:val="Textoindependiente"/>
    <w:rsid w:val="002831AB"/>
    <w:pPr>
      <w:tabs>
        <w:tab w:val="num" w:pos="643"/>
      </w:tabs>
      <w:autoSpaceDE w:val="0"/>
      <w:autoSpaceDN w:val="0"/>
      <w:adjustRightInd w:val="0"/>
      <w:spacing w:after="240"/>
      <w:ind w:left="643" w:hanging="360"/>
      <w:jc w:val="both"/>
      <w:outlineLvl w:val="7"/>
    </w:pPr>
    <w:rPr>
      <w:rFonts w:ascii="Times New Roman" w:hAnsi="Times New Roman"/>
      <w:lang w:val="en-US" w:eastAsia="es-AR"/>
    </w:rPr>
  </w:style>
  <w:style w:type="paragraph" w:customStyle="1" w:styleId="XHeading9">
    <w:name w:val="XHeading 9"/>
    <w:aliases w:val="xh9"/>
    <w:basedOn w:val="Normal"/>
    <w:next w:val="Textoindependiente"/>
    <w:rsid w:val="002831AB"/>
    <w:pPr>
      <w:tabs>
        <w:tab w:val="num" w:pos="643"/>
      </w:tabs>
      <w:autoSpaceDE w:val="0"/>
      <w:autoSpaceDN w:val="0"/>
      <w:adjustRightInd w:val="0"/>
      <w:spacing w:after="240"/>
      <w:ind w:left="643" w:hanging="360"/>
      <w:jc w:val="both"/>
      <w:outlineLvl w:val="8"/>
    </w:pPr>
    <w:rPr>
      <w:rFonts w:ascii="Times New Roman" w:hAnsi="Times New Roman"/>
      <w:lang w:val="en-US" w:eastAsia="es-AR"/>
    </w:rPr>
  </w:style>
  <w:style w:type="paragraph" w:customStyle="1" w:styleId="footnotefakes">
    <w:name w:val="footnote fakes"/>
    <w:aliases w:val="ff,ff Car,footnote fakes Car"/>
    <w:basedOn w:val="Normal"/>
    <w:rsid w:val="002831AB"/>
    <w:pPr>
      <w:autoSpaceDE w:val="0"/>
      <w:autoSpaceDN w:val="0"/>
      <w:adjustRightInd w:val="0"/>
      <w:ind w:left="360" w:hanging="360"/>
      <w:jc w:val="both"/>
    </w:pPr>
    <w:rPr>
      <w:rFonts w:ascii="Times New Roman" w:hAnsi="Times New Roman"/>
      <w:sz w:val="16"/>
      <w:szCs w:val="16"/>
      <w:lang w:val="en-US" w:eastAsia="es-AR"/>
    </w:rPr>
  </w:style>
  <w:style w:type="paragraph" w:customStyle="1" w:styleId="tablefootnoteseparator">
    <w:name w:val="table footnote separator"/>
    <w:aliases w:val="tfs"/>
    <w:basedOn w:val="Normal"/>
    <w:rsid w:val="002831AB"/>
    <w:pPr>
      <w:keepNext/>
      <w:pBdr>
        <w:top w:val="single" w:sz="4" w:space="1" w:color="auto"/>
      </w:pBdr>
      <w:autoSpaceDE w:val="0"/>
      <w:autoSpaceDN w:val="0"/>
      <w:adjustRightInd w:val="0"/>
      <w:spacing w:before="120" w:line="60" w:lineRule="exact"/>
      <w:ind w:right="7200"/>
    </w:pPr>
    <w:rPr>
      <w:rFonts w:ascii="Times New Roman" w:hAnsi="Times New Roman"/>
      <w:lang w:val="en-US" w:eastAsia="es-AR"/>
    </w:rPr>
  </w:style>
  <w:style w:type="paragraph" w:customStyle="1" w:styleId="TitleLeft">
    <w:name w:val="Title Left"/>
    <w:aliases w:val="TL"/>
    <w:basedOn w:val="Normal"/>
    <w:rsid w:val="002831AB"/>
    <w:pPr>
      <w:keepNext/>
      <w:autoSpaceDE w:val="0"/>
      <w:autoSpaceDN w:val="0"/>
      <w:adjustRightInd w:val="0"/>
      <w:spacing w:after="200"/>
      <w:jc w:val="both"/>
    </w:pPr>
    <w:rPr>
      <w:rFonts w:ascii="Times New Roman" w:hAnsi="Times New Roman"/>
      <w:b/>
      <w:bCs/>
      <w:color w:val="000000"/>
      <w:lang w:val="en-US" w:eastAsia="es-AR"/>
    </w:rPr>
  </w:style>
  <w:style w:type="paragraph" w:customStyle="1" w:styleId="TableNotes10">
    <w:name w:val="Table Notes 10"/>
    <w:basedOn w:val="Normal"/>
    <w:rsid w:val="002831AB"/>
    <w:pPr>
      <w:autoSpaceDE w:val="0"/>
      <w:autoSpaceDN w:val="0"/>
      <w:adjustRightInd w:val="0"/>
      <w:ind w:left="432" w:hanging="432"/>
    </w:pPr>
    <w:rPr>
      <w:rFonts w:ascii="Times New Roman" w:hAnsi="Times New Roman"/>
      <w:lang w:val="en-US" w:eastAsia="es-AR"/>
    </w:rPr>
  </w:style>
  <w:style w:type="paragraph" w:customStyle="1" w:styleId="tabla9cdec">
    <w:name w:val="tabla9c/dec"/>
    <w:basedOn w:val="Normal"/>
    <w:rsid w:val="002831AB"/>
    <w:pPr>
      <w:autoSpaceDE w:val="0"/>
      <w:autoSpaceDN w:val="0"/>
      <w:adjustRightInd w:val="0"/>
      <w:jc w:val="both"/>
    </w:pPr>
    <w:rPr>
      <w:rFonts w:ascii="Times New Roman" w:hAnsi="Times New Roman"/>
      <w:noProof/>
      <w:sz w:val="18"/>
      <w:szCs w:val="18"/>
      <w:lang w:val="en-US" w:eastAsia="es-AR"/>
    </w:rPr>
  </w:style>
  <w:style w:type="paragraph" w:customStyle="1" w:styleId="BodyTex1">
    <w:name w:val="BodyTex1"/>
    <w:basedOn w:val="Textoindependiente"/>
    <w:rsid w:val="002831AB"/>
    <w:pPr>
      <w:widowControl w:val="0"/>
      <w:tabs>
        <w:tab w:val="left" w:pos="454"/>
        <w:tab w:val="left" w:pos="907"/>
      </w:tabs>
      <w:spacing w:after="0"/>
      <w:ind w:left="851" w:hanging="851"/>
      <w:jc w:val="both"/>
    </w:pPr>
  </w:style>
  <w:style w:type="paragraph" w:customStyle="1" w:styleId="QuickSmallBullet">
    <w:name w:val="Quick Small Bullet"/>
    <w:basedOn w:val="Normal"/>
    <w:rsid w:val="002831AB"/>
    <w:pPr>
      <w:tabs>
        <w:tab w:val="left" w:pos="720"/>
        <w:tab w:val="left" w:pos="2880"/>
        <w:tab w:val="left" w:pos="3600"/>
        <w:tab w:val="left" w:pos="4320"/>
        <w:tab w:val="left" w:pos="5040"/>
        <w:tab w:val="left" w:pos="5760"/>
        <w:tab w:val="left" w:pos="6480"/>
        <w:tab w:val="left" w:pos="7200"/>
        <w:tab w:val="left" w:pos="7920"/>
        <w:tab w:val="left" w:pos="8640"/>
        <w:tab w:val="left" w:pos="9360"/>
      </w:tabs>
      <w:autoSpaceDE w:val="0"/>
      <w:autoSpaceDN w:val="0"/>
      <w:adjustRightInd w:val="0"/>
      <w:spacing w:after="240"/>
      <w:ind w:left="283" w:hanging="283"/>
    </w:pPr>
    <w:rPr>
      <w:rFonts w:ascii="Times New Roman" w:hAnsi="Times New Roman"/>
      <w:lang w:val="en-US" w:eastAsia="es-AR"/>
    </w:rPr>
  </w:style>
  <w:style w:type="paragraph" w:customStyle="1" w:styleId="ListBullet31">
    <w:name w:val="List Bullet 3.1"/>
    <w:basedOn w:val="Normal"/>
    <w:rsid w:val="002831AB"/>
    <w:pPr>
      <w:autoSpaceDE w:val="0"/>
      <w:autoSpaceDN w:val="0"/>
      <w:adjustRightInd w:val="0"/>
      <w:spacing w:after="200"/>
      <w:ind w:left="990" w:hanging="720"/>
      <w:jc w:val="both"/>
    </w:pPr>
    <w:rPr>
      <w:rFonts w:ascii="Times New Roman" w:hAnsi="Times New Roman"/>
      <w:lang w:val="en-US" w:eastAsia="es-AR"/>
    </w:rPr>
  </w:style>
  <w:style w:type="paragraph" w:customStyle="1" w:styleId="MyBullet">
    <w:name w:val="My Bullet"/>
    <w:basedOn w:val="Normal"/>
    <w:rsid w:val="002831AB"/>
    <w:pPr>
      <w:widowControl w:val="0"/>
      <w:autoSpaceDE w:val="0"/>
      <w:autoSpaceDN w:val="0"/>
      <w:adjustRightInd w:val="0"/>
      <w:spacing w:after="240"/>
    </w:pPr>
    <w:rPr>
      <w:rFonts w:ascii="Times New Roman" w:hAnsi="Times New Roman"/>
      <w:sz w:val="22"/>
      <w:szCs w:val="22"/>
      <w:lang w:val="en-US" w:eastAsia="es-AR"/>
    </w:rPr>
  </w:style>
  <w:style w:type="paragraph" w:customStyle="1" w:styleId="Title17">
    <w:name w:val="Title 17"/>
    <w:basedOn w:val="Normal"/>
    <w:rsid w:val="002831AB"/>
    <w:pPr>
      <w:autoSpaceDE w:val="0"/>
      <w:autoSpaceDN w:val="0"/>
      <w:adjustRightInd w:val="0"/>
      <w:jc w:val="center"/>
    </w:pPr>
    <w:rPr>
      <w:rFonts w:ascii="Times New Roman" w:hAnsi="Times New Roman"/>
      <w:b/>
      <w:bCs/>
      <w:sz w:val="34"/>
      <w:szCs w:val="34"/>
      <w:lang w:val="en-US" w:eastAsia="es-AR"/>
    </w:rPr>
  </w:style>
  <w:style w:type="paragraph" w:customStyle="1" w:styleId="cpnnormal0">
    <w:name w:val="cpnnormal"/>
    <w:basedOn w:val="Normal"/>
    <w:rsid w:val="002831AB"/>
    <w:pPr>
      <w:autoSpaceDE w:val="0"/>
      <w:autoSpaceDN w:val="0"/>
      <w:adjustRightInd w:val="0"/>
      <w:spacing w:before="100" w:beforeAutospacing="1" w:after="100" w:afterAutospacing="1"/>
    </w:pPr>
    <w:rPr>
      <w:rFonts w:ascii="Arial Unicode MS" w:eastAsia="Arial Unicode MS" w:hAnsi="Arial Unicode MS" w:cs="Arial Unicode MS"/>
      <w:lang w:val="en-US" w:eastAsia="es-AR"/>
    </w:rPr>
  </w:style>
  <w:style w:type="paragraph" w:customStyle="1" w:styleId="bodytext2sgl0">
    <w:name w:val="bodytext2sgl"/>
    <w:basedOn w:val="Normal"/>
    <w:rsid w:val="002831AB"/>
    <w:pPr>
      <w:autoSpaceDE w:val="0"/>
      <w:autoSpaceDN w:val="0"/>
      <w:adjustRightInd w:val="0"/>
      <w:spacing w:before="100" w:beforeAutospacing="1" w:after="100" w:afterAutospacing="1"/>
    </w:pPr>
    <w:rPr>
      <w:rFonts w:ascii="Arial Unicode MS" w:eastAsia="Arial Unicode MS" w:hAnsi="Arial Unicode MS" w:cs="Arial Unicode MS"/>
      <w:lang w:val="en-US" w:eastAsia="es-AR"/>
    </w:rPr>
  </w:style>
  <w:style w:type="paragraph" w:customStyle="1" w:styleId="Remiteabreviado">
    <w:name w:val="Remite abreviado"/>
    <w:basedOn w:val="Normal"/>
    <w:rsid w:val="002831AB"/>
    <w:pPr>
      <w:autoSpaceDE w:val="0"/>
      <w:autoSpaceDN w:val="0"/>
      <w:adjustRightInd w:val="0"/>
    </w:pPr>
    <w:rPr>
      <w:rFonts w:ascii="Times New Roman" w:hAnsi="Times New Roman"/>
      <w:lang w:val="en-US" w:eastAsia="es-AR"/>
    </w:rPr>
  </w:style>
  <w:style w:type="paragraph" w:customStyle="1" w:styleId="CPCaption">
    <w:name w:val="CPCaption"/>
    <w:basedOn w:val="CPNormal"/>
    <w:next w:val="CPNormal"/>
    <w:rsid w:val="002831AB"/>
    <w:pPr>
      <w:widowControl/>
      <w:tabs>
        <w:tab w:val="clear" w:pos="567"/>
      </w:tabs>
      <w:overflowPunct w:val="0"/>
      <w:spacing w:after="0" w:line="240" w:lineRule="auto"/>
      <w:ind w:firstLine="0"/>
      <w:jc w:val="left"/>
      <w:textAlignment w:val="baseline"/>
    </w:pPr>
    <w:rPr>
      <w:sz w:val="21"/>
      <w:szCs w:val="21"/>
    </w:rPr>
  </w:style>
  <w:style w:type="paragraph" w:customStyle="1" w:styleId="Glossary">
    <w:name w:val="Glossary"/>
    <w:basedOn w:val="Normal"/>
    <w:rsid w:val="002831AB"/>
    <w:pPr>
      <w:tabs>
        <w:tab w:val="left" w:pos="360"/>
        <w:tab w:val="right" w:leader="dot" w:pos="4320"/>
        <w:tab w:val="left" w:pos="4536"/>
      </w:tabs>
      <w:autoSpaceDE w:val="0"/>
      <w:autoSpaceDN w:val="0"/>
      <w:adjustRightInd w:val="0"/>
      <w:spacing w:after="120"/>
      <w:ind w:left="4536" w:hanging="4536"/>
    </w:pPr>
    <w:rPr>
      <w:rFonts w:ascii="Times New Roman" w:hAnsi="Times New Roman"/>
      <w:color w:val="000000"/>
      <w:lang w:val="en-US" w:eastAsia="es-AR"/>
    </w:rPr>
  </w:style>
  <w:style w:type="paragraph" w:customStyle="1" w:styleId="Title12">
    <w:name w:val="Title 12"/>
    <w:basedOn w:val="Normal"/>
    <w:rsid w:val="002831AB"/>
    <w:pPr>
      <w:autoSpaceDE w:val="0"/>
      <w:autoSpaceDN w:val="0"/>
      <w:adjustRightInd w:val="0"/>
      <w:jc w:val="center"/>
    </w:pPr>
    <w:rPr>
      <w:rFonts w:ascii="Times New Roman" w:hAnsi="Times New Roman"/>
      <w:lang w:val="en-US" w:eastAsia="es-AR"/>
    </w:rPr>
  </w:style>
  <w:style w:type="paragraph" w:customStyle="1" w:styleId="CPMatter">
    <w:name w:val="CPMatter"/>
    <w:basedOn w:val="CPNormal"/>
    <w:rsid w:val="002831AB"/>
    <w:pPr>
      <w:tabs>
        <w:tab w:val="clear" w:pos="567"/>
      </w:tabs>
      <w:spacing w:after="0" w:line="240" w:lineRule="auto"/>
      <w:ind w:firstLine="0"/>
      <w:jc w:val="left"/>
    </w:pPr>
    <w:rPr>
      <w:sz w:val="21"/>
      <w:szCs w:val="21"/>
    </w:rPr>
  </w:style>
  <w:style w:type="paragraph" w:customStyle="1" w:styleId="Lneadeautor">
    <w:name w:val="Línea de autor"/>
    <w:basedOn w:val="Textoindependiente"/>
    <w:rsid w:val="002831AB"/>
    <w:pPr>
      <w:spacing w:after="240"/>
      <w:ind w:firstLine="525"/>
      <w:jc w:val="both"/>
    </w:pPr>
    <w:rPr>
      <w:sz w:val="21"/>
      <w:szCs w:val="21"/>
    </w:rPr>
  </w:style>
  <w:style w:type="paragraph" w:customStyle="1" w:styleId="cc">
    <w:name w:val="cc"/>
    <w:basedOn w:val="Normal"/>
    <w:rsid w:val="002831AB"/>
    <w:pPr>
      <w:autoSpaceDE w:val="0"/>
      <w:autoSpaceDN w:val="0"/>
      <w:adjustRightInd w:val="0"/>
      <w:spacing w:after="240"/>
      <w:ind w:left="720" w:hanging="720"/>
    </w:pPr>
    <w:rPr>
      <w:rFonts w:ascii="Times New Roman" w:hAnsi="Times New Roman"/>
      <w:lang w:val="en-US" w:eastAsia="es-AR"/>
    </w:rPr>
  </w:style>
  <w:style w:type="paragraph" w:customStyle="1" w:styleId="bcc">
    <w:name w:val="bcc"/>
    <w:basedOn w:val="Normal"/>
    <w:rsid w:val="002831AB"/>
    <w:pPr>
      <w:autoSpaceDE w:val="0"/>
      <w:autoSpaceDN w:val="0"/>
      <w:adjustRightInd w:val="0"/>
      <w:ind w:left="720" w:hanging="720"/>
    </w:pPr>
    <w:rPr>
      <w:rFonts w:ascii="Times New Roman" w:hAnsi="Times New Roman"/>
      <w:lang w:val="en-US" w:eastAsia="es-AR"/>
    </w:rPr>
  </w:style>
  <w:style w:type="paragraph" w:customStyle="1" w:styleId="enclosure">
    <w:name w:val="enclosure"/>
    <w:basedOn w:val="Normal"/>
    <w:next w:val="Normal"/>
    <w:rsid w:val="002831AB"/>
    <w:pPr>
      <w:autoSpaceDE w:val="0"/>
      <w:autoSpaceDN w:val="0"/>
      <w:adjustRightInd w:val="0"/>
      <w:spacing w:after="240"/>
    </w:pPr>
    <w:rPr>
      <w:rFonts w:ascii="Times New Roman" w:hAnsi="Times New Roman"/>
      <w:lang w:val="en-US" w:eastAsia="es-AR"/>
    </w:rPr>
  </w:style>
  <w:style w:type="paragraph" w:customStyle="1" w:styleId="font6">
    <w:name w:val="font6"/>
    <w:basedOn w:val="Normal"/>
    <w:rsid w:val="002831AB"/>
    <w:pPr>
      <w:autoSpaceDE w:val="0"/>
      <w:autoSpaceDN w:val="0"/>
      <w:adjustRightInd w:val="0"/>
      <w:spacing w:before="100" w:beforeAutospacing="1" w:after="100" w:afterAutospacing="1"/>
    </w:pPr>
    <w:rPr>
      <w:rFonts w:ascii="Tahoma" w:eastAsia="Arial Unicode MS" w:hAnsi="Tahoma" w:cs="Tahoma"/>
      <w:b/>
      <w:bCs/>
      <w:color w:val="000000"/>
      <w:sz w:val="16"/>
      <w:szCs w:val="16"/>
      <w:lang w:val="en-US" w:eastAsia="es-AR"/>
    </w:rPr>
  </w:style>
  <w:style w:type="paragraph" w:customStyle="1" w:styleId="xl22">
    <w:name w:val="xl22"/>
    <w:basedOn w:val="Normal"/>
    <w:rsid w:val="002831AB"/>
    <w:pPr>
      <w:autoSpaceDE w:val="0"/>
      <w:autoSpaceDN w:val="0"/>
      <w:adjustRightInd w:val="0"/>
      <w:spacing w:before="100" w:beforeAutospacing="1" w:after="100" w:afterAutospacing="1"/>
      <w:jc w:val="center"/>
    </w:pPr>
    <w:rPr>
      <w:rFonts w:ascii="Times New Roman" w:eastAsia="Arial Unicode MS" w:hAnsi="Times New Roman"/>
      <w:b/>
      <w:bCs/>
      <w:lang w:val="en-US" w:eastAsia="es-AR"/>
    </w:rPr>
  </w:style>
  <w:style w:type="paragraph" w:customStyle="1" w:styleId="xl23">
    <w:name w:val="xl23"/>
    <w:basedOn w:val="Normal"/>
    <w:rsid w:val="002831AB"/>
    <w:pPr>
      <w:autoSpaceDE w:val="0"/>
      <w:autoSpaceDN w:val="0"/>
      <w:adjustRightInd w:val="0"/>
      <w:spacing w:before="100" w:beforeAutospacing="1" w:after="100" w:afterAutospacing="1"/>
    </w:pPr>
    <w:rPr>
      <w:rFonts w:ascii="Times New Roman" w:eastAsia="Arial Unicode MS" w:hAnsi="Times New Roman"/>
      <w:b/>
      <w:bCs/>
      <w:lang w:val="en-US" w:eastAsia="es-AR"/>
    </w:rPr>
  </w:style>
  <w:style w:type="paragraph" w:customStyle="1" w:styleId="Topo1">
    <w:name w:val="Topo 1"/>
    <w:rsid w:val="002831AB"/>
    <w:pPr>
      <w:ind w:left="578"/>
    </w:pPr>
    <w:rPr>
      <w:rFonts w:ascii="Bookman Old Style" w:hAnsi="Bookman Old Style"/>
      <w:color w:val="000000"/>
      <w:sz w:val="24"/>
      <w:szCs w:val="24"/>
      <w:lang w:eastAsia="en-US"/>
    </w:rPr>
  </w:style>
  <w:style w:type="paragraph" w:customStyle="1" w:styleId="Simple">
    <w:name w:val="Simple"/>
    <w:rsid w:val="002831AB"/>
    <w:rPr>
      <w:rFonts w:ascii="Bookman Old Style" w:hAnsi="Bookman Old Style"/>
      <w:color w:val="000000"/>
      <w:sz w:val="24"/>
      <w:szCs w:val="24"/>
      <w:lang w:eastAsia="en-US"/>
    </w:rPr>
  </w:style>
  <w:style w:type="paragraph" w:customStyle="1" w:styleId="Espaol">
    <w:name w:val="Español"/>
    <w:basedOn w:val="Normal"/>
    <w:rsid w:val="002831AB"/>
    <w:pPr>
      <w:autoSpaceDE w:val="0"/>
      <w:autoSpaceDN w:val="0"/>
      <w:adjustRightInd w:val="0"/>
      <w:spacing w:line="360" w:lineRule="auto"/>
      <w:jc w:val="both"/>
    </w:pPr>
    <w:rPr>
      <w:rFonts w:ascii="Arial" w:hAnsi="Arial" w:cs="Arial"/>
      <w:lang w:val="es-ES_tradnl" w:eastAsia="es-AR"/>
    </w:rPr>
  </w:style>
  <w:style w:type="paragraph" w:customStyle="1" w:styleId="tabla10">
    <w:name w:val="tabla10"/>
    <w:rsid w:val="002831AB"/>
    <w:pPr>
      <w:jc w:val="right"/>
    </w:pPr>
    <w:rPr>
      <w:rFonts w:ascii="Arial" w:hAnsi="Arial" w:cs="Arial"/>
      <w:color w:val="000000"/>
      <w:lang w:eastAsia="en-US"/>
    </w:rPr>
  </w:style>
  <w:style w:type="paragraph" w:customStyle="1" w:styleId="Topo">
    <w:name w:val="Topo"/>
    <w:rsid w:val="002831AB"/>
    <w:pPr>
      <w:ind w:left="289"/>
    </w:pPr>
    <w:rPr>
      <w:rFonts w:ascii="Bookman Old Style" w:hAnsi="Bookman Old Style"/>
      <w:color w:val="000000"/>
      <w:sz w:val="24"/>
      <w:szCs w:val="24"/>
      <w:lang w:eastAsia="en-US"/>
    </w:rPr>
  </w:style>
  <w:style w:type="paragraph" w:customStyle="1" w:styleId="Cabecera">
    <w:name w:val="Cabecera"/>
    <w:rsid w:val="002831AB"/>
    <w:rPr>
      <w:rFonts w:ascii="Bookman Old Style" w:hAnsi="Bookman Old Style"/>
      <w:color w:val="000000"/>
      <w:sz w:val="24"/>
      <w:szCs w:val="24"/>
      <w:lang w:eastAsia="en-US"/>
    </w:rPr>
  </w:style>
  <w:style w:type="paragraph" w:customStyle="1" w:styleId="Pie">
    <w:name w:val="Pie"/>
    <w:rsid w:val="002831AB"/>
    <w:rPr>
      <w:rFonts w:ascii="Bookman Old Style" w:hAnsi="Bookman Old Style"/>
      <w:color w:val="000000"/>
      <w:sz w:val="24"/>
      <w:szCs w:val="24"/>
      <w:lang w:eastAsia="en-US"/>
    </w:rPr>
  </w:style>
  <w:style w:type="paragraph" w:customStyle="1" w:styleId="EncabezadoPagina">
    <w:name w:val="Encabezado Pagina"/>
    <w:basedOn w:val="Normal"/>
    <w:rsid w:val="002831AB"/>
    <w:pPr>
      <w:widowControl w:val="0"/>
      <w:autoSpaceDE w:val="0"/>
      <w:autoSpaceDN w:val="0"/>
      <w:adjustRightInd w:val="0"/>
      <w:spacing w:line="280" w:lineRule="exact"/>
      <w:jc w:val="center"/>
      <w:outlineLvl w:val="0"/>
    </w:pPr>
    <w:rPr>
      <w:rFonts w:ascii="Times New Roman" w:hAnsi="Times New Roman"/>
      <w:b/>
      <w:bCs/>
      <w:sz w:val="28"/>
      <w:szCs w:val="28"/>
      <w:lang w:eastAsia="es-AR"/>
    </w:rPr>
  </w:style>
  <w:style w:type="paragraph" w:customStyle="1" w:styleId="Encabezadotimesnewroman12">
    <w:name w:val="Encabezado times new roman 12"/>
    <w:rsid w:val="002831AB"/>
    <w:pPr>
      <w:spacing w:line="280" w:lineRule="exact"/>
      <w:jc w:val="center"/>
    </w:pPr>
    <w:rPr>
      <w:b/>
      <w:bCs/>
      <w:sz w:val="24"/>
      <w:szCs w:val="24"/>
      <w:lang w:val="es-AR" w:eastAsia="en-US"/>
    </w:rPr>
  </w:style>
  <w:style w:type="paragraph" w:customStyle="1" w:styleId="Ttulonota">
    <w:name w:val="Título nota"/>
    <w:basedOn w:val="Texto0"/>
    <w:rsid w:val="002831AB"/>
    <w:pPr>
      <w:autoSpaceDE w:val="0"/>
      <w:autoSpaceDN w:val="0"/>
      <w:adjustRightInd w:val="0"/>
    </w:pPr>
    <w:rPr>
      <w:b/>
      <w:sz w:val="22"/>
      <w:szCs w:val="22"/>
    </w:rPr>
  </w:style>
  <w:style w:type="paragraph" w:customStyle="1" w:styleId="Nmeros">
    <w:name w:val="Números"/>
    <w:rsid w:val="002831AB"/>
    <w:pPr>
      <w:ind w:left="714"/>
    </w:pPr>
    <w:rPr>
      <w:rFonts w:ascii="Bookman Old Style" w:hAnsi="Bookman Old Style"/>
      <w:color w:val="000000"/>
      <w:sz w:val="24"/>
      <w:szCs w:val="24"/>
    </w:rPr>
  </w:style>
  <w:style w:type="paragraph" w:customStyle="1" w:styleId="Subepgrafe">
    <w:name w:val="Subepígrafe"/>
    <w:rsid w:val="002831AB"/>
    <w:pPr>
      <w:spacing w:before="73" w:after="73"/>
    </w:pPr>
    <w:rPr>
      <w:rFonts w:ascii="Bookman Old Style" w:hAnsi="Bookman Old Style"/>
      <w:b/>
      <w:bCs/>
      <w:i/>
      <w:iCs/>
      <w:color w:val="000000"/>
      <w:sz w:val="24"/>
      <w:szCs w:val="24"/>
    </w:rPr>
  </w:style>
  <w:style w:type="paragraph" w:customStyle="1" w:styleId="tabla7">
    <w:name w:val="tabla7"/>
    <w:rsid w:val="002831AB"/>
    <w:pPr>
      <w:jc w:val="right"/>
    </w:pPr>
    <w:rPr>
      <w:rFonts w:ascii="Arial" w:hAnsi="Arial" w:cs="Arial"/>
      <w:color w:val="000000"/>
      <w:sz w:val="14"/>
      <w:szCs w:val="14"/>
    </w:rPr>
  </w:style>
  <w:style w:type="paragraph" w:customStyle="1" w:styleId="tabla6">
    <w:name w:val="tabla6"/>
    <w:rsid w:val="002831AB"/>
    <w:pPr>
      <w:jc w:val="right"/>
    </w:pPr>
    <w:rPr>
      <w:rFonts w:ascii="Arial" w:hAnsi="Arial" w:cs="Arial"/>
      <w:color w:val="000000"/>
      <w:sz w:val="12"/>
      <w:szCs w:val="12"/>
    </w:rPr>
  </w:style>
  <w:style w:type="paragraph" w:customStyle="1" w:styleId="Textopredete">
    <w:name w:val="Texto predete"/>
    <w:rsid w:val="002831AB"/>
    <w:rPr>
      <w:rFonts w:ascii="Bookman Old Style" w:hAnsi="Bookman Old Style"/>
      <w:color w:val="000000"/>
      <w:sz w:val="24"/>
      <w:szCs w:val="24"/>
    </w:rPr>
  </w:style>
  <w:style w:type="paragraph" w:customStyle="1" w:styleId="SeqLevel1">
    <w:name w:val="Seq Level 1"/>
    <w:rsid w:val="002831AB"/>
    <w:pPr>
      <w:ind w:left="360"/>
    </w:pPr>
    <w:rPr>
      <w:rFonts w:ascii="Bookman Old Style" w:hAnsi="Bookman Old Style"/>
      <w:color w:val="000000"/>
      <w:sz w:val="24"/>
      <w:szCs w:val="24"/>
    </w:rPr>
  </w:style>
  <w:style w:type="paragraph" w:customStyle="1" w:styleId="SeqLevel2">
    <w:name w:val="Seq Level 2"/>
    <w:rsid w:val="002831AB"/>
    <w:pPr>
      <w:ind w:left="720"/>
    </w:pPr>
    <w:rPr>
      <w:rFonts w:ascii="Bookman Old Style" w:hAnsi="Bookman Old Style"/>
      <w:color w:val="000000"/>
      <w:sz w:val="24"/>
      <w:szCs w:val="24"/>
    </w:rPr>
  </w:style>
  <w:style w:type="paragraph" w:customStyle="1" w:styleId="SeqLevel3">
    <w:name w:val="Seq Level 3"/>
    <w:rsid w:val="002831AB"/>
    <w:pPr>
      <w:ind w:left="1080"/>
    </w:pPr>
    <w:rPr>
      <w:rFonts w:ascii="Bookman Old Style" w:hAnsi="Bookman Old Style"/>
      <w:color w:val="000000"/>
      <w:sz w:val="24"/>
      <w:szCs w:val="24"/>
    </w:rPr>
  </w:style>
  <w:style w:type="paragraph" w:customStyle="1" w:styleId="SeqLevel4">
    <w:name w:val="Seq Level 4"/>
    <w:rsid w:val="002831AB"/>
    <w:pPr>
      <w:ind w:left="1440"/>
    </w:pPr>
    <w:rPr>
      <w:rFonts w:ascii="Bookman Old Style" w:hAnsi="Bookman Old Style"/>
      <w:color w:val="000000"/>
      <w:sz w:val="24"/>
      <w:szCs w:val="24"/>
    </w:rPr>
  </w:style>
  <w:style w:type="paragraph" w:customStyle="1" w:styleId="SeqLevel5">
    <w:name w:val="Seq Level 5"/>
    <w:rsid w:val="002831AB"/>
    <w:pPr>
      <w:ind w:left="1800"/>
    </w:pPr>
    <w:rPr>
      <w:rFonts w:ascii="Bookman Old Style" w:hAnsi="Bookman Old Style"/>
      <w:color w:val="000000"/>
      <w:sz w:val="24"/>
      <w:szCs w:val="24"/>
    </w:rPr>
  </w:style>
  <w:style w:type="paragraph" w:customStyle="1" w:styleId="SeqLevel6">
    <w:name w:val="Seq Level 6"/>
    <w:rsid w:val="002831AB"/>
    <w:pPr>
      <w:ind w:left="2160"/>
    </w:pPr>
    <w:rPr>
      <w:rFonts w:ascii="Bookman Old Style" w:hAnsi="Bookman Old Style"/>
      <w:color w:val="000000"/>
      <w:sz w:val="24"/>
      <w:szCs w:val="24"/>
    </w:rPr>
  </w:style>
  <w:style w:type="paragraph" w:customStyle="1" w:styleId="SeqLevel7">
    <w:name w:val="Seq Level 7"/>
    <w:rsid w:val="002831AB"/>
    <w:pPr>
      <w:ind w:left="2520"/>
    </w:pPr>
    <w:rPr>
      <w:rFonts w:ascii="Bookman Old Style" w:hAnsi="Bookman Old Style"/>
      <w:color w:val="000000"/>
      <w:sz w:val="24"/>
      <w:szCs w:val="24"/>
    </w:rPr>
  </w:style>
  <w:style w:type="paragraph" w:customStyle="1" w:styleId="SeqLevel8">
    <w:name w:val="Seq Level 8"/>
    <w:rsid w:val="002831AB"/>
    <w:pPr>
      <w:ind w:left="2880"/>
    </w:pPr>
    <w:rPr>
      <w:rFonts w:ascii="Bookman Old Style" w:hAnsi="Bookman Old Style"/>
      <w:color w:val="000000"/>
      <w:sz w:val="24"/>
      <w:szCs w:val="24"/>
    </w:rPr>
  </w:style>
  <w:style w:type="paragraph" w:customStyle="1" w:styleId="SeqLevel9">
    <w:name w:val="Seq Level 9"/>
    <w:rsid w:val="002831AB"/>
    <w:pPr>
      <w:ind w:left="3240"/>
    </w:pPr>
    <w:rPr>
      <w:rFonts w:ascii="Bookman Old Style" w:hAnsi="Bookman Old Style"/>
      <w:color w:val="000000"/>
      <w:sz w:val="24"/>
      <w:szCs w:val="24"/>
    </w:rPr>
  </w:style>
  <w:style w:type="paragraph" w:customStyle="1" w:styleId="Textoprincip">
    <w:name w:val="Textoprincip"/>
    <w:basedOn w:val="Normal"/>
    <w:rsid w:val="002831AB"/>
    <w:pPr>
      <w:widowControl w:val="0"/>
      <w:autoSpaceDE w:val="0"/>
      <w:autoSpaceDN w:val="0"/>
      <w:adjustRightInd w:val="0"/>
      <w:jc w:val="both"/>
    </w:pPr>
    <w:rPr>
      <w:rFonts w:ascii="Book Antiqua" w:hAnsi="Book Antiqua"/>
      <w:lang w:val="es-ES_tradnl" w:eastAsia="es-AR"/>
    </w:rPr>
  </w:style>
  <w:style w:type="paragraph" w:customStyle="1" w:styleId="Textoindependiente1">
    <w:name w:val="Texto independiente1"/>
    <w:rsid w:val="002831AB"/>
    <w:pPr>
      <w:ind w:firstLine="480"/>
    </w:pPr>
    <w:rPr>
      <w:rFonts w:ascii="ZapfHumnst BT" w:hAnsi="ZapfHumnst BT"/>
      <w:color w:val="000000"/>
      <w:sz w:val="22"/>
      <w:szCs w:val="22"/>
    </w:rPr>
  </w:style>
  <w:style w:type="paragraph" w:customStyle="1" w:styleId="Nombredearchivo">
    <w:name w:val="Nombre de archivo"/>
    <w:rsid w:val="002831AB"/>
  </w:style>
  <w:style w:type="paragraph" w:customStyle="1" w:styleId="TitulosANEXOSA">
    <w:name w:val="Titulos ANEXOS A"/>
    <w:aliases w:val="B,C..."/>
    <w:rsid w:val="002831AB"/>
    <w:pPr>
      <w:jc w:val="right"/>
    </w:pPr>
    <w:rPr>
      <w:b/>
      <w:bCs/>
      <w:noProof/>
      <w:sz w:val="24"/>
      <w:szCs w:val="24"/>
      <w:lang w:val="en-US" w:eastAsia="en-US"/>
    </w:rPr>
  </w:style>
  <w:style w:type="paragraph" w:customStyle="1" w:styleId="CPN-nleftbold">
    <w:name w:val="CPN-n/*leftbold"/>
    <w:basedOn w:val="Normal"/>
    <w:rsid w:val="002831AB"/>
    <w:pPr>
      <w:keepNext/>
      <w:keepLines/>
      <w:widowControl w:val="0"/>
      <w:autoSpaceDE w:val="0"/>
      <w:autoSpaceDN w:val="0"/>
      <w:adjustRightInd w:val="0"/>
      <w:spacing w:after="240" w:line="-240" w:lineRule="auto"/>
    </w:pPr>
    <w:rPr>
      <w:rFonts w:ascii="Arial" w:hAnsi="Arial" w:cs="Arial"/>
      <w:b/>
      <w:bCs/>
      <w:lang w:val="en-US" w:eastAsia="es-AR"/>
    </w:rPr>
  </w:style>
  <w:style w:type="paragraph" w:customStyle="1" w:styleId="tahoma">
    <w:name w:val="tahoma"/>
    <w:basedOn w:val="Normal"/>
    <w:rsid w:val="002831AB"/>
    <w:pPr>
      <w:autoSpaceDE w:val="0"/>
      <w:autoSpaceDN w:val="0"/>
      <w:adjustRightInd w:val="0"/>
      <w:spacing w:line="360" w:lineRule="auto"/>
      <w:jc w:val="both"/>
    </w:pPr>
    <w:rPr>
      <w:rFonts w:ascii="Times New Roman" w:hAnsi="Times New Roman"/>
      <w:lang w:val="en-US" w:eastAsia="es-AR"/>
    </w:rPr>
  </w:style>
  <w:style w:type="paragraph" w:customStyle="1" w:styleId="xl66">
    <w:name w:val="xl66"/>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67">
    <w:name w:val="xl67"/>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68">
    <w:name w:val="xl68"/>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69">
    <w:name w:val="xl69"/>
    <w:basedOn w:val="Normal"/>
    <w:rsid w:val="002831AB"/>
    <w:pPr>
      <w:autoSpaceDE w:val="0"/>
      <w:autoSpaceDN w:val="0"/>
      <w:adjustRightInd w:val="0"/>
      <w:spacing w:before="100" w:beforeAutospacing="1" w:after="100" w:afterAutospacing="1"/>
      <w:jc w:val="center"/>
    </w:pPr>
    <w:rPr>
      <w:rFonts w:ascii="Arial" w:eastAsia="Arial Unicode MS" w:hAnsi="Arial" w:cs="Arial"/>
      <w:b/>
      <w:bCs/>
      <w:sz w:val="14"/>
      <w:szCs w:val="14"/>
      <w:lang w:val="en-US" w:eastAsia="es-AR"/>
    </w:rPr>
  </w:style>
  <w:style w:type="paragraph" w:customStyle="1" w:styleId="xl70">
    <w:name w:val="xl70"/>
    <w:basedOn w:val="Normal"/>
    <w:rsid w:val="002831AB"/>
    <w:pPr>
      <w:autoSpaceDE w:val="0"/>
      <w:autoSpaceDN w:val="0"/>
      <w:adjustRightInd w:val="0"/>
      <w:spacing w:before="100" w:beforeAutospacing="1" w:after="100" w:afterAutospacing="1"/>
      <w:jc w:val="center"/>
    </w:pPr>
    <w:rPr>
      <w:rFonts w:ascii="Arial" w:eastAsia="Arial Unicode MS" w:hAnsi="Arial" w:cs="Arial"/>
      <w:b/>
      <w:bCs/>
      <w:color w:val="FF0000"/>
      <w:sz w:val="14"/>
      <w:szCs w:val="14"/>
      <w:lang w:val="en-US" w:eastAsia="es-AR"/>
    </w:rPr>
  </w:style>
  <w:style w:type="paragraph" w:customStyle="1" w:styleId="xl71">
    <w:name w:val="xl71"/>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2">
    <w:name w:val="xl72"/>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3">
    <w:name w:val="xl73"/>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4">
    <w:name w:val="xl74"/>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5">
    <w:name w:val="xl75"/>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6">
    <w:name w:val="xl76"/>
    <w:basedOn w:val="Normal"/>
    <w:rsid w:val="002831AB"/>
    <w:pPr>
      <w:autoSpaceDE w:val="0"/>
      <w:autoSpaceDN w:val="0"/>
      <w:adjustRightInd w:val="0"/>
      <w:spacing w:before="100" w:beforeAutospacing="1" w:after="100" w:afterAutospacing="1"/>
      <w:jc w:val="center"/>
    </w:pPr>
    <w:rPr>
      <w:rFonts w:ascii="Arial" w:eastAsia="Arial Unicode MS" w:hAnsi="Arial" w:cs="Arial"/>
      <w:sz w:val="14"/>
      <w:szCs w:val="14"/>
      <w:lang w:val="en-US" w:eastAsia="es-AR"/>
    </w:rPr>
  </w:style>
  <w:style w:type="paragraph" w:customStyle="1" w:styleId="xl77">
    <w:name w:val="xl77"/>
    <w:basedOn w:val="Normal"/>
    <w:rsid w:val="002831AB"/>
    <w:pPr>
      <w:pBdr>
        <w:bottom w:val="single" w:sz="4" w:space="0" w:color="auto"/>
      </w:pBdr>
      <w:autoSpaceDE w:val="0"/>
      <w:autoSpaceDN w:val="0"/>
      <w:adjustRightInd w:val="0"/>
      <w:spacing w:before="100" w:beforeAutospacing="1" w:after="100" w:afterAutospacing="1"/>
      <w:jc w:val="center"/>
    </w:pPr>
    <w:rPr>
      <w:rFonts w:ascii="Arial" w:eastAsia="Arial Unicode MS" w:hAnsi="Arial" w:cs="Arial"/>
      <w:color w:val="FF0000"/>
      <w:sz w:val="14"/>
      <w:szCs w:val="14"/>
      <w:lang w:val="en-US" w:eastAsia="es-AR"/>
    </w:rPr>
  </w:style>
  <w:style w:type="paragraph" w:customStyle="1" w:styleId="xl78">
    <w:name w:val="xl78"/>
    <w:basedOn w:val="Normal"/>
    <w:rsid w:val="002831AB"/>
    <w:pPr>
      <w:autoSpaceDE w:val="0"/>
      <w:autoSpaceDN w:val="0"/>
      <w:adjustRightInd w:val="0"/>
      <w:spacing w:before="100" w:beforeAutospacing="1" w:after="100" w:afterAutospacing="1"/>
      <w:jc w:val="center"/>
    </w:pPr>
    <w:rPr>
      <w:rFonts w:ascii="Arial" w:eastAsia="Arial Unicode MS" w:hAnsi="Arial" w:cs="Arial"/>
      <w:b/>
      <w:bCs/>
      <w:color w:val="FF0000"/>
      <w:sz w:val="14"/>
      <w:szCs w:val="14"/>
      <w:lang w:val="en-US" w:eastAsia="es-AR"/>
    </w:rPr>
  </w:style>
  <w:style w:type="paragraph" w:customStyle="1" w:styleId="Tcnico4a">
    <w:name w:val="Técnico 4a"/>
    <w:rsid w:val="002831AB"/>
    <w:pPr>
      <w:widowControl w:val="0"/>
      <w:tabs>
        <w:tab w:val="left" w:pos="-720"/>
      </w:tabs>
      <w:suppressAutoHyphens/>
    </w:pPr>
    <w:rPr>
      <w:rFonts w:ascii="CG Times" w:hAnsi="CG Times"/>
      <w:b/>
      <w:bCs/>
    </w:rPr>
  </w:style>
  <w:style w:type="paragraph" w:customStyle="1" w:styleId="CommentSubject2">
    <w:name w:val="Comment Subject2"/>
    <w:basedOn w:val="Textocomentario"/>
    <w:next w:val="Textocomentario"/>
    <w:rsid w:val="002831AB"/>
    <w:rPr>
      <w:b/>
      <w:bCs/>
    </w:rPr>
  </w:style>
  <w:style w:type="paragraph" w:customStyle="1" w:styleId="3Subttulo">
    <w:name w:val="3Subtítulo"/>
    <w:basedOn w:val="Normal"/>
    <w:rsid w:val="002831AB"/>
    <w:pPr>
      <w:autoSpaceDE w:val="0"/>
      <w:autoSpaceDN w:val="0"/>
      <w:adjustRightInd w:val="0"/>
      <w:jc w:val="center"/>
    </w:pPr>
    <w:rPr>
      <w:rFonts w:ascii="Times New Roman" w:hAnsi="Times New Roman"/>
      <w:noProof/>
      <w:lang w:val="en-US" w:eastAsia="es-AR"/>
    </w:rPr>
  </w:style>
  <w:style w:type="paragraph" w:customStyle="1" w:styleId="CG-SingleSp05s2BodyText5JBodyText5s2J">
    <w:name w:val="CG-Single Sp 0.5.s2.!Body Text .5(J).!Body Text .5s2(J)"/>
    <w:basedOn w:val="Normal"/>
    <w:rsid w:val="002831AB"/>
    <w:pPr>
      <w:autoSpaceDE w:val="0"/>
      <w:autoSpaceDN w:val="0"/>
      <w:adjustRightInd w:val="0"/>
      <w:spacing w:after="240"/>
      <w:ind w:firstLine="720"/>
    </w:pPr>
    <w:rPr>
      <w:rFonts w:ascii="Times New Roman" w:hAnsi="Times New Roman"/>
      <w:lang w:val="en-US" w:eastAsia="es-AR"/>
    </w:rPr>
  </w:style>
  <w:style w:type="paragraph" w:customStyle="1" w:styleId="-TableText9">
    <w:name w:val="-Table Text 9"/>
    <w:basedOn w:val="Normal"/>
    <w:rsid w:val="002831AB"/>
    <w:pPr>
      <w:tabs>
        <w:tab w:val="right" w:leader="dot" w:pos="5310"/>
      </w:tabs>
      <w:autoSpaceDE w:val="0"/>
      <w:autoSpaceDN w:val="0"/>
      <w:adjustRightInd w:val="0"/>
    </w:pPr>
    <w:rPr>
      <w:rFonts w:ascii="Arial" w:hAnsi="Arial" w:cs="Arial"/>
      <w:sz w:val="18"/>
      <w:szCs w:val="18"/>
      <w:lang w:val="en-US" w:eastAsia="es-AR"/>
    </w:rPr>
  </w:style>
  <w:style w:type="paragraph" w:customStyle="1" w:styleId="b6">
    <w:name w:val="b6"/>
    <w:basedOn w:val="Normal"/>
    <w:rsid w:val="002831AB"/>
    <w:pPr>
      <w:tabs>
        <w:tab w:val="right" w:leader="dot" w:pos="5310"/>
      </w:tabs>
      <w:autoSpaceDE w:val="0"/>
      <w:autoSpaceDN w:val="0"/>
      <w:adjustRightInd w:val="0"/>
    </w:pPr>
    <w:rPr>
      <w:rFonts w:ascii="Arial" w:hAnsi="Arial" w:cs="Arial"/>
      <w:sz w:val="12"/>
      <w:szCs w:val="12"/>
      <w:lang w:val="en-US" w:eastAsia="es-AR"/>
    </w:rPr>
  </w:style>
  <w:style w:type="paragraph" w:customStyle="1" w:styleId="tabla8gral">
    <w:name w:val="tabla8 gral"/>
    <w:basedOn w:val="Normal"/>
    <w:rsid w:val="002831AB"/>
    <w:pPr>
      <w:autoSpaceDE w:val="0"/>
      <w:autoSpaceDN w:val="0"/>
      <w:adjustRightInd w:val="0"/>
    </w:pPr>
    <w:rPr>
      <w:rFonts w:ascii="Arial" w:hAnsi="Arial" w:cs="Arial"/>
      <w:sz w:val="16"/>
      <w:szCs w:val="16"/>
      <w:lang w:val="en-US" w:eastAsia="es-AR"/>
    </w:rPr>
  </w:style>
  <w:style w:type="paragraph" w:customStyle="1" w:styleId="deci">
    <w:name w:val="deci"/>
    <w:basedOn w:val="Normal"/>
    <w:rsid w:val="002831AB"/>
    <w:pPr>
      <w:autoSpaceDE w:val="0"/>
      <w:autoSpaceDN w:val="0"/>
      <w:adjustRightInd w:val="0"/>
    </w:pPr>
    <w:rPr>
      <w:rFonts w:ascii="Arial" w:hAnsi="Arial" w:cs="Arial"/>
      <w:sz w:val="16"/>
      <w:szCs w:val="16"/>
      <w:lang w:val="en-US" w:eastAsia="es-AR"/>
    </w:rPr>
  </w:style>
  <w:style w:type="paragraph" w:customStyle="1" w:styleId="Tabla8s">
    <w:name w:val="Tabla8 s/"/>
    <w:basedOn w:val="Normal"/>
    <w:rsid w:val="002831AB"/>
    <w:pPr>
      <w:autoSpaceDE w:val="0"/>
      <w:autoSpaceDN w:val="0"/>
      <w:adjustRightInd w:val="0"/>
    </w:pPr>
    <w:rPr>
      <w:rFonts w:ascii="Arial" w:hAnsi="Arial" w:cs="Arial"/>
      <w:sz w:val="16"/>
      <w:szCs w:val="16"/>
      <w:lang w:val="en-US" w:eastAsia="es-AR"/>
    </w:rPr>
  </w:style>
  <w:style w:type="paragraph" w:customStyle="1" w:styleId="Tabla8">
    <w:name w:val="Tabla8"/>
    <w:basedOn w:val="Normal"/>
    <w:rsid w:val="002831AB"/>
    <w:pPr>
      <w:autoSpaceDE w:val="0"/>
      <w:autoSpaceDN w:val="0"/>
      <w:adjustRightInd w:val="0"/>
    </w:pPr>
    <w:rPr>
      <w:rFonts w:ascii="Arial" w:hAnsi="Arial" w:cs="Arial"/>
      <w:sz w:val="16"/>
      <w:szCs w:val="16"/>
      <w:lang w:val="en-US" w:eastAsia="es-AR"/>
    </w:rPr>
  </w:style>
  <w:style w:type="paragraph" w:customStyle="1" w:styleId="taba7">
    <w:name w:val="taba7"/>
    <w:basedOn w:val="Normal"/>
    <w:rsid w:val="002831AB"/>
    <w:pPr>
      <w:autoSpaceDE w:val="0"/>
      <w:autoSpaceDN w:val="0"/>
      <w:adjustRightInd w:val="0"/>
    </w:pPr>
    <w:rPr>
      <w:rFonts w:ascii="Arial" w:hAnsi="Arial" w:cs="Arial"/>
      <w:sz w:val="14"/>
      <w:szCs w:val="14"/>
      <w:lang w:val="en-US" w:eastAsia="es-AR"/>
    </w:rPr>
  </w:style>
  <w:style w:type="paragraph" w:customStyle="1" w:styleId="table6">
    <w:name w:val="table6"/>
    <w:basedOn w:val="Normal"/>
    <w:rsid w:val="002831AB"/>
    <w:pPr>
      <w:tabs>
        <w:tab w:val="right" w:leader="dot" w:pos="5310"/>
      </w:tabs>
      <w:autoSpaceDE w:val="0"/>
      <w:autoSpaceDN w:val="0"/>
      <w:adjustRightInd w:val="0"/>
    </w:pPr>
    <w:rPr>
      <w:rFonts w:ascii="Arial" w:hAnsi="Arial" w:cs="Arial"/>
      <w:sz w:val="12"/>
      <w:szCs w:val="12"/>
      <w:lang w:val="en-US" w:eastAsia="es-AR"/>
    </w:rPr>
  </w:style>
  <w:style w:type="paragraph" w:customStyle="1" w:styleId="bre">
    <w:name w:val="bre"/>
    <w:basedOn w:val="Normal"/>
    <w:rsid w:val="002831AB"/>
    <w:pPr>
      <w:tabs>
        <w:tab w:val="right" w:leader="dot" w:pos="5310"/>
      </w:tabs>
      <w:autoSpaceDE w:val="0"/>
      <w:autoSpaceDN w:val="0"/>
      <w:adjustRightInd w:val="0"/>
    </w:pPr>
    <w:rPr>
      <w:rFonts w:ascii="Arial" w:hAnsi="Arial" w:cs="Arial"/>
      <w:sz w:val="12"/>
      <w:szCs w:val="12"/>
      <w:lang w:val="en-US" w:eastAsia="es-AR"/>
    </w:rPr>
  </w:style>
  <w:style w:type="paragraph" w:customStyle="1" w:styleId="1Empresa">
    <w:name w:val="1Empresa"/>
    <w:basedOn w:val="Normal"/>
    <w:rsid w:val="002831A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autoSpaceDE w:val="0"/>
      <w:autoSpaceDN w:val="0"/>
      <w:adjustRightInd w:val="0"/>
      <w:jc w:val="center"/>
    </w:pPr>
    <w:rPr>
      <w:rFonts w:ascii="Times New Roman" w:hAnsi="Times New Roman"/>
      <w:b/>
      <w:bCs/>
      <w:sz w:val="36"/>
      <w:szCs w:val="36"/>
      <w:lang w:val="en-US" w:eastAsia="es-AR"/>
    </w:rPr>
  </w:style>
  <w:style w:type="paragraph" w:customStyle="1" w:styleId="tabla10cdec">
    <w:name w:val="tabla10 c/dec"/>
    <w:basedOn w:val="Normal"/>
    <w:rsid w:val="002831AB"/>
    <w:pPr>
      <w:autoSpaceDE w:val="0"/>
      <w:autoSpaceDN w:val="0"/>
      <w:adjustRightInd w:val="0"/>
    </w:pPr>
    <w:rPr>
      <w:rFonts w:ascii="Arial" w:hAnsi="Arial" w:cs="Arial"/>
      <w:lang w:val="en-US" w:eastAsia="es-AR"/>
    </w:rPr>
  </w:style>
  <w:style w:type="paragraph" w:customStyle="1" w:styleId="dec33">
    <w:name w:val="dec33"/>
    <w:basedOn w:val="Normal"/>
    <w:rsid w:val="002831AB"/>
    <w:pPr>
      <w:tabs>
        <w:tab w:val="right" w:leader="dot" w:pos="5310"/>
      </w:tabs>
      <w:autoSpaceDE w:val="0"/>
      <w:autoSpaceDN w:val="0"/>
      <w:adjustRightInd w:val="0"/>
    </w:pPr>
    <w:rPr>
      <w:rFonts w:ascii="Arial" w:hAnsi="Arial" w:cs="Arial"/>
      <w:lang w:val="en-US" w:eastAsia="es-AR"/>
    </w:rPr>
  </w:style>
  <w:style w:type="paragraph" w:customStyle="1" w:styleId="p1">
    <w:name w:val="p1"/>
    <w:basedOn w:val="Normal"/>
    <w:rsid w:val="002831AB"/>
    <w:pPr>
      <w:widowControl w:val="0"/>
      <w:tabs>
        <w:tab w:val="left" w:pos="204"/>
      </w:tabs>
      <w:autoSpaceDE w:val="0"/>
      <w:autoSpaceDN w:val="0"/>
      <w:adjustRightInd w:val="0"/>
      <w:spacing w:line="226" w:lineRule="atLeast"/>
    </w:pPr>
    <w:rPr>
      <w:rFonts w:ascii="Times New Roman" w:hAnsi="Times New Roman"/>
      <w:lang w:val="en-US" w:eastAsia="es-AR"/>
    </w:rPr>
  </w:style>
  <w:style w:type="paragraph" w:customStyle="1" w:styleId="p3">
    <w:name w:val="p3"/>
    <w:basedOn w:val="Normal"/>
    <w:rsid w:val="002831AB"/>
    <w:pPr>
      <w:widowControl w:val="0"/>
      <w:autoSpaceDE w:val="0"/>
      <w:autoSpaceDN w:val="0"/>
      <w:adjustRightInd w:val="0"/>
      <w:spacing w:line="240" w:lineRule="atLeast"/>
      <w:ind w:left="1066"/>
    </w:pPr>
    <w:rPr>
      <w:rFonts w:ascii="Times New Roman" w:hAnsi="Times New Roman"/>
      <w:lang w:val="en-US" w:eastAsia="es-AR"/>
    </w:rPr>
  </w:style>
  <w:style w:type="paragraph" w:customStyle="1" w:styleId="p4">
    <w:name w:val="p4"/>
    <w:basedOn w:val="Normal"/>
    <w:rsid w:val="002831AB"/>
    <w:pPr>
      <w:widowControl w:val="0"/>
      <w:tabs>
        <w:tab w:val="left" w:pos="204"/>
      </w:tabs>
      <w:autoSpaceDE w:val="0"/>
      <w:autoSpaceDN w:val="0"/>
      <w:adjustRightInd w:val="0"/>
      <w:spacing w:line="232" w:lineRule="atLeast"/>
    </w:pPr>
    <w:rPr>
      <w:rFonts w:ascii="Times New Roman" w:hAnsi="Times New Roman"/>
      <w:lang w:val="en-US" w:eastAsia="es-AR"/>
    </w:rPr>
  </w:style>
  <w:style w:type="paragraph" w:customStyle="1" w:styleId="m">
    <w:name w:val="m"/>
    <w:basedOn w:val="btsingle"/>
    <w:rsid w:val="002831AB"/>
    <w:pPr>
      <w:widowControl/>
      <w:suppressAutoHyphens/>
      <w:spacing w:line="216" w:lineRule="exact"/>
      <w:ind w:left="0"/>
      <w:jc w:val="both"/>
    </w:pPr>
    <w:rPr>
      <w:sz w:val="24"/>
      <w:szCs w:val="24"/>
    </w:rPr>
  </w:style>
  <w:style w:type="paragraph" w:customStyle="1" w:styleId="Ital">
    <w:name w:val="Ital"/>
    <w:basedOn w:val="Normal"/>
    <w:rsid w:val="002831AB"/>
    <w:pPr>
      <w:keepNext/>
      <w:autoSpaceDE w:val="0"/>
      <w:autoSpaceDN w:val="0"/>
      <w:adjustRightInd w:val="0"/>
      <w:spacing w:after="240"/>
    </w:pPr>
    <w:rPr>
      <w:rFonts w:ascii="Times New Roman" w:hAnsi="Times New Roman"/>
      <w:i/>
      <w:iCs/>
      <w:lang w:val="en-US" w:eastAsia="es-AR"/>
    </w:rPr>
  </w:style>
  <w:style w:type="paragraph" w:customStyle="1" w:styleId="TextI125">
    <w:name w:val="TextI1.25"/>
    <w:basedOn w:val="Normal"/>
    <w:rsid w:val="002831AB"/>
    <w:pPr>
      <w:autoSpaceDE w:val="0"/>
      <w:autoSpaceDN w:val="0"/>
      <w:adjustRightInd w:val="0"/>
      <w:spacing w:after="240"/>
      <w:ind w:left="1080" w:hanging="360"/>
    </w:pPr>
    <w:rPr>
      <w:rFonts w:ascii="Times New Roman" w:hAnsi="Times New Roman"/>
      <w:sz w:val="19"/>
      <w:szCs w:val="19"/>
      <w:lang w:val="en-US" w:eastAsia="es-AR"/>
    </w:rPr>
  </w:style>
  <w:style w:type="paragraph" w:customStyle="1" w:styleId="TextHSBI">
    <w:name w:val="TextHSBI"/>
    <w:basedOn w:val="Normal"/>
    <w:rsid w:val="002831AB"/>
    <w:pPr>
      <w:keepNext/>
      <w:tabs>
        <w:tab w:val="left" w:pos="500"/>
      </w:tabs>
      <w:autoSpaceDE w:val="0"/>
      <w:autoSpaceDN w:val="0"/>
      <w:adjustRightInd w:val="0"/>
      <w:spacing w:after="240"/>
    </w:pPr>
    <w:rPr>
      <w:rFonts w:ascii="Times New Roman" w:hAnsi="Times New Roman"/>
      <w:b/>
      <w:bCs/>
      <w:i/>
      <w:iCs/>
      <w:lang w:val="en-US" w:eastAsia="es-AR"/>
    </w:rPr>
  </w:style>
  <w:style w:type="paragraph" w:customStyle="1" w:styleId="WCPageNumber">
    <w:name w:val="WCPageNumber"/>
    <w:rsid w:val="002831AB"/>
    <w:rPr>
      <w:sz w:val="24"/>
      <w:szCs w:val="24"/>
      <w:lang w:val="en-US" w:eastAsia="en-US"/>
    </w:rPr>
  </w:style>
  <w:style w:type="paragraph" w:customStyle="1" w:styleId="mainpara0">
    <w:name w:val="mainpara"/>
    <w:basedOn w:val="Normal"/>
    <w:rsid w:val="002831AB"/>
    <w:pPr>
      <w:autoSpaceDE w:val="0"/>
      <w:autoSpaceDN w:val="0"/>
      <w:adjustRightInd w:val="0"/>
      <w:ind w:firstLine="432"/>
      <w:jc w:val="both"/>
    </w:pPr>
    <w:rPr>
      <w:rFonts w:ascii="Arial" w:hAnsi="Arial" w:cs="Arial"/>
      <w:lang w:val="en-US" w:eastAsia="es-AR"/>
    </w:rPr>
  </w:style>
  <w:style w:type="paragraph" w:customStyle="1" w:styleId="rrddoublerule">
    <w:name w:val="rrddoublerule"/>
    <w:basedOn w:val="Normal"/>
    <w:rsid w:val="002831AB"/>
    <w:pPr>
      <w:pBdr>
        <w:top w:val="double" w:sz="6" w:space="1" w:color="auto"/>
      </w:pBdr>
      <w:autoSpaceDE w:val="0"/>
      <w:autoSpaceDN w:val="0"/>
      <w:adjustRightInd w:val="0"/>
      <w:spacing w:before="20" w:line="20" w:lineRule="exact"/>
      <w:jc w:val="center"/>
    </w:pPr>
    <w:rPr>
      <w:rFonts w:ascii="Times New Roman" w:hAnsi="Times New Roman"/>
      <w:sz w:val="8"/>
      <w:szCs w:val="8"/>
      <w:lang w:val="en-US" w:eastAsia="es-AR"/>
    </w:rPr>
  </w:style>
  <w:style w:type="paragraph" w:customStyle="1" w:styleId="CP-Col-2">
    <w:name w:val="CP-Col-2"/>
    <w:basedOn w:val="Normal"/>
    <w:rsid w:val="002831AB"/>
    <w:pPr>
      <w:tabs>
        <w:tab w:val="left" w:leader="dot" w:pos="3690"/>
      </w:tabs>
      <w:overflowPunct w:val="0"/>
      <w:autoSpaceDE w:val="0"/>
      <w:autoSpaceDN w:val="0"/>
      <w:adjustRightInd w:val="0"/>
      <w:textAlignment w:val="baseline"/>
    </w:pPr>
    <w:rPr>
      <w:rFonts w:ascii="Times New Roman" w:hAnsi="Times New Roman"/>
      <w:color w:val="000000"/>
      <w:sz w:val="19"/>
      <w:szCs w:val="19"/>
      <w:lang w:val="en-US" w:eastAsia="es-AR"/>
    </w:rPr>
  </w:style>
  <w:style w:type="paragraph" w:customStyle="1" w:styleId="table10pt1">
    <w:name w:val="table10pt"/>
    <w:basedOn w:val="Normal"/>
    <w:rsid w:val="002831AB"/>
    <w:pPr>
      <w:keepNext/>
      <w:widowControl w:val="0"/>
      <w:tabs>
        <w:tab w:val="right" w:leader="dot" w:pos="5695"/>
      </w:tabs>
      <w:autoSpaceDE w:val="0"/>
      <w:autoSpaceDN w:val="0"/>
      <w:adjustRightInd w:val="0"/>
      <w:spacing w:after="120"/>
    </w:pPr>
    <w:rPr>
      <w:rFonts w:ascii="Times New Roman" w:hAnsi="Times New Roman"/>
      <w:color w:val="000000"/>
      <w:sz w:val="22"/>
      <w:szCs w:val="22"/>
      <w:lang w:val="fr-FR" w:eastAsia="es-AR"/>
    </w:rPr>
  </w:style>
  <w:style w:type="paragraph" w:customStyle="1" w:styleId="BodyText5J">
    <w:name w:val="Body Text .5J"/>
    <w:basedOn w:val="Normal"/>
    <w:rsid w:val="002831AB"/>
    <w:pPr>
      <w:autoSpaceDE w:val="0"/>
      <w:autoSpaceDN w:val="0"/>
      <w:adjustRightInd w:val="0"/>
      <w:spacing w:after="240"/>
      <w:ind w:firstLine="720"/>
      <w:jc w:val="both"/>
    </w:pPr>
    <w:rPr>
      <w:rFonts w:ascii="Times New Roman" w:eastAsia="PMingLiU" w:hAnsi="Times New Roman"/>
      <w:lang w:val="en-US" w:eastAsia="es-AR"/>
    </w:rPr>
  </w:style>
  <w:style w:type="paragraph" w:customStyle="1" w:styleId="rfn">
    <w:name w:val="rfn"/>
    <w:autoRedefine/>
    <w:rsid w:val="002831AB"/>
    <w:pPr>
      <w:pBdr>
        <w:bottom w:val="single" w:sz="6" w:space="1" w:color="auto"/>
      </w:pBdr>
      <w:spacing w:after="60" w:line="120" w:lineRule="exact"/>
      <w:ind w:right="7200"/>
      <w:jc w:val="both"/>
    </w:pPr>
    <w:rPr>
      <w:noProof/>
      <w:sz w:val="12"/>
      <w:szCs w:val="12"/>
      <w:lang w:val="en-US" w:eastAsia="en-US"/>
    </w:rPr>
  </w:style>
  <w:style w:type="paragraph" w:customStyle="1" w:styleId="BodyText2Sg">
    <w:name w:val="Body Text 2Sg"/>
    <w:basedOn w:val="NormalWeb"/>
    <w:rsid w:val="002831AB"/>
    <w:pPr>
      <w:autoSpaceDE w:val="0"/>
      <w:autoSpaceDN w:val="0"/>
      <w:adjustRightInd w:val="0"/>
    </w:pPr>
    <w:rPr>
      <w:rFonts w:ascii="Times New Roman" w:eastAsia="Times New Roman" w:hAnsi="Times New Roman" w:cs="Times New Roman"/>
      <w:sz w:val="20"/>
      <w:szCs w:val="20"/>
      <w:lang w:val="en-US" w:eastAsia="en-US"/>
    </w:rPr>
  </w:style>
  <w:style w:type="paragraph" w:customStyle="1" w:styleId="TitleLeftBI">
    <w:name w:val="Title Left B/I"/>
    <w:basedOn w:val="Normal"/>
    <w:rsid w:val="002831AB"/>
    <w:pPr>
      <w:keepNext/>
      <w:autoSpaceDE w:val="0"/>
      <w:autoSpaceDN w:val="0"/>
      <w:adjustRightInd w:val="0"/>
      <w:spacing w:after="240"/>
    </w:pPr>
    <w:rPr>
      <w:rFonts w:ascii="Times New Roman" w:hAnsi="Times New Roman"/>
      <w:b/>
      <w:bCs/>
      <w:i/>
      <w:iCs/>
      <w:sz w:val="22"/>
      <w:szCs w:val="22"/>
      <w:lang w:val="en-US" w:eastAsia="es-AR"/>
    </w:rPr>
  </w:style>
  <w:style w:type="paragraph" w:customStyle="1" w:styleId="Body-DTP">
    <w:name w:val="Body-DTP"/>
    <w:basedOn w:val="Normal"/>
    <w:rsid w:val="002831AB"/>
    <w:pPr>
      <w:autoSpaceDE w:val="0"/>
      <w:autoSpaceDN w:val="0"/>
      <w:adjustRightInd w:val="0"/>
      <w:spacing w:after="120" w:line="240" w:lineRule="exact"/>
      <w:ind w:firstLine="432"/>
      <w:jc w:val="both"/>
    </w:pPr>
    <w:rPr>
      <w:rFonts w:ascii="Times New Roman" w:hAnsi="Times New Roman"/>
      <w:sz w:val="21"/>
      <w:szCs w:val="21"/>
      <w:lang w:val="en-GB" w:eastAsia="es-AR"/>
    </w:rPr>
  </w:style>
  <w:style w:type="paragraph" w:customStyle="1" w:styleId="1Level1-TC">
    <w:name w:val="1Level–1.-TC"/>
    <w:basedOn w:val="Body-DTP"/>
    <w:next w:val="2Levela-TC"/>
    <w:rsid w:val="002831AB"/>
    <w:pPr>
      <w:keepNext/>
      <w:tabs>
        <w:tab w:val="num" w:pos="360"/>
        <w:tab w:val="left" w:pos="432"/>
      </w:tabs>
      <w:autoSpaceDE/>
      <w:autoSpaceDN/>
      <w:adjustRightInd/>
      <w:spacing w:before="200"/>
      <w:ind w:firstLine="0"/>
    </w:pPr>
    <w:rPr>
      <w:b/>
      <w:bCs/>
    </w:rPr>
  </w:style>
  <w:style w:type="paragraph" w:customStyle="1" w:styleId="2Levela-TC">
    <w:name w:val="2Level–(a)-TC"/>
    <w:basedOn w:val="Body-DTP"/>
    <w:rsid w:val="002831AB"/>
    <w:pPr>
      <w:tabs>
        <w:tab w:val="num" w:pos="792"/>
        <w:tab w:val="left" w:pos="864"/>
      </w:tabs>
      <w:autoSpaceDE/>
      <w:autoSpaceDN/>
      <w:adjustRightInd/>
    </w:pPr>
  </w:style>
  <w:style w:type="paragraph" w:customStyle="1" w:styleId="3Leveli-TC">
    <w:name w:val="3Level–(i)-TC"/>
    <w:basedOn w:val="Body-DTP"/>
    <w:rsid w:val="002831AB"/>
    <w:pPr>
      <w:tabs>
        <w:tab w:val="num" w:pos="1296"/>
      </w:tabs>
      <w:autoSpaceDE/>
      <w:autoSpaceDN/>
      <w:adjustRightInd/>
      <w:ind w:left="1296" w:hanging="230"/>
    </w:pPr>
  </w:style>
  <w:style w:type="paragraph" w:customStyle="1" w:styleId="4LevelA-TC">
    <w:name w:val="4Level–(A)-TC"/>
    <w:basedOn w:val="Body-DTP"/>
    <w:rsid w:val="002831AB"/>
    <w:pPr>
      <w:tabs>
        <w:tab w:val="num" w:pos="1728"/>
      </w:tabs>
      <w:autoSpaceDE/>
      <w:autoSpaceDN/>
      <w:adjustRightInd/>
      <w:ind w:left="1728" w:hanging="432"/>
    </w:pPr>
  </w:style>
  <w:style w:type="paragraph" w:customStyle="1" w:styleId="2Level-ALT-ablock-TC">
    <w:name w:val="2Level-[ALT]-(a)block-TC"/>
    <w:basedOn w:val="Body-DTP"/>
    <w:rsid w:val="002831AB"/>
    <w:pPr>
      <w:tabs>
        <w:tab w:val="num" w:pos="864"/>
      </w:tabs>
      <w:autoSpaceDE/>
      <w:autoSpaceDN/>
      <w:adjustRightInd/>
      <w:ind w:left="864" w:hanging="432"/>
    </w:pPr>
    <w:rPr>
      <w:lang w:val="en-US"/>
    </w:rPr>
  </w:style>
  <w:style w:type="paragraph" w:customStyle="1" w:styleId="2Level-ALT-1block-TC">
    <w:name w:val="2Level-[ALT]-(1)block-TC"/>
    <w:basedOn w:val="Body-DTP"/>
    <w:rsid w:val="002831AB"/>
    <w:pPr>
      <w:tabs>
        <w:tab w:val="num" w:pos="864"/>
      </w:tabs>
      <w:autoSpaceDE/>
      <w:autoSpaceDN/>
      <w:adjustRightInd/>
      <w:ind w:left="864" w:hanging="432"/>
    </w:pPr>
    <w:rPr>
      <w:lang w:val="en-US"/>
    </w:rPr>
  </w:style>
  <w:style w:type="paragraph" w:customStyle="1" w:styleId="2Level-ALT-Ablock-TC0">
    <w:name w:val="2Level-[ALT]-(A)block-TC"/>
    <w:basedOn w:val="Body-DTP"/>
    <w:rsid w:val="002831AB"/>
    <w:pPr>
      <w:tabs>
        <w:tab w:val="num" w:pos="864"/>
      </w:tabs>
      <w:autoSpaceDE/>
      <w:autoSpaceDN/>
      <w:adjustRightInd/>
      <w:ind w:left="864" w:hanging="432"/>
    </w:pPr>
    <w:rPr>
      <w:lang w:val="en-US"/>
    </w:rPr>
  </w:style>
  <w:style w:type="paragraph" w:customStyle="1" w:styleId="3Level-ALT-1block-TC">
    <w:name w:val="3Level-[ALT]-(1)block-TC"/>
    <w:basedOn w:val="Body-DTP"/>
    <w:rsid w:val="002831AB"/>
    <w:pPr>
      <w:tabs>
        <w:tab w:val="num" w:pos="1296"/>
      </w:tabs>
      <w:autoSpaceDE/>
      <w:autoSpaceDN/>
      <w:adjustRightInd/>
      <w:ind w:left="1296" w:hanging="432"/>
    </w:pPr>
    <w:rPr>
      <w:lang w:val="en-US"/>
    </w:rPr>
  </w:style>
  <w:style w:type="paragraph" w:customStyle="1" w:styleId="4Level-ALT-1block-TC">
    <w:name w:val="4Level-[ALT]-(1)block-TC"/>
    <w:basedOn w:val="Body-DTP"/>
    <w:rsid w:val="002831AB"/>
    <w:pPr>
      <w:tabs>
        <w:tab w:val="num" w:pos="1728"/>
      </w:tabs>
      <w:autoSpaceDE/>
      <w:autoSpaceDN/>
      <w:adjustRightInd/>
      <w:ind w:left="1728" w:hanging="432"/>
    </w:pPr>
    <w:rPr>
      <w:lang w:val="en-US"/>
    </w:rPr>
  </w:style>
  <w:style w:type="paragraph" w:customStyle="1" w:styleId="BodyBlock">
    <w:name w:val="BodyBlock"/>
    <w:basedOn w:val="Body-DTP"/>
    <w:rsid w:val="002831AB"/>
    <w:pPr>
      <w:tabs>
        <w:tab w:val="left" w:pos="432"/>
      </w:tabs>
      <w:autoSpaceDE/>
      <w:autoSpaceDN/>
      <w:adjustRightInd/>
      <w:ind w:firstLine="0"/>
    </w:pPr>
  </w:style>
  <w:style w:type="paragraph" w:customStyle="1" w:styleId="BodyBlock2">
    <w:name w:val="BodyBlock2"/>
    <w:basedOn w:val="Normal"/>
    <w:rsid w:val="002831AB"/>
    <w:pPr>
      <w:tabs>
        <w:tab w:val="left" w:pos="432"/>
      </w:tabs>
      <w:autoSpaceDE w:val="0"/>
      <w:autoSpaceDN w:val="0"/>
      <w:adjustRightInd w:val="0"/>
      <w:spacing w:after="120" w:line="240" w:lineRule="exact"/>
      <w:ind w:left="864"/>
      <w:jc w:val="both"/>
    </w:pPr>
    <w:rPr>
      <w:rFonts w:ascii="Times New Roman" w:hAnsi="Times New Roman"/>
      <w:sz w:val="21"/>
      <w:szCs w:val="21"/>
      <w:lang w:val="en-GB" w:eastAsia="es-AR"/>
    </w:rPr>
  </w:style>
  <w:style w:type="paragraph" w:customStyle="1" w:styleId="2Levelablock">
    <w:name w:val="2Level–(a)block"/>
    <w:basedOn w:val="Body-DTP"/>
    <w:rsid w:val="002831AB"/>
    <w:pPr>
      <w:tabs>
        <w:tab w:val="num" w:pos="864"/>
      </w:tabs>
      <w:autoSpaceDE/>
      <w:autoSpaceDN/>
      <w:adjustRightInd/>
      <w:ind w:left="864" w:hanging="432"/>
    </w:pPr>
  </w:style>
  <w:style w:type="paragraph" w:customStyle="1" w:styleId="L2Hed">
    <w:name w:val="L2Hed"/>
    <w:basedOn w:val="Normal"/>
    <w:next w:val="Normal"/>
    <w:rsid w:val="002831AB"/>
    <w:pPr>
      <w:keepNext/>
      <w:tabs>
        <w:tab w:val="left" w:pos="432"/>
      </w:tabs>
      <w:autoSpaceDE w:val="0"/>
      <w:autoSpaceDN w:val="0"/>
      <w:adjustRightInd w:val="0"/>
      <w:spacing w:before="300" w:after="60" w:line="240" w:lineRule="exact"/>
      <w:jc w:val="both"/>
    </w:pPr>
    <w:rPr>
      <w:rFonts w:ascii="Times New Roman" w:hAnsi="Times New Roman"/>
      <w:b/>
      <w:bCs/>
      <w:sz w:val="21"/>
      <w:szCs w:val="21"/>
      <w:lang w:val="en-GB" w:eastAsia="es-AR"/>
    </w:rPr>
  </w:style>
  <w:style w:type="paragraph" w:customStyle="1" w:styleId="BodyText2sg0">
    <w:name w:val="Body Text 2sg"/>
    <w:basedOn w:val="Normal"/>
    <w:rsid w:val="002831AB"/>
    <w:pPr>
      <w:autoSpaceDE w:val="0"/>
      <w:autoSpaceDN w:val="0"/>
      <w:adjustRightInd w:val="0"/>
    </w:pPr>
    <w:rPr>
      <w:rFonts w:ascii="Times New Roman" w:hAnsi="Times New Roman"/>
      <w:lang w:val="en-US" w:eastAsia="es-AR"/>
    </w:rPr>
  </w:style>
  <w:style w:type="paragraph" w:customStyle="1" w:styleId="CarCar3">
    <w:name w:val="Car Car3"/>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harCharCarCar">
    <w:name w:val="Car Char Ch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TableNotesLine0">
    <w:name w:val="Table Notes Line"/>
    <w:basedOn w:val="Normal"/>
    <w:rsid w:val="002831AB"/>
    <w:pPr>
      <w:pBdr>
        <w:bottom w:val="single" w:sz="4" w:space="1" w:color="auto"/>
      </w:pBdr>
      <w:autoSpaceDE w:val="0"/>
      <w:autoSpaceDN w:val="0"/>
      <w:adjustRightInd w:val="0"/>
      <w:spacing w:after="40"/>
      <w:ind w:right="7920"/>
    </w:pPr>
    <w:rPr>
      <w:rFonts w:ascii="Times New Roman" w:hAnsi="Times New Roman"/>
      <w:lang w:val="en-US" w:eastAsia="es-AR"/>
    </w:rPr>
  </w:style>
  <w:style w:type="paragraph" w:customStyle="1" w:styleId="Num6">
    <w:name w:val="Num6"/>
    <w:rsid w:val="002831AB"/>
    <w:pPr>
      <w:tabs>
        <w:tab w:val="num" w:pos="1440"/>
      </w:tabs>
      <w:spacing w:before="240" w:line="260" w:lineRule="atLeast"/>
      <w:ind w:firstLine="720"/>
      <w:jc w:val="both"/>
    </w:pPr>
    <w:rPr>
      <w:sz w:val="22"/>
      <w:szCs w:val="22"/>
      <w:lang w:val="en-US" w:eastAsia="en-US"/>
    </w:rPr>
  </w:style>
  <w:style w:type="paragraph" w:customStyle="1" w:styleId="TitleHead">
    <w:name w:val="TitleHead"/>
    <w:aliases w:val="TH"/>
    <w:rsid w:val="002831AB"/>
    <w:pPr>
      <w:keepNext/>
      <w:spacing w:after="240" w:line="260" w:lineRule="atLeast"/>
      <w:jc w:val="center"/>
    </w:pPr>
    <w:rPr>
      <w:b/>
      <w:bCs/>
      <w:caps/>
      <w:sz w:val="22"/>
      <w:szCs w:val="22"/>
      <w:lang w:val="en-US" w:eastAsia="en-US"/>
    </w:rPr>
  </w:style>
  <w:style w:type="paragraph" w:customStyle="1" w:styleId="Num7">
    <w:name w:val="Num7"/>
    <w:rsid w:val="002831AB"/>
    <w:pPr>
      <w:tabs>
        <w:tab w:val="num" w:pos="2160"/>
      </w:tabs>
      <w:spacing w:before="240" w:line="260" w:lineRule="atLeast"/>
      <w:ind w:left="720" w:firstLine="720"/>
      <w:jc w:val="both"/>
    </w:pPr>
    <w:rPr>
      <w:sz w:val="22"/>
      <w:szCs w:val="22"/>
      <w:lang w:val="en-US" w:eastAsia="en-US"/>
    </w:rPr>
  </w:style>
  <w:style w:type="paragraph" w:customStyle="1" w:styleId="dice2">
    <w:name w:val="蚽dice 2"/>
    <w:basedOn w:val="Normal"/>
    <w:next w:val="Normal"/>
    <w:autoRedefine/>
    <w:hidden/>
    <w:rsid w:val="002831AB"/>
    <w:pPr>
      <w:widowControl w:val="0"/>
      <w:autoSpaceDE w:val="0"/>
      <w:autoSpaceDN w:val="0"/>
      <w:adjustRightInd w:val="0"/>
      <w:ind w:left="720" w:hanging="360"/>
    </w:pPr>
    <w:rPr>
      <w:rFonts w:ascii="Times New Roman" w:hAnsi="Times New Roman"/>
      <w:lang w:val="en-US" w:eastAsia="es-AR"/>
    </w:rPr>
  </w:style>
  <w:style w:type="paragraph" w:customStyle="1" w:styleId="Textoindependienteprimerasangr0">
    <w:name w:val="Texto independiente primera sangr韆"/>
    <w:basedOn w:val="Normal"/>
    <w:rsid w:val="002831AB"/>
    <w:pPr>
      <w:widowControl w:val="0"/>
      <w:autoSpaceDE w:val="0"/>
      <w:autoSpaceDN w:val="0"/>
      <w:adjustRightInd w:val="0"/>
      <w:spacing w:after="240"/>
      <w:ind w:firstLine="720"/>
    </w:pPr>
    <w:rPr>
      <w:rFonts w:ascii="Times New Roman" w:hAnsi="Times New Roman"/>
      <w:lang w:val="en-US" w:eastAsia="es-AR"/>
    </w:rPr>
  </w:style>
  <w:style w:type="paragraph" w:customStyle="1" w:styleId="Textoconsangr0">
    <w:name w:val="Texto con sangr韆"/>
    <w:basedOn w:val="Normal"/>
    <w:next w:val="Normal"/>
    <w:hidden/>
    <w:rsid w:val="002831AB"/>
    <w:pPr>
      <w:widowControl w:val="0"/>
      <w:autoSpaceDE w:val="0"/>
      <w:autoSpaceDN w:val="0"/>
      <w:adjustRightInd w:val="0"/>
      <w:spacing w:after="240"/>
      <w:ind w:left="720" w:hanging="720"/>
    </w:pPr>
    <w:rPr>
      <w:rFonts w:ascii="Times New Roman" w:hAnsi="Times New Roman"/>
      <w:lang w:val="en-US" w:eastAsia="es-AR"/>
    </w:rPr>
  </w:style>
  <w:style w:type="character" w:customStyle="1" w:styleId="table8pt1">
    <w:name w:val="table 8 pt"/>
    <w:rsid w:val="002831AB"/>
    <w:rPr>
      <w:rFonts w:ascii="Times New Roman" w:hAnsi="Times New Roman"/>
      <w:color w:val="auto"/>
      <w:sz w:val="16"/>
      <w:vertAlign w:val="baseline"/>
    </w:rPr>
  </w:style>
  <w:style w:type="character" w:customStyle="1" w:styleId="BodyText2SglCarCar">
    <w:name w:val="Body Text 2 Sgl Car Car"/>
    <w:rsid w:val="002831AB"/>
    <w:rPr>
      <w:sz w:val="24"/>
      <w:lang w:val="en-US" w:eastAsia="es-ES"/>
    </w:rPr>
  </w:style>
  <w:style w:type="paragraph" w:customStyle="1" w:styleId="TextCarCarCarCar">
    <w:name w:val="Text Car Car Car Car"/>
    <w:basedOn w:val="Normal"/>
    <w:rsid w:val="002831AB"/>
    <w:pPr>
      <w:tabs>
        <w:tab w:val="num" w:pos="360"/>
      </w:tabs>
      <w:autoSpaceDE w:val="0"/>
      <w:autoSpaceDN w:val="0"/>
      <w:adjustRightInd w:val="0"/>
      <w:spacing w:after="240"/>
    </w:pPr>
    <w:rPr>
      <w:rFonts w:ascii="Times New Roman" w:hAnsi="Times New Roman"/>
      <w:lang w:val="en-US" w:eastAsia="es-AR"/>
    </w:rPr>
  </w:style>
  <w:style w:type="character" w:customStyle="1" w:styleId="TextCarCarCarCarCar">
    <w:name w:val="Text Car Car Car Car Car"/>
    <w:rsid w:val="002831AB"/>
    <w:rPr>
      <w:sz w:val="24"/>
      <w:lang w:val="en-US" w:eastAsia="en-US"/>
    </w:rPr>
  </w:style>
  <w:style w:type="paragraph" w:customStyle="1" w:styleId="Heading210">
    <w:name w:val="Heading 2 1"/>
    <w:basedOn w:val="Normal"/>
    <w:next w:val="Textoindependiente"/>
    <w:rsid w:val="002831AB"/>
    <w:pPr>
      <w:tabs>
        <w:tab w:val="num" w:pos="0"/>
      </w:tabs>
      <w:autoSpaceDE w:val="0"/>
      <w:autoSpaceDN w:val="0"/>
      <w:adjustRightInd w:val="0"/>
      <w:spacing w:after="120"/>
      <w:ind w:left="1440" w:hanging="504"/>
      <w:outlineLvl w:val="0"/>
    </w:pPr>
    <w:rPr>
      <w:rFonts w:ascii="Times New Roman" w:hAnsi="Times New Roman"/>
      <w:lang w:val="en-US" w:eastAsia="es-AR"/>
    </w:rPr>
  </w:style>
  <w:style w:type="paragraph" w:customStyle="1" w:styleId="Heading22">
    <w:name w:val="Heading 2 2"/>
    <w:basedOn w:val="Normal"/>
    <w:next w:val="Textoindependiente"/>
    <w:rsid w:val="002831AB"/>
    <w:pPr>
      <w:tabs>
        <w:tab w:val="num" w:pos="0"/>
      </w:tabs>
      <w:autoSpaceDE w:val="0"/>
      <w:autoSpaceDN w:val="0"/>
      <w:adjustRightInd w:val="0"/>
      <w:spacing w:after="120"/>
      <w:ind w:left="1800" w:hanging="432"/>
      <w:outlineLvl w:val="1"/>
    </w:pPr>
    <w:rPr>
      <w:rFonts w:ascii="Times New Roman" w:hAnsi="Times New Roman"/>
      <w:lang w:val="en-US" w:eastAsia="es-AR"/>
    </w:rPr>
  </w:style>
  <w:style w:type="paragraph" w:customStyle="1" w:styleId="Heading23">
    <w:name w:val="Heading 2 3"/>
    <w:basedOn w:val="Normal"/>
    <w:next w:val="Textoindependiente"/>
    <w:rsid w:val="002831AB"/>
    <w:pPr>
      <w:tabs>
        <w:tab w:val="num" w:pos="0"/>
      </w:tabs>
      <w:autoSpaceDE w:val="0"/>
      <w:autoSpaceDN w:val="0"/>
      <w:adjustRightInd w:val="0"/>
      <w:spacing w:after="120"/>
      <w:ind w:left="1440" w:hanging="432"/>
      <w:outlineLvl w:val="2"/>
    </w:pPr>
    <w:rPr>
      <w:rFonts w:ascii="Times New Roman" w:hAnsi="Times New Roman"/>
      <w:lang w:val="en-US" w:eastAsia="es-AR"/>
    </w:rPr>
  </w:style>
  <w:style w:type="paragraph" w:customStyle="1" w:styleId="Heading24">
    <w:name w:val="Heading 2 4"/>
    <w:basedOn w:val="Normal"/>
    <w:next w:val="Textoindependiente"/>
    <w:rsid w:val="002831AB"/>
    <w:pPr>
      <w:autoSpaceDE w:val="0"/>
      <w:autoSpaceDN w:val="0"/>
      <w:adjustRightInd w:val="0"/>
      <w:spacing w:after="120"/>
      <w:ind w:left="1224"/>
      <w:outlineLvl w:val="3"/>
    </w:pPr>
    <w:rPr>
      <w:rFonts w:ascii="Times New Roman" w:hAnsi="Times New Roman"/>
      <w:lang w:val="en-US" w:eastAsia="es-AR"/>
    </w:rPr>
  </w:style>
  <w:style w:type="paragraph" w:customStyle="1" w:styleId="Heading25">
    <w:name w:val="Heading 2 5"/>
    <w:basedOn w:val="Normal"/>
    <w:next w:val="Textoindependiente"/>
    <w:rsid w:val="002831AB"/>
    <w:pPr>
      <w:autoSpaceDE w:val="0"/>
      <w:autoSpaceDN w:val="0"/>
      <w:adjustRightInd w:val="0"/>
      <w:spacing w:after="120"/>
      <w:ind w:left="1224"/>
      <w:outlineLvl w:val="4"/>
    </w:pPr>
    <w:rPr>
      <w:rFonts w:ascii="Times New Roman" w:hAnsi="Times New Roman"/>
      <w:lang w:val="en-US" w:eastAsia="es-AR"/>
    </w:rPr>
  </w:style>
  <w:style w:type="paragraph" w:customStyle="1" w:styleId="Heading26">
    <w:name w:val="Heading 2 6"/>
    <w:basedOn w:val="Normal"/>
    <w:next w:val="Textoindependiente"/>
    <w:rsid w:val="002831AB"/>
    <w:pPr>
      <w:autoSpaceDE w:val="0"/>
      <w:autoSpaceDN w:val="0"/>
      <w:adjustRightInd w:val="0"/>
      <w:spacing w:after="240"/>
      <w:ind w:left="1224"/>
      <w:outlineLvl w:val="5"/>
    </w:pPr>
    <w:rPr>
      <w:rFonts w:ascii="Times New Roman" w:hAnsi="Times New Roman"/>
      <w:lang w:val="en-US" w:eastAsia="es-AR"/>
    </w:rPr>
  </w:style>
  <w:style w:type="paragraph" w:customStyle="1" w:styleId="Heading27">
    <w:name w:val="Heading 2 7"/>
    <w:basedOn w:val="Normal"/>
    <w:next w:val="Textoindependiente"/>
    <w:rsid w:val="002831AB"/>
    <w:pPr>
      <w:autoSpaceDE w:val="0"/>
      <w:autoSpaceDN w:val="0"/>
      <w:adjustRightInd w:val="0"/>
      <w:spacing w:after="240"/>
      <w:ind w:left="1224"/>
      <w:outlineLvl w:val="6"/>
    </w:pPr>
    <w:rPr>
      <w:rFonts w:ascii="Times New Roman" w:hAnsi="Times New Roman"/>
      <w:lang w:val="en-US" w:eastAsia="es-AR"/>
    </w:rPr>
  </w:style>
  <w:style w:type="paragraph" w:customStyle="1" w:styleId="Heading28">
    <w:name w:val="Heading 2 8"/>
    <w:basedOn w:val="Normal"/>
    <w:next w:val="Textoindependiente"/>
    <w:rsid w:val="002831AB"/>
    <w:pPr>
      <w:tabs>
        <w:tab w:val="num" w:pos="6469"/>
      </w:tabs>
      <w:autoSpaceDE w:val="0"/>
      <w:autoSpaceDN w:val="0"/>
      <w:adjustRightInd w:val="0"/>
      <w:spacing w:after="240"/>
      <w:ind w:left="6469" w:hanging="360"/>
      <w:outlineLvl w:val="7"/>
    </w:pPr>
    <w:rPr>
      <w:rFonts w:ascii="Times New Roman" w:hAnsi="Times New Roman"/>
      <w:lang w:val="en-US" w:eastAsia="es-AR"/>
    </w:rPr>
  </w:style>
  <w:style w:type="paragraph" w:customStyle="1" w:styleId="Heading29">
    <w:name w:val="Heading 2 9"/>
    <w:basedOn w:val="Normal"/>
    <w:next w:val="Textoindependiente"/>
    <w:rsid w:val="002831AB"/>
    <w:pPr>
      <w:tabs>
        <w:tab w:val="num" w:pos="7189"/>
      </w:tabs>
      <w:autoSpaceDE w:val="0"/>
      <w:autoSpaceDN w:val="0"/>
      <w:adjustRightInd w:val="0"/>
      <w:spacing w:after="240"/>
      <w:ind w:left="7189" w:hanging="360"/>
      <w:outlineLvl w:val="8"/>
    </w:pPr>
    <w:rPr>
      <w:rFonts w:ascii="Times New Roman" w:hAnsi="Times New Roman"/>
      <w:lang w:val="en-US" w:eastAsia="es-AR"/>
    </w:rPr>
  </w:style>
  <w:style w:type="paragraph" w:customStyle="1" w:styleId="Text15han">
    <w:name w:val="Text 1.5 han"/>
    <w:basedOn w:val="Normal"/>
    <w:rsid w:val="002831AB"/>
    <w:pPr>
      <w:autoSpaceDE w:val="0"/>
      <w:autoSpaceDN w:val="0"/>
      <w:adjustRightInd w:val="0"/>
      <w:spacing w:after="120"/>
      <w:ind w:left="1260"/>
    </w:pPr>
    <w:rPr>
      <w:rFonts w:ascii="Times New Roman" w:hAnsi="Times New Roman"/>
      <w:lang w:val="en-US" w:eastAsia="es-AR"/>
    </w:rPr>
  </w:style>
  <w:style w:type="paragraph" w:customStyle="1" w:styleId="Text1han">
    <w:name w:val="Text 1 han"/>
    <w:basedOn w:val="Normal"/>
    <w:rsid w:val="002831AB"/>
    <w:pPr>
      <w:autoSpaceDE w:val="0"/>
      <w:autoSpaceDN w:val="0"/>
      <w:adjustRightInd w:val="0"/>
      <w:spacing w:after="120"/>
      <w:ind w:left="1440"/>
    </w:pPr>
    <w:rPr>
      <w:rFonts w:ascii="Times New Roman" w:hAnsi="Times New Roman"/>
      <w:lang w:val="en-US" w:eastAsia="es-AR"/>
    </w:rPr>
  </w:style>
  <w:style w:type="paragraph" w:customStyle="1" w:styleId="Text1h">
    <w:name w:val="Text 1 h"/>
    <w:basedOn w:val="Text1han"/>
    <w:rsid w:val="002831AB"/>
    <w:pPr>
      <w:ind w:left="540"/>
    </w:pPr>
  </w:style>
  <w:style w:type="paragraph" w:customStyle="1" w:styleId="Text0Bold">
    <w:name w:val="Text 0 Bold"/>
    <w:rsid w:val="002831AB"/>
    <w:pPr>
      <w:keepNext/>
      <w:spacing w:before="240" w:after="120"/>
    </w:pPr>
    <w:rPr>
      <w:b/>
      <w:bCs/>
      <w:sz w:val="24"/>
      <w:szCs w:val="24"/>
      <w:lang w:val="en-US" w:eastAsia="en-US"/>
    </w:rPr>
  </w:style>
  <w:style w:type="paragraph" w:customStyle="1" w:styleId="TextL65">
    <w:name w:val="Text L .65"/>
    <w:rsid w:val="002831AB"/>
    <w:pPr>
      <w:keepNext/>
      <w:spacing w:before="240" w:after="120"/>
      <w:ind w:left="936"/>
    </w:pPr>
    <w:rPr>
      <w:b/>
      <w:bCs/>
      <w:sz w:val="24"/>
      <w:szCs w:val="24"/>
      <w:lang w:val="en-US" w:eastAsia="en-US"/>
    </w:rPr>
  </w:style>
  <w:style w:type="paragraph" w:customStyle="1" w:styleId="DraftLineWC">
    <w:name w:val="DraftLineW&amp;C"/>
    <w:basedOn w:val="Normal"/>
    <w:rsid w:val="002831AB"/>
    <w:pPr>
      <w:framePr w:w="5328" w:hSpace="187" w:vSpace="187" w:wrap="auto" w:vAnchor="page" w:hAnchor="page" w:x="5761" w:y="721"/>
      <w:autoSpaceDE w:val="0"/>
      <w:autoSpaceDN w:val="0"/>
      <w:adjustRightInd w:val="0"/>
      <w:jc w:val="right"/>
    </w:pPr>
    <w:rPr>
      <w:rFonts w:ascii="Times New Roman" w:hAnsi="Times New Roman"/>
      <w:lang w:val="en-US" w:eastAsia="es-AR"/>
    </w:rPr>
  </w:style>
  <w:style w:type="paragraph" w:customStyle="1" w:styleId="Text0CarCarCar">
    <w:name w:val="Text 0 Car Car Car"/>
    <w:basedOn w:val="TextCarCarCarCar"/>
    <w:rsid w:val="002831AB"/>
    <w:pPr>
      <w:spacing w:after="120"/>
    </w:pPr>
  </w:style>
  <w:style w:type="character" w:customStyle="1" w:styleId="Text0CarCarCarCar">
    <w:name w:val="Text 0 Car Car Car Car"/>
    <w:rsid w:val="002831AB"/>
    <w:rPr>
      <w:sz w:val="24"/>
      <w:lang w:val="en-US" w:eastAsia="en-US"/>
    </w:rPr>
  </w:style>
  <w:style w:type="character" w:customStyle="1" w:styleId="Text0Char">
    <w:name w:val="Text 0 Char"/>
    <w:rsid w:val="002831AB"/>
    <w:rPr>
      <w:sz w:val="24"/>
      <w:lang w:val="en-US" w:eastAsia="en-US"/>
    </w:rPr>
  </w:style>
  <w:style w:type="paragraph" w:customStyle="1" w:styleId="OutlineL1">
    <w:name w:val="Outline_L1"/>
    <w:basedOn w:val="Normal"/>
    <w:next w:val="Textoindependiente"/>
    <w:rsid w:val="002831AB"/>
    <w:pPr>
      <w:tabs>
        <w:tab w:val="num" w:pos="720"/>
      </w:tabs>
      <w:autoSpaceDE w:val="0"/>
      <w:autoSpaceDN w:val="0"/>
      <w:adjustRightInd w:val="0"/>
      <w:spacing w:after="240"/>
      <w:outlineLvl w:val="0"/>
    </w:pPr>
    <w:rPr>
      <w:rFonts w:ascii="Times New Roman" w:hAnsi="Times New Roman"/>
      <w:lang w:val="en-US" w:eastAsia="es-AR"/>
    </w:rPr>
  </w:style>
  <w:style w:type="paragraph" w:customStyle="1" w:styleId="OutlineL2">
    <w:name w:val="Outline_L2"/>
    <w:basedOn w:val="OutlineL1"/>
    <w:next w:val="Textoindependiente"/>
    <w:rsid w:val="002831AB"/>
    <w:pPr>
      <w:numPr>
        <w:ilvl w:val="1"/>
      </w:numPr>
      <w:tabs>
        <w:tab w:val="num" w:pos="720"/>
        <w:tab w:val="num" w:pos="1440"/>
      </w:tabs>
      <w:ind w:firstLine="720"/>
      <w:outlineLvl w:val="1"/>
    </w:pPr>
  </w:style>
  <w:style w:type="paragraph" w:customStyle="1" w:styleId="OutlineL3">
    <w:name w:val="Outline_L3"/>
    <w:basedOn w:val="OutlineL2"/>
    <w:rsid w:val="002831AB"/>
    <w:pPr>
      <w:numPr>
        <w:ilvl w:val="2"/>
      </w:numPr>
      <w:tabs>
        <w:tab w:val="num" w:pos="720"/>
        <w:tab w:val="num" w:pos="2160"/>
      </w:tabs>
      <w:ind w:left="720" w:firstLine="720"/>
      <w:outlineLvl w:val="2"/>
    </w:pPr>
  </w:style>
  <w:style w:type="paragraph" w:customStyle="1" w:styleId="OutlineL4">
    <w:name w:val="Outline_L4"/>
    <w:basedOn w:val="OutlineL3"/>
    <w:rsid w:val="002831AB"/>
    <w:pPr>
      <w:numPr>
        <w:ilvl w:val="3"/>
      </w:numPr>
      <w:tabs>
        <w:tab w:val="num" w:pos="720"/>
        <w:tab w:val="num" w:pos="2880"/>
      </w:tabs>
      <w:ind w:left="1440" w:firstLine="720"/>
      <w:outlineLvl w:val="3"/>
    </w:pPr>
  </w:style>
  <w:style w:type="paragraph" w:customStyle="1" w:styleId="OutlineL5">
    <w:name w:val="Outline_L5"/>
    <w:basedOn w:val="OutlineL4"/>
    <w:rsid w:val="002831AB"/>
    <w:pPr>
      <w:numPr>
        <w:ilvl w:val="4"/>
      </w:numPr>
      <w:tabs>
        <w:tab w:val="num" w:pos="720"/>
        <w:tab w:val="num" w:pos="2520"/>
      </w:tabs>
      <w:ind w:left="2520" w:hanging="360"/>
      <w:outlineLvl w:val="4"/>
    </w:pPr>
  </w:style>
  <w:style w:type="paragraph" w:customStyle="1" w:styleId="OutlineL6">
    <w:name w:val="Outline_L6"/>
    <w:basedOn w:val="OutlineL5"/>
    <w:rsid w:val="002831AB"/>
    <w:pPr>
      <w:numPr>
        <w:ilvl w:val="5"/>
      </w:numPr>
      <w:tabs>
        <w:tab w:val="num" w:pos="720"/>
      </w:tabs>
      <w:ind w:left="720" w:firstLine="720"/>
      <w:outlineLvl w:val="5"/>
    </w:pPr>
  </w:style>
  <w:style w:type="paragraph" w:customStyle="1" w:styleId="OutlineL7">
    <w:name w:val="Outline_L7"/>
    <w:basedOn w:val="OutlineL6"/>
    <w:rsid w:val="002831AB"/>
    <w:pPr>
      <w:numPr>
        <w:ilvl w:val="6"/>
      </w:numPr>
      <w:tabs>
        <w:tab w:val="num" w:pos="720"/>
      </w:tabs>
      <w:ind w:left="1440" w:firstLine="720"/>
      <w:outlineLvl w:val="6"/>
    </w:pPr>
  </w:style>
  <w:style w:type="paragraph" w:customStyle="1" w:styleId="OutlineL8">
    <w:name w:val="Outline_L8"/>
    <w:basedOn w:val="OutlineL7"/>
    <w:rsid w:val="002831AB"/>
    <w:pPr>
      <w:numPr>
        <w:ilvl w:val="7"/>
      </w:numPr>
      <w:tabs>
        <w:tab w:val="num" w:pos="720"/>
        <w:tab w:val="num" w:pos="1800"/>
      </w:tabs>
      <w:ind w:left="1800" w:hanging="720"/>
      <w:outlineLvl w:val="7"/>
    </w:pPr>
  </w:style>
  <w:style w:type="paragraph" w:customStyle="1" w:styleId="OutlineL9">
    <w:name w:val="Outline_L9"/>
    <w:basedOn w:val="OutlineL8"/>
    <w:next w:val="Textoindependiente"/>
    <w:rsid w:val="002831AB"/>
    <w:pPr>
      <w:numPr>
        <w:ilvl w:val="8"/>
      </w:numPr>
      <w:tabs>
        <w:tab w:val="num" w:pos="720"/>
        <w:tab w:val="num" w:pos="6480"/>
      </w:tabs>
      <w:ind w:left="1800" w:firstLine="5760"/>
      <w:outlineLvl w:val="8"/>
    </w:pPr>
  </w:style>
  <w:style w:type="paragraph" w:customStyle="1" w:styleId="AOHead3">
    <w:name w:val="AOHead3"/>
    <w:basedOn w:val="Normal"/>
    <w:next w:val="Normal"/>
    <w:rsid w:val="002831AB"/>
    <w:pPr>
      <w:keepNext/>
      <w:autoSpaceDE w:val="0"/>
      <w:autoSpaceDN w:val="0"/>
      <w:adjustRightInd w:val="0"/>
      <w:spacing w:before="200"/>
      <w:jc w:val="both"/>
      <w:outlineLvl w:val="2"/>
    </w:pPr>
    <w:rPr>
      <w:rFonts w:ascii="Times New Roman" w:hAnsi="Times New Roman"/>
      <w:i/>
      <w:iCs/>
      <w:lang w:val="en-US" w:eastAsia="es-AR"/>
    </w:rPr>
  </w:style>
  <w:style w:type="paragraph" w:customStyle="1" w:styleId="bullet12">
    <w:name w:val="bullet1"/>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2levelablock0">
    <w:name w:val="2levelablock"/>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body-dtp0">
    <w:name w:val="body-dtp"/>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2level-alt-1block-tc0">
    <w:name w:val="2level-alt-1block-tc"/>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CarCarCarCarCarCar1">
    <w:name w:val="Car Car Car Car Car 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
    <w:name w:val="Car Car Car Car Car Car1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2">
    <w:name w:val="2"/>
    <w:basedOn w:val="Normal"/>
    <w:next w:val="Sangradetextonormal"/>
    <w:rsid w:val="002831AB"/>
    <w:pPr>
      <w:widowControl w:val="0"/>
      <w:tabs>
        <w:tab w:val="left" w:pos="440"/>
        <w:tab w:val="left" w:pos="567"/>
        <w:tab w:val="left" w:pos="660"/>
        <w:tab w:val="left" w:pos="879"/>
        <w:tab w:val="left" w:pos="1099"/>
        <w:tab w:val="left" w:pos="1318"/>
        <w:tab w:val="left" w:pos="1538"/>
        <w:tab w:val="left" w:pos="1758"/>
        <w:tab w:val="left" w:pos="1977"/>
        <w:tab w:val="left" w:pos="2197"/>
        <w:tab w:val="left" w:pos="2416"/>
        <w:tab w:val="left" w:pos="2636"/>
        <w:tab w:val="left" w:pos="2856"/>
        <w:tab w:val="left" w:pos="3075"/>
        <w:tab w:val="left" w:pos="3295"/>
        <w:tab w:val="left" w:pos="3514"/>
        <w:tab w:val="left" w:pos="3734"/>
        <w:tab w:val="left" w:pos="3954"/>
        <w:tab w:val="left" w:pos="4173"/>
        <w:tab w:val="left" w:pos="4393"/>
        <w:tab w:val="left" w:pos="4612"/>
        <w:tab w:val="left" w:pos="4832"/>
        <w:tab w:val="left" w:pos="5052"/>
        <w:tab w:val="left" w:pos="5271"/>
        <w:tab w:val="left" w:pos="5491"/>
        <w:tab w:val="left" w:pos="5710"/>
        <w:tab w:val="left" w:pos="5930"/>
        <w:tab w:val="left" w:pos="6150"/>
        <w:tab w:val="left" w:pos="6369"/>
        <w:tab w:val="left" w:pos="6589"/>
        <w:tab w:val="left" w:pos="6808"/>
        <w:tab w:val="left" w:pos="7028"/>
        <w:tab w:val="left" w:pos="7248"/>
      </w:tabs>
      <w:autoSpaceDE w:val="0"/>
      <w:autoSpaceDN w:val="0"/>
      <w:adjustRightInd w:val="0"/>
      <w:spacing w:after="132" w:line="240" w:lineRule="exact"/>
      <w:ind w:firstLine="440"/>
      <w:jc w:val="both"/>
      <w:textAlignment w:val="baseline"/>
    </w:pPr>
    <w:rPr>
      <w:rFonts w:ascii="Times New Roman" w:hAnsi="Times New Roman"/>
      <w:color w:val="000000"/>
      <w:sz w:val="21"/>
      <w:szCs w:val="21"/>
      <w:lang w:val="en-US" w:eastAsia="es-AR"/>
    </w:rPr>
  </w:style>
  <w:style w:type="character" w:customStyle="1" w:styleId="HEADING2">
    <w:name w:val="HEADING2"/>
    <w:rsid w:val="002831AB"/>
  </w:style>
  <w:style w:type="character" w:customStyle="1" w:styleId="HEADING3">
    <w:name w:val="HEADING3"/>
    <w:rsid w:val="002831AB"/>
    <w:rPr>
      <w:rFonts w:ascii="Times New Roman" w:hAnsi="Times New Roman"/>
      <w:b/>
      <w:i/>
    </w:rPr>
  </w:style>
  <w:style w:type="character" w:customStyle="1" w:styleId="NOLEADING">
    <w:name w:val="NO LEADING"/>
    <w:rsid w:val="002831AB"/>
  </w:style>
  <w:style w:type="paragraph" w:customStyle="1" w:styleId="Titletoc">
    <w:name w:val="Title toc"/>
    <w:basedOn w:val="Normal"/>
    <w:rsid w:val="002831AB"/>
    <w:pPr>
      <w:keepNext/>
      <w:widowControl w:val="0"/>
      <w:autoSpaceDE w:val="0"/>
      <w:autoSpaceDN w:val="0"/>
      <w:adjustRightInd w:val="0"/>
      <w:spacing w:after="240" w:line="360" w:lineRule="atLeast"/>
      <w:jc w:val="both"/>
      <w:textAlignment w:val="baseline"/>
      <w:outlineLvl w:val="1"/>
    </w:pPr>
    <w:rPr>
      <w:rFonts w:ascii="Times New Roman" w:hAnsi="Times New Roman"/>
      <w:b/>
      <w:bCs/>
      <w:lang w:val="en-US" w:eastAsia="es-AR"/>
    </w:rPr>
  </w:style>
  <w:style w:type="paragraph" w:customStyle="1" w:styleId="bodytext2sgl11pt0">
    <w:name w:val="bodytext2sgl11pt"/>
    <w:basedOn w:val="Normal"/>
    <w:rsid w:val="002831AB"/>
    <w:pPr>
      <w:widowControl w:val="0"/>
      <w:autoSpaceDE w:val="0"/>
      <w:autoSpaceDN w:val="0"/>
      <w:adjustRightInd w:val="0"/>
      <w:spacing w:after="240" w:line="360" w:lineRule="atLeast"/>
      <w:ind w:firstLine="720"/>
      <w:jc w:val="both"/>
      <w:textAlignment w:val="baseline"/>
    </w:pPr>
    <w:rPr>
      <w:rFonts w:ascii="Times New Roman" w:eastAsia="Arial Unicode MS" w:hAnsi="Times New Roman"/>
      <w:sz w:val="22"/>
      <w:szCs w:val="22"/>
      <w:lang w:val="en-US" w:eastAsia="es-AR"/>
    </w:rPr>
  </w:style>
  <w:style w:type="paragraph" w:customStyle="1" w:styleId="listib0">
    <w:name w:val="listib"/>
    <w:basedOn w:val="Normal"/>
    <w:rsid w:val="002831AB"/>
    <w:pPr>
      <w:widowControl w:val="0"/>
      <w:autoSpaceDE w:val="0"/>
      <w:autoSpaceDN w:val="0"/>
      <w:adjustRightInd w:val="0"/>
      <w:spacing w:before="100" w:beforeAutospacing="1" w:after="100" w:afterAutospacing="1" w:line="360" w:lineRule="atLeast"/>
      <w:jc w:val="both"/>
      <w:textAlignment w:val="baseline"/>
    </w:pPr>
    <w:rPr>
      <w:rFonts w:ascii="Arial Unicode MS" w:eastAsia="Arial Unicode MS" w:hAnsi="Arial Unicode MS" w:cs="Arial Unicode MS"/>
      <w:sz w:val="22"/>
      <w:szCs w:val="22"/>
      <w:lang w:val="en-US" w:eastAsia="es-AR"/>
    </w:rPr>
  </w:style>
  <w:style w:type="paragraph" w:customStyle="1" w:styleId="numbers-2">
    <w:name w:val="numbers -2"/>
    <w:basedOn w:val="Textoindependiente"/>
    <w:rsid w:val="002831AB"/>
    <w:pPr>
      <w:widowControl w:val="0"/>
      <w:spacing w:after="240" w:line="360" w:lineRule="atLeast"/>
      <w:ind w:left="1440" w:hanging="720"/>
      <w:jc w:val="both"/>
      <w:textAlignment w:val="baseline"/>
    </w:pPr>
  </w:style>
  <w:style w:type="paragraph" w:customStyle="1" w:styleId="Header2">
    <w:name w:val="Header2"/>
    <w:basedOn w:val="Normal"/>
    <w:rsid w:val="002831AB"/>
    <w:pPr>
      <w:widowControl w:val="0"/>
      <w:autoSpaceDE w:val="0"/>
      <w:autoSpaceDN w:val="0"/>
      <w:adjustRightInd w:val="0"/>
      <w:spacing w:line="240" w:lineRule="atLeast"/>
      <w:jc w:val="both"/>
      <w:textAlignment w:val="baseline"/>
    </w:pPr>
    <w:rPr>
      <w:rFonts w:ascii="Times New Roman" w:hAnsi="Times New Roman"/>
      <w:b/>
      <w:bCs/>
      <w:i/>
      <w:iCs/>
      <w:sz w:val="18"/>
      <w:szCs w:val="18"/>
      <w:lang w:val="en-US" w:eastAsia="es-AR"/>
    </w:rPr>
  </w:style>
  <w:style w:type="paragraph" w:customStyle="1" w:styleId="Tab63">
    <w:name w:val="Tab63"/>
    <w:basedOn w:val="Normal"/>
    <w:rsid w:val="002831AB"/>
    <w:pPr>
      <w:widowControl w:val="0"/>
      <w:autoSpaceDE w:val="0"/>
      <w:autoSpaceDN w:val="0"/>
      <w:adjustRightInd w:val="0"/>
      <w:spacing w:line="240" w:lineRule="atLeast"/>
      <w:ind w:left="697" w:hanging="340"/>
      <w:jc w:val="both"/>
      <w:textAlignment w:val="baseline"/>
    </w:pPr>
    <w:rPr>
      <w:rFonts w:ascii="Times New Roman" w:hAnsi="Times New Roman"/>
      <w:sz w:val="16"/>
      <w:szCs w:val="16"/>
      <w:lang w:val="en-US" w:eastAsia="es-AR"/>
    </w:rPr>
  </w:style>
  <w:style w:type="paragraph" w:customStyle="1" w:styleId="tab6">
    <w:name w:val="tab6"/>
    <w:basedOn w:val="Normal"/>
    <w:rsid w:val="002831AB"/>
    <w:pPr>
      <w:widowControl w:val="0"/>
      <w:tabs>
        <w:tab w:val="left" w:pos="340"/>
      </w:tabs>
      <w:autoSpaceDE w:val="0"/>
      <w:autoSpaceDN w:val="0"/>
      <w:adjustRightInd w:val="0"/>
      <w:spacing w:line="240" w:lineRule="atLeast"/>
      <w:ind w:left="340" w:hanging="340"/>
      <w:jc w:val="both"/>
      <w:textAlignment w:val="baseline"/>
    </w:pPr>
    <w:rPr>
      <w:rFonts w:ascii="Times New Roman" w:hAnsi="Times New Roman"/>
      <w:sz w:val="16"/>
      <w:szCs w:val="16"/>
      <w:lang w:val="en-US" w:eastAsia="es-AR"/>
    </w:rPr>
  </w:style>
  <w:style w:type="paragraph" w:customStyle="1" w:styleId="Encabtabla">
    <w:name w:val="Encabtabla"/>
    <w:basedOn w:val="Ttulo7"/>
    <w:rsid w:val="002831AB"/>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tLeast"/>
      <w:jc w:val="center"/>
      <w:textAlignment w:val="baseline"/>
    </w:pPr>
    <w:rPr>
      <w:i/>
      <w:iCs/>
      <w:sz w:val="18"/>
      <w:szCs w:val="18"/>
      <w:lang w:eastAsia="en-US"/>
    </w:rPr>
  </w:style>
  <w:style w:type="paragraph" w:customStyle="1" w:styleId="tabla60">
    <w:name w:val="tabla 6"/>
    <w:rsid w:val="002831AB"/>
    <w:pPr>
      <w:widowControl w:val="0"/>
      <w:tabs>
        <w:tab w:val="left" w:pos="585"/>
        <w:tab w:val="left" w:pos="1140"/>
        <w:tab w:val="left" w:pos="1725"/>
        <w:tab w:val="left" w:pos="2265"/>
      </w:tabs>
      <w:adjustRightInd w:val="0"/>
      <w:spacing w:line="360" w:lineRule="atLeast"/>
      <w:jc w:val="both"/>
      <w:textAlignment w:val="baseline"/>
    </w:pPr>
    <w:rPr>
      <w:color w:val="000000"/>
      <w:sz w:val="12"/>
      <w:szCs w:val="12"/>
      <w:lang w:val="en-US" w:eastAsia="en-US"/>
    </w:rPr>
  </w:style>
  <w:style w:type="paragraph" w:customStyle="1" w:styleId="Estandar">
    <w:name w:val="Est&lt;/a&gt;ndar"/>
    <w:rsid w:val="002831AB"/>
    <w:pPr>
      <w:widowControl w:val="0"/>
      <w:adjustRightInd w:val="0"/>
      <w:spacing w:line="360" w:lineRule="atLeast"/>
      <w:jc w:val="both"/>
      <w:textAlignment w:val="baseline"/>
    </w:pPr>
    <w:rPr>
      <w:color w:val="000000"/>
      <w:lang w:val="en-US" w:eastAsia="en-US"/>
    </w:rPr>
  </w:style>
  <w:style w:type="paragraph" w:customStyle="1" w:styleId="Nzmeros">
    <w:name w:val="N&lt;/z&gt;meros"/>
    <w:rsid w:val="002831AB"/>
    <w:pPr>
      <w:widowControl w:val="0"/>
      <w:adjustRightInd w:val="0"/>
      <w:spacing w:line="360" w:lineRule="atLeast"/>
      <w:jc w:val="both"/>
      <w:textAlignment w:val="baseline"/>
    </w:pPr>
    <w:rPr>
      <w:color w:val="000000"/>
      <w:sz w:val="24"/>
      <w:szCs w:val="24"/>
      <w:lang w:val="en-US" w:eastAsia="en-US"/>
    </w:rPr>
  </w:style>
  <w:style w:type="paragraph" w:customStyle="1" w:styleId="Subepmgrafe">
    <w:name w:val="Subep&lt;/m&gt;grafe"/>
    <w:rsid w:val="002831AB"/>
    <w:pPr>
      <w:widowControl w:val="0"/>
      <w:adjustRightInd w:val="0"/>
      <w:spacing w:line="360" w:lineRule="atLeast"/>
      <w:jc w:val="both"/>
      <w:textAlignment w:val="baseline"/>
    </w:pPr>
    <w:rPr>
      <w:b/>
      <w:bCs/>
      <w:i/>
      <w:iCs/>
      <w:color w:val="000000"/>
      <w:sz w:val="24"/>
      <w:szCs w:val="24"/>
      <w:lang w:val="en-US" w:eastAsia="en-US"/>
    </w:rPr>
  </w:style>
  <w:style w:type="paragraph" w:customStyle="1" w:styleId="Tmtulo">
    <w:name w:val="T&lt;/m&gt;tulo"/>
    <w:rsid w:val="002831AB"/>
    <w:pPr>
      <w:widowControl w:val="0"/>
      <w:adjustRightInd w:val="0"/>
      <w:spacing w:line="360" w:lineRule="atLeast"/>
      <w:jc w:val="center"/>
      <w:textAlignment w:val="baseline"/>
    </w:pPr>
    <w:rPr>
      <w:rFonts w:ascii="Arial" w:hAnsi="Arial" w:cs="Arial"/>
      <w:b/>
      <w:bCs/>
      <w:color w:val="000000"/>
      <w:sz w:val="36"/>
      <w:szCs w:val="36"/>
      <w:lang w:val="en-US" w:eastAsia="en-US"/>
    </w:rPr>
  </w:style>
  <w:style w:type="paragraph" w:customStyle="1" w:styleId="1empresa0">
    <w:name w:val="1empresa"/>
    <w:basedOn w:val="Normal"/>
    <w:rsid w:val="002831AB"/>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autoSpaceDE w:val="0"/>
      <w:autoSpaceDN w:val="0"/>
      <w:adjustRightInd w:val="0"/>
      <w:spacing w:line="360" w:lineRule="atLeast"/>
      <w:jc w:val="center"/>
      <w:textAlignment w:val="baseline"/>
    </w:pPr>
    <w:rPr>
      <w:rFonts w:ascii="CG Times" w:hAnsi="CG Times"/>
      <w:b/>
      <w:bCs/>
      <w:sz w:val="36"/>
      <w:szCs w:val="36"/>
      <w:lang w:val="en-US" w:eastAsia="es-AR"/>
    </w:rPr>
  </w:style>
  <w:style w:type="paragraph" w:customStyle="1" w:styleId="topo0">
    <w:name w:val="topo"/>
    <w:basedOn w:val="Normal"/>
    <w:rsid w:val="002831AB"/>
    <w:pPr>
      <w:widowControl w:val="0"/>
      <w:tabs>
        <w:tab w:val="num" w:pos="360"/>
      </w:tabs>
      <w:autoSpaceDE w:val="0"/>
      <w:autoSpaceDN w:val="0"/>
      <w:adjustRightInd w:val="0"/>
      <w:spacing w:line="360" w:lineRule="atLeast"/>
      <w:ind w:left="360" w:hanging="360"/>
      <w:jc w:val="both"/>
      <w:textAlignment w:val="baseline"/>
    </w:pPr>
    <w:rPr>
      <w:rFonts w:ascii="Times New Roman" w:hAnsi="Times New Roman"/>
      <w:lang w:val="en-US" w:eastAsia="es-AR"/>
    </w:rPr>
  </w:style>
  <w:style w:type="paragraph" w:customStyle="1" w:styleId="neg">
    <w:name w:val="neg"/>
    <w:basedOn w:val="Normal"/>
    <w:rsid w:val="002831AB"/>
    <w:pPr>
      <w:widowControl w:val="0"/>
      <w:autoSpaceDE w:val="0"/>
      <w:autoSpaceDN w:val="0"/>
      <w:adjustRightInd w:val="0"/>
      <w:spacing w:line="360" w:lineRule="atLeast"/>
      <w:jc w:val="both"/>
      <w:textAlignment w:val="baseline"/>
    </w:pPr>
    <w:rPr>
      <w:rFonts w:ascii="Times New Roman" w:hAnsi="Times New Roman"/>
      <w:sz w:val="14"/>
      <w:szCs w:val="14"/>
      <w:lang w:val="en-US" w:eastAsia="es-AR"/>
    </w:rPr>
  </w:style>
  <w:style w:type="paragraph" w:customStyle="1" w:styleId="tabl">
    <w:name w:val="tabl"/>
    <w:basedOn w:val="Normal"/>
    <w:rsid w:val="002831AB"/>
    <w:pPr>
      <w:widowControl w:val="0"/>
      <w:autoSpaceDE w:val="0"/>
      <w:autoSpaceDN w:val="0"/>
      <w:adjustRightInd w:val="0"/>
      <w:spacing w:line="360" w:lineRule="atLeast"/>
      <w:jc w:val="both"/>
      <w:textAlignment w:val="baseline"/>
    </w:pPr>
    <w:rPr>
      <w:rFonts w:ascii="CG Times" w:hAnsi="CG Times"/>
      <w:sz w:val="12"/>
      <w:szCs w:val="12"/>
      <w:lang w:val="en-US" w:eastAsia="es-AR"/>
    </w:rPr>
  </w:style>
  <w:style w:type="paragraph" w:customStyle="1" w:styleId="tabl1">
    <w:name w:val="tabl1"/>
    <w:basedOn w:val="Normal"/>
    <w:rsid w:val="002831AB"/>
    <w:pPr>
      <w:widowControl w:val="0"/>
      <w:autoSpaceDE w:val="0"/>
      <w:autoSpaceDN w:val="0"/>
      <w:adjustRightInd w:val="0"/>
      <w:spacing w:line="360" w:lineRule="atLeast"/>
      <w:jc w:val="right"/>
      <w:textAlignment w:val="baseline"/>
    </w:pPr>
    <w:rPr>
      <w:rFonts w:ascii="CG Times" w:hAnsi="CG Times"/>
      <w:sz w:val="12"/>
      <w:szCs w:val="12"/>
      <w:lang w:val="en-US" w:eastAsia="es-AR"/>
    </w:rPr>
  </w:style>
  <w:style w:type="paragraph" w:customStyle="1" w:styleId="tex">
    <w:name w:val="tex"/>
    <w:basedOn w:val="Normal"/>
    <w:rsid w:val="002831AB"/>
    <w:pPr>
      <w:widowControl w:val="0"/>
      <w:autoSpaceDE w:val="0"/>
      <w:autoSpaceDN w:val="0"/>
      <w:adjustRightInd w:val="0"/>
      <w:spacing w:line="360" w:lineRule="atLeast"/>
      <w:ind w:firstLine="720"/>
      <w:jc w:val="both"/>
      <w:textAlignment w:val="baseline"/>
    </w:pPr>
    <w:rPr>
      <w:rFonts w:ascii="Times New Roman" w:hAnsi="Times New Roman"/>
      <w:lang w:val="en-US" w:eastAsia="es-AR"/>
    </w:rPr>
  </w:style>
  <w:style w:type="paragraph" w:customStyle="1" w:styleId="decimal">
    <w:name w:val="decimal"/>
    <w:basedOn w:val="Normal"/>
    <w:rsid w:val="002831AB"/>
    <w:pPr>
      <w:widowControl w:val="0"/>
      <w:autoSpaceDE w:val="0"/>
      <w:autoSpaceDN w:val="0"/>
      <w:adjustRightInd w:val="0"/>
      <w:spacing w:line="360" w:lineRule="atLeast"/>
      <w:jc w:val="both"/>
      <w:textAlignment w:val="baseline"/>
    </w:pPr>
    <w:rPr>
      <w:rFonts w:ascii="Times New Roman" w:hAnsi="Times New Roman"/>
      <w:sz w:val="16"/>
      <w:szCs w:val="16"/>
      <w:lang w:val="en-US" w:eastAsia="es-AR"/>
    </w:rPr>
  </w:style>
  <w:style w:type="paragraph" w:customStyle="1" w:styleId="-">
    <w:name w:val="-"/>
    <w:basedOn w:val="Normal"/>
    <w:rsid w:val="002831AB"/>
    <w:pPr>
      <w:widowControl w:val="0"/>
      <w:autoSpaceDE w:val="0"/>
      <w:autoSpaceDN w:val="0"/>
      <w:adjustRightInd w:val="0"/>
      <w:spacing w:line="360" w:lineRule="atLeast"/>
      <w:jc w:val="both"/>
      <w:textAlignment w:val="baseline"/>
    </w:pPr>
    <w:rPr>
      <w:rFonts w:ascii="Times New Roman" w:hAnsi="Times New Roman"/>
      <w:sz w:val="22"/>
      <w:szCs w:val="22"/>
      <w:lang w:val="en-US" w:eastAsia="es-AR"/>
    </w:rPr>
  </w:style>
  <w:style w:type="paragraph" w:customStyle="1" w:styleId="tabla4">
    <w:name w:val="tabla4"/>
    <w:basedOn w:val="Normal"/>
    <w:rsid w:val="002831AB"/>
    <w:pPr>
      <w:widowControl w:val="0"/>
      <w:autoSpaceDE w:val="0"/>
      <w:autoSpaceDN w:val="0"/>
      <w:adjustRightInd w:val="0"/>
      <w:spacing w:line="360" w:lineRule="atLeast"/>
      <w:jc w:val="both"/>
      <w:textAlignment w:val="baseline"/>
    </w:pPr>
    <w:rPr>
      <w:rFonts w:ascii="Times New Roman" w:hAnsi="Times New Roman"/>
      <w:sz w:val="8"/>
      <w:szCs w:val="8"/>
      <w:lang w:val="en-US" w:eastAsia="es-AR"/>
    </w:rPr>
  </w:style>
  <w:style w:type="paragraph" w:customStyle="1" w:styleId="tabla5">
    <w:name w:val="tabla5"/>
    <w:basedOn w:val="Normal"/>
    <w:rsid w:val="002831AB"/>
    <w:pPr>
      <w:widowControl w:val="0"/>
      <w:autoSpaceDE w:val="0"/>
      <w:autoSpaceDN w:val="0"/>
      <w:adjustRightInd w:val="0"/>
      <w:spacing w:line="360" w:lineRule="atLeast"/>
      <w:jc w:val="both"/>
      <w:textAlignment w:val="baseline"/>
    </w:pPr>
    <w:rPr>
      <w:rFonts w:ascii="Times New Roman" w:hAnsi="Times New Roman"/>
      <w:sz w:val="10"/>
      <w:szCs w:val="10"/>
      <w:lang w:val="en-US" w:eastAsia="es-AR"/>
    </w:rPr>
  </w:style>
  <w:style w:type="paragraph" w:customStyle="1" w:styleId="nmeropgina">
    <w:name w:val="número página"/>
    <w:basedOn w:val="Normal"/>
    <w:rsid w:val="002831AB"/>
    <w:pPr>
      <w:widowControl w:val="0"/>
      <w:autoSpaceDE w:val="0"/>
      <w:autoSpaceDN w:val="0"/>
      <w:adjustRightInd w:val="0"/>
      <w:spacing w:line="360" w:lineRule="atLeast"/>
      <w:jc w:val="both"/>
      <w:textAlignment w:val="baseline"/>
    </w:pPr>
    <w:rPr>
      <w:rFonts w:ascii="Times New Roman" w:hAnsi="Times New Roman"/>
      <w:lang w:val="en-US" w:eastAsia="es-AR"/>
    </w:rPr>
  </w:style>
  <w:style w:type="paragraph" w:customStyle="1" w:styleId="tabla80">
    <w:name w:val="tabla 8"/>
    <w:basedOn w:val="Normal"/>
    <w:rsid w:val="002831AB"/>
    <w:pPr>
      <w:widowControl w:val="0"/>
      <w:autoSpaceDE w:val="0"/>
      <w:autoSpaceDN w:val="0"/>
      <w:adjustRightInd w:val="0"/>
      <w:spacing w:line="360" w:lineRule="atLeast"/>
      <w:jc w:val="both"/>
      <w:textAlignment w:val="baseline"/>
    </w:pPr>
    <w:rPr>
      <w:rFonts w:ascii="Times New Roman" w:hAnsi="Times New Roman"/>
      <w:sz w:val="16"/>
      <w:szCs w:val="16"/>
      <w:lang w:val="en-US" w:eastAsia="es-AR"/>
    </w:rPr>
  </w:style>
  <w:style w:type="paragraph" w:customStyle="1" w:styleId="PUNTITO">
    <w:name w:val="PUNTITO"/>
    <w:basedOn w:val="Normal"/>
    <w:rsid w:val="002831AB"/>
    <w:pPr>
      <w:widowControl w:val="0"/>
      <w:autoSpaceDE w:val="0"/>
      <w:autoSpaceDN w:val="0"/>
      <w:adjustRightInd w:val="0"/>
      <w:spacing w:line="360" w:lineRule="atLeast"/>
      <w:jc w:val="both"/>
      <w:textAlignment w:val="baseline"/>
    </w:pPr>
    <w:rPr>
      <w:rFonts w:ascii="Courier New" w:hAnsi="Courier New" w:cs="Courier New"/>
      <w:sz w:val="22"/>
      <w:szCs w:val="22"/>
      <w:lang w:val="en-US" w:eastAsia="es-AR"/>
    </w:rPr>
  </w:style>
  <w:style w:type="paragraph" w:customStyle="1" w:styleId="TABLA100">
    <w:name w:val="TABLA10"/>
    <w:rsid w:val="002831AB"/>
    <w:pPr>
      <w:widowControl w:val="0"/>
      <w:tabs>
        <w:tab w:val="left" w:pos="330"/>
        <w:tab w:val="left" w:pos="570"/>
        <w:tab w:val="left" w:pos="780"/>
      </w:tabs>
      <w:adjustRightInd w:val="0"/>
      <w:spacing w:line="360" w:lineRule="atLeast"/>
      <w:jc w:val="both"/>
      <w:textAlignment w:val="baseline"/>
    </w:pPr>
    <w:rPr>
      <w:color w:val="000000"/>
      <w:lang w:eastAsia="en-US"/>
    </w:rPr>
  </w:style>
  <w:style w:type="paragraph" w:customStyle="1" w:styleId="Tabla101">
    <w:name w:val="Tabla10"/>
    <w:basedOn w:val="Normal"/>
    <w:rsid w:val="002831AB"/>
    <w:pPr>
      <w:widowControl w:val="0"/>
      <w:autoSpaceDE w:val="0"/>
      <w:autoSpaceDN w:val="0"/>
      <w:adjustRightInd w:val="0"/>
      <w:spacing w:line="360" w:lineRule="atLeast"/>
      <w:jc w:val="both"/>
      <w:textAlignment w:val="baseline"/>
    </w:pPr>
    <w:rPr>
      <w:rFonts w:ascii="Times New Roman" w:hAnsi="Times New Roman"/>
      <w:lang w:val="en-US" w:eastAsia="es-AR"/>
    </w:rPr>
  </w:style>
  <w:style w:type="paragraph" w:customStyle="1" w:styleId="TABLA81">
    <w:name w:val="TABLA8"/>
    <w:rsid w:val="002831AB"/>
    <w:pPr>
      <w:widowControl w:val="0"/>
      <w:adjustRightInd w:val="0"/>
      <w:spacing w:line="360" w:lineRule="atLeast"/>
      <w:jc w:val="both"/>
      <w:textAlignment w:val="baseline"/>
    </w:pPr>
    <w:rPr>
      <w:color w:val="000000"/>
      <w:sz w:val="16"/>
      <w:szCs w:val="16"/>
      <w:lang w:eastAsia="en-US"/>
    </w:rPr>
  </w:style>
  <w:style w:type="paragraph" w:customStyle="1" w:styleId="Documento1">
    <w:name w:val="Documento 1"/>
    <w:rsid w:val="002831AB"/>
    <w:pPr>
      <w:keepNext/>
      <w:keepLines/>
      <w:widowControl w:val="0"/>
      <w:tabs>
        <w:tab w:val="left" w:pos="-720"/>
      </w:tabs>
      <w:suppressAutoHyphens/>
      <w:adjustRightInd w:val="0"/>
      <w:spacing w:line="360" w:lineRule="atLeast"/>
      <w:jc w:val="both"/>
      <w:textAlignment w:val="baseline"/>
    </w:pPr>
    <w:rPr>
      <w:rFonts w:ascii="Univers" w:hAnsi="Univers"/>
      <w:sz w:val="24"/>
      <w:szCs w:val="24"/>
      <w:lang w:val="en-US" w:eastAsia="en-US"/>
    </w:rPr>
  </w:style>
  <w:style w:type="paragraph" w:customStyle="1" w:styleId="CPN-nheading">
    <w:name w:val="CPN-n/heading"/>
    <w:basedOn w:val="Normal"/>
    <w:rsid w:val="002831AB"/>
    <w:pPr>
      <w:keepNext/>
      <w:keepLines/>
      <w:widowControl w:val="0"/>
      <w:autoSpaceDE w:val="0"/>
      <w:autoSpaceDN w:val="0"/>
      <w:adjustRightInd w:val="0"/>
      <w:spacing w:before="120" w:after="240" w:line="240" w:lineRule="exact"/>
      <w:jc w:val="center"/>
      <w:textAlignment w:val="baseline"/>
    </w:pPr>
    <w:rPr>
      <w:rFonts w:ascii="Arial" w:hAnsi="Arial" w:cs="Arial"/>
      <w:b/>
      <w:bCs/>
      <w:sz w:val="22"/>
      <w:szCs w:val="22"/>
      <w:lang w:val="en-US" w:eastAsia="es-AR"/>
    </w:rPr>
  </w:style>
  <w:style w:type="paragraph" w:customStyle="1" w:styleId="tabla10a">
    <w:name w:val="tabla10a"/>
    <w:basedOn w:val="Normal"/>
    <w:rsid w:val="002831AB"/>
    <w:pPr>
      <w:widowControl w:val="0"/>
      <w:autoSpaceDE w:val="0"/>
      <w:autoSpaceDN w:val="0"/>
      <w:adjustRightInd w:val="0"/>
      <w:spacing w:line="360" w:lineRule="atLeast"/>
      <w:jc w:val="both"/>
      <w:textAlignment w:val="baseline"/>
    </w:pPr>
    <w:rPr>
      <w:rFonts w:ascii="Times New Roman" w:hAnsi="Times New Roman"/>
      <w:lang w:val="en-US" w:eastAsia="es-AR"/>
    </w:rPr>
  </w:style>
  <w:style w:type="paragraph" w:customStyle="1" w:styleId="CPN-Left-bold">
    <w:name w:val="CPN-Left-bold"/>
    <w:basedOn w:val="Normal"/>
    <w:rsid w:val="002831AB"/>
    <w:pPr>
      <w:keepNext/>
      <w:keepLines/>
      <w:widowControl w:val="0"/>
      <w:overflowPunct w:val="0"/>
      <w:autoSpaceDE w:val="0"/>
      <w:autoSpaceDN w:val="0"/>
      <w:adjustRightInd w:val="0"/>
      <w:spacing w:after="200" w:line="360" w:lineRule="atLeast"/>
      <w:jc w:val="both"/>
      <w:textAlignment w:val="baseline"/>
    </w:pPr>
    <w:rPr>
      <w:rFonts w:ascii="Times New Roman" w:hAnsi="Times New Roman"/>
      <w:b/>
      <w:bCs/>
      <w:sz w:val="22"/>
      <w:szCs w:val="22"/>
      <w:lang w:val="en-US" w:eastAsia="es-AR"/>
    </w:rPr>
  </w:style>
  <w:style w:type="paragraph" w:customStyle="1" w:styleId="Predetermin">
    <w:name w:val="Predetermin"/>
    <w:rsid w:val="002831AB"/>
    <w:pPr>
      <w:widowControl w:val="0"/>
      <w:adjustRightInd w:val="0"/>
      <w:spacing w:line="360" w:lineRule="atLeast"/>
      <w:jc w:val="both"/>
      <w:textAlignment w:val="baseline"/>
    </w:pPr>
    <w:rPr>
      <w:color w:val="000000"/>
      <w:sz w:val="16"/>
      <w:szCs w:val="16"/>
    </w:rPr>
  </w:style>
  <w:style w:type="paragraph" w:customStyle="1" w:styleId="Tabla70">
    <w:name w:val="Tabla7"/>
    <w:rsid w:val="002831AB"/>
    <w:pPr>
      <w:widowControl w:val="0"/>
      <w:adjustRightInd w:val="0"/>
      <w:spacing w:line="360" w:lineRule="atLeast"/>
      <w:jc w:val="both"/>
      <w:textAlignment w:val="baseline"/>
    </w:pPr>
    <w:rPr>
      <w:color w:val="000000"/>
      <w:sz w:val="14"/>
      <w:szCs w:val="14"/>
    </w:rPr>
  </w:style>
  <w:style w:type="paragraph" w:customStyle="1" w:styleId="Topito">
    <w:name w:val="Topito"/>
    <w:rsid w:val="002831AB"/>
    <w:pPr>
      <w:widowControl w:val="0"/>
      <w:adjustRightInd w:val="0"/>
      <w:spacing w:line="360" w:lineRule="atLeast"/>
      <w:ind w:left="1468" w:hanging="445"/>
      <w:jc w:val="both"/>
      <w:textAlignment w:val="baseline"/>
    </w:pPr>
    <w:rPr>
      <w:color w:val="000000"/>
      <w:sz w:val="24"/>
      <w:szCs w:val="24"/>
    </w:rPr>
  </w:style>
  <w:style w:type="paragraph" w:customStyle="1" w:styleId="Pelusin">
    <w:name w:val="Pelusin"/>
    <w:rsid w:val="002831AB"/>
    <w:pPr>
      <w:widowControl w:val="0"/>
      <w:adjustRightInd w:val="0"/>
      <w:spacing w:line="360" w:lineRule="atLeast"/>
      <w:ind w:left="1468"/>
      <w:jc w:val="both"/>
      <w:textAlignment w:val="baseline"/>
    </w:pPr>
    <w:rPr>
      <w:color w:val="000000"/>
      <w:sz w:val="24"/>
      <w:szCs w:val="24"/>
    </w:rPr>
  </w:style>
  <w:style w:type="paragraph" w:customStyle="1" w:styleId="table7">
    <w:name w:val="table7"/>
    <w:basedOn w:val="Normal"/>
    <w:rsid w:val="002831AB"/>
    <w:pPr>
      <w:widowControl w:val="0"/>
      <w:autoSpaceDE w:val="0"/>
      <w:autoSpaceDN w:val="0"/>
      <w:adjustRightInd w:val="0"/>
      <w:spacing w:line="360" w:lineRule="atLeast"/>
      <w:jc w:val="right"/>
      <w:textAlignment w:val="baseline"/>
    </w:pPr>
    <w:rPr>
      <w:rFonts w:ascii="Times New Roman" w:hAnsi="Times New Roman"/>
      <w:sz w:val="14"/>
      <w:szCs w:val="14"/>
      <w:lang w:val="en-GB" w:eastAsia="es-AR"/>
    </w:rPr>
  </w:style>
  <w:style w:type="paragraph" w:customStyle="1" w:styleId="n">
    <w:name w:val="n"/>
    <w:basedOn w:val="Estndar"/>
    <w:rsid w:val="002831AB"/>
    <w:pPr>
      <w:widowControl w:val="0"/>
      <w:tabs>
        <w:tab w:val="left" w:pos="-1440"/>
        <w:tab w:val="left" w:pos="-720"/>
        <w:tab w:val="left" w:pos="636"/>
      </w:tabs>
      <w:adjustRightInd w:val="0"/>
      <w:spacing w:line="240" w:lineRule="atLeast"/>
      <w:jc w:val="right"/>
      <w:textAlignment w:val="baseline"/>
    </w:pPr>
    <w:rPr>
      <w:rFonts w:eastAsia="Times New Roman"/>
      <w:color w:val="000000"/>
      <w:sz w:val="14"/>
      <w:szCs w:val="14"/>
      <w:lang w:eastAsia="en-US"/>
    </w:rPr>
  </w:style>
  <w:style w:type="paragraph" w:customStyle="1" w:styleId="cpnormal0">
    <w:name w:val="cpnormal"/>
    <w:basedOn w:val="Normal"/>
    <w:rsid w:val="002831AB"/>
    <w:pPr>
      <w:widowControl w:val="0"/>
      <w:autoSpaceDE w:val="0"/>
      <w:autoSpaceDN w:val="0"/>
      <w:adjustRightInd w:val="0"/>
      <w:spacing w:before="100" w:beforeAutospacing="1" w:after="100" w:afterAutospacing="1" w:line="360" w:lineRule="atLeast"/>
      <w:jc w:val="both"/>
      <w:textAlignment w:val="baseline"/>
    </w:pPr>
    <w:rPr>
      <w:rFonts w:ascii="Arial Unicode MS" w:eastAsia="Arial Unicode MS" w:hAnsi="Times New Roman" w:cs="Arial Unicode MS"/>
      <w:lang w:val="en-US" w:eastAsia="es-AR"/>
    </w:rPr>
  </w:style>
  <w:style w:type="paragraph" w:customStyle="1" w:styleId="parai">
    <w:name w:val="para (i)"/>
    <w:basedOn w:val="Normal"/>
    <w:rsid w:val="002831AB"/>
    <w:pPr>
      <w:widowControl w:val="0"/>
      <w:numPr>
        <w:numId w:val="34"/>
      </w:numPr>
      <w:tabs>
        <w:tab w:val="clear" w:pos="2880"/>
        <w:tab w:val="num" w:pos="2340"/>
      </w:tabs>
      <w:autoSpaceDE w:val="0"/>
      <w:autoSpaceDN w:val="0"/>
      <w:adjustRightInd w:val="0"/>
      <w:spacing w:after="240" w:line="360" w:lineRule="atLeast"/>
      <w:ind w:left="2340"/>
      <w:jc w:val="both"/>
      <w:textAlignment w:val="baseline"/>
    </w:pPr>
    <w:rPr>
      <w:rFonts w:ascii="Book Antiqua" w:hAnsi="Book Antiqua"/>
      <w:sz w:val="22"/>
      <w:szCs w:val="22"/>
      <w:lang w:val="es-CO" w:eastAsia="es-AR"/>
    </w:rPr>
  </w:style>
  <w:style w:type="paragraph" w:customStyle="1" w:styleId="paraa">
    <w:name w:val="para a)"/>
    <w:basedOn w:val="Normal"/>
    <w:rsid w:val="002831AB"/>
    <w:pPr>
      <w:widowControl w:val="0"/>
      <w:tabs>
        <w:tab w:val="num" w:pos="927"/>
      </w:tabs>
      <w:autoSpaceDE w:val="0"/>
      <w:autoSpaceDN w:val="0"/>
      <w:adjustRightInd w:val="0"/>
      <w:spacing w:after="240" w:line="360" w:lineRule="atLeast"/>
      <w:ind w:left="927" w:hanging="360"/>
      <w:jc w:val="both"/>
      <w:textAlignment w:val="baseline"/>
    </w:pPr>
    <w:rPr>
      <w:rFonts w:ascii="Times New Roman" w:hAnsi="Times New Roman"/>
      <w:sz w:val="22"/>
      <w:szCs w:val="22"/>
      <w:lang w:val="es-CO" w:eastAsia="es-AR"/>
    </w:rPr>
  </w:style>
  <w:style w:type="paragraph" w:customStyle="1" w:styleId="LeftBold">
    <w:name w:val="Left Bold"/>
    <w:basedOn w:val="Normal"/>
    <w:rsid w:val="002831AB"/>
    <w:pPr>
      <w:keepNext/>
      <w:keepLines/>
      <w:widowControl w:val="0"/>
      <w:tabs>
        <w:tab w:val="left" w:pos="0"/>
      </w:tabs>
      <w:suppressAutoHyphens/>
      <w:autoSpaceDE w:val="0"/>
      <w:autoSpaceDN w:val="0"/>
      <w:adjustRightInd w:val="0"/>
      <w:spacing w:after="200" w:line="360" w:lineRule="atLeast"/>
      <w:jc w:val="both"/>
      <w:textAlignment w:val="baseline"/>
    </w:pPr>
    <w:rPr>
      <w:rFonts w:ascii="Times New Roman Bold" w:hAnsi="Times New Roman Bold"/>
      <w:b/>
      <w:bCs/>
      <w:color w:val="000000"/>
      <w:lang w:val="en-US" w:eastAsia="es-AR"/>
    </w:rPr>
  </w:style>
  <w:style w:type="paragraph" w:customStyle="1" w:styleId="Bold5">
    <w:name w:val="Bold .5"/>
    <w:basedOn w:val="Normal"/>
    <w:rsid w:val="002831AB"/>
    <w:pPr>
      <w:keepNext/>
      <w:widowControl w:val="0"/>
      <w:autoSpaceDE w:val="0"/>
      <w:autoSpaceDN w:val="0"/>
      <w:adjustRightInd w:val="0"/>
      <w:spacing w:after="200" w:line="360" w:lineRule="atLeast"/>
      <w:ind w:left="562"/>
      <w:jc w:val="both"/>
      <w:textAlignment w:val="baseline"/>
    </w:pPr>
    <w:rPr>
      <w:rFonts w:ascii="Times New Roman Bold" w:hAnsi="Times New Roman Bold"/>
      <w:b/>
      <w:bCs/>
      <w:sz w:val="22"/>
      <w:szCs w:val="22"/>
      <w:lang w:val="en-US" w:eastAsia="es-AR"/>
    </w:rPr>
  </w:style>
  <w:style w:type="paragraph" w:customStyle="1" w:styleId="riskfacor">
    <w:name w:val="risk facor"/>
    <w:basedOn w:val="TitleBoldItal"/>
    <w:rsid w:val="002831AB"/>
    <w:pPr>
      <w:widowControl w:val="0"/>
      <w:autoSpaceDE w:val="0"/>
      <w:autoSpaceDN w:val="0"/>
      <w:adjustRightInd w:val="0"/>
      <w:spacing w:after="240" w:line="240" w:lineRule="exact"/>
      <w:ind w:left="0" w:firstLine="539"/>
      <w:jc w:val="both"/>
      <w:textAlignment w:val="baseline"/>
    </w:pPr>
    <w:rPr>
      <w:rFonts w:eastAsia="Times New Roman"/>
      <w:sz w:val="21"/>
      <w:szCs w:val="21"/>
      <w:lang w:eastAsia="es-ES"/>
    </w:rPr>
  </w:style>
  <w:style w:type="paragraph" w:customStyle="1" w:styleId="riskfactors">
    <w:name w:val="risk factors"/>
    <w:basedOn w:val="riskfacor"/>
    <w:rsid w:val="002831AB"/>
  </w:style>
  <w:style w:type="paragraph" w:customStyle="1" w:styleId="CarCar4CarCarCarCar">
    <w:name w:val="Car Car4 Car Car Car Car"/>
    <w:basedOn w:val="Normal"/>
    <w:rsid w:val="002831AB"/>
    <w:pPr>
      <w:widowControl w:val="0"/>
      <w:autoSpaceDE w:val="0"/>
      <w:autoSpaceDN w:val="0"/>
      <w:adjustRightInd w:val="0"/>
      <w:spacing w:after="160" w:line="240" w:lineRule="exact"/>
      <w:jc w:val="both"/>
      <w:textAlignment w:val="baseline"/>
    </w:pPr>
    <w:rPr>
      <w:rFonts w:ascii="Verdana" w:eastAsia="PMingLiU" w:hAnsi="Verdana"/>
      <w:lang w:val="en-US" w:eastAsia="es-AR"/>
    </w:rPr>
  </w:style>
  <w:style w:type="character" w:customStyle="1" w:styleId="BodyText2SglCarCar1">
    <w:name w:val="Body Text 2 Sgl Car Car1"/>
    <w:rsid w:val="002831AB"/>
    <w:rPr>
      <w:sz w:val="24"/>
      <w:lang w:val="en-US" w:eastAsia="en-US"/>
    </w:rPr>
  </w:style>
  <w:style w:type="character" w:customStyle="1" w:styleId="footnotefakes1">
    <w:name w:val="footnote fakes1"/>
    <w:aliases w:val="ff Car1,footnote fakes Car Car"/>
    <w:rsid w:val="002831AB"/>
    <w:rPr>
      <w:sz w:val="16"/>
      <w:lang w:val="en-US" w:eastAsia="en-US"/>
    </w:rPr>
  </w:style>
  <w:style w:type="character" w:customStyle="1" w:styleId="bluetext1">
    <w:name w:val="bluetext1"/>
    <w:rsid w:val="002831AB"/>
    <w:rPr>
      <w:rFonts w:ascii="Verdana" w:hAnsi="Verdana"/>
      <w:color w:val="auto"/>
    </w:rPr>
  </w:style>
  <w:style w:type="paragraph" w:customStyle="1" w:styleId="CarCarCarCarCarCarCar">
    <w:name w:val="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CarCarCarCar">
    <w:name w:val="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CarCarCarCarCarCar1Car">
    <w:name w:val="Car Car Car Car Car Car Car Car Car Car Car Car1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5bullet0">
    <w:name w:val=".5 bullet"/>
    <w:basedOn w:val="Normal"/>
    <w:rsid w:val="002831AB"/>
    <w:pPr>
      <w:widowControl w:val="0"/>
      <w:tabs>
        <w:tab w:val="num" w:pos="365"/>
        <w:tab w:val="left" w:pos="1500"/>
      </w:tabs>
      <w:autoSpaceDE w:val="0"/>
      <w:autoSpaceDN w:val="0"/>
      <w:adjustRightInd w:val="0"/>
      <w:spacing w:after="240"/>
      <w:ind w:left="375" w:right="15" w:hanging="15"/>
    </w:pPr>
    <w:rPr>
      <w:rFonts w:ascii="Times New Roman" w:hAnsi="Times New Roman"/>
      <w:lang w:val="en-US" w:eastAsia="es-AR"/>
    </w:rPr>
  </w:style>
  <w:style w:type="paragraph" w:customStyle="1" w:styleId="rrdsinglerule">
    <w:name w:val="rrdsinglerule"/>
    <w:basedOn w:val="Normal"/>
    <w:next w:val="Normal"/>
    <w:rsid w:val="002831AB"/>
    <w:pPr>
      <w:pBdr>
        <w:top w:val="single" w:sz="8" w:space="1" w:color="auto"/>
      </w:pBdr>
      <w:autoSpaceDE w:val="0"/>
      <w:autoSpaceDN w:val="0"/>
      <w:adjustRightInd w:val="0"/>
      <w:spacing w:before="20" w:line="20" w:lineRule="exact"/>
      <w:jc w:val="center"/>
    </w:pPr>
    <w:rPr>
      <w:rFonts w:ascii="Times New Roman" w:hAnsi="Times New Roman"/>
      <w:sz w:val="8"/>
      <w:szCs w:val="8"/>
      <w:lang w:val="en-US" w:eastAsia="es-AR"/>
    </w:rPr>
  </w:style>
  <w:style w:type="paragraph" w:customStyle="1" w:styleId="la2">
    <w:name w:val="la2"/>
    <w:basedOn w:val="Normal"/>
    <w:next w:val="Normal"/>
    <w:rsid w:val="002831AB"/>
    <w:pPr>
      <w:autoSpaceDE w:val="0"/>
      <w:autoSpaceDN w:val="0"/>
      <w:adjustRightInd w:val="0"/>
      <w:spacing w:line="40" w:lineRule="exact"/>
    </w:pPr>
    <w:rPr>
      <w:rFonts w:ascii="Times New Roman" w:hAnsi="Times New Roman"/>
      <w:noProof/>
      <w:sz w:val="8"/>
      <w:szCs w:val="8"/>
      <w:lang w:val="en-US" w:eastAsia="es-AR"/>
    </w:rPr>
  </w:style>
  <w:style w:type="character" w:customStyle="1" w:styleId="opcionesverde1">
    <w:name w:val="opcionesverde1"/>
    <w:rsid w:val="002831AB"/>
    <w:rPr>
      <w:rFonts w:ascii="Trebuchet MS" w:hAnsi="Trebuchet MS"/>
      <w:sz w:val="18"/>
      <w:u w:val="none"/>
      <w:effect w:val="none"/>
    </w:rPr>
  </w:style>
  <w:style w:type="paragraph" w:customStyle="1" w:styleId="CarCar4CarCarCarCarCarCar">
    <w:name w:val="Car Car4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5leftbold">
    <w:name w:val=".5 left bold"/>
    <w:basedOn w:val="Normal"/>
    <w:rsid w:val="002831AB"/>
    <w:pPr>
      <w:autoSpaceDE w:val="0"/>
      <w:autoSpaceDN w:val="0"/>
      <w:adjustRightInd w:val="0"/>
      <w:spacing w:after="240"/>
      <w:ind w:left="720"/>
    </w:pPr>
    <w:rPr>
      <w:rFonts w:ascii="Times New Roman" w:hAnsi="Times New Roman"/>
      <w:b/>
      <w:bCs/>
      <w:lang w:val="en-US" w:eastAsia="es-AR"/>
    </w:rPr>
  </w:style>
  <w:style w:type="paragraph" w:customStyle="1" w:styleId="CarCar4CarCarCarCarCarCarCar">
    <w:name w:val="Car Car4 Car Car Car Car Car Car Car"/>
    <w:basedOn w:val="Normal"/>
    <w:rsid w:val="002831AB"/>
    <w:pPr>
      <w:widowControl w:val="0"/>
      <w:autoSpaceDE w:val="0"/>
      <w:autoSpaceDN w:val="0"/>
      <w:adjustRightInd w:val="0"/>
      <w:spacing w:after="160" w:line="240" w:lineRule="exact"/>
      <w:jc w:val="both"/>
      <w:textAlignment w:val="baseline"/>
    </w:pPr>
    <w:rPr>
      <w:rFonts w:ascii="Verdana" w:eastAsia="PMingLiU" w:hAnsi="Verdana"/>
      <w:lang w:val="en-US" w:eastAsia="es-AR"/>
    </w:rPr>
  </w:style>
  <w:style w:type="paragraph" w:customStyle="1" w:styleId="BodyText2SglCarCar3">
    <w:name w:val="Body Text 2 Sgl Car Car3"/>
    <w:basedOn w:val="Normal"/>
    <w:rsid w:val="002831AB"/>
    <w:pPr>
      <w:autoSpaceDE w:val="0"/>
      <w:autoSpaceDN w:val="0"/>
      <w:adjustRightInd w:val="0"/>
      <w:spacing w:after="240"/>
      <w:ind w:firstLine="720"/>
    </w:pPr>
    <w:rPr>
      <w:rFonts w:ascii="Times New Roman" w:hAnsi="Times New Roman"/>
      <w:sz w:val="22"/>
      <w:szCs w:val="22"/>
      <w:lang w:val="en-US" w:eastAsia="es-AR"/>
    </w:rPr>
  </w:style>
  <w:style w:type="paragraph" w:customStyle="1" w:styleId="CarCarCarCarCarCar1CarCarCarCarCarCarCarCarCarCarCarCarCarCarCar">
    <w:name w:val="Car Car Car Car Car Car1 Car Car Car Car Car 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BlockText5CharCar">
    <w:name w:val="Block Text .5 Char Car"/>
    <w:rsid w:val="002831AB"/>
    <w:rPr>
      <w:lang w:val="en-US" w:eastAsia="en-US"/>
    </w:rPr>
  </w:style>
  <w:style w:type="paragraph" w:customStyle="1" w:styleId="BlockText5Char">
    <w:name w:val="Block Text .5 Char"/>
    <w:basedOn w:val="Normal"/>
    <w:rsid w:val="002831AB"/>
    <w:pPr>
      <w:autoSpaceDE w:val="0"/>
      <w:autoSpaceDN w:val="0"/>
      <w:adjustRightInd w:val="0"/>
      <w:spacing w:line="480" w:lineRule="auto"/>
      <w:ind w:left="720" w:right="720"/>
    </w:pPr>
    <w:rPr>
      <w:rFonts w:ascii="Times New Roman" w:hAnsi="Times New Roman"/>
      <w:lang w:val="en-US" w:eastAsia="es-AR"/>
    </w:rPr>
  </w:style>
  <w:style w:type="paragraph" w:customStyle="1" w:styleId="6">
    <w:name w:val="6"/>
    <w:basedOn w:val="Normal"/>
    <w:next w:val="Sangradetextonormal"/>
    <w:rsid w:val="002831AB"/>
    <w:pPr>
      <w:autoSpaceDE w:val="0"/>
      <w:autoSpaceDN w:val="0"/>
      <w:adjustRightInd w:val="0"/>
      <w:spacing w:after="100" w:afterAutospacing="1"/>
      <w:ind w:firstLine="709"/>
      <w:jc w:val="both"/>
    </w:pPr>
    <w:rPr>
      <w:rFonts w:ascii="Times New Roman" w:hAnsi="Times New Roman"/>
      <w:sz w:val="16"/>
      <w:szCs w:val="16"/>
      <w:lang w:val="es-ES_tradnl" w:eastAsia="es-AR"/>
    </w:rPr>
  </w:style>
  <w:style w:type="character" w:customStyle="1" w:styleId="BodyText2SglCarCarCar">
    <w:name w:val="Body Text 2 Sgl Car Car Car"/>
    <w:rsid w:val="002831AB"/>
    <w:rPr>
      <w:sz w:val="24"/>
      <w:lang w:val="en-US" w:eastAsia="es-ES"/>
    </w:rPr>
  </w:style>
  <w:style w:type="paragraph" w:customStyle="1" w:styleId="cpcentertnr10">
    <w:name w:val="cpcenter tnr10"/>
    <w:basedOn w:val="Normal"/>
    <w:rsid w:val="002831AB"/>
    <w:pPr>
      <w:keepNext/>
      <w:overflowPunct w:val="0"/>
      <w:autoSpaceDE w:val="0"/>
      <w:autoSpaceDN w:val="0"/>
      <w:adjustRightInd w:val="0"/>
      <w:spacing w:after="240"/>
      <w:jc w:val="center"/>
      <w:textAlignment w:val="baseline"/>
    </w:pPr>
    <w:rPr>
      <w:rFonts w:ascii="Times New Roman" w:hAnsi="Times New Roman"/>
      <w:sz w:val="21"/>
      <w:szCs w:val="21"/>
      <w:lang w:val="en-US" w:eastAsia="es-AR"/>
    </w:rPr>
  </w:style>
  <w:style w:type="paragraph" w:customStyle="1" w:styleId="TextCarCar">
    <w:name w:val="Text Car Car"/>
    <w:basedOn w:val="Normal"/>
    <w:rsid w:val="002831AB"/>
    <w:pPr>
      <w:tabs>
        <w:tab w:val="num" w:pos="360"/>
      </w:tabs>
      <w:autoSpaceDE w:val="0"/>
      <w:autoSpaceDN w:val="0"/>
      <w:adjustRightInd w:val="0"/>
      <w:spacing w:after="240"/>
    </w:pPr>
    <w:rPr>
      <w:rFonts w:ascii="Times New Roman" w:hAnsi="Times New Roman"/>
      <w:lang w:val="en-US" w:eastAsia="es-AR"/>
    </w:rPr>
  </w:style>
  <w:style w:type="character" w:customStyle="1" w:styleId="TextCarCarCar">
    <w:name w:val="Text Car Car Car"/>
    <w:rsid w:val="002831AB"/>
    <w:rPr>
      <w:sz w:val="24"/>
      <w:lang w:val="en-US" w:eastAsia="en-US"/>
    </w:rPr>
  </w:style>
  <w:style w:type="paragraph" w:customStyle="1" w:styleId="Text0Car">
    <w:name w:val="Text 0 Car"/>
    <w:basedOn w:val="TextCarCar"/>
    <w:rsid w:val="002831AB"/>
    <w:pPr>
      <w:spacing w:after="120"/>
    </w:pPr>
  </w:style>
  <w:style w:type="character" w:customStyle="1" w:styleId="Text0CarCar">
    <w:name w:val="Text 0 Car Car"/>
    <w:rsid w:val="002831AB"/>
    <w:rPr>
      <w:sz w:val="24"/>
      <w:lang w:val="en-US" w:eastAsia="en-US"/>
    </w:rPr>
  </w:style>
  <w:style w:type="character" w:customStyle="1" w:styleId="table9pt1">
    <w:name w:val="table 9 pt"/>
    <w:rsid w:val="002831AB"/>
    <w:rPr>
      <w:sz w:val="18"/>
    </w:rPr>
  </w:style>
  <w:style w:type="paragraph" w:customStyle="1" w:styleId="BodyText2SglCarCarCarCar">
    <w:name w:val="Body Text 2 Sgl Car Car Car Car"/>
    <w:basedOn w:val="Normal"/>
    <w:rsid w:val="002831AB"/>
    <w:pPr>
      <w:autoSpaceDE w:val="0"/>
      <w:autoSpaceDN w:val="0"/>
      <w:adjustRightInd w:val="0"/>
      <w:spacing w:after="240"/>
      <w:ind w:firstLine="562"/>
    </w:pPr>
    <w:rPr>
      <w:rFonts w:ascii="Times New Roman" w:hAnsi="Times New Roman"/>
      <w:sz w:val="22"/>
      <w:szCs w:val="22"/>
      <w:lang w:val="en-US" w:eastAsia="es-AR"/>
    </w:rPr>
  </w:style>
  <w:style w:type="paragraph" w:customStyle="1" w:styleId="BlockText5Car">
    <w:name w:val="Block Text .5 Car"/>
    <w:basedOn w:val="Normal"/>
    <w:rsid w:val="002831AB"/>
    <w:pPr>
      <w:autoSpaceDE w:val="0"/>
      <w:autoSpaceDN w:val="0"/>
      <w:adjustRightInd w:val="0"/>
      <w:spacing w:line="480" w:lineRule="auto"/>
      <w:ind w:left="720" w:right="720"/>
    </w:pPr>
    <w:rPr>
      <w:rFonts w:ascii="Times New Roman" w:hAnsi="Times New Roman"/>
      <w:lang w:val="en-US" w:eastAsia="es-AR"/>
    </w:rPr>
  </w:style>
  <w:style w:type="paragraph" w:customStyle="1" w:styleId="BodyText2SglCarCar2">
    <w:name w:val="Body Text 2 Sgl Car Car2"/>
    <w:basedOn w:val="Normal"/>
    <w:rsid w:val="002831AB"/>
    <w:pPr>
      <w:autoSpaceDE w:val="0"/>
      <w:autoSpaceDN w:val="0"/>
      <w:adjustRightInd w:val="0"/>
      <w:spacing w:after="240"/>
      <w:ind w:firstLine="720"/>
    </w:pPr>
    <w:rPr>
      <w:rFonts w:ascii="Times New Roman" w:hAnsi="Times New Roman"/>
      <w:sz w:val="22"/>
      <w:szCs w:val="22"/>
      <w:lang w:val="en-US" w:eastAsia="es-AR"/>
    </w:rPr>
  </w:style>
  <w:style w:type="paragraph" w:customStyle="1" w:styleId="4">
    <w:name w:val="4"/>
    <w:basedOn w:val="Normal"/>
    <w:next w:val="Sangradetextonormal"/>
    <w:rsid w:val="002831AB"/>
    <w:pPr>
      <w:autoSpaceDE w:val="0"/>
      <w:autoSpaceDN w:val="0"/>
      <w:adjustRightInd w:val="0"/>
      <w:spacing w:after="100" w:afterAutospacing="1"/>
      <w:ind w:firstLine="709"/>
      <w:jc w:val="both"/>
    </w:pPr>
    <w:rPr>
      <w:rFonts w:ascii="Times New Roman" w:hAnsi="Times New Roman"/>
      <w:sz w:val="16"/>
      <w:szCs w:val="16"/>
      <w:lang w:val="es-ES_tradnl" w:eastAsia="es-AR"/>
    </w:rPr>
  </w:style>
  <w:style w:type="paragraph" w:customStyle="1" w:styleId="Text0">
    <w:name w:val="Text 0"/>
    <w:rsid w:val="002831AB"/>
    <w:pPr>
      <w:tabs>
        <w:tab w:val="num" w:pos="360"/>
      </w:tabs>
      <w:autoSpaceDE w:val="0"/>
      <w:autoSpaceDN w:val="0"/>
      <w:adjustRightInd w:val="0"/>
      <w:spacing w:after="120"/>
    </w:pPr>
    <w:rPr>
      <w:rFonts w:ascii="Times New Roman" w:hAnsi="Times New Roman"/>
      <w:lang w:val="en-US" w:eastAsia="es-AR"/>
    </w:rPr>
  </w:style>
  <w:style w:type="paragraph" w:customStyle="1" w:styleId="CarCar4CarCarCarCarCarCarCarCarCharChar">
    <w:name w:val="Car Car4 Car Car Car Car Car Car Car Car Char Ch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CarCarCarCarCarCarCarCar1Char">
    <w:name w:val="Car Car Car Car Car Car1 Car Car Car Car Car Car Car Car Car Car Car Car Car Car Car1 Ch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CarCarCar">
    <w:name w:val="Car Car Car Car Car Car1 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TextChar">
    <w:name w:val="Text Char"/>
    <w:rsid w:val="002831AB"/>
    <w:rPr>
      <w:sz w:val="24"/>
      <w:lang w:val="es-ES" w:eastAsia="es-ES"/>
    </w:rPr>
  </w:style>
  <w:style w:type="paragraph" w:customStyle="1" w:styleId="carcarcar0">
    <w:name w:val="car car car"/>
    <w:basedOn w:val="Ttulo2"/>
    <w:rsid w:val="002831AB"/>
    <w:pPr>
      <w:jc w:val="center"/>
    </w:pPr>
    <w:rPr>
      <w:rFonts w:ascii="Times New Roman" w:hAnsi="Times New Roman"/>
      <w:i/>
      <w:iCs/>
      <w:sz w:val="18"/>
      <w:szCs w:val="18"/>
    </w:rPr>
  </w:style>
  <w:style w:type="paragraph" w:customStyle="1" w:styleId="CarCarCarCarCarCar1CarCarCarCarCarCarCarCarCarCarCarCarCarCarCar1CarCarCarCar">
    <w:name w:val="Car Car Car Car Car Car1 Car Car Car Car Car Car Car Car Car Car Car Car Car Car Car1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Textoindependiente31">
    <w:name w:val="Texto independiente 31"/>
    <w:basedOn w:val="Normal"/>
    <w:rsid w:val="002831AB"/>
    <w:pPr>
      <w:widowControl w:val="0"/>
      <w:autoSpaceDE w:val="0"/>
      <w:autoSpaceDN w:val="0"/>
      <w:adjustRightInd w:val="0"/>
    </w:pPr>
    <w:rPr>
      <w:rFonts w:ascii="Times New Roman" w:hAnsi="Times New Roman"/>
      <w:b/>
      <w:sz w:val="14"/>
      <w:lang w:val="es-MX" w:eastAsia="es-AR"/>
    </w:rPr>
  </w:style>
  <w:style w:type="paragraph" w:customStyle="1" w:styleId="Textodeglobo3">
    <w:name w:val="Texto de globo3"/>
    <w:basedOn w:val="Normal"/>
    <w:rsid w:val="002831AB"/>
    <w:pPr>
      <w:autoSpaceDE w:val="0"/>
      <w:autoSpaceDN w:val="0"/>
      <w:adjustRightInd w:val="0"/>
    </w:pPr>
    <w:rPr>
      <w:rFonts w:ascii="Tahoma" w:hAnsi="Tahoma" w:cs="Tahoma"/>
      <w:sz w:val="16"/>
      <w:szCs w:val="16"/>
      <w:lang w:val="en-US" w:eastAsia="es-AR"/>
    </w:rPr>
  </w:style>
  <w:style w:type="paragraph" w:customStyle="1" w:styleId="Char2">
    <w:name w:val="Char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22">
    <w:name w:val="Car Car2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32">
    <w:name w:val="Car Car3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harCharCarCar2">
    <w:name w:val="Car Char Char Car Car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3">
    <w:name w:val="Car Car Car Car Car Car3"/>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2">
    <w:name w:val="Car Car Car Car Car Car1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2">
    <w:name w:val="Car Car Car Car Car Car1 Car Car Car Car Car Car Car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notaalpie">
    <w:name w:val="nota al pie"/>
    <w:basedOn w:val="Normal"/>
    <w:rsid w:val="002831AB"/>
    <w:pPr>
      <w:autoSpaceDE w:val="0"/>
      <w:autoSpaceDN w:val="0"/>
      <w:adjustRightInd w:val="0"/>
      <w:jc w:val="both"/>
    </w:pPr>
    <w:rPr>
      <w:rFonts w:ascii="Arial" w:hAnsi="Arial"/>
      <w:lang w:val="es-ES_tradnl" w:eastAsia="es-AR"/>
    </w:rPr>
  </w:style>
  <w:style w:type="paragraph" w:customStyle="1" w:styleId="companies0">
    <w:name w:val="companies"/>
    <w:basedOn w:val="Normal"/>
    <w:rsid w:val="002831AB"/>
    <w:pPr>
      <w:autoSpaceDE w:val="0"/>
      <w:autoSpaceDN w:val="0"/>
      <w:adjustRightInd w:val="0"/>
      <w:snapToGrid w:val="0"/>
    </w:pPr>
    <w:rPr>
      <w:rFonts w:ascii="Arial" w:hAnsi="Arial" w:cs="Arial"/>
      <w:b/>
      <w:bCs/>
      <w:lang w:val="en-US" w:eastAsia="es-AR"/>
    </w:rPr>
  </w:style>
  <w:style w:type="paragraph" w:customStyle="1" w:styleId="BFboldhead">
    <w:name w:val="_BFboldhead"/>
    <w:basedOn w:val="Normal"/>
    <w:rsid w:val="002831AB"/>
    <w:pPr>
      <w:keepNext/>
      <w:autoSpaceDE w:val="0"/>
      <w:autoSpaceDN w:val="0"/>
      <w:adjustRightInd w:val="0"/>
      <w:spacing w:after="240"/>
      <w:jc w:val="both"/>
    </w:pPr>
    <w:rPr>
      <w:rFonts w:ascii="Times New Roman" w:eastAsia="MS Mincho" w:hAnsi="Times New Roman"/>
      <w:b/>
      <w:bCs/>
      <w:sz w:val="18"/>
      <w:szCs w:val="18"/>
      <w:lang w:val="en-US" w:eastAsia="es-AR"/>
    </w:rPr>
  </w:style>
  <w:style w:type="character" w:customStyle="1" w:styleId="TableNotesChar">
    <w:name w:val="Table Notes Char"/>
    <w:rsid w:val="002831AB"/>
    <w:rPr>
      <w:sz w:val="17"/>
      <w:lang w:val="en-US" w:eastAsia="en-US"/>
    </w:rPr>
  </w:style>
  <w:style w:type="paragraph" w:customStyle="1" w:styleId="CarCarCarCarCarCarCarCarCarCarCarCar1CarCarCar1CarCarCarCarCarCarCarCarCarCar">
    <w:name w:val="Car Car Car Car Car Car Car Car Car Car Car Car1 Car Car Car1 Car Car Car Car Car Car Car Car Car Car"/>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Heading2Char">
    <w:name w:val="Heading 2 Char"/>
    <w:aliases w:val="Tight Slug Char,Major Char,OPA Char"/>
    <w:locked/>
    <w:rsid w:val="002831AB"/>
    <w:rPr>
      <w:rFonts w:ascii="Arial" w:hAnsi="Arial"/>
      <w:b/>
      <w:i/>
      <w:sz w:val="28"/>
      <w:lang w:val="es-ES" w:eastAsia="es-ES"/>
    </w:rPr>
  </w:style>
  <w:style w:type="character" w:customStyle="1" w:styleId="Heading3Char">
    <w:name w:val="Heading 3 Char"/>
    <w:aliases w:val="Note to Director Char,TITULOS negrita Char"/>
    <w:locked/>
    <w:rsid w:val="002831AB"/>
    <w:rPr>
      <w:rFonts w:ascii="Arial" w:hAnsi="Arial"/>
      <w:b/>
      <w:sz w:val="26"/>
      <w:lang w:val="es-ES" w:eastAsia="es-ES"/>
    </w:rPr>
  </w:style>
  <w:style w:type="character" w:customStyle="1" w:styleId="Heading5Char">
    <w:name w:val="Heading 5 Char"/>
    <w:locked/>
    <w:rsid w:val="002831AB"/>
    <w:rPr>
      <w:rFonts w:ascii="Times New Roman" w:hAnsi="Times New Roman"/>
      <w:b/>
      <w:sz w:val="20"/>
      <w:lang w:val="es-ES" w:eastAsia="es-ES"/>
    </w:rPr>
  </w:style>
  <w:style w:type="character" w:customStyle="1" w:styleId="Heading6Char">
    <w:name w:val="Heading 6 Char"/>
    <w:locked/>
    <w:rsid w:val="002831AB"/>
    <w:rPr>
      <w:rFonts w:ascii="Times New Roman" w:hAnsi="Times New Roman"/>
      <w:b/>
      <w:lang w:val="es-ES" w:eastAsia="es-ES"/>
    </w:rPr>
  </w:style>
  <w:style w:type="character" w:customStyle="1" w:styleId="Heading7Char">
    <w:name w:val="Heading 7 Char"/>
    <w:locked/>
    <w:rsid w:val="002831AB"/>
    <w:rPr>
      <w:rFonts w:ascii="Times New Roman" w:hAnsi="Times New Roman"/>
      <w:b/>
      <w:sz w:val="20"/>
      <w:lang w:val="x-none" w:eastAsia="es-ES"/>
    </w:rPr>
  </w:style>
  <w:style w:type="character" w:customStyle="1" w:styleId="Heading8Char">
    <w:name w:val="Heading 8 Char"/>
    <w:locked/>
    <w:rsid w:val="002831AB"/>
    <w:rPr>
      <w:rFonts w:ascii="Times New Roman" w:hAnsi="Times New Roman"/>
      <w:b/>
      <w:sz w:val="16"/>
      <w:lang w:val="es-ES" w:eastAsia="es-ES"/>
    </w:rPr>
  </w:style>
  <w:style w:type="character" w:customStyle="1" w:styleId="Heading9Char">
    <w:name w:val="Heading 9 Char"/>
    <w:locked/>
    <w:rsid w:val="002831AB"/>
    <w:rPr>
      <w:rFonts w:ascii="Arial" w:hAnsi="Arial"/>
      <w:lang w:val="es-ES" w:eastAsia="es-ES"/>
    </w:rPr>
  </w:style>
  <w:style w:type="character" w:customStyle="1" w:styleId="Heading1Char1">
    <w:name w:val="Heading 1 Char1"/>
    <w:aliases w:val="Section Char1"/>
    <w:locked/>
    <w:rsid w:val="002831AB"/>
    <w:rPr>
      <w:rFonts w:ascii="Arial" w:hAnsi="Arial"/>
      <w:b/>
      <w:kern w:val="32"/>
      <w:sz w:val="32"/>
      <w:lang w:val="es-ES" w:eastAsia="es-ES"/>
    </w:rPr>
  </w:style>
  <w:style w:type="character" w:customStyle="1" w:styleId="Heading4Char1">
    <w:name w:val="Heading 4 Char1"/>
    <w:locked/>
    <w:rsid w:val="002831AB"/>
    <w:rPr>
      <w:rFonts w:ascii="Times New Roman" w:hAnsi="Times New Roman"/>
      <w:b/>
      <w:sz w:val="32"/>
      <w:lang w:val="es-MX" w:eastAsia="es-ES"/>
    </w:rPr>
  </w:style>
  <w:style w:type="character" w:customStyle="1" w:styleId="BodyText2Char">
    <w:name w:val="Body Text 2 Char"/>
    <w:locked/>
    <w:rsid w:val="002831AB"/>
    <w:rPr>
      <w:rFonts w:ascii="Times New Roman" w:hAnsi="Times New Roman"/>
      <w:sz w:val="24"/>
      <w:lang w:val="es-ES" w:eastAsia="es-ES"/>
    </w:rPr>
  </w:style>
  <w:style w:type="character" w:customStyle="1" w:styleId="HeaderChar">
    <w:name w:val="Header Char"/>
    <w:locked/>
    <w:rsid w:val="002831AB"/>
    <w:rPr>
      <w:rFonts w:ascii="Times New Roman" w:hAnsi="Times New Roman"/>
      <w:sz w:val="24"/>
      <w:lang w:val="es-ES" w:eastAsia="es-ES"/>
    </w:rPr>
  </w:style>
  <w:style w:type="character" w:customStyle="1" w:styleId="BodyTextChar">
    <w:name w:val="Body Text Char"/>
    <w:aliases w:val="bt Char,body text Char,Borrador Char2,b Char,Body Text1 Char,Btext Char,Bodytext Char,BT Char,bt wide Char,S&amp;S-First Line-1&quot; Char,Corpo de texto2 Char,Borrador Char"/>
    <w:locked/>
    <w:rsid w:val="002831AB"/>
    <w:rPr>
      <w:rFonts w:ascii="Times New Roman" w:hAnsi="Times New Roman"/>
      <w:sz w:val="24"/>
      <w:lang w:val="es-ES" w:eastAsia="es-ES"/>
    </w:rPr>
  </w:style>
  <w:style w:type="character" w:customStyle="1" w:styleId="BodyTextIndentChar">
    <w:name w:val="Body Text Indent Char"/>
    <w:locked/>
    <w:rsid w:val="002831AB"/>
    <w:rPr>
      <w:rFonts w:ascii="Times New Roman" w:hAnsi="Times New Roman"/>
      <w:b/>
      <w:sz w:val="20"/>
      <w:lang w:val="es-ES_tradnl" w:eastAsia="es-ES"/>
    </w:rPr>
  </w:style>
  <w:style w:type="character" w:customStyle="1" w:styleId="BodyTextIndent2Char">
    <w:name w:val="Body Text Indent 2 Char"/>
    <w:locked/>
    <w:rsid w:val="002831AB"/>
    <w:rPr>
      <w:rFonts w:ascii="Times New Roman" w:hAnsi="Times New Roman"/>
      <w:sz w:val="20"/>
      <w:lang w:val="es-ES_tradnl" w:eastAsia="es-ES"/>
    </w:rPr>
  </w:style>
  <w:style w:type="character" w:customStyle="1" w:styleId="BodyTextIndent3Char">
    <w:name w:val="Body Text Indent 3 Char"/>
    <w:locked/>
    <w:rsid w:val="002831AB"/>
    <w:rPr>
      <w:rFonts w:ascii="Times New Roman" w:hAnsi="Times New Roman"/>
      <w:sz w:val="20"/>
      <w:lang w:val="es-ES_tradnl" w:eastAsia="es-ES"/>
    </w:rPr>
  </w:style>
  <w:style w:type="character" w:customStyle="1" w:styleId="NoteHeadingChar">
    <w:name w:val="Note Heading Char"/>
    <w:locked/>
    <w:rsid w:val="002831AB"/>
    <w:rPr>
      <w:rFonts w:ascii="Times New Roman" w:hAnsi="Times New Roman"/>
      <w:lang w:val="en-US" w:eastAsia="x-none"/>
    </w:rPr>
  </w:style>
  <w:style w:type="character" w:customStyle="1" w:styleId="BodyText3Char">
    <w:name w:val="Body Text 3 Char"/>
    <w:locked/>
    <w:rsid w:val="002831AB"/>
    <w:rPr>
      <w:rFonts w:ascii="Times New Roman" w:hAnsi="Times New Roman"/>
      <w:sz w:val="20"/>
      <w:lang w:val="en-US" w:eastAsia="x-none"/>
    </w:rPr>
  </w:style>
  <w:style w:type="character" w:customStyle="1" w:styleId="DateChar">
    <w:name w:val="Date Char"/>
    <w:locked/>
    <w:rsid w:val="002831AB"/>
    <w:rPr>
      <w:rFonts w:ascii="Times New Roman" w:hAnsi="Times New Roman"/>
      <w:sz w:val="20"/>
      <w:lang w:val="en-US" w:eastAsia="x-none"/>
    </w:rPr>
  </w:style>
  <w:style w:type="character" w:customStyle="1" w:styleId="SalutationChar">
    <w:name w:val="Salutation Char"/>
    <w:locked/>
    <w:rsid w:val="002831AB"/>
    <w:rPr>
      <w:rFonts w:ascii="Times New Roman" w:hAnsi="Times New Roman"/>
      <w:sz w:val="20"/>
      <w:lang w:val="en-US" w:eastAsia="x-none"/>
    </w:rPr>
  </w:style>
  <w:style w:type="character" w:customStyle="1" w:styleId="BodyTextFirstIndent2Char">
    <w:name w:val="Body Text First Indent 2 Char"/>
    <w:locked/>
    <w:rsid w:val="002831AB"/>
    <w:rPr>
      <w:rFonts w:ascii="Times New Roman" w:hAnsi="Times New Roman"/>
      <w:b/>
      <w:sz w:val="20"/>
      <w:lang w:val="en-US" w:eastAsia="es-ES"/>
    </w:rPr>
  </w:style>
  <w:style w:type="character" w:customStyle="1" w:styleId="ClosingChar">
    <w:name w:val="Closing Char"/>
    <w:locked/>
    <w:rsid w:val="002831AB"/>
    <w:rPr>
      <w:rFonts w:ascii="Times New Roman" w:hAnsi="Times New Roman"/>
      <w:sz w:val="20"/>
      <w:lang w:val="en-US" w:eastAsia="x-none"/>
    </w:rPr>
  </w:style>
  <w:style w:type="character" w:customStyle="1" w:styleId="SubtitleChar">
    <w:name w:val="Subtitle Char"/>
    <w:locked/>
    <w:rsid w:val="002831AB"/>
    <w:rPr>
      <w:rFonts w:ascii="Times New Roman" w:hAnsi="Times New Roman"/>
      <w:sz w:val="20"/>
      <w:lang w:val="en-US" w:eastAsia="x-none"/>
    </w:rPr>
  </w:style>
  <w:style w:type="paragraph" w:customStyle="1" w:styleId="TOCHeading1">
    <w:name w:val="TOC Heading1"/>
    <w:basedOn w:val="Normal"/>
    <w:rsid w:val="002831AB"/>
    <w:pPr>
      <w:tabs>
        <w:tab w:val="left" w:pos="567"/>
      </w:tabs>
      <w:autoSpaceDE w:val="0"/>
      <w:autoSpaceDN w:val="0"/>
      <w:adjustRightInd w:val="0"/>
      <w:spacing w:after="240" w:line="240" w:lineRule="exact"/>
      <w:jc w:val="center"/>
    </w:pPr>
    <w:rPr>
      <w:rFonts w:ascii="Times New Roman" w:hAnsi="Times New Roman"/>
      <w:b/>
      <w:bCs/>
      <w:lang w:val="en-US" w:eastAsia="es-AR"/>
    </w:rPr>
  </w:style>
  <w:style w:type="character" w:customStyle="1" w:styleId="HTMLPreformattedChar">
    <w:name w:val="HTML Preformatted Char"/>
    <w:locked/>
    <w:rsid w:val="002831AB"/>
    <w:rPr>
      <w:rFonts w:ascii="Courier New" w:hAnsi="Courier New"/>
      <w:sz w:val="20"/>
      <w:lang w:val="es-ES" w:eastAsia="es-ES"/>
    </w:rPr>
  </w:style>
  <w:style w:type="character" w:customStyle="1" w:styleId="HTMLAddressChar">
    <w:name w:val="HTML Address Char"/>
    <w:locked/>
    <w:rsid w:val="002831AB"/>
    <w:rPr>
      <w:rFonts w:ascii="Times New Roman" w:hAnsi="Times New Roman"/>
      <w:i/>
      <w:sz w:val="20"/>
      <w:lang w:val="en-US" w:eastAsia="es-ES"/>
    </w:rPr>
  </w:style>
  <w:style w:type="character" w:customStyle="1" w:styleId="MessageHeaderChar">
    <w:name w:val="Message Header Char"/>
    <w:locked/>
    <w:rsid w:val="002831AB"/>
    <w:rPr>
      <w:rFonts w:ascii="Arial" w:hAnsi="Arial"/>
      <w:sz w:val="24"/>
      <w:shd w:val="pct20" w:color="auto" w:fill="auto"/>
      <w:lang w:val="en-US" w:eastAsia="es-ES"/>
    </w:rPr>
  </w:style>
  <w:style w:type="character" w:customStyle="1" w:styleId="SignatureChar">
    <w:name w:val="Signature Char"/>
    <w:locked/>
    <w:rsid w:val="002831AB"/>
    <w:rPr>
      <w:rFonts w:ascii="Times New Roman" w:hAnsi="Times New Roman"/>
      <w:sz w:val="20"/>
      <w:lang w:val="en-US" w:eastAsia="es-ES"/>
    </w:rPr>
  </w:style>
  <w:style w:type="character" w:customStyle="1" w:styleId="E-mailSignatureChar">
    <w:name w:val="E-mail Signature Char"/>
    <w:locked/>
    <w:rsid w:val="002831AB"/>
    <w:rPr>
      <w:rFonts w:ascii="Times New Roman" w:hAnsi="Times New Roman"/>
      <w:sz w:val="20"/>
      <w:lang w:val="en-US" w:eastAsia="es-ES"/>
    </w:rPr>
  </w:style>
  <w:style w:type="character" w:customStyle="1" w:styleId="PlainTextChar">
    <w:name w:val="Plain Text Char"/>
    <w:locked/>
    <w:rsid w:val="002831AB"/>
    <w:rPr>
      <w:rFonts w:ascii="Courier New" w:hAnsi="Courier New"/>
      <w:sz w:val="20"/>
      <w:lang w:val="en-US" w:eastAsia="es-ES"/>
    </w:rPr>
  </w:style>
  <w:style w:type="paragraph" w:customStyle="1" w:styleId="BodyText24">
    <w:name w:val="Body Text 24"/>
    <w:basedOn w:val="Normal"/>
    <w:rsid w:val="002831AB"/>
    <w:pPr>
      <w:widowControl w:val="0"/>
      <w:tabs>
        <w:tab w:val="left" w:pos="-720"/>
      </w:tabs>
      <w:autoSpaceDE w:val="0"/>
      <w:autoSpaceDN w:val="0"/>
      <w:adjustRightInd w:val="0"/>
      <w:jc w:val="both"/>
    </w:pPr>
    <w:rPr>
      <w:rFonts w:ascii="Times New Roman" w:hAnsi="Times New Roman"/>
      <w:b/>
      <w:lang w:val="es-ES_tradnl" w:eastAsia="es-AR"/>
    </w:rPr>
  </w:style>
  <w:style w:type="paragraph" w:customStyle="1" w:styleId="BodyTextIndent32">
    <w:name w:val="Body Text Indent 32"/>
    <w:basedOn w:val="Normal"/>
    <w:rsid w:val="002831AB"/>
    <w:pPr>
      <w:widowControl w:val="0"/>
      <w:autoSpaceDE w:val="0"/>
      <w:autoSpaceDN w:val="0"/>
      <w:adjustRightInd w:val="0"/>
      <w:ind w:firstLine="709"/>
      <w:jc w:val="both"/>
    </w:pPr>
    <w:rPr>
      <w:rFonts w:ascii="Times New Roman" w:hAnsi="Times New Roman"/>
      <w:lang w:val="es-ES_tradnl" w:eastAsia="es-AR"/>
    </w:rPr>
  </w:style>
  <w:style w:type="paragraph" w:customStyle="1" w:styleId="Char1">
    <w:name w:val="Ch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21">
    <w:name w:val="Car Car2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1">
    <w:name w:val="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31">
    <w:name w:val="Car Car3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harCharCarCar1">
    <w:name w:val="Car Char Char Car Car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2">
    <w:name w:val="Car Car Car Car Car Car2"/>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1">
    <w:name w:val="Car Car Car Car Car Car11"/>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1CarCarCarCarCarCarCar1">
    <w:name w:val="Car Car Car Car Car Car1 Car Car Car Car Car Car Car1"/>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DPWfdPFChar">
    <w:name w:val="DPW fd PF Char"/>
    <w:aliases w:val="p Char,p Char Char,p Char1,f Char"/>
    <w:locked/>
    <w:rsid w:val="002831AB"/>
    <w:rPr>
      <w:lang w:val="en-US" w:eastAsia="es-ES"/>
    </w:rPr>
  </w:style>
  <w:style w:type="paragraph" w:customStyle="1" w:styleId="s1-11143">
    <w:name w:val="s1-11143"/>
    <w:basedOn w:val="Normal"/>
    <w:rsid w:val="002831AB"/>
    <w:pPr>
      <w:autoSpaceDE w:val="0"/>
      <w:autoSpaceDN w:val="0"/>
      <w:adjustRightInd w:val="0"/>
      <w:ind w:firstLine="284"/>
      <w:jc w:val="both"/>
    </w:pPr>
    <w:rPr>
      <w:rFonts w:ascii="Arial" w:hAnsi="Arial" w:cs="Arial"/>
      <w:lang w:val="en-US" w:eastAsia="es-AR"/>
    </w:rPr>
  </w:style>
  <w:style w:type="paragraph" w:customStyle="1" w:styleId="TableBody">
    <w:name w:val="Table Body"/>
    <w:basedOn w:val="Normal"/>
    <w:rsid w:val="002831AB"/>
    <w:pPr>
      <w:tabs>
        <w:tab w:val="left" w:pos="0"/>
      </w:tabs>
      <w:autoSpaceDE w:val="0"/>
      <w:autoSpaceDN w:val="0"/>
      <w:adjustRightInd w:val="0"/>
    </w:pPr>
    <w:rPr>
      <w:rFonts w:ascii="Arial" w:eastAsia="Arial Unicode MS" w:hAnsi="Arial"/>
      <w:sz w:val="18"/>
      <w:szCs w:val="18"/>
      <w:lang w:val="en-US" w:eastAsia="es-AR"/>
    </w:rPr>
  </w:style>
  <w:style w:type="character" w:customStyle="1" w:styleId="TableBodyCar">
    <w:name w:val="Table Body Car"/>
    <w:rsid w:val="002831AB"/>
    <w:rPr>
      <w:rFonts w:ascii="Arial" w:eastAsia="Arial Unicode MS" w:hAnsi="Arial"/>
      <w:sz w:val="18"/>
      <w:lang w:val="x-none" w:eastAsia="es-ES"/>
    </w:rPr>
  </w:style>
  <w:style w:type="paragraph" w:customStyle="1" w:styleId="TableHeader">
    <w:name w:val="Table Header"/>
    <w:basedOn w:val="Normal"/>
    <w:rsid w:val="002831AB"/>
    <w:pPr>
      <w:autoSpaceDE w:val="0"/>
      <w:autoSpaceDN w:val="0"/>
      <w:adjustRightInd w:val="0"/>
    </w:pPr>
    <w:rPr>
      <w:rFonts w:ascii="Arial" w:hAnsi="Arial"/>
      <w:b/>
      <w:sz w:val="18"/>
      <w:lang w:val="en-US" w:eastAsia="es-AR"/>
    </w:rPr>
  </w:style>
  <w:style w:type="character" w:customStyle="1" w:styleId="TableHeaderCar1">
    <w:name w:val="Table Header Car1"/>
    <w:rsid w:val="002831AB"/>
    <w:rPr>
      <w:rFonts w:ascii="Arial" w:hAnsi="Arial"/>
      <w:b/>
      <w:sz w:val="18"/>
      <w:lang w:val="x-none" w:eastAsia="es-ES"/>
    </w:rPr>
  </w:style>
  <w:style w:type="paragraph" w:customStyle="1" w:styleId="TableFoot">
    <w:name w:val="Table Foot"/>
    <w:basedOn w:val="Normal"/>
    <w:rsid w:val="002831AB"/>
    <w:pPr>
      <w:tabs>
        <w:tab w:val="left" w:pos="0"/>
      </w:tabs>
      <w:autoSpaceDE w:val="0"/>
      <w:autoSpaceDN w:val="0"/>
      <w:adjustRightInd w:val="0"/>
      <w:spacing w:before="120" w:after="120"/>
      <w:jc w:val="both"/>
    </w:pPr>
    <w:rPr>
      <w:rFonts w:ascii="Arial" w:eastAsia="Arial Unicode MS" w:hAnsi="Arial"/>
      <w:sz w:val="16"/>
      <w:szCs w:val="18"/>
      <w:lang w:val="en-US" w:eastAsia="es-AR"/>
    </w:rPr>
  </w:style>
  <w:style w:type="character" w:customStyle="1" w:styleId="TableFootCar">
    <w:name w:val="Table Foot Car"/>
    <w:rsid w:val="002831AB"/>
    <w:rPr>
      <w:rFonts w:ascii="Arial" w:eastAsia="Arial Unicode MS" w:hAnsi="Arial"/>
      <w:sz w:val="18"/>
      <w:lang w:val="x-none" w:eastAsia="es-ES"/>
    </w:rPr>
  </w:style>
  <w:style w:type="paragraph" w:customStyle="1" w:styleId="EstiloTabla">
    <w:name w:val="EstiloTabla"/>
    <w:basedOn w:val="Normal"/>
    <w:rsid w:val="002831AB"/>
    <w:pPr>
      <w:autoSpaceDE w:val="0"/>
      <w:autoSpaceDN w:val="0"/>
      <w:adjustRightInd w:val="0"/>
      <w:spacing w:line="280" w:lineRule="exact"/>
      <w:ind w:left="425" w:right="284"/>
      <w:jc w:val="both"/>
    </w:pPr>
    <w:rPr>
      <w:rFonts w:ascii="Arial" w:hAnsi="Arial"/>
      <w:sz w:val="16"/>
      <w:szCs w:val="16"/>
      <w:lang w:val="en-US" w:eastAsia="es-AR"/>
    </w:rPr>
  </w:style>
  <w:style w:type="character" w:customStyle="1" w:styleId="EstiloTablaCar">
    <w:name w:val="EstiloTabla Car"/>
    <w:locked/>
    <w:rsid w:val="002831AB"/>
    <w:rPr>
      <w:rFonts w:ascii="Arial" w:hAnsi="Arial"/>
      <w:sz w:val="16"/>
      <w:lang w:val="es-ES" w:eastAsia="es-ES"/>
    </w:rPr>
  </w:style>
  <w:style w:type="paragraph" w:customStyle="1" w:styleId="BodyTextFlush">
    <w:name w:val="Body Text Flush"/>
    <w:aliases w:val="bth"/>
    <w:basedOn w:val="Normal"/>
    <w:rsid w:val="002831AB"/>
    <w:pPr>
      <w:tabs>
        <w:tab w:val="left" w:pos="720"/>
      </w:tabs>
      <w:autoSpaceDE w:val="0"/>
      <w:autoSpaceDN w:val="0"/>
      <w:adjustRightInd w:val="0"/>
      <w:spacing w:after="240"/>
    </w:pPr>
    <w:rPr>
      <w:rFonts w:ascii="Times New Roman" w:eastAsia="Batang" w:hAnsi="Times New Roman"/>
      <w:lang w:val="en-US" w:eastAsia="es-AR"/>
    </w:rPr>
  </w:style>
  <w:style w:type="character" w:customStyle="1" w:styleId="Table7points">
    <w:name w:val="Table 7 points"/>
    <w:rsid w:val="002831AB"/>
    <w:rPr>
      <w:spacing w:val="0"/>
      <w:sz w:val="14"/>
    </w:rPr>
  </w:style>
  <w:style w:type="character" w:customStyle="1" w:styleId="blocktextboldChar">
    <w:name w:val="block text bold Char"/>
    <w:rsid w:val="002831AB"/>
    <w:rPr>
      <w:b/>
      <w:sz w:val="22"/>
      <w:lang w:val="en-US" w:eastAsia="en-US"/>
    </w:rPr>
  </w:style>
  <w:style w:type="paragraph" w:customStyle="1" w:styleId="TableNotes0after">
    <w:name w:val="Table Notes 0 after"/>
    <w:basedOn w:val="Normal"/>
    <w:rsid w:val="002831AB"/>
    <w:pPr>
      <w:widowControl w:val="0"/>
      <w:tabs>
        <w:tab w:val="left" w:pos="720"/>
      </w:tabs>
      <w:autoSpaceDE w:val="0"/>
      <w:autoSpaceDN w:val="0"/>
      <w:adjustRightInd w:val="0"/>
      <w:ind w:left="360" w:hanging="360"/>
    </w:pPr>
    <w:rPr>
      <w:rFonts w:ascii="Times New Roman" w:eastAsia="Batang" w:hAnsi="Times New Roman"/>
      <w:sz w:val="17"/>
      <w:szCs w:val="17"/>
      <w:lang w:val="en-US" w:eastAsia="es-AR"/>
    </w:rPr>
  </w:style>
  <w:style w:type="character" w:customStyle="1" w:styleId="EstndarChar">
    <w:name w:val="Estándar Char"/>
    <w:rsid w:val="002831AB"/>
    <w:rPr>
      <w:color w:val="000000"/>
      <w:lang w:val="es-ES" w:eastAsia="en-US"/>
    </w:rPr>
  </w:style>
  <w:style w:type="character" w:customStyle="1" w:styleId="Table9points">
    <w:name w:val="Table 9 points"/>
    <w:rsid w:val="002831AB"/>
    <w:rPr>
      <w:rFonts w:ascii="Times New Roman" w:hAnsi="Times New Roman"/>
      <w:spacing w:val="0"/>
      <w:sz w:val="18"/>
    </w:rPr>
  </w:style>
  <w:style w:type="paragraph" w:customStyle="1" w:styleId="lINE0">
    <w:name w:val="lINE"/>
    <w:basedOn w:val="BlockTextSgl"/>
    <w:rsid w:val="002831AB"/>
    <w:pPr>
      <w:tabs>
        <w:tab w:val="left" w:pos="720"/>
      </w:tabs>
      <w:spacing w:after="200"/>
    </w:pPr>
    <w:rPr>
      <w:rFonts w:eastAsia="Batang"/>
      <w:sz w:val="22"/>
    </w:rPr>
  </w:style>
  <w:style w:type="paragraph" w:customStyle="1" w:styleId="TitleItalic0">
    <w:name w:val="Title Italic"/>
    <w:basedOn w:val="Normal"/>
    <w:rsid w:val="002831AB"/>
    <w:pPr>
      <w:keepNext/>
      <w:widowControl w:val="0"/>
      <w:tabs>
        <w:tab w:val="left" w:pos="720"/>
      </w:tabs>
      <w:autoSpaceDE w:val="0"/>
      <w:autoSpaceDN w:val="0"/>
      <w:adjustRightInd w:val="0"/>
      <w:spacing w:after="240"/>
      <w:ind w:left="720"/>
    </w:pPr>
    <w:rPr>
      <w:rFonts w:ascii="Times New Roman" w:eastAsia="Batang" w:hAnsi="Times New Roman"/>
      <w:i/>
      <w:iCs/>
      <w:sz w:val="22"/>
      <w:lang w:val="en-US" w:eastAsia="es-AR"/>
    </w:rPr>
  </w:style>
  <w:style w:type="character" w:customStyle="1" w:styleId="Table11pts">
    <w:name w:val="Table 11pts"/>
    <w:rsid w:val="002831AB"/>
    <w:rPr>
      <w:sz w:val="22"/>
    </w:rPr>
  </w:style>
  <w:style w:type="character" w:customStyle="1" w:styleId="TextonotaalfinalCar1">
    <w:name w:val="Texto nota al final Car1"/>
    <w:rsid w:val="002831AB"/>
    <w:rPr>
      <w:rFonts w:ascii="Times New Roman" w:eastAsia="Batang" w:hAnsi="Times New Roman"/>
      <w:sz w:val="20"/>
      <w:lang w:val="en-US" w:eastAsia="x-none"/>
    </w:rPr>
  </w:style>
  <w:style w:type="paragraph" w:customStyle="1" w:styleId="DPWfdHDItalBold">
    <w:name w:val="DPWfd HD Ital Bold"/>
    <w:basedOn w:val="Normal"/>
    <w:next w:val="Normal"/>
    <w:rsid w:val="002831AB"/>
    <w:pPr>
      <w:keepNext/>
      <w:tabs>
        <w:tab w:val="left" w:pos="720"/>
      </w:tabs>
      <w:autoSpaceDE w:val="0"/>
      <w:autoSpaceDN w:val="0"/>
      <w:adjustRightInd w:val="0"/>
      <w:spacing w:after="200"/>
      <w:ind w:left="187"/>
    </w:pPr>
    <w:rPr>
      <w:rFonts w:ascii="Times New Roman" w:eastAsia="Batang" w:hAnsi="Times New Roman"/>
      <w:b/>
      <w:i/>
      <w:lang w:val="en-US" w:eastAsia="es-AR"/>
    </w:rPr>
  </w:style>
  <w:style w:type="paragraph" w:customStyle="1" w:styleId="EstiloMariano">
    <w:name w:val="Estilo Mariano"/>
    <w:rsid w:val="002831AB"/>
    <w:pPr>
      <w:spacing w:after="240"/>
      <w:ind w:firstLine="567"/>
      <w:jc w:val="both"/>
    </w:pPr>
    <w:rPr>
      <w:rFonts w:eastAsia="Batang"/>
      <w:sz w:val="22"/>
      <w:lang w:val="es-ES_tradnl" w:eastAsia="en-US"/>
    </w:rPr>
  </w:style>
  <w:style w:type="paragraph" w:customStyle="1" w:styleId="notes1">
    <w:name w:val="notes"/>
    <w:basedOn w:val="Normal"/>
    <w:rsid w:val="002831AB"/>
    <w:pPr>
      <w:tabs>
        <w:tab w:val="left" w:pos="720"/>
      </w:tabs>
      <w:autoSpaceDE w:val="0"/>
      <w:autoSpaceDN w:val="0"/>
      <w:adjustRightInd w:val="0"/>
      <w:spacing w:after="120"/>
      <w:ind w:left="360" w:hanging="360"/>
    </w:pPr>
    <w:rPr>
      <w:rFonts w:ascii="Times New Roman" w:eastAsia="Batang" w:hAnsi="Times New Roman"/>
      <w:sz w:val="17"/>
      <w:lang w:val="en-US" w:eastAsia="es-AR"/>
    </w:rPr>
  </w:style>
  <w:style w:type="paragraph" w:customStyle="1" w:styleId="OldHeading2">
    <w:name w:val="Old Heading 2"/>
    <w:basedOn w:val="Normal"/>
    <w:rsid w:val="002831AB"/>
    <w:pPr>
      <w:keepNext/>
      <w:widowControl w:val="0"/>
      <w:tabs>
        <w:tab w:val="left" w:pos="720"/>
      </w:tabs>
      <w:autoSpaceDE w:val="0"/>
      <w:autoSpaceDN w:val="0"/>
      <w:adjustRightInd w:val="0"/>
      <w:spacing w:after="240"/>
      <w:outlineLvl w:val="1"/>
    </w:pPr>
    <w:rPr>
      <w:rFonts w:ascii="Times New Roman" w:eastAsia="Batang" w:hAnsi="Times New Roman"/>
      <w:b/>
      <w:bCs/>
      <w:szCs w:val="28"/>
      <w:lang w:val="en-US" w:eastAsia="es-AR"/>
    </w:rPr>
  </w:style>
  <w:style w:type="paragraph" w:customStyle="1" w:styleId="TableBullet">
    <w:name w:val="Table Bullet"/>
    <w:basedOn w:val="Normal"/>
    <w:rsid w:val="002831AB"/>
    <w:pPr>
      <w:widowControl w:val="0"/>
      <w:tabs>
        <w:tab w:val="left" w:pos="720"/>
        <w:tab w:val="num" w:pos="1080"/>
      </w:tabs>
      <w:autoSpaceDE w:val="0"/>
      <w:autoSpaceDN w:val="0"/>
      <w:adjustRightInd w:val="0"/>
      <w:spacing w:after="120"/>
      <w:ind w:left="1080" w:hanging="360"/>
    </w:pPr>
    <w:rPr>
      <w:rFonts w:ascii="Times New Roman" w:eastAsia="Batang" w:hAnsi="Times New Roman"/>
      <w:sz w:val="16"/>
      <w:lang w:val="en-US" w:eastAsia="es-AR"/>
    </w:rPr>
  </w:style>
  <w:style w:type="paragraph" w:customStyle="1" w:styleId="TableBullet2">
    <w:name w:val="Table Bullet 2"/>
    <w:basedOn w:val="Normal"/>
    <w:rsid w:val="002831AB"/>
    <w:pPr>
      <w:widowControl w:val="0"/>
      <w:tabs>
        <w:tab w:val="num" w:pos="720"/>
      </w:tabs>
      <w:autoSpaceDE w:val="0"/>
      <w:autoSpaceDN w:val="0"/>
      <w:adjustRightInd w:val="0"/>
      <w:spacing w:after="200"/>
      <w:ind w:left="360"/>
    </w:pPr>
    <w:rPr>
      <w:rFonts w:ascii="Times New Roman" w:eastAsia="Batang" w:hAnsi="Times New Roman"/>
      <w:lang w:val="en-US" w:eastAsia="es-AR"/>
    </w:rPr>
  </w:style>
  <w:style w:type="paragraph" w:customStyle="1" w:styleId="Hdg">
    <w:name w:val="Hdg"/>
    <w:basedOn w:val="Normal"/>
    <w:rsid w:val="002831AB"/>
    <w:pPr>
      <w:widowControl w:val="0"/>
      <w:tabs>
        <w:tab w:val="left" w:pos="0"/>
        <w:tab w:val="left" w:pos="720"/>
      </w:tabs>
      <w:suppressAutoHyphens/>
      <w:autoSpaceDE w:val="0"/>
      <w:autoSpaceDN w:val="0"/>
      <w:adjustRightInd w:val="0"/>
      <w:spacing w:after="240" w:line="240" w:lineRule="atLeast"/>
      <w:jc w:val="center"/>
    </w:pPr>
    <w:rPr>
      <w:rFonts w:ascii="Times New Roman" w:eastAsia="Batang" w:hAnsi="Times New Roman"/>
      <w:b/>
      <w:bCs/>
      <w:smallCaps/>
      <w:color w:val="000000"/>
      <w:lang w:val="en-US" w:eastAsia="es-AR"/>
    </w:rPr>
  </w:style>
  <w:style w:type="character" w:customStyle="1" w:styleId="Table10points">
    <w:name w:val="Table 10 points"/>
    <w:rsid w:val="002831AB"/>
    <w:rPr>
      <w:sz w:val="20"/>
    </w:rPr>
  </w:style>
  <w:style w:type="paragraph" w:customStyle="1" w:styleId="FlushRightB">
    <w:name w:val="Flush Right B"/>
    <w:basedOn w:val="Normal"/>
    <w:rsid w:val="002831AB"/>
    <w:pPr>
      <w:widowControl w:val="0"/>
      <w:tabs>
        <w:tab w:val="left" w:pos="0"/>
        <w:tab w:val="left" w:pos="720"/>
      </w:tabs>
      <w:suppressAutoHyphens/>
      <w:autoSpaceDE w:val="0"/>
      <w:autoSpaceDN w:val="0"/>
      <w:adjustRightInd w:val="0"/>
      <w:spacing w:after="159" w:line="240" w:lineRule="atLeast"/>
      <w:jc w:val="right"/>
    </w:pPr>
    <w:rPr>
      <w:rFonts w:ascii="Times New Roman" w:eastAsia="Batang" w:hAnsi="Times New Roman"/>
      <w:b/>
      <w:bCs/>
      <w:color w:val="000000"/>
      <w:lang w:val="en-US" w:eastAsia="es-AR"/>
    </w:rPr>
  </w:style>
  <w:style w:type="paragraph" w:customStyle="1" w:styleId="FlushRightB2">
    <w:name w:val="Flush Right B2"/>
    <w:basedOn w:val="Normal"/>
    <w:rsid w:val="002831AB"/>
    <w:pPr>
      <w:widowControl w:val="0"/>
      <w:tabs>
        <w:tab w:val="left" w:pos="720"/>
      </w:tabs>
      <w:suppressAutoHyphens/>
      <w:autoSpaceDE w:val="0"/>
      <w:autoSpaceDN w:val="0"/>
      <w:adjustRightInd w:val="0"/>
      <w:spacing w:line="240" w:lineRule="atLeast"/>
      <w:jc w:val="right"/>
    </w:pPr>
    <w:rPr>
      <w:rFonts w:ascii="Times New Roman" w:eastAsia="Batang" w:hAnsi="Times New Roman"/>
      <w:b/>
      <w:bCs/>
      <w:lang w:val="en-US" w:eastAsia="es-AR"/>
    </w:rPr>
  </w:style>
  <w:style w:type="paragraph" w:customStyle="1" w:styleId="CenteredB16">
    <w:name w:val="Centered B16"/>
    <w:basedOn w:val="Normal"/>
    <w:rsid w:val="002831AB"/>
    <w:pPr>
      <w:framePr w:w="9300" w:wrap="auto" w:vAnchor="text" w:hAnchor="margin" w:x="31" w:y="1"/>
      <w:widowControl w:val="0"/>
      <w:pBdr>
        <w:top w:val="double" w:sz="6" w:space="0" w:color="auto"/>
        <w:bottom w:val="single" w:sz="2" w:space="0" w:color="FFFFFF"/>
      </w:pBdr>
      <w:tabs>
        <w:tab w:val="left" w:pos="-720"/>
        <w:tab w:val="left" w:pos="720"/>
      </w:tabs>
      <w:suppressAutoHyphens/>
      <w:autoSpaceDE w:val="0"/>
      <w:autoSpaceDN w:val="0"/>
      <w:adjustRightInd w:val="0"/>
      <w:spacing w:line="240" w:lineRule="atLeast"/>
      <w:jc w:val="center"/>
    </w:pPr>
    <w:rPr>
      <w:rFonts w:ascii="Times New Roman" w:eastAsia="Batang" w:hAnsi="Times New Roman"/>
      <w:b/>
      <w:bCs/>
      <w:sz w:val="32"/>
      <w:szCs w:val="32"/>
      <w:lang w:val="en-US" w:eastAsia="es-AR"/>
    </w:rPr>
  </w:style>
  <w:style w:type="paragraph" w:customStyle="1" w:styleId="CenteredB14">
    <w:name w:val="Centered B 14"/>
    <w:basedOn w:val="Normal"/>
    <w:rsid w:val="002831AB"/>
    <w:pPr>
      <w:widowControl w:val="0"/>
      <w:tabs>
        <w:tab w:val="left" w:pos="720"/>
      </w:tabs>
      <w:suppressAutoHyphens/>
      <w:autoSpaceDE w:val="0"/>
      <w:autoSpaceDN w:val="0"/>
      <w:adjustRightInd w:val="0"/>
      <w:spacing w:after="158" w:line="240" w:lineRule="atLeast"/>
      <w:jc w:val="center"/>
    </w:pPr>
    <w:rPr>
      <w:rFonts w:ascii="Times New Roman" w:eastAsia="Batang" w:hAnsi="Times New Roman"/>
      <w:b/>
      <w:bCs/>
      <w:sz w:val="28"/>
      <w:szCs w:val="28"/>
      <w:lang w:val="en-US" w:eastAsia="es-AR"/>
    </w:rPr>
  </w:style>
  <w:style w:type="paragraph" w:customStyle="1" w:styleId="List4b">
    <w:name w:val="List 4b"/>
    <w:basedOn w:val="Lista4"/>
    <w:rsid w:val="002831AB"/>
    <w:pPr>
      <w:widowControl w:val="0"/>
      <w:tabs>
        <w:tab w:val="left" w:pos="720"/>
      </w:tabs>
      <w:autoSpaceDE w:val="0"/>
      <w:autoSpaceDN w:val="0"/>
      <w:adjustRightInd w:val="0"/>
      <w:spacing w:after="240"/>
      <w:ind w:hanging="720"/>
    </w:pPr>
    <w:rPr>
      <w:rFonts w:eastAsia="Batang"/>
      <w:szCs w:val="20"/>
    </w:rPr>
  </w:style>
  <w:style w:type="paragraph" w:customStyle="1" w:styleId="OldHeading1">
    <w:name w:val="Old Heading 1"/>
    <w:basedOn w:val="Normal"/>
    <w:rsid w:val="002831AB"/>
    <w:pPr>
      <w:keepNext/>
      <w:keepLines/>
      <w:widowControl w:val="0"/>
      <w:tabs>
        <w:tab w:val="left" w:pos="0"/>
        <w:tab w:val="left" w:pos="720"/>
      </w:tabs>
      <w:suppressAutoHyphens/>
      <w:autoSpaceDE w:val="0"/>
      <w:autoSpaceDN w:val="0"/>
      <w:adjustRightInd w:val="0"/>
      <w:spacing w:after="240" w:line="240" w:lineRule="atLeast"/>
      <w:jc w:val="center"/>
    </w:pPr>
    <w:rPr>
      <w:rFonts w:ascii="Times New Roman" w:eastAsia="Batang" w:hAnsi="Times New Roman"/>
      <w:b/>
      <w:bCs/>
      <w:color w:val="000000"/>
      <w:sz w:val="18"/>
      <w:szCs w:val="18"/>
      <w:lang w:val="en-US" w:eastAsia="es-AR"/>
    </w:rPr>
  </w:style>
  <w:style w:type="paragraph" w:customStyle="1" w:styleId="center8">
    <w:name w:val="center8"/>
    <w:basedOn w:val="Normal"/>
    <w:rsid w:val="002831AB"/>
    <w:pPr>
      <w:widowControl w:val="0"/>
      <w:tabs>
        <w:tab w:val="left" w:pos="720"/>
      </w:tabs>
      <w:suppressAutoHyphens/>
      <w:autoSpaceDE w:val="0"/>
      <w:autoSpaceDN w:val="0"/>
      <w:adjustRightInd w:val="0"/>
      <w:spacing w:after="120" w:line="240" w:lineRule="atLeast"/>
      <w:jc w:val="center"/>
    </w:pPr>
    <w:rPr>
      <w:rFonts w:ascii="Times New Roman" w:eastAsia="Batang" w:hAnsi="Times New Roman"/>
      <w:sz w:val="16"/>
      <w:szCs w:val="16"/>
      <w:lang w:val="en-US" w:eastAsia="es-AR"/>
    </w:rPr>
  </w:style>
  <w:style w:type="paragraph" w:customStyle="1" w:styleId="LeftBoldItal">
    <w:name w:val="Left Bold Ital"/>
    <w:basedOn w:val="Normal"/>
    <w:rsid w:val="002831AB"/>
    <w:pPr>
      <w:widowControl w:val="0"/>
      <w:tabs>
        <w:tab w:val="left" w:pos="720"/>
      </w:tabs>
      <w:autoSpaceDE w:val="0"/>
      <w:autoSpaceDN w:val="0"/>
      <w:adjustRightInd w:val="0"/>
      <w:spacing w:after="200"/>
    </w:pPr>
    <w:rPr>
      <w:rFonts w:ascii="Times New Roman Bold" w:eastAsia="Batang" w:hAnsi="Times New Roman Bold"/>
      <w:b/>
      <w:i/>
      <w:lang w:val="en-US" w:eastAsia="es-AR"/>
    </w:rPr>
  </w:style>
  <w:style w:type="paragraph" w:customStyle="1" w:styleId="List10">
    <w:name w:val="List (1)"/>
    <w:basedOn w:val="Normal"/>
    <w:rsid w:val="002831AB"/>
    <w:pPr>
      <w:widowControl w:val="0"/>
      <w:tabs>
        <w:tab w:val="left" w:pos="720"/>
      </w:tabs>
      <w:suppressAutoHyphens/>
      <w:autoSpaceDE w:val="0"/>
      <w:autoSpaceDN w:val="0"/>
      <w:adjustRightInd w:val="0"/>
      <w:spacing w:after="200"/>
      <w:ind w:left="720" w:firstLine="720"/>
    </w:pPr>
    <w:rPr>
      <w:rFonts w:ascii="Times New Roman" w:eastAsia="Batang" w:hAnsi="Times New Roman"/>
      <w:color w:val="000000"/>
      <w:lang w:val="en-US" w:eastAsia="es-AR"/>
    </w:rPr>
  </w:style>
  <w:style w:type="paragraph" w:customStyle="1" w:styleId="Sample">
    <w:name w:val="Sample"/>
    <w:basedOn w:val="Normal"/>
    <w:rsid w:val="002831AB"/>
    <w:pPr>
      <w:widowControl w:val="0"/>
      <w:tabs>
        <w:tab w:val="left" w:pos="720"/>
        <w:tab w:val="left" w:pos="4600"/>
      </w:tabs>
      <w:suppressAutoHyphens/>
      <w:autoSpaceDE w:val="0"/>
      <w:autoSpaceDN w:val="0"/>
      <w:adjustRightInd w:val="0"/>
      <w:spacing w:after="240" w:line="240" w:lineRule="atLeast"/>
    </w:pPr>
    <w:rPr>
      <w:rFonts w:ascii="Times New Roman" w:eastAsia="Batang" w:hAnsi="Times New Roman"/>
      <w:color w:val="000000"/>
      <w:lang w:val="en-US" w:eastAsia="es-AR"/>
    </w:rPr>
  </w:style>
  <w:style w:type="paragraph" w:customStyle="1" w:styleId="Indent4">
    <w:name w:val="Indent4"/>
    <w:basedOn w:val="Normal"/>
    <w:rsid w:val="002831AB"/>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autoSpaceDE w:val="0"/>
      <w:autoSpaceDN w:val="0"/>
      <w:adjustRightInd w:val="0"/>
      <w:spacing w:after="200"/>
      <w:ind w:left="5760"/>
    </w:pPr>
    <w:rPr>
      <w:rFonts w:ascii="Times New Roman Bold" w:eastAsia="Batang" w:hAnsi="Times New Roman Bold"/>
      <w:b/>
      <w:bCs/>
      <w:color w:val="000000"/>
      <w:lang w:val="en-US" w:eastAsia="es-AR"/>
    </w:rPr>
  </w:style>
  <w:style w:type="paragraph" w:customStyle="1" w:styleId="ListNum1">
    <w:name w:val="List Num 1."/>
    <w:basedOn w:val="Normal"/>
    <w:rsid w:val="002831AB"/>
    <w:pPr>
      <w:widowControl w:val="0"/>
      <w:tabs>
        <w:tab w:val="num" w:pos="720"/>
      </w:tabs>
      <w:suppressAutoHyphens/>
      <w:autoSpaceDE w:val="0"/>
      <w:autoSpaceDN w:val="0"/>
      <w:adjustRightInd w:val="0"/>
      <w:spacing w:after="240" w:line="240" w:lineRule="atLeast"/>
      <w:ind w:left="720" w:hanging="720"/>
    </w:pPr>
    <w:rPr>
      <w:rFonts w:ascii="Times New Roman" w:eastAsia="Batang" w:hAnsi="Times New Roman"/>
      <w:color w:val="000000"/>
      <w:lang w:val="en-US" w:eastAsia="es-AR"/>
    </w:rPr>
  </w:style>
  <w:style w:type="paragraph" w:customStyle="1" w:styleId="HangMargin">
    <w:name w:val="Hang Margin"/>
    <w:basedOn w:val="Normal"/>
    <w:rsid w:val="002831AB"/>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autoSpaceDE w:val="0"/>
      <w:autoSpaceDN w:val="0"/>
      <w:adjustRightInd w:val="0"/>
      <w:spacing w:line="240" w:lineRule="atLeast"/>
      <w:ind w:left="720" w:hanging="720"/>
    </w:pPr>
    <w:rPr>
      <w:rFonts w:ascii="Times New Roman" w:eastAsia="Batang" w:hAnsi="Times New Roman"/>
      <w:color w:val="000000"/>
      <w:lang w:val="en-US" w:eastAsia="es-AR"/>
    </w:rPr>
  </w:style>
  <w:style w:type="paragraph" w:customStyle="1" w:styleId="Indenta">
    <w:name w:val="Indent (a)"/>
    <w:basedOn w:val="Normal"/>
    <w:rsid w:val="002831AB"/>
    <w:pPr>
      <w:keepLines/>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autoSpaceDE w:val="0"/>
      <w:autoSpaceDN w:val="0"/>
      <w:adjustRightInd w:val="0"/>
      <w:spacing w:after="200"/>
      <w:ind w:left="720"/>
    </w:pPr>
    <w:rPr>
      <w:rFonts w:ascii="Times New Roman" w:eastAsia="Batang" w:hAnsi="Times New Roman"/>
      <w:color w:val="000000"/>
      <w:lang w:val="en-US" w:eastAsia="es-AR"/>
    </w:rPr>
  </w:style>
  <w:style w:type="character" w:customStyle="1" w:styleId="Table8points">
    <w:name w:val="Table 8 points"/>
    <w:rsid w:val="002831AB"/>
    <w:rPr>
      <w:rFonts w:ascii="Times New Roman" w:hAnsi="Times New Roman"/>
      <w:spacing w:val="0"/>
      <w:sz w:val="18"/>
    </w:rPr>
  </w:style>
  <w:style w:type="paragraph" w:customStyle="1" w:styleId="Page0">
    <w:name w:val="Page"/>
    <w:basedOn w:val="Normal"/>
    <w:rsid w:val="002831AB"/>
    <w:pPr>
      <w:widowControl w:val="0"/>
      <w:tabs>
        <w:tab w:val="left" w:pos="720"/>
      </w:tabs>
      <w:autoSpaceDE w:val="0"/>
      <w:autoSpaceDN w:val="0"/>
      <w:adjustRightInd w:val="0"/>
    </w:pPr>
    <w:rPr>
      <w:rFonts w:ascii="Times New Roman" w:eastAsia="Batang" w:hAnsi="Times New Roman"/>
      <w:lang w:val="en-US" w:eastAsia="es-AR"/>
    </w:rPr>
  </w:style>
  <w:style w:type="paragraph" w:customStyle="1" w:styleId="CPTablePara">
    <w:name w:val="CPTablePara"/>
    <w:basedOn w:val="CPTableText"/>
    <w:rsid w:val="002831AB"/>
    <w:pPr>
      <w:tabs>
        <w:tab w:val="clear" w:pos="567"/>
        <w:tab w:val="left" w:pos="720"/>
      </w:tabs>
      <w:spacing w:after="60" w:line="240" w:lineRule="auto"/>
      <w:ind w:firstLine="720"/>
      <w:jc w:val="left"/>
    </w:pPr>
    <w:rPr>
      <w:rFonts w:eastAsia="Batang"/>
      <w:sz w:val="16"/>
      <w:szCs w:val="20"/>
      <w:lang w:eastAsia="en-US"/>
    </w:rPr>
  </w:style>
  <w:style w:type="paragraph" w:customStyle="1" w:styleId="25hanging">
    <w:name w:val=".25 hanging"/>
    <w:basedOn w:val="Normal"/>
    <w:rsid w:val="002831AB"/>
    <w:pPr>
      <w:tabs>
        <w:tab w:val="left" w:pos="720"/>
        <w:tab w:val="num" w:pos="1440"/>
      </w:tabs>
      <w:autoSpaceDE w:val="0"/>
      <w:autoSpaceDN w:val="0"/>
      <w:adjustRightInd w:val="0"/>
      <w:spacing w:after="240"/>
      <w:ind w:left="1440" w:hanging="720"/>
    </w:pPr>
    <w:rPr>
      <w:rFonts w:ascii="Times New Roman" w:eastAsia="Batang" w:hAnsi="Times New Roman"/>
      <w:lang w:val="en-US" w:eastAsia="es-AR"/>
    </w:rPr>
  </w:style>
  <w:style w:type="paragraph" w:customStyle="1" w:styleId="SECBoldItalicTitle">
    <w:name w:val="SEC Bold Italic Title"/>
    <w:basedOn w:val="Normal"/>
    <w:next w:val="Normal"/>
    <w:rsid w:val="002831AB"/>
    <w:pPr>
      <w:keepNext/>
      <w:keepLines/>
      <w:tabs>
        <w:tab w:val="left" w:pos="720"/>
      </w:tabs>
      <w:autoSpaceDE w:val="0"/>
      <w:autoSpaceDN w:val="0"/>
      <w:adjustRightInd w:val="0"/>
      <w:spacing w:after="120" w:line="200" w:lineRule="exact"/>
    </w:pPr>
    <w:rPr>
      <w:rFonts w:ascii="Times New Roman" w:eastAsia="Batang" w:hAnsi="Times New Roman"/>
      <w:b/>
      <w:i/>
      <w:lang w:val="en-US" w:eastAsia="es-AR"/>
    </w:rPr>
  </w:style>
  <w:style w:type="paragraph" w:customStyle="1" w:styleId="SECBodyText">
    <w:name w:val="SEC Body Text"/>
    <w:basedOn w:val="Normal"/>
    <w:rsid w:val="002831AB"/>
    <w:pPr>
      <w:tabs>
        <w:tab w:val="left" w:pos="720"/>
      </w:tabs>
      <w:autoSpaceDE w:val="0"/>
      <w:autoSpaceDN w:val="0"/>
      <w:adjustRightInd w:val="0"/>
      <w:spacing w:after="200"/>
      <w:ind w:firstLine="360"/>
    </w:pPr>
    <w:rPr>
      <w:rFonts w:ascii="Times New Roman" w:eastAsia="Batang" w:hAnsi="Times New Roman"/>
      <w:lang w:val="en-US" w:eastAsia="es-AR"/>
    </w:rPr>
  </w:style>
  <w:style w:type="paragraph" w:customStyle="1" w:styleId="italbold">
    <w:name w:val="italbold"/>
    <w:basedOn w:val="Normal"/>
    <w:rsid w:val="002831AB"/>
    <w:pPr>
      <w:keepNext/>
      <w:tabs>
        <w:tab w:val="left" w:pos="720"/>
      </w:tabs>
      <w:autoSpaceDE w:val="0"/>
      <w:autoSpaceDN w:val="0"/>
      <w:adjustRightInd w:val="0"/>
      <w:spacing w:after="240"/>
    </w:pPr>
    <w:rPr>
      <w:rFonts w:ascii="Times New Roman" w:eastAsia="Batang" w:hAnsi="Times New Roman"/>
      <w:b/>
      <w:bCs/>
      <w:i/>
      <w:lang w:val="en-US" w:eastAsia="es-AR"/>
    </w:rPr>
  </w:style>
  <w:style w:type="character" w:customStyle="1" w:styleId="italboldChar">
    <w:name w:val="italbold Char"/>
    <w:rsid w:val="002831AB"/>
    <w:rPr>
      <w:b/>
      <w:i/>
      <w:lang w:val="en-US" w:eastAsia="en-US"/>
    </w:rPr>
  </w:style>
  <w:style w:type="paragraph" w:customStyle="1" w:styleId="BodyTextBold0">
    <w:name w:val="Body Text Bold"/>
    <w:basedOn w:val="Normal"/>
    <w:rsid w:val="002831AB"/>
    <w:pPr>
      <w:keepNext/>
      <w:tabs>
        <w:tab w:val="left" w:pos="720"/>
      </w:tabs>
      <w:autoSpaceDE w:val="0"/>
      <w:autoSpaceDN w:val="0"/>
      <w:adjustRightInd w:val="0"/>
      <w:spacing w:after="160"/>
    </w:pPr>
    <w:rPr>
      <w:rFonts w:ascii="Frutiger LT 45 Light" w:eastAsia="Batang" w:hAnsi="Frutiger LT 45 Light"/>
      <w:b/>
      <w:lang w:val="en-US" w:eastAsia="es-AR"/>
    </w:rPr>
  </w:style>
  <w:style w:type="paragraph" w:customStyle="1" w:styleId="TABLE8PT2">
    <w:name w:val="TABLE8PT"/>
    <w:basedOn w:val="Normal"/>
    <w:rsid w:val="002831AB"/>
    <w:pPr>
      <w:tabs>
        <w:tab w:val="left" w:pos="720"/>
      </w:tabs>
      <w:autoSpaceDE w:val="0"/>
      <w:autoSpaceDN w:val="0"/>
      <w:adjustRightInd w:val="0"/>
    </w:pPr>
    <w:rPr>
      <w:rFonts w:ascii="Times New Roman" w:eastAsia="Batang" w:hAnsi="Times New Roman"/>
      <w:sz w:val="16"/>
      <w:lang w:val="en-US" w:eastAsia="es-AR"/>
    </w:rPr>
  </w:style>
  <w:style w:type="character" w:customStyle="1" w:styleId="Body25indentChar">
    <w:name w:val="Body .25 indent Char"/>
    <w:rsid w:val="002831AB"/>
    <w:rPr>
      <w:rFonts w:eastAsia="SimSun"/>
      <w:sz w:val="24"/>
      <w:lang w:val="en-US" w:eastAsia="zh-CN"/>
    </w:rPr>
  </w:style>
  <w:style w:type="paragraph" w:customStyle="1" w:styleId="Body25indent">
    <w:name w:val="Body .25 indent"/>
    <w:basedOn w:val="Normal"/>
    <w:rsid w:val="002831AB"/>
    <w:pPr>
      <w:tabs>
        <w:tab w:val="left" w:pos="720"/>
      </w:tabs>
      <w:autoSpaceDE w:val="0"/>
      <w:autoSpaceDN w:val="0"/>
      <w:adjustRightInd w:val="0"/>
      <w:spacing w:after="240"/>
      <w:ind w:firstLine="360"/>
    </w:pPr>
    <w:rPr>
      <w:rFonts w:ascii="Times New Roman" w:eastAsia="SimSun" w:hAnsi="Times New Roman"/>
      <w:lang w:val="en-US" w:eastAsia="zh-CN" w:bidi="he-IL"/>
    </w:rPr>
  </w:style>
  <w:style w:type="paragraph" w:customStyle="1" w:styleId="CarCar4CharCharCarCar1">
    <w:name w:val="Car Car4 Char Char Car Car1"/>
    <w:basedOn w:val="Normal"/>
    <w:rsid w:val="002831AB"/>
    <w:pPr>
      <w:tabs>
        <w:tab w:val="left" w:pos="720"/>
      </w:tabs>
      <w:autoSpaceDE w:val="0"/>
      <w:autoSpaceDN w:val="0"/>
      <w:adjustRightInd w:val="0"/>
      <w:spacing w:after="160" w:line="240" w:lineRule="exact"/>
    </w:pPr>
    <w:rPr>
      <w:rFonts w:ascii="Verdana" w:eastAsia="Batang" w:hAnsi="Verdana"/>
      <w:lang w:val="en-US" w:eastAsia="es-AR"/>
    </w:rPr>
  </w:style>
  <w:style w:type="paragraph" w:customStyle="1" w:styleId="titleboldital0">
    <w:name w:val="titleboldital"/>
    <w:basedOn w:val="Normal"/>
    <w:rsid w:val="002831AB"/>
    <w:pPr>
      <w:keepNext/>
      <w:tabs>
        <w:tab w:val="left" w:pos="720"/>
      </w:tabs>
      <w:autoSpaceDE w:val="0"/>
      <w:autoSpaceDN w:val="0"/>
      <w:adjustRightInd w:val="0"/>
      <w:spacing w:after="200"/>
      <w:ind w:firstLine="720"/>
    </w:pPr>
    <w:rPr>
      <w:rFonts w:ascii="Times New Roman Bold" w:eastAsia="Batang" w:hAnsi="Times New Roman Bold"/>
      <w:b/>
      <w:bCs/>
      <w:i/>
      <w:iCs/>
      <w:lang w:val="en-US" w:eastAsia="es-AR"/>
    </w:rPr>
  </w:style>
  <w:style w:type="paragraph" w:customStyle="1" w:styleId="16pts">
    <w:name w:val="16pts"/>
    <w:basedOn w:val="Normal"/>
    <w:rsid w:val="002831AB"/>
    <w:pPr>
      <w:tabs>
        <w:tab w:val="left" w:pos="720"/>
      </w:tabs>
      <w:autoSpaceDE w:val="0"/>
      <w:autoSpaceDN w:val="0"/>
      <w:adjustRightInd w:val="0"/>
      <w:spacing w:line="384" w:lineRule="exact"/>
      <w:jc w:val="center"/>
    </w:pPr>
    <w:rPr>
      <w:rFonts w:ascii="Times New Roman" w:eastAsia="Batang" w:hAnsi="Times New Roman"/>
      <w:b/>
      <w:bCs/>
      <w:sz w:val="32"/>
      <w:szCs w:val="32"/>
      <w:lang w:val="en-US" w:eastAsia="es-AR"/>
    </w:rPr>
  </w:style>
  <w:style w:type="paragraph" w:customStyle="1" w:styleId="ctrnospace">
    <w:name w:val="ctr no space"/>
    <w:basedOn w:val="Normal"/>
    <w:rsid w:val="002831AB"/>
    <w:pPr>
      <w:tabs>
        <w:tab w:val="left" w:pos="720"/>
      </w:tabs>
      <w:autoSpaceDE w:val="0"/>
      <w:autoSpaceDN w:val="0"/>
      <w:adjustRightInd w:val="0"/>
      <w:jc w:val="center"/>
    </w:pPr>
    <w:rPr>
      <w:rFonts w:ascii="Times New Roman" w:eastAsia="Batang" w:hAnsi="Times New Roman"/>
      <w:sz w:val="22"/>
      <w:lang w:val="en-US" w:eastAsia="es-AR"/>
    </w:rPr>
  </w:style>
  <w:style w:type="character" w:customStyle="1" w:styleId="8PTS">
    <w:name w:val="8PTS"/>
    <w:rsid w:val="002831AB"/>
    <w:rPr>
      <w:rFonts w:ascii="Times New Roman" w:hAnsi="Times New Roman"/>
      <w:sz w:val="16"/>
    </w:rPr>
  </w:style>
  <w:style w:type="paragraph" w:customStyle="1" w:styleId="block">
    <w:name w:val="block"/>
    <w:basedOn w:val="Normal"/>
    <w:rsid w:val="002831AB"/>
    <w:pPr>
      <w:tabs>
        <w:tab w:val="left" w:pos="720"/>
      </w:tabs>
      <w:autoSpaceDE w:val="0"/>
      <w:autoSpaceDN w:val="0"/>
      <w:adjustRightInd w:val="0"/>
      <w:ind w:left="600" w:hanging="600"/>
    </w:pPr>
    <w:rPr>
      <w:rFonts w:ascii="Times New Roman" w:eastAsia="Batang" w:hAnsi="Times New Roman"/>
      <w:lang w:val="en-US" w:eastAsia="es-AR"/>
    </w:rPr>
  </w:style>
  <w:style w:type="character" w:customStyle="1" w:styleId="Table10pt2">
    <w:name w:val="Table10pt"/>
    <w:rsid w:val="002831AB"/>
    <w:rPr>
      <w:rFonts w:ascii="Times New Roman" w:hAnsi="Times New Roman"/>
      <w:sz w:val="20"/>
    </w:rPr>
  </w:style>
  <w:style w:type="paragraph" w:customStyle="1" w:styleId="rightalign0">
    <w:name w:val="right align"/>
    <w:basedOn w:val="Normal"/>
    <w:rsid w:val="002831AB"/>
    <w:pPr>
      <w:tabs>
        <w:tab w:val="left" w:pos="720"/>
      </w:tabs>
      <w:autoSpaceDE w:val="0"/>
      <w:autoSpaceDN w:val="0"/>
      <w:adjustRightInd w:val="0"/>
    </w:pPr>
    <w:rPr>
      <w:rFonts w:ascii="Times New Roman" w:eastAsia="Batang" w:hAnsi="Times New Roman"/>
      <w:b/>
      <w:bCs/>
      <w:sz w:val="22"/>
      <w:szCs w:val="22"/>
      <w:lang w:val="en-US" w:eastAsia="es-AR"/>
    </w:rPr>
  </w:style>
  <w:style w:type="paragraph" w:customStyle="1" w:styleId="14PTS">
    <w:name w:val="14PTS"/>
    <w:basedOn w:val="Normal"/>
    <w:rsid w:val="002831AB"/>
    <w:pPr>
      <w:tabs>
        <w:tab w:val="left" w:pos="720"/>
      </w:tabs>
      <w:autoSpaceDE w:val="0"/>
      <w:autoSpaceDN w:val="0"/>
      <w:adjustRightInd w:val="0"/>
      <w:jc w:val="center"/>
    </w:pPr>
    <w:rPr>
      <w:rFonts w:ascii="Times New Roman" w:eastAsia="Batang" w:hAnsi="Times New Roman"/>
      <w:sz w:val="28"/>
      <w:szCs w:val="28"/>
      <w:lang w:val="en-US" w:eastAsia="es-AR"/>
    </w:rPr>
  </w:style>
  <w:style w:type="paragraph" w:customStyle="1" w:styleId="coverpara">
    <w:name w:val="cover para"/>
    <w:basedOn w:val="Normal"/>
    <w:rsid w:val="002831AB"/>
    <w:pPr>
      <w:tabs>
        <w:tab w:val="left" w:pos="720"/>
      </w:tabs>
      <w:autoSpaceDE w:val="0"/>
      <w:autoSpaceDN w:val="0"/>
      <w:adjustRightInd w:val="0"/>
      <w:ind w:firstLine="360"/>
    </w:pPr>
    <w:rPr>
      <w:rFonts w:ascii="Times New Roman" w:eastAsia="Batang" w:hAnsi="Times New Roman"/>
      <w:sz w:val="18"/>
      <w:szCs w:val="18"/>
      <w:lang w:val="en-US" w:eastAsia="es-AR"/>
    </w:rPr>
  </w:style>
  <w:style w:type="paragraph" w:customStyle="1" w:styleId="ctr10">
    <w:name w:val="ctr 10"/>
    <w:basedOn w:val="Normal"/>
    <w:rsid w:val="002831AB"/>
    <w:pPr>
      <w:tabs>
        <w:tab w:val="left" w:pos="720"/>
      </w:tabs>
      <w:autoSpaceDE w:val="0"/>
      <w:autoSpaceDN w:val="0"/>
      <w:adjustRightInd w:val="0"/>
      <w:jc w:val="center"/>
    </w:pPr>
    <w:rPr>
      <w:rFonts w:ascii="Times New Roman" w:eastAsia="Batang" w:hAnsi="Times New Roman"/>
      <w:lang w:val="en-US" w:eastAsia="es-AR"/>
    </w:rPr>
  </w:style>
  <w:style w:type="paragraph" w:customStyle="1" w:styleId="boldmargin">
    <w:name w:val="bold margin"/>
    <w:basedOn w:val="Normal"/>
    <w:rsid w:val="002831AB"/>
    <w:pPr>
      <w:tabs>
        <w:tab w:val="left" w:pos="720"/>
      </w:tabs>
      <w:autoSpaceDE w:val="0"/>
      <w:autoSpaceDN w:val="0"/>
      <w:adjustRightInd w:val="0"/>
      <w:spacing w:after="180"/>
      <w:jc w:val="both"/>
    </w:pPr>
    <w:rPr>
      <w:rFonts w:ascii="Times New Roman" w:eastAsia="Batang" w:hAnsi="Times New Roman"/>
      <w:b/>
      <w:bCs/>
      <w:lang w:val="en-US" w:eastAsia="es-AR"/>
    </w:rPr>
  </w:style>
  <w:style w:type="paragraph" w:customStyle="1" w:styleId="part2">
    <w:name w:val="part2"/>
    <w:basedOn w:val="Normal"/>
    <w:rsid w:val="002831AB"/>
    <w:pPr>
      <w:tabs>
        <w:tab w:val="left" w:pos="720"/>
      </w:tabs>
      <w:autoSpaceDE w:val="0"/>
      <w:autoSpaceDN w:val="0"/>
      <w:adjustRightInd w:val="0"/>
      <w:spacing w:after="180"/>
      <w:ind w:left="1080" w:hanging="634"/>
    </w:pPr>
    <w:rPr>
      <w:rFonts w:ascii="Times New Roman" w:eastAsia="Batang" w:hAnsi="Times New Roman"/>
      <w:color w:val="000000"/>
      <w:lang w:val="en-US" w:eastAsia="es-AR"/>
    </w:rPr>
  </w:style>
  <w:style w:type="paragraph" w:customStyle="1" w:styleId="Table8pt3">
    <w:name w:val="Table8pt"/>
    <w:basedOn w:val="Normal"/>
    <w:rsid w:val="002831AB"/>
    <w:pPr>
      <w:tabs>
        <w:tab w:val="left" w:pos="720"/>
      </w:tabs>
      <w:autoSpaceDE w:val="0"/>
      <w:autoSpaceDN w:val="0"/>
      <w:adjustRightInd w:val="0"/>
    </w:pPr>
    <w:rPr>
      <w:rFonts w:ascii="Times New Roman" w:eastAsia="Batang" w:hAnsi="Times New Roman"/>
      <w:sz w:val="16"/>
      <w:szCs w:val="16"/>
      <w:lang w:val="en-US" w:eastAsia="es-AR"/>
    </w:rPr>
  </w:style>
  <w:style w:type="paragraph" w:customStyle="1" w:styleId="Tableline2">
    <w:name w:val="Table line"/>
    <w:basedOn w:val="Normal"/>
    <w:rsid w:val="002831AB"/>
    <w:pPr>
      <w:pBdr>
        <w:bottom w:val="single" w:sz="4" w:space="1" w:color="auto"/>
      </w:pBdr>
      <w:tabs>
        <w:tab w:val="left" w:pos="720"/>
      </w:tabs>
      <w:autoSpaceDE w:val="0"/>
      <w:autoSpaceDN w:val="0"/>
      <w:adjustRightInd w:val="0"/>
      <w:spacing w:after="120"/>
      <w:ind w:right="8640"/>
    </w:pPr>
    <w:rPr>
      <w:rFonts w:ascii="Times New Roman" w:eastAsia="Batang" w:hAnsi="Times New Roman"/>
      <w:sz w:val="16"/>
      <w:szCs w:val="16"/>
      <w:lang w:val="en-US" w:eastAsia="es-AR"/>
    </w:rPr>
  </w:style>
  <w:style w:type="paragraph" w:customStyle="1" w:styleId="BodyText8">
    <w:name w:val="Body Text 8"/>
    <w:basedOn w:val="Normal"/>
    <w:rsid w:val="002831AB"/>
    <w:pPr>
      <w:tabs>
        <w:tab w:val="left" w:pos="720"/>
      </w:tabs>
      <w:autoSpaceDE w:val="0"/>
      <w:autoSpaceDN w:val="0"/>
      <w:adjustRightInd w:val="0"/>
      <w:spacing w:after="60"/>
    </w:pPr>
    <w:rPr>
      <w:rFonts w:ascii="Times New Roman" w:eastAsia="Batang" w:hAnsi="Times New Roman"/>
      <w:bCs/>
      <w:sz w:val="16"/>
      <w:lang w:val="en-US" w:eastAsia="es-AR"/>
    </w:rPr>
  </w:style>
  <w:style w:type="character" w:customStyle="1" w:styleId="texto-nota-ampliada1">
    <w:name w:val="texto-nota-ampliada1"/>
    <w:rsid w:val="002831AB"/>
    <w:rPr>
      <w:rFonts w:ascii="Arial" w:hAnsi="Arial"/>
      <w:color w:val="000000"/>
      <w:sz w:val="18"/>
      <w:u w:val="none"/>
      <w:effect w:val="none"/>
    </w:rPr>
  </w:style>
  <w:style w:type="paragraph" w:customStyle="1" w:styleId="BlockText75">
    <w:name w:val="Block Text .75"/>
    <w:basedOn w:val="Listaconnmeros3"/>
    <w:rsid w:val="002831AB"/>
    <w:pPr>
      <w:numPr>
        <w:numId w:val="0"/>
      </w:numPr>
      <w:autoSpaceDE w:val="0"/>
      <w:autoSpaceDN w:val="0"/>
      <w:adjustRightInd w:val="0"/>
      <w:spacing w:after="240"/>
      <w:ind w:left="1080"/>
    </w:pPr>
    <w:rPr>
      <w:rFonts w:eastAsia="Batang"/>
      <w:sz w:val="22"/>
      <w:szCs w:val="20"/>
    </w:rPr>
  </w:style>
  <w:style w:type="paragraph" w:customStyle="1" w:styleId="arrowindent">
    <w:name w:val="arrow indent"/>
    <w:basedOn w:val="Normal"/>
    <w:rsid w:val="002831AB"/>
    <w:pPr>
      <w:tabs>
        <w:tab w:val="left" w:pos="720"/>
        <w:tab w:val="num" w:pos="1440"/>
      </w:tabs>
      <w:autoSpaceDE w:val="0"/>
      <w:autoSpaceDN w:val="0"/>
      <w:adjustRightInd w:val="0"/>
      <w:spacing w:after="240"/>
      <w:ind w:left="1440" w:hanging="360"/>
    </w:pPr>
    <w:rPr>
      <w:rFonts w:ascii="Times New Roman" w:eastAsia="Batang" w:hAnsi="Times New Roman"/>
      <w:sz w:val="22"/>
      <w:szCs w:val="22"/>
      <w:lang w:val="en-US" w:eastAsia="es-AR"/>
    </w:rPr>
  </w:style>
  <w:style w:type="paragraph" w:customStyle="1" w:styleId="Italicsleft">
    <w:name w:val="Italics left"/>
    <w:basedOn w:val="Normal"/>
    <w:rsid w:val="002831AB"/>
    <w:pPr>
      <w:tabs>
        <w:tab w:val="left" w:pos="720"/>
      </w:tabs>
      <w:autoSpaceDE w:val="0"/>
      <w:autoSpaceDN w:val="0"/>
      <w:adjustRightInd w:val="0"/>
      <w:spacing w:after="240"/>
    </w:pPr>
    <w:rPr>
      <w:rFonts w:ascii="Times New Roman" w:eastAsia="Batang" w:hAnsi="Times New Roman"/>
      <w:i/>
      <w:sz w:val="22"/>
      <w:szCs w:val="22"/>
      <w:lang w:val="en-US" w:eastAsia="es-AR"/>
    </w:rPr>
  </w:style>
  <w:style w:type="paragraph" w:customStyle="1" w:styleId="Title5bold">
    <w:name w:val="Title .5 bold"/>
    <w:basedOn w:val="Normal"/>
    <w:rsid w:val="002831AB"/>
    <w:pPr>
      <w:tabs>
        <w:tab w:val="left" w:pos="720"/>
      </w:tabs>
      <w:autoSpaceDE w:val="0"/>
      <w:autoSpaceDN w:val="0"/>
      <w:adjustRightInd w:val="0"/>
      <w:spacing w:after="240"/>
      <w:ind w:left="720"/>
    </w:pPr>
    <w:rPr>
      <w:rFonts w:ascii="Times New Roman" w:eastAsia="Batang" w:hAnsi="Times New Roman"/>
      <w:b/>
      <w:sz w:val="22"/>
      <w:lang w:val="en-US" w:eastAsia="es-AR"/>
    </w:rPr>
  </w:style>
  <w:style w:type="paragraph" w:customStyle="1" w:styleId="left5hanging">
    <w:name w:val="left .5 hanging"/>
    <w:basedOn w:val="Normal"/>
    <w:rsid w:val="002831AB"/>
    <w:pPr>
      <w:tabs>
        <w:tab w:val="left" w:pos="720"/>
      </w:tabs>
      <w:autoSpaceDE w:val="0"/>
      <w:autoSpaceDN w:val="0"/>
      <w:adjustRightInd w:val="0"/>
      <w:spacing w:after="240"/>
      <w:ind w:left="720" w:hanging="720"/>
    </w:pPr>
    <w:rPr>
      <w:rFonts w:ascii="Times New Roman" w:eastAsia="Batang" w:hAnsi="Times New Roman"/>
      <w:sz w:val="22"/>
      <w:lang w:val="en-US" w:eastAsia="es-AR"/>
    </w:rPr>
  </w:style>
  <w:style w:type="paragraph" w:customStyle="1" w:styleId="5Italics">
    <w:name w:val=".5 Italics"/>
    <w:basedOn w:val="Normal"/>
    <w:rsid w:val="002831AB"/>
    <w:pPr>
      <w:tabs>
        <w:tab w:val="left" w:pos="720"/>
      </w:tabs>
      <w:autoSpaceDE w:val="0"/>
      <w:autoSpaceDN w:val="0"/>
      <w:adjustRightInd w:val="0"/>
      <w:spacing w:after="240"/>
      <w:ind w:left="720"/>
    </w:pPr>
    <w:rPr>
      <w:rFonts w:ascii="Times New Roman" w:eastAsia="Batang" w:hAnsi="Times New Roman"/>
      <w:i/>
      <w:sz w:val="22"/>
      <w:lang w:val="en-US" w:eastAsia="es-AR"/>
    </w:rPr>
  </w:style>
  <w:style w:type="character" w:customStyle="1" w:styleId="Table11pt">
    <w:name w:val="Table 11pt"/>
    <w:rsid w:val="002831AB"/>
    <w:rPr>
      <w:sz w:val="22"/>
    </w:rPr>
  </w:style>
  <w:style w:type="paragraph" w:customStyle="1" w:styleId="tablita1">
    <w:name w:val="tablita1"/>
    <w:rsid w:val="002831AB"/>
    <w:pPr>
      <w:widowControl w:val="0"/>
    </w:pPr>
    <w:rPr>
      <w:rFonts w:eastAsia="Batang"/>
      <w:color w:val="000000"/>
      <w:sz w:val="16"/>
      <w:lang w:eastAsia="en-US"/>
    </w:rPr>
  </w:style>
  <w:style w:type="paragraph" w:customStyle="1" w:styleId="Tabla61">
    <w:name w:val="Tabla6"/>
    <w:rsid w:val="002831AB"/>
    <w:pPr>
      <w:widowControl w:val="0"/>
    </w:pPr>
    <w:rPr>
      <w:rFonts w:eastAsia="Batang"/>
      <w:color w:val="000000"/>
      <w:sz w:val="12"/>
      <w:lang w:eastAsia="en-US"/>
    </w:rPr>
  </w:style>
  <w:style w:type="paragraph" w:customStyle="1" w:styleId="Tabla8cdec">
    <w:name w:val="Tabla8c/dec"/>
    <w:rsid w:val="002831AB"/>
    <w:pPr>
      <w:widowControl w:val="0"/>
    </w:pPr>
    <w:rPr>
      <w:rFonts w:eastAsia="Batang"/>
      <w:color w:val="000000"/>
      <w:sz w:val="16"/>
      <w:lang w:eastAsia="en-US"/>
    </w:rPr>
  </w:style>
  <w:style w:type="paragraph" w:customStyle="1" w:styleId="TABLA71">
    <w:name w:val="TABLA7"/>
    <w:rsid w:val="002831AB"/>
    <w:pPr>
      <w:widowControl w:val="0"/>
    </w:pPr>
    <w:rPr>
      <w:rFonts w:eastAsia="Batang"/>
      <w:color w:val="000000"/>
      <w:sz w:val="14"/>
      <w:lang w:eastAsia="en-US"/>
    </w:rPr>
  </w:style>
  <w:style w:type="paragraph" w:customStyle="1" w:styleId="Encabezado2">
    <w:name w:val="Encabezado 2"/>
    <w:basedOn w:val="Encabezado"/>
    <w:rsid w:val="002831AB"/>
    <w:pPr>
      <w:tabs>
        <w:tab w:val="clear" w:pos="4680"/>
        <w:tab w:val="clear" w:pos="9360"/>
        <w:tab w:val="center" w:pos="4252"/>
        <w:tab w:val="right" w:pos="8504"/>
      </w:tabs>
      <w:jc w:val="center"/>
    </w:pPr>
    <w:rPr>
      <w:rFonts w:eastAsia="Batang" w:cs="Arial"/>
      <w:b/>
      <w:lang w:val="es-ES_tradnl" w:eastAsia="es-AR"/>
    </w:rPr>
  </w:style>
  <w:style w:type="paragraph" w:customStyle="1" w:styleId="tabla82">
    <w:name w:val="tabla8"/>
    <w:aliases w:val="xx"/>
    <w:basedOn w:val="Normal"/>
    <w:rsid w:val="002831AB"/>
    <w:pPr>
      <w:autoSpaceDE w:val="0"/>
      <w:autoSpaceDN w:val="0"/>
      <w:adjustRightInd w:val="0"/>
    </w:pPr>
    <w:rPr>
      <w:rFonts w:ascii="Times New Roman" w:eastAsia="Batang" w:hAnsi="Times New Roman"/>
      <w:sz w:val="16"/>
      <w:lang w:val="en-US" w:eastAsia="es-AR"/>
    </w:rPr>
  </w:style>
  <w:style w:type="paragraph" w:customStyle="1" w:styleId="tabla72">
    <w:name w:val="tabla 7"/>
    <w:basedOn w:val="Normal"/>
    <w:rsid w:val="002831AB"/>
    <w:pPr>
      <w:autoSpaceDE w:val="0"/>
      <w:autoSpaceDN w:val="0"/>
      <w:adjustRightInd w:val="0"/>
    </w:pPr>
    <w:rPr>
      <w:rFonts w:ascii="Times New Roman" w:eastAsia="Batang" w:hAnsi="Times New Roman"/>
      <w:sz w:val="14"/>
      <w:lang w:val="en-US" w:eastAsia="es-AR"/>
    </w:rPr>
  </w:style>
  <w:style w:type="paragraph" w:customStyle="1" w:styleId="tabli">
    <w:name w:val="tabli"/>
    <w:basedOn w:val="Normal"/>
    <w:rsid w:val="002831AB"/>
    <w:pPr>
      <w:autoSpaceDE w:val="0"/>
      <w:autoSpaceDN w:val="0"/>
      <w:adjustRightInd w:val="0"/>
    </w:pPr>
    <w:rPr>
      <w:rFonts w:ascii="Times New Roman" w:eastAsia="Batang" w:hAnsi="Times New Roman"/>
      <w:lang w:val="en-US" w:eastAsia="es-AR"/>
    </w:rPr>
  </w:style>
  <w:style w:type="paragraph" w:customStyle="1" w:styleId="Table60">
    <w:name w:val="Table 6"/>
    <w:basedOn w:val="Normal"/>
    <w:rsid w:val="002831AB"/>
    <w:pPr>
      <w:autoSpaceDE w:val="0"/>
      <w:autoSpaceDN w:val="0"/>
      <w:adjustRightInd w:val="0"/>
    </w:pPr>
    <w:rPr>
      <w:rFonts w:ascii="Times New Roman" w:eastAsia="Batang" w:hAnsi="Times New Roman"/>
      <w:sz w:val="12"/>
      <w:lang w:val="en-US" w:eastAsia="es-AR"/>
    </w:rPr>
  </w:style>
  <w:style w:type="paragraph" w:customStyle="1" w:styleId="Block4hanging">
    <w:name w:val="Block .4 hanging"/>
    <w:basedOn w:val="Normal"/>
    <w:rsid w:val="002831AB"/>
    <w:pPr>
      <w:tabs>
        <w:tab w:val="left" w:pos="720"/>
      </w:tabs>
      <w:autoSpaceDE w:val="0"/>
      <w:autoSpaceDN w:val="0"/>
      <w:adjustRightInd w:val="0"/>
      <w:spacing w:after="240"/>
      <w:ind w:left="576" w:hanging="576"/>
    </w:pPr>
    <w:rPr>
      <w:rFonts w:ascii="Times New Roman" w:eastAsia="Batang" w:hAnsi="Times New Roman"/>
      <w:sz w:val="22"/>
      <w:lang w:val="en-US" w:eastAsia="es-AR"/>
    </w:rPr>
  </w:style>
  <w:style w:type="paragraph" w:customStyle="1" w:styleId="5underline">
    <w:name w:val=".5 underline"/>
    <w:basedOn w:val="Normal"/>
    <w:rsid w:val="002831AB"/>
    <w:pPr>
      <w:tabs>
        <w:tab w:val="left" w:pos="720"/>
      </w:tabs>
      <w:autoSpaceDE w:val="0"/>
      <w:autoSpaceDN w:val="0"/>
      <w:adjustRightInd w:val="0"/>
      <w:spacing w:after="240"/>
      <w:ind w:left="720"/>
      <w:outlineLvl w:val="0"/>
    </w:pPr>
    <w:rPr>
      <w:rFonts w:ascii="Times New Roman" w:eastAsia="Batang" w:hAnsi="Times New Roman"/>
      <w:sz w:val="22"/>
      <w:u w:val="single"/>
      <w:lang w:val="en-US" w:eastAsia="es-AR"/>
    </w:rPr>
  </w:style>
  <w:style w:type="paragraph" w:customStyle="1" w:styleId="bodytextj0">
    <w:name w:val="body text j"/>
    <w:basedOn w:val="Normal"/>
    <w:rsid w:val="002831AB"/>
    <w:pPr>
      <w:autoSpaceDE w:val="0"/>
      <w:autoSpaceDN w:val="0"/>
      <w:adjustRightInd w:val="0"/>
      <w:jc w:val="both"/>
    </w:pPr>
    <w:rPr>
      <w:rFonts w:ascii="Times New Roman" w:eastAsia="Batang" w:hAnsi="Times New Roman"/>
      <w:lang w:val="en-US" w:eastAsia="es-AR"/>
    </w:rPr>
  </w:style>
  <w:style w:type="paragraph" w:customStyle="1" w:styleId="1hanging">
    <w:name w:val="1&quot; hanging"/>
    <w:basedOn w:val="Normal"/>
    <w:rsid w:val="002831AB"/>
    <w:pPr>
      <w:tabs>
        <w:tab w:val="left" w:pos="720"/>
      </w:tabs>
      <w:autoSpaceDE w:val="0"/>
      <w:autoSpaceDN w:val="0"/>
      <w:adjustRightInd w:val="0"/>
      <w:spacing w:after="240"/>
      <w:ind w:left="1800" w:hanging="360"/>
    </w:pPr>
    <w:rPr>
      <w:rFonts w:ascii="Times New Roman" w:eastAsia="Batang" w:hAnsi="Times New Roman"/>
      <w:sz w:val="22"/>
      <w:lang w:val="en-US" w:eastAsia="es-AR"/>
    </w:rPr>
  </w:style>
  <w:style w:type="paragraph" w:customStyle="1" w:styleId="textopredeterminado0">
    <w:name w:val="textopredeterminado"/>
    <w:basedOn w:val="Normal"/>
    <w:rsid w:val="002831AB"/>
    <w:pPr>
      <w:autoSpaceDE w:val="0"/>
      <w:autoSpaceDN w:val="0"/>
      <w:adjustRightInd w:val="0"/>
      <w:snapToGrid w:val="0"/>
      <w:jc w:val="both"/>
    </w:pPr>
    <w:rPr>
      <w:rFonts w:ascii="Arial" w:eastAsia="Batang" w:hAnsi="Arial" w:cs="Arial"/>
      <w:lang w:val="en-US" w:eastAsia="es-AR"/>
    </w:rPr>
  </w:style>
  <w:style w:type="paragraph" w:customStyle="1" w:styleId="Bren7">
    <w:name w:val="Bren7"/>
    <w:basedOn w:val="Normal"/>
    <w:rsid w:val="002831AB"/>
    <w:pPr>
      <w:autoSpaceDE w:val="0"/>
      <w:autoSpaceDN w:val="0"/>
      <w:adjustRightInd w:val="0"/>
    </w:pPr>
    <w:rPr>
      <w:rFonts w:ascii="Times New Roman" w:eastAsia="Batang" w:hAnsi="Times New Roman"/>
      <w:sz w:val="14"/>
      <w:lang w:val="en-US" w:eastAsia="es-AR"/>
    </w:rPr>
  </w:style>
  <w:style w:type="paragraph" w:customStyle="1" w:styleId="tabla9">
    <w:name w:val="tabla9"/>
    <w:basedOn w:val="Normal"/>
    <w:rsid w:val="002831AB"/>
    <w:pPr>
      <w:autoSpaceDE w:val="0"/>
      <w:autoSpaceDN w:val="0"/>
      <w:adjustRightInd w:val="0"/>
    </w:pPr>
    <w:rPr>
      <w:rFonts w:ascii="Times New Roman" w:eastAsia="Batang" w:hAnsi="Times New Roman"/>
      <w:sz w:val="18"/>
      <w:lang w:val="en-GB" w:eastAsia="es-AR"/>
    </w:rPr>
  </w:style>
  <w:style w:type="paragraph" w:customStyle="1" w:styleId="tablita">
    <w:name w:val="tablita"/>
    <w:basedOn w:val="Normal"/>
    <w:rsid w:val="002831AB"/>
    <w:pPr>
      <w:autoSpaceDE w:val="0"/>
      <w:autoSpaceDN w:val="0"/>
      <w:adjustRightInd w:val="0"/>
      <w:jc w:val="right"/>
    </w:pPr>
    <w:rPr>
      <w:rFonts w:ascii="Times New Roman" w:eastAsia="Batang" w:hAnsi="Times New Roman"/>
      <w:sz w:val="16"/>
      <w:lang w:val="en-GB" w:eastAsia="es-AR"/>
    </w:rPr>
  </w:style>
  <w:style w:type="paragraph" w:customStyle="1" w:styleId="tabla7cdec">
    <w:name w:val="tabla7 c/dec"/>
    <w:basedOn w:val="Normal"/>
    <w:rsid w:val="002831AB"/>
    <w:pPr>
      <w:autoSpaceDE w:val="0"/>
      <w:autoSpaceDN w:val="0"/>
      <w:adjustRightInd w:val="0"/>
      <w:jc w:val="right"/>
    </w:pPr>
    <w:rPr>
      <w:rFonts w:ascii="Times New Roman" w:eastAsia="Batang" w:hAnsi="Times New Roman"/>
      <w:sz w:val="14"/>
      <w:lang w:val="en-GB" w:eastAsia="es-AR"/>
    </w:rPr>
  </w:style>
  <w:style w:type="paragraph" w:customStyle="1" w:styleId="tabletxt2">
    <w:name w:val="table txt 2"/>
    <w:basedOn w:val="Normal"/>
    <w:rsid w:val="002831AB"/>
    <w:pPr>
      <w:autoSpaceDE w:val="0"/>
      <w:autoSpaceDN w:val="0"/>
      <w:adjustRightInd w:val="0"/>
    </w:pPr>
    <w:rPr>
      <w:rFonts w:ascii="Times New Roman" w:eastAsia="Batang" w:hAnsi="Times New Roman"/>
      <w:lang w:val="en-GB" w:eastAsia="es-AR"/>
    </w:rPr>
  </w:style>
  <w:style w:type="paragraph" w:customStyle="1" w:styleId="es8">
    <w:name w:val="es8"/>
    <w:basedOn w:val="Normal"/>
    <w:rsid w:val="002831AB"/>
    <w:pPr>
      <w:autoSpaceDE w:val="0"/>
      <w:autoSpaceDN w:val="0"/>
      <w:adjustRightInd w:val="0"/>
    </w:pPr>
    <w:rPr>
      <w:rFonts w:ascii="Times New Roman" w:eastAsia="Batang" w:hAnsi="Times New Roman"/>
      <w:sz w:val="16"/>
      <w:lang w:val="en-GB" w:eastAsia="es-AR"/>
    </w:rPr>
  </w:style>
  <w:style w:type="paragraph" w:customStyle="1" w:styleId="ta6">
    <w:name w:val="ta6"/>
    <w:basedOn w:val="Normal"/>
    <w:rsid w:val="002831AB"/>
    <w:pPr>
      <w:autoSpaceDE w:val="0"/>
      <w:autoSpaceDN w:val="0"/>
      <w:adjustRightInd w:val="0"/>
      <w:jc w:val="right"/>
    </w:pPr>
    <w:rPr>
      <w:rFonts w:ascii="Times New Roman" w:eastAsia="Batang" w:hAnsi="Times New Roman"/>
      <w:sz w:val="12"/>
      <w:lang w:val="en-GB" w:eastAsia="es-AR"/>
    </w:rPr>
  </w:style>
  <w:style w:type="character" w:customStyle="1" w:styleId="Table7pt1">
    <w:name w:val="Table7pt"/>
    <w:rsid w:val="002831AB"/>
    <w:rPr>
      <w:rFonts w:ascii="Times New Roman" w:hAnsi="Times New Roman"/>
      <w:sz w:val="16"/>
      <w:vertAlign w:val="baseline"/>
    </w:rPr>
  </w:style>
  <w:style w:type="paragraph" w:customStyle="1" w:styleId="05">
    <w:name w:val="0.5"/>
    <w:basedOn w:val="BodyText2Sgl"/>
    <w:rsid w:val="002831AB"/>
    <w:pPr>
      <w:autoSpaceDE/>
      <w:autoSpaceDN/>
      <w:adjustRightInd/>
    </w:pPr>
    <w:rPr>
      <w:rFonts w:eastAsia="Batang"/>
      <w:sz w:val="22"/>
      <w:lang w:eastAsia="es-AR"/>
    </w:rPr>
  </w:style>
  <w:style w:type="paragraph" w:customStyle="1" w:styleId="Tiltel">
    <w:name w:val="Tilte l"/>
    <w:basedOn w:val="BodyText2Sgl"/>
    <w:rsid w:val="002831AB"/>
    <w:pPr>
      <w:autoSpaceDE/>
      <w:autoSpaceDN/>
      <w:adjustRightInd/>
    </w:pPr>
    <w:rPr>
      <w:rFonts w:eastAsia="Batang"/>
      <w:sz w:val="22"/>
      <w:lang w:eastAsia="es-AR"/>
    </w:rPr>
  </w:style>
  <w:style w:type="paragraph" w:customStyle="1" w:styleId="bnormal">
    <w:name w:val="bnormal"/>
    <w:basedOn w:val="BodyText2Sgl"/>
    <w:rsid w:val="002831AB"/>
    <w:pPr>
      <w:autoSpaceDE/>
      <w:autoSpaceDN/>
      <w:adjustRightInd/>
    </w:pPr>
    <w:rPr>
      <w:rFonts w:eastAsia="Batang"/>
      <w:sz w:val="22"/>
      <w:lang w:eastAsia="es-AR"/>
    </w:rPr>
  </w:style>
  <w:style w:type="character" w:customStyle="1" w:styleId="NormalWebCar">
    <w:name w:val="Normal (Web) Car"/>
    <w:rsid w:val="002831AB"/>
    <w:rPr>
      <w:rFonts w:ascii="Arial Unicode MS" w:eastAsia="Arial Unicode MS" w:hAnsi="Arial Unicode MS"/>
      <w:sz w:val="24"/>
      <w:lang w:val="en-US" w:eastAsia="es-ES"/>
    </w:rPr>
  </w:style>
  <w:style w:type="paragraph" w:customStyle="1" w:styleId="Noral">
    <w:name w:val="Noral"/>
    <w:basedOn w:val="BodyText2Sgl"/>
    <w:rsid w:val="002831AB"/>
    <w:pPr>
      <w:autoSpaceDE/>
      <w:autoSpaceDN/>
      <w:adjustRightInd/>
    </w:pPr>
    <w:rPr>
      <w:rFonts w:eastAsia="Batang"/>
      <w:sz w:val="22"/>
      <w:lang w:eastAsia="es-AR"/>
    </w:rPr>
  </w:style>
  <w:style w:type="paragraph" w:customStyle="1" w:styleId="Title2">
    <w:name w:val="Title 2"/>
    <w:basedOn w:val="TitleL"/>
    <w:rsid w:val="002831AB"/>
    <w:pPr>
      <w:keepNext/>
      <w:keepLines/>
      <w:spacing w:after="240"/>
    </w:pPr>
    <w:rPr>
      <w:rFonts w:ascii="Times New Roman Bold" w:eastAsia="Batang" w:hAnsi="Times New Roman Bold"/>
      <w:bCs/>
      <w:spacing w:val="0"/>
      <w:sz w:val="22"/>
      <w:lang w:eastAsia="es-ES"/>
    </w:rPr>
  </w:style>
  <w:style w:type="character" w:customStyle="1" w:styleId="NotesChar">
    <w:name w:val="Notes Char"/>
    <w:rsid w:val="002831AB"/>
    <w:rPr>
      <w:rFonts w:eastAsia="Batang"/>
      <w:sz w:val="16"/>
      <w:lang w:val="en-US" w:eastAsia="en-US"/>
    </w:rPr>
  </w:style>
  <w:style w:type="character" w:customStyle="1" w:styleId="NotesLineChar">
    <w:name w:val="Notes Line Char"/>
    <w:rsid w:val="002831AB"/>
    <w:rPr>
      <w:rFonts w:eastAsia="Batang"/>
      <w:sz w:val="22"/>
      <w:lang w:val="en-US" w:eastAsia="en-US"/>
    </w:rPr>
  </w:style>
  <w:style w:type="paragraph" w:customStyle="1" w:styleId="TableNotex">
    <w:name w:val="Table Notex"/>
    <w:basedOn w:val="Normal"/>
    <w:rsid w:val="002831AB"/>
    <w:pPr>
      <w:tabs>
        <w:tab w:val="left" w:pos="720"/>
      </w:tabs>
      <w:autoSpaceDE w:val="0"/>
      <w:autoSpaceDN w:val="0"/>
      <w:adjustRightInd w:val="0"/>
      <w:ind w:left="360" w:hanging="360"/>
    </w:pPr>
    <w:rPr>
      <w:rFonts w:ascii="Times New Roman" w:eastAsia="Batang" w:hAnsi="Times New Roman"/>
      <w:sz w:val="22"/>
      <w:lang w:val="en-US" w:eastAsia="es-AR"/>
    </w:rPr>
  </w:style>
  <w:style w:type="paragraph" w:customStyle="1" w:styleId="NoteLine">
    <w:name w:val="Note Line"/>
    <w:basedOn w:val="Normal"/>
    <w:rsid w:val="002831AB"/>
    <w:pPr>
      <w:pBdr>
        <w:bottom w:val="single" w:sz="4" w:space="1" w:color="auto"/>
      </w:pBdr>
      <w:autoSpaceDE w:val="0"/>
      <w:autoSpaceDN w:val="0"/>
      <w:adjustRightInd w:val="0"/>
      <w:spacing w:after="60"/>
      <w:ind w:right="8309"/>
    </w:pPr>
    <w:rPr>
      <w:rFonts w:ascii="Times New Roman" w:eastAsia="Batang" w:hAnsi="Times New Roman"/>
      <w:sz w:val="22"/>
      <w:lang w:val="en-US" w:eastAsia="es-AR"/>
    </w:rPr>
  </w:style>
  <w:style w:type="character" w:customStyle="1" w:styleId="TiltelChar">
    <w:name w:val="Tilte l Char"/>
    <w:rsid w:val="002831AB"/>
    <w:rPr>
      <w:rFonts w:eastAsia="Batang"/>
      <w:spacing w:val="0"/>
      <w:sz w:val="22"/>
      <w:lang w:val="en-US" w:eastAsia="es-ES"/>
    </w:rPr>
  </w:style>
  <w:style w:type="paragraph" w:customStyle="1" w:styleId="Indent">
    <w:name w:val="Indent"/>
    <w:basedOn w:val="Listaconvietas3"/>
    <w:rsid w:val="002831AB"/>
    <w:pPr>
      <w:numPr>
        <w:numId w:val="0"/>
      </w:numPr>
      <w:tabs>
        <w:tab w:val="num" w:pos="1080"/>
      </w:tabs>
      <w:autoSpaceDE w:val="0"/>
      <w:autoSpaceDN w:val="0"/>
      <w:adjustRightInd w:val="0"/>
      <w:ind w:left="1080" w:hanging="360"/>
    </w:pPr>
    <w:rPr>
      <w:rFonts w:eastAsia="Batang"/>
      <w:color w:val="000000"/>
      <w:w w:val="0"/>
      <w:sz w:val="22"/>
      <w:szCs w:val="22"/>
    </w:rPr>
  </w:style>
  <w:style w:type="paragraph" w:customStyle="1" w:styleId="right">
    <w:name w:val="right"/>
    <w:basedOn w:val="Normal"/>
    <w:rsid w:val="002831AB"/>
    <w:pPr>
      <w:tabs>
        <w:tab w:val="num" w:pos="360"/>
        <w:tab w:val="left" w:pos="720"/>
      </w:tabs>
      <w:autoSpaceDE w:val="0"/>
      <w:autoSpaceDN w:val="0"/>
      <w:adjustRightInd w:val="0"/>
      <w:spacing w:after="240"/>
      <w:ind w:left="360" w:hanging="360"/>
    </w:pPr>
    <w:rPr>
      <w:rFonts w:ascii="Times New Roman" w:eastAsia="Batang" w:hAnsi="Times New Roman"/>
      <w:sz w:val="22"/>
      <w:lang w:val="en-US" w:eastAsia="es-AR"/>
    </w:rPr>
  </w:style>
  <w:style w:type="paragraph" w:customStyle="1" w:styleId="prrafodelista">
    <w:name w:val="prrafodelista"/>
    <w:basedOn w:val="Normal"/>
    <w:rsid w:val="002831AB"/>
    <w:pPr>
      <w:autoSpaceDE w:val="0"/>
      <w:autoSpaceDN w:val="0"/>
      <w:adjustRightInd w:val="0"/>
      <w:spacing w:after="200" w:line="276" w:lineRule="auto"/>
      <w:ind w:left="720"/>
    </w:pPr>
    <w:rPr>
      <w:rFonts w:ascii="Arial" w:hAnsi="Arial" w:cs="Arial"/>
      <w:lang w:val="en-US" w:eastAsia="es-AR"/>
    </w:rPr>
  </w:style>
  <w:style w:type="paragraph" w:customStyle="1" w:styleId="CarCar1CharCharCarCar">
    <w:name w:val="Car Car1 Char Char Car Car"/>
    <w:basedOn w:val="Normal"/>
    <w:rsid w:val="002831AB"/>
    <w:pPr>
      <w:autoSpaceDE w:val="0"/>
      <w:autoSpaceDN w:val="0"/>
      <w:adjustRightInd w:val="0"/>
      <w:spacing w:after="160" w:line="240" w:lineRule="exact"/>
    </w:pPr>
    <w:rPr>
      <w:rFonts w:ascii="Verdana" w:hAnsi="Verdana"/>
      <w:lang w:val="en-US" w:eastAsia="es-AR"/>
    </w:rPr>
  </w:style>
  <w:style w:type="paragraph" w:customStyle="1" w:styleId="CarCarCarCarCarCarCarCar">
    <w:name w:val="Car Car Car Car Car Car Car Car"/>
    <w:basedOn w:val="Normal"/>
    <w:rsid w:val="002831AB"/>
    <w:pPr>
      <w:tabs>
        <w:tab w:val="left" w:pos="720"/>
      </w:tabs>
      <w:autoSpaceDE w:val="0"/>
      <w:autoSpaceDN w:val="0"/>
      <w:adjustRightInd w:val="0"/>
      <w:spacing w:after="160" w:line="240" w:lineRule="exact"/>
    </w:pPr>
    <w:rPr>
      <w:rFonts w:ascii="Verdana" w:eastAsia="Batang" w:hAnsi="Verdana"/>
      <w:lang w:val="en-US" w:eastAsia="es-AR"/>
    </w:rPr>
  </w:style>
  <w:style w:type="character" w:customStyle="1" w:styleId="longtext1">
    <w:name w:val="long_text1"/>
    <w:rsid w:val="002831AB"/>
    <w:rPr>
      <w:sz w:val="20"/>
    </w:rPr>
  </w:style>
  <w:style w:type="character" w:customStyle="1" w:styleId="CommentTextChar">
    <w:name w:val="Comment Text Char"/>
    <w:rsid w:val="002831AB"/>
    <w:rPr>
      <w:rFonts w:ascii="Times New Roman" w:eastAsia="Batang" w:hAnsi="Times New Roman"/>
      <w:sz w:val="20"/>
      <w:lang w:val="en-US" w:eastAsia="es-ES"/>
    </w:rPr>
  </w:style>
  <w:style w:type="character" w:customStyle="1" w:styleId="FootnoteTextChar">
    <w:name w:val="Footnote Text Char"/>
    <w:rsid w:val="002831AB"/>
    <w:rPr>
      <w:rFonts w:ascii="Times New Roman" w:eastAsia="Batang" w:hAnsi="Times New Roman"/>
      <w:sz w:val="20"/>
      <w:lang w:val="en-US" w:eastAsia="es-ES"/>
    </w:rPr>
  </w:style>
  <w:style w:type="character" w:customStyle="1" w:styleId="EndnoteTextChar">
    <w:name w:val="Endnote Text Char"/>
    <w:rsid w:val="002831AB"/>
    <w:rPr>
      <w:rFonts w:ascii="Times New Roman" w:eastAsia="Batang" w:hAnsi="Times New Roman"/>
      <w:sz w:val="20"/>
      <w:lang w:val="en-US" w:eastAsia="x-none"/>
    </w:rPr>
  </w:style>
  <w:style w:type="character" w:customStyle="1" w:styleId="BalloonTextChar">
    <w:name w:val="Balloon Text Char"/>
    <w:rsid w:val="002831AB"/>
    <w:rPr>
      <w:rFonts w:ascii="Tahoma" w:eastAsia="Batang" w:hAnsi="Tahoma"/>
      <w:sz w:val="16"/>
      <w:lang w:val="en-US" w:eastAsia="es-ES"/>
    </w:rPr>
  </w:style>
  <w:style w:type="character" w:customStyle="1" w:styleId="MacroTextChar">
    <w:name w:val="Macro Text Char"/>
    <w:rsid w:val="002831AB"/>
    <w:rPr>
      <w:rFonts w:ascii="Courier New" w:eastAsia="Batang" w:hAnsi="Courier New"/>
      <w:lang w:val="es-ES" w:eastAsia="es-ES"/>
    </w:rPr>
  </w:style>
  <w:style w:type="character" w:customStyle="1" w:styleId="CommentSubjectChar">
    <w:name w:val="Comment Subject Char"/>
    <w:rsid w:val="002831AB"/>
    <w:rPr>
      <w:rFonts w:ascii="Times New Roman" w:eastAsia="Batang" w:hAnsi="Times New Roman"/>
      <w:b/>
      <w:sz w:val="20"/>
      <w:lang w:val="es-ES" w:eastAsia="es-ES"/>
    </w:rPr>
  </w:style>
  <w:style w:type="character" w:customStyle="1" w:styleId="DocumentMapChar">
    <w:name w:val="Document Map Char"/>
    <w:rsid w:val="002831AB"/>
    <w:rPr>
      <w:rFonts w:ascii="Tahoma" w:eastAsia="Batang" w:hAnsi="Tahoma"/>
      <w:sz w:val="20"/>
      <w:shd w:val="clear" w:color="auto" w:fill="000080"/>
      <w:lang w:val="en-US" w:eastAsia="x-none"/>
    </w:rPr>
  </w:style>
  <w:style w:type="paragraph" w:customStyle="1" w:styleId="centeredb0">
    <w:name w:val="centeredb"/>
    <w:basedOn w:val="Normal"/>
    <w:rsid w:val="002831AB"/>
    <w:pPr>
      <w:autoSpaceDE w:val="0"/>
      <w:autoSpaceDN w:val="0"/>
      <w:adjustRightInd w:val="0"/>
      <w:spacing w:after="240"/>
      <w:jc w:val="center"/>
    </w:pPr>
    <w:rPr>
      <w:rFonts w:ascii="Times New Roman Bold" w:hAnsi="Times New Roman Bold"/>
      <w:b/>
      <w:bCs/>
      <w:sz w:val="22"/>
      <w:szCs w:val="22"/>
      <w:lang w:val="en-US" w:eastAsia="es-AR"/>
    </w:rPr>
  </w:style>
  <w:style w:type="paragraph" w:customStyle="1" w:styleId="ecmsonormal">
    <w:name w:val="ec_msonormal"/>
    <w:basedOn w:val="Normal"/>
    <w:rsid w:val="002831AB"/>
    <w:pPr>
      <w:autoSpaceDE w:val="0"/>
      <w:autoSpaceDN w:val="0"/>
      <w:adjustRightInd w:val="0"/>
      <w:spacing w:after="324"/>
    </w:pPr>
    <w:rPr>
      <w:rFonts w:ascii="Times New Roman" w:hAnsi="Times New Roman"/>
      <w:lang w:val="en-US" w:eastAsia="es-AR"/>
    </w:rPr>
  </w:style>
  <w:style w:type="paragraph" w:customStyle="1" w:styleId="Infodocumentosadjuntos">
    <w:name w:val="Info documentos adjuntos"/>
    <w:basedOn w:val="Normal"/>
    <w:rsid w:val="002831AB"/>
    <w:pPr>
      <w:autoSpaceDE w:val="0"/>
      <w:autoSpaceDN w:val="0"/>
      <w:adjustRightInd w:val="0"/>
    </w:pPr>
    <w:rPr>
      <w:rFonts w:ascii="Times New Roman" w:hAnsi="Times New Roman"/>
      <w:lang w:val="en-US" w:eastAsia="es-AR"/>
    </w:rPr>
  </w:style>
  <w:style w:type="character" w:customStyle="1" w:styleId="SinespaciadoCar">
    <w:name w:val="Sin espaciado Car"/>
    <w:rsid w:val="002831AB"/>
    <w:rPr>
      <w:rFonts w:ascii="Times New Roman" w:hAnsi="Times New Roman"/>
      <w:lang w:val="en-US" w:eastAsia="x-none"/>
    </w:rPr>
  </w:style>
  <w:style w:type="character" w:customStyle="1" w:styleId="TableHeaderCar">
    <w:name w:val="Table Header Car"/>
    <w:rsid w:val="002831AB"/>
    <w:rPr>
      <w:rFonts w:ascii="Arial" w:hAnsi="Arial"/>
      <w:b/>
      <w:sz w:val="18"/>
      <w:lang w:val="en-US" w:eastAsia="es-ES"/>
    </w:rPr>
  </w:style>
  <w:style w:type="character" w:customStyle="1" w:styleId="Heading2Char1">
    <w:name w:val="Heading 2 Char1"/>
    <w:aliases w:val="Tight Slug Char1,Major Char1"/>
    <w:rsid w:val="002831AB"/>
    <w:rPr>
      <w:rFonts w:ascii="Times New Roman" w:eastAsia="Batang" w:hAnsi="Times New Roman"/>
      <w:b/>
      <w:sz w:val="20"/>
      <w:lang w:val="en-GB" w:eastAsia="x-none"/>
    </w:rPr>
  </w:style>
  <w:style w:type="character" w:customStyle="1" w:styleId="Heading3Char1">
    <w:name w:val="Heading 3 Char1"/>
    <w:aliases w:val="Note to Director Char1"/>
    <w:rsid w:val="002831AB"/>
    <w:rPr>
      <w:rFonts w:ascii="Times New Roman" w:eastAsia="Batang" w:hAnsi="Times New Roman"/>
      <w:b/>
      <w:caps/>
      <w:sz w:val="20"/>
      <w:lang w:val="en-GB" w:eastAsia="x-none"/>
    </w:rPr>
  </w:style>
  <w:style w:type="character" w:customStyle="1" w:styleId="Heading5Char1">
    <w:name w:val="Heading 5 Char1"/>
    <w:rsid w:val="002831AB"/>
    <w:rPr>
      <w:rFonts w:ascii="Times New Roman" w:eastAsia="Batang" w:hAnsi="Times New Roman"/>
      <w:b/>
      <w:i/>
      <w:sz w:val="20"/>
      <w:lang w:val="en-US" w:eastAsia="x-none"/>
    </w:rPr>
  </w:style>
  <w:style w:type="character" w:customStyle="1" w:styleId="Heading6Char1">
    <w:name w:val="Heading 6 Char1"/>
    <w:rsid w:val="002831AB"/>
    <w:rPr>
      <w:rFonts w:ascii="Times New Roman" w:eastAsia="Batang" w:hAnsi="Times New Roman"/>
      <w:b/>
      <w:sz w:val="20"/>
      <w:lang w:val="en-US" w:eastAsia="x-none"/>
    </w:rPr>
  </w:style>
  <w:style w:type="character" w:customStyle="1" w:styleId="Heading7Char1">
    <w:name w:val="Heading 7 Char1"/>
    <w:rsid w:val="002831AB"/>
    <w:rPr>
      <w:rFonts w:ascii="Times New Roman" w:eastAsia="Batang" w:hAnsi="Times New Roman"/>
      <w:sz w:val="24"/>
      <w:lang w:val="en-US" w:eastAsia="x-none"/>
    </w:rPr>
  </w:style>
  <w:style w:type="character" w:customStyle="1" w:styleId="Heading8Char1">
    <w:name w:val="Heading 8 Char1"/>
    <w:rsid w:val="002831AB"/>
    <w:rPr>
      <w:rFonts w:ascii="Times New Roman" w:eastAsia="Batang" w:hAnsi="Times New Roman"/>
      <w:i/>
      <w:sz w:val="24"/>
      <w:lang w:val="en-US" w:eastAsia="x-none"/>
    </w:rPr>
  </w:style>
  <w:style w:type="character" w:customStyle="1" w:styleId="Heading9Char1">
    <w:name w:val="Heading 9 Char1"/>
    <w:rsid w:val="002831AB"/>
    <w:rPr>
      <w:rFonts w:ascii="Arial" w:eastAsia="Batang" w:hAnsi="Arial"/>
      <w:lang w:val="en-US" w:eastAsia="x-none"/>
    </w:rPr>
  </w:style>
  <w:style w:type="character" w:customStyle="1" w:styleId="BodyTextChar1">
    <w:name w:val="Body Text Char1"/>
    <w:aliases w:val="bt Char1,body text Char1,Borrador Char1,b Char1,Body Text1 Char1,Btext Char1,Bodytext Char1,BT Char1,bt wide Char1,S&amp;S-First Line-1&quot; Char1,Corpo de texto2 Char1"/>
    <w:rsid w:val="002831AB"/>
    <w:rPr>
      <w:rFonts w:ascii="Times New Roman" w:eastAsia="Batang" w:hAnsi="Times New Roman"/>
      <w:sz w:val="24"/>
      <w:lang w:val="en-US" w:eastAsia="es-ES"/>
    </w:rPr>
  </w:style>
  <w:style w:type="character" w:customStyle="1" w:styleId="FooterChar1">
    <w:name w:val="Footer Char1"/>
    <w:rsid w:val="002831AB"/>
    <w:rPr>
      <w:rFonts w:ascii="Times New Roman" w:eastAsia="Batang" w:hAnsi="Times New Roman"/>
      <w:sz w:val="24"/>
      <w:lang w:val="en-US" w:eastAsia="es-ES"/>
    </w:rPr>
  </w:style>
  <w:style w:type="character" w:customStyle="1" w:styleId="TitleChar1">
    <w:name w:val="Title Char1"/>
    <w:rsid w:val="002831AB"/>
    <w:rPr>
      <w:rFonts w:ascii="Times New Roman Bold" w:eastAsia="Batang" w:hAnsi="Times New Roman Bold"/>
      <w:b/>
      <w:kern w:val="28"/>
      <w:sz w:val="32"/>
      <w:lang w:val="en-US" w:eastAsia="x-none"/>
    </w:rPr>
  </w:style>
  <w:style w:type="character" w:customStyle="1" w:styleId="BodyTextFirstIndentChar1">
    <w:name w:val="Body Text First Indent Char1"/>
    <w:rsid w:val="002831AB"/>
    <w:rPr>
      <w:rFonts w:ascii="Times New Roman" w:eastAsia="Batang" w:hAnsi="Times New Roman"/>
      <w:sz w:val="20"/>
      <w:lang w:val="en-US" w:eastAsia="es-ES"/>
    </w:rPr>
  </w:style>
  <w:style w:type="character" w:customStyle="1" w:styleId="BodyTextIndent3Char1">
    <w:name w:val="Body Text Indent 3 Char1"/>
    <w:rsid w:val="002831AB"/>
    <w:rPr>
      <w:rFonts w:ascii="Times New Roman" w:eastAsia="Batang" w:hAnsi="Times New Roman"/>
      <w:sz w:val="24"/>
      <w:lang w:val="en-US" w:eastAsia="es-ES"/>
    </w:rPr>
  </w:style>
  <w:style w:type="character" w:customStyle="1" w:styleId="BodyText2Char1">
    <w:name w:val="Body Text 2 Char1"/>
    <w:rsid w:val="002831AB"/>
    <w:rPr>
      <w:rFonts w:ascii="Times New Roman" w:eastAsia="Batang" w:hAnsi="Times New Roman"/>
      <w:color w:val="000000"/>
      <w:sz w:val="24"/>
      <w:lang w:val="en-GB" w:eastAsia="es-ES"/>
    </w:rPr>
  </w:style>
  <w:style w:type="character" w:customStyle="1" w:styleId="BodyTextIndentChar1">
    <w:name w:val="Body Text Indent Char1"/>
    <w:rsid w:val="002831AB"/>
    <w:rPr>
      <w:rFonts w:ascii="Times New Roman" w:eastAsia="Batang" w:hAnsi="Times New Roman"/>
      <w:color w:val="000000"/>
      <w:sz w:val="24"/>
      <w:lang w:val="en-US" w:eastAsia="es-ES"/>
    </w:rPr>
  </w:style>
  <w:style w:type="character" w:customStyle="1" w:styleId="CommentTextChar1">
    <w:name w:val="Comment Text Char1"/>
    <w:rsid w:val="002831AB"/>
    <w:rPr>
      <w:rFonts w:ascii="Times New Roman" w:eastAsia="Batang" w:hAnsi="Times New Roman"/>
      <w:sz w:val="20"/>
      <w:lang w:val="en-US" w:eastAsia="es-ES"/>
    </w:rPr>
  </w:style>
  <w:style w:type="character" w:customStyle="1" w:styleId="BodyTextIndent2Char1">
    <w:name w:val="Body Text Indent 2 Char1"/>
    <w:rsid w:val="002831AB"/>
    <w:rPr>
      <w:rFonts w:ascii="Times New Roman" w:eastAsia="Batang" w:hAnsi="Times New Roman"/>
      <w:sz w:val="20"/>
      <w:lang w:val="en-US" w:eastAsia="es-ES"/>
    </w:rPr>
  </w:style>
  <w:style w:type="character" w:customStyle="1" w:styleId="HeaderChar1">
    <w:name w:val="Header Char1"/>
    <w:rsid w:val="002831AB"/>
    <w:rPr>
      <w:rFonts w:ascii="Times New Roman" w:eastAsia="Batang" w:hAnsi="Times New Roman"/>
      <w:sz w:val="20"/>
      <w:lang w:val="en-US" w:eastAsia="es-ES"/>
    </w:rPr>
  </w:style>
  <w:style w:type="character" w:customStyle="1" w:styleId="FootnoteTextChar1">
    <w:name w:val="Footnote Text Char1"/>
    <w:rsid w:val="002831AB"/>
    <w:rPr>
      <w:rFonts w:ascii="Times New Roman" w:eastAsia="Batang" w:hAnsi="Times New Roman"/>
      <w:sz w:val="20"/>
      <w:lang w:val="en-US" w:eastAsia="es-ES"/>
    </w:rPr>
  </w:style>
  <w:style w:type="character" w:customStyle="1" w:styleId="HTMLPreformattedChar1">
    <w:name w:val="HTML Preformatted Char1"/>
    <w:rsid w:val="002831AB"/>
    <w:rPr>
      <w:rFonts w:ascii="Courier New" w:eastAsia="Batang" w:hAnsi="Courier New"/>
      <w:sz w:val="20"/>
      <w:lang w:val="en-US" w:eastAsia="es-ES"/>
    </w:rPr>
  </w:style>
  <w:style w:type="character" w:customStyle="1" w:styleId="EndnoteTextChar1">
    <w:name w:val="Endnote Text Char1"/>
    <w:rsid w:val="002831AB"/>
    <w:rPr>
      <w:rFonts w:ascii="Times New Roman" w:eastAsia="Batang" w:hAnsi="Times New Roman"/>
      <w:sz w:val="20"/>
      <w:lang w:val="en-US" w:eastAsia="x-none"/>
    </w:rPr>
  </w:style>
  <w:style w:type="character" w:customStyle="1" w:styleId="BalloonTextChar1">
    <w:name w:val="Balloon Text Char1"/>
    <w:rsid w:val="002831AB"/>
    <w:rPr>
      <w:rFonts w:ascii="Tahoma" w:eastAsia="Batang" w:hAnsi="Tahoma"/>
      <w:sz w:val="16"/>
      <w:lang w:val="en-US" w:eastAsia="es-ES"/>
    </w:rPr>
  </w:style>
  <w:style w:type="character" w:customStyle="1" w:styleId="MacroTextChar1">
    <w:name w:val="Macro Text Char1"/>
    <w:rsid w:val="002831AB"/>
    <w:rPr>
      <w:rFonts w:ascii="Courier New" w:eastAsia="Batang" w:hAnsi="Courier New"/>
      <w:lang w:val="es-ES" w:eastAsia="es-ES"/>
    </w:rPr>
  </w:style>
  <w:style w:type="character" w:customStyle="1" w:styleId="CommentSubjectChar1">
    <w:name w:val="Comment Subject Char1"/>
    <w:rsid w:val="002831AB"/>
    <w:rPr>
      <w:rFonts w:ascii="Times New Roman" w:eastAsia="Batang" w:hAnsi="Times New Roman"/>
      <w:b/>
      <w:sz w:val="20"/>
      <w:lang w:val="es-ES" w:eastAsia="es-ES"/>
    </w:rPr>
  </w:style>
  <w:style w:type="character" w:customStyle="1" w:styleId="DateChar1">
    <w:name w:val="Date Char1"/>
    <w:rsid w:val="002831AB"/>
    <w:rPr>
      <w:rFonts w:ascii="Times New Roman" w:eastAsia="Batang" w:hAnsi="Times New Roman"/>
      <w:sz w:val="20"/>
      <w:lang w:val="en-US" w:eastAsia="es-ES"/>
    </w:rPr>
  </w:style>
  <w:style w:type="character" w:customStyle="1" w:styleId="BodyTextFirstIndent2Char1">
    <w:name w:val="Body Text First Indent 2 Char1"/>
    <w:rsid w:val="002831AB"/>
    <w:rPr>
      <w:rFonts w:ascii="Times New Roman" w:eastAsia="Batang" w:hAnsi="Times New Roman"/>
      <w:color w:val="000000"/>
      <w:sz w:val="24"/>
      <w:lang w:val="en-US" w:eastAsia="es-ES"/>
    </w:rPr>
  </w:style>
  <w:style w:type="character" w:customStyle="1" w:styleId="DocumentMapChar1">
    <w:name w:val="Document Map Char1"/>
    <w:rsid w:val="002831AB"/>
    <w:rPr>
      <w:rFonts w:ascii="Tahoma" w:eastAsia="Batang" w:hAnsi="Tahoma"/>
      <w:sz w:val="20"/>
      <w:shd w:val="clear" w:color="auto" w:fill="000080"/>
      <w:lang w:val="en-US" w:eastAsia="x-none"/>
    </w:rPr>
  </w:style>
  <w:style w:type="character" w:customStyle="1" w:styleId="SignatureChar1">
    <w:name w:val="Signature Char1"/>
    <w:rsid w:val="002831AB"/>
    <w:rPr>
      <w:rFonts w:ascii="Times New Roman" w:eastAsia="Batang" w:hAnsi="Times New Roman"/>
      <w:sz w:val="20"/>
      <w:lang w:val="en-US" w:eastAsia="x-none"/>
    </w:rPr>
  </w:style>
  <w:style w:type="character" w:customStyle="1" w:styleId="ClosingChar1">
    <w:name w:val="Closing Char1"/>
    <w:rsid w:val="002831AB"/>
    <w:rPr>
      <w:rFonts w:ascii="Times New Roman" w:eastAsia="Batang" w:hAnsi="Times New Roman"/>
      <w:sz w:val="20"/>
      <w:lang w:val="en-US" w:eastAsia="x-none"/>
    </w:rPr>
  </w:style>
  <w:style w:type="character" w:customStyle="1" w:styleId="SalutationChar1">
    <w:name w:val="Salutation Char1"/>
    <w:rsid w:val="002831AB"/>
    <w:rPr>
      <w:rFonts w:ascii="Times New Roman" w:eastAsia="Batang" w:hAnsi="Times New Roman"/>
      <w:sz w:val="24"/>
      <w:lang w:val="en-US" w:eastAsia="es-ES"/>
    </w:rPr>
  </w:style>
  <w:style w:type="character" w:customStyle="1" w:styleId="SubtitleChar1">
    <w:name w:val="Subtitle Char1"/>
    <w:rsid w:val="002831AB"/>
    <w:rPr>
      <w:rFonts w:ascii="Times New Roman" w:eastAsia="Batang" w:hAnsi="Times New Roman"/>
      <w:sz w:val="24"/>
      <w:lang w:val="en-US" w:eastAsia="es-ES"/>
    </w:rPr>
  </w:style>
  <w:style w:type="character" w:customStyle="1" w:styleId="HTMLAddressChar1">
    <w:name w:val="HTML Address Char1"/>
    <w:rsid w:val="002831AB"/>
    <w:rPr>
      <w:rFonts w:ascii="Times New Roman" w:eastAsia="Batang" w:hAnsi="Times New Roman"/>
      <w:i/>
      <w:sz w:val="20"/>
      <w:lang w:val="en-US" w:eastAsia="es-ES"/>
    </w:rPr>
  </w:style>
  <w:style w:type="character" w:customStyle="1" w:styleId="MessageHeaderChar1">
    <w:name w:val="Message Header Char1"/>
    <w:rsid w:val="002831AB"/>
    <w:rPr>
      <w:rFonts w:ascii="Arial" w:eastAsia="Batang" w:hAnsi="Arial"/>
      <w:sz w:val="24"/>
      <w:shd w:val="pct20" w:color="auto" w:fill="auto"/>
      <w:lang w:val="en-US" w:eastAsia="es-ES"/>
    </w:rPr>
  </w:style>
  <w:style w:type="character" w:customStyle="1" w:styleId="NoteHeadingChar1">
    <w:name w:val="Note Heading Char1"/>
    <w:rsid w:val="002831AB"/>
    <w:rPr>
      <w:rFonts w:ascii="Times New Roman" w:eastAsia="Batang" w:hAnsi="Times New Roman"/>
      <w:sz w:val="20"/>
      <w:lang w:val="en-US" w:eastAsia="es-ES"/>
    </w:rPr>
  </w:style>
  <w:style w:type="character" w:customStyle="1" w:styleId="E-mailSignatureChar1">
    <w:name w:val="E-mail Signature Char1"/>
    <w:rsid w:val="002831AB"/>
    <w:rPr>
      <w:rFonts w:ascii="Times New Roman" w:eastAsia="Batang" w:hAnsi="Times New Roman"/>
      <w:sz w:val="20"/>
      <w:lang w:val="en-US" w:eastAsia="es-ES"/>
    </w:rPr>
  </w:style>
  <w:style w:type="character" w:customStyle="1" w:styleId="PlainTextChar1">
    <w:name w:val="Plain Text Char1"/>
    <w:rsid w:val="002831AB"/>
    <w:rPr>
      <w:rFonts w:ascii="Courier New" w:eastAsia="Batang" w:hAnsi="Courier New"/>
      <w:sz w:val="20"/>
      <w:lang w:val="en-US" w:eastAsia="es-ES"/>
    </w:rPr>
  </w:style>
  <w:style w:type="character" w:customStyle="1" w:styleId="BodyText3Char1">
    <w:name w:val="Body Text 3 Char1"/>
    <w:rsid w:val="002831AB"/>
    <w:rPr>
      <w:rFonts w:ascii="Tms Rmn" w:eastAsia="Batang" w:hAnsi="Tms Rmn"/>
      <w:color w:val="FF0000"/>
      <w:sz w:val="20"/>
      <w:lang w:val="en-US" w:eastAsia="x-none"/>
    </w:rPr>
  </w:style>
  <w:style w:type="paragraph" w:customStyle="1" w:styleId="BalloonText2">
    <w:name w:val="Balloon Text2"/>
    <w:basedOn w:val="Normal"/>
    <w:rsid w:val="002831AB"/>
    <w:pPr>
      <w:tabs>
        <w:tab w:val="left" w:pos="720"/>
      </w:tabs>
      <w:autoSpaceDE w:val="0"/>
      <w:autoSpaceDN w:val="0"/>
      <w:adjustRightInd w:val="0"/>
    </w:pPr>
    <w:rPr>
      <w:rFonts w:ascii="Tahoma" w:eastAsia="Batang" w:hAnsi="Tahoma" w:cs="Tahoma"/>
      <w:sz w:val="16"/>
      <w:szCs w:val="16"/>
      <w:lang w:val="en-US" w:eastAsia="es-AR"/>
    </w:rPr>
  </w:style>
  <w:style w:type="paragraph" w:customStyle="1" w:styleId="Revisin10">
    <w:name w:val="Revisión1"/>
    <w:hidden/>
    <w:rsid w:val="00661E40"/>
    <w:rPr>
      <w:rFonts w:ascii="Batang" w:eastAsia="Batang"/>
      <w:lang w:val="en-US"/>
    </w:rPr>
  </w:style>
  <w:style w:type="paragraph" w:customStyle="1" w:styleId="Sinespaciado10">
    <w:name w:val="Sin espaciado1"/>
    <w:next w:val="TableBody"/>
    <w:qFormat/>
    <w:rsid w:val="00661E40"/>
    <w:rPr>
      <w:rFonts w:ascii="Arial" w:eastAsia="Batang" w:hAnsi="Arial" w:cs="Arial"/>
      <w:b/>
      <w:bCs/>
      <w:sz w:val="18"/>
      <w:szCs w:val="18"/>
      <w:lang w:val="en-US"/>
    </w:rPr>
  </w:style>
  <w:style w:type="character" w:customStyle="1" w:styleId="NoSpacingChar">
    <w:name w:val="No Spacing Char"/>
    <w:rsid w:val="002831AB"/>
    <w:rPr>
      <w:rFonts w:ascii="Arial" w:hAnsi="Arial"/>
      <w:b/>
      <w:sz w:val="18"/>
      <w:lang w:val="en-US" w:eastAsia="es-ES"/>
    </w:rPr>
  </w:style>
  <w:style w:type="paragraph" w:customStyle="1" w:styleId="Outline1L1">
    <w:name w:val="Outline1_L1"/>
    <w:basedOn w:val="Normal"/>
    <w:next w:val="Normal"/>
    <w:rsid w:val="002831AB"/>
    <w:pPr>
      <w:keepNext/>
      <w:numPr>
        <w:numId w:val="35"/>
      </w:numPr>
      <w:autoSpaceDE w:val="0"/>
      <w:autoSpaceDN w:val="0"/>
      <w:adjustRightInd w:val="0"/>
      <w:spacing w:after="240"/>
      <w:jc w:val="center"/>
      <w:outlineLvl w:val="0"/>
    </w:pPr>
    <w:rPr>
      <w:rFonts w:ascii="Times New Roman" w:eastAsia="PMingLiU" w:hAnsi="Times New Roman"/>
      <w:b/>
      <w:caps/>
      <w:lang w:val="en-US" w:eastAsia="es-AR"/>
    </w:rPr>
  </w:style>
  <w:style w:type="paragraph" w:customStyle="1" w:styleId="Outline1L2">
    <w:name w:val="Outline1_L2"/>
    <w:basedOn w:val="Outline1L1"/>
    <w:next w:val="Normal"/>
    <w:rsid w:val="002831AB"/>
    <w:pPr>
      <w:numPr>
        <w:ilvl w:val="1"/>
      </w:numPr>
      <w:tabs>
        <w:tab w:val="num" w:pos="1440"/>
      </w:tabs>
      <w:spacing w:before="600"/>
      <w:ind w:left="1440" w:hanging="360"/>
      <w:outlineLvl w:val="1"/>
    </w:pPr>
    <w:rPr>
      <w:rFonts w:ascii="Times New Roman Bold" w:hAnsi="Times New Roman Bold"/>
    </w:rPr>
  </w:style>
  <w:style w:type="paragraph" w:customStyle="1" w:styleId="Outline1L3">
    <w:name w:val="Outline1_L3"/>
    <w:basedOn w:val="Outline1L2"/>
    <w:next w:val="Normal"/>
    <w:rsid w:val="002831AB"/>
    <w:pPr>
      <w:numPr>
        <w:ilvl w:val="2"/>
      </w:numPr>
      <w:tabs>
        <w:tab w:val="num" w:pos="2160"/>
      </w:tabs>
      <w:spacing w:before="0"/>
      <w:ind w:left="2160" w:hanging="180"/>
      <w:jc w:val="left"/>
      <w:outlineLvl w:val="2"/>
    </w:pPr>
    <w:rPr>
      <w:smallCaps/>
    </w:rPr>
  </w:style>
  <w:style w:type="paragraph" w:customStyle="1" w:styleId="Outline1L4">
    <w:name w:val="Outline1_L4"/>
    <w:basedOn w:val="Outline1L3"/>
    <w:next w:val="Normal"/>
    <w:rsid w:val="002831AB"/>
    <w:pPr>
      <w:numPr>
        <w:ilvl w:val="3"/>
      </w:numPr>
      <w:tabs>
        <w:tab w:val="num" w:pos="2880"/>
      </w:tabs>
      <w:ind w:left="2880" w:hanging="360"/>
      <w:outlineLvl w:val="3"/>
    </w:pPr>
    <w:rPr>
      <w:smallCaps w:val="0"/>
    </w:rPr>
  </w:style>
  <w:style w:type="paragraph" w:customStyle="1" w:styleId="Outline1L5">
    <w:name w:val="Outline1_L5"/>
    <w:basedOn w:val="Outline1L4"/>
    <w:next w:val="Normal"/>
    <w:rsid w:val="002831AB"/>
    <w:pPr>
      <w:keepNext w:val="0"/>
      <w:numPr>
        <w:ilvl w:val="4"/>
      </w:numPr>
      <w:tabs>
        <w:tab w:val="clear" w:pos="2340"/>
        <w:tab w:val="num" w:pos="3600"/>
      </w:tabs>
      <w:ind w:left="3600" w:hanging="360"/>
      <w:outlineLvl w:val="4"/>
    </w:pPr>
    <w:rPr>
      <w:rFonts w:ascii="Times New Roman" w:hAnsi="Times New Roman"/>
      <w:b w:val="0"/>
    </w:rPr>
  </w:style>
  <w:style w:type="paragraph" w:customStyle="1" w:styleId="Outline1L6">
    <w:name w:val="Outline1_L6"/>
    <w:basedOn w:val="Outline1L5"/>
    <w:next w:val="Normal"/>
    <w:rsid w:val="002831AB"/>
    <w:pPr>
      <w:numPr>
        <w:ilvl w:val="5"/>
      </w:numPr>
      <w:tabs>
        <w:tab w:val="clear" w:pos="3060"/>
        <w:tab w:val="num" w:pos="4320"/>
      </w:tabs>
      <w:ind w:left="4320" w:hanging="180"/>
      <w:outlineLvl w:val="5"/>
    </w:pPr>
  </w:style>
  <w:style w:type="paragraph" w:customStyle="1" w:styleId="Outline1L7">
    <w:name w:val="Outline1_L7"/>
    <w:basedOn w:val="Outline1L6"/>
    <w:next w:val="Normal"/>
    <w:rsid w:val="002831AB"/>
    <w:pPr>
      <w:numPr>
        <w:ilvl w:val="6"/>
      </w:numPr>
      <w:tabs>
        <w:tab w:val="clear" w:pos="180"/>
        <w:tab w:val="num" w:pos="5040"/>
      </w:tabs>
      <w:ind w:left="5040" w:hanging="360"/>
      <w:outlineLvl w:val="6"/>
    </w:pPr>
  </w:style>
  <w:style w:type="character" w:customStyle="1" w:styleId="z-PrincipiodelformularioCar">
    <w:name w:val="z-Principio del formulario Car"/>
    <w:rsid w:val="002831AB"/>
    <w:rPr>
      <w:rFonts w:ascii="Arial" w:hAnsi="Arial"/>
      <w:vanish/>
      <w:sz w:val="16"/>
      <w:lang w:val="es-ES" w:eastAsia="es-ES"/>
    </w:rPr>
  </w:style>
  <w:style w:type="character" w:customStyle="1" w:styleId="acta">
    <w:name w:val="acta"/>
    <w:rsid w:val="002831AB"/>
    <w:rPr>
      <w:rFonts w:ascii="Courier" w:hAnsi="Courier"/>
    </w:rPr>
  </w:style>
  <w:style w:type="character" w:customStyle="1" w:styleId="atn">
    <w:name w:val="atn"/>
    <w:rsid w:val="002831AB"/>
  </w:style>
  <w:style w:type="paragraph" w:customStyle="1" w:styleId="TSHParagraph">
    <w:name w:val="TSH Paragraph"/>
    <w:basedOn w:val="Normal"/>
    <w:rsid w:val="002831AB"/>
    <w:pPr>
      <w:tabs>
        <w:tab w:val="left" w:leader="dot" w:pos="3600"/>
      </w:tabs>
      <w:autoSpaceDE w:val="0"/>
      <w:autoSpaceDN w:val="0"/>
      <w:adjustRightInd w:val="0"/>
      <w:spacing w:after="240"/>
      <w:ind w:left="3600" w:hanging="3600"/>
      <w:jc w:val="both"/>
    </w:pPr>
    <w:rPr>
      <w:rFonts w:ascii="Times New Roman" w:hAnsi="Times New Roman"/>
      <w:sz w:val="22"/>
      <w:lang w:val="en-US" w:eastAsia="es-AR"/>
    </w:rPr>
  </w:style>
  <w:style w:type="paragraph" w:customStyle="1" w:styleId="TSHParaLine1">
    <w:name w:val="TSH Para Line 1"/>
    <w:basedOn w:val="TSHParagraph"/>
    <w:rsid w:val="002831AB"/>
    <w:pPr>
      <w:spacing w:after="0"/>
      <w:ind w:left="0" w:firstLine="0"/>
    </w:pPr>
  </w:style>
  <w:style w:type="paragraph" w:customStyle="1" w:styleId="titulonota">
    <w:name w:val="titulo_nota"/>
    <w:basedOn w:val="Normal"/>
    <w:rsid w:val="002831AB"/>
    <w:pPr>
      <w:autoSpaceDE w:val="0"/>
      <w:autoSpaceDN w:val="0"/>
      <w:adjustRightInd w:val="0"/>
      <w:spacing w:before="100" w:beforeAutospacing="1" w:after="100" w:afterAutospacing="1" w:line="280" w:lineRule="atLeast"/>
    </w:pPr>
    <w:rPr>
      <w:rFonts w:ascii="Arial" w:hAnsi="Arial" w:cs="Arial"/>
      <w:b/>
      <w:bCs/>
      <w:color w:val="222262"/>
      <w:sz w:val="26"/>
      <w:szCs w:val="26"/>
      <w:lang w:val="en-US" w:eastAsia="es-AR"/>
    </w:rPr>
  </w:style>
  <w:style w:type="paragraph" w:customStyle="1" w:styleId="textonota7">
    <w:name w:val="texto_nota"/>
    <w:basedOn w:val="Normal"/>
    <w:rsid w:val="002831AB"/>
    <w:pPr>
      <w:autoSpaceDE w:val="0"/>
      <w:autoSpaceDN w:val="0"/>
      <w:adjustRightInd w:val="0"/>
      <w:spacing w:before="100" w:beforeAutospacing="1" w:after="100" w:afterAutospacing="1"/>
    </w:pPr>
    <w:rPr>
      <w:rFonts w:ascii="Arial" w:hAnsi="Arial" w:cs="Arial"/>
      <w:sz w:val="18"/>
      <w:szCs w:val="18"/>
      <w:lang w:val="en-US" w:eastAsia="es-AR"/>
    </w:rPr>
  </w:style>
  <w:style w:type="paragraph" w:customStyle="1" w:styleId="P10">
    <w:name w:val="P1"/>
    <w:rsid w:val="002831AB"/>
    <w:pPr>
      <w:widowControl w:val="0"/>
      <w:autoSpaceDE w:val="0"/>
      <w:autoSpaceDN w:val="0"/>
      <w:adjustRightInd w:val="0"/>
      <w:spacing w:line="240" w:lineRule="exact"/>
    </w:pPr>
    <w:rPr>
      <w:lang w:val="en-US"/>
    </w:rPr>
  </w:style>
  <w:style w:type="character" w:customStyle="1" w:styleId="Textoindependiente2Car1">
    <w:name w:val="Texto independiente 2 Car1"/>
    <w:aliases w:val="b2 Car1"/>
    <w:locked/>
    <w:rsid w:val="002831AB"/>
    <w:rPr>
      <w:sz w:val="20"/>
      <w:lang w:val="en-US" w:eastAsia="x-none"/>
    </w:rPr>
  </w:style>
  <w:style w:type="character" w:customStyle="1" w:styleId="Ttulo5Car2">
    <w:name w:val="Título 5 Car2"/>
    <w:semiHidden/>
    <w:locked/>
    <w:rsid w:val="002831AB"/>
    <w:rPr>
      <w:rFonts w:ascii="Calibri" w:hAnsi="Calibri"/>
      <w:b/>
      <w:i/>
      <w:sz w:val="26"/>
      <w:lang w:val="es-ES" w:eastAsia="es-ES"/>
    </w:rPr>
  </w:style>
  <w:style w:type="paragraph" w:customStyle="1" w:styleId="CarCarCarCarCarCarCarCar3CarCarCarCarCarCarCarCarCar1CarCarCar">
    <w:name w:val="Car Car Car Car Car Car Car Car3 Car Car Car Car Car Car Car Car Car1 Car Car Car"/>
    <w:basedOn w:val="Normal"/>
    <w:rsid w:val="002831AB"/>
    <w:pPr>
      <w:autoSpaceDE w:val="0"/>
      <w:autoSpaceDN w:val="0"/>
      <w:adjustRightInd w:val="0"/>
      <w:spacing w:after="160" w:line="240" w:lineRule="exact"/>
    </w:pPr>
    <w:rPr>
      <w:rFonts w:ascii="Verdana" w:eastAsia="PMingLiU" w:hAnsi="Verdana"/>
      <w:lang w:val="en-US" w:eastAsia="es-AR"/>
    </w:rPr>
  </w:style>
  <w:style w:type="paragraph" w:customStyle="1" w:styleId="CarCarCarCarCarCarCarCar3CarCarCarCarCarCarCarCarCar1Car">
    <w:name w:val="Car Car Car Car Car Car Car Car3 Car Car Car Car Car Car Car Car Car1 Car"/>
    <w:basedOn w:val="Normal"/>
    <w:rsid w:val="002831AB"/>
    <w:pPr>
      <w:autoSpaceDE w:val="0"/>
      <w:autoSpaceDN w:val="0"/>
      <w:adjustRightInd w:val="0"/>
      <w:spacing w:after="160" w:line="240" w:lineRule="exact"/>
    </w:pPr>
    <w:rPr>
      <w:rFonts w:ascii="Verdana" w:eastAsia="PMingLiU" w:hAnsi="Verdana"/>
      <w:lang w:val="en-US" w:eastAsia="es-AR"/>
    </w:rPr>
  </w:style>
  <w:style w:type="character" w:customStyle="1" w:styleId="Ttulo2Car1">
    <w:name w:val="Título 2 Car1"/>
    <w:aliases w:val="Tight Slug Car1,Major Car1,T咜ulo 2 Car1,título 2 Car1,h2 Car1,H2 Car1,OPA Car1"/>
    <w:locked/>
    <w:rsid w:val="002831AB"/>
    <w:rPr>
      <w:rFonts w:ascii="Arial" w:hAnsi="Arial"/>
      <w:b/>
      <w:i/>
      <w:sz w:val="28"/>
      <w:lang w:val="en-US" w:eastAsia="x-none"/>
    </w:rPr>
  </w:style>
  <w:style w:type="character" w:customStyle="1" w:styleId="Ttulo3Car1">
    <w:name w:val="Título 3 Car1"/>
    <w:aliases w:val="Note to Director Car1,título 3 Car1,h3 Car1,H3 Car1,3 Car1,TITULOS negrita Car1"/>
    <w:locked/>
    <w:rsid w:val="002831AB"/>
    <w:rPr>
      <w:rFonts w:ascii="Arial" w:hAnsi="Arial"/>
      <w:b/>
      <w:sz w:val="26"/>
      <w:lang w:val="es-ES" w:eastAsia="es-ES"/>
    </w:rPr>
  </w:style>
  <w:style w:type="character" w:customStyle="1" w:styleId="EstiloCorreo1301">
    <w:name w:val="EstiloCorreo1301"/>
    <w:semiHidden/>
    <w:rsid w:val="002831AB"/>
    <w:rPr>
      <w:rFonts w:ascii="Arial" w:hAnsi="Arial"/>
      <w:color w:val="auto"/>
      <w:sz w:val="20"/>
    </w:rPr>
  </w:style>
  <w:style w:type="character" w:customStyle="1" w:styleId="EstiloCorreo1461">
    <w:name w:val="EstiloCorreo1461"/>
    <w:semiHidden/>
    <w:rsid w:val="002831AB"/>
    <w:rPr>
      <w:rFonts w:ascii="Arial" w:hAnsi="Arial"/>
      <w:color w:val="auto"/>
      <w:sz w:val="20"/>
    </w:rPr>
  </w:style>
  <w:style w:type="character" w:customStyle="1" w:styleId="EstiloCorreo1471">
    <w:name w:val="EstiloCorreo1471"/>
    <w:semiHidden/>
    <w:rsid w:val="002831AB"/>
    <w:rPr>
      <w:rFonts w:ascii="Arial" w:hAnsi="Arial"/>
      <w:color w:val="auto"/>
      <w:sz w:val="20"/>
    </w:rPr>
  </w:style>
  <w:style w:type="character" w:customStyle="1" w:styleId="EstiloCorreo1651">
    <w:name w:val="EstiloCorreo1651"/>
    <w:semiHidden/>
    <w:rsid w:val="002831AB"/>
    <w:rPr>
      <w:rFonts w:ascii="Arial" w:hAnsi="Arial"/>
      <w:color w:val="auto"/>
      <w:sz w:val="20"/>
    </w:rPr>
  </w:style>
  <w:style w:type="character" w:customStyle="1" w:styleId="EstiloCorreo1661">
    <w:name w:val="EstiloCorreo1661"/>
    <w:semiHidden/>
    <w:rsid w:val="002831AB"/>
    <w:rPr>
      <w:rFonts w:ascii="Arial" w:hAnsi="Arial"/>
      <w:color w:val="auto"/>
      <w:sz w:val="20"/>
    </w:rPr>
  </w:style>
  <w:style w:type="character" w:customStyle="1" w:styleId="EstiloCorreo1671">
    <w:name w:val="EstiloCorreo1671"/>
    <w:semiHidden/>
    <w:rsid w:val="002831AB"/>
    <w:rPr>
      <w:rFonts w:ascii="Arial" w:hAnsi="Arial"/>
      <w:color w:val="auto"/>
      <w:sz w:val="20"/>
    </w:rPr>
  </w:style>
  <w:style w:type="character" w:customStyle="1" w:styleId="BodySingleChar">
    <w:name w:val="Body Single Char"/>
    <w:rsid w:val="002831AB"/>
    <w:rPr>
      <w:sz w:val="24"/>
      <w:lang w:val="en-US" w:eastAsia="es-ES"/>
    </w:rPr>
  </w:style>
  <w:style w:type="paragraph" w:customStyle="1" w:styleId="Textonota21">
    <w:name w:val="Texto nota 2"/>
    <w:basedOn w:val="Normal"/>
    <w:rsid w:val="002831AB"/>
    <w:pPr>
      <w:autoSpaceDE w:val="0"/>
      <w:autoSpaceDN w:val="0"/>
      <w:adjustRightInd w:val="0"/>
      <w:ind w:left="1152"/>
    </w:pPr>
    <w:rPr>
      <w:rFonts w:ascii="Arial" w:hAnsi="Arial"/>
      <w:sz w:val="19"/>
      <w:lang w:val="en-US" w:eastAsia="es-AR"/>
    </w:rPr>
  </w:style>
  <w:style w:type="paragraph" w:customStyle="1" w:styleId="carol1">
    <w:name w:val="carol1"/>
    <w:basedOn w:val="Normal"/>
    <w:rsid w:val="002831AB"/>
    <w:pPr>
      <w:autoSpaceDE w:val="0"/>
      <w:autoSpaceDN w:val="0"/>
      <w:adjustRightInd w:val="0"/>
      <w:spacing w:line="240" w:lineRule="atLeast"/>
    </w:pPr>
    <w:rPr>
      <w:rFonts w:ascii="Times New Roman" w:hAnsi="Times New Roman"/>
      <w:sz w:val="22"/>
      <w:lang w:val="en-GB" w:eastAsia="es-AR"/>
    </w:rPr>
  </w:style>
  <w:style w:type="paragraph" w:customStyle="1" w:styleId="Textospie8">
    <w:name w:val="Textos pie ( 8 )"/>
    <w:basedOn w:val="Normal"/>
    <w:rsid w:val="002831AB"/>
    <w:pPr>
      <w:numPr>
        <w:numId w:val="36"/>
      </w:numPr>
      <w:tabs>
        <w:tab w:val="clear" w:pos="720"/>
      </w:tabs>
      <w:autoSpaceDE w:val="0"/>
      <w:autoSpaceDN w:val="0"/>
      <w:adjustRightInd w:val="0"/>
      <w:ind w:left="0" w:firstLine="0"/>
      <w:jc w:val="both"/>
    </w:pPr>
    <w:rPr>
      <w:rFonts w:ascii="Arial" w:hAnsi="Arial"/>
      <w:sz w:val="16"/>
      <w:lang w:val="en-US" w:eastAsia="es-AR"/>
    </w:rPr>
  </w:style>
  <w:style w:type="paragraph" w:customStyle="1" w:styleId="Style10">
    <w:name w:val="Style 1"/>
    <w:basedOn w:val="Normal"/>
    <w:rsid w:val="002831AB"/>
    <w:pPr>
      <w:widowControl w:val="0"/>
      <w:autoSpaceDE w:val="0"/>
      <w:autoSpaceDN w:val="0"/>
      <w:adjustRightInd w:val="0"/>
    </w:pPr>
    <w:rPr>
      <w:rFonts w:ascii="Times New Roman" w:hAnsi="Times New Roman"/>
      <w:lang w:val="en-US" w:eastAsia="es-AR"/>
    </w:rPr>
  </w:style>
  <w:style w:type="paragraph" w:customStyle="1" w:styleId="2titulo">
    <w:name w:val="2titulo"/>
    <w:basedOn w:val="Normal"/>
    <w:rsid w:val="002831AB"/>
    <w:pPr>
      <w:autoSpaceDE w:val="0"/>
      <w:autoSpaceDN w:val="0"/>
      <w:adjustRightInd w:val="0"/>
    </w:pPr>
    <w:rPr>
      <w:rFonts w:ascii="Times New Roman" w:hAnsi="Times New Roman"/>
      <w:lang w:val="en-US" w:eastAsia="es-AR"/>
    </w:rPr>
  </w:style>
  <w:style w:type="paragraph" w:customStyle="1" w:styleId="CharCharCharCharCharCharCharChar">
    <w:name w:val="Char Char Char Char Char Char Char Char"/>
    <w:basedOn w:val="Normal"/>
    <w:rsid w:val="002831AB"/>
    <w:pPr>
      <w:tabs>
        <w:tab w:val="left" w:pos="720"/>
      </w:tabs>
      <w:autoSpaceDE w:val="0"/>
      <w:autoSpaceDN w:val="0"/>
      <w:adjustRightInd w:val="0"/>
      <w:spacing w:after="160" w:line="240" w:lineRule="exact"/>
    </w:pPr>
    <w:rPr>
      <w:rFonts w:ascii="Verdana" w:eastAsia="Batang" w:hAnsi="Verdana"/>
      <w:lang w:val="en-US" w:eastAsia="es-AR"/>
    </w:rPr>
  </w:style>
  <w:style w:type="paragraph" w:customStyle="1" w:styleId="titlet">
    <w:name w:val="title t"/>
    <w:basedOn w:val="Subttulo"/>
    <w:rsid w:val="002831AB"/>
    <w:pPr>
      <w:ind w:left="700" w:hanging="700"/>
      <w:jc w:val="left"/>
      <w:outlineLvl w:val="9"/>
    </w:pPr>
    <w:rPr>
      <w:rFonts w:eastAsia="MS Mincho"/>
      <w:b/>
      <w:bCs/>
    </w:rPr>
  </w:style>
  <w:style w:type="paragraph" w:customStyle="1" w:styleId="Timesnewroman">
    <w:name w:val="Times new roman"/>
    <w:basedOn w:val="Normal"/>
    <w:rsid w:val="002831AB"/>
    <w:pPr>
      <w:autoSpaceDE w:val="0"/>
      <w:autoSpaceDN w:val="0"/>
      <w:adjustRightInd w:val="0"/>
    </w:pPr>
    <w:rPr>
      <w:rFonts w:ascii="Arial" w:hAnsi="Arial" w:cs="Arial"/>
      <w:sz w:val="18"/>
      <w:szCs w:val="18"/>
      <w:lang w:val="en-US" w:eastAsia="es-AR"/>
    </w:rPr>
  </w:style>
  <w:style w:type="paragraph" w:customStyle="1" w:styleId="CharCharCharCharChar">
    <w:name w:val="Char Char Char Char Char"/>
    <w:basedOn w:val="Normal"/>
    <w:rsid w:val="002831AB"/>
    <w:pPr>
      <w:tabs>
        <w:tab w:val="left" w:pos="720"/>
      </w:tabs>
      <w:autoSpaceDE w:val="0"/>
      <w:autoSpaceDN w:val="0"/>
      <w:adjustRightInd w:val="0"/>
      <w:spacing w:after="160" w:line="240" w:lineRule="exact"/>
    </w:pPr>
    <w:rPr>
      <w:rFonts w:ascii="Verdana" w:eastAsia="Batang" w:hAnsi="Verdana"/>
      <w:lang w:val="en-US" w:eastAsia="es-AR"/>
    </w:rPr>
  </w:style>
  <w:style w:type="paragraph" w:customStyle="1" w:styleId="btext">
    <w:name w:val="btext"/>
    <w:basedOn w:val="Normal"/>
    <w:rsid w:val="002831AB"/>
    <w:pPr>
      <w:autoSpaceDE w:val="0"/>
      <w:autoSpaceDN w:val="0"/>
      <w:adjustRightInd w:val="0"/>
      <w:spacing w:before="100" w:beforeAutospacing="1" w:after="100" w:afterAutospacing="1"/>
    </w:pPr>
    <w:rPr>
      <w:rFonts w:ascii="Times New Roman" w:hAnsi="Times New Roman"/>
      <w:lang w:val="en-US" w:eastAsia="es-AR"/>
    </w:rPr>
  </w:style>
  <w:style w:type="paragraph" w:customStyle="1" w:styleId="Memo">
    <w:name w:val="Memo"/>
    <w:basedOn w:val="Normal"/>
    <w:rsid w:val="002831AB"/>
    <w:pPr>
      <w:autoSpaceDE w:val="0"/>
      <w:autoSpaceDN w:val="0"/>
      <w:adjustRightInd w:val="0"/>
      <w:spacing w:before="120" w:line="240" w:lineRule="atLeast"/>
      <w:jc w:val="both"/>
    </w:pPr>
    <w:rPr>
      <w:rFonts w:ascii="Arial" w:hAnsi="Arial"/>
      <w:color w:val="000000"/>
      <w:lang w:val="en-US" w:eastAsia="es-AR"/>
    </w:rPr>
  </w:style>
  <w:style w:type="character" w:customStyle="1" w:styleId="MemoChar">
    <w:name w:val="Memo Char"/>
    <w:rsid w:val="002831AB"/>
    <w:rPr>
      <w:rFonts w:ascii="Arial" w:hAnsi="Arial"/>
      <w:color w:val="000000"/>
      <w:sz w:val="24"/>
      <w:lang w:val="en-US" w:eastAsia="x-none"/>
    </w:rPr>
  </w:style>
  <w:style w:type="paragraph" w:customStyle="1" w:styleId="Pa7">
    <w:name w:val="Pa7"/>
    <w:basedOn w:val="Normal"/>
    <w:next w:val="Normal"/>
    <w:rsid w:val="002831AB"/>
    <w:pPr>
      <w:autoSpaceDE w:val="0"/>
      <w:autoSpaceDN w:val="0"/>
      <w:adjustRightInd w:val="0"/>
      <w:spacing w:after="140" w:line="156" w:lineRule="atLeast"/>
    </w:pPr>
    <w:rPr>
      <w:rFonts w:ascii="HelveticaNeueLT Std" w:hAnsi="HelveticaNeueLT Std"/>
      <w:lang w:eastAsia="es-AR"/>
    </w:rPr>
  </w:style>
  <w:style w:type="character" w:customStyle="1" w:styleId="A6">
    <w:name w:val="A6"/>
    <w:rsid w:val="002831AB"/>
    <w:rPr>
      <w:rFonts w:ascii="HelveticaNeueLT Std Cn" w:hAnsi="HelveticaNeueLT Std Cn"/>
      <w:b/>
      <w:color w:val="000000"/>
      <w:sz w:val="13"/>
    </w:rPr>
  </w:style>
  <w:style w:type="paragraph" w:customStyle="1" w:styleId="Pa23">
    <w:name w:val="Pa23"/>
    <w:basedOn w:val="Normal"/>
    <w:next w:val="Normal"/>
    <w:rsid w:val="002831AB"/>
    <w:pPr>
      <w:autoSpaceDE w:val="0"/>
      <w:autoSpaceDN w:val="0"/>
      <w:adjustRightInd w:val="0"/>
      <w:spacing w:line="156" w:lineRule="atLeast"/>
    </w:pPr>
    <w:rPr>
      <w:rFonts w:ascii="HelveticaNeueLT Std" w:hAnsi="HelveticaNeueLT Std"/>
      <w:lang w:eastAsia="es-AR"/>
    </w:rPr>
  </w:style>
  <w:style w:type="paragraph" w:customStyle="1" w:styleId="Pa27">
    <w:name w:val="Pa27"/>
    <w:basedOn w:val="Normal"/>
    <w:next w:val="Normal"/>
    <w:rsid w:val="002831AB"/>
    <w:pPr>
      <w:autoSpaceDE w:val="0"/>
      <w:autoSpaceDN w:val="0"/>
      <w:adjustRightInd w:val="0"/>
      <w:spacing w:after="140" w:line="156" w:lineRule="atLeast"/>
    </w:pPr>
    <w:rPr>
      <w:rFonts w:ascii="HelveticaNeueLT Std" w:hAnsi="HelveticaNeueLT Std"/>
      <w:lang w:eastAsia="es-AR"/>
    </w:rPr>
  </w:style>
  <w:style w:type="character" w:customStyle="1" w:styleId="A11">
    <w:name w:val="A11"/>
    <w:rsid w:val="002831AB"/>
    <w:rPr>
      <w:color w:val="000000"/>
      <w:sz w:val="15"/>
    </w:rPr>
  </w:style>
  <w:style w:type="character" w:customStyle="1" w:styleId="A10">
    <w:name w:val="A10"/>
    <w:rsid w:val="002831AB"/>
    <w:rPr>
      <w:b/>
      <w:color w:val="000000"/>
      <w:sz w:val="9"/>
    </w:rPr>
  </w:style>
  <w:style w:type="character" w:customStyle="1" w:styleId="nfasisintenso1">
    <w:name w:val="Énfasis intenso1"/>
    <w:rsid w:val="002831AB"/>
    <w:rPr>
      <w:b/>
      <w:i/>
      <w:color w:val="4F81BD"/>
    </w:rPr>
  </w:style>
  <w:style w:type="paragraph" w:customStyle="1" w:styleId="Citadestacada1">
    <w:name w:val="Cita destacada1"/>
    <w:basedOn w:val="Normal"/>
    <w:next w:val="Normal"/>
    <w:link w:val="IntenseQuoteChar"/>
    <w:rsid w:val="002831AB"/>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IntenseQuoteChar">
    <w:name w:val="Intense Quote Char"/>
    <w:link w:val="Citadestacada1"/>
    <w:locked/>
    <w:rsid w:val="002831AB"/>
    <w:rPr>
      <w:rFonts w:ascii="Times New Roman" w:eastAsia="Times New Roman" w:hAnsi="Times New Roman"/>
      <w:b/>
      <w:i/>
      <w:color w:val="4F81BD"/>
      <w:lang w:val="en-US" w:eastAsia="es-AR"/>
    </w:rPr>
  </w:style>
  <w:style w:type="character" w:customStyle="1" w:styleId="Referenciaintensa1">
    <w:name w:val="Referencia intensa1"/>
    <w:rsid w:val="002831AB"/>
    <w:rPr>
      <w:b/>
      <w:smallCaps/>
      <w:color w:val="C0504D"/>
      <w:spacing w:val="5"/>
      <w:u w:val="single"/>
    </w:rPr>
  </w:style>
  <w:style w:type="character" w:customStyle="1" w:styleId="nfasissutil1">
    <w:name w:val="Énfasis sutil1"/>
    <w:rsid w:val="002831AB"/>
    <w:rPr>
      <w:i/>
      <w:color w:val="808080"/>
    </w:rPr>
  </w:style>
  <w:style w:type="character" w:customStyle="1" w:styleId="Referenciasutil1">
    <w:name w:val="Referencia sutil1"/>
    <w:rsid w:val="002831AB"/>
    <w:rPr>
      <w:smallCaps/>
      <w:color w:val="C0504D"/>
      <w:u w:val="single"/>
    </w:rPr>
  </w:style>
  <w:style w:type="paragraph" w:customStyle="1" w:styleId="SectionHeading">
    <w:name w:val="Section Heading"/>
    <w:basedOn w:val="Ttulo1"/>
    <w:next w:val="Textoindependiente"/>
    <w:qFormat/>
    <w:rsid w:val="00B86C83"/>
    <w:pPr>
      <w:pageBreakBefore/>
      <w:framePr w:w="10478" w:wrap="notBeside" w:vAnchor="page" w:hAnchor="margin" w:y="1135"/>
      <w:autoSpaceDE w:val="0"/>
      <w:autoSpaceDN w:val="0"/>
      <w:adjustRightInd w:val="0"/>
      <w:spacing w:before="0" w:after="120" w:line="720" w:lineRule="exact"/>
    </w:pPr>
    <w:rPr>
      <w:rFonts w:ascii="Georgia" w:hAnsi="Georgia"/>
      <w:b w:val="0"/>
      <w:color w:val="968C6D"/>
      <w:sz w:val="72"/>
    </w:rPr>
  </w:style>
  <w:style w:type="paragraph" w:customStyle="1" w:styleId="Logo">
    <w:name w:val="Logo"/>
    <w:basedOn w:val="Normal"/>
    <w:next w:val="Textoindependiente"/>
    <w:qFormat/>
    <w:rsid w:val="00B86C83"/>
    <w:pPr>
      <w:autoSpaceDE w:val="0"/>
      <w:autoSpaceDN w:val="0"/>
      <w:adjustRightInd w:val="0"/>
      <w:spacing w:line="204" w:lineRule="auto"/>
      <w:jc w:val="right"/>
    </w:pPr>
    <w:rPr>
      <w:rFonts w:ascii="PwC_Logo" w:hAnsi="PwC_Logo"/>
      <w:color w:val="968C6D"/>
      <w:sz w:val="48"/>
      <w:szCs w:val="48"/>
      <w:lang w:val="en-US" w:eastAsia="es-AR"/>
    </w:rPr>
  </w:style>
  <w:style w:type="paragraph" w:customStyle="1" w:styleId="TextePrinc">
    <w:name w:val="TextePrinc"/>
    <w:basedOn w:val="Normal"/>
    <w:rsid w:val="002831AB"/>
    <w:pPr>
      <w:tabs>
        <w:tab w:val="left" w:pos="1413"/>
        <w:tab w:val="left" w:pos="2122"/>
        <w:tab w:val="left" w:pos="2832"/>
        <w:tab w:val="left" w:pos="3538"/>
        <w:tab w:val="left" w:pos="4248"/>
        <w:tab w:val="left" w:pos="4957"/>
        <w:tab w:val="left" w:pos="5661"/>
        <w:tab w:val="left" w:pos="6368"/>
        <w:tab w:val="left" w:pos="7077"/>
        <w:tab w:val="left" w:pos="7787"/>
        <w:tab w:val="left" w:pos="8496"/>
      </w:tabs>
      <w:overflowPunct w:val="0"/>
      <w:autoSpaceDE w:val="0"/>
      <w:autoSpaceDN w:val="0"/>
      <w:adjustRightInd w:val="0"/>
      <w:textAlignment w:val="baseline"/>
    </w:pPr>
    <w:rPr>
      <w:rFonts w:ascii="Arial" w:hAnsi="Arial"/>
      <w:noProof/>
      <w:color w:val="000000"/>
      <w:sz w:val="18"/>
      <w:lang w:val="en-US" w:eastAsia="es-AR"/>
    </w:rPr>
  </w:style>
  <w:style w:type="paragraph" w:customStyle="1" w:styleId="TextoindependientebtbbodytextCG-SingleSp05s2BodyText5JBodyText5s2JSecondHeading2SecondHeadingCG-SingleSp0BodyText5J5s2Js9SecondHeading9CG-SingleSp051s21MBPBdSinglet65LMBPBdSingleSp5LBT5">
    <w:name w:val="Texto independiente.bt.b.body text.CG-Single Sp 0.5.s2.!Body Text .5(J).!Body Text .5s2(J).Second Heading 2.Second Heading.CG-Single Sp 0.!Body Text.5(J).5s2(J).s9.Second Heading 9.CG-Single Sp 0.51.s21.MBP_Bd Single t6 .5 L.MBP_Bd Single Sp .5 L.BT.5"/>
    <w:basedOn w:val="Normal"/>
    <w:rsid w:val="002831AB"/>
    <w:pPr>
      <w:autoSpaceDE w:val="0"/>
      <w:autoSpaceDN w:val="0"/>
      <w:adjustRightInd w:val="0"/>
      <w:jc w:val="both"/>
    </w:pPr>
    <w:rPr>
      <w:rFonts w:ascii="Times New Roman" w:hAnsi="Times New Roman"/>
      <w:lang w:val="en-US" w:eastAsia="es-AR"/>
    </w:rPr>
  </w:style>
  <w:style w:type="character" w:customStyle="1" w:styleId="EncabezadoCar1">
    <w:name w:val="Encabezado Car1"/>
    <w:aliases w:val="encabezado Car1,Guideline Car1"/>
    <w:rsid w:val="002831AB"/>
    <w:rPr>
      <w:rFonts w:ascii="Univers" w:hAnsi="Univers"/>
      <w:sz w:val="20"/>
      <w:lang w:val="es-ES_tradnl" w:eastAsia="es-ES"/>
    </w:rPr>
  </w:style>
  <w:style w:type="character" w:customStyle="1" w:styleId="PiedepginaCar1">
    <w:name w:val="Pie de página Car1"/>
    <w:rsid w:val="002831AB"/>
    <w:rPr>
      <w:rFonts w:ascii="Univers" w:hAnsi="Univers"/>
      <w:sz w:val="20"/>
      <w:lang w:val="es-ES_tradnl" w:eastAsia="es-ES"/>
    </w:rPr>
  </w:style>
  <w:style w:type="paragraph" w:customStyle="1" w:styleId="ecxmsonormal">
    <w:name w:val="ecxmsonormal"/>
    <w:basedOn w:val="Normal"/>
    <w:rsid w:val="002831AB"/>
    <w:pPr>
      <w:autoSpaceDE w:val="0"/>
      <w:autoSpaceDN w:val="0"/>
      <w:adjustRightInd w:val="0"/>
      <w:spacing w:before="100" w:beforeAutospacing="1" w:after="100" w:afterAutospacing="1"/>
    </w:pPr>
    <w:rPr>
      <w:rFonts w:ascii="Times New Roman" w:hAnsi="Times New Roman"/>
      <w:lang w:eastAsia="es-AR"/>
    </w:rPr>
  </w:style>
  <w:style w:type="paragraph" w:customStyle="1" w:styleId="ecxmsolistparagraph">
    <w:name w:val="ecxmsolistparagraph"/>
    <w:basedOn w:val="Normal"/>
    <w:rsid w:val="002831AB"/>
    <w:pPr>
      <w:autoSpaceDE w:val="0"/>
      <w:autoSpaceDN w:val="0"/>
      <w:adjustRightInd w:val="0"/>
      <w:spacing w:before="100" w:beforeAutospacing="1" w:after="100" w:afterAutospacing="1"/>
    </w:pPr>
    <w:rPr>
      <w:rFonts w:ascii="Times New Roman" w:hAnsi="Times New Roman"/>
      <w:lang w:eastAsia="es-AR"/>
    </w:rPr>
  </w:style>
  <w:style w:type="paragraph" w:customStyle="1" w:styleId="ecxtabla10">
    <w:name w:val="ecxtabla10"/>
    <w:basedOn w:val="Normal"/>
    <w:rsid w:val="002831AB"/>
    <w:pPr>
      <w:autoSpaceDE w:val="0"/>
      <w:autoSpaceDN w:val="0"/>
      <w:adjustRightInd w:val="0"/>
      <w:spacing w:before="100" w:beforeAutospacing="1" w:after="100" w:afterAutospacing="1"/>
    </w:pPr>
    <w:rPr>
      <w:rFonts w:ascii="Times New Roman" w:hAnsi="Times New Roman"/>
      <w:lang w:eastAsia="es-AR"/>
    </w:rPr>
  </w:style>
  <w:style w:type="paragraph" w:customStyle="1" w:styleId="ecxtextopredeterminado">
    <w:name w:val="ecxtextopredeterminado"/>
    <w:basedOn w:val="Normal"/>
    <w:rsid w:val="002831AB"/>
    <w:pPr>
      <w:autoSpaceDE w:val="0"/>
      <w:autoSpaceDN w:val="0"/>
      <w:adjustRightInd w:val="0"/>
      <w:spacing w:before="100" w:beforeAutospacing="1" w:after="100" w:afterAutospacing="1"/>
    </w:pPr>
    <w:rPr>
      <w:rFonts w:ascii="Times New Roman" w:hAnsi="Times New Roman"/>
      <w:lang w:eastAsia="es-AR"/>
    </w:rPr>
  </w:style>
  <w:style w:type="paragraph" w:customStyle="1" w:styleId="TablaFinanzas">
    <w:name w:val="Tabla Finanzas"/>
    <w:basedOn w:val="Normal"/>
    <w:rsid w:val="002831AB"/>
    <w:pPr>
      <w:autoSpaceDE w:val="0"/>
      <w:autoSpaceDN w:val="0"/>
      <w:adjustRightInd w:val="0"/>
      <w:jc w:val="center"/>
    </w:pPr>
    <w:rPr>
      <w:rFonts w:ascii="Tahoma" w:hAnsi="Tahoma" w:cs="Tahoma"/>
      <w:bCs/>
      <w:color w:val="FFFFFF"/>
      <w:sz w:val="16"/>
      <w:szCs w:val="14"/>
      <w:lang w:eastAsia="es-AR"/>
    </w:rPr>
  </w:style>
  <w:style w:type="character" w:customStyle="1" w:styleId="TablaFinanzasCar">
    <w:name w:val="Tabla Finanzas Car"/>
    <w:rsid w:val="002831AB"/>
    <w:rPr>
      <w:rFonts w:ascii="Tahoma" w:hAnsi="Tahoma"/>
      <w:color w:val="FFFFFF"/>
      <w:sz w:val="14"/>
      <w:lang w:val="x-none" w:eastAsia="en-US"/>
    </w:rPr>
  </w:style>
  <w:style w:type="paragraph" w:customStyle="1" w:styleId="s3-8510">
    <w:name w:val="s3-8510"/>
    <w:basedOn w:val="Normal"/>
    <w:rsid w:val="002831AB"/>
    <w:pPr>
      <w:widowControl w:val="0"/>
      <w:autoSpaceDE w:val="0"/>
      <w:autoSpaceDN w:val="0"/>
      <w:adjustRightInd w:val="0"/>
      <w:spacing w:before="100" w:beforeAutospacing="1" w:after="100" w:afterAutospacing="1"/>
    </w:pPr>
    <w:rPr>
      <w:rFonts w:ascii="Times New Roman" w:hAnsi="Times New Roman"/>
      <w:sz w:val="24"/>
      <w:szCs w:val="24"/>
      <w:lang w:eastAsia="es-ES"/>
    </w:rPr>
  </w:style>
  <w:style w:type="character" w:customStyle="1" w:styleId="TitleBCCar">
    <w:name w:val="Title BC Car"/>
    <w:rsid w:val="002831AB"/>
    <w:rPr>
      <w:rFonts w:ascii="Times New Roman Bold" w:hAnsi="Times New Roman Bold"/>
      <w:b/>
      <w:caps/>
      <w:lang w:val="en-US" w:eastAsia="en-US"/>
    </w:rPr>
  </w:style>
  <w:style w:type="paragraph" w:customStyle="1" w:styleId="TitleBI5">
    <w:name w:val="Title BI .5"/>
    <w:basedOn w:val="Normal"/>
    <w:next w:val="Textoindependiente"/>
    <w:qFormat/>
    <w:rsid w:val="002831AB"/>
    <w:pPr>
      <w:keepNext/>
      <w:spacing w:after="240"/>
      <w:ind w:firstLine="720"/>
    </w:pPr>
    <w:rPr>
      <w:rFonts w:ascii="Times New Roman" w:hAnsi="Times New Roman"/>
      <w:b/>
      <w:bCs/>
      <w:i/>
      <w:iCs/>
      <w:lang w:val="en-US" w:eastAsia="es-AR"/>
    </w:rPr>
  </w:style>
  <w:style w:type="character" w:customStyle="1" w:styleId="TitleBCar">
    <w:name w:val="Title B Car"/>
    <w:aliases w:val="tb Car"/>
    <w:rsid w:val="002831AB"/>
    <w:rPr>
      <w:rFonts w:ascii="Times New Roman" w:hAnsi="Times New Roman"/>
      <w:b/>
      <w:lang w:val="en-US" w:eastAsia="en-US"/>
    </w:rPr>
  </w:style>
  <w:style w:type="paragraph" w:customStyle="1" w:styleId="Titulo1TS">
    <w:name w:val="Titulo 1 TS"/>
    <w:basedOn w:val="Normal"/>
    <w:link w:val="Titulo1TSCar"/>
    <w:rsid w:val="002831AB"/>
    <w:pPr>
      <w:autoSpaceDE w:val="0"/>
      <w:autoSpaceDN w:val="0"/>
      <w:adjustRightInd w:val="0"/>
    </w:pPr>
    <w:rPr>
      <w:rFonts w:ascii="Times New Roman" w:hAnsi="Times New Roman"/>
      <w:b/>
      <w:lang w:val="en-US" w:eastAsia="es-AR"/>
    </w:rPr>
  </w:style>
  <w:style w:type="character" w:customStyle="1" w:styleId="Titulo1TSCar">
    <w:name w:val="Titulo 1 TS Car"/>
    <w:link w:val="Titulo1TS"/>
    <w:locked/>
    <w:rsid w:val="002831AB"/>
    <w:rPr>
      <w:rFonts w:ascii="Times New Roman" w:eastAsia="Times New Roman" w:hAnsi="Times New Roman"/>
      <w:b/>
      <w:lang w:val="en-US" w:eastAsia="es-AR"/>
    </w:rPr>
  </w:style>
  <w:style w:type="paragraph" w:customStyle="1" w:styleId="Titulo2TS">
    <w:name w:val="Titulo 2 TS"/>
    <w:basedOn w:val="Textoindependiente"/>
    <w:link w:val="Titulo2TSCar"/>
    <w:rsid w:val="002831AB"/>
    <w:pPr>
      <w:spacing w:before="240" w:after="360"/>
      <w:jc w:val="center"/>
    </w:pPr>
    <w:rPr>
      <w:b/>
      <w:sz w:val="22"/>
      <w:u w:val="single"/>
      <w:lang w:val="x-none" w:eastAsia="x-none"/>
    </w:rPr>
  </w:style>
  <w:style w:type="character" w:customStyle="1" w:styleId="Titulo2TSCar">
    <w:name w:val="Titulo 2 TS Car"/>
    <w:link w:val="Titulo2TS"/>
    <w:locked/>
    <w:rsid w:val="002831AB"/>
    <w:rPr>
      <w:rFonts w:ascii="Times New Roman" w:eastAsia="Times New Roman" w:hAnsi="Times New Roman"/>
      <w:b/>
      <w:sz w:val="22"/>
      <w:u w:val="single"/>
    </w:rPr>
  </w:style>
  <w:style w:type="paragraph" w:customStyle="1" w:styleId="Ttulo2abcTS">
    <w:name w:val="Título 2 a) b) c) TS"/>
    <w:basedOn w:val="Subttulo"/>
    <w:link w:val="Ttulo2abcTSCar"/>
    <w:rsid w:val="002831AB"/>
    <w:pPr>
      <w:spacing w:after="240"/>
      <w:jc w:val="left"/>
      <w:outlineLvl w:val="9"/>
    </w:pPr>
    <w:rPr>
      <w:rFonts w:ascii="Times New Roman" w:hAnsi="Times New Roman"/>
      <w:b/>
      <w:u w:val="single"/>
      <w:lang w:val="x-none"/>
    </w:rPr>
  </w:style>
  <w:style w:type="character" w:customStyle="1" w:styleId="Ttulo2abcTSCar">
    <w:name w:val="Título 2 a) b) c) TS Car"/>
    <w:link w:val="Ttulo2abcTS"/>
    <w:locked/>
    <w:rsid w:val="002831AB"/>
    <w:rPr>
      <w:rFonts w:ascii="Times New Roman" w:hAnsi="Times New Roman"/>
      <w:b/>
      <w:sz w:val="24"/>
      <w:u w:val="single"/>
      <w:lang w:val="x-none" w:eastAsia="es-AR"/>
    </w:rPr>
  </w:style>
  <w:style w:type="paragraph" w:customStyle="1" w:styleId="TitleBitalics5">
    <w:name w:val="Title B italics .5"/>
    <w:basedOn w:val="Normal"/>
    <w:rsid w:val="002831AB"/>
    <w:pPr>
      <w:keepNext/>
      <w:autoSpaceDE w:val="0"/>
      <w:autoSpaceDN w:val="0"/>
      <w:adjustRightInd w:val="0"/>
      <w:spacing w:after="240"/>
      <w:ind w:left="720"/>
      <w:contextualSpacing/>
    </w:pPr>
    <w:rPr>
      <w:rFonts w:ascii="Times New Roman" w:eastAsia="MS Mincho" w:hAnsi="Times New Roman"/>
      <w:b/>
      <w:i/>
      <w:szCs w:val="24"/>
      <w:lang w:val="en-US"/>
    </w:rPr>
  </w:style>
  <w:style w:type="paragraph" w:customStyle="1" w:styleId="Tablenotes3">
    <w:name w:val="Table notes"/>
    <w:basedOn w:val="Normal"/>
    <w:qFormat/>
    <w:rsid w:val="002831AB"/>
    <w:pPr>
      <w:autoSpaceDE w:val="0"/>
      <w:autoSpaceDN w:val="0"/>
      <w:adjustRightInd w:val="0"/>
      <w:spacing w:after="120"/>
      <w:ind w:left="360" w:hanging="360"/>
    </w:pPr>
    <w:rPr>
      <w:rFonts w:ascii="Times New Roman" w:eastAsia="MS Mincho" w:hAnsi="Times New Roman"/>
      <w:sz w:val="16"/>
      <w:szCs w:val="16"/>
      <w:lang w:val="en-US"/>
    </w:rPr>
  </w:style>
  <w:style w:type="table" w:customStyle="1" w:styleId="Tablaconcuadrcula2">
    <w:name w:val="Tabla con cuadrícula2"/>
    <w:rsid w:val="002831AB"/>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
    <w:name w:val="Tabla con cuadrícula11"/>
    <w:uiPriority w:val="99"/>
    <w:rsid w:val="002831AB"/>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oindependiente241">
    <w:name w:val="Texto independiente 241"/>
    <w:basedOn w:val="Normal"/>
    <w:rsid w:val="002831AB"/>
    <w:pPr>
      <w:ind w:left="284" w:firstLine="709"/>
      <w:jc w:val="both"/>
    </w:pPr>
    <w:rPr>
      <w:rFonts w:ascii="Book Antiqua" w:hAnsi="Book Antiqua"/>
      <w:kern w:val="18"/>
      <w:lang w:val="es-ES" w:eastAsia="es-ES"/>
    </w:rPr>
  </w:style>
  <w:style w:type="paragraph" w:customStyle="1" w:styleId="Textoindependiente25">
    <w:name w:val="Texto independiente 25"/>
    <w:basedOn w:val="Normal"/>
    <w:rsid w:val="002831AB"/>
    <w:pPr>
      <w:ind w:left="284" w:firstLine="709"/>
      <w:jc w:val="both"/>
    </w:pPr>
    <w:rPr>
      <w:rFonts w:ascii="Book Antiqua" w:hAnsi="Book Antiqua"/>
      <w:kern w:val="18"/>
      <w:lang w:val="es-ES" w:eastAsia="es-ES"/>
    </w:rPr>
  </w:style>
  <w:style w:type="table" w:customStyle="1" w:styleId="Tablaconcuadrcula3">
    <w:name w:val="Tabla con cuadrícula3"/>
    <w:rsid w:val="00172B63"/>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
    <w:name w:val="Tabla con cuadrícula12"/>
    <w:uiPriority w:val="99"/>
    <w:rsid w:val="00172B63"/>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
    <w:name w:val="Tabla con cuadrícula21"/>
    <w:rsid w:val="00172B63"/>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
    <w:name w:val="Tabla con cuadrícula111"/>
    <w:uiPriority w:val="99"/>
    <w:rsid w:val="00172B63"/>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horttext">
    <w:name w:val="short_text"/>
    <w:rsid w:val="003C2969"/>
  </w:style>
  <w:style w:type="table" w:customStyle="1" w:styleId="Tablaconcuadrcula4">
    <w:name w:val="Tabla con cuadrícula4"/>
    <w:rsid w:val="00CE4061"/>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3">
    <w:name w:val="Tabla con cuadrícula13"/>
    <w:uiPriority w:val="99"/>
    <w:rsid w:val="00CE4061"/>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rsid w:val="00CE4061"/>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2">
    <w:name w:val="Tabla con cuadrícula112"/>
    <w:uiPriority w:val="99"/>
    <w:rsid w:val="00CE4061"/>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
    <w:name w:val="Tabla con cuadrícula31"/>
    <w:rsid w:val="00CE4061"/>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1">
    <w:name w:val="Tabla con cuadrícula121"/>
    <w:uiPriority w:val="99"/>
    <w:rsid w:val="00CE4061"/>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
    <w:name w:val="Tabla con cuadrícula211"/>
    <w:rsid w:val="00CE4061"/>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1">
    <w:name w:val="Tabla con cuadrícula1111"/>
    <w:uiPriority w:val="99"/>
    <w:rsid w:val="00CE4061"/>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
    <w:name w:val="Tabla con cuadrícula5"/>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4">
    <w:name w:val="Tabla con cuadrícula14"/>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3">
    <w:name w:val="Tabla con cuadrícula113"/>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
    <w:name w:val="Tabla con cuadrícula32"/>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2">
    <w:name w:val="Tabla con cuadrícula122"/>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2">
    <w:name w:val="Tabla con cuadrícula212"/>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2">
    <w:name w:val="Tabla con cuadrícula1112"/>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
    <w:name w:val="Tabla con cuadrícula6"/>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5">
    <w:name w:val="Tabla con cuadrícula15"/>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4">
    <w:name w:val="Tabla con cuadrícula24"/>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4">
    <w:name w:val="Tabla con cuadrícula114"/>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3">
    <w:name w:val="Tabla con cuadrícula33"/>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3">
    <w:name w:val="Tabla con cuadrícula123"/>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3">
    <w:name w:val="Tabla con cuadrícula213"/>
    <w:rsid w:val="00FB3FC9"/>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3">
    <w:name w:val="Tabla con cuadrícula1113"/>
    <w:uiPriority w:val="99"/>
    <w:rsid w:val="00FB3FC9"/>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
    <w:name w:val="Tabla con cuadrícula7"/>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6">
    <w:name w:val="Tabla con cuadrícula16"/>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5">
    <w:name w:val="Tabla con cuadrícula25"/>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5">
    <w:name w:val="Tabla con cuadrícula115"/>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4">
    <w:name w:val="Tabla con cuadrícula34"/>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4">
    <w:name w:val="Tabla con cuadrícula124"/>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4">
    <w:name w:val="Tabla con cuadrícula214"/>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4">
    <w:name w:val="Tabla con cuadrícula1114"/>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
    <w:name w:val="Tabla con cuadrícula8"/>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7">
    <w:name w:val="Tabla con cuadrícula17"/>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6">
    <w:name w:val="Tabla con cuadrícula26"/>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6">
    <w:name w:val="Tabla con cuadrícula116"/>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5">
    <w:name w:val="Tabla con cuadrícula35"/>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5">
    <w:name w:val="Tabla con cuadrícula125"/>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5">
    <w:name w:val="Tabla con cuadrícula215"/>
    <w:rsid w:val="000B006E"/>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5">
    <w:name w:val="Tabla con cuadrícula1115"/>
    <w:uiPriority w:val="99"/>
    <w:rsid w:val="000B006E"/>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35">
    <w:name w:val="s35"/>
    <w:basedOn w:val="Normal"/>
    <w:rsid w:val="00993F3A"/>
    <w:pPr>
      <w:spacing w:before="100" w:beforeAutospacing="1" w:after="100" w:afterAutospacing="1"/>
    </w:pPr>
    <w:rPr>
      <w:rFonts w:ascii="Times New Roman" w:hAnsi="Times New Roman"/>
      <w:sz w:val="24"/>
      <w:szCs w:val="24"/>
      <w:lang w:eastAsia="es-AR"/>
    </w:rPr>
  </w:style>
  <w:style w:type="paragraph" w:customStyle="1" w:styleId="s42">
    <w:name w:val="s42"/>
    <w:basedOn w:val="Normal"/>
    <w:rsid w:val="00993F3A"/>
    <w:pPr>
      <w:spacing w:before="100" w:beforeAutospacing="1" w:after="100" w:afterAutospacing="1"/>
    </w:pPr>
    <w:rPr>
      <w:rFonts w:ascii="Times New Roman" w:hAnsi="Times New Roman"/>
      <w:sz w:val="24"/>
      <w:szCs w:val="24"/>
      <w:lang w:eastAsia="es-AR"/>
    </w:rPr>
  </w:style>
  <w:style w:type="paragraph" w:customStyle="1" w:styleId="s44">
    <w:name w:val="s44"/>
    <w:basedOn w:val="Normal"/>
    <w:rsid w:val="00993F3A"/>
    <w:pPr>
      <w:spacing w:before="100" w:beforeAutospacing="1" w:after="100" w:afterAutospacing="1"/>
    </w:pPr>
    <w:rPr>
      <w:rFonts w:ascii="Times New Roman" w:hAnsi="Times New Roman"/>
      <w:sz w:val="24"/>
      <w:szCs w:val="24"/>
      <w:lang w:eastAsia="es-AR"/>
    </w:rPr>
  </w:style>
  <w:style w:type="paragraph" w:customStyle="1" w:styleId="s41">
    <w:name w:val="s41"/>
    <w:basedOn w:val="Normal"/>
    <w:rsid w:val="00993F3A"/>
    <w:pPr>
      <w:spacing w:before="100" w:beforeAutospacing="1" w:after="100" w:afterAutospacing="1"/>
    </w:pPr>
    <w:rPr>
      <w:rFonts w:ascii="Times New Roman" w:hAnsi="Times New Roman"/>
      <w:sz w:val="24"/>
      <w:szCs w:val="24"/>
      <w:lang w:eastAsia="es-AR"/>
    </w:rPr>
  </w:style>
  <w:style w:type="paragraph" w:customStyle="1" w:styleId="s45">
    <w:name w:val="s45"/>
    <w:basedOn w:val="Normal"/>
    <w:rsid w:val="00993F3A"/>
    <w:pPr>
      <w:spacing w:before="100" w:beforeAutospacing="1" w:after="100" w:afterAutospacing="1"/>
    </w:pPr>
    <w:rPr>
      <w:rFonts w:ascii="Times New Roman" w:hAnsi="Times New Roman"/>
      <w:sz w:val="24"/>
      <w:szCs w:val="24"/>
      <w:lang w:eastAsia="es-AR"/>
    </w:rPr>
  </w:style>
  <w:style w:type="paragraph" w:customStyle="1" w:styleId="s187">
    <w:name w:val="s187"/>
    <w:basedOn w:val="Normal"/>
    <w:rsid w:val="00993F3A"/>
    <w:pPr>
      <w:spacing w:before="100" w:beforeAutospacing="1" w:after="100" w:afterAutospacing="1"/>
    </w:pPr>
    <w:rPr>
      <w:rFonts w:ascii="Times New Roman" w:hAnsi="Times New Roman"/>
      <w:sz w:val="24"/>
      <w:szCs w:val="24"/>
      <w:lang w:eastAsia="es-AR"/>
    </w:rPr>
  </w:style>
  <w:style w:type="paragraph" w:customStyle="1" w:styleId="s46">
    <w:name w:val="s46"/>
    <w:basedOn w:val="Normal"/>
    <w:rsid w:val="00993F3A"/>
    <w:pPr>
      <w:spacing w:before="100" w:beforeAutospacing="1" w:after="100" w:afterAutospacing="1"/>
    </w:pPr>
    <w:rPr>
      <w:rFonts w:ascii="Times New Roman" w:hAnsi="Times New Roman"/>
      <w:sz w:val="24"/>
      <w:szCs w:val="24"/>
      <w:lang w:eastAsia="es-AR"/>
    </w:rPr>
  </w:style>
  <w:style w:type="paragraph" w:customStyle="1" w:styleId="s185">
    <w:name w:val="s185"/>
    <w:basedOn w:val="Normal"/>
    <w:rsid w:val="00993F3A"/>
    <w:pPr>
      <w:spacing w:before="100" w:beforeAutospacing="1" w:after="100" w:afterAutospacing="1"/>
    </w:pPr>
    <w:rPr>
      <w:rFonts w:ascii="Times New Roman" w:hAnsi="Times New Roman"/>
      <w:sz w:val="24"/>
      <w:szCs w:val="24"/>
      <w:lang w:eastAsia="es-AR"/>
    </w:rPr>
  </w:style>
  <w:style w:type="paragraph" w:customStyle="1" w:styleId="s186">
    <w:name w:val="s186"/>
    <w:basedOn w:val="Normal"/>
    <w:rsid w:val="00993F3A"/>
    <w:pPr>
      <w:spacing w:before="100" w:beforeAutospacing="1" w:after="100" w:afterAutospacing="1"/>
    </w:pPr>
    <w:rPr>
      <w:rFonts w:ascii="Times New Roman" w:hAnsi="Times New Roman"/>
      <w:sz w:val="24"/>
      <w:szCs w:val="24"/>
      <w:lang w:eastAsia="es-AR"/>
    </w:rPr>
  </w:style>
  <w:style w:type="paragraph" w:customStyle="1" w:styleId="s5-6349">
    <w:name w:val="s5-6349"/>
    <w:basedOn w:val="Normal"/>
    <w:rsid w:val="00B02C19"/>
    <w:pPr>
      <w:spacing w:before="100" w:beforeAutospacing="1" w:after="100" w:afterAutospacing="1"/>
    </w:pPr>
    <w:rPr>
      <w:rFonts w:ascii="Times New Roman" w:hAnsi="Times New Roman"/>
      <w:sz w:val="24"/>
      <w:szCs w:val="24"/>
      <w:lang w:eastAsia="es-AR"/>
    </w:rPr>
  </w:style>
  <w:style w:type="paragraph" w:customStyle="1" w:styleId="s6-6349">
    <w:name w:val="s6-6349"/>
    <w:basedOn w:val="Normal"/>
    <w:rsid w:val="00B02C19"/>
    <w:pPr>
      <w:spacing w:before="100" w:beforeAutospacing="1" w:after="100" w:afterAutospacing="1"/>
    </w:pPr>
    <w:rPr>
      <w:rFonts w:ascii="Times New Roman" w:hAnsi="Times New Roman"/>
      <w:sz w:val="24"/>
      <w:szCs w:val="24"/>
      <w:lang w:eastAsia="es-AR"/>
    </w:rPr>
  </w:style>
  <w:style w:type="paragraph" w:customStyle="1" w:styleId="s2-105778">
    <w:name w:val="s2-105778"/>
    <w:basedOn w:val="Normal"/>
    <w:rsid w:val="00182D11"/>
    <w:pPr>
      <w:spacing w:before="100" w:beforeAutospacing="1" w:after="100" w:afterAutospacing="1"/>
    </w:pPr>
    <w:rPr>
      <w:rFonts w:ascii="Times New Roman" w:hAnsi="Times New Roman"/>
      <w:sz w:val="24"/>
      <w:szCs w:val="24"/>
      <w:lang w:eastAsia="es-AR"/>
    </w:rPr>
  </w:style>
  <w:style w:type="paragraph" w:customStyle="1" w:styleId="s2-105241">
    <w:name w:val="s2-105241"/>
    <w:basedOn w:val="Normal"/>
    <w:rsid w:val="002063E5"/>
    <w:pPr>
      <w:spacing w:before="100" w:beforeAutospacing="1" w:after="100" w:afterAutospacing="1"/>
    </w:pPr>
    <w:rPr>
      <w:rFonts w:ascii="Times New Roman" w:hAnsi="Times New Roman"/>
      <w:sz w:val="24"/>
      <w:szCs w:val="24"/>
      <w:lang w:val="en-US"/>
    </w:rPr>
  </w:style>
  <w:style w:type="paragraph" w:customStyle="1" w:styleId="s4-105241">
    <w:name w:val="s4-105241"/>
    <w:basedOn w:val="Normal"/>
    <w:rsid w:val="002063E5"/>
    <w:pPr>
      <w:spacing w:before="100" w:beforeAutospacing="1" w:after="100" w:afterAutospacing="1"/>
    </w:pPr>
    <w:rPr>
      <w:rFonts w:ascii="Times New Roman" w:hAnsi="Times New Roman"/>
      <w:sz w:val="24"/>
      <w:szCs w:val="24"/>
      <w:lang w:val="en-US"/>
    </w:rPr>
  </w:style>
  <w:style w:type="paragraph" w:customStyle="1" w:styleId="s3-105241">
    <w:name w:val="s3-105241"/>
    <w:basedOn w:val="Normal"/>
    <w:rsid w:val="002063E5"/>
    <w:pPr>
      <w:spacing w:before="100" w:beforeAutospacing="1" w:after="100" w:afterAutospacing="1"/>
    </w:pPr>
    <w:rPr>
      <w:rFonts w:ascii="Times New Roman" w:hAnsi="Times New Roman"/>
      <w:sz w:val="24"/>
      <w:szCs w:val="24"/>
      <w:lang w:val="en-US"/>
    </w:rPr>
  </w:style>
  <w:style w:type="paragraph" w:customStyle="1" w:styleId="primero">
    <w:name w:val="primero"/>
    <w:basedOn w:val="Normal"/>
    <w:uiPriority w:val="99"/>
    <w:rsid w:val="000421B9"/>
    <w:pPr>
      <w:spacing w:before="100" w:beforeAutospacing="1" w:after="100" w:afterAutospacing="1"/>
    </w:pPr>
    <w:rPr>
      <w:rFonts w:ascii="Times New Roman" w:hAnsi="Times New Roman"/>
      <w:sz w:val="24"/>
      <w:szCs w:val="24"/>
      <w:lang w:val="es-ES" w:eastAsia="es-ES"/>
    </w:rPr>
  </w:style>
  <w:style w:type="paragraph" w:customStyle="1" w:styleId="estndar0">
    <w:name w:val="estndar"/>
    <w:basedOn w:val="Normal"/>
    <w:rsid w:val="007A6D97"/>
    <w:rPr>
      <w:rFonts w:ascii="Times New Roman" w:hAnsi="Times New Roman"/>
      <w:sz w:val="24"/>
      <w:szCs w:val="24"/>
      <w:lang w:val="es-ES" w:eastAsia="es-ES"/>
    </w:rPr>
  </w:style>
  <w:style w:type="paragraph" w:customStyle="1" w:styleId="element">
    <w:name w:val="element"/>
    <w:basedOn w:val="Normal"/>
    <w:rsid w:val="00E6121A"/>
    <w:pPr>
      <w:spacing w:before="100" w:beforeAutospacing="1" w:after="100" w:afterAutospacing="1"/>
    </w:pPr>
    <w:rPr>
      <w:rFonts w:ascii="Times New Roman" w:hAnsi="Times New Roman"/>
      <w:sz w:val="24"/>
      <w:szCs w:val="24"/>
      <w:lang w:val="es-ES" w:eastAsia="es-ES"/>
    </w:rPr>
  </w:style>
  <w:style w:type="paragraph" w:customStyle="1" w:styleId="first-paragraph">
    <w:name w:val="first-paragraph"/>
    <w:basedOn w:val="Normal"/>
    <w:rsid w:val="00ED2C6E"/>
    <w:pPr>
      <w:spacing w:before="100" w:beforeAutospacing="1" w:after="100" w:afterAutospacing="1"/>
    </w:pPr>
    <w:rPr>
      <w:rFonts w:ascii="Times New Roman" w:hAnsi="Times New Roman"/>
      <w:sz w:val="24"/>
      <w:szCs w:val="24"/>
      <w:lang w:val="es-ES" w:eastAsia="es-ES"/>
    </w:rPr>
  </w:style>
  <w:style w:type="paragraph" w:styleId="TtulodeTDC">
    <w:name w:val="TOC Heading"/>
    <w:basedOn w:val="Ttulo1"/>
    <w:next w:val="Normal"/>
    <w:uiPriority w:val="39"/>
    <w:semiHidden/>
    <w:unhideWhenUsed/>
    <w:qFormat/>
    <w:rsid w:val="006A6FC8"/>
    <w:pPr>
      <w:spacing w:line="276" w:lineRule="auto"/>
      <w:outlineLvl w:val="9"/>
    </w:pPr>
    <w:rPr>
      <w:bCs/>
      <w:szCs w:val="28"/>
      <w:lang w:val="es-AR" w:eastAsia="es-AR"/>
    </w:rPr>
  </w:style>
  <w:style w:type="numbering" w:customStyle="1" w:styleId="Sinlista1">
    <w:name w:val="Sin lista1"/>
    <w:next w:val="Sinlista"/>
    <w:uiPriority w:val="99"/>
    <w:semiHidden/>
    <w:unhideWhenUsed/>
    <w:rsid w:val="006A6FC8"/>
  </w:style>
  <w:style w:type="paragraph" w:styleId="Prrafodelista0">
    <w:name w:val="List Paragraph"/>
    <w:basedOn w:val="Normal"/>
    <w:uiPriority w:val="34"/>
    <w:qFormat/>
    <w:rsid w:val="006A6FC8"/>
    <w:pPr>
      <w:autoSpaceDE w:val="0"/>
      <w:autoSpaceDN w:val="0"/>
      <w:adjustRightInd w:val="0"/>
      <w:ind w:left="708"/>
    </w:pPr>
    <w:rPr>
      <w:rFonts w:ascii="Times New Roman" w:eastAsia="Calibri" w:hAnsi="Times New Roman"/>
      <w:lang w:val="en-US" w:eastAsia="es-AR"/>
    </w:rPr>
  </w:style>
  <w:style w:type="paragraph" w:styleId="Revisin">
    <w:name w:val="Revision"/>
    <w:hidden/>
    <w:uiPriority w:val="99"/>
    <w:rsid w:val="00B86C83"/>
    <w:rPr>
      <w:rFonts w:ascii="Times New Roman" w:hAnsi="Times New Roman"/>
      <w:lang w:val="en-US" w:eastAsia="en-US"/>
    </w:rPr>
  </w:style>
  <w:style w:type="numbering" w:customStyle="1" w:styleId="Sinlista11">
    <w:name w:val="Sin lista11"/>
    <w:next w:val="Sinlista"/>
    <w:uiPriority w:val="99"/>
    <w:semiHidden/>
    <w:unhideWhenUsed/>
    <w:rsid w:val="006A6FC8"/>
  </w:style>
  <w:style w:type="paragraph" w:styleId="Sinespaciado">
    <w:name w:val="No Spacing"/>
    <w:uiPriority w:val="99"/>
    <w:qFormat/>
    <w:rsid w:val="006A6FC8"/>
    <w:pPr>
      <w:autoSpaceDE w:val="0"/>
      <w:autoSpaceDN w:val="0"/>
      <w:adjustRightInd w:val="0"/>
    </w:pPr>
    <w:rPr>
      <w:rFonts w:ascii="Times New Roman" w:eastAsia="Calibri" w:hAnsi="Times New Roman"/>
      <w:lang w:val="en-US" w:eastAsia="es-AR"/>
    </w:rPr>
  </w:style>
  <w:style w:type="paragraph" w:customStyle="1" w:styleId="CommentSubject3">
    <w:name w:val="Comment Subject3"/>
    <w:basedOn w:val="Textocomentario"/>
    <w:next w:val="Textocomentario"/>
    <w:rsid w:val="006A6FC8"/>
    <w:rPr>
      <w:rFonts w:eastAsia="Calibri"/>
      <w:b/>
      <w:bCs/>
      <w:lang w:eastAsia="en-US"/>
    </w:rPr>
  </w:style>
  <w:style w:type="character" w:styleId="nfasisintenso">
    <w:name w:val="Intense Emphasis"/>
    <w:uiPriority w:val="21"/>
    <w:qFormat/>
    <w:rsid w:val="006A6FC8"/>
    <w:rPr>
      <w:b/>
      <w:bCs/>
      <w:i/>
      <w:iCs/>
      <w:color w:val="4F81BD"/>
    </w:rPr>
  </w:style>
  <w:style w:type="paragraph" w:styleId="Citadestacada">
    <w:name w:val="Intense Quote"/>
    <w:basedOn w:val="Normal"/>
    <w:next w:val="Normal"/>
    <w:link w:val="CitadestacadaCar"/>
    <w:uiPriority w:val="30"/>
    <w:qFormat/>
    <w:rsid w:val="006A6FC8"/>
    <w:pPr>
      <w:pBdr>
        <w:bottom w:val="single" w:sz="4" w:space="4" w:color="4F81BD"/>
      </w:pBdr>
      <w:autoSpaceDE w:val="0"/>
      <w:autoSpaceDN w:val="0"/>
      <w:adjustRightInd w:val="0"/>
      <w:spacing w:before="200" w:after="280"/>
      <w:ind w:left="936" w:right="936"/>
    </w:pPr>
    <w:rPr>
      <w:rFonts w:ascii="Times New Roman" w:eastAsia="Calibri" w:hAnsi="Times New Roman"/>
      <w:b/>
      <w:bCs/>
      <w:i/>
      <w:iCs/>
      <w:color w:val="4F81BD"/>
      <w:lang w:val="x-none" w:eastAsia="es-AR"/>
    </w:rPr>
  </w:style>
  <w:style w:type="character" w:customStyle="1" w:styleId="CitadestacadaCar">
    <w:name w:val="Cita destacada Car"/>
    <w:link w:val="Citadestacada"/>
    <w:uiPriority w:val="30"/>
    <w:rsid w:val="006A6FC8"/>
    <w:rPr>
      <w:rFonts w:ascii="Times New Roman" w:eastAsia="Calibri" w:hAnsi="Times New Roman"/>
      <w:b/>
      <w:bCs/>
      <w:i/>
      <w:iCs/>
      <w:color w:val="4F81BD"/>
      <w:lang w:eastAsia="es-AR"/>
    </w:rPr>
  </w:style>
  <w:style w:type="character" w:styleId="Referenciaintensa">
    <w:name w:val="Intense Reference"/>
    <w:uiPriority w:val="32"/>
    <w:qFormat/>
    <w:rsid w:val="006A6FC8"/>
    <w:rPr>
      <w:b/>
      <w:bCs/>
      <w:smallCaps/>
      <w:color w:val="C0504D"/>
      <w:spacing w:val="5"/>
      <w:u w:val="single"/>
    </w:rPr>
  </w:style>
  <w:style w:type="character" w:styleId="nfasissutil">
    <w:name w:val="Subtle Emphasis"/>
    <w:uiPriority w:val="19"/>
    <w:qFormat/>
    <w:rsid w:val="006A6FC8"/>
    <w:rPr>
      <w:i/>
      <w:iCs/>
      <w:color w:val="808080"/>
    </w:rPr>
  </w:style>
  <w:style w:type="character" w:styleId="Referenciasutil">
    <w:name w:val="Subtle Reference"/>
    <w:uiPriority w:val="31"/>
    <w:qFormat/>
    <w:rsid w:val="006A6FC8"/>
    <w:rPr>
      <w:smallCaps/>
      <w:color w:val="C0504D"/>
      <w:u w:val="single"/>
    </w:rPr>
  </w:style>
  <w:style w:type="numbering" w:customStyle="1" w:styleId="Sinlista2">
    <w:name w:val="Sin lista2"/>
    <w:next w:val="Sinlista"/>
    <w:uiPriority w:val="99"/>
    <w:semiHidden/>
    <w:unhideWhenUsed/>
    <w:rsid w:val="006A6FC8"/>
  </w:style>
  <w:style w:type="numbering" w:customStyle="1" w:styleId="Sinlista111">
    <w:name w:val="Sin lista111"/>
    <w:next w:val="Sinlista"/>
    <w:uiPriority w:val="99"/>
    <w:semiHidden/>
    <w:unhideWhenUsed/>
    <w:rsid w:val="006A6FC8"/>
  </w:style>
  <w:style w:type="numbering" w:customStyle="1" w:styleId="Sinlista1111">
    <w:name w:val="Sin lista1111"/>
    <w:next w:val="Sinlista"/>
    <w:uiPriority w:val="99"/>
    <w:semiHidden/>
    <w:unhideWhenUsed/>
    <w:rsid w:val="006A6FC8"/>
  </w:style>
  <w:style w:type="numbering" w:customStyle="1" w:styleId="Sinlista21">
    <w:name w:val="Sin lista21"/>
    <w:next w:val="Sinlista"/>
    <w:uiPriority w:val="99"/>
    <w:semiHidden/>
    <w:unhideWhenUsed/>
    <w:rsid w:val="006A6FC8"/>
  </w:style>
  <w:style w:type="numbering" w:customStyle="1" w:styleId="Sinlista12">
    <w:name w:val="Sin lista12"/>
    <w:next w:val="Sinlista"/>
    <w:uiPriority w:val="99"/>
    <w:semiHidden/>
    <w:unhideWhenUsed/>
    <w:rsid w:val="006A6FC8"/>
  </w:style>
  <w:style w:type="numbering" w:customStyle="1" w:styleId="Sinlista3">
    <w:name w:val="Sin lista3"/>
    <w:next w:val="Sinlista"/>
    <w:uiPriority w:val="99"/>
    <w:semiHidden/>
    <w:unhideWhenUsed/>
    <w:rsid w:val="006A6FC8"/>
  </w:style>
  <w:style w:type="numbering" w:customStyle="1" w:styleId="Sinlista13">
    <w:name w:val="Sin lista13"/>
    <w:next w:val="Sinlista"/>
    <w:uiPriority w:val="99"/>
    <w:semiHidden/>
    <w:unhideWhenUsed/>
    <w:rsid w:val="006A6FC8"/>
  </w:style>
  <w:style w:type="numbering" w:customStyle="1" w:styleId="Sinlista112">
    <w:name w:val="Sin lista112"/>
    <w:next w:val="Sinlista"/>
    <w:uiPriority w:val="99"/>
    <w:semiHidden/>
    <w:unhideWhenUsed/>
    <w:rsid w:val="006A6FC8"/>
  </w:style>
  <w:style w:type="numbering" w:customStyle="1" w:styleId="Sinlista22">
    <w:name w:val="Sin lista22"/>
    <w:next w:val="Sinlista"/>
    <w:uiPriority w:val="99"/>
    <w:semiHidden/>
    <w:unhideWhenUsed/>
    <w:rsid w:val="006A6FC8"/>
  </w:style>
  <w:style w:type="numbering" w:customStyle="1" w:styleId="Sinlista1112">
    <w:name w:val="Sin lista1112"/>
    <w:next w:val="Sinlista"/>
    <w:uiPriority w:val="99"/>
    <w:semiHidden/>
    <w:unhideWhenUsed/>
    <w:rsid w:val="006A6FC8"/>
  </w:style>
  <w:style w:type="numbering" w:customStyle="1" w:styleId="Sinlista11111">
    <w:name w:val="Sin lista11111"/>
    <w:next w:val="Sinlista"/>
    <w:uiPriority w:val="99"/>
    <w:semiHidden/>
    <w:unhideWhenUsed/>
    <w:rsid w:val="006A6FC8"/>
  </w:style>
  <w:style w:type="numbering" w:customStyle="1" w:styleId="Sinlista211">
    <w:name w:val="Sin lista211"/>
    <w:next w:val="Sinlista"/>
    <w:uiPriority w:val="99"/>
    <w:semiHidden/>
    <w:unhideWhenUsed/>
    <w:rsid w:val="006A6FC8"/>
  </w:style>
  <w:style w:type="numbering" w:customStyle="1" w:styleId="Sinlista121">
    <w:name w:val="Sin lista121"/>
    <w:next w:val="Sinlista"/>
    <w:uiPriority w:val="99"/>
    <w:semiHidden/>
    <w:unhideWhenUsed/>
    <w:rsid w:val="006A6FC8"/>
  </w:style>
  <w:style w:type="numbering" w:customStyle="1" w:styleId="Sinlista4">
    <w:name w:val="Sin lista4"/>
    <w:next w:val="Sinlista"/>
    <w:uiPriority w:val="99"/>
    <w:semiHidden/>
    <w:unhideWhenUsed/>
    <w:rsid w:val="006A6FC8"/>
  </w:style>
  <w:style w:type="numbering" w:customStyle="1" w:styleId="Sinlista14">
    <w:name w:val="Sin lista14"/>
    <w:next w:val="Sinlista"/>
    <w:uiPriority w:val="99"/>
    <w:semiHidden/>
    <w:unhideWhenUsed/>
    <w:rsid w:val="006A6FC8"/>
  </w:style>
  <w:style w:type="numbering" w:customStyle="1" w:styleId="Sinlista113">
    <w:name w:val="Sin lista113"/>
    <w:next w:val="Sinlista"/>
    <w:uiPriority w:val="99"/>
    <w:semiHidden/>
    <w:unhideWhenUsed/>
    <w:rsid w:val="006A6FC8"/>
  </w:style>
  <w:style w:type="numbering" w:customStyle="1" w:styleId="Sinlista23">
    <w:name w:val="Sin lista23"/>
    <w:next w:val="Sinlista"/>
    <w:uiPriority w:val="99"/>
    <w:semiHidden/>
    <w:unhideWhenUsed/>
    <w:rsid w:val="006A6FC8"/>
  </w:style>
  <w:style w:type="numbering" w:customStyle="1" w:styleId="Sinlista1113">
    <w:name w:val="Sin lista1113"/>
    <w:next w:val="Sinlista"/>
    <w:uiPriority w:val="99"/>
    <w:semiHidden/>
    <w:unhideWhenUsed/>
    <w:rsid w:val="006A6FC8"/>
  </w:style>
  <w:style w:type="numbering" w:customStyle="1" w:styleId="Sinlista11112">
    <w:name w:val="Sin lista11112"/>
    <w:next w:val="Sinlista"/>
    <w:uiPriority w:val="99"/>
    <w:semiHidden/>
    <w:unhideWhenUsed/>
    <w:rsid w:val="006A6FC8"/>
  </w:style>
  <w:style w:type="numbering" w:customStyle="1" w:styleId="Sinlista212">
    <w:name w:val="Sin lista212"/>
    <w:next w:val="Sinlista"/>
    <w:uiPriority w:val="99"/>
    <w:semiHidden/>
    <w:unhideWhenUsed/>
    <w:rsid w:val="006A6FC8"/>
  </w:style>
  <w:style w:type="numbering" w:customStyle="1" w:styleId="Sinlista122">
    <w:name w:val="Sin lista122"/>
    <w:next w:val="Sinlista"/>
    <w:uiPriority w:val="99"/>
    <w:semiHidden/>
    <w:unhideWhenUsed/>
    <w:rsid w:val="006A6FC8"/>
  </w:style>
  <w:style w:type="numbering" w:customStyle="1" w:styleId="Sinlista31">
    <w:name w:val="Sin lista31"/>
    <w:next w:val="Sinlista"/>
    <w:uiPriority w:val="99"/>
    <w:semiHidden/>
    <w:unhideWhenUsed/>
    <w:rsid w:val="006A6FC8"/>
  </w:style>
  <w:style w:type="numbering" w:customStyle="1" w:styleId="Sinlista131">
    <w:name w:val="Sin lista131"/>
    <w:next w:val="Sinlista"/>
    <w:uiPriority w:val="99"/>
    <w:semiHidden/>
    <w:unhideWhenUsed/>
    <w:rsid w:val="006A6FC8"/>
  </w:style>
  <w:style w:type="numbering" w:customStyle="1" w:styleId="Sinlista1121">
    <w:name w:val="Sin lista1121"/>
    <w:next w:val="Sinlista"/>
    <w:uiPriority w:val="99"/>
    <w:semiHidden/>
    <w:unhideWhenUsed/>
    <w:rsid w:val="006A6FC8"/>
  </w:style>
  <w:style w:type="numbering" w:customStyle="1" w:styleId="Sinlista221">
    <w:name w:val="Sin lista221"/>
    <w:next w:val="Sinlista"/>
    <w:uiPriority w:val="99"/>
    <w:semiHidden/>
    <w:unhideWhenUsed/>
    <w:rsid w:val="006A6FC8"/>
  </w:style>
  <w:style w:type="numbering" w:customStyle="1" w:styleId="Sinlista11121">
    <w:name w:val="Sin lista11121"/>
    <w:next w:val="Sinlista"/>
    <w:uiPriority w:val="99"/>
    <w:semiHidden/>
    <w:unhideWhenUsed/>
    <w:rsid w:val="006A6FC8"/>
  </w:style>
  <w:style w:type="numbering" w:customStyle="1" w:styleId="Sinlista111111">
    <w:name w:val="Sin lista111111"/>
    <w:next w:val="Sinlista"/>
    <w:uiPriority w:val="99"/>
    <w:semiHidden/>
    <w:unhideWhenUsed/>
    <w:rsid w:val="006A6FC8"/>
  </w:style>
  <w:style w:type="numbering" w:customStyle="1" w:styleId="Sinlista2111">
    <w:name w:val="Sin lista2111"/>
    <w:next w:val="Sinlista"/>
    <w:uiPriority w:val="99"/>
    <w:semiHidden/>
    <w:unhideWhenUsed/>
    <w:rsid w:val="006A6FC8"/>
  </w:style>
  <w:style w:type="numbering" w:customStyle="1" w:styleId="Sinlista1211">
    <w:name w:val="Sin lista1211"/>
    <w:next w:val="Sinlista"/>
    <w:uiPriority w:val="99"/>
    <w:semiHidden/>
    <w:unhideWhenUsed/>
    <w:rsid w:val="006A6FC8"/>
  </w:style>
  <w:style w:type="numbering" w:customStyle="1" w:styleId="Sinlista5">
    <w:name w:val="Sin lista5"/>
    <w:next w:val="Sinlista"/>
    <w:uiPriority w:val="99"/>
    <w:semiHidden/>
    <w:unhideWhenUsed/>
    <w:rsid w:val="006A6FC8"/>
  </w:style>
  <w:style w:type="numbering" w:customStyle="1" w:styleId="Sinlista15">
    <w:name w:val="Sin lista15"/>
    <w:next w:val="Sinlista"/>
    <w:uiPriority w:val="99"/>
    <w:semiHidden/>
    <w:unhideWhenUsed/>
    <w:rsid w:val="006A6FC8"/>
  </w:style>
  <w:style w:type="numbering" w:customStyle="1" w:styleId="Sinlista114">
    <w:name w:val="Sin lista114"/>
    <w:next w:val="Sinlista"/>
    <w:uiPriority w:val="99"/>
    <w:semiHidden/>
    <w:unhideWhenUsed/>
    <w:rsid w:val="006A6FC8"/>
  </w:style>
  <w:style w:type="numbering" w:customStyle="1" w:styleId="Sinlista24">
    <w:name w:val="Sin lista24"/>
    <w:next w:val="Sinlista"/>
    <w:uiPriority w:val="99"/>
    <w:semiHidden/>
    <w:unhideWhenUsed/>
    <w:rsid w:val="006A6FC8"/>
  </w:style>
  <w:style w:type="numbering" w:customStyle="1" w:styleId="Sinlista1114">
    <w:name w:val="Sin lista1114"/>
    <w:next w:val="Sinlista"/>
    <w:uiPriority w:val="99"/>
    <w:semiHidden/>
    <w:unhideWhenUsed/>
    <w:rsid w:val="006A6FC8"/>
  </w:style>
  <w:style w:type="numbering" w:customStyle="1" w:styleId="Sinlista11113">
    <w:name w:val="Sin lista11113"/>
    <w:next w:val="Sinlista"/>
    <w:uiPriority w:val="99"/>
    <w:semiHidden/>
    <w:unhideWhenUsed/>
    <w:rsid w:val="006A6FC8"/>
  </w:style>
  <w:style w:type="numbering" w:customStyle="1" w:styleId="Sinlista213">
    <w:name w:val="Sin lista213"/>
    <w:next w:val="Sinlista"/>
    <w:uiPriority w:val="99"/>
    <w:semiHidden/>
    <w:unhideWhenUsed/>
    <w:rsid w:val="006A6FC8"/>
  </w:style>
  <w:style w:type="numbering" w:customStyle="1" w:styleId="Sinlista123">
    <w:name w:val="Sin lista123"/>
    <w:next w:val="Sinlista"/>
    <w:uiPriority w:val="99"/>
    <w:semiHidden/>
    <w:unhideWhenUsed/>
    <w:rsid w:val="006A6FC8"/>
  </w:style>
  <w:style w:type="numbering" w:customStyle="1" w:styleId="Sinlista32">
    <w:name w:val="Sin lista32"/>
    <w:next w:val="Sinlista"/>
    <w:uiPriority w:val="99"/>
    <w:semiHidden/>
    <w:unhideWhenUsed/>
    <w:rsid w:val="006A6FC8"/>
  </w:style>
  <w:style w:type="numbering" w:customStyle="1" w:styleId="Sinlista132">
    <w:name w:val="Sin lista132"/>
    <w:next w:val="Sinlista"/>
    <w:uiPriority w:val="99"/>
    <w:semiHidden/>
    <w:unhideWhenUsed/>
    <w:rsid w:val="006A6FC8"/>
  </w:style>
  <w:style w:type="numbering" w:customStyle="1" w:styleId="Sinlista1122">
    <w:name w:val="Sin lista1122"/>
    <w:next w:val="Sinlista"/>
    <w:uiPriority w:val="99"/>
    <w:semiHidden/>
    <w:unhideWhenUsed/>
    <w:rsid w:val="006A6FC8"/>
  </w:style>
  <w:style w:type="numbering" w:customStyle="1" w:styleId="Sinlista222">
    <w:name w:val="Sin lista222"/>
    <w:next w:val="Sinlista"/>
    <w:uiPriority w:val="99"/>
    <w:semiHidden/>
    <w:unhideWhenUsed/>
    <w:rsid w:val="006A6FC8"/>
  </w:style>
  <w:style w:type="numbering" w:customStyle="1" w:styleId="Sinlista11122">
    <w:name w:val="Sin lista11122"/>
    <w:next w:val="Sinlista"/>
    <w:uiPriority w:val="99"/>
    <w:semiHidden/>
    <w:unhideWhenUsed/>
    <w:rsid w:val="006A6FC8"/>
  </w:style>
  <w:style w:type="numbering" w:customStyle="1" w:styleId="Sinlista111112">
    <w:name w:val="Sin lista111112"/>
    <w:next w:val="Sinlista"/>
    <w:uiPriority w:val="99"/>
    <w:semiHidden/>
    <w:unhideWhenUsed/>
    <w:rsid w:val="006A6FC8"/>
  </w:style>
  <w:style w:type="numbering" w:customStyle="1" w:styleId="Sinlista2112">
    <w:name w:val="Sin lista2112"/>
    <w:next w:val="Sinlista"/>
    <w:uiPriority w:val="99"/>
    <w:semiHidden/>
    <w:unhideWhenUsed/>
    <w:rsid w:val="006A6FC8"/>
  </w:style>
  <w:style w:type="numbering" w:customStyle="1" w:styleId="Sinlista1212">
    <w:name w:val="Sin lista1212"/>
    <w:next w:val="Sinlista"/>
    <w:uiPriority w:val="99"/>
    <w:semiHidden/>
    <w:unhideWhenUsed/>
    <w:rsid w:val="006A6FC8"/>
  </w:style>
  <w:style w:type="numbering" w:customStyle="1" w:styleId="Sinlista6">
    <w:name w:val="Sin lista6"/>
    <w:next w:val="Sinlista"/>
    <w:uiPriority w:val="99"/>
    <w:semiHidden/>
    <w:unhideWhenUsed/>
    <w:rsid w:val="006A6FC8"/>
  </w:style>
  <w:style w:type="numbering" w:customStyle="1" w:styleId="Sinlista16">
    <w:name w:val="Sin lista16"/>
    <w:next w:val="Sinlista"/>
    <w:uiPriority w:val="99"/>
    <w:semiHidden/>
    <w:unhideWhenUsed/>
    <w:rsid w:val="006A6FC8"/>
  </w:style>
  <w:style w:type="numbering" w:customStyle="1" w:styleId="Sinlista115">
    <w:name w:val="Sin lista115"/>
    <w:next w:val="Sinlista"/>
    <w:uiPriority w:val="99"/>
    <w:semiHidden/>
    <w:unhideWhenUsed/>
    <w:rsid w:val="006A6FC8"/>
  </w:style>
  <w:style w:type="numbering" w:customStyle="1" w:styleId="Sinlista25">
    <w:name w:val="Sin lista25"/>
    <w:next w:val="Sinlista"/>
    <w:uiPriority w:val="99"/>
    <w:semiHidden/>
    <w:unhideWhenUsed/>
    <w:rsid w:val="006A6FC8"/>
  </w:style>
  <w:style w:type="numbering" w:customStyle="1" w:styleId="Sinlista1115">
    <w:name w:val="Sin lista1115"/>
    <w:next w:val="Sinlista"/>
    <w:uiPriority w:val="99"/>
    <w:semiHidden/>
    <w:unhideWhenUsed/>
    <w:rsid w:val="006A6FC8"/>
  </w:style>
  <w:style w:type="numbering" w:customStyle="1" w:styleId="Sinlista11114">
    <w:name w:val="Sin lista11114"/>
    <w:next w:val="Sinlista"/>
    <w:uiPriority w:val="99"/>
    <w:semiHidden/>
    <w:unhideWhenUsed/>
    <w:rsid w:val="006A6FC8"/>
  </w:style>
  <w:style w:type="numbering" w:customStyle="1" w:styleId="Sinlista214">
    <w:name w:val="Sin lista214"/>
    <w:next w:val="Sinlista"/>
    <w:uiPriority w:val="99"/>
    <w:semiHidden/>
    <w:unhideWhenUsed/>
    <w:rsid w:val="006A6FC8"/>
  </w:style>
  <w:style w:type="numbering" w:customStyle="1" w:styleId="Sinlista124">
    <w:name w:val="Sin lista124"/>
    <w:next w:val="Sinlista"/>
    <w:uiPriority w:val="99"/>
    <w:semiHidden/>
    <w:unhideWhenUsed/>
    <w:rsid w:val="006A6FC8"/>
  </w:style>
  <w:style w:type="numbering" w:customStyle="1" w:styleId="Sinlista33">
    <w:name w:val="Sin lista33"/>
    <w:next w:val="Sinlista"/>
    <w:uiPriority w:val="99"/>
    <w:semiHidden/>
    <w:unhideWhenUsed/>
    <w:rsid w:val="006A6FC8"/>
  </w:style>
  <w:style w:type="numbering" w:customStyle="1" w:styleId="Sinlista133">
    <w:name w:val="Sin lista133"/>
    <w:next w:val="Sinlista"/>
    <w:uiPriority w:val="99"/>
    <w:semiHidden/>
    <w:unhideWhenUsed/>
    <w:rsid w:val="006A6FC8"/>
  </w:style>
  <w:style w:type="numbering" w:customStyle="1" w:styleId="Sinlista1123">
    <w:name w:val="Sin lista1123"/>
    <w:next w:val="Sinlista"/>
    <w:uiPriority w:val="99"/>
    <w:semiHidden/>
    <w:unhideWhenUsed/>
    <w:rsid w:val="006A6FC8"/>
  </w:style>
  <w:style w:type="numbering" w:customStyle="1" w:styleId="Sinlista223">
    <w:name w:val="Sin lista223"/>
    <w:next w:val="Sinlista"/>
    <w:uiPriority w:val="99"/>
    <w:semiHidden/>
    <w:unhideWhenUsed/>
    <w:rsid w:val="006A6FC8"/>
  </w:style>
  <w:style w:type="numbering" w:customStyle="1" w:styleId="Sinlista11123">
    <w:name w:val="Sin lista11123"/>
    <w:next w:val="Sinlista"/>
    <w:uiPriority w:val="99"/>
    <w:semiHidden/>
    <w:unhideWhenUsed/>
    <w:rsid w:val="006A6FC8"/>
  </w:style>
  <w:style w:type="numbering" w:customStyle="1" w:styleId="Sinlista111113">
    <w:name w:val="Sin lista111113"/>
    <w:next w:val="Sinlista"/>
    <w:uiPriority w:val="99"/>
    <w:semiHidden/>
    <w:unhideWhenUsed/>
    <w:rsid w:val="006A6FC8"/>
  </w:style>
  <w:style w:type="numbering" w:customStyle="1" w:styleId="Sinlista2113">
    <w:name w:val="Sin lista2113"/>
    <w:next w:val="Sinlista"/>
    <w:uiPriority w:val="99"/>
    <w:semiHidden/>
    <w:unhideWhenUsed/>
    <w:rsid w:val="006A6FC8"/>
  </w:style>
  <w:style w:type="numbering" w:customStyle="1" w:styleId="Sinlista1213">
    <w:name w:val="Sin lista1213"/>
    <w:next w:val="Sinlista"/>
    <w:uiPriority w:val="99"/>
    <w:semiHidden/>
    <w:unhideWhenUsed/>
    <w:rsid w:val="006A6FC8"/>
  </w:style>
  <w:style w:type="numbering" w:customStyle="1" w:styleId="Sinlista7">
    <w:name w:val="Sin lista7"/>
    <w:next w:val="Sinlista"/>
    <w:uiPriority w:val="99"/>
    <w:semiHidden/>
    <w:unhideWhenUsed/>
    <w:rsid w:val="006A6FC8"/>
  </w:style>
  <w:style w:type="numbering" w:customStyle="1" w:styleId="Sinlista17">
    <w:name w:val="Sin lista17"/>
    <w:next w:val="Sinlista"/>
    <w:uiPriority w:val="99"/>
    <w:semiHidden/>
    <w:unhideWhenUsed/>
    <w:rsid w:val="006A6FC8"/>
  </w:style>
  <w:style w:type="numbering" w:customStyle="1" w:styleId="Sinlista116">
    <w:name w:val="Sin lista116"/>
    <w:next w:val="Sinlista"/>
    <w:uiPriority w:val="99"/>
    <w:semiHidden/>
    <w:unhideWhenUsed/>
    <w:rsid w:val="006A6FC8"/>
  </w:style>
  <w:style w:type="numbering" w:customStyle="1" w:styleId="Sinlista26">
    <w:name w:val="Sin lista26"/>
    <w:next w:val="Sinlista"/>
    <w:uiPriority w:val="99"/>
    <w:semiHidden/>
    <w:unhideWhenUsed/>
    <w:rsid w:val="006A6FC8"/>
  </w:style>
  <w:style w:type="numbering" w:customStyle="1" w:styleId="Sinlista1116">
    <w:name w:val="Sin lista1116"/>
    <w:next w:val="Sinlista"/>
    <w:uiPriority w:val="99"/>
    <w:semiHidden/>
    <w:unhideWhenUsed/>
    <w:rsid w:val="006A6FC8"/>
  </w:style>
  <w:style w:type="numbering" w:customStyle="1" w:styleId="Sinlista11115">
    <w:name w:val="Sin lista11115"/>
    <w:next w:val="Sinlista"/>
    <w:uiPriority w:val="99"/>
    <w:semiHidden/>
    <w:unhideWhenUsed/>
    <w:rsid w:val="006A6FC8"/>
  </w:style>
  <w:style w:type="numbering" w:customStyle="1" w:styleId="Sinlista215">
    <w:name w:val="Sin lista215"/>
    <w:next w:val="Sinlista"/>
    <w:uiPriority w:val="99"/>
    <w:semiHidden/>
    <w:unhideWhenUsed/>
    <w:rsid w:val="006A6FC8"/>
  </w:style>
  <w:style w:type="numbering" w:customStyle="1" w:styleId="Sinlista125">
    <w:name w:val="Sin lista125"/>
    <w:next w:val="Sinlista"/>
    <w:uiPriority w:val="99"/>
    <w:semiHidden/>
    <w:unhideWhenUsed/>
    <w:rsid w:val="006A6FC8"/>
  </w:style>
  <w:style w:type="numbering" w:customStyle="1" w:styleId="Sinlista34">
    <w:name w:val="Sin lista34"/>
    <w:next w:val="Sinlista"/>
    <w:uiPriority w:val="99"/>
    <w:semiHidden/>
    <w:unhideWhenUsed/>
    <w:rsid w:val="006A6FC8"/>
  </w:style>
  <w:style w:type="numbering" w:customStyle="1" w:styleId="Sinlista134">
    <w:name w:val="Sin lista134"/>
    <w:next w:val="Sinlista"/>
    <w:uiPriority w:val="99"/>
    <w:semiHidden/>
    <w:unhideWhenUsed/>
    <w:rsid w:val="006A6FC8"/>
  </w:style>
  <w:style w:type="numbering" w:customStyle="1" w:styleId="Sinlista1124">
    <w:name w:val="Sin lista1124"/>
    <w:next w:val="Sinlista"/>
    <w:uiPriority w:val="99"/>
    <w:semiHidden/>
    <w:unhideWhenUsed/>
    <w:rsid w:val="006A6FC8"/>
  </w:style>
  <w:style w:type="numbering" w:customStyle="1" w:styleId="Sinlista224">
    <w:name w:val="Sin lista224"/>
    <w:next w:val="Sinlista"/>
    <w:uiPriority w:val="99"/>
    <w:semiHidden/>
    <w:unhideWhenUsed/>
    <w:rsid w:val="006A6FC8"/>
  </w:style>
  <w:style w:type="numbering" w:customStyle="1" w:styleId="Sinlista11124">
    <w:name w:val="Sin lista11124"/>
    <w:next w:val="Sinlista"/>
    <w:uiPriority w:val="99"/>
    <w:semiHidden/>
    <w:unhideWhenUsed/>
    <w:rsid w:val="006A6FC8"/>
  </w:style>
  <w:style w:type="numbering" w:customStyle="1" w:styleId="Sinlista111114">
    <w:name w:val="Sin lista111114"/>
    <w:next w:val="Sinlista"/>
    <w:uiPriority w:val="99"/>
    <w:semiHidden/>
    <w:unhideWhenUsed/>
    <w:rsid w:val="006A6FC8"/>
  </w:style>
  <w:style w:type="numbering" w:customStyle="1" w:styleId="Sinlista2114">
    <w:name w:val="Sin lista2114"/>
    <w:next w:val="Sinlista"/>
    <w:uiPriority w:val="99"/>
    <w:semiHidden/>
    <w:unhideWhenUsed/>
    <w:rsid w:val="006A6FC8"/>
  </w:style>
  <w:style w:type="numbering" w:customStyle="1" w:styleId="Sinlista1214">
    <w:name w:val="Sin lista1214"/>
    <w:next w:val="Sinlista"/>
    <w:uiPriority w:val="99"/>
    <w:semiHidden/>
    <w:unhideWhenUsed/>
    <w:rsid w:val="006A6FC8"/>
  </w:style>
  <w:style w:type="numbering" w:customStyle="1" w:styleId="Sinlista8">
    <w:name w:val="Sin lista8"/>
    <w:next w:val="Sinlista"/>
    <w:uiPriority w:val="99"/>
    <w:semiHidden/>
    <w:unhideWhenUsed/>
    <w:rsid w:val="006A6FC8"/>
  </w:style>
  <w:style w:type="numbering" w:customStyle="1" w:styleId="Sinlista18">
    <w:name w:val="Sin lista18"/>
    <w:next w:val="Sinlista"/>
    <w:uiPriority w:val="99"/>
    <w:semiHidden/>
    <w:unhideWhenUsed/>
    <w:rsid w:val="006A6FC8"/>
  </w:style>
  <w:style w:type="numbering" w:customStyle="1" w:styleId="Sinlista117">
    <w:name w:val="Sin lista117"/>
    <w:next w:val="Sinlista"/>
    <w:uiPriority w:val="99"/>
    <w:semiHidden/>
    <w:unhideWhenUsed/>
    <w:rsid w:val="006A6FC8"/>
  </w:style>
  <w:style w:type="numbering" w:customStyle="1" w:styleId="Sinlista27">
    <w:name w:val="Sin lista27"/>
    <w:next w:val="Sinlista"/>
    <w:uiPriority w:val="99"/>
    <w:semiHidden/>
    <w:unhideWhenUsed/>
    <w:rsid w:val="006A6FC8"/>
  </w:style>
  <w:style w:type="numbering" w:customStyle="1" w:styleId="Sinlista1117">
    <w:name w:val="Sin lista1117"/>
    <w:next w:val="Sinlista"/>
    <w:uiPriority w:val="99"/>
    <w:semiHidden/>
    <w:unhideWhenUsed/>
    <w:rsid w:val="006A6FC8"/>
  </w:style>
  <w:style w:type="numbering" w:customStyle="1" w:styleId="Sinlista11116">
    <w:name w:val="Sin lista11116"/>
    <w:next w:val="Sinlista"/>
    <w:uiPriority w:val="99"/>
    <w:semiHidden/>
    <w:unhideWhenUsed/>
    <w:rsid w:val="006A6FC8"/>
  </w:style>
  <w:style w:type="numbering" w:customStyle="1" w:styleId="Sinlista216">
    <w:name w:val="Sin lista216"/>
    <w:next w:val="Sinlista"/>
    <w:uiPriority w:val="99"/>
    <w:semiHidden/>
    <w:unhideWhenUsed/>
    <w:rsid w:val="006A6FC8"/>
  </w:style>
  <w:style w:type="numbering" w:customStyle="1" w:styleId="Sinlista126">
    <w:name w:val="Sin lista126"/>
    <w:next w:val="Sinlista"/>
    <w:uiPriority w:val="99"/>
    <w:semiHidden/>
    <w:unhideWhenUsed/>
    <w:rsid w:val="006A6FC8"/>
  </w:style>
  <w:style w:type="numbering" w:customStyle="1" w:styleId="Sinlista35">
    <w:name w:val="Sin lista35"/>
    <w:next w:val="Sinlista"/>
    <w:uiPriority w:val="99"/>
    <w:semiHidden/>
    <w:unhideWhenUsed/>
    <w:rsid w:val="006A6FC8"/>
  </w:style>
  <w:style w:type="numbering" w:customStyle="1" w:styleId="Sinlista135">
    <w:name w:val="Sin lista135"/>
    <w:next w:val="Sinlista"/>
    <w:uiPriority w:val="99"/>
    <w:semiHidden/>
    <w:unhideWhenUsed/>
    <w:rsid w:val="006A6FC8"/>
  </w:style>
  <w:style w:type="numbering" w:customStyle="1" w:styleId="Sinlista1125">
    <w:name w:val="Sin lista1125"/>
    <w:next w:val="Sinlista"/>
    <w:uiPriority w:val="99"/>
    <w:semiHidden/>
    <w:unhideWhenUsed/>
    <w:rsid w:val="006A6FC8"/>
  </w:style>
  <w:style w:type="numbering" w:customStyle="1" w:styleId="Sinlista225">
    <w:name w:val="Sin lista225"/>
    <w:next w:val="Sinlista"/>
    <w:uiPriority w:val="99"/>
    <w:semiHidden/>
    <w:unhideWhenUsed/>
    <w:rsid w:val="006A6FC8"/>
  </w:style>
  <w:style w:type="numbering" w:customStyle="1" w:styleId="Sinlista11125">
    <w:name w:val="Sin lista11125"/>
    <w:next w:val="Sinlista"/>
    <w:uiPriority w:val="99"/>
    <w:semiHidden/>
    <w:unhideWhenUsed/>
    <w:rsid w:val="006A6FC8"/>
  </w:style>
  <w:style w:type="numbering" w:customStyle="1" w:styleId="Sinlista111115">
    <w:name w:val="Sin lista111115"/>
    <w:next w:val="Sinlista"/>
    <w:uiPriority w:val="99"/>
    <w:semiHidden/>
    <w:unhideWhenUsed/>
    <w:rsid w:val="006A6FC8"/>
  </w:style>
  <w:style w:type="numbering" w:customStyle="1" w:styleId="Sinlista2115">
    <w:name w:val="Sin lista2115"/>
    <w:next w:val="Sinlista"/>
    <w:uiPriority w:val="99"/>
    <w:semiHidden/>
    <w:unhideWhenUsed/>
    <w:rsid w:val="006A6FC8"/>
  </w:style>
  <w:style w:type="numbering" w:customStyle="1" w:styleId="Sinlista1215">
    <w:name w:val="Sin lista1215"/>
    <w:next w:val="Sinlista"/>
    <w:uiPriority w:val="99"/>
    <w:semiHidden/>
    <w:unhideWhenUsed/>
    <w:rsid w:val="006A6FC8"/>
  </w:style>
  <w:style w:type="numbering" w:customStyle="1" w:styleId="Sinlista9">
    <w:name w:val="Sin lista9"/>
    <w:next w:val="Sinlista"/>
    <w:uiPriority w:val="99"/>
    <w:semiHidden/>
    <w:unhideWhenUsed/>
    <w:rsid w:val="006A6FC8"/>
  </w:style>
  <w:style w:type="paragraph" w:customStyle="1" w:styleId="BULLETS5">
    <w:name w:val="BULLETS.5"/>
    <w:basedOn w:val="Normal"/>
    <w:rsid w:val="002E07D5"/>
    <w:pPr>
      <w:numPr>
        <w:numId w:val="58"/>
      </w:numPr>
      <w:autoSpaceDE w:val="0"/>
      <w:autoSpaceDN w:val="0"/>
      <w:adjustRightInd w:val="0"/>
      <w:spacing w:after="240"/>
      <w:ind w:left="1080"/>
    </w:pPr>
    <w:rPr>
      <w:rFonts w:ascii="Times New Roman" w:hAnsi="Times New Roman"/>
      <w:szCs w:val="24"/>
      <w:lang w:val="en-US"/>
    </w:rPr>
  </w:style>
  <w:style w:type="paragraph" w:customStyle="1" w:styleId="CoverBodyText">
    <w:name w:val="CoverBodyText"/>
    <w:aliases w:val="cbt"/>
    <w:basedOn w:val="Normal"/>
    <w:qFormat/>
    <w:rsid w:val="002E07D5"/>
    <w:pPr>
      <w:spacing w:after="240"/>
    </w:pPr>
    <w:rPr>
      <w:rFonts w:ascii="Times New Roman" w:hAnsi="Times New Roman"/>
      <w:sz w:val="17"/>
      <w:szCs w:val="17"/>
      <w:lang w:val="en-US"/>
    </w:rPr>
  </w:style>
  <w:style w:type="paragraph" w:customStyle="1" w:styleId="Boldmargin0">
    <w:name w:val="Bold margin"/>
    <w:basedOn w:val="Normal"/>
    <w:link w:val="BoldmarginChar"/>
    <w:qFormat/>
    <w:rsid w:val="002E07D5"/>
    <w:pPr>
      <w:widowControl w:val="0"/>
      <w:kinsoku w:val="0"/>
      <w:spacing w:after="240"/>
    </w:pPr>
    <w:rPr>
      <w:rFonts w:ascii="Times New Roman Bold" w:hAnsi="Times New Roman Bold"/>
      <w:b/>
      <w:sz w:val="24"/>
      <w:szCs w:val="24"/>
      <w:lang w:val="en-US"/>
    </w:rPr>
  </w:style>
  <w:style w:type="character" w:customStyle="1" w:styleId="BoldmarginChar">
    <w:name w:val="Bold margin Char"/>
    <w:link w:val="Boldmargin0"/>
    <w:locked/>
    <w:rsid w:val="002E07D5"/>
    <w:rPr>
      <w:rFonts w:ascii="Times New Roman Bold" w:hAnsi="Times New Roman Bold"/>
      <w:b/>
      <w:sz w:val="24"/>
      <w:szCs w:val="24"/>
      <w:lang w:val="en-US" w:eastAsia="en-US"/>
    </w:rPr>
  </w:style>
  <w:style w:type="character" w:customStyle="1" w:styleId="BodyChar">
    <w:name w:val="Body Char"/>
    <w:link w:val="Body"/>
    <w:rsid w:val="002E07D5"/>
    <w:rPr>
      <w:rFonts w:ascii="Times New Roman" w:eastAsia="SimSun" w:hAnsi="Times New Roman"/>
      <w:lang w:val="en-US" w:eastAsia="x-none"/>
    </w:rPr>
  </w:style>
  <w:style w:type="paragraph" w:customStyle="1" w:styleId="Tablefootnnote">
    <w:name w:val="Table footnnote"/>
    <w:aliases w:val="tfn"/>
    <w:basedOn w:val="Tablefootnote0"/>
    <w:rsid w:val="002E07D5"/>
    <w:rPr>
      <w:rFonts w:eastAsia="Times New Roman"/>
      <w:lang w:val="x-none" w:eastAsia="x-none"/>
    </w:rPr>
  </w:style>
  <w:style w:type="paragraph" w:customStyle="1" w:styleId="FNText">
    <w:name w:val="FN Text"/>
    <w:basedOn w:val="Normal"/>
    <w:rsid w:val="002E07D5"/>
    <w:pPr>
      <w:spacing w:after="240"/>
      <w:ind w:left="432" w:hanging="432"/>
    </w:pPr>
    <w:rPr>
      <w:rFonts w:ascii="Times New Roman" w:hAnsi="Times New Roman"/>
      <w:sz w:val="18"/>
      <w:szCs w:val="18"/>
      <w:lang w:val="en-US"/>
    </w:rPr>
  </w:style>
  <w:style w:type="paragraph" w:styleId="Cita">
    <w:name w:val="Quote"/>
    <w:basedOn w:val="Normal"/>
    <w:next w:val="Textoindependiente"/>
    <w:link w:val="CitaCar"/>
    <w:qFormat/>
    <w:rsid w:val="002E07D5"/>
    <w:pPr>
      <w:spacing w:after="240"/>
      <w:ind w:left="1440" w:right="1440"/>
    </w:pPr>
    <w:rPr>
      <w:rFonts w:ascii="Times New Roman" w:hAnsi="Times New Roman"/>
      <w:iCs/>
      <w:lang w:val="x-none" w:eastAsia="x-none"/>
    </w:rPr>
  </w:style>
  <w:style w:type="character" w:customStyle="1" w:styleId="CitaCar">
    <w:name w:val="Cita Car"/>
    <w:link w:val="Cita"/>
    <w:rsid w:val="002E07D5"/>
    <w:rPr>
      <w:rFonts w:ascii="Times New Roman" w:hAnsi="Times New Roman"/>
      <w:iCs/>
      <w:lang w:val="x-none" w:eastAsia="x-none"/>
    </w:rPr>
  </w:style>
  <w:style w:type="paragraph" w:customStyle="1" w:styleId="BoldItalicIndent">
    <w:name w:val="Bold Italic Indent"/>
    <w:basedOn w:val="Normal"/>
    <w:rsid w:val="002E07D5"/>
    <w:pPr>
      <w:keepNext/>
      <w:widowControl w:val="0"/>
      <w:kinsoku w:val="0"/>
      <w:spacing w:after="240"/>
      <w:ind w:left="720"/>
    </w:pPr>
    <w:rPr>
      <w:rFonts w:ascii="Times New Roman" w:hAnsi="Times New Roman"/>
      <w:b/>
      <w:i/>
      <w:lang w:val="en-US"/>
    </w:rPr>
  </w:style>
  <w:style w:type="paragraph" w:customStyle="1" w:styleId="Centeredbold">
    <w:name w:val="Centered bold"/>
    <w:basedOn w:val="Normal"/>
    <w:rsid w:val="002E07D5"/>
    <w:pPr>
      <w:widowControl w:val="0"/>
      <w:kinsoku w:val="0"/>
      <w:spacing w:after="240" w:line="204" w:lineRule="auto"/>
      <w:jc w:val="center"/>
    </w:pPr>
    <w:rPr>
      <w:rFonts w:ascii="Times New Roman" w:hAnsi="Times New Roman"/>
      <w:b/>
      <w:lang w:val="en-US"/>
    </w:rPr>
  </w:style>
  <w:style w:type="paragraph" w:customStyle="1" w:styleId="MacPacTrailer">
    <w:name w:val="MacPac Trailer"/>
    <w:rsid w:val="002E07D5"/>
    <w:pPr>
      <w:widowControl w:val="0"/>
      <w:spacing w:line="200" w:lineRule="exact"/>
    </w:pPr>
    <w:rPr>
      <w:rFonts w:ascii="Times New Roman" w:hAnsi="Times New Roman"/>
      <w:sz w:val="16"/>
      <w:szCs w:val="22"/>
      <w:lang w:val="en-US" w:eastAsia="en-US"/>
    </w:rPr>
  </w:style>
  <w:style w:type="paragraph" w:customStyle="1" w:styleId="bold50">
    <w:name w:val="bold.5"/>
    <w:basedOn w:val="Textoindependienteprimerasangra"/>
    <w:rsid w:val="002E07D5"/>
    <w:pPr>
      <w:autoSpaceDE/>
      <w:autoSpaceDN/>
      <w:adjustRightInd/>
    </w:pPr>
    <w:rPr>
      <w:b/>
      <w:szCs w:val="24"/>
      <w:lang w:val="x-none"/>
    </w:rPr>
  </w:style>
  <w:style w:type="paragraph" w:customStyle="1" w:styleId="Subtitleital">
    <w:name w:val="Subtitleital"/>
    <w:basedOn w:val="Subttulo"/>
    <w:rsid w:val="002E07D5"/>
    <w:pPr>
      <w:numPr>
        <w:ilvl w:val="1"/>
      </w:numPr>
      <w:autoSpaceDE/>
      <w:autoSpaceDN/>
      <w:adjustRightInd/>
      <w:spacing w:after="240"/>
      <w:jc w:val="left"/>
      <w:outlineLvl w:val="9"/>
    </w:pPr>
    <w:rPr>
      <w:rFonts w:ascii="Times New Roman Bold" w:hAnsi="Times New Roman Bold"/>
      <w:b/>
      <w:bCs/>
      <w:i/>
      <w:iCs/>
      <w:sz w:val="20"/>
      <w:szCs w:val="24"/>
      <w:lang w:val="x-none" w:eastAsia="x-none"/>
    </w:rPr>
  </w:style>
  <w:style w:type="paragraph" w:customStyle="1" w:styleId="ItalsIndent">
    <w:name w:val="Itals Indent"/>
    <w:basedOn w:val="Normal"/>
    <w:rsid w:val="002E07D5"/>
    <w:pPr>
      <w:spacing w:after="240"/>
      <w:ind w:left="720"/>
    </w:pPr>
    <w:rPr>
      <w:rFonts w:ascii="Times New Roman" w:hAnsi="Times New Roman"/>
      <w:i/>
      <w:lang w:val="en-US"/>
    </w:rPr>
  </w:style>
  <w:style w:type="paragraph" w:customStyle="1" w:styleId="1hanging0">
    <w:name w:val="(1)hanging"/>
    <w:basedOn w:val="Normal"/>
    <w:rsid w:val="002E07D5"/>
    <w:pPr>
      <w:spacing w:after="240"/>
      <w:ind w:left="1440" w:hanging="720"/>
    </w:pPr>
    <w:rPr>
      <w:rFonts w:ascii="Times New Roman" w:hAnsi="Times New Roman"/>
      <w:lang w:val="en-US"/>
    </w:rPr>
  </w:style>
  <w:style w:type="paragraph" w:customStyle="1" w:styleId="3hanging">
    <w:name w:val="(3)hanging"/>
    <w:basedOn w:val="2hanging"/>
    <w:rsid w:val="002E07D5"/>
    <w:pPr>
      <w:ind w:left="2880"/>
    </w:pPr>
    <w:rPr>
      <w:rFonts w:eastAsia="Times New Roman"/>
      <w:lang w:eastAsia="en-US"/>
    </w:rPr>
  </w:style>
  <w:style w:type="paragraph" w:customStyle="1" w:styleId="ItalsMargin">
    <w:name w:val="Itals Margin"/>
    <w:basedOn w:val="BoldItalicsMargin"/>
    <w:rsid w:val="002E07D5"/>
    <w:rPr>
      <w:rFonts w:eastAsia="Times New Roman"/>
      <w:b w:val="0"/>
      <w:lang w:eastAsia="en-US"/>
    </w:rPr>
  </w:style>
  <w:style w:type="paragraph" w:customStyle="1" w:styleId="ITALFIRSTINDENT">
    <w:name w:val="ITAL FIRST INDENT"/>
    <w:basedOn w:val="Normal"/>
    <w:rsid w:val="002E07D5"/>
    <w:pPr>
      <w:spacing w:after="240"/>
      <w:ind w:right="144" w:firstLine="720"/>
      <w:jc w:val="both"/>
    </w:pPr>
    <w:rPr>
      <w:rFonts w:ascii="Times New Roman" w:hAnsi="Times New Roman"/>
      <w:i/>
      <w:color w:val="000000"/>
      <w:spacing w:val="-4"/>
      <w:w w:val="105"/>
      <w:szCs w:val="22"/>
      <w:lang w:val="en-US"/>
    </w:rPr>
  </w:style>
  <w:style w:type="paragraph" w:customStyle="1" w:styleId="Indentpara0">
    <w:name w:val="Indent para"/>
    <w:basedOn w:val="Normal"/>
    <w:rsid w:val="002E07D5"/>
    <w:pPr>
      <w:spacing w:after="240"/>
      <w:ind w:right="144" w:firstLine="720"/>
    </w:pPr>
    <w:rPr>
      <w:rFonts w:ascii="Times New Roman" w:hAnsi="Times New Roman"/>
      <w:color w:val="000000"/>
      <w:spacing w:val="-3"/>
      <w:w w:val="105"/>
      <w:lang w:val="en-US"/>
    </w:rPr>
  </w:style>
  <w:style w:type="paragraph" w:customStyle="1" w:styleId="Leftitaltitle">
    <w:name w:val="Leftitaltitle"/>
    <w:basedOn w:val="Normal"/>
    <w:rsid w:val="002E07D5"/>
    <w:pPr>
      <w:spacing w:after="240"/>
    </w:pPr>
    <w:rPr>
      <w:rFonts w:ascii="Times New Roman" w:hAnsi="Times New Roman"/>
      <w:i/>
      <w:lang w:val="en-US"/>
    </w:rPr>
  </w:style>
  <w:style w:type="paragraph" w:customStyle="1" w:styleId="Bolditaltitle">
    <w:name w:val="Bold ital title"/>
    <w:basedOn w:val="Normal"/>
    <w:rsid w:val="002E07D5"/>
    <w:pPr>
      <w:spacing w:after="240"/>
      <w:ind w:left="720"/>
    </w:pPr>
    <w:rPr>
      <w:rFonts w:ascii="Times New Roman" w:hAnsi="Times New Roman"/>
      <w:b/>
      <w:i/>
      <w:color w:val="000000"/>
      <w:spacing w:val="-8"/>
      <w:w w:val="110"/>
      <w:szCs w:val="22"/>
      <w:lang w:val="en-US"/>
    </w:rPr>
  </w:style>
  <w:style w:type="paragraph" w:customStyle="1" w:styleId="Bullet2L1">
    <w:name w:val="Bullet2_L1"/>
    <w:basedOn w:val="Normal"/>
    <w:rsid w:val="002E07D5"/>
    <w:pPr>
      <w:numPr>
        <w:numId w:val="59"/>
      </w:numPr>
      <w:spacing w:after="240"/>
      <w:outlineLvl w:val="0"/>
    </w:pPr>
    <w:rPr>
      <w:rFonts w:ascii="Times New Roman" w:eastAsia="SimSun" w:hAnsi="Times New Roman"/>
      <w:lang w:val="en-US"/>
    </w:rPr>
  </w:style>
  <w:style w:type="paragraph" w:customStyle="1" w:styleId="Bullet2L2">
    <w:name w:val="Bullet2_L2"/>
    <w:basedOn w:val="Normal"/>
    <w:link w:val="Bullet2L2Char"/>
    <w:rsid w:val="002E07D5"/>
    <w:pPr>
      <w:numPr>
        <w:ilvl w:val="1"/>
        <w:numId w:val="59"/>
      </w:numPr>
      <w:spacing w:after="240"/>
      <w:outlineLvl w:val="1"/>
    </w:pPr>
    <w:rPr>
      <w:rFonts w:ascii="Times New Roman" w:eastAsia="SimSun" w:hAnsi="Times New Roman"/>
      <w:lang w:val="x-none" w:eastAsia="x-none"/>
    </w:rPr>
  </w:style>
  <w:style w:type="paragraph" w:customStyle="1" w:styleId="Bullet2L3">
    <w:name w:val="Bullet2_L3"/>
    <w:basedOn w:val="Normal"/>
    <w:rsid w:val="002E07D5"/>
    <w:pPr>
      <w:numPr>
        <w:ilvl w:val="2"/>
        <w:numId w:val="59"/>
      </w:numPr>
      <w:tabs>
        <w:tab w:val="clear" w:pos="1800"/>
        <w:tab w:val="num" w:pos="810"/>
      </w:tabs>
      <w:spacing w:after="240"/>
      <w:ind w:left="810"/>
      <w:outlineLvl w:val="2"/>
    </w:pPr>
    <w:rPr>
      <w:rFonts w:ascii="Times New Roman" w:eastAsia="SimSun" w:hAnsi="Times New Roman"/>
      <w:lang w:val="en-US"/>
    </w:rPr>
  </w:style>
  <w:style w:type="paragraph" w:customStyle="1" w:styleId="Bullet2L4">
    <w:name w:val="Bullet2_L4"/>
    <w:basedOn w:val="Normal"/>
    <w:rsid w:val="002E07D5"/>
    <w:pPr>
      <w:numPr>
        <w:ilvl w:val="3"/>
        <w:numId w:val="59"/>
      </w:numPr>
      <w:spacing w:after="240"/>
      <w:outlineLvl w:val="3"/>
    </w:pPr>
    <w:rPr>
      <w:rFonts w:ascii="Times New Roman" w:eastAsia="SimSun" w:hAnsi="Times New Roman"/>
      <w:lang w:val="en-US"/>
    </w:rPr>
  </w:style>
  <w:style w:type="paragraph" w:customStyle="1" w:styleId="Bullet2L5">
    <w:name w:val="Bullet2_L5"/>
    <w:basedOn w:val="Normal"/>
    <w:rsid w:val="002E07D5"/>
    <w:pPr>
      <w:numPr>
        <w:ilvl w:val="4"/>
        <w:numId w:val="59"/>
      </w:numPr>
      <w:spacing w:after="240"/>
      <w:outlineLvl w:val="4"/>
    </w:pPr>
    <w:rPr>
      <w:rFonts w:ascii="Times New Roman" w:eastAsia="SimSun" w:hAnsi="Times New Roman"/>
      <w:lang w:val="en-US"/>
    </w:rPr>
  </w:style>
  <w:style w:type="paragraph" w:customStyle="1" w:styleId="Bullet2L6">
    <w:name w:val="Bullet2_L6"/>
    <w:basedOn w:val="Normal"/>
    <w:rsid w:val="002E07D5"/>
    <w:pPr>
      <w:numPr>
        <w:ilvl w:val="5"/>
        <w:numId w:val="59"/>
      </w:numPr>
      <w:spacing w:after="240"/>
      <w:outlineLvl w:val="5"/>
    </w:pPr>
    <w:rPr>
      <w:rFonts w:ascii="Times New Roman" w:eastAsia="SimSun" w:hAnsi="Times New Roman"/>
      <w:lang w:val="en-US"/>
    </w:rPr>
  </w:style>
  <w:style w:type="paragraph" w:customStyle="1" w:styleId="Bullet2L7">
    <w:name w:val="Bullet2_L7"/>
    <w:basedOn w:val="Normal"/>
    <w:rsid w:val="002E07D5"/>
    <w:pPr>
      <w:numPr>
        <w:ilvl w:val="6"/>
        <w:numId w:val="59"/>
      </w:numPr>
      <w:spacing w:after="240"/>
      <w:outlineLvl w:val="6"/>
    </w:pPr>
    <w:rPr>
      <w:rFonts w:ascii="Times New Roman" w:eastAsia="SimSun" w:hAnsi="Times New Roman"/>
      <w:lang w:val="en-US"/>
    </w:rPr>
  </w:style>
  <w:style w:type="paragraph" w:customStyle="1" w:styleId="Bullet2L8">
    <w:name w:val="Bullet2_L8"/>
    <w:basedOn w:val="Bullet2L7"/>
    <w:rsid w:val="002E07D5"/>
    <w:pPr>
      <w:numPr>
        <w:ilvl w:val="7"/>
      </w:numPr>
      <w:outlineLvl w:val="7"/>
    </w:pPr>
  </w:style>
  <w:style w:type="paragraph" w:customStyle="1" w:styleId="Bullet2L9">
    <w:name w:val="Bullet2_L9"/>
    <w:basedOn w:val="Bullet2L8"/>
    <w:rsid w:val="002E07D5"/>
    <w:pPr>
      <w:numPr>
        <w:ilvl w:val="8"/>
      </w:numPr>
      <w:outlineLvl w:val="8"/>
    </w:pPr>
  </w:style>
  <w:style w:type="paragraph" w:customStyle="1" w:styleId="DPWNormal">
    <w:name w:val="DPW Normal"/>
    <w:basedOn w:val="Normal"/>
    <w:rsid w:val="002E07D5"/>
    <w:rPr>
      <w:rFonts w:ascii="Times New Roman" w:eastAsia="SimSun" w:hAnsi="Times New Roman"/>
      <w:sz w:val="24"/>
      <w:szCs w:val="24"/>
      <w:lang w:val="en-US" w:eastAsia="zh-CN"/>
    </w:rPr>
  </w:style>
  <w:style w:type="paragraph" w:customStyle="1" w:styleId="ObjectFootnote">
    <w:name w:val="Object Footnote"/>
    <w:basedOn w:val="Textoindependiente"/>
    <w:rsid w:val="002E07D5"/>
    <w:pPr>
      <w:tabs>
        <w:tab w:val="left" w:pos="624"/>
      </w:tabs>
      <w:autoSpaceDE/>
      <w:autoSpaceDN/>
      <w:adjustRightInd/>
      <w:spacing w:after="0" w:line="160" w:lineRule="atLeast"/>
      <w:ind w:left="624" w:hanging="624"/>
    </w:pPr>
    <w:rPr>
      <w:rFonts w:ascii="Credit Suisse Type Roman" w:eastAsia="PMingLiU" w:hAnsi="Credit Suisse Type Roman"/>
      <w:sz w:val="14"/>
      <w:szCs w:val="24"/>
      <w:lang w:val="en-GB" w:eastAsia="zh-TW"/>
    </w:rPr>
  </w:style>
  <w:style w:type="paragraph" w:customStyle="1" w:styleId="LeftBoldItalics">
    <w:name w:val="LeftBoldItalics"/>
    <w:basedOn w:val="Normal"/>
    <w:rsid w:val="002E07D5"/>
    <w:pPr>
      <w:keepNext/>
      <w:spacing w:after="240"/>
      <w:jc w:val="both"/>
    </w:pPr>
    <w:rPr>
      <w:rFonts w:ascii="Times New Roman" w:eastAsia="MS Mincho" w:hAnsi="Times New Roman"/>
      <w:b/>
      <w:bCs/>
      <w:i/>
      <w:lang w:val="en-US"/>
    </w:rPr>
  </w:style>
  <w:style w:type="paragraph" w:customStyle="1" w:styleId="tablefootnotetext">
    <w:name w:val="tablefootnotetext"/>
    <w:aliases w:val="tft"/>
    <w:basedOn w:val="Normal"/>
    <w:rsid w:val="002E07D5"/>
    <w:pPr>
      <w:suppressAutoHyphens/>
      <w:ind w:left="360" w:hanging="360"/>
    </w:pPr>
    <w:rPr>
      <w:rFonts w:ascii="Times New Roman" w:eastAsia="SimSun" w:hAnsi="Times New Roman"/>
      <w:sz w:val="16"/>
      <w:szCs w:val="16"/>
      <w:lang w:val="en-US"/>
    </w:rPr>
  </w:style>
  <w:style w:type="paragraph" w:customStyle="1" w:styleId="LeftIndent">
    <w:name w:val="LeftIndent"/>
    <w:aliases w:val="li"/>
    <w:basedOn w:val="Normal"/>
    <w:qFormat/>
    <w:rsid w:val="002E07D5"/>
    <w:pPr>
      <w:tabs>
        <w:tab w:val="left" w:pos="360"/>
      </w:tabs>
      <w:spacing w:after="240"/>
      <w:ind w:left="360" w:hanging="360"/>
    </w:pPr>
    <w:rPr>
      <w:rFonts w:ascii="Times New Roman" w:hAnsi="Times New Roman"/>
      <w:lang w:val="en-US"/>
    </w:rPr>
  </w:style>
  <w:style w:type="paragraph" w:customStyle="1" w:styleId="TabIndent0">
    <w:name w:val="TabIndent"/>
    <w:aliases w:val="ti"/>
    <w:basedOn w:val="Normal"/>
    <w:qFormat/>
    <w:rsid w:val="002E07D5"/>
    <w:pPr>
      <w:spacing w:after="240"/>
      <w:ind w:left="720" w:hanging="360"/>
    </w:pPr>
    <w:rPr>
      <w:rFonts w:ascii="Times New Roman" w:hAnsi="Times New Roman"/>
      <w:lang w:val="en-US"/>
    </w:rPr>
  </w:style>
  <w:style w:type="character" w:customStyle="1" w:styleId="Ttulo6Car1">
    <w:name w:val="Título 6 Car1"/>
    <w:aliases w:val="Título 6 Car Car Car1"/>
    <w:rsid w:val="002E07D5"/>
    <w:rPr>
      <w:rFonts w:ascii="Calibri" w:eastAsia="Times New Roman" w:hAnsi="Calibri" w:cs="Times New Roman"/>
      <w:b/>
      <w:bCs/>
      <w:lang w:val="en-US"/>
    </w:rPr>
  </w:style>
  <w:style w:type="character" w:styleId="Ttulodellibro">
    <w:name w:val="Book Title"/>
    <w:uiPriority w:val="33"/>
    <w:qFormat/>
    <w:rsid w:val="002E07D5"/>
    <w:rPr>
      <w:b/>
      <w:bCs/>
      <w:smallCaps/>
      <w:spacing w:val="5"/>
    </w:rPr>
  </w:style>
  <w:style w:type="character" w:customStyle="1" w:styleId="CitadestacadaCar1">
    <w:name w:val="Cita destacada Car1"/>
    <w:uiPriority w:val="30"/>
    <w:rsid w:val="002E07D5"/>
    <w:rPr>
      <w:rFonts w:ascii="Times New Roman" w:eastAsia="Times New Roman" w:hAnsi="Times New Roman" w:cs="Times New Roman"/>
      <w:b/>
      <w:bCs/>
      <w:i/>
      <w:iCs/>
      <w:color w:val="4F81BD"/>
      <w:sz w:val="24"/>
      <w:lang w:val="x-none" w:eastAsia="x-none"/>
    </w:rPr>
  </w:style>
  <w:style w:type="paragraph" w:customStyle="1" w:styleId="TableFootnote2">
    <w:name w:val="TableFootnote"/>
    <w:basedOn w:val="Normal"/>
    <w:uiPriority w:val="99"/>
    <w:rsid w:val="002E07D5"/>
    <w:pPr>
      <w:ind w:left="360" w:hanging="360"/>
    </w:pPr>
    <w:rPr>
      <w:rFonts w:ascii="Times New Roman" w:hAnsi="Times New Roman"/>
      <w:sz w:val="16"/>
      <w:szCs w:val="16"/>
      <w:lang w:val="en-US"/>
    </w:rPr>
  </w:style>
  <w:style w:type="paragraph" w:customStyle="1" w:styleId="FNLine">
    <w:name w:val="FN Line"/>
    <w:basedOn w:val="Normal"/>
    <w:rsid w:val="002E07D5"/>
    <w:pPr>
      <w:pBdr>
        <w:bottom w:val="single" w:sz="4" w:space="1" w:color="auto"/>
      </w:pBdr>
      <w:spacing w:before="60" w:after="60"/>
      <w:ind w:right="7920"/>
    </w:pPr>
    <w:rPr>
      <w:rFonts w:ascii="Times New Roman" w:hAnsi="Times New Roman"/>
      <w:sz w:val="12"/>
      <w:szCs w:val="12"/>
      <w:lang w:val="en-US"/>
    </w:rPr>
  </w:style>
  <w:style w:type="paragraph" w:customStyle="1" w:styleId="FNTextLast">
    <w:name w:val="FN Text Last"/>
    <w:basedOn w:val="Normal"/>
    <w:rsid w:val="002E07D5"/>
    <w:pPr>
      <w:spacing w:after="240"/>
      <w:ind w:left="432" w:hanging="432"/>
    </w:pPr>
    <w:rPr>
      <w:rFonts w:ascii="Times New Roman" w:hAnsi="Times New Roman"/>
      <w:sz w:val="18"/>
      <w:szCs w:val="18"/>
      <w:lang w:val="en-US"/>
    </w:rPr>
  </w:style>
  <w:style w:type="paragraph" w:customStyle="1" w:styleId="Bullet2Cont1">
    <w:name w:val="Bullet2 Cont 1"/>
    <w:basedOn w:val="Normal"/>
    <w:link w:val="Bullet2Cont1Char"/>
    <w:rsid w:val="002E07D5"/>
    <w:pPr>
      <w:spacing w:after="240"/>
      <w:ind w:left="1080"/>
    </w:pPr>
    <w:rPr>
      <w:rFonts w:ascii="Times New Roman" w:eastAsia="SimSun" w:hAnsi="Times New Roman"/>
      <w:lang w:val="en-US" w:eastAsia="x-none"/>
    </w:rPr>
  </w:style>
  <w:style w:type="character" w:customStyle="1" w:styleId="Bullet2L2Char">
    <w:name w:val="Bullet2_L2 Char"/>
    <w:link w:val="Bullet2L2"/>
    <w:rsid w:val="002E07D5"/>
    <w:rPr>
      <w:rFonts w:ascii="Times New Roman" w:eastAsia="SimSun" w:hAnsi="Times New Roman"/>
      <w:lang w:val="x-none" w:eastAsia="x-none"/>
    </w:rPr>
  </w:style>
  <w:style w:type="character" w:customStyle="1" w:styleId="Bullet2Cont1Char">
    <w:name w:val="Bullet2 Cont 1 Char"/>
    <w:link w:val="Bullet2Cont1"/>
    <w:rsid w:val="002E07D5"/>
    <w:rPr>
      <w:rFonts w:ascii="Times New Roman" w:eastAsia="SimSun" w:hAnsi="Times New Roman"/>
      <w:lang w:val="en-US" w:eastAsia="x-none"/>
    </w:rPr>
  </w:style>
  <w:style w:type="paragraph" w:customStyle="1" w:styleId="Bullet2Cont2">
    <w:name w:val="Bullet2 Cont 2"/>
    <w:basedOn w:val="Bullet2Cont1"/>
    <w:link w:val="Bullet2Cont2Char"/>
    <w:rsid w:val="002E07D5"/>
    <w:pPr>
      <w:ind w:left="1440"/>
    </w:pPr>
  </w:style>
  <w:style w:type="character" w:customStyle="1" w:styleId="Bullet2Cont2Char">
    <w:name w:val="Bullet2 Cont 2 Char"/>
    <w:link w:val="Bullet2Cont2"/>
    <w:rsid w:val="002E07D5"/>
    <w:rPr>
      <w:rFonts w:ascii="Times New Roman" w:eastAsia="SimSun" w:hAnsi="Times New Roman"/>
      <w:lang w:val="en-US" w:eastAsia="x-none"/>
    </w:rPr>
  </w:style>
  <w:style w:type="paragraph" w:customStyle="1" w:styleId="Bullet2Cont3">
    <w:name w:val="Bullet2 Cont 3"/>
    <w:basedOn w:val="Bullet2Cont2"/>
    <w:link w:val="Bullet2Cont3Char"/>
    <w:rsid w:val="002E07D5"/>
    <w:pPr>
      <w:ind w:firstLine="360"/>
    </w:pPr>
  </w:style>
  <w:style w:type="character" w:customStyle="1" w:styleId="Bullet2Cont3Char">
    <w:name w:val="Bullet2 Cont 3 Char"/>
    <w:link w:val="Bullet2Cont3"/>
    <w:rsid w:val="002E07D5"/>
    <w:rPr>
      <w:rFonts w:ascii="Times New Roman" w:eastAsia="SimSun" w:hAnsi="Times New Roman"/>
      <w:lang w:val="en-US" w:eastAsia="x-none"/>
    </w:rPr>
  </w:style>
  <w:style w:type="paragraph" w:customStyle="1" w:styleId="Bullet2Cont4">
    <w:name w:val="Bullet2 Cont 4"/>
    <w:basedOn w:val="Bullet2Cont3"/>
    <w:link w:val="Bullet2Cont4Char"/>
    <w:rsid w:val="002E07D5"/>
    <w:pPr>
      <w:ind w:left="2880" w:firstLine="0"/>
    </w:pPr>
  </w:style>
  <w:style w:type="character" w:customStyle="1" w:styleId="Bullet2Cont4Char">
    <w:name w:val="Bullet2 Cont 4 Char"/>
    <w:link w:val="Bullet2Cont4"/>
    <w:rsid w:val="002E07D5"/>
    <w:rPr>
      <w:rFonts w:ascii="Times New Roman" w:eastAsia="SimSun" w:hAnsi="Times New Roman"/>
      <w:lang w:val="en-US" w:eastAsia="x-none"/>
    </w:rPr>
  </w:style>
  <w:style w:type="paragraph" w:customStyle="1" w:styleId="Bullet2Cont5">
    <w:name w:val="Bullet2 Cont 5"/>
    <w:basedOn w:val="Bullet2Cont4"/>
    <w:link w:val="Bullet2Cont5Char"/>
    <w:rsid w:val="002E07D5"/>
    <w:pPr>
      <w:ind w:left="720"/>
    </w:pPr>
  </w:style>
  <w:style w:type="character" w:customStyle="1" w:styleId="Bullet2Cont5Char">
    <w:name w:val="Bullet2 Cont 5 Char"/>
    <w:link w:val="Bullet2Cont5"/>
    <w:rsid w:val="002E07D5"/>
    <w:rPr>
      <w:rFonts w:ascii="Times New Roman" w:eastAsia="SimSun" w:hAnsi="Times New Roman"/>
      <w:lang w:val="en-US" w:eastAsia="x-none"/>
    </w:rPr>
  </w:style>
  <w:style w:type="paragraph" w:customStyle="1" w:styleId="Bullet2Cont6">
    <w:name w:val="Bullet2 Cont 6"/>
    <w:basedOn w:val="Bullet2Cont5"/>
    <w:link w:val="Bullet2Cont6Char"/>
    <w:rsid w:val="002E07D5"/>
    <w:pPr>
      <w:ind w:left="1440"/>
    </w:pPr>
  </w:style>
  <w:style w:type="character" w:customStyle="1" w:styleId="Bullet2Cont6Char">
    <w:name w:val="Bullet2 Cont 6 Char"/>
    <w:link w:val="Bullet2Cont6"/>
    <w:rsid w:val="002E07D5"/>
    <w:rPr>
      <w:rFonts w:ascii="Times New Roman" w:eastAsia="SimSun" w:hAnsi="Times New Roman"/>
      <w:lang w:val="en-US" w:eastAsia="x-none"/>
    </w:rPr>
  </w:style>
  <w:style w:type="paragraph" w:customStyle="1" w:styleId="Bullet2Cont7">
    <w:name w:val="Bullet2 Cont 7"/>
    <w:basedOn w:val="Bullet2Cont6"/>
    <w:link w:val="Bullet2Cont7Char"/>
    <w:rsid w:val="002E07D5"/>
    <w:pPr>
      <w:ind w:left="2160"/>
    </w:pPr>
  </w:style>
  <w:style w:type="character" w:customStyle="1" w:styleId="Bullet2Cont7Char">
    <w:name w:val="Bullet2 Cont 7 Char"/>
    <w:link w:val="Bullet2Cont7"/>
    <w:rsid w:val="002E07D5"/>
    <w:rPr>
      <w:rFonts w:ascii="Times New Roman" w:eastAsia="SimSun" w:hAnsi="Times New Roman"/>
      <w:lang w:val="en-US" w:eastAsia="x-none"/>
    </w:rPr>
  </w:style>
  <w:style w:type="paragraph" w:customStyle="1" w:styleId="Bullet2Cont8">
    <w:name w:val="Bullet2 Cont 8"/>
    <w:basedOn w:val="Bullet2Cont7"/>
    <w:link w:val="Bullet2Cont8Char"/>
    <w:rsid w:val="002E07D5"/>
    <w:pPr>
      <w:ind w:left="2880"/>
    </w:pPr>
  </w:style>
  <w:style w:type="character" w:customStyle="1" w:styleId="Bullet2Cont8Char">
    <w:name w:val="Bullet2 Cont 8 Char"/>
    <w:link w:val="Bullet2Cont8"/>
    <w:rsid w:val="002E07D5"/>
    <w:rPr>
      <w:rFonts w:ascii="Times New Roman" w:eastAsia="SimSun" w:hAnsi="Times New Roman"/>
      <w:lang w:val="en-US" w:eastAsia="x-none"/>
    </w:rPr>
  </w:style>
  <w:style w:type="paragraph" w:customStyle="1" w:styleId="Bullet2Cont9">
    <w:name w:val="Bullet2 Cont 9"/>
    <w:basedOn w:val="Bullet2Cont8"/>
    <w:link w:val="Bullet2Cont9Char"/>
    <w:rsid w:val="002E07D5"/>
    <w:pPr>
      <w:ind w:left="3600"/>
    </w:pPr>
  </w:style>
  <w:style w:type="character" w:customStyle="1" w:styleId="Bullet2Cont9Char">
    <w:name w:val="Bullet2 Cont 9 Char"/>
    <w:link w:val="Bullet2Cont9"/>
    <w:rsid w:val="002E07D5"/>
    <w:rPr>
      <w:rFonts w:ascii="Times New Roman" w:eastAsia="SimSun" w:hAnsi="Times New Roman"/>
      <w:lang w:val="en-US" w:eastAsia="x-none"/>
    </w:rPr>
  </w:style>
  <w:style w:type="paragraph" w:customStyle="1" w:styleId="Prrafodelista4">
    <w:name w:val="Párrafo de lista4"/>
    <w:basedOn w:val="Normal"/>
    <w:qFormat/>
    <w:rsid w:val="002E07D5"/>
    <w:pPr>
      <w:overflowPunct w:val="0"/>
      <w:autoSpaceDE w:val="0"/>
      <w:autoSpaceDN w:val="0"/>
      <w:adjustRightInd w:val="0"/>
      <w:ind w:left="720"/>
      <w:contextualSpacing/>
      <w:textAlignment w:val="baseline"/>
    </w:pPr>
    <w:rPr>
      <w:rFonts w:ascii="Times New Roman" w:hAnsi="Times New Roman"/>
      <w:lang w:val="en-US" w:eastAsia="es-AR"/>
    </w:rPr>
  </w:style>
  <w:style w:type="character" w:customStyle="1" w:styleId="longtext">
    <w:name w:val="long_text"/>
    <w:rsid w:val="002E07D5"/>
  </w:style>
  <w:style w:type="character" w:customStyle="1" w:styleId="hpsatn">
    <w:name w:val="hps atn"/>
    <w:rsid w:val="002E07D5"/>
  </w:style>
  <w:style w:type="paragraph" w:customStyle="1" w:styleId="Style">
    <w:name w:val="Style"/>
    <w:basedOn w:val="Normal"/>
    <w:rsid w:val="002E07D5"/>
    <w:pPr>
      <w:spacing w:after="240"/>
      <w:ind w:left="720" w:hanging="720"/>
      <w:jc w:val="both"/>
    </w:pPr>
    <w:rPr>
      <w:rFonts w:ascii="Times New Roman" w:hAnsi="Times New Roman"/>
      <w:sz w:val="24"/>
      <w:lang w:val="en-US"/>
    </w:rPr>
  </w:style>
  <w:style w:type="paragraph" w:customStyle="1" w:styleId="a">
    <w:name w:val="_"/>
    <w:basedOn w:val="Normal"/>
    <w:rsid w:val="002E07D5"/>
    <w:pPr>
      <w:numPr>
        <w:numId w:val="60"/>
      </w:numPr>
      <w:spacing w:after="240"/>
      <w:jc w:val="both"/>
    </w:pPr>
    <w:rPr>
      <w:rFonts w:ascii="Times New Roman" w:hAnsi="Times New Roman"/>
      <w:sz w:val="24"/>
      <w:lang w:val="en-US"/>
    </w:rPr>
  </w:style>
  <w:style w:type="paragraph" w:customStyle="1" w:styleId="ObjectSpacer">
    <w:name w:val="Object Spacer"/>
    <w:basedOn w:val="Textoindependiente"/>
    <w:next w:val="Textoindependiente"/>
    <w:rsid w:val="002E07D5"/>
    <w:pPr>
      <w:keepNext/>
      <w:keepLines/>
      <w:autoSpaceDE/>
      <w:autoSpaceDN/>
      <w:adjustRightInd/>
      <w:spacing w:after="0"/>
      <w:ind w:right="-452"/>
    </w:pPr>
    <w:rPr>
      <w:rFonts w:ascii="Credit Suisse Type Roman" w:eastAsia="PMingLiU" w:hAnsi="Credit Suisse Type Roman"/>
      <w:sz w:val="10"/>
      <w:szCs w:val="24"/>
      <w:lang w:val="en-GB" w:eastAsia="zh-TW"/>
    </w:rPr>
  </w:style>
  <w:style w:type="paragraph" w:customStyle="1" w:styleId="TtulodeTDC2">
    <w:name w:val="Título de TDC2"/>
    <w:basedOn w:val="Ttulo1"/>
    <w:next w:val="Textoindependiente"/>
    <w:qFormat/>
    <w:rsid w:val="002E07D5"/>
    <w:pPr>
      <w:overflowPunct w:val="0"/>
      <w:autoSpaceDE w:val="0"/>
      <w:autoSpaceDN w:val="0"/>
      <w:adjustRightInd w:val="0"/>
      <w:spacing w:line="276" w:lineRule="auto"/>
      <w:textAlignment w:val="baseline"/>
      <w:outlineLvl w:val="9"/>
    </w:pPr>
    <w:rPr>
      <w:rFonts w:ascii="Arial" w:hAnsi="Arial"/>
      <w:b w:val="0"/>
      <w:bCs/>
      <w:color w:val="00011F"/>
      <w:sz w:val="40"/>
      <w:szCs w:val="28"/>
      <w:lang w:eastAsia="es-AR"/>
    </w:rPr>
  </w:style>
  <w:style w:type="character" w:customStyle="1" w:styleId="nfasisintenso2">
    <w:name w:val="Énfasis intenso2"/>
    <w:qFormat/>
    <w:rsid w:val="002E07D5"/>
    <w:rPr>
      <w:b/>
      <w:bCs/>
      <w:i/>
      <w:iCs/>
      <w:color w:val="auto"/>
      <w:u w:val="none"/>
    </w:rPr>
  </w:style>
  <w:style w:type="paragraph" w:customStyle="1" w:styleId="Citadestacada2">
    <w:name w:val="Cita destacada2"/>
    <w:basedOn w:val="Normal"/>
    <w:next w:val="Normal"/>
    <w:qFormat/>
    <w:rsid w:val="002E07D5"/>
    <w:pPr>
      <w:pBdr>
        <w:bottom w:val="single" w:sz="4" w:space="4" w:color="auto"/>
      </w:pBdr>
      <w:overflowPunct w:val="0"/>
      <w:autoSpaceDE w:val="0"/>
      <w:autoSpaceDN w:val="0"/>
      <w:adjustRightInd w:val="0"/>
      <w:ind w:left="936" w:right="936"/>
      <w:textAlignment w:val="baseline"/>
    </w:pPr>
    <w:rPr>
      <w:rFonts w:eastAsia="Calibri"/>
      <w:b/>
      <w:bCs/>
      <w:i/>
      <w:iCs/>
      <w:color w:val="4F81BD"/>
      <w:sz w:val="22"/>
      <w:szCs w:val="22"/>
    </w:rPr>
  </w:style>
  <w:style w:type="character" w:customStyle="1" w:styleId="Referenciaintensa2">
    <w:name w:val="Referencia intensa2"/>
    <w:qFormat/>
    <w:rsid w:val="002E07D5"/>
    <w:rPr>
      <w:b/>
      <w:bCs/>
      <w:i w:val="0"/>
      <w:smallCaps/>
      <w:color w:val="auto"/>
      <w:spacing w:val="5"/>
      <w:u w:val="none"/>
    </w:rPr>
  </w:style>
  <w:style w:type="character" w:customStyle="1" w:styleId="nfasissutil2">
    <w:name w:val="Énfasis sutil2"/>
    <w:qFormat/>
    <w:rsid w:val="002E07D5"/>
    <w:rPr>
      <w:b w:val="0"/>
      <w:i/>
      <w:iCs/>
      <w:color w:val="auto"/>
      <w:u w:val="none"/>
    </w:rPr>
  </w:style>
  <w:style w:type="character" w:customStyle="1" w:styleId="Referenciasutil2">
    <w:name w:val="Referencia sutil2"/>
    <w:qFormat/>
    <w:rsid w:val="002E07D5"/>
    <w:rPr>
      <w:b w:val="0"/>
      <w:i w:val="0"/>
      <w:smallCaps/>
      <w:color w:val="auto"/>
      <w:u w:val="single"/>
    </w:rPr>
  </w:style>
  <w:style w:type="table" w:customStyle="1" w:styleId="Sombreadoclaro-nfasis22">
    <w:name w:val="Sombreado claro - Énfasis 22"/>
    <w:basedOn w:val="Tablanormal"/>
    <w:rsid w:val="002E07D5"/>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2">
    <w:name w:val="Sombreado medio 1 - Énfasis 42"/>
    <w:basedOn w:val="Tablanormal"/>
    <w:rsid w:val="002E07D5"/>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table" w:customStyle="1" w:styleId="MediumShading11">
    <w:name w:val="Medium Shading 11"/>
    <w:basedOn w:val="Tablanormal"/>
    <w:rsid w:val="002E07D5"/>
    <w:rPr>
      <w:rFonts w:ascii="Arial" w:eastAsia="Arial" w:hAnsi="Arial"/>
      <w:sz w:val="16"/>
      <w:lang w:val="es-AR" w:eastAsia="es-AR"/>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
    <w:name w:val="Medium Shading 1 - Accent 11"/>
    <w:basedOn w:val="Tablanormal"/>
    <w:rsid w:val="002E07D5"/>
    <w:rPr>
      <w:rFonts w:ascii="Arial" w:eastAsia="Arial" w:hAnsi="Arial"/>
      <w:lang w:val="es-AR" w:eastAsia="es-AR"/>
    </w:rPr>
    <w:tblPr>
      <w:tblStyleRowBandSize w:val="1"/>
      <w:tblStyleColBandSize w:val="1"/>
      <w:tblBorders>
        <w:top w:val="single" w:sz="8" w:space="0" w:color="B9B1A7"/>
        <w:left w:val="single" w:sz="8" w:space="0" w:color="B9B1A7"/>
        <w:bottom w:val="single" w:sz="8" w:space="0" w:color="B9B1A7"/>
        <w:right w:val="single" w:sz="8" w:space="0" w:color="B9B1A7"/>
        <w:insideH w:val="single" w:sz="8" w:space="0" w:color="B9B1A7"/>
      </w:tblBorders>
    </w:tblPr>
    <w:tblStylePr w:type="firstRow">
      <w:pPr>
        <w:spacing w:before="0" w:after="0" w:line="240" w:lineRule="auto"/>
      </w:pPr>
      <w:rPr>
        <w:b/>
        <w:bCs/>
        <w:color w:val="FFFFFF"/>
      </w:rPr>
      <w:tblPr/>
      <w:tcPr>
        <w:tcBorders>
          <w:top w:val="single" w:sz="8" w:space="0" w:color="B9B1A7"/>
          <w:left w:val="single" w:sz="8" w:space="0" w:color="B9B1A7"/>
          <w:bottom w:val="single" w:sz="8" w:space="0" w:color="B9B1A7"/>
          <w:right w:val="single" w:sz="8" w:space="0" w:color="B9B1A7"/>
          <w:insideH w:val="nil"/>
          <w:insideV w:val="nil"/>
        </w:tcBorders>
        <w:shd w:val="clear" w:color="auto" w:fill="A2978A"/>
      </w:tcPr>
    </w:tblStylePr>
    <w:tblStylePr w:type="lastRow">
      <w:pPr>
        <w:spacing w:before="0" w:after="0" w:line="240" w:lineRule="auto"/>
      </w:pPr>
      <w:rPr>
        <w:b/>
        <w:bCs/>
      </w:rPr>
      <w:tblPr/>
      <w:tcPr>
        <w:tcBorders>
          <w:top w:val="double" w:sz="6" w:space="0" w:color="B9B1A7"/>
          <w:left w:val="single" w:sz="8" w:space="0" w:color="B9B1A7"/>
          <w:bottom w:val="single" w:sz="8" w:space="0" w:color="B9B1A7"/>
          <w:right w:val="single" w:sz="8" w:space="0" w:color="B9B1A7"/>
          <w:insideH w:val="nil"/>
          <w:insideV w:val="nil"/>
        </w:tcBorders>
      </w:tcPr>
    </w:tblStylePr>
    <w:tblStylePr w:type="firstCol">
      <w:rPr>
        <w:b/>
        <w:bCs/>
      </w:rPr>
    </w:tblStylePr>
    <w:tblStylePr w:type="lastCol">
      <w:rPr>
        <w:b/>
        <w:bCs/>
      </w:rPr>
    </w:tblStylePr>
    <w:tblStylePr w:type="band1Vert">
      <w:tblPr/>
      <w:tcPr>
        <w:shd w:val="clear" w:color="auto" w:fill="E8E5E2"/>
      </w:tcPr>
    </w:tblStylePr>
    <w:tblStylePr w:type="band1Horz">
      <w:tblPr/>
      <w:tcPr>
        <w:tcBorders>
          <w:insideH w:val="nil"/>
          <w:insideV w:val="nil"/>
        </w:tcBorders>
        <w:shd w:val="clear" w:color="auto" w:fill="E8E5E2"/>
      </w:tcPr>
    </w:tblStylePr>
    <w:tblStylePr w:type="band2Horz">
      <w:tblPr/>
      <w:tcPr>
        <w:tcBorders>
          <w:insideH w:val="nil"/>
          <w:insideV w:val="nil"/>
        </w:tcBorders>
      </w:tcPr>
    </w:tblStylePr>
  </w:style>
  <w:style w:type="table" w:customStyle="1" w:styleId="LightList1">
    <w:name w:val="Light List1"/>
    <w:basedOn w:val="Tablanormal"/>
    <w:rsid w:val="002E07D5"/>
    <w:rPr>
      <w:rFonts w:ascii="Arial" w:eastAsia="Arial" w:hAnsi="Arial"/>
      <w:lang w:val="es-AR" w:eastAsia="es-AR"/>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
    <w:name w:val="Light List - Accent 11"/>
    <w:basedOn w:val="Tablanormal"/>
    <w:rsid w:val="002E07D5"/>
    <w:rPr>
      <w:rFonts w:ascii="Arial" w:eastAsia="Arial" w:hAnsi="Arial"/>
      <w:lang w:val="es-AR" w:eastAsia="es-AR"/>
    </w:rPr>
    <w:tblPr>
      <w:tblStyleRowBandSize w:val="1"/>
      <w:tblStyleColBandSize w:val="1"/>
      <w:tblBorders>
        <w:top w:val="single" w:sz="8" w:space="0" w:color="A2978A"/>
        <w:left w:val="single" w:sz="8" w:space="0" w:color="A2978A"/>
        <w:bottom w:val="single" w:sz="8" w:space="0" w:color="A2978A"/>
        <w:right w:val="single" w:sz="8" w:space="0" w:color="A2978A"/>
      </w:tblBorders>
    </w:tblPr>
    <w:tblStylePr w:type="firstRow">
      <w:pPr>
        <w:spacing w:before="0" w:after="0" w:line="240" w:lineRule="auto"/>
      </w:pPr>
      <w:rPr>
        <w:b/>
        <w:bCs/>
        <w:color w:val="FFFFFF"/>
      </w:rPr>
      <w:tblPr/>
      <w:tcPr>
        <w:shd w:val="clear" w:color="auto" w:fill="A2978A"/>
      </w:tcPr>
    </w:tblStylePr>
    <w:tblStylePr w:type="lastRow">
      <w:pPr>
        <w:spacing w:before="0" w:after="0" w:line="240" w:lineRule="auto"/>
      </w:pPr>
      <w:rPr>
        <w:b/>
        <w:bCs/>
      </w:rPr>
      <w:tblPr/>
      <w:tcPr>
        <w:tcBorders>
          <w:top w:val="double" w:sz="6" w:space="0" w:color="A2978A"/>
          <w:left w:val="single" w:sz="8" w:space="0" w:color="A2978A"/>
          <w:bottom w:val="single" w:sz="8" w:space="0" w:color="A2978A"/>
          <w:right w:val="single" w:sz="8" w:space="0" w:color="A2978A"/>
        </w:tcBorders>
      </w:tcPr>
    </w:tblStylePr>
    <w:tblStylePr w:type="firstCol">
      <w:rPr>
        <w:b/>
        <w:bCs/>
      </w:rPr>
    </w:tblStylePr>
    <w:tblStylePr w:type="lastCol">
      <w:rPr>
        <w:b/>
        <w:bCs/>
      </w:rPr>
    </w:tblStylePr>
    <w:tblStylePr w:type="band1Vert">
      <w:tblPr/>
      <w:tcPr>
        <w:tcBorders>
          <w:top w:val="single" w:sz="8" w:space="0" w:color="A2978A"/>
          <w:left w:val="single" w:sz="8" w:space="0" w:color="A2978A"/>
          <w:bottom w:val="single" w:sz="8" w:space="0" w:color="A2978A"/>
          <w:right w:val="single" w:sz="8" w:space="0" w:color="A2978A"/>
        </w:tcBorders>
      </w:tcPr>
    </w:tblStylePr>
    <w:tblStylePr w:type="band1Horz">
      <w:tblPr/>
      <w:tcPr>
        <w:tcBorders>
          <w:top w:val="single" w:sz="8" w:space="0" w:color="A2978A"/>
          <w:left w:val="single" w:sz="8" w:space="0" w:color="A2978A"/>
          <w:bottom w:val="single" w:sz="8" w:space="0" w:color="A2978A"/>
          <w:right w:val="single" w:sz="8" w:space="0" w:color="A2978A"/>
        </w:tcBorders>
      </w:tcPr>
    </w:tblStylePr>
  </w:style>
  <w:style w:type="table" w:customStyle="1" w:styleId="PwCTable1">
    <w:name w:val="PwC Table 1"/>
    <w:basedOn w:val="Tablanormal"/>
    <w:qFormat/>
    <w:rsid w:val="002E07D5"/>
    <w:rPr>
      <w:rFonts w:ascii="Arial" w:eastAsia="Arial" w:hAnsi="Arial"/>
      <w:sz w:val="18"/>
      <w:lang w:val="es-AR" w:eastAsia="es-AR"/>
    </w:rPr>
    <w:tblPr>
      <w:tblStyleRowBandSize w:val="1"/>
      <w:tblBorders>
        <w:bottom w:val="single" w:sz="4" w:space="0" w:color="A2978A"/>
        <w:insideH w:val="single" w:sz="4" w:space="0" w:color="A2978A"/>
      </w:tblBorders>
      <w:tblCellMar>
        <w:top w:w="57" w:type="dxa"/>
        <w:left w:w="0" w:type="dxa"/>
        <w:bottom w:w="57" w:type="dxa"/>
        <w:right w:w="0" w:type="dxa"/>
      </w:tblCellMar>
    </w:tblPr>
    <w:tblStylePr w:type="firstRow">
      <w:pPr>
        <w:wordWrap/>
        <w:spacing w:beforeLines="0" w:beforeAutospacing="0" w:afterLines="0" w:afterAutospacing="0" w:line="210" w:lineRule="atLeast"/>
        <w:contextualSpacing w:val="0"/>
      </w:pPr>
      <w:rPr>
        <w:rFonts w:ascii="Arial" w:hAnsi="Arial"/>
        <w:b/>
        <w:color w:val="A2978A"/>
        <w:sz w:val="18"/>
      </w:rPr>
      <w:tblPr/>
      <w:tcPr>
        <w:tcBorders>
          <w:top w:val="nil"/>
          <w:left w:val="nil"/>
          <w:bottom w:val="single" w:sz="8" w:space="0" w:color="00011F"/>
          <w:right w:val="nil"/>
          <w:insideH w:val="nil"/>
          <w:insideV w:val="nil"/>
          <w:tl2br w:val="nil"/>
          <w:tr2bl w:val="nil"/>
        </w:tcBorders>
      </w:tcPr>
    </w:tblStylePr>
    <w:tblStylePr w:type="lastRow">
      <w:tblPr/>
      <w:tcPr>
        <w:tcBorders>
          <w:top w:val="nil"/>
          <w:left w:val="nil"/>
          <w:bottom w:val="single" w:sz="4" w:space="0" w:color="A2978A"/>
          <w:right w:val="nil"/>
          <w:insideH w:val="nil"/>
          <w:insideV w:val="nil"/>
          <w:tl2br w:val="nil"/>
          <w:tr2bl w:val="nil"/>
        </w:tcBorders>
      </w:tcPr>
    </w:tblStylePr>
    <w:tblStylePr w:type="band1Horz">
      <w:pPr>
        <w:wordWrap/>
        <w:spacing w:beforeLines="0" w:beforeAutospacing="0" w:afterLines="0" w:afterAutospacing="0" w:line="210" w:lineRule="atLeast"/>
      </w:pPr>
    </w:tblStylePr>
    <w:tblStylePr w:type="band2Horz">
      <w:pPr>
        <w:wordWrap/>
        <w:spacing w:beforeLines="0" w:beforeAutospacing="0" w:afterLines="0" w:afterAutospacing="0" w:line="210" w:lineRule="atLeast"/>
      </w:pPr>
    </w:tblStylePr>
  </w:style>
  <w:style w:type="numbering" w:customStyle="1" w:styleId="PwCListBullets1">
    <w:name w:val="PwC List Bullets 1"/>
    <w:rsid w:val="002E07D5"/>
    <w:pPr>
      <w:numPr>
        <w:numId w:val="61"/>
      </w:numPr>
    </w:pPr>
  </w:style>
  <w:style w:type="numbering" w:customStyle="1" w:styleId="PwCListNumbers1">
    <w:name w:val="PwC List Numbers 1"/>
    <w:rsid w:val="002E07D5"/>
    <w:pPr>
      <w:numPr>
        <w:numId w:val="62"/>
      </w:numPr>
    </w:pPr>
  </w:style>
  <w:style w:type="paragraph" w:customStyle="1" w:styleId="Text1">
    <w:name w:val="Text1"/>
    <w:basedOn w:val="Normal"/>
    <w:rsid w:val="002E07D5"/>
    <w:pPr>
      <w:tabs>
        <w:tab w:val="left" w:pos="720"/>
      </w:tabs>
      <w:overflowPunct w:val="0"/>
      <w:autoSpaceDE w:val="0"/>
      <w:autoSpaceDN w:val="0"/>
      <w:adjustRightInd w:val="0"/>
      <w:spacing w:after="240"/>
      <w:ind w:left="720" w:hanging="360"/>
      <w:textAlignment w:val="baseline"/>
    </w:pPr>
    <w:rPr>
      <w:rFonts w:ascii="Times New Roman" w:hAnsi="Times New Roman"/>
      <w:lang w:val="en-US" w:eastAsia="es-AR"/>
    </w:rPr>
  </w:style>
  <w:style w:type="paragraph" w:customStyle="1" w:styleId="Notacuerpo1">
    <w:name w:val="Nota cuerpo:1"/>
    <w:basedOn w:val="Normal"/>
    <w:rsid w:val="002E07D5"/>
    <w:pPr>
      <w:overflowPunct w:val="0"/>
      <w:autoSpaceDE w:val="0"/>
      <w:autoSpaceDN w:val="0"/>
      <w:adjustRightInd w:val="0"/>
      <w:ind w:left="1440"/>
      <w:jc w:val="both"/>
      <w:textAlignment w:val="baseline"/>
    </w:pPr>
    <w:rPr>
      <w:rFonts w:ascii="Arial" w:hAnsi="Arial"/>
      <w:noProof/>
      <w:sz w:val="24"/>
      <w:lang w:val="en-US" w:eastAsia="es-AR"/>
    </w:rPr>
  </w:style>
  <w:style w:type="character" w:customStyle="1" w:styleId="tw4winMark">
    <w:name w:val="tw4winMark"/>
    <w:rsid w:val="002E07D5"/>
    <w:rPr>
      <w:rFonts w:ascii="Courier New" w:hAnsi="Courier New"/>
      <w:vanish/>
      <w:color w:val="800080"/>
      <w:sz w:val="24"/>
      <w:vertAlign w:val="subscript"/>
    </w:rPr>
  </w:style>
  <w:style w:type="character" w:customStyle="1" w:styleId="tw4winTerm">
    <w:name w:val="tw4winTerm"/>
    <w:rsid w:val="002E07D5"/>
    <w:rPr>
      <w:color w:val="0000FF"/>
    </w:rPr>
  </w:style>
  <w:style w:type="character" w:customStyle="1" w:styleId="tw4winJump">
    <w:name w:val="tw4winJump"/>
    <w:rsid w:val="002E07D5"/>
    <w:rPr>
      <w:rFonts w:ascii="Courier New" w:hAnsi="Courier New"/>
      <w:noProof/>
      <w:color w:val="008080"/>
    </w:rPr>
  </w:style>
  <w:style w:type="paragraph" w:customStyle="1" w:styleId="2Ttulo">
    <w:name w:val="2Título"/>
    <w:basedOn w:val="Normal"/>
    <w:rsid w:val="002E07D5"/>
    <w:pPr>
      <w:overflowPunct w:val="0"/>
      <w:autoSpaceDE w:val="0"/>
      <w:autoSpaceDN w:val="0"/>
      <w:adjustRightInd w:val="0"/>
      <w:jc w:val="center"/>
      <w:textAlignment w:val="baseline"/>
    </w:pPr>
    <w:rPr>
      <w:rFonts w:ascii="Times New Roman" w:hAnsi="Times New Roman"/>
      <w:b/>
      <w:sz w:val="24"/>
      <w:lang w:val="es-ES" w:eastAsia="es-AR"/>
    </w:rPr>
  </w:style>
  <w:style w:type="paragraph" w:customStyle="1" w:styleId="1Texto">
    <w:name w:val="1. Texto"/>
    <w:basedOn w:val="Normal"/>
    <w:rsid w:val="002E07D5"/>
    <w:pPr>
      <w:widowControl w:val="0"/>
      <w:jc w:val="both"/>
    </w:pPr>
    <w:rPr>
      <w:rFonts w:ascii="Times New Roman" w:hAnsi="Times New Roman"/>
      <w:lang w:val="en-US"/>
    </w:rPr>
  </w:style>
  <w:style w:type="paragraph" w:customStyle="1" w:styleId="CharCharCharCharChar1">
    <w:name w:val="Char Char Char Char Char1"/>
    <w:basedOn w:val="Textoindependiente"/>
    <w:rsid w:val="002E07D5"/>
    <w:pPr>
      <w:tabs>
        <w:tab w:val="left" w:pos="6660"/>
        <w:tab w:val="decimal" w:pos="7740"/>
        <w:tab w:val="left" w:pos="8100"/>
        <w:tab w:val="decimal" w:pos="9270"/>
      </w:tabs>
      <w:overflowPunct w:val="0"/>
      <w:spacing w:after="0"/>
      <w:ind w:left="720"/>
      <w:textAlignment w:val="baseline"/>
    </w:pPr>
    <w:rPr>
      <w:rFonts w:ascii="Arial" w:eastAsia="Batang" w:hAnsi="Arial"/>
      <w:b/>
    </w:rPr>
  </w:style>
  <w:style w:type="character" w:customStyle="1" w:styleId="tw4winPopup">
    <w:name w:val="tw4winPopup"/>
    <w:rsid w:val="002E07D5"/>
    <w:rPr>
      <w:rFonts w:ascii="Courier New" w:hAnsi="Courier New"/>
      <w:noProof/>
      <w:color w:val="008000"/>
    </w:rPr>
  </w:style>
  <w:style w:type="paragraph" w:customStyle="1" w:styleId="CharCharCharCharChar2">
    <w:name w:val="Char Char Char Char Char2"/>
    <w:basedOn w:val="Textoindependiente"/>
    <w:rsid w:val="002E07D5"/>
    <w:pPr>
      <w:tabs>
        <w:tab w:val="left" w:pos="6660"/>
        <w:tab w:val="decimal" w:pos="7740"/>
        <w:tab w:val="left" w:pos="8100"/>
        <w:tab w:val="decimal" w:pos="9270"/>
      </w:tabs>
      <w:overflowPunct w:val="0"/>
      <w:spacing w:after="0"/>
      <w:ind w:left="720"/>
      <w:textAlignment w:val="baseline"/>
    </w:pPr>
    <w:rPr>
      <w:rFonts w:ascii="Arial" w:eastAsia="Batang" w:hAnsi="Arial"/>
      <w:b/>
    </w:rPr>
  </w:style>
  <w:style w:type="paragraph" w:customStyle="1" w:styleId="Sinespaciado2">
    <w:name w:val="Sin espaciado2"/>
    <w:qFormat/>
    <w:rsid w:val="002E07D5"/>
    <w:pPr>
      <w:jc w:val="both"/>
    </w:pPr>
    <w:rPr>
      <w:rFonts w:ascii="Univers" w:hAnsi="Univers"/>
      <w:snapToGrid w:val="0"/>
      <w:sz w:val="18"/>
      <w:szCs w:val="22"/>
      <w:lang w:val="es-AR" w:eastAsia="es-AR"/>
    </w:rPr>
  </w:style>
  <w:style w:type="character" w:customStyle="1" w:styleId="gt-icon-text1">
    <w:name w:val="gt-icon-text1"/>
    <w:rsid w:val="002E07D5"/>
  </w:style>
  <w:style w:type="paragraph" w:customStyle="1" w:styleId="AINDENTEDPARA">
    <w:name w:val="A INDENTED PARA"/>
    <w:basedOn w:val="Normal"/>
    <w:rsid w:val="002E07D5"/>
    <w:pPr>
      <w:ind w:left="360"/>
      <w:jc w:val="both"/>
    </w:pPr>
    <w:rPr>
      <w:rFonts w:ascii="Book Antiqua" w:hAnsi="Book Antiqua"/>
      <w:sz w:val="22"/>
      <w:lang w:val="es-ES"/>
    </w:rPr>
  </w:style>
  <w:style w:type="paragraph" w:customStyle="1" w:styleId="Textoinfaud">
    <w:name w:val="Texto inf. aud."/>
    <w:basedOn w:val="Normal"/>
    <w:rsid w:val="002E07D5"/>
    <w:pPr>
      <w:tabs>
        <w:tab w:val="left" w:pos="720"/>
      </w:tabs>
      <w:spacing w:line="360" w:lineRule="atLeast"/>
      <w:jc w:val="both"/>
    </w:pPr>
    <w:rPr>
      <w:rFonts w:ascii="Book Antiqua" w:hAnsi="Book Antiqua" w:cs="Book Antiqua"/>
      <w:lang w:val="es-ES_tradnl"/>
    </w:rPr>
  </w:style>
  <w:style w:type="paragraph" w:customStyle="1" w:styleId="text">
    <w:name w:val="text"/>
    <w:basedOn w:val="Normal"/>
    <w:rsid w:val="002E07D5"/>
    <w:pPr>
      <w:spacing w:after="120"/>
      <w:ind w:left="144" w:firstLine="216"/>
      <w:jc w:val="both"/>
    </w:pPr>
    <w:rPr>
      <w:rFonts w:ascii="Times New Roman" w:hAnsi="Times New Roman"/>
      <w:lang w:val="en-US"/>
    </w:rPr>
  </w:style>
  <w:style w:type="paragraph" w:customStyle="1" w:styleId="textital">
    <w:name w:val="text ital"/>
    <w:basedOn w:val="text"/>
    <w:rsid w:val="002E07D5"/>
    <w:rPr>
      <w:i/>
    </w:rPr>
  </w:style>
  <w:style w:type="paragraph" w:customStyle="1" w:styleId="CM18">
    <w:name w:val="CM18"/>
    <w:basedOn w:val="Default"/>
    <w:next w:val="Default"/>
    <w:rsid w:val="002E07D5"/>
    <w:pPr>
      <w:widowControl w:val="0"/>
    </w:pPr>
    <w:rPr>
      <w:rFonts w:ascii="Verdana" w:hAnsi="Verdana"/>
      <w:color w:val="auto"/>
      <w:lang w:val="en-GB" w:eastAsia="en-GB"/>
    </w:rPr>
  </w:style>
  <w:style w:type="paragraph" w:customStyle="1" w:styleId="xmsonormal">
    <w:name w:val="x_msonormal"/>
    <w:basedOn w:val="Normal"/>
    <w:rsid w:val="002E07D5"/>
    <w:pPr>
      <w:spacing w:before="100" w:beforeAutospacing="1" w:after="100" w:afterAutospacing="1"/>
    </w:pPr>
    <w:rPr>
      <w:rFonts w:ascii="Times New Roman" w:hAnsi="Times New Roman"/>
      <w:sz w:val="24"/>
      <w:szCs w:val="24"/>
      <w:lang w:val="en-US"/>
    </w:rPr>
  </w:style>
  <w:style w:type="paragraph" w:customStyle="1" w:styleId="xs7-502">
    <w:name w:val="x_s7-502"/>
    <w:basedOn w:val="Normal"/>
    <w:rsid w:val="002E07D5"/>
    <w:pPr>
      <w:spacing w:before="100" w:beforeAutospacing="1" w:after="100" w:afterAutospacing="1"/>
    </w:pPr>
    <w:rPr>
      <w:rFonts w:ascii="Times New Roman" w:hAnsi="Times New Roman"/>
      <w:sz w:val="24"/>
      <w:szCs w:val="24"/>
      <w:lang w:val="en-US"/>
    </w:rPr>
  </w:style>
  <w:style w:type="paragraph" w:customStyle="1" w:styleId="xs1-502">
    <w:name w:val="x_s1-502"/>
    <w:basedOn w:val="Normal"/>
    <w:rsid w:val="002E07D5"/>
    <w:pPr>
      <w:spacing w:before="100" w:beforeAutospacing="1" w:after="100" w:afterAutospacing="1"/>
    </w:pPr>
    <w:rPr>
      <w:rFonts w:ascii="Times New Roman" w:hAnsi="Times New Roman"/>
      <w:sz w:val="24"/>
      <w:szCs w:val="24"/>
      <w:lang w:val="en-US"/>
    </w:rPr>
  </w:style>
  <w:style w:type="paragraph" w:customStyle="1" w:styleId="trn">
    <w:name w:val="trn"/>
    <w:basedOn w:val="Normal"/>
    <w:rsid w:val="002E07D5"/>
    <w:rPr>
      <w:rFonts w:ascii="Times New Roman" w:hAnsi="Times New Roman"/>
      <w:sz w:val="16"/>
      <w:szCs w:val="16"/>
      <w:lang w:val="en-US"/>
    </w:rPr>
  </w:style>
  <w:style w:type="paragraph" w:customStyle="1" w:styleId="Ftn">
    <w:name w:val="Ftn"/>
    <w:basedOn w:val="Textoindependiente"/>
    <w:rsid w:val="002E07D5"/>
    <w:pPr>
      <w:autoSpaceDE/>
      <w:autoSpaceDN/>
      <w:adjustRightInd/>
      <w:spacing w:after="0"/>
    </w:pPr>
    <w:rPr>
      <w:sz w:val="16"/>
      <w:szCs w:val="16"/>
      <w:lang w:eastAsia="en-US"/>
    </w:rPr>
  </w:style>
  <w:style w:type="paragraph" w:customStyle="1" w:styleId="DocId0">
    <w:name w:val="DocId"/>
    <w:basedOn w:val="Piedepgina"/>
    <w:rsid w:val="002E07D5"/>
    <w:pPr>
      <w:autoSpaceDE/>
      <w:autoSpaceDN/>
      <w:adjustRightInd/>
    </w:pPr>
    <w:rPr>
      <w:rFonts w:eastAsia="SimSun" w:cs="Arial"/>
      <w:sz w:val="16"/>
      <w:szCs w:val="16"/>
      <w:lang w:eastAsia="en-US"/>
    </w:rPr>
  </w:style>
  <w:style w:type="paragraph" w:customStyle="1" w:styleId="Wehavemadecertainimprovementstoourautomationservicesincluding">
    <w:name w:val="We have made certain improvements to our automation services including:"/>
    <w:basedOn w:val="Listaconvietas3"/>
    <w:rsid w:val="002E07D5"/>
    <w:pPr>
      <w:numPr>
        <w:numId w:val="0"/>
      </w:numPr>
      <w:kinsoku w:val="0"/>
      <w:ind w:left="1080" w:hanging="360"/>
    </w:pPr>
    <w:rPr>
      <w:lang w:eastAsia="en-US"/>
    </w:rPr>
  </w:style>
  <w:style w:type="paragraph" w:customStyle="1" w:styleId="Prrafodelista3">
    <w:name w:val="Párrafo de lista3"/>
    <w:basedOn w:val="Normal"/>
    <w:qFormat/>
    <w:rsid w:val="002E07D5"/>
    <w:pPr>
      <w:overflowPunct w:val="0"/>
      <w:autoSpaceDE w:val="0"/>
      <w:autoSpaceDN w:val="0"/>
      <w:adjustRightInd w:val="0"/>
      <w:ind w:left="720"/>
      <w:contextualSpacing/>
      <w:textAlignment w:val="baseline"/>
    </w:pPr>
    <w:rPr>
      <w:rFonts w:ascii="Times New Roman" w:hAnsi="Times New Roman"/>
      <w:lang w:val="en-US" w:eastAsia="es-AR"/>
    </w:rPr>
  </w:style>
  <w:style w:type="character" w:customStyle="1" w:styleId="nfasisintenso10">
    <w:name w:val="Énfasis intenso1"/>
    <w:qFormat/>
    <w:rsid w:val="00661E40"/>
    <w:rPr>
      <w:b/>
      <w:bCs/>
      <w:i/>
      <w:iCs/>
      <w:color w:val="auto"/>
      <w:u w:val="none"/>
    </w:rPr>
  </w:style>
  <w:style w:type="paragraph" w:customStyle="1" w:styleId="Citadestacada10">
    <w:name w:val="Cita destacada1"/>
    <w:basedOn w:val="Normal"/>
    <w:next w:val="Normal"/>
    <w:qFormat/>
    <w:rsid w:val="00661E40"/>
    <w:pPr>
      <w:pBdr>
        <w:bottom w:val="single" w:sz="4" w:space="4" w:color="auto"/>
      </w:pBdr>
      <w:overflowPunct w:val="0"/>
      <w:autoSpaceDE w:val="0"/>
      <w:autoSpaceDN w:val="0"/>
      <w:adjustRightInd w:val="0"/>
      <w:ind w:left="936" w:right="936"/>
      <w:textAlignment w:val="baseline"/>
    </w:pPr>
    <w:rPr>
      <w:rFonts w:ascii="Times New Roman" w:hAnsi="Times New Roman"/>
      <w:b/>
      <w:bCs/>
      <w:i/>
      <w:iCs/>
      <w:sz w:val="22"/>
      <w:szCs w:val="22"/>
      <w:lang w:val="x-none" w:eastAsia="es-AR"/>
    </w:rPr>
  </w:style>
  <w:style w:type="character" w:customStyle="1" w:styleId="Referenciaintensa10">
    <w:name w:val="Referencia intensa1"/>
    <w:qFormat/>
    <w:rsid w:val="00661E40"/>
    <w:rPr>
      <w:b/>
      <w:bCs/>
      <w:i w:val="0"/>
      <w:smallCaps/>
      <w:color w:val="auto"/>
      <w:spacing w:val="5"/>
      <w:u w:val="none"/>
    </w:rPr>
  </w:style>
  <w:style w:type="character" w:customStyle="1" w:styleId="nfasissutil10">
    <w:name w:val="Énfasis sutil1"/>
    <w:qFormat/>
    <w:rsid w:val="00661E40"/>
    <w:rPr>
      <w:b w:val="0"/>
      <w:i/>
      <w:iCs/>
      <w:color w:val="auto"/>
      <w:u w:val="none"/>
    </w:rPr>
  </w:style>
  <w:style w:type="character" w:customStyle="1" w:styleId="Referenciasutil10">
    <w:name w:val="Referencia sutil1"/>
    <w:qFormat/>
    <w:rsid w:val="00661E40"/>
    <w:rPr>
      <w:b w:val="0"/>
      <w:i w:val="0"/>
      <w:smallCaps/>
      <w:color w:val="auto"/>
      <w:u w:val="single"/>
    </w:rPr>
  </w:style>
  <w:style w:type="table" w:customStyle="1" w:styleId="Sombreadoclaro-nfasis21">
    <w:name w:val="Sombreado claro - Énfasis 21"/>
    <w:basedOn w:val="Tablanormal"/>
    <w:rsid w:val="002E07D5"/>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1">
    <w:name w:val="Sombreado medio 1 - Énfasis 41"/>
    <w:basedOn w:val="Tablanormal"/>
    <w:rsid w:val="002E07D5"/>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paragraph" w:customStyle="1" w:styleId="BodyA">
    <w:name w:val="Body A"/>
    <w:rsid w:val="002E07D5"/>
    <w:pPr>
      <w:pBdr>
        <w:top w:val="nil"/>
        <w:left w:val="nil"/>
        <w:bottom w:val="nil"/>
        <w:right w:val="nil"/>
        <w:between w:val="nil"/>
        <w:bar w:val="nil"/>
      </w:pBdr>
      <w:spacing w:after="240"/>
    </w:pPr>
    <w:rPr>
      <w:rFonts w:ascii="Times New Roman" w:eastAsia="Arial Unicode MS" w:hAnsi="Arial Unicode MS" w:cs="Arial Unicode MS"/>
      <w:color w:val="000000"/>
      <w:u w:color="000000"/>
      <w:bdr w:val="nil"/>
      <w:lang w:val="en-US" w:eastAsia="es-AR"/>
    </w:rPr>
  </w:style>
  <w:style w:type="numbering" w:customStyle="1" w:styleId="ImportedStyle2">
    <w:name w:val="Imported Style 2"/>
    <w:rsid w:val="002E07D5"/>
    <w:pPr>
      <w:numPr>
        <w:numId w:val="65"/>
      </w:numPr>
    </w:pPr>
  </w:style>
  <w:style w:type="numbering" w:customStyle="1" w:styleId="List0">
    <w:name w:val="List 0"/>
    <w:basedOn w:val="Sinlista"/>
    <w:rsid w:val="002E07D5"/>
    <w:pPr>
      <w:numPr>
        <w:numId w:val="63"/>
      </w:numPr>
    </w:pPr>
  </w:style>
  <w:style w:type="paragraph" w:customStyle="1" w:styleId="BulletA">
    <w:name w:val="Bullet A"/>
    <w:rsid w:val="002E07D5"/>
    <w:pPr>
      <w:pBdr>
        <w:top w:val="nil"/>
        <w:left w:val="nil"/>
        <w:bottom w:val="nil"/>
        <w:right w:val="nil"/>
        <w:between w:val="nil"/>
        <w:bar w:val="nil"/>
      </w:pBdr>
      <w:spacing w:after="240"/>
      <w:ind w:left="2160" w:hanging="360"/>
    </w:pPr>
    <w:rPr>
      <w:rFonts w:ascii="Times New Roman" w:eastAsia="Arial Unicode MS" w:hAnsi="Arial Unicode MS" w:cs="Arial Unicode MS"/>
      <w:color w:val="000000"/>
      <w:sz w:val="24"/>
      <w:szCs w:val="24"/>
      <w:u w:color="000000"/>
      <w:bdr w:val="nil"/>
      <w:lang w:val="en-US" w:eastAsia="es-AR"/>
    </w:rPr>
  </w:style>
  <w:style w:type="numbering" w:customStyle="1" w:styleId="List1">
    <w:name w:val="List 1"/>
    <w:basedOn w:val="Sinlista"/>
    <w:rsid w:val="002E07D5"/>
    <w:pPr>
      <w:numPr>
        <w:numId w:val="64"/>
      </w:numPr>
    </w:pPr>
  </w:style>
  <w:style w:type="character" w:customStyle="1" w:styleId="il">
    <w:name w:val="il"/>
    <w:rsid w:val="002E07D5"/>
  </w:style>
  <w:style w:type="paragraph" w:customStyle="1" w:styleId="Prrafodelista5">
    <w:name w:val="Párrafo de lista5"/>
    <w:basedOn w:val="Normal"/>
    <w:qFormat/>
    <w:rsid w:val="002E07D5"/>
    <w:pPr>
      <w:autoSpaceDE w:val="0"/>
      <w:autoSpaceDN w:val="0"/>
      <w:adjustRightInd w:val="0"/>
      <w:ind w:left="720"/>
      <w:contextualSpacing/>
    </w:pPr>
    <w:rPr>
      <w:rFonts w:ascii="Times New Roman" w:hAnsi="Times New Roman"/>
      <w:lang w:val="en-US"/>
    </w:rPr>
  </w:style>
  <w:style w:type="paragraph" w:customStyle="1" w:styleId="OmniPage770">
    <w:name w:val="OmniPage #770"/>
    <w:rsid w:val="002E07D5"/>
    <w:pPr>
      <w:tabs>
        <w:tab w:val="left" w:pos="162"/>
        <w:tab w:val="right" w:pos="10668"/>
      </w:tabs>
      <w:jc w:val="both"/>
    </w:pPr>
    <w:rPr>
      <w:rFonts w:ascii="Times New Roman" w:hAnsi="Times New Roman"/>
      <w:sz w:val="18"/>
      <w:lang w:val="en-US"/>
    </w:rPr>
  </w:style>
  <w:style w:type="character" w:customStyle="1" w:styleId="normalchar1">
    <w:name w:val="normal__char1"/>
    <w:rsid w:val="002E07D5"/>
    <w:rPr>
      <w:rFonts w:ascii="Garamond" w:hAnsi="Garamond" w:cs="Garamond"/>
      <w:spacing w:val="0"/>
      <w:sz w:val="24"/>
      <w:szCs w:val="24"/>
      <w:u w:val="none"/>
      <w:effect w:val="none"/>
    </w:rPr>
  </w:style>
  <w:style w:type="paragraph" w:customStyle="1" w:styleId="Ttuloprincipal0">
    <w:name w:val="Título principal"/>
    <w:basedOn w:val="Normal"/>
    <w:uiPriority w:val="99"/>
    <w:rsid w:val="002E07D5"/>
    <w:pPr>
      <w:jc w:val="center"/>
    </w:pPr>
    <w:rPr>
      <w:rFonts w:ascii="Book Antiqua" w:hAnsi="Book Antiqua" w:cs="Book Antiqua"/>
      <w:b/>
      <w:bCs/>
      <w:sz w:val="24"/>
      <w:szCs w:val="24"/>
      <w:lang w:val="es-ES_tradnl"/>
    </w:rPr>
  </w:style>
  <w:style w:type="paragraph" w:customStyle="1" w:styleId="TtulodeTDC3">
    <w:name w:val="Título de TDC3"/>
    <w:basedOn w:val="Ttulo1"/>
    <w:next w:val="Textoindependiente"/>
    <w:qFormat/>
    <w:rsid w:val="002E07D5"/>
    <w:pPr>
      <w:overflowPunct w:val="0"/>
      <w:autoSpaceDE w:val="0"/>
      <w:autoSpaceDN w:val="0"/>
      <w:adjustRightInd w:val="0"/>
      <w:spacing w:line="276" w:lineRule="auto"/>
      <w:textAlignment w:val="baseline"/>
      <w:outlineLvl w:val="9"/>
    </w:pPr>
    <w:rPr>
      <w:rFonts w:ascii="Arial" w:hAnsi="Arial"/>
      <w:b w:val="0"/>
      <w:bCs/>
      <w:color w:val="00011F"/>
      <w:sz w:val="40"/>
      <w:szCs w:val="28"/>
      <w:lang w:eastAsia="es-AR"/>
    </w:rPr>
  </w:style>
  <w:style w:type="character" w:customStyle="1" w:styleId="nfasisintenso3">
    <w:name w:val="Énfasis intenso3"/>
    <w:qFormat/>
    <w:rsid w:val="002E07D5"/>
    <w:rPr>
      <w:b/>
      <w:bCs/>
      <w:i/>
      <w:iCs/>
      <w:color w:val="auto"/>
      <w:u w:val="none"/>
    </w:rPr>
  </w:style>
  <w:style w:type="paragraph" w:customStyle="1" w:styleId="Citadestacada3">
    <w:name w:val="Cita destacada3"/>
    <w:basedOn w:val="Normal"/>
    <w:next w:val="Normal"/>
    <w:qFormat/>
    <w:rsid w:val="002E07D5"/>
    <w:pPr>
      <w:pBdr>
        <w:bottom w:val="single" w:sz="4" w:space="4" w:color="auto"/>
      </w:pBdr>
      <w:overflowPunct w:val="0"/>
      <w:autoSpaceDE w:val="0"/>
      <w:autoSpaceDN w:val="0"/>
      <w:adjustRightInd w:val="0"/>
      <w:ind w:left="936" w:right="936"/>
      <w:textAlignment w:val="baseline"/>
    </w:pPr>
    <w:rPr>
      <w:rFonts w:ascii="Times New Roman" w:hAnsi="Times New Roman"/>
      <w:b/>
      <w:bCs/>
      <w:i/>
      <w:iCs/>
      <w:sz w:val="22"/>
      <w:szCs w:val="22"/>
      <w:lang w:val="x-none" w:eastAsia="es-AR"/>
    </w:rPr>
  </w:style>
  <w:style w:type="character" w:customStyle="1" w:styleId="Referenciaintensa3">
    <w:name w:val="Referencia intensa3"/>
    <w:qFormat/>
    <w:rsid w:val="002E07D5"/>
    <w:rPr>
      <w:b/>
      <w:bCs/>
      <w:i w:val="0"/>
      <w:smallCaps/>
      <w:color w:val="auto"/>
      <w:spacing w:val="5"/>
      <w:u w:val="none"/>
    </w:rPr>
  </w:style>
  <w:style w:type="character" w:customStyle="1" w:styleId="nfasissutil3">
    <w:name w:val="Énfasis sutil3"/>
    <w:qFormat/>
    <w:rsid w:val="002E07D5"/>
    <w:rPr>
      <w:b w:val="0"/>
      <w:i/>
      <w:iCs/>
      <w:color w:val="auto"/>
      <w:u w:val="none"/>
    </w:rPr>
  </w:style>
  <w:style w:type="character" w:customStyle="1" w:styleId="Referenciasutil3">
    <w:name w:val="Referencia sutil3"/>
    <w:qFormat/>
    <w:rsid w:val="002E07D5"/>
    <w:rPr>
      <w:b w:val="0"/>
      <w:i w:val="0"/>
      <w:smallCaps/>
      <w:color w:val="auto"/>
      <w:u w:val="single"/>
    </w:rPr>
  </w:style>
  <w:style w:type="table" w:customStyle="1" w:styleId="Sombreadoclaro-nfasis23">
    <w:name w:val="Sombreado claro - Énfasis 23"/>
    <w:basedOn w:val="Tablanormal"/>
    <w:rsid w:val="002E07D5"/>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3">
    <w:name w:val="Sombreado medio 1 - Énfasis 43"/>
    <w:basedOn w:val="Tablanormal"/>
    <w:rsid w:val="002E07D5"/>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paragraph" w:customStyle="1" w:styleId="fdBodyTextNoIndent">
    <w:name w:val="fd Body Text No Indent"/>
    <w:basedOn w:val="Normal"/>
    <w:uiPriority w:val="9"/>
    <w:qFormat/>
    <w:rsid w:val="002E07D5"/>
    <w:pPr>
      <w:spacing w:after="200"/>
    </w:pPr>
    <w:rPr>
      <w:rFonts w:ascii="Times New Roman" w:eastAsia="Calibri" w:hAnsi="Times New Roman" w:cs="Arial"/>
      <w:szCs w:val="24"/>
      <w:lang w:val="en-US" w:bidi="he-IL"/>
    </w:rPr>
  </w:style>
  <w:style w:type="paragraph" w:customStyle="1" w:styleId="fdBodyText">
    <w:name w:val="fd Body Text"/>
    <w:basedOn w:val="Normal"/>
    <w:uiPriority w:val="9"/>
    <w:rsid w:val="002E07D5"/>
    <w:pPr>
      <w:spacing w:after="200"/>
      <w:ind w:firstLine="360"/>
    </w:pPr>
    <w:rPr>
      <w:rFonts w:ascii="Times New Roman" w:hAnsi="Times New Roman"/>
      <w:szCs w:val="24"/>
      <w:lang w:val="en-US"/>
    </w:rPr>
  </w:style>
  <w:style w:type="paragraph" w:customStyle="1" w:styleId="ListBuller3">
    <w:name w:val="List Buller 3"/>
    <w:basedOn w:val="Prrafodelista0"/>
    <w:rsid w:val="002E07D5"/>
    <w:pPr>
      <w:numPr>
        <w:numId w:val="66"/>
      </w:numPr>
      <w:autoSpaceDE/>
      <w:autoSpaceDN/>
      <w:adjustRightInd/>
      <w:spacing w:after="240"/>
      <w:ind w:left="648" w:hanging="288"/>
      <w:contextualSpacing/>
    </w:pPr>
    <w:rPr>
      <w:rFonts w:eastAsia="Times New Roman"/>
      <w:lang w:eastAsia="en-US"/>
    </w:rPr>
  </w:style>
  <w:style w:type="numbering" w:customStyle="1" w:styleId="Lista51">
    <w:name w:val="Lista 51"/>
    <w:basedOn w:val="Sinlista"/>
    <w:rsid w:val="002E07D5"/>
    <w:pPr>
      <w:numPr>
        <w:numId w:val="67"/>
      </w:numPr>
    </w:pPr>
  </w:style>
  <w:style w:type="paragraph" w:customStyle="1" w:styleId="Cuerpo">
    <w:name w:val="Cuerpo"/>
    <w:rsid w:val="002E07D5"/>
    <w:pPr>
      <w:pBdr>
        <w:top w:val="nil"/>
        <w:left w:val="nil"/>
        <w:bottom w:val="nil"/>
        <w:right w:val="nil"/>
        <w:between w:val="nil"/>
        <w:bar w:val="nil"/>
      </w:pBdr>
    </w:pPr>
    <w:rPr>
      <w:rFonts w:ascii="Times New Roman" w:hAnsi="Times New Roman"/>
      <w:color w:val="000000"/>
      <w:sz w:val="24"/>
      <w:szCs w:val="24"/>
      <w:u w:color="000000"/>
      <w:bdr w:val="nil"/>
      <w:lang w:val="es-AR" w:eastAsia="es-AR"/>
    </w:rPr>
  </w:style>
  <w:style w:type="numbering" w:customStyle="1" w:styleId="Lista41">
    <w:name w:val="Lista 41"/>
    <w:basedOn w:val="Sinlista"/>
    <w:rsid w:val="002E07D5"/>
    <w:pPr>
      <w:numPr>
        <w:numId w:val="68"/>
      </w:numPr>
    </w:pPr>
  </w:style>
  <w:style w:type="numbering" w:customStyle="1" w:styleId="List11">
    <w:name w:val="List 11"/>
    <w:basedOn w:val="Sinlista"/>
    <w:rsid w:val="002E07D5"/>
    <w:pPr>
      <w:numPr>
        <w:numId w:val="15"/>
      </w:numPr>
    </w:pPr>
  </w:style>
  <w:style w:type="table" w:customStyle="1" w:styleId="TableGrid1">
    <w:name w:val="Table Grid1"/>
    <w:basedOn w:val="Tablanormal"/>
    <w:next w:val="Tablaconcuadrcula"/>
    <w:rsid w:val="002E07D5"/>
    <w:rPr>
      <w:rFonts w:ascii="Times New Roman" w:eastAsia="SimSun" w:hAnsi="Times New Roman"/>
      <w:lang w:val="es-AR" w:eastAsia="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footnoteChar">
    <w:name w:val="table footnote Char"/>
    <w:link w:val="tablefootnote1"/>
    <w:rsid w:val="002E07D5"/>
    <w:rPr>
      <w:rFonts w:ascii="Times New Roman" w:eastAsia="SimSun" w:hAnsi="Times New Roman"/>
      <w:lang w:val="en-US" w:eastAsia="es-AR"/>
    </w:rPr>
  </w:style>
  <w:style w:type="table" w:customStyle="1" w:styleId="TableGrid2">
    <w:name w:val="Table Grid2"/>
    <w:basedOn w:val="Tablanormal"/>
    <w:next w:val="Tablaconcuadrcula"/>
    <w:uiPriority w:val="59"/>
    <w:rsid w:val="002E07D5"/>
    <w:rPr>
      <w:rFonts w:ascii="Times New Roman" w:eastAsia="PMingLiU" w:hAnsi="Times New Roman"/>
      <w:sz w:val="22"/>
      <w:szCs w:val="22"/>
      <w:lang w:val="es-A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ad">
    <w:name w:val="il_ad"/>
    <w:rsid w:val="002E07D5"/>
  </w:style>
  <w:style w:type="paragraph" w:customStyle="1" w:styleId="post-pagina-interior">
    <w:name w:val="post-pagina-interior"/>
    <w:basedOn w:val="Normal"/>
    <w:rsid w:val="002E07D5"/>
    <w:pPr>
      <w:spacing w:before="100" w:beforeAutospacing="1" w:after="100" w:afterAutospacing="1"/>
    </w:pPr>
    <w:rPr>
      <w:rFonts w:ascii="Times New Roman" w:hAnsi="Times New Roman"/>
      <w:sz w:val="24"/>
      <w:szCs w:val="24"/>
      <w:lang w:val="es-ES" w:eastAsia="es-ES"/>
    </w:rPr>
  </w:style>
  <w:style w:type="paragraph" w:customStyle="1" w:styleId="TtulodeTDC4">
    <w:name w:val="Título de TDC4"/>
    <w:basedOn w:val="Ttulo1"/>
    <w:next w:val="Normal"/>
    <w:semiHidden/>
    <w:rsid w:val="00AF780B"/>
    <w:pPr>
      <w:spacing w:line="276" w:lineRule="auto"/>
      <w:outlineLvl w:val="9"/>
    </w:pPr>
    <w:rPr>
      <w:lang w:eastAsia="es-AR"/>
    </w:rPr>
  </w:style>
  <w:style w:type="paragraph" w:customStyle="1" w:styleId="Prrafodelista6">
    <w:name w:val="Párrafo de lista6"/>
    <w:basedOn w:val="Normal"/>
    <w:rsid w:val="00AF780B"/>
    <w:pPr>
      <w:autoSpaceDE w:val="0"/>
      <w:autoSpaceDN w:val="0"/>
      <w:adjustRightInd w:val="0"/>
      <w:ind w:left="708"/>
    </w:pPr>
    <w:rPr>
      <w:rFonts w:ascii="Times New Roman" w:hAnsi="Times New Roman"/>
      <w:lang w:val="en-US" w:eastAsia="es-AR"/>
    </w:rPr>
  </w:style>
  <w:style w:type="paragraph" w:customStyle="1" w:styleId="Revisin2">
    <w:name w:val="Revisión2"/>
    <w:hidden/>
    <w:semiHidden/>
    <w:rsid w:val="00AF780B"/>
    <w:rPr>
      <w:rFonts w:ascii="Times New Roman" w:hAnsi="Times New Roman"/>
      <w:lang w:val="en-US" w:eastAsia="en-US"/>
    </w:rPr>
  </w:style>
  <w:style w:type="paragraph" w:customStyle="1" w:styleId="Sinespaciado3">
    <w:name w:val="Sin espaciado3"/>
    <w:rsid w:val="00AF780B"/>
    <w:pPr>
      <w:autoSpaceDE w:val="0"/>
      <w:autoSpaceDN w:val="0"/>
      <w:adjustRightInd w:val="0"/>
    </w:pPr>
    <w:rPr>
      <w:rFonts w:ascii="Times New Roman" w:hAnsi="Times New Roman"/>
      <w:lang w:val="en-US" w:eastAsia="es-AR"/>
    </w:rPr>
  </w:style>
  <w:style w:type="character" w:customStyle="1" w:styleId="nfasisintenso4">
    <w:name w:val="Énfasis intenso4"/>
    <w:rsid w:val="00AF780B"/>
    <w:rPr>
      <w:b/>
      <w:i/>
      <w:color w:val="4F81BD"/>
    </w:rPr>
  </w:style>
  <w:style w:type="paragraph" w:customStyle="1" w:styleId="Citadestacada4">
    <w:name w:val="Cita destacada4"/>
    <w:basedOn w:val="Normal"/>
    <w:next w:val="Normal"/>
    <w:rsid w:val="00AF780B"/>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Referenciaintensa4">
    <w:name w:val="Referencia intensa4"/>
    <w:rsid w:val="00AF780B"/>
    <w:rPr>
      <w:b/>
      <w:smallCaps/>
      <w:color w:val="C0504D"/>
      <w:spacing w:val="5"/>
      <w:u w:val="single"/>
    </w:rPr>
  </w:style>
  <w:style w:type="character" w:customStyle="1" w:styleId="nfasissutil4">
    <w:name w:val="Énfasis sutil4"/>
    <w:rsid w:val="00AF780B"/>
    <w:rPr>
      <w:i/>
      <w:color w:val="808080"/>
    </w:rPr>
  </w:style>
  <w:style w:type="character" w:customStyle="1" w:styleId="Referenciasutil4">
    <w:name w:val="Referencia sutil4"/>
    <w:rsid w:val="00AF780B"/>
    <w:rPr>
      <w:smallCaps/>
      <w:color w:val="C0504D"/>
      <w:u w:val="single"/>
    </w:rPr>
  </w:style>
  <w:style w:type="numbering" w:customStyle="1" w:styleId="Sinlista10">
    <w:name w:val="Sin lista10"/>
    <w:next w:val="Sinlista"/>
    <w:uiPriority w:val="99"/>
    <w:semiHidden/>
    <w:unhideWhenUsed/>
    <w:rsid w:val="00E90931"/>
  </w:style>
  <w:style w:type="character" w:customStyle="1" w:styleId="Ttulo1Car1">
    <w:name w:val="Título 1 Car1"/>
    <w:aliases w:val="título 1 Car1,1 Car1,Section Car1,GFGSA Car1"/>
    <w:basedOn w:val="Fuentedeprrafopredeter"/>
    <w:rsid w:val="00E90931"/>
    <w:rPr>
      <w:rFonts w:asciiTheme="majorHAnsi" w:eastAsiaTheme="majorEastAsia" w:hAnsiTheme="majorHAnsi" w:cstheme="majorBidi"/>
      <w:b/>
      <w:bCs/>
      <w:color w:val="365F91" w:themeColor="accent1" w:themeShade="BF"/>
      <w:sz w:val="28"/>
      <w:szCs w:val="28"/>
      <w:lang w:val="es-AR" w:eastAsia="en-US"/>
    </w:rPr>
  </w:style>
  <w:style w:type="character" w:customStyle="1" w:styleId="TtuloCar1">
    <w:name w:val="Título Car1"/>
    <w:aliases w:val="t Car1,TitleCtr Car1,Text Car1"/>
    <w:basedOn w:val="Fuentedeprrafopredeter"/>
    <w:rsid w:val="00E90931"/>
    <w:rPr>
      <w:rFonts w:asciiTheme="majorHAnsi" w:eastAsiaTheme="majorEastAsia" w:hAnsiTheme="majorHAnsi" w:cstheme="majorBidi"/>
      <w:color w:val="17365D" w:themeColor="text2" w:themeShade="BF"/>
      <w:spacing w:val="5"/>
      <w:kern w:val="28"/>
      <w:sz w:val="52"/>
      <w:szCs w:val="52"/>
      <w:lang w:val="es-AR" w:eastAsia="en-US"/>
    </w:rPr>
  </w:style>
  <w:style w:type="character" w:customStyle="1" w:styleId="SangradetextonormalCar1">
    <w:name w:val="Sangría de texto normal Car1"/>
    <w:aliases w:val="Sangría de t. independiente Car1"/>
    <w:basedOn w:val="Fuentedeprrafopredeter"/>
    <w:semiHidden/>
    <w:rsid w:val="00E90931"/>
    <w:rPr>
      <w:lang w:val="es-AR" w:eastAsia="en-US"/>
    </w:rPr>
  </w:style>
  <w:style w:type="paragraph" w:customStyle="1" w:styleId="TtulodeTDC5">
    <w:name w:val="Título de TDC5"/>
    <w:basedOn w:val="Ttulo1"/>
    <w:next w:val="Normal"/>
    <w:semiHidden/>
    <w:rsid w:val="00E90931"/>
    <w:pPr>
      <w:spacing w:line="276" w:lineRule="auto"/>
      <w:outlineLvl w:val="9"/>
    </w:pPr>
    <w:rPr>
      <w:lang w:eastAsia="es-AR"/>
    </w:rPr>
  </w:style>
  <w:style w:type="paragraph" w:customStyle="1" w:styleId="Prrafodelista7">
    <w:name w:val="Párrafo de lista7"/>
    <w:basedOn w:val="Normal"/>
    <w:rsid w:val="00E90931"/>
    <w:pPr>
      <w:autoSpaceDE w:val="0"/>
      <w:autoSpaceDN w:val="0"/>
      <w:adjustRightInd w:val="0"/>
      <w:ind w:left="708"/>
    </w:pPr>
    <w:rPr>
      <w:rFonts w:ascii="Times New Roman" w:hAnsi="Times New Roman"/>
      <w:lang w:val="en-US" w:eastAsia="es-AR"/>
    </w:rPr>
  </w:style>
  <w:style w:type="paragraph" w:customStyle="1" w:styleId="Revisin3">
    <w:name w:val="Revisión3"/>
    <w:semiHidden/>
    <w:rsid w:val="00E90931"/>
    <w:rPr>
      <w:rFonts w:ascii="Times New Roman" w:hAnsi="Times New Roman"/>
      <w:lang w:val="en-US" w:eastAsia="en-US"/>
    </w:rPr>
  </w:style>
  <w:style w:type="paragraph" w:customStyle="1" w:styleId="Sinespaciado4">
    <w:name w:val="Sin espaciado4"/>
    <w:rsid w:val="00E90931"/>
    <w:pPr>
      <w:autoSpaceDE w:val="0"/>
      <w:autoSpaceDN w:val="0"/>
      <w:adjustRightInd w:val="0"/>
    </w:pPr>
    <w:rPr>
      <w:rFonts w:ascii="Times New Roman" w:hAnsi="Times New Roman"/>
      <w:lang w:val="en-US" w:eastAsia="es-AR"/>
    </w:rPr>
  </w:style>
  <w:style w:type="paragraph" w:customStyle="1" w:styleId="Citadestacada5">
    <w:name w:val="Cita destacada5"/>
    <w:basedOn w:val="Normal"/>
    <w:next w:val="Normal"/>
    <w:rsid w:val="00E90931"/>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nfasisintenso5">
    <w:name w:val="Énfasis intenso5"/>
    <w:rsid w:val="00E90931"/>
    <w:rPr>
      <w:b/>
      <w:bCs w:val="0"/>
      <w:i/>
      <w:iCs w:val="0"/>
      <w:color w:val="4F81BD"/>
    </w:rPr>
  </w:style>
  <w:style w:type="character" w:customStyle="1" w:styleId="Referenciaintensa5">
    <w:name w:val="Referencia intensa5"/>
    <w:rsid w:val="00E90931"/>
    <w:rPr>
      <w:b/>
      <w:bCs w:val="0"/>
      <w:smallCaps/>
      <w:color w:val="C0504D"/>
      <w:spacing w:val="5"/>
      <w:u w:val="single"/>
    </w:rPr>
  </w:style>
  <w:style w:type="character" w:customStyle="1" w:styleId="nfasissutil5">
    <w:name w:val="Énfasis sutil5"/>
    <w:rsid w:val="00E90931"/>
    <w:rPr>
      <w:i/>
      <w:iCs w:val="0"/>
      <w:color w:val="808080"/>
    </w:rPr>
  </w:style>
  <w:style w:type="character" w:customStyle="1" w:styleId="Referenciasutil5">
    <w:name w:val="Referencia sutil5"/>
    <w:rsid w:val="00E90931"/>
    <w:rPr>
      <w:smallCaps/>
      <w:color w:val="C0504D"/>
      <w:u w:val="single"/>
    </w:rPr>
  </w:style>
  <w:style w:type="table" w:customStyle="1" w:styleId="Tablaconcuadrcula9">
    <w:name w:val="Tabla con cuadrícula9"/>
    <w:basedOn w:val="Tablanormal"/>
    <w:next w:val="Tablaconcuadrcula"/>
    <w:rsid w:val="00E90931"/>
    <w:rPr>
      <w:rFonts w:ascii="Times New Roman" w:hAnsi="Times New Roman"/>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
    <w:name w:val="Tabla con cuadrícula18"/>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7">
    <w:name w:val="Tabla con cuadrícula27"/>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7">
    <w:name w:val="Tabla con cuadrícula117"/>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6">
    <w:name w:val="Tabla con cuadrícula36"/>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6">
    <w:name w:val="Tabla con cuadrícula126"/>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6">
    <w:name w:val="Tabla con cuadrícula216"/>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6">
    <w:name w:val="Tabla con cuadrícula1116"/>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1">
    <w:name w:val="Tabla con cuadrícula4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31">
    <w:name w:val="Tabla con cuadrícula13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1">
    <w:name w:val="Tabla con cuadrícula22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21">
    <w:name w:val="Tabla con cuadrícula112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1">
    <w:name w:val="Tabla con cuadrícula31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11">
    <w:name w:val="Tabla con cuadrícula121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1">
    <w:name w:val="Tabla con cuadrícula211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11">
    <w:name w:val="Tabla con cuadrícula1111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1">
    <w:name w:val="Tabla con cuadrícula5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41">
    <w:name w:val="Tabla con cuadrícula14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1">
    <w:name w:val="Tabla con cuadrícula23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31">
    <w:name w:val="Tabla con cuadrícula113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1">
    <w:name w:val="Tabla con cuadrícula32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21">
    <w:name w:val="Tabla con cuadrícula122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21">
    <w:name w:val="Tabla con cuadrícula212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21">
    <w:name w:val="Tabla con cuadrícula1112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1">
    <w:name w:val="Tabla con cuadrícula6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51">
    <w:name w:val="Tabla con cuadrícula15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41">
    <w:name w:val="Tabla con cuadrícula24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41">
    <w:name w:val="Tabla con cuadrícula114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31">
    <w:name w:val="Tabla con cuadrícula33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31">
    <w:name w:val="Tabla con cuadrícula123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31">
    <w:name w:val="Tabla con cuadrícula213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31">
    <w:name w:val="Tabla con cuadrícula1113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1">
    <w:name w:val="Tabla con cuadrícula7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61">
    <w:name w:val="Tabla con cuadrícula16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51">
    <w:name w:val="Tabla con cuadrícula25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51">
    <w:name w:val="Tabla con cuadrícula115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41">
    <w:name w:val="Tabla con cuadrícula34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41">
    <w:name w:val="Tabla con cuadrícula124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41">
    <w:name w:val="Tabla con cuadrícula214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41">
    <w:name w:val="Tabla con cuadrícula1114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1">
    <w:name w:val="Tabla con cuadrícula8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71">
    <w:name w:val="Tabla con cuadrícula17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61">
    <w:name w:val="Tabla con cuadrícula26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61">
    <w:name w:val="Tabla con cuadrícula116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51">
    <w:name w:val="Tabla con cuadrícula35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51">
    <w:name w:val="Tabla con cuadrícula125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51">
    <w:name w:val="Tabla con cuadrícula2151"/>
    <w:rsid w:val="00E90931"/>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51">
    <w:name w:val="Tabla con cuadrícula11151"/>
    <w:rsid w:val="00E9093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ulodeTDC6">
    <w:name w:val="Título de TDC6"/>
    <w:basedOn w:val="Ttulo1"/>
    <w:next w:val="Normal"/>
    <w:semiHidden/>
    <w:rsid w:val="003863FC"/>
    <w:pPr>
      <w:spacing w:line="276" w:lineRule="auto"/>
      <w:outlineLvl w:val="9"/>
    </w:pPr>
    <w:rPr>
      <w:lang w:eastAsia="es-AR"/>
    </w:rPr>
  </w:style>
  <w:style w:type="paragraph" w:customStyle="1" w:styleId="Prrafodelista8">
    <w:name w:val="Párrafo de lista8"/>
    <w:basedOn w:val="Normal"/>
    <w:rsid w:val="003863FC"/>
    <w:pPr>
      <w:autoSpaceDE w:val="0"/>
      <w:autoSpaceDN w:val="0"/>
      <w:adjustRightInd w:val="0"/>
      <w:ind w:left="708"/>
    </w:pPr>
    <w:rPr>
      <w:rFonts w:ascii="Times New Roman" w:hAnsi="Times New Roman"/>
      <w:lang w:val="en-US" w:eastAsia="es-AR"/>
    </w:rPr>
  </w:style>
  <w:style w:type="paragraph" w:customStyle="1" w:styleId="Revisin4">
    <w:name w:val="Revisión4"/>
    <w:hidden/>
    <w:semiHidden/>
    <w:rsid w:val="003863FC"/>
    <w:rPr>
      <w:rFonts w:ascii="Times New Roman" w:hAnsi="Times New Roman"/>
      <w:lang w:val="en-US" w:eastAsia="en-US"/>
    </w:rPr>
  </w:style>
  <w:style w:type="paragraph" w:customStyle="1" w:styleId="Sinespaciado5">
    <w:name w:val="Sin espaciado5"/>
    <w:rsid w:val="003863FC"/>
    <w:pPr>
      <w:autoSpaceDE w:val="0"/>
      <w:autoSpaceDN w:val="0"/>
      <w:adjustRightInd w:val="0"/>
    </w:pPr>
    <w:rPr>
      <w:rFonts w:ascii="Times New Roman" w:hAnsi="Times New Roman"/>
      <w:lang w:val="en-US" w:eastAsia="es-AR"/>
    </w:rPr>
  </w:style>
  <w:style w:type="character" w:customStyle="1" w:styleId="nfasisintenso6">
    <w:name w:val="Énfasis intenso6"/>
    <w:rsid w:val="003863FC"/>
    <w:rPr>
      <w:b/>
      <w:i/>
      <w:color w:val="4F81BD"/>
    </w:rPr>
  </w:style>
  <w:style w:type="paragraph" w:customStyle="1" w:styleId="Citadestacada6">
    <w:name w:val="Cita destacada6"/>
    <w:basedOn w:val="Normal"/>
    <w:next w:val="Normal"/>
    <w:rsid w:val="003863FC"/>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Referenciaintensa6">
    <w:name w:val="Referencia intensa6"/>
    <w:rsid w:val="003863FC"/>
    <w:rPr>
      <w:b/>
      <w:smallCaps/>
      <w:color w:val="C0504D"/>
      <w:spacing w:val="5"/>
      <w:u w:val="single"/>
    </w:rPr>
  </w:style>
  <w:style w:type="character" w:customStyle="1" w:styleId="nfasissutil6">
    <w:name w:val="Énfasis sutil6"/>
    <w:rsid w:val="003863FC"/>
    <w:rPr>
      <w:i/>
      <w:color w:val="808080"/>
    </w:rPr>
  </w:style>
  <w:style w:type="character" w:customStyle="1" w:styleId="Referenciasutil6">
    <w:name w:val="Referencia sutil6"/>
    <w:rsid w:val="003863FC"/>
    <w:rPr>
      <w:smallCaps/>
      <w:color w:val="C0504D"/>
      <w:u w:val="single"/>
    </w:rPr>
  </w:style>
  <w:style w:type="paragraph" w:customStyle="1" w:styleId="TtulodeTDC7">
    <w:name w:val="Título de TDC7"/>
    <w:basedOn w:val="Ttulo1"/>
    <w:next w:val="Normal"/>
    <w:semiHidden/>
    <w:rsid w:val="00EF2D26"/>
    <w:pPr>
      <w:spacing w:line="276" w:lineRule="auto"/>
      <w:outlineLvl w:val="9"/>
    </w:pPr>
    <w:rPr>
      <w:lang w:eastAsia="es-AR"/>
    </w:rPr>
  </w:style>
  <w:style w:type="paragraph" w:customStyle="1" w:styleId="Prrafodelista9">
    <w:name w:val="Párrafo de lista9"/>
    <w:basedOn w:val="Normal"/>
    <w:rsid w:val="00EF2D26"/>
    <w:pPr>
      <w:autoSpaceDE w:val="0"/>
      <w:autoSpaceDN w:val="0"/>
      <w:adjustRightInd w:val="0"/>
      <w:ind w:left="708"/>
    </w:pPr>
    <w:rPr>
      <w:rFonts w:ascii="Times New Roman" w:hAnsi="Times New Roman"/>
      <w:lang w:val="en-US" w:eastAsia="es-AR"/>
    </w:rPr>
  </w:style>
  <w:style w:type="paragraph" w:customStyle="1" w:styleId="Revisin5">
    <w:name w:val="Revisión5"/>
    <w:hidden/>
    <w:semiHidden/>
    <w:rsid w:val="00EF2D26"/>
    <w:rPr>
      <w:rFonts w:ascii="Times New Roman" w:hAnsi="Times New Roman"/>
      <w:lang w:val="en-US" w:eastAsia="en-US"/>
    </w:rPr>
  </w:style>
  <w:style w:type="paragraph" w:customStyle="1" w:styleId="Sinespaciado6">
    <w:name w:val="Sin espaciado6"/>
    <w:rsid w:val="00EF2D26"/>
    <w:pPr>
      <w:autoSpaceDE w:val="0"/>
      <w:autoSpaceDN w:val="0"/>
      <w:adjustRightInd w:val="0"/>
    </w:pPr>
    <w:rPr>
      <w:rFonts w:ascii="Times New Roman" w:hAnsi="Times New Roman"/>
      <w:lang w:val="en-US" w:eastAsia="es-AR"/>
    </w:rPr>
  </w:style>
  <w:style w:type="character" w:customStyle="1" w:styleId="nfasisintenso7">
    <w:name w:val="Énfasis intenso7"/>
    <w:rsid w:val="00EF2D26"/>
    <w:rPr>
      <w:b/>
      <w:i/>
      <w:color w:val="4F81BD"/>
    </w:rPr>
  </w:style>
  <w:style w:type="paragraph" w:customStyle="1" w:styleId="Citadestacada7">
    <w:name w:val="Cita destacada7"/>
    <w:basedOn w:val="Normal"/>
    <w:next w:val="Normal"/>
    <w:rsid w:val="00EF2D26"/>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Referenciaintensa7">
    <w:name w:val="Referencia intensa7"/>
    <w:rsid w:val="00EF2D26"/>
    <w:rPr>
      <w:b/>
      <w:smallCaps/>
      <w:color w:val="C0504D"/>
      <w:spacing w:val="5"/>
      <w:u w:val="single"/>
    </w:rPr>
  </w:style>
  <w:style w:type="character" w:customStyle="1" w:styleId="nfasissutil7">
    <w:name w:val="Énfasis sutil7"/>
    <w:rsid w:val="00EF2D26"/>
    <w:rPr>
      <w:i/>
      <w:color w:val="808080"/>
    </w:rPr>
  </w:style>
  <w:style w:type="character" w:customStyle="1" w:styleId="Referenciasutil7">
    <w:name w:val="Referencia sutil7"/>
    <w:rsid w:val="00EF2D26"/>
    <w:rPr>
      <w:smallCaps/>
      <w:color w:val="C0504D"/>
      <w:u w:val="single"/>
    </w:rPr>
  </w:style>
  <w:style w:type="paragraph" w:customStyle="1" w:styleId="TtulodeTDC8">
    <w:name w:val="Título de TDC8"/>
    <w:basedOn w:val="Ttulo1"/>
    <w:next w:val="Normal"/>
    <w:semiHidden/>
    <w:rsid w:val="008C50B4"/>
    <w:pPr>
      <w:spacing w:line="276" w:lineRule="auto"/>
      <w:outlineLvl w:val="9"/>
    </w:pPr>
    <w:rPr>
      <w:bCs/>
      <w:szCs w:val="28"/>
      <w:lang w:val="en-US" w:eastAsia="es-AR"/>
    </w:rPr>
  </w:style>
  <w:style w:type="paragraph" w:customStyle="1" w:styleId="Prrafodelista100">
    <w:name w:val="Párrafo de lista10"/>
    <w:basedOn w:val="Normal"/>
    <w:rsid w:val="008C50B4"/>
    <w:pPr>
      <w:autoSpaceDE w:val="0"/>
      <w:autoSpaceDN w:val="0"/>
      <w:adjustRightInd w:val="0"/>
      <w:ind w:left="708"/>
    </w:pPr>
    <w:rPr>
      <w:rFonts w:ascii="Times New Roman" w:hAnsi="Times New Roman"/>
      <w:lang w:val="en-US" w:eastAsia="es-AR"/>
    </w:rPr>
  </w:style>
  <w:style w:type="paragraph" w:customStyle="1" w:styleId="Revisin6">
    <w:name w:val="Revisión6"/>
    <w:semiHidden/>
    <w:rsid w:val="008C50B4"/>
    <w:rPr>
      <w:rFonts w:ascii="Times New Roman" w:hAnsi="Times New Roman"/>
      <w:lang w:val="en-US" w:eastAsia="en-US"/>
    </w:rPr>
  </w:style>
  <w:style w:type="paragraph" w:customStyle="1" w:styleId="Sinespaciado7">
    <w:name w:val="Sin espaciado7"/>
    <w:rsid w:val="008C50B4"/>
    <w:pPr>
      <w:autoSpaceDE w:val="0"/>
      <w:autoSpaceDN w:val="0"/>
      <w:adjustRightInd w:val="0"/>
    </w:pPr>
    <w:rPr>
      <w:rFonts w:ascii="Times New Roman" w:hAnsi="Times New Roman"/>
      <w:lang w:val="en-US" w:eastAsia="es-AR"/>
    </w:rPr>
  </w:style>
  <w:style w:type="paragraph" w:customStyle="1" w:styleId="Citadestacada8">
    <w:name w:val="Cita destacada8"/>
    <w:basedOn w:val="Normal"/>
    <w:next w:val="Normal"/>
    <w:rsid w:val="008C50B4"/>
    <w:pPr>
      <w:pBdr>
        <w:bottom w:val="single" w:sz="4" w:space="4" w:color="4F81BD"/>
      </w:pBdr>
      <w:autoSpaceDE w:val="0"/>
      <w:autoSpaceDN w:val="0"/>
      <w:adjustRightInd w:val="0"/>
      <w:spacing w:before="200" w:after="280"/>
      <w:ind w:left="936" w:right="936"/>
    </w:pPr>
    <w:rPr>
      <w:rFonts w:ascii="Times New Roman" w:hAnsi="Times New Roman"/>
      <w:b/>
      <w:bCs/>
      <w:i/>
      <w:iCs/>
      <w:color w:val="4F81BD"/>
      <w:lang w:val="en-US" w:eastAsia="es-AR"/>
    </w:rPr>
  </w:style>
  <w:style w:type="character" w:customStyle="1" w:styleId="nfasisintenso8">
    <w:name w:val="Énfasis intenso8"/>
    <w:rsid w:val="008C50B4"/>
    <w:rPr>
      <w:b/>
      <w:bCs w:val="0"/>
      <w:i/>
      <w:iCs w:val="0"/>
      <w:color w:val="4F81BD"/>
    </w:rPr>
  </w:style>
  <w:style w:type="character" w:customStyle="1" w:styleId="Referenciaintensa8">
    <w:name w:val="Referencia intensa8"/>
    <w:rsid w:val="008C50B4"/>
    <w:rPr>
      <w:b/>
      <w:bCs w:val="0"/>
      <w:smallCaps/>
      <w:color w:val="C0504D"/>
      <w:spacing w:val="5"/>
      <w:u w:val="single"/>
    </w:rPr>
  </w:style>
  <w:style w:type="character" w:customStyle="1" w:styleId="nfasissutil8">
    <w:name w:val="Énfasis sutil8"/>
    <w:rsid w:val="008C50B4"/>
    <w:rPr>
      <w:i/>
      <w:iCs w:val="0"/>
      <w:color w:val="808080"/>
    </w:rPr>
  </w:style>
  <w:style w:type="character" w:customStyle="1" w:styleId="Referenciasutil8">
    <w:name w:val="Referencia sutil8"/>
    <w:rsid w:val="008C50B4"/>
    <w:rPr>
      <w:smallCaps/>
      <w:color w:val="C0504D"/>
      <w:u w:val="single"/>
    </w:rPr>
  </w:style>
  <w:style w:type="character" w:customStyle="1" w:styleId="Ttulo4Car1">
    <w:name w:val="Título 4 Car1"/>
    <w:aliases w:val="Título sin negrita Car1"/>
    <w:basedOn w:val="Fuentedeprrafopredeter"/>
    <w:semiHidden/>
    <w:rsid w:val="008C50B4"/>
    <w:rPr>
      <w:rFonts w:asciiTheme="majorHAnsi" w:eastAsiaTheme="majorEastAsia" w:hAnsiTheme="majorHAnsi" w:cstheme="majorBidi"/>
      <w:b/>
      <w:bCs/>
      <w:i/>
      <w:iCs/>
      <w:color w:val="4F81BD" w:themeColor="accent1"/>
      <w:sz w:val="22"/>
      <w:szCs w:val="22"/>
    </w:rPr>
  </w:style>
  <w:style w:type="character" w:customStyle="1" w:styleId="TextoindependienteprimerasangraCar1">
    <w:name w:val="Texto independiente primera sangría Car1"/>
    <w:aliases w:val="f1 Car1,i Car1,btfi Car1"/>
    <w:basedOn w:val="TextoindependienteCar"/>
    <w:semiHidden/>
    <w:rsid w:val="008C50B4"/>
    <w:rPr>
      <w:rFonts w:ascii="Times New Roman" w:hAnsi="Times New Roman"/>
      <w:lang w:val="en-US" w:eastAsia="es-AR"/>
    </w:rPr>
  </w:style>
  <w:style w:type="paragraph" w:customStyle="1" w:styleId="TtulodeTDC9">
    <w:name w:val="Título de TDC9"/>
    <w:basedOn w:val="Ttulo1"/>
    <w:next w:val="Normal"/>
    <w:semiHidden/>
    <w:rsid w:val="00B86C83"/>
    <w:pPr>
      <w:spacing w:line="276" w:lineRule="auto"/>
      <w:outlineLvl w:val="9"/>
    </w:pPr>
    <w:rPr>
      <w:lang w:eastAsia="es-AR"/>
    </w:rPr>
  </w:style>
  <w:style w:type="paragraph" w:customStyle="1" w:styleId="Prrafodelista12">
    <w:name w:val="Párrafo de lista12"/>
    <w:basedOn w:val="Normal"/>
    <w:rsid w:val="00B86C83"/>
    <w:pPr>
      <w:autoSpaceDE w:val="0"/>
      <w:autoSpaceDN w:val="0"/>
      <w:adjustRightInd w:val="0"/>
      <w:ind w:left="708"/>
    </w:pPr>
    <w:rPr>
      <w:rFonts w:ascii="Times New Roman" w:hAnsi="Times New Roman"/>
      <w:lang w:val="en-US" w:eastAsia="es-AR"/>
    </w:rPr>
  </w:style>
  <w:style w:type="paragraph" w:customStyle="1" w:styleId="Revisin7">
    <w:name w:val="Revisión7"/>
    <w:hidden/>
    <w:semiHidden/>
    <w:rsid w:val="00B86C83"/>
    <w:rPr>
      <w:rFonts w:ascii="Times New Roman" w:hAnsi="Times New Roman"/>
      <w:lang w:val="en-US" w:eastAsia="en-US"/>
    </w:rPr>
  </w:style>
  <w:style w:type="paragraph" w:customStyle="1" w:styleId="Sinespaciado8">
    <w:name w:val="Sin espaciado8"/>
    <w:rsid w:val="00B86C83"/>
    <w:pPr>
      <w:autoSpaceDE w:val="0"/>
      <w:autoSpaceDN w:val="0"/>
      <w:adjustRightInd w:val="0"/>
    </w:pPr>
    <w:rPr>
      <w:rFonts w:ascii="Times New Roman" w:hAnsi="Times New Roman"/>
      <w:lang w:val="en-US" w:eastAsia="es-AR"/>
    </w:rPr>
  </w:style>
  <w:style w:type="character" w:customStyle="1" w:styleId="nfasisintenso9">
    <w:name w:val="Énfasis intenso9"/>
    <w:rsid w:val="00B86C83"/>
    <w:rPr>
      <w:b/>
      <w:i/>
      <w:color w:val="4F81BD"/>
    </w:rPr>
  </w:style>
  <w:style w:type="paragraph" w:customStyle="1" w:styleId="Citadestacada9">
    <w:name w:val="Cita destacada9"/>
    <w:basedOn w:val="Normal"/>
    <w:next w:val="Normal"/>
    <w:rsid w:val="00B86C83"/>
    <w:pPr>
      <w:pBdr>
        <w:bottom w:val="single" w:sz="4" w:space="4" w:color="4F81BD"/>
      </w:pBdr>
      <w:autoSpaceDE w:val="0"/>
      <w:autoSpaceDN w:val="0"/>
      <w:adjustRightInd w:val="0"/>
      <w:spacing w:before="200" w:after="280"/>
      <w:ind w:left="936" w:right="936"/>
    </w:pPr>
    <w:rPr>
      <w:rFonts w:ascii="Times New Roman" w:hAnsi="Times New Roman"/>
      <w:b/>
      <w:i/>
      <w:color w:val="4F81BD"/>
      <w:lang w:val="en-US" w:eastAsia="es-AR"/>
    </w:rPr>
  </w:style>
  <w:style w:type="character" w:customStyle="1" w:styleId="Referenciaintensa9">
    <w:name w:val="Referencia intensa9"/>
    <w:rsid w:val="00B86C83"/>
    <w:rPr>
      <w:b/>
      <w:smallCaps/>
      <w:color w:val="C0504D"/>
      <w:spacing w:val="5"/>
      <w:u w:val="single"/>
    </w:rPr>
  </w:style>
  <w:style w:type="character" w:customStyle="1" w:styleId="nfasissutil9">
    <w:name w:val="Énfasis sutil9"/>
    <w:rsid w:val="00B86C83"/>
    <w:rPr>
      <w:i/>
      <w:color w:val="808080"/>
    </w:rPr>
  </w:style>
  <w:style w:type="character" w:customStyle="1" w:styleId="Referenciasutil9">
    <w:name w:val="Referencia sutil9"/>
    <w:rsid w:val="00B86C83"/>
    <w:rPr>
      <w:smallCaps/>
      <w:color w:val="C0504D"/>
      <w:u w:val="single"/>
    </w:rPr>
  </w:style>
  <w:style w:type="numbering" w:customStyle="1" w:styleId="Sinlista19">
    <w:name w:val="Sin lista19"/>
    <w:next w:val="Sinlista"/>
    <w:uiPriority w:val="99"/>
    <w:semiHidden/>
    <w:unhideWhenUsed/>
    <w:rsid w:val="009A6126"/>
  </w:style>
  <w:style w:type="table" w:customStyle="1" w:styleId="Tablaconcuadrcula10">
    <w:name w:val="Tabla con cuadrícula10"/>
    <w:basedOn w:val="Tablanormal"/>
    <w:next w:val="Tablaconcuadrcula"/>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
    <w:name w:val="Tabla con cuadrícula19"/>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8">
    <w:name w:val="Tabla con cuadrícula28"/>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8">
    <w:name w:val="Tabla con cuadrícula118"/>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7">
    <w:name w:val="Tabla con cuadrícula37"/>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7">
    <w:name w:val="Tabla con cuadrícula127"/>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7">
    <w:name w:val="Tabla con cuadrícula217"/>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7">
    <w:name w:val="Tabla con cuadrícula1117"/>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2">
    <w:name w:val="Tabla con cuadrícula4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32">
    <w:name w:val="Tabla con cuadrícula13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2">
    <w:name w:val="Tabla con cuadrícula22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22">
    <w:name w:val="Tabla con cuadrícula112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2">
    <w:name w:val="Tabla con cuadrícula31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12">
    <w:name w:val="Tabla con cuadrícula121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2">
    <w:name w:val="Tabla con cuadrícula211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12">
    <w:name w:val="Tabla con cuadrícula1111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2">
    <w:name w:val="Tabla con cuadrícula5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42">
    <w:name w:val="Tabla con cuadrícula14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2">
    <w:name w:val="Tabla con cuadrícula23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32">
    <w:name w:val="Tabla con cuadrícula113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2">
    <w:name w:val="Tabla con cuadrícula32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22">
    <w:name w:val="Tabla con cuadrícula122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22">
    <w:name w:val="Tabla con cuadrícula212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22">
    <w:name w:val="Tabla con cuadrícula1112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2">
    <w:name w:val="Tabla con cuadrícula6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52">
    <w:name w:val="Tabla con cuadrícula15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42">
    <w:name w:val="Tabla con cuadrícula24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42">
    <w:name w:val="Tabla con cuadrícula114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32">
    <w:name w:val="Tabla con cuadrícula33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32">
    <w:name w:val="Tabla con cuadrícula123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32">
    <w:name w:val="Tabla con cuadrícula213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32">
    <w:name w:val="Tabla con cuadrícula1113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2">
    <w:name w:val="Tabla con cuadrícula7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62">
    <w:name w:val="Tabla con cuadrícula16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52">
    <w:name w:val="Tabla con cuadrícula25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52">
    <w:name w:val="Tabla con cuadrícula115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42">
    <w:name w:val="Tabla con cuadrícula34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42">
    <w:name w:val="Tabla con cuadrícula124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42">
    <w:name w:val="Tabla con cuadrícula214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42">
    <w:name w:val="Tabla con cuadrícula1114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2">
    <w:name w:val="Tabla con cuadrícula8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72">
    <w:name w:val="Tabla con cuadrícula17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62">
    <w:name w:val="Tabla con cuadrícula26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62">
    <w:name w:val="Tabla con cuadrícula116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52">
    <w:name w:val="Tabla con cuadrícula35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52">
    <w:name w:val="Tabla con cuadrícula125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52">
    <w:name w:val="Tabla con cuadrícula2152"/>
    <w:rsid w:val="009A6126"/>
    <w:rPr>
      <w:rFonts w:ascii="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52">
    <w:name w:val="Tabla con cuadrícula11152"/>
    <w:rsid w:val="009A6126"/>
    <w:rPr>
      <w:rFonts w:ascii="Times New Roman" w:eastAsia="SimSun"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10">
    <w:name w:val="Sin lista110"/>
    <w:next w:val="Sinlista"/>
    <w:uiPriority w:val="99"/>
    <w:semiHidden/>
    <w:unhideWhenUsed/>
    <w:rsid w:val="009A6126"/>
  </w:style>
  <w:style w:type="numbering" w:customStyle="1" w:styleId="Sinlista118">
    <w:name w:val="Sin lista118"/>
    <w:next w:val="Sinlista"/>
    <w:uiPriority w:val="99"/>
    <w:semiHidden/>
    <w:unhideWhenUsed/>
    <w:rsid w:val="009A6126"/>
  </w:style>
  <w:style w:type="numbering" w:customStyle="1" w:styleId="Sinlista28">
    <w:name w:val="Sin lista28"/>
    <w:next w:val="Sinlista"/>
    <w:uiPriority w:val="99"/>
    <w:semiHidden/>
    <w:unhideWhenUsed/>
    <w:rsid w:val="009A6126"/>
  </w:style>
  <w:style w:type="numbering" w:customStyle="1" w:styleId="Sinlista1118">
    <w:name w:val="Sin lista1118"/>
    <w:next w:val="Sinlista"/>
    <w:uiPriority w:val="99"/>
    <w:semiHidden/>
    <w:unhideWhenUsed/>
    <w:rsid w:val="009A6126"/>
  </w:style>
  <w:style w:type="numbering" w:customStyle="1" w:styleId="Sinlista11117">
    <w:name w:val="Sin lista11117"/>
    <w:next w:val="Sinlista"/>
    <w:uiPriority w:val="99"/>
    <w:semiHidden/>
    <w:unhideWhenUsed/>
    <w:rsid w:val="009A6126"/>
  </w:style>
  <w:style w:type="numbering" w:customStyle="1" w:styleId="Sinlista217">
    <w:name w:val="Sin lista217"/>
    <w:next w:val="Sinlista"/>
    <w:uiPriority w:val="99"/>
    <w:semiHidden/>
    <w:unhideWhenUsed/>
    <w:rsid w:val="009A6126"/>
  </w:style>
  <w:style w:type="numbering" w:customStyle="1" w:styleId="Sinlista127">
    <w:name w:val="Sin lista127"/>
    <w:next w:val="Sinlista"/>
    <w:uiPriority w:val="99"/>
    <w:semiHidden/>
    <w:unhideWhenUsed/>
    <w:rsid w:val="009A6126"/>
  </w:style>
  <w:style w:type="numbering" w:customStyle="1" w:styleId="Sinlista36">
    <w:name w:val="Sin lista36"/>
    <w:next w:val="Sinlista"/>
    <w:uiPriority w:val="99"/>
    <w:semiHidden/>
    <w:unhideWhenUsed/>
    <w:rsid w:val="009A6126"/>
  </w:style>
  <w:style w:type="numbering" w:customStyle="1" w:styleId="Sinlista136">
    <w:name w:val="Sin lista136"/>
    <w:next w:val="Sinlista"/>
    <w:uiPriority w:val="99"/>
    <w:semiHidden/>
    <w:unhideWhenUsed/>
    <w:rsid w:val="009A6126"/>
  </w:style>
  <w:style w:type="numbering" w:customStyle="1" w:styleId="Sinlista1126">
    <w:name w:val="Sin lista1126"/>
    <w:next w:val="Sinlista"/>
    <w:uiPriority w:val="99"/>
    <w:semiHidden/>
    <w:unhideWhenUsed/>
    <w:rsid w:val="009A6126"/>
  </w:style>
  <w:style w:type="numbering" w:customStyle="1" w:styleId="Sinlista226">
    <w:name w:val="Sin lista226"/>
    <w:next w:val="Sinlista"/>
    <w:uiPriority w:val="99"/>
    <w:semiHidden/>
    <w:unhideWhenUsed/>
    <w:rsid w:val="009A6126"/>
  </w:style>
  <w:style w:type="numbering" w:customStyle="1" w:styleId="Sinlista11126">
    <w:name w:val="Sin lista11126"/>
    <w:next w:val="Sinlista"/>
    <w:uiPriority w:val="99"/>
    <w:semiHidden/>
    <w:unhideWhenUsed/>
    <w:rsid w:val="009A6126"/>
  </w:style>
  <w:style w:type="numbering" w:customStyle="1" w:styleId="Sinlista111116">
    <w:name w:val="Sin lista111116"/>
    <w:next w:val="Sinlista"/>
    <w:uiPriority w:val="99"/>
    <w:semiHidden/>
    <w:unhideWhenUsed/>
    <w:rsid w:val="009A6126"/>
  </w:style>
  <w:style w:type="numbering" w:customStyle="1" w:styleId="Sinlista2116">
    <w:name w:val="Sin lista2116"/>
    <w:next w:val="Sinlista"/>
    <w:uiPriority w:val="99"/>
    <w:semiHidden/>
    <w:unhideWhenUsed/>
    <w:rsid w:val="009A6126"/>
  </w:style>
  <w:style w:type="numbering" w:customStyle="1" w:styleId="Sinlista1216">
    <w:name w:val="Sin lista1216"/>
    <w:next w:val="Sinlista"/>
    <w:uiPriority w:val="99"/>
    <w:semiHidden/>
    <w:unhideWhenUsed/>
    <w:rsid w:val="009A6126"/>
  </w:style>
  <w:style w:type="numbering" w:customStyle="1" w:styleId="Sinlista41">
    <w:name w:val="Sin lista41"/>
    <w:next w:val="Sinlista"/>
    <w:uiPriority w:val="99"/>
    <w:semiHidden/>
    <w:unhideWhenUsed/>
    <w:rsid w:val="009A6126"/>
  </w:style>
  <w:style w:type="numbering" w:customStyle="1" w:styleId="Sinlista141">
    <w:name w:val="Sin lista141"/>
    <w:next w:val="Sinlista"/>
    <w:uiPriority w:val="99"/>
    <w:semiHidden/>
    <w:unhideWhenUsed/>
    <w:rsid w:val="009A6126"/>
  </w:style>
  <w:style w:type="numbering" w:customStyle="1" w:styleId="Sinlista1131">
    <w:name w:val="Sin lista1131"/>
    <w:next w:val="Sinlista"/>
    <w:uiPriority w:val="99"/>
    <w:semiHidden/>
    <w:unhideWhenUsed/>
    <w:rsid w:val="009A6126"/>
  </w:style>
  <w:style w:type="numbering" w:customStyle="1" w:styleId="Sinlista231">
    <w:name w:val="Sin lista231"/>
    <w:next w:val="Sinlista"/>
    <w:uiPriority w:val="99"/>
    <w:semiHidden/>
    <w:unhideWhenUsed/>
    <w:rsid w:val="009A6126"/>
  </w:style>
  <w:style w:type="numbering" w:customStyle="1" w:styleId="Sinlista11131">
    <w:name w:val="Sin lista11131"/>
    <w:next w:val="Sinlista"/>
    <w:uiPriority w:val="99"/>
    <w:semiHidden/>
    <w:unhideWhenUsed/>
    <w:rsid w:val="009A6126"/>
  </w:style>
  <w:style w:type="numbering" w:customStyle="1" w:styleId="Sinlista111121">
    <w:name w:val="Sin lista111121"/>
    <w:next w:val="Sinlista"/>
    <w:uiPriority w:val="99"/>
    <w:semiHidden/>
    <w:unhideWhenUsed/>
    <w:rsid w:val="009A6126"/>
  </w:style>
  <w:style w:type="numbering" w:customStyle="1" w:styleId="Sinlista2121">
    <w:name w:val="Sin lista2121"/>
    <w:next w:val="Sinlista"/>
    <w:uiPriority w:val="99"/>
    <w:semiHidden/>
    <w:unhideWhenUsed/>
    <w:rsid w:val="009A6126"/>
  </w:style>
  <w:style w:type="numbering" w:customStyle="1" w:styleId="Sinlista1221">
    <w:name w:val="Sin lista1221"/>
    <w:next w:val="Sinlista"/>
    <w:uiPriority w:val="99"/>
    <w:semiHidden/>
    <w:unhideWhenUsed/>
    <w:rsid w:val="009A6126"/>
  </w:style>
  <w:style w:type="numbering" w:customStyle="1" w:styleId="Sinlista311">
    <w:name w:val="Sin lista311"/>
    <w:next w:val="Sinlista"/>
    <w:uiPriority w:val="99"/>
    <w:semiHidden/>
    <w:unhideWhenUsed/>
    <w:rsid w:val="009A6126"/>
  </w:style>
  <w:style w:type="numbering" w:customStyle="1" w:styleId="Sinlista1311">
    <w:name w:val="Sin lista1311"/>
    <w:next w:val="Sinlista"/>
    <w:uiPriority w:val="99"/>
    <w:semiHidden/>
    <w:unhideWhenUsed/>
    <w:rsid w:val="009A6126"/>
  </w:style>
  <w:style w:type="numbering" w:customStyle="1" w:styleId="Sinlista11211">
    <w:name w:val="Sin lista11211"/>
    <w:next w:val="Sinlista"/>
    <w:uiPriority w:val="99"/>
    <w:semiHidden/>
    <w:unhideWhenUsed/>
    <w:rsid w:val="009A6126"/>
  </w:style>
  <w:style w:type="numbering" w:customStyle="1" w:styleId="Sinlista2211">
    <w:name w:val="Sin lista2211"/>
    <w:next w:val="Sinlista"/>
    <w:uiPriority w:val="99"/>
    <w:semiHidden/>
    <w:unhideWhenUsed/>
    <w:rsid w:val="009A6126"/>
  </w:style>
  <w:style w:type="numbering" w:customStyle="1" w:styleId="Sinlista111211">
    <w:name w:val="Sin lista111211"/>
    <w:next w:val="Sinlista"/>
    <w:uiPriority w:val="99"/>
    <w:semiHidden/>
    <w:unhideWhenUsed/>
    <w:rsid w:val="009A6126"/>
  </w:style>
  <w:style w:type="numbering" w:customStyle="1" w:styleId="Sinlista1111111">
    <w:name w:val="Sin lista1111111"/>
    <w:next w:val="Sinlista"/>
    <w:uiPriority w:val="99"/>
    <w:semiHidden/>
    <w:unhideWhenUsed/>
    <w:rsid w:val="009A6126"/>
  </w:style>
  <w:style w:type="numbering" w:customStyle="1" w:styleId="Sinlista21111">
    <w:name w:val="Sin lista21111"/>
    <w:next w:val="Sinlista"/>
    <w:uiPriority w:val="99"/>
    <w:semiHidden/>
    <w:unhideWhenUsed/>
    <w:rsid w:val="009A6126"/>
  </w:style>
  <w:style w:type="numbering" w:customStyle="1" w:styleId="Sinlista12111">
    <w:name w:val="Sin lista12111"/>
    <w:next w:val="Sinlista"/>
    <w:uiPriority w:val="99"/>
    <w:semiHidden/>
    <w:unhideWhenUsed/>
    <w:rsid w:val="009A6126"/>
  </w:style>
  <w:style w:type="numbering" w:customStyle="1" w:styleId="Sinlista51">
    <w:name w:val="Sin lista51"/>
    <w:next w:val="Sinlista"/>
    <w:uiPriority w:val="99"/>
    <w:semiHidden/>
    <w:unhideWhenUsed/>
    <w:rsid w:val="009A6126"/>
  </w:style>
  <w:style w:type="numbering" w:customStyle="1" w:styleId="Sinlista151">
    <w:name w:val="Sin lista151"/>
    <w:next w:val="Sinlista"/>
    <w:uiPriority w:val="99"/>
    <w:semiHidden/>
    <w:unhideWhenUsed/>
    <w:rsid w:val="009A6126"/>
  </w:style>
  <w:style w:type="numbering" w:customStyle="1" w:styleId="Sinlista1141">
    <w:name w:val="Sin lista1141"/>
    <w:next w:val="Sinlista"/>
    <w:uiPriority w:val="99"/>
    <w:semiHidden/>
    <w:unhideWhenUsed/>
    <w:rsid w:val="009A6126"/>
  </w:style>
  <w:style w:type="numbering" w:customStyle="1" w:styleId="Sinlista241">
    <w:name w:val="Sin lista241"/>
    <w:next w:val="Sinlista"/>
    <w:uiPriority w:val="99"/>
    <w:semiHidden/>
    <w:unhideWhenUsed/>
    <w:rsid w:val="009A6126"/>
  </w:style>
  <w:style w:type="numbering" w:customStyle="1" w:styleId="Sinlista11141">
    <w:name w:val="Sin lista11141"/>
    <w:next w:val="Sinlista"/>
    <w:uiPriority w:val="99"/>
    <w:semiHidden/>
    <w:unhideWhenUsed/>
    <w:rsid w:val="009A6126"/>
  </w:style>
  <w:style w:type="numbering" w:customStyle="1" w:styleId="Sinlista111131">
    <w:name w:val="Sin lista111131"/>
    <w:next w:val="Sinlista"/>
    <w:uiPriority w:val="99"/>
    <w:semiHidden/>
    <w:unhideWhenUsed/>
    <w:rsid w:val="009A6126"/>
  </w:style>
  <w:style w:type="numbering" w:customStyle="1" w:styleId="Sinlista2131">
    <w:name w:val="Sin lista2131"/>
    <w:next w:val="Sinlista"/>
    <w:uiPriority w:val="99"/>
    <w:semiHidden/>
    <w:unhideWhenUsed/>
    <w:rsid w:val="009A6126"/>
  </w:style>
  <w:style w:type="numbering" w:customStyle="1" w:styleId="Sinlista1231">
    <w:name w:val="Sin lista1231"/>
    <w:next w:val="Sinlista"/>
    <w:uiPriority w:val="99"/>
    <w:semiHidden/>
    <w:unhideWhenUsed/>
    <w:rsid w:val="009A6126"/>
  </w:style>
  <w:style w:type="numbering" w:customStyle="1" w:styleId="Sinlista321">
    <w:name w:val="Sin lista321"/>
    <w:next w:val="Sinlista"/>
    <w:uiPriority w:val="99"/>
    <w:semiHidden/>
    <w:unhideWhenUsed/>
    <w:rsid w:val="009A6126"/>
  </w:style>
  <w:style w:type="numbering" w:customStyle="1" w:styleId="Sinlista1321">
    <w:name w:val="Sin lista1321"/>
    <w:next w:val="Sinlista"/>
    <w:uiPriority w:val="99"/>
    <w:semiHidden/>
    <w:unhideWhenUsed/>
    <w:rsid w:val="009A6126"/>
  </w:style>
  <w:style w:type="numbering" w:customStyle="1" w:styleId="Sinlista11221">
    <w:name w:val="Sin lista11221"/>
    <w:next w:val="Sinlista"/>
    <w:uiPriority w:val="99"/>
    <w:semiHidden/>
    <w:unhideWhenUsed/>
    <w:rsid w:val="009A6126"/>
  </w:style>
  <w:style w:type="numbering" w:customStyle="1" w:styleId="Sinlista2221">
    <w:name w:val="Sin lista2221"/>
    <w:next w:val="Sinlista"/>
    <w:uiPriority w:val="99"/>
    <w:semiHidden/>
    <w:unhideWhenUsed/>
    <w:rsid w:val="009A6126"/>
  </w:style>
  <w:style w:type="numbering" w:customStyle="1" w:styleId="Sinlista111221">
    <w:name w:val="Sin lista111221"/>
    <w:next w:val="Sinlista"/>
    <w:uiPriority w:val="99"/>
    <w:semiHidden/>
    <w:unhideWhenUsed/>
    <w:rsid w:val="009A6126"/>
  </w:style>
  <w:style w:type="numbering" w:customStyle="1" w:styleId="Sinlista1111121">
    <w:name w:val="Sin lista1111121"/>
    <w:next w:val="Sinlista"/>
    <w:uiPriority w:val="99"/>
    <w:semiHidden/>
    <w:unhideWhenUsed/>
    <w:rsid w:val="009A6126"/>
  </w:style>
  <w:style w:type="numbering" w:customStyle="1" w:styleId="Sinlista21121">
    <w:name w:val="Sin lista21121"/>
    <w:next w:val="Sinlista"/>
    <w:uiPriority w:val="99"/>
    <w:semiHidden/>
    <w:unhideWhenUsed/>
    <w:rsid w:val="009A6126"/>
  </w:style>
  <w:style w:type="numbering" w:customStyle="1" w:styleId="Sinlista12121">
    <w:name w:val="Sin lista12121"/>
    <w:next w:val="Sinlista"/>
    <w:uiPriority w:val="99"/>
    <w:semiHidden/>
    <w:unhideWhenUsed/>
    <w:rsid w:val="009A6126"/>
  </w:style>
  <w:style w:type="numbering" w:customStyle="1" w:styleId="Sinlista61">
    <w:name w:val="Sin lista61"/>
    <w:next w:val="Sinlista"/>
    <w:uiPriority w:val="99"/>
    <w:semiHidden/>
    <w:unhideWhenUsed/>
    <w:rsid w:val="009A6126"/>
  </w:style>
  <w:style w:type="numbering" w:customStyle="1" w:styleId="Sinlista161">
    <w:name w:val="Sin lista161"/>
    <w:next w:val="Sinlista"/>
    <w:uiPriority w:val="99"/>
    <w:semiHidden/>
    <w:unhideWhenUsed/>
    <w:rsid w:val="009A6126"/>
  </w:style>
  <w:style w:type="numbering" w:customStyle="1" w:styleId="Sinlista1151">
    <w:name w:val="Sin lista1151"/>
    <w:next w:val="Sinlista"/>
    <w:uiPriority w:val="99"/>
    <w:semiHidden/>
    <w:unhideWhenUsed/>
    <w:rsid w:val="009A6126"/>
  </w:style>
  <w:style w:type="numbering" w:customStyle="1" w:styleId="Sinlista251">
    <w:name w:val="Sin lista251"/>
    <w:next w:val="Sinlista"/>
    <w:uiPriority w:val="99"/>
    <w:semiHidden/>
    <w:unhideWhenUsed/>
    <w:rsid w:val="009A6126"/>
  </w:style>
  <w:style w:type="numbering" w:customStyle="1" w:styleId="Sinlista11151">
    <w:name w:val="Sin lista11151"/>
    <w:next w:val="Sinlista"/>
    <w:uiPriority w:val="99"/>
    <w:semiHidden/>
    <w:unhideWhenUsed/>
    <w:rsid w:val="009A6126"/>
  </w:style>
  <w:style w:type="numbering" w:customStyle="1" w:styleId="Sinlista111141">
    <w:name w:val="Sin lista111141"/>
    <w:next w:val="Sinlista"/>
    <w:uiPriority w:val="99"/>
    <w:semiHidden/>
    <w:unhideWhenUsed/>
    <w:rsid w:val="009A6126"/>
  </w:style>
  <w:style w:type="numbering" w:customStyle="1" w:styleId="Sinlista2141">
    <w:name w:val="Sin lista2141"/>
    <w:next w:val="Sinlista"/>
    <w:uiPriority w:val="99"/>
    <w:semiHidden/>
    <w:unhideWhenUsed/>
    <w:rsid w:val="009A6126"/>
  </w:style>
  <w:style w:type="numbering" w:customStyle="1" w:styleId="Sinlista1241">
    <w:name w:val="Sin lista1241"/>
    <w:next w:val="Sinlista"/>
    <w:uiPriority w:val="99"/>
    <w:semiHidden/>
    <w:unhideWhenUsed/>
    <w:rsid w:val="009A6126"/>
  </w:style>
  <w:style w:type="numbering" w:customStyle="1" w:styleId="Sinlista331">
    <w:name w:val="Sin lista331"/>
    <w:next w:val="Sinlista"/>
    <w:uiPriority w:val="99"/>
    <w:semiHidden/>
    <w:unhideWhenUsed/>
    <w:rsid w:val="009A6126"/>
  </w:style>
  <w:style w:type="numbering" w:customStyle="1" w:styleId="Sinlista1331">
    <w:name w:val="Sin lista1331"/>
    <w:next w:val="Sinlista"/>
    <w:uiPriority w:val="99"/>
    <w:semiHidden/>
    <w:unhideWhenUsed/>
    <w:rsid w:val="009A6126"/>
  </w:style>
  <w:style w:type="numbering" w:customStyle="1" w:styleId="Sinlista11231">
    <w:name w:val="Sin lista11231"/>
    <w:next w:val="Sinlista"/>
    <w:uiPriority w:val="99"/>
    <w:semiHidden/>
    <w:unhideWhenUsed/>
    <w:rsid w:val="009A6126"/>
  </w:style>
  <w:style w:type="numbering" w:customStyle="1" w:styleId="Sinlista2231">
    <w:name w:val="Sin lista2231"/>
    <w:next w:val="Sinlista"/>
    <w:uiPriority w:val="99"/>
    <w:semiHidden/>
    <w:unhideWhenUsed/>
    <w:rsid w:val="009A6126"/>
  </w:style>
  <w:style w:type="numbering" w:customStyle="1" w:styleId="Sinlista111231">
    <w:name w:val="Sin lista111231"/>
    <w:next w:val="Sinlista"/>
    <w:uiPriority w:val="99"/>
    <w:semiHidden/>
    <w:unhideWhenUsed/>
    <w:rsid w:val="009A6126"/>
  </w:style>
  <w:style w:type="numbering" w:customStyle="1" w:styleId="Sinlista1111131">
    <w:name w:val="Sin lista1111131"/>
    <w:next w:val="Sinlista"/>
    <w:uiPriority w:val="99"/>
    <w:semiHidden/>
    <w:unhideWhenUsed/>
    <w:rsid w:val="009A6126"/>
  </w:style>
  <w:style w:type="numbering" w:customStyle="1" w:styleId="Sinlista21131">
    <w:name w:val="Sin lista21131"/>
    <w:next w:val="Sinlista"/>
    <w:uiPriority w:val="99"/>
    <w:semiHidden/>
    <w:unhideWhenUsed/>
    <w:rsid w:val="009A6126"/>
  </w:style>
  <w:style w:type="numbering" w:customStyle="1" w:styleId="Sinlista12131">
    <w:name w:val="Sin lista12131"/>
    <w:next w:val="Sinlista"/>
    <w:uiPriority w:val="99"/>
    <w:semiHidden/>
    <w:unhideWhenUsed/>
    <w:rsid w:val="009A6126"/>
  </w:style>
  <w:style w:type="numbering" w:customStyle="1" w:styleId="Sinlista71">
    <w:name w:val="Sin lista71"/>
    <w:next w:val="Sinlista"/>
    <w:uiPriority w:val="99"/>
    <w:semiHidden/>
    <w:unhideWhenUsed/>
    <w:rsid w:val="009A6126"/>
  </w:style>
  <w:style w:type="numbering" w:customStyle="1" w:styleId="Sinlista171">
    <w:name w:val="Sin lista171"/>
    <w:next w:val="Sinlista"/>
    <w:uiPriority w:val="99"/>
    <w:semiHidden/>
    <w:unhideWhenUsed/>
    <w:rsid w:val="009A6126"/>
  </w:style>
  <w:style w:type="numbering" w:customStyle="1" w:styleId="Sinlista1161">
    <w:name w:val="Sin lista1161"/>
    <w:next w:val="Sinlista"/>
    <w:uiPriority w:val="99"/>
    <w:semiHidden/>
    <w:unhideWhenUsed/>
    <w:rsid w:val="009A6126"/>
  </w:style>
  <w:style w:type="numbering" w:customStyle="1" w:styleId="Sinlista261">
    <w:name w:val="Sin lista261"/>
    <w:next w:val="Sinlista"/>
    <w:uiPriority w:val="99"/>
    <w:semiHidden/>
    <w:unhideWhenUsed/>
    <w:rsid w:val="009A6126"/>
  </w:style>
  <w:style w:type="numbering" w:customStyle="1" w:styleId="Sinlista11161">
    <w:name w:val="Sin lista11161"/>
    <w:next w:val="Sinlista"/>
    <w:uiPriority w:val="99"/>
    <w:semiHidden/>
    <w:unhideWhenUsed/>
    <w:rsid w:val="009A6126"/>
  </w:style>
  <w:style w:type="numbering" w:customStyle="1" w:styleId="Sinlista111151">
    <w:name w:val="Sin lista111151"/>
    <w:next w:val="Sinlista"/>
    <w:uiPriority w:val="99"/>
    <w:semiHidden/>
    <w:unhideWhenUsed/>
    <w:rsid w:val="009A6126"/>
  </w:style>
  <w:style w:type="numbering" w:customStyle="1" w:styleId="Sinlista2151">
    <w:name w:val="Sin lista2151"/>
    <w:next w:val="Sinlista"/>
    <w:uiPriority w:val="99"/>
    <w:semiHidden/>
    <w:unhideWhenUsed/>
    <w:rsid w:val="009A6126"/>
  </w:style>
  <w:style w:type="numbering" w:customStyle="1" w:styleId="Sinlista1251">
    <w:name w:val="Sin lista1251"/>
    <w:next w:val="Sinlista"/>
    <w:uiPriority w:val="99"/>
    <w:semiHidden/>
    <w:unhideWhenUsed/>
    <w:rsid w:val="009A6126"/>
  </w:style>
  <w:style w:type="numbering" w:customStyle="1" w:styleId="Sinlista341">
    <w:name w:val="Sin lista341"/>
    <w:next w:val="Sinlista"/>
    <w:uiPriority w:val="99"/>
    <w:semiHidden/>
    <w:unhideWhenUsed/>
    <w:rsid w:val="009A6126"/>
  </w:style>
  <w:style w:type="numbering" w:customStyle="1" w:styleId="Sinlista1341">
    <w:name w:val="Sin lista1341"/>
    <w:next w:val="Sinlista"/>
    <w:uiPriority w:val="99"/>
    <w:semiHidden/>
    <w:unhideWhenUsed/>
    <w:rsid w:val="009A6126"/>
  </w:style>
  <w:style w:type="numbering" w:customStyle="1" w:styleId="Sinlista11241">
    <w:name w:val="Sin lista11241"/>
    <w:next w:val="Sinlista"/>
    <w:uiPriority w:val="99"/>
    <w:semiHidden/>
    <w:unhideWhenUsed/>
    <w:rsid w:val="009A6126"/>
  </w:style>
  <w:style w:type="numbering" w:customStyle="1" w:styleId="Sinlista2241">
    <w:name w:val="Sin lista2241"/>
    <w:next w:val="Sinlista"/>
    <w:uiPriority w:val="99"/>
    <w:semiHidden/>
    <w:unhideWhenUsed/>
    <w:rsid w:val="009A6126"/>
  </w:style>
  <w:style w:type="numbering" w:customStyle="1" w:styleId="Sinlista111241">
    <w:name w:val="Sin lista111241"/>
    <w:next w:val="Sinlista"/>
    <w:uiPriority w:val="99"/>
    <w:semiHidden/>
    <w:unhideWhenUsed/>
    <w:rsid w:val="009A6126"/>
  </w:style>
  <w:style w:type="numbering" w:customStyle="1" w:styleId="Sinlista1111141">
    <w:name w:val="Sin lista1111141"/>
    <w:next w:val="Sinlista"/>
    <w:uiPriority w:val="99"/>
    <w:semiHidden/>
    <w:unhideWhenUsed/>
    <w:rsid w:val="009A6126"/>
  </w:style>
  <w:style w:type="numbering" w:customStyle="1" w:styleId="Sinlista21141">
    <w:name w:val="Sin lista21141"/>
    <w:next w:val="Sinlista"/>
    <w:uiPriority w:val="99"/>
    <w:semiHidden/>
    <w:unhideWhenUsed/>
    <w:rsid w:val="009A6126"/>
  </w:style>
  <w:style w:type="numbering" w:customStyle="1" w:styleId="Sinlista12141">
    <w:name w:val="Sin lista12141"/>
    <w:next w:val="Sinlista"/>
    <w:uiPriority w:val="99"/>
    <w:semiHidden/>
    <w:unhideWhenUsed/>
    <w:rsid w:val="009A6126"/>
  </w:style>
  <w:style w:type="numbering" w:customStyle="1" w:styleId="Sinlista81">
    <w:name w:val="Sin lista81"/>
    <w:next w:val="Sinlista"/>
    <w:uiPriority w:val="99"/>
    <w:semiHidden/>
    <w:unhideWhenUsed/>
    <w:rsid w:val="009A6126"/>
  </w:style>
  <w:style w:type="numbering" w:customStyle="1" w:styleId="Sinlista181">
    <w:name w:val="Sin lista181"/>
    <w:next w:val="Sinlista"/>
    <w:uiPriority w:val="99"/>
    <w:semiHidden/>
    <w:unhideWhenUsed/>
    <w:rsid w:val="009A6126"/>
  </w:style>
  <w:style w:type="numbering" w:customStyle="1" w:styleId="Sinlista1171">
    <w:name w:val="Sin lista1171"/>
    <w:next w:val="Sinlista"/>
    <w:uiPriority w:val="99"/>
    <w:semiHidden/>
    <w:unhideWhenUsed/>
    <w:rsid w:val="009A6126"/>
  </w:style>
  <w:style w:type="numbering" w:customStyle="1" w:styleId="Sinlista271">
    <w:name w:val="Sin lista271"/>
    <w:next w:val="Sinlista"/>
    <w:uiPriority w:val="99"/>
    <w:semiHidden/>
    <w:unhideWhenUsed/>
    <w:rsid w:val="009A6126"/>
  </w:style>
  <w:style w:type="numbering" w:customStyle="1" w:styleId="Sinlista11171">
    <w:name w:val="Sin lista11171"/>
    <w:next w:val="Sinlista"/>
    <w:uiPriority w:val="99"/>
    <w:semiHidden/>
    <w:unhideWhenUsed/>
    <w:rsid w:val="009A6126"/>
  </w:style>
  <w:style w:type="numbering" w:customStyle="1" w:styleId="Sinlista111161">
    <w:name w:val="Sin lista111161"/>
    <w:next w:val="Sinlista"/>
    <w:uiPriority w:val="99"/>
    <w:semiHidden/>
    <w:unhideWhenUsed/>
    <w:rsid w:val="009A6126"/>
  </w:style>
  <w:style w:type="numbering" w:customStyle="1" w:styleId="Sinlista2161">
    <w:name w:val="Sin lista2161"/>
    <w:next w:val="Sinlista"/>
    <w:uiPriority w:val="99"/>
    <w:semiHidden/>
    <w:unhideWhenUsed/>
    <w:rsid w:val="009A6126"/>
  </w:style>
  <w:style w:type="numbering" w:customStyle="1" w:styleId="Sinlista1261">
    <w:name w:val="Sin lista1261"/>
    <w:next w:val="Sinlista"/>
    <w:uiPriority w:val="99"/>
    <w:semiHidden/>
    <w:unhideWhenUsed/>
    <w:rsid w:val="009A6126"/>
  </w:style>
  <w:style w:type="numbering" w:customStyle="1" w:styleId="Sinlista351">
    <w:name w:val="Sin lista351"/>
    <w:next w:val="Sinlista"/>
    <w:uiPriority w:val="99"/>
    <w:semiHidden/>
    <w:unhideWhenUsed/>
    <w:rsid w:val="009A6126"/>
  </w:style>
  <w:style w:type="numbering" w:customStyle="1" w:styleId="Sinlista1351">
    <w:name w:val="Sin lista1351"/>
    <w:next w:val="Sinlista"/>
    <w:uiPriority w:val="99"/>
    <w:semiHidden/>
    <w:unhideWhenUsed/>
    <w:rsid w:val="009A6126"/>
  </w:style>
  <w:style w:type="numbering" w:customStyle="1" w:styleId="Sinlista11251">
    <w:name w:val="Sin lista11251"/>
    <w:next w:val="Sinlista"/>
    <w:uiPriority w:val="99"/>
    <w:semiHidden/>
    <w:unhideWhenUsed/>
    <w:rsid w:val="009A6126"/>
  </w:style>
  <w:style w:type="numbering" w:customStyle="1" w:styleId="Sinlista2251">
    <w:name w:val="Sin lista2251"/>
    <w:next w:val="Sinlista"/>
    <w:uiPriority w:val="99"/>
    <w:semiHidden/>
    <w:unhideWhenUsed/>
    <w:rsid w:val="009A6126"/>
  </w:style>
  <w:style w:type="numbering" w:customStyle="1" w:styleId="Sinlista111251">
    <w:name w:val="Sin lista111251"/>
    <w:next w:val="Sinlista"/>
    <w:uiPriority w:val="99"/>
    <w:semiHidden/>
    <w:unhideWhenUsed/>
    <w:rsid w:val="009A6126"/>
  </w:style>
  <w:style w:type="numbering" w:customStyle="1" w:styleId="Sinlista1111151">
    <w:name w:val="Sin lista1111151"/>
    <w:next w:val="Sinlista"/>
    <w:uiPriority w:val="99"/>
    <w:semiHidden/>
    <w:unhideWhenUsed/>
    <w:rsid w:val="009A6126"/>
  </w:style>
  <w:style w:type="numbering" w:customStyle="1" w:styleId="Sinlista21151">
    <w:name w:val="Sin lista21151"/>
    <w:next w:val="Sinlista"/>
    <w:uiPriority w:val="99"/>
    <w:semiHidden/>
    <w:unhideWhenUsed/>
    <w:rsid w:val="009A6126"/>
  </w:style>
  <w:style w:type="numbering" w:customStyle="1" w:styleId="Sinlista12151">
    <w:name w:val="Sin lista12151"/>
    <w:next w:val="Sinlista"/>
    <w:uiPriority w:val="99"/>
    <w:semiHidden/>
    <w:unhideWhenUsed/>
    <w:rsid w:val="009A6126"/>
  </w:style>
  <w:style w:type="numbering" w:customStyle="1" w:styleId="Sinlista91">
    <w:name w:val="Sin lista91"/>
    <w:next w:val="Sinlista"/>
    <w:uiPriority w:val="99"/>
    <w:semiHidden/>
    <w:unhideWhenUsed/>
    <w:rsid w:val="009A6126"/>
  </w:style>
  <w:style w:type="table" w:customStyle="1" w:styleId="Sombreadoclaro-nfasis221">
    <w:name w:val="Sombreado claro - Énfasis 221"/>
    <w:basedOn w:val="Tablanormal"/>
    <w:rsid w:val="009A6126"/>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21">
    <w:name w:val="Sombreado medio 1 - Énfasis 421"/>
    <w:basedOn w:val="Tablanormal"/>
    <w:rsid w:val="009A6126"/>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table" w:customStyle="1" w:styleId="MediumShading111">
    <w:name w:val="Medium Shading 111"/>
    <w:basedOn w:val="Tablanormal"/>
    <w:rsid w:val="009A6126"/>
    <w:rPr>
      <w:rFonts w:ascii="Arial" w:eastAsia="Arial" w:hAnsi="Arial"/>
      <w:sz w:val="16"/>
      <w:lang w:val="es-AR" w:eastAsia="es-AR"/>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MediumShading1-Accent111">
    <w:name w:val="Medium Shading 1 - Accent 111"/>
    <w:basedOn w:val="Tablanormal"/>
    <w:rsid w:val="009A6126"/>
    <w:rPr>
      <w:rFonts w:ascii="Arial" w:eastAsia="Arial" w:hAnsi="Arial"/>
      <w:lang w:val="es-AR" w:eastAsia="es-AR"/>
    </w:rPr>
    <w:tblPr>
      <w:tblStyleRowBandSize w:val="1"/>
      <w:tblStyleColBandSize w:val="1"/>
      <w:tblBorders>
        <w:top w:val="single" w:sz="8" w:space="0" w:color="B9B1A7"/>
        <w:left w:val="single" w:sz="8" w:space="0" w:color="B9B1A7"/>
        <w:bottom w:val="single" w:sz="8" w:space="0" w:color="B9B1A7"/>
        <w:right w:val="single" w:sz="8" w:space="0" w:color="B9B1A7"/>
        <w:insideH w:val="single" w:sz="8" w:space="0" w:color="B9B1A7"/>
      </w:tblBorders>
    </w:tblPr>
    <w:tblStylePr w:type="firstRow">
      <w:pPr>
        <w:spacing w:before="0" w:after="0" w:line="240" w:lineRule="auto"/>
      </w:pPr>
      <w:rPr>
        <w:b/>
        <w:bCs/>
        <w:color w:val="FFFFFF"/>
      </w:rPr>
      <w:tblPr/>
      <w:tcPr>
        <w:tcBorders>
          <w:top w:val="single" w:sz="8" w:space="0" w:color="B9B1A7"/>
          <w:left w:val="single" w:sz="8" w:space="0" w:color="B9B1A7"/>
          <w:bottom w:val="single" w:sz="8" w:space="0" w:color="B9B1A7"/>
          <w:right w:val="single" w:sz="8" w:space="0" w:color="B9B1A7"/>
          <w:insideH w:val="nil"/>
          <w:insideV w:val="nil"/>
        </w:tcBorders>
        <w:shd w:val="clear" w:color="auto" w:fill="A2978A"/>
      </w:tcPr>
    </w:tblStylePr>
    <w:tblStylePr w:type="lastRow">
      <w:pPr>
        <w:spacing w:before="0" w:after="0" w:line="240" w:lineRule="auto"/>
      </w:pPr>
      <w:rPr>
        <w:b/>
        <w:bCs/>
      </w:rPr>
      <w:tblPr/>
      <w:tcPr>
        <w:tcBorders>
          <w:top w:val="double" w:sz="6" w:space="0" w:color="B9B1A7"/>
          <w:left w:val="single" w:sz="8" w:space="0" w:color="B9B1A7"/>
          <w:bottom w:val="single" w:sz="8" w:space="0" w:color="B9B1A7"/>
          <w:right w:val="single" w:sz="8" w:space="0" w:color="B9B1A7"/>
          <w:insideH w:val="nil"/>
          <w:insideV w:val="nil"/>
        </w:tcBorders>
      </w:tcPr>
    </w:tblStylePr>
    <w:tblStylePr w:type="firstCol">
      <w:rPr>
        <w:b/>
        <w:bCs/>
      </w:rPr>
    </w:tblStylePr>
    <w:tblStylePr w:type="lastCol">
      <w:rPr>
        <w:b/>
        <w:bCs/>
      </w:rPr>
    </w:tblStylePr>
    <w:tblStylePr w:type="band1Vert">
      <w:tblPr/>
      <w:tcPr>
        <w:shd w:val="clear" w:color="auto" w:fill="E8E5E2"/>
      </w:tcPr>
    </w:tblStylePr>
    <w:tblStylePr w:type="band1Horz">
      <w:tblPr/>
      <w:tcPr>
        <w:tcBorders>
          <w:insideH w:val="nil"/>
          <w:insideV w:val="nil"/>
        </w:tcBorders>
        <w:shd w:val="clear" w:color="auto" w:fill="E8E5E2"/>
      </w:tcPr>
    </w:tblStylePr>
    <w:tblStylePr w:type="band2Horz">
      <w:tblPr/>
      <w:tcPr>
        <w:tcBorders>
          <w:insideH w:val="nil"/>
          <w:insideV w:val="nil"/>
        </w:tcBorders>
      </w:tcPr>
    </w:tblStylePr>
  </w:style>
  <w:style w:type="table" w:customStyle="1" w:styleId="LightList11">
    <w:name w:val="Light List11"/>
    <w:basedOn w:val="Tablanormal"/>
    <w:rsid w:val="009A6126"/>
    <w:rPr>
      <w:rFonts w:ascii="Arial" w:eastAsia="Arial" w:hAnsi="Arial"/>
      <w:lang w:val="es-AR" w:eastAsia="es-AR"/>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1">
    <w:name w:val="Light List - Accent 111"/>
    <w:basedOn w:val="Tablanormal"/>
    <w:rsid w:val="009A6126"/>
    <w:rPr>
      <w:rFonts w:ascii="Arial" w:eastAsia="Arial" w:hAnsi="Arial"/>
      <w:lang w:val="es-AR" w:eastAsia="es-AR"/>
    </w:rPr>
    <w:tblPr>
      <w:tblStyleRowBandSize w:val="1"/>
      <w:tblStyleColBandSize w:val="1"/>
      <w:tblBorders>
        <w:top w:val="single" w:sz="8" w:space="0" w:color="A2978A"/>
        <w:left w:val="single" w:sz="8" w:space="0" w:color="A2978A"/>
        <w:bottom w:val="single" w:sz="8" w:space="0" w:color="A2978A"/>
        <w:right w:val="single" w:sz="8" w:space="0" w:color="A2978A"/>
      </w:tblBorders>
    </w:tblPr>
    <w:tblStylePr w:type="firstRow">
      <w:pPr>
        <w:spacing w:before="0" w:after="0" w:line="240" w:lineRule="auto"/>
      </w:pPr>
      <w:rPr>
        <w:b/>
        <w:bCs/>
        <w:color w:val="FFFFFF"/>
      </w:rPr>
      <w:tblPr/>
      <w:tcPr>
        <w:shd w:val="clear" w:color="auto" w:fill="A2978A"/>
      </w:tcPr>
    </w:tblStylePr>
    <w:tblStylePr w:type="lastRow">
      <w:pPr>
        <w:spacing w:before="0" w:after="0" w:line="240" w:lineRule="auto"/>
      </w:pPr>
      <w:rPr>
        <w:b/>
        <w:bCs/>
      </w:rPr>
      <w:tblPr/>
      <w:tcPr>
        <w:tcBorders>
          <w:top w:val="double" w:sz="6" w:space="0" w:color="A2978A"/>
          <w:left w:val="single" w:sz="8" w:space="0" w:color="A2978A"/>
          <w:bottom w:val="single" w:sz="8" w:space="0" w:color="A2978A"/>
          <w:right w:val="single" w:sz="8" w:space="0" w:color="A2978A"/>
        </w:tcBorders>
      </w:tcPr>
    </w:tblStylePr>
    <w:tblStylePr w:type="firstCol">
      <w:rPr>
        <w:b/>
        <w:bCs/>
      </w:rPr>
    </w:tblStylePr>
    <w:tblStylePr w:type="lastCol">
      <w:rPr>
        <w:b/>
        <w:bCs/>
      </w:rPr>
    </w:tblStylePr>
    <w:tblStylePr w:type="band1Vert">
      <w:tblPr/>
      <w:tcPr>
        <w:tcBorders>
          <w:top w:val="single" w:sz="8" w:space="0" w:color="A2978A"/>
          <w:left w:val="single" w:sz="8" w:space="0" w:color="A2978A"/>
          <w:bottom w:val="single" w:sz="8" w:space="0" w:color="A2978A"/>
          <w:right w:val="single" w:sz="8" w:space="0" w:color="A2978A"/>
        </w:tcBorders>
      </w:tcPr>
    </w:tblStylePr>
    <w:tblStylePr w:type="band1Horz">
      <w:tblPr/>
      <w:tcPr>
        <w:tcBorders>
          <w:top w:val="single" w:sz="8" w:space="0" w:color="A2978A"/>
          <w:left w:val="single" w:sz="8" w:space="0" w:color="A2978A"/>
          <w:bottom w:val="single" w:sz="8" w:space="0" w:color="A2978A"/>
          <w:right w:val="single" w:sz="8" w:space="0" w:color="A2978A"/>
        </w:tcBorders>
      </w:tcPr>
    </w:tblStylePr>
  </w:style>
  <w:style w:type="table" w:customStyle="1" w:styleId="PwCTable11">
    <w:name w:val="PwC Table 11"/>
    <w:basedOn w:val="Tablanormal"/>
    <w:qFormat/>
    <w:rsid w:val="009A6126"/>
    <w:rPr>
      <w:rFonts w:ascii="Arial" w:eastAsia="Arial" w:hAnsi="Arial"/>
      <w:sz w:val="18"/>
      <w:lang w:val="es-AR" w:eastAsia="es-AR"/>
    </w:rPr>
    <w:tblPr>
      <w:tblStyleRowBandSize w:val="1"/>
      <w:tblBorders>
        <w:bottom w:val="single" w:sz="4" w:space="0" w:color="A2978A"/>
        <w:insideH w:val="single" w:sz="4" w:space="0" w:color="A2978A"/>
      </w:tblBorders>
      <w:tblCellMar>
        <w:top w:w="57" w:type="dxa"/>
        <w:left w:w="0" w:type="dxa"/>
        <w:bottom w:w="57" w:type="dxa"/>
        <w:right w:w="0" w:type="dxa"/>
      </w:tblCellMar>
    </w:tblPr>
    <w:tblStylePr w:type="firstRow">
      <w:pPr>
        <w:wordWrap/>
        <w:spacing w:beforeLines="0" w:beforeAutospacing="0" w:afterLines="0" w:afterAutospacing="0" w:line="210" w:lineRule="atLeast"/>
        <w:contextualSpacing w:val="0"/>
      </w:pPr>
      <w:rPr>
        <w:rFonts w:ascii="Arial" w:hAnsi="Arial"/>
        <w:b/>
        <w:color w:val="A2978A"/>
        <w:sz w:val="18"/>
      </w:rPr>
      <w:tblPr/>
      <w:tcPr>
        <w:tcBorders>
          <w:top w:val="nil"/>
          <w:left w:val="nil"/>
          <w:bottom w:val="single" w:sz="8" w:space="0" w:color="00011F"/>
          <w:right w:val="nil"/>
          <w:insideH w:val="nil"/>
          <w:insideV w:val="nil"/>
          <w:tl2br w:val="nil"/>
          <w:tr2bl w:val="nil"/>
        </w:tcBorders>
      </w:tcPr>
    </w:tblStylePr>
    <w:tblStylePr w:type="lastRow">
      <w:tblPr/>
      <w:tcPr>
        <w:tcBorders>
          <w:top w:val="nil"/>
          <w:left w:val="nil"/>
          <w:bottom w:val="single" w:sz="4" w:space="0" w:color="A2978A"/>
          <w:right w:val="nil"/>
          <w:insideH w:val="nil"/>
          <w:insideV w:val="nil"/>
          <w:tl2br w:val="nil"/>
          <w:tr2bl w:val="nil"/>
        </w:tcBorders>
      </w:tcPr>
    </w:tblStylePr>
    <w:tblStylePr w:type="band1Horz">
      <w:pPr>
        <w:wordWrap/>
        <w:spacing w:beforeLines="0" w:beforeAutospacing="0" w:afterLines="0" w:afterAutospacing="0" w:line="210" w:lineRule="atLeast"/>
      </w:pPr>
    </w:tblStylePr>
    <w:tblStylePr w:type="band2Horz">
      <w:pPr>
        <w:wordWrap/>
        <w:spacing w:beforeLines="0" w:beforeAutospacing="0" w:afterLines="0" w:afterAutospacing="0" w:line="210" w:lineRule="atLeast"/>
      </w:pPr>
    </w:tblStylePr>
  </w:style>
  <w:style w:type="table" w:customStyle="1" w:styleId="Sombreadoclaro-nfasis211">
    <w:name w:val="Sombreado claro - Énfasis 211"/>
    <w:basedOn w:val="Tablanormal"/>
    <w:rsid w:val="009A6126"/>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11">
    <w:name w:val="Sombreado medio 1 - Énfasis 411"/>
    <w:basedOn w:val="Tablanormal"/>
    <w:rsid w:val="009A6126"/>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table" w:customStyle="1" w:styleId="Sombreadoclaro-nfasis231">
    <w:name w:val="Sombreado claro - Énfasis 231"/>
    <w:basedOn w:val="Tablanormal"/>
    <w:rsid w:val="009A6126"/>
    <w:rPr>
      <w:rFonts w:ascii="Arial" w:eastAsia="Arial" w:hAnsi="Arial"/>
      <w:color w:val="83756D"/>
      <w:lang w:val="es-AR" w:eastAsia="es-AR"/>
    </w:rPr>
    <w:tblPr>
      <w:tblStyleRowBandSize w:val="1"/>
      <w:tblStyleColBandSize w:val="1"/>
      <w:tblBorders>
        <w:top w:val="single" w:sz="8" w:space="0" w:color="AA9F98"/>
        <w:bottom w:val="single" w:sz="8" w:space="0" w:color="AA9F98"/>
      </w:tblBorders>
    </w:tblPr>
    <w:tblStylePr w:type="fir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lastRow">
      <w:pPr>
        <w:spacing w:before="0" w:after="0" w:line="240" w:lineRule="auto"/>
      </w:pPr>
      <w:rPr>
        <w:b/>
        <w:bCs/>
      </w:rPr>
      <w:tblPr/>
      <w:tcPr>
        <w:tcBorders>
          <w:top w:val="single" w:sz="8" w:space="0" w:color="AA9F98"/>
          <w:left w:val="nil"/>
          <w:bottom w:val="single" w:sz="8" w:space="0" w:color="AA9F9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E7E5"/>
      </w:tcPr>
    </w:tblStylePr>
    <w:tblStylePr w:type="band1Horz">
      <w:tblPr/>
      <w:tcPr>
        <w:tcBorders>
          <w:left w:val="nil"/>
          <w:right w:val="nil"/>
          <w:insideH w:val="nil"/>
          <w:insideV w:val="nil"/>
        </w:tcBorders>
        <w:shd w:val="clear" w:color="auto" w:fill="EAE7E5"/>
      </w:tcPr>
    </w:tblStylePr>
  </w:style>
  <w:style w:type="table" w:customStyle="1" w:styleId="Sombreadomedio1-nfasis431">
    <w:name w:val="Sombreado medio 1 - Énfasis 431"/>
    <w:basedOn w:val="Tablanormal"/>
    <w:rsid w:val="009A6126"/>
    <w:rPr>
      <w:rFonts w:ascii="Arial" w:eastAsia="Arial" w:hAnsi="Arial"/>
      <w:lang w:val="es-AR" w:eastAsia="es-AR"/>
    </w:rPr>
    <w:tblPr>
      <w:tblStyleRowBandSize w:val="1"/>
      <w:tblStyleColBandSize w:val="1"/>
      <w:tblBorders>
        <w:top w:val="single" w:sz="8" w:space="0" w:color="E5E2E0"/>
        <w:left w:val="single" w:sz="8" w:space="0" w:color="E5E2E0"/>
        <w:bottom w:val="single" w:sz="8" w:space="0" w:color="E5E2E0"/>
        <w:right w:val="single" w:sz="8" w:space="0" w:color="E5E2E0"/>
        <w:insideH w:val="single" w:sz="8" w:space="0" w:color="E5E2E0"/>
      </w:tblBorders>
    </w:tblPr>
    <w:tblStylePr w:type="firstRow">
      <w:pPr>
        <w:spacing w:before="0" w:after="0" w:line="240" w:lineRule="auto"/>
      </w:pPr>
      <w:rPr>
        <w:b/>
        <w:bCs/>
        <w:color w:val="FFFFFF"/>
      </w:rPr>
      <w:tblPr/>
      <w:tcPr>
        <w:tcBorders>
          <w:top w:val="single" w:sz="8" w:space="0" w:color="E5E2E0"/>
          <w:left w:val="single" w:sz="8" w:space="0" w:color="E5E2E0"/>
          <w:bottom w:val="single" w:sz="8" w:space="0" w:color="E5E2E0"/>
          <w:right w:val="single" w:sz="8" w:space="0" w:color="E5E2E0"/>
          <w:insideH w:val="nil"/>
          <w:insideV w:val="nil"/>
        </w:tcBorders>
        <w:shd w:val="clear" w:color="auto" w:fill="DDD9D6"/>
      </w:tcPr>
    </w:tblStylePr>
    <w:tblStylePr w:type="lastRow">
      <w:pPr>
        <w:spacing w:before="0" w:after="0" w:line="240" w:lineRule="auto"/>
      </w:pPr>
      <w:rPr>
        <w:b/>
        <w:bCs/>
      </w:rPr>
      <w:tblPr/>
      <w:tcPr>
        <w:tcBorders>
          <w:top w:val="double" w:sz="6" w:space="0" w:color="E5E2E0"/>
          <w:left w:val="single" w:sz="8" w:space="0" w:color="E5E2E0"/>
          <w:bottom w:val="single" w:sz="8" w:space="0" w:color="E5E2E0"/>
          <w:right w:val="single" w:sz="8" w:space="0" w:color="E5E2E0"/>
          <w:insideH w:val="nil"/>
          <w:insideV w:val="nil"/>
        </w:tcBorders>
      </w:tcPr>
    </w:tblStylePr>
    <w:tblStylePr w:type="firstCol">
      <w:rPr>
        <w:b/>
        <w:bCs/>
      </w:rPr>
    </w:tblStylePr>
    <w:tblStylePr w:type="lastCol">
      <w:rPr>
        <w:b/>
        <w:bCs/>
      </w:rPr>
    </w:tblStylePr>
    <w:tblStylePr w:type="band1Vert">
      <w:tblPr/>
      <w:tcPr>
        <w:shd w:val="clear" w:color="auto" w:fill="F6F5F4"/>
      </w:tcPr>
    </w:tblStylePr>
    <w:tblStylePr w:type="band1Horz">
      <w:tblPr/>
      <w:tcPr>
        <w:tcBorders>
          <w:insideH w:val="nil"/>
          <w:insideV w:val="nil"/>
        </w:tcBorders>
        <w:shd w:val="clear" w:color="auto" w:fill="F6F5F4"/>
      </w:tcPr>
    </w:tblStylePr>
    <w:tblStylePr w:type="band2Horz">
      <w:tblPr/>
      <w:tcPr>
        <w:tcBorders>
          <w:insideH w:val="nil"/>
          <w:insideV w:val="nil"/>
        </w:tcBorders>
      </w:tcPr>
    </w:tblStylePr>
  </w:style>
  <w:style w:type="table" w:customStyle="1" w:styleId="TableGrid11">
    <w:name w:val="Table Grid11"/>
    <w:basedOn w:val="Tablanormal"/>
    <w:next w:val="Tablaconcuadrcula"/>
    <w:rsid w:val="009A6126"/>
    <w:rPr>
      <w:rFonts w:ascii="Times New Roman" w:eastAsia="SimSun" w:hAnsi="Times New Roman"/>
      <w:lang w:val="es-AR" w:eastAsia="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anormal"/>
    <w:next w:val="Tablaconcuadrcula"/>
    <w:uiPriority w:val="59"/>
    <w:rsid w:val="009A6126"/>
    <w:rPr>
      <w:rFonts w:ascii="Times New Roman" w:eastAsia="PMingLiU" w:hAnsi="Times New Roman"/>
      <w:sz w:val="22"/>
      <w:szCs w:val="22"/>
      <w:lang w:val="es-A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1">
    <w:name w:val="Sin lista101"/>
    <w:next w:val="Sinlista"/>
    <w:uiPriority w:val="99"/>
    <w:semiHidden/>
    <w:unhideWhenUsed/>
    <w:rsid w:val="009A6126"/>
  </w:style>
  <w:style w:type="table" w:customStyle="1" w:styleId="Tablaconcuadrcula91">
    <w:name w:val="Tabla con cuadrícula91"/>
    <w:basedOn w:val="Tablanormal"/>
    <w:next w:val="Tablaconcuadrcula"/>
    <w:rsid w:val="009A6126"/>
    <w:rPr>
      <w:rFonts w:ascii="Times New Roman" w:hAnsi="Times New Roman"/>
      <w:lang w:val="en-US"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1">
    <w:name w:val="Tabla con cuadrícula18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71">
    <w:name w:val="Tabla con cuadrícula27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71">
    <w:name w:val="Tabla con cuadrícula117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61">
    <w:name w:val="Tabla con cuadrícula36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61">
    <w:name w:val="Tabla con cuadrícula126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61">
    <w:name w:val="Tabla con cuadrícula216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61">
    <w:name w:val="Tabla con cuadrícula1116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411">
    <w:name w:val="Tabla con cuadrícula4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311">
    <w:name w:val="Tabla con cuadrícula13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11">
    <w:name w:val="Tabla con cuadrícula22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211">
    <w:name w:val="Tabla con cuadrícula112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111">
    <w:name w:val="Tabla con cuadrícula31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111">
    <w:name w:val="Tabla con cuadrícula121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111">
    <w:name w:val="Tabla con cuadrícula211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111">
    <w:name w:val="Tabla con cuadrícula1111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511">
    <w:name w:val="Tabla con cuadrícula5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411">
    <w:name w:val="Tabla con cuadrícula14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11">
    <w:name w:val="Tabla con cuadrícula23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311">
    <w:name w:val="Tabla con cuadrícula113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211">
    <w:name w:val="Tabla con cuadrícula32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211">
    <w:name w:val="Tabla con cuadrícula122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211">
    <w:name w:val="Tabla con cuadrícula212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211">
    <w:name w:val="Tabla con cuadrícula1112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11">
    <w:name w:val="Tabla con cuadrícula6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511">
    <w:name w:val="Tabla con cuadrícula15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411">
    <w:name w:val="Tabla con cuadrícula24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411">
    <w:name w:val="Tabla con cuadrícula114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311">
    <w:name w:val="Tabla con cuadrícula33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311">
    <w:name w:val="Tabla con cuadrícula123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311">
    <w:name w:val="Tabla con cuadrícula213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311">
    <w:name w:val="Tabla con cuadrícula1113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711">
    <w:name w:val="Tabla con cuadrícula7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611">
    <w:name w:val="Tabla con cuadrícula16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511">
    <w:name w:val="Tabla con cuadrícula25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511">
    <w:name w:val="Tabla con cuadrícula115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411">
    <w:name w:val="Tabla con cuadrícula34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411">
    <w:name w:val="Tabla con cuadrícula124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411">
    <w:name w:val="Tabla con cuadrícula214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411">
    <w:name w:val="Tabla con cuadrícula1114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11">
    <w:name w:val="Tabla con cuadrícula8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711">
    <w:name w:val="Tabla con cuadrícula17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611">
    <w:name w:val="Tabla con cuadrícula26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611">
    <w:name w:val="Tabla con cuadrícula116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3511">
    <w:name w:val="Tabla con cuadrícula35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2511">
    <w:name w:val="Tabla con cuadrícula125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1511">
    <w:name w:val="Tabla con cuadrícula21511"/>
    <w:rsid w:val="009A6126"/>
    <w:rPr>
      <w:rFonts w:ascii="Times New Roma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111511">
    <w:name w:val="Tabla con cuadrícula111511"/>
    <w:rsid w:val="009A6126"/>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sProspecto26">
    <w:name w:val="Tablas Prospecto26"/>
    <w:basedOn w:val="Tablanormal"/>
    <w:uiPriority w:val="99"/>
    <w:rsid w:val="0007574B"/>
    <w:rPr>
      <w:rFonts w:ascii="Times New Roman" w:eastAsia="Calibri" w:hAnsi="Times New Roman"/>
      <w:sz w:val="16"/>
      <w:szCs w:val="22"/>
      <w:lang w:eastAsia="en-US"/>
    </w:rPr>
    <w:tblPr>
      <w:tblStyleRowBandSize w:val="1"/>
    </w:tblPr>
    <w:tblStylePr w:type="firstRow">
      <w:pPr>
        <w:wordWrap/>
        <w:jc w:val="center"/>
      </w:pPr>
      <w:rPr>
        <w:rFonts w:ascii="Times New Roman" w:hAnsi="Times New Roman"/>
        <w:b/>
        <w:i w:val="0"/>
        <w:sz w:val="16"/>
      </w:rPr>
      <w:tblPr/>
      <w:tcPr>
        <w:tcBorders>
          <w:top w:val="nil"/>
          <w:left w:val="nil"/>
          <w:bottom w:val="single" w:sz="8" w:space="0" w:color="auto"/>
          <w:right w:val="nil"/>
          <w:insideH w:val="nil"/>
          <w:insideV w:val="nil"/>
        </w:tcBorders>
        <w:vAlign w:val="bottom"/>
      </w:tcPr>
    </w:tblStylePr>
    <w:tblStylePr w:type="firstCol">
      <w:tblPr/>
      <w:tcPr>
        <w:tcBorders>
          <w:right w:val="nil"/>
        </w:tcBorders>
      </w:tcPr>
    </w:tblStylePr>
    <w:tblStylePr w:type="band2Horz">
      <w:tblPr/>
      <w:tcPr>
        <w:tcBorders>
          <w:top w:val="nil"/>
          <w:left w:val="nil"/>
          <w:bottom w:val="nil"/>
          <w:right w:val="nil"/>
          <w:insideH w:val="nil"/>
          <w:insideV w:val="nil"/>
          <w:tl2br w:val="nil"/>
          <w:tr2bl w:val="nil"/>
        </w:tcBorders>
        <w:shd w:val="clear" w:color="auto" w:fill="F2F2F2"/>
      </w:tcPr>
    </w:tblStylePr>
  </w:style>
  <w:style w:type="character" w:customStyle="1" w:styleId="UnresolvedMention1">
    <w:name w:val="Unresolved Mention1"/>
    <w:basedOn w:val="Fuentedeprrafopredeter"/>
    <w:uiPriority w:val="99"/>
    <w:semiHidden/>
    <w:unhideWhenUsed/>
    <w:rsid w:val="00B200E8"/>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sChild>
        <w:div w:id="107">
          <w:marLeft w:val="0"/>
          <w:marRight w:val="0"/>
          <w:marTop w:val="0"/>
          <w:marBottom w:val="0"/>
          <w:divBdr>
            <w:top w:val="none" w:sz="0" w:space="0" w:color="auto"/>
            <w:left w:val="none" w:sz="0" w:space="0" w:color="auto"/>
            <w:bottom w:val="none" w:sz="0" w:space="0" w:color="auto"/>
            <w:right w:val="none" w:sz="0" w:space="0" w:color="auto"/>
          </w:divBdr>
          <w:divsChild>
            <w:div w:id="33">
              <w:marLeft w:val="0"/>
              <w:marRight w:val="0"/>
              <w:marTop w:val="0"/>
              <w:marBottom w:val="0"/>
              <w:divBdr>
                <w:top w:val="none" w:sz="0" w:space="0" w:color="auto"/>
                <w:left w:val="none" w:sz="0" w:space="0" w:color="auto"/>
                <w:bottom w:val="none" w:sz="0" w:space="0" w:color="auto"/>
                <w:right w:val="none" w:sz="0" w:space="0" w:color="auto"/>
              </w:divBdr>
              <w:divsChild>
                <w:div w:id="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sChild>
        <w:div w:id="112">
          <w:marLeft w:val="0"/>
          <w:marRight w:val="0"/>
          <w:marTop w:val="0"/>
          <w:marBottom w:val="0"/>
          <w:divBdr>
            <w:top w:val="none" w:sz="0" w:space="0" w:color="auto"/>
            <w:left w:val="none" w:sz="0" w:space="0" w:color="auto"/>
            <w:bottom w:val="none" w:sz="0" w:space="0" w:color="auto"/>
            <w:right w:val="none" w:sz="0" w:space="0" w:color="auto"/>
          </w:divBdr>
          <w:divsChild>
            <w:div w:id="166">
              <w:marLeft w:val="0"/>
              <w:marRight w:val="0"/>
              <w:marTop w:val="0"/>
              <w:marBottom w:val="0"/>
              <w:divBdr>
                <w:top w:val="none" w:sz="0" w:space="0" w:color="auto"/>
                <w:left w:val="none" w:sz="0" w:space="0" w:color="auto"/>
                <w:bottom w:val="none" w:sz="0" w:space="0" w:color="auto"/>
                <w:right w:val="none" w:sz="0" w:space="0" w:color="auto"/>
              </w:divBdr>
              <w:divsChild>
                <w:div w:id="18">
                  <w:marLeft w:val="0"/>
                  <w:marRight w:val="0"/>
                  <w:marTop w:val="0"/>
                  <w:marBottom w:val="0"/>
                  <w:divBdr>
                    <w:top w:val="none" w:sz="0" w:space="0" w:color="auto"/>
                    <w:left w:val="none" w:sz="0" w:space="0" w:color="auto"/>
                    <w:bottom w:val="none" w:sz="0" w:space="0" w:color="auto"/>
                    <w:right w:val="none" w:sz="0" w:space="0" w:color="auto"/>
                  </w:divBdr>
                  <w:divsChild>
                    <w:div w:id="175">
                      <w:marLeft w:val="0"/>
                      <w:marRight w:val="0"/>
                      <w:marTop w:val="0"/>
                      <w:marBottom w:val="0"/>
                      <w:divBdr>
                        <w:top w:val="none" w:sz="0" w:space="0" w:color="auto"/>
                        <w:left w:val="none" w:sz="0" w:space="0" w:color="auto"/>
                        <w:bottom w:val="none" w:sz="0" w:space="0" w:color="auto"/>
                        <w:right w:val="none" w:sz="0" w:space="0" w:color="auto"/>
                      </w:divBdr>
                      <w:divsChild>
                        <w:div w:id="121">
                          <w:marLeft w:val="0"/>
                          <w:marRight w:val="0"/>
                          <w:marTop w:val="0"/>
                          <w:marBottom w:val="0"/>
                          <w:divBdr>
                            <w:top w:val="none" w:sz="0" w:space="0" w:color="auto"/>
                            <w:left w:val="none" w:sz="0" w:space="0" w:color="auto"/>
                            <w:bottom w:val="none" w:sz="0" w:space="0" w:color="auto"/>
                            <w:right w:val="none" w:sz="0" w:space="0" w:color="auto"/>
                          </w:divBdr>
                          <w:divsChild>
                            <w:div w:id="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sChild>
        <w:div w:id="154">
          <w:marLeft w:val="0"/>
          <w:marRight w:val="0"/>
          <w:marTop w:val="0"/>
          <w:marBottom w:val="0"/>
          <w:divBdr>
            <w:top w:val="none" w:sz="0" w:space="0" w:color="auto"/>
            <w:left w:val="none" w:sz="0" w:space="0" w:color="auto"/>
            <w:bottom w:val="none" w:sz="0" w:space="0" w:color="auto"/>
            <w:right w:val="none" w:sz="0" w:space="0" w:color="auto"/>
          </w:divBdr>
          <w:divsChild>
            <w:div w:id="100">
              <w:marLeft w:val="0"/>
              <w:marRight w:val="0"/>
              <w:marTop w:val="0"/>
              <w:marBottom w:val="0"/>
              <w:divBdr>
                <w:top w:val="none" w:sz="0" w:space="0" w:color="auto"/>
                <w:left w:val="none" w:sz="0" w:space="0" w:color="auto"/>
                <w:bottom w:val="none" w:sz="0" w:space="0" w:color="auto"/>
                <w:right w:val="none" w:sz="0" w:space="0" w:color="auto"/>
              </w:divBdr>
              <w:divsChild>
                <w:div w:id="214">
                  <w:marLeft w:val="0"/>
                  <w:marRight w:val="0"/>
                  <w:marTop w:val="0"/>
                  <w:marBottom w:val="0"/>
                  <w:divBdr>
                    <w:top w:val="none" w:sz="0" w:space="0" w:color="auto"/>
                    <w:left w:val="none" w:sz="0" w:space="0" w:color="auto"/>
                    <w:bottom w:val="none" w:sz="0" w:space="0" w:color="auto"/>
                    <w:right w:val="none" w:sz="0" w:space="0" w:color="auto"/>
                  </w:divBdr>
                  <w:divsChild>
                    <w:div w:id="52">
                      <w:marLeft w:val="0"/>
                      <w:marRight w:val="0"/>
                      <w:marTop w:val="0"/>
                      <w:marBottom w:val="0"/>
                      <w:divBdr>
                        <w:top w:val="none" w:sz="0" w:space="0" w:color="auto"/>
                        <w:left w:val="none" w:sz="0" w:space="0" w:color="auto"/>
                        <w:bottom w:val="none" w:sz="0" w:space="0" w:color="auto"/>
                        <w:right w:val="none" w:sz="0" w:space="0" w:color="auto"/>
                      </w:divBdr>
                      <w:divsChild>
                        <w:div w:id="150">
                          <w:marLeft w:val="0"/>
                          <w:marRight w:val="0"/>
                          <w:marTop w:val="0"/>
                          <w:marBottom w:val="0"/>
                          <w:divBdr>
                            <w:top w:val="none" w:sz="0" w:space="0" w:color="auto"/>
                            <w:left w:val="none" w:sz="0" w:space="0" w:color="auto"/>
                            <w:bottom w:val="none" w:sz="0" w:space="0" w:color="auto"/>
                            <w:right w:val="none" w:sz="0" w:space="0" w:color="auto"/>
                          </w:divBdr>
                          <w:divsChild>
                            <w:div w:id="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sChild>
        <w:div w:id="170">
          <w:marLeft w:val="0"/>
          <w:marRight w:val="0"/>
          <w:marTop w:val="0"/>
          <w:marBottom w:val="0"/>
          <w:divBdr>
            <w:top w:val="none" w:sz="0" w:space="0" w:color="auto"/>
            <w:left w:val="none" w:sz="0" w:space="0" w:color="auto"/>
            <w:bottom w:val="none" w:sz="0" w:space="0" w:color="auto"/>
            <w:right w:val="none" w:sz="0" w:space="0" w:color="auto"/>
          </w:divBdr>
          <w:divsChild>
            <w:div w:id="69">
              <w:marLeft w:val="0"/>
              <w:marRight w:val="0"/>
              <w:marTop w:val="0"/>
              <w:marBottom w:val="0"/>
              <w:divBdr>
                <w:top w:val="none" w:sz="0" w:space="0" w:color="auto"/>
                <w:left w:val="none" w:sz="0" w:space="0" w:color="auto"/>
                <w:bottom w:val="none" w:sz="0" w:space="0" w:color="auto"/>
                <w:right w:val="none" w:sz="0" w:space="0" w:color="auto"/>
              </w:divBdr>
              <w:divsChild>
                <w:div w:id="159">
                  <w:marLeft w:val="0"/>
                  <w:marRight w:val="0"/>
                  <w:marTop w:val="0"/>
                  <w:marBottom w:val="0"/>
                  <w:divBdr>
                    <w:top w:val="none" w:sz="0" w:space="0" w:color="auto"/>
                    <w:left w:val="none" w:sz="0" w:space="0" w:color="auto"/>
                    <w:bottom w:val="none" w:sz="0" w:space="0" w:color="auto"/>
                    <w:right w:val="none" w:sz="0" w:space="0" w:color="auto"/>
                  </w:divBdr>
                  <w:divsChild>
                    <w:div w:id="134">
                      <w:marLeft w:val="0"/>
                      <w:marRight w:val="0"/>
                      <w:marTop w:val="0"/>
                      <w:marBottom w:val="0"/>
                      <w:divBdr>
                        <w:top w:val="none" w:sz="0" w:space="0" w:color="auto"/>
                        <w:left w:val="none" w:sz="0" w:space="0" w:color="auto"/>
                        <w:bottom w:val="none" w:sz="0" w:space="0" w:color="auto"/>
                        <w:right w:val="none" w:sz="0" w:space="0" w:color="auto"/>
                      </w:divBdr>
                      <w:divsChild>
                        <w:div w:id="113">
                          <w:marLeft w:val="0"/>
                          <w:marRight w:val="0"/>
                          <w:marTop w:val="0"/>
                          <w:marBottom w:val="0"/>
                          <w:divBdr>
                            <w:top w:val="none" w:sz="0" w:space="0" w:color="auto"/>
                            <w:left w:val="none" w:sz="0" w:space="0" w:color="auto"/>
                            <w:bottom w:val="none" w:sz="0" w:space="0" w:color="auto"/>
                            <w:right w:val="none" w:sz="0" w:space="0" w:color="auto"/>
                          </w:divBdr>
                          <w:divsChild>
                            <w:div w:id="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71">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
    <w:div w:id="73">
      <w:marLeft w:val="0"/>
      <w:marRight w:val="0"/>
      <w:marTop w:val="0"/>
      <w:marBottom w:val="0"/>
      <w:divBdr>
        <w:top w:val="none" w:sz="0" w:space="0" w:color="auto"/>
        <w:left w:val="none" w:sz="0" w:space="0" w:color="auto"/>
        <w:bottom w:val="none" w:sz="0" w:space="0" w:color="auto"/>
        <w:right w:val="none" w:sz="0" w:space="0" w:color="auto"/>
      </w:divBdr>
    </w:div>
    <w:div w:id="74">
      <w:marLeft w:val="0"/>
      <w:marRight w:val="0"/>
      <w:marTop w:val="0"/>
      <w:marBottom w:val="0"/>
      <w:divBdr>
        <w:top w:val="none" w:sz="0" w:space="0" w:color="auto"/>
        <w:left w:val="none" w:sz="0" w:space="0" w:color="auto"/>
        <w:bottom w:val="none" w:sz="0" w:space="0" w:color="auto"/>
        <w:right w:val="none" w:sz="0" w:space="0" w:color="auto"/>
      </w:divBdr>
    </w:div>
    <w:div w:id="76">
      <w:marLeft w:val="0"/>
      <w:marRight w:val="0"/>
      <w:marTop w:val="0"/>
      <w:marBottom w:val="0"/>
      <w:divBdr>
        <w:top w:val="none" w:sz="0" w:space="0" w:color="auto"/>
        <w:left w:val="none" w:sz="0" w:space="0" w:color="auto"/>
        <w:bottom w:val="none" w:sz="0" w:space="0" w:color="auto"/>
        <w:right w:val="none" w:sz="0" w:space="0" w:color="auto"/>
      </w:divBdr>
    </w:div>
    <w:div w:id="77">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79">
      <w:marLeft w:val="0"/>
      <w:marRight w:val="0"/>
      <w:marTop w:val="0"/>
      <w:marBottom w:val="0"/>
      <w:divBdr>
        <w:top w:val="none" w:sz="0" w:space="0" w:color="auto"/>
        <w:left w:val="none" w:sz="0" w:space="0" w:color="auto"/>
        <w:bottom w:val="none" w:sz="0" w:space="0" w:color="auto"/>
        <w:right w:val="none" w:sz="0" w:space="0" w:color="auto"/>
      </w:divBdr>
    </w:div>
    <w:div w:id="80">
      <w:marLeft w:val="0"/>
      <w:marRight w:val="0"/>
      <w:marTop w:val="0"/>
      <w:marBottom w:val="0"/>
      <w:divBdr>
        <w:top w:val="none" w:sz="0" w:space="0" w:color="auto"/>
        <w:left w:val="none" w:sz="0" w:space="0" w:color="auto"/>
        <w:bottom w:val="none" w:sz="0" w:space="0" w:color="auto"/>
        <w:right w:val="none" w:sz="0" w:space="0" w:color="auto"/>
      </w:divBdr>
    </w:div>
    <w:div w:id="81">
      <w:marLeft w:val="0"/>
      <w:marRight w:val="0"/>
      <w:marTop w:val="0"/>
      <w:marBottom w:val="0"/>
      <w:divBdr>
        <w:top w:val="none" w:sz="0" w:space="0" w:color="auto"/>
        <w:left w:val="none" w:sz="0" w:space="0" w:color="auto"/>
        <w:bottom w:val="none" w:sz="0" w:space="0" w:color="auto"/>
        <w:right w:val="none" w:sz="0" w:space="0" w:color="auto"/>
      </w:divBdr>
    </w:div>
    <w:div w:id="83">
      <w:marLeft w:val="0"/>
      <w:marRight w:val="0"/>
      <w:marTop w:val="0"/>
      <w:marBottom w:val="0"/>
      <w:divBdr>
        <w:top w:val="none" w:sz="0" w:space="0" w:color="auto"/>
        <w:left w:val="none" w:sz="0" w:space="0" w:color="auto"/>
        <w:bottom w:val="none" w:sz="0" w:space="0" w:color="auto"/>
        <w:right w:val="none" w:sz="0" w:space="0" w:color="auto"/>
      </w:divBdr>
    </w:div>
    <w:div w:id="84">
      <w:marLeft w:val="0"/>
      <w:marRight w:val="0"/>
      <w:marTop w:val="0"/>
      <w:marBottom w:val="0"/>
      <w:divBdr>
        <w:top w:val="none" w:sz="0" w:space="0" w:color="auto"/>
        <w:left w:val="none" w:sz="0" w:space="0" w:color="auto"/>
        <w:bottom w:val="none" w:sz="0" w:space="0" w:color="auto"/>
        <w:right w:val="none" w:sz="0" w:space="0" w:color="auto"/>
      </w:divBdr>
    </w:div>
    <w:div w:id="85">
      <w:marLeft w:val="0"/>
      <w:marRight w:val="0"/>
      <w:marTop w:val="0"/>
      <w:marBottom w:val="0"/>
      <w:divBdr>
        <w:top w:val="none" w:sz="0" w:space="0" w:color="auto"/>
        <w:left w:val="none" w:sz="0" w:space="0" w:color="auto"/>
        <w:bottom w:val="none" w:sz="0" w:space="0" w:color="auto"/>
        <w:right w:val="none" w:sz="0" w:space="0" w:color="auto"/>
      </w:divBdr>
      <w:divsChild>
        <w:div w:id="110">
          <w:marLeft w:val="0"/>
          <w:marRight w:val="0"/>
          <w:marTop w:val="0"/>
          <w:marBottom w:val="0"/>
          <w:divBdr>
            <w:top w:val="none" w:sz="0" w:space="0" w:color="auto"/>
            <w:left w:val="none" w:sz="0" w:space="0" w:color="auto"/>
            <w:bottom w:val="none" w:sz="0" w:space="0" w:color="auto"/>
            <w:right w:val="none" w:sz="0" w:space="0" w:color="auto"/>
          </w:divBdr>
          <w:divsChild>
            <w:div w:id="26">
              <w:marLeft w:val="0"/>
              <w:marRight w:val="0"/>
              <w:marTop w:val="0"/>
              <w:marBottom w:val="0"/>
              <w:divBdr>
                <w:top w:val="none" w:sz="0" w:space="0" w:color="auto"/>
                <w:left w:val="none" w:sz="0" w:space="0" w:color="auto"/>
                <w:bottom w:val="none" w:sz="0" w:space="0" w:color="auto"/>
                <w:right w:val="none" w:sz="0" w:space="0" w:color="auto"/>
              </w:divBdr>
              <w:divsChild>
                <w:div w:id="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
      <w:marLeft w:val="0"/>
      <w:marRight w:val="0"/>
      <w:marTop w:val="0"/>
      <w:marBottom w:val="0"/>
      <w:divBdr>
        <w:top w:val="none" w:sz="0" w:space="0" w:color="auto"/>
        <w:left w:val="none" w:sz="0" w:space="0" w:color="auto"/>
        <w:bottom w:val="none" w:sz="0" w:space="0" w:color="auto"/>
        <w:right w:val="none" w:sz="0" w:space="0" w:color="auto"/>
      </w:divBdr>
    </w:div>
    <w:div w:id="87">
      <w:marLeft w:val="0"/>
      <w:marRight w:val="0"/>
      <w:marTop w:val="0"/>
      <w:marBottom w:val="0"/>
      <w:divBdr>
        <w:top w:val="none" w:sz="0" w:space="0" w:color="auto"/>
        <w:left w:val="none" w:sz="0" w:space="0" w:color="auto"/>
        <w:bottom w:val="none" w:sz="0" w:space="0" w:color="auto"/>
        <w:right w:val="none" w:sz="0" w:space="0" w:color="auto"/>
      </w:divBdr>
    </w:div>
    <w:div w:id="88">
      <w:marLeft w:val="0"/>
      <w:marRight w:val="0"/>
      <w:marTop w:val="0"/>
      <w:marBottom w:val="0"/>
      <w:divBdr>
        <w:top w:val="none" w:sz="0" w:space="0" w:color="auto"/>
        <w:left w:val="none" w:sz="0" w:space="0" w:color="auto"/>
        <w:bottom w:val="none" w:sz="0" w:space="0" w:color="auto"/>
        <w:right w:val="none" w:sz="0" w:space="0" w:color="auto"/>
      </w:divBdr>
    </w:div>
    <w:div w:id="89">
      <w:marLeft w:val="0"/>
      <w:marRight w:val="0"/>
      <w:marTop w:val="0"/>
      <w:marBottom w:val="0"/>
      <w:divBdr>
        <w:top w:val="none" w:sz="0" w:space="0" w:color="auto"/>
        <w:left w:val="none" w:sz="0" w:space="0" w:color="auto"/>
        <w:bottom w:val="none" w:sz="0" w:space="0" w:color="auto"/>
        <w:right w:val="none" w:sz="0" w:space="0" w:color="auto"/>
      </w:divBdr>
    </w:div>
    <w:div w:id="90">
      <w:marLeft w:val="0"/>
      <w:marRight w:val="0"/>
      <w:marTop w:val="0"/>
      <w:marBottom w:val="0"/>
      <w:divBdr>
        <w:top w:val="none" w:sz="0" w:space="0" w:color="auto"/>
        <w:left w:val="none" w:sz="0" w:space="0" w:color="auto"/>
        <w:bottom w:val="none" w:sz="0" w:space="0" w:color="auto"/>
        <w:right w:val="none" w:sz="0" w:space="0" w:color="auto"/>
      </w:divBdr>
    </w:div>
    <w:div w:id="91">
      <w:marLeft w:val="0"/>
      <w:marRight w:val="0"/>
      <w:marTop w:val="0"/>
      <w:marBottom w:val="0"/>
      <w:divBdr>
        <w:top w:val="none" w:sz="0" w:space="0" w:color="auto"/>
        <w:left w:val="none" w:sz="0" w:space="0" w:color="auto"/>
        <w:bottom w:val="none" w:sz="0" w:space="0" w:color="auto"/>
        <w:right w:val="none" w:sz="0" w:space="0" w:color="auto"/>
      </w:divBdr>
    </w:div>
    <w:div w:id="92">
      <w:marLeft w:val="0"/>
      <w:marRight w:val="0"/>
      <w:marTop w:val="0"/>
      <w:marBottom w:val="0"/>
      <w:divBdr>
        <w:top w:val="none" w:sz="0" w:space="0" w:color="auto"/>
        <w:left w:val="none" w:sz="0" w:space="0" w:color="auto"/>
        <w:bottom w:val="none" w:sz="0" w:space="0" w:color="auto"/>
        <w:right w:val="none" w:sz="0" w:space="0" w:color="auto"/>
      </w:divBdr>
    </w:div>
    <w:div w:id="93">
      <w:marLeft w:val="0"/>
      <w:marRight w:val="0"/>
      <w:marTop w:val="0"/>
      <w:marBottom w:val="0"/>
      <w:divBdr>
        <w:top w:val="none" w:sz="0" w:space="0" w:color="auto"/>
        <w:left w:val="none" w:sz="0" w:space="0" w:color="auto"/>
        <w:bottom w:val="none" w:sz="0" w:space="0" w:color="auto"/>
        <w:right w:val="none" w:sz="0" w:space="0" w:color="auto"/>
      </w:divBdr>
    </w:div>
    <w:div w:id="94">
      <w:marLeft w:val="0"/>
      <w:marRight w:val="0"/>
      <w:marTop w:val="0"/>
      <w:marBottom w:val="0"/>
      <w:divBdr>
        <w:top w:val="none" w:sz="0" w:space="0" w:color="auto"/>
        <w:left w:val="none" w:sz="0" w:space="0" w:color="auto"/>
        <w:bottom w:val="none" w:sz="0" w:space="0" w:color="auto"/>
        <w:right w:val="none" w:sz="0" w:space="0" w:color="auto"/>
      </w:divBdr>
      <w:divsChild>
        <w:div w:id="45">
          <w:marLeft w:val="0"/>
          <w:marRight w:val="0"/>
          <w:marTop w:val="0"/>
          <w:marBottom w:val="0"/>
          <w:divBdr>
            <w:top w:val="none" w:sz="0" w:space="0" w:color="auto"/>
            <w:left w:val="none" w:sz="0" w:space="0" w:color="auto"/>
            <w:bottom w:val="none" w:sz="0" w:space="0" w:color="auto"/>
            <w:right w:val="none" w:sz="0" w:space="0" w:color="auto"/>
          </w:divBdr>
          <w:divsChild>
            <w:div w:id="9">
              <w:marLeft w:val="0"/>
              <w:marRight w:val="0"/>
              <w:marTop w:val="0"/>
              <w:marBottom w:val="0"/>
              <w:divBdr>
                <w:top w:val="none" w:sz="0" w:space="0" w:color="auto"/>
                <w:left w:val="none" w:sz="0" w:space="0" w:color="auto"/>
                <w:bottom w:val="none" w:sz="0" w:space="0" w:color="auto"/>
                <w:right w:val="none" w:sz="0" w:space="0" w:color="auto"/>
              </w:divBdr>
              <w:divsChild>
                <w:div w:id="125">
                  <w:marLeft w:val="0"/>
                  <w:marRight w:val="0"/>
                  <w:marTop w:val="0"/>
                  <w:marBottom w:val="0"/>
                  <w:divBdr>
                    <w:top w:val="none" w:sz="0" w:space="0" w:color="auto"/>
                    <w:left w:val="none" w:sz="0" w:space="0" w:color="auto"/>
                    <w:bottom w:val="none" w:sz="0" w:space="0" w:color="auto"/>
                    <w:right w:val="none" w:sz="0" w:space="0" w:color="auto"/>
                  </w:divBdr>
                  <w:divsChild>
                    <w:div w:id="40">
                      <w:marLeft w:val="0"/>
                      <w:marRight w:val="0"/>
                      <w:marTop w:val="0"/>
                      <w:marBottom w:val="0"/>
                      <w:divBdr>
                        <w:top w:val="none" w:sz="0" w:space="0" w:color="auto"/>
                        <w:left w:val="none" w:sz="0" w:space="0" w:color="auto"/>
                        <w:bottom w:val="none" w:sz="0" w:space="0" w:color="auto"/>
                        <w:right w:val="none" w:sz="0" w:space="0" w:color="auto"/>
                      </w:divBdr>
                      <w:divsChild>
                        <w:div w:id="165">
                          <w:marLeft w:val="0"/>
                          <w:marRight w:val="0"/>
                          <w:marTop w:val="0"/>
                          <w:marBottom w:val="0"/>
                          <w:divBdr>
                            <w:top w:val="none" w:sz="0" w:space="0" w:color="auto"/>
                            <w:left w:val="none" w:sz="0" w:space="0" w:color="auto"/>
                            <w:bottom w:val="none" w:sz="0" w:space="0" w:color="auto"/>
                            <w:right w:val="none" w:sz="0" w:space="0" w:color="auto"/>
                          </w:divBdr>
                          <w:divsChild>
                            <w:div w:id="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
      <w:marLeft w:val="0"/>
      <w:marRight w:val="0"/>
      <w:marTop w:val="0"/>
      <w:marBottom w:val="0"/>
      <w:divBdr>
        <w:top w:val="none" w:sz="0" w:space="0" w:color="auto"/>
        <w:left w:val="none" w:sz="0" w:space="0" w:color="auto"/>
        <w:bottom w:val="none" w:sz="0" w:space="0" w:color="auto"/>
        <w:right w:val="none" w:sz="0" w:space="0" w:color="auto"/>
      </w:divBdr>
    </w:div>
    <w:div w:id="96">
      <w:marLeft w:val="0"/>
      <w:marRight w:val="0"/>
      <w:marTop w:val="0"/>
      <w:marBottom w:val="0"/>
      <w:divBdr>
        <w:top w:val="none" w:sz="0" w:space="0" w:color="auto"/>
        <w:left w:val="none" w:sz="0" w:space="0" w:color="auto"/>
        <w:bottom w:val="none" w:sz="0" w:space="0" w:color="auto"/>
        <w:right w:val="none" w:sz="0" w:space="0" w:color="auto"/>
      </w:divBdr>
    </w:div>
    <w:div w:id="97">
      <w:marLeft w:val="0"/>
      <w:marRight w:val="0"/>
      <w:marTop w:val="0"/>
      <w:marBottom w:val="0"/>
      <w:divBdr>
        <w:top w:val="none" w:sz="0" w:space="0" w:color="auto"/>
        <w:left w:val="none" w:sz="0" w:space="0" w:color="auto"/>
        <w:bottom w:val="none" w:sz="0" w:space="0" w:color="auto"/>
        <w:right w:val="none" w:sz="0" w:space="0" w:color="auto"/>
      </w:divBdr>
    </w:div>
    <w:div w:id="98">
      <w:marLeft w:val="0"/>
      <w:marRight w:val="0"/>
      <w:marTop w:val="0"/>
      <w:marBottom w:val="0"/>
      <w:divBdr>
        <w:top w:val="none" w:sz="0" w:space="0" w:color="auto"/>
        <w:left w:val="none" w:sz="0" w:space="0" w:color="auto"/>
        <w:bottom w:val="none" w:sz="0" w:space="0" w:color="auto"/>
        <w:right w:val="none" w:sz="0" w:space="0" w:color="auto"/>
      </w:divBdr>
    </w:div>
    <w:div w:id="99">
      <w:marLeft w:val="0"/>
      <w:marRight w:val="0"/>
      <w:marTop w:val="0"/>
      <w:marBottom w:val="0"/>
      <w:divBdr>
        <w:top w:val="none" w:sz="0" w:space="0" w:color="auto"/>
        <w:left w:val="none" w:sz="0" w:space="0" w:color="auto"/>
        <w:bottom w:val="none" w:sz="0" w:space="0" w:color="auto"/>
        <w:right w:val="none" w:sz="0" w:space="0" w:color="auto"/>
      </w:divBdr>
    </w:div>
    <w:div w:id="101">
      <w:marLeft w:val="0"/>
      <w:marRight w:val="0"/>
      <w:marTop w:val="0"/>
      <w:marBottom w:val="0"/>
      <w:divBdr>
        <w:top w:val="none" w:sz="0" w:space="0" w:color="auto"/>
        <w:left w:val="none" w:sz="0" w:space="0" w:color="auto"/>
        <w:bottom w:val="none" w:sz="0" w:space="0" w:color="auto"/>
        <w:right w:val="none" w:sz="0" w:space="0" w:color="auto"/>
      </w:divBdr>
    </w:div>
    <w:div w:id="102">
      <w:marLeft w:val="0"/>
      <w:marRight w:val="0"/>
      <w:marTop w:val="0"/>
      <w:marBottom w:val="0"/>
      <w:divBdr>
        <w:top w:val="none" w:sz="0" w:space="0" w:color="auto"/>
        <w:left w:val="none" w:sz="0" w:space="0" w:color="auto"/>
        <w:bottom w:val="none" w:sz="0" w:space="0" w:color="auto"/>
        <w:right w:val="none" w:sz="0" w:space="0" w:color="auto"/>
      </w:divBdr>
    </w:div>
    <w:div w:id="104">
      <w:marLeft w:val="0"/>
      <w:marRight w:val="0"/>
      <w:marTop w:val="0"/>
      <w:marBottom w:val="0"/>
      <w:divBdr>
        <w:top w:val="none" w:sz="0" w:space="0" w:color="auto"/>
        <w:left w:val="none" w:sz="0" w:space="0" w:color="auto"/>
        <w:bottom w:val="none" w:sz="0" w:space="0" w:color="auto"/>
        <w:right w:val="none" w:sz="0" w:space="0" w:color="auto"/>
      </w:divBdr>
    </w:div>
    <w:div w:id="105">
      <w:marLeft w:val="0"/>
      <w:marRight w:val="0"/>
      <w:marTop w:val="0"/>
      <w:marBottom w:val="0"/>
      <w:divBdr>
        <w:top w:val="none" w:sz="0" w:space="0" w:color="auto"/>
        <w:left w:val="none" w:sz="0" w:space="0" w:color="auto"/>
        <w:bottom w:val="none" w:sz="0" w:space="0" w:color="auto"/>
        <w:right w:val="none" w:sz="0" w:space="0" w:color="auto"/>
      </w:divBdr>
      <w:divsChild>
        <w:div w:id="229">
          <w:marLeft w:val="0"/>
          <w:marRight w:val="0"/>
          <w:marTop w:val="0"/>
          <w:marBottom w:val="0"/>
          <w:divBdr>
            <w:top w:val="none" w:sz="0" w:space="0" w:color="auto"/>
            <w:left w:val="none" w:sz="0" w:space="0" w:color="auto"/>
            <w:bottom w:val="none" w:sz="0" w:space="0" w:color="auto"/>
            <w:right w:val="none" w:sz="0" w:space="0" w:color="auto"/>
          </w:divBdr>
          <w:divsChild>
            <w:div w:id="224">
              <w:marLeft w:val="0"/>
              <w:marRight w:val="0"/>
              <w:marTop w:val="0"/>
              <w:marBottom w:val="0"/>
              <w:divBdr>
                <w:top w:val="none" w:sz="0" w:space="0" w:color="auto"/>
                <w:left w:val="none" w:sz="0" w:space="0" w:color="auto"/>
                <w:bottom w:val="none" w:sz="0" w:space="0" w:color="auto"/>
                <w:right w:val="none" w:sz="0" w:space="0" w:color="auto"/>
              </w:divBdr>
              <w:divsChild>
                <w:div w:id="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
      <w:marLeft w:val="0"/>
      <w:marRight w:val="0"/>
      <w:marTop w:val="0"/>
      <w:marBottom w:val="0"/>
      <w:divBdr>
        <w:top w:val="none" w:sz="0" w:space="0" w:color="auto"/>
        <w:left w:val="none" w:sz="0" w:space="0" w:color="auto"/>
        <w:bottom w:val="none" w:sz="0" w:space="0" w:color="auto"/>
        <w:right w:val="none" w:sz="0" w:space="0" w:color="auto"/>
      </w:divBdr>
    </w:div>
    <w:div w:id="109">
      <w:marLeft w:val="0"/>
      <w:marRight w:val="0"/>
      <w:marTop w:val="0"/>
      <w:marBottom w:val="0"/>
      <w:divBdr>
        <w:top w:val="none" w:sz="0" w:space="0" w:color="auto"/>
        <w:left w:val="none" w:sz="0" w:space="0" w:color="auto"/>
        <w:bottom w:val="none" w:sz="0" w:space="0" w:color="auto"/>
        <w:right w:val="none" w:sz="0" w:space="0" w:color="auto"/>
      </w:divBdr>
    </w:div>
    <w:div w:id="111">
      <w:marLeft w:val="0"/>
      <w:marRight w:val="0"/>
      <w:marTop w:val="0"/>
      <w:marBottom w:val="0"/>
      <w:divBdr>
        <w:top w:val="none" w:sz="0" w:space="0" w:color="auto"/>
        <w:left w:val="none" w:sz="0" w:space="0" w:color="auto"/>
        <w:bottom w:val="none" w:sz="0" w:space="0" w:color="auto"/>
        <w:right w:val="none" w:sz="0" w:space="0" w:color="auto"/>
      </w:divBdr>
      <w:divsChild>
        <w:div w:id="6">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75">
          <w:marLeft w:val="0"/>
          <w:marRight w:val="0"/>
          <w:marTop w:val="0"/>
          <w:marBottom w:val="0"/>
          <w:divBdr>
            <w:top w:val="none" w:sz="0" w:space="0" w:color="auto"/>
            <w:left w:val="none" w:sz="0" w:space="0" w:color="auto"/>
            <w:bottom w:val="none" w:sz="0" w:space="0" w:color="auto"/>
            <w:right w:val="none" w:sz="0" w:space="0" w:color="auto"/>
          </w:divBdr>
        </w:div>
        <w:div w:id="82">
          <w:marLeft w:val="0"/>
          <w:marRight w:val="0"/>
          <w:marTop w:val="0"/>
          <w:marBottom w:val="0"/>
          <w:divBdr>
            <w:top w:val="none" w:sz="0" w:space="0" w:color="auto"/>
            <w:left w:val="none" w:sz="0" w:space="0" w:color="auto"/>
            <w:bottom w:val="none" w:sz="0" w:space="0" w:color="auto"/>
            <w:right w:val="none" w:sz="0" w:space="0" w:color="auto"/>
          </w:divBdr>
        </w:div>
        <w:div w:id="142">
          <w:marLeft w:val="0"/>
          <w:marRight w:val="0"/>
          <w:marTop w:val="0"/>
          <w:marBottom w:val="0"/>
          <w:divBdr>
            <w:top w:val="none" w:sz="0" w:space="0" w:color="auto"/>
            <w:left w:val="none" w:sz="0" w:space="0" w:color="auto"/>
            <w:bottom w:val="none" w:sz="0" w:space="0" w:color="auto"/>
            <w:right w:val="none" w:sz="0" w:space="0" w:color="auto"/>
          </w:divBdr>
        </w:div>
        <w:div w:id="177">
          <w:marLeft w:val="0"/>
          <w:marRight w:val="0"/>
          <w:marTop w:val="0"/>
          <w:marBottom w:val="0"/>
          <w:divBdr>
            <w:top w:val="none" w:sz="0" w:space="0" w:color="auto"/>
            <w:left w:val="none" w:sz="0" w:space="0" w:color="auto"/>
            <w:bottom w:val="none" w:sz="0" w:space="0" w:color="auto"/>
            <w:right w:val="none" w:sz="0" w:space="0" w:color="auto"/>
          </w:divBdr>
        </w:div>
        <w:div w:id="252">
          <w:marLeft w:val="0"/>
          <w:marRight w:val="0"/>
          <w:marTop w:val="0"/>
          <w:marBottom w:val="0"/>
          <w:divBdr>
            <w:top w:val="none" w:sz="0" w:space="0" w:color="auto"/>
            <w:left w:val="none" w:sz="0" w:space="0" w:color="auto"/>
            <w:bottom w:val="none" w:sz="0" w:space="0" w:color="auto"/>
            <w:right w:val="none" w:sz="0" w:space="0" w:color="auto"/>
          </w:divBdr>
          <w:divsChild>
            <w:div w:id="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
      <w:marLeft w:val="0"/>
      <w:marRight w:val="0"/>
      <w:marTop w:val="0"/>
      <w:marBottom w:val="0"/>
      <w:divBdr>
        <w:top w:val="none" w:sz="0" w:space="0" w:color="auto"/>
        <w:left w:val="none" w:sz="0" w:space="0" w:color="auto"/>
        <w:bottom w:val="none" w:sz="0" w:space="0" w:color="auto"/>
        <w:right w:val="none" w:sz="0" w:space="0" w:color="auto"/>
      </w:divBdr>
    </w:div>
    <w:div w:id="115">
      <w:marLeft w:val="0"/>
      <w:marRight w:val="0"/>
      <w:marTop w:val="0"/>
      <w:marBottom w:val="0"/>
      <w:divBdr>
        <w:top w:val="none" w:sz="0" w:space="0" w:color="auto"/>
        <w:left w:val="none" w:sz="0" w:space="0" w:color="auto"/>
        <w:bottom w:val="none" w:sz="0" w:space="0" w:color="auto"/>
        <w:right w:val="none" w:sz="0" w:space="0" w:color="auto"/>
      </w:divBdr>
    </w:div>
    <w:div w:id="116">
      <w:marLeft w:val="0"/>
      <w:marRight w:val="0"/>
      <w:marTop w:val="0"/>
      <w:marBottom w:val="0"/>
      <w:divBdr>
        <w:top w:val="none" w:sz="0" w:space="0" w:color="auto"/>
        <w:left w:val="none" w:sz="0" w:space="0" w:color="auto"/>
        <w:bottom w:val="none" w:sz="0" w:space="0" w:color="auto"/>
        <w:right w:val="none" w:sz="0" w:space="0" w:color="auto"/>
      </w:divBdr>
    </w:div>
    <w:div w:id="117">
      <w:marLeft w:val="0"/>
      <w:marRight w:val="0"/>
      <w:marTop w:val="0"/>
      <w:marBottom w:val="0"/>
      <w:divBdr>
        <w:top w:val="none" w:sz="0" w:space="0" w:color="auto"/>
        <w:left w:val="none" w:sz="0" w:space="0" w:color="auto"/>
        <w:bottom w:val="none" w:sz="0" w:space="0" w:color="auto"/>
        <w:right w:val="none" w:sz="0" w:space="0" w:color="auto"/>
      </w:divBdr>
    </w:div>
    <w:div w:id="118">
      <w:marLeft w:val="0"/>
      <w:marRight w:val="0"/>
      <w:marTop w:val="0"/>
      <w:marBottom w:val="0"/>
      <w:divBdr>
        <w:top w:val="none" w:sz="0" w:space="0" w:color="auto"/>
        <w:left w:val="none" w:sz="0" w:space="0" w:color="auto"/>
        <w:bottom w:val="none" w:sz="0" w:space="0" w:color="auto"/>
        <w:right w:val="none" w:sz="0" w:space="0" w:color="auto"/>
      </w:divBdr>
    </w:div>
    <w:div w:id="120">
      <w:marLeft w:val="0"/>
      <w:marRight w:val="0"/>
      <w:marTop w:val="0"/>
      <w:marBottom w:val="0"/>
      <w:divBdr>
        <w:top w:val="none" w:sz="0" w:space="0" w:color="auto"/>
        <w:left w:val="none" w:sz="0" w:space="0" w:color="auto"/>
        <w:bottom w:val="none" w:sz="0" w:space="0" w:color="auto"/>
        <w:right w:val="none" w:sz="0" w:space="0" w:color="auto"/>
      </w:divBdr>
    </w:div>
    <w:div w:id="122">
      <w:marLeft w:val="0"/>
      <w:marRight w:val="0"/>
      <w:marTop w:val="0"/>
      <w:marBottom w:val="0"/>
      <w:divBdr>
        <w:top w:val="none" w:sz="0" w:space="0" w:color="auto"/>
        <w:left w:val="none" w:sz="0" w:space="0" w:color="auto"/>
        <w:bottom w:val="none" w:sz="0" w:space="0" w:color="auto"/>
        <w:right w:val="none" w:sz="0" w:space="0" w:color="auto"/>
      </w:divBdr>
      <w:divsChild>
        <w:div w:id="183">
          <w:marLeft w:val="0"/>
          <w:marRight w:val="0"/>
          <w:marTop w:val="0"/>
          <w:marBottom w:val="0"/>
          <w:divBdr>
            <w:top w:val="none" w:sz="0" w:space="0" w:color="auto"/>
            <w:left w:val="none" w:sz="0" w:space="0" w:color="auto"/>
            <w:bottom w:val="none" w:sz="0" w:space="0" w:color="auto"/>
            <w:right w:val="none" w:sz="0" w:space="0" w:color="auto"/>
          </w:divBdr>
          <w:divsChild>
            <w:div w:id="185">
              <w:marLeft w:val="0"/>
              <w:marRight w:val="0"/>
              <w:marTop w:val="0"/>
              <w:marBottom w:val="0"/>
              <w:divBdr>
                <w:top w:val="none" w:sz="0" w:space="0" w:color="auto"/>
                <w:left w:val="none" w:sz="0" w:space="0" w:color="auto"/>
                <w:bottom w:val="none" w:sz="0" w:space="0" w:color="auto"/>
                <w:right w:val="none" w:sz="0" w:space="0" w:color="auto"/>
              </w:divBdr>
              <w:divsChild>
                <w:div w:id="35">
                  <w:marLeft w:val="0"/>
                  <w:marRight w:val="0"/>
                  <w:marTop w:val="0"/>
                  <w:marBottom w:val="0"/>
                  <w:divBdr>
                    <w:top w:val="none" w:sz="0" w:space="0" w:color="auto"/>
                    <w:left w:val="none" w:sz="0" w:space="0" w:color="auto"/>
                    <w:bottom w:val="none" w:sz="0" w:space="0" w:color="auto"/>
                    <w:right w:val="none" w:sz="0" w:space="0" w:color="auto"/>
                  </w:divBdr>
                  <w:divsChild>
                    <w:div w:id="161">
                      <w:marLeft w:val="0"/>
                      <w:marRight w:val="0"/>
                      <w:marTop w:val="0"/>
                      <w:marBottom w:val="0"/>
                      <w:divBdr>
                        <w:top w:val="none" w:sz="0" w:space="0" w:color="auto"/>
                        <w:left w:val="none" w:sz="0" w:space="0" w:color="auto"/>
                        <w:bottom w:val="none" w:sz="0" w:space="0" w:color="auto"/>
                        <w:right w:val="none" w:sz="0" w:space="0" w:color="auto"/>
                      </w:divBdr>
                      <w:divsChild>
                        <w:div w:id="190">
                          <w:marLeft w:val="0"/>
                          <w:marRight w:val="0"/>
                          <w:marTop w:val="0"/>
                          <w:marBottom w:val="0"/>
                          <w:divBdr>
                            <w:top w:val="none" w:sz="0" w:space="0" w:color="auto"/>
                            <w:left w:val="none" w:sz="0" w:space="0" w:color="auto"/>
                            <w:bottom w:val="none" w:sz="0" w:space="0" w:color="auto"/>
                            <w:right w:val="none" w:sz="0" w:space="0" w:color="auto"/>
                          </w:divBdr>
                          <w:divsChild>
                            <w:div w:id="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
      <w:marLeft w:val="0"/>
      <w:marRight w:val="0"/>
      <w:marTop w:val="0"/>
      <w:marBottom w:val="0"/>
      <w:divBdr>
        <w:top w:val="none" w:sz="0" w:space="0" w:color="auto"/>
        <w:left w:val="none" w:sz="0" w:space="0" w:color="auto"/>
        <w:bottom w:val="none" w:sz="0" w:space="0" w:color="auto"/>
        <w:right w:val="none" w:sz="0" w:space="0" w:color="auto"/>
      </w:divBdr>
    </w:div>
    <w:div w:id="124">
      <w:marLeft w:val="0"/>
      <w:marRight w:val="0"/>
      <w:marTop w:val="0"/>
      <w:marBottom w:val="0"/>
      <w:divBdr>
        <w:top w:val="none" w:sz="0" w:space="0" w:color="auto"/>
        <w:left w:val="none" w:sz="0" w:space="0" w:color="auto"/>
        <w:bottom w:val="none" w:sz="0" w:space="0" w:color="auto"/>
        <w:right w:val="none" w:sz="0" w:space="0" w:color="auto"/>
      </w:divBdr>
    </w:div>
    <w:div w:id="126">
      <w:marLeft w:val="0"/>
      <w:marRight w:val="0"/>
      <w:marTop w:val="0"/>
      <w:marBottom w:val="0"/>
      <w:divBdr>
        <w:top w:val="none" w:sz="0" w:space="0" w:color="auto"/>
        <w:left w:val="none" w:sz="0" w:space="0" w:color="auto"/>
        <w:bottom w:val="none" w:sz="0" w:space="0" w:color="auto"/>
        <w:right w:val="none" w:sz="0" w:space="0" w:color="auto"/>
      </w:divBdr>
    </w:div>
    <w:div w:id="127">
      <w:marLeft w:val="0"/>
      <w:marRight w:val="0"/>
      <w:marTop w:val="0"/>
      <w:marBottom w:val="0"/>
      <w:divBdr>
        <w:top w:val="none" w:sz="0" w:space="0" w:color="auto"/>
        <w:left w:val="none" w:sz="0" w:space="0" w:color="auto"/>
        <w:bottom w:val="none" w:sz="0" w:space="0" w:color="auto"/>
        <w:right w:val="none" w:sz="0" w:space="0" w:color="auto"/>
      </w:divBdr>
    </w:div>
    <w:div w:id="128">
      <w:marLeft w:val="0"/>
      <w:marRight w:val="0"/>
      <w:marTop w:val="0"/>
      <w:marBottom w:val="0"/>
      <w:divBdr>
        <w:top w:val="none" w:sz="0" w:space="0" w:color="auto"/>
        <w:left w:val="none" w:sz="0" w:space="0" w:color="auto"/>
        <w:bottom w:val="none" w:sz="0" w:space="0" w:color="auto"/>
        <w:right w:val="none" w:sz="0" w:space="0" w:color="auto"/>
      </w:divBdr>
    </w:div>
    <w:div w:id="130">
      <w:marLeft w:val="0"/>
      <w:marRight w:val="0"/>
      <w:marTop w:val="0"/>
      <w:marBottom w:val="0"/>
      <w:divBdr>
        <w:top w:val="none" w:sz="0" w:space="0" w:color="auto"/>
        <w:left w:val="none" w:sz="0" w:space="0" w:color="auto"/>
        <w:bottom w:val="none" w:sz="0" w:space="0" w:color="auto"/>
        <w:right w:val="none" w:sz="0" w:space="0" w:color="auto"/>
      </w:divBdr>
    </w:div>
    <w:div w:id="131">
      <w:marLeft w:val="0"/>
      <w:marRight w:val="0"/>
      <w:marTop w:val="0"/>
      <w:marBottom w:val="0"/>
      <w:divBdr>
        <w:top w:val="none" w:sz="0" w:space="0" w:color="auto"/>
        <w:left w:val="none" w:sz="0" w:space="0" w:color="auto"/>
        <w:bottom w:val="none" w:sz="0" w:space="0" w:color="auto"/>
        <w:right w:val="none" w:sz="0" w:space="0" w:color="auto"/>
      </w:divBdr>
    </w:div>
    <w:div w:id="132">
      <w:marLeft w:val="0"/>
      <w:marRight w:val="0"/>
      <w:marTop w:val="0"/>
      <w:marBottom w:val="0"/>
      <w:divBdr>
        <w:top w:val="none" w:sz="0" w:space="0" w:color="auto"/>
        <w:left w:val="none" w:sz="0" w:space="0" w:color="auto"/>
        <w:bottom w:val="none" w:sz="0" w:space="0" w:color="auto"/>
        <w:right w:val="none" w:sz="0" w:space="0" w:color="auto"/>
      </w:divBdr>
    </w:div>
    <w:div w:id="133">
      <w:marLeft w:val="0"/>
      <w:marRight w:val="0"/>
      <w:marTop w:val="0"/>
      <w:marBottom w:val="0"/>
      <w:divBdr>
        <w:top w:val="none" w:sz="0" w:space="0" w:color="auto"/>
        <w:left w:val="none" w:sz="0" w:space="0" w:color="auto"/>
        <w:bottom w:val="none" w:sz="0" w:space="0" w:color="auto"/>
        <w:right w:val="none" w:sz="0" w:space="0" w:color="auto"/>
      </w:divBdr>
    </w:div>
    <w:div w:id="135">
      <w:marLeft w:val="0"/>
      <w:marRight w:val="0"/>
      <w:marTop w:val="0"/>
      <w:marBottom w:val="0"/>
      <w:divBdr>
        <w:top w:val="none" w:sz="0" w:space="0" w:color="auto"/>
        <w:left w:val="none" w:sz="0" w:space="0" w:color="auto"/>
        <w:bottom w:val="none" w:sz="0" w:space="0" w:color="auto"/>
        <w:right w:val="none" w:sz="0" w:space="0" w:color="auto"/>
      </w:divBdr>
    </w:div>
    <w:div w:id="137">
      <w:marLeft w:val="0"/>
      <w:marRight w:val="0"/>
      <w:marTop w:val="0"/>
      <w:marBottom w:val="0"/>
      <w:divBdr>
        <w:top w:val="none" w:sz="0" w:space="0" w:color="auto"/>
        <w:left w:val="none" w:sz="0" w:space="0" w:color="auto"/>
        <w:bottom w:val="none" w:sz="0" w:space="0" w:color="auto"/>
        <w:right w:val="none" w:sz="0" w:space="0" w:color="auto"/>
      </w:divBdr>
    </w:div>
    <w:div w:id="138">
      <w:marLeft w:val="0"/>
      <w:marRight w:val="0"/>
      <w:marTop w:val="0"/>
      <w:marBottom w:val="0"/>
      <w:divBdr>
        <w:top w:val="none" w:sz="0" w:space="0" w:color="auto"/>
        <w:left w:val="none" w:sz="0" w:space="0" w:color="auto"/>
        <w:bottom w:val="none" w:sz="0" w:space="0" w:color="auto"/>
        <w:right w:val="none" w:sz="0" w:space="0" w:color="auto"/>
      </w:divBdr>
    </w:div>
    <w:div w:id="139">
      <w:marLeft w:val="0"/>
      <w:marRight w:val="0"/>
      <w:marTop w:val="0"/>
      <w:marBottom w:val="0"/>
      <w:divBdr>
        <w:top w:val="none" w:sz="0" w:space="0" w:color="auto"/>
        <w:left w:val="none" w:sz="0" w:space="0" w:color="auto"/>
        <w:bottom w:val="none" w:sz="0" w:space="0" w:color="auto"/>
        <w:right w:val="none" w:sz="0" w:space="0" w:color="auto"/>
      </w:divBdr>
    </w:div>
    <w:div w:id="141">
      <w:marLeft w:val="0"/>
      <w:marRight w:val="0"/>
      <w:marTop w:val="0"/>
      <w:marBottom w:val="0"/>
      <w:divBdr>
        <w:top w:val="none" w:sz="0" w:space="0" w:color="auto"/>
        <w:left w:val="none" w:sz="0" w:space="0" w:color="auto"/>
        <w:bottom w:val="none" w:sz="0" w:space="0" w:color="auto"/>
        <w:right w:val="none" w:sz="0" w:space="0" w:color="auto"/>
      </w:divBdr>
    </w:div>
    <w:div w:id="143">
      <w:marLeft w:val="0"/>
      <w:marRight w:val="0"/>
      <w:marTop w:val="0"/>
      <w:marBottom w:val="0"/>
      <w:divBdr>
        <w:top w:val="none" w:sz="0" w:space="0" w:color="auto"/>
        <w:left w:val="none" w:sz="0" w:space="0" w:color="auto"/>
        <w:bottom w:val="none" w:sz="0" w:space="0" w:color="auto"/>
        <w:right w:val="none" w:sz="0" w:space="0" w:color="auto"/>
      </w:divBdr>
    </w:div>
    <w:div w:id="144">
      <w:marLeft w:val="0"/>
      <w:marRight w:val="0"/>
      <w:marTop w:val="0"/>
      <w:marBottom w:val="0"/>
      <w:divBdr>
        <w:top w:val="none" w:sz="0" w:space="0" w:color="auto"/>
        <w:left w:val="none" w:sz="0" w:space="0" w:color="auto"/>
        <w:bottom w:val="none" w:sz="0" w:space="0" w:color="auto"/>
        <w:right w:val="none" w:sz="0" w:space="0" w:color="auto"/>
      </w:divBdr>
    </w:div>
    <w:div w:id="146">
      <w:marLeft w:val="0"/>
      <w:marRight w:val="0"/>
      <w:marTop w:val="0"/>
      <w:marBottom w:val="0"/>
      <w:divBdr>
        <w:top w:val="none" w:sz="0" w:space="0" w:color="auto"/>
        <w:left w:val="none" w:sz="0" w:space="0" w:color="auto"/>
        <w:bottom w:val="none" w:sz="0" w:space="0" w:color="auto"/>
        <w:right w:val="none" w:sz="0" w:space="0" w:color="auto"/>
      </w:divBdr>
    </w:div>
    <w:div w:id="147">
      <w:marLeft w:val="0"/>
      <w:marRight w:val="0"/>
      <w:marTop w:val="0"/>
      <w:marBottom w:val="0"/>
      <w:divBdr>
        <w:top w:val="none" w:sz="0" w:space="0" w:color="auto"/>
        <w:left w:val="none" w:sz="0" w:space="0" w:color="auto"/>
        <w:bottom w:val="none" w:sz="0" w:space="0" w:color="auto"/>
        <w:right w:val="none" w:sz="0" w:space="0" w:color="auto"/>
      </w:divBdr>
    </w:div>
    <w:div w:id="148">
      <w:marLeft w:val="0"/>
      <w:marRight w:val="0"/>
      <w:marTop w:val="0"/>
      <w:marBottom w:val="0"/>
      <w:divBdr>
        <w:top w:val="none" w:sz="0" w:space="0" w:color="auto"/>
        <w:left w:val="none" w:sz="0" w:space="0" w:color="auto"/>
        <w:bottom w:val="none" w:sz="0" w:space="0" w:color="auto"/>
        <w:right w:val="none" w:sz="0" w:space="0" w:color="auto"/>
      </w:divBdr>
    </w:div>
    <w:div w:id="149">
      <w:marLeft w:val="0"/>
      <w:marRight w:val="0"/>
      <w:marTop w:val="0"/>
      <w:marBottom w:val="0"/>
      <w:divBdr>
        <w:top w:val="none" w:sz="0" w:space="0" w:color="auto"/>
        <w:left w:val="none" w:sz="0" w:space="0" w:color="auto"/>
        <w:bottom w:val="none" w:sz="0" w:space="0" w:color="auto"/>
        <w:right w:val="none" w:sz="0" w:space="0" w:color="auto"/>
      </w:divBdr>
    </w:div>
    <w:div w:id="151">
      <w:marLeft w:val="0"/>
      <w:marRight w:val="0"/>
      <w:marTop w:val="0"/>
      <w:marBottom w:val="0"/>
      <w:divBdr>
        <w:top w:val="none" w:sz="0" w:space="0" w:color="auto"/>
        <w:left w:val="none" w:sz="0" w:space="0" w:color="auto"/>
        <w:bottom w:val="none" w:sz="0" w:space="0" w:color="auto"/>
        <w:right w:val="none" w:sz="0" w:space="0" w:color="auto"/>
      </w:divBdr>
      <w:divsChild>
        <w:div w:id="103">
          <w:marLeft w:val="0"/>
          <w:marRight w:val="0"/>
          <w:marTop w:val="0"/>
          <w:marBottom w:val="0"/>
          <w:divBdr>
            <w:top w:val="none" w:sz="0" w:space="0" w:color="auto"/>
            <w:left w:val="none" w:sz="0" w:space="0" w:color="auto"/>
            <w:bottom w:val="none" w:sz="0" w:space="0" w:color="auto"/>
            <w:right w:val="none" w:sz="0" w:space="0" w:color="auto"/>
          </w:divBdr>
          <w:divsChild>
            <w:div w:id="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
      <w:marLeft w:val="0"/>
      <w:marRight w:val="0"/>
      <w:marTop w:val="0"/>
      <w:marBottom w:val="0"/>
      <w:divBdr>
        <w:top w:val="none" w:sz="0" w:space="0" w:color="auto"/>
        <w:left w:val="none" w:sz="0" w:space="0" w:color="auto"/>
        <w:bottom w:val="none" w:sz="0" w:space="0" w:color="auto"/>
        <w:right w:val="none" w:sz="0" w:space="0" w:color="auto"/>
      </w:divBdr>
    </w:div>
    <w:div w:id="153">
      <w:marLeft w:val="0"/>
      <w:marRight w:val="0"/>
      <w:marTop w:val="0"/>
      <w:marBottom w:val="0"/>
      <w:divBdr>
        <w:top w:val="none" w:sz="0" w:space="0" w:color="auto"/>
        <w:left w:val="none" w:sz="0" w:space="0" w:color="auto"/>
        <w:bottom w:val="none" w:sz="0" w:space="0" w:color="auto"/>
        <w:right w:val="none" w:sz="0" w:space="0" w:color="auto"/>
      </w:divBdr>
    </w:div>
    <w:div w:id="155">
      <w:marLeft w:val="0"/>
      <w:marRight w:val="0"/>
      <w:marTop w:val="0"/>
      <w:marBottom w:val="0"/>
      <w:divBdr>
        <w:top w:val="none" w:sz="0" w:space="0" w:color="auto"/>
        <w:left w:val="none" w:sz="0" w:space="0" w:color="auto"/>
        <w:bottom w:val="none" w:sz="0" w:space="0" w:color="auto"/>
        <w:right w:val="none" w:sz="0" w:space="0" w:color="auto"/>
      </w:divBdr>
    </w:div>
    <w:div w:id="157">
      <w:marLeft w:val="0"/>
      <w:marRight w:val="0"/>
      <w:marTop w:val="0"/>
      <w:marBottom w:val="0"/>
      <w:divBdr>
        <w:top w:val="none" w:sz="0" w:space="0" w:color="auto"/>
        <w:left w:val="none" w:sz="0" w:space="0" w:color="auto"/>
        <w:bottom w:val="none" w:sz="0" w:space="0" w:color="auto"/>
        <w:right w:val="none" w:sz="0" w:space="0" w:color="auto"/>
      </w:divBdr>
    </w:div>
    <w:div w:id="158">
      <w:marLeft w:val="0"/>
      <w:marRight w:val="0"/>
      <w:marTop w:val="0"/>
      <w:marBottom w:val="0"/>
      <w:divBdr>
        <w:top w:val="none" w:sz="0" w:space="0" w:color="auto"/>
        <w:left w:val="none" w:sz="0" w:space="0" w:color="auto"/>
        <w:bottom w:val="none" w:sz="0" w:space="0" w:color="auto"/>
        <w:right w:val="none" w:sz="0" w:space="0" w:color="auto"/>
      </w:divBdr>
    </w:div>
    <w:div w:id="162">
      <w:marLeft w:val="0"/>
      <w:marRight w:val="0"/>
      <w:marTop w:val="0"/>
      <w:marBottom w:val="0"/>
      <w:divBdr>
        <w:top w:val="none" w:sz="0" w:space="0" w:color="auto"/>
        <w:left w:val="none" w:sz="0" w:space="0" w:color="auto"/>
        <w:bottom w:val="none" w:sz="0" w:space="0" w:color="auto"/>
        <w:right w:val="none" w:sz="0" w:space="0" w:color="auto"/>
      </w:divBdr>
    </w:div>
    <w:div w:id="163">
      <w:marLeft w:val="0"/>
      <w:marRight w:val="0"/>
      <w:marTop w:val="0"/>
      <w:marBottom w:val="0"/>
      <w:divBdr>
        <w:top w:val="none" w:sz="0" w:space="0" w:color="auto"/>
        <w:left w:val="none" w:sz="0" w:space="0" w:color="auto"/>
        <w:bottom w:val="none" w:sz="0" w:space="0" w:color="auto"/>
        <w:right w:val="none" w:sz="0" w:space="0" w:color="auto"/>
      </w:divBdr>
      <w:divsChild>
        <w:div w:id="181">
          <w:marLeft w:val="0"/>
          <w:marRight w:val="0"/>
          <w:marTop w:val="0"/>
          <w:marBottom w:val="0"/>
          <w:divBdr>
            <w:top w:val="none" w:sz="0" w:space="0" w:color="auto"/>
            <w:left w:val="none" w:sz="0" w:space="0" w:color="auto"/>
            <w:bottom w:val="none" w:sz="0" w:space="0" w:color="auto"/>
            <w:right w:val="none" w:sz="0" w:space="0" w:color="auto"/>
          </w:divBdr>
          <w:divsChild>
            <w:div w:id="179">
              <w:marLeft w:val="0"/>
              <w:marRight w:val="0"/>
              <w:marTop w:val="0"/>
              <w:marBottom w:val="0"/>
              <w:divBdr>
                <w:top w:val="none" w:sz="0" w:space="0" w:color="auto"/>
                <w:left w:val="none" w:sz="0" w:space="0" w:color="auto"/>
                <w:bottom w:val="none" w:sz="0" w:space="0" w:color="auto"/>
                <w:right w:val="none" w:sz="0" w:space="0" w:color="auto"/>
              </w:divBdr>
              <w:divsChild>
                <w:div w:id="57">
                  <w:marLeft w:val="0"/>
                  <w:marRight w:val="0"/>
                  <w:marTop w:val="0"/>
                  <w:marBottom w:val="0"/>
                  <w:divBdr>
                    <w:top w:val="none" w:sz="0" w:space="0" w:color="auto"/>
                    <w:left w:val="none" w:sz="0" w:space="0" w:color="auto"/>
                    <w:bottom w:val="none" w:sz="0" w:space="0" w:color="auto"/>
                    <w:right w:val="none" w:sz="0" w:space="0" w:color="auto"/>
                  </w:divBdr>
                  <w:divsChild>
                    <w:div w:id="59">
                      <w:marLeft w:val="0"/>
                      <w:marRight w:val="0"/>
                      <w:marTop w:val="0"/>
                      <w:marBottom w:val="0"/>
                      <w:divBdr>
                        <w:top w:val="none" w:sz="0" w:space="0" w:color="auto"/>
                        <w:left w:val="none" w:sz="0" w:space="0" w:color="auto"/>
                        <w:bottom w:val="none" w:sz="0" w:space="0" w:color="auto"/>
                        <w:right w:val="none" w:sz="0" w:space="0" w:color="auto"/>
                      </w:divBdr>
                      <w:divsChild>
                        <w:div w:id="106">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4">
      <w:marLeft w:val="0"/>
      <w:marRight w:val="0"/>
      <w:marTop w:val="0"/>
      <w:marBottom w:val="0"/>
      <w:divBdr>
        <w:top w:val="none" w:sz="0" w:space="0" w:color="auto"/>
        <w:left w:val="none" w:sz="0" w:space="0" w:color="auto"/>
        <w:bottom w:val="none" w:sz="0" w:space="0" w:color="auto"/>
        <w:right w:val="none" w:sz="0" w:space="0" w:color="auto"/>
      </w:divBdr>
    </w:div>
    <w:div w:id="167">
      <w:marLeft w:val="0"/>
      <w:marRight w:val="0"/>
      <w:marTop w:val="0"/>
      <w:marBottom w:val="0"/>
      <w:divBdr>
        <w:top w:val="none" w:sz="0" w:space="0" w:color="auto"/>
        <w:left w:val="none" w:sz="0" w:space="0" w:color="auto"/>
        <w:bottom w:val="none" w:sz="0" w:space="0" w:color="auto"/>
        <w:right w:val="none" w:sz="0" w:space="0" w:color="auto"/>
      </w:divBdr>
    </w:div>
    <w:div w:id="168">
      <w:marLeft w:val="0"/>
      <w:marRight w:val="0"/>
      <w:marTop w:val="0"/>
      <w:marBottom w:val="0"/>
      <w:divBdr>
        <w:top w:val="none" w:sz="0" w:space="0" w:color="auto"/>
        <w:left w:val="none" w:sz="0" w:space="0" w:color="auto"/>
        <w:bottom w:val="none" w:sz="0" w:space="0" w:color="auto"/>
        <w:right w:val="none" w:sz="0" w:space="0" w:color="auto"/>
      </w:divBdr>
    </w:div>
    <w:div w:id="169">
      <w:marLeft w:val="0"/>
      <w:marRight w:val="0"/>
      <w:marTop w:val="0"/>
      <w:marBottom w:val="0"/>
      <w:divBdr>
        <w:top w:val="none" w:sz="0" w:space="0" w:color="auto"/>
        <w:left w:val="none" w:sz="0" w:space="0" w:color="auto"/>
        <w:bottom w:val="none" w:sz="0" w:space="0" w:color="auto"/>
        <w:right w:val="none" w:sz="0" w:space="0" w:color="auto"/>
      </w:divBdr>
    </w:div>
    <w:div w:id="171">
      <w:marLeft w:val="0"/>
      <w:marRight w:val="0"/>
      <w:marTop w:val="0"/>
      <w:marBottom w:val="0"/>
      <w:divBdr>
        <w:top w:val="none" w:sz="0" w:space="0" w:color="auto"/>
        <w:left w:val="none" w:sz="0" w:space="0" w:color="auto"/>
        <w:bottom w:val="none" w:sz="0" w:space="0" w:color="auto"/>
        <w:right w:val="none" w:sz="0" w:space="0" w:color="auto"/>
      </w:divBdr>
    </w:div>
    <w:div w:id="172">
      <w:marLeft w:val="0"/>
      <w:marRight w:val="0"/>
      <w:marTop w:val="0"/>
      <w:marBottom w:val="0"/>
      <w:divBdr>
        <w:top w:val="none" w:sz="0" w:space="0" w:color="auto"/>
        <w:left w:val="none" w:sz="0" w:space="0" w:color="auto"/>
        <w:bottom w:val="none" w:sz="0" w:space="0" w:color="auto"/>
        <w:right w:val="none" w:sz="0" w:space="0" w:color="auto"/>
      </w:divBdr>
    </w:div>
    <w:div w:id="173">
      <w:marLeft w:val="0"/>
      <w:marRight w:val="0"/>
      <w:marTop w:val="0"/>
      <w:marBottom w:val="0"/>
      <w:divBdr>
        <w:top w:val="none" w:sz="0" w:space="0" w:color="auto"/>
        <w:left w:val="none" w:sz="0" w:space="0" w:color="auto"/>
        <w:bottom w:val="none" w:sz="0" w:space="0" w:color="auto"/>
        <w:right w:val="none" w:sz="0" w:space="0" w:color="auto"/>
      </w:divBdr>
    </w:div>
    <w:div w:id="174">
      <w:marLeft w:val="0"/>
      <w:marRight w:val="0"/>
      <w:marTop w:val="0"/>
      <w:marBottom w:val="0"/>
      <w:divBdr>
        <w:top w:val="none" w:sz="0" w:space="0" w:color="auto"/>
        <w:left w:val="none" w:sz="0" w:space="0" w:color="auto"/>
        <w:bottom w:val="none" w:sz="0" w:space="0" w:color="auto"/>
        <w:right w:val="none" w:sz="0" w:space="0" w:color="auto"/>
      </w:divBdr>
    </w:div>
    <w:div w:id="178">
      <w:marLeft w:val="0"/>
      <w:marRight w:val="0"/>
      <w:marTop w:val="0"/>
      <w:marBottom w:val="0"/>
      <w:divBdr>
        <w:top w:val="none" w:sz="0" w:space="0" w:color="auto"/>
        <w:left w:val="none" w:sz="0" w:space="0" w:color="auto"/>
        <w:bottom w:val="none" w:sz="0" w:space="0" w:color="auto"/>
        <w:right w:val="none" w:sz="0" w:space="0" w:color="auto"/>
      </w:divBdr>
    </w:div>
    <w:div w:id="180">
      <w:marLeft w:val="0"/>
      <w:marRight w:val="0"/>
      <w:marTop w:val="0"/>
      <w:marBottom w:val="0"/>
      <w:divBdr>
        <w:top w:val="none" w:sz="0" w:space="0" w:color="auto"/>
        <w:left w:val="none" w:sz="0" w:space="0" w:color="auto"/>
        <w:bottom w:val="none" w:sz="0" w:space="0" w:color="auto"/>
        <w:right w:val="none" w:sz="0" w:space="0" w:color="auto"/>
      </w:divBdr>
    </w:div>
    <w:div w:id="182">
      <w:marLeft w:val="0"/>
      <w:marRight w:val="0"/>
      <w:marTop w:val="0"/>
      <w:marBottom w:val="0"/>
      <w:divBdr>
        <w:top w:val="none" w:sz="0" w:space="0" w:color="auto"/>
        <w:left w:val="none" w:sz="0" w:space="0" w:color="auto"/>
        <w:bottom w:val="none" w:sz="0" w:space="0" w:color="auto"/>
        <w:right w:val="none" w:sz="0" w:space="0" w:color="auto"/>
      </w:divBdr>
    </w:div>
    <w:div w:id="186">
      <w:marLeft w:val="0"/>
      <w:marRight w:val="0"/>
      <w:marTop w:val="0"/>
      <w:marBottom w:val="0"/>
      <w:divBdr>
        <w:top w:val="none" w:sz="0" w:space="0" w:color="auto"/>
        <w:left w:val="none" w:sz="0" w:space="0" w:color="auto"/>
        <w:bottom w:val="none" w:sz="0" w:space="0" w:color="auto"/>
        <w:right w:val="none" w:sz="0" w:space="0" w:color="auto"/>
      </w:divBdr>
    </w:div>
    <w:div w:id="187">
      <w:marLeft w:val="0"/>
      <w:marRight w:val="0"/>
      <w:marTop w:val="0"/>
      <w:marBottom w:val="0"/>
      <w:divBdr>
        <w:top w:val="none" w:sz="0" w:space="0" w:color="auto"/>
        <w:left w:val="none" w:sz="0" w:space="0" w:color="auto"/>
        <w:bottom w:val="none" w:sz="0" w:space="0" w:color="auto"/>
        <w:right w:val="none" w:sz="0" w:space="0" w:color="auto"/>
      </w:divBdr>
    </w:div>
    <w:div w:id="189">
      <w:marLeft w:val="0"/>
      <w:marRight w:val="0"/>
      <w:marTop w:val="0"/>
      <w:marBottom w:val="0"/>
      <w:divBdr>
        <w:top w:val="none" w:sz="0" w:space="0" w:color="auto"/>
        <w:left w:val="none" w:sz="0" w:space="0" w:color="auto"/>
        <w:bottom w:val="none" w:sz="0" w:space="0" w:color="auto"/>
        <w:right w:val="none" w:sz="0" w:space="0" w:color="auto"/>
      </w:divBdr>
    </w:div>
    <w:div w:id="191">
      <w:marLeft w:val="0"/>
      <w:marRight w:val="0"/>
      <w:marTop w:val="0"/>
      <w:marBottom w:val="0"/>
      <w:divBdr>
        <w:top w:val="none" w:sz="0" w:space="0" w:color="auto"/>
        <w:left w:val="none" w:sz="0" w:space="0" w:color="auto"/>
        <w:bottom w:val="none" w:sz="0" w:space="0" w:color="auto"/>
        <w:right w:val="none" w:sz="0" w:space="0" w:color="auto"/>
      </w:divBdr>
    </w:div>
    <w:div w:id="192">
      <w:marLeft w:val="0"/>
      <w:marRight w:val="0"/>
      <w:marTop w:val="0"/>
      <w:marBottom w:val="0"/>
      <w:divBdr>
        <w:top w:val="none" w:sz="0" w:space="0" w:color="auto"/>
        <w:left w:val="none" w:sz="0" w:space="0" w:color="auto"/>
        <w:bottom w:val="none" w:sz="0" w:space="0" w:color="auto"/>
        <w:right w:val="none" w:sz="0" w:space="0" w:color="auto"/>
      </w:divBdr>
    </w:div>
    <w:div w:id="193">
      <w:marLeft w:val="0"/>
      <w:marRight w:val="0"/>
      <w:marTop w:val="0"/>
      <w:marBottom w:val="0"/>
      <w:divBdr>
        <w:top w:val="none" w:sz="0" w:space="0" w:color="auto"/>
        <w:left w:val="none" w:sz="0" w:space="0" w:color="auto"/>
        <w:bottom w:val="none" w:sz="0" w:space="0" w:color="auto"/>
        <w:right w:val="none" w:sz="0" w:space="0" w:color="auto"/>
      </w:divBdr>
    </w:div>
    <w:div w:id="194">
      <w:marLeft w:val="0"/>
      <w:marRight w:val="0"/>
      <w:marTop w:val="0"/>
      <w:marBottom w:val="0"/>
      <w:divBdr>
        <w:top w:val="none" w:sz="0" w:space="0" w:color="auto"/>
        <w:left w:val="none" w:sz="0" w:space="0" w:color="auto"/>
        <w:bottom w:val="none" w:sz="0" w:space="0" w:color="auto"/>
        <w:right w:val="none" w:sz="0" w:space="0" w:color="auto"/>
      </w:divBdr>
    </w:div>
    <w:div w:id="195">
      <w:marLeft w:val="0"/>
      <w:marRight w:val="0"/>
      <w:marTop w:val="0"/>
      <w:marBottom w:val="0"/>
      <w:divBdr>
        <w:top w:val="none" w:sz="0" w:space="0" w:color="auto"/>
        <w:left w:val="none" w:sz="0" w:space="0" w:color="auto"/>
        <w:bottom w:val="none" w:sz="0" w:space="0" w:color="auto"/>
        <w:right w:val="none" w:sz="0" w:space="0" w:color="auto"/>
      </w:divBdr>
    </w:div>
    <w:div w:id="196">
      <w:marLeft w:val="0"/>
      <w:marRight w:val="0"/>
      <w:marTop w:val="0"/>
      <w:marBottom w:val="0"/>
      <w:divBdr>
        <w:top w:val="none" w:sz="0" w:space="0" w:color="auto"/>
        <w:left w:val="none" w:sz="0" w:space="0" w:color="auto"/>
        <w:bottom w:val="none" w:sz="0" w:space="0" w:color="auto"/>
        <w:right w:val="none" w:sz="0" w:space="0" w:color="auto"/>
      </w:divBdr>
    </w:div>
    <w:div w:id="198">
      <w:marLeft w:val="0"/>
      <w:marRight w:val="0"/>
      <w:marTop w:val="0"/>
      <w:marBottom w:val="0"/>
      <w:divBdr>
        <w:top w:val="none" w:sz="0" w:space="0" w:color="auto"/>
        <w:left w:val="none" w:sz="0" w:space="0" w:color="auto"/>
        <w:bottom w:val="none" w:sz="0" w:space="0" w:color="auto"/>
        <w:right w:val="none" w:sz="0" w:space="0" w:color="auto"/>
      </w:divBdr>
    </w:div>
    <w:div w:id="199">
      <w:marLeft w:val="0"/>
      <w:marRight w:val="0"/>
      <w:marTop w:val="0"/>
      <w:marBottom w:val="0"/>
      <w:divBdr>
        <w:top w:val="none" w:sz="0" w:space="0" w:color="auto"/>
        <w:left w:val="none" w:sz="0" w:space="0" w:color="auto"/>
        <w:bottom w:val="none" w:sz="0" w:space="0" w:color="auto"/>
        <w:right w:val="none" w:sz="0" w:space="0" w:color="auto"/>
      </w:divBdr>
    </w:div>
    <w:div w:id="200">
      <w:marLeft w:val="0"/>
      <w:marRight w:val="0"/>
      <w:marTop w:val="0"/>
      <w:marBottom w:val="0"/>
      <w:divBdr>
        <w:top w:val="none" w:sz="0" w:space="0" w:color="auto"/>
        <w:left w:val="none" w:sz="0" w:space="0" w:color="auto"/>
        <w:bottom w:val="none" w:sz="0" w:space="0" w:color="auto"/>
        <w:right w:val="none" w:sz="0" w:space="0" w:color="auto"/>
      </w:divBdr>
    </w:div>
    <w:div w:id="201">
      <w:marLeft w:val="0"/>
      <w:marRight w:val="0"/>
      <w:marTop w:val="0"/>
      <w:marBottom w:val="0"/>
      <w:divBdr>
        <w:top w:val="none" w:sz="0" w:space="0" w:color="auto"/>
        <w:left w:val="none" w:sz="0" w:space="0" w:color="auto"/>
        <w:bottom w:val="none" w:sz="0" w:space="0" w:color="auto"/>
        <w:right w:val="none" w:sz="0" w:space="0" w:color="auto"/>
      </w:divBdr>
    </w:div>
    <w:div w:id="202">
      <w:marLeft w:val="0"/>
      <w:marRight w:val="0"/>
      <w:marTop w:val="0"/>
      <w:marBottom w:val="0"/>
      <w:divBdr>
        <w:top w:val="none" w:sz="0" w:space="0" w:color="auto"/>
        <w:left w:val="none" w:sz="0" w:space="0" w:color="auto"/>
        <w:bottom w:val="none" w:sz="0" w:space="0" w:color="auto"/>
        <w:right w:val="none" w:sz="0" w:space="0" w:color="auto"/>
      </w:divBdr>
    </w:div>
    <w:div w:id="203">
      <w:marLeft w:val="0"/>
      <w:marRight w:val="0"/>
      <w:marTop w:val="0"/>
      <w:marBottom w:val="0"/>
      <w:divBdr>
        <w:top w:val="none" w:sz="0" w:space="0" w:color="auto"/>
        <w:left w:val="none" w:sz="0" w:space="0" w:color="auto"/>
        <w:bottom w:val="none" w:sz="0" w:space="0" w:color="auto"/>
        <w:right w:val="none" w:sz="0" w:space="0" w:color="auto"/>
      </w:divBdr>
    </w:div>
    <w:div w:id="204">
      <w:marLeft w:val="0"/>
      <w:marRight w:val="0"/>
      <w:marTop w:val="0"/>
      <w:marBottom w:val="0"/>
      <w:divBdr>
        <w:top w:val="none" w:sz="0" w:space="0" w:color="auto"/>
        <w:left w:val="none" w:sz="0" w:space="0" w:color="auto"/>
        <w:bottom w:val="none" w:sz="0" w:space="0" w:color="auto"/>
        <w:right w:val="none" w:sz="0" w:space="0" w:color="auto"/>
      </w:divBdr>
    </w:div>
    <w:div w:id="205">
      <w:marLeft w:val="0"/>
      <w:marRight w:val="0"/>
      <w:marTop w:val="0"/>
      <w:marBottom w:val="0"/>
      <w:divBdr>
        <w:top w:val="none" w:sz="0" w:space="0" w:color="auto"/>
        <w:left w:val="none" w:sz="0" w:space="0" w:color="auto"/>
        <w:bottom w:val="none" w:sz="0" w:space="0" w:color="auto"/>
        <w:right w:val="none" w:sz="0" w:space="0" w:color="auto"/>
      </w:divBdr>
    </w:div>
    <w:div w:id="206">
      <w:marLeft w:val="0"/>
      <w:marRight w:val="0"/>
      <w:marTop w:val="0"/>
      <w:marBottom w:val="0"/>
      <w:divBdr>
        <w:top w:val="none" w:sz="0" w:space="0" w:color="auto"/>
        <w:left w:val="none" w:sz="0" w:space="0" w:color="auto"/>
        <w:bottom w:val="none" w:sz="0" w:space="0" w:color="auto"/>
        <w:right w:val="none" w:sz="0" w:space="0" w:color="auto"/>
      </w:divBdr>
    </w:div>
    <w:div w:id="207">
      <w:marLeft w:val="0"/>
      <w:marRight w:val="0"/>
      <w:marTop w:val="0"/>
      <w:marBottom w:val="0"/>
      <w:divBdr>
        <w:top w:val="none" w:sz="0" w:space="0" w:color="auto"/>
        <w:left w:val="none" w:sz="0" w:space="0" w:color="auto"/>
        <w:bottom w:val="none" w:sz="0" w:space="0" w:color="auto"/>
        <w:right w:val="none" w:sz="0" w:space="0" w:color="auto"/>
      </w:divBdr>
    </w:div>
    <w:div w:id="208">
      <w:marLeft w:val="0"/>
      <w:marRight w:val="0"/>
      <w:marTop w:val="0"/>
      <w:marBottom w:val="0"/>
      <w:divBdr>
        <w:top w:val="none" w:sz="0" w:space="0" w:color="auto"/>
        <w:left w:val="none" w:sz="0" w:space="0" w:color="auto"/>
        <w:bottom w:val="none" w:sz="0" w:space="0" w:color="auto"/>
        <w:right w:val="none" w:sz="0" w:space="0" w:color="auto"/>
      </w:divBdr>
    </w:div>
    <w:div w:id="209">
      <w:marLeft w:val="0"/>
      <w:marRight w:val="0"/>
      <w:marTop w:val="0"/>
      <w:marBottom w:val="0"/>
      <w:divBdr>
        <w:top w:val="none" w:sz="0" w:space="0" w:color="auto"/>
        <w:left w:val="none" w:sz="0" w:space="0" w:color="auto"/>
        <w:bottom w:val="none" w:sz="0" w:space="0" w:color="auto"/>
        <w:right w:val="none" w:sz="0" w:space="0" w:color="auto"/>
      </w:divBdr>
    </w:div>
    <w:div w:id="210">
      <w:marLeft w:val="0"/>
      <w:marRight w:val="0"/>
      <w:marTop w:val="0"/>
      <w:marBottom w:val="0"/>
      <w:divBdr>
        <w:top w:val="none" w:sz="0" w:space="0" w:color="auto"/>
        <w:left w:val="none" w:sz="0" w:space="0" w:color="auto"/>
        <w:bottom w:val="none" w:sz="0" w:space="0" w:color="auto"/>
        <w:right w:val="none" w:sz="0" w:space="0" w:color="auto"/>
      </w:divBdr>
    </w:div>
    <w:div w:id="211">
      <w:marLeft w:val="0"/>
      <w:marRight w:val="0"/>
      <w:marTop w:val="0"/>
      <w:marBottom w:val="0"/>
      <w:divBdr>
        <w:top w:val="none" w:sz="0" w:space="0" w:color="auto"/>
        <w:left w:val="none" w:sz="0" w:space="0" w:color="auto"/>
        <w:bottom w:val="none" w:sz="0" w:space="0" w:color="auto"/>
        <w:right w:val="none" w:sz="0" w:space="0" w:color="auto"/>
      </w:divBdr>
    </w:div>
    <w:div w:id="212">
      <w:marLeft w:val="0"/>
      <w:marRight w:val="0"/>
      <w:marTop w:val="0"/>
      <w:marBottom w:val="0"/>
      <w:divBdr>
        <w:top w:val="none" w:sz="0" w:space="0" w:color="auto"/>
        <w:left w:val="none" w:sz="0" w:space="0" w:color="auto"/>
        <w:bottom w:val="none" w:sz="0" w:space="0" w:color="auto"/>
        <w:right w:val="none" w:sz="0" w:space="0" w:color="auto"/>
      </w:divBdr>
    </w:div>
    <w:div w:id="213">
      <w:marLeft w:val="0"/>
      <w:marRight w:val="0"/>
      <w:marTop w:val="0"/>
      <w:marBottom w:val="0"/>
      <w:divBdr>
        <w:top w:val="none" w:sz="0" w:space="0" w:color="auto"/>
        <w:left w:val="none" w:sz="0" w:space="0" w:color="auto"/>
        <w:bottom w:val="none" w:sz="0" w:space="0" w:color="auto"/>
        <w:right w:val="none" w:sz="0" w:space="0" w:color="auto"/>
      </w:divBdr>
    </w:div>
    <w:div w:id="215">
      <w:marLeft w:val="0"/>
      <w:marRight w:val="0"/>
      <w:marTop w:val="0"/>
      <w:marBottom w:val="0"/>
      <w:divBdr>
        <w:top w:val="none" w:sz="0" w:space="0" w:color="auto"/>
        <w:left w:val="none" w:sz="0" w:space="0" w:color="auto"/>
        <w:bottom w:val="none" w:sz="0" w:space="0" w:color="auto"/>
        <w:right w:val="none" w:sz="0" w:space="0" w:color="auto"/>
      </w:divBdr>
    </w:div>
    <w:div w:id="216">
      <w:marLeft w:val="0"/>
      <w:marRight w:val="0"/>
      <w:marTop w:val="0"/>
      <w:marBottom w:val="0"/>
      <w:divBdr>
        <w:top w:val="none" w:sz="0" w:space="0" w:color="auto"/>
        <w:left w:val="none" w:sz="0" w:space="0" w:color="auto"/>
        <w:bottom w:val="none" w:sz="0" w:space="0" w:color="auto"/>
        <w:right w:val="none" w:sz="0" w:space="0" w:color="auto"/>
      </w:divBdr>
    </w:div>
    <w:div w:id="217">
      <w:marLeft w:val="0"/>
      <w:marRight w:val="0"/>
      <w:marTop w:val="0"/>
      <w:marBottom w:val="0"/>
      <w:divBdr>
        <w:top w:val="none" w:sz="0" w:space="0" w:color="auto"/>
        <w:left w:val="none" w:sz="0" w:space="0" w:color="auto"/>
        <w:bottom w:val="none" w:sz="0" w:space="0" w:color="auto"/>
        <w:right w:val="none" w:sz="0" w:space="0" w:color="auto"/>
      </w:divBdr>
    </w:div>
    <w:div w:id="218">
      <w:marLeft w:val="0"/>
      <w:marRight w:val="0"/>
      <w:marTop w:val="0"/>
      <w:marBottom w:val="0"/>
      <w:divBdr>
        <w:top w:val="none" w:sz="0" w:space="0" w:color="auto"/>
        <w:left w:val="none" w:sz="0" w:space="0" w:color="auto"/>
        <w:bottom w:val="none" w:sz="0" w:space="0" w:color="auto"/>
        <w:right w:val="none" w:sz="0" w:space="0" w:color="auto"/>
      </w:divBdr>
    </w:div>
    <w:div w:id="219">
      <w:marLeft w:val="0"/>
      <w:marRight w:val="0"/>
      <w:marTop w:val="0"/>
      <w:marBottom w:val="0"/>
      <w:divBdr>
        <w:top w:val="none" w:sz="0" w:space="0" w:color="auto"/>
        <w:left w:val="none" w:sz="0" w:space="0" w:color="auto"/>
        <w:bottom w:val="none" w:sz="0" w:space="0" w:color="auto"/>
        <w:right w:val="none" w:sz="0" w:space="0" w:color="auto"/>
      </w:divBdr>
    </w:div>
    <w:div w:id="220">
      <w:marLeft w:val="0"/>
      <w:marRight w:val="0"/>
      <w:marTop w:val="0"/>
      <w:marBottom w:val="0"/>
      <w:divBdr>
        <w:top w:val="none" w:sz="0" w:space="0" w:color="auto"/>
        <w:left w:val="none" w:sz="0" w:space="0" w:color="auto"/>
        <w:bottom w:val="none" w:sz="0" w:space="0" w:color="auto"/>
        <w:right w:val="none" w:sz="0" w:space="0" w:color="auto"/>
      </w:divBdr>
    </w:div>
    <w:div w:id="221">
      <w:marLeft w:val="0"/>
      <w:marRight w:val="0"/>
      <w:marTop w:val="0"/>
      <w:marBottom w:val="0"/>
      <w:divBdr>
        <w:top w:val="none" w:sz="0" w:space="0" w:color="auto"/>
        <w:left w:val="none" w:sz="0" w:space="0" w:color="auto"/>
        <w:bottom w:val="none" w:sz="0" w:space="0" w:color="auto"/>
        <w:right w:val="none" w:sz="0" w:space="0" w:color="auto"/>
      </w:divBdr>
    </w:div>
    <w:div w:id="222">
      <w:marLeft w:val="0"/>
      <w:marRight w:val="0"/>
      <w:marTop w:val="0"/>
      <w:marBottom w:val="0"/>
      <w:divBdr>
        <w:top w:val="none" w:sz="0" w:space="0" w:color="auto"/>
        <w:left w:val="none" w:sz="0" w:space="0" w:color="auto"/>
        <w:bottom w:val="none" w:sz="0" w:space="0" w:color="auto"/>
        <w:right w:val="none" w:sz="0" w:space="0" w:color="auto"/>
      </w:divBdr>
    </w:div>
    <w:div w:id="223">
      <w:marLeft w:val="0"/>
      <w:marRight w:val="0"/>
      <w:marTop w:val="0"/>
      <w:marBottom w:val="0"/>
      <w:divBdr>
        <w:top w:val="none" w:sz="0" w:space="0" w:color="auto"/>
        <w:left w:val="none" w:sz="0" w:space="0" w:color="auto"/>
        <w:bottom w:val="none" w:sz="0" w:space="0" w:color="auto"/>
        <w:right w:val="none" w:sz="0" w:space="0" w:color="auto"/>
      </w:divBdr>
    </w:div>
    <w:div w:id="225">
      <w:marLeft w:val="0"/>
      <w:marRight w:val="0"/>
      <w:marTop w:val="0"/>
      <w:marBottom w:val="0"/>
      <w:divBdr>
        <w:top w:val="none" w:sz="0" w:space="0" w:color="auto"/>
        <w:left w:val="none" w:sz="0" w:space="0" w:color="auto"/>
        <w:bottom w:val="none" w:sz="0" w:space="0" w:color="auto"/>
        <w:right w:val="none" w:sz="0" w:space="0" w:color="auto"/>
      </w:divBdr>
    </w:div>
    <w:div w:id="226">
      <w:marLeft w:val="0"/>
      <w:marRight w:val="0"/>
      <w:marTop w:val="0"/>
      <w:marBottom w:val="0"/>
      <w:divBdr>
        <w:top w:val="none" w:sz="0" w:space="0" w:color="auto"/>
        <w:left w:val="none" w:sz="0" w:space="0" w:color="auto"/>
        <w:bottom w:val="none" w:sz="0" w:space="0" w:color="auto"/>
        <w:right w:val="none" w:sz="0" w:space="0" w:color="auto"/>
      </w:divBdr>
    </w:div>
    <w:div w:id="228">
      <w:marLeft w:val="0"/>
      <w:marRight w:val="0"/>
      <w:marTop w:val="0"/>
      <w:marBottom w:val="0"/>
      <w:divBdr>
        <w:top w:val="none" w:sz="0" w:space="0" w:color="auto"/>
        <w:left w:val="none" w:sz="0" w:space="0" w:color="auto"/>
        <w:bottom w:val="none" w:sz="0" w:space="0" w:color="auto"/>
        <w:right w:val="none" w:sz="0" w:space="0" w:color="auto"/>
      </w:divBdr>
    </w:div>
    <w:div w:id="231">
      <w:marLeft w:val="0"/>
      <w:marRight w:val="0"/>
      <w:marTop w:val="0"/>
      <w:marBottom w:val="0"/>
      <w:divBdr>
        <w:top w:val="none" w:sz="0" w:space="0" w:color="auto"/>
        <w:left w:val="none" w:sz="0" w:space="0" w:color="auto"/>
        <w:bottom w:val="none" w:sz="0" w:space="0" w:color="auto"/>
        <w:right w:val="none" w:sz="0" w:space="0" w:color="auto"/>
      </w:divBdr>
    </w:div>
    <w:div w:id="233">
      <w:marLeft w:val="0"/>
      <w:marRight w:val="0"/>
      <w:marTop w:val="0"/>
      <w:marBottom w:val="0"/>
      <w:divBdr>
        <w:top w:val="none" w:sz="0" w:space="0" w:color="auto"/>
        <w:left w:val="none" w:sz="0" w:space="0" w:color="auto"/>
        <w:bottom w:val="none" w:sz="0" w:space="0" w:color="auto"/>
        <w:right w:val="none" w:sz="0" w:space="0" w:color="auto"/>
      </w:divBdr>
      <w:divsChild>
        <w:div w:id="39">
          <w:marLeft w:val="0"/>
          <w:marRight w:val="0"/>
          <w:marTop w:val="0"/>
          <w:marBottom w:val="0"/>
          <w:divBdr>
            <w:top w:val="none" w:sz="0" w:space="0" w:color="auto"/>
            <w:left w:val="none" w:sz="0" w:space="0" w:color="auto"/>
            <w:bottom w:val="none" w:sz="0" w:space="0" w:color="auto"/>
            <w:right w:val="none" w:sz="0" w:space="0" w:color="auto"/>
          </w:divBdr>
          <w:divsChild>
            <w:div w:id="66">
              <w:marLeft w:val="0"/>
              <w:marRight w:val="0"/>
              <w:marTop w:val="0"/>
              <w:marBottom w:val="0"/>
              <w:divBdr>
                <w:top w:val="none" w:sz="0" w:space="0" w:color="auto"/>
                <w:left w:val="none" w:sz="0" w:space="0" w:color="auto"/>
                <w:bottom w:val="none" w:sz="0" w:space="0" w:color="auto"/>
                <w:right w:val="none" w:sz="0" w:space="0" w:color="auto"/>
              </w:divBdr>
              <w:divsChild>
                <w:div w:id="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
      <w:marLeft w:val="0"/>
      <w:marRight w:val="0"/>
      <w:marTop w:val="0"/>
      <w:marBottom w:val="0"/>
      <w:divBdr>
        <w:top w:val="none" w:sz="0" w:space="0" w:color="auto"/>
        <w:left w:val="none" w:sz="0" w:space="0" w:color="auto"/>
        <w:bottom w:val="none" w:sz="0" w:space="0" w:color="auto"/>
        <w:right w:val="none" w:sz="0" w:space="0" w:color="auto"/>
      </w:divBdr>
      <w:divsChild>
        <w:div w:id="230">
          <w:marLeft w:val="0"/>
          <w:marRight w:val="0"/>
          <w:marTop w:val="0"/>
          <w:marBottom w:val="0"/>
          <w:divBdr>
            <w:top w:val="none" w:sz="0" w:space="0" w:color="auto"/>
            <w:left w:val="none" w:sz="0" w:space="0" w:color="auto"/>
            <w:bottom w:val="none" w:sz="0" w:space="0" w:color="auto"/>
            <w:right w:val="none" w:sz="0" w:space="0" w:color="auto"/>
          </w:divBdr>
          <w:divsChild>
            <w:div w:id="160">
              <w:marLeft w:val="0"/>
              <w:marRight w:val="0"/>
              <w:marTop w:val="0"/>
              <w:marBottom w:val="0"/>
              <w:divBdr>
                <w:top w:val="none" w:sz="0" w:space="0" w:color="auto"/>
                <w:left w:val="none" w:sz="0" w:space="0" w:color="auto"/>
                <w:bottom w:val="none" w:sz="0" w:space="0" w:color="auto"/>
                <w:right w:val="none" w:sz="0" w:space="0" w:color="auto"/>
              </w:divBdr>
              <w:divsChild>
                <w:div w:id="34">
                  <w:marLeft w:val="0"/>
                  <w:marRight w:val="0"/>
                  <w:marTop w:val="0"/>
                  <w:marBottom w:val="0"/>
                  <w:divBdr>
                    <w:top w:val="none" w:sz="0" w:space="0" w:color="auto"/>
                    <w:left w:val="none" w:sz="0" w:space="0" w:color="auto"/>
                    <w:bottom w:val="none" w:sz="0" w:space="0" w:color="auto"/>
                    <w:right w:val="none" w:sz="0" w:space="0" w:color="auto"/>
                  </w:divBdr>
                  <w:divsChild>
                    <w:div w:id="232">
                      <w:marLeft w:val="0"/>
                      <w:marRight w:val="0"/>
                      <w:marTop w:val="0"/>
                      <w:marBottom w:val="0"/>
                      <w:divBdr>
                        <w:top w:val="none" w:sz="0" w:space="0" w:color="auto"/>
                        <w:left w:val="none" w:sz="0" w:space="0" w:color="auto"/>
                        <w:bottom w:val="none" w:sz="0" w:space="0" w:color="auto"/>
                        <w:right w:val="none" w:sz="0" w:space="0" w:color="auto"/>
                      </w:divBdr>
                      <w:divsChild>
                        <w:div w:id="234">
                          <w:marLeft w:val="0"/>
                          <w:marRight w:val="0"/>
                          <w:marTop w:val="0"/>
                          <w:marBottom w:val="0"/>
                          <w:divBdr>
                            <w:top w:val="none" w:sz="0" w:space="0" w:color="auto"/>
                            <w:left w:val="none" w:sz="0" w:space="0" w:color="auto"/>
                            <w:bottom w:val="none" w:sz="0" w:space="0" w:color="auto"/>
                            <w:right w:val="none" w:sz="0" w:space="0" w:color="auto"/>
                          </w:divBdr>
                          <w:divsChild>
                            <w:div w:id="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6">
      <w:marLeft w:val="0"/>
      <w:marRight w:val="0"/>
      <w:marTop w:val="0"/>
      <w:marBottom w:val="0"/>
      <w:divBdr>
        <w:top w:val="none" w:sz="0" w:space="0" w:color="auto"/>
        <w:left w:val="none" w:sz="0" w:space="0" w:color="auto"/>
        <w:bottom w:val="none" w:sz="0" w:space="0" w:color="auto"/>
        <w:right w:val="none" w:sz="0" w:space="0" w:color="auto"/>
      </w:divBdr>
    </w:div>
    <w:div w:id="237">
      <w:marLeft w:val="0"/>
      <w:marRight w:val="0"/>
      <w:marTop w:val="0"/>
      <w:marBottom w:val="0"/>
      <w:divBdr>
        <w:top w:val="none" w:sz="0" w:space="0" w:color="auto"/>
        <w:left w:val="none" w:sz="0" w:space="0" w:color="auto"/>
        <w:bottom w:val="none" w:sz="0" w:space="0" w:color="auto"/>
        <w:right w:val="none" w:sz="0" w:space="0" w:color="auto"/>
      </w:divBdr>
    </w:div>
    <w:div w:id="238">
      <w:marLeft w:val="0"/>
      <w:marRight w:val="0"/>
      <w:marTop w:val="0"/>
      <w:marBottom w:val="0"/>
      <w:divBdr>
        <w:top w:val="none" w:sz="0" w:space="0" w:color="auto"/>
        <w:left w:val="none" w:sz="0" w:space="0" w:color="auto"/>
        <w:bottom w:val="none" w:sz="0" w:space="0" w:color="auto"/>
        <w:right w:val="none" w:sz="0" w:space="0" w:color="auto"/>
      </w:divBdr>
    </w:div>
    <w:div w:id="239">
      <w:marLeft w:val="0"/>
      <w:marRight w:val="0"/>
      <w:marTop w:val="0"/>
      <w:marBottom w:val="0"/>
      <w:divBdr>
        <w:top w:val="none" w:sz="0" w:space="0" w:color="auto"/>
        <w:left w:val="none" w:sz="0" w:space="0" w:color="auto"/>
        <w:bottom w:val="none" w:sz="0" w:space="0" w:color="auto"/>
        <w:right w:val="none" w:sz="0" w:space="0" w:color="auto"/>
      </w:divBdr>
    </w:div>
    <w:div w:id="240">
      <w:marLeft w:val="0"/>
      <w:marRight w:val="0"/>
      <w:marTop w:val="0"/>
      <w:marBottom w:val="0"/>
      <w:divBdr>
        <w:top w:val="none" w:sz="0" w:space="0" w:color="auto"/>
        <w:left w:val="none" w:sz="0" w:space="0" w:color="auto"/>
        <w:bottom w:val="none" w:sz="0" w:space="0" w:color="auto"/>
        <w:right w:val="none" w:sz="0" w:space="0" w:color="auto"/>
      </w:divBdr>
    </w:div>
    <w:div w:id="241">
      <w:marLeft w:val="0"/>
      <w:marRight w:val="0"/>
      <w:marTop w:val="0"/>
      <w:marBottom w:val="0"/>
      <w:divBdr>
        <w:top w:val="none" w:sz="0" w:space="0" w:color="auto"/>
        <w:left w:val="none" w:sz="0" w:space="0" w:color="auto"/>
        <w:bottom w:val="none" w:sz="0" w:space="0" w:color="auto"/>
        <w:right w:val="none" w:sz="0" w:space="0" w:color="auto"/>
      </w:divBdr>
    </w:div>
    <w:div w:id="242">
      <w:marLeft w:val="0"/>
      <w:marRight w:val="0"/>
      <w:marTop w:val="0"/>
      <w:marBottom w:val="0"/>
      <w:divBdr>
        <w:top w:val="none" w:sz="0" w:space="0" w:color="auto"/>
        <w:left w:val="none" w:sz="0" w:space="0" w:color="auto"/>
        <w:bottom w:val="none" w:sz="0" w:space="0" w:color="auto"/>
        <w:right w:val="none" w:sz="0" w:space="0" w:color="auto"/>
      </w:divBdr>
    </w:div>
    <w:div w:id="243">
      <w:marLeft w:val="0"/>
      <w:marRight w:val="0"/>
      <w:marTop w:val="0"/>
      <w:marBottom w:val="0"/>
      <w:divBdr>
        <w:top w:val="none" w:sz="0" w:space="0" w:color="auto"/>
        <w:left w:val="none" w:sz="0" w:space="0" w:color="auto"/>
        <w:bottom w:val="none" w:sz="0" w:space="0" w:color="auto"/>
        <w:right w:val="none" w:sz="0" w:space="0" w:color="auto"/>
      </w:divBdr>
    </w:div>
    <w:div w:id="244">
      <w:marLeft w:val="0"/>
      <w:marRight w:val="0"/>
      <w:marTop w:val="0"/>
      <w:marBottom w:val="0"/>
      <w:divBdr>
        <w:top w:val="none" w:sz="0" w:space="0" w:color="auto"/>
        <w:left w:val="none" w:sz="0" w:space="0" w:color="auto"/>
        <w:bottom w:val="none" w:sz="0" w:space="0" w:color="auto"/>
        <w:right w:val="none" w:sz="0" w:space="0" w:color="auto"/>
      </w:divBdr>
    </w:div>
    <w:div w:id="245">
      <w:marLeft w:val="0"/>
      <w:marRight w:val="0"/>
      <w:marTop w:val="0"/>
      <w:marBottom w:val="0"/>
      <w:divBdr>
        <w:top w:val="none" w:sz="0" w:space="0" w:color="auto"/>
        <w:left w:val="none" w:sz="0" w:space="0" w:color="auto"/>
        <w:bottom w:val="none" w:sz="0" w:space="0" w:color="auto"/>
        <w:right w:val="none" w:sz="0" w:space="0" w:color="auto"/>
      </w:divBdr>
    </w:div>
    <w:div w:id="246">
      <w:marLeft w:val="0"/>
      <w:marRight w:val="0"/>
      <w:marTop w:val="0"/>
      <w:marBottom w:val="0"/>
      <w:divBdr>
        <w:top w:val="none" w:sz="0" w:space="0" w:color="auto"/>
        <w:left w:val="none" w:sz="0" w:space="0" w:color="auto"/>
        <w:bottom w:val="none" w:sz="0" w:space="0" w:color="auto"/>
        <w:right w:val="none" w:sz="0" w:space="0" w:color="auto"/>
      </w:divBdr>
    </w:div>
    <w:div w:id="247">
      <w:marLeft w:val="0"/>
      <w:marRight w:val="0"/>
      <w:marTop w:val="0"/>
      <w:marBottom w:val="0"/>
      <w:divBdr>
        <w:top w:val="none" w:sz="0" w:space="0" w:color="auto"/>
        <w:left w:val="none" w:sz="0" w:space="0" w:color="auto"/>
        <w:bottom w:val="none" w:sz="0" w:space="0" w:color="auto"/>
        <w:right w:val="none" w:sz="0" w:space="0" w:color="auto"/>
      </w:divBdr>
    </w:div>
    <w:div w:id="248">
      <w:marLeft w:val="0"/>
      <w:marRight w:val="0"/>
      <w:marTop w:val="0"/>
      <w:marBottom w:val="0"/>
      <w:divBdr>
        <w:top w:val="none" w:sz="0" w:space="0" w:color="auto"/>
        <w:left w:val="none" w:sz="0" w:space="0" w:color="auto"/>
        <w:bottom w:val="none" w:sz="0" w:space="0" w:color="auto"/>
        <w:right w:val="none" w:sz="0" w:space="0" w:color="auto"/>
      </w:divBdr>
    </w:div>
    <w:div w:id="249">
      <w:marLeft w:val="0"/>
      <w:marRight w:val="0"/>
      <w:marTop w:val="0"/>
      <w:marBottom w:val="0"/>
      <w:divBdr>
        <w:top w:val="none" w:sz="0" w:space="0" w:color="auto"/>
        <w:left w:val="none" w:sz="0" w:space="0" w:color="auto"/>
        <w:bottom w:val="none" w:sz="0" w:space="0" w:color="auto"/>
        <w:right w:val="none" w:sz="0" w:space="0" w:color="auto"/>
      </w:divBdr>
    </w:div>
    <w:div w:id="250">
      <w:marLeft w:val="0"/>
      <w:marRight w:val="0"/>
      <w:marTop w:val="0"/>
      <w:marBottom w:val="0"/>
      <w:divBdr>
        <w:top w:val="none" w:sz="0" w:space="0" w:color="auto"/>
        <w:left w:val="none" w:sz="0" w:space="0" w:color="auto"/>
        <w:bottom w:val="none" w:sz="0" w:space="0" w:color="auto"/>
        <w:right w:val="none" w:sz="0" w:space="0" w:color="auto"/>
      </w:divBdr>
    </w:div>
    <w:div w:id="251">
      <w:marLeft w:val="0"/>
      <w:marRight w:val="0"/>
      <w:marTop w:val="0"/>
      <w:marBottom w:val="0"/>
      <w:divBdr>
        <w:top w:val="none" w:sz="0" w:space="0" w:color="auto"/>
        <w:left w:val="none" w:sz="0" w:space="0" w:color="auto"/>
        <w:bottom w:val="none" w:sz="0" w:space="0" w:color="auto"/>
        <w:right w:val="none" w:sz="0" w:space="0" w:color="auto"/>
      </w:divBdr>
    </w:div>
    <w:div w:id="253">
      <w:marLeft w:val="0"/>
      <w:marRight w:val="0"/>
      <w:marTop w:val="0"/>
      <w:marBottom w:val="0"/>
      <w:divBdr>
        <w:top w:val="none" w:sz="0" w:space="0" w:color="auto"/>
        <w:left w:val="none" w:sz="0" w:space="0" w:color="auto"/>
        <w:bottom w:val="none" w:sz="0" w:space="0" w:color="auto"/>
        <w:right w:val="none" w:sz="0" w:space="0" w:color="auto"/>
      </w:divBdr>
    </w:div>
    <w:div w:id="254">
      <w:marLeft w:val="0"/>
      <w:marRight w:val="0"/>
      <w:marTop w:val="0"/>
      <w:marBottom w:val="0"/>
      <w:divBdr>
        <w:top w:val="none" w:sz="0" w:space="0" w:color="auto"/>
        <w:left w:val="none" w:sz="0" w:space="0" w:color="auto"/>
        <w:bottom w:val="none" w:sz="0" w:space="0" w:color="auto"/>
        <w:right w:val="none" w:sz="0" w:space="0" w:color="auto"/>
      </w:divBdr>
    </w:div>
    <w:div w:id="255">
      <w:marLeft w:val="0"/>
      <w:marRight w:val="0"/>
      <w:marTop w:val="0"/>
      <w:marBottom w:val="0"/>
      <w:divBdr>
        <w:top w:val="none" w:sz="0" w:space="0" w:color="auto"/>
        <w:left w:val="none" w:sz="0" w:space="0" w:color="auto"/>
        <w:bottom w:val="none" w:sz="0" w:space="0" w:color="auto"/>
        <w:right w:val="none" w:sz="0" w:space="0" w:color="auto"/>
      </w:divBdr>
    </w:div>
    <w:div w:id="256">
      <w:marLeft w:val="0"/>
      <w:marRight w:val="0"/>
      <w:marTop w:val="0"/>
      <w:marBottom w:val="0"/>
      <w:divBdr>
        <w:top w:val="none" w:sz="0" w:space="0" w:color="auto"/>
        <w:left w:val="none" w:sz="0" w:space="0" w:color="auto"/>
        <w:bottom w:val="none" w:sz="0" w:space="0" w:color="auto"/>
        <w:right w:val="none" w:sz="0" w:space="0" w:color="auto"/>
      </w:divBdr>
    </w:div>
    <w:div w:id="258">
      <w:marLeft w:val="0"/>
      <w:marRight w:val="0"/>
      <w:marTop w:val="0"/>
      <w:marBottom w:val="0"/>
      <w:divBdr>
        <w:top w:val="none" w:sz="0" w:space="0" w:color="auto"/>
        <w:left w:val="none" w:sz="0" w:space="0" w:color="auto"/>
        <w:bottom w:val="none" w:sz="0" w:space="0" w:color="auto"/>
        <w:right w:val="none" w:sz="0" w:space="0" w:color="auto"/>
      </w:divBdr>
    </w:div>
    <w:div w:id="259">
      <w:marLeft w:val="0"/>
      <w:marRight w:val="0"/>
      <w:marTop w:val="0"/>
      <w:marBottom w:val="0"/>
      <w:divBdr>
        <w:top w:val="none" w:sz="0" w:space="0" w:color="auto"/>
        <w:left w:val="none" w:sz="0" w:space="0" w:color="auto"/>
        <w:bottom w:val="none" w:sz="0" w:space="0" w:color="auto"/>
        <w:right w:val="none" w:sz="0" w:space="0" w:color="auto"/>
      </w:divBdr>
    </w:div>
    <w:div w:id="260">
      <w:marLeft w:val="0"/>
      <w:marRight w:val="0"/>
      <w:marTop w:val="0"/>
      <w:marBottom w:val="0"/>
      <w:divBdr>
        <w:top w:val="none" w:sz="0" w:space="0" w:color="auto"/>
        <w:left w:val="none" w:sz="0" w:space="0" w:color="auto"/>
        <w:bottom w:val="none" w:sz="0" w:space="0" w:color="auto"/>
        <w:right w:val="none" w:sz="0" w:space="0" w:color="auto"/>
      </w:divBdr>
    </w:div>
    <w:div w:id="261">
      <w:marLeft w:val="0"/>
      <w:marRight w:val="0"/>
      <w:marTop w:val="0"/>
      <w:marBottom w:val="0"/>
      <w:divBdr>
        <w:top w:val="none" w:sz="0" w:space="0" w:color="auto"/>
        <w:left w:val="none" w:sz="0" w:space="0" w:color="auto"/>
        <w:bottom w:val="none" w:sz="0" w:space="0" w:color="auto"/>
        <w:right w:val="none" w:sz="0" w:space="0" w:color="auto"/>
      </w:divBdr>
    </w:div>
    <w:div w:id="262">
      <w:marLeft w:val="0"/>
      <w:marRight w:val="0"/>
      <w:marTop w:val="0"/>
      <w:marBottom w:val="0"/>
      <w:divBdr>
        <w:top w:val="none" w:sz="0" w:space="0" w:color="auto"/>
        <w:left w:val="none" w:sz="0" w:space="0" w:color="auto"/>
        <w:bottom w:val="none" w:sz="0" w:space="0" w:color="auto"/>
        <w:right w:val="none" w:sz="0" w:space="0" w:color="auto"/>
      </w:divBdr>
      <w:divsChild>
        <w:div w:id="188">
          <w:marLeft w:val="0"/>
          <w:marRight w:val="0"/>
          <w:marTop w:val="0"/>
          <w:marBottom w:val="0"/>
          <w:divBdr>
            <w:top w:val="none" w:sz="0" w:space="0" w:color="auto"/>
            <w:left w:val="none" w:sz="0" w:space="0" w:color="auto"/>
            <w:bottom w:val="none" w:sz="0" w:space="0" w:color="auto"/>
            <w:right w:val="none" w:sz="0" w:space="0" w:color="auto"/>
          </w:divBdr>
          <w:divsChild>
            <w:div w:id="136">
              <w:marLeft w:val="0"/>
              <w:marRight w:val="0"/>
              <w:marTop w:val="0"/>
              <w:marBottom w:val="0"/>
              <w:divBdr>
                <w:top w:val="none" w:sz="0" w:space="0" w:color="auto"/>
                <w:left w:val="none" w:sz="0" w:space="0" w:color="auto"/>
                <w:bottom w:val="none" w:sz="0" w:space="0" w:color="auto"/>
                <w:right w:val="none" w:sz="0" w:space="0" w:color="auto"/>
              </w:divBdr>
              <w:divsChild>
                <w:div w:id="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
      <w:marLeft w:val="0"/>
      <w:marRight w:val="0"/>
      <w:marTop w:val="0"/>
      <w:marBottom w:val="0"/>
      <w:divBdr>
        <w:top w:val="none" w:sz="0" w:space="0" w:color="auto"/>
        <w:left w:val="none" w:sz="0" w:space="0" w:color="auto"/>
        <w:bottom w:val="none" w:sz="0" w:space="0" w:color="auto"/>
        <w:right w:val="none" w:sz="0" w:space="0" w:color="auto"/>
      </w:divBdr>
    </w:div>
    <w:div w:id="264">
      <w:marLeft w:val="0"/>
      <w:marRight w:val="0"/>
      <w:marTop w:val="0"/>
      <w:marBottom w:val="0"/>
      <w:divBdr>
        <w:top w:val="none" w:sz="0" w:space="0" w:color="auto"/>
        <w:left w:val="none" w:sz="0" w:space="0" w:color="auto"/>
        <w:bottom w:val="none" w:sz="0" w:space="0" w:color="auto"/>
        <w:right w:val="none" w:sz="0" w:space="0" w:color="auto"/>
      </w:divBdr>
    </w:div>
    <w:div w:id="9114471">
      <w:bodyDiv w:val="1"/>
      <w:marLeft w:val="0"/>
      <w:marRight w:val="0"/>
      <w:marTop w:val="0"/>
      <w:marBottom w:val="0"/>
      <w:divBdr>
        <w:top w:val="none" w:sz="0" w:space="0" w:color="auto"/>
        <w:left w:val="none" w:sz="0" w:space="0" w:color="auto"/>
        <w:bottom w:val="none" w:sz="0" w:space="0" w:color="auto"/>
        <w:right w:val="none" w:sz="0" w:space="0" w:color="auto"/>
      </w:divBdr>
    </w:div>
    <w:div w:id="9186967">
      <w:bodyDiv w:val="1"/>
      <w:marLeft w:val="0"/>
      <w:marRight w:val="0"/>
      <w:marTop w:val="0"/>
      <w:marBottom w:val="0"/>
      <w:divBdr>
        <w:top w:val="none" w:sz="0" w:space="0" w:color="auto"/>
        <w:left w:val="none" w:sz="0" w:space="0" w:color="auto"/>
        <w:bottom w:val="none" w:sz="0" w:space="0" w:color="auto"/>
        <w:right w:val="none" w:sz="0" w:space="0" w:color="auto"/>
      </w:divBdr>
    </w:div>
    <w:div w:id="14384831">
      <w:bodyDiv w:val="1"/>
      <w:marLeft w:val="0"/>
      <w:marRight w:val="0"/>
      <w:marTop w:val="0"/>
      <w:marBottom w:val="0"/>
      <w:divBdr>
        <w:top w:val="none" w:sz="0" w:space="0" w:color="auto"/>
        <w:left w:val="none" w:sz="0" w:space="0" w:color="auto"/>
        <w:bottom w:val="none" w:sz="0" w:space="0" w:color="auto"/>
        <w:right w:val="none" w:sz="0" w:space="0" w:color="auto"/>
      </w:divBdr>
    </w:div>
    <w:div w:id="32728956">
      <w:bodyDiv w:val="1"/>
      <w:marLeft w:val="0"/>
      <w:marRight w:val="0"/>
      <w:marTop w:val="0"/>
      <w:marBottom w:val="0"/>
      <w:divBdr>
        <w:top w:val="none" w:sz="0" w:space="0" w:color="auto"/>
        <w:left w:val="none" w:sz="0" w:space="0" w:color="auto"/>
        <w:bottom w:val="none" w:sz="0" w:space="0" w:color="auto"/>
        <w:right w:val="none" w:sz="0" w:space="0" w:color="auto"/>
      </w:divBdr>
    </w:div>
    <w:div w:id="35472241">
      <w:bodyDiv w:val="1"/>
      <w:marLeft w:val="0"/>
      <w:marRight w:val="0"/>
      <w:marTop w:val="0"/>
      <w:marBottom w:val="0"/>
      <w:divBdr>
        <w:top w:val="none" w:sz="0" w:space="0" w:color="auto"/>
        <w:left w:val="none" w:sz="0" w:space="0" w:color="auto"/>
        <w:bottom w:val="none" w:sz="0" w:space="0" w:color="auto"/>
        <w:right w:val="none" w:sz="0" w:space="0" w:color="auto"/>
      </w:divBdr>
    </w:div>
    <w:div w:id="37240403">
      <w:bodyDiv w:val="1"/>
      <w:marLeft w:val="0"/>
      <w:marRight w:val="0"/>
      <w:marTop w:val="0"/>
      <w:marBottom w:val="0"/>
      <w:divBdr>
        <w:top w:val="none" w:sz="0" w:space="0" w:color="auto"/>
        <w:left w:val="none" w:sz="0" w:space="0" w:color="auto"/>
        <w:bottom w:val="none" w:sz="0" w:space="0" w:color="auto"/>
        <w:right w:val="none" w:sz="0" w:space="0" w:color="auto"/>
      </w:divBdr>
    </w:div>
    <w:div w:id="51125244">
      <w:bodyDiv w:val="1"/>
      <w:marLeft w:val="0"/>
      <w:marRight w:val="0"/>
      <w:marTop w:val="0"/>
      <w:marBottom w:val="0"/>
      <w:divBdr>
        <w:top w:val="none" w:sz="0" w:space="0" w:color="auto"/>
        <w:left w:val="none" w:sz="0" w:space="0" w:color="auto"/>
        <w:bottom w:val="none" w:sz="0" w:space="0" w:color="auto"/>
        <w:right w:val="none" w:sz="0" w:space="0" w:color="auto"/>
      </w:divBdr>
    </w:div>
    <w:div w:id="53282112">
      <w:bodyDiv w:val="1"/>
      <w:marLeft w:val="0"/>
      <w:marRight w:val="0"/>
      <w:marTop w:val="0"/>
      <w:marBottom w:val="0"/>
      <w:divBdr>
        <w:top w:val="none" w:sz="0" w:space="0" w:color="auto"/>
        <w:left w:val="none" w:sz="0" w:space="0" w:color="auto"/>
        <w:bottom w:val="none" w:sz="0" w:space="0" w:color="auto"/>
        <w:right w:val="none" w:sz="0" w:space="0" w:color="auto"/>
      </w:divBdr>
    </w:div>
    <w:div w:id="55469009">
      <w:bodyDiv w:val="1"/>
      <w:marLeft w:val="0"/>
      <w:marRight w:val="0"/>
      <w:marTop w:val="0"/>
      <w:marBottom w:val="0"/>
      <w:divBdr>
        <w:top w:val="none" w:sz="0" w:space="0" w:color="auto"/>
        <w:left w:val="none" w:sz="0" w:space="0" w:color="auto"/>
        <w:bottom w:val="none" w:sz="0" w:space="0" w:color="auto"/>
        <w:right w:val="none" w:sz="0" w:space="0" w:color="auto"/>
      </w:divBdr>
    </w:div>
    <w:div w:id="95907880">
      <w:bodyDiv w:val="1"/>
      <w:marLeft w:val="0"/>
      <w:marRight w:val="0"/>
      <w:marTop w:val="0"/>
      <w:marBottom w:val="0"/>
      <w:divBdr>
        <w:top w:val="none" w:sz="0" w:space="0" w:color="auto"/>
        <w:left w:val="none" w:sz="0" w:space="0" w:color="auto"/>
        <w:bottom w:val="none" w:sz="0" w:space="0" w:color="auto"/>
        <w:right w:val="none" w:sz="0" w:space="0" w:color="auto"/>
      </w:divBdr>
    </w:div>
    <w:div w:id="96993421">
      <w:bodyDiv w:val="1"/>
      <w:marLeft w:val="0"/>
      <w:marRight w:val="0"/>
      <w:marTop w:val="0"/>
      <w:marBottom w:val="0"/>
      <w:divBdr>
        <w:top w:val="none" w:sz="0" w:space="0" w:color="auto"/>
        <w:left w:val="none" w:sz="0" w:space="0" w:color="auto"/>
        <w:bottom w:val="none" w:sz="0" w:space="0" w:color="auto"/>
        <w:right w:val="none" w:sz="0" w:space="0" w:color="auto"/>
      </w:divBdr>
    </w:div>
    <w:div w:id="97988629">
      <w:bodyDiv w:val="1"/>
      <w:marLeft w:val="0"/>
      <w:marRight w:val="0"/>
      <w:marTop w:val="0"/>
      <w:marBottom w:val="0"/>
      <w:divBdr>
        <w:top w:val="none" w:sz="0" w:space="0" w:color="auto"/>
        <w:left w:val="none" w:sz="0" w:space="0" w:color="auto"/>
        <w:bottom w:val="none" w:sz="0" w:space="0" w:color="auto"/>
        <w:right w:val="none" w:sz="0" w:space="0" w:color="auto"/>
      </w:divBdr>
    </w:div>
    <w:div w:id="104271030">
      <w:bodyDiv w:val="1"/>
      <w:marLeft w:val="0"/>
      <w:marRight w:val="0"/>
      <w:marTop w:val="0"/>
      <w:marBottom w:val="0"/>
      <w:divBdr>
        <w:top w:val="none" w:sz="0" w:space="0" w:color="auto"/>
        <w:left w:val="none" w:sz="0" w:space="0" w:color="auto"/>
        <w:bottom w:val="none" w:sz="0" w:space="0" w:color="auto"/>
        <w:right w:val="none" w:sz="0" w:space="0" w:color="auto"/>
      </w:divBdr>
    </w:div>
    <w:div w:id="107704956">
      <w:bodyDiv w:val="1"/>
      <w:marLeft w:val="0"/>
      <w:marRight w:val="0"/>
      <w:marTop w:val="0"/>
      <w:marBottom w:val="0"/>
      <w:divBdr>
        <w:top w:val="none" w:sz="0" w:space="0" w:color="auto"/>
        <w:left w:val="none" w:sz="0" w:space="0" w:color="auto"/>
        <w:bottom w:val="none" w:sz="0" w:space="0" w:color="auto"/>
        <w:right w:val="none" w:sz="0" w:space="0" w:color="auto"/>
      </w:divBdr>
    </w:div>
    <w:div w:id="112555143">
      <w:bodyDiv w:val="1"/>
      <w:marLeft w:val="0"/>
      <w:marRight w:val="0"/>
      <w:marTop w:val="0"/>
      <w:marBottom w:val="0"/>
      <w:divBdr>
        <w:top w:val="none" w:sz="0" w:space="0" w:color="auto"/>
        <w:left w:val="none" w:sz="0" w:space="0" w:color="auto"/>
        <w:bottom w:val="none" w:sz="0" w:space="0" w:color="auto"/>
        <w:right w:val="none" w:sz="0" w:space="0" w:color="auto"/>
      </w:divBdr>
    </w:div>
    <w:div w:id="138809153">
      <w:bodyDiv w:val="1"/>
      <w:marLeft w:val="0"/>
      <w:marRight w:val="0"/>
      <w:marTop w:val="0"/>
      <w:marBottom w:val="0"/>
      <w:divBdr>
        <w:top w:val="none" w:sz="0" w:space="0" w:color="auto"/>
        <w:left w:val="none" w:sz="0" w:space="0" w:color="auto"/>
        <w:bottom w:val="none" w:sz="0" w:space="0" w:color="auto"/>
        <w:right w:val="none" w:sz="0" w:space="0" w:color="auto"/>
      </w:divBdr>
    </w:div>
    <w:div w:id="138814833">
      <w:bodyDiv w:val="1"/>
      <w:marLeft w:val="0"/>
      <w:marRight w:val="0"/>
      <w:marTop w:val="0"/>
      <w:marBottom w:val="0"/>
      <w:divBdr>
        <w:top w:val="none" w:sz="0" w:space="0" w:color="auto"/>
        <w:left w:val="none" w:sz="0" w:space="0" w:color="auto"/>
        <w:bottom w:val="none" w:sz="0" w:space="0" w:color="auto"/>
        <w:right w:val="none" w:sz="0" w:space="0" w:color="auto"/>
      </w:divBdr>
    </w:div>
    <w:div w:id="139812289">
      <w:bodyDiv w:val="1"/>
      <w:marLeft w:val="0"/>
      <w:marRight w:val="0"/>
      <w:marTop w:val="0"/>
      <w:marBottom w:val="0"/>
      <w:divBdr>
        <w:top w:val="none" w:sz="0" w:space="0" w:color="auto"/>
        <w:left w:val="none" w:sz="0" w:space="0" w:color="auto"/>
        <w:bottom w:val="none" w:sz="0" w:space="0" w:color="auto"/>
        <w:right w:val="none" w:sz="0" w:space="0" w:color="auto"/>
      </w:divBdr>
    </w:div>
    <w:div w:id="181477409">
      <w:bodyDiv w:val="1"/>
      <w:marLeft w:val="0"/>
      <w:marRight w:val="0"/>
      <w:marTop w:val="0"/>
      <w:marBottom w:val="0"/>
      <w:divBdr>
        <w:top w:val="none" w:sz="0" w:space="0" w:color="auto"/>
        <w:left w:val="none" w:sz="0" w:space="0" w:color="auto"/>
        <w:bottom w:val="none" w:sz="0" w:space="0" w:color="auto"/>
        <w:right w:val="none" w:sz="0" w:space="0" w:color="auto"/>
      </w:divBdr>
    </w:div>
    <w:div w:id="207650446">
      <w:bodyDiv w:val="1"/>
      <w:marLeft w:val="0"/>
      <w:marRight w:val="0"/>
      <w:marTop w:val="0"/>
      <w:marBottom w:val="0"/>
      <w:divBdr>
        <w:top w:val="none" w:sz="0" w:space="0" w:color="auto"/>
        <w:left w:val="none" w:sz="0" w:space="0" w:color="auto"/>
        <w:bottom w:val="none" w:sz="0" w:space="0" w:color="auto"/>
        <w:right w:val="none" w:sz="0" w:space="0" w:color="auto"/>
      </w:divBdr>
    </w:div>
    <w:div w:id="255553374">
      <w:bodyDiv w:val="1"/>
      <w:marLeft w:val="0"/>
      <w:marRight w:val="0"/>
      <w:marTop w:val="0"/>
      <w:marBottom w:val="0"/>
      <w:divBdr>
        <w:top w:val="none" w:sz="0" w:space="0" w:color="auto"/>
        <w:left w:val="none" w:sz="0" w:space="0" w:color="auto"/>
        <w:bottom w:val="none" w:sz="0" w:space="0" w:color="auto"/>
        <w:right w:val="none" w:sz="0" w:space="0" w:color="auto"/>
      </w:divBdr>
    </w:div>
    <w:div w:id="259531304">
      <w:bodyDiv w:val="1"/>
      <w:marLeft w:val="0"/>
      <w:marRight w:val="0"/>
      <w:marTop w:val="0"/>
      <w:marBottom w:val="0"/>
      <w:divBdr>
        <w:top w:val="none" w:sz="0" w:space="0" w:color="auto"/>
        <w:left w:val="none" w:sz="0" w:space="0" w:color="auto"/>
        <w:bottom w:val="none" w:sz="0" w:space="0" w:color="auto"/>
        <w:right w:val="none" w:sz="0" w:space="0" w:color="auto"/>
      </w:divBdr>
    </w:div>
    <w:div w:id="262811477">
      <w:bodyDiv w:val="1"/>
      <w:marLeft w:val="0"/>
      <w:marRight w:val="0"/>
      <w:marTop w:val="0"/>
      <w:marBottom w:val="0"/>
      <w:divBdr>
        <w:top w:val="none" w:sz="0" w:space="0" w:color="auto"/>
        <w:left w:val="none" w:sz="0" w:space="0" w:color="auto"/>
        <w:bottom w:val="none" w:sz="0" w:space="0" w:color="auto"/>
        <w:right w:val="none" w:sz="0" w:space="0" w:color="auto"/>
      </w:divBdr>
      <w:divsChild>
        <w:div w:id="1018892096">
          <w:marLeft w:val="0"/>
          <w:marRight w:val="0"/>
          <w:marTop w:val="0"/>
          <w:marBottom w:val="0"/>
          <w:divBdr>
            <w:top w:val="none" w:sz="0" w:space="0" w:color="auto"/>
            <w:left w:val="none" w:sz="0" w:space="0" w:color="auto"/>
            <w:bottom w:val="none" w:sz="0" w:space="0" w:color="auto"/>
            <w:right w:val="none" w:sz="0" w:space="0" w:color="auto"/>
          </w:divBdr>
          <w:divsChild>
            <w:div w:id="979306231">
              <w:marLeft w:val="0"/>
              <w:marRight w:val="0"/>
              <w:marTop w:val="0"/>
              <w:marBottom w:val="0"/>
              <w:divBdr>
                <w:top w:val="none" w:sz="0" w:space="0" w:color="auto"/>
                <w:left w:val="none" w:sz="0" w:space="0" w:color="auto"/>
                <w:bottom w:val="none" w:sz="0" w:space="0" w:color="auto"/>
                <w:right w:val="none" w:sz="0" w:space="0" w:color="auto"/>
              </w:divBdr>
              <w:divsChild>
                <w:div w:id="1403869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3198121">
      <w:bodyDiv w:val="1"/>
      <w:marLeft w:val="0"/>
      <w:marRight w:val="0"/>
      <w:marTop w:val="0"/>
      <w:marBottom w:val="0"/>
      <w:divBdr>
        <w:top w:val="none" w:sz="0" w:space="0" w:color="auto"/>
        <w:left w:val="none" w:sz="0" w:space="0" w:color="auto"/>
        <w:bottom w:val="none" w:sz="0" w:space="0" w:color="auto"/>
        <w:right w:val="none" w:sz="0" w:space="0" w:color="auto"/>
      </w:divBdr>
    </w:div>
    <w:div w:id="265890066">
      <w:bodyDiv w:val="1"/>
      <w:marLeft w:val="0"/>
      <w:marRight w:val="0"/>
      <w:marTop w:val="0"/>
      <w:marBottom w:val="0"/>
      <w:divBdr>
        <w:top w:val="none" w:sz="0" w:space="0" w:color="auto"/>
        <w:left w:val="none" w:sz="0" w:space="0" w:color="auto"/>
        <w:bottom w:val="none" w:sz="0" w:space="0" w:color="auto"/>
        <w:right w:val="none" w:sz="0" w:space="0" w:color="auto"/>
      </w:divBdr>
    </w:div>
    <w:div w:id="276524936">
      <w:bodyDiv w:val="1"/>
      <w:marLeft w:val="0"/>
      <w:marRight w:val="0"/>
      <w:marTop w:val="0"/>
      <w:marBottom w:val="0"/>
      <w:divBdr>
        <w:top w:val="none" w:sz="0" w:space="0" w:color="auto"/>
        <w:left w:val="none" w:sz="0" w:space="0" w:color="auto"/>
        <w:bottom w:val="none" w:sz="0" w:space="0" w:color="auto"/>
        <w:right w:val="none" w:sz="0" w:space="0" w:color="auto"/>
      </w:divBdr>
    </w:div>
    <w:div w:id="298653473">
      <w:bodyDiv w:val="1"/>
      <w:marLeft w:val="0"/>
      <w:marRight w:val="0"/>
      <w:marTop w:val="0"/>
      <w:marBottom w:val="0"/>
      <w:divBdr>
        <w:top w:val="none" w:sz="0" w:space="0" w:color="auto"/>
        <w:left w:val="none" w:sz="0" w:space="0" w:color="auto"/>
        <w:bottom w:val="none" w:sz="0" w:space="0" w:color="auto"/>
        <w:right w:val="none" w:sz="0" w:space="0" w:color="auto"/>
      </w:divBdr>
    </w:div>
    <w:div w:id="345138283">
      <w:bodyDiv w:val="1"/>
      <w:marLeft w:val="0"/>
      <w:marRight w:val="0"/>
      <w:marTop w:val="0"/>
      <w:marBottom w:val="0"/>
      <w:divBdr>
        <w:top w:val="none" w:sz="0" w:space="0" w:color="auto"/>
        <w:left w:val="none" w:sz="0" w:space="0" w:color="auto"/>
        <w:bottom w:val="none" w:sz="0" w:space="0" w:color="auto"/>
        <w:right w:val="none" w:sz="0" w:space="0" w:color="auto"/>
      </w:divBdr>
    </w:div>
    <w:div w:id="358363490">
      <w:bodyDiv w:val="1"/>
      <w:marLeft w:val="0"/>
      <w:marRight w:val="0"/>
      <w:marTop w:val="0"/>
      <w:marBottom w:val="0"/>
      <w:divBdr>
        <w:top w:val="none" w:sz="0" w:space="0" w:color="auto"/>
        <w:left w:val="none" w:sz="0" w:space="0" w:color="auto"/>
        <w:bottom w:val="none" w:sz="0" w:space="0" w:color="auto"/>
        <w:right w:val="none" w:sz="0" w:space="0" w:color="auto"/>
      </w:divBdr>
    </w:div>
    <w:div w:id="362511686">
      <w:bodyDiv w:val="1"/>
      <w:marLeft w:val="0"/>
      <w:marRight w:val="0"/>
      <w:marTop w:val="0"/>
      <w:marBottom w:val="0"/>
      <w:divBdr>
        <w:top w:val="none" w:sz="0" w:space="0" w:color="auto"/>
        <w:left w:val="none" w:sz="0" w:space="0" w:color="auto"/>
        <w:bottom w:val="none" w:sz="0" w:space="0" w:color="auto"/>
        <w:right w:val="none" w:sz="0" w:space="0" w:color="auto"/>
      </w:divBdr>
    </w:div>
    <w:div w:id="392042495">
      <w:bodyDiv w:val="1"/>
      <w:marLeft w:val="0"/>
      <w:marRight w:val="0"/>
      <w:marTop w:val="0"/>
      <w:marBottom w:val="0"/>
      <w:divBdr>
        <w:top w:val="none" w:sz="0" w:space="0" w:color="auto"/>
        <w:left w:val="none" w:sz="0" w:space="0" w:color="auto"/>
        <w:bottom w:val="none" w:sz="0" w:space="0" w:color="auto"/>
        <w:right w:val="none" w:sz="0" w:space="0" w:color="auto"/>
      </w:divBdr>
    </w:div>
    <w:div w:id="403450478">
      <w:bodyDiv w:val="1"/>
      <w:marLeft w:val="0"/>
      <w:marRight w:val="0"/>
      <w:marTop w:val="0"/>
      <w:marBottom w:val="0"/>
      <w:divBdr>
        <w:top w:val="none" w:sz="0" w:space="0" w:color="auto"/>
        <w:left w:val="none" w:sz="0" w:space="0" w:color="auto"/>
        <w:bottom w:val="none" w:sz="0" w:space="0" w:color="auto"/>
        <w:right w:val="none" w:sz="0" w:space="0" w:color="auto"/>
      </w:divBdr>
    </w:div>
    <w:div w:id="419254182">
      <w:bodyDiv w:val="1"/>
      <w:marLeft w:val="0"/>
      <w:marRight w:val="0"/>
      <w:marTop w:val="0"/>
      <w:marBottom w:val="0"/>
      <w:divBdr>
        <w:top w:val="none" w:sz="0" w:space="0" w:color="auto"/>
        <w:left w:val="none" w:sz="0" w:space="0" w:color="auto"/>
        <w:bottom w:val="none" w:sz="0" w:space="0" w:color="auto"/>
        <w:right w:val="none" w:sz="0" w:space="0" w:color="auto"/>
      </w:divBdr>
    </w:div>
    <w:div w:id="476337888">
      <w:bodyDiv w:val="1"/>
      <w:marLeft w:val="0"/>
      <w:marRight w:val="0"/>
      <w:marTop w:val="0"/>
      <w:marBottom w:val="0"/>
      <w:divBdr>
        <w:top w:val="none" w:sz="0" w:space="0" w:color="auto"/>
        <w:left w:val="none" w:sz="0" w:space="0" w:color="auto"/>
        <w:bottom w:val="none" w:sz="0" w:space="0" w:color="auto"/>
        <w:right w:val="none" w:sz="0" w:space="0" w:color="auto"/>
      </w:divBdr>
    </w:div>
    <w:div w:id="498079665">
      <w:bodyDiv w:val="1"/>
      <w:marLeft w:val="0"/>
      <w:marRight w:val="0"/>
      <w:marTop w:val="0"/>
      <w:marBottom w:val="0"/>
      <w:divBdr>
        <w:top w:val="none" w:sz="0" w:space="0" w:color="auto"/>
        <w:left w:val="none" w:sz="0" w:space="0" w:color="auto"/>
        <w:bottom w:val="none" w:sz="0" w:space="0" w:color="auto"/>
        <w:right w:val="none" w:sz="0" w:space="0" w:color="auto"/>
      </w:divBdr>
    </w:div>
    <w:div w:id="514655406">
      <w:bodyDiv w:val="1"/>
      <w:marLeft w:val="0"/>
      <w:marRight w:val="0"/>
      <w:marTop w:val="0"/>
      <w:marBottom w:val="0"/>
      <w:divBdr>
        <w:top w:val="none" w:sz="0" w:space="0" w:color="auto"/>
        <w:left w:val="none" w:sz="0" w:space="0" w:color="auto"/>
        <w:bottom w:val="none" w:sz="0" w:space="0" w:color="auto"/>
        <w:right w:val="none" w:sz="0" w:space="0" w:color="auto"/>
      </w:divBdr>
    </w:div>
    <w:div w:id="528177182">
      <w:bodyDiv w:val="1"/>
      <w:marLeft w:val="0"/>
      <w:marRight w:val="0"/>
      <w:marTop w:val="0"/>
      <w:marBottom w:val="0"/>
      <w:divBdr>
        <w:top w:val="none" w:sz="0" w:space="0" w:color="auto"/>
        <w:left w:val="none" w:sz="0" w:space="0" w:color="auto"/>
        <w:bottom w:val="none" w:sz="0" w:space="0" w:color="auto"/>
        <w:right w:val="none" w:sz="0" w:space="0" w:color="auto"/>
      </w:divBdr>
    </w:div>
    <w:div w:id="549076562">
      <w:bodyDiv w:val="1"/>
      <w:marLeft w:val="0"/>
      <w:marRight w:val="0"/>
      <w:marTop w:val="0"/>
      <w:marBottom w:val="0"/>
      <w:divBdr>
        <w:top w:val="none" w:sz="0" w:space="0" w:color="auto"/>
        <w:left w:val="none" w:sz="0" w:space="0" w:color="auto"/>
        <w:bottom w:val="none" w:sz="0" w:space="0" w:color="auto"/>
        <w:right w:val="none" w:sz="0" w:space="0" w:color="auto"/>
      </w:divBdr>
    </w:div>
    <w:div w:id="565457098">
      <w:bodyDiv w:val="1"/>
      <w:marLeft w:val="0"/>
      <w:marRight w:val="0"/>
      <w:marTop w:val="0"/>
      <w:marBottom w:val="0"/>
      <w:divBdr>
        <w:top w:val="none" w:sz="0" w:space="0" w:color="auto"/>
        <w:left w:val="none" w:sz="0" w:space="0" w:color="auto"/>
        <w:bottom w:val="none" w:sz="0" w:space="0" w:color="auto"/>
        <w:right w:val="none" w:sz="0" w:space="0" w:color="auto"/>
      </w:divBdr>
    </w:div>
    <w:div w:id="569971770">
      <w:bodyDiv w:val="1"/>
      <w:marLeft w:val="0"/>
      <w:marRight w:val="0"/>
      <w:marTop w:val="0"/>
      <w:marBottom w:val="0"/>
      <w:divBdr>
        <w:top w:val="none" w:sz="0" w:space="0" w:color="auto"/>
        <w:left w:val="none" w:sz="0" w:space="0" w:color="auto"/>
        <w:bottom w:val="none" w:sz="0" w:space="0" w:color="auto"/>
        <w:right w:val="none" w:sz="0" w:space="0" w:color="auto"/>
      </w:divBdr>
    </w:div>
    <w:div w:id="590743993">
      <w:bodyDiv w:val="1"/>
      <w:marLeft w:val="0"/>
      <w:marRight w:val="0"/>
      <w:marTop w:val="0"/>
      <w:marBottom w:val="0"/>
      <w:divBdr>
        <w:top w:val="none" w:sz="0" w:space="0" w:color="auto"/>
        <w:left w:val="none" w:sz="0" w:space="0" w:color="auto"/>
        <w:bottom w:val="none" w:sz="0" w:space="0" w:color="auto"/>
        <w:right w:val="none" w:sz="0" w:space="0" w:color="auto"/>
      </w:divBdr>
    </w:div>
    <w:div w:id="622468834">
      <w:bodyDiv w:val="1"/>
      <w:marLeft w:val="0"/>
      <w:marRight w:val="0"/>
      <w:marTop w:val="0"/>
      <w:marBottom w:val="0"/>
      <w:divBdr>
        <w:top w:val="none" w:sz="0" w:space="0" w:color="auto"/>
        <w:left w:val="none" w:sz="0" w:space="0" w:color="auto"/>
        <w:bottom w:val="none" w:sz="0" w:space="0" w:color="auto"/>
        <w:right w:val="none" w:sz="0" w:space="0" w:color="auto"/>
      </w:divBdr>
    </w:div>
    <w:div w:id="641496780">
      <w:bodyDiv w:val="1"/>
      <w:marLeft w:val="0"/>
      <w:marRight w:val="0"/>
      <w:marTop w:val="0"/>
      <w:marBottom w:val="0"/>
      <w:divBdr>
        <w:top w:val="none" w:sz="0" w:space="0" w:color="auto"/>
        <w:left w:val="none" w:sz="0" w:space="0" w:color="auto"/>
        <w:bottom w:val="none" w:sz="0" w:space="0" w:color="auto"/>
        <w:right w:val="none" w:sz="0" w:space="0" w:color="auto"/>
      </w:divBdr>
    </w:div>
    <w:div w:id="644966226">
      <w:bodyDiv w:val="1"/>
      <w:marLeft w:val="0"/>
      <w:marRight w:val="0"/>
      <w:marTop w:val="0"/>
      <w:marBottom w:val="0"/>
      <w:divBdr>
        <w:top w:val="none" w:sz="0" w:space="0" w:color="auto"/>
        <w:left w:val="none" w:sz="0" w:space="0" w:color="auto"/>
        <w:bottom w:val="none" w:sz="0" w:space="0" w:color="auto"/>
        <w:right w:val="none" w:sz="0" w:space="0" w:color="auto"/>
      </w:divBdr>
    </w:div>
    <w:div w:id="662197277">
      <w:bodyDiv w:val="1"/>
      <w:marLeft w:val="0"/>
      <w:marRight w:val="0"/>
      <w:marTop w:val="0"/>
      <w:marBottom w:val="0"/>
      <w:divBdr>
        <w:top w:val="none" w:sz="0" w:space="0" w:color="auto"/>
        <w:left w:val="none" w:sz="0" w:space="0" w:color="auto"/>
        <w:bottom w:val="none" w:sz="0" w:space="0" w:color="auto"/>
        <w:right w:val="none" w:sz="0" w:space="0" w:color="auto"/>
      </w:divBdr>
    </w:div>
    <w:div w:id="668870372">
      <w:bodyDiv w:val="1"/>
      <w:marLeft w:val="0"/>
      <w:marRight w:val="0"/>
      <w:marTop w:val="0"/>
      <w:marBottom w:val="0"/>
      <w:divBdr>
        <w:top w:val="none" w:sz="0" w:space="0" w:color="auto"/>
        <w:left w:val="none" w:sz="0" w:space="0" w:color="auto"/>
        <w:bottom w:val="none" w:sz="0" w:space="0" w:color="auto"/>
        <w:right w:val="none" w:sz="0" w:space="0" w:color="auto"/>
      </w:divBdr>
    </w:div>
    <w:div w:id="687485274">
      <w:bodyDiv w:val="1"/>
      <w:marLeft w:val="0"/>
      <w:marRight w:val="0"/>
      <w:marTop w:val="0"/>
      <w:marBottom w:val="0"/>
      <w:divBdr>
        <w:top w:val="none" w:sz="0" w:space="0" w:color="auto"/>
        <w:left w:val="none" w:sz="0" w:space="0" w:color="auto"/>
        <w:bottom w:val="none" w:sz="0" w:space="0" w:color="auto"/>
        <w:right w:val="none" w:sz="0" w:space="0" w:color="auto"/>
      </w:divBdr>
    </w:div>
    <w:div w:id="751505834">
      <w:bodyDiv w:val="1"/>
      <w:marLeft w:val="0"/>
      <w:marRight w:val="0"/>
      <w:marTop w:val="0"/>
      <w:marBottom w:val="0"/>
      <w:divBdr>
        <w:top w:val="none" w:sz="0" w:space="0" w:color="auto"/>
        <w:left w:val="none" w:sz="0" w:space="0" w:color="auto"/>
        <w:bottom w:val="none" w:sz="0" w:space="0" w:color="auto"/>
        <w:right w:val="none" w:sz="0" w:space="0" w:color="auto"/>
      </w:divBdr>
    </w:div>
    <w:div w:id="786193017">
      <w:bodyDiv w:val="1"/>
      <w:marLeft w:val="0"/>
      <w:marRight w:val="0"/>
      <w:marTop w:val="0"/>
      <w:marBottom w:val="0"/>
      <w:divBdr>
        <w:top w:val="none" w:sz="0" w:space="0" w:color="auto"/>
        <w:left w:val="none" w:sz="0" w:space="0" w:color="auto"/>
        <w:bottom w:val="none" w:sz="0" w:space="0" w:color="auto"/>
        <w:right w:val="none" w:sz="0" w:space="0" w:color="auto"/>
      </w:divBdr>
    </w:div>
    <w:div w:id="788357230">
      <w:bodyDiv w:val="1"/>
      <w:marLeft w:val="0"/>
      <w:marRight w:val="0"/>
      <w:marTop w:val="0"/>
      <w:marBottom w:val="0"/>
      <w:divBdr>
        <w:top w:val="none" w:sz="0" w:space="0" w:color="auto"/>
        <w:left w:val="none" w:sz="0" w:space="0" w:color="auto"/>
        <w:bottom w:val="none" w:sz="0" w:space="0" w:color="auto"/>
        <w:right w:val="none" w:sz="0" w:space="0" w:color="auto"/>
      </w:divBdr>
    </w:div>
    <w:div w:id="800882564">
      <w:bodyDiv w:val="1"/>
      <w:marLeft w:val="0"/>
      <w:marRight w:val="0"/>
      <w:marTop w:val="0"/>
      <w:marBottom w:val="0"/>
      <w:divBdr>
        <w:top w:val="none" w:sz="0" w:space="0" w:color="auto"/>
        <w:left w:val="none" w:sz="0" w:space="0" w:color="auto"/>
        <w:bottom w:val="none" w:sz="0" w:space="0" w:color="auto"/>
        <w:right w:val="none" w:sz="0" w:space="0" w:color="auto"/>
      </w:divBdr>
    </w:div>
    <w:div w:id="817310735">
      <w:bodyDiv w:val="1"/>
      <w:marLeft w:val="0"/>
      <w:marRight w:val="0"/>
      <w:marTop w:val="0"/>
      <w:marBottom w:val="0"/>
      <w:divBdr>
        <w:top w:val="none" w:sz="0" w:space="0" w:color="auto"/>
        <w:left w:val="none" w:sz="0" w:space="0" w:color="auto"/>
        <w:bottom w:val="none" w:sz="0" w:space="0" w:color="auto"/>
        <w:right w:val="none" w:sz="0" w:space="0" w:color="auto"/>
      </w:divBdr>
    </w:div>
    <w:div w:id="865748767">
      <w:bodyDiv w:val="1"/>
      <w:marLeft w:val="0"/>
      <w:marRight w:val="0"/>
      <w:marTop w:val="0"/>
      <w:marBottom w:val="0"/>
      <w:divBdr>
        <w:top w:val="none" w:sz="0" w:space="0" w:color="auto"/>
        <w:left w:val="none" w:sz="0" w:space="0" w:color="auto"/>
        <w:bottom w:val="none" w:sz="0" w:space="0" w:color="auto"/>
        <w:right w:val="none" w:sz="0" w:space="0" w:color="auto"/>
      </w:divBdr>
    </w:div>
    <w:div w:id="888615874">
      <w:bodyDiv w:val="1"/>
      <w:marLeft w:val="0"/>
      <w:marRight w:val="0"/>
      <w:marTop w:val="0"/>
      <w:marBottom w:val="0"/>
      <w:divBdr>
        <w:top w:val="none" w:sz="0" w:space="0" w:color="auto"/>
        <w:left w:val="none" w:sz="0" w:space="0" w:color="auto"/>
        <w:bottom w:val="none" w:sz="0" w:space="0" w:color="auto"/>
        <w:right w:val="none" w:sz="0" w:space="0" w:color="auto"/>
      </w:divBdr>
    </w:div>
    <w:div w:id="904727946">
      <w:bodyDiv w:val="1"/>
      <w:marLeft w:val="0"/>
      <w:marRight w:val="0"/>
      <w:marTop w:val="0"/>
      <w:marBottom w:val="0"/>
      <w:divBdr>
        <w:top w:val="none" w:sz="0" w:space="0" w:color="auto"/>
        <w:left w:val="none" w:sz="0" w:space="0" w:color="auto"/>
        <w:bottom w:val="none" w:sz="0" w:space="0" w:color="auto"/>
        <w:right w:val="none" w:sz="0" w:space="0" w:color="auto"/>
      </w:divBdr>
    </w:div>
    <w:div w:id="916941255">
      <w:bodyDiv w:val="1"/>
      <w:marLeft w:val="0"/>
      <w:marRight w:val="0"/>
      <w:marTop w:val="0"/>
      <w:marBottom w:val="0"/>
      <w:divBdr>
        <w:top w:val="none" w:sz="0" w:space="0" w:color="auto"/>
        <w:left w:val="none" w:sz="0" w:space="0" w:color="auto"/>
        <w:bottom w:val="none" w:sz="0" w:space="0" w:color="auto"/>
        <w:right w:val="none" w:sz="0" w:space="0" w:color="auto"/>
      </w:divBdr>
    </w:div>
    <w:div w:id="934901258">
      <w:bodyDiv w:val="1"/>
      <w:marLeft w:val="0"/>
      <w:marRight w:val="0"/>
      <w:marTop w:val="0"/>
      <w:marBottom w:val="0"/>
      <w:divBdr>
        <w:top w:val="none" w:sz="0" w:space="0" w:color="auto"/>
        <w:left w:val="none" w:sz="0" w:space="0" w:color="auto"/>
        <w:bottom w:val="none" w:sz="0" w:space="0" w:color="auto"/>
        <w:right w:val="none" w:sz="0" w:space="0" w:color="auto"/>
      </w:divBdr>
      <w:divsChild>
        <w:div w:id="1088112520">
          <w:marLeft w:val="0"/>
          <w:marRight w:val="0"/>
          <w:marTop w:val="0"/>
          <w:marBottom w:val="0"/>
          <w:divBdr>
            <w:top w:val="none" w:sz="0" w:space="0" w:color="auto"/>
            <w:left w:val="none" w:sz="0" w:space="0" w:color="auto"/>
            <w:bottom w:val="none" w:sz="0" w:space="0" w:color="auto"/>
            <w:right w:val="none" w:sz="0" w:space="0" w:color="auto"/>
          </w:divBdr>
          <w:divsChild>
            <w:div w:id="1106580406">
              <w:marLeft w:val="0"/>
              <w:marRight w:val="0"/>
              <w:marTop w:val="0"/>
              <w:marBottom w:val="0"/>
              <w:divBdr>
                <w:top w:val="none" w:sz="0" w:space="0" w:color="auto"/>
                <w:left w:val="none" w:sz="0" w:space="0" w:color="auto"/>
                <w:bottom w:val="none" w:sz="0" w:space="0" w:color="auto"/>
                <w:right w:val="none" w:sz="0" w:space="0" w:color="auto"/>
              </w:divBdr>
              <w:divsChild>
                <w:div w:id="176923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997888">
      <w:bodyDiv w:val="1"/>
      <w:marLeft w:val="0"/>
      <w:marRight w:val="0"/>
      <w:marTop w:val="0"/>
      <w:marBottom w:val="0"/>
      <w:divBdr>
        <w:top w:val="none" w:sz="0" w:space="0" w:color="auto"/>
        <w:left w:val="none" w:sz="0" w:space="0" w:color="auto"/>
        <w:bottom w:val="none" w:sz="0" w:space="0" w:color="auto"/>
        <w:right w:val="none" w:sz="0" w:space="0" w:color="auto"/>
      </w:divBdr>
    </w:div>
    <w:div w:id="962342538">
      <w:bodyDiv w:val="1"/>
      <w:marLeft w:val="0"/>
      <w:marRight w:val="0"/>
      <w:marTop w:val="0"/>
      <w:marBottom w:val="0"/>
      <w:divBdr>
        <w:top w:val="none" w:sz="0" w:space="0" w:color="auto"/>
        <w:left w:val="none" w:sz="0" w:space="0" w:color="auto"/>
        <w:bottom w:val="none" w:sz="0" w:space="0" w:color="auto"/>
        <w:right w:val="none" w:sz="0" w:space="0" w:color="auto"/>
      </w:divBdr>
    </w:div>
    <w:div w:id="963468144">
      <w:bodyDiv w:val="1"/>
      <w:marLeft w:val="0"/>
      <w:marRight w:val="0"/>
      <w:marTop w:val="0"/>
      <w:marBottom w:val="0"/>
      <w:divBdr>
        <w:top w:val="none" w:sz="0" w:space="0" w:color="auto"/>
        <w:left w:val="none" w:sz="0" w:space="0" w:color="auto"/>
        <w:bottom w:val="none" w:sz="0" w:space="0" w:color="auto"/>
        <w:right w:val="none" w:sz="0" w:space="0" w:color="auto"/>
      </w:divBdr>
    </w:div>
    <w:div w:id="964653062">
      <w:bodyDiv w:val="1"/>
      <w:marLeft w:val="0"/>
      <w:marRight w:val="0"/>
      <w:marTop w:val="0"/>
      <w:marBottom w:val="0"/>
      <w:divBdr>
        <w:top w:val="none" w:sz="0" w:space="0" w:color="auto"/>
        <w:left w:val="none" w:sz="0" w:space="0" w:color="auto"/>
        <w:bottom w:val="none" w:sz="0" w:space="0" w:color="auto"/>
        <w:right w:val="none" w:sz="0" w:space="0" w:color="auto"/>
      </w:divBdr>
    </w:div>
    <w:div w:id="973831642">
      <w:bodyDiv w:val="1"/>
      <w:marLeft w:val="0"/>
      <w:marRight w:val="0"/>
      <w:marTop w:val="0"/>
      <w:marBottom w:val="0"/>
      <w:divBdr>
        <w:top w:val="none" w:sz="0" w:space="0" w:color="auto"/>
        <w:left w:val="none" w:sz="0" w:space="0" w:color="auto"/>
        <w:bottom w:val="none" w:sz="0" w:space="0" w:color="auto"/>
        <w:right w:val="none" w:sz="0" w:space="0" w:color="auto"/>
      </w:divBdr>
    </w:div>
    <w:div w:id="1015184205">
      <w:bodyDiv w:val="1"/>
      <w:marLeft w:val="0"/>
      <w:marRight w:val="0"/>
      <w:marTop w:val="0"/>
      <w:marBottom w:val="0"/>
      <w:divBdr>
        <w:top w:val="none" w:sz="0" w:space="0" w:color="auto"/>
        <w:left w:val="none" w:sz="0" w:space="0" w:color="auto"/>
        <w:bottom w:val="none" w:sz="0" w:space="0" w:color="auto"/>
        <w:right w:val="none" w:sz="0" w:space="0" w:color="auto"/>
      </w:divBdr>
    </w:div>
    <w:div w:id="1021399420">
      <w:bodyDiv w:val="1"/>
      <w:marLeft w:val="0"/>
      <w:marRight w:val="0"/>
      <w:marTop w:val="0"/>
      <w:marBottom w:val="0"/>
      <w:divBdr>
        <w:top w:val="none" w:sz="0" w:space="0" w:color="auto"/>
        <w:left w:val="none" w:sz="0" w:space="0" w:color="auto"/>
        <w:bottom w:val="none" w:sz="0" w:space="0" w:color="auto"/>
        <w:right w:val="none" w:sz="0" w:space="0" w:color="auto"/>
      </w:divBdr>
    </w:div>
    <w:div w:id="1046485925">
      <w:bodyDiv w:val="1"/>
      <w:marLeft w:val="0"/>
      <w:marRight w:val="0"/>
      <w:marTop w:val="0"/>
      <w:marBottom w:val="0"/>
      <w:divBdr>
        <w:top w:val="none" w:sz="0" w:space="0" w:color="auto"/>
        <w:left w:val="none" w:sz="0" w:space="0" w:color="auto"/>
        <w:bottom w:val="none" w:sz="0" w:space="0" w:color="auto"/>
        <w:right w:val="none" w:sz="0" w:space="0" w:color="auto"/>
      </w:divBdr>
    </w:div>
    <w:div w:id="1066538142">
      <w:bodyDiv w:val="1"/>
      <w:marLeft w:val="0"/>
      <w:marRight w:val="0"/>
      <w:marTop w:val="0"/>
      <w:marBottom w:val="0"/>
      <w:divBdr>
        <w:top w:val="none" w:sz="0" w:space="0" w:color="auto"/>
        <w:left w:val="none" w:sz="0" w:space="0" w:color="auto"/>
        <w:bottom w:val="none" w:sz="0" w:space="0" w:color="auto"/>
        <w:right w:val="none" w:sz="0" w:space="0" w:color="auto"/>
      </w:divBdr>
    </w:div>
    <w:div w:id="1070269832">
      <w:bodyDiv w:val="1"/>
      <w:marLeft w:val="0"/>
      <w:marRight w:val="0"/>
      <w:marTop w:val="0"/>
      <w:marBottom w:val="0"/>
      <w:divBdr>
        <w:top w:val="none" w:sz="0" w:space="0" w:color="auto"/>
        <w:left w:val="none" w:sz="0" w:space="0" w:color="auto"/>
        <w:bottom w:val="none" w:sz="0" w:space="0" w:color="auto"/>
        <w:right w:val="none" w:sz="0" w:space="0" w:color="auto"/>
      </w:divBdr>
    </w:div>
    <w:div w:id="1073510600">
      <w:bodyDiv w:val="1"/>
      <w:marLeft w:val="0"/>
      <w:marRight w:val="0"/>
      <w:marTop w:val="0"/>
      <w:marBottom w:val="0"/>
      <w:divBdr>
        <w:top w:val="none" w:sz="0" w:space="0" w:color="auto"/>
        <w:left w:val="none" w:sz="0" w:space="0" w:color="auto"/>
        <w:bottom w:val="none" w:sz="0" w:space="0" w:color="auto"/>
        <w:right w:val="none" w:sz="0" w:space="0" w:color="auto"/>
      </w:divBdr>
    </w:div>
    <w:div w:id="1103185430">
      <w:bodyDiv w:val="1"/>
      <w:marLeft w:val="0"/>
      <w:marRight w:val="0"/>
      <w:marTop w:val="0"/>
      <w:marBottom w:val="0"/>
      <w:divBdr>
        <w:top w:val="none" w:sz="0" w:space="0" w:color="auto"/>
        <w:left w:val="none" w:sz="0" w:space="0" w:color="auto"/>
        <w:bottom w:val="none" w:sz="0" w:space="0" w:color="auto"/>
        <w:right w:val="none" w:sz="0" w:space="0" w:color="auto"/>
      </w:divBdr>
    </w:div>
    <w:div w:id="1120690281">
      <w:bodyDiv w:val="1"/>
      <w:marLeft w:val="0"/>
      <w:marRight w:val="0"/>
      <w:marTop w:val="0"/>
      <w:marBottom w:val="0"/>
      <w:divBdr>
        <w:top w:val="none" w:sz="0" w:space="0" w:color="auto"/>
        <w:left w:val="none" w:sz="0" w:space="0" w:color="auto"/>
        <w:bottom w:val="none" w:sz="0" w:space="0" w:color="auto"/>
        <w:right w:val="none" w:sz="0" w:space="0" w:color="auto"/>
      </w:divBdr>
    </w:div>
    <w:div w:id="1124696040">
      <w:bodyDiv w:val="1"/>
      <w:marLeft w:val="0"/>
      <w:marRight w:val="0"/>
      <w:marTop w:val="0"/>
      <w:marBottom w:val="0"/>
      <w:divBdr>
        <w:top w:val="none" w:sz="0" w:space="0" w:color="auto"/>
        <w:left w:val="none" w:sz="0" w:space="0" w:color="auto"/>
        <w:bottom w:val="none" w:sz="0" w:space="0" w:color="auto"/>
        <w:right w:val="none" w:sz="0" w:space="0" w:color="auto"/>
      </w:divBdr>
    </w:div>
    <w:div w:id="1171526240">
      <w:bodyDiv w:val="1"/>
      <w:marLeft w:val="0"/>
      <w:marRight w:val="0"/>
      <w:marTop w:val="0"/>
      <w:marBottom w:val="0"/>
      <w:divBdr>
        <w:top w:val="none" w:sz="0" w:space="0" w:color="auto"/>
        <w:left w:val="none" w:sz="0" w:space="0" w:color="auto"/>
        <w:bottom w:val="none" w:sz="0" w:space="0" w:color="auto"/>
        <w:right w:val="none" w:sz="0" w:space="0" w:color="auto"/>
      </w:divBdr>
    </w:div>
    <w:div w:id="1199927541">
      <w:bodyDiv w:val="1"/>
      <w:marLeft w:val="0"/>
      <w:marRight w:val="0"/>
      <w:marTop w:val="0"/>
      <w:marBottom w:val="0"/>
      <w:divBdr>
        <w:top w:val="none" w:sz="0" w:space="0" w:color="auto"/>
        <w:left w:val="none" w:sz="0" w:space="0" w:color="auto"/>
        <w:bottom w:val="none" w:sz="0" w:space="0" w:color="auto"/>
        <w:right w:val="none" w:sz="0" w:space="0" w:color="auto"/>
      </w:divBdr>
    </w:div>
    <w:div w:id="1209731349">
      <w:bodyDiv w:val="1"/>
      <w:marLeft w:val="0"/>
      <w:marRight w:val="0"/>
      <w:marTop w:val="0"/>
      <w:marBottom w:val="0"/>
      <w:divBdr>
        <w:top w:val="none" w:sz="0" w:space="0" w:color="auto"/>
        <w:left w:val="none" w:sz="0" w:space="0" w:color="auto"/>
        <w:bottom w:val="none" w:sz="0" w:space="0" w:color="auto"/>
        <w:right w:val="none" w:sz="0" w:space="0" w:color="auto"/>
      </w:divBdr>
    </w:div>
    <w:div w:id="1212767706">
      <w:bodyDiv w:val="1"/>
      <w:marLeft w:val="0"/>
      <w:marRight w:val="0"/>
      <w:marTop w:val="0"/>
      <w:marBottom w:val="0"/>
      <w:divBdr>
        <w:top w:val="none" w:sz="0" w:space="0" w:color="auto"/>
        <w:left w:val="none" w:sz="0" w:space="0" w:color="auto"/>
        <w:bottom w:val="none" w:sz="0" w:space="0" w:color="auto"/>
        <w:right w:val="none" w:sz="0" w:space="0" w:color="auto"/>
      </w:divBdr>
    </w:div>
    <w:div w:id="1213269134">
      <w:bodyDiv w:val="1"/>
      <w:marLeft w:val="0"/>
      <w:marRight w:val="0"/>
      <w:marTop w:val="0"/>
      <w:marBottom w:val="0"/>
      <w:divBdr>
        <w:top w:val="none" w:sz="0" w:space="0" w:color="auto"/>
        <w:left w:val="none" w:sz="0" w:space="0" w:color="auto"/>
        <w:bottom w:val="none" w:sz="0" w:space="0" w:color="auto"/>
        <w:right w:val="none" w:sz="0" w:space="0" w:color="auto"/>
      </w:divBdr>
    </w:div>
    <w:div w:id="1225872521">
      <w:bodyDiv w:val="1"/>
      <w:marLeft w:val="0"/>
      <w:marRight w:val="0"/>
      <w:marTop w:val="0"/>
      <w:marBottom w:val="0"/>
      <w:divBdr>
        <w:top w:val="none" w:sz="0" w:space="0" w:color="auto"/>
        <w:left w:val="none" w:sz="0" w:space="0" w:color="auto"/>
        <w:bottom w:val="none" w:sz="0" w:space="0" w:color="auto"/>
        <w:right w:val="none" w:sz="0" w:space="0" w:color="auto"/>
      </w:divBdr>
    </w:div>
    <w:div w:id="1248613201">
      <w:bodyDiv w:val="1"/>
      <w:marLeft w:val="0"/>
      <w:marRight w:val="0"/>
      <w:marTop w:val="0"/>
      <w:marBottom w:val="0"/>
      <w:divBdr>
        <w:top w:val="none" w:sz="0" w:space="0" w:color="auto"/>
        <w:left w:val="none" w:sz="0" w:space="0" w:color="auto"/>
        <w:bottom w:val="none" w:sz="0" w:space="0" w:color="auto"/>
        <w:right w:val="none" w:sz="0" w:space="0" w:color="auto"/>
      </w:divBdr>
    </w:div>
    <w:div w:id="1250233463">
      <w:bodyDiv w:val="1"/>
      <w:marLeft w:val="0"/>
      <w:marRight w:val="0"/>
      <w:marTop w:val="0"/>
      <w:marBottom w:val="0"/>
      <w:divBdr>
        <w:top w:val="none" w:sz="0" w:space="0" w:color="auto"/>
        <w:left w:val="none" w:sz="0" w:space="0" w:color="auto"/>
        <w:bottom w:val="none" w:sz="0" w:space="0" w:color="auto"/>
        <w:right w:val="none" w:sz="0" w:space="0" w:color="auto"/>
      </w:divBdr>
    </w:div>
    <w:div w:id="1285498511">
      <w:bodyDiv w:val="1"/>
      <w:marLeft w:val="0"/>
      <w:marRight w:val="0"/>
      <w:marTop w:val="0"/>
      <w:marBottom w:val="0"/>
      <w:divBdr>
        <w:top w:val="none" w:sz="0" w:space="0" w:color="auto"/>
        <w:left w:val="none" w:sz="0" w:space="0" w:color="auto"/>
        <w:bottom w:val="none" w:sz="0" w:space="0" w:color="auto"/>
        <w:right w:val="none" w:sz="0" w:space="0" w:color="auto"/>
      </w:divBdr>
    </w:div>
    <w:div w:id="1297108526">
      <w:bodyDiv w:val="1"/>
      <w:marLeft w:val="0"/>
      <w:marRight w:val="0"/>
      <w:marTop w:val="0"/>
      <w:marBottom w:val="0"/>
      <w:divBdr>
        <w:top w:val="none" w:sz="0" w:space="0" w:color="auto"/>
        <w:left w:val="none" w:sz="0" w:space="0" w:color="auto"/>
        <w:bottom w:val="none" w:sz="0" w:space="0" w:color="auto"/>
        <w:right w:val="none" w:sz="0" w:space="0" w:color="auto"/>
      </w:divBdr>
    </w:div>
    <w:div w:id="1316298738">
      <w:bodyDiv w:val="1"/>
      <w:marLeft w:val="0"/>
      <w:marRight w:val="0"/>
      <w:marTop w:val="0"/>
      <w:marBottom w:val="0"/>
      <w:divBdr>
        <w:top w:val="none" w:sz="0" w:space="0" w:color="auto"/>
        <w:left w:val="none" w:sz="0" w:space="0" w:color="auto"/>
        <w:bottom w:val="none" w:sz="0" w:space="0" w:color="auto"/>
        <w:right w:val="none" w:sz="0" w:space="0" w:color="auto"/>
      </w:divBdr>
    </w:div>
    <w:div w:id="1318799133">
      <w:bodyDiv w:val="1"/>
      <w:marLeft w:val="0"/>
      <w:marRight w:val="0"/>
      <w:marTop w:val="0"/>
      <w:marBottom w:val="0"/>
      <w:divBdr>
        <w:top w:val="none" w:sz="0" w:space="0" w:color="auto"/>
        <w:left w:val="none" w:sz="0" w:space="0" w:color="auto"/>
        <w:bottom w:val="none" w:sz="0" w:space="0" w:color="auto"/>
        <w:right w:val="none" w:sz="0" w:space="0" w:color="auto"/>
      </w:divBdr>
    </w:div>
    <w:div w:id="1325091847">
      <w:bodyDiv w:val="1"/>
      <w:marLeft w:val="0"/>
      <w:marRight w:val="0"/>
      <w:marTop w:val="0"/>
      <w:marBottom w:val="0"/>
      <w:divBdr>
        <w:top w:val="none" w:sz="0" w:space="0" w:color="auto"/>
        <w:left w:val="none" w:sz="0" w:space="0" w:color="auto"/>
        <w:bottom w:val="none" w:sz="0" w:space="0" w:color="auto"/>
        <w:right w:val="none" w:sz="0" w:space="0" w:color="auto"/>
      </w:divBdr>
    </w:div>
    <w:div w:id="1368942903">
      <w:bodyDiv w:val="1"/>
      <w:marLeft w:val="0"/>
      <w:marRight w:val="0"/>
      <w:marTop w:val="0"/>
      <w:marBottom w:val="0"/>
      <w:divBdr>
        <w:top w:val="none" w:sz="0" w:space="0" w:color="auto"/>
        <w:left w:val="none" w:sz="0" w:space="0" w:color="auto"/>
        <w:bottom w:val="none" w:sz="0" w:space="0" w:color="auto"/>
        <w:right w:val="none" w:sz="0" w:space="0" w:color="auto"/>
      </w:divBdr>
    </w:div>
    <w:div w:id="1375275088">
      <w:bodyDiv w:val="1"/>
      <w:marLeft w:val="0"/>
      <w:marRight w:val="0"/>
      <w:marTop w:val="0"/>
      <w:marBottom w:val="0"/>
      <w:divBdr>
        <w:top w:val="none" w:sz="0" w:space="0" w:color="auto"/>
        <w:left w:val="none" w:sz="0" w:space="0" w:color="auto"/>
        <w:bottom w:val="none" w:sz="0" w:space="0" w:color="auto"/>
        <w:right w:val="none" w:sz="0" w:space="0" w:color="auto"/>
      </w:divBdr>
    </w:div>
    <w:div w:id="1400132056">
      <w:bodyDiv w:val="1"/>
      <w:marLeft w:val="0"/>
      <w:marRight w:val="0"/>
      <w:marTop w:val="0"/>
      <w:marBottom w:val="0"/>
      <w:divBdr>
        <w:top w:val="none" w:sz="0" w:space="0" w:color="auto"/>
        <w:left w:val="none" w:sz="0" w:space="0" w:color="auto"/>
        <w:bottom w:val="none" w:sz="0" w:space="0" w:color="auto"/>
        <w:right w:val="none" w:sz="0" w:space="0" w:color="auto"/>
      </w:divBdr>
    </w:div>
    <w:div w:id="1426725727">
      <w:bodyDiv w:val="1"/>
      <w:marLeft w:val="0"/>
      <w:marRight w:val="0"/>
      <w:marTop w:val="0"/>
      <w:marBottom w:val="0"/>
      <w:divBdr>
        <w:top w:val="none" w:sz="0" w:space="0" w:color="auto"/>
        <w:left w:val="none" w:sz="0" w:space="0" w:color="auto"/>
        <w:bottom w:val="none" w:sz="0" w:space="0" w:color="auto"/>
        <w:right w:val="none" w:sz="0" w:space="0" w:color="auto"/>
      </w:divBdr>
    </w:div>
    <w:div w:id="1428816866">
      <w:bodyDiv w:val="1"/>
      <w:marLeft w:val="0"/>
      <w:marRight w:val="0"/>
      <w:marTop w:val="0"/>
      <w:marBottom w:val="0"/>
      <w:divBdr>
        <w:top w:val="none" w:sz="0" w:space="0" w:color="auto"/>
        <w:left w:val="none" w:sz="0" w:space="0" w:color="auto"/>
        <w:bottom w:val="none" w:sz="0" w:space="0" w:color="auto"/>
        <w:right w:val="none" w:sz="0" w:space="0" w:color="auto"/>
      </w:divBdr>
    </w:div>
    <w:div w:id="1435174059">
      <w:bodyDiv w:val="1"/>
      <w:marLeft w:val="0"/>
      <w:marRight w:val="0"/>
      <w:marTop w:val="0"/>
      <w:marBottom w:val="0"/>
      <w:divBdr>
        <w:top w:val="none" w:sz="0" w:space="0" w:color="auto"/>
        <w:left w:val="none" w:sz="0" w:space="0" w:color="auto"/>
        <w:bottom w:val="none" w:sz="0" w:space="0" w:color="auto"/>
        <w:right w:val="none" w:sz="0" w:space="0" w:color="auto"/>
      </w:divBdr>
    </w:div>
    <w:div w:id="1470132336">
      <w:bodyDiv w:val="1"/>
      <w:marLeft w:val="0"/>
      <w:marRight w:val="0"/>
      <w:marTop w:val="0"/>
      <w:marBottom w:val="0"/>
      <w:divBdr>
        <w:top w:val="none" w:sz="0" w:space="0" w:color="auto"/>
        <w:left w:val="none" w:sz="0" w:space="0" w:color="auto"/>
        <w:bottom w:val="none" w:sz="0" w:space="0" w:color="auto"/>
        <w:right w:val="none" w:sz="0" w:space="0" w:color="auto"/>
      </w:divBdr>
    </w:div>
    <w:div w:id="1487238681">
      <w:bodyDiv w:val="1"/>
      <w:marLeft w:val="0"/>
      <w:marRight w:val="0"/>
      <w:marTop w:val="0"/>
      <w:marBottom w:val="0"/>
      <w:divBdr>
        <w:top w:val="none" w:sz="0" w:space="0" w:color="auto"/>
        <w:left w:val="none" w:sz="0" w:space="0" w:color="auto"/>
        <w:bottom w:val="none" w:sz="0" w:space="0" w:color="auto"/>
        <w:right w:val="none" w:sz="0" w:space="0" w:color="auto"/>
      </w:divBdr>
    </w:div>
    <w:div w:id="1516307419">
      <w:bodyDiv w:val="1"/>
      <w:marLeft w:val="0"/>
      <w:marRight w:val="0"/>
      <w:marTop w:val="0"/>
      <w:marBottom w:val="0"/>
      <w:divBdr>
        <w:top w:val="none" w:sz="0" w:space="0" w:color="auto"/>
        <w:left w:val="none" w:sz="0" w:space="0" w:color="auto"/>
        <w:bottom w:val="none" w:sz="0" w:space="0" w:color="auto"/>
        <w:right w:val="none" w:sz="0" w:space="0" w:color="auto"/>
      </w:divBdr>
    </w:div>
    <w:div w:id="1517768298">
      <w:bodyDiv w:val="1"/>
      <w:marLeft w:val="0"/>
      <w:marRight w:val="0"/>
      <w:marTop w:val="0"/>
      <w:marBottom w:val="0"/>
      <w:divBdr>
        <w:top w:val="none" w:sz="0" w:space="0" w:color="auto"/>
        <w:left w:val="none" w:sz="0" w:space="0" w:color="auto"/>
        <w:bottom w:val="none" w:sz="0" w:space="0" w:color="auto"/>
        <w:right w:val="none" w:sz="0" w:space="0" w:color="auto"/>
      </w:divBdr>
    </w:div>
    <w:div w:id="1528518195">
      <w:bodyDiv w:val="1"/>
      <w:marLeft w:val="0"/>
      <w:marRight w:val="0"/>
      <w:marTop w:val="0"/>
      <w:marBottom w:val="0"/>
      <w:divBdr>
        <w:top w:val="none" w:sz="0" w:space="0" w:color="auto"/>
        <w:left w:val="none" w:sz="0" w:space="0" w:color="auto"/>
        <w:bottom w:val="none" w:sz="0" w:space="0" w:color="auto"/>
        <w:right w:val="none" w:sz="0" w:space="0" w:color="auto"/>
      </w:divBdr>
    </w:div>
    <w:div w:id="1584483446">
      <w:bodyDiv w:val="1"/>
      <w:marLeft w:val="0"/>
      <w:marRight w:val="0"/>
      <w:marTop w:val="0"/>
      <w:marBottom w:val="0"/>
      <w:divBdr>
        <w:top w:val="none" w:sz="0" w:space="0" w:color="auto"/>
        <w:left w:val="none" w:sz="0" w:space="0" w:color="auto"/>
        <w:bottom w:val="none" w:sz="0" w:space="0" w:color="auto"/>
        <w:right w:val="none" w:sz="0" w:space="0" w:color="auto"/>
      </w:divBdr>
    </w:div>
    <w:div w:id="1590043616">
      <w:bodyDiv w:val="1"/>
      <w:marLeft w:val="0"/>
      <w:marRight w:val="0"/>
      <w:marTop w:val="0"/>
      <w:marBottom w:val="0"/>
      <w:divBdr>
        <w:top w:val="none" w:sz="0" w:space="0" w:color="auto"/>
        <w:left w:val="none" w:sz="0" w:space="0" w:color="auto"/>
        <w:bottom w:val="none" w:sz="0" w:space="0" w:color="auto"/>
        <w:right w:val="none" w:sz="0" w:space="0" w:color="auto"/>
      </w:divBdr>
    </w:div>
    <w:div w:id="1603147612">
      <w:bodyDiv w:val="1"/>
      <w:marLeft w:val="0"/>
      <w:marRight w:val="0"/>
      <w:marTop w:val="0"/>
      <w:marBottom w:val="0"/>
      <w:divBdr>
        <w:top w:val="none" w:sz="0" w:space="0" w:color="auto"/>
        <w:left w:val="none" w:sz="0" w:space="0" w:color="auto"/>
        <w:bottom w:val="none" w:sz="0" w:space="0" w:color="auto"/>
        <w:right w:val="none" w:sz="0" w:space="0" w:color="auto"/>
      </w:divBdr>
    </w:div>
    <w:div w:id="1605989983">
      <w:bodyDiv w:val="1"/>
      <w:marLeft w:val="0"/>
      <w:marRight w:val="0"/>
      <w:marTop w:val="0"/>
      <w:marBottom w:val="0"/>
      <w:divBdr>
        <w:top w:val="none" w:sz="0" w:space="0" w:color="auto"/>
        <w:left w:val="none" w:sz="0" w:space="0" w:color="auto"/>
        <w:bottom w:val="none" w:sz="0" w:space="0" w:color="auto"/>
        <w:right w:val="none" w:sz="0" w:space="0" w:color="auto"/>
      </w:divBdr>
    </w:div>
    <w:div w:id="1645429241">
      <w:bodyDiv w:val="1"/>
      <w:marLeft w:val="0"/>
      <w:marRight w:val="0"/>
      <w:marTop w:val="0"/>
      <w:marBottom w:val="0"/>
      <w:divBdr>
        <w:top w:val="none" w:sz="0" w:space="0" w:color="auto"/>
        <w:left w:val="none" w:sz="0" w:space="0" w:color="auto"/>
        <w:bottom w:val="none" w:sz="0" w:space="0" w:color="auto"/>
        <w:right w:val="none" w:sz="0" w:space="0" w:color="auto"/>
      </w:divBdr>
    </w:div>
    <w:div w:id="1651791269">
      <w:bodyDiv w:val="1"/>
      <w:marLeft w:val="0"/>
      <w:marRight w:val="0"/>
      <w:marTop w:val="0"/>
      <w:marBottom w:val="0"/>
      <w:divBdr>
        <w:top w:val="none" w:sz="0" w:space="0" w:color="auto"/>
        <w:left w:val="none" w:sz="0" w:space="0" w:color="auto"/>
        <w:bottom w:val="none" w:sz="0" w:space="0" w:color="auto"/>
        <w:right w:val="none" w:sz="0" w:space="0" w:color="auto"/>
      </w:divBdr>
    </w:div>
    <w:div w:id="1653556399">
      <w:bodyDiv w:val="1"/>
      <w:marLeft w:val="0"/>
      <w:marRight w:val="0"/>
      <w:marTop w:val="0"/>
      <w:marBottom w:val="0"/>
      <w:divBdr>
        <w:top w:val="none" w:sz="0" w:space="0" w:color="auto"/>
        <w:left w:val="none" w:sz="0" w:space="0" w:color="auto"/>
        <w:bottom w:val="none" w:sz="0" w:space="0" w:color="auto"/>
        <w:right w:val="none" w:sz="0" w:space="0" w:color="auto"/>
      </w:divBdr>
    </w:div>
    <w:div w:id="1653634022">
      <w:bodyDiv w:val="1"/>
      <w:marLeft w:val="0"/>
      <w:marRight w:val="0"/>
      <w:marTop w:val="0"/>
      <w:marBottom w:val="0"/>
      <w:divBdr>
        <w:top w:val="none" w:sz="0" w:space="0" w:color="auto"/>
        <w:left w:val="none" w:sz="0" w:space="0" w:color="auto"/>
        <w:bottom w:val="none" w:sz="0" w:space="0" w:color="auto"/>
        <w:right w:val="none" w:sz="0" w:space="0" w:color="auto"/>
      </w:divBdr>
    </w:div>
    <w:div w:id="1657034077">
      <w:bodyDiv w:val="1"/>
      <w:marLeft w:val="0"/>
      <w:marRight w:val="0"/>
      <w:marTop w:val="0"/>
      <w:marBottom w:val="0"/>
      <w:divBdr>
        <w:top w:val="none" w:sz="0" w:space="0" w:color="auto"/>
        <w:left w:val="none" w:sz="0" w:space="0" w:color="auto"/>
        <w:bottom w:val="none" w:sz="0" w:space="0" w:color="auto"/>
        <w:right w:val="none" w:sz="0" w:space="0" w:color="auto"/>
      </w:divBdr>
    </w:div>
    <w:div w:id="1663653753">
      <w:bodyDiv w:val="1"/>
      <w:marLeft w:val="0"/>
      <w:marRight w:val="0"/>
      <w:marTop w:val="0"/>
      <w:marBottom w:val="0"/>
      <w:divBdr>
        <w:top w:val="none" w:sz="0" w:space="0" w:color="auto"/>
        <w:left w:val="none" w:sz="0" w:space="0" w:color="auto"/>
        <w:bottom w:val="none" w:sz="0" w:space="0" w:color="auto"/>
        <w:right w:val="none" w:sz="0" w:space="0" w:color="auto"/>
      </w:divBdr>
    </w:div>
    <w:div w:id="1663659274">
      <w:bodyDiv w:val="1"/>
      <w:marLeft w:val="0"/>
      <w:marRight w:val="0"/>
      <w:marTop w:val="0"/>
      <w:marBottom w:val="0"/>
      <w:divBdr>
        <w:top w:val="none" w:sz="0" w:space="0" w:color="auto"/>
        <w:left w:val="none" w:sz="0" w:space="0" w:color="auto"/>
        <w:bottom w:val="none" w:sz="0" w:space="0" w:color="auto"/>
        <w:right w:val="none" w:sz="0" w:space="0" w:color="auto"/>
      </w:divBdr>
    </w:div>
    <w:div w:id="1675106072">
      <w:bodyDiv w:val="1"/>
      <w:marLeft w:val="0"/>
      <w:marRight w:val="0"/>
      <w:marTop w:val="0"/>
      <w:marBottom w:val="0"/>
      <w:divBdr>
        <w:top w:val="none" w:sz="0" w:space="0" w:color="auto"/>
        <w:left w:val="none" w:sz="0" w:space="0" w:color="auto"/>
        <w:bottom w:val="none" w:sz="0" w:space="0" w:color="auto"/>
        <w:right w:val="none" w:sz="0" w:space="0" w:color="auto"/>
      </w:divBdr>
    </w:div>
    <w:div w:id="1676951826">
      <w:bodyDiv w:val="1"/>
      <w:marLeft w:val="0"/>
      <w:marRight w:val="0"/>
      <w:marTop w:val="0"/>
      <w:marBottom w:val="0"/>
      <w:divBdr>
        <w:top w:val="none" w:sz="0" w:space="0" w:color="auto"/>
        <w:left w:val="none" w:sz="0" w:space="0" w:color="auto"/>
        <w:bottom w:val="none" w:sz="0" w:space="0" w:color="auto"/>
        <w:right w:val="none" w:sz="0" w:space="0" w:color="auto"/>
      </w:divBdr>
    </w:div>
    <w:div w:id="1684476061">
      <w:bodyDiv w:val="1"/>
      <w:marLeft w:val="0"/>
      <w:marRight w:val="0"/>
      <w:marTop w:val="0"/>
      <w:marBottom w:val="0"/>
      <w:divBdr>
        <w:top w:val="none" w:sz="0" w:space="0" w:color="auto"/>
        <w:left w:val="none" w:sz="0" w:space="0" w:color="auto"/>
        <w:bottom w:val="none" w:sz="0" w:space="0" w:color="auto"/>
        <w:right w:val="none" w:sz="0" w:space="0" w:color="auto"/>
      </w:divBdr>
    </w:div>
    <w:div w:id="1693456513">
      <w:bodyDiv w:val="1"/>
      <w:marLeft w:val="0"/>
      <w:marRight w:val="0"/>
      <w:marTop w:val="0"/>
      <w:marBottom w:val="0"/>
      <w:divBdr>
        <w:top w:val="none" w:sz="0" w:space="0" w:color="auto"/>
        <w:left w:val="none" w:sz="0" w:space="0" w:color="auto"/>
        <w:bottom w:val="none" w:sz="0" w:space="0" w:color="auto"/>
        <w:right w:val="none" w:sz="0" w:space="0" w:color="auto"/>
      </w:divBdr>
    </w:div>
    <w:div w:id="1697922690">
      <w:bodyDiv w:val="1"/>
      <w:marLeft w:val="0"/>
      <w:marRight w:val="0"/>
      <w:marTop w:val="0"/>
      <w:marBottom w:val="0"/>
      <w:divBdr>
        <w:top w:val="none" w:sz="0" w:space="0" w:color="auto"/>
        <w:left w:val="none" w:sz="0" w:space="0" w:color="auto"/>
        <w:bottom w:val="none" w:sz="0" w:space="0" w:color="auto"/>
        <w:right w:val="none" w:sz="0" w:space="0" w:color="auto"/>
      </w:divBdr>
    </w:div>
    <w:div w:id="1709065485">
      <w:bodyDiv w:val="1"/>
      <w:marLeft w:val="0"/>
      <w:marRight w:val="0"/>
      <w:marTop w:val="0"/>
      <w:marBottom w:val="0"/>
      <w:divBdr>
        <w:top w:val="none" w:sz="0" w:space="0" w:color="auto"/>
        <w:left w:val="none" w:sz="0" w:space="0" w:color="auto"/>
        <w:bottom w:val="none" w:sz="0" w:space="0" w:color="auto"/>
        <w:right w:val="none" w:sz="0" w:space="0" w:color="auto"/>
      </w:divBdr>
    </w:div>
    <w:div w:id="1718626868">
      <w:bodyDiv w:val="1"/>
      <w:marLeft w:val="0"/>
      <w:marRight w:val="0"/>
      <w:marTop w:val="0"/>
      <w:marBottom w:val="0"/>
      <w:divBdr>
        <w:top w:val="none" w:sz="0" w:space="0" w:color="auto"/>
        <w:left w:val="none" w:sz="0" w:space="0" w:color="auto"/>
        <w:bottom w:val="none" w:sz="0" w:space="0" w:color="auto"/>
        <w:right w:val="none" w:sz="0" w:space="0" w:color="auto"/>
      </w:divBdr>
    </w:div>
    <w:div w:id="1722511679">
      <w:bodyDiv w:val="1"/>
      <w:marLeft w:val="0"/>
      <w:marRight w:val="0"/>
      <w:marTop w:val="0"/>
      <w:marBottom w:val="0"/>
      <w:divBdr>
        <w:top w:val="none" w:sz="0" w:space="0" w:color="auto"/>
        <w:left w:val="none" w:sz="0" w:space="0" w:color="auto"/>
        <w:bottom w:val="none" w:sz="0" w:space="0" w:color="auto"/>
        <w:right w:val="none" w:sz="0" w:space="0" w:color="auto"/>
      </w:divBdr>
    </w:div>
    <w:div w:id="1727532412">
      <w:bodyDiv w:val="1"/>
      <w:marLeft w:val="0"/>
      <w:marRight w:val="0"/>
      <w:marTop w:val="0"/>
      <w:marBottom w:val="0"/>
      <w:divBdr>
        <w:top w:val="none" w:sz="0" w:space="0" w:color="auto"/>
        <w:left w:val="none" w:sz="0" w:space="0" w:color="auto"/>
        <w:bottom w:val="none" w:sz="0" w:space="0" w:color="auto"/>
        <w:right w:val="none" w:sz="0" w:space="0" w:color="auto"/>
      </w:divBdr>
    </w:div>
    <w:div w:id="1763337942">
      <w:bodyDiv w:val="1"/>
      <w:marLeft w:val="0"/>
      <w:marRight w:val="0"/>
      <w:marTop w:val="0"/>
      <w:marBottom w:val="0"/>
      <w:divBdr>
        <w:top w:val="none" w:sz="0" w:space="0" w:color="auto"/>
        <w:left w:val="none" w:sz="0" w:space="0" w:color="auto"/>
        <w:bottom w:val="none" w:sz="0" w:space="0" w:color="auto"/>
        <w:right w:val="none" w:sz="0" w:space="0" w:color="auto"/>
      </w:divBdr>
    </w:div>
    <w:div w:id="1765489567">
      <w:bodyDiv w:val="1"/>
      <w:marLeft w:val="0"/>
      <w:marRight w:val="0"/>
      <w:marTop w:val="0"/>
      <w:marBottom w:val="0"/>
      <w:divBdr>
        <w:top w:val="none" w:sz="0" w:space="0" w:color="auto"/>
        <w:left w:val="none" w:sz="0" w:space="0" w:color="auto"/>
        <w:bottom w:val="none" w:sz="0" w:space="0" w:color="auto"/>
        <w:right w:val="none" w:sz="0" w:space="0" w:color="auto"/>
      </w:divBdr>
    </w:div>
    <w:div w:id="1769694392">
      <w:bodyDiv w:val="1"/>
      <w:marLeft w:val="0"/>
      <w:marRight w:val="0"/>
      <w:marTop w:val="0"/>
      <w:marBottom w:val="0"/>
      <w:divBdr>
        <w:top w:val="none" w:sz="0" w:space="0" w:color="auto"/>
        <w:left w:val="none" w:sz="0" w:space="0" w:color="auto"/>
        <w:bottom w:val="none" w:sz="0" w:space="0" w:color="auto"/>
        <w:right w:val="none" w:sz="0" w:space="0" w:color="auto"/>
      </w:divBdr>
    </w:div>
    <w:div w:id="1774978283">
      <w:bodyDiv w:val="1"/>
      <w:marLeft w:val="0"/>
      <w:marRight w:val="0"/>
      <w:marTop w:val="0"/>
      <w:marBottom w:val="0"/>
      <w:divBdr>
        <w:top w:val="none" w:sz="0" w:space="0" w:color="auto"/>
        <w:left w:val="none" w:sz="0" w:space="0" w:color="auto"/>
        <w:bottom w:val="none" w:sz="0" w:space="0" w:color="auto"/>
        <w:right w:val="none" w:sz="0" w:space="0" w:color="auto"/>
      </w:divBdr>
    </w:div>
    <w:div w:id="1782190150">
      <w:bodyDiv w:val="1"/>
      <w:marLeft w:val="0"/>
      <w:marRight w:val="0"/>
      <w:marTop w:val="0"/>
      <w:marBottom w:val="0"/>
      <w:divBdr>
        <w:top w:val="none" w:sz="0" w:space="0" w:color="auto"/>
        <w:left w:val="none" w:sz="0" w:space="0" w:color="auto"/>
        <w:bottom w:val="none" w:sz="0" w:space="0" w:color="auto"/>
        <w:right w:val="none" w:sz="0" w:space="0" w:color="auto"/>
      </w:divBdr>
    </w:div>
    <w:div w:id="1784493872">
      <w:bodyDiv w:val="1"/>
      <w:marLeft w:val="0"/>
      <w:marRight w:val="0"/>
      <w:marTop w:val="0"/>
      <w:marBottom w:val="0"/>
      <w:divBdr>
        <w:top w:val="none" w:sz="0" w:space="0" w:color="auto"/>
        <w:left w:val="none" w:sz="0" w:space="0" w:color="auto"/>
        <w:bottom w:val="none" w:sz="0" w:space="0" w:color="auto"/>
        <w:right w:val="none" w:sz="0" w:space="0" w:color="auto"/>
      </w:divBdr>
    </w:div>
    <w:div w:id="1786654978">
      <w:bodyDiv w:val="1"/>
      <w:marLeft w:val="0"/>
      <w:marRight w:val="0"/>
      <w:marTop w:val="0"/>
      <w:marBottom w:val="0"/>
      <w:divBdr>
        <w:top w:val="none" w:sz="0" w:space="0" w:color="auto"/>
        <w:left w:val="none" w:sz="0" w:space="0" w:color="auto"/>
        <w:bottom w:val="none" w:sz="0" w:space="0" w:color="auto"/>
        <w:right w:val="none" w:sz="0" w:space="0" w:color="auto"/>
      </w:divBdr>
    </w:div>
    <w:div w:id="1791124437">
      <w:bodyDiv w:val="1"/>
      <w:marLeft w:val="0"/>
      <w:marRight w:val="0"/>
      <w:marTop w:val="0"/>
      <w:marBottom w:val="0"/>
      <w:divBdr>
        <w:top w:val="none" w:sz="0" w:space="0" w:color="auto"/>
        <w:left w:val="none" w:sz="0" w:space="0" w:color="auto"/>
        <w:bottom w:val="none" w:sz="0" w:space="0" w:color="auto"/>
        <w:right w:val="none" w:sz="0" w:space="0" w:color="auto"/>
      </w:divBdr>
    </w:div>
    <w:div w:id="1826320094">
      <w:bodyDiv w:val="1"/>
      <w:marLeft w:val="0"/>
      <w:marRight w:val="0"/>
      <w:marTop w:val="0"/>
      <w:marBottom w:val="0"/>
      <w:divBdr>
        <w:top w:val="none" w:sz="0" w:space="0" w:color="auto"/>
        <w:left w:val="none" w:sz="0" w:space="0" w:color="auto"/>
        <w:bottom w:val="none" w:sz="0" w:space="0" w:color="auto"/>
        <w:right w:val="none" w:sz="0" w:space="0" w:color="auto"/>
      </w:divBdr>
    </w:div>
    <w:div w:id="1832985274">
      <w:bodyDiv w:val="1"/>
      <w:marLeft w:val="0"/>
      <w:marRight w:val="0"/>
      <w:marTop w:val="0"/>
      <w:marBottom w:val="0"/>
      <w:divBdr>
        <w:top w:val="none" w:sz="0" w:space="0" w:color="auto"/>
        <w:left w:val="none" w:sz="0" w:space="0" w:color="auto"/>
        <w:bottom w:val="none" w:sz="0" w:space="0" w:color="auto"/>
        <w:right w:val="none" w:sz="0" w:space="0" w:color="auto"/>
      </w:divBdr>
    </w:div>
    <w:div w:id="1853297976">
      <w:bodyDiv w:val="1"/>
      <w:marLeft w:val="0"/>
      <w:marRight w:val="0"/>
      <w:marTop w:val="0"/>
      <w:marBottom w:val="0"/>
      <w:divBdr>
        <w:top w:val="none" w:sz="0" w:space="0" w:color="auto"/>
        <w:left w:val="none" w:sz="0" w:space="0" w:color="auto"/>
        <w:bottom w:val="none" w:sz="0" w:space="0" w:color="auto"/>
        <w:right w:val="none" w:sz="0" w:space="0" w:color="auto"/>
      </w:divBdr>
    </w:div>
    <w:div w:id="1863275081">
      <w:bodyDiv w:val="1"/>
      <w:marLeft w:val="0"/>
      <w:marRight w:val="0"/>
      <w:marTop w:val="0"/>
      <w:marBottom w:val="0"/>
      <w:divBdr>
        <w:top w:val="none" w:sz="0" w:space="0" w:color="auto"/>
        <w:left w:val="none" w:sz="0" w:space="0" w:color="auto"/>
        <w:bottom w:val="none" w:sz="0" w:space="0" w:color="auto"/>
        <w:right w:val="none" w:sz="0" w:space="0" w:color="auto"/>
      </w:divBdr>
    </w:div>
    <w:div w:id="1868369525">
      <w:bodyDiv w:val="1"/>
      <w:marLeft w:val="0"/>
      <w:marRight w:val="0"/>
      <w:marTop w:val="0"/>
      <w:marBottom w:val="0"/>
      <w:divBdr>
        <w:top w:val="none" w:sz="0" w:space="0" w:color="auto"/>
        <w:left w:val="none" w:sz="0" w:space="0" w:color="auto"/>
        <w:bottom w:val="none" w:sz="0" w:space="0" w:color="auto"/>
        <w:right w:val="none" w:sz="0" w:space="0" w:color="auto"/>
      </w:divBdr>
    </w:div>
    <w:div w:id="1876576057">
      <w:bodyDiv w:val="1"/>
      <w:marLeft w:val="0"/>
      <w:marRight w:val="0"/>
      <w:marTop w:val="0"/>
      <w:marBottom w:val="0"/>
      <w:divBdr>
        <w:top w:val="none" w:sz="0" w:space="0" w:color="auto"/>
        <w:left w:val="none" w:sz="0" w:space="0" w:color="auto"/>
        <w:bottom w:val="none" w:sz="0" w:space="0" w:color="auto"/>
        <w:right w:val="none" w:sz="0" w:space="0" w:color="auto"/>
      </w:divBdr>
    </w:div>
    <w:div w:id="1876848586">
      <w:bodyDiv w:val="1"/>
      <w:marLeft w:val="0"/>
      <w:marRight w:val="0"/>
      <w:marTop w:val="0"/>
      <w:marBottom w:val="0"/>
      <w:divBdr>
        <w:top w:val="none" w:sz="0" w:space="0" w:color="auto"/>
        <w:left w:val="none" w:sz="0" w:space="0" w:color="auto"/>
        <w:bottom w:val="none" w:sz="0" w:space="0" w:color="auto"/>
        <w:right w:val="none" w:sz="0" w:space="0" w:color="auto"/>
      </w:divBdr>
    </w:div>
    <w:div w:id="1895967123">
      <w:bodyDiv w:val="1"/>
      <w:marLeft w:val="0"/>
      <w:marRight w:val="0"/>
      <w:marTop w:val="0"/>
      <w:marBottom w:val="0"/>
      <w:divBdr>
        <w:top w:val="none" w:sz="0" w:space="0" w:color="auto"/>
        <w:left w:val="none" w:sz="0" w:space="0" w:color="auto"/>
        <w:bottom w:val="none" w:sz="0" w:space="0" w:color="auto"/>
        <w:right w:val="none" w:sz="0" w:space="0" w:color="auto"/>
      </w:divBdr>
    </w:div>
    <w:div w:id="1897662339">
      <w:bodyDiv w:val="1"/>
      <w:marLeft w:val="0"/>
      <w:marRight w:val="0"/>
      <w:marTop w:val="0"/>
      <w:marBottom w:val="0"/>
      <w:divBdr>
        <w:top w:val="none" w:sz="0" w:space="0" w:color="auto"/>
        <w:left w:val="none" w:sz="0" w:space="0" w:color="auto"/>
        <w:bottom w:val="none" w:sz="0" w:space="0" w:color="auto"/>
        <w:right w:val="none" w:sz="0" w:space="0" w:color="auto"/>
      </w:divBdr>
    </w:div>
    <w:div w:id="1913346982">
      <w:bodyDiv w:val="1"/>
      <w:marLeft w:val="0"/>
      <w:marRight w:val="0"/>
      <w:marTop w:val="0"/>
      <w:marBottom w:val="0"/>
      <w:divBdr>
        <w:top w:val="none" w:sz="0" w:space="0" w:color="auto"/>
        <w:left w:val="none" w:sz="0" w:space="0" w:color="auto"/>
        <w:bottom w:val="none" w:sz="0" w:space="0" w:color="auto"/>
        <w:right w:val="none" w:sz="0" w:space="0" w:color="auto"/>
      </w:divBdr>
    </w:div>
    <w:div w:id="1928998416">
      <w:bodyDiv w:val="1"/>
      <w:marLeft w:val="0"/>
      <w:marRight w:val="0"/>
      <w:marTop w:val="0"/>
      <w:marBottom w:val="0"/>
      <w:divBdr>
        <w:top w:val="none" w:sz="0" w:space="0" w:color="auto"/>
        <w:left w:val="none" w:sz="0" w:space="0" w:color="auto"/>
        <w:bottom w:val="none" w:sz="0" w:space="0" w:color="auto"/>
        <w:right w:val="none" w:sz="0" w:space="0" w:color="auto"/>
      </w:divBdr>
    </w:div>
    <w:div w:id="1960138666">
      <w:bodyDiv w:val="1"/>
      <w:marLeft w:val="0"/>
      <w:marRight w:val="0"/>
      <w:marTop w:val="0"/>
      <w:marBottom w:val="0"/>
      <w:divBdr>
        <w:top w:val="none" w:sz="0" w:space="0" w:color="auto"/>
        <w:left w:val="none" w:sz="0" w:space="0" w:color="auto"/>
        <w:bottom w:val="none" w:sz="0" w:space="0" w:color="auto"/>
        <w:right w:val="none" w:sz="0" w:space="0" w:color="auto"/>
      </w:divBdr>
    </w:div>
    <w:div w:id="1972856683">
      <w:bodyDiv w:val="1"/>
      <w:marLeft w:val="0"/>
      <w:marRight w:val="0"/>
      <w:marTop w:val="0"/>
      <w:marBottom w:val="0"/>
      <w:divBdr>
        <w:top w:val="none" w:sz="0" w:space="0" w:color="auto"/>
        <w:left w:val="none" w:sz="0" w:space="0" w:color="auto"/>
        <w:bottom w:val="none" w:sz="0" w:space="0" w:color="auto"/>
        <w:right w:val="none" w:sz="0" w:space="0" w:color="auto"/>
      </w:divBdr>
    </w:div>
    <w:div w:id="1976569479">
      <w:bodyDiv w:val="1"/>
      <w:marLeft w:val="0"/>
      <w:marRight w:val="0"/>
      <w:marTop w:val="0"/>
      <w:marBottom w:val="0"/>
      <w:divBdr>
        <w:top w:val="none" w:sz="0" w:space="0" w:color="auto"/>
        <w:left w:val="none" w:sz="0" w:space="0" w:color="auto"/>
        <w:bottom w:val="none" w:sz="0" w:space="0" w:color="auto"/>
        <w:right w:val="none" w:sz="0" w:space="0" w:color="auto"/>
      </w:divBdr>
    </w:div>
    <w:div w:id="1983732744">
      <w:bodyDiv w:val="1"/>
      <w:marLeft w:val="0"/>
      <w:marRight w:val="0"/>
      <w:marTop w:val="0"/>
      <w:marBottom w:val="0"/>
      <w:divBdr>
        <w:top w:val="none" w:sz="0" w:space="0" w:color="auto"/>
        <w:left w:val="none" w:sz="0" w:space="0" w:color="auto"/>
        <w:bottom w:val="none" w:sz="0" w:space="0" w:color="auto"/>
        <w:right w:val="none" w:sz="0" w:space="0" w:color="auto"/>
      </w:divBdr>
    </w:div>
    <w:div w:id="2025859595">
      <w:bodyDiv w:val="1"/>
      <w:marLeft w:val="0"/>
      <w:marRight w:val="0"/>
      <w:marTop w:val="0"/>
      <w:marBottom w:val="0"/>
      <w:divBdr>
        <w:top w:val="none" w:sz="0" w:space="0" w:color="auto"/>
        <w:left w:val="none" w:sz="0" w:space="0" w:color="auto"/>
        <w:bottom w:val="none" w:sz="0" w:space="0" w:color="auto"/>
        <w:right w:val="none" w:sz="0" w:space="0" w:color="auto"/>
      </w:divBdr>
      <w:divsChild>
        <w:div w:id="1347948748">
          <w:marLeft w:val="0"/>
          <w:marRight w:val="0"/>
          <w:marTop w:val="0"/>
          <w:marBottom w:val="0"/>
          <w:divBdr>
            <w:top w:val="none" w:sz="0" w:space="0" w:color="auto"/>
            <w:left w:val="none" w:sz="0" w:space="0" w:color="auto"/>
            <w:bottom w:val="none" w:sz="0" w:space="0" w:color="auto"/>
            <w:right w:val="none" w:sz="0" w:space="0" w:color="auto"/>
          </w:divBdr>
          <w:divsChild>
            <w:div w:id="1281644922">
              <w:marLeft w:val="0"/>
              <w:marRight w:val="0"/>
              <w:marTop w:val="0"/>
              <w:marBottom w:val="0"/>
              <w:divBdr>
                <w:top w:val="none" w:sz="0" w:space="0" w:color="auto"/>
                <w:left w:val="none" w:sz="0" w:space="0" w:color="auto"/>
                <w:bottom w:val="none" w:sz="0" w:space="0" w:color="auto"/>
                <w:right w:val="none" w:sz="0" w:space="0" w:color="auto"/>
              </w:divBdr>
              <w:divsChild>
                <w:div w:id="112473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9060909">
      <w:bodyDiv w:val="1"/>
      <w:marLeft w:val="0"/>
      <w:marRight w:val="0"/>
      <w:marTop w:val="0"/>
      <w:marBottom w:val="0"/>
      <w:divBdr>
        <w:top w:val="none" w:sz="0" w:space="0" w:color="auto"/>
        <w:left w:val="none" w:sz="0" w:space="0" w:color="auto"/>
        <w:bottom w:val="none" w:sz="0" w:space="0" w:color="auto"/>
        <w:right w:val="none" w:sz="0" w:space="0" w:color="auto"/>
      </w:divBdr>
    </w:div>
    <w:div w:id="2043048526">
      <w:bodyDiv w:val="1"/>
      <w:marLeft w:val="0"/>
      <w:marRight w:val="0"/>
      <w:marTop w:val="0"/>
      <w:marBottom w:val="0"/>
      <w:divBdr>
        <w:top w:val="none" w:sz="0" w:space="0" w:color="auto"/>
        <w:left w:val="none" w:sz="0" w:space="0" w:color="auto"/>
        <w:bottom w:val="none" w:sz="0" w:space="0" w:color="auto"/>
        <w:right w:val="none" w:sz="0" w:space="0" w:color="auto"/>
      </w:divBdr>
    </w:div>
    <w:div w:id="2044207935">
      <w:bodyDiv w:val="1"/>
      <w:marLeft w:val="0"/>
      <w:marRight w:val="0"/>
      <w:marTop w:val="0"/>
      <w:marBottom w:val="0"/>
      <w:divBdr>
        <w:top w:val="none" w:sz="0" w:space="0" w:color="auto"/>
        <w:left w:val="none" w:sz="0" w:space="0" w:color="auto"/>
        <w:bottom w:val="none" w:sz="0" w:space="0" w:color="auto"/>
        <w:right w:val="none" w:sz="0" w:space="0" w:color="auto"/>
      </w:divBdr>
    </w:div>
    <w:div w:id="2044331071">
      <w:bodyDiv w:val="1"/>
      <w:marLeft w:val="0"/>
      <w:marRight w:val="0"/>
      <w:marTop w:val="0"/>
      <w:marBottom w:val="0"/>
      <w:divBdr>
        <w:top w:val="none" w:sz="0" w:space="0" w:color="auto"/>
        <w:left w:val="none" w:sz="0" w:space="0" w:color="auto"/>
        <w:bottom w:val="none" w:sz="0" w:space="0" w:color="auto"/>
        <w:right w:val="none" w:sz="0" w:space="0" w:color="auto"/>
      </w:divBdr>
    </w:div>
    <w:div w:id="2045324823">
      <w:bodyDiv w:val="1"/>
      <w:marLeft w:val="0"/>
      <w:marRight w:val="0"/>
      <w:marTop w:val="0"/>
      <w:marBottom w:val="0"/>
      <w:divBdr>
        <w:top w:val="none" w:sz="0" w:space="0" w:color="auto"/>
        <w:left w:val="none" w:sz="0" w:space="0" w:color="auto"/>
        <w:bottom w:val="none" w:sz="0" w:space="0" w:color="auto"/>
        <w:right w:val="none" w:sz="0" w:space="0" w:color="auto"/>
      </w:divBdr>
    </w:div>
    <w:div w:id="2082943642">
      <w:bodyDiv w:val="1"/>
      <w:marLeft w:val="0"/>
      <w:marRight w:val="0"/>
      <w:marTop w:val="0"/>
      <w:marBottom w:val="0"/>
      <w:divBdr>
        <w:top w:val="none" w:sz="0" w:space="0" w:color="auto"/>
        <w:left w:val="none" w:sz="0" w:space="0" w:color="auto"/>
        <w:bottom w:val="none" w:sz="0" w:space="0" w:color="auto"/>
        <w:right w:val="none" w:sz="0" w:space="0" w:color="auto"/>
      </w:divBdr>
    </w:div>
    <w:div w:id="2119792169">
      <w:bodyDiv w:val="1"/>
      <w:marLeft w:val="0"/>
      <w:marRight w:val="0"/>
      <w:marTop w:val="0"/>
      <w:marBottom w:val="0"/>
      <w:divBdr>
        <w:top w:val="none" w:sz="0" w:space="0" w:color="auto"/>
        <w:left w:val="none" w:sz="0" w:space="0" w:color="auto"/>
        <w:bottom w:val="none" w:sz="0" w:space="0" w:color="auto"/>
        <w:right w:val="none" w:sz="0" w:space="0" w:color="auto"/>
      </w:divBdr>
    </w:div>
    <w:div w:id="2141604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www.cnv.gob.ar" TargetMode="External"/><Relationship Id="rId26" Type="http://schemas.openxmlformats.org/officeDocument/2006/relationships/header" Target="header5.xml"/><Relationship Id="rId39" Type="http://schemas.openxmlformats.org/officeDocument/2006/relationships/hyperlink" Target="http://www.cnv.gob.ar" TargetMode="Externa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hyperlink" Target="http://www.publicdebt.treas.gov/AI/OFBills" TargetMode="External"/><Relationship Id="rId42" Type="http://schemas.openxmlformats.org/officeDocument/2006/relationships/hyperlink" Target="http://www.minfinanzas.gob.ar" TargetMode="External"/><Relationship Id="rId47" Type="http://schemas.openxmlformats.org/officeDocument/2006/relationships/hyperlink" Target="http://www.cnv.gob.ar" TargetMode="External"/><Relationship Id="rId50"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mailto:tgodino@hipotecario.com.ar" TargetMode="External"/><Relationship Id="rId25" Type="http://schemas.openxmlformats.org/officeDocument/2006/relationships/footer" Target="footer5.xml"/><Relationship Id="rId33" Type="http://schemas.openxmlformats.org/officeDocument/2006/relationships/hyperlink" Target="http://www.bcra.gob.ar/Pdfs/comytexord/A6037.pdf" TargetMode="External"/><Relationship Id="rId38" Type="http://schemas.openxmlformats.org/officeDocument/2006/relationships/hyperlink" Target="http://www.cnv.gob.ar" TargetMode="External"/><Relationship Id="rId46" Type="http://schemas.openxmlformats.org/officeDocument/2006/relationships/hyperlink" Target="http://www.hipotecario.com.ar" TargetMode="External"/><Relationship Id="rId2" Type="http://schemas.openxmlformats.org/officeDocument/2006/relationships/numbering" Target="numbering.xml"/><Relationship Id="rId16" Type="http://schemas.openxmlformats.org/officeDocument/2006/relationships/hyperlink" Target="http://www.hipotecario.com.ar" TargetMode="External"/><Relationship Id="rId20" Type="http://schemas.openxmlformats.org/officeDocument/2006/relationships/hyperlink" Target="http://www.bolsar.com.ar" TargetMode="External"/><Relationship Id="rId29" Type="http://schemas.openxmlformats.org/officeDocument/2006/relationships/image" Target="media/image2.png"/><Relationship Id="rId41" Type="http://schemas.openxmlformats.org/officeDocument/2006/relationships/hyperlink" Target="http://www.minhacienda.gob.ar/"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mailto:tgodino@hipotecario.com.ar" TargetMode="External"/><Relationship Id="rId32" Type="http://schemas.openxmlformats.org/officeDocument/2006/relationships/hyperlink" Target="http://www.bcra.gob.ar/Pdfs/comytexord/A5955.pdf" TargetMode="External"/><Relationship Id="rId37" Type="http://schemas.openxmlformats.org/officeDocument/2006/relationships/hyperlink" Target="http://www.cnv.gob.ar" TargetMode="External"/><Relationship Id="rId40" Type="http://schemas.openxmlformats.org/officeDocument/2006/relationships/hyperlink" Target="http://www.cnv.gob.ar" TargetMode="External"/><Relationship Id="rId45" Type="http://schemas.openxmlformats.org/officeDocument/2006/relationships/hyperlink" Target="http://WWW.CNV.GOB.AR" TargetMode="Externa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yperlink" Target="http://www.infobae.com/holdouts-a1350" TargetMode="External"/><Relationship Id="rId28" Type="http://schemas.openxmlformats.org/officeDocument/2006/relationships/footer" Target="footer6.xml"/><Relationship Id="rId36" Type="http://schemas.openxmlformats.org/officeDocument/2006/relationships/hyperlink" Target="http://www.cnv.gob.ar" TargetMode="External"/><Relationship Id="rId49" Type="http://schemas.openxmlformats.org/officeDocument/2006/relationships/hyperlink" Target="http://www.bolsar.com.ar" TargetMode="External"/><Relationship Id="rId10" Type="http://schemas.openxmlformats.org/officeDocument/2006/relationships/header" Target="header1.xml"/><Relationship Id="rId19" Type="http://schemas.openxmlformats.org/officeDocument/2006/relationships/hyperlink" Target="http://www.mae.com.ar" TargetMode="External"/><Relationship Id="rId31" Type="http://schemas.openxmlformats.org/officeDocument/2006/relationships/hyperlink" Target="http://www.bcra.gob.ar/Pdfs/comytexord/A5899.pdf" TargetMode="External"/><Relationship Id="rId44" Type="http://schemas.openxmlformats.org/officeDocument/2006/relationships/hyperlink" Target="http://www.argentina.gob.ar/uif" TargetMode="Externa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header" Target="header4.xml"/><Relationship Id="rId27" Type="http://schemas.openxmlformats.org/officeDocument/2006/relationships/header" Target="header6.xml"/><Relationship Id="rId30" Type="http://schemas.openxmlformats.org/officeDocument/2006/relationships/hyperlink" Target="http://www.bcra.gob.ar/Pdfs/comytexord/A5850.pdf" TargetMode="External"/><Relationship Id="rId35" Type="http://schemas.openxmlformats.org/officeDocument/2006/relationships/hyperlink" Target="http://www.cnv.gob.ar" TargetMode="External"/><Relationship Id="rId43" Type="http://schemas.openxmlformats.org/officeDocument/2006/relationships/hyperlink" Target="http://www.infoleg.gob.ar" TargetMode="External"/><Relationship Id="rId48" Type="http://schemas.openxmlformats.org/officeDocument/2006/relationships/hyperlink" Target="http://www.mae.com.ar" TargetMode="External"/><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2670F4-CBC1-47FE-8473-8F7AB8F5E8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297</Pages>
  <Words>178544</Words>
  <Characters>981998</Characters>
  <Application>Microsoft Office Word</Application>
  <DocSecurity>0</DocSecurity>
  <Lines>8183</Lines>
  <Paragraphs>2316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PROSPECTO DE ACTUALIZACIÓN</vt:lpstr>
      <vt:lpstr>PROSPECTO DE ACTUALIZACIÓN</vt:lpstr>
    </vt:vector>
  </TitlesOfParts>
  <Company>Estudio ZBV</Company>
  <LinksUpToDate>false</LinksUpToDate>
  <CharactersWithSpaces>1158226</CharactersWithSpaces>
  <SharedDoc>false</SharedDoc>
  <HLinks>
    <vt:vector size="312" baseType="variant">
      <vt:variant>
        <vt:i4>5832785</vt:i4>
      </vt:variant>
      <vt:variant>
        <vt:i4>237</vt:i4>
      </vt:variant>
      <vt:variant>
        <vt:i4>0</vt:i4>
      </vt:variant>
      <vt:variant>
        <vt:i4>5</vt:i4>
      </vt:variant>
      <vt:variant>
        <vt:lpwstr>http://www.bolsar.com.ar/</vt:lpwstr>
      </vt:variant>
      <vt:variant>
        <vt:lpwstr/>
      </vt:variant>
      <vt:variant>
        <vt:i4>6488108</vt:i4>
      </vt:variant>
      <vt:variant>
        <vt:i4>234</vt:i4>
      </vt:variant>
      <vt:variant>
        <vt:i4>0</vt:i4>
      </vt:variant>
      <vt:variant>
        <vt:i4>5</vt:i4>
      </vt:variant>
      <vt:variant>
        <vt:lpwstr>http://www.mae.com.ar/</vt:lpwstr>
      </vt:variant>
      <vt:variant>
        <vt:lpwstr/>
      </vt:variant>
      <vt:variant>
        <vt:i4>7667747</vt:i4>
      </vt:variant>
      <vt:variant>
        <vt:i4>231</vt:i4>
      </vt:variant>
      <vt:variant>
        <vt:i4>0</vt:i4>
      </vt:variant>
      <vt:variant>
        <vt:i4>5</vt:i4>
      </vt:variant>
      <vt:variant>
        <vt:lpwstr>http://www.cnv.gob.ar/</vt:lpwstr>
      </vt:variant>
      <vt:variant>
        <vt:lpwstr/>
      </vt:variant>
      <vt:variant>
        <vt:i4>7929894</vt:i4>
      </vt:variant>
      <vt:variant>
        <vt:i4>228</vt:i4>
      </vt:variant>
      <vt:variant>
        <vt:i4>0</vt:i4>
      </vt:variant>
      <vt:variant>
        <vt:i4>5</vt:i4>
      </vt:variant>
      <vt:variant>
        <vt:lpwstr>http://www.hipotecario.com.ar/</vt:lpwstr>
      </vt:variant>
      <vt:variant>
        <vt:lpwstr/>
      </vt:variant>
      <vt:variant>
        <vt:i4>7667747</vt:i4>
      </vt:variant>
      <vt:variant>
        <vt:i4>225</vt:i4>
      </vt:variant>
      <vt:variant>
        <vt:i4>0</vt:i4>
      </vt:variant>
      <vt:variant>
        <vt:i4>5</vt:i4>
      </vt:variant>
      <vt:variant>
        <vt:lpwstr>http://www.cnv.gob.ar/</vt:lpwstr>
      </vt:variant>
      <vt:variant>
        <vt:lpwstr/>
      </vt:variant>
      <vt:variant>
        <vt:i4>6750244</vt:i4>
      </vt:variant>
      <vt:variant>
        <vt:i4>222</vt:i4>
      </vt:variant>
      <vt:variant>
        <vt:i4>0</vt:i4>
      </vt:variant>
      <vt:variant>
        <vt:i4>5</vt:i4>
      </vt:variant>
      <vt:variant>
        <vt:lpwstr>http://www.uif.gov.ar/</vt:lpwstr>
      </vt:variant>
      <vt:variant>
        <vt:lpwstr/>
      </vt:variant>
      <vt:variant>
        <vt:i4>7340073</vt:i4>
      </vt:variant>
      <vt:variant>
        <vt:i4>219</vt:i4>
      </vt:variant>
      <vt:variant>
        <vt:i4>0</vt:i4>
      </vt:variant>
      <vt:variant>
        <vt:i4>5</vt:i4>
      </vt:variant>
      <vt:variant>
        <vt:lpwstr>http://www.infoleg.gov.ar/</vt:lpwstr>
      </vt:variant>
      <vt:variant>
        <vt:lpwstr/>
      </vt:variant>
      <vt:variant>
        <vt:i4>7536676</vt:i4>
      </vt:variant>
      <vt:variant>
        <vt:i4>216</vt:i4>
      </vt:variant>
      <vt:variant>
        <vt:i4>0</vt:i4>
      </vt:variant>
      <vt:variant>
        <vt:i4>5</vt:i4>
      </vt:variant>
      <vt:variant>
        <vt:lpwstr>http://www.uif.gob.ar/</vt:lpwstr>
      </vt:variant>
      <vt:variant>
        <vt:lpwstr/>
      </vt:variant>
      <vt:variant>
        <vt:i4>7667747</vt:i4>
      </vt:variant>
      <vt:variant>
        <vt:i4>213</vt:i4>
      </vt:variant>
      <vt:variant>
        <vt:i4>0</vt:i4>
      </vt:variant>
      <vt:variant>
        <vt:i4>5</vt:i4>
      </vt:variant>
      <vt:variant>
        <vt:lpwstr>http://www.cnv.gob.ar/</vt:lpwstr>
      </vt:variant>
      <vt:variant>
        <vt:lpwstr/>
      </vt:variant>
      <vt:variant>
        <vt:i4>7667747</vt:i4>
      </vt:variant>
      <vt:variant>
        <vt:i4>210</vt:i4>
      </vt:variant>
      <vt:variant>
        <vt:i4>0</vt:i4>
      </vt:variant>
      <vt:variant>
        <vt:i4>5</vt:i4>
      </vt:variant>
      <vt:variant>
        <vt:lpwstr>http://www.cnv.gob.ar/</vt:lpwstr>
      </vt:variant>
      <vt:variant>
        <vt:lpwstr/>
      </vt:variant>
      <vt:variant>
        <vt:i4>7667747</vt:i4>
      </vt:variant>
      <vt:variant>
        <vt:i4>207</vt:i4>
      </vt:variant>
      <vt:variant>
        <vt:i4>0</vt:i4>
      </vt:variant>
      <vt:variant>
        <vt:i4>5</vt:i4>
      </vt:variant>
      <vt:variant>
        <vt:lpwstr>http://www.cnv.gob.ar/</vt:lpwstr>
      </vt:variant>
      <vt:variant>
        <vt:lpwstr/>
      </vt:variant>
      <vt:variant>
        <vt:i4>7667747</vt:i4>
      </vt:variant>
      <vt:variant>
        <vt:i4>204</vt:i4>
      </vt:variant>
      <vt:variant>
        <vt:i4>0</vt:i4>
      </vt:variant>
      <vt:variant>
        <vt:i4>5</vt:i4>
      </vt:variant>
      <vt:variant>
        <vt:lpwstr>http://www.cnv.gob.ar/</vt:lpwstr>
      </vt:variant>
      <vt:variant>
        <vt:lpwstr/>
      </vt:variant>
      <vt:variant>
        <vt:i4>7667747</vt:i4>
      </vt:variant>
      <vt:variant>
        <vt:i4>201</vt:i4>
      </vt:variant>
      <vt:variant>
        <vt:i4>0</vt:i4>
      </vt:variant>
      <vt:variant>
        <vt:i4>5</vt:i4>
      </vt:variant>
      <vt:variant>
        <vt:lpwstr>http://www.cnv.gob.ar/</vt:lpwstr>
      </vt:variant>
      <vt:variant>
        <vt:lpwstr/>
      </vt:variant>
      <vt:variant>
        <vt:i4>7667747</vt:i4>
      </vt:variant>
      <vt:variant>
        <vt:i4>198</vt:i4>
      </vt:variant>
      <vt:variant>
        <vt:i4>0</vt:i4>
      </vt:variant>
      <vt:variant>
        <vt:i4>5</vt:i4>
      </vt:variant>
      <vt:variant>
        <vt:lpwstr>http://www.cnv.gob.ar/</vt:lpwstr>
      </vt:variant>
      <vt:variant>
        <vt:lpwstr/>
      </vt:variant>
      <vt:variant>
        <vt:i4>8257637</vt:i4>
      </vt:variant>
      <vt:variant>
        <vt:i4>195</vt:i4>
      </vt:variant>
      <vt:variant>
        <vt:i4>0</vt:i4>
      </vt:variant>
      <vt:variant>
        <vt:i4>5</vt:i4>
      </vt:variant>
      <vt:variant>
        <vt:lpwstr>http://www.publicdebt.treas.gov/AI/OFBills</vt:lpwstr>
      </vt:variant>
      <vt:variant>
        <vt:lpwstr/>
      </vt:variant>
      <vt:variant>
        <vt:i4>2097228</vt:i4>
      </vt:variant>
      <vt:variant>
        <vt:i4>192</vt:i4>
      </vt:variant>
      <vt:variant>
        <vt:i4>0</vt:i4>
      </vt:variant>
      <vt:variant>
        <vt:i4>5</vt:i4>
      </vt:variant>
      <vt:variant>
        <vt:lpwstr>http://www.mbasystemsonline.com.ar/vsr/ajax/TO_texto.aspx?cd_producto=SFM&amp;nu_solapa=0&amp;vista=Texto&amp;codigo=479&amp;id_aciertos=&amp;fecha_hist=&amp;logueo=Logueo37</vt:lpwstr>
      </vt:variant>
      <vt:variant>
        <vt:lpwstr>nota_primer_grado</vt:lpwstr>
      </vt:variant>
      <vt:variant>
        <vt:i4>1507358</vt:i4>
      </vt:variant>
      <vt:variant>
        <vt:i4>189</vt:i4>
      </vt:variant>
      <vt:variant>
        <vt:i4>0</vt:i4>
      </vt:variant>
      <vt:variant>
        <vt:i4>5</vt:i4>
      </vt:variant>
      <vt:variant>
        <vt:lpwstr>http://www.bcra.gob.ar/Pdfs/comytexord/A6037.pdf</vt:lpwstr>
      </vt:variant>
      <vt:variant>
        <vt:lpwstr/>
      </vt:variant>
      <vt:variant>
        <vt:i4>1835035</vt:i4>
      </vt:variant>
      <vt:variant>
        <vt:i4>186</vt:i4>
      </vt:variant>
      <vt:variant>
        <vt:i4>0</vt:i4>
      </vt:variant>
      <vt:variant>
        <vt:i4>5</vt:i4>
      </vt:variant>
      <vt:variant>
        <vt:lpwstr>http://www.bcra.gob.ar/Pdfs/comytexord/A5955.pdf</vt:lpwstr>
      </vt:variant>
      <vt:variant>
        <vt:lpwstr/>
      </vt:variant>
      <vt:variant>
        <vt:i4>1114135</vt:i4>
      </vt:variant>
      <vt:variant>
        <vt:i4>183</vt:i4>
      </vt:variant>
      <vt:variant>
        <vt:i4>0</vt:i4>
      </vt:variant>
      <vt:variant>
        <vt:i4>5</vt:i4>
      </vt:variant>
      <vt:variant>
        <vt:lpwstr>http://www.bcra.gob.ar/Pdfs/comytexord/A5899.pdf</vt:lpwstr>
      </vt:variant>
      <vt:variant>
        <vt:lpwstr/>
      </vt:variant>
      <vt:variant>
        <vt:i4>1572891</vt:i4>
      </vt:variant>
      <vt:variant>
        <vt:i4>180</vt:i4>
      </vt:variant>
      <vt:variant>
        <vt:i4>0</vt:i4>
      </vt:variant>
      <vt:variant>
        <vt:i4>5</vt:i4>
      </vt:variant>
      <vt:variant>
        <vt:lpwstr>http://www.bcra.gob.ar/Pdfs/comytexord/A5850.pdf</vt:lpwstr>
      </vt:variant>
      <vt:variant>
        <vt:lpwstr/>
      </vt:variant>
      <vt:variant>
        <vt:i4>131171</vt:i4>
      </vt:variant>
      <vt:variant>
        <vt:i4>177</vt:i4>
      </vt:variant>
      <vt:variant>
        <vt:i4>0</vt:i4>
      </vt:variant>
      <vt:variant>
        <vt:i4>5</vt:i4>
      </vt:variant>
      <vt:variant>
        <vt:lpwstr>mailto:tgodino@hipotecario.com.ar</vt:lpwstr>
      </vt:variant>
      <vt:variant>
        <vt:lpwstr/>
      </vt:variant>
      <vt:variant>
        <vt:i4>1769473</vt:i4>
      </vt:variant>
      <vt:variant>
        <vt:i4>174</vt:i4>
      </vt:variant>
      <vt:variant>
        <vt:i4>0</vt:i4>
      </vt:variant>
      <vt:variant>
        <vt:i4>5</vt:i4>
      </vt:variant>
      <vt:variant>
        <vt:lpwstr>http://www.infobae.com/holdouts-a1350</vt:lpwstr>
      </vt:variant>
      <vt:variant>
        <vt:lpwstr/>
      </vt:variant>
      <vt:variant>
        <vt:i4>5832785</vt:i4>
      </vt:variant>
      <vt:variant>
        <vt:i4>168</vt:i4>
      </vt:variant>
      <vt:variant>
        <vt:i4>0</vt:i4>
      </vt:variant>
      <vt:variant>
        <vt:i4>5</vt:i4>
      </vt:variant>
      <vt:variant>
        <vt:lpwstr>http://www.bolsar.com.ar/</vt:lpwstr>
      </vt:variant>
      <vt:variant>
        <vt:lpwstr/>
      </vt:variant>
      <vt:variant>
        <vt:i4>6488108</vt:i4>
      </vt:variant>
      <vt:variant>
        <vt:i4>165</vt:i4>
      </vt:variant>
      <vt:variant>
        <vt:i4>0</vt:i4>
      </vt:variant>
      <vt:variant>
        <vt:i4>5</vt:i4>
      </vt:variant>
      <vt:variant>
        <vt:lpwstr>http://www.mae.com.ar/</vt:lpwstr>
      </vt:variant>
      <vt:variant>
        <vt:lpwstr/>
      </vt:variant>
      <vt:variant>
        <vt:i4>7667747</vt:i4>
      </vt:variant>
      <vt:variant>
        <vt:i4>162</vt:i4>
      </vt:variant>
      <vt:variant>
        <vt:i4>0</vt:i4>
      </vt:variant>
      <vt:variant>
        <vt:i4>5</vt:i4>
      </vt:variant>
      <vt:variant>
        <vt:lpwstr>http://www.cnv.gob.ar/</vt:lpwstr>
      </vt:variant>
      <vt:variant>
        <vt:lpwstr/>
      </vt:variant>
      <vt:variant>
        <vt:i4>131171</vt:i4>
      </vt:variant>
      <vt:variant>
        <vt:i4>159</vt:i4>
      </vt:variant>
      <vt:variant>
        <vt:i4>0</vt:i4>
      </vt:variant>
      <vt:variant>
        <vt:i4>5</vt:i4>
      </vt:variant>
      <vt:variant>
        <vt:lpwstr>mailto:tgodino@hipotecario.com.ar</vt:lpwstr>
      </vt:variant>
      <vt:variant>
        <vt:lpwstr/>
      </vt:variant>
      <vt:variant>
        <vt:i4>7929894</vt:i4>
      </vt:variant>
      <vt:variant>
        <vt:i4>156</vt:i4>
      </vt:variant>
      <vt:variant>
        <vt:i4>0</vt:i4>
      </vt:variant>
      <vt:variant>
        <vt:i4>5</vt:i4>
      </vt:variant>
      <vt:variant>
        <vt:lpwstr>http://www.hipotecario.com.ar/</vt:lpwstr>
      </vt:variant>
      <vt:variant>
        <vt:lpwstr/>
      </vt:variant>
      <vt:variant>
        <vt:i4>1835060</vt:i4>
      </vt:variant>
      <vt:variant>
        <vt:i4>146</vt:i4>
      </vt:variant>
      <vt:variant>
        <vt:i4>0</vt:i4>
      </vt:variant>
      <vt:variant>
        <vt:i4>5</vt:i4>
      </vt:variant>
      <vt:variant>
        <vt:lpwstr/>
      </vt:variant>
      <vt:variant>
        <vt:lpwstr>_Toc457831472</vt:lpwstr>
      </vt:variant>
      <vt:variant>
        <vt:i4>1835060</vt:i4>
      </vt:variant>
      <vt:variant>
        <vt:i4>140</vt:i4>
      </vt:variant>
      <vt:variant>
        <vt:i4>0</vt:i4>
      </vt:variant>
      <vt:variant>
        <vt:i4>5</vt:i4>
      </vt:variant>
      <vt:variant>
        <vt:lpwstr/>
      </vt:variant>
      <vt:variant>
        <vt:lpwstr>_Toc457831471</vt:lpwstr>
      </vt:variant>
      <vt:variant>
        <vt:i4>1835060</vt:i4>
      </vt:variant>
      <vt:variant>
        <vt:i4>134</vt:i4>
      </vt:variant>
      <vt:variant>
        <vt:i4>0</vt:i4>
      </vt:variant>
      <vt:variant>
        <vt:i4>5</vt:i4>
      </vt:variant>
      <vt:variant>
        <vt:lpwstr/>
      </vt:variant>
      <vt:variant>
        <vt:lpwstr>_Toc457831470</vt:lpwstr>
      </vt:variant>
      <vt:variant>
        <vt:i4>1900596</vt:i4>
      </vt:variant>
      <vt:variant>
        <vt:i4>128</vt:i4>
      </vt:variant>
      <vt:variant>
        <vt:i4>0</vt:i4>
      </vt:variant>
      <vt:variant>
        <vt:i4>5</vt:i4>
      </vt:variant>
      <vt:variant>
        <vt:lpwstr/>
      </vt:variant>
      <vt:variant>
        <vt:lpwstr>_Toc457831469</vt:lpwstr>
      </vt:variant>
      <vt:variant>
        <vt:i4>1900596</vt:i4>
      </vt:variant>
      <vt:variant>
        <vt:i4>122</vt:i4>
      </vt:variant>
      <vt:variant>
        <vt:i4>0</vt:i4>
      </vt:variant>
      <vt:variant>
        <vt:i4>5</vt:i4>
      </vt:variant>
      <vt:variant>
        <vt:lpwstr/>
      </vt:variant>
      <vt:variant>
        <vt:lpwstr>_Toc457831468</vt:lpwstr>
      </vt:variant>
      <vt:variant>
        <vt:i4>1900596</vt:i4>
      </vt:variant>
      <vt:variant>
        <vt:i4>116</vt:i4>
      </vt:variant>
      <vt:variant>
        <vt:i4>0</vt:i4>
      </vt:variant>
      <vt:variant>
        <vt:i4>5</vt:i4>
      </vt:variant>
      <vt:variant>
        <vt:lpwstr/>
      </vt:variant>
      <vt:variant>
        <vt:lpwstr>_Toc457831467</vt:lpwstr>
      </vt:variant>
      <vt:variant>
        <vt:i4>1900596</vt:i4>
      </vt:variant>
      <vt:variant>
        <vt:i4>110</vt:i4>
      </vt:variant>
      <vt:variant>
        <vt:i4>0</vt:i4>
      </vt:variant>
      <vt:variant>
        <vt:i4>5</vt:i4>
      </vt:variant>
      <vt:variant>
        <vt:lpwstr/>
      </vt:variant>
      <vt:variant>
        <vt:lpwstr>_Toc457831465</vt:lpwstr>
      </vt:variant>
      <vt:variant>
        <vt:i4>1900596</vt:i4>
      </vt:variant>
      <vt:variant>
        <vt:i4>104</vt:i4>
      </vt:variant>
      <vt:variant>
        <vt:i4>0</vt:i4>
      </vt:variant>
      <vt:variant>
        <vt:i4>5</vt:i4>
      </vt:variant>
      <vt:variant>
        <vt:lpwstr/>
      </vt:variant>
      <vt:variant>
        <vt:lpwstr>_Toc457831464</vt:lpwstr>
      </vt:variant>
      <vt:variant>
        <vt:i4>1900596</vt:i4>
      </vt:variant>
      <vt:variant>
        <vt:i4>98</vt:i4>
      </vt:variant>
      <vt:variant>
        <vt:i4>0</vt:i4>
      </vt:variant>
      <vt:variant>
        <vt:i4>5</vt:i4>
      </vt:variant>
      <vt:variant>
        <vt:lpwstr/>
      </vt:variant>
      <vt:variant>
        <vt:lpwstr>_Toc457831463</vt:lpwstr>
      </vt:variant>
      <vt:variant>
        <vt:i4>1900596</vt:i4>
      </vt:variant>
      <vt:variant>
        <vt:i4>92</vt:i4>
      </vt:variant>
      <vt:variant>
        <vt:i4>0</vt:i4>
      </vt:variant>
      <vt:variant>
        <vt:i4>5</vt:i4>
      </vt:variant>
      <vt:variant>
        <vt:lpwstr/>
      </vt:variant>
      <vt:variant>
        <vt:lpwstr>_Toc457831462</vt:lpwstr>
      </vt:variant>
      <vt:variant>
        <vt:i4>1900596</vt:i4>
      </vt:variant>
      <vt:variant>
        <vt:i4>86</vt:i4>
      </vt:variant>
      <vt:variant>
        <vt:i4>0</vt:i4>
      </vt:variant>
      <vt:variant>
        <vt:i4>5</vt:i4>
      </vt:variant>
      <vt:variant>
        <vt:lpwstr/>
      </vt:variant>
      <vt:variant>
        <vt:lpwstr>_Toc457831460</vt:lpwstr>
      </vt:variant>
      <vt:variant>
        <vt:i4>1966132</vt:i4>
      </vt:variant>
      <vt:variant>
        <vt:i4>80</vt:i4>
      </vt:variant>
      <vt:variant>
        <vt:i4>0</vt:i4>
      </vt:variant>
      <vt:variant>
        <vt:i4>5</vt:i4>
      </vt:variant>
      <vt:variant>
        <vt:lpwstr/>
      </vt:variant>
      <vt:variant>
        <vt:lpwstr>_Toc457831459</vt:lpwstr>
      </vt:variant>
      <vt:variant>
        <vt:i4>1966132</vt:i4>
      </vt:variant>
      <vt:variant>
        <vt:i4>74</vt:i4>
      </vt:variant>
      <vt:variant>
        <vt:i4>0</vt:i4>
      </vt:variant>
      <vt:variant>
        <vt:i4>5</vt:i4>
      </vt:variant>
      <vt:variant>
        <vt:lpwstr/>
      </vt:variant>
      <vt:variant>
        <vt:lpwstr>_Toc457831458</vt:lpwstr>
      </vt:variant>
      <vt:variant>
        <vt:i4>1966132</vt:i4>
      </vt:variant>
      <vt:variant>
        <vt:i4>68</vt:i4>
      </vt:variant>
      <vt:variant>
        <vt:i4>0</vt:i4>
      </vt:variant>
      <vt:variant>
        <vt:i4>5</vt:i4>
      </vt:variant>
      <vt:variant>
        <vt:lpwstr/>
      </vt:variant>
      <vt:variant>
        <vt:lpwstr>_Toc457831457</vt:lpwstr>
      </vt:variant>
      <vt:variant>
        <vt:i4>1966132</vt:i4>
      </vt:variant>
      <vt:variant>
        <vt:i4>65</vt:i4>
      </vt:variant>
      <vt:variant>
        <vt:i4>0</vt:i4>
      </vt:variant>
      <vt:variant>
        <vt:i4>5</vt:i4>
      </vt:variant>
      <vt:variant>
        <vt:lpwstr/>
      </vt:variant>
      <vt:variant>
        <vt:lpwstr>_Toc457831456</vt:lpwstr>
      </vt:variant>
      <vt:variant>
        <vt:i4>1966132</vt:i4>
      </vt:variant>
      <vt:variant>
        <vt:i4>59</vt:i4>
      </vt:variant>
      <vt:variant>
        <vt:i4>0</vt:i4>
      </vt:variant>
      <vt:variant>
        <vt:i4>5</vt:i4>
      </vt:variant>
      <vt:variant>
        <vt:lpwstr/>
      </vt:variant>
      <vt:variant>
        <vt:lpwstr>_Toc457831455</vt:lpwstr>
      </vt:variant>
      <vt:variant>
        <vt:i4>1966132</vt:i4>
      </vt:variant>
      <vt:variant>
        <vt:i4>53</vt:i4>
      </vt:variant>
      <vt:variant>
        <vt:i4>0</vt:i4>
      </vt:variant>
      <vt:variant>
        <vt:i4>5</vt:i4>
      </vt:variant>
      <vt:variant>
        <vt:lpwstr/>
      </vt:variant>
      <vt:variant>
        <vt:lpwstr>_Toc457831454</vt:lpwstr>
      </vt:variant>
      <vt:variant>
        <vt:i4>1966132</vt:i4>
      </vt:variant>
      <vt:variant>
        <vt:i4>47</vt:i4>
      </vt:variant>
      <vt:variant>
        <vt:i4>0</vt:i4>
      </vt:variant>
      <vt:variant>
        <vt:i4>5</vt:i4>
      </vt:variant>
      <vt:variant>
        <vt:lpwstr/>
      </vt:variant>
      <vt:variant>
        <vt:lpwstr>_Toc457831453</vt:lpwstr>
      </vt:variant>
      <vt:variant>
        <vt:i4>1966132</vt:i4>
      </vt:variant>
      <vt:variant>
        <vt:i4>41</vt:i4>
      </vt:variant>
      <vt:variant>
        <vt:i4>0</vt:i4>
      </vt:variant>
      <vt:variant>
        <vt:i4>5</vt:i4>
      </vt:variant>
      <vt:variant>
        <vt:lpwstr/>
      </vt:variant>
      <vt:variant>
        <vt:lpwstr>_Toc457831452</vt:lpwstr>
      </vt:variant>
      <vt:variant>
        <vt:i4>1966132</vt:i4>
      </vt:variant>
      <vt:variant>
        <vt:i4>35</vt:i4>
      </vt:variant>
      <vt:variant>
        <vt:i4>0</vt:i4>
      </vt:variant>
      <vt:variant>
        <vt:i4>5</vt:i4>
      </vt:variant>
      <vt:variant>
        <vt:lpwstr/>
      </vt:variant>
      <vt:variant>
        <vt:lpwstr>_Toc457831451</vt:lpwstr>
      </vt:variant>
      <vt:variant>
        <vt:i4>1966132</vt:i4>
      </vt:variant>
      <vt:variant>
        <vt:i4>29</vt:i4>
      </vt:variant>
      <vt:variant>
        <vt:i4>0</vt:i4>
      </vt:variant>
      <vt:variant>
        <vt:i4>5</vt:i4>
      </vt:variant>
      <vt:variant>
        <vt:lpwstr/>
      </vt:variant>
      <vt:variant>
        <vt:lpwstr>_Toc457831450</vt:lpwstr>
      </vt:variant>
      <vt:variant>
        <vt:i4>2031668</vt:i4>
      </vt:variant>
      <vt:variant>
        <vt:i4>23</vt:i4>
      </vt:variant>
      <vt:variant>
        <vt:i4>0</vt:i4>
      </vt:variant>
      <vt:variant>
        <vt:i4>5</vt:i4>
      </vt:variant>
      <vt:variant>
        <vt:lpwstr/>
      </vt:variant>
      <vt:variant>
        <vt:lpwstr>_Toc457831449</vt:lpwstr>
      </vt:variant>
      <vt:variant>
        <vt:i4>2031668</vt:i4>
      </vt:variant>
      <vt:variant>
        <vt:i4>17</vt:i4>
      </vt:variant>
      <vt:variant>
        <vt:i4>0</vt:i4>
      </vt:variant>
      <vt:variant>
        <vt:i4>5</vt:i4>
      </vt:variant>
      <vt:variant>
        <vt:lpwstr/>
      </vt:variant>
      <vt:variant>
        <vt:lpwstr>_Toc457831448</vt:lpwstr>
      </vt:variant>
      <vt:variant>
        <vt:i4>2031668</vt:i4>
      </vt:variant>
      <vt:variant>
        <vt:i4>11</vt:i4>
      </vt:variant>
      <vt:variant>
        <vt:i4>0</vt:i4>
      </vt:variant>
      <vt:variant>
        <vt:i4>5</vt:i4>
      </vt:variant>
      <vt:variant>
        <vt:lpwstr/>
      </vt:variant>
      <vt:variant>
        <vt:lpwstr>_Toc457831447</vt:lpwstr>
      </vt:variant>
      <vt:variant>
        <vt:i4>2031668</vt:i4>
      </vt:variant>
      <vt:variant>
        <vt:i4>5</vt:i4>
      </vt:variant>
      <vt:variant>
        <vt:i4>0</vt:i4>
      </vt:variant>
      <vt:variant>
        <vt:i4>5</vt:i4>
      </vt:variant>
      <vt:variant>
        <vt:lpwstr/>
      </vt:variant>
      <vt:variant>
        <vt:lpwstr>_Toc457831446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PROSPECTO DE ACTUALIZACIÓN</dc:title>
  <dc:creator>Francisco Manuel Bereciartúa</dc:creator>
  <cp:lastModifiedBy>Francisco Manuel Bereciartúa</cp:lastModifiedBy>
  <cp:revision>8</cp:revision>
  <cp:lastPrinted>2017-10-19T16:16:00Z</cp:lastPrinted>
  <dcterms:created xsi:type="dcterms:W3CDTF">2017-10-19T16:16:00Z</dcterms:created>
  <dcterms:modified xsi:type="dcterms:W3CDTF">2017-10-20T17:45:00Z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AIL_MSG_ID1">
    <vt:lpwstr>UFAAhbkLiRokiRwbKqRH1MEpU0rkSkM+vuSvRlBNcVdXrEAWYpmn0Q0PEqKW+34D3toHrXeeR5sTRB9GZqDPY0Q/NFgg4hvtfX051iJBS4TiM6VrJNQpG+pDge2cdM33WsetMhSuNE/n2nBGZqDPY0Q/NFgg4hvtfX051iJBS4TiM6VrJNQpG+pDgTq7acxl8NvhT+o4uU7LlQl1JAcBEwXl4gOBQhTBN3AzhuCsIUy50caPKCTg5v8hj</vt:lpwstr>
  </property>
  <property fmtid="{D5CDD505-2E9C-101B-9397-08002B2CF9AE}" pid="3" name="MAIL_MSG_ID2">
    <vt:lpwstr>AdBKBy/4e72yKmjYPafUvVWfqhUclc3m+REIxljVmBi+Lvz8fFcRWNx9E3TlXzyT2dUK2tStwawSSMcb858vWA=</vt:lpwstr>
  </property>
  <property fmtid="{D5CDD505-2E9C-101B-9397-08002B2CF9AE}" pid="4" name="RESPONSE_SENDER_NAME">
    <vt:lpwstr>4AAA4Lxe55UJ0C9deuSHenClduxZ4IJVKpUgPL4zeI4ZAZwK2QXNCzJWTQ==</vt:lpwstr>
  </property>
  <property fmtid="{D5CDD505-2E9C-101B-9397-08002B2CF9AE}" pid="5" name="EMAIL_OWNER_ADDRESS">
    <vt:lpwstr>4AAA9mrMv1QjWAul0inzGwlCkC8yhwq6V7WcF7bnE/qWAU+qqdjHPZYHVQ==</vt:lpwstr>
  </property>
</Properties>
</file>